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5820" w14:textId="77777777" w:rsidR="007E6BB2" w:rsidRPr="008A290B" w:rsidRDefault="007E6BB2" w:rsidP="007E6BB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B36771" w14:textId="77777777" w:rsidR="007E6BB2" w:rsidRDefault="007E6BB2" w:rsidP="007E6BB2">
      <w:pPr>
        <w:jc w:val="both"/>
        <w:rPr>
          <w:rFonts w:ascii="Arial" w:hAnsi="Arial" w:cs="Arial"/>
          <w:lang w:val="es-419"/>
        </w:rPr>
      </w:pPr>
    </w:p>
    <w:p w14:paraId="0DE4E550" w14:textId="6647C0CA" w:rsidR="007E6BB2" w:rsidRPr="007E6BB2" w:rsidRDefault="007E6BB2" w:rsidP="007E6BB2">
      <w:pPr>
        <w:jc w:val="both"/>
        <w:rPr>
          <w:rFonts w:ascii="Arial" w:hAnsi="Arial" w:cs="Arial"/>
          <w:lang w:val="es-419"/>
        </w:rPr>
      </w:pPr>
      <w:r w:rsidRPr="007E6BB2">
        <w:rPr>
          <w:rFonts w:ascii="Arial" w:hAnsi="Arial" w:cs="Arial"/>
          <w:lang w:val="es-419"/>
        </w:rPr>
        <w:t>Asunto</w:t>
      </w:r>
      <w:r w:rsidRPr="007E6BB2">
        <w:rPr>
          <w:rFonts w:ascii="Arial" w:hAnsi="Arial" w:cs="Arial"/>
          <w:lang w:val="es-419"/>
        </w:rPr>
        <w:tab/>
      </w:r>
      <w:r w:rsidRPr="007E6BB2">
        <w:rPr>
          <w:rFonts w:ascii="Arial" w:hAnsi="Arial" w:cs="Arial"/>
          <w:lang w:val="es-419"/>
        </w:rPr>
        <w:tab/>
      </w:r>
      <w:r>
        <w:rPr>
          <w:rFonts w:ascii="Arial" w:hAnsi="Arial" w:cs="Arial"/>
          <w:lang w:val="es-419"/>
        </w:rPr>
        <w:tab/>
      </w:r>
      <w:r w:rsidRPr="007E6BB2">
        <w:rPr>
          <w:rFonts w:ascii="Arial" w:hAnsi="Arial" w:cs="Arial"/>
          <w:lang w:val="es-419"/>
        </w:rPr>
        <w:t xml:space="preserve">: Decide recurso de súplica </w:t>
      </w:r>
    </w:p>
    <w:p w14:paraId="213DF6E5" w14:textId="376BC283" w:rsidR="007E6BB2" w:rsidRPr="007E6BB2" w:rsidRDefault="007E6BB2" w:rsidP="007E6BB2">
      <w:pPr>
        <w:jc w:val="both"/>
        <w:rPr>
          <w:rFonts w:ascii="Arial" w:hAnsi="Arial" w:cs="Arial"/>
          <w:lang w:val="es-419"/>
        </w:rPr>
      </w:pPr>
      <w:r w:rsidRPr="007E6BB2">
        <w:rPr>
          <w:rFonts w:ascii="Arial" w:hAnsi="Arial" w:cs="Arial"/>
          <w:lang w:val="es-419"/>
        </w:rPr>
        <w:t>Tipo de proceso</w:t>
      </w:r>
      <w:r w:rsidRPr="007E6BB2">
        <w:rPr>
          <w:rFonts w:ascii="Arial" w:hAnsi="Arial" w:cs="Arial"/>
          <w:lang w:val="es-419"/>
        </w:rPr>
        <w:tab/>
        <w:t xml:space="preserve">: Verbal - Reivindicatorio </w:t>
      </w:r>
    </w:p>
    <w:p w14:paraId="613577F2" w14:textId="69BBF6AC" w:rsidR="007E6BB2" w:rsidRPr="007E6BB2" w:rsidRDefault="007E6BB2" w:rsidP="007E6BB2">
      <w:pPr>
        <w:jc w:val="both"/>
        <w:rPr>
          <w:rFonts w:ascii="Arial" w:hAnsi="Arial" w:cs="Arial"/>
          <w:lang w:val="es-419"/>
        </w:rPr>
      </w:pPr>
      <w:r w:rsidRPr="007E6BB2">
        <w:rPr>
          <w:rFonts w:ascii="Arial" w:hAnsi="Arial" w:cs="Arial"/>
          <w:lang w:val="es-419"/>
        </w:rPr>
        <w:t xml:space="preserve">Reconvención </w:t>
      </w:r>
      <w:r w:rsidRPr="007E6BB2">
        <w:rPr>
          <w:rFonts w:ascii="Arial" w:hAnsi="Arial" w:cs="Arial"/>
          <w:lang w:val="es-419"/>
        </w:rPr>
        <w:tab/>
      </w:r>
      <w:r>
        <w:rPr>
          <w:rFonts w:ascii="Arial" w:hAnsi="Arial" w:cs="Arial"/>
          <w:lang w:val="es-419"/>
        </w:rPr>
        <w:tab/>
      </w:r>
      <w:r w:rsidRPr="007E6BB2">
        <w:rPr>
          <w:rFonts w:ascii="Arial" w:hAnsi="Arial" w:cs="Arial"/>
          <w:lang w:val="es-419"/>
        </w:rPr>
        <w:t>: Ordinario – Usucapión extraordinaria</w:t>
      </w:r>
    </w:p>
    <w:p w14:paraId="5B476710" w14:textId="77777777" w:rsidR="007E6BB2" w:rsidRPr="007E6BB2" w:rsidRDefault="007E6BB2" w:rsidP="007E6BB2">
      <w:pPr>
        <w:jc w:val="both"/>
        <w:rPr>
          <w:rFonts w:ascii="Arial" w:hAnsi="Arial" w:cs="Arial"/>
          <w:lang w:val="es-419"/>
        </w:rPr>
      </w:pPr>
      <w:r w:rsidRPr="007E6BB2">
        <w:rPr>
          <w:rFonts w:ascii="Arial" w:hAnsi="Arial" w:cs="Arial"/>
          <w:lang w:val="es-419"/>
        </w:rPr>
        <w:t>Demandante</w:t>
      </w:r>
      <w:r w:rsidRPr="007E6BB2">
        <w:rPr>
          <w:rFonts w:ascii="Arial" w:hAnsi="Arial" w:cs="Arial"/>
          <w:lang w:val="es-419"/>
        </w:rPr>
        <w:tab/>
      </w:r>
      <w:r w:rsidRPr="007E6BB2">
        <w:rPr>
          <w:rFonts w:ascii="Arial" w:hAnsi="Arial" w:cs="Arial"/>
          <w:lang w:val="es-419"/>
        </w:rPr>
        <w:tab/>
        <w:t>: Sociedad Gaviria y Gaviria Ltda. en liquidación</w:t>
      </w:r>
    </w:p>
    <w:p w14:paraId="5D49BD15" w14:textId="77777777" w:rsidR="007E6BB2" w:rsidRPr="007E6BB2" w:rsidRDefault="007E6BB2" w:rsidP="007E6BB2">
      <w:pPr>
        <w:jc w:val="both"/>
        <w:rPr>
          <w:rFonts w:ascii="Arial" w:hAnsi="Arial" w:cs="Arial"/>
          <w:lang w:val="es-419"/>
        </w:rPr>
      </w:pPr>
      <w:r w:rsidRPr="007E6BB2">
        <w:rPr>
          <w:rFonts w:ascii="Arial" w:hAnsi="Arial" w:cs="Arial"/>
          <w:lang w:val="es-419"/>
        </w:rPr>
        <w:t>Demandado</w:t>
      </w:r>
      <w:r w:rsidRPr="007E6BB2">
        <w:rPr>
          <w:rFonts w:ascii="Arial" w:hAnsi="Arial" w:cs="Arial"/>
          <w:lang w:val="es-419"/>
        </w:rPr>
        <w:tab/>
      </w:r>
      <w:r w:rsidRPr="007E6BB2">
        <w:rPr>
          <w:rFonts w:ascii="Arial" w:hAnsi="Arial" w:cs="Arial"/>
          <w:lang w:val="es-419"/>
        </w:rPr>
        <w:tab/>
        <w:t>: Bernardo Gómez Herrera y otros</w:t>
      </w:r>
    </w:p>
    <w:p w14:paraId="70E7BA86" w14:textId="77777777" w:rsidR="007E6BB2" w:rsidRPr="007E6BB2" w:rsidRDefault="007E6BB2" w:rsidP="007E6BB2">
      <w:pPr>
        <w:jc w:val="both"/>
        <w:rPr>
          <w:rFonts w:ascii="Arial" w:hAnsi="Arial" w:cs="Arial"/>
          <w:lang w:val="es-419"/>
        </w:rPr>
      </w:pPr>
      <w:r w:rsidRPr="007E6BB2">
        <w:rPr>
          <w:rFonts w:ascii="Arial" w:hAnsi="Arial" w:cs="Arial"/>
          <w:lang w:val="es-419"/>
        </w:rPr>
        <w:t>Procedencia</w:t>
      </w:r>
      <w:r w:rsidRPr="007E6BB2">
        <w:rPr>
          <w:rFonts w:ascii="Arial" w:hAnsi="Arial" w:cs="Arial"/>
          <w:lang w:val="es-419"/>
        </w:rPr>
        <w:tab/>
      </w:r>
      <w:r w:rsidRPr="007E6BB2">
        <w:rPr>
          <w:rFonts w:ascii="Arial" w:hAnsi="Arial" w:cs="Arial"/>
          <w:lang w:val="es-419"/>
        </w:rPr>
        <w:tab/>
        <w:t>: Juzgado Civil del Circuito de Dosquebradas, R.</w:t>
      </w:r>
    </w:p>
    <w:p w14:paraId="04EB961A" w14:textId="77777777" w:rsidR="007E6BB2" w:rsidRPr="007E6BB2" w:rsidRDefault="007E6BB2" w:rsidP="007E6BB2">
      <w:pPr>
        <w:jc w:val="both"/>
        <w:rPr>
          <w:rFonts w:ascii="Arial" w:hAnsi="Arial" w:cs="Arial"/>
          <w:lang w:val="es-419"/>
        </w:rPr>
      </w:pPr>
      <w:r w:rsidRPr="007E6BB2">
        <w:rPr>
          <w:rFonts w:ascii="Arial" w:hAnsi="Arial" w:cs="Arial"/>
          <w:lang w:val="es-419"/>
        </w:rPr>
        <w:t>Radicación</w:t>
      </w:r>
      <w:r w:rsidRPr="007E6BB2">
        <w:rPr>
          <w:rFonts w:ascii="Arial" w:hAnsi="Arial" w:cs="Arial"/>
          <w:lang w:val="es-419"/>
        </w:rPr>
        <w:tab/>
      </w:r>
      <w:r w:rsidRPr="007E6BB2">
        <w:rPr>
          <w:rFonts w:ascii="Arial" w:hAnsi="Arial" w:cs="Arial"/>
          <w:lang w:val="es-419"/>
        </w:rPr>
        <w:tab/>
        <w:t>: 66170-31-03-001-2015-00131-01</w:t>
      </w:r>
    </w:p>
    <w:p w14:paraId="1C13A6AF" w14:textId="5D862F54" w:rsidR="007E6BB2" w:rsidRPr="007E6BB2" w:rsidRDefault="007E6BB2" w:rsidP="007E6BB2">
      <w:pPr>
        <w:jc w:val="both"/>
        <w:rPr>
          <w:rFonts w:ascii="Arial" w:hAnsi="Arial" w:cs="Arial"/>
          <w:lang w:val="es-419"/>
        </w:rPr>
      </w:pPr>
      <w:proofErr w:type="spellStart"/>
      <w:r w:rsidRPr="007E6BB2">
        <w:rPr>
          <w:rFonts w:ascii="Arial" w:hAnsi="Arial" w:cs="Arial"/>
          <w:lang w:val="es-419"/>
        </w:rPr>
        <w:t>Mag</w:t>
      </w:r>
      <w:proofErr w:type="spellEnd"/>
      <w:r w:rsidRPr="007E6BB2">
        <w:rPr>
          <w:rFonts w:ascii="Arial" w:hAnsi="Arial" w:cs="Arial"/>
          <w:lang w:val="es-419"/>
        </w:rPr>
        <w:t>. Ponente</w:t>
      </w:r>
      <w:r w:rsidRPr="007E6BB2">
        <w:rPr>
          <w:rFonts w:ascii="Arial" w:hAnsi="Arial" w:cs="Arial"/>
          <w:lang w:val="es-419"/>
        </w:rPr>
        <w:tab/>
      </w:r>
      <w:r>
        <w:rPr>
          <w:rFonts w:ascii="Arial" w:hAnsi="Arial" w:cs="Arial"/>
          <w:lang w:val="es-419"/>
        </w:rPr>
        <w:tab/>
      </w:r>
      <w:r w:rsidRPr="007E6BB2">
        <w:rPr>
          <w:rFonts w:ascii="Arial" w:hAnsi="Arial" w:cs="Arial"/>
          <w:lang w:val="es-419"/>
        </w:rPr>
        <w:t>: DUBERNEY GRISALES HERRERA</w:t>
      </w:r>
    </w:p>
    <w:p w14:paraId="47942D25" w14:textId="38EE4A7C" w:rsidR="007E6BB2" w:rsidRDefault="007E6BB2" w:rsidP="007E6BB2">
      <w:pPr>
        <w:jc w:val="both"/>
        <w:rPr>
          <w:rFonts w:ascii="Arial" w:hAnsi="Arial" w:cs="Arial"/>
          <w:lang w:val="es-419"/>
        </w:rPr>
      </w:pPr>
      <w:r w:rsidRPr="007E6BB2">
        <w:rPr>
          <w:rFonts w:ascii="Arial" w:hAnsi="Arial" w:cs="Arial"/>
          <w:lang w:val="es-419"/>
        </w:rPr>
        <w:t>Acta número</w:t>
      </w:r>
      <w:r w:rsidRPr="007E6BB2">
        <w:rPr>
          <w:rFonts w:ascii="Arial" w:hAnsi="Arial" w:cs="Arial"/>
          <w:lang w:val="es-419"/>
        </w:rPr>
        <w:tab/>
      </w:r>
      <w:r w:rsidRPr="007E6BB2">
        <w:rPr>
          <w:rFonts w:ascii="Arial" w:hAnsi="Arial" w:cs="Arial"/>
          <w:lang w:val="es-419"/>
        </w:rPr>
        <w:tab/>
        <w:t>: 356 de 30-07-2021</w:t>
      </w:r>
    </w:p>
    <w:p w14:paraId="1A94CF24" w14:textId="77777777" w:rsidR="007E6BB2" w:rsidRDefault="007E6BB2" w:rsidP="007E6BB2">
      <w:pPr>
        <w:jc w:val="both"/>
        <w:rPr>
          <w:rFonts w:ascii="Arial" w:hAnsi="Arial" w:cs="Arial"/>
          <w:lang w:val="es-419"/>
        </w:rPr>
      </w:pPr>
    </w:p>
    <w:p w14:paraId="59DB64BB" w14:textId="2846D5A4" w:rsidR="007E6BB2" w:rsidRPr="00E32969" w:rsidRDefault="007E6BB2" w:rsidP="007E6BB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2C554C">
        <w:rPr>
          <w:rFonts w:ascii="Arial" w:hAnsi="Arial" w:cs="Arial"/>
          <w:b/>
          <w:bCs/>
          <w:iCs/>
          <w:sz w:val="20"/>
          <w:szCs w:val="20"/>
          <w:lang w:val="es-419" w:eastAsia="fr-FR"/>
        </w:rPr>
        <w:t>RECURSO DE SÚPLICA / PROCEDENCIA DEL RECURSO DE APELACIÓN / REQUISITOS DE VIABILIDAD / LEGITIMACIÓN</w:t>
      </w:r>
      <w:r w:rsidR="00147E43">
        <w:rPr>
          <w:rFonts w:ascii="Arial" w:hAnsi="Arial" w:cs="Arial"/>
          <w:b/>
          <w:bCs/>
          <w:iCs/>
          <w:sz w:val="20"/>
          <w:szCs w:val="20"/>
          <w:lang w:val="es-419" w:eastAsia="fr-FR"/>
        </w:rPr>
        <w:t xml:space="preserve"> O INTERÉS</w:t>
      </w:r>
      <w:r w:rsidR="002C554C">
        <w:rPr>
          <w:rFonts w:ascii="Arial" w:hAnsi="Arial" w:cs="Arial"/>
          <w:b/>
          <w:bCs/>
          <w:iCs/>
          <w:sz w:val="20"/>
          <w:szCs w:val="20"/>
          <w:lang w:val="es-419" w:eastAsia="fr-FR"/>
        </w:rPr>
        <w:t xml:space="preserve">, OPORTUNIDAD, PROCEDENCIA Y </w:t>
      </w:r>
      <w:r w:rsidRPr="007E6BB2">
        <w:rPr>
          <w:rFonts w:ascii="Arial" w:hAnsi="Arial" w:cs="Arial"/>
          <w:b/>
          <w:sz w:val="20"/>
          <w:szCs w:val="20"/>
          <w:lang w:val="es-419"/>
        </w:rPr>
        <w:t xml:space="preserve">SUSTENTACIÓN </w:t>
      </w:r>
      <w:r w:rsidR="002C554C">
        <w:rPr>
          <w:rFonts w:ascii="Arial" w:hAnsi="Arial" w:cs="Arial"/>
          <w:b/>
          <w:sz w:val="20"/>
          <w:szCs w:val="20"/>
          <w:lang w:val="es-419"/>
        </w:rPr>
        <w:t>/ ESTA ÚL</w:t>
      </w:r>
      <w:r w:rsidR="00147E43">
        <w:rPr>
          <w:rFonts w:ascii="Arial" w:hAnsi="Arial" w:cs="Arial"/>
          <w:b/>
          <w:sz w:val="20"/>
          <w:szCs w:val="20"/>
          <w:lang w:val="es-419"/>
        </w:rPr>
        <w:t xml:space="preserve">TIMA DEBE SER </w:t>
      </w:r>
      <w:r w:rsidRPr="007E6BB2">
        <w:rPr>
          <w:rFonts w:ascii="Arial" w:hAnsi="Arial" w:cs="Arial"/>
          <w:b/>
          <w:sz w:val="20"/>
          <w:szCs w:val="20"/>
          <w:lang w:val="es-419"/>
        </w:rPr>
        <w:t xml:space="preserve">COMPLETA </w:t>
      </w:r>
      <w:r w:rsidRPr="00E32969">
        <w:rPr>
          <w:rFonts w:ascii="Arial" w:hAnsi="Arial" w:cs="Arial"/>
          <w:b/>
          <w:bCs/>
          <w:iCs/>
          <w:sz w:val="20"/>
          <w:szCs w:val="20"/>
          <w:lang w:val="es-419" w:eastAsia="fr-FR"/>
        </w:rPr>
        <w:t xml:space="preserve">/ </w:t>
      </w:r>
      <w:r w:rsidR="00147E43">
        <w:rPr>
          <w:rFonts w:ascii="Arial" w:hAnsi="Arial" w:cs="Arial"/>
          <w:b/>
          <w:bCs/>
          <w:iCs/>
          <w:sz w:val="20"/>
          <w:szCs w:val="20"/>
          <w:lang w:val="es-419" w:eastAsia="fr-FR"/>
        </w:rPr>
        <w:t>ESTO ES, COMPRENDER TODOS LOS ARGUMENTOS DE LA DECISIÓN APELADA.</w:t>
      </w:r>
    </w:p>
    <w:p w14:paraId="50B42CCE" w14:textId="77777777" w:rsidR="007E6BB2" w:rsidRPr="00E32969" w:rsidRDefault="007E6BB2" w:rsidP="007E6BB2">
      <w:pPr>
        <w:jc w:val="both"/>
        <w:rPr>
          <w:rFonts w:ascii="Arial" w:hAnsi="Arial" w:cs="Arial"/>
          <w:lang w:val="es-419"/>
        </w:rPr>
      </w:pPr>
    </w:p>
    <w:p w14:paraId="2B27B0A1" w14:textId="11425C97" w:rsidR="007E6BB2" w:rsidRPr="00E32969" w:rsidRDefault="00FB7AD5" w:rsidP="007E6BB2">
      <w:pPr>
        <w:jc w:val="both"/>
        <w:rPr>
          <w:rFonts w:ascii="Arial" w:hAnsi="Arial" w:cs="Arial"/>
          <w:lang w:val="es-419"/>
        </w:rPr>
      </w:pPr>
      <w:r w:rsidRPr="00FB7AD5">
        <w:rPr>
          <w:rFonts w:ascii="Arial" w:hAnsi="Arial" w:cs="Arial"/>
          <w:lang w:val="es-419"/>
        </w:rPr>
        <w:t>LOS REQUISITOS DE VIABILIDAD. Deben siempre concurrir, se les denomina también de viabilidad, trámite, o condiciones para tener la posibilidad de recurrir, al decir de la doctrina procesal nacional, a efectos de examinar el tema de apelación.</w:t>
      </w:r>
      <w:r>
        <w:rPr>
          <w:rFonts w:ascii="Arial" w:hAnsi="Arial" w:cs="Arial"/>
          <w:lang w:val="es-419"/>
        </w:rPr>
        <w:t xml:space="preserve"> (…)</w:t>
      </w:r>
    </w:p>
    <w:p w14:paraId="2CAFE981" w14:textId="77777777" w:rsidR="007E6BB2" w:rsidRPr="00E32969" w:rsidRDefault="007E6BB2" w:rsidP="007E6BB2">
      <w:pPr>
        <w:jc w:val="both"/>
        <w:rPr>
          <w:rFonts w:ascii="Arial" w:hAnsi="Arial" w:cs="Arial"/>
          <w:lang w:val="es-419"/>
        </w:rPr>
      </w:pPr>
    </w:p>
    <w:p w14:paraId="739DCB9B" w14:textId="17BCEF67" w:rsidR="007E6BB2" w:rsidRDefault="008534B2" w:rsidP="007E6BB2">
      <w:pPr>
        <w:jc w:val="both"/>
        <w:rPr>
          <w:rFonts w:ascii="Arial" w:hAnsi="Arial" w:cs="Arial"/>
          <w:lang w:val="es-419"/>
        </w:rPr>
      </w:pPr>
      <w:r w:rsidRPr="008534B2">
        <w:rPr>
          <w:rFonts w:ascii="Arial" w:hAnsi="Arial" w:cs="Arial"/>
          <w:lang w:val="es-419"/>
        </w:rPr>
        <w:t>Se reconoce que son cuatro (4), a saber: (i) La legitimación o interés, (ii) La oportunidad, (iii) La procedencia; y, (iv) Las cargas procesales (Sustentación, expedición de copias, etc.), los tres primeros generan la inadmisibilidad del recurso mientras que el cuarto provoca deserción</w:t>
      </w:r>
      <w:r>
        <w:rPr>
          <w:rFonts w:ascii="Arial" w:hAnsi="Arial" w:cs="Arial"/>
          <w:lang w:val="es-419"/>
        </w:rPr>
        <w:t>…</w:t>
      </w:r>
    </w:p>
    <w:p w14:paraId="07990009" w14:textId="77777777" w:rsidR="007E6BB2" w:rsidRDefault="007E6BB2" w:rsidP="007E6BB2">
      <w:pPr>
        <w:jc w:val="both"/>
        <w:rPr>
          <w:rFonts w:ascii="Arial" w:hAnsi="Arial" w:cs="Arial"/>
          <w:lang w:val="es-419"/>
        </w:rPr>
      </w:pPr>
    </w:p>
    <w:p w14:paraId="13A2FD2A" w14:textId="0488D0DB" w:rsidR="007E6BB2" w:rsidRPr="00E32969" w:rsidRDefault="008534B2" w:rsidP="007E6BB2">
      <w:pPr>
        <w:jc w:val="both"/>
        <w:rPr>
          <w:rFonts w:ascii="Arial" w:hAnsi="Arial" w:cs="Arial"/>
          <w:lang w:val="es-419"/>
        </w:rPr>
      </w:pPr>
      <w:r>
        <w:rPr>
          <w:rFonts w:ascii="Arial" w:hAnsi="Arial" w:cs="Arial"/>
          <w:lang w:val="es-419"/>
        </w:rPr>
        <w:t xml:space="preserve">… </w:t>
      </w:r>
      <w:r w:rsidRPr="008534B2">
        <w:rPr>
          <w:rFonts w:ascii="Arial" w:hAnsi="Arial" w:cs="Arial"/>
          <w:lang w:val="es-419"/>
        </w:rPr>
        <w:t>aquí se echa de menos parcialmente la sustentación, como carga procesal del recurrente, dado que se pretermitió frente a la extemporaneidad para proponer la nulidad; por esta razón devendrá la confirmación de la decisión suplicada</w:t>
      </w:r>
      <w:r>
        <w:rPr>
          <w:rFonts w:ascii="Arial" w:hAnsi="Arial" w:cs="Arial"/>
          <w:lang w:val="es-419"/>
        </w:rPr>
        <w:t>…</w:t>
      </w:r>
    </w:p>
    <w:p w14:paraId="6ED6E7F5" w14:textId="74794E6F" w:rsidR="007E6BB2" w:rsidRDefault="007E6BB2" w:rsidP="007E6BB2">
      <w:pPr>
        <w:jc w:val="both"/>
        <w:rPr>
          <w:rFonts w:ascii="Arial" w:hAnsi="Arial" w:cs="Arial"/>
        </w:rPr>
      </w:pPr>
    </w:p>
    <w:p w14:paraId="6CC2EC63" w14:textId="25C9B7C4" w:rsidR="00BE6221" w:rsidRDefault="00BE6221" w:rsidP="007E6BB2">
      <w:pPr>
        <w:jc w:val="both"/>
        <w:rPr>
          <w:rFonts w:ascii="Arial" w:hAnsi="Arial" w:cs="Arial"/>
        </w:rPr>
      </w:pPr>
      <w:r w:rsidRPr="00BE6221">
        <w:rPr>
          <w:rFonts w:ascii="Arial" w:hAnsi="Arial" w:cs="Arial"/>
        </w:rPr>
        <w:t xml:space="preserve">LA SUSTENTACIÓN DEL RECURSO. Se entiende como la exposición de las razones y fundamentos de porqué la “(…) providencia está errada, con el fin de que proceda a modificarla o revocarla, por cuanto es evidente </w:t>
      </w:r>
      <w:r w:rsidR="001A1266" w:rsidRPr="00BE6221">
        <w:rPr>
          <w:rFonts w:ascii="Arial" w:hAnsi="Arial" w:cs="Arial"/>
        </w:rPr>
        <w:t>que</w:t>
      </w:r>
      <w:r w:rsidRPr="00BE6221">
        <w:rPr>
          <w:rFonts w:ascii="Arial" w:hAnsi="Arial" w:cs="Arial"/>
        </w:rPr>
        <w:t xml:space="preserve"> si el juez no tiene esa base, no le es dable entrar a resolver (…)”.  No basta el mero deseo de la parte de recurrir una determinada providencia, debe indicar los motivos de su inconformidad, debidamente fundamentados.</w:t>
      </w:r>
      <w:r w:rsidR="001A1266">
        <w:rPr>
          <w:rFonts w:ascii="Arial" w:hAnsi="Arial" w:cs="Arial"/>
        </w:rPr>
        <w:t xml:space="preserve"> (…)</w:t>
      </w:r>
    </w:p>
    <w:p w14:paraId="7701CFF4" w14:textId="77777777" w:rsidR="00BE6221" w:rsidRDefault="00BE6221" w:rsidP="007E6BB2">
      <w:pPr>
        <w:jc w:val="both"/>
        <w:rPr>
          <w:rFonts w:ascii="Arial" w:hAnsi="Arial" w:cs="Arial"/>
        </w:rPr>
      </w:pPr>
    </w:p>
    <w:p w14:paraId="458D8895" w14:textId="122F12A4" w:rsidR="007E6BB2" w:rsidRDefault="001A1266" w:rsidP="007E6BB2">
      <w:pPr>
        <w:jc w:val="both"/>
        <w:rPr>
          <w:rFonts w:ascii="Arial" w:hAnsi="Arial" w:cs="Arial"/>
        </w:rPr>
      </w:pPr>
      <w:r w:rsidRPr="001A1266">
        <w:rPr>
          <w:rFonts w:ascii="Arial" w:hAnsi="Arial" w:cs="Arial"/>
        </w:rPr>
        <w:t>Los recursos no consisten en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w:t>
      </w:r>
    </w:p>
    <w:p w14:paraId="61BD893A" w14:textId="4E6145C1" w:rsidR="007E6BB2" w:rsidRDefault="007E6BB2" w:rsidP="007E6BB2">
      <w:pPr>
        <w:jc w:val="both"/>
        <w:rPr>
          <w:rFonts w:ascii="Arial" w:hAnsi="Arial" w:cs="Arial"/>
        </w:rPr>
      </w:pPr>
    </w:p>
    <w:p w14:paraId="04BDED82" w14:textId="39A75B66" w:rsidR="001A1266" w:rsidRDefault="001A1266" w:rsidP="007E6BB2">
      <w:pPr>
        <w:jc w:val="both"/>
        <w:rPr>
          <w:rFonts w:ascii="Arial" w:hAnsi="Arial" w:cs="Arial"/>
        </w:rPr>
      </w:pPr>
    </w:p>
    <w:p w14:paraId="646A31F7" w14:textId="77777777" w:rsidR="001A1266" w:rsidRDefault="001A1266" w:rsidP="007E6BB2">
      <w:pPr>
        <w:jc w:val="both"/>
        <w:rPr>
          <w:rFonts w:ascii="Arial" w:hAnsi="Arial" w:cs="Arial"/>
        </w:rPr>
      </w:pPr>
    </w:p>
    <w:bookmarkEnd w:id="0"/>
    <w:p w14:paraId="7C2ABFD6" w14:textId="77777777" w:rsidR="006C6544" w:rsidRPr="00276704" w:rsidRDefault="54C89C01" w:rsidP="006C6544">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7C2AC02F" wp14:editId="34B88AD0">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64E1BE3" w14:textId="77777777" w:rsidR="00141E43" w:rsidRPr="00A44D97" w:rsidRDefault="00141E43" w:rsidP="00141E43">
      <w:pPr>
        <w:spacing w:line="360" w:lineRule="auto"/>
        <w:jc w:val="center"/>
        <w:rPr>
          <w:rFonts w:ascii="Georgia" w:hAnsi="Georgia" w:cs="Arial"/>
          <w:w w:val="140"/>
          <w:sz w:val="14"/>
          <w:szCs w:val="22"/>
        </w:rPr>
      </w:pPr>
    </w:p>
    <w:p w14:paraId="2D90C8E1" w14:textId="77777777" w:rsidR="00141E43" w:rsidRPr="00A44D97" w:rsidRDefault="00141E43" w:rsidP="00141E43">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26772B7E" w14:textId="77777777" w:rsidR="00141E43" w:rsidRPr="00A44D97" w:rsidRDefault="00141E43" w:rsidP="00141E43">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44CC4CC0" w14:textId="77777777" w:rsidR="00141E43" w:rsidRPr="00A44D97" w:rsidRDefault="00141E43" w:rsidP="00141E43">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6CA942A1" w14:textId="77777777" w:rsidR="00141E43" w:rsidRPr="00A44D97" w:rsidRDefault="00141E43" w:rsidP="00141E43">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346E155F" w14:textId="77777777" w:rsidR="00141E43" w:rsidRDefault="00141E43" w:rsidP="00141E43">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7E36B327" w14:textId="77777777" w:rsidR="00141E43" w:rsidRDefault="00141E43" w:rsidP="00141E43">
      <w:pPr>
        <w:spacing w:line="360" w:lineRule="auto"/>
        <w:jc w:val="center"/>
        <w:rPr>
          <w:rFonts w:ascii="Georgia" w:hAnsi="Georgia" w:cs="Arial"/>
          <w:w w:val="140"/>
          <w:sz w:val="18"/>
          <w:szCs w:val="18"/>
          <w:lang w:val="es-CO"/>
        </w:rPr>
      </w:pPr>
    </w:p>
    <w:p w14:paraId="6C13D426" w14:textId="2E73EE20" w:rsidR="008D0063" w:rsidRPr="00FF72C9" w:rsidRDefault="008D0063" w:rsidP="007E6BB2">
      <w:pPr>
        <w:pStyle w:val="Textoindependiente"/>
        <w:spacing w:line="276" w:lineRule="auto"/>
        <w:jc w:val="center"/>
        <w:rPr>
          <w:rFonts w:ascii="Georgia" w:hAnsi="Georgia" w:cs="Arial"/>
          <w:b/>
          <w:szCs w:val="24"/>
          <w:lang w:val="es-CO"/>
        </w:rPr>
      </w:pPr>
      <w:bookmarkStart w:id="1" w:name="_GoBack"/>
      <w:r w:rsidRPr="00FF72C9">
        <w:rPr>
          <w:rFonts w:ascii="Georgia" w:hAnsi="Georgia" w:cs="Arial"/>
          <w:b/>
          <w:szCs w:val="24"/>
          <w:lang w:val="es-CO"/>
        </w:rPr>
        <w:t>A</w:t>
      </w:r>
      <w:r w:rsidR="006C5DBF" w:rsidRPr="00FF72C9">
        <w:rPr>
          <w:rFonts w:ascii="Georgia" w:hAnsi="Georgia" w:cs="Arial"/>
          <w:b/>
          <w:szCs w:val="24"/>
          <w:lang w:val="es-CO"/>
        </w:rPr>
        <w:t>C</w:t>
      </w:r>
      <w:r w:rsidR="75EB3F38" w:rsidRPr="00FF72C9">
        <w:rPr>
          <w:rFonts w:ascii="Georgia" w:hAnsi="Georgia" w:cs="Arial"/>
          <w:b/>
          <w:szCs w:val="24"/>
          <w:lang w:val="es-CO"/>
        </w:rPr>
        <w:t>-</w:t>
      </w:r>
      <w:r w:rsidRPr="00FF72C9">
        <w:rPr>
          <w:rFonts w:ascii="Georgia" w:hAnsi="Georgia" w:cs="Arial"/>
          <w:b/>
          <w:szCs w:val="24"/>
          <w:lang w:val="es-CO"/>
        </w:rPr>
        <w:t>0</w:t>
      </w:r>
      <w:r w:rsidR="001E5015" w:rsidRPr="00FF72C9">
        <w:rPr>
          <w:rFonts w:ascii="Georgia" w:hAnsi="Georgia" w:cs="Arial"/>
          <w:b/>
          <w:szCs w:val="24"/>
          <w:lang w:val="es-CO"/>
        </w:rPr>
        <w:t>101</w:t>
      </w:r>
      <w:r w:rsidRPr="00FF72C9">
        <w:rPr>
          <w:rFonts w:ascii="Georgia" w:hAnsi="Georgia" w:cs="Arial"/>
          <w:b/>
          <w:szCs w:val="24"/>
          <w:lang w:val="es-CO"/>
        </w:rPr>
        <w:t>-2021</w:t>
      </w:r>
    </w:p>
    <w:bookmarkEnd w:id="1"/>
    <w:p w14:paraId="7C2ABFE6" w14:textId="77777777" w:rsidR="006C6544" w:rsidRPr="00141E43" w:rsidRDefault="006C6544" w:rsidP="007E6BB2">
      <w:pPr>
        <w:pStyle w:val="Ttulo"/>
        <w:pBdr>
          <w:bottom w:val="double" w:sz="6" w:space="1" w:color="auto"/>
        </w:pBdr>
        <w:spacing w:line="276" w:lineRule="auto"/>
        <w:rPr>
          <w:rFonts w:ascii="Georgia" w:hAnsi="Georgia"/>
          <w:b w:val="0"/>
          <w:bCs/>
          <w:i w:val="0"/>
          <w:iCs/>
          <w:spacing w:val="-3"/>
          <w:szCs w:val="24"/>
        </w:rPr>
      </w:pPr>
    </w:p>
    <w:p w14:paraId="0945F70A" w14:textId="77777777" w:rsidR="00A02517" w:rsidRPr="00141E43" w:rsidRDefault="00A02517" w:rsidP="007E6BB2">
      <w:pPr>
        <w:spacing w:line="276" w:lineRule="auto"/>
        <w:jc w:val="center"/>
        <w:rPr>
          <w:rFonts w:ascii="Georgia" w:hAnsi="Georgia" w:cs="Arial"/>
          <w:smallCaps/>
          <w:sz w:val="24"/>
          <w:szCs w:val="24"/>
        </w:rPr>
      </w:pPr>
      <w:bookmarkStart w:id="2" w:name="_Hlk63144843"/>
    </w:p>
    <w:p w14:paraId="696BC1DF" w14:textId="0B18F676" w:rsidR="00AA4E6B" w:rsidRPr="00141E43" w:rsidRDefault="00D33A4E" w:rsidP="007E6BB2">
      <w:pPr>
        <w:tabs>
          <w:tab w:val="left" w:pos="1215"/>
          <w:tab w:val="center" w:pos="4702"/>
        </w:tabs>
        <w:spacing w:line="276" w:lineRule="auto"/>
        <w:rPr>
          <w:rFonts w:ascii="Georgia" w:hAnsi="Georgia" w:cs="Arial"/>
          <w:smallCaps/>
          <w:sz w:val="24"/>
          <w:szCs w:val="24"/>
        </w:rPr>
      </w:pPr>
      <w:r w:rsidRPr="00141E43">
        <w:rPr>
          <w:rFonts w:ascii="Georgia" w:hAnsi="Georgia" w:cs="Arial"/>
          <w:smallCaps/>
          <w:sz w:val="24"/>
          <w:szCs w:val="24"/>
        </w:rPr>
        <w:tab/>
      </w:r>
      <w:r w:rsidR="001E5015" w:rsidRPr="00141E43">
        <w:rPr>
          <w:rFonts w:ascii="Georgia" w:hAnsi="Georgia" w:cs="Arial"/>
          <w:smallCaps/>
          <w:sz w:val="24"/>
          <w:szCs w:val="24"/>
        </w:rPr>
        <w:t xml:space="preserve">Treinta </w:t>
      </w:r>
      <w:r w:rsidR="00AA4E6B" w:rsidRPr="00141E43">
        <w:rPr>
          <w:rFonts w:ascii="Georgia" w:hAnsi="Georgia" w:cs="Arial"/>
          <w:smallCaps/>
          <w:sz w:val="24"/>
          <w:szCs w:val="24"/>
        </w:rPr>
        <w:t>(</w:t>
      </w:r>
      <w:r w:rsidR="001E5015" w:rsidRPr="00141E43">
        <w:rPr>
          <w:rFonts w:ascii="Georgia" w:hAnsi="Georgia" w:cs="Arial"/>
          <w:smallCaps/>
          <w:sz w:val="24"/>
          <w:szCs w:val="24"/>
        </w:rPr>
        <w:t>30</w:t>
      </w:r>
      <w:r w:rsidR="00AA4E6B" w:rsidRPr="00141E43">
        <w:rPr>
          <w:rFonts w:ascii="Georgia" w:hAnsi="Georgia" w:cs="Arial"/>
          <w:smallCaps/>
          <w:sz w:val="24"/>
          <w:szCs w:val="24"/>
        </w:rPr>
        <w:t xml:space="preserve">) de </w:t>
      </w:r>
      <w:r w:rsidR="000F5B10" w:rsidRPr="00141E43">
        <w:rPr>
          <w:rFonts w:ascii="Georgia" w:hAnsi="Georgia" w:cs="Arial"/>
          <w:smallCaps/>
          <w:sz w:val="24"/>
          <w:szCs w:val="24"/>
        </w:rPr>
        <w:t>ju</w:t>
      </w:r>
      <w:r w:rsidR="00172673" w:rsidRPr="00141E43">
        <w:rPr>
          <w:rFonts w:ascii="Georgia" w:hAnsi="Georgia" w:cs="Arial"/>
          <w:smallCaps/>
          <w:sz w:val="24"/>
          <w:szCs w:val="24"/>
        </w:rPr>
        <w:t>l</w:t>
      </w:r>
      <w:r w:rsidR="000F5B10" w:rsidRPr="00141E43">
        <w:rPr>
          <w:rFonts w:ascii="Georgia" w:hAnsi="Georgia" w:cs="Arial"/>
          <w:smallCaps/>
          <w:sz w:val="24"/>
          <w:szCs w:val="24"/>
        </w:rPr>
        <w:t xml:space="preserve">io </w:t>
      </w:r>
      <w:r w:rsidR="00AA4E6B" w:rsidRPr="00141E43">
        <w:rPr>
          <w:rFonts w:ascii="Georgia" w:hAnsi="Georgia" w:cs="Arial"/>
          <w:smallCaps/>
          <w:sz w:val="24"/>
          <w:szCs w:val="24"/>
        </w:rPr>
        <w:t>de dos mil veint</w:t>
      </w:r>
      <w:r w:rsidR="00C6424D" w:rsidRPr="00141E43">
        <w:rPr>
          <w:rFonts w:ascii="Georgia" w:hAnsi="Georgia" w:cs="Arial"/>
          <w:smallCaps/>
          <w:sz w:val="24"/>
          <w:szCs w:val="24"/>
        </w:rPr>
        <w:t>iuno</w:t>
      </w:r>
      <w:r w:rsidR="00AA4E6B" w:rsidRPr="00141E43">
        <w:rPr>
          <w:rFonts w:ascii="Georgia" w:hAnsi="Georgia" w:cs="Arial"/>
          <w:smallCaps/>
          <w:sz w:val="24"/>
          <w:szCs w:val="24"/>
        </w:rPr>
        <w:t xml:space="preserve"> (202</w:t>
      </w:r>
      <w:r w:rsidR="00C6424D" w:rsidRPr="00141E43">
        <w:rPr>
          <w:rFonts w:ascii="Georgia" w:hAnsi="Georgia" w:cs="Arial"/>
          <w:smallCaps/>
          <w:sz w:val="24"/>
          <w:szCs w:val="24"/>
        </w:rPr>
        <w:t>1</w:t>
      </w:r>
      <w:r w:rsidR="00AA4E6B" w:rsidRPr="00141E43">
        <w:rPr>
          <w:rFonts w:ascii="Georgia" w:hAnsi="Georgia" w:cs="Arial"/>
          <w:smallCaps/>
          <w:sz w:val="24"/>
          <w:szCs w:val="24"/>
        </w:rPr>
        <w:t>).</w:t>
      </w:r>
    </w:p>
    <w:bookmarkEnd w:id="2"/>
    <w:p w14:paraId="7C2ABFE9" w14:textId="74A9309C" w:rsidR="008F4BA2" w:rsidRPr="00141E43" w:rsidRDefault="008F4BA2" w:rsidP="007E6BB2">
      <w:pPr>
        <w:spacing w:line="276" w:lineRule="auto"/>
        <w:jc w:val="center"/>
        <w:rPr>
          <w:rFonts w:ascii="Georgia" w:hAnsi="Georgia"/>
          <w:sz w:val="24"/>
          <w:szCs w:val="24"/>
        </w:rPr>
      </w:pPr>
    </w:p>
    <w:p w14:paraId="19BAC3D7" w14:textId="77777777" w:rsidR="00C60906" w:rsidRPr="00141E43" w:rsidRDefault="00C60906" w:rsidP="007E6BB2">
      <w:pPr>
        <w:spacing w:line="276" w:lineRule="auto"/>
        <w:jc w:val="center"/>
        <w:rPr>
          <w:rFonts w:ascii="Georgia" w:hAnsi="Georgia"/>
          <w:sz w:val="24"/>
          <w:szCs w:val="24"/>
        </w:rPr>
      </w:pPr>
    </w:p>
    <w:p w14:paraId="2FB1B2AA" w14:textId="2170FDAD" w:rsidR="00AA4E6B" w:rsidRPr="00141E43" w:rsidRDefault="00AA4E6B" w:rsidP="007E6BB2">
      <w:pPr>
        <w:pStyle w:val="Textoindependiente"/>
        <w:numPr>
          <w:ilvl w:val="0"/>
          <w:numId w:val="15"/>
        </w:numPr>
        <w:spacing w:line="276" w:lineRule="auto"/>
        <w:rPr>
          <w:rFonts w:ascii="Georgia" w:hAnsi="Georgia"/>
          <w:b/>
          <w:smallCaps/>
          <w:szCs w:val="24"/>
        </w:rPr>
      </w:pPr>
      <w:r w:rsidRPr="00141E43">
        <w:rPr>
          <w:rFonts w:ascii="Georgia" w:hAnsi="Georgia"/>
          <w:b/>
          <w:smallCaps/>
          <w:szCs w:val="24"/>
        </w:rPr>
        <w:t>EL ASUNTO POR DECIDIR</w:t>
      </w:r>
    </w:p>
    <w:p w14:paraId="7C2ABFEB" w14:textId="77777777" w:rsidR="009F1786" w:rsidRPr="00141E43" w:rsidRDefault="009F1786" w:rsidP="007E6BB2">
      <w:pPr>
        <w:pStyle w:val="Sinespaciado"/>
        <w:spacing w:line="276" w:lineRule="auto"/>
        <w:jc w:val="both"/>
        <w:rPr>
          <w:rFonts w:ascii="Georgia" w:hAnsi="Georgia" w:cs="Arial"/>
          <w:lang w:val="es-CO"/>
        </w:rPr>
      </w:pPr>
    </w:p>
    <w:p w14:paraId="7B48FCDA" w14:textId="7ED186B3" w:rsidR="006C5DBF" w:rsidRPr="00141E43" w:rsidRDefault="006C5DBF" w:rsidP="007E6BB2">
      <w:pPr>
        <w:pStyle w:val="Sinespaciado"/>
        <w:spacing w:line="276" w:lineRule="auto"/>
        <w:jc w:val="both"/>
        <w:rPr>
          <w:rFonts w:ascii="Georgia" w:hAnsi="Georgia" w:cs="Arial"/>
        </w:rPr>
      </w:pPr>
      <w:r w:rsidRPr="00141E43">
        <w:rPr>
          <w:rFonts w:ascii="Georgia" w:hAnsi="Georgia" w:cs="Arial"/>
        </w:rPr>
        <w:lastRenderedPageBreak/>
        <w:t xml:space="preserve">El recurso propuesto por el </w:t>
      </w:r>
      <w:r w:rsidR="00172673" w:rsidRPr="00141E43">
        <w:rPr>
          <w:rFonts w:ascii="Georgia" w:hAnsi="Georgia" w:cs="Arial"/>
        </w:rPr>
        <w:t xml:space="preserve">curador </w:t>
      </w:r>
      <w:r w:rsidR="00172673" w:rsidRPr="00141E43">
        <w:rPr>
          <w:rFonts w:ascii="Georgia" w:hAnsi="Georgia" w:cs="Arial"/>
          <w:i/>
        </w:rPr>
        <w:t>ad litem</w:t>
      </w:r>
      <w:r w:rsidR="00172673" w:rsidRPr="00141E43">
        <w:rPr>
          <w:rFonts w:ascii="Georgia" w:hAnsi="Georgia" w:cs="Arial"/>
        </w:rPr>
        <w:t xml:space="preserve"> de las personas indeterminadas</w:t>
      </w:r>
      <w:r w:rsidRPr="00141E43">
        <w:rPr>
          <w:rFonts w:ascii="Georgia" w:hAnsi="Georgia" w:cs="Arial"/>
        </w:rPr>
        <w:t xml:space="preserve">, contra el proveído </w:t>
      </w:r>
      <w:r w:rsidR="005E234B" w:rsidRPr="00141E43">
        <w:rPr>
          <w:rFonts w:ascii="Georgia" w:hAnsi="Georgia" w:cs="Arial"/>
        </w:rPr>
        <w:t>de fecha 1</w:t>
      </w:r>
      <w:r w:rsidR="00172673" w:rsidRPr="00141E43">
        <w:rPr>
          <w:rFonts w:ascii="Georgia" w:hAnsi="Georgia" w:cs="Arial"/>
        </w:rPr>
        <w:t>1</w:t>
      </w:r>
      <w:r w:rsidR="005E234B" w:rsidRPr="00141E43">
        <w:rPr>
          <w:rFonts w:ascii="Georgia" w:hAnsi="Georgia" w:cs="Arial"/>
        </w:rPr>
        <w:t>-03-2021</w:t>
      </w:r>
      <w:r w:rsidR="00AE375B" w:rsidRPr="00141E43">
        <w:rPr>
          <w:rFonts w:ascii="Georgia" w:hAnsi="Georgia" w:cs="Arial"/>
        </w:rPr>
        <w:t xml:space="preserve"> (Recibido el </w:t>
      </w:r>
      <w:r w:rsidR="00172673" w:rsidRPr="00141E43">
        <w:rPr>
          <w:rFonts w:ascii="Georgia" w:hAnsi="Georgia" w:cs="Arial"/>
        </w:rPr>
        <w:t>01</w:t>
      </w:r>
      <w:r w:rsidR="00AE375B" w:rsidRPr="00141E43">
        <w:rPr>
          <w:rFonts w:ascii="Georgia" w:hAnsi="Georgia" w:cs="Arial"/>
        </w:rPr>
        <w:t>-0</w:t>
      </w:r>
      <w:r w:rsidR="00172673" w:rsidRPr="00141E43">
        <w:rPr>
          <w:rFonts w:ascii="Georgia" w:hAnsi="Georgia" w:cs="Arial"/>
        </w:rPr>
        <w:t>7</w:t>
      </w:r>
      <w:r w:rsidR="00AE375B" w:rsidRPr="00141E43">
        <w:rPr>
          <w:rFonts w:ascii="Georgia" w:hAnsi="Georgia" w:cs="Arial"/>
        </w:rPr>
        <w:t>-2021)</w:t>
      </w:r>
      <w:r w:rsidR="00385C3F" w:rsidRPr="00141E43">
        <w:rPr>
          <w:rFonts w:ascii="Georgia" w:hAnsi="Georgia" w:cs="Arial"/>
        </w:rPr>
        <w:t>,</w:t>
      </w:r>
      <w:r w:rsidR="005E234B" w:rsidRPr="00141E43">
        <w:rPr>
          <w:rFonts w:ascii="Georgia" w:hAnsi="Georgia" w:cs="Arial"/>
        </w:rPr>
        <w:t xml:space="preserve"> </w:t>
      </w:r>
      <w:r w:rsidR="00CA7E6B" w:rsidRPr="00141E43">
        <w:rPr>
          <w:rFonts w:ascii="Georgia" w:hAnsi="Georgia" w:cs="Arial"/>
        </w:rPr>
        <w:t>expedido por la Magistrada Adriana Patricia Día</w:t>
      </w:r>
      <w:r w:rsidR="00FD7428" w:rsidRPr="00141E43">
        <w:rPr>
          <w:rFonts w:ascii="Georgia" w:hAnsi="Georgia" w:cs="Arial"/>
        </w:rPr>
        <w:t xml:space="preserve">z Ramírez, que </w:t>
      </w:r>
      <w:r w:rsidR="00172673" w:rsidRPr="00141E43">
        <w:rPr>
          <w:rFonts w:ascii="Georgia" w:hAnsi="Georgia" w:cs="Arial"/>
        </w:rPr>
        <w:t>rechazó de plano una nulidad</w:t>
      </w:r>
      <w:r w:rsidRPr="00141E43">
        <w:rPr>
          <w:rFonts w:ascii="Georgia" w:hAnsi="Georgia" w:cs="Arial"/>
        </w:rPr>
        <w:t xml:space="preserve">, según las consideraciones jurídicas que siguen. </w:t>
      </w:r>
    </w:p>
    <w:p w14:paraId="7C2ABFED" w14:textId="38FED3A5" w:rsidR="009F1786" w:rsidRPr="00141E43" w:rsidRDefault="009F1786" w:rsidP="007E6BB2">
      <w:pPr>
        <w:pStyle w:val="Sinespaciado"/>
        <w:tabs>
          <w:tab w:val="left" w:pos="2355"/>
        </w:tabs>
        <w:spacing w:line="276" w:lineRule="auto"/>
        <w:jc w:val="both"/>
        <w:rPr>
          <w:rFonts w:ascii="Georgia" w:hAnsi="Georgia" w:cs="Arial"/>
          <w:lang w:val="es-CO"/>
        </w:rPr>
      </w:pPr>
    </w:p>
    <w:p w14:paraId="7C2ABFEF" w14:textId="2ADF1481" w:rsidR="009F1786" w:rsidRPr="00141E43" w:rsidRDefault="006C17B6" w:rsidP="007E6BB2">
      <w:pPr>
        <w:pStyle w:val="Textoindependiente"/>
        <w:numPr>
          <w:ilvl w:val="0"/>
          <w:numId w:val="15"/>
        </w:numPr>
        <w:spacing w:line="276" w:lineRule="auto"/>
        <w:rPr>
          <w:rFonts w:ascii="Georgia" w:hAnsi="Georgia"/>
          <w:b/>
          <w:smallCaps/>
          <w:szCs w:val="24"/>
        </w:rPr>
      </w:pPr>
      <w:r w:rsidRPr="00141E43">
        <w:rPr>
          <w:rFonts w:ascii="Georgia" w:hAnsi="Georgia"/>
          <w:b/>
          <w:smallCaps/>
          <w:szCs w:val="24"/>
        </w:rPr>
        <w:t>La providencia recurrida</w:t>
      </w:r>
    </w:p>
    <w:p w14:paraId="27FFDAD4" w14:textId="77777777" w:rsidR="006C17B6" w:rsidRPr="00141E43" w:rsidRDefault="006C17B6" w:rsidP="007E6BB2">
      <w:pPr>
        <w:spacing w:line="276" w:lineRule="auto"/>
        <w:jc w:val="both"/>
        <w:rPr>
          <w:rFonts w:ascii="Georgia" w:hAnsi="Georgia" w:cs="Arial"/>
          <w:sz w:val="24"/>
          <w:szCs w:val="24"/>
        </w:rPr>
      </w:pPr>
    </w:p>
    <w:p w14:paraId="2D4B88CD" w14:textId="3AFB6950" w:rsidR="006C5DBF" w:rsidRPr="00141E43" w:rsidRDefault="004A5CF3" w:rsidP="007E6BB2">
      <w:pPr>
        <w:spacing w:line="276" w:lineRule="auto"/>
        <w:jc w:val="both"/>
        <w:rPr>
          <w:rFonts w:ascii="Georgia" w:hAnsi="Georgia" w:cs="Arial"/>
          <w:sz w:val="24"/>
          <w:szCs w:val="24"/>
        </w:rPr>
      </w:pPr>
      <w:r w:rsidRPr="00141E43">
        <w:rPr>
          <w:rFonts w:ascii="Georgia" w:hAnsi="Georgia" w:cs="Arial"/>
          <w:sz w:val="24"/>
          <w:szCs w:val="24"/>
        </w:rPr>
        <w:t>Rechazó de plano la nulidad alegada porque c</w:t>
      </w:r>
      <w:r w:rsidR="00172673" w:rsidRPr="00141E43">
        <w:rPr>
          <w:rFonts w:ascii="Georgia" w:hAnsi="Georgia" w:cs="Arial"/>
          <w:sz w:val="24"/>
          <w:szCs w:val="24"/>
        </w:rPr>
        <w:t xml:space="preserve">onsideró que </w:t>
      </w:r>
      <w:r w:rsidR="00440088" w:rsidRPr="00141E43">
        <w:rPr>
          <w:rFonts w:ascii="Georgia" w:hAnsi="Georgia" w:cs="Arial"/>
          <w:b/>
          <w:sz w:val="24"/>
          <w:szCs w:val="24"/>
        </w:rPr>
        <w:t>(i)</w:t>
      </w:r>
      <w:r w:rsidR="00440088" w:rsidRPr="00141E43">
        <w:rPr>
          <w:rFonts w:ascii="Georgia" w:hAnsi="Georgia" w:cs="Arial"/>
          <w:sz w:val="24"/>
          <w:szCs w:val="24"/>
        </w:rPr>
        <w:t xml:space="preserve"> </w:t>
      </w:r>
      <w:r w:rsidR="00172673" w:rsidRPr="00141E43">
        <w:rPr>
          <w:rFonts w:ascii="Georgia" w:hAnsi="Georgia" w:cs="Arial"/>
          <w:sz w:val="24"/>
          <w:szCs w:val="24"/>
        </w:rPr>
        <w:t xml:space="preserve">el </w:t>
      </w:r>
      <w:r w:rsidRPr="00141E43">
        <w:rPr>
          <w:rFonts w:ascii="Georgia" w:hAnsi="Georgia" w:cs="Arial"/>
          <w:sz w:val="24"/>
          <w:szCs w:val="24"/>
        </w:rPr>
        <w:t xml:space="preserve">curador </w:t>
      </w:r>
      <w:r w:rsidRPr="00141E43">
        <w:rPr>
          <w:rFonts w:ascii="Georgia" w:hAnsi="Georgia" w:cs="Arial"/>
          <w:i/>
          <w:sz w:val="24"/>
          <w:szCs w:val="24"/>
        </w:rPr>
        <w:t>ad litem</w:t>
      </w:r>
      <w:r w:rsidRPr="00141E43">
        <w:rPr>
          <w:rFonts w:ascii="Georgia" w:hAnsi="Georgia" w:cs="Arial"/>
          <w:sz w:val="24"/>
          <w:szCs w:val="24"/>
        </w:rPr>
        <w:t xml:space="preserve"> </w:t>
      </w:r>
      <w:r w:rsidR="00172673" w:rsidRPr="00141E43">
        <w:rPr>
          <w:rFonts w:ascii="Georgia" w:hAnsi="Georgia" w:cs="Arial"/>
          <w:sz w:val="24"/>
          <w:szCs w:val="24"/>
        </w:rPr>
        <w:t>carecía de legitimación para incoar la nulidad</w:t>
      </w:r>
      <w:r w:rsidRPr="00141E43">
        <w:rPr>
          <w:rFonts w:ascii="Georgia" w:hAnsi="Georgia" w:cs="Arial"/>
          <w:sz w:val="24"/>
          <w:szCs w:val="24"/>
        </w:rPr>
        <w:t xml:space="preserve"> por </w:t>
      </w:r>
      <w:r w:rsidR="00172673" w:rsidRPr="00141E43">
        <w:rPr>
          <w:rFonts w:ascii="Georgia" w:hAnsi="Georgia" w:cs="Arial"/>
          <w:sz w:val="24"/>
          <w:szCs w:val="24"/>
        </w:rPr>
        <w:t xml:space="preserve">indebida notificación de </w:t>
      </w:r>
      <w:r w:rsidR="009447CF" w:rsidRPr="00141E43">
        <w:rPr>
          <w:rFonts w:ascii="Georgia" w:hAnsi="Georgia" w:cs="Arial"/>
          <w:sz w:val="24"/>
          <w:szCs w:val="24"/>
        </w:rPr>
        <w:t xml:space="preserve">las personas indeterminadas que </w:t>
      </w:r>
      <w:r w:rsidR="00172673" w:rsidRPr="00141E43">
        <w:rPr>
          <w:rFonts w:ascii="Georgia" w:hAnsi="Georgia" w:cs="Arial"/>
          <w:sz w:val="24"/>
          <w:szCs w:val="24"/>
        </w:rPr>
        <w:t>representa</w:t>
      </w:r>
      <w:r w:rsidRPr="00141E43">
        <w:rPr>
          <w:rFonts w:ascii="Georgia" w:hAnsi="Georgia" w:cs="Arial"/>
          <w:sz w:val="24"/>
          <w:szCs w:val="24"/>
        </w:rPr>
        <w:t>, con apoyo en el artículo 135, CGP;</w:t>
      </w:r>
      <w:r w:rsidR="00172673" w:rsidRPr="00141E43">
        <w:rPr>
          <w:rFonts w:ascii="Georgia" w:hAnsi="Georgia" w:cs="Arial"/>
          <w:sz w:val="24"/>
          <w:szCs w:val="24"/>
        </w:rPr>
        <w:t xml:space="preserve"> también </w:t>
      </w:r>
      <w:r w:rsidR="00FF62F8" w:rsidRPr="00141E43">
        <w:rPr>
          <w:rFonts w:ascii="Georgia" w:hAnsi="Georgia" w:cs="Arial"/>
          <w:b/>
          <w:sz w:val="24"/>
          <w:szCs w:val="24"/>
        </w:rPr>
        <w:t xml:space="preserve">(ii) </w:t>
      </w:r>
      <w:r w:rsidRPr="00141E43">
        <w:rPr>
          <w:rFonts w:ascii="Georgia" w:hAnsi="Georgia" w:cs="Arial"/>
          <w:sz w:val="24"/>
          <w:szCs w:val="24"/>
        </w:rPr>
        <w:t xml:space="preserve">por </w:t>
      </w:r>
      <w:r w:rsidR="00172673" w:rsidRPr="00141E43">
        <w:rPr>
          <w:rFonts w:ascii="Georgia" w:hAnsi="Georgia" w:cs="Arial"/>
          <w:sz w:val="24"/>
          <w:szCs w:val="24"/>
        </w:rPr>
        <w:t>extemporáneo, debió proponerlo inmediatamente fue notificado</w:t>
      </w:r>
      <w:r w:rsidRPr="00141E43">
        <w:rPr>
          <w:rFonts w:ascii="Georgia" w:hAnsi="Georgia" w:cs="Arial"/>
          <w:sz w:val="24"/>
          <w:szCs w:val="24"/>
        </w:rPr>
        <w:t xml:space="preserve"> (2018), no tres años después, pues </w:t>
      </w:r>
      <w:r w:rsidR="00172673" w:rsidRPr="00141E43">
        <w:rPr>
          <w:rFonts w:ascii="Georgia" w:hAnsi="Georgia" w:cs="Arial"/>
          <w:sz w:val="24"/>
          <w:szCs w:val="24"/>
        </w:rPr>
        <w:t>tuvo acceso al expediente</w:t>
      </w:r>
      <w:r w:rsidR="006C5DBF" w:rsidRPr="00141E43">
        <w:rPr>
          <w:rFonts w:ascii="Georgia" w:hAnsi="Georgia" w:cs="Arial"/>
          <w:sz w:val="24"/>
          <w:szCs w:val="24"/>
        </w:rPr>
        <w:t xml:space="preserve"> </w:t>
      </w:r>
      <w:r w:rsidR="006C5DBF" w:rsidRPr="00141E43">
        <w:rPr>
          <w:rFonts w:ascii="Georgia" w:hAnsi="Georgia" w:cs="Arial"/>
          <w:sz w:val="24"/>
          <w:szCs w:val="24"/>
          <w:lang w:val="es-CO"/>
        </w:rPr>
        <w:t>(Carpeta 2ª instancia, pdf. No.</w:t>
      </w:r>
      <w:r w:rsidR="00172673" w:rsidRPr="00141E43">
        <w:rPr>
          <w:rFonts w:ascii="Georgia" w:hAnsi="Georgia" w:cs="Arial"/>
          <w:sz w:val="24"/>
          <w:szCs w:val="24"/>
          <w:lang w:val="es-CO"/>
        </w:rPr>
        <w:t>43</w:t>
      </w:r>
      <w:r w:rsidR="006C5DBF" w:rsidRPr="00141E43">
        <w:rPr>
          <w:rFonts w:ascii="Georgia" w:hAnsi="Georgia" w:cs="Arial"/>
          <w:sz w:val="24"/>
          <w:szCs w:val="24"/>
          <w:lang w:val="es-CO"/>
        </w:rPr>
        <w:t>)</w:t>
      </w:r>
      <w:r w:rsidR="006C5DBF" w:rsidRPr="00141E43">
        <w:rPr>
          <w:rFonts w:ascii="Georgia" w:hAnsi="Georgia" w:cs="Arial"/>
          <w:sz w:val="24"/>
          <w:szCs w:val="24"/>
        </w:rPr>
        <w:t>.</w:t>
      </w:r>
    </w:p>
    <w:p w14:paraId="1DB17EBC" w14:textId="3D57A2C7" w:rsidR="00172673" w:rsidRPr="00141E43" w:rsidRDefault="00172673" w:rsidP="007E6BB2">
      <w:pPr>
        <w:spacing w:line="276" w:lineRule="auto"/>
        <w:jc w:val="both"/>
        <w:rPr>
          <w:rFonts w:ascii="Georgia" w:hAnsi="Georgia" w:cs="Arial"/>
          <w:sz w:val="24"/>
          <w:szCs w:val="24"/>
        </w:rPr>
      </w:pPr>
    </w:p>
    <w:p w14:paraId="7C2ABFF2" w14:textId="3664E86F" w:rsidR="009F1786" w:rsidRPr="00141E43" w:rsidRDefault="00E2193F" w:rsidP="007E6BB2">
      <w:pPr>
        <w:pStyle w:val="Textoindependiente"/>
        <w:numPr>
          <w:ilvl w:val="0"/>
          <w:numId w:val="15"/>
        </w:numPr>
        <w:spacing w:line="276" w:lineRule="auto"/>
        <w:rPr>
          <w:rFonts w:ascii="Georgia" w:hAnsi="Georgia"/>
          <w:b/>
          <w:smallCaps/>
          <w:szCs w:val="24"/>
        </w:rPr>
      </w:pPr>
      <w:r w:rsidRPr="00141E43">
        <w:rPr>
          <w:rFonts w:ascii="Georgia" w:hAnsi="Georgia"/>
          <w:b/>
          <w:smallCaps/>
          <w:szCs w:val="24"/>
        </w:rPr>
        <w:t xml:space="preserve">La síntesis de la </w:t>
      </w:r>
      <w:r w:rsidR="00834487" w:rsidRPr="00141E43">
        <w:rPr>
          <w:rFonts w:ascii="Georgia" w:hAnsi="Georgia"/>
          <w:b/>
          <w:smallCaps/>
          <w:szCs w:val="24"/>
        </w:rPr>
        <w:t>súplica</w:t>
      </w:r>
    </w:p>
    <w:p w14:paraId="038E3E64" w14:textId="77777777" w:rsidR="00834487" w:rsidRPr="00141E43" w:rsidRDefault="00834487" w:rsidP="007E6BB2">
      <w:pPr>
        <w:pStyle w:val="Sinespaciado"/>
        <w:spacing w:line="276" w:lineRule="auto"/>
        <w:jc w:val="both"/>
        <w:rPr>
          <w:rFonts w:ascii="Georgia" w:hAnsi="Georgia" w:cs="Arial"/>
        </w:rPr>
      </w:pPr>
      <w:bookmarkStart w:id="3" w:name="_Hlk48807934"/>
      <w:bookmarkStart w:id="4" w:name="_Hlk63069874"/>
    </w:p>
    <w:p w14:paraId="5551067C" w14:textId="187FE930" w:rsidR="00194956" w:rsidRPr="00141E43" w:rsidRDefault="00172673" w:rsidP="007E6BB2">
      <w:pPr>
        <w:pStyle w:val="Sinespaciado"/>
        <w:spacing w:line="276" w:lineRule="auto"/>
        <w:jc w:val="both"/>
        <w:rPr>
          <w:rFonts w:ascii="Georgia" w:hAnsi="Georgia" w:cs="Arial"/>
        </w:rPr>
      </w:pPr>
      <w:r w:rsidRPr="00141E43">
        <w:rPr>
          <w:rFonts w:ascii="Georgia" w:hAnsi="Georgia" w:cs="Arial"/>
        </w:rPr>
        <w:t>Estima que s</w:t>
      </w:r>
      <w:r w:rsidR="009447CF" w:rsidRPr="00141E43">
        <w:rPr>
          <w:rFonts w:ascii="Georgia" w:hAnsi="Georgia" w:cs="Arial"/>
        </w:rPr>
        <w:t>í</w:t>
      </w:r>
      <w:r w:rsidRPr="00141E43">
        <w:rPr>
          <w:rFonts w:ascii="Georgia" w:hAnsi="Georgia" w:cs="Arial"/>
        </w:rPr>
        <w:t xml:space="preserve"> tiene </w:t>
      </w:r>
      <w:r w:rsidR="005628A3" w:rsidRPr="00141E43">
        <w:rPr>
          <w:rFonts w:ascii="Georgia" w:hAnsi="Georgia" w:cs="Arial"/>
        </w:rPr>
        <w:t xml:space="preserve">la </w:t>
      </w:r>
      <w:r w:rsidRPr="00141E43">
        <w:rPr>
          <w:rFonts w:ascii="Georgia" w:hAnsi="Georgia" w:cs="Arial"/>
        </w:rPr>
        <w:t xml:space="preserve">legitimación echada de menos, </w:t>
      </w:r>
      <w:r w:rsidR="004A5CF3" w:rsidRPr="00141E43">
        <w:rPr>
          <w:rFonts w:ascii="Georgia" w:hAnsi="Georgia" w:cs="Arial"/>
        </w:rPr>
        <w:t xml:space="preserve">que </w:t>
      </w:r>
      <w:r w:rsidRPr="00141E43">
        <w:rPr>
          <w:rFonts w:ascii="Georgia" w:hAnsi="Georgia" w:cs="Arial"/>
        </w:rPr>
        <w:t xml:space="preserve">es su deber ejercer los actos que no le son estrictamente reservados a la parte que representa, como es </w:t>
      </w:r>
      <w:r w:rsidR="005628A3" w:rsidRPr="00141E43">
        <w:rPr>
          <w:rFonts w:ascii="Georgia" w:hAnsi="Georgia" w:cs="Arial"/>
        </w:rPr>
        <w:t>el caso</w:t>
      </w:r>
      <w:r w:rsidR="004A5CF3" w:rsidRPr="00141E43">
        <w:rPr>
          <w:rFonts w:ascii="Georgia" w:hAnsi="Georgia" w:cs="Arial"/>
        </w:rPr>
        <w:t>;</w:t>
      </w:r>
      <w:r w:rsidR="005628A3" w:rsidRPr="00141E43">
        <w:rPr>
          <w:rFonts w:ascii="Georgia" w:hAnsi="Georgia" w:cs="Arial"/>
        </w:rPr>
        <w:t xml:space="preserve"> busca </w:t>
      </w:r>
      <w:r w:rsidRPr="00141E43">
        <w:rPr>
          <w:rFonts w:ascii="Georgia" w:hAnsi="Georgia" w:cs="Arial"/>
        </w:rPr>
        <w:t xml:space="preserve">velar por </w:t>
      </w:r>
      <w:r w:rsidR="004A5CF3" w:rsidRPr="00141E43">
        <w:rPr>
          <w:rFonts w:ascii="Georgia" w:hAnsi="Georgia" w:cs="Arial"/>
        </w:rPr>
        <w:t xml:space="preserve">el respeto del </w:t>
      </w:r>
      <w:r w:rsidRPr="00141E43">
        <w:rPr>
          <w:rFonts w:ascii="Georgia" w:hAnsi="Georgia" w:cs="Arial"/>
        </w:rPr>
        <w:t>debido proceso</w:t>
      </w:r>
      <w:r w:rsidR="004A5CF3" w:rsidRPr="00141E43">
        <w:rPr>
          <w:rFonts w:ascii="Georgia" w:hAnsi="Georgia" w:cs="Arial"/>
        </w:rPr>
        <w:t xml:space="preserve"> de que es titular</w:t>
      </w:r>
      <w:r w:rsidRPr="00141E43">
        <w:rPr>
          <w:rFonts w:ascii="Georgia" w:hAnsi="Georgia" w:cs="Arial"/>
        </w:rPr>
        <w:t xml:space="preserve">. </w:t>
      </w:r>
      <w:r w:rsidR="005628A3" w:rsidRPr="00141E43">
        <w:rPr>
          <w:rFonts w:ascii="Georgia" w:hAnsi="Georgia" w:cs="Arial"/>
        </w:rPr>
        <w:t xml:space="preserve">Su petición </w:t>
      </w:r>
      <w:r w:rsidR="004A5CF3" w:rsidRPr="00141E43">
        <w:rPr>
          <w:rFonts w:ascii="Georgia" w:hAnsi="Georgia" w:cs="Arial"/>
        </w:rPr>
        <w:t xml:space="preserve">se </w:t>
      </w:r>
      <w:r w:rsidR="005628A3" w:rsidRPr="00141E43">
        <w:rPr>
          <w:rFonts w:ascii="Georgia" w:hAnsi="Georgia" w:cs="Arial"/>
        </w:rPr>
        <w:t>ampar</w:t>
      </w:r>
      <w:r w:rsidR="004A5CF3" w:rsidRPr="00141E43">
        <w:rPr>
          <w:rFonts w:ascii="Georgia" w:hAnsi="Georgia" w:cs="Arial"/>
        </w:rPr>
        <w:t>a</w:t>
      </w:r>
      <w:r w:rsidR="005628A3" w:rsidRPr="00141E43">
        <w:rPr>
          <w:rFonts w:ascii="Georgia" w:hAnsi="Georgia" w:cs="Arial"/>
        </w:rPr>
        <w:t xml:space="preserve"> en </w:t>
      </w:r>
      <w:r w:rsidRPr="00141E43">
        <w:rPr>
          <w:rFonts w:ascii="Georgia" w:hAnsi="Georgia" w:cs="Arial"/>
        </w:rPr>
        <w:t>los artículos 56, CGP, 583, CC y 61 de la Ley 1306</w:t>
      </w:r>
      <w:r w:rsidR="0008788C" w:rsidRPr="00141E43">
        <w:rPr>
          <w:rFonts w:ascii="Georgia" w:hAnsi="Georgia" w:cs="Arial"/>
        </w:rPr>
        <w:t xml:space="preserve"> </w:t>
      </w:r>
      <w:r w:rsidR="002F6FB7" w:rsidRPr="00141E43">
        <w:rPr>
          <w:rFonts w:ascii="Georgia" w:hAnsi="Georgia" w:cs="Arial"/>
        </w:rPr>
        <w:t xml:space="preserve">y la STC-13091-2016 de la CSJ </w:t>
      </w:r>
      <w:r w:rsidR="0008788C" w:rsidRPr="00141E43">
        <w:rPr>
          <w:rFonts w:ascii="Georgia" w:hAnsi="Georgia" w:cs="Arial"/>
        </w:rPr>
        <w:t>(</w:t>
      </w:r>
      <w:r w:rsidR="009769CE" w:rsidRPr="00141E43">
        <w:rPr>
          <w:rFonts w:ascii="Georgia" w:hAnsi="Georgia" w:cs="Arial"/>
          <w:lang w:val="es-CO"/>
        </w:rPr>
        <w:t>Carpeta 2ª instancia, pdf. No.33</w:t>
      </w:r>
      <w:r w:rsidR="0008788C" w:rsidRPr="00141E43">
        <w:rPr>
          <w:rFonts w:ascii="Georgia" w:hAnsi="Georgia" w:cs="Arial"/>
        </w:rPr>
        <w:t>)</w:t>
      </w:r>
      <w:r w:rsidR="009769CE" w:rsidRPr="00141E43">
        <w:rPr>
          <w:rFonts w:ascii="Georgia" w:hAnsi="Georgia" w:cs="Arial"/>
        </w:rPr>
        <w:t>.</w:t>
      </w:r>
    </w:p>
    <w:bookmarkEnd w:id="3"/>
    <w:bookmarkEnd w:id="4"/>
    <w:p w14:paraId="6500A573" w14:textId="77777777" w:rsidR="00194956" w:rsidRPr="00141E43" w:rsidRDefault="00194956" w:rsidP="007E6BB2">
      <w:pPr>
        <w:pStyle w:val="Sinespaciado"/>
        <w:tabs>
          <w:tab w:val="left" w:pos="3195"/>
        </w:tabs>
        <w:spacing w:line="276" w:lineRule="auto"/>
        <w:jc w:val="both"/>
        <w:rPr>
          <w:rFonts w:ascii="Georgia" w:hAnsi="Georgia" w:cs="Arial"/>
        </w:rPr>
      </w:pPr>
    </w:p>
    <w:p w14:paraId="33F598B7" w14:textId="30B34E25" w:rsidR="00E7402E" w:rsidRPr="00141E43" w:rsidRDefault="00E7402E" w:rsidP="007E6BB2">
      <w:pPr>
        <w:pStyle w:val="Sinespaciado"/>
        <w:widowControl/>
        <w:numPr>
          <w:ilvl w:val="0"/>
          <w:numId w:val="15"/>
        </w:numPr>
        <w:autoSpaceDE/>
        <w:autoSpaceDN/>
        <w:adjustRightInd/>
        <w:spacing w:line="276" w:lineRule="auto"/>
        <w:jc w:val="both"/>
        <w:rPr>
          <w:rFonts w:ascii="Georgia" w:hAnsi="Georgia" w:cs="Arial"/>
          <w:b/>
          <w:smallCaps/>
        </w:rPr>
      </w:pPr>
      <w:r w:rsidRPr="00141E43">
        <w:rPr>
          <w:rFonts w:ascii="Georgia" w:hAnsi="Georgia" w:cs="Arial"/>
          <w:b/>
          <w:smallCaps/>
        </w:rPr>
        <w:t>La sinopsis de la r</w:t>
      </w:r>
      <w:r w:rsidR="00E1401A" w:rsidRPr="00141E43">
        <w:rPr>
          <w:rFonts w:ascii="Georgia" w:hAnsi="Georgia" w:cs="Arial"/>
          <w:b/>
          <w:smallCaps/>
        </w:rPr>
        <w:t>é</w:t>
      </w:r>
      <w:r w:rsidRPr="00141E43">
        <w:rPr>
          <w:rFonts w:ascii="Georgia" w:hAnsi="Georgia" w:cs="Arial"/>
          <w:b/>
          <w:smallCaps/>
        </w:rPr>
        <w:t>plica</w:t>
      </w:r>
    </w:p>
    <w:p w14:paraId="6FF067EA" w14:textId="77777777" w:rsidR="00E7402E" w:rsidRPr="00141E43" w:rsidRDefault="00E7402E" w:rsidP="007E6BB2">
      <w:pPr>
        <w:pStyle w:val="Sinespaciado"/>
        <w:spacing w:line="276" w:lineRule="auto"/>
        <w:jc w:val="both"/>
        <w:rPr>
          <w:rFonts w:ascii="Georgia" w:hAnsi="Georgia" w:cs="Arial"/>
        </w:rPr>
      </w:pPr>
    </w:p>
    <w:p w14:paraId="74CF6820" w14:textId="78E871D4" w:rsidR="00E7402E" w:rsidRPr="00141E43" w:rsidRDefault="00194956" w:rsidP="007E6BB2">
      <w:pPr>
        <w:pStyle w:val="Sinespaciado"/>
        <w:spacing w:line="276" w:lineRule="auto"/>
        <w:jc w:val="both"/>
        <w:rPr>
          <w:rFonts w:ascii="Georgia" w:hAnsi="Georgia" w:cs="Arial"/>
        </w:rPr>
      </w:pPr>
      <w:r w:rsidRPr="00141E43">
        <w:rPr>
          <w:rFonts w:ascii="Georgia" w:hAnsi="Georgia" w:cs="Arial"/>
        </w:rPr>
        <w:t>La</w:t>
      </w:r>
      <w:r w:rsidR="00A04846" w:rsidRPr="00141E43">
        <w:rPr>
          <w:rFonts w:ascii="Georgia" w:hAnsi="Georgia" w:cs="Arial"/>
        </w:rPr>
        <w:t xml:space="preserve"> apoderada judicial de la parte actora</w:t>
      </w:r>
      <w:r w:rsidR="006920E9" w:rsidRPr="00141E43">
        <w:rPr>
          <w:rFonts w:ascii="Georgia" w:hAnsi="Georgia" w:cs="Arial"/>
        </w:rPr>
        <w:t>,</w:t>
      </w:r>
      <w:r w:rsidR="00A04846" w:rsidRPr="00141E43">
        <w:rPr>
          <w:rFonts w:ascii="Georgia" w:hAnsi="Georgia" w:cs="Arial"/>
        </w:rPr>
        <w:t xml:space="preserve"> </w:t>
      </w:r>
      <w:proofErr w:type="spellStart"/>
      <w:r w:rsidR="00A04846" w:rsidRPr="00141E43">
        <w:rPr>
          <w:rFonts w:ascii="Georgia" w:hAnsi="Georgia" w:cs="Arial"/>
        </w:rPr>
        <w:t>reconviniente</w:t>
      </w:r>
      <w:proofErr w:type="spellEnd"/>
      <w:r w:rsidR="006920E9" w:rsidRPr="00141E43">
        <w:rPr>
          <w:rFonts w:ascii="Georgia" w:hAnsi="Georgia" w:cs="Arial"/>
        </w:rPr>
        <w:t>,</w:t>
      </w:r>
      <w:r w:rsidR="00A04846" w:rsidRPr="00141E43">
        <w:rPr>
          <w:rFonts w:ascii="Georgia" w:hAnsi="Georgia" w:cs="Arial"/>
        </w:rPr>
        <w:t xml:space="preserve"> considera que la actuación del recurrente no es diáfana, pues en su entender las decisiones emitidas en primer y segundo grado, por arrastre (Sic) favorece a las personas indeterminadas</w:t>
      </w:r>
      <w:r w:rsidR="005628A3" w:rsidRPr="00141E43">
        <w:rPr>
          <w:rFonts w:ascii="Georgia" w:hAnsi="Georgia" w:cs="Arial"/>
        </w:rPr>
        <w:t xml:space="preserve"> que</w:t>
      </w:r>
      <w:r w:rsidR="00A04846" w:rsidRPr="00141E43">
        <w:rPr>
          <w:rFonts w:ascii="Georgia" w:hAnsi="Georgia" w:cs="Arial"/>
        </w:rPr>
        <w:t xml:space="preserve"> </w:t>
      </w:r>
      <w:r w:rsidR="006920E9" w:rsidRPr="00141E43">
        <w:rPr>
          <w:rFonts w:ascii="Georgia" w:hAnsi="Georgia" w:cs="Arial"/>
        </w:rPr>
        <w:t>a</w:t>
      </w:r>
      <w:r w:rsidR="00A04846" w:rsidRPr="00141E43">
        <w:rPr>
          <w:rFonts w:ascii="Georgia" w:hAnsi="Georgia" w:cs="Arial"/>
        </w:rPr>
        <w:t>que</w:t>
      </w:r>
      <w:r w:rsidR="006920E9" w:rsidRPr="00141E43">
        <w:rPr>
          <w:rFonts w:ascii="Georgia" w:hAnsi="Georgia" w:cs="Arial"/>
        </w:rPr>
        <w:t>l</w:t>
      </w:r>
      <w:r w:rsidR="00A04846" w:rsidRPr="00141E43">
        <w:rPr>
          <w:rFonts w:ascii="Georgia" w:hAnsi="Georgia" w:cs="Arial"/>
        </w:rPr>
        <w:t xml:space="preserve"> representa. Agrega que </w:t>
      </w:r>
      <w:r w:rsidR="00A04846" w:rsidRPr="00141E43">
        <w:rPr>
          <w:rFonts w:ascii="Georgia" w:hAnsi="Georgia" w:cs="Arial"/>
          <w:b/>
        </w:rPr>
        <w:t>(i)</w:t>
      </w:r>
      <w:r w:rsidR="00A04846" w:rsidRPr="00141E43">
        <w:rPr>
          <w:rFonts w:ascii="Georgia" w:hAnsi="Georgia" w:cs="Arial"/>
        </w:rPr>
        <w:t xml:space="preserve"> Precluyó la oportunidad para formular o declarar la nulidad</w:t>
      </w:r>
      <w:r w:rsidR="00FF62F8" w:rsidRPr="00141E43">
        <w:rPr>
          <w:rFonts w:ascii="Georgia" w:hAnsi="Georgia" w:cs="Arial"/>
        </w:rPr>
        <w:t>;</w:t>
      </w:r>
      <w:r w:rsidR="00A04846" w:rsidRPr="00141E43">
        <w:rPr>
          <w:rFonts w:ascii="Georgia" w:hAnsi="Georgia" w:cs="Arial"/>
        </w:rPr>
        <w:t xml:space="preserve"> en el examen preliminar (Artículo 325, CGP) no se advirtió esa irregularidad; </w:t>
      </w:r>
      <w:r w:rsidR="0078579A" w:rsidRPr="00141E43">
        <w:rPr>
          <w:rFonts w:ascii="Georgia" w:hAnsi="Georgia" w:cs="Arial"/>
        </w:rPr>
        <w:t xml:space="preserve">y, </w:t>
      </w:r>
      <w:r w:rsidR="00A04846" w:rsidRPr="00141E43">
        <w:rPr>
          <w:rFonts w:ascii="Georgia" w:hAnsi="Georgia" w:cs="Arial"/>
          <w:b/>
        </w:rPr>
        <w:t>(ii)</w:t>
      </w:r>
      <w:r w:rsidR="00A04846" w:rsidRPr="00141E43">
        <w:rPr>
          <w:rFonts w:ascii="Georgia" w:hAnsi="Georgia" w:cs="Arial"/>
        </w:rPr>
        <w:t xml:space="preserve"> Al existir </w:t>
      </w:r>
      <w:r w:rsidR="006920E9" w:rsidRPr="00141E43">
        <w:rPr>
          <w:rFonts w:ascii="Georgia" w:hAnsi="Georgia" w:cs="Arial"/>
        </w:rPr>
        <w:t xml:space="preserve">fallo </w:t>
      </w:r>
      <w:r w:rsidR="00A04846" w:rsidRPr="00141E43">
        <w:rPr>
          <w:rFonts w:ascii="Georgia" w:hAnsi="Georgia" w:cs="Arial"/>
        </w:rPr>
        <w:t xml:space="preserve">incluso de segundo grado, la nulidad es inviable al tenor del artículo 134, inciso 1°, CGP </w:t>
      </w:r>
      <w:r w:rsidR="00E7402E" w:rsidRPr="00141E43">
        <w:rPr>
          <w:rFonts w:ascii="Georgia" w:hAnsi="Georgia" w:cs="Arial"/>
          <w:lang w:val="es-CO"/>
        </w:rPr>
        <w:t>(Carpeta 2ª instancia, pdf No.</w:t>
      </w:r>
      <w:r w:rsidR="00A04846" w:rsidRPr="00141E43">
        <w:rPr>
          <w:rFonts w:ascii="Georgia" w:hAnsi="Georgia" w:cs="Arial"/>
          <w:lang w:val="es-CO"/>
        </w:rPr>
        <w:t>5</w:t>
      </w:r>
      <w:r w:rsidR="009769CE" w:rsidRPr="00141E43">
        <w:rPr>
          <w:rFonts w:ascii="Georgia" w:hAnsi="Georgia" w:cs="Arial"/>
          <w:lang w:val="es-CO"/>
        </w:rPr>
        <w:t>9</w:t>
      </w:r>
      <w:r w:rsidR="00E7402E" w:rsidRPr="00141E43">
        <w:rPr>
          <w:rFonts w:ascii="Georgia" w:hAnsi="Georgia" w:cs="Arial"/>
          <w:lang w:val="es-CO"/>
        </w:rPr>
        <w:t>)</w:t>
      </w:r>
      <w:r w:rsidR="00E7402E" w:rsidRPr="00141E43">
        <w:rPr>
          <w:rFonts w:ascii="Georgia" w:hAnsi="Georgia" w:cs="Arial"/>
        </w:rPr>
        <w:t>.</w:t>
      </w:r>
    </w:p>
    <w:p w14:paraId="64F33D20" w14:textId="77777777" w:rsidR="00C60906" w:rsidRPr="00141E43" w:rsidRDefault="00C60906" w:rsidP="007E6BB2">
      <w:pPr>
        <w:pStyle w:val="Sinespaciado"/>
        <w:spacing w:line="276" w:lineRule="auto"/>
        <w:jc w:val="both"/>
        <w:rPr>
          <w:rFonts w:ascii="Georgia" w:hAnsi="Georgia" w:cs="Arial"/>
        </w:rPr>
      </w:pPr>
    </w:p>
    <w:p w14:paraId="7C2ABFF6" w14:textId="3F2E9AA3" w:rsidR="009F1786" w:rsidRPr="00141E43" w:rsidRDefault="00E2193F" w:rsidP="007E6BB2">
      <w:pPr>
        <w:pStyle w:val="Textoindependiente"/>
        <w:numPr>
          <w:ilvl w:val="0"/>
          <w:numId w:val="15"/>
        </w:numPr>
        <w:spacing w:line="276" w:lineRule="auto"/>
        <w:rPr>
          <w:rFonts w:ascii="Georgia" w:hAnsi="Georgia"/>
          <w:b/>
          <w:smallCaps/>
          <w:szCs w:val="24"/>
        </w:rPr>
      </w:pPr>
      <w:r w:rsidRPr="00141E43">
        <w:rPr>
          <w:rFonts w:ascii="Georgia" w:hAnsi="Georgia"/>
          <w:b/>
          <w:smallCaps/>
          <w:szCs w:val="24"/>
        </w:rPr>
        <w:t>Las estimaciones jurídicas para decidir</w:t>
      </w:r>
    </w:p>
    <w:p w14:paraId="7C2ABFF7" w14:textId="77777777" w:rsidR="005776F2" w:rsidRPr="00141E43" w:rsidRDefault="005776F2" w:rsidP="007E6BB2">
      <w:pPr>
        <w:spacing w:line="276" w:lineRule="auto"/>
        <w:jc w:val="both"/>
        <w:rPr>
          <w:rFonts w:ascii="Georgia" w:hAnsi="Georgia" w:cs="Arial"/>
          <w:smallCaps/>
          <w:sz w:val="24"/>
          <w:szCs w:val="24"/>
        </w:rPr>
      </w:pPr>
    </w:p>
    <w:p w14:paraId="4DCEBA46" w14:textId="6F5FBFA9" w:rsidR="002F68E7" w:rsidRPr="00141E43" w:rsidRDefault="00310349" w:rsidP="007E6BB2">
      <w:pPr>
        <w:autoSpaceDE w:val="0"/>
        <w:autoSpaceDN w:val="0"/>
        <w:spacing w:line="276" w:lineRule="auto"/>
        <w:contextualSpacing/>
        <w:jc w:val="both"/>
        <w:rPr>
          <w:rFonts w:ascii="Georgia" w:hAnsi="Georgia" w:cs="Arial"/>
          <w:sz w:val="24"/>
          <w:szCs w:val="24"/>
          <w:lang w:val="es-CO"/>
        </w:rPr>
      </w:pPr>
      <w:r w:rsidRPr="00141E43">
        <w:rPr>
          <w:rFonts w:ascii="Georgia" w:hAnsi="Georgia" w:cs="Arial"/>
          <w:iCs/>
          <w:smallCaps/>
          <w:sz w:val="24"/>
          <w:szCs w:val="24"/>
        </w:rPr>
        <w:t xml:space="preserve">5.1. </w:t>
      </w:r>
      <w:r w:rsidR="009769CE" w:rsidRPr="00141E43">
        <w:rPr>
          <w:rFonts w:ascii="Georgia" w:hAnsi="Georgia" w:cs="Arial"/>
          <w:iCs/>
          <w:smallCaps/>
          <w:sz w:val="24"/>
          <w:szCs w:val="24"/>
        </w:rPr>
        <w:t>La competencia.</w:t>
      </w:r>
      <w:r w:rsidR="009769CE" w:rsidRPr="00141E43">
        <w:rPr>
          <w:rFonts w:ascii="Georgia" w:hAnsi="Georgia" w:cs="Arial"/>
          <w:i/>
          <w:iCs/>
          <w:smallCaps/>
          <w:sz w:val="24"/>
          <w:szCs w:val="24"/>
        </w:rPr>
        <w:t xml:space="preserve"> </w:t>
      </w:r>
      <w:r w:rsidR="002F68E7" w:rsidRPr="00141E43">
        <w:rPr>
          <w:rFonts w:ascii="Georgia" w:hAnsi="Georgia" w:cs="Arial"/>
          <w:sz w:val="24"/>
          <w:szCs w:val="24"/>
          <w:lang w:val="es-CO"/>
        </w:rPr>
        <w:t xml:space="preserve">Esta Sala Dual </w:t>
      </w:r>
      <w:r w:rsidR="00FF62F8" w:rsidRPr="00141E43">
        <w:rPr>
          <w:rFonts w:ascii="Georgia" w:hAnsi="Georgia" w:cs="Arial"/>
          <w:sz w:val="24"/>
          <w:szCs w:val="24"/>
          <w:lang w:val="es-CO"/>
        </w:rPr>
        <w:t xml:space="preserve">tiene </w:t>
      </w:r>
      <w:r w:rsidR="002F68E7" w:rsidRPr="00141E43">
        <w:rPr>
          <w:rFonts w:ascii="Georgia" w:hAnsi="Georgia" w:cs="Arial"/>
          <w:sz w:val="24"/>
          <w:szCs w:val="24"/>
          <w:lang w:val="es-CO"/>
        </w:rPr>
        <w:t>facultad legal para decidir, en consideración a la expresa disposición del artículo 332,</w:t>
      </w:r>
      <w:r w:rsidR="00FF62F8" w:rsidRPr="00141E43">
        <w:rPr>
          <w:rFonts w:ascii="Georgia" w:hAnsi="Georgia" w:cs="Arial"/>
          <w:sz w:val="24"/>
          <w:szCs w:val="24"/>
          <w:lang w:val="es-CO"/>
        </w:rPr>
        <w:t xml:space="preserve"> inciso </w:t>
      </w:r>
      <w:r w:rsidR="00141E43" w:rsidRPr="00141E43">
        <w:rPr>
          <w:rFonts w:ascii="Georgia" w:hAnsi="Georgia" w:cs="Arial"/>
          <w:sz w:val="24"/>
          <w:szCs w:val="24"/>
          <w:lang w:val="es-CO"/>
        </w:rPr>
        <w:t>2º, CGP</w:t>
      </w:r>
      <w:r w:rsidR="002F68E7" w:rsidRPr="00141E43">
        <w:rPr>
          <w:rFonts w:ascii="Georgia" w:hAnsi="Georgia" w:cs="Arial"/>
          <w:sz w:val="24"/>
          <w:szCs w:val="24"/>
          <w:lang w:val="es-CO"/>
        </w:rPr>
        <w:t>.</w:t>
      </w:r>
    </w:p>
    <w:p w14:paraId="0D250F06" w14:textId="77777777" w:rsidR="005628A3" w:rsidRPr="00141E43" w:rsidRDefault="005628A3" w:rsidP="007E6BB2">
      <w:pPr>
        <w:autoSpaceDE w:val="0"/>
        <w:autoSpaceDN w:val="0"/>
        <w:spacing w:line="276" w:lineRule="auto"/>
        <w:contextualSpacing/>
        <w:jc w:val="both"/>
        <w:rPr>
          <w:rFonts w:ascii="Georgia" w:hAnsi="Georgia" w:cs="Arial"/>
          <w:iCs/>
          <w:sz w:val="24"/>
          <w:szCs w:val="24"/>
          <w:lang w:val="es-CO"/>
        </w:rPr>
      </w:pPr>
    </w:p>
    <w:p w14:paraId="7C2ABFFA" w14:textId="22A8886B" w:rsidR="009F1786" w:rsidRPr="00141E43" w:rsidRDefault="00310349" w:rsidP="007E6BB2">
      <w:pPr>
        <w:pStyle w:val="Textopredeterminado"/>
        <w:spacing w:line="276" w:lineRule="auto"/>
        <w:jc w:val="both"/>
        <w:textAlignment w:val="baseline"/>
        <w:rPr>
          <w:rFonts w:ascii="Georgia" w:hAnsi="Georgia" w:cs="Arial"/>
          <w:color w:val="auto"/>
          <w:szCs w:val="24"/>
        </w:rPr>
      </w:pPr>
      <w:r w:rsidRPr="00141E43">
        <w:rPr>
          <w:rFonts w:ascii="Georgia" w:hAnsi="Georgia" w:cs="Arial"/>
          <w:iCs/>
          <w:smallCaps/>
          <w:color w:val="auto"/>
          <w:szCs w:val="24"/>
        </w:rPr>
        <w:t>5.2.</w:t>
      </w:r>
      <w:r w:rsidRPr="00141E43">
        <w:rPr>
          <w:rFonts w:ascii="Georgia" w:hAnsi="Georgia" w:cs="Arial"/>
          <w:i/>
          <w:iCs/>
          <w:smallCaps/>
          <w:color w:val="auto"/>
          <w:szCs w:val="24"/>
        </w:rPr>
        <w:t xml:space="preserve"> </w:t>
      </w:r>
      <w:r w:rsidR="009769CE" w:rsidRPr="00141E43">
        <w:rPr>
          <w:rFonts w:ascii="Georgia" w:hAnsi="Georgia" w:cs="Arial"/>
          <w:i/>
          <w:iCs/>
          <w:smallCaps/>
          <w:color w:val="auto"/>
          <w:szCs w:val="24"/>
        </w:rPr>
        <w:t xml:space="preserve"> </w:t>
      </w:r>
      <w:r w:rsidR="009F1786" w:rsidRPr="00141E43">
        <w:rPr>
          <w:rFonts w:ascii="Georgia" w:hAnsi="Georgia" w:cs="Arial"/>
          <w:iCs/>
          <w:smallCaps/>
          <w:color w:val="auto"/>
          <w:szCs w:val="24"/>
        </w:rPr>
        <w:t>El trámite del recurso</w:t>
      </w:r>
      <w:r w:rsidR="008C16FC" w:rsidRPr="00141E43">
        <w:rPr>
          <w:rFonts w:ascii="Georgia" w:hAnsi="Georgia" w:cs="Arial"/>
          <w:smallCaps/>
          <w:color w:val="auto"/>
          <w:szCs w:val="24"/>
        </w:rPr>
        <w:t xml:space="preserve">. </w:t>
      </w:r>
      <w:r w:rsidR="009F1786" w:rsidRPr="00141E43">
        <w:rPr>
          <w:rFonts w:ascii="Georgia" w:hAnsi="Georgia" w:cs="Arial"/>
          <w:color w:val="auto"/>
          <w:szCs w:val="24"/>
        </w:rPr>
        <w:t xml:space="preserve">De conformidad con los artículos </w:t>
      </w:r>
      <w:r w:rsidR="002F68E7" w:rsidRPr="00141E43">
        <w:rPr>
          <w:rFonts w:ascii="Georgia" w:hAnsi="Georgia" w:cs="Arial"/>
          <w:color w:val="auto"/>
          <w:szCs w:val="24"/>
        </w:rPr>
        <w:t xml:space="preserve">332 </w:t>
      </w:r>
      <w:r w:rsidR="009F1786" w:rsidRPr="00141E43">
        <w:rPr>
          <w:rFonts w:ascii="Georgia" w:hAnsi="Georgia" w:cs="Arial"/>
          <w:color w:val="auto"/>
          <w:szCs w:val="24"/>
        </w:rPr>
        <w:t xml:space="preserve">y </w:t>
      </w:r>
      <w:r w:rsidR="002F68E7" w:rsidRPr="00141E43">
        <w:rPr>
          <w:rFonts w:ascii="Georgia" w:hAnsi="Georgia" w:cs="Arial"/>
          <w:color w:val="auto"/>
          <w:szCs w:val="24"/>
        </w:rPr>
        <w:t>110</w:t>
      </w:r>
      <w:r w:rsidR="002E660C" w:rsidRPr="00141E43">
        <w:rPr>
          <w:rFonts w:ascii="Georgia" w:hAnsi="Georgia" w:cs="Arial"/>
          <w:color w:val="auto"/>
          <w:szCs w:val="24"/>
        </w:rPr>
        <w:t xml:space="preserve">, </w:t>
      </w:r>
      <w:r w:rsidR="009F1786" w:rsidRPr="00141E43">
        <w:rPr>
          <w:rFonts w:ascii="Georgia" w:hAnsi="Georgia" w:cs="Arial"/>
          <w:color w:val="auto"/>
          <w:szCs w:val="24"/>
        </w:rPr>
        <w:t>CGP, se surtió el traslado secretarial</w:t>
      </w:r>
      <w:r w:rsidR="001638CD" w:rsidRPr="00141E43">
        <w:rPr>
          <w:rFonts w:ascii="Georgia" w:hAnsi="Georgia" w:cs="Arial"/>
          <w:color w:val="auto"/>
          <w:szCs w:val="24"/>
        </w:rPr>
        <w:t xml:space="preserve"> y</w:t>
      </w:r>
      <w:r w:rsidR="008C16FC" w:rsidRPr="00141E43">
        <w:rPr>
          <w:rFonts w:ascii="Georgia" w:hAnsi="Georgia" w:cs="Arial"/>
          <w:color w:val="auto"/>
          <w:szCs w:val="24"/>
        </w:rPr>
        <w:t xml:space="preserve"> </w:t>
      </w:r>
      <w:r w:rsidR="00C81008" w:rsidRPr="00141E43">
        <w:rPr>
          <w:rFonts w:ascii="Georgia" w:hAnsi="Georgia" w:cs="Arial"/>
          <w:color w:val="auto"/>
          <w:szCs w:val="24"/>
        </w:rPr>
        <w:t xml:space="preserve">en término se pronunció la </w:t>
      </w:r>
      <w:r w:rsidR="002F68E7" w:rsidRPr="00141E43">
        <w:rPr>
          <w:rFonts w:ascii="Georgia" w:hAnsi="Georgia" w:cs="Arial"/>
          <w:color w:val="auto"/>
          <w:szCs w:val="24"/>
        </w:rPr>
        <w:t xml:space="preserve">llamada en garantía </w:t>
      </w:r>
      <w:r w:rsidR="008C16FC" w:rsidRPr="00141E43">
        <w:rPr>
          <w:rFonts w:ascii="Georgia" w:hAnsi="Georgia" w:cs="Arial"/>
          <w:color w:val="auto"/>
          <w:szCs w:val="24"/>
          <w:lang w:val="es-CO"/>
        </w:rPr>
        <w:t xml:space="preserve">(Carpeta 2ª instancia, </w:t>
      </w:r>
      <w:r w:rsidR="00C60906" w:rsidRPr="00141E43">
        <w:rPr>
          <w:rFonts w:ascii="Georgia" w:hAnsi="Georgia" w:cs="Arial"/>
          <w:color w:val="auto"/>
          <w:szCs w:val="24"/>
          <w:lang w:val="es-CO"/>
        </w:rPr>
        <w:t>pdf</w:t>
      </w:r>
      <w:r w:rsidR="000B6B52" w:rsidRPr="00141E43">
        <w:rPr>
          <w:rFonts w:ascii="Georgia" w:hAnsi="Georgia" w:cs="Arial"/>
          <w:color w:val="auto"/>
          <w:szCs w:val="24"/>
          <w:lang w:val="es-CO"/>
        </w:rPr>
        <w:t>s</w:t>
      </w:r>
      <w:r w:rsidR="00C60906" w:rsidRPr="00141E43">
        <w:rPr>
          <w:rFonts w:ascii="Georgia" w:hAnsi="Georgia" w:cs="Arial"/>
          <w:color w:val="auto"/>
          <w:szCs w:val="24"/>
          <w:lang w:val="es-CO"/>
        </w:rPr>
        <w:t>. No.</w:t>
      </w:r>
      <w:r w:rsidR="002F68E7" w:rsidRPr="00141E43">
        <w:rPr>
          <w:rFonts w:ascii="Georgia" w:hAnsi="Georgia" w:cs="Arial"/>
          <w:color w:val="auto"/>
          <w:szCs w:val="24"/>
          <w:lang w:val="es-CO"/>
        </w:rPr>
        <w:t>37 -40</w:t>
      </w:r>
      <w:r w:rsidR="008C16FC" w:rsidRPr="00141E43">
        <w:rPr>
          <w:rFonts w:ascii="Georgia" w:hAnsi="Georgia" w:cs="Arial"/>
          <w:color w:val="auto"/>
          <w:szCs w:val="24"/>
          <w:lang w:val="es-CO"/>
        </w:rPr>
        <w:t>)</w:t>
      </w:r>
      <w:r w:rsidR="009F1786" w:rsidRPr="00141E43">
        <w:rPr>
          <w:rFonts w:ascii="Georgia" w:hAnsi="Georgia" w:cs="Arial"/>
          <w:color w:val="auto"/>
          <w:szCs w:val="24"/>
        </w:rPr>
        <w:t>.</w:t>
      </w:r>
    </w:p>
    <w:p w14:paraId="1C4D73E3" w14:textId="77777777" w:rsidR="00E7402E" w:rsidRPr="00141E43" w:rsidRDefault="00E7402E" w:rsidP="007E6BB2">
      <w:pPr>
        <w:pStyle w:val="Textopredeterminado"/>
        <w:spacing w:line="276" w:lineRule="auto"/>
        <w:jc w:val="both"/>
        <w:textAlignment w:val="baseline"/>
        <w:rPr>
          <w:rFonts w:ascii="Georgia" w:hAnsi="Georgia" w:cs="Arial"/>
          <w:color w:val="auto"/>
          <w:szCs w:val="24"/>
        </w:rPr>
      </w:pPr>
    </w:p>
    <w:p w14:paraId="53B7B810" w14:textId="4EF534F2" w:rsidR="008C16FC" w:rsidRPr="00141E43" w:rsidRDefault="00310349" w:rsidP="007E6BB2">
      <w:pPr>
        <w:pStyle w:val="Textopredeterminado"/>
        <w:spacing w:line="276" w:lineRule="auto"/>
        <w:jc w:val="both"/>
        <w:rPr>
          <w:rFonts w:ascii="Georgia" w:hAnsi="Georgia" w:cs="Arial"/>
          <w:color w:val="auto"/>
          <w:szCs w:val="24"/>
          <w:lang w:val="es-CO"/>
        </w:rPr>
      </w:pPr>
      <w:r w:rsidRPr="00141E43">
        <w:rPr>
          <w:rFonts w:ascii="Georgia" w:hAnsi="Georgia" w:cs="Arial"/>
          <w:smallCaps/>
          <w:color w:val="auto"/>
          <w:szCs w:val="24"/>
        </w:rPr>
        <w:lastRenderedPageBreak/>
        <w:t xml:space="preserve">5.3. </w:t>
      </w:r>
      <w:bookmarkStart w:id="5" w:name="_Hlk79135283"/>
      <w:r w:rsidR="009345DA" w:rsidRPr="00141E43">
        <w:rPr>
          <w:rFonts w:ascii="Georgia" w:hAnsi="Georgia" w:cs="Arial"/>
          <w:smallCaps/>
          <w:color w:val="auto"/>
          <w:szCs w:val="24"/>
        </w:rPr>
        <w:t>Los requisitos de viabilidad</w:t>
      </w:r>
      <w:r w:rsidR="008C16FC" w:rsidRPr="00141E43">
        <w:rPr>
          <w:rFonts w:ascii="Georgia" w:hAnsi="Georgia" w:cs="Arial"/>
          <w:smallCaps/>
          <w:color w:val="auto"/>
          <w:szCs w:val="24"/>
        </w:rPr>
        <w:t xml:space="preserve">. </w:t>
      </w:r>
      <w:r w:rsidRPr="00141E43">
        <w:rPr>
          <w:rFonts w:ascii="Georgia" w:hAnsi="Georgia" w:cs="Arial"/>
          <w:color w:val="auto"/>
          <w:szCs w:val="24"/>
        </w:rPr>
        <w:t>De</w:t>
      </w:r>
      <w:r w:rsidR="008C16FC" w:rsidRPr="00141E43">
        <w:rPr>
          <w:rFonts w:ascii="Georgia" w:hAnsi="Georgia" w:cs="Arial"/>
          <w:color w:val="auto"/>
          <w:szCs w:val="24"/>
        </w:rPr>
        <w:t>ben siempre concurrir</w:t>
      </w:r>
      <w:r w:rsidRPr="00141E43">
        <w:rPr>
          <w:rFonts w:ascii="Georgia" w:hAnsi="Georgia" w:cs="Arial"/>
          <w:color w:val="auto"/>
          <w:szCs w:val="24"/>
        </w:rPr>
        <w:t xml:space="preserve">, se les denomina también de </w:t>
      </w:r>
      <w:r w:rsidR="008C16FC" w:rsidRPr="00141E43">
        <w:rPr>
          <w:rFonts w:ascii="Georgia" w:hAnsi="Georgia" w:cs="Arial"/>
          <w:color w:val="auto"/>
          <w:szCs w:val="24"/>
        </w:rPr>
        <w:t>viabilidad, trámite</w:t>
      </w:r>
      <w:r w:rsidR="008C16FC" w:rsidRPr="00141E43">
        <w:rPr>
          <w:rStyle w:val="Refdenotaalpie"/>
          <w:rFonts w:ascii="Georgia" w:hAnsi="Georgia"/>
          <w:color w:val="auto"/>
          <w:szCs w:val="24"/>
        </w:rPr>
        <w:footnoteReference w:id="2"/>
      </w:r>
      <w:r w:rsidR="008C16FC" w:rsidRPr="00141E43">
        <w:rPr>
          <w:rFonts w:ascii="Georgia" w:hAnsi="Georgia" w:cs="Arial"/>
          <w:color w:val="auto"/>
          <w:szCs w:val="24"/>
        </w:rPr>
        <w:t>, o condiciones para tener la posibilidad de recurrir</w:t>
      </w:r>
      <w:r w:rsidR="008C16FC" w:rsidRPr="00141E43">
        <w:rPr>
          <w:rStyle w:val="Refdenotaalpie"/>
          <w:rFonts w:ascii="Georgia" w:hAnsi="Georgia"/>
          <w:i/>
          <w:color w:val="auto"/>
          <w:szCs w:val="24"/>
        </w:rPr>
        <w:footnoteReference w:id="3"/>
      </w:r>
      <w:r w:rsidR="008C16FC" w:rsidRPr="00141E43">
        <w:rPr>
          <w:rFonts w:ascii="Georgia" w:hAnsi="Georgia" w:cs="Arial"/>
          <w:color w:val="auto"/>
          <w:szCs w:val="24"/>
        </w:rPr>
        <w:t>, al decir de la doctrina procesal nacional</w:t>
      </w:r>
      <w:r w:rsidR="008C16FC" w:rsidRPr="00141E43">
        <w:rPr>
          <w:rFonts w:ascii="Georgia" w:hAnsi="Georgia" w:cs="Arial"/>
          <w:color w:val="auto"/>
          <w:szCs w:val="24"/>
          <w:vertAlign w:val="superscript"/>
        </w:rPr>
        <w:footnoteReference w:id="4"/>
      </w:r>
      <w:r w:rsidR="008C16FC" w:rsidRPr="00141E43">
        <w:rPr>
          <w:rFonts w:ascii="Georgia" w:hAnsi="Georgia" w:cs="Arial"/>
          <w:color w:val="auto"/>
          <w:szCs w:val="24"/>
          <w:vertAlign w:val="superscript"/>
        </w:rPr>
        <w:t>-</w:t>
      </w:r>
      <w:r w:rsidR="008C16FC" w:rsidRPr="00141E43">
        <w:rPr>
          <w:rFonts w:ascii="Georgia" w:hAnsi="Georgia" w:cs="Arial"/>
          <w:color w:val="auto"/>
          <w:szCs w:val="24"/>
          <w:vertAlign w:val="superscript"/>
        </w:rPr>
        <w:footnoteReference w:id="5"/>
      </w:r>
      <w:r w:rsidR="008C16FC" w:rsidRPr="00141E43">
        <w:rPr>
          <w:rFonts w:ascii="Georgia" w:hAnsi="Georgia" w:cs="Arial"/>
          <w:color w:val="auto"/>
          <w:szCs w:val="24"/>
        </w:rPr>
        <w:t>, a efectos de examinar el tema de apelación.</w:t>
      </w:r>
    </w:p>
    <w:bookmarkEnd w:id="5"/>
    <w:p w14:paraId="72E6C38F" w14:textId="77777777" w:rsidR="00DE4A0C" w:rsidRPr="00141E43" w:rsidRDefault="00DE4A0C" w:rsidP="007E6BB2">
      <w:pPr>
        <w:spacing w:line="276" w:lineRule="auto"/>
        <w:rPr>
          <w:rFonts w:ascii="Georgia" w:hAnsi="Georgia" w:cs="Arial"/>
          <w:sz w:val="24"/>
          <w:szCs w:val="24"/>
          <w:lang w:val="es-CO"/>
        </w:rPr>
      </w:pPr>
    </w:p>
    <w:p w14:paraId="4A1D297C" w14:textId="7EA1BD69" w:rsidR="008C16FC" w:rsidRPr="00141E43" w:rsidRDefault="00310349" w:rsidP="007E6BB2">
      <w:pPr>
        <w:pStyle w:val="Sinespaciado"/>
        <w:spacing w:line="276" w:lineRule="auto"/>
        <w:jc w:val="both"/>
        <w:rPr>
          <w:rFonts w:ascii="Georgia" w:hAnsi="Georgia" w:cs="Arial"/>
          <w:lang w:val="es-CO"/>
        </w:rPr>
      </w:pPr>
      <w:r w:rsidRPr="00141E43">
        <w:rPr>
          <w:rFonts w:ascii="Georgia" w:hAnsi="Georgia" w:cs="Arial"/>
          <w:lang w:val="es-CO"/>
        </w:rPr>
        <w:t xml:space="preserve">Son </w:t>
      </w:r>
      <w:r w:rsidR="008C16FC" w:rsidRPr="00141E43">
        <w:rPr>
          <w:rFonts w:ascii="Georgia" w:hAnsi="Georgia" w:cs="Arial"/>
          <w:lang w:val="es-CO"/>
        </w:rPr>
        <w:t>una serie de exigencias normativas formales que permiten su trámite y aseguran su decisión.  Así anota el maestro López B.: “</w:t>
      </w:r>
      <w:r w:rsidR="008C16FC" w:rsidRPr="00C41317">
        <w:rPr>
          <w:rFonts w:ascii="Georgia" w:hAnsi="Georgia" w:cs="Arial"/>
          <w:i/>
          <w:sz w:val="22"/>
          <w:lang w:val="es-CO"/>
        </w:rPr>
        <w:t>En todo caso sin estar reunidos los requisitos de viabilidad del recurso jamás se podrá tener éxito en el mismo por constituir un precedente necesario para decidirlo</w:t>
      </w:r>
      <w:r w:rsidR="008C16FC" w:rsidRPr="00141E43">
        <w:rPr>
          <w:rFonts w:ascii="Georgia" w:hAnsi="Georgia" w:cs="Arial"/>
          <w:lang w:val="es-CO"/>
        </w:rPr>
        <w:t>”</w:t>
      </w:r>
      <w:r w:rsidR="008C16FC" w:rsidRPr="00141E43">
        <w:rPr>
          <w:rFonts w:ascii="Georgia" w:hAnsi="Georgia" w:cs="Arial"/>
          <w:vertAlign w:val="superscript"/>
          <w:lang w:val="es-CO"/>
        </w:rPr>
        <w:footnoteReference w:id="6"/>
      </w:r>
      <w:r w:rsidR="008C16FC" w:rsidRPr="00141E43">
        <w:rPr>
          <w:rFonts w:ascii="Georgia" w:hAnsi="Georgia" w:cs="Arial"/>
          <w:lang w:val="es-CO"/>
        </w:rPr>
        <w:t>.  Y explica el profesor Rojas G. en su obra: “</w:t>
      </w:r>
      <w:r w:rsidR="008C16FC" w:rsidRPr="00C41317">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008C16FC" w:rsidRPr="00141E43">
        <w:rPr>
          <w:rFonts w:ascii="Georgia" w:hAnsi="Georgia" w:cs="Arial"/>
          <w:lang w:val="es-CO"/>
        </w:rPr>
        <w:t>”</w:t>
      </w:r>
      <w:r w:rsidR="008C16FC" w:rsidRPr="00141E43">
        <w:rPr>
          <w:rStyle w:val="Refdenotaalpie"/>
          <w:rFonts w:ascii="Georgia" w:hAnsi="Georgia" w:cs="Arial"/>
          <w:lang w:val="es-CO"/>
        </w:rPr>
        <w:t xml:space="preserve"> </w:t>
      </w:r>
      <w:r w:rsidR="008C16FC" w:rsidRPr="00141E43">
        <w:rPr>
          <w:rStyle w:val="Refdenotaalpie"/>
          <w:rFonts w:ascii="Georgia" w:hAnsi="Georgia" w:cs="Arial"/>
          <w:lang w:val="es-CO"/>
        </w:rPr>
        <w:footnoteReference w:id="7"/>
      </w:r>
      <w:r w:rsidR="008C16FC" w:rsidRPr="00141E43">
        <w:rPr>
          <w:rFonts w:ascii="Georgia" w:hAnsi="Georgia" w:cs="Arial"/>
          <w:lang w:val="es-CO"/>
        </w:rPr>
        <w:t>.</w:t>
      </w:r>
    </w:p>
    <w:p w14:paraId="5BCD548F" w14:textId="77777777" w:rsidR="008C16FC" w:rsidRPr="00141E43" w:rsidRDefault="008C16FC" w:rsidP="007E6BB2">
      <w:pPr>
        <w:pStyle w:val="Sinespaciado"/>
        <w:spacing w:line="276" w:lineRule="auto"/>
        <w:jc w:val="both"/>
        <w:rPr>
          <w:rFonts w:ascii="Georgia" w:hAnsi="Georgia" w:cs="Arial"/>
          <w:lang w:val="es-CO"/>
        </w:rPr>
      </w:pPr>
    </w:p>
    <w:p w14:paraId="6F31DBF8" w14:textId="4748B15A" w:rsidR="008C16FC" w:rsidRDefault="008C16FC" w:rsidP="007E6BB2">
      <w:pPr>
        <w:pStyle w:val="Sinespaciado"/>
        <w:spacing w:line="276" w:lineRule="auto"/>
        <w:jc w:val="both"/>
        <w:rPr>
          <w:rFonts w:ascii="Georgia" w:hAnsi="Georgia" w:cs="Arial"/>
          <w:i/>
          <w:shd w:val="clear" w:color="auto" w:fill="FFFFFF"/>
          <w:lang w:val="es-CO"/>
        </w:rPr>
      </w:pPr>
      <w:r w:rsidRPr="00141E43">
        <w:rPr>
          <w:rFonts w:ascii="Georgia" w:hAnsi="Georgia" w:cs="Arial"/>
          <w:lang w:val="es-CO"/>
        </w:rPr>
        <w:t>Tales requisitos son concurrentes y necesarios, ausente uno se malogra el estudio de la impugnación. La misma CSJ enseña: “</w:t>
      </w:r>
      <w:r w:rsidRPr="00C41317">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141E43">
        <w:rPr>
          <w:rFonts w:ascii="Georgia" w:hAnsi="Georgia" w:cs="Arial"/>
          <w:lang w:val="es-CO"/>
        </w:rPr>
        <w:t>”</w:t>
      </w:r>
      <w:r w:rsidRPr="00141E43">
        <w:rPr>
          <w:rStyle w:val="Refdenotaalpie"/>
          <w:rFonts w:ascii="Georgia" w:hAnsi="Georgia"/>
          <w:lang w:val="es-CO"/>
        </w:rPr>
        <w:footnoteReference w:id="8"/>
      </w:r>
      <w:r w:rsidRPr="00141E43">
        <w:rPr>
          <w:rFonts w:ascii="Georgia" w:hAnsi="Georgia" w:cs="Arial"/>
          <w:lang w:val="es-CO"/>
        </w:rPr>
        <w:t>. Y en decisión más próxima (2017)</w:t>
      </w:r>
      <w:r w:rsidRPr="00141E43">
        <w:rPr>
          <w:rStyle w:val="Refdenotaalpie"/>
          <w:rFonts w:ascii="Georgia" w:hAnsi="Georgia"/>
          <w:lang w:val="es-CO"/>
        </w:rPr>
        <w:footnoteReference w:id="9"/>
      </w:r>
      <w:r w:rsidRPr="00141E43">
        <w:rPr>
          <w:rFonts w:ascii="Georgia" w:hAnsi="Georgia" w:cs="Arial"/>
          <w:lang w:val="es-CO"/>
        </w:rPr>
        <w:t xml:space="preserve"> recordó: “</w:t>
      </w:r>
      <w:r w:rsidRPr="00EB42A1">
        <w:rPr>
          <w:rFonts w:ascii="Georgia" w:hAnsi="Georgia" w:cs="Arial"/>
          <w:sz w:val="22"/>
          <w:lang w:val="es-CO"/>
        </w:rPr>
        <w:t xml:space="preserve">(…) </w:t>
      </w:r>
      <w:r w:rsidRPr="00EB42A1">
        <w:rPr>
          <w:rFonts w:ascii="Georgia" w:hAnsi="Georgia" w:cs="Arial"/>
          <w:i/>
          <w:spacing w:val="-4"/>
          <w:sz w:val="22"/>
          <w:lang w:val="es-CO"/>
        </w:rPr>
        <w:t>Por supuesto que, era facultad del superior realizar el análisis preliminar para la «admisión» de la alzada, y conforme a la regla cuarta del canon 325 del C.G.P.</w:t>
      </w:r>
      <w:r w:rsidRPr="00EB42A1">
        <w:rPr>
          <w:rFonts w:ascii="Georgia" w:hAnsi="Georgia" w:cs="Arial"/>
          <w:spacing w:val="-4"/>
          <w:sz w:val="22"/>
          <w:lang w:val="es-CO"/>
        </w:rPr>
        <w:t xml:space="preserve"> </w:t>
      </w:r>
      <w:r w:rsidRPr="00EB42A1">
        <w:rPr>
          <w:rFonts w:ascii="Georgia" w:hAnsi="Georgia" w:cs="Arial"/>
          <w:i/>
          <w:sz w:val="22"/>
          <w:shd w:val="clear" w:color="auto" w:fill="FFFFFF"/>
          <w:lang w:val="es-CO"/>
        </w:rPr>
        <w:t xml:space="preserve"> (…)</w:t>
      </w:r>
      <w:r w:rsidRPr="00141E43">
        <w:rPr>
          <w:rFonts w:ascii="Georgia" w:hAnsi="Georgia" w:cs="Arial"/>
          <w:i/>
          <w:shd w:val="clear" w:color="auto" w:fill="FFFFFF"/>
          <w:lang w:val="es-CO"/>
        </w:rPr>
        <w:t>”.</w:t>
      </w:r>
    </w:p>
    <w:p w14:paraId="4AC8A662" w14:textId="77777777" w:rsidR="00141E43" w:rsidRPr="00141E43" w:rsidRDefault="00141E43" w:rsidP="007E6BB2">
      <w:pPr>
        <w:pStyle w:val="Sinespaciado"/>
        <w:spacing w:line="276" w:lineRule="auto"/>
        <w:jc w:val="both"/>
        <w:rPr>
          <w:rFonts w:ascii="Georgia" w:hAnsi="Georgia" w:cs="Arial"/>
          <w:shd w:val="clear" w:color="auto" w:fill="FFFFFF"/>
          <w:lang w:val="es-CO"/>
        </w:rPr>
      </w:pPr>
    </w:p>
    <w:p w14:paraId="462C1002" w14:textId="321DACF8" w:rsidR="00184960" w:rsidRPr="00141E43" w:rsidRDefault="00310349" w:rsidP="007E6BB2">
      <w:pPr>
        <w:pStyle w:val="Textopredeterminado"/>
        <w:spacing w:line="276" w:lineRule="auto"/>
        <w:jc w:val="both"/>
        <w:rPr>
          <w:rFonts w:ascii="Georgia" w:hAnsi="Georgia" w:cs="Arial"/>
          <w:color w:val="auto"/>
          <w:szCs w:val="24"/>
        </w:rPr>
      </w:pPr>
      <w:r w:rsidRPr="00141E43">
        <w:rPr>
          <w:rFonts w:ascii="Georgia" w:hAnsi="Georgia" w:cs="Arial"/>
          <w:color w:val="auto"/>
          <w:szCs w:val="24"/>
        </w:rPr>
        <w:t>Se reconoce</w:t>
      </w:r>
      <w:r w:rsidR="00DB091A" w:rsidRPr="00141E43">
        <w:rPr>
          <w:rFonts w:ascii="Georgia" w:hAnsi="Georgia" w:cs="Arial"/>
          <w:color w:val="auto"/>
          <w:szCs w:val="24"/>
        </w:rPr>
        <w:t xml:space="preserve"> que son</w:t>
      </w:r>
      <w:r w:rsidRPr="00141E43">
        <w:rPr>
          <w:rFonts w:ascii="Georgia" w:hAnsi="Georgia" w:cs="Arial"/>
          <w:color w:val="auto"/>
          <w:szCs w:val="24"/>
        </w:rPr>
        <w:t xml:space="preserve"> </w:t>
      </w:r>
      <w:r w:rsidR="00DB091A" w:rsidRPr="00141E43">
        <w:rPr>
          <w:rFonts w:ascii="Georgia" w:hAnsi="Georgia" w:cs="Arial"/>
          <w:color w:val="auto"/>
          <w:szCs w:val="24"/>
        </w:rPr>
        <w:t>cuatro</w:t>
      </w:r>
      <w:r w:rsidR="000113E2" w:rsidRPr="00141E43">
        <w:rPr>
          <w:rStyle w:val="Refdenotaalpie"/>
          <w:rFonts w:ascii="Georgia" w:hAnsi="Georgia"/>
          <w:color w:val="auto"/>
          <w:szCs w:val="24"/>
        </w:rPr>
        <w:footnoteReference w:id="10"/>
      </w:r>
      <w:r w:rsidR="00DB091A" w:rsidRPr="00141E43">
        <w:rPr>
          <w:rFonts w:ascii="Georgia" w:hAnsi="Georgia" w:cs="Arial"/>
          <w:color w:val="auto"/>
          <w:szCs w:val="24"/>
        </w:rPr>
        <w:t xml:space="preserve"> (4), a saber</w:t>
      </w:r>
      <w:r w:rsidRPr="00141E43">
        <w:rPr>
          <w:rFonts w:ascii="Georgia" w:hAnsi="Georgia" w:cs="Arial"/>
          <w:color w:val="auto"/>
          <w:szCs w:val="24"/>
        </w:rPr>
        <w:t xml:space="preserve">: </w:t>
      </w:r>
      <w:r w:rsidR="003D663C" w:rsidRPr="00141E43">
        <w:rPr>
          <w:rFonts w:ascii="Georgia" w:hAnsi="Georgia" w:cs="Arial"/>
          <w:b/>
          <w:color w:val="auto"/>
          <w:szCs w:val="24"/>
        </w:rPr>
        <w:t>(i)</w:t>
      </w:r>
      <w:r w:rsidR="003D663C" w:rsidRPr="00141E43">
        <w:rPr>
          <w:rFonts w:ascii="Georgia" w:hAnsi="Georgia" w:cs="Arial"/>
          <w:color w:val="auto"/>
          <w:szCs w:val="24"/>
        </w:rPr>
        <w:t xml:space="preserve"> </w:t>
      </w:r>
      <w:r w:rsidRPr="00141E43">
        <w:rPr>
          <w:rFonts w:ascii="Georgia" w:hAnsi="Georgia" w:cs="Arial"/>
          <w:color w:val="auto"/>
          <w:szCs w:val="24"/>
        </w:rPr>
        <w:t xml:space="preserve">La </w:t>
      </w:r>
      <w:r w:rsidR="003D663C" w:rsidRPr="00141E43">
        <w:rPr>
          <w:rFonts w:ascii="Georgia" w:hAnsi="Georgia" w:cs="Arial"/>
          <w:color w:val="auto"/>
          <w:szCs w:val="24"/>
        </w:rPr>
        <w:t xml:space="preserve">legitimación o interés, </w:t>
      </w:r>
      <w:r w:rsidR="003D663C" w:rsidRPr="00141E43">
        <w:rPr>
          <w:rFonts w:ascii="Georgia" w:hAnsi="Georgia" w:cs="Arial"/>
          <w:b/>
          <w:color w:val="auto"/>
          <w:szCs w:val="24"/>
        </w:rPr>
        <w:t>(ii)</w:t>
      </w:r>
      <w:r w:rsidR="003D663C" w:rsidRPr="00141E43">
        <w:rPr>
          <w:rFonts w:ascii="Georgia" w:hAnsi="Georgia" w:cs="Arial"/>
          <w:color w:val="auto"/>
          <w:szCs w:val="24"/>
        </w:rPr>
        <w:t xml:space="preserve"> </w:t>
      </w:r>
      <w:r w:rsidRPr="00141E43">
        <w:rPr>
          <w:rFonts w:ascii="Georgia" w:hAnsi="Georgia" w:cs="Arial"/>
          <w:color w:val="auto"/>
          <w:szCs w:val="24"/>
        </w:rPr>
        <w:t xml:space="preserve">La </w:t>
      </w:r>
      <w:r w:rsidR="003D663C" w:rsidRPr="00141E43">
        <w:rPr>
          <w:rFonts w:ascii="Georgia" w:hAnsi="Georgia" w:cs="Arial"/>
          <w:color w:val="auto"/>
          <w:szCs w:val="24"/>
        </w:rPr>
        <w:t xml:space="preserve">oportunidad, </w:t>
      </w:r>
      <w:r w:rsidR="003D663C" w:rsidRPr="00141E43">
        <w:rPr>
          <w:rFonts w:ascii="Georgia" w:hAnsi="Georgia" w:cs="Arial"/>
          <w:b/>
          <w:color w:val="auto"/>
          <w:szCs w:val="24"/>
        </w:rPr>
        <w:t xml:space="preserve">(iii) </w:t>
      </w:r>
      <w:r w:rsidRPr="00141E43">
        <w:rPr>
          <w:rFonts w:ascii="Georgia" w:hAnsi="Georgia" w:cs="Arial"/>
          <w:color w:val="auto"/>
          <w:szCs w:val="24"/>
        </w:rPr>
        <w:t>La</w:t>
      </w:r>
      <w:r w:rsidRPr="00141E43">
        <w:rPr>
          <w:rFonts w:ascii="Georgia" w:hAnsi="Georgia" w:cs="Arial"/>
          <w:b/>
          <w:color w:val="auto"/>
          <w:szCs w:val="24"/>
        </w:rPr>
        <w:t xml:space="preserve"> </w:t>
      </w:r>
      <w:r w:rsidR="003D663C" w:rsidRPr="00141E43">
        <w:rPr>
          <w:rFonts w:ascii="Georgia" w:hAnsi="Georgia" w:cs="Arial"/>
          <w:color w:val="auto"/>
          <w:szCs w:val="24"/>
        </w:rPr>
        <w:t>procedencia</w:t>
      </w:r>
      <w:r w:rsidRPr="00141E43">
        <w:rPr>
          <w:rFonts w:ascii="Georgia" w:hAnsi="Georgia" w:cs="Arial"/>
          <w:color w:val="auto"/>
          <w:szCs w:val="24"/>
        </w:rPr>
        <w:t>;</w:t>
      </w:r>
      <w:r w:rsidR="003D663C" w:rsidRPr="00141E43">
        <w:rPr>
          <w:rFonts w:ascii="Georgia" w:hAnsi="Georgia" w:cs="Arial"/>
          <w:color w:val="auto"/>
          <w:szCs w:val="24"/>
        </w:rPr>
        <w:t xml:space="preserve"> y</w:t>
      </w:r>
      <w:r w:rsidRPr="00141E43">
        <w:rPr>
          <w:rFonts w:ascii="Georgia" w:hAnsi="Georgia" w:cs="Arial"/>
          <w:color w:val="auto"/>
          <w:szCs w:val="24"/>
        </w:rPr>
        <w:t>,</w:t>
      </w:r>
      <w:r w:rsidR="003D663C" w:rsidRPr="00141E43">
        <w:rPr>
          <w:rFonts w:ascii="Georgia" w:hAnsi="Georgia" w:cs="Arial"/>
          <w:color w:val="auto"/>
          <w:szCs w:val="24"/>
        </w:rPr>
        <w:t xml:space="preserve"> </w:t>
      </w:r>
      <w:r w:rsidR="003D663C" w:rsidRPr="00141E43">
        <w:rPr>
          <w:rFonts w:ascii="Georgia" w:hAnsi="Georgia" w:cs="Arial"/>
          <w:b/>
          <w:color w:val="auto"/>
          <w:szCs w:val="24"/>
        </w:rPr>
        <w:t xml:space="preserve">(iv) </w:t>
      </w:r>
      <w:r w:rsidRPr="00141E43">
        <w:rPr>
          <w:rFonts w:ascii="Georgia" w:hAnsi="Georgia" w:cs="Arial"/>
          <w:color w:val="auto"/>
          <w:szCs w:val="24"/>
        </w:rPr>
        <w:t>Las</w:t>
      </w:r>
      <w:r w:rsidRPr="00141E43">
        <w:rPr>
          <w:rFonts w:ascii="Georgia" w:hAnsi="Georgia" w:cs="Arial"/>
          <w:b/>
          <w:color w:val="auto"/>
          <w:szCs w:val="24"/>
        </w:rPr>
        <w:t xml:space="preserve"> </w:t>
      </w:r>
      <w:r w:rsidR="003D663C" w:rsidRPr="00141E43">
        <w:rPr>
          <w:rFonts w:ascii="Georgia" w:hAnsi="Georgia" w:cs="Arial"/>
          <w:color w:val="auto"/>
          <w:szCs w:val="24"/>
        </w:rPr>
        <w:t>cargas procesales (Sustentación, expedición de copias, etc.), los tres primeros generan la inadmisibilidad del recurso mientras que el cuarto provoca deserción</w:t>
      </w:r>
      <w:r w:rsidR="000113E2" w:rsidRPr="00141E43">
        <w:rPr>
          <w:rStyle w:val="Refdenotaalpie"/>
          <w:rFonts w:ascii="Georgia" w:hAnsi="Georgia"/>
          <w:color w:val="auto"/>
          <w:szCs w:val="24"/>
        </w:rPr>
        <w:footnoteReference w:id="11"/>
      </w:r>
      <w:r w:rsidR="003D663C" w:rsidRPr="00141E43">
        <w:rPr>
          <w:rFonts w:ascii="Georgia" w:hAnsi="Georgia" w:cs="Arial"/>
          <w:color w:val="auto"/>
          <w:szCs w:val="24"/>
        </w:rPr>
        <w:t xml:space="preserve">, </w:t>
      </w:r>
      <w:r w:rsidR="00795DAD" w:rsidRPr="00141E43">
        <w:rPr>
          <w:rFonts w:ascii="Georgia" w:hAnsi="Georgia" w:cs="Arial"/>
          <w:color w:val="auto"/>
          <w:szCs w:val="24"/>
        </w:rPr>
        <w:t xml:space="preserve">según </w:t>
      </w:r>
      <w:r w:rsidR="003D663C" w:rsidRPr="00141E43">
        <w:rPr>
          <w:rFonts w:ascii="Georgia" w:hAnsi="Georgia" w:cs="Arial"/>
          <w:color w:val="auto"/>
          <w:szCs w:val="24"/>
        </w:rPr>
        <w:t>la doctrina patria</w:t>
      </w:r>
      <w:r w:rsidR="003D663C" w:rsidRPr="00141E43">
        <w:rPr>
          <w:rStyle w:val="Refdenotaalpie"/>
          <w:rFonts w:ascii="Georgia" w:hAnsi="Georgia"/>
          <w:color w:val="auto"/>
          <w:szCs w:val="24"/>
        </w:rPr>
        <w:footnoteReference w:id="12"/>
      </w:r>
      <w:r w:rsidR="003D663C" w:rsidRPr="00141E43">
        <w:rPr>
          <w:rFonts w:ascii="Georgia" w:hAnsi="Georgia" w:cs="Arial"/>
          <w:color w:val="auto"/>
          <w:szCs w:val="24"/>
          <w:vertAlign w:val="superscript"/>
        </w:rPr>
        <w:t>-</w:t>
      </w:r>
      <w:r w:rsidR="003D663C" w:rsidRPr="00141E43">
        <w:rPr>
          <w:rStyle w:val="Refdenotaalpie"/>
          <w:rFonts w:ascii="Georgia" w:hAnsi="Georgia"/>
          <w:color w:val="auto"/>
          <w:szCs w:val="24"/>
        </w:rPr>
        <w:footnoteReference w:id="13"/>
      </w:r>
      <w:r w:rsidR="003D663C" w:rsidRPr="00141E43">
        <w:rPr>
          <w:rFonts w:ascii="Georgia" w:hAnsi="Georgia" w:cs="Arial"/>
          <w:color w:val="auto"/>
          <w:szCs w:val="24"/>
        </w:rPr>
        <w:t>.</w:t>
      </w:r>
    </w:p>
    <w:p w14:paraId="735A85D2" w14:textId="77777777" w:rsidR="00184960" w:rsidRPr="00141E43" w:rsidRDefault="00184960" w:rsidP="007E6BB2">
      <w:pPr>
        <w:pStyle w:val="Textopredeterminado"/>
        <w:spacing w:line="276" w:lineRule="auto"/>
        <w:jc w:val="both"/>
        <w:rPr>
          <w:rFonts w:ascii="Georgia" w:hAnsi="Georgia" w:cs="Arial"/>
          <w:color w:val="auto"/>
          <w:szCs w:val="24"/>
        </w:rPr>
      </w:pPr>
    </w:p>
    <w:p w14:paraId="469F8DB9" w14:textId="5A02174D" w:rsidR="004B3EF4" w:rsidRPr="00141E43" w:rsidRDefault="00DB091A" w:rsidP="007E6BB2">
      <w:pPr>
        <w:pStyle w:val="Textopredeterminado"/>
        <w:spacing w:line="276" w:lineRule="auto"/>
        <w:jc w:val="both"/>
        <w:rPr>
          <w:rFonts w:ascii="Georgia" w:hAnsi="Georgia" w:cs="Arial"/>
          <w:color w:val="auto"/>
          <w:szCs w:val="24"/>
        </w:rPr>
      </w:pPr>
      <w:r w:rsidRPr="00141E43">
        <w:rPr>
          <w:rFonts w:ascii="Georgia" w:hAnsi="Georgia" w:cs="Arial"/>
          <w:color w:val="auto"/>
          <w:szCs w:val="24"/>
        </w:rPr>
        <w:t xml:space="preserve">En el caso concreto, </w:t>
      </w:r>
      <w:r w:rsidR="00224BD8" w:rsidRPr="00141E43">
        <w:rPr>
          <w:rFonts w:ascii="Georgia" w:hAnsi="Georgia" w:cs="Arial"/>
          <w:color w:val="auto"/>
          <w:szCs w:val="24"/>
        </w:rPr>
        <w:t xml:space="preserve">los tres primeros se </w:t>
      </w:r>
      <w:r w:rsidRPr="00141E43">
        <w:rPr>
          <w:rFonts w:ascii="Georgia" w:hAnsi="Georgia" w:cs="Arial"/>
          <w:color w:val="auto"/>
          <w:szCs w:val="24"/>
        </w:rPr>
        <w:t>cumplen</w:t>
      </w:r>
      <w:r w:rsidR="00224BD8" w:rsidRPr="00141E43">
        <w:rPr>
          <w:rFonts w:ascii="Georgia" w:hAnsi="Georgia" w:cs="Arial"/>
          <w:color w:val="auto"/>
          <w:szCs w:val="24"/>
        </w:rPr>
        <w:t xml:space="preserve">, dado que: </w:t>
      </w:r>
      <w:r w:rsidR="00224BD8" w:rsidRPr="00141E43">
        <w:rPr>
          <w:rFonts w:ascii="Georgia" w:hAnsi="Georgia" w:cs="Arial"/>
          <w:b/>
          <w:color w:val="auto"/>
          <w:szCs w:val="24"/>
        </w:rPr>
        <w:t>(i)</w:t>
      </w:r>
      <w:r w:rsidR="00224BD8" w:rsidRPr="00141E43">
        <w:rPr>
          <w:rFonts w:ascii="Georgia" w:hAnsi="Georgia" w:cs="Arial"/>
          <w:color w:val="auto"/>
          <w:szCs w:val="24"/>
        </w:rPr>
        <w:t xml:space="preserve"> Hay legitimación o interés en </w:t>
      </w:r>
      <w:r w:rsidR="0078579A" w:rsidRPr="00141E43">
        <w:rPr>
          <w:rFonts w:ascii="Georgia" w:hAnsi="Georgia" w:cs="Arial"/>
          <w:color w:val="auto"/>
          <w:szCs w:val="24"/>
        </w:rPr>
        <w:t>e</w:t>
      </w:r>
      <w:r w:rsidR="00224BD8" w:rsidRPr="00141E43">
        <w:rPr>
          <w:rFonts w:ascii="Georgia" w:hAnsi="Georgia" w:cs="Arial"/>
          <w:color w:val="auto"/>
          <w:szCs w:val="24"/>
        </w:rPr>
        <w:t xml:space="preserve">l </w:t>
      </w:r>
      <w:r w:rsidR="00AB625E" w:rsidRPr="00141E43">
        <w:rPr>
          <w:rFonts w:ascii="Georgia" w:hAnsi="Georgia" w:cs="Arial"/>
          <w:color w:val="auto"/>
          <w:szCs w:val="24"/>
        </w:rPr>
        <w:t>recurrente</w:t>
      </w:r>
      <w:r w:rsidR="0078579A" w:rsidRPr="00141E43">
        <w:rPr>
          <w:rFonts w:ascii="Georgia" w:hAnsi="Georgia" w:cs="Arial"/>
          <w:color w:val="auto"/>
          <w:szCs w:val="24"/>
        </w:rPr>
        <w:t>,</w:t>
      </w:r>
      <w:r w:rsidR="005628A3" w:rsidRPr="00141E43">
        <w:rPr>
          <w:rFonts w:ascii="Georgia" w:hAnsi="Georgia" w:cs="Arial"/>
          <w:color w:val="auto"/>
          <w:szCs w:val="24"/>
        </w:rPr>
        <w:t xml:space="preserve"> </w:t>
      </w:r>
      <w:r w:rsidRPr="00141E43">
        <w:rPr>
          <w:rFonts w:ascii="Georgia" w:hAnsi="Georgia" w:cs="Arial"/>
          <w:color w:val="auto"/>
          <w:szCs w:val="24"/>
        </w:rPr>
        <w:t xml:space="preserve">pues </w:t>
      </w:r>
      <w:r w:rsidR="005628A3" w:rsidRPr="00141E43">
        <w:rPr>
          <w:rFonts w:ascii="Georgia" w:hAnsi="Georgia" w:cs="Arial"/>
          <w:color w:val="auto"/>
          <w:szCs w:val="24"/>
        </w:rPr>
        <w:t>se ha negado su petición</w:t>
      </w:r>
      <w:r w:rsidR="00224BD8" w:rsidRPr="00141E43">
        <w:rPr>
          <w:rFonts w:ascii="Georgia" w:hAnsi="Georgia" w:cs="Arial"/>
          <w:color w:val="auto"/>
          <w:szCs w:val="24"/>
        </w:rPr>
        <w:t xml:space="preserve">; </w:t>
      </w:r>
      <w:r w:rsidR="005628A3" w:rsidRPr="00141E43">
        <w:rPr>
          <w:rFonts w:ascii="Georgia" w:hAnsi="Georgia" w:cs="Arial"/>
          <w:b/>
          <w:color w:val="auto"/>
          <w:szCs w:val="24"/>
        </w:rPr>
        <w:t xml:space="preserve">(ii) </w:t>
      </w:r>
      <w:r w:rsidR="00BC0155" w:rsidRPr="00141E43">
        <w:rPr>
          <w:rFonts w:ascii="Georgia" w:hAnsi="Georgia" w:cs="Arial"/>
          <w:color w:val="auto"/>
          <w:szCs w:val="24"/>
        </w:rPr>
        <w:t xml:space="preserve">el recurso es tempestivo </w:t>
      </w:r>
      <w:r w:rsidRPr="00141E43">
        <w:rPr>
          <w:rFonts w:ascii="Georgia" w:hAnsi="Georgia" w:cs="Arial"/>
          <w:color w:val="auto"/>
          <w:szCs w:val="24"/>
        </w:rPr>
        <w:t xml:space="preserve">porque se interpuso en el plazo de ejecutoria </w:t>
      </w:r>
      <w:r w:rsidR="00BC0155" w:rsidRPr="00141E43">
        <w:rPr>
          <w:rFonts w:ascii="Georgia" w:hAnsi="Georgia" w:cs="Arial"/>
          <w:color w:val="auto"/>
          <w:szCs w:val="24"/>
        </w:rPr>
        <w:t>(</w:t>
      </w:r>
      <w:r w:rsidR="00BC0155" w:rsidRPr="00141E43">
        <w:rPr>
          <w:rFonts w:ascii="Georgia" w:eastAsia="Georgia" w:hAnsi="Georgia" w:cs="Georgia"/>
          <w:color w:val="auto"/>
          <w:szCs w:val="24"/>
          <w:lang w:val="es"/>
        </w:rPr>
        <w:t xml:space="preserve">Carpeta </w:t>
      </w:r>
      <w:r w:rsidR="007D1C96" w:rsidRPr="00141E43">
        <w:rPr>
          <w:rFonts w:ascii="Georgia" w:eastAsia="Georgia" w:hAnsi="Georgia" w:cs="Georgia"/>
          <w:color w:val="auto"/>
          <w:szCs w:val="24"/>
          <w:lang w:val="es"/>
        </w:rPr>
        <w:t>2</w:t>
      </w:r>
      <w:r w:rsidR="00BC0155" w:rsidRPr="00141E43">
        <w:rPr>
          <w:rFonts w:ascii="Georgia" w:eastAsia="Georgia" w:hAnsi="Georgia" w:cs="Georgia"/>
          <w:color w:val="auto"/>
          <w:szCs w:val="24"/>
          <w:lang w:val="es"/>
        </w:rPr>
        <w:t xml:space="preserve">ª instancia, </w:t>
      </w:r>
      <w:proofErr w:type="spellStart"/>
      <w:r w:rsidR="00BC0155" w:rsidRPr="00141E43">
        <w:rPr>
          <w:rFonts w:ascii="Georgia" w:eastAsia="Georgia" w:hAnsi="Georgia" w:cs="Georgia"/>
          <w:color w:val="auto"/>
          <w:szCs w:val="24"/>
          <w:lang w:val="es"/>
        </w:rPr>
        <w:t>pdf</w:t>
      </w:r>
      <w:r w:rsidR="007D1C96" w:rsidRPr="00141E43">
        <w:rPr>
          <w:rFonts w:ascii="Georgia" w:eastAsia="Georgia" w:hAnsi="Georgia" w:cs="Georgia"/>
          <w:color w:val="auto"/>
          <w:szCs w:val="24"/>
          <w:lang w:val="es"/>
        </w:rPr>
        <w:t>s</w:t>
      </w:r>
      <w:proofErr w:type="spellEnd"/>
      <w:r w:rsidR="00BC0155" w:rsidRPr="00141E43">
        <w:rPr>
          <w:rFonts w:ascii="Georgia" w:eastAsia="Georgia" w:hAnsi="Georgia" w:cs="Georgia"/>
          <w:color w:val="auto"/>
          <w:szCs w:val="24"/>
          <w:lang w:val="es"/>
        </w:rPr>
        <w:t>. No</w:t>
      </w:r>
      <w:r w:rsidR="007D1C96" w:rsidRPr="00141E43">
        <w:rPr>
          <w:rFonts w:ascii="Georgia" w:eastAsia="Georgia" w:hAnsi="Georgia" w:cs="Georgia"/>
          <w:color w:val="auto"/>
          <w:szCs w:val="24"/>
          <w:lang w:val="es"/>
        </w:rPr>
        <w:t>s</w:t>
      </w:r>
      <w:r w:rsidR="00BC0155" w:rsidRPr="00141E43">
        <w:rPr>
          <w:rFonts w:ascii="Georgia" w:eastAsia="Georgia" w:hAnsi="Georgia" w:cs="Georgia"/>
          <w:color w:val="auto"/>
          <w:szCs w:val="24"/>
          <w:lang w:val="es"/>
        </w:rPr>
        <w:t>.</w:t>
      </w:r>
      <w:r w:rsidR="007D1C96" w:rsidRPr="00141E43">
        <w:rPr>
          <w:rFonts w:ascii="Georgia" w:eastAsia="Georgia" w:hAnsi="Georgia" w:cs="Georgia"/>
          <w:color w:val="auto"/>
          <w:szCs w:val="24"/>
          <w:lang w:val="es"/>
        </w:rPr>
        <w:t>43 y 48</w:t>
      </w:r>
      <w:r w:rsidR="00BC0155" w:rsidRPr="00141E43">
        <w:rPr>
          <w:rFonts w:ascii="Georgia" w:eastAsia="Georgia" w:hAnsi="Georgia" w:cs="Georgia"/>
          <w:color w:val="auto"/>
          <w:szCs w:val="24"/>
          <w:lang w:val="es"/>
        </w:rPr>
        <w:t xml:space="preserve"> - </w:t>
      </w:r>
      <w:r w:rsidR="00BC0155" w:rsidRPr="00141E43">
        <w:rPr>
          <w:rFonts w:ascii="Georgia" w:hAnsi="Georgia" w:cs="Arial"/>
          <w:color w:val="auto"/>
          <w:szCs w:val="24"/>
          <w:lang w:val="es-CO"/>
        </w:rPr>
        <w:t>Artículo 331, inciso 2º, CGP);</w:t>
      </w:r>
      <w:r w:rsidR="005628A3" w:rsidRPr="00141E43">
        <w:rPr>
          <w:rFonts w:ascii="Georgia" w:hAnsi="Georgia" w:cs="Arial"/>
          <w:color w:val="auto"/>
          <w:szCs w:val="24"/>
          <w:lang w:val="es-CO"/>
        </w:rPr>
        <w:t xml:space="preserve"> y,</w:t>
      </w:r>
      <w:r w:rsidR="00BC0155" w:rsidRPr="00141E43">
        <w:rPr>
          <w:rFonts w:ascii="Georgia" w:hAnsi="Georgia" w:cs="Arial"/>
          <w:color w:val="auto"/>
          <w:szCs w:val="24"/>
        </w:rPr>
        <w:t xml:space="preserve"> </w:t>
      </w:r>
      <w:r w:rsidR="00BC0155" w:rsidRPr="00141E43">
        <w:rPr>
          <w:rFonts w:ascii="Georgia" w:eastAsia="Georgia" w:hAnsi="Georgia" w:cs="Georgia"/>
          <w:b/>
          <w:bCs/>
          <w:color w:val="auto"/>
          <w:szCs w:val="24"/>
          <w:lang w:val="es"/>
        </w:rPr>
        <w:t>(iii)</w:t>
      </w:r>
      <w:r w:rsidR="00BC0155" w:rsidRPr="00141E43">
        <w:rPr>
          <w:rFonts w:ascii="Georgia" w:eastAsia="Georgia" w:hAnsi="Georgia" w:cs="Georgia"/>
          <w:color w:val="auto"/>
          <w:szCs w:val="24"/>
          <w:lang w:val="es"/>
        </w:rPr>
        <w:t xml:space="preserve"> hay procedencia, </w:t>
      </w:r>
      <w:r w:rsidRPr="00141E43">
        <w:rPr>
          <w:rFonts w:ascii="Georgia" w:eastAsia="Georgia" w:hAnsi="Georgia" w:cs="Georgia"/>
          <w:color w:val="auto"/>
          <w:szCs w:val="24"/>
          <w:lang w:val="es"/>
        </w:rPr>
        <w:t xml:space="preserve">ya que </w:t>
      </w:r>
      <w:r w:rsidR="00BC0155" w:rsidRPr="00141E43">
        <w:rPr>
          <w:rFonts w:ascii="Georgia" w:hAnsi="Georgia" w:cs="Arial"/>
          <w:color w:val="auto"/>
          <w:szCs w:val="24"/>
        </w:rPr>
        <w:t xml:space="preserve">la aludida providencia es susceptible de súplica, por tratarse del auto que </w:t>
      </w:r>
      <w:r w:rsidR="007D1C96" w:rsidRPr="00141E43">
        <w:rPr>
          <w:rFonts w:ascii="Georgia" w:hAnsi="Georgia" w:cs="Arial"/>
          <w:color w:val="auto"/>
          <w:szCs w:val="24"/>
        </w:rPr>
        <w:t>niega (rechaza) el trámite de una nulidad procesal</w:t>
      </w:r>
      <w:r w:rsidR="00BC0155" w:rsidRPr="00141E43">
        <w:rPr>
          <w:rFonts w:ascii="Georgia" w:hAnsi="Georgia" w:cs="Arial"/>
          <w:color w:val="auto"/>
          <w:szCs w:val="24"/>
        </w:rPr>
        <w:t xml:space="preserve"> (Art</w:t>
      </w:r>
      <w:r w:rsidRPr="00141E43">
        <w:rPr>
          <w:rFonts w:ascii="Georgia" w:hAnsi="Georgia" w:cs="Arial"/>
          <w:color w:val="auto"/>
          <w:szCs w:val="24"/>
        </w:rPr>
        <w:t>s.</w:t>
      </w:r>
      <w:r w:rsidR="00BC0155" w:rsidRPr="00141E43">
        <w:rPr>
          <w:rFonts w:ascii="Georgia" w:hAnsi="Georgia" w:cs="Arial"/>
          <w:color w:val="auto"/>
          <w:szCs w:val="24"/>
        </w:rPr>
        <w:t xml:space="preserve"> 331 y 321-</w:t>
      </w:r>
      <w:r w:rsidR="007D1C96" w:rsidRPr="00141E43">
        <w:rPr>
          <w:rFonts w:ascii="Georgia" w:hAnsi="Georgia" w:cs="Arial"/>
          <w:color w:val="auto"/>
          <w:szCs w:val="24"/>
        </w:rPr>
        <w:t>6</w:t>
      </w:r>
      <w:r w:rsidR="00BC0155" w:rsidRPr="00141E43">
        <w:rPr>
          <w:rFonts w:ascii="Georgia" w:hAnsi="Georgia" w:cs="Arial"/>
          <w:color w:val="auto"/>
          <w:szCs w:val="24"/>
        </w:rPr>
        <w:t xml:space="preserve">°, </w:t>
      </w:r>
      <w:r w:rsidR="00BC0155" w:rsidRPr="00141E43">
        <w:rPr>
          <w:rFonts w:ascii="Georgia" w:hAnsi="Georgia" w:cs="Arial"/>
          <w:i/>
          <w:color w:val="auto"/>
          <w:szCs w:val="24"/>
        </w:rPr>
        <w:t>ibidem</w:t>
      </w:r>
      <w:r w:rsidR="00BC0155" w:rsidRPr="00141E43">
        <w:rPr>
          <w:rFonts w:ascii="Georgia" w:hAnsi="Georgia" w:cs="Arial"/>
          <w:color w:val="auto"/>
          <w:szCs w:val="24"/>
        </w:rPr>
        <w:t>)</w:t>
      </w:r>
      <w:r w:rsidR="00224BD8" w:rsidRPr="00141E43">
        <w:rPr>
          <w:rFonts w:ascii="Georgia" w:hAnsi="Georgia" w:cs="Arial"/>
          <w:color w:val="auto"/>
          <w:szCs w:val="24"/>
        </w:rPr>
        <w:t>.</w:t>
      </w:r>
    </w:p>
    <w:p w14:paraId="6E8FAA74" w14:textId="77777777" w:rsidR="004B3EF4" w:rsidRPr="00141E43" w:rsidRDefault="004B3EF4" w:rsidP="007E6BB2">
      <w:pPr>
        <w:pStyle w:val="Textopredeterminado"/>
        <w:spacing w:line="276" w:lineRule="auto"/>
        <w:jc w:val="both"/>
        <w:rPr>
          <w:rFonts w:ascii="Georgia" w:hAnsi="Georgia" w:cs="Arial"/>
          <w:color w:val="auto"/>
          <w:szCs w:val="24"/>
        </w:rPr>
      </w:pPr>
    </w:p>
    <w:p w14:paraId="3E124017" w14:textId="00B7B425" w:rsidR="00043552" w:rsidRPr="00141E43" w:rsidRDefault="00043552" w:rsidP="007E6BB2">
      <w:pPr>
        <w:pStyle w:val="Textopredeterminado"/>
        <w:spacing w:line="276" w:lineRule="auto"/>
        <w:jc w:val="both"/>
        <w:rPr>
          <w:rFonts w:ascii="Georgia" w:hAnsi="Georgia" w:cs="Arial"/>
          <w:color w:val="auto"/>
          <w:szCs w:val="24"/>
        </w:rPr>
      </w:pPr>
      <w:r w:rsidRPr="00141E43">
        <w:rPr>
          <w:rFonts w:ascii="Georgia" w:hAnsi="Georgia" w:cs="Arial"/>
          <w:color w:val="auto"/>
          <w:szCs w:val="24"/>
        </w:rPr>
        <w:lastRenderedPageBreak/>
        <w:t xml:space="preserve">Ahora, </w:t>
      </w:r>
      <w:bookmarkStart w:id="6" w:name="_Hlk79135389"/>
      <w:r w:rsidR="0078579A" w:rsidRPr="00141E43">
        <w:rPr>
          <w:rFonts w:ascii="Georgia" w:hAnsi="Georgia" w:cs="Arial"/>
          <w:color w:val="auto"/>
          <w:szCs w:val="24"/>
        </w:rPr>
        <w:t xml:space="preserve">aquí </w:t>
      </w:r>
      <w:r w:rsidRPr="00141E43">
        <w:rPr>
          <w:rFonts w:ascii="Georgia" w:hAnsi="Georgia" w:cs="Arial"/>
          <w:color w:val="auto"/>
          <w:szCs w:val="24"/>
        </w:rPr>
        <w:t xml:space="preserve">se echa de menos </w:t>
      </w:r>
      <w:r w:rsidRPr="00141E43">
        <w:rPr>
          <w:rFonts w:ascii="Georgia" w:hAnsi="Georgia" w:cs="Arial"/>
          <w:i/>
          <w:color w:val="auto"/>
          <w:szCs w:val="24"/>
        </w:rPr>
        <w:t>parcialmente</w:t>
      </w:r>
      <w:r w:rsidR="0078579A" w:rsidRPr="00141E43">
        <w:rPr>
          <w:rFonts w:ascii="Georgia" w:hAnsi="Georgia" w:cs="Arial"/>
          <w:color w:val="auto"/>
          <w:szCs w:val="24"/>
        </w:rPr>
        <w:t xml:space="preserve"> la sustentación, como carga procesal </w:t>
      </w:r>
      <w:r w:rsidR="002F10B4" w:rsidRPr="00141E43">
        <w:rPr>
          <w:rFonts w:ascii="Georgia" w:hAnsi="Georgia" w:cs="Arial"/>
          <w:color w:val="auto"/>
          <w:szCs w:val="24"/>
        </w:rPr>
        <w:t>d</w:t>
      </w:r>
      <w:r w:rsidR="0078579A" w:rsidRPr="00141E43">
        <w:rPr>
          <w:rFonts w:ascii="Georgia" w:hAnsi="Georgia" w:cs="Arial"/>
          <w:color w:val="auto"/>
          <w:szCs w:val="24"/>
        </w:rPr>
        <w:t>el recurrente</w:t>
      </w:r>
      <w:r w:rsidR="00DB091A" w:rsidRPr="00141E43">
        <w:rPr>
          <w:rFonts w:ascii="Georgia" w:hAnsi="Georgia" w:cs="Arial"/>
          <w:color w:val="auto"/>
          <w:szCs w:val="24"/>
        </w:rPr>
        <w:t>,</w:t>
      </w:r>
      <w:r w:rsidRPr="00141E43">
        <w:rPr>
          <w:rFonts w:ascii="Georgia" w:hAnsi="Georgia" w:cs="Arial"/>
          <w:color w:val="auto"/>
          <w:szCs w:val="24"/>
        </w:rPr>
        <w:t xml:space="preserve"> </w:t>
      </w:r>
      <w:r w:rsidR="0078579A" w:rsidRPr="00141E43">
        <w:rPr>
          <w:rFonts w:ascii="Georgia" w:hAnsi="Georgia" w:cs="Arial"/>
          <w:color w:val="auto"/>
          <w:szCs w:val="24"/>
        </w:rPr>
        <w:t xml:space="preserve">dado que </w:t>
      </w:r>
      <w:r w:rsidRPr="00141E43">
        <w:rPr>
          <w:rFonts w:ascii="Georgia" w:hAnsi="Georgia" w:cs="Arial"/>
          <w:color w:val="auto"/>
          <w:szCs w:val="24"/>
        </w:rPr>
        <w:t xml:space="preserve">se pretermitió frente a la </w:t>
      </w:r>
      <w:r w:rsidR="009B1D1D" w:rsidRPr="00141E43">
        <w:rPr>
          <w:rFonts w:ascii="Georgia" w:hAnsi="Georgia" w:cs="Arial"/>
          <w:color w:val="auto"/>
          <w:szCs w:val="24"/>
        </w:rPr>
        <w:t>extemporaneidad para proponer la nulidad</w:t>
      </w:r>
      <w:r w:rsidR="002F10B4" w:rsidRPr="00141E43">
        <w:rPr>
          <w:rFonts w:ascii="Georgia" w:hAnsi="Georgia" w:cs="Arial"/>
          <w:color w:val="auto"/>
          <w:szCs w:val="24"/>
        </w:rPr>
        <w:t>;</w:t>
      </w:r>
      <w:r w:rsidR="0078579A" w:rsidRPr="00141E43">
        <w:rPr>
          <w:rFonts w:ascii="Georgia" w:hAnsi="Georgia" w:cs="Arial"/>
          <w:color w:val="auto"/>
          <w:szCs w:val="24"/>
        </w:rPr>
        <w:t xml:space="preserve"> por</w:t>
      </w:r>
      <w:r w:rsidR="002F10B4" w:rsidRPr="00141E43">
        <w:rPr>
          <w:rFonts w:ascii="Georgia" w:hAnsi="Georgia" w:cs="Arial"/>
          <w:color w:val="auto"/>
          <w:szCs w:val="24"/>
        </w:rPr>
        <w:t xml:space="preserve"> esta razón </w:t>
      </w:r>
      <w:r w:rsidR="004B3EF4" w:rsidRPr="00141E43">
        <w:rPr>
          <w:rFonts w:ascii="Georgia" w:hAnsi="Georgia" w:cs="Arial"/>
          <w:color w:val="auto"/>
          <w:szCs w:val="24"/>
        </w:rPr>
        <w:t>deven</w:t>
      </w:r>
      <w:r w:rsidR="0078579A" w:rsidRPr="00141E43">
        <w:rPr>
          <w:rFonts w:ascii="Georgia" w:hAnsi="Georgia" w:cs="Arial"/>
          <w:color w:val="auto"/>
          <w:szCs w:val="24"/>
        </w:rPr>
        <w:t>drá l</w:t>
      </w:r>
      <w:r w:rsidR="004B3EF4" w:rsidRPr="00141E43">
        <w:rPr>
          <w:rFonts w:ascii="Georgia" w:hAnsi="Georgia" w:cs="Arial"/>
          <w:color w:val="auto"/>
          <w:szCs w:val="24"/>
        </w:rPr>
        <w:t xml:space="preserve">a confirmación de la decisión </w:t>
      </w:r>
      <w:r w:rsidR="005628A3" w:rsidRPr="00141E43">
        <w:rPr>
          <w:rFonts w:ascii="Georgia" w:hAnsi="Georgia" w:cs="Arial"/>
          <w:color w:val="auto"/>
          <w:szCs w:val="24"/>
        </w:rPr>
        <w:t>suplicada</w:t>
      </w:r>
      <w:bookmarkEnd w:id="6"/>
      <w:r w:rsidRPr="00141E43">
        <w:rPr>
          <w:rFonts w:ascii="Georgia" w:hAnsi="Georgia" w:cs="Arial"/>
          <w:color w:val="auto"/>
          <w:szCs w:val="24"/>
        </w:rPr>
        <w:t>, tal como pasa a explicarse.</w:t>
      </w:r>
    </w:p>
    <w:p w14:paraId="10397728" w14:textId="7D7A402D" w:rsidR="00224BD8" w:rsidRPr="00141E43" w:rsidRDefault="00224BD8" w:rsidP="007E6BB2">
      <w:pPr>
        <w:spacing w:line="276" w:lineRule="auto"/>
        <w:jc w:val="both"/>
        <w:rPr>
          <w:rFonts w:ascii="Georgia" w:hAnsi="Georgia" w:cs="Arial"/>
          <w:sz w:val="24"/>
          <w:szCs w:val="24"/>
        </w:rPr>
      </w:pPr>
    </w:p>
    <w:p w14:paraId="63377624" w14:textId="032D6644" w:rsidR="009B1D1D" w:rsidRPr="00141E43" w:rsidRDefault="009B1D1D" w:rsidP="007E6BB2">
      <w:pPr>
        <w:spacing w:line="276" w:lineRule="auto"/>
        <w:jc w:val="both"/>
        <w:rPr>
          <w:rFonts w:ascii="Georgia" w:hAnsi="Georgia" w:cs="Arial"/>
          <w:sz w:val="24"/>
          <w:szCs w:val="24"/>
        </w:rPr>
      </w:pPr>
      <w:bookmarkStart w:id="7" w:name="_Hlk79135524"/>
      <w:r w:rsidRPr="00141E43">
        <w:rPr>
          <w:rFonts w:ascii="Georgia" w:hAnsi="Georgia" w:cs="Arial"/>
          <w:smallCaps/>
          <w:sz w:val="24"/>
          <w:szCs w:val="24"/>
        </w:rPr>
        <w:t>La sustentación del recurso</w:t>
      </w:r>
      <w:r w:rsidR="00B0188B" w:rsidRPr="00141E43">
        <w:rPr>
          <w:rFonts w:ascii="Georgia" w:hAnsi="Georgia" w:cs="Arial"/>
          <w:smallCaps/>
          <w:sz w:val="24"/>
          <w:szCs w:val="24"/>
        </w:rPr>
        <w:t>.</w:t>
      </w:r>
      <w:r w:rsidRPr="00141E43">
        <w:rPr>
          <w:rFonts w:ascii="Georgia" w:hAnsi="Georgia" w:cs="Arial"/>
          <w:sz w:val="24"/>
          <w:szCs w:val="24"/>
        </w:rPr>
        <w:t xml:space="preserve"> </w:t>
      </w:r>
      <w:r w:rsidR="00B0188B" w:rsidRPr="00141E43">
        <w:rPr>
          <w:rFonts w:ascii="Georgia" w:hAnsi="Georgia" w:cs="Arial"/>
          <w:sz w:val="24"/>
          <w:szCs w:val="24"/>
        </w:rPr>
        <w:t>S</w:t>
      </w:r>
      <w:r w:rsidRPr="00141E43">
        <w:rPr>
          <w:rFonts w:ascii="Georgia" w:hAnsi="Georgia" w:cs="Arial"/>
          <w:sz w:val="24"/>
          <w:szCs w:val="24"/>
        </w:rPr>
        <w:t xml:space="preserve">e entiende como la exposición de las razones y fundamentos de porqué la </w:t>
      </w:r>
      <w:r w:rsidRPr="00141E43">
        <w:rPr>
          <w:rFonts w:ascii="Georgia" w:hAnsi="Georgia" w:cs="Arial"/>
          <w:i/>
          <w:iCs/>
          <w:sz w:val="24"/>
          <w:szCs w:val="24"/>
        </w:rPr>
        <w:t>“</w:t>
      </w:r>
      <w:r w:rsidRPr="00EB42A1">
        <w:rPr>
          <w:rFonts w:ascii="Georgia" w:hAnsi="Georgia" w:cs="Arial"/>
          <w:i/>
          <w:iCs/>
          <w:sz w:val="22"/>
          <w:szCs w:val="24"/>
        </w:rPr>
        <w:t>(…) providencia está errada, con el fin de que proceda a modificarla o revocarla, por cuanto es evidente que si el juez no tiene esa base, no le es dable entrar a resolver (…)</w:t>
      </w:r>
      <w:r w:rsidRPr="00141E43">
        <w:rPr>
          <w:rFonts w:ascii="Georgia" w:hAnsi="Georgia" w:cs="Arial"/>
          <w:iCs/>
          <w:sz w:val="24"/>
          <w:szCs w:val="24"/>
        </w:rPr>
        <w:t>”</w:t>
      </w:r>
      <w:r w:rsidRPr="00141E43">
        <w:rPr>
          <w:rFonts w:ascii="Georgia" w:hAnsi="Georgia" w:cs="Arial"/>
          <w:iCs/>
          <w:sz w:val="24"/>
          <w:szCs w:val="24"/>
          <w:vertAlign w:val="superscript"/>
        </w:rPr>
        <w:footnoteReference w:id="14"/>
      </w:r>
      <w:r w:rsidRPr="00141E43">
        <w:rPr>
          <w:rFonts w:ascii="Georgia" w:hAnsi="Georgia" w:cs="Arial"/>
          <w:sz w:val="24"/>
          <w:szCs w:val="24"/>
        </w:rPr>
        <w:t xml:space="preserve">.  </w:t>
      </w:r>
      <w:r w:rsidR="00B0188B" w:rsidRPr="00141E43">
        <w:rPr>
          <w:rFonts w:ascii="Georgia" w:hAnsi="Georgia" w:cs="Arial"/>
          <w:sz w:val="24"/>
          <w:szCs w:val="24"/>
        </w:rPr>
        <w:t>N</w:t>
      </w:r>
      <w:r w:rsidRPr="00141E43">
        <w:rPr>
          <w:rFonts w:ascii="Georgia" w:hAnsi="Georgia" w:cs="Arial"/>
          <w:sz w:val="24"/>
          <w:szCs w:val="24"/>
        </w:rPr>
        <w:t xml:space="preserve">o basta el mero deseo de la parte de recurrir una determinada providencia, </w:t>
      </w:r>
      <w:r w:rsidRPr="00141E43">
        <w:rPr>
          <w:rFonts w:ascii="Georgia" w:hAnsi="Georgia" w:cs="Arial"/>
          <w:sz w:val="24"/>
          <w:szCs w:val="24"/>
          <w:u w:val="single"/>
        </w:rPr>
        <w:t>debe indicar los motivos de su inconformidad</w:t>
      </w:r>
      <w:r w:rsidR="00B0188B" w:rsidRPr="00141E43">
        <w:rPr>
          <w:rFonts w:ascii="Georgia" w:hAnsi="Georgia" w:cs="Arial"/>
          <w:sz w:val="24"/>
          <w:szCs w:val="24"/>
          <w:u w:val="single"/>
        </w:rPr>
        <w:t>,</w:t>
      </w:r>
      <w:r w:rsidRPr="00141E43">
        <w:rPr>
          <w:rFonts w:ascii="Georgia" w:hAnsi="Georgia" w:cs="Arial"/>
          <w:sz w:val="24"/>
          <w:szCs w:val="24"/>
          <w:u w:val="single"/>
        </w:rPr>
        <w:t xml:space="preserve"> debidamente fundamentad</w:t>
      </w:r>
      <w:r w:rsidR="00B0188B" w:rsidRPr="00141E43">
        <w:rPr>
          <w:rFonts w:ascii="Georgia" w:hAnsi="Georgia" w:cs="Arial"/>
          <w:sz w:val="24"/>
          <w:szCs w:val="24"/>
          <w:u w:val="single"/>
        </w:rPr>
        <w:t>os</w:t>
      </w:r>
      <w:r w:rsidRPr="00141E43">
        <w:rPr>
          <w:rFonts w:ascii="Georgia" w:hAnsi="Georgia" w:cs="Arial"/>
          <w:sz w:val="24"/>
          <w:szCs w:val="24"/>
        </w:rPr>
        <w:t>.</w:t>
      </w:r>
    </w:p>
    <w:bookmarkEnd w:id="7"/>
    <w:p w14:paraId="38E6AFB9" w14:textId="77777777" w:rsidR="00DB091A" w:rsidRPr="00141E43" w:rsidRDefault="00DB091A" w:rsidP="007E6BB2">
      <w:pPr>
        <w:spacing w:line="276" w:lineRule="auto"/>
        <w:jc w:val="both"/>
        <w:rPr>
          <w:rFonts w:ascii="Georgia" w:hAnsi="Georgia" w:cs="Arial"/>
          <w:sz w:val="24"/>
          <w:szCs w:val="24"/>
        </w:rPr>
      </w:pPr>
    </w:p>
    <w:p w14:paraId="0BADB284" w14:textId="188B1642" w:rsidR="009B1D1D" w:rsidRPr="00141E43" w:rsidRDefault="009B1D1D" w:rsidP="007E6BB2">
      <w:pPr>
        <w:pStyle w:val="Sinespaciado"/>
        <w:spacing w:line="276" w:lineRule="auto"/>
        <w:jc w:val="both"/>
        <w:rPr>
          <w:rFonts w:ascii="Georgia" w:hAnsi="Georgia" w:cs="Arial"/>
        </w:rPr>
      </w:pPr>
      <w:r w:rsidRPr="00141E43">
        <w:rPr>
          <w:rFonts w:ascii="Georgia" w:hAnsi="Georgia" w:cs="Arial"/>
        </w:rPr>
        <w:t>Comenta, en la misma línea de pensamiento, el profesor Rojas G</w:t>
      </w:r>
      <w:r w:rsidRPr="00141E43">
        <w:rPr>
          <w:rStyle w:val="Refdenotaalpie"/>
          <w:rFonts w:ascii="Georgia" w:hAnsi="Georgia" w:cs="Arial"/>
        </w:rPr>
        <w:footnoteReference w:id="15"/>
      </w:r>
      <w:r w:rsidRPr="00141E43">
        <w:rPr>
          <w:rFonts w:ascii="Georgia" w:hAnsi="Georgia" w:cs="Arial"/>
        </w:rPr>
        <w:t>.: “</w:t>
      </w:r>
      <w:r w:rsidRPr="00EB42A1">
        <w:rPr>
          <w:rFonts w:ascii="Georgia" w:hAnsi="Georgia" w:cs="Arial"/>
          <w:i/>
          <w:iCs/>
          <w:sz w:val="22"/>
        </w:rPr>
        <w:t xml:space="preserve">Si el individuo se siente injustamente lesionado como consecuencia de la decisión judicial, habrá de tener por lo menos una razón seria para considerarlo así.  </w:t>
      </w:r>
      <w:r w:rsidRPr="00EB42A1">
        <w:rPr>
          <w:rFonts w:ascii="Georgia" w:hAnsi="Georgia" w:cs="Arial"/>
          <w:i/>
          <w:iCs/>
          <w:sz w:val="22"/>
          <w:u w:val="single"/>
        </w:rPr>
        <w:t>Para que fundadamente pueda esperar que la justicia se corrija removiendo los errores que la determinan, tendrá que explicar siquiera el motivo de su inconformidad.</w:t>
      </w:r>
      <w:r w:rsidRPr="00141E43">
        <w:rPr>
          <w:rFonts w:ascii="Georgia" w:hAnsi="Georgia" w:cs="Arial"/>
        </w:rPr>
        <w:t>” (Subrayado ajeno al original).</w:t>
      </w:r>
    </w:p>
    <w:p w14:paraId="2AE1AE08" w14:textId="77777777" w:rsidR="004B3EF4" w:rsidRPr="00141E43" w:rsidRDefault="004B3EF4" w:rsidP="007E6BB2">
      <w:pPr>
        <w:pStyle w:val="Sinespaciado"/>
        <w:spacing w:line="276" w:lineRule="auto"/>
        <w:jc w:val="both"/>
        <w:rPr>
          <w:rFonts w:ascii="Georgia" w:hAnsi="Georgia" w:cs="Arial"/>
        </w:rPr>
      </w:pPr>
    </w:p>
    <w:p w14:paraId="78C752C8" w14:textId="5FF6317E" w:rsidR="009B1D1D" w:rsidRPr="00141E43" w:rsidRDefault="009B1D1D" w:rsidP="007E6BB2">
      <w:pPr>
        <w:spacing w:line="276" w:lineRule="auto"/>
        <w:jc w:val="both"/>
        <w:rPr>
          <w:rFonts w:ascii="Georgia" w:hAnsi="Georgia" w:cs="Arial"/>
          <w:sz w:val="24"/>
          <w:szCs w:val="24"/>
        </w:rPr>
      </w:pPr>
      <w:r w:rsidRPr="00141E43">
        <w:rPr>
          <w:rFonts w:ascii="Georgia" w:hAnsi="Georgia" w:cs="Arial"/>
          <w:sz w:val="24"/>
          <w:szCs w:val="24"/>
        </w:rPr>
        <w:t>Oportunas aquí las palabras de la doctrina judicial del órgano de cierre de la especialidad</w:t>
      </w:r>
      <w:r w:rsidR="00F85E99" w:rsidRPr="00141E43">
        <w:rPr>
          <w:rFonts w:ascii="Georgia" w:hAnsi="Georgia" w:cs="Arial"/>
          <w:sz w:val="24"/>
          <w:szCs w:val="24"/>
        </w:rPr>
        <w:t xml:space="preserve"> (2014)</w:t>
      </w:r>
      <w:r w:rsidRPr="00141E43">
        <w:rPr>
          <w:rStyle w:val="Refdenotaalpie"/>
          <w:rFonts w:ascii="Georgia" w:hAnsi="Georgia"/>
          <w:sz w:val="24"/>
          <w:szCs w:val="24"/>
        </w:rPr>
        <w:footnoteReference w:id="16"/>
      </w:r>
      <w:r w:rsidRPr="00141E43">
        <w:rPr>
          <w:rFonts w:ascii="Georgia" w:hAnsi="Georgia" w:cs="Arial"/>
          <w:sz w:val="24"/>
          <w:szCs w:val="24"/>
        </w:rPr>
        <w:t xml:space="preserve">, que tiene dicho inveteradamente, que: </w:t>
      </w:r>
    </w:p>
    <w:p w14:paraId="46951DFA" w14:textId="77777777" w:rsidR="009B1D1D" w:rsidRPr="00141E43" w:rsidRDefault="009B1D1D" w:rsidP="007E6BB2">
      <w:pPr>
        <w:spacing w:line="276" w:lineRule="auto"/>
        <w:jc w:val="both"/>
        <w:rPr>
          <w:rFonts w:ascii="Georgia" w:hAnsi="Georgia" w:cs="Arial"/>
          <w:sz w:val="24"/>
          <w:szCs w:val="24"/>
        </w:rPr>
      </w:pPr>
    </w:p>
    <w:p w14:paraId="11BFB1EE" w14:textId="65F3AFE5" w:rsidR="009B1D1D" w:rsidRPr="002A6E80" w:rsidRDefault="009B1D1D" w:rsidP="002A6E80">
      <w:pPr>
        <w:pStyle w:val="Textoindependienteprimerasangra"/>
        <w:ind w:left="426" w:right="418" w:firstLine="141"/>
        <w:jc w:val="both"/>
        <w:rPr>
          <w:rFonts w:ascii="Georgia" w:hAnsi="Georgia"/>
          <w:kern w:val="2"/>
          <w:sz w:val="22"/>
        </w:rPr>
      </w:pPr>
      <w:r w:rsidRPr="002A6E80">
        <w:rPr>
          <w:rFonts w:ascii="Georgia" w:hAnsi="Georgia"/>
          <w:kern w:val="2"/>
          <w:sz w:val="22"/>
        </w:rPr>
        <w:t>4.4.1. Recurrir y sustentar por vía de apelación no significa hacer formulaciones genéricas o panorámicas</w:t>
      </w:r>
      <w:r w:rsidRPr="002A6E80">
        <w:rPr>
          <w:rStyle w:val="Refdenotaalpie"/>
          <w:rFonts w:ascii="Georgia" w:hAnsi="Georgia"/>
          <w:kern w:val="2"/>
          <w:sz w:val="22"/>
        </w:rPr>
        <w:footnoteReference w:id="17"/>
      </w:r>
      <w:r w:rsidRPr="002A6E80">
        <w:rPr>
          <w:rFonts w:ascii="Georgia" w:hAnsi="Georgia"/>
          <w:kern w:val="2"/>
          <w:sz w:val="22"/>
        </w:rPr>
        <w:t>, más bien supone:</w:t>
      </w:r>
    </w:p>
    <w:p w14:paraId="50AFC4D9" w14:textId="77777777" w:rsidR="002B1AC6" w:rsidRPr="002A6E80" w:rsidRDefault="002B1AC6" w:rsidP="002A6E80">
      <w:pPr>
        <w:pStyle w:val="Textoindependienteprimerasangra"/>
        <w:ind w:left="426" w:right="418" w:firstLine="141"/>
        <w:jc w:val="both"/>
        <w:rPr>
          <w:rFonts w:ascii="Georgia" w:hAnsi="Georgia"/>
          <w:kern w:val="2"/>
          <w:sz w:val="22"/>
        </w:rPr>
      </w:pPr>
    </w:p>
    <w:p w14:paraId="0219A0E7" w14:textId="77777777" w:rsidR="009B1D1D" w:rsidRPr="002A6E80" w:rsidRDefault="009B1D1D" w:rsidP="002A6E80">
      <w:pPr>
        <w:pStyle w:val="Textoindependienteprimerasangra"/>
        <w:ind w:left="426" w:right="418" w:firstLine="0"/>
        <w:jc w:val="both"/>
        <w:rPr>
          <w:rFonts w:ascii="Georgia" w:hAnsi="Georgia"/>
          <w:kern w:val="2"/>
          <w:sz w:val="22"/>
        </w:rPr>
      </w:pPr>
      <w:r w:rsidRPr="002A6E80">
        <w:rPr>
          <w:rFonts w:ascii="Georgia" w:hAnsi="Georgia"/>
          <w:kern w:val="2"/>
          <w:sz w:val="22"/>
        </w:rPr>
        <w:tab/>
        <w:t>1. Explicar clara y coherentemente las causas por las cuales debe corregirse una providencia. Es sustentar y manifestar las razones fácticas, probatorias y jurídicas de discrepancia con la decisión impugnada.</w:t>
      </w:r>
    </w:p>
    <w:p w14:paraId="2C3E5C31" w14:textId="77777777" w:rsidR="009B1D1D" w:rsidRPr="002A6E80" w:rsidRDefault="009B1D1D" w:rsidP="002A6E80">
      <w:pPr>
        <w:pStyle w:val="Textoindependienteprimerasangra"/>
        <w:ind w:left="426" w:right="418" w:firstLine="0"/>
        <w:jc w:val="both"/>
        <w:rPr>
          <w:rFonts w:ascii="Georgia" w:hAnsi="Georgia"/>
          <w:kern w:val="2"/>
          <w:sz w:val="22"/>
        </w:rPr>
      </w:pPr>
    </w:p>
    <w:p w14:paraId="6F6385F6" w14:textId="77777777" w:rsidR="009B1D1D" w:rsidRPr="002A6E80" w:rsidRDefault="009B1D1D" w:rsidP="002A6E80">
      <w:pPr>
        <w:pStyle w:val="Textoindependienteprimerasangra"/>
        <w:ind w:left="426" w:right="418" w:firstLine="0"/>
        <w:jc w:val="both"/>
        <w:rPr>
          <w:rFonts w:ascii="Georgia" w:hAnsi="Georgia"/>
          <w:kern w:val="2"/>
          <w:sz w:val="22"/>
        </w:rPr>
      </w:pPr>
      <w:r w:rsidRPr="002A6E80">
        <w:rPr>
          <w:rFonts w:ascii="Georgia" w:hAnsi="Georgia"/>
          <w:kern w:val="2"/>
          <w:sz w:val="22"/>
        </w:rPr>
        <w:tab/>
        <w:t>2. Demostrar los desaciertos de la decisión para examinarla, y por 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14:paraId="58172E1E" w14:textId="77777777" w:rsidR="009B1D1D" w:rsidRPr="002A6E80" w:rsidRDefault="009B1D1D" w:rsidP="002A6E80">
      <w:pPr>
        <w:pStyle w:val="Textoindependienteprimerasangra"/>
        <w:ind w:left="426" w:right="418" w:firstLine="0"/>
        <w:jc w:val="both"/>
        <w:rPr>
          <w:rFonts w:ascii="Georgia" w:hAnsi="Georgia"/>
          <w:kern w:val="2"/>
          <w:sz w:val="22"/>
        </w:rPr>
      </w:pPr>
    </w:p>
    <w:p w14:paraId="0C512991" w14:textId="77777777" w:rsidR="009B1D1D" w:rsidRPr="002A6E80" w:rsidRDefault="009B1D1D" w:rsidP="002A6E80">
      <w:pPr>
        <w:pStyle w:val="Textoindependienteprimerasangra"/>
        <w:ind w:left="426" w:right="418" w:firstLine="0"/>
        <w:jc w:val="both"/>
        <w:rPr>
          <w:rFonts w:ascii="Georgia" w:hAnsi="Georgia"/>
          <w:kern w:val="2"/>
          <w:sz w:val="22"/>
        </w:rPr>
      </w:pPr>
      <w:r w:rsidRPr="002A6E80">
        <w:rPr>
          <w:rFonts w:ascii="Georgia" w:hAnsi="Georgia"/>
          <w:kern w:val="2"/>
          <w:sz w:val="22"/>
        </w:rPr>
        <w:tab/>
        <w:t xml:space="preserve">3. </w:t>
      </w:r>
      <w:r w:rsidRPr="002A6E80">
        <w:rPr>
          <w:rFonts w:ascii="Georgia" w:hAnsi="Georgia"/>
          <w:kern w:val="2"/>
          <w:sz w:val="22"/>
          <w:u w:val="single"/>
        </w:rPr>
        <w:t>Apelar no es ensayar argumentos disímiles o marginales que nada tengan que ver con lo decidido en la providencia impugnada.</w:t>
      </w:r>
    </w:p>
    <w:p w14:paraId="20B44C09" w14:textId="77777777" w:rsidR="009B1D1D" w:rsidRPr="002A6E80" w:rsidRDefault="009B1D1D" w:rsidP="002A6E80">
      <w:pPr>
        <w:pStyle w:val="Textoindependienteprimerasangra"/>
        <w:ind w:left="426" w:right="418" w:firstLine="0"/>
        <w:jc w:val="both"/>
        <w:rPr>
          <w:rFonts w:ascii="Georgia" w:hAnsi="Georgia"/>
          <w:kern w:val="2"/>
          <w:sz w:val="22"/>
        </w:rPr>
      </w:pPr>
    </w:p>
    <w:p w14:paraId="3FD5BD20" w14:textId="77777777" w:rsidR="009B1D1D" w:rsidRPr="002A6E80" w:rsidRDefault="009B1D1D" w:rsidP="002A6E80">
      <w:pPr>
        <w:pStyle w:val="Textoindependienteprimerasangra"/>
        <w:ind w:left="426" w:right="418" w:firstLine="0"/>
        <w:jc w:val="both"/>
        <w:rPr>
          <w:rFonts w:ascii="Georgia" w:hAnsi="Georgia"/>
          <w:kern w:val="2"/>
          <w:sz w:val="22"/>
        </w:rPr>
      </w:pPr>
      <w:r w:rsidRPr="002A6E80">
        <w:rPr>
          <w:rFonts w:ascii="Georgia" w:hAnsi="Georgia"/>
          <w:kern w:val="2"/>
          <w:sz w:val="22"/>
        </w:rPr>
        <w:tab/>
        <w:t>4. Tampoco es repetir lo ya argumentado en una petición que ha sido resuelta de manera contraria, sin atacar los fundamentos de la decisión, ni es mucho menos, remitirse a lo expresado con antelación a la providencia que se decide.</w:t>
      </w:r>
    </w:p>
    <w:p w14:paraId="05C555E3" w14:textId="77777777" w:rsidR="009B1D1D" w:rsidRPr="002A6E80" w:rsidRDefault="009B1D1D" w:rsidP="002A6E80">
      <w:pPr>
        <w:pStyle w:val="Textoindependienteprimerasangra"/>
        <w:ind w:left="426" w:right="418" w:firstLine="0"/>
        <w:jc w:val="both"/>
        <w:rPr>
          <w:rFonts w:ascii="Georgia" w:hAnsi="Georgia"/>
          <w:kern w:val="2"/>
          <w:sz w:val="22"/>
        </w:rPr>
      </w:pPr>
    </w:p>
    <w:p w14:paraId="7E7C9018" w14:textId="77777777" w:rsidR="009B1D1D" w:rsidRPr="002A6E80" w:rsidRDefault="009B1D1D" w:rsidP="002A6E80">
      <w:pPr>
        <w:pStyle w:val="Sinespaciado"/>
        <w:ind w:left="426" w:right="418" w:firstLine="142"/>
        <w:jc w:val="both"/>
        <w:rPr>
          <w:rFonts w:ascii="Georgia" w:hAnsi="Georgia" w:cs="Arial"/>
          <w:sz w:val="22"/>
        </w:rPr>
      </w:pPr>
      <w:r w:rsidRPr="002A6E80">
        <w:rPr>
          <w:rFonts w:ascii="Georgia" w:hAnsi="Georgia"/>
          <w:kern w:val="2"/>
          <w:sz w:val="22"/>
        </w:rPr>
        <w:t xml:space="preserve">5. Es hacer explícitos los argumentos de disentimiento y de confutación, denunciando las equivocaciones, </w:t>
      </w:r>
      <w:r w:rsidRPr="002A6E80">
        <w:rPr>
          <w:rFonts w:ascii="Georgia" w:hAnsi="Georgia"/>
          <w:smallCaps/>
          <w:kern w:val="2"/>
          <w:sz w:val="22"/>
        </w:rPr>
        <w:t xml:space="preserve">porque son éstos, y no otros, los aspectos que delimitan la competencia y fijan el marco del examen y del pronunciamiento de la cuestión debatida. </w:t>
      </w:r>
      <w:r w:rsidRPr="002A6E80">
        <w:rPr>
          <w:rFonts w:ascii="Georgia" w:hAnsi="Georgia"/>
          <w:kern w:val="2"/>
          <w:sz w:val="22"/>
        </w:rPr>
        <w:t>Las Sublíneas y las versalitas son de este escrito.</w:t>
      </w:r>
    </w:p>
    <w:p w14:paraId="0BB0F67D" w14:textId="77777777" w:rsidR="009B1D1D" w:rsidRPr="00141E43" w:rsidRDefault="009B1D1D" w:rsidP="007E6BB2">
      <w:pPr>
        <w:pStyle w:val="Sinespaciado"/>
        <w:spacing w:line="276" w:lineRule="auto"/>
        <w:jc w:val="both"/>
        <w:rPr>
          <w:rFonts w:ascii="Georgia" w:hAnsi="Georgia" w:cs="Arial"/>
        </w:rPr>
      </w:pPr>
    </w:p>
    <w:p w14:paraId="1EECC000" w14:textId="6D973022" w:rsidR="009B1D1D" w:rsidRPr="00141E43" w:rsidRDefault="002F10B4" w:rsidP="007E6BB2">
      <w:pPr>
        <w:pStyle w:val="Sinespaciado"/>
        <w:spacing w:line="276" w:lineRule="auto"/>
        <w:jc w:val="both"/>
        <w:rPr>
          <w:rFonts w:ascii="Georgia" w:hAnsi="Georgia" w:cs="Arial"/>
          <w:lang w:val="es-CO"/>
        </w:rPr>
      </w:pPr>
      <w:bookmarkStart w:id="8" w:name="_Hlk79135645"/>
      <w:r w:rsidRPr="00141E43">
        <w:rPr>
          <w:rFonts w:ascii="Georgia" w:hAnsi="Georgia" w:cs="Arial"/>
          <w:lang w:val="es-CO"/>
        </w:rPr>
        <w:t xml:space="preserve">Los recursos </w:t>
      </w:r>
      <w:r w:rsidR="009B1D1D" w:rsidRPr="00141E43">
        <w:rPr>
          <w:rFonts w:ascii="Georgia" w:hAnsi="Georgia" w:cs="Arial"/>
          <w:lang w:val="es-CO"/>
        </w:rPr>
        <w:t xml:space="preserve">no </w:t>
      </w:r>
      <w:r w:rsidRPr="00141E43">
        <w:rPr>
          <w:rFonts w:ascii="Georgia" w:hAnsi="Georgia" w:cs="Arial"/>
          <w:lang w:val="es-CO"/>
        </w:rPr>
        <w:t xml:space="preserve">consisten en </w:t>
      </w:r>
      <w:r w:rsidR="009B1D1D" w:rsidRPr="00141E43">
        <w:rPr>
          <w:rFonts w:ascii="Georgia" w:hAnsi="Georgia" w:cs="Arial"/>
          <w:lang w:val="es-CO"/>
        </w:rPr>
        <w:t>simplemente una manifestación aislada de disconformidad por parte de los intervinientes</w:t>
      </w:r>
      <w:r w:rsidRPr="00141E43">
        <w:rPr>
          <w:rFonts w:ascii="Georgia" w:hAnsi="Georgia" w:cs="Arial"/>
          <w:lang w:val="es-CO"/>
        </w:rPr>
        <w:t>,</w:t>
      </w:r>
      <w:r w:rsidR="009B1D1D" w:rsidRPr="00141E43">
        <w:rPr>
          <w:rFonts w:ascii="Georgia" w:hAnsi="Georgia" w:cs="Arial"/>
          <w:lang w:val="es-CO"/>
        </w:rPr>
        <w:t xml:space="preserve"> ante una decisión que afecta sus intereses, en realidad, </w:t>
      </w:r>
      <w:r w:rsidR="009B1D1D" w:rsidRPr="00141E43">
        <w:rPr>
          <w:rFonts w:ascii="Georgia" w:hAnsi="Georgia" w:cs="Arial"/>
          <w:i/>
          <w:u w:val="single"/>
          <w:lang w:val="es-CO"/>
        </w:rPr>
        <w:t xml:space="preserve">equivale a una labor seria y juiciosa que implica el estudio de </w:t>
      </w:r>
      <w:r w:rsidR="009B1D1D" w:rsidRPr="00141E43">
        <w:rPr>
          <w:rFonts w:ascii="Georgia" w:hAnsi="Georgia" w:cs="Arial"/>
          <w:i/>
          <w:u w:val="single"/>
          <w:lang w:val="es-CO"/>
        </w:rPr>
        <w:lastRenderedPageBreak/>
        <w:t>aquellos puntos sobre los cuales se discrepa, para luego refutarlos o controvertirlos fundadamente</w:t>
      </w:r>
      <w:r w:rsidR="009B1D1D" w:rsidRPr="00141E43">
        <w:rPr>
          <w:rFonts w:ascii="Georgia" w:hAnsi="Georgia" w:cs="Arial"/>
          <w:lang w:val="es-CO"/>
        </w:rPr>
        <w:t>, teniendo en cuenta que la gestión de la segunda instancia, en últimas, es la de auscultar en los argumentos de la impugnación para concluir, si según los motivos expuestos allí, le asiste razón o no.</w:t>
      </w:r>
    </w:p>
    <w:bookmarkEnd w:id="8"/>
    <w:p w14:paraId="7B8E8861" w14:textId="77777777" w:rsidR="009B1D1D" w:rsidRPr="00141E43" w:rsidRDefault="009B1D1D" w:rsidP="007E6BB2">
      <w:pPr>
        <w:pStyle w:val="Sinespaciado"/>
        <w:spacing w:line="276" w:lineRule="auto"/>
        <w:jc w:val="both"/>
        <w:rPr>
          <w:rFonts w:ascii="Georgia" w:hAnsi="Georgia" w:cs="Arial"/>
        </w:rPr>
      </w:pPr>
    </w:p>
    <w:p w14:paraId="2612DCEA" w14:textId="34D1D81F" w:rsidR="009B1D1D" w:rsidRPr="00141E43" w:rsidRDefault="009B1D1D" w:rsidP="007E6BB2">
      <w:pPr>
        <w:pStyle w:val="Sinespaciado"/>
        <w:spacing w:line="276" w:lineRule="auto"/>
        <w:jc w:val="both"/>
        <w:rPr>
          <w:rFonts w:ascii="Georgia" w:hAnsi="Georgia" w:cs="Arial"/>
        </w:rPr>
      </w:pPr>
      <w:r w:rsidRPr="00141E43">
        <w:rPr>
          <w:rFonts w:ascii="Georgia" w:hAnsi="Georgia" w:cs="Arial"/>
          <w:lang w:val="es-CO"/>
        </w:rPr>
        <w:t>Sobre el tema se ha ocupado la misma CC</w:t>
      </w:r>
      <w:r w:rsidRPr="00141E43">
        <w:rPr>
          <w:rFonts w:ascii="Georgia" w:hAnsi="Georgia" w:cs="Arial"/>
          <w:vertAlign w:val="superscript"/>
        </w:rPr>
        <w:footnoteReference w:id="18"/>
      </w:r>
      <w:r w:rsidRPr="00141E43">
        <w:rPr>
          <w:rFonts w:ascii="Georgia" w:hAnsi="Georgia" w:cs="Arial"/>
          <w:lang w:val="es-CO"/>
        </w:rPr>
        <w:t xml:space="preserve"> y </w:t>
      </w:r>
      <w:r w:rsidRPr="00141E43">
        <w:rPr>
          <w:rFonts w:ascii="Georgia" w:hAnsi="Georgia" w:cs="Arial"/>
        </w:rPr>
        <w:t>la Sala de Casación Civil de la Corte Suprema de Justicia</w:t>
      </w:r>
      <w:r w:rsidRPr="00141E43">
        <w:rPr>
          <w:rStyle w:val="Refdenotaalpie"/>
          <w:rFonts w:ascii="Georgia" w:hAnsi="Georgia" w:cs="Arial"/>
        </w:rPr>
        <w:footnoteReference w:id="19"/>
      </w:r>
      <w:r w:rsidRPr="00141E43">
        <w:rPr>
          <w:rFonts w:ascii="Georgia" w:hAnsi="Georgia" w:cs="Arial"/>
        </w:rPr>
        <w:t xml:space="preserve">, </w:t>
      </w:r>
      <w:r w:rsidR="00EE1554" w:rsidRPr="00141E43">
        <w:rPr>
          <w:rFonts w:ascii="Georgia" w:hAnsi="Georgia" w:cs="Arial"/>
        </w:rPr>
        <w:t xml:space="preserve">esta última </w:t>
      </w:r>
      <w:r w:rsidRPr="00141E43">
        <w:rPr>
          <w:rFonts w:ascii="Georgia" w:hAnsi="Georgia" w:cs="Arial"/>
        </w:rPr>
        <w:t>de antaño ha precisado que el requisito de la sustentación para que se torne admisible, impone al recurrente precisar con razones claras y puntuales su descontento, en este sentido explicó: “</w:t>
      </w:r>
      <w:r w:rsidRPr="002A6E80">
        <w:rPr>
          <w:rFonts w:ascii="Georgia" w:hAnsi="Georgia" w:cs="Arial"/>
          <w:i/>
          <w:sz w:val="22"/>
        </w:rPr>
        <w:t>(…) El impugnante se limita simplemente a calificar la providencia recurrida de (…)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 (…)</w:t>
      </w:r>
      <w:r w:rsidRPr="00141E43">
        <w:rPr>
          <w:rFonts w:ascii="Georgia" w:hAnsi="Georgia" w:cs="Arial"/>
          <w:i/>
        </w:rPr>
        <w:t>”.</w:t>
      </w:r>
      <w:r w:rsidRPr="00141E43">
        <w:rPr>
          <w:rFonts w:ascii="Georgia" w:hAnsi="Georgia" w:cs="Arial"/>
        </w:rPr>
        <w:t xml:space="preserve"> </w:t>
      </w:r>
    </w:p>
    <w:p w14:paraId="3CB1B13C" w14:textId="77777777" w:rsidR="009B1D1D" w:rsidRPr="00141E43" w:rsidRDefault="009B1D1D" w:rsidP="007E6BB2">
      <w:pPr>
        <w:pStyle w:val="NormalWeb"/>
        <w:spacing w:before="0" w:beforeAutospacing="0" w:after="0" w:afterAutospacing="0" w:line="276" w:lineRule="auto"/>
        <w:jc w:val="both"/>
        <w:rPr>
          <w:rFonts w:ascii="Georgia" w:hAnsi="Georgia" w:cs="Arial"/>
        </w:rPr>
      </w:pPr>
    </w:p>
    <w:p w14:paraId="32B03C02" w14:textId="1674F2A3" w:rsidR="004A443F" w:rsidRPr="00141E43" w:rsidRDefault="009B1D1D" w:rsidP="007E6BB2">
      <w:pPr>
        <w:pStyle w:val="Sinespaciado"/>
        <w:spacing w:line="276" w:lineRule="auto"/>
        <w:jc w:val="both"/>
        <w:rPr>
          <w:rFonts w:ascii="Georgia" w:hAnsi="Georgia" w:cs="Arial"/>
        </w:rPr>
      </w:pPr>
      <w:r w:rsidRPr="00141E43">
        <w:rPr>
          <w:rFonts w:ascii="Georgia" w:hAnsi="Georgia" w:cs="Arial"/>
        </w:rPr>
        <w:t>Todo lo dicho se acentúa mucho más ahora con la adopción de la apelación restrictiva, en el sistema del CGP</w:t>
      </w:r>
      <w:r w:rsidR="008B147E" w:rsidRPr="00141E43">
        <w:rPr>
          <w:rFonts w:ascii="Georgia" w:hAnsi="Georgia" w:cs="Arial"/>
        </w:rPr>
        <w:t xml:space="preserve">, donde </w:t>
      </w:r>
      <w:r w:rsidR="002F5088" w:rsidRPr="00141E43">
        <w:rPr>
          <w:rFonts w:ascii="Georgia" w:hAnsi="Georgia" w:cs="Arial"/>
        </w:rPr>
        <w:t>lo</w:t>
      </w:r>
      <w:r w:rsidR="004A443F" w:rsidRPr="00141E43">
        <w:rPr>
          <w:rFonts w:ascii="Georgia" w:hAnsi="Georgia" w:cs="Arial"/>
          <w:iCs/>
        </w:rPr>
        <w:t xml:space="preserve">s límites </w:t>
      </w:r>
      <w:r w:rsidR="008B147E" w:rsidRPr="00141E43">
        <w:rPr>
          <w:rFonts w:ascii="Georgia" w:hAnsi="Georgia" w:cs="Arial"/>
          <w:iCs/>
        </w:rPr>
        <w:t xml:space="preserve">para </w:t>
      </w:r>
      <w:r w:rsidR="004A443F" w:rsidRPr="00141E43">
        <w:rPr>
          <w:rFonts w:ascii="Georgia" w:hAnsi="Georgia" w:cs="Arial"/>
          <w:iCs/>
        </w:rPr>
        <w:t>decidir en la alzada</w:t>
      </w:r>
      <w:r w:rsidR="002F5088" w:rsidRPr="00141E43">
        <w:rPr>
          <w:rFonts w:ascii="Georgia" w:hAnsi="Georgia" w:cs="Arial"/>
          <w:iCs/>
        </w:rPr>
        <w:t xml:space="preserve">, </w:t>
      </w:r>
      <w:r w:rsidR="002F5088" w:rsidRPr="00141E43">
        <w:rPr>
          <w:rFonts w:ascii="Georgia" w:hAnsi="Georgia" w:cs="Arial"/>
        </w:rPr>
        <w:t xml:space="preserve">están </w:t>
      </w:r>
      <w:r w:rsidR="004A443F" w:rsidRPr="00141E43">
        <w:rPr>
          <w:rFonts w:ascii="Georgia" w:hAnsi="Georgia" w:cs="Arial"/>
        </w:rPr>
        <w:t>definidos por los temas objeto del recurso</w:t>
      </w:r>
      <w:r w:rsidR="005628A3" w:rsidRPr="00141E43">
        <w:rPr>
          <w:rFonts w:ascii="Georgia" w:hAnsi="Georgia" w:cs="Arial"/>
        </w:rPr>
        <w:t xml:space="preserve">. Se </w:t>
      </w:r>
      <w:r w:rsidR="00225507" w:rsidRPr="00141E43">
        <w:rPr>
          <w:rFonts w:ascii="Georgia" w:hAnsi="Georgia" w:cs="Arial"/>
        </w:rPr>
        <w:t xml:space="preserve">trata de </w:t>
      </w:r>
      <w:r w:rsidR="004A443F" w:rsidRPr="00141E43">
        <w:rPr>
          <w:rFonts w:ascii="Georgia" w:hAnsi="Georgia" w:cs="Arial"/>
        </w:rPr>
        <w:t xml:space="preserve">una patente aplicación del modelo dispositivo en el proceso civil nacional (Arts.  320 y 328, CGP), </w:t>
      </w:r>
      <w:r w:rsidR="00225507" w:rsidRPr="00141E43">
        <w:rPr>
          <w:rFonts w:ascii="Georgia" w:hAnsi="Georgia" w:cs="Arial"/>
        </w:rPr>
        <w:t xml:space="preserve">o </w:t>
      </w:r>
      <w:r w:rsidR="004A443F" w:rsidRPr="00141E43">
        <w:rPr>
          <w:rFonts w:ascii="Georgia" w:hAnsi="Georgia" w:cs="Arial"/>
        </w:rPr>
        <w:t xml:space="preserve">lo que hoy se conoce como la </w:t>
      </w:r>
      <w:r w:rsidR="004A443F" w:rsidRPr="00141E43">
        <w:rPr>
          <w:rFonts w:ascii="Georgia" w:hAnsi="Georgia" w:cs="Arial"/>
          <w:i/>
          <w:iCs/>
        </w:rPr>
        <w:t>pretensión impugnaticia</w:t>
      </w:r>
      <w:r w:rsidR="004A443F" w:rsidRPr="00141E43">
        <w:rPr>
          <w:rStyle w:val="Refdenotaalpie"/>
          <w:rFonts w:ascii="Georgia" w:hAnsi="Georgia"/>
          <w:i/>
          <w:iCs/>
        </w:rPr>
        <w:footnoteReference w:id="20"/>
      </w:r>
      <w:r w:rsidR="004A443F" w:rsidRPr="00141E43">
        <w:rPr>
          <w:rFonts w:ascii="Georgia" w:hAnsi="Georgia" w:cs="Arial"/>
        </w:rPr>
        <w:t>, novedad de la nueva regulación procedimental del CGP, según la literatura especializada, entre ellos el doctor Forero S.</w:t>
      </w:r>
      <w:r w:rsidR="004A443F" w:rsidRPr="00141E43">
        <w:rPr>
          <w:rStyle w:val="Refdenotaalpie"/>
          <w:rFonts w:ascii="Georgia" w:hAnsi="Georgia"/>
        </w:rPr>
        <w:footnoteReference w:id="21"/>
      </w:r>
      <w:r w:rsidR="004A443F" w:rsidRPr="00141E43">
        <w:rPr>
          <w:rFonts w:ascii="Georgia" w:hAnsi="Georgia" w:cs="Arial"/>
        </w:rPr>
        <w:t>. Discrepa</w:t>
      </w:r>
      <w:r w:rsidR="00EE1554" w:rsidRPr="00141E43">
        <w:rPr>
          <w:rFonts w:ascii="Georgia" w:hAnsi="Georgia" w:cs="Arial"/>
        </w:rPr>
        <w:t>,</w:t>
      </w:r>
      <w:r w:rsidR="004A443F" w:rsidRPr="00141E43">
        <w:rPr>
          <w:rFonts w:ascii="Georgia" w:hAnsi="Georgia" w:cs="Arial"/>
        </w:rPr>
        <w:t xml:space="preserve"> el profesor Bejarano G.</w:t>
      </w:r>
      <w:r w:rsidR="004A443F" w:rsidRPr="00141E43">
        <w:rPr>
          <w:rStyle w:val="Refdenotaalpie"/>
          <w:rFonts w:ascii="Georgia" w:hAnsi="Georgia"/>
        </w:rPr>
        <w:footnoteReference w:id="22"/>
      </w:r>
      <w:r w:rsidR="004A443F" w:rsidRPr="00141E43">
        <w:rPr>
          <w:rFonts w:ascii="Georgia" w:hAnsi="Georgia" w:cs="Arial"/>
        </w:rPr>
        <w:t>, al entender que contraviene la tutela judicial efectiva, de igual parecer Quintero G.</w:t>
      </w:r>
      <w:r w:rsidR="004A443F" w:rsidRPr="00141E43">
        <w:rPr>
          <w:rStyle w:val="Refdenotaalpie"/>
          <w:rFonts w:ascii="Georgia" w:hAnsi="Georgia"/>
        </w:rPr>
        <w:footnoteReference w:id="23"/>
      </w:r>
      <w:r w:rsidR="004A443F" w:rsidRPr="00141E43">
        <w:rPr>
          <w:rFonts w:ascii="Georgia" w:hAnsi="Georgia" w:cs="Arial"/>
        </w:rPr>
        <w:t>, mas esta Magistratura disiente de esas opiniones divergentes, en todo caso minoritarias.</w:t>
      </w:r>
    </w:p>
    <w:p w14:paraId="224BBC26" w14:textId="77777777" w:rsidR="002A6E80" w:rsidRDefault="002A6E80" w:rsidP="007E6BB2">
      <w:pPr>
        <w:spacing w:line="276" w:lineRule="auto"/>
        <w:jc w:val="both"/>
        <w:rPr>
          <w:rFonts w:ascii="Georgia" w:hAnsi="Georgia" w:cs="Arial"/>
          <w:sz w:val="24"/>
          <w:szCs w:val="24"/>
        </w:rPr>
      </w:pPr>
    </w:p>
    <w:p w14:paraId="4E8A529F" w14:textId="7730544E" w:rsidR="002F5088" w:rsidRPr="00141E43" w:rsidRDefault="004A443F" w:rsidP="007E6BB2">
      <w:pPr>
        <w:spacing w:line="276" w:lineRule="auto"/>
        <w:jc w:val="both"/>
        <w:rPr>
          <w:rFonts w:ascii="Georgia" w:hAnsi="Georgia" w:cs="Arial"/>
          <w:sz w:val="24"/>
          <w:szCs w:val="24"/>
        </w:rPr>
      </w:pPr>
      <w:r w:rsidRPr="00141E43">
        <w:rPr>
          <w:rFonts w:ascii="Georgia" w:hAnsi="Georgia" w:cs="Arial"/>
          <w:sz w:val="24"/>
          <w:szCs w:val="24"/>
        </w:rPr>
        <w:t>Ha entendido, de manera pacífica y consistente, esta Colegiatura en múltiples decisiones, por ejemplo, las más recientes: de esta misma Sala y de otra</w:t>
      </w:r>
      <w:r w:rsidRPr="00141E43">
        <w:rPr>
          <w:rStyle w:val="Refdenotaalpie"/>
          <w:rFonts w:ascii="Georgia" w:hAnsi="Georgia"/>
          <w:sz w:val="24"/>
          <w:szCs w:val="24"/>
        </w:rPr>
        <w:footnoteReference w:id="24"/>
      </w:r>
      <w:r w:rsidRPr="00141E43">
        <w:rPr>
          <w:rFonts w:ascii="Georgia" w:hAnsi="Georgia" w:cs="Arial"/>
          <w:sz w:val="24"/>
          <w:szCs w:val="24"/>
        </w:rPr>
        <w:t>, que opera la aludida restricción. En la última sentencia mencionada, se prohijó lo argüido por la CSJ en 2017</w:t>
      </w:r>
      <w:r w:rsidRPr="00141E43">
        <w:rPr>
          <w:rStyle w:val="Refdenotaalpie"/>
          <w:rFonts w:ascii="Georgia" w:hAnsi="Georgia"/>
          <w:sz w:val="24"/>
          <w:szCs w:val="24"/>
        </w:rPr>
        <w:footnoteReference w:id="25"/>
      </w:r>
      <w:r w:rsidRPr="00141E43">
        <w:rPr>
          <w:rFonts w:ascii="Georgia" w:hAnsi="Georgia" w:cs="Arial"/>
          <w:sz w:val="24"/>
          <w:szCs w:val="24"/>
        </w:rPr>
        <w:t>, eso sí como criterio auxiliar; y en decisión posterior y más reciente, la misma Corporación</w:t>
      </w:r>
      <w:r w:rsidRPr="00141E43">
        <w:rPr>
          <w:rStyle w:val="Refdenotaalpie"/>
          <w:rFonts w:ascii="Georgia" w:hAnsi="Georgia"/>
          <w:sz w:val="24"/>
          <w:szCs w:val="24"/>
        </w:rPr>
        <w:footnoteReference w:id="26"/>
      </w:r>
      <w:r w:rsidRPr="00141E43">
        <w:rPr>
          <w:rFonts w:ascii="Georgia" w:hAnsi="Georgia" w:cs="Arial"/>
          <w:sz w:val="24"/>
          <w:szCs w:val="24"/>
        </w:rPr>
        <w:t xml:space="preserve"> (2019), ya en sede de casación reiteró la referida tesis de la apelación restrictiva.</w:t>
      </w:r>
      <w:r w:rsidR="002F5088" w:rsidRPr="00141E43">
        <w:rPr>
          <w:rFonts w:ascii="Georgia" w:hAnsi="Georgia" w:cs="Arial"/>
          <w:sz w:val="24"/>
          <w:szCs w:val="24"/>
        </w:rPr>
        <w:t xml:space="preserve"> </w:t>
      </w:r>
      <w:bookmarkStart w:id="10" w:name="_Hlk74124785"/>
      <w:r w:rsidR="002F5088" w:rsidRPr="00141E43">
        <w:rPr>
          <w:rFonts w:ascii="Georgia" w:hAnsi="Georgia" w:cs="Arial"/>
          <w:sz w:val="24"/>
          <w:szCs w:val="24"/>
          <w:lang w:val="es-CO"/>
        </w:rPr>
        <w:t>Arguye en su obra reciente (2021), el profesor Parra B</w:t>
      </w:r>
      <w:r w:rsidR="002F5088" w:rsidRPr="00141E43">
        <w:rPr>
          <w:rStyle w:val="Refdenotaalpie"/>
          <w:rFonts w:ascii="Georgia" w:hAnsi="Georgia"/>
          <w:sz w:val="24"/>
          <w:szCs w:val="24"/>
          <w:lang w:val="es-CO"/>
        </w:rPr>
        <w:footnoteReference w:id="27"/>
      </w:r>
      <w:r w:rsidR="002F5088" w:rsidRPr="00141E43">
        <w:rPr>
          <w:rFonts w:ascii="Georgia" w:hAnsi="Georgia" w:cs="Arial"/>
          <w:sz w:val="24"/>
          <w:szCs w:val="24"/>
          <w:lang w:val="es-CO"/>
        </w:rPr>
        <w:t>.:</w:t>
      </w:r>
      <w:r w:rsidR="002A6E80">
        <w:rPr>
          <w:rFonts w:ascii="Georgia" w:hAnsi="Georgia" w:cs="Arial"/>
          <w:sz w:val="24"/>
          <w:szCs w:val="24"/>
          <w:lang w:val="es-CO"/>
        </w:rPr>
        <w:t xml:space="preserve"> “</w:t>
      </w:r>
      <w:r w:rsidR="002F5088" w:rsidRPr="002A6E80">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2F5088" w:rsidRPr="00141E43">
        <w:rPr>
          <w:rFonts w:ascii="Georgia" w:hAnsi="Georgia" w:cs="Arial"/>
          <w:sz w:val="24"/>
          <w:szCs w:val="24"/>
          <w:lang w:val="es-CO"/>
        </w:rPr>
        <w:t>”.</w:t>
      </w:r>
      <w:bookmarkEnd w:id="10"/>
    </w:p>
    <w:p w14:paraId="0E2482C4" w14:textId="3DBAD3F7" w:rsidR="004A443F" w:rsidRPr="00141E43" w:rsidRDefault="004A443F" w:rsidP="007E6BB2">
      <w:pPr>
        <w:spacing w:line="276" w:lineRule="auto"/>
        <w:jc w:val="both"/>
        <w:rPr>
          <w:rFonts w:ascii="Georgia" w:hAnsi="Georgia" w:cs="Arial"/>
          <w:sz w:val="24"/>
          <w:szCs w:val="24"/>
        </w:rPr>
      </w:pPr>
    </w:p>
    <w:p w14:paraId="50D32559" w14:textId="01DC32D6" w:rsidR="004B3EF4" w:rsidRPr="00141E43" w:rsidRDefault="002F5088" w:rsidP="007E6BB2">
      <w:pPr>
        <w:spacing w:line="276" w:lineRule="auto"/>
        <w:jc w:val="both"/>
        <w:rPr>
          <w:rFonts w:ascii="Georgia" w:hAnsi="Georgia" w:cs="Arial"/>
          <w:sz w:val="24"/>
          <w:szCs w:val="24"/>
        </w:rPr>
      </w:pPr>
      <w:r w:rsidRPr="00141E43">
        <w:rPr>
          <w:rFonts w:ascii="Georgia" w:hAnsi="Georgia" w:cs="Arial"/>
          <w:sz w:val="24"/>
          <w:szCs w:val="24"/>
        </w:rPr>
        <w:t>Descendiendo en autos</w:t>
      </w:r>
      <w:r w:rsidR="00225507" w:rsidRPr="00141E43">
        <w:rPr>
          <w:rFonts w:ascii="Georgia" w:hAnsi="Georgia" w:cs="Arial"/>
          <w:sz w:val="24"/>
          <w:szCs w:val="24"/>
        </w:rPr>
        <w:t>,</w:t>
      </w:r>
      <w:r w:rsidR="0078579A" w:rsidRPr="00141E43">
        <w:rPr>
          <w:rFonts w:ascii="Georgia" w:hAnsi="Georgia" w:cs="Arial"/>
          <w:sz w:val="24"/>
          <w:szCs w:val="24"/>
        </w:rPr>
        <w:t xml:space="preserve"> se itera, </w:t>
      </w:r>
      <w:r w:rsidR="00225507" w:rsidRPr="00141E43">
        <w:rPr>
          <w:rFonts w:ascii="Georgia" w:hAnsi="Georgia" w:cs="Arial"/>
          <w:sz w:val="24"/>
          <w:szCs w:val="24"/>
        </w:rPr>
        <w:t>el rechazo de plano de la nulidad invocada</w:t>
      </w:r>
      <w:r w:rsidR="0012426E" w:rsidRPr="00141E43">
        <w:rPr>
          <w:rFonts w:ascii="Georgia" w:hAnsi="Georgia" w:cs="Arial"/>
          <w:sz w:val="24"/>
          <w:szCs w:val="24"/>
        </w:rPr>
        <w:t xml:space="preserve">, </w:t>
      </w:r>
      <w:r w:rsidR="00560779" w:rsidRPr="00141E43">
        <w:rPr>
          <w:rFonts w:ascii="Georgia" w:hAnsi="Georgia" w:cs="Arial"/>
          <w:sz w:val="24"/>
          <w:szCs w:val="24"/>
        </w:rPr>
        <w:t>cuyo cuestionamiento se desata en est</w:t>
      </w:r>
      <w:r w:rsidR="005628A3" w:rsidRPr="00141E43">
        <w:rPr>
          <w:rFonts w:ascii="Georgia" w:hAnsi="Georgia" w:cs="Arial"/>
          <w:sz w:val="24"/>
          <w:szCs w:val="24"/>
        </w:rPr>
        <w:t>e proveído</w:t>
      </w:r>
      <w:r w:rsidR="00560779" w:rsidRPr="00141E43">
        <w:rPr>
          <w:rFonts w:ascii="Georgia" w:hAnsi="Georgia" w:cs="Arial"/>
          <w:sz w:val="24"/>
          <w:szCs w:val="24"/>
        </w:rPr>
        <w:t xml:space="preserve">, </w:t>
      </w:r>
      <w:r w:rsidR="0012426E" w:rsidRPr="00141E43">
        <w:rPr>
          <w:rFonts w:ascii="Georgia" w:hAnsi="Georgia" w:cs="Arial"/>
          <w:sz w:val="24"/>
          <w:szCs w:val="24"/>
        </w:rPr>
        <w:t xml:space="preserve">se fundó en </w:t>
      </w:r>
      <w:r w:rsidR="00225507" w:rsidRPr="00141E43">
        <w:rPr>
          <w:rFonts w:ascii="Georgia" w:hAnsi="Georgia" w:cs="Arial"/>
          <w:sz w:val="24"/>
          <w:szCs w:val="24"/>
        </w:rPr>
        <w:t>la falta de legitimación y</w:t>
      </w:r>
      <w:r w:rsidR="0012426E" w:rsidRPr="00141E43">
        <w:rPr>
          <w:rFonts w:ascii="Georgia" w:hAnsi="Georgia" w:cs="Arial"/>
          <w:sz w:val="24"/>
          <w:szCs w:val="24"/>
        </w:rPr>
        <w:t xml:space="preserve"> oportunidad</w:t>
      </w:r>
      <w:r w:rsidR="00560779" w:rsidRPr="00141E43">
        <w:rPr>
          <w:rFonts w:ascii="Georgia" w:hAnsi="Georgia" w:cs="Arial"/>
          <w:sz w:val="24"/>
          <w:szCs w:val="24"/>
        </w:rPr>
        <w:t xml:space="preserve">; </w:t>
      </w:r>
      <w:r w:rsidR="0012426E" w:rsidRPr="00141E43">
        <w:rPr>
          <w:rFonts w:ascii="Georgia" w:hAnsi="Georgia" w:cs="Arial"/>
          <w:sz w:val="24"/>
          <w:szCs w:val="24"/>
        </w:rPr>
        <w:t xml:space="preserve">al recurrir el curador </w:t>
      </w:r>
      <w:r w:rsidR="0012426E" w:rsidRPr="00141E43">
        <w:rPr>
          <w:rFonts w:ascii="Georgia" w:hAnsi="Georgia" w:cs="Arial"/>
          <w:i/>
          <w:sz w:val="24"/>
          <w:szCs w:val="24"/>
        </w:rPr>
        <w:t xml:space="preserve">ad </w:t>
      </w:r>
      <w:proofErr w:type="spellStart"/>
      <w:r w:rsidR="0012426E" w:rsidRPr="00141E43">
        <w:rPr>
          <w:rFonts w:ascii="Georgia" w:hAnsi="Georgia" w:cs="Arial"/>
          <w:i/>
          <w:sz w:val="24"/>
          <w:szCs w:val="24"/>
        </w:rPr>
        <w:t>litem</w:t>
      </w:r>
      <w:proofErr w:type="spellEnd"/>
      <w:r w:rsidR="0012426E" w:rsidRPr="00141E43">
        <w:rPr>
          <w:rFonts w:ascii="Georgia" w:hAnsi="Georgia" w:cs="Arial"/>
          <w:sz w:val="24"/>
          <w:szCs w:val="24"/>
        </w:rPr>
        <w:t xml:space="preserve">, centró su ataque </w:t>
      </w:r>
      <w:r w:rsidR="00560779" w:rsidRPr="00141E43">
        <w:rPr>
          <w:rFonts w:ascii="Georgia" w:hAnsi="Georgia" w:cs="Arial"/>
          <w:sz w:val="24"/>
          <w:szCs w:val="24"/>
        </w:rPr>
        <w:t xml:space="preserve">exclusivamente en </w:t>
      </w:r>
      <w:r w:rsidR="0012426E" w:rsidRPr="00141E43">
        <w:rPr>
          <w:rFonts w:ascii="Georgia" w:hAnsi="Georgia" w:cs="Arial"/>
          <w:sz w:val="24"/>
          <w:szCs w:val="24"/>
        </w:rPr>
        <w:t>la primera de esas razone</w:t>
      </w:r>
      <w:r w:rsidR="000C0156" w:rsidRPr="00141E43">
        <w:rPr>
          <w:rFonts w:ascii="Georgia" w:hAnsi="Georgia" w:cs="Arial"/>
          <w:sz w:val="24"/>
          <w:szCs w:val="24"/>
        </w:rPr>
        <w:t xml:space="preserve">s. </w:t>
      </w:r>
    </w:p>
    <w:p w14:paraId="08A4E959" w14:textId="77777777" w:rsidR="004B3EF4" w:rsidRPr="00141E43" w:rsidRDefault="004B3EF4" w:rsidP="007E6BB2">
      <w:pPr>
        <w:spacing w:line="276" w:lineRule="auto"/>
        <w:jc w:val="both"/>
        <w:rPr>
          <w:rFonts w:ascii="Georgia" w:hAnsi="Georgia" w:cs="Arial"/>
          <w:sz w:val="24"/>
          <w:szCs w:val="24"/>
        </w:rPr>
      </w:pPr>
    </w:p>
    <w:p w14:paraId="7D5F17DD" w14:textId="155E9001" w:rsidR="00FB1596" w:rsidRPr="00141E43" w:rsidRDefault="00FB1596" w:rsidP="007E6BB2">
      <w:pPr>
        <w:spacing w:line="276" w:lineRule="auto"/>
        <w:jc w:val="both"/>
        <w:rPr>
          <w:rFonts w:ascii="Georgia" w:hAnsi="Georgia"/>
          <w:sz w:val="24"/>
          <w:szCs w:val="24"/>
          <w:lang w:val="es-CO"/>
        </w:rPr>
      </w:pPr>
      <w:r w:rsidRPr="00141E43">
        <w:rPr>
          <w:rFonts w:ascii="Georgia" w:hAnsi="Georgia" w:cs="Arial"/>
          <w:sz w:val="24"/>
          <w:szCs w:val="24"/>
        </w:rPr>
        <w:t xml:space="preserve">Si bien, en criterio de esta Magistratura, le asiste la razón al recurrente en cuanto a su legitimación, lo cierto es que sería insuficiente para </w:t>
      </w:r>
      <w:r w:rsidR="00CB0B8A" w:rsidRPr="00141E43">
        <w:rPr>
          <w:rFonts w:ascii="Georgia" w:hAnsi="Georgia" w:cs="Arial"/>
          <w:bCs/>
          <w:sz w:val="24"/>
          <w:szCs w:val="24"/>
          <w:lang w:val="es-CO"/>
        </w:rPr>
        <w:t xml:space="preserve">revocar </w:t>
      </w:r>
      <w:r w:rsidR="002E1258" w:rsidRPr="00141E43">
        <w:rPr>
          <w:rFonts w:ascii="Georgia" w:hAnsi="Georgia" w:cs="Arial"/>
          <w:bCs/>
          <w:sz w:val="24"/>
          <w:szCs w:val="24"/>
          <w:lang w:val="es-CO"/>
        </w:rPr>
        <w:t>la decisión</w:t>
      </w:r>
      <w:r w:rsidR="00CB0B8A" w:rsidRPr="00141E43">
        <w:rPr>
          <w:rFonts w:ascii="Georgia" w:hAnsi="Georgia" w:cs="Arial"/>
          <w:bCs/>
          <w:sz w:val="24"/>
          <w:szCs w:val="24"/>
          <w:lang w:val="es-CO"/>
        </w:rPr>
        <w:t xml:space="preserve">, </w:t>
      </w:r>
      <w:r w:rsidRPr="00141E43">
        <w:rPr>
          <w:rFonts w:ascii="Georgia" w:hAnsi="Georgia" w:cs="Arial"/>
          <w:bCs/>
          <w:sz w:val="24"/>
          <w:szCs w:val="24"/>
          <w:lang w:val="es-CO"/>
        </w:rPr>
        <w:t xml:space="preserve">pues el ataque </w:t>
      </w:r>
      <w:r w:rsidR="00CE1C4E" w:rsidRPr="00141E43">
        <w:rPr>
          <w:rFonts w:ascii="Georgia" w:hAnsi="Georgia" w:cs="Arial"/>
          <w:bCs/>
          <w:sz w:val="24"/>
          <w:szCs w:val="24"/>
          <w:lang w:val="es-CO"/>
        </w:rPr>
        <w:t>d</w:t>
      </w:r>
      <w:r w:rsidRPr="00141E43">
        <w:rPr>
          <w:rFonts w:ascii="Georgia" w:hAnsi="Georgia" w:cs="Arial"/>
          <w:bCs/>
          <w:sz w:val="24"/>
          <w:szCs w:val="24"/>
          <w:lang w:val="es-CO"/>
        </w:rPr>
        <w:t xml:space="preserve">ejó </w:t>
      </w:r>
      <w:r w:rsidR="00CB0B8A" w:rsidRPr="00141E43">
        <w:rPr>
          <w:rFonts w:ascii="Georgia" w:hAnsi="Georgia" w:cs="Arial"/>
          <w:bCs/>
          <w:sz w:val="24"/>
          <w:szCs w:val="24"/>
          <w:lang w:val="es-CO"/>
        </w:rPr>
        <w:t xml:space="preserve">incólume </w:t>
      </w:r>
      <w:r w:rsidR="002E1258" w:rsidRPr="00141E43">
        <w:rPr>
          <w:rFonts w:ascii="Georgia" w:hAnsi="Georgia" w:cs="Arial"/>
          <w:bCs/>
          <w:sz w:val="24"/>
          <w:szCs w:val="24"/>
          <w:lang w:val="es-CO"/>
        </w:rPr>
        <w:t>el rechaz</w:t>
      </w:r>
      <w:r w:rsidR="0078579A" w:rsidRPr="00141E43">
        <w:rPr>
          <w:rFonts w:ascii="Georgia" w:hAnsi="Georgia" w:cs="Arial"/>
          <w:bCs/>
          <w:sz w:val="24"/>
          <w:szCs w:val="24"/>
          <w:lang w:val="es-CO"/>
        </w:rPr>
        <w:t>o</w:t>
      </w:r>
      <w:r w:rsidR="002E1258" w:rsidRPr="00141E43">
        <w:rPr>
          <w:rFonts w:ascii="Georgia" w:hAnsi="Georgia" w:cs="Arial"/>
          <w:bCs/>
          <w:sz w:val="24"/>
          <w:szCs w:val="24"/>
          <w:lang w:val="es-CO"/>
        </w:rPr>
        <w:t xml:space="preserve"> por extemporaneidad</w:t>
      </w:r>
      <w:r w:rsidR="00EE1554" w:rsidRPr="00141E43">
        <w:rPr>
          <w:rFonts w:ascii="Georgia" w:hAnsi="Georgia" w:cs="Arial"/>
          <w:bCs/>
          <w:sz w:val="24"/>
          <w:szCs w:val="24"/>
          <w:lang w:val="es-CO"/>
        </w:rPr>
        <w:t xml:space="preserve">, ninguna argumentación hay para revisar, por contera se </w:t>
      </w:r>
      <w:r w:rsidRPr="00141E43">
        <w:rPr>
          <w:rFonts w:ascii="Georgia" w:hAnsi="Georgia" w:cs="Arial"/>
          <w:bCs/>
          <w:sz w:val="24"/>
          <w:szCs w:val="24"/>
          <w:lang w:val="es-CO"/>
        </w:rPr>
        <w:t xml:space="preserve">hace </w:t>
      </w:r>
      <w:r w:rsidRPr="00141E43">
        <w:rPr>
          <w:rFonts w:ascii="Georgia" w:hAnsi="Georgia"/>
          <w:sz w:val="24"/>
          <w:szCs w:val="24"/>
          <w:lang w:val="es-CO"/>
        </w:rPr>
        <w:t xml:space="preserve">intangible </w:t>
      </w:r>
      <w:r w:rsidR="00CE1C4E" w:rsidRPr="00141E43">
        <w:rPr>
          <w:rFonts w:ascii="Georgia" w:hAnsi="Georgia"/>
          <w:sz w:val="24"/>
          <w:szCs w:val="24"/>
          <w:lang w:val="es-CO"/>
        </w:rPr>
        <w:t>p</w:t>
      </w:r>
      <w:r w:rsidRPr="00141E43">
        <w:rPr>
          <w:rFonts w:ascii="Georgia" w:hAnsi="Georgia"/>
          <w:sz w:val="24"/>
          <w:szCs w:val="24"/>
          <w:lang w:val="es-CO"/>
        </w:rPr>
        <w:t xml:space="preserve">ara esta Sala dual. Suficiente para confirmar.  </w:t>
      </w:r>
    </w:p>
    <w:p w14:paraId="522D735E" w14:textId="77777777" w:rsidR="00003A98" w:rsidRPr="00141E43" w:rsidRDefault="00003A98" w:rsidP="007E6BB2">
      <w:pPr>
        <w:pStyle w:val="Sinespaciado"/>
        <w:spacing w:line="276" w:lineRule="auto"/>
        <w:jc w:val="both"/>
        <w:rPr>
          <w:rFonts w:ascii="Georgia" w:hAnsi="Georgia" w:cs="Arial"/>
        </w:rPr>
      </w:pPr>
    </w:p>
    <w:p w14:paraId="7C2AC01C" w14:textId="627B8576" w:rsidR="008C4F68" w:rsidRPr="00141E43" w:rsidRDefault="008C4F68" w:rsidP="007E6BB2">
      <w:pPr>
        <w:pStyle w:val="Prrafodelista"/>
        <w:numPr>
          <w:ilvl w:val="0"/>
          <w:numId w:val="15"/>
        </w:numPr>
        <w:spacing w:line="276" w:lineRule="auto"/>
        <w:jc w:val="both"/>
        <w:rPr>
          <w:rFonts w:ascii="Georgia" w:hAnsi="Georgia" w:cs="Arial"/>
          <w:b/>
          <w:smallCaps/>
          <w:sz w:val="24"/>
          <w:szCs w:val="24"/>
        </w:rPr>
      </w:pPr>
      <w:r w:rsidRPr="00141E43">
        <w:rPr>
          <w:rFonts w:ascii="Georgia" w:hAnsi="Georgia" w:cs="Arial"/>
          <w:b/>
          <w:smallCaps/>
          <w:sz w:val="24"/>
          <w:szCs w:val="24"/>
        </w:rPr>
        <w:t>Las decisiones finales</w:t>
      </w:r>
    </w:p>
    <w:p w14:paraId="61975D63" w14:textId="77777777" w:rsidR="00EE1554" w:rsidRPr="00141E43" w:rsidRDefault="00EE1554" w:rsidP="007E6BB2">
      <w:pPr>
        <w:spacing w:line="276" w:lineRule="auto"/>
        <w:jc w:val="both"/>
        <w:rPr>
          <w:rFonts w:ascii="Georgia" w:hAnsi="Georgia" w:cs="Arial"/>
          <w:sz w:val="24"/>
          <w:szCs w:val="24"/>
        </w:rPr>
      </w:pPr>
    </w:p>
    <w:p w14:paraId="0629E15E" w14:textId="7A9D1C94" w:rsidR="005E234B" w:rsidRDefault="008C4F68" w:rsidP="007E6BB2">
      <w:pPr>
        <w:spacing w:line="276" w:lineRule="auto"/>
        <w:jc w:val="both"/>
        <w:rPr>
          <w:rFonts w:ascii="Georgia" w:hAnsi="Georgia" w:cs="Arial"/>
          <w:sz w:val="24"/>
          <w:szCs w:val="24"/>
        </w:rPr>
      </w:pPr>
      <w:r w:rsidRPr="00141E43">
        <w:rPr>
          <w:rFonts w:ascii="Georgia" w:hAnsi="Georgia" w:cs="Arial"/>
          <w:sz w:val="24"/>
          <w:szCs w:val="24"/>
        </w:rPr>
        <w:t>Con estribo en las premisas anteriores</w:t>
      </w:r>
      <w:r w:rsidR="005628A3" w:rsidRPr="00141E43">
        <w:rPr>
          <w:rFonts w:ascii="Georgia" w:hAnsi="Georgia" w:cs="Arial"/>
          <w:sz w:val="24"/>
          <w:szCs w:val="24"/>
        </w:rPr>
        <w:t xml:space="preserve"> se</w:t>
      </w:r>
      <w:r w:rsidRPr="00141E43">
        <w:rPr>
          <w:rFonts w:ascii="Georgia" w:hAnsi="Georgia" w:cs="Arial"/>
          <w:sz w:val="24"/>
          <w:szCs w:val="24"/>
        </w:rPr>
        <w:t xml:space="preserve">: </w:t>
      </w:r>
      <w:r w:rsidRPr="00141E43">
        <w:rPr>
          <w:rFonts w:ascii="Georgia" w:hAnsi="Georgia" w:cs="Arial"/>
          <w:b/>
          <w:sz w:val="24"/>
          <w:szCs w:val="24"/>
        </w:rPr>
        <w:t>(i)</w:t>
      </w:r>
      <w:r w:rsidRPr="00141E43">
        <w:rPr>
          <w:rFonts w:ascii="Georgia" w:hAnsi="Georgia" w:cs="Arial"/>
          <w:sz w:val="24"/>
          <w:szCs w:val="24"/>
        </w:rPr>
        <w:t xml:space="preserve"> </w:t>
      </w:r>
      <w:r w:rsidR="005628A3" w:rsidRPr="00141E43">
        <w:rPr>
          <w:rFonts w:ascii="Georgia" w:hAnsi="Georgia" w:cs="Arial"/>
          <w:sz w:val="24"/>
          <w:szCs w:val="24"/>
        </w:rPr>
        <w:t xml:space="preserve">Confirmará </w:t>
      </w:r>
      <w:r w:rsidR="005E234B" w:rsidRPr="00141E43">
        <w:rPr>
          <w:rFonts w:ascii="Georgia" w:hAnsi="Georgia" w:cs="Arial"/>
          <w:sz w:val="24"/>
          <w:szCs w:val="24"/>
        </w:rPr>
        <w:t xml:space="preserve">la decisión suplicada; </w:t>
      </w:r>
      <w:r w:rsidR="00B26A73" w:rsidRPr="00141E43">
        <w:rPr>
          <w:rFonts w:ascii="Georgia" w:hAnsi="Georgia" w:cs="Arial"/>
          <w:b/>
          <w:sz w:val="24"/>
          <w:szCs w:val="24"/>
        </w:rPr>
        <w:t>(ii)</w:t>
      </w:r>
      <w:r w:rsidR="00B26A73" w:rsidRPr="00141E43">
        <w:rPr>
          <w:rFonts w:ascii="Georgia" w:hAnsi="Georgia" w:cs="Arial"/>
          <w:sz w:val="24"/>
          <w:szCs w:val="24"/>
        </w:rPr>
        <w:t xml:space="preserve"> </w:t>
      </w:r>
      <w:r w:rsidR="005628A3" w:rsidRPr="00141E43">
        <w:rPr>
          <w:rFonts w:ascii="Georgia" w:hAnsi="Georgia" w:cs="Arial"/>
          <w:sz w:val="24"/>
          <w:szCs w:val="24"/>
        </w:rPr>
        <w:t xml:space="preserve">Advertirá </w:t>
      </w:r>
      <w:r w:rsidRPr="00141E43">
        <w:rPr>
          <w:rFonts w:ascii="Georgia" w:hAnsi="Georgia" w:cs="Arial"/>
          <w:sz w:val="24"/>
          <w:szCs w:val="24"/>
        </w:rPr>
        <w:t xml:space="preserve">que esta decisión es irrecurrible </w:t>
      </w:r>
      <w:r w:rsidR="00797CB2" w:rsidRPr="00141E43">
        <w:rPr>
          <w:rFonts w:ascii="Georgia" w:hAnsi="Georgia" w:cs="Arial"/>
          <w:sz w:val="24"/>
          <w:szCs w:val="24"/>
        </w:rPr>
        <w:t>(Artículo 3</w:t>
      </w:r>
      <w:r w:rsidR="005E234B" w:rsidRPr="00141E43">
        <w:rPr>
          <w:rFonts w:ascii="Georgia" w:hAnsi="Georgia" w:cs="Arial"/>
          <w:sz w:val="24"/>
          <w:szCs w:val="24"/>
        </w:rPr>
        <w:t>32</w:t>
      </w:r>
      <w:r w:rsidR="00797CB2" w:rsidRPr="00141E43">
        <w:rPr>
          <w:rFonts w:ascii="Georgia" w:hAnsi="Georgia" w:cs="Arial"/>
          <w:sz w:val="24"/>
          <w:szCs w:val="24"/>
        </w:rPr>
        <w:t>, CGP)</w:t>
      </w:r>
      <w:r w:rsidR="005E234B" w:rsidRPr="00141E43">
        <w:rPr>
          <w:rFonts w:ascii="Georgia" w:hAnsi="Georgia" w:cs="Arial"/>
          <w:sz w:val="24"/>
          <w:szCs w:val="24"/>
        </w:rPr>
        <w:t xml:space="preserve">; </w:t>
      </w:r>
      <w:r w:rsidR="005E234B" w:rsidRPr="00141E43">
        <w:rPr>
          <w:rFonts w:ascii="Georgia" w:hAnsi="Georgia" w:cs="Arial"/>
          <w:b/>
          <w:sz w:val="24"/>
          <w:szCs w:val="24"/>
        </w:rPr>
        <w:t>(iii)</w:t>
      </w:r>
      <w:r w:rsidR="005E234B" w:rsidRPr="00141E43">
        <w:rPr>
          <w:rFonts w:ascii="Georgia" w:hAnsi="Georgia" w:cs="Arial"/>
          <w:sz w:val="24"/>
          <w:szCs w:val="24"/>
        </w:rPr>
        <w:t xml:space="preserve"> </w:t>
      </w:r>
      <w:r w:rsidR="005628A3" w:rsidRPr="00141E43">
        <w:rPr>
          <w:rFonts w:ascii="Georgia" w:hAnsi="Georgia" w:cs="Arial"/>
          <w:sz w:val="24"/>
          <w:szCs w:val="24"/>
        </w:rPr>
        <w:t xml:space="preserve">Abstendrá esta Sala de condenar en costas porque la parte a quien representa el recurrente son las personas indeterminadas; y, </w:t>
      </w:r>
      <w:r w:rsidR="005628A3" w:rsidRPr="00141E43">
        <w:rPr>
          <w:rFonts w:ascii="Georgia" w:hAnsi="Georgia" w:cs="Arial"/>
          <w:b/>
          <w:sz w:val="24"/>
          <w:szCs w:val="24"/>
        </w:rPr>
        <w:t xml:space="preserve">(iv) </w:t>
      </w:r>
      <w:r w:rsidR="005628A3" w:rsidRPr="00141E43">
        <w:rPr>
          <w:rFonts w:ascii="Georgia" w:hAnsi="Georgia" w:cs="Arial"/>
          <w:sz w:val="24"/>
          <w:szCs w:val="24"/>
        </w:rPr>
        <w:t xml:space="preserve">Ordenará </w:t>
      </w:r>
      <w:r w:rsidR="005E234B" w:rsidRPr="00141E43">
        <w:rPr>
          <w:rFonts w:ascii="Georgia" w:hAnsi="Georgia" w:cs="Arial"/>
          <w:sz w:val="24"/>
          <w:szCs w:val="24"/>
        </w:rPr>
        <w:t>devolver el expediente al Despacho de origen.</w:t>
      </w:r>
    </w:p>
    <w:p w14:paraId="785E4FED" w14:textId="77777777" w:rsidR="00C41317" w:rsidRPr="00141E43" w:rsidRDefault="00C41317" w:rsidP="007E6BB2">
      <w:pPr>
        <w:spacing w:line="276" w:lineRule="auto"/>
        <w:jc w:val="both"/>
        <w:rPr>
          <w:rFonts w:ascii="Georgia" w:hAnsi="Georgia" w:cs="Arial"/>
          <w:sz w:val="24"/>
          <w:szCs w:val="24"/>
        </w:rPr>
      </w:pPr>
    </w:p>
    <w:p w14:paraId="7C2AC020" w14:textId="6FB30BAF" w:rsidR="008C4F68" w:rsidRPr="00141E43" w:rsidRDefault="008C4F68" w:rsidP="007E6BB2">
      <w:pPr>
        <w:suppressAutoHyphens/>
        <w:spacing w:line="276" w:lineRule="auto"/>
        <w:jc w:val="both"/>
        <w:rPr>
          <w:rFonts w:ascii="Georgia" w:hAnsi="Georgia" w:cs="Arial"/>
          <w:spacing w:val="-3"/>
          <w:sz w:val="24"/>
          <w:szCs w:val="24"/>
        </w:rPr>
      </w:pPr>
      <w:r w:rsidRPr="00141E43">
        <w:rPr>
          <w:rFonts w:ascii="Georgia" w:hAnsi="Georgia" w:cs="Arial"/>
          <w:sz w:val="24"/>
          <w:szCs w:val="24"/>
        </w:rPr>
        <w:t xml:space="preserve">En mérito de lo discurrido en los acápites precedentes, el </w:t>
      </w:r>
      <w:r w:rsidRPr="00141E43">
        <w:rPr>
          <w:rFonts w:ascii="Georgia" w:hAnsi="Georgia" w:cs="Arial"/>
          <w:smallCaps/>
          <w:sz w:val="24"/>
          <w:szCs w:val="24"/>
        </w:rPr>
        <w:t xml:space="preserve">Tribunal Superior del Distrito Judicial de Pereira, Sala </w:t>
      </w:r>
      <w:r w:rsidR="005E234B" w:rsidRPr="00141E43">
        <w:rPr>
          <w:rFonts w:ascii="Georgia" w:hAnsi="Georgia" w:cs="Arial"/>
          <w:smallCaps/>
          <w:sz w:val="24"/>
          <w:szCs w:val="24"/>
        </w:rPr>
        <w:t xml:space="preserve">Dual </w:t>
      </w:r>
      <w:r w:rsidRPr="00141E43">
        <w:rPr>
          <w:rFonts w:ascii="Georgia" w:hAnsi="Georgia" w:cs="Arial"/>
          <w:smallCaps/>
          <w:sz w:val="24"/>
          <w:szCs w:val="24"/>
        </w:rPr>
        <w:t>de Decisión</w:t>
      </w:r>
      <w:r w:rsidRPr="00141E43">
        <w:rPr>
          <w:rFonts w:ascii="Georgia" w:hAnsi="Georgia" w:cs="Arial"/>
          <w:sz w:val="24"/>
          <w:szCs w:val="24"/>
        </w:rPr>
        <w:t>,</w:t>
      </w:r>
    </w:p>
    <w:p w14:paraId="58F27E0B" w14:textId="77777777" w:rsidR="00207FCF" w:rsidRPr="00141E43" w:rsidRDefault="00207FCF" w:rsidP="007E6BB2">
      <w:pPr>
        <w:pStyle w:val="Sinespaciado"/>
        <w:spacing w:line="276" w:lineRule="auto"/>
        <w:jc w:val="center"/>
        <w:rPr>
          <w:rFonts w:ascii="Georgia" w:hAnsi="Georgia" w:cs="Arial"/>
        </w:rPr>
      </w:pPr>
    </w:p>
    <w:p w14:paraId="7C2AC022" w14:textId="2F67606A" w:rsidR="008C4F68" w:rsidRPr="00141E43" w:rsidRDefault="008C4F68" w:rsidP="007E6BB2">
      <w:pPr>
        <w:pStyle w:val="Sinespaciado"/>
        <w:spacing w:line="276" w:lineRule="auto"/>
        <w:jc w:val="center"/>
        <w:rPr>
          <w:rFonts w:ascii="Georgia" w:hAnsi="Georgia" w:cs="Arial"/>
        </w:rPr>
      </w:pPr>
      <w:r w:rsidRPr="00141E43">
        <w:rPr>
          <w:rFonts w:ascii="Georgia" w:hAnsi="Georgia" w:cs="Arial"/>
        </w:rPr>
        <w:t>R E S U E L V E,</w:t>
      </w:r>
    </w:p>
    <w:p w14:paraId="2BEA917C" w14:textId="77777777" w:rsidR="00FB1596" w:rsidRPr="00141E43" w:rsidRDefault="00FB1596" w:rsidP="007E6BB2">
      <w:pPr>
        <w:pStyle w:val="Sinespaciado"/>
        <w:spacing w:line="276" w:lineRule="auto"/>
        <w:jc w:val="center"/>
        <w:rPr>
          <w:rFonts w:ascii="Georgia" w:hAnsi="Georgia" w:cs="Arial"/>
        </w:rPr>
      </w:pPr>
    </w:p>
    <w:p w14:paraId="3339C3E5" w14:textId="73FC099B" w:rsidR="005E234B" w:rsidRPr="00141E43" w:rsidRDefault="005E234B" w:rsidP="007E6BB2">
      <w:pPr>
        <w:pStyle w:val="Textopredeterminado"/>
        <w:numPr>
          <w:ilvl w:val="0"/>
          <w:numId w:val="13"/>
        </w:numPr>
        <w:spacing w:line="276" w:lineRule="auto"/>
        <w:mirrorIndents/>
        <w:jc w:val="both"/>
        <w:rPr>
          <w:rFonts w:ascii="Georgia" w:hAnsi="Georgia" w:cs="Arial"/>
          <w:color w:val="auto"/>
          <w:szCs w:val="24"/>
          <w:lang w:val="es-CO"/>
        </w:rPr>
      </w:pPr>
      <w:r w:rsidRPr="00141E43">
        <w:rPr>
          <w:rFonts w:ascii="Georgia" w:hAnsi="Georgia" w:cs="Arial"/>
          <w:color w:val="auto"/>
          <w:szCs w:val="24"/>
        </w:rPr>
        <w:t>CONFIRMAR el auto del día 1</w:t>
      </w:r>
      <w:r w:rsidR="00FB1596" w:rsidRPr="00141E43">
        <w:rPr>
          <w:rFonts w:ascii="Georgia" w:hAnsi="Georgia" w:cs="Arial"/>
          <w:color w:val="auto"/>
          <w:szCs w:val="24"/>
        </w:rPr>
        <w:t>1</w:t>
      </w:r>
      <w:r w:rsidRPr="00141E43">
        <w:rPr>
          <w:rFonts w:ascii="Georgia" w:hAnsi="Georgia" w:cs="Arial"/>
          <w:color w:val="auto"/>
          <w:szCs w:val="24"/>
        </w:rPr>
        <w:t xml:space="preserve">-03-2021 proferido por la Magistrada </w:t>
      </w:r>
      <w:r w:rsidRPr="00141E43">
        <w:rPr>
          <w:rFonts w:ascii="Georgia" w:hAnsi="Georgia"/>
          <w:color w:val="auto"/>
          <w:szCs w:val="24"/>
        </w:rPr>
        <w:t>Adriana Patricia Diaz Ramírez</w:t>
      </w:r>
      <w:r w:rsidRPr="00141E43">
        <w:rPr>
          <w:rFonts w:ascii="Georgia" w:hAnsi="Georgia" w:cs="Arial"/>
          <w:color w:val="auto"/>
          <w:szCs w:val="24"/>
        </w:rPr>
        <w:t>.</w:t>
      </w:r>
    </w:p>
    <w:p w14:paraId="4A1CEEEC" w14:textId="77777777" w:rsidR="005E234B" w:rsidRPr="00141E43" w:rsidRDefault="005E234B" w:rsidP="007E6BB2">
      <w:pPr>
        <w:pStyle w:val="Textopredeterminado"/>
        <w:spacing w:line="276" w:lineRule="auto"/>
        <w:ind w:left="360"/>
        <w:mirrorIndents/>
        <w:jc w:val="both"/>
        <w:rPr>
          <w:rFonts w:ascii="Georgia" w:hAnsi="Georgia" w:cs="Arial"/>
          <w:color w:val="auto"/>
          <w:szCs w:val="24"/>
        </w:rPr>
      </w:pPr>
    </w:p>
    <w:p w14:paraId="48D934C8" w14:textId="4CCE1779" w:rsidR="005628A3" w:rsidRPr="00141E43" w:rsidRDefault="005628A3" w:rsidP="007E6BB2">
      <w:pPr>
        <w:pStyle w:val="Textopredeterminado"/>
        <w:numPr>
          <w:ilvl w:val="0"/>
          <w:numId w:val="13"/>
        </w:numPr>
        <w:tabs>
          <w:tab w:val="left" w:pos="544"/>
        </w:tabs>
        <w:spacing w:line="276" w:lineRule="auto"/>
        <w:jc w:val="both"/>
        <w:rPr>
          <w:rFonts w:ascii="Georgia" w:hAnsi="Georgia" w:cs="Arial"/>
          <w:color w:val="auto"/>
          <w:szCs w:val="24"/>
          <w:lang w:val="es-CO"/>
        </w:rPr>
      </w:pPr>
      <w:r w:rsidRPr="00141E43">
        <w:rPr>
          <w:rFonts w:ascii="Georgia" w:hAnsi="Georgia" w:cs="Arial"/>
          <w:color w:val="auto"/>
          <w:szCs w:val="24"/>
        </w:rPr>
        <w:t>ADVERTIR que esta decisión es irrecurrible y ABSTENERSE de condenar en costas</w:t>
      </w:r>
      <w:r w:rsidRPr="00141E43">
        <w:rPr>
          <w:rFonts w:ascii="Georgia" w:hAnsi="Georgia"/>
          <w:color w:val="auto"/>
          <w:szCs w:val="24"/>
        </w:rPr>
        <w:t>.</w:t>
      </w:r>
    </w:p>
    <w:p w14:paraId="3603A9FF" w14:textId="77777777" w:rsidR="005628A3" w:rsidRPr="00141E43" w:rsidRDefault="005628A3" w:rsidP="007E6BB2">
      <w:pPr>
        <w:pStyle w:val="Prrafodelista"/>
        <w:spacing w:line="276" w:lineRule="auto"/>
        <w:mirrorIndents/>
        <w:rPr>
          <w:rFonts w:ascii="Georgia" w:hAnsi="Georgia" w:cs="Arial"/>
          <w:sz w:val="24"/>
          <w:szCs w:val="24"/>
        </w:rPr>
      </w:pPr>
    </w:p>
    <w:p w14:paraId="35E8A20D" w14:textId="6707BA14" w:rsidR="005E234B" w:rsidRPr="00141E43" w:rsidRDefault="005E234B" w:rsidP="007E6BB2">
      <w:pPr>
        <w:pStyle w:val="Textopredeterminado"/>
        <w:numPr>
          <w:ilvl w:val="0"/>
          <w:numId w:val="13"/>
        </w:numPr>
        <w:spacing w:line="276" w:lineRule="auto"/>
        <w:mirrorIndents/>
        <w:jc w:val="both"/>
        <w:rPr>
          <w:rFonts w:ascii="Georgia" w:hAnsi="Georgia" w:cs="Arial"/>
          <w:color w:val="auto"/>
          <w:szCs w:val="24"/>
        </w:rPr>
      </w:pPr>
      <w:r w:rsidRPr="00141E43">
        <w:rPr>
          <w:rFonts w:ascii="Georgia" w:hAnsi="Georgia" w:cs="Arial"/>
          <w:color w:val="auto"/>
          <w:szCs w:val="24"/>
        </w:rPr>
        <w:t>DEVOLVER el expediente</w:t>
      </w:r>
      <w:r w:rsidR="00400755" w:rsidRPr="00141E43">
        <w:rPr>
          <w:rFonts w:ascii="Georgia" w:hAnsi="Georgia" w:cs="Arial"/>
          <w:color w:val="auto"/>
          <w:szCs w:val="24"/>
        </w:rPr>
        <w:t xml:space="preserve">, por Secretaría, </w:t>
      </w:r>
      <w:r w:rsidRPr="00141E43">
        <w:rPr>
          <w:rFonts w:ascii="Georgia" w:hAnsi="Georgia" w:cs="Arial"/>
          <w:color w:val="auto"/>
          <w:szCs w:val="24"/>
        </w:rPr>
        <w:t xml:space="preserve">al Despacho </w:t>
      </w:r>
      <w:r w:rsidR="00400755" w:rsidRPr="00141E43">
        <w:rPr>
          <w:rFonts w:ascii="Georgia" w:hAnsi="Georgia" w:cs="Arial"/>
          <w:color w:val="auto"/>
          <w:szCs w:val="24"/>
        </w:rPr>
        <w:t xml:space="preserve">de origen, hoy </w:t>
      </w:r>
      <w:r w:rsidRPr="00141E43">
        <w:rPr>
          <w:rFonts w:ascii="Georgia" w:hAnsi="Georgia" w:cs="Arial"/>
          <w:color w:val="auto"/>
          <w:szCs w:val="24"/>
        </w:rPr>
        <w:t>ocupa</w:t>
      </w:r>
      <w:r w:rsidR="00400755" w:rsidRPr="00141E43">
        <w:rPr>
          <w:rFonts w:ascii="Georgia" w:hAnsi="Georgia" w:cs="Arial"/>
          <w:color w:val="auto"/>
          <w:szCs w:val="24"/>
        </w:rPr>
        <w:t>do por</w:t>
      </w:r>
      <w:r w:rsidRPr="00141E43">
        <w:rPr>
          <w:rFonts w:ascii="Georgia" w:hAnsi="Georgia" w:cs="Arial"/>
          <w:color w:val="auto"/>
          <w:szCs w:val="24"/>
        </w:rPr>
        <w:t xml:space="preserve"> el Magistrado Carlos Mauricio García Barajas.</w:t>
      </w:r>
    </w:p>
    <w:p w14:paraId="58C1AF13" w14:textId="77777777" w:rsidR="00141E43" w:rsidRPr="003804BA" w:rsidRDefault="00141E43" w:rsidP="00141E43">
      <w:pPr>
        <w:spacing w:line="276" w:lineRule="auto"/>
        <w:jc w:val="center"/>
        <w:rPr>
          <w:rFonts w:ascii="Georgia" w:hAnsi="Georgia" w:cs="Arial"/>
          <w:smallCaps/>
          <w:sz w:val="24"/>
          <w:szCs w:val="24"/>
        </w:rPr>
      </w:pPr>
    </w:p>
    <w:p w14:paraId="19664080" w14:textId="77777777" w:rsidR="00141E43" w:rsidRPr="003804BA" w:rsidRDefault="00141E43" w:rsidP="00141E43">
      <w:pPr>
        <w:spacing w:line="276" w:lineRule="auto"/>
        <w:jc w:val="center"/>
        <w:rPr>
          <w:rFonts w:ascii="Georgia" w:hAnsi="Georgia" w:cs="Arial"/>
          <w:smallCaps/>
          <w:sz w:val="24"/>
          <w:szCs w:val="24"/>
        </w:rPr>
      </w:pPr>
      <w:r w:rsidRPr="003804BA">
        <w:rPr>
          <w:rFonts w:ascii="Georgia" w:hAnsi="Georgia" w:cs="Arial"/>
          <w:smallCaps/>
          <w:sz w:val="24"/>
          <w:szCs w:val="24"/>
        </w:rPr>
        <w:t>Notifíquese,</w:t>
      </w:r>
    </w:p>
    <w:p w14:paraId="02C524C1" w14:textId="77777777" w:rsidR="00141E43" w:rsidRPr="00874E8B" w:rsidRDefault="00141E43" w:rsidP="00141E43">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601FA0B5" w14:textId="77777777" w:rsidR="00141E43" w:rsidRPr="00874E8B" w:rsidRDefault="00141E43" w:rsidP="00141E43">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38651A1F" w14:textId="77777777" w:rsidR="00141E43" w:rsidRPr="00874E8B" w:rsidRDefault="00141E43" w:rsidP="00141E43">
      <w:pPr>
        <w:overflowPunct w:val="0"/>
        <w:autoSpaceDE w:val="0"/>
        <w:autoSpaceDN w:val="0"/>
        <w:adjustRightInd w:val="0"/>
        <w:spacing w:line="276" w:lineRule="auto"/>
        <w:jc w:val="center"/>
        <w:textAlignment w:val="baseline"/>
        <w:rPr>
          <w:rFonts w:ascii="Georgia" w:hAnsi="Georgia" w:cs="Arial"/>
          <w:b/>
          <w:bCs/>
          <w:caps/>
          <w:spacing w:val="20"/>
          <w:w w:val="150"/>
          <w:sz w:val="22"/>
          <w:szCs w:val="18"/>
          <w:lang w:val="es-MX"/>
        </w:rPr>
      </w:pPr>
      <w:r w:rsidRPr="00874E8B">
        <w:rPr>
          <w:rFonts w:ascii="Georgia" w:hAnsi="Georgia" w:cs="Arial"/>
          <w:b/>
          <w:bCs/>
          <w:caps/>
          <w:spacing w:val="20"/>
          <w:w w:val="150"/>
          <w:sz w:val="24"/>
          <w:szCs w:val="18"/>
          <w:lang w:val="es-MX"/>
        </w:rPr>
        <w:t>D</w:t>
      </w:r>
      <w:r w:rsidRPr="00874E8B">
        <w:rPr>
          <w:rFonts w:ascii="Georgia" w:hAnsi="Georgia" w:cs="Arial"/>
          <w:b/>
          <w:bCs/>
          <w:caps/>
          <w:spacing w:val="20"/>
          <w:w w:val="150"/>
          <w:sz w:val="16"/>
          <w:szCs w:val="18"/>
          <w:lang w:val="es-MX"/>
        </w:rPr>
        <w:t>UBERNEY</w:t>
      </w:r>
      <w:r w:rsidRPr="00874E8B">
        <w:rPr>
          <w:rFonts w:ascii="Georgia" w:hAnsi="Georgia" w:cs="Arial"/>
          <w:b/>
          <w:bCs/>
          <w:caps/>
          <w:spacing w:val="20"/>
          <w:w w:val="150"/>
          <w:szCs w:val="18"/>
          <w:lang w:val="es-MX"/>
        </w:rPr>
        <w:t xml:space="preserve"> </w:t>
      </w:r>
      <w:r w:rsidRPr="00874E8B">
        <w:rPr>
          <w:rFonts w:ascii="Georgia" w:hAnsi="Georgia" w:cs="Arial"/>
          <w:b/>
          <w:bCs/>
          <w:caps/>
          <w:spacing w:val="20"/>
          <w:w w:val="150"/>
          <w:sz w:val="24"/>
          <w:szCs w:val="18"/>
          <w:lang w:val="es-MX"/>
        </w:rPr>
        <w:t>G</w:t>
      </w:r>
      <w:r w:rsidRPr="00874E8B">
        <w:rPr>
          <w:rFonts w:ascii="Georgia" w:hAnsi="Georgia" w:cs="Arial"/>
          <w:b/>
          <w:bCs/>
          <w:caps/>
          <w:spacing w:val="20"/>
          <w:w w:val="150"/>
          <w:sz w:val="16"/>
          <w:szCs w:val="18"/>
          <w:lang w:val="es-MX"/>
        </w:rPr>
        <w:t>RISALES</w:t>
      </w:r>
      <w:r w:rsidRPr="00874E8B">
        <w:rPr>
          <w:rFonts w:ascii="Georgia" w:hAnsi="Georgia" w:cs="Arial"/>
          <w:b/>
          <w:bCs/>
          <w:caps/>
          <w:spacing w:val="20"/>
          <w:w w:val="150"/>
          <w:szCs w:val="18"/>
          <w:lang w:val="es-MX"/>
        </w:rPr>
        <w:t xml:space="preserve"> </w:t>
      </w:r>
      <w:r w:rsidRPr="00874E8B">
        <w:rPr>
          <w:rFonts w:ascii="Georgia" w:hAnsi="Georgia" w:cs="Arial"/>
          <w:b/>
          <w:bCs/>
          <w:caps/>
          <w:spacing w:val="20"/>
          <w:w w:val="150"/>
          <w:sz w:val="24"/>
          <w:szCs w:val="18"/>
          <w:lang w:val="es-MX"/>
        </w:rPr>
        <w:t>H</w:t>
      </w:r>
      <w:r w:rsidRPr="00874E8B">
        <w:rPr>
          <w:rFonts w:ascii="Georgia" w:hAnsi="Georgia" w:cs="Arial"/>
          <w:b/>
          <w:bCs/>
          <w:caps/>
          <w:spacing w:val="20"/>
          <w:w w:val="150"/>
          <w:sz w:val="16"/>
          <w:szCs w:val="18"/>
          <w:lang w:val="es-MX"/>
        </w:rPr>
        <w:t>ERRERA</w:t>
      </w:r>
    </w:p>
    <w:p w14:paraId="19A7E3FE" w14:textId="77777777" w:rsidR="00141E43" w:rsidRPr="00874E8B" w:rsidRDefault="00141E43" w:rsidP="00141E43">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18"/>
          <w:szCs w:val="18"/>
        </w:rPr>
      </w:pPr>
      <w:r w:rsidRPr="00874E8B">
        <w:rPr>
          <w:rFonts w:ascii="Georgia" w:hAnsi="Georgia" w:cs="Arial"/>
          <w:bCs/>
          <w:caps/>
          <w:spacing w:val="20"/>
          <w:w w:val="150"/>
          <w:kern w:val="28"/>
          <w:sz w:val="28"/>
          <w:szCs w:val="22"/>
        </w:rPr>
        <w:t>M</w:t>
      </w:r>
      <w:r w:rsidRPr="00874E8B">
        <w:rPr>
          <w:rFonts w:ascii="Georgia" w:hAnsi="Georgia" w:cs="Arial"/>
          <w:bCs/>
          <w:caps/>
          <w:spacing w:val="20"/>
          <w:w w:val="150"/>
          <w:kern w:val="28"/>
          <w:sz w:val="18"/>
          <w:szCs w:val="18"/>
        </w:rPr>
        <w:t>agistrado</w:t>
      </w:r>
    </w:p>
    <w:p w14:paraId="58E23ABF" w14:textId="77777777" w:rsidR="00141E43" w:rsidRPr="00874E8B" w:rsidRDefault="00141E43" w:rsidP="00141E43">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79F4A96B" w14:textId="77777777" w:rsidR="00141E43" w:rsidRPr="00874E8B" w:rsidRDefault="00141E43" w:rsidP="00141E43">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3A146DA0" w14:textId="77777777" w:rsidR="00141E43" w:rsidRPr="00874E8B" w:rsidRDefault="00141E43" w:rsidP="00141E43">
      <w:pPr>
        <w:overflowPunct w:val="0"/>
        <w:autoSpaceDE w:val="0"/>
        <w:autoSpaceDN w:val="0"/>
        <w:adjustRightInd w:val="0"/>
        <w:spacing w:line="276" w:lineRule="auto"/>
        <w:jc w:val="center"/>
        <w:textAlignment w:val="baseline"/>
        <w:rPr>
          <w:rFonts w:ascii="Georgia" w:hAnsi="Georgia" w:cs="Arial"/>
          <w:b/>
          <w:caps/>
          <w:spacing w:val="20"/>
          <w:w w:val="150"/>
          <w:sz w:val="16"/>
          <w:szCs w:val="18"/>
          <w:lang w:val="es-MX"/>
        </w:rPr>
      </w:pPr>
      <w:r w:rsidRPr="00874E8B">
        <w:rPr>
          <w:rFonts w:ascii="Georgia" w:hAnsi="Georgia" w:cs="Arial"/>
          <w:b/>
          <w:caps/>
          <w:spacing w:val="20"/>
          <w:w w:val="150"/>
          <w:sz w:val="24"/>
          <w:szCs w:val="28"/>
          <w:lang w:val="es-MX"/>
        </w:rPr>
        <w:t>E</w:t>
      </w:r>
      <w:r w:rsidRPr="00874E8B">
        <w:rPr>
          <w:rFonts w:ascii="Georgia" w:hAnsi="Georgia" w:cs="Arial"/>
          <w:b/>
          <w:caps/>
          <w:spacing w:val="20"/>
          <w:w w:val="150"/>
          <w:sz w:val="16"/>
          <w:szCs w:val="18"/>
          <w:lang w:val="es-MX"/>
        </w:rPr>
        <w:t xml:space="preserve">DDER </w:t>
      </w:r>
      <w:r w:rsidRPr="00874E8B">
        <w:rPr>
          <w:rFonts w:ascii="Georgia" w:hAnsi="Georgia" w:cs="Arial"/>
          <w:b/>
          <w:caps/>
          <w:spacing w:val="20"/>
          <w:w w:val="150"/>
          <w:sz w:val="24"/>
          <w:szCs w:val="28"/>
          <w:lang w:val="es-MX"/>
        </w:rPr>
        <w:t>J</w:t>
      </w:r>
      <w:r w:rsidRPr="00874E8B">
        <w:rPr>
          <w:rFonts w:ascii="Georgia" w:hAnsi="Georgia" w:cs="Arial"/>
          <w:b/>
          <w:caps/>
          <w:spacing w:val="20"/>
          <w:w w:val="150"/>
          <w:sz w:val="16"/>
          <w:szCs w:val="18"/>
          <w:lang w:val="es-MX"/>
        </w:rPr>
        <w:t xml:space="preserve">. </w:t>
      </w:r>
      <w:r w:rsidRPr="00874E8B">
        <w:rPr>
          <w:rFonts w:ascii="Georgia" w:hAnsi="Georgia" w:cs="Arial"/>
          <w:b/>
          <w:caps/>
          <w:spacing w:val="20"/>
          <w:w w:val="150"/>
          <w:sz w:val="24"/>
          <w:szCs w:val="28"/>
          <w:lang w:val="es-MX"/>
        </w:rPr>
        <w:t>S</w:t>
      </w:r>
      <w:r w:rsidRPr="00874E8B">
        <w:rPr>
          <w:rFonts w:ascii="Georgia" w:hAnsi="Georgia" w:cs="Arial"/>
          <w:b/>
          <w:caps/>
          <w:spacing w:val="20"/>
          <w:w w:val="150"/>
          <w:sz w:val="16"/>
          <w:szCs w:val="18"/>
          <w:lang w:val="es-MX"/>
        </w:rPr>
        <w:t xml:space="preserve">ÁNCHEZ </w:t>
      </w:r>
      <w:r w:rsidRPr="00874E8B">
        <w:rPr>
          <w:rFonts w:ascii="Georgia" w:hAnsi="Georgia" w:cs="Arial"/>
          <w:b/>
          <w:caps/>
          <w:spacing w:val="20"/>
          <w:w w:val="150"/>
          <w:sz w:val="24"/>
          <w:szCs w:val="28"/>
          <w:lang w:val="es-MX"/>
        </w:rPr>
        <w:t>C</w:t>
      </w:r>
      <w:r w:rsidRPr="00874E8B">
        <w:rPr>
          <w:rFonts w:ascii="Georgia" w:hAnsi="Georgia" w:cs="Arial"/>
          <w:b/>
          <w:caps/>
          <w:spacing w:val="20"/>
          <w:w w:val="150"/>
          <w:sz w:val="16"/>
          <w:szCs w:val="18"/>
          <w:lang w:val="es-MX"/>
        </w:rPr>
        <w:t>.</w:t>
      </w:r>
    </w:p>
    <w:p w14:paraId="2693EA42" w14:textId="52935E7F" w:rsidR="001E5015" w:rsidRPr="00C41317" w:rsidRDefault="00C41317" w:rsidP="00C41317">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18"/>
          <w:szCs w:val="18"/>
        </w:rPr>
      </w:pPr>
      <w:r w:rsidRPr="00874E8B">
        <w:rPr>
          <w:rFonts w:ascii="Georgia" w:hAnsi="Georgia" w:cs="Arial"/>
          <w:bCs/>
          <w:caps/>
          <w:spacing w:val="20"/>
          <w:w w:val="150"/>
          <w:kern w:val="28"/>
          <w:sz w:val="28"/>
          <w:szCs w:val="22"/>
        </w:rPr>
        <w:t>M</w:t>
      </w:r>
      <w:r w:rsidRPr="00874E8B">
        <w:rPr>
          <w:rFonts w:ascii="Georgia" w:hAnsi="Georgia" w:cs="Arial"/>
          <w:bCs/>
          <w:caps/>
          <w:spacing w:val="20"/>
          <w:w w:val="150"/>
          <w:kern w:val="28"/>
          <w:sz w:val="18"/>
          <w:szCs w:val="18"/>
        </w:rPr>
        <w:t>agistrado</w:t>
      </w:r>
    </w:p>
    <w:sectPr w:rsidR="001E5015" w:rsidRPr="00C41317" w:rsidSect="00C41317">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7341" w14:textId="77777777" w:rsidR="005D58A4" w:rsidRDefault="005D58A4" w:rsidP="009A1240">
      <w:r>
        <w:separator/>
      </w:r>
    </w:p>
  </w:endnote>
  <w:endnote w:type="continuationSeparator" w:id="0">
    <w:p w14:paraId="379639F2" w14:textId="77777777" w:rsidR="005D58A4" w:rsidRDefault="005D58A4" w:rsidP="009A1240">
      <w:r>
        <w:continuationSeparator/>
      </w:r>
    </w:p>
  </w:endnote>
  <w:endnote w:type="continuationNotice" w:id="1">
    <w:p w14:paraId="5B5C9C04" w14:textId="77777777" w:rsidR="005D58A4" w:rsidRDefault="005D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6243" w14:textId="77777777" w:rsidR="005D58A4" w:rsidRDefault="005D58A4" w:rsidP="009A1240">
      <w:r>
        <w:separator/>
      </w:r>
    </w:p>
  </w:footnote>
  <w:footnote w:type="continuationSeparator" w:id="0">
    <w:p w14:paraId="20F75503" w14:textId="77777777" w:rsidR="005D58A4" w:rsidRDefault="005D58A4" w:rsidP="009A1240">
      <w:r>
        <w:continuationSeparator/>
      </w:r>
    </w:p>
  </w:footnote>
  <w:footnote w:type="continuationNotice" w:id="1">
    <w:p w14:paraId="4E797E0E" w14:textId="77777777" w:rsidR="005D58A4" w:rsidRDefault="005D58A4"/>
  </w:footnote>
  <w:footnote w:id="2">
    <w:p w14:paraId="05FD2CAA" w14:textId="77777777" w:rsidR="008C16FC" w:rsidRPr="00CE1C4E" w:rsidRDefault="008C16F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cs="Calibri"/>
          <w:lang w:val="es-CO"/>
        </w:rPr>
        <w:t>FORERO S., Jorge. Actividad probatoria en la segunda instancia. Memorias del XXIX Congreso de derecho Procesal, 2018, ICDP, p.307 ss.</w:t>
      </w:r>
    </w:p>
  </w:footnote>
  <w:footnote w:id="3">
    <w:p w14:paraId="5CA71AEC" w14:textId="77777777" w:rsidR="008C16FC" w:rsidRPr="00CE1C4E" w:rsidRDefault="008C16F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ESCOBAR V. Édgar G. Los recursos en el Código General del Proceso. Librería jurídica Sánchez R. Ltda. 2015, p.37.</w:t>
      </w:r>
    </w:p>
  </w:footnote>
  <w:footnote w:id="4">
    <w:p w14:paraId="11C0AD2C" w14:textId="012DA147" w:rsidR="008C16FC" w:rsidRPr="00CE1C4E" w:rsidRDefault="008C16FC" w:rsidP="002A6E80">
      <w:pPr>
        <w:pStyle w:val="Textonotapie"/>
        <w:jc w:val="both"/>
        <w:rPr>
          <w:rFonts w:ascii="Century" w:hAnsi="Century"/>
        </w:rPr>
      </w:pPr>
      <w:r w:rsidRPr="00CE1C4E">
        <w:rPr>
          <w:rFonts w:ascii="Century" w:hAnsi="Century"/>
          <w:vertAlign w:val="superscript"/>
        </w:rPr>
        <w:footnoteRef/>
      </w:r>
      <w:r w:rsidRPr="00CE1C4E">
        <w:rPr>
          <w:rFonts w:ascii="Century" w:hAnsi="Century"/>
        </w:rPr>
        <w:t xml:space="preserve"> </w:t>
      </w:r>
      <w:r w:rsidR="00B83829" w:rsidRPr="00CE1C4E">
        <w:rPr>
          <w:rFonts w:ascii="Century" w:hAnsi="Century"/>
          <w:lang w:val="es-CO"/>
        </w:rPr>
        <w:t>LÓPEZ B., Hernán F. Código General del Proceso, parte general, Bogotá DC, Dupre editores, 2019, p.781</w:t>
      </w:r>
      <w:r w:rsidRPr="00CE1C4E">
        <w:rPr>
          <w:rFonts w:ascii="Century" w:hAnsi="Century"/>
        </w:rPr>
        <w:t>.</w:t>
      </w:r>
    </w:p>
  </w:footnote>
  <w:footnote w:id="5">
    <w:p w14:paraId="27C037DE" w14:textId="77777777" w:rsidR="008C16FC" w:rsidRPr="00CE1C4E" w:rsidRDefault="008C16FC" w:rsidP="002A6E80">
      <w:pPr>
        <w:pStyle w:val="Textonotapie"/>
        <w:jc w:val="both"/>
        <w:rPr>
          <w:rFonts w:ascii="Century" w:hAnsi="Century"/>
        </w:rPr>
      </w:pPr>
      <w:r w:rsidRPr="00CE1C4E">
        <w:rPr>
          <w:rFonts w:ascii="Century" w:hAnsi="Century"/>
          <w:vertAlign w:val="superscript"/>
        </w:rPr>
        <w:footnoteRef/>
      </w:r>
      <w:r w:rsidRPr="00CE1C4E">
        <w:rPr>
          <w:rFonts w:ascii="Century" w:hAnsi="Century"/>
        </w:rPr>
        <w:t xml:space="preserve"> PARRA Q., Jairo. Derecho procesal civil, tomo I, Santafé de Bogotá D.C., Temis, 1992, p.276.</w:t>
      </w:r>
    </w:p>
  </w:footnote>
  <w:footnote w:id="6">
    <w:p w14:paraId="142C130C" w14:textId="77777777" w:rsidR="008C16FC" w:rsidRPr="00CE1C4E" w:rsidRDefault="008C16FC" w:rsidP="002A6E80">
      <w:pPr>
        <w:pStyle w:val="Sinespaciado"/>
        <w:jc w:val="both"/>
        <w:rPr>
          <w:rFonts w:ascii="Century" w:hAnsi="Century"/>
          <w:sz w:val="20"/>
          <w:szCs w:val="20"/>
        </w:rPr>
      </w:pPr>
      <w:r w:rsidRPr="00CE1C4E">
        <w:rPr>
          <w:rFonts w:ascii="Century" w:hAnsi="Century"/>
          <w:sz w:val="20"/>
          <w:szCs w:val="20"/>
          <w:vertAlign w:val="superscript"/>
        </w:rPr>
        <w:footnoteRef/>
      </w:r>
      <w:r w:rsidRPr="00CE1C4E">
        <w:rPr>
          <w:rFonts w:ascii="Century" w:hAnsi="Century"/>
          <w:sz w:val="20"/>
          <w:szCs w:val="20"/>
        </w:rPr>
        <w:t xml:space="preserve"> </w:t>
      </w:r>
      <w:r w:rsidRPr="00CE1C4E">
        <w:rPr>
          <w:rFonts w:ascii="Century" w:hAnsi="Century"/>
          <w:sz w:val="20"/>
          <w:szCs w:val="20"/>
          <w:lang w:val="es-CO"/>
        </w:rPr>
        <w:t xml:space="preserve">LÓPEZ B., Hernán F. </w:t>
      </w:r>
      <w:r w:rsidRPr="00CE1C4E">
        <w:rPr>
          <w:rFonts w:ascii="Century" w:hAnsi="Century"/>
          <w:sz w:val="20"/>
          <w:szCs w:val="20"/>
        </w:rPr>
        <w:t>Ob. cit., p.769.</w:t>
      </w:r>
    </w:p>
  </w:footnote>
  <w:footnote w:id="7">
    <w:p w14:paraId="79E36D33" w14:textId="4922A27D" w:rsidR="008C16FC" w:rsidRPr="00CE1C4E" w:rsidRDefault="008C16F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ROJAS G., Miguel E. Lecciones de derecho procesal, procedimiento civil, tomo II, ESAJU, 20</w:t>
      </w:r>
      <w:r w:rsidR="00164689" w:rsidRPr="00CE1C4E">
        <w:rPr>
          <w:rFonts w:ascii="Century" w:hAnsi="Century"/>
          <w:lang w:val="es-CO"/>
        </w:rPr>
        <w:t>20</w:t>
      </w:r>
      <w:r w:rsidRPr="00CE1C4E">
        <w:rPr>
          <w:rFonts w:ascii="Century" w:hAnsi="Century"/>
          <w:lang w:val="es-CO"/>
        </w:rPr>
        <w:t xml:space="preserve">, </w:t>
      </w:r>
      <w:r w:rsidR="00164689" w:rsidRPr="00CE1C4E">
        <w:rPr>
          <w:rFonts w:ascii="Century" w:hAnsi="Century"/>
          <w:lang w:val="es-CO"/>
        </w:rPr>
        <w:t>7</w:t>
      </w:r>
      <w:r w:rsidRPr="00CE1C4E">
        <w:rPr>
          <w:rFonts w:ascii="Century" w:hAnsi="Century"/>
          <w:lang w:val="es-CO"/>
        </w:rPr>
        <w:t>ª edición, Bogotá, p.4</w:t>
      </w:r>
      <w:r w:rsidR="00164689" w:rsidRPr="00CE1C4E">
        <w:rPr>
          <w:rFonts w:ascii="Century" w:hAnsi="Century"/>
          <w:lang w:val="es-CO"/>
        </w:rPr>
        <w:t>68</w:t>
      </w:r>
      <w:r w:rsidRPr="00CE1C4E">
        <w:rPr>
          <w:rFonts w:ascii="Century" w:hAnsi="Century"/>
          <w:lang w:val="es-CO"/>
        </w:rPr>
        <w:t>.</w:t>
      </w:r>
    </w:p>
  </w:footnote>
  <w:footnote w:id="8">
    <w:p w14:paraId="24E1466C" w14:textId="77777777" w:rsidR="008C16FC" w:rsidRPr="00CE1C4E" w:rsidRDefault="008C16F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CSJ. Sala Civil. Sentencia del 17-09-1992; MP: Ospina B.</w:t>
      </w:r>
    </w:p>
  </w:footnote>
  <w:footnote w:id="9">
    <w:p w14:paraId="715771AD" w14:textId="77777777" w:rsidR="008C16FC" w:rsidRPr="00CE1C4E" w:rsidRDefault="008C16F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CSJ. STC-12737-2017.</w:t>
      </w:r>
    </w:p>
  </w:footnote>
  <w:footnote w:id="10">
    <w:p w14:paraId="7ECECDCA" w14:textId="3BD33ED1" w:rsidR="000113E2" w:rsidRPr="00CE1C4E" w:rsidRDefault="000113E2"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PARRA B., Jorge. Derecho procesal civil, 2ª edición puesta al día, Bogotá DC, Temis, 2021, p.395.</w:t>
      </w:r>
    </w:p>
  </w:footnote>
  <w:footnote w:id="11">
    <w:p w14:paraId="37818627" w14:textId="60B81A1D" w:rsidR="000113E2" w:rsidRPr="00CE1C4E" w:rsidRDefault="000113E2"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 xml:space="preserve">CRUZ T., Horacio. </w:t>
      </w:r>
      <w:r w:rsidR="00300B3D" w:rsidRPr="00CE1C4E">
        <w:rPr>
          <w:rFonts w:ascii="Century" w:hAnsi="Century"/>
          <w:lang w:val="es-CO"/>
        </w:rPr>
        <w:t>Medios de impugnación</w:t>
      </w:r>
      <w:r w:rsidRPr="00CE1C4E">
        <w:rPr>
          <w:rFonts w:ascii="Century" w:hAnsi="Century"/>
          <w:lang w:val="es-CO"/>
        </w:rPr>
        <w:t xml:space="preserve">, </w:t>
      </w:r>
      <w:r w:rsidRPr="00CE1C4E">
        <w:rPr>
          <w:rFonts w:ascii="Century" w:hAnsi="Century"/>
          <w:u w:val="single"/>
          <w:lang w:val="es-CO"/>
        </w:rPr>
        <w:t>En:</w:t>
      </w:r>
      <w:r w:rsidRPr="00CE1C4E">
        <w:rPr>
          <w:rFonts w:ascii="Century" w:hAnsi="Century"/>
          <w:lang w:val="es-CO"/>
        </w:rPr>
        <w:t xml:space="preserve"> Puesta en práctica del CGP, coordinadora María del Socorro Rueda, Bogotá DC, Universidad de los Andes y Legis, 2018, p.</w:t>
      </w:r>
      <w:r w:rsidR="00300B3D" w:rsidRPr="00CE1C4E">
        <w:rPr>
          <w:rFonts w:ascii="Century" w:hAnsi="Century"/>
          <w:lang w:val="es-CO"/>
        </w:rPr>
        <w:t>3</w:t>
      </w:r>
      <w:r w:rsidRPr="00CE1C4E">
        <w:rPr>
          <w:rFonts w:ascii="Century" w:hAnsi="Century"/>
          <w:lang w:val="es-CO"/>
        </w:rPr>
        <w:t>9</w:t>
      </w:r>
      <w:r w:rsidR="00300B3D" w:rsidRPr="00CE1C4E">
        <w:rPr>
          <w:rFonts w:ascii="Century" w:hAnsi="Century"/>
          <w:lang w:val="es-CO"/>
        </w:rPr>
        <w:t>3</w:t>
      </w:r>
      <w:r w:rsidRPr="00CE1C4E">
        <w:rPr>
          <w:rFonts w:ascii="Century" w:hAnsi="Century"/>
          <w:lang w:val="es-CO"/>
        </w:rPr>
        <w:t>.</w:t>
      </w:r>
    </w:p>
  </w:footnote>
  <w:footnote w:id="12">
    <w:p w14:paraId="07A2D204" w14:textId="77777777" w:rsidR="003D663C" w:rsidRPr="00CE1C4E" w:rsidRDefault="003D663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LÓPEZ B., Hernán F.</w:t>
      </w:r>
      <w:r w:rsidRPr="00CE1C4E">
        <w:rPr>
          <w:rFonts w:ascii="Century" w:hAnsi="Century"/>
        </w:rPr>
        <w:t xml:space="preserve"> Ob. cit., p.776.</w:t>
      </w:r>
    </w:p>
  </w:footnote>
  <w:footnote w:id="13">
    <w:p w14:paraId="0C5F8CBE" w14:textId="77777777" w:rsidR="003D663C" w:rsidRPr="00CE1C4E" w:rsidRDefault="003D663C" w:rsidP="002A6E80">
      <w:pPr>
        <w:pStyle w:val="Textonotapie"/>
        <w:jc w:val="both"/>
        <w:rPr>
          <w:rFonts w:ascii="Century" w:hAnsi="Century"/>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ROJAS G., Miguel E. Código General del Proceso comentado, ESAJU, 2017, Bogotá DC, p.511.</w:t>
      </w:r>
    </w:p>
  </w:footnote>
  <w:footnote w:id="14">
    <w:p w14:paraId="1E2092AE" w14:textId="77777777" w:rsidR="009B1D1D" w:rsidRPr="00CE1C4E" w:rsidRDefault="009B1D1D" w:rsidP="002A6E80">
      <w:pPr>
        <w:pStyle w:val="Sinespaciado"/>
        <w:jc w:val="both"/>
        <w:rPr>
          <w:rFonts w:ascii="Century" w:hAnsi="Century" w:cs="Times New Roman"/>
          <w:sz w:val="20"/>
          <w:szCs w:val="20"/>
        </w:rPr>
      </w:pPr>
      <w:r w:rsidRPr="00CE1C4E">
        <w:rPr>
          <w:rFonts w:ascii="Century" w:hAnsi="Century" w:cs="Times New Roman"/>
          <w:sz w:val="20"/>
          <w:szCs w:val="20"/>
          <w:vertAlign w:val="superscript"/>
        </w:rPr>
        <w:footnoteRef/>
      </w:r>
      <w:r w:rsidRPr="00CE1C4E">
        <w:rPr>
          <w:rFonts w:ascii="Century" w:hAnsi="Century" w:cs="Times New Roman"/>
          <w:sz w:val="20"/>
          <w:szCs w:val="20"/>
        </w:rPr>
        <w:t xml:space="preserve"> </w:t>
      </w:r>
      <w:r w:rsidRPr="00CE1C4E">
        <w:rPr>
          <w:rFonts w:ascii="Century" w:hAnsi="Century" w:cs="Times New Roman"/>
          <w:sz w:val="20"/>
          <w:szCs w:val="20"/>
          <w:lang w:val="es-CO"/>
        </w:rPr>
        <w:t>LÓPEZ B., Hernán F.</w:t>
      </w:r>
      <w:r w:rsidRPr="00CE1C4E">
        <w:rPr>
          <w:rFonts w:ascii="Century" w:hAnsi="Century" w:cs="Times New Roman"/>
          <w:sz w:val="20"/>
          <w:szCs w:val="20"/>
        </w:rPr>
        <w:t xml:space="preserve"> Ob. cit., p.778.</w:t>
      </w:r>
    </w:p>
  </w:footnote>
  <w:footnote w:id="15">
    <w:p w14:paraId="62A7D255" w14:textId="77777777" w:rsidR="009B1D1D" w:rsidRPr="00CE1C4E" w:rsidRDefault="009B1D1D"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ROJAS G., Miguel E.</w:t>
      </w:r>
      <w:r w:rsidRPr="00CE1C4E">
        <w:rPr>
          <w:rFonts w:ascii="Century" w:hAnsi="Century"/>
        </w:rPr>
        <w:t xml:space="preserve"> Lecciones de derecho procesal, Teoría del proceso, tomo I, </w:t>
      </w:r>
      <w:r w:rsidRPr="00CE1C4E">
        <w:rPr>
          <w:rFonts w:ascii="Century" w:hAnsi="Century"/>
          <w:lang w:val="es-CO"/>
        </w:rPr>
        <w:t>ESAJU</w:t>
      </w:r>
      <w:r w:rsidRPr="00CE1C4E">
        <w:rPr>
          <w:rFonts w:ascii="Century" w:hAnsi="Century"/>
        </w:rPr>
        <w:t>, 3ª edición, 2013, Bogotá DC, p.204.</w:t>
      </w:r>
    </w:p>
  </w:footnote>
  <w:footnote w:id="16">
    <w:p w14:paraId="13E7CD25" w14:textId="77777777" w:rsidR="009B1D1D" w:rsidRPr="00CE1C4E" w:rsidRDefault="009B1D1D"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CSJ. SC-10223-2014.</w:t>
      </w:r>
    </w:p>
  </w:footnote>
  <w:footnote w:id="17">
    <w:p w14:paraId="3EB5B00D" w14:textId="77777777" w:rsidR="009B1D1D" w:rsidRPr="00CE1C4E" w:rsidRDefault="009B1D1D"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CC. C-365 de 18 de agosto de 1994; C-165 de 17 de marzo de 1999, expediente D-2188.</w:t>
      </w:r>
    </w:p>
  </w:footnote>
  <w:footnote w:id="18">
    <w:p w14:paraId="5B2FB19F" w14:textId="77777777" w:rsidR="009B1D1D" w:rsidRPr="00CE1C4E" w:rsidRDefault="009B1D1D" w:rsidP="002A6E80">
      <w:pPr>
        <w:pStyle w:val="Textonotapie"/>
        <w:jc w:val="both"/>
        <w:rPr>
          <w:rFonts w:ascii="Century" w:hAnsi="Century"/>
        </w:rPr>
      </w:pPr>
      <w:r w:rsidRPr="00CE1C4E">
        <w:rPr>
          <w:rFonts w:ascii="Century" w:hAnsi="Century"/>
          <w:vertAlign w:val="superscript"/>
        </w:rPr>
        <w:footnoteRef/>
      </w:r>
      <w:r w:rsidRPr="00CE1C4E">
        <w:rPr>
          <w:rFonts w:ascii="Century" w:hAnsi="Century"/>
          <w:lang w:val="es-CO"/>
        </w:rPr>
        <w:t xml:space="preserve"> CC. Sentencia C-365 de 1994. </w:t>
      </w:r>
    </w:p>
  </w:footnote>
  <w:footnote w:id="19">
    <w:p w14:paraId="4FBE04DE" w14:textId="77777777" w:rsidR="009B1D1D" w:rsidRPr="00CE1C4E" w:rsidRDefault="009B1D1D" w:rsidP="002A6E80">
      <w:pPr>
        <w:pStyle w:val="Textonotapie"/>
        <w:jc w:val="both"/>
        <w:rPr>
          <w:rFonts w:ascii="Century" w:hAnsi="Century"/>
        </w:rPr>
      </w:pPr>
      <w:r w:rsidRPr="00CE1C4E">
        <w:rPr>
          <w:rStyle w:val="Refdenotaalpie"/>
          <w:rFonts w:ascii="Century" w:hAnsi="Century" w:cs="Calibri"/>
        </w:rPr>
        <w:footnoteRef/>
      </w:r>
      <w:r w:rsidRPr="00CE1C4E">
        <w:rPr>
          <w:rFonts w:ascii="Century" w:hAnsi="Century" w:cs="Calibri"/>
        </w:rPr>
        <w:t xml:space="preserve"> CSJ, Sala Civil. Auto del 30-08-1984; MP: Murcia B.</w:t>
      </w:r>
    </w:p>
  </w:footnote>
  <w:footnote w:id="20">
    <w:p w14:paraId="29B95838" w14:textId="77777777"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ÁLVAREZ G., Marco A. Variaciones sobre el recurso de apelación en el CGP, </w:t>
      </w:r>
      <w:r w:rsidRPr="00CE1C4E">
        <w:rPr>
          <w:rFonts w:ascii="Century" w:hAnsi="Century"/>
          <w:u w:val="single"/>
        </w:rPr>
        <w:t>En:</w:t>
      </w:r>
      <w:r w:rsidRPr="00CE1C4E">
        <w:rPr>
          <w:rFonts w:ascii="Century" w:hAnsi="Century"/>
        </w:rPr>
        <w:t xml:space="preserve"> INSTITUTO COLOMBIANO DE DERECHO PROCESAL. Código General del Proceso, Bogotá DC, editorial, Panamericana Formas e impresos, 2018, p.438-449.</w:t>
      </w:r>
    </w:p>
  </w:footnote>
  <w:footnote w:id="21">
    <w:p w14:paraId="467A2CF7" w14:textId="77777777"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FORERO S., Jorge. Actividad probatoria en segunda instancia, </w:t>
      </w:r>
      <w:r w:rsidRPr="00CE1C4E">
        <w:rPr>
          <w:rFonts w:ascii="Century" w:hAnsi="Century"/>
          <w:u w:val="single"/>
        </w:rPr>
        <w:t>En:</w:t>
      </w:r>
      <w:r w:rsidRPr="00CE1C4E">
        <w:rPr>
          <w:rFonts w:ascii="Century" w:hAnsi="Century"/>
        </w:rPr>
        <w:t xml:space="preserve"> INSTITUTO COLOMBIANO DE DERECHO PROCESAL. Memorias del XXXIX Congreso de derecho procesal en Cali, </w:t>
      </w:r>
      <w:bookmarkStart w:id="9" w:name="_Hlk53652533"/>
      <w:r w:rsidRPr="00CE1C4E">
        <w:rPr>
          <w:rFonts w:ascii="Century" w:hAnsi="Century"/>
        </w:rPr>
        <w:t>Bogotá DC, editorial Universidad Libre</w:t>
      </w:r>
      <w:bookmarkEnd w:id="9"/>
      <w:r w:rsidRPr="00CE1C4E">
        <w:rPr>
          <w:rFonts w:ascii="Century" w:hAnsi="Century"/>
        </w:rPr>
        <w:t>, 2018, p.307-324.</w:t>
      </w:r>
    </w:p>
  </w:footnote>
  <w:footnote w:id="22">
    <w:p w14:paraId="581BEAA7" w14:textId="77777777"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BEJARANO G., Ramiro. Falencias dialécticas del CGP, </w:t>
      </w:r>
      <w:r w:rsidRPr="00CE1C4E">
        <w:rPr>
          <w:rFonts w:ascii="Century" w:hAnsi="Century"/>
          <w:u w:val="single"/>
        </w:rPr>
        <w:t>En:</w:t>
      </w:r>
      <w:r w:rsidRPr="00CE1C4E">
        <w:rPr>
          <w:rFonts w:ascii="Century" w:hAnsi="Century"/>
        </w:rPr>
        <w:t xml:space="preserve"> INSTITUTO COLOMBIANO DE DERECHO PROCESAL. Memorial del Congreso XXXVIII en Cartagena, editorial Universidad Libre, Bogotá DC, 2017, p.639-663.</w:t>
      </w:r>
    </w:p>
  </w:footnote>
  <w:footnote w:id="23">
    <w:p w14:paraId="4205EA3A" w14:textId="77777777" w:rsidR="004A443F" w:rsidRPr="00CE1C4E" w:rsidRDefault="004A443F" w:rsidP="002A6E80">
      <w:pPr>
        <w:shd w:val="clear" w:color="auto" w:fill="FFFFFF"/>
        <w:jc w:val="both"/>
        <w:rPr>
          <w:rFonts w:ascii="Century" w:hAnsi="Century"/>
        </w:rPr>
      </w:pPr>
      <w:r w:rsidRPr="00CE1C4E">
        <w:rPr>
          <w:rStyle w:val="Refdenotaalpie"/>
          <w:rFonts w:ascii="Century" w:hAnsi="Century"/>
        </w:rPr>
        <w:footnoteRef/>
      </w:r>
      <w:r w:rsidRPr="00CE1C4E">
        <w:rPr>
          <w:rFonts w:ascii="Century" w:hAnsi="Century"/>
        </w:rPr>
        <w:t xml:space="preserve"> QUINTERO G., Armando A. El recurso de apelación en el nuevo CGP: un desatino para la justicia colombiana [En línea]. Universidad Santo Tomás, revista virtual: </w:t>
      </w:r>
      <w:r w:rsidRPr="00CE1C4E">
        <w:rPr>
          <w:rFonts w:ascii="Century" w:hAnsi="Century"/>
          <w:i/>
        </w:rPr>
        <w:t>via inveniendi et iudicandi</w:t>
      </w:r>
      <w:r w:rsidRPr="00CE1C4E">
        <w:rPr>
          <w:rFonts w:ascii="Century" w:hAnsi="Century"/>
        </w:rPr>
        <w:t xml:space="preserve">, julio-diciembre 2015 [Visitado el 2020-08-10]. Disponible en internet: </w:t>
      </w:r>
      <w:r w:rsidRPr="00CE1C4E">
        <w:rPr>
          <w:rFonts w:ascii="Century" w:hAnsi="Century" w:cs="Arial"/>
        </w:rPr>
        <w:t>https://dialnet.unirioja.es/descarga/articulo/6132861.pdf</w:t>
      </w:r>
    </w:p>
  </w:footnote>
  <w:footnote w:id="24">
    <w:p w14:paraId="77F77993" w14:textId="6DEF4651"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TS, Civil-Familia. Sentencias del (i) </w:t>
      </w:r>
      <w:r w:rsidR="002F5088" w:rsidRPr="00CE1C4E">
        <w:rPr>
          <w:rFonts w:ascii="Century" w:hAnsi="Century"/>
        </w:rPr>
        <w:t>SC0056-2021, MP: Grisales H.; (ii) 19-06-2020; MP: Grisales H., No.2019-00046-01;</w:t>
      </w:r>
      <w:r w:rsidRPr="00CE1C4E">
        <w:rPr>
          <w:rFonts w:ascii="Century" w:hAnsi="Century"/>
        </w:rPr>
        <w:t xml:space="preserve"> </w:t>
      </w:r>
      <w:r w:rsidR="002F5088" w:rsidRPr="00CE1C4E">
        <w:rPr>
          <w:rFonts w:ascii="Century" w:hAnsi="Century"/>
        </w:rPr>
        <w:t xml:space="preserve">y, </w:t>
      </w:r>
      <w:r w:rsidRPr="00CE1C4E">
        <w:rPr>
          <w:rFonts w:ascii="Century" w:hAnsi="Century"/>
        </w:rPr>
        <w:t>(i</w:t>
      </w:r>
      <w:r w:rsidR="002F5088" w:rsidRPr="00CE1C4E">
        <w:rPr>
          <w:rFonts w:ascii="Century" w:hAnsi="Century"/>
        </w:rPr>
        <w:t>i</w:t>
      </w:r>
      <w:r w:rsidRPr="00CE1C4E">
        <w:rPr>
          <w:rFonts w:ascii="Century" w:hAnsi="Century"/>
        </w:rPr>
        <w:t>i)</w:t>
      </w:r>
      <w:r w:rsidRPr="00CE1C4E">
        <w:rPr>
          <w:rFonts w:ascii="Century" w:eastAsia="DotumChe" w:hAnsi="Century"/>
          <w:spacing w:val="-4"/>
        </w:rPr>
        <w:t xml:space="preserve"> 04</w:t>
      </w:r>
      <w:r w:rsidRPr="00CE1C4E">
        <w:rPr>
          <w:rFonts w:ascii="Century" w:hAnsi="Century"/>
        </w:rPr>
        <w:t>-07-2018; MP: Saraza N., No.2011-00193-01, entre muchas.</w:t>
      </w:r>
    </w:p>
  </w:footnote>
  <w:footnote w:id="25">
    <w:p w14:paraId="6BFFF9AE" w14:textId="77777777"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CSJ. STC-9587-2017.</w:t>
      </w:r>
    </w:p>
  </w:footnote>
  <w:footnote w:id="26">
    <w:p w14:paraId="561A7D06" w14:textId="77777777" w:rsidR="004A443F" w:rsidRPr="00CE1C4E" w:rsidRDefault="004A443F" w:rsidP="002A6E80">
      <w:pPr>
        <w:pStyle w:val="Textonotapie"/>
        <w:jc w:val="both"/>
        <w:rPr>
          <w:rFonts w:ascii="Century" w:hAnsi="Century"/>
        </w:rPr>
      </w:pPr>
      <w:r w:rsidRPr="00CE1C4E">
        <w:rPr>
          <w:rStyle w:val="Refdenotaalpie"/>
          <w:rFonts w:ascii="Century" w:hAnsi="Century"/>
        </w:rPr>
        <w:footnoteRef/>
      </w:r>
      <w:r w:rsidRPr="00CE1C4E">
        <w:rPr>
          <w:rFonts w:ascii="Century" w:hAnsi="Century"/>
        </w:rPr>
        <w:t xml:space="preserve"> CSJ. SC-2351-2019.</w:t>
      </w:r>
    </w:p>
  </w:footnote>
  <w:footnote w:id="27">
    <w:p w14:paraId="2B908CE2" w14:textId="77777777" w:rsidR="002F5088" w:rsidRPr="00C40C24" w:rsidRDefault="002F5088" w:rsidP="002A6E80">
      <w:pPr>
        <w:pStyle w:val="Textonotapie"/>
        <w:jc w:val="both"/>
        <w:rPr>
          <w:rFonts w:ascii="Century" w:hAnsi="Century"/>
          <w:sz w:val="22"/>
          <w:szCs w:val="22"/>
          <w:lang w:val="es-CO"/>
        </w:rPr>
      </w:pPr>
      <w:r w:rsidRPr="00CE1C4E">
        <w:rPr>
          <w:rStyle w:val="Refdenotaalpie"/>
          <w:rFonts w:ascii="Century" w:hAnsi="Century"/>
        </w:rPr>
        <w:footnoteRef/>
      </w:r>
      <w:r w:rsidRPr="00CE1C4E">
        <w:rPr>
          <w:rFonts w:ascii="Century" w:hAnsi="Century"/>
        </w:rPr>
        <w:t xml:space="preserve"> </w:t>
      </w:r>
      <w:r w:rsidRPr="00CE1C4E">
        <w:rPr>
          <w:rFonts w:ascii="Century" w:hAnsi="Century"/>
          <w:lang w:val="es-CO"/>
        </w:rPr>
        <w:t>PARRA B., Jorge. Derecho procesal civil, 2ª edición puesta al día, Bogotá DC, Temis, 2021, p.403.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C41317" w:rsidRDefault="00045CE3" w:rsidP="00045CE3">
    <w:pPr>
      <w:pStyle w:val="Encabezado"/>
      <w:pBdr>
        <w:bottom w:val="single" w:sz="4" w:space="1" w:color="D9D9D9" w:themeColor="background1" w:themeShade="D9"/>
      </w:pBdr>
      <w:jc w:val="right"/>
      <w:rPr>
        <w:rFonts w:ascii="Georgia" w:hAnsi="Georgia" w:cs="Calibri"/>
        <w:bCs/>
      </w:rPr>
    </w:pPr>
    <w:r w:rsidRPr="00C41317">
      <w:rPr>
        <w:rFonts w:ascii="Georgia" w:hAnsi="Georgia" w:cs="Calibri"/>
        <w:spacing w:val="60"/>
      </w:rPr>
      <w:t>Página</w:t>
    </w:r>
    <w:r w:rsidRPr="00C41317">
      <w:rPr>
        <w:rFonts w:ascii="Georgia" w:hAnsi="Georgia" w:cs="Calibri"/>
      </w:rPr>
      <w:t xml:space="preserve"> | </w:t>
    </w:r>
    <w:r w:rsidRPr="00C41317">
      <w:rPr>
        <w:rFonts w:ascii="Georgia" w:hAnsi="Georgia" w:cs="Calibri"/>
      </w:rPr>
      <w:fldChar w:fldCharType="begin"/>
    </w:r>
    <w:r w:rsidRPr="00C41317">
      <w:rPr>
        <w:rFonts w:ascii="Georgia" w:hAnsi="Georgia" w:cs="Calibri"/>
      </w:rPr>
      <w:instrText>PAGE   \* MERGEFORMAT</w:instrText>
    </w:r>
    <w:r w:rsidRPr="00C41317">
      <w:rPr>
        <w:rFonts w:ascii="Georgia" w:hAnsi="Georgia" w:cs="Calibri"/>
      </w:rPr>
      <w:fldChar w:fldCharType="separate"/>
    </w:r>
    <w:r w:rsidR="005776F2" w:rsidRPr="00C41317">
      <w:rPr>
        <w:rFonts w:ascii="Georgia" w:hAnsi="Georgia" w:cs="Calibri"/>
        <w:bCs/>
        <w:noProof/>
      </w:rPr>
      <w:t>5</w:t>
    </w:r>
    <w:r w:rsidRPr="00C41317">
      <w:rPr>
        <w:rFonts w:ascii="Georgia" w:hAnsi="Georgia" w:cs="Calibri"/>
      </w:rPr>
      <w:fldChar w:fldCharType="end"/>
    </w:r>
  </w:p>
  <w:p w14:paraId="7C2AC039" w14:textId="0DB0D12A" w:rsidR="008D321B" w:rsidRPr="00C41317" w:rsidRDefault="00045CE3" w:rsidP="00045CE3">
    <w:pPr>
      <w:pStyle w:val="Encabezado"/>
      <w:rPr>
        <w:rFonts w:ascii="Georgia" w:hAnsi="Georgia" w:cs="Iskoola Pota"/>
        <w:i/>
        <w:sz w:val="18"/>
        <w:lang w:val="es-CO"/>
      </w:rPr>
    </w:pPr>
    <w:r w:rsidRPr="00C41317">
      <w:rPr>
        <w:rFonts w:ascii="Georgia" w:hAnsi="Georgia" w:cs="Iskoola Pota"/>
        <w:i/>
        <w:lang w:val="es-CO"/>
      </w:rPr>
      <w:t>E</w:t>
    </w:r>
    <w:r w:rsidRPr="00C41317">
      <w:rPr>
        <w:rFonts w:ascii="Georgia" w:hAnsi="Georgia" w:cs="Iskoola Pota"/>
        <w:i/>
        <w:sz w:val="16"/>
        <w:lang w:val="es-CO"/>
      </w:rPr>
      <w:t>XPEDIENTE No.</w:t>
    </w:r>
    <w:r w:rsidR="00B16D2A" w:rsidRPr="00C41317">
      <w:rPr>
        <w:rFonts w:ascii="Georgia" w:hAnsi="Georgia" w:cs="Iskoola Pota"/>
        <w:i/>
        <w:sz w:val="16"/>
        <w:lang w:val="es-CO"/>
      </w:rPr>
      <w:t>20</w:t>
    </w:r>
    <w:r w:rsidR="006C5DBF" w:rsidRPr="00C41317">
      <w:rPr>
        <w:rFonts w:ascii="Georgia" w:hAnsi="Georgia" w:cs="Iskoola Pota"/>
        <w:i/>
        <w:sz w:val="16"/>
        <w:lang w:val="es-CO"/>
      </w:rPr>
      <w:t>1</w:t>
    </w:r>
    <w:r w:rsidR="00172673" w:rsidRPr="00C41317">
      <w:rPr>
        <w:rFonts w:ascii="Georgia" w:hAnsi="Georgia" w:cs="Iskoola Pota"/>
        <w:i/>
        <w:sz w:val="16"/>
        <w:lang w:val="es-CO"/>
      </w:rPr>
      <w:t>5</w:t>
    </w:r>
    <w:r w:rsidR="005E24AC" w:rsidRPr="00C41317">
      <w:rPr>
        <w:rFonts w:ascii="Georgia" w:hAnsi="Georgia" w:cs="Iskoola Pota"/>
        <w:i/>
        <w:sz w:val="16"/>
        <w:lang w:val="es-CO"/>
      </w:rPr>
      <w:t>-</w:t>
    </w:r>
    <w:r w:rsidR="00B16D2A" w:rsidRPr="00C41317">
      <w:rPr>
        <w:rFonts w:ascii="Georgia" w:hAnsi="Georgia" w:cs="Iskoola Pota"/>
        <w:i/>
        <w:sz w:val="16"/>
        <w:lang w:val="es-CO"/>
      </w:rPr>
      <w:t>0</w:t>
    </w:r>
    <w:r w:rsidR="00096EAF" w:rsidRPr="00C41317">
      <w:rPr>
        <w:rFonts w:ascii="Georgia" w:hAnsi="Georgia" w:cs="Iskoola Pota"/>
        <w:i/>
        <w:sz w:val="16"/>
        <w:lang w:val="es-CO"/>
      </w:rPr>
      <w:t>0</w:t>
    </w:r>
    <w:r w:rsidR="00172673" w:rsidRPr="00C41317">
      <w:rPr>
        <w:rFonts w:ascii="Georgia" w:hAnsi="Georgia" w:cs="Iskoola Pota"/>
        <w:i/>
        <w:sz w:val="16"/>
        <w:lang w:val="es-CO"/>
      </w:rPr>
      <w:t>131</w:t>
    </w:r>
    <w:r w:rsidR="005E24AC" w:rsidRPr="00C41317">
      <w:rPr>
        <w:rFonts w:ascii="Georgia" w:hAnsi="Georgia" w:cs="Iskoola Pota"/>
        <w:i/>
        <w:sz w:val="16"/>
        <w:lang w:val="es-CO"/>
      </w:rPr>
      <w:t>-</w:t>
    </w:r>
    <w:r w:rsidR="0028371F" w:rsidRPr="00C41317">
      <w:rPr>
        <w:rFonts w:ascii="Georgia" w:hAnsi="Georgia" w:cs="Iskoola Pota"/>
        <w:i/>
        <w:sz w:val="16"/>
        <w:lang w:val="es-CO"/>
      </w:rPr>
      <w:t>0</w:t>
    </w:r>
    <w:r w:rsidR="00172673" w:rsidRPr="00C41317">
      <w:rPr>
        <w:rFonts w:ascii="Georgia" w:hAnsi="Georgia" w:cs="Iskoola Pota"/>
        <w:i/>
        <w:sz w:val="16"/>
        <w:lang w:val="es-CO"/>
      </w:rPr>
      <w:t>1</w:t>
    </w:r>
    <w:r w:rsidR="00C41317">
      <w:rPr>
        <w:rFonts w:ascii="Georgia" w:hAnsi="Georgia" w:cs="Iskoola Pota"/>
        <w:i/>
        <w:sz w:val="18"/>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3CCF0FC7"/>
    <w:multiLevelType w:val="multilevel"/>
    <w:tmpl w:val="F3BC028C"/>
    <w:lvl w:ilvl="0">
      <w:start w:val="5"/>
      <w:numFmt w:val="decimal"/>
      <w:lvlText w:val="%1."/>
      <w:lvlJc w:val="left"/>
      <w:pPr>
        <w:ind w:left="690" w:hanging="690"/>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9"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pPr>
        <w:ind w:left="0" w:firstLine="0"/>
      </w:pPr>
    </w:lvl>
    <w:lvl w:ilvl="2" w:tplc="68A03538">
      <w:numFmt w:val="decimal"/>
      <w:lvlText w:val=""/>
      <w:lvlJc w:val="left"/>
      <w:pPr>
        <w:ind w:left="0" w:firstLine="0"/>
      </w:pPr>
    </w:lvl>
    <w:lvl w:ilvl="3" w:tplc="2500FC76">
      <w:numFmt w:val="decimal"/>
      <w:lvlText w:val=""/>
      <w:lvlJc w:val="left"/>
      <w:pPr>
        <w:ind w:left="0" w:firstLine="0"/>
      </w:pPr>
    </w:lvl>
    <w:lvl w:ilvl="4" w:tplc="C32E54AA">
      <w:numFmt w:val="decimal"/>
      <w:lvlText w:val=""/>
      <w:lvlJc w:val="left"/>
      <w:pPr>
        <w:ind w:left="0" w:firstLine="0"/>
      </w:pPr>
    </w:lvl>
    <w:lvl w:ilvl="5" w:tplc="896C840A">
      <w:numFmt w:val="decimal"/>
      <w:lvlText w:val=""/>
      <w:lvlJc w:val="left"/>
      <w:pPr>
        <w:ind w:left="0" w:firstLine="0"/>
      </w:pPr>
    </w:lvl>
    <w:lvl w:ilvl="6" w:tplc="D93C4F2C">
      <w:numFmt w:val="decimal"/>
      <w:lvlText w:val=""/>
      <w:lvlJc w:val="left"/>
      <w:pPr>
        <w:ind w:left="0" w:firstLine="0"/>
      </w:pPr>
    </w:lvl>
    <w:lvl w:ilvl="7" w:tplc="C2B63448">
      <w:numFmt w:val="decimal"/>
      <w:lvlText w:val=""/>
      <w:lvlJc w:val="left"/>
      <w:pPr>
        <w:ind w:left="0" w:firstLine="0"/>
      </w:pPr>
    </w:lvl>
    <w:lvl w:ilvl="8" w:tplc="FF90F8C8">
      <w:numFmt w:val="decimal"/>
      <w:lvlText w:val=""/>
      <w:lvlJc w:val="left"/>
      <w:pPr>
        <w:ind w:left="0" w:firstLine="0"/>
      </w:pPr>
    </w:lvl>
  </w:abstractNum>
  <w:abstractNum w:abstractNumId="15"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8"/>
  </w:num>
  <w:num w:numId="2">
    <w:abstractNumId w:val="11"/>
  </w:num>
  <w:num w:numId="3">
    <w:abstractNumId w:val="23"/>
  </w:num>
  <w:num w:numId="4">
    <w:abstractNumId w:val="21"/>
  </w:num>
  <w:num w:numId="5">
    <w:abstractNumId w:val="10"/>
  </w:num>
  <w:num w:numId="6">
    <w:abstractNumId w:val="4"/>
  </w:num>
  <w:num w:numId="7">
    <w:abstractNumId w:val="17"/>
  </w:num>
  <w:num w:numId="8">
    <w:abstractNumId w:val="5"/>
  </w:num>
  <w:num w:numId="9">
    <w:abstractNumId w:val="3"/>
  </w:num>
  <w:num w:numId="10">
    <w:abstractNumId w:val="15"/>
  </w:num>
  <w:num w:numId="11">
    <w:abstractNumId w:val="6"/>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9"/>
  </w:num>
  <w:num w:numId="22">
    <w:abstractNumId w:val="12"/>
  </w:num>
  <w:num w:numId="23">
    <w:abstractNumId w:val="16"/>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6436"/>
    <w:rsid w:val="00007AB4"/>
    <w:rsid w:val="000111C6"/>
    <w:rsid w:val="000113E2"/>
    <w:rsid w:val="000124CA"/>
    <w:rsid w:val="00032991"/>
    <w:rsid w:val="00034562"/>
    <w:rsid w:val="00041C8C"/>
    <w:rsid w:val="00043552"/>
    <w:rsid w:val="00045CE3"/>
    <w:rsid w:val="0004745A"/>
    <w:rsid w:val="00050E52"/>
    <w:rsid w:val="000521D3"/>
    <w:rsid w:val="00056AD1"/>
    <w:rsid w:val="000570E1"/>
    <w:rsid w:val="00057483"/>
    <w:rsid w:val="00057617"/>
    <w:rsid w:val="00057B5C"/>
    <w:rsid w:val="00060A66"/>
    <w:rsid w:val="00061786"/>
    <w:rsid w:val="00061E04"/>
    <w:rsid w:val="00063444"/>
    <w:rsid w:val="00063E12"/>
    <w:rsid w:val="0006421A"/>
    <w:rsid w:val="00074EAB"/>
    <w:rsid w:val="00075F28"/>
    <w:rsid w:val="00081941"/>
    <w:rsid w:val="00085933"/>
    <w:rsid w:val="0008788C"/>
    <w:rsid w:val="000930EC"/>
    <w:rsid w:val="00095E19"/>
    <w:rsid w:val="000960ED"/>
    <w:rsid w:val="00096EAF"/>
    <w:rsid w:val="000979F2"/>
    <w:rsid w:val="000A3198"/>
    <w:rsid w:val="000B2C44"/>
    <w:rsid w:val="000B4877"/>
    <w:rsid w:val="000B6B52"/>
    <w:rsid w:val="000C0156"/>
    <w:rsid w:val="000C09F6"/>
    <w:rsid w:val="000C4503"/>
    <w:rsid w:val="000C65EF"/>
    <w:rsid w:val="000C6DDD"/>
    <w:rsid w:val="000D03C3"/>
    <w:rsid w:val="000D106C"/>
    <w:rsid w:val="000D18ED"/>
    <w:rsid w:val="000D1C67"/>
    <w:rsid w:val="000D36B8"/>
    <w:rsid w:val="000D4106"/>
    <w:rsid w:val="000D51C5"/>
    <w:rsid w:val="000D579D"/>
    <w:rsid w:val="000D70EB"/>
    <w:rsid w:val="000E1027"/>
    <w:rsid w:val="000E1102"/>
    <w:rsid w:val="000E64A1"/>
    <w:rsid w:val="000F08E0"/>
    <w:rsid w:val="000F16E3"/>
    <w:rsid w:val="000F1B66"/>
    <w:rsid w:val="000F2937"/>
    <w:rsid w:val="000F3C01"/>
    <w:rsid w:val="000F5B10"/>
    <w:rsid w:val="000F6932"/>
    <w:rsid w:val="00105EA8"/>
    <w:rsid w:val="0010664F"/>
    <w:rsid w:val="00107E1A"/>
    <w:rsid w:val="00112D32"/>
    <w:rsid w:val="001130D4"/>
    <w:rsid w:val="001137B8"/>
    <w:rsid w:val="00114608"/>
    <w:rsid w:val="00114FEE"/>
    <w:rsid w:val="00117C9A"/>
    <w:rsid w:val="0012018F"/>
    <w:rsid w:val="00121881"/>
    <w:rsid w:val="00122065"/>
    <w:rsid w:val="00122CE4"/>
    <w:rsid w:val="0012426E"/>
    <w:rsid w:val="001249B0"/>
    <w:rsid w:val="00125389"/>
    <w:rsid w:val="00131897"/>
    <w:rsid w:val="00132BE5"/>
    <w:rsid w:val="00135410"/>
    <w:rsid w:val="0013679C"/>
    <w:rsid w:val="00137D6A"/>
    <w:rsid w:val="001403D4"/>
    <w:rsid w:val="00141432"/>
    <w:rsid w:val="00141E43"/>
    <w:rsid w:val="001446B1"/>
    <w:rsid w:val="001452E0"/>
    <w:rsid w:val="00147E43"/>
    <w:rsid w:val="0015481A"/>
    <w:rsid w:val="00157865"/>
    <w:rsid w:val="0016063E"/>
    <w:rsid w:val="001638CD"/>
    <w:rsid w:val="00163A34"/>
    <w:rsid w:val="00164689"/>
    <w:rsid w:val="00172673"/>
    <w:rsid w:val="00173A56"/>
    <w:rsid w:val="00175940"/>
    <w:rsid w:val="001829D4"/>
    <w:rsid w:val="00184960"/>
    <w:rsid w:val="00190036"/>
    <w:rsid w:val="00192621"/>
    <w:rsid w:val="00194956"/>
    <w:rsid w:val="00197EA7"/>
    <w:rsid w:val="00197EF3"/>
    <w:rsid w:val="001A1266"/>
    <w:rsid w:val="001A46C4"/>
    <w:rsid w:val="001A5399"/>
    <w:rsid w:val="001A565D"/>
    <w:rsid w:val="001A643C"/>
    <w:rsid w:val="001A688F"/>
    <w:rsid w:val="001A76A0"/>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015"/>
    <w:rsid w:val="001E57DE"/>
    <w:rsid w:val="001E78DF"/>
    <w:rsid w:val="001F430A"/>
    <w:rsid w:val="001F53B6"/>
    <w:rsid w:val="00200A45"/>
    <w:rsid w:val="00201848"/>
    <w:rsid w:val="00207C51"/>
    <w:rsid w:val="00207FCF"/>
    <w:rsid w:val="0021075B"/>
    <w:rsid w:val="00210850"/>
    <w:rsid w:val="0021633C"/>
    <w:rsid w:val="00216AE8"/>
    <w:rsid w:val="0022205D"/>
    <w:rsid w:val="00224BD8"/>
    <w:rsid w:val="00225507"/>
    <w:rsid w:val="00227FA6"/>
    <w:rsid w:val="00230038"/>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1629"/>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6E80"/>
    <w:rsid w:val="002A74DD"/>
    <w:rsid w:val="002A7A4F"/>
    <w:rsid w:val="002B1AC6"/>
    <w:rsid w:val="002B513B"/>
    <w:rsid w:val="002C4195"/>
    <w:rsid w:val="002C554C"/>
    <w:rsid w:val="002C7A37"/>
    <w:rsid w:val="002C7ABF"/>
    <w:rsid w:val="002D4917"/>
    <w:rsid w:val="002D605B"/>
    <w:rsid w:val="002E0BA3"/>
    <w:rsid w:val="002E11C8"/>
    <w:rsid w:val="002E1258"/>
    <w:rsid w:val="002E21FB"/>
    <w:rsid w:val="002E5263"/>
    <w:rsid w:val="002E562C"/>
    <w:rsid w:val="002E660C"/>
    <w:rsid w:val="002F10B4"/>
    <w:rsid w:val="002F4DF5"/>
    <w:rsid w:val="002F5088"/>
    <w:rsid w:val="002F68E7"/>
    <w:rsid w:val="002F6FB7"/>
    <w:rsid w:val="002F7410"/>
    <w:rsid w:val="00300B3D"/>
    <w:rsid w:val="003013A2"/>
    <w:rsid w:val="00301DDF"/>
    <w:rsid w:val="00301E59"/>
    <w:rsid w:val="00305C99"/>
    <w:rsid w:val="00310349"/>
    <w:rsid w:val="00310556"/>
    <w:rsid w:val="00310588"/>
    <w:rsid w:val="00310EAB"/>
    <w:rsid w:val="00312D22"/>
    <w:rsid w:val="0031682A"/>
    <w:rsid w:val="00323447"/>
    <w:rsid w:val="0033124D"/>
    <w:rsid w:val="003319C7"/>
    <w:rsid w:val="003336C3"/>
    <w:rsid w:val="00342E88"/>
    <w:rsid w:val="0034359F"/>
    <w:rsid w:val="003458B9"/>
    <w:rsid w:val="00346390"/>
    <w:rsid w:val="00351E89"/>
    <w:rsid w:val="00352931"/>
    <w:rsid w:val="00360576"/>
    <w:rsid w:val="0036089E"/>
    <w:rsid w:val="0036394A"/>
    <w:rsid w:val="00363D70"/>
    <w:rsid w:val="0036517C"/>
    <w:rsid w:val="00370D1D"/>
    <w:rsid w:val="00371FB5"/>
    <w:rsid w:val="0037295F"/>
    <w:rsid w:val="00376273"/>
    <w:rsid w:val="00376B94"/>
    <w:rsid w:val="0038158A"/>
    <w:rsid w:val="00384791"/>
    <w:rsid w:val="00385C3F"/>
    <w:rsid w:val="00385E87"/>
    <w:rsid w:val="00386111"/>
    <w:rsid w:val="00386189"/>
    <w:rsid w:val="00392869"/>
    <w:rsid w:val="00392F07"/>
    <w:rsid w:val="00392FC9"/>
    <w:rsid w:val="00393DD3"/>
    <w:rsid w:val="003972DC"/>
    <w:rsid w:val="003A1A5B"/>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F3AD2"/>
    <w:rsid w:val="00400755"/>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0088"/>
    <w:rsid w:val="00441A10"/>
    <w:rsid w:val="00451388"/>
    <w:rsid w:val="00455DE9"/>
    <w:rsid w:val="004614E4"/>
    <w:rsid w:val="00461F2C"/>
    <w:rsid w:val="00465107"/>
    <w:rsid w:val="00471F25"/>
    <w:rsid w:val="00482924"/>
    <w:rsid w:val="004838C6"/>
    <w:rsid w:val="004848E7"/>
    <w:rsid w:val="0048492D"/>
    <w:rsid w:val="0048510A"/>
    <w:rsid w:val="004874D7"/>
    <w:rsid w:val="00487703"/>
    <w:rsid w:val="0049196E"/>
    <w:rsid w:val="004A1395"/>
    <w:rsid w:val="004A3DC5"/>
    <w:rsid w:val="004A443F"/>
    <w:rsid w:val="004A5CF3"/>
    <w:rsid w:val="004A7C24"/>
    <w:rsid w:val="004B145C"/>
    <w:rsid w:val="004B3EF4"/>
    <w:rsid w:val="004B6BF7"/>
    <w:rsid w:val="004C200B"/>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484"/>
    <w:rsid w:val="0053073B"/>
    <w:rsid w:val="00531547"/>
    <w:rsid w:val="00540904"/>
    <w:rsid w:val="00541A72"/>
    <w:rsid w:val="00541D65"/>
    <w:rsid w:val="0054427C"/>
    <w:rsid w:val="0055115B"/>
    <w:rsid w:val="00552815"/>
    <w:rsid w:val="00557610"/>
    <w:rsid w:val="005600AD"/>
    <w:rsid w:val="00560779"/>
    <w:rsid w:val="005628A3"/>
    <w:rsid w:val="00564C16"/>
    <w:rsid w:val="0056570B"/>
    <w:rsid w:val="005668DE"/>
    <w:rsid w:val="00570A9B"/>
    <w:rsid w:val="00570C60"/>
    <w:rsid w:val="00572804"/>
    <w:rsid w:val="005768FC"/>
    <w:rsid w:val="005776F2"/>
    <w:rsid w:val="00582F12"/>
    <w:rsid w:val="0058709F"/>
    <w:rsid w:val="005938D9"/>
    <w:rsid w:val="00597D74"/>
    <w:rsid w:val="005A2B7C"/>
    <w:rsid w:val="005A5BAB"/>
    <w:rsid w:val="005B5506"/>
    <w:rsid w:val="005B781D"/>
    <w:rsid w:val="005B79BE"/>
    <w:rsid w:val="005C2226"/>
    <w:rsid w:val="005C2CBC"/>
    <w:rsid w:val="005C3A39"/>
    <w:rsid w:val="005C3D57"/>
    <w:rsid w:val="005C4919"/>
    <w:rsid w:val="005C4ABE"/>
    <w:rsid w:val="005D0B8F"/>
    <w:rsid w:val="005D0C4E"/>
    <w:rsid w:val="005D39F3"/>
    <w:rsid w:val="005D49DF"/>
    <w:rsid w:val="005D58A4"/>
    <w:rsid w:val="005E03C6"/>
    <w:rsid w:val="005E234B"/>
    <w:rsid w:val="005E24AC"/>
    <w:rsid w:val="005E4584"/>
    <w:rsid w:val="005E604E"/>
    <w:rsid w:val="005F1FB2"/>
    <w:rsid w:val="005F5BA0"/>
    <w:rsid w:val="0060427D"/>
    <w:rsid w:val="00607310"/>
    <w:rsid w:val="00611CB0"/>
    <w:rsid w:val="00612BB1"/>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25B6"/>
    <w:rsid w:val="00663341"/>
    <w:rsid w:val="00667BB2"/>
    <w:rsid w:val="00672632"/>
    <w:rsid w:val="0067785B"/>
    <w:rsid w:val="00681A45"/>
    <w:rsid w:val="00681AF9"/>
    <w:rsid w:val="00682BBB"/>
    <w:rsid w:val="006837D2"/>
    <w:rsid w:val="00684157"/>
    <w:rsid w:val="00686B69"/>
    <w:rsid w:val="006920E9"/>
    <w:rsid w:val="006950C1"/>
    <w:rsid w:val="00695536"/>
    <w:rsid w:val="006A11EF"/>
    <w:rsid w:val="006A2C31"/>
    <w:rsid w:val="006A30E2"/>
    <w:rsid w:val="006A6085"/>
    <w:rsid w:val="006B1B3F"/>
    <w:rsid w:val="006B2386"/>
    <w:rsid w:val="006B28FB"/>
    <w:rsid w:val="006B768E"/>
    <w:rsid w:val="006B7EB8"/>
    <w:rsid w:val="006C17B6"/>
    <w:rsid w:val="006C408D"/>
    <w:rsid w:val="006C4AB8"/>
    <w:rsid w:val="006C572F"/>
    <w:rsid w:val="006C5DBF"/>
    <w:rsid w:val="006C6544"/>
    <w:rsid w:val="006D17EF"/>
    <w:rsid w:val="006D63F0"/>
    <w:rsid w:val="006E1121"/>
    <w:rsid w:val="006E221E"/>
    <w:rsid w:val="006F0BD4"/>
    <w:rsid w:val="006F310C"/>
    <w:rsid w:val="006F3765"/>
    <w:rsid w:val="006F58F9"/>
    <w:rsid w:val="006F61F6"/>
    <w:rsid w:val="007030EF"/>
    <w:rsid w:val="007031D1"/>
    <w:rsid w:val="00707207"/>
    <w:rsid w:val="00707F42"/>
    <w:rsid w:val="00712790"/>
    <w:rsid w:val="00715013"/>
    <w:rsid w:val="00724E84"/>
    <w:rsid w:val="00725DA4"/>
    <w:rsid w:val="00726D6E"/>
    <w:rsid w:val="00727833"/>
    <w:rsid w:val="007326D4"/>
    <w:rsid w:val="007330E3"/>
    <w:rsid w:val="00734860"/>
    <w:rsid w:val="00737026"/>
    <w:rsid w:val="00740B86"/>
    <w:rsid w:val="00742351"/>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579A"/>
    <w:rsid w:val="007860C0"/>
    <w:rsid w:val="00794CF2"/>
    <w:rsid w:val="00795DAD"/>
    <w:rsid w:val="0079657D"/>
    <w:rsid w:val="00796803"/>
    <w:rsid w:val="00797CB2"/>
    <w:rsid w:val="00797DB7"/>
    <w:rsid w:val="007A1804"/>
    <w:rsid w:val="007A476E"/>
    <w:rsid w:val="007A5022"/>
    <w:rsid w:val="007B1258"/>
    <w:rsid w:val="007B6DA5"/>
    <w:rsid w:val="007C03DB"/>
    <w:rsid w:val="007C4F9D"/>
    <w:rsid w:val="007C66B8"/>
    <w:rsid w:val="007C795D"/>
    <w:rsid w:val="007C7C3E"/>
    <w:rsid w:val="007C7CB4"/>
    <w:rsid w:val="007D0739"/>
    <w:rsid w:val="007D080C"/>
    <w:rsid w:val="007D102F"/>
    <w:rsid w:val="007D1C96"/>
    <w:rsid w:val="007D3147"/>
    <w:rsid w:val="007D341B"/>
    <w:rsid w:val="007D5FA3"/>
    <w:rsid w:val="007D7466"/>
    <w:rsid w:val="007E49B1"/>
    <w:rsid w:val="007E56B3"/>
    <w:rsid w:val="007E6BB2"/>
    <w:rsid w:val="007F105A"/>
    <w:rsid w:val="007F1488"/>
    <w:rsid w:val="007F2975"/>
    <w:rsid w:val="007F2A96"/>
    <w:rsid w:val="007F3A25"/>
    <w:rsid w:val="007F3F25"/>
    <w:rsid w:val="007F4F0A"/>
    <w:rsid w:val="008015E1"/>
    <w:rsid w:val="00804350"/>
    <w:rsid w:val="00804C59"/>
    <w:rsid w:val="00804F89"/>
    <w:rsid w:val="00806438"/>
    <w:rsid w:val="00806789"/>
    <w:rsid w:val="00810D50"/>
    <w:rsid w:val="0081363A"/>
    <w:rsid w:val="00820AB4"/>
    <w:rsid w:val="00820BF6"/>
    <w:rsid w:val="0082292F"/>
    <w:rsid w:val="00827A6D"/>
    <w:rsid w:val="0083050E"/>
    <w:rsid w:val="00832731"/>
    <w:rsid w:val="00833B9B"/>
    <w:rsid w:val="00834347"/>
    <w:rsid w:val="00834487"/>
    <w:rsid w:val="00834976"/>
    <w:rsid w:val="00842EC7"/>
    <w:rsid w:val="0085215F"/>
    <w:rsid w:val="008534B2"/>
    <w:rsid w:val="008557A4"/>
    <w:rsid w:val="0086284C"/>
    <w:rsid w:val="00863948"/>
    <w:rsid w:val="0087258E"/>
    <w:rsid w:val="00876E0A"/>
    <w:rsid w:val="00882560"/>
    <w:rsid w:val="008844FB"/>
    <w:rsid w:val="00884D74"/>
    <w:rsid w:val="008872A2"/>
    <w:rsid w:val="008920B4"/>
    <w:rsid w:val="008930E1"/>
    <w:rsid w:val="0089567B"/>
    <w:rsid w:val="00897EEA"/>
    <w:rsid w:val="008B147E"/>
    <w:rsid w:val="008B14AB"/>
    <w:rsid w:val="008B18E2"/>
    <w:rsid w:val="008B3E9A"/>
    <w:rsid w:val="008B41DF"/>
    <w:rsid w:val="008B500B"/>
    <w:rsid w:val="008B7145"/>
    <w:rsid w:val="008B71AB"/>
    <w:rsid w:val="008B7470"/>
    <w:rsid w:val="008C16FC"/>
    <w:rsid w:val="008C4F68"/>
    <w:rsid w:val="008D0063"/>
    <w:rsid w:val="008D0D16"/>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47CF"/>
    <w:rsid w:val="0094614E"/>
    <w:rsid w:val="00947E5C"/>
    <w:rsid w:val="00952E5E"/>
    <w:rsid w:val="00953227"/>
    <w:rsid w:val="00953B22"/>
    <w:rsid w:val="00953B8B"/>
    <w:rsid w:val="00954D5D"/>
    <w:rsid w:val="009560CF"/>
    <w:rsid w:val="00956A70"/>
    <w:rsid w:val="0095728D"/>
    <w:rsid w:val="00963ECB"/>
    <w:rsid w:val="00965E80"/>
    <w:rsid w:val="00967A53"/>
    <w:rsid w:val="00967D6F"/>
    <w:rsid w:val="009759B2"/>
    <w:rsid w:val="009769CE"/>
    <w:rsid w:val="009823F0"/>
    <w:rsid w:val="00982ED1"/>
    <w:rsid w:val="00985FD1"/>
    <w:rsid w:val="0099309B"/>
    <w:rsid w:val="009948F2"/>
    <w:rsid w:val="009969C3"/>
    <w:rsid w:val="009A1240"/>
    <w:rsid w:val="009A6B42"/>
    <w:rsid w:val="009A6C1F"/>
    <w:rsid w:val="009A6EE3"/>
    <w:rsid w:val="009A7A02"/>
    <w:rsid w:val="009B1D1D"/>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9F71B6"/>
    <w:rsid w:val="00A02517"/>
    <w:rsid w:val="00A04846"/>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59B7"/>
    <w:rsid w:val="00A4720E"/>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5A4C"/>
    <w:rsid w:val="00A96BBB"/>
    <w:rsid w:val="00A97D97"/>
    <w:rsid w:val="00A97E41"/>
    <w:rsid w:val="00AA0D85"/>
    <w:rsid w:val="00AA4E6B"/>
    <w:rsid w:val="00AB2D84"/>
    <w:rsid w:val="00AB3B45"/>
    <w:rsid w:val="00AB3C1E"/>
    <w:rsid w:val="00AB625E"/>
    <w:rsid w:val="00AB6D90"/>
    <w:rsid w:val="00AC0533"/>
    <w:rsid w:val="00AC51E2"/>
    <w:rsid w:val="00AC7002"/>
    <w:rsid w:val="00AC71B8"/>
    <w:rsid w:val="00AC72E5"/>
    <w:rsid w:val="00AC7FEA"/>
    <w:rsid w:val="00AD1446"/>
    <w:rsid w:val="00AD1741"/>
    <w:rsid w:val="00AD1A3F"/>
    <w:rsid w:val="00AD284A"/>
    <w:rsid w:val="00AD410B"/>
    <w:rsid w:val="00AD42A0"/>
    <w:rsid w:val="00AD4959"/>
    <w:rsid w:val="00AE0641"/>
    <w:rsid w:val="00AE33C0"/>
    <w:rsid w:val="00AE375B"/>
    <w:rsid w:val="00AE38B2"/>
    <w:rsid w:val="00AF09DF"/>
    <w:rsid w:val="00AF4B72"/>
    <w:rsid w:val="00AF5949"/>
    <w:rsid w:val="00AF7A6F"/>
    <w:rsid w:val="00B008E4"/>
    <w:rsid w:val="00B0188B"/>
    <w:rsid w:val="00B01A99"/>
    <w:rsid w:val="00B0289F"/>
    <w:rsid w:val="00B0378B"/>
    <w:rsid w:val="00B07E4B"/>
    <w:rsid w:val="00B14DB8"/>
    <w:rsid w:val="00B16D2A"/>
    <w:rsid w:val="00B21163"/>
    <w:rsid w:val="00B214D7"/>
    <w:rsid w:val="00B23D55"/>
    <w:rsid w:val="00B25249"/>
    <w:rsid w:val="00B262B1"/>
    <w:rsid w:val="00B26A73"/>
    <w:rsid w:val="00B27D74"/>
    <w:rsid w:val="00B307B1"/>
    <w:rsid w:val="00B37678"/>
    <w:rsid w:val="00B52EC6"/>
    <w:rsid w:val="00B54036"/>
    <w:rsid w:val="00B55A68"/>
    <w:rsid w:val="00B60061"/>
    <w:rsid w:val="00B61365"/>
    <w:rsid w:val="00B62758"/>
    <w:rsid w:val="00B6380C"/>
    <w:rsid w:val="00B63D21"/>
    <w:rsid w:val="00B665FA"/>
    <w:rsid w:val="00B66ADF"/>
    <w:rsid w:val="00B675CB"/>
    <w:rsid w:val="00B71EBD"/>
    <w:rsid w:val="00B724CE"/>
    <w:rsid w:val="00B74B6B"/>
    <w:rsid w:val="00B75A6A"/>
    <w:rsid w:val="00B75F84"/>
    <w:rsid w:val="00B81C8E"/>
    <w:rsid w:val="00B83829"/>
    <w:rsid w:val="00B849B9"/>
    <w:rsid w:val="00B86552"/>
    <w:rsid w:val="00B87206"/>
    <w:rsid w:val="00B87383"/>
    <w:rsid w:val="00B903F5"/>
    <w:rsid w:val="00B944D7"/>
    <w:rsid w:val="00B9552A"/>
    <w:rsid w:val="00B960FD"/>
    <w:rsid w:val="00B970CF"/>
    <w:rsid w:val="00BA0A2F"/>
    <w:rsid w:val="00BA2961"/>
    <w:rsid w:val="00BA2A6F"/>
    <w:rsid w:val="00BA457F"/>
    <w:rsid w:val="00BB455A"/>
    <w:rsid w:val="00BB55AE"/>
    <w:rsid w:val="00BB5A24"/>
    <w:rsid w:val="00BC0155"/>
    <w:rsid w:val="00BC17D5"/>
    <w:rsid w:val="00BC1A36"/>
    <w:rsid w:val="00BC2578"/>
    <w:rsid w:val="00BC393F"/>
    <w:rsid w:val="00BC3D53"/>
    <w:rsid w:val="00BC3EC8"/>
    <w:rsid w:val="00BC589D"/>
    <w:rsid w:val="00BC6AAD"/>
    <w:rsid w:val="00BC77B9"/>
    <w:rsid w:val="00BD1343"/>
    <w:rsid w:val="00BD52C9"/>
    <w:rsid w:val="00BD744D"/>
    <w:rsid w:val="00BE0E76"/>
    <w:rsid w:val="00BE16DB"/>
    <w:rsid w:val="00BE2F2A"/>
    <w:rsid w:val="00BE49F3"/>
    <w:rsid w:val="00BE6221"/>
    <w:rsid w:val="00BF0045"/>
    <w:rsid w:val="00BF4814"/>
    <w:rsid w:val="00BF4F8B"/>
    <w:rsid w:val="00BF5296"/>
    <w:rsid w:val="00BF69EF"/>
    <w:rsid w:val="00BF73F6"/>
    <w:rsid w:val="00C022C2"/>
    <w:rsid w:val="00C02A44"/>
    <w:rsid w:val="00C04D9E"/>
    <w:rsid w:val="00C0547C"/>
    <w:rsid w:val="00C0586F"/>
    <w:rsid w:val="00C05C86"/>
    <w:rsid w:val="00C05DE3"/>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317"/>
    <w:rsid w:val="00C41DC2"/>
    <w:rsid w:val="00C42B96"/>
    <w:rsid w:val="00C43893"/>
    <w:rsid w:val="00C44E32"/>
    <w:rsid w:val="00C523D7"/>
    <w:rsid w:val="00C54FE1"/>
    <w:rsid w:val="00C608CB"/>
    <w:rsid w:val="00C60906"/>
    <w:rsid w:val="00C6154F"/>
    <w:rsid w:val="00C6424D"/>
    <w:rsid w:val="00C647E5"/>
    <w:rsid w:val="00C65DA3"/>
    <w:rsid w:val="00C741D5"/>
    <w:rsid w:val="00C81008"/>
    <w:rsid w:val="00C820E9"/>
    <w:rsid w:val="00C82245"/>
    <w:rsid w:val="00C8590E"/>
    <w:rsid w:val="00C903AF"/>
    <w:rsid w:val="00C91199"/>
    <w:rsid w:val="00C9127E"/>
    <w:rsid w:val="00C92910"/>
    <w:rsid w:val="00C93852"/>
    <w:rsid w:val="00C9534A"/>
    <w:rsid w:val="00CA0F66"/>
    <w:rsid w:val="00CA33C5"/>
    <w:rsid w:val="00CA6C0B"/>
    <w:rsid w:val="00CA71BC"/>
    <w:rsid w:val="00CA7E6B"/>
    <w:rsid w:val="00CB000C"/>
    <w:rsid w:val="00CB0B8A"/>
    <w:rsid w:val="00CB0D2C"/>
    <w:rsid w:val="00CB5412"/>
    <w:rsid w:val="00CB6B9A"/>
    <w:rsid w:val="00CC06DB"/>
    <w:rsid w:val="00CC1093"/>
    <w:rsid w:val="00CC15CC"/>
    <w:rsid w:val="00CC1FB6"/>
    <w:rsid w:val="00CC75F4"/>
    <w:rsid w:val="00CD2257"/>
    <w:rsid w:val="00CD584C"/>
    <w:rsid w:val="00CD7AAA"/>
    <w:rsid w:val="00CD7B96"/>
    <w:rsid w:val="00CE1C4E"/>
    <w:rsid w:val="00CE2176"/>
    <w:rsid w:val="00CE5C8A"/>
    <w:rsid w:val="00CF034C"/>
    <w:rsid w:val="00CF0EBE"/>
    <w:rsid w:val="00CF16F4"/>
    <w:rsid w:val="00CF3CF5"/>
    <w:rsid w:val="00CF6850"/>
    <w:rsid w:val="00CF7AA1"/>
    <w:rsid w:val="00D02CB4"/>
    <w:rsid w:val="00D06465"/>
    <w:rsid w:val="00D112E2"/>
    <w:rsid w:val="00D1698E"/>
    <w:rsid w:val="00D2108D"/>
    <w:rsid w:val="00D2440A"/>
    <w:rsid w:val="00D26844"/>
    <w:rsid w:val="00D33A4E"/>
    <w:rsid w:val="00D4141F"/>
    <w:rsid w:val="00D46DD8"/>
    <w:rsid w:val="00D47ACB"/>
    <w:rsid w:val="00D5056C"/>
    <w:rsid w:val="00D51EAD"/>
    <w:rsid w:val="00D5369D"/>
    <w:rsid w:val="00D619AE"/>
    <w:rsid w:val="00D70FD2"/>
    <w:rsid w:val="00D71B92"/>
    <w:rsid w:val="00D73D69"/>
    <w:rsid w:val="00D757EF"/>
    <w:rsid w:val="00D764CA"/>
    <w:rsid w:val="00D77BC7"/>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091A"/>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E534F"/>
    <w:rsid w:val="00DF5461"/>
    <w:rsid w:val="00DF6741"/>
    <w:rsid w:val="00DF73EF"/>
    <w:rsid w:val="00E018C6"/>
    <w:rsid w:val="00E036C8"/>
    <w:rsid w:val="00E0466D"/>
    <w:rsid w:val="00E04776"/>
    <w:rsid w:val="00E04CE6"/>
    <w:rsid w:val="00E05B40"/>
    <w:rsid w:val="00E10297"/>
    <w:rsid w:val="00E13879"/>
    <w:rsid w:val="00E13CE0"/>
    <w:rsid w:val="00E1401A"/>
    <w:rsid w:val="00E14DB5"/>
    <w:rsid w:val="00E15A72"/>
    <w:rsid w:val="00E16943"/>
    <w:rsid w:val="00E17508"/>
    <w:rsid w:val="00E2193F"/>
    <w:rsid w:val="00E23B32"/>
    <w:rsid w:val="00E253EE"/>
    <w:rsid w:val="00E25666"/>
    <w:rsid w:val="00E2686D"/>
    <w:rsid w:val="00E316D9"/>
    <w:rsid w:val="00E34EB6"/>
    <w:rsid w:val="00E404C4"/>
    <w:rsid w:val="00E42B6A"/>
    <w:rsid w:val="00E4399D"/>
    <w:rsid w:val="00E44741"/>
    <w:rsid w:val="00E4534F"/>
    <w:rsid w:val="00E53231"/>
    <w:rsid w:val="00E54E75"/>
    <w:rsid w:val="00E55393"/>
    <w:rsid w:val="00E5643E"/>
    <w:rsid w:val="00E5720B"/>
    <w:rsid w:val="00E620D1"/>
    <w:rsid w:val="00E642EC"/>
    <w:rsid w:val="00E64F38"/>
    <w:rsid w:val="00E7400E"/>
    <w:rsid w:val="00E7402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42A1"/>
    <w:rsid w:val="00EB7E37"/>
    <w:rsid w:val="00EC030C"/>
    <w:rsid w:val="00EC041C"/>
    <w:rsid w:val="00EC3FF2"/>
    <w:rsid w:val="00ED0720"/>
    <w:rsid w:val="00EE0413"/>
    <w:rsid w:val="00EE0973"/>
    <w:rsid w:val="00EE1554"/>
    <w:rsid w:val="00EE3AF2"/>
    <w:rsid w:val="00EE44E5"/>
    <w:rsid w:val="00EE7051"/>
    <w:rsid w:val="00EE746B"/>
    <w:rsid w:val="00EF4827"/>
    <w:rsid w:val="00F00DDF"/>
    <w:rsid w:val="00F0240A"/>
    <w:rsid w:val="00F03D99"/>
    <w:rsid w:val="00F121C1"/>
    <w:rsid w:val="00F12B4A"/>
    <w:rsid w:val="00F12FF7"/>
    <w:rsid w:val="00F1564B"/>
    <w:rsid w:val="00F20247"/>
    <w:rsid w:val="00F2467F"/>
    <w:rsid w:val="00F25594"/>
    <w:rsid w:val="00F25900"/>
    <w:rsid w:val="00F31348"/>
    <w:rsid w:val="00F32BA7"/>
    <w:rsid w:val="00F404F9"/>
    <w:rsid w:val="00F4425A"/>
    <w:rsid w:val="00F6163C"/>
    <w:rsid w:val="00F61CF4"/>
    <w:rsid w:val="00F640A5"/>
    <w:rsid w:val="00F6458D"/>
    <w:rsid w:val="00F65EC8"/>
    <w:rsid w:val="00F66554"/>
    <w:rsid w:val="00F71EBD"/>
    <w:rsid w:val="00F721E8"/>
    <w:rsid w:val="00F72723"/>
    <w:rsid w:val="00F73F33"/>
    <w:rsid w:val="00F82965"/>
    <w:rsid w:val="00F82C94"/>
    <w:rsid w:val="00F858D2"/>
    <w:rsid w:val="00F85E99"/>
    <w:rsid w:val="00F91A2C"/>
    <w:rsid w:val="00F94637"/>
    <w:rsid w:val="00F96938"/>
    <w:rsid w:val="00F97534"/>
    <w:rsid w:val="00FA0BC5"/>
    <w:rsid w:val="00FA35FE"/>
    <w:rsid w:val="00FA5C15"/>
    <w:rsid w:val="00FA7A11"/>
    <w:rsid w:val="00FA7ABF"/>
    <w:rsid w:val="00FB0160"/>
    <w:rsid w:val="00FB1596"/>
    <w:rsid w:val="00FB30C6"/>
    <w:rsid w:val="00FB7AD5"/>
    <w:rsid w:val="00FC00B2"/>
    <w:rsid w:val="00FC09FA"/>
    <w:rsid w:val="00FC0A1B"/>
    <w:rsid w:val="00FC0DD8"/>
    <w:rsid w:val="00FC31C3"/>
    <w:rsid w:val="00FC5390"/>
    <w:rsid w:val="00FC5EB6"/>
    <w:rsid w:val="00FC71C5"/>
    <w:rsid w:val="00FC7BF7"/>
    <w:rsid w:val="00FD7428"/>
    <w:rsid w:val="00FD7D84"/>
    <w:rsid w:val="00FD7EDC"/>
    <w:rsid w:val="00FE34AA"/>
    <w:rsid w:val="00FE41FD"/>
    <w:rsid w:val="00FE5DF2"/>
    <w:rsid w:val="00FE74F1"/>
    <w:rsid w:val="00FE7B0C"/>
    <w:rsid w:val="00FF132F"/>
    <w:rsid w:val="00FF43FE"/>
    <w:rsid w:val="00FF54D4"/>
    <w:rsid w:val="00FF62F8"/>
    <w:rsid w:val="00FF72C9"/>
    <w:rsid w:val="00FF769E"/>
    <w:rsid w:val="01B34333"/>
    <w:rsid w:val="01C9807B"/>
    <w:rsid w:val="03A11A30"/>
    <w:rsid w:val="058B6C11"/>
    <w:rsid w:val="0612A0BC"/>
    <w:rsid w:val="061A91F2"/>
    <w:rsid w:val="064C8239"/>
    <w:rsid w:val="065BA151"/>
    <w:rsid w:val="06BE1574"/>
    <w:rsid w:val="06C17977"/>
    <w:rsid w:val="06D6D279"/>
    <w:rsid w:val="06D7BDAF"/>
    <w:rsid w:val="073000D8"/>
    <w:rsid w:val="07468933"/>
    <w:rsid w:val="0782FC57"/>
    <w:rsid w:val="07A85B0C"/>
    <w:rsid w:val="07E07DC8"/>
    <w:rsid w:val="081311DF"/>
    <w:rsid w:val="08882C9B"/>
    <w:rsid w:val="08C30CD3"/>
    <w:rsid w:val="0A1DB062"/>
    <w:rsid w:val="0AC48556"/>
    <w:rsid w:val="0B4BD825"/>
    <w:rsid w:val="0BADC8A1"/>
    <w:rsid w:val="0BFAAD95"/>
    <w:rsid w:val="0C81B343"/>
    <w:rsid w:val="0D0DBD49"/>
    <w:rsid w:val="0DD277CF"/>
    <w:rsid w:val="0DF36E52"/>
    <w:rsid w:val="0E086898"/>
    <w:rsid w:val="0E1DCB06"/>
    <w:rsid w:val="0EE41A4E"/>
    <w:rsid w:val="0F8955C9"/>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77A0268"/>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4FC145F"/>
    <w:rsid w:val="252D18C0"/>
    <w:rsid w:val="25399F60"/>
    <w:rsid w:val="2559929A"/>
    <w:rsid w:val="265630D4"/>
    <w:rsid w:val="26F90DD6"/>
    <w:rsid w:val="27068A45"/>
    <w:rsid w:val="27420641"/>
    <w:rsid w:val="27430653"/>
    <w:rsid w:val="2869EF78"/>
    <w:rsid w:val="289DAB5E"/>
    <w:rsid w:val="29885D7D"/>
    <w:rsid w:val="299408D1"/>
    <w:rsid w:val="29D19995"/>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0635C4"/>
    <w:rsid w:val="3D11FCF3"/>
    <w:rsid w:val="3D93FCFD"/>
    <w:rsid w:val="3DF81096"/>
    <w:rsid w:val="3E8159B5"/>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550FA8"/>
    <w:rsid w:val="45633403"/>
    <w:rsid w:val="45D18FB3"/>
    <w:rsid w:val="461CB06A"/>
    <w:rsid w:val="4736B496"/>
    <w:rsid w:val="47F3F311"/>
    <w:rsid w:val="48641494"/>
    <w:rsid w:val="48852532"/>
    <w:rsid w:val="48DFBB02"/>
    <w:rsid w:val="49FA4A12"/>
    <w:rsid w:val="49FF7EA0"/>
    <w:rsid w:val="4B2327FB"/>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79589EB"/>
    <w:rsid w:val="5826CE77"/>
    <w:rsid w:val="5939E9B9"/>
    <w:rsid w:val="59A1A6F9"/>
    <w:rsid w:val="59EED339"/>
    <w:rsid w:val="5AB8B607"/>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2A5DD88"/>
    <w:rsid w:val="62B94E06"/>
    <w:rsid w:val="634546DA"/>
    <w:rsid w:val="63A746B3"/>
    <w:rsid w:val="63FCF3BC"/>
    <w:rsid w:val="658987B0"/>
    <w:rsid w:val="671A384C"/>
    <w:rsid w:val="6772A448"/>
    <w:rsid w:val="67A6BE49"/>
    <w:rsid w:val="680CFF67"/>
    <w:rsid w:val="6850C76D"/>
    <w:rsid w:val="68ADC28C"/>
    <w:rsid w:val="68AEF37B"/>
    <w:rsid w:val="690B14D5"/>
    <w:rsid w:val="693CB6B1"/>
    <w:rsid w:val="6957FB09"/>
    <w:rsid w:val="69619799"/>
    <w:rsid w:val="69A95697"/>
    <w:rsid w:val="69D3FFB7"/>
    <w:rsid w:val="6AB35D38"/>
    <w:rsid w:val="6AF76748"/>
    <w:rsid w:val="6B32EA3E"/>
    <w:rsid w:val="6B6D18DB"/>
    <w:rsid w:val="6C0855C6"/>
    <w:rsid w:val="6C5613E2"/>
    <w:rsid w:val="6DA00273"/>
    <w:rsid w:val="6DAF6F9A"/>
    <w:rsid w:val="6EC6C780"/>
    <w:rsid w:val="6F892C3B"/>
    <w:rsid w:val="701C695B"/>
    <w:rsid w:val="708D37B5"/>
    <w:rsid w:val="709F5578"/>
    <w:rsid w:val="71889C02"/>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8D936A9"/>
    <w:rsid w:val="79359E27"/>
    <w:rsid w:val="7998BE75"/>
    <w:rsid w:val="79F33EFF"/>
    <w:rsid w:val="7A450D4D"/>
    <w:rsid w:val="7A86B7EA"/>
    <w:rsid w:val="7AF778A2"/>
    <w:rsid w:val="7B0D676D"/>
    <w:rsid w:val="7BBD43F5"/>
    <w:rsid w:val="7BCB992C"/>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 w:type="paragraph" w:customStyle="1" w:styleId="NormalCSJ">
    <w:name w:val="Normal CSJ"/>
    <w:basedOn w:val="Normal"/>
    <w:link w:val="NormalCSJCar"/>
    <w:qFormat/>
    <w:rsid w:val="009B1D1D"/>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9B1D1D"/>
    <w:rPr>
      <w:bCs/>
      <w:i/>
      <w:sz w:val="24"/>
      <w:szCs w:val="24"/>
    </w:rPr>
  </w:style>
  <w:style w:type="character" w:customStyle="1" w:styleId="NormalCSJCar">
    <w:name w:val="Normal CSJ Car"/>
    <w:basedOn w:val="Fuentedeprrafopredeter"/>
    <w:link w:val="NormalCSJ"/>
    <w:rsid w:val="009B1D1D"/>
    <w:rPr>
      <w:rFonts w:ascii="Bookman Old Style" w:eastAsia="Calibri" w:hAnsi="Bookman Old Style" w:cs="Times New Roman"/>
      <w:sz w:val="28"/>
      <w:szCs w:val="28"/>
      <w:lang w:val="es-ES" w:eastAsia="es-ES"/>
    </w:rPr>
  </w:style>
  <w:style w:type="character" w:customStyle="1" w:styleId="CitaIntraCSJCar">
    <w:name w:val="Cita Intra CSJ Car"/>
    <w:basedOn w:val="NormalCSJCar"/>
    <w:link w:val="CitaIntraCSJ"/>
    <w:rsid w:val="009B1D1D"/>
    <w:rPr>
      <w:rFonts w:ascii="Bookman Old Style" w:eastAsia="Calibri" w:hAnsi="Bookman Old Style" w:cs="Times New Roman"/>
      <w:bCs/>
      <w:i/>
      <w:sz w:val="24"/>
      <w:szCs w:val="24"/>
      <w:lang w:val="es-ES" w:eastAsia="es-ES"/>
    </w:rPr>
  </w:style>
  <w:style w:type="paragraph" w:styleId="NormalWeb">
    <w:name w:val="Normal (Web)"/>
    <w:basedOn w:val="Normal"/>
    <w:uiPriority w:val="99"/>
    <w:unhideWhenUsed/>
    <w:rsid w:val="009B1D1D"/>
    <w:pPr>
      <w:spacing w:before="100" w:beforeAutospacing="1" w:after="100" w:afterAutospacing="1"/>
    </w:pPr>
    <w:rPr>
      <w:sz w:val="24"/>
      <w:szCs w:val="24"/>
    </w:rPr>
  </w:style>
  <w:style w:type="paragraph" w:styleId="Textoindependienteprimerasangra">
    <w:name w:val="Body Text First Indent"/>
    <w:basedOn w:val="Textoindependiente"/>
    <w:link w:val="TextoindependienteprimerasangraCar"/>
    <w:uiPriority w:val="99"/>
    <w:semiHidden/>
    <w:unhideWhenUsed/>
    <w:rsid w:val="009B1D1D"/>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9B1D1D"/>
    <w:rPr>
      <w:rFonts w:ascii="Times New Roman" w:hAnsi="Times New Roman" w:cs="Times New Roman"/>
      <w:spacing w:val="-3"/>
      <w:sz w:val="24"/>
      <w:szCs w:val="24"/>
      <w:lang w:val="es-ES" w:eastAsia="es-ES"/>
    </w:rPr>
  </w:style>
  <w:style w:type="paragraph" w:customStyle="1" w:styleId="Notadepie">
    <w:name w:val="Nota de pie"/>
    <w:aliases w:val="Pie de pagina"/>
    <w:basedOn w:val="Normal"/>
    <w:link w:val="Refdenotaalpie"/>
    <w:rsid w:val="004A443F"/>
    <w:pPr>
      <w:spacing w:after="160" w:line="240" w:lineRule="exact"/>
    </w:pPr>
    <w:rPr>
      <w:rFonts w:asciiTheme="minorHAnsi" w:hAnsiTheme="minorHAnsi"/>
      <w:sz w:val="22"/>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066">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48914227">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582955454">
      <w:bodyDiv w:val="1"/>
      <w:marLeft w:val="0"/>
      <w:marRight w:val="0"/>
      <w:marTop w:val="0"/>
      <w:marBottom w:val="0"/>
      <w:divBdr>
        <w:top w:val="none" w:sz="0" w:space="0" w:color="auto"/>
        <w:left w:val="none" w:sz="0" w:space="0" w:color="auto"/>
        <w:bottom w:val="none" w:sz="0" w:space="0" w:color="auto"/>
        <w:right w:val="none" w:sz="0" w:space="0" w:color="auto"/>
      </w:divBdr>
    </w:div>
    <w:div w:id="773477225">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41842053">
      <w:bodyDiv w:val="1"/>
      <w:marLeft w:val="0"/>
      <w:marRight w:val="0"/>
      <w:marTop w:val="0"/>
      <w:marBottom w:val="0"/>
      <w:divBdr>
        <w:top w:val="none" w:sz="0" w:space="0" w:color="auto"/>
        <w:left w:val="none" w:sz="0" w:space="0" w:color="auto"/>
        <w:bottom w:val="none" w:sz="0" w:space="0" w:color="auto"/>
        <w:right w:val="none" w:sz="0" w:space="0" w:color="auto"/>
      </w:divBdr>
    </w:div>
    <w:div w:id="948926830">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673217722">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1990209840">
      <w:bodyDiv w:val="1"/>
      <w:marLeft w:val="0"/>
      <w:marRight w:val="0"/>
      <w:marTop w:val="0"/>
      <w:marBottom w:val="0"/>
      <w:divBdr>
        <w:top w:val="none" w:sz="0" w:space="0" w:color="auto"/>
        <w:left w:val="none" w:sz="0" w:space="0" w:color="auto"/>
        <w:bottom w:val="none" w:sz="0" w:space="0" w:color="auto"/>
        <w:right w:val="none" w:sz="0" w:space="0" w:color="auto"/>
      </w:divBdr>
    </w:div>
    <w:div w:id="2063166974">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E8E3-1B5B-49B0-953B-53CCA54F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3B8E0B-C5DA-4E8A-8097-A04464EE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2198</Words>
  <Characters>12094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2019-10-31T14:43:00Z</cp:lastPrinted>
  <dcterms:created xsi:type="dcterms:W3CDTF">2021-08-04T15:01:00Z</dcterms:created>
  <dcterms:modified xsi:type="dcterms:W3CDTF">2022-02-26T18:00:00Z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