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7DD6" w14:textId="77777777" w:rsidR="00C33EBB" w:rsidRPr="00C33EBB" w:rsidRDefault="00C33EBB" w:rsidP="00C33EBB">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ES_tradnl" w:eastAsia="fr-FR"/>
        </w:rPr>
      </w:pPr>
      <w:bookmarkStart w:id="0" w:name="_Hlk76320119"/>
      <w:r w:rsidRPr="00C33EBB">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4E8A2646" w14:textId="77777777" w:rsidR="00C33EBB" w:rsidRPr="00C33EBB" w:rsidRDefault="00C33EBB" w:rsidP="00C33EBB">
      <w:pPr>
        <w:widowControl/>
        <w:autoSpaceDE/>
        <w:autoSpaceDN/>
        <w:adjustRightInd/>
        <w:jc w:val="both"/>
        <w:rPr>
          <w:rFonts w:ascii="Arial" w:hAnsi="Arial" w:cs="Arial"/>
          <w:sz w:val="20"/>
          <w:szCs w:val="20"/>
          <w:lang w:val="es-ES_tradnl"/>
        </w:rPr>
      </w:pPr>
    </w:p>
    <w:p w14:paraId="6ABF6AC7" w14:textId="1B461218" w:rsidR="00C33EBB" w:rsidRPr="00566F05" w:rsidRDefault="00C33EBB" w:rsidP="00C33EBB">
      <w:pPr>
        <w:widowControl/>
        <w:autoSpaceDE/>
        <w:autoSpaceDN/>
        <w:adjustRightInd/>
        <w:jc w:val="both"/>
        <w:rPr>
          <w:rFonts w:ascii="Arial" w:hAnsi="Arial" w:cs="Arial"/>
          <w:sz w:val="20"/>
          <w:szCs w:val="20"/>
          <w:lang w:val="es-ES_tradnl"/>
        </w:rPr>
      </w:pPr>
      <w:r w:rsidRPr="00566F05">
        <w:rPr>
          <w:rFonts w:ascii="Arial" w:hAnsi="Arial" w:cs="Arial"/>
          <w:sz w:val="20"/>
          <w:szCs w:val="20"/>
          <w:lang w:val="es-ES_tradnl"/>
        </w:rPr>
        <w:t>Asunto</w:t>
      </w:r>
      <w:r w:rsidRPr="00566F05">
        <w:rPr>
          <w:rFonts w:ascii="Arial" w:hAnsi="Arial" w:cs="Arial"/>
          <w:sz w:val="20"/>
          <w:szCs w:val="20"/>
          <w:lang w:val="es-ES_tradnl"/>
        </w:rPr>
        <w:tab/>
      </w:r>
      <w:r w:rsidRPr="00566F05">
        <w:rPr>
          <w:rFonts w:ascii="Arial" w:hAnsi="Arial" w:cs="Arial"/>
          <w:sz w:val="20"/>
          <w:szCs w:val="20"/>
          <w:lang w:val="es-ES_tradnl"/>
        </w:rPr>
        <w:tab/>
      </w:r>
      <w:r w:rsidRPr="00566F05">
        <w:rPr>
          <w:rFonts w:ascii="Arial" w:hAnsi="Arial" w:cs="Arial"/>
          <w:sz w:val="20"/>
          <w:szCs w:val="20"/>
          <w:lang w:val="es-ES_tradnl"/>
        </w:rPr>
        <w:tab/>
        <w:t>: Sentencia de tutela en primera instancia</w:t>
      </w:r>
    </w:p>
    <w:p w14:paraId="4C70498E" w14:textId="2E7AB977" w:rsidR="00C33EBB" w:rsidRPr="00566F05" w:rsidRDefault="00C33EBB" w:rsidP="00C33EBB">
      <w:pPr>
        <w:widowControl/>
        <w:autoSpaceDE/>
        <w:autoSpaceDN/>
        <w:adjustRightInd/>
        <w:jc w:val="both"/>
        <w:rPr>
          <w:rFonts w:ascii="Arial" w:hAnsi="Arial" w:cs="Arial"/>
          <w:sz w:val="20"/>
          <w:szCs w:val="20"/>
          <w:lang w:val="es-ES_tradnl"/>
        </w:rPr>
      </w:pPr>
      <w:r w:rsidRPr="00566F05">
        <w:rPr>
          <w:rFonts w:ascii="Arial" w:hAnsi="Arial" w:cs="Arial"/>
          <w:sz w:val="20"/>
          <w:szCs w:val="20"/>
          <w:lang w:val="es-ES_tradnl"/>
        </w:rPr>
        <w:t>Accionante</w:t>
      </w:r>
      <w:r w:rsidRPr="00566F05">
        <w:rPr>
          <w:rFonts w:ascii="Arial" w:hAnsi="Arial" w:cs="Arial"/>
          <w:sz w:val="20"/>
          <w:szCs w:val="20"/>
          <w:lang w:val="es-ES_tradnl"/>
        </w:rPr>
        <w:tab/>
      </w:r>
      <w:r w:rsidRPr="00566F05">
        <w:rPr>
          <w:rFonts w:ascii="Arial" w:hAnsi="Arial" w:cs="Arial"/>
          <w:sz w:val="20"/>
          <w:szCs w:val="20"/>
          <w:lang w:val="es-ES_tradnl"/>
        </w:rPr>
        <w:tab/>
        <w:t>: Gerson Fredy Ruiz Londoño</w:t>
      </w:r>
    </w:p>
    <w:p w14:paraId="6A01438D" w14:textId="16C78EB8" w:rsidR="00C33EBB" w:rsidRPr="00566F05" w:rsidRDefault="00C33EBB" w:rsidP="00C33EBB">
      <w:pPr>
        <w:widowControl/>
        <w:autoSpaceDE/>
        <w:autoSpaceDN/>
        <w:adjustRightInd/>
        <w:jc w:val="both"/>
        <w:rPr>
          <w:rFonts w:ascii="Arial" w:hAnsi="Arial" w:cs="Arial"/>
          <w:sz w:val="20"/>
          <w:szCs w:val="20"/>
          <w:lang w:val="es-ES_tradnl"/>
        </w:rPr>
      </w:pPr>
      <w:r w:rsidRPr="00566F05">
        <w:rPr>
          <w:rFonts w:ascii="Arial" w:hAnsi="Arial" w:cs="Arial"/>
          <w:sz w:val="20"/>
          <w:szCs w:val="20"/>
          <w:lang w:val="es-ES_tradnl"/>
        </w:rPr>
        <w:t xml:space="preserve">Accionados </w:t>
      </w:r>
      <w:r w:rsidRPr="00566F05">
        <w:rPr>
          <w:rFonts w:ascii="Arial" w:hAnsi="Arial" w:cs="Arial"/>
          <w:sz w:val="20"/>
          <w:szCs w:val="20"/>
          <w:lang w:val="es-ES_tradnl"/>
        </w:rPr>
        <w:tab/>
      </w:r>
      <w:r w:rsidRPr="00566F05">
        <w:rPr>
          <w:rFonts w:ascii="Arial" w:hAnsi="Arial" w:cs="Arial"/>
          <w:sz w:val="20"/>
          <w:szCs w:val="20"/>
          <w:lang w:val="es-ES_tradnl"/>
        </w:rPr>
        <w:tab/>
        <w:t>: Juzgado 1º Penal del Circuito para Adolescentes de Pereira y otro</w:t>
      </w:r>
    </w:p>
    <w:p w14:paraId="4D895C7A" w14:textId="77777777" w:rsidR="00C33EBB" w:rsidRPr="00566F05" w:rsidRDefault="00C33EBB" w:rsidP="00C33EBB">
      <w:pPr>
        <w:widowControl/>
        <w:autoSpaceDE/>
        <w:autoSpaceDN/>
        <w:adjustRightInd/>
        <w:jc w:val="both"/>
        <w:rPr>
          <w:rFonts w:ascii="Arial" w:hAnsi="Arial" w:cs="Arial"/>
          <w:sz w:val="20"/>
          <w:szCs w:val="20"/>
          <w:lang w:val="es-ES_tradnl"/>
        </w:rPr>
      </w:pPr>
      <w:r w:rsidRPr="00566F05">
        <w:rPr>
          <w:rFonts w:ascii="Arial" w:hAnsi="Arial" w:cs="Arial"/>
          <w:sz w:val="20"/>
          <w:szCs w:val="20"/>
          <w:lang w:val="es-ES_tradnl"/>
        </w:rPr>
        <w:t>Radicación</w:t>
      </w:r>
      <w:r w:rsidRPr="00566F05">
        <w:rPr>
          <w:rFonts w:ascii="Arial" w:hAnsi="Arial" w:cs="Arial"/>
          <w:sz w:val="20"/>
          <w:szCs w:val="20"/>
          <w:lang w:val="es-ES_tradnl"/>
        </w:rPr>
        <w:tab/>
      </w:r>
      <w:r w:rsidRPr="00566F05">
        <w:rPr>
          <w:rFonts w:ascii="Arial" w:hAnsi="Arial" w:cs="Arial"/>
          <w:sz w:val="20"/>
          <w:szCs w:val="20"/>
          <w:lang w:val="es-ES_tradnl"/>
        </w:rPr>
        <w:tab/>
        <w:t>: 66001-22-13-000-2021-00261-00</w:t>
      </w:r>
    </w:p>
    <w:p w14:paraId="02674A3E" w14:textId="459A362F" w:rsidR="00C33EBB" w:rsidRPr="00566F05" w:rsidRDefault="00C33EBB" w:rsidP="00C33EBB">
      <w:pPr>
        <w:widowControl/>
        <w:autoSpaceDE/>
        <w:autoSpaceDN/>
        <w:adjustRightInd/>
        <w:jc w:val="both"/>
        <w:rPr>
          <w:rFonts w:ascii="Arial" w:hAnsi="Arial" w:cs="Arial"/>
          <w:sz w:val="20"/>
          <w:szCs w:val="20"/>
          <w:lang w:val="es-ES_tradnl"/>
        </w:rPr>
      </w:pPr>
      <w:r w:rsidRPr="00566F05">
        <w:rPr>
          <w:rFonts w:ascii="Arial" w:hAnsi="Arial" w:cs="Arial"/>
          <w:sz w:val="20"/>
          <w:szCs w:val="20"/>
          <w:lang w:val="es-ES_tradnl"/>
        </w:rPr>
        <w:t>Magistrado Ponente</w:t>
      </w:r>
      <w:r w:rsidRPr="00566F05">
        <w:rPr>
          <w:rFonts w:ascii="Arial" w:hAnsi="Arial" w:cs="Arial"/>
          <w:sz w:val="20"/>
          <w:szCs w:val="20"/>
          <w:lang w:val="es-ES_tradnl"/>
        </w:rPr>
        <w:tab/>
        <w:t>: DUBERNEY GRISALES HERRERA</w:t>
      </w:r>
    </w:p>
    <w:p w14:paraId="24EB39BA" w14:textId="00BAE3BE" w:rsidR="00C33EBB" w:rsidRPr="00C33EBB" w:rsidRDefault="00C33EBB" w:rsidP="00C33EBB">
      <w:pPr>
        <w:widowControl/>
        <w:autoSpaceDE/>
        <w:autoSpaceDN/>
        <w:adjustRightInd/>
        <w:jc w:val="both"/>
        <w:rPr>
          <w:rFonts w:ascii="Arial" w:hAnsi="Arial" w:cs="Arial"/>
          <w:sz w:val="20"/>
          <w:szCs w:val="20"/>
          <w:lang w:val="es-ES_tradnl"/>
        </w:rPr>
      </w:pPr>
      <w:r w:rsidRPr="00566F05">
        <w:rPr>
          <w:rFonts w:ascii="Arial" w:hAnsi="Arial" w:cs="Arial"/>
          <w:sz w:val="20"/>
          <w:szCs w:val="20"/>
          <w:lang w:val="es-ES_tradnl"/>
        </w:rPr>
        <w:t>Acta número</w:t>
      </w:r>
      <w:r w:rsidRPr="00566F05">
        <w:rPr>
          <w:rFonts w:ascii="Arial" w:hAnsi="Arial" w:cs="Arial"/>
          <w:sz w:val="20"/>
          <w:szCs w:val="20"/>
          <w:lang w:val="es-ES_tradnl"/>
        </w:rPr>
        <w:tab/>
      </w:r>
      <w:r w:rsidRPr="00566F05">
        <w:rPr>
          <w:rFonts w:ascii="Arial" w:hAnsi="Arial" w:cs="Arial"/>
          <w:sz w:val="20"/>
          <w:szCs w:val="20"/>
          <w:lang w:val="es-ES_tradnl"/>
        </w:rPr>
        <w:tab/>
        <w:t>: 326 de 12-07-2021</w:t>
      </w:r>
    </w:p>
    <w:p w14:paraId="6F12566E" w14:textId="77777777" w:rsidR="00C33EBB" w:rsidRPr="00C33EBB" w:rsidRDefault="00C33EBB" w:rsidP="00C33EBB">
      <w:pPr>
        <w:widowControl/>
        <w:autoSpaceDE/>
        <w:autoSpaceDN/>
        <w:adjustRightInd/>
        <w:jc w:val="both"/>
        <w:rPr>
          <w:rFonts w:ascii="Arial" w:hAnsi="Arial" w:cs="Arial"/>
          <w:sz w:val="20"/>
          <w:szCs w:val="20"/>
          <w:lang w:val="es-ES_tradnl"/>
        </w:rPr>
      </w:pPr>
    </w:p>
    <w:p w14:paraId="2D8AAD34" w14:textId="205DFFEA" w:rsidR="00C33EBB" w:rsidRPr="00C33EBB" w:rsidRDefault="00C33EBB" w:rsidP="00C33EBB">
      <w:pPr>
        <w:widowControl/>
        <w:autoSpaceDE/>
        <w:autoSpaceDN/>
        <w:adjustRightInd/>
        <w:jc w:val="both"/>
        <w:rPr>
          <w:rFonts w:ascii="Arial" w:hAnsi="Arial" w:cs="Arial"/>
          <w:b/>
          <w:bCs/>
          <w:iCs/>
          <w:sz w:val="20"/>
          <w:szCs w:val="20"/>
          <w:lang w:val="es-ES_tradnl" w:eastAsia="fr-FR"/>
        </w:rPr>
      </w:pPr>
      <w:r w:rsidRPr="00566F05">
        <w:rPr>
          <w:rFonts w:ascii="Arial" w:hAnsi="Arial" w:cs="Arial"/>
          <w:b/>
          <w:bCs/>
          <w:iCs/>
          <w:sz w:val="20"/>
          <w:szCs w:val="20"/>
          <w:u w:val="single"/>
          <w:lang w:val="es-ES_tradnl" w:eastAsia="fr-FR"/>
        </w:rPr>
        <w:t>TEMAS:</w:t>
      </w:r>
      <w:r w:rsidRPr="00566F05">
        <w:rPr>
          <w:rFonts w:ascii="Arial" w:hAnsi="Arial" w:cs="Arial"/>
          <w:b/>
          <w:bCs/>
          <w:iCs/>
          <w:sz w:val="20"/>
          <w:szCs w:val="20"/>
          <w:lang w:val="es-ES_tradnl" w:eastAsia="fr-FR"/>
        </w:rPr>
        <w:tab/>
      </w:r>
      <w:r w:rsidR="00652C25">
        <w:rPr>
          <w:rFonts w:ascii="Arial" w:hAnsi="Arial" w:cs="Arial"/>
          <w:b/>
          <w:bCs/>
          <w:iCs/>
          <w:sz w:val="20"/>
          <w:szCs w:val="20"/>
          <w:lang w:val="es-ES_tradnl" w:eastAsia="fr-FR"/>
        </w:rPr>
        <w:t xml:space="preserve">DEBIDO PROCESO / </w:t>
      </w:r>
      <w:r w:rsidRPr="00566F05">
        <w:rPr>
          <w:rFonts w:ascii="Arial" w:hAnsi="Arial" w:cs="Arial"/>
          <w:b/>
          <w:sz w:val="20"/>
          <w:szCs w:val="20"/>
          <w:lang w:val="es-ES_tradnl"/>
        </w:rPr>
        <w:t xml:space="preserve">TUTELA CONTRA SENTENCIA DEL MISMO LINAJE </w:t>
      </w:r>
      <w:r w:rsidRPr="00566F05">
        <w:rPr>
          <w:rFonts w:ascii="Arial" w:hAnsi="Arial" w:cs="Arial"/>
          <w:b/>
          <w:bCs/>
          <w:iCs/>
          <w:sz w:val="20"/>
          <w:szCs w:val="20"/>
          <w:lang w:val="es-ES_tradnl" w:eastAsia="fr-FR"/>
        </w:rPr>
        <w:t xml:space="preserve">/ </w:t>
      </w:r>
      <w:r w:rsidR="00652C25">
        <w:rPr>
          <w:rFonts w:ascii="Arial" w:hAnsi="Arial" w:cs="Arial"/>
          <w:b/>
          <w:bCs/>
          <w:iCs/>
          <w:sz w:val="20"/>
          <w:szCs w:val="20"/>
          <w:lang w:val="es-ES_tradnl" w:eastAsia="fr-FR"/>
        </w:rPr>
        <w:t xml:space="preserve">REQUISITOS DE PROCEDIBILIDAD / </w:t>
      </w:r>
      <w:r w:rsidR="00780A9B">
        <w:rPr>
          <w:rFonts w:ascii="Arial" w:hAnsi="Arial" w:cs="Arial"/>
          <w:b/>
          <w:bCs/>
          <w:iCs/>
          <w:sz w:val="20"/>
          <w:szCs w:val="20"/>
          <w:lang w:val="es-ES_tradnl" w:eastAsia="fr-FR"/>
        </w:rPr>
        <w:t>LO PROHÍBE EXPRESAMENTE / SALVO QUE SE ALEGUE FRAUDE / Y QUE SE HAYA AGOTADO EL TRÁMITE DE LA REVISIÓN EVENTUAL.</w:t>
      </w:r>
    </w:p>
    <w:p w14:paraId="3C236574" w14:textId="77777777" w:rsidR="00C33EBB" w:rsidRPr="00C33EBB" w:rsidRDefault="00C33EBB" w:rsidP="00C33EBB">
      <w:pPr>
        <w:widowControl/>
        <w:autoSpaceDE/>
        <w:autoSpaceDN/>
        <w:adjustRightInd/>
        <w:jc w:val="both"/>
        <w:rPr>
          <w:rFonts w:ascii="Arial" w:hAnsi="Arial" w:cs="Arial"/>
          <w:sz w:val="20"/>
          <w:szCs w:val="20"/>
          <w:lang w:val="es-ES_tradnl"/>
        </w:rPr>
      </w:pPr>
    </w:p>
    <w:p w14:paraId="34F7EA82" w14:textId="74F64EE1" w:rsidR="00C33EBB" w:rsidRPr="00C33EBB" w:rsidRDefault="007643CD" w:rsidP="00C33EBB">
      <w:pPr>
        <w:widowControl/>
        <w:autoSpaceDE/>
        <w:autoSpaceDN/>
        <w:adjustRightInd/>
        <w:jc w:val="both"/>
        <w:rPr>
          <w:rFonts w:ascii="Arial" w:hAnsi="Arial" w:cs="Arial"/>
          <w:sz w:val="20"/>
          <w:szCs w:val="20"/>
          <w:lang w:val="es-ES_tradnl"/>
        </w:rPr>
      </w:pPr>
      <w:r w:rsidRPr="007643CD">
        <w:rPr>
          <w:rFonts w:ascii="Arial" w:hAnsi="Arial" w:cs="Arial"/>
          <w:sz w:val="20"/>
          <w:szCs w:val="20"/>
          <w:lang w:val="es-ES_tradnl"/>
        </w:rPr>
        <w:t>Los requisitos generales de procedibilidad, explicados en amplitud en la sentencia C-590 de 2005</w:t>
      </w:r>
      <w:r w:rsidR="00652C25">
        <w:rPr>
          <w:rFonts w:ascii="Arial" w:hAnsi="Arial" w:cs="Arial"/>
          <w:sz w:val="20"/>
          <w:szCs w:val="20"/>
          <w:lang w:val="es-ES_tradnl"/>
        </w:rPr>
        <w:t>…</w:t>
      </w:r>
      <w:r w:rsidRPr="007643CD">
        <w:rPr>
          <w:rFonts w:ascii="Arial" w:hAnsi="Arial" w:cs="Arial"/>
          <w:sz w:val="20"/>
          <w:szCs w:val="20"/>
          <w:lang w:val="es-ES_tradnl"/>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sentencia tutela.</w:t>
      </w:r>
      <w:r w:rsidR="00F252E8">
        <w:rPr>
          <w:rFonts w:ascii="Arial" w:hAnsi="Arial" w:cs="Arial"/>
          <w:sz w:val="20"/>
          <w:szCs w:val="20"/>
          <w:lang w:val="es-ES_tradnl"/>
        </w:rPr>
        <w:t xml:space="preserve"> (…)</w:t>
      </w:r>
    </w:p>
    <w:p w14:paraId="25EC4F20" w14:textId="77777777" w:rsidR="00C33EBB" w:rsidRPr="00C33EBB" w:rsidRDefault="00C33EBB" w:rsidP="00C33EBB">
      <w:pPr>
        <w:widowControl/>
        <w:autoSpaceDE/>
        <w:autoSpaceDN/>
        <w:adjustRightInd/>
        <w:jc w:val="both"/>
        <w:rPr>
          <w:rFonts w:ascii="Arial" w:hAnsi="Arial" w:cs="Arial"/>
          <w:sz w:val="20"/>
          <w:szCs w:val="20"/>
          <w:lang w:val="es-ES_tradnl"/>
        </w:rPr>
      </w:pPr>
    </w:p>
    <w:p w14:paraId="75A4468E" w14:textId="1A34DECE" w:rsidR="00C33EBB" w:rsidRPr="00C33EBB" w:rsidRDefault="00F252E8" w:rsidP="00C33EBB">
      <w:pPr>
        <w:widowControl/>
        <w:autoSpaceDE/>
        <w:autoSpaceDN/>
        <w:adjustRightInd/>
        <w:jc w:val="both"/>
        <w:rPr>
          <w:rFonts w:ascii="Arial" w:hAnsi="Arial" w:cs="Arial"/>
          <w:sz w:val="20"/>
          <w:szCs w:val="20"/>
          <w:lang w:val="es-ES_tradnl"/>
        </w:rPr>
      </w:pPr>
      <w:r w:rsidRPr="00F252E8">
        <w:rPr>
          <w:rFonts w:ascii="Arial" w:hAnsi="Arial" w:cs="Arial"/>
          <w:sz w:val="20"/>
          <w:szCs w:val="20"/>
          <w:lang w:val="es-ES_tradnl"/>
        </w:rPr>
        <w:t>De vieja data la CC en su jurisprudencia ha sido enfática en la improcedencia general de las acciones de tutela que atacan sentencias del mismo linaje, siempre que esté pendiente la eventual revisión ante ese órgano; en efecto, refirió: “(…) la Constitución definió directamente las etapas básicas del procedimiento de tutela y previó que los errores de los jueces de instancia, o inclusive sus interpretaciones de los derechos constitucionales, siempre pudieran ser conocidos y corregidos por un órgano creado por él – la Corte Constitucional – y por un medio establecido también por él – la revisión (…)”</w:t>
      </w:r>
    </w:p>
    <w:p w14:paraId="3A339DD0" w14:textId="77777777" w:rsidR="00C33EBB" w:rsidRPr="00C33EBB" w:rsidRDefault="00C33EBB" w:rsidP="00C33EBB">
      <w:pPr>
        <w:widowControl/>
        <w:autoSpaceDE/>
        <w:autoSpaceDN/>
        <w:adjustRightInd/>
        <w:jc w:val="both"/>
        <w:rPr>
          <w:rFonts w:ascii="Arial" w:hAnsi="Arial" w:cs="Arial"/>
          <w:sz w:val="20"/>
          <w:szCs w:val="20"/>
          <w:lang w:val="es-ES_tradnl"/>
        </w:rPr>
      </w:pPr>
    </w:p>
    <w:p w14:paraId="693A0183" w14:textId="49506AD8" w:rsidR="00C33EBB" w:rsidRPr="00C33EBB" w:rsidRDefault="00652C25" w:rsidP="00C33EBB">
      <w:pPr>
        <w:widowControl/>
        <w:autoSpaceDE/>
        <w:autoSpaceDN/>
        <w:adjustRightInd/>
        <w:jc w:val="both"/>
        <w:rPr>
          <w:rFonts w:ascii="Arial" w:hAnsi="Arial" w:cs="Arial"/>
          <w:sz w:val="20"/>
          <w:szCs w:val="20"/>
          <w:lang w:val="es-ES_tradnl"/>
        </w:rPr>
      </w:pPr>
      <w:r w:rsidRPr="00652C25">
        <w:rPr>
          <w:rFonts w:ascii="Arial" w:hAnsi="Arial" w:cs="Arial"/>
          <w:sz w:val="20"/>
          <w:szCs w:val="20"/>
          <w:lang w:val="es-ES_tradnl"/>
        </w:rPr>
        <w:t>Sin embargo, precisó que esa regla no es absoluta cuando se alega un fraude en las órdenes de la resolución judicial que, de comprobarse, desvirtuaría su presunción de legalidad y acierto. Importante destacar que ese reparo solo puede formularse, en sede de tutela, cuando acaezca el fenómeno de la cosa juzgada constitucional con ocasión de la exclusión de revisión; en caso contrario, carecería de procedencia, habida cuenta de que los interesados podrían ventilar la irregularidad directamente ante la CC mediante incidente de nulidad</w:t>
      </w:r>
      <w:r>
        <w:rPr>
          <w:rFonts w:ascii="Arial" w:hAnsi="Arial" w:cs="Arial"/>
          <w:sz w:val="20"/>
          <w:szCs w:val="20"/>
          <w:lang w:val="es-ES_tradnl"/>
        </w:rPr>
        <w:t>…</w:t>
      </w:r>
    </w:p>
    <w:p w14:paraId="7158ED55" w14:textId="77777777" w:rsidR="00C33EBB" w:rsidRPr="00C33EBB" w:rsidRDefault="00C33EBB" w:rsidP="00C33EBB">
      <w:pPr>
        <w:widowControl/>
        <w:autoSpaceDE/>
        <w:autoSpaceDN/>
        <w:adjustRightInd/>
        <w:jc w:val="both"/>
        <w:rPr>
          <w:rFonts w:ascii="Arial" w:hAnsi="Arial" w:cs="Arial"/>
          <w:sz w:val="20"/>
          <w:szCs w:val="20"/>
          <w:lang w:val="es-ES_tradnl"/>
        </w:rPr>
      </w:pPr>
    </w:p>
    <w:p w14:paraId="7B95C18C" w14:textId="77777777" w:rsidR="00C33EBB" w:rsidRPr="00C33EBB" w:rsidRDefault="00C33EBB" w:rsidP="00C33EBB">
      <w:pPr>
        <w:widowControl/>
        <w:autoSpaceDE/>
        <w:autoSpaceDN/>
        <w:adjustRightInd/>
        <w:jc w:val="both"/>
        <w:rPr>
          <w:rFonts w:ascii="Arial" w:hAnsi="Arial" w:cs="Arial"/>
          <w:sz w:val="20"/>
          <w:szCs w:val="20"/>
          <w:lang w:val="es-ES_tradnl"/>
        </w:rPr>
      </w:pPr>
    </w:p>
    <w:p w14:paraId="3B2F18D0" w14:textId="77777777" w:rsidR="00C33EBB" w:rsidRPr="00C33EBB" w:rsidRDefault="00C33EBB" w:rsidP="00C33EBB">
      <w:pPr>
        <w:widowControl/>
        <w:autoSpaceDE/>
        <w:autoSpaceDN/>
        <w:adjustRightInd/>
        <w:jc w:val="both"/>
        <w:rPr>
          <w:rFonts w:ascii="Arial" w:hAnsi="Arial" w:cs="Arial"/>
          <w:sz w:val="20"/>
          <w:szCs w:val="20"/>
          <w:lang w:val="es-ES_tradnl"/>
        </w:rPr>
      </w:pPr>
    </w:p>
    <w:bookmarkEnd w:id="0"/>
    <w:p w14:paraId="4751DFA4" w14:textId="3F13C68D" w:rsidR="6FE11512" w:rsidRPr="00566F05" w:rsidRDefault="6FE11512" w:rsidP="1F1FEA5B">
      <w:pPr>
        <w:pStyle w:val="Sinespaciado"/>
        <w:spacing w:line="360" w:lineRule="auto"/>
        <w:ind w:left="4248"/>
        <w:rPr>
          <w:noProof/>
          <w:szCs w:val="24"/>
          <w:lang w:val="es-ES_tradnl" w:eastAsia="es-CO"/>
        </w:rPr>
      </w:pPr>
      <w:r w:rsidRPr="00566F05">
        <w:rPr>
          <w:noProof/>
          <w:lang w:val="es-ES_tradnl"/>
        </w:rPr>
        <w:drawing>
          <wp:inline distT="0" distB="0" distL="0" distR="0" wp14:anchorId="3517B2F4" wp14:editId="0BE94768">
            <wp:extent cx="363220" cy="3613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63220" cy="361315"/>
                    </a:xfrm>
                    <a:prstGeom prst="rect">
                      <a:avLst/>
                    </a:prstGeom>
                  </pic:spPr>
                </pic:pic>
              </a:graphicData>
            </a:graphic>
          </wp:inline>
        </w:drawing>
      </w:r>
    </w:p>
    <w:p w14:paraId="3462F96F" w14:textId="77777777" w:rsidR="002A13D0" w:rsidRPr="002A13D0" w:rsidRDefault="002A13D0" w:rsidP="002A13D0">
      <w:pPr>
        <w:widowControl/>
        <w:autoSpaceDE/>
        <w:autoSpaceDN/>
        <w:adjustRightInd/>
        <w:spacing w:line="360" w:lineRule="auto"/>
        <w:jc w:val="center"/>
        <w:rPr>
          <w:rFonts w:ascii="Georgia" w:hAnsi="Georgia" w:cs="Arial"/>
          <w:w w:val="140"/>
          <w:sz w:val="14"/>
          <w:szCs w:val="22"/>
        </w:rPr>
      </w:pPr>
    </w:p>
    <w:p w14:paraId="5407D67D" w14:textId="77777777" w:rsidR="002A13D0" w:rsidRPr="002A13D0" w:rsidRDefault="002A13D0" w:rsidP="002A13D0">
      <w:pPr>
        <w:widowControl/>
        <w:tabs>
          <w:tab w:val="left" w:pos="3579"/>
        </w:tabs>
        <w:autoSpaceDE/>
        <w:autoSpaceDN/>
        <w:adjustRightInd/>
        <w:spacing w:line="360" w:lineRule="auto"/>
        <w:jc w:val="center"/>
        <w:rPr>
          <w:rFonts w:ascii="Georgia" w:hAnsi="Georgia" w:cs="Arial"/>
          <w:w w:val="140"/>
          <w:sz w:val="18"/>
          <w:szCs w:val="18"/>
          <w:lang w:val="es-CO"/>
        </w:rPr>
      </w:pPr>
      <w:r w:rsidRPr="002A13D0">
        <w:rPr>
          <w:rFonts w:ascii="Georgia" w:hAnsi="Georgia" w:cs="Arial"/>
          <w:w w:val="140"/>
          <w:sz w:val="18"/>
          <w:szCs w:val="18"/>
          <w:lang w:val="es-CO"/>
        </w:rPr>
        <w:t>REPUBLICA DE COLOMBIA</w:t>
      </w:r>
    </w:p>
    <w:p w14:paraId="4BBC57F8" w14:textId="77777777" w:rsidR="002A13D0" w:rsidRPr="002A13D0" w:rsidRDefault="002A13D0" w:rsidP="002A13D0">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2A13D0">
        <w:rPr>
          <w:rFonts w:ascii="Georgia" w:hAnsi="Georgia" w:cs="Arial"/>
          <w:w w:val="140"/>
          <w:sz w:val="18"/>
          <w:szCs w:val="18"/>
          <w:lang w:val="es-CO"/>
        </w:rPr>
        <w:t>RAMA JUDICIAL DEL PODER PÚBLICO</w:t>
      </w:r>
    </w:p>
    <w:p w14:paraId="1387A7C7" w14:textId="77777777" w:rsidR="002A13D0" w:rsidRPr="002A13D0" w:rsidRDefault="002A13D0" w:rsidP="002A13D0">
      <w:pPr>
        <w:widowControl/>
        <w:autoSpaceDE/>
        <w:autoSpaceDN/>
        <w:adjustRightInd/>
        <w:spacing w:line="360" w:lineRule="auto"/>
        <w:jc w:val="center"/>
        <w:rPr>
          <w:rFonts w:ascii="Georgia" w:hAnsi="Georgia" w:cs="Arial"/>
          <w:b/>
          <w:bCs/>
          <w:w w:val="140"/>
          <w:sz w:val="18"/>
          <w:szCs w:val="18"/>
          <w:lang w:val="es-CO"/>
        </w:rPr>
      </w:pPr>
      <w:r w:rsidRPr="002A13D0">
        <w:rPr>
          <w:rFonts w:ascii="Georgia" w:hAnsi="Georgia" w:cs="Arial"/>
          <w:b/>
          <w:bCs/>
          <w:w w:val="140"/>
          <w:sz w:val="18"/>
          <w:szCs w:val="18"/>
          <w:lang w:val="es-CO"/>
        </w:rPr>
        <w:t>TRIBUNAL SUPERIOR DEL DISTRITO JUDICIAL</w:t>
      </w:r>
    </w:p>
    <w:p w14:paraId="563C393C" w14:textId="77777777" w:rsidR="002A13D0" w:rsidRPr="002A13D0" w:rsidRDefault="002A13D0" w:rsidP="002A13D0">
      <w:pPr>
        <w:widowControl/>
        <w:autoSpaceDE/>
        <w:autoSpaceDN/>
        <w:adjustRightInd/>
        <w:spacing w:line="360" w:lineRule="auto"/>
        <w:jc w:val="center"/>
        <w:rPr>
          <w:rFonts w:ascii="Georgia" w:hAnsi="Georgia" w:cs="Arial"/>
          <w:w w:val="140"/>
          <w:sz w:val="18"/>
          <w:szCs w:val="18"/>
          <w:lang w:val="es-CO"/>
        </w:rPr>
      </w:pPr>
      <w:r w:rsidRPr="002A13D0">
        <w:rPr>
          <w:rFonts w:ascii="Georgia" w:hAnsi="Georgia" w:cs="Arial"/>
          <w:w w:val="140"/>
          <w:sz w:val="18"/>
          <w:szCs w:val="18"/>
          <w:lang w:val="es-CO"/>
        </w:rPr>
        <w:t>SALA DE DECISIÓN CIVIL – FAMILIA – DISTRITO DE PEREIRA</w:t>
      </w:r>
    </w:p>
    <w:p w14:paraId="5F6C989F" w14:textId="77777777" w:rsidR="002A13D0" w:rsidRPr="002A13D0" w:rsidRDefault="002A13D0" w:rsidP="002A13D0">
      <w:pPr>
        <w:widowControl/>
        <w:autoSpaceDE/>
        <w:autoSpaceDN/>
        <w:adjustRightInd/>
        <w:spacing w:line="360" w:lineRule="auto"/>
        <w:jc w:val="center"/>
        <w:rPr>
          <w:rFonts w:ascii="Georgia" w:hAnsi="Georgia" w:cs="Arial"/>
          <w:w w:val="140"/>
          <w:sz w:val="18"/>
          <w:szCs w:val="18"/>
          <w:lang w:val="es-CO"/>
        </w:rPr>
      </w:pPr>
      <w:r w:rsidRPr="002A13D0">
        <w:rPr>
          <w:rFonts w:ascii="Georgia" w:hAnsi="Georgia" w:cs="Arial"/>
          <w:w w:val="140"/>
          <w:sz w:val="18"/>
          <w:szCs w:val="18"/>
          <w:lang w:val="es-CO"/>
        </w:rPr>
        <w:t>DEPARTAMENTO DEL RISARALDA</w:t>
      </w:r>
    </w:p>
    <w:p w14:paraId="64280631" w14:textId="77777777" w:rsidR="002A13D0" w:rsidRPr="002A13D0" w:rsidRDefault="002A13D0" w:rsidP="002A13D0">
      <w:pPr>
        <w:widowControl/>
        <w:autoSpaceDE/>
        <w:autoSpaceDN/>
        <w:adjustRightInd/>
        <w:spacing w:line="360" w:lineRule="auto"/>
        <w:jc w:val="center"/>
        <w:rPr>
          <w:rFonts w:ascii="Georgia" w:hAnsi="Georgia" w:cs="Arial"/>
          <w:w w:val="140"/>
          <w:sz w:val="18"/>
          <w:szCs w:val="18"/>
          <w:lang w:val="es-CO"/>
        </w:rPr>
      </w:pPr>
    </w:p>
    <w:p w14:paraId="7FA4F8AD" w14:textId="29B9EF99" w:rsidR="00900937" w:rsidRPr="00664827" w:rsidRDefault="00900937" w:rsidP="00664827">
      <w:pPr>
        <w:pStyle w:val="Textoindependiente"/>
        <w:tabs>
          <w:tab w:val="clear" w:pos="4956"/>
          <w:tab w:val="left" w:pos="4536"/>
        </w:tabs>
        <w:spacing w:line="300" w:lineRule="auto"/>
        <w:jc w:val="center"/>
        <w:rPr>
          <w:rFonts w:ascii="Georgia" w:hAnsi="Georgia" w:cs="Arial"/>
          <w:b/>
          <w:bCs/>
          <w:szCs w:val="24"/>
        </w:rPr>
      </w:pPr>
      <w:bookmarkStart w:id="1" w:name="_GoBack"/>
      <w:r w:rsidRPr="00664827">
        <w:rPr>
          <w:rFonts w:ascii="Georgia" w:hAnsi="Georgia" w:cs="Arial"/>
          <w:b/>
          <w:bCs/>
          <w:szCs w:val="24"/>
        </w:rPr>
        <w:t>ST1-</w:t>
      </w:r>
      <w:r w:rsidR="00102410" w:rsidRPr="00664827">
        <w:rPr>
          <w:rFonts w:ascii="Georgia" w:hAnsi="Georgia" w:cs="Arial"/>
          <w:b/>
          <w:bCs/>
          <w:szCs w:val="24"/>
        </w:rPr>
        <w:t>0258</w:t>
      </w:r>
      <w:r w:rsidRPr="00664827">
        <w:rPr>
          <w:rFonts w:ascii="Georgia" w:hAnsi="Georgia" w:cs="Arial"/>
          <w:b/>
          <w:bCs/>
          <w:szCs w:val="24"/>
        </w:rPr>
        <w:t>-2021</w:t>
      </w:r>
    </w:p>
    <w:bookmarkEnd w:id="1"/>
    <w:p w14:paraId="44113CA8" w14:textId="77777777" w:rsidR="00971653" w:rsidRPr="00566F05" w:rsidRDefault="00971653" w:rsidP="00566F05">
      <w:pPr>
        <w:pBdr>
          <w:bottom w:val="double" w:sz="6" w:space="1" w:color="auto"/>
        </w:pBdr>
        <w:spacing w:line="276" w:lineRule="auto"/>
        <w:jc w:val="center"/>
        <w:rPr>
          <w:rFonts w:ascii="Georgia" w:hAnsi="Georgia" w:cs="Arial"/>
          <w:b/>
          <w:bCs/>
          <w:lang w:val="es-ES_tradnl"/>
        </w:rPr>
      </w:pPr>
    </w:p>
    <w:p w14:paraId="6450E500" w14:textId="77777777" w:rsidR="00971653" w:rsidRPr="00566F05" w:rsidRDefault="00971653" w:rsidP="00566F05">
      <w:pPr>
        <w:spacing w:line="276" w:lineRule="auto"/>
        <w:jc w:val="center"/>
        <w:rPr>
          <w:rFonts w:ascii="Georgia" w:hAnsi="Georgia" w:cs="Arial"/>
          <w:b/>
          <w:bCs/>
          <w:lang w:val="es-ES_tradnl"/>
        </w:rPr>
      </w:pPr>
    </w:p>
    <w:p w14:paraId="60C35024" w14:textId="7C9AAA26" w:rsidR="0028225C" w:rsidRPr="00566F05" w:rsidRDefault="00EB21DB" w:rsidP="00566F05">
      <w:pPr>
        <w:spacing w:line="276" w:lineRule="auto"/>
        <w:jc w:val="center"/>
        <w:rPr>
          <w:rFonts w:ascii="Georgia" w:hAnsi="Georgia" w:cs="Arial"/>
          <w:b/>
          <w:bCs/>
          <w:i/>
          <w:iCs/>
          <w:smallCaps/>
          <w:lang w:val="es-ES_tradnl"/>
        </w:rPr>
      </w:pPr>
      <w:r w:rsidRPr="00566F05">
        <w:rPr>
          <w:rFonts w:ascii="Georgia" w:hAnsi="Georgia" w:cs="Arial"/>
          <w:b/>
          <w:bCs/>
          <w:i/>
          <w:iCs/>
          <w:smallCaps/>
          <w:lang w:val="es-ES_tradnl"/>
        </w:rPr>
        <w:t>Doce (12)</w:t>
      </w:r>
      <w:r w:rsidR="0028225C" w:rsidRPr="00566F05">
        <w:rPr>
          <w:rFonts w:ascii="Georgia" w:hAnsi="Georgia" w:cs="Arial"/>
          <w:b/>
          <w:bCs/>
          <w:i/>
          <w:iCs/>
          <w:smallCaps/>
          <w:lang w:val="es-ES_tradnl"/>
        </w:rPr>
        <w:t xml:space="preserve"> de </w:t>
      </w:r>
      <w:r w:rsidR="00343A04" w:rsidRPr="00566F05">
        <w:rPr>
          <w:rFonts w:ascii="Georgia" w:hAnsi="Georgia" w:cs="Arial"/>
          <w:b/>
          <w:bCs/>
          <w:i/>
          <w:iCs/>
          <w:smallCaps/>
          <w:lang w:val="es-ES_tradnl"/>
        </w:rPr>
        <w:t>ju</w:t>
      </w:r>
      <w:r w:rsidR="00ED7877" w:rsidRPr="00566F05">
        <w:rPr>
          <w:rFonts w:ascii="Georgia" w:hAnsi="Georgia" w:cs="Arial"/>
          <w:b/>
          <w:bCs/>
          <w:i/>
          <w:iCs/>
          <w:smallCaps/>
          <w:lang w:val="es-ES_tradnl"/>
        </w:rPr>
        <w:t>l</w:t>
      </w:r>
      <w:r w:rsidR="00343A04" w:rsidRPr="00566F05">
        <w:rPr>
          <w:rFonts w:ascii="Georgia" w:hAnsi="Georgia" w:cs="Arial"/>
          <w:b/>
          <w:bCs/>
          <w:i/>
          <w:iCs/>
          <w:smallCaps/>
          <w:lang w:val="es-ES_tradnl"/>
        </w:rPr>
        <w:t>io</w:t>
      </w:r>
      <w:r w:rsidR="00C82E5B" w:rsidRPr="00566F05">
        <w:rPr>
          <w:rFonts w:ascii="Georgia" w:hAnsi="Georgia" w:cs="Arial"/>
          <w:b/>
          <w:bCs/>
          <w:i/>
          <w:iCs/>
          <w:smallCaps/>
          <w:lang w:val="es-ES_tradnl"/>
        </w:rPr>
        <w:t xml:space="preserve"> </w:t>
      </w:r>
      <w:r w:rsidR="0028225C" w:rsidRPr="00566F05">
        <w:rPr>
          <w:rFonts w:ascii="Georgia" w:hAnsi="Georgia" w:cs="Arial"/>
          <w:b/>
          <w:bCs/>
          <w:i/>
          <w:iCs/>
          <w:smallCaps/>
          <w:lang w:val="es-ES_tradnl"/>
        </w:rPr>
        <w:t xml:space="preserve">de dos mil </w:t>
      </w:r>
      <w:r w:rsidR="00C82E5B" w:rsidRPr="00566F05">
        <w:rPr>
          <w:rFonts w:ascii="Georgia" w:hAnsi="Georgia" w:cs="Arial"/>
          <w:b/>
          <w:bCs/>
          <w:i/>
          <w:iCs/>
          <w:smallCaps/>
          <w:lang w:val="es-ES_tradnl"/>
        </w:rPr>
        <w:t>veintiuno</w:t>
      </w:r>
      <w:r w:rsidR="61651F17" w:rsidRPr="00566F05">
        <w:rPr>
          <w:rFonts w:ascii="Georgia" w:hAnsi="Georgia" w:cs="Arial"/>
          <w:b/>
          <w:bCs/>
          <w:i/>
          <w:iCs/>
          <w:smallCaps/>
          <w:lang w:val="es-ES_tradnl"/>
        </w:rPr>
        <w:t xml:space="preserve"> </w:t>
      </w:r>
      <w:r w:rsidR="0028225C" w:rsidRPr="00566F05">
        <w:rPr>
          <w:rFonts w:ascii="Georgia" w:hAnsi="Georgia" w:cs="Arial"/>
          <w:b/>
          <w:bCs/>
          <w:i/>
          <w:iCs/>
          <w:smallCaps/>
          <w:lang w:val="es-ES_tradnl"/>
        </w:rPr>
        <w:t>(</w:t>
      </w:r>
      <w:r w:rsidR="00C82E5B" w:rsidRPr="00566F05">
        <w:rPr>
          <w:rFonts w:ascii="Georgia" w:hAnsi="Georgia" w:cs="Arial"/>
          <w:b/>
          <w:bCs/>
          <w:i/>
          <w:iCs/>
          <w:smallCaps/>
          <w:lang w:val="es-ES_tradnl"/>
        </w:rPr>
        <w:t>2021</w:t>
      </w:r>
      <w:r w:rsidR="0028225C" w:rsidRPr="00566F05">
        <w:rPr>
          <w:rFonts w:ascii="Georgia" w:hAnsi="Georgia" w:cs="Arial"/>
          <w:b/>
          <w:bCs/>
          <w:i/>
          <w:iCs/>
          <w:smallCaps/>
          <w:lang w:val="es-ES_tradnl"/>
        </w:rPr>
        <w:t>)</w:t>
      </w:r>
      <w:r w:rsidR="0028225C" w:rsidRPr="00566F05">
        <w:rPr>
          <w:rFonts w:ascii="Georgia" w:hAnsi="Georgia" w:cs="Arial"/>
          <w:b/>
          <w:bCs/>
          <w:i/>
          <w:iCs/>
          <w:lang w:val="es-ES_tradnl"/>
        </w:rPr>
        <w:t>.</w:t>
      </w:r>
    </w:p>
    <w:p w14:paraId="32E9DA81" w14:textId="3C3AB9A6" w:rsidR="000147A2" w:rsidRPr="00566F05" w:rsidRDefault="000147A2" w:rsidP="00566F05">
      <w:pPr>
        <w:tabs>
          <w:tab w:val="left" w:pos="851"/>
          <w:tab w:val="left" w:pos="1416"/>
        </w:tabs>
        <w:spacing w:line="276" w:lineRule="auto"/>
        <w:rPr>
          <w:rFonts w:ascii="Georgia" w:hAnsi="Georgia" w:cs="Arial"/>
          <w:b/>
          <w:bCs/>
          <w:lang w:val="es-ES_tradnl"/>
        </w:rPr>
      </w:pPr>
    </w:p>
    <w:p w14:paraId="2F8B557E" w14:textId="77777777" w:rsidR="0028225C" w:rsidRPr="00566F05" w:rsidRDefault="0028225C" w:rsidP="00566F05">
      <w:pPr>
        <w:pStyle w:val="Textoindependiente"/>
        <w:numPr>
          <w:ilvl w:val="0"/>
          <w:numId w:val="1"/>
        </w:numPr>
        <w:spacing w:line="276" w:lineRule="auto"/>
        <w:rPr>
          <w:rFonts w:ascii="Georgia" w:hAnsi="Georgia" w:cs="Arial"/>
          <w:b/>
          <w:bCs/>
          <w:smallCaps/>
          <w:szCs w:val="24"/>
        </w:rPr>
      </w:pPr>
      <w:r w:rsidRPr="00566F05">
        <w:rPr>
          <w:rFonts w:ascii="Georgia" w:hAnsi="Georgia" w:cs="Arial"/>
          <w:b/>
          <w:bCs/>
          <w:smallCaps/>
          <w:szCs w:val="24"/>
        </w:rPr>
        <w:t>El asunto por decidir</w:t>
      </w:r>
    </w:p>
    <w:p w14:paraId="0293C70F" w14:textId="77777777" w:rsidR="00FD0443" w:rsidRPr="00566F05" w:rsidRDefault="00FD0443" w:rsidP="00566F05">
      <w:pPr>
        <w:pStyle w:val="Textoindependiente"/>
        <w:spacing w:line="276" w:lineRule="auto"/>
        <w:rPr>
          <w:rFonts w:ascii="Georgia" w:hAnsi="Georgia"/>
          <w:szCs w:val="24"/>
        </w:rPr>
      </w:pPr>
    </w:p>
    <w:p w14:paraId="4A961D0B" w14:textId="77777777" w:rsidR="0028225C" w:rsidRPr="00566F05" w:rsidRDefault="0028225C" w:rsidP="00566F05">
      <w:pPr>
        <w:pStyle w:val="Textoindependiente"/>
        <w:spacing w:line="276" w:lineRule="auto"/>
        <w:rPr>
          <w:rFonts w:ascii="Georgia" w:hAnsi="Georgia" w:cs="Arial"/>
          <w:szCs w:val="24"/>
        </w:rPr>
      </w:pPr>
      <w:r w:rsidRPr="00566F05">
        <w:rPr>
          <w:rFonts w:ascii="Georgia" w:hAnsi="Georgia" w:cs="Arial"/>
          <w:szCs w:val="24"/>
        </w:rPr>
        <w:t>La acción constitucional referenciada, adelantadas las debidas actuaciones con el trámite preferente y sumario, sin advertir nulidades.</w:t>
      </w:r>
    </w:p>
    <w:p w14:paraId="7BE50E4D" w14:textId="3E1BA437" w:rsidR="0028225C" w:rsidRPr="00566F05" w:rsidRDefault="0028225C" w:rsidP="00566F05">
      <w:pPr>
        <w:pStyle w:val="Textoindependiente"/>
        <w:spacing w:line="276" w:lineRule="auto"/>
        <w:rPr>
          <w:rFonts w:ascii="Georgia" w:hAnsi="Georgia" w:cs="Arial"/>
          <w:szCs w:val="24"/>
        </w:rPr>
      </w:pPr>
    </w:p>
    <w:p w14:paraId="1D62A1FA" w14:textId="77777777" w:rsidR="0028225C" w:rsidRPr="00566F05" w:rsidRDefault="0028225C" w:rsidP="00566F05">
      <w:pPr>
        <w:pStyle w:val="Textoindependiente"/>
        <w:numPr>
          <w:ilvl w:val="0"/>
          <w:numId w:val="1"/>
        </w:numPr>
        <w:spacing w:line="276" w:lineRule="auto"/>
        <w:rPr>
          <w:rFonts w:ascii="Georgia" w:hAnsi="Georgia" w:cs="Arial"/>
          <w:b/>
          <w:bCs/>
          <w:smallCaps/>
          <w:szCs w:val="24"/>
        </w:rPr>
      </w:pPr>
      <w:r w:rsidRPr="00566F05">
        <w:rPr>
          <w:rFonts w:ascii="Georgia" w:hAnsi="Georgia" w:cs="Arial"/>
          <w:b/>
          <w:bCs/>
          <w:smallCaps/>
          <w:szCs w:val="24"/>
        </w:rPr>
        <w:t>La síntesis fáctica relevante</w:t>
      </w:r>
    </w:p>
    <w:p w14:paraId="12963E0C" w14:textId="77777777" w:rsidR="0099045D" w:rsidRPr="00566F05" w:rsidRDefault="0099045D" w:rsidP="00566F05">
      <w:pPr>
        <w:pStyle w:val="Textoindependiente"/>
        <w:spacing w:line="276" w:lineRule="auto"/>
        <w:rPr>
          <w:rFonts w:ascii="Georgia" w:hAnsi="Georgia"/>
          <w:szCs w:val="24"/>
        </w:rPr>
      </w:pPr>
    </w:p>
    <w:p w14:paraId="75F95E03" w14:textId="2E8F32A5" w:rsidR="00301262" w:rsidRPr="00566F05" w:rsidRDefault="00301262" w:rsidP="00566F05">
      <w:pPr>
        <w:spacing w:line="276" w:lineRule="auto"/>
        <w:jc w:val="both"/>
        <w:rPr>
          <w:rFonts w:ascii="Georgia" w:hAnsi="Georgia" w:cs="Arial"/>
          <w:lang w:val="es-ES_tradnl"/>
        </w:rPr>
      </w:pPr>
      <w:r w:rsidRPr="00566F05">
        <w:rPr>
          <w:rFonts w:ascii="Georgia" w:hAnsi="Georgia" w:cs="Arial"/>
          <w:lang w:val="es-ES_tradnl"/>
        </w:rPr>
        <w:t>Mencionó el actor que</w:t>
      </w:r>
      <w:r w:rsidR="008F5CD1" w:rsidRPr="00566F05">
        <w:rPr>
          <w:rFonts w:ascii="Georgia" w:hAnsi="Georgia" w:cs="Arial"/>
          <w:lang w:val="es-ES_tradnl"/>
        </w:rPr>
        <w:t xml:space="preserve"> formuló acción de tutela para que se ordenara a las encausadas reconocer y pagar incapacidades médicas y el juez de primera instancia negó el amparo con sentencia del 13-12-2020</w:t>
      </w:r>
      <w:r w:rsidR="00F471EB" w:rsidRPr="00566F05">
        <w:rPr>
          <w:rFonts w:ascii="Georgia" w:hAnsi="Georgia" w:cs="Arial"/>
          <w:lang w:val="es-ES_tradnl"/>
        </w:rPr>
        <w:t xml:space="preserve">, confirmada por el </w:t>
      </w:r>
      <w:r w:rsidR="008F5CD1" w:rsidRPr="00566F05">
        <w:rPr>
          <w:rFonts w:ascii="Georgia" w:hAnsi="Georgia" w:cs="Arial"/>
          <w:lang w:val="es-ES_tradnl"/>
        </w:rPr>
        <w:t xml:space="preserve">de segunda con fallo del 02-02-2021, sin tener en cuenta su estado de salud y la afectación de su mínimo vital </w:t>
      </w:r>
      <w:r w:rsidRPr="00566F05">
        <w:rPr>
          <w:rFonts w:ascii="Georgia" w:hAnsi="Georgia" w:cs="Arial"/>
          <w:lang w:val="es-ES_tradnl"/>
        </w:rPr>
        <w:t>(Cuaderno No.1, documento No.</w:t>
      </w:r>
      <w:r w:rsidR="008F5CD1" w:rsidRPr="00566F05">
        <w:rPr>
          <w:rFonts w:ascii="Georgia" w:hAnsi="Georgia" w:cs="Arial"/>
          <w:lang w:val="es-ES_tradnl"/>
        </w:rPr>
        <w:t>02</w:t>
      </w:r>
      <w:r w:rsidRPr="00566F05">
        <w:rPr>
          <w:rFonts w:ascii="Georgia" w:hAnsi="Georgia" w:cs="Arial"/>
          <w:lang w:val="es-ES_tradnl"/>
        </w:rPr>
        <w:t xml:space="preserve">). </w:t>
      </w:r>
    </w:p>
    <w:p w14:paraId="7A989C83" w14:textId="77777777" w:rsidR="00301262" w:rsidRPr="00566F05" w:rsidRDefault="00301262" w:rsidP="00566F05">
      <w:pPr>
        <w:spacing w:line="276" w:lineRule="auto"/>
        <w:jc w:val="both"/>
        <w:rPr>
          <w:rFonts w:ascii="Georgia" w:hAnsi="Georgia" w:cs="Arial"/>
          <w:lang w:val="es-ES_tradnl"/>
        </w:rPr>
      </w:pPr>
    </w:p>
    <w:p w14:paraId="1C9FD0E1" w14:textId="77777777" w:rsidR="00301262" w:rsidRPr="00566F05" w:rsidRDefault="00301262" w:rsidP="00566F05">
      <w:pPr>
        <w:pStyle w:val="Textoindependiente"/>
        <w:numPr>
          <w:ilvl w:val="0"/>
          <w:numId w:val="1"/>
        </w:numPr>
        <w:spacing w:line="276" w:lineRule="auto"/>
        <w:rPr>
          <w:rFonts w:ascii="Georgia" w:hAnsi="Georgia" w:cs="Arial"/>
          <w:b/>
          <w:bCs/>
          <w:smallCaps/>
          <w:szCs w:val="24"/>
        </w:rPr>
      </w:pPr>
      <w:r w:rsidRPr="00566F05">
        <w:rPr>
          <w:rFonts w:ascii="Georgia" w:hAnsi="Georgia" w:cs="Arial"/>
          <w:b/>
          <w:bCs/>
          <w:smallCaps/>
          <w:szCs w:val="24"/>
        </w:rPr>
        <w:t xml:space="preserve">Los derechos invocados y la petición de protección </w:t>
      </w:r>
    </w:p>
    <w:p w14:paraId="3A1CFE70" w14:textId="77777777" w:rsidR="00301262" w:rsidRPr="00566F05" w:rsidRDefault="00301262" w:rsidP="00566F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0559D918" w14:textId="78E66A9B" w:rsidR="00301262" w:rsidRPr="00566F05" w:rsidRDefault="00F471EB" w:rsidP="00566F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lang w:val="es-ES_tradnl"/>
        </w:rPr>
      </w:pPr>
      <w:r w:rsidRPr="00566F05">
        <w:rPr>
          <w:rFonts w:ascii="Georgia" w:hAnsi="Georgia" w:cs="Arial"/>
          <w:spacing w:val="-3"/>
          <w:lang w:val="es-ES_tradnl"/>
        </w:rPr>
        <w:t>Los de la seguridad social y debido proceso</w:t>
      </w:r>
      <w:r w:rsidR="00301262" w:rsidRPr="00566F05">
        <w:rPr>
          <w:rFonts w:ascii="Georgia" w:hAnsi="Georgia" w:cs="Arial"/>
          <w:lang w:val="es-ES_tradnl"/>
        </w:rPr>
        <w:t xml:space="preserve">. Pidió ordenar a </w:t>
      </w:r>
      <w:r w:rsidRPr="00566F05">
        <w:rPr>
          <w:rFonts w:ascii="Georgia" w:hAnsi="Georgia" w:cs="Arial"/>
          <w:lang w:val="es-ES_tradnl"/>
        </w:rPr>
        <w:t xml:space="preserve">los Despachos Judiciales: Dejar sin efectos las sentencias dictadas en la tutela y proferir una nueva que ordene reconocer y pagar las incapacidades causadas entre el 17-08-2020 y 17-09-2020 </w:t>
      </w:r>
      <w:r w:rsidR="00301262" w:rsidRPr="00566F05">
        <w:rPr>
          <w:rFonts w:ascii="Georgia" w:hAnsi="Georgia" w:cs="Arial"/>
          <w:lang w:val="es-ES_tradnl"/>
        </w:rPr>
        <w:t>(Cuaderno No.1, documento No.02).</w:t>
      </w:r>
    </w:p>
    <w:p w14:paraId="3DFF4490" w14:textId="77777777" w:rsidR="00F471EB" w:rsidRPr="00566F05" w:rsidRDefault="00F471EB" w:rsidP="00566F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lang w:val="es-ES_tradnl"/>
        </w:rPr>
      </w:pPr>
    </w:p>
    <w:p w14:paraId="62EA2F5B" w14:textId="77777777" w:rsidR="00301262" w:rsidRPr="00566F05" w:rsidRDefault="00301262" w:rsidP="00566F05">
      <w:pPr>
        <w:pStyle w:val="Sinespaciado"/>
        <w:numPr>
          <w:ilvl w:val="0"/>
          <w:numId w:val="1"/>
        </w:numPr>
        <w:spacing w:line="276" w:lineRule="auto"/>
        <w:jc w:val="both"/>
        <w:rPr>
          <w:rFonts w:ascii="Georgia" w:hAnsi="Georgia" w:cs="Arial"/>
          <w:b/>
          <w:bCs/>
          <w:smallCaps/>
          <w:szCs w:val="24"/>
          <w:lang w:val="es-ES_tradnl"/>
        </w:rPr>
      </w:pPr>
      <w:r w:rsidRPr="00566F05">
        <w:rPr>
          <w:rFonts w:ascii="Georgia" w:hAnsi="Georgia" w:cs="Arial"/>
          <w:b/>
          <w:bCs/>
          <w:smallCaps/>
          <w:szCs w:val="24"/>
          <w:lang w:val="es-ES_tradnl"/>
        </w:rPr>
        <w:t>La síntesis de la crónica procesal</w:t>
      </w:r>
    </w:p>
    <w:p w14:paraId="4D279465" w14:textId="77777777" w:rsidR="00301262" w:rsidRPr="00566F05" w:rsidRDefault="00301262" w:rsidP="00566F05">
      <w:pPr>
        <w:pStyle w:val="Prrafodelista"/>
        <w:spacing w:line="276" w:lineRule="auto"/>
        <w:ind w:left="0"/>
        <w:jc w:val="both"/>
        <w:rPr>
          <w:rFonts w:ascii="Georgia" w:hAnsi="Georgia"/>
          <w:lang w:val="es-ES_tradnl"/>
        </w:rPr>
      </w:pPr>
    </w:p>
    <w:p w14:paraId="0274B479" w14:textId="6D45CBD5" w:rsidR="00301262" w:rsidRPr="00566F05" w:rsidRDefault="00301262" w:rsidP="00566F05">
      <w:pPr>
        <w:pStyle w:val="Prrafodelista"/>
        <w:spacing w:line="276" w:lineRule="auto"/>
        <w:ind w:left="0"/>
        <w:jc w:val="both"/>
        <w:rPr>
          <w:rFonts w:ascii="Georgia" w:hAnsi="Georgia" w:cs="Arial"/>
          <w:lang w:val="es-ES_tradnl"/>
        </w:rPr>
      </w:pPr>
      <w:r w:rsidRPr="00566F05">
        <w:rPr>
          <w:rFonts w:ascii="Georgia" w:hAnsi="Georgia"/>
          <w:lang w:val="es-ES_tradnl"/>
        </w:rPr>
        <w:t xml:space="preserve">El </w:t>
      </w:r>
      <w:r w:rsidR="00F471EB" w:rsidRPr="00566F05">
        <w:rPr>
          <w:rFonts w:ascii="Georgia" w:hAnsi="Georgia"/>
          <w:lang w:val="es-ES_tradnl"/>
        </w:rPr>
        <w:t>17</w:t>
      </w:r>
      <w:r w:rsidRPr="00566F05">
        <w:rPr>
          <w:rFonts w:ascii="Georgia" w:hAnsi="Georgia"/>
          <w:lang w:val="es-ES_tradnl"/>
        </w:rPr>
        <w:t>-06-2021 se admitió (Cuaderno No.1, documento No.</w:t>
      </w:r>
      <w:r w:rsidR="00F471EB" w:rsidRPr="00566F05">
        <w:rPr>
          <w:rFonts w:ascii="Georgia" w:hAnsi="Georgia"/>
          <w:lang w:val="es-ES_tradnl"/>
        </w:rPr>
        <w:t>07</w:t>
      </w:r>
      <w:r w:rsidRPr="00566F05">
        <w:rPr>
          <w:rFonts w:ascii="Georgia" w:hAnsi="Georgia"/>
          <w:lang w:val="es-ES_tradnl"/>
        </w:rPr>
        <w:t xml:space="preserve">). </w:t>
      </w:r>
      <w:r w:rsidRPr="00566F05">
        <w:rPr>
          <w:rFonts w:ascii="Georgia" w:hAnsi="Georgia" w:cs="Arial"/>
          <w:lang w:val="es-ES_tradnl"/>
        </w:rPr>
        <w:t xml:space="preserve">Fueron </w:t>
      </w:r>
      <w:proofErr w:type="spellStart"/>
      <w:r w:rsidRPr="00566F05">
        <w:rPr>
          <w:rFonts w:ascii="Georgia" w:hAnsi="Georgia" w:cs="Arial"/>
          <w:lang w:val="es-ES_tradnl"/>
        </w:rPr>
        <w:t>enteradas</w:t>
      </w:r>
      <w:proofErr w:type="spellEnd"/>
      <w:r w:rsidRPr="00566F05">
        <w:rPr>
          <w:rFonts w:ascii="Georgia" w:hAnsi="Georgia" w:cs="Arial"/>
          <w:lang w:val="es-ES_tradnl"/>
        </w:rPr>
        <w:t xml:space="preserve"> las partes (</w:t>
      </w:r>
      <w:r w:rsidR="00F471EB" w:rsidRPr="00566F05">
        <w:rPr>
          <w:rFonts w:ascii="Georgia" w:hAnsi="Georgia" w:cs="Arial"/>
          <w:lang w:val="es-ES_tradnl"/>
        </w:rPr>
        <w:t>Cuaderno No.1</w:t>
      </w:r>
      <w:r w:rsidRPr="00566F05">
        <w:rPr>
          <w:rFonts w:ascii="Georgia" w:hAnsi="Georgia" w:cs="Arial"/>
          <w:lang w:val="es-ES_tradnl"/>
        </w:rPr>
        <w:t>, documento</w:t>
      </w:r>
      <w:r w:rsidR="00F471EB" w:rsidRPr="00566F05">
        <w:rPr>
          <w:rFonts w:ascii="Georgia" w:hAnsi="Georgia" w:cs="Arial"/>
          <w:lang w:val="es-ES_tradnl"/>
        </w:rPr>
        <w:t xml:space="preserve"> </w:t>
      </w:r>
      <w:r w:rsidRPr="00566F05">
        <w:rPr>
          <w:rFonts w:ascii="Georgia" w:hAnsi="Georgia" w:cs="Arial"/>
          <w:lang w:val="es-ES_tradnl"/>
        </w:rPr>
        <w:t>No.</w:t>
      </w:r>
      <w:r w:rsidR="00F471EB" w:rsidRPr="00566F05">
        <w:rPr>
          <w:rFonts w:ascii="Georgia" w:hAnsi="Georgia" w:cs="Arial"/>
          <w:lang w:val="es-ES_tradnl"/>
        </w:rPr>
        <w:t>8</w:t>
      </w:r>
      <w:r w:rsidRPr="00566F05">
        <w:rPr>
          <w:rFonts w:ascii="Georgia" w:hAnsi="Georgia" w:cs="Arial"/>
          <w:lang w:val="es-ES_tradnl"/>
        </w:rPr>
        <w:t>)</w:t>
      </w:r>
      <w:r w:rsidR="00F471EB" w:rsidRPr="00566F05">
        <w:rPr>
          <w:rFonts w:ascii="Georgia" w:hAnsi="Georgia" w:cs="Arial"/>
          <w:lang w:val="es-ES_tradnl"/>
        </w:rPr>
        <w:t>. C</w:t>
      </w:r>
      <w:r w:rsidRPr="00566F05">
        <w:rPr>
          <w:rFonts w:ascii="Georgia" w:hAnsi="Georgia" w:cs="Arial"/>
          <w:lang w:val="es-ES_tradnl"/>
        </w:rPr>
        <w:t>ontest</w:t>
      </w:r>
      <w:r w:rsidR="004E45CB" w:rsidRPr="00566F05">
        <w:rPr>
          <w:rFonts w:ascii="Georgia" w:hAnsi="Georgia" w:cs="Arial"/>
          <w:lang w:val="es-ES_tradnl"/>
        </w:rPr>
        <w:t xml:space="preserve">aron </w:t>
      </w:r>
      <w:r w:rsidR="00F471EB" w:rsidRPr="00566F05">
        <w:rPr>
          <w:rFonts w:ascii="Georgia" w:hAnsi="Georgia" w:cs="Arial"/>
          <w:lang w:val="es-ES_tradnl"/>
        </w:rPr>
        <w:t xml:space="preserve">EMI SAS, Provenir SA y Salud Total </w:t>
      </w:r>
      <w:r w:rsidR="003A5F55" w:rsidRPr="00566F05">
        <w:rPr>
          <w:rFonts w:ascii="Georgia" w:hAnsi="Georgia" w:cs="Arial"/>
          <w:lang w:val="es-ES_tradnl"/>
        </w:rPr>
        <w:t xml:space="preserve">EPS </w:t>
      </w:r>
      <w:r w:rsidRPr="00566F05">
        <w:rPr>
          <w:rFonts w:ascii="Georgia" w:hAnsi="Georgia" w:cs="Arial"/>
          <w:lang w:val="es-ES_tradnl"/>
        </w:rPr>
        <w:t>(</w:t>
      </w:r>
      <w:r w:rsidR="00F471EB" w:rsidRPr="00566F05">
        <w:rPr>
          <w:rFonts w:ascii="Georgia" w:hAnsi="Georgia" w:cs="Arial"/>
          <w:lang w:val="es-ES_tradnl"/>
        </w:rPr>
        <w:t>Cuaderno No.1, documentos Nos.17, 21, 23 y 25</w:t>
      </w:r>
      <w:r w:rsidRPr="00566F05">
        <w:rPr>
          <w:rFonts w:ascii="Georgia" w:hAnsi="Georgia" w:cs="Arial"/>
          <w:lang w:val="es-ES_tradnl"/>
        </w:rPr>
        <w:t>)</w:t>
      </w:r>
      <w:r w:rsidR="00F471EB" w:rsidRPr="00566F05">
        <w:rPr>
          <w:rFonts w:ascii="Georgia" w:hAnsi="Georgia" w:cs="Arial"/>
          <w:lang w:val="es-ES_tradnl"/>
        </w:rPr>
        <w:t xml:space="preserve"> y los funcionarios arrimaron copia digitalizada del expediente de tutela (Cuaderno No.1, documentos Nos.11, 12, 13 y 14).</w:t>
      </w:r>
    </w:p>
    <w:p w14:paraId="08673B9F" w14:textId="36BD5F3D" w:rsidR="00301262" w:rsidRPr="00566F05" w:rsidRDefault="00301262" w:rsidP="00566F05">
      <w:pPr>
        <w:pStyle w:val="Prrafodelista"/>
        <w:spacing w:line="276" w:lineRule="auto"/>
        <w:ind w:left="0"/>
        <w:jc w:val="both"/>
        <w:rPr>
          <w:rFonts w:ascii="Georgia" w:hAnsi="Georgia"/>
          <w:lang w:val="es-ES_tradnl"/>
        </w:rPr>
      </w:pPr>
    </w:p>
    <w:p w14:paraId="3871383D" w14:textId="74FBA340" w:rsidR="00F471EB" w:rsidRPr="00566F05" w:rsidRDefault="00F471EB" w:rsidP="00566F05">
      <w:pPr>
        <w:pStyle w:val="Prrafodelista"/>
        <w:spacing w:line="276" w:lineRule="auto"/>
        <w:ind w:left="0"/>
        <w:jc w:val="both"/>
        <w:rPr>
          <w:rFonts w:ascii="Georgia" w:hAnsi="Georgia"/>
          <w:lang w:val="es-ES_tradnl"/>
        </w:rPr>
      </w:pPr>
      <w:r w:rsidRPr="00566F05">
        <w:rPr>
          <w:rFonts w:ascii="Georgia" w:hAnsi="Georgia"/>
          <w:lang w:val="es-ES_tradnl"/>
        </w:rPr>
        <w:t xml:space="preserve">EMI SAS </w:t>
      </w:r>
      <w:r w:rsidR="003A5F55" w:rsidRPr="00566F05">
        <w:rPr>
          <w:rFonts w:ascii="Georgia" w:hAnsi="Georgia"/>
          <w:lang w:val="es-ES_tradnl"/>
        </w:rPr>
        <w:t xml:space="preserve">aduce que </w:t>
      </w:r>
      <w:r w:rsidRPr="00566F05">
        <w:rPr>
          <w:rFonts w:ascii="Georgia" w:hAnsi="Georgia"/>
          <w:lang w:val="es-ES_tradnl"/>
        </w:rPr>
        <w:t xml:space="preserve">Salud Total y Protección </w:t>
      </w:r>
      <w:r w:rsidR="003A5F55" w:rsidRPr="00566F05">
        <w:rPr>
          <w:rFonts w:ascii="Georgia" w:hAnsi="Georgia"/>
          <w:lang w:val="es-ES_tradnl"/>
        </w:rPr>
        <w:t xml:space="preserve">deben pagar al actor </w:t>
      </w:r>
      <w:r w:rsidRPr="00566F05">
        <w:rPr>
          <w:rFonts w:ascii="Georgia" w:hAnsi="Georgia"/>
          <w:lang w:val="es-ES_tradnl"/>
        </w:rPr>
        <w:t>las incapacidades</w:t>
      </w:r>
      <w:r w:rsidR="003A5F55" w:rsidRPr="00566F05">
        <w:rPr>
          <w:rFonts w:ascii="Georgia" w:hAnsi="Georgia"/>
          <w:lang w:val="es-ES_tradnl"/>
        </w:rPr>
        <w:t xml:space="preserve"> y pide </w:t>
      </w:r>
      <w:r w:rsidRPr="00566F05">
        <w:rPr>
          <w:rFonts w:ascii="Georgia" w:hAnsi="Georgia"/>
          <w:lang w:val="es-ES_tradnl"/>
        </w:rPr>
        <w:t>conceder el amparo</w:t>
      </w:r>
      <w:r w:rsidR="003A5F55" w:rsidRPr="00566F05">
        <w:rPr>
          <w:rFonts w:ascii="Georgia" w:hAnsi="Georgia"/>
          <w:lang w:val="es-ES_tradnl"/>
        </w:rPr>
        <w:t xml:space="preserve"> (Cuaderno No.1, documento No.17); Provenir SA alega cosa juzgada y falta de legitimación (Cuaderno No.1, documento No.21); y, Salud Total solicita declarar la carencia actual de objeto porque ya pagó los auxilios (Cuaderno No.1, documento No.25).</w:t>
      </w:r>
    </w:p>
    <w:p w14:paraId="200FE866" w14:textId="77777777" w:rsidR="00F471EB" w:rsidRPr="00566F05" w:rsidRDefault="00F471EB" w:rsidP="00566F05">
      <w:pPr>
        <w:pStyle w:val="Prrafodelista"/>
        <w:spacing w:line="276" w:lineRule="auto"/>
        <w:ind w:left="0"/>
        <w:jc w:val="both"/>
        <w:rPr>
          <w:rFonts w:ascii="Georgia" w:hAnsi="Georgia"/>
          <w:lang w:val="es-ES_tradnl"/>
        </w:rPr>
      </w:pPr>
    </w:p>
    <w:p w14:paraId="7B66FB67" w14:textId="77777777" w:rsidR="00301262" w:rsidRPr="00566F05" w:rsidRDefault="00301262" w:rsidP="00566F05">
      <w:pPr>
        <w:pStyle w:val="Prrafodelista"/>
        <w:numPr>
          <w:ilvl w:val="0"/>
          <w:numId w:val="18"/>
        </w:numPr>
        <w:spacing w:line="276" w:lineRule="auto"/>
        <w:jc w:val="both"/>
        <w:rPr>
          <w:rFonts w:ascii="Georgia" w:hAnsi="Georgia"/>
          <w:b/>
          <w:bCs/>
          <w:smallCaps/>
          <w:lang w:val="es-ES_tradnl"/>
        </w:rPr>
      </w:pPr>
      <w:r w:rsidRPr="00566F05">
        <w:rPr>
          <w:rFonts w:ascii="Georgia" w:hAnsi="Georgia"/>
          <w:b/>
          <w:bCs/>
          <w:smallCaps/>
          <w:lang w:val="es-ES_tradnl"/>
        </w:rPr>
        <w:t>La fundamentación jurídica para decidir</w:t>
      </w:r>
    </w:p>
    <w:p w14:paraId="38C7AAE9" w14:textId="77777777" w:rsidR="00301262" w:rsidRPr="00566F05" w:rsidRDefault="00301262" w:rsidP="00566F05">
      <w:pPr>
        <w:pStyle w:val="Textoindependiente"/>
        <w:spacing w:line="276" w:lineRule="auto"/>
        <w:ind w:left="400"/>
        <w:rPr>
          <w:rFonts w:ascii="Georgia" w:hAnsi="Georgia" w:cs="Arial"/>
          <w:szCs w:val="24"/>
        </w:rPr>
      </w:pPr>
    </w:p>
    <w:p w14:paraId="5EF4764C" w14:textId="77777777" w:rsidR="00301262" w:rsidRPr="00566F05" w:rsidRDefault="00301262" w:rsidP="00566F05">
      <w:pPr>
        <w:pStyle w:val="Textoindependiente"/>
        <w:numPr>
          <w:ilvl w:val="1"/>
          <w:numId w:val="18"/>
        </w:numPr>
        <w:tabs>
          <w:tab w:val="clear" w:pos="708"/>
          <w:tab w:val="left" w:pos="567"/>
        </w:tabs>
        <w:spacing w:line="276" w:lineRule="auto"/>
        <w:ind w:left="0" w:firstLine="0"/>
        <w:rPr>
          <w:rFonts w:ascii="Georgia" w:eastAsia="Georgia" w:hAnsi="Georgia" w:cs="Georgia"/>
          <w:szCs w:val="24"/>
        </w:rPr>
      </w:pPr>
      <w:r w:rsidRPr="00566F05">
        <w:rPr>
          <w:rFonts w:ascii="Georgia" w:hAnsi="Georgia" w:cs="Arial"/>
          <w:smallCaps/>
          <w:szCs w:val="24"/>
        </w:rPr>
        <w:t>La competencia funcional</w:t>
      </w:r>
      <w:r w:rsidRPr="00566F05">
        <w:rPr>
          <w:rFonts w:ascii="Georgia" w:hAnsi="Georgia"/>
          <w:smallCaps/>
          <w:szCs w:val="24"/>
        </w:rPr>
        <w:t xml:space="preserve">. </w:t>
      </w:r>
      <w:r w:rsidRPr="00566F05">
        <w:rPr>
          <w:rFonts w:ascii="Georgia" w:hAnsi="Georgia" w:cs="Arial"/>
          <w:szCs w:val="24"/>
        </w:rPr>
        <w:t>Sin reparos, esta Sala es superiora jerárquica del accionado (Arts.37, D.2591/1991 y 2.2.3.1.2.1.-5º, D.1069/2015, modificado por el 1º, D.1983/2017).</w:t>
      </w:r>
    </w:p>
    <w:p w14:paraId="636B30A7" w14:textId="77777777" w:rsidR="00301262" w:rsidRPr="00566F05" w:rsidRDefault="00301262" w:rsidP="00566F05">
      <w:pPr>
        <w:pStyle w:val="Textoindependiente"/>
        <w:spacing w:line="276" w:lineRule="auto"/>
        <w:ind w:left="720"/>
        <w:rPr>
          <w:rFonts w:ascii="Georgia" w:hAnsi="Georgia" w:cs="Arial"/>
          <w:szCs w:val="24"/>
        </w:rPr>
      </w:pPr>
    </w:p>
    <w:p w14:paraId="223657DA" w14:textId="4170F575" w:rsidR="00301262" w:rsidRPr="00566F05" w:rsidRDefault="00301262" w:rsidP="00566F05">
      <w:pPr>
        <w:pStyle w:val="Textoindependiente"/>
        <w:numPr>
          <w:ilvl w:val="1"/>
          <w:numId w:val="18"/>
        </w:numPr>
        <w:tabs>
          <w:tab w:val="clear" w:pos="708"/>
          <w:tab w:val="clear" w:pos="1416"/>
          <w:tab w:val="left" w:pos="567"/>
        </w:tabs>
        <w:spacing w:line="276" w:lineRule="auto"/>
        <w:ind w:left="0" w:firstLine="0"/>
        <w:rPr>
          <w:rFonts w:ascii="Georgia" w:hAnsi="Georgia" w:cs="Arial"/>
          <w:szCs w:val="24"/>
        </w:rPr>
      </w:pPr>
      <w:r w:rsidRPr="00566F05">
        <w:rPr>
          <w:rFonts w:ascii="Georgia" w:hAnsi="Georgia" w:cs="Arial"/>
          <w:smallCaps/>
          <w:szCs w:val="24"/>
        </w:rPr>
        <w:t>El problema jurídico a resolver</w:t>
      </w:r>
      <w:r w:rsidRPr="00566F05">
        <w:rPr>
          <w:rFonts w:ascii="Georgia" w:hAnsi="Georgia"/>
          <w:i/>
          <w:iCs/>
          <w:smallCaps/>
          <w:szCs w:val="24"/>
        </w:rPr>
        <w:t>.</w:t>
      </w:r>
      <w:r w:rsidRPr="00566F05">
        <w:rPr>
          <w:rFonts w:ascii="Georgia" w:hAnsi="Georgia"/>
          <w:smallCaps/>
          <w:szCs w:val="24"/>
        </w:rPr>
        <w:t xml:space="preserve"> </w:t>
      </w:r>
      <w:r w:rsidRPr="00566F05">
        <w:rPr>
          <w:rFonts w:ascii="Georgia" w:hAnsi="Georgia" w:cs="Arial"/>
          <w:szCs w:val="24"/>
        </w:rPr>
        <w:t>¿</w:t>
      </w:r>
      <w:r w:rsidR="003A5F55" w:rsidRPr="00566F05">
        <w:rPr>
          <w:rFonts w:ascii="Georgia" w:hAnsi="Georgia" w:cs="Arial"/>
          <w:szCs w:val="24"/>
        </w:rPr>
        <w:t>Los</w:t>
      </w:r>
      <w:r w:rsidRPr="00566F05">
        <w:rPr>
          <w:rFonts w:ascii="Georgia" w:hAnsi="Georgia" w:cs="Arial"/>
          <w:szCs w:val="24"/>
        </w:rPr>
        <w:t xml:space="preserve"> despacho</w:t>
      </w:r>
      <w:r w:rsidR="003A5F55" w:rsidRPr="00566F05">
        <w:rPr>
          <w:rFonts w:ascii="Georgia" w:hAnsi="Georgia" w:cs="Arial"/>
          <w:szCs w:val="24"/>
        </w:rPr>
        <w:t>s</w:t>
      </w:r>
      <w:r w:rsidRPr="00566F05">
        <w:rPr>
          <w:rFonts w:ascii="Georgia" w:hAnsi="Georgia" w:cs="Arial"/>
          <w:szCs w:val="24"/>
        </w:rPr>
        <w:t xml:space="preserve"> judicial</w:t>
      </w:r>
      <w:r w:rsidR="003A5F55" w:rsidRPr="00566F05">
        <w:rPr>
          <w:rFonts w:ascii="Georgia" w:hAnsi="Georgia" w:cs="Arial"/>
          <w:szCs w:val="24"/>
        </w:rPr>
        <w:t>es</w:t>
      </w:r>
      <w:r w:rsidRPr="00566F05">
        <w:rPr>
          <w:rFonts w:ascii="Georgia" w:hAnsi="Georgia" w:cs="Arial"/>
          <w:szCs w:val="24"/>
        </w:rPr>
        <w:t>, ha vulnerado o</w:t>
      </w:r>
      <w:r w:rsidR="003A5F55" w:rsidRPr="00566F05">
        <w:rPr>
          <w:rFonts w:ascii="Georgia" w:hAnsi="Georgia" w:cs="Arial"/>
          <w:szCs w:val="24"/>
        </w:rPr>
        <w:t xml:space="preserve"> </w:t>
      </w:r>
      <w:r w:rsidRPr="00566F05">
        <w:rPr>
          <w:rFonts w:ascii="Georgia" w:hAnsi="Georgia" w:cs="Arial"/>
          <w:szCs w:val="24"/>
        </w:rPr>
        <w:t xml:space="preserve">amenazado los derechos fundamentales alegados por </w:t>
      </w:r>
      <w:r w:rsidR="004E45CB" w:rsidRPr="00566F05">
        <w:rPr>
          <w:rFonts w:ascii="Georgia" w:hAnsi="Georgia" w:cs="Arial"/>
          <w:szCs w:val="24"/>
        </w:rPr>
        <w:t>el</w:t>
      </w:r>
      <w:r w:rsidRPr="00566F05">
        <w:rPr>
          <w:rFonts w:ascii="Georgia" w:hAnsi="Georgia" w:cs="Arial"/>
          <w:szCs w:val="24"/>
        </w:rPr>
        <w:t xml:space="preserve"> </w:t>
      </w:r>
      <w:r w:rsidR="003A5F55" w:rsidRPr="00566F05">
        <w:rPr>
          <w:rFonts w:ascii="Georgia" w:hAnsi="Georgia" w:cs="Arial"/>
          <w:szCs w:val="24"/>
        </w:rPr>
        <w:t>promotor</w:t>
      </w:r>
      <w:r w:rsidRPr="00566F05">
        <w:rPr>
          <w:rFonts w:ascii="Georgia" w:hAnsi="Georgia" w:cs="Arial"/>
          <w:szCs w:val="24"/>
        </w:rPr>
        <w:t>, según el escrito de tutela?</w:t>
      </w:r>
    </w:p>
    <w:p w14:paraId="19D5103A" w14:textId="77777777" w:rsidR="00301262" w:rsidRPr="00566F05" w:rsidRDefault="00301262" w:rsidP="00566F0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1DDC463B" w14:textId="77777777" w:rsidR="00301262" w:rsidRPr="00566F05" w:rsidRDefault="00301262" w:rsidP="00566F05">
      <w:pPr>
        <w:pStyle w:val="Prrafodelista"/>
        <w:numPr>
          <w:ilvl w:val="1"/>
          <w:numId w:val="18"/>
        </w:numPr>
        <w:spacing w:line="276" w:lineRule="auto"/>
        <w:rPr>
          <w:rFonts w:ascii="Georgia" w:eastAsia="Georgia" w:hAnsi="Georgia" w:cs="Georgia"/>
          <w:lang w:val="es-ES_tradnl"/>
        </w:rPr>
      </w:pPr>
      <w:r w:rsidRPr="00566F05">
        <w:rPr>
          <w:rFonts w:ascii="Georgia" w:hAnsi="Georgia" w:cs="Arial"/>
          <w:smallCaps/>
          <w:lang w:val="es-ES_tradnl"/>
        </w:rPr>
        <w:t>Los presupuestos generales de procedencia</w:t>
      </w:r>
    </w:p>
    <w:p w14:paraId="267F1203" w14:textId="77777777" w:rsidR="00301262" w:rsidRPr="00566F05" w:rsidRDefault="00301262" w:rsidP="00566F05">
      <w:pPr>
        <w:spacing w:line="276" w:lineRule="auto"/>
        <w:rPr>
          <w:rFonts w:ascii="Georgia" w:hAnsi="Georgia"/>
          <w:smallCaps/>
          <w:lang w:val="es-ES_tradnl"/>
        </w:rPr>
      </w:pPr>
    </w:p>
    <w:p w14:paraId="73E2C8FD" w14:textId="61EC82B0" w:rsidR="00301262" w:rsidRPr="00566F05" w:rsidRDefault="00301262" w:rsidP="00566F05">
      <w:pPr>
        <w:pStyle w:val="Prrafodelista"/>
        <w:numPr>
          <w:ilvl w:val="2"/>
          <w:numId w:val="18"/>
        </w:numPr>
        <w:spacing w:line="276" w:lineRule="auto"/>
        <w:ind w:left="0" w:hanging="11"/>
        <w:jc w:val="both"/>
        <w:rPr>
          <w:rFonts w:ascii="Georgia" w:hAnsi="Georgia" w:cs="Arial"/>
          <w:lang w:val="es-ES_tradnl"/>
        </w:rPr>
      </w:pPr>
      <w:r w:rsidRPr="00566F05">
        <w:rPr>
          <w:rFonts w:ascii="Georgia" w:hAnsi="Georgia"/>
          <w:smallCaps/>
          <w:lang w:val="es-ES_tradnl"/>
        </w:rPr>
        <w:t xml:space="preserve">La legitimación en la causa. </w:t>
      </w:r>
      <w:r w:rsidRPr="00566F05">
        <w:rPr>
          <w:rFonts w:ascii="Georgia" w:hAnsi="Georgia" w:cs="Arial"/>
          <w:lang w:val="es-ES_tradnl"/>
        </w:rPr>
        <w:t xml:space="preserve">Se cumple por activa porque el actor promovió </w:t>
      </w:r>
      <w:r w:rsidR="003A5F55" w:rsidRPr="00566F05">
        <w:rPr>
          <w:rFonts w:ascii="Georgia" w:hAnsi="Georgia" w:cs="Arial"/>
          <w:lang w:val="es-ES_tradnl"/>
        </w:rPr>
        <w:t>la tutela reprochada</w:t>
      </w:r>
      <w:r w:rsidRPr="00566F05">
        <w:rPr>
          <w:rFonts w:ascii="Georgia" w:hAnsi="Georgia" w:cs="Arial"/>
          <w:lang w:val="es-ES_tradnl"/>
        </w:rPr>
        <w:t xml:space="preserve">. Y, por pasiva, </w:t>
      </w:r>
      <w:r w:rsidR="003A5F55" w:rsidRPr="00566F05">
        <w:rPr>
          <w:rFonts w:ascii="Georgia" w:hAnsi="Georgia" w:cs="Arial"/>
          <w:lang w:val="es-ES_tradnl"/>
        </w:rPr>
        <w:t>los</w:t>
      </w:r>
      <w:r w:rsidR="003A5F55" w:rsidRPr="00566F05">
        <w:rPr>
          <w:rFonts w:ascii="Georgia" w:hAnsi="Georgia" w:cs="Arial"/>
          <w:spacing w:val="3"/>
          <w:lang w:val="es-ES_tradnl"/>
        </w:rPr>
        <w:t xml:space="preserve"> Juzgados 1º Penal del Circuito para Adolescentes con Función de Conocimiento y 1º Penal Municipal para Adolescentes con Función de Control de Garantías de Pereira</w:t>
      </w:r>
      <w:r w:rsidR="004E45CB" w:rsidRPr="00566F05">
        <w:rPr>
          <w:rFonts w:ascii="Georgia" w:hAnsi="Georgia" w:cs="Arial"/>
          <w:lang w:val="es-ES_tradnl"/>
        </w:rPr>
        <w:t xml:space="preserve">, </w:t>
      </w:r>
      <w:r w:rsidRPr="00566F05">
        <w:rPr>
          <w:rFonts w:ascii="Georgia" w:hAnsi="Georgia" w:cs="Arial"/>
          <w:lang w:val="es-ES_tradnl"/>
        </w:rPr>
        <w:t>por conocer el juicio (Cuaderno No.1, documento</w:t>
      </w:r>
      <w:r w:rsidR="003A5F55" w:rsidRPr="00566F05">
        <w:rPr>
          <w:rFonts w:ascii="Georgia" w:hAnsi="Georgia" w:cs="Arial"/>
          <w:lang w:val="es-ES_tradnl"/>
        </w:rPr>
        <w:t>s</w:t>
      </w:r>
      <w:r w:rsidRPr="00566F05">
        <w:rPr>
          <w:rFonts w:ascii="Georgia" w:hAnsi="Georgia" w:cs="Arial"/>
          <w:lang w:val="es-ES_tradnl"/>
        </w:rPr>
        <w:t xml:space="preserve"> No</w:t>
      </w:r>
      <w:r w:rsidR="003A5F55" w:rsidRPr="00566F05">
        <w:rPr>
          <w:rFonts w:ascii="Georgia" w:hAnsi="Georgia" w:cs="Arial"/>
          <w:lang w:val="es-ES_tradnl"/>
        </w:rPr>
        <w:t>s</w:t>
      </w:r>
      <w:r w:rsidRPr="00566F05">
        <w:rPr>
          <w:rFonts w:ascii="Georgia" w:hAnsi="Georgia" w:cs="Arial"/>
          <w:lang w:val="es-ES_tradnl"/>
        </w:rPr>
        <w:t>.</w:t>
      </w:r>
      <w:r w:rsidR="003A5F55" w:rsidRPr="00566F05">
        <w:rPr>
          <w:rFonts w:ascii="Georgia" w:hAnsi="Georgia" w:cs="Arial"/>
          <w:lang w:val="es-ES_tradnl"/>
        </w:rPr>
        <w:t>11, 13 y 14</w:t>
      </w:r>
      <w:r w:rsidRPr="00566F05">
        <w:rPr>
          <w:rFonts w:ascii="Georgia" w:hAnsi="Georgia" w:cs="Arial"/>
          <w:lang w:val="es-ES_tradnl"/>
        </w:rPr>
        <w:t>).</w:t>
      </w:r>
    </w:p>
    <w:p w14:paraId="5E459230" w14:textId="77777777" w:rsidR="00301262" w:rsidRPr="00566F05" w:rsidRDefault="00301262" w:rsidP="00566F05">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rPr>
      </w:pPr>
    </w:p>
    <w:p w14:paraId="2E061414" w14:textId="77777777" w:rsidR="00301262" w:rsidRPr="00566F05" w:rsidRDefault="00301262" w:rsidP="00566F05">
      <w:pPr>
        <w:pStyle w:val="Textoindependiente"/>
        <w:numPr>
          <w:ilvl w:val="2"/>
          <w:numId w:val="18"/>
        </w:numPr>
        <w:shd w:val="clear" w:color="auto" w:fill="FFFFFF" w:themeFill="background1"/>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autoSpaceDE/>
        <w:autoSpaceDN/>
        <w:adjustRightInd/>
        <w:spacing w:line="276" w:lineRule="auto"/>
        <w:ind w:left="0" w:firstLine="0"/>
        <w:rPr>
          <w:rFonts w:ascii="Georgia" w:hAnsi="Georgia" w:cs="Arial"/>
          <w:szCs w:val="24"/>
        </w:rPr>
      </w:pPr>
      <w:r w:rsidRPr="00566F05">
        <w:rPr>
          <w:rFonts w:ascii="Georgia" w:hAnsi="Georgia" w:cs="Arial"/>
          <w:smallCaps/>
          <w:szCs w:val="24"/>
        </w:rPr>
        <w:t xml:space="preserve">La procedibilidad contra decisiones judiciales. </w:t>
      </w:r>
      <w:r w:rsidRPr="00566F05">
        <w:rPr>
          <w:rFonts w:ascii="Georgia" w:hAnsi="Georgia" w:cs="Arial"/>
          <w:szCs w:val="24"/>
        </w:rPr>
        <w:t xml:space="preserve">Desde la sentencia C-543 </w:t>
      </w:r>
      <w:r w:rsidRPr="00566F05">
        <w:rPr>
          <w:rFonts w:ascii="Georgia" w:hAnsi="Georgia"/>
          <w:szCs w:val="24"/>
        </w:rPr>
        <w:t>de</w:t>
      </w:r>
      <w:r w:rsidRPr="00566F05">
        <w:rPr>
          <w:rFonts w:ascii="Georgia" w:hAnsi="Georgia" w:cs="Arial"/>
          <w:szCs w:val="24"/>
        </w:rPr>
        <w:t xml:space="preserve"> 1992, que examinó en constitucionalidad, los artículos 11, 12 y 40 del Decreto 2591 de </w:t>
      </w:r>
      <w:r w:rsidRPr="00566F05">
        <w:rPr>
          <w:rFonts w:ascii="Georgia" w:hAnsi="Georgia" w:cs="Arial"/>
          <w:szCs w:val="24"/>
        </w:rPr>
        <w:lastRenderedPageBreak/>
        <w:t xml:space="preserve">1991, declarados ajustados a la Carta, inicia la línea jurisprudencial en torno a la tutela contra providencias judiciales, que ha evolucionado hasta una </w:t>
      </w:r>
      <w:proofErr w:type="spellStart"/>
      <w:r w:rsidRPr="00566F05">
        <w:rPr>
          <w:rFonts w:ascii="Georgia" w:hAnsi="Georgia" w:cs="Arial"/>
          <w:szCs w:val="24"/>
        </w:rPr>
        <w:t>re-definición</w:t>
      </w:r>
      <w:proofErr w:type="spellEnd"/>
      <w:r w:rsidRPr="00566F05">
        <w:rPr>
          <w:rFonts w:ascii="Georgia" w:hAnsi="Georgia" w:cs="Arial"/>
          <w:szCs w:val="24"/>
        </w:rPr>
        <w:t xml:space="preserve"> dogmática entre 2003 y 2005</w:t>
      </w:r>
      <w:r w:rsidRPr="00566F05">
        <w:rPr>
          <w:rFonts w:ascii="Georgia" w:hAnsi="Georgia" w:cs="Arial"/>
          <w:szCs w:val="24"/>
          <w:vertAlign w:val="superscript"/>
        </w:rPr>
        <w:footnoteReference w:id="1"/>
      </w:r>
      <w:r w:rsidRPr="00566F05">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566F05">
        <w:rPr>
          <w:rFonts w:ascii="Georgia" w:hAnsi="Georgia"/>
          <w:szCs w:val="24"/>
          <w:vertAlign w:val="superscript"/>
        </w:rPr>
        <w:footnoteReference w:id="2"/>
      </w:r>
      <w:r w:rsidRPr="00566F05">
        <w:rPr>
          <w:rFonts w:ascii="Georgia" w:hAnsi="Georgia" w:cs="Arial"/>
          <w:szCs w:val="24"/>
        </w:rPr>
        <w:t>.</w:t>
      </w:r>
    </w:p>
    <w:p w14:paraId="3A3D1889" w14:textId="77777777" w:rsidR="00301262" w:rsidRPr="00566F05" w:rsidRDefault="00301262" w:rsidP="00566F05">
      <w:pPr>
        <w:pStyle w:val="Textoindependiente"/>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p>
    <w:p w14:paraId="54E30E5E" w14:textId="77777777" w:rsidR="00301262" w:rsidRPr="00566F05" w:rsidRDefault="00301262" w:rsidP="00566F05">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566F05">
        <w:rPr>
          <w:rFonts w:ascii="Georgia" w:hAnsi="Georgia" w:cs="Arial"/>
          <w:szCs w:val="24"/>
        </w:rPr>
        <w:t xml:space="preserve">Ahora, en frente del examen que se reclama en sede constitucional, resulta de mayúscula trascendencia, precisar que </w:t>
      </w:r>
      <w:r w:rsidRPr="00566F05">
        <w:rPr>
          <w:rFonts w:ascii="Georgia" w:hAnsi="Georgia" w:cs="Arial"/>
          <w:szCs w:val="24"/>
          <w:u w:val="single"/>
        </w:rPr>
        <w:t>se trata de un juicio de validez y no de corrección</w:t>
      </w:r>
      <w:r w:rsidRPr="00566F05">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566F05">
        <w:rPr>
          <w:rFonts w:ascii="Georgia" w:hAnsi="Georgia"/>
          <w:szCs w:val="24"/>
          <w:vertAlign w:val="superscript"/>
        </w:rPr>
        <w:footnoteReference w:id="3"/>
      </w:r>
      <w:r w:rsidRPr="00566F05">
        <w:rPr>
          <w:rFonts w:ascii="Georgia" w:hAnsi="Georgia" w:cs="Arial"/>
          <w:szCs w:val="24"/>
        </w:rPr>
        <w:t>.</w:t>
      </w:r>
    </w:p>
    <w:p w14:paraId="25AB1ABF" w14:textId="77777777" w:rsidR="00301262" w:rsidRPr="00566F05" w:rsidRDefault="00301262" w:rsidP="00566F05">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rPr>
      </w:pPr>
    </w:p>
    <w:p w14:paraId="302DC8C3" w14:textId="5BC8D3C9" w:rsidR="00301262" w:rsidRPr="00566F05" w:rsidRDefault="00301262" w:rsidP="00566F05">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566F05">
        <w:rPr>
          <w:rFonts w:ascii="Georgia" w:hAnsi="Georgia" w:cs="Arial"/>
          <w:szCs w:val="24"/>
        </w:rPr>
        <w:t>Los requisitos generales de procedibilidad, explicados en amplitud en la sentencia C-590 de 2005</w:t>
      </w:r>
      <w:r w:rsidRPr="00566F05">
        <w:rPr>
          <w:rFonts w:ascii="Georgia" w:hAnsi="Georgia" w:cs="Arial"/>
          <w:szCs w:val="24"/>
          <w:vertAlign w:val="superscript"/>
        </w:rPr>
        <w:footnoteReference w:id="4"/>
      </w:r>
      <w:r w:rsidRPr="00566F05">
        <w:rPr>
          <w:rFonts w:ascii="Georgia" w:hAnsi="Georgia" w:cs="Arial"/>
          <w:szCs w:val="24"/>
        </w:rPr>
        <w:t xml:space="preserve"> y reiterados en la consolidada línea jurisprudencial</w:t>
      </w:r>
      <w:r w:rsidRPr="00566F05">
        <w:rPr>
          <w:rFonts w:ascii="Georgia" w:hAnsi="Georgia" w:cs="Arial"/>
          <w:szCs w:val="24"/>
          <w:vertAlign w:val="superscript"/>
        </w:rPr>
        <w:footnoteReference w:id="5"/>
      </w:r>
      <w:r w:rsidRPr="00566F05">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w:t>
      </w:r>
      <w:r w:rsidRPr="00566F05">
        <w:rPr>
          <w:rFonts w:ascii="Georgia" w:hAnsi="Georgia" w:cs="Arial"/>
          <w:i/>
          <w:iCs/>
          <w:szCs w:val="24"/>
        </w:rPr>
        <w:t>Que no se trate de tutela contra</w:t>
      </w:r>
      <w:r w:rsidR="003A5F55" w:rsidRPr="00566F05">
        <w:rPr>
          <w:rFonts w:ascii="Georgia" w:hAnsi="Georgia" w:cs="Arial"/>
          <w:i/>
          <w:iCs/>
          <w:szCs w:val="24"/>
        </w:rPr>
        <w:t xml:space="preserve"> sentencia</w:t>
      </w:r>
      <w:r w:rsidRPr="00566F05">
        <w:rPr>
          <w:rFonts w:ascii="Georgia" w:hAnsi="Georgia" w:cs="Arial"/>
          <w:i/>
          <w:iCs/>
          <w:szCs w:val="24"/>
        </w:rPr>
        <w:t xml:space="preserve"> tutela</w:t>
      </w:r>
      <w:r w:rsidRPr="00566F05">
        <w:rPr>
          <w:rFonts w:ascii="Georgia" w:hAnsi="Georgia"/>
          <w:i/>
          <w:iCs/>
          <w:szCs w:val="24"/>
          <w:vertAlign w:val="superscript"/>
        </w:rPr>
        <w:footnoteReference w:id="6"/>
      </w:r>
      <w:r w:rsidRPr="00566F05">
        <w:rPr>
          <w:rFonts w:ascii="Georgia" w:hAnsi="Georgia" w:cs="Arial"/>
          <w:i/>
          <w:iCs/>
          <w:szCs w:val="24"/>
        </w:rPr>
        <w:t>.</w:t>
      </w:r>
    </w:p>
    <w:p w14:paraId="677B9D3B" w14:textId="77777777" w:rsidR="00301262" w:rsidRPr="00566F05" w:rsidRDefault="00301262" w:rsidP="00566F05">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rPr>
      </w:pPr>
    </w:p>
    <w:p w14:paraId="0C4BC9B6" w14:textId="33D9FCE1" w:rsidR="00301262" w:rsidRPr="00566F05" w:rsidRDefault="00E20452" w:rsidP="00566F05">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566F05">
        <w:rPr>
          <w:rFonts w:ascii="Georgia" w:hAnsi="Georgia" w:cs="Arial"/>
          <w:szCs w:val="24"/>
        </w:rPr>
        <w:t>De otra parte, como</w:t>
      </w:r>
      <w:r w:rsidR="00301262" w:rsidRPr="00566F05">
        <w:rPr>
          <w:rFonts w:ascii="Georgia" w:hAnsi="Georgia" w:cs="Arial"/>
          <w:szCs w:val="24"/>
        </w:rPr>
        <w:t xml:space="preserve"> causales especiales de </w:t>
      </w:r>
      <w:r w:rsidRPr="00566F05">
        <w:rPr>
          <w:rFonts w:ascii="Georgia" w:hAnsi="Georgia" w:cs="Arial"/>
          <w:szCs w:val="24"/>
        </w:rPr>
        <w:t>procedibilidad, se</w:t>
      </w:r>
      <w:r w:rsidR="00301262" w:rsidRPr="00566F05">
        <w:rPr>
          <w:rFonts w:ascii="Georgia" w:hAnsi="Georgia" w:cs="Arial"/>
          <w:szCs w:val="24"/>
        </w:rPr>
        <w:t xml:space="preserve">   han definido los siguientes: (i) Defecto orgánico, (ii) Defecto procedimental absoluto, (iii) Defecto fáctico, (iv) Error inducido, (v) Decisión sin motivación, (vi) Defecto material o sustantivo; (vii) Desconocimiento del precedente; y, por último, (</w:t>
      </w:r>
      <w:proofErr w:type="spellStart"/>
      <w:r w:rsidR="00301262" w:rsidRPr="00566F05">
        <w:rPr>
          <w:rFonts w:ascii="Georgia" w:hAnsi="Georgia" w:cs="Arial"/>
          <w:szCs w:val="24"/>
        </w:rPr>
        <w:t>viii</w:t>
      </w:r>
      <w:proofErr w:type="spellEnd"/>
      <w:r w:rsidR="00301262" w:rsidRPr="00566F05">
        <w:rPr>
          <w:rFonts w:ascii="Georgia" w:hAnsi="Georgia" w:cs="Arial"/>
          <w:szCs w:val="24"/>
        </w:rPr>
        <w:t>) violación directa de la Carta. Un sistemático recuento puede leerse en la obra de los doctores Catalina Botero Marino</w:t>
      </w:r>
      <w:r w:rsidR="00301262" w:rsidRPr="00566F05">
        <w:rPr>
          <w:rFonts w:ascii="Georgia" w:hAnsi="Georgia" w:cs="Arial"/>
          <w:szCs w:val="24"/>
          <w:vertAlign w:val="superscript"/>
        </w:rPr>
        <w:footnoteReference w:id="7"/>
      </w:r>
      <w:r w:rsidR="00301262" w:rsidRPr="00566F05">
        <w:rPr>
          <w:rFonts w:ascii="Georgia" w:hAnsi="Georgia" w:cs="Arial"/>
          <w:szCs w:val="24"/>
        </w:rPr>
        <w:t xml:space="preserve"> y Quinche Ramírez</w:t>
      </w:r>
      <w:r w:rsidR="00301262" w:rsidRPr="00566F05">
        <w:rPr>
          <w:rFonts w:ascii="Georgia" w:hAnsi="Georgia" w:cs="Arial"/>
          <w:szCs w:val="24"/>
          <w:vertAlign w:val="superscript"/>
        </w:rPr>
        <w:footnoteReference w:id="8"/>
      </w:r>
      <w:r w:rsidR="00301262" w:rsidRPr="00566F05">
        <w:rPr>
          <w:rFonts w:ascii="Georgia" w:hAnsi="Georgia" w:cs="Arial"/>
          <w:szCs w:val="24"/>
        </w:rPr>
        <w:t>.</w:t>
      </w:r>
    </w:p>
    <w:p w14:paraId="52860676" w14:textId="77777777" w:rsidR="00301262" w:rsidRPr="00566F05" w:rsidRDefault="00301262" w:rsidP="00566F05">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rPr>
      </w:pPr>
    </w:p>
    <w:p w14:paraId="07234ECD" w14:textId="1A5BAADF" w:rsidR="003A5F55" w:rsidRPr="00566F05" w:rsidRDefault="003A5F55" w:rsidP="00566F05">
      <w:pPr>
        <w:pStyle w:val="Textoindependiente"/>
        <w:numPr>
          <w:ilvl w:val="2"/>
          <w:numId w:val="18"/>
        </w:numPr>
        <w:tabs>
          <w:tab w:val="clear" w:pos="708"/>
          <w:tab w:val="left" w:pos="709"/>
        </w:tabs>
        <w:spacing w:line="276" w:lineRule="auto"/>
        <w:ind w:left="0" w:firstLine="0"/>
        <w:rPr>
          <w:rFonts w:ascii="Georgia" w:hAnsi="Georgia"/>
          <w:szCs w:val="24"/>
          <w:shd w:val="clear" w:color="auto" w:fill="FFFFFF"/>
        </w:rPr>
      </w:pPr>
      <w:r w:rsidRPr="00566F05">
        <w:rPr>
          <w:rFonts w:ascii="Georgia" w:hAnsi="Georgia" w:cs="Arial"/>
          <w:i/>
          <w:iCs/>
          <w:smallCaps/>
          <w:szCs w:val="24"/>
        </w:rPr>
        <w:t xml:space="preserve">La excepcional procedencia de amparos contras fallos de tutela. </w:t>
      </w:r>
      <w:bookmarkStart w:id="2" w:name="_Hlk79158561"/>
      <w:r w:rsidRPr="00566F05">
        <w:rPr>
          <w:rFonts w:ascii="Georgia" w:hAnsi="Georgia" w:cs="Arial"/>
          <w:szCs w:val="24"/>
        </w:rPr>
        <w:t>De vieja data la CC</w:t>
      </w:r>
      <w:r w:rsidRPr="00566F05">
        <w:rPr>
          <w:rStyle w:val="Refdenotaalpie"/>
          <w:rFonts w:ascii="Georgia" w:hAnsi="Georgia"/>
          <w:szCs w:val="24"/>
        </w:rPr>
        <w:footnoteReference w:id="9"/>
      </w:r>
      <w:r w:rsidRPr="00566F05">
        <w:rPr>
          <w:rFonts w:ascii="Georgia" w:hAnsi="Georgia" w:cs="Arial"/>
          <w:szCs w:val="24"/>
        </w:rPr>
        <w:t xml:space="preserve"> en su jurisprudencia ha sido enfática en la improcedencia general de las acciones de tutela que atacan sentencias del mismo linaje, siempre que esté pendiente la eventual revisión ante ese órgano; en efecto, refirió: </w:t>
      </w:r>
      <w:r w:rsidRPr="00566F05">
        <w:rPr>
          <w:rFonts w:ascii="Georgia" w:hAnsi="Georgia" w:cs="Arial"/>
          <w:i/>
          <w:iCs/>
          <w:szCs w:val="24"/>
        </w:rPr>
        <w:t>“</w:t>
      </w:r>
      <w:r w:rsidRPr="00FF720B">
        <w:rPr>
          <w:rFonts w:ascii="Georgia" w:hAnsi="Georgia" w:cs="Arial"/>
          <w:i/>
          <w:iCs/>
          <w:sz w:val="22"/>
          <w:szCs w:val="24"/>
        </w:rPr>
        <w:t xml:space="preserve">(…) </w:t>
      </w:r>
      <w:r w:rsidRPr="00FF720B">
        <w:rPr>
          <w:rFonts w:ascii="Georgia" w:hAnsi="Georgia"/>
          <w:i/>
          <w:iCs/>
          <w:sz w:val="22"/>
          <w:szCs w:val="24"/>
          <w:shd w:val="clear" w:color="auto" w:fill="FFFFFF"/>
        </w:rPr>
        <w:t xml:space="preserve">la Constitución definió directamente las etapas básicas del procedimiento de tutela y previó que los errores de los jueces de instancia, o inclusive sus interpretaciones de los derechos constitucionales, </w:t>
      </w:r>
      <w:r w:rsidRPr="00FF720B">
        <w:rPr>
          <w:rFonts w:ascii="Georgia" w:hAnsi="Georgia"/>
          <w:i/>
          <w:iCs/>
          <w:sz w:val="22"/>
          <w:szCs w:val="24"/>
          <w:u w:val="single"/>
          <w:shd w:val="clear" w:color="auto" w:fill="FFFFFF"/>
        </w:rPr>
        <w:t xml:space="preserve">siempre pudieran ser conocidos y corregidos por un órgano creado por él – la Corte Constitucional – y por un medio establecido </w:t>
      </w:r>
      <w:r w:rsidRPr="00FF720B">
        <w:rPr>
          <w:rFonts w:ascii="Georgia" w:hAnsi="Georgia"/>
          <w:i/>
          <w:iCs/>
          <w:sz w:val="22"/>
          <w:szCs w:val="24"/>
          <w:u w:val="single"/>
          <w:shd w:val="clear" w:color="auto" w:fill="FFFFFF"/>
        </w:rPr>
        <w:lastRenderedPageBreak/>
        <w:t>también por él – la revisión</w:t>
      </w:r>
      <w:r w:rsidRPr="00FF720B">
        <w:rPr>
          <w:rFonts w:ascii="Georgia" w:hAnsi="Georgia"/>
          <w:i/>
          <w:iCs/>
          <w:sz w:val="22"/>
          <w:szCs w:val="24"/>
          <w:shd w:val="clear" w:color="auto" w:fill="FFFFFF"/>
        </w:rPr>
        <w:t xml:space="preserve"> (…)</w:t>
      </w:r>
      <w:r w:rsidRPr="00566F05">
        <w:rPr>
          <w:rFonts w:ascii="Georgia" w:hAnsi="Georgia"/>
          <w:i/>
          <w:iCs/>
          <w:szCs w:val="24"/>
          <w:shd w:val="clear" w:color="auto" w:fill="FFFFFF"/>
        </w:rPr>
        <w:t>”</w:t>
      </w:r>
      <w:bookmarkEnd w:id="2"/>
      <w:r w:rsidRPr="00566F05">
        <w:rPr>
          <w:rFonts w:ascii="Georgia" w:hAnsi="Georgia"/>
          <w:i/>
          <w:iCs/>
          <w:szCs w:val="24"/>
          <w:shd w:val="clear" w:color="auto" w:fill="FFFFFF"/>
        </w:rPr>
        <w:t xml:space="preserve"> </w:t>
      </w:r>
      <w:r w:rsidRPr="00566F05">
        <w:rPr>
          <w:rFonts w:ascii="Georgia" w:hAnsi="Georgia"/>
          <w:szCs w:val="24"/>
          <w:shd w:val="clear" w:color="auto" w:fill="FFFFFF"/>
        </w:rPr>
        <w:t xml:space="preserve">, y más adelante precisó: </w:t>
      </w:r>
      <w:r w:rsidRPr="00566F05">
        <w:rPr>
          <w:rFonts w:ascii="Georgia" w:hAnsi="Georgia"/>
          <w:i/>
          <w:iCs/>
          <w:szCs w:val="24"/>
          <w:shd w:val="clear" w:color="auto" w:fill="FFFFFF"/>
        </w:rPr>
        <w:t>“</w:t>
      </w:r>
      <w:r w:rsidRPr="00FF720B">
        <w:rPr>
          <w:rFonts w:ascii="Georgia" w:hAnsi="Georgia"/>
          <w:i/>
          <w:iCs/>
          <w:sz w:val="22"/>
          <w:szCs w:val="24"/>
          <w:shd w:val="clear" w:color="auto" w:fill="FFFFFF"/>
        </w:rPr>
        <w:t>(…)</w:t>
      </w:r>
      <w:r w:rsidRPr="00FF720B">
        <w:rPr>
          <w:rFonts w:ascii="Georgia" w:hAnsi="Georgia"/>
          <w:sz w:val="22"/>
          <w:szCs w:val="24"/>
          <w:shd w:val="clear" w:color="auto" w:fill="FFFFFF"/>
        </w:rPr>
        <w:t xml:space="preserve"> </w:t>
      </w:r>
      <w:r w:rsidRPr="00FF720B">
        <w:rPr>
          <w:rFonts w:ascii="Georgia" w:hAnsi="Georgia"/>
          <w:i/>
          <w:iCs/>
          <w:sz w:val="22"/>
          <w:szCs w:val="24"/>
          <w:shd w:val="clear" w:color="auto" w:fill="FFFFFF"/>
        </w:rPr>
        <w:t>la institución de la revisión se erige (…) como un control específico e idóneo de los fallos de instancia que violan de manera grosera la Constitución (…)</w:t>
      </w:r>
      <w:r w:rsidRPr="00566F05">
        <w:rPr>
          <w:rFonts w:ascii="Georgia" w:hAnsi="Georgia"/>
          <w:i/>
          <w:iCs/>
          <w:szCs w:val="24"/>
          <w:shd w:val="clear" w:color="auto" w:fill="FFFFFF"/>
        </w:rPr>
        <w:t>”</w:t>
      </w:r>
      <w:r w:rsidRPr="00566F05">
        <w:rPr>
          <w:rFonts w:ascii="Georgia" w:hAnsi="Georgia"/>
          <w:szCs w:val="24"/>
          <w:shd w:val="clear" w:color="auto" w:fill="FFFFFF"/>
        </w:rPr>
        <w:t>.</w:t>
      </w:r>
    </w:p>
    <w:p w14:paraId="7092C4F1" w14:textId="77777777" w:rsidR="003A5F55" w:rsidRPr="00566F05" w:rsidRDefault="003A5F55" w:rsidP="00566F05">
      <w:pPr>
        <w:pStyle w:val="Textoindependiente"/>
        <w:spacing w:line="276" w:lineRule="auto"/>
        <w:rPr>
          <w:rFonts w:ascii="Georgia" w:hAnsi="Georgia" w:cs="Arial"/>
          <w:szCs w:val="24"/>
        </w:rPr>
      </w:pPr>
    </w:p>
    <w:p w14:paraId="499A53C7" w14:textId="77777777" w:rsidR="003A5F55" w:rsidRPr="00566F05" w:rsidRDefault="003A5F55" w:rsidP="00566F05">
      <w:pPr>
        <w:pStyle w:val="Textoindependiente"/>
        <w:spacing w:line="276" w:lineRule="auto"/>
        <w:rPr>
          <w:rFonts w:ascii="Georgia" w:hAnsi="Georgia"/>
          <w:szCs w:val="24"/>
        </w:rPr>
      </w:pPr>
      <w:r w:rsidRPr="00566F05">
        <w:rPr>
          <w:rFonts w:ascii="Georgia" w:hAnsi="Georgia" w:cs="Arial"/>
          <w:szCs w:val="24"/>
        </w:rPr>
        <w:t>Aquello, porque</w:t>
      </w:r>
      <w:r w:rsidRPr="00566F05">
        <w:rPr>
          <w:rStyle w:val="Refdenotaalpie"/>
          <w:rFonts w:ascii="Georgia" w:hAnsi="Georgia"/>
          <w:szCs w:val="24"/>
        </w:rPr>
        <w:footnoteReference w:id="10"/>
      </w:r>
      <w:r w:rsidRPr="00566F05">
        <w:rPr>
          <w:rFonts w:ascii="Georgia" w:hAnsi="Georgia" w:cs="Arial"/>
          <w:szCs w:val="24"/>
        </w:rPr>
        <w:t xml:space="preserve">: </w:t>
      </w:r>
      <w:r w:rsidRPr="00566F05">
        <w:rPr>
          <w:rFonts w:ascii="Georgia" w:hAnsi="Georgia" w:cs="Arial"/>
          <w:i/>
          <w:iCs/>
          <w:szCs w:val="24"/>
        </w:rPr>
        <w:t>“</w:t>
      </w:r>
      <w:r w:rsidRPr="00FF720B">
        <w:rPr>
          <w:rFonts w:ascii="Georgia" w:hAnsi="Georgia" w:cs="Arial"/>
          <w:i/>
          <w:iCs/>
          <w:sz w:val="22"/>
          <w:szCs w:val="24"/>
        </w:rPr>
        <w:t xml:space="preserve">(…) </w:t>
      </w:r>
      <w:r w:rsidRPr="00FF720B">
        <w:rPr>
          <w:rFonts w:ascii="Georgia" w:hAnsi="Georgia"/>
          <w:i/>
          <w:iCs/>
          <w:sz w:val="22"/>
          <w:szCs w:val="24"/>
        </w:rPr>
        <w:t>la resolución del conflicto se prolongaría indefinidamente en desmedro tanto de la seguridad jurídica como del goce efectivo de los derechos fundamentales (…)</w:t>
      </w:r>
      <w:r w:rsidRPr="00566F05">
        <w:rPr>
          <w:rFonts w:ascii="Georgia" w:hAnsi="Georgia"/>
          <w:i/>
          <w:iCs/>
          <w:szCs w:val="24"/>
        </w:rPr>
        <w:t>”</w:t>
      </w:r>
      <w:r w:rsidRPr="00566F05">
        <w:rPr>
          <w:rFonts w:ascii="Georgia" w:hAnsi="Georgia"/>
          <w:szCs w:val="24"/>
        </w:rPr>
        <w:t xml:space="preserve">; por lo tanto, diáfana es la inviabilidad de rebatir en sede de tutela decisiones que todavía no han sido objeto de revisión, pues, esa es la instancia única y definitiva que ejerce el control de las providencias que sean arbitrarias, a más de que unifica la jurisprudencia en cuanto a la interpretación de los derechos constitucionales, con efectos de cosa juzgada. </w:t>
      </w:r>
    </w:p>
    <w:p w14:paraId="408CC772" w14:textId="77777777" w:rsidR="003A5F55" w:rsidRPr="00566F05" w:rsidRDefault="003A5F55" w:rsidP="00566F05">
      <w:pPr>
        <w:pStyle w:val="Textoindependiente"/>
        <w:spacing w:line="276" w:lineRule="auto"/>
        <w:rPr>
          <w:rFonts w:ascii="Georgia" w:hAnsi="Georgia"/>
          <w:szCs w:val="24"/>
        </w:rPr>
      </w:pPr>
    </w:p>
    <w:p w14:paraId="73CC2532" w14:textId="77777777" w:rsidR="003A5F55" w:rsidRPr="00566F05" w:rsidRDefault="003A5F55" w:rsidP="00566F05">
      <w:pPr>
        <w:pStyle w:val="Textoindependiente"/>
        <w:spacing w:line="276" w:lineRule="auto"/>
        <w:rPr>
          <w:rFonts w:ascii="Georgia" w:hAnsi="Georgia"/>
          <w:i/>
          <w:iCs/>
          <w:szCs w:val="24"/>
        </w:rPr>
      </w:pPr>
      <w:r w:rsidRPr="00566F05">
        <w:rPr>
          <w:rFonts w:ascii="Georgia" w:hAnsi="Georgia"/>
          <w:szCs w:val="24"/>
        </w:rPr>
        <w:t>Además, aun cuando el artículo 33, Decreto 2591 de 1991, establece que solo los Magistrados de esa corte o el Defensor del Pueblo pueden solicitar la revisión del fallo, lo cierto es que esa Corporación también considera las peticiones de particulares en la etapa de selección</w:t>
      </w:r>
      <w:r w:rsidRPr="00566F05">
        <w:rPr>
          <w:rStyle w:val="Refdenotaalpie"/>
          <w:rFonts w:ascii="Georgia" w:hAnsi="Georgia"/>
          <w:szCs w:val="24"/>
        </w:rPr>
        <w:footnoteReference w:id="11"/>
      </w:r>
      <w:r w:rsidRPr="00566F05">
        <w:rPr>
          <w:rFonts w:ascii="Georgia" w:hAnsi="Georgia"/>
          <w:szCs w:val="24"/>
        </w:rPr>
        <w:t xml:space="preserve">: </w:t>
      </w:r>
      <w:r w:rsidRPr="00566F05">
        <w:rPr>
          <w:rFonts w:ascii="Georgia" w:hAnsi="Georgia"/>
          <w:i/>
          <w:iCs/>
          <w:szCs w:val="24"/>
        </w:rPr>
        <w:t>“</w:t>
      </w:r>
      <w:r w:rsidRPr="00FF720B">
        <w:rPr>
          <w:rFonts w:ascii="Georgia" w:hAnsi="Georgia"/>
          <w:i/>
          <w:iCs/>
          <w:sz w:val="22"/>
          <w:szCs w:val="24"/>
        </w:rPr>
        <w:t>(…) cualquier persona tiene la posibilidad de elevar una petición ante la Corte para que una determinada sentencia sea escogida porque, a su juicio, incurrió en un error, incluso si éste no tiene la entidad y la gravedad para constituir una vía de hecho (…)</w:t>
      </w:r>
      <w:r w:rsidRPr="00566F05">
        <w:rPr>
          <w:rFonts w:ascii="Georgia" w:hAnsi="Georgia"/>
          <w:i/>
          <w:iCs/>
          <w:szCs w:val="24"/>
        </w:rPr>
        <w:t>”.</w:t>
      </w:r>
    </w:p>
    <w:p w14:paraId="79BBE59F" w14:textId="77777777" w:rsidR="003A5F55" w:rsidRPr="00566F05" w:rsidRDefault="003A5F55" w:rsidP="00566F05">
      <w:pPr>
        <w:pStyle w:val="Textoindependiente"/>
        <w:spacing w:line="276" w:lineRule="auto"/>
        <w:rPr>
          <w:rFonts w:ascii="Georgia" w:hAnsi="Georgia"/>
          <w:i/>
          <w:iCs/>
          <w:szCs w:val="24"/>
        </w:rPr>
      </w:pPr>
    </w:p>
    <w:p w14:paraId="38650BB5" w14:textId="77777777" w:rsidR="003A5F55" w:rsidRPr="00566F05" w:rsidRDefault="003A5F55" w:rsidP="00566F05">
      <w:pPr>
        <w:shd w:val="clear" w:color="auto" w:fill="FFFFFF" w:themeFill="background1"/>
        <w:spacing w:line="276" w:lineRule="auto"/>
        <w:jc w:val="both"/>
        <w:textAlignment w:val="baseline"/>
        <w:rPr>
          <w:rFonts w:ascii="Georgia" w:hAnsi="Georgia" w:cs="Arial"/>
          <w:spacing w:val="-3"/>
          <w:lang w:val="es-ES_tradnl"/>
        </w:rPr>
      </w:pPr>
      <w:bookmarkStart w:id="3" w:name="_Hlk79158629"/>
      <w:r w:rsidRPr="00566F05">
        <w:rPr>
          <w:rFonts w:ascii="Georgia" w:hAnsi="Georgia" w:cs="Arial"/>
          <w:spacing w:val="-3"/>
          <w:lang w:val="es-ES_tradnl"/>
        </w:rPr>
        <w:t>Sin embargo, precisó que esa regla no es absoluta cuando se alega un fraude en las órdenes de la resolución judicial que, de comprobarse, desvirtuaría su presunción de legalidad y acierto. Importante destacar que ese reparo solo puede formularse, en sede de tutela, cuando acaezca el fenómeno de la cosa juzgada constitucional</w:t>
      </w:r>
      <w:r w:rsidRPr="00566F05">
        <w:rPr>
          <w:rStyle w:val="Refdenotaalpie"/>
          <w:rFonts w:ascii="Georgia" w:hAnsi="Georgia"/>
          <w:spacing w:val="-3"/>
          <w:lang w:val="es-ES_tradnl"/>
        </w:rPr>
        <w:footnoteReference w:id="12"/>
      </w:r>
      <w:r w:rsidRPr="00566F05">
        <w:rPr>
          <w:rFonts w:ascii="Georgia" w:hAnsi="Georgia" w:cs="Arial"/>
          <w:spacing w:val="-3"/>
          <w:lang w:val="es-ES_tradnl"/>
        </w:rPr>
        <w:t xml:space="preserve"> con ocasión de la exclusión de revisión; en caso contrario, carecería de procedencia, habida cuenta de que los interesados podrían ventilar la irregularidad directamente ante la CC mediante incidente de nulidad </w:t>
      </w:r>
      <w:bookmarkEnd w:id="3"/>
      <w:r w:rsidRPr="00566F05">
        <w:rPr>
          <w:rFonts w:ascii="Georgia" w:hAnsi="Georgia"/>
          <w:lang w:val="es-ES_tradnl"/>
        </w:rPr>
        <w:t>(Acuerdo 1º del 30 de abril de 2015, reglamento interno de la CC)</w:t>
      </w:r>
      <w:r w:rsidRPr="00566F05">
        <w:rPr>
          <w:rStyle w:val="Refdenotaalpie"/>
          <w:rFonts w:ascii="Georgia" w:hAnsi="Georgia"/>
          <w:lang w:val="es-ES_tradnl"/>
        </w:rPr>
        <w:footnoteReference w:id="13"/>
      </w:r>
      <w:r w:rsidRPr="00566F05">
        <w:rPr>
          <w:rFonts w:ascii="Georgia" w:hAnsi="Georgia"/>
          <w:lang w:val="es-ES_tradnl"/>
        </w:rPr>
        <w:t>.</w:t>
      </w:r>
    </w:p>
    <w:p w14:paraId="177EFDD7" w14:textId="77777777" w:rsidR="003A5F55" w:rsidRPr="00566F05" w:rsidRDefault="003A5F55" w:rsidP="00566F05">
      <w:pPr>
        <w:shd w:val="clear" w:color="auto" w:fill="FFFFFF"/>
        <w:spacing w:line="276" w:lineRule="auto"/>
        <w:jc w:val="both"/>
        <w:textAlignment w:val="baseline"/>
        <w:rPr>
          <w:rFonts w:ascii="Georgia" w:hAnsi="Georgia" w:cs="Arial"/>
          <w:spacing w:val="-3"/>
          <w:lang w:val="es-ES_tradnl"/>
        </w:rPr>
      </w:pPr>
    </w:p>
    <w:p w14:paraId="7DDCE7D6" w14:textId="4CC711D0" w:rsidR="003A5F55" w:rsidRDefault="003A5F55" w:rsidP="00566F05">
      <w:pPr>
        <w:shd w:val="clear" w:color="auto" w:fill="FFFFFF" w:themeFill="background1"/>
        <w:spacing w:line="276" w:lineRule="auto"/>
        <w:jc w:val="both"/>
        <w:textAlignment w:val="baseline"/>
        <w:rPr>
          <w:rFonts w:ascii="Georgia" w:hAnsi="Georgia" w:cs="Times New Roman"/>
          <w:bdr w:val="none" w:sz="0" w:space="0" w:color="auto" w:frame="1"/>
          <w:shd w:val="clear" w:color="auto" w:fill="FFFFFF"/>
          <w:lang w:val="es-ES_tradnl"/>
        </w:rPr>
      </w:pPr>
      <w:r w:rsidRPr="00566F05">
        <w:rPr>
          <w:rFonts w:ascii="Georgia" w:hAnsi="Georgia" w:cs="Arial"/>
          <w:spacing w:val="-3"/>
          <w:lang w:val="es-ES_tradnl"/>
        </w:rPr>
        <w:t>Ahora, apuntalada en ese supuesto, estatuyó cuatro (4) requisitos concomitantes, uno (1) general y tres (3) específicos, a saber (2019)</w:t>
      </w:r>
      <w:r w:rsidRPr="00566F05">
        <w:rPr>
          <w:rStyle w:val="Refdenotaalpie"/>
          <w:rFonts w:ascii="Georgia" w:hAnsi="Georgia"/>
          <w:spacing w:val="-3"/>
          <w:lang w:val="es-ES_tradnl"/>
        </w:rPr>
        <w:footnoteReference w:id="14"/>
      </w:r>
      <w:r w:rsidRPr="00566F05">
        <w:rPr>
          <w:rFonts w:ascii="Georgia" w:hAnsi="Georgia" w:cs="Arial"/>
          <w:spacing w:val="-3"/>
          <w:lang w:val="es-ES_tradnl"/>
        </w:rPr>
        <w:t xml:space="preserve">: (i) </w:t>
      </w:r>
      <w:r w:rsidRPr="00566F05">
        <w:rPr>
          <w:rFonts w:ascii="Georgia" w:hAnsi="Georgia" w:cs="Arial"/>
          <w:i/>
          <w:iCs/>
          <w:spacing w:val="-3"/>
          <w:lang w:val="es-ES_tradnl"/>
        </w:rPr>
        <w:t>“</w:t>
      </w:r>
      <w:r w:rsidRPr="00FF720B">
        <w:rPr>
          <w:rFonts w:ascii="Georgia" w:hAnsi="Georgia" w:cs="Arial"/>
          <w:i/>
          <w:iCs/>
          <w:spacing w:val="-3"/>
          <w:sz w:val="22"/>
          <w:lang w:val="es-ES_tradnl"/>
        </w:rPr>
        <w:t>(…)</w:t>
      </w:r>
      <w:r w:rsidRPr="00FF720B">
        <w:rPr>
          <w:rFonts w:ascii="Georgia" w:hAnsi="Georgia" w:cs="Arial"/>
          <w:i/>
          <w:iCs/>
          <w:spacing w:val="-3"/>
          <w:sz w:val="22"/>
          <w:u w:val="single"/>
          <w:lang w:val="es-ES_tradnl"/>
        </w:rPr>
        <w:t xml:space="preserve"> </w:t>
      </w:r>
      <w:bookmarkStart w:id="4" w:name="_Hlk48829517"/>
      <w:r w:rsidRPr="00FF720B">
        <w:rPr>
          <w:rFonts w:ascii="Georgia" w:hAnsi="Georgia"/>
          <w:i/>
          <w:iCs/>
          <w:sz w:val="22"/>
          <w:u w:val="single"/>
          <w:shd w:val="clear" w:color="auto" w:fill="FFFFFF"/>
          <w:lang w:val="es-ES_tradnl"/>
        </w:rPr>
        <w:t>estar en presencia de un proceso que formalmente ha cumplido con todos los requisitos procesales</w:t>
      </w:r>
      <w:bookmarkEnd w:id="4"/>
      <w:r w:rsidRPr="00FF720B">
        <w:rPr>
          <w:rFonts w:ascii="Georgia" w:hAnsi="Georgia"/>
          <w:i/>
          <w:iCs/>
          <w:sz w:val="22"/>
          <w:shd w:val="clear" w:color="auto" w:fill="FFFFFF"/>
          <w:lang w:val="es-ES_tradnl"/>
        </w:rPr>
        <w:t xml:space="preserve"> (…)</w:t>
      </w:r>
      <w:r w:rsidRPr="00566F05">
        <w:rPr>
          <w:rFonts w:ascii="Georgia" w:hAnsi="Georgia"/>
          <w:i/>
          <w:iCs/>
          <w:shd w:val="clear" w:color="auto" w:fill="FFFFFF"/>
          <w:lang w:val="es-ES_tradnl"/>
        </w:rPr>
        <w:t xml:space="preserve">” </w:t>
      </w:r>
      <w:r w:rsidRPr="00566F05">
        <w:rPr>
          <w:rFonts w:ascii="Georgia" w:hAnsi="Georgia"/>
          <w:shd w:val="clear" w:color="auto" w:fill="FFFFFF"/>
          <w:lang w:val="es-ES_tradnl"/>
        </w:rPr>
        <w:t>(Sentencia excluida de revisión);</w:t>
      </w:r>
      <w:r w:rsidRPr="00566F05">
        <w:rPr>
          <w:rFonts w:ascii="Georgia" w:hAnsi="Georgia"/>
          <w:i/>
          <w:iCs/>
          <w:shd w:val="clear" w:color="auto" w:fill="FFFFFF"/>
          <w:lang w:val="es-ES_tradnl"/>
        </w:rPr>
        <w:t xml:space="preserve"> </w:t>
      </w:r>
      <w:r w:rsidRPr="00566F05">
        <w:rPr>
          <w:rFonts w:ascii="Georgia" w:hAnsi="Georgia"/>
          <w:shd w:val="clear" w:color="auto" w:fill="FFFFFF"/>
          <w:lang w:val="es-ES_tradnl"/>
        </w:rPr>
        <w:t xml:space="preserve">(ii) </w:t>
      </w:r>
      <w:r w:rsidRPr="00566F05">
        <w:rPr>
          <w:rFonts w:ascii="Georgia" w:hAnsi="Georgia" w:cs="Times New Roman"/>
          <w:bdr w:val="none" w:sz="0" w:space="0" w:color="auto" w:frame="1"/>
          <w:lang w:val="es-ES_tradnl"/>
        </w:rPr>
        <w:t xml:space="preserve">La solicitud presentada no tenga identidad procesal con la sentencia atacada; (iii) La decisión que se reprocha sea </w:t>
      </w:r>
      <w:r w:rsidRPr="00566F05">
        <w:rPr>
          <w:rFonts w:ascii="Georgia" w:hAnsi="Georgia" w:cs="Times New Roman"/>
          <w:i/>
          <w:iCs/>
          <w:bdr w:val="none" w:sz="0" w:space="0" w:color="auto" w:frame="1"/>
          <w:lang w:val="es-ES_tradnl"/>
        </w:rPr>
        <w:t>“</w:t>
      </w:r>
      <w:r w:rsidRPr="00FF720B">
        <w:rPr>
          <w:rFonts w:ascii="Georgia" w:hAnsi="Georgia" w:cs="Times New Roman"/>
          <w:i/>
          <w:iCs/>
          <w:sz w:val="22"/>
          <w:bdr w:val="none" w:sz="0" w:space="0" w:color="auto" w:frame="1"/>
          <w:lang w:val="es-ES_tradnl"/>
        </w:rPr>
        <w:t xml:space="preserve">(…) </w:t>
      </w:r>
      <w:r w:rsidRPr="00FF720B">
        <w:rPr>
          <w:rFonts w:ascii="Georgia" w:hAnsi="Georgia" w:cs="Times New Roman"/>
          <w:i/>
          <w:iCs/>
          <w:sz w:val="22"/>
          <w:bdr w:val="none" w:sz="0" w:space="0" w:color="auto" w:frame="1"/>
          <w:shd w:val="clear" w:color="auto" w:fill="FFFFFF"/>
          <w:lang w:val="es-ES_tradnl"/>
        </w:rPr>
        <w:t>producto de una situación de fraude, que atenta contra el ideal de justicia presente en el derecho (…)</w:t>
      </w:r>
      <w:r w:rsidRPr="00566F05">
        <w:rPr>
          <w:rFonts w:ascii="Georgia" w:hAnsi="Georgia" w:cs="Times New Roman"/>
          <w:bdr w:val="none" w:sz="0" w:space="0" w:color="auto" w:frame="1"/>
          <w:shd w:val="clear" w:color="auto" w:fill="FFFFFF"/>
          <w:lang w:val="es-ES_tradnl"/>
        </w:rPr>
        <w:t>”; y, (iv) La inexistencia e imposibilidad de acudir a otro mecanismo legal para resolver la situación. Criterio expuesto por esta Sala de Decisión (2019)</w:t>
      </w:r>
      <w:r w:rsidRPr="00566F05">
        <w:rPr>
          <w:rStyle w:val="Refdenotaalpie"/>
          <w:rFonts w:ascii="Georgia" w:hAnsi="Georgia"/>
          <w:bdr w:val="none" w:sz="0" w:space="0" w:color="auto" w:frame="1"/>
          <w:shd w:val="clear" w:color="auto" w:fill="FFFFFF"/>
          <w:lang w:val="es-ES_tradnl"/>
        </w:rPr>
        <w:footnoteReference w:id="15"/>
      </w:r>
      <w:r w:rsidRPr="00566F05">
        <w:rPr>
          <w:rFonts w:ascii="Georgia" w:hAnsi="Georgia" w:cs="Times New Roman"/>
          <w:bdr w:val="none" w:sz="0" w:space="0" w:color="auto" w:frame="1"/>
          <w:shd w:val="clear" w:color="auto" w:fill="FFFFFF"/>
          <w:lang w:val="es-ES_tradnl"/>
        </w:rPr>
        <w:t xml:space="preserve"> y confirmado por la CSJ (2019)</w:t>
      </w:r>
      <w:r w:rsidRPr="00566F05">
        <w:rPr>
          <w:rStyle w:val="Refdenotaalpie"/>
          <w:rFonts w:ascii="Georgia" w:hAnsi="Georgia"/>
          <w:bdr w:val="none" w:sz="0" w:space="0" w:color="auto" w:frame="1"/>
          <w:shd w:val="clear" w:color="auto" w:fill="FFFFFF"/>
          <w:lang w:val="es-ES_tradnl"/>
        </w:rPr>
        <w:footnoteReference w:id="16"/>
      </w:r>
      <w:r w:rsidRPr="00566F05">
        <w:rPr>
          <w:rFonts w:ascii="Georgia" w:hAnsi="Georgia" w:cs="Times New Roman"/>
          <w:bdr w:val="none" w:sz="0" w:space="0" w:color="auto" w:frame="1"/>
          <w:shd w:val="clear" w:color="auto" w:fill="FFFFFF"/>
          <w:lang w:val="es-ES_tradnl"/>
        </w:rPr>
        <w:t>. También en reciente</w:t>
      </w:r>
      <w:r w:rsidR="00345A56" w:rsidRPr="00566F05">
        <w:rPr>
          <w:rFonts w:ascii="Georgia" w:hAnsi="Georgia" w:cs="Times New Roman"/>
          <w:bdr w:val="none" w:sz="0" w:space="0" w:color="auto" w:frame="1"/>
          <w:shd w:val="clear" w:color="auto" w:fill="FFFFFF"/>
          <w:lang w:val="es-ES_tradnl"/>
        </w:rPr>
        <w:t>s</w:t>
      </w:r>
      <w:r w:rsidRPr="00566F05">
        <w:rPr>
          <w:rFonts w:ascii="Georgia" w:hAnsi="Georgia" w:cs="Times New Roman"/>
          <w:bdr w:val="none" w:sz="0" w:space="0" w:color="auto" w:frame="1"/>
          <w:shd w:val="clear" w:color="auto" w:fill="FFFFFF"/>
          <w:lang w:val="es-ES_tradnl"/>
        </w:rPr>
        <w:t xml:space="preserve"> </w:t>
      </w:r>
      <w:r w:rsidR="00345A56" w:rsidRPr="00566F05">
        <w:rPr>
          <w:rFonts w:ascii="Georgia" w:hAnsi="Georgia" w:cs="Times New Roman"/>
          <w:bdr w:val="none" w:sz="0" w:space="0" w:color="auto" w:frame="1"/>
          <w:shd w:val="clear" w:color="auto" w:fill="FFFFFF"/>
          <w:lang w:val="es-ES_tradnl"/>
        </w:rPr>
        <w:t>decisiones de la Sala Civil – Familia de este Tribunal Superior</w:t>
      </w:r>
      <w:r w:rsidRPr="00566F05">
        <w:rPr>
          <w:rFonts w:ascii="Georgia" w:hAnsi="Georgia" w:cs="Times New Roman"/>
          <w:bdr w:val="none" w:sz="0" w:space="0" w:color="auto" w:frame="1"/>
          <w:shd w:val="clear" w:color="auto" w:fill="FFFFFF"/>
          <w:lang w:val="es-ES_tradnl"/>
        </w:rPr>
        <w:t xml:space="preserve"> (2020)</w:t>
      </w:r>
      <w:r w:rsidRPr="00566F05">
        <w:rPr>
          <w:rStyle w:val="Refdenotaalpie"/>
          <w:rFonts w:ascii="Georgia" w:hAnsi="Georgia"/>
          <w:bdr w:val="none" w:sz="0" w:space="0" w:color="auto" w:frame="1"/>
          <w:shd w:val="clear" w:color="auto" w:fill="FFFFFF"/>
          <w:lang w:val="es-ES_tradnl"/>
        </w:rPr>
        <w:footnoteReference w:id="17"/>
      </w:r>
      <w:r w:rsidRPr="00566F05">
        <w:rPr>
          <w:rFonts w:ascii="Georgia" w:hAnsi="Georgia" w:cs="Times New Roman"/>
          <w:bdr w:val="none" w:sz="0" w:space="0" w:color="auto" w:frame="1"/>
          <w:shd w:val="clear" w:color="auto" w:fill="FFFFFF"/>
          <w:lang w:val="es-ES_tradnl"/>
        </w:rPr>
        <w:t>.</w:t>
      </w:r>
    </w:p>
    <w:p w14:paraId="0C033CBF" w14:textId="77777777" w:rsidR="00E20452" w:rsidRPr="00566F05" w:rsidRDefault="00E20452" w:rsidP="00566F05">
      <w:pPr>
        <w:shd w:val="clear" w:color="auto" w:fill="FFFFFF" w:themeFill="background1"/>
        <w:spacing w:line="276" w:lineRule="auto"/>
        <w:jc w:val="both"/>
        <w:textAlignment w:val="baseline"/>
        <w:rPr>
          <w:rFonts w:ascii="Georgia" w:hAnsi="Georgia" w:cs="Times New Roman"/>
          <w:lang w:val="es-ES_tradnl"/>
        </w:rPr>
      </w:pPr>
    </w:p>
    <w:p w14:paraId="6E7253A0" w14:textId="77777777" w:rsidR="00301262" w:rsidRPr="00566F05" w:rsidRDefault="00301262" w:rsidP="00566F05">
      <w:pPr>
        <w:pStyle w:val="Textoindependiente"/>
        <w:numPr>
          <w:ilvl w:val="0"/>
          <w:numId w:val="18"/>
        </w:numPr>
        <w:tabs>
          <w:tab w:val="clear" w:pos="0"/>
        </w:tabs>
        <w:spacing w:line="276" w:lineRule="auto"/>
        <w:rPr>
          <w:rFonts w:ascii="Georgia" w:hAnsi="Georgia"/>
          <w:b/>
          <w:bCs/>
          <w:smallCaps/>
          <w:szCs w:val="24"/>
        </w:rPr>
      </w:pPr>
      <w:r w:rsidRPr="00566F05">
        <w:rPr>
          <w:rFonts w:ascii="Georgia" w:hAnsi="Georgia"/>
          <w:b/>
          <w:bCs/>
          <w:smallCaps/>
          <w:szCs w:val="24"/>
        </w:rPr>
        <w:lastRenderedPageBreak/>
        <w:t>El caso concreto que se analiza</w:t>
      </w:r>
    </w:p>
    <w:p w14:paraId="32FF1DA8" w14:textId="77777777" w:rsidR="00301262" w:rsidRPr="00566F05" w:rsidRDefault="00301262" w:rsidP="00566F05">
      <w:pPr>
        <w:pStyle w:val="Textoindependiente"/>
        <w:spacing w:line="276" w:lineRule="auto"/>
        <w:ind w:left="720"/>
        <w:rPr>
          <w:rFonts w:ascii="Georgia" w:hAnsi="Georgia"/>
          <w:szCs w:val="24"/>
        </w:rPr>
      </w:pPr>
    </w:p>
    <w:p w14:paraId="75569704" w14:textId="77777777" w:rsidR="00345A56" w:rsidRPr="00566F05" w:rsidRDefault="00345A56" w:rsidP="00566F05">
      <w:pPr>
        <w:pStyle w:val="Textoindependiente"/>
        <w:spacing w:line="276" w:lineRule="auto"/>
        <w:rPr>
          <w:rFonts w:ascii="Georgia" w:hAnsi="Georgia" w:cs="Arial"/>
          <w:szCs w:val="24"/>
        </w:rPr>
      </w:pPr>
      <w:r w:rsidRPr="00566F05">
        <w:rPr>
          <w:rFonts w:ascii="Georgia" w:hAnsi="Georgia" w:cs="Arial"/>
          <w:szCs w:val="24"/>
        </w:rPr>
        <w:t>Dado que los requisitos generales de procedibilidad son concurrentes, esto es, incumplido uno, se torna inane el examen de los demás, menos podrían revisarse los supuestos especiales, el análisis que sigue se concentrará en el referente a que no se trate de tutela contra fallo de tutela, porque es el elemento que se echa de menos y resulta suficiente para su fracaso.</w:t>
      </w:r>
    </w:p>
    <w:p w14:paraId="21F836EE" w14:textId="77777777" w:rsidR="00301262" w:rsidRPr="00566F05" w:rsidRDefault="00301262" w:rsidP="00566F05">
      <w:pPr>
        <w:pStyle w:val="Textoindependiente"/>
        <w:spacing w:line="276" w:lineRule="auto"/>
        <w:rPr>
          <w:rFonts w:ascii="Georgia" w:hAnsi="Georgia" w:cs="Arial"/>
          <w:szCs w:val="24"/>
          <w:lang w:eastAsia="es-CO"/>
        </w:rPr>
      </w:pPr>
    </w:p>
    <w:p w14:paraId="6C2BBF25" w14:textId="150E9A29" w:rsidR="00345A56" w:rsidRPr="00566F05" w:rsidRDefault="00345A56" w:rsidP="00566F05">
      <w:pPr>
        <w:pStyle w:val="Textoindependiente"/>
        <w:spacing w:line="276" w:lineRule="auto"/>
        <w:rPr>
          <w:rFonts w:ascii="Georgia" w:hAnsi="Georgia" w:cs="Verdana"/>
          <w:spacing w:val="0"/>
          <w:szCs w:val="24"/>
        </w:rPr>
      </w:pPr>
      <w:r w:rsidRPr="00566F05">
        <w:rPr>
          <w:rFonts w:ascii="Georgia" w:hAnsi="Georgia" w:cs="Arial"/>
          <w:szCs w:val="24"/>
        </w:rPr>
        <w:t xml:space="preserve">Revisado el acervo probatorio, se tiene que la sentencia de tutela de segunda instancia aún no ha sido objeto de revisión por la CC </w:t>
      </w:r>
      <w:r w:rsidRPr="00566F05">
        <w:rPr>
          <w:rFonts w:ascii="Georgia" w:hAnsi="Georgia" w:cs="Verdana"/>
          <w:spacing w:val="0"/>
          <w:szCs w:val="24"/>
        </w:rPr>
        <w:t>(Cuaderno No.1, documento No.10)</w:t>
      </w:r>
      <w:r w:rsidRPr="00566F05">
        <w:rPr>
          <w:rFonts w:ascii="Georgia" w:hAnsi="Georgia" w:cs="Arial"/>
          <w:szCs w:val="24"/>
        </w:rPr>
        <w:t xml:space="preserve">, es decir, pende que haga tránsito a cosa juzgada constitucional </w:t>
      </w:r>
      <w:r w:rsidRPr="00566F05">
        <w:rPr>
          <w:rFonts w:ascii="Georgia" w:hAnsi="Georgia" w:cs="Verdana"/>
          <w:spacing w:val="0"/>
          <w:szCs w:val="24"/>
        </w:rPr>
        <w:t>(Art.33, D.2591/1991)</w:t>
      </w:r>
      <w:r w:rsidRPr="00566F05">
        <w:rPr>
          <w:rFonts w:ascii="Georgia" w:hAnsi="Georgia" w:cs="Arial"/>
          <w:szCs w:val="24"/>
        </w:rPr>
        <w:t xml:space="preserve">; entonces, sin ambages se </w:t>
      </w:r>
      <w:r w:rsidRPr="00566F05">
        <w:rPr>
          <w:rFonts w:ascii="Georgia" w:hAnsi="Georgia" w:cs="Verdana"/>
          <w:spacing w:val="0"/>
          <w:szCs w:val="24"/>
        </w:rPr>
        <w:t>colige que la presente acción es improcedente. Innecesario verificar los presupuestos frente a decisiones fraudulentas porque, como se anotó, el mecanismo solo procede cuando el proceso está formalmente agotado, con exclusión de revisión de la CC</w:t>
      </w:r>
      <w:r w:rsidRPr="00566F05">
        <w:rPr>
          <w:rFonts w:ascii="Georgia" w:hAnsi="Georgia"/>
          <w:i/>
          <w:iCs/>
          <w:szCs w:val="24"/>
          <w:shd w:val="clear" w:color="auto" w:fill="FFFFFF"/>
        </w:rPr>
        <w:t>.</w:t>
      </w:r>
    </w:p>
    <w:p w14:paraId="6550DBC3" w14:textId="77777777" w:rsidR="00345A56" w:rsidRPr="00566F05" w:rsidRDefault="00345A56" w:rsidP="00566F05">
      <w:pPr>
        <w:pStyle w:val="Textoindependiente"/>
        <w:spacing w:line="276" w:lineRule="auto"/>
        <w:rPr>
          <w:rFonts w:ascii="Georgia" w:hAnsi="Georgia" w:cs="Verdana"/>
          <w:spacing w:val="0"/>
          <w:szCs w:val="24"/>
        </w:rPr>
      </w:pPr>
    </w:p>
    <w:p w14:paraId="6918B2B3" w14:textId="30423357" w:rsidR="00301262" w:rsidRPr="00566F05" w:rsidRDefault="00345A56" w:rsidP="00566F05">
      <w:pPr>
        <w:pStyle w:val="Textoindependiente"/>
        <w:spacing w:line="276" w:lineRule="auto"/>
        <w:rPr>
          <w:rFonts w:ascii="Georgia" w:hAnsi="Georgia" w:cs="Verdana"/>
          <w:spacing w:val="0"/>
          <w:szCs w:val="24"/>
        </w:rPr>
      </w:pPr>
      <w:r w:rsidRPr="00566F05">
        <w:rPr>
          <w:rFonts w:ascii="Georgia" w:hAnsi="Georgia" w:cs="Verdana"/>
          <w:spacing w:val="0"/>
          <w:szCs w:val="24"/>
        </w:rPr>
        <w:t>De otro lado, se descarta el análisis de procedencia sobre la gestión procesal en la medida en que es inexistente cuestionamiento alguno referente a actuaciones previas y/o posteriores a la sentencia</w:t>
      </w:r>
      <w:r w:rsidRPr="00566F05">
        <w:rPr>
          <w:rStyle w:val="Refdenotaalpie"/>
          <w:rFonts w:ascii="Georgia" w:hAnsi="Georgia"/>
          <w:spacing w:val="0"/>
          <w:szCs w:val="24"/>
        </w:rPr>
        <w:footnoteReference w:id="18"/>
      </w:r>
      <w:r w:rsidRPr="00566F05">
        <w:rPr>
          <w:rFonts w:ascii="Georgia" w:hAnsi="Georgia" w:cs="Verdana"/>
          <w:spacing w:val="0"/>
          <w:szCs w:val="24"/>
        </w:rPr>
        <w:t>, esto es, que los juzgados que conocieron el amparo hayan: (i) dejado de vincular a un tercero interesado; (ii) negado el derecho a impugnar; o, (iii) trasgredieron el debido proceso en los trámites de cumplimiento e incidental de desacato.</w:t>
      </w:r>
    </w:p>
    <w:p w14:paraId="76B84FC4" w14:textId="77777777" w:rsidR="00345A56" w:rsidRPr="00566F05" w:rsidRDefault="00345A56" w:rsidP="00566F05">
      <w:pPr>
        <w:pStyle w:val="Textoindependiente"/>
        <w:spacing w:line="276" w:lineRule="auto"/>
        <w:rPr>
          <w:rFonts w:ascii="Georgia" w:hAnsi="Georgia" w:cs="Arial"/>
          <w:szCs w:val="24"/>
        </w:rPr>
      </w:pPr>
    </w:p>
    <w:p w14:paraId="738C634D" w14:textId="7D9268B9" w:rsidR="00301262" w:rsidRPr="00566F05" w:rsidRDefault="00301262" w:rsidP="00566F05">
      <w:pPr>
        <w:pStyle w:val="Textoindependiente"/>
        <w:spacing w:line="276" w:lineRule="auto"/>
        <w:rPr>
          <w:rFonts w:ascii="Georgia" w:hAnsi="Georgia" w:cs="Arial"/>
          <w:szCs w:val="24"/>
        </w:rPr>
      </w:pPr>
      <w:r w:rsidRPr="00566F05">
        <w:rPr>
          <w:rFonts w:ascii="Georgia" w:hAnsi="Georgia" w:cs="Arial"/>
          <w:szCs w:val="24"/>
        </w:rPr>
        <w:t xml:space="preserve">En mérito de lo expuesto, el </w:t>
      </w:r>
      <w:r w:rsidRPr="00566F05">
        <w:rPr>
          <w:rFonts w:ascii="Georgia" w:hAnsi="Georgia" w:cs="Arial"/>
          <w:bCs/>
          <w:smallCaps/>
          <w:szCs w:val="24"/>
        </w:rPr>
        <w:t xml:space="preserve">Tribunal Superior del Distrito Judicial de Pereira, Sala </w:t>
      </w:r>
      <w:r w:rsidR="00FD65D5" w:rsidRPr="00566F05">
        <w:rPr>
          <w:rFonts w:ascii="Georgia" w:hAnsi="Georgia" w:cs="Arial"/>
          <w:bCs/>
          <w:smallCaps/>
          <w:szCs w:val="24"/>
        </w:rPr>
        <w:t xml:space="preserve">4ª </w:t>
      </w:r>
      <w:r w:rsidRPr="00566F05">
        <w:rPr>
          <w:rFonts w:ascii="Georgia" w:hAnsi="Georgia" w:cs="Arial"/>
          <w:bCs/>
          <w:smallCaps/>
          <w:szCs w:val="24"/>
        </w:rPr>
        <w:t>de</w:t>
      </w:r>
      <w:r w:rsidR="00FD65D5" w:rsidRPr="00566F05">
        <w:rPr>
          <w:rFonts w:ascii="Georgia" w:hAnsi="Georgia" w:cs="Arial"/>
          <w:bCs/>
          <w:smallCaps/>
          <w:szCs w:val="24"/>
        </w:rPr>
        <w:t xml:space="preserve"> Asuntos Penales PARA Adolescentes</w:t>
      </w:r>
      <w:r w:rsidRPr="00566F05">
        <w:rPr>
          <w:rFonts w:ascii="Georgia" w:hAnsi="Georgia" w:cs="Arial"/>
          <w:szCs w:val="24"/>
        </w:rPr>
        <w:t>, administrando Justicia, en nombre de la República y por autoridad de la Ley,</w:t>
      </w:r>
    </w:p>
    <w:p w14:paraId="6BCA7EDA" w14:textId="77777777" w:rsidR="00301262" w:rsidRPr="00566F05" w:rsidRDefault="00301262" w:rsidP="00566F05">
      <w:pPr>
        <w:pStyle w:val="Textoindependiente"/>
        <w:spacing w:line="276" w:lineRule="auto"/>
        <w:rPr>
          <w:rFonts w:ascii="Georgia" w:hAnsi="Georgia" w:cs="Arial"/>
          <w:bCs/>
          <w:smallCaps/>
          <w:szCs w:val="24"/>
        </w:rPr>
      </w:pPr>
    </w:p>
    <w:p w14:paraId="52715107" w14:textId="77777777" w:rsidR="00301262" w:rsidRPr="00566F05" w:rsidRDefault="00301262" w:rsidP="00566F05">
      <w:pPr>
        <w:pStyle w:val="Textoindependiente"/>
        <w:spacing w:line="276" w:lineRule="auto"/>
        <w:jc w:val="center"/>
        <w:rPr>
          <w:rFonts w:ascii="Georgia" w:hAnsi="Georgia" w:cs="Arial"/>
          <w:bCs/>
          <w:smallCaps/>
          <w:szCs w:val="24"/>
        </w:rPr>
      </w:pPr>
      <w:r w:rsidRPr="00566F05">
        <w:rPr>
          <w:rFonts w:ascii="Georgia" w:hAnsi="Georgia" w:cs="Arial"/>
          <w:bCs/>
          <w:smallCaps/>
          <w:szCs w:val="24"/>
        </w:rPr>
        <w:t xml:space="preserve">F A L </w:t>
      </w:r>
      <w:proofErr w:type="spellStart"/>
      <w:r w:rsidRPr="00566F05">
        <w:rPr>
          <w:rFonts w:ascii="Georgia" w:hAnsi="Georgia" w:cs="Arial"/>
          <w:bCs/>
          <w:smallCaps/>
          <w:szCs w:val="24"/>
        </w:rPr>
        <w:t>L</w:t>
      </w:r>
      <w:proofErr w:type="spellEnd"/>
      <w:r w:rsidRPr="00566F05">
        <w:rPr>
          <w:rFonts w:ascii="Georgia" w:hAnsi="Georgia" w:cs="Arial"/>
          <w:bCs/>
          <w:smallCaps/>
          <w:szCs w:val="24"/>
        </w:rPr>
        <w:t xml:space="preserve"> A,</w:t>
      </w:r>
    </w:p>
    <w:p w14:paraId="603E5FAB" w14:textId="77777777" w:rsidR="00301262" w:rsidRPr="00566F05" w:rsidRDefault="00301262" w:rsidP="00566F05">
      <w:pPr>
        <w:pStyle w:val="Textoindependiente"/>
        <w:spacing w:line="276" w:lineRule="auto"/>
        <w:jc w:val="center"/>
        <w:rPr>
          <w:rFonts w:ascii="Georgia" w:hAnsi="Georgia" w:cs="Arial"/>
          <w:bCs/>
          <w:smallCaps/>
          <w:szCs w:val="24"/>
        </w:rPr>
      </w:pPr>
    </w:p>
    <w:p w14:paraId="53E91310" w14:textId="75E529C8" w:rsidR="00301262" w:rsidRPr="00566F05" w:rsidRDefault="00301262" w:rsidP="00566F05">
      <w:pPr>
        <w:pStyle w:val="Textoindependiente"/>
        <w:numPr>
          <w:ilvl w:val="0"/>
          <w:numId w:val="6"/>
        </w:numPr>
        <w:tabs>
          <w:tab w:val="clear" w:pos="720"/>
        </w:tabs>
        <w:spacing w:line="276" w:lineRule="auto"/>
        <w:ind w:left="284"/>
        <w:rPr>
          <w:rFonts w:ascii="Georgia" w:hAnsi="Georgia" w:cs="Arial"/>
          <w:szCs w:val="24"/>
        </w:rPr>
      </w:pPr>
      <w:r w:rsidRPr="00566F05">
        <w:rPr>
          <w:rFonts w:ascii="Georgia" w:hAnsi="Georgia" w:cs="Arial"/>
          <w:szCs w:val="24"/>
        </w:rPr>
        <w:t xml:space="preserve">DECLARAR </w:t>
      </w:r>
      <w:r w:rsidR="00345A56" w:rsidRPr="00566F05">
        <w:rPr>
          <w:rFonts w:ascii="Georgia" w:hAnsi="Georgia" w:cs="Arial"/>
          <w:szCs w:val="24"/>
        </w:rPr>
        <w:t xml:space="preserve">improcedente la tutela </w:t>
      </w:r>
      <w:r w:rsidRPr="00566F05">
        <w:rPr>
          <w:rFonts w:ascii="Georgia" w:hAnsi="Georgia" w:cs="Arial"/>
          <w:szCs w:val="24"/>
        </w:rPr>
        <w:t>formulad</w:t>
      </w:r>
      <w:r w:rsidR="00345A56" w:rsidRPr="00566F05">
        <w:rPr>
          <w:rFonts w:ascii="Georgia" w:hAnsi="Georgia" w:cs="Arial"/>
          <w:szCs w:val="24"/>
        </w:rPr>
        <w:t>a</w:t>
      </w:r>
      <w:r w:rsidRPr="00566F05">
        <w:rPr>
          <w:rFonts w:ascii="Georgia" w:hAnsi="Georgia" w:cs="Arial"/>
          <w:szCs w:val="24"/>
        </w:rPr>
        <w:t xml:space="preserve"> por el señor </w:t>
      </w:r>
      <w:r w:rsidR="00345A56" w:rsidRPr="00566F05">
        <w:rPr>
          <w:rFonts w:ascii="Georgia" w:hAnsi="Georgia" w:cs="Arial"/>
          <w:szCs w:val="24"/>
        </w:rPr>
        <w:t xml:space="preserve">Gerson Fredy Ruiz Londoño </w:t>
      </w:r>
      <w:r w:rsidRPr="00566F05">
        <w:rPr>
          <w:rFonts w:ascii="Georgia" w:hAnsi="Georgia" w:cs="Arial"/>
          <w:szCs w:val="24"/>
        </w:rPr>
        <w:t xml:space="preserve">contra </w:t>
      </w:r>
      <w:r w:rsidR="00FD65D5" w:rsidRPr="00566F05">
        <w:rPr>
          <w:rFonts w:ascii="Georgia" w:hAnsi="Georgia" w:cs="Arial"/>
          <w:szCs w:val="24"/>
        </w:rPr>
        <w:t>los</w:t>
      </w:r>
      <w:r w:rsidR="00FD65D5" w:rsidRPr="00566F05">
        <w:rPr>
          <w:rFonts w:ascii="Georgia" w:hAnsi="Georgia" w:cs="Arial"/>
          <w:spacing w:val="3"/>
          <w:szCs w:val="24"/>
        </w:rPr>
        <w:t xml:space="preserve"> Juzgados 1º Penal del Circuito para Adolescentes con Función de Conocimiento y 1º Penal Municipal para Adolescentes con Función de Control de Garantías de Pereira, porque ataca fallos de tutela</w:t>
      </w:r>
      <w:r w:rsidR="00502909" w:rsidRPr="00566F05">
        <w:rPr>
          <w:rFonts w:ascii="Georgia" w:hAnsi="Georgia" w:cs="Arial"/>
          <w:szCs w:val="24"/>
        </w:rPr>
        <w:t>.</w:t>
      </w:r>
    </w:p>
    <w:p w14:paraId="2F8D34E4" w14:textId="77777777" w:rsidR="00301262" w:rsidRPr="00566F05" w:rsidRDefault="00301262" w:rsidP="00566F05">
      <w:pPr>
        <w:pStyle w:val="Textoindependiente"/>
        <w:tabs>
          <w:tab w:val="clear" w:pos="708"/>
        </w:tabs>
        <w:spacing w:line="276" w:lineRule="auto"/>
        <w:ind w:left="284"/>
        <w:rPr>
          <w:rFonts w:ascii="Georgia" w:hAnsi="Georgia" w:cs="Arial"/>
          <w:szCs w:val="24"/>
        </w:rPr>
      </w:pPr>
    </w:p>
    <w:p w14:paraId="0BFA4B78" w14:textId="5732CDC4" w:rsidR="00BB7438" w:rsidRPr="00566F05" w:rsidRDefault="00301262" w:rsidP="00566F05">
      <w:pPr>
        <w:pStyle w:val="Textoindependiente"/>
        <w:numPr>
          <w:ilvl w:val="0"/>
          <w:numId w:val="6"/>
        </w:numPr>
        <w:tabs>
          <w:tab w:val="clear" w:pos="720"/>
          <w:tab w:val="num" w:pos="360"/>
        </w:tabs>
        <w:spacing w:line="276" w:lineRule="auto"/>
        <w:ind w:left="360"/>
        <w:rPr>
          <w:rFonts w:ascii="Georgia" w:hAnsi="Georgia" w:cs="Arial"/>
          <w:szCs w:val="24"/>
        </w:rPr>
      </w:pPr>
      <w:r w:rsidRPr="00566F05">
        <w:rPr>
          <w:rFonts w:ascii="Georgia" w:hAnsi="Georgia" w:cs="Arial"/>
          <w:szCs w:val="24"/>
        </w:rPr>
        <w:t xml:space="preserve">REMITIR el asunto, a la CC para su eventual revisión y </w:t>
      </w:r>
      <w:r w:rsidRPr="00566F05">
        <w:rPr>
          <w:rFonts w:ascii="Georgia" w:hAnsi="Georgia" w:cs="Arial"/>
          <w:bCs/>
          <w:szCs w:val="24"/>
        </w:rPr>
        <w:t xml:space="preserve">ARCHIVAR </w:t>
      </w:r>
      <w:r w:rsidRPr="00566F05">
        <w:rPr>
          <w:rFonts w:ascii="Georgia" w:hAnsi="Georgia" w:cs="Arial"/>
          <w:szCs w:val="24"/>
        </w:rPr>
        <w:t xml:space="preserve">el expediente, previas anotaciones en los libros </w:t>
      </w:r>
      <w:proofErr w:type="spellStart"/>
      <w:r w:rsidRPr="00566F05">
        <w:rPr>
          <w:rFonts w:ascii="Georgia" w:hAnsi="Georgia" w:cs="Arial"/>
          <w:szCs w:val="24"/>
        </w:rPr>
        <w:t>radicadores</w:t>
      </w:r>
      <w:proofErr w:type="spellEnd"/>
      <w:r w:rsidRPr="00566F05">
        <w:rPr>
          <w:rFonts w:ascii="Georgia" w:hAnsi="Georgia" w:cs="Arial"/>
          <w:szCs w:val="24"/>
        </w:rPr>
        <w:t>.</w:t>
      </w:r>
    </w:p>
    <w:p w14:paraId="21A53AD1" w14:textId="77777777" w:rsidR="00D834CC" w:rsidRPr="00566F05" w:rsidRDefault="00D834CC" w:rsidP="00566F05">
      <w:pPr>
        <w:pStyle w:val="Textoindependiente"/>
        <w:spacing w:line="276" w:lineRule="auto"/>
        <w:jc w:val="center"/>
        <w:rPr>
          <w:rFonts w:ascii="Georgia" w:hAnsi="Georgia" w:cs="Arial"/>
          <w:smallCaps/>
          <w:szCs w:val="24"/>
        </w:rPr>
      </w:pPr>
    </w:p>
    <w:p w14:paraId="4EB2BA33" w14:textId="578E9F92" w:rsidR="00D834CC" w:rsidRPr="00566F05" w:rsidRDefault="00D834CC" w:rsidP="00566F05">
      <w:pPr>
        <w:pStyle w:val="Textoindependiente"/>
        <w:spacing w:line="276" w:lineRule="auto"/>
        <w:jc w:val="center"/>
        <w:rPr>
          <w:rFonts w:ascii="Georgia" w:hAnsi="Georgia" w:cs="Arial"/>
          <w:smallCaps/>
          <w:szCs w:val="24"/>
        </w:rPr>
      </w:pPr>
      <w:r w:rsidRPr="00566F05">
        <w:rPr>
          <w:rFonts w:ascii="Georgia" w:hAnsi="Georgia" w:cs="Arial"/>
          <w:smallCaps/>
          <w:szCs w:val="24"/>
        </w:rPr>
        <w:t>Notifíquese,</w:t>
      </w:r>
    </w:p>
    <w:p w14:paraId="312A4FF4" w14:textId="77777777" w:rsidR="00566F05" w:rsidRPr="00566F05" w:rsidRDefault="00566F05" w:rsidP="00566F05">
      <w:pPr>
        <w:widowControl/>
        <w:overflowPunct w:val="0"/>
        <w:spacing w:line="276" w:lineRule="auto"/>
        <w:jc w:val="center"/>
        <w:textAlignment w:val="baseline"/>
        <w:rPr>
          <w:rFonts w:ascii="Georgia" w:hAnsi="Georgia" w:cs="Arial"/>
          <w:bCs/>
          <w:caps/>
          <w:w w:val="150"/>
          <w:sz w:val="28"/>
          <w:szCs w:val="18"/>
          <w:lang w:val="es-MX"/>
        </w:rPr>
      </w:pPr>
      <w:bookmarkStart w:id="5" w:name="_Hlk76974190"/>
    </w:p>
    <w:p w14:paraId="3F4A0A60" w14:textId="77777777" w:rsidR="00566F05" w:rsidRPr="00566F05" w:rsidRDefault="00566F05" w:rsidP="00566F05">
      <w:pPr>
        <w:widowControl/>
        <w:overflowPunct w:val="0"/>
        <w:spacing w:line="276" w:lineRule="auto"/>
        <w:jc w:val="center"/>
        <w:textAlignment w:val="baseline"/>
        <w:rPr>
          <w:rFonts w:ascii="Georgia" w:hAnsi="Georgia" w:cs="Arial"/>
          <w:bCs/>
          <w:caps/>
          <w:w w:val="150"/>
          <w:sz w:val="28"/>
          <w:szCs w:val="18"/>
          <w:lang w:val="es-MX"/>
        </w:rPr>
      </w:pPr>
    </w:p>
    <w:p w14:paraId="167CCA56" w14:textId="77777777" w:rsidR="00566F05" w:rsidRPr="00566F05" w:rsidRDefault="00566F05" w:rsidP="00566F05">
      <w:pPr>
        <w:widowControl/>
        <w:overflowPunct w:val="0"/>
        <w:spacing w:line="276" w:lineRule="auto"/>
        <w:jc w:val="center"/>
        <w:textAlignment w:val="baseline"/>
        <w:rPr>
          <w:rFonts w:ascii="Georgia" w:hAnsi="Georgia" w:cs="Arial"/>
          <w:b/>
          <w:bCs/>
          <w:caps/>
          <w:spacing w:val="20"/>
          <w:w w:val="150"/>
          <w:sz w:val="22"/>
          <w:szCs w:val="18"/>
          <w:lang w:val="es-MX"/>
        </w:rPr>
      </w:pPr>
      <w:r w:rsidRPr="00566F05">
        <w:rPr>
          <w:rFonts w:ascii="Georgia" w:hAnsi="Georgia" w:cs="Arial"/>
          <w:b/>
          <w:bCs/>
          <w:caps/>
          <w:spacing w:val="20"/>
          <w:w w:val="150"/>
          <w:szCs w:val="18"/>
          <w:lang w:val="es-MX"/>
        </w:rPr>
        <w:t>D</w:t>
      </w:r>
      <w:r w:rsidRPr="00566F05">
        <w:rPr>
          <w:rFonts w:ascii="Georgia" w:hAnsi="Georgia" w:cs="Arial"/>
          <w:b/>
          <w:bCs/>
          <w:caps/>
          <w:spacing w:val="20"/>
          <w:w w:val="150"/>
          <w:sz w:val="16"/>
          <w:szCs w:val="18"/>
          <w:lang w:val="es-MX"/>
        </w:rPr>
        <w:t>UBERNEY</w:t>
      </w:r>
      <w:r w:rsidRPr="00566F05">
        <w:rPr>
          <w:rFonts w:ascii="Georgia" w:hAnsi="Georgia" w:cs="Arial"/>
          <w:b/>
          <w:bCs/>
          <w:caps/>
          <w:spacing w:val="20"/>
          <w:w w:val="150"/>
          <w:sz w:val="20"/>
          <w:szCs w:val="18"/>
          <w:lang w:val="es-MX"/>
        </w:rPr>
        <w:t xml:space="preserve"> </w:t>
      </w:r>
      <w:r w:rsidRPr="00566F05">
        <w:rPr>
          <w:rFonts w:ascii="Georgia" w:hAnsi="Georgia" w:cs="Arial"/>
          <w:b/>
          <w:bCs/>
          <w:caps/>
          <w:spacing w:val="20"/>
          <w:w w:val="150"/>
          <w:szCs w:val="18"/>
          <w:lang w:val="es-MX"/>
        </w:rPr>
        <w:t>G</w:t>
      </w:r>
      <w:r w:rsidRPr="00566F05">
        <w:rPr>
          <w:rFonts w:ascii="Georgia" w:hAnsi="Georgia" w:cs="Arial"/>
          <w:b/>
          <w:bCs/>
          <w:caps/>
          <w:spacing w:val="20"/>
          <w:w w:val="150"/>
          <w:sz w:val="16"/>
          <w:szCs w:val="18"/>
          <w:lang w:val="es-MX"/>
        </w:rPr>
        <w:t>RISALES</w:t>
      </w:r>
      <w:r w:rsidRPr="00566F05">
        <w:rPr>
          <w:rFonts w:ascii="Georgia" w:hAnsi="Georgia" w:cs="Arial"/>
          <w:b/>
          <w:bCs/>
          <w:caps/>
          <w:spacing w:val="20"/>
          <w:w w:val="150"/>
          <w:sz w:val="20"/>
          <w:szCs w:val="18"/>
          <w:lang w:val="es-MX"/>
        </w:rPr>
        <w:t xml:space="preserve"> </w:t>
      </w:r>
      <w:r w:rsidRPr="00566F05">
        <w:rPr>
          <w:rFonts w:ascii="Georgia" w:hAnsi="Georgia" w:cs="Arial"/>
          <w:b/>
          <w:bCs/>
          <w:caps/>
          <w:spacing w:val="20"/>
          <w:w w:val="150"/>
          <w:szCs w:val="18"/>
          <w:lang w:val="es-MX"/>
        </w:rPr>
        <w:t>H</w:t>
      </w:r>
      <w:r w:rsidRPr="00566F05">
        <w:rPr>
          <w:rFonts w:ascii="Georgia" w:hAnsi="Georgia" w:cs="Arial"/>
          <w:b/>
          <w:bCs/>
          <w:caps/>
          <w:spacing w:val="20"/>
          <w:w w:val="150"/>
          <w:sz w:val="16"/>
          <w:szCs w:val="18"/>
          <w:lang w:val="es-MX"/>
        </w:rPr>
        <w:t>ERRERA</w:t>
      </w:r>
    </w:p>
    <w:p w14:paraId="4C6B0754" w14:textId="77777777" w:rsidR="00566F05" w:rsidRPr="00566F05" w:rsidRDefault="00566F05" w:rsidP="00566F05">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566F05">
        <w:rPr>
          <w:rFonts w:ascii="Georgia" w:hAnsi="Georgia" w:cs="Arial"/>
          <w:bCs/>
          <w:caps/>
          <w:spacing w:val="20"/>
          <w:w w:val="150"/>
          <w:kern w:val="28"/>
          <w:sz w:val="28"/>
          <w:szCs w:val="22"/>
        </w:rPr>
        <w:t>M</w:t>
      </w:r>
      <w:r w:rsidRPr="00566F05">
        <w:rPr>
          <w:rFonts w:ascii="Georgia" w:hAnsi="Georgia" w:cs="Arial"/>
          <w:bCs/>
          <w:caps/>
          <w:spacing w:val="20"/>
          <w:w w:val="150"/>
          <w:kern w:val="28"/>
          <w:sz w:val="18"/>
          <w:szCs w:val="18"/>
        </w:rPr>
        <w:t>agistrado</w:t>
      </w:r>
    </w:p>
    <w:p w14:paraId="4105034C" w14:textId="77777777" w:rsidR="00566F05" w:rsidRPr="00566F05" w:rsidRDefault="00566F05" w:rsidP="00566F05">
      <w:pPr>
        <w:widowControl/>
        <w:overflowPunct w:val="0"/>
        <w:spacing w:line="276" w:lineRule="auto"/>
        <w:textAlignment w:val="baseline"/>
        <w:rPr>
          <w:rFonts w:ascii="Georgia" w:hAnsi="Georgia" w:cs="Arial"/>
          <w:caps/>
          <w:spacing w:val="20"/>
          <w:w w:val="150"/>
          <w:sz w:val="28"/>
          <w:szCs w:val="28"/>
          <w:lang w:val="es-MX"/>
        </w:rPr>
      </w:pPr>
    </w:p>
    <w:p w14:paraId="785C5605" w14:textId="77777777" w:rsidR="00566F05" w:rsidRPr="00566F05" w:rsidRDefault="00566F05" w:rsidP="00566F05">
      <w:pPr>
        <w:widowControl/>
        <w:overflowPunct w:val="0"/>
        <w:spacing w:line="276" w:lineRule="auto"/>
        <w:textAlignment w:val="baseline"/>
        <w:rPr>
          <w:rFonts w:ascii="Georgia" w:hAnsi="Georgia" w:cs="Arial"/>
          <w:caps/>
          <w:spacing w:val="20"/>
          <w:w w:val="150"/>
          <w:sz w:val="28"/>
          <w:szCs w:val="28"/>
          <w:lang w:val="es-MX"/>
        </w:rPr>
      </w:pPr>
    </w:p>
    <w:p w14:paraId="095CEEBD" w14:textId="1C9965B4" w:rsidR="00566F05" w:rsidRPr="00566F05" w:rsidRDefault="00566F05" w:rsidP="00566F05">
      <w:pPr>
        <w:widowControl/>
        <w:overflowPunct w:val="0"/>
        <w:spacing w:line="276" w:lineRule="auto"/>
        <w:textAlignment w:val="baseline"/>
        <w:rPr>
          <w:rFonts w:ascii="Georgia" w:hAnsi="Georgia" w:cs="Arial"/>
          <w:b/>
          <w:caps/>
          <w:spacing w:val="20"/>
          <w:w w:val="150"/>
          <w:sz w:val="16"/>
          <w:szCs w:val="18"/>
          <w:lang w:val="es-MX"/>
        </w:rPr>
      </w:pPr>
      <w:r w:rsidRPr="00566F05">
        <w:rPr>
          <w:rFonts w:ascii="Georgia" w:hAnsi="Georgia" w:cs="Arial"/>
          <w:b/>
          <w:caps/>
          <w:spacing w:val="20"/>
          <w:w w:val="150"/>
          <w:szCs w:val="28"/>
          <w:lang w:val="es-MX"/>
        </w:rPr>
        <w:t>E</w:t>
      </w:r>
      <w:r w:rsidRPr="00566F05">
        <w:rPr>
          <w:rFonts w:ascii="Georgia" w:hAnsi="Georgia" w:cs="Arial"/>
          <w:b/>
          <w:caps/>
          <w:spacing w:val="20"/>
          <w:w w:val="150"/>
          <w:sz w:val="16"/>
          <w:szCs w:val="18"/>
          <w:lang w:val="es-MX"/>
        </w:rPr>
        <w:t xml:space="preserve">DDER </w:t>
      </w:r>
      <w:r w:rsidRPr="00566F05">
        <w:rPr>
          <w:rFonts w:ascii="Georgia" w:hAnsi="Georgia" w:cs="Arial"/>
          <w:b/>
          <w:caps/>
          <w:spacing w:val="20"/>
          <w:w w:val="150"/>
          <w:szCs w:val="28"/>
          <w:lang w:val="es-MX"/>
        </w:rPr>
        <w:t>J</w:t>
      </w:r>
      <w:r w:rsidRPr="00566F05">
        <w:rPr>
          <w:rFonts w:ascii="Georgia" w:hAnsi="Georgia" w:cs="Arial"/>
          <w:b/>
          <w:caps/>
          <w:spacing w:val="20"/>
          <w:w w:val="150"/>
          <w:sz w:val="16"/>
          <w:szCs w:val="18"/>
          <w:lang w:val="es-MX"/>
        </w:rPr>
        <w:t xml:space="preserve">. </w:t>
      </w:r>
      <w:r w:rsidRPr="00566F05">
        <w:rPr>
          <w:rFonts w:ascii="Georgia" w:hAnsi="Georgia" w:cs="Arial"/>
          <w:b/>
          <w:caps/>
          <w:spacing w:val="20"/>
          <w:w w:val="150"/>
          <w:szCs w:val="28"/>
          <w:lang w:val="es-MX"/>
        </w:rPr>
        <w:t>S</w:t>
      </w:r>
      <w:r w:rsidRPr="00566F05">
        <w:rPr>
          <w:rFonts w:ascii="Georgia" w:hAnsi="Georgia" w:cs="Arial"/>
          <w:b/>
          <w:caps/>
          <w:spacing w:val="20"/>
          <w:w w:val="150"/>
          <w:sz w:val="16"/>
          <w:szCs w:val="18"/>
          <w:lang w:val="es-MX"/>
        </w:rPr>
        <w:t xml:space="preserve">ÁNCHEZ </w:t>
      </w:r>
      <w:r w:rsidRPr="00566F05">
        <w:rPr>
          <w:rFonts w:ascii="Georgia" w:hAnsi="Georgia" w:cs="Arial"/>
          <w:b/>
          <w:caps/>
          <w:spacing w:val="20"/>
          <w:w w:val="150"/>
          <w:szCs w:val="28"/>
          <w:lang w:val="es-MX"/>
        </w:rPr>
        <w:t>C</w:t>
      </w:r>
      <w:r w:rsidRPr="00566F05">
        <w:rPr>
          <w:rFonts w:ascii="Georgia" w:hAnsi="Georgia" w:cs="Arial"/>
          <w:b/>
          <w:caps/>
          <w:spacing w:val="20"/>
          <w:w w:val="150"/>
          <w:sz w:val="16"/>
          <w:szCs w:val="18"/>
          <w:lang w:val="es-MX"/>
        </w:rPr>
        <w:t>.</w:t>
      </w:r>
      <w:r w:rsidRPr="00566F05">
        <w:rPr>
          <w:rFonts w:ascii="Georgia" w:hAnsi="Georgia" w:cs="Arial"/>
          <w:b/>
          <w:bCs/>
          <w:caps/>
          <w:spacing w:val="20"/>
          <w:w w:val="150"/>
          <w:sz w:val="16"/>
          <w:szCs w:val="10"/>
          <w:lang w:val="es-MX"/>
        </w:rPr>
        <w:tab/>
      </w:r>
      <w:r w:rsidR="002A13D0">
        <w:rPr>
          <w:rFonts w:ascii="Georgia" w:hAnsi="Georgia" w:cs="Arial"/>
          <w:b/>
          <w:caps/>
          <w:spacing w:val="20"/>
          <w:w w:val="150"/>
          <w:szCs w:val="28"/>
          <w:lang w:val="es-MX"/>
        </w:rPr>
        <w:t>M</w:t>
      </w:r>
      <w:r w:rsidR="002A13D0">
        <w:rPr>
          <w:rFonts w:ascii="Georgia" w:hAnsi="Georgia" w:cs="Arial"/>
          <w:b/>
          <w:caps/>
          <w:spacing w:val="20"/>
          <w:w w:val="150"/>
          <w:sz w:val="16"/>
          <w:szCs w:val="18"/>
          <w:lang w:val="es-MX"/>
        </w:rPr>
        <w:t xml:space="preserve">anuel </w:t>
      </w:r>
      <w:r w:rsidR="002A13D0">
        <w:rPr>
          <w:rFonts w:ascii="Georgia" w:hAnsi="Georgia" w:cs="Arial"/>
          <w:b/>
          <w:caps/>
          <w:spacing w:val="20"/>
          <w:w w:val="150"/>
          <w:szCs w:val="28"/>
          <w:lang w:val="es-MX"/>
        </w:rPr>
        <w:t>Y</w:t>
      </w:r>
      <w:r w:rsidRPr="00566F05">
        <w:rPr>
          <w:rFonts w:ascii="Georgia" w:hAnsi="Georgia" w:cs="Arial"/>
          <w:b/>
          <w:caps/>
          <w:spacing w:val="20"/>
          <w:w w:val="150"/>
          <w:sz w:val="16"/>
          <w:szCs w:val="18"/>
          <w:lang w:val="es-MX"/>
        </w:rPr>
        <w:t>ARZA</w:t>
      </w:r>
      <w:r w:rsidR="002A13D0">
        <w:rPr>
          <w:rFonts w:ascii="Georgia" w:hAnsi="Georgia" w:cs="Arial"/>
          <w:b/>
          <w:caps/>
          <w:spacing w:val="20"/>
          <w:w w:val="150"/>
          <w:sz w:val="16"/>
          <w:szCs w:val="18"/>
          <w:lang w:val="es-MX"/>
        </w:rPr>
        <w:t xml:space="preserve">garay </w:t>
      </w:r>
      <w:r w:rsidR="002A13D0">
        <w:rPr>
          <w:rFonts w:ascii="Georgia" w:hAnsi="Georgia" w:cs="Arial"/>
          <w:b/>
          <w:caps/>
          <w:spacing w:val="20"/>
          <w:w w:val="150"/>
          <w:szCs w:val="28"/>
          <w:lang w:val="es-MX"/>
        </w:rPr>
        <w:t>B.</w:t>
      </w:r>
    </w:p>
    <w:p w14:paraId="07611C2C" w14:textId="4D3F71F2" w:rsidR="009B1303" w:rsidRPr="00566F05" w:rsidRDefault="00566F05" w:rsidP="002A13D0">
      <w:pPr>
        <w:suppressAutoHyphens/>
        <w:spacing w:line="276" w:lineRule="auto"/>
        <w:rPr>
          <w:rFonts w:ascii="Georgia" w:hAnsi="Georgia" w:cs="Arial"/>
          <w:iCs/>
          <w:w w:val="150"/>
          <w:lang w:val="es-ES_tradnl"/>
        </w:rPr>
      </w:pPr>
      <w:r w:rsidRPr="00566F05">
        <w:rPr>
          <w:rFonts w:ascii="Georgia" w:hAnsi="Georgia" w:cs="Arial"/>
          <w:bCs/>
          <w:caps/>
          <w:spacing w:val="20"/>
          <w:w w:val="150"/>
          <w:sz w:val="18"/>
          <w:szCs w:val="10"/>
          <w:lang w:val="en-US"/>
        </w:rPr>
        <w:t xml:space="preserve">M A G I S T R A D O </w:t>
      </w:r>
      <w:r w:rsidRPr="00566F05">
        <w:rPr>
          <w:rFonts w:ascii="Georgia" w:hAnsi="Georgia" w:cs="Arial"/>
          <w:bCs/>
          <w:caps/>
          <w:spacing w:val="20"/>
          <w:w w:val="150"/>
          <w:sz w:val="18"/>
          <w:szCs w:val="10"/>
          <w:lang w:val="en-US"/>
        </w:rPr>
        <w:tab/>
      </w:r>
      <w:r w:rsidRPr="00566F05">
        <w:rPr>
          <w:rFonts w:ascii="Georgia" w:hAnsi="Georgia" w:cs="Arial"/>
          <w:bCs/>
          <w:caps/>
          <w:spacing w:val="20"/>
          <w:w w:val="150"/>
          <w:sz w:val="18"/>
          <w:szCs w:val="10"/>
          <w:lang w:val="en-US"/>
        </w:rPr>
        <w:tab/>
        <w:t>M A G I S T R A D O</w:t>
      </w:r>
      <w:bookmarkEnd w:id="5"/>
    </w:p>
    <w:sectPr w:rsidR="009B1303" w:rsidRPr="00566F05" w:rsidSect="00C33EBB">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6D300" w14:textId="77777777" w:rsidR="00504CFE" w:rsidRDefault="00504CFE" w:rsidP="0099045D">
      <w:r>
        <w:separator/>
      </w:r>
    </w:p>
  </w:endnote>
  <w:endnote w:type="continuationSeparator" w:id="0">
    <w:p w14:paraId="23A038E9" w14:textId="77777777" w:rsidR="00504CFE" w:rsidRDefault="00504CF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E2E" w14:textId="77777777" w:rsidR="00FF6891" w:rsidRPr="00FF6891" w:rsidRDefault="00FF6891" w:rsidP="00FF6891">
    <w:pPr>
      <w:rPr>
        <w:sz w:val="4"/>
      </w:rPr>
    </w:pPr>
  </w:p>
  <w:p w14:paraId="644A62AD" w14:textId="77777777"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14:paraId="14B86A21" w14:textId="77777777" w:rsidR="00FF6891" w:rsidRPr="00401168" w:rsidRDefault="00FF6891" w:rsidP="00FF6891">
    <w:pPr>
      <w:pStyle w:val="Piedepgina"/>
      <w:spacing w:line="360" w:lineRule="auto"/>
      <w:jc w:val="right"/>
      <w:rPr>
        <w:rFonts w:ascii="Georgia" w:hAnsi="Georgia" w:cs="Arial"/>
        <w:spacing w:val="20"/>
        <w:w w:val="200"/>
        <w:sz w:val="14"/>
        <w:szCs w:val="10"/>
        <w:lang w:val="es-CO"/>
      </w:rPr>
    </w:pPr>
  </w:p>
  <w:p w14:paraId="01CC4152" w14:textId="77777777"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14:paraId="13F2854A" w14:textId="77777777"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72F96" w14:textId="77777777" w:rsidR="00504CFE" w:rsidRDefault="00504CFE" w:rsidP="0099045D">
      <w:r>
        <w:separator/>
      </w:r>
    </w:p>
  </w:footnote>
  <w:footnote w:type="continuationSeparator" w:id="0">
    <w:p w14:paraId="4E2FA4AD" w14:textId="77777777" w:rsidR="00504CFE" w:rsidRDefault="00504CFE" w:rsidP="0099045D">
      <w:r>
        <w:continuationSeparator/>
      </w:r>
    </w:p>
  </w:footnote>
  <w:footnote w:id="1">
    <w:p w14:paraId="530CC838" w14:textId="77777777" w:rsidR="00301262" w:rsidRPr="002A13D0" w:rsidRDefault="00301262" w:rsidP="002A13D0">
      <w:pPr>
        <w:pStyle w:val="Textonotapie"/>
        <w:jc w:val="both"/>
        <w:rPr>
          <w:rFonts w:ascii="Century" w:hAnsi="Century"/>
          <w:lang w:val="es-CO"/>
        </w:rPr>
      </w:pPr>
      <w:r w:rsidRPr="002A13D0">
        <w:rPr>
          <w:rStyle w:val="Refdenotaalpie"/>
          <w:rFonts w:ascii="Century" w:hAnsi="Century"/>
        </w:rPr>
        <w:footnoteRef/>
      </w:r>
      <w:r w:rsidRPr="002A13D0">
        <w:rPr>
          <w:rFonts w:ascii="Century" w:hAnsi="Century"/>
        </w:rPr>
        <w:t xml:space="preserve"> QUINCHE R., Manuel F. Vías de hecho, acción de tutela contra providencias, Temis SA, Bogotá, 2013, p.103.</w:t>
      </w:r>
    </w:p>
  </w:footnote>
  <w:footnote w:id="2">
    <w:p w14:paraId="2C69FB64" w14:textId="77777777" w:rsidR="00301262" w:rsidRPr="002A13D0" w:rsidRDefault="00301262" w:rsidP="002A13D0">
      <w:pPr>
        <w:pStyle w:val="Textonotapie"/>
        <w:jc w:val="both"/>
        <w:rPr>
          <w:rFonts w:ascii="Century" w:hAnsi="Century"/>
          <w:lang w:val="es-CO"/>
        </w:rPr>
      </w:pPr>
      <w:r w:rsidRPr="002A13D0">
        <w:rPr>
          <w:rStyle w:val="Refdenotaalpie"/>
          <w:rFonts w:ascii="Century" w:hAnsi="Century"/>
        </w:rPr>
        <w:footnoteRef/>
      </w:r>
      <w:r w:rsidRPr="002A13D0">
        <w:rPr>
          <w:rFonts w:ascii="Century" w:hAnsi="Century"/>
        </w:rPr>
        <w:t xml:space="preserve"> QUIROGA N., Édgar A. Tutela contra decisiones judiciales, Universidad Santo Tomás y editorial Ibáñez, Bogotá DC, 2014, p.83.</w:t>
      </w:r>
    </w:p>
  </w:footnote>
  <w:footnote w:id="3">
    <w:p w14:paraId="78DDE625" w14:textId="77777777" w:rsidR="00301262" w:rsidRPr="002A13D0" w:rsidRDefault="00301262" w:rsidP="002A13D0">
      <w:pPr>
        <w:pStyle w:val="Textonotapie"/>
        <w:jc w:val="both"/>
        <w:rPr>
          <w:rFonts w:ascii="Century" w:hAnsi="Century"/>
          <w:lang w:val="es-CO"/>
        </w:rPr>
      </w:pPr>
      <w:r w:rsidRPr="002A13D0">
        <w:rPr>
          <w:rStyle w:val="Refdenotaalpie"/>
          <w:rFonts w:ascii="Century" w:hAnsi="Century"/>
        </w:rPr>
        <w:footnoteRef/>
      </w:r>
      <w:r w:rsidRPr="002A13D0">
        <w:rPr>
          <w:rFonts w:ascii="Century" w:hAnsi="Century"/>
        </w:rPr>
        <w:t xml:space="preserve"> CC. T-917 de 2011.</w:t>
      </w:r>
    </w:p>
  </w:footnote>
  <w:footnote w:id="4">
    <w:p w14:paraId="73D309D5" w14:textId="77777777" w:rsidR="00301262" w:rsidRPr="002A13D0" w:rsidRDefault="00301262" w:rsidP="002A13D0">
      <w:pPr>
        <w:pStyle w:val="Textonotapie"/>
        <w:jc w:val="both"/>
        <w:rPr>
          <w:rFonts w:ascii="Century" w:hAnsi="Century"/>
          <w:lang w:val="es-CO"/>
        </w:rPr>
      </w:pPr>
      <w:r w:rsidRPr="002A13D0">
        <w:rPr>
          <w:rStyle w:val="Refdenotaalpie"/>
          <w:rFonts w:ascii="Century" w:hAnsi="Century"/>
        </w:rPr>
        <w:footnoteRef/>
      </w:r>
      <w:r w:rsidRPr="002A13D0">
        <w:rPr>
          <w:rFonts w:ascii="Century" w:hAnsi="Century"/>
        </w:rPr>
        <w:t xml:space="preserve"> CC. C-590 de 2005.</w:t>
      </w:r>
    </w:p>
  </w:footnote>
  <w:footnote w:id="5">
    <w:p w14:paraId="022D1BE8" w14:textId="77777777" w:rsidR="00301262" w:rsidRPr="002A13D0" w:rsidRDefault="00301262" w:rsidP="002A13D0">
      <w:pPr>
        <w:pStyle w:val="Textonotapie"/>
        <w:jc w:val="both"/>
        <w:rPr>
          <w:rFonts w:ascii="Century" w:hAnsi="Century"/>
          <w:lang w:val="es-CO"/>
        </w:rPr>
      </w:pPr>
      <w:r w:rsidRPr="002A13D0">
        <w:rPr>
          <w:rStyle w:val="Refdenotaalpie"/>
          <w:rFonts w:ascii="Century" w:hAnsi="Century"/>
        </w:rPr>
        <w:footnoteRef/>
      </w:r>
      <w:r w:rsidRPr="002A13D0">
        <w:rPr>
          <w:rFonts w:ascii="Century" w:hAnsi="Century"/>
        </w:rPr>
        <w:t xml:space="preserve"> CC. T-019 de 2020, SU-037 de 2019, </w:t>
      </w:r>
      <w:r w:rsidRPr="002A13D0">
        <w:rPr>
          <w:rFonts w:ascii="Century" w:hAnsi="Century"/>
          <w:bCs/>
        </w:rPr>
        <w:t>SU-056 de 2018</w:t>
      </w:r>
      <w:r w:rsidRPr="002A13D0">
        <w:rPr>
          <w:rFonts w:ascii="Century" w:hAnsi="Century"/>
        </w:rPr>
        <w:t xml:space="preserve">, </w:t>
      </w:r>
      <w:hyperlink r:id="rId1" w:history="1">
        <w:r w:rsidRPr="002A13D0">
          <w:rPr>
            <w:rStyle w:val="Hipervnculo"/>
            <w:rFonts w:ascii="Century" w:hAnsi="Century"/>
            <w:bCs/>
            <w:color w:val="000000"/>
          </w:rPr>
          <w:t>SU-336 de 2017</w:t>
        </w:r>
      </w:hyperlink>
      <w:r w:rsidRPr="002A13D0">
        <w:rPr>
          <w:rFonts w:ascii="Century" w:hAnsi="Century"/>
          <w:bCs/>
          <w:color w:val="000000"/>
        </w:rPr>
        <w:t>, </w:t>
      </w:r>
      <w:hyperlink r:id="rId2" w:history="1">
        <w:r w:rsidRPr="002A13D0">
          <w:rPr>
            <w:rStyle w:val="Hipervnculo"/>
            <w:rFonts w:ascii="Century" w:hAnsi="Century"/>
            <w:bCs/>
            <w:color w:val="000000"/>
          </w:rPr>
          <w:t>SU-354 de 2017</w:t>
        </w:r>
      </w:hyperlink>
      <w:r w:rsidRPr="002A13D0">
        <w:rPr>
          <w:rFonts w:ascii="Century" w:hAnsi="Century"/>
          <w:bCs/>
          <w:color w:val="000000"/>
        </w:rPr>
        <w:t xml:space="preserve">, </w:t>
      </w:r>
      <w:r w:rsidRPr="002A13D0">
        <w:rPr>
          <w:rFonts w:ascii="Century" w:hAnsi="Century"/>
          <w:bCs/>
        </w:rPr>
        <w:t>T-137 de 2017 y SU-222 de 2016</w:t>
      </w:r>
      <w:r w:rsidRPr="002A13D0">
        <w:rPr>
          <w:rFonts w:ascii="Century" w:hAnsi="Century"/>
        </w:rPr>
        <w:t>, entre muchas.</w:t>
      </w:r>
    </w:p>
  </w:footnote>
  <w:footnote w:id="6">
    <w:p w14:paraId="17943993" w14:textId="77777777" w:rsidR="00301262" w:rsidRPr="002A13D0" w:rsidRDefault="00301262" w:rsidP="002A13D0">
      <w:pPr>
        <w:pStyle w:val="Textonotapie"/>
        <w:jc w:val="both"/>
        <w:rPr>
          <w:rFonts w:ascii="Century" w:hAnsi="Century"/>
          <w:lang w:val="es-CO"/>
        </w:rPr>
      </w:pPr>
      <w:r w:rsidRPr="002A13D0">
        <w:rPr>
          <w:rStyle w:val="Refdenotaalpie"/>
          <w:rFonts w:ascii="Century" w:hAnsi="Century"/>
        </w:rPr>
        <w:footnoteRef/>
      </w:r>
      <w:r w:rsidRPr="002A13D0">
        <w:rPr>
          <w:rFonts w:ascii="Century" w:hAnsi="Century"/>
        </w:rPr>
        <w:t xml:space="preserve"> CC. T-307 de 2015.</w:t>
      </w:r>
    </w:p>
  </w:footnote>
  <w:footnote w:id="7">
    <w:p w14:paraId="2C7168EA" w14:textId="77777777" w:rsidR="00301262" w:rsidRPr="002A13D0" w:rsidRDefault="00301262" w:rsidP="002A13D0">
      <w:pPr>
        <w:pStyle w:val="Textonotapie"/>
        <w:jc w:val="both"/>
        <w:rPr>
          <w:rFonts w:ascii="Century" w:hAnsi="Century"/>
          <w:lang w:val="es-CO"/>
        </w:rPr>
      </w:pPr>
      <w:r w:rsidRPr="002A13D0">
        <w:rPr>
          <w:rFonts w:ascii="Century" w:hAnsi="Century"/>
          <w:vertAlign w:val="superscript"/>
        </w:rPr>
        <w:footnoteRef/>
      </w:r>
      <w:r w:rsidRPr="002A13D0">
        <w:rPr>
          <w:rFonts w:ascii="Century" w:hAnsi="Century"/>
        </w:rPr>
        <w:t xml:space="preserve"> ESCUELA JUDICIAL RODRIGO LARA BONILLA. La acción de tutela en el ordenamiento constitucional colombiano, Universidad Nacional de Colombia, Catalina Botero Marino, Ediprime Ltda., 2006, p.61-75.</w:t>
      </w:r>
    </w:p>
  </w:footnote>
  <w:footnote w:id="8">
    <w:p w14:paraId="15D29F71" w14:textId="77777777" w:rsidR="00301262" w:rsidRPr="002A13D0" w:rsidRDefault="00301262" w:rsidP="002A13D0">
      <w:pPr>
        <w:pStyle w:val="Textonotapie"/>
        <w:jc w:val="both"/>
        <w:rPr>
          <w:rFonts w:ascii="Century" w:hAnsi="Century"/>
          <w:lang w:val="es-CO"/>
        </w:rPr>
      </w:pPr>
      <w:r w:rsidRPr="002A13D0">
        <w:rPr>
          <w:rStyle w:val="Refdenotaalpie"/>
          <w:rFonts w:ascii="Century" w:hAnsi="Century"/>
        </w:rPr>
        <w:footnoteRef/>
      </w:r>
      <w:r w:rsidRPr="002A13D0">
        <w:rPr>
          <w:rFonts w:ascii="Century" w:hAnsi="Century"/>
        </w:rPr>
        <w:t xml:space="preserve"> QUINCHE R., Manuel F. La acción de tutela, el amparo en Colombia, Bogotá DC, 2011, p.233-285.</w:t>
      </w:r>
    </w:p>
  </w:footnote>
  <w:footnote w:id="9">
    <w:p w14:paraId="1EB6E891" w14:textId="77777777" w:rsidR="003A5F55" w:rsidRPr="002A13D0" w:rsidRDefault="003A5F55" w:rsidP="002A13D0">
      <w:pPr>
        <w:pStyle w:val="Textonotapie"/>
        <w:jc w:val="both"/>
        <w:rPr>
          <w:rFonts w:ascii="Century" w:hAnsi="Century"/>
          <w:lang w:val="es-CO"/>
        </w:rPr>
      </w:pPr>
      <w:r w:rsidRPr="002A13D0">
        <w:rPr>
          <w:rStyle w:val="Refdenotaalpie"/>
          <w:rFonts w:ascii="Century" w:hAnsi="Century"/>
        </w:rPr>
        <w:footnoteRef/>
      </w:r>
      <w:r w:rsidRPr="002A13D0">
        <w:rPr>
          <w:rFonts w:ascii="Century" w:hAnsi="Century"/>
        </w:rPr>
        <w:t xml:space="preserve"> </w:t>
      </w:r>
      <w:r w:rsidRPr="002A13D0">
        <w:rPr>
          <w:rFonts w:ascii="Century" w:hAnsi="Century"/>
          <w:lang w:val="es-CO"/>
        </w:rPr>
        <w:t>CC. SU-1219 de 2001.</w:t>
      </w:r>
    </w:p>
  </w:footnote>
  <w:footnote w:id="10">
    <w:p w14:paraId="6A04C4D6" w14:textId="77777777" w:rsidR="003A5F55" w:rsidRPr="002A13D0" w:rsidRDefault="003A5F55" w:rsidP="002A13D0">
      <w:pPr>
        <w:pStyle w:val="Textonotapie"/>
        <w:jc w:val="both"/>
        <w:rPr>
          <w:rFonts w:ascii="Century" w:hAnsi="Century"/>
        </w:rPr>
      </w:pPr>
      <w:r w:rsidRPr="002A13D0">
        <w:rPr>
          <w:rStyle w:val="Refdenotaalpie"/>
          <w:rFonts w:ascii="Century" w:hAnsi="Century"/>
        </w:rPr>
        <w:footnoteRef/>
      </w:r>
      <w:r w:rsidRPr="002A13D0">
        <w:rPr>
          <w:rFonts w:ascii="Century" w:hAnsi="Century"/>
        </w:rPr>
        <w:t xml:space="preserve"> CC. Ob. cit. reiterada en la SU-627 de 2015.</w:t>
      </w:r>
    </w:p>
  </w:footnote>
  <w:footnote w:id="11">
    <w:p w14:paraId="54002E7E" w14:textId="77777777" w:rsidR="003A5F55" w:rsidRPr="002A13D0" w:rsidRDefault="003A5F55" w:rsidP="002A13D0">
      <w:pPr>
        <w:pStyle w:val="Textonotapie"/>
        <w:jc w:val="both"/>
        <w:rPr>
          <w:rFonts w:ascii="Century" w:hAnsi="Century"/>
          <w:lang w:val="es-CO"/>
        </w:rPr>
      </w:pPr>
      <w:r w:rsidRPr="002A13D0">
        <w:rPr>
          <w:rStyle w:val="Refdenotaalpie"/>
          <w:rFonts w:ascii="Century" w:hAnsi="Century"/>
        </w:rPr>
        <w:footnoteRef/>
      </w:r>
      <w:r w:rsidRPr="002A13D0">
        <w:rPr>
          <w:rFonts w:ascii="Century" w:hAnsi="Century"/>
        </w:rPr>
        <w:t xml:space="preserve"> </w:t>
      </w:r>
      <w:r w:rsidRPr="002A13D0">
        <w:rPr>
          <w:rFonts w:ascii="Century" w:hAnsi="Century"/>
          <w:lang w:val="es-CO"/>
        </w:rPr>
        <w:t>CC. Ob. cit.</w:t>
      </w:r>
    </w:p>
  </w:footnote>
  <w:footnote w:id="12">
    <w:p w14:paraId="26046F11" w14:textId="77777777" w:rsidR="003A5F55" w:rsidRPr="002A13D0" w:rsidRDefault="003A5F55" w:rsidP="002A13D0">
      <w:pPr>
        <w:pStyle w:val="Textonotapie"/>
        <w:jc w:val="both"/>
        <w:rPr>
          <w:rFonts w:ascii="Century" w:hAnsi="Century"/>
          <w:lang w:val="es-CO"/>
        </w:rPr>
      </w:pPr>
      <w:r w:rsidRPr="002A13D0">
        <w:rPr>
          <w:rStyle w:val="Refdenotaalpie"/>
          <w:rFonts w:ascii="Century" w:hAnsi="Century"/>
        </w:rPr>
        <w:footnoteRef/>
      </w:r>
      <w:r w:rsidRPr="002A13D0">
        <w:rPr>
          <w:rFonts w:ascii="Century" w:hAnsi="Century"/>
        </w:rPr>
        <w:t xml:space="preserve"> </w:t>
      </w:r>
      <w:r w:rsidRPr="002A13D0">
        <w:rPr>
          <w:rFonts w:ascii="Century" w:hAnsi="Century"/>
          <w:lang w:val="es-CO"/>
        </w:rPr>
        <w:t xml:space="preserve">CASTRO N., Luis M. y CARVAJAL S., César H. Acciones Constitucionales – Módulo 1 de Formación Dirigida. Escuela Judicial “Rodrigo Lara Bonilla, CSJ, 2017, P.180. El autor con base en la sentencia SU-1219 de 2001 reseña: </w:t>
      </w:r>
      <w:r w:rsidRPr="002A13D0">
        <w:rPr>
          <w:rFonts w:ascii="Century" w:hAnsi="Century"/>
          <w:i/>
          <w:lang w:val="es-CO"/>
        </w:rPr>
        <w:t>“(…) las sentencias de tutela hacen tránsito a cosa juzgada constitucional en dos supuestos. Primero, cuando la sentencia de segunda instancia no es escogida para revisión por la Corte Constitucional y, segundo, cuando la Corte Constitucional dicta sentencia de revisión (…)”</w:t>
      </w:r>
      <w:r w:rsidRPr="002A13D0">
        <w:rPr>
          <w:rFonts w:ascii="Century" w:hAnsi="Century"/>
          <w:lang w:val="es-CO"/>
        </w:rPr>
        <w:t>.</w:t>
      </w:r>
    </w:p>
  </w:footnote>
  <w:footnote w:id="13">
    <w:p w14:paraId="1325AA1B" w14:textId="77777777" w:rsidR="003A5F55" w:rsidRPr="002A13D0" w:rsidRDefault="003A5F55" w:rsidP="002A13D0">
      <w:pPr>
        <w:pStyle w:val="Textonotapie"/>
        <w:jc w:val="both"/>
        <w:rPr>
          <w:rFonts w:ascii="Century" w:hAnsi="Century"/>
          <w:lang w:val="en-US"/>
        </w:rPr>
      </w:pPr>
      <w:r w:rsidRPr="002A13D0">
        <w:rPr>
          <w:rStyle w:val="Refdenotaalpie"/>
          <w:rFonts w:ascii="Century" w:hAnsi="Century"/>
        </w:rPr>
        <w:footnoteRef/>
      </w:r>
      <w:r w:rsidRPr="002A13D0">
        <w:rPr>
          <w:rFonts w:ascii="Century" w:hAnsi="Century"/>
          <w:lang w:val="en-US"/>
        </w:rPr>
        <w:t xml:space="preserve"> CC. Ob. cit.</w:t>
      </w:r>
    </w:p>
  </w:footnote>
  <w:footnote w:id="14">
    <w:p w14:paraId="26FB99DD" w14:textId="77777777" w:rsidR="003A5F55" w:rsidRPr="002A13D0" w:rsidRDefault="003A5F55" w:rsidP="002A13D0">
      <w:pPr>
        <w:pStyle w:val="Textonotapie"/>
        <w:jc w:val="both"/>
        <w:rPr>
          <w:rFonts w:ascii="Century" w:hAnsi="Century"/>
          <w:lang w:val="en-US"/>
        </w:rPr>
      </w:pPr>
      <w:r w:rsidRPr="002A13D0">
        <w:rPr>
          <w:rStyle w:val="Refdenotaalpie"/>
          <w:rFonts w:ascii="Century" w:hAnsi="Century"/>
        </w:rPr>
        <w:footnoteRef/>
      </w:r>
      <w:r w:rsidRPr="002A13D0">
        <w:rPr>
          <w:rFonts w:ascii="Century" w:hAnsi="Century"/>
          <w:lang w:val="en-US"/>
        </w:rPr>
        <w:t xml:space="preserve"> CC. T-073-2019.</w:t>
      </w:r>
    </w:p>
  </w:footnote>
  <w:footnote w:id="15">
    <w:p w14:paraId="1D4A74C6" w14:textId="77777777" w:rsidR="003A5F55" w:rsidRPr="002A13D0" w:rsidRDefault="003A5F55" w:rsidP="002A13D0">
      <w:pPr>
        <w:pStyle w:val="Textonotapie"/>
        <w:jc w:val="both"/>
        <w:rPr>
          <w:rFonts w:ascii="Century" w:hAnsi="Century"/>
          <w:lang w:val="es-CO"/>
        </w:rPr>
      </w:pPr>
      <w:r w:rsidRPr="002A13D0">
        <w:rPr>
          <w:rStyle w:val="Refdenotaalpie"/>
          <w:rFonts w:ascii="Century" w:hAnsi="Century"/>
        </w:rPr>
        <w:footnoteRef/>
      </w:r>
      <w:r w:rsidRPr="002A13D0">
        <w:rPr>
          <w:rFonts w:ascii="Century" w:hAnsi="Century"/>
          <w:lang w:val="es-CO"/>
        </w:rPr>
        <w:t xml:space="preserve"> STP, Sala Civil Familia. Sentencia del 11-06-2019, MP: Grisales H., No.2019-00419-00.</w:t>
      </w:r>
    </w:p>
  </w:footnote>
  <w:footnote w:id="16">
    <w:p w14:paraId="4C6EA054" w14:textId="77777777" w:rsidR="003A5F55" w:rsidRPr="002A13D0" w:rsidRDefault="003A5F55" w:rsidP="002A13D0">
      <w:pPr>
        <w:pStyle w:val="Textonotapie"/>
        <w:jc w:val="both"/>
        <w:rPr>
          <w:rFonts w:ascii="Century" w:hAnsi="Century"/>
          <w:lang w:val="es-CO"/>
        </w:rPr>
      </w:pPr>
      <w:r w:rsidRPr="002A13D0">
        <w:rPr>
          <w:rStyle w:val="Refdenotaalpie"/>
          <w:rFonts w:ascii="Century" w:hAnsi="Century"/>
        </w:rPr>
        <w:footnoteRef/>
      </w:r>
      <w:r w:rsidRPr="002A13D0">
        <w:rPr>
          <w:rFonts w:ascii="Century" w:hAnsi="Century"/>
          <w:lang w:val="es-CO"/>
        </w:rPr>
        <w:t xml:space="preserve"> CSJ. STC9164-2019.</w:t>
      </w:r>
    </w:p>
  </w:footnote>
  <w:footnote w:id="17">
    <w:p w14:paraId="4B098C88" w14:textId="55967CE7" w:rsidR="003A5F55" w:rsidRPr="002A13D0" w:rsidRDefault="003A5F55" w:rsidP="002A13D0">
      <w:pPr>
        <w:pStyle w:val="Textonotapie"/>
        <w:jc w:val="both"/>
        <w:rPr>
          <w:rFonts w:ascii="Century" w:hAnsi="Century"/>
        </w:rPr>
      </w:pPr>
      <w:r w:rsidRPr="002A13D0">
        <w:rPr>
          <w:rStyle w:val="Refdenotaalpie"/>
          <w:rFonts w:ascii="Century" w:hAnsi="Century"/>
        </w:rPr>
        <w:footnoteRef/>
      </w:r>
      <w:r w:rsidRPr="002A13D0">
        <w:rPr>
          <w:rFonts w:ascii="Century" w:hAnsi="Century"/>
        </w:rPr>
        <w:t xml:space="preserve"> STP, Sala Civil Familia. Sentencia</w:t>
      </w:r>
      <w:r w:rsidR="00345A56" w:rsidRPr="002A13D0">
        <w:rPr>
          <w:rFonts w:ascii="Century" w:hAnsi="Century"/>
        </w:rPr>
        <w:t>s</w:t>
      </w:r>
      <w:r w:rsidRPr="002A13D0">
        <w:rPr>
          <w:rFonts w:ascii="Century" w:hAnsi="Century"/>
        </w:rPr>
        <w:t xml:space="preserve"> del </w:t>
      </w:r>
      <w:r w:rsidR="00345A56" w:rsidRPr="002A13D0">
        <w:rPr>
          <w:rFonts w:ascii="Century" w:hAnsi="Century"/>
        </w:rPr>
        <w:t xml:space="preserve">(i) </w:t>
      </w:r>
      <w:r w:rsidRPr="002A13D0">
        <w:rPr>
          <w:rFonts w:ascii="Century" w:hAnsi="Century"/>
        </w:rPr>
        <w:t>06-08-2020, MP: Saraza N., No.2020-00084-00</w:t>
      </w:r>
      <w:r w:rsidR="00345A56" w:rsidRPr="002A13D0">
        <w:rPr>
          <w:rFonts w:ascii="Century" w:hAnsi="Century"/>
        </w:rPr>
        <w:t xml:space="preserve">; y, (ii) 24-08-2020, MP: Grisales H., No.2020-00097-00. </w:t>
      </w:r>
    </w:p>
  </w:footnote>
  <w:footnote w:id="18">
    <w:p w14:paraId="5B5D60D9" w14:textId="77777777" w:rsidR="00345A56" w:rsidRPr="00AA169A" w:rsidRDefault="00345A56" w:rsidP="002A13D0">
      <w:pPr>
        <w:pStyle w:val="Textonotapie"/>
        <w:jc w:val="both"/>
        <w:rPr>
          <w:lang w:val="es-CO"/>
        </w:rPr>
      </w:pPr>
      <w:r w:rsidRPr="002A13D0">
        <w:rPr>
          <w:rStyle w:val="Refdenotaalpie"/>
          <w:rFonts w:ascii="Century" w:hAnsi="Century"/>
        </w:rPr>
        <w:footnoteRef/>
      </w:r>
      <w:r w:rsidRPr="002A13D0">
        <w:rPr>
          <w:rFonts w:ascii="Century" w:hAnsi="Century"/>
        </w:rPr>
        <w:t xml:space="preserve"> </w:t>
      </w:r>
      <w:r w:rsidRPr="002A13D0">
        <w:rPr>
          <w:rFonts w:ascii="Century" w:hAnsi="Century"/>
          <w:lang w:val="es-CO"/>
        </w:rPr>
        <w:t>CC. SU-627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0AB" w14:textId="77777777" w:rsidR="00800180" w:rsidRPr="00E20452" w:rsidRDefault="00800180">
    <w:pPr>
      <w:pStyle w:val="Encabezado"/>
      <w:pBdr>
        <w:bottom w:val="single" w:sz="4" w:space="1" w:color="D9D9D9"/>
      </w:pBdr>
      <w:jc w:val="right"/>
      <w:rPr>
        <w:rFonts w:ascii="Georgia" w:hAnsi="Georgia" w:cs="Calibri"/>
        <w:i/>
        <w:sz w:val="20"/>
      </w:rPr>
    </w:pPr>
    <w:r w:rsidRPr="00E20452">
      <w:rPr>
        <w:rFonts w:ascii="Georgia" w:hAnsi="Georgia" w:cs="Calibri"/>
        <w:i/>
        <w:spacing w:val="60"/>
        <w:sz w:val="20"/>
      </w:rPr>
      <w:t>Página</w:t>
    </w:r>
    <w:r w:rsidRPr="00E20452">
      <w:rPr>
        <w:rFonts w:ascii="Georgia" w:hAnsi="Georgia" w:cs="Calibri"/>
        <w:i/>
        <w:sz w:val="20"/>
      </w:rPr>
      <w:t xml:space="preserve"> | </w:t>
    </w:r>
    <w:r w:rsidR="00301CAF" w:rsidRPr="00E20452">
      <w:rPr>
        <w:rFonts w:ascii="Georgia" w:hAnsi="Georgia" w:cs="Calibri"/>
        <w:i/>
        <w:sz w:val="20"/>
      </w:rPr>
      <w:fldChar w:fldCharType="begin"/>
    </w:r>
    <w:r w:rsidRPr="00E20452">
      <w:rPr>
        <w:rFonts w:ascii="Georgia" w:hAnsi="Georgia" w:cs="Calibri"/>
        <w:i/>
        <w:sz w:val="20"/>
      </w:rPr>
      <w:instrText xml:space="preserve"> PAGE   \* MERGEFORMAT </w:instrText>
    </w:r>
    <w:r w:rsidR="00301CAF" w:rsidRPr="00E20452">
      <w:rPr>
        <w:rFonts w:ascii="Georgia" w:hAnsi="Georgia" w:cs="Calibri"/>
        <w:i/>
        <w:sz w:val="20"/>
      </w:rPr>
      <w:fldChar w:fldCharType="separate"/>
    </w:r>
    <w:r w:rsidR="00E233DE" w:rsidRPr="00E20452">
      <w:rPr>
        <w:rFonts w:ascii="Georgia" w:hAnsi="Georgia" w:cs="Calibri"/>
        <w:i/>
        <w:noProof/>
        <w:sz w:val="20"/>
      </w:rPr>
      <w:t>4</w:t>
    </w:r>
    <w:r w:rsidR="00301CAF" w:rsidRPr="00E20452">
      <w:rPr>
        <w:rFonts w:ascii="Georgia" w:hAnsi="Georgia" w:cs="Calibri"/>
        <w:i/>
        <w:sz w:val="20"/>
      </w:rPr>
      <w:fldChar w:fldCharType="end"/>
    </w:r>
  </w:p>
  <w:p w14:paraId="552A2BE8" w14:textId="62737EA3" w:rsidR="00800180" w:rsidRPr="00E20452" w:rsidRDefault="00FD0443" w:rsidP="009C568C">
    <w:pPr>
      <w:pStyle w:val="Encabezado"/>
      <w:ind w:right="360"/>
      <w:jc w:val="both"/>
      <w:rPr>
        <w:rFonts w:ascii="Georgia" w:hAnsi="Georgia" w:cs="Calibri"/>
        <w:i/>
        <w:smallCaps/>
        <w:sz w:val="20"/>
        <w:szCs w:val="22"/>
      </w:rPr>
    </w:pPr>
    <w:r w:rsidRPr="00E20452">
      <w:rPr>
        <w:rFonts w:ascii="Georgia" w:hAnsi="Georgia" w:cs="Calibri"/>
        <w:i/>
        <w:smallCaps/>
        <w:sz w:val="20"/>
        <w:szCs w:val="22"/>
      </w:rPr>
      <w:t>Expediente no.</w:t>
    </w:r>
    <w:r w:rsidR="00C82E5B" w:rsidRPr="00E20452">
      <w:rPr>
        <w:rFonts w:ascii="Georgia" w:hAnsi="Georgia" w:cs="Calibri"/>
        <w:i/>
        <w:smallCaps/>
        <w:sz w:val="20"/>
        <w:szCs w:val="22"/>
      </w:rPr>
      <w:t>2021-</w:t>
    </w:r>
    <w:r w:rsidR="008D5E4C" w:rsidRPr="00E20452">
      <w:rPr>
        <w:rFonts w:ascii="Georgia" w:hAnsi="Georgia" w:cs="Calibri"/>
        <w:i/>
        <w:smallCaps/>
        <w:sz w:val="20"/>
        <w:szCs w:val="22"/>
      </w:rPr>
      <w:t>0025</w:t>
    </w:r>
    <w:r w:rsidR="009F1063" w:rsidRPr="00E20452">
      <w:rPr>
        <w:rFonts w:ascii="Georgia" w:hAnsi="Georgia" w:cs="Calibri"/>
        <w:i/>
        <w:smallCaps/>
        <w:sz w:val="20"/>
        <w:szCs w:val="22"/>
      </w:rPr>
      <w:t>6</w:t>
    </w:r>
    <w:r w:rsidR="00C82E5B" w:rsidRPr="00E20452">
      <w:rPr>
        <w:rFonts w:ascii="Georgia" w:hAnsi="Georgia" w:cs="Calibri"/>
        <w:i/>
        <w:smallCaps/>
        <w:sz w:val="20"/>
        <w:szCs w:val="22"/>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15:restartNumberingAfterBreak="0">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F2158"/>
    <w:multiLevelType w:val="multilevel"/>
    <w:tmpl w:val="EA28B950"/>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cs="Times New Roman" w:hint="default"/>
        <w:i w:val="0"/>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2326A49"/>
    <w:multiLevelType w:val="hybridMultilevel"/>
    <w:tmpl w:val="90E88F02"/>
    <w:lvl w:ilvl="0" w:tplc="4710AEE8">
      <w:start w:val="1"/>
      <w:numFmt w:val="decimal"/>
      <w:lvlText w:val="%1."/>
      <w:lvlJc w:val="left"/>
      <w:pPr>
        <w:ind w:left="363" w:hanging="360"/>
      </w:pPr>
      <w:rPr>
        <w:rFonts w:cs="Times New Roman" w:hint="default"/>
        <w:sz w:val="24"/>
      </w:rPr>
    </w:lvl>
    <w:lvl w:ilvl="1" w:tplc="0C0A0019" w:tentative="1">
      <w:start w:val="1"/>
      <w:numFmt w:val="lowerLetter"/>
      <w:lvlText w:val="%2."/>
      <w:lvlJc w:val="left"/>
      <w:pPr>
        <w:ind w:left="1083" w:hanging="360"/>
      </w:pPr>
      <w:rPr>
        <w:rFonts w:cs="Times New Roman"/>
      </w:rPr>
    </w:lvl>
    <w:lvl w:ilvl="2" w:tplc="0C0A001B" w:tentative="1">
      <w:start w:val="1"/>
      <w:numFmt w:val="lowerRoman"/>
      <w:lvlText w:val="%3."/>
      <w:lvlJc w:val="right"/>
      <w:pPr>
        <w:ind w:left="1803" w:hanging="180"/>
      </w:pPr>
      <w:rPr>
        <w:rFonts w:cs="Times New Roman"/>
      </w:rPr>
    </w:lvl>
    <w:lvl w:ilvl="3" w:tplc="0C0A000F" w:tentative="1">
      <w:start w:val="1"/>
      <w:numFmt w:val="decimal"/>
      <w:lvlText w:val="%4."/>
      <w:lvlJc w:val="left"/>
      <w:pPr>
        <w:ind w:left="2523" w:hanging="360"/>
      </w:pPr>
      <w:rPr>
        <w:rFonts w:cs="Times New Roman"/>
      </w:rPr>
    </w:lvl>
    <w:lvl w:ilvl="4" w:tplc="0C0A0019" w:tentative="1">
      <w:start w:val="1"/>
      <w:numFmt w:val="lowerLetter"/>
      <w:lvlText w:val="%5."/>
      <w:lvlJc w:val="left"/>
      <w:pPr>
        <w:ind w:left="3243" w:hanging="360"/>
      </w:pPr>
      <w:rPr>
        <w:rFonts w:cs="Times New Roman"/>
      </w:rPr>
    </w:lvl>
    <w:lvl w:ilvl="5" w:tplc="0C0A001B" w:tentative="1">
      <w:start w:val="1"/>
      <w:numFmt w:val="lowerRoman"/>
      <w:lvlText w:val="%6."/>
      <w:lvlJc w:val="right"/>
      <w:pPr>
        <w:ind w:left="3963" w:hanging="180"/>
      </w:pPr>
      <w:rPr>
        <w:rFonts w:cs="Times New Roman"/>
      </w:rPr>
    </w:lvl>
    <w:lvl w:ilvl="6" w:tplc="0C0A000F" w:tentative="1">
      <w:start w:val="1"/>
      <w:numFmt w:val="decimal"/>
      <w:lvlText w:val="%7."/>
      <w:lvlJc w:val="left"/>
      <w:pPr>
        <w:ind w:left="4683" w:hanging="360"/>
      </w:pPr>
      <w:rPr>
        <w:rFonts w:cs="Times New Roman"/>
      </w:rPr>
    </w:lvl>
    <w:lvl w:ilvl="7" w:tplc="0C0A0019" w:tentative="1">
      <w:start w:val="1"/>
      <w:numFmt w:val="lowerLetter"/>
      <w:lvlText w:val="%8."/>
      <w:lvlJc w:val="left"/>
      <w:pPr>
        <w:ind w:left="5403" w:hanging="360"/>
      </w:pPr>
      <w:rPr>
        <w:rFonts w:cs="Times New Roman"/>
      </w:rPr>
    </w:lvl>
    <w:lvl w:ilvl="8" w:tplc="0C0A001B" w:tentative="1">
      <w:start w:val="1"/>
      <w:numFmt w:val="lowerRoman"/>
      <w:lvlText w:val="%9."/>
      <w:lvlJc w:val="right"/>
      <w:pPr>
        <w:ind w:left="6123" w:hanging="180"/>
      </w:pPr>
      <w:rPr>
        <w:rFonts w:cs="Times New Roman"/>
      </w:rPr>
    </w:lvl>
  </w:abstractNum>
  <w:abstractNum w:abstractNumId="12" w15:restartNumberingAfterBreak="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4E974D2E"/>
    <w:multiLevelType w:val="multilevel"/>
    <w:tmpl w:val="FF26029E"/>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color w:val="3333FF"/>
        <w:sz w:val="24"/>
        <w:szCs w:val="24"/>
      </w:rPr>
    </w:lvl>
    <w:lvl w:ilvl="2">
      <w:start w:val="1"/>
      <w:numFmt w:val="decimal"/>
      <w:lvlText w:val="%1.%2.%3."/>
      <w:lvlJc w:val="left"/>
      <w:pPr>
        <w:ind w:left="720" w:hanging="720"/>
      </w:pPr>
      <w:rPr>
        <w:rFonts w:cs="Times New Roman" w:hint="default"/>
        <w:color w:val="3333FF"/>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15:restartNumberingAfterBreak="0">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15:restartNumberingAfterBreak="0">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1"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6"/>
  </w:num>
  <w:num w:numId="4">
    <w:abstractNumId w:val="3"/>
  </w:num>
  <w:num w:numId="5">
    <w:abstractNumId w:val="31"/>
  </w:num>
  <w:num w:numId="6">
    <w:abstractNumId w:val="0"/>
  </w:num>
  <w:num w:numId="7">
    <w:abstractNumId w:val="24"/>
  </w:num>
  <w:num w:numId="8">
    <w:abstractNumId w:val="1"/>
  </w:num>
  <w:num w:numId="9">
    <w:abstractNumId w:val="32"/>
  </w:num>
  <w:num w:numId="10">
    <w:abstractNumId w:val="25"/>
  </w:num>
  <w:num w:numId="11">
    <w:abstractNumId w:val="21"/>
  </w:num>
  <w:num w:numId="12">
    <w:abstractNumId w:val="28"/>
  </w:num>
  <w:num w:numId="13">
    <w:abstractNumId w:val="10"/>
  </w:num>
  <w:num w:numId="14">
    <w:abstractNumId w:val="14"/>
  </w:num>
  <w:num w:numId="15">
    <w:abstractNumId w:val="19"/>
  </w:num>
  <w:num w:numId="16">
    <w:abstractNumId w:val="4"/>
  </w:num>
  <w:num w:numId="17">
    <w:abstractNumId w:val="20"/>
  </w:num>
  <w:num w:numId="18">
    <w:abstractNumId w:val="9"/>
  </w:num>
  <w:num w:numId="19">
    <w:abstractNumId w:val="6"/>
  </w:num>
  <w:num w:numId="20">
    <w:abstractNumId w:val="15"/>
  </w:num>
  <w:num w:numId="21">
    <w:abstractNumId w:val="22"/>
  </w:num>
  <w:num w:numId="22">
    <w:abstractNumId w:val="27"/>
  </w:num>
  <w:num w:numId="23">
    <w:abstractNumId w:val="8"/>
  </w:num>
  <w:num w:numId="24">
    <w:abstractNumId w:val="13"/>
  </w:num>
  <w:num w:numId="25">
    <w:abstractNumId w:val="9"/>
  </w:num>
  <w:num w:numId="26">
    <w:abstractNumId w:val="2"/>
  </w:num>
  <w:num w:numId="27">
    <w:abstractNumId w:val="33"/>
  </w:num>
  <w:num w:numId="28">
    <w:abstractNumId w:val="7"/>
  </w:num>
  <w:num w:numId="29">
    <w:abstractNumId w:val="29"/>
  </w:num>
  <w:num w:numId="30">
    <w:abstractNumId w:val="12"/>
  </w:num>
  <w:num w:numId="31">
    <w:abstractNumId w:val="17"/>
  </w:num>
  <w:num w:numId="32">
    <w:abstractNumId w:val="23"/>
  </w:num>
  <w:num w:numId="33">
    <w:abstractNumId w:val="5"/>
  </w:num>
  <w:num w:numId="34">
    <w:abstractNumId w:val="30"/>
  </w:num>
  <w:num w:numId="35">
    <w:abstractNumId w:val="26"/>
  </w:num>
  <w:num w:numId="36">
    <w:abstractNumId w:val="9"/>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07FD8"/>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C9A"/>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37"/>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533"/>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27"/>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C3D"/>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1F35"/>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410"/>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35A"/>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0CE7"/>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87989"/>
    <w:rsid w:val="001919A6"/>
    <w:rsid w:val="00192144"/>
    <w:rsid w:val="001929B6"/>
    <w:rsid w:val="0019341E"/>
    <w:rsid w:val="00193995"/>
    <w:rsid w:val="00193D37"/>
    <w:rsid w:val="0019525B"/>
    <w:rsid w:val="00195D5E"/>
    <w:rsid w:val="00197345"/>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614"/>
    <w:rsid w:val="00202F72"/>
    <w:rsid w:val="002037E2"/>
    <w:rsid w:val="00204001"/>
    <w:rsid w:val="00204EF6"/>
    <w:rsid w:val="0020538D"/>
    <w:rsid w:val="0020550A"/>
    <w:rsid w:val="002056C9"/>
    <w:rsid w:val="00205B17"/>
    <w:rsid w:val="00205B8C"/>
    <w:rsid w:val="00205CAA"/>
    <w:rsid w:val="00205F8A"/>
    <w:rsid w:val="002060F5"/>
    <w:rsid w:val="00206398"/>
    <w:rsid w:val="002064F4"/>
    <w:rsid w:val="00206857"/>
    <w:rsid w:val="0020765B"/>
    <w:rsid w:val="002078C7"/>
    <w:rsid w:val="00207A3A"/>
    <w:rsid w:val="00207DC3"/>
    <w:rsid w:val="00210558"/>
    <w:rsid w:val="002117A8"/>
    <w:rsid w:val="00211BD4"/>
    <w:rsid w:val="00211DE4"/>
    <w:rsid w:val="00212487"/>
    <w:rsid w:val="00213147"/>
    <w:rsid w:val="00213459"/>
    <w:rsid w:val="00213B31"/>
    <w:rsid w:val="00213B67"/>
    <w:rsid w:val="00213E98"/>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73C"/>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7BF"/>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471E"/>
    <w:rsid w:val="002450A3"/>
    <w:rsid w:val="002455C0"/>
    <w:rsid w:val="00245B6F"/>
    <w:rsid w:val="002470CC"/>
    <w:rsid w:val="00247994"/>
    <w:rsid w:val="00250539"/>
    <w:rsid w:val="00250DA7"/>
    <w:rsid w:val="00250EAE"/>
    <w:rsid w:val="00251544"/>
    <w:rsid w:val="002516FA"/>
    <w:rsid w:val="002517C0"/>
    <w:rsid w:val="00251C9A"/>
    <w:rsid w:val="00251F84"/>
    <w:rsid w:val="002520E9"/>
    <w:rsid w:val="002526A9"/>
    <w:rsid w:val="002526F2"/>
    <w:rsid w:val="00252B82"/>
    <w:rsid w:val="00252D94"/>
    <w:rsid w:val="00253420"/>
    <w:rsid w:val="00253966"/>
    <w:rsid w:val="00253A54"/>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2B"/>
    <w:rsid w:val="002630B8"/>
    <w:rsid w:val="00263B6A"/>
    <w:rsid w:val="00263BB5"/>
    <w:rsid w:val="00263E7E"/>
    <w:rsid w:val="00264672"/>
    <w:rsid w:val="00264BB7"/>
    <w:rsid w:val="002658B1"/>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225C"/>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3D0"/>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121"/>
    <w:rsid w:val="002D02CC"/>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262"/>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37D"/>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A04"/>
    <w:rsid w:val="00343B48"/>
    <w:rsid w:val="003449E4"/>
    <w:rsid w:val="00344DAF"/>
    <w:rsid w:val="003451E1"/>
    <w:rsid w:val="00345352"/>
    <w:rsid w:val="0034557F"/>
    <w:rsid w:val="00345944"/>
    <w:rsid w:val="00345A56"/>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3C6A"/>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5F55"/>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AEF"/>
    <w:rsid w:val="00411107"/>
    <w:rsid w:val="0041111B"/>
    <w:rsid w:val="00411435"/>
    <w:rsid w:val="00412707"/>
    <w:rsid w:val="00412781"/>
    <w:rsid w:val="004127DC"/>
    <w:rsid w:val="00413322"/>
    <w:rsid w:val="00413340"/>
    <w:rsid w:val="00413E5A"/>
    <w:rsid w:val="00414666"/>
    <w:rsid w:val="00414A51"/>
    <w:rsid w:val="00414A6B"/>
    <w:rsid w:val="00414EDA"/>
    <w:rsid w:val="00415E42"/>
    <w:rsid w:val="00417903"/>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6B1"/>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9C6"/>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72B"/>
    <w:rsid w:val="004E3D12"/>
    <w:rsid w:val="004E42BD"/>
    <w:rsid w:val="004E45CB"/>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09"/>
    <w:rsid w:val="00502928"/>
    <w:rsid w:val="00502C45"/>
    <w:rsid w:val="00502D19"/>
    <w:rsid w:val="00502EC8"/>
    <w:rsid w:val="005037C7"/>
    <w:rsid w:val="00504900"/>
    <w:rsid w:val="00504CFE"/>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3FD0"/>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05"/>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70A"/>
    <w:rsid w:val="00591A2D"/>
    <w:rsid w:val="00592A5D"/>
    <w:rsid w:val="00593849"/>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E55"/>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2C6F"/>
    <w:rsid w:val="005E3007"/>
    <w:rsid w:val="005E325C"/>
    <w:rsid w:val="005E3268"/>
    <w:rsid w:val="005E343B"/>
    <w:rsid w:val="005E3C1B"/>
    <w:rsid w:val="005E3EA2"/>
    <w:rsid w:val="005E40B1"/>
    <w:rsid w:val="005E4A9E"/>
    <w:rsid w:val="005E4FAD"/>
    <w:rsid w:val="005E5111"/>
    <w:rsid w:val="005E555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778"/>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2C25"/>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827"/>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3F5"/>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D96"/>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2B7"/>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9C7"/>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163"/>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673"/>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985"/>
    <w:rsid w:val="00762B3A"/>
    <w:rsid w:val="00762EF1"/>
    <w:rsid w:val="0076340A"/>
    <w:rsid w:val="0076379F"/>
    <w:rsid w:val="0076398E"/>
    <w:rsid w:val="00763DE1"/>
    <w:rsid w:val="007643C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A9B"/>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241"/>
    <w:rsid w:val="00820AFB"/>
    <w:rsid w:val="00820BB8"/>
    <w:rsid w:val="008216F7"/>
    <w:rsid w:val="0082221D"/>
    <w:rsid w:val="00822D3B"/>
    <w:rsid w:val="008231D6"/>
    <w:rsid w:val="00823AB3"/>
    <w:rsid w:val="00823D89"/>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6D30"/>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C7CEB"/>
    <w:rsid w:val="008D0254"/>
    <w:rsid w:val="008D17C2"/>
    <w:rsid w:val="008D1CC2"/>
    <w:rsid w:val="008D232F"/>
    <w:rsid w:val="008D24B6"/>
    <w:rsid w:val="008D2DD4"/>
    <w:rsid w:val="008D2E0B"/>
    <w:rsid w:val="008D381D"/>
    <w:rsid w:val="008D3FE5"/>
    <w:rsid w:val="008D43B4"/>
    <w:rsid w:val="008D49E9"/>
    <w:rsid w:val="008D5184"/>
    <w:rsid w:val="008D53F1"/>
    <w:rsid w:val="008D5E4C"/>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CD1"/>
    <w:rsid w:val="008F5D8D"/>
    <w:rsid w:val="008F699B"/>
    <w:rsid w:val="008F6AC9"/>
    <w:rsid w:val="008F73B5"/>
    <w:rsid w:val="008F7558"/>
    <w:rsid w:val="008F7F4F"/>
    <w:rsid w:val="00900191"/>
    <w:rsid w:val="00900937"/>
    <w:rsid w:val="00900D7B"/>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3AF"/>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D9A"/>
    <w:rsid w:val="00955F29"/>
    <w:rsid w:val="00955F66"/>
    <w:rsid w:val="009569F7"/>
    <w:rsid w:val="00957B29"/>
    <w:rsid w:val="00957D0A"/>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303"/>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13A8"/>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063"/>
    <w:rsid w:val="009F1946"/>
    <w:rsid w:val="009F19AA"/>
    <w:rsid w:val="009F1C60"/>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136"/>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9C7"/>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047F"/>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6F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7CB"/>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4C3E"/>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DAE"/>
    <w:rsid w:val="00B25F9F"/>
    <w:rsid w:val="00B25FDE"/>
    <w:rsid w:val="00B270C7"/>
    <w:rsid w:val="00B27547"/>
    <w:rsid w:val="00B27551"/>
    <w:rsid w:val="00B30152"/>
    <w:rsid w:val="00B302BA"/>
    <w:rsid w:val="00B30BA1"/>
    <w:rsid w:val="00B30DF5"/>
    <w:rsid w:val="00B31041"/>
    <w:rsid w:val="00B311C6"/>
    <w:rsid w:val="00B313DA"/>
    <w:rsid w:val="00B32064"/>
    <w:rsid w:val="00B3248E"/>
    <w:rsid w:val="00B325BB"/>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F38"/>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75F"/>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4925"/>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1AB1"/>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9B7"/>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6766"/>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3EBB"/>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3F7"/>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58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5B"/>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93A"/>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9B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613E"/>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3D48"/>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1F1D"/>
    <w:rsid w:val="00D32190"/>
    <w:rsid w:val="00D32275"/>
    <w:rsid w:val="00D322BB"/>
    <w:rsid w:val="00D325D8"/>
    <w:rsid w:val="00D33789"/>
    <w:rsid w:val="00D33C09"/>
    <w:rsid w:val="00D33E7B"/>
    <w:rsid w:val="00D34C8C"/>
    <w:rsid w:val="00D3531C"/>
    <w:rsid w:val="00D3719C"/>
    <w:rsid w:val="00D371A9"/>
    <w:rsid w:val="00D37435"/>
    <w:rsid w:val="00D3750C"/>
    <w:rsid w:val="00D37AB2"/>
    <w:rsid w:val="00D37E51"/>
    <w:rsid w:val="00D40128"/>
    <w:rsid w:val="00D41030"/>
    <w:rsid w:val="00D4145B"/>
    <w:rsid w:val="00D4168D"/>
    <w:rsid w:val="00D41AAE"/>
    <w:rsid w:val="00D421B2"/>
    <w:rsid w:val="00D42F93"/>
    <w:rsid w:val="00D42FDC"/>
    <w:rsid w:val="00D43C00"/>
    <w:rsid w:val="00D44255"/>
    <w:rsid w:val="00D446E3"/>
    <w:rsid w:val="00D45E7D"/>
    <w:rsid w:val="00D4610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5E9"/>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CC"/>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1D4"/>
    <w:rsid w:val="00DA569C"/>
    <w:rsid w:val="00DA59FF"/>
    <w:rsid w:val="00DA5B56"/>
    <w:rsid w:val="00DA654E"/>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910"/>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60"/>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21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452"/>
    <w:rsid w:val="00E207CE"/>
    <w:rsid w:val="00E20F2E"/>
    <w:rsid w:val="00E216EB"/>
    <w:rsid w:val="00E22220"/>
    <w:rsid w:val="00E22703"/>
    <w:rsid w:val="00E22A53"/>
    <w:rsid w:val="00E22AB2"/>
    <w:rsid w:val="00E22E13"/>
    <w:rsid w:val="00E233DE"/>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128"/>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1DB"/>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0C0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877"/>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6C6"/>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127"/>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2E8"/>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1EB"/>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8F"/>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1C19"/>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37B7"/>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4BE"/>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5D5"/>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20B"/>
    <w:rsid w:val="00FF769D"/>
    <w:rsid w:val="09C01F8F"/>
    <w:rsid w:val="09E99107"/>
    <w:rsid w:val="0A03B2CB"/>
    <w:rsid w:val="0F22EEEE"/>
    <w:rsid w:val="10E487F5"/>
    <w:rsid w:val="115CA9E9"/>
    <w:rsid w:val="1249499F"/>
    <w:rsid w:val="12E181EE"/>
    <w:rsid w:val="134216A6"/>
    <w:rsid w:val="1398D3A2"/>
    <w:rsid w:val="14CCB6A8"/>
    <w:rsid w:val="1D8419FA"/>
    <w:rsid w:val="1E7FBF39"/>
    <w:rsid w:val="1F1FEA5B"/>
    <w:rsid w:val="21254B61"/>
    <w:rsid w:val="2A231E2A"/>
    <w:rsid w:val="2B67FA2C"/>
    <w:rsid w:val="3CBF7B34"/>
    <w:rsid w:val="3D9ED622"/>
    <w:rsid w:val="45B24185"/>
    <w:rsid w:val="482885DF"/>
    <w:rsid w:val="48E7AC4F"/>
    <w:rsid w:val="4BB0725D"/>
    <w:rsid w:val="4DE0775C"/>
    <w:rsid w:val="5A20A2E5"/>
    <w:rsid w:val="60993740"/>
    <w:rsid w:val="60E104D5"/>
    <w:rsid w:val="61651F17"/>
    <w:rsid w:val="62D16C96"/>
    <w:rsid w:val="66624BB3"/>
    <w:rsid w:val="681794E9"/>
    <w:rsid w:val="694E379D"/>
    <w:rsid w:val="6FE11512"/>
    <w:rsid w:val="70654734"/>
    <w:rsid w:val="707F540C"/>
    <w:rsid w:val="72097C79"/>
    <w:rsid w:val="743EBB50"/>
    <w:rsid w:val="750B7698"/>
    <w:rsid w:val="783831C0"/>
    <w:rsid w:val="7BE27D2F"/>
    <w:rsid w:val="7CFB09A0"/>
    <w:rsid w:val="7FA39280"/>
    <w:rsid w:val="7FF16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7721C"/>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73583"/>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28225C"/>
    <w:rPr>
      <w:rFonts w:ascii="Courier New" w:hAnsi="Courier New" w:cs="Courier New"/>
      <w:sz w:val="24"/>
      <w:szCs w:val="24"/>
    </w:rPr>
  </w:style>
  <w:style w:type="character" w:styleId="Refdecomentario">
    <w:name w:val="annotation reference"/>
    <w:basedOn w:val="Fuentedeprrafopredeter"/>
    <w:uiPriority w:val="99"/>
    <w:semiHidden/>
    <w:unhideWhenUsed/>
    <w:rsid w:val="00E22A53"/>
    <w:rPr>
      <w:sz w:val="16"/>
      <w:szCs w:val="16"/>
    </w:rPr>
  </w:style>
  <w:style w:type="paragraph" w:styleId="Textocomentario">
    <w:name w:val="annotation text"/>
    <w:basedOn w:val="Normal"/>
    <w:link w:val="TextocomentarioCar"/>
    <w:uiPriority w:val="99"/>
    <w:semiHidden/>
    <w:unhideWhenUsed/>
    <w:rsid w:val="00E22A53"/>
    <w:rPr>
      <w:sz w:val="20"/>
      <w:szCs w:val="20"/>
    </w:rPr>
  </w:style>
  <w:style w:type="character" w:customStyle="1" w:styleId="TextocomentarioCar">
    <w:name w:val="Texto comentario Car"/>
    <w:basedOn w:val="Fuentedeprrafopredeter"/>
    <w:link w:val="Textocomentario"/>
    <w:uiPriority w:val="99"/>
    <w:semiHidden/>
    <w:rsid w:val="00E22A53"/>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22A53"/>
    <w:rPr>
      <w:b/>
      <w:bCs/>
    </w:rPr>
  </w:style>
  <w:style w:type="character" w:customStyle="1" w:styleId="AsuntodelcomentarioCar">
    <w:name w:val="Asunto del comentario Car"/>
    <w:basedOn w:val="TextocomentarioCar"/>
    <w:link w:val="Asuntodelcomentario"/>
    <w:uiPriority w:val="99"/>
    <w:semiHidden/>
    <w:rsid w:val="00E22A53"/>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20274843">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221865253">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99668847">
      <w:bodyDiv w:val="1"/>
      <w:marLeft w:val="0"/>
      <w:marRight w:val="0"/>
      <w:marTop w:val="0"/>
      <w:marBottom w:val="0"/>
      <w:divBdr>
        <w:top w:val="none" w:sz="0" w:space="0" w:color="auto"/>
        <w:left w:val="none" w:sz="0" w:space="0" w:color="auto"/>
        <w:bottom w:val="none" w:sz="0" w:space="0" w:color="auto"/>
        <w:right w:val="none" w:sz="0" w:space="0" w:color="auto"/>
      </w:divBdr>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1981496961">
      <w:bodyDiv w:val="1"/>
      <w:marLeft w:val="0"/>
      <w:marRight w:val="0"/>
      <w:marTop w:val="0"/>
      <w:marBottom w:val="0"/>
      <w:divBdr>
        <w:top w:val="none" w:sz="0" w:space="0" w:color="auto"/>
        <w:left w:val="none" w:sz="0" w:space="0" w:color="auto"/>
        <w:bottom w:val="none" w:sz="0" w:space="0" w:color="auto"/>
        <w:right w:val="none" w:sz="0" w:space="0" w:color="auto"/>
      </w:divBdr>
    </w:div>
    <w:div w:id="205464885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17DD-B63E-4D2A-9416-AFFC6ABC0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E29FE-9E7F-4C72-B73D-B8A843C6EDE7}">
  <ds:schemaRefs>
    <ds:schemaRef ds:uri="http://schemas.microsoft.com/sharepoint/v3/contenttype/forms"/>
  </ds:schemaRefs>
</ds:datastoreItem>
</file>

<file path=customXml/itemProps3.xml><?xml version="1.0" encoding="utf-8"?>
<ds:datastoreItem xmlns:ds="http://schemas.openxmlformats.org/officeDocument/2006/customXml" ds:itemID="{4BFC1A9C-B0C7-4371-A1F7-31163FDF00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ED924E-4A0F-4F69-B8D5-62A7D5E0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1993</Words>
  <Characters>10966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14</cp:revision>
  <cp:lastPrinted>2018-04-19T16:23:00Z</cp:lastPrinted>
  <dcterms:created xsi:type="dcterms:W3CDTF">2021-06-21T14:16:00Z</dcterms:created>
  <dcterms:modified xsi:type="dcterms:W3CDTF">2022-03-01T12:45:00Z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