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B7C04" w14:textId="77777777" w:rsidR="00ED7D44" w:rsidRPr="00EE0693" w:rsidRDefault="00ED7D44" w:rsidP="00ED7D4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_tradnl" w:eastAsia="fr-FR"/>
        </w:rPr>
      </w:pPr>
      <w:bookmarkStart w:id="0" w:name="_Hlk76320119"/>
      <w:r w:rsidRPr="00EE0693">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75B1832F" w14:textId="77777777" w:rsidR="00ED7D44" w:rsidRPr="00EE0693" w:rsidRDefault="00ED7D44" w:rsidP="00ED7D44">
      <w:pPr>
        <w:jc w:val="both"/>
        <w:rPr>
          <w:rFonts w:ascii="Arial" w:hAnsi="Arial" w:cs="Arial"/>
          <w:lang w:val="es-ES_tradnl"/>
        </w:rPr>
      </w:pPr>
    </w:p>
    <w:p w14:paraId="4389114F" w14:textId="00D65DEA" w:rsidR="00ED7D44" w:rsidRPr="00EE0693" w:rsidRDefault="00ED7D44" w:rsidP="00ED7D44">
      <w:pPr>
        <w:jc w:val="both"/>
        <w:rPr>
          <w:rFonts w:ascii="Arial" w:hAnsi="Arial" w:cs="Arial"/>
          <w:lang w:val="es-ES_tradnl"/>
        </w:rPr>
      </w:pPr>
      <w:r w:rsidRPr="00EE0693">
        <w:rPr>
          <w:rFonts w:ascii="Arial" w:hAnsi="Arial" w:cs="Arial"/>
          <w:lang w:val="es-ES_tradnl"/>
        </w:rPr>
        <w:t>Asunto</w:t>
      </w:r>
      <w:r w:rsidRPr="00EE0693">
        <w:rPr>
          <w:rFonts w:ascii="Arial" w:hAnsi="Arial" w:cs="Arial"/>
          <w:lang w:val="es-ES_tradnl"/>
        </w:rPr>
        <w:tab/>
      </w:r>
      <w:r w:rsidRPr="00EE0693">
        <w:rPr>
          <w:rFonts w:ascii="Arial" w:hAnsi="Arial" w:cs="Arial"/>
          <w:lang w:val="es-ES_tradnl"/>
        </w:rPr>
        <w:tab/>
      </w:r>
      <w:r w:rsidRPr="00EE0693">
        <w:rPr>
          <w:rFonts w:ascii="Arial" w:hAnsi="Arial" w:cs="Arial"/>
          <w:lang w:val="es-ES_tradnl"/>
        </w:rPr>
        <w:tab/>
        <w:t>: Admisibilidad apelación auto</w:t>
      </w:r>
    </w:p>
    <w:p w14:paraId="7C69E122" w14:textId="77777777" w:rsidR="00ED7D44" w:rsidRPr="00EE0693" w:rsidRDefault="00ED7D44" w:rsidP="00ED7D44">
      <w:pPr>
        <w:jc w:val="both"/>
        <w:rPr>
          <w:rFonts w:ascii="Arial" w:hAnsi="Arial" w:cs="Arial"/>
          <w:lang w:val="es-ES_tradnl"/>
        </w:rPr>
      </w:pPr>
      <w:r w:rsidRPr="00EE0693">
        <w:rPr>
          <w:rFonts w:ascii="Arial" w:hAnsi="Arial" w:cs="Arial"/>
          <w:lang w:val="es-ES_tradnl"/>
        </w:rPr>
        <w:t>Proceso</w:t>
      </w:r>
      <w:r w:rsidRPr="00EE0693">
        <w:rPr>
          <w:rFonts w:ascii="Arial" w:hAnsi="Arial" w:cs="Arial"/>
          <w:lang w:val="es-ES_tradnl"/>
        </w:rPr>
        <w:tab/>
      </w:r>
      <w:r w:rsidRPr="00EE0693">
        <w:rPr>
          <w:rFonts w:ascii="Arial" w:hAnsi="Arial" w:cs="Arial"/>
          <w:lang w:val="es-ES_tradnl"/>
        </w:rPr>
        <w:tab/>
        <w:t>: Verbal – Divorcio</w:t>
      </w:r>
    </w:p>
    <w:p w14:paraId="04EEC29A" w14:textId="77777777" w:rsidR="00ED7D44" w:rsidRPr="00EE0693" w:rsidRDefault="00ED7D44" w:rsidP="00ED7D44">
      <w:pPr>
        <w:jc w:val="both"/>
        <w:rPr>
          <w:rFonts w:ascii="Arial" w:hAnsi="Arial" w:cs="Arial"/>
          <w:lang w:val="es-ES_tradnl"/>
        </w:rPr>
      </w:pPr>
      <w:r w:rsidRPr="00EE0693">
        <w:rPr>
          <w:rFonts w:ascii="Arial" w:hAnsi="Arial" w:cs="Arial"/>
          <w:lang w:val="es-ES_tradnl"/>
        </w:rPr>
        <w:t>Demandante</w:t>
      </w:r>
      <w:r w:rsidRPr="00EE0693">
        <w:rPr>
          <w:rFonts w:ascii="Arial" w:hAnsi="Arial" w:cs="Arial"/>
          <w:lang w:val="es-ES_tradnl"/>
        </w:rPr>
        <w:tab/>
      </w:r>
      <w:r w:rsidRPr="00EE0693">
        <w:rPr>
          <w:rFonts w:ascii="Arial" w:hAnsi="Arial" w:cs="Arial"/>
          <w:lang w:val="es-ES_tradnl"/>
        </w:rPr>
        <w:tab/>
        <w:t>: Julián Rodríguez Herrera</w:t>
      </w:r>
    </w:p>
    <w:p w14:paraId="56AC3B20" w14:textId="77777777" w:rsidR="00ED7D44" w:rsidRPr="00EE0693" w:rsidRDefault="00ED7D44" w:rsidP="00ED7D44">
      <w:pPr>
        <w:jc w:val="both"/>
        <w:rPr>
          <w:rFonts w:ascii="Arial" w:hAnsi="Arial" w:cs="Arial"/>
          <w:lang w:val="es-ES_tradnl"/>
        </w:rPr>
      </w:pPr>
      <w:r w:rsidRPr="00EE0693">
        <w:rPr>
          <w:rFonts w:ascii="Arial" w:hAnsi="Arial" w:cs="Arial"/>
          <w:lang w:val="es-ES_tradnl"/>
        </w:rPr>
        <w:t>Demandada</w:t>
      </w:r>
      <w:r w:rsidRPr="00EE0693">
        <w:rPr>
          <w:rFonts w:ascii="Arial" w:hAnsi="Arial" w:cs="Arial"/>
          <w:lang w:val="es-ES_tradnl"/>
        </w:rPr>
        <w:tab/>
      </w:r>
      <w:r w:rsidRPr="00EE0693">
        <w:rPr>
          <w:rFonts w:ascii="Arial" w:hAnsi="Arial" w:cs="Arial"/>
          <w:lang w:val="es-ES_tradnl"/>
        </w:rPr>
        <w:tab/>
        <w:t>: Teresa Quintero Bermúdez</w:t>
      </w:r>
    </w:p>
    <w:p w14:paraId="286528C5" w14:textId="77777777" w:rsidR="00ED7D44" w:rsidRPr="00EE0693" w:rsidRDefault="00ED7D44" w:rsidP="00ED7D44">
      <w:pPr>
        <w:jc w:val="both"/>
        <w:rPr>
          <w:rFonts w:ascii="Arial" w:hAnsi="Arial" w:cs="Arial"/>
          <w:lang w:val="es-ES_tradnl"/>
        </w:rPr>
      </w:pPr>
      <w:r w:rsidRPr="00EE0693">
        <w:rPr>
          <w:rFonts w:ascii="Arial" w:hAnsi="Arial" w:cs="Arial"/>
          <w:lang w:val="es-ES_tradnl"/>
        </w:rPr>
        <w:t>Procedencia</w:t>
      </w:r>
      <w:r w:rsidRPr="00EE0693">
        <w:rPr>
          <w:rFonts w:ascii="Arial" w:hAnsi="Arial" w:cs="Arial"/>
          <w:lang w:val="es-ES_tradnl"/>
        </w:rPr>
        <w:tab/>
      </w:r>
      <w:r w:rsidRPr="00EE0693">
        <w:rPr>
          <w:rFonts w:ascii="Arial" w:hAnsi="Arial" w:cs="Arial"/>
          <w:lang w:val="es-ES_tradnl"/>
        </w:rPr>
        <w:tab/>
        <w:t>: Juzgado Segundo de Familia de Pereira, R.</w:t>
      </w:r>
    </w:p>
    <w:p w14:paraId="4BD9E7DB" w14:textId="77777777" w:rsidR="00ED7D44" w:rsidRPr="00EE0693" w:rsidRDefault="00ED7D44" w:rsidP="00ED7D44">
      <w:pPr>
        <w:jc w:val="both"/>
        <w:rPr>
          <w:rFonts w:ascii="Arial" w:hAnsi="Arial" w:cs="Arial"/>
          <w:lang w:val="es-ES_tradnl"/>
        </w:rPr>
      </w:pPr>
      <w:r w:rsidRPr="00EE0693">
        <w:rPr>
          <w:rFonts w:ascii="Arial" w:hAnsi="Arial" w:cs="Arial"/>
          <w:lang w:val="es-ES_tradnl"/>
        </w:rPr>
        <w:t>Radicación</w:t>
      </w:r>
      <w:r w:rsidRPr="00EE0693">
        <w:rPr>
          <w:rFonts w:ascii="Arial" w:hAnsi="Arial" w:cs="Arial"/>
          <w:lang w:val="es-ES_tradnl"/>
        </w:rPr>
        <w:tab/>
      </w:r>
      <w:r w:rsidRPr="00EE0693">
        <w:rPr>
          <w:rFonts w:ascii="Arial" w:hAnsi="Arial" w:cs="Arial"/>
          <w:lang w:val="es-ES_tradnl"/>
        </w:rPr>
        <w:tab/>
        <w:t>: 66001-31-03-002-2019-00342-01</w:t>
      </w:r>
    </w:p>
    <w:p w14:paraId="01A091AE" w14:textId="77777777" w:rsidR="00ED7D44" w:rsidRPr="00EE0693" w:rsidRDefault="00ED7D44" w:rsidP="00ED7D44">
      <w:pPr>
        <w:jc w:val="both"/>
        <w:rPr>
          <w:rFonts w:ascii="Arial" w:hAnsi="Arial" w:cs="Arial"/>
          <w:lang w:val="es-ES_tradnl"/>
        </w:rPr>
      </w:pPr>
      <w:r w:rsidRPr="00EE0693">
        <w:rPr>
          <w:rFonts w:ascii="Arial" w:hAnsi="Arial" w:cs="Arial"/>
          <w:lang w:val="es-ES_tradnl"/>
        </w:rPr>
        <w:t>Temas</w:t>
      </w:r>
      <w:r w:rsidRPr="00EE0693">
        <w:rPr>
          <w:rFonts w:ascii="Arial" w:hAnsi="Arial" w:cs="Arial"/>
          <w:lang w:val="es-ES_tradnl"/>
        </w:rPr>
        <w:tab/>
      </w:r>
      <w:r w:rsidRPr="00EE0693">
        <w:rPr>
          <w:rFonts w:ascii="Arial" w:hAnsi="Arial" w:cs="Arial"/>
          <w:lang w:val="es-ES_tradnl"/>
        </w:rPr>
        <w:tab/>
      </w:r>
      <w:r w:rsidRPr="00EE0693">
        <w:rPr>
          <w:rFonts w:ascii="Arial" w:hAnsi="Arial" w:cs="Arial"/>
          <w:lang w:val="es-ES_tradnl"/>
        </w:rPr>
        <w:tab/>
        <w:t>: Procedencia – Taxatividad - Analogía</w:t>
      </w:r>
    </w:p>
    <w:p w14:paraId="3602AB32" w14:textId="080180E1" w:rsidR="00ED7D44" w:rsidRPr="00EE0693" w:rsidRDefault="00ED7D44" w:rsidP="00ED7D44">
      <w:pPr>
        <w:jc w:val="both"/>
        <w:rPr>
          <w:rFonts w:ascii="Arial" w:hAnsi="Arial" w:cs="Arial"/>
          <w:lang w:val="es-ES_tradnl"/>
        </w:rPr>
      </w:pPr>
      <w:proofErr w:type="spellStart"/>
      <w:r w:rsidRPr="00EE0693">
        <w:rPr>
          <w:rFonts w:ascii="Arial" w:hAnsi="Arial" w:cs="Arial"/>
          <w:lang w:val="es-ES_tradnl"/>
        </w:rPr>
        <w:t>Mag</w:t>
      </w:r>
      <w:proofErr w:type="spellEnd"/>
      <w:r w:rsidRPr="00EE0693">
        <w:rPr>
          <w:rFonts w:ascii="Arial" w:hAnsi="Arial" w:cs="Arial"/>
          <w:lang w:val="es-ES_tradnl"/>
        </w:rPr>
        <w:t xml:space="preserve"> Sustanciador</w:t>
      </w:r>
      <w:r w:rsidRPr="00EE0693">
        <w:rPr>
          <w:rFonts w:ascii="Arial" w:hAnsi="Arial" w:cs="Arial"/>
          <w:lang w:val="es-ES_tradnl"/>
        </w:rPr>
        <w:tab/>
        <w:t>: DUBERNEY GRISALES HERRERA</w:t>
      </w:r>
    </w:p>
    <w:p w14:paraId="1F6E603A" w14:textId="77777777" w:rsidR="00ED7D44" w:rsidRPr="00EE0693" w:rsidRDefault="00ED7D44" w:rsidP="00ED7D44">
      <w:pPr>
        <w:jc w:val="both"/>
        <w:rPr>
          <w:rFonts w:ascii="Arial" w:hAnsi="Arial" w:cs="Arial"/>
          <w:lang w:val="es-ES_tradnl"/>
        </w:rPr>
      </w:pPr>
    </w:p>
    <w:p w14:paraId="686E5A59" w14:textId="72C4D96F" w:rsidR="00ED7D44" w:rsidRPr="00EE0693" w:rsidRDefault="003F6765" w:rsidP="00ED7D44">
      <w:pPr>
        <w:pStyle w:val="Sinespaciado"/>
        <w:jc w:val="both"/>
        <w:rPr>
          <w:rFonts w:ascii="Arial" w:hAnsi="Arial" w:cs="Arial"/>
          <w:b/>
          <w:bCs/>
          <w:iCs/>
          <w:sz w:val="20"/>
          <w:szCs w:val="20"/>
          <w:lang w:val="es-ES_tradnl" w:eastAsia="fr-FR"/>
        </w:rPr>
      </w:pPr>
      <w:r w:rsidRPr="00EE0693">
        <w:rPr>
          <w:rFonts w:ascii="Arial" w:hAnsi="Arial" w:cs="Arial"/>
          <w:b/>
          <w:bCs/>
          <w:iCs/>
          <w:sz w:val="20"/>
          <w:szCs w:val="20"/>
          <w:u w:val="single"/>
          <w:lang w:val="es-ES_tradnl" w:eastAsia="fr-FR"/>
        </w:rPr>
        <w:t>TEMAS:</w:t>
      </w:r>
      <w:r w:rsidRPr="00EE0693">
        <w:rPr>
          <w:rFonts w:ascii="Arial" w:hAnsi="Arial" w:cs="Arial"/>
          <w:b/>
          <w:bCs/>
          <w:iCs/>
          <w:sz w:val="20"/>
          <w:szCs w:val="20"/>
          <w:lang w:val="es-ES_tradnl" w:eastAsia="fr-FR"/>
        </w:rPr>
        <w:tab/>
      </w:r>
      <w:r>
        <w:rPr>
          <w:rFonts w:ascii="Arial" w:hAnsi="Arial" w:cs="Arial"/>
          <w:b/>
          <w:bCs/>
          <w:iCs/>
          <w:sz w:val="20"/>
          <w:szCs w:val="20"/>
          <w:lang w:val="es-ES_tradnl" w:eastAsia="fr-FR"/>
        </w:rPr>
        <w:t xml:space="preserve">EXCEPCIÓN PREVIA / FALTA DE COMPETENCIA / </w:t>
      </w:r>
      <w:r w:rsidR="00394103">
        <w:rPr>
          <w:rFonts w:ascii="Arial" w:hAnsi="Arial" w:cs="Arial"/>
          <w:b/>
          <w:bCs/>
          <w:iCs/>
          <w:sz w:val="20"/>
          <w:szCs w:val="20"/>
          <w:lang w:val="es-ES_tradnl" w:eastAsia="fr-FR"/>
        </w:rPr>
        <w:t xml:space="preserve">LA DECISIÓN </w:t>
      </w:r>
      <w:r w:rsidR="00394103">
        <w:rPr>
          <w:rFonts w:ascii="Arial" w:hAnsi="Arial" w:cs="Arial"/>
          <w:b/>
          <w:bCs/>
          <w:iCs/>
          <w:sz w:val="20"/>
          <w:szCs w:val="20"/>
          <w:lang w:val="es-ES_tradnl" w:eastAsia="fr-FR"/>
        </w:rPr>
        <w:t xml:space="preserve">ES </w:t>
      </w:r>
      <w:r>
        <w:rPr>
          <w:rFonts w:ascii="Arial" w:hAnsi="Arial" w:cs="Arial"/>
          <w:b/>
          <w:bCs/>
          <w:iCs/>
          <w:sz w:val="20"/>
          <w:szCs w:val="20"/>
          <w:lang w:val="es-ES_tradnl" w:eastAsia="fr-FR"/>
        </w:rPr>
        <w:t xml:space="preserve">INAPELABLE </w:t>
      </w:r>
      <w:bookmarkStart w:id="1" w:name="_GoBack"/>
      <w:bookmarkEnd w:id="1"/>
      <w:r>
        <w:rPr>
          <w:rFonts w:ascii="Arial" w:hAnsi="Arial" w:cs="Arial"/>
          <w:b/>
          <w:bCs/>
          <w:iCs/>
          <w:sz w:val="20"/>
          <w:szCs w:val="20"/>
          <w:lang w:val="es-ES_tradnl" w:eastAsia="fr-FR"/>
        </w:rPr>
        <w:t xml:space="preserve">/ PRINCIPIO DE TAXATIVIDAD / </w:t>
      </w:r>
      <w:r w:rsidR="00682B58">
        <w:rPr>
          <w:rFonts w:ascii="Arial" w:hAnsi="Arial" w:cs="Arial"/>
          <w:b/>
          <w:bCs/>
          <w:iCs/>
          <w:sz w:val="20"/>
          <w:szCs w:val="20"/>
          <w:lang w:val="es-ES_tradnl" w:eastAsia="fr-FR"/>
        </w:rPr>
        <w:t>IMPLICA LA REMISIÓN DEL PROCESO AL JUEZ QUE SE CONSIDERA COMPETENTE.</w:t>
      </w:r>
    </w:p>
    <w:p w14:paraId="6C8CFAE5" w14:textId="77777777" w:rsidR="00ED7D44" w:rsidRPr="00EE0693" w:rsidRDefault="00ED7D44" w:rsidP="00ED7D44">
      <w:pPr>
        <w:jc w:val="both"/>
        <w:rPr>
          <w:rFonts w:ascii="Arial" w:hAnsi="Arial" w:cs="Arial"/>
          <w:lang w:val="es-ES_tradnl"/>
        </w:rPr>
      </w:pPr>
    </w:p>
    <w:p w14:paraId="778218FA" w14:textId="11CA3C5C" w:rsidR="00ED7D44" w:rsidRPr="00EE0693" w:rsidRDefault="00DA1E22" w:rsidP="00ED7D44">
      <w:pPr>
        <w:jc w:val="both"/>
        <w:rPr>
          <w:rFonts w:ascii="Arial" w:hAnsi="Arial" w:cs="Arial"/>
          <w:lang w:val="es-ES_tradnl"/>
        </w:rPr>
      </w:pPr>
      <w:r w:rsidRPr="00DA1E22">
        <w:rPr>
          <w:rFonts w:ascii="Arial" w:hAnsi="Arial" w:cs="Arial"/>
          <w:lang w:val="es-ES_tradnl"/>
        </w:rPr>
        <w:t>Hecho el examen preliminar del artículo 325, CGP la decisión recurrida, resolutoria de una excepción previa no está enlistada como pasible de apelación en el artículo 321, CGP, tampoco en las reglas especiales para el trámite de las excepciones previas (Artículo 101, CGP)</w:t>
      </w:r>
      <w:r>
        <w:rPr>
          <w:rFonts w:ascii="Arial" w:hAnsi="Arial" w:cs="Arial"/>
          <w:lang w:val="es-ES_tradnl"/>
        </w:rPr>
        <w:t xml:space="preserve"> …</w:t>
      </w:r>
    </w:p>
    <w:p w14:paraId="55051D57" w14:textId="77777777" w:rsidR="00ED7D44" w:rsidRPr="00EE0693" w:rsidRDefault="00ED7D44" w:rsidP="00ED7D44">
      <w:pPr>
        <w:jc w:val="both"/>
        <w:rPr>
          <w:rFonts w:ascii="Arial" w:hAnsi="Arial" w:cs="Arial"/>
          <w:lang w:val="es-ES_tradnl"/>
        </w:rPr>
      </w:pPr>
    </w:p>
    <w:p w14:paraId="40436973" w14:textId="7410338C" w:rsidR="00ED7D44" w:rsidRPr="00EE0693" w:rsidRDefault="002442F3" w:rsidP="00ED7D44">
      <w:pPr>
        <w:jc w:val="both"/>
        <w:rPr>
          <w:rFonts w:ascii="Arial" w:hAnsi="Arial" w:cs="Arial"/>
          <w:lang w:val="es-ES_tradnl"/>
        </w:rPr>
      </w:pPr>
      <w:r w:rsidRPr="002442F3">
        <w:rPr>
          <w:rFonts w:ascii="Arial" w:hAnsi="Arial" w:cs="Arial"/>
          <w:lang w:val="es-ES_tradnl"/>
        </w:rPr>
        <w:t>El funcionario de conocimiento, impropiamente, al declarar la falta de competencia, terminó el proceso</w:t>
      </w:r>
      <w:r>
        <w:rPr>
          <w:rFonts w:ascii="Arial" w:hAnsi="Arial" w:cs="Arial"/>
          <w:lang w:val="es-ES_tradnl"/>
        </w:rPr>
        <w:t>…</w:t>
      </w:r>
      <w:r w:rsidRPr="002442F3">
        <w:rPr>
          <w:rFonts w:ascii="Arial" w:hAnsi="Arial" w:cs="Arial"/>
          <w:lang w:val="es-ES_tradnl"/>
        </w:rPr>
        <w:t>, cuando con absoluta claridad literal el ordenamiento adjetivo dispone en forma específica que ante la prosperidad de ese medio exceptivo “(…) se ordenará remitir el expediente al juez que corresponda y lo actuado conservará su validez” (Artículo 101, 2°, inciso 3°, ibidem), en este caso, por tratarse del exequátur, debió enviarse a la Sala Civil de la CSJ (Artículo 607, ib.)</w:t>
      </w:r>
      <w:r>
        <w:rPr>
          <w:rFonts w:ascii="Arial" w:hAnsi="Arial" w:cs="Arial"/>
          <w:lang w:val="es-ES_tradnl"/>
        </w:rPr>
        <w:t xml:space="preserve"> …</w:t>
      </w:r>
    </w:p>
    <w:p w14:paraId="75312842" w14:textId="77777777" w:rsidR="00ED7D44" w:rsidRPr="00EE0693" w:rsidRDefault="00ED7D44" w:rsidP="00ED7D44">
      <w:pPr>
        <w:jc w:val="both"/>
        <w:rPr>
          <w:rFonts w:ascii="Arial" w:hAnsi="Arial" w:cs="Arial"/>
          <w:lang w:val="es-ES_tradnl"/>
        </w:rPr>
      </w:pPr>
    </w:p>
    <w:p w14:paraId="79E250C0" w14:textId="7CB94FEC" w:rsidR="00ED7D44" w:rsidRDefault="002442F3" w:rsidP="00ED7D44">
      <w:pPr>
        <w:jc w:val="both"/>
        <w:rPr>
          <w:rFonts w:ascii="Arial" w:hAnsi="Arial" w:cs="Arial"/>
          <w:lang w:val="es-ES_tradnl"/>
        </w:rPr>
      </w:pPr>
      <w:r w:rsidRPr="002442F3">
        <w:rPr>
          <w:rFonts w:ascii="Arial" w:hAnsi="Arial" w:cs="Arial"/>
          <w:lang w:val="es-ES_tradnl"/>
        </w:rPr>
        <w:t>Por definición la procedencia de la apelación es un juicio prestablecido por el legislador, que ex ante selecciona cuáles son esas decisiones, ningún arbitrio o potestad se confiere al juez (a) para que adelante esa tarea</w:t>
      </w:r>
      <w:r>
        <w:rPr>
          <w:rFonts w:ascii="Arial" w:hAnsi="Arial" w:cs="Arial"/>
          <w:lang w:val="es-ES_tradnl"/>
        </w:rPr>
        <w:t>…</w:t>
      </w:r>
    </w:p>
    <w:p w14:paraId="6C3C0B8A" w14:textId="5693A23F" w:rsidR="002442F3" w:rsidRDefault="002442F3" w:rsidP="00ED7D44">
      <w:pPr>
        <w:jc w:val="both"/>
        <w:rPr>
          <w:rFonts w:ascii="Arial" w:hAnsi="Arial" w:cs="Arial"/>
          <w:lang w:val="es-ES_tradnl"/>
        </w:rPr>
      </w:pPr>
    </w:p>
    <w:p w14:paraId="78C42120" w14:textId="65443E15" w:rsidR="002442F3" w:rsidRPr="00EE0693" w:rsidRDefault="003F6765" w:rsidP="00ED7D44">
      <w:pPr>
        <w:jc w:val="both"/>
        <w:rPr>
          <w:rFonts w:ascii="Arial" w:hAnsi="Arial" w:cs="Arial"/>
          <w:lang w:val="es-ES_tradnl"/>
        </w:rPr>
      </w:pPr>
      <w:r w:rsidRPr="003F6765">
        <w:rPr>
          <w:rFonts w:ascii="Arial" w:hAnsi="Arial" w:cs="Arial"/>
          <w:lang w:val="es-ES_tradnl"/>
        </w:rPr>
        <w:t>Importante memorar que es inaplicable, a la luz de la teoría hermenéutica jurídica general, la analogía para estos eventos, pues las situaciones exceptivas por su misma naturaleza, están excluidas de la figura</w:t>
      </w:r>
      <w:r>
        <w:rPr>
          <w:rFonts w:ascii="Arial" w:hAnsi="Arial" w:cs="Arial"/>
          <w:lang w:val="es-ES_tradnl"/>
        </w:rPr>
        <w:t>…</w:t>
      </w:r>
    </w:p>
    <w:p w14:paraId="7A40E1CA" w14:textId="77777777" w:rsidR="00ED7D44" w:rsidRPr="00EE0693" w:rsidRDefault="00ED7D44" w:rsidP="00ED7D44">
      <w:pPr>
        <w:jc w:val="both"/>
        <w:rPr>
          <w:rFonts w:ascii="Arial" w:hAnsi="Arial" w:cs="Arial"/>
          <w:lang w:val="es-ES_tradnl"/>
        </w:rPr>
      </w:pPr>
    </w:p>
    <w:p w14:paraId="2622EEF5" w14:textId="77777777" w:rsidR="00ED7D44" w:rsidRPr="00EE0693" w:rsidRDefault="00ED7D44" w:rsidP="00ED7D44">
      <w:pPr>
        <w:jc w:val="both"/>
        <w:rPr>
          <w:rFonts w:ascii="Arial" w:hAnsi="Arial" w:cs="Arial"/>
          <w:lang w:val="es-ES_tradnl"/>
        </w:rPr>
      </w:pPr>
    </w:p>
    <w:p w14:paraId="2535E820" w14:textId="77777777" w:rsidR="00ED7D44" w:rsidRPr="00EE0693" w:rsidRDefault="00ED7D44" w:rsidP="00ED7D44">
      <w:pPr>
        <w:jc w:val="both"/>
        <w:rPr>
          <w:rFonts w:ascii="Arial" w:hAnsi="Arial" w:cs="Arial"/>
          <w:lang w:val="es-ES_tradnl"/>
        </w:rPr>
      </w:pPr>
    </w:p>
    <w:bookmarkEnd w:id="0"/>
    <w:p w14:paraId="10B8F23B" w14:textId="77777777" w:rsidR="00CF2BC2" w:rsidRPr="00EE0693" w:rsidRDefault="000F3C9E" w:rsidP="00283F3B">
      <w:pPr>
        <w:pStyle w:val="Sinespaciado1"/>
        <w:spacing w:line="360" w:lineRule="auto"/>
        <w:jc w:val="center"/>
        <w:rPr>
          <w:rFonts w:ascii="Georgia" w:hAnsi="Georgia" w:cs="Arial"/>
          <w:w w:val="140"/>
          <w:sz w:val="14"/>
          <w:szCs w:val="14"/>
          <w:lang w:val="es-ES_tradnl"/>
        </w:rPr>
      </w:pPr>
      <w:r w:rsidRPr="00EE0693">
        <w:rPr>
          <w:rFonts w:ascii="Georgia" w:hAnsi="Georgia"/>
          <w:noProof/>
          <w:lang w:val="es-ES_tradnl"/>
        </w:rPr>
        <w:drawing>
          <wp:anchor distT="0" distB="0" distL="114300" distR="114300" simplePos="0" relativeHeight="251658240" behindDoc="0" locked="0" layoutInCell="1" allowOverlap="1" wp14:anchorId="10B8F296" wp14:editId="10B8F297">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10B8F23C" w14:textId="77777777" w:rsidR="00CF2BC2" w:rsidRPr="00EE0693" w:rsidRDefault="00CF2BC2" w:rsidP="00283F3B">
      <w:pPr>
        <w:pStyle w:val="Sinespaciado1"/>
        <w:spacing w:line="360" w:lineRule="auto"/>
        <w:jc w:val="center"/>
        <w:rPr>
          <w:rFonts w:ascii="Georgia" w:hAnsi="Georgia" w:cs="Arial"/>
          <w:w w:val="140"/>
          <w:sz w:val="14"/>
          <w:szCs w:val="14"/>
          <w:lang w:val="es-ES_tradnl"/>
        </w:rPr>
      </w:pPr>
    </w:p>
    <w:p w14:paraId="10B8F23D" w14:textId="77777777" w:rsidR="00CF2BC2" w:rsidRPr="00EE0693" w:rsidRDefault="00CF2BC2" w:rsidP="00283F3B">
      <w:pPr>
        <w:pStyle w:val="Sinespaciado1"/>
        <w:spacing w:line="360" w:lineRule="auto"/>
        <w:jc w:val="center"/>
        <w:rPr>
          <w:rFonts w:ascii="Georgia" w:hAnsi="Georgia" w:cs="Arial"/>
          <w:w w:val="140"/>
          <w:sz w:val="14"/>
          <w:szCs w:val="14"/>
          <w:lang w:val="es-ES_tradnl"/>
        </w:rPr>
      </w:pPr>
      <w:r w:rsidRPr="00EE0693">
        <w:rPr>
          <w:rFonts w:ascii="Georgia" w:hAnsi="Georgia" w:cs="Arial"/>
          <w:w w:val="140"/>
          <w:sz w:val="14"/>
          <w:szCs w:val="14"/>
          <w:lang w:val="es-ES_tradnl"/>
        </w:rPr>
        <w:t>REPUBLICA DE COLOMBIA</w:t>
      </w:r>
    </w:p>
    <w:p w14:paraId="10B8F23E" w14:textId="77777777" w:rsidR="00CF2BC2" w:rsidRPr="00EE0693" w:rsidRDefault="00CF2BC2" w:rsidP="00283F3B">
      <w:pPr>
        <w:pStyle w:val="Sinespaciado1"/>
        <w:tabs>
          <w:tab w:val="center" w:pos="4987"/>
          <w:tab w:val="left" w:pos="8449"/>
        </w:tabs>
        <w:spacing w:line="360" w:lineRule="auto"/>
        <w:jc w:val="center"/>
        <w:rPr>
          <w:rFonts w:ascii="Georgia" w:hAnsi="Georgia" w:cs="Arial"/>
          <w:w w:val="140"/>
          <w:lang w:val="es-ES_tradnl"/>
        </w:rPr>
      </w:pPr>
      <w:r w:rsidRPr="00EE0693">
        <w:rPr>
          <w:rFonts w:ascii="Georgia" w:hAnsi="Georgia" w:cs="Arial"/>
          <w:w w:val="140"/>
          <w:sz w:val="14"/>
          <w:szCs w:val="14"/>
          <w:lang w:val="es-ES_tradnl"/>
        </w:rPr>
        <w:t>RAMA JUDICIAL DEL PODER PÚBLICO</w:t>
      </w:r>
    </w:p>
    <w:p w14:paraId="10B8F23F" w14:textId="77777777" w:rsidR="00D91179" w:rsidRPr="00EE0693" w:rsidRDefault="00D91179" w:rsidP="00D91179">
      <w:pPr>
        <w:pStyle w:val="Sinespaciado"/>
        <w:spacing w:line="360" w:lineRule="auto"/>
        <w:jc w:val="center"/>
        <w:rPr>
          <w:rFonts w:ascii="Georgia" w:hAnsi="Georgia" w:cs="Arial"/>
          <w:b/>
          <w:w w:val="140"/>
          <w:sz w:val="16"/>
          <w:szCs w:val="16"/>
          <w:lang w:val="es-ES_tradnl"/>
        </w:rPr>
      </w:pPr>
      <w:r w:rsidRPr="00EE0693">
        <w:rPr>
          <w:rFonts w:ascii="Georgia" w:hAnsi="Georgia" w:cs="Arial"/>
          <w:b/>
          <w:w w:val="140"/>
          <w:sz w:val="18"/>
          <w:szCs w:val="18"/>
          <w:lang w:val="es-ES_tradnl"/>
        </w:rPr>
        <w:t>T</w:t>
      </w:r>
      <w:r w:rsidRPr="00EE0693">
        <w:rPr>
          <w:rFonts w:ascii="Georgia" w:hAnsi="Georgia" w:cs="Arial"/>
          <w:b/>
          <w:w w:val="140"/>
          <w:sz w:val="16"/>
          <w:szCs w:val="16"/>
          <w:lang w:val="es-ES_tradnl"/>
        </w:rPr>
        <w:t>RIBUNAL</w:t>
      </w:r>
      <w:r w:rsidRPr="00EE0693">
        <w:rPr>
          <w:rFonts w:ascii="Georgia" w:hAnsi="Georgia" w:cs="Arial"/>
          <w:b/>
          <w:w w:val="140"/>
          <w:sz w:val="18"/>
          <w:szCs w:val="18"/>
          <w:lang w:val="es-ES_tradnl"/>
        </w:rPr>
        <w:t xml:space="preserve"> S</w:t>
      </w:r>
      <w:r w:rsidRPr="00EE0693">
        <w:rPr>
          <w:rFonts w:ascii="Georgia" w:hAnsi="Georgia" w:cs="Arial"/>
          <w:b/>
          <w:w w:val="140"/>
          <w:sz w:val="16"/>
          <w:szCs w:val="16"/>
          <w:lang w:val="es-ES_tradnl"/>
        </w:rPr>
        <w:t xml:space="preserve">UPERIOR DE </w:t>
      </w:r>
      <w:r w:rsidRPr="00EE0693">
        <w:rPr>
          <w:rFonts w:ascii="Georgia" w:hAnsi="Georgia" w:cs="Arial"/>
          <w:b/>
          <w:w w:val="140"/>
          <w:sz w:val="18"/>
          <w:szCs w:val="18"/>
          <w:lang w:val="es-ES_tradnl"/>
        </w:rPr>
        <w:t>D</w:t>
      </w:r>
      <w:r w:rsidRPr="00EE0693">
        <w:rPr>
          <w:rFonts w:ascii="Georgia" w:hAnsi="Georgia" w:cs="Arial"/>
          <w:b/>
          <w:w w:val="140"/>
          <w:sz w:val="16"/>
          <w:szCs w:val="16"/>
          <w:lang w:val="es-ES_tradnl"/>
        </w:rPr>
        <w:t>ISTRITO</w:t>
      </w:r>
      <w:r w:rsidRPr="00EE0693">
        <w:rPr>
          <w:rFonts w:ascii="Georgia" w:hAnsi="Georgia" w:cs="Arial"/>
          <w:b/>
          <w:w w:val="140"/>
          <w:sz w:val="18"/>
          <w:szCs w:val="18"/>
          <w:lang w:val="es-ES_tradnl"/>
        </w:rPr>
        <w:t xml:space="preserve"> J</w:t>
      </w:r>
      <w:r w:rsidRPr="00EE0693">
        <w:rPr>
          <w:rFonts w:ascii="Georgia" w:hAnsi="Georgia" w:cs="Arial"/>
          <w:b/>
          <w:w w:val="140"/>
          <w:sz w:val="16"/>
          <w:szCs w:val="16"/>
          <w:lang w:val="es-ES_tradnl"/>
        </w:rPr>
        <w:t>UDICIAL</w:t>
      </w:r>
    </w:p>
    <w:p w14:paraId="10B8F240" w14:textId="77777777" w:rsidR="00D91179" w:rsidRPr="00EE0693" w:rsidRDefault="00D91179" w:rsidP="00D91179">
      <w:pPr>
        <w:pStyle w:val="Sinespaciado"/>
        <w:spacing w:line="360" w:lineRule="auto"/>
        <w:jc w:val="center"/>
        <w:rPr>
          <w:rFonts w:ascii="Georgia" w:hAnsi="Georgia" w:cs="Arial"/>
          <w:w w:val="140"/>
          <w:sz w:val="16"/>
          <w:szCs w:val="16"/>
          <w:lang w:val="es-ES_tradnl"/>
        </w:rPr>
      </w:pPr>
      <w:r w:rsidRPr="00EE0693">
        <w:rPr>
          <w:rFonts w:ascii="Georgia" w:hAnsi="Georgia" w:cs="Arial"/>
          <w:w w:val="140"/>
          <w:sz w:val="18"/>
          <w:szCs w:val="16"/>
          <w:lang w:val="es-ES_tradnl"/>
        </w:rPr>
        <w:t>S</w:t>
      </w:r>
      <w:r w:rsidRPr="00EE0693">
        <w:rPr>
          <w:rFonts w:ascii="Georgia" w:hAnsi="Georgia" w:cs="Arial"/>
          <w:w w:val="140"/>
          <w:sz w:val="16"/>
          <w:szCs w:val="14"/>
          <w:lang w:val="es-ES_tradnl"/>
        </w:rPr>
        <w:t xml:space="preserve">ALA </w:t>
      </w:r>
      <w:r w:rsidRPr="00EE0693">
        <w:rPr>
          <w:rFonts w:ascii="Georgia" w:hAnsi="Georgia" w:cs="Arial"/>
          <w:w w:val="140"/>
          <w:sz w:val="18"/>
          <w:szCs w:val="18"/>
          <w:lang w:val="es-ES_tradnl"/>
        </w:rPr>
        <w:t>U</w:t>
      </w:r>
      <w:r w:rsidRPr="00EE0693">
        <w:rPr>
          <w:rFonts w:ascii="Georgia" w:hAnsi="Georgia" w:cs="Arial"/>
          <w:w w:val="140"/>
          <w:sz w:val="16"/>
          <w:szCs w:val="16"/>
          <w:lang w:val="es-ES_tradnl"/>
        </w:rPr>
        <w:t>NITARIA</w:t>
      </w:r>
      <w:r w:rsidRPr="00EE0693">
        <w:rPr>
          <w:rFonts w:ascii="Georgia" w:hAnsi="Georgia" w:cs="Arial"/>
          <w:w w:val="140"/>
          <w:sz w:val="14"/>
          <w:szCs w:val="14"/>
          <w:lang w:val="es-ES_tradnl"/>
        </w:rPr>
        <w:t xml:space="preserve"> </w:t>
      </w:r>
      <w:r w:rsidRPr="00EE0693">
        <w:rPr>
          <w:rFonts w:ascii="Georgia" w:hAnsi="Georgia" w:cs="Arial"/>
          <w:w w:val="140"/>
          <w:sz w:val="18"/>
          <w:szCs w:val="16"/>
          <w:lang w:val="es-ES_tradnl"/>
        </w:rPr>
        <w:t>C</w:t>
      </w:r>
      <w:r w:rsidRPr="00EE0693">
        <w:rPr>
          <w:rFonts w:ascii="Georgia" w:hAnsi="Georgia" w:cs="Arial"/>
          <w:w w:val="140"/>
          <w:sz w:val="16"/>
          <w:szCs w:val="16"/>
          <w:lang w:val="es-ES_tradnl"/>
        </w:rPr>
        <w:t>IVIL</w:t>
      </w:r>
      <w:r w:rsidR="00674D49" w:rsidRPr="00EE0693">
        <w:rPr>
          <w:rFonts w:ascii="Georgia" w:hAnsi="Georgia" w:cs="Arial"/>
          <w:w w:val="140"/>
          <w:sz w:val="16"/>
          <w:szCs w:val="16"/>
          <w:lang w:val="es-ES_tradnl"/>
        </w:rPr>
        <w:t xml:space="preserve"> </w:t>
      </w:r>
      <w:r w:rsidRPr="00EE0693">
        <w:rPr>
          <w:rFonts w:ascii="Georgia" w:hAnsi="Georgia" w:cs="Arial"/>
          <w:w w:val="140"/>
          <w:sz w:val="14"/>
          <w:szCs w:val="14"/>
          <w:lang w:val="es-ES_tradnl"/>
        </w:rPr>
        <w:t xml:space="preserve">– </w:t>
      </w:r>
      <w:r w:rsidRPr="00EE0693">
        <w:rPr>
          <w:rFonts w:ascii="Georgia" w:hAnsi="Georgia" w:cs="Arial"/>
          <w:w w:val="140"/>
          <w:sz w:val="18"/>
          <w:szCs w:val="16"/>
          <w:lang w:val="es-ES_tradnl"/>
        </w:rPr>
        <w:t>F</w:t>
      </w:r>
      <w:r w:rsidRPr="00EE0693">
        <w:rPr>
          <w:rFonts w:ascii="Georgia" w:hAnsi="Georgia" w:cs="Arial"/>
          <w:w w:val="140"/>
          <w:sz w:val="16"/>
          <w:szCs w:val="16"/>
          <w:lang w:val="es-ES_tradnl"/>
        </w:rPr>
        <w:t xml:space="preserve">AMILIA – </w:t>
      </w:r>
      <w:r w:rsidRPr="00EE0693">
        <w:rPr>
          <w:rFonts w:ascii="Georgia" w:hAnsi="Georgia" w:cs="Arial"/>
          <w:w w:val="140"/>
          <w:sz w:val="18"/>
          <w:szCs w:val="16"/>
          <w:lang w:val="es-ES_tradnl"/>
        </w:rPr>
        <w:t>D</w:t>
      </w:r>
      <w:r w:rsidRPr="00EE0693">
        <w:rPr>
          <w:rFonts w:ascii="Georgia" w:hAnsi="Georgia" w:cs="Arial"/>
          <w:w w:val="140"/>
          <w:sz w:val="16"/>
          <w:szCs w:val="16"/>
          <w:lang w:val="es-ES_tradnl"/>
        </w:rPr>
        <w:t xml:space="preserve">ISTRITO DE </w:t>
      </w:r>
      <w:r w:rsidRPr="00EE0693">
        <w:rPr>
          <w:rFonts w:ascii="Georgia" w:hAnsi="Georgia" w:cs="Arial"/>
          <w:w w:val="140"/>
          <w:sz w:val="18"/>
          <w:szCs w:val="16"/>
          <w:lang w:val="es-ES_tradnl"/>
        </w:rPr>
        <w:t>P</w:t>
      </w:r>
      <w:r w:rsidRPr="00EE0693">
        <w:rPr>
          <w:rFonts w:ascii="Georgia" w:hAnsi="Georgia" w:cs="Arial"/>
          <w:w w:val="140"/>
          <w:sz w:val="16"/>
          <w:szCs w:val="16"/>
          <w:lang w:val="es-ES_tradnl"/>
        </w:rPr>
        <w:t>EREIRA</w:t>
      </w:r>
    </w:p>
    <w:p w14:paraId="10B8F241" w14:textId="4065F223" w:rsidR="00D91179" w:rsidRPr="00EE0693" w:rsidRDefault="00D91179" w:rsidP="00D91179">
      <w:pPr>
        <w:pStyle w:val="Sinespaciado"/>
        <w:spacing w:line="360" w:lineRule="auto"/>
        <w:jc w:val="center"/>
        <w:rPr>
          <w:rFonts w:ascii="Georgia" w:hAnsi="Georgia" w:cs="Arial"/>
          <w:w w:val="140"/>
          <w:sz w:val="16"/>
          <w:szCs w:val="16"/>
          <w:lang w:val="es-ES_tradnl"/>
        </w:rPr>
      </w:pPr>
      <w:r w:rsidRPr="00EE0693">
        <w:rPr>
          <w:rFonts w:ascii="Georgia" w:hAnsi="Georgia" w:cs="Arial"/>
          <w:w w:val="140"/>
          <w:sz w:val="18"/>
          <w:szCs w:val="18"/>
          <w:lang w:val="es-ES_tradnl"/>
        </w:rPr>
        <w:t>D</w:t>
      </w:r>
      <w:r w:rsidRPr="00EE0693">
        <w:rPr>
          <w:rFonts w:ascii="Georgia" w:hAnsi="Georgia" w:cs="Arial"/>
          <w:w w:val="140"/>
          <w:sz w:val="16"/>
          <w:szCs w:val="16"/>
          <w:lang w:val="es-ES_tradnl"/>
        </w:rPr>
        <w:t>EPARTAMENTO DEL</w:t>
      </w:r>
      <w:r w:rsidRPr="00EE0693">
        <w:rPr>
          <w:rFonts w:ascii="Georgia" w:hAnsi="Georgia" w:cs="Arial"/>
          <w:w w:val="140"/>
          <w:sz w:val="14"/>
          <w:szCs w:val="14"/>
          <w:lang w:val="es-ES_tradnl"/>
        </w:rPr>
        <w:t xml:space="preserve"> </w:t>
      </w:r>
      <w:r w:rsidRPr="00EE0693">
        <w:rPr>
          <w:rFonts w:ascii="Georgia" w:hAnsi="Georgia" w:cs="Arial"/>
          <w:w w:val="140"/>
          <w:sz w:val="18"/>
          <w:szCs w:val="16"/>
          <w:lang w:val="es-ES_tradnl"/>
        </w:rPr>
        <w:t>R</w:t>
      </w:r>
      <w:r w:rsidRPr="00EE0693">
        <w:rPr>
          <w:rFonts w:ascii="Georgia" w:hAnsi="Georgia" w:cs="Arial"/>
          <w:w w:val="140"/>
          <w:sz w:val="16"/>
          <w:szCs w:val="16"/>
          <w:lang w:val="es-ES_tradnl"/>
        </w:rPr>
        <w:t xml:space="preserve">ISARALDA </w:t>
      </w:r>
    </w:p>
    <w:p w14:paraId="10B8F242" w14:textId="64813090" w:rsidR="00CF2BC2" w:rsidRPr="00EE0693" w:rsidRDefault="00CF2BC2" w:rsidP="00ED7D44">
      <w:pPr>
        <w:spacing w:line="276" w:lineRule="auto"/>
        <w:jc w:val="center"/>
        <w:rPr>
          <w:rFonts w:ascii="Georgia" w:hAnsi="Georgia" w:cs="Arial"/>
          <w:b/>
          <w:bCs/>
          <w:sz w:val="22"/>
          <w:szCs w:val="22"/>
          <w:lang w:val="es-ES_tradnl"/>
        </w:rPr>
      </w:pPr>
    </w:p>
    <w:p w14:paraId="5DF131BC" w14:textId="37B1A93F" w:rsidR="00CC7065" w:rsidRPr="00EE0693" w:rsidRDefault="00CC7065" w:rsidP="00ED7D44">
      <w:pPr>
        <w:pStyle w:val="Textoindependiente"/>
        <w:spacing w:line="276" w:lineRule="auto"/>
        <w:jc w:val="center"/>
        <w:rPr>
          <w:rFonts w:ascii="Georgia" w:hAnsi="Georgia" w:cs="Arial"/>
          <w:b/>
        </w:rPr>
      </w:pPr>
      <w:r w:rsidRPr="00EE0693">
        <w:rPr>
          <w:rFonts w:ascii="Georgia" w:hAnsi="Georgia" w:cs="Arial"/>
          <w:b/>
        </w:rPr>
        <w:t>A</w:t>
      </w:r>
      <w:r w:rsidR="00401B24" w:rsidRPr="00EE0693">
        <w:rPr>
          <w:rFonts w:ascii="Georgia" w:hAnsi="Georgia" w:cs="Arial"/>
          <w:b/>
        </w:rPr>
        <w:t>F</w:t>
      </w:r>
      <w:r w:rsidR="5D807590" w:rsidRPr="00EE0693">
        <w:rPr>
          <w:rFonts w:ascii="Georgia" w:hAnsi="Georgia" w:cs="Arial"/>
          <w:b/>
        </w:rPr>
        <w:t>-</w:t>
      </w:r>
      <w:r w:rsidRPr="00EE0693">
        <w:rPr>
          <w:rFonts w:ascii="Georgia" w:hAnsi="Georgia" w:cs="Arial"/>
          <w:b/>
        </w:rPr>
        <w:t>0</w:t>
      </w:r>
      <w:r w:rsidR="00781E9F" w:rsidRPr="00EE0693">
        <w:rPr>
          <w:rFonts w:ascii="Georgia" w:hAnsi="Georgia" w:cs="Arial"/>
          <w:b/>
        </w:rPr>
        <w:t>014</w:t>
      </w:r>
      <w:r w:rsidRPr="00EE0693">
        <w:rPr>
          <w:rFonts w:ascii="Georgia" w:hAnsi="Georgia" w:cs="Arial"/>
          <w:b/>
        </w:rPr>
        <w:t>-2021</w:t>
      </w:r>
    </w:p>
    <w:p w14:paraId="10B8F24B" w14:textId="77777777" w:rsidR="00CF2BC2" w:rsidRPr="00EE0693" w:rsidRDefault="00CF2BC2" w:rsidP="00ED7D44">
      <w:pPr>
        <w:pStyle w:val="Textoindependiente"/>
        <w:pBdr>
          <w:bottom w:val="double" w:sz="6" w:space="1" w:color="auto"/>
        </w:pBdr>
        <w:spacing w:line="276" w:lineRule="auto"/>
        <w:jc w:val="center"/>
        <w:rPr>
          <w:rFonts w:ascii="Georgia" w:hAnsi="Georgia" w:cs="Arial"/>
          <w:sz w:val="22"/>
          <w:szCs w:val="22"/>
        </w:rPr>
      </w:pPr>
    </w:p>
    <w:p w14:paraId="10B8F24C" w14:textId="77777777" w:rsidR="00CF2BC2" w:rsidRPr="00EE0693" w:rsidRDefault="00CF2BC2" w:rsidP="00ED7D44">
      <w:pPr>
        <w:pStyle w:val="Textoindependiente"/>
        <w:spacing w:line="276" w:lineRule="auto"/>
        <w:jc w:val="center"/>
        <w:rPr>
          <w:rFonts w:ascii="Georgia" w:hAnsi="Georgia" w:cs="Arial"/>
        </w:rPr>
      </w:pPr>
    </w:p>
    <w:p w14:paraId="12B04F53" w14:textId="31938BD3" w:rsidR="00731779" w:rsidRPr="00EE0693" w:rsidRDefault="00DF2FF0" w:rsidP="00ED7D44">
      <w:pPr>
        <w:tabs>
          <w:tab w:val="left" w:pos="420"/>
          <w:tab w:val="center" w:pos="4703"/>
        </w:tabs>
        <w:spacing w:line="276" w:lineRule="auto"/>
        <w:jc w:val="center"/>
        <w:rPr>
          <w:rFonts w:ascii="Georgia" w:hAnsi="Georgia" w:cs="Arial"/>
          <w:smallCaps/>
          <w:sz w:val="24"/>
          <w:szCs w:val="24"/>
          <w:lang w:val="es-ES_tradnl"/>
        </w:rPr>
      </w:pPr>
      <w:r w:rsidRPr="00EE0693">
        <w:rPr>
          <w:rFonts w:ascii="Georgia" w:hAnsi="Georgia" w:cs="Arial"/>
          <w:smallCaps/>
          <w:sz w:val="24"/>
          <w:szCs w:val="24"/>
          <w:lang w:val="es-ES_tradnl"/>
        </w:rPr>
        <w:t xml:space="preserve">Dieciséis </w:t>
      </w:r>
      <w:r w:rsidR="00731779" w:rsidRPr="00EE0693">
        <w:rPr>
          <w:rFonts w:ascii="Georgia" w:hAnsi="Georgia" w:cs="Arial"/>
          <w:smallCaps/>
          <w:sz w:val="24"/>
          <w:szCs w:val="24"/>
          <w:lang w:val="es-ES_tradnl"/>
        </w:rPr>
        <w:t>(</w:t>
      </w:r>
      <w:r w:rsidR="00781E9F" w:rsidRPr="00EE0693">
        <w:rPr>
          <w:rFonts w:ascii="Georgia" w:hAnsi="Georgia" w:cs="Arial"/>
          <w:smallCaps/>
          <w:sz w:val="24"/>
          <w:szCs w:val="24"/>
          <w:lang w:val="es-ES_tradnl"/>
        </w:rPr>
        <w:t>1</w:t>
      </w:r>
      <w:r w:rsidRPr="00EE0693">
        <w:rPr>
          <w:rFonts w:ascii="Georgia" w:hAnsi="Georgia" w:cs="Arial"/>
          <w:smallCaps/>
          <w:sz w:val="24"/>
          <w:szCs w:val="24"/>
          <w:lang w:val="es-ES_tradnl"/>
        </w:rPr>
        <w:t>6</w:t>
      </w:r>
      <w:r w:rsidR="00731779" w:rsidRPr="00EE0693">
        <w:rPr>
          <w:rFonts w:ascii="Georgia" w:hAnsi="Georgia" w:cs="Arial"/>
          <w:smallCaps/>
          <w:sz w:val="24"/>
          <w:szCs w:val="24"/>
          <w:lang w:val="es-ES_tradnl"/>
        </w:rPr>
        <w:t xml:space="preserve">) de </w:t>
      </w:r>
      <w:r w:rsidR="003D20C3" w:rsidRPr="00EE0693">
        <w:rPr>
          <w:rFonts w:ascii="Georgia" w:hAnsi="Georgia" w:cs="Arial"/>
          <w:smallCaps/>
          <w:sz w:val="24"/>
          <w:szCs w:val="24"/>
          <w:lang w:val="es-ES_tradnl"/>
        </w:rPr>
        <w:t>septiembre</w:t>
      </w:r>
      <w:r w:rsidR="00B0164D" w:rsidRPr="00EE0693">
        <w:rPr>
          <w:rFonts w:ascii="Georgia" w:hAnsi="Georgia" w:cs="Arial"/>
          <w:smallCaps/>
          <w:sz w:val="24"/>
          <w:szCs w:val="24"/>
          <w:lang w:val="es-ES_tradnl"/>
        </w:rPr>
        <w:t xml:space="preserve"> </w:t>
      </w:r>
      <w:r w:rsidR="00731779" w:rsidRPr="00EE0693">
        <w:rPr>
          <w:rFonts w:ascii="Georgia" w:hAnsi="Georgia" w:cs="Arial"/>
          <w:smallCaps/>
          <w:sz w:val="24"/>
          <w:szCs w:val="24"/>
          <w:lang w:val="es-ES_tradnl"/>
        </w:rPr>
        <w:t>de dos mil veint</w:t>
      </w:r>
      <w:r w:rsidR="00B0164D" w:rsidRPr="00EE0693">
        <w:rPr>
          <w:rFonts w:ascii="Georgia" w:hAnsi="Georgia" w:cs="Arial"/>
          <w:smallCaps/>
          <w:sz w:val="24"/>
          <w:szCs w:val="24"/>
          <w:lang w:val="es-ES_tradnl"/>
        </w:rPr>
        <w:t xml:space="preserve">iuno </w:t>
      </w:r>
      <w:r w:rsidR="00731779" w:rsidRPr="00EE0693">
        <w:rPr>
          <w:rFonts w:ascii="Georgia" w:hAnsi="Georgia" w:cs="Arial"/>
          <w:smallCaps/>
          <w:sz w:val="24"/>
          <w:szCs w:val="24"/>
          <w:lang w:val="es-ES_tradnl"/>
        </w:rPr>
        <w:t>(202</w:t>
      </w:r>
      <w:r w:rsidR="00B0164D" w:rsidRPr="00EE0693">
        <w:rPr>
          <w:rFonts w:ascii="Georgia" w:hAnsi="Georgia" w:cs="Arial"/>
          <w:smallCaps/>
          <w:sz w:val="24"/>
          <w:szCs w:val="24"/>
          <w:lang w:val="es-ES_tradnl"/>
        </w:rPr>
        <w:t>1</w:t>
      </w:r>
      <w:r w:rsidR="00731779" w:rsidRPr="00EE0693">
        <w:rPr>
          <w:rFonts w:ascii="Georgia" w:hAnsi="Georgia" w:cs="Arial"/>
          <w:smallCaps/>
          <w:sz w:val="24"/>
          <w:szCs w:val="24"/>
          <w:lang w:val="es-ES_tradnl"/>
        </w:rPr>
        <w:t>).</w:t>
      </w:r>
    </w:p>
    <w:p w14:paraId="7B80A617" w14:textId="77777777" w:rsidR="00B0164D" w:rsidRPr="00EE0693" w:rsidRDefault="00B0164D" w:rsidP="00ED7D44">
      <w:pPr>
        <w:spacing w:line="276" w:lineRule="auto"/>
        <w:jc w:val="center"/>
        <w:rPr>
          <w:rFonts w:ascii="Georgia" w:hAnsi="Georgia" w:cs="Arial"/>
          <w:smallCaps/>
          <w:sz w:val="24"/>
          <w:szCs w:val="24"/>
          <w:lang w:val="es-ES_tradnl"/>
        </w:rPr>
      </w:pPr>
    </w:p>
    <w:p w14:paraId="10B8F24E" w14:textId="77777777" w:rsidR="00CF2BC2" w:rsidRPr="00EE0693" w:rsidRDefault="00CF2BC2" w:rsidP="00ED7D44">
      <w:pPr>
        <w:spacing w:line="276" w:lineRule="auto"/>
        <w:jc w:val="both"/>
        <w:rPr>
          <w:rFonts w:ascii="Georgia" w:hAnsi="Georgia" w:cs="Arial"/>
          <w:b/>
          <w:bCs/>
          <w:sz w:val="24"/>
          <w:szCs w:val="24"/>
          <w:lang w:val="es-ES_tradnl"/>
        </w:rPr>
      </w:pPr>
    </w:p>
    <w:p w14:paraId="10B8F24F" w14:textId="7FB404B0" w:rsidR="00CF2BC2" w:rsidRPr="00EE0693" w:rsidRDefault="007246DC" w:rsidP="00ED7D44">
      <w:pPr>
        <w:pStyle w:val="Sinespaciado"/>
        <w:widowControl/>
        <w:numPr>
          <w:ilvl w:val="0"/>
          <w:numId w:val="3"/>
        </w:numPr>
        <w:autoSpaceDE/>
        <w:autoSpaceDN/>
        <w:adjustRightInd/>
        <w:spacing w:line="276" w:lineRule="auto"/>
        <w:jc w:val="both"/>
        <w:rPr>
          <w:rFonts w:ascii="Georgia" w:hAnsi="Georgia" w:cs="Arial"/>
          <w:smallCaps/>
          <w:sz w:val="24"/>
          <w:szCs w:val="24"/>
          <w:lang w:val="es-ES_tradnl"/>
        </w:rPr>
      </w:pPr>
      <w:r w:rsidRPr="00EE0693">
        <w:rPr>
          <w:rFonts w:ascii="Georgia" w:hAnsi="Georgia" w:cs="Arial"/>
          <w:b/>
          <w:bCs/>
          <w:smallCaps/>
          <w:sz w:val="24"/>
          <w:szCs w:val="24"/>
          <w:lang w:val="es-ES_tradnl"/>
        </w:rPr>
        <w:t>El asunto por decidir</w:t>
      </w:r>
    </w:p>
    <w:p w14:paraId="10B8F250" w14:textId="77777777" w:rsidR="00CF2BC2" w:rsidRPr="00EE0693" w:rsidRDefault="00CF2BC2" w:rsidP="00ED7D44">
      <w:pPr>
        <w:pStyle w:val="Ttulo"/>
        <w:spacing w:line="276" w:lineRule="auto"/>
        <w:jc w:val="left"/>
        <w:rPr>
          <w:rFonts w:ascii="Georgia" w:hAnsi="Georgia"/>
          <w:b w:val="0"/>
          <w:bCs w:val="0"/>
          <w:i w:val="0"/>
          <w:iCs w:val="0"/>
          <w:spacing w:val="-3"/>
          <w:lang w:val="es-ES_tradnl"/>
        </w:rPr>
      </w:pPr>
    </w:p>
    <w:p w14:paraId="327F6AAA" w14:textId="0F067E87" w:rsidR="003D20C3" w:rsidRPr="00EE0693" w:rsidRDefault="003D20C3" w:rsidP="00ED7D44">
      <w:pPr>
        <w:spacing w:line="276" w:lineRule="auto"/>
        <w:jc w:val="both"/>
        <w:rPr>
          <w:rFonts w:ascii="Georgia" w:hAnsi="Georgia" w:cs="Arial"/>
          <w:sz w:val="24"/>
          <w:szCs w:val="24"/>
          <w:lang w:val="es-ES_tradnl"/>
        </w:rPr>
      </w:pPr>
      <w:r w:rsidRPr="00EE0693">
        <w:rPr>
          <w:rFonts w:ascii="Georgia" w:hAnsi="Georgia" w:cs="Arial"/>
          <w:sz w:val="24"/>
          <w:szCs w:val="24"/>
          <w:lang w:val="es-ES_tradnl"/>
        </w:rPr>
        <w:t>El cumplimiento de los supuestos de viabilidad del recurso ordinario de apelación</w:t>
      </w:r>
      <w:r w:rsidR="00F47712" w:rsidRPr="00EE0693">
        <w:rPr>
          <w:rFonts w:ascii="Georgia" w:hAnsi="Georgia" w:cs="Arial"/>
          <w:sz w:val="24"/>
          <w:szCs w:val="24"/>
          <w:lang w:val="es-ES_tradnl"/>
        </w:rPr>
        <w:t>,</w:t>
      </w:r>
      <w:r w:rsidRPr="00EE0693">
        <w:rPr>
          <w:rFonts w:ascii="Georgia" w:hAnsi="Georgia" w:cs="Arial"/>
          <w:sz w:val="24"/>
          <w:szCs w:val="24"/>
          <w:lang w:val="es-ES_tradnl"/>
        </w:rPr>
        <w:t xml:space="preserve"> propuesto por la parte actora, contra el auto que declaró pr</w:t>
      </w:r>
      <w:r w:rsidR="005E7CE6" w:rsidRPr="00EE0693">
        <w:rPr>
          <w:rFonts w:ascii="Georgia" w:hAnsi="Georgia" w:cs="Arial"/>
          <w:sz w:val="24"/>
          <w:szCs w:val="24"/>
          <w:lang w:val="es-ES_tradnl"/>
        </w:rPr>
        <w:t>ó</w:t>
      </w:r>
      <w:r w:rsidRPr="00EE0693">
        <w:rPr>
          <w:rFonts w:ascii="Georgia" w:hAnsi="Georgia" w:cs="Arial"/>
          <w:sz w:val="24"/>
          <w:szCs w:val="24"/>
          <w:lang w:val="es-ES_tradnl"/>
        </w:rPr>
        <w:t xml:space="preserve">spera la excepción previa de falta de competencia, al tenor de las apreciaciones jurídicas que siguen. </w:t>
      </w:r>
    </w:p>
    <w:p w14:paraId="10B8F252" w14:textId="2936B30B" w:rsidR="00CF2BC2" w:rsidRPr="00EE0693" w:rsidRDefault="00CF2BC2" w:rsidP="00ED7D44">
      <w:pPr>
        <w:spacing w:line="276" w:lineRule="auto"/>
        <w:jc w:val="both"/>
        <w:rPr>
          <w:rFonts w:ascii="Georgia" w:hAnsi="Georgia" w:cs="Arial"/>
          <w:sz w:val="24"/>
          <w:szCs w:val="24"/>
          <w:lang w:val="es-ES_tradnl"/>
        </w:rPr>
      </w:pPr>
    </w:p>
    <w:p w14:paraId="291A1B5A" w14:textId="77777777" w:rsidR="006A37C0" w:rsidRPr="00EE0693" w:rsidRDefault="006A37C0" w:rsidP="00ED7D44">
      <w:pPr>
        <w:pStyle w:val="Sinespaciado"/>
        <w:widowControl/>
        <w:autoSpaceDE/>
        <w:autoSpaceDN/>
        <w:adjustRightInd/>
        <w:spacing w:line="276" w:lineRule="auto"/>
        <w:jc w:val="both"/>
        <w:rPr>
          <w:rFonts w:ascii="Georgia" w:hAnsi="Georgia" w:cs="Arial"/>
          <w:sz w:val="24"/>
          <w:szCs w:val="24"/>
          <w:lang w:val="es-ES_tradnl"/>
        </w:rPr>
      </w:pPr>
    </w:p>
    <w:p w14:paraId="07140697" w14:textId="217EECD0" w:rsidR="008C6AB2" w:rsidRPr="00EE0693" w:rsidRDefault="007246DC" w:rsidP="00ED7D44">
      <w:pPr>
        <w:pStyle w:val="Sinespaciado"/>
        <w:widowControl/>
        <w:numPr>
          <w:ilvl w:val="0"/>
          <w:numId w:val="3"/>
        </w:numPr>
        <w:autoSpaceDE/>
        <w:autoSpaceDN/>
        <w:adjustRightInd/>
        <w:spacing w:line="276" w:lineRule="auto"/>
        <w:jc w:val="both"/>
        <w:rPr>
          <w:rFonts w:ascii="Georgia" w:hAnsi="Georgia" w:cs="Arial"/>
          <w:smallCaps/>
          <w:sz w:val="24"/>
          <w:szCs w:val="24"/>
          <w:lang w:val="es-ES_tradnl"/>
        </w:rPr>
      </w:pPr>
      <w:r w:rsidRPr="00EE0693">
        <w:rPr>
          <w:rFonts w:ascii="Georgia" w:hAnsi="Georgia" w:cs="Arial"/>
          <w:b/>
          <w:bCs/>
          <w:smallCaps/>
          <w:sz w:val="24"/>
          <w:szCs w:val="24"/>
          <w:lang w:val="es-ES_tradnl"/>
        </w:rPr>
        <w:t xml:space="preserve">La </w:t>
      </w:r>
      <w:r w:rsidR="00F620B1" w:rsidRPr="00EE0693">
        <w:rPr>
          <w:rFonts w:ascii="Georgia" w:hAnsi="Georgia" w:cs="Arial"/>
          <w:b/>
          <w:bCs/>
          <w:smallCaps/>
          <w:sz w:val="24"/>
          <w:szCs w:val="24"/>
          <w:lang w:val="es-ES_tradnl"/>
        </w:rPr>
        <w:t>síntesis de la crónica procesal</w:t>
      </w:r>
    </w:p>
    <w:p w14:paraId="264D73B9" w14:textId="77777777" w:rsidR="008C6AB2" w:rsidRPr="00EE0693" w:rsidRDefault="008C6AB2" w:rsidP="00ED7D44">
      <w:pPr>
        <w:pStyle w:val="Sinespaciado"/>
        <w:spacing w:line="276" w:lineRule="auto"/>
        <w:jc w:val="both"/>
        <w:rPr>
          <w:rFonts w:ascii="Georgia" w:hAnsi="Georgia" w:cs="Arial"/>
          <w:sz w:val="24"/>
          <w:szCs w:val="24"/>
          <w:lang w:val="es-ES_tradnl"/>
        </w:rPr>
      </w:pPr>
    </w:p>
    <w:p w14:paraId="1B4DB349" w14:textId="3DBD7EE7" w:rsidR="008A43E6" w:rsidRPr="00EE0693" w:rsidRDefault="0086018E" w:rsidP="00ED7D44">
      <w:pPr>
        <w:spacing w:line="276" w:lineRule="auto"/>
        <w:jc w:val="both"/>
        <w:rPr>
          <w:rFonts w:ascii="Georgia" w:hAnsi="Georgia" w:cs="Arial"/>
          <w:sz w:val="24"/>
          <w:szCs w:val="24"/>
          <w:lang w:val="es-ES_tradnl"/>
        </w:rPr>
      </w:pPr>
      <w:r w:rsidRPr="00EE0693">
        <w:rPr>
          <w:rFonts w:ascii="Georgia" w:hAnsi="Georgia" w:cs="Arial"/>
          <w:sz w:val="24"/>
          <w:szCs w:val="24"/>
          <w:lang w:val="es-ES_tradnl"/>
        </w:rPr>
        <w:lastRenderedPageBreak/>
        <w:t xml:space="preserve">El día </w:t>
      </w:r>
      <w:r w:rsidR="00E605B9" w:rsidRPr="00EE0693">
        <w:rPr>
          <w:rFonts w:ascii="Georgia" w:hAnsi="Georgia" w:cs="Arial"/>
          <w:sz w:val="24"/>
          <w:szCs w:val="24"/>
          <w:lang w:val="es-ES_tradnl"/>
        </w:rPr>
        <w:t>21-05</w:t>
      </w:r>
      <w:r w:rsidR="008C6AB2" w:rsidRPr="00EE0693">
        <w:rPr>
          <w:rFonts w:ascii="Georgia" w:hAnsi="Georgia" w:cs="Arial"/>
          <w:sz w:val="24"/>
          <w:szCs w:val="24"/>
          <w:lang w:val="es-ES_tradnl"/>
        </w:rPr>
        <w:t>-2021</w:t>
      </w:r>
      <w:r w:rsidR="2829CE1C" w:rsidRPr="00EE0693">
        <w:rPr>
          <w:rFonts w:ascii="Georgia" w:hAnsi="Georgia" w:cs="Arial"/>
          <w:sz w:val="24"/>
          <w:szCs w:val="24"/>
          <w:lang w:val="es-ES_tradnl"/>
        </w:rPr>
        <w:t>,</w:t>
      </w:r>
      <w:r w:rsidR="00F3182B" w:rsidRPr="00EE0693">
        <w:rPr>
          <w:rFonts w:ascii="Georgia" w:hAnsi="Georgia" w:cs="Arial"/>
          <w:sz w:val="24"/>
          <w:szCs w:val="24"/>
          <w:lang w:val="es-ES_tradnl"/>
        </w:rPr>
        <w:t xml:space="preserve"> </w:t>
      </w:r>
      <w:r w:rsidR="008A43E6" w:rsidRPr="00EE0693">
        <w:rPr>
          <w:rFonts w:ascii="Georgia" w:hAnsi="Georgia" w:cs="Arial"/>
          <w:sz w:val="24"/>
          <w:szCs w:val="24"/>
          <w:lang w:val="es-ES_tradnl"/>
        </w:rPr>
        <w:t>en la audiencia inicial (Artículo 372, CGP) se</w:t>
      </w:r>
      <w:r w:rsidR="7A6A6BD0" w:rsidRPr="00EE0693">
        <w:rPr>
          <w:rFonts w:ascii="Georgia" w:hAnsi="Georgia" w:cs="Arial"/>
          <w:sz w:val="24"/>
          <w:szCs w:val="24"/>
          <w:lang w:val="es-ES_tradnl"/>
        </w:rPr>
        <w:t>:</w:t>
      </w:r>
      <w:r w:rsidR="008C6AB2" w:rsidRPr="00EE0693">
        <w:rPr>
          <w:rFonts w:ascii="Georgia" w:hAnsi="Georgia" w:cs="Arial"/>
          <w:sz w:val="24"/>
          <w:szCs w:val="24"/>
          <w:lang w:val="es-ES_tradnl"/>
        </w:rPr>
        <w:t xml:space="preserve"> </w:t>
      </w:r>
      <w:r w:rsidR="008C6AB2" w:rsidRPr="00EE0693">
        <w:rPr>
          <w:rFonts w:ascii="Georgia" w:hAnsi="Georgia" w:cs="Arial"/>
          <w:b/>
          <w:bCs/>
          <w:sz w:val="24"/>
          <w:szCs w:val="24"/>
          <w:lang w:val="es-ES_tradnl"/>
        </w:rPr>
        <w:t>(i)</w:t>
      </w:r>
      <w:r w:rsidR="008C6AB2" w:rsidRPr="00EE0693">
        <w:rPr>
          <w:rFonts w:ascii="Georgia" w:hAnsi="Georgia" w:cs="Arial"/>
          <w:sz w:val="24"/>
          <w:szCs w:val="24"/>
          <w:lang w:val="es-ES_tradnl"/>
        </w:rPr>
        <w:t xml:space="preserve"> </w:t>
      </w:r>
      <w:r w:rsidR="00E605B9" w:rsidRPr="00EE0693">
        <w:rPr>
          <w:rFonts w:ascii="Georgia" w:hAnsi="Georgia" w:cs="Arial"/>
          <w:sz w:val="24"/>
          <w:szCs w:val="24"/>
          <w:lang w:val="es-ES_tradnl"/>
        </w:rPr>
        <w:t>Declar</w:t>
      </w:r>
      <w:r w:rsidR="085622AF" w:rsidRPr="00EE0693">
        <w:rPr>
          <w:rFonts w:ascii="Georgia" w:hAnsi="Georgia" w:cs="Arial"/>
          <w:sz w:val="24"/>
          <w:szCs w:val="24"/>
          <w:lang w:val="es-ES_tradnl"/>
        </w:rPr>
        <w:t xml:space="preserve">ó </w:t>
      </w:r>
      <w:r w:rsidR="00E605B9" w:rsidRPr="00EE0693">
        <w:rPr>
          <w:rFonts w:ascii="Georgia" w:hAnsi="Georgia" w:cs="Arial"/>
          <w:sz w:val="24"/>
          <w:szCs w:val="24"/>
          <w:lang w:val="es-ES_tradnl"/>
        </w:rPr>
        <w:t>probada esa excepción</w:t>
      </w:r>
      <w:r w:rsidR="008C6AB2" w:rsidRPr="00EE0693">
        <w:rPr>
          <w:rFonts w:ascii="Georgia" w:hAnsi="Georgia" w:cs="Arial"/>
          <w:sz w:val="24"/>
          <w:szCs w:val="24"/>
          <w:lang w:val="es-ES_tradnl"/>
        </w:rPr>
        <w:t xml:space="preserve">; </w:t>
      </w:r>
      <w:r w:rsidR="008C6AB2" w:rsidRPr="00EE0693">
        <w:rPr>
          <w:rFonts w:ascii="Georgia" w:hAnsi="Georgia" w:cs="Arial"/>
          <w:b/>
          <w:bCs/>
          <w:sz w:val="24"/>
          <w:szCs w:val="24"/>
          <w:lang w:val="es-ES_tradnl"/>
        </w:rPr>
        <w:t>(ii)</w:t>
      </w:r>
      <w:r w:rsidR="008C6AB2" w:rsidRPr="00EE0693">
        <w:rPr>
          <w:rFonts w:ascii="Georgia" w:hAnsi="Georgia" w:cs="Arial"/>
          <w:sz w:val="24"/>
          <w:szCs w:val="24"/>
          <w:lang w:val="es-ES_tradnl"/>
        </w:rPr>
        <w:t xml:space="preserve"> </w:t>
      </w:r>
      <w:r w:rsidR="00E605B9" w:rsidRPr="00EE0693">
        <w:rPr>
          <w:rFonts w:ascii="Georgia" w:hAnsi="Georgia" w:cs="Arial"/>
          <w:sz w:val="24"/>
          <w:szCs w:val="24"/>
          <w:lang w:val="es-ES_tradnl"/>
        </w:rPr>
        <w:t>D</w:t>
      </w:r>
      <w:r w:rsidR="746EB535" w:rsidRPr="00EE0693">
        <w:rPr>
          <w:rFonts w:ascii="Georgia" w:hAnsi="Georgia" w:cs="Arial"/>
          <w:sz w:val="24"/>
          <w:szCs w:val="24"/>
          <w:lang w:val="es-ES_tradnl"/>
        </w:rPr>
        <w:t xml:space="preserve">io </w:t>
      </w:r>
      <w:r w:rsidR="00E605B9" w:rsidRPr="00EE0693">
        <w:rPr>
          <w:rFonts w:ascii="Georgia" w:hAnsi="Georgia" w:cs="Arial"/>
          <w:sz w:val="24"/>
          <w:szCs w:val="24"/>
          <w:lang w:val="es-ES_tradnl"/>
        </w:rPr>
        <w:t xml:space="preserve">por terminado el proceso con la consecuente devolución de anexos de demanda y contestación, así como, el archivo del proceso; y, </w:t>
      </w:r>
      <w:r w:rsidR="00E605B9" w:rsidRPr="00EE0693">
        <w:rPr>
          <w:rFonts w:ascii="Georgia" w:hAnsi="Georgia" w:cs="Arial"/>
          <w:b/>
          <w:bCs/>
          <w:sz w:val="24"/>
          <w:szCs w:val="24"/>
          <w:lang w:val="es-ES_tradnl"/>
        </w:rPr>
        <w:t xml:space="preserve">(iii) </w:t>
      </w:r>
      <w:r w:rsidR="00E605B9" w:rsidRPr="00EE0693">
        <w:rPr>
          <w:rFonts w:ascii="Georgia" w:hAnsi="Georgia" w:cs="Arial"/>
          <w:sz w:val="24"/>
          <w:szCs w:val="24"/>
          <w:lang w:val="es-ES_tradnl"/>
        </w:rPr>
        <w:t>Conden</w:t>
      </w:r>
      <w:r w:rsidR="58737311" w:rsidRPr="00EE0693">
        <w:rPr>
          <w:rFonts w:ascii="Georgia" w:hAnsi="Georgia" w:cs="Arial"/>
          <w:sz w:val="24"/>
          <w:szCs w:val="24"/>
          <w:lang w:val="es-ES_tradnl"/>
        </w:rPr>
        <w:t>ó</w:t>
      </w:r>
      <w:r w:rsidR="00E605B9" w:rsidRPr="00EE0693">
        <w:rPr>
          <w:rFonts w:ascii="Georgia" w:hAnsi="Georgia" w:cs="Arial"/>
          <w:sz w:val="24"/>
          <w:szCs w:val="24"/>
          <w:lang w:val="es-ES_tradnl"/>
        </w:rPr>
        <w:t xml:space="preserve"> en costas al demandante</w:t>
      </w:r>
      <w:r w:rsidR="00C72386" w:rsidRPr="00EE0693">
        <w:rPr>
          <w:rFonts w:ascii="Georgia" w:hAnsi="Georgia" w:cs="Arial"/>
          <w:sz w:val="24"/>
          <w:szCs w:val="24"/>
          <w:lang w:val="es-ES_tradnl"/>
        </w:rPr>
        <w:t xml:space="preserve">; </w:t>
      </w:r>
      <w:r w:rsidR="008A43E6" w:rsidRPr="00EE0693">
        <w:rPr>
          <w:rFonts w:ascii="Georgia" w:hAnsi="Georgia" w:cs="Arial"/>
          <w:sz w:val="24"/>
          <w:szCs w:val="24"/>
          <w:lang w:val="es-ES_tradnl"/>
        </w:rPr>
        <w:t xml:space="preserve">se </w:t>
      </w:r>
      <w:r w:rsidR="005B6F29" w:rsidRPr="00EE0693">
        <w:rPr>
          <w:rFonts w:ascii="Georgia" w:hAnsi="Georgia" w:cs="Arial"/>
          <w:sz w:val="24"/>
          <w:szCs w:val="24"/>
          <w:lang w:val="es-ES_tradnl"/>
        </w:rPr>
        <w:t xml:space="preserve">explicó que con el </w:t>
      </w:r>
      <w:r w:rsidR="005E7CE6" w:rsidRPr="00EE0693">
        <w:rPr>
          <w:rFonts w:ascii="Georgia" w:hAnsi="Georgia" w:cs="Arial"/>
          <w:sz w:val="24"/>
          <w:szCs w:val="24"/>
          <w:lang w:val="es-ES_tradnl"/>
        </w:rPr>
        <w:t xml:space="preserve">caudal </w:t>
      </w:r>
      <w:r w:rsidR="005B6F29" w:rsidRPr="00EE0693">
        <w:rPr>
          <w:rFonts w:ascii="Georgia" w:hAnsi="Georgia" w:cs="Arial"/>
          <w:sz w:val="24"/>
          <w:szCs w:val="24"/>
          <w:lang w:val="es-ES_tradnl"/>
        </w:rPr>
        <w:t xml:space="preserve">probatorio se evidenció que </w:t>
      </w:r>
      <w:r w:rsidR="0088464C" w:rsidRPr="00EE0693">
        <w:rPr>
          <w:rFonts w:ascii="Georgia" w:hAnsi="Georgia" w:cs="Arial"/>
          <w:sz w:val="24"/>
          <w:szCs w:val="24"/>
          <w:lang w:val="es-ES_tradnl"/>
        </w:rPr>
        <w:t xml:space="preserve">hay </w:t>
      </w:r>
      <w:r w:rsidR="005B6F29" w:rsidRPr="00EE0693">
        <w:rPr>
          <w:rFonts w:ascii="Georgia" w:hAnsi="Georgia" w:cs="Arial"/>
          <w:sz w:val="24"/>
          <w:szCs w:val="24"/>
          <w:lang w:val="es-ES_tradnl"/>
        </w:rPr>
        <w:t>decisión extranjera</w:t>
      </w:r>
      <w:r w:rsidR="0088464C" w:rsidRPr="00EE0693">
        <w:rPr>
          <w:rFonts w:ascii="Georgia" w:hAnsi="Georgia" w:cs="Arial"/>
          <w:sz w:val="24"/>
          <w:szCs w:val="24"/>
          <w:lang w:val="es-ES_tradnl"/>
        </w:rPr>
        <w:t>,</w:t>
      </w:r>
      <w:r w:rsidR="005B6F29" w:rsidRPr="00EE0693">
        <w:rPr>
          <w:rFonts w:ascii="Georgia" w:hAnsi="Georgia" w:cs="Arial"/>
          <w:sz w:val="24"/>
          <w:szCs w:val="24"/>
          <w:lang w:val="es-ES_tradnl"/>
        </w:rPr>
        <w:t xml:space="preserve"> que terminó el vínculo matrimonial entre las partes, </w:t>
      </w:r>
      <w:r w:rsidR="0088464C" w:rsidRPr="00EE0693">
        <w:rPr>
          <w:rFonts w:ascii="Georgia" w:hAnsi="Georgia" w:cs="Arial"/>
          <w:sz w:val="24"/>
          <w:szCs w:val="24"/>
          <w:lang w:val="es-ES_tradnl"/>
        </w:rPr>
        <w:t xml:space="preserve">la </w:t>
      </w:r>
      <w:r w:rsidR="20D6F685" w:rsidRPr="00EE0693">
        <w:rPr>
          <w:rFonts w:ascii="Georgia" w:hAnsi="Georgia" w:cs="Arial"/>
          <w:sz w:val="24"/>
          <w:szCs w:val="24"/>
          <w:lang w:val="es-ES_tradnl"/>
        </w:rPr>
        <w:t xml:space="preserve">que </w:t>
      </w:r>
      <w:r w:rsidR="005B6F29" w:rsidRPr="00EE0693">
        <w:rPr>
          <w:rFonts w:ascii="Georgia" w:hAnsi="Georgia" w:cs="Arial"/>
          <w:sz w:val="24"/>
          <w:szCs w:val="24"/>
          <w:lang w:val="es-ES_tradnl"/>
        </w:rPr>
        <w:t xml:space="preserve">para </w:t>
      </w:r>
      <w:r w:rsidR="00EF51F6" w:rsidRPr="00EE0693">
        <w:rPr>
          <w:rFonts w:ascii="Georgia" w:hAnsi="Georgia" w:cs="Arial"/>
          <w:sz w:val="24"/>
          <w:szCs w:val="24"/>
          <w:lang w:val="es-ES_tradnl"/>
        </w:rPr>
        <w:t xml:space="preserve">su </w:t>
      </w:r>
      <w:r w:rsidR="0088464C" w:rsidRPr="00EE0693">
        <w:rPr>
          <w:rFonts w:ascii="Georgia" w:hAnsi="Georgia" w:cs="Arial"/>
          <w:sz w:val="24"/>
          <w:szCs w:val="24"/>
          <w:lang w:val="es-ES_tradnl"/>
        </w:rPr>
        <w:t>validez</w:t>
      </w:r>
      <w:r w:rsidR="005B6F29" w:rsidRPr="00EE0693">
        <w:rPr>
          <w:rFonts w:ascii="Georgia" w:hAnsi="Georgia" w:cs="Arial"/>
          <w:sz w:val="24"/>
          <w:szCs w:val="24"/>
          <w:lang w:val="es-ES_tradnl"/>
        </w:rPr>
        <w:t xml:space="preserve"> en </w:t>
      </w:r>
      <w:r w:rsidR="1BF0B55A" w:rsidRPr="00EE0693">
        <w:rPr>
          <w:rFonts w:ascii="Georgia" w:hAnsi="Georgia" w:cs="Arial"/>
          <w:sz w:val="24"/>
          <w:szCs w:val="24"/>
          <w:lang w:val="es-ES_tradnl"/>
        </w:rPr>
        <w:t xml:space="preserve">nuestro </w:t>
      </w:r>
      <w:r w:rsidR="0088464C" w:rsidRPr="00EE0693">
        <w:rPr>
          <w:rFonts w:ascii="Georgia" w:hAnsi="Georgia" w:cs="Arial"/>
          <w:sz w:val="24"/>
          <w:szCs w:val="24"/>
          <w:lang w:val="es-ES_tradnl"/>
        </w:rPr>
        <w:t>país</w:t>
      </w:r>
      <w:r w:rsidR="00E26FB4" w:rsidRPr="00EE0693">
        <w:rPr>
          <w:rFonts w:ascii="Georgia" w:hAnsi="Georgia" w:cs="Arial"/>
          <w:sz w:val="24"/>
          <w:szCs w:val="24"/>
          <w:lang w:val="es-ES_tradnl"/>
        </w:rPr>
        <w:t>,</w:t>
      </w:r>
      <w:r w:rsidR="0088464C" w:rsidRPr="00EE0693">
        <w:rPr>
          <w:rFonts w:ascii="Georgia" w:hAnsi="Georgia" w:cs="Arial"/>
          <w:sz w:val="24"/>
          <w:szCs w:val="24"/>
          <w:lang w:val="es-ES_tradnl"/>
        </w:rPr>
        <w:t xml:space="preserve"> </w:t>
      </w:r>
      <w:r w:rsidR="74468CE9" w:rsidRPr="00EE0693">
        <w:rPr>
          <w:rFonts w:ascii="Georgia" w:hAnsi="Georgia" w:cs="Arial"/>
          <w:sz w:val="24"/>
          <w:szCs w:val="24"/>
          <w:lang w:val="es-ES_tradnl"/>
        </w:rPr>
        <w:t xml:space="preserve">requiere </w:t>
      </w:r>
      <w:r w:rsidR="2D23B8C1" w:rsidRPr="00EE0693">
        <w:rPr>
          <w:rFonts w:ascii="Georgia" w:hAnsi="Georgia" w:cs="Arial"/>
          <w:sz w:val="24"/>
          <w:szCs w:val="24"/>
          <w:lang w:val="es-ES_tradnl"/>
        </w:rPr>
        <w:t>tr</w:t>
      </w:r>
      <w:r w:rsidR="124D97A8" w:rsidRPr="00EE0693">
        <w:rPr>
          <w:rFonts w:ascii="Georgia" w:hAnsi="Georgia" w:cs="Arial"/>
          <w:sz w:val="24"/>
          <w:szCs w:val="24"/>
          <w:lang w:val="es-ES_tradnl"/>
        </w:rPr>
        <w:t>a</w:t>
      </w:r>
      <w:r w:rsidR="2D23B8C1" w:rsidRPr="00EE0693">
        <w:rPr>
          <w:rFonts w:ascii="Georgia" w:hAnsi="Georgia" w:cs="Arial"/>
          <w:sz w:val="24"/>
          <w:szCs w:val="24"/>
          <w:lang w:val="es-ES_tradnl"/>
        </w:rPr>
        <w:t>mit</w:t>
      </w:r>
      <w:r w:rsidR="6C7D0DC1" w:rsidRPr="00EE0693">
        <w:rPr>
          <w:rFonts w:ascii="Georgia" w:hAnsi="Georgia" w:cs="Arial"/>
          <w:sz w:val="24"/>
          <w:szCs w:val="24"/>
          <w:lang w:val="es-ES_tradnl"/>
        </w:rPr>
        <w:t>ar</w:t>
      </w:r>
      <w:r w:rsidR="2D23B8C1" w:rsidRPr="00EE0693">
        <w:rPr>
          <w:rFonts w:ascii="Georgia" w:hAnsi="Georgia" w:cs="Arial"/>
          <w:sz w:val="24"/>
          <w:szCs w:val="24"/>
          <w:lang w:val="es-ES_tradnl"/>
        </w:rPr>
        <w:t xml:space="preserve"> </w:t>
      </w:r>
      <w:r w:rsidR="7B9F2D12" w:rsidRPr="00EE0693">
        <w:rPr>
          <w:rFonts w:ascii="Georgia" w:hAnsi="Georgia" w:cs="Arial"/>
          <w:sz w:val="24"/>
          <w:szCs w:val="24"/>
          <w:lang w:val="es-ES_tradnl"/>
        </w:rPr>
        <w:t xml:space="preserve">el </w:t>
      </w:r>
      <w:r w:rsidR="0088464C" w:rsidRPr="00EE0693">
        <w:rPr>
          <w:rFonts w:ascii="Georgia" w:hAnsi="Georgia" w:cs="Arial"/>
          <w:sz w:val="24"/>
          <w:szCs w:val="24"/>
          <w:lang w:val="es-ES_tradnl"/>
        </w:rPr>
        <w:t>exequ</w:t>
      </w:r>
      <w:r w:rsidR="000D0C82" w:rsidRPr="00EE0693">
        <w:rPr>
          <w:rFonts w:ascii="Georgia" w:hAnsi="Georgia" w:cs="Arial"/>
          <w:sz w:val="24"/>
          <w:szCs w:val="24"/>
          <w:lang w:val="es-ES_tradnl"/>
        </w:rPr>
        <w:t>á</w:t>
      </w:r>
      <w:r w:rsidR="0088464C" w:rsidRPr="00EE0693">
        <w:rPr>
          <w:rFonts w:ascii="Georgia" w:hAnsi="Georgia" w:cs="Arial"/>
          <w:sz w:val="24"/>
          <w:szCs w:val="24"/>
          <w:lang w:val="es-ES_tradnl"/>
        </w:rPr>
        <w:t>tur ante la CSJ (Artículo 605, CGP);</w:t>
      </w:r>
      <w:r w:rsidR="00B92045" w:rsidRPr="00EE0693">
        <w:rPr>
          <w:rFonts w:ascii="Georgia" w:hAnsi="Georgia" w:cs="Arial"/>
          <w:sz w:val="24"/>
          <w:szCs w:val="24"/>
          <w:lang w:val="es-ES_tradnl"/>
        </w:rPr>
        <w:t xml:space="preserve"> por ende, </w:t>
      </w:r>
      <w:r w:rsidR="0088464C" w:rsidRPr="00EE0693">
        <w:rPr>
          <w:rFonts w:ascii="Georgia" w:hAnsi="Georgia" w:cs="Arial"/>
          <w:sz w:val="24"/>
          <w:szCs w:val="24"/>
          <w:lang w:val="es-ES_tradnl"/>
        </w:rPr>
        <w:t>es esa Corporación el juez natural para conocer el asunto</w:t>
      </w:r>
      <w:r w:rsidR="008A43E6" w:rsidRPr="00EE0693">
        <w:rPr>
          <w:rFonts w:ascii="Georgia" w:hAnsi="Georgia" w:cs="Arial"/>
          <w:sz w:val="24"/>
          <w:szCs w:val="24"/>
          <w:lang w:val="es-ES_tradnl"/>
        </w:rPr>
        <w:t xml:space="preserve"> (Carpeta 1ª instancia, pdf.02 y archivo 05, tiempo 00:00:49 a 00:15:32). </w:t>
      </w:r>
    </w:p>
    <w:p w14:paraId="53D27461" w14:textId="77777777" w:rsidR="008A43E6" w:rsidRPr="00EE0693" w:rsidRDefault="008A43E6" w:rsidP="00ED7D44">
      <w:pPr>
        <w:spacing w:line="276" w:lineRule="auto"/>
        <w:jc w:val="both"/>
        <w:rPr>
          <w:rFonts w:ascii="Georgia" w:hAnsi="Georgia" w:cs="Arial"/>
          <w:sz w:val="24"/>
          <w:szCs w:val="24"/>
          <w:lang w:val="es-ES_tradnl"/>
        </w:rPr>
      </w:pPr>
    </w:p>
    <w:p w14:paraId="045D41C6" w14:textId="2CBEEB0F" w:rsidR="008C6AB2" w:rsidRPr="00EE0693" w:rsidRDefault="008A43E6" w:rsidP="00ED7D44">
      <w:pPr>
        <w:spacing w:line="276" w:lineRule="auto"/>
        <w:jc w:val="both"/>
        <w:rPr>
          <w:rFonts w:ascii="Georgia" w:hAnsi="Georgia" w:cs="Arial"/>
          <w:sz w:val="24"/>
          <w:szCs w:val="24"/>
          <w:lang w:val="es-ES_tradnl"/>
        </w:rPr>
      </w:pPr>
      <w:r w:rsidRPr="00EE0693">
        <w:rPr>
          <w:rFonts w:ascii="Georgia" w:hAnsi="Georgia" w:cs="Arial"/>
          <w:sz w:val="24"/>
          <w:szCs w:val="24"/>
          <w:lang w:val="es-ES_tradnl"/>
        </w:rPr>
        <w:t>La parte actora recurrió (Carpeta 1ª instancia, pdf.02 y archivo 05, tiempo 00:15:44)</w:t>
      </w:r>
      <w:r w:rsidR="0088464C" w:rsidRPr="00EE0693">
        <w:rPr>
          <w:rFonts w:ascii="Georgia" w:hAnsi="Georgia" w:cs="Arial"/>
          <w:sz w:val="24"/>
          <w:szCs w:val="24"/>
          <w:lang w:val="es-ES_tradnl"/>
        </w:rPr>
        <w:t xml:space="preserve"> y </w:t>
      </w:r>
      <w:r w:rsidR="00014B08" w:rsidRPr="00EE0693">
        <w:rPr>
          <w:rFonts w:ascii="Georgia" w:hAnsi="Georgia" w:cs="Arial"/>
          <w:sz w:val="24"/>
          <w:szCs w:val="24"/>
          <w:lang w:val="es-ES_tradnl"/>
        </w:rPr>
        <w:t xml:space="preserve">se autorizó la </w:t>
      </w:r>
      <w:r w:rsidRPr="00EE0693">
        <w:rPr>
          <w:rFonts w:ascii="Georgia" w:hAnsi="Georgia" w:cs="Arial"/>
          <w:sz w:val="24"/>
          <w:szCs w:val="24"/>
          <w:lang w:val="es-ES_tradnl"/>
        </w:rPr>
        <w:t xml:space="preserve">impugnación, porque </w:t>
      </w:r>
      <w:r w:rsidR="00193440" w:rsidRPr="00EE0693">
        <w:rPr>
          <w:rFonts w:ascii="Georgia" w:hAnsi="Georgia" w:cs="Arial"/>
          <w:sz w:val="24"/>
          <w:szCs w:val="24"/>
          <w:lang w:val="es-ES_tradnl"/>
        </w:rPr>
        <w:t xml:space="preserve">procedía al </w:t>
      </w:r>
      <w:r w:rsidRPr="00EE0693">
        <w:rPr>
          <w:rFonts w:ascii="Georgia" w:hAnsi="Georgia" w:cs="Arial"/>
          <w:sz w:val="24"/>
          <w:szCs w:val="24"/>
          <w:lang w:val="es-ES_tradnl"/>
        </w:rPr>
        <w:t>termina</w:t>
      </w:r>
      <w:r w:rsidR="00193440" w:rsidRPr="00EE0693">
        <w:rPr>
          <w:rFonts w:ascii="Georgia" w:hAnsi="Georgia" w:cs="Arial"/>
          <w:sz w:val="24"/>
          <w:szCs w:val="24"/>
          <w:lang w:val="es-ES_tradnl"/>
        </w:rPr>
        <w:t>r</w:t>
      </w:r>
      <w:r w:rsidRPr="00EE0693">
        <w:rPr>
          <w:rFonts w:ascii="Georgia" w:hAnsi="Georgia" w:cs="Arial"/>
          <w:sz w:val="24"/>
          <w:szCs w:val="24"/>
          <w:lang w:val="es-ES_tradnl"/>
        </w:rPr>
        <w:t xml:space="preserve"> el proceso</w:t>
      </w:r>
      <w:r w:rsidR="00316AD3" w:rsidRPr="00EE0693">
        <w:rPr>
          <w:rFonts w:ascii="Georgia" w:hAnsi="Georgia" w:cs="Arial"/>
          <w:sz w:val="24"/>
          <w:szCs w:val="24"/>
          <w:lang w:val="es-ES_tradnl"/>
        </w:rPr>
        <w:t xml:space="preserve"> </w:t>
      </w:r>
      <w:r w:rsidR="008C6AB2" w:rsidRPr="00EE0693">
        <w:rPr>
          <w:rFonts w:ascii="Georgia" w:hAnsi="Georgia" w:cs="Arial"/>
          <w:sz w:val="24"/>
          <w:szCs w:val="24"/>
          <w:lang w:val="es-ES_tradnl"/>
        </w:rPr>
        <w:t xml:space="preserve">(Carpeta </w:t>
      </w:r>
      <w:r w:rsidR="0088464C" w:rsidRPr="00EE0693">
        <w:rPr>
          <w:rFonts w:ascii="Georgia" w:hAnsi="Georgia" w:cs="Arial"/>
          <w:sz w:val="24"/>
          <w:szCs w:val="24"/>
          <w:lang w:val="es-ES_tradnl"/>
        </w:rPr>
        <w:t>1</w:t>
      </w:r>
      <w:r w:rsidR="008C6AB2" w:rsidRPr="00EE0693">
        <w:rPr>
          <w:rFonts w:ascii="Georgia" w:hAnsi="Georgia" w:cs="Arial"/>
          <w:sz w:val="24"/>
          <w:szCs w:val="24"/>
          <w:lang w:val="es-ES_tradnl"/>
        </w:rPr>
        <w:t xml:space="preserve">ª instancia, </w:t>
      </w:r>
      <w:r w:rsidR="0053029A" w:rsidRPr="00EE0693">
        <w:rPr>
          <w:rFonts w:ascii="Georgia" w:hAnsi="Georgia" w:cs="Arial"/>
          <w:sz w:val="24"/>
          <w:szCs w:val="24"/>
          <w:lang w:val="es-ES_tradnl"/>
        </w:rPr>
        <w:t xml:space="preserve">pdf.02 y </w:t>
      </w:r>
      <w:r w:rsidR="0088464C" w:rsidRPr="00EE0693">
        <w:rPr>
          <w:rFonts w:ascii="Georgia" w:hAnsi="Georgia" w:cs="Arial"/>
          <w:sz w:val="24"/>
          <w:szCs w:val="24"/>
          <w:lang w:val="es-ES_tradnl"/>
        </w:rPr>
        <w:t>archivo</w:t>
      </w:r>
      <w:r w:rsidR="0053029A" w:rsidRPr="00EE0693">
        <w:rPr>
          <w:rFonts w:ascii="Georgia" w:hAnsi="Georgia" w:cs="Arial"/>
          <w:sz w:val="24"/>
          <w:szCs w:val="24"/>
          <w:lang w:val="es-ES_tradnl"/>
        </w:rPr>
        <w:t xml:space="preserve"> </w:t>
      </w:r>
      <w:r w:rsidR="008C6AB2" w:rsidRPr="00EE0693">
        <w:rPr>
          <w:rFonts w:ascii="Georgia" w:hAnsi="Georgia" w:cs="Arial"/>
          <w:sz w:val="24"/>
          <w:szCs w:val="24"/>
          <w:lang w:val="es-ES_tradnl"/>
        </w:rPr>
        <w:t>05</w:t>
      </w:r>
      <w:r w:rsidR="0088464C" w:rsidRPr="00EE0693">
        <w:rPr>
          <w:rFonts w:ascii="Georgia" w:hAnsi="Georgia" w:cs="Arial"/>
          <w:sz w:val="24"/>
          <w:szCs w:val="24"/>
          <w:lang w:val="es-ES_tradnl"/>
        </w:rPr>
        <w:t>, tiempo 00:</w:t>
      </w:r>
      <w:r w:rsidRPr="00EE0693">
        <w:rPr>
          <w:rFonts w:ascii="Georgia" w:hAnsi="Georgia" w:cs="Arial"/>
          <w:sz w:val="24"/>
          <w:szCs w:val="24"/>
          <w:lang w:val="es-ES_tradnl"/>
        </w:rPr>
        <w:t>21</w:t>
      </w:r>
      <w:r w:rsidR="0088464C" w:rsidRPr="00EE0693">
        <w:rPr>
          <w:rFonts w:ascii="Georgia" w:hAnsi="Georgia" w:cs="Arial"/>
          <w:sz w:val="24"/>
          <w:szCs w:val="24"/>
          <w:lang w:val="es-ES_tradnl"/>
        </w:rPr>
        <w:t>:</w:t>
      </w:r>
      <w:r w:rsidRPr="00EE0693">
        <w:rPr>
          <w:rFonts w:ascii="Georgia" w:hAnsi="Georgia" w:cs="Arial"/>
          <w:sz w:val="24"/>
          <w:szCs w:val="24"/>
          <w:lang w:val="es-ES_tradnl"/>
        </w:rPr>
        <w:t>05</w:t>
      </w:r>
      <w:r w:rsidR="0088464C" w:rsidRPr="00EE0693">
        <w:rPr>
          <w:rFonts w:ascii="Georgia" w:hAnsi="Georgia" w:cs="Arial"/>
          <w:sz w:val="24"/>
          <w:szCs w:val="24"/>
          <w:lang w:val="es-ES_tradnl"/>
        </w:rPr>
        <w:t xml:space="preserve"> a 00:</w:t>
      </w:r>
      <w:r w:rsidRPr="00EE0693">
        <w:rPr>
          <w:rFonts w:ascii="Georgia" w:hAnsi="Georgia" w:cs="Arial"/>
          <w:sz w:val="24"/>
          <w:szCs w:val="24"/>
          <w:lang w:val="es-ES_tradnl"/>
        </w:rPr>
        <w:t>21:</w:t>
      </w:r>
      <w:r w:rsidR="0088464C" w:rsidRPr="00EE0693">
        <w:rPr>
          <w:rFonts w:ascii="Georgia" w:hAnsi="Georgia" w:cs="Arial"/>
          <w:sz w:val="24"/>
          <w:szCs w:val="24"/>
          <w:lang w:val="es-ES_tradnl"/>
        </w:rPr>
        <w:t>3</w:t>
      </w:r>
      <w:r w:rsidRPr="00EE0693">
        <w:rPr>
          <w:rFonts w:ascii="Georgia" w:hAnsi="Georgia" w:cs="Arial"/>
          <w:sz w:val="24"/>
          <w:szCs w:val="24"/>
          <w:lang w:val="es-ES_tradnl"/>
        </w:rPr>
        <w:t>0</w:t>
      </w:r>
      <w:r w:rsidR="008C6AB2" w:rsidRPr="00EE0693">
        <w:rPr>
          <w:rFonts w:ascii="Georgia" w:hAnsi="Georgia" w:cs="Arial"/>
          <w:sz w:val="24"/>
          <w:szCs w:val="24"/>
          <w:lang w:val="es-ES_tradnl"/>
        </w:rPr>
        <w:t>)</w:t>
      </w:r>
      <w:r w:rsidR="000C19AB" w:rsidRPr="00EE0693">
        <w:rPr>
          <w:rFonts w:ascii="Georgia" w:hAnsi="Georgia" w:cs="Arial"/>
          <w:sz w:val="24"/>
          <w:szCs w:val="24"/>
          <w:lang w:val="es-ES_tradnl"/>
        </w:rPr>
        <w:t xml:space="preserve">; enseguida, la contraparte cuestionó </w:t>
      </w:r>
      <w:r w:rsidR="00EF51F6" w:rsidRPr="00EE0693">
        <w:rPr>
          <w:rFonts w:ascii="Georgia" w:hAnsi="Georgia" w:cs="Arial"/>
          <w:sz w:val="24"/>
          <w:szCs w:val="24"/>
          <w:lang w:val="es-ES_tradnl"/>
        </w:rPr>
        <w:t xml:space="preserve">la </w:t>
      </w:r>
      <w:proofErr w:type="spellStart"/>
      <w:r w:rsidR="000C19AB" w:rsidRPr="00EE0693">
        <w:rPr>
          <w:rFonts w:ascii="Georgia" w:hAnsi="Georgia" w:cs="Arial"/>
          <w:sz w:val="24"/>
          <w:szCs w:val="24"/>
          <w:lang w:val="es-ES_tradnl"/>
        </w:rPr>
        <w:t>apelabilidad</w:t>
      </w:r>
      <w:proofErr w:type="spellEnd"/>
      <w:r w:rsidR="000C19AB" w:rsidRPr="00EE0693">
        <w:rPr>
          <w:rFonts w:ascii="Georgia" w:hAnsi="Georgia" w:cs="Arial"/>
          <w:sz w:val="24"/>
          <w:szCs w:val="24"/>
          <w:lang w:val="es-ES_tradnl"/>
        </w:rPr>
        <w:t xml:space="preserve">, pero </w:t>
      </w:r>
      <w:r w:rsidR="00EF51F6" w:rsidRPr="00EE0693">
        <w:rPr>
          <w:rFonts w:ascii="Georgia" w:hAnsi="Georgia" w:cs="Arial"/>
          <w:sz w:val="24"/>
          <w:szCs w:val="24"/>
          <w:lang w:val="es-ES_tradnl"/>
        </w:rPr>
        <w:t xml:space="preserve">se </w:t>
      </w:r>
      <w:r w:rsidR="000C19AB" w:rsidRPr="00EE0693">
        <w:rPr>
          <w:rFonts w:ascii="Georgia" w:hAnsi="Georgia" w:cs="Arial"/>
          <w:sz w:val="24"/>
          <w:szCs w:val="24"/>
          <w:lang w:val="es-ES_tradnl"/>
        </w:rPr>
        <w:t xml:space="preserve">mantuvo </w:t>
      </w:r>
      <w:r w:rsidR="5A0F48DA" w:rsidRPr="00EE0693">
        <w:rPr>
          <w:rFonts w:ascii="Georgia" w:hAnsi="Georgia" w:cs="Arial"/>
          <w:sz w:val="24"/>
          <w:szCs w:val="24"/>
          <w:lang w:val="es-ES_tradnl"/>
        </w:rPr>
        <w:t xml:space="preserve">por encuadrar </w:t>
      </w:r>
      <w:r w:rsidR="000C19AB" w:rsidRPr="00EE0693">
        <w:rPr>
          <w:rFonts w:ascii="Georgia" w:hAnsi="Georgia" w:cs="Arial"/>
          <w:sz w:val="24"/>
          <w:szCs w:val="24"/>
          <w:lang w:val="es-ES_tradnl"/>
        </w:rPr>
        <w:t>en el artículo 321-7°, CGP (Ibidem, tiempo 00:25:54 a 00:33:10)</w:t>
      </w:r>
      <w:r w:rsidR="008C6AB2" w:rsidRPr="00EE0693">
        <w:rPr>
          <w:rFonts w:ascii="Georgia" w:hAnsi="Georgia" w:cs="Arial"/>
          <w:sz w:val="24"/>
          <w:szCs w:val="24"/>
          <w:lang w:val="es-ES_tradnl"/>
        </w:rPr>
        <w:t>.</w:t>
      </w:r>
    </w:p>
    <w:p w14:paraId="4BBE495A" w14:textId="77777777" w:rsidR="008C6AB2" w:rsidRPr="00EE0693" w:rsidRDefault="008C6AB2" w:rsidP="00ED7D44">
      <w:pPr>
        <w:pStyle w:val="Sinespaciado"/>
        <w:widowControl/>
        <w:autoSpaceDE/>
        <w:autoSpaceDN/>
        <w:adjustRightInd/>
        <w:spacing w:line="276" w:lineRule="auto"/>
        <w:jc w:val="both"/>
        <w:rPr>
          <w:rFonts w:ascii="Georgia" w:hAnsi="Georgia" w:cs="Arial"/>
          <w:sz w:val="24"/>
          <w:szCs w:val="24"/>
          <w:lang w:val="es-ES_tradnl"/>
        </w:rPr>
      </w:pPr>
    </w:p>
    <w:p w14:paraId="0056E309" w14:textId="77777777" w:rsidR="008C6AB2" w:rsidRPr="00EE0693" w:rsidRDefault="008C6AB2" w:rsidP="00ED7D44">
      <w:pPr>
        <w:pStyle w:val="Sinespaciado"/>
        <w:widowControl/>
        <w:autoSpaceDE/>
        <w:autoSpaceDN/>
        <w:adjustRightInd/>
        <w:spacing w:line="276" w:lineRule="auto"/>
        <w:jc w:val="both"/>
        <w:rPr>
          <w:rFonts w:ascii="Georgia" w:hAnsi="Georgia" w:cs="Arial"/>
          <w:sz w:val="24"/>
          <w:szCs w:val="24"/>
          <w:lang w:val="es-ES_tradnl"/>
        </w:rPr>
      </w:pPr>
    </w:p>
    <w:p w14:paraId="10B8F253" w14:textId="47C87BF9" w:rsidR="00CF2BC2" w:rsidRPr="00EE0693" w:rsidRDefault="009246AC" w:rsidP="00ED7D44">
      <w:pPr>
        <w:pStyle w:val="Sinespaciado"/>
        <w:numPr>
          <w:ilvl w:val="0"/>
          <w:numId w:val="3"/>
        </w:numPr>
        <w:spacing w:line="276" w:lineRule="auto"/>
        <w:jc w:val="both"/>
        <w:rPr>
          <w:rFonts w:ascii="Georgia" w:hAnsi="Georgia" w:cs="Arial"/>
          <w:b/>
          <w:smallCaps/>
          <w:sz w:val="24"/>
          <w:szCs w:val="24"/>
          <w:lang w:val="es-ES_tradnl"/>
        </w:rPr>
      </w:pPr>
      <w:r w:rsidRPr="00EE0693">
        <w:rPr>
          <w:rFonts w:ascii="Georgia" w:hAnsi="Georgia" w:cs="Arial"/>
          <w:b/>
          <w:smallCaps/>
          <w:sz w:val="24"/>
          <w:szCs w:val="24"/>
          <w:lang w:val="es-ES_tradnl"/>
        </w:rPr>
        <w:t>Las estimaciones jurídicas para decidir</w:t>
      </w:r>
    </w:p>
    <w:p w14:paraId="10B8F254" w14:textId="77777777" w:rsidR="00F3646D" w:rsidRPr="00EE0693" w:rsidRDefault="00F3646D" w:rsidP="00ED7D44">
      <w:pPr>
        <w:pStyle w:val="Sinespaciado"/>
        <w:spacing w:line="276" w:lineRule="auto"/>
        <w:jc w:val="both"/>
        <w:rPr>
          <w:rFonts w:ascii="Georgia" w:hAnsi="Georgia" w:cs="Arial"/>
          <w:sz w:val="24"/>
          <w:szCs w:val="24"/>
          <w:lang w:val="es-ES_tradnl"/>
        </w:rPr>
      </w:pPr>
    </w:p>
    <w:p w14:paraId="10B8F255" w14:textId="77777777" w:rsidR="00F3646D" w:rsidRPr="00EE0693" w:rsidRDefault="00F3646D" w:rsidP="00ED7D44">
      <w:pPr>
        <w:pStyle w:val="Prrafodelista"/>
        <w:numPr>
          <w:ilvl w:val="0"/>
          <w:numId w:val="8"/>
        </w:numPr>
        <w:spacing w:line="276" w:lineRule="auto"/>
        <w:jc w:val="both"/>
        <w:rPr>
          <w:rFonts w:ascii="Georgia" w:hAnsi="Georgia" w:cs="Arial"/>
          <w:smallCaps/>
          <w:vanish/>
          <w:sz w:val="24"/>
          <w:szCs w:val="24"/>
          <w:lang w:val="es-ES_tradnl"/>
        </w:rPr>
      </w:pPr>
      <w:r w:rsidRPr="00EE0693">
        <w:rPr>
          <w:rFonts w:ascii="Georgia" w:hAnsi="Georgia" w:cs="Arial"/>
          <w:smallCaps/>
          <w:vanish/>
          <w:sz w:val="24"/>
          <w:szCs w:val="24"/>
          <w:lang w:val="es-ES_tradnl"/>
        </w:rPr>
        <w:t>2.1. 2.222</w:t>
      </w:r>
    </w:p>
    <w:p w14:paraId="10B8F256" w14:textId="77777777" w:rsidR="00F3646D" w:rsidRPr="00EE0693" w:rsidRDefault="00F3646D" w:rsidP="00ED7D44">
      <w:pPr>
        <w:pStyle w:val="Prrafodelista"/>
        <w:numPr>
          <w:ilvl w:val="0"/>
          <w:numId w:val="9"/>
        </w:numPr>
        <w:spacing w:line="276" w:lineRule="auto"/>
        <w:jc w:val="both"/>
        <w:rPr>
          <w:rFonts w:ascii="Georgia" w:hAnsi="Georgia" w:cs="Arial"/>
          <w:smallCaps/>
          <w:vanish/>
          <w:sz w:val="24"/>
          <w:szCs w:val="24"/>
          <w:lang w:val="es-ES_tradnl"/>
        </w:rPr>
      </w:pPr>
    </w:p>
    <w:p w14:paraId="10B8F257" w14:textId="77777777" w:rsidR="00F3646D" w:rsidRPr="00EE0693" w:rsidRDefault="00F3646D" w:rsidP="00ED7D44">
      <w:pPr>
        <w:pStyle w:val="Prrafodelista"/>
        <w:numPr>
          <w:ilvl w:val="0"/>
          <w:numId w:val="9"/>
        </w:numPr>
        <w:spacing w:line="276" w:lineRule="auto"/>
        <w:jc w:val="both"/>
        <w:rPr>
          <w:rFonts w:ascii="Georgia" w:hAnsi="Georgia" w:cs="Arial"/>
          <w:smallCaps/>
          <w:vanish/>
          <w:sz w:val="24"/>
          <w:szCs w:val="24"/>
          <w:lang w:val="es-ES_tradnl"/>
        </w:rPr>
      </w:pPr>
    </w:p>
    <w:p w14:paraId="639CCA89" w14:textId="3FA53F57" w:rsidR="008400E1" w:rsidRPr="00EE0693" w:rsidRDefault="00DF2301" w:rsidP="00ED7D44">
      <w:pPr>
        <w:pStyle w:val="Sinespaciado"/>
        <w:widowControl/>
        <w:autoSpaceDE/>
        <w:autoSpaceDN/>
        <w:adjustRightInd/>
        <w:spacing w:line="276" w:lineRule="auto"/>
        <w:jc w:val="both"/>
        <w:rPr>
          <w:rFonts w:ascii="Georgia" w:hAnsi="Georgia" w:cs="Arial"/>
          <w:sz w:val="24"/>
          <w:szCs w:val="24"/>
          <w:lang w:val="es-ES_tradnl"/>
        </w:rPr>
      </w:pPr>
      <w:r w:rsidRPr="00EE0693">
        <w:rPr>
          <w:rFonts w:ascii="Georgia" w:hAnsi="Georgia" w:cs="Arial"/>
          <w:smallCaps/>
          <w:sz w:val="24"/>
          <w:szCs w:val="24"/>
          <w:lang w:val="es-ES_tradnl"/>
        </w:rPr>
        <w:t xml:space="preserve">3.1. </w:t>
      </w:r>
      <w:r w:rsidR="00F3646D" w:rsidRPr="00EE0693">
        <w:rPr>
          <w:rFonts w:ascii="Georgia" w:hAnsi="Georgia" w:cs="Arial"/>
          <w:smallCaps/>
          <w:sz w:val="24"/>
          <w:szCs w:val="24"/>
          <w:lang w:val="es-ES_tradnl"/>
        </w:rPr>
        <w:t>Los requisitos de viabilidad</w:t>
      </w:r>
      <w:r w:rsidR="00F3182B" w:rsidRPr="00EE0693">
        <w:rPr>
          <w:rFonts w:ascii="Georgia" w:hAnsi="Georgia" w:cs="Arial"/>
          <w:smallCaps/>
          <w:sz w:val="24"/>
          <w:szCs w:val="24"/>
          <w:lang w:val="es-ES_tradnl"/>
        </w:rPr>
        <w:t xml:space="preserve">. </w:t>
      </w:r>
      <w:r w:rsidR="005B0036" w:rsidRPr="00EE0693">
        <w:rPr>
          <w:rFonts w:ascii="Georgia" w:hAnsi="Georgia"/>
          <w:sz w:val="24"/>
          <w:szCs w:val="24"/>
          <w:lang w:val="es-ES_tradnl"/>
        </w:rPr>
        <w:t xml:space="preserve">En </w:t>
      </w:r>
      <w:r w:rsidR="002F0156" w:rsidRPr="00EE0693">
        <w:rPr>
          <w:rFonts w:ascii="Georgia" w:hAnsi="Georgia"/>
          <w:sz w:val="24"/>
          <w:szCs w:val="24"/>
          <w:lang w:val="es-ES_tradnl"/>
        </w:rPr>
        <w:t xml:space="preserve">materia de </w:t>
      </w:r>
      <w:r w:rsidR="00F9683E" w:rsidRPr="00EE0693">
        <w:rPr>
          <w:rFonts w:ascii="Georgia" w:hAnsi="Georgia"/>
          <w:sz w:val="24"/>
          <w:szCs w:val="24"/>
          <w:lang w:val="es-ES_tradnl"/>
        </w:rPr>
        <w:t>impugnaciones</w:t>
      </w:r>
      <w:r w:rsidR="002F0156" w:rsidRPr="00EE0693">
        <w:rPr>
          <w:rFonts w:ascii="Georgia" w:hAnsi="Georgia"/>
          <w:sz w:val="24"/>
          <w:szCs w:val="24"/>
          <w:lang w:val="es-ES_tradnl"/>
        </w:rPr>
        <w:t xml:space="preserve">, </w:t>
      </w:r>
      <w:r w:rsidR="002F0156" w:rsidRPr="00EE0693">
        <w:rPr>
          <w:rFonts w:ascii="Georgia" w:hAnsi="Georgia" w:cs="Arial"/>
          <w:sz w:val="24"/>
          <w:szCs w:val="24"/>
          <w:lang w:val="es-ES_tradnl"/>
        </w:rPr>
        <w:t xml:space="preserve">es </w:t>
      </w:r>
      <w:r w:rsidR="005B0036" w:rsidRPr="00EE0693">
        <w:rPr>
          <w:rFonts w:ascii="Georgia" w:hAnsi="Georgia" w:cs="Arial"/>
          <w:sz w:val="24"/>
          <w:szCs w:val="24"/>
          <w:lang w:val="es-ES_tradnl"/>
        </w:rPr>
        <w:t xml:space="preserve">siempre </w:t>
      </w:r>
      <w:r w:rsidR="002F0156" w:rsidRPr="00EE0693">
        <w:rPr>
          <w:rFonts w:ascii="Georgia" w:hAnsi="Georgia" w:cs="Arial"/>
          <w:sz w:val="24"/>
          <w:szCs w:val="24"/>
          <w:lang w:val="es-ES_tradnl"/>
        </w:rPr>
        <w:t xml:space="preserve">indispensable la revisión de </w:t>
      </w:r>
      <w:r w:rsidR="009246AC" w:rsidRPr="00EE0693">
        <w:rPr>
          <w:rFonts w:ascii="Georgia" w:hAnsi="Georgia" w:cs="Arial"/>
          <w:sz w:val="24"/>
          <w:szCs w:val="24"/>
          <w:lang w:val="es-ES_tradnl"/>
        </w:rPr>
        <w:t xml:space="preserve">los </w:t>
      </w:r>
      <w:r w:rsidR="002F0156" w:rsidRPr="00EE0693">
        <w:rPr>
          <w:rFonts w:ascii="Georgia" w:hAnsi="Georgia" w:cs="Arial"/>
          <w:sz w:val="24"/>
          <w:szCs w:val="24"/>
          <w:lang w:val="es-ES_tradnl"/>
        </w:rPr>
        <w:t>presupuestos que permiten desatar el recurso</w:t>
      </w:r>
      <w:r w:rsidR="008D4F8E" w:rsidRPr="00EE0693">
        <w:rPr>
          <w:rFonts w:ascii="Georgia" w:hAnsi="Georgia" w:cs="Arial"/>
          <w:sz w:val="24"/>
          <w:szCs w:val="24"/>
          <w:lang w:val="es-ES_tradnl"/>
        </w:rPr>
        <w:t xml:space="preserve"> o </w:t>
      </w:r>
      <w:r w:rsidR="008D4F8E" w:rsidRPr="00EE0693">
        <w:rPr>
          <w:rFonts w:ascii="Georgia" w:hAnsi="Georgia" w:cs="Arial"/>
          <w:i/>
          <w:iCs/>
          <w:sz w:val="24"/>
          <w:szCs w:val="24"/>
          <w:lang w:val="es-ES_tradnl"/>
        </w:rPr>
        <w:t>condiciones para tener la posibilidad de recurrir</w:t>
      </w:r>
      <w:r w:rsidR="008D4F8E" w:rsidRPr="00EE0693">
        <w:rPr>
          <w:rStyle w:val="Refdenotaalpie"/>
          <w:rFonts w:ascii="Georgia" w:hAnsi="Georgia"/>
          <w:sz w:val="24"/>
          <w:szCs w:val="24"/>
          <w:lang w:val="es-ES_tradnl"/>
        </w:rPr>
        <w:footnoteReference w:id="1"/>
      </w:r>
      <w:r w:rsidR="002F0156" w:rsidRPr="00EE0693">
        <w:rPr>
          <w:rFonts w:ascii="Georgia" w:hAnsi="Georgia" w:cs="Arial"/>
          <w:sz w:val="24"/>
          <w:szCs w:val="24"/>
          <w:lang w:val="es-ES_tradnl"/>
        </w:rPr>
        <w:t>, según rotula la doctrina procesal nacional</w:t>
      </w:r>
      <w:r w:rsidR="008D4F8E" w:rsidRPr="00EE0693">
        <w:rPr>
          <w:rFonts w:ascii="Georgia" w:hAnsi="Georgia" w:cs="Arial"/>
          <w:sz w:val="24"/>
          <w:szCs w:val="24"/>
          <w:vertAlign w:val="superscript"/>
          <w:lang w:val="es-ES_tradnl"/>
        </w:rPr>
        <w:footnoteReference w:id="2"/>
      </w:r>
      <w:r w:rsidR="008D4F8E" w:rsidRPr="00EE0693">
        <w:rPr>
          <w:rFonts w:ascii="Georgia" w:hAnsi="Georgia" w:cs="Arial"/>
          <w:sz w:val="24"/>
          <w:szCs w:val="24"/>
          <w:vertAlign w:val="superscript"/>
          <w:lang w:val="es-ES_tradnl"/>
        </w:rPr>
        <w:t>-</w:t>
      </w:r>
      <w:r w:rsidR="008D4F8E" w:rsidRPr="00EE0693">
        <w:rPr>
          <w:rFonts w:ascii="Georgia" w:hAnsi="Georgia" w:cs="Arial"/>
          <w:sz w:val="24"/>
          <w:szCs w:val="24"/>
          <w:vertAlign w:val="superscript"/>
          <w:lang w:val="es-ES_tradnl"/>
        </w:rPr>
        <w:footnoteReference w:id="3"/>
      </w:r>
      <w:r w:rsidR="002F0156" w:rsidRPr="00EE0693">
        <w:rPr>
          <w:rFonts w:ascii="Georgia" w:hAnsi="Georgia" w:cs="Arial"/>
          <w:sz w:val="24"/>
          <w:szCs w:val="24"/>
          <w:lang w:val="es-ES_tradnl"/>
        </w:rPr>
        <w:t>, a efectos de examinar el tema discutido</w:t>
      </w:r>
      <w:r w:rsidR="008400E1" w:rsidRPr="00EE0693">
        <w:rPr>
          <w:rFonts w:ascii="Georgia" w:hAnsi="Georgia" w:cs="Arial"/>
          <w:sz w:val="24"/>
          <w:szCs w:val="24"/>
          <w:lang w:val="es-ES_tradnl"/>
        </w:rPr>
        <w:t>.</w:t>
      </w:r>
      <w:r w:rsidR="002F0156" w:rsidRPr="00EE0693">
        <w:rPr>
          <w:rFonts w:ascii="Georgia" w:hAnsi="Georgia" w:cs="Arial"/>
          <w:sz w:val="24"/>
          <w:szCs w:val="24"/>
          <w:lang w:val="es-ES_tradnl"/>
        </w:rPr>
        <w:t xml:space="preserve"> </w:t>
      </w:r>
      <w:r w:rsidR="008400E1" w:rsidRPr="00EE0693">
        <w:rPr>
          <w:rFonts w:ascii="Georgia" w:hAnsi="Georgia" w:cs="Arial"/>
          <w:sz w:val="24"/>
          <w:szCs w:val="24"/>
          <w:lang w:val="es-ES_tradnl"/>
        </w:rPr>
        <w:t>Cuestión que es idéntica en CPC y CGP.</w:t>
      </w:r>
    </w:p>
    <w:p w14:paraId="7FAFF90B" w14:textId="77777777" w:rsidR="007D4C22" w:rsidRPr="00EE0693" w:rsidRDefault="007D4C22" w:rsidP="00ED7D44">
      <w:pPr>
        <w:pStyle w:val="Textopredeterminado"/>
        <w:spacing w:line="276" w:lineRule="auto"/>
        <w:jc w:val="both"/>
        <w:rPr>
          <w:rFonts w:ascii="Georgia" w:hAnsi="Georgia" w:cs="Arial"/>
          <w:color w:val="auto"/>
          <w:lang w:val="es-ES_tradnl"/>
        </w:rPr>
      </w:pPr>
    </w:p>
    <w:p w14:paraId="10B8F25C" w14:textId="139AC1D4" w:rsidR="002F0156" w:rsidRPr="00EE0693" w:rsidRDefault="008400E1" w:rsidP="00ED7D44">
      <w:pPr>
        <w:spacing w:line="276" w:lineRule="auto"/>
        <w:jc w:val="both"/>
        <w:rPr>
          <w:rFonts w:ascii="Georgia" w:hAnsi="Georgia" w:cs="Arial"/>
          <w:sz w:val="24"/>
          <w:szCs w:val="24"/>
          <w:lang w:val="es-ES_tradnl"/>
        </w:rPr>
      </w:pPr>
      <w:r w:rsidRPr="00EE0693">
        <w:rPr>
          <w:rFonts w:ascii="Georgia" w:hAnsi="Georgia" w:cs="Arial"/>
          <w:sz w:val="24"/>
          <w:szCs w:val="24"/>
          <w:lang w:val="es-ES_tradnl"/>
        </w:rPr>
        <w:t xml:space="preserve">Esos requisitos son una serie de exigencias normativas formales que permiten su trámite y aseguran su decisión. </w:t>
      </w:r>
      <w:r w:rsidR="00F9683E" w:rsidRPr="00EE0693">
        <w:rPr>
          <w:rFonts w:ascii="Georgia" w:hAnsi="Georgia" w:cs="Arial"/>
          <w:sz w:val="24"/>
          <w:szCs w:val="24"/>
          <w:lang w:val="es-ES_tradnl"/>
        </w:rPr>
        <w:t>A</w:t>
      </w:r>
      <w:r w:rsidR="002F0156" w:rsidRPr="00EE0693">
        <w:rPr>
          <w:rFonts w:ascii="Georgia" w:hAnsi="Georgia" w:cs="Arial"/>
          <w:sz w:val="24"/>
          <w:szCs w:val="24"/>
          <w:lang w:val="es-ES_tradnl"/>
        </w:rPr>
        <w:t xml:space="preserve">nota el </w:t>
      </w:r>
      <w:r w:rsidR="008D4F8E" w:rsidRPr="00EE0693">
        <w:rPr>
          <w:rFonts w:ascii="Georgia" w:hAnsi="Georgia" w:cs="Arial"/>
          <w:sz w:val="24"/>
          <w:szCs w:val="24"/>
          <w:lang w:val="es-ES_tradnl"/>
        </w:rPr>
        <w:t>maestro</w:t>
      </w:r>
      <w:r w:rsidR="002F0156" w:rsidRPr="00EE0693">
        <w:rPr>
          <w:rFonts w:ascii="Georgia" w:hAnsi="Georgia" w:cs="Arial"/>
          <w:sz w:val="24"/>
          <w:szCs w:val="24"/>
          <w:lang w:val="es-ES_tradnl"/>
        </w:rPr>
        <w:t xml:space="preserve"> López B</w:t>
      </w:r>
      <w:r w:rsidRPr="00EE0693">
        <w:rPr>
          <w:rFonts w:ascii="Georgia" w:hAnsi="Georgia" w:cs="Arial"/>
          <w:sz w:val="24"/>
          <w:szCs w:val="24"/>
          <w:lang w:val="es-ES_tradnl"/>
        </w:rPr>
        <w:t>.</w:t>
      </w:r>
      <w:r w:rsidR="002F0156" w:rsidRPr="00EE0693">
        <w:rPr>
          <w:rFonts w:ascii="Georgia" w:hAnsi="Georgia" w:cs="Arial"/>
          <w:sz w:val="24"/>
          <w:szCs w:val="24"/>
          <w:vertAlign w:val="superscript"/>
          <w:lang w:val="es-ES_tradnl"/>
        </w:rPr>
        <w:footnoteReference w:id="4"/>
      </w:r>
      <w:r w:rsidR="009B710A" w:rsidRPr="00EE0693">
        <w:rPr>
          <w:rFonts w:ascii="Georgia" w:hAnsi="Georgia" w:cs="Arial"/>
          <w:sz w:val="24"/>
          <w:szCs w:val="24"/>
          <w:lang w:val="es-ES_tradnl"/>
        </w:rPr>
        <w:t xml:space="preserve"> (2019)</w:t>
      </w:r>
      <w:r w:rsidR="002F0156" w:rsidRPr="00EE0693">
        <w:rPr>
          <w:rFonts w:ascii="Georgia" w:hAnsi="Georgia" w:cs="Arial"/>
          <w:sz w:val="24"/>
          <w:szCs w:val="24"/>
          <w:lang w:val="es-ES_tradnl"/>
        </w:rPr>
        <w:t>: “</w:t>
      </w:r>
      <w:r w:rsidR="002F0156" w:rsidRPr="00EE0693">
        <w:rPr>
          <w:rFonts w:ascii="Georgia" w:hAnsi="Georgia" w:cs="Arial"/>
          <w:i/>
          <w:sz w:val="22"/>
          <w:szCs w:val="24"/>
          <w:lang w:val="es-ES_tradnl"/>
        </w:rPr>
        <w:t>En todo caso sin estar reunidos los requisitos de viabilidad del recurso jamás se podrá tener éxito en el mismo por constituir un precedente necesario para decidirlo</w:t>
      </w:r>
      <w:r w:rsidR="002F0156" w:rsidRPr="00EE0693">
        <w:rPr>
          <w:rFonts w:ascii="Georgia" w:hAnsi="Georgia" w:cs="Arial"/>
          <w:sz w:val="24"/>
          <w:szCs w:val="24"/>
          <w:lang w:val="es-ES_tradnl"/>
        </w:rPr>
        <w:t xml:space="preserve">”.  </w:t>
      </w:r>
      <w:r w:rsidR="009806FC" w:rsidRPr="00EE0693">
        <w:rPr>
          <w:rFonts w:ascii="Georgia" w:hAnsi="Georgia" w:cs="Arial"/>
          <w:sz w:val="24"/>
          <w:szCs w:val="24"/>
          <w:lang w:val="es-ES_tradnl"/>
        </w:rPr>
        <w:t>Y</w:t>
      </w:r>
      <w:r w:rsidR="00653B63" w:rsidRPr="00EE0693">
        <w:rPr>
          <w:rFonts w:ascii="Georgia" w:hAnsi="Georgia" w:cs="Arial"/>
          <w:sz w:val="24"/>
          <w:szCs w:val="24"/>
          <w:lang w:val="es-ES_tradnl"/>
        </w:rPr>
        <w:t>,</w:t>
      </w:r>
      <w:r w:rsidR="009806FC" w:rsidRPr="00EE0693">
        <w:rPr>
          <w:rFonts w:ascii="Georgia" w:hAnsi="Georgia" w:cs="Arial"/>
          <w:sz w:val="24"/>
          <w:szCs w:val="24"/>
          <w:lang w:val="es-ES_tradnl"/>
        </w:rPr>
        <w:t xml:space="preserve"> explica el profesor Rojas G.</w:t>
      </w:r>
      <w:r w:rsidR="00653B63" w:rsidRPr="00EE0693">
        <w:rPr>
          <w:rFonts w:ascii="Georgia" w:hAnsi="Georgia" w:cs="Arial"/>
          <w:sz w:val="24"/>
          <w:szCs w:val="24"/>
          <w:lang w:val="es-ES_tradnl"/>
        </w:rPr>
        <w:t>,</w:t>
      </w:r>
      <w:r w:rsidR="009806FC" w:rsidRPr="00EE0693">
        <w:rPr>
          <w:rFonts w:ascii="Georgia" w:hAnsi="Georgia" w:cs="Arial"/>
          <w:sz w:val="24"/>
          <w:szCs w:val="24"/>
          <w:lang w:val="es-ES_tradnl"/>
        </w:rPr>
        <w:t xml:space="preserve"> en su obra</w:t>
      </w:r>
      <w:r w:rsidR="00653B63" w:rsidRPr="00EE0693">
        <w:rPr>
          <w:rFonts w:ascii="Georgia" w:hAnsi="Georgia" w:cs="Arial"/>
          <w:sz w:val="24"/>
          <w:szCs w:val="24"/>
          <w:lang w:val="es-ES_tradnl"/>
        </w:rPr>
        <w:t xml:space="preserve"> (2020)</w:t>
      </w:r>
      <w:r w:rsidR="009806FC" w:rsidRPr="00EE0693">
        <w:rPr>
          <w:rFonts w:ascii="Georgia" w:hAnsi="Georgia" w:cs="Arial"/>
          <w:sz w:val="24"/>
          <w:szCs w:val="24"/>
          <w:lang w:val="es-ES_tradnl"/>
        </w:rPr>
        <w:t>: “</w:t>
      </w:r>
      <w:r w:rsidR="009806FC" w:rsidRPr="00EE0693">
        <w:rPr>
          <w:rFonts w:ascii="Georgia" w:hAnsi="Georgia" w:cs="Arial"/>
          <w:i/>
          <w:sz w:val="22"/>
          <w:szCs w:val="24"/>
          <w:lang w:val="es-ES_tradnl"/>
        </w:rPr>
        <w:t>(…) para que la impugnación pueda ser tramitada hasta establecer si debe prosperar han de cumplirse unos precisos requisitos.  En ausencia de ellos no debe dársele curso a la impugnación, o el trámite queda trunco, si ya se inició</w:t>
      </w:r>
      <w:r w:rsidR="009806FC" w:rsidRPr="00EE0693">
        <w:rPr>
          <w:rFonts w:ascii="Georgia" w:hAnsi="Georgia" w:cs="Arial"/>
          <w:sz w:val="24"/>
          <w:szCs w:val="24"/>
          <w:lang w:val="es-ES_tradnl"/>
        </w:rPr>
        <w:t>”</w:t>
      </w:r>
      <w:r w:rsidR="009806FC" w:rsidRPr="00EE0693">
        <w:rPr>
          <w:rStyle w:val="Refdenotaalpie"/>
          <w:rFonts w:ascii="Georgia" w:hAnsi="Georgia"/>
          <w:sz w:val="24"/>
          <w:szCs w:val="24"/>
          <w:lang w:val="es-ES_tradnl"/>
        </w:rPr>
        <w:t xml:space="preserve"> </w:t>
      </w:r>
      <w:r w:rsidR="009806FC" w:rsidRPr="00EE0693">
        <w:rPr>
          <w:rStyle w:val="Refdenotaalpie"/>
          <w:rFonts w:ascii="Georgia" w:hAnsi="Georgia"/>
          <w:sz w:val="24"/>
          <w:szCs w:val="24"/>
          <w:lang w:val="es-ES_tradnl"/>
        </w:rPr>
        <w:footnoteReference w:id="5"/>
      </w:r>
      <w:r w:rsidR="002F0156" w:rsidRPr="00EE0693">
        <w:rPr>
          <w:rFonts w:ascii="Georgia" w:hAnsi="Georgia" w:cs="Arial"/>
          <w:sz w:val="24"/>
          <w:szCs w:val="24"/>
          <w:lang w:val="es-ES_tradnl"/>
        </w:rPr>
        <w:t>.</w:t>
      </w:r>
      <w:r w:rsidR="00653B63" w:rsidRPr="00EE0693">
        <w:rPr>
          <w:rFonts w:ascii="Georgia" w:hAnsi="Georgia" w:cs="Arial"/>
          <w:sz w:val="24"/>
          <w:szCs w:val="24"/>
          <w:lang w:val="es-ES_tradnl"/>
        </w:rPr>
        <w:t xml:space="preserve"> En </w:t>
      </w:r>
      <w:r w:rsidR="002040C6" w:rsidRPr="00EE0693">
        <w:rPr>
          <w:rFonts w:ascii="Georgia" w:hAnsi="Georgia" w:cs="Arial"/>
          <w:sz w:val="24"/>
          <w:szCs w:val="24"/>
          <w:lang w:val="es-ES_tradnl"/>
        </w:rPr>
        <w:t xml:space="preserve">similar </w:t>
      </w:r>
      <w:r w:rsidR="00653B63" w:rsidRPr="00EE0693">
        <w:rPr>
          <w:rFonts w:ascii="Georgia" w:hAnsi="Georgia" w:cs="Arial"/>
          <w:sz w:val="24"/>
          <w:szCs w:val="24"/>
          <w:lang w:val="es-ES_tradnl"/>
        </w:rPr>
        <w:t>sentido Parra Benítez</w:t>
      </w:r>
      <w:r w:rsidR="009B710A" w:rsidRPr="00EE0693">
        <w:rPr>
          <w:rFonts w:ascii="Georgia" w:hAnsi="Georgia" w:cs="Arial"/>
          <w:sz w:val="24"/>
          <w:szCs w:val="24"/>
          <w:lang w:val="es-ES_tradnl"/>
        </w:rPr>
        <w:t xml:space="preserve"> (2021)</w:t>
      </w:r>
      <w:r w:rsidR="009B710A" w:rsidRPr="00EE0693">
        <w:rPr>
          <w:rStyle w:val="Refdenotaalpie"/>
          <w:rFonts w:ascii="Georgia" w:hAnsi="Georgia" w:cs="Arial"/>
          <w:sz w:val="24"/>
          <w:szCs w:val="24"/>
          <w:lang w:val="es-ES_tradnl"/>
        </w:rPr>
        <w:footnoteReference w:id="6"/>
      </w:r>
      <w:r w:rsidR="002040C6" w:rsidRPr="00EE0693">
        <w:rPr>
          <w:rFonts w:ascii="Georgia" w:hAnsi="Georgia" w:cs="Arial"/>
          <w:sz w:val="24"/>
          <w:szCs w:val="24"/>
          <w:lang w:val="es-ES_tradnl"/>
        </w:rPr>
        <w:t xml:space="preserve"> y </w:t>
      </w:r>
      <w:r w:rsidR="00DB3C87" w:rsidRPr="00EE0693">
        <w:rPr>
          <w:rFonts w:ascii="Georgia" w:hAnsi="Georgia" w:cs="Arial"/>
          <w:sz w:val="24"/>
          <w:szCs w:val="24"/>
          <w:lang w:val="es-ES_tradnl"/>
        </w:rPr>
        <w:t>Sanabria Santos</w:t>
      </w:r>
      <w:r w:rsidR="00112C44" w:rsidRPr="00EE0693">
        <w:rPr>
          <w:rFonts w:ascii="Georgia" w:hAnsi="Georgia" w:cs="Arial"/>
          <w:sz w:val="24"/>
          <w:szCs w:val="24"/>
          <w:lang w:val="es-ES_tradnl"/>
        </w:rPr>
        <w:t xml:space="preserve"> (2021)</w:t>
      </w:r>
      <w:r w:rsidR="00DB3C87" w:rsidRPr="00EE0693">
        <w:rPr>
          <w:rStyle w:val="Refdenotaalpie"/>
          <w:rFonts w:ascii="Georgia" w:hAnsi="Georgia" w:cs="Arial"/>
          <w:sz w:val="24"/>
          <w:szCs w:val="24"/>
          <w:lang w:val="es-ES_tradnl"/>
        </w:rPr>
        <w:footnoteReference w:id="7"/>
      </w:r>
      <w:r w:rsidR="00653B63" w:rsidRPr="00EE0693">
        <w:rPr>
          <w:rFonts w:ascii="Georgia" w:hAnsi="Georgia" w:cs="Arial"/>
          <w:sz w:val="24"/>
          <w:szCs w:val="24"/>
          <w:lang w:val="es-ES_tradnl"/>
        </w:rPr>
        <w:t>.</w:t>
      </w:r>
    </w:p>
    <w:p w14:paraId="223FF8A4" w14:textId="77777777" w:rsidR="00DF4F66" w:rsidRPr="00EE0693" w:rsidRDefault="00DF4F66" w:rsidP="00ED7D44">
      <w:pPr>
        <w:spacing w:line="276" w:lineRule="auto"/>
        <w:jc w:val="both"/>
        <w:rPr>
          <w:rFonts w:ascii="Georgia" w:hAnsi="Georgia" w:cs="Arial"/>
          <w:sz w:val="24"/>
          <w:szCs w:val="24"/>
          <w:lang w:val="es-ES_tradnl"/>
        </w:rPr>
      </w:pPr>
    </w:p>
    <w:p w14:paraId="0398B0A2" w14:textId="08BC0C50" w:rsidR="00653B63" w:rsidRPr="00EE0693" w:rsidRDefault="008D4F8E" w:rsidP="00ED7D44">
      <w:pPr>
        <w:spacing w:line="276" w:lineRule="auto"/>
        <w:jc w:val="both"/>
        <w:rPr>
          <w:rFonts w:ascii="Georgia" w:hAnsi="Georgia" w:cs="Arial"/>
          <w:sz w:val="24"/>
          <w:szCs w:val="24"/>
          <w:lang w:val="es-ES_tradnl"/>
        </w:rPr>
      </w:pPr>
      <w:r w:rsidRPr="00EE0693">
        <w:rPr>
          <w:rFonts w:ascii="Georgia" w:hAnsi="Georgia" w:cs="Arial"/>
          <w:sz w:val="24"/>
          <w:szCs w:val="24"/>
          <w:lang w:val="es-ES_tradnl"/>
        </w:rPr>
        <w:t>Los presupuestos son concurrentes, que se traduce en que su ausencia frustra el estudio de la impugnación</w:t>
      </w:r>
      <w:r w:rsidR="00F9683E" w:rsidRPr="00EE0693">
        <w:rPr>
          <w:rStyle w:val="Refdenotaalpie"/>
          <w:rFonts w:ascii="Georgia" w:hAnsi="Georgia" w:cs="Arial"/>
          <w:sz w:val="24"/>
          <w:szCs w:val="24"/>
          <w:lang w:val="es-ES_tradnl"/>
        </w:rPr>
        <w:footnoteReference w:id="8"/>
      </w:r>
      <w:r w:rsidRPr="00EE0693">
        <w:rPr>
          <w:rFonts w:ascii="Georgia" w:hAnsi="Georgia" w:cs="Arial"/>
          <w:sz w:val="24"/>
          <w:szCs w:val="24"/>
          <w:lang w:val="es-ES_tradnl"/>
        </w:rPr>
        <w:t>. También la CSJ</w:t>
      </w:r>
      <w:r w:rsidR="00790825" w:rsidRPr="00EE0693">
        <w:rPr>
          <w:rFonts w:ascii="Georgia" w:hAnsi="Georgia" w:cs="Arial"/>
          <w:sz w:val="24"/>
          <w:szCs w:val="24"/>
          <w:lang w:val="es-ES_tradnl"/>
        </w:rPr>
        <w:t xml:space="preserve"> de antaño</w:t>
      </w:r>
      <w:r w:rsidRPr="00EE0693">
        <w:rPr>
          <w:rFonts w:ascii="Georgia" w:hAnsi="Georgia" w:cs="Arial"/>
          <w:sz w:val="24"/>
          <w:szCs w:val="24"/>
          <w:lang w:val="es-ES_tradnl"/>
        </w:rPr>
        <w:t>, predica su cumplimiento: “</w:t>
      </w:r>
      <w:r w:rsidRPr="007361C5">
        <w:rPr>
          <w:rFonts w:ascii="Georgia" w:hAnsi="Georgia" w:cs="Arial"/>
          <w:i/>
          <w:sz w:val="22"/>
          <w:szCs w:val="24"/>
          <w:lang w:val="es-ES_tradnl"/>
        </w:rPr>
        <w:t xml:space="preserve">(…) al recibir el expediente, dentro del examen preliminar que le corresponde hacer (C. de P.C., art.358), debe prioritariamente examinar, entre otras situaciones, si se encuentran cumplidos los presupuestos indispensables para la concesión del recurso de apelación, y en </w:t>
      </w:r>
      <w:r w:rsidRPr="007361C5">
        <w:rPr>
          <w:rFonts w:ascii="Georgia" w:hAnsi="Georgia" w:cs="Arial"/>
          <w:i/>
          <w:sz w:val="22"/>
          <w:szCs w:val="24"/>
          <w:lang w:val="es-ES_tradnl"/>
        </w:rPr>
        <w:lastRenderedPageBreak/>
        <w:t>el evento de hallarlos ajustados a la ley, admitirá el recurso, y en caso contrario lo declarará inadmisible (…)</w:t>
      </w:r>
      <w:r w:rsidRPr="00EE0693">
        <w:rPr>
          <w:rFonts w:ascii="Georgia" w:hAnsi="Georgia" w:cs="Arial"/>
          <w:sz w:val="24"/>
          <w:szCs w:val="24"/>
          <w:lang w:val="es-ES_tradnl"/>
        </w:rPr>
        <w:t>”</w:t>
      </w:r>
      <w:r w:rsidRPr="00EE0693">
        <w:rPr>
          <w:rStyle w:val="Refdenotaalpie"/>
          <w:rFonts w:ascii="Georgia" w:hAnsi="Georgia"/>
          <w:sz w:val="24"/>
          <w:szCs w:val="24"/>
          <w:lang w:val="es-ES_tradnl"/>
        </w:rPr>
        <w:footnoteReference w:id="9"/>
      </w:r>
      <w:r w:rsidRPr="00EE0693">
        <w:rPr>
          <w:rFonts w:ascii="Georgia" w:hAnsi="Georgia" w:cs="Arial"/>
          <w:sz w:val="24"/>
          <w:szCs w:val="24"/>
          <w:lang w:val="es-ES_tradnl"/>
        </w:rPr>
        <w:t xml:space="preserve">. </w:t>
      </w:r>
    </w:p>
    <w:p w14:paraId="54000CF5" w14:textId="77777777" w:rsidR="00653B63" w:rsidRPr="00EE0693" w:rsidRDefault="00653B63" w:rsidP="00ED7D44">
      <w:pPr>
        <w:spacing w:line="276" w:lineRule="auto"/>
        <w:jc w:val="both"/>
        <w:rPr>
          <w:rFonts w:ascii="Georgia" w:hAnsi="Georgia" w:cs="Arial"/>
          <w:sz w:val="24"/>
          <w:szCs w:val="24"/>
          <w:lang w:val="es-ES_tradnl"/>
        </w:rPr>
      </w:pPr>
    </w:p>
    <w:p w14:paraId="10B8F25E" w14:textId="78A1E156" w:rsidR="008D4F8E" w:rsidRPr="00EE0693" w:rsidRDefault="00653B63" w:rsidP="00ED7D44">
      <w:pPr>
        <w:spacing w:line="276" w:lineRule="auto"/>
        <w:jc w:val="both"/>
        <w:rPr>
          <w:rFonts w:ascii="Georgia" w:hAnsi="Georgia" w:cs="Arial"/>
          <w:sz w:val="24"/>
          <w:szCs w:val="24"/>
          <w:lang w:val="es-ES_tradnl"/>
        </w:rPr>
      </w:pPr>
      <w:r w:rsidRPr="00EE0693">
        <w:rPr>
          <w:rFonts w:ascii="Georgia" w:hAnsi="Georgia" w:cs="Arial"/>
          <w:sz w:val="24"/>
          <w:szCs w:val="24"/>
          <w:lang w:val="es-ES_tradnl"/>
        </w:rPr>
        <w:t>E</w:t>
      </w:r>
      <w:r w:rsidR="008D4F8E" w:rsidRPr="00EE0693">
        <w:rPr>
          <w:rFonts w:ascii="Georgia" w:hAnsi="Georgia" w:cs="Arial"/>
          <w:sz w:val="24"/>
          <w:szCs w:val="24"/>
          <w:lang w:val="es-ES_tradnl"/>
        </w:rPr>
        <w:t>n decisión más próxima (2017)</w:t>
      </w:r>
      <w:r w:rsidR="008D4F8E" w:rsidRPr="00EE0693">
        <w:rPr>
          <w:rStyle w:val="Refdenotaalpie"/>
          <w:rFonts w:ascii="Georgia" w:hAnsi="Georgia"/>
          <w:sz w:val="24"/>
          <w:szCs w:val="24"/>
          <w:lang w:val="es-ES_tradnl"/>
        </w:rPr>
        <w:footnoteReference w:id="10"/>
      </w:r>
      <w:r w:rsidR="009B710A" w:rsidRPr="00EE0693">
        <w:rPr>
          <w:rFonts w:ascii="Georgia" w:hAnsi="Georgia" w:cs="Arial"/>
          <w:sz w:val="24"/>
          <w:szCs w:val="24"/>
          <w:lang w:val="es-ES_tradnl"/>
        </w:rPr>
        <w:t xml:space="preserve">, en sede constitucional que es criterio auxiliar, </w:t>
      </w:r>
      <w:r w:rsidR="008D4F8E" w:rsidRPr="00EE0693">
        <w:rPr>
          <w:rFonts w:ascii="Georgia" w:hAnsi="Georgia" w:cs="Arial"/>
          <w:sz w:val="24"/>
          <w:szCs w:val="24"/>
          <w:lang w:val="es-ES_tradnl"/>
        </w:rPr>
        <w:t>evocó: “</w:t>
      </w:r>
      <w:r w:rsidR="008D4F8E" w:rsidRPr="007361C5">
        <w:rPr>
          <w:rFonts w:ascii="Georgia" w:hAnsi="Georgia" w:cs="Arial"/>
          <w:i/>
          <w:iCs/>
          <w:sz w:val="22"/>
          <w:szCs w:val="24"/>
          <w:lang w:val="es-ES_tradnl"/>
        </w:rPr>
        <w:t xml:space="preserve">(…) </w:t>
      </w:r>
      <w:r w:rsidR="008D4F8E" w:rsidRPr="007361C5">
        <w:rPr>
          <w:rFonts w:ascii="Georgia" w:hAnsi="Georgia" w:cs="Arial"/>
          <w:i/>
          <w:iCs/>
          <w:spacing w:val="-4"/>
          <w:sz w:val="22"/>
          <w:szCs w:val="24"/>
          <w:lang w:val="es-ES_tradnl"/>
        </w:rPr>
        <w:t>Por supuesto que, era facultad del superior realizar el análisis preliminar para la «admisión» de la alzada, y conforme a la regla cuarta del canon 325 del C.G.P.</w:t>
      </w:r>
      <w:r w:rsidR="008D4F8E" w:rsidRPr="007361C5">
        <w:rPr>
          <w:rFonts w:ascii="Georgia" w:hAnsi="Georgia" w:cs="Arial"/>
          <w:spacing w:val="-4"/>
          <w:sz w:val="22"/>
          <w:szCs w:val="24"/>
          <w:lang w:val="es-ES_tradnl"/>
        </w:rPr>
        <w:t xml:space="preserve"> </w:t>
      </w:r>
      <w:r w:rsidR="008D4F8E" w:rsidRPr="007361C5">
        <w:rPr>
          <w:rFonts w:ascii="Georgia" w:hAnsi="Georgia" w:cs="Arial"/>
          <w:i/>
          <w:iCs/>
          <w:sz w:val="22"/>
          <w:szCs w:val="24"/>
          <w:shd w:val="clear" w:color="auto" w:fill="FFFFFF"/>
          <w:lang w:val="es-ES_tradnl"/>
        </w:rPr>
        <w:t>(…)</w:t>
      </w:r>
      <w:r w:rsidR="008D4F8E" w:rsidRPr="00EE0693">
        <w:rPr>
          <w:rFonts w:ascii="Georgia" w:hAnsi="Georgia" w:cs="Arial"/>
          <w:i/>
          <w:iCs/>
          <w:sz w:val="24"/>
          <w:szCs w:val="24"/>
          <w:shd w:val="clear" w:color="auto" w:fill="FFFFFF"/>
          <w:lang w:val="es-ES_tradnl"/>
        </w:rPr>
        <w:t>”.</w:t>
      </w:r>
      <w:r w:rsidR="008D4F8E" w:rsidRPr="00EE0693">
        <w:rPr>
          <w:rFonts w:ascii="Georgia" w:hAnsi="Georgia" w:cs="Arial"/>
          <w:sz w:val="24"/>
          <w:szCs w:val="24"/>
          <w:shd w:val="clear" w:color="auto" w:fill="FFFFFF"/>
          <w:lang w:val="es-ES_tradnl"/>
        </w:rPr>
        <w:t xml:space="preserve"> Comentarios aplicables para el CGP, puesto que en este aspecto se conservó el esquema.</w:t>
      </w:r>
    </w:p>
    <w:p w14:paraId="10B8F25F" w14:textId="77777777" w:rsidR="002F0156" w:rsidRPr="00EE0693" w:rsidRDefault="002F0156" w:rsidP="00ED7D44">
      <w:pPr>
        <w:pStyle w:val="Sinespaciado"/>
        <w:spacing w:line="276" w:lineRule="auto"/>
        <w:jc w:val="both"/>
        <w:rPr>
          <w:rFonts w:ascii="Georgia" w:hAnsi="Georgia" w:cs="Arial"/>
          <w:sz w:val="24"/>
          <w:szCs w:val="24"/>
          <w:lang w:val="es-ES_tradnl"/>
        </w:rPr>
      </w:pPr>
    </w:p>
    <w:p w14:paraId="2D51B2C4" w14:textId="6461888B" w:rsidR="00B82F1C" w:rsidRPr="00EE0693" w:rsidRDefault="5C3A0D7C" w:rsidP="00ED7D44">
      <w:pPr>
        <w:pStyle w:val="Sinespaciado"/>
        <w:spacing w:line="276" w:lineRule="auto"/>
        <w:jc w:val="both"/>
        <w:rPr>
          <w:rFonts w:ascii="Georgia" w:hAnsi="Georgia" w:cs="Arial"/>
          <w:sz w:val="24"/>
          <w:szCs w:val="24"/>
          <w:lang w:val="es-ES_tradnl"/>
        </w:rPr>
      </w:pPr>
      <w:r w:rsidRPr="00EE0693">
        <w:rPr>
          <w:rFonts w:ascii="Georgia" w:hAnsi="Georgia" w:cs="Arial"/>
          <w:sz w:val="24"/>
          <w:szCs w:val="24"/>
          <w:lang w:val="es-ES_tradnl"/>
        </w:rPr>
        <w:t xml:space="preserve">Se hacen consistir en: </w:t>
      </w:r>
      <w:r w:rsidR="008D4F8E" w:rsidRPr="00EE0693">
        <w:rPr>
          <w:rFonts w:ascii="Georgia" w:hAnsi="Georgia" w:cs="Arial"/>
          <w:b/>
          <w:bCs/>
          <w:sz w:val="24"/>
          <w:szCs w:val="24"/>
          <w:lang w:val="es-ES_tradnl"/>
        </w:rPr>
        <w:t>(i)</w:t>
      </w:r>
      <w:r w:rsidR="008D4F8E" w:rsidRPr="00EE0693">
        <w:rPr>
          <w:rFonts w:ascii="Georgia" w:hAnsi="Georgia" w:cs="Arial"/>
          <w:sz w:val="24"/>
          <w:szCs w:val="24"/>
          <w:lang w:val="es-ES_tradnl"/>
        </w:rPr>
        <w:t xml:space="preserve"> legitimación, </w:t>
      </w:r>
      <w:r w:rsidR="008D4F8E" w:rsidRPr="00EE0693">
        <w:rPr>
          <w:rFonts w:ascii="Georgia" w:hAnsi="Georgia" w:cs="Arial"/>
          <w:b/>
          <w:bCs/>
          <w:sz w:val="24"/>
          <w:szCs w:val="24"/>
          <w:lang w:val="es-ES_tradnl"/>
        </w:rPr>
        <w:t>(ii)</w:t>
      </w:r>
      <w:r w:rsidR="008D4F8E" w:rsidRPr="00EE0693">
        <w:rPr>
          <w:rFonts w:ascii="Georgia" w:hAnsi="Georgia" w:cs="Arial"/>
          <w:sz w:val="24"/>
          <w:szCs w:val="24"/>
          <w:lang w:val="es-ES_tradnl"/>
        </w:rPr>
        <w:t xml:space="preserve"> oportunidad, </w:t>
      </w:r>
      <w:r w:rsidR="008D4F8E" w:rsidRPr="00EE0693">
        <w:rPr>
          <w:rFonts w:ascii="Georgia" w:hAnsi="Georgia" w:cs="Arial"/>
          <w:b/>
          <w:bCs/>
          <w:sz w:val="24"/>
          <w:szCs w:val="24"/>
          <w:lang w:val="es-ES_tradnl"/>
        </w:rPr>
        <w:t>(iii)</w:t>
      </w:r>
      <w:r w:rsidR="008D4F8E" w:rsidRPr="00EE0693">
        <w:rPr>
          <w:rFonts w:ascii="Georgia" w:hAnsi="Georgia" w:cs="Arial"/>
          <w:sz w:val="24"/>
          <w:szCs w:val="24"/>
          <w:lang w:val="es-ES_tradnl"/>
        </w:rPr>
        <w:t xml:space="preserve"> procedencia y </w:t>
      </w:r>
      <w:r w:rsidR="008D4F8E" w:rsidRPr="00EE0693">
        <w:rPr>
          <w:rFonts w:ascii="Georgia" w:hAnsi="Georgia" w:cs="Arial"/>
          <w:b/>
          <w:bCs/>
          <w:sz w:val="24"/>
          <w:szCs w:val="24"/>
          <w:lang w:val="es-ES_tradnl"/>
        </w:rPr>
        <w:t>(iv)</w:t>
      </w:r>
      <w:r w:rsidR="008D4F8E" w:rsidRPr="00EE0693">
        <w:rPr>
          <w:rFonts w:ascii="Georgia" w:hAnsi="Georgia" w:cs="Arial"/>
          <w:sz w:val="24"/>
          <w:szCs w:val="24"/>
          <w:lang w:val="es-ES_tradnl"/>
        </w:rPr>
        <w:t xml:space="preserve"> cargas procesales (Sustentación, expedición de copias, etc.); los tres (3) primeros implican la inadmisibilidad del recurso, mientras que el cuarto, provoca la deserción, como acota la doctrina patria</w:t>
      </w:r>
      <w:r w:rsidR="008D4F8E" w:rsidRPr="00EE0693">
        <w:rPr>
          <w:rStyle w:val="Refdenotaalpie"/>
          <w:rFonts w:ascii="Georgia" w:hAnsi="Georgia"/>
          <w:sz w:val="24"/>
          <w:szCs w:val="24"/>
          <w:lang w:val="es-ES_tradnl"/>
        </w:rPr>
        <w:footnoteReference w:id="11"/>
      </w:r>
      <w:r w:rsidR="008D4F8E" w:rsidRPr="00EE0693">
        <w:rPr>
          <w:rStyle w:val="Refdenotaalpie"/>
          <w:rFonts w:ascii="Georgia" w:hAnsi="Georgia"/>
          <w:sz w:val="24"/>
          <w:szCs w:val="24"/>
          <w:lang w:val="es-ES_tradnl"/>
        </w:rPr>
        <w:t>-</w:t>
      </w:r>
      <w:r w:rsidR="008D4F8E" w:rsidRPr="00EE0693">
        <w:rPr>
          <w:rStyle w:val="Refdenotaalpie"/>
          <w:rFonts w:ascii="Georgia" w:hAnsi="Georgia"/>
          <w:sz w:val="24"/>
          <w:szCs w:val="24"/>
          <w:lang w:val="es-ES_tradnl"/>
        </w:rPr>
        <w:footnoteReference w:id="12"/>
      </w:r>
      <w:r w:rsidR="008D4F8E" w:rsidRPr="00EE0693">
        <w:rPr>
          <w:rFonts w:ascii="Georgia" w:hAnsi="Georgia" w:cs="Arial"/>
          <w:sz w:val="24"/>
          <w:szCs w:val="24"/>
          <w:lang w:val="es-ES_tradnl"/>
        </w:rPr>
        <w:t>.</w:t>
      </w:r>
      <w:r w:rsidR="00B82F1C" w:rsidRPr="00EE0693">
        <w:rPr>
          <w:rFonts w:ascii="Georgia" w:hAnsi="Georgia" w:cs="Arial"/>
          <w:sz w:val="24"/>
          <w:szCs w:val="24"/>
          <w:lang w:val="es-ES_tradnl"/>
        </w:rPr>
        <w:t xml:space="preserve"> En particular </w:t>
      </w:r>
      <w:r w:rsidR="009B710A" w:rsidRPr="00EE0693">
        <w:rPr>
          <w:rFonts w:ascii="Georgia" w:hAnsi="Georgia" w:cs="Arial"/>
          <w:sz w:val="24"/>
          <w:szCs w:val="24"/>
          <w:lang w:val="es-ES_tradnl"/>
        </w:rPr>
        <w:t xml:space="preserve">para este caso concreto, </w:t>
      </w:r>
      <w:r w:rsidR="00B82F1C" w:rsidRPr="00EE0693">
        <w:rPr>
          <w:rFonts w:ascii="Georgia" w:hAnsi="Georgia" w:cs="Arial"/>
          <w:sz w:val="24"/>
          <w:szCs w:val="24"/>
          <w:lang w:val="es-ES_tradnl"/>
        </w:rPr>
        <w:t>se echa de menos la procedencia, entendida como la expresa autorización normativa para atacar la decisión</w:t>
      </w:r>
      <w:r w:rsidR="00556DC6" w:rsidRPr="00EE0693">
        <w:rPr>
          <w:rStyle w:val="Refdenotaalpie"/>
          <w:rFonts w:ascii="Georgia" w:hAnsi="Georgia" w:cs="Arial"/>
          <w:sz w:val="24"/>
          <w:szCs w:val="24"/>
          <w:lang w:val="es-ES_tradnl"/>
        </w:rPr>
        <w:footnoteReference w:id="13"/>
      </w:r>
      <w:r w:rsidR="00B82F1C" w:rsidRPr="00EE0693">
        <w:rPr>
          <w:rFonts w:ascii="Georgia" w:hAnsi="Georgia" w:cs="Arial"/>
          <w:sz w:val="24"/>
          <w:szCs w:val="24"/>
          <w:lang w:val="es-ES_tradnl"/>
        </w:rPr>
        <w:t>.</w:t>
      </w:r>
    </w:p>
    <w:p w14:paraId="3243E6CA" w14:textId="10B90551" w:rsidR="00B82F1C" w:rsidRPr="00EE0693" w:rsidRDefault="00B82F1C" w:rsidP="00ED7D44">
      <w:pPr>
        <w:pStyle w:val="Sinespaciado"/>
        <w:spacing w:line="276" w:lineRule="auto"/>
        <w:jc w:val="both"/>
        <w:rPr>
          <w:rFonts w:ascii="Georgia" w:hAnsi="Georgia" w:cs="Arial"/>
          <w:sz w:val="24"/>
          <w:szCs w:val="24"/>
          <w:lang w:val="es-ES_tradnl"/>
        </w:rPr>
      </w:pPr>
    </w:p>
    <w:p w14:paraId="080968C9" w14:textId="7BFA0BCB" w:rsidR="00F54107" w:rsidRPr="00EE0693" w:rsidRDefault="00EF51F6" w:rsidP="00ED7D44">
      <w:pPr>
        <w:pStyle w:val="Sinespaciado"/>
        <w:spacing w:line="276" w:lineRule="auto"/>
        <w:jc w:val="both"/>
        <w:rPr>
          <w:rFonts w:ascii="Georgia" w:hAnsi="Georgia" w:cs="Arial"/>
          <w:sz w:val="24"/>
          <w:szCs w:val="24"/>
          <w:lang w:val="es-ES_tradnl"/>
        </w:rPr>
      </w:pPr>
      <w:r w:rsidRPr="00EE0693">
        <w:rPr>
          <w:rFonts w:ascii="Georgia" w:hAnsi="Georgia" w:cs="Arial"/>
          <w:smallCaps/>
          <w:sz w:val="24"/>
          <w:szCs w:val="24"/>
          <w:lang w:val="es-ES_tradnl"/>
        </w:rPr>
        <w:t xml:space="preserve">3.2. </w:t>
      </w:r>
      <w:r w:rsidR="00DF2301" w:rsidRPr="00EE0693">
        <w:rPr>
          <w:rFonts w:ascii="Georgia" w:hAnsi="Georgia" w:cs="Arial"/>
          <w:smallCaps/>
          <w:sz w:val="24"/>
          <w:szCs w:val="24"/>
          <w:lang w:val="es-ES_tradnl"/>
        </w:rPr>
        <w:t>El principio de doble instancia.</w:t>
      </w:r>
      <w:r w:rsidR="00DE486D" w:rsidRPr="00EE0693">
        <w:rPr>
          <w:rFonts w:ascii="Georgia" w:hAnsi="Georgia" w:cs="Arial"/>
          <w:sz w:val="24"/>
          <w:szCs w:val="24"/>
          <w:lang w:val="es-ES_tradnl"/>
        </w:rPr>
        <w:t xml:space="preserve"> </w:t>
      </w:r>
      <w:r w:rsidR="00DF2301" w:rsidRPr="00EE0693">
        <w:rPr>
          <w:rFonts w:ascii="Georgia" w:hAnsi="Georgia" w:cs="Arial"/>
          <w:sz w:val="24"/>
          <w:szCs w:val="24"/>
          <w:lang w:val="es-ES_tradnl"/>
        </w:rPr>
        <w:t>P</w:t>
      </w:r>
      <w:r w:rsidR="00DE486D" w:rsidRPr="00EE0693">
        <w:rPr>
          <w:rFonts w:ascii="Georgia" w:hAnsi="Georgia" w:cs="Arial"/>
          <w:sz w:val="24"/>
          <w:szCs w:val="24"/>
          <w:lang w:val="es-ES_tradnl"/>
        </w:rPr>
        <w:t xml:space="preserve">revisto por el artículo 31 de nuestra Carta Política, no es absoluto sino relativo, aplica para las sentencias y excepcionalmente según el legislativo. </w:t>
      </w:r>
      <w:r w:rsidR="007B30B2" w:rsidRPr="00EE0693">
        <w:rPr>
          <w:rFonts w:ascii="Georgia" w:hAnsi="Georgia" w:cs="Arial"/>
          <w:sz w:val="24"/>
          <w:szCs w:val="24"/>
          <w:lang w:val="es-ES_tradnl"/>
        </w:rPr>
        <w:t>El profesor Sanabria S. en su reciente (2021)</w:t>
      </w:r>
      <w:r w:rsidR="007B30B2" w:rsidRPr="00EE0693">
        <w:rPr>
          <w:rStyle w:val="Refdenotaalpie"/>
          <w:rFonts w:ascii="Georgia" w:hAnsi="Georgia" w:cs="Arial"/>
          <w:sz w:val="24"/>
          <w:szCs w:val="24"/>
          <w:lang w:val="es-ES_tradnl"/>
        </w:rPr>
        <w:footnoteReference w:id="14"/>
      </w:r>
      <w:r w:rsidR="007B30B2" w:rsidRPr="00EE0693">
        <w:rPr>
          <w:rFonts w:ascii="Georgia" w:hAnsi="Georgia" w:cs="Arial"/>
          <w:sz w:val="24"/>
          <w:szCs w:val="24"/>
          <w:lang w:val="es-ES_tradnl"/>
        </w:rPr>
        <w:t xml:space="preserve"> obra</w:t>
      </w:r>
      <w:r w:rsidR="36946796" w:rsidRPr="00EE0693">
        <w:rPr>
          <w:rFonts w:ascii="Georgia" w:hAnsi="Georgia" w:cs="Arial"/>
          <w:sz w:val="24"/>
          <w:szCs w:val="24"/>
          <w:lang w:val="es-ES_tradnl"/>
        </w:rPr>
        <w:t>,</w:t>
      </w:r>
      <w:r w:rsidR="007B30B2" w:rsidRPr="00EE0693">
        <w:rPr>
          <w:rFonts w:ascii="Georgia" w:hAnsi="Georgia" w:cs="Arial"/>
          <w:sz w:val="24"/>
          <w:szCs w:val="24"/>
          <w:lang w:val="es-ES_tradnl"/>
        </w:rPr>
        <w:t xml:space="preserve"> recuerda</w:t>
      </w:r>
      <w:r w:rsidR="00AF4822" w:rsidRPr="00EE0693">
        <w:rPr>
          <w:rFonts w:ascii="Georgia" w:hAnsi="Georgia" w:cs="Arial"/>
          <w:sz w:val="24"/>
          <w:szCs w:val="24"/>
          <w:lang w:val="es-ES_tradnl"/>
        </w:rPr>
        <w:t xml:space="preserve"> es</w:t>
      </w:r>
      <w:r w:rsidR="00014B08" w:rsidRPr="00EE0693">
        <w:rPr>
          <w:rFonts w:ascii="Georgia" w:hAnsi="Georgia" w:cs="Arial"/>
          <w:sz w:val="24"/>
          <w:szCs w:val="24"/>
          <w:lang w:val="es-ES_tradnl"/>
        </w:rPr>
        <w:t>t</w:t>
      </w:r>
      <w:r w:rsidR="00AF4822" w:rsidRPr="00EE0693">
        <w:rPr>
          <w:rFonts w:ascii="Georgia" w:hAnsi="Georgia" w:cs="Arial"/>
          <w:sz w:val="24"/>
          <w:szCs w:val="24"/>
          <w:lang w:val="es-ES_tradnl"/>
        </w:rPr>
        <w:t>e criterio</w:t>
      </w:r>
      <w:r w:rsidR="007B30B2" w:rsidRPr="00EE0693">
        <w:rPr>
          <w:rFonts w:ascii="Georgia" w:hAnsi="Georgia" w:cs="Arial"/>
          <w:sz w:val="24"/>
          <w:szCs w:val="24"/>
          <w:lang w:val="es-ES_tradnl"/>
        </w:rPr>
        <w:t xml:space="preserve">. </w:t>
      </w:r>
    </w:p>
    <w:p w14:paraId="2D3E74BC" w14:textId="77777777" w:rsidR="00F54107" w:rsidRPr="00EE0693" w:rsidRDefault="00F54107" w:rsidP="00ED7D44">
      <w:pPr>
        <w:pStyle w:val="Sinespaciado"/>
        <w:spacing w:line="276" w:lineRule="auto"/>
        <w:jc w:val="both"/>
        <w:rPr>
          <w:rFonts w:ascii="Georgia" w:hAnsi="Georgia" w:cs="Arial"/>
          <w:sz w:val="24"/>
          <w:szCs w:val="24"/>
          <w:lang w:val="es-ES_tradnl"/>
        </w:rPr>
      </w:pPr>
    </w:p>
    <w:p w14:paraId="53F1DED0" w14:textId="20B0F7B2" w:rsidR="00DE486D" w:rsidRPr="00EE0693" w:rsidRDefault="00DE486D" w:rsidP="00ED7D44">
      <w:pPr>
        <w:pStyle w:val="Sinespaciado"/>
        <w:spacing w:line="276" w:lineRule="auto"/>
        <w:jc w:val="both"/>
        <w:rPr>
          <w:rFonts w:ascii="Georgia" w:hAnsi="Georgia" w:cs="Arial"/>
          <w:sz w:val="24"/>
          <w:szCs w:val="24"/>
          <w:lang w:val="es-ES_tradnl"/>
        </w:rPr>
      </w:pPr>
      <w:r w:rsidRPr="00EE0693">
        <w:rPr>
          <w:rFonts w:ascii="Georgia" w:hAnsi="Georgia" w:cs="Arial"/>
          <w:sz w:val="24"/>
          <w:szCs w:val="24"/>
          <w:lang w:val="es-ES_tradnl"/>
        </w:rPr>
        <w:t xml:space="preserve">Por sabido se tiene, en la literatura procesal contemporánea, que la </w:t>
      </w:r>
      <w:r w:rsidRPr="00EE0693">
        <w:rPr>
          <w:rFonts w:ascii="Georgia" w:hAnsi="Georgia" w:cs="Arial"/>
          <w:i/>
          <w:iCs/>
          <w:sz w:val="24"/>
          <w:szCs w:val="24"/>
          <w:lang w:val="es-ES_tradnl"/>
        </w:rPr>
        <w:t xml:space="preserve">taxatividad </w:t>
      </w:r>
      <w:r w:rsidRPr="00EE0693">
        <w:rPr>
          <w:rFonts w:ascii="Georgia" w:hAnsi="Georgia" w:cs="Arial"/>
          <w:sz w:val="24"/>
          <w:szCs w:val="24"/>
          <w:lang w:val="es-ES_tradnl"/>
        </w:rPr>
        <w:t xml:space="preserve">es una regla técnica de </w:t>
      </w:r>
      <w:r w:rsidR="003F700A" w:rsidRPr="00EE0693">
        <w:rPr>
          <w:rFonts w:ascii="Georgia" w:hAnsi="Georgia" w:cs="Arial"/>
          <w:sz w:val="24"/>
          <w:szCs w:val="24"/>
          <w:lang w:val="es-ES_tradnl"/>
        </w:rPr>
        <w:t>ordenación</w:t>
      </w:r>
      <w:r w:rsidRPr="00EE0693">
        <w:rPr>
          <w:rFonts w:ascii="Georgia" w:hAnsi="Georgia" w:cs="Arial"/>
          <w:sz w:val="24"/>
          <w:szCs w:val="24"/>
          <w:lang w:val="es-ES_tradnl"/>
        </w:rPr>
        <w:t xml:space="preserve"> del recurso de apelación, como aplicación del principio de economía procesal, y cuyo contenido señala que es procedente </w:t>
      </w:r>
      <w:r w:rsidR="00EF51F6" w:rsidRPr="00EE0693">
        <w:rPr>
          <w:rFonts w:ascii="Georgia" w:hAnsi="Georgia" w:cs="Arial"/>
          <w:sz w:val="24"/>
          <w:szCs w:val="24"/>
          <w:lang w:val="es-ES_tradnl"/>
        </w:rPr>
        <w:t xml:space="preserve">única y exclusivamente </w:t>
      </w:r>
      <w:r w:rsidRPr="00EE0693">
        <w:rPr>
          <w:rFonts w:ascii="Georgia" w:hAnsi="Georgia" w:cs="Arial"/>
          <w:sz w:val="24"/>
          <w:szCs w:val="24"/>
          <w:lang w:val="es-ES_tradnl"/>
        </w:rPr>
        <w:t xml:space="preserve">cuando una norma en forma </w:t>
      </w:r>
      <w:r w:rsidR="00EF51F6" w:rsidRPr="00EE0693">
        <w:rPr>
          <w:rFonts w:ascii="Georgia" w:hAnsi="Georgia" w:cs="Arial"/>
          <w:sz w:val="24"/>
          <w:szCs w:val="24"/>
          <w:lang w:val="es-ES_tradnl"/>
        </w:rPr>
        <w:t>explícita lo consagre</w:t>
      </w:r>
      <w:r w:rsidRPr="00EE0693">
        <w:rPr>
          <w:rFonts w:ascii="Georgia" w:hAnsi="Georgia" w:cs="Arial"/>
          <w:sz w:val="24"/>
          <w:szCs w:val="24"/>
          <w:lang w:val="es-ES_tradnl"/>
        </w:rPr>
        <w:t>. En el CGP (</w:t>
      </w:r>
      <w:r w:rsidR="0C723C22" w:rsidRPr="00EE0693">
        <w:rPr>
          <w:rFonts w:ascii="Georgia" w:hAnsi="Georgia" w:cs="Arial"/>
          <w:sz w:val="24"/>
          <w:szCs w:val="24"/>
          <w:lang w:val="es-ES_tradnl"/>
        </w:rPr>
        <w:t xml:space="preserve">También </w:t>
      </w:r>
      <w:r w:rsidRPr="00EE0693">
        <w:rPr>
          <w:rFonts w:ascii="Georgia" w:hAnsi="Georgia" w:cs="Arial"/>
          <w:sz w:val="24"/>
          <w:szCs w:val="24"/>
          <w:lang w:val="es-ES_tradnl"/>
        </w:rPr>
        <w:t xml:space="preserve">CPC) opera la mencionada </w:t>
      </w:r>
      <w:r w:rsidR="00014B08" w:rsidRPr="00EE0693">
        <w:rPr>
          <w:rFonts w:ascii="Georgia" w:hAnsi="Georgia" w:cs="Arial"/>
          <w:sz w:val="24"/>
          <w:szCs w:val="24"/>
          <w:lang w:val="es-ES_tradnl"/>
        </w:rPr>
        <w:t>pauta</w:t>
      </w:r>
      <w:r w:rsidRPr="00EE0693">
        <w:rPr>
          <w:rFonts w:ascii="Georgia" w:hAnsi="Georgia" w:cs="Arial"/>
          <w:sz w:val="24"/>
          <w:szCs w:val="24"/>
          <w:lang w:val="es-ES_tradnl"/>
        </w:rPr>
        <w:t xml:space="preserve"> de especificidad, tal como reconocen los autores nacionales</w:t>
      </w:r>
      <w:r w:rsidRPr="00EE0693">
        <w:rPr>
          <w:rStyle w:val="Refdenotaalpie"/>
          <w:rFonts w:ascii="Georgia" w:hAnsi="Georgia" w:cs="Arial"/>
          <w:sz w:val="24"/>
          <w:szCs w:val="24"/>
          <w:lang w:val="es-ES_tradnl"/>
        </w:rPr>
        <w:footnoteReference w:id="15"/>
      </w:r>
      <w:r w:rsidRPr="00EE0693">
        <w:rPr>
          <w:rFonts w:ascii="Georgia" w:hAnsi="Georgia" w:cs="Arial"/>
          <w:sz w:val="24"/>
          <w:szCs w:val="24"/>
          <w:vertAlign w:val="superscript"/>
          <w:lang w:val="es-ES_tradnl"/>
        </w:rPr>
        <w:t>-</w:t>
      </w:r>
      <w:r w:rsidRPr="00EE0693">
        <w:rPr>
          <w:rStyle w:val="Refdenotaalpie"/>
          <w:rFonts w:ascii="Georgia" w:hAnsi="Georgia" w:cs="Arial"/>
          <w:sz w:val="24"/>
          <w:szCs w:val="24"/>
          <w:lang w:val="es-ES_tradnl"/>
        </w:rPr>
        <w:footnoteReference w:id="16"/>
      </w:r>
      <w:r w:rsidRPr="00EE0693">
        <w:rPr>
          <w:rFonts w:ascii="Georgia" w:hAnsi="Georgia" w:cs="Arial"/>
          <w:sz w:val="24"/>
          <w:szCs w:val="24"/>
          <w:vertAlign w:val="superscript"/>
          <w:lang w:val="es-ES_tradnl"/>
        </w:rPr>
        <w:t>-</w:t>
      </w:r>
      <w:r w:rsidRPr="00EE0693">
        <w:rPr>
          <w:rStyle w:val="Refdenotaalpie"/>
          <w:rFonts w:ascii="Georgia" w:hAnsi="Georgia" w:cs="Arial"/>
          <w:sz w:val="24"/>
          <w:szCs w:val="24"/>
          <w:lang w:val="es-ES_tradnl"/>
        </w:rPr>
        <w:footnoteReference w:id="17"/>
      </w:r>
      <w:r w:rsidRPr="00EE0693">
        <w:rPr>
          <w:rFonts w:ascii="Georgia" w:hAnsi="Georgia" w:cs="Arial"/>
          <w:sz w:val="24"/>
          <w:szCs w:val="24"/>
          <w:lang w:val="es-ES_tradnl"/>
        </w:rPr>
        <w:t xml:space="preserve"> y la misma CSJ, Sala de Casación Civil</w:t>
      </w:r>
      <w:r w:rsidRPr="00EE0693">
        <w:rPr>
          <w:rFonts w:ascii="Georgia" w:hAnsi="Georgia"/>
          <w:sz w:val="24"/>
          <w:szCs w:val="24"/>
          <w:vertAlign w:val="superscript"/>
          <w:lang w:val="es-ES_tradnl"/>
        </w:rPr>
        <w:footnoteReference w:id="18"/>
      </w:r>
      <w:r w:rsidRPr="00EE0693">
        <w:rPr>
          <w:rFonts w:ascii="Georgia" w:hAnsi="Georgia" w:cs="Arial"/>
          <w:sz w:val="24"/>
          <w:szCs w:val="24"/>
          <w:lang w:val="es-ES_tradnl"/>
        </w:rPr>
        <w:t xml:space="preserve">. Así consagra el artículo 321, </w:t>
      </w:r>
      <w:r w:rsidR="00193440" w:rsidRPr="00EE0693">
        <w:rPr>
          <w:rFonts w:ascii="Georgia" w:hAnsi="Georgia" w:cs="Arial"/>
          <w:sz w:val="24"/>
          <w:szCs w:val="24"/>
          <w:lang w:val="es-ES_tradnl"/>
        </w:rPr>
        <w:t>ibidem</w:t>
      </w:r>
      <w:r w:rsidRPr="00EE0693">
        <w:rPr>
          <w:rFonts w:ascii="Georgia" w:hAnsi="Georgia" w:cs="Arial"/>
          <w:sz w:val="24"/>
          <w:szCs w:val="24"/>
          <w:lang w:val="es-ES_tradnl"/>
        </w:rPr>
        <w:t>.</w:t>
      </w:r>
    </w:p>
    <w:p w14:paraId="4844CA62" w14:textId="79B80EB8" w:rsidR="00556DC6" w:rsidRPr="00EE0693" w:rsidRDefault="00556DC6" w:rsidP="00ED7D44">
      <w:pPr>
        <w:pStyle w:val="Sinespaciado"/>
        <w:spacing w:line="276" w:lineRule="auto"/>
        <w:jc w:val="both"/>
        <w:rPr>
          <w:rFonts w:ascii="Georgia" w:hAnsi="Georgia" w:cs="Arial"/>
          <w:sz w:val="24"/>
          <w:szCs w:val="24"/>
          <w:lang w:val="es-ES_tradnl"/>
        </w:rPr>
      </w:pPr>
    </w:p>
    <w:p w14:paraId="25199CFD" w14:textId="49962C63" w:rsidR="00F54107" w:rsidRPr="00EE0693" w:rsidRDefault="00F54107" w:rsidP="00ED7D44">
      <w:pPr>
        <w:pStyle w:val="Sinespaciado"/>
        <w:spacing w:line="276" w:lineRule="auto"/>
        <w:jc w:val="both"/>
        <w:rPr>
          <w:rFonts w:ascii="Georgia" w:hAnsi="Georgia" w:cs="Arial"/>
          <w:sz w:val="24"/>
          <w:szCs w:val="24"/>
          <w:lang w:val="es-ES_tradnl"/>
        </w:rPr>
      </w:pPr>
      <w:r w:rsidRPr="00EE0693">
        <w:rPr>
          <w:rFonts w:ascii="Georgia" w:hAnsi="Georgia" w:cs="Arial"/>
          <w:sz w:val="24"/>
          <w:szCs w:val="24"/>
          <w:lang w:val="es-ES_tradnl"/>
        </w:rPr>
        <w:t xml:space="preserve">Por último, y en atención a las necesarias incidencias del proceso de constitucionalización del derecho, pertinente el criterio de la Corte de la especialidad sobre este principio, que se nota constante y sólida, </w:t>
      </w:r>
      <w:r w:rsidR="00A61F0A" w:rsidRPr="00EE0693">
        <w:rPr>
          <w:rFonts w:ascii="Georgia" w:hAnsi="Georgia" w:cs="Arial"/>
          <w:sz w:val="24"/>
          <w:szCs w:val="24"/>
          <w:lang w:val="es-ES_tradnl"/>
        </w:rPr>
        <w:t>se pronunció en 1995</w:t>
      </w:r>
      <w:r w:rsidR="00A61F0A" w:rsidRPr="00EE0693">
        <w:rPr>
          <w:rStyle w:val="Refdenotaalpie"/>
          <w:rFonts w:ascii="Georgia" w:hAnsi="Georgia"/>
          <w:sz w:val="24"/>
          <w:szCs w:val="24"/>
          <w:lang w:val="es-ES_tradnl"/>
        </w:rPr>
        <w:footnoteReference w:id="19"/>
      </w:r>
      <w:r w:rsidR="00A61F0A" w:rsidRPr="00EE0693">
        <w:rPr>
          <w:rFonts w:ascii="Georgia" w:hAnsi="Georgia" w:cs="Arial"/>
          <w:sz w:val="24"/>
          <w:szCs w:val="24"/>
          <w:lang w:val="es-ES_tradnl"/>
        </w:rPr>
        <w:t>, en 2003</w:t>
      </w:r>
      <w:r w:rsidR="00A61F0A" w:rsidRPr="00EE0693">
        <w:rPr>
          <w:rStyle w:val="Refdenotaalpie"/>
          <w:rFonts w:ascii="Georgia" w:hAnsi="Georgia" w:cs="Arial"/>
          <w:sz w:val="24"/>
          <w:szCs w:val="24"/>
          <w:lang w:val="es-ES_tradnl"/>
        </w:rPr>
        <w:footnoteReference w:id="20"/>
      </w:r>
      <w:r w:rsidR="00A61F0A" w:rsidRPr="00EE0693">
        <w:rPr>
          <w:rFonts w:ascii="Georgia" w:hAnsi="Georgia" w:cs="Arial"/>
          <w:sz w:val="24"/>
          <w:szCs w:val="24"/>
          <w:lang w:val="es-ES_tradnl"/>
        </w:rPr>
        <w:t>, 2015</w:t>
      </w:r>
      <w:r w:rsidR="00A61F0A" w:rsidRPr="00EE0693">
        <w:rPr>
          <w:rStyle w:val="Refdenotaalpie"/>
          <w:rFonts w:ascii="Georgia" w:hAnsi="Georgia" w:cs="Arial"/>
          <w:sz w:val="24"/>
          <w:szCs w:val="24"/>
          <w:lang w:val="es-ES_tradnl"/>
        </w:rPr>
        <w:footnoteReference w:id="21"/>
      </w:r>
      <w:r w:rsidR="00A61F0A" w:rsidRPr="00EE0693">
        <w:rPr>
          <w:rFonts w:ascii="Georgia" w:hAnsi="Georgia" w:cs="Arial"/>
          <w:sz w:val="24"/>
          <w:szCs w:val="24"/>
          <w:lang w:val="es-ES_tradnl"/>
        </w:rPr>
        <w:t xml:space="preserve">, </w:t>
      </w:r>
      <w:r w:rsidR="00764CA7" w:rsidRPr="00EE0693">
        <w:rPr>
          <w:rFonts w:ascii="Georgia" w:hAnsi="Georgia" w:cs="Arial"/>
          <w:sz w:val="24"/>
          <w:szCs w:val="24"/>
          <w:lang w:val="es-ES_tradnl"/>
        </w:rPr>
        <w:t xml:space="preserve">al </w:t>
      </w:r>
      <w:r w:rsidR="00A61F0A" w:rsidRPr="00EE0693">
        <w:rPr>
          <w:rFonts w:ascii="Georgia" w:hAnsi="Georgia" w:cs="Arial"/>
          <w:sz w:val="24"/>
          <w:szCs w:val="24"/>
          <w:lang w:val="es-ES_tradnl"/>
        </w:rPr>
        <w:t>examina</w:t>
      </w:r>
      <w:r w:rsidR="00764CA7" w:rsidRPr="00EE0693">
        <w:rPr>
          <w:rFonts w:ascii="Georgia" w:hAnsi="Georgia" w:cs="Arial"/>
          <w:sz w:val="24"/>
          <w:szCs w:val="24"/>
          <w:lang w:val="es-ES_tradnl"/>
        </w:rPr>
        <w:t>r</w:t>
      </w:r>
      <w:r w:rsidR="00A61F0A" w:rsidRPr="00EE0693">
        <w:rPr>
          <w:rFonts w:ascii="Georgia" w:hAnsi="Georgia" w:cs="Arial"/>
          <w:sz w:val="24"/>
          <w:szCs w:val="24"/>
          <w:lang w:val="es-ES_tradnl"/>
        </w:rPr>
        <w:t xml:space="preserve"> la conformidad de la restricción con la Carta; en 2017</w:t>
      </w:r>
      <w:r w:rsidR="00A61F0A" w:rsidRPr="00EE0693">
        <w:rPr>
          <w:rStyle w:val="Refdenotaalpie"/>
          <w:rFonts w:ascii="Georgia" w:hAnsi="Georgia"/>
          <w:sz w:val="24"/>
          <w:szCs w:val="24"/>
          <w:lang w:val="es-ES_tradnl"/>
        </w:rPr>
        <w:footnoteReference w:id="22"/>
      </w:r>
      <w:r w:rsidR="00A61F0A" w:rsidRPr="00EE0693">
        <w:rPr>
          <w:rFonts w:ascii="Georgia" w:hAnsi="Georgia" w:cs="Arial"/>
          <w:sz w:val="24"/>
          <w:szCs w:val="24"/>
          <w:lang w:val="es-ES_tradnl"/>
        </w:rPr>
        <w:t xml:space="preserve"> se ocupó de la potestad de configuración normativa del legislador en materia procesal, específicamente los recursos de alzada (Artículo 222, Ley 1801), y fue idéntica su </w:t>
      </w:r>
      <w:r w:rsidR="00A61F0A" w:rsidRPr="00EE0693">
        <w:rPr>
          <w:rFonts w:ascii="Georgia" w:hAnsi="Georgia" w:cs="Arial"/>
          <w:sz w:val="24"/>
          <w:szCs w:val="24"/>
          <w:lang w:val="es-ES_tradnl"/>
        </w:rPr>
        <w:lastRenderedPageBreak/>
        <w:t xml:space="preserve">solución; en decisión más reciente </w:t>
      </w:r>
      <w:r w:rsidRPr="00EE0693">
        <w:rPr>
          <w:rFonts w:ascii="Georgia" w:hAnsi="Georgia" w:cs="Arial"/>
          <w:sz w:val="24"/>
          <w:szCs w:val="24"/>
          <w:lang w:val="es-ES_tradnl"/>
        </w:rPr>
        <w:t>(2019)</w:t>
      </w:r>
      <w:r w:rsidRPr="00EE0693">
        <w:rPr>
          <w:rStyle w:val="Refdenotaalpie"/>
          <w:rFonts w:ascii="Georgia" w:hAnsi="Georgia"/>
          <w:sz w:val="24"/>
          <w:szCs w:val="24"/>
          <w:lang w:val="es-ES_tradnl"/>
        </w:rPr>
        <w:footnoteReference w:id="23"/>
      </w:r>
      <w:r w:rsidRPr="00EE0693">
        <w:rPr>
          <w:rFonts w:ascii="Georgia" w:hAnsi="Georgia" w:cs="Arial"/>
          <w:sz w:val="24"/>
          <w:szCs w:val="24"/>
          <w:lang w:val="es-ES_tradnl"/>
        </w:rPr>
        <w:t>, revis</w:t>
      </w:r>
      <w:r w:rsidR="00A61F0A" w:rsidRPr="00EE0693">
        <w:rPr>
          <w:rFonts w:ascii="Georgia" w:hAnsi="Georgia" w:cs="Arial"/>
          <w:sz w:val="24"/>
          <w:szCs w:val="24"/>
          <w:lang w:val="es-ES_tradnl"/>
        </w:rPr>
        <w:t>ó</w:t>
      </w:r>
      <w:r w:rsidRPr="00EE0693">
        <w:rPr>
          <w:rFonts w:ascii="Georgia" w:hAnsi="Georgia" w:cs="Arial"/>
          <w:sz w:val="24"/>
          <w:szCs w:val="24"/>
          <w:lang w:val="es-ES_tradnl"/>
        </w:rPr>
        <w:t xml:space="preserve"> la </w:t>
      </w:r>
      <w:proofErr w:type="spellStart"/>
      <w:r w:rsidRPr="00EE0693">
        <w:rPr>
          <w:rFonts w:ascii="Georgia" w:hAnsi="Georgia" w:cs="Arial"/>
          <w:sz w:val="24"/>
          <w:szCs w:val="24"/>
          <w:lang w:val="es-ES_tradnl"/>
        </w:rPr>
        <w:t>exequibilidad</w:t>
      </w:r>
      <w:proofErr w:type="spellEnd"/>
      <w:r w:rsidRPr="00EE0693">
        <w:rPr>
          <w:rFonts w:ascii="Georgia" w:hAnsi="Georgia" w:cs="Arial"/>
          <w:sz w:val="24"/>
          <w:szCs w:val="24"/>
          <w:lang w:val="es-ES_tradnl"/>
        </w:rPr>
        <w:t xml:space="preserve"> de la competencia de los Tribunales Administrativos en única instancia (Artículo 151, Ley 1437)</w:t>
      </w:r>
      <w:r w:rsidR="00A61F0A" w:rsidRPr="00EE0693">
        <w:rPr>
          <w:rFonts w:ascii="Georgia" w:hAnsi="Georgia" w:cs="Arial"/>
          <w:sz w:val="24"/>
          <w:szCs w:val="24"/>
          <w:lang w:val="es-ES_tradnl"/>
        </w:rPr>
        <w:t xml:space="preserve"> y concluyó </w:t>
      </w:r>
      <w:r w:rsidR="690E791D" w:rsidRPr="00EE0693">
        <w:rPr>
          <w:rFonts w:ascii="Georgia" w:hAnsi="Georgia" w:cs="Arial"/>
          <w:sz w:val="24"/>
          <w:szCs w:val="24"/>
          <w:lang w:val="es-ES_tradnl"/>
        </w:rPr>
        <w:t>de igual manera</w:t>
      </w:r>
      <w:r w:rsidR="00A61F0A" w:rsidRPr="00EE0693">
        <w:rPr>
          <w:rFonts w:ascii="Georgia" w:hAnsi="Georgia" w:cs="Arial"/>
          <w:sz w:val="24"/>
          <w:szCs w:val="24"/>
          <w:lang w:val="es-ES_tradnl"/>
        </w:rPr>
        <w:t>.</w:t>
      </w:r>
    </w:p>
    <w:p w14:paraId="742C1A2F" w14:textId="08841E4E" w:rsidR="00D54508" w:rsidRPr="00EE0693" w:rsidRDefault="00D54508" w:rsidP="00ED7D44">
      <w:pPr>
        <w:pStyle w:val="Textonotapie"/>
        <w:spacing w:line="276" w:lineRule="auto"/>
        <w:jc w:val="both"/>
        <w:rPr>
          <w:rFonts w:ascii="Georgia" w:hAnsi="Georgia" w:cs="Arial"/>
          <w:sz w:val="24"/>
          <w:szCs w:val="24"/>
          <w:highlight w:val="yellow"/>
          <w:lang w:val="es-ES_tradnl"/>
        </w:rPr>
      </w:pPr>
    </w:p>
    <w:p w14:paraId="5EA1804D" w14:textId="77777777" w:rsidR="00F54107" w:rsidRPr="00EE0693" w:rsidRDefault="00F54107" w:rsidP="00ED7D44">
      <w:pPr>
        <w:pStyle w:val="Textonotapie"/>
        <w:spacing w:line="276" w:lineRule="auto"/>
        <w:jc w:val="both"/>
        <w:rPr>
          <w:rFonts w:ascii="Georgia" w:hAnsi="Georgia"/>
          <w:sz w:val="24"/>
          <w:szCs w:val="24"/>
          <w:lang w:val="es-ES_tradnl"/>
        </w:rPr>
      </w:pPr>
    </w:p>
    <w:p w14:paraId="71F9A833" w14:textId="56E860A3" w:rsidR="00B82F1C" w:rsidRPr="00EE0693" w:rsidRDefault="00DF2301" w:rsidP="00ED7D44">
      <w:pPr>
        <w:pStyle w:val="Sinespaciado"/>
        <w:numPr>
          <w:ilvl w:val="0"/>
          <w:numId w:val="3"/>
        </w:numPr>
        <w:spacing w:line="276" w:lineRule="auto"/>
        <w:jc w:val="both"/>
        <w:rPr>
          <w:rFonts w:ascii="Georgia" w:hAnsi="Georgia" w:cs="Arial"/>
          <w:b/>
          <w:sz w:val="24"/>
          <w:szCs w:val="24"/>
          <w:lang w:val="es-ES_tradnl"/>
        </w:rPr>
      </w:pPr>
      <w:r w:rsidRPr="00EE0693">
        <w:rPr>
          <w:rFonts w:ascii="Georgia" w:hAnsi="Georgia" w:cs="Arial"/>
          <w:b/>
          <w:smallCaps/>
          <w:sz w:val="24"/>
          <w:szCs w:val="24"/>
          <w:lang w:val="es-ES_tradnl"/>
        </w:rPr>
        <w:t>El caso concreto</w:t>
      </w:r>
    </w:p>
    <w:p w14:paraId="32247FB0" w14:textId="77777777" w:rsidR="001B1DC0" w:rsidRDefault="001B1DC0" w:rsidP="00ED7D44">
      <w:pPr>
        <w:pStyle w:val="Sinespaciado"/>
        <w:spacing w:line="276" w:lineRule="auto"/>
        <w:jc w:val="both"/>
        <w:rPr>
          <w:rFonts w:ascii="Georgia" w:hAnsi="Georgia" w:cs="Arial"/>
          <w:sz w:val="24"/>
          <w:szCs w:val="24"/>
          <w:lang w:val="es-ES_tradnl"/>
        </w:rPr>
      </w:pPr>
    </w:p>
    <w:p w14:paraId="58C1C116" w14:textId="118839F7" w:rsidR="004314B8" w:rsidRPr="00EE0693" w:rsidRDefault="00397DAD" w:rsidP="00ED7D44">
      <w:pPr>
        <w:pStyle w:val="Sinespaciado"/>
        <w:spacing w:line="276" w:lineRule="auto"/>
        <w:jc w:val="both"/>
        <w:rPr>
          <w:rFonts w:ascii="Georgia" w:hAnsi="Georgia" w:cs="Arial"/>
          <w:sz w:val="24"/>
          <w:szCs w:val="24"/>
          <w:lang w:val="es-ES_tradnl"/>
        </w:rPr>
      </w:pPr>
      <w:r w:rsidRPr="00EE0693">
        <w:rPr>
          <w:rFonts w:ascii="Georgia" w:hAnsi="Georgia" w:cs="Arial"/>
          <w:sz w:val="24"/>
          <w:szCs w:val="24"/>
          <w:lang w:val="es-ES_tradnl"/>
        </w:rPr>
        <w:t xml:space="preserve">Hecho el examen preliminar del artículo 325, </w:t>
      </w:r>
      <w:r w:rsidR="5BDD66DC" w:rsidRPr="00EE0693">
        <w:rPr>
          <w:rFonts w:ascii="Georgia" w:hAnsi="Georgia" w:cs="Arial"/>
          <w:sz w:val="24"/>
          <w:szCs w:val="24"/>
          <w:lang w:val="es-ES_tradnl"/>
        </w:rPr>
        <w:t xml:space="preserve">CGP </w:t>
      </w:r>
      <w:r w:rsidRPr="00EE0693">
        <w:rPr>
          <w:rFonts w:ascii="Georgia" w:hAnsi="Georgia" w:cs="Arial"/>
          <w:sz w:val="24"/>
          <w:szCs w:val="24"/>
          <w:lang w:val="es-ES_tradnl"/>
        </w:rPr>
        <w:t>la decisión recurrida</w:t>
      </w:r>
      <w:r w:rsidR="5DFD3CA7" w:rsidRPr="00EE0693">
        <w:rPr>
          <w:rFonts w:ascii="Georgia" w:hAnsi="Georgia" w:cs="Arial"/>
          <w:sz w:val="24"/>
          <w:szCs w:val="24"/>
          <w:lang w:val="es-ES_tradnl"/>
        </w:rPr>
        <w:t>,</w:t>
      </w:r>
      <w:r w:rsidR="00790825" w:rsidRPr="00EE0693">
        <w:rPr>
          <w:rFonts w:ascii="Georgia" w:hAnsi="Georgia" w:cs="Arial"/>
          <w:sz w:val="24"/>
          <w:szCs w:val="24"/>
          <w:lang w:val="es-ES_tradnl"/>
        </w:rPr>
        <w:t xml:space="preserve"> </w:t>
      </w:r>
      <w:r w:rsidR="003741F6" w:rsidRPr="00EE0693">
        <w:rPr>
          <w:rFonts w:ascii="Georgia" w:hAnsi="Georgia" w:cs="Arial"/>
          <w:sz w:val="24"/>
          <w:szCs w:val="24"/>
          <w:lang w:val="es-ES_tradnl"/>
        </w:rPr>
        <w:t>resolutoria de una excepción previa</w:t>
      </w:r>
      <w:r w:rsidRPr="00EE0693">
        <w:rPr>
          <w:rFonts w:ascii="Georgia" w:hAnsi="Georgia" w:cs="Arial"/>
          <w:sz w:val="24"/>
          <w:szCs w:val="24"/>
          <w:lang w:val="es-ES_tradnl"/>
        </w:rPr>
        <w:t xml:space="preserve"> </w:t>
      </w:r>
      <w:r w:rsidR="00AF4822" w:rsidRPr="00EE0693">
        <w:rPr>
          <w:rFonts w:ascii="Georgia" w:hAnsi="Georgia" w:cs="Arial"/>
          <w:sz w:val="24"/>
          <w:szCs w:val="24"/>
          <w:lang w:val="es-ES_tradnl"/>
        </w:rPr>
        <w:t xml:space="preserve">no </w:t>
      </w:r>
      <w:r w:rsidR="002E3C17" w:rsidRPr="00EE0693">
        <w:rPr>
          <w:rFonts w:ascii="Georgia" w:hAnsi="Georgia" w:cs="Arial"/>
          <w:sz w:val="24"/>
          <w:szCs w:val="24"/>
          <w:lang w:val="es-ES_tradnl"/>
        </w:rPr>
        <w:t xml:space="preserve">está </w:t>
      </w:r>
      <w:r w:rsidRPr="00EE0693">
        <w:rPr>
          <w:rFonts w:ascii="Georgia" w:hAnsi="Georgia" w:cs="Arial"/>
          <w:sz w:val="24"/>
          <w:szCs w:val="24"/>
          <w:lang w:val="es-ES_tradnl"/>
        </w:rPr>
        <w:t>enlistada como pasible de apelación en el artículo 321, CGP</w:t>
      </w:r>
      <w:r w:rsidR="002C4AB6" w:rsidRPr="00EE0693">
        <w:rPr>
          <w:rFonts w:ascii="Georgia" w:hAnsi="Georgia" w:cs="Arial"/>
          <w:sz w:val="24"/>
          <w:szCs w:val="24"/>
          <w:lang w:val="es-ES_tradnl"/>
        </w:rPr>
        <w:t xml:space="preserve">, </w:t>
      </w:r>
      <w:r w:rsidR="002E3C17" w:rsidRPr="00EE0693">
        <w:rPr>
          <w:rFonts w:ascii="Georgia" w:hAnsi="Georgia" w:cs="Arial"/>
          <w:sz w:val="24"/>
          <w:szCs w:val="24"/>
          <w:lang w:val="es-ES_tradnl"/>
        </w:rPr>
        <w:t xml:space="preserve">tampoco </w:t>
      </w:r>
      <w:r w:rsidRPr="00EE0693">
        <w:rPr>
          <w:rFonts w:ascii="Georgia" w:hAnsi="Georgia" w:cs="Arial"/>
          <w:sz w:val="24"/>
          <w:szCs w:val="24"/>
          <w:lang w:val="es-ES_tradnl"/>
        </w:rPr>
        <w:t xml:space="preserve">en las reglas especiales para el trámite de las excepciones previas (Artículo 101, </w:t>
      </w:r>
      <w:r w:rsidR="00193440" w:rsidRPr="00EE0693">
        <w:rPr>
          <w:rFonts w:ascii="Georgia" w:hAnsi="Georgia" w:cs="Arial"/>
          <w:sz w:val="24"/>
          <w:szCs w:val="24"/>
          <w:lang w:val="es-ES_tradnl"/>
        </w:rPr>
        <w:t>CGP</w:t>
      </w:r>
      <w:r w:rsidRPr="00EE0693">
        <w:rPr>
          <w:rFonts w:ascii="Georgia" w:hAnsi="Georgia" w:cs="Arial"/>
          <w:sz w:val="24"/>
          <w:szCs w:val="24"/>
          <w:lang w:val="es-ES_tradnl"/>
        </w:rPr>
        <w:t xml:space="preserve">), </w:t>
      </w:r>
      <w:r w:rsidR="00C820FA" w:rsidRPr="00EE0693">
        <w:rPr>
          <w:rFonts w:ascii="Georgia" w:hAnsi="Georgia" w:cs="Arial"/>
          <w:sz w:val="24"/>
          <w:szCs w:val="24"/>
          <w:lang w:val="es-ES_tradnl"/>
        </w:rPr>
        <w:t>pues de estas</w:t>
      </w:r>
      <w:r w:rsidR="00D41DB6" w:rsidRPr="00EE0693">
        <w:rPr>
          <w:rFonts w:ascii="Georgia" w:hAnsi="Georgia" w:cs="Arial"/>
          <w:sz w:val="24"/>
          <w:szCs w:val="24"/>
          <w:lang w:val="es-ES_tradnl"/>
        </w:rPr>
        <w:t>,</w:t>
      </w:r>
      <w:r w:rsidR="00C820FA" w:rsidRPr="00EE0693">
        <w:rPr>
          <w:rFonts w:ascii="Georgia" w:hAnsi="Georgia" w:cs="Arial"/>
          <w:sz w:val="24"/>
          <w:szCs w:val="24"/>
          <w:lang w:val="es-ES_tradnl"/>
        </w:rPr>
        <w:t xml:space="preserve"> </w:t>
      </w:r>
      <w:r w:rsidRPr="00EE0693">
        <w:rPr>
          <w:rFonts w:ascii="Georgia" w:hAnsi="Georgia" w:cs="Arial"/>
          <w:sz w:val="24"/>
          <w:szCs w:val="24"/>
          <w:lang w:val="es-ES_tradnl"/>
        </w:rPr>
        <w:t xml:space="preserve">solo puede inferirse que procede </w:t>
      </w:r>
      <w:r w:rsidR="00C820FA" w:rsidRPr="00EE0693">
        <w:rPr>
          <w:rFonts w:ascii="Georgia" w:hAnsi="Georgia" w:cs="Arial"/>
          <w:sz w:val="24"/>
          <w:szCs w:val="24"/>
          <w:lang w:val="es-ES_tradnl"/>
        </w:rPr>
        <w:t xml:space="preserve">frente a la prosperidad de </w:t>
      </w:r>
      <w:r w:rsidRPr="00EE0693">
        <w:rPr>
          <w:rFonts w:ascii="Georgia" w:hAnsi="Georgia" w:cs="Arial"/>
          <w:sz w:val="24"/>
          <w:szCs w:val="24"/>
          <w:lang w:val="es-ES_tradnl"/>
        </w:rPr>
        <w:t xml:space="preserve">la de compromiso o cláusula compromisoria, </w:t>
      </w:r>
      <w:r w:rsidR="00D41DB6" w:rsidRPr="00EE0693">
        <w:rPr>
          <w:rFonts w:ascii="Georgia" w:hAnsi="Georgia" w:cs="Arial"/>
          <w:sz w:val="24"/>
          <w:szCs w:val="24"/>
          <w:lang w:val="es-ES_tradnl"/>
        </w:rPr>
        <w:t xml:space="preserve">ya </w:t>
      </w:r>
      <w:r w:rsidRPr="00EE0693">
        <w:rPr>
          <w:rFonts w:ascii="Georgia" w:hAnsi="Georgia" w:cs="Arial"/>
          <w:sz w:val="24"/>
          <w:szCs w:val="24"/>
          <w:lang w:val="es-ES_tradnl"/>
        </w:rPr>
        <w:t xml:space="preserve">que implica la terminación del proceso, </w:t>
      </w:r>
      <w:r w:rsidR="00193440" w:rsidRPr="00EE0693">
        <w:rPr>
          <w:rFonts w:ascii="Georgia" w:hAnsi="Georgia" w:cs="Arial"/>
          <w:sz w:val="24"/>
          <w:szCs w:val="24"/>
          <w:lang w:val="es-ES_tradnl"/>
        </w:rPr>
        <w:t>así</w:t>
      </w:r>
      <w:r w:rsidR="003F700A" w:rsidRPr="00EE0693">
        <w:rPr>
          <w:rFonts w:ascii="Georgia" w:hAnsi="Georgia" w:cs="Arial"/>
          <w:sz w:val="24"/>
          <w:szCs w:val="24"/>
          <w:lang w:val="es-ES_tradnl"/>
        </w:rPr>
        <w:t xml:space="preserve"> </w:t>
      </w:r>
      <w:r w:rsidR="4B172153" w:rsidRPr="00EE0693">
        <w:rPr>
          <w:rFonts w:ascii="Georgia" w:hAnsi="Georgia" w:cs="Arial"/>
          <w:sz w:val="24"/>
          <w:szCs w:val="24"/>
          <w:lang w:val="es-ES_tradnl"/>
        </w:rPr>
        <w:t xml:space="preserve">se subsume </w:t>
      </w:r>
      <w:r w:rsidRPr="00EE0693">
        <w:rPr>
          <w:rFonts w:ascii="Georgia" w:hAnsi="Georgia" w:cs="Arial"/>
          <w:sz w:val="24"/>
          <w:szCs w:val="24"/>
          <w:lang w:val="es-ES_tradnl"/>
        </w:rPr>
        <w:t>en el artículo 321-7º, ib</w:t>
      </w:r>
      <w:r w:rsidR="00D22A56" w:rsidRPr="00EE0693">
        <w:rPr>
          <w:rFonts w:ascii="Georgia" w:hAnsi="Georgia" w:cs="Arial"/>
          <w:sz w:val="24"/>
          <w:szCs w:val="24"/>
          <w:lang w:val="es-ES_tradnl"/>
        </w:rPr>
        <w:t>idem</w:t>
      </w:r>
      <w:r w:rsidRPr="00EE0693">
        <w:rPr>
          <w:rFonts w:ascii="Georgia" w:hAnsi="Georgia" w:cs="Arial"/>
          <w:sz w:val="24"/>
          <w:szCs w:val="24"/>
          <w:lang w:val="es-ES_tradnl"/>
        </w:rPr>
        <w:t xml:space="preserve">. </w:t>
      </w:r>
      <w:r w:rsidR="004314B8" w:rsidRPr="00EE0693">
        <w:rPr>
          <w:rFonts w:ascii="Georgia" w:hAnsi="Georgia" w:cs="Arial"/>
          <w:sz w:val="24"/>
          <w:szCs w:val="24"/>
          <w:lang w:val="es-ES_tradnl"/>
        </w:rPr>
        <w:t>Sanabria S. (2021)</w:t>
      </w:r>
      <w:r w:rsidR="004314B8" w:rsidRPr="00EE0693">
        <w:rPr>
          <w:rStyle w:val="Refdenotaalpie"/>
          <w:rFonts w:ascii="Georgia" w:hAnsi="Georgia" w:cs="Arial"/>
          <w:sz w:val="24"/>
          <w:szCs w:val="24"/>
          <w:lang w:val="es-ES_tradnl"/>
        </w:rPr>
        <w:footnoteReference w:id="24"/>
      </w:r>
      <w:r w:rsidR="004314B8" w:rsidRPr="00EE0693">
        <w:rPr>
          <w:rFonts w:ascii="Georgia" w:hAnsi="Georgia" w:cs="Arial"/>
          <w:sz w:val="24"/>
          <w:szCs w:val="24"/>
          <w:lang w:val="es-ES_tradnl"/>
        </w:rPr>
        <w:t xml:space="preserve"> </w:t>
      </w:r>
      <w:r w:rsidR="00AF614F" w:rsidRPr="00EE0693">
        <w:rPr>
          <w:rFonts w:ascii="Georgia" w:hAnsi="Georgia" w:cs="Arial"/>
          <w:sz w:val="24"/>
          <w:szCs w:val="24"/>
          <w:lang w:val="es-ES_tradnl"/>
        </w:rPr>
        <w:t xml:space="preserve">adiciona </w:t>
      </w:r>
      <w:r w:rsidR="004314B8" w:rsidRPr="00EE0693">
        <w:rPr>
          <w:rFonts w:ascii="Georgia" w:hAnsi="Georgia" w:cs="Arial"/>
          <w:sz w:val="24"/>
          <w:szCs w:val="24"/>
          <w:lang w:val="es-ES_tradnl"/>
        </w:rPr>
        <w:t>el que declara la excepción de pleito pendiente (Artículo 100-8°, ib</w:t>
      </w:r>
      <w:r w:rsidR="00193440" w:rsidRPr="00EE0693">
        <w:rPr>
          <w:rFonts w:ascii="Georgia" w:hAnsi="Georgia" w:cs="Arial"/>
          <w:sz w:val="24"/>
          <w:szCs w:val="24"/>
          <w:lang w:val="es-ES_tradnl"/>
        </w:rPr>
        <w:t>idem</w:t>
      </w:r>
      <w:r w:rsidR="004314B8" w:rsidRPr="00EE0693">
        <w:rPr>
          <w:rFonts w:ascii="Georgia" w:hAnsi="Georgia" w:cs="Arial"/>
          <w:sz w:val="24"/>
          <w:szCs w:val="24"/>
          <w:lang w:val="es-ES_tradnl"/>
        </w:rPr>
        <w:t>).</w:t>
      </w:r>
    </w:p>
    <w:p w14:paraId="48ADD0B3" w14:textId="77777777" w:rsidR="004314B8" w:rsidRPr="00EE0693" w:rsidRDefault="004314B8" w:rsidP="00ED7D44">
      <w:pPr>
        <w:pStyle w:val="Sinespaciado"/>
        <w:spacing w:line="276" w:lineRule="auto"/>
        <w:jc w:val="both"/>
        <w:rPr>
          <w:rFonts w:ascii="Georgia" w:hAnsi="Georgia" w:cs="Arial"/>
          <w:sz w:val="24"/>
          <w:szCs w:val="24"/>
          <w:lang w:val="es-ES_tradnl"/>
        </w:rPr>
      </w:pPr>
    </w:p>
    <w:p w14:paraId="47D4F96F" w14:textId="6E311ACB" w:rsidR="006A3B0D" w:rsidRPr="00EE0693" w:rsidRDefault="00397DAD" w:rsidP="00ED7D44">
      <w:pPr>
        <w:pStyle w:val="Sinespaciado"/>
        <w:spacing w:line="276" w:lineRule="auto"/>
        <w:jc w:val="both"/>
        <w:rPr>
          <w:rFonts w:ascii="Georgia" w:hAnsi="Georgia" w:cs="Arial"/>
          <w:sz w:val="24"/>
          <w:szCs w:val="24"/>
          <w:lang w:val="es-ES_tradnl"/>
        </w:rPr>
      </w:pPr>
      <w:r w:rsidRPr="00EE0693">
        <w:rPr>
          <w:rFonts w:ascii="Georgia" w:hAnsi="Georgia" w:cs="Arial"/>
          <w:sz w:val="24"/>
          <w:szCs w:val="24"/>
          <w:lang w:val="es-ES_tradnl"/>
        </w:rPr>
        <w:t xml:space="preserve">El </w:t>
      </w:r>
      <w:r w:rsidR="0053029A" w:rsidRPr="00EE0693">
        <w:rPr>
          <w:rFonts w:ascii="Georgia" w:hAnsi="Georgia" w:cs="Arial"/>
          <w:sz w:val="24"/>
          <w:szCs w:val="24"/>
          <w:lang w:val="es-ES_tradnl"/>
        </w:rPr>
        <w:t xml:space="preserve">funcionario </w:t>
      </w:r>
      <w:r w:rsidRPr="00EE0693">
        <w:rPr>
          <w:rFonts w:ascii="Georgia" w:hAnsi="Georgia" w:cs="Arial"/>
          <w:sz w:val="24"/>
          <w:szCs w:val="24"/>
          <w:lang w:val="es-ES_tradnl"/>
        </w:rPr>
        <w:t>de conocimiento</w:t>
      </w:r>
      <w:r w:rsidR="00490707" w:rsidRPr="00EE0693">
        <w:rPr>
          <w:rFonts w:ascii="Georgia" w:hAnsi="Georgia" w:cs="Arial"/>
          <w:sz w:val="24"/>
          <w:szCs w:val="24"/>
          <w:lang w:val="es-ES_tradnl"/>
        </w:rPr>
        <w:t xml:space="preserve">, </w:t>
      </w:r>
      <w:r w:rsidR="00490707" w:rsidRPr="00EE0693">
        <w:rPr>
          <w:rFonts w:ascii="Georgia" w:hAnsi="Georgia" w:cs="Arial"/>
          <w:sz w:val="24"/>
          <w:szCs w:val="24"/>
          <w:u w:val="single"/>
          <w:lang w:val="es-ES_tradnl"/>
        </w:rPr>
        <w:t>im</w:t>
      </w:r>
      <w:r w:rsidR="00811D4D" w:rsidRPr="00EE0693">
        <w:rPr>
          <w:rFonts w:ascii="Georgia" w:hAnsi="Georgia" w:cs="Arial"/>
          <w:sz w:val="24"/>
          <w:szCs w:val="24"/>
          <w:u w:val="single"/>
          <w:lang w:val="es-ES_tradnl"/>
        </w:rPr>
        <w:t>propiamente</w:t>
      </w:r>
      <w:r w:rsidR="00811D4D" w:rsidRPr="00EE0693">
        <w:rPr>
          <w:rFonts w:ascii="Georgia" w:hAnsi="Georgia" w:cs="Arial"/>
          <w:sz w:val="24"/>
          <w:szCs w:val="24"/>
          <w:lang w:val="es-ES_tradnl"/>
        </w:rPr>
        <w:t>,</w:t>
      </w:r>
      <w:r w:rsidR="0053029A" w:rsidRPr="00EE0693">
        <w:rPr>
          <w:rFonts w:ascii="Georgia" w:hAnsi="Georgia" w:cs="Arial"/>
          <w:sz w:val="24"/>
          <w:szCs w:val="24"/>
          <w:lang w:val="es-ES_tradnl"/>
        </w:rPr>
        <w:t xml:space="preserve"> al declarar la </w:t>
      </w:r>
      <w:r w:rsidR="00D41DB6" w:rsidRPr="00EE0693">
        <w:rPr>
          <w:rFonts w:ascii="Georgia" w:hAnsi="Georgia" w:cs="Arial"/>
          <w:sz w:val="24"/>
          <w:szCs w:val="24"/>
          <w:lang w:val="es-ES_tradnl"/>
        </w:rPr>
        <w:t>falta de competencia</w:t>
      </w:r>
      <w:r w:rsidR="0053029A" w:rsidRPr="00EE0693">
        <w:rPr>
          <w:rFonts w:ascii="Georgia" w:hAnsi="Georgia" w:cs="Arial"/>
          <w:sz w:val="24"/>
          <w:szCs w:val="24"/>
          <w:lang w:val="es-ES_tradnl"/>
        </w:rPr>
        <w:t xml:space="preserve">, </w:t>
      </w:r>
      <w:r w:rsidR="000F14D8" w:rsidRPr="00EE0693">
        <w:rPr>
          <w:rFonts w:ascii="Georgia" w:hAnsi="Georgia" w:cs="Arial"/>
          <w:sz w:val="24"/>
          <w:szCs w:val="24"/>
          <w:lang w:val="es-ES_tradnl"/>
        </w:rPr>
        <w:t xml:space="preserve">terminó </w:t>
      </w:r>
      <w:r w:rsidR="0053029A" w:rsidRPr="00EE0693">
        <w:rPr>
          <w:rFonts w:ascii="Georgia" w:hAnsi="Georgia" w:cs="Arial"/>
          <w:sz w:val="24"/>
          <w:szCs w:val="24"/>
          <w:lang w:val="es-ES_tradnl"/>
        </w:rPr>
        <w:t xml:space="preserve">el proceso </w:t>
      </w:r>
      <w:r w:rsidR="00811D4D" w:rsidRPr="00EE0693">
        <w:rPr>
          <w:rFonts w:ascii="Georgia" w:hAnsi="Georgia" w:cs="Arial"/>
          <w:sz w:val="24"/>
          <w:szCs w:val="24"/>
          <w:lang w:val="es-ES_tradnl"/>
        </w:rPr>
        <w:t xml:space="preserve"> </w:t>
      </w:r>
      <w:r w:rsidR="0053029A" w:rsidRPr="00EE0693">
        <w:rPr>
          <w:rFonts w:ascii="Georgia" w:hAnsi="Georgia" w:cs="Arial"/>
          <w:sz w:val="24"/>
          <w:szCs w:val="24"/>
          <w:lang w:val="es-ES_tradnl"/>
        </w:rPr>
        <w:t>(Carpeta 1ª instancia, pdf.02 y archivo 05, tiempo 00:00:49 a 00:15:32)</w:t>
      </w:r>
      <w:r w:rsidR="00AF614F" w:rsidRPr="00EE0693">
        <w:rPr>
          <w:rFonts w:ascii="Georgia" w:hAnsi="Georgia" w:cs="Arial"/>
          <w:sz w:val="24"/>
          <w:szCs w:val="24"/>
          <w:lang w:val="es-ES_tradnl"/>
        </w:rPr>
        <w:t>,</w:t>
      </w:r>
      <w:r w:rsidR="0053029A" w:rsidRPr="00EE0693">
        <w:rPr>
          <w:rFonts w:ascii="Georgia" w:hAnsi="Georgia" w:cs="Arial"/>
          <w:sz w:val="24"/>
          <w:szCs w:val="24"/>
          <w:lang w:val="es-ES_tradnl"/>
        </w:rPr>
        <w:t xml:space="preserve"> cuando con absoluta claridad </w:t>
      </w:r>
      <w:r w:rsidR="00EF51F6" w:rsidRPr="00EE0693">
        <w:rPr>
          <w:rFonts w:ascii="Georgia" w:hAnsi="Georgia" w:cs="Arial"/>
          <w:sz w:val="24"/>
          <w:szCs w:val="24"/>
          <w:lang w:val="es-ES_tradnl"/>
        </w:rPr>
        <w:t xml:space="preserve">literal </w:t>
      </w:r>
      <w:r w:rsidR="0053029A" w:rsidRPr="00EE0693">
        <w:rPr>
          <w:rFonts w:ascii="Georgia" w:hAnsi="Georgia" w:cs="Arial"/>
          <w:sz w:val="24"/>
          <w:szCs w:val="24"/>
          <w:lang w:val="es-ES_tradnl"/>
        </w:rPr>
        <w:t>el ordenamiento</w:t>
      </w:r>
      <w:r w:rsidR="6D79B071" w:rsidRPr="00EE0693">
        <w:rPr>
          <w:rFonts w:ascii="Georgia" w:hAnsi="Georgia" w:cs="Arial"/>
          <w:sz w:val="24"/>
          <w:szCs w:val="24"/>
          <w:lang w:val="es-ES_tradnl"/>
        </w:rPr>
        <w:t xml:space="preserve"> adjetivo </w:t>
      </w:r>
      <w:r w:rsidR="0053029A" w:rsidRPr="00EE0693">
        <w:rPr>
          <w:rFonts w:ascii="Georgia" w:hAnsi="Georgia" w:cs="Arial"/>
          <w:sz w:val="24"/>
          <w:szCs w:val="24"/>
          <w:lang w:val="es-ES_tradnl"/>
        </w:rPr>
        <w:t xml:space="preserve">dispone </w:t>
      </w:r>
      <w:r w:rsidR="3B47CB68" w:rsidRPr="00EE0693">
        <w:rPr>
          <w:rFonts w:ascii="Georgia" w:hAnsi="Georgia" w:cs="Arial"/>
          <w:sz w:val="24"/>
          <w:szCs w:val="24"/>
          <w:lang w:val="es-ES_tradnl"/>
        </w:rPr>
        <w:t xml:space="preserve">en forma </w:t>
      </w:r>
      <w:r w:rsidR="00EF51F6" w:rsidRPr="00EE0693">
        <w:rPr>
          <w:rFonts w:ascii="Georgia" w:hAnsi="Georgia" w:cs="Arial"/>
          <w:sz w:val="24"/>
          <w:szCs w:val="24"/>
          <w:lang w:val="es-ES_tradnl"/>
        </w:rPr>
        <w:t xml:space="preserve">específica </w:t>
      </w:r>
      <w:r w:rsidR="0053029A" w:rsidRPr="00EE0693">
        <w:rPr>
          <w:rFonts w:ascii="Georgia" w:hAnsi="Georgia" w:cs="Arial"/>
          <w:sz w:val="24"/>
          <w:szCs w:val="24"/>
          <w:lang w:val="es-ES_tradnl"/>
        </w:rPr>
        <w:t xml:space="preserve">que ante </w:t>
      </w:r>
      <w:r w:rsidR="000D0C82" w:rsidRPr="00EE0693">
        <w:rPr>
          <w:rFonts w:ascii="Georgia" w:hAnsi="Georgia" w:cs="Arial"/>
          <w:sz w:val="24"/>
          <w:szCs w:val="24"/>
          <w:lang w:val="es-ES_tradnl"/>
        </w:rPr>
        <w:t xml:space="preserve">la </w:t>
      </w:r>
      <w:r w:rsidR="0053029A" w:rsidRPr="00EE0693">
        <w:rPr>
          <w:rFonts w:ascii="Georgia" w:hAnsi="Georgia" w:cs="Arial"/>
          <w:sz w:val="24"/>
          <w:szCs w:val="24"/>
          <w:lang w:val="es-ES_tradnl"/>
        </w:rPr>
        <w:t>prosperidad de ese medio exceptivo “</w:t>
      </w:r>
      <w:r w:rsidR="0053029A" w:rsidRPr="00EE0693">
        <w:rPr>
          <w:rFonts w:ascii="Georgia" w:hAnsi="Georgia" w:cs="Arial"/>
          <w:i/>
          <w:iCs/>
          <w:sz w:val="24"/>
          <w:szCs w:val="24"/>
          <w:lang w:val="es-ES_tradnl"/>
        </w:rPr>
        <w:t>(…) se ordenará remitir el expediente al juez que corresponda y lo actuado conservará su validez</w:t>
      </w:r>
      <w:r w:rsidR="0053029A" w:rsidRPr="00EE0693">
        <w:rPr>
          <w:rFonts w:ascii="Georgia" w:hAnsi="Georgia" w:cs="Arial"/>
          <w:sz w:val="24"/>
          <w:szCs w:val="24"/>
          <w:lang w:val="es-ES_tradnl"/>
        </w:rPr>
        <w:t>” (Artículo 101, 2°, inciso 3°, ib</w:t>
      </w:r>
      <w:r w:rsidR="00193440" w:rsidRPr="00EE0693">
        <w:rPr>
          <w:rFonts w:ascii="Georgia" w:hAnsi="Georgia" w:cs="Arial"/>
          <w:sz w:val="24"/>
          <w:szCs w:val="24"/>
          <w:lang w:val="es-ES_tradnl"/>
        </w:rPr>
        <w:t>idem</w:t>
      </w:r>
      <w:r w:rsidR="0053029A" w:rsidRPr="00EE0693">
        <w:rPr>
          <w:rFonts w:ascii="Georgia" w:hAnsi="Georgia" w:cs="Arial"/>
          <w:sz w:val="24"/>
          <w:szCs w:val="24"/>
          <w:lang w:val="es-ES_tradnl"/>
        </w:rPr>
        <w:t>)</w:t>
      </w:r>
      <w:r w:rsidR="00757803" w:rsidRPr="00EE0693">
        <w:rPr>
          <w:rFonts w:ascii="Georgia" w:hAnsi="Georgia" w:cs="Arial"/>
          <w:sz w:val="24"/>
          <w:szCs w:val="24"/>
          <w:lang w:val="es-ES_tradnl"/>
        </w:rPr>
        <w:t xml:space="preserve">, en este caso, </w:t>
      </w:r>
      <w:r w:rsidR="00BD0E24" w:rsidRPr="00EE0693">
        <w:rPr>
          <w:rFonts w:ascii="Georgia" w:hAnsi="Georgia" w:cs="Arial"/>
          <w:sz w:val="24"/>
          <w:szCs w:val="24"/>
          <w:lang w:val="es-ES_tradnl"/>
        </w:rPr>
        <w:t>por tratarse de</w:t>
      </w:r>
      <w:r w:rsidR="771AAE94" w:rsidRPr="00EE0693">
        <w:rPr>
          <w:rFonts w:ascii="Georgia" w:hAnsi="Georgia" w:cs="Arial"/>
          <w:sz w:val="24"/>
          <w:szCs w:val="24"/>
          <w:lang w:val="es-ES_tradnl"/>
        </w:rPr>
        <w:t>l</w:t>
      </w:r>
      <w:r w:rsidR="00BD0E24" w:rsidRPr="00EE0693">
        <w:rPr>
          <w:rFonts w:ascii="Georgia" w:hAnsi="Georgia" w:cs="Arial"/>
          <w:sz w:val="24"/>
          <w:szCs w:val="24"/>
          <w:lang w:val="es-ES_tradnl"/>
        </w:rPr>
        <w:t xml:space="preserve"> </w:t>
      </w:r>
      <w:r w:rsidR="000D0C82" w:rsidRPr="00EE0693">
        <w:rPr>
          <w:rFonts w:ascii="Georgia" w:hAnsi="Georgia" w:cs="Arial"/>
          <w:sz w:val="24"/>
          <w:szCs w:val="24"/>
          <w:lang w:val="es-ES_tradnl"/>
        </w:rPr>
        <w:t xml:space="preserve">exequátur, </w:t>
      </w:r>
      <w:r w:rsidR="006552AA" w:rsidRPr="00EE0693">
        <w:rPr>
          <w:rFonts w:ascii="Georgia" w:hAnsi="Georgia" w:cs="Arial"/>
          <w:sz w:val="24"/>
          <w:szCs w:val="24"/>
          <w:lang w:val="es-ES_tradnl"/>
        </w:rPr>
        <w:t xml:space="preserve">debió enviarse a </w:t>
      </w:r>
      <w:r w:rsidR="00757803" w:rsidRPr="00EE0693">
        <w:rPr>
          <w:rFonts w:ascii="Georgia" w:hAnsi="Georgia" w:cs="Arial"/>
          <w:sz w:val="24"/>
          <w:szCs w:val="24"/>
          <w:lang w:val="es-ES_tradnl"/>
        </w:rPr>
        <w:t>la Sala Civil de la CSJ</w:t>
      </w:r>
      <w:r w:rsidR="000D0C82" w:rsidRPr="00EE0693">
        <w:rPr>
          <w:rFonts w:ascii="Georgia" w:hAnsi="Georgia" w:cs="Arial"/>
          <w:sz w:val="24"/>
          <w:szCs w:val="24"/>
          <w:lang w:val="es-ES_tradnl"/>
        </w:rPr>
        <w:t xml:space="preserve"> (Artículo 607, ib.).</w:t>
      </w:r>
      <w:r w:rsidR="000F14D8" w:rsidRPr="00EE0693">
        <w:rPr>
          <w:rFonts w:ascii="Georgia" w:hAnsi="Georgia" w:cs="Arial"/>
          <w:sz w:val="24"/>
          <w:szCs w:val="24"/>
          <w:lang w:val="es-ES_tradnl"/>
        </w:rPr>
        <w:t xml:space="preserve"> </w:t>
      </w:r>
      <w:r w:rsidR="2096B1C1" w:rsidRPr="00EE0693">
        <w:rPr>
          <w:rFonts w:ascii="Georgia" w:hAnsi="Georgia" w:cs="Arial"/>
          <w:sz w:val="24"/>
          <w:szCs w:val="24"/>
          <w:lang w:val="es-ES_tradnl"/>
        </w:rPr>
        <w:t>Que la</w:t>
      </w:r>
      <w:r w:rsidR="7F6EB9B3" w:rsidRPr="00EE0693">
        <w:rPr>
          <w:rFonts w:ascii="Georgia" w:hAnsi="Georgia" w:cs="Arial"/>
          <w:sz w:val="24"/>
          <w:szCs w:val="24"/>
          <w:lang w:val="es-ES_tradnl"/>
        </w:rPr>
        <w:t>s</w:t>
      </w:r>
      <w:r w:rsidR="2096B1C1" w:rsidRPr="00EE0693">
        <w:rPr>
          <w:rFonts w:ascii="Georgia" w:hAnsi="Georgia" w:cs="Arial"/>
          <w:sz w:val="24"/>
          <w:szCs w:val="24"/>
          <w:lang w:val="es-ES_tradnl"/>
        </w:rPr>
        <w:t xml:space="preserve"> excepciones previas</w:t>
      </w:r>
      <w:r w:rsidR="6690E110" w:rsidRPr="00EE0693">
        <w:rPr>
          <w:rFonts w:ascii="Georgia" w:hAnsi="Georgia" w:cs="Arial"/>
          <w:sz w:val="24"/>
          <w:szCs w:val="24"/>
          <w:lang w:val="es-ES_tradnl"/>
        </w:rPr>
        <w:t>, por regla general,</w:t>
      </w:r>
      <w:r w:rsidR="2096B1C1" w:rsidRPr="00EE0693">
        <w:rPr>
          <w:rFonts w:ascii="Georgia" w:hAnsi="Georgia" w:cs="Arial"/>
          <w:sz w:val="24"/>
          <w:szCs w:val="24"/>
          <w:lang w:val="es-ES_tradnl"/>
        </w:rPr>
        <w:t xml:space="preserve"> no admiten apelación, es </w:t>
      </w:r>
      <w:r w:rsidR="00BB0E7F" w:rsidRPr="00EE0693">
        <w:rPr>
          <w:rFonts w:ascii="Georgia" w:hAnsi="Georgia" w:cs="Arial"/>
          <w:sz w:val="24"/>
          <w:szCs w:val="24"/>
          <w:lang w:val="es-ES_tradnl"/>
        </w:rPr>
        <w:t xml:space="preserve">criterio </w:t>
      </w:r>
      <w:r w:rsidR="1E4AFDBC" w:rsidRPr="00EE0693">
        <w:rPr>
          <w:rFonts w:ascii="Georgia" w:hAnsi="Georgia" w:cs="Arial"/>
          <w:sz w:val="24"/>
          <w:szCs w:val="24"/>
          <w:lang w:val="es-ES_tradnl"/>
        </w:rPr>
        <w:t xml:space="preserve">ya expuesto por </w:t>
      </w:r>
      <w:r w:rsidR="00BB0E7F" w:rsidRPr="00EE0693">
        <w:rPr>
          <w:rFonts w:ascii="Georgia" w:hAnsi="Georgia" w:cs="Arial"/>
          <w:sz w:val="24"/>
          <w:szCs w:val="24"/>
          <w:lang w:val="es-ES_tradnl"/>
        </w:rPr>
        <w:t xml:space="preserve">esta </w:t>
      </w:r>
      <w:r w:rsidR="50434DAF" w:rsidRPr="00EE0693">
        <w:rPr>
          <w:rFonts w:ascii="Georgia" w:hAnsi="Georgia" w:cs="Arial"/>
          <w:sz w:val="24"/>
          <w:szCs w:val="24"/>
          <w:lang w:val="es-ES_tradnl"/>
        </w:rPr>
        <w:t>Sala (2019)</w:t>
      </w:r>
      <w:r w:rsidR="00BB0E7F" w:rsidRPr="00EE0693">
        <w:rPr>
          <w:rStyle w:val="Refdenotaalpie"/>
          <w:rFonts w:ascii="Georgia" w:hAnsi="Georgia" w:cs="Arial"/>
          <w:sz w:val="24"/>
          <w:szCs w:val="24"/>
          <w:lang w:val="es-ES_tradnl"/>
        </w:rPr>
        <w:footnoteReference w:id="25"/>
      </w:r>
      <w:r w:rsidR="006605AF" w:rsidRPr="00EE0693">
        <w:rPr>
          <w:rFonts w:ascii="Georgia" w:hAnsi="Georgia" w:cs="Arial"/>
          <w:sz w:val="24"/>
          <w:szCs w:val="24"/>
          <w:lang w:val="es-ES_tradnl"/>
        </w:rPr>
        <w:t>.</w:t>
      </w:r>
    </w:p>
    <w:p w14:paraId="65B1D420" w14:textId="28EAFA25" w:rsidR="1291ABCD" w:rsidRPr="00EE0693" w:rsidRDefault="1291ABCD" w:rsidP="00ED7D44">
      <w:pPr>
        <w:pStyle w:val="Sinespaciado"/>
        <w:spacing w:line="276" w:lineRule="auto"/>
        <w:jc w:val="both"/>
        <w:rPr>
          <w:rFonts w:ascii="Georgia" w:hAnsi="Georgia" w:cs="Arial"/>
          <w:sz w:val="24"/>
          <w:szCs w:val="24"/>
          <w:lang w:val="es-ES_tradnl"/>
        </w:rPr>
      </w:pPr>
    </w:p>
    <w:p w14:paraId="1C7D1F34" w14:textId="3A66A622" w:rsidR="006605AF" w:rsidRPr="00EE0693" w:rsidRDefault="006A3B0D" w:rsidP="00ED7D44">
      <w:pPr>
        <w:pStyle w:val="Sinespaciado"/>
        <w:spacing w:line="276" w:lineRule="auto"/>
        <w:jc w:val="both"/>
        <w:rPr>
          <w:rFonts w:ascii="Georgia" w:hAnsi="Georgia" w:cs="Arial"/>
          <w:sz w:val="24"/>
          <w:szCs w:val="24"/>
          <w:lang w:val="es-ES_tradnl"/>
        </w:rPr>
      </w:pPr>
      <w:r w:rsidRPr="00EE0693">
        <w:rPr>
          <w:rFonts w:ascii="Georgia" w:hAnsi="Georgia" w:cs="Arial"/>
          <w:sz w:val="24"/>
          <w:szCs w:val="24"/>
          <w:lang w:val="es-ES_tradnl"/>
        </w:rPr>
        <w:t xml:space="preserve">Por definición la procedencia de la apelación es un juicio </w:t>
      </w:r>
      <w:r w:rsidR="3C425586" w:rsidRPr="00EE0693">
        <w:rPr>
          <w:rFonts w:ascii="Georgia" w:hAnsi="Georgia" w:cs="Arial"/>
          <w:sz w:val="24"/>
          <w:szCs w:val="24"/>
          <w:lang w:val="es-ES_tradnl"/>
        </w:rPr>
        <w:t xml:space="preserve">prestablecido </w:t>
      </w:r>
      <w:r w:rsidRPr="00EE0693">
        <w:rPr>
          <w:rFonts w:ascii="Georgia" w:hAnsi="Georgia" w:cs="Arial"/>
          <w:sz w:val="24"/>
          <w:szCs w:val="24"/>
          <w:lang w:val="es-ES_tradnl"/>
        </w:rPr>
        <w:t xml:space="preserve">por el legislador, que </w:t>
      </w:r>
      <w:r w:rsidR="582C1E3D" w:rsidRPr="00EE0693">
        <w:rPr>
          <w:rFonts w:ascii="Georgia" w:hAnsi="Georgia" w:cs="Arial"/>
          <w:i/>
          <w:iCs/>
          <w:sz w:val="24"/>
          <w:szCs w:val="24"/>
          <w:lang w:val="es-ES_tradnl"/>
        </w:rPr>
        <w:t>ex ante</w:t>
      </w:r>
      <w:r w:rsidR="582C1E3D" w:rsidRPr="00EE0693">
        <w:rPr>
          <w:rFonts w:ascii="Georgia" w:hAnsi="Georgia" w:cs="Arial"/>
          <w:sz w:val="24"/>
          <w:szCs w:val="24"/>
          <w:lang w:val="es-ES_tradnl"/>
        </w:rPr>
        <w:t xml:space="preserve"> </w:t>
      </w:r>
      <w:r w:rsidRPr="00EE0693">
        <w:rPr>
          <w:rFonts w:ascii="Georgia" w:hAnsi="Georgia" w:cs="Arial"/>
          <w:sz w:val="24"/>
          <w:szCs w:val="24"/>
          <w:lang w:val="es-ES_tradnl"/>
        </w:rPr>
        <w:t xml:space="preserve">selecciona cuáles </w:t>
      </w:r>
      <w:r w:rsidR="00EF51F6" w:rsidRPr="00EE0693">
        <w:rPr>
          <w:rFonts w:ascii="Georgia" w:hAnsi="Georgia" w:cs="Arial"/>
          <w:sz w:val="24"/>
          <w:szCs w:val="24"/>
          <w:lang w:val="es-ES_tradnl"/>
        </w:rPr>
        <w:t xml:space="preserve">son </w:t>
      </w:r>
      <w:r w:rsidR="0D1299A0" w:rsidRPr="00EE0693">
        <w:rPr>
          <w:rFonts w:ascii="Georgia" w:hAnsi="Georgia" w:cs="Arial"/>
          <w:sz w:val="24"/>
          <w:szCs w:val="24"/>
          <w:lang w:val="es-ES_tradnl"/>
        </w:rPr>
        <w:t xml:space="preserve">esas </w:t>
      </w:r>
      <w:r w:rsidRPr="00EE0693">
        <w:rPr>
          <w:rFonts w:ascii="Georgia" w:hAnsi="Georgia" w:cs="Arial"/>
          <w:sz w:val="24"/>
          <w:szCs w:val="24"/>
          <w:lang w:val="es-ES_tradnl"/>
        </w:rPr>
        <w:t>decisiones, ningún arbitrio o potestad se confiere al juez (a) para que adelante esa tarea.</w:t>
      </w:r>
      <w:r w:rsidR="00AF614F" w:rsidRPr="00EE0693">
        <w:rPr>
          <w:rFonts w:ascii="Georgia" w:hAnsi="Georgia" w:cs="Arial"/>
          <w:sz w:val="24"/>
          <w:szCs w:val="24"/>
          <w:lang w:val="es-ES_tradnl"/>
        </w:rPr>
        <w:t xml:space="preserve"> </w:t>
      </w:r>
      <w:r w:rsidR="006605AF" w:rsidRPr="00EE0693">
        <w:rPr>
          <w:rFonts w:ascii="Georgia" w:hAnsi="Georgia" w:cs="Arial"/>
          <w:sz w:val="24"/>
          <w:szCs w:val="24"/>
          <w:lang w:val="es-ES_tradnl"/>
        </w:rPr>
        <w:t xml:space="preserve">En palabras del maestro </w:t>
      </w:r>
      <w:r w:rsidR="00781E9F" w:rsidRPr="00EE0693">
        <w:rPr>
          <w:rFonts w:ascii="Georgia" w:hAnsi="Georgia" w:cs="Arial"/>
          <w:sz w:val="24"/>
          <w:szCs w:val="24"/>
          <w:lang w:val="es-ES_tradnl"/>
        </w:rPr>
        <w:t xml:space="preserve">López </w:t>
      </w:r>
      <w:r w:rsidR="00AF614F" w:rsidRPr="00EE0693">
        <w:rPr>
          <w:rFonts w:ascii="Georgia" w:hAnsi="Georgia" w:cs="Arial"/>
          <w:sz w:val="24"/>
          <w:szCs w:val="24"/>
          <w:lang w:val="es-ES_tradnl"/>
        </w:rPr>
        <w:t>B</w:t>
      </w:r>
      <w:r w:rsidR="006605AF" w:rsidRPr="00EE0693">
        <w:rPr>
          <w:rFonts w:ascii="Georgia" w:hAnsi="Georgia" w:cs="Arial"/>
          <w:sz w:val="24"/>
          <w:szCs w:val="24"/>
          <w:lang w:val="es-ES_tradnl"/>
        </w:rPr>
        <w:t>. (</w:t>
      </w:r>
      <w:r w:rsidR="00AF614F" w:rsidRPr="00EE0693">
        <w:rPr>
          <w:rFonts w:ascii="Georgia" w:hAnsi="Georgia" w:cs="Arial"/>
          <w:sz w:val="24"/>
          <w:szCs w:val="24"/>
          <w:lang w:val="es-ES_tradnl"/>
        </w:rPr>
        <w:t>2019</w:t>
      </w:r>
      <w:r w:rsidR="006605AF" w:rsidRPr="00EE0693">
        <w:rPr>
          <w:rFonts w:ascii="Georgia" w:hAnsi="Georgia" w:cs="Arial"/>
          <w:sz w:val="24"/>
          <w:szCs w:val="24"/>
          <w:lang w:val="es-ES_tradnl"/>
        </w:rPr>
        <w:t>)</w:t>
      </w:r>
      <w:r w:rsidR="006605AF" w:rsidRPr="00EE0693">
        <w:rPr>
          <w:rStyle w:val="Refdenotaalpie"/>
          <w:rFonts w:ascii="Georgia" w:hAnsi="Georgia" w:cs="Arial"/>
          <w:sz w:val="24"/>
          <w:szCs w:val="24"/>
          <w:lang w:val="es-ES_tradnl"/>
        </w:rPr>
        <w:footnoteReference w:id="26"/>
      </w:r>
      <w:r w:rsidR="006605AF" w:rsidRPr="00EE0693">
        <w:rPr>
          <w:rFonts w:ascii="Georgia" w:hAnsi="Georgia" w:cs="Arial"/>
          <w:sz w:val="24"/>
          <w:szCs w:val="24"/>
          <w:lang w:val="es-ES_tradnl"/>
        </w:rPr>
        <w:t>:</w:t>
      </w:r>
    </w:p>
    <w:p w14:paraId="5AD14B49" w14:textId="2A421726" w:rsidR="006605AF" w:rsidRPr="00EE0693" w:rsidRDefault="006605AF" w:rsidP="00ED7D44">
      <w:pPr>
        <w:pStyle w:val="Sinespaciado"/>
        <w:spacing w:line="276" w:lineRule="auto"/>
        <w:jc w:val="both"/>
        <w:rPr>
          <w:rFonts w:ascii="Georgia" w:hAnsi="Georgia" w:cs="Arial"/>
          <w:sz w:val="24"/>
          <w:szCs w:val="24"/>
          <w:lang w:val="es-ES_tradnl"/>
        </w:rPr>
      </w:pPr>
    </w:p>
    <w:p w14:paraId="447EC84C" w14:textId="000A11F8" w:rsidR="006605AF" w:rsidRPr="007361C5" w:rsidRDefault="006605AF" w:rsidP="007361C5">
      <w:pPr>
        <w:pStyle w:val="Sinespaciado"/>
        <w:ind w:left="426" w:right="420"/>
        <w:jc w:val="both"/>
        <w:rPr>
          <w:rFonts w:ascii="Georgia" w:hAnsi="Georgia" w:cs="Arial"/>
          <w:szCs w:val="24"/>
          <w:lang w:val="es-ES_tradnl"/>
        </w:rPr>
      </w:pPr>
      <w:r w:rsidRPr="007361C5">
        <w:rPr>
          <w:rFonts w:ascii="Georgia" w:hAnsi="Georgia" w:cs="Arial"/>
          <w:szCs w:val="24"/>
          <w:lang w:val="es-ES_tradnl"/>
        </w:rPr>
        <w:t xml:space="preserve">La taxatividad implica que </w:t>
      </w:r>
      <w:r w:rsidRPr="007361C5">
        <w:rPr>
          <w:rFonts w:ascii="Georgia" w:hAnsi="Georgia" w:cs="Arial"/>
          <w:b/>
          <w:bCs/>
          <w:szCs w:val="24"/>
          <w:lang w:val="es-ES_tradnl"/>
        </w:rPr>
        <w:t xml:space="preserve">se erradica de manera efectiva la tendencia de algunos jueces a permitir el recurso de apelación respecto de providencias que no lo tienen previsto, sobre la base de que son parecidas o con efectos similares a otras donde si </w:t>
      </w:r>
      <w:r w:rsidR="007361C5" w:rsidRPr="007361C5">
        <w:rPr>
          <w:rFonts w:ascii="Georgia" w:hAnsi="Georgia" w:cs="Arial"/>
          <w:b/>
          <w:bCs/>
          <w:szCs w:val="24"/>
          <w:lang w:val="es-ES_tradnl"/>
        </w:rPr>
        <w:t>está</w:t>
      </w:r>
      <w:r w:rsidRPr="007361C5">
        <w:rPr>
          <w:rFonts w:ascii="Georgia" w:hAnsi="Georgia" w:cs="Arial"/>
          <w:b/>
          <w:bCs/>
          <w:szCs w:val="24"/>
          <w:lang w:val="es-ES_tradnl"/>
        </w:rPr>
        <w:t xml:space="preserve"> permitido</w:t>
      </w:r>
      <w:r w:rsidRPr="007361C5">
        <w:rPr>
          <w:rFonts w:ascii="Georgia" w:hAnsi="Georgia" w:cs="Arial"/>
          <w:szCs w:val="24"/>
          <w:lang w:val="es-ES_tradnl"/>
        </w:rPr>
        <w:t xml:space="preserve">, por cuanto el criterio de la taxatividad impide este tipo de interpretación, porque precisamente se implantó </w:t>
      </w:r>
      <w:r w:rsidR="00072F80" w:rsidRPr="007361C5">
        <w:rPr>
          <w:rFonts w:ascii="Georgia" w:hAnsi="Georgia" w:cs="Arial"/>
          <w:szCs w:val="24"/>
          <w:lang w:val="es-ES_tradnl"/>
        </w:rPr>
        <w:t>con el específico fin de eliminar arduas polémicas en torno a si se admite o no la apelación y por eso, en  materia de procedencia del recurso de apelación no cabe la posibilidad de interpretación extensiva. Únicamente, insisto, los</w:t>
      </w:r>
      <w:r w:rsidR="005F6F82" w:rsidRPr="007361C5">
        <w:rPr>
          <w:rFonts w:ascii="Georgia" w:hAnsi="Georgia" w:cs="Arial"/>
          <w:szCs w:val="24"/>
          <w:lang w:val="es-ES_tradnl"/>
        </w:rPr>
        <w:t xml:space="preserve"> </w:t>
      </w:r>
      <w:r w:rsidR="00072F80" w:rsidRPr="007361C5">
        <w:rPr>
          <w:rFonts w:ascii="Georgia" w:hAnsi="Georgia" w:cs="Arial"/>
          <w:szCs w:val="24"/>
          <w:lang w:val="es-ES_tradnl"/>
        </w:rPr>
        <w:t>autos</w:t>
      </w:r>
      <w:r w:rsidR="00EF51F6" w:rsidRPr="007361C5">
        <w:rPr>
          <w:rFonts w:ascii="Georgia" w:hAnsi="Georgia" w:cs="Arial"/>
          <w:szCs w:val="24"/>
          <w:lang w:val="es-ES_tradnl"/>
        </w:rPr>
        <w:t xml:space="preserve"> </w:t>
      </w:r>
      <w:r w:rsidR="00072F80" w:rsidRPr="007361C5">
        <w:rPr>
          <w:rFonts w:ascii="Georgia" w:hAnsi="Georgia" w:cs="Arial"/>
          <w:szCs w:val="24"/>
          <w:lang w:val="es-ES_tradnl"/>
        </w:rPr>
        <w:t>expresa y taxativamente previsto por la ley son apelables. Vanos serán os esfuerzos por buscar providencias que por parecidas también deben ser apelable y menos dolernos que se trató de una omisión del CGP.</w:t>
      </w:r>
      <w:r w:rsidR="5D61329D" w:rsidRPr="007361C5">
        <w:rPr>
          <w:rFonts w:ascii="Georgia" w:hAnsi="Georgia" w:cs="Arial"/>
          <w:szCs w:val="24"/>
          <w:lang w:val="es-ES_tradnl"/>
        </w:rPr>
        <w:t xml:space="preserve"> Negrilla de este Despacho.</w:t>
      </w:r>
    </w:p>
    <w:p w14:paraId="28BAEDB8" w14:textId="77777777" w:rsidR="00072F80" w:rsidRPr="00EE0693" w:rsidRDefault="00072F80" w:rsidP="00ED7D44">
      <w:pPr>
        <w:pStyle w:val="Sinespaciado"/>
        <w:spacing w:line="276" w:lineRule="auto"/>
        <w:jc w:val="both"/>
        <w:rPr>
          <w:rFonts w:ascii="Georgia" w:hAnsi="Georgia" w:cs="Arial"/>
          <w:sz w:val="24"/>
          <w:szCs w:val="24"/>
          <w:lang w:val="es-ES_tradnl"/>
        </w:rPr>
      </w:pPr>
    </w:p>
    <w:p w14:paraId="4A8CE15D" w14:textId="47052C4B" w:rsidR="00F256AF" w:rsidRPr="00EE0693" w:rsidRDefault="00D26D12" w:rsidP="00ED7D44">
      <w:pPr>
        <w:spacing w:line="276" w:lineRule="auto"/>
        <w:jc w:val="both"/>
        <w:rPr>
          <w:rFonts w:ascii="Georgia" w:hAnsi="Georgia" w:cs="Arial"/>
          <w:sz w:val="24"/>
          <w:szCs w:val="24"/>
          <w:lang w:val="es-ES_tradnl"/>
        </w:rPr>
      </w:pPr>
      <w:r w:rsidRPr="00EE0693">
        <w:rPr>
          <w:rFonts w:ascii="Georgia" w:hAnsi="Georgia" w:cs="Arial"/>
          <w:sz w:val="24"/>
          <w:szCs w:val="24"/>
          <w:lang w:val="es-ES_tradnl"/>
        </w:rPr>
        <w:t xml:space="preserve">Importante memorar </w:t>
      </w:r>
      <w:r w:rsidR="00C7552F" w:rsidRPr="00EE0693">
        <w:rPr>
          <w:rFonts w:ascii="Georgia" w:hAnsi="Georgia" w:cs="Arial"/>
          <w:sz w:val="24"/>
          <w:szCs w:val="24"/>
          <w:lang w:val="es-ES_tradnl"/>
        </w:rPr>
        <w:t xml:space="preserve">que </w:t>
      </w:r>
      <w:r w:rsidRPr="00EE0693">
        <w:rPr>
          <w:rFonts w:ascii="Georgia" w:hAnsi="Georgia" w:cs="Arial"/>
          <w:sz w:val="24"/>
          <w:szCs w:val="24"/>
          <w:lang w:val="es-ES_tradnl"/>
        </w:rPr>
        <w:t>es in</w:t>
      </w:r>
      <w:r w:rsidR="00C7552F" w:rsidRPr="00EE0693">
        <w:rPr>
          <w:rFonts w:ascii="Georgia" w:hAnsi="Georgia" w:cs="Arial"/>
          <w:sz w:val="24"/>
          <w:szCs w:val="24"/>
          <w:lang w:val="es-ES_tradnl"/>
        </w:rPr>
        <w:t>aplicable</w:t>
      </w:r>
      <w:r w:rsidRPr="00EE0693">
        <w:rPr>
          <w:rFonts w:ascii="Georgia" w:hAnsi="Georgia" w:cs="Arial"/>
          <w:sz w:val="24"/>
          <w:szCs w:val="24"/>
          <w:lang w:val="es-ES_tradnl"/>
        </w:rPr>
        <w:t>,</w:t>
      </w:r>
      <w:r w:rsidR="00C7552F" w:rsidRPr="00EE0693">
        <w:rPr>
          <w:rFonts w:ascii="Georgia" w:hAnsi="Georgia" w:cs="Arial"/>
          <w:sz w:val="24"/>
          <w:szCs w:val="24"/>
          <w:lang w:val="es-ES_tradnl"/>
        </w:rPr>
        <w:t xml:space="preserve"> </w:t>
      </w:r>
      <w:r w:rsidR="00F256AF" w:rsidRPr="00EE0693">
        <w:rPr>
          <w:rFonts w:ascii="Georgia" w:hAnsi="Georgia" w:cs="Arial"/>
          <w:sz w:val="24"/>
          <w:szCs w:val="24"/>
          <w:lang w:val="es-ES_tradnl"/>
        </w:rPr>
        <w:t xml:space="preserve">a la luz de la </w:t>
      </w:r>
      <w:r w:rsidRPr="00EE0693">
        <w:rPr>
          <w:rFonts w:ascii="Georgia" w:hAnsi="Georgia" w:cs="Arial"/>
          <w:sz w:val="24"/>
          <w:szCs w:val="24"/>
          <w:lang w:val="es-ES_tradnl"/>
        </w:rPr>
        <w:t xml:space="preserve">teoría </w:t>
      </w:r>
      <w:r w:rsidR="00F256AF" w:rsidRPr="00EE0693">
        <w:rPr>
          <w:rFonts w:ascii="Georgia" w:hAnsi="Georgia" w:cs="Arial"/>
          <w:sz w:val="24"/>
          <w:szCs w:val="24"/>
          <w:lang w:val="es-ES_tradnl"/>
        </w:rPr>
        <w:t>hermenéutica jurídica</w:t>
      </w:r>
      <w:r w:rsidRPr="00EE0693">
        <w:rPr>
          <w:rFonts w:ascii="Georgia" w:hAnsi="Georgia" w:cs="Arial"/>
          <w:sz w:val="24"/>
          <w:szCs w:val="24"/>
          <w:lang w:val="es-ES_tradnl"/>
        </w:rPr>
        <w:t xml:space="preserve"> general</w:t>
      </w:r>
      <w:r w:rsidR="00F256AF" w:rsidRPr="00EE0693">
        <w:rPr>
          <w:rFonts w:ascii="Georgia" w:hAnsi="Georgia" w:cs="Arial"/>
          <w:sz w:val="24"/>
          <w:szCs w:val="24"/>
          <w:lang w:val="es-ES_tradnl"/>
        </w:rPr>
        <w:t xml:space="preserve">, </w:t>
      </w:r>
      <w:r w:rsidRPr="00EE0693">
        <w:rPr>
          <w:rFonts w:ascii="Georgia" w:hAnsi="Georgia" w:cs="Arial"/>
          <w:sz w:val="24"/>
          <w:szCs w:val="24"/>
          <w:lang w:val="es-ES_tradnl"/>
        </w:rPr>
        <w:t xml:space="preserve">la </w:t>
      </w:r>
      <w:r w:rsidR="00F256AF" w:rsidRPr="00EE0693">
        <w:rPr>
          <w:rFonts w:ascii="Georgia" w:hAnsi="Georgia" w:cs="Arial"/>
          <w:sz w:val="24"/>
          <w:szCs w:val="24"/>
          <w:lang w:val="es-ES_tradnl"/>
        </w:rPr>
        <w:t>anal</w:t>
      </w:r>
      <w:r w:rsidRPr="00EE0693">
        <w:rPr>
          <w:rFonts w:ascii="Georgia" w:hAnsi="Georgia" w:cs="Arial"/>
          <w:sz w:val="24"/>
          <w:szCs w:val="24"/>
          <w:lang w:val="es-ES_tradnl"/>
        </w:rPr>
        <w:t>ogía para estos eventos</w:t>
      </w:r>
      <w:r w:rsidR="00F256AF" w:rsidRPr="00EE0693">
        <w:rPr>
          <w:rFonts w:ascii="Georgia" w:hAnsi="Georgia" w:cs="Arial"/>
          <w:sz w:val="24"/>
          <w:szCs w:val="24"/>
          <w:lang w:val="es-ES_tradnl"/>
        </w:rPr>
        <w:t>, pues las situaciones exce</w:t>
      </w:r>
      <w:r w:rsidR="006A3B0D" w:rsidRPr="00EE0693">
        <w:rPr>
          <w:rFonts w:ascii="Georgia" w:hAnsi="Georgia" w:cs="Arial"/>
          <w:sz w:val="24"/>
          <w:szCs w:val="24"/>
          <w:lang w:val="es-ES_tradnl"/>
        </w:rPr>
        <w:t>ptivas</w:t>
      </w:r>
      <w:r w:rsidR="00F256AF" w:rsidRPr="00EE0693">
        <w:rPr>
          <w:rFonts w:ascii="Georgia" w:hAnsi="Georgia" w:cs="Arial"/>
          <w:sz w:val="24"/>
          <w:szCs w:val="24"/>
          <w:lang w:val="es-ES_tradnl"/>
        </w:rPr>
        <w:t xml:space="preserve"> por su misma naturaleza, </w:t>
      </w:r>
      <w:r w:rsidR="490F824E" w:rsidRPr="00EE0693">
        <w:rPr>
          <w:rFonts w:ascii="Georgia" w:hAnsi="Georgia" w:cs="Arial"/>
          <w:sz w:val="24"/>
          <w:szCs w:val="24"/>
          <w:lang w:val="es-ES_tradnl"/>
        </w:rPr>
        <w:t xml:space="preserve">están excluidas </w:t>
      </w:r>
      <w:r w:rsidR="00F256AF" w:rsidRPr="00EE0693">
        <w:rPr>
          <w:rFonts w:ascii="Georgia" w:hAnsi="Georgia" w:cs="Arial"/>
          <w:sz w:val="24"/>
          <w:szCs w:val="24"/>
          <w:lang w:val="es-ES_tradnl"/>
        </w:rPr>
        <w:t>de la figura</w:t>
      </w:r>
      <w:r w:rsidR="00A122AE" w:rsidRPr="00EE0693">
        <w:rPr>
          <w:rStyle w:val="Refdenotaalpie"/>
          <w:rFonts w:ascii="Georgia" w:hAnsi="Georgia" w:cs="Arial"/>
          <w:sz w:val="24"/>
          <w:szCs w:val="24"/>
          <w:lang w:val="es-ES_tradnl"/>
        </w:rPr>
        <w:footnoteReference w:id="27"/>
      </w:r>
      <w:r w:rsidR="00F256AF" w:rsidRPr="00EE0693">
        <w:rPr>
          <w:rFonts w:ascii="Georgia" w:hAnsi="Georgia" w:cs="Arial"/>
          <w:sz w:val="24"/>
          <w:szCs w:val="24"/>
          <w:lang w:val="es-ES_tradnl"/>
        </w:rPr>
        <w:t>.</w:t>
      </w:r>
      <w:r w:rsidRPr="00EE0693">
        <w:rPr>
          <w:rFonts w:ascii="Georgia" w:hAnsi="Georgia" w:cs="Arial"/>
          <w:sz w:val="24"/>
          <w:szCs w:val="24"/>
          <w:lang w:val="es-ES_tradnl"/>
        </w:rPr>
        <w:t xml:space="preserve"> La regla general </w:t>
      </w:r>
      <w:r w:rsidR="00E65CD6" w:rsidRPr="00EE0693">
        <w:rPr>
          <w:rFonts w:ascii="Georgia" w:hAnsi="Georgia" w:cs="Arial"/>
          <w:sz w:val="24"/>
          <w:szCs w:val="24"/>
          <w:lang w:val="es-ES_tradnl"/>
        </w:rPr>
        <w:t xml:space="preserve">en el CGP (También en CPC) </w:t>
      </w:r>
      <w:r w:rsidRPr="00EE0693">
        <w:rPr>
          <w:rFonts w:ascii="Georgia" w:hAnsi="Georgia" w:cs="Arial"/>
          <w:sz w:val="24"/>
          <w:szCs w:val="24"/>
          <w:lang w:val="es-ES_tradnl"/>
        </w:rPr>
        <w:lastRenderedPageBreak/>
        <w:t xml:space="preserve">es la </w:t>
      </w:r>
      <w:proofErr w:type="spellStart"/>
      <w:r w:rsidRPr="00EE0693">
        <w:rPr>
          <w:rFonts w:ascii="Georgia" w:hAnsi="Georgia" w:cs="Arial"/>
          <w:sz w:val="24"/>
          <w:szCs w:val="24"/>
          <w:lang w:val="es-ES_tradnl"/>
        </w:rPr>
        <w:t>inapelabilidad</w:t>
      </w:r>
      <w:proofErr w:type="spellEnd"/>
      <w:r w:rsidRPr="00EE0693">
        <w:rPr>
          <w:rFonts w:ascii="Georgia" w:hAnsi="Georgia" w:cs="Arial"/>
          <w:sz w:val="24"/>
          <w:szCs w:val="24"/>
          <w:lang w:val="es-ES_tradnl"/>
        </w:rPr>
        <w:t xml:space="preserve"> de las decisiones, las salvedades son las providencias recurribles en alzada.</w:t>
      </w:r>
    </w:p>
    <w:p w14:paraId="40F655B7" w14:textId="77777777" w:rsidR="00072F80" w:rsidRPr="00EE0693" w:rsidRDefault="00072F80" w:rsidP="00ED7D44">
      <w:pPr>
        <w:spacing w:line="276" w:lineRule="auto"/>
        <w:jc w:val="both"/>
        <w:rPr>
          <w:rFonts w:ascii="Georgia" w:hAnsi="Georgia" w:cs="Arial"/>
          <w:sz w:val="24"/>
          <w:szCs w:val="24"/>
          <w:lang w:val="es-ES_tradnl"/>
        </w:rPr>
      </w:pPr>
    </w:p>
    <w:p w14:paraId="4727D581" w14:textId="6CD61889" w:rsidR="00757803" w:rsidRPr="00EE0693" w:rsidRDefault="00F256AF" w:rsidP="00ED7D44">
      <w:pPr>
        <w:pStyle w:val="Sinespaciado"/>
        <w:spacing w:line="276" w:lineRule="auto"/>
        <w:jc w:val="both"/>
        <w:rPr>
          <w:rFonts w:ascii="Georgia" w:hAnsi="Georgia" w:cs="Arial"/>
          <w:sz w:val="24"/>
          <w:szCs w:val="24"/>
          <w:lang w:val="es-ES_tradnl"/>
        </w:rPr>
      </w:pPr>
      <w:r w:rsidRPr="00EE0693">
        <w:rPr>
          <w:rFonts w:ascii="Georgia" w:hAnsi="Georgia" w:cs="Arial"/>
          <w:sz w:val="24"/>
          <w:szCs w:val="24"/>
          <w:lang w:val="es-ES_tradnl"/>
        </w:rPr>
        <w:t>Es que ha de entender</w:t>
      </w:r>
      <w:r w:rsidR="00E65CD6" w:rsidRPr="00EE0693">
        <w:rPr>
          <w:rFonts w:ascii="Georgia" w:hAnsi="Georgia" w:cs="Arial"/>
          <w:sz w:val="24"/>
          <w:szCs w:val="24"/>
          <w:lang w:val="es-ES_tradnl"/>
        </w:rPr>
        <w:t>se</w:t>
      </w:r>
      <w:r w:rsidRPr="00EE0693">
        <w:rPr>
          <w:rFonts w:ascii="Georgia" w:hAnsi="Georgia" w:cs="Arial"/>
          <w:sz w:val="24"/>
          <w:szCs w:val="24"/>
          <w:lang w:val="es-ES_tradnl"/>
        </w:rPr>
        <w:t xml:space="preserve"> que ningún vacío o laguna </w:t>
      </w:r>
      <w:r w:rsidR="006A3B0D" w:rsidRPr="00EE0693">
        <w:rPr>
          <w:rFonts w:ascii="Georgia" w:hAnsi="Georgia" w:cs="Arial"/>
          <w:sz w:val="24"/>
          <w:szCs w:val="24"/>
          <w:lang w:val="es-ES_tradnl"/>
        </w:rPr>
        <w:t xml:space="preserve">normativa </w:t>
      </w:r>
      <w:r w:rsidRPr="00EE0693">
        <w:rPr>
          <w:rFonts w:ascii="Georgia" w:hAnsi="Georgia" w:cs="Arial"/>
          <w:sz w:val="24"/>
          <w:szCs w:val="24"/>
          <w:lang w:val="es-ES_tradnl"/>
        </w:rPr>
        <w:t xml:space="preserve">hay </w:t>
      </w:r>
      <w:r w:rsidR="00E65CD6" w:rsidRPr="00EE0693">
        <w:rPr>
          <w:rFonts w:ascii="Georgia" w:hAnsi="Georgia" w:cs="Arial"/>
          <w:sz w:val="24"/>
          <w:szCs w:val="24"/>
          <w:lang w:val="es-ES_tradnl"/>
        </w:rPr>
        <w:t xml:space="preserve">sobre el régimen de las apelaciones </w:t>
      </w:r>
      <w:r w:rsidRPr="00EE0693">
        <w:rPr>
          <w:rFonts w:ascii="Georgia" w:hAnsi="Georgia" w:cs="Arial"/>
          <w:sz w:val="24"/>
          <w:szCs w:val="24"/>
          <w:lang w:val="es-ES_tradnl"/>
        </w:rPr>
        <w:t xml:space="preserve">como para ser suplida, simplemente el legislador intencionalmente somete la cuestión a la regla general, </w:t>
      </w:r>
      <w:r w:rsidR="006A3B0D" w:rsidRPr="00EE0693">
        <w:rPr>
          <w:rFonts w:ascii="Georgia" w:hAnsi="Georgia" w:cs="Arial"/>
          <w:sz w:val="24"/>
          <w:szCs w:val="24"/>
          <w:lang w:val="es-ES_tradnl"/>
        </w:rPr>
        <w:t>es esa la inteligencia más plausible</w:t>
      </w:r>
      <w:r w:rsidR="41F243FC" w:rsidRPr="00EE0693">
        <w:rPr>
          <w:rFonts w:ascii="Georgia" w:hAnsi="Georgia" w:cs="Arial"/>
          <w:sz w:val="24"/>
          <w:szCs w:val="24"/>
          <w:lang w:val="es-ES_tradnl"/>
        </w:rPr>
        <w:t xml:space="preserve"> y</w:t>
      </w:r>
      <w:r w:rsidRPr="00EE0693">
        <w:rPr>
          <w:rFonts w:ascii="Georgia" w:hAnsi="Georgia" w:cs="Arial"/>
          <w:sz w:val="24"/>
          <w:szCs w:val="24"/>
          <w:lang w:val="es-ES_tradnl"/>
        </w:rPr>
        <w:t xml:space="preserve"> en esa línea de pensamiento adoctrina la CSJ</w:t>
      </w:r>
      <w:r w:rsidRPr="00EE0693">
        <w:rPr>
          <w:rStyle w:val="Refdenotaalpie"/>
          <w:rFonts w:ascii="Georgia" w:hAnsi="Georgia"/>
          <w:sz w:val="24"/>
          <w:szCs w:val="24"/>
          <w:lang w:val="es-ES_tradnl"/>
        </w:rPr>
        <w:footnoteReference w:id="28"/>
      </w:r>
      <w:r w:rsidR="58359BF7" w:rsidRPr="00EE0693">
        <w:rPr>
          <w:rFonts w:ascii="Georgia" w:hAnsi="Georgia" w:cs="Arial"/>
          <w:sz w:val="24"/>
          <w:szCs w:val="24"/>
          <w:lang w:val="es-ES_tradnl"/>
        </w:rPr>
        <w:t>;</w:t>
      </w:r>
      <w:r w:rsidRPr="00EE0693">
        <w:rPr>
          <w:rFonts w:ascii="Georgia" w:hAnsi="Georgia" w:cs="Arial"/>
          <w:sz w:val="24"/>
          <w:szCs w:val="24"/>
          <w:lang w:val="es-ES_tradnl"/>
        </w:rPr>
        <w:t xml:space="preserve"> además</w:t>
      </w:r>
      <w:r w:rsidR="7AE4526B" w:rsidRPr="00EE0693">
        <w:rPr>
          <w:rFonts w:ascii="Georgia" w:hAnsi="Georgia" w:cs="Arial"/>
          <w:sz w:val="24"/>
          <w:szCs w:val="24"/>
          <w:lang w:val="es-ES_tradnl"/>
        </w:rPr>
        <w:t>,</w:t>
      </w:r>
      <w:r w:rsidRPr="00EE0693">
        <w:rPr>
          <w:rFonts w:ascii="Georgia" w:hAnsi="Georgia" w:cs="Arial"/>
          <w:sz w:val="24"/>
          <w:szCs w:val="24"/>
          <w:lang w:val="es-ES_tradnl"/>
        </w:rPr>
        <w:t xml:space="preserve"> </w:t>
      </w:r>
      <w:r w:rsidR="2A15CF29" w:rsidRPr="00EE0693">
        <w:rPr>
          <w:rFonts w:ascii="Georgia" w:hAnsi="Georgia" w:cs="Arial"/>
          <w:sz w:val="24"/>
          <w:szCs w:val="24"/>
          <w:lang w:val="es-ES_tradnl"/>
        </w:rPr>
        <w:t xml:space="preserve">entre </w:t>
      </w:r>
      <w:r w:rsidRPr="00EE0693">
        <w:rPr>
          <w:rFonts w:ascii="Georgia" w:hAnsi="Georgia" w:cs="Arial"/>
          <w:sz w:val="24"/>
          <w:szCs w:val="24"/>
          <w:lang w:val="es-ES_tradnl"/>
        </w:rPr>
        <w:t xml:space="preserve">las condiciones para su aplicación, </w:t>
      </w:r>
      <w:r w:rsidR="6C3DA3BB" w:rsidRPr="00EE0693">
        <w:rPr>
          <w:rFonts w:ascii="Georgia" w:hAnsi="Georgia" w:cs="Arial"/>
          <w:sz w:val="24"/>
          <w:szCs w:val="24"/>
          <w:lang w:val="es-ES_tradnl"/>
        </w:rPr>
        <w:t xml:space="preserve">está </w:t>
      </w:r>
      <w:r w:rsidR="6B4892AB" w:rsidRPr="00EE0693">
        <w:rPr>
          <w:rFonts w:ascii="Georgia" w:hAnsi="Georgia" w:cs="Arial"/>
          <w:sz w:val="24"/>
          <w:szCs w:val="24"/>
          <w:lang w:val="es-ES_tradnl"/>
        </w:rPr>
        <w:t xml:space="preserve">que </w:t>
      </w:r>
      <w:r w:rsidRPr="00EE0693">
        <w:rPr>
          <w:rFonts w:ascii="Georgia" w:hAnsi="Georgia" w:cs="Arial"/>
          <w:sz w:val="24"/>
          <w:szCs w:val="24"/>
          <w:lang w:val="es-ES_tradnl"/>
        </w:rPr>
        <w:t>no se trate de una regla de naturaleza taxativa, excepcional o sancionatoria. Tales razonamientos son prohijados por la literatura especializada nacional</w:t>
      </w:r>
      <w:r w:rsidRPr="00EE0693">
        <w:rPr>
          <w:rStyle w:val="Refdenotaalpie"/>
          <w:rFonts w:ascii="Georgia" w:hAnsi="Georgia"/>
          <w:sz w:val="24"/>
          <w:szCs w:val="24"/>
          <w:lang w:val="es-ES_tradnl"/>
        </w:rPr>
        <w:footnoteReference w:id="29"/>
      </w:r>
      <w:r w:rsidRPr="00EE0693">
        <w:rPr>
          <w:rFonts w:ascii="Georgia" w:hAnsi="Georgia" w:cs="Arial"/>
          <w:sz w:val="24"/>
          <w:szCs w:val="24"/>
          <w:lang w:val="es-ES_tradnl"/>
        </w:rPr>
        <w:t>.</w:t>
      </w:r>
    </w:p>
    <w:p w14:paraId="21CBFD5D" w14:textId="77777777" w:rsidR="006A3B0D" w:rsidRPr="00EE0693" w:rsidRDefault="006A3B0D" w:rsidP="00ED7D44">
      <w:pPr>
        <w:pStyle w:val="Sinespaciado"/>
        <w:spacing w:line="276" w:lineRule="auto"/>
        <w:jc w:val="both"/>
        <w:rPr>
          <w:rFonts w:ascii="Georgia" w:hAnsi="Georgia" w:cs="Arial"/>
          <w:sz w:val="24"/>
          <w:szCs w:val="24"/>
          <w:lang w:val="es-ES_tradnl"/>
        </w:rPr>
      </w:pPr>
    </w:p>
    <w:p w14:paraId="70FB85C1" w14:textId="7EA06C89" w:rsidR="006552AA" w:rsidRPr="00EE0693" w:rsidRDefault="002E3C17" w:rsidP="00ED7D44">
      <w:pPr>
        <w:pStyle w:val="Sinespaciado"/>
        <w:spacing w:line="276" w:lineRule="auto"/>
        <w:jc w:val="both"/>
        <w:rPr>
          <w:rFonts w:ascii="Georgia" w:hAnsi="Georgia" w:cs="Arial"/>
          <w:sz w:val="24"/>
          <w:szCs w:val="24"/>
          <w:lang w:val="es-ES_tradnl"/>
        </w:rPr>
      </w:pPr>
      <w:r w:rsidRPr="00EE0693">
        <w:rPr>
          <w:rFonts w:ascii="Georgia" w:hAnsi="Georgia" w:cs="Arial"/>
          <w:sz w:val="24"/>
          <w:szCs w:val="24"/>
          <w:lang w:val="es-ES_tradnl"/>
        </w:rPr>
        <w:t xml:space="preserve">Ahora, podría </w:t>
      </w:r>
      <w:r w:rsidR="000D0C82" w:rsidRPr="00EE0693">
        <w:rPr>
          <w:rFonts w:ascii="Georgia" w:hAnsi="Georgia" w:cs="Arial"/>
          <w:sz w:val="24"/>
          <w:szCs w:val="24"/>
          <w:lang w:val="es-ES_tradnl"/>
        </w:rPr>
        <w:t xml:space="preserve">pensarse </w:t>
      </w:r>
      <w:r w:rsidR="00757803" w:rsidRPr="00EE0693">
        <w:rPr>
          <w:rFonts w:ascii="Georgia" w:hAnsi="Georgia" w:cs="Arial"/>
          <w:sz w:val="24"/>
          <w:szCs w:val="24"/>
          <w:lang w:val="es-ES_tradnl"/>
        </w:rPr>
        <w:t xml:space="preserve">que </w:t>
      </w:r>
      <w:r w:rsidR="000D0C82" w:rsidRPr="00EE0693">
        <w:rPr>
          <w:rFonts w:ascii="Georgia" w:hAnsi="Georgia" w:cs="Arial"/>
          <w:sz w:val="24"/>
          <w:szCs w:val="24"/>
          <w:lang w:val="es-ES_tradnl"/>
        </w:rPr>
        <w:t xml:space="preserve">al </w:t>
      </w:r>
      <w:r w:rsidR="004314B8" w:rsidRPr="00EE0693">
        <w:rPr>
          <w:rFonts w:ascii="Georgia" w:hAnsi="Georgia" w:cs="Arial"/>
          <w:sz w:val="24"/>
          <w:szCs w:val="24"/>
          <w:lang w:val="es-ES_tradnl"/>
        </w:rPr>
        <w:t xml:space="preserve">ser incompleta la orden </w:t>
      </w:r>
      <w:r w:rsidR="470B70F5" w:rsidRPr="00EE0693">
        <w:rPr>
          <w:rFonts w:ascii="Georgia" w:hAnsi="Georgia" w:cs="Arial"/>
          <w:sz w:val="24"/>
          <w:szCs w:val="24"/>
          <w:lang w:val="es-ES_tradnl"/>
        </w:rPr>
        <w:t xml:space="preserve">del juzgador </w:t>
      </w:r>
      <w:r w:rsidR="004314B8" w:rsidRPr="00EE0693">
        <w:rPr>
          <w:rFonts w:ascii="Georgia" w:hAnsi="Georgia" w:cs="Arial"/>
          <w:sz w:val="24"/>
          <w:szCs w:val="24"/>
          <w:lang w:val="es-ES_tradnl"/>
        </w:rPr>
        <w:t>y</w:t>
      </w:r>
      <w:r w:rsidR="00397DAD" w:rsidRPr="00EE0693">
        <w:rPr>
          <w:rFonts w:ascii="Georgia" w:hAnsi="Georgia" w:cs="Arial"/>
          <w:sz w:val="24"/>
          <w:szCs w:val="24"/>
          <w:lang w:val="es-ES_tradnl"/>
        </w:rPr>
        <w:t xml:space="preserve"> </w:t>
      </w:r>
      <w:r w:rsidR="0953697E" w:rsidRPr="00EE0693">
        <w:rPr>
          <w:rFonts w:ascii="Georgia" w:hAnsi="Georgia" w:cs="Arial"/>
          <w:sz w:val="24"/>
          <w:szCs w:val="24"/>
          <w:lang w:val="es-ES_tradnl"/>
        </w:rPr>
        <w:t>ser</w:t>
      </w:r>
      <w:r w:rsidR="00F3780F" w:rsidRPr="00EE0693">
        <w:rPr>
          <w:rFonts w:ascii="Georgia" w:hAnsi="Georgia" w:cs="Arial"/>
          <w:sz w:val="24"/>
          <w:szCs w:val="24"/>
          <w:lang w:val="es-ES_tradnl"/>
        </w:rPr>
        <w:t xml:space="preserve"> improcedente la alzada, </w:t>
      </w:r>
      <w:r w:rsidR="3A3E442D" w:rsidRPr="00EE0693">
        <w:rPr>
          <w:rFonts w:ascii="Georgia" w:hAnsi="Georgia" w:cs="Arial"/>
          <w:sz w:val="24"/>
          <w:szCs w:val="24"/>
          <w:lang w:val="es-ES_tradnl"/>
        </w:rPr>
        <w:t xml:space="preserve">hay una </w:t>
      </w:r>
      <w:r w:rsidR="00757803" w:rsidRPr="00EE0693">
        <w:rPr>
          <w:rFonts w:ascii="Georgia" w:hAnsi="Georgia" w:cs="Arial"/>
          <w:sz w:val="24"/>
          <w:szCs w:val="24"/>
          <w:lang w:val="es-ES_tradnl"/>
        </w:rPr>
        <w:t>limit</w:t>
      </w:r>
      <w:r w:rsidR="000D0C82" w:rsidRPr="00EE0693">
        <w:rPr>
          <w:rFonts w:ascii="Georgia" w:hAnsi="Georgia" w:cs="Arial"/>
          <w:sz w:val="24"/>
          <w:szCs w:val="24"/>
          <w:lang w:val="es-ES_tradnl"/>
        </w:rPr>
        <w:t>a</w:t>
      </w:r>
      <w:r w:rsidR="335BAF85" w:rsidRPr="00EE0693">
        <w:rPr>
          <w:rFonts w:ascii="Georgia" w:hAnsi="Georgia" w:cs="Arial"/>
          <w:sz w:val="24"/>
          <w:szCs w:val="24"/>
          <w:lang w:val="es-ES_tradnl"/>
        </w:rPr>
        <w:t>ción a</w:t>
      </w:r>
      <w:r w:rsidR="00757803" w:rsidRPr="00EE0693">
        <w:rPr>
          <w:rFonts w:ascii="Georgia" w:hAnsi="Georgia" w:cs="Arial"/>
          <w:sz w:val="24"/>
          <w:szCs w:val="24"/>
          <w:lang w:val="es-ES_tradnl"/>
        </w:rPr>
        <w:t>l acceso a la administración de justicia</w:t>
      </w:r>
      <w:r w:rsidR="4CEDD537" w:rsidRPr="00EE0693">
        <w:rPr>
          <w:rFonts w:ascii="Georgia" w:hAnsi="Georgia" w:cs="Arial"/>
          <w:sz w:val="24"/>
          <w:szCs w:val="24"/>
          <w:lang w:val="es-ES_tradnl"/>
        </w:rPr>
        <w:t xml:space="preserve">. </w:t>
      </w:r>
      <w:r w:rsidR="00EF51F6" w:rsidRPr="00EE0693">
        <w:rPr>
          <w:rFonts w:ascii="Georgia" w:hAnsi="Georgia" w:cs="Arial"/>
          <w:sz w:val="24"/>
          <w:szCs w:val="24"/>
          <w:lang w:val="es-ES_tradnl"/>
        </w:rPr>
        <w:t>En el caso e</w:t>
      </w:r>
      <w:r w:rsidR="16ABE0DC" w:rsidRPr="00EE0693">
        <w:rPr>
          <w:rFonts w:ascii="Georgia" w:hAnsi="Georgia" w:cs="Arial"/>
          <w:sz w:val="24"/>
          <w:szCs w:val="24"/>
          <w:lang w:val="es-ES_tradnl"/>
        </w:rPr>
        <w:t xml:space="preserve">s </w:t>
      </w:r>
      <w:r w:rsidR="004D29C6" w:rsidRPr="00EE0693">
        <w:rPr>
          <w:rFonts w:ascii="Georgia" w:hAnsi="Georgia" w:cs="Arial"/>
          <w:sz w:val="24"/>
          <w:szCs w:val="24"/>
          <w:lang w:val="es-ES_tradnl"/>
        </w:rPr>
        <w:t>extemporáne</w:t>
      </w:r>
      <w:r w:rsidR="00EF51F6" w:rsidRPr="00EE0693">
        <w:rPr>
          <w:rFonts w:ascii="Georgia" w:hAnsi="Georgia" w:cs="Arial"/>
          <w:sz w:val="24"/>
          <w:szCs w:val="24"/>
          <w:lang w:val="es-ES_tradnl"/>
        </w:rPr>
        <w:t>a</w:t>
      </w:r>
      <w:r w:rsidR="004D29C6" w:rsidRPr="00EE0693">
        <w:rPr>
          <w:rFonts w:ascii="Georgia" w:hAnsi="Georgia" w:cs="Arial"/>
          <w:sz w:val="24"/>
          <w:szCs w:val="24"/>
          <w:lang w:val="es-ES_tradnl"/>
        </w:rPr>
        <w:t xml:space="preserve"> </w:t>
      </w:r>
      <w:r w:rsidR="474729D9" w:rsidRPr="00EE0693">
        <w:rPr>
          <w:rFonts w:ascii="Georgia" w:hAnsi="Georgia" w:cs="Arial"/>
          <w:sz w:val="24"/>
          <w:szCs w:val="24"/>
          <w:lang w:val="es-ES_tradnl"/>
        </w:rPr>
        <w:t xml:space="preserve">una </w:t>
      </w:r>
      <w:r w:rsidR="00F3780F" w:rsidRPr="00EE0693">
        <w:rPr>
          <w:rFonts w:ascii="Georgia" w:hAnsi="Georgia" w:cs="Arial"/>
          <w:sz w:val="24"/>
          <w:szCs w:val="24"/>
          <w:lang w:val="es-ES_tradnl"/>
        </w:rPr>
        <w:t>adici</w:t>
      </w:r>
      <w:r w:rsidR="004D29C6" w:rsidRPr="00EE0693">
        <w:rPr>
          <w:rFonts w:ascii="Georgia" w:hAnsi="Georgia" w:cs="Arial"/>
          <w:sz w:val="24"/>
          <w:szCs w:val="24"/>
          <w:lang w:val="es-ES_tradnl"/>
        </w:rPr>
        <w:t>ón</w:t>
      </w:r>
      <w:r w:rsidR="00231716" w:rsidRPr="00EE0693">
        <w:rPr>
          <w:rFonts w:ascii="Georgia" w:hAnsi="Georgia" w:cs="Arial"/>
          <w:sz w:val="24"/>
          <w:szCs w:val="24"/>
          <w:lang w:val="es-ES_tradnl"/>
        </w:rPr>
        <w:t xml:space="preserve"> </w:t>
      </w:r>
      <w:r w:rsidR="00F3780F" w:rsidRPr="00EE0693">
        <w:rPr>
          <w:rFonts w:ascii="Georgia" w:hAnsi="Georgia" w:cs="Arial"/>
          <w:sz w:val="24"/>
          <w:szCs w:val="24"/>
          <w:lang w:val="es-ES_tradnl"/>
        </w:rPr>
        <w:t xml:space="preserve">(Artículos 285 y 287, ib.) </w:t>
      </w:r>
      <w:r w:rsidR="00231716" w:rsidRPr="00EE0693">
        <w:rPr>
          <w:rFonts w:ascii="Georgia" w:hAnsi="Georgia" w:cs="Arial"/>
          <w:sz w:val="24"/>
          <w:szCs w:val="24"/>
          <w:lang w:val="es-ES_tradnl"/>
        </w:rPr>
        <w:t xml:space="preserve">y, tampoco </w:t>
      </w:r>
      <w:r w:rsidR="4D183D78" w:rsidRPr="00EE0693">
        <w:rPr>
          <w:rFonts w:ascii="Georgia" w:hAnsi="Georgia" w:cs="Arial"/>
          <w:sz w:val="24"/>
          <w:szCs w:val="24"/>
          <w:lang w:val="es-ES_tradnl"/>
        </w:rPr>
        <w:t xml:space="preserve">puede </w:t>
      </w:r>
      <w:r w:rsidR="004314B8" w:rsidRPr="00EE0693">
        <w:rPr>
          <w:rFonts w:ascii="Georgia" w:hAnsi="Georgia" w:cs="Arial"/>
          <w:sz w:val="24"/>
          <w:szCs w:val="24"/>
          <w:lang w:val="es-ES_tradnl"/>
        </w:rPr>
        <w:t>revoca</w:t>
      </w:r>
      <w:r w:rsidR="3ADA15B8" w:rsidRPr="00EE0693">
        <w:rPr>
          <w:rFonts w:ascii="Georgia" w:hAnsi="Georgia" w:cs="Arial"/>
          <w:sz w:val="24"/>
          <w:szCs w:val="24"/>
          <w:lang w:val="es-ES_tradnl"/>
        </w:rPr>
        <w:t>rse</w:t>
      </w:r>
      <w:r w:rsidR="004314B8" w:rsidRPr="00EE0693">
        <w:rPr>
          <w:rFonts w:ascii="Georgia" w:hAnsi="Georgia" w:cs="Arial"/>
          <w:sz w:val="24"/>
          <w:szCs w:val="24"/>
          <w:lang w:val="es-ES_tradnl"/>
        </w:rPr>
        <w:t xml:space="preserve"> oficiosamente, a través del denominado </w:t>
      </w:r>
      <w:r w:rsidR="003741F6" w:rsidRPr="00EE0693">
        <w:rPr>
          <w:rFonts w:ascii="Georgia" w:hAnsi="Georgia" w:cs="Arial"/>
          <w:sz w:val="24"/>
          <w:szCs w:val="24"/>
          <w:lang w:val="es-ES_tradnl"/>
        </w:rPr>
        <w:t>“</w:t>
      </w:r>
      <w:proofErr w:type="spellStart"/>
      <w:r w:rsidR="004314B8" w:rsidRPr="00EE0693">
        <w:rPr>
          <w:rFonts w:ascii="Georgia" w:hAnsi="Georgia" w:cs="Arial"/>
          <w:i/>
          <w:sz w:val="24"/>
          <w:szCs w:val="24"/>
          <w:lang w:val="es-ES_tradnl"/>
        </w:rPr>
        <w:t>antiprocesalismo</w:t>
      </w:r>
      <w:proofErr w:type="spellEnd"/>
      <w:r w:rsidR="003741F6" w:rsidRPr="00EE0693">
        <w:rPr>
          <w:rFonts w:ascii="Georgia" w:hAnsi="Georgia" w:cs="Arial"/>
          <w:sz w:val="24"/>
          <w:szCs w:val="24"/>
          <w:lang w:val="es-ES_tradnl"/>
        </w:rPr>
        <w:t>”</w:t>
      </w:r>
      <w:r w:rsidR="00EC7404" w:rsidRPr="00EE0693">
        <w:rPr>
          <w:rStyle w:val="Refdenotaalpie"/>
          <w:rFonts w:ascii="Georgia" w:hAnsi="Georgia" w:cs="Arial"/>
          <w:sz w:val="24"/>
          <w:szCs w:val="24"/>
          <w:lang w:val="es-ES_tradnl"/>
        </w:rPr>
        <w:footnoteReference w:id="30"/>
      </w:r>
      <w:r w:rsidR="003741F6" w:rsidRPr="00EE0693">
        <w:rPr>
          <w:rFonts w:ascii="Georgia" w:hAnsi="Georgia" w:cs="Arial"/>
          <w:sz w:val="24"/>
          <w:szCs w:val="24"/>
          <w:lang w:val="es-ES_tradnl"/>
        </w:rPr>
        <w:t xml:space="preserve"> o “</w:t>
      </w:r>
      <w:r w:rsidR="003741F6" w:rsidRPr="00EE0693">
        <w:rPr>
          <w:rFonts w:ascii="Georgia" w:hAnsi="Georgia" w:cs="Arial"/>
          <w:i/>
          <w:sz w:val="24"/>
          <w:szCs w:val="24"/>
          <w:lang w:val="es-ES_tradnl"/>
        </w:rPr>
        <w:t>teoría de los autos ilegales</w:t>
      </w:r>
      <w:r w:rsidR="003741F6" w:rsidRPr="00EE0693">
        <w:rPr>
          <w:rFonts w:ascii="Georgia" w:hAnsi="Georgia" w:cs="Arial"/>
          <w:sz w:val="24"/>
          <w:szCs w:val="24"/>
          <w:lang w:val="es-ES_tradnl"/>
        </w:rPr>
        <w:t>”</w:t>
      </w:r>
      <w:r w:rsidR="004314B8" w:rsidRPr="00EE0693">
        <w:rPr>
          <w:rFonts w:ascii="Georgia" w:hAnsi="Georgia" w:cs="Arial"/>
          <w:sz w:val="24"/>
          <w:szCs w:val="24"/>
          <w:lang w:val="es-ES_tradnl"/>
        </w:rPr>
        <w:t xml:space="preserve">, pues </w:t>
      </w:r>
      <w:r w:rsidR="00D41DB6" w:rsidRPr="00EE0693">
        <w:rPr>
          <w:rFonts w:ascii="Georgia" w:hAnsi="Georgia" w:cs="Arial"/>
          <w:sz w:val="24"/>
          <w:szCs w:val="24"/>
          <w:lang w:val="es-ES_tradnl"/>
        </w:rPr>
        <w:t xml:space="preserve">es figura </w:t>
      </w:r>
      <w:r w:rsidR="000F14D8" w:rsidRPr="00EE0693">
        <w:rPr>
          <w:rFonts w:ascii="Georgia" w:hAnsi="Georgia" w:cs="Arial"/>
          <w:sz w:val="24"/>
          <w:szCs w:val="24"/>
          <w:lang w:val="es-ES_tradnl"/>
        </w:rPr>
        <w:t xml:space="preserve">de </w:t>
      </w:r>
      <w:r w:rsidR="00A93439" w:rsidRPr="00EE0693">
        <w:rPr>
          <w:rFonts w:ascii="Georgia" w:hAnsi="Georgia" w:cs="Arial"/>
          <w:sz w:val="24"/>
          <w:szCs w:val="24"/>
          <w:lang w:val="es-ES_tradnl"/>
        </w:rPr>
        <w:t xml:space="preserve">aplicación </w:t>
      </w:r>
      <w:r w:rsidR="003741F6" w:rsidRPr="00EE0693">
        <w:rPr>
          <w:rFonts w:ascii="Georgia" w:hAnsi="Georgia" w:cs="Arial"/>
          <w:sz w:val="24"/>
          <w:szCs w:val="24"/>
          <w:lang w:val="es-ES_tradnl"/>
        </w:rPr>
        <w:t xml:space="preserve">muy </w:t>
      </w:r>
      <w:r w:rsidR="00A93439" w:rsidRPr="00EE0693">
        <w:rPr>
          <w:rFonts w:ascii="Georgia" w:hAnsi="Georgia" w:cs="Arial"/>
          <w:sz w:val="24"/>
          <w:szCs w:val="24"/>
          <w:lang w:val="es-ES_tradnl"/>
        </w:rPr>
        <w:t>restringida,</w:t>
      </w:r>
      <w:r w:rsidR="00D41DB6" w:rsidRPr="00EE0693">
        <w:rPr>
          <w:rFonts w:ascii="Georgia" w:hAnsi="Georgia" w:cs="Arial"/>
          <w:sz w:val="24"/>
          <w:szCs w:val="24"/>
          <w:lang w:val="es-ES_tradnl"/>
        </w:rPr>
        <w:t xml:space="preserve"> según </w:t>
      </w:r>
      <w:r w:rsidR="004314B8" w:rsidRPr="00EE0693">
        <w:rPr>
          <w:rFonts w:ascii="Georgia" w:hAnsi="Georgia" w:cs="Arial"/>
          <w:sz w:val="24"/>
          <w:szCs w:val="24"/>
          <w:lang w:val="es-ES_tradnl"/>
        </w:rPr>
        <w:t>la doctrina jurisprudencial de la CSJ</w:t>
      </w:r>
      <w:r w:rsidR="00A93439" w:rsidRPr="00EE0693">
        <w:rPr>
          <w:rStyle w:val="Refdenotaalpie"/>
          <w:rFonts w:ascii="Georgia" w:hAnsi="Georgia" w:cs="Arial"/>
          <w:sz w:val="24"/>
          <w:szCs w:val="24"/>
          <w:lang w:val="es-ES_tradnl"/>
        </w:rPr>
        <w:footnoteReference w:id="31"/>
      </w:r>
      <w:r w:rsidR="004314B8" w:rsidRPr="00EE0693">
        <w:rPr>
          <w:rFonts w:ascii="Georgia" w:hAnsi="Georgia" w:cs="Arial"/>
          <w:sz w:val="24"/>
          <w:szCs w:val="24"/>
          <w:lang w:val="es-ES_tradnl"/>
        </w:rPr>
        <w:t xml:space="preserve"> y la CC</w:t>
      </w:r>
      <w:r w:rsidR="00A93439" w:rsidRPr="00EE0693">
        <w:rPr>
          <w:rStyle w:val="Refdenotaalpie"/>
          <w:rFonts w:ascii="Georgia" w:hAnsi="Georgia" w:cs="Arial"/>
          <w:sz w:val="24"/>
          <w:szCs w:val="24"/>
          <w:lang w:val="es-ES_tradnl"/>
        </w:rPr>
        <w:footnoteReference w:id="32"/>
      </w:r>
      <w:r w:rsidR="00A93439" w:rsidRPr="00EE0693">
        <w:rPr>
          <w:rFonts w:ascii="Georgia" w:hAnsi="Georgia" w:cs="Arial"/>
          <w:sz w:val="24"/>
          <w:szCs w:val="24"/>
          <w:lang w:val="es-ES_tradnl"/>
        </w:rPr>
        <w:t xml:space="preserve">, </w:t>
      </w:r>
      <w:r w:rsidR="2CDEE2E0" w:rsidRPr="00EE0693">
        <w:rPr>
          <w:rFonts w:ascii="Georgia" w:hAnsi="Georgia" w:cs="Arial"/>
          <w:sz w:val="24"/>
          <w:szCs w:val="24"/>
          <w:lang w:val="es-ES_tradnl"/>
        </w:rPr>
        <w:t xml:space="preserve">si se quiere </w:t>
      </w:r>
      <w:r w:rsidR="00A93439" w:rsidRPr="00EE0693">
        <w:rPr>
          <w:rFonts w:ascii="Georgia" w:hAnsi="Georgia" w:cs="Arial"/>
          <w:sz w:val="24"/>
          <w:szCs w:val="24"/>
          <w:lang w:val="es-ES_tradnl"/>
        </w:rPr>
        <w:t>excepcionalísima</w:t>
      </w:r>
      <w:r w:rsidR="4AC84382" w:rsidRPr="00EE0693">
        <w:rPr>
          <w:rFonts w:ascii="Georgia" w:hAnsi="Georgia" w:cs="Arial"/>
          <w:sz w:val="24"/>
          <w:szCs w:val="24"/>
          <w:lang w:val="es-ES_tradnl"/>
        </w:rPr>
        <w:t>. Explica la CC:</w:t>
      </w:r>
    </w:p>
    <w:p w14:paraId="23BDD165" w14:textId="0336E248" w:rsidR="006552AA" w:rsidRPr="00EE0693" w:rsidRDefault="006552AA" w:rsidP="00ED7D44">
      <w:pPr>
        <w:pStyle w:val="Sinespaciado"/>
        <w:spacing w:line="276" w:lineRule="auto"/>
        <w:jc w:val="both"/>
        <w:rPr>
          <w:rFonts w:ascii="Georgia" w:hAnsi="Georgia" w:cs="Arial"/>
          <w:sz w:val="24"/>
          <w:szCs w:val="24"/>
          <w:highlight w:val="cyan"/>
          <w:lang w:val="es-ES_tradnl"/>
        </w:rPr>
      </w:pPr>
    </w:p>
    <w:p w14:paraId="10D472AC" w14:textId="547A7F6B" w:rsidR="006552AA" w:rsidRPr="007361C5" w:rsidRDefault="4AC84382" w:rsidP="007361C5">
      <w:pPr>
        <w:ind w:left="426" w:right="420"/>
        <w:jc w:val="both"/>
        <w:rPr>
          <w:rFonts w:ascii="Georgia" w:eastAsia="Georgia" w:hAnsi="Georgia" w:cs="Georgia"/>
          <w:sz w:val="22"/>
          <w:szCs w:val="24"/>
          <w:lang w:val="es-ES_tradnl"/>
        </w:rPr>
      </w:pPr>
      <w:r w:rsidRPr="007361C5">
        <w:rPr>
          <w:rFonts w:ascii="Georgia" w:eastAsia="Georgia" w:hAnsi="Georgia" w:cs="Georgia"/>
          <w:sz w:val="22"/>
          <w:szCs w:val="24"/>
          <w:lang w:val="es-ES_tradnl"/>
        </w:rPr>
        <w:t xml:space="preserve">De cualquier manera y si en gracia de discusión se acogiera por la Sala este criterio, se tiene que la aplicación de una excepción de estas características debe obedecer a criterios eminentemente restrictivos, pues de no ser así, </w:t>
      </w:r>
      <w:r w:rsidRPr="007361C5">
        <w:rPr>
          <w:rFonts w:ascii="Georgia" w:eastAsia="Georgia" w:hAnsi="Georgia" w:cs="Georgia"/>
          <w:i/>
          <w:iCs/>
          <w:sz w:val="22"/>
          <w:szCs w:val="24"/>
          <w:lang w:val="es-ES_tradnl"/>
        </w:rPr>
        <w:t xml:space="preserve">so pretexto </w:t>
      </w:r>
      <w:r w:rsidRPr="007361C5">
        <w:rPr>
          <w:rFonts w:ascii="Georgia" w:eastAsia="Georgia" w:hAnsi="Georgia" w:cs="Georgia"/>
          <w:sz w:val="22"/>
          <w:szCs w:val="24"/>
          <w:lang w:val="es-ES_tradnl"/>
        </w:rPr>
        <w:t>de enmendar cualquier equivocación, el operador jurídico puede resultar modificando situaciones jurídicas constituidas de buena fe respecto de terceros con fundamento en las providencias judiciales y desconociendo con ello normas de orden público, así como el principio de preclusión de las etapas procesales.</w:t>
      </w:r>
      <w:r w:rsidR="005636C1" w:rsidRPr="007361C5">
        <w:rPr>
          <w:rStyle w:val="Refdenotaalpie"/>
          <w:rFonts w:ascii="Georgia" w:eastAsia="Georgia" w:hAnsi="Georgia" w:cs="Georgia"/>
          <w:sz w:val="22"/>
          <w:szCs w:val="24"/>
          <w:lang w:val="es-ES_tradnl"/>
        </w:rPr>
        <w:footnoteReference w:id="33"/>
      </w:r>
      <w:r w:rsidRPr="007361C5">
        <w:rPr>
          <w:rFonts w:ascii="Georgia" w:eastAsia="Georgia" w:hAnsi="Georgia" w:cs="Georgia"/>
          <w:sz w:val="22"/>
          <w:szCs w:val="24"/>
          <w:lang w:val="es-ES_tradnl"/>
        </w:rPr>
        <w:t xml:space="preserve"> De manera que no cabe duda que </w:t>
      </w:r>
      <w:r w:rsidRPr="007361C5">
        <w:rPr>
          <w:rFonts w:ascii="Georgia" w:eastAsia="Georgia" w:hAnsi="Georgia" w:cs="Georgia"/>
          <w:sz w:val="22"/>
          <w:szCs w:val="24"/>
          <w:u w:val="single"/>
          <w:lang w:val="es-ES_tradnl"/>
        </w:rPr>
        <w:t>de admitirse la aplicación de esta excepción, la misma sólo procede cuando en casos concretos se verifica sin lugar a discusión que  se está frente a una decisión manifiestamente ilegal que represente una grave amenaza del orden jurídico y siempre que la rectificación se lleve a cabo observando un término prudencial que permita establecer una relación de inmediatez entre el supuesto auto ilegal y el que tiene como propósito enmendarlo</w:t>
      </w:r>
      <w:r w:rsidRPr="007361C5">
        <w:rPr>
          <w:rFonts w:ascii="Georgia" w:eastAsia="Georgia" w:hAnsi="Georgia" w:cs="Georgia"/>
          <w:sz w:val="22"/>
          <w:szCs w:val="24"/>
          <w:lang w:val="es-ES_tradnl"/>
        </w:rPr>
        <w:t>.  El subrayado es de esta Corporación.</w:t>
      </w:r>
    </w:p>
    <w:p w14:paraId="115E2361" w14:textId="61B7E3C5" w:rsidR="00AF614F" w:rsidRPr="00EE0693" w:rsidRDefault="002E3C17" w:rsidP="00ED7D44">
      <w:pPr>
        <w:spacing w:line="276" w:lineRule="auto"/>
        <w:jc w:val="both"/>
        <w:rPr>
          <w:rFonts w:ascii="Georgia" w:hAnsi="Georgia" w:cs="Arial"/>
          <w:sz w:val="24"/>
          <w:szCs w:val="24"/>
          <w:lang w:val="es-ES_tradnl"/>
        </w:rPr>
      </w:pPr>
      <w:r w:rsidRPr="00EE0693">
        <w:rPr>
          <w:rFonts w:ascii="Georgia" w:hAnsi="Georgia"/>
          <w:sz w:val="24"/>
          <w:szCs w:val="24"/>
          <w:lang w:val="es-ES_tradnl"/>
        </w:rPr>
        <w:br/>
      </w:r>
      <w:r w:rsidR="004314B8" w:rsidRPr="00EE0693">
        <w:rPr>
          <w:rFonts w:ascii="Georgia" w:hAnsi="Georgia" w:cs="Arial"/>
          <w:sz w:val="24"/>
          <w:szCs w:val="24"/>
          <w:lang w:val="es-ES_tradnl"/>
        </w:rPr>
        <w:t xml:space="preserve">Sin embargo, para esta Sala, ninguna </w:t>
      </w:r>
      <w:r w:rsidR="7F0DFCAB" w:rsidRPr="00EE0693">
        <w:rPr>
          <w:rFonts w:ascii="Georgia" w:hAnsi="Georgia" w:cs="Arial"/>
          <w:sz w:val="24"/>
          <w:szCs w:val="24"/>
          <w:lang w:val="es-ES_tradnl"/>
        </w:rPr>
        <w:t xml:space="preserve">restricción aprecia frente la </w:t>
      </w:r>
      <w:r w:rsidR="003741F6" w:rsidRPr="00EE0693">
        <w:rPr>
          <w:rFonts w:ascii="Georgia" w:hAnsi="Georgia" w:cs="Arial"/>
          <w:sz w:val="24"/>
          <w:szCs w:val="24"/>
          <w:lang w:val="es-ES_tradnl"/>
        </w:rPr>
        <w:t>tutela judicial efectiva</w:t>
      </w:r>
      <w:r w:rsidR="062530B1" w:rsidRPr="00EE0693">
        <w:rPr>
          <w:rFonts w:ascii="Georgia" w:hAnsi="Georgia" w:cs="Arial"/>
          <w:sz w:val="24"/>
          <w:szCs w:val="24"/>
          <w:lang w:val="es-ES_tradnl"/>
        </w:rPr>
        <w:t xml:space="preserve"> o derecho a la jurisdicción</w:t>
      </w:r>
      <w:r w:rsidR="003741F6" w:rsidRPr="00EE0693">
        <w:rPr>
          <w:rFonts w:ascii="Georgia" w:hAnsi="Georgia" w:cs="Arial"/>
          <w:sz w:val="24"/>
          <w:szCs w:val="24"/>
          <w:lang w:val="es-ES_tradnl"/>
        </w:rPr>
        <w:t xml:space="preserve">, </w:t>
      </w:r>
      <w:r w:rsidR="004314B8" w:rsidRPr="00EE0693">
        <w:rPr>
          <w:rFonts w:ascii="Georgia" w:hAnsi="Georgia" w:cs="Arial"/>
          <w:sz w:val="24"/>
          <w:szCs w:val="24"/>
          <w:lang w:val="es-ES_tradnl"/>
        </w:rPr>
        <w:t xml:space="preserve">pues </w:t>
      </w:r>
      <w:r w:rsidR="15EF7047" w:rsidRPr="00EE0693">
        <w:rPr>
          <w:rFonts w:ascii="Georgia" w:hAnsi="Georgia" w:cs="Arial"/>
          <w:sz w:val="24"/>
          <w:szCs w:val="24"/>
          <w:lang w:val="es-ES_tradnl"/>
        </w:rPr>
        <w:t xml:space="preserve">de todas formas </w:t>
      </w:r>
      <w:r w:rsidR="004314B8" w:rsidRPr="00EE0693">
        <w:rPr>
          <w:rFonts w:ascii="Georgia" w:hAnsi="Georgia" w:cs="Arial"/>
          <w:sz w:val="24"/>
          <w:szCs w:val="24"/>
          <w:lang w:val="es-ES_tradnl"/>
        </w:rPr>
        <w:t xml:space="preserve">la demanda sería inadmitida en aquella Corporación, dado que no se </w:t>
      </w:r>
      <w:r w:rsidR="5DDC3D22" w:rsidRPr="00EE0693">
        <w:rPr>
          <w:rFonts w:ascii="Georgia" w:hAnsi="Georgia" w:cs="Arial"/>
          <w:sz w:val="24"/>
          <w:szCs w:val="24"/>
          <w:lang w:val="es-ES_tradnl"/>
        </w:rPr>
        <w:t xml:space="preserve">allana a ese </w:t>
      </w:r>
      <w:r w:rsidR="004314B8" w:rsidRPr="00EE0693">
        <w:rPr>
          <w:rFonts w:ascii="Georgia" w:hAnsi="Georgia" w:cs="Arial"/>
          <w:sz w:val="24"/>
          <w:szCs w:val="24"/>
          <w:lang w:val="es-ES_tradnl"/>
        </w:rPr>
        <w:t xml:space="preserve">trámite especial (Artículos 606 y 607, ib.) e incluso, como indicara el juez al resolver, faltó aportar la copia </w:t>
      </w:r>
      <w:r w:rsidR="008212DD" w:rsidRPr="00EE0693">
        <w:rPr>
          <w:rFonts w:ascii="Georgia" w:hAnsi="Georgia" w:cs="Arial"/>
          <w:sz w:val="24"/>
          <w:szCs w:val="24"/>
          <w:lang w:val="es-ES_tradnl"/>
        </w:rPr>
        <w:t xml:space="preserve">(¿?) </w:t>
      </w:r>
      <w:r w:rsidR="004314B8" w:rsidRPr="00EE0693">
        <w:rPr>
          <w:rFonts w:ascii="Georgia" w:hAnsi="Georgia" w:cs="Arial"/>
          <w:sz w:val="24"/>
          <w:szCs w:val="24"/>
          <w:lang w:val="es-ES_tradnl"/>
        </w:rPr>
        <w:t xml:space="preserve">de la decisión emitida por la autoridad extranjera con la correspondiente ejecutoria (Artículo 606-3°, ib.). Adicionalmente, </w:t>
      </w:r>
      <w:bookmarkStart w:id="3" w:name="_Hlk82152748"/>
      <w:r w:rsidR="00757803" w:rsidRPr="00EE0693">
        <w:rPr>
          <w:rFonts w:ascii="Georgia" w:hAnsi="Georgia" w:cs="Arial"/>
          <w:sz w:val="24"/>
          <w:szCs w:val="24"/>
          <w:lang w:val="es-ES_tradnl"/>
        </w:rPr>
        <w:t xml:space="preserve">el asunto </w:t>
      </w:r>
      <w:r w:rsidR="000F14D8" w:rsidRPr="00EE0693">
        <w:rPr>
          <w:rFonts w:ascii="Georgia" w:hAnsi="Georgia" w:cs="Arial"/>
          <w:sz w:val="24"/>
          <w:szCs w:val="24"/>
          <w:lang w:val="es-ES_tradnl"/>
        </w:rPr>
        <w:t xml:space="preserve">carece de </w:t>
      </w:r>
      <w:r w:rsidR="000D0C82" w:rsidRPr="00EE0693">
        <w:rPr>
          <w:rFonts w:ascii="Georgia" w:hAnsi="Georgia" w:cs="Arial"/>
          <w:sz w:val="24"/>
          <w:szCs w:val="24"/>
          <w:lang w:val="es-ES_tradnl"/>
        </w:rPr>
        <w:t>l</w:t>
      </w:r>
      <w:r w:rsidR="004314B8" w:rsidRPr="00EE0693">
        <w:rPr>
          <w:rFonts w:ascii="Georgia" w:hAnsi="Georgia" w:cs="Arial"/>
          <w:sz w:val="24"/>
          <w:szCs w:val="24"/>
          <w:lang w:val="es-ES_tradnl"/>
        </w:rPr>
        <w:t xml:space="preserve">os plazos </w:t>
      </w:r>
      <w:r w:rsidR="000D0C82" w:rsidRPr="00EE0693">
        <w:rPr>
          <w:rFonts w:ascii="Georgia" w:hAnsi="Georgia" w:cs="Arial"/>
          <w:sz w:val="24"/>
          <w:szCs w:val="24"/>
          <w:lang w:val="es-ES_tradnl"/>
        </w:rPr>
        <w:t xml:space="preserve">de </w:t>
      </w:r>
      <w:r w:rsidR="00757803" w:rsidRPr="00EE0693">
        <w:rPr>
          <w:rFonts w:ascii="Georgia" w:hAnsi="Georgia" w:cs="Arial"/>
          <w:sz w:val="24"/>
          <w:szCs w:val="24"/>
          <w:lang w:val="es-ES_tradnl"/>
        </w:rPr>
        <w:t>caducidad y/o prescripción</w:t>
      </w:r>
      <w:r w:rsidR="000D0C82" w:rsidRPr="00EE0693">
        <w:rPr>
          <w:rFonts w:ascii="Georgia" w:hAnsi="Georgia" w:cs="Arial"/>
          <w:sz w:val="24"/>
          <w:szCs w:val="24"/>
          <w:lang w:val="es-ES_tradnl"/>
        </w:rPr>
        <w:t xml:space="preserve"> </w:t>
      </w:r>
      <w:r w:rsidR="004314B8" w:rsidRPr="00EE0693">
        <w:rPr>
          <w:rFonts w:ascii="Georgia" w:hAnsi="Georgia" w:cs="Arial"/>
          <w:sz w:val="24"/>
          <w:szCs w:val="24"/>
          <w:lang w:val="es-ES_tradnl"/>
        </w:rPr>
        <w:t xml:space="preserve">que pudieran afectar </w:t>
      </w:r>
      <w:r w:rsidR="008212DD" w:rsidRPr="00EE0693">
        <w:rPr>
          <w:rFonts w:ascii="Georgia" w:hAnsi="Georgia" w:cs="Arial"/>
          <w:sz w:val="24"/>
          <w:szCs w:val="24"/>
          <w:lang w:val="es-ES_tradnl"/>
        </w:rPr>
        <w:t xml:space="preserve">las </w:t>
      </w:r>
      <w:r w:rsidR="004314B8" w:rsidRPr="00EE0693">
        <w:rPr>
          <w:rFonts w:ascii="Georgia" w:hAnsi="Georgia" w:cs="Arial"/>
          <w:sz w:val="24"/>
          <w:szCs w:val="24"/>
          <w:lang w:val="es-ES_tradnl"/>
        </w:rPr>
        <w:t>pretensiones</w:t>
      </w:r>
      <w:r w:rsidR="008212DD" w:rsidRPr="00EE0693">
        <w:rPr>
          <w:rFonts w:ascii="Georgia" w:hAnsi="Georgia" w:cs="Arial"/>
          <w:sz w:val="24"/>
          <w:szCs w:val="24"/>
          <w:lang w:val="es-ES_tradnl"/>
        </w:rPr>
        <w:t xml:space="preserve"> de la demanda</w:t>
      </w:r>
      <w:r w:rsidR="00757803" w:rsidRPr="00EE0693">
        <w:rPr>
          <w:rFonts w:ascii="Georgia" w:hAnsi="Georgia" w:cs="Arial"/>
          <w:sz w:val="24"/>
          <w:szCs w:val="24"/>
          <w:lang w:val="es-ES_tradnl"/>
        </w:rPr>
        <w:t>.</w:t>
      </w:r>
    </w:p>
    <w:p w14:paraId="4019F51E" w14:textId="77777777" w:rsidR="00AF614F" w:rsidRPr="00EE0693" w:rsidRDefault="00AF614F" w:rsidP="00ED7D44">
      <w:pPr>
        <w:pStyle w:val="Sinespaciado"/>
        <w:spacing w:line="276" w:lineRule="auto"/>
        <w:jc w:val="both"/>
        <w:rPr>
          <w:rFonts w:ascii="Georgia" w:hAnsi="Georgia" w:cs="Arial"/>
          <w:sz w:val="24"/>
          <w:szCs w:val="24"/>
          <w:lang w:val="es-ES_tradnl"/>
        </w:rPr>
      </w:pPr>
    </w:p>
    <w:p w14:paraId="6F39524B" w14:textId="2498D51A" w:rsidR="00757803" w:rsidRPr="00EE0693" w:rsidRDefault="00757803" w:rsidP="00ED7D44">
      <w:pPr>
        <w:pStyle w:val="Sinespaciado"/>
        <w:spacing w:line="276" w:lineRule="auto"/>
        <w:jc w:val="both"/>
        <w:rPr>
          <w:rFonts w:ascii="Georgia" w:hAnsi="Georgia" w:cs="Arial"/>
          <w:sz w:val="24"/>
          <w:szCs w:val="24"/>
          <w:lang w:val="es-ES_tradnl"/>
        </w:rPr>
      </w:pPr>
      <w:r w:rsidRPr="00EE0693">
        <w:rPr>
          <w:rFonts w:ascii="Georgia" w:hAnsi="Georgia" w:cs="Arial"/>
          <w:sz w:val="24"/>
          <w:szCs w:val="24"/>
          <w:lang w:val="es-ES_tradnl"/>
        </w:rPr>
        <w:t>En ese orden de ideas,</w:t>
      </w:r>
      <w:r w:rsidR="007A134C" w:rsidRPr="00EE0693">
        <w:rPr>
          <w:rFonts w:ascii="Georgia" w:hAnsi="Georgia" w:cs="Arial"/>
          <w:sz w:val="24"/>
          <w:szCs w:val="24"/>
          <w:lang w:val="es-ES_tradnl"/>
        </w:rPr>
        <w:t xml:space="preserve"> nada impide a</w:t>
      </w:r>
      <w:r w:rsidRPr="00EE0693">
        <w:rPr>
          <w:rFonts w:ascii="Georgia" w:hAnsi="Georgia" w:cs="Arial"/>
          <w:sz w:val="24"/>
          <w:szCs w:val="24"/>
          <w:lang w:val="es-ES_tradnl"/>
        </w:rPr>
        <w:t>l demandante</w:t>
      </w:r>
      <w:r w:rsidR="007A134C" w:rsidRPr="00EE0693">
        <w:rPr>
          <w:rFonts w:ascii="Georgia" w:hAnsi="Georgia" w:cs="Arial"/>
          <w:sz w:val="24"/>
          <w:szCs w:val="24"/>
          <w:lang w:val="es-ES_tradnl"/>
        </w:rPr>
        <w:t xml:space="preserve">, </w:t>
      </w:r>
      <w:r w:rsidRPr="00EE0693">
        <w:rPr>
          <w:rFonts w:ascii="Georgia" w:hAnsi="Georgia" w:cs="Arial"/>
          <w:sz w:val="24"/>
          <w:szCs w:val="24"/>
          <w:lang w:val="es-ES_tradnl"/>
        </w:rPr>
        <w:t>asistido por abogado</w:t>
      </w:r>
      <w:r w:rsidR="007A134C" w:rsidRPr="00EE0693">
        <w:rPr>
          <w:rFonts w:ascii="Georgia" w:hAnsi="Georgia" w:cs="Arial"/>
          <w:sz w:val="24"/>
          <w:szCs w:val="24"/>
          <w:lang w:val="es-ES_tradnl"/>
        </w:rPr>
        <w:t xml:space="preserve">, </w:t>
      </w:r>
      <w:r w:rsidRPr="00EE0693">
        <w:rPr>
          <w:rFonts w:ascii="Georgia" w:hAnsi="Georgia" w:cs="Arial"/>
          <w:sz w:val="24"/>
          <w:szCs w:val="24"/>
          <w:lang w:val="es-ES_tradnl"/>
        </w:rPr>
        <w:t>formul</w:t>
      </w:r>
      <w:r w:rsidR="008212DD" w:rsidRPr="00EE0693">
        <w:rPr>
          <w:rFonts w:ascii="Georgia" w:hAnsi="Georgia" w:cs="Arial"/>
          <w:sz w:val="24"/>
          <w:szCs w:val="24"/>
          <w:lang w:val="es-ES_tradnl"/>
        </w:rPr>
        <w:t>ar</w:t>
      </w:r>
      <w:r w:rsidRPr="00EE0693">
        <w:rPr>
          <w:rFonts w:ascii="Georgia" w:hAnsi="Georgia" w:cs="Arial"/>
          <w:sz w:val="24"/>
          <w:szCs w:val="24"/>
          <w:lang w:val="es-ES_tradnl"/>
        </w:rPr>
        <w:t xml:space="preserve"> el </w:t>
      </w:r>
      <w:r w:rsidR="00210681" w:rsidRPr="00EE0693">
        <w:rPr>
          <w:rFonts w:ascii="Georgia" w:hAnsi="Georgia" w:cs="Arial"/>
          <w:sz w:val="24"/>
          <w:szCs w:val="24"/>
          <w:lang w:val="es-ES_tradnl"/>
        </w:rPr>
        <w:t xml:space="preserve">exequátur </w:t>
      </w:r>
      <w:r w:rsidR="007A134C" w:rsidRPr="00EE0693">
        <w:rPr>
          <w:rFonts w:ascii="Georgia" w:hAnsi="Georgia" w:cs="Arial"/>
          <w:sz w:val="24"/>
          <w:szCs w:val="24"/>
          <w:lang w:val="es-ES_tradnl"/>
        </w:rPr>
        <w:t>conforme al ordenamiento positivo</w:t>
      </w:r>
      <w:r w:rsidR="008212DD" w:rsidRPr="00EE0693">
        <w:rPr>
          <w:rFonts w:ascii="Georgia" w:hAnsi="Georgia" w:cs="Arial"/>
          <w:sz w:val="24"/>
          <w:szCs w:val="24"/>
          <w:lang w:val="es-ES_tradnl"/>
        </w:rPr>
        <w:t>,</w:t>
      </w:r>
      <w:r w:rsidR="00C61626" w:rsidRPr="00EE0693">
        <w:rPr>
          <w:rFonts w:ascii="Georgia" w:hAnsi="Georgia" w:cs="Arial"/>
          <w:sz w:val="24"/>
          <w:szCs w:val="24"/>
          <w:lang w:val="es-ES_tradnl"/>
        </w:rPr>
        <w:t xml:space="preserve"> </w:t>
      </w:r>
      <w:r w:rsidR="008212DD" w:rsidRPr="00EE0693">
        <w:rPr>
          <w:rFonts w:ascii="Georgia" w:hAnsi="Georgia" w:cs="Arial"/>
          <w:sz w:val="24"/>
          <w:szCs w:val="24"/>
          <w:lang w:val="es-ES_tradnl"/>
        </w:rPr>
        <w:t xml:space="preserve">para </w:t>
      </w:r>
      <w:r w:rsidR="000F14D8" w:rsidRPr="00EE0693">
        <w:rPr>
          <w:rFonts w:ascii="Georgia" w:hAnsi="Georgia" w:cs="Arial"/>
          <w:sz w:val="24"/>
          <w:szCs w:val="24"/>
          <w:lang w:val="es-ES_tradnl"/>
        </w:rPr>
        <w:t>acced</w:t>
      </w:r>
      <w:r w:rsidR="008212DD" w:rsidRPr="00EE0693">
        <w:rPr>
          <w:rFonts w:ascii="Georgia" w:hAnsi="Georgia" w:cs="Arial"/>
          <w:sz w:val="24"/>
          <w:szCs w:val="24"/>
          <w:lang w:val="es-ES_tradnl"/>
        </w:rPr>
        <w:t>er</w:t>
      </w:r>
      <w:r w:rsidR="000F14D8" w:rsidRPr="00EE0693">
        <w:rPr>
          <w:rFonts w:ascii="Georgia" w:hAnsi="Georgia" w:cs="Arial"/>
          <w:sz w:val="24"/>
          <w:szCs w:val="24"/>
          <w:lang w:val="es-ES_tradnl"/>
        </w:rPr>
        <w:t xml:space="preserve"> al servicio de justicia sin riesgo alguno</w:t>
      </w:r>
      <w:r w:rsidR="008212DD" w:rsidRPr="00EE0693">
        <w:rPr>
          <w:rFonts w:ascii="Georgia" w:hAnsi="Georgia" w:cs="Arial"/>
          <w:sz w:val="24"/>
          <w:szCs w:val="24"/>
          <w:lang w:val="es-ES_tradnl"/>
        </w:rPr>
        <w:t>.</w:t>
      </w:r>
    </w:p>
    <w:bookmarkEnd w:id="3"/>
    <w:p w14:paraId="00E841CB" w14:textId="2BD0263B" w:rsidR="00AF614F" w:rsidRPr="00EE0693" w:rsidRDefault="00AF614F" w:rsidP="00ED7D44">
      <w:pPr>
        <w:pStyle w:val="Sinespaciado"/>
        <w:spacing w:line="276" w:lineRule="auto"/>
        <w:jc w:val="both"/>
        <w:rPr>
          <w:rFonts w:ascii="Georgia" w:hAnsi="Georgia" w:cs="Arial"/>
          <w:sz w:val="24"/>
          <w:szCs w:val="24"/>
          <w:lang w:val="es-ES_tradnl"/>
        </w:rPr>
      </w:pPr>
    </w:p>
    <w:p w14:paraId="6B57772E" w14:textId="77777777" w:rsidR="00DF2301" w:rsidRPr="00EE0693" w:rsidRDefault="00DF2301" w:rsidP="00ED7D44">
      <w:pPr>
        <w:pStyle w:val="Sinespaciado"/>
        <w:spacing w:line="276" w:lineRule="auto"/>
        <w:jc w:val="both"/>
        <w:rPr>
          <w:rFonts w:ascii="Georgia" w:hAnsi="Georgia" w:cs="Arial"/>
          <w:sz w:val="24"/>
          <w:szCs w:val="24"/>
          <w:lang w:val="es-ES_tradnl"/>
        </w:rPr>
      </w:pPr>
    </w:p>
    <w:p w14:paraId="10B8F27E" w14:textId="20B04BF5" w:rsidR="000E35DB" w:rsidRPr="00EE0693" w:rsidRDefault="00065659" w:rsidP="00ED7D44">
      <w:pPr>
        <w:pStyle w:val="Textopredeterminado"/>
        <w:numPr>
          <w:ilvl w:val="0"/>
          <w:numId w:val="3"/>
        </w:numPr>
        <w:spacing w:line="276" w:lineRule="auto"/>
        <w:jc w:val="both"/>
        <w:rPr>
          <w:rFonts w:ascii="Georgia" w:hAnsi="Georgia" w:cs="Arial"/>
          <w:b/>
          <w:smallCaps/>
          <w:color w:val="auto"/>
          <w:lang w:val="es-ES_tradnl"/>
        </w:rPr>
      </w:pPr>
      <w:r w:rsidRPr="00EE0693">
        <w:rPr>
          <w:rFonts w:ascii="Georgia" w:hAnsi="Georgia" w:cs="Arial"/>
          <w:b/>
          <w:smallCaps/>
          <w:color w:val="auto"/>
          <w:lang w:val="es-ES_tradnl"/>
        </w:rPr>
        <w:lastRenderedPageBreak/>
        <w:t>Las decisiones finales</w:t>
      </w:r>
    </w:p>
    <w:p w14:paraId="10B8F27F" w14:textId="77777777" w:rsidR="000E35DB" w:rsidRPr="00EE0693" w:rsidRDefault="000E35DB" w:rsidP="00ED7D44">
      <w:pPr>
        <w:pStyle w:val="Textopredeterminado"/>
        <w:spacing w:line="276" w:lineRule="auto"/>
        <w:jc w:val="both"/>
        <w:rPr>
          <w:rFonts w:ascii="Georgia" w:hAnsi="Georgia" w:cs="Arial"/>
          <w:color w:val="auto"/>
          <w:lang w:val="es-ES_tradnl"/>
        </w:rPr>
      </w:pPr>
    </w:p>
    <w:p w14:paraId="2FC9F40B" w14:textId="44BE1A86" w:rsidR="00AD15E2" w:rsidRPr="00EE0693" w:rsidRDefault="00AD15E2" w:rsidP="00ED7D44">
      <w:pPr>
        <w:spacing w:line="276" w:lineRule="auto"/>
        <w:jc w:val="both"/>
        <w:rPr>
          <w:rFonts w:ascii="Georgia" w:hAnsi="Georgia" w:cs="Arial"/>
          <w:sz w:val="24"/>
          <w:szCs w:val="24"/>
          <w:lang w:val="es-ES_tradnl"/>
        </w:rPr>
      </w:pPr>
      <w:r w:rsidRPr="00EE0693">
        <w:rPr>
          <w:rFonts w:ascii="Georgia" w:hAnsi="Georgia" w:cs="Arial"/>
          <w:sz w:val="24"/>
          <w:szCs w:val="24"/>
          <w:lang w:val="es-ES_tradnl"/>
        </w:rPr>
        <w:t xml:space="preserve">Acorde con lo disertado se </w:t>
      </w:r>
      <w:r w:rsidR="00065659" w:rsidRPr="00EE0693">
        <w:rPr>
          <w:rFonts w:ascii="Georgia" w:hAnsi="Georgia" w:cs="Arial"/>
          <w:b/>
          <w:bCs/>
          <w:sz w:val="24"/>
          <w:szCs w:val="24"/>
          <w:lang w:val="es-ES_tradnl"/>
        </w:rPr>
        <w:t>(i)</w:t>
      </w:r>
      <w:r w:rsidR="00065659" w:rsidRPr="00EE0693">
        <w:rPr>
          <w:rFonts w:ascii="Georgia" w:hAnsi="Georgia" w:cs="Arial"/>
          <w:sz w:val="24"/>
          <w:szCs w:val="24"/>
          <w:lang w:val="es-ES_tradnl"/>
        </w:rPr>
        <w:t xml:space="preserve"> D</w:t>
      </w:r>
      <w:r w:rsidRPr="00EE0693">
        <w:rPr>
          <w:rFonts w:ascii="Georgia" w:hAnsi="Georgia" w:cs="Arial"/>
          <w:sz w:val="24"/>
          <w:szCs w:val="24"/>
          <w:lang w:val="es-ES_tradnl"/>
        </w:rPr>
        <w:t xml:space="preserve">eclarará inadmisible el recurso intentado, </w:t>
      </w:r>
      <w:r w:rsidR="006925C3" w:rsidRPr="00EE0693">
        <w:rPr>
          <w:rFonts w:ascii="Georgia" w:hAnsi="Georgia" w:cs="Arial"/>
          <w:sz w:val="24"/>
          <w:szCs w:val="24"/>
          <w:lang w:val="es-ES_tradnl"/>
        </w:rPr>
        <w:t>atendiendo s</w:t>
      </w:r>
      <w:r w:rsidR="008B6D65" w:rsidRPr="00EE0693">
        <w:rPr>
          <w:rFonts w:ascii="Georgia" w:hAnsi="Georgia" w:cs="Arial"/>
          <w:sz w:val="24"/>
          <w:szCs w:val="24"/>
          <w:lang w:val="es-ES_tradnl"/>
        </w:rPr>
        <w:t>u</w:t>
      </w:r>
      <w:r w:rsidR="006925C3" w:rsidRPr="00EE0693">
        <w:rPr>
          <w:rFonts w:ascii="Georgia" w:hAnsi="Georgia" w:cs="Arial"/>
          <w:sz w:val="24"/>
          <w:szCs w:val="24"/>
          <w:lang w:val="es-ES_tradnl"/>
        </w:rPr>
        <w:t xml:space="preserve"> improcedencia</w:t>
      </w:r>
      <w:r w:rsidR="00065659" w:rsidRPr="00EE0693">
        <w:rPr>
          <w:rFonts w:ascii="Georgia" w:hAnsi="Georgia" w:cs="Arial"/>
          <w:sz w:val="24"/>
          <w:szCs w:val="24"/>
          <w:lang w:val="es-ES_tradnl"/>
        </w:rPr>
        <w:t xml:space="preserve">; </w:t>
      </w:r>
      <w:r w:rsidR="008E1374" w:rsidRPr="00EE0693">
        <w:rPr>
          <w:rFonts w:ascii="Georgia" w:hAnsi="Georgia" w:cs="Arial"/>
          <w:sz w:val="24"/>
          <w:szCs w:val="24"/>
          <w:lang w:val="es-ES_tradnl"/>
        </w:rPr>
        <w:t xml:space="preserve">y, </w:t>
      </w:r>
      <w:r w:rsidR="00065659" w:rsidRPr="00EE0693">
        <w:rPr>
          <w:rFonts w:ascii="Georgia" w:hAnsi="Georgia" w:cs="Arial"/>
          <w:b/>
          <w:bCs/>
          <w:sz w:val="24"/>
          <w:szCs w:val="24"/>
          <w:lang w:val="es-ES_tradnl"/>
        </w:rPr>
        <w:t>(ii)</w:t>
      </w:r>
      <w:r w:rsidR="00065659" w:rsidRPr="00EE0693">
        <w:rPr>
          <w:rFonts w:ascii="Georgia" w:hAnsi="Georgia" w:cs="Arial"/>
          <w:sz w:val="24"/>
          <w:szCs w:val="24"/>
          <w:lang w:val="es-ES_tradnl"/>
        </w:rPr>
        <w:t xml:space="preserve"> Devolverá el expediente al Despacho de origen, a través de la Secretaría de la Corporación</w:t>
      </w:r>
      <w:r w:rsidR="009E6B4F" w:rsidRPr="00EE0693">
        <w:rPr>
          <w:rFonts w:ascii="Georgia" w:hAnsi="Georgia" w:cs="Arial"/>
          <w:sz w:val="24"/>
          <w:szCs w:val="24"/>
          <w:lang w:val="es-ES_tradnl"/>
        </w:rPr>
        <w:t>.</w:t>
      </w:r>
    </w:p>
    <w:p w14:paraId="4C0C616B" w14:textId="77777777" w:rsidR="00C6211B" w:rsidRPr="00EE0693" w:rsidRDefault="00C6211B" w:rsidP="00ED7D44">
      <w:pPr>
        <w:spacing w:line="276" w:lineRule="auto"/>
        <w:jc w:val="both"/>
        <w:rPr>
          <w:rFonts w:ascii="Georgia" w:hAnsi="Georgia" w:cs="Arial"/>
          <w:sz w:val="24"/>
          <w:szCs w:val="24"/>
          <w:lang w:val="es-ES_tradnl"/>
        </w:rPr>
      </w:pPr>
    </w:p>
    <w:p w14:paraId="10B8F282" w14:textId="7634F226" w:rsidR="000E35DB" w:rsidRDefault="000E35DB" w:rsidP="00ED7D44">
      <w:pPr>
        <w:autoSpaceDE w:val="0"/>
        <w:autoSpaceDN w:val="0"/>
        <w:adjustRightInd w:val="0"/>
        <w:spacing w:line="276" w:lineRule="auto"/>
        <w:jc w:val="both"/>
        <w:rPr>
          <w:rFonts w:ascii="Georgia" w:hAnsi="Georgia" w:cs="Arial"/>
          <w:sz w:val="24"/>
          <w:szCs w:val="24"/>
          <w:lang w:val="es-ES_tradnl"/>
        </w:rPr>
      </w:pPr>
      <w:r w:rsidRPr="00EE0693">
        <w:rPr>
          <w:rFonts w:ascii="Georgia" w:hAnsi="Georgia" w:cs="Arial"/>
          <w:sz w:val="24"/>
          <w:szCs w:val="24"/>
          <w:lang w:val="es-ES_tradnl"/>
        </w:rPr>
        <w:t xml:space="preserve">Considerando suficientes los argumentos expuestos en esta providencia, el </w:t>
      </w:r>
      <w:r w:rsidRPr="00EE0693">
        <w:rPr>
          <w:rFonts w:ascii="Georgia" w:hAnsi="Georgia" w:cs="Arial"/>
          <w:smallCaps/>
          <w:sz w:val="24"/>
          <w:szCs w:val="24"/>
          <w:lang w:val="es-ES_tradnl"/>
        </w:rPr>
        <w:t>Tribunal Superior del Distrito Judicial de Pereira, en Sala Unitaria</w:t>
      </w:r>
      <w:r w:rsidRPr="00EE0693">
        <w:rPr>
          <w:rFonts w:ascii="Georgia" w:hAnsi="Georgia" w:cs="Arial"/>
          <w:sz w:val="24"/>
          <w:szCs w:val="24"/>
          <w:lang w:val="es-ES_tradnl"/>
        </w:rPr>
        <w:t>,</w:t>
      </w:r>
    </w:p>
    <w:p w14:paraId="683A9902" w14:textId="77777777" w:rsidR="003F6765" w:rsidRPr="00EE0693" w:rsidRDefault="003F6765" w:rsidP="00ED7D44">
      <w:pPr>
        <w:autoSpaceDE w:val="0"/>
        <w:autoSpaceDN w:val="0"/>
        <w:adjustRightInd w:val="0"/>
        <w:spacing w:line="276" w:lineRule="auto"/>
        <w:jc w:val="both"/>
        <w:rPr>
          <w:rFonts w:ascii="Georgia" w:hAnsi="Georgia" w:cs="Arial"/>
          <w:sz w:val="24"/>
          <w:szCs w:val="24"/>
          <w:lang w:val="es-ES_tradnl"/>
        </w:rPr>
      </w:pPr>
    </w:p>
    <w:p w14:paraId="10B8F284" w14:textId="101192A3" w:rsidR="000E35DB" w:rsidRDefault="000E35DB" w:rsidP="00ED7D44">
      <w:pPr>
        <w:pStyle w:val="Sinespaciado"/>
        <w:spacing w:line="276" w:lineRule="auto"/>
        <w:jc w:val="center"/>
        <w:rPr>
          <w:rFonts w:ascii="Georgia" w:hAnsi="Georgia" w:cs="Arial"/>
          <w:b/>
          <w:sz w:val="24"/>
          <w:szCs w:val="24"/>
          <w:lang w:val="es-ES_tradnl"/>
        </w:rPr>
      </w:pPr>
      <w:r w:rsidRPr="00EE0693">
        <w:rPr>
          <w:rFonts w:ascii="Georgia" w:hAnsi="Georgia" w:cs="Arial"/>
          <w:b/>
          <w:sz w:val="24"/>
          <w:szCs w:val="24"/>
          <w:lang w:val="es-ES_tradnl"/>
        </w:rPr>
        <w:t>R E S U E L V E</w:t>
      </w:r>
    </w:p>
    <w:p w14:paraId="3E2E44C8" w14:textId="77777777" w:rsidR="007361C5" w:rsidRPr="007361C5" w:rsidRDefault="007361C5" w:rsidP="00ED7D44">
      <w:pPr>
        <w:pStyle w:val="Sinespaciado"/>
        <w:spacing w:line="276" w:lineRule="auto"/>
        <w:jc w:val="center"/>
        <w:rPr>
          <w:rFonts w:ascii="Georgia" w:hAnsi="Georgia" w:cs="Arial"/>
          <w:sz w:val="24"/>
          <w:szCs w:val="24"/>
          <w:lang w:val="es-ES_tradnl"/>
        </w:rPr>
      </w:pPr>
    </w:p>
    <w:p w14:paraId="10B8F286" w14:textId="71DA2755" w:rsidR="000E35DB" w:rsidRPr="00EE0693" w:rsidRDefault="000E35DB" w:rsidP="00ED7D44">
      <w:pPr>
        <w:pStyle w:val="Textopredeterminado"/>
        <w:numPr>
          <w:ilvl w:val="0"/>
          <w:numId w:val="2"/>
        </w:numPr>
        <w:spacing w:line="276" w:lineRule="auto"/>
        <w:jc w:val="both"/>
        <w:rPr>
          <w:rFonts w:ascii="Georgia" w:hAnsi="Georgia" w:cs="Arial"/>
          <w:color w:val="auto"/>
          <w:lang w:val="es-ES_tradnl"/>
        </w:rPr>
      </w:pPr>
      <w:r w:rsidRPr="00EE0693">
        <w:rPr>
          <w:rFonts w:ascii="Georgia" w:hAnsi="Georgia" w:cs="Arial"/>
          <w:color w:val="auto"/>
          <w:lang w:val="es-ES_tradnl"/>
        </w:rPr>
        <w:t xml:space="preserve">DECLARAR </w:t>
      </w:r>
      <w:r w:rsidR="00AD15E2" w:rsidRPr="00EE0693">
        <w:rPr>
          <w:rFonts w:ascii="Georgia" w:hAnsi="Georgia" w:cs="Arial"/>
          <w:color w:val="auto"/>
          <w:lang w:val="es-ES_tradnl"/>
        </w:rPr>
        <w:t>inadmisible</w:t>
      </w:r>
      <w:r w:rsidRPr="00EE0693">
        <w:rPr>
          <w:rFonts w:ascii="Georgia" w:hAnsi="Georgia" w:cs="Arial"/>
          <w:color w:val="auto"/>
          <w:lang w:val="es-ES_tradnl"/>
        </w:rPr>
        <w:t xml:space="preserve"> el recurso de </w:t>
      </w:r>
      <w:r w:rsidR="008E1374" w:rsidRPr="00EE0693">
        <w:rPr>
          <w:rFonts w:ascii="Georgia" w:hAnsi="Georgia" w:cs="Arial"/>
          <w:color w:val="auto"/>
          <w:lang w:val="es-ES_tradnl"/>
        </w:rPr>
        <w:t>apelación</w:t>
      </w:r>
      <w:r w:rsidR="00C820A5" w:rsidRPr="00EE0693">
        <w:rPr>
          <w:rFonts w:ascii="Georgia" w:hAnsi="Georgia" w:cs="Arial"/>
          <w:color w:val="auto"/>
          <w:lang w:val="es-ES_tradnl"/>
        </w:rPr>
        <w:t xml:space="preserve">, </w:t>
      </w:r>
      <w:r w:rsidRPr="00EE0693">
        <w:rPr>
          <w:rFonts w:ascii="Georgia" w:hAnsi="Georgia" w:cs="Arial"/>
          <w:color w:val="auto"/>
          <w:lang w:val="es-ES_tradnl"/>
        </w:rPr>
        <w:t>formulado</w:t>
      </w:r>
      <w:r w:rsidR="00C820A5" w:rsidRPr="00EE0693">
        <w:rPr>
          <w:rFonts w:ascii="Georgia" w:hAnsi="Georgia" w:cs="Arial"/>
          <w:color w:val="auto"/>
          <w:lang w:val="es-ES_tradnl"/>
        </w:rPr>
        <w:t xml:space="preserve"> </w:t>
      </w:r>
      <w:r w:rsidRPr="00EE0693">
        <w:rPr>
          <w:rFonts w:ascii="Georgia" w:hAnsi="Georgia" w:cs="Arial"/>
          <w:color w:val="auto"/>
          <w:lang w:val="es-ES_tradnl"/>
        </w:rPr>
        <w:t xml:space="preserve">contra la providencia del </w:t>
      </w:r>
      <w:r w:rsidR="008E1374" w:rsidRPr="00EE0693">
        <w:rPr>
          <w:rFonts w:ascii="Georgia" w:hAnsi="Georgia" w:cs="Arial"/>
          <w:color w:val="auto"/>
          <w:lang w:val="es-ES_tradnl"/>
        </w:rPr>
        <w:t>21-05</w:t>
      </w:r>
      <w:r w:rsidR="00AD15E2" w:rsidRPr="00EE0693">
        <w:rPr>
          <w:rFonts w:ascii="Georgia" w:hAnsi="Georgia" w:cs="Arial"/>
          <w:color w:val="auto"/>
          <w:lang w:val="es-ES_tradnl"/>
        </w:rPr>
        <w:t>-2021</w:t>
      </w:r>
      <w:r w:rsidRPr="00EE0693">
        <w:rPr>
          <w:rFonts w:ascii="Georgia" w:hAnsi="Georgia" w:cs="Arial"/>
          <w:color w:val="auto"/>
          <w:lang w:val="es-ES_tradnl"/>
        </w:rPr>
        <w:t>.</w:t>
      </w:r>
    </w:p>
    <w:p w14:paraId="10B8F287" w14:textId="6E05902B" w:rsidR="000E35DB" w:rsidRPr="00EE0693" w:rsidRDefault="000E35DB" w:rsidP="00ED7D44">
      <w:pPr>
        <w:spacing w:line="276" w:lineRule="auto"/>
        <w:ind w:left="360"/>
        <w:rPr>
          <w:rFonts w:ascii="Georgia" w:hAnsi="Georgia" w:cs="Arial"/>
          <w:sz w:val="24"/>
          <w:szCs w:val="24"/>
          <w:lang w:val="es-ES_tradnl"/>
        </w:rPr>
      </w:pPr>
    </w:p>
    <w:p w14:paraId="05666B92" w14:textId="3DE2D103" w:rsidR="006925C3" w:rsidRPr="00EE0693" w:rsidRDefault="006925C3" w:rsidP="00ED7D44">
      <w:pPr>
        <w:pStyle w:val="Textopredeterminado"/>
        <w:numPr>
          <w:ilvl w:val="0"/>
          <w:numId w:val="2"/>
        </w:numPr>
        <w:spacing w:line="276" w:lineRule="auto"/>
        <w:mirrorIndents/>
        <w:jc w:val="both"/>
        <w:textAlignment w:val="auto"/>
        <w:rPr>
          <w:rFonts w:ascii="Georgia" w:hAnsi="Georgia" w:cs="Arial"/>
          <w:color w:val="auto"/>
          <w:lang w:val="es-ES_tradnl"/>
        </w:rPr>
      </w:pPr>
      <w:r w:rsidRPr="00EE0693">
        <w:rPr>
          <w:rFonts w:ascii="Georgia" w:hAnsi="Georgia" w:cs="Arial"/>
          <w:color w:val="auto"/>
          <w:lang w:val="es-ES_tradnl"/>
        </w:rPr>
        <w:t xml:space="preserve">DEVOLVER el expediente al </w:t>
      </w:r>
      <w:r w:rsidR="008E1374" w:rsidRPr="00EE0693">
        <w:rPr>
          <w:rFonts w:ascii="Georgia" w:hAnsi="Georgia" w:cs="Arial"/>
          <w:color w:val="auto"/>
          <w:lang w:val="es-ES_tradnl"/>
        </w:rPr>
        <w:t>Juzgado Segundo de Familia local</w:t>
      </w:r>
      <w:r w:rsidRPr="00EE0693">
        <w:rPr>
          <w:rFonts w:ascii="Georgia" w:hAnsi="Georgia" w:cs="Arial"/>
          <w:color w:val="auto"/>
          <w:lang w:val="es-ES_tradnl"/>
        </w:rPr>
        <w:t>, por Secretaría</w:t>
      </w:r>
      <w:r w:rsidR="00912B1B" w:rsidRPr="00EE0693">
        <w:rPr>
          <w:rFonts w:ascii="Georgia" w:hAnsi="Georgia" w:cs="Arial"/>
          <w:color w:val="auto"/>
          <w:lang w:val="es-ES_tradnl"/>
        </w:rPr>
        <w:t>.</w:t>
      </w:r>
    </w:p>
    <w:p w14:paraId="20749379" w14:textId="77777777" w:rsidR="00ED7D44" w:rsidRPr="00EE0693" w:rsidRDefault="00ED7D44" w:rsidP="00ED7D44">
      <w:pPr>
        <w:pStyle w:val="Textopredeterminado"/>
        <w:spacing w:line="276" w:lineRule="auto"/>
        <w:jc w:val="center"/>
        <w:rPr>
          <w:rFonts w:ascii="Georgia" w:hAnsi="Georgia" w:cs="Arial"/>
          <w:smallCaps/>
          <w:color w:val="auto"/>
          <w:lang w:val="es-ES_tradnl"/>
        </w:rPr>
      </w:pPr>
    </w:p>
    <w:p w14:paraId="10B8F28C" w14:textId="2770763C" w:rsidR="00CF2BC2" w:rsidRPr="00EE0693" w:rsidRDefault="00CF2BC2" w:rsidP="00ED7D44">
      <w:pPr>
        <w:pStyle w:val="Textopredeterminado"/>
        <w:spacing w:line="276" w:lineRule="auto"/>
        <w:jc w:val="center"/>
        <w:rPr>
          <w:rFonts w:ascii="Georgia" w:hAnsi="Georgia" w:cs="Arial"/>
          <w:smallCaps/>
          <w:color w:val="auto"/>
          <w:lang w:val="es-ES_tradnl"/>
        </w:rPr>
      </w:pPr>
      <w:r w:rsidRPr="00EE0693">
        <w:rPr>
          <w:rFonts w:ascii="Georgia" w:hAnsi="Georgia" w:cs="Arial"/>
          <w:smallCaps/>
          <w:color w:val="auto"/>
          <w:lang w:val="es-ES_tradnl"/>
        </w:rPr>
        <w:t>Notifíquese,</w:t>
      </w:r>
    </w:p>
    <w:p w14:paraId="10B8F28D" w14:textId="543E227E" w:rsidR="00F819BA" w:rsidRDefault="00F819BA" w:rsidP="00ED7D44">
      <w:pPr>
        <w:pStyle w:val="Textopredeterminado"/>
        <w:spacing w:line="276" w:lineRule="auto"/>
        <w:jc w:val="center"/>
        <w:rPr>
          <w:rFonts w:ascii="Georgia" w:hAnsi="Georgia" w:cs="Arial"/>
          <w:smallCaps/>
          <w:color w:val="auto"/>
          <w:lang w:val="es-ES_tradnl"/>
        </w:rPr>
      </w:pPr>
    </w:p>
    <w:p w14:paraId="6EBE2A37" w14:textId="77777777" w:rsidR="00EE0693" w:rsidRPr="00EE0693" w:rsidRDefault="00EE0693" w:rsidP="00ED7D44">
      <w:pPr>
        <w:pStyle w:val="Textopredeterminado"/>
        <w:spacing w:line="276" w:lineRule="auto"/>
        <w:jc w:val="center"/>
        <w:rPr>
          <w:rFonts w:ascii="Georgia" w:hAnsi="Georgia" w:cs="Arial"/>
          <w:smallCaps/>
          <w:color w:val="auto"/>
          <w:lang w:val="es-ES_tradnl"/>
        </w:rPr>
      </w:pPr>
    </w:p>
    <w:p w14:paraId="4FDB26CE" w14:textId="77777777" w:rsidR="00FF0372" w:rsidRPr="00EE0693" w:rsidRDefault="00FF0372" w:rsidP="00ED7D44">
      <w:pPr>
        <w:pStyle w:val="Textopredeterminado"/>
        <w:spacing w:line="276" w:lineRule="auto"/>
        <w:jc w:val="center"/>
        <w:rPr>
          <w:rFonts w:ascii="Georgia" w:hAnsi="Georgia" w:cs="Arial"/>
          <w:smallCaps/>
          <w:color w:val="auto"/>
          <w:lang w:val="es-ES_tradnl"/>
        </w:rPr>
      </w:pPr>
    </w:p>
    <w:p w14:paraId="10B8F290" w14:textId="0F98E5D5" w:rsidR="00CF2BC2" w:rsidRPr="00EE0693" w:rsidRDefault="00CF2BC2" w:rsidP="00ED7D44">
      <w:pPr>
        <w:pStyle w:val="Textopredeterminado"/>
        <w:spacing w:line="276" w:lineRule="auto"/>
        <w:jc w:val="center"/>
        <w:rPr>
          <w:rFonts w:ascii="Georgia" w:hAnsi="Georgia" w:cs="Arial"/>
          <w:caps/>
          <w:color w:val="auto"/>
          <w:spacing w:val="20"/>
          <w:w w:val="150"/>
          <w:lang w:val="es-ES_tradnl"/>
        </w:rPr>
      </w:pPr>
      <w:r w:rsidRPr="00EE0693">
        <w:rPr>
          <w:rFonts w:ascii="Georgia" w:hAnsi="Georgia" w:cs="Arial"/>
          <w:caps/>
          <w:color w:val="auto"/>
          <w:spacing w:val="20"/>
          <w:w w:val="150"/>
          <w:lang w:val="es-ES_tradnl"/>
        </w:rPr>
        <w:t xml:space="preserve"> DUBERNEY GRISALES HERRERA</w:t>
      </w:r>
    </w:p>
    <w:p w14:paraId="1E255BE4" w14:textId="20722300" w:rsidR="00924D9D" w:rsidRPr="00EE0693" w:rsidRDefault="00EE0693" w:rsidP="00682B58">
      <w:pPr>
        <w:spacing w:line="276" w:lineRule="auto"/>
        <w:jc w:val="center"/>
        <w:rPr>
          <w:rFonts w:ascii="Georgia" w:hAnsi="Georgia" w:cs="Arial"/>
          <w:i/>
          <w:sz w:val="24"/>
          <w:szCs w:val="24"/>
          <w:lang w:val="es-ES_tradnl"/>
        </w:rPr>
      </w:pPr>
      <w:r w:rsidRPr="00EE0693">
        <w:rPr>
          <w:rFonts w:ascii="Georgia" w:hAnsi="Georgia" w:cs="Arial"/>
          <w:spacing w:val="20"/>
          <w:w w:val="150"/>
          <w:sz w:val="24"/>
          <w:szCs w:val="24"/>
          <w:lang w:val="es-ES_tradnl"/>
        </w:rPr>
        <w:t>Magistrado</w:t>
      </w:r>
    </w:p>
    <w:sectPr w:rsidR="00924D9D" w:rsidRPr="00EE0693" w:rsidSect="00EE0693">
      <w:headerReference w:type="default" r:id="rId12"/>
      <w:footerReference w:type="defaul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F17CD5" w16cex:dateUtc="2021-09-13T15:51:43.066Z"/>
  <w16cex:commentExtensible w16cex:durableId="5DFA059C" w16cex:dateUtc="2021-09-13T15:53:45.306Z"/>
  <w16cex:commentExtensible w16cex:durableId="38482AEC" w16cex:dateUtc="2021-09-13T15:55:48.408Z"/>
  <w16cex:commentExtensible w16cex:durableId="15253089" w16cex:dateUtc="2021-09-13T16:01:24.112Z"/>
  <w16cex:commentExtensible w16cex:durableId="7165A6A4" w16cex:dateUtc="2021-09-13T16:02:38.369Z"/>
  <w16cex:commentExtensible w16cex:durableId="7680BC9C" w16cex:dateUtc="2021-09-13T16:24:36.071Z"/>
  <w16cex:commentExtensible w16cex:durableId="557B9187" w16cex:dateUtc="2021-09-13T19:45:00.0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03DE1" w14:textId="77777777" w:rsidR="00AB4AED" w:rsidRDefault="00AB4AED" w:rsidP="00934BB4">
      <w:r>
        <w:separator/>
      </w:r>
    </w:p>
  </w:endnote>
  <w:endnote w:type="continuationSeparator" w:id="0">
    <w:p w14:paraId="01C44706" w14:textId="77777777" w:rsidR="00AB4AED" w:rsidRDefault="00AB4AED"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F2A2" w14:textId="77777777" w:rsidR="00CF2BC2" w:rsidRDefault="00CF2BC2" w:rsidP="006E6DCB">
    <w:pPr>
      <w:pStyle w:val="Piedepgina"/>
      <w:pBdr>
        <w:bottom w:val="double" w:sz="6" w:space="1" w:color="auto"/>
      </w:pBdr>
      <w:spacing w:line="360" w:lineRule="auto"/>
      <w:ind w:firstLine="708"/>
      <w:rPr>
        <w:rFonts w:ascii="Arial" w:hAnsi="Arial" w:cs="Arial"/>
        <w:spacing w:val="20"/>
        <w:w w:val="200"/>
        <w:sz w:val="14"/>
        <w:szCs w:val="14"/>
      </w:rPr>
    </w:pPr>
  </w:p>
  <w:p w14:paraId="10B8F2A3" w14:textId="77777777" w:rsidR="00CF2BC2" w:rsidRDefault="00CF2BC2" w:rsidP="006E6DCB">
    <w:pPr>
      <w:pStyle w:val="Piedepgina"/>
      <w:spacing w:line="360" w:lineRule="auto"/>
      <w:jc w:val="right"/>
      <w:rPr>
        <w:rFonts w:ascii="Arial" w:hAnsi="Arial" w:cs="Arial"/>
        <w:spacing w:val="20"/>
        <w:w w:val="200"/>
        <w:sz w:val="14"/>
        <w:szCs w:val="14"/>
      </w:rPr>
    </w:pPr>
  </w:p>
  <w:p w14:paraId="10B8F2A4" w14:textId="77777777" w:rsidR="00CF2BC2" w:rsidRPr="003E18D8" w:rsidRDefault="00CF2BC2" w:rsidP="006E6DCB">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14:paraId="10B8F2A5" w14:textId="77777777" w:rsidR="00CF2BC2" w:rsidRPr="006E6DCB" w:rsidRDefault="00CF2BC2" w:rsidP="006E6DCB">
    <w:pPr>
      <w:pStyle w:val="Piedepgina"/>
      <w:jc w:val="right"/>
    </w:pPr>
    <w:r w:rsidRPr="00836EE1">
      <w:rPr>
        <w:rFonts w:ascii="Arial" w:hAnsi="Arial" w:cs="Arial"/>
        <w:spacing w:val="20"/>
        <w:w w:val="200"/>
        <w:sz w:val="10"/>
        <w:szCs w:val="10"/>
      </w:rPr>
      <w:t>M</w:t>
    </w:r>
    <w:r w:rsidR="00D91179">
      <w:rPr>
        <w:rFonts w:ascii="Arial" w:hAnsi="Arial" w:cs="Arial"/>
        <w:spacing w:val="20"/>
        <w:w w:val="200"/>
        <w:sz w:val="10"/>
        <w:szCs w:val="10"/>
      </w:rPr>
      <w:t>S</w:t>
    </w:r>
    <w:r w:rsidRPr="00836EE1">
      <w:rPr>
        <w:rFonts w:ascii="Arial" w:hAnsi="Arial" w:cs="Arial"/>
        <w:spacing w:val="20"/>
        <w:w w:val="200"/>
        <w:sz w:val="10"/>
        <w:szCs w:val="10"/>
      </w:rPr>
      <w:t xml:space="preserve"> </w:t>
    </w:r>
    <w:r w:rsidRPr="00836EE1">
      <w:rPr>
        <w:rFonts w:ascii="Arial" w:hAnsi="Arial" w:cs="Arial"/>
        <w:spacing w:val="20"/>
        <w:w w:val="200"/>
        <w:sz w:val="12"/>
        <w:szCs w:val="12"/>
      </w:rPr>
      <w:t>D</w:t>
    </w:r>
    <w:r w:rsidRPr="00836EE1">
      <w:rPr>
        <w:rFonts w:ascii="Arial" w:hAnsi="Arial" w:cs="Arial"/>
        <w:spacing w:val="20"/>
        <w:w w:val="200"/>
        <w:sz w:val="8"/>
        <w:szCs w:val="8"/>
      </w:rPr>
      <w:t>UBERNEY</w:t>
    </w:r>
    <w:r>
      <w:rPr>
        <w:rFonts w:ascii="Arial" w:hAnsi="Arial" w:cs="Arial"/>
        <w:spacing w:val="20"/>
        <w:w w:val="200"/>
        <w:sz w:val="8"/>
        <w:szCs w:val="8"/>
      </w:rPr>
      <w:t xml:space="preserve"> </w:t>
    </w:r>
    <w:r w:rsidRPr="00836EE1">
      <w:rPr>
        <w:rFonts w:ascii="Arial" w:hAnsi="Arial" w:cs="Arial"/>
        <w:spacing w:val="20"/>
        <w:w w:val="200"/>
        <w:sz w:val="12"/>
        <w:szCs w:val="12"/>
      </w:rPr>
      <w:t>G</w:t>
    </w:r>
    <w:r w:rsidRPr="00836EE1">
      <w:rPr>
        <w:rFonts w:ascii="Arial" w:hAnsi="Arial" w:cs="Arial"/>
        <w:spacing w:val="20"/>
        <w:w w:val="200"/>
        <w:sz w:val="8"/>
        <w:szCs w:val="8"/>
      </w:rPr>
      <w:t>RISALES</w:t>
    </w:r>
    <w:r>
      <w:rPr>
        <w:rFonts w:ascii="Arial" w:hAnsi="Arial" w:cs="Arial"/>
        <w:spacing w:val="20"/>
        <w:w w:val="200"/>
        <w:sz w:val="8"/>
        <w:szCs w:val="8"/>
      </w:rPr>
      <w:t xml:space="preserve"> </w:t>
    </w:r>
    <w:r w:rsidRPr="00836EE1">
      <w:rPr>
        <w:rFonts w:ascii="Arial" w:hAnsi="Arial" w:cs="Arial"/>
        <w:spacing w:val="20"/>
        <w:w w:val="200"/>
        <w:sz w:val="12"/>
        <w:szCs w:val="12"/>
      </w:rPr>
      <w:t>H</w:t>
    </w:r>
    <w:r w:rsidRPr="00836EE1">
      <w:rPr>
        <w:rFonts w:ascii="Arial" w:hAnsi="Arial" w:cs="Arial"/>
        <w:spacing w:val="20"/>
        <w:w w:val="200"/>
        <w:sz w:val="8"/>
        <w:szCs w:val="8"/>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2170" w14:textId="77777777" w:rsidR="00AB4AED" w:rsidRDefault="00AB4AED" w:rsidP="00934BB4">
      <w:r>
        <w:separator/>
      </w:r>
    </w:p>
  </w:footnote>
  <w:footnote w:type="continuationSeparator" w:id="0">
    <w:p w14:paraId="7E2507B1" w14:textId="77777777" w:rsidR="00AB4AED" w:rsidRDefault="00AB4AED" w:rsidP="00934BB4">
      <w:r>
        <w:continuationSeparator/>
      </w:r>
    </w:p>
  </w:footnote>
  <w:footnote w:id="1">
    <w:p w14:paraId="10B8F2A6" w14:textId="77777777" w:rsidR="008D4F8E" w:rsidRPr="007361C5" w:rsidRDefault="008D4F8E" w:rsidP="007361C5">
      <w:pPr>
        <w:pStyle w:val="Textonotapie"/>
        <w:jc w:val="both"/>
        <w:rPr>
          <w:rFonts w:ascii="Century" w:hAnsi="Century"/>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ESCOBAR V. Édgar G. Los recursos en el Código General del Proceso. Librería jurídica Sánchez R. Ltda. 2015, p.37.</w:t>
      </w:r>
    </w:p>
  </w:footnote>
  <w:footnote w:id="2">
    <w:p w14:paraId="10B8F2A7" w14:textId="54B235FF" w:rsidR="008D4F8E" w:rsidRPr="007361C5" w:rsidRDefault="008D4F8E" w:rsidP="007361C5">
      <w:pPr>
        <w:pStyle w:val="Textonotapie"/>
        <w:jc w:val="both"/>
        <w:rPr>
          <w:rFonts w:ascii="Century" w:hAnsi="Century"/>
        </w:rPr>
      </w:pPr>
      <w:r w:rsidRPr="007361C5">
        <w:rPr>
          <w:rFonts w:ascii="Century" w:hAnsi="Century"/>
          <w:vertAlign w:val="superscript"/>
        </w:rPr>
        <w:footnoteRef/>
      </w:r>
      <w:r w:rsidRPr="007361C5">
        <w:rPr>
          <w:rFonts w:ascii="Century" w:hAnsi="Century"/>
        </w:rPr>
        <w:t xml:space="preserve"> </w:t>
      </w:r>
      <w:r w:rsidRPr="007361C5">
        <w:rPr>
          <w:rFonts w:ascii="Century" w:hAnsi="Century"/>
          <w:lang w:val="es-CO"/>
        </w:rPr>
        <w:t>LÓPEZ B., Hernán F. Código General del Proceso, parte general, Bogotá DC, Dupre editores, 201</w:t>
      </w:r>
      <w:r w:rsidR="00653B63" w:rsidRPr="007361C5">
        <w:rPr>
          <w:rFonts w:ascii="Century" w:hAnsi="Century"/>
          <w:lang w:val="es-CO"/>
        </w:rPr>
        <w:t>9</w:t>
      </w:r>
      <w:r w:rsidRPr="007361C5">
        <w:rPr>
          <w:rFonts w:ascii="Century" w:hAnsi="Century"/>
          <w:lang w:val="es-CO"/>
        </w:rPr>
        <w:t>, p.</w:t>
      </w:r>
      <w:r w:rsidR="009B710A" w:rsidRPr="007361C5">
        <w:rPr>
          <w:rFonts w:ascii="Century" w:hAnsi="Century"/>
        </w:rPr>
        <w:t>781 ss.</w:t>
      </w:r>
    </w:p>
  </w:footnote>
  <w:footnote w:id="3">
    <w:p w14:paraId="10B8F2A8" w14:textId="77777777" w:rsidR="008D4F8E" w:rsidRPr="007361C5" w:rsidRDefault="008D4F8E" w:rsidP="007361C5">
      <w:pPr>
        <w:pStyle w:val="Textonotapie"/>
        <w:jc w:val="both"/>
        <w:rPr>
          <w:rFonts w:ascii="Century" w:hAnsi="Century"/>
        </w:rPr>
      </w:pPr>
      <w:r w:rsidRPr="007361C5">
        <w:rPr>
          <w:rFonts w:ascii="Century" w:hAnsi="Century"/>
          <w:vertAlign w:val="superscript"/>
        </w:rPr>
        <w:footnoteRef/>
      </w:r>
      <w:r w:rsidRPr="007361C5">
        <w:rPr>
          <w:rFonts w:ascii="Century" w:hAnsi="Century"/>
        </w:rPr>
        <w:t xml:space="preserve"> PARRA Q., Jairo. Derecho procesal civil, tomo I, Santafé de Bogotá DC, Temis, 1992, p.276.</w:t>
      </w:r>
    </w:p>
  </w:footnote>
  <w:footnote w:id="4">
    <w:p w14:paraId="10B8F2A9" w14:textId="175AC3BA" w:rsidR="002F0156" w:rsidRPr="007361C5" w:rsidRDefault="002F0156" w:rsidP="007361C5">
      <w:pPr>
        <w:pStyle w:val="Sinespaciado"/>
        <w:jc w:val="both"/>
        <w:rPr>
          <w:rFonts w:ascii="Century" w:hAnsi="Century" w:cs="Times New Roman"/>
          <w:sz w:val="20"/>
          <w:szCs w:val="20"/>
        </w:rPr>
      </w:pPr>
      <w:r w:rsidRPr="007361C5">
        <w:rPr>
          <w:rFonts w:ascii="Century" w:hAnsi="Century" w:cs="Times New Roman"/>
          <w:sz w:val="20"/>
          <w:szCs w:val="20"/>
          <w:vertAlign w:val="superscript"/>
        </w:rPr>
        <w:footnoteRef/>
      </w:r>
      <w:r w:rsidRPr="007361C5">
        <w:rPr>
          <w:rFonts w:ascii="Century" w:hAnsi="Century" w:cs="Times New Roman"/>
          <w:sz w:val="20"/>
          <w:szCs w:val="20"/>
        </w:rPr>
        <w:t xml:space="preserve"> </w:t>
      </w:r>
      <w:r w:rsidR="005B0036" w:rsidRPr="007361C5">
        <w:rPr>
          <w:rFonts w:ascii="Century" w:hAnsi="Century" w:cs="Times New Roman"/>
          <w:sz w:val="20"/>
          <w:szCs w:val="20"/>
          <w:lang w:val="es-CO"/>
        </w:rPr>
        <w:t>LÓPEZ B., Hernán F.</w:t>
      </w:r>
      <w:r w:rsidRPr="007361C5">
        <w:rPr>
          <w:rFonts w:ascii="Century" w:hAnsi="Century" w:cs="Times New Roman"/>
          <w:sz w:val="20"/>
          <w:szCs w:val="20"/>
          <w:lang w:val="es-CO"/>
        </w:rPr>
        <w:t xml:space="preserve"> </w:t>
      </w:r>
      <w:r w:rsidR="00C545C3" w:rsidRPr="007361C5">
        <w:rPr>
          <w:rFonts w:ascii="Century" w:hAnsi="Century" w:cs="Times New Roman"/>
          <w:sz w:val="20"/>
          <w:szCs w:val="20"/>
        </w:rPr>
        <w:t>o</w:t>
      </w:r>
      <w:r w:rsidRPr="007361C5">
        <w:rPr>
          <w:rFonts w:ascii="Century" w:hAnsi="Century" w:cs="Times New Roman"/>
          <w:sz w:val="20"/>
          <w:szCs w:val="20"/>
        </w:rPr>
        <w:t>b. cit.</w:t>
      </w:r>
      <w:r w:rsidR="009246AC" w:rsidRPr="007361C5">
        <w:rPr>
          <w:rFonts w:ascii="Century" w:hAnsi="Century"/>
          <w:sz w:val="20"/>
          <w:szCs w:val="20"/>
          <w:lang w:val="es-CO"/>
        </w:rPr>
        <w:t>, p.781</w:t>
      </w:r>
      <w:r w:rsidR="009246AC" w:rsidRPr="007361C5">
        <w:rPr>
          <w:rFonts w:ascii="Century" w:hAnsi="Century"/>
          <w:sz w:val="20"/>
          <w:szCs w:val="20"/>
        </w:rPr>
        <w:t>.</w:t>
      </w:r>
    </w:p>
  </w:footnote>
  <w:footnote w:id="5">
    <w:p w14:paraId="10B8F2AA" w14:textId="733BFD9E" w:rsidR="009806FC" w:rsidRPr="007361C5" w:rsidRDefault="009806FC"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rPr>
        <w:t xml:space="preserve"> </w:t>
      </w:r>
      <w:r w:rsidR="008400E1" w:rsidRPr="007361C5">
        <w:rPr>
          <w:rFonts w:ascii="Century" w:hAnsi="Century"/>
          <w:lang w:val="es-CO"/>
        </w:rPr>
        <w:t>ROJAS G., Miguel E. Lecciones de derecho procesal, procedimiento civil, tomo II, ESAJU, 2020, 7ª edición, Bogotá, p.468</w:t>
      </w:r>
      <w:r w:rsidRPr="007361C5">
        <w:rPr>
          <w:rFonts w:ascii="Century" w:hAnsi="Century"/>
          <w:lang w:val="es-CO"/>
        </w:rPr>
        <w:t>.</w:t>
      </w:r>
    </w:p>
  </w:footnote>
  <w:footnote w:id="6">
    <w:p w14:paraId="631236E2" w14:textId="20B8BDBE" w:rsidR="009B710A" w:rsidRPr="007361C5" w:rsidRDefault="009B710A"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rPr>
        <w:t xml:space="preserve"> </w:t>
      </w:r>
      <w:bookmarkStart w:id="2" w:name="_Hlk80260835"/>
      <w:r w:rsidRPr="007361C5">
        <w:rPr>
          <w:rFonts w:ascii="Century" w:hAnsi="Century"/>
          <w:lang w:val="es-CO"/>
        </w:rPr>
        <w:t>PARRA B., Jorge. Derecho procesal civil, 2ª edición puesta al día, Bogotá DC, Temis, 2021, p.395.</w:t>
      </w:r>
      <w:bookmarkEnd w:id="2"/>
    </w:p>
  </w:footnote>
  <w:footnote w:id="7">
    <w:p w14:paraId="67A13452" w14:textId="36C69F30" w:rsidR="00DB3C87" w:rsidRPr="007361C5" w:rsidRDefault="00DB3C87"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SANABRIA S., Henry. Derecho procesal civil general, Bogotá DC, Universidad Externado de Colombia, 2021, p.666.</w:t>
      </w:r>
    </w:p>
  </w:footnote>
  <w:footnote w:id="8">
    <w:p w14:paraId="294D467C" w14:textId="48F75F4B" w:rsidR="00F9683E" w:rsidRPr="007361C5" w:rsidRDefault="00F9683E" w:rsidP="007361C5">
      <w:pPr>
        <w:pStyle w:val="Textonotapie"/>
        <w:jc w:val="both"/>
        <w:rPr>
          <w:rFonts w:ascii="Century" w:hAnsi="Century"/>
          <w:lang w:val="es-CO"/>
        </w:rPr>
      </w:pPr>
      <w:r w:rsidRPr="007361C5">
        <w:rPr>
          <w:rStyle w:val="Refdenotaalpie"/>
          <w:rFonts w:ascii="Century" w:hAnsi="Century"/>
        </w:rPr>
        <w:footnoteRef/>
      </w:r>
      <w:r w:rsidR="00847609" w:rsidRPr="007361C5">
        <w:rPr>
          <w:rFonts w:ascii="Century" w:hAnsi="Century"/>
          <w:lang w:val="es-CO"/>
        </w:rPr>
        <w:t xml:space="preserve"> </w:t>
      </w:r>
      <w:r w:rsidR="009B710A" w:rsidRPr="007361C5">
        <w:rPr>
          <w:rFonts w:ascii="Century" w:hAnsi="Century"/>
          <w:lang w:val="es-CO"/>
        </w:rPr>
        <w:t>ROJAS G., Miguel E. Ob. cit., p.</w:t>
      </w:r>
      <w:r w:rsidR="00847609" w:rsidRPr="007361C5">
        <w:rPr>
          <w:rFonts w:ascii="Century" w:hAnsi="Century"/>
          <w:lang w:val="es-CO"/>
        </w:rPr>
        <w:t>468</w:t>
      </w:r>
      <w:r w:rsidRPr="007361C5">
        <w:rPr>
          <w:rFonts w:ascii="Century" w:hAnsi="Century"/>
          <w:lang w:val="es-CO"/>
        </w:rPr>
        <w:t xml:space="preserve"> </w:t>
      </w:r>
    </w:p>
  </w:footnote>
  <w:footnote w:id="9">
    <w:p w14:paraId="10B8F2AB" w14:textId="77777777" w:rsidR="008D4F8E" w:rsidRPr="007361C5" w:rsidRDefault="008D4F8E" w:rsidP="007361C5">
      <w:pPr>
        <w:pStyle w:val="Textonotapie"/>
        <w:jc w:val="both"/>
        <w:rPr>
          <w:rFonts w:ascii="Century" w:hAnsi="Century"/>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CSJ. Sala Civil. Sentencia del 17-09-1992; MP: Ospina B.</w:t>
      </w:r>
    </w:p>
  </w:footnote>
  <w:footnote w:id="10">
    <w:p w14:paraId="10B8F2AC" w14:textId="1DDF5DEC" w:rsidR="008D4F8E" w:rsidRPr="007361C5" w:rsidRDefault="008D4F8E" w:rsidP="007361C5">
      <w:pPr>
        <w:pStyle w:val="Textonotapie"/>
        <w:jc w:val="both"/>
        <w:rPr>
          <w:rFonts w:ascii="Century" w:hAnsi="Century"/>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CSJ. STC</w:t>
      </w:r>
      <w:r w:rsidR="00556DC6" w:rsidRPr="007361C5">
        <w:rPr>
          <w:rFonts w:ascii="Century" w:hAnsi="Century"/>
          <w:lang w:val="es-CO"/>
        </w:rPr>
        <w:t>-</w:t>
      </w:r>
      <w:r w:rsidRPr="007361C5">
        <w:rPr>
          <w:rFonts w:ascii="Century" w:hAnsi="Century"/>
          <w:lang w:val="es-CO"/>
        </w:rPr>
        <w:t>12737-2017.</w:t>
      </w:r>
    </w:p>
  </w:footnote>
  <w:footnote w:id="11">
    <w:p w14:paraId="10B8F2AD" w14:textId="5CBADF81" w:rsidR="008D4F8E" w:rsidRPr="007361C5" w:rsidRDefault="008D4F8E" w:rsidP="007361C5">
      <w:pPr>
        <w:pStyle w:val="Textonotapie"/>
        <w:jc w:val="both"/>
        <w:rPr>
          <w:rFonts w:ascii="Century" w:hAnsi="Century"/>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LÓPEZ B., Hernán F.</w:t>
      </w:r>
      <w:r w:rsidRPr="007361C5">
        <w:rPr>
          <w:rFonts w:ascii="Century" w:hAnsi="Century"/>
        </w:rPr>
        <w:t xml:space="preserve"> Ob. cit., p.</w:t>
      </w:r>
      <w:r w:rsidR="00556DC6" w:rsidRPr="007361C5">
        <w:rPr>
          <w:rFonts w:ascii="Century" w:hAnsi="Century"/>
        </w:rPr>
        <w:t>781.</w:t>
      </w:r>
    </w:p>
  </w:footnote>
  <w:footnote w:id="12">
    <w:p w14:paraId="10B8F2AE" w14:textId="77777777" w:rsidR="008D4F8E" w:rsidRPr="007361C5" w:rsidRDefault="008D4F8E" w:rsidP="007361C5">
      <w:pPr>
        <w:pStyle w:val="Textonotapie"/>
        <w:jc w:val="both"/>
        <w:rPr>
          <w:rFonts w:ascii="Century" w:hAnsi="Century"/>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ROJAS G., Miguel E. Código General del Proceso comentado, ESAJU, 2017, Bogotá DC, p.511.</w:t>
      </w:r>
    </w:p>
  </w:footnote>
  <w:footnote w:id="13">
    <w:p w14:paraId="20E63A82" w14:textId="13307B8D" w:rsidR="00556DC6" w:rsidRPr="007361C5" w:rsidRDefault="00556DC6"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FORERO S., Jorge. El recurso de apelación y la pretensión impugnaticia [En línea]. ICDP, revista enero-junio 2016 [Visitado el 2021-23-08]. Disponible en internet:</w:t>
      </w:r>
      <w:r w:rsidRPr="007361C5">
        <w:rPr>
          <w:rStyle w:val="CitaHTML"/>
          <w:rFonts w:ascii="Century" w:hAnsi="Century" w:cs="Arial"/>
          <w:i w:val="0"/>
          <w:iCs/>
        </w:rPr>
        <w:t xml:space="preserve"> </w:t>
      </w:r>
      <w:r w:rsidRPr="007361C5">
        <w:rPr>
          <w:rFonts w:ascii="Century" w:hAnsi="Century" w:cs="Arial"/>
          <w:lang w:val="es-CO" w:eastAsia="es-CO"/>
        </w:rPr>
        <w:t>ttps://letrujil.files.wordpress.com/2013/09/09jorge-forero-silva.pdf</w:t>
      </w:r>
    </w:p>
  </w:footnote>
  <w:footnote w:id="14">
    <w:p w14:paraId="2F247948" w14:textId="1842E0D8" w:rsidR="007B30B2" w:rsidRPr="007361C5" w:rsidRDefault="007B30B2"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lang w:val="es-CO"/>
        </w:rPr>
        <w:t xml:space="preserve"> SANABRIA S., Henry. Ob. cit. p.666.</w:t>
      </w:r>
    </w:p>
  </w:footnote>
  <w:footnote w:id="15">
    <w:p w14:paraId="52C286B7" w14:textId="77777777" w:rsidR="00DE486D" w:rsidRPr="007361C5" w:rsidRDefault="00DE486D" w:rsidP="007361C5">
      <w:pPr>
        <w:pStyle w:val="Textonotapie"/>
        <w:jc w:val="both"/>
        <w:rPr>
          <w:rFonts w:ascii="Century" w:hAnsi="Century"/>
          <w:lang w:val="es-MX"/>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ROJAS G., Miguel E. Lecciones de derecho procesal, procedimiento civil, tomo II, ESAJU, 2017, 6ª edición, Bogotá, p.448</w:t>
      </w:r>
      <w:r w:rsidRPr="007361C5">
        <w:rPr>
          <w:rFonts w:ascii="Century" w:hAnsi="Century"/>
        </w:rPr>
        <w:t>.</w:t>
      </w:r>
    </w:p>
  </w:footnote>
  <w:footnote w:id="16">
    <w:p w14:paraId="0BB6FBEE" w14:textId="77777777" w:rsidR="00DE486D" w:rsidRPr="007361C5" w:rsidRDefault="00DE486D" w:rsidP="007361C5">
      <w:pPr>
        <w:pStyle w:val="Textonotapie"/>
        <w:jc w:val="both"/>
        <w:rPr>
          <w:rFonts w:ascii="Century" w:hAnsi="Century"/>
          <w:lang w:val="es-MX"/>
        </w:rPr>
      </w:pPr>
      <w:r w:rsidRPr="007361C5">
        <w:rPr>
          <w:rStyle w:val="Refdenotaalpie"/>
          <w:rFonts w:ascii="Century" w:hAnsi="Century"/>
        </w:rPr>
        <w:footnoteRef/>
      </w:r>
      <w:r w:rsidRPr="007361C5">
        <w:rPr>
          <w:rFonts w:ascii="Century" w:hAnsi="Century"/>
        </w:rPr>
        <w:t xml:space="preserve"> CANOSA T., Fernando. Los recursos ordinarios en el Código General del Proceso, 4ª edición, 2017, Bogotá DC, Ediciones Doctrina y Ley, p.317.</w:t>
      </w:r>
    </w:p>
  </w:footnote>
  <w:footnote w:id="17">
    <w:p w14:paraId="05EB8260" w14:textId="77777777" w:rsidR="00DE486D" w:rsidRPr="007361C5" w:rsidRDefault="00DE486D" w:rsidP="007361C5">
      <w:pPr>
        <w:pStyle w:val="Textonotapie"/>
        <w:jc w:val="both"/>
        <w:rPr>
          <w:rFonts w:ascii="Century" w:hAnsi="Century"/>
          <w:lang w:val="es-MX"/>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 xml:space="preserve">LÓPEZ B, Hernán F. </w:t>
      </w:r>
      <w:r w:rsidRPr="007361C5">
        <w:rPr>
          <w:rFonts w:ascii="Century" w:hAnsi="Century"/>
        </w:rPr>
        <w:t>Ob. cit., p.792.</w:t>
      </w:r>
    </w:p>
  </w:footnote>
  <w:footnote w:id="18">
    <w:p w14:paraId="36F55718" w14:textId="098C800F" w:rsidR="00DE486D" w:rsidRPr="007361C5" w:rsidRDefault="00DE486D" w:rsidP="007361C5">
      <w:pPr>
        <w:pStyle w:val="Textonotapie"/>
        <w:jc w:val="both"/>
        <w:rPr>
          <w:rFonts w:ascii="Century" w:hAnsi="Century"/>
          <w:lang w:val="es-CO"/>
        </w:rPr>
      </w:pPr>
      <w:r w:rsidRPr="007361C5">
        <w:rPr>
          <w:rFonts w:ascii="Century" w:hAnsi="Century"/>
          <w:vertAlign w:val="superscript"/>
        </w:rPr>
        <w:footnoteRef/>
      </w:r>
      <w:r w:rsidRPr="007361C5">
        <w:rPr>
          <w:rFonts w:ascii="Century" w:hAnsi="Century"/>
        </w:rPr>
        <w:t xml:space="preserve"> </w:t>
      </w:r>
      <w:r w:rsidRPr="007361C5">
        <w:rPr>
          <w:rFonts w:ascii="Century" w:hAnsi="Century"/>
          <w:lang w:val="es-CO"/>
        </w:rPr>
        <w:t xml:space="preserve">CSJ, Civil. </w:t>
      </w:r>
      <w:r w:rsidR="00014B08" w:rsidRPr="007361C5">
        <w:rPr>
          <w:rFonts w:ascii="Century" w:hAnsi="Century"/>
          <w:lang w:val="es-CO"/>
        </w:rPr>
        <w:t>Entre otras, STC3642-2017</w:t>
      </w:r>
      <w:r w:rsidR="00512332" w:rsidRPr="007361C5">
        <w:rPr>
          <w:rFonts w:ascii="Century" w:hAnsi="Century"/>
          <w:lang w:val="es-CO"/>
        </w:rPr>
        <w:t xml:space="preserve"> y </w:t>
      </w:r>
      <w:r w:rsidRPr="007361C5">
        <w:rPr>
          <w:rFonts w:ascii="Century" w:hAnsi="Century"/>
          <w:lang w:val="es-CO"/>
        </w:rPr>
        <w:t>AC468-2017 que reitera lo dicho en STC10979-2014.</w:t>
      </w:r>
    </w:p>
  </w:footnote>
  <w:footnote w:id="19">
    <w:p w14:paraId="7159E0EA" w14:textId="77777777" w:rsidR="00A61F0A" w:rsidRPr="007361C5" w:rsidRDefault="00A61F0A" w:rsidP="007361C5">
      <w:pPr>
        <w:pStyle w:val="Textonotapie"/>
        <w:jc w:val="both"/>
        <w:rPr>
          <w:rFonts w:ascii="Century" w:hAnsi="Century"/>
        </w:rPr>
      </w:pPr>
      <w:r w:rsidRPr="007361C5">
        <w:rPr>
          <w:rStyle w:val="Refdenotaalpie"/>
          <w:rFonts w:ascii="Century" w:hAnsi="Century"/>
        </w:rPr>
        <w:footnoteRef/>
      </w:r>
      <w:r w:rsidRPr="007361C5">
        <w:rPr>
          <w:rFonts w:ascii="Century" w:hAnsi="Century"/>
        </w:rPr>
        <w:t xml:space="preserve"> CC.  C-153 de 1995.</w:t>
      </w:r>
    </w:p>
  </w:footnote>
  <w:footnote w:id="20">
    <w:p w14:paraId="20165244" w14:textId="77777777" w:rsidR="00A61F0A" w:rsidRPr="007361C5" w:rsidRDefault="00A61F0A" w:rsidP="007361C5">
      <w:pPr>
        <w:pStyle w:val="Textonotapie"/>
        <w:jc w:val="both"/>
        <w:rPr>
          <w:rFonts w:ascii="Century" w:hAnsi="Century"/>
        </w:rPr>
      </w:pPr>
      <w:r w:rsidRPr="007361C5">
        <w:rPr>
          <w:rStyle w:val="Refdenotaalpie"/>
          <w:rFonts w:ascii="Century" w:hAnsi="Century"/>
        </w:rPr>
        <w:footnoteRef/>
      </w:r>
      <w:r w:rsidRPr="007361C5">
        <w:rPr>
          <w:rFonts w:ascii="Century" w:hAnsi="Century"/>
        </w:rPr>
        <w:t xml:space="preserve"> CC.  C-248 de 2003.</w:t>
      </w:r>
    </w:p>
  </w:footnote>
  <w:footnote w:id="21">
    <w:p w14:paraId="135ECBDB" w14:textId="77777777" w:rsidR="00A61F0A" w:rsidRPr="007361C5" w:rsidRDefault="00A61F0A" w:rsidP="007361C5">
      <w:pPr>
        <w:pStyle w:val="Textonotapie"/>
        <w:jc w:val="both"/>
        <w:rPr>
          <w:rFonts w:ascii="Century" w:hAnsi="Century"/>
        </w:rPr>
      </w:pPr>
      <w:r w:rsidRPr="007361C5">
        <w:rPr>
          <w:rStyle w:val="Refdenotaalpie"/>
          <w:rFonts w:ascii="Century" w:hAnsi="Century"/>
        </w:rPr>
        <w:footnoteRef/>
      </w:r>
      <w:r w:rsidRPr="007361C5">
        <w:rPr>
          <w:rFonts w:ascii="Century" w:hAnsi="Century"/>
        </w:rPr>
        <w:t xml:space="preserve"> CC.  C-329 de 2015.</w:t>
      </w:r>
    </w:p>
  </w:footnote>
  <w:footnote w:id="22">
    <w:p w14:paraId="3EA6E9D0" w14:textId="77777777" w:rsidR="00A61F0A" w:rsidRPr="007361C5" w:rsidRDefault="00A61F0A" w:rsidP="007361C5">
      <w:pPr>
        <w:pStyle w:val="Textonotapie"/>
        <w:jc w:val="both"/>
        <w:rPr>
          <w:rFonts w:ascii="Century" w:hAnsi="Century"/>
        </w:rPr>
      </w:pPr>
      <w:r w:rsidRPr="007361C5">
        <w:rPr>
          <w:rStyle w:val="Refdenotaalpie"/>
          <w:rFonts w:ascii="Century" w:hAnsi="Century"/>
        </w:rPr>
        <w:footnoteRef/>
      </w:r>
      <w:r w:rsidRPr="007361C5">
        <w:rPr>
          <w:rFonts w:ascii="Century" w:hAnsi="Century"/>
        </w:rPr>
        <w:t xml:space="preserve"> CC.  C-282 de 2017.</w:t>
      </w:r>
    </w:p>
  </w:footnote>
  <w:footnote w:id="23">
    <w:p w14:paraId="1A5BDE84" w14:textId="77777777" w:rsidR="00F54107" w:rsidRPr="007361C5" w:rsidRDefault="00F54107"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CC.  C-605 de 2019.</w:t>
      </w:r>
    </w:p>
  </w:footnote>
  <w:footnote w:id="24">
    <w:p w14:paraId="1C195843" w14:textId="77777777" w:rsidR="004314B8" w:rsidRPr="007361C5" w:rsidRDefault="004314B8"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lang w:val="es-CO"/>
        </w:rPr>
        <w:t xml:space="preserve"> SANABRIA S., Henry. Ob. cit. p.554 y 681.</w:t>
      </w:r>
    </w:p>
  </w:footnote>
  <w:footnote w:id="25">
    <w:p w14:paraId="0CE518C2" w14:textId="3176390A" w:rsidR="00BB0E7F" w:rsidRPr="007361C5" w:rsidRDefault="00BB0E7F"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rPr>
        <w:t xml:space="preserve"> </w:t>
      </w:r>
      <w:r w:rsidR="006605AF" w:rsidRPr="007361C5">
        <w:rPr>
          <w:rFonts w:ascii="Century" w:hAnsi="Century"/>
        </w:rPr>
        <w:t>TSP. Civil-Familia. Providencia de 28-01-2019; No.2017-00271-01: MP: Grisales H.</w:t>
      </w:r>
    </w:p>
  </w:footnote>
  <w:footnote w:id="26">
    <w:p w14:paraId="107BC350" w14:textId="20711F91" w:rsidR="006605AF" w:rsidRPr="007361C5" w:rsidRDefault="006605AF"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LÓPEZ B., Hernán F.</w:t>
      </w:r>
      <w:r w:rsidRPr="007361C5">
        <w:rPr>
          <w:rFonts w:ascii="Century" w:hAnsi="Century"/>
        </w:rPr>
        <w:t xml:space="preserve"> Ob. cit., p.804.</w:t>
      </w:r>
    </w:p>
  </w:footnote>
  <w:footnote w:id="27">
    <w:p w14:paraId="6D98B2CD" w14:textId="522F4BBB" w:rsidR="00A122AE" w:rsidRPr="007361C5" w:rsidRDefault="00A122AE"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MX"/>
        </w:rPr>
        <w:t>VALENCIA Z., Arturo y ORTIZ M., Álvaro. Derecho civil, parte general y personas, tomo I, 18ª edición, Temis SA, Bogotá DC, 2016, p.</w:t>
      </w:r>
      <w:r w:rsidR="00D26D12" w:rsidRPr="007361C5">
        <w:rPr>
          <w:rFonts w:ascii="Century" w:hAnsi="Century"/>
          <w:lang w:val="es-MX"/>
        </w:rPr>
        <w:t>262</w:t>
      </w:r>
      <w:r w:rsidRPr="007361C5">
        <w:rPr>
          <w:rFonts w:ascii="Century" w:hAnsi="Century"/>
          <w:lang w:val="es-MX"/>
        </w:rPr>
        <w:t>.</w:t>
      </w:r>
    </w:p>
  </w:footnote>
  <w:footnote w:id="28">
    <w:p w14:paraId="2F236072" w14:textId="4D07D801" w:rsidR="00F256AF" w:rsidRPr="007361C5" w:rsidRDefault="00F256AF" w:rsidP="007361C5">
      <w:pPr>
        <w:pStyle w:val="Textonotapie"/>
        <w:jc w:val="both"/>
        <w:rPr>
          <w:rFonts w:ascii="Century" w:hAnsi="Century"/>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CSJ, Sala Civil. Sentencia del 01-12-2008; MP: Solarte R., No.2002-00015-01.</w:t>
      </w:r>
    </w:p>
  </w:footnote>
  <w:footnote w:id="29">
    <w:p w14:paraId="7B37C955" w14:textId="72D3E1F1" w:rsidR="00F256AF" w:rsidRPr="007361C5" w:rsidRDefault="00F256AF" w:rsidP="007361C5">
      <w:pPr>
        <w:pStyle w:val="Textonotapie"/>
        <w:jc w:val="both"/>
        <w:rPr>
          <w:rFonts w:ascii="Century" w:hAnsi="Century"/>
        </w:rPr>
      </w:pPr>
      <w:r w:rsidRPr="007361C5">
        <w:rPr>
          <w:rStyle w:val="Refdenotaalpie"/>
          <w:rFonts w:ascii="Century" w:hAnsi="Century"/>
        </w:rPr>
        <w:footnoteRef/>
      </w:r>
      <w:r w:rsidRPr="007361C5">
        <w:rPr>
          <w:rFonts w:ascii="Century" w:hAnsi="Century"/>
        </w:rPr>
        <w:t xml:space="preserve"> </w:t>
      </w:r>
      <w:r w:rsidRPr="007361C5">
        <w:rPr>
          <w:rFonts w:ascii="Century" w:hAnsi="Century" w:cs="Calibri"/>
          <w:lang w:val="es-CO"/>
        </w:rPr>
        <w:t>CALDERÓN V., Juan J</w:t>
      </w:r>
      <w:r w:rsidR="00C61626" w:rsidRPr="007361C5">
        <w:rPr>
          <w:rFonts w:ascii="Century" w:hAnsi="Century" w:cs="Calibri"/>
          <w:lang w:val="es-CO"/>
        </w:rPr>
        <w:t>.</w:t>
      </w:r>
      <w:r w:rsidRPr="007361C5">
        <w:rPr>
          <w:rFonts w:ascii="Century" w:hAnsi="Century" w:cs="Calibri"/>
          <w:lang w:val="es-CO"/>
        </w:rPr>
        <w:t xml:space="preserve"> y LÓPEZ C., Yira. La analogía en asuntos de derecho privado, Legis y Universidad del Rosario, 2016, Bogotá DC, p.21.</w:t>
      </w:r>
    </w:p>
  </w:footnote>
  <w:footnote w:id="30">
    <w:p w14:paraId="7DB609C2" w14:textId="3D65F50C" w:rsidR="00EC7404" w:rsidRPr="007361C5" w:rsidRDefault="00EC7404"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rPr>
        <w:t xml:space="preserve"> </w:t>
      </w:r>
      <w:r w:rsidRPr="007361C5">
        <w:rPr>
          <w:rFonts w:ascii="Century" w:hAnsi="Century" w:cs="Calibri"/>
          <w:lang w:val="es-CO"/>
        </w:rPr>
        <w:t xml:space="preserve">BLANCO G., José L. El remedio del </w:t>
      </w:r>
      <w:proofErr w:type="spellStart"/>
      <w:r w:rsidRPr="007361C5">
        <w:rPr>
          <w:rFonts w:ascii="Century" w:hAnsi="Century" w:cs="Calibri"/>
          <w:lang w:val="es-CO"/>
        </w:rPr>
        <w:t>antiprocesalismo</w:t>
      </w:r>
      <w:proofErr w:type="spellEnd"/>
      <w:r w:rsidRPr="007361C5">
        <w:rPr>
          <w:rFonts w:ascii="Century" w:hAnsi="Century" w:cs="Calibri"/>
          <w:lang w:val="es-CO"/>
        </w:rPr>
        <w:t>, memorias del XXV Congreso de derecho Procesal, 2004, ICDP, p.315.</w:t>
      </w:r>
    </w:p>
  </w:footnote>
  <w:footnote w:id="31">
    <w:p w14:paraId="30787BF8" w14:textId="0A2D1087" w:rsidR="00A93439" w:rsidRPr="007361C5" w:rsidRDefault="00A93439"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lang w:val="es-CO"/>
        </w:rPr>
        <w:t xml:space="preserve"> CSJ. STC-9170-2019.</w:t>
      </w:r>
    </w:p>
  </w:footnote>
  <w:footnote w:id="32">
    <w:p w14:paraId="0B2CAB09" w14:textId="6AF7DB8F" w:rsidR="00A93439" w:rsidRPr="007361C5" w:rsidRDefault="00A93439" w:rsidP="007361C5">
      <w:pPr>
        <w:pStyle w:val="Textonotapie"/>
        <w:jc w:val="both"/>
        <w:rPr>
          <w:rFonts w:ascii="Century" w:hAnsi="Century"/>
          <w:lang w:val="es-CO"/>
        </w:rPr>
      </w:pPr>
      <w:r w:rsidRPr="007361C5">
        <w:rPr>
          <w:rStyle w:val="Refdenotaalpie"/>
          <w:rFonts w:ascii="Century" w:hAnsi="Century"/>
        </w:rPr>
        <w:footnoteRef/>
      </w:r>
      <w:r w:rsidRPr="007361C5">
        <w:rPr>
          <w:rFonts w:ascii="Century" w:hAnsi="Century"/>
          <w:lang w:val="es-CO"/>
        </w:rPr>
        <w:t xml:space="preserve"> CC. Entre otras T-519 </w:t>
      </w:r>
      <w:r w:rsidR="00697C45" w:rsidRPr="007361C5">
        <w:rPr>
          <w:rFonts w:ascii="Century" w:hAnsi="Century"/>
          <w:lang w:val="es-CO"/>
        </w:rPr>
        <w:t xml:space="preserve">y </w:t>
      </w:r>
      <w:r w:rsidRPr="007361C5">
        <w:rPr>
          <w:rFonts w:ascii="Century" w:hAnsi="Century"/>
          <w:lang w:val="es-CO"/>
        </w:rPr>
        <w:t>T-1274</w:t>
      </w:r>
      <w:r w:rsidR="00EC7404" w:rsidRPr="007361C5">
        <w:rPr>
          <w:rFonts w:ascii="Century" w:hAnsi="Century"/>
          <w:lang w:val="es-CO"/>
        </w:rPr>
        <w:t>,</w:t>
      </w:r>
      <w:r w:rsidRPr="007361C5">
        <w:rPr>
          <w:rFonts w:ascii="Century" w:hAnsi="Century"/>
          <w:lang w:val="es-CO"/>
        </w:rPr>
        <w:t xml:space="preserve"> ambas de 2005.</w:t>
      </w:r>
    </w:p>
  </w:footnote>
  <w:footnote w:id="33">
    <w:p w14:paraId="068F7DCF" w14:textId="2C7AD40A" w:rsidR="005636C1" w:rsidRPr="005636C1" w:rsidRDefault="005636C1" w:rsidP="007361C5">
      <w:pPr>
        <w:pStyle w:val="Textonotapie"/>
        <w:jc w:val="both"/>
        <w:rPr>
          <w:lang w:val="es-CO"/>
        </w:rPr>
      </w:pPr>
      <w:r w:rsidRPr="007361C5">
        <w:rPr>
          <w:rStyle w:val="Refdenotaalpie"/>
          <w:rFonts w:ascii="Century" w:hAnsi="Century"/>
        </w:rPr>
        <w:footnoteRef/>
      </w:r>
      <w:r w:rsidRPr="007361C5">
        <w:rPr>
          <w:rFonts w:ascii="Century" w:hAnsi="Century"/>
        </w:rPr>
        <w:t xml:space="preserve"> </w:t>
      </w:r>
      <w:r w:rsidRPr="007361C5">
        <w:rPr>
          <w:rFonts w:ascii="Century" w:hAnsi="Century"/>
          <w:lang w:val="es-CO"/>
        </w:rPr>
        <w:t>CC. T-1274</w:t>
      </w:r>
      <w:r w:rsidR="00BE5A3B" w:rsidRPr="007361C5">
        <w:rPr>
          <w:rFonts w:ascii="Century" w:hAnsi="Century"/>
          <w:lang w:val="es-CO"/>
        </w:rPr>
        <w:t xml:space="preserve"> de </w:t>
      </w:r>
      <w:r w:rsidRPr="007361C5">
        <w:rPr>
          <w:rFonts w:ascii="Century" w:hAnsi="Century"/>
          <w:lang w:val="es-CO"/>
        </w:rPr>
        <w:t>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F29E" w14:textId="02EA882B" w:rsidR="00CF2BC2" w:rsidRPr="00EE0693" w:rsidRDefault="00F05296" w:rsidP="00D279DF">
    <w:pPr>
      <w:pStyle w:val="Encabezado"/>
      <w:pBdr>
        <w:bottom w:val="single" w:sz="4" w:space="1" w:color="D9D9D9"/>
      </w:pBdr>
      <w:jc w:val="right"/>
      <w:rPr>
        <w:rFonts w:ascii="Calibri" w:hAnsi="Calibri" w:cs="Calibri"/>
        <w:b/>
        <w:bCs/>
      </w:rPr>
    </w:pPr>
    <w:r w:rsidRPr="00EE0693">
      <w:rPr>
        <w:rFonts w:ascii="Calibri" w:hAnsi="Calibri" w:cs="Calibri"/>
        <w:spacing w:val="60"/>
      </w:rPr>
      <w:t>P</w:t>
    </w:r>
    <w:r w:rsidR="00CF2BC2" w:rsidRPr="00EE0693">
      <w:rPr>
        <w:rFonts w:ascii="Calibri" w:hAnsi="Calibri" w:cs="Calibri"/>
        <w:spacing w:val="60"/>
      </w:rPr>
      <w:t>ágina</w:t>
    </w:r>
    <w:r w:rsidR="00CF2BC2" w:rsidRPr="00EE0693">
      <w:rPr>
        <w:rFonts w:ascii="Calibri" w:hAnsi="Calibri" w:cs="Calibri"/>
      </w:rPr>
      <w:t xml:space="preserve"> | </w:t>
    </w:r>
    <w:r w:rsidR="00CF2BC2" w:rsidRPr="00EE0693">
      <w:rPr>
        <w:rFonts w:ascii="Calibri" w:hAnsi="Calibri" w:cs="Calibri"/>
      </w:rPr>
      <w:fldChar w:fldCharType="begin"/>
    </w:r>
    <w:r w:rsidR="00CF2BC2" w:rsidRPr="00EE0693">
      <w:rPr>
        <w:rFonts w:ascii="Calibri" w:hAnsi="Calibri" w:cs="Calibri"/>
      </w:rPr>
      <w:instrText>PAGE   \* MERGEFORMAT</w:instrText>
    </w:r>
    <w:r w:rsidR="00CF2BC2" w:rsidRPr="00EE0693">
      <w:rPr>
        <w:rFonts w:ascii="Calibri" w:hAnsi="Calibri" w:cs="Calibri"/>
      </w:rPr>
      <w:fldChar w:fldCharType="separate"/>
    </w:r>
    <w:r w:rsidR="00053CED" w:rsidRPr="00EE0693">
      <w:rPr>
        <w:rFonts w:ascii="Calibri" w:hAnsi="Calibri" w:cs="Calibri"/>
        <w:noProof/>
      </w:rPr>
      <w:t>1</w:t>
    </w:r>
    <w:r w:rsidR="00CF2BC2" w:rsidRPr="00EE0693">
      <w:rPr>
        <w:rFonts w:ascii="Calibri" w:hAnsi="Calibri" w:cs="Calibri"/>
      </w:rPr>
      <w:fldChar w:fldCharType="end"/>
    </w:r>
  </w:p>
  <w:p w14:paraId="10B8F2A0" w14:textId="38BD7115" w:rsidR="00CF2BC2" w:rsidRPr="00EE0693" w:rsidRDefault="00731779" w:rsidP="00EE0693">
    <w:pPr>
      <w:pStyle w:val="Encabezado"/>
      <w:rPr>
        <w:rFonts w:asciiTheme="majorHAnsi" w:hAnsiTheme="majorHAnsi" w:cs="Iskoola Pota"/>
        <w:i/>
        <w:sz w:val="18"/>
        <w:lang w:val="es-CO"/>
      </w:rPr>
    </w:pPr>
    <w:r w:rsidRPr="00EE0693">
      <w:rPr>
        <w:rFonts w:asciiTheme="majorHAnsi" w:hAnsiTheme="majorHAnsi" w:cs="Iskoola Pota"/>
        <w:i/>
        <w:lang w:val="es-CO"/>
      </w:rPr>
      <w:t>E</w:t>
    </w:r>
    <w:r w:rsidRPr="00EE0693">
      <w:rPr>
        <w:rFonts w:asciiTheme="majorHAnsi" w:hAnsiTheme="majorHAnsi" w:cs="Iskoola Pota"/>
        <w:i/>
        <w:sz w:val="16"/>
        <w:lang w:val="es-CO"/>
      </w:rPr>
      <w:t>XPEDIENTE No.</w:t>
    </w:r>
    <w:r w:rsidR="00EE0693">
      <w:rPr>
        <w:rFonts w:asciiTheme="majorHAnsi" w:hAnsiTheme="majorHAnsi" w:cs="Iskoola Pota"/>
        <w:i/>
        <w:sz w:val="16"/>
        <w:lang w:val="es-CO"/>
      </w:rPr>
      <w:t xml:space="preserve"> </w:t>
    </w:r>
    <w:r w:rsidRPr="00EE0693">
      <w:rPr>
        <w:rFonts w:asciiTheme="majorHAnsi" w:hAnsiTheme="majorHAnsi" w:cs="Iskoola Pota"/>
        <w:i/>
        <w:sz w:val="16"/>
        <w:lang w:val="es-CO"/>
      </w:rPr>
      <w:t>20</w:t>
    </w:r>
    <w:r w:rsidR="00BD3D8C" w:rsidRPr="00EE0693">
      <w:rPr>
        <w:rFonts w:asciiTheme="majorHAnsi" w:hAnsiTheme="majorHAnsi" w:cs="Iskoola Pota"/>
        <w:i/>
        <w:sz w:val="16"/>
        <w:lang w:val="es-CO"/>
      </w:rPr>
      <w:t>19</w:t>
    </w:r>
    <w:r w:rsidRPr="00EE0693">
      <w:rPr>
        <w:rFonts w:asciiTheme="majorHAnsi" w:hAnsiTheme="majorHAnsi" w:cs="Iskoola Pota"/>
        <w:i/>
        <w:sz w:val="16"/>
        <w:lang w:val="es-CO"/>
      </w:rPr>
      <w:t>-00</w:t>
    </w:r>
    <w:r w:rsidR="003D20C3" w:rsidRPr="00EE0693">
      <w:rPr>
        <w:rFonts w:asciiTheme="majorHAnsi" w:hAnsiTheme="majorHAnsi" w:cs="Iskoola Pota"/>
        <w:i/>
        <w:sz w:val="16"/>
        <w:lang w:val="es-CO"/>
      </w:rPr>
      <w:t>342</w:t>
    </w:r>
    <w:r w:rsidRPr="00EE0693">
      <w:rPr>
        <w:rFonts w:asciiTheme="majorHAnsi" w:hAnsiTheme="majorHAnsi" w:cs="Iskoola Pota"/>
        <w:i/>
        <w:sz w:val="16"/>
        <w:lang w:val="es-CO"/>
      </w:rPr>
      <w:t>-01</w:t>
    </w:r>
  </w:p>
  <w:p w14:paraId="10B8F2A1" w14:textId="77777777" w:rsidR="00CF2BC2" w:rsidRPr="006F2303" w:rsidRDefault="00CF2BC2" w:rsidP="00585B94">
    <w:pPr>
      <w:pStyle w:val="Encabezado"/>
      <w:jc w:val="right"/>
      <w:rPr>
        <w:rFonts w:ascii="Calibri" w:hAnsi="Calibri" w:cs="Calibri"/>
        <w:i/>
        <w:iCs/>
        <w:sz w:val="22"/>
        <w:szCs w:val="22"/>
      </w:rPr>
    </w:pPr>
  </w:p>
</w:hdr>
</file>

<file path=word/intelligence.xml><?xml version="1.0" encoding="utf-8"?>
<int:Intelligence xmlns:int="http://schemas.microsoft.com/office/intelligence/2019/intelligence">
  <int:IntelligenceSettings/>
  <int:Manifest>
    <int:WordHash hashCode="3OrpIB+g3mvFV7" id="DU+W6/5J"/>
  </int:Manifest>
  <int:Observations>
    <int:Content id="DU+W6/5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4F0"/>
    <w:multiLevelType w:val="hybridMultilevel"/>
    <w:tmpl w:val="E3CEF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15:restartNumberingAfterBreak="0">
    <w:nsid w:val="155E6D5D"/>
    <w:multiLevelType w:val="multilevel"/>
    <w:tmpl w:val="B72EF8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15:restartNumberingAfterBreak="0">
    <w:nsid w:val="2DA53BD3"/>
    <w:multiLevelType w:val="hybridMultilevel"/>
    <w:tmpl w:val="80E2D34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33E195C"/>
    <w:multiLevelType w:val="hybridMultilevel"/>
    <w:tmpl w:val="292CF470"/>
    <w:lvl w:ilvl="0" w:tplc="3618B77C">
      <w:start w:val="1"/>
      <w:numFmt w:val="decimal"/>
      <w:lvlText w:val="%1."/>
      <w:lvlJc w:val="left"/>
      <w:pPr>
        <w:ind w:left="360" w:hanging="360"/>
      </w:pPr>
      <w:rPr>
        <w:rFonts w:hint="default"/>
        <w:b/>
        <w:caps w:val="0"/>
        <w:smallCaps w:val="0"/>
        <w:color w:val="auto"/>
        <w:spacing w:val="0"/>
        <w:sz w:val="28"/>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15:restartNumberingAfterBreak="0">
    <w:nsid w:val="42F45B7E"/>
    <w:multiLevelType w:val="multilevel"/>
    <w:tmpl w:val="70B0742C"/>
    <w:lvl w:ilvl="0">
      <w:start w:val="4"/>
      <w:numFmt w:val="decimal"/>
      <w:lvlText w:val="%1."/>
      <w:lvlJc w:val="left"/>
      <w:pPr>
        <w:ind w:left="435" w:hanging="43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6" w15:restartNumberingAfterBreak="0">
    <w:nsid w:val="52D329C7"/>
    <w:multiLevelType w:val="multilevel"/>
    <w:tmpl w:val="EDC67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69BE7731"/>
    <w:multiLevelType w:val="multilevel"/>
    <w:tmpl w:val="E62473B6"/>
    <w:lvl w:ilvl="0">
      <w:start w:val="4"/>
      <w:numFmt w:val="decimal"/>
      <w:lvlText w:val="%1."/>
      <w:lvlJc w:val="left"/>
      <w:pPr>
        <w:ind w:left="400" w:hanging="400"/>
      </w:pPr>
      <w:rPr>
        <w:rFonts w:hint="default"/>
        <w:sz w:val="24"/>
        <w:szCs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581253"/>
    <w:multiLevelType w:val="multilevel"/>
    <w:tmpl w:val="672C870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4"/>
  </w:num>
  <w:num w:numId="4">
    <w:abstractNumId w:val="8"/>
  </w:num>
  <w:num w:numId="5">
    <w:abstractNumId w:val="1"/>
  </w:num>
  <w:num w:numId="6">
    <w:abstractNumId w:val="7"/>
  </w:num>
  <w:num w:numId="7">
    <w:abstractNumId w:val="2"/>
  </w:num>
  <w:num w:numId="8">
    <w:abstractNumId w:val="0"/>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C8"/>
    <w:rsid w:val="0000074F"/>
    <w:rsid w:val="00001853"/>
    <w:rsid w:val="000037BB"/>
    <w:rsid w:val="00014B08"/>
    <w:rsid w:val="00024513"/>
    <w:rsid w:val="00024962"/>
    <w:rsid w:val="000257D4"/>
    <w:rsid w:val="00026A0B"/>
    <w:rsid w:val="000277D9"/>
    <w:rsid w:val="00032170"/>
    <w:rsid w:val="0003270C"/>
    <w:rsid w:val="00033C34"/>
    <w:rsid w:val="0004057A"/>
    <w:rsid w:val="00041035"/>
    <w:rsid w:val="00045583"/>
    <w:rsid w:val="0005335E"/>
    <w:rsid w:val="00053CED"/>
    <w:rsid w:val="00064B59"/>
    <w:rsid w:val="00065659"/>
    <w:rsid w:val="00072F80"/>
    <w:rsid w:val="00073FC1"/>
    <w:rsid w:val="00082B69"/>
    <w:rsid w:val="0008352A"/>
    <w:rsid w:val="00084C89"/>
    <w:rsid w:val="00095957"/>
    <w:rsid w:val="0009631B"/>
    <w:rsid w:val="000A0D0F"/>
    <w:rsid w:val="000A3570"/>
    <w:rsid w:val="000A6D32"/>
    <w:rsid w:val="000B0AA5"/>
    <w:rsid w:val="000C072E"/>
    <w:rsid w:val="000C0AD3"/>
    <w:rsid w:val="000C19AB"/>
    <w:rsid w:val="000D0C82"/>
    <w:rsid w:val="000D198F"/>
    <w:rsid w:val="000D571D"/>
    <w:rsid w:val="000D5F5F"/>
    <w:rsid w:val="000E0A1E"/>
    <w:rsid w:val="000E35DB"/>
    <w:rsid w:val="000E770D"/>
    <w:rsid w:val="000F0859"/>
    <w:rsid w:val="000F14D8"/>
    <w:rsid w:val="000F3C9E"/>
    <w:rsid w:val="00103097"/>
    <w:rsid w:val="00103F51"/>
    <w:rsid w:val="00112C44"/>
    <w:rsid w:val="00116E14"/>
    <w:rsid w:val="00121C98"/>
    <w:rsid w:val="0012212E"/>
    <w:rsid w:val="00123173"/>
    <w:rsid w:val="001249D1"/>
    <w:rsid w:val="00125206"/>
    <w:rsid w:val="0012615B"/>
    <w:rsid w:val="001261EC"/>
    <w:rsid w:val="0012762C"/>
    <w:rsid w:val="001333D9"/>
    <w:rsid w:val="00133642"/>
    <w:rsid w:val="00134343"/>
    <w:rsid w:val="0013486D"/>
    <w:rsid w:val="00136209"/>
    <w:rsid w:val="0013799C"/>
    <w:rsid w:val="001379D5"/>
    <w:rsid w:val="0014171F"/>
    <w:rsid w:val="0014183E"/>
    <w:rsid w:val="00144F59"/>
    <w:rsid w:val="001469BE"/>
    <w:rsid w:val="00147B6F"/>
    <w:rsid w:val="00154E71"/>
    <w:rsid w:val="001605CE"/>
    <w:rsid w:val="001720A4"/>
    <w:rsid w:val="00181456"/>
    <w:rsid w:val="00182CE6"/>
    <w:rsid w:val="00187F98"/>
    <w:rsid w:val="00193440"/>
    <w:rsid w:val="00193EF3"/>
    <w:rsid w:val="00195679"/>
    <w:rsid w:val="001A04E5"/>
    <w:rsid w:val="001B103C"/>
    <w:rsid w:val="001B1DC0"/>
    <w:rsid w:val="001B51FB"/>
    <w:rsid w:val="001C3FEE"/>
    <w:rsid w:val="001C486D"/>
    <w:rsid w:val="001D022B"/>
    <w:rsid w:val="001D1A8E"/>
    <w:rsid w:val="001D345B"/>
    <w:rsid w:val="001D35E7"/>
    <w:rsid w:val="001E15ED"/>
    <w:rsid w:val="001E217C"/>
    <w:rsid w:val="001E507E"/>
    <w:rsid w:val="001E5F3E"/>
    <w:rsid w:val="001E6028"/>
    <w:rsid w:val="001E6688"/>
    <w:rsid w:val="001E7E1D"/>
    <w:rsid w:val="001E7EFE"/>
    <w:rsid w:val="001F061C"/>
    <w:rsid w:val="001F1AC3"/>
    <w:rsid w:val="001F7989"/>
    <w:rsid w:val="00202278"/>
    <w:rsid w:val="00202459"/>
    <w:rsid w:val="002040C6"/>
    <w:rsid w:val="00204422"/>
    <w:rsid w:val="002069DC"/>
    <w:rsid w:val="00210681"/>
    <w:rsid w:val="0021100C"/>
    <w:rsid w:val="0021220C"/>
    <w:rsid w:val="00214826"/>
    <w:rsid w:val="00225EBD"/>
    <w:rsid w:val="00231716"/>
    <w:rsid w:val="00231A7F"/>
    <w:rsid w:val="00231C63"/>
    <w:rsid w:val="00231EC9"/>
    <w:rsid w:val="0023594A"/>
    <w:rsid w:val="00237760"/>
    <w:rsid w:val="00237DB5"/>
    <w:rsid w:val="00241D5D"/>
    <w:rsid w:val="0024283A"/>
    <w:rsid w:val="002442F3"/>
    <w:rsid w:val="00244FE8"/>
    <w:rsid w:val="0024635D"/>
    <w:rsid w:val="002508C8"/>
    <w:rsid w:val="00250A89"/>
    <w:rsid w:val="00253D15"/>
    <w:rsid w:val="00262AA5"/>
    <w:rsid w:val="002643C1"/>
    <w:rsid w:val="00264C32"/>
    <w:rsid w:val="00267E63"/>
    <w:rsid w:val="002720BB"/>
    <w:rsid w:val="00276FBD"/>
    <w:rsid w:val="00283F3B"/>
    <w:rsid w:val="00284272"/>
    <w:rsid w:val="002954B9"/>
    <w:rsid w:val="00295B68"/>
    <w:rsid w:val="00297A18"/>
    <w:rsid w:val="002A2C45"/>
    <w:rsid w:val="002A3A14"/>
    <w:rsid w:val="002A4492"/>
    <w:rsid w:val="002B3782"/>
    <w:rsid w:val="002B63B1"/>
    <w:rsid w:val="002C082F"/>
    <w:rsid w:val="002C20A1"/>
    <w:rsid w:val="002C3054"/>
    <w:rsid w:val="002C3923"/>
    <w:rsid w:val="002C4AB6"/>
    <w:rsid w:val="002D6801"/>
    <w:rsid w:val="002D7035"/>
    <w:rsid w:val="002E1265"/>
    <w:rsid w:val="002E3C17"/>
    <w:rsid w:val="002E3F14"/>
    <w:rsid w:val="002F0156"/>
    <w:rsid w:val="002F109A"/>
    <w:rsid w:val="002F17B8"/>
    <w:rsid w:val="002F3960"/>
    <w:rsid w:val="002F41F8"/>
    <w:rsid w:val="00300CA0"/>
    <w:rsid w:val="00303545"/>
    <w:rsid w:val="00305FD8"/>
    <w:rsid w:val="003101D8"/>
    <w:rsid w:val="00310452"/>
    <w:rsid w:val="00313209"/>
    <w:rsid w:val="0031546B"/>
    <w:rsid w:val="00316338"/>
    <w:rsid w:val="00316AD3"/>
    <w:rsid w:val="00321EB0"/>
    <w:rsid w:val="0032336B"/>
    <w:rsid w:val="00323FAA"/>
    <w:rsid w:val="0033098E"/>
    <w:rsid w:val="00332BA5"/>
    <w:rsid w:val="003378C2"/>
    <w:rsid w:val="00344B8C"/>
    <w:rsid w:val="00345277"/>
    <w:rsid w:val="003469CD"/>
    <w:rsid w:val="003475B0"/>
    <w:rsid w:val="00354A55"/>
    <w:rsid w:val="00355163"/>
    <w:rsid w:val="00360E12"/>
    <w:rsid w:val="0036415A"/>
    <w:rsid w:val="00364A03"/>
    <w:rsid w:val="003677FC"/>
    <w:rsid w:val="0037017B"/>
    <w:rsid w:val="003741F6"/>
    <w:rsid w:val="00374B39"/>
    <w:rsid w:val="003755AA"/>
    <w:rsid w:val="003755C9"/>
    <w:rsid w:val="00385E58"/>
    <w:rsid w:val="00387DA1"/>
    <w:rsid w:val="0039148D"/>
    <w:rsid w:val="003918CD"/>
    <w:rsid w:val="00394103"/>
    <w:rsid w:val="00395097"/>
    <w:rsid w:val="00395DD3"/>
    <w:rsid w:val="00395FA8"/>
    <w:rsid w:val="00397DAD"/>
    <w:rsid w:val="003A0668"/>
    <w:rsid w:val="003A1DF5"/>
    <w:rsid w:val="003B0ABD"/>
    <w:rsid w:val="003B0B26"/>
    <w:rsid w:val="003B6759"/>
    <w:rsid w:val="003B6A33"/>
    <w:rsid w:val="003B7F40"/>
    <w:rsid w:val="003C23B2"/>
    <w:rsid w:val="003C7277"/>
    <w:rsid w:val="003D05FD"/>
    <w:rsid w:val="003D1EC4"/>
    <w:rsid w:val="003D1FEE"/>
    <w:rsid w:val="003D20C3"/>
    <w:rsid w:val="003D338B"/>
    <w:rsid w:val="003D637D"/>
    <w:rsid w:val="003D6411"/>
    <w:rsid w:val="003E05A3"/>
    <w:rsid w:val="003E0BE1"/>
    <w:rsid w:val="003E1342"/>
    <w:rsid w:val="003E18D8"/>
    <w:rsid w:val="003E746F"/>
    <w:rsid w:val="003F6765"/>
    <w:rsid w:val="003F700A"/>
    <w:rsid w:val="003F751D"/>
    <w:rsid w:val="00401B24"/>
    <w:rsid w:val="00402E7F"/>
    <w:rsid w:val="004042B6"/>
    <w:rsid w:val="0040704F"/>
    <w:rsid w:val="004145E9"/>
    <w:rsid w:val="004157A4"/>
    <w:rsid w:val="00415D29"/>
    <w:rsid w:val="004171D2"/>
    <w:rsid w:val="00423F93"/>
    <w:rsid w:val="00424F04"/>
    <w:rsid w:val="004276EF"/>
    <w:rsid w:val="004314B8"/>
    <w:rsid w:val="0043241F"/>
    <w:rsid w:val="00433CB1"/>
    <w:rsid w:val="00435A8C"/>
    <w:rsid w:val="00436498"/>
    <w:rsid w:val="00436600"/>
    <w:rsid w:val="00440F44"/>
    <w:rsid w:val="004466E8"/>
    <w:rsid w:val="00450514"/>
    <w:rsid w:val="00451704"/>
    <w:rsid w:val="00452F01"/>
    <w:rsid w:val="00457FA5"/>
    <w:rsid w:val="00462734"/>
    <w:rsid w:val="0046365F"/>
    <w:rsid w:val="004657AC"/>
    <w:rsid w:val="00471258"/>
    <w:rsid w:val="00473A8E"/>
    <w:rsid w:val="0047403E"/>
    <w:rsid w:val="00476C23"/>
    <w:rsid w:val="00480A57"/>
    <w:rsid w:val="00480C2B"/>
    <w:rsid w:val="0048279C"/>
    <w:rsid w:val="00483AB9"/>
    <w:rsid w:val="00490707"/>
    <w:rsid w:val="00491A48"/>
    <w:rsid w:val="004938AF"/>
    <w:rsid w:val="0049577F"/>
    <w:rsid w:val="004B0DAC"/>
    <w:rsid w:val="004B283C"/>
    <w:rsid w:val="004B7ACE"/>
    <w:rsid w:val="004C269E"/>
    <w:rsid w:val="004C5362"/>
    <w:rsid w:val="004C742E"/>
    <w:rsid w:val="004D29C6"/>
    <w:rsid w:val="004D5521"/>
    <w:rsid w:val="004D5BF9"/>
    <w:rsid w:val="004D7E59"/>
    <w:rsid w:val="004E0A26"/>
    <w:rsid w:val="004F34F3"/>
    <w:rsid w:val="004F4A0C"/>
    <w:rsid w:val="004F63B7"/>
    <w:rsid w:val="00502897"/>
    <w:rsid w:val="005033BE"/>
    <w:rsid w:val="0050431E"/>
    <w:rsid w:val="005067BB"/>
    <w:rsid w:val="005073A0"/>
    <w:rsid w:val="00510F15"/>
    <w:rsid w:val="00512332"/>
    <w:rsid w:val="00521784"/>
    <w:rsid w:val="005235C4"/>
    <w:rsid w:val="00525319"/>
    <w:rsid w:val="00527468"/>
    <w:rsid w:val="0053029A"/>
    <w:rsid w:val="005314D7"/>
    <w:rsid w:val="005328FB"/>
    <w:rsid w:val="0053348A"/>
    <w:rsid w:val="00533EA3"/>
    <w:rsid w:val="00534744"/>
    <w:rsid w:val="00540948"/>
    <w:rsid w:val="00547417"/>
    <w:rsid w:val="00554579"/>
    <w:rsid w:val="00556DC6"/>
    <w:rsid w:val="0056049A"/>
    <w:rsid w:val="00560A13"/>
    <w:rsid w:val="005636C1"/>
    <w:rsid w:val="00570657"/>
    <w:rsid w:val="00571C50"/>
    <w:rsid w:val="005725C5"/>
    <w:rsid w:val="005737A8"/>
    <w:rsid w:val="00573E21"/>
    <w:rsid w:val="005760BE"/>
    <w:rsid w:val="00580988"/>
    <w:rsid w:val="00584F0C"/>
    <w:rsid w:val="00585B94"/>
    <w:rsid w:val="0058654F"/>
    <w:rsid w:val="00594009"/>
    <w:rsid w:val="00595F4D"/>
    <w:rsid w:val="005962AF"/>
    <w:rsid w:val="00596C73"/>
    <w:rsid w:val="005A0E1D"/>
    <w:rsid w:val="005A4EAF"/>
    <w:rsid w:val="005B0036"/>
    <w:rsid w:val="005B1749"/>
    <w:rsid w:val="005B3F17"/>
    <w:rsid w:val="005B51AB"/>
    <w:rsid w:val="005B6F29"/>
    <w:rsid w:val="005B7C4B"/>
    <w:rsid w:val="005C08CE"/>
    <w:rsid w:val="005C2407"/>
    <w:rsid w:val="005D1D85"/>
    <w:rsid w:val="005D24AC"/>
    <w:rsid w:val="005D42F4"/>
    <w:rsid w:val="005D590F"/>
    <w:rsid w:val="005D5F25"/>
    <w:rsid w:val="005D5F82"/>
    <w:rsid w:val="005D66BB"/>
    <w:rsid w:val="005D7F3E"/>
    <w:rsid w:val="005E0907"/>
    <w:rsid w:val="005E0EF5"/>
    <w:rsid w:val="005E716C"/>
    <w:rsid w:val="005E7CE6"/>
    <w:rsid w:val="005F10C5"/>
    <w:rsid w:val="005F2C64"/>
    <w:rsid w:val="005F3A7D"/>
    <w:rsid w:val="005F4DF6"/>
    <w:rsid w:val="005F50FC"/>
    <w:rsid w:val="005F6F82"/>
    <w:rsid w:val="00602CAB"/>
    <w:rsid w:val="00610142"/>
    <w:rsid w:val="00612EBD"/>
    <w:rsid w:val="0061392E"/>
    <w:rsid w:val="006167BC"/>
    <w:rsid w:val="006215AA"/>
    <w:rsid w:val="00640F5C"/>
    <w:rsid w:val="00642AD4"/>
    <w:rsid w:val="006434AD"/>
    <w:rsid w:val="00644FD2"/>
    <w:rsid w:val="006503FC"/>
    <w:rsid w:val="006504BC"/>
    <w:rsid w:val="00651590"/>
    <w:rsid w:val="00653B63"/>
    <w:rsid w:val="00653E8E"/>
    <w:rsid w:val="006552AA"/>
    <w:rsid w:val="00656489"/>
    <w:rsid w:val="00657D91"/>
    <w:rsid w:val="00657E95"/>
    <w:rsid w:val="006605AF"/>
    <w:rsid w:val="0066267B"/>
    <w:rsid w:val="00663304"/>
    <w:rsid w:val="006643F5"/>
    <w:rsid w:val="00664C8A"/>
    <w:rsid w:val="00665413"/>
    <w:rsid w:val="00665ADB"/>
    <w:rsid w:val="00672632"/>
    <w:rsid w:val="00674D49"/>
    <w:rsid w:val="0067565D"/>
    <w:rsid w:val="0067615B"/>
    <w:rsid w:val="00680E0E"/>
    <w:rsid w:val="00681918"/>
    <w:rsid w:val="00682B58"/>
    <w:rsid w:val="006838A2"/>
    <w:rsid w:val="00684E4A"/>
    <w:rsid w:val="00686970"/>
    <w:rsid w:val="00686AA8"/>
    <w:rsid w:val="00687A40"/>
    <w:rsid w:val="006925C3"/>
    <w:rsid w:val="00693EEF"/>
    <w:rsid w:val="00696726"/>
    <w:rsid w:val="00697C45"/>
    <w:rsid w:val="006A37C0"/>
    <w:rsid w:val="006A3B0D"/>
    <w:rsid w:val="006A52B5"/>
    <w:rsid w:val="006A585E"/>
    <w:rsid w:val="006A7EDB"/>
    <w:rsid w:val="006B17C9"/>
    <w:rsid w:val="006B1D95"/>
    <w:rsid w:val="006B29D1"/>
    <w:rsid w:val="006B5855"/>
    <w:rsid w:val="006B7FDF"/>
    <w:rsid w:val="006C1578"/>
    <w:rsid w:val="006C1DE8"/>
    <w:rsid w:val="006C61B8"/>
    <w:rsid w:val="006D0895"/>
    <w:rsid w:val="006D1431"/>
    <w:rsid w:val="006D1BF2"/>
    <w:rsid w:val="006D6072"/>
    <w:rsid w:val="006D72FA"/>
    <w:rsid w:val="006E29D1"/>
    <w:rsid w:val="006E6DCB"/>
    <w:rsid w:val="006E788B"/>
    <w:rsid w:val="006F1452"/>
    <w:rsid w:val="006F2303"/>
    <w:rsid w:val="006F5528"/>
    <w:rsid w:val="006F6DA6"/>
    <w:rsid w:val="00701405"/>
    <w:rsid w:val="00707831"/>
    <w:rsid w:val="007116D7"/>
    <w:rsid w:val="00723703"/>
    <w:rsid w:val="007246DC"/>
    <w:rsid w:val="007260AC"/>
    <w:rsid w:val="00730E6F"/>
    <w:rsid w:val="00731292"/>
    <w:rsid w:val="00731779"/>
    <w:rsid w:val="00731A6A"/>
    <w:rsid w:val="007361C5"/>
    <w:rsid w:val="00740B73"/>
    <w:rsid w:val="0074466A"/>
    <w:rsid w:val="00754898"/>
    <w:rsid w:val="00756496"/>
    <w:rsid w:val="00757803"/>
    <w:rsid w:val="00762D02"/>
    <w:rsid w:val="00764CA7"/>
    <w:rsid w:val="00767E8A"/>
    <w:rsid w:val="00771991"/>
    <w:rsid w:val="00772EBC"/>
    <w:rsid w:val="007816C9"/>
    <w:rsid w:val="00781E9F"/>
    <w:rsid w:val="007860C0"/>
    <w:rsid w:val="00790825"/>
    <w:rsid w:val="007A0FC4"/>
    <w:rsid w:val="007A134C"/>
    <w:rsid w:val="007A203D"/>
    <w:rsid w:val="007B0B58"/>
    <w:rsid w:val="007B30B2"/>
    <w:rsid w:val="007B48F5"/>
    <w:rsid w:val="007C0444"/>
    <w:rsid w:val="007C2D3D"/>
    <w:rsid w:val="007C37EE"/>
    <w:rsid w:val="007C760F"/>
    <w:rsid w:val="007C7FFE"/>
    <w:rsid w:val="007D2348"/>
    <w:rsid w:val="007D469C"/>
    <w:rsid w:val="007D4C22"/>
    <w:rsid w:val="007D58AF"/>
    <w:rsid w:val="007E3E43"/>
    <w:rsid w:val="007E40E0"/>
    <w:rsid w:val="007E52F9"/>
    <w:rsid w:val="007E5C52"/>
    <w:rsid w:val="007F31A8"/>
    <w:rsid w:val="007F6B11"/>
    <w:rsid w:val="00801268"/>
    <w:rsid w:val="00802837"/>
    <w:rsid w:val="00811D4D"/>
    <w:rsid w:val="00812438"/>
    <w:rsid w:val="00812CAA"/>
    <w:rsid w:val="008212DD"/>
    <w:rsid w:val="0083071A"/>
    <w:rsid w:val="00836EE1"/>
    <w:rsid w:val="008400E1"/>
    <w:rsid w:val="00841492"/>
    <w:rsid w:val="00843E7D"/>
    <w:rsid w:val="00844A81"/>
    <w:rsid w:val="00845DB6"/>
    <w:rsid w:val="00847609"/>
    <w:rsid w:val="00851DF5"/>
    <w:rsid w:val="00852028"/>
    <w:rsid w:val="00855783"/>
    <w:rsid w:val="00855B79"/>
    <w:rsid w:val="0086018E"/>
    <w:rsid w:val="0086065B"/>
    <w:rsid w:val="00861EC0"/>
    <w:rsid w:val="00866786"/>
    <w:rsid w:val="00866CEB"/>
    <w:rsid w:val="008701DF"/>
    <w:rsid w:val="00870960"/>
    <w:rsid w:val="00870DD8"/>
    <w:rsid w:val="00872615"/>
    <w:rsid w:val="00872825"/>
    <w:rsid w:val="008755F7"/>
    <w:rsid w:val="00875C10"/>
    <w:rsid w:val="00877D36"/>
    <w:rsid w:val="0088160B"/>
    <w:rsid w:val="008819CB"/>
    <w:rsid w:val="0088464C"/>
    <w:rsid w:val="00886FE9"/>
    <w:rsid w:val="008922FC"/>
    <w:rsid w:val="00892EC7"/>
    <w:rsid w:val="00892FB7"/>
    <w:rsid w:val="008934E6"/>
    <w:rsid w:val="00894746"/>
    <w:rsid w:val="00894D1F"/>
    <w:rsid w:val="00896FC3"/>
    <w:rsid w:val="00897D2F"/>
    <w:rsid w:val="008A2113"/>
    <w:rsid w:val="008A2989"/>
    <w:rsid w:val="008A43E6"/>
    <w:rsid w:val="008B681A"/>
    <w:rsid w:val="008B6D65"/>
    <w:rsid w:val="008C0591"/>
    <w:rsid w:val="008C6AB2"/>
    <w:rsid w:val="008D08BC"/>
    <w:rsid w:val="008D0A65"/>
    <w:rsid w:val="008D2823"/>
    <w:rsid w:val="008D4F8E"/>
    <w:rsid w:val="008D6B5E"/>
    <w:rsid w:val="008E015B"/>
    <w:rsid w:val="008E0D48"/>
    <w:rsid w:val="008E12EC"/>
    <w:rsid w:val="008E1374"/>
    <w:rsid w:val="008E3261"/>
    <w:rsid w:val="008E4F0D"/>
    <w:rsid w:val="008F13E9"/>
    <w:rsid w:val="008F1AA8"/>
    <w:rsid w:val="008F4CB6"/>
    <w:rsid w:val="008F5F03"/>
    <w:rsid w:val="0090333F"/>
    <w:rsid w:val="00912B1B"/>
    <w:rsid w:val="0091310A"/>
    <w:rsid w:val="00913BCC"/>
    <w:rsid w:val="00916AD6"/>
    <w:rsid w:val="0091C7A6"/>
    <w:rsid w:val="00923C64"/>
    <w:rsid w:val="009246AC"/>
    <w:rsid w:val="00924D9D"/>
    <w:rsid w:val="00934BB4"/>
    <w:rsid w:val="0093624A"/>
    <w:rsid w:val="00941FCD"/>
    <w:rsid w:val="00951C2E"/>
    <w:rsid w:val="009645BB"/>
    <w:rsid w:val="00971480"/>
    <w:rsid w:val="009721FE"/>
    <w:rsid w:val="00973C50"/>
    <w:rsid w:val="00977144"/>
    <w:rsid w:val="00977E7F"/>
    <w:rsid w:val="00980466"/>
    <w:rsid w:val="009806FC"/>
    <w:rsid w:val="0098264E"/>
    <w:rsid w:val="00982B46"/>
    <w:rsid w:val="00982D1F"/>
    <w:rsid w:val="00984E65"/>
    <w:rsid w:val="009A15BE"/>
    <w:rsid w:val="009A5AA5"/>
    <w:rsid w:val="009A7938"/>
    <w:rsid w:val="009B322A"/>
    <w:rsid w:val="009B3602"/>
    <w:rsid w:val="009B44B4"/>
    <w:rsid w:val="009B5BBC"/>
    <w:rsid w:val="009B65E5"/>
    <w:rsid w:val="009B710A"/>
    <w:rsid w:val="009C2D71"/>
    <w:rsid w:val="009D00C8"/>
    <w:rsid w:val="009D1AEB"/>
    <w:rsid w:val="009D64AB"/>
    <w:rsid w:val="009D67A3"/>
    <w:rsid w:val="009E0216"/>
    <w:rsid w:val="009E0EA2"/>
    <w:rsid w:val="009E1ACB"/>
    <w:rsid w:val="009E4D2B"/>
    <w:rsid w:val="009E65DF"/>
    <w:rsid w:val="009E6B4F"/>
    <w:rsid w:val="009F1427"/>
    <w:rsid w:val="009F2D8F"/>
    <w:rsid w:val="009F76D7"/>
    <w:rsid w:val="00A01106"/>
    <w:rsid w:val="00A04C6B"/>
    <w:rsid w:val="00A05BFA"/>
    <w:rsid w:val="00A062F3"/>
    <w:rsid w:val="00A10745"/>
    <w:rsid w:val="00A109B1"/>
    <w:rsid w:val="00A11372"/>
    <w:rsid w:val="00A122AE"/>
    <w:rsid w:val="00A14F72"/>
    <w:rsid w:val="00A163BD"/>
    <w:rsid w:val="00A170E4"/>
    <w:rsid w:val="00A17214"/>
    <w:rsid w:val="00A22FA0"/>
    <w:rsid w:val="00A238E3"/>
    <w:rsid w:val="00A24704"/>
    <w:rsid w:val="00A33BF7"/>
    <w:rsid w:val="00A54805"/>
    <w:rsid w:val="00A57F6E"/>
    <w:rsid w:val="00A61F0A"/>
    <w:rsid w:val="00A703E3"/>
    <w:rsid w:val="00A72BB3"/>
    <w:rsid w:val="00A72CE2"/>
    <w:rsid w:val="00A74260"/>
    <w:rsid w:val="00A77B60"/>
    <w:rsid w:val="00A87098"/>
    <w:rsid w:val="00A879A3"/>
    <w:rsid w:val="00A87BFE"/>
    <w:rsid w:val="00A93439"/>
    <w:rsid w:val="00A95343"/>
    <w:rsid w:val="00A95FD6"/>
    <w:rsid w:val="00A966A2"/>
    <w:rsid w:val="00A96ADB"/>
    <w:rsid w:val="00A970DE"/>
    <w:rsid w:val="00AA0EBA"/>
    <w:rsid w:val="00AA2F1B"/>
    <w:rsid w:val="00AA3772"/>
    <w:rsid w:val="00AA52EE"/>
    <w:rsid w:val="00AB28B5"/>
    <w:rsid w:val="00AB4AED"/>
    <w:rsid w:val="00AB630B"/>
    <w:rsid w:val="00AC3AFA"/>
    <w:rsid w:val="00AC4819"/>
    <w:rsid w:val="00AC5D57"/>
    <w:rsid w:val="00AC6D78"/>
    <w:rsid w:val="00AC7E0E"/>
    <w:rsid w:val="00AD11C0"/>
    <w:rsid w:val="00AD15E2"/>
    <w:rsid w:val="00AD1F9C"/>
    <w:rsid w:val="00AD6960"/>
    <w:rsid w:val="00AF0BEB"/>
    <w:rsid w:val="00AF4822"/>
    <w:rsid w:val="00AF4A81"/>
    <w:rsid w:val="00AF5519"/>
    <w:rsid w:val="00AF581F"/>
    <w:rsid w:val="00AF614F"/>
    <w:rsid w:val="00B0164D"/>
    <w:rsid w:val="00B0422C"/>
    <w:rsid w:val="00B12609"/>
    <w:rsid w:val="00B15897"/>
    <w:rsid w:val="00B2078D"/>
    <w:rsid w:val="00B20C5E"/>
    <w:rsid w:val="00B2546D"/>
    <w:rsid w:val="00B27CC5"/>
    <w:rsid w:val="00B30F47"/>
    <w:rsid w:val="00B31648"/>
    <w:rsid w:val="00B3269C"/>
    <w:rsid w:val="00B3707F"/>
    <w:rsid w:val="00B40A31"/>
    <w:rsid w:val="00B40F83"/>
    <w:rsid w:val="00B50E55"/>
    <w:rsid w:val="00B6337A"/>
    <w:rsid w:val="00B70B6C"/>
    <w:rsid w:val="00B70B6D"/>
    <w:rsid w:val="00B80408"/>
    <w:rsid w:val="00B806ED"/>
    <w:rsid w:val="00B80AB6"/>
    <w:rsid w:val="00B82F1C"/>
    <w:rsid w:val="00B87EDA"/>
    <w:rsid w:val="00B92045"/>
    <w:rsid w:val="00B92401"/>
    <w:rsid w:val="00B92AB4"/>
    <w:rsid w:val="00B93F8C"/>
    <w:rsid w:val="00B960DF"/>
    <w:rsid w:val="00BA1C8C"/>
    <w:rsid w:val="00BA2013"/>
    <w:rsid w:val="00BA594C"/>
    <w:rsid w:val="00BA7888"/>
    <w:rsid w:val="00BB0E7F"/>
    <w:rsid w:val="00BB39DE"/>
    <w:rsid w:val="00BC30E1"/>
    <w:rsid w:val="00BC5F1F"/>
    <w:rsid w:val="00BD0A28"/>
    <w:rsid w:val="00BD0E24"/>
    <w:rsid w:val="00BD12C5"/>
    <w:rsid w:val="00BD1B0C"/>
    <w:rsid w:val="00BD1BDA"/>
    <w:rsid w:val="00BD207B"/>
    <w:rsid w:val="00BD3D8C"/>
    <w:rsid w:val="00BD4330"/>
    <w:rsid w:val="00BD7CFA"/>
    <w:rsid w:val="00BE0457"/>
    <w:rsid w:val="00BE0C8F"/>
    <w:rsid w:val="00BE0E76"/>
    <w:rsid w:val="00BE2C52"/>
    <w:rsid w:val="00BE5A3B"/>
    <w:rsid w:val="00BF05B9"/>
    <w:rsid w:val="00BF1631"/>
    <w:rsid w:val="00BF4F29"/>
    <w:rsid w:val="00BF54BA"/>
    <w:rsid w:val="00BF6D42"/>
    <w:rsid w:val="00C020C1"/>
    <w:rsid w:val="00C06EDA"/>
    <w:rsid w:val="00C06FCD"/>
    <w:rsid w:val="00C07E01"/>
    <w:rsid w:val="00C10B9D"/>
    <w:rsid w:val="00C11280"/>
    <w:rsid w:val="00C1466E"/>
    <w:rsid w:val="00C151B7"/>
    <w:rsid w:val="00C206CD"/>
    <w:rsid w:val="00C2164E"/>
    <w:rsid w:val="00C23F12"/>
    <w:rsid w:val="00C25D91"/>
    <w:rsid w:val="00C318EE"/>
    <w:rsid w:val="00C34B6F"/>
    <w:rsid w:val="00C35F68"/>
    <w:rsid w:val="00C37B5C"/>
    <w:rsid w:val="00C42051"/>
    <w:rsid w:val="00C43287"/>
    <w:rsid w:val="00C52CF4"/>
    <w:rsid w:val="00C545C3"/>
    <w:rsid w:val="00C61626"/>
    <w:rsid w:val="00C6211B"/>
    <w:rsid w:val="00C6248F"/>
    <w:rsid w:val="00C6379E"/>
    <w:rsid w:val="00C66938"/>
    <w:rsid w:val="00C67CDE"/>
    <w:rsid w:val="00C72386"/>
    <w:rsid w:val="00C73C8D"/>
    <w:rsid w:val="00C74101"/>
    <w:rsid w:val="00C74ACB"/>
    <w:rsid w:val="00C7552F"/>
    <w:rsid w:val="00C820A5"/>
    <w:rsid w:val="00C820FA"/>
    <w:rsid w:val="00C85F9E"/>
    <w:rsid w:val="00C861F3"/>
    <w:rsid w:val="00C87109"/>
    <w:rsid w:val="00C87903"/>
    <w:rsid w:val="00C9261A"/>
    <w:rsid w:val="00C93D6D"/>
    <w:rsid w:val="00C95487"/>
    <w:rsid w:val="00CA3BCF"/>
    <w:rsid w:val="00CA48FA"/>
    <w:rsid w:val="00CB6BFA"/>
    <w:rsid w:val="00CC0F99"/>
    <w:rsid w:val="00CC3457"/>
    <w:rsid w:val="00CC41F7"/>
    <w:rsid w:val="00CC6516"/>
    <w:rsid w:val="00CC7065"/>
    <w:rsid w:val="00CD018E"/>
    <w:rsid w:val="00CD0B7D"/>
    <w:rsid w:val="00CD46C0"/>
    <w:rsid w:val="00CE186E"/>
    <w:rsid w:val="00CE5FAF"/>
    <w:rsid w:val="00CF2BC2"/>
    <w:rsid w:val="00CF2E47"/>
    <w:rsid w:val="00CF35A6"/>
    <w:rsid w:val="00CF3C6C"/>
    <w:rsid w:val="00CF7B32"/>
    <w:rsid w:val="00D00FE9"/>
    <w:rsid w:val="00D04AD6"/>
    <w:rsid w:val="00D067C0"/>
    <w:rsid w:val="00D07372"/>
    <w:rsid w:val="00D1363F"/>
    <w:rsid w:val="00D20FE0"/>
    <w:rsid w:val="00D22A56"/>
    <w:rsid w:val="00D2626D"/>
    <w:rsid w:val="00D26C55"/>
    <w:rsid w:val="00D26D12"/>
    <w:rsid w:val="00D279DF"/>
    <w:rsid w:val="00D30A13"/>
    <w:rsid w:val="00D32AA4"/>
    <w:rsid w:val="00D32E3D"/>
    <w:rsid w:val="00D33D2A"/>
    <w:rsid w:val="00D41173"/>
    <w:rsid w:val="00D41DB6"/>
    <w:rsid w:val="00D5242C"/>
    <w:rsid w:val="00D5244E"/>
    <w:rsid w:val="00D53ADD"/>
    <w:rsid w:val="00D54508"/>
    <w:rsid w:val="00D5621B"/>
    <w:rsid w:val="00D63659"/>
    <w:rsid w:val="00D63AC7"/>
    <w:rsid w:val="00D758AB"/>
    <w:rsid w:val="00D75C32"/>
    <w:rsid w:val="00D75DDD"/>
    <w:rsid w:val="00D83DC4"/>
    <w:rsid w:val="00D90DCB"/>
    <w:rsid w:val="00D91179"/>
    <w:rsid w:val="00D91BEB"/>
    <w:rsid w:val="00D91D05"/>
    <w:rsid w:val="00D93D4D"/>
    <w:rsid w:val="00D95C78"/>
    <w:rsid w:val="00D968A2"/>
    <w:rsid w:val="00D973D0"/>
    <w:rsid w:val="00D9750B"/>
    <w:rsid w:val="00DA1E22"/>
    <w:rsid w:val="00DA3BD1"/>
    <w:rsid w:val="00DB1D36"/>
    <w:rsid w:val="00DB3C87"/>
    <w:rsid w:val="00DB458F"/>
    <w:rsid w:val="00DB6059"/>
    <w:rsid w:val="00DB799A"/>
    <w:rsid w:val="00DB7C98"/>
    <w:rsid w:val="00DC173D"/>
    <w:rsid w:val="00DC4F12"/>
    <w:rsid w:val="00DC703E"/>
    <w:rsid w:val="00DC755A"/>
    <w:rsid w:val="00DD1704"/>
    <w:rsid w:val="00DD3BD8"/>
    <w:rsid w:val="00DD7872"/>
    <w:rsid w:val="00DE486D"/>
    <w:rsid w:val="00DE664A"/>
    <w:rsid w:val="00DF2301"/>
    <w:rsid w:val="00DF2360"/>
    <w:rsid w:val="00DF2C89"/>
    <w:rsid w:val="00DF2FF0"/>
    <w:rsid w:val="00DF4F66"/>
    <w:rsid w:val="00DF6816"/>
    <w:rsid w:val="00E1029B"/>
    <w:rsid w:val="00E1257F"/>
    <w:rsid w:val="00E26FB4"/>
    <w:rsid w:val="00E27453"/>
    <w:rsid w:val="00E27935"/>
    <w:rsid w:val="00E30F8E"/>
    <w:rsid w:val="00E31602"/>
    <w:rsid w:val="00E37259"/>
    <w:rsid w:val="00E3739D"/>
    <w:rsid w:val="00E37456"/>
    <w:rsid w:val="00E4399D"/>
    <w:rsid w:val="00E52D8D"/>
    <w:rsid w:val="00E55393"/>
    <w:rsid w:val="00E605B9"/>
    <w:rsid w:val="00E61687"/>
    <w:rsid w:val="00E619D8"/>
    <w:rsid w:val="00E61CFE"/>
    <w:rsid w:val="00E65CD6"/>
    <w:rsid w:val="00E70F59"/>
    <w:rsid w:val="00E72608"/>
    <w:rsid w:val="00E73D21"/>
    <w:rsid w:val="00E77EB2"/>
    <w:rsid w:val="00E86B83"/>
    <w:rsid w:val="00E934DA"/>
    <w:rsid w:val="00E942BA"/>
    <w:rsid w:val="00E979D2"/>
    <w:rsid w:val="00EA23A9"/>
    <w:rsid w:val="00EA3DE4"/>
    <w:rsid w:val="00EA47A2"/>
    <w:rsid w:val="00EA5FE9"/>
    <w:rsid w:val="00EB19F3"/>
    <w:rsid w:val="00EB6074"/>
    <w:rsid w:val="00EC0B17"/>
    <w:rsid w:val="00EC44E7"/>
    <w:rsid w:val="00EC519C"/>
    <w:rsid w:val="00EC7404"/>
    <w:rsid w:val="00ED0D05"/>
    <w:rsid w:val="00ED4349"/>
    <w:rsid w:val="00ED506C"/>
    <w:rsid w:val="00ED70B1"/>
    <w:rsid w:val="00ED7D44"/>
    <w:rsid w:val="00EE0693"/>
    <w:rsid w:val="00EE1700"/>
    <w:rsid w:val="00EE186F"/>
    <w:rsid w:val="00EE68D6"/>
    <w:rsid w:val="00EF51F6"/>
    <w:rsid w:val="00EF73DE"/>
    <w:rsid w:val="00F029D8"/>
    <w:rsid w:val="00F0469C"/>
    <w:rsid w:val="00F05296"/>
    <w:rsid w:val="00F07225"/>
    <w:rsid w:val="00F10094"/>
    <w:rsid w:val="00F10D94"/>
    <w:rsid w:val="00F207CD"/>
    <w:rsid w:val="00F21836"/>
    <w:rsid w:val="00F256AF"/>
    <w:rsid w:val="00F25E89"/>
    <w:rsid w:val="00F3182B"/>
    <w:rsid w:val="00F3264B"/>
    <w:rsid w:val="00F3646D"/>
    <w:rsid w:val="00F36966"/>
    <w:rsid w:val="00F37133"/>
    <w:rsid w:val="00F3780F"/>
    <w:rsid w:val="00F437F8"/>
    <w:rsid w:val="00F453F1"/>
    <w:rsid w:val="00F47712"/>
    <w:rsid w:val="00F503EE"/>
    <w:rsid w:val="00F54107"/>
    <w:rsid w:val="00F60B33"/>
    <w:rsid w:val="00F620B1"/>
    <w:rsid w:val="00F6278C"/>
    <w:rsid w:val="00F70875"/>
    <w:rsid w:val="00F70D3D"/>
    <w:rsid w:val="00F735F8"/>
    <w:rsid w:val="00F76084"/>
    <w:rsid w:val="00F77D80"/>
    <w:rsid w:val="00F819BA"/>
    <w:rsid w:val="00F83594"/>
    <w:rsid w:val="00F91C7F"/>
    <w:rsid w:val="00F92B15"/>
    <w:rsid w:val="00F9683E"/>
    <w:rsid w:val="00FA0601"/>
    <w:rsid w:val="00FA09AB"/>
    <w:rsid w:val="00FA7D23"/>
    <w:rsid w:val="00FB14A8"/>
    <w:rsid w:val="00FB6E6C"/>
    <w:rsid w:val="00FC7FD5"/>
    <w:rsid w:val="00FD17BA"/>
    <w:rsid w:val="00FD349C"/>
    <w:rsid w:val="00FD72DA"/>
    <w:rsid w:val="00FD7D4F"/>
    <w:rsid w:val="00FE70C0"/>
    <w:rsid w:val="00FF0372"/>
    <w:rsid w:val="00FF2E86"/>
    <w:rsid w:val="00FF4292"/>
    <w:rsid w:val="00FF4C53"/>
    <w:rsid w:val="00FF69FD"/>
    <w:rsid w:val="010A8A15"/>
    <w:rsid w:val="0181644C"/>
    <w:rsid w:val="03707CAE"/>
    <w:rsid w:val="03742D1A"/>
    <w:rsid w:val="04B7A448"/>
    <w:rsid w:val="051D5610"/>
    <w:rsid w:val="05223213"/>
    <w:rsid w:val="052EBFC1"/>
    <w:rsid w:val="055595C1"/>
    <w:rsid w:val="05A079C5"/>
    <w:rsid w:val="05F260E0"/>
    <w:rsid w:val="062530B1"/>
    <w:rsid w:val="06EAE688"/>
    <w:rsid w:val="07006FAD"/>
    <w:rsid w:val="082C54FC"/>
    <w:rsid w:val="085622AF"/>
    <w:rsid w:val="088C79FE"/>
    <w:rsid w:val="0917BF39"/>
    <w:rsid w:val="0953697E"/>
    <w:rsid w:val="09CBDD7A"/>
    <w:rsid w:val="0B029548"/>
    <w:rsid w:val="0B638A8E"/>
    <w:rsid w:val="0C723C22"/>
    <w:rsid w:val="0D037E3C"/>
    <w:rsid w:val="0D1299A0"/>
    <w:rsid w:val="0D80BA8C"/>
    <w:rsid w:val="0E15B5D0"/>
    <w:rsid w:val="0E741CD1"/>
    <w:rsid w:val="0EA73C23"/>
    <w:rsid w:val="0EBD518F"/>
    <w:rsid w:val="0FFFDE02"/>
    <w:rsid w:val="103B1EFE"/>
    <w:rsid w:val="10A37B57"/>
    <w:rsid w:val="10B52972"/>
    <w:rsid w:val="1157C28B"/>
    <w:rsid w:val="124D97A8"/>
    <w:rsid w:val="1291ABCD"/>
    <w:rsid w:val="13DACF68"/>
    <w:rsid w:val="144D5A56"/>
    <w:rsid w:val="14FCAF5E"/>
    <w:rsid w:val="15EF7047"/>
    <w:rsid w:val="15F38B4F"/>
    <w:rsid w:val="16ABE0DC"/>
    <w:rsid w:val="1784FB18"/>
    <w:rsid w:val="18801419"/>
    <w:rsid w:val="189C3B6B"/>
    <w:rsid w:val="19587E67"/>
    <w:rsid w:val="19F72A57"/>
    <w:rsid w:val="1A105446"/>
    <w:rsid w:val="1BF0B55A"/>
    <w:rsid w:val="1C586C3B"/>
    <w:rsid w:val="1D23FF5E"/>
    <w:rsid w:val="1D3FA695"/>
    <w:rsid w:val="1D93A9A0"/>
    <w:rsid w:val="1DE96219"/>
    <w:rsid w:val="1DF5DBC6"/>
    <w:rsid w:val="1DFA7348"/>
    <w:rsid w:val="1E4AFDBC"/>
    <w:rsid w:val="1EE54468"/>
    <w:rsid w:val="1F955122"/>
    <w:rsid w:val="1FBA27A5"/>
    <w:rsid w:val="1FE6935D"/>
    <w:rsid w:val="2096B1C1"/>
    <w:rsid w:val="20D6F685"/>
    <w:rsid w:val="2134C17F"/>
    <w:rsid w:val="21A93D12"/>
    <w:rsid w:val="222628B3"/>
    <w:rsid w:val="2310D9F3"/>
    <w:rsid w:val="2390D110"/>
    <w:rsid w:val="250BF787"/>
    <w:rsid w:val="25137914"/>
    <w:rsid w:val="25619616"/>
    <w:rsid w:val="256A22E4"/>
    <w:rsid w:val="26DE7FDE"/>
    <w:rsid w:val="2772253F"/>
    <w:rsid w:val="27EC389C"/>
    <w:rsid w:val="2829CE1C"/>
    <w:rsid w:val="293FA617"/>
    <w:rsid w:val="29FB20F8"/>
    <w:rsid w:val="2A15CF29"/>
    <w:rsid w:val="2C19F707"/>
    <w:rsid w:val="2CDEE2E0"/>
    <w:rsid w:val="2D09B8E1"/>
    <w:rsid w:val="2D23B8C1"/>
    <w:rsid w:val="2E124DEC"/>
    <w:rsid w:val="2E5F960D"/>
    <w:rsid w:val="2ECB3F18"/>
    <w:rsid w:val="30293C11"/>
    <w:rsid w:val="30C2E810"/>
    <w:rsid w:val="313955BE"/>
    <w:rsid w:val="3264A465"/>
    <w:rsid w:val="32956185"/>
    <w:rsid w:val="335BAF85"/>
    <w:rsid w:val="34215F36"/>
    <w:rsid w:val="34C21791"/>
    <w:rsid w:val="34FD7AA2"/>
    <w:rsid w:val="36043774"/>
    <w:rsid w:val="36690643"/>
    <w:rsid w:val="36946796"/>
    <w:rsid w:val="36FBB8A6"/>
    <w:rsid w:val="372ACEE2"/>
    <w:rsid w:val="38F8A9B4"/>
    <w:rsid w:val="39550093"/>
    <w:rsid w:val="395A7386"/>
    <w:rsid w:val="3A3E442D"/>
    <w:rsid w:val="3A7149C0"/>
    <w:rsid w:val="3ABCD4EE"/>
    <w:rsid w:val="3ADA15B8"/>
    <w:rsid w:val="3B47CB68"/>
    <w:rsid w:val="3B806C9A"/>
    <w:rsid w:val="3C425586"/>
    <w:rsid w:val="3CC09D70"/>
    <w:rsid w:val="3CE3784F"/>
    <w:rsid w:val="3EE7900D"/>
    <w:rsid w:val="3EEA9AE5"/>
    <w:rsid w:val="3FC44217"/>
    <w:rsid w:val="3FCCF8EB"/>
    <w:rsid w:val="4164CEF3"/>
    <w:rsid w:val="41A8B9F5"/>
    <w:rsid w:val="41F243FC"/>
    <w:rsid w:val="44E5E671"/>
    <w:rsid w:val="4501D35E"/>
    <w:rsid w:val="45139E6C"/>
    <w:rsid w:val="455C9E07"/>
    <w:rsid w:val="45F8A1F7"/>
    <w:rsid w:val="468D5EED"/>
    <w:rsid w:val="46D90242"/>
    <w:rsid w:val="470B70F5"/>
    <w:rsid w:val="47265CE6"/>
    <w:rsid w:val="474729D9"/>
    <w:rsid w:val="48B44395"/>
    <w:rsid w:val="48F31AC6"/>
    <w:rsid w:val="490F824E"/>
    <w:rsid w:val="4A3DBFB4"/>
    <w:rsid w:val="4AC84382"/>
    <w:rsid w:val="4B172153"/>
    <w:rsid w:val="4B5CF19B"/>
    <w:rsid w:val="4C138504"/>
    <w:rsid w:val="4CC71E35"/>
    <w:rsid w:val="4CEDD537"/>
    <w:rsid w:val="4D183D78"/>
    <w:rsid w:val="4D7D06A0"/>
    <w:rsid w:val="4DA2496E"/>
    <w:rsid w:val="4DE0DDDB"/>
    <w:rsid w:val="4E6511D5"/>
    <w:rsid w:val="4FC92B0A"/>
    <w:rsid w:val="50434DAF"/>
    <w:rsid w:val="50479893"/>
    <w:rsid w:val="5217FFEC"/>
    <w:rsid w:val="5314AC84"/>
    <w:rsid w:val="53E1C6B6"/>
    <w:rsid w:val="5552BBBE"/>
    <w:rsid w:val="55D2F53A"/>
    <w:rsid w:val="55D7D475"/>
    <w:rsid w:val="55F0751F"/>
    <w:rsid w:val="56F9C6BB"/>
    <w:rsid w:val="56FB4858"/>
    <w:rsid w:val="57B7D4B4"/>
    <w:rsid w:val="582C1E3D"/>
    <w:rsid w:val="58359BF7"/>
    <w:rsid w:val="58737311"/>
    <w:rsid w:val="5A0F48DA"/>
    <w:rsid w:val="5A5E5C8B"/>
    <w:rsid w:val="5B0DCFDF"/>
    <w:rsid w:val="5BD427A6"/>
    <w:rsid w:val="5BDD66DC"/>
    <w:rsid w:val="5C3A0D7C"/>
    <w:rsid w:val="5D608161"/>
    <w:rsid w:val="5D61329D"/>
    <w:rsid w:val="5D807590"/>
    <w:rsid w:val="5D93837F"/>
    <w:rsid w:val="5DA8274B"/>
    <w:rsid w:val="5DDC3D22"/>
    <w:rsid w:val="5DFD3CA7"/>
    <w:rsid w:val="5EA8F693"/>
    <w:rsid w:val="60158260"/>
    <w:rsid w:val="61235993"/>
    <w:rsid w:val="617CD68A"/>
    <w:rsid w:val="61BAC3E7"/>
    <w:rsid w:val="6404B2A8"/>
    <w:rsid w:val="645E569E"/>
    <w:rsid w:val="654A2C0B"/>
    <w:rsid w:val="65659E6A"/>
    <w:rsid w:val="660D5EA0"/>
    <w:rsid w:val="668E350A"/>
    <w:rsid w:val="6690E110"/>
    <w:rsid w:val="67337FF1"/>
    <w:rsid w:val="67E319AE"/>
    <w:rsid w:val="681C9E7D"/>
    <w:rsid w:val="686AA072"/>
    <w:rsid w:val="690E791D"/>
    <w:rsid w:val="697D4145"/>
    <w:rsid w:val="69B3A810"/>
    <w:rsid w:val="69B53172"/>
    <w:rsid w:val="6A0474D1"/>
    <w:rsid w:val="6A47A353"/>
    <w:rsid w:val="6B4892AB"/>
    <w:rsid w:val="6BCC34CE"/>
    <w:rsid w:val="6C06683B"/>
    <w:rsid w:val="6C086BFB"/>
    <w:rsid w:val="6C3DA3BB"/>
    <w:rsid w:val="6C7D0DC1"/>
    <w:rsid w:val="6D02906B"/>
    <w:rsid w:val="6D79B071"/>
    <w:rsid w:val="6ED7E5F4"/>
    <w:rsid w:val="6F1039F3"/>
    <w:rsid w:val="6F343CD3"/>
    <w:rsid w:val="711954B2"/>
    <w:rsid w:val="72CA12B2"/>
    <w:rsid w:val="74468CE9"/>
    <w:rsid w:val="746EB535"/>
    <w:rsid w:val="748C82CD"/>
    <w:rsid w:val="75498DEB"/>
    <w:rsid w:val="755FB658"/>
    <w:rsid w:val="7587161C"/>
    <w:rsid w:val="758A8088"/>
    <w:rsid w:val="75E48B2F"/>
    <w:rsid w:val="7620BAA7"/>
    <w:rsid w:val="771AAE94"/>
    <w:rsid w:val="79AB8965"/>
    <w:rsid w:val="7A6A6BD0"/>
    <w:rsid w:val="7AB5C76B"/>
    <w:rsid w:val="7AE4526B"/>
    <w:rsid w:val="7B0A4F62"/>
    <w:rsid w:val="7B64CC42"/>
    <w:rsid w:val="7B9F2D12"/>
    <w:rsid w:val="7C07E558"/>
    <w:rsid w:val="7CCBA065"/>
    <w:rsid w:val="7D9A349C"/>
    <w:rsid w:val="7F0DFCAB"/>
    <w:rsid w:val="7F6EB9B3"/>
    <w:rsid w:val="7FAC9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8F23B"/>
  <w15:docId w15:val="{56DA556E-394A-409B-9DD8-FCB56467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8E3"/>
    <w:rPr>
      <w:sz w:val="20"/>
      <w:szCs w:val="20"/>
    </w:rPr>
  </w:style>
  <w:style w:type="paragraph" w:styleId="Ttulo1">
    <w:name w:val="heading 1"/>
    <w:basedOn w:val="Normal"/>
    <w:next w:val="Normal"/>
    <w:link w:val="Ttulo1Car"/>
    <w:uiPriority w:val="99"/>
    <w:qFormat/>
    <w:rsid w:val="00A238E3"/>
    <w:pPr>
      <w:keepNext/>
      <w:spacing w:line="360" w:lineRule="auto"/>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Cambria"/>
      <w:b/>
      <w:bCs/>
      <w:kern w:val="32"/>
      <w:sz w:val="32"/>
      <w:szCs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szCs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Verdana"/>
      <w:spacing w:val="-3"/>
      <w:sz w:val="24"/>
      <w:szCs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cs="Courier New"/>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34BB4"/>
    <w:rPr>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ahoma"/>
      <w:sz w:val="16"/>
      <w:szCs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qFormat/>
    <w:rsid w:val="00187F98"/>
    <w:rPr>
      <w:vertAlign w:val="superscript"/>
    </w:rPr>
  </w:style>
  <w:style w:type="character" w:customStyle="1" w:styleId="SinespaciadoCar1">
    <w:name w:val="Sin espaciado Car1"/>
    <w:link w:val="Sinespaciado"/>
    <w:uiPriority w:val="1"/>
    <w:locked/>
    <w:rsid w:val="0013799C"/>
    <w:rPr>
      <w:rFonts w:ascii="Courier New" w:hAnsi="Courier New" w:cs="Courier New"/>
      <w:sz w:val="22"/>
      <w:szCs w:val="22"/>
      <w:lang w:val="es-ES" w:eastAsia="es-ES"/>
    </w:rPr>
  </w:style>
  <w:style w:type="paragraph" w:styleId="Ttulo">
    <w:name w:val="Title"/>
    <w:basedOn w:val="Normal"/>
    <w:link w:val="TtuloCar"/>
    <w:uiPriority w:val="99"/>
    <w:qFormat/>
    <w:rsid w:val="00310452"/>
    <w:pPr>
      <w:jc w:val="center"/>
    </w:pPr>
    <w:rPr>
      <w:rFonts w:ascii="Arial" w:hAnsi="Arial" w:cs="Arial"/>
      <w:b/>
      <w:bCs/>
      <w:i/>
      <w:iCs/>
      <w:sz w:val="24"/>
      <w:szCs w:val="24"/>
    </w:rPr>
  </w:style>
  <w:style w:type="character" w:customStyle="1" w:styleId="TtuloCar">
    <w:name w:val="Título Car"/>
    <w:basedOn w:val="Fuentedeprrafopredeter"/>
    <w:link w:val="Ttulo"/>
    <w:uiPriority w:val="99"/>
    <w:locked/>
    <w:rsid w:val="00310452"/>
    <w:rPr>
      <w:rFonts w:ascii="Arial" w:hAnsi="Arial" w:cs="Arial"/>
      <w:b/>
      <w:bCs/>
      <w:i/>
      <w:iCs/>
      <w:sz w:val="24"/>
      <w:szCs w:val="24"/>
      <w:lang w:val="es-ES" w:eastAsia="es-ES"/>
    </w:rPr>
  </w:style>
  <w:style w:type="paragraph" w:styleId="Prrafodelista">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cs="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cs="Courier New"/>
    </w:rPr>
  </w:style>
  <w:style w:type="character" w:customStyle="1" w:styleId="SinespaciadoCar">
    <w:name w:val="Sin espaciado Car"/>
    <w:link w:val="Sinespaciado1"/>
    <w:uiPriority w:val="1"/>
    <w:locked/>
    <w:rsid w:val="00283F3B"/>
    <w:rPr>
      <w:rFonts w:ascii="Courier New" w:hAnsi="Courier New" w:cs="Courier New"/>
      <w:sz w:val="22"/>
      <w:szCs w:val="22"/>
      <w:lang w:val="es-ES" w:eastAsia="es-ES"/>
    </w:rPr>
  </w:style>
  <w:style w:type="paragraph" w:customStyle="1" w:styleId="NormalCSJ">
    <w:name w:val="Normal CSJ"/>
    <w:basedOn w:val="Normal"/>
    <w:link w:val="NormalCSJCar"/>
    <w:qFormat/>
    <w:rsid w:val="001C3FE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1C3FEE"/>
    <w:rPr>
      <w:bCs/>
      <w:i/>
      <w:sz w:val="24"/>
      <w:szCs w:val="24"/>
    </w:rPr>
  </w:style>
  <w:style w:type="character" w:customStyle="1" w:styleId="NormalCSJCar">
    <w:name w:val="Normal CSJ Car"/>
    <w:basedOn w:val="Fuentedeprrafopredeter"/>
    <w:link w:val="NormalCSJ"/>
    <w:rsid w:val="001C3FEE"/>
    <w:rPr>
      <w:rFonts w:ascii="Bookman Old Style" w:eastAsia="Calibri" w:hAnsi="Bookman Old Style"/>
      <w:sz w:val="28"/>
      <w:szCs w:val="28"/>
    </w:rPr>
  </w:style>
  <w:style w:type="character" w:customStyle="1" w:styleId="CitaIntraCSJCar">
    <w:name w:val="Cita Intra CSJ Car"/>
    <w:basedOn w:val="NormalCSJCar"/>
    <w:link w:val="CitaIntraCSJ"/>
    <w:rsid w:val="001C3FEE"/>
    <w:rPr>
      <w:rFonts w:ascii="Bookman Old Style" w:eastAsia="Calibri" w:hAnsi="Bookman Old Style"/>
      <w:bCs/>
      <w:i/>
      <w:sz w:val="24"/>
      <w:szCs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246AC"/>
    <w:rPr>
      <w:b/>
      <w:bCs/>
    </w:rPr>
  </w:style>
  <w:style w:type="character" w:customStyle="1" w:styleId="AsuntodelcomentarioCar">
    <w:name w:val="Asunto del comentario Car"/>
    <w:basedOn w:val="TextocomentarioCar"/>
    <w:link w:val="Asuntodelcomentario"/>
    <w:uiPriority w:val="99"/>
    <w:semiHidden/>
    <w:rsid w:val="009246AC"/>
    <w:rPr>
      <w:b/>
      <w:bCs/>
      <w:sz w:val="20"/>
      <w:szCs w:val="20"/>
    </w:rPr>
  </w:style>
  <w:style w:type="character" w:styleId="CitaHTML">
    <w:name w:val="HTML Cite"/>
    <w:basedOn w:val="Fuentedeprrafopredeter"/>
    <w:uiPriority w:val="99"/>
    <w:unhideWhenUsed/>
    <w:rsid w:val="00556DC6"/>
    <w:rPr>
      <w:rFonts w:cs="Times New Roman"/>
      <w:i/>
    </w:rPr>
  </w:style>
  <w:style w:type="character" w:styleId="Nmerodepgina">
    <w:name w:val="page number"/>
    <w:basedOn w:val="Fuentedeprrafopredeter"/>
    <w:uiPriority w:val="99"/>
    <w:rsid w:val="00F256AF"/>
    <w:rPr>
      <w:rFonts w:cs="Times New Roman"/>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2955">
      <w:bodyDiv w:val="1"/>
      <w:marLeft w:val="0"/>
      <w:marRight w:val="0"/>
      <w:marTop w:val="0"/>
      <w:marBottom w:val="0"/>
      <w:divBdr>
        <w:top w:val="none" w:sz="0" w:space="0" w:color="auto"/>
        <w:left w:val="none" w:sz="0" w:space="0" w:color="auto"/>
        <w:bottom w:val="none" w:sz="0" w:space="0" w:color="auto"/>
        <w:right w:val="none" w:sz="0" w:space="0" w:color="auto"/>
      </w:divBdr>
    </w:div>
    <w:div w:id="557326770">
      <w:bodyDiv w:val="1"/>
      <w:marLeft w:val="0"/>
      <w:marRight w:val="0"/>
      <w:marTop w:val="0"/>
      <w:marBottom w:val="0"/>
      <w:divBdr>
        <w:top w:val="none" w:sz="0" w:space="0" w:color="auto"/>
        <w:left w:val="none" w:sz="0" w:space="0" w:color="auto"/>
        <w:bottom w:val="none" w:sz="0" w:space="0" w:color="auto"/>
        <w:right w:val="none" w:sz="0" w:space="0" w:color="auto"/>
      </w:divBdr>
    </w:div>
    <w:div w:id="752552977">
      <w:bodyDiv w:val="1"/>
      <w:marLeft w:val="0"/>
      <w:marRight w:val="0"/>
      <w:marTop w:val="0"/>
      <w:marBottom w:val="0"/>
      <w:divBdr>
        <w:top w:val="none" w:sz="0" w:space="0" w:color="auto"/>
        <w:left w:val="none" w:sz="0" w:space="0" w:color="auto"/>
        <w:bottom w:val="none" w:sz="0" w:space="0" w:color="auto"/>
        <w:right w:val="none" w:sz="0" w:space="0" w:color="auto"/>
      </w:divBdr>
    </w:div>
    <w:div w:id="823011553">
      <w:bodyDiv w:val="1"/>
      <w:marLeft w:val="0"/>
      <w:marRight w:val="0"/>
      <w:marTop w:val="0"/>
      <w:marBottom w:val="0"/>
      <w:divBdr>
        <w:top w:val="none" w:sz="0" w:space="0" w:color="auto"/>
        <w:left w:val="none" w:sz="0" w:space="0" w:color="auto"/>
        <w:bottom w:val="none" w:sz="0" w:space="0" w:color="auto"/>
        <w:right w:val="none" w:sz="0" w:space="0" w:color="auto"/>
      </w:divBdr>
    </w:div>
    <w:div w:id="1124615315">
      <w:bodyDiv w:val="1"/>
      <w:marLeft w:val="0"/>
      <w:marRight w:val="0"/>
      <w:marTop w:val="0"/>
      <w:marBottom w:val="0"/>
      <w:divBdr>
        <w:top w:val="none" w:sz="0" w:space="0" w:color="auto"/>
        <w:left w:val="none" w:sz="0" w:space="0" w:color="auto"/>
        <w:bottom w:val="none" w:sz="0" w:space="0" w:color="auto"/>
        <w:right w:val="none" w:sz="0" w:space="0" w:color="auto"/>
      </w:divBdr>
    </w:div>
    <w:div w:id="1776166596">
      <w:bodyDiv w:val="1"/>
      <w:marLeft w:val="0"/>
      <w:marRight w:val="0"/>
      <w:marTop w:val="0"/>
      <w:marBottom w:val="0"/>
      <w:divBdr>
        <w:top w:val="none" w:sz="0" w:space="0" w:color="auto"/>
        <w:left w:val="none" w:sz="0" w:space="0" w:color="auto"/>
        <w:bottom w:val="none" w:sz="0" w:space="0" w:color="auto"/>
        <w:right w:val="none" w:sz="0" w:space="0" w:color="auto"/>
      </w:divBdr>
    </w:div>
    <w:div w:id="2129003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43b5abaadd6345a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3fe66e6ab09e4806"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7571-9574-4BFA-B559-F2A27EFF1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7263C-2D62-4C39-8BB6-244C68D2AED5}">
  <ds:schemaRefs>
    <ds:schemaRef ds:uri="http://schemas.microsoft.com/sharepoint/v3/contenttype/forms"/>
  </ds:schemaRefs>
</ds:datastoreItem>
</file>

<file path=customXml/itemProps3.xml><?xml version="1.0" encoding="utf-8"?>
<ds:datastoreItem xmlns:ds="http://schemas.openxmlformats.org/officeDocument/2006/customXml" ds:itemID="{B0CB236B-B508-4C8B-A947-1AD12DCED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02683E-6806-4B38-BE5F-9927A888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2093</Words>
  <Characters>11513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Hermides Alonso Gaviria Ocampo</cp:lastModifiedBy>
  <cp:revision>7</cp:revision>
  <cp:lastPrinted>2020-02-26T15:16:00Z</cp:lastPrinted>
  <dcterms:created xsi:type="dcterms:W3CDTF">2021-10-05T21:33:00Z</dcterms:created>
  <dcterms:modified xsi:type="dcterms:W3CDTF">2021-10-13T16:10:00Z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