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3DC54B" w14:textId="77777777" w:rsidR="003819D8" w:rsidRPr="003819D8" w:rsidRDefault="003819D8" w:rsidP="003819D8">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2"/>
          <w:sz w:val="18"/>
          <w:szCs w:val="18"/>
          <w:lang w:val="es-419" w:eastAsia="fr-FR"/>
        </w:rPr>
      </w:pPr>
      <w:bookmarkStart w:id="0" w:name="_Hlk69670443"/>
      <w:r w:rsidRPr="003819D8">
        <w:rPr>
          <w:rFonts w:ascii="Arial" w:eastAsia="Times New Roman"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7FC6C1EF" w14:textId="77777777" w:rsidR="003819D8" w:rsidRPr="003819D8" w:rsidRDefault="003819D8" w:rsidP="003819D8">
      <w:pPr>
        <w:spacing w:after="0" w:line="240" w:lineRule="auto"/>
        <w:jc w:val="both"/>
        <w:rPr>
          <w:rFonts w:ascii="Arial" w:eastAsia="Times New Roman" w:hAnsi="Arial" w:cs="Arial"/>
          <w:sz w:val="20"/>
          <w:szCs w:val="20"/>
          <w:lang w:val="es-419" w:eastAsia="es-ES"/>
        </w:rPr>
      </w:pPr>
    </w:p>
    <w:p w14:paraId="070AD90D" w14:textId="0AF6E049" w:rsidR="003819D8" w:rsidRPr="003819D8" w:rsidRDefault="003819D8" w:rsidP="003819D8">
      <w:pPr>
        <w:spacing w:after="0" w:line="240" w:lineRule="auto"/>
        <w:jc w:val="both"/>
        <w:rPr>
          <w:rFonts w:ascii="Arial" w:eastAsia="Times New Roman" w:hAnsi="Arial" w:cs="Arial"/>
          <w:b/>
          <w:bCs/>
          <w:iCs/>
          <w:sz w:val="20"/>
          <w:szCs w:val="20"/>
          <w:lang w:val="es-419" w:eastAsia="fr-FR"/>
        </w:rPr>
      </w:pPr>
      <w:r w:rsidRPr="003819D8">
        <w:rPr>
          <w:rFonts w:ascii="Arial" w:eastAsia="Times New Roman" w:hAnsi="Arial" w:cs="Arial"/>
          <w:b/>
          <w:bCs/>
          <w:iCs/>
          <w:sz w:val="20"/>
          <w:szCs w:val="20"/>
          <w:u w:val="single"/>
          <w:lang w:val="es-419" w:eastAsia="fr-FR"/>
        </w:rPr>
        <w:t>TEMAS:</w:t>
      </w:r>
      <w:r w:rsidRPr="003819D8">
        <w:rPr>
          <w:rFonts w:ascii="Arial" w:eastAsia="Times New Roman" w:hAnsi="Arial" w:cs="Arial"/>
          <w:b/>
          <w:bCs/>
          <w:iCs/>
          <w:sz w:val="20"/>
          <w:szCs w:val="20"/>
          <w:lang w:val="es-419" w:eastAsia="fr-FR"/>
        </w:rPr>
        <w:tab/>
      </w:r>
      <w:r w:rsidR="0019122C">
        <w:rPr>
          <w:rFonts w:ascii="Arial" w:eastAsia="Times New Roman" w:hAnsi="Arial" w:cs="Arial"/>
          <w:b/>
          <w:bCs/>
          <w:iCs/>
          <w:sz w:val="20"/>
          <w:szCs w:val="20"/>
          <w:lang w:val="es-419" w:eastAsia="fr-FR"/>
        </w:rPr>
        <w:t xml:space="preserve">CONFLICTO DE COMPETENCIA / ENTRE DOS FUNCIONARIOS DE LA MISMA ESPECIALIDAD Y EL MISMO DISTRITO / ARTÍCULO 139 DEL CÓDIGO GENERAL DEL PROCESO / </w:t>
      </w:r>
      <w:r w:rsidR="003B2F32">
        <w:rPr>
          <w:rFonts w:ascii="Arial" w:eastAsia="Times New Roman" w:hAnsi="Arial" w:cs="Arial"/>
          <w:b/>
          <w:bCs/>
          <w:iCs/>
          <w:sz w:val="20"/>
          <w:szCs w:val="20"/>
          <w:lang w:val="es-419" w:eastAsia="fr-FR"/>
        </w:rPr>
        <w:t>PROHÍBE CONFLICTO ENTRE EL INFERIOR Y SU SUPERIOR FUNCIONAL.</w:t>
      </w:r>
    </w:p>
    <w:p w14:paraId="46357880" w14:textId="77777777" w:rsidR="003819D8" w:rsidRPr="003819D8" w:rsidRDefault="003819D8" w:rsidP="003819D8">
      <w:pPr>
        <w:spacing w:after="0" w:line="240" w:lineRule="auto"/>
        <w:jc w:val="both"/>
        <w:rPr>
          <w:rFonts w:ascii="Arial" w:eastAsia="Times New Roman" w:hAnsi="Arial" w:cs="Arial"/>
          <w:sz w:val="20"/>
          <w:szCs w:val="20"/>
          <w:lang w:val="es-419" w:eastAsia="es-ES"/>
        </w:rPr>
      </w:pPr>
    </w:p>
    <w:p w14:paraId="4C60D467" w14:textId="77777777" w:rsidR="004E4E14" w:rsidRPr="004E4E14" w:rsidRDefault="004E4E14" w:rsidP="004E4E14">
      <w:pPr>
        <w:spacing w:after="0" w:line="240" w:lineRule="auto"/>
        <w:jc w:val="both"/>
        <w:rPr>
          <w:rFonts w:ascii="Arial" w:eastAsia="Times New Roman" w:hAnsi="Arial" w:cs="Arial"/>
          <w:sz w:val="20"/>
          <w:szCs w:val="20"/>
          <w:lang w:val="es-419" w:eastAsia="es-ES"/>
        </w:rPr>
      </w:pPr>
      <w:r w:rsidRPr="004E4E14">
        <w:rPr>
          <w:rFonts w:ascii="Arial" w:eastAsia="Times New Roman" w:hAnsi="Arial" w:cs="Arial"/>
          <w:sz w:val="20"/>
          <w:szCs w:val="20"/>
          <w:lang w:val="es-419" w:eastAsia="es-ES"/>
        </w:rPr>
        <w:t xml:space="preserve">El caso de ahora, es evidente que no encaja en ninguno de estos eventos, en cuanto no se confrontan dos jueces de distinta especialidad de distinto distrito judicial, ni dos jueces de diferente especialidad del mismo distrito. La colisión se da entre un magistrado de la Sala Penal del Tribunal y un juez penal del circuito, con lo que se trata de dos funcionarios de la misma especialidad y del mismo Distrito judicial. </w:t>
      </w:r>
    </w:p>
    <w:p w14:paraId="39C142EB" w14:textId="77777777" w:rsidR="004E4E14" w:rsidRPr="004E4E14" w:rsidRDefault="004E4E14" w:rsidP="004E4E14">
      <w:pPr>
        <w:spacing w:after="0" w:line="240" w:lineRule="auto"/>
        <w:jc w:val="both"/>
        <w:rPr>
          <w:rFonts w:ascii="Arial" w:eastAsia="Times New Roman" w:hAnsi="Arial" w:cs="Arial"/>
          <w:sz w:val="20"/>
          <w:szCs w:val="20"/>
          <w:lang w:val="es-419" w:eastAsia="es-ES"/>
        </w:rPr>
      </w:pPr>
    </w:p>
    <w:p w14:paraId="4631007F" w14:textId="77777777" w:rsidR="004E4E14" w:rsidRPr="004E4E14" w:rsidRDefault="004E4E14" w:rsidP="004E4E14">
      <w:pPr>
        <w:spacing w:after="0" w:line="240" w:lineRule="auto"/>
        <w:jc w:val="both"/>
        <w:rPr>
          <w:rFonts w:ascii="Arial" w:eastAsia="Times New Roman" w:hAnsi="Arial" w:cs="Arial"/>
          <w:sz w:val="20"/>
          <w:szCs w:val="20"/>
          <w:lang w:val="es-419" w:eastAsia="es-ES"/>
        </w:rPr>
      </w:pPr>
      <w:r w:rsidRPr="004E4E14">
        <w:rPr>
          <w:rFonts w:ascii="Arial" w:eastAsia="Times New Roman" w:hAnsi="Arial" w:cs="Arial"/>
          <w:sz w:val="20"/>
          <w:szCs w:val="20"/>
          <w:lang w:val="es-419" w:eastAsia="es-ES"/>
        </w:rPr>
        <w:t xml:space="preserve">Consecuencialmente, la norma que regula ese asunto no es el artículo 18 de la citada ley 270, sino el 139 del CGP que, como bien claro lo tiene quien provocó el conflicto, señala que el mismo debe ser resuelto por el funcionario que sea superior funcional común de ambos jueces. </w:t>
      </w:r>
    </w:p>
    <w:p w14:paraId="60ECDAC8" w14:textId="77777777" w:rsidR="004E4E14" w:rsidRPr="004E4E14" w:rsidRDefault="004E4E14" w:rsidP="004E4E14">
      <w:pPr>
        <w:spacing w:after="0" w:line="240" w:lineRule="auto"/>
        <w:jc w:val="both"/>
        <w:rPr>
          <w:rFonts w:ascii="Arial" w:eastAsia="Times New Roman" w:hAnsi="Arial" w:cs="Arial"/>
          <w:sz w:val="20"/>
          <w:szCs w:val="20"/>
          <w:lang w:val="es-419" w:eastAsia="es-ES"/>
        </w:rPr>
      </w:pPr>
    </w:p>
    <w:p w14:paraId="59ED0ADA" w14:textId="799211E7" w:rsidR="003819D8" w:rsidRPr="003819D8" w:rsidRDefault="004E4E14" w:rsidP="004E4E14">
      <w:pPr>
        <w:spacing w:after="0" w:line="240" w:lineRule="auto"/>
        <w:jc w:val="both"/>
        <w:rPr>
          <w:rFonts w:ascii="Arial" w:eastAsia="Times New Roman" w:hAnsi="Arial" w:cs="Arial"/>
          <w:sz w:val="20"/>
          <w:szCs w:val="20"/>
          <w:lang w:val="es-419" w:eastAsia="es-ES"/>
        </w:rPr>
      </w:pPr>
      <w:r w:rsidRPr="004E4E14">
        <w:rPr>
          <w:rFonts w:ascii="Arial" w:eastAsia="Times New Roman" w:hAnsi="Arial" w:cs="Arial"/>
          <w:sz w:val="20"/>
          <w:szCs w:val="20"/>
          <w:lang w:val="es-419" w:eastAsia="es-ES"/>
        </w:rPr>
        <w:t>Norma que, además, señala con toda precisión que no puede existir un conflicto de competencia entre el inferior y su superior funcional, aspecto que, valga anotarlo, fue pasado por alto en este asunto.</w:t>
      </w:r>
    </w:p>
    <w:p w14:paraId="75C6344B" w14:textId="5740115C" w:rsidR="003819D8" w:rsidRDefault="003819D8" w:rsidP="003819D8">
      <w:pPr>
        <w:spacing w:after="0" w:line="240" w:lineRule="auto"/>
        <w:jc w:val="both"/>
        <w:rPr>
          <w:rFonts w:ascii="Arial" w:eastAsia="Times New Roman" w:hAnsi="Arial" w:cs="Arial"/>
          <w:sz w:val="20"/>
          <w:szCs w:val="20"/>
          <w:lang w:val="es-419" w:eastAsia="es-ES"/>
        </w:rPr>
      </w:pPr>
    </w:p>
    <w:p w14:paraId="4FE6E910" w14:textId="77777777" w:rsidR="0019122C" w:rsidRPr="003819D8" w:rsidRDefault="0019122C" w:rsidP="003819D8">
      <w:pPr>
        <w:spacing w:after="0" w:line="240" w:lineRule="auto"/>
        <w:jc w:val="both"/>
        <w:rPr>
          <w:rFonts w:ascii="Arial" w:eastAsia="Times New Roman" w:hAnsi="Arial" w:cs="Arial"/>
          <w:sz w:val="20"/>
          <w:szCs w:val="20"/>
          <w:lang w:val="es-419" w:eastAsia="es-ES"/>
        </w:rPr>
      </w:pPr>
    </w:p>
    <w:p w14:paraId="4FD11F0D" w14:textId="77777777" w:rsidR="003819D8" w:rsidRPr="003819D8" w:rsidRDefault="003819D8" w:rsidP="003819D8">
      <w:pPr>
        <w:spacing w:after="0" w:line="240" w:lineRule="auto"/>
        <w:jc w:val="both"/>
        <w:rPr>
          <w:rFonts w:ascii="Arial" w:eastAsia="Times New Roman" w:hAnsi="Arial" w:cs="Arial"/>
          <w:sz w:val="20"/>
          <w:szCs w:val="20"/>
          <w:lang w:val="es-419" w:eastAsia="es-ES"/>
        </w:rPr>
      </w:pPr>
    </w:p>
    <w:bookmarkEnd w:id="0"/>
    <w:p w14:paraId="72E11F03" w14:textId="77777777" w:rsidR="00E158BB" w:rsidRPr="005378FE" w:rsidRDefault="00E158BB" w:rsidP="005378FE">
      <w:pPr>
        <w:tabs>
          <w:tab w:val="left" w:pos="3060"/>
        </w:tabs>
        <w:spacing w:after="0" w:line="276" w:lineRule="auto"/>
        <w:ind w:firstLine="2835"/>
        <w:contextualSpacing/>
        <w:jc w:val="both"/>
        <w:rPr>
          <w:rFonts w:ascii="Gadugi" w:eastAsia="Times New Roman" w:hAnsi="Gadugi" w:cs="Arial"/>
          <w:b/>
          <w:sz w:val="24"/>
          <w:szCs w:val="24"/>
          <w:lang w:eastAsia="es-ES"/>
        </w:rPr>
      </w:pPr>
      <w:r w:rsidRPr="005378FE">
        <w:rPr>
          <w:rFonts w:ascii="Gadugi" w:eastAsia="Times New Roman" w:hAnsi="Gadugi" w:cs="Arial"/>
          <w:b/>
          <w:sz w:val="24"/>
          <w:szCs w:val="24"/>
          <w:lang w:eastAsia="es-ES"/>
        </w:rPr>
        <w:t xml:space="preserve">TRIBUNAL SUPERIOR DEL DISTRITO JUDICIAL </w:t>
      </w:r>
    </w:p>
    <w:p w14:paraId="416FA6DB" w14:textId="77777777" w:rsidR="00473B4A" w:rsidRPr="005378FE" w:rsidRDefault="00E158BB" w:rsidP="005378FE">
      <w:pPr>
        <w:keepNext/>
        <w:spacing w:after="0" w:line="276" w:lineRule="auto"/>
        <w:jc w:val="both"/>
        <w:outlineLvl w:val="2"/>
        <w:rPr>
          <w:rFonts w:ascii="Gadugi" w:eastAsia="Times New Roman" w:hAnsi="Gadugi"/>
          <w:b/>
          <w:sz w:val="24"/>
          <w:szCs w:val="24"/>
          <w:lang w:val="es-MX" w:eastAsia="es-ES"/>
        </w:rPr>
      </w:pPr>
      <w:r w:rsidRPr="005378FE">
        <w:rPr>
          <w:rFonts w:ascii="Gadugi" w:eastAsia="Times New Roman" w:hAnsi="Gadugi" w:cs="Arial"/>
          <w:b/>
          <w:bCs/>
          <w:sz w:val="24"/>
          <w:szCs w:val="24"/>
          <w:lang w:eastAsia="es-ES"/>
        </w:rPr>
        <w:t xml:space="preserve"> </w:t>
      </w:r>
      <w:r w:rsidRPr="005378FE">
        <w:rPr>
          <w:rFonts w:ascii="Gadugi" w:eastAsia="Times New Roman" w:hAnsi="Gadugi" w:cs="Arial"/>
          <w:b/>
          <w:bCs/>
          <w:sz w:val="24"/>
          <w:szCs w:val="24"/>
          <w:lang w:val="es-419" w:eastAsia="es-ES"/>
        </w:rPr>
        <w:t xml:space="preserve">  </w:t>
      </w:r>
      <w:r w:rsidRPr="005378FE">
        <w:rPr>
          <w:rFonts w:ascii="Gadugi" w:eastAsia="Times New Roman" w:hAnsi="Gadugi" w:cs="Arial"/>
          <w:b/>
          <w:bCs/>
          <w:sz w:val="24"/>
          <w:szCs w:val="24"/>
          <w:lang w:eastAsia="es-ES"/>
        </w:rPr>
        <w:t xml:space="preserve">         </w:t>
      </w:r>
      <w:r w:rsidR="00473B4A" w:rsidRPr="005378FE">
        <w:rPr>
          <w:rFonts w:ascii="Gadugi" w:eastAsia="Times New Roman" w:hAnsi="Gadugi"/>
          <w:b/>
          <w:sz w:val="24"/>
          <w:szCs w:val="24"/>
          <w:lang w:val="es-MX" w:eastAsia="es-ES"/>
        </w:rPr>
        <w:t xml:space="preserve">  </w:t>
      </w:r>
      <w:r w:rsidR="00473B4A" w:rsidRPr="005378FE">
        <w:rPr>
          <w:rFonts w:ascii="Gadugi" w:eastAsia="Times New Roman" w:hAnsi="Gadugi"/>
          <w:b/>
          <w:sz w:val="24"/>
          <w:szCs w:val="24"/>
          <w:lang w:val="es-419" w:eastAsia="es-ES"/>
        </w:rPr>
        <w:t xml:space="preserve">         </w:t>
      </w:r>
      <w:r w:rsidR="00473B4A" w:rsidRPr="005378FE">
        <w:rPr>
          <w:rFonts w:ascii="Gadugi" w:eastAsia="Times New Roman" w:hAnsi="Gadugi"/>
          <w:b/>
          <w:sz w:val="24"/>
          <w:szCs w:val="24"/>
          <w:lang w:val="es-419" w:eastAsia="es-ES"/>
        </w:rPr>
        <w:tab/>
      </w:r>
      <w:r w:rsidR="00473B4A" w:rsidRPr="005378FE">
        <w:rPr>
          <w:rFonts w:ascii="Gadugi" w:eastAsia="Times New Roman" w:hAnsi="Gadugi"/>
          <w:b/>
          <w:sz w:val="24"/>
          <w:szCs w:val="24"/>
          <w:lang w:val="es-419" w:eastAsia="es-ES"/>
        </w:rPr>
        <w:tab/>
      </w:r>
      <w:r w:rsidR="00473B4A" w:rsidRPr="005378FE">
        <w:rPr>
          <w:rFonts w:ascii="Gadugi" w:eastAsia="Times New Roman" w:hAnsi="Gadugi"/>
          <w:b/>
          <w:sz w:val="24"/>
          <w:szCs w:val="24"/>
          <w:lang w:val="es-419" w:eastAsia="es-ES"/>
        </w:rPr>
        <w:tab/>
      </w:r>
      <w:r w:rsidR="00473B4A" w:rsidRPr="005378FE">
        <w:rPr>
          <w:rFonts w:ascii="Gadugi" w:eastAsia="Times New Roman" w:hAnsi="Gadugi"/>
          <w:b/>
          <w:sz w:val="24"/>
          <w:szCs w:val="24"/>
          <w:lang w:val="es-419" w:eastAsia="es-ES"/>
        </w:rPr>
        <w:tab/>
      </w:r>
      <w:r w:rsidR="00473B4A" w:rsidRPr="005378FE">
        <w:rPr>
          <w:rFonts w:ascii="Gadugi" w:eastAsia="Times New Roman" w:hAnsi="Gadugi"/>
          <w:b/>
          <w:sz w:val="24"/>
          <w:szCs w:val="24"/>
          <w:lang w:val="es-MX" w:eastAsia="es-ES"/>
        </w:rPr>
        <w:t xml:space="preserve">SALA </w:t>
      </w:r>
      <w:r w:rsidR="00473B4A" w:rsidRPr="005378FE">
        <w:rPr>
          <w:rFonts w:ascii="Gadugi" w:eastAsia="Times New Roman" w:hAnsi="Gadugi"/>
          <w:b/>
          <w:sz w:val="24"/>
          <w:szCs w:val="24"/>
          <w:lang w:val="es-419" w:eastAsia="es-ES"/>
        </w:rPr>
        <w:t>MIXTA N</w:t>
      </w:r>
      <w:r w:rsidR="00376BD3" w:rsidRPr="005378FE">
        <w:rPr>
          <w:rFonts w:ascii="Gadugi" w:eastAsia="Times New Roman" w:hAnsi="Gadugi"/>
          <w:b/>
          <w:sz w:val="24"/>
          <w:szCs w:val="24"/>
          <w:lang w:val="es-419" w:eastAsia="es-ES"/>
        </w:rPr>
        <w:t>ro.</w:t>
      </w:r>
      <w:r w:rsidR="00473B4A" w:rsidRPr="005378FE">
        <w:rPr>
          <w:rFonts w:ascii="Gadugi" w:eastAsia="Times New Roman" w:hAnsi="Gadugi"/>
          <w:b/>
          <w:sz w:val="24"/>
          <w:szCs w:val="24"/>
          <w:lang w:val="es-419" w:eastAsia="es-ES"/>
        </w:rPr>
        <w:t xml:space="preserve"> 10</w:t>
      </w:r>
    </w:p>
    <w:p w14:paraId="6C6EB727" w14:textId="77777777" w:rsidR="00E158BB" w:rsidRPr="005378FE" w:rsidRDefault="00E158BB" w:rsidP="005378FE">
      <w:pPr>
        <w:spacing w:after="0" w:line="276" w:lineRule="auto"/>
        <w:ind w:firstLine="2835"/>
        <w:contextualSpacing/>
        <w:jc w:val="both"/>
        <w:rPr>
          <w:rFonts w:ascii="Gadugi" w:eastAsia="Times New Roman" w:hAnsi="Gadugi" w:cs="Arial"/>
          <w:sz w:val="24"/>
          <w:szCs w:val="24"/>
          <w:lang w:eastAsia="es-ES"/>
        </w:rPr>
      </w:pPr>
    </w:p>
    <w:p w14:paraId="6E75432F" w14:textId="77777777" w:rsidR="00E158BB" w:rsidRPr="005378FE" w:rsidRDefault="00E158BB" w:rsidP="005378FE">
      <w:pPr>
        <w:spacing w:after="0" w:line="276" w:lineRule="auto"/>
        <w:ind w:firstLine="2835"/>
        <w:contextualSpacing/>
        <w:jc w:val="both"/>
        <w:rPr>
          <w:rFonts w:ascii="Gadugi" w:eastAsia="Times New Roman" w:hAnsi="Gadugi" w:cs="Arial"/>
          <w:sz w:val="24"/>
          <w:szCs w:val="24"/>
          <w:lang w:eastAsia="es-ES"/>
        </w:rPr>
      </w:pPr>
      <w:r w:rsidRPr="005378FE">
        <w:rPr>
          <w:rFonts w:ascii="Gadugi" w:eastAsia="Times New Roman" w:hAnsi="Gadugi" w:cs="Arial"/>
          <w:sz w:val="24"/>
          <w:szCs w:val="24"/>
          <w:lang w:eastAsia="es-ES"/>
        </w:rPr>
        <w:t>Magistrado: Jaime Alberto Saraza Naranjo</w:t>
      </w:r>
    </w:p>
    <w:p w14:paraId="239F5132" w14:textId="30DEC945" w:rsidR="00E158BB" w:rsidRPr="005378FE" w:rsidRDefault="00E158BB" w:rsidP="005378FE">
      <w:pPr>
        <w:spacing w:after="0" w:line="276" w:lineRule="auto"/>
        <w:ind w:firstLine="2835"/>
        <w:contextualSpacing/>
        <w:jc w:val="both"/>
        <w:rPr>
          <w:rFonts w:ascii="Gadugi" w:eastAsia="Times New Roman" w:hAnsi="Gadugi" w:cs="Arial"/>
          <w:sz w:val="24"/>
          <w:szCs w:val="24"/>
          <w:lang w:val="es-CO" w:eastAsia="es-ES"/>
        </w:rPr>
      </w:pPr>
      <w:r w:rsidRPr="005378FE">
        <w:rPr>
          <w:rFonts w:ascii="Gadugi" w:eastAsia="Times New Roman" w:hAnsi="Gadugi" w:cs="Arial"/>
          <w:sz w:val="24"/>
          <w:szCs w:val="24"/>
          <w:lang w:eastAsia="es-ES"/>
        </w:rPr>
        <w:t>Pereira,</w:t>
      </w:r>
      <w:r w:rsidR="00694D6C" w:rsidRPr="005378FE">
        <w:rPr>
          <w:rFonts w:ascii="Gadugi" w:eastAsia="Times New Roman" w:hAnsi="Gadugi" w:cs="Arial"/>
          <w:sz w:val="24"/>
          <w:szCs w:val="24"/>
          <w:lang w:eastAsia="es-ES"/>
        </w:rPr>
        <w:t xml:space="preserve"> agosto veintitrés de dos mil veintiuno</w:t>
      </w:r>
      <w:r w:rsidRPr="005378FE">
        <w:rPr>
          <w:rFonts w:ascii="Gadugi" w:eastAsia="Times New Roman" w:hAnsi="Gadugi" w:cs="Arial"/>
          <w:sz w:val="24"/>
          <w:szCs w:val="24"/>
          <w:lang w:eastAsia="es-ES"/>
        </w:rPr>
        <w:t xml:space="preserve"> </w:t>
      </w:r>
      <w:r w:rsidR="00412451" w:rsidRPr="005378FE">
        <w:rPr>
          <w:rFonts w:ascii="Gadugi" w:eastAsia="Times New Roman" w:hAnsi="Gadugi" w:cs="Arial"/>
          <w:sz w:val="24"/>
          <w:szCs w:val="24"/>
          <w:lang w:eastAsia="es-ES"/>
        </w:rPr>
        <w:t xml:space="preserve"> </w:t>
      </w:r>
      <w:r w:rsidR="00473B4A" w:rsidRPr="005378FE">
        <w:rPr>
          <w:rFonts w:ascii="Gadugi" w:eastAsia="Times New Roman" w:hAnsi="Gadugi" w:cs="Arial"/>
          <w:sz w:val="24"/>
          <w:szCs w:val="24"/>
          <w:lang w:val="es-CO" w:eastAsia="es-ES"/>
        </w:rPr>
        <w:t xml:space="preserve"> </w:t>
      </w:r>
    </w:p>
    <w:p w14:paraId="31FAAD07" w14:textId="77777777" w:rsidR="00E158BB" w:rsidRPr="005378FE" w:rsidRDefault="00473B4A" w:rsidP="005378FE">
      <w:pPr>
        <w:tabs>
          <w:tab w:val="left" w:pos="2880"/>
        </w:tabs>
        <w:spacing w:after="0" w:line="276" w:lineRule="auto"/>
        <w:ind w:firstLine="2835"/>
        <w:contextualSpacing/>
        <w:jc w:val="both"/>
        <w:rPr>
          <w:rFonts w:ascii="Gadugi" w:eastAsia="Times New Roman" w:hAnsi="Gadugi" w:cs="Arial"/>
          <w:iCs/>
          <w:sz w:val="24"/>
          <w:szCs w:val="24"/>
          <w:lang w:eastAsia="es-ES"/>
        </w:rPr>
      </w:pPr>
      <w:r w:rsidRPr="005378FE">
        <w:rPr>
          <w:rFonts w:ascii="Gadugi" w:eastAsia="Times New Roman" w:hAnsi="Gadugi" w:cs="Arial"/>
          <w:iCs/>
          <w:sz w:val="24"/>
          <w:szCs w:val="24"/>
          <w:lang w:eastAsia="es-ES"/>
        </w:rPr>
        <w:t xml:space="preserve">Expediente: </w:t>
      </w:r>
      <w:r w:rsidR="00412451" w:rsidRPr="005378FE">
        <w:rPr>
          <w:rFonts w:ascii="Gadugi" w:eastAsia="Times New Roman" w:hAnsi="Gadugi" w:cs="Arial"/>
          <w:iCs/>
          <w:sz w:val="24"/>
          <w:szCs w:val="24"/>
          <w:lang w:eastAsia="es-ES"/>
        </w:rPr>
        <w:t>66001221800</w:t>
      </w:r>
      <w:r w:rsidR="00376BD3" w:rsidRPr="005378FE">
        <w:rPr>
          <w:rFonts w:ascii="Gadugi" w:eastAsia="Times New Roman" w:hAnsi="Gadugi" w:cs="Arial"/>
          <w:iCs/>
          <w:sz w:val="24"/>
          <w:szCs w:val="24"/>
          <w:lang w:eastAsia="es-ES"/>
        </w:rPr>
        <w:t>120210001700</w:t>
      </w:r>
    </w:p>
    <w:p w14:paraId="78CCB26B" w14:textId="3ACB39B4" w:rsidR="00E158BB" w:rsidRPr="005378FE" w:rsidRDefault="00410420" w:rsidP="005378FE">
      <w:pPr>
        <w:spacing w:after="0" w:line="276" w:lineRule="auto"/>
        <w:contextualSpacing/>
        <w:jc w:val="both"/>
        <w:rPr>
          <w:rFonts w:ascii="Gadugi" w:eastAsia="Times New Roman" w:hAnsi="Gadugi" w:cs="Arial"/>
          <w:bCs/>
          <w:iCs/>
          <w:kern w:val="28"/>
          <w:sz w:val="24"/>
          <w:szCs w:val="24"/>
          <w:lang w:val="es-MX" w:eastAsia="es-ES"/>
        </w:rPr>
      </w:pPr>
      <w:r w:rsidRPr="005378FE">
        <w:rPr>
          <w:rFonts w:ascii="Gadugi" w:eastAsia="Times New Roman" w:hAnsi="Gadugi" w:cs="Arial"/>
          <w:bCs/>
          <w:i/>
          <w:iCs/>
          <w:kern w:val="28"/>
          <w:sz w:val="24"/>
          <w:szCs w:val="24"/>
          <w:lang w:val="es-MX" w:eastAsia="es-ES"/>
        </w:rPr>
        <w:tab/>
      </w:r>
      <w:r w:rsidRPr="005378FE">
        <w:rPr>
          <w:rFonts w:ascii="Gadugi" w:eastAsia="Times New Roman" w:hAnsi="Gadugi" w:cs="Arial"/>
          <w:bCs/>
          <w:i/>
          <w:iCs/>
          <w:kern w:val="28"/>
          <w:sz w:val="24"/>
          <w:szCs w:val="24"/>
          <w:lang w:val="es-MX" w:eastAsia="es-ES"/>
        </w:rPr>
        <w:tab/>
      </w:r>
      <w:r w:rsidRPr="005378FE">
        <w:rPr>
          <w:rFonts w:ascii="Gadugi" w:eastAsia="Times New Roman" w:hAnsi="Gadugi" w:cs="Arial"/>
          <w:bCs/>
          <w:i/>
          <w:iCs/>
          <w:kern w:val="28"/>
          <w:sz w:val="24"/>
          <w:szCs w:val="24"/>
          <w:lang w:val="es-MX" w:eastAsia="es-ES"/>
        </w:rPr>
        <w:tab/>
      </w:r>
      <w:r w:rsidRPr="005378FE">
        <w:rPr>
          <w:rFonts w:ascii="Gadugi" w:eastAsia="Times New Roman" w:hAnsi="Gadugi" w:cs="Arial"/>
          <w:bCs/>
          <w:i/>
          <w:iCs/>
          <w:kern w:val="28"/>
          <w:sz w:val="24"/>
          <w:szCs w:val="24"/>
          <w:lang w:val="es-MX" w:eastAsia="es-ES"/>
        </w:rPr>
        <w:tab/>
      </w:r>
      <w:r w:rsidRPr="005378FE">
        <w:rPr>
          <w:rFonts w:ascii="Gadugi" w:eastAsia="Times New Roman" w:hAnsi="Gadugi" w:cs="Arial"/>
          <w:bCs/>
          <w:iCs/>
          <w:kern w:val="28"/>
          <w:sz w:val="24"/>
          <w:szCs w:val="24"/>
          <w:lang w:val="es-MX" w:eastAsia="es-ES"/>
        </w:rPr>
        <w:t>Acta</w:t>
      </w:r>
      <w:r w:rsidR="00412451" w:rsidRPr="005378FE">
        <w:rPr>
          <w:rFonts w:ascii="Gadugi" w:eastAsia="Times New Roman" w:hAnsi="Gadugi" w:cs="Arial"/>
          <w:bCs/>
          <w:iCs/>
          <w:kern w:val="28"/>
          <w:sz w:val="24"/>
          <w:szCs w:val="24"/>
          <w:lang w:val="es-MX" w:eastAsia="es-ES"/>
        </w:rPr>
        <w:t>.</w:t>
      </w:r>
      <w:r w:rsidR="00694D6C" w:rsidRPr="005378FE">
        <w:rPr>
          <w:rFonts w:ascii="Gadugi" w:eastAsia="Times New Roman" w:hAnsi="Gadugi" w:cs="Arial"/>
          <w:bCs/>
          <w:iCs/>
          <w:kern w:val="28"/>
          <w:sz w:val="24"/>
          <w:szCs w:val="24"/>
          <w:lang w:val="es-MX" w:eastAsia="es-ES"/>
        </w:rPr>
        <w:t xml:space="preserve"> 391 del 23 de agosto de 2021</w:t>
      </w:r>
      <w:r w:rsidRPr="005378FE">
        <w:rPr>
          <w:rFonts w:ascii="Gadugi" w:eastAsia="Times New Roman" w:hAnsi="Gadugi" w:cs="Arial"/>
          <w:bCs/>
          <w:iCs/>
          <w:kern w:val="28"/>
          <w:sz w:val="24"/>
          <w:szCs w:val="24"/>
          <w:lang w:val="es-MX" w:eastAsia="es-ES"/>
        </w:rPr>
        <w:t xml:space="preserve"> </w:t>
      </w:r>
      <w:r w:rsidR="00412451" w:rsidRPr="005378FE">
        <w:rPr>
          <w:rFonts w:ascii="Gadugi" w:eastAsia="Times New Roman" w:hAnsi="Gadugi" w:cs="Arial"/>
          <w:bCs/>
          <w:iCs/>
          <w:kern w:val="28"/>
          <w:sz w:val="24"/>
          <w:szCs w:val="24"/>
          <w:lang w:val="es-MX" w:eastAsia="es-ES"/>
        </w:rPr>
        <w:t xml:space="preserve"> </w:t>
      </w:r>
    </w:p>
    <w:p w14:paraId="5FE59AA5" w14:textId="0AA08BB4" w:rsidR="00E158BB" w:rsidRPr="005378FE" w:rsidRDefault="00412451" w:rsidP="005378FE">
      <w:pPr>
        <w:spacing w:after="0" w:line="276" w:lineRule="auto"/>
        <w:contextualSpacing/>
        <w:jc w:val="both"/>
        <w:rPr>
          <w:rFonts w:ascii="Gadugi" w:eastAsia="Times New Roman" w:hAnsi="Gadugi" w:cs="Arial"/>
          <w:bCs/>
          <w:iCs/>
          <w:kern w:val="28"/>
          <w:sz w:val="24"/>
          <w:szCs w:val="24"/>
          <w:lang w:val="es-MX" w:eastAsia="es-ES"/>
        </w:rPr>
      </w:pPr>
      <w:r w:rsidRPr="005378FE">
        <w:rPr>
          <w:rFonts w:ascii="Gadugi" w:eastAsia="Times New Roman" w:hAnsi="Gadugi" w:cs="Arial"/>
          <w:bCs/>
          <w:i/>
          <w:iCs/>
          <w:kern w:val="28"/>
          <w:sz w:val="24"/>
          <w:szCs w:val="24"/>
          <w:lang w:val="es-MX" w:eastAsia="es-ES"/>
        </w:rPr>
        <w:tab/>
      </w:r>
      <w:r w:rsidRPr="005378FE">
        <w:rPr>
          <w:rFonts w:ascii="Gadugi" w:eastAsia="Times New Roman" w:hAnsi="Gadugi" w:cs="Arial"/>
          <w:bCs/>
          <w:i/>
          <w:iCs/>
          <w:kern w:val="28"/>
          <w:sz w:val="24"/>
          <w:szCs w:val="24"/>
          <w:lang w:val="es-MX" w:eastAsia="es-ES"/>
        </w:rPr>
        <w:tab/>
      </w:r>
      <w:r w:rsidRPr="005378FE">
        <w:rPr>
          <w:rFonts w:ascii="Gadugi" w:eastAsia="Times New Roman" w:hAnsi="Gadugi" w:cs="Arial"/>
          <w:bCs/>
          <w:i/>
          <w:iCs/>
          <w:kern w:val="28"/>
          <w:sz w:val="24"/>
          <w:szCs w:val="24"/>
          <w:lang w:val="es-MX" w:eastAsia="es-ES"/>
        </w:rPr>
        <w:tab/>
      </w:r>
      <w:r w:rsidRPr="005378FE">
        <w:rPr>
          <w:rFonts w:ascii="Gadugi" w:eastAsia="Times New Roman" w:hAnsi="Gadugi" w:cs="Arial"/>
          <w:bCs/>
          <w:i/>
          <w:iCs/>
          <w:kern w:val="28"/>
          <w:sz w:val="24"/>
          <w:szCs w:val="24"/>
          <w:lang w:val="es-MX" w:eastAsia="es-ES"/>
        </w:rPr>
        <w:tab/>
      </w:r>
      <w:r w:rsidRPr="005378FE">
        <w:rPr>
          <w:rFonts w:ascii="Gadugi" w:eastAsia="Times New Roman" w:hAnsi="Gadugi" w:cs="Arial"/>
          <w:bCs/>
          <w:iCs/>
          <w:kern w:val="28"/>
          <w:sz w:val="24"/>
          <w:szCs w:val="24"/>
          <w:lang w:val="es-MX" w:eastAsia="es-ES"/>
        </w:rPr>
        <w:t>Auto.</w:t>
      </w:r>
      <w:r w:rsidR="00694D6C" w:rsidRPr="005378FE">
        <w:rPr>
          <w:rFonts w:ascii="Gadugi" w:eastAsia="Times New Roman" w:hAnsi="Gadugi" w:cs="Arial"/>
          <w:bCs/>
          <w:iCs/>
          <w:kern w:val="28"/>
          <w:sz w:val="24"/>
          <w:szCs w:val="24"/>
          <w:lang w:val="es-MX" w:eastAsia="es-ES"/>
        </w:rPr>
        <w:t xml:space="preserve"> TSP</w:t>
      </w:r>
      <w:r w:rsidR="00F45AC3">
        <w:rPr>
          <w:rFonts w:ascii="Gadugi" w:eastAsia="Times New Roman" w:hAnsi="Gadugi" w:cs="Arial"/>
          <w:bCs/>
          <w:iCs/>
          <w:kern w:val="28"/>
          <w:sz w:val="24"/>
          <w:szCs w:val="24"/>
          <w:lang w:val="es-MX" w:eastAsia="es-ES"/>
        </w:rPr>
        <w:t>. AT</w:t>
      </w:r>
      <w:bookmarkStart w:id="1" w:name="_GoBack"/>
      <w:bookmarkEnd w:id="1"/>
      <w:r w:rsidR="00694D6C" w:rsidRPr="005378FE">
        <w:rPr>
          <w:rFonts w:ascii="Gadugi" w:eastAsia="Times New Roman" w:hAnsi="Gadugi" w:cs="Arial"/>
          <w:bCs/>
          <w:iCs/>
          <w:kern w:val="28"/>
          <w:sz w:val="24"/>
          <w:szCs w:val="24"/>
          <w:lang w:val="es-MX" w:eastAsia="es-ES"/>
        </w:rPr>
        <w:t>-0023-2021</w:t>
      </w:r>
    </w:p>
    <w:p w14:paraId="42E8354E" w14:textId="77777777" w:rsidR="00412451" w:rsidRPr="005378FE" w:rsidRDefault="00412451" w:rsidP="005378FE">
      <w:pPr>
        <w:spacing w:after="0" w:line="276" w:lineRule="auto"/>
        <w:contextualSpacing/>
        <w:jc w:val="both"/>
        <w:rPr>
          <w:rFonts w:ascii="Gadugi" w:eastAsia="Times New Roman" w:hAnsi="Gadugi" w:cs="Arial"/>
          <w:b/>
          <w:bCs/>
          <w:iCs/>
          <w:kern w:val="28"/>
          <w:sz w:val="24"/>
          <w:szCs w:val="24"/>
          <w:u w:val="single"/>
          <w:lang w:val="es-MX" w:eastAsia="es-ES"/>
        </w:rPr>
      </w:pPr>
    </w:p>
    <w:p w14:paraId="6151DAC2" w14:textId="77777777" w:rsidR="00376BD3" w:rsidRPr="005378FE" w:rsidRDefault="00E158BB" w:rsidP="005378FE">
      <w:pPr>
        <w:spacing w:after="0" w:line="276" w:lineRule="auto"/>
        <w:ind w:firstLine="2835"/>
        <w:contextualSpacing/>
        <w:jc w:val="both"/>
        <w:rPr>
          <w:rFonts w:ascii="Gadugi" w:eastAsia="Times New Roman" w:hAnsi="Gadugi" w:cs="Arial"/>
          <w:sz w:val="24"/>
          <w:szCs w:val="24"/>
          <w:lang w:eastAsia="es-ES"/>
        </w:rPr>
      </w:pPr>
      <w:r w:rsidRPr="005378FE">
        <w:rPr>
          <w:rFonts w:ascii="Gadugi" w:eastAsia="Times New Roman" w:hAnsi="Gadugi" w:cs="Arial"/>
          <w:sz w:val="24"/>
          <w:szCs w:val="24"/>
          <w:lang w:eastAsia="es-ES"/>
        </w:rPr>
        <w:t xml:space="preserve">Decide la Sala </w:t>
      </w:r>
      <w:r w:rsidR="00376BD3" w:rsidRPr="005378FE">
        <w:rPr>
          <w:rFonts w:ascii="Gadugi" w:eastAsia="Times New Roman" w:hAnsi="Gadugi" w:cs="Arial"/>
          <w:sz w:val="24"/>
          <w:szCs w:val="24"/>
          <w:lang w:eastAsia="es-ES"/>
        </w:rPr>
        <w:t xml:space="preserve">lo pertinente, en torno al aparente conflicto de competencia </w:t>
      </w:r>
      <w:r w:rsidRPr="005378FE">
        <w:rPr>
          <w:rFonts w:ascii="Gadugi" w:eastAsia="Times New Roman" w:hAnsi="Gadugi" w:cs="Arial"/>
          <w:sz w:val="24"/>
          <w:szCs w:val="24"/>
          <w:lang w:eastAsia="es-ES"/>
        </w:rPr>
        <w:t>suscitado por el</w:t>
      </w:r>
      <w:r w:rsidR="00376BD3" w:rsidRPr="005378FE">
        <w:rPr>
          <w:rFonts w:ascii="Gadugi" w:eastAsia="Times New Roman" w:hAnsi="Gadugi" w:cs="Arial"/>
          <w:sz w:val="24"/>
          <w:szCs w:val="24"/>
          <w:lang w:eastAsia="es-ES"/>
        </w:rPr>
        <w:t xml:space="preserve"> la </w:t>
      </w:r>
      <w:r w:rsidR="00376BD3" w:rsidRPr="005378FE">
        <w:rPr>
          <w:rFonts w:ascii="Gadugi" w:eastAsia="Times New Roman" w:hAnsi="Gadugi" w:cs="Arial"/>
          <w:b/>
          <w:sz w:val="24"/>
          <w:szCs w:val="24"/>
          <w:lang w:eastAsia="es-ES"/>
        </w:rPr>
        <w:t>Sala Unitaria Penal del Tribunal Superior de Pereira</w:t>
      </w:r>
      <w:r w:rsidR="00376BD3" w:rsidRPr="005378FE">
        <w:rPr>
          <w:rFonts w:ascii="Gadugi" w:eastAsia="Times New Roman" w:hAnsi="Gadugi" w:cs="Arial"/>
          <w:sz w:val="24"/>
          <w:szCs w:val="24"/>
          <w:lang w:eastAsia="es-ES"/>
        </w:rPr>
        <w:t xml:space="preserve">, frente al </w:t>
      </w:r>
      <w:r w:rsidR="00376BD3" w:rsidRPr="005378FE">
        <w:rPr>
          <w:rFonts w:ascii="Gadugi" w:eastAsia="Times New Roman" w:hAnsi="Gadugi" w:cs="Arial"/>
          <w:b/>
          <w:sz w:val="24"/>
          <w:szCs w:val="24"/>
          <w:lang w:eastAsia="es-ES"/>
        </w:rPr>
        <w:t>Juzgado Cuarto Penal del Circuito de Pereira</w:t>
      </w:r>
      <w:r w:rsidR="00376BD3" w:rsidRPr="005378FE">
        <w:rPr>
          <w:rFonts w:ascii="Gadugi" w:eastAsia="Times New Roman" w:hAnsi="Gadugi" w:cs="Arial"/>
          <w:sz w:val="24"/>
          <w:szCs w:val="24"/>
          <w:lang w:eastAsia="es-ES"/>
        </w:rPr>
        <w:t xml:space="preserve">, </w:t>
      </w:r>
      <w:r w:rsidRPr="005378FE">
        <w:rPr>
          <w:rFonts w:ascii="Gadugi" w:eastAsia="Times New Roman" w:hAnsi="Gadugi" w:cs="Arial"/>
          <w:sz w:val="24"/>
          <w:szCs w:val="24"/>
          <w:lang w:eastAsia="es-ES"/>
        </w:rPr>
        <w:t xml:space="preserve">en la presente acción de tutela promovida por </w:t>
      </w:r>
      <w:r w:rsidR="00376BD3" w:rsidRPr="005378FE">
        <w:rPr>
          <w:rFonts w:ascii="Gadugi" w:eastAsia="Times New Roman" w:hAnsi="Gadugi" w:cs="Arial"/>
          <w:sz w:val="24"/>
          <w:szCs w:val="24"/>
          <w:lang w:eastAsia="es-ES"/>
        </w:rPr>
        <w:t>Carlos Guillermo Giraldo Ossa contra</w:t>
      </w:r>
      <w:r w:rsidR="00D21C52" w:rsidRPr="005378FE">
        <w:rPr>
          <w:rFonts w:ascii="Gadugi" w:eastAsia="Times New Roman" w:hAnsi="Gadugi" w:cs="Arial"/>
          <w:sz w:val="24"/>
          <w:szCs w:val="24"/>
          <w:lang w:eastAsia="es-ES"/>
        </w:rPr>
        <w:t xml:space="preserve"> </w:t>
      </w:r>
      <w:r w:rsidR="00376BD3" w:rsidRPr="005378FE">
        <w:rPr>
          <w:rFonts w:ascii="Gadugi" w:eastAsia="Times New Roman" w:hAnsi="Gadugi" w:cs="Arial"/>
          <w:sz w:val="24"/>
          <w:szCs w:val="24"/>
          <w:lang w:eastAsia="es-ES"/>
        </w:rPr>
        <w:t xml:space="preserve"> </w:t>
      </w:r>
      <w:r w:rsidR="00D21C52" w:rsidRPr="005378FE">
        <w:rPr>
          <w:rFonts w:ascii="Gadugi" w:eastAsia="Times New Roman" w:hAnsi="Gadugi" w:cs="Arial"/>
          <w:sz w:val="24"/>
          <w:szCs w:val="24"/>
          <w:lang w:eastAsia="es-ES"/>
        </w:rPr>
        <w:t xml:space="preserve"> la Fundación Hogar del Anciano, </w:t>
      </w:r>
      <w:r w:rsidR="00376BD3" w:rsidRPr="005378FE">
        <w:rPr>
          <w:rFonts w:ascii="Gadugi" w:eastAsia="Times New Roman" w:hAnsi="Gadugi" w:cs="Arial"/>
          <w:sz w:val="24"/>
          <w:szCs w:val="24"/>
          <w:lang w:eastAsia="es-ES"/>
        </w:rPr>
        <w:t>los juzgados Promiscuo del Circuito, Primero y Segundo Promiscuo Municipal, todos de Belén de Umbría, así como en contra del Juzgado Primero Penal Municipal con función de garantías de Pereira.</w:t>
      </w:r>
    </w:p>
    <w:p w14:paraId="1C42341F" w14:textId="77777777" w:rsidR="00E158BB" w:rsidRPr="005378FE" w:rsidRDefault="00E158BB" w:rsidP="005378FE">
      <w:pPr>
        <w:spacing w:after="0" w:line="276" w:lineRule="auto"/>
        <w:ind w:firstLine="2880"/>
        <w:contextualSpacing/>
        <w:jc w:val="both"/>
        <w:rPr>
          <w:rFonts w:ascii="Gadugi" w:eastAsia="Times New Roman" w:hAnsi="Gadugi" w:cs="Arial"/>
          <w:b/>
          <w:bCs/>
          <w:iCs/>
          <w:sz w:val="24"/>
          <w:szCs w:val="24"/>
          <w:u w:val="single"/>
          <w:lang w:eastAsia="es-ES"/>
        </w:rPr>
      </w:pPr>
    </w:p>
    <w:p w14:paraId="639985A7" w14:textId="77777777" w:rsidR="00E158BB" w:rsidRPr="005378FE" w:rsidRDefault="00E158BB" w:rsidP="005378FE">
      <w:pPr>
        <w:spacing w:after="0" w:line="276" w:lineRule="auto"/>
        <w:ind w:left="612" w:firstLine="2223"/>
        <w:contextualSpacing/>
        <w:jc w:val="both"/>
        <w:rPr>
          <w:rFonts w:ascii="Gadugi" w:eastAsia="Times New Roman" w:hAnsi="Gadugi" w:cs="Arial"/>
          <w:b/>
          <w:bCs/>
          <w:iCs/>
          <w:sz w:val="24"/>
          <w:szCs w:val="24"/>
          <w:lang w:eastAsia="es-ES"/>
        </w:rPr>
      </w:pPr>
      <w:r w:rsidRPr="005378FE">
        <w:rPr>
          <w:rFonts w:ascii="Gadugi" w:eastAsia="Times New Roman" w:hAnsi="Gadugi" w:cs="Arial"/>
          <w:b/>
          <w:bCs/>
          <w:iCs/>
          <w:sz w:val="24"/>
          <w:szCs w:val="24"/>
          <w:lang w:eastAsia="es-ES"/>
        </w:rPr>
        <w:t>ANTECEDENTES</w:t>
      </w:r>
    </w:p>
    <w:p w14:paraId="5FF67634" w14:textId="77777777" w:rsidR="00E158BB" w:rsidRPr="005378FE" w:rsidRDefault="00E158BB" w:rsidP="005378FE">
      <w:pPr>
        <w:spacing w:after="0" w:line="276" w:lineRule="auto"/>
        <w:ind w:firstLine="2880"/>
        <w:contextualSpacing/>
        <w:jc w:val="both"/>
        <w:rPr>
          <w:rFonts w:ascii="Gadugi" w:eastAsia="Times New Roman" w:hAnsi="Gadugi" w:cs="Arial"/>
          <w:snapToGrid w:val="0"/>
          <w:sz w:val="24"/>
          <w:szCs w:val="24"/>
          <w:lang w:eastAsia="es-ES"/>
        </w:rPr>
      </w:pPr>
    </w:p>
    <w:p w14:paraId="0D218FC5" w14:textId="77777777" w:rsidR="00E41E72" w:rsidRPr="005378FE" w:rsidRDefault="00D21C52" w:rsidP="005378FE">
      <w:pPr>
        <w:spacing w:after="0" w:line="276" w:lineRule="auto"/>
        <w:ind w:firstLine="2880"/>
        <w:contextualSpacing/>
        <w:jc w:val="both"/>
        <w:rPr>
          <w:rFonts w:ascii="Gadugi" w:eastAsia="Times New Roman" w:hAnsi="Gadugi" w:cs="Arial"/>
          <w:snapToGrid w:val="0"/>
          <w:sz w:val="24"/>
          <w:szCs w:val="24"/>
          <w:lang w:eastAsia="es-ES"/>
        </w:rPr>
      </w:pPr>
      <w:r w:rsidRPr="005378FE">
        <w:rPr>
          <w:rFonts w:ascii="Gadugi" w:eastAsia="Times New Roman" w:hAnsi="Gadugi" w:cs="Arial"/>
          <w:snapToGrid w:val="0"/>
          <w:sz w:val="24"/>
          <w:szCs w:val="24"/>
          <w:lang w:eastAsia="es-ES"/>
        </w:rPr>
        <w:t>El caso inicialmente le fue repartido a la Sala Civil-Familia del Tribunal Superior de Pereira, donde uno de sus magistrados la admitió, pero únicamente respecto a la Fundación Hogar del Anciano y los juzgados de Belén de Umbría, porque en lo que se refiere al Juzgado Primero Penal Municipal con función de garantías de Pereira</w:t>
      </w:r>
      <w:r w:rsidR="00E41E72" w:rsidRPr="005378FE">
        <w:rPr>
          <w:rFonts w:ascii="Gadugi" w:eastAsia="Times New Roman" w:hAnsi="Gadugi" w:cs="Arial"/>
          <w:snapToGrid w:val="0"/>
          <w:sz w:val="24"/>
          <w:szCs w:val="24"/>
          <w:lang w:eastAsia="es-ES"/>
        </w:rPr>
        <w:t>, la</w:t>
      </w:r>
      <w:r w:rsidRPr="005378FE">
        <w:rPr>
          <w:rFonts w:ascii="Gadugi" w:eastAsia="Times New Roman" w:hAnsi="Gadugi" w:cs="Arial"/>
          <w:snapToGrid w:val="0"/>
          <w:sz w:val="24"/>
          <w:szCs w:val="24"/>
          <w:lang w:eastAsia="es-ES"/>
        </w:rPr>
        <w:t xml:space="preserve"> escindió, </w:t>
      </w:r>
      <w:r w:rsidR="00E41E72" w:rsidRPr="005378FE">
        <w:rPr>
          <w:rFonts w:ascii="Gadugi" w:eastAsia="Times New Roman" w:hAnsi="Gadugi" w:cs="Arial"/>
          <w:snapToGrid w:val="0"/>
          <w:sz w:val="24"/>
          <w:szCs w:val="24"/>
          <w:lang w:eastAsia="es-ES"/>
        </w:rPr>
        <w:t>para que las quejas, respecto de esa autoridad, fueran conocidas por un Juzgado Penal del Circuito de este municipio.</w:t>
      </w:r>
      <w:r w:rsidR="00E4583B" w:rsidRPr="005378FE">
        <w:rPr>
          <w:rStyle w:val="Refdenotaalpie"/>
          <w:rFonts w:ascii="Gadugi" w:eastAsia="Times New Roman" w:hAnsi="Gadugi" w:cs="Arial"/>
          <w:snapToGrid w:val="0"/>
          <w:sz w:val="24"/>
          <w:szCs w:val="24"/>
          <w:lang w:eastAsia="es-ES"/>
        </w:rPr>
        <w:footnoteReference w:id="1"/>
      </w:r>
    </w:p>
    <w:p w14:paraId="07F6648A" w14:textId="77777777" w:rsidR="00E41E72" w:rsidRPr="005378FE" w:rsidRDefault="00E41E72" w:rsidP="005378FE">
      <w:pPr>
        <w:spacing w:after="0" w:line="276" w:lineRule="auto"/>
        <w:ind w:firstLine="2880"/>
        <w:contextualSpacing/>
        <w:jc w:val="both"/>
        <w:rPr>
          <w:rFonts w:ascii="Gadugi" w:eastAsia="Times New Roman" w:hAnsi="Gadugi" w:cs="Arial"/>
          <w:snapToGrid w:val="0"/>
          <w:sz w:val="24"/>
          <w:szCs w:val="24"/>
          <w:lang w:eastAsia="es-ES"/>
        </w:rPr>
      </w:pPr>
    </w:p>
    <w:p w14:paraId="127BA893" w14:textId="77777777" w:rsidR="005F4198" w:rsidRPr="005378FE" w:rsidRDefault="00E41E72" w:rsidP="005378FE">
      <w:pPr>
        <w:spacing w:after="0" w:line="276" w:lineRule="auto"/>
        <w:ind w:firstLine="2880"/>
        <w:contextualSpacing/>
        <w:jc w:val="both"/>
        <w:rPr>
          <w:rFonts w:ascii="Gadugi" w:eastAsia="Times New Roman" w:hAnsi="Gadugi" w:cs="Arial"/>
          <w:snapToGrid w:val="0"/>
          <w:sz w:val="24"/>
          <w:szCs w:val="24"/>
          <w:lang w:eastAsia="es-ES"/>
        </w:rPr>
      </w:pPr>
      <w:r w:rsidRPr="005378FE">
        <w:rPr>
          <w:rFonts w:ascii="Gadugi" w:eastAsia="Times New Roman" w:hAnsi="Gadugi" w:cs="Arial"/>
          <w:snapToGrid w:val="0"/>
          <w:sz w:val="24"/>
          <w:szCs w:val="24"/>
          <w:lang w:eastAsia="es-ES"/>
        </w:rPr>
        <w:lastRenderedPageBreak/>
        <w:t>Esa demanda le correspondió, al Juzgado Tercero Penal del Circuito local, cuya titular se declaró impedida para tramitarla, toda vez que, con anterioridad,</w:t>
      </w:r>
      <w:r w:rsidR="005F4198" w:rsidRPr="005378FE">
        <w:rPr>
          <w:rFonts w:ascii="Gadugi" w:eastAsia="Times New Roman" w:hAnsi="Gadugi" w:cs="Arial"/>
          <w:snapToGrid w:val="0"/>
          <w:sz w:val="24"/>
          <w:szCs w:val="24"/>
          <w:lang w:eastAsia="es-ES"/>
        </w:rPr>
        <w:t xml:space="preserve"> había conocido, en segunda instancia, de la acción de tutela contra la que se formula la presente demanda.</w:t>
      </w:r>
      <w:r w:rsidR="00E4583B" w:rsidRPr="005378FE">
        <w:rPr>
          <w:rStyle w:val="Refdenotaalpie"/>
          <w:rFonts w:ascii="Gadugi" w:eastAsia="Times New Roman" w:hAnsi="Gadugi" w:cs="Arial"/>
          <w:snapToGrid w:val="0"/>
          <w:sz w:val="24"/>
          <w:szCs w:val="24"/>
          <w:lang w:eastAsia="es-ES"/>
        </w:rPr>
        <w:footnoteReference w:id="2"/>
      </w:r>
    </w:p>
    <w:p w14:paraId="45925762" w14:textId="77777777" w:rsidR="005F4198" w:rsidRPr="005378FE" w:rsidRDefault="005F4198" w:rsidP="005378FE">
      <w:pPr>
        <w:spacing w:after="0" w:line="276" w:lineRule="auto"/>
        <w:ind w:firstLine="2880"/>
        <w:contextualSpacing/>
        <w:jc w:val="both"/>
        <w:rPr>
          <w:rFonts w:ascii="Gadugi" w:eastAsia="Times New Roman" w:hAnsi="Gadugi" w:cs="Arial"/>
          <w:snapToGrid w:val="0"/>
          <w:sz w:val="24"/>
          <w:szCs w:val="24"/>
          <w:lang w:eastAsia="es-ES"/>
        </w:rPr>
      </w:pPr>
    </w:p>
    <w:p w14:paraId="1A2F245E" w14:textId="77777777" w:rsidR="005F4198" w:rsidRPr="005378FE" w:rsidRDefault="005F4198" w:rsidP="005378FE">
      <w:pPr>
        <w:spacing w:after="0" w:line="276" w:lineRule="auto"/>
        <w:ind w:firstLine="2880"/>
        <w:contextualSpacing/>
        <w:jc w:val="both"/>
        <w:rPr>
          <w:rFonts w:ascii="Gadugi" w:eastAsia="Times New Roman" w:hAnsi="Gadugi" w:cs="Arial"/>
          <w:snapToGrid w:val="0"/>
          <w:sz w:val="24"/>
          <w:szCs w:val="24"/>
          <w:lang w:eastAsia="es-ES"/>
        </w:rPr>
      </w:pPr>
      <w:r w:rsidRPr="005378FE">
        <w:rPr>
          <w:rFonts w:ascii="Gadugi" w:eastAsia="Times New Roman" w:hAnsi="Gadugi" w:cs="Arial"/>
          <w:snapToGrid w:val="0"/>
          <w:sz w:val="24"/>
          <w:szCs w:val="24"/>
          <w:lang w:eastAsia="es-ES"/>
        </w:rPr>
        <w:t>Entonces, le llegó el negocio a</w:t>
      </w:r>
      <w:r w:rsidR="00CA6CAB" w:rsidRPr="005378FE">
        <w:rPr>
          <w:rFonts w:ascii="Gadugi" w:eastAsia="Times New Roman" w:hAnsi="Gadugi" w:cs="Arial"/>
          <w:snapToGrid w:val="0"/>
          <w:sz w:val="24"/>
          <w:szCs w:val="24"/>
          <w:lang w:eastAsia="es-ES"/>
        </w:rPr>
        <w:t xml:space="preserve"> </w:t>
      </w:r>
      <w:r w:rsidRPr="005378FE">
        <w:rPr>
          <w:rFonts w:ascii="Gadugi" w:eastAsia="Times New Roman" w:hAnsi="Gadugi" w:cs="Arial"/>
          <w:snapToGrid w:val="0"/>
          <w:sz w:val="24"/>
          <w:szCs w:val="24"/>
          <w:lang w:eastAsia="es-ES"/>
        </w:rPr>
        <w:t>l</w:t>
      </w:r>
      <w:r w:rsidR="00CA6CAB" w:rsidRPr="005378FE">
        <w:rPr>
          <w:rFonts w:ascii="Gadugi" w:eastAsia="Times New Roman" w:hAnsi="Gadugi" w:cs="Arial"/>
          <w:snapToGrid w:val="0"/>
          <w:sz w:val="24"/>
          <w:szCs w:val="24"/>
          <w:lang w:eastAsia="es-ES"/>
        </w:rPr>
        <w:t>a</w:t>
      </w:r>
      <w:r w:rsidRPr="005378FE">
        <w:rPr>
          <w:rFonts w:ascii="Gadugi" w:eastAsia="Times New Roman" w:hAnsi="Gadugi" w:cs="Arial"/>
          <w:snapToGrid w:val="0"/>
          <w:sz w:val="24"/>
          <w:szCs w:val="24"/>
          <w:lang w:eastAsia="es-ES"/>
        </w:rPr>
        <w:t xml:space="preserve"> Ju</w:t>
      </w:r>
      <w:r w:rsidR="00CA6CAB" w:rsidRPr="005378FE">
        <w:rPr>
          <w:rFonts w:ascii="Gadugi" w:eastAsia="Times New Roman" w:hAnsi="Gadugi" w:cs="Arial"/>
          <w:snapToGrid w:val="0"/>
          <w:sz w:val="24"/>
          <w:szCs w:val="24"/>
          <w:lang w:eastAsia="es-ES"/>
        </w:rPr>
        <w:t>eza</w:t>
      </w:r>
      <w:r w:rsidRPr="005378FE">
        <w:rPr>
          <w:rFonts w:ascii="Gadugi" w:eastAsia="Times New Roman" w:hAnsi="Gadugi" w:cs="Arial"/>
          <w:snapToGrid w:val="0"/>
          <w:sz w:val="24"/>
          <w:szCs w:val="24"/>
          <w:lang w:eastAsia="es-ES"/>
        </w:rPr>
        <w:t xml:space="preserve"> Cuart</w:t>
      </w:r>
      <w:r w:rsidR="00CA6CAB" w:rsidRPr="005378FE">
        <w:rPr>
          <w:rFonts w:ascii="Gadugi" w:eastAsia="Times New Roman" w:hAnsi="Gadugi" w:cs="Arial"/>
          <w:snapToGrid w:val="0"/>
          <w:sz w:val="24"/>
          <w:szCs w:val="24"/>
          <w:lang w:eastAsia="es-ES"/>
        </w:rPr>
        <w:t>a</w:t>
      </w:r>
      <w:r w:rsidRPr="005378FE">
        <w:rPr>
          <w:rFonts w:ascii="Gadugi" w:eastAsia="Times New Roman" w:hAnsi="Gadugi" w:cs="Arial"/>
          <w:snapToGrid w:val="0"/>
          <w:sz w:val="24"/>
          <w:szCs w:val="24"/>
          <w:lang w:eastAsia="es-ES"/>
        </w:rPr>
        <w:t xml:space="preserve"> Penal del Circuito</w:t>
      </w:r>
      <w:r w:rsidR="00CA6CAB" w:rsidRPr="005378FE">
        <w:rPr>
          <w:rFonts w:ascii="Gadugi" w:eastAsia="Times New Roman" w:hAnsi="Gadugi" w:cs="Arial"/>
          <w:snapToGrid w:val="0"/>
          <w:sz w:val="24"/>
          <w:szCs w:val="24"/>
          <w:lang w:eastAsia="es-ES"/>
        </w:rPr>
        <w:t xml:space="preserve"> local</w:t>
      </w:r>
      <w:r w:rsidRPr="005378FE">
        <w:rPr>
          <w:rFonts w:ascii="Gadugi" w:eastAsia="Times New Roman" w:hAnsi="Gadugi" w:cs="Arial"/>
          <w:snapToGrid w:val="0"/>
          <w:sz w:val="24"/>
          <w:szCs w:val="24"/>
          <w:lang w:eastAsia="es-ES"/>
        </w:rPr>
        <w:t xml:space="preserve"> que</w:t>
      </w:r>
      <w:r w:rsidR="00CA6CAB" w:rsidRPr="005378FE">
        <w:rPr>
          <w:rFonts w:ascii="Gadugi" w:eastAsia="Times New Roman" w:hAnsi="Gadugi" w:cs="Arial"/>
          <w:snapToGrid w:val="0"/>
          <w:sz w:val="24"/>
          <w:szCs w:val="24"/>
          <w:lang w:eastAsia="es-ES"/>
        </w:rPr>
        <w:t>,</w:t>
      </w:r>
      <w:r w:rsidRPr="005378FE">
        <w:rPr>
          <w:rFonts w:ascii="Gadugi" w:eastAsia="Times New Roman" w:hAnsi="Gadugi" w:cs="Arial"/>
          <w:snapToGrid w:val="0"/>
          <w:sz w:val="24"/>
          <w:szCs w:val="24"/>
          <w:lang w:eastAsia="es-ES"/>
        </w:rPr>
        <w:t xml:space="preserve"> a su turno, se declaró incompetente para </w:t>
      </w:r>
      <w:r w:rsidR="00CA6CAB" w:rsidRPr="005378FE">
        <w:rPr>
          <w:rFonts w:ascii="Gadugi" w:eastAsia="Times New Roman" w:hAnsi="Gadugi" w:cs="Arial"/>
          <w:snapToGrid w:val="0"/>
          <w:sz w:val="24"/>
          <w:szCs w:val="24"/>
          <w:lang w:eastAsia="es-ES"/>
        </w:rPr>
        <w:t>conocerlo, toda vez que, eventualmente, sería necesaria la vinculación de su homóloga del Tercero, por haber conocido en segundo grado la tutela, contra la que se dirige esta nueva acción de amparo. En ese entendido remitió las diligencias a la Sala Penal de esta Corporación.</w:t>
      </w:r>
      <w:r w:rsidR="00E4583B" w:rsidRPr="005378FE">
        <w:rPr>
          <w:rStyle w:val="Refdenotaalpie"/>
          <w:rFonts w:ascii="Gadugi" w:eastAsia="Times New Roman" w:hAnsi="Gadugi" w:cs="Arial"/>
          <w:snapToGrid w:val="0"/>
          <w:sz w:val="24"/>
          <w:szCs w:val="24"/>
          <w:lang w:eastAsia="es-ES"/>
        </w:rPr>
        <w:footnoteReference w:id="3"/>
      </w:r>
    </w:p>
    <w:p w14:paraId="29C82CB5" w14:textId="77777777" w:rsidR="00CA6CAB" w:rsidRPr="005378FE" w:rsidRDefault="00CA6CAB" w:rsidP="005378FE">
      <w:pPr>
        <w:spacing w:after="0" w:line="276" w:lineRule="auto"/>
        <w:ind w:firstLine="2880"/>
        <w:contextualSpacing/>
        <w:jc w:val="both"/>
        <w:rPr>
          <w:rFonts w:ascii="Gadugi" w:eastAsia="Times New Roman" w:hAnsi="Gadugi" w:cs="Arial"/>
          <w:snapToGrid w:val="0"/>
          <w:sz w:val="24"/>
          <w:szCs w:val="24"/>
          <w:lang w:eastAsia="es-ES"/>
        </w:rPr>
      </w:pPr>
    </w:p>
    <w:p w14:paraId="40A4B4BC" w14:textId="6C129DA0" w:rsidR="006A05A0" w:rsidRPr="005378FE" w:rsidRDefault="00CA6CAB" w:rsidP="005378FE">
      <w:pPr>
        <w:spacing w:after="0" w:line="276" w:lineRule="auto"/>
        <w:ind w:firstLine="2880"/>
        <w:contextualSpacing/>
        <w:jc w:val="both"/>
        <w:rPr>
          <w:rFonts w:ascii="Gadugi" w:eastAsia="Times New Roman" w:hAnsi="Gadugi" w:cs="Arial"/>
          <w:snapToGrid w:val="0"/>
          <w:sz w:val="24"/>
          <w:szCs w:val="24"/>
          <w:lang w:eastAsia="es-ES"/>
        </w:rPr>
      </w:pPr>
      <w:r w:rsidRPr="005378FE">
        <w:rPr>
          <w:rFonts w:ascii="Gadugi" w:eastAsia="Times New Roman" w:hAnsi="Gadugi" w:cs="Arial"/>
          <w:snapToGrid w:val="0"/>
          <w:sz w:val="24"/>
          <w:szCs w:val="24"/>
          <w:lang w:eastAsia="es-ES"/>
        </w:rPr>
        <w:t>Allí, el magistrado al que le correspondió, explicó</w:t>
      </w:r>
      <w:r w:rsidR="00BA1E79" w:rsidRPr="005378FE">
        <w:rPr>
          <w:rFonts w:ascii="Gadugi" w:eastAsia="Times New Roman" w:hAnsi="Gadugi" w:cs="Arial"/>
          <w:snapToGrid w:val="0"/>
          <w:sz w:val="24"/>
          <w:szCs w:val="24"/>
          <w:lang w:eastAsia="es-ES"/>
        </w:rPr>
        <w:t xml:space="preserve"> </w:t>
      </w:r>
      <w:r w:rsidR="006A05A0" w:rsidRPr="005378FE">
        <w:rPr>
          <w:rFonts w:ascii="Gadugi" w:eastAsia="Times New Roman" w:hAnsi="Gadugi" w:cs="Arial"/>
          <w:snapToGrid w:val="0"/>
          <w:sz w:val="24"/>
          <w:szCs w:val="24"/>
          <w:lang w:eastAsia="es-ES"/>
        </w:rPr>
        <w:t xml:space="preserve">que como el Juzgado Tercero Penal del Circuito en su momento solo decretó una nulidad y no se ocupó del fondo del asunto, no hay razón para pensar en su vinculación; en consecuencia, dijo que </w:t>
      </w:r>
    </w:p>
    <w:p w14:paraId="2135F76A" w14:textId="2E6173C0" w:rsidR="006A05A0" w:rsidRPr="005378FE" w:rsidRDefault="006A05A0" w:rsidP="005378FE">
      <w:pPr>
        <w:spacing w:after="0" w:line="276" w:lineRule="auto"/>
        <w:ind w:firstLine="2880"/>
        <w:contextualSpacing/>
        <w:jc w:val="both"/>
        <w:rPr>
          <w:rFonts w:ascii="Gadugi" w:eastAsia="Times New Roman" w:hAnsi="Gadugi" w:cs="Arial"/>
          <w:snapToGrid w:val="0"/>
          <w:sz w:val="24"/>
          <w:szCs w:val="24"/>
          <w:lang w:eastAsia="es-ES"/>
        </w:rPr>
      </w:pPr>
    </w:p>
    <w:p w14:paraId="7F67E99A" w14:textId="1FFC023D" w:rsidR="00CA6CAB" w:rsidRPr="005378FE" w:rsidRDefault="006A05A0" w:rsidP="005378FE">
      <w:pPr>
        <w:spacing w:after="0" w:line="240" w:lineRule="auto"/>
        <w:ind w:left="426" w:right="420" w:firstLine="2268"/>
        <w:contextualSpacing/>
        <w:jc w:val="both"/>
        <w:rPr>
          <w:rFonts w:ascii="Gadugi" w:eastAsia="Times New Roman" w:hAnsi="Gadugi" w:cs="Arial"/>
          <w:snapToGrid w:val="0"/>
          <w:szCs w:val="24"/>
          <w:lang w:eastAsia="es-ES"/>
        </w:rPr>
      </w:pPr>
      <w:r w:rsidRPr="005378FE">
        <w:rPr>
          <w:rFonts w:ascii="Gadugi" w:eastAsia="Times New Roman" w:hAnsi="Gadugi" w:cs="Arial"/>
          <w:snapToGrid w:val="0"/>
          <w:szCs w:val="24"/>
          <w:lang w:eastAsia="es-ES"/>
        </w:rPr>
        <w:t>Estando claro lo anterior, el suscrito magistrado no comparte lo afirmado por la titular del juzgado de origen y se declara incompetente para asumir el conocimiento de la presente acción de tutela; en consecuencia suscita conflicto de competencia con el consiguiente envío de la actuación a una Sala Mixta de esta misma Corporación, para que de conformidad con lo reglado en el inciso 2° del artículo 86 C.N., el artículo 18 de la Ley 270/96, y el artículo 11 del Acuerdo 108 de 1997 del Consejo Superior de la Judicatura, se defina lo que en derecho corresponda”</w:t>
      </w:r>
      <w:r w:rsidR="00E4583B" w:rsidRPr="005378FE">
        <w:rPr>
          <w:rStyle w:val="Refdenotaalpie"/>
          <w:rFonts w:ascii="Gadugi" w:eastAsia="Times New Roman" w:hAnsi="Gadugi" w:cs="Arial"/>
          <w:snapToGrid w:val="0"/>
          <w:szCs w:val="24"/>
          <w:lang w:eastAsia="es-ES"/>
        </w:rPr>
        <w:footnoteReference w:id="4"/>
      </w:r>
      <w:r w:rsidRPr="005378FE">
        <w:rPr>
          <w:rFonts w:ascii="Gadugi" w:eastAsia="Times New Roman" w:hAnsi="Gadugi" w:cs="Arial"/>
          <w:snapToGrid w:val="0"/>
          <w:szCs w:val="24"/>
          <w:lang w:eastAsia="es-ES"/>
        </w:rPr>
        <w:t>.</w:t>
      </w:r>
    </w:p>
    <w:p w14:paraId="672B6ADC" w14:textId="77777777" w:rsidR="00CA6CAB" w:rsidRPr="005378FE" w:rsidRDefault="00CA6CAB" w:rsidP="005378FE">
      <w:pPr>
        <w:spacing w:after="0" w:line="276" w:lineRule="auto"/>
        <w:ind w:firstLine="2880"/>
        <w:contextualSpacing/>
        <w:jc w:val="both"/>
        <w:rPr>
          <w:rFonts w:ascii="Gadugi" w:eastAsia="Times New Roman" w:hAnsi="Gadugi" w:cs="Arial"/>
          <w:snapToGrid w:val="0"/>
          <w:sz w:val="24"/>
          <w:szCs w:val="24"/>
          <w:lang w:eastAsia="es-ES"/>
        </w:rPr>
      </w:pPr>
    </w:p>
    <w:p w14:paraId="06BCC24C" w14:textId="77777777" w:rsidR="006A05A0" w:rsidRPr="005378FE" w:rsidRDefault="006A05A0" w:rsidP="005378FE">
      <w:pPr>
        <w:spacing w:after="0" w:line="276" w:lineRule="auto"/>
        <w:ind w:firstLine="2835"/>
        <w:contextualSpacing/>
        <w:jc w:val="both"/>
        <w:rPr>
          <w:rFonts w:ascii="Gadugi" w:eastAsia="Times New Roman" w:hAnsi="Gadugi" w:cs="Arial"/>
          <w:sz w:val="24"/>
          <w:szCs w:val="24"/>
          <w:lang w:eastAsia="es-ES"/>
        </w:rPr>
      </w:pPr>
      <w:r w:rsidRPr="005378FE">
        <w:rPr>
          <w:rFonts w:ascii="Gadugi" w:eastAsia="Times New Roman" w:hAnsi="Gadugi" w:cs="Arial"/>
          <w:sz w:val="24"/>
          <w:szCs w:val="24"/>
          <w:lang w:eastAsia="es-ES"/>
        </w:rPr>
        <w:t xml:space="preserve">Tal decisión la apoyó, además, en el artículo 132 del CGP y en el auto 583 de 2016, de la Corte Constitucional. </w:t>
      </w:r>
    </w:p>
    <w:p w14:paraId="6B69367D" w14:textId="77777777" w:rsidR="006A05A0" w:rsidRPr="005378FE" w:rsidRDefault="006A05A0" w:rsidP="005378FE">
      <w:pPr>
        <w:spacing w:after="0" w:line="276" w:lineRule="auto"/>
        <w:ind w:firstLine="2835"/>
        <w:contextualSpacing/>
        <w:jc w:val="both"/>
        <w:rPr>
          <w:rFonts w:ascii="Gadugi" w:eastAsia="Times New Roman" w:hAnsi="Gadugi" w:cs="Arial"/>
          <w:sz w:val="24"/>
          <w:szCs w:val="24"/>
          <w:lang w:eastAsia="es-ES"/>
        </w:rPr>
      </w:pPr>
    </w:p>
    <w:p w14:paraId="50DA247F" w14:textId="4C40ACD5" w:rsidR="00CA6CAB" w:rsidRPr="005378FE" w:rsidRDefault="006A05A0" w:rsidP="005378FE">
      <w:pPr>
        <w:spacing w:after="0" w:line="276" w:lineRule="auto"/>
        <w:ind w:firstLine="2835"/>
        <w:contextualSpacing/>
        <w:jc w:val="both"/>
        <w:rPr>
          <w:rFonts w:ascii="Gadugi" w:eastAsia="Times New Roman" w:hAnsi="Gadugi" w:cs="Arial"/>
          <w:bCs/>
          <w:iCs/>
          <w:sz w:val="24"/>
          <w:szCs w:val="24"/>
          <w:lang w:eastAsia="es-ES"/>
        </w:rPr>
      </w:pPr>
      <w:r w:rsidRPr="005378FE">
        <w:rPr>
          <w:rFonts w:ascii="Gadugi" w:eastAsia="Times New Roman" w:hAnsi="Gadugi" w:cs="Arial"/>
          <w:bCs/>
          <w:iCs/>
          <w:sz w:val="24"/>
          <w:szCs w:val="24"/>
          <w:lang w:eastAsia="es-ES"/>
        </w:rPr>
        <w:t xml:space="preserve">Sea del caso destacar que esa providencia data del 22 de junio del presente año, y en esa misma fecha se remitió a la oficina de reparto; sin embargo, solo fue repartido el conflicto el </w:t>
      </w:r>
      <w:r w:rsidR="00C5457E" w:rsidRPr="005378FE">
        <w:rPr>
          <w:rFonts w:ascii="Gadugi" w:eastAsia="Times New Roman" w:hAnsi="Gadugi" w:cs="Arial"/>
          <w:bCs/>
          <w:iCs/>
          <w:sz w:val="24"/>
          <w:szCs w:val="24"/>
          <w:lang w:eastAsia="es-ES"/>
        </w:rPr>
        <w:t xml:space="preserve">19 de agosto a las 3:58:56 p.m., por lo que solo el 20 de agosto pasó a despacho para proveer. </w:t>
      </w:r>
    </w:p>
    <w:p w14:paraId="5BB6F766" w14:textId="68335752" w:rsidR="00CA6CAB" w:rsidRPr="005378FE" w:rsidRDefault="00CA6CAB" w:rsidP="005378FE">
      <w:pPr>
        <w:spacing w:after="0" w:line="276" w:lineRule="auto"/>
        <w:ind w:firstLine="2835"/>
        <w:contextualSpacing/>
        <w:jc w:val="both"/>
        <w:rPr>
          <w:rFonts w:ascii="Gadugi" w:eastAsia="Times New Roman" w:hAnsi="Gadugi" w:cs="Arial"/>
          <w:b/>
          <w:bCs/>
          <w:iCs/>
          <w:sz w:val="24"/>
          <w:szCs w:val="24"/>
          <w:lang w:eastAsia="es-ES"/>
        </w:rPr>
      </w:pPr>
    </w:p>
    <w:p w14:paraId="153DE70A" w14:textId="77777777" w:rsidR="00E158BB" w:rsidRPr="005378FE" w:rsidRDefault="00E158BB" w:rsidP="005378FE">
      <w:pPr>
        <w:spacing w:after="0" w:line="276" w:lineRule="auto"/>
        <w:ind w:firstLine="2835"/>
        <w:contextualSpacing/>
        <w:jc w:val="both"/>
        <w:rPr>
          <w:rFonts w:ascii="Gadugi" w:eastAsia="Times New Roman" w:hAnsi="Gadugi" w:cs="Arial"/>
          <w:sz w:val="24"/>
          <w:szCs w:val="24"/>
          <w:lang w:eastAsia="es-ES"/>
        </w:rPr>
      </w:pPr>
      <w:r w:rsidRPr="005378FE">
        <w:rPr>
          <w:rFonts w:ascii="Gadugi" w:eastAsia="Times New Roman" w:hAnsi="Gadugi" w:cs="Arial"/>
          <w:b/>
          <w:bCs/>
          <w:iCs/>
          <w:sz w:val="24"/>
          <w:szCs w:val="24"/>
          <w:lang w:eastAsia="es-ES"/>
        </w:rPr>
        <w:t>CONSIDERACIONES</w:t>
      </w:r>
      <w:r w:rsidRPr="005378FE">
        <w:rPr>
          <w:rFonts w:ascii="Gadugi" w:eastAsia="Times New Roman" w:hAnsi="Gadugi" w:cs="Arial"/>
          <w:b/>
          <w:bCs/>
          <w:sz w:val="24"/>
          <w:szCs w:val="24"/>
          <w:lang w:eastAsia="es-ES"/>
        </w:rPr>
        <w:t>:</w:t>
      </w:r>
    </w:p>
    <w:p w14:paraId="44A34D56" w14:textId="3C07105C" w:rsidR="00E158BB" w:rsidRPr="005378FE" w:rsidRDefault="00E4583B" w:rsidP="005378FE">
      <w:pPr>
        <w:spacing w:after="0" w:line="276" w:lineRule="auto"/>
        <w:contextualSpacing/>
        <w:jc w:val="both"/>
        <w:rPr>
          <w:rFonts w:ascii="Gadugi" w:eastAsia="Times New Roman" w:hAnsi="Gadugi" w:cs="Arial"/>
          <w:snapToGrid w:val="0"/>
          <w:sz w:val="24"/>
          <w:szCs w:val="24"/>
          <w:lang w:eastAsia="es-ES"/>
        </w:rPr>
      </w:pPr>
      <w:r w:rsidRPr="005378FE">
        <w:rPr>
          <w:rFonts w:ascii="Gadugi" w:eastAsia="Times New Roman" w:hAnsi="Gadugi" w:cs="Arial"/>
          <w:snapToGrid w:val="0"/>
          <w:sz w:val="24"/>
          <w:szCs w:val="24"/>
          <w:lang w:eastAsia="es-ES"/>
        </w:rPr>
        <w:tab/>
      </w:r>
      <w:r w:rsidRPr="005378FE">
        <w:rPr>
          <w:rFonts w:ascii="Gadugi" w:eastAsia="Times New Roman" w:hAnsi="Gadugi" w:cs="Arial"/>
          <w:snapToGrid w:val="0"/>
          <w:sz w:val="24"/>
          <w:szCs w:val="24"/>
          <w:lang w:eastAsia="es-ES"/>
        </w:rPr>
        <w:tab/>
      </w:r>
      <w:r w:rsidRPr="005378FE">
        <w:rPr>
          <w:rFonts w:ascii="Gadugi" w:eastAsia="Times New Roman" w:hAnsi="Gadugi" w:cs="Arial"/>
          <w:snapToGrid w:val="0"/>
          <w:sz w:val="24"/>
          <w:szCs w:val="24"/>
          <w:lang w:eastAsia="es-ES"/>
        </w:rPr>
        <w:tab/>
      </w:r>
      <w:r w:rsidRPr="005378FE">
        <w:rPr>
          <w:rFonts w:ascii="Gadugi" w:eastAsia="Times New Roman" w:hAnsi="Gadugi" w:cs="Arial"/>
          <w:snapToGrid w:val="0"/>
          <w:sz w:val="24"/>
          <w:szCs w:val="24"/>
          <w:lang w:eastAsia="es-ES"/>
        </w:rPr>
        <w:tab/>
      </w:r>
      <w:r w:rsidRPr="005378FE">
        <w:rPr>
          <w:rFonts w:ascii="Gadugi" w:eastAsia="Times New Roman" w:hAnsi="Gadugi" w:cs="Arial"/>
          <w:snapToGrid w:val="0"/>
          <w:sz w:val="24"/>
          <w:szCs w:val="24"/>
          <w:lang w:eastAsia="es-ES"/>
        </w:rPr>
        <w:tab/>
      </w:r>
      <w:r w:rsidRPr="005378FE">
        <w:rPr>
          <w:rFonts w:ascii="Gadugi" w:eastAsia="Times New Roman" w:hAnsi="Gadugi" w:cs="Arial"/>
          <w:snapToGrid w:val="0"/>
          <w:sz w:val="24"/>
          <w:szCs w:val="24"/>
          <w:lang w:eastAsia="es-ES"/>
        </w:rPr>
        <w:tab/>
      </w:r>
      <w:r w:rsidRPr="005378FE">
        <w:rPr>
          <w:rFonts w:ascii="Gadugi" w:eastAsia="Times New Roman" w:hAnsi="Gadugi" w:cs="Arial"/>
          <w:snapToGrid w:val="0"/>
          <w:sz w:val="24"/>
          <w:szCs w:val="24"/>
          <w:lang w:eastAsia="es-ES"/>
        </w:rPr>
        <w:tab/>
      </w:r>
      <w:r w:rsidRPr="005378FE">
        <w:rPr>
          <w:rFonts w:ascii="Gadugi" w:eastAsia="Times New Roman" w:hAnsi="Gadugi" w:cs="Arial"/>
          <w:snapToGrid w:val="0"/>
          <w:sz w:val="24"/>
          <w:szCs w:val="24"/>
          <w:lang w:eastAsia="es-ES"/>
        </w:rPr>
        <w:tab/>
      </w:r>
    </w:p>
    <w:p w14:paraId="52E991A3" w14:textId="0CE75F9B" w:rsidR="00C5457E" w:rsidRDefault="00C5457E" w:rsidP="005378FE">
      <w:pPr>
        <w:tabs>
          <w:tab w:val="left" w:pos="0"/>
          <w:tab w:val="left" w:pos="3119"/>
        </w:tabs>
        <w:spacing w:after="0" w:line="276" w:lineRule="auto"/>
        <w:ind w:firstLine="2835"/>
        <w:jc w:val="both"/>
        <w:rPr>
          <w:rFonts w:ascii="Gadugi" w:eastAsia="Times New Roman" w:hAnsi="Gadugi" w:cs="Arial"/>
          <w:snapToGrid w:val="0"/>
          <w:sz w:val="24"/>
          <w:szCs w:val="24"/>
          <w:lang w:eastAsia="es-ES"/>
        </w:rPr>
      </w:pPr>
      <w:r w:rsidRPr="005378FE">
        <w:rPr>
          <w:rFonts w:ascii="Gadugi" w:eastAsia="Times New Roman" w:hAnsi="Gadugi" w:cs="Arial"/>
          <w:snapToGrid w:val="0"/>
          <w:sz w:val="24"/>
          <w:szCs w:val="24"/>
          <w:lang w:eastAsia="es-ES"/>
        </w:rPr>
        <w:t>Sea lo primero establecer si esta Sala Mixta del Tribunal es la llamada a dirimir el aparente conflicto que se pone bajo su estudio.</w:t>
      </w:r>
    </w:p>
    <w:p w14:paraId="234B6EC3" w14:textId="77777777" w:rsidR="005378FE" w:rsidRPr="005378FE" w:rsidRDefault="005378FE" w:rsidP="005378FE">
      <w:pPr>
        <w:tabs>
          <w:tab w:val="left" w:pos="0"/>
          <w:tab w:val="left" w:pos="3119"/>
        </w:tabs>
        <w:spacing w:after="0" w:line="276" w:lineRule="auto"/>
        <w:ind w:firstLine="2835"/>
        <w:jc w:val="both"/>
        <w:rPr>
          <w:rFonts w:ascii="Gadugi" w:eastAsia="Times New Roman" w:hAnsi="Gadugi" w:cs="Arial"/>
          <w:snapToGrid w:val="0"/>
          <w:sz w:val="24"/>
          <w:szCs w:val="24"/>
          <w:lang w:eastAsia="es-ES"/>
        </w:rPr>
      </w:pPr>
    </w:p>
    <w:p w14:paraId="380994F7" w14:textId="4D72ED92" w:rsidR="00C5457E" w:rsidRPr="005378FE" w:rsidRDefault="00C5457E" w:rsidP="005378FE">
      <w:pPr>
        <w:tabs>
          <w:tab w:val="left" w:pos="0"/>
          <w:tab w:val="left" w:pos="3119"/>
        </w:tabs>
        <w:spacing w:after="0" w:line="276" w:lineRule="auto"/>
        <w:ind w:firstLine="2835"/>
        <w:jc w:val="both"/>
        <w:rPr>
          <w:rFonts w:ascii="Gadugi" w:eastAsia="Times New Roman" w:hAnsi="Gadugi" w:cs="Arial"/>
          <w:snapToGrid w:val="0"/>
          <w:sz w:val="24"/>
          <w:szCs w:val="24"/>
          <w:lang w:eastAsia="es-ES"/>
        </w:rPr>
      </w:pPr>
      <w:r w:rsidRPr="005378FE">
        <w:rPr>
          <w:rFonts w:ascii="Gadugi" w:eastAsia="Times New Roman" w:hAnsi="Gadugi" w:cs="Arial"/>
          <w:snapToGrid w:val="0"/>
          <w:sz w:val="24"/>
          <w:szCs w:val="24"/>
          <w:lang w:eastAsia="es-ES"/>
        </w:rPr>
        <w:t xml:space="preserve">En primer lugar, bien dijo el Magistrado que lo suscitó que, a falta de una regla específica en lo que a este tema se refiere en el Decreto 2591 de 1991, las normas que sirvan para definir la cuestión son los artículos 139 del Código General del Proceso y el 18 de la Ley 270 de 1996. </w:t>
      </w:r>
    </w:p>
    <w:p w14:paraId="4D10D00E" w14:textId="190A9702" w:rsidR="00C5457E" w:rsidRPr="005378FE" w:rsidRDefault="00C5457E" w:rsidP="005378FE">
      <w:pPr>
        <w:tabs>
          <w:tab w:val="left" w:pos="0"/>
          <w:tab w:val="left" w:pos="3119"/>
        </w:tabs>
        <w:spacing w:after="0" w:line="276" w:lineRule="auto"/>
        <w:ind w:firstLine="2835"/>
        <w:jc w:val="both"/>
        <w:rPr>
          <w:rFonts w:ascii="Gadugi" w:eastAsia="Times New Roman" w:hAnsi="Gadugi" w:cs="Arial"/>
          <w:snapToGrid w:val="0"/>
          <w:sz w:val="24"/>
          <w:szCs w:val="24"/>
          <w:lang w:eastAsia="es-ES"/>
        </w:rPr>
      </w:pPr>
    </w:p>
    <w:p w14:paraId="464FED1C" w14:textId="03BB0E9E" w:rsidR="00C5457E" w:rsidRPr="005378FE" w:rsidRDefault="00C5457E" w:rsidP="005378FE">
      <w:pPr>
        <w:tabs>
          <w:tab w:val="left" w:pos="0"/>
          <w:tab w:val="left" w:pos="3119"/>
        </w:tabs>
        <w:spacing w:after="0" w:line="276" w:lineRule="auto"/>
        <w:ind w:firstLine="2835"/>
        <w:jc w:val="both"/>
        <w:rPr>
          <w:rFonts w:ascii="Gadugi" w:eastAsia="Times New Roman" w:hAnsi="Gadugi" w:cs="Arial"/>
          <w:snapToGrid w:val="0"/>
          <w:sz w:val="24"/>
          <w:szCs w:val="24"/>
          <w:lang w:eastAsia="es-ES"/>
        </w:rPr>
      </w:pPr>
      <w:r w:rsidRPr="005378FE">
        <w:rPr>
          <w:rFonts w:ascii="Gadugi" w:eastAsia="Times New Roman" w:hAnsi="Gadugi" w:cs="Arial"/>
          <w:snapToGrid w:val="0"/>
          <w:sz w:val="24"/>
          <w:szCs w:val="24"/>
          <w:lang w:eastAsia="es-ES"/>
        </w:rPr>
        <w:t>Para empezar por esta última norma, es claro que ella regula una situación diversa a la que aquí se presenta, porque p</w:t>
      </w:r>
      <w:r w:rsidR="0065218A" w:rsidRPr="005378FE">
        <w:rPr>
          <w:rFonts w:ascii="Gadugi" w:eastAsia="Times New Roman" w:hAnsi="Gadugi" w:cs="Arial"/>
          <w:snapToGrid w:val="0"/>
          <w:sz w:val="24"/>
          <w:szCs w:val="24"/>
          <w:lang w:eastAsia="es-ES"/>
        </w:rPr>
        <w:t>a</w:t>
      </w:r>
      <w:r w:rsidRPr="005378FE">
        <w:rPr>
          <w:rFonts w:ascii="Gadugi" w:eastAsia="Times New Roman" w:hAnsi="Gadugi" w:cs="Arial"/>
          <w:snapToGrid w:val="0"/>
          <w:sz w:val="24"/>
          <w:szCs w:val="24"/>
          <w:lang w:eastAsia="es-ES"/>
        </w:rPr>
        <w:t xml:space="preserve">rte de un supuesto claro; que haya un conflicto entre autoridades de la jurisdicción ordinaria que tengan </w:t>
      </w:r>
      <w:r w:rsidRPr="005378FE">
        <w:rPr>
          <w:rFonts w:ascii="Gadugi" w:eastAsia="Times New Roman" w:hAnsi="Gadugi" w:cs="Arial"/>
          <w:b/>
          <w:snapToGrid w:val="0"/>
          <w:sz w:val="24"/>
          <w:szCs w:val="24"/>
          <w:lang w:eastAsia="es-ES"/>
        </w:rPr>
        <w:t xml:space="preserve">distinta especialidad jurisdiccional </w:t>
      </w:r>
      <w:r w:rsidRPr="005378FE">
        <w:rPr>
          <w:rFonts w:ascii="Gadugi" w:eastAsia="Times New Roman" w:hAnsi="Gadugi" w:cs="Arial"/>
          <w:snapToGrid w:val="0"/>
          <w:sz w:val="24"/>
          <w:szCs w:val="24"/>
          <w:lang w:eastAsia="es-ES"/>
        </w:rPr>
        <w:t xml:space="preserve">y que pertenezcan a </w:t>
      </w:r>
      <w:r w:rsidRPr="005378FE">
        <w:rPr>
          <w:rFonts w:ascii="Gadugi" w:eastAsia="Times New Roman" w:hAnsi="Gadugi" w:cs="Arial"/>
          <w:b/>
          <w:snapToGrid w:val="0"/>
          <w:sz w:val="24"/>
          <w:szCs w:val="24"/>
          <w:lang w:eastAsia="es-ES"/>
        </w:rPr>
        <w:t xml:space="preserve">distintos distritos, </w:t>
      </w:r>
      <w:r w:rsidRPr="005378FE">
        <w:rPr>
          <w:rFonts w:ascii="Gadugi" w:eastAsia="Times New Roman" w:hAnsi="Gadugi" w:cs="Arial"/>
          <w:snapToGrid w:val="0"/>
          <w:sz w:val="24"/>
          <w:szCs w:val="24"/>
          <w:lang w:eastAsia="es-ES"/>
        </w:rPr>
        <w:t>evento en el</w:t>
      </w:r>
      <w:r w:rsidRPr="005378FE">
        <w:rPr>
          <w:rFonts w:ascii="Gadugi" w:eastAsia="Times New Roman" w:hAnsi="Gadugi" w:cs="Arial"/>
          <w:b/>
          <w:snapToGrid w:val="0"/>
          <w:sz w:val="24"/>
          <w:szCs w:val="24"/>
          <w:lang w:eastAsia="es-ES"/>
        </w:rPr>
        <w:t xml:space="preserve"> </w:t>
      </w:r>
      <w:r w:rsidRPr="005378FE">
        <w:rPr>
          <w:rFonts w:ascii="Gadugi" w:eastAsia="Times New Roman" w:hAnsi="Gadugi" w:cs="Arial"/>
          <w:snapToGrid w:val="0"/>
          <w:sz w:val="24"/>
          <w:szCs w:val="24"/>
          <w:lang w:eastAsia="es-ES"/>
        </w:rPr>
        <w:t xml:space="preserve">cual el conflicto debe ser asumido por la Sala Plena de la Corte Suprema de Justicia. No obstante, cuando esta misma eventualidad se da en acciones de tutela, decantado tiene la misma Corte Constitucional que la competencia será suya, como órgano de cierre de la jurisdicción constitucional, lo mismo que cuando el conflicto ocurre entre jueces de distintas jurisdicciones. Eso se explica en el mismo auto citado por el Magistrado. </w:t>
      </w:r>
    </w:p>
    <w:p w14:paraId="1E47957F" w14:textId="3B3EEE5F" w:rsidR="00C5457E" w:rsidRPr="005378FE" w:rsidRDefault="00C5457E" w:rsidP="005378FE">
      <w:pPr>
        <w:tabs>
          <w:tab w:val="left" w:pos="0"/>
          <w:tab w:val="left" w:pos="3119"/>
        </w:tabs>
        <w:spacing w:after="0" w:line="276" w:lineRule="auto"/>
        <w:ind w:firstLine="2835"/>
        <w:jc w:val="both"/>
        <w:rPr>
          <w:rFonts w:ascii="Gadugi" w:eastAsia="Times New Roman" w:hAnsi="Gadugi" w:cs="Arial"/>
          <w:snapToGrid w:val="0"/>
          <w:sz w:val="24"/>
          <w:szCs w:val="24"/>
          <w:lang w:eastAsia="es-ES"/>
        </w:rPr>
      </w:pPr>
    </w:p>
    <w:p w14:paraId="784B860E" w14:textId="487A9521" w:rsidR="00C5457E" w:rsidRPr="005378FE" w:rsidRDefault="00C5457E" w:rsidP="005378FE">
      <w:pPr>
        <w:tabs>
          <w:tab w:val="left" w:pos="0"/>
          <w:tab w:val="left" w:pos="3119"/>
        </w:tabs>
        <w:spacing w:after="0" w:line="276" w:lineRule="auto"/>
        <w:ind w:firstLine="2835"/>
        <w:jc w:val="both"/>
        <w:rPr>
          <w:rFonts w:ascii="Gadugi" w:eastAsia="Times New Roman" w:hAnsi="Gadugi" w:cs="Arial"/>
          <w:snapToGrid w:val="0"/>
          <w:sz w:val="24"/>
          <w:szCs w:val="24"/>
          <w:lang w:eastAsia="es-ES"/>
        </w:rPr>
      </w:pPr>
      <w:r w:rsidRPr="005378FE">
        <w:rPr>
          <w:rFonts w:ascii="Gadugi" w:eastAsia="Times New Roman" w:hAnsi="Gadugi" w:cs="Arial"/>
          <w:snapToGrid w:val="0"/>
          <w:sz w:val="24"/>
          <w:szCs w:val="24"/>
          <w:lang w:eastAsia="es-ES"/>
        </w:rPr>
        <w:t xml:space="preserve">Y sigue diciendo esta norma que </w:t>
      </w:r>
      <w:r w:rsidRPr="005378FE">
        <w:rPr>
          <w:rFonts w:ascii="Gadugi" w:eastAsia="Times New Roman" w:hAnsi="Gadugi" w:cs="Arial"/>
          <w:b/>
          <w:snapToGrid w:val="0"/>
          <w:sz w:val="24"/>
          <w:szCs w:val="24"/>
          <w:lang w:eastAsia="es-ES"/>
        </w:rPr>
        <w:t>los conflictos de la misma naturaleza</w:t>
      </w:r>
      <w:r w:rsidR="00B04473" w:rsidRPr="005378FE">
        <w:rPr>
          <w:rFonts w:ascii="Gadugi" w:eastAsia="Times New Roman" w:hAnsi="Gadugi" w:cs="Arial"/>
          <w:b/>
          <w:snapToGrid w:val="0"/>
          <w:sz w:val="24"/>
          <w:szCs w:val="24"/>
          <w:lang w:eastAsia="es-ES"/>
        </w:rPr>
        <w:t xml:space="preserve"> </w:t>
      </w:r>
      <w:r w:rsidR="00B04473" w:rsidRPr="005378FE">
        <w:rPr>
          <w:rFonts w:ascii="Gadugi" w:eastAsia="Times New Roman" w:hAnsi="Gadugi" w:cs="Arial"/>
          <w:snapToGrid w:val="0"/>
          <w:sz w:val="24"/>
          <w:szCs w:val="24"/>
          <w:lang w:eastAsia="es-ES"/>
        </w:rPr>
        <w:t xml:space="preserve">que se presenten entre autoridades de igual o diferente categoría y pertenecientes al mismo Distrito, los resolverá una Sala Mixta del mismo Tribunal Superior. Y cuando esta parte alude a conflictos de la misma naturaleza, sin duda se refiere a los que se presenten entre dos autoridades </w:t>
      </w:r>
      <w:r w:rsidR="00B04473" w:rsidRPr="005378FE">
        <w:rPr>
          <w:rFonts w:ascii="Gadugi" w:eastAsia="Times New Roman" w:hAnsi="Gadugi" w:cs="Arial"/>
          <w:b/>
          <w:snapToGrid w:val="0"/>
          <w:sz w:val="24"/>
          <w:szCs w:val="24"/>
          <w:lang w:eastAsia="es-ES"/>
        </w:rPr>
        <w:t xml:space="preserve">de distinta especialidad jurisdiccional, </w:t>
      </w:r>
      <w:r w:rsidR="00B04473" w:rsidRPr="005378FE">
        <w:rPr>
          <w:rFonts w:ascii="Gadugi" w:eastAsia="Times New Roman" w:hAnsi="Gadugi" w:cs="Arial"/>
          <w:snapToGrid w:val="0"/>
          <w:sz w:val="24"/>
          <w:szCs w:val="24"/>
          <w:lang w:eastAsia="es-ES"/>
        </w:rPr>
        <w:t xml:space="preserve">pero esta vez, </w:t>
      </w:r>
      <w:r w:rsidR="00B04473" w:rsidRPr="005378FE">
        <w:rPr>
          <w:rFonts w:ascii="Gadugi" w:eastAsia="Times New Roman" w:hAnsi="Gadugi" w:cs="Arial"/>
          <w:b/>
          <w:snapToGrid w:val="0"/>
          <w:sz w:val="24"/>
          <w:szCs w:val="24"/>
          <w:lang w:eastAsia="es-ES"/>
        </w:rPr>
        <w:t xml:space="preserve">del mismo distrito judicial. </w:t>
      </w:r>
      <w:r w:rsidR="00B04473" w:rsidRPr="005378FE">
        <w:rPr>
          <w:rFonts w:ascii="Gadugi" w:eastAsia="Times New Roman" w:hAnsi="Gadugi" w:cs="Arial"/>
          <w:snapToGrid w:val="0"/>
          <w:sz w:val="24"/>
          <w:szCs w:val="24"/>
          <w:lang w:eastAsia="es-ES"/>
        </w:rPr>
        <w:t xml:space="preserve">De hecho, en el auto 583 de 2016, es fácil ver que el aparente conflicto se dio entre un juzgado penal para adolescentes y una sala de familia de un tribunal superior (diferente especialidad, del mismo distrito). </w:t>
      </w:r>
    </w:p>
    <w:p w14:paraId="2A6B0BC9" w14:textId="67AFE4E6" w:rsidR="00B04473" w:rsidRPr="005378FE" w:rsidRDefault="00B04473" w:rsidP="005378FE">
      <w:pPr>
        <w:tabs>
          <w:tab w:val="left" w:pos="0"/>
          <w:tab w:val="left" w:pos="3119"/>
        </w:tabs>
        <w:spacing w:after="0" w:line="276" w:lineRule="auto"/>
        <w:ind w:firstLine="2835"/>
        <w:jc w:val="both"/>
        <w:rPr>
          <w:rFonts w:ascii="Gadugi" w:eastAsia="Times New Roman" w:hAnsi="Gadugi" w:cs="Arial"/>
          <w:b/>
          <w:snapToGrid w:val="0"/>
          <w:sz w:val="24"/>
          <w:szCs w:val="24"/>
          <w:lang w:eastAsia="es-ES"/>
        </w:rPr>
      </w:pPr>
    </w:p>
    <w:p w14:paraId="47D09E07" w14:textId="21B7DE71" w:rsidR="00B04473" w:rsidRPr="005378FE" w:rsidRDefault="00B04473" w:rsidP="005378FE">
      <w:pPr>
        <w:tabs>
          <w:tab w:val="left" w:pos="0"/>
          <w:tab w:val="left" w:pos="3119"/>
        </w:tabs>
        <w:spacing w:after="0" w:line="276" w:lineRule="auto"/>
        <w:ind w:firstLine="2835"/>
        <w:jc w:val="both"/>
        <w:rPr>
          <w:rFonts w:ascii="Gadugi" w:eastAsia="Times New Roman" w:hAnsi="Gadugi" w:cs="Arial"/>
          <w:snapToGrid w:val="0"/>
          <w:sz w:val="24"/>
          <w:szCs w:val="24"/>
          <w:lang w:eastAsia="es-ES"/>
        </w:rPr>
      </w:pPr>
      <w:r w:rsidRPr="005378FE">
        <w:rPr>
          <w:rFonts w:ascii="Gadugi" w:eastAsia="Times New Roman" w:hAnsi="Gadugi" w:cs="Arial"/>
          <w:snapToGrid w:val="0"/>
          <w:sz w:val="24"/>
          <w:szCs w:val="24"/>
          <w:lang w:eastAsia="es-ES"/>
        </w:rPr>
        <w:t>El caso de ahora, es evidente que no encaja</w:t>
      </w:r>
      <w:r w:rsidRPr="005378FE">
        <w:rPr>
          <w:rFonts w:ascii="Gadugi" w:eastAsia="Times New Roman" w:hAnsi="Gadugi" w:cs="Arial"/>
          <w:b/>
          <w:snapToGrid w:val="0"/>
          <w:sz w:val="24"/>
          <w:szCs w:val="24"/>
          <w:lang w:eastAsia="es-ES"/>
        </w:rPr>
        <w:t xml:space="preserve"> </w:t>
      </w:r>
      <w:r w:rsidRPr="005378FE">
        <w:rPr>
          <w:rFonts w:ascii="Gadugi" w:eastAsia="Times New Roman" w:hAnsi="Gadugi" w:cs="Arial"/>
          <w:snapToGrid w:val="0"/>
          <w:sz w:val="24"/>
          <w:szCs w:val="24"/>
          <w:lang w:eastAsia="es-ES"/>
        </w:rPr>
        <w:t xml:space="preserve">en ninguno de estos eventos, en cuanto no se confrontan dos jueces de distinta especialidad de distinto distrito judicial, ni dos jueces de diferente especialidad del mismo distrito. La colisión se da entre </w:t>
      </w:r>
      <w:r w:rsidRPr="005378FE">
        <w:rPr>
          <w:rFonts w:ascii="Gadugi" w:eastAsia="Times New Roman" w:hAnsi="Gadugi" w:cs="Arial"/>
          <w:b/>
          <w:snapToGrid w:val="0"/>
          <w:sz w:val="24"/>
          <w:szCs w:val="24"/>
          <w:lang w:eastAsia="es-ES"/>
        </w:rPr>
        <w:t xml:space="preserve">un magistrado de la Sala Penal del Tribunal y un juez penal del circuito, </w:t>
      </w:r>
      <w:r w:rsidRPr="005378FE">
        <w:rPr>
          <w:rFonts w:ascii="Gadugi" w:eastAsia="Times New Roman" w:hAnsi="Gadugi" w:cs="Arial"/>
          <w:snapToGrid w:val="0"/>
          <w:sz w:val="24"/>
          <w:szCs w:val="24"/>
          <w:lang w:eastAsia="es-ES"/>
        </w:rPr>
        <w:t xml:space="preserve">con lo que se trata de dos funcionarios de la misma especialidad y del mismo Distrito judicial. </w:t>
      </w:r>
    </w:p>
    <w:p w14:paraId="4BBABADF" w14:textId="77777777" w:rsidR="00B04473" w:rsidRPr="005378FE" w:rsidRDefault="00B04473" w:rsidP="005378FE">
      <w:pPr>
        <w:tabs>
          <w:tab w:val="left" w:pos="0"/>
          <w:tab w:val="left" w:pos="3119"/>
        </w:tabs>
        <w:spacing w:after="0" w:line="276" w:lineRule="auto"/>
        <w:ind w:firstLine="2835"/>
        <w:jc w:val="both"/>
        <w:rPr>
          <w:rFonts w:ascii="Gadugi" w:eastAsia="Times New Roman" w:hAnsi="Gadugi" w:cs="Arial"/>
          <w:snapToGrid w:val="0"/>
          <w:sz w:val="24"/>
          <w:szCs w:val="24"/>
          <w:lang w:eastAsia="es-ES"/>
        </w:rPr>
      </w:pPr>
    </w:p>
    <w:p w14:paraId="05CCE58C" w14:textId="21B74D60" w:rsidR="00B04473" w:rsidRPr="005378FE" w:rsidRDefault="00B04473" w:rsidP="005378FE">
      <w:pPr>
        <w:tabs>
          <w:tab w:val="left" w:pos="0"/>
          <w:tab w:val="left" w:pos="3119"/>
        </w:tabs>
        <w:spacing w:after="0" w:line="276" w:lineRule="auto"/>
        <w:ind w:firstLine="2835"/>
        <w:jc w:val="both"/>
        <w:rPr>
          <w:rFonts w:ascii="Gadugi" w:eastAsia="Times New Roman" w:hAnsi="Gadugi" w:cs="Arial"/>
          <w:snapToGrid w:val="0"/>
          <w:sz w:val="24"/>
          <w:szCs w:val="24"/>
          <w:lang w:eastAsia="es-ES"/>
        </w:rPr>
      </w:pPr>
      <w:r w:rsidRPr="005378FE">
        <w:rPr>
          <w:rFonts w:ascii="Gadugi" w:eastAsia="Times New Roman" w:hAnsi="Gadugi" w:cs="Arial"/>
          <w:snapToGrid w:val="0"/>
          <w:sz w:val="24"/>
          <w:szCs w:val="24"/>
          <w:lang w:eastAsia="es-ES"/>
        </w:rPr>
        <w:t xml:space="preserve">Consecuencialmente, la norma que regula ese asunto no es el artículo 18 de la citada ley 270, sino el 139 del CGP que, como bien claro lo tiene quien provocó el conflicto, señala que el mismo debe ser resuelto por el funcionario que sea superior funcional común de ambos jueces. </w:t>
      </w:r>
    </w:p>
    <w:p w14:paraId="7A234DF3" w14:textId="37724D87" w:rsidR="00B04473" w:rsidRPr="005378FE" w:rsidRDefault="00B04473" w:rsidP="005378FE">
      <w:pPr>
        <w:tabs>
          <w:tab w:val="left" w:pos="0"/>
          <w:tab w:val="left" w:pos="3119"/>
        </w:tabs>
        <w:spacing w:after="0" w:line="276" w:lineRule="auto"/>
        <w:ind w:firstLine="2835"/>
        <w:jc w:val="both"/>
        <w:rPr>
          <w:rFonts w:ascii="Gadugi" w:eastAsia="Times New Roman" w:hAnsi="Gadugi" w:cs="Arial"/>
          <w:snapToGrid w:val="0"/>
          <w:sz w:val="24"/>
          <w:szCs w:val="24"/>
          <w:lang w:eastAsia="es-ES"/>
        </w:rPr>
      </w:pPr>
    </w:p>
    <w:p w14:paraId="3714FD66" w14:textId="354CBDC2" w:rsidR="00B04473" w:rsidRPr="005378FE" w:rsidRDefault="00B04473" w:rsidP="005378FE">
      <w:pPr>
        <w:tabs>
          <w:tab w:val="left" w:pos="0"/>
          <w:tab w:val="left" w:pos="3119"/>
        </w:tabs>
        <w:spacing w:after="0" w:line="276" w:lineRule="auto"/>
        <w:ind w:firstLine="2835"/>
        <w:jc w:val="both"/>
        <w:rPr>
          <w:rFonts w:ascii="Gadugi" w:eastAsia="Times New Roman" w:hAnsi="Gadugi" w:cs="Arial"/>
          <w:snapToGrid w:val="0"/>
          <w:sz w:val="24"/>
          <w:szCs w:val="24"/>
          <w:lang w:eastAsia="es-ES"/>
        </w:rPr>
      </w:pPr>
      <w:r w:rsidRPr="005378FE">
        <w:rPr>
          <w:rFonts w:ascii="Gadugi" w:eastAsia="Times New Roman" w:hAnsi="Gadugi" w:cs="Arial"/>
          <w:snapToGrid w:val="0"/>
          <w:sz w:val="24"/>
          <w:szCs w:val="24"/>
          <w:lang w:eastAsia="es-ES"/>
        </w:rPr>
        <w:t xml:space="preserve">Norma que, además, señala con toda precisión que </w:t>
      </w:r>
      <w:r w:rsidR="00D75B96" w:rsidRPr="005378FE">
        <w:rPr>
          <w:rFonts w:ascii="Gadugi" w:eastAsia="Times New Roman" w:hAnsi="Gadugi" w:cs="Arial"/>
          <w:snapToGrid w:val="0"/>
          <w:sz w:val="24"/>
          <w:szCs w:val="24"/>
          <w:lang w:eastAsia="es-ES"/>
        </w:rPr>
        <w:t xml:space="preserve">no puede existir un conflicto de competencia entre el inferior y su superior funcional, aspecto que, valga anotarlo, fue pasado por alto en este asunto. </w:t>
      </w:r>
    </w:p>
    <w:p w14:paraId="5C188175" w14:textId="332B585F" w:rsidR="00D75B96" w:rsidRPr="005378FE" w:rsidRDefault="00D75B96" w:rsidP="005378FE">
      <w:pPr>
        <w:tabs>
          <w:tab w:val="left" w:pos="0"/>
          <w:tab w:val="left" w:pos="3119"/>
        </w:tabs>
        <w:spacing w:after="0" w:line="276" w:lineRule="auto"/>
        <w:ind w:firstLine="2835"/>
        <w:jc w:val="both"/>
        <w:rPr>
          <w:rFonts w:ascii="Gadugi" w:eastAsia="Times New Roman" w:hAnsi="Gadugi" w:cs="Arial"/>
          <w:snapToGrid w:val="0"/>
          <w:sz w:val="24"/>
          <w:szCs w:val="24"/>
          <w:lang w:eastAsia="es-ES"/>
        </w:rPr>
      </w:pPr>
    </w:p>
    <w:p w14:paraId="20E9F973" w14:textId="6F8A7D12" w:rsidR="00D75B96" w:rsidRPr="005378FE" w:rsidRDefault="00D75B96" w:rsidP="005378FE">
      <w:pPr>
        <w:tabs>
          <w:tab w:val="left" w:pos="0"/>
          <w:tab w:val="left" w:pos="3119"/>
        </w:tabs>
        <w:spacing w:after="0" w:line="276" w:lineRule="auto"/>
        <w:ind w:firstLine="2835"/>
        <w:jc w:val="both"/>
        <w:rPr>
          <w:rFonts w:ascii="Gadugi" w:eastAsia="Times New Roman" w:hAnsi="Gadugi" w:cs="Arial"/>
          <w:snapToGrid w:val="0"/>
          <w:sz w:val="24"/>
          <w:szCs w:val="24"/>
          <w:lang w:eastAsia="es-ES"/>
        </w:rPr>
      </w:pPr>
      <w:r w:rsidRPr="005378FE">
        <w:rPr>
          <w:rFonts w:ascii="Gadugi" w:eastAsia="Times New Roman" w:hAnsi="Gadugi" w:cs="Arial"/>
          <w:snapToGrid w:val="0"/>
          <w:sz w:val="24"/>
          <w:szCs w:val="24"/>
          <w:lang w:eastAsia="es-ES"/>
        </w:rPr>
        <w:t xml:space="preserve">De manera que, siguiendo esta regla de competencia, a quien correspondería definir la cuestión, sería a la Sala Penal de </w:t>
      </w:r>
      <w:r w:rsidR="0019122C" w:rsidRPr="005378FE">
        <w:rPr>
          <w:rFonts w:ascii="Gadugi" w:eastAsia="Times New Roman" w:hAnsi="Gadugi" w:cs="Arial"/>
          <w:snapToGrid w:val="0"/>
          <w:sz w:val="24"/>
          <w:szCs w:val="24"/>
          <w:lang w:eastAsia="es-ES"/>
        </w:rPr>
        <w:t xml:space="preserve">la </w:t>
      </w:r>
      <w:r w:rsidRPr="005378FE">
        <w:rPr>
          <w:rFonts w:ascii="Gadugi" w:eastAsia="Times New Roman" w:hAnsi="Gadugi" w:cs="Arial"/>
          <w:snapToGrid w:val="0"/>
          <w:sz w:val="24"/>
          <w:szCs w:val="24"/>
          <w:lang w:eastAsia="es-ES"/>
        </w:rPr>
        <w:t xml:space="preserve">Corte Suprema de Justicia, dado que resulta ser superior funcional de los jueces en pugna. </w:t>
      </w:r>
    </w:p>
    <w:p w14:paraId="189FE914" w14:textId="49BD6ED2" w:rsidR="00D75B96" w:rsidRPr="005378FE" w:rsidRDefault="00D75B96" w:rsidP="005378FE">
      <w:pPr>
        <w:tabs>
          <w:tab w:val="left" w:pos="0"/>
          <w:tab w:val="left" w:pos="3119"/>
        </w:tabs>
        <w:spacing w:after="0" w:line="276" w:lineRule="auto"/>
        <w:ind w:firstLine="2835"/>
        <w:jc w:val="both"/>
        <w:rPr>
          <w:rFonts w:ascii="Gadugi" w:eastAsia="Times New Roman" w:hAnsi="Gadugi" w:cs="Arial"/>
          <w:snapToGrid w:val="0"/>
          <w:sz w:val="24"/>
          <w:szCs w:val="24"/>
          <w:lang w:eastAsia="es-ES"/>
        </w:rPr>
      </w:pPr>
    </w:p>
    <w:p w14:paraId="03513DDE" w14:textId="3CF9B377" w:rsidR="00D75B96" w:rsidRPr="005378FE" w:rsidRDefault="00D75B96" w:rsidP="005378FE">
      <w:pPr>
        <w:tabs>
          <w:tab w:val="left" w:pos="0"/>
          <w:tab w:val="left" w:pos="3119"/>
        </w:tabs>
        <w:spacing w:after="0" w:line="276" w:lineRule="auto"/>
        <w:ind w:firstLine="2835"/>
        <w:jc w:val="both"/>
        <w:rPr>
          <w:rFonts w:ascii="Gadugi" w:eastAsia="Times New Roman" w:hAnsi="Gadugi" w:cs="Arial"/>
          <w:snapToGrid w:val="0"/>
          <w:sz w:val="24"/>
          <w:szCs w:val="24"/>
          <w:lang w:eastAsia="es-ES"/>
        </w:rPr>
      </w:pPr>
      <w:r w:rsidRPr="005378FE">
        <w:rPr>
          <w:rFonts w:ascii="Gadugi" w:eastAsia="Times New Roman" w:hAnsi="Gadugi" w:cs="Arial"/>
          <w:snapToGrid w:val="0"/>
          <w:sz w:val="24"/>
          <w:szCs w:val="24"/>
          <w:lang w:eastAsia="es-ES"/>
        </w:rPr>
        <w:lastRenderedPageBreak/>
        <w:t xml:space="preserve">Ahora bien, en consideración a que se trata de una acción de tutela, ya bastante retrasada por causa de la demora en el reparto de este conflicto, y en vista de que se ha omitido considerar esa especial previsión del artículo 139 citado, dispondrá esta Sala devolver la actuación a la Sala del Magistrado que provocó el aparente conflicto para que, de persistir en esa posición, sea él quien remita la actuación a la Sala de Casación Penal o, en caso contrario, la remita a su inferior funcional para que siga con el trámite respectivo. </w:t>
      </w:r>
    </w:p>
    <w:p w14:paraId="52669EEA" w14:textId="45EB6A2C" w:rsidR="00D75B96" w:rsidRPr="005378FE" w:rsidRDefault="00D75B96" w:rsidP="005378FE">
      <w:pPr>
        <w:tabs>
          <w:tab w:val="left" w:pos="0"/>
          <w:tab w:val="left" w:pos="3119"/>
        </w:tabs>
        <w:spacing w:after="0" w:line="276" w:lineRule="auto"/>
        <w:ind w:firstLine="2835"/>
        <w:jc w:val="both"/>
        <w:rPr>
          <w:rFonts w:ascii="Gadugi" w:eastAsia="Times New Roman" w:hAnsi="Gadugi" w:cs="Arial"/>
          <w:snapToGrid w:val="0"/>
          <w:sz w:val="24"/>
          <w:szCs w:val="24"/>
          <w:lang w:eastAsia="es-ES"/>
        </w:rPr>
      </w:pPr>
    </w:p>
    <w:p w14:paraId="7354FACA" w14:textId="7AAC74AC" w:rsidR="00D75B96" w:rsidRPr="005378FE" w:rsidRDefault="00D75B96" w:rsidP="005378FE">
      <w:pPr>
        <w:tabs>
          <w:tab w:val="left" w:pos="0"/>
          <w:tab w:val="left" w:pos="3119"/>
        </w:tabs>
        <w:spacing w:after="0" w:line="276" w:lineRule="auto"/>
        <w:ind w:firstLine="2835"/>
        <w:jc w:val="both"/>
        <w:rPr>
          <w:rFonts w:ascii="Gadugi" w:eastAsia="Times New Roman" w:hAnsi="Gadugi" w:cs="Arial"/>
          <w:snapToGrid w:val="0"/>
          <w:sz w:val="24"/>
          <w:szCs w:val="24"/>
          <w:lang w:eastAsia="es-ES"/>
        </w:rPr>
      </w:pPr>
      <w:r w:rsidRPr="005378FE">
        <w:rPr>
          <w:rFonts w:ascii="Gadugi" w:eastAsia="Times New Roman" w:hAnsi="Gadugi" w:cs="Arial"/>
          <w:snapToGrid w:val="0"/>
          <w:sz w:val="24"/>
          <w:szCs w:val="24"/>
          <w:lang w:eastAsia="es-ES"/>
        </w:rPr>
        <w:t xml:space="preserve">De otro lado, se dispondrá poner en conocimiento del Director Seccional de Administración Judicial de Pereira la situación presentada con el reparto, para que se adelanten las gestiones tendientes a evitar que siga ocurriendo. </w:t>
      </w:r>
    </w:p>
    <w:p w14:paraId="69DE50FC" w14:textId="10D5C9CA" w:rsidR="00D75B96" w:rsidRPr="005378FE" w:rsidRDefault="00D75B96" w:rsidP="005378FE">
      <w:pPr>
        <w:tabs>
          <w:tab w:val="left" w:pos="0"/>
          <w:tab w:val="left" w:pos="3119"/>
        </w:tabs>
        <w:spacing w:after="0" w:line="276" w:lineRule="auto"/>
        <w:ind w:firstLine="2835"/>
        <w:jc w:val="both"/>
        <w:rPr>
          <w:rFonts w:ascii="Gadugi" w:eastAsia="Times New Roman" w:hAnsi="Gadugi" w:cs="Arial"/>
          <w:snapToGrid w:val="0"/>
          <w:sz w:val="24"/>
          <w:szCs w:val="24"/>
          <w:lang w:eastAsia="es-ES"/>
        </w:rPr>
      </w:pPr>
    </w:p>
    <w:p w14:paraId="6A36BCF8" w14:textId="77777777" w:rsidR="00E158BB" w:rsidRPr="005378FE" w:rsidRDefault="00E158BB" w:rsidP="005378FE">
      <w:pPr>
        <w:widowControl w:val="0"/>
        <w:spacing w:after="0" w:line="276" w:lineRule="auto"/>
        <w:ind w:firstLine="2835"/>
        <w:jc w:val="both"/>
        <w:rPr>
          <w:rFonts w:ascii="Gadugi" w:eastAsia="Tahoma" w:hAnsi="Gadugi" w:cs="Tahoma"/>
          <w:b/>
          <w:bCs/>
          <w:sz w:val="24"/>
          <w:szCs w:val="24"/>
        </w:rPr>
      </w:pPr>
      <w:r w:rsidRPr="005378FE">
        <w:rPr>
          <w:rFonts w:ascii="Gadugi" w:eastAsia="Tahoma" w:hAnsi="Gadugi" w:cs="Tahoma"/>
          <w:b/>
          <w:bCs/>
          <w:color w:val="000000"/>
          <w:sz w:val="24"/>
          <w:szCs w:val="24"/>
        </w:rPr>
        <w:t>DECISIÓN</w:t>
      </w:r>
    </w:p>
    <w:p w14:paraId="50FC59B6" w14:textId="77777777" w:rsidR="00E158BB" w:rsidRPr="005378FE" w:rsidRDefault="00E158BB" w:rsidP="005378FE">
      <w:pPr>
        <w:widowControl w:val="0"/>
        <w:spacing w:after="0" w:line="276" w:lineRule="auto"/>
        <w:ind w:firstLine="2835"/>
        <w:jc w:val="both"/>
        <w:rPr>
          <w:rFonts w:ascii="Gadugi" w:eastAsia="Courier New" w:hAnsi="Gadugi" w:cs="Courier New"/>
          <w:color w:val="000000"/>
          <w:sz w:val="24"/>
          <w:szCs w:val="24"/>
          <w:lang w:eastAsia="es-ES"/>
        </w:rPr>
      </w:pPr>
    </w:p>
    <w:p w14:paraId="403D3D6F" w14:textId="77777777" w:rsidR="00D75B96" w:rsidRPr="005378FE" w:rsidRDefault="00E158BB" w:rsidP="005378FE">
      <w:pPr>
        <w:spacing w:after="0" w:line="276" w:lineRule="auto"/>
        <w:ind w:firstLine="2835"/>
        <w:contextualSpacing/>
        <w:jc w:val="both"/>
        <w:rPr>
          <w:rFonts w:ascii="Gadugi" w:eastAsia="Segoe UI" w:hAnsi="Gadugi" w:cs="Segoe UI"/>
          <w:sz w:val="24"/>
          <w:szCs w:val="24"/>
        </w:rPr>
      </w:pPr>
      <w:r w:rsidRPr="005378FE">
        <w:rPr>
          <w:rFonts w:ascii="Gadugi" w:eastAsia="Tahoma" w:hAnsi="Gadugi" w:cs="Tahoma"/>
          <w:color w:val="000000"/>
          <w:sz w:val="24"/>
          <w:szCs w:val="24"/>
          <w:lang w:val="es-419"/>
        </w:rPr>
        <w:t>E</w:t>
      </w:r>
      <w:r w:rsidRPr="005378FE">
        <w:rPr>
          <w:rFonts w:ascii="Gadugi" w:eastAsia="Tahoma" w:hAnsi="Gadugi" w:cs="Tahoma"/>
          <w:color w:val="000000"/>
          <w:sz w:val="24"/>
          <w:szCs w:val="24"/>
        </w:rPr>
        <w:t xml:space="preserve">n mérito de lo expuesto, esta </w:t>
      </w:r>
      <w:r w:rsidRPr="005378FE">
        <w:rPr>
          <w:rFonts w:ascii="Gadugi" w:eastAsia="Segoe UI" w:hAnsi="Gadugi" w:cs="Segoe UI"/>
          <w:sz w:val="24"/>
          <w:szCs w:val="24"/>
        </w:rPr>
        <w:t xml:space="preserve">Sala </w:t>
      </w:r>
      <w:r w:rsidR="00D75B96" w:rsidRPr="005378FE">
        <w:rPr>
          <w:rFonts w:ascii="Gadugi" w:eastAsia="Segoe UI" w:hAnsi="Gadugi" w:cs="Segoe UI"/>
          <w:sz w:val="24"/>
          <w:szCs w:val="24"/>
        </w:rPr>
        <w:t xml:space="preserve">Mixta No. 10 del Tribunal Superior de Pereira, declara su incompetencia funcional para conocer de este aparente conflicto y dispone la devolución del expediente al despacho del Magistrado Jorge Arturo Castaño para que provea a quién ha de remitirlo. </w:t>
      </w:r>
    </w:p>
    <w:p w14:paraId="7E82CB99" w14:textId="77777777" w:rsidR="00D75B96" w:rsidRPr="005378FE" w:rsidRDefault="00D75B96" w:rsidP="005378FE">
      <w:pPr>
        <w:spacing w:after="0" w:line="276" w:lineRule="auto"/>
        <w:ind w:firstLine="2835"/>
        <w:contextualSpacing/>
        <w:jc w:val="both"/>
        <w:rPr>
          <w:rFonts w:ascii="Gadugi" w:eastAsia="Segoe UI" w:hAnsi="Gadugi" w:cs="Segoe UI"/>
          <w:sz w:val="24"/>
          <w:szCs w:val="24"/>
        </w:rPr>
      </w:pPr>
    </w:p>
    <w:p w14:paraId="3F353B3E" w14:textId="6DB52058" w:rsidR="00E158BB" w:rsidRPr="005378FE" w:rsidRDefault="00D75B96" w:rsidP="005378FE">
      <w:pPr>
        <w:spacing w:after="0" w:line="276" w:lineRule="auto"/>
        <w:ind w:firstLine="2835"/>
        <w:contextualSpacing/>
        <w:jc w:val="both"/>
        <w:rPr>
          <w:rFonts w:ascii="Gadugi" w:eastAsia="Segoe UI" w:hAnsi="Gadugi" w:cs="Segoe UI"/>
          <w:sz w:val="24"/>
          <w:szCs w:val="24"/>
        </w:rPr>
      </w:pPr>
      <w:r w:rsidRPr="005378FE">
        <w:rPr>
          <w:rFonts w:ascii="Gadugi" w:eastAsia="Segoe UI" w:hAnsi="Gadugi" w:cs="Segoe UI"/>
          <w:sz w:val="24"/>
          <w:szCs w:val="24"/>
        </w:rPr>
        <w:t xml:space="preserve">Póngase en conocimiento del Director Seccional de Administración Judicial el presente asunto, para que se realicen gestione tendientes a evitar que se siga presentando retardo en el reparto, en particular, de las acciones constitucionales. </w:t>
      </w:r>
    </w:p>
    <w:p w14:paraId="782E92C3" w14:textId="77777777" w:rsidR="005736AA" w:rsidRPr="005378FE" w:rsidRDefault="005736AA" w:rsidP="005378FE">
      <w:pPr>
        <w:widowControl w:val="0"/>
        <w:spacing w:after="0" w:line="276" w:lineRule="auto"/>
        <w:ind w:right="20" w:firstLine="2835"/>
        <w:jc w:val="both"/>
        <w:rPr>
          <w:rFonts w:ascii="Gadugi" w:eastAsia="Times New Roman" w:hAnsi="Gadugi" w:cs="Arial"/>
          <w:bCs/>
          <w:iCs/>
          <w:sz w:val="24"/>
          <w:szCs w:val="24"/>
          <w:lang w:eastAsia="es-ES"/>
        </w:rPr>
      </w:pPr>
    </w:p>
    <w:p w14:paraId="2DC1297E" w14:textId="77777777" w:rsidR="00E158BB" w:rsidRPr="005378FE" w:rsidRDefault="00E158BB" w:rsidP="005378FE">
      <w:pPr>
        <w:spacing w:after="0" w:line="276" w:lineRule="auto"/>
        <w:contextualSpacing/>
        <w:jc w:val="both"/>
        <w:rPr>
          <w:rFonts w:ascii="Gadugi" w:eastAsia="Times New Roman" w:hAnsi="Gadugi" w:cs="Arial"/>
          <w:bCs/>
          <w:iCs/>
          <w:sz w:val="24"/>
          <w:szCs w:val="24"/>
          <w:lang w:eastAsia="es-ES"/>
        </w:rPr>
      </w:pPr>
      <w:r w:rsidRPr="005378FE">
        <w:rPr>
          <w:rFonts w:ascii="Gadugi" w:eastAsia="Times New Roman" w:hAnsi="Gadugi" w:cs="Arial"/>
          <w:bCs/>
          <w:iCs/>
          <w:sz w:val="24"/>
          <w:szCs w:val="24"/>
          <w:lang w:eastAsia="es-ES"/>
        </w:rPr>
        <w:tab/>
      </w:r>
      <w:r w:rsidRPr="005378FE">
        <w:rPr>
          <w:rFonts w:ascii="Gadugi" w:eastAsia="Times New Roman" w:hAnsi="Gadugi" w:cs="Arial"/>
          <w:bCs/>
          <w:iCs/>
          <w:sz w:val="24"/>
          <w:szCs w:val="24"/>
          <w:lang w:eastAsia="es-ES"/>
        </w:rPr>
        <w:tab/>
      </w:r>
      <w:r w:rsidRPr="005378FE">
        <w:rPr>
          <w:rFonts w:ascii="Gadugi" w:eastAsia="Times New Roman" w:hAnsi="Gadugi" w:cs="Arial"/>
          <w:bCs/>
          <w:iCs/>
          <w:sz w:val="24"/>
          <w:szCs w:val="24"/>
          <w:lang w:eastAsia="es-ES"/>
        </w:rPr>
        <w:tab/>
      </w:r>
      <w:r w:rsidRPr="005378FE">
        <w:rPr>
          <w:rFonts w:ascii="Gadugi" w:eastAsia="Times New Roman" w:hAnsi="Gadugi" w:cs="Arial"/>
          <w:bCs/>
          <w:iCs/>
          <w:sz w:val="24"/>
          <w:szCs w:val="24"/>
          <w:lang w:eastAsia="es-ES"/>
        </w:rPr>
        <w:tab/>
        <w:t>Notifíquese la decisión a las partes en la forma prevista en el artículo 5º del Decreto 306 de 1992.</w:t>
      </w:r>
    </w:p>
    <w:p w14:paraId="66619AEA" w14:textId="77777777" w:rsidR="00E158BB" w:rsidRPr="005378FE" w:rsidRDefault="00E158BB" w:rsidP="005378FE">
      <w:pPr>
        <w:spacing w:after="0" w:line="276" w:lineRule="auto"/>
        <w:contextualSpacing/>
        <w:jc w:val="both"/>
        <w:rPr>
          <w:rFonts w:ascii="Gadugi" w:eastAsia="Times New Roman" w:hAnsi="Gadugi" w:cs="Arial"/>
          <w:bCs/>
          <w:iCs/>
          <w:sz w:val="24"/>
          <w:szCs w:val="24"/>
          <w:lang w:eastAsia="es-ES"/>
        </w:rPr>
      </w:pPr>
    </w:p>
    <w:p w14:paraId="49810289" w14:textId="77777777" w:rsidR="00E158BB" w:rsidRPr="005378FE" w:rsidRDefault="00E158BB" w:rsidP="005378FE">
      <w:pPr>
        <w:spacing w:after="0" w:line="276" w:lineRule="auto"/>
        <w:contextualSpacing/>
        <w:jc w:val="both"/>
        <w:rPr>
          <w:rFonts w:ascii="Gadugi" w:eastAsia="Times New Roman" w:hAnsi="Gadugi" w:cs="Arial"/>
          <w:b/>
          <w:bCs/>
          <w:sz w:val="24"/>
          <w:szCs w:val="24"/>
          <w:lang w:eastAsia="es-ES"/>
        </w:rPr>
      </w:pPr>
    </w:p>
    <w:p w14:paraId="754B2173" w14:textId="77777777" w:rsidR="00473B4A" w:rsidRPr="005378FE" w:rsidRDefault="00473B4A" w:rsidP="005378FE">
      <w:pPr>
        <w:spacing w:after="0" w:line="276" w:lineRule="auto"/>
        <w:ind w:firstLine="2880"/>
        <w:contextualSpacing/>
        <w:jc w:val="both"/>
        <w:rPr>
          <w:rFonts w:ascii="Gadugi" w:eastAsia="Times New Roman" w:hAnsi="Gadugi" w:cs="Arial"/>
          <w:iCs/>
          <w:sz w:val="24"/>
          <w:szCs w:val="24"/>
          <w:lang w:eastAsia="es-ES"/>
        </w:rPr>
      </w:pPr>
      <w:r w:rsidRPr="005378FE">
        <w:rPr>
          <w:rFonts w:ascii="Gadugi" w:eastAsia="Times New Roman" w:hAnsi="Gadugi" w:cs="Arial"/>
          <w:iCs/>
          <w:sz w:val="24"/>
          <w:szCs w:val="24"/>
          <w:lang w:eastAsia="es-ES"/>
        </w:rPr>
        <w:t xml:space="preserve">Los Magistrados, </w:t>
      </w:r>
    </w:p>
    <w:p w14:paraId="2007A9D5" w14:textId="77777777" w:rsidR="00473B4A" w:rsidRPr="005378FE" w:rsidRDefault="00473B4A" w:rsidP="005378FE">
      <w:pPr>
        <w:spacing w:after="0" w:line="276" w:lineRule="auto"/>
        <w:ind w:firstLine="2880"/>
        <w:contextualSpacing/>
        <w:jc w:val="both"/>
        <w:rPr>
          <w:rFonts w:ascii="Gadugi" w:eastAsia="Times New Roman" w:hAnsi="Gadugi" w:cs="Arial"/>
          <w:b/>
          <w:bCs/>
          <w:sz w:val="24"/>
          <w:szCs w:val="24"/>
          <w:lang w:eastAsia="es-ES"/>
        </w:rPr>
      </w:pPr>
    </w:p>
    <w:p w14:paraId="610B1576" w14:textId="77777777" w:rsidR="00E85B58" w:rsidRPr="005378FE" w:rsidRDefault="00E85B58" w:rsidP="005378FE">
      <w:pPr>
        <w:spacing w:after="0" w:line="276" w:lineRule="auto"/>
        <w:ind w:firstLine="2880"/>
        <w:contextualSpacing/>
        <w:jc w:val="both"/>
        <w:rPr>
          <w:rFonts w:ascii="Gadugi" w:eastAsia="Times New Roman" w:hAnsi="Gadugi" w:cs="Arial"/>
          <w:b/>
          <w:bCs/>
          <w:sz w:val="24"/>
          <w:szCs w:val="24"/>
          <w:lang w:eastAsia="es-ES"/>
        </w:rPr>
      </w:pPr>
    </w:p>
    <w:p w14:paraId="01433BD8" w14:textId="77777777" w:rsidR="00473B4A" w:rsidRPr="005378FE" w:rsidRDefault="00473B4A" w:rsidP="005378FE">
      <w:pPr>
        <w:spacing w:after="0" w:line="276" w:lineRule="auto"/>
        <w:ind w:firstLine="2880"/>
        <w:contextualSpacing/>
        <w:jc w:val="both"/>
        <w:rPr>
          <w:rFonts w:ascii="Gadugi" w:eastAsia="Times New Roman" w:hAnsi="Gadugi" w:cs="Arial"/>
          <w:b/>
          <w:bCs/>
          <w:iCs/>
          <w:sz w:val="24"/>
          <w:szCs w:val="24"/>
          <w:lang w:eastAsia="es-ES"/>
        </w:rPr>
      </w:pPr>
      <w:r w:rsidRPr="005378FE">
        <w:rPr>
          <w:rFonts w:ascii="Gadugi" w:eastAsia="Times New Roman" w:hAnsi="Gadugi" w:cs="Arial"/>
          <w:b/>
          <w:bCs/>
          <w:iCs/>
          <w:sz w:val="24"/>
          <w:szCs w:val="24"/>
          <w:lang w:eastAsia="es-ES"/>
        </w:rPr>
        <w:t>JAIME ALBERTO SARAZA NARANJO</w:t>
      </w:r>
    </w:p>
    <w:p w14:paraId="0B5B7722" w14:textId="1FE5042F" w:rsidR="005736AA" w:rsidRDefault="005736AA" w:rsidP="005378FE">
      <w:pPr>
        <w:spacing w:after="0" w:line="276" w:lineRule="auto"/>
        <w:ind w:firstLine="2880"/>
        <w:contextualSpacing/>
        <w:jc w:val="both"/>
        <w:rPr>
          <w:rFonts w:ascii="Gadugi" w:eastAsia="Times New Roman" w:hAnsi="Gadugi" w:cs="Arial"/>
          <w:b/>
          <w:bCs/>
          <w:iCs/>
          <w:sz w:val="24"/>
          <w:szCs w:val="24"/>
          <w:lang w:eastAsia="es-ES"/>
        </w:rPr>
      </w:pPr>
    </w:p>
    <w:p w14:paraId="2FDE54A5" w14:textId="77777777" w:rsidR="005378FE" w:rsidRPr="005378FE" w:rsidRDefault="005378FE" w:rsidP="005378FE">
      <w:pPr>
        <w:spacing w:after="0" w:line="276" w:lineRule="auto"/>
        <w:ind w:firstLine="2880"/>
        <w:contextualSpacing/>
        <w:jc w:val="both"/>
        <w:rPr>
          <w:rFonts w:ascii="Gadugi" w:eastAsia="Times New Roman" w:hAnsi="Gadugi" w:cs="Arial"/>
          <w:b/>
          <w:bCs/>
          <w:iCs/>
          <w:sz w:val="24"/>
          <w:szCs w:val="24"/>
          <w:lang w:eastAsia="es-ES"/>
        </w:rPr>
      </w:pPr>
    </w:p>
    <w:p w14:paraId="4EF60687" w14:textId="77777777" w:rsidR="005736AA" w:rsidRPr="005378FE" w:rsidRDefault="005736AA" w:rsidP="005378FE">
      <w:pPr>
        <w:spacing w:after="0" w:line="276" w:lineRule="auto"/>
        <w:ind w:firstLine="2880"/>
        <w:contextualSpacing/>
        <w:jc w:val="both"/>
        <w:rPr>
          <w:rFonts w:ascii="Gadugi" w:eastAsia="Times New Roman" w:hAnsi="Gadugi" w:cs="Arial"/>
          <w:b/>
          <w:bCs/>
          <w:iCs/>
          <w:sz w:val="24"/>
          <w:szCs w:val="24"/>
          <w:lang w:eastAsia="es-ES"/>
        </w:rPr>
      </w:pPr>
      <w:r w:rsidRPr="005378FE">
        <w:rPr>
          <w:rFonts w:ascii="Gadugi" w:eastAsia="Times New Roman" w:hAnsi="Gadugi" w:cs="Arial"/>
          <w:b/>
          <w:bCs/>
          <w:iCs/>
          <w:sz w:val="24"/>
          <w:szCs w:val="24"/>
          <w:lang w:eastAsia="es-ES"/>
        </w:rPr>
        <w:t>JULIÁN RIVERA LOAIZA</w:t>
      </w:r>
    </w:p>
    <w:p w14:paraId="4F6550B5" w14:textId="7F62020C" w:rsidR="005736AA" w:rsidRDefault="005736AA" w:rsidP="005378FE">
      <w:pPr>
        <w:spacing w:after="0" w:line="276" w:lineRule="auto"/>
        <w:ind w:firstLine="2880"/>
        <w:contextualSpacing/>
        <w:jc w:val="both"/>
        <w:rPr>
          <w:rFonts w:ascii="Gadugi" w:eastAsia="Times New Roman" w:hAnsi="Gadugi" w:cs="Arial"/>
          <w:b/>
          <w:bCs/>
          <w:iCs/>
          <w:sz w:val="24"/>
          <w:szCs w:val="24"/>
          <w:lang w:eastAsia="es-ES"/>
        </w:rPr>
      </w:pPr>
    </w:p>
    <w:p w14:paraId="6DF58AD5" w14:textId="77777777" w:rsidR="005378FE" w:rsidRPr="005378FE" w:rsidRDefault="005378FE" w:rsidP="005378FE">
      <w:pPr>
        <w:spacing w:after="0" w:line="276" w:lineRule="auto"/>
        <w:ind w:firstLine="2880"/>
        <w:contextualSpacing/>
        <w:jc w:val="both"/>
        <w:rPr>
          <w:rFonts w:ascii="Gadugi" w:eastAsia="Times New Roman" w:hAnsi="Gadugi" w:cs="Arial"/>
          <w:b/>
          <w:bCs/>
          <w:iCs/>
          <w:sz w:val="24"/>
          <w:szCs w:val="24"/>
          <w:lang w:eastAsia="es-ES"/>
        </w:rPr>
      </w:pPr>
    </w:p>
    <w:p w14:paraId="1E05DB91" w14:textId="390B859E" w:rsidR="00410420" w:rsidRPr="005378FE" w:rsidRDefault="005736AA" w:rsidP="005378FE">
      <w:pPr>
        <w:spacing w:after="0" w:line="276" w:lineRule="auto"/>
        <w:ind w:firstLine="2880"/>
        <w:contextualSpacing/>
        <w:jc w:val="both"/>
        <w:rPr>
          <w:rFonts w:ascii="Gadugi" w:eastAsia="Times New Roman" w:hAnsi="Gadugi" w:cs="Arial"/>
          <w:b/>
          <w:sz w:val="24"/>
          <w:szCs w:val="24"/>
          <w:lang w:eastAsia="es-ES"/>
        </w:rPr>
      </w:pPr>
      <w:r w:rsidRPr="005378FE">
        <w:rPr>
          <w:rFonts w:ascii="Gadugi" w:eastAsia="Times New Roman" w:hAnsi="Gadugi" w:cs="Arial"/>
          <w:b/>
          <w:bCs/>
          <w:sz w:val="24"/>
          <w:szCs w:val="24"/>
          <w:lang w:eastAsia="es-ES"/>
        </w:rPr>
        <w:t>JULIO CÉSAR SALAZAR MUÑOZ</w:t>
      </w:r>
    </w:p>
    <w:sectPr w:rsidR="00410420" w:rsidRPr="005378FE" w:rsidSect="001D3438">
      <w:headerReference w:type="even" r:id="rId10"/>
      <w:headerReference w:type="default" r:id="rId11"/>
      <w:footerReference w:type="even" r:id="rId12"/>
      <w:footerReference w:type="default" r:id="rId13"/>
      <w:headerReference w:type="first" r:id="rId14"/>
      <w:footerReference w:type="first" r:id="rId15"/>
      <w:pgSz w:w="12242" w:h="18722" w:code="258"/>
      <w:pgMar w:top="1871" w:right="1304" w:bottom="1304" w:left="1871" w:header="567" w:footer="567" w:gutter="0"/>
      <w:cols w:space="720"/>
      <w:titlePg/>
      <w:docGrid w:linePitch="299"/>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36E3E2CA" w16cex:dateUtc="2021-08-20T20:46:18.129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1434C0" w14:textId="77777777" w:rsidR="008B34BA" w:rsidRDefault="008B34BA" w:rsidP="00E158BB">
      <w:pPr>
        <w:spacing w:after="0" w:line="240" w:lineRule="auto"/>
      </w:pPr>
      <w:r>
        <w:separator/>
      </w:r>
    </w:p>
  </w:endnote>
  <w:endnote w:type="continuationSeparator" w:id="0">
    <w:p w14:paraId="04BB7970" w14:textId="77777777" w:rsidR="008B34BA" w:rsidRDefault="008B34BA" w:rsidP="00E158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dugi">
    <w:panose1 w:val="020B0502040204020203"/>
    <w:charset w:val="00"/>
    <w:family w:val="swiss"/>
    <w:pitch w:val="variable"/>
    <w:sig w:usb0="80000003" w:usb1="02000000" w:usb2="00003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E3356C" w14:textId="77777777" w:rsidR="001D3438" w:rsidRDefault="001D3438">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D18FA7" w14:textId="77777777" w:rsidR="00D13A5B" w:rsidRPr="001D3438" w:rsidRDefault="00E80CAC" w:rsidP="001D3438">
    <w:pPr>
      <w:pStyle w:val="Piedepgina"/>
      <w:framePr w:wrap="auto" w:vAnchor="text" w:hAnchor="margin" w:xAlign="right" w:y="1"/>
      <w:tabs>
        <w:tab w:val="clear" w:pos="4252"/>
        <w:tab w:val="clear" w:pos="8504"/>
        <w:tab w:val="center" w:pos="4419"/>
        <w:tab w:val="right" w:pos="8838"/>
      </w:tabs>
      <w:overflowPunct w:val="0"/>
      <w:autoSpaceDE w:val="0"/>
      <w:autoSpaceDN w:val="0"/>
      <w:adjustRightInd w:val="0"/>
      <w:textAlignment w:val="baseline"/>
      <w:rPr>
        <w:rStyle w:val="Nmerodepgina"/>
        <w:noProof/>
        <w:color w:val="auto"/>
        <w:sz w:val="18"/>
        <w:szCs w:val="20"/>
      </w:rPr>
    </w:pPr>
    <w:r w:rsidRPr="001D3438">
      <w:rPr>
        <w:rStyle w:val="Nmerodepgina"/>
        <w:noProof/>
        <w:color w:val="auto"/>
        <w:sz w:val="18"/>
        <w:szCs w:val="20"/>
      </w:rPr>
      <w:fldChar w:fldCharType="begin"/>
    </w:r>
    <w:r w:rsidRPr="001D3438">
      <w:rPr>
        <w:rStyle w:val="Nmerodepgina"/>
        <w:noProof/>
        <w:color w:val="auto"/>
        <w:sz w:val="18"/>
        <w:szCs w:val="20"/>
      </w:rPr>
      <w:instrText xml:space="preserve">PAGE  </w:instrText>
    </w:r>
    <w:r w:rsidRPr="001D3438">
      <w:rPr>
        <w:rStyle w:val="Nmerodepgina"/>
        <w:noProof/>
        <w:color w:val="auto"/>
        <w:sz w:val="18"/>
        <w:szCs w:val="20"/>
      </w:rPr>
      <w:fldChar w:fldCharType="separate"/>
    </w:r>
    <w:r w:rsidR="00410420" w:rsidRPr="001D3438">
      <w:rPr>
        <w:rStyle w:val="Nmerodepgina"/>
        <w:noProof/>
        <w:color w:val="auto"/>
        <w:sz w:val="18"/>
        <w:szCs w:val="20"/>
      </w:rPr>
      <w:t>1</w:t>
    </w:r>
    <w:r w:rsidRPr="001D3438">
      <w:rPr>
        <w:rStyle w:val="Nmerodepgina"/>
        <w:noProof/>
        <w:color w:val="auto"/>
        <w:sz w:val="18"/>
        <w:szCs w:val="20"/>
      </w:rPr>
      <w:fldChar w:fldCharType="end"/>
    </w:r>
  </w:p>
  <w:p w14:paraId="3480F347" w14:textId="77777777" w:rsidR="00D13A5B" w:rsidRDefault="00D13A5B" w:rsidP="00D13A5B">
    <w:pPr>
      <w:pStyle w:val="Piedepgin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F30C80" w14:textId="77777777" w:rsidR="001D3438" w:rsidRDefault="001D343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A19B62" w14:textId="77777777" w:rsidR="008B34BA" w:rsidRDefault="008B34BA" w:rsidP="00E158BB">
      <w:pPr>
        <w:spacing w:after="0" w:line="240" w:lineRule="auto"/>
      </w:pPr>
      <w:r>
        <w:separator/>
      </w:r>
    </w:p>
  </w:footnote>
  <w:footnote w:type="continuationSeparator" w:id="0">
    <w:p w14:paraId="290A87A8" w14:textId="77777777" w:rsidR="008B34BA" w:rsidRDefault="008B34BA" w:rsidP="00E158BB">
      <w:pPr>
        <w:spacing w:after="0" w:line="240" w:lineRule="auto"/>
      </w:pPr>
      <w:r>
        <w:continuationSeparator/>
      </w:r>
    </w:p>
  </w:footnote>
  <w:footnote w:id="1">
    <w:p w14:paraId="6479C31C" w14:textId="77777777" w:rsidR="00E4583B" w:rsidRPr="005378FE" w:rsidRDefault="00E4583B" w:rsidP="001D3438">
      <w:pPr>
        <w:pStyle w:val="Piedepgina"/>
        <w:tabs>
          <w:tab w:val="clear" w:pos="4252"/>
          <w:tab w:val="clear" w:pos="8504"/>
          <w:tab w:val="center" w:pos="4419"/>
          <w:tab w:val="right" w:pos="8838"/>
        </w:tabs>
        <w:overflowPunct w:val="0"/>
        <w:autoSpaceDE w:val="0"/>
        <w:autoSpaceDN w:val="0"/>
        <w:adjustRightInd w:val="0"/>
        <w:textAlignment w:val="baseline"/>
        <w:rPr>
          <w:rFonts w:asciiTheme="majorHAnsi" w:hAnsiTheme="majorHAnsi" w:cstheme="majorHAnsi"/>
          <w:szCs w:val="26"/>
          <w:lang w:val="es-CO"/>
        </w:rPr>
      </w:pPr>
      <w:r w:rsidRPr="005378FE">
        <w:rPr>
          <w:rStyle w:val="Refdenotaalpie"/>
          <w:rFonts w:asciiTheme="majorHAnsi" w:hAnsiTheme="majorHAnsi" w:cstheme="majorHAnsi"/>
          <w:szCs w:val="26"/>
        </w:rPr>
        <w:footnoteRef/>
      </w:r>
      <w:r w:rsidRPr="005378FE">
        <w:rPr>
          <w:rFonts w:asciiTheme="majorHAnsi" w:hAnsiTheme="majorHAnsi" w:cstheme="majorHAnsi"/>
          <w:szCs w:val="26"/>
        </w:rPr>
        <w:t xml:space="preserve"> </w:t>
      </w:r>
      <w:r w:rsidRPr="005378FE">
        <w:rPr>
          <w:rFonts w:asciiTheme="majorHAnsi" w:hAnsiTheme="majorHAnsi" w:cstheme="majorHAnsi"/>
          <w:szCs w:val="26"/>
          <w:lang w:val="es-CO"/>
        </w:rPr>
        <w:t>Documento 04.</w:t>
      </w:r>
    </w:p>
  </w:footnote>
  <w:footnote w:id="2">
    <w:p w14:paraId="2E3EFE49" w14:textId="77777777" w:rsidR="00E4583B" w:rsidRPr="005378FE" w:rsidRDefault="00E4583B" w:rsidP="005378FE">
      <w:pPr>
        <w:pStyle w:val="Textonotapie"/>
        <w:jc w:val="both"/>
        <w:rPr>
          <w:rFonts w:asciiTheme="majorHAnsi" w:hAnsiTheme="majorHAnsi" w:cstheme="majorHAnsi"/>
          <w:szCs w:val="26"/>
          <w:lang w:val="es-CO"/>
        </w:rPr>
      </w:pPr>
      <w:r w:rsidRPr="005378FE">
        <w:rPr>
          <w:rStyle w:val="Refdenotaalpie"/>
          <w:rFonts w:asciiTheme="majorHAnsi" w:hAnsiTheme="majorHAnsi" w:cstheme="majorHAnsi"/>
          <w:szCs w:val="26"/>
        </w:rPr>
        <w:footnoteRef/>
      </w:r>
      <w:r w:rsidRPr="005378FE">
        <w:rPr>
          <w:rFonts w:asciiTheme="majorHAnsi" w:hAnsiTheme="majorHAnsi" w:cstheme="majorHAnsi"/>
          <w:szCs w:val="26"/>
        </w:rPr>
        <w:t xml:space="preserve"> </w:t>
      </w:r>
      <w:r w:rsidRPr="005378FE">
        <w:rPr>
          <w:rFonts w:asciiTheme="majorHAnsi" w:hAnsiTheme="majorHAnsi" w:cstheme="majorHAnsi"/>
          <w:szCs w:val="26"/>
          <w:lang w:val="es-CO"/>
        </w:rPr>
        <w:t>Documento 07.</w:t>
      </w:r>
    </w:p>
  </w:footnote>
  <w:footnote w:id="3">
    <w:p w14:paraId="41AE0CB0" w14:textId="77777777" w:rsidR="00E4583B" w:rsidRPr="005378FE" w:rsidRDefault="00E4583B" w:rsidP="005378FE">
      <w:pPr>
        <w:pStyle w:val="Textonotapie"/>
        <w:jc w:val="both"/>
        <w:rPr>
          <w:rFonts w:asciiTheme="majorHAnsi" w:hAnsiTheme="majorHAnsi" w:cstheme="majorHAnsi"/>
          <w:szCs w:val="26"/>
          <w:lang w:val="es-CO"/>
        </w:rPr>
      </w:pPr>
      <w:r w:rsidRPr="005378FE">
        <w:rPr>
          <w:rStyle w:val="Refdenotaalpie"/>
          <w:rFonts w:asciiTheme="majorHAnsi" w:hAnsiTheme="majorHAnsi" w:cstheme="majorHAnsi"/>
          <w:szCs w:val="26"/>
        </w:rPr>
        <w:footnoteRef/>
      </w:r>
      <w:r w:rsidRPr="005378FE">
        <w:rPr>
          <w:rFonts w:asciiTheme="majorHAnsi" w:hAnsiTheme="majorHAnsi" w:cstheme="majorHAnsi"/>
          <w:szCs w:val="26"/>
        </w:rPr>
        <w:t xml:space="preserve"> </w:t>
      </w:r>
      <w:r w:rsidRPr="005378FE">
        <w:rPr>
          <w:rFonts w:asciiTheme="majorHAnsi" w:hAnsiTheme="majorHAnsi" w:cstheme="majorHAnsi"/>
          <w:szCs w:val="26"/>
          <w:lang w:val="es-CO"/>
        </w:rPr>
        <w:t>Documento 08.</w:t>
      </w:r>
    </w:p>
  </w:footnote>
  <w:footnote w:id="4">
    <w:p w14:paraId="4D29916E" w14:textId="77777777" w:rsidR="00E4583B" w:rsidRPr="005378FE" w:rsidRDefault="00E4583B" w:rsidP="005378FE">
      <w:pPr>
        <w:pStyle w:val="Textonotapie"/>
        <w:jc w:val="both"/>
        <w:rPr>
          <w:rFonts w:asciiTheme="majorHAnsi" w:hAnsiTheme="majorHAnsi" w:cstheme="majorHAnsi"/>
          <w:szCs w:val="26"/>
          <w:lang w:val="es-CO"/>
        </w:rPr>
      </w:pPr>
      <w:r w:rsidRPr="005378FE">
        <w:rPr>
          <w:rStyle w:val="Refdenotaalpie"/>
          <w:rFonts w:asciiTheme="majorHAnsi" w:hAnsiTheme="majorHAnsi" w:cstheme="majorHAnsi"/>
          <w:szCs w:val="26"/>
        </w:rPr>
        <w:footnoteRef/>
      </w:r>
      <w:r w:rsidRPr="005378FE">
        <w:rPr>
          <w:rFonts w:asciiTheme="majorHAnsi" w:hAnsiTheme="majorHAnsi" w:cstheme="majorHAnsi"/>
          <w:szCs w:val="26"/>
        </w:rPr>
        <w:t xml:space="preserve"> </w:t>
      </w:r>
      <w:r w:rsidRPr="005378FE">
        <w:rPr>
          <w:rFonts w:asciiTheme="majorHAnsi" w:hAnsiTheme="majorHAnsi" w:cstheme="majorHAnsi"/>
          <w:szCs w:val="26"/>
          <w:lang w:val="es-CO"/>
        </w:rPr>
        <w:t>Documento 11.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B05E83" w14:textId="77777777" w:rsidR="001D3438" w:rsidRDefault="001D3438">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B38751" w14:textId="77777777" w:rsidR="00D13A5B" w:rsidRDefault="00D13A5B">
    <w:pPr>
      <w:pStyle w:val="Encabezado"/>
    </w:pPr>
  </w:p>
  <w:p w14:paraId="755AEEB6" w14:textId="77777777" w:rsidR="00D13A5B" w:rsidRDefault="00D13A5B">
    <w:pPr>
      <w:pStyle w:val="Encabezado"/>
      <w:framePr w:wrap="auto" w:vAnchor="text" w:hAnchor="page" w:x="6481" w:y="67"/>
      <w:rPr>
        <w:rStyle w:val="Nmerodepgina"/>
      </w:rPr>
    </w:pPr>
  </w:p>
  <w:p w14:paraId="3C84B67A" w14:textId="77777777" w:rsidR="00D13A5B" w:rsidRPr="00FB6324" w:rsidRDefault="00D13A5B" w:rsidP="00D13A5B">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99B401" w14:textId="77777777" w:rsidR="001D3438" w:rsidRDefault="001D3438">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8BB"/>
    <w:rsid w:val="00065E88"/>
    <w:rsid w:val="00071A5F"/>
    <w:rsid w:val="000C7775"/>
    <w:rsid w:val="0019122C"/>
    <w:rsid w:val="001C4EDB"/>
    <w:rsid w:val="001D3438"/>
    <w:rsid w:val="00220060"/>
    <w:rsid w:val="00232A65"/>
    <w:rsid w:val="00376BD3"/>
    <w:rsid w:val="003819D8"/>
    <w:rsid w:val="003A23A0"/>
    <w:rsid w:val="003B2F32"/>
    <w:rsid w:val="00410420"/>
    <w:rsid w:val="00412451"/>
    <w:rsid w:val="00473B4A"/>
    <w:rsid w:val="004A5B7B"/>
    <w:rsid w:val="004B17E5"/>
    <w:rsid w:val="004E047F"/>
    <w:rsid w:val="004E4E14"/>
    <w:rsid w:val="005378FE"/>
    <w:rsid w:val="00566677"/>
    <w:rsid w:val="005736AA"/>
    <w:rsid w:val="005B43C2"/>
    <w:rsid w:val="005F4198"/>
    <w:rsid w:val="00630FC6"/>
    <w:rsid w:val="0065218A"/>
    <w:rsid w:val="00694D6C"/>
    <w:rsid w:val="006A05A0"/>
    <w:rsid w:val="00715874"/>
    <w:rsid w:val="00760F45"/>
    <w:rsid w:val="00850ABB"/>
    <w:rsid w:val="008B34BA"/>
    <w:rsid w:val="008F1D5E"/>
    <w:rsid w:val="00915E34"/>
    <w:rsid w:val="0093139E"/>
    <w:rsid w:val="009F0F68"/>
    <w:rsid w:val="00A30946"/>
    <w:rsid w:val="00A43955"/>
    <w:rsid w:val="00AF1BE0"/>
    <w:rsid w:val="00B04473"/>
    <w:rsid w:val="00B2007E"/>
    <w:rsid w:val="00B72261"/>
    <w:rsid w:val="00B90625"/>
    <w:rsid w:val="00BA1E79"/>
    <w:rsid w:val="00C5457E"/>
    <w:rsid w:val="00C85F7B"/>
    <w:rsid w:val="00CA6CAB"/>
    <w:rsid w:val="00CD171F"/>
    <w:rsid w:val="00D13A5B"/>
    <w:rsid w:val="00D21C52"/>
    <w:rsid w:val="00D75B96"/>
    <w:rsid w:val="00E158BB"/>
    <w:rsid w:val="00E41E72"/>
    <w:rsid w:val="00E4583B"/>
    <w:rsid w:val="00E77239"/>
    <w:rsid w:val="00E80CAC"/>
    <w:rsid w:val="00E85B58"/>
    <w:rsid w:val="00EF1062"/>
    <w:rsid w:val="00F016BA"/>
    <w:rsid w:val="00F45AC3"/>
    <w:rsid w:val="00F54424"/>
    <w:rsid w:val="08C42E15"/>
    <w:rsid w:val="18D112B5"/>
    <w:rsid w:val="7E3347B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CEFAB"/>
  <w15:chartTrackingRefBased/>
  <w15:docId w15:val="{B966D6DD-17FF-467B-AFF5-E84D73DCE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Mangal"/>
        <w:lang w:val="es-CO" w:eastAsia="es-CO"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158BB"/>
    <w:pPr>
      <w:spacing w:after="160" w:line="259" w:lineRule="auto"/>
    </w:pPr>
    <w:rPr>
      <w:rFonts w:cs="Times New Roman"/>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158BB"/>
    <w:pPr>
      <w:tabs>
        <w:tab w:val="center" w:pos="4252"/>
        <w:tab w:val="right" w:pos="8504"/>
      </w:tabs>
      <w:spacing w:after="0" w:line="240" w:lineRule="auto"/>
    </w:pPr>
  </w:style>
  <w:style w:type="character" w:customStyle="1" w:styleId="EncabezadoCar">
    <w:name w:val="Encabezado Car"/>
    <w:link w:val="Encabezado"/>
    <w:uiPriority w:val="99"/>
    <w:rsid w:val="00E158BB"/>
    <w:rPr>
      <w:rFonts w:ascii="Calibri" w:eastAsia="Calibri" w:hAnsi="Calibri" w:cs="Times New Roman"/>
    </w:rPr>
  </w:style>
  <w:style w:type="paragraph" w:styleId="Textonotapie">
    <w:name w:val="footnote text"/>
    <w:basedOn w:val="Normal"/>
    <w:link w:val="TextonotapieCar"/>
    <w:uiPriority w:val="99"/>
    <w:unhideWhenUsed/>
    <w:rsid w:val="00E158BB"/>
    <w:pPr>
      <w:spacing w:after="0" w:line="240" w:lineRule="auto"/>
    </w:pPr>
    <w:rPr>
      <w:sz w:val="20"/>
      <w:szCs w:val="20"/>
    </w:rPr>
  </w:style>
  <w:style w:type="character" w:customStyle="1" w:styleId="TextonotapieCar">
    <w:name w:val="Texto nota pie Car"/>
    <w:link w:val="Textonotapie"/>
    <w:uiPriority w:val="99"/>
    <w:rsid w:val="00E158BB"/>
    <w:rPr>
      <w:rFonts w:ascii="Calibri" w:eastAsia="Calibri" w:hAnsi="Calibri" w:cs="Times New Roman"/>
      <w:sz w:val="20"/>
      <w:szCs w:val="20"/>
    </w:rPr>
  </w:style>
  <w:style w:type="character" w:styleId="Nmerodepgina">
    <w:name w:val="page number"/>
    <w:rsid w:val="00E158BB"/>
  </w:style>
  <w:style w:type="paragraph" w:styleId="Piedepgina">
    <w:name w:val="footer"/>
    <w:basedOn w:val="Normal"/>
    <w:link w:val="PiedepginaCar"/>
    <w:rsid w:val="00E158BB"/>
    <w:pPr>
      <w:tabs>
        <w:tab w:val="center" w:pos="4252"/>
        <w:tab w:val="right" w:pos="8504"/>
      </w:tabs>
      <w:spacing w:after="0" w:line="240" w:lineRule="auto"/>
    </w:pPr>
    <w:rPr>
      <w:rFonts w:ascii="Arial" w:eastAsia="Times New Roman" w:hAnsi="Arial" w:cs="Arial"/>
      <w:color w:val="000000"/>
      <w:lang w:eastAsia="es-ES"/>
    </w:rPr>
  </w:style>
  <w:style w:type="character" w:customStyle="1" w:styleId="PiedepginaCar">
    <w:name w:val="Pie de página Car"/>
    <w:link w:val="Piedepgina"/>
    <w:rsid w:val="00E158BB"/>
    <w:rPr>
      <w:rFonts w:ascii="Arial" w:eastAsia="Times New Roman" w:hAnsi="Arial" w:cs="Arial"/>
      <w:color w:val="000000"/>
      <w:lang w:eastAsia="es-ES"/>
    </w:rPr>
  </w:style>
  <w:style w:type="character" w:styleId="Refdenotaalpie">
    <w:name w:val="footnote reference"/>
    <w:semiHidden/>
    <w:rsid w:val="00E158BB"/>
    <w:rPr>
      <w:vertAlign w:val="superscript"/>
    </w:rPr>
  </w:style>
  <w:style w:type="paragraph" w:styleId="Textodeglobo">
    <w:name w:val="Balloon Text"/>
    <w:basedOn w:val="Normal"/>
    <w:link w:val="TextodegloboCar"/>
    <w:uiPriority w:val="99"/>
    <w:semiHidden/>
    <w:unhideWhenUsed/>
    <w:rsid w:val="00071A5F"/>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071A5F"/>
    <w:rPr>
      <w:rFonts w:ascii="Segoe UI" w:hAnsi="Segoe UI" w:cs="Segoe UI"/>
      <w:sz w:val="18"/>
      <w:szCs w:val="18"/>
      <w:lang w:val="es-ES" w:eastAsia="en-US"/>
    </w:r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rFonts w:cs="Times New Roman"/>
      <w:lang w:val="es-ES" w:eastAsia="en-US"/>
    </w:rPr>
  </w:style>
  <w:style w:type="character" w:styleId="Refdecomentario">
    <w:name w:val="annotation reference"/>
    <w:basedOn w:val="Fuentedeprrafopredeter"/>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7207642">
      <w:bodyDiv w:val="1"/>
      <w:marLeft w:val="0"/>
      <w:marRight w:val="0"/>
      <w:marTop w:val="0"/>
      <w:marBottom w:val="0"/>
      <w:divBdr>
        <w:top w:val="none" w:sz="0" w:space="0" w:color="auto"/>
        <w:left w:val="none" w:sz="0" w:space="0" w:color="auto"/>
        <w:bottom w:val="none" w:sz="0" w:space="0" w:color="auto"/>
        <w:right w:val="none" w:sz="0" w:space="0" w:color="auto"/>
      </w:divBdr>
    </w:div>
    <w:div w:id="2023781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ab4c55a37b4f413f"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27D88F860BA6F644A3C5B6863981EF44" ma:contentTypeVersion="2" ma:contentTypeDescription="Crear nuevo documento." ma:contentTypeScope="" ma:versionID="e9666c176048f2d691f7cdea6e5a9591">
  <xsd:schema xmlns:xsd="http://www.w3.org/2001/XMLSchema" xmlns:xs="http://www.w3.org/2001/XMLSchema" xmlns:p="http://schemas.microsoft.com/office/2006/metadata/properties" xmlns:ns2="b71082db-7a97-41b5-86a0-bd07b965da7d" targetNamespace="http://schemas.microsoft.com/office/2006/metadata/properties" ma:root="true" ma:fieldsID="530517c58ec82a6c155310c24e68c54d" ns2:_="">
    <xsd:import namespace="b71082db-7a97-41b5-86a0-bd07b965da7d"/>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1082db-7a97-41b5-86a0-bd07b965da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60A8D5-E978-4E4C-ACA1-C06DAC393BB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637255D-DC64-4B19-A70E-9D107221E94F}">
  <ds:schemaRefs>
    <ds:schemaRef ds:uri="http://schemas.microsoft.com/sharepoint/v3/contenttype/forms"/>
  </ds:schemaRefs>
</ds:datastoreItem>
</file>

<file path=customXml/itemProps3.xml><?xml version="1.0" encoding="utf-8"?>
<ds:datastoreItem xmlns:ds="http://schemas.openxmlformats.org/officeDocument/2006/customXml" ds:itemID="{FD39C14B-4C20-4F06-9FA4-A8273E3164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1082db-7a97-41b5-86a0-bd07b965da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60B9410-D9A2-4140-96EC-4B2066379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1385</Words>
  <Characters>7620</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Convenio 9</dc:creator>
  <cp:keywords/>
  <dc:description/>
  <cp:lastModifiedBy>Hermides Alonso Gaviria Ocampo</cp:lastModifiedBy>
  <cp:revision>8</cp:revision>
  <cp:lastPrinted>2019-03-14T18:10:00Z</cp:lastPrinted>
  <dcterms:created xsi:type="dcterms:W3CDTF">2021-08-23T12:25:00Z</dcterms:created>
  <dcterms:modified xsi:type="dcterms:W3CDTF">2022-03-02T15:06:00Z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0x01010027D88F860BA6F644A3C5B6863981EF44</vt:lpwstr>
  </property>
</Properties>
</file>