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A3941" w14:textId="77777777" w:rsidR="00C379D6" w:rsidRPr="00C379D6" w:rsidRDefault="00C379D6" w:rsidP="00C379D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C379D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3633A8C" w14:textId="77777777" w:rsidR="00C379D6" w:rsidRPr="00C379D6" w:rsidRDefault="00C379D6" w:rsidP="00C379D6">
      <w:pPr>
        <w:spacing w:after="0" w:line="240" w:lineRule="auto"/>
        <w:jc w:val="both"/>
        <w:rPr>
          <w:rFonts w:ascii="Arial" w:eastAsia="Times New Roman" w:hAnsi="Arial" w:cs="Arial"/>
          <w:sz w:val="20"/>
          <w:szCs w:val="20"/>
          <w:lang w:val="es-419" w:eastAsia="es-ES"/>
        </w:rPr>
      </w:pPr>
    </w:p>
    <w:p w14:paraId="00C9CEBA" w14:textId="792540CA" w:rsidR="00C379D6" w:rsidRPr="00C379D6" w:rsidRDefault="00C379D6" w:rsidP="00C379D6">
      <w:pPr>
        <w:spacing w:after="0" w:line="240" w:lineRule="auto"/>
        <w:jc w:val="both"/>
        <w:rPr>
          <w:rFonts w:ascii="Arial" w:eastAsia="Times New Roman" w:hAnsi="Arial" w:cs="Arial"/>
          <w:b/>
          <w:bCs/>
          <w:iCs/>
          <w:sz w:val="20"/>
          <w:szCs w:val="20"/>
          <w:lang w:val="es-419" w:eastAsia="fr-FR"/>
        </w:rPr>
      </w:pPr>
      <w:r w:rsidRPr="00C379D6">
        <w:rPr>
          <w:rFonts w:ascii="Arial" w:eastAsia="Times New Roman" w:hAnsi="Arial" w:cs="Arial"/>
          <w:b/>
          <w:bCs/>
          <w:iCs/>
          <w:sz w:val="20"/>
          <w:szCs w:val="20"/>
          <w:u w:val="single"/>
          <w:lang w:val="es-419" w:eastAsia="fr-FR"/>
        </w:rPr>
        <w:t>TEMAS:</w:t>
      </w:r>
      <w:r w:rsidRPr="00C379D6">
        <w:rPr>
          <w:rFonts w:ascii="Arial" w:eastAsia="Times New Roman" w:hAnsi="Arial" w:cs="Arial"/>
          <w:b/>
          <w:bCs/>
          <w:iCs/>
          <w:sz w:val="20"/>
          <w:szCs w:val="20"/>
          <w:lang w:val="es-419" w:eastAsia="fr-FR"/>
        </w:rPr>
        <w:tab/>
      </w:r>
      <w:r w:rsidR="00C6563C">
        <w:rPr>
          <w:rFonts w:ascii="Arial" w:eastAsia="Times New Roman" w:hAnsi="Arial" w:cs="Arial"/>
          <w:b/>
          <w:bCs/>
          <w:iCs/>
          <w:sz w:val="20"/>
          <w:szCs w:val="20"/>
          <w:lang w:val="es-419" w:eastAsia="fr-FR"/>
        </w:rPr>
        <w:t>DERECHOS PERSONAS PRIVADAS DE LA LIBERTAD /</w:t>
      </w:r>
      <w:r w:rsidR="003D1B01">
        <w:rPr>
          <w:rFonts w:ascii="Arial" w:eastAsia="Times New Roman" w:hAnsi="Arial" w:cs="Arial"/>
          <w:b/>
          <w:bCs/>
          <w:iCs/>
          <w:sz w:val="20"/>
          <w:szCs w:val="20"/>
          <w:lang w:val="es-419" w:eastAsia="fr-FR"/>
        </w:rPr>
        <w:t xml:space="preserve"> NO PUEDEN PERMANECER EN CENTROS DE DETENCIÓN TRANSITORIA / ESTACIONES Y SUBESTACIONES DE POLICÍA </w:t>
      </w:r>
      <w:r w:rsidRPr="00C379D6">
        <w:rPr>
          <w:rFonts w:ascii="Arial" w:eastAsia="Times New Roman" w:hAnsi="Arial" w:cs="Arial"/>
          <w:b/>
          <w:bCs/>
          <w:iCs/>
          <w:sz w:val="20"/>
          <w:szCs w:val="20"/>
          <w:lang w:val="es-419" w:eastAsia="fr-FR"/>
        </w:rPr>
        <w:t xml:space="preserve">/ </w:t>
      </w:r>
      <w:r w:rsidR="003D1B01">
        <w:rPr>
          <w:rFonts w:ascii="Arial" w:eastAsia="Times New Roman" w:hAnsi="Arial" w:cs="Arial"/>
          <w:b/>
          <w:bCs/>
          <w:iCs/>
          <w:sz w:val="20"/>
          <w:szCs w:val="20"/>
          <w:lang w:val="es-419" w:eastAsia="fr-FR"/>
        </w:rPr>
        <w:t xml:space="preserve">LEGITIMACIÓN EN LA CAUSA / LA TIENEN LAS PERSONERÍAS PARA ACTUAR EN NOMBRE DE LOS ACCIONANTES / Y LAS REGIONALES DEL INPEC </w:t>
      </w:r>
      <w:r w:rsidR="00D12CEC">
        <w:rPr>
          <w:rFonts w:ascii="Arial" w:eastAsia="Times New Roman" w:hAnsi="Arial" w:cs="Arial"/>
          <w:b/>
          <w:bCs/>
          <w:iCs/>
          <w:sz w:val="20"/>
          <w:szCs w:val="20"/>
          <w:lang w:val="es-419" w:eastAsia="fr-FR"/>
        </w:rPr>
        <w:t>PARA SER CITADAS COMO ACCIONADAS.</w:t>
      </w:r>
    </w:p>
    <w:p w14:paraId="590C5C15" w14:textId="61FCCC7C" w:rsidR="00C379D6" w:rsidRPr="00C379D6" w:rsidRDefault="00C6563C" w:rsidP="00C379D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ab/>
      </w:r>
    </w:p>
    <w:p w14:paraId="4A357968" w14:textId="463B48F8" w:rsidR="00C379D6" w:rsidRPr="00C379D6" w:rsidRDefault="006F65FE" w:rsidP="00C379D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F65FE">
        <w:rPr>
          <w:rFonts w:ascii="Arial" w:eastAsia="Times New Roman" w:hAnsi="Arial" w:cs="Arial"/>
          <w:sz w:val="20"/>
          <w:szCs w:val="20"/>
          <w:lang w:val="es-419" w:eastAsia="es-ES"/>
        </w:rPr>
        <w:t>es preciso aclarar que la Personera Municipal de Quinchía está legitimada para incoar esta demanda, dado que actúa en representación de varias personas privadas de la libertad en ese Municipio, que se hallan en condiciones de evidente insalubridad y hacinamiento, quienes además, según lo indicó la agente del Ministerio Público, “de manera verbal (…) solicitaron la intervención de la suscrita, con el fin de adelantar los tramites que fueran pertinentes en el sentido de proteger sus derechos</w:t>
      </w:r>
      <w:r>
        <w:rPr>
          <w:rFonts w:ascii="Arial" w:eastAsia="Times New Roman" w:hAnsi="Arial" w:cs="Arial"/>
          <w:sz w:val="20"/>
          <w:szCs w:val="20"/>
          <w:lang w:val="es-419" w:eastAsia="es-ES"/>
        </w:rPr>
        <w:t>…”</w:t>
      </w:r>
    </w:p>
    <w:p w14:paraId="007F5FAE" w14:textId="77777777" w:rsidR="00C379D6" w:rsidRPr="00C379D6" w:rsidRDefault="00C379D6" w:rsidP="00C379D6">
      <w:pPr>
        <w:spacing w:after="0" w:line="240" w:lineRule="auto"/>
        <w:jc w:val="both"/>
        <w:rPr>
          <w:rFonts w:ascii="Arial" w:eastAsia="Times New Roman" w:hAnsi="Arial" w:cs="Arial"/>
          <w:sz w:val="20"/>
          <w:szCs w:val="20"/>
          <w:lang w:val="es-419" w:eastAsia="es-ES"/>
        </w:rPr>
      </w:pPr>
    </w:p>
    <w:p w14:paraId="318641F8" w14:textId="2C4B63D9" w:rsidR="00C379D6" w:rsidRPr="00C379D6" w:rsidRDefault="0005576D" w:rsidP="00C379D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5576D">
        <w:rPr>
          <w:rFonts w:ascii="Arial" w:eastAsia="Times New Roman" w:hAnsi="Arial" w:cs="Arial"/>
          <w:sz w:val="20"/>
          <w:szCs w:val="20"/>
          <w:lang w:val="es-419" w:eastAsia="es-ES"/>
        </w:rPr>
        <w:t>se satisface la legitimación en la causa por pasiva, pero únicamente respecto de la Regional Viejo Caldas del INPEC</w:t>
      </w:r>
      <w:r>
        <w:rPr>
          <w:rFonts w:ascii="Arial" w:eastAsia="Times New Roman" w:hAnsi="Arial" w:cs="Arial"/>
          <w:sz w:val="20"/>
          <w:szCs w:val="20"/>
          <w:lang w:val="es-419" w:eastAsia="es-ES"/>
        </w:rPr>
        <w:t>…</w:t>
      </w:r>
      <w:r w:rsidRPr="0005576D">
        <w:rPr>
          <w:rFonts w:ascii="Arial" w:eastAsia="Times New Roman" w:hAnsi="Arial" w:cs="Arial"/>
          <w:sz w:val="20"/>
          <w:szCs w:val="20"/>
          <w:lang w:val="es-419" w:eastAsia="es-ES"/>
        </w:rPr>
        <w:t xml:space="preserve"> numeral 1° del artículo 29 del Decreto 4151 de 2011</w:t>
      </w:r>
      <w:r>
        <w:rPr>
          <w:rFonts w:ascii="Arial" w:eastAsia="Times New Roman" w:hAnsi="Arial" w:cs="Arial"/>
          <w:sz w:val="20"/>
          <w:szCs w:val="20"/>
          <w:lang w:val="es-419" w:eastAsia="es-ES"/>
        </w:rPr>
        <w:t>…</w:t>
      </w:r>
    </w:p>
    <w:p w14:paraId="069DA3EF" w14:textId="77777777" w:rsidR="00C379D6" w:rsidRPr="00C379D6" w:rsidRDefault="00C379D6" w:rsidP="00C379D6">
      <w:pPr>
        <w:spacing w:after="0" w:line="240" w:lineRule="auto"/>
        <w:jc w:val="both"/>
        <w:rPr>
          <w:rFonts w:ascii="Arial" w:eastAsia="Times New Roman" w:hAnsi="Arial" w:cs="Arial"/>
          <w:sz w:val="20"/>
          <w:szCs w:val="20"/>
          <w:lang w:val="es-419" w:eastAsia="es-ES"/>
        </w:rPr>
      </w:pPr>
    </w:p>
    <w:p w14:paraId="68A6C8D3" w14:textId="7CF8FD12" w:rsidR="00C379D6" w:rsidRDefault="0005576D" w:rsidP="00C379D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5576D">
        <w:rPr>
          <w:rFonts w:ascii="Arial" w:eastAsia="Times New Roman" w:hAnsi="Arial" w:cs="Arial"/>
          <w:sz w:val="20"/>
          <w:szCs w:val="20"/>
          <w:lang w:val="es-419" w:eastAsia="es-ES"/>
        </w:rPr>
        <w:t>esta Sala se aparta de lo planteado en la impugnación y coincide con lo decidido en primera instancia, en lo que se refiere a la orden que se le dirigió a la Regional Viejo Caldas del INPEC para que materializara el traslado de los demandantes, habida cuenta de que “Si bien es cierto que, de conformidad con el artículo 17 de la Ley 65 de 1993, es competencia de los departamentos, municipios y áreas metropolitanas, la dirección, organización, administración, sostenimiento y vigilancia de las cárceles para las personas detenidas preventivamente y condenadas por contravenciones que impliquen privación de la libertad, en todo caso, será el Instituto Nacional Penitenciario y Carcelario quien ejercerá la inspección y vigilancia de las cárceles de las entidades territoriales”.</w:t>
      </w:r>
      <w:r w:rsidR="00C8657B">
        <w:rPr>
          <w:rFonts w:ascii="Arial" w:eastAsia="Times New Roman" w:hAnsi="Arial" w:cs="Arial"/>
          <w:sz w:val="20"/>
          <w:szCs w:val="20"/>
          <w:lang w:val="es-419" w:eastAsia="es-ES"/>
        </w:rPr>
        <w:t xml:space="preserve"> (…)</w:t>
      </w:r>
    </w:p>
    <w:p w14:paraId="52F88939" w14:textId="23B53C5B" w:rsidR="0005576D" w:rsidRDefault="0005576D" w:rsidP="00C379D6">
      <w:pPr>
        <w:spacing w:after="0" w:line="240" w:lineRule="auto"/>
        <w:jc w:val="both"/>
        <w:rPr>
          <w:rFonts w:ascii="Arial" w:eastAsia="Times New Roman" w:hAnsi="Arial" w:cs="Arial"/>
          <w:sz w:val="20"/>
          <w:szCs w:val="20"/>
          <w:lang w:val="es-419" w:eastAsia="es-ES"/>
        </w:rPr>
      </w:pPr>
    </w:p>
    <w:p w14:paraId="1E753917" w14:textId="77777777" w:rsidR="00C8657B" w:rsidRPr="00C8657B" w:rsidRDefault="00C8657B" w:rsidP="00C8657B">
      <w:pPr>
        <w:spacing w:after="0" w:line="240" w:lineRule="auto"/>
        <w:jc w:val="both"/>
        <w:rPr>
          <w:rFonts w:ascii="Arial" w:eastAsia="Times New Roman" w:hAnsi="Arial" w:cs="Arial"/>
          <w:sz w:val="20"/>
          <w:szCs w:val="20"/>
          <w:lang w:val="es-419" w:eastAsia="es-ES"/>
        </w:rPr>
      </w:pPr>
      <w:r w:rsidRPr="00C8657B">
        <w:rPr>
          <w:rFonts w:ascii="Arial" w:eastAsia="Times New Roman" w:hAnsi="Arial" w:cs="Arial"/>
          <w:sz w:val="20"/>
          <w:szCs w:val="20"/>
          <w:lang w:val="es-419" w:eastAsia="es-ES"/>
        </w:rPr>
        <w:t xml:space="preserve">Además, la Corte Constitucional en la sentencia C-395 de 2020, sobre la detención preventiva en tiempos de pandemia, señaló que: </w:t>
      </w:r>
    </w:p>
    <w:p w14:paraId="121BE5EC" w14:textId="77777777" w:rsidR="00C8657B" w:rsidRPr="00C8657B" w:rsidRDefault="00C8657B" w:rsidP="00C8657B">
      <w:pPr>
        <w:spacing w:after="0" w:line="240" w:lineRule="auto"/>
        <w:jc w:val="both"/>
        <w:rPr>
          <w:rFonts w:ascii="Arial" w:eastAsia="Times New Roman" w:hAnsi="Arial" w:cs="Arial"/>
          <w:sz w:val="20"/>
          <w:szCs w:val="20"/>
          <w:lang w:val="es-419" w:eastAsia="es-ES"/>
        </w:rPr>
      </w:pPr>
    </w:p>
    <w:p w14:paraId="7AD93111" w14:textId="3666A5F5" w:rsidR="0005576D" w:rsidRDefault="00C8657B" w:rsidP="00C8657B">
      <w:pPr>
        <w:spacing w:after="0" w:line="240" w:lineRule="auto"/>
        <w:jc w:val="both"/>
        <w:rPr>
          <w:rFonts w:ascii="Arial" w:eastAsia="Times New Roman" w:hAnsi="Arial" w:cs="Arial"/>
          <w:sz w:val="20"/>
          <w:szCs w:val="20"/>
          <w:lang w:val="es-419" w:eastAsia="es-ES"/>
        </w:rPr>
      </w:pPr>
      <w:r w:rsidRPr="00C8657B">
        <w:rPr>
          <w:rFonts w:ascii="Arial" w:eastAsia="Times New Roman" w:hAnsi="Arial" w:cs="Arial"/>
          <w:sz w:val="20"/>
          <w:szCs w:val="20"/>
          <w:lang w:val="es-419" w:eastAsia="es-ES"/>
        </w:rPr>
        <w:t>“Al respecto, la Sala considera importante reiterar que las estaciones o subestaciones de policía y las unidades de reacción inmediata no pueden ser lugares en los que permanezcan personas más de las 36 horas establecidas en la Ley. Estos “centros de detención transitoria” como los ha denominado la jurisprudencia constitucional, deben cumplir con su naturaleza meramente “transitoria” y no ser lugares de reclusión ordinaria</w:t>
      </w:r>
      <w:r>
        <w:rPr>
          <w:rFonts w:ascii="Arial" w:eastAsia="Times New Roman" w:hAnsi="Arial" w:cs="Arial"/>
          <w:sz w:val="20"/>
          <w:szCs w:val="20"/>
          <w:lang w:val="es-419" w:eastAsia="es-ES"/>
        </w:rPr>
        <w:t>”</w:t>
      </w:r>
      <w:r w:rsidRPr="00C8657B">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1B630E3B" w14:textId="77777777" w:rsidR="0005576D" w:rsidRPr="00C379D6" w:rsidRDefault="0005576D" w:rsidP="00C379D6">
      <w:pPr>
        <w:spacing w:after="0" w:line="240" w:lineRule="auto"/>
        <w:jc w:val="both"/>
        <w:rPr>
          <w:rFonts w:ascii="Arial" w:eastAsia="Times New Roman" w:hAnsi="Arial" w:cs="Arial"/>
          <w:sz w:val="20"/>
          <w:szCs w:val="20"/>
          <w:lang w:val="es-419" w:eastAsia="es-ES"/>
        </w:rPr>
      </w:pPr>
    </w:p>
    <w:p w14:paraId="6173234D" w14:textId="308B104B" w:rsidR="00C379D6" w:rsidRDefault="00C6563C" w:rsidP="00C379D6">
      <w:pPr>
        <w:spacing w:after="0" w:line="240" w:lineRule="auto"/>
        <w:jc w:val="both"/>
        <w:rPr>
          <w:rFonts w:ascii="Arial" w:eastAsia="Times New Roman" w:hAnsi="Arial" w:cs="Arial"/>
          <w:sz w:val="20"/>
          <w:szCs w:val="20"/>
          <w:lang w:val="es-ES" w:eastAsia="es-ES"/>
        </w:rPr>
      </w:pPr>
      <w:r w:rsidRPr="00C6563C">
        <w:rPr>
          <w:rFonts w:ascii="Arial" w:eastAsia="Times New Roman" w:hAnsi="Arial" w:cs="Arial"/>
          <w:sz w:val="20"/>
          <w:szCs w:val="20"/>
          <w:lang w:val="es-ES" w:eastAsia="es-ES"/>
        </w:rPr>
        <w:t>Lo explicado</w:t>
      </w:r>
      <w:r>
        <w:rPr>
          <w:rFonts w:ascii="Arial" w:eastAsia="Times New Roman" w:hAnsi="Arial" w:cs="Arial"/>
          <w:sz w:val="20"/>
          <w:szCs w:val="20"/>
          <w:lang w:val="es-ES" w:eastAsia="es-ES"/>
        </w:rPr>
        <w:t>…</w:t>
      </w:r>
      <w:r w:rsidRPr="00C6563C">
        <w:rPr>
          <w:rFonts w:ascii="Arial" w:eastAsia="Times New Roman" w:hAnsi="Arial" w:cs="Arial"/>
          <w:sz w:val="20"/>
          <w:szCs w:val="20"/>
          <w:lang w:val="es-ES" w:eastAsia="es-ES"/>
        </w:rPr>
        <w:t xml:space="preserve"> es suficiente para ratificar la orden de primer grado en tanto propició el traslado perentorio de los demandantes a un centro carcelario o penitenciario, sin embargo, como se anticipó, se modificará el numeral segundo para dirigir la orden únicamente a la Dirección Regional del INPEC del Viejo Caldas.</w:t>
      </w:r>
    </w:p>
    <w:p w14:paraId="4A8F7291" w14:textId="77777777" w:rsidR="00C6563C" w:rsidRPr="00C379D6" w:rsidRDefault="00C6563C" w:rsidP="00C379D6">
      <w:pPr>
        <w:spacing w:after="0" w:line="240" w:lineRule="auto"/>
        <w:jc w:val="both"/>
        <w:rPr>
          <w:rFonts w:ascii="Arial" w:eastAsia="Times New Roman" w:hAnsi="Arial" w:cs="Arial"/>
          <w:sz w:val="20"/>
          <w:szCs w:val="20"/>
          <w:lang w:val="es-ES" w:eastAsia="es-ES"/>
        </w:rPr>
      </w:pPr>
    </w:p>
    <w:p w14:paraId="191E1EA3" w14:textId="77777777" w:rsidR="00C379D6" w:rsidRPr="00C379D6" w:rsidRDefault="00C379D6" w:rsidP="00C379D6">
      <w:pPr>
        <w:spacing w:after="0" w:line="240" w:lineRule="auto"/>
        <w:jc w:val="both"/>
        <w:rPr>
          <w:rFonts w:ascii="Arial" w:eastAsia="Times New Roman" w:hAnsi="Arial" w:cs="Arial"/>
          <w:sz w:val="20"/>
          <w:szCs w:val="20"/>
          <w:lang w:val="es-ES" w:eastAsia="es-ES"/>
        </w:rPr>
      </w:pPr>
    </w:p>
    <w:p w14:paraId="338A08A4" w14:textId="77777777" w:rsidR="00C379D6" w:rsidRPr="00C379D6" w:rsidRDefault="00C379D6" w:rsidP="00C379D6">
      <w:pPr>
        <w:spacing w:after="0" w:line="240" w:lineRule="auto"/>
        <w:jc w:val="both"/>
        <w:rPr>
          <w:rFonts w:ascii="Arial" w:eastAsia="Times New Roman" w:hAnsi="Arial" w:cs="Arial"/>
          <w:sz w:val="20"/>
          <w:szCs w:val="20"/>
          <w:lang w:val="es-ES" w:eastAsia="es-ES"/>
        </w:rPr>
      </w:pPr>
    </w:p>
    <w:bookmarkEnd w:id="0"/>
    <w:p w14:paraId="00DF5F06" w14:textId="77777777" w:rsidR="00C557A6" w:rsidRDefault="00F43CD2" w:rsidP="00C379D6">
      <w:pPr>
        <w:spacing w:after="0" w:line="276" w:lineRule="auto"/>
        <w:ind w:firstLine="2835"/>
        <w:jc w:val="both"/>
        <w:rPr>
          <w:rFonts w:ascii="Gadugi" w:hAnsi="Gadugi"/>
          <w:b/>
          <w:sz w:val="24"/>
          <w:szCs w:val="24"/>
        </w:rPr>
      </w:pPr>
      <w:r w:rsidRPr="00C379D6">
        <w:rPr>
          <w:rFonts w:ascii="Gadugi" w:hAnsi="Gadugi"/>
          <w:b/>
          <w:sz w:val="24"/>
          <w:szCs w:val="24"/>
        </w:rPr>
        <w:t>TRIBUNAL SUPERIOR DEL DISTRITO JUDICIAL</w:t>
      </w:r>
    </w:p>
    <w:p w14:paraId="3CA67CE2" w14:textId="40357B97" w:rsidR="00756044" w:rsidRPr="00C379D6" w:rsidRDefault="00E44B84" w:rsidP="00C379D6">
      <w:pPr>
        <w:spacing w:after="0" w:line="276" w:lineRule="auto"/>
        <w:ind w:firstLine="2835"/>
        <w:jc w:val="both"/>
        <w:rPr>
          <w:rFonts w:ascii="Gadugi" w:eastAsia="Times New Roman" w:hAnsi="Gadugi" w:cs="Times New Roman"/>
          <w:b/>
          <w:sz w:val="24"/>
          <w:szCs w:val="24"/>
          <w:lang w:val="es-ES" w:eastAsia="es-ES"/>
        </w:rPr>
      </w:pPr>
      <w:r w:rsidRPr="00C379D6">
        <w:rPr>
          <w:rFonts w:ascii="Gadugi" w:hAnsi="Gadugi"/>
          <w:b/>
          <w:sz w:val="24"/>
          <w:szCs w:val="24"/>
        </w:rPr>
        <w:t>SALA DE DECISIÓN CIVIL FAMILIA</w:t>
      </w:r>
    </w:p>
    <w:p w14:paraId="5A11CDC1" w14:textId="77777777" w:rsidR="00756044" w:rsidRPr="00C379D6" w:rsidRDefault="0075604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80F5547" w14:textId="77777777" w:rsidR="004F7764" w:rsidRPr="00C379D6" w:rsidRDefault="004F776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F4781C5" w14:textId="77777777" w:rsidR="00756044" w:rsidRPr="00C379D6" w:rsidRDefault="0075604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sz w:val="24"/>
          <w:szCs w:val="24"/>
          <w:lang w:val="es-ES" w:eastAsia="es-ES"/>
        </w:rPr>
        <w:t>Magistrado: Jaime Alberto Saraza Naranjo</w:t>
      </w:r>
    </w:p>
    <w:p w14:paraId="754A61DE" w14:textId="7E403F5C" w:rsidR="00756044" w:rsidRPr="00C379D6" w:rsidRDefault="0075604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C379D6">
        <w:rPr>
          <w:rFonts w:ascii="Gadugi" w:eastAsia="Times New Roman" w:hAnsi="Gadugi" w:cs="Times New Roman"/>
          <w:sz w:val="24"/>
          <w:szCs w:val="24"/>
          <w:lang w:val="es-ES" w:eastAsia="es-ES"/>
        </w:rPr>
        <w:t>Pereira,</w:t>
      </w:r>
      <w:r w:rsidR="00E01B05" w:rsidRPr="00C379D6">
        <w:rPr>
          <w:rFonts w:ascii="Gadugi" w:eastAsia="Times New Roman" w:hAnsi="Gadugi" w:cs="Times New Roman"/>
          <w:sz w:val="24"/>
          <w:szCs w:val="24"/>
          <w:lang w:val="es-ES" w:eastAsia="es-ES"/>
        </w:rPr>
        <w:t xml:space="preserve"> </w:t>
      </w:r>
      <w:r w:rsidR="00ED0D4F" w:rsidRPr="00C379D6">
        <w:rPr>
          <w:rFonts w:ascii="Gadugi" w:eastAsia="Times New Roman" w:hAnsi="Gadugi" w:cs="Times New Roman"/>
          <w:sz w:val="24"/>
          <w:szCs w:val="24"/>
          <w:lang w:val="es-ES" w:eastAsia="es-ES"/>
        </w:rPr>
        <w:t>septiembre veinte de dos mil veintiuno</w:t>
      </w:r>
    </w:p>
    <w:p w14:paraId="7989E9F0" w14:textId="77777777" w:rsidR="007220EC" w:rsidRPr="00C379D6" w:rsidRDefault="0075604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sz w:val="24"/>
          <w:szCs w:val="24"/>
          <w:lang w:val="es-ES" w:eastAsia="es-ES"/>
        </w:rPr>
        <w:t>Expediente</w:t>
      </w:r>
      <w:r w:rsidRPr="00C379D6">
        <w:rPr>
          <w:rFonts w:ascii="Gadugi" w:eastAsia="Times New Roman" w:hAnsi="Gadugi" w:cs="Times New Roman"/>
          <w:sz w:val="24"/>
          <w:szCs w:val="24"/>
          <w:lang w:val="es-419" w:eastAsia="es-ES"/>
        </w:rPr>
        <w:t>s:</w:t>
      </w:r>
      <w:r w:rsidR="004F7764" w:rsidRPr="00C379D6">
        <w:rPr>
          <w:rFonts w:ascii="Gadugi" w:eastAsia="Times New Roman" w:hAnsi="Gadugi" w:cs="Times New Roman"/>
          <w:sz w:val="24"/>
          <w:szCs w:val="24"/>
          <w:lang w:val="es-ES" w:eastAsia="es-ES"/>
        </w:rPr>
        <w:t xml:space="preserve"> </w:t>
      </w:r>
      <w:r w:rsidR="007220EC" w:rsidRPr="00C379D6">
        <w:rPr>
          <w:rFonts w:ascii="Gadugi" w:eastAsia="Times New Roman" w:hAnsi="Gadugi" w:cs="Times New Roman"/>
          <w:sz w:val="24"/>
          <w:szCs w:val="24"/>
          <w:lang w:val="es-ES" w:eastAsia="es-ES"/>
        </w:rPr>
        <w:t>66594318900120210007601</w:t>
      </w:r>
    </w:p>
    <w:p w14:paraId="419972DE" w14:textId="5691E633" w:rsidR="00756044" w:rsidRPr="00C379D6" w:rsidRDefault="00422311"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C379D6">
        <w:rPr>
          <w:rFonts w:ascii="Gadugi" w:eastAsia="Times New Roman" w:hAnsi="Gadugi" w:cs="Times New Roman"/>
          <w:sz w:val="24"/>
          <w:szCs w:val="24"/>
          <w:lang w:val="es-ES" w:eastAsia="es-ES"/>
        </w:rPr>
        <w:t>Acta</w:t>
      </w:r>
      <w:r w:rsidR="00E01B05" w:rsidRPr="00C379D6">
        <w:rPr>
          <w:rFonts w:ascii="Gadugi" w:eastAsia="Times New Roman" w:hAnsi="Gadugi" w:cs="Times New Roman"/>
          <w:sz w:val="24"/>
          <w:szCs w:val="24"/>
          <w:lang w:val="es-ES" w:eastAsia="es-ES"/>
        </w:rPr>
        <w:t xml:space="preserve">: </w:t>
      </w:r>
      <w:r w:rsidR="00ED0D4F" w:rsidRPr="00C379D6">
        <w:rPr>
          <w:rFonts w:ascii="Gadugi" w:eastAsia="Times New Roman" w:hAnsi="Gadugi" w:cs="Times New Roman"/>
          <w:sz w:val="24"/>
          <w:szCs w:val="24"/>
          <w:lang w:val="es-ES" w:eastAsia="es-ES"/>
        </w:rPr>
        <w:t>449</w:t>
      </w:r>
      <w:r w:rsidR="0093504A" w:rsidRPr="00C379D6">
        <w:rPr>
          <w:rFonts w:ascii="Gadugi" w:eastAsia="Times New Roman" w:hAnsi="Gadugi" w:cs="Times New Roman"/>
          <w:sz w:val="24"/>
          <w:szCs w:val="24"/>
          <w:lang w:val="es-ES" w:eastAsia="es-ES"/>
        </w:rPr>
        <w:t xml:space="preserve"> </w:t>
      </w:r>
      <w:r w:rsidR="00ED0D4F" w:rsidRPr="00C379D6">
        <w:rPr>
          <w:rFonts w:ascii="Gadugi" w:eastAsia="Times New Roman" w:hAnsi="Gadugi" w:cs="Times New Roman"/>
          <w:sz w:val="24"/>
          <w:szCs w:val="24"/>
          <w:lang w:val="es-ES" w:eastAsia="es-ES"/>
        </w:rPr>
        <w:t>del 20 de septiembre de 2021</w:t>
      </w:r>
    </w:p>
    <w:p w14:paraId="36D873CF" w14:textId="2CCC98BF" w:rsidR="00422311" w:rsidRPr="00C379D6" w:rsidRDefault="00422311"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C379D6">
        <w:rPr>
          <w:rFonts w:ascii="Gadugi" w:eastAsia="Times New Roman" w:hAnsi="Gadugi" w:cs="Times New Roman"/>
          <w:sz w:val="24"/>
          <w:szCs w:val="24"/>
          <w:lang w:val="es-419" w:eastAsia="es-ES"/>
        </w:rPr>
        <w:t>Sentencia</w:t>
      </w:r>
      <w:r w:rsidR="00E01B05" w:rsidRPr="00C379D6">
        <w:rPr>
          <w:rFonts w:ascii="Gadugi" w:eastAsia="Times New Roman" w:hAnsi="Gadugi" w:cs="Times New Roman"/>
          <w:sz w:val="24"/>
          <w:szCs w:val="24"/>
          <w:lang w:val="es-419" w:eastAsia="es-ES"/>
        </w:rPr>
        <w:t>:</w:t>
      </w:r>
      <w:r w:rsidR="00ED0D4F" w:rsidRPr="00C379D6">
        <w:rPr>
          <w:rFonts w:ascii="Gadugi" w:eastAsia="Times New Roman" w:hAnsi="Gadugi" w:cs="Times New Roman"/>
          <w:sz w:val="24"/>
          <w:szCs w:val="24"/>
          <w:lang w:val="es-419" w:eastAsia="es-ES"/>
        </w:rPr>
        <w:t xml:space="preserve"> TSP.</w:t>
      </w:r>
      <w:r w:rsidR="00E20C20">
        <w:rPr>
          <w:rFonts w:ascii="Gadugi" w:eastAsia="Times New Roman" w:hAnsi="Gadugi" w:cs="Times New Roman"/>
          <w:sz w:val="24"/>
          <w:szCs w:val="24"/>
          <w:lang w:val="es-419" w:eastAsia="es-ES"/>
        </w:rPr>
        <w:t xml:space="preserve"> </w:t>
      </w:r>
      <w:bookmarkStart w:id="1" w:name="_GoBack"/>
      <w:bookmarkEnd w:id="1"/>
      <w:r w:rsidR="00ED0D4F" w:rsidRPr="00C379D6">
        <w:rPr>
          <w:rFonts w:ascii="Gadugi" w:eastAsia="Times New Roman" w:hAnsi="Gadugi" w:cs="Times New Roman"/>
          <w:sz w:val="24"/>
          <w:szCs w:val="24"/>
          <w:lang w:val="es-419" w:eastAsia="es-ES"/>
        </w:rPr>
        <w:t>ST2-0310-2021</w:t>
      </w:r>
      <w:r w:rsidR="00E01B05" w:rsidRPr="00C379D6">
        <w:rPr>
          <w:rFonts w:ascii="Gadugi" w:eastAsia="Times New Roman" w:hAnsi="Gadugi" w:cs="Times New Roman"/>
          <w:sz w:val="24"/>
          <w:szCs w:val="24"/>
          <w:lang w:val="es-419" w:eastAsia="es-ES"/>
        </w:rPr>
        <w:t xml:space="preserve"> </w:t>
      </w:r>
      <w:r w:rsidR="0093504A" w:rsidRPr="00C379D6">
        <w:rPr>
          <w:rFonts w:ascii="Gadugi" w:eastAsia="Times New Roman" w:hAnsi="Gadugi" w:cs="Times New Roman"/>
          <w:sz w:val="24"/>
          <w:szCs w:val="24"/>
          <w:lang w:val="es-419" w:eastAsia="es-ES"/>
        </w:rPr>
        <w:t xml:space="preserve"> </w:t>
      </w:r>
    </w:p>
    <w:p w14:paraId="28DF98C7" w14:textId="77777777" w:rsidR="00756044" w:rsidRPr="00C379D6" w:rsidRDefault="0075604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24F4D633" w14:textId="77777777" w:rsidR="00756044" w:rsidRPr="00C379D6" w:rsidRDefault="0075604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7ECE2C0" w14:textId="6DBFA6CF" w:rsidR="00D676B9" w:rsidRPr="00C379D6" w:rsidRDefault="00756044" w:rsidP="00C379D6">
      <w:pPr>
        <w:overflowPunct w:val="0"/>
        <w:autoSpaceDE w:val="0"/>
        <w:autoSpaceDN w:val="0"/>
        <w:adjustRightInd w:val="0"/>
        <w:spacing w:after="0" w:line="276" w:lineRule="auto"/>
        <w:jc w:val="both"/>
        <w:textAlignment w:val="baseline"/>
        <w:rPr>
          <w:rFonts w:ascii="Gadugi" w:hAnsi="Gadugi" w:cs="Arial"/>
          <w:b/>
          <w:sz w:val="24"/>
          <w:szCs w:val="24"/>
          <w:lang w:val="es-419"/>
        </w:rPr>
      </w:pPr>
      <w:r w:rsidRPr="00C379D6">
        <w:rPr>
          <w:rFonts w:ascii="Gadugi" w:eastAsia="Times New Roman" w:hAnsi="Gadugi" w:cs="Arial"/>
          <w:sz w:val="24"/>
          <w:szCs w:val="24"/>
          <w:lang w:val="es-ES" w:eastAsia="es-ES"/>
        </w:rPr>
        <w:t xml:space="preserve">  </w:t>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 xml:space="preserve">Procede la Sala a decidir la </w:t>
      </w:r>
      <w:r w:rsidRPr="00C379D6">
        <w:rPr>
          <w:rFonts w:ascii="Gadugi" w:eastAsia="Times New Roman" w:hAnsi="Gadugi" w:cs="Arial"/>
          <w:sz w:val="24"/>
          <w:szCs w:val="24"/>
          <w:lang w:val="es-419" w:eastAsia="es-ES"/>
        </w:rPr>
        <w:t xml:space="preserve">impugnación propuesta por la </w:t>
      </w:r>
      <w:r w:rsidR="003B66A1" w:rsidRPr="00C379D6">
        <w:rPr>
          <w:rFonts w:ascii="Gadugi" w:eastAsia="Times New Roman" w:hAnsi="Gadugi" w:cs="Arial"/>
          <w:sz w:val="24"/>
          <w:szCs w:val="24"/>
          <w:lang w:val="es-CO" w:eastAsia="es-ES"/>
        </w:rPr>
        <w:t>entidad accionada</w:t>
      </w:r>
      <w:r w:rsidRPr="00C379D6">
        <w:rPr>
          <w:rFonts w:ascii="Gadugi" w:eastAsia="Times New Roman" w:hAnsi="Gadugi" w:cs="Arial"/>
          <w:sz w:val="24"/>
          <w:szCs w:val="24"/>
          <w:lang w:val="es-419" w:eastAsia="es-ES"/>
        </w:rPr>
        <w:t xml:space="preserve"> contra la sentencia del </w:t>
      </w:r>
      <w:r w:rsidR="00D676B9" w:rsidRPr="00C379D6">
        <w:rPr>
          <w:rFonts w:ascii="Gadugi" w:eastAsia="Times New Roman" w:hAnsi="Gadugi" w:cs="Arial"/>
          <w:sz w:val="24"/>
          <w:szCs w:val="24"/>
          <w:lang w:val="es-419" w:eastAsia="es-ES"/>
        </w:rPr>
        <w:t>29</w:t>
      </w:r>
      <w:r w:rsidR="00F43CD2" w:rsidRPr="00C379D6">
        <w:rPr>
          <w:rFonts w:ascii="Gadugi" w:eastAsia="Times New Roman" w:hAnsi="Gadugi" w:cs="Arial"/>
          <w:sz w:val="24"/>
          <w:szCs w:val="24"/>
          <w:lang w:val="es-419" w:eastAsia="es-ES"/>
        </w:rPr>
        <w:t xml:space="preserve"> de </w:t>
      </w:r>
      <w:r w:rsidR="00D676B9" w:rsidRPr="00C379D6">
        <w:rPr>
          <w:rFonts w:ascii="Gadugi" w:eastAsia="Times New Roman" w:hAnsi="Gadugi" w:cs="Arial"/>
          <w:sz w:val="24"/>
          <w:szCs w:val="24"/>
          <w:lang w:val="es-419" w:eastAsia="es-ES"/>
        </w:rPr>
        <w:t>abril</w:t>
      </w:r>
      <w:r w:rsidR="00E44B84" w:rsidRPr="00C379D6">
        <w:rPr>
          <w:rFonts w:ascii="Gadugi" w:eastAsia="Times New Roman" w:hAnsi="Gadugi" w:cs="Arial"/>
          <w:sz w:val="24"/>
          <w:szCs w:val="24"/>
          <w:lang w:val="es-419" w:eastAsia="es-ES"/>
        </w:rPr>
        <w:t xml:space="preserve"> de 202</w:t>
      </w:r>
      <w:r w:rsidR="00EC1754" w:rsidRPr="00C379D6">
        <w:rPr>
          <w:rFonts w:ascii="Gadugi" w:eastAsia="Times New Roman" w:hAnsi="Gadugi" w:cs="Arial"/>
          <w:sz w:val="24"/>
          <w:szCs w:val="24"/>
          <w:lang w:val="es-419" w:eastAsia="es-ES"/>
        </w:rPr>
        <w:t>1</w:t>
      </w:r>
      <w:r w:rsidRPr="00C379D6">
        <w:rPr>
          <w:rFonts w:ascii="Gadugi" w:eastAsia="Times New Roman" w:hAnsi="Gadugi" w:cs="Arial"/>
          <w:sz w:val="24"/>
          <w:szCs w:val="24"/>
          <w:lang w:val="es-CO" w:eastAsia="es-ES"/>
        </w:rPr>
        <w:t>,</w:t>
      </w:r>
      <w:r w:rsidRPr="00C379D6">
        <w:rPr>
          <w:rFonts w:ascii="Gadugi" w:eastAsia="Times New Roman" w:hAnsi="Gadugi" w:cs="Arial"/>
          <w:sz w:val="24"/>
          <w:szCs w:val="24"/>
          <w:lang w:val="es-419" w:eastAsia="es-ES"/>
        </w:rPr>
        <w:t xml:space="preserve"> proferida por el </w:t>
      </w:r>
      <w:r w:rsidR="00F43CD2" w:rsidRPr="00C379D6">
        <w:rPr>
          <w:rFonts w:ascii="Gadugi" w:hAnsi="Gadugi" w:cs="Arial"/>
          <w:sz w:val="24"/>
          <w:szCs w:val="24"/>
          <w:lang w:val="es-419"/>
        </w:rPr>
        <w:t xml:space="preserve">Juzgado </w:t>
      </w:r>
      <w:r w:rsidR="00D676B9" w:rsidRPr="00C379D6">
        <w:rPr>
          <w:rFonts w:ascii="Gadugi" w:hAnsi="Gadugi" w:cs="Arial"/>
          <w:sz w:val="24"/>
          <w:szCs w:val="24"/>
          <w:lang w:val="es-419"/>
        </w:rPr>
        <w:t xml:space="preserve">Promiscuo del Circuito de Quinchía, en esta acción de tutela formulada por la </w:t>
      </w:r>
      <w:r w:rsidR="00D676B9" w:rsidRPr="00C379D6">
        <w:rPr>
          <w:rFonts w:ascii="Gadugi" w:hAnsi="Gadugi" w:cs="Arial"/>
          <w:sz w:val="24"/>
          <w:szCs w:val="24"/>
          <w:lang w:val="es-419"/>
        </w:rPr>
        <w:lastRenderedPageBreak/>
        <w:t xml:space="preserve">Personera Municipal de ese municipio en representación de </w:t>
      </w:r>
      <w:r w:rsidR="00D676B9" w:rsidRPr="00C379D6">
        <w:rPr>
          <w:rFonts w:ascii="Gadugi" w:hAnsi="Gadugi" w:cs="Arial"/>
          <w:b/>
          <w:sz w:val="24"/>
          <w:szCs w:val="24"/>
          <w:lang w:val="es-419"/>
        </w:rPr>
        <w:t>Edwin Zapata Díaz</w:t>
      </w:r>
      <w:r w:rsidR="00D676B9" w:rsidRPr="00C379D6">
        <w:rPr>
          <w:rFonts w:ascii="Gadugi" w:hAnsi="Gadugi" w:cs="Arial"/>
          <w:sz w:val="24"/>
          <w:szCs w:val="24"/>
          <w:lang w:val="es-419"/>
        </w:rPr>
        <w:t xml:space="preserve">, </w:t>
      </w:r>
      <w:r w:rsidR="00D676B9" w:rsidRPr="00C379D6">
        <w:rPr>
          <w:rFonts w:ascii="Gadugi" w:hAnsi="Gadugi" w:cs="Arial"/>
          <w:b/>
          <w:sz w:val="24"/>
          <w:szCs w:val="24"/>
          <w:lang w:val="es-419"/>
        </w:rPr>
        <w:t>Anderson López Morales</w:t>
      </w:r>
      <w:r w:rsidR="00D676B9" w:rsidRPr="00C379D6">
        <w:rPr>
          <w:rFonts w:ascii="Gadugi" w:hAnsi="Gadugi" w:cs="Arial"/>
          <w:sz w:val="24"/>
          <w:szCs w:val="24"/>
          <w:lang w:val="es-419"/>
        </w:rPr>
        <w:t xml:space="preserve">, </w:t>
      </w:r>
      <w:r w:rsidR="00D676B9" w:rsidRPr="00C379D6">
        <w:rPr>
          <w:rFonts w:ascii="Gadugi" w:hAnsi="Gadugi" w:cs="Arial"/>
          <w:b/>
          <w:sz w:val="24"/>
          <w:szCs w:val="24"/>
          <w:lang w:val="es-419"/>
        </w:rPr>
        <w:t>Jorge Iván López Giraldo</w:t>
      </w:r>
      <w:r w:rsidR="00D676B9" w:rsidRPr="00C379D6">
        <w:rPr>
          <w:rFonts w:ascii="Gadugi" w:hAnsi="Gadugi" w:cs="Arial"/>
          <w:sz w:val="24"/>
          <w:szCs w:val="24"/>
          <w:lang w:val="es-419"/>
        </w:rPr>
        <w:t xml:space="preserve">, </w:t>
      </w:r>
      <w:r w:rsidR="00D676B9" w:rsidRPr="00C379D6">
        <w:rPr>
          <w:rFonts w:ascii="Gadugi" w:hAnsi="Gadugi" w:cs="Arial"/>
          <w:b/>
          <w:sz w:val="24"/>
          <w:szCs w:val="24"/>
          <w:lang w:val="es-419"/>
        </w:rPr>
        <w:t>Jaime Alberto Trujillo Gómez</w:t>
      </w:r>
      <w:r w:rsidR="00D676B9" w:rsidRPr="00C379D6">
        <w:rPr>
          <w:rFonts w:ascii="Gadugi" w:hAnsi="Gadugi" w:cs="Arial"/>
          <w:sz w:val="24"/>
          <w:szCs w:val="24"/>
          <w:lang w:val="es-419"/>
        </w:rPr>
        <w:t xml:space="preserve">, </w:t>
      </w:r>
      <w:r w:rsidR="00D676B9" w:rsidRPr="00C379D6">
        <w:rPr>
          <w:rFonts w:ascii="Gadugi" w:hAnsi="Gadugi" w:cs="Arial"/>
          <w:b/>
          <w:sz w:val="24"/>
          <w:szCs w:val="24"/>
          <w:lang w:val="es-419"/>
        </w:rPr>
        <w:t>Cristian Julián Ocampo</w:t>
      </w:r>
      <w:r w:rsidR="00D676B9" w:rsidRPr="00C379D6">
        <w:rPr>
          <w:rFonts w:ascii="Gadugi" w:hAnsi="Gadugi" w:cs="Arial"/>
          <w:sz w:val="24"/>
          <w:szCs w:val="24"/>
          <w:lang w:val="es-419"/>
        </w:rPr>
        <w:t xml:space="preserve">, </w:t>
      </w:r>
      <w:r w:rsidR="00D676B9" w:rsidRPr="00C379D6">
        <w:rPr>
          <w:rFonts w:ascii="Gadugi" w:hAnsi="Gadugi" w:cs="Arial"/>
          <w:b/>
          <w:sz w:val="24"/>
          <w:szCs w:val="24"/>
          <w:lang w:val="es-419"/>
        </w:rPr>
        <w:t xml:space="preserve">Juan Camilo Valencia Patiño </w:t>
      </w:r>
      <w:r w:rsidR="00D676B9" w:rsidRPr="00C379D6">
        <w:rPr>
          <w:rFonts w:ascii="Gadugi" w:hAnsi="Gadugi" w:cs="Arial"/>
          <w:sz w:val="24"/>
          <w:szCs w:val="24"/>
          <w:lang w:val="es-419"/>
        </w:rPr>
        <w:t xml:space="preserve">y </w:t>
      </w:r>
      <w:r w:rsidR="00D676B9" w:rsidRPr="00C379D6">
        <w:rPr>
          <w:rFonts w:ascii="Gadugi" w:hAnsi="Gadugi" w:cs="Arial"/>
          <w:b/>
          <w:sz w:val="24"/>
          <w:szCs w:val="24"/>
          <w:lang w:val="es-419"/>
        </w:rPr>
        <w:t xml:space="preserve">Juan Camilo Cano Marulanda, </w:t>
      </w:r>
      <w:r w:rsidR="00D676B9" w:rsidRPr="00C379D6">
        <w:rPr>
          <w:rFonts w:ascii="Gadugi" w:hAnsi="Gadugi" w:cs="Arial"/>
          <w:sz w:val="24"/>
          <w:szCs w:val="24"/>
          <w:lang w:val="es-419"/>
        </w:rPr>
        <w:t xml:space="preserve">contra el </w:t>
      </w:r>
      <w:r w:rsidR="00D676B9" w:rsidRPr="00C379D6">
        <w:rPr>
          <w:rFonts w:ascii="Gadugi" w:hAnsi="Gadugi" w:cs="Arial"/>
          <w:b/>
          <w:sz w:val="24"/>
          <w:szCs w:val="24"/>
          <w:lang w:val="es-419"/>
        </w:rPr>
        <w:t xml:space="preserve">Instituto Nacional Penitenciario Y Carcelario -INPEC-, </w:t>
      </w:r>
      <w:r w:rsidR="00D676B9" w:rsidRPr="00C379D6">
        <w:rPr>
          <w:rFonts w:ascii="Gadugi" w:hAnsi="Gadugi" w:cs="Arial"/>
          <w:sz w:val="24"/>
          <w:szCs w:val="24"/>
          <w:lang w:val="es-419"/>
        </w:rPr>
        <w:t xml:space="preserve">a la que fueron vinculados la </w:t>
      </w:r>
      <w:r w:rsidR="00D676B9" w:rsidRPr="00C379D6">
        <w:rPr>
          <w:rFonts w:ascii="Gadugi" w:hAnsi="Gadugi" w:cs="Arial"/>
          <w:b/>
          <w:sz w:val="24"/>
          <w:szCs w:val="24"/>
          <w:lang w:val="es-419"/>
        </w:rPr>
        <w:t>Defensoría del Pueblo Regional Risaralda</w:t>
      </w:r>
      <w:r w:rsidR="00D676B9" w:rsidRPr="00C379D6">
        <w:rPr>
          <w:rFonts w:ascii="Gadugi" w:hAnsi="Gadugi" w:cs="Arial"/>
          <w:sz w:val="24"/>
          <w:szCs w:val="24"/>
          <w:lang w:val="es-419"/>
        </w:rPr>
        <w:t xml:space="preserve">, el </w:t>
      </w:r>
      <w:r w:rsidR="00D676B9" w:rsidRPr="00C379D6">
        <w:rPr>
          <w:rFonts w:ascii="Gadugi" w:hAnsi="Gadugi" w:cs="Arial"/>
          <w:b/>
          <w:sz w:val="24"/>
          <w:szCs w:val="24"/>
          <w:lang w:val="es-419"/>
        </w:rPr>
        <w:t>Comando de Policía del Departamento de Risaralda</w:t>
      </w:r>
      <w:r w:rsidR="00D676B9" w:rsidRPr="00C379D6">
        <w:rPr>
          <w:rFonts w:ascii="Gadugi" w:hAnsi="Gadugi" w:cs="Arial"/>
          <w:sz w:val="24"/>
          <w:szCs w:val="24"/>
          <w:lang w:val="es-419"/>
        </w:rPr>
        <w:t xml:space="preserve">, el </w:t>
      </w:r>
      <w:r w:rsidR="00D676B9" w:rsidRPr="00C379D6">
        <w:rPr>
          <w:rFonts w:ascii="Gadugi" w:hAnsi="Gadugi" w:cs="Arial"/>
          <w:b/>
          <w:sz w:val="24"/>
          <w:szCs w:val="24"/>
          <w:lang w:val="es-419"/>
        </w:rPr>
        <w:t>Comando de Policía del Municipio de Quinchía, la Subestación de Policía del Corregimiento de Irra</w:t>
      </w:r>
      <w:r w:rsidR="00D676B9" w:rsidRPr="00C379D6">
        <w:rPr>
          <w:rFonts w:ascii="Gadugi" w:hAnsi="Gadugi" w:cs="Arial"/>
          <w:sz w:val="24"/>
          <w:szCs w:val="24"/>
          <w:lang w:val="es-419"/>
        </w:rPr>
        <w:t xml:space="preserve">, la </w:t>
      </w:r>
      <w:r w:rsidR="00D676B9" w:rsidRPr="00C379D6">
        <w:rPr>
          <w:rFonts w:ascii="Gadugi" w:hAnsi="Gadugi" w:cs="Arial"/>
          <w:b/>
          <w:sz w:val="24"/>
          <w:szCs w:val="24"/>
          <w:lang w:val="es-419"/>
        </w:rPr>
        <w:t>Alcaldía Municipal de Quinchía</w:t>
      </w:r>
      <w:r w:rsidR="00D676B9" w:rsidRPr="00C379D6">
        <w:rPr>
          <w:rFonts w:ascii="Gadugi" w:hAnsi="Gadugi" w:cs="Arial"/>
          <w:sz w:val="24"/>
          <w:szCs w:val="24"/>
          <w:lang w:val="es-419"/>
        </w:rPr>
        <w:t xml:space="preserve">, el </w:t>
      </w:r>
      <w:r w:rsidR="00D676B9" w:rsidRPr="00C379D6">
        <w:rPr>
          <w:rFonts w:ascii="Gadugi" w:hAnsi="Gadugi" w:cs="Arial"/>
          <w:b/>
          <w:sz w:val="24"/>
          <w:szCs w:val="24"/>
          <w:lang w:val="es-419"/>
        </w:rPr>
        <w:t>INPEC Regional Viejo Caldas</w:t>
      </w:r>
      <w:r w:rsidR="00D676B9" w:rsidRPr="00C379D6">
        <w:rPr>
          <w:rFonts w:ascii="Gadugi" w:hAnsi="Gadugi" w:cs="Arial"/>
          <w:sz w:val="24"/>
          <w:szCs w:val="24"/>
          <w:lang w:val="es-419"/>
        </w:rPr>
        <w:t xml:space="preserve">, el </w:t>
      </w:r>
      <w:r w:rsidR="00D676B9" w:rsidRPr="00C379D6">
        <w:rPr>
          <w:rFonts w:ascii="Gadugi" w:hAnsi="Gadugi" w:cs="Arial"/>
          <w:b/>
          <w:sz w:val="24"/>
          <w:szCs w:val="24"/>
          <w:lang w:val="es-419"/>
        </w:rPr>
        <w:t>Centro Penitenciario y Carcelario de Anserma</w:t>
      </w:r>
      <w:r w:rsidR="00D676B9" w:rsidRPr="00C379D6">
        <w:rPr>
          <w:rFonts w:ascii="Gadugi" w:hAnsi="Gadugi" w:cs="Arial"/>
          <w:sz w:val="24"/>
          <w:szCs w:val="24"/>
          <w:lang w:val="es-419"/>
        </w:rPr>
        <w:t xml:space="preserve"> y la </w:t>
      </w:r>
      <w:r w:rsidR="00D676B9" w:rsidRPr="00C379D6">
        <w:rPr>
          <w:rFonts w:ascii="Gadugi" w:hAnsi="Gadugi" w:cs="Arial"/>
          <w:b/>
          <w:sz w:val="24"/>
          <w:szCs w:val="24"/>
          <w:lang w:val="es-419"/>
        </w:rPr>
        <w:t>Procuraduría Regional de Risaralda.</w:t>
      </w:r>
    </w:p>
    <w:p w14:paraId="7DA75F02" w14:textId="77777777" w:rsidR="004E33BC" w:rsidRPr="00C379D6" w:rsidRDefault="004E33BC" w:rsidP="004E33BC">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18F4DD92" w14:textId="77777777" w:rsidR="004E33BC" w:rsidRPr="00C379D6" w:rsidRDefault="004E33BC" w:rsidP="004E33BC">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486FC1D2" w14:textId="7292A5F8" w:rsidR="00756044" w:rsidRPr="00C379D6" w:rsidRDefault="00756044" w:rsidP="00C379D6">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C379D6">
        <w:rPr>
          <w:rFonts w:ascii="Gadugi" w:eastAsia="Times New Roman" w:hAnsi="Gadugi" w:cs="Arial"/>
          <w:b/>
          <w:bCs/>
          <w:sz w:val="24"/>
          <w:szCs w:val="24"/>
          <w:lang w:val="es-ES" w:eastAsia="es-ES"/>
        </w:rPr>
        <w:t xml:space="preserve">  </w:t>
      </w:r>
      <w:r w:rsidRPr="00C379D6">
        <w:rPr>
          <w:rFonts w:ascii="Gadugi" w:eastAsia="Times New Roman" w:hAnsi="Gadugi" w:cs="Arial"/>
          <w:b/>
          <w:bCs/>
          <w:sz w:val="24"/>
          <w:szCs w:val="24"/>
          <w:lang w:val="es-ES" w:eastAsia="es-ES"/>
        </w:rPr>
        <w:tab/>
      </w:r>
      <w:r w:rsidRPr="00C379D6">
        <w:rPr>
          <w:rFonts w:ascii="Gadugi" w:eastAsia="Times New Roman" w:hAnsi="Gadugi" w:cs="Arial"/>
          <w:b/>
          <w:bCs/>
          <w:sz w:val="24"/>
          <w:szCs w:val="24"/>
          <w:lang w:val="es-ES" w:eastAsia="es-ES"/>
        </w:rPr>
        <w:tab/>
      </w:r>
      <w:r w:rsidRPr="00C379D6">
        <w:rPr>
          <w:rFonts w:ascii="Gadugi" w:eastAsia="Times New Roman" w:hAnsi="Gadugi" w:cs="Arial"/>
          <w:b/>
          <w:bCs/>
          <w:sz w:val="24"/>
          <w:szCs w:val="24"/>
          <w:lang w:val="es-ES" w:eastAsia="es-ES"/>
        </w:rPr>
        <w:tab/>
      </w:r>
      <w:r w:rsidRPr="00C379D6">
        <w:rPr>
          <w:rFonts w:ascii="Gadugi" w:eastAsia="Times New Roman" w:hAnsi="Gadugi" w:cs="Arial"/>
          <w:b/>
          <w:bCs/>
          <w:sz w:val="24"/>
          <w:szCs w:val="24"/>
          <w:lang w:val="es-ES" w:eastAsia="es-ES"/>
        </w:rPr>
        <w:tab/>
      </w:r>
      <w:r w:rsidR="00C82FEF" w:rsidRPr="00C379D6">
        <w:rPr>
          <w:rFonts w:ascii="Gadugi" w:eastAsia="Times New Roman" w:hAnsi="Gadugi" w:cs="Arial"/>
          <w:b/>
          <w:bCs/>
          <w:sz w:val="24"/>
          <w:szCs w:val="24"/>
          <w:lang w:val="es-ES" w:eastAsia="es-ES"/>
        </w:rPr>
        <w:t xml:space="preserve">1. </w:t>
      </w:r>
      <w:r w:rsidRPr="00C379D6">
        <w:rPr>
          <w:rFonts w:ascii="Gadugi" w:eastAsia="Times New Roman" w:hAnsi="Gadugi" w:cs="Arial"/>
          <w:b/>
          <w:bCs/>
          <w:sz w:val="24"/>
          <w:szCs w:val="24"/>
          <w:lang w:val="es-ES" w:eastAsia="es-ES"/>
        </w:rPr>
        <w:t>ANTECEDENTES</w:t>
      </w:r>
    </w:p>
    <w:p w14:paraId="04E4D7AD" w14:textId="77777777" w:rsidR="004E33BC" w:rsidRPr="00C379D6" w:rsidRDefault="004E33BC" w:rsidP="004E33BC">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5A32ACB6" w14:textId="77777777" w:rsidR="004E33BC" w:rsidRPr="00C379D6" w:rsidRDefault="004E33BC" w:rsidP="004E33BC">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3B77C277" w14:textId="11A8D097" w:rsidR="00742D7B" w:rsidRPr="00C379D6" w:rsidRDefault="003B66A1"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00742D7B" w:rsidRPr="00C379D6">
        <w:rPr>
          <w:rFonts w:ascii="Gadugi" w:eastAsia="Times New Roman" w:hAnsi="Gadugi" w:cs="Arial"/>
          <w:sz w:val="24"/>
          <w:szCs w:val="24"/>
          <w:lang w:val="es-ES" w:eastAsia="es-ES"/>
        </w:rPr>
        <w:t>Narra la libelista que los demandantes se encuentran retenidos, unos, en el calabozo de la Estación de Policía de Quinchía, y otros, en el calabozo de la Subestación de Policía de Irra, con medida preventiva de privación de la libertad en calidad de procesados, pero en precarias condiciones de salubridad y hacinamiento.</w:t>
      </w:r>
    </w:p>
    <w:p w14:paraId="643CB707" w14:textId="7443B254" w:rsidR="00742D7B" w:rsidRPr="00C379D6" w:rsidRDefault="00742D7B"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641D27D7" w14:textId="30B08B40" w:rsidR="00742D7B" w:rsidRPr="00C379D6" w:rsidRDefault="00742D7B"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 xml:space="preserve">El Comandante de la Subestación de Policía de Irra, envió un informe a la Personería advirtiendo sobre tal </w:t>
      </w:r>
      <w:r w:rsidR="00FB0E44" w:rsidRPr="00C379D6">
        <w:rPr>
          <w:rFonts w:ascii="Gadugi" w:eastAsia="Times New Roman" w:hAnsi="Gadugi" w:cs="Arial"/>
          <w:sz w:val="24"/>
          <w:szCs w:val="24"/>
          <w:lang w:val="es-ES" w:eastAsia="es-ES"/>
        </w:rPr>
        <w:t>circunstancia</w:t>
      </w:r>
      <w:r w:rsidRPr="00C379D6">
        <w:rPr>
          <w:rFonts w:ascii="Gadugi" w:eastAsia="Times New Roman" w:hAnsi="Gadugi" w:cs="Arial"/>
          <w:sz w:val="24"/>
          <w:szCs w:val="24"/>
          <w:lang w:val="es-ES" w:eastAsia="es-ES"/>
        </w:rPr>
        <w:t>, y en consecuencia, se elevó una solicitud a al INPEC</w:t>
      </w:r>
      <w:r w:rsidR="00FB0E44" w:rsidRPr="00C379D6">
        <w:rPr>
          <w:rFonts w:ascii="Gadugi" w:eastAsia="Times New Roman" w:hAnsi="Gadugi" w:cs="Arial"/>
          <w:sz w:val="24"/>
          <w:szCs w:val="24"/>
          <w:lang w:val="es-ES" w:eastAsia="es-ES"/>
        </w:rPr>
        <w:t xml:space="preserve"> regional Viejo Caldas, pero está última no ha sido contestada. </w:t>
      </w:r>
    </w:p>
    <w:p w14:paraId="7FDADDA7" w14:textId="0A7653D8" w:rsidR="00FB0E44" w:rsidRPr="00C379D6" w:rsidRDefault="00FB0E44"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787B48D3" w14:textId="7446A612" w:rsidR="00FB0E44" w:rsidRPr="00C379D6" w:rsidRDefault="00FB0E44"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 xml:space="preserve">Se agregó que </w:t>
      </w:r>
      <w:r w:rsidRPr="00C379D6">
        <w:rPr>
          <w:rFonts w:ascii="Gadugi" w:eastAsia="Times New Roman" w:hAnsi="Gadugi" w:cs="Arial"/>
          <w:i/>
          <w:sz w:val="24"/>
          <w:szCs w:val="24"/>
          <w:lang w:val="es-ES" w:eastAsia="es-ES"/>
        </w:rPr>
        <w:t>“</w:t>
      </w:r>
      <w:r w:rsidRPr="008F3498">
        <w:rPr>
          <w:rFonts w:ascii="Gadugi" w:eastAsia="Times New Roman" w:hAnsi="Gadugi" w:cs="Arial"/>
          <w:i/>
          <w:szCs w:val="24"/>
          <w:lang w:val="es-ES" w:eastAsia="es-ES"/>
        </w:rPr>
        <w:t>De manera constante se realiza visita por parte de la suscrita a la estación de policía donde los PPL hacen mención a que se encuentran muy aburridos en estos calabozos, ya que se sienten enfermos, con dolor en sus articulaciones debido al frio del calabozo y a que casi no se pueden mover, y sobre todo que no pueden recibir sol, que no tienen visitas conyugales por parte de sus esposas. Es de anotar además que el baño se ubica dentro del mismo calabozo, lo que es foco de enfermedades y demás, sumado que a la fecha en el municipio no contamos con un sitio de aislamiento que nos permita prevenir el contagio de COVID-19 entre estas personas privadas de la libertad</w:t>
      </w:r>
      <w:r w:rsidRPr="00C379D6">
        <w:rPr>
          <w:rFonts w:ascii="Gadugi" w:eastAsia="Times New Roman" w:hAnsi="Gadugi" w:cs="Arial"/>
          <w:i/>
          <w:sz w:val="24"/>
          <w:szCs w:val="24"/>
          <w:lang w:val="es-ES" w:eastAsia="es-ES"/>
        </w:rPr>
        <w:t>”.</w:t>
      </w:r>
    </w:p>
    <w:p w14:paraId="658DC7A7" w14:textId="77777777" w:rsidR="004E33BC" w:rsidRPr="00C379D6" w:rsidRDefault="004E33BC" w:rsidP="004E33BC">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2CA77E99" w14:textId="72871023" w:rsidR="00FB0E44" w:rsidRPr="00C379D6" w:rsidRDefault="00FB0E44"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 xml:space="preserve">Se solicitó, entonces, ordenarle al INPEC trasladar a los demandantes a un centro carcelario y penitenciario. Asimismo, se pidió ordenarle al INPEC, a la Policía Nacional, la SIJIN, y demás autoridades competentes, abstenerse de recibir y ubicar por más de 36 horas, a personas privadas de la libertad en las estaciones de policía de Quinchía e Irra, </w:t>
      </w:r>
      <w:r w:rsidRPr="00C379D6">
        <w:rPr>
          <w:rFonts w:ascii="Gadugi" w:eastAsia="Times New Roman" w:hAnsi="Gadugi" w:cs="Arial"/>
          <w:i/>
          <w:sz w:val="24"/>
          <w:szCs w:val="24"/>
          <w:lang w:val="es-ES" w:eastAsia="es-ES"/>
        </w:rPr>
        <w:t>“</w:t>
      </w:r>
      <w:r w:rsidRPr="008F3498">
        <w:rPr>
          <w:rFonts w:ascii="Gadugi" w:eastAsia="Times New Roman" w:hAnsi="Gadugi" w:cs="Arial"/>
          <w:i/>
          <w:szCs w:val="24"/>
          <w:lang w:val="es-ES" w:eastAsia="es-ES"/>
        </w:rPr>
        <w:t>en razón a que estas instalaciones no cuentan con las condiciones de infraestructura</w:t>
      </w:r>
      <w:r w:rsidRPr="00C379D6">
        <w:rPr>
          <w:rFonts w:ascii="Gadugi" w:eastAsia="Times New Roman" w:hAnsi="Gadugi" w:cs="Arial"/>
          <w:i/>
          <w:sz w:val="24"/>
          <w:szCs w:val="24"/>
          <w:lang w:val="es-ES" w:eastAsia="es-ES"/>
        </w:rPr>
        <w:t>”.</w:t>
      </w:r>
      <w:r w:rsidR="00F421BC" w:rsidRPr="00C379D6">
        <w:rPr>
          <w:rStyle w:val="Refdenotaalpie"/>
          <w:rFonts w:ascii="Gadugi" w:eastAsia="Times New Roman" w:hAnsi="Gadugi"/>
          <w:i/>
          <w:sz w:val="24"/>
          <w:szCs w:val="24"/>
          <w:lang w:val="es-ES" w:eastAsia="es-ES"/>
        </w:rPr>
        <w:footnoteReference w:id="1"/>
      </w:r>
    </w:p>
    <w:p w14:paraId="7FBB1DC3" w14:textId="3D4DB166" w:rsidR="00FB0E44" w:rsidRPr="00C379D6" w:rsidRDefault="00FB0E44"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607AF2D7" w14:textId="0AD77DBF" w:rsidR="00D676B9" w:rsidRPr="00C379D6" w:rsidRDefault="00FB0E44"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lastRenderedPageBreak/>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00CE1967" w:rsidRPr="00C379D6">
        <w:rPr>
          <w:rFonts w:ascii="Gadugi" w:eastAsia="Times New Roman" w:hAnsi="Gadugi" w:cs="Arial"/>
          <w:sz w:val="24"/>
          <w:szCs w:val="24"/>
          <w:lang w:val="es-ES" w:eastAsia="es-ES"/>
        </w:rPr>
        <w:t>1</w:t>
      </w:r>
      <w:r w:rsidR="00C82FEF" w:rsidRPr="00C379D6">
        <w:rPr>
          <w:rFonts w:ascii="Gadugi" w:eastAsia="Times New Roman" w:hAnsi="Gadugi" w:cs="Arial"/>
          <w:sz w:val="24"/>
          <w:szCs w:val="24"/>
          <w:lang w:val="es-ES" w:eastAsia="es-ES"/>
        </w:rPr>
        <w:t>.</w:t>
      </w:r>
      <w:r w:rsidR="00CE1967" w:rsidRPr="00C379D6">
        <w:rPr>
          <w:rFonts w:ascii="Gadugi" w:eastAsia="Times New Roman" w:hAnsi="Gadugi" w:cs="Arial"/>
          <w:sz w:val="24"/>
          <w:szCs w:val="24"/>
          <w:lang w:val="es-ES" w:eastAsia="es-ES"/>
        </w:rPr>
        <w:t>1</w:t>
      </w:r>
      <w:r w:rsidR="00C82FEF" w:rsidRPr="00C379D6">
        <w:rPr>
          <w:rFonts w:ascii="Gadugi" w:eastAsia="Times New Roman" w:hAnsi="Gadugi" w:cs="Arial"/>
          <w:sz w:val="24"/>
          <w:szCs w:val="24"/>
          <w:lang w:val="es-ES" w:eastAsia="es-ES"/>
        </w:rPr>
        <w:t xml:space="preserve"> </w:t>
      </w:r>
      <w:r w:rsidRPr="00C379D6">
        <w:rPr>
          <w:rFonts w:ascii="Gadugi" w:eastAsia="Times New Roman" w:hAnsi="Gadugi" w:cs="Arial"/>
          <w:sz w:val="24"/>
          <w:szCs w:val="24"/>
          <w:lang w:val="es-ES" w:eastAsia="es-ES"/>
        </w:rPr>
        <w:t>En primera instancia se dio impulso a la acción, con auto del 15 de abril de 2021, con la vinculación de las autoridades arriba referidas.</w:t>
      </w:r>
      <w:r w:rsidR="00F421BC" w:rsidRPr="00C379D6">
        <w:rPr>
          <w:rStyle w:val="Refdenotaalpie"/>
          <w:rFonts w:ascii="Gadugi" w:eastAsia="Times New Roman" w:hAnsi="Gadugi"/>
          <w:sz w:val="24"/>
          <w:szCs w:val="24"/>
          <w:lang w:val="es-ES" w:eastAsia="es-ES"/>
        </w:rPr>
        <w:footnoteReference w:id="2"/>
      </w:r>
      <w:r w:rsidRPr="00C379D6">
        <w:rPr>
          <w:rFonts w:ascii="Gadugi" w:eastAsia="Times New Roman" w:hAnsi="Gadugi" w:cs="Arial"/>
          <w:sz w:val="24"/>
          <w:szCs w:val="24"/>
          <w:lang w:val="es-ES" w:eastAsia="es-ES"/>
        </w:rPr>
        <w:t xml:space="preserve"> </w:t>
      </w:r>
    </w:p>
    <w:p w14:paraId="09FCCAF0" w14:textId="42021D73" w:rsidR="000750F9" w:rsidRPr="00C379D6" w:rsidRDefault="000750F9"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37D1A59D" w14:textId="7F698076" w:rsidR="00A5720C" w:rsidRPr="00C379D6" w:rsidRDefault="000750F9"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00CE1967" w:rsidRPr="00C379D6">
        <w:rPr>
          <w:rFonts w:ascii="Gadugi" w:eastAsia="Times New Roman" w:hAnsi="Gadugi" w:cs="Arial"/>
          <w:sz w:val="24"/>
          <w:szCs w:val="24"/>
          <w:lang w:val="es-ES" w:eastAsia="es-ES"/>
        </w:rPr>
        <w:t>1</w:t>
      </w:r>
      <w:r w:rsidR="00C82FEF" w:rsidRPr="00C379D6">
        <w:rPr>
          <w:rFonts w:ascii="Gadugi" w:eastAsia="Times New Roman" w:hAnsi="Gadugi" w:cs="Arial"/>
          <w:sz w:val="24"/>
          <w:szCs w:val="24"/>
          <w:lang w:val="es-ES" w:eastAsia="es-ES"/>
        </w:rPr>
        <w:t>.</w:t>
      </w:r>
      <w:r w:rsidR="00CE1967" w:rsidRPr="00C379D6">
        <w:rPr>
          <w:rFonts w:ascii="Gadugi" w:eastAsia="Times New Roman" w:hAnsi="Gadugi" w:cs="Arial"/>
          <w:sz w:val="24"/>
          <w:szCs w:val="24"/>
          <w:lang w:val="es-ES" w:eastAsia="es-ES"/>
        </w:rPr>
        <w:t>2</w:t>
      </w:r>
      <w:r w:rsidR="00C82FEF" w:rsidRPr="00C379D6">
        <w:rPr>
          <w:rFonts w:ascii="Gadugi" w:eastAsia="Times New Roman" w:hAnsi="Gadugi" w:cs="Arial"/>
          <w:sz w:val="24"/>
          <w:szCs w:val="24"/>
          <w:lang w:val="es-ES" w:eastAsia="es-ES"/>
        </w:rPr>
        <w:t xml:space="preserve">. </w:t>
      </w:r>
      <w:r w:rsidRPr="00C379D6">
        <w:rPr>
          <w:rFonts w:ascii="Gadugi" w:eastAsia="Times New Roman" w:hAnsi="Gadugi" w:cs="Arial"/>
          <w:sz w:val="24"/>
          <w:szCs w:val="24"/>
          <w:lang w:val="es-ES" w:eastAsia="es-ES"/>
        </w:rPr>
        <w:t xml:space="preserve">El INPEC Regional Viejo Caldas, </w:t>
      </w:r>
      <w:r w:rsidR="002D3462" w:rsidRPr="00C379D6">
        <w:rPr>
          <w:rFonts w:ascii="Gadugi" w:eastAsia="Times New Roman" w:hAnsi="Gadugi" w:cs="Arial"/>
          <w:sz w:val="24"/>
          <w:szCs w:val="24"/>
          <w:lang w:val="es-ES" w:eastAsia="es-ES"/>
        </w:rPr>
        <w:t xml:space="preserve">indicó que </w:t>
      </w:r>
      <w:r w:rsidR="00A5720C" w:rsidRPr="00C379D6">
        <w:rPr>
          <w:rFonts w:ascii="Gadugi" w:eastAsia="Times New Roman" w:hAnsi="Gadugi" w:cs="Arial"/>
          <w:i/>
          <w:sz w:val="24"/>
          <w:szCs w:val="24"/>
          <w:lang w:val="es-ES" w:eastAsia="es-ES"/>
        </w:rPr>
        <w:t>“</w:t>
      </w:r>
      <w:r w:rsidR="00A5720C" w:rsidRPr="008F3498">
        <w:rPr>
          <w:rFonts w:ascii="Gadugi" w:eastAsia="Times New Roman" w:hAnsi="Gadugi" w:cs="Arial"/>
          <w:i/>
          <w:szCs w:val="24"/>
          <w:lang w:val="es-ES" w:eastAsia="es-ES"/>
        </w:rPr>
        <w:t xml:space="preserve">(…) </w:t>
      </w:r>
      <w:r w:rsidR="002D3462" w:rsidRPr="008F3498">
        <w:rPr>
          <w:rFonts w:ascii="Gadugi" w:eastAsia="Times New Roman" w:hAnsi="Gadugi" w:cs="Arial"/>
          <w:i/>
          <w:szCs w:val="24"/>
          <w:lang w:val="es-ES" w:eastAsia="es-ES"/>
        </w:rPr>
        <w:t>las personas indiciadas NO son responsabilidad del Instituto Nacional Penitenciario y Carcelario INPEC, es obligación de los entes territoriales, situación indicada por la funcionaria accionante (artículo 12 de la ley 1709</w:t>
      </w:r>
      <w:r w:rsidR="00A5720C" w:rsidRPr="008F3498">
        <w:rPr>
          <w:rFonts w:ascii="Gadugi" w:eastAsia="Times New Roman" w:hAnsi="Gadugi" w:cs="Arial"/>
          <w:i/>
          <w:szCs w:val="24"/>
          <w:lang w:val="es-ES" w:eastAsia="es-ES"/>
        </w:rPr>
        <w:t xml:space="preserve"> </w:t>
      </w:r>
      <w:r w:rsidR="002D3462" w:rsidRPr="008F3498">
        <w:rPr>
          <w:rFonts w:ascii="Gadugi" w:eastAsia="Times New Roman" w:hAnsi="Gadugi" w:cs="Arial"/>
          <w:i/>
          <w:szCs w:val="24"/>
          <w:lang w:val="es-ES" w:eastAsia="es-ES"/>
        </w:rPr>
        <w:t>de 2014)</w:t>
      </w:r>
      <w:r w:rsidR="00A5720C" w:rsidRPr="00C379D6">
        <w:rPr>
          <w:rFonts w:ascii="Gadugi" w:eastAsia="Times New Roman" w:hAnsi="Gadugi" w:cs="Arial"/>
          <w:i/>
          <w:sz w:val="24"/>
          <w:szCs w:val="24"/>
          <w:lang w:val="es-ES" w:eastAsia="es-ES"/>
        </w:rPr>
        <w:t xml:space="preserve">”; </w:t>
      </w:r>
      <w:r w:rsidR="00A5720C" w:rsidRPr="00C379D6">
        <w:rPr>
          <w:rFonts w:ascii="Gadugi" w:eastAsia="Times New Roman" w:hAnsi="Gadugi" w:cs="Arial"/>
          <w:sz w:val="24"/>
          <w:szCs w:val="24"/>
          <w:lang w:val="es-ES" w:eastAsia="es-ES"/>
        </w:rPr>
        <w:t>adujo su falta de legitimación en la causa por pasiva y solicitó su desvinculación.</w:t>
      </w:r>
      <w:r w:rsidR="00F421BC" w:rsidRPr="00C379D6">
        <w:rPr>
          <w:rStyle w:val="Refdenotaalpie"/>
          <w:rFonts w:ascii="Gadugi" w:eastAsia="Times New Roman" w:hAnsi="Gadugi"/>
          <w:sz w:val="24"/>
          <w:szCs w:val="24"/>
          <w:lang w:val="es-ES" w:eastAsia="es-ES"/>
        </w:rPr>
        <w:footnoteReference w:id="3"/>
      </w:r>
    </w:p>
    <w:p w14:paraId="0F425BE4" w14:textId="77777777" w:rsidR="00A5720C" w:rsidRPr="00C379D6" w:rsidRDefault="00A5720C"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66308A75" w14:textId="0715DA36" w:rsidR="000750F9" w:rsidRPr="00C379D6" w:rsidRDefault="00A5720C" w:rsidP="00C379D6">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00CE1967" w:rsidRPr="00C379D6">
        <w:rPr>
          <w:rFonts w:ascii="Gadugi" w:eastAsia="Times New Roman" w:hAnsi="Gadugi" w:cs="Arial"/>
          <w:sz w:val="24"/>
          <w:szCs w:val="24"/>
          <w:lang w:val="es-ES" w:eastAsia="es-ES"/>
        </w:rPr>
        <w:t>1</w:t>
      </w:r>
      <w:r w:rsidR="00C82FEF" w:rsidRPr="00C379D6">
        <w:rPr>
          <w:rFonts w:ascii="Gadugi" w:eastAsia="Times New Roman" w:hAnsi="Gadugi" w:cs="Arial"/>
          <w:sz w:val="24"/>
          <w:szCs w:val="24"/>
          <w:lang w:val="es-ES" w:eastAsia="es-ES"/>
        </w:rPr>
        <w:t>.</w:t>
      </w:r>
      <w:r w:rsidR="00CE1967" w:rsidRPr="00C379D6">
        <w:rPr>
          <w:rFonts w:ascii="Gadugi" w:eastAsia="Times New Roman" w:hAnsi="Gadugi" w:cs="Arial"/>
          <w:sz w:val="24"/>
          <w:szCs w:val="24"/>
          <w:lang w:val="es-ES" w:eastAsia="es-ES"/>
        </w:rPr>
        <w:t>3</w:t>
      </w:r>
      <w:r w:rsidR="00C82FEF" w:rsidRPr="00C379D6">
        <w:rPr>
          <w:rFonts w:ascii="Gadugi" w:eastAsia="Times New Roman" w:hAnsi="Gadugi" w:cs="Arial"/>
          <w:sz w:val="24"/>
          <w:szCs w:val="24"/>
          <w:lang w:val="es-ES" w:eastAsia="es-ES"/>
        </w:rPr>
        <w:t xml:space="preserve">. </w:t>
      </w:r>
      <w:r w:rsidRPr="00C379D6">
        <w:rPr>
          <w:rFonts w:ascii="Gadugi" w:eastAsia="Times New Roman" w:hAnsi="Gadugi" w:cs="Arial"/>
          <w:sz w:val="24"/>
          <w:szCs w:val="24"/>
          <w:lang w:val="es-ES" w:eastAsia="es-ES"/>
        </w:rPr>
        <w:t>La Dirección General del INPEC</w:t>
      </w:r>
      <w:r w:rsidR="0096660E" w:rsidRPr="00C379D6">
        <w:rPr>
          <w:rFonts w:ascii="Gadugi" w:eastAsia="Times New Roman" w:hAnsi="Gadugi" w:cs="Arial"/>
          <w:sz w:val="24"/>
          <w:szCs w:val="24"/>
          <w:lang w:val="es-ES" w:eastAsia="es-ES"/>
        </w:rPr>
        <w:t xml:space="preserve"> pidió negar las pretensiones en su contra y</w:t>
      </w:r>
      <w:r w:rsidRPr="00C379D6">
        <w:rPr>
          <w:rFonts w:ascii="Gadugi" w:eastAsia="Times New Roman" w:hAnsi="Gadugi" w:cs="Arial"/>
          <w:sz w:val="24"/>
          <w:szCs w:val="24"/>
          <w:lang w:val="es-ES" w:eastAsia="es-ES"/>
        </w:rPr>
        <w:t xml:space="preserve"> dijo que </w:t>
      </w:r>
      <w:r w:rsidRPr="00C379D6">
        <w:rPr>
          <w:rFonts w:ascii="Gadugi" w:eastAsia="Times New Roman" w:hAnsi="Gadugi" w:cs="Arial"/>
          <w:i/>
          <w:sz w:val="24"/>
          <w:szCs w:val="24"/>
          <w:lang w:val="es-ES" w:eastAsia="es-ES"/>
        </w:rPr>
        <w:t>“</w:t>
      </w:r>
      <w:r w:rsidRPr="008F3498">
        <w:rPr>
          <w:rFonts w:ascii="Gadugi" w:eastAsia="Times New Roman" w:hAnsi="Gadugi" w:cs="Arial"/>
          <w:i/>
          <w:szCs w:val="24"/>
          <w:lang w:val="es-ES" w:eastAsia="es-ES"/>
        </w:rPr>
        <w:t>(…) los entes territoriales deben (…) atender a las personas detenidas preventivamente, pues los CONDENADOS (…) CORRESPONDEN AL INPEC</w:t>
      </w:r>
      <w:r w:rsidRPr="00C379D6">
        <w:rPr>
          <w:rFonts w:ascii="Gadugi" w:eastAsia="Times New Roman" w:hAnsi="Gadugi" w:cs="Arial"/>
          <w:i/>
          <w:sz w:val="24"/>
          <w:szCs w:val="24"/>
          <w:lang w:val="es-ES" w:eastAsia="es-ES"/>
        </w:rPr>
        <w:t>.”</w:t>
      </w:r>
      <w:r w:rsidR="00F421BC" w:rsidRPr="00C379D6">
        <w:rPr>
          <w:rStyle w:val="Refdenotaalpie"/>
          <w:rFonts w:ascii="Gadugi" w:eastAsia="Times New Roman" w:hAnsi="Gadugi"/>
          <w:i/>
          <w:sz w:val="24"/>
          <w:szCs w:val="24"/>
          <w:lang w:val="es-ES" w:eastAsia="es-ES"/>
        </w:rPr>
        <w:footnoteReference w:id="4"/>
      </w:r>
    </w:p>
    <w:p w14:paraId="3EFD7692" w14:textId="311A7F25" w:rsidR="00A5720C" w:rsidRPr="00C379D6" w:rsidRDefault="00A5720C"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608C8535" w14:textId="21D6056B" w:rsidR="0096660E" w:rsidRPr="00C379D6" w:rsidRDefault="0096660E"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00CE1967" w:rsidRPr="00C379D6">
        <w:rPr>
          <w:rFonts w:ascii="Gadugi" w:eastAsia="Times New Roman" w:hAnsi="Gadugi" w:cs="Arial"/>
          <w:sz w:val="24"/>
          <w:szCs w:val="24"/>
          <w:lang w:val="es-ES" w:eastAsia="es-ES"/>
        </w:rPr>
        <w:t xml:space="preserve">1.4. </w:t>
      </w:r>
      <w:r w:rsidRPr="00C379D6">
        <w:rPr>
          <w:rFonts w:ascii="Gadugi" w:eastAsia="Times New Roman" w:hAnsi="Gadugi" w:cs="Arial"/>
          <w:sz w:val="24"/>
          <w:szCs w:val="24"/>
          <w:lang w:val="es-ES" w:eastAsia="es-ES"/>
        </w:rPr>
        <w:t>La Policía Departamental de Risaralda informó que:</w:t>
      </w:r>
    </w:p>
    <w:p w14:paraId="3974D130" w14:textId="5189E0F9" w:rsidR="0096660E" w:rsidRPr="00C379D6" w:rsidRDefault="0096660E"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2EA9FF85" w14:textId="6357F747" w:rsidR="0096660E" w:rsidRPr="00C379D6" w:rsidRDefault="0096660E"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 xml:space="preserve">(i) </w:t>
      </w:r>
      <w:r w:rsidR="000D4794" w:rsidRPr="00C379D6">
        <w:rPr>
          <w:rFonts w:ascii="Gadugi" w:eastAsia="Times New Roman" w:hAnsi="Gadugi" w:cs="Arial"/>
          <w:sz w:val="24"/>
          <w:szCs w:val="24"/>
          <w:lang w:val="es-ES" w:eastAsia="es-ES"/>
        </w:rPr>
        <w:t>A los señores</w:t>
      </w:r>
      <w:r w:rsidRPr="00C379D6">
        <w:rPr>
          <w:rFonts w:ascii="Gadugi" w:eastAsia="Times New Roman" w:hAnsi="Gadugi" w:cs="Arial"/>
          <w:sz w:val="24"/>
          <w:szCs w:val="24"/>
          <w:lang w:val="es-ES" w:eastAsia="es-ES"/>
        </w:rPr>
        <w:t xml:space="preserve"> </w:t>
      </w:r>
      <w:r w:rsidRPr="00C379D6">
        <w:rPr>
          <w:rFonts w:ascii="Gadugi" w:eastAsia="Times New Roman" w:hAnsi="Gadugi" w:cs="Arial"/>
          <w:sz w:val="24"/>
          <w:szCs w:val="24"/>
          <w:u w:val="single"/>
          <w:lang w:val="es-ES" w:eastAsia="es-ES"/>
        </w:rPr>
        <w:t>Edwin Zapata Díaz</w:t>
      </w:r>
      <w:r w:rsidR="000D4794" w:rsidRPr="00C379D6">
        <w:rPr>
          <w:rFonts w:ascii="Gadugi" w:eastAsia="Times New Roman" w:hAnsi="Gadugi" w:cs="Arial"/>
          <w:sz w:val="24"/>
          <w:szCs w:val="24"/>
          <w:lang w:val="es-ES" w:eastAsia="es-ES"/>
        </w:rPr>
        <w:t xml:space="preserve"> y </w:t>
      </w:r>
      <w:r w:rsidR="000D4794" w:rsidRPr="00C379D6">
        <w:rPr>
          <w:rFonts w:ascii="Gadugi" w:eastAsia="Times New Roman" w:hAnsi="Gadugi" w:cs="Arial"/>
          <w:sz w:val="24"/>
          <w:szCs w:val="24"/>
          <w:u w:val="single"/>
          <w:lang w:val="es-ES" w:eastAsia="es-ES"/>
        </w:rPr>
        <w:t>Ánderson López Morales</w:t>
      </w:r>
      <w:r w:rsidRPr="00C379D6">
        <w:rPr>
          <w:rFonts w:ascii="Gadugi" w:eastAsia="Times New Roman" w:hAnsi="Gadugi" w:cs="Arial"/>
          <w:sz w:val="24"/>
          <w:szCs w:val="24"/>
          <w:lang w:val="es-ES" w:eastAsia="es-ES"/>
        </w:rPr>
        <w:t xml:space="preserve"> </w:t>
      </w:r>
      <w:bookmarkStart w:id="2" w:name="_Hlk82674112"/>
      <w:r w:rsidRPr="00C379D6">
        <w:rPr>
          <w:rFonts w:ascii="Gadugi" w:eastAsia="Times New Roman" w:hAnsi="Gadugi" w:cs="Arial"/>
          <w:sz w:val="24"/>
          <w:szCs w:val="24"/>
          <w:lang w:val="es-ES" w:eastAsia="es-ES"/>
        </w:rPr>
        <w:t>se le</w:t>
      </w:r>
      <w:r w:rsidR="000D4794" w:rsidRPr="00C379D6">
        <w:rPr>
          <w:rFonts w:ascii="Gadugi" w:eastAsia="Times New Roman" w:hAnsi="Gadugi" w:cs="Arial"/>
          <w:sz w:val="24"/>
          <w:szCs w:val="24"/>
          <w:lang w:val="es-ES" w:eastAsia="es-ES"/>
        </w:rPr>
        <w:t>s</w:t>
      </w:r>
      <w:r w:rsidRPr="00C379D6">
        <w:rPr>
          <w:rFonts w:ascii="Gadugi" w:eastAsia="Times New Roman" w:hAnsi="Gadugi" w:cs="Arial"/>
          <w:sz w:val="24"/>
          <w:szCs w:val="24"/>
          <w:lang w:val="es-ES" w:eastAsia="es-ES"/>
        </w:rPr>
        <w:t xml:space="preserve"> expidió boleta de detención por parte del Juzgado Promiscuo Municipal con Función de Control de Garantías de Quinchía </w:t>
      </w:r>
      <w:bookmarkEnd w:id="2"/>
      <w:r w:rsidRPr="00C379D6">
        <w:rPr>
          <w:rFonts w:ascii="Gadugi" w:eastAsia="Times New Roman" w:hAnsi="Gadugi" w:cs="Arial"/>
          <w:sz w:val="24"/>
          <w:szCs w:val="24"/>
          <w:lang w:val="es-ES" w:eastAsia="es-ES"/>
        </w:rPr>
        <w:t>desde el 1° de febrero de 2021, en el EPMSC de Anserma Caldas, sin embargo</w:t>
      </w:r>
      <w:r w:rsidR="000D4794" w:rsidRPr="00C379D6">
        <w:rPr>
          <w:rFonts w:ascii="Gadugi" w:eastAsia="Times New Roman" w:hAnsi="Gadugi" w:cs="Arial"/>
          <w:sz w:val="24"/>
          <w:szCs w:val="24"/>
          <w:lang w:val="es-ES" w:eastAsia="es-ES"/>
        </w:rPr>
        <w:t>,</w:t>
      </w:r>
      <w:r w:rsidRPr="00C379D6">
        <w:rPr>
          <w:rFonts w:ascii="Gadugi" w:eastAsia="Times New Roman" w:hAnsi="Gadugi" w:cs="Arial"/>
          <w:sz w:val="24"/>
          <w:szCs w:val="24"/>
          <w:lang w:val="es-ES" w:eastAsia="es-ES"/>
        </w:rPr>
        <w:t xml:space="preserve"> desde hace más de 3 meses se encuentra</w:t>
      </w:r>
      <w:r w:rsidR="000D4794" w:rsidRPr="00C379D6">
        <w:rPr>
          <w:rFonts w:ascii="Gadugi" w:eastAsia="Times New Roman" w:hAnsi="Gadugi" w:cs="Arial"/>
          <w:sz w:val="24"/>
          <w:szCs w:val="24"/>
          <w:lang w:val="es-ES" w:eastAsia="es-ES"/>
        </w:rPr>
        <w:t>n</w:t>
      </w:r>
      <w:r w:rsidRPr="00C379D6">
        <w:rPr>
          <w:rFonts w:ascii="Gadugi" w:eastAsia="Times New Roman" w:hAnsi="Gadugi" w:cs="Arial"/>
          <w:sz w:val="24"/>
          <w:szCs w:val="24"/>
          <w:lang w:val="es-ES" w:eastAsia="es-ES"/>
        </w:rPr>
        <w:t xml:space="preserve"> en la Estación de Policía de Quinchía</w:t>
      </w:r>
      <w:r w:rsidR="00405F59" w:rsidRPr="00C379D6">
        <w:rPr>
          <w:rFonts w:ascii="Gadugi" w:eastAsia="Times New Roman" w:hAnsi="Gadugi" w:cs="Arial"/>
          <w:sz w:val="24"/>
          <w:szCs w:val="24"/>
          <w:lang w:val="es-ES" w:eastAsia="es-ES"/>
        </w:rPr>
        <w:t>.</w:t>
      </w:r>
    </w:p>
    <w:p w14:paraId="2790781B" w14:textId="5860FE54" w:rsidR="000D4794" w:rsidRPr="00C379D6" w:rsidRDefault="000D4794"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5C481271" w14:textId="430BACDA" w:rsidR="000D4794" w:rsidRPr="00C379D6" w:rsidRDefault="000D4794"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(ii) A Jaime Alberto Trujillo Gómez se le expidió boleta de detención por parte del Juzgado Promiscuo Municipal con Función de Control de Garantías de Marsella, desde el 17 de febrero de 2021, en el EPMSC de Pereira, sin embargo, desde hace más de 2 meses se encuentra en la Estación de Policía de Quinchía.</w:t>
      </w:r>
    </w:p>
    <w:p w14:paraId="1C09B169" w14:textId="6C57AF5E" w:rsidR="000D4794" w:rsidRPr="00C379D6" w:rsidRDefault="000D4794"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64E1EA86" w14:textId="1B00AB54" w:rsidR="000D4794" w:rsidRPr="00C379D6" w:rsidRDefault="000D4794"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(iii) A Juan Camilo Valencia Patiño se le expidió boleta de detención por parte del Juzgado Promiscuo Municipal con Función de Control de Garantías de Guática, desde el 21 de enero de 2021, en el EPMSC de Santa Rosa de Cabal, desde hace más de 3 meses se encuentra en la Estación de Policía de Irra.</w:t>
      </w:r>
    </w:p>
    <w:p w14:paraId="03B98026" w14:textId="7E75E1FB" w:rsidR="000D4794" w:rsidRPr="00C379D6" w:rsidRDefault="000D4794"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396B4F1A" w14:textId="5BEB1E7F" w:rsidR="003B034A" w:rsidRPr="00C379D6" w:rsidRDefault="000D4794"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 xml:space="preserve">(iv) </w:t>
      </w:r>
      <w:r w:rsidR="003B034A" w:rsidRPr="00C379D6">
        <w:rPr>
          <w:rFonts w:ascii="Gadugi" w:eastAsia="Times New Roman" w:hAnsi="Gadugi" w:cs="Arial"/>
          <w:sz w:val="24"/>
          <w:szCs w:val="24"/>
          <w:lang w:val="es-ES" w:eastAsia="es-ES"/>
        </w:rPr>
        <w:t xml:space="preserve">A </w:t>
      </w:r>
      <w:r w:rsidRPr="00C379D6">
        <w:rPr>
          <w:rFonts w:ascii="Gadugi" w:eastAsia="Times New Roman" w:hAnsi="Gadugi" w:cs="Arial"/>
          <w:sz w:val="24"/>
          <w:szCs w:val="24"/>
          <w:lang w:val="es-ES" w:eastAsia="es-ES"/>
        </w:rPr>
        <w:t xml:space="preserve">Juan Camilo Cano Marulanda </w:t>
      </w:r>
      <w:r w:rsidR="003B034A" w:rsidRPr="00C379D6">
        <w:rPr>
          <w:rFonts w:ascii="Gadugi" w:eastAsia="Times New Roman" w:hAnsi="Gadugi" w:cs="Arial"/>
          <w:sz w:val="24"/>
          <w:szCs w:val="24"/>
          <w:lang w:val="es-ES" w:eastAsia="es-ES"/>
        </w:rPr>
        <w:t>se le expidió boleta de detención por parte del Juzgado Promiscuo Municipal con Función de Control de Garantías de Quinchía desde el 21 de enero de 2021, en el EPMSC de Anserma – Caldas, desde hace más de 3 meses se encuentra en la Estación de Policía de Quinchía.</w:t>
      </w:r>
    </w:p>
    <w:p w14:paraId="65FDD0E4" w14:textId="5543A41A" w:rsidR="003B034A" w:rsidRPr="00C379D6" w:rsidRDefault="003B034A"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1EFB5B27" w14:textId="085EF927" w:rsidR="003B034A" w:rsidRPr="00C379D6" w:rsidRDefault="003B034A"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 xml:space="preserve">(v) A Jorge Iván López Giraldo se le expidió boleta de detención por parte del Juzgado Promiscuo Municipal con Función de Control de </w:t>
      </w:r>
      <w:r w:rsidRPr="00C379D6">
        <w:rPr>
          <w:rFonts w:ascii="Gadugi" w:eastAsia="Times New Roman" w:hAnsi="Gadugi" w:cs="Arial"/>
          <w:sz w:val="24"/>
          <w:szCs w:val="24"/>
          <w:lang w:val="es-ES" w:eastAsia="es-ES"/>
        </w:rPr>
        <w:lastRenderedPageBreak/>
        <w:t>Garantías de Quinchía desde el 22 de enero de 2021, en el EPMSC de Anserma – Caldas, desde hace más de 3 meses se encuentra en la Estación de Policía de Quinchía.</w:t>
      </w:r>
    </w:p>
    <w:p w14:paraId="3E8906F0" w14:textId="29DC00C0" w:rsidR="003B034A" w:rsidRPr="00C379D6" w:rsidRDefault="003B034A"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78159E3D" w14:textId="4446B08C" w:rsidR="003B034A" w:rsidRPr="00C379D6" w:rsidRDefault="003B034A"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(vi) Cristian Julián Ocampo fue entregado al EPMSC de Anserma – Caldas desde el 7 de abril de 2021.</w:t>
      </w:r>
    </w:p>
    <w:p w14:paraId="31306074" w14:textId="77777777" w:rsidR="004E33BC" w:rsidRPr="00C379D6" w:rsidRDefault="004E33BC" w:rsidP="004E33BC">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2207E6BF" w14:textId="63E152E5" w:rsidR="003B034A" w:rsidRPr="00C379D6" w:rsidRDefault="003B034A"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00405F59" w:rsidRPr="00C379D6">
        <w:rPr>
          <w:rFonts w:ascii="Gadugi" w:eastAsia="Times New Roman" w:hAnsi="Gadugi" w:cs="Arial"/>
          <w:sz w:val="24"/>
          <w:szCs w:val="24"/>
          <w:lang w:val="es-ES" w:eastAsia="es-ES"/>
        </w:rPr>
        <w:t xml:space="preserve">Hizo saber que en esas </w:t>
      </w:r>
      <w:r w:rsidR="00E50774" w:rsidRPr="00C379D6">
        <w:rPr>
          <w:rFonts w:ascii="Gadugi" w:eastAsia="Times New Roman" w:hAnsi="Gadugi" w:cs="Arial"/>
          <w:sz w:val="24"/>
          <w:szCs w:val="24"/>
          <w:lang w:val="es-ES" w:eastAsia="es-ES"/>
        </w:rPr>
        <w:t>e</w:t>
      </w:r>
      <w:r w:rsidR="00405F59" w:rsidRPr="00C379D6">
        <w:rPr>
          <w:rFonts w:ascii="Gadugi" w:eastAsia="Times New Roman" w:hAnsi="Gadugi" w:cs="Arial"/>
          <w:sz w:val="24"/>
          <w:szCs w:val="24"/>
          <w:lang w:val="es-ES" w:eastAsia="es-ES"/>
        </w:rPr>
        <w:t xml:space="preserve">staciones de Policía no se cuenta con las condiciones físicas y sanitarias para la estadía de las PPL, pese a lo cual, y aun cuando se le han elevado solicitudes oficiales, </w:t>
      </w:r>
      <w:r w:rsidR="00E50774" w:rsidRPr="00C379D6">
        <w:rPr>
          <w:rFonts w:ascii="Gadugi" w:eastAsia="Times New Roman" w:hAnsi="Gadugi" w:cs="Arial"/>
          <w:sz w:val="24"/>
          <w:szCs w:val="24"/>
          <w:lang w:val="es-ES" w:eastAsia="es-ES"/>
        </w:rPr>
        <w:t>e</w:t>
      </w:r>
      <w:r w:rsidR="00405F59" w:rsidRPr="00C379D6">
        <w:rPr>
          <w:rFonts w:ascii="Gadugi" w:eastAsia="Times New Roman" w:hAnsi="Gadugi" w:cs="Arial"/>
          <w:sz w:val="24"/>
          <w:szCs w:val="24"/>
          <w:lang w:val="es-ES" w:eastAsia="es-ES"/>
        </w:rPr>
        <w:t>l INPEC se niega a recibirlos en un establecimiento carcelario</w:t>
      </w:r>
      <w:r w:rsidR="005E168D" w:rsidRPr="00C379D6">
        <w:rPr>
          <w:rFonts w:ascii="Gadugi" w:eastAsia="Times New Roman" w:hAnsi="Gadugi" w:cs="Arial"/>
          <w:sz w:val="24"/>
          <w:szCs w:val="24"/>
          <w:lang w:val="es-ES" w:eastAsia="es-ES"/>
        </w:rPr>
        <w:t xml:space="preserve">. Pidió su desvinculación y </w:t>
      </w:r>
      <w:r w:rsidR="008F3498" w:rsidRPr="00C379D6">
        <w:rPr>
          <w:rFonts w:ascii="Gadugi" w:eastAsia="Times New Roman" w:hAnsi="Gadugi" w:cs="Arial"/>
          <w:sz w:val="24"/>
          <w:szCs w:val="24"/>
          <w:lang w:val="es-ES" w:eastAsia="es-ES"/>
        </w:rPr>
        <w:t>ordenarles</w:t>
      </w:r>
      <w:r w:rsidR="005E168D" w:rsidRPr="00C379D6">
        <w:rPr>
          <w:rFonts w:ascii="Gadugi" w:eastAsia="Times New Roman" w:hAnsi="Gadugi" w:cs="Arial"/>
          <w:sz w:val="24"/>
          <w:szCs w:val="24"/>
          <w:lang w:val="es-ES" w:eastAsia="es-ES"/>
        </w:rPr>
        <w:t xml:space="preserve"> a los centros de reclusión, en coordinación con el INPEC regional Viejo Caldas, trasladar a los accionantes a los </w:t>
      </w:r>
      <w:r w:rsidR="00563946" w:rsidRPr="00C379D6">
        <w:rPr>
          <w:rFonts w:ascii="Gadugi" w:eastAsia="Times New Roman" w:hAnsi="Gadugi" w:cs="Arial"/>
          <w:sz w:val="24"/>
          <w:szCs w:val="24"/>
          <w:lang w:val="es-ES" w:eastAsia="es-ES"/>
        </w:rPr>
        <w:t>e</w:t>
      </w:r>
      <w:r w:rsidR="005E168D" w:rsidRPr="00C379D6">
        <w:rPr>
          <w:rFonts w:ascii="Gadugi" w:eastAsia="Times New Roman" w:hAnsi="Gadugi" w:cs="Arial"/>
          <w:sz w:val="24"/>
          <w:szCs w:val="24"/>
          <w:lang w:val="es-ES" w:eastAsia="es-ES"/>
        </w:rPr>
        <w:t>stablecimientos</w:t>
      </w:r>
      <w:r w:rsidR="00563946" w:rsidRPr="00C379D6">
        <w:rPr>
          <w:rFonts w:ascii="Gadugi" w:eastAsia="Times New Roman" w:hAnsi="Gadugi" w:cs="Arial"/>
          <w:sz w:val="24"/>
          <w:szCs w:val="24"/>
          <w:lang w:val="es-ES" w:eastAsia="es-ES"/>
        </w:rPr>
        <w:t xml:space="preserve"> penitenciarios</w:t>
      </w:r>
      <w:r w:rsidR="005E168D" w:rsidRPr="00C379D6">
        <w:rPr>
          <w:rFonts w:ascii="Gadugi" w:eastAsia="Times New Roman" w:hAnsi="Gadugi" w:cs="Arial"/>
          <w:sz w:val="24"/>
          <w:szCs w:val="24"/>
          <w:lang w:val="es-ES" w:eastAsia="es-ES"/>
        </w:rPr>
        <w:t xml:space="preserve"> y </w:t>
      </w:r>
      <w:r w:rsidR="00563946" w:rsidRPr="00C379D6">
        <w:rPr>
          <w:rFonts w:ascii="Gadugi" w:eastAsia="Times New Roman" w:hAnsi="Gadugi" w:cs="Arial"/>
          <w:sz w:val="24"/>
          <w:szCs w:val="24"/>
          <w:lang w:val="es-ES" w:eastAsia="es-ES"/>
        </w:rPr>
        <w:t>c</w:t>
      </w:r>
      <w:r w:rsidR="005E168D" w:rsidRPr="00C379D6">
        <w:rPr>
          <w:rFonts w:ascii="Gadugi" w:eastAsia="Times New Roman" w:hAnsi="Gadugi" w:cs="Arial"/>
          <w:sz w:val="24"/>
          <w:szCs w:val="24"/>
          <w:lang w:val="es-ES" w:eastAsia="es-ES"/>
        </w:rPr>
        <w:t>arcelarios que correspondan.</w:t>
      </w:r>
      <w:r w:rsidR="00F421BC" w:rsidRPr="00C379D6">
        <w:rPr>
          <w:rStyle w:val="Refdenotaalpie"/>
          <w:rFonts w:ascii="Gadugi" w:eastAsia="Times New Roman" w:hAnsi="Gadugi"/>
          <w:sz w:val="24"/>
          <w:szCs w:val="24"/>
          <w:lang w:val="es-ES" w:eastAsia="es-ES"/>
        </w:rPr>
        <w:footnoteReference w:id="5"/>
      </w:r>
      <w:r w:rsidR="005E168D" w:rsidRPr="00C379D6">
        <w:rPr>
          <w:rFonts w:ascii="Gadugi" w:eastAsia="Times New Roman" w:hAnsi="Gadugi" w:cs="Arial"/>
          <w:sz w:val="24"/>
          <w:szCs w:val="24"/>
          <w:lang w:val="es-ES" w:eastAsia="es-ES"/>
        </w:rPr>
        <w:t xml:space="preserve"> </w:t>
      </w:r>
    </w:p>
    <w:p w14:paraId="30CCAD6A" w14:textId="37259054" w:rsidR="005E168D" w:rsidRPr="00C379D6" w:rsidRDefault="005E168D"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371EB1AB" w14:textId="3C8416E7" w:rsidR="005E168D" w:rsidRPr="00C379D6" w:rsidRDefault="005E168D"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00CE1967" w:rsidRPr="00C379D6">
        <w:rPr>
          <w:rFonts w:ascii="Gadugi" w:eastAsia="Times New Roman" w:hAnsi="Gadugi" w:cs="Arial"/>
          <w:sz w:val="24"/>
          <w:szCs w:val="24"/>
          <w:lang w:val="es-ES" w:eastAsia="es-ES"/>
        </w:rPr>
        <w:t xml:space="preserve">1.5. </w:t>
      </w:r>
      <w:r w:rsidRPr="00C379D6">
        <w:rPr>
          <w:rFonts w:ascii="Gadugi" w:eastAsia="Times New Roman" w:hAnsi="Gadugi" w:cs="Arial"/>
          <w:sz w:val="24"/>
          <w:szCs w:val="24"/>
          <w:lang w:val="es-ES" w:eastAsia="es-ES"/>
        </w:rPr>
        <w:t xml:space="preserve">La Alcaldía de </w:t>
      </w:r>
      <w:r w:rsidR="00416B70" w:rsidRPr="00C379D6">
        <w:rPr>
          <w:rFonts w:ascii="Gadugi" w:eastAsia="Times New Roman" w:hAnsi="Gadugi" w:cs="Arial"/>
          <w:sz w:val="24"/>
          <w:szCs w:val="24"/>
          <w:lang w:val="es-ES" w:eastAsia="es-ES"/>
        </w:rPr>
        <w:t xml:space="preserve">Quinchía coadyuvó las peticiones de la demanda </w:t>
      </w:r>
      <w:r w:rsidR="00084A9F" w:rsidRPr="00C379D6">
        <w:rPr>
          <w:rFonts w:ascii="Gadugi" w:eastAsia="Times New Roman" w:hAnsi="Gadugi" w:cs="Arial"/>
          <w:i/>
          <w:sz w:val="24"/>
          <w:szCs w:val="24"/>
          <w:lang w:val="es-ES" w:eastAsia="es-ES"/>
        </w:rPr>
        <w:t>“</w:t>
      </w:r>
      <w:r w:rsidR="00084A9F" w:rsidRPr="008F3498">
        <w:rPr>
          <w:rFonts w:ascii="Gadugi" w:eastAsia="Times New Roman" w:hAnsi="Gadugi" w:cs="Arial"/>
          <w:i/>
          <w:szCs w:val="24"/>
          <w:lang w:val="es-ES" w:eastAsia="es-ES"/>
        </w:rPr>
        <w:t>(…) en razón a que es competencia funcional del INPEC adoptar las medidas necesarias para albergar a los detenidos preventivamente y condenados por violación de las disposiciones penales pertinentes, y en el caso que nos ocupa, todos las PPL están sumariadas por delitos y no por contravenciones</w:t>
      </w:r>
      <w:r w:rsidR="00084A9F" w:rsidRPr="00C379D6">
        <w:rPr>
          <w:rFonts w:ascii="Gadugi" w:eastAsia="Times New Roman" w:hAnsi="Gadugi" w:cs="Arial"/>
          <w:i/>
          <w:sz w:val="24"/>
          <w:szCs w:val="24"/>
          <w:lang w:val="es-ES" w:eastAsia="es-ES"/>
        </w:rPr>
        <w:t>.”</w:t>
      </w:r>
      <w:r w:rsidR="00F421BC" w:rsidRPr="00C379D6">
        <w:rPr>
          <w:rStyle w:val="Refdenotaalpie"/>
          <w:rFonts w:ascii="Gadugi" w:eastAsia="Times New Roman" w:hAnsi="Gadugi"/>
          <w:i/>
          <w:sz w:val="24"/>
          <w:szCs w:val="24"/>
          <w:lang w:val="es-ES" w:eastAsia="es-ES"/>
        </w:rPr>
        <w:footnoteReference w:id="6"/>
      </w:r>
    </w:p>
    <w:p w14:paraId="68B4C976" w14:textId="34E7304F" w:rsidR="00E766F3" w:rsidRPr="00C379D6" w:rsidRDefault="00E766F3"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24352393" w14:textId="0EDD333F" w:rsidR="00084A9F" w:rsidRPr="00C379D6" w:rsidRDefault="00084A9F" w:rsidP="00C379D6">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00CE1967" w:rsidRPr="00C379D6">
        <w:rPr>
          <w:rFonts w:ascii="Gadugi" w:eastAsia="Times New Roman" w:hAnsi="Gadugi" w:cs="Arial"/>
          <w:sz w:val="24"/>
          <w:szCs w:val="24"/>
          <w:lang w:val="es-ES" w:eastAsia="es-ES"/>
        </w:rPr>
        <w:t xml:space="preserve">1.6. </w:t>
      </w:r>
      <w:r w:rsidRPr="00C379D6">
        <w:rPr>
          <w:rFonts w:ascii="Gadugi" w:eastAsia="Times New Roman" w:hAnsi="Gadugi" w:cs="Arial"/>
          <w:sz w:val="24"/>
          <w:szCs w:val="24"/>
          <w:lang w:val="es-ES" w:eastAsia="es-ES"/>
        </w:rPr>
        <w:t xml:space="preserve">La Defensoría del Pueblo de Risaralda, pidió ser desvinculada pues no es el </w:t>
      </w:r>
      <w:r w:rsidRPr="00C379D6">
        <w:rPr>
          <w:rFonts w:ascii="Gadugi" w:eastAsia="Times New Roman" w:hAnsi="Gadugi" w:cs="Arial"/>
          <w:i/>
          <w:sz w:val="24"/>
          <w:szCs w:val="24"/>
          <w:lang w:val="es-ES" w:eastAsia="es-ES"/>
        </w:rPr>
        <w:t>“</w:t>
      </w:r>
      <w:r w:rsidRPr="0023762B">
        <w:rPr>
          <w:rFonts w:ascii="Gadugi" w:eastAsia="Times New Roman" w:hAnsi="Gadugi" w:cs="Arial"/>
          <w:i/>
          <w:szCs w:val="24"/>
          <w:lang w:val="es-ES" w:eastAsia="es-ES"/>
        </w:rPr>
        <w:t>(…) organismo competente para adelantar las pretensiones del accionante</w:t>
      </w:r>
      <w:r w:rsidRPr="00C379D6">
        <w:rPr>
          <w:rFonts w:ascii="Gadugi" w:eastAsia="Times New Roman" w:hAnsi="Gadugi" w:cs="Arial"/>
          <w:i/>
          <w:sz w:val="24"/>
          <w:szCs w:val="24"/>
          <w:lang w:val="es-ES" w:eastAsia="es-ES"/>
        </w:rPr>
        <w:t>”.</w:t>
      </w:r>
      <w:r w:rsidR="00F421BC" w:rsidRPr="00C379D6">
        <w:rPr>
          <w:rStyle w:val="Refdenotaalpie"/>
          <w:rFonts w:ascii="Gadugi" w:eastAsia="Times New Roman" w:hAnsi="Gadugi"/>
          <w:i/>
          <w:sz w:val="24"/>
          <w:szCs w:val="24"/>
          <w:lang w:val="es-ES" w:eastAsia="es-ES"/>
        </w:rPr>
        <w:footnoteReference w:id="7"/>
      </w:r>
    </w:p>
    <w:p w14:paraId="75B27AC5" w14:textId="5B1CCC4E" w:rsidR="00084A9F" w:rsidRPr="00C379D6" w:rsidRDefault="00084A9F" w:rsidP="00C379D6">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ES" w:eastAsia="es-ES"/>
        </w:rPr>
      </w:pPr>
    </w:p>
    <w:p w14:paraId="7AD6A62C" w14:textId="5B875EB3" w:rsidR="00084A9F" w:rsidRPr="00C379D6" w:rsidRDefault="00084A9F"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i/>
          <w:sz w:val="24"/>
          <w:szCs w:val="24"/>
          <w:lang w:val="es-ES" w:eastAsia="es-ES"/>
        </w:rPr>
        <w:tab/>
      </w:r>
      <w:r w:rsidRPr="00C379D6">
        <w:rPr>
          <w:rFonts w:ascii="Gadugi" w:eastAsia="Times New Roman" w:hAnsi="Gadugi" w:cs="Arial"/>
          <w:i/>
          <w:sz w:val="24"/>
          <w:szCs w:val="24"/>
          <w:lang w:val="es-ES" w:eastAsia="es-ES"/>
        </w:rPr>
        <w:tab/>
      </w:r>
      <w:r w:rsidRPr="00C379D6">
        <w:rPr>
          <w:rFonts w:ascii="Gadugi" w:eastAsia="Times New Roman" w:hAnsi="Gadugi" w:cs="Arial"/>
          <w:i/>
          <w:sz w:val="24"/>
          <w:szCs w:val="24"/>
          <w:lang w:val="es-ES" w:eastAsia="es-ES"/>
        </w:rPr>
        <w:tab/>
      </w:r>
      <w:r w:rsidRPr="00C379D6">
        <w:rPr>
          <w:rFonts w:ascii="Gadugi" w:eastAsia="Times New Roman" w:hAnsi="Gadugi" w:cs="Arial"/>
          <w:i/>
          <w:sz w:val="24"/>
          <w:szCs w:val="24"/>
          <w:lang w:val="es-ES" w:eastAsia="es-ES"/>
        </w:rPr>
        <w:tab/>
      </w:r>
      <w:r w:rsidR="00CE1967" w:rsidRPr="00C379D6">
        <w:rPr>
          <w:rFonts w:ascii="Gadugi" w:eastAsia="Times New Roman" w:hAnsi="Gadugi" w:cs="Arial"/>
          <w:sz w:val="24"/>
          <w:szCs w:val="24"/>
          <w:lang w:val="es-ES" w:eastAsia="es-ES"/>
        </w:rPr>
        <w:t>1.7.</w:t>
      </w:r>
      <w:r w:rsidR="00CE1967" w:rsidRPr="00C379D6">
        <w:rPr>
          <w:rFonts w:ascii="Gadugi" w:eastAsia="Times New Roman" w:hAnsi="Gadugi" w:cs="Arial"/>
          <w:i/>
          <w:sz w:val="24"/>
          <w:szCs w:val="24"/>
          <w:lang w:val="es-ES" w:eastAsia="es-ES"/>
        </w:rPr>
        <w:t xml:space="preserve"> </w:t>
      </w:r>
      <w:r w:rsidR="00563946" w:rsidRPr="00C379D6">
        <w:rPr>
          <w:rFonts w:ascii="Gadugi" w:eastAsia="Times New Roman" w:hAnsi="Gadugi" w:cs="Arial"/>
          <w:sz w:val="24"/>
          <w:szCs w:val="24"/>
          <w:lang w:val="es-ES" w:eastAsia="es-ES"/>
        </w:rPr>
        <w:t xml:space="preserve">Sobrevino la sentencia de primer grado que, al advertir vulneradas las garantías constitucionales de los accionantes, concedió la protección y </w:t>
      </w:r>
      <w:r w:rsidR="00D34A75" w:rsidRPr="00C379D6">
        <w:rPr>
          <w:rFonts w:ascii="Gadugi" w:eastAsia="Times New Roman" w:hAnsi="Gadugi" w:cs="Arial"/>
          <w:sz w:val="24"/>
          <w:szCs w:val="24"/>
          <w:lang w:val="es-ES" w:eastAsia="es-ES"/>
        </w:rPr>
        <w:t>dispuso</w:t>
      </w:r>
      <w:r w:rsidR="00563946" w:rsidRPr="00C379D6">
        <w:rPr>
          <w:rFonts w:ascii="Gadugi" w:eastAsia="Times New Roman" w:hAnsi="Gadugi" w:cs="Arial"/>
          <w:sz w:val="24"/>
          <w:szCs w:val="24"/>
          <w:lang w:val="es-ES" w:eastAsia="es-ES"/>
        </w:rPr>
        <w:t xml:space="preserve"> lo siguiente:</w:t>
      </w:r>
    </w:p>
    <w:p w14:paraId="7CD8D6F2" w14:textId="25BB0CE8" w:rsidR="00D34A75" w:rsidRPr="00C379D6" w:rsidRDefault="00D34A75"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174BEB23" w14:textId="64DF8E5C" w:rsidR="00D34A75" w:rsidRPr="0023762B" w:rsidRDefault="00D34A75" w:rsidP="0023762B">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23762B">
        <w:rPr>
          <w:rFonts w:ascii="Gadugi" w:eastAsia="Times New Roman" w:hAnsi="Gadugi" w:cs="Arial"/>
          <w:szCs w:val="24"/>
          <w:lang w:val="es-ES" w:eastAsia="es-ES"/>
        </w:rPr>
        <w:t xml:space="preserve">Segundo: Ordenar a la Dirección General del Instituto Penitenciario y Carcelario INPEC, a cargo del Mayor General Mariano de la Cruz Botero Coy o quien haga sus veces, y a la Dirección Regional del INPEC del Viejo Caldas, en cabeza de la Coronel Clarahibel Idrobo Morales o quien haga sus veces, que en el término máximo e improrrogable de 2 días, contados a partir de la notificación de esta providencia, adelanten los trámites necesarios y procedan al traslado de los señores Edwin Zapata Díaz, Anderson López Morales, Jorge Iván López Giraldo, Jaime Alberto Trujillo Gómez, Juan Camilo Valencia Patiño y Juan Camilo Cano Marulanda a establecimientos penitenciarios y carcelarios de esta región, de acuerdo con el procedimiento adoptado para el efecto y con observancia de los reglamentos internos y protocolos de bioseguridad establecidos por esa Institución y demás normas pertinentes y concordantes. </w:t>
      </w:r>
    </w:p>
    <w:p w14:paraId="47D048C4" w14:textId="1C8451C2" w:rsidR="00D34A75" w:rsidRPr="0023762B" w:rsidRDefault="00D34A75" w:rsidP="0023762B">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ES" w:eastAsia="es-ES"/>
        </w:rPr>
      </w:pPr>
    </w:p>
    <w:p w14:paraId="2328D7C7" w14:textId="6BFEB6CA" w:rsidR="00D34A75" w:rsidRPr="0023762B" w:rsidRDefault="00D34A75" w:rsidP="0023762B">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ES" w:eastAsia="es-ES"/>
        </w:rPr>
      </w:pPr>
      <w:r w:rsidRPr="0023762B">
        <w:rPr>
          <w:rFonts w:ascii="Gadugi" w:eastAsia="Times New Roman" w:hAnsi="Gadugi" w:cs="Arial"/>
          <w:szCs w:val="24"/>
          <w:lang w:val="es-ES" w:eastAsia="es-ES"/>
        </w:rPr>
        <w:tab/>
      </w:r>
      <w:r w:rsidRPr="0023762B">
        <w:rPr>
          <w:rFonts w:ascii="Gadugi" w:eastAsia="Times New Roman" w:hAnsi="Gadugi" w:cs="Arial"/>
          <w:szCs w:val="24"/>
          <w:lang w:val="es-ES" w:eastAsia="es-ES"/>
        </w:rPr>
        <w:tab/>
      </w:r>
      <w:r w:rsidRPr="0023762B">
        <w:rPr>
          <w:rFonts w:ascii="Gadugi" w:eastAsia="Times New Roman" w:hAnsi="Gadugi" w:cs="Arial"/>
          <w:szCs w:val="24"/>
          <w:lang w:val="es-ES" w:eastAsia="es-ES"/>
        </w:rPr>
        <w:tab/>
      </w:r>
      <w:r w:rsidRPr="0023762B">
        <w:rPr>
          <w:rFonts w:ascii="Gadugi" w:eastAsia="Times New Roman" w:hAnsi="Gadugi" w:cs="Arial"/>
          <w:szCs w:val="24"/>
          <w:lang w:val="es-ES" w:eastAsia="es-ES"/>
        </w:rPr>
        <w:tab/>
        <w:t xml:space="preserve">Tercero: Ordenar a la Defensoría del Pueblo Regional Risaralda, en cabeza del Dr. Ricardo Andrés Toro Quintero o quien haga sus veces, que a través de sus defensores púbicos verifique la situación jurídica de los </w:t>
      </w:r>
      <w:r w:rsidRPr="0023762B">
        <w:rPr>
          <w:rFonts w:ascii="Gadugi" w:eastAsia="Times New Roman" w:hAnsi="Gadugi" w:cs="Arial"/>
          <w:szCs w:val="24"/>
          <w:lang w:val="es-ES" w:eastAsia="es-ES"/>
        </w:rPr>
        <w:lastRenderedPageBreak/>
        <w:t>ciudadanos Edwin Zapata Díaz, Anderson López Morales, Jorge Iván López Giraldo, Jaime Alberto Trujillo Gómez, Juan Camilo Valencia Patiño y Juan Camilo Cano Marulanda para establecer si pueden ser beneficiarios de la sustitución de la medida de aseguramiento, la prisión o detención domiciliaria o si reúnen las condiciones establecidas por el Decreto Legislativo 546 de 2020.</w:t>
      </w:r>
    </w:p>
    <w:p w14:paraId="25B75128" w14:textId="04B1230F" w:rsidR="00D34A75" w:rsidRPr="0023762B" w:rsidRDefault="00D34A75" w:rsidP="0023762B">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ES" w:eastAsia="es-ES"/>
        </w:rPr>
      </w:pPr>
    </w:p>
    <w:p w14:paraId="13EAF806" w14:textId="365603B4" w:rsidR="00D34A75" w:rsidRPr="0023762B" w:rsidRDefault="00D34A75" w:rsidP="0023762B">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ES" w:eastAsia="es-ES"/>
        </w:rPr>
      </w:pPr>
      <w:r w:rsidRPr="0023762B">
        <w:rPr>
          <w:rFonts w:ascii="Gadugi" w:eastAsia="Times New Roman" w:hAnsi="Gadugi" w:cs="Arial"/>
          <w:szCs w:val="24"/>
          <w:lang w:val="es-ES" w:eastAsia="es-ES"/>
        </w:rPr>
        <w:tab/>
      </w:r>
      <w:r w:rsidRPr="0023762B">
        <w:rPr>
          <w:rFonts w:ascii="Gadugi" w:eastAsia="Times New Roman" w:hAnsi="Gadugi" w:cs="Arial"/>
          <w:szCs w:val="24"/>
          <w:lang w:val="es-ES" w:eastAsia="es-ES"/>
        </w:rPr>
        <w:tab/>
      </w:r>
      <w:r w:rsidRPr="0023762B">
        <w:rPr>
          <w:rFonts w:ascii="Gadugi" w:eastAsia="Times New Roman" w:hAnsi="Gadugi" w:cs="Arial"/>
          <w:szCs w:val="24"/>
          <w:lang w:val="es-ES" w:eastAsia="es-ES"/>
        </w:rPr>
        <w:tab/>
      </w:r>
      <w:r w:rsidRPr="0023762B">
        <w:rPr>
          <w:rFonts w:ascii="Gadugi" w:eastAsia="Times New Roman" w:hAnsi="Gadugi" w:cs="Arial"/>
          <w:szCs w:val="24"/>
          <w:lang w:val="es-ES" w:eastAsia="es-ES"/>
        </w:rPr>
        <w:tab/>
        <w:t>Cuarto: Requerir a la Alcaldía de Quinchía, en cabeza del Dr. Absalón Trejos Arias, para que cumpla con sus obligaciones legales frente a la población privada de la libertad y a la Personería Municipal de Quinchía, en cabeza de la Dra. Gloria Eunice Palacio Cano o quien haga sus veces, la Defensoría Regional del Pueblo de Risaralda, a cargo del Dr. Ricardo Andrés Toro Quintero o quien haga sus veces y la Procuraduría Regional de Risaralda, en cabeza del Dr. Mauricio Alberto Sossa García o quien haga sus veces, para que hagan seguimiento a estas responsabilidades.</w:t>
      </w:r>
      <w:r w:rsidR="00F421BC" w:rsidRPr="0023762B">
        <w:rPr>
          <w:rStyle w:val="Refdenotaalpie"/>
          <w:rFonts w:ascii="Gadugi" w:eastAsia="Times New Roman" w:hAnsi="Gadugi"/>
          <w:szCs w:val="24"/>
          <w:lang w:val="es-ES" w:eastAsia="es-ES"/>
        </w:rPr>
        <w:footnoteReference w:id="8"/>
      </w:r>
    </w:p>
    <w:p w14:paraId="67589E3D" w14:textId="4DBB71EF" w:rsidR="00563946" w:rsidRPr="00C379D6" w:rsidRDefault="00563946"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2B0ECD9E" w14:textId="79284033" w:rsidR="00563946" w:rsidRPr="00C379D6" w:rsidRDefault="00563946" w:rsidP="00C379D6">
      <w:pPr>
        <w:tabs>
          <w:tab w:val="left" w:pos="708"/>
          <w:tab w:val="left" w:pos="1416"/>
          <w:tab w:val="left" w:pos="2124"/>
          <w:tab w:val="left" w:pos="2832"/>
          <w:tab w:val="left" w:pos="3540"/>
          <w:tab w:val="left" w:pos="4248"/>
          <w:tab w:val="left" w:pos="4956"/>
          <w:tab w:val="left" w:pos="6570"/>
        </w:tabs>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00CE1967" w:rsidRPr="00C379D6">
        <w:rPr>
          <w:rFonts w:ascii="Gadugi" w:eastAsia="Times New Roman" w:hAnsi="Gadugi" w:cs="Arial"/>
          <w:sz w:val="24"/>
          <w:szCs w:val="24"/>
          <w:lang w:val="es-ES" w:eastAsia="es-ES"/>
        </w:rPr>
        <w:t xml:space="preserve">1.8. </w:t>
      </w:r>
      <w:r w:rsidR="00F5013B" w:rsidRPr="00C379D6">
        <w:rPr>
          <w:rFonts w:ascii="Gadugi" w:eastAsia="Times New Roman" w:hAnsi="Gadugi" w:cs="Arial"/>
          <w:sz w:val="24"/>
          <w:szCs w:val="24"/>
          <w:lang w:val="es-ES" w:eastAsia="es-ES"/>
        </w:rPr>
        <w:t xml:space="preserve">Impugnó la Dirección General del INPEC, </w:t>
      </w:r>
      <w:r w:rsidR="00E50774" w:rsidRPr="00C379D6">
        <w:rPr>
          <w:rFonts w:ascii="Gadugi" w:eastAsia="Times New Roman" w:hAnsi="Gadugi" w:cs="Arial"/>
          <w:sz w:val="24"/>
          <w:szCs w:val="24"/>
          <w:lang w:val="es-ES" w:eastAsia="es-ES"/>
        </w:rPr>
        <w:t>que solicita</w:t>
      </w:r>
      <w:r w:rsidR="00F5013B" w:rsidRPr="00C379D6">
        <w:rPr>
          <w:rFonts w:ascii="Gadugi" w:eastAsia="Times New Roman" w:hAnsi="Gadugi" w:cs="Arial"/>
          <w:sz w:val="24"/>
          <w:szCs w:val="24"/>
          <w:lang w:val="es-ES" w:eastAsia="es-ES"/>
        </w:rPr>
        <w:t xml:space="preserve"> revocar el fallo, “</w:t>
      </w:r>
      <w:r w:rsidR="00F5013B" w:rsidRPr="0023762B">
        <w:rPr>
          <w:rFonts w:ascii="Gadugi" w:eastAsia="Times New Roman" w:hAnsi="Gadugi" w:cs="Arial"/>
          <w:i/>
          <w:szCs w:val="24"/>
          <w:lang w:val="es-ES" w:eastAsia="es-ES"/>
        </w:rPr>
        <w:t>(…) al no estar legitimado por pasiva en el presente tramite tutelar, como quiera que no se ha vulnerado ningún derecho de rango fundamental y en su caso la competencia para atender a las personas detenidas preventivamente, le corresponde al departamento y a los municipios quienes deberán construir sus propias cárceles municipales bajo su estricto control atención y manejo</w:t>
      </w:r>
      <w:r w:rsidR="00F5013B" w:rsidRPr="00C379D6">
        <w:rPr>
          <w:rFonts w:ascii="Gadugi" w:eastAsia="Times New Roman" w:hAnsi="Gadugi" w:cs="Arial"/>
          <w:i/>
          <w:sz w:val="24"/>
          <w:szCs w:val="24"/>
          <w:lang w:val="es-ES" w:eastAsia="es-ES"/>
        </w:rPr>
        <w:t>”</w:t>
      </w:r>
      <w:r w:rsidR="00E50774" w:rsidRPr="00C379D6">
        <w:rPr>
          <w:rFonts w:ascii="Gadugi" w:eastAsia="Times New Roman" w:hAnsi="Gadugi" w:cs="Arial"/>
          <w:i/>
          <w:sz w:val="24"/>
          <w:szCs w:val="24"/>
          <w:lang w:val="es-ES" w:eastAsia="es-ES"/>
        </w:rPr>
        <w:t xml:space="preserve">. </w:t>
      </w:r>
      <w:r w:rsidR="00E50774" w:rsidRPr="00C379D6">
        <w:rPr>
          <w:rFonts w:ascii="Gadugi" w:eastAsia="Times New Roman" w:hAnsi="Gadugi" w:cs="Arial"/>
          <w:sz w:val="24"/>
          <w:szCs w:val="24"/>
          <w:lang w:val="es-ES" w:eastAsia="es-ES"/>
        </w:rPr>
        <w:t>D</w:t>
      </w:r>
      <w:r w:rsidR="00F5013B" w:rsidRPr="00C379D6">
        <w:rPr>
          <w:rFonts w:ascii="Gadugi" w:eastAsia="Times New Roman" w:hAnsi="Gadugi" w:cs="Arial"/>
          <w:sz w:val="24"/>
          <w:szCs w:val="24"/>
          <w:lang w:val="es-ES" w:eastAsia="es-ES"/>
        </w:rPr>
        <w:t>ijo que el trámite está viciado de nulidad, pues no fueron vinculados los entes territoriales encargados de cumplir con las pretensiones de la tutela.</w:t>
      </w:r>
      <w:r w:rsidR="00F421BC" w:rsidRPr="00C379D6">
        <w:rPr>
          <w:rStyle w:val="Refdenotaalpie"/>
          <w:rFonts w:ascii="Gadugi" w:eastAsia="Times New Roman" w:hAnsi="Gadugi"/>
          <w:sz w:val="24"/>
          <w:szCs w:val="24"/>
          <w:lang w:val="es-ES" w:eastAsia="es-ES"/>
        </w:rPr>
        <w:footnoteReference w:id="9"/>
      </w:r>
      <w:r w:rsidR="00F5013B" w:rsidRPr="00C379D6">
        <w:rPr>
          <w:rFonts w:ascii="Gadugi" w:eastAsia="Times New Roman" w:hAnsi="Gadugi" w:cs="Arial"/>
          <w:sz w:val="24"/>
          <w:szCs w:val="24"/>
          <w:lang w:val="es-ES" w:eastAsia="es-ES"/>
        </w:rPr>
        <w:t xml:space="preserve"> </w:t>
      </w:r>
    </w:p>
    <w:p w14:paraId="69D00FAD" w14:textId="77777777" w:rsidR="00F5013B" w:rsidRPr="00C379D6" w:rsidRDefault="00F5013B" w:rsidP="00C379D6">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ES" w:eastAsia="es-ES"/>
        </w:rPr>
      </w:pPr>
    </w:p>
    <w:p w14:paraId="63294923" w14:textId="7F75F0BE" w:rsidR="009878FF" w:rsidRPr="00C379D6" w:rsidRDefault="00F5013B"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i/>
          <w:sz w:val="24"/>
          <w:szCs w:val="24"/>
          <w:lang w:val="es-ES" w:eastAsia="es-ES"/>
        </w:rPr>
        <w:tab/>
      </w:r>
      <w:r w:rsidRPr="00C379D6">
        <w:rPr>
          <w:rFonts w:ascii="Gadugi" w:eastAsia="Times New Roman" w:hAnsi="Gadugi" w:cs="Arial"/>
          <w:i/>
          <w:sz w:val="24"/>
          <w:szCs w:val="24"/>
          <w:lang w:val="es-ES" w:eastAsia="es-ES"/>
        </w:rPr>
        <w:tab/>
      </w:r>
      <w:r w:rsidRPr="00C379D6">
        <w:rPr>
          <w:rFonts w:ascii="Gadugi" w:eastAsia="Times New Roman" w:hAnsi="Gadugi" w:cs="Arial"/>
          <w:i/>
          <w:sz w:val="24"/>
          <w:szCs w:val="24"/>
          <w:lang w:val="es-ES" w:eastAsia="es-ES"/>
        </w:rPr>
        <w:tab/>
      </w:r>
      <w:r w:rsidRPr="00C379D6">
        <w:rPr>
          <w:rFonts w:ascii="Gadugi" w:eastAsia="Times New Roman" w:hAnsi="Gadugi" w:cs="Arial"/>
          <w:i/>
          <w:sz w:val="24"/>
          <w:szCs w:val="24"/>
          <w:lang w:val="es-ES" w:eastAsia="es-ES"/>
        </w:rPr>
        <w:tab/>
      </w:r>
      <w:r w:rsidR="00CE1967" w:rsidRPr="00C379D6">
        <w:rPr>
          <w:rFonts w:ascii="Gadugi" w:eastAsia="Times New Roman" w:hAnsi="Gadugi" w:cs="Arial"/>
          <w:sz w:val="24"/>
          <w:szCs w:val="24"/>
          <w:lang w:val="es-ES" w:eastAsia="es-ES"/>
        </w:rPr>
        <w:t xml:space="preserve">1.9. </w:t>
      </w:r>
      <w:r w:rsidRPr="00C379D6">
        <w:rPr>
          <w:rFonts w:ascii="Gadugi" w:eastAsia="Times New Roman" w:hAnsi="Gadugi" w:cs="Arial"/>
          <w:sz w:val="24"/>
          <w:szCs w:val="24"/>
          <w:lang w:val="es-ES" w:eastAsia="es-ES"/>
        </w:rPr>
        <w:t>La Defensoría del Pueblo de Risaralda</w:t>
      </w:r>
      <w:r w:rsidR="009878FF" w:rsidRPr="00C379D6">
        <w:rPr>
          <w:rFonts w:ascii="Gadugi" w:eastAsia="Times New Roman" w:hAnsi="Gadugi" w:cs="Arial"/>
          <w:sz w:val="24"/>
          <w:szCs w:val="24"/>
          <w:lang w:val="es-ES" w:eastAsia="es-ES"/>
        </w:rPr>
        <w:t xml:space="preserve">, indicó que </w:t>
      </w:r>
      <w:r w:rsidR="00C82FEF" w:rsidRPr="00C379D6">
        <w:rPr>
          <w:rFonts w:ascii="Gadugi" w:eastAsia="Times New Roman" w:hAnsi="Gadugi" w:cs="Arial"/>
          <w:sz w:val="24"/>
          <w:szCs w:val="24"/>
          <w:lang w:val="es-ES" w:eastAsia="es-ES"/>
        </w:rPr>
        <w:t xml:space="preserve">llevó a cabo una entrevista con el Comandante de </w:t>
      </w:r>
      <w:r w:rsidR="009878FF" w:rsidRPr="00C379D6">
        <w:rPr>
          <w:rFonts w:ascii="Gadugi" w:eastAsia="Times New Roman" w:hAnsi="Gadugi" w:cs="Arial"/>
          <w:sz w:val="24"/>
          <w:szCs w:val="24"/>
          <w:lang w:val="es-ES" w:eastAsia="es-ES"/>
        </w:rPr>
        <w:t>la Estación de Policía de Quinchía, respecto de la cual</w:t>
      </w:r>
      <w:r w:rsidR="00C82FEF" w:rsidRPr="00C379D6">
        <w:rPr>
          <w:rFonts w:ascii="Gadugi" w:eastAsia="Times New Roman" w:hAnsi="Gadugi" w:cs="Arial"/>
          <w:sz w:val="24"/>
          <w:szCs w:val="24"/>
          <w:lang w:val="es-ES" w:eastAsia="es-ES"/>
        </w:rPr>
        <w:t>,</w:t>
      </w:r>
      <w:r w:rsidR="009878FF" w:rsidRPr="00C379D6">
        <w:rPr>
          <w:rFonts w:ascii="Gadugi" w:eastAsia="Times New Roman" w:hAnsi="Gadugi" w:cs="Arial"/>
          <w:sz w:val="24"/>
          <w:szCs w:val="24"/>
          <w:lang w:val="es-ES" w:eastAsia="es-ES"/>
        </w:rPr>
        <w:t xml:space="preserve"> presentó un informe en los siguientes términos:</w:t>
      </w:r>
    </w:p>
    <w:p w14:paraId="71267C7F" w14:textId="6C830341" w:rsidR="009878FF" w:rsidRPr="00C379D6" w:rsidRDefault="009878FF"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7920BCD6" w14:textId="514E8347" w:rsidR="009878FF" w:rsidRPr="00C379D6" w:rsidRDefault="009878FF" w:rsidP="00C379D6">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 xml:space="preserve">(i) Edwin Zapata Díaz </w:t>
      </w:r>
      <w:r w:rsidRPr="00C379D6">
        <w:rPr>
          <w:rFonts w:ascii="Gadugi" w:eastAsia="Times New Roman" w:hAnsi="Gadugi" w:cs="Arial"/>
          <w:i/>
          <w:sz w:val="24"/>
          <w:szCs w:val="24"/>
          <w:lang w:val="es-ES" w:eastAsia="es-ES"/>
        </w:rPr>
        <w:t>“</w:t>
      </w:r>
      <w:r w:rsidRPr="0023762B">
        <w:rPr>
          <w:rFonts w:ascii="Gadugi" w:eastAsia="Times New Roman" w:hAnsi="Gadugi" w:cs="Arial"/>
          <w:i/>
          <w:szCs w:val="24"/>
          <w:lang w:val="es-ES" w:eastAsia="es-ES"/>
        </w:rPr>
        <w:t>es susceptible de medida domiciliaria, y ya se encuentra gozando de este beneficio</w:t>
      </w:r>
      <w:r w:rsidRPr="00C379D6">
        <w:rPr>
          <w:rFonts w:ascii="Gadugi" w:eastAsia="Times New Roman" w:hAnsi="Gadugi" w:cs="Arial"/>
          <w:i/>
          <w:sz w:val="24"/>
          <w:szCs w:val="24"/>
          <w:lang w:val="es-ES" w:eastAsia="es-ES"/>
        </w:rPr>
        <w:t>”.</w:t>
      </w:r>
    </w:p>
    <w:p w14:paraId="4C0F245E" w14:textId="008392D4" w:rsidR="009878FF" w:rsidRPr="00C379D6" w:rsidRDefault="009878FF"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52A48D6E" w14:textId="317C3840" w:rsidR="009878FF" w:rsidRPr="00C379D6" w:rsidRDefault="009878FF" w:rsidP="00C379D6">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 xml:space="preserve">(ii) Anderson López Morales </w:t>
      </w:r>
      <w:r w:rsidRPr="00C379D6">
        <w:rPr>
          <w:rFonts w:ascii="Gadugi" w:eastAsia="Times New Roman" w:hAnsi="Gadugi" w:cs="Arial"/>
          <w:i/>
          <w:sz w:val="24"/>
          <w:szCs w:val="24"/>
          <w:lang w:val="es-ES" w:eastAsia="es-ES"/>
        </w:rPr>
        <w:t>“</w:t>
      </w:r>
      <w:r w:rsidRPr="0023762B">
        <w:rPr>
          <w:rFonts w:ascii="Gadugi" w:eastAsia="Times New Roman" w:hAnsi="Gadugi" w:cs="Arial"/>
          <w:i/>
          <w:szCs w:val="24"/>
          <w:lang w:val="es-ES" w:eastAsia="es-ES"/>
        </w:rPr>
        <w:t>no es susceptible de medida domiciliaria porque posee antecedentes en los últimos 5 años</w:t>
      </w:r>
      <w:r w:rsidRPr="00C379D6">
        <w:rPr>
          <w:rFonts w:ascii="Gadugi" w:eastAsia="Times New Roman" w:hAnsi="Gadugi" w:cs="Arial"/>
          <w:i/>
          <w:sz w:val="24"/>
          <w:szCs w:val="24"/>
          <w:lang w:val="es-ES" w:eastAsia="es-ES"/>
        </w:rPr>
        <w:t>”.</w:t>
      </w:r>
    </w:p>
    <w:p w14:paraId="0586AD12" w14:textId="1AAA3966" w:rsidR="009878FF" w:rsidRPr="00C379D6" w:rsidRDefault="009878FF" w:rsidP="00C379D6">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ES" w:eastAsia="es-ES"/>
        </w:rPr>
      </w:pPr>
    </w:p>
    <w:p w14:paraId="0F68B7D4" w14:textId="2FF3DB02" w:rsidR="009878FF" w:rsidRPr="00C379D6" w:rsidRDefault="009878FF" w:rsidP="00C379D6">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ES" w:eastAsia="es-ES"/>
        </w:rPr>
      </w:pPr>
      <w:r w:rsidRPr="00C379D6">
        <w:rPr>
          <w:rFonts w:ascii="Gadugi" w:eastAsia="Times New Roman" w:hAnsi="Gadugi" w:cs="Arial"/>
          <w:i/>
          <w:sz w:val="24"/>
          <w:szCs w:val="24"/>
          <w:lang w:val="es-ES" w:eastAsia="es-ES"/>
        </w:rPr>
        <w:tab/>
      </w:r>
      <w:r w:rsidRPr="00C379D6">
        <w:rPr>
          <w:rFonts w:ascii="Gadugi" w:eastAsia="Times New Roman" w:hAnsi="Gadugi" w:cs="Arial"/>
          <w:i/>
          <w:sz w:val="24"/>
          <w:szCs w:val="24"/>
          <w:lang w:val="es-ES" w:eastAsia="es-ES"/>
        </w:rPr>
        <w:tab/>
      </w:r>
      <w:r w:rsidRPr="00C379D6">
        <w:rPr>
          <w:rFonts w:ascii="Gadugi" w:eastAsia="Times New Roman" w:hAnsi="Gadugi" w:cs="Arial"/>
          <w:i/>
          <w:sz w:val="24"/>
          <w:szCs w:val="24"/>
          <w:lang w:val="es-ES" w:eastAsia="es-ES"/>
        </w:rPr>
        <w:tab/>
      </w:r>
      <w:r w:rsidRPr="00C379D6">
        <w:rPr>
          <w:rFonts w:ascii="Gadugi" w:eastAsia="Times New Roman" w:hAnsi="Gadugi" w:cs="Arial"/>
          <w:i/>
          <w:sz w:val="24"/>
          <w:szCs w:val="24"/>
          <w:lang w:val="es-ES" w:eastAsia="es-ES"/>
        </w:rPr>
        <w:tab/>
      </w:r>
      <w:r w:rsidRPr="00C379D6">
        <w:rPr>
          <w:rFonts w:ascii="Gadugi" w:eastAsia="Times New Roman" w:hAnsi="Gadugi" w:cs="Arial"/>
          <w:sz w:val="24"/>
          <w:szCs w:val="24"/>
          <w:lang w:val="es-ES" w:eastAsia="es-ES"/>
        </w:rPr>
        <w:t xml:space="preserve">(iii) Jorge Iván López Giraldo </w:t>
      </w:r>
      <w:r w:rsidRPr="00C379D6">
        <w:rPr>
          <w:rFonts w:ascii="Gadugi" w:eastAsia="Times New Roman" w:hAnsi="Gadugi" w:cs="Arial"/>
          <w:i/>
          <w:sz w:val="24"/>
          <w:szCs w:val="24"/>
          <w:lang w:val="es-ES" w:eastAsia="es-ES"/>
        </w:rPr>
        <w:t>“</w:t>
      </w:r>
      <w:r w:rsidRPr="0023762B">
        <w:rPr>
          <w:rFonts w:ascii="Gadugi" w:eastAsia="Times New Roman" w:hAnsi="Gadugi" w:cs="Arial"/>
          <w:i/>
          <w:szCs w:val="24"/>
          <w:lang w:val="es-ES" w:eastAsia="es-ES"/>
        </w:rPr>
        <w:t>no es susceptible de medida domiciliaria porque posee antecedentes en los últimos 5 años</w:t>
      </w:r>
      <w:r w:rsidRPr="00C379D6">
        <w:rPr>
          <w:rFonts w:ascii="Gadugi" w:eastAsia="Times New Roman" w:hAnsi="Gadugi" w:cs="Arial"/>
          <w:i/>
          <w:sz w:val="24"/>
          <w:szCs w:val="24"/>
          <w:lang w:val="es-ES" w:eastAsia="es-ES"/>
        </w:rPr>
        <w:t>”.</w:t>
      </w:r>
    </w:p>
    <w:p w14:paraId="3BF4981C" w14:textId="3925B604" w:rsidR="009878FF" w:rsidRPr="00C379D6" w:rsidRDefault="009878FF"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76C48C92" w14:textId="1E3C71F0" w:rsidR="009878FF" w:rsidRPr="00C379D6" w:rsidRDefault="009878FF" w:rsidP="00C379D6">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 xml:space="preserve">(iv) Jaime Alberto Trujillo Gómez, </w:t>
      </w:r>
      <w:r w:rsidRPr="00C379D6">
        <w:rPr>
          <w:rFonts w:ascii="Gadugi" w:eastAsia="Times New Roman" w:hAnsi="Gadugi" w:cs="Arial"/>
          <w:i/>
          <w:sz w:val="24"/>
          <w:szCs w:val="24"/>
          <w:lang w:val="es-ES" w:eastAsia="es-ES"/>
        </w:rPr>
        <w:t>“</w:t>
      </w:r>
      <w:r w:rsidRPr="0023762B">
        <w:rPr>
          <w:rFonts w:ascii="Gadugi" w:eastAsia="Times New Roman" w:hAnsi="Gadugi" w:cs="Arial"/>
          <w:i/>
          <w:szCs w:val="24"/>
          <w:lang w:val="es-ES" w:eastAsia="es-ES"/>
        </w:rPr>
        <w:t>no aplica a la medida domiciliaria puesto que presenta antecedentes penales y al momento tiene otros procesos vigentes</w:t>
      </w:r>
      <w:r w:rsidRPr="00C379D6">
        <w:rPr>
          <w:rFonts w:ascii="Gadugi" w:eastAsia="Times New Roman" w:hAnsi="Gadugi" w:cs="Arial"/>
          <w:i/>
          <w:sz w:val="24"/>
          <w:szCs w:val="24"/>
          <w:lang w:val="es-ES" w:eastAsia="es-ES"/>
        </w:rPr>
        <w:t>”.</w:t>
      </w:r>
    </w:p>
    <w:p w14:paraId="0FEBD976" w14:textId="66022C1A" w:rsidR="009878FF" w:rsidRPr="00C379D6" w:rsidRDefault="009878FF"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7C62D009" w14:textId="5FE7F8F4" w:rsidR="009878FF" w:rsidRPr="00C379D6" w:rsidRDefault="009878FF" w:rsidP="00C379D6">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 xml:space="preserve">(v) Juan Camilo Cano Marulanda, </w:t>
      </w:r>
      <w:r w:rsidRPr="00C379D6">
        <w:rPr>
          <w:rFonts w:ascii="Gadugi" w:eastAsia="Times New Roman" w:hAnsi="Gadugi" w:cs="Arial"/>
          <w:i/>
          <w:sz w:val="24"/>
          <w:szCs w:val="24"/>
          <w:lang w:val="es-ES" w:eastAsia="es-ES"/>
        </w:rPr>
        <w:t>“</w:t>
      </w:r>
      <w:r w:rsidRPr="0023762B">
        <w:rPr>
          <w:rFonts w:ascii="Gadugi" w:eastAsia="Times New Roman" w:hAnsi="Gadugi" w:cs="Arial"/>
          <w:i/>
          <w:szCs w:val="24"/>
          <w:lang w:val="es-ES" w:eastAsia="es-ES"/>
        </w:rPr>
        <w:t>no es susceptible de medida domiciliaria porque posee antecedentes en los últimos 5 años</w:t>
      </w:r>
      <w:r w:rsidRPr="00C379D6">
        <w:rPr>
          <w:rFonts w:ascii="Gadugi" w:eastAsia="Times New Roman" w:hAnsi="Gadugi" w:cs="Arial"/>
          <w:i/>
          <w:sz w:val="24"/>
          <w:szCs w:val="24"/>
          <w:lang w:val="es-ES" w:eastAsia="es-ES"/>
        </w:rPr>
        <w:t>”.</w:t>
      </w:r>
    </w:p>
    <w:p w14:paraId="61469D74" w14:textId="6D134BCC" w:rsidR="009878FF" w:rsidRPr="00C379D6" w:rsidRDefault="009878FF"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184FB717" w14:textId="1F920F3E" w:rsidR="009878FF" w:rsidRPr="00C379D6" w:rsidRDefault="009878FF"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t xml:space="preserve">(vi) Juan Camilo Valencia Patiño </w:t>
      </w:r>
      <w:r w:rsidRPr="00C379D6">
        <w:rPr>
          <w:rFonts w:ascii="Gadugi" w:eastAsia="Times New Roman" w:hAnsi="Gadugi" w:cs="Arial"/>
          <w:i/>
          <w:sz w:val="24"/>
          <w:szCs w:val="24"/>
          <w:lang w:val="es-ES" w:eastAsia="es-ES"/>
        </w:rPr>
        <w:t>“</w:t>
      </w:r>
      <w:r w:rsidRPr="0023762B">
        <w:rPr>
          <w:rFonts w:ascii="Gadugi" w:eastAsia="Times New Roman" w:hAnsi="Gadugi" w:cs="Arial"/>
          <w:i/>
          <w:szCs w:val="24"/>
          <w:lang w:val="es-ES" w:eastAsia="es-ES"/>
        </w:rPr>
        <w:t>No es susceptible de la medida domiciliaria porque posee antecedentes penales en los últimos 5 años y varios procesos vigentes”</w:t>
      </w:r>
      <w:r w:rsidRPr="00C379D6">
        <w:rPr>
          <w:rFonts w:ascii="Gadugi" w:eastAsia="Times New Roman" w:hAnsi="Gadugi" w:cs="Arial"/>
          <w:i/>
          <w:sz w:val="24"/>
          <w:szCs w:val="24"/>
          <w:lang w:val="es-ES" w:eastAsia="es-ES"/>
        </w:rPr>
        <w:t>.</w:t>
      </w:r>
      <w:r w:rsidR="00F421BC" w:rsidRPr="00C379D6">
        <w:rPr>
          <w:rStyle w:val="Refdenotaalpie"/>
          <w:rFonts w:ascii="Gadugi" w:eastAsia="Times New Roman" w:hAnsi="Gadugi"/>
          <w:i/>
          <w:sz w:val="24"/>
          <w:szCs w:val="24"/>
          <w:lang w:val="es-ES" w:eastAsia="es-ES"/>
        </w:rPr>
        <w:footnoteReference w:id="10"/>
      </w:r>
    </w:p>
    <w:p w14:paraId="6D77638C" w14:textId="3CE6B193" w:rsidR="009878FF" w:rsidRPr="00C379D6" w:rsidRDefault="009878FF"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79372639" w14:textId="7B94E671" w:rsidR="00C82FEF" w:rsidRPr="00C379D6" w:rsidRDefault="00C82FEF"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00CE1967" w:rsidRPr="00C379D6">
        <w:rPr>
          <w:rFonts w:ascii="Gadugi" w:eastAsia="Times New Roman" w:hAnsi="Gadugi" w:cs="Arial"/>
          <w:sz w:val="24"/>
          <w:szCs w:val="24"/>
          <w:lang w:val="es-ES" w:eastAsia="es-ES"/>
        </w:rPr>
        <w:t xml:space="preserve">1.10. </w:t>
      </w:r>
      <w:r w:rsidRPr="00C379D6">
        <w:rPr>
          <w:rFonts w:ascii="Gadugi" w:eastAsia="Times New Roman" w:hAnsi="Gadugi" w:cs="Arial"/>
          <w:sz w:val="24"/>
          <w:szCs w:val="24"/>
          <w:lang w:val="es-ES" w:eastAsia="es-ES"/>
        </w:rPr>
        <w:t xml:space="preserve">La Directora del INPEC de la Regional Viejo Caldas, informó que “(…) procedió asignar ERON para la recepción de los PPL que hacen parte del presente fallo”, así las cosas </w:t>
      </w:r>
      <w:r w:rsidRPr="00C379D6">
        <w:rPr>
          <w:rFonts w:ascii="Gadugi" w:eastAsia="Times New Roman" w:hAnsi="Gadugi" w:cs="Arial"/>
          <w:i/>
          <w:sz w:val="24"/>
          <w:szCs w:val="24"/>
          <w:lang w:val="es-ES" w:eastAsia="es-ES"/>
        </w:rPr>
        <w:t>“</w:t>
      </w:r>
      <w:r w:rsidRPr="0023762B">
        <w:rPr>
          <w:rFonts w:ascii="Gadugi" w:eastAsia="Times New Roman" w:hAnsi="Gadugi" w:cs="Arial"/>
          <w:i/>
          <w:szCs w:val="24"/>
          <w:lang w:val="es-ES" w:eastAsia="es-ES"/>
        </w:rPr>
        <w:t>(…) debe el Comandante de la Estación de policía, coordinar con el Director del establecimiento para la recepción de los internos, agotando los procedimientos de bioseguridad</w:t>
      </w:r>
      <w:r w:rsidRPr="00C379D6">
        <w:rPr>
          <w:rFonts w:ascii="Gadugi" w:eastAsia="Times New Roman" w:hAnsi="Gadugi" w:cs="Arial"/>
          <w:i/>
          <w:sz w:val="24"/>
          <w:szCs w:val="24"/>
          <w:lang w:val="es-ES" w:eastAsia="es-ES"/>
        </w:rPr>
        <w:t>.”</w:t>
      </w:r>
      <w:r w:rsidR="00F421BC" w:rsidRPr="00C379D6">
        <w:rPr>
          <w:rStyle w:val="Refdenotaalpie"/>
          <w:rFonts w:ascii="Gadugi" w:eastAsia="Times New Roman" w:hAnsi="Gadugi"/>
          <w:sz w:val="24"/>
          <w:szCs w:val="24"/>
          <w:lang w:val="es-ES" w:eastAsia="es-ES"/>
        </w:rPr>
        <w:footnoteReference w:id="11"/>
      </w:r>
      <w:r w:rsidRPr="00C379D6">
        <w:rPr>
          <w:rFonts w:ascii="Gadugi" w:eastAsia="Times New Roman" w:hAnsi="Gadugi" w:cs="Arial"/>
          <w:sz w:val="24"/>
          <w:szCs w:val="24"/>
          <w:lang w:val="es-ES" w:eastAsia="es-ES"/>
        </w:rPr>
        <w:cr/>
      </w:r>
    </w:p>
    <w:p w14:paraId="20457FCE" w14:textId="338CFD8B" w:rsidR="00C82FEF" w:rsidRPr="00C379D6" w:rsidRDefault="00C82FEF" w:rsidP="00C379D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Pr="00C379D6">
        <w:rPr>
          <w:rFonts w:ascii="Gadugi" w:eastAsia="Times New Roman" w:hAnsi="Gadugi" w:cs="Arial"/>
          <w:sz w:val="24"/>
          <w:szCs w:val="24"/>
          <w:lang w:val="es-ES" w:eastAsia="es-ES"/>
        </w:rPr>
        <w:tab/>
      </w:r>
      <w:r w:rsidR="00CE1967" w:rsidRPr="00C379D6">
        <w:rPr>
          <w:rFonts w:ascii="Gadugi" w:eastAsia="Times New Roman" w:hAnsi="Gadugi" w:cs="Arial"/>
          <w:sz w:val="24"/>
          <w:szCs w:val="24"/>
          <w:lang w:val="es-ES" w:eastAsia="es-ES"/>
        </w:rPr>
        <w:t xml:space="preserve">1.11. </w:t>
      </w:r>
      <w:r w:rsidRPr="00C379D6">
        <w:rPr>
          <w:rFonts w:ascii="Gadugi" w:eastAsia="Times New Roman" w:hAnsi="Gadugi" w:cs="Arial"/>
          <w:sz w:val="24"/>
          <w:szCs w:val="24"/>
          <w:lang w:val="es-ES" w:eastAsia="es-ES"/>
        </w:rPr>
        <w:t xml:space="preserve">En esta sede fue requerida la Personera Municipal de Quinchía </w:t>
      </w:r>
      <w:r w:rsidR="00E50774" w:rsidRPr="00C379D6">
        <w:rPr>
          <w:rFonts w:ascii="Gadugi" w:eastAsia="Times New Roman" w:hAnsi="Gadugi" w:cs="Arial"/>
          <w:sz w:val="24"/>
          <w:szCs w:val="24"/>
          <w:lang w:val="es-ES" w:eastAsia="es-ES"/>
        </w:rPr>
        <w:t>–</w:t>
      </w:r>
      <w:r w:rsidRPr="00C379D6">
        <w:rPr>
          <w:rFonts w:ascii="Gadugi" w:eastAsia="Times New Roman" w:hAnsi="Gadugi" w:cs="Arial"/>
          <w:sz w:val="24"/>
          <w:szCs w:val="24"/>
          <w:lang w:val="es-ES" w:eastAsia="es-ES"/>
        </w:rPr>
        <w:t xml:space="preserve"> Risaralda</w:t>
      </w:r>
      <w:r w:rsidR="00E50774" w:rsidRPr="00C379D6">
        <w:rPr>
          <w:rFonts w:ascii="Gadugi" w:eastAsia="Times New Roman" w:hAnsi="Gadugi" w:cs="Arial"/>
          <w:sz w:val="24"/>
          <w:szCs w:val="24"/>
          <w:lang w:val="es-ES" w:eastAsia="es-ES"/>
        </w:rPr>
        <w:t>,</w:t>
      </w:r>
      <w:r w:rsidRPr="00C379D6">
        <w:rPr>
          <w:rFonts w:ascii="Gadugi" w:eastAsia="Times New Roman" w:hAnsi="Gadugi" w:cs="Arial"/>
          <w:sz w:val="24"/>
          <w:szCs w:val="24"/>
          <w:lang w:val="es-ES" w:eastAsia="es-ES"/>
        </w:rPr>
        <w:t xml:space="preserve"> para que informara, y de ser el caso acreditara, si las personas privadas de la libertad por las que se invoca el amparo, la autorizaron para formular esta acción de tutela en su representación. Así mismo, para que</w:t>
      </w:r>
      <w:r w:rsidR="00CE1967" w:rsidRPr="00C379D6">
        <w:rPr>
          <w:rFonts w:ascii="Gadugi" w:eastAsia="Times New Roman" w:hAnsi="Gadugi" w:cs="Arial"/>
          <w:sz w:val="24"/>
          <w:szCs w:val="24"/>
          <w:lang w:val="es-ES" w:eastAsia="es-ES"/>
        </w:rPr>
        <w:t xml:space="preserve"> </w:t>
      </w:r>
      <w:r w:rsidRPr="00C379D6">
        <w:rPr>
          <w:rFonts w:ascii="Gadugi" w:eastAsia="Times New Roman" w:hAnsi="Gadugi" w:cs="Arial"/>
          <w:sz w:val="24"/>
          <w:szCs w:val="24"/>
          <w:lang w:val="es-ES" w:eastAsia="es-ES"/>
        </w:rPr>
        <w:t xml:space="preserve">explicara la situación de indefensión que las afecta y que les impide promover la demanda por su propia cuenta (Art. 46, </w:t>
      </w:r>
      <w:proofErr w:type="spellStart"/>
      <w:r w:rsidRPr="00C379D6">
        <w:rPr>
          <w:rFonts w:ascii="Gadugi" w:eastAsia="Times New Roman" w:hAnsi="Gadugi" w:cs="Arial"/>
          <w:sz w:val="24"/>
          <w:szCs w:val="24"/>
          <w:lang w:val="es-ES" w:eastAsia="es-ES"/>
        </w:rPr>
        <w:t>Dec</w:t>
      </w:r>
      <w:proofErr w:type="spellEnd"/>
      <w:r w:rsidRPr="00C379D6">
        <w:rPr>
          <w:rFonts w:ascii="Gadugi" w:eastAsia="Times New Roman" w:hAnsi="Gadugi" w:cs="Arial"/>
          <w:sz w:val="24"/>
          <w:szCs w:val="24"/>
          <w:lang w:val="es-ES" w:eastAsia="es-ES"/>
        </w:rPr>
        <w:t>. 2591/91)</w:t>
      </w:r>
      <w:r w:rsidR="00F421BC" w:rsidRPr="00C379D6">
        <w:rPr>
          <w:rStyle w:val="Refdenotaalpie"/>
          <w:rFonts w:ascii="Gadugi" w:eastAsia="Times New Roman" w:hAnsi="Gadugi"/>
          <w:sz w:val="24"/>
          <w:szCs w:val="24"/>
          <w:lang w:val="es-ES" w:eastAsia="es-ES"/>
        </w:rPr>
        <w:footnoteReference w:id="12"/>
      </w:r>
      <w:r w:rsidRPr="00C379D6">
        <w:rPr>
          <w:rFonts w:ascii="Gadugi" w:eastAsia="Times New Roman" w:hAnsi="Gadugi" w:cs="Arial"/>
          <w:sz w:val="24"/>
          <w:szCs w:val="24"/>
          <w:lang w:val="es-ES" w:eastAsia="es-ES"/>
        </w:rPr>
        <w:t>. El requerimiento fue acatado de manera perentoria.</w:t>
      </w:r>
      <w:r w:rsidR="00F421BC" w:rsidRPr="00C379D6">
        <w:rPr>
          <w:rStyle w:val="Refdenotaalpie"/>
          <w:rFonts w:ascii="Gadugi" w:eastAsia="Times New Roman" w:hAnsi="Gadugi"/>
          <w:sz w:val="24"/>
          <w:szCs w:val="24"/>
          <w:lang w:val="es-ES" w:eastAsia="es-ES"/>
        </w:rPr>
        <w:footnoteReference w:id="13"/>
      </w:r>
      <w:r w:rsidRPr="00C379D6">
        <w:rPr>
          <w:rFonts w:ascii="Gadugi" w:eastAsia="Times New Roman" w:hAnsi="Gadugi" w:cs="Arial"/>
          <w:sz w:val="24"/>
          <w:szCs w:val="24"/>
          <w:lang w:val="es-ES" w:eastAsia="es-ES"/>
        </w:rPr>
        <w:t xml:space="preserve"> </w:t>
      </w:r>
    </w:p>
    <w:p w14:paraId="4BC1AF35" w14:textId="6CAFE716" w:rsidR="00EB2484" w:rsidRPr="00C379D6" w:rsidRDefault="00EB2484" w:rsidP="00C379D6">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33411BFF" w14:textId="77777777" w:rsidR="00C82FEF" w:rsidRPr="00C379D6" w:rsidRDefault="00C82FEF" w:rsidP="00C379D6">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04D9C565" w14:textId="27D51D19" w:rsidR="00756044" w:rsidRPr="00C379D6" w:rsidRDefault="00CE1967" w:rsidP="00C379D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C379D6">
        <w:rPr>
          <w:rFonts w:ascii="Gadugi" w:eastAsia="Times New Roman" w:hAnsi="Gadugi" w:cs="Arial"/>
          <w:b/>
          <w:sz w:val="24"/>
          <w:szCs w:val="24"/>
          <w:lang w:val="es-ES" w:eastAsia="es-ES"/>
        </w:rPr>
        <w:t xml:space="preserve">2. </w:t>
      </w:r>
      <w:r w:rsidR="00756044" w:rsidRPr="00C379D6">
        <w:rPr>
          <w:rFonts w:ascii="Gadugi" w:eastAsia="Times New Roman" w:hAnsi="Gadugi" w:cs="Arial"/>
          <w:b/>
          <w:sz w:val="24"/>
          <w:szCs w:val="24"/>
          <w:lang w:val="es-ES" w:eastAsia="es-ES"/>
        </w:rPr>
        <w:t>CONSIDERACIONES</w:t>
      </w:r>
    </w:p>
    <w:p w14:paraId="017C0782" w14:textId="77777777" w:rsidR="004E33BC" w:rsidRPr="00C379D6" w:rsidRDefault="004E33BC" w:rsidP="004E33BC">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0E38B97B" w14:textId="77777777" w:rsidR="004E33BC" w:rsidRPr="00C379D6" w:rsidRDefault="004E33BC" w:rsidP="004E33BC">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4A149391" w14:textId="77777777" w:rsidR="00756044" w:rsidRPr="00C379D6" w:rsidRDefault="00756044" w:rsidP="00C379D6">
      <w:pPr>
        <w:autoSpaceDE w:val="0"/>
        <w:autoSpaceDN w:val="0"/>
        <w:adjustRightInd w:val="0"/>
        <w:spacing w:after="0" w:line="276" w:lineRule="auto"/>
        <w:jc w:val="both"/>
        <w:rPr>
          <w:rFonts w:ascii="Gadugi" w:eastAsia="Times New Roman" w:hAnsi="Gadugi" w:cs="Arial"/>
          <w:sz w:val="24"/>
          <w:szCs w:val="24"/>
          <w:lang w:val="es-ES" w:eastAsia="es-ES"/>
        </w:rPr>
      </w:pPr>
      <w:r w:rsidRPr="00C379D6">
        <w:rPr>
          <w:rFonts w:ascii="Gadugi" w:eastAsia="Times New Roman" w:hAnsi="Gadugi" w:cs="Arial"/>
          <w:sz w:val="24"/>
          <w:szCs w:val="24"/>
          <w:lang w:val="es-419" w:eastAsia="es-ES"/>
        </w:rPr>
        <w:t xml:space="preserve">  </w:t>
      </w:r>
      <w:r w:rsidRPr="00C379D6">
        <w:rPr>
          <w:rFonts w:ascii="Gadugi" w:eastAsia="Times New Roman" w:hAnsi="Gadugi" w:cs="Arial"/>
          <w:sz w:val="24"/>
          <w:szCs w:val="24"/>
          <w:lang w:val="es-419" w:eastAsia="es-ES"/>
        </w:rPr>
        <w:tab/>
      </w:r>
      <w:r w:rsidRPr="00C379D6">
        <w:rPr>
          <w:rFonts w:ascii="Gadugi" w:eastAsia="Times New Roman" w:hAnsi="Gadugi" w:cs="Arial"/>
          <w:sz w:val="24"/>
          <w:szCs w:val="24"/>
          <w:lang w:val="es-419" w:eastAsia="es-ES"/>
        </w:rPr>
        <w:tab/>
      </w:r>
      <w:r w:rsidRPr="00C379D6">
        <w:rPr>
          <w:rFonts w:ascii="Gadugi" w:eastAsia="Times New Roman" w:hAnsi="Gadugi" w:cs="Arial"/>
          <w:sz w:val="24"/>
          <w:szCs w:val="24"/>
          <w:lang w:val="es-419" w:eastAsia="es-ES"/>
        </w:rPr>
        <w:tab/>
      </w:r>
      <w:r w:rsidRPr="00C379D6">
        <w:rPr>
          <w:rFonts w:ascii="Gadugi" w:eastAsia="Times New Roman" w:hAnsi="Gadugi" w:cs="Arial"/>
          <w:sz w:val="24"/>
          <w:szCs w:val="24"/>
          <w:lang w:val="es-419" w:eastAsia="es-ES"/>
        </w:rPr>
        <w:tab/>
      </w:r>
      <w:r w:rsidRPr="00C379D6">
        <w:rPr>
          <w:rFonts w:ascii="Gadugi" w:eastAsia="Times New Roman" w:hAnsi="Gadugi" w:cs="Arial"/>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126DF23A" w14:textId="4C2E87DD" w:rsidR="00756044" w:rsidRPr="00C379D6" w:rsidRDefault="0075604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37AC6B0" w14:textId="4B0E8DFC" w:rsidR="009A5644" w:rsidRPr="00C379D6" w:rsidRDefault="009A564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sz w:val="24"/>
          <w:szCs w:val="24"/>
          <w:lang w:val="es-ES" w:eastAsia="es-ES"/>
        </w:rPr>
        <w:t>Como viene de verse, acude ante el juez constitucional la Personera Municipal de Quinchía, en representación de las personas privadas de la libertad que arriba fueron citadas, con el propósito de que se les protejan los derechos fundamentales que invocó, presuntamente vulnerados por el INPEC, que se muestra renuente para materializar su traslado desde las estaciones de policía en las que están retenidas, a un centro carcelario y penitenciario.</w:t>
      </w:r>
    </w:p>
    <w:p w14:paraId="0869C934" w14:textId="5D587C66" w:rsidR="009A5644" w:rsidRPr="00C379D6" w:rsidRDefault="009A564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572ACA0F" w14:textId="4463742F" w:rsidR="009A5644" w:rsidRPr="00C379D6" w:rsidRDefault="007479E7"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i/>
          <w:iCs/>
          <w:sz w:val="24"/>
          <w:szCs w:val="24"/>
          <w:lang w:val="es-ES" w:eastAsia="es-ES"/>
        </w:rPr>
      </w:pPr>
      <w:r w:rsidRPr="00C379D6">
        <w:rPr>
          <w:rFonts w:ascii="Gadugi" w:eastAsia="Times New Roman" w:hAnsi="Gadugi" w:cs="Times New Roman"/>
          <w:sz w:val="24"/>
          <w:szCs w:val="24"/>
          <w:lang w:val="es-ES" w:eastAsia="es-ES"/>
        </w:rPr>
        <w:t xml:space="preserve">2.1. </w:t>
      </w:r>
      <w:r w:rsidR="009A5644" w:rsidRPr="00C379D6">
        <w:rPr>
          <w:rFonts w:ascii="Gadugi" w:eastAsia="Times New Roman" w:hAnsi="Gadugi" w:cs="Times New Roman"/>
          <w:sz w:val="24"/>
          <w:szCs w:val="24"/>
          <w:lang w:val="es-ES" w:eastAsia="es-ES"/>
        </w:rPr>
        <w:t>Antes de proceder con estudio de fondo del caso, es preciso aclarar que</w:t>
      </w:r>
      <w:r w:rsidR="00ED0D4F" w:rsidRPr="00C379D6">
        <w:rPr>
          <w:rFonts w:ascii="Gadugi" w:eastAsia="Times New Roman" w:hAnsi="Gadugi" w:cs="Times New Roman"/>
          <w:sz w:val="24"/>
          <w:szCs w:val="24"/>
          <w:lang w:val="es-ES" w:eastAsia="es-ES"/>
        </w:rPr>
        <w:t xml:space="preserve"> la Personera Municipal de Quinchía está legitimada para incoar esta demanda, </w:t>
      </w:r>
      <w:r w:rsidR="009A5644" w:rsidRPr="00C379D6">
        <w:rPr>
          <w:rFonts w:ascii="Gadugi" w:eastAsia="Times New Roman" w:hAnsi="Gadugi" w:cs="Times New Roman"/>
          <w:sz w:val="24"/>
          <w:szCs w:val="24"/>
          <w:lang w:val="es-ES" w:eastAsia="es-ES"/>
        </w:rPr>
        <w:t>dado que</w:t>
      </w:r>
      <w:r w:rsidR="00ED0D4F" w:rsidRPr="00C379D6">
        <w:rPr>
          <w:rFonts w:ascii="Gadugi" w:eastAsia="Times New Roman" w:hAnsi="Gadugi" w:cs="Times New Roman"/>
          <w:sz w:val="24"/>
          <w:szCs w:val="24"/>
          <w:lang w:val="es-ES" w:eastAsia="es-ES"/>
        </w:rPr>
        <w:t xml:space="preserve"> actúa</w:t>
      </w:r>
      <w:r w:rsidR="009A5644" w:rsidRPr="00C379D6">
        <w:rPr>
          <w:rFonts w:ascii="Gadugi" w:eastAsia="Times New Roman" w:hAnsi="Gadugi" w:cs="Times New Roman"/>
          <w:sz w:val="24"/>
          <w:szCs w:val="24"/>
          <w:lang w:val="es-ES" w:eastAsia="es-ES"/>
        </w:rPr>
        <w:t xml:space="preserve"> en representación de varias personas privadas de la libertad</w:t>
      </w:r>
      <w:r w:rsidR="00673C54" w:rsidRPr="00C379D6">
        <w:rPr>
          <w:rFonts w:ascii="Gadugi" w:eastAsia="Times New Roman" w:hAnsi="Gadugi" w:cs="Times New Roman"/>
          <w:sz w:val="24"/>
          <w:szCs w:val="24"/>
          <w:lang w:val="es-ES" w:eastAsia="es-ES"/>
        </w:rPr>
        <w:t xml:space="preserve"> en ese Municipio</w:t>
      </w:r>
      <w:r w:rsidR="009A5644" w:rsidRPr="00C379D6">
        <w:rPr>
          <w:rFonts w:ascii="Gadugi" w:eastAsia="Times New Roman" w:hAnsi="Gadugi" w:cs="Times New Roman"/>
          <w:sz w:val="24"/>
          <w:szCs w:val="24"/>
          <w:lang w:val="es-ES" w:eastAsia="es-ES"/>
        </w:rPr>
        <w:t xml:space="preserve">, que se hallan en condiciones de evidente insalubridad y </w:t>
      </w:r>
      <w:r w:rsidR="009A5644" w:rsidRPr="00C379D6">
        <w:rPr>
          <w:rFonts w:ascii="Gadugi" w:eastAsia="Times New Roman" w:hAnsi="Gadugi" w:cs="Times New Roman"/>
          <w:sz w:val="24"/>
          <w:szCs w:val="24"/>
          <w:lang w:val="es-ES" w:eastAsia="es-ES"/>
        </w:rPr>
        <w:lastRenderedPageBreak/>
        <w:t xml:space="preserve">hacinamiento, quienes además, según lo indicó la agente del Ministerio Público, </w:t>
      </w:r>
      <w:r w:rsidR="009A5644" w:rsidRPr="00C379D6">
        <w:rPr>
          <w:rFonts w:ascii="Gadugi" w:eastAsia="Times New Roman" w:hAnsi="Gadugi" w:cs="Times New Roman"/>
          <w:i/>
          <w:iCs/>
          <w:sz w:val="24"/>
          <w:szCs w:val="24"/>
          <w:lang w:val="es-ES" w:eastAsia="es-ES"/>
        </w:rPr>
        <w:t>“</w:t>
      </w:r>
      <w:r w:rsidR="009A5644" w:rsidRPr="0023762B">
        <w:rPr>
          <w:rFonts w:ascii="Gadugi" w:eastAsia="Times New Roman" w:hAnsi="Gadugi" w:cs="Times New Roman"/>
          <w:i/>
          <w:iCs/>
          <w:szCs w:val="24"/>
          <w:lang w:val="es-ES" w:eastAsia="es-ES"/>
        </w:rPr>
        <w:t>de manera verbal (…) solicitaron la intervención de la suscrita, con el fin de adelantar los tramites que fueran pertinentes en el sentido de proteger sus derechos. Toda vez que las celdas donde se encontraban no cumplían con los requisitos mínimos para permanecer allí por una larga estancia</w:t>
      </w:r>
      <w:r w:rsidR="009A5644" w:rsidRPr="00C379D6">
        <w:rPr>
          <w:rFonts w:ascii="Gadugi" w:eastAsia="Times New Roman" w:hAnsi="Gadugi" w:cs="Times New Roman"/>
          <w:i/>
          <w:iCs/>
          <w:sz w:val="24"/>
          <w:szCs w:val="24"/>
          <w:lang w:val="es-ES" w:eastAsia="es-ES"/>
        </w:rPr>
        <w:t>.”</w:t>
      </w:r>
      <w:r w:rsidR="00101DA4" w:rsidRPr="00C379D6">
        <w:rPr>
          <w:rStyle w:val="Refdenotaalpie"/>
          <w:rFonts w:ascii="Gadugi" w:eastAsia="Times New Roman" w:hAnsi="Gadugi"/>
          <w:i/>
          <w:iCs/>
          <w:sz w:val="24"/>
          <w:szCs w:val="24"/>
          <w:lang w:val="es-ES" w:eastAsia="es-ES"/>
        </w:rPr>
        <w:footnoteReference w:id="14"/>
      </w:r>
    </w:p>
    <w:p w14:paraId="6AC83A45" w14:textId="3E8A7CE2" w:rsidR="009A5644" w:rsidRPr="00C379D6" w:rsidRDefault="009A564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61E5B793" w14:textId="78B60EAC" w:rsidR="00673C54" w:rsidRPr="00C379D6" w:rsidRDefault="00673C5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sz w:val="24"/>
          <w:szCs w:val="24"/>
          <w:lang w:val="es-ES" w:eastAsia="es-ES"/>
        </w:rPr>
        <w:t>Sobre ese punto vale la pena citar lo que se aclara en la sentencia T-867/20:</w:t>
      </w:r>
    </w:p>
    <w:p w14:paraId="7505023E" w14:textId="5C33F25E" w:rsidR="00673C54" w:rsidRPr="00C379D6" w:rsidRDefault="00673C54" w:rsidP="00C379D6">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2DFE180" w14:textId="0A66C3B3" w:rsidR="00673C54" w:rsidRPr="0023762B" w:rsidRDefault="00673C54" w:rsidP="0023762B">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C379D6">
        <w:rPr>
          <w:rFonts w:ascii="Gadugi" w:eastAsia="Times New Roman" w:hAnsi="Gadugi" w:cs="Times New Roman"/>
          <w:sz w:val="24"/>
          <w:szCs w:val="24"/>
          <w:lang w:val="es-ES" w:eastAsia="es-ES"/>
        </w:rPr>
        <w:tab/>
      </w:r>
      <w:r w:rsidRPr="00C379D6">
        <w:rPr>
          <w:rFonts w:ascii="Gadugi" w:eastAsia="Times New Roman" w:hAnsi="Gadugi" w:cs="Times New Roman"/>
          <w:sz w:val="24"/>
          <w:szCs w:val="24"/>
          <w:lang w:val="es-ES" w:eastAsia="es-ES"/>
        </w:rPr>
        <w:tab/>
      </w:r>
      <w:r w:rsidRPr="00C379D6">
        <w:rPr>
          <w:rFonts w:ascii="Gadugi" w:eastAsia="Times New Roman" w:hAnsi="Gadugi" w:cs="Times New Roman"/>
          <w:sz w:val="24"/>
          <w:szCs w:val="24"/>
          <w:lang w:val="es-ES" w:eastAsia="es-ES"/>
        </w:rPr>
        <w:tab/>
      </w:r>
      <w:r w:rsidRPr="00C379D6">
        <w:rPr>
          <w:rFonts w:ascii="Gadugi" w:eastAsia="Times New Roman" w:hAnsi="Gadugi" w:cs="Times New Roman"/>
          <w:sz w:val="24"/>
          <w:szCs w:val="24"/>
          <w:lang w:val="es-ES" w:eastAsia="es-ES"/>
        </w:rPr>
        <w:tab/>
      </w:r>
      <w:r w:rsidRPr="0023762B">
        <w:rPr>
          <w:rFonts w:ascii="Gadugi" w:eastAsia="Times New Roman" w:hAnsi="Gadugi" w:cs="Times New Roman"/>
          <w:szCs w:val="24"/>
          <w:lang w:val="es-CO" w:eastAsia="es-CO"/>
        </w:rPr>
        <w:t xml:space="preserve">2. De acuerdo con los artículos 118 y 282 de la Constitución, el Ministerio Público se encuentra facultado para interponer las acciones que considere necesarias para la guarda, promoción y divulgación de los derechos humanos. Por lo tanto, la función de </w:t>
      </w:r>
      <w:r w:rsidR="007A2CEB" w:rsidRPr="0023762B">
        <w:rPr>
          <w:rFonts w:ascii="Gadugi" w:eastAsia="Times New Roman" w:hAnsi="Gadugi" w:cs="Times New Roman"/>
          <w:szCs w:val="24"/>
          <w:lang w:val="es-CO" w:eastAsia="es-CO"/>
        </w:rPr>
        <w:t>este</w:t>
      </w:r>
      <w:r w:rsidRPr="0023762B">
        <w:rPr>
          <w:rFonts w:ascii="Gadugi" w:eastAsia="Times New Roman" w:hAnsi="Gadugi" w:cs="Times New Roman"/>
          <w:szCs w:val="24"/>
          <w:lang w:val="es-CO" w:eastAsia="es-CO"/>
        </w:rPr>
        <w:t xml:space="preserve"> órgano “no es la de representar intereses particulares en virtud de mandato judicial -como el que se confiere a un abogado litigante- sino la de buscar, a nombre de la sociedad, la protección efectiva de los derechos fundamentales de las personas residentes en Colombia”</w:t>
      </w:r>
      <w:r w:rsidRPr="0023762B">
        <w:rPr>
          <w:rStyle w:val="Refdenotaalpie"/>
          <w:rFonts w:ascii="Gadugi" w:eastAsia="Times New Roman" w:hAnsi="Gadugi"/>
          <w:szCs w:val="24"/>
          <w:lang w:val="es-CO" w:eastAsia="es-CO"/>
        </w:rPr>
        <w:footnoteReference w:id="15"/>
      </w:r>
      <w:r w:rsidRPr="0023762B">
        <w:rPr>
          <w:rFonts w:ascii="Gadugi" w:eastAsia="Times New Roman" w:hAnsi="Gadugi" w:cs="Times New Roman"/>
          <w:szCs w:val="24"/>
          <w:lang w:val="es-CO" w:eastAsia="es-CO"/>
        </w:rPr>
        <w:t xml:space="preserve"> </w:t>
      </w:r>
    </w:p>
    <w:p w14:paraId="536D4B9D" w14:textId="22FA9DA1" w:rsidR="00673C54" w:rsidRPr="0023762B" w:rsidRDefault="00673C54" w:rsidP="0023762B">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p>
    <w:p w14:paraId="04CDDE5F" w14:textId="04496ECB" w:rsidR="00673C54" w:rsidRPr="0023762B" w:rsidRDefault="00673C54" w:rsidP="0023762B">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23762B">
        <w:rPr>
          <w:rFonts w:ascii="Gadugi" w:eastAsia="Times New Roman" w:hAnsi="Gadugi" w:cs="Times New Roman"/>
          <w:szCs w:val="24"/>
          <w:lang w:val="es-CO" w:eastAsia="es-CO"/>
        </w:rPr>
        <w:tab/>
      </w:r>
      <w:r w:rsidRPr="0023762B">
        <w:rPr>
          <w:rFonts w:ascii="Gadugi" w:eastAsia="Times New Roman" w:hAnsi="Gadugi" w:cs="Times New Roman"/>
          <w:szCs w:val="24"/>
          <w:lang w:val="es-CO" w:eastAsia="es-CO"/>
        </w:rPr>
        <w:tab/>
      </w:r>
      <w:r w:rsidRPr="0023762B">
        <w:rPr>
          <w:rFonts w:ascii="Gadugi" w:eastAsia="Times New Roman" w:hAnsi="Gadugi" w:cs="Times New Roman"/>
          <w:szCs w:val="24"/>
          <w:lang w:val="es-CO" w:eastAsia="es-CO"/>
        </w:rPr>
        <w:tab/>
      </w:r>
      <w:r w:rsidRPr="0023762B">
        <w:rPr>
          <w:rFonts w:ascii="Gadugi" w:eastAsia="Times New Roman" w:hAnsi="Gadugi" w:cs="Times New Roman"/>
          <w:szCs w:val="24"/>
          <w:lang w:val="es-CO" w:eastAsia="es-CO"/>
        </w:rPr>
        <w:tab/>
        <w:t>Por su parte, el artículo 49 del Decreto 2591 de 1991 establece que “en cada municipio, el personero en su calidad de defensor en la respectiva entidad territorial, podrá por delegación expresa del Defensor del Pueblo, interponer las acciones de tutela o representarlo en las que éste interponga directamente.". Para ese efecto, el Defensor del Pueblo confirió delegación a los personeros mediante Resolución 01 del 2 de abril de 1992 y específicamente para Bogotá, por Resolución 04 de abril 20 de 1992.</w:t>
      </w:r>
    </w:p>
    <w:p w14:paraId="102C0F88" w14:textId="055C8736" w:rsidR="00673C54" w:rsidRPr="0023762B" w:rsidRDefault="00673C54" w:rsidP="0023762B">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p>
    <w:p w14:paraId="57274648" w14:textId="73980E0D" w:rsidR="00673C54" w:rsidRPr="0023762B" w:rsidRDefault="00673C54" w:rsidP="0023762B">
      <w:pPr>
        <w:overflowPunct w:val="0"/>
        <w:autoSpaceDE w:val="0"/>
        <w:autoSpaceDN w:val="0"/>
        <w:adjustRightInd w:val="0"/>
        <w:spacing w:after="0" w:line="240" w:lineRule="auto"/>
        <w:ind w:left="426" w:right="420"/>
        <w:jc w:val="both"/>
        <w:textAlignment w:val="baseline"/>
        <w:rPr>
          <w:rFonts w:ascii="Gadugi" w:eastAsia="Times New Roman" w:hAnsi="Gadugi" w:cs="Times New Roman"/>
          <w:b/>
          <w:szCs w:val="24"/>
          <w:lang w:val="es-CO" w:eastAsia="es-CO"/>
        </w:rPr>
      </w:pPr>
      <w:r w:rsidRPr="0023762B">
        <w:rPr>
          <w:rFonts w:ascii="Gadugi" w:eastAsia="Times New Roman" w:hAnsi="Gadugi" w:cs="Times New Roman"/>
          <w:szCs w:val="24"/>
          <w:lang w:val="es-CO" w:eastAsia="es-CO"/>
        </w:rPr>
        <w:tab/>
      </w:r>
      <w:r w:rsidRPr="0023762B">
        <w:rPr>
          <w:rFonts w:ascii="Gadugi" w:eastAsia="Times New Roman" w:hAnsi="Gadugi" w:cs="Times New Roman"/>
          <w:szCs w:val="24"/>
          <w:lang w:val="es-CO" w:eastAsia="es-CO"/>
        </w:rPr>
        <w:tab/>
      </w:r>
      <w:r w:rsidRPr="0023762B">
        <w:rPr>
          <w:rFonts w:ascii="Gadugi" w:eastAsia="Times New Roman" w:hAnsi="Gadugi" w:cs="Times New Roman"/>
          <w:szCs w:val="24"/>
          <w:lang w:val="es-CO" w:eastAsia="es-CO"/>
        </w:rPr>
        <w:tab/>
      </w:r>
      <w:r w:rsidRPr="0023762B">
        <w:rPr>
          <w:rFonts w:ascii="Gadugi" w:eastAsia="Times New Roman" w:hAnsi="Gadugi" w:cs="Times New Roman"/>
          <w:szCs w:val="24"/>
          <w:lang w:val="es-CO" w:eastAsia="es-CO"/>
        </w:rPr>
        <w:tab/>
        <w:t xml:space="preserve">De las normas transcritas, se desprende que el Defensor del Pueblo y el Personero sólo pueden interponer acción de tutela cuando sucede alguno de estos eventos: que lo haga a nombre de una persona que se lo solicite, o que la persona esté en situación de desamparo e indefensión. </w:t>
      </w:r>
      <w:r w:rsidRPr="0023762B">
        <w:rPr>
          <w:rFonts w:ascii="Gadugi" w:eastAsia="Times New Roman" w:hAnsi="Gadugi" w:cs="Times New Roman"/>
          <w:b/>
          <w:szCs w:val="24"/>
          <w:lang w:val="es-CO" w:eastAsia="es-CO"/>
        </w:rPr>
        <w:t xml:space="preserve">En el presente caso, el personero de Bolívar manifiesta que actúa por petición de los actores. ¿significa lo anterior que el Ministerio Público debe allegar copia de la </w:t>
      </w:r>
      <w:r w:rsidR="006F65FE" w:rsidRPr="0023762B">
        <w:rPr>
          <w:rFonts w:ascii="Gadugi" w:eastAsia="Times New Roman" w:hAnsi="Gadugi" w:cs="Times New Roman"/>
          <w:b/>
          <w:szCs w:val="24"/>
          <w:lang w:val="es-CO" w:eastAsia="es-CO"/>
        </w:rPr>
        <w:t>solicitud?</w:t>
      </w:r>
    </w:p>
    <w:p w14:paraId="4B73BB11" w14:textId="31DC4967" w:rsidR="00673C54" w:rsidRPr="0023762B" w:rsidRDefault="00673C54" w:rsidP="0023762B">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p>
    <w:p w14:paraId="1BC15256" w14:textId="3D18FAFF" w:rsidR="00673C54" w:rsidRPr="0023762B" w:rsidRDefault="00673C54" w:rsidP="0023762B">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23762B">
        <w:rPr>
          <w:rFonts w:ascii="Gadugi" w:eastAsia="Times New Roman" w:hAnsi="Gadugi" w:cs="Times New Roman"/>
          <w:szCs w:val="24"/>
          <w:lang w:val="es-CO" w:eastAsia="es-CO"/>
        </w:rPr>
        <w:tab/>
      </w:r>
      <w:r w:rsidRPr="0023762B">
        <w:rPr>
          <w:rFonts w:ascii="Gadugi" w:eastAsia="Times New Roman" w:hAnsi="Gadugi" w:cs="Times New Roman"/>
          <w:szCs w:val="24"/>
          <w:lang w:val="es-CO" w:eastAsia="es-CO"/>
        </w:rPr>
        <w:tab/>
      </w:r>
      <w:r w:rsidRPr="0023762B">
        <w:rPr>
          <w:rFonts w:ascii="Gadugi" w:eastAsia="Times New Roman" w:hAnsi="Gadugi" w:cs="Times New Roman"/>
          <w:szCs w:val="24"/>
          <w:lang w:val="es-CO" w:eastAsia="es-CO"/>
        </w:rPr>
        <w:tab/>
      </w:r>
      <w:r w:rsidRPr="0023762B">
        <w:rPr>
          <w:rFonts w:ascii="Gadugi" w:eastAsia="Times New Roman" w:hAnsi="Gadugi" w:cs="Times New Roman"/>
          <w:szCs w:val="24"/>
          <w:lang w:val="es-CO" w:eastAsia="es-CO"/>
        </w:rPr>
        <w:tab/>
      </w:r>
      <w:r w:rsidRPr="0023762B">
        <w:rPr>
          <w:rFonts w:ascii="Gadugi" w:eastAsia="Times New Roman" w:hAnsi="Gadugi" w:cs="Times New Roman"/>
          <w:b/>
          <w:szCs w:val="24"/>
          <w:lang w:val="es-CO" w:eastAsia="es-CO"/>
        </w:rPr>
        <w:t>La Sala considera que la respuesta al interior interrogante es negativa, pues la norma no exige una formalidad especial para la solicitud de representación del Ministerio Público, por lo que es perfectamente posible que la intervención del personero se origine en una petición verbal de protección</w:t>
      </w:r>
      <w:r w:rsidRPr="0023762B">
        <w:rPr>
          <w:rFonts w:ascii="Gadugi" w:eastAsia="Times New Roman" w:hAnsi="Gadugi" w:cs="Times New Roman"/>
          <w:szCs w:val="24"/>
          <w:lang w:val="es-CO" w:eastAsia="es-CO"/>
        </w:rPr>
        <w:t>. Así mismo, tal y como lo ha manifestado en varias oportunidades esta Corporación</w:t>
      </w:r>
      <w:r w:rsidRPr="0023762B">
        <w:rPr>
          <w:rStyle w:val="Refdenotaalpie"/>
          <w:rFonts w:ascii="Gadugi" w:eastAsia="Times New Roman" w:hAnsi="Gadugi"/>
          <w:szCs w:val="24"/>
          <w:lang w:val="es-CO" w:eastAsia="es-CO"/>
        </w:rPr>
        <w:footnoteReference w:id="16"/>
      </w:r>
      <w:r w:rsidRPr="0023762B">
        <w:rPr>
          <w:rFonts w:ascii="Gadugi" w:eastAsia="Times New Roman" w:hAnsi="Gadugi" w:cs="Times New Roman"/>
          <w:szCs w:val="24"/>
          <w:lang w:val="es-CO" w:eastAsia="es-CO"/>
        </w:rPr>
        <w:t>, el Defensor del Pueblo o el Personero Municipal no necesitan exhibir un poder conferido por la persona afectada para intervenir en su favor, simplemente debe mediar una explicación de la situación de indefensión o una solicitud escrita o verbal que legitime su actuación.</w:t>
      </w:r>
    </w:p>
    <w:p w14:paraId="027557B8" w14:textId="77777777" w:rsidR="00673C54" w:rsidRPr="00C379D6" w:rsidRDefault="00673C5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24CCD34D" w14:textId="662F60F6" w:rsidR="00673C54" w:rsidRPr="00C379D6" w:rsidRDefault="007479E7"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sz w:val="24"/>
          <w:szCs w:val="24"/>
          <w:lang w:val="es-ES" w:eastAsia="es-ES"/>
        </w:rPr>
        <w:lastRenderedPageBreak/>
        <w:t xml:space="preserve">2.2. </w:t>
      </w:r>
      <w:r w:rsidR="002B6694" w:rsidRPr="00C379D6">
        <w:rPr>
          <w:rFonts w:ascii="Gadugi" w:eastAsia="Times New Roman" w:hAnsi="Gadugi" w:cs="Times New Roman"/>
          <w:sz w:val="24"/>
          <w:szCs w:val="24"/>
          <w:lang w:val="es-ES" w:eastAsia="es-ES"/>
        </w:rPr>
        <w:t xml:space="preserve">También </w:t>
      </w:r>
      <w:bookmarkStart w:id="3" w:name="_Hlk85637508"/>
      <w:r w:rsidR="002B6694" w:rsidRPr="00C379D6">
        <w:rPr>
          <w:rFonts w:ascii="Gadugi" w:eastAsia="Times New Roman" w:hAnsi="Gadugi" w:cs="Times New Roman"/>
          <w:sz w:val="24"/>
          <w:szCs w:val="24"/>
          <w:lang w:val="es-ES" w:eastAsia="es-ES"/>
        </w:rPr>
        <w:t xml:space="preserve">se satisface la legitimación en la causa por pasiva, pero únicamente respecto de </w:t>
      </w:r>
      <w:r w:rsidR="002A0774" w:rsidRPr="00C379D6">
        <w:rPr>
          <w:rFonts w:ascii="Gadugi" w:eastAsia="Times New Roman" w:hAnsi="Gadugi" w:cs="Times New Roman"/>
          <w:sz w:val="24"/>
          <w:szCs w:val="24"/>
          <w:lang w:val="es-ES" w:eastAsia="es-ES"/>
        </w:rPr>
        <w:t>la Regional Viejo Caldas del INPEC, habida cuenta de que según el numeral 1° del artículo 29 del Decreto 4151 de 2011</w:t>
      </w:r>
      <w:bookmarkEnd w:id="3"/>
      <w:r w:rsidR="002A0774" w:rsidRPr="00C379D6">
        <w:rPr>
          <w:rStyle w:val="Refdenotaalpie"/>
          <w:rFonts w:ascii="Gadugi" w:eastAsia="Times New Roman" w:hAnsi="Gadugi"/>
          <w:sz w:val="24"/>
          <w:szCs w:val="24"/>
          <w:lang w:val="es-ES" w:eastAsia="es-ES"/>
        </w:rPr>
        <w:footnoteReference w:id="17"/>
      </w:r>
      <w:r w:rsidR="002A0774" w:rsidRPr="00C379D6">
        <w:rPr>
          <w:rFonts w:ascii="Gadugi" w:eastAsia="Times New Roman" w:hAnsi="Gadugi" w:cs="Times New Roman"/>
          <w:sz w:val="24"/>
          <w:szCs w:val="24"/>
          <w:lang w:val="es-ES" w:eastAsia="es-ES"/>
        </w:rPr>
        <w:t xml:space="preserve"> le corresponde:</w:t>
      </w:r>
    </w:p>
    <w:p w14:paraId="684B23F4" w14:textId="25AF2634" w:rsidR="002A0774" w:rsidRPr="00C379D6" w:rsidRDefault="002A077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4B595535" w14:textId="6BA22105" w:rsidR="002A0774" w:rsidRPr="003D017D" w:rsidRDefault="002A0774" w:rsidP="003D017D">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3D017D">
        <w:rPr>
          <w:rFonts w:ascii="Gadugi" w:eastAsia="Times New Roman" w:hAnsi="Gadugi" w:cs="Times New Roman"/>
          <w:szCs w:val="24"/>
          <w:lang w:val="es-CO" w:eastAsia="es-CO"/>
        </w:rPr>
        <w:t>Controlar el funcionamiento de los establecimientos de reclusión, de acuerdo con las directrices impartidas por la Dirección General, las oficinas de esta y las Direcciones, así como con la normatividad vigente.</w:t>
      </w:r>
    </w:p>
    <w:p w14:paraId="45D9B287" w14:textId="4BA2CCAB" w:rsidR="002A0774" w:rsidRPr="00C379D6" w:rsidRDefault="002A077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3F929DFA" w14:textId="1614CD89" w:rsidR="002A0774" w:rsidRPr="00C379D6" w:rsidRDefault="002A077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i/>
          <w:sz w:val="24"/>
          <w:szCs w:val="24"/>
          <w:lang w:val="es-ES" w:eastAsia="es-ES"/>
        </w:rPr>
      </w:pPr>
      <w:r w:rsidRPr="00C379D6">
        <w:rPr>
          <w:rFonts w:ascii="Gadugi" w:eastAsia="Times New Roman" w:hAnsi="Gadugi" w:cs="Times New Roman"/>
          <w:sz w:val="24"/>
          <w:szCs w:val="24"/>
          <w:lang w:val="es-ES" w:eastAsia="es-ES"/>
        </w:rPr>
        <w:t>Lo cual fue reafirmado por la Dirección General del INPEC en su contestación</w:t>
      </w:r>
      <w:r w:rsidR="00E50774" w:rsidRPr="00C379D6">
        <w:rPr>
          <w:rFonts w:ascii="Gadugi" w:eastAsia="Times New Roman" w:hAnsi="Gadugi" w:cs="Times New Roman"/>
          <w:sz w:val="24"/>
          <w:szCs w:val="24"/>
          <w:lang w:val="es-ES" w:eastAsia="es-ES"/>
        </w:rPr>
        <w:t>, al decir</w:t>
      </w:r>
      <w:r w:rsidRPr="00C379D6">
        <w:rPr>
          <w:rFonts w:ascii="Gadugi" w:eastAsia="Times New Roman" w:hAnsi="Gadugi" w:cs="Times New Roman"/>
          <w:sz w:val="24"/>
          <w:szCs w:val="24"/>
          <w:lang w:val="es-ES" w:eastAsia="es-ES"/>
        </w:rPr>
        <w:t xml:space="preserve"> que le </w:t>
      </w:r>
      <w:r w:rsidRPr="00C379D6">
        <w:rPr>
          <w:rFonts w:ascii="Gadugi" w:eastAsia="Times New Roman" w:hAnsi="Gadugi" w:cs="Times New Roman"/>
          <w:i/>
          <w:sz w:val="24"/>
          <w:szCs w:val="24"/>
          <w:lang w:val="es-ES" w:eastAsia="es-ES"/>
        </w:rPr>
        <w:t>“</w:t>
      </w:r>
      <w:r w:rsidRPr="003D017D">
        <w:rPr>
          <w:rFonts w:ascii="Gadugi" w:eastAsia="Times New Roman" w:hAnsi="Gadugi" w:cs="Times New Roman"/>
          <w:i/>
          <w:szCs w:val="24"/>
          <w:lang w:val="es-ES" w:eastAsia="es-ES"/>
        </w:rPr>
        <w:t>(…) corresponde a las Direcciones de las Regionales (REGIONAL VIEJO CALDAS) del INPEC, la competencia de fijar, asignar y ordenar el traslado de los CONDENADOS a un Establecimiento de Reclusión del Orden Nacional dentro de su Jurisdicción</w:t>
      </w:r>
      <w:r w:rsidRPr="00C379D6">
        <w:rPr>
          <w:rFonts w:ascii="Gadugi" w:eastAsia="Times New Roman" w:hAnsi="Gadugi" w:cs="Times New Roman"/>
          <w:i/>
          <w:sz w:val="24"/>
          <w:szCs w:val="24"/>
          <w:lang w:val="es-ES" w:eastAsia="es-ES"/>
        </w:rPr>
        <w:t>”</w:t>
      </w:r>
      <w:r w:rsidR="003D017D">
        <w:rPr>
          <w:rFonts w:ascii="Gadugi" w:eastAsia="Times New Roman" w:hAnsi="Gadugi" w:cs="Times New Roman"/>
          <w:i/>
          <w:sz w:val="24"/>
          <w:szCs w:val="24"/>
          <w:lang w:val="es-ES" w:eastAsia="es-ES"/>
        </w:rPr>
        <w:t>.</w:t>
      </w:r>
    </w:p>
    <w:p w14:paraId="1CF1A08F" w14:textId="77777777" w:rsidR="00673C54" w:rsidRPr="00C379D6" w:rsidRDefault="00673C5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16D4D2F8" w14:textId="22C7AE7B" w:rsidR="00673C54" w:rsidRPr="00C379D6" w:rsidRDefault="002A077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sz w:val="24"/>
          <w:szCs w:val="24"/>
          <w:lang w:val="es-ES" w:eastAsia="es-ES"/>
        </w:rPr>
        <w:t xml:space="preserve">En esos términos se modificará y adicionará el fallo para declarar improcedente la demanda respecto de las demás autoridades convocadas al trámite. </w:t>
      </w:r>
    </w:p>
    <w:p w14:paraId="7F9A682B" w14:textId="619B3E05" w:rsidR="00673C54" w:rsidRPr="00C379D6" w:rsidRDefault="00673C5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1BA71E29" w14:textId="6038619F" w:rsidR="00673C54" w:rsidRPr="00C379D6" w:rsidRDefault="007479E7"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sz w:val="24"/>
          <w:szCs w:val="24"/>
          <w:lang w:val="es-ES" w:eastAsia="es-ES"/>
        </w:rPr>
        <w:t xml:space="preserve">2.3. </w:t>
      </w:r>
      <w:r w:rsidR="002A0774" w:rsidRPr="00C379D6">
        <w:rPr>
          <w:rFonts w:ascii="Gadugi" w:eastAsia="Times New Roman" w:hAnsi="Gadugi" w:cs="Times New Roman"/>
          <w:sz w:val="24"/>
          <w:szCs w:val="24"/>
          <w:lang w:val="es-ES" w:eastAsia="es-ES"/>
        </w:rPr>
        <w:t xml:space="preserve">También se cumple con la inmediatez, toda vez que esta demanda se formuló el </w:t>
      </w:r>
      <w:r w:rsidR="00101A55" w:rsidRPr="00C379D6">
        <w:rPr>
          <w:rFonts w:ascii="Gadugi" w:eastAsia="Times New Roman" w:hAnsi="Gadugi" w:cs="Times New Roman"/>
          <w:sz w:val="24"/>
          <w:szCs w:val="24"/>
          <w:lang w:val="es-ES" w:eastAsia="es-ES"/>
        </w:rPr>
        <w:t xml:space="preserve">15 de abril de 2021, mientras los beneficiarios de la protección, se encontraban recluidos en los centros de </w:t>
      </w:r>
      <w:r w:rsidRPr="00C379D6">
        <w:rPr>
          <w:rFonts w:ascii="Gadugi" w:eastAsia="Times New Roman" w:hAnsi="Gadugi" w:cs="Times New Roman"/>
          <w:sz w:val="24"/>
          <w:szCs w:val="24"/>
          <w:lang w:val="es-ES" w:eastAsia="es-ES"/>
        </w:rPr>
        <w:t>reflexión</w:t>
      </w:r>
      <w:r w:rsidR="00101A55" w:rsidRPr="00C379D6">
        <w:rPr>
          <w:rFonts w:ascii="Gadugi" w:eastAsia="Times New Roman" w:hAnsi="Gadugi" w:cs="Times New Roman"/>
          <w:sz w:val="24"/>
          <w:szCs w:val="24"/>
          <w:lang w:val="es-ES" w:eastAsia="es-ES"/>
        </w:rPr>
        <w:t xml:space="preserve"> de las estaciones de policía de Quinchía e Irra. </w:t>
      </w:r>
    </w:p>
    <w:p w14:paraId="11AD9309" w14:textId="409CE5E2" w:rsidR="00673C54" w:rsidRPr="00C379D6" w:rsidRDefault="00673C5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182A7B6A" w14:textId="1C672B61" w:rsidR="007479E7" w:rsidRPr="00C379D6" w:rsidRDefault="007479E7"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sz w:val="24"/>
          <w:szCs w:val="24"/>
          <w:lang w:val="es-ES" w:eastAsia="es-ES"/>
        </w:rPr>
        <w:t xml:space="preserve">2.4. </w:t>
      </w:r>
      <w:r w:rsidR="00101A55" w:rsidRPr="00C379D6">
        <w:rPr>
          <w:rFonts w:ascii="Gadugi" w:eastAsia="Times New Roman" w:hAnsi="Gadugi" w:cs="Times New Roman"/>
          <w:sz w:val="24"/>
          <w:szCs w:val="24"/>
          <w:lang w:val="es-ES" w:eastAsia="es-ES"/>
        </w:rPr>
        <w:t xml:space="preserve">Y por último se </w:t>
      </w:r>
      <w:r w:rsidR="00E50774" w:rsidRPr="00C379D6">
        <w:rPr>
          <w:rFonts w:ascii="Gadugi" w:eastAsia="Times New Roman" w:hAnsi="Gadugi" w:cs="Times New Roman"/>
          <w:sz w:val="24"/>
          <w:szCs w:val="24"/>
          <w:lang w:val="es-ES" w:eastAsia="es-ES"/>
        </w:rPr>
        <w:t>salva</w:t>
      </w:r>
      <w:r w:rsidR="00101A55" w:rsidRPr="00C379D6">
        <w:rPr>
          <w:rFonts w:ascii="Gadugi" w:eastAsia="Times New Roman" w:hAnsi="Gadugi" w:cs="Times New Roman"/>
          <w:sz w:val="24"/>
          <w:szCs w:val="24"/>
          <w:lang w:val="es-ES" w:eastAsia="es-ES"/>
        </w:rPr>
        <w:t xml:space="preserve"> la subsidiaridad</w:t>
      </w:r>
      <w:r w:rsidR="00E50774" w:rsidRPr="00C379D6">
        <w:rPr>
          <w:rFonts w:ascii="Gadugi" w:eastAsia="Times New Roman" w:hAnsi="Gadugi" w:cs="Times New Roman"/>
          <w:sz w:val="24"/>
          <w:szCs w:val="24"/>
          <w:lang w:val="es-ES" w:eastAsia="es-ES"/>
        </w:rPr>
        <w:t>,</w:t>
      </w:r>
      <w:r w:rsidR="00101A55" w:rsidRPr="00C379D6">
        <w:rPr>
          <w:rFonts w:ascii="Gadugi" w:eastAsia="Times New Roman" w:hAnsi="Gadugi" w:cs="Times New Roman"/>
          <w:sz w:val="24"/>
          <w:szCs w:val="24"/>
          <w:lang w:val="es-ES" w:eastAsia="es-ES"/>
        </w:rPr>
        <w:t xml:space="preserve"> </w:t>
      </w:r>
      <w:r w:rsidR="005124D2" w:rsidRPr="00C379D6">
        <w:rPr>
          <w:rFonts w:ascii="Gadugi" w:eastAsia="Times New Roman" w:hAnsi="Gadugi" w:cs="Times New Roman"/>
          <w:sz w:val="24"/>
          <w:szCs w:val="24"/>
          <w:lang w:val="es-ES" w:eastAsia="es-ES"/>
        </w:rPr>
        <w:t xml:space="preserve">porque </w:t>
      </w:r>
      <w:r w:rsidRPr="00C379D6">
        <w:rPr>
          <w:rFonts w:ascii="Gadugi" w:eastAsia="Times New Roman" w:hAnsi="Gadugi" w:cs="Times New Roman"/>
          <w:sz w:val="24"/>
          <w:szCs w:val="24"/>
          <w:lang w:val="es-ES" w:eastAsia="es-ES"/>
        </w:rPr>
        <w:t xml:space="preserve">es inexistente otro medio judicial que propicie perentoriamente el cese de la vulneración a las prerrogativas fundamentales de los accionantes. </w:t>
      </w:r>
    </w:p>
    <w:p w14:paraId="4F9CB50B" w14:textId="77777777" w:rsidR="007479E7" w:rsidRPr="00C379D6" w:rsidRDefault="007479E7"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505638F" w14:textId="298D59AD" w:rsidR="002F4AD0" w:rsidRPr="00C379D6" w:rsidRDefault="007479E7"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i/>
          <w:sz w:val="24"/>
          <w:szCs w:val="24"/>
          <w:lang w:val="es-ES" w:eastAsia="es-ES"/>
        </w:rPr>
      </w:pPr>
      <w:r w:rsidRPr="00C379D6">
        <w:rPr>
          <w:rFonts w:ascii="Gadugi" w:eastAsia="Times New Roman" w:hAnsi="Gadugi" w:cs="Times New Roman"/>
          <w:sz w:val="24"/>
          <w:szCs w:val="24"/>
          <w:lang w:val="es-ES" w:eastAsia="es-ES"/>
        </w:rPr>
        <w:t>2.5. Superada la procedencia de la demanda</w:t>
      </w:r>
      <w:r w:rsidR="00B12BE0" w:rsidRPr="00C379D6">
        <w:rPr>
          <w:rFonts w:ascii="Gadugi" w:eastAsia="Times New Roman" w:hAnsi="Gadugi" w:cs="Times New Roman"/>
          <w:sz w:val="24"/>
          <w:szCs w:val="24"/>
          <w:lang w:val="es-ES" w:eastAsia="es-ES"/>
        </w:rPr>
        <w:t xml:space="preserve">, sigue anunciar que </w:t>
      </w:r>
      <w:bookmarkStart w:id="4" w:name="_Hlk85637594"/>
      <w:r w:rsidR="00B12BE0" w:rsidRPr="00C379D6">
        <w:rPr>
          <w:rFonts w:ascii="Gadugi" w:eastAsia="Times New Roman" w:hAnsi="Gadugi" w:cs="Times New Roman"/>
          <w:sz w:val="24"/>
          <w:szCs w:val="24"/>
          <w:lang w:val="es-ES" w:eastAsia="es-ES"/>
        </w:rPr>
        <w:t>esta</w:t>
      </w:r>
      <w:r w:rsidR="002F4AD0" w:rsidRPr="00C379D6">
        <w:rPr>
          <w:rFonts w:ascii="Gadugi" w:eastAsia="Times New Roman" w:hAnsi="Gadugi" w:cs="Times New Roman"/>
          <w:sz w:val="24"/>
          <w:szCs w:val="24"/>
          <w:lang w:val="es-ES" w:eastAsia="es-ES"/>
        </w:rPr>
        <w:t xml:space="preserve"> Sala se aparta de lo planteado en la impugnación</w:t>
      </w:r>
      <w:r w:rsidR="00B12BE0" w:rsidRPr="00C379D6">
        <w:rPr>
          <w:rFonts w:ascii="Gadugi" w:eastAsia="Times New Roman" w:hAnsi="Gadugi" w:cs="Times New Roman"/>
          <w:sz w:val="24"/>
          <w:szCs w:val="24"/>
          <w:lang w:val="es-ES" w:eastAsia="es-ES"/>
        </w:rPr>
        <w:t xml:space="preserve"> </w:t>
      </w:r>
      <w:r w:rsidR="002F4AD0" w:rsidRPr="00C379D6">
        <w:rPr>
          <w:rFonts w:ascii="Gadugi" w:eastAsia="Times New Roman" w:hAnsi="Gadugi" w:cs="Times New Roman"/>
          <w:sz w:val="24"/>
          <w:szCs w:val="24"/>
          <w:lang w:val="es-ES" w:eastAsia="es-ES"/>
        </w:rPr>
        <w:t>y</w:t>
      </w:r>
      <w:r w:rsidR="00B12BE0" w:rsidRPr="00C379D6">
        <w:rPr>
          <w:rFonts w:ascii="Gadugi" w:eastAsia="Times New Roman" w:hAnsi="Gadugi" w:cs="Times New Roman"/>
          <w:sz w:val="24"/>
          <w:szCs w:val="24"/>
          <w:lang w:val="es-ES" w:eastAsia="es-ES"/>
        </w:rPr>
        <w:t xml:space="preserve"> coincide con lo decidido en primera instancia, en lo que se refiere a la orden que se le dirigió a la Regional Viejo Caldas del INPEC para que materializara el traslado de los demandantes, habida cuenta de que</w:t>
      </w:r>
      <w:r w:rsidR="002F4AD0" w:rsidRPr="00C379D6">
        <w:rPr>
          <w:rFonts w:ascii="Gadugi" w:eastAsia="Times New Roman" w:hAnsi="Gadugi" w:cs="Times New Roman"/>
          <w:sz w:val="24"/>
          <w:szCs w:val="24"/>
          <w:lang w:val="es-ES" w:eastAsia="es-ES"/>
        </w:rPr>
        <w:t xml:space="preserve"> </w:t>
      </w:r>
      <w:r w:rsidR="002F4AD0" w:rsidRPr="00C379D6">
        <w:rPr>
          <w:rFonts w:ascii="Gadugi" w:eastAsia="Times New Roman" w:hAnsi="Gadugi" w:cs="Times New Roman"/>
          <w:i/>
          <w:sz w:val="24"/>
          <w:szCs w:val="24"/>
          <w:lang w:val="es-ES" w:eastAsia="es-ES"/>
        </w:rPr>
        <w:t>“</w:t>
      </w:r>
      <w:r w:rsidR="002F4AD0" w:rsidRPr="003D017D">
        <w:rPr>
          <w:rFonts w:ascii="Gadugi" w:eastAsia="Times New Roman" w:hAnsi="Gadugi" w:cs="Times New Roman"/>
          <w:i/>
          <w:szCs w:val="24"/>
          <w:lang w:val="es-ES" w:eastAsia="es-ES"/>
        </w:rPr>
        <w:t>Si bien es cierto que, de conformidad con el artículo 17 de la Ley 65 de 1993, es competencia de los departamentos, municipios y áreas metropolitanas, la dirección, organización, administración, sostenimiento y vigilancia de las cárceles para las personas detenidas preventivamente y condenadas por contravenciones que impliquen privación de la libertad, en todo caso, será el Instituto Nacional Penitenciario y Carcelario quien ejercerá la inspección y vigilancia de las cárceles de las entidades territoriales</w:t>
      </w:r>
      <w:r w:rsidR="002F4AD0" w:rsidRPr="00C379D6">
        <w:rPr>
          <w:rFonts w:ascii="Gadugi" w:eastAsia="Times New Roman" w:hAnsi="Gadugi" w:cs="Times New Roman"/>
          <w:i/>
          <w:sz w:val="24"/>
          <w:szCs w:val="24"/>
          <w:lang w:val="es-ES" w:eastAsia="es-ES"/>
        </w:rPr>
        <w:t>”.</w:t>
      </w:r>
      <w:bookmarkEnd w:id="4"/>
      <w:r w:rsidR="002F4AD0" w:rsidRPr="00C379D6">
        <w:rPr>
          <w:rStyle w:val="Refdenotaalpie"/>
          <w:rFonts w:ascii="Gadugi" w:eastAsia="Times New Roman" w:hAnsi="Gadugi"/>
          <w:i/>
          <w:sz w:val="24"/>
          <w:szCs w:val="24"/>
          <w:lang w:val="es-ES" w:eastAsia="es-ES"/>
        </w:rPr>
        <w:footnoteReference w:id="18"/>
      </w:r>
    </w:p>
    <w:p w14:paraId="2EB5F7DF" w14:textId="77777777" w:rsidR="002F4AD0" w:rsidRPr="00C379D6" w:rsidRDefault="002F4AD0"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64AF5550" w14:textId="3642678C" w:rsidR="00B12BE0" w:rsidRPr="00C379D6" w:rsidRDefault="006D6605" w:rsidP="00C379D6">
      <w:pPr>
        <w:overflowPunct w:val="0"/>
        <w:autoSpaceDE w:val="0"/>
        <w:autoSpaceDN w:val="0"/>
        <w:adjustRightInd w:val="0"/>
        <w:spacing w:after="0" w:line="276" w:lineRule="auto"/>
        <w:ind w:firstLine="2835"/>
        <w:jc w:val="both"/>
        <w:textAlignment w:val="baseline"/>
        <w:rPr>
          <w:rFonts w:ascii="Gadugi" w:hAnsi="Gadugi" w:cs="Arial"/>
          <w:sz w:val="24"/>
          <w:szCs w:val="24"/>
        </w:rPr>
      </w:pPr>
      <w:r w:rsidRPr="00C379D6">
        <w:rPr>
          <w:rFonts w:ascii="Gadugi" w:hAnsi="Gadugi" w:cs="Arial"/>
          <w:sz w:val="24"/>
          <w:szCs w:val="24"/>
        </w:rPr>
        <w:lastRenderedPageBreak/>
        <w:t xml:space="preserve">La tesis que acaba de </w:t>
      </w:r>
      <w:r w:rsidR="00F421BC" w:rsidRPr="00C379D6">
        <w:rPr>
          <w:rFonts w:ascii="Gadugi" w:hAnsi="Gadugi" w:cs="Arial"/>
          <w:sz w:val="24"/>
          <w:szCs w:val="24"/>
        </w:rPr>
        <w:t>exponerse</w:t>
      </w:r>
      <w:r w:rsidRPr="00C379D6">
        <w:rPr>
          <w:rFonts w:ascii="Gadugi" w:hAnsi="Gadugi" w:cs="Arial"/>
          <w:sz w:val="24"/>
          <w:szCs w:val="24"/>
        </w:rPr>
        <w:t xml:space="preserve"> ha sido ya planteada por </w:t>
      </w:r>
      <w:r w:rsidR="00B12BE0" w:rsidRPr="00C379D6">
        <w:rPr>
          <w:rFonts w:ascii="Gadugi" w:hAnsi="Gadugi" w:cs="Arial"/>
          <w:sz w:val="24"/>
          <w:szCs w:val="24"/>
        </w:rPr>
        <w:t>esta Colegiatura</w:t>
      </w:r>
      <w:r w:rsidR="00B12BE0" w:rsidRPr="00C379D6">
        <w:rPr>
          <w:rStyle w:val="Refdenotaalpie"/>
          <w:rFonts w:ascii="Gadugi" w:hAnsi="Gadugi" w:cs="Arial"/>
          <w:sz w:val="24"/>
          <w:szCs w:val="24"/>
        </w:rPr>
        <w:footnoteReference w:id="19"/>
      </w:r>
      <w:r w:rsidR="00B12BE0" w:rsidRPr="00C379D6">
        <w:rPr>
          <w:rFonts w:ascii="Gadugi" w:hAnsi="Gadugi" w:cs="Arial"/>
          <w:sz w:val="24"/>
          <w:szCs w:val="24"/>
        </w:rPr>
        <w:t>, las Salas de Casación Penal</w:t>
      </w:r>
      <w:r w:rsidR="00B12BE0" w:rsidRPr="00C379D6">
        <w:rPr>
          <w:rStyle w:val="Refdenotaalpie"/>
          <w:rFonts w:ascii="Gadugi" w:hAnsi="Gadugi" w:cs="Arial"/>
          <w:sz w:val="24"/>
          <w:szCs w:val="24"/>
        </w:rPr>
        <w:footnoteReference w:id="20"/>
      </w:r>
      <w:r w:rsidR="00B12BE0" w:rsidRPr="00C379D6">
        <w:rPr>
          <w:rFonts w:ascii="Gadugi" w:hAnsi="Gadugi" w:cs="Arial"/>
          <w:sz w:val="24"/>
          <w:szCs w:val="24"/>
        </w:rPr>
        <w:t xml:space="preserve"> y Laboral</w:t>
      </w:r>
      <w:r w:rsidR="00B12BE0" w:rsidRPr="00C379D6">
        <w:rPr>
          <w:rStyle w:val="Refdenotaalpie"/>
          <w:rFonts w:ascii="Gadugi" w:hAnsi="Gadugi" w:cs="Arial"/>
          <w:sz w:val="24"/>
          <w:szCs w:val="24"/>
        </w:rPr>
        <w:footnoteReference w:id="21"/>
      </w:r>
      <w:r w:rsidR="00B12BE0" w:rsidRPr="00C379D6">
        <w:rPr>
          <w:rFonts w:ascii="Gadugi" w:hAnsi="Gadugi" w:cs="Arial"/>
          <w:sz w:val="24"/>
          <w:szCs w:val="24"/>
        </w:rPr>
        <w:t xml:space="preserve"> de la Corte Suprema de Justicia y la Corte Constitucional</w:t>
      </w:r>
      <w:r w:rsidR="00B12BE0" w:rsidRPr="00C379D6">
        <w:rPr>
          <w:rStyle w:val="Refdenotaalpie"/>
          <w:rFonts w:ascii="Gadugi" w:hAnsi="Gadugi" w:cs="Arial"/>
          <w:sz w:val="24"/>
          <w:szCs w:val="24"/>
        </w:rPr>
        <w:footnoteReference w:id="22"/>
      </w:r>
      <w:r w:rsidR="00B12BE0" w:rsidRPr="00C379D6">
        <w:rPr>
          <w:rFonts w:ascii="Gadugi" w:hAnsi="Gadugi" w:cs="Arial"/>
          <w:sz w:val="24"/>
          <w:szCs w:val="24"/>
        </w:rPr>
        <w:t>.</w:t>
      </w:r>
    </w:p>
    <w:p w14:paraId="75D29701" w14:textId="42916914" w:rsidR="002F4AD0" w:rsidRPr="00C379D6" w:rsidRDefault="002F4AD0"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5F790EAA" w14:textId="2A31FD6C" w:rsidR="00FB1476" w:rsidRPr="00C379D6" w:rsidRDefault="00FB1476"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sz w:val="24"/>
          <w:szCs w:val="24"/>
          <w:lang w:val="es-ES" w:eastAsia="es-ES"/>
        </w:rPr>
        <w:t xml:space="preserve">Por ejemplo, en la sentencia de la Sala de Casación Laboral que acaba de citarse, se explica con claridad el porqué de ese criterio: </w:t>
      </w:r>
    </w:p>
    <w:p w14:paraId="022744A5" w14:textId="378124DD" w:rsidR="00FB1476" w:rsidRPr="00C379D6" w:rsidRDefault="00FB1476"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53D04329" w14:textId="77777777" w:rsidR="00FB1476" w:rsidRPr="003D017D" w:rsidRDefault="00FB1476" w:rsidP="003D017D">
      <w:pPr>
        <w:overflowPunct w:val="0"/>
        <w:autoSpaceDE w:val="0"/>
        <w:autoSpaceDN w:val="0"/>
        <w:adjustRightInd w:val="0"/>
        <w:spacing w:after="0" w:line="240" w:lineRule="auto"/>
        <w:ind w:left="426" w:right="420" w:firstLine="2268"/>
        <w:jc w:val="both"/>
        <w:textAlignment w:val="baseline"/>
        <w:rPr>
          <w:rFonts w:ascii="Gadugi" w:eastAsia="Times New Roman" w:hAnsi="Gadugi" w:cs="Times New Roman"/>
          <w:szCs w:val="24"/>
          <w:lang w:val="es-ES" w:eastAsia="es-ES"/>
        </w:rPr>
      </w:pPr>
      <w:r w:rsidRPr="003D017D">
        <w:rPr>
          <w:rFonts w:ascii="Gadugi" w:eastAsia="Times New Roman" w:hAnsi="Gadugi" w:cs="Times New Roman"/>
          <w:szCs w:val="24"/>
          <w:lang w:val="es-ES" w:eastAsia="es-ES"/>
        </w:rPr>
        <w:t>Ahora bien, respecto al segundo punto de inconformidad del apelante referente a que el juez de primer grado en este mecanismo constitucional, no tuvo en cuenta el hacinamiento que padece el Complejo Penitenciario de Mediana Seguridad y Carcelario de Medellín – Bellavista-, es de advertir que la orden se ve condicionada a que en ese centro penitenciario se liberen cupos, y es en ese momento que el INPEC recibirá en custodia y efectuará el traslado de Casallas Arenas a ese establecimiento.</w:t>
      </w:r>
    </w:p>
    <w:p w14:paraId="77AD5C19" w14:textId="77777777" w:rsidR="00FB1476" w:rsidRPr="003D017D" w:rsidRDefault="00FB1476" w:rsidP="003D017D">
      <w:pPr>
        <w:overflowPunct w:val="0"/>
        <w:autoSpaceDE w:val="0"/>
        <w:autoSpaceDN w:val="0"/>
        <w:adjustRightInd w:val="0"/>
        <w:spacing w:after="0" w:line="240" w:lineRule="auto"/>
        <w:ind w:left="426" w:right="420" w:firstLine="2268"/>
        <w:jc w:val="both"/>
        <w:textAlignment w:val="baseline"/>
        <w:rPr>
          <w:rFonts w:ascii="Gadugi" w:eastAsia="Times New Roman" w:hAnsi="Gadugi" w:cs="Times New Roman"/>
          <w:szCs w:val="24"/>
          <w:lang w:val="es-ES" w:eastAsia="es-ES"/>
        </w:rPr>
      </w:pPr>
    </w:p>
    <w:p w14:paraId="50B333FA" w14:textId="77777777" w:rsidR="00FB1476" w:rsidRPr="003D017D" w:rsidRDefault="00FB1476" w:rsidP="003D017D">
      <w:pPr>
        <w:overflowPunct w:val="0"/>
        <w:autoSpaceDE w:val="0"/>
        <w:autoSpaceDN w:val="0"/>
        <w:adjustRightInd w:val="0"/>
        <w:spacing w:after="0" w:line="240" w:lineRule="auto"/>
        <w:ind w:left="426" w:right="420" w:firstLine="2268"/>
        <w:jc w:val="both"/>
        <w:textAlignment w:val="baseline"/>
        <w:rPr>
          <w:rFonts w:ascii="Gadugi" w:eastAsia="Times New Roman" w:hAnsi="Gadugi" w:cs="Times New Roman"/>
          <w:szCs w:val="24"/>
          <w:lang w:val="es-ES" w:eastAsia="es-ES"/>
        </w:rPr>
      </w:pPr>
      <w:r w:rsidRPr="003D017D">
        <w:rPr>
          <w:rFonts w:ascii="Gadugi" w:eastAsia="Times New Roman" w:hAnsi="Gadugi" w:cs="Times New Roman"/>
          <w:szCs w:val="24"/>
          <w:lang w:val="es-ES" w:eastAsia="es-ES"/>
        </w:rPr>
        <w:t>No obstante ello, como bien se sabe este complejo no es el único penal que se encuentra en estas condiciones, pues existe un estado de cosas inconstitucional reconocido por la Corte Constitucional en la sentencia T-153 de 1998, frente a las condiciones de las cárceles del país que actualmente se encuentran afectadas por altos niveles de sobrepoblación e insalubridad y que dicha problemática únicamente se conjura mediante la creación de nuevos centros de reclusión y la implementación de una política criminal que favorezca la descongestión de los centros de detención, luego no es dable alegar el hacinamiento, que por demás padecen todas las cárceles del país.</w:t>
      </w:r>
    </w:p>
    <w:p w14:paraId="05DDD245" w14:textId="77777777" w:rsidR="00FB1476" w:rsidRPr="003D017D" w:rsidRDefault="00FB1476" w:rsidP="003D017D">
      <w:pPr>
        <w:overflowPunct w:val="0"/>
        <w:autoSpaceDE w:val="0"/>
        <w:autoSpaceDN w:val="0"/>
        <w:adjustRightInd w:val="0"/>
        <w:spacing w:after="0" w:line="240" w:lineRule="auto"/>
        <w:ind w:left="426" w:right="420" w:firstLine="2268"/>
        <w:jc w:val="both"/>
        <w:textAlignment w:val="baseline"/>
        <w:rPr>
          <w:rFonts w:ascii="Gadugi" w:eastAsia="Times New Roman" w:hAnsi="Gadugi" w:cs="Times New Roman"/>
          <w:szCs w:val="24"/>
          <w:lang w:val="es-ES" w:eastAsia="es-ES"/>
        </w:rPr>
      </w:pPr>
    </w:p>
    <w:p w14:paraId="70701198" w14:textId="29D84961" w:rsidR="00FB1476" w:rsidRPr="003D017D" w:rsidRDefault="00FB1476" w:rsidP="003D017D">
      <w:pPr>
        <w:overflowPunct w:val="0"/>
        <w:autoSpaceDE w:val="0"/>
        <w:autoSpaceDN w:val="0"/>
        <w:adjustRightInd w:val="0"/>
        <w:spacing w:after="0" w:line="240" w:lineRule="auto"/>
        <w:ind w:left="426" w:right="420" w:firstLine="2268"/>
        <w:jc w:val="both"/>
        <w:textAlignment w:val="baseline"/>
        <w:rPr>
          <w:rFonts w:ascii="Gadugi" w:eastAsia="Times New Roman" w:hAnsi="Gadugi" w:cs="Times New Roman"/>
          <w:szCs w:val="24"/>
          <w:lang w:val="es-ES" w:eastAsia="es-ES"/>
        </w:rPr>
      </w:pPr>
      <w:r w:rsidRPr="003D017D">
        <w:rPr>
          <w:rFonts w:ascii="Gadugi" w:eastAsia="Times New Roman" w:hAnsi="Gadugi" w:cs="Times New Roman"/>
          <w:b/>
          <w:szCs w:val="24"/>
          <w:lang w:val="es-ES" w:eastAsia="es-ES"/>
        </w:rPr>
        <w:t>En tal sentido, se advierte que mientras se supera tal situación, es deber del Instituto Nacional Penitenciario y Carcelario – INPEC, la custodia y ubicación de las personas privadas de la libertad, a quienes se les debe salvaguardar sus prerrogativas fundamentales y como consecuencia de ello, otorgarles un establecimiento de reclusión en el que puedan cumplir sus condenas o medidas de aseguramiento</w:t>
      </w:r>
      <w:r w:rsidRPr="003D017D">
        <w:rPr>
          <w:rFonts w:ascii="Gadugi" w:eastAsia="Times New Roman" w:hAnsi="Gadugi" w:cs="Times New Roman"/>
          <w:szCs w:val="24"/>
          <w:lang w:val="es-ES" w:eastAsia="es-ES"/>
        </w:rPr>
        <w:t>. (Destaca la Sala)</w:t>
      </w:r>
    </w:p>
    <w:p w14:paraId="41325270" w14:textId="77777777" w:rsidR="00FB1476" w:rsidRPr="00C379D6" w:rsidRDefault="00FB1476"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13D995F3" w14:textId="0FED5EDB" w:rsidR="002F4AD0" w:rsidRPr="00C379D6" w:rsidRDefault="002F4AD0" w:rsidP="00C379D6">
      <w:pPr>
        <w:pStyle w:val="Sinespaciado5"/>
        <w:spacing w:line="276" w:lineRule="auto"/>
        <w:ind w:firstLine="2835"/>
        <w:jc w:val="both"/>
        <w:rPr>
          <w:rFonts w:ascii="Gadugi" w:hAnsi="Gadugi" w:cs="Arial"/>
          <w:sz w:val="24"/>
          <w:szCs w:val="24"/>
        </w:rPr>
      </w:pPr>
      <w:r w:rsidRPr="00C379D6">
        <w:rPr>
          <w:rFonts w:ascii="Gadugi" w:hAnsi="Gadugi"/>
          <w:sz w:val="24"/>
          <w:szCs w:val="24"/>
          <w:lang w:val="es-ES" w:eastAsia="es-ES"/>
        </w:rPr>
        <w:t xml:space="preserve">Además, </w:t>
      </w:r>
      <w:r w:rsidRPr="00C379D6">
        <w:rPr>
          <w:rFonts w:ascii="Gadugi" w:hAnsi="Gadugi" w:cs="Arial"/>
          <w:sz w:val="24"/>
          <w:szCs w:val="24"/>
        </w:rPr>
        <w:t xml:space="preserve">la Corte Constitucional </w:t>
      </w:r>
      <w:r w:rsidRPr="00C379D6">
        <w:rPr>
          <w:rFonts w:ascii="Gadugi" w:eastAsia="Arial" w:hAnsi="Gadugi" w:cs="Arial"/>
          <w:sz w:val="24"/>
          <w:szCs w:val="24"/>
        </w:rPr>
        <w:t>en la sentencia C-395 de 2020, sobre la detención preventiva en tiempos de pandemia,</w:t>
      </w:r>
      <w:r w:rsidRPr="00C379D6">
        <w:rPr>
          <w:rFonts w:ascii="Gadugi" w:hAnsi="Gadugi" w:cs="Arial"/>
          <w:sz w:val="24"/>
          <w:szCs w:val="24"/>
        </w:rPr>
        <w:t xml:space="preserve"> señaló que: </w:t>
      </w:r>
    </w:p>
    <w:p w14:paraId="4CF2E797" w14:textId="77777777" w:rsidR="004E33BC" w:rsidRPr="00C379D6" w:rsidRDefault="004E33BC" w:rsidP="004E33B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2B4B7698" w14:textId="117F70B7" w:rsidR="002F4AD0" w:rsidRPr="003D017D" w:rsidRDefault="002F4AD0" w:rsidP="003D017D">
      <w:pPr>
        <w:pStyle w:val="Sinespaciado5"/>
        <w:ind w:left="426" w:right="420"/>
        <w:jc w:val="both"/>
        <w:rPr>
          <w:rFonts w:ascii="Gadugi" w:hAnsi="Gadugi" w:cs="Arial"/>
          <w:szCs w:val="24"/>
        </w:rPr>
      </w:pPr>
      <w:r w:rsidRPr="003D017D">
        <w:rPr>
          <w:rFonts w:ascii="Gadugi" w:hAnsi="Gadugi" w:cs="Arial"/>
          <w:szCs w:val="24"/>
        </w:rPr>
        <w:tab/>
      </w:r>
      <w:r w:rsidRPr="003D017D">
        <w:rPr>
          <w:rFonts w:ascii="Gadugi" w:hAnsi="Gadugi" w:cs="Arial"/>
          <w:szCs w:val="24"/>
        </w:rPr>
        <w:tab/>
      </w:r>
      <w:r w:rsidRPr="003D017D">
        <w:rPr>
          <w:rFonts w:ascii="Gadugi" w:hAnsi="Gadugi" w:cs="Arial"/>
          <w:szCs w:val="24"/>
        </w:rPr>
        <w:tab/>
      </w:r>
      <w:r w:rsidRPr="003D017D">
        <w:rPr>
          <w:rFonts w:ascii="Gadugi" w:hAnsi="Gadugi" w:cs="Arial"/>
          <w:szCs w:val="24"/>
        </w:rPr>
        <w:tab/>
        <w:t xml:space="preserve">“Al respecto, la Sala considera importante reiterar que </w:t>
      </w:r>
      <w:r w:rsidRPr="003D017D">
        <w:rPr>
          <w:rFonts w:ascii="Gadugi" w:hAnsi="Gadugi" w:cs="Arial"/>
          <w:szCs w:val="24"/>
          <w:u w:val="single"/>
        </w:rPr>
        <w:t>las estaciones o subestaciones de policía y las unidades de reacción inmediata no pueden ser lugares en los que permanezcan personas más de las 36 horas establecidas en la Ley. Estos “centros de detención transitoria” como los ha denominado la jurisprudencia constitucional, deben cumplir con su naturaleza meramente “transitoria” y no ser lugares de reclusión ordinaria</w:t>
      </w:r>
      <w:r w:rsidRPr="003D017D">
        <w:rPr>
          <w:rFonts w:ascii="Gadugi" w:hAnsi="Gadugi" w:cs="Arial"/>
          <w:szCs w:val="24"/>
        </w:rPr>
        <w:t xml:space="preserve">. De ese modo, las medidas adoptadas en el Decreto 804 de 2020 son excepcionales y su procedencia se sustenta en (i) la crisis sanitaria generada por la pandemia del Covid, (ii) las condiciones de hacinamiento que tienen estos lugares como consecuencia de la crisis del sistema </w:t>
      </w:r>
      <w:r w:rsidRPr="003D017D">
        <w:rPr>
          <w:rFonts w:ascii="Gadugi" w:hAnsi="Gadugi" w:cs="Arial"/>
          <w:szCs w:val="24"/>
        </w:rPr>
        <w:lastRenderedPageBreak/>
        <w:t>penitenciario y carcelario, (iii) la incapacidad de las autoridades para tomar medidas urgentes y (iv) la obligación del Estado de garantizar unas condiciones mínimas de dignidad e integridad a las personas que tiene bajo su custodia por la especial relación de sujeción.</w:t>
      </w:r>
    </w:p>
    <w:p w14:paraId="45D9BB4A" w14:textId="77777777" w:rsidR="004E33BC" w:rsidRPr="00C379D6" w:rsidRDefault="004E33BC" w:rsidP="004E33B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F72320C" w14:textId="07CC5E3F" w:rsidR="002F4AD0" w:rsidRPr="003D017D" w:rsidRDefault="002F4AD0" w:rsidP="003D017D">
      <w:pPr>
        <w:pStyle w:val="Sinespaciado5"/>
        <w:ind w:left="426" w:right="420"/>
        <w:jc w:val="both"/>
        <w:rPr>
          <w:rFonts w:ascii="Gadugi" w:hAnsi="Gadugi" w:cs="Arial"/>
          <w:szCs w:val="24"/>
        </w:rPr>
      </w:pPr>
      <w:r w:rsidRPr="003D017D">
        <w:rPr>
          <w:rFonts w:ascii="Gadugi" w:hAnsi="Gadugi" w:cs="Arial"/>
          <w:szCs w:val="24"/>
        </w:rPr>
        <w:tab/>
      </w:r>
      <w:r w:rsidRPr="003D017D">
        <w:rPr>
          <w:rFonts w:ascii="Gadugi" w:hAnsi="Gadugi" w:cs="Arial"/>
          <w:szCs w:val="24"/>
        </w:rPr>
        <w:tab/>
      </w:r>
      <w:r w:rsidRPr="003D017D">
        <w:rPr>
          <w:rFonts w:ascii="Gadugi" w:hAnsi="Gadugi" w:cs="Arial"/>
          <w:szCs w:val="24"/>
        </w:rPr>
        <w:tab/>
      </w:r>
      <w:r w:rsidRPr="003D017D">
        <w:rPr>
          <w:rFonts w:ascii="Gadugi" w:hAnsi="Gadugi" w:cs="Arial"/>
          <w:szCs w:val="24"/>
        </w:rPr>
        <w:tab/>
        <w:t xml:space="preserve">Los anteriores factores permiten concluir que las medidas dispuestas en el artículo 1° del Decreto Legislativo son constitucionales en tiempos extraordinarios y excepcionales. </w:t>
      </w:r>
      <w:r w:rsidRPr="003D017D">
        <w:rPr>
          <w:rFonts w:ascii="Gadugi" w:hAnsi="Gadugi" w:cs="Arial"/>
          <w:szCs w:val="24"/>
          <w:u w:val="single"/>
        </w:rPr>
        <w:t>No obstante, es importante que estos espacios transitorios de detención no pierdan su naturaleza temporal y que las personas con medida de aseguramiento intramural sean puestas a disposición de la autoridad competente para ser llevadas a un establecimiento carcelario o penitenciario</w:t>
      </w:r>
      <w:r w:rsidRPr="003D017D">
        <w:rPr>
          <w:rFonts w:ascii="Gadugi" w:hAnsi="Gadugi" w:cs="Arial"/>
          <w:szCs w:val="24"/>
        </w:rPr>
        <w:t>. (…)” (subrayas fuera del texto).</w:t>
      </w:r>
    </w:p>
    <w:p w14:paraId="03CED28D" w14:textId="6A9FE9CF" w:rsidR="002F4AD0" w:rsidRPr="00C379D6" w:rsidRDefault="002F4AD0"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855918D" w14:textId="77777777" w:rsidR="00FB1476" w:rsidRPr="00C379D6" w:rsidRDefault="00FB1476"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bookmarkStart w:id="5" w:name="_Hlk85637755"/>
      <w:r w:rsidRPr="00C379D6">
        <w:rPr>
          <w:rFonts w:ascii="Gadugi" w:eastAsia="Times New Roman" w:hAnsi="Gadugi" w:cs="Times New Roman"/>
          <w:sz w:val="24"/>
          <w:szCs w:val="24"/>
          <w:lang w:val="es-ES" w:eastAsia="es-ES"/>
        </w:rPr>
        <w:t xml:space="preserve">Lo explicado en el precedente transcrito es suficiente para ratificar la orden de primer grado en tanto propició el traslado perentorio de los demandantes a un centro carcelario o penitenciario, sin embargo, como se anticipó, se modificará el numeral segundo para dirigir la orden únicamente a la Dirección Regional del INPEC del Viejo Caldas. </w:t>
      </w:r>
    </w:p>
    <w:bookmarkEnd w:id="5"/>
    <w:p w14:paraId="5B4398C3" w14:textId="77777777" w:rsidR="00FB1476" w:rsidRPr="00C379D6" w:rsidRDefault="00FB1476"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47D92BA2" w14:textId="629D6636" w:rsidR="00B12BE0" w:rsidRPr="00C379D6" w:rsidRDefault="00FB1476"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sz w:val="24"/>
          <w:szCs w:val="24"/>
          <w:lang w:val="es-ES" w:eastAsia="es-ES"/>
        </w:rPr>
        <w:t xml:space="preserve">Asimismo, por lo explicado en el aparte de legitimación en la causa por pasiva, se revocarán los numerales tercero y cuarto del fallo y se adicionará la sentencia para declarar improcedente la demanda respecto de las demás autoridades convocadas al trámite. </w:t>
      </w:r>
    </w:p>
    <w:p w14:paraId="4FFA5EA6" w14:textId="4F0EDC8C" w:rsidR="00FB1476" w:rsidRPr="00C379D6" w:rsidRDefault="00FB1476"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082FC07A" w14:textId="242A435D" w:rsidR="007220EC" w:rsidRPr="00C379D6" w:rsidRDefault="007220EC"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sz w:val="24"/>
          <w:szCs w:val="24"/>
          <w:lang w:val="es-ES" w:eastAsia="es-ES"/>
        </w:rPr>
        <w:t xml:space="preserve">Se confirmará el numeral quinto porque, en efecto, </w:t>
      </w:r>
      <w:r w:rsidR="00F421BC" w:rsidRPr="00C379D6">
        <w:rPr>
          <w:rFonts w:ascii="Gadugi" w:eastAsia="Times New Roman" w:hAnsi="Gadugi" w:cs="Times New Roman"/>
          <w:sz w:val="24"/>
          <w:szCs w:val="24"/>
          <w:lang w:val="es-ES" w:eastAsia="es-ES"/>
        </w:rPr>
        <w:t xml:space="preserve">se informó </w:t>
      </w:r>
      <w:r w:rsidRPr="00C379D6">
        <w:rPr>
          <w:rFonts w:ascii="Gadugi" w:eastAsia="Times New Roman" w:hAnsi="Gadugi" w:cs="Times New Roman"/>
          <w:sz w:val="24"/>
          <w:szCs w:val="24"/>
          <w:lang w:val="es-ES" w:eastAsia="es-ES"/>
        </w:rPr>
        <w:t xml:space="preserve">que el señor Cristian Julián Ocampo ya fue trasladado a un establecimiento carcelario. </w:t>
      </w:r>
    </w:p>
    <w:p w14:paraId="60AF0BCF" w14:textId="77777777" w:rsidR="007220EC" w:rsidRPr="00C379D6" w:rsidRDefault="007220EC"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3B5D7A77" w14:textId="04671C6F" w:rsidR="00B12BE0" w:rsidRPr="00C379D6" w:rsidRDefault="00FB1476"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sz w:val="24"/>
          <w:szCs w:val="24"/>
          <w:lang w:val="es-ES" w:eastAsia="es-ES"/>
        </w:rPr>
        <w:t xml:space="preserve">Ningún pronunciamiento es posible en relación con el probable cumplimiento al fallo, con ocasión de </w:t>
      </w:r>
      <w:r w:rsidR="007220EC" w:rsidRPr="00C379D6">
        <w:rPr>
          <w:rFonts w:ascii="Gadugi" w:eastAsia="Times New Roman" w:hAnsi="Gadugi" w:cs="Times New Roman"/>
          <w:sz w:val="24"/>
          <w:szCs w:val="24"/>
          <w:lang w:val="es-ES" w:eastAsia="es-ES"/>
        </w:rPr>
        <w:t>la última información suministrada por el la Dirección Regional del INPEC del Viejo Caldas, habida cuenta de que, si bien se indica que se elevó la solicitud de recepción de los demandantes al Director del establecimiento carcelario de Anserma – Caldas</w:t>
      </w:r>
      <w:r w:rsidR="00F421BC" w:rsidRPr="00C379D6">
        <w:rPr>
          <w:rStyle w:val="Refdenotaalpie"/>
          <w:rFonts w:ascii="Gadugi" w:eastAsia="Times New Roman" w:hAnsi="Gadugi"/>
          <w:sz w:val="24"/>
          <w:szCs w:val="24"/>
          <w:lang w:val="es-ES" w:eastAsia="es-ES"/>
        </w:rPr>
        <w:footnoteReference w:id="23"/>
      </w:r>
      <w:r w:rsidR="007220EC" w:rsidRPr="00C379D6">
        <w:rPr>
          <w:rFonts w:ascii="Gadugi" w:eastAsia="Times New Roman" w:hAnsi="Gadugi" w:cs="Times New Roman"/>
          <w:sz w:val="24"/>
          <w:szCs w:val="24"/>
          <w:lang w:val="es-ES" w:eastAsia="es-ES"/>
        </w:rPr>
        <w:t xml:space="preserve">, no quedó acreditado que el traslado se hubiera materializado. </w:t>
      </w:r>
    </w:p>
    <w:p w14:paraId="30A311FB" w14:textId="2D9ECFDD" w:rsidR="00B12BE0" w:rsidRPr="00C379D6" w:rsidRDefault="00B12BE0"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28D671D5" w14:textId="77777777" w:rsidR="004E33BC" w:rsidRPr="00C379D6" w:rsidRDefault="004E33BC" w:rsidP="004E33B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0E2C8F00" w14:textId="77777777" w:rsidR="00756044" w:rsidRPr="00C379D6" w:rsidRDefault="0075604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4"/>
          <w:lang w:val="es-ES" w:eastAsia="es-ES"/>
        </w:rPr>
      </w:pPr>
      <w:r w:rsidRPr="00C379D6">
        <w:rPr>
          <w:rFonts w:ascii="Gadugi" w:eastAsia="Times New Roman" w:hAnsi="Gadugi" w:cs="Times New Roman"/>
          <w:b/>
          <w:bCs/>
          <w:sz w:val="24"/>
          <w:szCs w:val="24"/>
          <w:lang w:val="es-ES" w:eastAsia="es-ES"/>
        </w:rPr>
        <w:t>DECISIÓN</w:t>
      </w:r>
    </w:p>
    <w:p w14:paraId="5E76A8DF" w14:textId="77777777" w:rsidR="00756044" w:rsidRPr="00C379D6" w:rsidRDefault="00756044"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093963DB" w14:textId="77777777" w:rsidR="00756044" w:rsidRPr="00C379D6" w:rsidRDefault="00756044" w:rsidP="00C379D6">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79B89129" w14:textId="5E65F482" w:rsidR="00756044" w:rsidRPr="00C379D6" w:rsidRDefault="0061438F" w:rsidP="00C379D6">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sz w:val="24"/>
          <w:szCs w:val="24"/>
          <w:lang w:val="es-ES" w:eastAsia="es-ES"/>
        </w:rPr>
        <w:tab/>
      </w:r>
      <w:r w:rsidRPr="00C379D6">
        <w:rPr>
          <w:rFonts w:ascii="Gadugi" w:eastAsia="Times New Roman" w:hAnsi="Gadugi" w:cs="Times New Roman"/>
          <w:sz w:val="24"/>
          <w:szCs w:val="24"/>
          <w:lang w:val="es-ES" w:eastAsia="es-ES"/>
        </w:rPr>
        <w:tab/>
      </w:r>
      <w:r w:rsidRPr="00C379D6">
        <w:rPr>
          <w:rFonts w:ascii="Gadugi" w:eastAsia="Times New Roman" w:hAnsi="Gadugi" w:cs="Times New Roman"/>
          <w:sz w:val="24"/>
          <w:szCs w:val="24"/>
          <w:lang w:val="es-ES" w:eastAsia="es-ES"/>
        </w:rPr>
        <w:tab/>
      </w:r>
      <w:r w:rsidRPr="00C379D6">
        <w:rPr>
          <w:rFonts w:ascii="Gadugi" w:eastAsia="Times New Roman" w:hAnsi="Gadugi" w:cs="Times New Roman"/>
          <w:sz w:val="24"/>
          <w:szCs w:val="24"/>
          <w:lang w:val="es-ES" w:eastAsia="es-ES"/>
        </w:rPr>
        <w:tab/>
      </w:r>
      <w:r w:rsidR="00F43CD2" w:rsidRPr="00C379D6">
        <w:rPr>
          <w:rFonts w:ascii="Gadugi" w:hAnsi="Gadugi" w:cs="Century Gothic"/>
          <w:sz w:val="24"/>
          <w:szCs w:val="24"/>
        </w:rPr>
        <w:t xml:space="preserve">Por lo expuesto, </w:t>
      </w:r>
      <w:r w:rsidR="00F43CD2" w:rsidRPr="00C379D6">
        <w:rPr>
          <w:rFonts w:ascii="Gadugi" w:hAnsi="Gadugi" w:cs="Century Gothic"/>
          <w:b/>
          <w:sz w:val="24"/>
          <w:szCs w:val="24"/>
        </w:rPr>
        <w:t xml:space="preserve">la Sala </w:t>
      </w:r>
      <w:r w:rsidR="009315E7" w:rsidRPr="00C379D6">
        <w:rPr>
          <w:rFonts w:ascii="Gadugi" w:hAnsi="Gadugi" w:cs="Century Gothic"/>
          <w:b/>
          <w:sz w:val="24"/>
          <w:szCs w:val="24"/>
        </w:rPr>
        <w:t xml:space="preserve">de Decisión Civil – Familia </w:t>
      </w:r>
      <w:r w:rsidR="00F43CD2" w:rsidRPr="00C379D6">
        <w:rPr>
          <w:rFonts w:ascii="Gadugi" w:hAnsi="Gadugi" w:cs="Century Gothic"/>
          <w:b/>
          <w:sz w:val="24"/>
          <w:szCs w:val="24"/>
        </w:rPr>
        <w:t>del Tribunal Superior de Pereira, Risaralda</w:t>
      </w:r>
      <w:r w:rsidR="00756044" w:rsidRPr="00C379D6">
        <w:rPr>
          <w:rFonts w:ascii="Gadugi" w:eastAsia="Times New Roman" w:hAnsi="Gadugi" w:cs="Times New Roman"/>
          <w:sz w:val="24"/>
          <w:szCs w:val="24"/>
          <w:lang w:val="es-ES" w:eastAsia="es-ES"/>
        </w:rPr>
        <w:t>, administrando justicia en nombre de la República y por autoridad de la ley, </w:t>
      </w:r>
      <w:r w:rsidR="00F75CB6" w:rsidRPr="00C379D6">
        <w:rPr>
          <w:rFonts w:ascii="Gadugi" w:eastAsia="Times New Roman" w:hAnsi="Gadugi" w:cs="Times New Roman"/>
          <w:b/>
          <w:sz w:val="24"/>
          <w:szCs w:val="24"/>
          <w:lang w:val="es-ES" w:eastAsia="es-ES"/>
        </w:rPr>
        <w:t>CONFIRMA</w:t>
      </w:r>
      <w:r w:rsidR="00F73616" w:rsidRPr="00C379D6">
        <w:rPr>
          <w:rFonts w:ascii="Gadugi" w:eastAsia="Times New Roman" w:hAnsi="Gadugi" w:cs="Times New Roman"/>
          <w:b/>
          <w:sz w:val="24"/>
          <w:szCs w:val="24"/>
          <w:lang w:val="es-ES" w:eastAsia="es-ES"/>
        </w:rPr>
        <w:t xml:space="preserve"> </w:t>
      </w:r>
      <w:r w:rsidR="00D95300" w:rsidRPr="00C379D6">
        <w:rPr>
          <w:rFonts w:ascii="Gadugi" w:eastAsia="Times New Roman" w:hAnsi="Gadugi" w:cs="Times New Roman"/>
          <w:b/>
          <w:sz w:val="24"/>
          <w:szCs w:val="24"/>
          <w:lang w:val="es-ES" w:eastAsia="es-ES"/>
        </w:rPr>
        <w:t>PARCIALMENTE</w:t>
      </w:r>
      <w:r w:rsidR="00756044" w:rsidRPr="00C379D6">
        <w:rPr>
          <w:rFonts w:ascii="Gadugi" w:eastAsia="Times New Roman" w:hAnsi="Gadugi" w:cs="Times New Roman"/>
          <w:sz w:val="24"/>
          <w:szCs w:val="24"/>
          <w:lang w:val="es-ES" w:eastAsia="es-ES"/>
        </w:rPr>
        <w:t xml:space="preserve"> la sentencia </w:t>
      </w:r>
      <w:r w:rsidR="009315E7" w:rsidRPr="00C379D6">
        <w:rPr>
          <w:rFonts w:ascii="Gadugi" w:eastAsia="Times New Roman" w:hAnsi="Gadugi" w:cs="Times New Roman"/>
          <w:sz w:val="24"/>
          <w:szCs w:val="24"/>
          <w:lang w:val="es-ES" w:eastAsia="es-ES"/>
        </w:rPr>
        <w:t xml:space="preserve">impugnada. </w:t>
      </w:r>
    </w:p>
    <w:p w14:paraId="3463C567" w14:textId="4455CE3F" w:rsidR="000D0588" w:rsidRPr="00C379D6" w:rsidRDefault="000D0588" w:rsidP="00C379D6">
      <w:pPr>
        <w:shd w:val="clear" w:color="auto" w:fill="FFFFFF"/>
        <w:tabs>
          <w:tab w:val="left" w:pos="3402"/>
        </w:tabs>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ES" w:eastAsia="es-ES"/>
        </w:rPr>
      </w:pPr>
    </w:p>
    <w:p w14:paraId="2AD62A9E" w14:textId="0945C476" w:rsidR="00F73616" w:rsidRPr="00C379D6" w:rsidRDefault="00F73616" w:rsidP="00C379D6">
      <w:pPr>
        <w:shd w:val="clear" w:color="auto" w:fill="FFFFFF"/>
        <w:tabs>
          <w:tab w:val="left" w:pos="2835"/>
        </w:tabs>
        <w:overflowPunct w:val="0"/>
        <w:autoSpaceDE w:val="0"/>
        <w:autoSpaceDN w:val="0"/>
        <w:adjustRightInd w:val="0"/>
        <w:spacing w:after="0" w:line="276" w:lineRule="auto"/>
        <w:jc w:val="both"/>
        <w:textAlignment w:val="baseline"/>
        <w:rPr>
          <w:rFonts w:ascii="Gadugi" w:eastAsia="Times New Roman" w:hAnsi="Gadugi" w:cs="Times New Roman"/>
          <w:b/>
          <w:sz w:val="24"/>
          <w:szCs w:val="24"/>
          <w:bdr w:val="none" w:sz="0" w:space="0" w:color="auto" w:frame="1"/>
          <w:lang w:val="es-ES" w:eastAsia="es-ES"/>
        </w:rPr>
      </w:pPr>
      <w:r w:rsidRPr="00C379D6">
        <w:rPr>
          <w:rFonts w:ascii="Gadugi" w:eastAsia="Times New Roman" w:hAnsi="Gadugi" w:cs="Times New Roman"/>
          <w:sz w:val="24"/>
          <w:szCs w:val="24"/>
          <w:bdr w:val="none" w:sz="0" w:space="0" w:color="auto" w:frame="1"/>
          <w:lang w:val="es-ES" w:eastAsia="es-ES"/>
        </w:rPr>
        <w:tab/>
        <w:t xml:space="preserve">Se </w:t>
      </w:r>
      <w:r w:rsidRPr="00C379D6">
        <w:rPr>
          <w:rFonts w:ascii="Gadugi" w:eastAsia="Times New Roman" w:hAnsi="Gadugi" w:cs="Times New Roman"/>
          <w:b/>
          <w:sz w:val="24"/>
          <w:szCs w:val="24"/>
          <w:bdr w:val="none" w:sz="0" w:space="0" w:color="auto" w:frame="1"/>
          <w:lang w:val="es-ES" w:eastAsia="es-ES"/>
        </w:rPr>
        <w:t>MODIFICA</w:t>
      </w:r>
      <w:r w:rsidRPr="00C379D6">
        <w:rPr>
          <w:rFonts w:ascii="Gadugi" w:eastAsia="Times New Roman" w:hAnsi="Gadugi" w:cs="Times New Roman"/>
          <w:sz w:val="24"/>
          <w:szCs w:val="24"/>
          <w:bdr w:val="none" w:sz="0" w:space="0" w:color="auto" w:frame="1"/>
          <w:lang w:val="es-ES" w:eastAsia="es-ES"/>
        </w:rPr>
        <w:t xml:space="preserve"> el numeral segundo para dirigir la orden exclusivamente a la </w:t>
      </w:r>
      <w:r w:rsidR="007220EC" w:rsidRPr="00C379D6">
        <w:rPr>
          <w:rFonts w:ascii="Gadugi" w:eastAsia="Times New Roman" w:hAnsi="Gadugi" w:cs="Times New Roman"/>
          <w:b/>
          <w:sz w:val="24"/>
          <w:szCs w:val="24"/>
          <w:lang w:val="es-ES" w:eastAsia="es-ES"/>
        </w:rPr>
        <w:t>Dirección Regional del INPEC del Viejo Caldas</w:t>
      </w:r>
      <w:r w:rsidR="007220EC" w:rsidRPr="00C379D6">
        <w:rPr>
          <w:rFonts w:ascii="Gadugi" w:eastAsia="Times New Roman" w:hAnsi="Gadugi" w:cs="Times New Roman"/>
          <w:sz w:val="24"/>
          <w:szCs w:val="24"/>
          <w:lang w:val="es-ES" w:eastAsia="es-ES"/>
        </w:rPr>
        <w:t xml:space="preserve">, </w:t>
      </w:r>
      <w:r w:rsidRPr="00C379D6">
        <w:rPr>
          <w:rFonts w:ascii="Gadugi" w:eastAsia="Times New Roman" w:hAnsi="Gadugi" w:cs="Times New Roman"/>
          <w:sz w:val="24"/>
          <w:szCs w:val="24"/>
          <w:bdr w:val="none" w:sz="0" w:space="0" w:color="auto" w:frame="1"/>
          <w:lang w:val="es-ES" w:eastAsia="es-ES"/>
        </w:rPr>
        <w:t>por medio de su funcionario a cargo</w:t>
      </w:r>
      <w:r w:rsidR="00F421BC" w:rsidRPr="00C379D6">
        <w:rPr>
          <w:rFonts w:ascii="Gadugi" w:eastAsia="Times New Roman" w:hAnsi="Gadugi" w:cs="Times New Roman"/>
          <w:sz w:val="24"/>
          <w:szCs w:val="24"/>
          <w:bdr w:val="none" w:sz="0" w:space="0" w:color="auto" w:frame="1"/>
          <w:lang w:val="es-ES" w:eastAsia="es-ES"/>
        </w:rPr>
        <w:t>.</w:t>
      </w:r>
    </w:p>
    <w:p w14:paraId="5EB5C008" w14:textId="66BB1647" w:rsidR="00F73616" w:rsidRPr="00C379D6" w:rsidRDefault="00F73616" w:rsidP="00C379D6">
      <w:pPr>
        <w:shd w:val="clear" w:color="auto" w:fill="FFFFFF"/>
        <w:tabs>
          <w:tab w:val="left" w:pos="2835"/>
        </w:tabs>
        <w:overflowPunct w:val="0"/>
        <w:autoSpaceDE w:val="0"/>
        <w:autoSpaceDN w:val="0"/>
        <w:adjustRightInd w:val="0"/>
        <w:spacing w:after="0" w:line="276" w:lineRule="auto"/>
        <w:jc w:val="both"/>
        <w:textAlignment w:val="baseline"/>
        <w:rPr>
          <w:rFonts w:ascii="Gadugi" w:eastAsia="Times New Roman" w:hAnsi="Gadugi" w:cs="Times New Roman"/>
          <w:b/>
          <w:sz w:val="24"/>
          <w:szCs w:val="24"/>
          <w:bdr w:val="none" w:sz="0" w:space="0" w:color="auto" w:frame="1"/>
          <w:lang w:val="es-ES" w:eastAsia="es-ES"/>
        </w:rPr>
      </w:pPr>
    </w:p>
    <w:p w14:paraId="3252A299" w14:textId="16783085" w:rsidR="00F73616" w:rsidRPr="00C379D6" w:rsidRDefault="00F73616" w:rsidP="00C379D6">
      <w:pPr>
        <w:shd w:val="clear" w:color="auto" w:fill="FFFFFF"/>
        <w:tabs>
          <w:tab w:val="left" w:pos="2835"/>
        </w:tabs>
        <w:overflowPunct w:val="0"/>
        <w:autoSpaceDE w:val="0"/>
        <w:autoSpaceDN w:val="0"/>
        <w:adjustRightInd w:val="0"/>
        <w:spacing w:after="0" w:line="276" w:lineRule="auto"/>
        <w:jc w:val="both"/>
        <w:textAlignment w:val="baseline"/>
        <w:rPr>
          <w:rFonts w:ascii="Gadugi" w:eastAsia="Times New Roman" w:hAnsi="Gadugi" w:cs="Times New Roman"/>
          <w:b/>
          <w:sz w:val="24"/>
          <w:szCs w:val="24"/>
          <w:bdr w:val="none" w:sz="0" w:space="0" w:color="auto" w:frame="1"/>
          <w:lang w:val="es-ES" w:eastAsia="es-ES"/>
        </w:rPr>
      </w:pPr>
      <w:r w:rsidRPr="00C379D6">
        <w:rPr>
          <w:rFonts w:ascii="Gadugi" w:eastAsia="Times New Roman" w:hAnsi="Gadugi" w:cs="Times New Roman"/>
          <w:b/>
          <w:sz w:val="24"/>
          <w:szCs w:val="24"/>
          <w:bdr w:val="none" w:sz="0" w:space="0" w:color="auto" w:frame="1"/>
          <w:lang w:val="es-ES" w:eastAsia="es-ES"/>
        </w:rPr>
        <w:tab/>
      </w:r>
      <w:r w:rsidRPr="00C379D6">
        <w:rPr>
          <w:rFonts w:ascii="Gadugi" w:eastAsia="Times New Roman" w:hAnsi="Gadugi" w:cs="Times New Roman"/>
          <w:sz w:val="24"/>
          <w:szCs w:val="24"/>
          <w:bdr w:val="none" w:sz="0" w:space="0" w:color="auto" w:frame="1"/>
          <w:lang w:val="es-ES" w:eastAsia="es-ES"/>
        </w:rPr>
        <w:t xml:space="preserve">Se </w:t>
      </w:r>
      <w:r w:rsidRPr="00C379D6">
        <w:rPr>
          <w:rFonts w:ascii="Gadugi" w:eastAsia="Times New Roman" w:hAnsi="Gadugi" w:cs="Times New Roman"/>
          <w:b/>
          <w:sz w:val="24"/>
          <w:szCs w:val="24"/>
          <w:bdr w:val="none" w:sz="0" w:space="0" w:color="auto" w:frame="1"/>
          <w:lang w:val="es-ES" w:eastAsia="es-ES"/>
        </w:rPr>
        <w:t>REVOCA</w:t>
      </w:r>
      <w:r w:rsidR="007220EC" w:rsidRPr="00C379D6">
        <w:rPr>
          <w:rFonts w:ascii="Gadugi" w:eastAsia="Times New Roman" w:hAnsi="Gadugi" w:cs="Times New Roman"/>
          <w:b/>
          <w:sz w:val="24"/>
          <w:szCs w:val="24"/>
          <w:bdr w:val="none" w:sz="0" w:space="0" w:color="auto" w:frame="1"/>
          <w:lang w:val="es-ES" w:eastAsia="es-ES"/>
        </w:rPr>
        <w:t>N</w:t>
      </w:r>
      <w:r w:rsidRPr="00C379D6">
        <w:rPr>
          <w:rFonts w:ascii="Gadugi" w:eastAsia="Times New Roman" w:hAnsi="Gadugi" w:cs="Times New Roman"/>
          <w:b/>
          <w:sz w:val="24"/>
          <w:szCs w:val="24"/>
          <w:bdr w:val="none" w:sz="0" w:space="0" w:color="auto" w:frame="1"/>
          <w:lang w:val="es-ES" w:eastAsia="es-ES"/>
        </w:rPr>
        <w:t xml:space="preserve"> </w:t>
      </w:r>
      <w:r w:rsidR="007220EC" w:rsidRPr="00C379D6">
        <w:rPr>
          <w:rFonts w:ascii="Gadugi" w:eastAsia="Times New Roman" w:hAnsi="Gadugi" w:cs="Times New Roman"/>
          <w:sz w:val="24"/>
          <w:szCs w:val="24"/>
          <w:bdr w:val="none" w:sz="0" w:space="0" w:color="auto" w:frame="1"/>
          <w:lang w:val="es-ES" w:eastAsia="es-ES"/>
        </w:rPr>
        <w:t>los</w:t>
      </w:r>
      <w:r w:rsidRPr="00C379D6">
        <w:rPr>
          <w:rFonts w:ascii="Gadugi" w:eastAsia="Times New Roman" w:hAnsi="Gadugi" w:cs="Times New Roman"/>
          <w:sz w:val="24"/>
          <w:szCs w:val="24"/>
          <w:bdr w:val="none" w:sz="0" w:space="0" w:color="auto" w:frame="1"/>
          <w:lang w:val="es-ES" w:eastAsia="es-ES"/>
        </w:rPr>
        <w:t xml:space="preserve"> numeral</w:t>
      </w:r>
      <w:r w:rsidR="007220EC" w:rsidRPr="00C379D6">
        <w:rPr>
          <w:rFonts w:ascii="Gadugi" w:eastAsia="Times New Roman" w:hAnsi="Gadugi" w:cs="Times New Roman"/>
          <w:sz w:val="24"/>
          <w:szCs w:val="24"/>
          <w:bdr w:val="none" w:sz="0" w:space="0" w:color="auto" w:frame="1"/>
          <w:lang w:val="es-ES" w:eastAsia="es-ES"/>
        </w:rPr>
        <w:t>es</w:t>
      </w:r>
      <w:r w:rsidRPr="00C379D6">
        <w:rPr>
          <w:rFonts w:ascii="Gadugi" w:eastAsia="Times New Roman" w:hAnsi="Gadugi" w:cs="Times New Roman"/>
          <w:sz w:val="24"/>
          <w:szCs w:val="24"/>
          <w:bdr w:val="none" w:sz="0" w:space="0" w:color="auto" w:frame="1"/>
          <w:lang w:val="es-ES" w:eastAsia="es-ES"/>
        </w:rPr>
        <w:t xml:space="preserve"> tercero</w:t>
      </w:r>
      <w:r w:rsidR="007220EC" w:rsidRPr="00C379D6">
        <w:rPr>
          <w:rFonts w:ascii="Gadugi" w:eastAsia="Times New Roman" w:hAnsi="Gadugi" w:cs="Times New Roman"/>
          <w:sz w:val="24"/>
          <w:szCs w:val="24"/>
          <w:bdr w:val="none" w:sz="0" w:space="0" w:color="auto" w:frame="1"/>
          <w:lang w:val="es-ES" w:eastAsia="es-ES"/>
        </w:rPr>
        <w:t xml:space="preserve"> y cuarto. </w:t>
      </w:r>
      <w:r w:rsidRPr="00C379D6">
        <w:rPr>
          <w:rFonts w:ascii="Gadugi" w:eastAsia="Times New Roman" w:hAnsi="Gadugi" w:cs="Times New Roman"/>
          <w:b/>
          <w:sz w:val="24"/>
          <w:szCs w:val="24"/>
          <w:bdr w:val="none" w:sz="0" w:space="0" w:color="auto" w:frame="1"/>
          <w:lang w:val="es-ES" w:eastAsia="es-ES"/>
        </w:rPr>
        <w:t xml:space="preserve"> </w:t>
      </w:r>
    </w:p>
    <w:p w14:paraId="0A930A80" w14:textId="3CE80634" w:rsidR="00F73616" w:rsidRPr="00C379D6" w:rsidRDefault="00F73616" w:rsidP="00C379D6">
      <w:pPr>
        <w:shd w:val="clear" w:color="auto" w:fill="FFFFFF"/>
        <w:tabs>
          <w:tab w:val="left" w:pos="2835"/>
        </w:tabs>
        <w:overflowPunct w:val="0"/>
        <w:autoSpaceDE w:val="0"/>
        <w:autoSpaceDN w:val="0"/>
        <w:adjustRightInd w:val="0"/>
        <w:spacing w:after="0" w:line="276" w:lineRule="auto"/>
        <w:jc w:val="both"/>
        <w:textAlignment w:val="baseline"/>
        <w:rPr>
          <w:rFonts w:ascii="Gadugi" w:eastAsia="Times New Roman" w:hAnsi="Gadugi" w:cs="Times New Roman"/>
          <w:b/>
          <w:sz w:val="24"/>
          <w:szCs w:val="24"/>
          <w:bdr w:val="none" w:sz="0" w:space="0" w:color="auto" w:frame="1"/>
          <w:lang w:val="es-ES" w:eastAsia="es-ES"/>
        </w:rPr>
      </w:pPr>
    </w:p>
    <w:p w14:paraId="2C42CBEA" w14:textId="1BEA202E" w:rsidR="00F73616" w:rsidRPr="00C379D6" w:rsidRDefault="00F73616" w:rsidP="00C379D6">
      <w:pPr>
        <w:shd w:val="clear" w:color="auto" w:fill="FFFFFF"/>
        <w:tabs>
          <w:tab w:val="left" w:pos="2835"/>
        </w:tabs>
        <w:overflowPunct w:val="0"/>
        <w:autoSpaceDE w:val="0"/>
        <w:autoSpaceDN w:val="0"/>
        <w:adjustRightInd w:val="0"/>
        <w:spacing w:after="0" w:line="276" w:lineRule="auto"/>
        <w:jc w:val="both"/>
        <w:textAlignment w:val="baseline"/>
        <w:rPr>
          <w:rFonts w:ascii="Gadugi" w:eastAsia="Times New Roman" w:hAnsi="Gadugi" w:cs="Times New Roman"/>
          <w:b/>
          <w:sz w:val="24"/>
          <w:szCs w:val="24"/>
          <w:bdr w:val="none" w:sz="0" w:space="0" w:color="auto" w:frame="1"/>
          <w:lang w:val="es-ES" w:eastAsia="es-ES"/>
        </w:rPr>
      </w:pPr>
      <w:r w:rsidRPr="00C379D6">
        <w:rPr>
          <w:rFonts w:ascii="Gadugi" w:eastAsia="Times New Roman" w:hAnsi="Gadugi" w:cs="Times New Roman"/>
          <w:b/>
          <w:sz w:val="24"/>
          <w:szCs w:val="24"/>
          <w:bdr w:val="none" w:sz="0" w:space="0" w:color="auto" w:frame="1"/>
          <w:lang w:val="es-ES" w:eastAsia="es-ES"/>
        </w:rPr>
        <w:tab/>
      </w:r>
      <w:r w:rsidRPr="00C379D6">
        <w:rPr>
          <w:rFonts w:ascii="Gadugi" w:eastAsia="Times New Roman" w:hAnsi="Gadugi" w:cs="Times New Roman"/>
          <w:sz w:val="24"/>
          <w:szCs w:val="24"/>
          <w:bdr w:val="none" w:sz="0" w:space="0" w:color="auto" w:frame="1"/>
          <w:lang w:val="es-ES" w:eastAsia="es-ES"/>
        </w:rPr>
        <w:t>Se</w:t>
      </w:r>
      <w:r w:rsidRPr="00C379D6">
        <w:rPr>
          <w:rFonts w:ascii="Gadugi" w:eastAsia="Times New Roman" w:hAnsi="Gadugi" w:cs="Times New Roman"/>
          <w:b/>
          <w:sz w:val="24"/>
          <w:szCs w:val="24"/>
          <w:bdr w:val="none" w:sz="0" w:space="0" w:color="auto" w:frame="1"/>
          <w:lang w:val="es-ES" w:eastAsia="es-ES"/>
        </w:rPr>
        <w:t xml:space="preserve"> ADICIONA </w:t>
      </w:r>
      <w:r w:rsidRPr="00C379D6">
        <w:rPr>
          <w:rFonts w:ascii="Gadugi" w:eastAsia="Times New Roman" w:hAnsi="Gadugi" w:cs="Times New Roman"/>
          <w:sz w:val="24"/>
          <w:szCs w:val="24"/>
          <w:bdr w:val="none" w:sz="0" w:space="0" w:color="auto" w:frame="1"/>
          <w:lang w:val="es-ES" w:eastAsia="es-ES"/>
        </w:rPr>
        <w:t>para declarar improcedente la demanda, respecto de las demás autoridades convocadas al trámite.</w:t>
      </w:r>
      <w:r w:rsidRPr="00C379D6">
        <w:rPr>
          <w:rFonts w:ascii="Gadugi" w:eastAsia="Times New Roman" w:hAnsi="Gadugi" w:cs="Times New Roman"/>
          <w:b/>
          <w:sz w:val="24"/>
          <w:szCs w:val="24"/>
          <w:bdr w:val="none" w:sz="0" w:space="0" w:color="auto" w:frame="1"/>
          <w:lang w:val="es-ES" w:eastAsia="es-ES"/>
        </w:rPr>
        <w:t xml:space="preserve"> </w:t>
      </w:r>
    </w:p>
    <w:p w14:paraId="7FE15195" w14:textId="0203CF46" w:rsidR="007220EC" w:rsidRPr="00C379D6" w:rsidRDefault="007220EC" w:rsidP="00C379D6">
      <w:pPr>
        <w:shd w:val="clear" w:color="auto" w:fill="FFFFFF"/>
        <w:tabs>
          <w:tab w:val="left" w:pos="2835"/>
        </w:tabs>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ES" w:eastAsia="es-ES"/>
        </w:rPr>
      </w:pPr>
    </w:p>
    <w:p w14:paraId="67335392" w14:textId="30A91BD4" w:rsidR="007220EC" w:rsidRPr="00C379D6" w:rsidRDefault="007220EC" w:rsidP="00C379D6">
      <w:pPr>
        <w:shd w:val="clear" w:color="auto" w:fill="FFFFFF"/>
        <w:tabs>
          <w:tab w:val="left" w:pos="2835"/>
        </w:tabs>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ES" w:eastAsia="es-ES"/>
        </w:rPr>
      </w:pPr>
      <w:r w:rsidRPr="00C379D6">
        <w:rPr>
          <w:rFonts w:ascii="Gadugi" w:eastAsia="Times New Roman" w:hAnsi="Gadugi" w:cs="Times New Roman"/>
          <w:sz w:val="24"/>
          <w:szCs w:val="24"/>
          <w:bdr w:val="none" w:sz="0" w:space="0" w:color="auto" w:frame="1"/>
          <w:lang w:val="es-ES" w:eastAsia="es-ES"/>
        </w:rPr>
        <w:tab/>
        <w:t xml:space="preserve">Se </w:t>
      </w:r>
      <w:r w:rsidRPr="00C379D6">
        <w:rPr>
          <w:rFonts w:ascii="Gadugi" w:eastAsia="Times New Roman" w:hAnsi="Gadugi" w:cs="Times New Roman"/>
          <w:b/>
          <w:sz w:val="24"/>
          <w:szCs w:val="24"/>
          <w:bdr w:val="none" w:sz="0" w:space="0" w:color="auto" w:frame="1"/>
          <w:lang w:val="es-ES" w:eastAsia="es-ES"/>
        </w:rPr>
        <w:t>CONFIRMA</w:t>
      </w:r>
      <w:r w:rsidRPr="00C379D6">
        <w:rPr>
          <w:rFonts w:ascii="Gadugi" w:eastAsia="Times New Roman" w:hAnsi="Gadugi" w:cs="Times New Roman"/>
          <w:sz w:val="24"/>
          <w:szCs w:val="24"/>
          <w:bdr w:val="none" w:sz="0" w:space="0" w:color="auto" w:frame="1"/>
          <w:lang w:val="es-ES" w:eastAsia="es-ES"/>
        </w:rPr>
        <w:t xml:space="preserve"> en lo demás. </w:t>
      </w:r>
    </w:p>
    <w:p w14:paraId="1A553D73" w14:textId="77777777" w:rsidR="00F73616" w:rsidRPr="00C379D6" w:rsidRDefault="00F73616" w:rsidP="00C379D6">
      <w:pPr>
        <w:shd w:val="clear" w:color="auto" w:fill="FFFFFF"/>
        <w:tabs>
          <w:tab w:val="left" w:pos="3402"/>
        </w:tabs>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ES" w:eastAsia="es-ES"/>
        </w:rPr>
      </w:pPr>
    </w:p>
    <w:p w14:paraId="4C883A1B" w14:textId="612D252E" w:rsidR="00756044" w:rsidRPr="00C379D6" w:rsidRDefault="00756044" w:rsidP="00C379D6">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sz w:val="24"/>
          <w:szCs w:val="24"/>
          <w:lang w:val="es-419" w:eastAsia="es-ES"/>
        </w:rPr>
      </w:pPr>
      <w:r w:rsidRPr="00C379D6">
        <w:rPr>
          <w:rFonts w:ascii="Gadugi" w:eastAsia="Times New Roman" w:hAnsi="Gadugi" w:cs="Times New Roman"/>
          <w:sz w:val="24"/>
          <w:szCs w:val="24"/>
          <w:bdr w:val="none" w:sz="0" w:space="0" w:color="auto" w:frame="1"/>
          <w:lang w:val="es-ES_tradnl" w:eastAsia="es-ES"/>
        </w:rPr>
        <w:t xml:space="preserve">  </w:t>
      </w:r>
      <w:r w:rsidR="006230BC" w:rsidRPr="00C379D6">
        <w:rPr>
          <w:rFonts w:ascii="Gadugi" w:eastAsia="Times New Roman" w:hAnsi="Gadugi" w:cs="Times New Roman"/>
          <w:sz w:val="24"/>
          <w:szCs w:val="24"/>
          <w:bdr w:val="none" w:sz="0" w:space="0" w:color="auto" w:frame="1"/>
          <w:lang w:val="es-419" w:eastAsia="es-ES"/>
        </w:rPr>
        <w:t xml:space="preserve">     </w:t>
      </w:r>
      <w:r w:rsidR="006230BC" w:rsidRPr="00C379D6">
        <w:rPr>
          <w:rFonts w:ascii="Gadugi" w:eastAsia="Times New Roman" w:hAnsi="Gadugi" w:cs="Times New Roman"/>
          <w:sz w:val="24"/>
          <w:szCs w:val="24"/>
          <w:bdr w:val="none" w:sz="0" w:space="0" w:color="auto" w:frame="1"/>
          <w:lang w:val="es-419" w:eastAsia="es-ES"/>
        </w:rPr>
        <w:tab/>
      </w:r>
      <w:r w:rsidR="006230BC" w:rsidRPr="00C379D6">
        <w:rPr>
          <w:rFonts w:ascii="Gadugi" w:eastAsia="Times New Roman" w:hAnsi="Gadugi" w:cs="Times New Roman"/>
          <w:sz w:val="24"/>
          <w:szCs w:val="24"/>
          <w:bdr w:val="none" w:sz="0" w:space="0" w:color="auto" w:frame="1"/>
          <w:lang w:val="es-419" w:eastAsia="es-ES"/>
        </w:rPr>
        <w:tab/>
      </w:r>
      <w:r w:rsidR="006230BC" w:rsidRPr="00C379D6">
        <w:rPr>
          <w:rFonts w:ascii="Gadugi" w:eastAsia="Times New Roman" w:hAnsi="Gadugi" w:cs="Times New Roman"/>
          <w:sz w:val="24"/>
          <w:szCs w:val="24"/>
          <w:bdr w:val="none" w:sz="0" w:space="0" w:color="auto" w:frame="1"/>
          <w:lang w:val="es-419" w:eastAsia="es-ES"/>
        </w:rPr>
        <w:tab/>
      </w:r>
      <w:r w:rsidR="006230BC" w:rsidRPr="00C379D6">
        <w:rPr>
          <w:rFonts w:ascii="Gadugi" w:eastAsia="Times New Roman" w:hAnsi="Gadugi" w:cs="Times New Roman"/>
          <w:sz w:val="24"/>
          <w:szCs w:val="24"/>
          <w:bdr w:val="none" w:sz="0" w:space="0" w:color="auto" w:frame="1"/>
          <w:lang w:val="es-419" w:eastAsia="es-ES"/>
        </w:rPr>
        <w:tab/>
      </w:r>
      <w:r w:rsidRPr="00C379D6">
        <w:rPr>
          <w:rFonts w:ascii="Gadugi" w:eastAsia="Times New Roman" w:hAnsi="Gadugi" w:cs="Times New Roman"/>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C379D6">
        <w:rPr>
          <w:rFonts w:ascii="Gadugi" w:eastAsia="Times New Roman" w:hAnsi="Gadugi" w:cs="Times New Roman"/>
          <w:bCs/>
          <w:sz w:val="24"/>
          <w:szCs w:val="24"/>
          <w:lang w:val="es-419" w:eastAsia="es-ES"/>
        </w:rPr>
        <w:t>A su regreso, archívese.</w:t>
      </w:r>
    </w:p>
    <w:p w14:paraId="212A08F5" w14:textId="6E30F0B1" w:rsidR="004E4A9F" w:rsidRPr="00C379D6" w:rsidRDefault="004E4A9F"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6B9CEA7A" w14:textId="77777777" w:rsidR="00C379D6" w:rsidRPr="00C379D6" w:rsidRDefault="00C379D6"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C379D6">
        <w:rPr>
          <w:rFonts w:ascii="Gadugi" w:eastAsia="Times New Roman" w:hAnsi="Gadugi" w:cs="Times New Roman"/>
          <w:bCs/>
          <w:sz w:val="24"/>
          <w:szCs w:val="24"/>
          <w:lang w:val="es-ES" w:eastAsia="es-ES"/>
        </w:rPr>
        <w:t>Los Magistrados,</w:t>
      </w:r>
    </w:p>
    <w:p w14:paraId="7DDC2FC5" w14:textId="77777777" w:rsidR="00C379D6" w:rsidRPr="00C379D6" w:rsidRDefault="00C379D6"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032196AD" w14:textId="77777777" w:rsidR="00C379D6" w:rsidRPr="00C379D6" w:rsidRDefault="00C379D6"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3A9E12EF" w14:textId="77777777" w:rsidR="00C379D6" w:rsidRPr="00C379D6" w:rsidRDefault="00C379D6" w:rsidP="00C379D6">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4"/>
          <w:lang w:val="es-ES" w:eastAsia="es-ES"/>
        </w:rPr>
      </w:pPr>
      <w:r w:rsidRPr="00C379D6">
        <w:rPr>
          <w:rFonts w:ascii="Gadugi" w:eastAsia="Times New Roman" w:hAnsi="Gadugi" w:cs="Times New Roman"/>
          <w:b/>
          <w:sz w:val="24"/>
          <w:szCs w:val="24"/>
          <w:lang w:val="es-ES" w:eastAsia="es-ES"/>
        </w:rPr>
        <w:t>JAIME ALBERTO SARAZA NARANJO</w:t>
      </w:r>
    </w:p>
    <w:p w14:paraId="5D493B7C" w14:textId="77777777" w:rsidR="00C379D6" w:rsidRPr="00C379D6" w:rsidRDefault="00C379D6" w:rsidP="00C379D6">
      <w:pPr>
        <w:overflowPunct w:val="0"/>
        <w:autoSpaceDE w:val="0"/>
        <w:autoSpaceDN w:val="0"/>
        <w:adjustRightInd w:val="0"/>
        <w:spacing w:after="0" w:line="276" w:lineRule="auto"/>
        <w:jc w:val="both"/>
        <w:textAlignment w:val="baseline"/>
        <w:rPr>
          <w:rFonts w:ascii="Gadugi" w:eastAsia="Times New Roman" w:hAnsi="Gadugi" w:cs="Times New Roman"/>
          <w:b/>
          <w:sz w:val="24"/>
          <w:szCs w:val="24"/>
          <w:lang w:val="es-ES" w:eastAsia="es-ES"/>
        </w:rPr>
      </w:pPr>
    </w:p>
    <w:p w14:paraId="5D7BDAAA" w14:textId="77777777" w:rsidR="00C379D6" w:rsidRPr="00C379D6" w:rsidRDefault="00C379D6" w:rsidP="00C379D6">
      <w:pPr>
        <w:overflowPunct w:val="0"/>
        <w:autoSpaceDE w:val="0"/>
        <w:autoSpaceDN w:val="0"/>
        <w:adjustRightInd w:val="0"/>
        <w:spacing w:after="0" w:line="276" w:lineRule="auto"/>
        <w:jc w:val="both"/>
        <w:textAlignment w:val="baseline"/>
        <w:rPr>
          <w:rFonts w:ascii="Gadugi" w:eastAsia="Times New Roman" w:hAnsi="Gadugi" w:cs="Times New Roman"/>
          <w:b/>
          <w:sz w:val="24"/>
          <w:szCs w:val="24"/>
          <w:lang w:val="es-ES" w:eastAsia="es-ES"/>
        </w:rPr>
      </w:pPr>
    </w:p>
    <w:p w14:paraId="738084B2" w14:textId="77777777" w:rsidR="00C379D6" w:rsidRPr="00C379D6" w:rsidRDefault="00C379D6" w:rsidP="00C379D6">
      <w:pPr>
        <w:overflowPunct w:val="0"/>
        <w:autoSpaceDE w:val="0"/>
        <w:autoSpaceDN w:val="0"/>
        <w:adjustRightInd w:val="0"/>
        <w:spacing w:after="0" w:line="276" w:lineRule="auto"/>
        <w:jc w:val="both"/>
        <w:textAlignment w:val="baseline"/>
        <w:rPr>
          <w:rFonts w:ascii="Gadugi" w:eastAsia="Times New Roman" w:hAnsi="Gadugi" w:cs="Times New Roman"/>
          <w:b/>
          <w:bCs/>
          <w:sz w:val="24"/>
          <w:szCs w:val="24"/>
          <w:lang w:val="es-ES" w:eastAsia="es-ES"/>
        </w:rPr>
      </w:pPr>
      <w:r w:rsidRPr="00C379D6">
        <w:rPr>
          <w:rFonts w:ascii="Gadugi" w:eastAsia="Times New Roman" w:hAnsi="Gadugi" w:cs="Times New Roman"/>
          <w:b/>
          <w:sz w:val="24"/>
          <w:szCs w:val="24"/>
          <w:lang w:val="es-ES" w:eastAsia="es-ES"/>
        </w:rPr>
        <w:tab/>
      </w:r>
      <w:r w:rsidRPr="00C379D6">
        <w:rPr>
          <w:rFonts w:ascii="Gadugi" w:eastAsia="Times New Roman" w:hAnsi="Gadugi" w:cs="Times New Roman"/>
          <w:b/>
          <w:sz w:val="24"/>
          <w:szCs w:val="24"/>
          <w:lang w:val="es-ES" w:eastAsia="es-ES"/>
        </w:rPr>
        <w:tab/>
      </w:r>
      <w:r w:rsidRPr="00C379D6">
        <w:rPr>
          <w:rFonts w:ascii="Gadugi" w:eastAsia="Times New Roman" w:hAnsi="Gadugi" w:cs="Times New Roman"/>
          <w:b/>
          <w:sz w:val="24"/>
          <w:szCs w:val="24"/>
          <w:lang w:val="es-ES" w:eastAsia="es-ES"/>
        </w:rPr>
        <w:tab/>
      </w:r>
      <w:r w:rsidRPr="00C379D6">
        <w:rPr>
          <w:rFonts w:ascii="Gadugi" w:eastAsia="Times New Roman" w:hAnsi="Gadugi" w:cs="Times New Roman"/>
          <w:b/>
          <w:sz w:val="24"/>
          <w:szCs w:val="24"/>
          <w:lang w:val="es-ES" w:eastAsia="es-ES"/>
        </w:rPr>
        <w:tab/>
      </w:r>
      <w:r w:rsidRPr="00C379D6">
        <w:rPr>
          <w:rFonts w:ascii="Gadugi" w:eastAsia="Times New Roman" w:hAnsi="Gadugi" w:cs="Times New Roman"/>
          <w:b/>
          <w:bCs/>
          <w:sz w:val="24"/>
          <w:szCs w:val="24"/>
          <w:lang w:val="es-ES" w:eastAsia="es-ES"/>
        </w:rPr>
        <w:t>CARLOS MAURICIO GARCÍA BARAJAS</w:t>
      </w:r>
    </w:p>
    <w:p w14:paraId="246F91CF" w14:textId="77777777" w:rsidR="00C379D6" w:rsidRPr="00C379D6" w:rsidRDefault="00C379D6" w:rsidP="00C379D6">
      <w:pPr>
        <w:overflowPunct w:val="0"/>
        <w:autoSpaceDE w:val="0"/>
        <w:autoSpaceDN w:val="0"/>
        <w:adjustRightInd w:val="0"/>
        <w:spacing w:after="0" w:line="276" w:lineRule="auto"/>
        <w:jc w:val="both"/>
        <w:textAlignment w:val="baseline"/>
        <w:rPr>
          <w:rFonts w:ascii="Gadugi" w:eastAsia="Times New Roman" w:hAnsi="Gadugi" w:cs="Times New Roman"/>
          <w:b/>
          <w:bCs/>
          <w:sz w:val="24"/>
          <w:szCs w:val="24"/>
          <w:lang w:val="es-ES" w:eastAsia="es-ES"/>
        </w:rPr>
      </w:pPr>
    </w:p>
    <w:p w14:paraId="67397076" w14:textId="77777777" w:rsidR="00C379D6" w:rsidRPr="00C379D6" w:rsidRDefault="00C379D6" w:rsidP="00C379D6">
      <w:pPr>
        <w:overflowPunct w:val="0"/>
        <w:autoSpaceDE w:val="0"/>
        <w:autoSpaceDN w:val="0"/>
        <w:adjustRightInd w:val="0"/>
        <w:spacing w:after="0" w:line="276" w:lineRule="auto"/>
        <w:jc w:val="both"/>
        <w:textAlignment w:val="baseline"/>
        <w:rPr>
          <w:rFonts w:ascii="Gadugi" w:eastAsia="Times New Roman" w:hAnsi="Gadugi" w:cs="Times New Roman"/>
          <w:b/>
          <w:bCs/>
          <w:sz w:val="24"/>
          <w:szCs w:val="24"/>
          <w:lang w:val="es-ES" w:eastAsia="es-ES"/>
        </w:rPr>
      </w:pPr>
    </w:p>
    <w:p w14:paraId="61281571" w14:textId="06A4AAF7" w:rsidR="00276F73" w:rsidRPr="00C379D6" w:rsidRDefault="00C379D6" w:rsidP="00C379D6">
      <w:pPr>
        <w:overflowPunct w:val="0"/>
        <w:autoSpaceDE w:val="0"/>
        <w:autoSpaceDN w:val="0"/>
        <w:adjustRightInd w:val="0"/>
        <w:spacing w:after="0" w:line="276" w:lineRule="auto"/>
        <w:jc w:val="both"/>
        <w:textAlignment w:val="baseline"/>
        <w:rPr>
          <w:rFonts w:ascii="Gadugi" w:eastAsia="Times New Roman" w:hAnsi="Gadugi" w:cs="Century Gothic"/>
          <w:b/>
          <w:bCs/>
          <w:sz w:val="24"/>
          <w:szCs w:val="24"/>
          <w:lang w:val="es-ES" w:eastAsia="es-ES"/>
        </w:rPr>
      </w:pPr>
      <w:r w:rsidRPr="00C379D6">
        <w:rPr>
          <w:rFonts w:ascii="Gadugi" w:eastAsia="Times New Roman" w:hAnsi="Gadugi" w:cs="Times New Roman"/>
          <w:b/>
          <w:bCs/>
          <w:sz w:val="24"/>
          <w:szCs w:val="24"/>
          <w:lang w:val="es-ES" w:eastAsia="es-ES"/>
        </w:rPr>
        <w:tab/>
      </w:r>
      <w:r w:rsidRPr="00C379D6">
        <w:rPr>
          <w:rFonts w:ascii="Gadugi" w:eastAsia="Times New Roman" w:hAnsi="Gadugi" w:cs="Times New Roman"/>
          <w:b/>
          <w:bCs/>
          <w:sz w:val="24"/>
          <w:szCs w:val="24"/>
          <w:lang w:val="es-ES" w:eastAsia="es-ES"/>
        </w:rPr>
        <w:tab/>
      </w:r>
      <w:r w:rsidRPr="00C379D6">
        <w:rPr>
          <w:rFonts w:ascii="Gadugi" w:eastAsia="Times New Roman" w:hAnsi="Gadugi" w:cs="Times New Roman"/>
          <w:b/>
          <w:bCs/>
          <w:sz w:val="24"/>
          <w:szCs w:val="24"/>
          <w:lang w:val="es-ES" w:eastAsia="es-ES"/>
        </w:rPr>
        <w:tab/>
      </w:r>
      <w:r w:rsidRPr="00C379D6">
        <w:rPr>
          <w:rFonts w:ascii="Gadugi" w:eastAsia="Times New Roman" w:hAnsi="Gadugi" w:cs="Times New Roman"/>
          <w:b/>
          <w:bCs/>
          <w:sz w:val="24"/>
          <w:szCs w:val="24"/>
          <w:lang w:val="es-ES" w:eastAsia="es-ES"/>
        </w:rPr>
        <w:tab/>
        <w:t>DUBERNEY GRISALES HERRERA</w:t>
      </w:r>
    </w:p>
    <w:sectPr w:rsidR="00276F73" w:rsidRPr="00C379D6" w:rsidSect="004E33BC">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69A3FC" w16cex:dateUtc="2021-09-10T20:13:23.313Z"/>
  <w16cex:commentExtensible w16cex:durableId="7163392C" w16cex:dateUtc="2021-09-20T13:50:47.567Z"/>
  <w16cex:commentExtensible w16cex:durableId="2DA29C4B" w16cex:dateUtc="2021-09-20T13:55:37.727Z"/>
  <w16cex:commentExtensible w16cex:durableId="0F69B167" w16cex:dateUtc="2021-09-20T17:25:29.0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379F2" w14:textId="77777777" w:rsidR="00B43AD4" w:rsidRDefault="00B43AD4" w:rsidP="00756044">
      <w:pPr>
        <w:spacing w:after="0" w:line="240" w:lineRule="auto"/>
      </w:pPr>
      <w:r>
        <w:separator/>
      </w:r>
    </w:p>
  </w:endnote>
  <w:endnote w:type="continuationSeparator" w:id="0">
    <w:p w14:paraId="5D5546C0" w14:textId="77777777" w:rsidR="00B43AD4" w:rsidRDefault="00B43AD4"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rPr>
        <w:rFonts w:ascii="Century" w:hAnsi="Century"/>
        <w:sz w:val="18"/>
        <w:szCs w:val="18"/>
      </w:rPr>
    </w:sdtEndPr>
    <w:sdtContent>
      <w:p w14:paraId="579BC6A0" w14:textId="2FDE44EF" w:rsidR="00B12BE0" w:rsidRPr="004E33BC" w:rsidRDefault="00B12BE0">
        <w:pPr>
          <w:pStyle w:val="Piedepgina"/>
          <w:jc w:val="right"/>
          <w:rPr>
            <w:rFonts w:ascii="Century" w:hAnsi="Century"/>
            <w:sz w:val="18"/>
            <w:szCs w:val="18"/>
          </w:rPr>
        </w:pPr>
        <w:r w:rsidRPr="004E33BC">
          <w:rPr>
            <w:rFonts w:ascii="Century" w:hAnsi="Century"/>
            <w:sz w:val="18"/>
            <w:szCs w:val="18"/>
          </w:rPr>
          <w:fldChar w:fldCharType="begin"/>
        </w:r>
        <w:r w:rsidRPr="004E33BC">
          <w:rPr>
            <w:rFonts w:ascii="Century" w:hAnsi="Century"/>
            <w:sz w:val="18"/>
            <w:szCs w:val="18"/>
          </w:rPr>
          <w:instrText>PAGE   \* MERGEFORMAT</w:instrText>
        </w:r>
        <w:r w:rsidRPr="004E33BC">
          <w:rPr>
            <w:rFonts w:ascii="Century" w:hAnsi="Century"/>
            <w:sz w:val="18"/>
            <w:szCs w:val="18"/>
          </w:rPr>
          <w:fldChar w:fldCharType="separate"/>
        </w:r>
        <w:r w:rsidRPr="004E33BC">
          <w:rPr>
            <w:rFonts w:ascii="Century" w:hAnsi="Century"/>
            <w:noProof/>
            <w:sz w:val="18"/>
            <w:szCs w:val="18"/>
            <w:lang w:val="es-ES"/>
          </w:rPr>
          <w:t>11</w:t>
        </w:r>
        <w:r w:rsidRPr="004E33BC">
          <w:rPr>
            <w:rFonts w:ascii="Century" w:hAnsi="Century"/>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4F62B" w14:textId="77777777" w:rsidR="00B43AD4" w:rsidRDefault="00B43AD4" w:rsidP="00756044">
      <w:pPr>
        <w:spacing w:after="0" w:line="240" w:lineRule="auto"/>
      </w:pPr>
      <w:r>
        <w:separator/>
      </w:r>
    </w:p>
  </w:footnote>
  <w:footnote w:type="continuationSeparator" w:id="0">
    <w:p w14:paraId="52D1B7CA" w14:textId="77777777" w:rsidR="00B43AD4" w:rsidRDefault="00B43AD4" w:rsidP="00756044">
      <w:pPr>
        <w:spacing w:after="0" w:line="240" w:lineRule="auto"/>
      </w:pPr>
      <w:r>
        <w:continuationSeparator/>
      </w:r>
    </w:p>
  </w:footnote>
  <w:footnote w:id="1">
    <w:p w14:paraId="42830999" w14:textId="01BFC689"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02, C. 1.</w:t>
      </w:r>
    </w:p>
  </w:footnote>
  <w:footnote w:id="2">
    <w:p w14:paraId="07FFBBB7" w14:textId="3DC310D5"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05, C. 1.</w:t>
      </w:r>
    </w:p>
  </w:footnote>
  <w:footnote w:id="3">
    <w:p w14:paraId="0D721AD8" w14:textId="65A5074C"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07, C. 1.</w:t>
      </w:r>
    </w:p>
  </w:footnote>
  <w:footnote w:id="4">
    <w:p w14:paraId="6C60F6CC" w14:textId="7FA720A5"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10, C. 1.</w:t>
      </w:r>
    </w:p>
  </w:footnote>
  <w:footnote w:id="5">
    <w:p w14:paraId="0BC86B62" w14:textId="033FAAB2"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13, C. 1.</w:t>
      </w:r>
    </w:p>
  </w:footnote>
  <w:footnote w:id="6">
    <w:p w14:paraId="326F6427" w14:textId="0E8B3E2E"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16, C. 1.</w:t>
      </w:r>
    </w:p>
  </w:footnote>
  <w:footnote w:id="7">
    <w:p w14:paraId="5703A4C5" w14:textId="653B7DCD"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17, C. 1.</w:t>
      </w:r>
    </w:p>
  </w:footnote>
  <w:footnote w:id="8">
    <w:p w14:paraId="1CD8EF41" w14:textId="5D9DDB18"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22, C. 1.</w:t>
      </w:r>
    </w:p>
  </w:footnote>
  <w:footnote w:id="9">
    <w:p w14:paraId="537667CC" w14:textId="5CE6DBFB"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25, C. 1.</w:t>
      </w:r>
    </w:p>
  </w:footnote>
  <w:footnote w:id="10">
    <w:p w14:paraId="415F75F2" w14:textId="04AE0769"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30, C. 1.</w:t>
      </w:r>
    </w:p>
  </w:footnote>
  <w:footnote w:id="11">
    <w:p w14:paraId="1A5976A9" w14:textId="65618065"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39, C. 1.</w:t>
      </w:r>
    </w:p>
  </w:footnote>
  <w:footnote w:id="12">
    <w:p w14:paraId="3F917FC6" w14:textId="50CC7497"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05, C. 2.</w:t>
      </w:r>
    </w:p>
  </w:footnote>
  <w:footnote w:id="13">
    <w:p w14:paraId="34B231B0" w14:textId="29CA9EE8"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08, C. 2.</w:t>
      </w:r>
    </w:p>
  </w:footnote>
  <w:footnote w:id="14">
    <w:p w14:paraId="4F256756" w14:textId="6D504EF2" w:rsidR="00101DA4" w:rsidRPr="001027D5" w:rsidRDefault="00101DA4" w:rsidP="001027D5">
      <w:pPr>
        <w:pStyle w:val="Textonotapie"/>
        <w:jc w:val="both"/>
        <w:rPr>
          <w:rFonts w:ascii="Century" w:hAnsi="Century"/>
          <w:sz w:val="18"/>
          <w:szCs w:val="18"/>
          <w:lang w:val="es-CO"/>
        </w:rPr>
      </w:pPr>
      <w:r w:rsidRPr="001027D5">
        <w:rPr>
          <w:rStyle w:val="Refdenotaalpie"/>
          <w:rFonts w:ascii="Century" w:hAnsi="Century"/>
          <w:sz w:val="18"/>
          <w:szCs w:val="18"/>
        </w:rPr>
        <w:footnoteRef/>
      </w:r>
      <w:r w:rsidRPr="001027D5">
        <w:rPr>
          <w:rFonts w:ascii="Century" w:hAnsi="Century"/>
          <w:sz w:val="18"/>
          <w:szCs w:val="18"/>
        </w:rPr>
        <w:t xml:space="preserve"> </w:t>
      </w:r>
      <w:r w:rsidRPr="001027D5">
        <w:rPr>
          <w:rFonts w:ascii="Century" w:hAnsi="Century" w:cstheme="majorHAnsi"/>
          <w:sz w:val="18"/>
          <w:szCs w:val="18"/>
        </w:rPr>
        <w:t>Documento 08, C. 2</w:t>
      </w:r>
    </w:p>
  </w:footnote>
  <w:footnote w:id="15">
    <w:p w14:paraId="16793393" w14:textId="5FD67610" w:rsidR="00B12BE0" w:rsidRPr="001027D5" w:rsidRDefault="00B12BE0"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Sentencia T-331 de 1997 M.P. José Gregorio Hernández Galindo.</w:t>
      </w:r>
    </w:p>
  </w:footnote>
  <w:footnote w:id="16">
    <w:p w14:paraId="0261DE22" w14:textId="1800E928" w:rsidR="00B12BE0" w:rsidRPr="001027D5" w:rsidRDefault="00B12BE0"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Al respecto, pueden verse las sentencias T-331 de 1997, T-644 de 1997, T-343 de 1997, T-731 de 1998, T-245 de 1997 y SU-257 de 1997.</w:t>
      </w:r>
    </w:p>
  </w:footnote>
  <w:footnote w:id="17">
    <w:p w14:paraId="2F5AA652" w14:textId="2A4B2689" w:rsidR="00B12BE0" w:rsidRPr="001027D5" w:rsidRDefault="00B12BE0"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“por el cual se modifica la estructura del Instituto Nacional Penitenciario y Carcelario, INPEC, y se dictan otras disposiciones.”</w:t>
      </w:r>
    </w:p>
  </w:footnote>
  <w:footnote w:id="18">
    <w:p w14:paraId="73D8BDE1" w14:textId="5CF7CD57" w:rsidR="002F4AD0" w:rsidRPr="001027D5" w:rsidRDefault="002F4AD0"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Sentencia STP-4461 del 28 de marzo del 2017, que a su vez, hace referencia a la Sentencia T-151 de 2016.</w:t>
      </w:r>
    </w:p>
  </w:footnote>
  <w:footnote w:id="19">
    <w:p w14:paraId="53D4B6FF" w14:textId="55F9012C" w:rsidR="00B12BE0" w:rsidRPr="001027D5" w:rsidRDefault="00B12BE0"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T.S.P. M.P. Claudia María Arcila Ríos Sentencia del 15 de mayo del 2019, Expediente Nro. 2019-00023-01; TSP. SCF. M.P. Jaime Alberto Saraza Naranjo, sentencia del 25 de marzo de 2020, Expediente Nro. 2020-00006-01; </w:t>
      </w:r>
      <w:r w:rsidR="002F4AD0" w:rsidRPr="001027D5">
        <w:rPr>
          <w:rFonts w:ascii="Century" w:hAnsi="Century" w:cstheme="majorHAnsi"/>
          <w:sz w:val="18"/>
          <w:szCs w:val="18"/>
        </w:rPr>
        <w:t xml:space="preserve">TSP. SCF. M.P. </w:t>
      </w:r>
      <w:r w:rsidR="006D6605" w:rsidRPr="001027D5">
        <w:rPr>
          <w:rFonts w:ascii="Century" w:hAnsi="Century" w:cstheme="majorHAnsi"/>
          <w:sz w:val="18"/>
          <w:szCs w:val="18"/>
        </w:rPr>
        <w:t>Edder Jimmy Sánchez Calambás</w:t>
      </w:r>
      <w:r w:rsidR="002F4AD0" w:rsidRPr="001027D5">
        <w:rPr>
          <w:rFonts w:ascii="Century" w:hAnsi="Century" w:cstheme="majorHAnsi"/>
          <w:sz w:val="18"/>
          <w:szCs w:val="18"/>
        </w:rPr>
        <w:t xml:space="preserve">, sentencia del </w:t>
      </w:r>
      <w:r w:rsidR="006D6605" w:rsidRPr="001027D5">
        <w:rPr>
          <w:rFonts w:ascii="Century" w:hAnsi="Century" w:cstheme="majorHAnsi"/>
          <w:sz w:val="18"/>
          <w:szCs w:val="18"/>
        </w:rPr>
        <w:t>30</w:t>
      </w:r>
      <w:r w:rsidR="002F4AD0" w:rsidRPr="001027D5">
        <w:rPr>
          <w:rFonts w:ascii="Century" w:hAnsi="Century" w:cstheme="majorHAnsi"/>
          <w:sz w:val="18"/>
          <w:szCs w:val="18"/>
        </w:rPr>
        <w:t xml:space="preserve"> de </w:t>
      </w:r>
      <w:r w:rsidR="006D6605" w:rsidRPr="001027D5">
        <w:rPr>
          <w:rFonts w:ascii="Century" w:hAnsi="Century" w:cstheme="majorHAnsi"/>
          <w:sz w:val="18"/>
          <w:szCs w:val="18"/>
        </w:rPr>
        <w:t>abril</w:t>
      </w:r>
      <w:r w:rsidR="002F4AD0" w:rsidRPr="001027D5">
        <w:rPr>
          <w:rFonts w:ascii="Century" w:hAnsi="Century" w:cstheme="majorHAnsi"/>
          <w:sz w:val="18"/>
          <w:szCs w:val="18"/>
        </w:rPr>
        <w:t xml:space="preserve"> de 202</w:t>
      </w:r>
      <w:r w:rsidR="006D6605" w:rsidRPr="001027D5">
        <w:rPr>
          <w:rFonts w:ascii="Century" w:hAnsi="Century" w:cstheme="majorHAnsi"/>
          <w:sz w:val="18"/>
          <w:szCs w:val="18"/>
        </w:rPr>
        <w:t>1</w:t>
      </w:r>
      <w:r w:rsidR="002F4AD0" w:rsidRPr="001027D5">
        <w:rPr>
          <w:rFonts w:ascii="Century" w:hAnsi="Century" w:cstheme="majorHAnsi"/>
          <w:sz w:val="18"/>
          <w:szCs w:val="18"/>
        </w:rPr>
        <w:t>, Expediente Nro. 202</w:t>
      </w:r>
      <w:r w:rsidR="006D6605" w:rsidRPr="001027D5">
        <w:rPr>
          <w:rFonts w:ascii="Century" w:hAnsi="Century" w:cstheme="majorHAnsi"/>
          <w:sz w:val="18"/>
          <w:szCs w:val="18"/>
        </w:rPr>
        <w:t>1</w:t>
      </w:r>
      <w:r w:rsidR="002F4AD0" w:rsidRPr="001027D5">
        <w:rPr>
          <w:rFonts w:ascii="Century" w:hAnsi="Century" w:cstheme="majorHAnsi"/>
          <w:sz w:val="18"/>
          <w:szCs w:val="18"/>
        </w:rPr>
        <w:t>-000</w:t>
      </w:r>
      <w:r w:rsidR="006D6605" w:rsidRPr="001027D5">
        <w:rPr>
          <w:rFonts w:ascii="Century" w:hAnsi="Century" w:cstheme="majorHAnsi"/>
          <w:sz w:val="18"/>
          <w:szCs w:val="18"/>
        </w:rPr>
        <w:t>39</w:t>
      </w:r>
      <w:r w:rsidR="002F4AD0" w:rsidRPr="001027D5">
        <w:rPr>
          <w:rFonts w:ascii="Century" w:hAnsi="Century" w:cstheme="majorHAnsi"/>
          <w:sz w:val="18"/>
          <w:szCs w:val="18"/>
        </w:rPr>
        <w:t>-01</w:t>
      </w:r>
    </w:p>
  </w:footnote>
  <w:footnote w:id="20">
    <w:p w14:paraId="227D4A34" w14:textId="77777777" w:rsidR="00B12BE0" w:rsidRPr="001027D5" w:rsidRDefault="00B12BE0"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Sentencia STP4461 del 28 de marzo del 2017, M.P. Gustavo Enrique Malo Fernández.</w:t>
      </w:r>
    </w:p>
  </w:footnote>
  <w:footnote w:id="21">
    <w:p w14:paraId="3B946024" w14:textId="77777777" w:rsidR="00B12BE0" w:rsidRPr="001027D5" w:rsidRDefault="00B12BE0"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Sentencia STL1244-2018 del 31 de enero del 2018 M.P. CLARA CECILIA DUEÑAS QUEVEDO</w:t>
      </w:r>
    </w:p>
  </w:footnote>
  <w:footnote w:id="22">
    <w:p w14:paraId="46392835" w14:textId="77777777" w:rsidR="00B12BE0" w:rsidRPr="001027D5" w:rsidRDefault="00B12BE0"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Sentencia T-151 de 2016</w:t>
      </w:r>
    </w:p>
  </w:footnote>
  <w:footnote w:id="23">
    <w:p w14:paraId="02BA730B" w14:textId="0C9D4AA8" w:rsidR="00F421BC" w:rsidRPr="001027D5" w:rsidRDefault="00F421BC" w:rsidP="001027D5">
      <w:pPr>
        <w:pStyle w:val="Textonotapie"/>
        <w:jc w:val="both"/>
        <w:rPr>
          <w:rFonts w:ascii="Century" w:hAnsi="Century" w:cstheme="majorHAnsi"/>
          <w:sz w:val="18"/>
          <w:szCs w:val="18"/>
          <w:lang w:val="es-CO"/>
        </w:rPr>
      </w:pPr>
      <w:r w:rsidRPr="001027D5">
        <w:rPr>
          <w:rStyle w:val="Refdenotaalpie"/>
          <w:rFonts w:ascii="Century" w:hAnsi="Century" w:cstheme="majorHAnsi"/>
          <w:sz w:val="18"/>
          <w:szCs w:val="18"/>
        </w:rPr>
        <w:footnoteRef/>
      </w:r>
      <w:r w:rsidRPr="001027D5">
        <w:rPr>
          <w:rFonts w:ascii="Century" w:hAnsi="Century" w:cstheme="majorHAnsi"/>
          <w:sz w:val="18"/>
          <w:szCs w:val="18"/>
        </w:rPr>
        <w:t xml:space="preserve"> </w:t>
      </w:r>
      <w:r w:rsidRPr="001027D5">
        <w:rPr>
          <w:rFonts w:ascii="Century" w:hAnsi="Century" w:cstheme="majorHAnsi"/>
          <w:sz w:val="18"/>
          <w:szCs w:val="18"/>
          <w:lang w:val="es-CO"/>
        </w:rPr>
        <w:t>Documento 40,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6F39396A"/>
    <w:multiLevelType w:val="hybridMultilevel"/>
    <w:tmpl w:val="C6F68538"/>
    <w:lvl w:ilvl="0" w:tplc="90CA109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6E6"/>
    <w:rsid w:val="00003BCD"/>
    <w:rsid w:val="00006069"/>
    <w:rsid w:val="00027F07"/>
    <w:rsid w:val="000326A6"/>
    <w:rsid w:val="00033FD2"/>
    <w:rsid w:val="00034ED7"/>
    <w:rsid w:val="0004483B"/>
    <w:rsid w:val="00053F48"/>
    <w:rsid w:val="00055409"/>
    <w:rsid w:val="0005576D"/>
    <w:rsid w:val="00074430"/>
    <w:rsid w:val="000750F9"/>
    <w:rsid w:val="0007700E"/>
    <w:rsid w:val="00077766"/>
    <w:rsid w:val="00084A9F"/>
    <w:rsid w:val="000929F6"/>
    <w:rsid w:val="000A618F"/>
    <w:rsid w:val="000C3733"/>
    <w:rsid w:val="000D0588"/>
    <w:rsid w:val="000D3BE8"/>
    <w:rsid w:val="000D4794"/>
    <w:rsid w:val="000D63B6"/>
    <w:rsid w:val="000E068E"/>
    <w:rsid w:val="000F3535"/>
    <w:rsid w:val="0010181D"/>
    <w:rsid w:val="00101A55"/>
    <w:rsid w:val="00101DA4"/>
    <w:rsid w:val="001027D5"/>
    <w:rsid w:val="0011301F"/>
    <w:rsid w:val="001228A7"/>
    <w:rsid w:val="00122DD4"/>
    <w:rsid w:val="0015068D"/>
    <w:rsid w:val="0015705D"/>
    <w:rsid w:val="00170829"/>
    <w:rsid w:val="00181964"/>
    <w:rsid w:val="001824F8"/>
    <w:rsid w:val="001E3579"/>
    <w:rsid w:val="00200032"/>
    <w:rsid w:val="00216770"/>
    <w:rsid w:val="0022039C"/>
    <w:rsid w:val="0023762B"/>
    <w:rsid w:val="0024422D"/>
    <w:rsid w:val="00271C50"/>
    <w:rsid w:val="0027557E"/>
    <w:rsid w:val="00276F73"/>
    <w:rsid w:val="00281A52"/>
    <w:rsid w:val="00282427"/>
    <w:rsid w:val="00286200"/>
    <w:rsid w:val="00291AE7"/>
    <w:rsid w:val="00293295"/>
    <w:rsid w:val="002A0774"/>
    <w:rsid w:val="002B111A"/>
    <w:rsid w:val="002B6694"/>
    <w:rsid w:val="002C1162"/>
    <w:rsid w:val="002C46EF"/>
    <w:rsid w:val="002D3462"/>
    <w:rsid w:val="002D50CC"/>
    <w:rsid w:val="002D6937"/>
    <w:rsid w:val="002E0B28"/>
    <w:rsid w:val="002E3065"/>
    <w:rsid w:val="002F4AD0"/>
    <w:rsid w:val="00302A66"/>
    <w:rsid w:val="003069A3"/>
    <w:rsid w:val="003154B1"/>
    <w:rsid w:val="00315A48"/>
    <w:rsid w:val="003559F5"/>
    <w:rsid w:val="003679D3"/>
    <w:rsid w:val="00373983"/>
    <w:rsid w:val="00386AE9"/>
    <w:rsid w:val="003A0F8D"/>
    <w:rsid w:val="003A3639"/>
    <w:rsid w:val="003A3903"/>
    <w:rsid w:val="003A7E25"/>
    <w:rsid w:val="003B034A"/>
    <w:rsid w:val="003B539C"/>
    <w:rsid w:val="003B66A1"/>
    <w:rsid w:val="003B6768"/>
    <w:rsid w:val="003C2BC4"/>
    <w:rsid w:val="003D017D"/>
    <w:rsid w:val="003D0973"/>
    <w:rsid w:val="003D1B01"/>
    <w:rsid w:val="003E54BB"/>
    <w:rsid w:val="003F2749"/>
    <w:rsid w:val="003F5224"/>
    <w:rsid w:val="003F5520"/>
    <w:rsid w:val="0040103B"/>
    <w:rsid w:val="00405E18"/>
    <w:rsid w:val="00405F59"/>
    <w:rsid w:val="0040704B"/>
    <w:rsid w:val="00416B70"/>
    <w:rsid w:val="00422311"/>
    <w:rsid w:val="004228C4"/>
    <w:rsid w:val="00426DA0"/>
    <w:rsid w:val="00430A05"/>
    <w:rsid w:val="0043250B"/>
    <w:rsid w:val="00435DC4"/>
    <w:rsid w:val="004372BC"/>
    <w:rsid w:val="00462FE7"/>
    <w:rsid w:val="00467445"/>
    <w:rsid w:val="00477CB4"/>
    <w:rsid w:val="004803AE"/>
    <w:rsid w:val="004A1D9F"/>
    <w:rsid w:val="004B14D4"/>
    <w:rsid w:val="004D53C1"/>
    <w:rsid w:val="004E0C3B"/>
    <w:rsid w:val="004E33BC"/>
    <w:rsid w:val="004E4A9F"/>
    <w:rsid w:val="004F0D1F"/>
    <w:rsid w:val="004F7764"/>
    <w:rsid w:val="005124D2"/>
    <w:rsid w:val="00513F83"/>
    <w:rsid w:val="00517F08"/>
    <w:rsid w:val="00534A58"/>
    <w:rsid w:val="00563946"/>
    <w:rsid w:val="005672A5"/>
    <w:rsid w:val="0056791D"/>
    <w:rsid w:val="00570DA5"/>
    <w:rsid w:val="00583E14"/>
    <w:rsid w:val="005945EA"/>
    <w:rsid w:val="005B7535"/>
    <w:rsid w:val="005C000E"/>
    <w:rsid w:val="005C314D"/>
    <w:rsid w:val="005D5D35"/>
    <w:rsid w:val="005D653A"/>
    <w:rsid w:val="005E168D"/>
    <w:rsid w:val="005E666C"/>
    <w:rsid w:val="005F3E08"/>
    <w:rsid w:val="005F6A02"/>
    <w:rsid w:val="005F7FDF"/>
    <w:rsid w:val="00607281"/>
    <w:rsid w:val="0061104F"/>
    <w:rsid w:val="0061438F"/>
    <w:rsid w:val="00616474"/>
    <w:rsid w:val="00620F63"/>
    <w:rsid w:val="006230BC"/>
    <w:rsid w:val="006278C7"/>
    <w:rsid w:val="00657454"/>
    <w:rsid w:val="00662A05"/>
    <w:rsid w:val="00665342"/>
    <w:rsid w:val="00673C54"/>
    <w:rsid w:val="00674A22"/>
    <w:rsid w:val="0067794B"/>
    <w:rsid w:val="006849A6"/>
    <w:rsid w:val="00693B8A"/>
    <w:rsid w:val="00695D52"/>
    <w:rsid w:val="006979C1"/>
    <w:rsid w:val="006A5728"/>
    <w:rsid w:val="006A6776"/>
    <w:rsid w:val="006B0A03"/>
    <w:rsid w:val="006B1E9D"/>
    <w:rsid w:val="006C0F11"/>
    <w:rsid w:val="006D4518"/>
    <w:rsid w:val="006D5D3E"/>
    <w:rsid w:val="006D6605"/>
    <w:rsid w:val="006D7F5E"/>
    <w:rsid w:val="006E3819"/>
    <w:rsid w:val="006E4909"/>
    <w:rsid w:val="006E6D69"/>
    <w:rsid w:val="006F5C2C"/>
    <w:rsid w:val="006F65FE"/>
    <w:rsid w:val="0070049D"/>
    <w:rsid w:val="007045BE"/>
    <w:rsid w:val="007052D6"/>
    <w:rsid w:val="00711431"/>
    <w:rsid w:val="00712825"/>
    <w:rsid w:val="00714B45"/>
    <w:rsid w:val="007220EC"/>
    <w:rsid w:val="00740AC8"/>
    <w:rsid w:val="00742586"/>
    <w:rsid w:val="00742D7B"/>
    <w:rsid w:val="007479E7"/>
    <w:rsid w:val="00756044"/>
    <w:rsid w:val="00771673"/>
    <w:rsid w:val="00772BEE"/>
    <w:rsid w:val="00784E3A"/>
    <w:rsid w:val="0079681B"/>
    <w:rsid w:val="00796976"/>
    <w:rsid w:val="007A2CEB"/>
    <w:rsid w:val="007A519B"/>
    <w:rsid w:val="007C069B"/>
    <w:rsid w:val="007D29D6"/>
    <w:rsid w:val="007D4C6D"/>
    <w:rsid w:val="00821848"/>
    <w:rsid w:val="008329FC"/>
    <w:rsid w:val="00843149"/>
    <w:rsid w:val="0086500E"/>
    <w:rsid w:val="00877521"/>
    <w:rsid w:val="0088709E"/>
    <w:rsid w:val="00891E39"/>
    <w:rsid w:val="0089363A"/>
    <w:rsid w:val="00894320"/>
    <w:rsid w:val="00896C50"/>
    <w:rsid w:val="008A1CF9"/>
    <w:rsid w:val="008A42CD"/>
    <w:rsid w:val="008A723B"/>
    <w:rsid w:val="008B4181"/>
    <w:rsid w:val="008C7948"/>
    <w:rsid w:val="008D27F3"/>
    <w:rsid w:val="008E58CD"/>
    <w:rsid w:val="008F0C90"/>
    <w:rsid w:val="008F18E2"/>
    <w:rsid w:val="008F3498"/>
    <w:rsid w:val="008F5463"/>
    <w:rsid w:val="008F6DE3"/>
    <w:rsid w:val="0090236C"/>
    <w:rsid w:val="009033CA"/>
    <w:rsid w:val="00907DCF"/>
    <w:rsid w:val="009106CF"/>
    <w:rsid w:val="009150EF"/>
    <w:rsid w:val="009174B5"/>
    <w:rsid w:val="009202A9"/>
    <w:rsid w:val="00923230"/>
    <w:rsid w:val="009272DE"/>
    <w:rsid w:val="009315E7"/>
    <w:rsid w:val="0093504A"/>
    <w:rsid w:val="0093530C"/>
    <w:rsid w:val="009430BD"/>
    <w:rsid w:val="00944011"/>
    <w:rsid w:val="0096221B"/>
    <w:rsid w:val="0096660E"/>
    <w:rsid w:val="009878FF"/>
    <w:rsid w:val="009A199B"/>
    <w:rsid w:val="009A3ACA"/>
    <w:rsid w:val="009A5644"/>
    <w:rsid w:val="009C4D3E"/>
    <w:rsid w:val="00A12467"/>
    <w:rsid w:val="00A22B0F"/>
    <w:rsid w:val="00A27E1F"/>
    <w:rsid w:val="00A30955"/>
    <w:rsid w:val="00A51860"/>
    <w:rsid w:val="00A5720C"/>
    <w:rsid w:val="00A64ADF"/>
    <w:rsid w:val="00A92999"/>
    <w:rsid w:val="00A97441"/>
    <w:rsid w:val="00AB0C0C"/>
    <w:rsid w:val="00AD6B4D"/>
    <w:rsid w:val="00AE0224"/>
    <w:rsid w:val="00AE2539"/>
    <w:rsid w:val="00AF3A84"/>
    <w:rsid w:val="00B0280B"/>
    <w:rsid w:val="00B10C83"/>
    <w:rsid w:val="00B12BE0"/>
    <w:rsid w:val="00B25FD8"/>
    <w:rsid w:val="00B27688"/>
    <w:rsid w:val="00B43AD4"/>
    <w:rsid w:val="00B700DF"/>
    <w:rsid w:val="00B71930"/>
    <w:rsid w:val="00B76E8E"/>
    <w:rsid w:val="00B92F45"/>
    <w:rsid w:val="00B95A94"/>
    <w:rsid w:val="00BA66A9"/>
    <w:rsid w:val="00BA7014"/>
    <w:rsid w:val="00BC2423"/>
    <w:rsid w:val="00BC2599"/>
    <w:rsid w:val="00BC45E3"/>
    <w:rsid w:val="00BC5313"/>
    <w:rsid w:val="00BC6F09"/>
    <w:rsid w:val="00BE018A"/>
    <w:rsid w:val="00BE5319"/>
    <w:rsid w:val="00BF3C77"/>
    <w:rsid w:val="00C21E67"/>
    <w:rsid w:val="00C379D6"/>
    <w:rsid w:val="00C444FE"/>
    <w:rsid w:val="00C518A4"/>
    <w:rsid w:val="00C557A6"/>
    <w:rsid w:val="00C6563C"/>
    <w:rsid w:val="00C70616"/>
    <w:rsid w:val="00C82FEF"/>
    <w:rsid w:val="00C8657B"/>
    <w:rsid w:val="00C94D81"/>
    <w:rsid w:val="00CA12A2"/>
    <w:rsid w:val="00CC5651"/>
    <w:rsid w:val="00CC619F"/>
    <w:rsid w:val="00CD7BF8"/>
    <w:rsid w:val="00CE05C3"/>
    <w:rsid w:val="00CE1967"/>
    <w:rsid w:val="00CF2187"/>
    <w:rsid w:val="00D11CCF"/>
    <w:rsid w:val="00D12CEC"/>
    <w:rsid w:val="00D161D8"/>
    <w:rsid w:val="00D25908"/>
    <w:rsid w:val="00D30FD4"/>
    <w:rsid w:val="00D33CE9"/>
    <w:rsid w:val="00D34A75"/>
    <w:rsid w:val="00D3694C"/>
    <w:rsid w:val="00D42F2B"/>
    <w:rsid w:val="00D44763"/>
    <w:rsid w:val="00D53CA7"/>
    <w:rsid w:val="00D676B9"/>
    <w:rsid w:val="00D8236D"/>
    <w:rsid w:val="00D95300"/>
    <w:rsid w:val="00D97BAB"/>
    <w:rsid w:val="00DA11D4"/>
    <w:rsid w:val="00DA53C5"/>
    <w:rsid w:val="00DA6515"/>
    <w:rsid w:val="00DA7561"/>
    <w:rsid w:val="00DD00B4"/>
    <w:rsid w:val="00DD4215"/>
    <w:rsid w:val="00DE2030"/>
    <w:rsid w:val="00DF7B5F"/>
    <w:rsid w:val="00E01B05"/>
    <w:rsid w:val="00E07CA6"/>
    <w:rsid w:val="00E20C20"/>
    <w:rsid w:val="00E24C1E"/>
    <w:rsid w:val="00E434E7"/>
    <w:rsid w:val="00E44B84"/>
    <w:rsid w:val="00E50774"/>
    <w:rsid w:val="00E50FD0"/>
    <w:rsid w:val="00E7322A"/>
    <w:rsid w:val="00E766F3"/>
    <w:rsid w:val="00E76DC4"/>
    <w:rsid w:val="00E80335"/>
    <w:rsid w:val="00E87CCB"/>
    <w:rsid w:val="00EA3E59"/>
    <w:rsid w:val="00EA3F8D"/>
    <w:rsid w:val="00EB2484"/>
    <w:rsid w:val="00EC1754"/>
    <w:rsid w:val="00EC38FC"/>
    <w:rsid w:val="00ED0D4F"/>
    <w:rsid w:val="00ED5877"/>
    <w:rsid w:val="00F0575B"/>
    <w:rsid w:val="00F0648E"/>
    <w:rsid w:val="00F16627"/>
    <w:rsid w:val="00F20C45"/>
    <w:rsid w:val="00F3068A"/>
    <w:rsid w:val="00F3183F"/>
    <w:rsid w:val="00F421BC"/>
    <w:rsid w:val="00F43CD2"/>
    <w:rsid w:val="00F44B78"/>
    <w:rsid w:val="00F46E71"/>
    <w:rsid w:val="00F5013B"/>
    <w:rsid w:val="00F51330"/>
    <w:rsid w:val="00F73616"/>
    <w:rsid w:val="00F75CB6"/>
    <w:rsid w:val="00F84347"/>
    <w:rsid w:val="00FB0E44"/>
    <w:rsid w:val="00FB1476"/>
    <w:rsid w:val="00FB69AE"/>
    <w:rsid w:val="00FB7D1D"/>
    <w:rsid w:val="00FD1F82"/>
    <w:rsid w:val="00FD4DBD"/>
    <w:rsid w:val="00FE20DE"/>
    <w:rsid w:val="00FE5F8A"/>
    <w:rsid w:val="00FF14C8"/>
    <w:rsid w:val="00FF31BE"/>
    <w:rsid w:val="00FF5B8E"/>
    <w:rsid w:val="00FF6728"/>
    <w:rsid w:val="0366FAB4"/>
    <w:rsid w:val="066F6A3C"/>
    <w:rsid w:val="0894CE2B"/>
    <w:rsid w:val="0BE73815"/>
    <w:rsid w:val="12D4F956"/>
    <w:rsid w:val="12E965F3"/>
    <w:rsid w:val="172DF205"/>
    <w:rsid w:val="1A78F8BC"/>
    <w:rsid w:val="1C822DE5"/>
    <w:rsid w:val="2537E002"/>
    <w:rsid w:val="30D45F3E"/>
    <w:rsid w:val="3D76F797"/>
    <w:rsid w:val="3F7AA900"/>
    <w:rsid w:val="431A8C22"/>
    <w:rsid w:val="462958A4"/>
    <w:rsid w:val="4FF8B82C"/>
    <w:rsid w:val="567BA24D"/>
    <w:rsid w:val="59A1AA03"/>
    <w:rsid w:val="5DA7CDFB"/>
    <w:rsid w:val="5F282C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58"/>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6979C1"/>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semiHidden/>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6979C1"/>
    <w:rPr>
      <w:rFonts w:ascii="Times New Roman" w:eastAsia="Times New Roman" w:hAnsi="Times New Roman" w:cs="Times New Roman"/>
      <w:b/>
      <w:bCs/>
      <w:sz w:val="36"/>
      <w:szCs w:val="36"/>
      <w:lang w:val="es-CO" w:eastAsia="es-CO"/>
    </w:rPr>
  </w:style>
  <w:style w:type="paragraph" w:styleId="Textoindependiente3">
    <w:name w:val="Body Text 3"/>
    <w:basedOn w:val="Normal"/>
    <w:link w:val="Textoindependiente3Car"/>
    <w:semiHidden/>
    <w:unhideWhenUsed/>
    <w:rsid w:val="00A30955"/>
    <w:pPr>
      <w:overflowPunct w:val="0"/>
      <w:autoSpaceDE w:val="0"/>
      <w:autoSpaceDN w:val="0"/>
      <w:adjustRightInd w:val="0"/>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semiHidden/>
    <w:rsid w:val="00A30955"/>
    <w:rPr>
      <w:rFonts w:ascii="Times New Roman" w:eastAsia="Times New Roman" w:hAnsi="Times New Roman" w:cs="Times New Roman"/>
      <w:sz w:val="16"/>
      <w:szCs w:val="16"/>
      <w:lang w:val="es-ES_tradnl" w:eastAsia="es-ES"/>
    </w:rPr>
  </w:style>
  <w:style w:type="paragraph" w:customStyle="1" w:styleId="Sinespaciado5">
    <w:name w:val="Sin espaciado5"/>
    <w:rsid w:val="002F4AD0"/>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9930">
      <w:bodyDiv w:val="1"/>
      <w:marLeft w:val="0"/>
      <w:marRight w:val="0"/>
      <w:marTop w:val="0"/>
      <w:marBottom w:val="0"/>
      <w:divBdr>
        <w:top w:val="none" w:sz="0" w:space="0" w:color="auto"/>
        <w:left w:val="none" w:sz="0" w:space="0" w:color="auto"/>
        <w:bottom w:val="none" w:sz="0" w:space="0" w:color="auto"/>
        <w:right w:val="none" w:sz="0" w:space="0" w:color="auto"/>
      </w:divBdr>
    </w:div>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867379378">
      <w:bodyDiv w:val="1"/>
      <w:marLeft w:val="0"/>
      <w:marRight w:val="0"/>
      <w:marTop w:val="0"/>
      <w:marBottom w:val="0"/>
      <w:divBdr>
        <w:top w:val="none" w:sz="0" w:space="0" w:color="auto"/>
        <w:left w:val="none" w:sz="0" w:space="0" w:color="auto"/>
        <w:bottom w:val="none" w:sz="0" w:space="0" w:color="auto"/>
        <w:right w:val="none" w:sz="0" w:space="0" w:color="auto"/>
      </w:divBdr>
    </w:div>
    <w:div w:id="909462897">
      <w:bodyDiv w:val="1"/>
      <w:marLeft w:val="0"/>
      <w:marRight w:val="0"/>
      <w:marTop w:val="0"/>
      <w:marBottom w:val="0"/>
      <w:divBdr>
        <w:top w:val="none" w:sz="0" w:space="0" w:color="auto"/>
        <w:left w:val="none" w:sz="0" w:space="0" w:color="auto"/>
        <w:bottom w:val="none" w:sz="0" w:space="0" w:color="auto"/>
        <w:right w:val="none" w:sz="0" w:space="0" w:color="auto"/>
      </w:divBdr>
    </w:div>
    <w:div w:id="970207024">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ebe17fd6513447f6"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A6980-D705-4E8A-A798-84BFFE1461A2}">
  <ds:schemaRefs>
    <ds:schemaRef ds:uri="http://schemas.microsoft.com/sharepoint/v3/contenttype/forms"/>
  </ds:schemaRefs>
</ds:datastoreItem>
</file>

<file path=customXml/itemProps2.xml><?xml version="1.0" encoding="utf-8"?>
<ds:datastoreItem xmlns:ds="http://schemas.openxmlformats.org/officeDocument/2006/customXml" ds:itemID="{8EBC082C-12BB-49F6-9BF3-0D62CDEE51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CF9B1-2D87-4C94-81C8-6155818A9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3AAB6-0482-43AF-A960-0D3B7357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3952</Words>
  <Characters>21738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7</cp:revision>
  <cp:lastPrinted>2019-04-25T12:29:00Z</cp:lastPrinted>
  <dcterms:created xsi:type="dcterms:W3CDTF">2021-09-20T19:06:00Z</dcterms:created>
  <dcterms:modified xsi:type="dcterms:W3CDTF">2022-03-02T15:35:00Z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