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FC18" w14:textId="77777777" w:rsidR="00501476" w:rsidRPr="00501476" w:rsidRDefault="00501476" w:rsidP="0050147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0147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0AE23D" w14:textId="77777777" w:rsidR="00501476" w:rsidRPr="00501476" w:rsidRDefault="00501476" w:rsidP="00501476">
      <w:pPr>
        <w:spacing w:after="0" w:line="240" w:lineRule="auto"/>
        <w:jc w:val="both"/>
        <w:rPr>
          <w:rFonts w:ascii="Arial" w:eastAsia="Times New Roman" w:hAnsi="Arial" w:cs="Arial"/>
          <w:sz w:val="20"/>
          <w:szCs w:val="20"/>
          <w:lang w:val="es-419" w:eastAsia="es-ES"/>
        </w:rPr>
      </w:pPr>
    </w:p>
    <w:p w14:paraId="7F95F681" w14:textId="3296C7F6" w:rsidR="00501476" w:rsidRPr="00501476" w:rsidRDefault="00501476" w:rsidP="00501476">
      <w:pPr>
        <w:spacing w:after="0" w:line="240" w:lineRule="auto"/>
        <w:jc w:val="both"/>
        <w:rPr>
          <w:rFonts w:ascii="Arial" w:eastAsia="Times New Roman" w:hAnsi="Arial" w:cs="Arial"/>
          <w:b/>
          <w:bCs/>
          <w:iCs/>
          <w:sz w:val="20"/>
          <w:szCs w:val="20"/>
          <w:lang w:val="es-419" w:eastAsia="fr-FR"/>
        </w:rPr>
      </w:pPr>
      <w:r w:rsidRPr="00501476">
        <w:rPr>
          <w:rFonts w:ascii="Arial" w:eastAsia="Times New Roman" w:hAnsi="Arial" w:cs="Arial"/>
          <w:b/>
          <w:bCs/>
          <w:iCs/>
          <w:sz w:val="20"/>
          <w:szCs w:val="20"/>
          <w:u w:val="single"/>
          <w:lang w:val="es-419" w:eastAsia="fr-FR"/>
        </w:rPr>
        <w:t>TEMAS:</w:t>
      </w:r>
      <w:r w:rsidRPr="00501476">
        <w:rPr>
          <w:rFonts w:ascii="Arial" w:eastAsia="Times New Roman" w:hAnsi="Arial" w:cs="Arial"/>
          <w:b/>
          <w:bCs/>
          <w:iCs/>
          <w:sz w:val="20"/>
          <w:szCs w:val="20"/>
          <w:lang w:val="es-419" w:eastAsia="fr-FR"/>
        </w:rPr>
        <w:tab/>
      </w:r>
      <w:r w:rsidR="00EF1763">
        <w:rPr>
          <w:rFonts w:ascii="Arial" w:eastAsia="Times New Roman" w:hAnsi="Arial" w:cs="Arial"/>
          <w:b/>
          <w:bCs/>
          <w:iCs/>
          <w:sz w:val="20"/>
          <w:szCs w:val="20"/>
          <w:lang w:val="es-419" w:eastAsia="fr-FR"/>
        </w:rPr>
        <w:t xml:space="preserve">DERECHO A LA SALUD / PACIENTES CON INSUFICIENCIA RENAL CRÓNICA / </w:t>
      </w:r>
      <w:r w:rsidR="00E83A81">
        <w:rPr>
          <w:rFonts w:ascii="Arial" w:eastAsia="Times New Roman" w:hAnsi="Arial" w:cs="Arial"/>
          <w:b/>
          <w:bCs/>
          <w:iCs/>
          <w:sz w:val="20"/>
          <w:szCs w:val="20"/>
          <w:lang w:val="es-419" w:eastAsia="fr-FR"/>
        </w:rPr>
        <w:t>ATENCIÓN INTEGRAL / SUMINISTRO DEL SERVICIO DE TRANSPORTE / REQUISITOS / CARENCIA DE RECURSOS ECONÓMICOS / AFECTACIÓN DE DERECHOS FUNDAMENTALES.</w:t>
      </w:r>
    </w:p>
    <w:p w14:paraId="371EA37B" w14:textId="77777777" w:rsidR="00501476" w:rsidRPr="00501476" w:rsidRDefault="00501476" w:rsidP="00501476">
      <w:pPr>
        <w:spacing w:after="0" w:line="240" w:lineRule="auto"/>
        <w:jc w:val="both"/>
        <w:rPr>
          <w:rFonts w:ascii="Arial" w:eastAsia="Times New Roman" w:hAnsi="Arial" w:cs="Arial"/>
          <w:sz w:val="20"/>
          <w:szCs w:val="20"/>
          <w:lang w:val="es-419" w:eastAsia="es-ES"/>
        </w:rPr>
      </w:pPr>
    </w:p>
    <w:p w14:paraId="2D727FD3" w14:textId="742306A0" w:rsidR="00501476" w:rsidRDefault="00E209B1" w:rsidP="00501476">
      <w:pPr>
        <w:spacing w:after="0" w:line="240" w:lineRule="auto"/>
        <w:jc w:val="both"/>
        <w:rPr>
          <w:rFonts w:ascii="Arial" w:eastAsia="Times New Roman" w:hAnsi="Arial" w:cs="Arial"/>
          <w:sz w:val="20"/>
          <w:szCs w:val="20"/>
          <w:lang w:val="es-419" w:eastAsia="es-ES"/>
        </w:rPr>
      </w:pPr>
      <w:r w:rsidRPr="00E209B1">
        <w:rPr>
          <w:rFonts w:ascii="Arial" w:eastAsia="Times New Roman" w:hAnsi="Arial" w:cs="Arial"/>
          <w:sz w:val="20"/>
          <w:szCs w:val="20"/>
          <w:lang w:val="es-419" w:eastAsia="es-ES"/>
        </w:rPr>
        <w:t>En lo que se refiere a la especial atención que deben recibir los pacientes que padecen insuficiencia renal crónica, la Corte Constitucional ha explicado que:</w:t>
      </w:r>
    </w:p>
    <w:p w14:paraId="70BFE929" w14:textId="77777777" w:rsidR="00E209B1" w:rsidRPr="00501476" w:rsidRDefault="00E209B1" w:rsidP="00501476">
      <w:pPr>
        <w:spacing w:after="0" w:line="240" w:lineRule="auto"/>
        <w:jc w:val="both"/>
        <w:rPr>
          <w:rFonts w:ascii="Arial" w:eastAsia="Times New Roman" w:hAnsi="Arial" w:cs="Arial"/>
          <w:sz w:val="20"/>
          <w:szCs w:val="20"/>
          <w:lang w:val="es-419" w:eastAsia="es-ES"/>
        </w:rPr>
      </w:pPr>
    </w:p>
    <w:p w14:paraId="1C9E88D6" w14:textId="49C82CCB" w:rsidR="00501476" w:rsidRPr="00501476" w:rsidRDefault="00E209B1" w:rsidP="0050147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BC5475" w:rsidRPr="00BC5475">
        <w:rPr>
          <w:rFonts w:ascii="Arial" w:eastAsia="Times New Roman" w:hAnsi="Arial" w:cs="Arial"/>
          <w:sz w:val="20"/>
          <w:szCs w:val="20"/>
          <w:lang w:val="es-419" w:eastAsia="es-ES"/>
        </w:rPr>
        <w:t>Un primer referente a la hora de identificar las obligaciones de los actores del SGSSS de cara a la prevención, diagnóstico y tratamiento de la enfermedad renal crónica es, entonces, el contemplado en la Ley 972 de 2005. Esta, como se dijo, compromete a las entidades del SGSSS con la asistencia de laboratorio, médica u hospitalaria de los pacientes de enfermedades crónicas en los términos previstos en el plan obligatorio de salud, advierte que dicha asistencia no puede negarse “bajo ningún pretexto” y precisa que la atención de estos pacientes, asegurados o no, es obligatoria</w:t>
      </w:r>
      <w:r>
        <w:rPr>
          <w:rFonts w:ascii="Arial" w:eastAsia="Times New Roman" w:hAnsi="Arial" w:cs="Arial"/>
          <w:sz w:val="20"/>
          <w:szCs w:val="20"/>
          <w:lang w:val="es-419" w:eastAsia="es-ES"/>
        </w:rPr>
        <w:t>…”</w:t>
      </w:r>
    </w:p>
    <w:p w14:paraId="08F442A7" w14:textId="77777777" w:rsidR="00501476" w:rsidRPr="00501476" w:rsidRDefault="00501476" w:rsidP="00501476">
      <w:pPr>
        <w:spacing w:after="0" w:line="240" w:lineRule="auto"/>
        <w:jc w:val="both"/>
        <w:rPr>
          <w:rFonts w:ascii="Arial" w:eastAsia="Times New Roman" w:hAnsi="Arial" w:cs="Arial"/>
          <w:sz w:val="20"/>
          <w:szCs w:val="20"/>
          <w:lang w:val="es-419" w:eastAsia="es-ES"/>
        </w:rPr>
      </w:pPr>
    </w:p>
    <w:p w14:paraId="1DADAA08" w14:textId="51F90222" w:rsidR="00501476" w:rsidRPr="00501476" w:rsidRDefault="00E209B1" w:rsidP="00501476">
      <w:pPr>
        <w:spacing w:after="0" w:line="240" w:lineRule="auto"/>
        <w:jc w:val="both"/>
        <w:rPr>
          <w:rFonts w:ascii="Arial" w:eastAsia="Times New Roman" w:hAnsi="Arial" w:cs="Arial"/>
          <w:sz w:val="20"/>
          <w:szCs w:val="20"/>
          <w:lang w:val="es-419" w:eastAsia="es-ES"/>
        </w:rPr>
      </w:pPr>
      <w:r w:rsidRPr="00E209B1">
        <w:rPr>
          <w:rFonts w:ascii="Arial" w:eastAsia="Times New Roman" w:hAnsi="Arial" w:cs="Arial"/>
          <w:sz w:val="20"/>
          <w:szCs w:val="20"/>
          <w:lang w:val="es-419" w:eastAsia="es-ES"/>
        </w:rPr>
        <w:t>Una de las solicitudes más recurrentes en las tutelas formuladas por pacientes de enfermedad renal crónica es la que tiene que ver con el cubrimiento de los gastos de transporte y de alojamiento que requieren para asistir a sus citas médicas, a sus terapias de diálisis</w:t>
      </w:r>
      <w:r>
        <w:rPr>
          <w:rFonts w:ascii="Arial" w:eastAsia="Times New Roman" w:hAnsi="Arial" w:cs="Arial"/>
          <w:sz w:val="20"/>
          <w:szCs w:val="20"/>
          <w:lang w:val="es-419" w:eastAsia="es-ES"/>
        </w:rPr>
        <w:t>…</w:t>
      </w:r>
    </w:p>
    <w:p w14:paraId="2A60B293" w14:textId="77777777" w:rsidR="00501476" w:rsidRPr="00501476" w:rsidRDefault="00501476" w:rsidP="00501476">
      <w:pPr>
        <w:spacing w:after="0" w:line="240" w:lineRule="auto"/>
        <w:jc w:val="both"/>
        <w:rPr>
          <w:rFonts w:ascii="Arial" w:eastAsia="Times New Roman" w:hAnsi="Arial" w:cs="Arial"/>
          <w:sz w:val="20"/>
          <w:szCs w:val="20"/>
          <w:lang w:val="es-419" w:eastAsia="es-ES"/>
        </w:rPr>
      </w:pPr>
    </w:p>
    <w:p w14:paraId="03A4E77E" w14:textId="36D6EBA8" w:rsidR="00EF1763" w:rsidRPr="00EF1763" w:rsidRDefault="00EF1763" w:rsidP="00EF1763">
      <w:pPr>
        <w:spacing w:after="0" w:line="240" w:lineRule="auto"/>
        <w:jc w:val="both"/>
        <w:rPr>
          <w:rFonts w:ascii="Arial" w:eastAsia="Times New Roman" w:hAnsi="Arial" w:cs="Arial"/>
          <w:sz w:val="20"/>
          <w:szCs w:val="20"/>
          <w:lang w:val="es-ES" w:eastAsia="es-ES"/>
        </w:rPr>
      </w:pPr>
      <w:r w:rsidRPr="00EF1763">
        <w:rPr>
          <w:rFonts w:ascii="Arial" w:eastAsia="Times New Roman" w:hAnsi="Arial" w:cs="Arial"/>
          <w:sz w:val="20"/>
          <w:szCs w:val="20"/>
          <w:lang w:val="es-ES" w:eastAsia="es-ES"/>
        </w:rPr>
        <w:t>Y sobre la posibilidad de que, mediante una acción de tutela, se ordene el servicio de transporte para los afiliados, la misma Corporación ha decantado que:</w:t>
      </w:r>
    </w:p>
    <w:p w14:paraId="6851802C" w14:textId="77777777" w:rsidR="00EF1763" w:rsidRPr="00EF1763" w:rsidRDefault="00EF1763" w:rsidP="00EF1763">
      <w:pPr>
        <w:spacing w:after="0" w:line="240" w:lineRule="auto"/>
        <w:jc w:val="both"/>
        <w:rPr>
          <w:rFonts w:ascii="Arial" w:eastAsia="Times New Roman" w:hAnsi="Arial" w:cs="Arial"/>
          <w:sz w:val="20"/>
          <w:szCs w:val="20"/>
          <w:lang w:val="es-ES" w:eastAsia="es-ES"/>
        </w:rPr>
      </w:pPr>
    </w:p>
    <w:p w14:paraId="5AAF77AF" w14:textId="29160F94" w:rsidR="00501476" w:rsidRDefault="00EF1763" w:rsidP="00EF176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EF1763">
        <w:rPr>
          <w:rFonts w:ascii="Arial" w:eastAsia="Times New Roman" w:hAnsi="Arial" w:cs="Arial"/>
          <w:sz w:val="20"/>
          <w:szCs w:val="20"/>
          <w:lang w:val="es-ES" w:eastAsia="es-ES"/>
        </w:rPr>
        <w:t>La Corte Constitucional, ha expresado que cuando el paciente no cuenta con los recursos para sufragar los gastos que le genera el desplazamiento, debe el juez constitucional analizar si se acredita que “(i) ni el paciente ni sus familiares cercanos tienen los recursos económicos suficientes para pagar el valor del traslado y (ii) de no efectuarse la remisión se pone en riesgo la vida, la integridad física o el estado de salud del usuario”.</w:t>
      </w:r>
    </w:p>
    <w:p w14:paraId="30D4CAC9" w14:textId="77777777" w:rsidR="00EF1763" w:rsidRPr="00501476" w:rsidRDefault="00EF1763" w:rsidP="00501476">
      <w:pPr>
        <w:spacing w:after="0" w:line="240" w:lineRule="auto"/>
        <w:jc w:val="both"/>
        <w:rPr>
          <w:rFonts w:ascii="Arial" w:eastAsia="Times New Roman" w:hAnsi="Arial" w:cs="Arial"/>
          <w:sz w:val="20"/>
          <w:szCs w:val="20"/>
          <w:lang w:val="es-ES" w:eastAsia="es-ES"/>
        </w:rPr>
      </w:pPr>
    </w:p>
    <w:p w14:paraId="188F5CF4" w14:textId="77777777" w:rsidR="00501476" w:rsidRPr="00501476" w:rsidRDefault="00501476" w:rsidP="00501476">
      <w:pPr>
        <w:spacing w:after="0" w:line="240" w:lineRule="auto"/>
        <w:jc w:val="both"/>
        <w:rPr>
          <w:rFonts w:ascii="Arial" w:eastAsia="Times New Roman" w:hAnsi="Arial" w:cs="Arial"/>
          <w:sz w:val="20"/>
          <w:szCs w:val="20"/>
          <w:lang w:val="es-ES" w:eastAsia="es-ES"/>
        </w:rPr>
      </w:pPr>
    </w:p>
    <w:p w14:paraId="4EEDB117" w14:textId="77777777" w:rsidR="00501476" w:rsidRPr="00501476" w:rsidRDefault="00501476" w:rsidP="00501476">
      <w:pPr>
        <w:spacing w:after="0" w:line="240" w:lineRule="auto"/>
        <w:jc w:val="both"/>
        <w:rPr>
          <w:rFonts w:ascii="Arial" w:eastAsia="Times New Roman" w:hAnsi="Arial" w:cs="Arial"/>
          <w:sz w:val="20"/>
          <w:szCs w:val="20"/>
          <w:lang w:val="es-ES" w:eastAsia="es-ES"/>
        </w:rPr>
      </w:pPr>
    </w:p>
    <w:bookmarkEnd w:id="0"/>
    <w:p w14:paraId="1C3BEE41" w14:textId="77777777" w:rsidR="003215AE" w:rsidRPr="00501476" w:rsidRDefault="003215AE" w:rsidP="00501476">
      <w:pPr>
        <w:spacing w:after="0" w:line="276" w:lineRule="auto"/>
        <w:ind w:firstLine="2835"/>
        <w:jc w:val="both"/>
        <w:rPr>
          <w:rFonts w:ascii="Gadugi" w:eastAsia="Times New Roman" w:hAnsi="Gadugi" w:cs="Century Gothic"/>
          <w:b/>
          <w:bCs/>
          <w:sz w:val="24"/>
          <w:szCs w:val="24"/>
          <w:lang w:val="es-ES" w:eastAsia="es-ES"/>
        </w:rPr>
      </w:pPr>
      <w:r w:rsidRPr="00501476">
        <w:rPr>
          <w:rFonts w:ascii="Gadugi" w:eastAsia="Times New Roman" w:hAnsi="Gadugi" w:cs="Century Gothic"/>
          <w:b/>
          <w:bCs/>
          <w:sz w:val="24"/>
          <w:szCs w:val="24"/>
          <w:lang w:val="es-ES" w:eastAsia="es-ES"/>
        </w:rPr>
        <w:t>TRIBUNAL SUPERIOR DEL DISTRITO JUDICIAL</w:t>
      </w:r>
    </w:p>
    <w:p w14:paraId="37A3B829" w14:textId="232AE4CB" w:rsidR="003215AE" w:rsidRPr="00501476" w:rsidRDefault="003215AE" w:rsidP="00501476">
      <w:pPr>
        <w:spacing w:after="0" w:line="276" w:lineRule="auto"/>
        <w:ind w:firstLine="2835"/>
        <w:jc w:val="both"/>
        <w:rPr>
          <w:rFonts w:ascii="Gadugi" w:eastAsia="Times New Roman" w:hAnsi="Gadugi" w:cs="Century Gothic"/>
          <w:b/>
          <w:bCs/>
          <w:sz w:val="24"/>
          <w:szCs w:val="24"/>
          <w:lang w:val="es-ES" w:eastAsia="es-ES"/>
        </w:rPr>
      </w:pPr>
      <w:r w:rsidRPr="00501476">
        <w:rPr>
          <w:rFonts w:ascii="Gadugi" w:eastAsia="Times New Roman" w:hAnsi="Gadugi" w:cs="Century Gothic"/>
          <w:b/>
          <w:bCs/>
          <w:sz w:val="24"/>
          <w:szCs w:val="24"/>
          <w:lang w:val="es-ES" w:eastAsia="es-ES"/>
        </w:rPr>
        <w:t xml:space="preserve">   </w:t>
      </w:r>
      <w:r w:rsidR="00557111" w:rsidRPr="00501476">
        <w:rPr>
          <w:rFonts w:ascii="Gadugi" w:eastAsia="Times New Roman" w:hAnsi="Gadugi" w:cs="Century Gothic"/>
          <w:b/>
          <w:bCs/>
          <w:sz w:val="24"/>
          <w:szCs w:val="24"/>
          <w:lang w:val="es-ES" w:eastAsia="es-ES"/>
        </w:rPr>
        <w:t xml:space="preserve">    </w:t>
      </w:r>
      <w:r w:rsidRPr="00501476">
        <w:rPr>
          <w:rFonts w:ascii="Gadugi" w:eastAsia="Times New Roman" w:hAnsi="Gadugi" w:cs="Century Gothic"/>
          <w:b/>
          <w:bCs/>
          <w:sz w:val="24"/>
          <w:szCs w:val="24"/>
          <w:lang w:eastAsia="es-ES"/>
        </w:rPr>
        <w:t xml:space="preserve">  </w:t>
      </w:r>
      <w:r w:rsidRPr="00501476">
        <w:rPr>
          <w:rFonts w:ascii="Gadugi" w:eastAsia="Times New Roman" w:hAnsi="Gadugi" w:cs="Century Gothic"/>
          <w:b/>
          <w:bCs/>
          <w:sz w:val="24"/>
          <w:szCs w:val="24"/>
          <w:lang w:val="es-ES" w:eastAsia="es-ES"/>
        </w:rPr>
        <w:t>SALA DE DECISIÓN CIVIL-FAMILIA</w:t>
      </w:r>
    </w:p>
    <w:p w14:paraId="5C9C294A" w14:textId="77777777" w:rsidR="003215AE" w:rsidRPr="00501476" w:rsidRDefault="003215AE" w:rsidP="00501476">
      <w:pPr>
        <w:spacing w:after="0" w:line="276" w:lineRule="auto"/>
        <w:jc w:val="both"/>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 xml:space="preserve">                                 </w:t>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p>
    <w:p w14:paraId="672A6659" w14:textId="57FBE4C3" w:rsidR="003215AE" w:rsidRPr="00501476" w:rsidRDefault="00DA45EE" w:rsidP="00501476">
      <w:pPr>
        <w:spacing w:after="0" w:line="276" w:lineRule="auto"/>
        <w:jc w:val="both"/>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p>
    <w:p w14:paraId="204ED50D" w14:textId="77777777" w:rsidR="003215AE" w:rsidRPr="00501476" w:rsidRDefault="003215AE" w:rsidP="00501476">
      <w:pPr>
        <w:spacing w:after="0" w:line="276" w:lineRule="auto"/>
        <w:jc w:val="both"/>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 xml:space="preserve">  </w:t>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t>Magistrado: Jaime Alberto Saraza Naranjo</w:t>
      </w:r>
    </w:p>
    <w:p w14:paraId="6D43F297" w14:textId="6AF1558F" w:rsidR="003215AE" w:rsidRPr="00501476" w:rsidRDefault="003215AE" w:rsidP="00501476">
      <w:pPr>
        <w:spacing w:after="0" w:line="276" w:lineRule="auto"/>
        <w:jc w:val="both"/>
        <w:rPr>
          <w:rFonts w:ascii="Gadugi" w:eastAsia="Times New Roman" w:hAnsi="Gadugi" w:cs="Century Gothic"/>
          <w:sz w:val="24"/>
          <w:szCs w:val="24"/>
          <w:lang w:eastAsia="es-ES"/>
        </w:rPr>
      </w:pPr>
      <w:r w:rsidRPr="00501476">
        <w:rPr>
          <w:rFonts w:ascii="Gadugi" w:eastAsia="Times New Roman" w:hAnsi="Gadugi" w:cs="Century Gothic"/>
          <w:sz w:val="24"/>
          <w:szCs w:val="24"/>
          <w:lang w:val="es-ES" w:eastAsia="es-ES"/>
        </w:rPr>
        <w:t xml:space="preserve">                </w:t>
      </w:r>
      <w:r w:rsid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 xml:space="preserve">    </w:t>
      </w:r>
      <w:r w:rsidR="00D13D8A" w:rsidRPr="00501476">
        <w:rPr>
          <w:rFonts w:ascii="Gadugi" w:eastAsia="Times New Roman" w:hAnsi="Gadugi" w:cs="Century Gothic"/>
          <w:sz w:val="24"/>
          <w:szCs w:val="24"/>
          <w:lang w:val="es-ES" w:eastAsia="es-ES"/>
        </w:rPr>
        <w:tab/>
      </w:r>
      <w:r w:rsidR="00F4365F"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Pereira,</w:t>
      </w:r>
      <w:r w:rsidR="0013208B" w:rsidRPr="00501476">
        <w:rPr>
          <w:rFonts w:ascii="Gadugi" w:eastAsia="Times New Roman" w:hAnsi="Gadugi" w:cs="Century Gothic"/>
          <w:sz w:val="24"/>
          <w:szCs w:val="24"/>
          <w:lang w:val="es-ES" w:eastAsia="es-ES"/>
        </w:rPr>
        <w:t xml:space="preserve"> noviembre nueve de dos mil veintiuno </w:t>
      </w:r>
      <w:r w:rsidR="003C7F30" w:rsidRPr="00501476">
        <w:rPr>
          <w:rFonts w:ascii="Gadugi" w:eastAsia="Times New Roman" w:hAnsi="Gadugi" w:cs="Century Gothic"/>
          <w:sz w:val="24"/>
          <w:szCs w:val="24"/>
          <w:lang w:val="es-ES" w:eastAsia="es-ES"/>
        </w:rPr>
        <w:t xml:space="preserve"> </w:t>
      </w:r>
      <w:r w:rsidR="00BA14A1" w:rsidRPr="00501476">
        <w:rPr>
          <w:rFonts w:ascii="Gadugi" w:eastAsia="Times New Roman" w:hAnsi="Gadugi" w:cs="Century Gothic"/>
          <w:sz w:val="24"/>
          <w:szCs w:val="24"/>
          <w:lang w:val="es-ES" w:eastAsia="es-ES"/>
        </w:rPr>
        <w:t xml:space="preserve"> </w:t>
      </w:r>
      <w:r w:rsidR="00F4365F" w:rsidRPr="00501476">
        <w:rPr>
          <w:rFonts w:ascii="Gadugi" w:eastAsia="Times New Roman" w:hAnsi="Gadugi" w:cs="Century Gothic"/>
          <w:sz w:val="24"/>
          <w:szCs w:val="24"/>
          <w:lang w:val="es-ES" w:eastAsia="es-ES"/>
        </w:rPr>
        <w:t xml:space="preserve"> </w:t>
      </w:r>
    </w:p>
    <w:p w14:paraId="5855E6F6" w14:textId="49542558" w:rsidR="003215AE" w:rsidRPr="00501476" w:rsidRDefault="003215AE" w:rsidP="00501476">
      <w:pPr>
        <w:spacing w:after="0" w:line="276" w:lineRule="auto"/>
        <w:ind w:left="2124" w:firstLine="708"/>
        <w:jc w:val="both"/>
        <w:rPr>
          <w:rFonts w:ascii="Gadugi" w:eastAsia="Times New Roman" w:hAnsi="Gadugi" w:cs="Century Gothic"/>
          <w:i/>
          <w:sz w:val="24"/>
          <w:szCs w:val="24"/>
          <w:lang w:val="es-ES" w:eastAsia="es-ES"/>
        </w:rPr>
      </w:pPr>
      <w:r w:rsidRPr="00501476">
        <w:rPr>
          <w:rFonts w:ascii="Gadugi" w:eastAsia="Times New Roman" w:hAnsi="Gadugi" w:cs="Century Gothic"/>
          <w:sz w:val="24"/>
          <w:szCs w:val="24"/>
          <w:lang w:val="es-ES" w:eastAsia="es-ES"/>
        </w:rPr>
        <w:t>Expediente</w:t>
      </w:r>
      <w:r w:rsidR="00CB66DD" w:rsidRPr="00501476">
        <w:rPr>
          <w:rFonts w:ascii="Gadugi" w:eastAsia="Times New Roman" w:hAnsi="Gadugi" w:cs="Century Gothic"/>
          <w:sz w:val="24"/>
          <w:szCs w:val="24"/>
          <w:lang w:val="es-ES" w:eastAsia="es-ES"/>
        </w:rPr>
        <w:t>:</w:t>
      </w:r>
      <w:r w:rsidRPr="00501476">
        <w:rPr>
          <w:rFonts w:ascii="Gadugi" w:eastAsia="Times New Roman" w:hAnsi="Gadugi" w:cs="Century Gothic"/>
          <w:sz w:val="24"/>
          <w:szCs w:val="24"/>
          <w:lang w:val="es-ES" w:eastAsia="es-ES"/>
        </w:rPr>
        <w:t xml:space="preserve"> </w:t>
      </w:r>
      <w:r w:rsidR="00BA14A1" w:rsidRPr="00501476">
        <w:rPr>
          <w:rFonts w:ascii="Gadugi" w:eastAsia="Times New Roman" w:hAnsi="Gadugi" w:cs="Century Gothic"/>
          <w:sz w:val="24"/>
          <w:szCs w:val="24"/>
          <w:lang w:val="es-ES" w:eastAsia="es-ES"/>
        </w:rPr>
        <w:t>66001311000120210035601</w:t>
      </w:r>
    </w:p>
    <w:p w14:paraId="7E6BF0EF" w14:textId="2FA6F2AD" w:rsidR="003215AE" w:rsidRPr="00501476" w:rsidRDefault="003215AE" w:rsidP="00501476">
      <w:pPr>
        <w:spacing w:after="0" w:line="276" w:lineRule="auto"/>
        <w:jc w:val="both"/>
        <w:rPr>
          <w:rFonts w:ascii="Gadugi" w:eastAsia="Times New Roman" w:hAnsi="Gadugi" w:cs="Century Gothic"/>
          <w:sz w:val="24"/>
          <w:szCs w:val="24"/>
          <w:lang w:eastAsia="es-ES"/>
        </w:rPr>
      </w:pPr>
      <w:r w:rsidRPr="00501476">
        <w:rPr>
          <w:rFonts w:ascii="Gadugi" w:eastAsia="Times New Roman" w:hAnsi="Gadugi" w:cs="Century Gothic"/>
          <w:sz w:val="24"/>
          <w:szCs w:val="24"/>
          <w:lang w:val="es-ES" w:eastAsia="es-ES"/>
        </w:rPr>
        <w:t xml:space="preserve">  </w:t>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t>Acta</w:t>
      </w:r>
      <w:r w:rsidR="0006270A" w:rsidRPr="00501476">
        <w:rPr>
          <w:rFonts w:ascii="Gadugi" w:eastAsia="Times New Roman" w:hAnsi="Gadugi" w:cs="Century Gothic"/>
          <w:sz w:val="24"/>
          <w:szCs w:val="24"/>
          <w:lang w:val="es-ES" w:eastAsia="es-ES"/>
        </w:rPr>
        <w:t>:</w:t>
      </w:r>
      <w:r w:rsidR="0013208B" w:rsidRPr="00501476">
        <w:rPr>
          <w:rFonts w:ascii="Gadugi" w:eastAsia="Times New Roman" w:hAnsi="Gadugi" w:cs="Century Gothic"/>
          <w:sz w:val="24"/>
          <w:szCs w:val="24"/>
          <w:lang w:val="es-ES" w:eastAsia="es-ES"/>
        </w:rPr>
        <w:t xml:space="preserve"> 537 del 9 de noviembre de 2021</w:t>
      </w:r>
      <w:r w:rsidR="00E3137F" w:rsidRPr="00501476">
        <w:rPr>
          <w:rFonts w:ascii="Gadugi" w:eastAsia="Times New Roman" w:hAnsi="Gadugi" w:cs="Century Gothic"/>
          <w:sz w:val="24"/>
          <w:szCs w:val="24"/>
          <w:lang w:val="es-ES" w:eastAsia="es-ES"/>
        </w:rPr>
        <w:t xml:space="preserve"> </w:t>
      </w:r>
      <w:r w:rsidR="00BA14A1" w:rsidRPr="00501476">
        <w:rPr>
          <w:rFonts w:ascii="Gadugi" w:eastAsia="Times New Roman" w:hAnsi="Gadugi" w:cs="Century Gothic"/>
          <w:sz w:val="24"/>
          <w:szCs w:val="24"/>
          <w:lang w:val="es-ES" w:eastAsia="es-ES"/>
        </w:rPr>
        <w:t xml:space="preserve"> </w:t>
      </w:r>
      <w:r w:rsidR="003C7F30" w:rsidRPr="00501476">
        <w:rPr>
          <w:rFonts w:ascii="Gadugi" w:eastAsia="Times New Roman" w:hAnsi="Gadugi" w:cs="Century Gothic"/>
          <w:sz w:val="24"/>
          <w:szCs w:val="24"/>
          <w:lang w:val="es-ES" w:eastAsia="es-ES"/>
        </w:rPr>
        <w:t xml:space="preserve"> </w:t>
      </w:r>
      <w:r w:rsidR="00F4365F" w:rsidRPr="00501476">
        <w:rPr>
          <w:rFonts w:ascii="Gadugi" w:eastAsia="Times New Roman" w:hAnsi="Gadugi" w:cs="Century Gothic"/>
          <w:sz w:val="24"/>
          <w:szCs w:val="24"/>
          <w:lang w:val="es-ES" w:eastAsia="es-ES"/>
        </w:rPr>
        <w:t xml:space="preserve"> </w:t>
      </w:r>
      <w:r w:rsidRPr="00501476">
        <w:rPr>
          <w:rFonts w:ascii="Gadugi" w:eastAsia="Times New Roman" w:hAnsi="Gadugi" w:cs="Century Gothic"/>
          <w:sz w:val="24"/>
          <w:szCs w:val="24"/>
          <w:lang w:val="es-ES" w:eastAsia="es-ES"/>
        </w:rPr>
        <w:t xml:space="preserve">   </w:t>
      </w:r>
      <w:r w:rsidR="00B61688" w:rsidRPr="00501476">
        <w:rPr>
          <w:rFonts w:ascii="Gadugi" w:eastAsia="Times New Roman" w:hAnsi="Gadugi" w:cs="Century Gothic"/>
          <w:sz w:val="24"/>
          <w:szCs w:val="24"/>
          <w:lang w:val="es-ES" w:eastAsia="es-ES"/>
        </w:rPr>
        <w:t xml:space="preserve"> </w:t>
      </w:r>
    </w:p>
    <w:p w14:paraId="0A37501D" w14:textId="6D5EE03D" w:rsidR="003215AE" w:rsidRPr="00501476" w:rsidRDefault="00695017" w:rsidP="00501476">
      <w:pPr>
        <w:spacing w:after="0" w:line="276" w:lineRule="auto"/>
        <w:jc w:val="both"/>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0006270A" w:rsidRPr="00501476">
        <w:rPr>
          <w:rFonts w:ascii="Gadugi" w:eastAsia="Times New Roman" w:hAnsi="Gadugi" w:cs="Century Gothic"/>
          <w:sz w:val="24"/>
          <w:szCs w:val="24"/>
          <w:lang w:val="es-ES" w:eastAsia="es-ES"/>
        </w:rPr>
        <w:t>Sentencia: TSP.</w:t>
      </w:r>
      <w:r w:rsidR="007E4272">
        <w:rPr>
          <w:rFonts w:ascii="Gadugi" w:eastAsia="Times New Roman" w:hAnsi="Gadugi" w:cs="Century Gothic"/>
          <w:sz w:val="24"/>
          <w:szCs w:val="24"/>
          <w:lang w:val="es-ES" w:eastAsia="es-ES"/>
        </w:rPr>
        <w:t xml:space="preserve"> </w:t>
      </w:r>
      <w:bookmarkStart w:id="1" w:name="_GoBack"/>
      <w:bookmarkEnd w:id="1"/>
      <w:r w:rsidR="0006270A" w:rsidRPr="00501476">
        <w:rPr>
          <w:rFonts w:ascii="Gadugi" w:eastAsia="Times New Roman" w:hAnsi="Gadugi" w:cs="Century Gothic"/>
          <w:sz w:val="24"/>
          <w:szCs w:val="24"/>
          <w:lang w:val="es-ES" w:eastAsia="es-ES"/>
        </w:rPr>
        <w:t>ST2-0378-2021</w:t>
      </w:r>
    </w:p>
    <w:p w14:paraId="60C8292C" w14:textId="77777777" w:rsidR="0006270A" w:rsidRPr="00501476" w:rsidRDefault="0006270A" w:rsidP="00501476">
      <w:pPr>
        <w:spacing w:after="0" w:line="276" w:lineRule="auto"/>
        <w:jc w:val="both"/>
        <w:rPr>
          <w:rFonts w:ascii="Gadugi" w:eastAsia="Times New Roman" w:hAnsi="Gadugi" w:cs="Century Gothic"/>
          <w:sz w:val="24"/>
          <w:szCs w:val="24"/>
          <w:lang w:val="es-ES" w:eastAsia="es-ES"/>
        </w:rPr>
      </w:pPr>
    </w:p>
    <w:p w14:paraId="5DAB6C7B" w14:textId="49F249D1" w:rsidR="003215AE" w:rsidRPr="00501476" w:rsidRDefault="003215AE" w:rsidP="00501476">
      <w:pPr>
        <w:spacing w:after="0" w:line="276" w:lineRule="auto"/>
        <w:jc w:val="both"/>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00695017" w:rsidRPr="00501476">
        <w:rPr>
          <w:rFonts w:ascii="Gadugi" w:eastAsia="Times New Roman" w:hAnsi="Gadugi" w:cs="Century Gothic"/>
          <w:sz w:val="24"/>
          <w:szCs w:val="24"/>
          <w:lang w:val="es-ES" w:eastAsia="es-ES"/>
        </w:rPr>
        <w:tab/>
      </w:r>
    </w:p>
    <w:p w14:paraId="0BB91845" w14:textId="6B09757B" w:rsidR="00CB66DD" w:rsidRPr="00501476" w:rsidRDefault="003215AE" w:rsidP="00501476">
      <w:pPr>
        <w:spacing w:after="0" w:line="276" w:lineRule="auto"/>
        <w:jc w:val="both"/>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t xml:space="preserve">Procede la Sala a decidir la impugnación presentada por </w:t>
      </w:r>
      <w:r w:rsidR="00CB66DD" w:rsidRPr="00501476">
        <w:rPr>
          <w:rFonts w:ascii="Gadugi" w:eastAsia="Times New Roman" w:hAnsi="Gadugi" w:cs="Century Gothic"/>
          <w:sz w:val="24"/>
          <w:szCs w:val="24"/>
          <w:lang w:val="es-ES" w:eastAsia="es-ES"/>
        </w:rPr>
        <w:t xml:space="preserve">la accionada </w:t>
      </w:r>
      <w:r w:rsidRPr="00501476">
        <w:rPr>
          <w:rFonts w:ascii="Gadugi" w:eastAsia="Times New Roman" w:hAnsi="Gadugi" w:cs="Century Gothic"/>
          <w:sz w:val="24"/>
          <w:szCs w:val="24"/>
          <w:lang w:val="es-ES" w:eastAsia="es-ES"/>
        </w:rPr>
        <w:t xml:space="preserve">frente al fallo dictado por el Juzgado </w:t>
      </w:r>
      <w:r w:rsidR="00F4365F" w:rsidRPr="00501476">
        <w:rPr>
          <w:rFonts w:ascii="Gadugi" w:eastAsia="Times New Roman" w:hAnsi="Gadugi" w:cs="Century Gothic"/>
          <w:sz w:val="24"/>
          <w:szCs w:val="24"/>
          <w:lang w:val="es-ES" w:eastAsia="es-ES"/>
        </w:rPr>
        <w:t xml:space="preserve">Primero </w:t>
      </w:r>
      <w:r w:rsidR="00BA14A1" w:rsidRPr="00501476">
        <w:rPr>
          <w:rFonts w:ascii="Gadugi" w:eastAsia="Times New Roman" w:hAnsi="Gadugi" w:cs="Century Gothic"/>
          <w:sz w:val="24"/>
          <w:szCs w:val="24"/>
          <w:lang w:val="es-ES" w:eastAsia="es-ES"/>
        </w:rPr>
        <w:t>de Familia</w:t>
      </w:r>
      <w:r w:rsidR="00F4365F" w:rsidRPr="00501476">
        <w:rPr>
          <w:rFonts w:ascii="Gadugi" w:eastAsia="Times New Roman" w:hAnsi="Gadugi" w:cs="Century Gothic"/>
          <w:sz w:val="24"/>
          <w:szCs w:val="24"/>
          <w:lang w:val="es-ES" w:eastAsia="es-ES"/>
        </w:rPr>
        <w:t xml:space="preserve"> de Pereira, el 2</w:t>
      </w:r>
      <w:r w:rsidR="00BA14A1" w:rsidRPr="00501476">
        <w:rPr>
          <w:rFonts w:ascii="Gadugi" w:eastAsia="Times New Roman" w:hAnsi="Gadugi" w:cs="Century Gothic"/>
          <w:sz w:val="24"/>
          <w:szCs w:val="24"/>
          <w:lang w:val="es-ES" w:eastAsia="es-ES"/>
        </w:rPr>
        <w:t>9</w:t>
      </w:r>
      <w:r w:rsidRPr="00501476">
        <w:rPr>
          <w:rFonts w:ascii="Gadugi" w:eastAsia="Times New Roman" w:hAnsi="Gadugi" w:cs="Century Gothic"/>
          <w:sz w:val="24"/>
          <w:szCs w:val="24"/>
          <w:lang w:val="es-ES" w:eastAsia="es-ES"/>
        </w:rPr>
        <w:t xml:space="preserve"> de </w:t>
      </w:r>
      <w:r w:rsidR="00BA14A1" w:rsidRPr="00501476">
        <w:rPr>
          <w:rFonts w:ascii="Gadugi" w:eastAsia="Times New Roman" w:hAnsi="Gadugi" w:cs="Century Gothic"/>
          <w:sz w:val="24"/>
          <w:szCs w:val="24"/>
          <w:lang w:val="es-ES" w:eastAsia="es-ES"/>
        </w:rPr>
        <w:t>septiembre</w:t>
      </w:r>
      <w:r w:rsidRPr="00501476">
        <w:rPr>
          <w:rFonts w:ascii="Gadugi" w:eastAsia="Times New Roman" w:hAnsi="Gadugi" w:cs="Century Gothic"/>
          <w:sz w:val="24"/>
          <w:szCs w:val="24"/>
          <w:lang w:val="es-ES" w:eastAsia="es-ES"/>
        </w:rPr>
        <w:t xml:space="preserve"> </w:t>
      </w:r>
      <w:r w:rsidR="00BA14A1" w:rsidRPr="00501476">
        <w:rPr>
          <w:rFonts w:ascii="Gadugi" w:eastAsia="Times New Roman" w:hAnsi="Gadugi" w:cs="Century Gothic"/>
          <w:sz w:val="24"/>
          <w:szCs w:val="24"/>
          <w:lang w:val="es-ES" w:eastAsia="es-ES"/>
        </w:rPr>
        <w:t>de 2021</w:t>
      </w:r>
      <w:r w:rsidRPr="00501476">
        <w:rPr>
          <w:rFonts w:ascii="Gadugi" w:eastAsia="Times New Roman" w:hAnsi="Gadugi" w:cs="Century Gothic"/>
          <w:sz w:val="24"/>
          <w:szCs w:val="24"/>
          <w:lang w:val="es-ES" w:eastAsia="es-ES"/>
        </w:rPr>
        <w:t xml:space="preserve">, en esta </w:t>
      </w:r>
      <w:r w:rsidRPr="00501476">
        <w:rPr>
          <w:rFonts w:ascii="Gadugi" w:eastAsia="Times New Roman" w:hAnsi="Gadugi" w:cs="Century Gothic"/>
          <w:b/>
          <w:sz w:val="24"/>
          <w:szCs w:val="24"/>
          <w:lang w:val="es-ES" w:eastAsia="es-ES"/>
        </w:rPr>
        <w:t>acción de tutela</w:t>
      </w:r>
      <w:r w:rsidRPr="00501476">
        <w:rPr>
          <w:rFonts w:ascii="Gadugi" w:eastAsia="Times New Roman" w:hAnsi="Gadugi" w:cs="Century Gothic"/>
          <w:sz w:val="24"/>
          <w:szCs w:val="24"/>
          <w:lang w:val="es-ES" w:eastAsia="es-ES"/>
        </w:rPr>
        <w:t xml:space="preserve"> </w:t>
      </w:r>
      <w:r w:rsidR="00BA14A1" w:rsidRPr="00501476">
        <w:rPr>
          <w:rFonts w:ascii="Gadugi" w:eastAsia="Times New Roman" w:hAnsi="Gadugi" w:cs="Century Gothic"/>
          <w:sz w:val="24"/>
          <w:szCs w:val="24"/>
          <w:lang w:val="es-ES" w:eastAsia="es-ES"/>
        </w:rPr>
        <w:t xml:space="preserve">promovida por </w:t>
      </w:r>
      <w:r w:rsidR="00BA14A1" w:rsidRPr="00501476">
        <w:rPr>
          <w:rFonts w:ascii="Gadugi" w:eastAsia="Times New Roman" w:hAnsi="Gadugi" w:cs="Century Gothic"/>
          <w:b/>
          <w:sz w:val="24"/>
          <w:szCs w:val="24"/>
          <w:lang w:val="es-ES" w:eastAsia="es-ES"/>
        </w:rPr>
        <w:t>María Mélida Rentería Mena</w:t>
      </w:r>
      <w:r w:rsidR="00CB66DD" w:rsidRPr="00501476">
        <w:rPr>
          <w:rFonts w:ascii="Gadugi" w:eastAsia="Times New Roman" w:hAnsi="Gadugi" w:cs="Century Gothic"/>
          <w:b/>
          <w:sz w:val="24"/>
          <w:szCs w:val="24"/>
          <w:lang w:val="es-ES" w:eastAsia="es-ES"/>
        </w:rPr>
        <w:t xml:space="preserve"> </w:t>
      </w:r>
      <w:r w:rsidRPr="00501476">
        <w:rPr>
          <w:rFonts w:ascii="Gadugi" w:eastAsia="Times New Roman" w:hAnsi="Gadugi" w:cs="Century Gothic"/>
          <w:sz w:val="24"/>
          <w:szCs w:val="24"/>
          <w:lang w:val="es-ES" w:eastAsia="es-ES"/>
        </w:rPr>
        <w:t xml:space="preserve">en contra de </w:t>
      </w:r>
      <w:r w:rsidR="00CB66DD" w:rsidRPr="00501476">
        <w:rPr>
          <w:rFonts w:ascii="Gadugi" w:eastAsia="Times New Roman" w:hAnsi="Gadugi" w:cs="Century Gothic"/>
          <w:sz w:val="24"/>
          <w:szCs w:val="24"/>
          <w:lang w:val="es-ES" w:eastAsia="es-ES"/>
        </w:rPr>
        <w:t>la</w:t>
      </w:r>
      <w:r w:rsidRPr="00501476">
        <w:rPr>
          <w:rFonts w:ascii="Gadugi" w:eastAsia="Times New Roman" w:hAnsi="Gadugi" w:cs="Century Gothic"/>
          <w:b/>
          <w:sz w:val="24"/>
          <w:szCs w:val="24"/>
          <w:lang w:val="es-ES" w:eastAsia="es-ES"/>
        </w:rPr>
        <w:t xml:space="preserve"> Nueva EPS</w:t>
      </w:r>
      <w:r w:rsidR="00F4365F" w:rsidRPr="00501476">
        <w:rPr>
          <w:rFonts w:ascii="Gadugi" w:eastAsia="Times New Roman" w:hAnsi="Gadugi" w:cs="Century Gothic"/>
          <w:b/>
          <w:sz w:val="24"/>
          <w:szCs w:val="24"/>
          <w:lang w:val="es-ES" w:eastAsia="es-ES"/>
        </w:rPr>
        <w:t>.</w:t>
      </w:r>
    </w:p>
    <w:p w14:paraId="6A05A809" w14:textId="0A76DEFB" w:rsidR="00CB66DD" w:rsidRPr="00501476" w:rsidRDefault="00695017" w:rsidP="00501476">
      <w:pPr>
        <w:spacing w:after="0" w:line="276" w:lineRule="auto"/>
        <w:jc w:val="both"/>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p>
    <w:p w14:paraId="0D54F085" w14:textId="140AB16A" w:rsidR="00DA45EE" w:rsidRPr="00501476" w:rsidRDefault="00DA45EE" w:rsidP="00501476">
      <w:pPr>
        <w:spacing w:after="0" w:line="276" w:lineRule="auto"/>
        <w:jc w:val="both"/>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p>
    <w:p w14:paraId="0F10BAA5" w14:textId="77777777" w:rsidR="003215AE" w:rsidRPr="00501476" w:rsidRDefault="003215AE" w:rsidP="00501476">
      <w:pPr>
        <w:spacing w:after="0" w:line="276" w:lineRule="auto"/>
        <w:jc w:val="both"/>
        <w:rPr>
          <w:rFonts w:ascii="Gadugi" w:eastAsia="Times New Roman" w:hAnsi="Gadugi" w:cs="Century Gothic"/>
          <w:b/>
          <w:bCs/>
          <w:sz w:val="24"/>
          <w:szCs w:val="24"/>
          <w:lang w:val="es-ES" w:eastAsia="es-ES"/>
        </w:rPr>
      </w:pP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b/>
          <w:bCs/>
          <w:sz w:val="24"/>
          <w:szCs w:val="24"/>
          <w:lang w:val="es-ES" w:eastAsia="es-ES"/>
        </w:rPr>
        <w:t>ANTECEDENTES</w:t>
      </w:r>
    </w:p>
    <w:p w14:paraId="5A39BBE3" w14:textId="25C001C0" w:rsidR="003215AE" w:rsidRPr="00501476" w:rsidRDefault="00695017" w:rsidP="00501476">
      <w:pPr>
        <w:spacing w:after="0" w:line="276" w:lineRule="auto"/>
        <w:jc w:val="both"/>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p>
    <w:p w14:paraId="6DE749CD" w14:textId="77777777" w:rsidR="00BA14A1" w:rsidRPr="00501476" w:rsidRDefault="003215AE" w:rsidP="00501476">
      <w:pPr>
        <w:spacing w:after="0" w:line="276" w:lineRule="auto"/>
        <w:jc w:val="both"/>
        <w:rPr>
          <w:rFonts w:ascii="Gadugi" w:eastAsia="Times New Roman" w:hAnsi="Gadugi" w:cs="Century Gothic"/>
          <w:sz w:val="24"/>
          <w:szCs w:val="24"/>
          <w:lang w:eastAsia="es-ES"/>
        </w:rPr>
      </w:pPr>
      <w:r w:rsidRPr="00501476">
        <w:rPr>
          <w:rFonts w:ascii="Gadugi" w:eastAsia="Times New Roman" w:hAnsi="Gadugi" w:cs="Century Gothic"/>
          <w:sz w:val="24"/>
          <w:szCs w:val="24"/>
          <w:lang w:val="es-ES" w:eastAsia="es-ES"/>
        </w:rPr>
        <w:t xml:space="preserve">  </w:t>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val="es-ES" w:eastAsia="es-ES"/>
        </w:rPr>
        <w:tab/>
      </w:r>
      <w:r w:rsidRPr="00501476">
        <w:rPr>
          <w:rFonts w:ascii="Gadugi" w:eastAsia="Times New Roman" w:hAnsi="Gadugi" w:cs="Century Gothic"/>
          <w:sz w:val="24"/>
          <w:szCs w:val="24"/>
          <w:lang w:eastAsia="es-ES"/>
        </w:rPr>
        <w:t xml:space="preserve"> </w:t>
      </w:r>
    </w:p>
    <w:p w14:paraId="028F5D4A" w14:textId="5A51CA8D" w:rsidR="00213BBB" w:rsidRPr="00501476" w:rsidRDefault="00BA14A1" w:rsidP="00501476">
      <w:pPr>
        <w:spacing w:after="0" w:line="276" w:lineRule="auto"/>
        <w:jc w:val="both"/>
        <w:rPr>
          <w:rFonts w:ascii="Gadugi" w:eastAsia="Times New Roman" w:hAnsi="Gadugi" w:cs="Century Gothic"/>
          <w:sz w:val="24"/>
          <w:szCs w:val="24"/>
          <w:lang w:eastAsia="es-ES"/>
        </w:rPr>
      </w:pPr>
      <w:r w:rsidRPr="00501476">
        <w:rPr>
          <w:rFonts w:ascii="Gadugi" w:eastAsia="Times New Roman" w:hAnsi="Gadugi" w:cs="Century Gothic"/>
          <w:sz w:val="24"/>
          <w:szCs w:val="24"/>
          <w:lang w:eastAsia="es-ES"/>
        </w:rPr>
        <w:lastRenderedPageBreak/>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t>Expuso la demandante que reside en</w:t>
      </w:r>
      <w:r w:rsidR="00213BBB" w:rsidRPr="00501476">
        <w:rPr>
          <w:rFonts w:ascii="Gadugi" w:eastAsia="Times New Roman" w:hAnsi="Gadugi" w:cs="Century Gothic"/>
          <w:sz w:val="24"/>
          <w:szCs w:val="24"/>
          <w:lang w:eastAsia="es-ES"/>
        </w:rPr>
        <w:t xml:space="preserve"> Pereira, en</w:t>
      </w:r>
      <w:r w:rsidRPr="00501476">
        <w:rPr>
          <w:rFonts w:ascii="Gadugi" w:eastAsia="Times New Roman" w:hAnsi="Gadugi" w:cs="Century Gothic"/>
          <w:sz w:val="24"/>
          <w:szCs w:val="24"/>
          <w:lang w:eastAsia="es-ES"/>
        </w:rPr>
        <w:t xml:space="preserve"> el barrio Padre Valencia de Cuba, y día de por medio debe </w:t>
      </w:r>
      <w:r w:rsidR="00140CC7" w:rsidRPr="00501476">
        <w:rPr>
          <w:rFonts w:ascii="Gadugi" w:eastAsia="Times New Roman" w:hAnsi="Gadugi" w:cs="Century Gothic"/>
          <w:sz w:val="24"/>
          <w:szCs w:val="24"/>
          <w:lang w:eastAsia="es-ES"/>
        </w:rPr>
        <w:t>acudir a</w:t>
      </w:r>
      <w:r w:rsidRPr="00501476">
        <w:rPr>
          <w:rFonts w:ascii="Gadugi" w:eastAsia="Times New Roman" w:hAnsi="Gadugi" w:cs="Century Gothic"/>
          <w:sz w:val="24"/>
          <w:szCs w:val="24"/>
          <w:lang w:eastAsia="es-ES"/>
        </w:rPr>
        <w:t xml:space="preserve"> </w:t>
      </w:r>
      <w:r w:rsidR="00213BBB" w:rsidRPr="00501476">
        <w:rPr>
          <w:rFonts w:ascii="Gadugi" w:eastAsia="Times New Roman" w:hAnsi="Gadugi" w:cs="Century Gothic"/>
          <w:sz w:val="24"/>
          <w:szCs w:val="24"/>
          <w:lang w:eastAsia="es-ES"/>
        </w:rPr>
        <w:t>la</w:t>
      </w:r>
      <w:r w:rsidRPr="00501476">
        <w:rPr>
          <w:rFonts w:ascii="Gadugi" w:eastAsia="Times New Roman" w:hAnsi="Gadugi" w:cs="Century Gothic"/>
          <w:sz w:val="24"/>
          <w:szCs w:val="24"/>
          <w:lang w:eastAsia="es-ES"/>
        </w:rPr>
        <w:t xml:space="preserve"> </w:t>
      </w:r>
      <w:r w:rsidR="00213BBB" w:rsidRPr="00501476">
        <w:rPr>
          <w:rFonts w:ascii="Gadugi" w:eastAsia="Times New Roman" w:hAnsi="Gadugi" w:cs="Century Gothic"/>
          <w:sz w:val="24"/>
          <w:szCs w:val="24"/>
          <w:lang w:eastAsia="es-ES"/>
        </w:rPr>
        <w:t>IPS RTS Circunvalar Pereira</w:t>
      </w:r>
      <w:r w:rsidR="00140CC7" w:rsidRPr="00501476">
        <w:rPr>
          <w:rFonts w:ascii="Gadugi" w:eastAsia="Times New Roman" w:hAnsi="Gadugi" w:cs="Century Gothic"/>
          <w:sz w:val="24"/>
          <w:szCs w:val="24"/>
          <w:lang w:eastAsia="es-ES"/>
        </w:rPr>
        <w:t>,</w:t>
      </w:r>
      <w:r w:rsidR="00213BBB" w:rsidRPr="00501476">
        <w:rPr>
          <w:rFonts w:ascii="Gadugi" w:eastAsia="Times New Roman" w:hAnsi="Gadugi" w:cs="Century Gothic"/>
          <w:sz w:val="24"/>
          <w:szCs w:val="24"/>
          <w:lang w:eastAsia="es-ES"/>
        </w:rPr>
        <w:t xml:space="preserve"> a realizarse el procedimiento de diálisis, </w:t>
      </w:r>
      <w:r w:rsidR="00140CC7" w:rsidRPr="00501476">
        <w:rPr>
          <w:rFonts w:ascii="Gadugi" w:eastAsia="Times New Roman" w:hAnsi="Gadugi" w:cs="Century Gothic"/>
          <w:sz w:val="24"/>
          <w:szCs w:val="24"/>
          <w:lang w:eastAsia="es-ES"/>
        </w:rPr>
        <w:t>ya que es</w:t>
      </w:r>
      <w:r w:rsidR="00213BBB" w:rsidRPr="00501476">
        <w:rPr>
          <w:rFonts w:ascii="Gadugi" w:eastAsia="Times New Roman" w:hAnsi="Gadugi" w:cs="Century Gothic"/>
          <w:sz w:val="24"/>
          <w:szCs w:val="24"/>
          <w:lang w:eastAsia="es-ES"/>
        </w:rPr>
        <w:t xml:space="preserve"> una paciente terminal. </w:t>
      </w:r>
    </w:p>
    <w:p w14:paraId="73B3D34B" w14:textId="5A541315" w:rsidR="00213BBB" w:rsidRPr="00501476" w:rsidRDefault="00DA45EE" w:rsidP="00501476">
      <w:pPr>
        <w:spacing w:after="0" w:line="276" w:lineRule="auto"/>
        <w:jc w:val="both"/>
        <w:rPr>
          <w:rFonts w:ascii="Gadugi" w:eastAsia="Times New Roman" w:hAnsi="Gadugi" w:cs="Century Gothic"/>
          <w:sz w:val="24"/>
          <w:szCs w:val="24"/>
          <w:lang w:eastAsia="es-ES"/>
        </w:rPr>
      </w:pP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p>
    <w:p w14:paraId="1121D1F6" w14:textId="26511131" w:rsidR="00213BBB" w:rsidRPr="00501476" w:rsidRDefault="00213BBB" w:rsidP="00501476">
      <w:pPr>
        <w:spacing w:after="0" w:line="276" w:lineRule="auto"/>
        <w:jc w:val="both"/>
        <w:rPr>
          <w:rFonts w:ascii="Gadugi" w:eastAsia="Times New Roman" w:hAnsi="Gadugi" w:cs="Century Gothic"/>
          <w:sz w:val="24"/>
          <w:szCs w:val="24"/>
          <w:lang w:eastAsia="es-ES"/>
        </w:rPr>
      </w:pP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t xml:space="preserve">Dada su condición, le resulta imposible desplazarse sola en bus, </w:t>
      </w:r>
      <w:r w:rsidR="00140CC7" w:rsidRPr="00501476">
        <w:rPr>
          <w:rFonts w:ascii="Gadugi" w:eastAsia="Times New Roman" w:hAnsi="Gadugi" w:cs="Century Gothic"/>
          <w:sz w:val="24"/>
          <w:szCs w:val="24"/>
          <w:lang w:eastAsia="es-ES"/>
        </w:rPr>
        <w:t>debiendo</w:t>
      </w:r>
      <w:r w:rsidRPr="00501476">
        <w:rPr>
          <w:rFonts w:ascii="Gadugi" w:eastAsia="Times New Roman" w:hAnsi="Gadugi" w:cs="Century Gothic"/>
          <w:sz w:val="24"/>
          <w:szCs w:val="24"/>
          <w:lang w:eastAsia="es-ES"/>
        </w:rPr>
        <w:t xml:space="preserve"> hacerlo en taxi y con </w:t>
      </w:r>
      <w:r w:rsidR="00140CC7" w:rsidRPr="00501476">
        <w:rPr>
          <w:rFonts w:ascii="Gadugi" w:eastAsia="Times New Roman" w:hAnsi="Gadugi" w:cs="Century Gothic"/>
          <w:sz w:val="24"/>
          <w:szCs w:val="24"/>
          <w:lang w:eastAsia="es-ES"/>
        </w:rPr>
        <w:t xml:space="preserve">un </w:t>
      </w:r>
      <w:r w:rsidRPr="00501476">
        <w:rPr>
          <w:rFonts w:ascii="Gadugi" w:eastAsia="Times New Roman" w:hAnsi="Gadugi" w:cs="Century Gothic"/>
          <w:sz w:val="24"/>
          <w:szCs w:val="24"/>
          <w:lang w:eastAsia="es-ES"/>
        </w:rPr>
        <w:t>acompañante, lo cual tiene un costo de $15.000 ida y vuelta</w:t>
      </w:r>
      <w:r w:rsidR="00140CC7" w:rsidRPr="00501476">
        <w:rPr>
          <w:rFonts w:ascii="Gadugi" w:eastAsia="Times New Roman" w:hAnsi="Gadugi" w:cs="Century Gothic"/>
          <w:sz w:val="24"/>
          <w:szCs w:val="24"/>
          <w:lang w:eastAsia="es-ES"/>
        </w:rPr>
        <w:t>, y no cuenta con los recursos para sufragarlo dado que es madre cabeza de familia. Por ello le solicitó el servicio de transporte a la EPS, pero le fue negado.</w:t>
      </w:r>
    </w:p>
    <w:p w14:paraId="1FCCF1F6" w14:textId="32C80F73" w:rsidR="00140CC7" w:rsidRPr="00501476" w:rsidRDefault="00DA45EE" w:rsidP="00501476">
      <w:pPr>
        <w:spacing w:after="0" w:line="276" w:lineRule="auto"/>
        <w:jc w:val="both"/>
        <w:rPr>
          <w:rFonts w:ascii="Gadugi" w:eastAsia="Times New Roman" w:hAnsi="Gadugi" w:cs="Century Gothic"/>
          <w:sz w:val="24"/>
          <w:szCs w:val="24"/>
          <w:lang w:eastAsia="es-ES"/>
        </w:rPr>
      </w:pP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p>
    <w:p w14:paraId="6EF9DB65" w14:textId="013691FF" w:rsidR="00140CC7" w:rsidRPr="00501476" w:rsidRDefault="00140CC7" w:rsidP="00501476">
      <w:pPr>
        <w:spacing w:after="0" w:line="276" w:lineRule="auto"/>
        <w:jc w:val="both"/>
        <w:rPr>
          <w:rFonts w:ascii="Gadugi" w:eastAsia="Times New Roman" w:hAnsi="Gadugi" w:cs="Century Gothic"/>
          <w:sz w:val="24"/>
          <w:szCs w:val="24"/>
          <w:lang w:eastAsia="es-ES"/>
        </w:rPr>
      </w:pP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r>
      <w:r w:rsidRPr="00501476">
        <w:rPr>
          <w:rFonts w:ascii="Gadugi" w:eastAsia="Times New Roman" w:hAnsi="Gadugi" w:cs="Century Gothic"/>
          <w:sz w:val="24"/>
          <w:szCs w:val="24"/>
          <w:lang w:eastAsia="es-ES"/>
        </w:rPr>
        <w:tab/>
        <w:t xml:space="preserve">Pidió, entonces, que se le ordene a la Nueva EPS autorizar el pago </w:t>
      </w:r>
      <w:r w:rsidR="006259BE" w:rsidRPr="00501476">
        <w:rPr>
          <w:rFonts w:ascii="Gadugi" w:eastAsia="Times New Roman" w:hAnsi="Gadugi" w:cs="Century Gothic"/>
          <w:sz w:val="24"/>
          <w:szCs w:val="24"/>
          <w:lang w:eastAsia="es-ES"/>
        </w:rPr>
        <w:t>del transporte para asistir a las citas programas como paciente crónico con enfermedad relacionada con daño renal y con recomendaciones de diálisis.</w:t>
      </w:r>
      <w:r w:rsidR="004C2320" w:rsidRPr="00501476">
        <w:rPr>
          <w:rStyle w:val="Refdenotaalpie"/>
          <w:rFonts w:ascii="Gadugi" w:eastAsia="Times New Roman" w:hAnsi="Gadugi"/>
          <w:sz w:val="24"/>
          <w:szCs w:val="24"/>
          <w:lang w:eastAsia="es-ES"/>
        </w:rPr>
        <w:footnoteReference w:id="1"/>
      </w:r>
      <w:r w:rsidR="006259BE" w:rsidRPr="00501476">
        <w:rPr>
          <w:rFonts w:ascii="Gadugi" w:eastAsia="Times New Roman" w:hAnsi="Gadugi" w:cs="Century Gothic"/>
          <w:sz w:val="24"/>
          <w:szCs w:val="24"/>
          <w:lang w:eastAsia="es-ES"/>
        </w:rPr>
        <w:t xml:space="preserve"> </w:t>
      </w:r>
    </w:p>
    <w:p w14:paraId="54C65FA8" w14:textId="28D31363" w:rsidR="006259BE" w:rsidRPr="00501476" w:rsidRDefault="00DA45EE" w:rsidP="00501476">
      <w:pPr>
        <w:spacing w:after="0" w:line="276" w:lineRule="auto"/>
        <w:jc w:val="both"/>
        <w:rPr>
          <w:rFonts w:ascii="Gadugi" w:eastAsia="Times New Roman" w:hAnsi="Gadugi"/>
          <w:sz w:val="24"/>
          <w:szCs w:val="24"/>
          <w:lang w:val="es-MX" w:eastAsia="es-ES"/>
        </w:rPr>
      </w:pP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p>
    <w:p w14:paraId="730C9EB5" w14:textId="4FEDABE3" w:rsidR="00EB5FC0" w:rsidRPr="00501476" w:rsidRDefault="003215AE" w:rsidP="00501476">
      <w:pPr>
        <w:spacing w:after="0" w:line="276" w:lineRule="auto"/>
        <w:jc w:val="both"/>
        <w:rPr>
          <w:rFonts w:ascii="Gadugi" w:eastAsia="Times New Roman" w:hAnsi="Gadugi"/>
          <w:sz w:val="24"/>
          <w:szCs w:val="24"/>
          <w:lang w:val="es-MX" w:eastAsia="es-ES"/>
        </w:rPr>
      </w:pPr>
      <w:r w:rsidRPr="00501476">
        <w:rPr>
          <w:rFonts w:ascii="Gadugi" w:eastAsia="Times New Roman" w:hAnsi="Gadugi"/>
          <w:sz w:val="24"/>
          <w:szCs w:val="24"/>
          <w:lang w:val="es-MX" w:eastAsia="es-ES"/>
        </w:rPr>
        <w:t xml:space="preserve"> </w:t>
      </w:r>
      <w:r w:rsidRPr="00501476">
        <w:rPr>
          <w:rFonts w:ascii="Gadugi" w:eastAsia="Times New Roman" w:hAnsi="Gadugi"/>
          <w:sz w:val="24"/>
          <w:szCs w:val="24"/>
          <w:lang w:val="es-MX" w:eastAsia="es-ES"/>
        </w:rPr>
        <w:tab/>
        <w:t xml:space="preserve">  </w:t>
      </w:r>
      <w:r w:rsidR="00EB5FC0" w:rsidRPr="00501476">
        <w:rPr>
          <w:rFonts w:ascii="Gadugi" w:eastAsia="Times New Roman" w:hAnsi="Gadugi"/>
          <w:sz w:val="24"/>
          <w:szCs w:val="24"/>
          <w:lang w:val="es-MX" w:eastAsia="es-ES"/>
        </w:rPr>
        <w:tab/>
      </w:r>
      <w:r w:rsidR="00EB5FC0"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t xml:space="preserve">El Juzgado </w:t>
      </w:r>
      <w:r w:rsidR="00B1502F" w:rsidRPr="00501476">
        <w:rPr>
          <w:rFonts w:ascii="Gadugi" w:eastAsia="Times New Roman" w:hAnsi="Gadugi"/>
          <w:sz w:val="24"/>
          <w:szCs w:val="24"/>
          <w:lang w:val="es-MX" w:eastAsia="es-ES"/>
        </w:rPr>
        <w:t xml:space="preserve">de primer grado </w:t>
      </w:r>
      <w:r w:rsidRPr="00501476">
        <w:rPr>
          <w:rFonts w:ascii="Gadugi" w:eastAsia="Times New Roman" w:hAnsi="Gadugi"/>
          <w:sz w:val="24"/>
          <w:szCs w:val="24"/>
          <w:lang w:val="es-MX" w:eastAsia="es-ES"/>
        </w:rPr>
        <w:t xml:space="preserve">le dio impulso a la acción </w:t>
      </w:r>
      <w:r w:rsidR="006259BE" w:rsidRPr="00501476">
        <w:rPr>
          <w:rFonts w:ascii="Gadugi" w:eastAsia="Times New Roman" w:hAnsi="Gadugi"/>
          <w:sz w:val="24"/>
          <w:szCs w:val="24"/>
          <w:lang w:val="es-MX" w:eastAsia="es-ES"/>
        </w:rPr>
        <w:t xml:space="preserve">con auto del 17 de septiembre del 2021, </w:t>
      </w:r>
      <w:r w:rsidR="00EB5FC0" w:rsidRPr="00501476">
        <w:rPr>
          <w:rFonts w:ascii="Gadugi" w:eastAsia="Times New Roman" w:hAnsi="Gadugi"/>
          <w:sz w:val="24"/>
          <w:szCs w:val="24"/>
          <w:lang w:val="es-MX" w:eastAsia="es-ES"/>
        </w:rPr>
        <w:t>convocando</w:t>
      </w:r>
      <w:r w:rsidR="006259BE" w:rsidRPr="00501476">
        <w:rPr>
          <w:rFonts w:ascii="Gadugi" w:eastAsia="Times New Roman" w:hAnsi="Gadugi"/>
          <w:sz w:val="24"/>
          <w:szCs w:val="24"/>
          <w:lang w:val="es-MX" w:eastAsia="es-ES"/>
        </w:rPr>
        <w:t xml:space="preserve"> por pasiva a la Gerente Regional Eje Cafetero de </w:t>
      </w:r>
      <w:r w:rsidR="00EB5FC0" w:rsidRPr="00501476">
        <w:rPr>
          <w:rFonts w:ascii="Gadugi" w:eastAsia="Times New Roman" w:hAnsi="Gadugi"/>
          <w:sz w:val="24"/>
          <w:szCs w:val="24"/>
          <w:lang w:val="es-MX" w:eastAsia="es-ES"/>
        </w:rPr>
        <w:t>la Nueva EPS.</w:t>
      </w:r>
      <w:r w:rsidR="00B50F51" w:rsidRPr="00501476">
        <w:rPr>
          <w:rStyle w:val="Refdenotaalpie"/>
          <w:rFonts w:ascii="Gadugi" w:eastAsia="Times New Roman" w:hAnsi="Gadugi"/>
          <w:sz w:val="24"/>
          <w:szCs w:val="24"/>
          <w:lang w:val="es-MX" w:eastAsia="es-ES"/>
        </w:rPr>
        <w:footnoteReference w:id="2"/>
      </w:r>
      <w:r w:rsidR="00EB5FC0" w:rsidRPr="00501476">
        <w:rPr>
          <w:rFonts w:ascii="Gadugi" w:eastAsia="Times New Roman" w:hAnsi="Gadugi"/>
          <w:sz w:val="24"/>
          <w:szCs w:val="24"/>
          <w:lang w:val="es-MX" w:eastAsia="es-ES"/>
        </w:rPr>
        <w:t xml:space="preserve"> </w:t>
      </w:r>
    </w:p>
    <w:p w14:paraId="04EA1221" w14:textId="29F1D899" w:rsidR="006259BE" w:rsidRPr="00501476" w:rsidRDefault="00DA45EE" w:rsidP="00501476">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p>
    <w:p w14:paraId="50A57AA2" w14:textId="445A3CCE" w:rsidR="006259BE" w:rsidRPr="00501476" w:rsidRDefault="003215AE" w:rsidP="00501476">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00EB5FC0" w:rsidRPr="00501476">
        <w:rPr>
          <w:rFonts w:ascii="Gadugi" w:eastAsia="Times New Roman" w:hAnsi="Gadugi"/>
          <w:sz w:val="24"/>
          <w:szCs w:val="24"/>
          <w:lang w:val="es-MX" w:eastAsia="es-ES"/>
        </w:rPr>
        <w:t xml:space="preserve">La </w:t>
      </w:r>
      <w:r w:rsidR="006259BE" w:rsidRPr="00501476">
        <w:rPr>
          <w:rFonts w:ascii="Gadugi" w:eastAsia="Times New Roman" w:hAnsi="Gadugi"/>
          <w:sz w:val="24"/>
          <w:szCs w:val="24"/>
          <w:lang w:val="es-MX" w:eastAsia="es-ES"/>
        </w:rPr>
        <w:t>entidad</w:t>
      </w:r>
      <w:r w:rsidR="00EB5FC0" w:rsidRPr="00501476">
        <w:rPr>
          <w:rFonts w:ascii="Gadugi" w:eastAsia="Times New Roman" w:hAnsi="Gadugi"/>
          <w:sz w:val="24"/>
          <w:szCs w:val="24"/>
          <w:lang w:val="es-MX" w:eastAsia="es-ES"/>
        </w:rPr>
        <w:t xml:space="preserve"> accionada</w:t>
      </w:r>
      <w:r w:rsidR="00AF2FDF" w:rsidRPr="00501476">
        <w:rPr>
          <w:rFonts w:ascii="Gadugi" w:eastAsia="Times New Roman" w:hAnsi="Gadugi"/>
          <w:sz w:val="24"/>
          <w:szCs w:val="24"/>
          <w:lang w:val="es-MX" w:eastAsia="es-ES"/>
        </w:rPr>
        <w:t xml:space="preserve"> </w:t>
      </w:r>
      <w:r w:rsidR="00EB5FC0" w:rsidRPr="00501476">
        <w:rPr>
          <w:rFonts w:ascii="Gadugi" w:eastAsia="Times New Roman" w:hAnsi="Gadugi"/>
          <w:sz w:val="24"/>
          <w:szCs w:val="24"/>
          <w:lang w:val="es-MX" w:eastAsia="es-ES"/>
        </w:rPr>
        <w:t>solicitó negar la pretensión orientada a que se le facilite a</w:t>
      </w:r>
      <w:r w:rsidR="006259BE" w:rsidRPr="00501476">
        <w:rPr>
          <w:rFonts w:ascii="Gadugi" w:eastAsia="Times New Roman" w:hAnsi="Gadugi"/>
          <w:sz w:val="24"/>
          <w:szCs w:val="24"/>
          <w:lang w:val="es-MX" w:eastAsia="es-ES"/>
        </w:rPr>
        <w:t xml:space="preserve"> </w:t>
      </w:r>
      <w:r w:rsidR="00EB5FC0" w:rsidRPr="00501476">
        <w:rPr>
          <w:rFonts w:ascii="Gadugi" w:eastAsia="Times New Roman" w:hAnsi="Gadugi"/>
          <w:sz w:val="24"/>
          <w:szCs w:val="24"/>
          <w:lang w:val="es-MX" w:eastAsia="es-ES"/>
        </w:rPr>
        <w:t>l</w:t>
      </w:r>
      <w:r w:rsidR="006259BE" w:rsidRPr="00501476">
        <w:rPr>
          <w:rFonts w:ascii="Gadugi" w:eastAsia="Times New Roman" w:hAnsi="Gadugi"/>
          <w:sz w:val="24"/>
          <w:szCs w:val="24"/>
          <w:lang w:val="es-MX" w:eastAsia="es-ES"/>
        </w:rPr>
        <w:t>a</w:t>
      </w:r>
      <w:r w:rsidR="00EB5FC0" w:rsidRPr="00501476">
        <w:rPr>
          <w:rFonts w:ascii="Gadugi" w:eastAsia="Times New Roman" w:hAnsi="Gadugi"/>
          <w:sz w:val="24"/>
          <w:szCs w:val="24"/>
          <w:lang w:val="es-MX" w:eastAsia="es-ES"/>
        </w:rPr>
        <w:t xml:space="preserve"> accionante</w:t>
      </w:r>
      <w:r w:rsidR="006259BE" w:rsidRPr="00501476">
        <w:rPr>
          <w:rFonts w:ascii="Gadugi" w:eastAsia="Times New Roman" w:hAnsi="Gadugi"/>
          <w:sz w:val="24"/>
          <w:szCs w:val="24"/>
          <w:lang w:val="es-MX" w:eastAsia="es-ES"/>
        </w:rPr>
        <w:t>, y un acompañante,</w:t>
      </w:r>
      <w:r w:rsidR="00EB5FC0" w:rsidRPr="00501476">
        <w:rPr>
          <w:rFonts w:ascii="Gadugi" w:eastAsia="Times New Roman" w:hAnsi="Gadugi"/>
          <w:sz w:val="24"/>
          <w:szCs w:val="24"/>
          <w:lang w:val="es-MX" w:eastAsia="es-ES"/>
        </w:rPr>
        <w:t xml:space="preserve"> el transporte </w:t>
      </w:r>
      <w:r w:rsidR="006259BE" w:rsidRPr="00501476">
        <w:rPr>
          <w:rFonts w:ascii="Gadugi" w:eastAsia="Times New Roman" w:hAnsi="Gadugi"/>
          <w:sz w:val="24"/>
          <w:szCs w:val="24"/>
          <w:lang w:val="es-MX" w:eastAsia="es-ES"/>
        </w:rPr>
        <w:t>en taxi hasta el lugar donde le realizan las diálisis, dado que ese servicio no está dentro de la cobertura definida en la resolución 2481 del 2020.</w:t>
      </w:r>
      <w:r w:rsidR="00B50F51" w:rsidRPr="00501476">
        <w:rPr>
          <w:rStyle w:val="Refdenotaalpie"/>
          <w:rFonts w:ascii="Gadugi" w:eastAsia="Times New Roman" w:hAnsi="Gadugi"/>
          <w:sz w:val="24"/>
          <w:szCs w:val="24"/>
          <w:lang w:val="es-MX" w:eastAsia="es-ES"/>
        </w:rPr>
        <w:footnoteReference w:id="3"/>
      </w:r>
    </w:p>
    <w:p w14:paraId="3656B9AB" w14:textId="3E0F3ED2" w:rsidR="003F01F2" w:rsidRPr="00501476" w:rsidRDefault="006259BE" w:rsidP="00501476">
      <w:pPr>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00DA45EE" w:rsidRPr="00501476">
        <w:rPr>
          <w:rFonts w:ascii="Gadugi" w:eastAsia="Times New Roman" w:hAnsi="Gadugi"/>
          <w:sz w:val="24"/>
          <w:szCs w:val="24"/>
          <w:lang w:val="es-MX" w:eastAsia="es-ES"/>
        </w:rPr>
        <w:tab/>
      </w:r>
    </w:p>
    <w:p w14:paraId="5BE815E0" w14:textId="24C9ECB4" w:rsidR="006259BE" w:rsidRPr="00501476" w:rsidRDefault="00776405" w:rsidP="00501476">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003215AE" w:rsidRPr="00501476">
        <w:rPr>
          <w:rFonts w:ascii="Gadugi" w:eastAsia="Times New Roman" w:hAnsi="Gadugi"/>
          <w:sz w:val="24"/>
          <w:szCs w:val="24"/>
          <w:lang w:val="es-MX" w:eastAsia="es-ES"/>
        </w:rPr>
        <w:t>Sobrevino la sentencia de primera instancia</w:t>
      </w:r>
      <w:r w:rsidR="00503AE4" w:rsidRPr="00501476">
        <w:rPr>
          <w:rFonts w:ascii="Gadugi" w:eastAsia="Times New Roman" w:hAnsi="Gadugi"/>
          <w:sz w:val="24"/>
          <w:szCs w:val="24"/>
          <w:lang w:val="es-MX" w:eastAsia="es-ES"/>
        </w:rPr>
        <w:t xml:space="preserve"> que concedió la protección dado que </w:t>
      </w:r>
      <w:r w:rsidR="00503AE4" w:rsidRPr="00501476">
        <w:rPr>
          <w:rFonts w:ascii="Gadugi" w:eastAsia="Times New Roman" w:hAnsi="Gadugi"/>
          <w:i/>
          <w:sz w:val="24"/>
          <w:szCs w:val="24"/>
          <w:lang w:val="es-MX" w:eastAsia="es-ES"/>
        </w:rPr>
        <w:t>“</w:t>
      </w:r>
      <w:r w:rsidR="00503AE4" w:rsidRPr="00501476">
        <w:rPr>
          <w:rFonts w:ascii="Gadugi" w:eastAsia="Times New Roman" w:hAnsi="Gadugi"/>
          <w:i/>
          <w:szCs w:val="24"/>
          <w:lang w:val="es-MX" w:eastAsia="es-ES"/>
        </w:rPr>
        <w:t>(…) cumple con los parámetros constitucionales para acceder a dicho servicio, con un acompañante, dado que (i) el procedimiento o tratamiento se considera indispensable para garantizar los derechos a la salud y a la vida de la persona; (ii) ni el paciente ni sus familiares cercanos tienen los recursos económicos suficientes para pagar el valor del traslado; y (iii) de no efectuarse la remisión se pone en riesgo la vida, la integridad física o el estado de salud de la actora.</w:t>
      </w:r>
      <w:r w:rsidR="00503AE4" w:rsidRPr="00501476">
        <w:rPr>
          <w:rFonts w:ascii="Gadugi" w:eastAsia="Times New Roman" w:hAnsi="Gadugi"/>
          <w:i/>
          <w:sz w:val="24"/>
          <w:szCs w:val="24"/>
          <w:lang w:val="es-MX" w:eastAsia="es-ES"/>
        </w:rPr>
        <w:t>”</w:t>
      </w:r>
      <w:r w:rsidR="00B50F51" w:rsidRPr="00501476">
        <w:rPr>
          <w:rStyle w:val="Refdenotaalpie"/>
          <w:rFonts w:ascii="Gadugi" w:eastAsia="Times New Roman" w:hAnsi="Gadugi"/>
          <w:i/>
          <w:sz w:val="24"/>
          <w:szCs w:val="24"/>
          <w:lang w:val="es-MX" w:eastAsia="es-ES"/>
        </w:rPr>
        <w:footnoteReference w:id="4"/>
      </w:r>
    </w:p>
    <w:p w14:paraId="0CC0D24F" w14:textId="7BC4CEEA" w:rsidR="006259BE" w:rsidRPr="00501476" w:rsidRDefault="00DA45EE" w:rsidP="00501476">
      <w:pPr>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p>
    <w:p w14:paraId="238C9829" w14:textId="68953D72" w:rsidR="006259BE" w:rsidRPr="00501476" w:rsidRDefault="00503AE4" w:rsidP="00501476">
      <w:pPr>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t>Impugnó la EPS, para insistir en los argumentos planteados en la contestación de la demanda.</w:t>
      </w:r>
      <w:r w:rsidR="00B50F51" w:rsidRPr="00501476">
        <w:rPr>
          <w:rStyle w:val="Refdenotaalpie"/>
          <w:rFonts w:ascii="Gadugi" w:eastAsia="Times New Roman" w:hAnsi="Gadugi"/>
          <w:sz w:val="24"/>
          <w:szCs w:val="24"/>
          <w:lang w:val="es-MX" w:eastAsia="es-ES"/>
        </w:rPr>
        <w:footnoteReference w:id="5"/>
      </w:r>
    </w:p>
    <w:p w14:paraId="4F43B3BC" w14:textId="4F4B0D9F" w:rsidR="002A52E4" w:rsidRPr="00501476" w:rsidRDefault="00DA45EE" w:rsidP="00501476">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p>
    <w:p w14:paraId="62486C05" w14:textId="79DEB8D2" w:rsidR="00930BE9" w:rsidRPr="00501476" w:rsidRDefault="00DA45EE" w:rsidP="00501476">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r w:rsidRPr="00501476">
        <w:rPr>
          <w:rFonts w:ascii="Gadugi" w:eastAsia="Times New Roman" w:hAnsi="Gadugi"/>
          <w:sz w:val="24"/>
          <w:szCs w:val="24"/>
          <w:lang w:val="es-MX" w:eastAsia="es-ES"/>
        </w:rPr>
        <w:tab/>
      </w:r>
    </w:p>
    <w:p w14:paraId="2B3FE1DD" w14:textId="77777777" w:rsidR="003215AE" w:rsidRPr="00501476" w:rsidRDefault="003215AE" w:rsidP="00501476">
      <w:pPr>
        <w:overflowPunct w:val="0"/>
        <w:autoSpaceDE w:val="0"/>
        <w:autoSpaceDN w:val="0"/>
        <w:adjustRightInd w:val="0"/>
        <w:spacing w:after="0" w:line="276" w:lineRule="auto"/>
        <w:ind w:firstLine="709"/>
        <w:jc w:val="both"/>
        <w:textAlignment w:val="baseline"/>
        <w:rPr>
          <w:rFonts w:ascii="Gadugi" w:eastAsia="Times New Roman" w:hAnsi="Gadugi"/>
          <w:b/>
          <w:sz w:val="24"/>
          <w:szCs w:val="24"/>
          <w:lang w:val="es-ES" w:eastAsia="es-ES"/>
        </w:rPr>
      </w:pPr>
      <w:r w:rsidRPr="00501476">
        <w:rPr>
          <w:rFonts w:ascii="Gadugi" w:eastAsia="Times New Roman" w:hAnsi="Gadugi"/>
          <w:b/>
          <w:sz w:val="24"/>
          <w:szCs w:val="24"/>
          <w:lang w:val="es-ES" w:eastAsia="es-ES"/>
        </w:rPr>
        <w:t xml:space="preserve">  </w:t>
      </w:r>
      <w:r w:rsidRPr="00501476">
        <w:rPr>
          <w:rFonts w:ascii="Gadugi" w:eastAsia="Times New Roman" w:hAnsi="Gadugi"/>
          <w:b/>
          <w:sz w:val="24"/>
          <w:szCs w:val="24"/>
          <w:lang w:val="es-ES" w:eastAsia="es-ES"/>
        </w:rPr>
        <w:tab/>
      </w:r>
      <w:r w:rsidRPr="00501476">
        <w:rPr>
          <w:rFonts w:ascii="Gadugi" w:eastAsia="Times New Roman" w:hAnsi="Gadugi"/>
          <w:b/>
          <w:sz w:val="24"/>
          <w:szCs w:val="24"/>
          <w:lang w:val="es-ES" w:eastAsia="es-ES"/>
        </w:rPr>
        <w:tab/>
      </w:r>
      <w:r w:rsidRPr="00501476">
        <w:rPr>
          <w:rFonts w:ascii="Gadugi" w:eastAsia="Times New Roman" w:hAnsi="Gadugi"/>
          <w:b/>
          <w:sz w:val="24"/>
          <w:szCs w:val="24"/>
          <w:lang w:val="es-ES" w:eastAsia="es-ES"/>
        </w:rPr>
        <w:tab/>
        <w:t>CONSIDERACIONES</w:t>
      </w:r>
    </w:p>
    <w:p w14:paraId="4F794DF4" w14:textId="77777777" w:rsidR="003215AE" w:rsidRPr="00501476" w:rsidRDefault="003215AE" w:rsidP="00501476">
      <w:pPr>
        <w:spacing w:after="0" w:line="276" w:lineRule="auto"/>
        <w:rPr>
          <w:rFonts w:ascii="Gadugi" w:eastAsia="Times New Roman" w:hAnsi="Gadugi" w:cs="Century Gothic"/>
          <w:sz w:val="24"/>
          <w:szCs w:val="24"/>
          <w:lang w:val="es-ES" w:eastAsia="es-ES"/>
        </w:rPr>
      </w:pPr>
      <w:r w:rsidRPr="00501476">
        <w:rPr>
          <w:rFonts w:ascii="Gadugi" w:eastAsia="Times New Roman" w:hAnsi="Gadugi" w:cs="Century Gothic"/>
          <w:sz w:val="24"/>
          <w:szCs w:val="24"/>
          <w:lang w:val="es-ES" w:eastAsia="es-ES"/>
        </w:rPr>
        <w:t xml:space="preserve">                                      </w:t>
      </w:r>
      <w:r w:rsidRPr="00501476">
        <w:rPr>
          <w:rFonts w:ascii="Gadugi" w:eastAsia="Times New Roman" w:hAnsi="Gadugi" w:cs="Century Gothic"/>
          <w:sz w:val="24"/>
          <w:szCs w:val="24"/>
          <w:lang w:val="es-ES" w:eastAsia="es-ES"/>
        </w:rPr>
        <w:tab/>
      </w:r>
    </w:p>
    <w:p w14:paraId="4101652C" w14:textId="77777777" w:rsidR="003215AE" w:rsidRPr="00501476" w:rsidRDefault="003215AE" w:rsidP="00501476">
      <w:pPr>
        <w:spacing w:after="0" w:line="276" w:lineRule="auto"/>
        <w:rPr>
          <w:rFonts w:ascii="Gadugi" w:eastAsia="Times New Roman" w:hAnsi="Gadugi"/>
          <w:sz w:val="24"/>
          <w:szCs w:val="24"/>
          <w:lang w:val="es-ES" w:eastAsia="es-ES"/>
        </w:rPr>
      </w:pP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p>
    <w:p w14:paraId="1D1AE611" w14:textId="77777777" w:rsidR="003215AE" w:rsidRPr="00501476" w:rsidRDefault="003215AE" w:rsidP="00501476">
      <w:pPr>
        <w:spacing w:after="0" w:line="276" w:lineRule="auto"/>
        <w:jc w:val="both"/>
        <w:rPr>
          <w:rFonts w:ascii="Gadugi" w:eastAsia="Times New Roman" w:hAnsi="Gadugi" w:cs="Arial"/>
          <w:sz w:val="24"/>
          <w:szCs w:val="24"/>
          <w:lang w:val="es-ES" w:eastAsia="es-ES"/>
        </w:rPr>
      </w:pPr>
      <w:r w:rsidRPr="00501476">
        <w:rPr>
          <w:rFonts w:ascii="Gadugi" w:eastAsia="Times New Roman" w:hAnsi="Gadugi" w:cs="Arial"/>
          <w:sz w:val="24"/>
          <w:szCs w:val="24"/>
          <w:lang w:val="es-ES" w:eastAsia="es-ES"/>
        </w:rPr>
        <w:t xml:space="preserve"> </w:t>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t xml:space="preserve">El artículo 86 de la Constitución Nacional faculta a toda persona para reclamar ante los jueces la protección inmediata de los derechos </w:t>
      </w:r>
      <w:r w:rsidRPr="00501476">
        <w:rPr>
          <w:rFonts w:ascii="Gadugi" w:eastAsia="Times New Roman" w:hAnsi="Gadugi" w:cs="Arial"/>
          <w:sz w:val="24"/>
          <w:szCs w:val="24"/>
          <w:lang w:val="es-ES" w:eastAsia="es-ES"/>
        </w:rPr>
        <w:lastRenderedPageBreak/>
        <w:t>constitucionales fundamentales cuando considere que estos resulten vulnerados o amenazados por la acción o la omisión de cualquier autoridad pública o, eventualmente, por particulares.</w:t>
      </w:r>
    </w:p>
    <w:p w14:paraId="0DFAE634" w14:textId="77777777" w:rsidR="003215AE" w:rsidRPr="00501476" w:rsidRDefault="003215AE" w:rsidP="00501476">
      <w:pPr>
        <w:spacing w:after="0" w:line="276" w:lineRule="auto"/>
        <w:jc w:val="both"/>
        <w:rPr>
          <w:rFonts w:ascii="Gadugi" w:eastAsia="Times New Roman" w:hAnsi="Gadugi" w:cs="Arial"/>
          <w:bCs/>
          <w:sz w:val="24"/>
          <w:szCs w:val="24"/>
          <w:lang w:val="es-ES" w:eastAsia="es-ES"/>
        </w:rPr>
      </w:pPr>
      <w:r w:rsidRPr="00501476">
        <w:rPr>
          <w:rFonts w:ascii="Gadugi" w:eastAsia="Times New Roman" w:hAnsi="Gadugi" w:cs="Arial"/>
          <w:bCs/>
          <w:sz w:val="24"/>
          <w:szCs w:val="24"/>
          <w:lang w:val="es-ES" w:eastAsia="es-ES"/>
        </w:rPr>
        <w:t xml:space="preserve">  </w:t>
      </w:r>
      <w:r w:rsidRPr="00501476">
        <w:rPr>
          <w:rFonts w:ascii="Gadugi" w:eastAsia="Times New Roman" w:hAnsi="Gadugi" w:cs="Arial"/>
          <w:bCs/>
          <w:sz w:val="24"/>
          <w:szCs w:val="24"/>
          <w:lang w:val="es-ES" w:eastAsia="es-ES"/>
        </w:rPr>
        <w:tab/>
      </w:r>
      <w:r w:rsidRPr="00501476">
        <w:rPr>
          <w:rFonts w:ascii="Gadugi" w:eastAsia="Times New Roman" w:hAnsi="Gadugi" w:cs="Arial"/>
          <w:bCs/>
          <w:sz w:val="24"/>
          <w:szCs w:val="24"/>
          <w:lang w:val="es-ES" w:eastAsia="es-ES"/>
        </w:rPr>
        <w:tab/>
      </w:r>
      <w:r w:rsidRPr="00501476">
        <w:rPr>
          <w:rFonts w:ascii="Gadugi" w:eastAsia="Times New Roman" w:hAnsi="Gadugi" w:cs="Arial"/>
          <w:bCs/>
          <w:sz w:val="24"/>
          <w:szCs w:val="24"/>
          <w:lang w:val="es-ES" w:eastAsia="es-ES"/>
        </w:rPr>
        <w:tab/>
      </w:r>
      <w:r w:rsidRPr="00501476">
        <w:rPr>
          <w:rFonts w:ascii="Gadugi" w:eastAsia="Times New Roman" w:hAnsi="Gadugi" w:cs="Arial"/>
          <w:bCs/>
          <w:sz w:val="24"/>
          <w:szCs w:val="24"/>
          <w:lang w:val="es-ES" w:eastAsia="es-ES"/>
        </w:rPr>
        <w:tab/>
      </w:r>
    </w:p>
    <w:p w14:paraId="7DBA864D" w14:textId="0C8A12EA" w:rsidR="003F01F2" w:rsidRPr="00501476" w:rsidRDefault="003215AE" w:rsidP="00501476">
      <w:pPr>
        <w:spacing w:after="0" w:line="276" w:lineRule="auto"/>
        <w:jc w:val="both"/>
        <w:rPr>
          <w:rFonts w:ascii="Gadugi" w:eastAsia="Times New Roman" w:hAnsi="Gadugi" w:cs="Arial"/>
          <w:sz w:val="24"/>
          <w:szCs w:val="24"/>
          <w:lang w:val="es-ES" w:eastAsia="es-ES"/>
        </w:rPr>
      </w:pPr>
      <w:r w:rsidRPr="00501476">
        <w:rPr>
          <w:rFonts w:ascii="Gadugi" w:eastAsia="Times New Roman" w:hAnsi="Gadugi" w:cs="Arial"/>
          <w:sz w:val="24"/>
          <w:szCs w:val="24"/>
          <w:lang w:val="es-ES" w:eastAsia="es-ES"/>
        </w:rPr>
        <w:t xml:space="preserve">  </w:t>
      </w:r>
      <w:r w:rsidRPr="00501476">
        <w:rPr>
          <w:rFonts w:ascii="Gadugi" w:eastAsia="Times New Roman" w:hAnsi="Gadugi" w:cs="Arial"/>
          <w:bCs/>
          <w:sz w:val="24"/>
          <w:szCs w:val="24"/>
          <w:lang w:val="es-ES" w:eastAsia="es-ES"/>
        </w:rPr>
        <w:tab/>
      </w:r>
      <w:r w:rsidRPr="00501476">
        <w:rPr>
          <w:rFonts w:ascii="Gadugi" w:eastAsia="Times New Roman" w:hAnsi="Gadugi" w:cs="Arial"/>
          <w:bCs/>
          <w:sz w:val="24"/>
          <w:szCs w:val="24"/>
          <w:lang w:val="es-ES" w:eastAsia="es-ES"/>
        </w:rPr>
        <w:tab/>
      </w:r>
      <w:r w:rsidRPr="00501476">
        <w:rPr>
          <w:rFonts w:ascii="Gadugi" w:eastAsia="Times New Roman" w:hAnsi="Gadugi" w:cs="Arial"/>
          <w:bCs/>
          <w:sz w:val="24"/>
          <w:szCs w:val="24"/>
          <w:lang w:val="es-ES" w:eastAsia="es-ES"/>
        </w:rPr>
        <w:tab/>
      </w:r>
      <w:r w:rsidRPr="00501476">
        <w:rPr>
          <w:rFonts w:ascii="Gadugi" w:eastAsia="Times New Roman" w:hAnsi="Gadugi" w:cs="Arial"/>
          <w:bCs/>
          <w:sz w:val="24"/>
          <w:szCs w:val="24"/>
          <w:lang w:val="es-ES" w:eastAsia="es-ES"/>
        </w:rPr>
        <w:tab/>
      </w:r>
      <w:r w:rsidRPr="00501476">
        <w:rPr>
          <w:rFonts w:ascii="Gadugi" w:eastAsia="Times New Roman" w:hAnsi="Gadugi" w:cs="Arial"/>
          <w:sz w:val="24"/>
          <w:szCs w:val="24"/>
          <w:lang w:val="es-ES" w:eastAsia="es-ES"/>
        </w:rPr>
        <w:t>Bajo ese entendido,</w:t>
      </w:r>
      <w:r w:rsidR="000C50C3" w:rsidRPr="00501476">
        <w:rPr>
          <w:rFonts w:ascii="Gadugi" w:eastAsia="Times New Roman" w:hAnsi="Gadugi" w:cs="Arial"/>
          <w:sz w:val="24"/>
          <w:szCs w:val="24"/>
          <w:lang w:val="es-ES" w:eastAsia="es-ES"/>
        </w:rPr>
        <w:t xml:space="preserve"> </w:t>
      </w:r>
      <w:r w:rsidR="00503AE4" w:rsidRPr="00501476">
        <w:rPr>
          <w:rFonts w:ascii="Gadugi" w:eastAsia="Times New Roman" w:hAnsi="Gadugi" w:cs="Arial"/>
          <w:sz w:val="24"/>
          <w:szCs w:val="24"/>
          <w:lang w:val="es-ES" w:eastAsia="es-ES"/>
        </w:rPr>
        <w:t>la</w:t>
      </w:r>
      <w:r w:rsidR="003F01F2" w:rsidRPr="00501476">
        <w:rPr>
          <w:rFonts w:ascii="Gadugi" w:eastAsia="Times New Roman" w:hAnsi="Gadugi" w:cs="Arial"/>
          <w:sz w:val="24"/>
          <w:szCs w:val="24"/>
          <w:lang w:val="es-ES" w:eastAsia="es-ES"/>
        </w:rPr>
        <w:t xml:space="preserve"> señor</w:t>
      </w:r>
      <w:r w:rsidR="00503AE4" w:rsidRPr="00501476">
        <w:rPr>
          <w:rFonts w:ascii="Gadugi" w:eastAsia="Times New Roman" w:hAnsi="Gadugi" w:cs="Arial"/>
          <w:sz w:val="24"/>
          <w:szCs w:val="24"/>
          <w:lang w:val="es-ES" w:eastAsia="es-ES"/>
        </w:rPr>
        <w:t>a</w:t>
      </w:r>
      <w:r w:rsidR="000C50C3" w:rsidRPr="00501476">
        <w:rPr>
          <w:rFonts w:ascii="Gadugi" w:eastAsia="Times New Roman" w:hAnsi="Gadugi" w:cs="Arial"/>
          <w:sz w:val="24"/>
          <w:szCs w:val="24"/>
          <w:lang w:val="es-ES" w:eastAsia="es-ES"/>
        </w:rPr>
        <w:t xml:space="preserve"> </w:t>
      </w:r>
      <w:r w:rsidR="00503AE4" w:rsidRPr="00501476">
        <w:rPr>
          <w:rFonts w:ascii="Gadugi" w:eastAsia="Times New Roman" w:hAnsi="Gadugi" w:cs="Arial"/>
          <w:sz w:val="24"/>
          <w:szCs w:val="24"/>
          <w:lang w:val="es-ES" w:eastAsia="es-ES"/>
        </w:rPr>
        <w:t>Rentería Mena</w:t>
      </w:r>
      <w:r w:rsidRPr="00501476">
        <w:rPr>
          <w:rFonts w:ascii="Gadugi" w:eastAsia="Times New Roman" w:hAnsi="Gadugi" w:cs="Arial"/>
          <w:sz w:val="24"/>
          <w:szCs w:val="24"/>
          <w:lang w:val="es-ES" w:eastAsia="es-ES"/>
        </w:rPr>
        <w:t xml:space="preserve">, invocó el amparo </w:t>
      </w:r>
      <w:r w:rsidR="00503AE4" w:rsidRPr="00501476">
        <w:rPr>
          <w:rFonts w:ascii="Gadugi" w:eastAsia="Times New Roman" w:hAnsi="Gadugi" w:cs="Arial"/>
          <w:sz w:val="24"/>
          <w:szCs w:val="24"/>
          <w:lang w:val="es-ES" w:eastAsia="es-ES"/>
        </w:rPr>
        <w:t>de su derecho a la salud</w:t>
      </w:r>
      <w:r w:rsidRPr="00501476">
        <w:rPr>
          <w:rFonts w:ascii="Gadugi" w:eastAsia="Times New Roman" w:hAnsi="Gadugi" w:cs="Century Gothic"/>
          <w:sz w:val="24"/>
          <w:szCs w:val="24"/>
          <w:lang w:eastAsia="es-ES"/>
        </w:rPr>
        <w:t>,</w:t>
      </w:r>
      <w:r w:rsidRPr="00501476">
        <w:rPr>
          <w:rFonts w:ascii="Gadugi" w:eastAsia="Times New Roman" w:hAnsi="Gadugi" w:cs="Arial"/>
          <w:sz w:val="24"/>
          <w:szCs w:val="24"/>
          <w:lang w:val="es-ES" w:eastAsia="es-ES"/>
        </w:rPr>
        <w:t xml:space="preserve"> que consideró conculcado por</w:t>
      </w:r>
      <w:r w:rsidR="00A27E6B" w:rsidRPr="00501476">
        <w:rPr>
          <w:rFonts w:ascii="Gadugi" w:eastAsia="Times New Roman" w:hAnsi="Gadugi" w:cs="Arial"/>
          <w:sz w:val="24"/>
          <w:szCs w:val="24"/>
          <w:lang w:val="es-ES" w:eastAsia="es-ES"/>
        </w:rPr>
        <w:t xml:space="preserve"> la</w:t>
      </w:r>
      <w:r w:rsidR="003F01F2" w:rsidRPr="00501476">
        <w:rPr>
          <w:rFonts w:ascii="Gadugi" w:eastAsia="Times New Roman" w:hAnsi="Gadugi" w:cs="Arial"/>
          <w:sz w:val="24"/>
          <w:szCs w:val="24"/>
          <w:lang w:val="es-ES" w:eastAsia="es-ES"/>
        </w:rPr>
        <w:t xml:space="preserve"> EPS accionada, toda vez que no le </w:t>
      </w:r>
      <w:r w:rsidR="00CD3450" w:rsidRPr="00501476">
        <w:rPr>
          <w:rFonts w:ascii="Gadugi" w:eastAsia="Times New Roman" w:hAnsi="Gadugi" w:cs="Arial"/>
          <w:sz w:val="24"/>
          <w:szCs w:val="24"/>
          <w:lang w:val="es-ES" w:eastAsia="es-ES"/>
        </w:rPr>
        <w:t xml:space="preserve">prestan el servicio de transporte para asistir a las sesiones de diálisis a las que, por prescripción médica, debe asistir </w:t>
      </w:r>
      <w:r w:rsidR="00B50F51" w:rsidRPr="00501476">
        <w:rPr>
          <w:rFonts w:ascii="Gadugi" w:eastAsia="Times New Roman" w:hAnsi="Gadugi" w:cs="Arial"/>
          <w:sz w:val="24"/>
          <w:szCs w:val="24"/>
          <w:lang w:val="es-ES" w:eastAsia="es-ES"/>
        </w:rPr>
        <w:t xml:space="preserve">periódicamente. </w:t>
      </w:r>
      <w:r w:rsidR="00CD3450" w:rsidRPr="00501476">
        <w:rPr>
          <w:rFonts w:ascii="Gadugi" w:eastAsia="Times New Roman" w:hAnsi="Gadugi" w:cs="Arial"/>
          <w:sz w:val="24"/>
          <w:szCs w:val="24"/>
          <w:lang w:val="es-ES" w:eastAsia="es-ES"/>
        </w:rPr>
        <w:t xml:space="preserve">  </w:t>
      </w:r>
    </w:p>
    <w:p w14:paraId="4B99056E" w14:textId="77777777" w:rsidR="003F01F2" w:rsidRPr="00501476" w:rsidRDefault="003F01F2" w:rsidP="00501476">
      <w:pPr>
        <w:spacing w:after="0" w:line="276" w:lineRule="auto"/>
        <w:jc w:val="both"/>
        <w:rPr>
          <w:rFonts w:ascii="Gadugi" w:eastAsia="Times New Roman" w:hAnsi="Gadugi" w:cs="Arial"/>
          <w:bCs/>
          <w:sz w:val="24"/>
          <w:szCs w:val="24"/>
          <w:lang w:val="es-ES" w:eastAsia="es-ES"/>
        </w:rPr>
      </w:pPr>
    </w:p>
    <w:p w14:paraId="4CC4FE31" w14:textId="009EE127" w:rsidR="00503AE4" w:rsidRPr="00501476" w:rsidRDefault="009206E7" w:rsidP="00501476">
      <w:pPr>
        <w:spacing w:after="0" w:line="276" w:lineRule="auto"/>
        <w:jc w:val="both"/>
        <w:rPr>
          <w:rFonts w:ascii="Gadugi" w:eastAsia="Times New Roman" w:hAnsi="Gadugi" w:cs="Arial"/>
          <w:sz w:val="24"/>
          <w:szCs w:val="24"/>
          <w:lang w:eastAsia="es-ES"/>
        </w:rPr>
      </w:pPr>
      <w:r w:rsidRPr="00501476">
        <w:rPr>
          <w:rFonts w:ascii="Gadugi" w:eastAsia="Times New Roman" w:hAnsi="Gadugi" w:cs="Arial"/>
          <w:bCs/>
          <w:sz w:val="24"/>
          <w:szCs w:val="24"/>
          <w:lang w:eastAsia="es-ES"/>
        </w:rPr>
        <w:tab/>
      </w:r>
      <w:r w:rsidRPr="00501476">
        <w:rPr>
          <w:rFonts w:ascii="Gadugi" w:eastAsia="Times New Roman" w:hAnsi="Gadugi" w:cs="Arial"/>
          <w:bCs/>
          <w:sz w:val="24"/>
          <w:szCs w:val="24"/>
          <w:lang w:eastAsia="es-ES"/>
        </w:rPr>
        <w:tab/>
      </w:r>
      <w:r w:rsidRPr="00501476">
        <w:rPr>
          <w:rFonts w:ascii="Gadugi" w:eastAsia="Times New Roman" w:hAnsi="Gadugi" w:cs="Arial"/>
          <w:bCs/>
          <w:sz w:val="24"/>
          <w:szCs w:val="24"/>
          <w:lang w:eastAsia="es-ES"/>
        </w:rPr>
        <w:tab/>
      </w:r>
      <w:r w:rsidRPr="00501476">
        <w:rPr>
          <w:rFonts w:ascii="Gadugi" w:eastAsia="Times New Roman" w:hAnsi="Gadugi" w:cs="Arial"/>
          <w:bCs/>
          <w:sz w:val="24"/>
          <w:szCs w:val="24"/>
          <w:lang w:eastAsia="es-ES"/>
        </w:rPr>
        <w:tab/>
      </w:r>
      <w:r w:rsidRPr="00501476">
        <w:rPr>
          <w:rFonts w:ascii="Gadugi" w:eastAsia="Times New Roman" w:hAnsi="Gadugi" w:cs="Arial"/>
          <w:sz w:val="24"/>
          <w:szCs w:val="24"/>
          <w:lang w:eastAsia="es-ES"/>
        </w:rPr>
        <w:t xml:space="preserve">En lo que respecta a </w:t>
      </w:r>
      <w:r w:rsidR="00503AE4" w:rsidRPr="00501476">
        <w:rPr>
          <w:rFonts w:ascii="Gadugi" w:eastAsia="Times New Roman" w:hAnsi="Gadugi" w:cs="Arial"/>
          <w:sz w:val="24"/>
          <w:szCs w:val="24"/>
          <w:lang w:eastAsia="es-ES"/>
        </w:rPr>
        <w:t>la procedencia del trámite, se tiene lo siguiente:</w:t>
      </w:r>
    </w:p>
    <w:p w14:paraId="6A3041AD" w14:textId="4A045898" w:rsidR="00503AE4" w:rsidRPr="00501476" w:rsidRDefault="004C2320" w:rsidP="00501476">
      <w:pPr>
        <w:spacing w:after="0" w:line="276" w:lineRule="auto"/>
        <w:jc w:val="both"/>
        <w:rPr>
          <w:rFonts w:ascii="Gadugi" w:eastAsia="Times New Roman" w:hAnsi="Gadugi" w:cs="Arial"/>
          <w:sz w:val="24"/>
          <w:szCs w:val="24"/>
          <w:lang w:eastAsia="es-ES"/>
        </w:rPr>
      </w:pP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p>
    <w:p w14:paraId="559B8222" w14:textId="0048B19F" w:rsidR="00C607C9" w:rsidRPr="00501476" w:rsidRDefault="00503AE4" w:rsidP="00501476">
      <w:pPr>
        <w:spacing w:after="0" w:line="276" w:lineRule="auto"/>
        <w:jc w:val="both"/>
        <w:rPr>
          <w:rFonts w:ascii="Gadugi" w:eastAsia="Times New Roman" w:hAnsi="Gadugi" w:cs="Arial"/>
          <w:sz w:val="24"/>
          <w:szCs w:val="24"/>
          <w:lang w:eastAsia="es-ES"/>
        </w:rPr>
      </w:pP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t>S</w:t>
      </w:r>
      <w:r w:rsidR="009206E7" w:rsidRPr="00501476">
        <w:rPr>
          <w:rFonts w:ascii="Gadugi" w:eastAsia="Times New Roman" w:hAnsi="Gadugi" w:cs="Arial"/>
          <w:sz w:val="24"/>
          <w:szCs w:val="24"/>
          <w:lang w:eastAsia="es-ES"/>
        </w:rPr>
        <w:t>e cumple la legitimación en la causa</w:t>
      </w:r>
      <w:r w:rsidR="00CD3450" w:rsidRPr="00501476">
        <w:rPr>
          <w:rFonts w:ascii="Gadugi" w:eastAsia="Times New Roman" w:hAnsi="Gadugi" w:cs="Arial"/>
          <w:sz w:val="24"/>
          <w:szCs w:val="24"/>
          <w:lang w:eastAsia="es-ES"/>
        </w:rPr>
        <w:t xml:space="preserve"> por activa</w:t>
      </w:r>
      <w:r w:rsidR="009206E7" w:rsidRPr="00501476">
        <w:rPr>
          <w:rFonts w:ascii="Gadugi" w:eastAsia="Times New Roman" w:hAnsi="Gadugi" w:cs="Arial"/>
          <w:sz w:val="24"/>
          <w:szCs w:val="24"/>
          <w:lang w:eastAsia="es-ES"/>
        </w:rPr>
        <w:t xml:space="preserve">, </w:t>
      </w:r>
      <w:r w:rsidR="009D3662" w:rsidRPr="00501476">
        <w:rPr>
          <w:rFonts w:ascii="Gadugi" w:eastAsia="Times New Roman" w:hAnsi="Gadugi" w:cs="Arial"/>
          <w:sz w:val="24"/>
          <w:szCs w:val="24"/>
          <w:lang w:eastAsia="es-ES"/>
        </w:rPr>
        <w:t xml:space="preserve">ya que </w:t>
      </w:r>
      <w:r w:rsidRPr="00501476">
        <w:rPr>
          <w:rFonts w:ascii="Gadugi" w:eastAsia="Times New Roman" w:hAnsi="Gadugi" w:cs="Arial"/>
          <w:sz w:val="24"/>
          <w:szCs w:val="24"/>
          <w:lang w:eastAsia="es-ES"/>
        </w:rPr>
        <w:t xml:space="preserve">la </w:t>
      </w:r>
      <w:r w:rsidR="00367BA9" w:rsidRPr="00501476">
        <w:rPr>
          <w:rFonts w:ascii="Gadugi" w:eastAsia="Times New Roman" w:hAnsi="Gadugi" w:cs="Arial"/>
          <w:sz w:val="24"/>
          <w:szCs w:val="24"/>
          <w:lang w:eastAsia="es-ES"/>
        </w:rPr>
        <w:t>demandante</w:t>
      </w:r>
      <w:r w:rsidR="00B83E4B" w:rsidRPr="00501476">
        <w:rPr>
          <w:rFonts w:ascii="Gadugi" w:eastAsia="Times New Roman" w:hAnsi="Gadugi" w:cs="Arial"/>
          <w:sz w:val="24"/>
          <w:szCs w:val="24"/>
          <w:lang w:eastAsia="es-ES"/>
        </w:rPr>
        <w:t xml:space="preserve"> es quien solicita el servicio que la </w:t>
      </w:r>
      <w:r w:rsidR="00367BA9" w:rsidRPr="00501476">
        <w:rPr>
          <w:rFonts w:ascii="Gadugi" w:eastAsia="Times New Roman" w:hAnsi="Gadugi" w:cs="Arial"/>
          <w:sz w:val="24"/>
          <w:szCs w:val="24"/>
          <w:lang w:eastAsia="es-ES"/>
        </w:rPr>
        <w:t>Nueva EPS</w:t>
      </w:r>
      <w:r w:rsidR="00B83E4B" w:rsidRPr="00501476">
        <w:rPr>
          <w:rFonts w:ascii="Gadugi" w:eastAsia="Times New Roman" w:hAnsi="Gadugi" w:cs="Arial"/>
          <w:sz w:val="24"/>
          <w:szCs w:val="24"/>
          <w:lang w:eastAsia="es-ES"/>
        </w:rPr>
        <w:t xml:space="preserve"> se niega a prestar,</w:t>
      </w:r>
      <w:r w:rsidR="00CD3450" w:rsidRPr="00501476">
        <w:rPr>
          <w:rFonts w:ascii="Gadugi" w:eastAsia="Times New Roman" w:hAnsi="Gadugi" w:cs="Arial"/>
          <w:sz w:val="24"/>
          <w:szCs w:val="24"/>
          <w:lang w:eastAsia="es-ES"/>
        </w:rPr>
        <w:t xml:space="preserve"> </w:t>
      </w:r>
      <w:r w:rsidR="00557111" w:rsidRPr="00501476">
        <w:rPr>
          <w:rFonts w:ascii="Gadugi" w:eastAsia="Times New Roman" w:hAnsi="Gadugi" w:cs="Arial"/>
          <w:sz w:val="24"/>
          <w:szCs w:val="24"/>
          <w:lang w:eastAsia="es-ES"/>
        </w:rPr>
        <w:t>además,</w:t>
      </w:r>
      <w:r w:rsidR="00CD3450" w:rsidRPr="00501476">
        <w:rPr>
          <w:rFonts w:ascii="Gadugi" w:eastAsia="Times New Roman" w:hAnsi="Gadugi" w:cs="Arial"/>
          <w:sz w:val="24"/>
          <w:szCs w:val="24"/>
          <w:lang w:eastAsia="es-ES"/>
        </w:rPr>
        <w:t xml:space="preserve"> est</w:t>
      </w:r>
      <w:r w:rsidR="009D3662" w:rsidRPr="00501476">
        <w:rPr>
          <w:rFonts w:ascii="Gadugi" w:eastAsia="Times New Roman" w:hAnsi="Gadugi" w:cs="Arial"/>
          <w:sz w:val="24"/>
          <w:szCs w:val="24"/>
          <w:lang w:eastAsia="es-ES"/>
        </w:rPr>
        <w:t>á</w:t>
      </w:r>
      <w:r w:rsidR="00CD3450" w:rsidRPr="00501476">
        <w:rPr>
          <w:rFonts w:ascii="Gadugi" w:eastAsia="Times New Roman" w:hAnsi="Gadugi" w:cs="Arial"/>
          <w:sz w:val="24"/>
          <w:szCs w:val="24"/>
          <w:lang w:eastAsia="es-ES"/>
        </w:rPr>
        <w:t xml:space="preserve"> afiliad</w:t>
      </w:r>
      <w:r w:rsidR="00B83E4B" w:rsidRPr="00501476">
        <w:rPr>
          <w:rFonts w:ascii="Gadugi" w:eastAsia="Times New Roman" w:hAnsi="Gadugi" w:cs="Arial"/>
          <w:sz w:val="24"/>
          <w:szCs w:val="24"/>
          <w:lang w:eastAsia="es-ES"/>
        </w:rPr>
        <w:t>a</w:t>
      </w:r>
      <w:r w:rsidR="00CD3450" w:rsidRPr="00501476">
        <w:rPr>
          <w:rFonts w:ascii="Gadugi" w:eastAsia="Times New Roman" w:hAnsi="Gadugi" w:cs="Arial"/>
          <w:sz w:val="24"/>
          <w:szCs w:val="24"/>
          <w:lang w:eastAsia="es-ES"/>
        </w:rPr>
        <w:t xml:space="preserve"> </w:t>
      </w:r>
      <w:r w:rsidR="00367BA9" w:rsidRPr="00501476">
        <w:rPr>
          <w:rFonts w:ascii="Gadugi" w:eastAsia="Times New Roman" w:hAnsi="Gadugi" w:cs="Arial"/>
          <w:sz w:val="24"/>
          <w:szCs w:val="24"/>
          <w:lang w:eastAsia="es-ES"/>
        </w:rPr>
        <w:t>a esa entidad</w:t>
      </w:r>
      <w:r w:rsidR="009206E7" w:rsidRPr="00501476">
        <w:rPr>
          <w:rFonts w:ascii="Gadugi" w:eastAsia="Times New Roman" w:hAnsi="Gadugi" w:cs="Arial"/>
          <w:sz w:val="24"/>
          <w:szCs w:val="24"/>
          <w:lang w:eastAsia="es-ES"/>
        </w:rPr>
        <w:t>; por pasiva</w:t>
      </w:r>
      <w:r w:rsidR="009D3662" w:rsidRPr="00501476">
        <w:rPr>
          <w:rFonts w:ascii="Gadugi" w:eastAsia="Times New Roman" w:hAnsi="Gadugi" w:cs="Arial"/>
          <w:sz w:val="24"/>
          <w:szCs w:val="24"/>
          <w:lang w:eastAsia="es-ES"/>
        </w:rPr>
        <w:t xml:space="preserve"> igual, pues </w:t>
      </w:r>
      <w:r w:rsidR="009206E7" w:rsidRPr="00501476">
        <w:rPr>
          <w:rFonts w:ascii="Gadugi" w:eastAsia="Times New Roman" w:hAnsi="Gadugi" w:cs="Arial"/>
          <w:sz w:val="24"/>
          <w:szCs w:val="24"/>
          <w:lang w:eastAsia="es-ES"/>
        </w:rPr>
        <w:t>la EPS es la encargada de garantizar la prestación de</w:t>
      </w:r>
      <w:r w:rsidR="00B83E4B" w:rsidRPr="00501476">
        <w:rPr>
          <w:rFonts w:ascii="Gadugi" w:eastAsia="Times New Roman" w:hAnsi="Gadugi" w:cs="Arial"/>
          <w:sz w:val="24"/>
          <w:szCs w:val="24"/>
          <w:lang w:eastAsia="es-ES"/>
        </w:rPr>
        <w:t xml:space="preserve"> </w:t>
      </w:r>
      <w:r w:rsidR="009206E7" w:rsidRPr="00501476">
        <w:rPr>
          <w:rFonts w:ascii="Gadugi" w:eastAsia="Times New Roman" w:hAnsi="Gadugi" w:cs="Arial"/>
          <w:sz w:val="24"/>
          <w:szCs w:val="24"/>
          <w:lang w:eastAsia="es-ES"/>
        </w:rPr>
        <w:t>l</w:t>
      </w:r>
      <w:r w:rsidR="00B83E4B" w:rsidRPr="00501476">
        <w:rPr>
          <w:rFonts w:ascii="Gadugi" w:eastAsia="Times New Roman" w:hAnsi="Gadugi" w:cs="Arial"/>
          <w:sz w:val="24"/>
          <w:szCs w:val="24"/>
          <w:lang w:eastAsia="es-ES"/>
        </w:rPr>
        <w:t>os</w:t>
      </w:r>
      <w:r w:rsidR="009206E7" w:rsidRPr="00501476">
        <w:rPr>
          <w:rFonts w:ascii="Gadugi" w:eastAsia="Times New Roman" w:hAnsi="Gadugi" w:cs="Arial"/>
          <w:sz w:val="24"/>
          <w:szCs w:val="24"/>
          <w:lang w:eastAsia="es-ES"/>
        </w:rPr>
        <w:t xml:space="preserve"> servicio</w:t>
      </w:r>
      <w:r w:rsidR="00B83E4B" w:rsidRPr="00501476">
        <w:rPr>
          <w:rFonts w:ascii="Gadugi" w:eastAsia="Times New Roman" w:hAnsi="Gadugi" w:cs="Arial"/>
          <w:sz w:val="24"/>
          <w:szCs w:val="24"/>
          <w:lang w:eastAsia="es-ES"/>
        </w:rPr>
        <w:t>s</w:t>
      </w:r>
      <w:r w:rsidR="009206E7" w:rsidRPr="00501476">
        <w:rPr>
          <w:rFonts w:ascii="Gadugi" w:eastAsia="Times New Roman" w:hAnsi="Gadugi" w:cs="Arial"/>
          <w:sz w:val="24"/>
          <w:szCs w:val="24"/>
          <w:lang w:eastAsia="es-ES"/>
        </w:rPr>
        <w:t xml:space="preserve"> de salud que requiere </w:t>
      </w:r>
      <w:r w:rsidR="00B83E4B" w:rsidRPr="00501476">
        <w:rPr>
          <w:rFonts w:ascii="Gadugi" w:eastAsia="Times New Roman" w:hAnsi="Gadugi" w:cs="Arial"/>
          <w:sz w:val="24"/>
          <w:szCs w:val="24"/>
          <w:lang w:eastAsia="es-ES"/>
        </w:rPr>
        <w:t xml:space="preserve">la paciente. </w:t>
      </w:r>
    </w:p>
    <w:p w14:paraId="20F3CA51" w14:textId="39A16F46" w:rsidR="00C607C9" w:rsidRPr="00501476" w:rsidRDefault="004C2320" w:rsidP="00501476">
      <w:pPr>
        <w:spacing w:after="0" w:line="276" w:lineRule="auto"/>
        <w:jc w:val="both"/>
        <w:rPr>
          <w:rFonts w:ascii="Gadugi" w:eastAsia="Times New Roman" w:hAnsi="Gadugi" w:cs="Arial"/>
          <w:sz w:val="24"/>
          <w:szCs w:val="24"/>
          <w:lang w:eastAsia="es-ES"/>
        </w:rPr>
      </w:pP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p>
    <w:p w14:paraId="38206060" w14:textId="7F46A874" w:rsidR="006220A6" w:rsidRPr="00501476" w:rsidRDefault="00C607C9" w:rsidP="00501476">
      <w:pPr>
        <w:spacing w:after="0" w:line="276" w:lineRule="auto"/>
        <w:jc w:val="both"/>
        <w:rPr>
          <w:rFonts w:ascii="Gadugi" w:eastAsia="Times New Roman" w:hAnsi="Gadugi" w:cs="Arial"/>
          <w:sz w:val="24"/>
          <w:szCs w:val="24"/>
          <w:lang w:eastAsia="es-ES"/>
        </w:rPr>
      </w:pP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00C5077E" w:rsidRPr="00501476">
        <w:rPr>
          <w:rFonts w:ascii="Gadugi" w:eastAsia="Times New Roman" w:hAnsi="Gadugi" w:cs="Arial"/>
          <w:sz w:val="24"/>
          <w:szCs w:val="24"/>
          <w:lang w:eastAsia="es-ES"/>
        </w:rPr>
        <w:t xml:space="preserve">La inmediatez se </w:t>
      </w:r>
      <w:r w:rsidR="009D3662" w:rsidRPr="00501476">
        <w:rPr>
          <w:rFonts w:ascii="Gadugi" w:eastAsia="Times New Roman" w:hAnsi="Gadugi" w:cs="Arial"/>
          <w:sz w:val="24"/>
          <w:szCs w:val="24"/>
          <w:lang w:eastAsia="es-ES"/>
        </w:rPr>
        <w:t xml:space="preserve">satisface, </w:t>
      </w:r>
      <w:r w:rsidR="00C5077E" w:rsidRPr="00501476">
        <w:rPr>
          <w:rFonts w:ascii="Gadugi" w:eastAsia="Times New Roman" w:hAnsi="Gadugi" w:cs="Arial"/>
          <w:sz w:val="24"/>
          <w:szCs w:val="24"/>
          <w:lang w:eastAsia="es-ES"/>
        </w:rPr>
        <w:t>comoquiera que</w:t>
      </w:r>
      <w:r w:rsidR="00B50F51" w:rsidRPr="00501476">
        <w:rPr>
          <w:rFonts w:ascii="Gadugi" w:eastAsia="Times New Roman" w:hAnsi="Gadugi" w:cs="Arial"/>
          <w:sz w:val="24"/>
          <w:szCs w:val="24"/>
          <w:lang w:eastAsia="es-ES"/>
        </w:rPr>
        <w:t>, esta demanda se radicó el 17 de septiembre de 2021</w:t>
      </w:r>
      <w:r w:rsidR="00B50F51" w:rsidRPr="00501476">
        <w:rPr>
          <w:rStyle w:val="Refdenotaalpie"/>
          <w:rFonts w:ascii="Gadugi" w:eastAsia="Times New Roman" w:hAnsi="Gadugi"/>
          <w:sz w:val="24"/>
          <w:szCs w:val="24"/>
          <w:lang w:eastAsia="es-ES"/>
        </w:rPr>
        <w:footnoteReference w:id="6"/>
      </w:r>
      <w:r w:rsidR="00B50F51" w:rsidRPr="00501476">
        <w:rPr>
          <w:rFonts w:ascii="Gadugi" w:eastAsia="Times New Roman" w:hAnsi="Gadugi" w:cs="Arial"/>
          <w:sz w:val="24"/>
          <w:szCs w:val="24"/>
          <w:lang w:eastAsia="es-ES"/>
        </w:rPr>
        <w:t>, y</w:t>
      </w:r>
      <w:r w:rsidR="00C5077E" w:rsidRPr="00501476">
        <w:rPr>
          <w:rFonts w:ascii="Gadugi" w:eastAsia="Times New Roman" w:hAnsi="Gadugi" w:cs="Arial"/>
          <w:sz w:val="24"/>
          <w:szCs w:val="24"/>
          <w:lang w:eastAsia="es-ES"/>
        </w:rPr>
        <w:t xml:space="preserve"> la problemática que p</w:t>
      </w:r>
      <w:r w:rsidR="00A51203" w:rsidRPr="00501476">
        <w:rPr>
          <w:rFonts w:ascii="Gadugi" w:eastAsia="Times New Roman" w:hAnsi="Gadugi" w:cs="Arial"/>
          <w:sz w:val="24"/>
          <w:szCs w:val="24"/>
          <w:lang w:eastAsia="es-ES"/>
        </w:rPr>
        <w:t>l</w:t>
      </w:r>
      <w:r w:rsidR="00C5077E" w:rsidRPr="00501476">
        <w:rPr>
          <w:rFonts w:ascii="Gadugi" w:eastAsia="Times New Roman" w:hAnsi="Gadugi" w:cs="Arial"/>
          <w:sz w:val="24"/>
          <w:szCs w:val="24"/>
          <w:lang w:eastAsia="es-ES"/>
        </w:rPr>
        <w:t xml:space="preserve">antea </w:t>
      </w:r>
      <w:r w:rsidR="00B83E4B" w:rsidRPr="00501476">
        <w:rPr>
          <w:rFonts w:ascii="Gadugi" w:eastAsia="Times New Roman" w:hAnsi="Gadugi" w:cs="Arial"/>
          <w:sz w:val="24"/>
          <w:szCs w:val="24"/>
          <w:lang w:eastAsia="es-ES"/>
        </w:rPr>
        <w:t>la</w:t>
      </w:r>
      <w:r w:rsidR="00C5077E" w:rsidRPr="00501476">
        <w:rPr>
          <w:rFonts w:ascii="Gadugi" w:eastAsia="Times New Roman" w:hAnsi="Gadugi" w:cs="Arial"/>
          <w:sz w:val="24"/>
          <w:szCs w:val="24"/>
          <w:lang w:eastAsia="es-ES"/>
        </w:rPr>
        <w:t xml:space="preserve"> actor</w:t>
      </w:r>
      <w:r w:rsidR="00B83E4B" w:rsidRPr="00501476">
        <w:rPr>
          <w:rFonts w:ascii="Gadugi" w:eastAsia="Times New Roman" w:hAnsi="Gadugi" w:cs="Arial"/>
          <w:sz w:val="24"/>
          <w:szCs w:val="24"/>
          <w:lang w:eastAsia="es-ES"/>
        </w:rPr>
        <w:t>a</w:t>
      </w:r>
      <w:r w:rsidR="00C5077E" w:rsidRPr="00501476">
        <w:rPr>
          <w:rFonts w:ascii="Gadugi" w:eastAsia="Times New Roman" w:hAnsi="Gadugi" w:cs="Arial"/>
          <w:sz w:val="24"/>
          <w:szCs w:val="24"/>
          <w:lang w:eastAsia="es-ES"/>
        </w:rPr>
        <w:t xml:space="preserve"> es reciente</w:t>
      </w:r>
      <w:r w:rsidR="006220A6" w:rsidRPr="00501476">
        <w:rPr>
          <w:rFonts w:ascii="Gadugi" w:eastAsia="Times New Roman" w:hAnsi="Gadugi" w:cs="Arial"/>
          <w:sz w:val="24"/>
          <w:szCs w:val="24"/>
          <w:lang w:eastAsia="es-ES"/>
        </w:rPr>
        <w:t>, tal como se puede observar en un reporte de atención médica del 11 de septiembre de 2021, en el que se evidencia que</w:t>
      </w:r>
      <w:r w:rsidR="00C5077E" w:rsidRPr="00501476">
        <w:rPr>
          <w:rFonts w:ascii="Gadugi" w:eastAsia="Times New Roman" w:hAnsi="Gadugi" w:cs="Arial"/>
          <w:sz w:val="24"/>
          <w:szCs w:val="24"/>
          <w:lang w:eastAsia="es-ES"/>
        </w:rPr>
        <w:t xml:space="preserve"> requiere </w:t>
      </w:r>
      <w:r w:rsidR="006220A6" w:rsidRPr="00501476">
        <w:rPr>
          <w:rFonts w:ascii="Gadugi" w:eastAsia="Times New Roman" w:hAnsi="Gadugi" w:cs="Arial"/>
          <w:sz w:val="24"/>
          <w:szCs w:val="24"/>
          <w:lang w:eastAsia="es-ES"/>
        </w:rPr>
        <w:t>de servicios médicos</w:t>
      </w:r>
      <w:r w:rsidR="00B50F51" w:rsidRPr="00501476">
        <w:rPr>
          <w:rFonts w:ascii="Gadugi" w:eastAsia="Times New Roman" w:hAnsi="Gadugi" w:cs="Arial"/>
          <w:sz w:val="24"/>
          <w:szCs w:val="24"/>
          <w:lang w:eastAsia="es-ES"/>
        </w:rPr>
        <w:t xml:space="preserve"> perentorios,</w:t>
      </w:r>
      <w:r w:rsidR="006220A6" w:rsidRPr="00501476">
        <w:rPr>
          <w:rFonts w:ascii="Gadugi" w:eastAsia="Times New Roman" w:hAnsi="Gadugi" w:cs="Arial"/>
          <w:sz w:val="24"/>
          <w:szCs w:val="24"/>
          <w:lang w:eastAsia="es-ES"/>
        </w:rPr>
        <w:t xml:space="preserve"> como diálisis</w:t>
      </w:r>
      <w:r w:rsidR="00B50F51" w:rsidRPr="00501476">
        <w:rPr>
          <w:rStyle w:val="Refdenotaalpie"/>
          <w:rFonts w:ascii="Gadugi" w:eastAsia="Times New Roman" w:hAnsi="Gadugi"/>
          <w:sz w:val="24"/>
          <w:szCs w:val="24"/>
          <w:lang w:eastAsia="es-ES"/>
        </w:rPr>
        <w:footnoteReference w:id="7"/>
      </w:r>
      <w:r w:rsidR="00B50F51" w:rsidRPr="00501476">
        <w:rPr>
          <w:rFonts w:ascii="Gadugi" w:eastAsia="Times New Roman" w:hAnsi="Gadugi" w:cs="Arial"/>
          <w:sz w:val="24"/>
          <w:szCs w:val="24"/>
          <w:lang w:eastAsia="es-ES"/>
        </w:rPr>
        <w:t>.</w:t>
      </w:r>
      <w:r w:rsidR="006220A6" w:rsidRPr="00501476">
        <w:rPr>
          <w:rFonts w:ascii="Gadugi" w:eastAsia="Times New Roman" w:hAnsi="Gadugi" w:cs="Arial"/>
          <w:sz w:val="24"/>
          <w:szCs w:val="24"/>
          <w:lang w:eastAsia="es-ES"/>
        </w:rPr>
        <w:t xml:space="preserve"> </w:t>
      </w:r>
    </w:p>
    <w:p w14:paraId="1D32FBD7" w14:textId="68A98D68" w:rsidR="006220A6" w:rsidRPr="00501476" w:rsidRDefault="006220A6" w:rsidP="00501476">
      <w:pPr>
        <w:spacing w:after="0" w:line="276" w:lineRule="auto"/>
        <w:jc w:val="both"/>
        <w:rPr>
          <w:rFonts w:ascii="Gadugi" w:eastAsia="Times New Roman" w:hAnsi="Gadugi" w:cs="Arial"/>
          <w:sz w:val="24"/>
          <w:szCs w:val="24"/>
          <w:lang w:eastAsia="es-ES"/>
        </w:rPr>
      </w:pPr>
    </w:p>
    <w:p w14:paraId="1299C43A" w14:textId="6A346383" w:rsidR="009206E7" w:rsidRPr="00501476" w:rsidRDefault="006220A6" w:rsidP="00501476">
      <w:pPr>
        <w:spacing w:after="0" w:line="276" w:lineRule="auto"/>
        <w:jc w:val="both"/>
        <w:rPr>
          <w:rFonts w:ascii="Gadugi" w:hAnsi="Gadugi"/>
          <w:sz w:val="24"/>
          <w:szCs w:val="24"/>
        </w:rPr>
      </w:pP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Pr="00501476">
        <w:rPr>
          <w:rFonts w:ascii="Gadugi" w:eastAsia="Times New Roman" w:hAnsi="Gadugi" w:cs="Arial"/>
          <w:sz w:val="24"/>
          <w:szCs w:val="24"/>
          <w:lang w:eastAsia="es-ES"/>
        </w:rPr>
        <w:tab/>
      </w:r>
      <w:r w:rsidR="00C5077E" w:rsidRPr="00501476">
        <w:rPr>
          <w:rFonts w:ascii="Gadugi" w:eastAsia="Times New Roman" w:hAnsi="Gadugi" w:cs="Arial"/>
          <w:sz w:val="24"/>
          <w:szCs w:val="24"/>
          <w:lang w:eastAsia="es-ES"/>
        </w:rPr>
        <w:t xml:space="preserve"> </w:t>
      </w:r>
      <w:r w:rsidR="00B50F51" w:rsidRPr="00501476">
        <w:rPr>
          <w:rFonts w:ascii="Gadugi" w:hAnsi="Gadugi" w:cs="Arial"/>
          <w:bCs/>
          <w:sz w:val="24"/>
          <w:szCs w:val="24"/>
          <w:lang w:val="es-419"/>
        </w:rPr>
        <w:t>Se satisface l</w:t>
      </w:r>
      <w:r w:rsidR="00B50F51" w:rsidRPr="00501476">
        <w:rPr>
          <w:rFonts w:ascii="Gadugi" w:hAnsi="Gadugi" w:cs="Arial"/>
          <w:sz w:val="24"/>
          <w:szCs w:val="24"/>
        </w:rPr>
        <w:t>a subsidiariedad, porque la</w:t>
      </w:r>
      <w:r w:rsidR="00B50F51" w:rsidRPr="00501476">
        <w:rPr>
          <w:rFonts w:ascii="Gadugi" w:hAnsi="Gadugi"/>
          <w:sz w:val="24"/>
          <w:szCs w:val="24"/>
        </w:rPr>
        <w:t xml:space="preserve"> accionante no cuenta con otro medio de defensa judicial eficaz para procurar la protección de su derecho a la salud.</w:t>
      </w:r>
    </w:p>
    <w:p w14:paraId="76DA756C" w14:textId="46DFC7B8" w:rsidR="00B50F51" w:rsidRPr="00501476" w:rsidRDefault="00B50F51" w:rsidP="00501476">
      <w:pPr>
        <w:spacing w:after="0" w:line="276" w:lineRule="auto"/>
        <w:jc w:val="both"/>
        <w:rPr>
          <w:rFonts w:ascii="Gadugi" w:eastAsia="Times New Roman" w:hAnsi="Gadugi" w:cs="Arial"/>
          <w:bCs/>
          <w:sz w:val="24"/>
          <w:szCs w:val="24"/>
          <w:lang w:eastAsia="es-ES"/>
        </w:rPr>
      </w:pPr>
      <w:r w:rsidRPr="00501476">
        <w:rPr>
          <w:rFonts w:ascii="Gadugi" w:eastAsia="Times New Roman" w:hAnsi="Gadugi" w:cs="Arial"/>
          <w:bCs/>
          <w:sz w:val="24"/>
          <w:szCs w:val="24"/>
          <w:lang w:eastAsia="es-ES"/>
        </w:rPr>
        <w:tab/>
      </w:r>
      <w:r w:rsidRPr="00501476">
        <w:rPr>
          <w:rFonts w:ascii="Gadugi" w:eastAsia="Times New Roman" w:hAnsi="Gadugi" w:cs="Arial"/>
          <w:bCs/>
          <w:sz w:val="24"/>
          <w:szCs w:val="24"/>
          <w:lang w:eastAsia="es-ES"/>
        </w:rPr>
        <w:tab/>
      </w:r>
    </w:p>
    <w:p w14:paraId="5C952461" w14:textId="1F3859E8" w:rsidR="00EE0517" w:rsidRPr="00501476" w:rsidRDefault="003215AE" w:rsidP="00501476">
      <w:pPr>
        <w:spacing w:after="0" w:line="276" w:lineRule="auto"/>
        <w:jc w:val="both"/>
        <w:rPr>
          <w:rFonts w:ascii="Gadugi" w:hAnsi="Gadugi"/>
          <w:sz w:val="24"/>
          <w:szCs w:val="24"/>
        </w:rPr>
      </w:pPr>
      <w:r w:rsidRPr="00501476">
        <w:rPr>
          <w:rFonts w:ascii="Gadugi" w:eastAsia="Times New Roman" w:hAnsi="Gadugi" w:cs="Arial"/>
          <w:bCs/>
          <w:sz w:val="24"/>
          <w:szCs w:val="24"/>
          <w:lang w:eastAsia="es-ES"/>
        </w:rPr>
        <w:t xml:space="preserve">   </w:t>
      </w:r>
      <w:r w:rsidRPr="00501476">
        <w:rPr>
          <w:rFonts w:ascii="Gadugi" w:eastAsia="Times New Roman" w:hAnsi="Gadugi" w:cs="Arial"/>
          <w:bCs/>
          <w:sz w:val="24"/>
          <w:szCs w:val="24"/>
          <w:lang w:eastAsia="es-ES"/>
        </w:rPr>
        <w:tab/>
      </w:r>
      <w:r w:rsidRPr="00501476">
        <w:rPr>
          <w:rFonts w:ascii="Gadugi" w:eastAsia="Times New Roman" w:hAnsi="Gadugi" w:cs="Arial"/>
          <w:bCs/>
          <w:sz w:val="24"/>
          <w:szCs w:val="24"/>
          <w:lang w:eastAsia="es-ES"/>
        </w:rPr>
        <w:tab/>
      </w:r>
      <w:r w:rsidRPr="00501476">
        <w:rPr>
          <w:rFonts w:ascii="Gadugi" w:eastAsia="Times New Roman" w:hAnsi="Gadugi" w:cs="Arial"/>
          <w:bCs/>
          <w:sz w:val="24"/>
          <w:szCs w:val="24"/>
          <w:lang w:eastAsia="es-ES"/>
        </w:rPr>
        <w:tab/>
      </w:r>
      <w:r w:rsidRPr="00501476">
        <w:rPr>
          <w:rFonts w:ascii="Gadugi" w:eastAsia="Times New Roman" w:hAnsi="Gadugi" w:cs="Arial"/>
          <w:bCs/>
          <w:sz w:val="24"/>
          <w:szCs w:val="24"/>
          <w:lang w:eastAsia="es-ES"/>
        </w:rPr>
        <w:tab/>
      </w:r>
      <w:r w:rsidR="00C5077E" w:rsidRPr="00501476">
        <w:rPr>
          <w:rFonts w:ascii="Gadugi" w:eastAsia="Times New Roman" w:hAnsi="Gadugi" w:cs="Arial"/>
          <w:bCs/>
          <w:sz w:val="24"/>
          <w:szCs w:val="24"/>
          <w:lang w:eastAsia="es-ES"/>
        </w:rPr>
        <w:t>Ahora bien, s</w:t>
      </w:r>
      <w:r w:rsidRPr="00501476">
        <w:rPr>
          <w:rFonts w:ascii="Gadugi" w:eastAsia="Times New Roman" w:hAnsi="Gadugi" w:cs="Arial"/>
          <w:bCs/>
          <w:sz w:val="24"/>
          <w:szCs w:val="24"/>
          <w:lang w:eastAsia="es-ES"/>
        </w:rPr>
        <w:t>e</w:t>
      </w:r>
      <w:r w:rsidRPr="00501476">
        <w:rPr>
          <w:rFonts w:ascii="Gadugi" w:eastAsia="Times New Roman" w:hAnsi="Gadugi"/>
          <w:sz w:val="24"/>
          <w:szCs w:val="24"/>
          <w:lang w:val="es-ES" w:eastAsia="es-ES"/>
        </w:rPr>
        <w:t xml:space="preserve"> sabe que </w:t>
      </w:r>
      <w:r w:rsidR="00B50F51" w:rsidRPr="00501476">
        <w:rPr>
          <w:rFonts w:ascii="Gadugi" w:eastAsia="Times New Roman" w:hAnsi="Gadugi"/>
          <w:sz w:val="24"/>
          <w:szCs w:val="24"/>
          <w:lang w:val="es-ES" w:eastAsia="es-ES"/>
        </w:rPr>
        <w:t>tal prerrogativa</w:t>
      </w:r>
      <w:r w:rsidRPr="00501476">
        <w:rPr>
          <w:rFonts w:ascii="Gadugi" w:eastAsia="Times New Roman" w:hAnsi="Gadugi"/>
          <w:sz w:val="24"/>
          <w:szCs w:val="24"/>
          <w:lang w:eastAsia="es-ES"/>
        </w:rPr>
        <w:t>,</w:t>
      </w:r>
      <w:r w:rsidRPr="00501476">
        <w:rPr>
          <w:rFonts w:ascii="Gadugi" w:eastAsia="Times New Roman" w:hAnsi="Gadugi"/>
          <w:sz w:val="24"/>
          <w:szCs w:val="24"/>
          <w:lang w:val="es-ES" w:eastAsia="es-ES"/>
        </w:rPr>
        <w:t xml:space="preserve"> según lo viene precisando de antaño la máxima corporación constitucional</w:t>
      </w:r>
      <w:r w:rsidRPr="00501476">
        <w:rPr>
          <w:rFonts w:ascii="Gadugi" w:eastAsia="Times New Roman" w:hAnsi="Gadugi"/>
          <w:sz w:val="24"/>
          <w:szCs w:val="24"/>
          <w:vertAlign w:val="superscript"/>
          <w:lang w:val="es-ES" w:eastAsia="es-ES"/>
        </w:rPr>
        <w:footnoteReference w:id="8"/>
      </w:r>
      <w:r w:rsidRPr="00501476">
        <w:rPr>
          <w:rFonts w:ascii="Gadugi" w:eastAsia="Times New Roman" w:hAnsi="Gadugi"/>
          <w:sz w:val="24"/>
          <w:szCs w:val="24"/>
          <w:lang w:val="es-ES" w:eastAsia="es-ES"/>
        </w:rPr>
        <w:t>, y así lo reconoce el artículo 2° de la Ley 1751 de 2015.</w:t>
      </w:r>
      <w:r w:rsidR="00B50F51" w:rsidRPr="00501476">
        <w:rPr>
          <w:rFonts w:ascii="Gadugi" w:eastAsia="Times New Roman" w:hAnsi="Gadugi"/>
          <w:sz w:val="24"/>
          <w:szCs w:val="24"/>
          <w:lang w:val="es-ES" w:eastAsia="es-ES"/>
        </w:rPr>
        <w:t xml:space="preserve"> Además, en esa misma normativa </w:t>
      </w:r>
      <w:r w:rsidR="00EE0517" w:rsidRPr="00501476">
        <w:rPr>
          <w:rFonts w:ascii="Gadugi" w:hAnsi="Gadugi" w:cs="Arial"/>
          <w:sz w:val="24"/>
          <w:szCs w:val="24"/>
        </w:rPr>
        <w:t xml:space="preserve">viene estructurado el concepto de integralidad en salud, </w:t>
      </w:r>
      <w:r w:rsidR="00B50F51" w:rsidRPr="00501476">
        <w:rPr>
          <w:rFonts w:ascii="Gadugi" w:hAnsi="Gadugi" w:cs="Arial"/>
          <w:sz w:val="24"/>
          <w:szCs w:val="24"/>
        </w:rPr>
        <w:t xml:space="preserve">que atañe con </w:t>
      </w:r>
      <w:r w:rsidR="00EE0517" w:rsidRPr="00501476">
        <w:rPr>
          <w:rFonts w:ascii="Gadugi" w:hAnsi="Gadugi" w:cs="Arial"/>
          <w:sz w:val="24"/>
          <w:szCs w:val="24"/>
        </w:rPr>
        <w:t xml:space="preserve">la importancia de la promoción, prevención, paliación y atención de las enfermedades, así como de la rehabilitación de sus secuelas (art. 15), incluso ya no contempla, salvo algunas exclusiones ajenas al caso de ahora, distinciones en la atención debida a los usuarios dentro de algún plan obligatorio de salud. </w:t>
      </w:r>
    </w:p>
    <w:p w14:paraId="4DDBEF00" w14:textId="3DD3DC9F" w:rsidR="00821DC7" w:rsidRPr="00501476" w:rsidRDefault="00821DC7" w:rsidP="00501476">
      <w:pPr>
        <w:spacing w:after="0" w:line="276" w:lineRule="auto"/>
        <w:jc w:val="both"/>
        <w:rPr>
          <w:rFonts w:ascii="Gadugi" w:eastAsia="Times New Roman" w:hAnsi="Gadugi"/>
          <w:sz w:val="24"/>
          <w:szCs w:val="24"/>
          <w:lang w:eastAsia="es-ES"/>
        </w:rPr>
      </w:pPr>
    </w:p>
    <w:p w14:paraId="03C38320" w14:textId="6D07F920" w:rsidR="00EE0517" w:rsidRPr="00501476" w:rsidRDefault="00EE0517" w:rsidP="00501476">
      <w:pPr>
        <w:spacing w:after="0" w:line="276" w:lineRule="auto"/>
        <w:jc w:val="both"/>
        <w:rPr>
          <w:rFonts w:ascii="Gadugi" w:eastAsia="Times New Roman" w:hAnsi="Gadugi"/>
          <w:sz w:val="24"/>
          <w:szCs w:val="24"/>
          <w:lang w:eastAsia="es-ES"/>
        </w:rPr>
      </w:pPr>
      <w:r w:rsidRPr="00501476">
        <w:rPr>
          <w:rFonts w:ascii="Gadugi" w:eastAsia="Times New Roman" w:hAnsi="Gadugi"/>
          <w:sz w:val="24"/>
          <w:szCs w:val="24"/>
          <w:lang w:eastAsia="es-ES"/>
        </w:rPr>
        <w:tab/>
      </w:r>
      <w:r w:rsidRPr="00501476">
        <w:rPr>
          <w:rFonts w:ascii="Gadugi" w:eastAsia="Times New Roman" w:hAnsi="Gadugi"/>
          <w:sz w:val="24"/>
          <w:szCs w:val="24"/>
          <w:lang w:eastAsia="es-ES"/>
        </w:rPr>
        <w:tab/>
      </w:r>
      <w:r w:rsidRPr="00501476">
        <w:rPr>
          <w:rFonts w:ascii="Gadugi" w:eastAsia="Times New Roman" w:hAnsi="Gadugi"/>
          <w:sz w:val="24"/>
          <w:szCs w:val="24"/>
          <w:lang w:eastAsia="es-ES"/>
        </w:rPr>
        <w:tab/>
      </w:r>
      <w:r w:rsidRPr="00501476">
        <w:rPr>
          <w:rFonts w:ascii="Gadugi" w:eastAsia="Times New Roman" w:hAnsi="Gadugi"/>
          <w:sz w:val="24"/>
          <w:szCs w:val="24"/>
          <w:lang w:eastAsia="es-ES"/>
        </w:rPr>
        <w:tab/>
      </w:r>
      <w:bookmarkStart w:id="2" w:name="_Hlk92786551"/>
      <w:r w:rsidRPr="00501476">
        <w:rPr>
          <w:rFonts w:ascii="Gadugi" w:eastAsia="Times New Roman" w:hAnsi="Gadugi"/>
          <w:sz w:val="24"/>
          <w:szCs w:val="24"/>
          <w:lang w:eastAsia="es-ES"/>
        </w:rPr>
        <w:t xml:space="preserve">En lo que </w:t>
      </w:r>
      <w:r w:rsidR="00B50F51" w:rsidRPr="00501476">
        <w:rPr>
          <w:rFonts w:ascii="Gadugi" w:eastAsia="Times New Roman" w:hAnsi="Gadugi"/>
          <w:sz w:val="24"/>
          <w:szCs w:val="24"/>
          <w:lang w:eastAsia="es-ES"/>
        </w:rPr>
        <w:t>se refiere</w:t>
      </w:r>
      <w:r w:rsidRPr="00501476">
        <w:rPr>
          <w:rFonts w:ascii="Gadugi" w:eastAsia="Times New Roman" w:hAnsi="Gadugi"/>
          <w:sz w:val="24"/>
          <w:szCs w:val="24"/>
          <w:lang w:eastAsia="es-ES"/>
        </w:rPr>
        <w:t xml:space="preserve"> </w:t>
      </w:r>
      <w:r w:rsidR="00B50F51" w:rsidRPr="00501476">
        <w:rPr>
          <w:rFonts w:ascii="Gadugi" w:eastAsia="Times New Roman" w:hAnsi="Gadugi"/>
          <w:sz w:val="24"/>
          <w:szCs w:val="24"/>
          <w:lang w:eastAsia="es-ES"/>
        </w:rPr>
        <w:t>a</w:t>
      </w:r>
      <w:r w:rsidRPr="00501476">
        <w:rPr>
          <w:rFonts w:ascii="Gadugi" w:eastAsia="Times New Roman" w:hAnsi="Gadugi"/>
          <w:sz w:val="24"/>
          <w:szCs w:val="24"/>
          <w:lang w:eastAsia="es-ES"/>
        </w:rPr>
        <w:t xml:space="preserve"> la especial atención que deben recibir los pacientes que padecen insuficiencia renal crónica, la Corte Constitucional ha explicado que</w:t>
      </w:r>
      <w:r w:rsidR="00E463B7" w:rsidRPr="00501476">
        <w:rPr>
          <w:rStyle w:val="Refdenotaalpie"/>
          <w:rFonts w:ascii="Gadugi" w:eastAsia="Times New Roman" w:hAnsi="Gadugi"/>
          <w:sz w:val="24"/>
          <w:szCs w:val="24"/>
          <w:lang w:eastAsia="es-ES"/>
        </w:rPr>
        <w:footnoteReference w:id="9"/>
      </w:r>
      <w:r w:rsidRPr="00501476">
        <w:rPr>
          <w:rFonts w:ascii="Gadugi" w:eastAsia="Times New Roman" w:hAnsi="Gadugi"/>
          <w:sz w:val="24"/>
          <w:szCs w:val="24"/>
          <w:lang w:eastAsia="es-ES"/>
        </w:rPr>
        <w:t>:</w:t>
      </w:r>
    </w:p>
    <w:bookmarkEnd w:id="2"/>
    <w:p w14:paraId="23598F1C" w14:textId="41997DB1" w:rsidR="00EE0517" w:rsidRPr="00501476" w:rsidRDefault="00EE0517" w:rsidP="00501476">
      <w:pPr>
        <w:spacing w:after="0" w:line="276" w:lineRule="auto"/>
        <w:jc w:val="both"/>
        <w:rPr>
          <w:rFonts w:ascii="Gadugi" w:eastAsia="Times New Roman" w:hAnsi="Gadugi"/>
          <w:sz w:val="24"/>
          <w:szCs w:val="24"/>
          <w:lang w:eastAsia="es-ES"/>
        </w:rPr>
      </w:pPr>
    </w:p>
    <w:p w14:paraId="3877C7F1" w14:textId="1BC98681" w:rsidR="00EE0517" w:rsidRPr="00501476" w:rsidRDefault="00EE0517" w:rsidP="00501476">
      <w:pPr>
        <w:spacing w:after="0" w:line="240" w:lineRule="auto"/>
        <w:ind w:left="426" w:right="420"/>
        <w:jc w:val="both"/>
        <w:rPr>
          <w:rFonts w:ascii="Gadugi" w:hAnsi="Gadugi"/>
          <w:b/>
          <w:bCs/>
          <w:szCs w:val="24"/>
          <w:shd w:val="clear" w:color="auto" w:fill="FFFFFF"/>
        </w:rPr>
      </w:pP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hAnsi="Gadugi"/>
          <w:b/>
          <w:bCs/>
          <w:szCs w:val="24"/>
          <w:shd w:val="clear" w:color="auto" w:fill="FFFFFF"/>
        </w:rPr>
        <w:t>La insuficiencia renal crónica es una enfermedad catastrófica. Obligaciones de los actores del Sistema General de Seguridad Social en Salud frente a su prevención, diagnóstico y tratamiento. Marco normativo y jurisprudencial.</w:t>
      </w:r>
    </w:p>
    <w:p w14:paraId="1D39C7CD" w14:textId="4CB2BB25" w:rsidR="00EE0517" w:rsidRPr="00501476" w:rsidRDefault="00EE0517" w:rsidP="00501476">
      <w:pPr>
        <w:spacing w:after="0" w:line="240" w:lineRule="auto"/>
        <w:ind w:left="426" w:right="420"/>
        <w:jc w:val="both"/>
        <w:rPr>
          <w:rFonts w:ascii="Gadugi" w:hAnsi="Gadugi"/>
          <w:b/>
          <w:bCs/>
          <w:szCs w:val="24"/>
          <w:shd w:val="clear" w:color="auto" w:fill="FFFFFF"/>
        </w:rPr>
      </w:pPr>
    </w:p>
    <w:p w14:paraId="7FC252B4" w14:textId="122E0A1A" w:rsidR="00EE0517" w:rsidRPr="00501476" w:rsidRDefault="00EE0517" w:rsidP="00501476">
      <w:pPr>
        <w:spacing w:after="0" w:line="240" w:lineRule="auto"/>
        <w:ind w:left="426" w:right="420"/>
        <w:jc w:val="both"/>
        <w:rPr>
          <w:rFonts w:ascii="Gadugi" w:hAnsi="Gadugi"/>
          <w:bCs/>
          <w:szCs w:val="24"/>
          <w:shd w:val="clear" w:color="auto" w:fill="FFFFFF"/>
        </w:rPr>
      </w:pPr>
      <w:r w:rsidRPr="00501476">
        <w:rPr>
          <w:rFonts w:ascii="Gadugi" w:hAnsi="Gadugi"/>
          <w:b/>
          <w:bCs/>
          <w:szCs w:val="24"/>
          <w:shd w:val="clear" w:color="auto" w:fill="FFFFFF"/>
        </w:rPr>
        <w:tab/>
      </w:r>
      <w:r w:rsidRPr="00501476">
        <w:rPr>
          <w:rFonts w:ascii="Gadugi" w:hAnsi="Gadugi"/>
          <w:b/>
          <w:bCs/>
          <w:szCs w:val="24"/>
          <w:shd w:val="clear" w:color="auto" w:fill="FFFFFF"/>
        </w:rPr>
        <w:tab/>
      </w:r>
      <w:r w:rsidRPr="00501476">
        <w:rPr>
          <w:rFonts w:ascii="Gadugi" w:hAnsi="Gadugi"/>
          <w:b/>
          <w:bCs/>
          <w:szCs w:val="24"/>
          <w:shd w:val="clear" w:color="auto" w:fill="FFFFFF"/>
        </w:rPr>
        <w:tab/>
      </w:r>
      <w:r w:rsidRPr="00501476">
        <w:rPr>
          <w:rFonts w:ascii="Gadugi" w:hAnsi="Gadugi"/>
          <w:bCs/>
          <w:szCs w:val="24"/>
          <w:shd w:val="clear" w:color="auto" w:fill="FFFFFF"/>
        </w:rPr>
        <w:tab/>
        <w:t>(…)</w:t>
      </w:r>
    </w:p>
    <w:p w14:paraId="0B4649C3" w14:textId="228867CD" w:rsidR="00EE0517" w:rsidRPr="00501476" w:rsidRDefault="00EE0517" w:rsidP="00501476">
      <w:pPr>
        <w:spacing w:after="0" w:line="240" w:lineRule="auto"/>
        <w:ind w:left="426" w:right="420"/>
        <w:jc w:val="both"/>
        <w:rPr>
          <w:rFonts w:ascii="Gadugi" w:hAnsi="Gadugi"/>
          <w:b/>
          <w:bCs/>
          <w:szCs w:val="24"/>
          <w:shd w:val="clear" w:color="auto" w:fill="FFFFFF"/>
        </w:rPr>
      </w:pPr>
    </w:p>
    <w:p w14:paraId="6FA390D5" w14:textId="77777777" w:rsidR="00EE0517" w:rsidRPr="00501476" w:rsidRDefault="00EE0517" w:rsidP="00501476">
      <w:pPr>
        <w:shd w:val="clear" w:color="auto" w:fill="FFFFFF"/>
        <w:spacing w:line="240" w:lineRule="auto"/>
        <w:ind w:left="426" w:right="420"/>
        <w:jc w:val="both"/>
        <w:rPr>
          <w:rFonts w:ascii="Gadugi" w:eastAsia="Times New Roman" w:hAnsi="Gadugi"/>
          <w:szCs w:val="24"/>
          <w:lang w:val="es-MX"/>
        </w:rPr>
      </w:pPr>
      <w:r w:rsidRPr="00501476">
        <w:rPr>
          <w:rFonts w:ascii="Gadugi" w:hAnsi="Gadugi"/>
          <w:b/>
          <w:bCs/>
          <w:szCs w:val="24"/>
          <w:shd w:val="clear" w:color="auto" w:fill="FFFFFF"/>
        </w:rPr>
        <w:tab/>
      </w:r>
      <w:r w:rsidRPr="00501476">
        <w:rPr>
          <w:rFonts w:ascii="Gadugi" w:hAnsi="Gadugi"/>
          <w:b/>
          <w:bCs/>
          <w:szCs w:val="24"/>
          <w:shd w:val="clear" w:color="auto" w:fill="FFFFFF"/>
        </w:rPr>
        <w:tab/>
      </w:r>
      <w:r w:rsidRPr="00501476">
        <w:rPr>
          <w:rFonts w:ascii="Gadugi" w:hAnsi="Gadugi"/>
          <w:b/>
          <w:bCs/>
          <w:szCs w:val="24"/>
          <w:shd w:val="clear" w:color="auto" w:fill="FFFFFF"/>
        </w:rPr>
        <w:tab/>
      </w:r>
      <w:r w:rsidRPr="00501476">
        <w:rPr>
          <w:rFonts w:ascii="Gadugi" w:hAnsi="Gadugi"/>
          <w:b/>
          <w:bCs/>
          <w:szCs w:val="24"/>
          <w:shd w:val="clear" w:color="auto" w:fill="FFFFFF"/>
        </w:rPr>
        <w:tab/>
      </w:r>
      <w:r w:rsidRPr="00501476">
        <w:rPr>
          <w:rFonts w:ascii="Gadugi" w:eastAsia="Times New Roman" w:hAnsi="Gadugi"/>
          <w:i/>
          <w:iCs/>
          <w:szCs w:val="24"/>
          <w:lang w:val="es-MX"/>
        </w:rPr>
        <w:t>b) </w:t>
      </w:r>
      <w:r w:rsidRPr="00501476">
        <w:rPr>
          <w:rFonts w:ascii="Gadugi" w:eastAsia="Times New Roman" w:hAnsi="Gadugi"/>
          <w:i/>
          <w:iCs/>
          <w:szCs w:val="24"/>
          <w:shd w:val="clear" w:color="auto" w:fill="FFFFFF"/>
          <w:lang w:val="es-MX"/>
        </w:rPr>
        <w:t>Obligaciones de los actores del Sistema General de Seguridad Social en Salud frente a la prevención, diagnóstico y tratamiento de la enfermedad renal crónica.</w:t>
      </w:r>
    </w:p>
    <w:p w14:paraId="7AB9FB69" w14:textId="210EA640" w:rsidR="00EE0517" w:rsidRPr="00501476" w:rsidRDefault="00EE0517" w:rsidP="00501476">
      <w:pPr>
        <w:shd w:val="clear" w:color="auto" w:fill="FFFFFF"/>
        <w:spacing w:after="0" w:line="240" w:lineRule="auto"/>
        <w:ind w:left="426" w:right="420"/>
        <w:jc w:val="both"/>
        <w:rPr>
          <w:rFonts w:ascii="Gadugi" w:eastAsia="Times New Roman" w:hAnsi="Gadugi"/>
          <w:szCs w:val="24"/>
          <w:lang w:val="es-MX"/>
        </w:rPr>
      </w:pPr>
      <w:r w:rsidRPr="00501476">
        <w:rPr>
          <w:rFonts w:ascii="Gadugi" w:eastAsia="Times New Roman" w:hAnsi="Gadugi"/>
          <w:i/>
          <w:iCs/>
          <w:szCs w:val="24"/>
          <w:shd w:val="clear" w:color="auto" w:fill="FFFFFF"/>
          <w:lang w:val="es-MX"/>
        </w:rPr>
        <w:t> </w:t>
      </w:r>
      <w:r w:rsidRPr="00501476">
        <w:rPr>
          <w:rFonts w:ascii="Gadugi" w:eastAsia="Times New Roman" w:hAnsi="Gadugi"/>
          <w:i/>
          <w:iCs/>
          <w:szCs w:val="24"/>
          <w:shd w:val="clear" w:color="auto" w:fill="FFFFFF"/>
          <w:lang w:val="es-MX"/>
        </w:rPr>
        <w:tab/>
      </w:r>
      <w:r w:rsidRPr="00501476">
        <w:rPr>
          <w:rFonts w:ascii="Gadugi" w:eastAsia="Times New Roman" w:hAnsi="Gadugi"/>
          <w:i/>
          <w:iCs/>
          <w:szCs w:val="24"/>
          <w:shd w:val="clear" w:color="auto" w:fill="FFFFFF"/>
          <w:lang w:val="es-MX"/>
        </w:rPr>
        <w:tab/>
      </w:r>
      <w:r w:rsidRPr="00501476">
        <w:rPr>
          <w:rFonts w:ascii="Gadugi" w:eastAsia="Times New Roman" w:hAnsi="Gadugi"/>
          <w:i/>
          <w:iCs/>
          <w:szCs w:val="24"/>
          <w:shd w:val="clear" w:color="auto" w:fill="FFFFFF"/>
          <w:lang w:val="es-MX"/>
        </w:rPr>
        <w:tab/>
      </w:r>
      <w:r w:rsidRPr="00501476">
        <w:rPr>
          <w:rFonts w:ascii="Gadugi" w:eastAsia="Times New Roman" w:hAnsi="Gadugi"/>
          <w:i/>
          <w:iCs/>
          <w:szCs w:val="24"/>
          <w:shd w:val="clear" w:color="auto" w:fill="FFFFFF"/>
          <w:lang w:val="es-MX"/>
        </w:rPr>
        <w:tab/>
      </w:r>
      <w:r w:rsidRPr="00501476">
        <w:rPr>
          <w:rFonts w:ascii="Gadugi" w:eastAsia="Times New Roman" w:hAnsi="Gadugi"/>
          <w:szCs w:val="24"/>
          <w:shd w:val="clear" w:color="auto" w:fill="FFFFFF"/>
          <w:lang w:val="es-MX"/>
        </w:rPr>
        <w:t xml:space="preserve">20. Un primer referente a la hora de identificar las obligaciones de los actores del SGSSS de cara a la prevención, diagnóstico y tratamiento de la enfermedad renal crónica es, entonces, el contemplado en la Ley 972 de 2005. Esta, como se dijo, compromete a las entidades del SGSSS con la asistencia de laboratorio, médica u hospitalaria de los pacientes de enfermedades crónicas en los términos previstos en el plan obligatorio de salud, </w:t>
      </w:r>
      <w:r w:rsidRPr="00501476">
        <w:rPr>
          <w:rFonts w:ascii="Gadugi" w:eastAsia="Times New Roman" w:hAnsi="Gadugi"/>
          <w:b/>
          <w:szCs w:val="24"/>
          <w:shd w:val="clear" w:color="auto" w:fill="FFFFFF"/>
          <w:lang w:val="es-MX"/>
        </w:rPr>
        <w:t>advierte que dicha asistencia no puede negarse </w:t>
      </w:r>
      <w:r w:rsidRPr="00501476">
        <w:rPr>
          <w:rFonts w:ascii="Gadugi" w:eastAsia="Times New Roman" w:hAnsi="Gadugi"/>
          <w:b/>
          <w:i/>
          <w:iCs/>
          <w:szCs w:val="24"/>
          <w:shd w:val="clear" w:color="auto" w:fill="FFFFFF"/>
          <w:lang w:val="es-MX"/>
        </w:rPr>
        <w:t>“bajo ningún pretexto”</w:t>
      </w:r>
      <w:r w:rsidRPr="00501476">
        <w:rPr>
          <w:rFonts w:ascii="Gadugi" w:eastAsia="Times New Roman" w:hAnsi="Gadugi"/>
          <w:b/>
          <w:szCs w:val="24"/>
          <w:shd w:val="clear" w:color="auto" w:fill="FFFFFF"/>
          <w:lang w:val="es-MX"/>
        </w:rPr>
        <w:t> y precisa que la atención de estos pacientes, asegurados o no, es obligatoria</w:t>
      </w:r>
      <w:r w:rsidRPr="00501476">
        <w:rPr>
          <w:rFonts w:ascii="Gadugi" w:eastAsia="Times New Roman" w:hAnsi="Gadugi"/>
          <w:szCs w:val="24"/>
          <w:shd w:val="clear" w:color="auto" w:fill="FFFFFF"/>
          <w:lang w:val="es-MX"/>
        </w:rPr>
        <w:t>. Además, indica que la inobservancia de esas sanciones puede dar lugar a la imposición de multas por parte de la Superintendencia de Salud, que proceden con independencia de las acciones civiles y penales a que pueda haber lugar con ocasión de dicho incumplimiento.</w:t>
      </w:r>
    </w:p>
    <w:p w14:paraId="6602F285" w14:textId="0748FFAC" w:rsidR="00EE0517" w:rsidRPr="00501476" w:rsidRDefault="00EE0517" w:rsidP="00501476">
      <w:pPr>
        <w:spacing w:after="0" w:line="240" w:lineRule="auto"/>
        <w:ind w:left="426" w:right="420"/>
        <w:jc w:val="both"/>
        <w:rPr>
          <w:rFonts w:ascii="Gadugi" w:eastAsia="Times New Roman" w:hAnsi="Gadugi"/>
          <w:szCs w:val="24"/>
          <w:lang w:eastAsia="es-ES"/>
        </w:rPr>
      </w:pPr>
    </w:p>
    <w:p w14:paraId="16852E59" w14:textId="1FE69697" w:rsidR="00E463B7" w:rsidRPr="00501476" w:rsidRDefault="00E463B7" w:rsidP="00501476">
      <w:pPr>
        <w:spacing w:after="0" w:line="240" w:lineRule="auto"/>
        <w:ind w:left="426" w:right="420"/>
        <w:jc w:val="both"/>
        <w:rPr>
          <w:rFonts w:ascii="Gadugi" w:eastAsia="Times New Roman" w:hAnsi="Gadugi"/>
          <w:szCs w:val="24"/>
          <w:lang w:eastAsia="es-ES"/>
        </w:rPr>
      </w:pP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eastAsia="Times New Roman" w:hAnsi="Gadugi"/>
          <w:szCs w:val="24"/>
          <w:lang w:eastAsia="es-ES"/>
        </w:rPr>
        <w:tab/>
        <w:t>(…)</w:t>
      </w:r>
    </w:p>
    <w:p w14:paraId="546A2637" w14:textId="77777777" w:rsidR="00E463B7" w:rsidRPr="00501476" w:rsidRDefault="00E463B7" w:rsidP="00501476">
      <w:pPr>
        <w:spacing w:after="0" w:line="240" w:lineRule="auto"/>
        <w:ind w:left="426" w:right="420"/>
        <w:jc w:val="both"/>
        <w:rPr>
          <w:rFonts w:ascii="Gadugi" w:eastAsia="Times New Roman" w:hAnsi="Gadugi"/>
          <w:szCs w:val="24"/>
          <w:lang w:eastAsia="es-ES"/>
        </w:rPr>
      </w:pPr>
    </w:p>
    <w:p w14:paraId="4A32A3C0" w14:textId="712E081D" w:rsidR="00E463B7" w:rsidRPr="00501476" w:rsidRDefault="00E463B7" w:rsidP="00501476">
      <w:pPr>
        <w:spacing w:after="0" w:line="240" w:lineRule="auto"/>
        <w:ind w:left="426" w:right="420"/>
        <w:jc w:val="both"/>
        <w:rPr>
          <w:rFonts w:ascii="Gadugi" w:eastAsia="Times New Roman" w:hAnsi="Gadugi"/>
          <w:szCs w:val="24"/>
          <w:lang w:val="es-MX"/>
        </w:rPr>
      </w:pP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eastAsia="Times New Roman" w:hAnsi="Gadugi"/>
          <w:i/>
          <w:iCs/>
          <w:szCs w:val="24"/>
          <w:shd w:val="clear" w:color="auto" w:fill="FFFFFF"/>
          <w:lang w:val="es-MX"/>
        </w:rPr>
        <w:t>c) Circunstancias que limitan la protección del derecho fundamental a la salud de los pacientes de enfermedad renal crónica. Jurisprudencia y diagnóstico.</w:t>
      </w:r>
    </w:p>
    <w:p w14:paraId="13C0E9B3" w14:textId="6C2BD866" w:rsidR="00E463B7" w:rsidRPr="00501476" w:rsidRDefault="00E463B7" w:rsidP="00501476">
      <w:pPr>
        <w:shd w:val="clear" w:color="auto" w:fill="FFFFFF"/>
        <w:spacing w:after="0" w:line="240" w:lineRule="auto"/>
        <w:ind w:left="426" w:right="420"/>
        <w:jc w:val="both"/>
        <w:rPr>
          <w:rFonts w:ascii="Gadugi" w:eastAsia="Times New Roman" w:hAnsi="Gadugi"/>
          <w:i/>
          <w:iCs/>
          <w:szCs w:val="24"/>
          <w:shd w:val="clear" w:color="auto" w:fill="FFFFFF"/>
          <w:lang w:val="es-MX"/>
        </w:rPr>
      </w:pPr>
      <w:r w:rsidRPr="00501476">
        <w:rPr>
          <w:rFonts w:ascii="Gadugi" w:eastAsia="Times New Roman" w:hAnsi="Gadugi"/>
          <w:i/>
          <w:iCs/>
          <w:szCs w:val="24"/>
          <w:shd w:val="clear" w:color="auto" w:fill="FFFFFF"/>
          <w:lang w:val="es-MX"/>
        </w:rPr>
        <w:t> </w:t>
      </w:r>
    </w:p>
    <w:p w14:paraId="6AD22F8C" w14:textId="515A466D" w:rsidR="00E463B7" w:rsidRPr="00501476" w:rsidRDefault="00E463B7" w:rsidP="00501476">
      <w:pPr>
        <w:shd w:val="clear" w:color="auto" w:fill="FFFFFF"/>
        <w:spacing w:after="0" w:line="240" w:lineRule="auto"/>
        <w:ind w:left="426" w:right="420"/>
        <w:jc w:val="both"/>
        <w:rPr>
          <w:rFonts w:ascii="Gadugi" w:eastAsia="Times New Roman" w:hAnsi="Gadugi"/>
          <w:szCs w:val="24"/>
          <w:lang w:val="es-MX"/>
        </w:rPr>
      </w:pPr>
      <w:r w:rsidRPr="00501476">
        <w:rPr>
          <w:rFonts w:ascii="Gadugi" w:eastAsia="Times New Roman" w:hAnsi="Gadugi"/>
          <w:i/>
          <w:iCs/>
          <w:szCs w:val="24"/>
          <w:shd w:val="clear" w:color="auto" w:fill="FFFFFF"/>
          <w:lang w:val="es-MX"/>
        </w:rPr>
        <w:tab/>
      </w:r>
      <w:r w:rsidRPr="00501476">
        <w:rPr>
          <w:rFonts w:ascii="Gadugi" w:eastAsia="Times New Roman" w:hAnsi="Gadugi"/>
          <w:i/>
          <w:iCs/>
          <w:szCs w:val="24"/>
          <w:shd w:val="clear" w:color="auto" w:fill="FFFFFF"/>
          <w:lang w:val="es-MX"/>
        </w:rPr>
        <w:tab/>
      </w:r>
      <w:r w:rsidRPr="00501476">
        <w:rPr>
          <w:rFonts w:ascii="Gadugi" w:eastAsia="Times New Roman" w:hAnsi="Gadugi"/>
          <w:i/>
          <w:iCs/>
          <w:szCs w:val="24"/>
          <w:shd w:val="clear" w:color="auto" w:fill="FFFFFF"/>
          <w:lang w:val="es-MX"/>
        </w:rPr>
        <w:tab/>
      </w:r>
      <w:r w:rsidRPr="00501476">
        <w:rPr>
          <w:rFonts w:ascii="Gadugi" w:eastAsia="Times New Roman" w:hAnsi="Gadugi"/>
          <w:i/>
          <w:iCs/>
          <w:szCs w:val="24"/>
          <w:shd w:val="clear" w:color="auto" w:fill="FFFFFF"/>
          <w:lang w:val="es-MX"/>
        </w:rPr>
        <w:tab/>
      </w:r>
      <w:r w:rsidRPr="00501476">
        <w:rPr>
          <w:rFonts w:ascii="Gadugi" w:eastAsia="Times New Roman" w:hAnsi="Gadugi"/>
          <w:szCs w:val="24"/>
          <w:lang w:val="es-MX"/>
        </w:rPr>
        <w:t>24. Esta corporación ha revisado varios casos relativos a la protección constitucional de las distintas facetas del derecho fundamental a la salud de personas que padecen enfermedad renal crónica.</w:t>
      </w:r>
    </w:p>
    <w:p w14:paraId="1C76FE8E" w14:textId="4857FFCF" w:rsidR="00E463B7" w:rsidRPr="00501476" w:rsidRDefault="00E463B7" w:rsidP="00501476">
      <w:pPr>
        <w:shd w:val="clear" w:color="auto" w:fill="FFFFFF"/>
        <w:spacing w:after="0" w:line="240" w:lineRule="auto"/>
        <w:ind w:left="426" w:right="420"/>
        <w:jc w:val="both"/>
        <w:rPr>
          <w:rFonts w:ascii="Gadugi" w:eastAsia="Times New Roman" w:hAnsi="Gadugi"/>
          <w:szCs w:val="24"/>
          <w:lang w:val="es-MX"/>
        </w:rPr>
      </w:pPr>
      <w:r w:rsidRPr="00501476">
        <w:rPr>
          <w:rFonts w:ascii="Gadugi" w:eastAsia="Times New Roman" w:hAnsi="Gadugi"/>
          <w:szCs w:val="24"/>
          <w:lang w:val="es-MX"/>
        </w:rPr>
        <w:t> </w:t>
      </w:r>
    </w:p>
    <w:p w14:paraId="1C104842" w14:textId="7A716773" w:rsidR="00E463B7" w:rsidRPr="00501476" w:rsidRDefault="00E463B7" w:rsidP="00501476">
      <w:pPr>
        <w:shd w:val="clear" w:color="auto" w:fill="FFFFFF"/>
        <w:spacing w:after="0" w:line="240" w:lineRule="auto"/>
        <w:ind w:left="426" w:right="420"/>
        <w:jc w:val="both"/>
        <w:rPr>
          <w:rFonts w:ascii="Gadugi" w:eastAsia="Times New Roman" w:hAnsi="Gadugi"/>
          <w:szCs w:val="24"/>
          <w:lang w:val="es-MX"/>
        </w:rPr>
      </w:pPr>
      <w:r w:rsidRPr="00501476">
        <w:rPr>
          <w:rFonts w:ascii="Gadugi" w:eastAsia="Times New Roman" w:hAnsi="Gadugi"/>
          <w:szCs w:val="24"/>
          <w:lang w:val="es-MX"/>
        </w:rPr>
        <w:tab/>
      </w:r>
      <w:r w:rsidRPr="00501476">
        <w:rPr>
          <w:rFonts w:ascii="Gadugi" w:eastAsia="Times New Roman" w:hAnsi="Gadugi"/>
          <w:szCs w:val="24"/>
          <w:lang w:val="es-MX"/>
        </w:rPr>
        <w:tab/>
      </w:r>
      <w:r w:rsidRPr="00501476">
        <w:rPr>
          <w:rFonts w:ascii="Gadugi" w:eastAsia="Times New Roman" w:hAnsi="Gadugi"/>
          <w:szCs w:val="24"/>
          <w:lang w:val="es-MX"/>
        </w:rPr>
        <w:tab/>
      </w:r>
      <w:r w:rsidRPr="00501476">
        <w:rPr>
          <w:rFonts w:ascii="Gadugi" w:eastAsia="Times New Roman" w:hAnsi="Gadugi"/>
          <w:szCs w:val="24"/>
          <w:lang w:val="es-MX"/>
        </w:rPr>
        <w:tab/>
        <w:t xml:space="preserve">Las tutelas que los pacientes o sus familiares han promovido con ese objeto han buscado, como regla general, que los jueces constitucionales impartan órdenes destinadas a garantizarles la entrega de pañales desechables, el suministro del servicio de enfermería y la entrega de los medicamentos y procedimientos prescritos por sus médicos tratantes para el tratamiento de la enfermedad. Además, la Corte ha revisado tutelas que persiguen la exoneración de copagos, </w:t>
      </w:r>
      <w:r w:rsidRPr="00501476">
        <w:rPr>
          <w:rFonts w:ascii="Gadugi" w:eastAsia="Times New Roman" w:hAnsi="Gadugi"/>
          <w:b/>
          <w:szCs w:val="24"/>
          <w:lang w:val="es-MX"/>
        </w:rPr>
        <w:t>el cubrimiento del valor del transporte del paciente entre su lugar de residencia y aquel en el que reciben sus tratamientos</w:t>
      </w:r>
      <w:r w:rsidRPr="00501476">
        <w:rPr>
          <w:rFonts w:ascii="Gadugi" w:eastAsia="Times New Roman" w:hAnsi="Gadugi"/>
          <w:szCs w:val="24"/>
          <w:lang w:val="es-MX"/>
        </w:rPr>
        <w:t xml:space="preserve"> y otras en las que se ha cuestionado la decisión de trasladar al paciente de IPS, sin consultarle al respecto.</w:t>
      </w:r>
    </w:p>
    <w:p w14:paraId="37B0C812" w14:textId="6B9AA661" w:rsidR="00E463B7" w:rsidRPr="00501476" w:rsidRDefault="00E463B7" w:rsidP="00501476">
      <w:pPr>
        <w:shd w:val="clear" w:color="auto" w:fill="FFFFFF"/>
        <w:spacing w:after="0" w:line="240" w:lineRule="auto"/>
        <w:ind w:left="426" w:right="420"/>
        <w:jc w:val="both"/>
        <w:rPr>
          <w:rFonts w:ascii="Gadugi" w:eastAsia="Times New Roman" w:hAnsi="Gadugi"/>
          <w:szCs w:val="24"/>
          <w:lang w:val="es-MX"/>
        </w:rPr>
      </w:pPr>
      <w:r w:rsidRPr="00501476">
        <w:rPr>
          <w:rFonts w:ascii="Gadugi" w:eastAsia="Times New Roman" w:hAnsi="Gadugi"/>
          <w:szCs w:val="24"/>
          <w:lang w:val="es-MX"/>
        </w:rPr>
        <w:t> </w:t>
      </w:r>
    </w:p>
    <w:p w14:paraId="13F827F1" w14:textId="10643FAC" w:rsidR="00E463B7" w:rsidRPr="00501476" w:rsidRDefault="00E463B7" w:rsidP="00501476">
      <w:pPr>
        <w:shd w:val="clear" w:color="auto" w:fill="FFFFFF"/>
        <w:spacing w:after="0" w:line="240" w:lineRule="auto"/>
        <w:ind w:left="426" w:right="420"/>
        <w:jc w:val="both"/>
        <w:rPr>
          <w:rFonts w:ascii="Gadugi" w:eastAsia="Times New Roman" w:hAnsi="Gadugi"/>
          <w:szCs w:val="24"/>
          <w:lang w:val="es-MX"/>
        </w:rPr>
      </w:pPr>
      <w:r w:rsidRPr="00501476">
        <w:rPr>
          <w:rFonts w:ascii="Gadugi" w:eastAsia="Times New Roman" w:hAnsi="Gadugi"/>
          <w:szCs w:val="24"/>
          <w:lang w:val="es-MX"/>
        </w:rPr>
        <w:tab/>
      </w:r>
      <w:r w:rsidRPr="00501476">
        <w:rPr>
          <w:rFonts w:ascii="Gadugi" w:eastAsia="Times New Roman" w:hAnsi="Gadugi"/>
          <w:szCs w:val="24"/>
          <w:lang w:val="es-MX"/>
        </w:rPr>
        <w:tab/>
      </w:r>
      <w:r w:rsidRPr="00501476">
        <w:rPr>
          <w:rFonts w:ascii="Gadugi" w:eastAsia="Times New Roman" w:hAnsi="Gadugi"/>
          <w:szCs w:val="24"/>
          <w:lang w:val="es-MX"/>
        </w:rPr>
        <w:tab/>
      </w:r>
      <w:r w:rsidRPr="00501476">
        <w:rPr>
          <w:rFonts w:ascii="Gadugi" w:eastAsia="Times New Roman" w:hAnsi="Gadugi"/>
          <w:szCs w:val="24"/>
          <w:lang w:val="es-MX"/>
        </w:rPr>
        <w:tab/>
        <w:t xml:space="preserve">25. Las salas de revisión de la Corte han resuelto cada uno de estos asuntos desde distintas perspectivas. En efecto, a pesar de que los casos examinados involucran a quienes como pacientes de una enfermedad catastrófica se han visto enfrentados a particulares circunstancias de indefensión relacionadas con su delicado estado de salud y con la manera en que la negativa o el retraso en la entrega de las prestaciones que requieren para atender sus dolencias compromete sus derechos fundamentales, las providencias que han abordado el tema no se apoyan en la aplicación de un criterio jurisprudencial unificado que dé cuenta de las implicaciones que la condición de sujetos de especial protección constitucional de </w:t>
      </w:r>
      <w:r w:rsidRPr="00501476">
        <w:rPr>
          <w:rFonts w:ascii="Gadugi" w:eastAsia="Times New Roman" w:hAnsi="Gadugi"/>
          <w:szCs w:val="24"/>
          <w:lang w:val="es-MX"/>
        </w:rPr>
        <w:lastRenderedPageBreak/>
        <w:t>estas personas tiene para efectos de la adopción de órdenes de protección que conduzcan al amparo efectivo de sus derechos.</w:t>
      </w:r>
    </w:p>
    <w:p w14:paraId="6CEBA480" w14:textId="5257A25D" w:rsidR="00E463B7" w:rsidRPr="00501476" w:rsidRDefault="00E463B7" w:rsidP="00501476">
      <w:pPr>
        <w:shd w:val="clear" w:color="auto" w:fill="FFFFFF"/>
        <w:spacing w:after="0" w:line="240" w:lineRule="auto"/>
        <w:ind w:left="426" w:right="420"/>
        <w:jc w:val="both"/>
        <w:rPr>
          <w:rFonts w:ascii="Gadugi" w:eastAsia="Times New Roman" w:hAnsi="Gadugi"/>
          <w:szCs w:val="24"/>
          <w:lang w:val="es-MX" w:eastAsia="es-ES"/>
        </w:rPr>
      </w:pPr>
      <w:r w:rsidRPr="00501476">
        <w:rPr>
          <w:rFonts w:ascii="Gadugi" w:eastAsia="Times New Roman" w:hAnsi="Gadugi"/>
          <w:szCs w:val="24"/>
          <w:lang w:val="es-MX"/>
        </w:rPr>
        <w:t> </w:t>
      </w:r>
      <w:r w:rsidRPr="00501476">
        <w:rPr>
          <w:rFonts w:ascii="Gadugi" w:eastAsia="Times New Roman" w:hAnsi="Gadugi"/>
          <w:szCs w:val="24"/>
          <w:lang w:val="es-MX"/>
        </w:rPr>
        <w:tab/>
      </w:r>
      <w:r w:rsidRPr="00501476">
        <w:rPr>
          <w:rFonts w:ascii="Gadugi" w:eastAsia="Times New Roman" w:hAnsi="Gadugi"/>
          <w:szCs w:val="24"/>
          <w:lang w:val="es-MX"/>
        </w:rPr>
        <w:tab/>
      </w:r>
      <w:r w:rsidRPr="00501476">
        <w:rPr>
          <w:rFonts w:ascii="Gadugi" w:eastAsia="Times New Roman" w:hAnsi="Gadugi"/>
          <w:szCs w:val="24"/>
          <w:lang w:val="es-MX"/>
        </w:rPr>
        <w:tab/>
      </w:r>
      <w:r w:rsidRPr="00501476">
        <w:rPr>
          <w:rFonts w:ascii="Gadugi" w:eastAsia="Times New Roman" w:hAnsi="Gadugi"/>
          <w:szCs w:val="24"/>
          <w:lang w:val="es-MX"/>
        </w:rPr>
        <w:tab/>
      </w:r>
    </w:p>
    <w:p w14:paraId="535E71A3" w14:textId="3D3582D5" w:rsidR="00E463B7" w:rsidRPr="00501476" w:rsidRDefault="00E463B7" w:rsidP="00501476">
      <w:pPr>
        <w:spacing w:after="0" w:line="240" w:lineRule="auto"/>
        <w:ind w:left="426" w:right="420"/>
        <w:jc w:val="both"/>
        <w:rPr>
          <w:rFonts w:ascii="Gadugi" w:eastAsia="Times New Roman" w:hAnsi="Gadugi"/>
          <w:szCs w:val="24"/>
          <w:lang w:val="es-MX" w:eastAsia="es-ES"/>
        </w:rPr>
      </w:pPr>
      <w:r w:rsidRPr="00501476">
        <w:rPr>
          <w:rFonts w:ascii="Gadugi" w:eastAsia="Times New Roman" w:hAnsi="Gadugi"/>
          <w:szCs w:val="24"/>
          <w:lang w:val="es-MX" w:eastAsia="es-ES"/>
        </w:rPr>
        <w:tab/>
      </w:r>
      <w:r w:rsidRPr="00501476">
        <w:rPr>
          <w:rFonts w:ascii="Gadugi" w:eastAsia="Times New Roman" w:hAnsi="Gadugi"/>
          <w:szCs w:val="24"/>
          <w:lang w:val="es-MX" w:eastAsia="es-ES"/>
        </w:rPr>
        <w:tab/>
      </w:r>
      <w:r w:rsidRPr="00501476">
        <w:rPr>
          <w:rFonts w:ascii="Gadugi" w:eastAsia="Times New Roman" w:hAnsi="Gadugi"/>
          <w:szCs w:val="24"/>
          <w:lang w:val="es-MX" w:eastAsia="es-ES"/>
        </w:rPr>
        <w:tab/>
      </w:r>
      <w:r w:rsidRPr="00501476">
        <w:rPr>
          <w:rFonts w:ascii="Gadugi" w:eastAsia="Times New Roman" w:hAnsi="Gadugi"/>
          <w:szCs w:val="24"/>
          <w:lang w:val="es-MX" w:eastAsia="es-ES"/>
        </w:rPr>
        <w:tab/>
        <w:t>(…)</w:t>
      </w:r>
    </w:p>
    <w:p w14:paraId="48E8EC1C" w14:textId="2AB6D9FF" w:rsidR="00E463B7" w:rsidRPr="00501476" w:rsidRDefault="00E463B7" w:rsidP="00501476">
      <w:pPr>
        <w:spacing w:after="0" w:line="240" w:lineRule="auto"/>
        <w:ind w:left="426" w:right="420"/>
        <w:jc w:val="both"/>
        <w:rPr>
          <w:rFonts w:ascii="Gadugi" w:eastAsia="Times New Roman" w:hAnsi="Gadugi"/>
          <w:szCs w:val="24"/>
          <w:lang w:val="es-MX" w:eastAsia="es-ES"/>
        </w:rPr>
      </w:pPr>
    </w:p>
    <w:p w14:paraId="02095595" w14:textId="77777777" w:rsidR="00E463B7" w:rsidRPr="00501476" w:rsidRDefault="00E463B7" w:rsidP="00501476">
      <w:pPr>
        <w:pStyle w:val="Prrafodelista"/>
        <w:shd w:val="clear" w:color="auto" w:fill="FFFFFF"/>
        <w:spacing w:after="0" w:line="240" w:lineRule="auto"/>
        <w:ind w:left="426" w:right="420"/>
        <w:jc w:val="both"/>
        <w:rPr>
          <w:rFonts w:ascii="Gadugi" w:hAnsi="Gadugi"/>
          <w:b/>
          <w:szCs w:val="24"/>
        </w:rPr>
      </w:pPr>
      <w:r w:rsidRPr="00501476">
        <w:rPr>
          <w:rFonts w:ascii="Gadugi" w:eastAsia="Times New Roman" w:hAnsi="Gadugi"/>
          <w:szCs w:val="24"/>
          <w:lang w:val="es-MX" w:eastAsia="es-ES"/>
        </w:rPr>
        <w:tab/>
      </w:r>
      <w:r w:rsidRPr="00501476">
        <w:rPr>
          <w:rFonts w:ascii="Gadugi" w:eastAsia="Times New Roman" w:hAnsi="Gadugi"/>
          <w:szCs w:val="24"/>
          <w:lang w:val="es-MX" w:eastAsia="es-ES"/>
        </w:rPr>
        <w:tab/>
      </w:r>
      <w:r w:rsidRPr="00501476">
        <w:rPr>
          <w:rFonts w:ascii="Gadugi" w:eastAsia="Times New Roman" w:hAnsi="Gadugi"/>
          <w:szCs w:val="24"/>
          <w:lang w:val="es-MX" w:eastAsia="es-ES"/>
        </w:rPr>
        <w:tab/>
      </w:r>
      <w:r w:rsidRPr="00501476">
        <w:rPr>
          <w:rFonts w:ascii="Gadugi" w:eastAsia="Times New Roman" w:hAnsi="Gadugi"/>
          <w:szCs w:val="24"/>
          <w:lang w:val="es-MX" w:eastAsia="es-ES"/>
        </w:rPr>
        <w:tab/>
      </w:r>
      <w:r w:rsidRPr="00501476">
        <w:rPr>
          <w:rFonts w:ascii="Gadugi" w:hAnsi="Gadugi"/>
          <w:szCs w:val="24"/>
        </w:rPr>
        <w:t>iii)              </w:t>
      </w:r>
      <w:r w:rsidRPr="00501476">
        <w:rPr>
          <w:rFonts w:ascii="Gadugi" w:hAnsi="Gadugi"/>
          <w:b/>
          <w:szCs w:val="24"/>
        </w:rPr>
        <w:t>La renuencia a cubrir los gastos de transporte del paciente hasta el lugar donde se realizan las terapias e intervenciones que requiere para el manejo de la enfermedad renal crónica.</w:t>
      </w:r>
    </w:p>
    <w:p w14:paraId="3B24ECCD" w14:textId="0C926C34" w:rsidR="00E463B7" w:rsidRPr="00501476" w:rsidRDefault="00E463B7" w:rsidP="00501476">
      <w:pPr>
        <w:shd w:val="clear" w:color="auto" w:fill="FFFFFF"/>
        <w:spacing w:line="240" w:lineRule="auto"/>
        <w:ind w:left="426" w:right="420"/>
        <w:jc w:val="both"/>
        <w:rPr>
          <w:rFonts w:ascii="Gadugi" w:hAnsi="Gadugi"/>
          <w:b/>
          <w:szCs w:val="24"/>
        </w:rPr>
      </w:pPr>
    </w:p>
    <w:p w14:paraId="129D4CBE" w14:textId="54BAD345" w:rsidR="00E463B7" w:rsidRPr="00501476" w:rsidRDefault="00E463B7" w:rsidP="00501476">
      <w:pPr>
        <w:shd w:val="clear" w:color="auto" w:fill="FFFFFF"/>
        <w:spacing w:after="0" w:line="240" w:lineRule="auto"/>
        <w:ind w:left="426" w:right="420"/>
        <w:jc w:val="both"/>
        <w:rPr>
          <w:rFonts w:ascii="Gadugi" w:hAnsi="Gadugi"/>
          <w:b/>
          <w:szCs w:val="24"/>
        </w:rPr>
      </w:pPr>
      <w:r w:rsidRPr="00501476">
        <w:rPr>
          <w:rFonts w:ascii="Gadugi" w:hAnsi="Gadugi"/>
          <w:b/>
          <w:szCs w:val="24"/>
        </w:rPr>
        <w:tab/>
      </w:r>
      <w:r w:rsidRPr="00501476">
        <w:rPr>
          <w:rFonts w:ascii="Gadugi" w:hAnsi="Gadugi"/>
          <w:b/>
          <w:szCs w:val="24"/>
        </w:rPr>
        <w:tab/>
      </w:r>
      <w:r w:rsidRPr="00501476">
        <w:rPr>
          <w:rFonts w:ascii="Gadugi" w:hAnsi="Gadugi"/>
          <w:b/>
          <w:szCs w:val="24"/>
        </w:rPr>
        <w:tab/>
      </w:r>
      <w:r w:rsidRPr="00501476">
        <w:rPr>
          <w:rFonts w:ascii="Gadugi" w:hAnsi="Gadugi"/>
          <w:b/>
          <w:szCs w:val="24"/>
        </w:rPr>
        <w:tab/>
        <w:t>33. Una de las solicitudes más recurrentes en las tutelas formuladas por pacientes de enfermedad renal crónica es la que tiene que ver con el cubrimiento de los gastos de transporte y de alojamiento que requieren para asistir a sus citas médicas, a sus terapias de diálisis y a los centros médicos que cuentan con la capacidad logística para practicar los trasplantes de riñón.</w:t>
      </w:r>
    </w:p>
    <w:p w14:paraId="1E47EE63" w14:textId="77777777" w:rsidR="00DA45EE" w:rsidRPr="00501476" w:rsidRDefault="00DA45EE" w:rsidP="00501476">
      <w:pPr>
        <w:shd w:val="clear" w:color="auto" w:fill="FFFFFF"/>
        <w:spacing w:after="0" w:line="240" w:lineRule="auto"/>
        <w:ind w:left="426" w:right="420"/>
        <w:jc w:val="both"/>
        <w:rPr>
          <w:rFonts w:ascii="Gadugi" w:hAnsi="Gadugi"/>
          <w:szCs w:val="24"/>
        </w:rPr>
      </w:pPr>
    </w:p>
    <w:p w14:paraId="0B83E248" w14:textId="726BC7A8" w:rsidR="00E463B7" w:rsidRPr="00501476" w:rsidRDefault="00E463B7" w:rsidP="00501476">
      <w:pPr>
        <w:shd w:val="clear" w:color="auto" w:fill="FFFFFF"/>
        <w:spacing w:after="0" w:line="240" w:lineRule="auto"/>
        <w:ind w:left="426" w:right="420"/>
        <w:jc w:val="both"/>
        <w:rPr>
          <w:rFonts w:ascii="Gadugi" w:hAnsi="Gadugi"/>
          <w:szCs w:val="24"/>
        </w:rPr>
      </w:pPr>
      <w:r w:rsidRPr="00501476">
        <w:rPr>
          <w:rFonts w:ascii="Gadugi" w:hAnsi="Gadugi"/>
          <w:szCs w:val="24"/>
        </w:rPr>
        <w:tab/>
      </w:r>
      <w:r w:rsidRPr="00501476">
        <w:rPr>
          <w:rFonts w:ascii="Gadugi" w:hAnsi="Gadugi"/>
          <w:szCs w:val="24"/>
        </w:rPr>
        <w:tab/>
      </w:r>
      <w:r w:rsidRPr="00501476">
        <w:rPr>
          <w:rFonts w:ascii="Gadugi" w:hAnsi="Gadugi"/>
          <w:szCs w:val="24"/>
        </w:rPr>
        <w:tab/>
      </w:r>
      <w:r w:rsidRPr="00501476">
        <w:rPr>
          <w:rFonts w:ascii="Gadugi" w:hAnsi="Gadugi"/>
          <w:szCs w:val="24"/>
        </w:rPr>
        <w:tab/>
        <w:t>El hecho de que una importante cantidad de esas tutelas busquen obtener el reconocimiento de esos gastos de transporte y alojamiento coincide con lo conceptuado por el Presidente de la Asociación Colombiana de Nefrología e Hipertensión Arterial, Jaime José Torres Saltarín</w:t>
      </w:r>
      <w:r w:rsidRPr="00501476">
        <w:rPr>
          <w:rStyle w:val="Refdenotaalpie"/>
          <w:rFonts w:ascii="Gadugi" w:hAnsi="Gadugi"/>
          <w:szCs w:val="24"/>
        </w:rPr>
        <w:footnoteReference w:id="10"/>
      </w:r>
      <w:r w:rsidRPr="00501476">
        <w:rPr>
          <w:rFonts w:ascii="Gadugi" w:hAnsi="Gadugi"/>
          <w:szCs w:val="24"/>
        </w:rPr>
        <w:t>, acerca de los obstáculos administrativos que podrían estar impidiendo que los pacientes con diagnóstico de enfermedad renal crónica accedan oportunamente a las prestaciones, tratamientos, medicamentos y, en general, a la atención integral y oportuna que requieren para el tratamiento de sus patologías</w:t>
      </w:r>
      <w:r w:rsidR="00557111" w:rsidRPr="00501476">
        <w:rPr>
          <w:rFonts w:ascii="Gadugi" w:hAnsi="Gadugi"/>
          <w:szCs w:val="24"/>
        </w:rPr>
        <w:t>. (Destaca la Sala)</w:t>
      </w:r>
    </w:p>
    <w:p w14:paraId="44E28873" w14:textId="77777777" w:rsidR="00EE0517" w:rsidRPr="00501476" w:rsidRDefault="00EE0517" w:rsidP="00501476">
      <w:pPr>
        <w:spacing w:after="0" w:line="276" w:lineRule="auto"/>
        <w:jc w:val="both"/>
        <w:rPr>
          <w:rFonts w:ascii="Gadugi" w:eastAsia="Times New Roman" w:hAnsi="Gadugi"/>
          <w:sz w:val="24"/>
          <w:szCs w:val="24"/>
          <w:lang w:eastAsia="es-ES"/>
        </w:rPr>
      </w:pPr>
    </w:p>
    <w:p w14:paraId="3F0B90EC" w14:textId="60FCAD1C" w:rsidR="00EE0517" w:rsidRPr="00501476" w:rsidRDefault="00EE0517" w:rsidP="00501476">
      <w:pPr>
        <w:spacing w:after="0" w:line="276" w:lineRule="auto"/>
        <w:jc w:val="both"/>
        <w:rPr>
          <w:rFonts w:ascii="Gadugi" w:eastAsia="Times New Roman" w:hAnsi="Gadugi"/>
          <w:sz w:val="24"/>
          <w:szCs w:val="24"/>
          <w:lang w:eastAsia="es-ES"/>
        </w:rPr>
      </w:pPr>
      <w:r w:rsidRPr="00501476">
        <w:rPr>
          <w:rFonts w:ascii="Gadugi" w:eastAsia="Times New Roman" w:hAnsi="Gadugi"/>
          <w:sz w:val="24"/>
          <w:szCs w:val="24"/>
          <w:lang w:eastAsia="es-ES"/>
        </w:rPr>
        <w:tab/>
      </w:r>
      <w:r w:rsidRPr="00501476">
        <w:rPr>
          <w:rFonts w:ascii="Gadugi" w:eastAsia="Times New Roman" w:hAnsi="Gadugi"/>
          <w:sz w:val="24"/>
          <w:szCs w:val="24"/>
          <w:lang w:eastAsia="es-ES"/>
        </w:rPr>
        <w:tab/>
      </w:r>
      <w:r w:rsidRPr="00501476">
        <w:rPr>
          <w:rFonts w:ascii="Gadugi" w:eastAsia="Times New Roman" w:hAnsi="Gadugi"/>
          <w:sz w:val="24"/>
          <w:szCs w:val="24"/>
          <w:lang w:eastAsia="es-ES"/>
        </w:rPr>
        <w:tab/>
      </w:r>
      <w:r w:rsidRPr="00501476">
        <w:rPr>
          <w:rFonts w:ascii="Gadugi" w:eastAsia="Times New Roman" w:hAnsi="Gadugi"/>
          <w:sz w:val="24"/>
          <w:szCs w:val="24"/>
          <w:lang w:eastAsia="es-ES"/>
        </w:rPr>
        <w:tab/>
        <w:t xml:space="preserve">Y sobre la posibilidad de que, mediante una acción de tutela, se ordene el servicio de transporte para los afiliados, la </w:t>
      </w:r>
      <w:r w:rsidR="00E463B7" w:rsidRPr="00501476">
        <w:rPr>
          <w:rFonts w:ascii="Gadugi" w:eastAsia="Times New Roman" w:hAnsi="Gadugi"/>
          <w:sz w:val="24"/>
          <w:szCs w:val="24"/>
          <w:lang w:eastAsia="es-ES"/>
        </w:rPr>
        <w:t xml:space="preserve">misma Corporación </w:t>
      </w:r>
      <w:r w:rsidRPr="00501476">
        <w:rPr>
          <w:rFonts w:ascii="Gadugi" w:eastAsia="Times New Roman" w:hAnsi="Gadugi"/>
          <w:sz w:val="24"/>
          <w:szCs w:val="24"/>
          <w:lang w:eastAsia="es-ES"/>
        </w:rPr>
        <w:t>ha decantado que</w:t>
      </w:r>
      <w:r w:rsidR="00E463B7" w:rsidRPr="00501476">
        <w:rPr>
          <w:rStyle w:val="Refdenotaalpie"/>
          <w:rFonts w:ascii="Gadugi" w:eastAsia="Times New Roman" w:hAnsi="Gadugi"/>
          <w:sz w:val="24"/>
          <w:szCs w:val="24"/>
          <w:lang w:eastAsia="es-ES"/>
        </w:rPr>
        <w:footnoteReference w:id="11"/>
      </w:r>
      <w:r w:rsidRPr="00501476">
        <w:rPr>
          <w:rFonts w:ascii="Gadugi" w:eastAsia="Times New Roman" w:hAnsi="Gadugi"/>
          <w:sz w:val="24"/>
          <w:szCs w:val="24"/>
          <w:lang w:eastAsia="es-ES"/>
        </w:rPr>
        <w:t>:</w:t>
      </w:r>
    </w:p>
    <w:p w14:paraId="5E86EE60" w14:textId="769E92F1" w:rsidR="00EE0517" w:rsidRPr="00501476" w:rsidRDefault="00EE0517" w:rsidP="00501476">
      <w:pPr>
        <w:spacing w:after="0" w:line="276" w:lineRule="auto"/>
        <w:jc w:val="both"/>
        <w:rPr>
          <w:rFonts w:ascii="Gadugi" w:eastAsia="Times New Roman" w:hAnsi="Gadugi"/>
          <w:sz w:val="24"/>
          <w:szCs w:val="24"/>
          <w:lang w:eastAsia="es-ES"/>
        </w:rPr>
      </w:pPr>
    </w:p>
    <w:p w14:paraId="697EA6EA" w14:textId="22BC0F6B" w:rsidR="00EE0517" w:rsidRPr="00501476" w:rsidRDefault="00EE0517" w:rsidP="00501476">
      <w:pPr>
        <w:spacing w:after="0" w:line="240" w:lineRule="auto"/>
        <w:ind w:left="426" w:right="420"/>
        <w:jc w:val="both"/>
        <w:rPr>
          <w:rFonts w:ascii="Gadugi" w:eastAsia="Times New Roman" w:hAnsi="Gadugi"/>
          <w:szCs w:val="24"/>
          <w:lang w:eastAsia="es-ES"/>
        </w:rPr>
      </w:pP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eastAsia="Times New Roman" w:hAnsi="Gadugi"/>
          <w:szCs w:val="24"/>
          <w:lang w:eastAsia="es-ES"/>
        </w:rPr>
        <w:tab/>
      </w:r>
      <w:r w:rsidRPr="00501476">
        <w:rPr>
          <w:rFonts w:ascii="Gadugi" w:hAnsi="Gadugi"/>
          <w:szCs w:val="24"/>
          <w:shd w:val="clear" w:color="auto" w:fill="FFFFFF"/>
        </w:rPr>
        <w:t>La Corte Constitucional</w:t>
      </w:r>
      <w:r w:rsidRPr="00501476">
        <w:rPr>
          <w:rStyle w:val="Refdenotaalpie"/>
          <w:rFonts w:ascii="Gadugi" w:hAnsi="Gadugi"/>
          <w:szCs w:val="24"/>
          <w:shd w:val="clear" w:color="auto" w:fill="FFFFFF"/>
        </w:rPr>
        <w:footnoteReference w:id="12"/>
      </w:r>
      <w:r w:rsidRPr="00501476">
        <w:rPr>
          <w:rFonts w:ascii="Gadugi" w:hAnsi="Gadugi"/>
          <w:szCs w:val="24"/>
          <w:shd w:val="clear" w:color="auto" w:fill="FFFFFF"/>
        </w:rPr>
        <w:t>, ha expresado que cuando el paciente no cuenta con los recursos para sufragar los gastos que le genera el desplazamiento, debe el juez constitucional analizar si se acredita que </w:t>
      </w:r>
      <w:r w:rsidRPr="00501476">
        <w:rPr>
          <w:rFonts w:ascii="Gadugi" w:hAnsi="Gadugi"/>
          <w:i/>
          <w:iCs/>
          <w:szCs w:val="24"/>
          <w:shd w:val="clear" w:color="auto" w:fill="FFFFFF"/>
        </w:rPr>
        <w:t>“(i) ni el paciente ni sus familiares cercanos tienen los recursos económicos suficientes para pagar el valor del traslado y (ii) de no efectuarse la remisión se pone en riesgo la vida, la integridad física o el estado de salud del usuario”</w:t>
      </w:r>
      <w:r w:rsidRPr="00501476">
        <w:rPr>
          <w:rStyle w:val="Refdenotaalpie"/>
          <w:rFonts w:ascii="Gadugi" w:hAnsi="Gadugi"/>
          <w:i/>
          <w:iCs/>
          <w:szCs w:val="24"/>
          <w:shd w:val="clear" w:color="auto" w:fill="FFFFFF"/>
        </w:rPr>
        <w:footnoteReference w:id="13"/>
      </w:r>
      <w:r w:rsidRPr="00501476">
        <w:rPr>
          <w:rFonts w:ascii="Gadugi" w:hAnsi="Gadugi"/>
          <w:i/>
          <w:iCs/>
          <w:szCs w:val="24"/>
          <w:shd w:val="clear" w:color="auto" w:fill="FFFFFF"/>
        </w:rPr>
        <w:t>.</w:t>
      </w:r>
      <w:r w:rsidRPr="00501476">
        <w:rPr>
          <w:rFonts w:ascii="Gadugi" w:eastAsia="Times New Roman" w:hAnsi="Gadugi"/>
          <w:szCs w:val="24"/>
          <w:lang w:eastAsia="es-ES"/>
        </w:rPr>
        <w:t xml:space="preserve"> </w:t>
      </w:r>
    </w:p>
    <w:p w14:paraId="7FBEE4C7" w14:textId="1EC04168" w:rsidR="00EE0517" w:rsidRPr="00501476" w:rsidRDefault="007A4334" w:rsidP="00501476">
      <w:pPr>
        <w:spacing w:after="0" w:line="276" w:lineRule="auto"/>
        <w:jc w:val="both"/>
        <w:rPr>
          <w:rFonts w:ascii="Gadugi" w:eastAsia="Times New Roman" w:hAnsi="Gadugi"/>
          <w:sz w:val="24"/>
          <w:szCs w:val="24"/>
          <w:lang w:eastAsia="es-ES"/>
        </w:rPr>
      </w:pPr>
      <w:r w:rsidRPr="00501476">
        <w:rPr>
          <w:rFonts w:ascii="Gadugi" w:eastAsia="Times New Roman" w:hAnsi="Gadugi"/>
          <w:sz w:val="24"/>
          <w:szCs w:val="24"/>
          <w:lang w:eastAsia="es-ES"/>
        </w:rPr>
        <w:tab/>
      </w:r>
      <w:r w:rsidRPr="00501476">
        <w:rPr>
          <w:rFonts w:ascii="Gadugi" w:eastAsia="Times New Roman" w:hAnsi="Gadugi"/>
          <w:sz w:val="24"/>
          <w:szCs w:val="24"/>
          <w:lang w:eastAsia="es-ES"/>
        </w:rPr>
        <w:tab/>
      </w:r>
      <w:r w:rsidRPr="00501476">
        <w:rPr>
          <w:rFonts w:ascii="Gadugi" w:eastAsia="Times New Roman" w:hAnsi="Gadugi"/>
          <w:sz w:val="24"/>
          <w:szCs w:val="24"/>
          <w:lang w:eastAsia="es-ES"/>
        </w:rPr>
        <w:tab/>
      </w:r>
      <w:r w:rsidRPr="00501476">
        <w:rPr>
          <w:rFonts w:ascii="Gadugi" w:eastAsia="Times New Roman" w:hAnsi="Gadugi"/>
          <w:sz w:val="24"/>
          <w:szCs w:val="24"/>
          <w:lang w:eastAsia="es-ES"/>
        </w:rPr>
        <w:tab/>
      </w:r>
    </w:p>
    <w:p w14:paraId="5FC01609" w14:textId="06715F07" w:rsidR="007A4334" w:rsidRPr="00501476" w:rsidRDefault="003F01F2" w:rsidP="00501476">
      <w:pPr>
        <w:spacing w:after="0" w:line="276" w:lineRule="auto"/>
        <w:jc w:val="both"/>
        <w:rPr>
          <w:rFonts w:ascii="Gadugi" w:eastAsia="Times New Roman" w:hAnsi="Gadugi"/>
          <w:sz w:val="24"/>
          <w:szCs w:val="24"/>
          <w:lang w:val="es-ES" w:eastAsia="es-ES"/>
        </w:rPr>
      </w:pP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00A51203" w:rsidRPr="00501476">
        <w:rPr>
          <w:rFonts w:ascii="Gadugi" w:eastAsia="Times New Roman" w:hAnsi="Gadugi"/>
          <w:sz w:val="24"/>
          <w:szCs w:val="24"/>
          <w:lang w:val="es-ES" w:eastAsia="es-ES"/>
        </w:rPr>
        <w:t>E</w:t>
      </w:r>
      <w:r w:rsidRPr="00501476">
        <w:rPr>
          <w:rFonts w:ascii="Gadugi" w:eastAsia="Times New Roman" w:hAnsi="Gadugi"/>
          <w:sz w:val="24"/>
          <w:szCs w:val="24"/>
          <w:lang w:val="es-ES" w:eastAsia="es-ES"/>
        </w:rPr>
        <w:t>n el caso concreto</w:t>
      </w:r>
      <w:r w:rsidR="007A4334" w:rsidRPr="00501476">
        <w:rPr>
          <w:rFonts w:ascii="Gadugi" w:eastAsia="Times New Roman" w:hAnsi="Gadugi"/>
          <w:sz w:val="24"/>
          <w:szCs w:val="24"/>
          <w:lang w:val="es-ES" w:eastAsia="es-ES"/>
        </w:rPr>
        <w:t xml:space="preserve"> se tiene lo siguiente:</w:t>
      </w:r>
    </w:p>
    <w:p w14:paraId="46575154" w14:textId="67C73F32" w:rsidR="007A4334" w:rsidRPr="00501476" w:rsidRDefault="007A4334" w:rsidP="00501476">
      <w:pPr>
        <w:spacing w:after="0" w:line="276" w:lineRule="auto"/>
        <w:jc w:val="both"/>
        <w:rPr>
          <w:rFonts w:ascii="Gadugi" w:eastAsia="Times New Roman" w:hAnsi="Gadugi"/>
          <w:sz w:val="24"/>
          <w:szCs w:val="24"/>
          <w:lang w:val="es-ES" w:eastAsia="es-ES"/>
        </w:rPr>
      </w:pP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p>
    <w:p w14:paraId="5D16DDEA" w14:textId="65ED24A7" w:rsidR="007A4334" w:rsidRPr="00501476" w:rsidRDefault="007A4334" w:rsidP="00501476">
      <w:pPr>
        <w:spacing w:after="0" w:line="276" w:lineRule="auto"/>
        <w:jc w:val="both"/>
        <w:rPr>
          <w:rFonts w:ascii="Gadugi" w:eastAsia="Times New Roman" w:hAnsi="Gadugi"/>
          <w:i/>
          <w:sz w:val="24"/>
          <w:szCs w:val="24"/>
          <w:lang w:val="es-ES" w:eastAsia="es-ES"/>
        </w:rPr>
      </w:pPr>
      <w:r w:rsidRPr="00501476">
        <w:rPr>
          <w:rFonts w:ascii="Gadugi" w:eastAsia="Times New Roman" w:hAnsi="Gadugi"/>
          <w:sz w:val="24"/>
          <w:szCs w:val="24"/>
          <w:lang w:val="es-ES" w:eastAsia="es-ES"/>
        </w:rPr>
        <w:lastRenderedPageBreak/>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t xml:space="preserve">(i) La accionante presenta estas patologías: </w:t>
      </w:r>
      <w:r w:rsidRPr="00501476">
        <w:rPr>
          <w:rFonts w:ascii="Gadugi" w:eastAsia="Times New Roman" w:hAnsi="Gadugi"/>
          <w:i/>
          <w:sz w:val="24"/>
          <w:szCs w:val="24"/>
          <w:lang w:val="es-ES" w:eastAsia="es-ES"/>
        </w:rPr>
        <w:t xml:space="preserve">“ACCIDENTE VASCULAR ENCEFÁLICO AGUDO, NO ESPECIFICADO COMO HEMORRÁGICO O ISQUÉMICO”, </w:t>
      </w:r>
      <w:r w:rsidR="003B7BE1" w:rsidRPr="00501476">
        <w:rPr>
          <w:rFonts w:ascii="Gadugi" w:eastAsia="Times New Roman" w:hAnsi="Gadugi"/>
          <w:i/>
          <w:sz w:val="24"/>
          <w:szCs w:val="24"/>
          <w:lang w:val="es-ES" w:eastAsia="es-ES"/>
        </w:rPr>
        <w:t>“</w:t>
      </w:r>
      <w:r w:rsidRPr="00501476">
        <w:rPr>
          <w:rFonts w:ascii="Gadugi" w:eastAsia="Times New Roman" w:hAnsi="Gadugi"/>
          <w:i/>
          <w:sz w:val="24"/>
          <w:szCs w:val="24"/>
          <w:lang w:val="es-ES" w:eastAsia="es-ES"/>
        </w:rPr>
        <w:t xml:space="preserve">INSUFICIENCIA RENAL CRÓNICA, NO ESPECIFICADA”, </w:t>
      </w:r>
      <w:r w:rsidR="003B7BE1" w:rsidRPr="00501476">
        <w:rPr>
          <w:rFonts w:ascii="Gadugi" w:eastAsia="Times New Roman" w:hAnsi="Gadugi"/>
          <w:i/>
          <w:sz w:val="24"/>
          <w:szCs w:val="24"/>
          <w:lang w:val="es-ES" w:eastAsia="es-ES"/>
        </w:rPr>
        <w:t>“</w:t>
      </w:r>
      <w:r w:rsidRPr="00501476">
        <w:rPr>
          <w:rFonts w:ascii="Gadugi" w:eastAsia="Times New Roman" w:hAnsi="Gadugi"/>
          <w:i/>
          <w:sz w:val="24"/>
          <w:szCs w:val="24"/>
          <w:lang w:val="es-ES" w:eastAsia="es-ES"/>
        </w:rPr>
        <w:t>DIABETES MELLITUS INSULINODEPENDIENTE CON COMPLICACIONES RENALES”</w:t>
      </w:r>
      <w:r w:rsidR="00B50F51" w:rsidRPr="00501476">
        <w:rPr>
          <w:rStyle w:val="Refdenotaalpie"/>
          <w:rFonts w:ascii="Gadugi" w:eastAsia="Times New Roman" w:hAnsi="Gadugi"/>
          <w:i/>
          <w:sz w:val="24"/>
          <w:szCs w:val="24"/>
          <w:lang w:val="es-ES" w:eastAsia="es-ES"/>
        </w:rPr>
        <w:footnoteReference w:id="14"/>
      </w:r>
      <w:r w:rsidRPr="00501476">
        <w:rPr>
          <w:rFonts w:ascii="Gadugi" w:eastAsia="Times New Roman" w:hAnsi="Gadugi"/>
          <w:i/>
          <w:sz w:val="24"/>
          <w:szCs w:val="24"/>
          <w:lang w:val="es-ES" w:eastAsia="es-ES"/>
        </w:rPr>
        <w:t xml:space="preserve">. </w:t>
      </w:r>
    </w:p>
    <w:p w14:paraId="77E856A5" w14:textId="22205E6D" w:rsidR="007A4334" w:rsidRPr="00501476" w:rsidRDefault="007A4334" w:rsidP="00501476">
      <w:pPr>
        <w:spacing w:after="0" w:line="276" w:lineRule="auto"/>
        <w:jc w:val="both"/>
        <w:rPr>
          <w:rFonts w:ascii="Gadugi" w:eastAsia="Times New Roman" w:hAnsi="Gadugi"/>
          <w:sz w:val="24"/>
          <w:szCs w:val="24"/>
          <w:lang w:val="es-ES" w:eastAsia="es-ES"/>
        </w:rPr>
      </w:pPr>
    </w:p>
    <w:p w14:paraId="4ED330A5" w14:textId="2559EDF9" w:rsidR="007A4334" w:rsidRPr="00501476" w:rsidRDefault="007A4334" w:rsidP="00501476">
      <w:pPr>
        <w:spacing w:after="0" w:line="276" w:lineRule="auto"/>
        <w:jc w:val="both"/>
        <w:rPr>
          <w:rFonts w:ascii="Gadugi" w:eastAsia="Times New Roman" w:hAnsi="Gadugi"/>
          <w:sz w:val="24"/>
          <w:szCs w:val="24"/>
          <w:lang w:val="es-ES" w:eastAsia="es-ES"/>
        </w:rPr>
      </w:pP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t xml:space="preserve">(ii) </w:t>
      </w:r>
      <w:r w:rsidR="003B7BE1" w:rsidRPr="00501476">
        <w:rPr>
          <w:rFonts w:ascii="Gadugi" w:eastAsia="Times New Roman" w:hAnsi="Gadugi"/>
          <w:sz w:val="24"/>
          <w:szCs w:val="24"/>
          <w:lang w:val="es-ES" w:eastAsia="es-ES"/>
        </w:rPr>
        <w:t xml:space="preserve">Está </w:t>
      </w:r>
      <w:r w:rsidR="00440C10" w:rsidRPr="00501476">
        <w:rPr>
          <w:rFonts w:ascii="Gadugi" w:eastAsia="Times New Roman" w:hAnsi="Gadugi"/>
          <w:sz w:val="24"/>
          <w:szCs w:val="24"/>
          <w:lang w:val="es-ES" w:eastAsia="es-ES"/>
        </w:rPr>
        <w:t>acreditado</w:t>
      </w:r>
      <w:r w:rsidR="003B7BE1" w:rsidRPr="00501476">
        <w:rPr>
          <w:rFonts w:ascii="Gadugi" w:eastAsia="Times New Roman" w:hAnsi="Gadugi"/>
          <w:sz w:val="24"/>
          <w:szCs w:val="24"/>
          <w:lang w:val="es-ES" w:eastAsia="es-ES"/>
        </w:rPr>
        <w:t xml:space="preserve"> que </w:t>
      </w:r>
      <w:r w:rsidR="00440C10" w:rsidRPr="00501476">
        <w:rPr>
          <w:rFonts w:ascii="Gadugi" w:eastAsia="Times New Roman" w:hAnsi="Gadugi"/>
          <w:sz w:val="24"/>
          <w:szCs w:val="24"/>
          <w:lang w:val="es-ES" w:eastAsia="es-ES"/>
        </w:rPr>
        <w:t xml:space="preserve">la demandante recibe tratamiento de </w:t>
      </w:r>
      <w:r w:rsidR="004C2320" w:rsidRPr="00501476">
        <w:rPr>
          <w:rFonts w:ascii="Gadugi" w:eastAsia="Times New Roman" w:hAnsi="Gadugi"/>
          <w:i/>
          <w:sz w:val="24"/>
          <w:szCs w:val="24"/>
          <w:lang w:val="es-ES" w:eastAsia="es-ES"/>
        </w:rPr>
        <w:t>“d</w:t>
      </w:r>
      <w:r w:rsidR="00440C10" w:rsidRPr="00501476">
        <w:rPr>
          <w:rFonts w:ascii="Gadugi" w:eastAsia="Times New Roman" w:hAnsi="Gadugi"/>
          <w:i/>
          <w:sz w:val="24"/>
          <w:szCs w:val="24"/>
          <w:lang w:val="es-ES" w:eastAsia="es-ES"/>
        </w:rPr>
        <w:t>iálisis</w:t>
      </w:r>
      <w:r w:rsidR="004C2320" w:rsidRPr="00501476">
        <w:rPr>
          <w:rFonts w:ascii="Gadugi" w:eastAsia="Times New Roman" w:hAnsi="Gadugi"/>
          <w:i/>
          <w:sz w:val="24"/>
          <w:szCs w:val="24"/>
          <w:lang w:val="es-ES" w:eastAsia="es-ES"/>
        </w:rPr>
        <w:t>”</w:t>
      </w:r>
      <w:r w:rsidR="00440C10" w:rsidRPr="00501476">
        <w:rPr>
          <w:rFonts w:ascii="Gadugi" w:eastAsia="Times New Roman" w:hAnsi="Gadugi"/>
          <w:sz w:val="24"/>
          <w:szCs w:val="24"/>
          <w:lang w:val="es-ES" w:eastAsia="es-ES"/>
        </w:rPr>
        <w:t xml:space="preserve">, y que es atendida en la IPS </w:t>
      </w:r>
      <w:r w:rsidR="001926EE" w:rsidRPr="00501476">
        <w:rPr>
          <w:rFonts w:ascii="Gadugi" w:eastAsia="Times New Roman" w:hAnsi="Gadugi"/>
          <w:sz w:val="24"/>
          <w:szCs w:val="24"/>
          <w:lang w:val="es-ES" w:eastAsia="es-ES"/>
        </w:rPr>
        <w:t>-</w:t>
      </w:r>
      <w:r w:rsidR="00440C10" w:rsidRPr="00501476">
        <w:rPr>
          <w:rFonts w:ascii="Gadugi" w:eastAsia="Times New Roman" w:hAnsi="Gadugi"/>
          <w:sz w:val="24"/>
          <w:szCs w:val="24"/>
          <w:lang w:val="es-ES" w:eastAsia="es-ES"/>
        </w:rPr>
        <w:t>RTS Colombia</w:t>
      </w:r>
      <w:r w:rsidR="001926EE" w:rsidRPr="00501476">
        <w:rPr>
          <w:rFonts w:ascii="Gadugi" w:eastAsia="Times New Roman" w:hAnsi="Gadugi"/>
          <w:sz w:val="24"/>
          <w:szCs w:val="24"/>
          <w:lang w:val="es-ES" w:eastAsia="es-ES"/>
        </w:rPr>
        <w:t>-</w:t>
      </w:r>
      <w:r w:rsidR="00440C10" w:rsidRPr="00501476">
        <w:rPr>
          <w:rFonts w:ascii="Gadugi" w:eastAsia="Times New Roman" w:hAnsi="Gadugi"/>
          <w:sz w:val="24"/>
          <w:szCs w:val="24"/>
          <w:lang w:val="es-ES" w:eastAsia="es-ES"/>
        </w:rPr>
        <w:t>, ubicada en la Calle 14 Nro. 27-54 en el barrio Los Álamos de Pereira</w:t>
      </w:r>
      <w:r w:rsidR="00C84455" w:rsidRPr="00501476">
        <w:rPr>
          <w:rStyle w:val="Refdenotaalpie"/>
          <w:rFonts w:ascii="Gadugi" w:eastAsia="Times New Roman" w:hAnsi="Gadugi"/>
          <w:i/>
          <w:sz w:val="24"/>
          <w:szCs w:val="24"/>
          <w:lang w:val="es-ES" w:eastAsia="es-ES"/>
        </w:rPr>
        <w:footnoteReference w:id="15"/>
      </w:r>
      <w:r w:rsidR="001926EE" w:rsidRPr="00501476">
        <w:rPr>
          <w:rFonts w:ascii="Gadugi" w:eastAsia="Times New Roman" w:hAnsi="Gadugi"/>
          <w:sz w:val="24"/>
          <w:szCs w:val="24"/>
          <w:lang w:val="es-ES" w:eastAsia="es-ES"/>
        </w:rPr>
        <w:t>.</w:t>
      </w:r>
    </w:p>
    <w:p w14:paraId="26CD973A" w14:textId="382F52BA" w:rsidR="001926EE" w:rsidRPr="00501476" w:rsidRDefault="001926EE" w:rsidP="00501476">
      <w:pPr>
        <w:spacing w:after="0" w:line="276" w:lineRule="auto"/>
        <w:jc w:val="both"/>
        <w:rPr>
          <w:rFonts w:ascii="Gadugi" w:eastAsia="Times New Roman" w:hAnsi="Gadugi"/>
          <w:sz w:val="24"/>
          <w:szCs w:val="24"/>
          <w:lang w:val="es-ES" w:eastAsia="es-ES"/>
        </w:rPr>
      </w:pPr>
    </w:p>
    <w:p w14:paraId="0A858E6D" w14:textId="77781F6B" w:rsidR="001926EE" w:rsidRPr="00501476" w:rsidRDefault="001926EE" w:rsidP="00501476">
      <w:pPr>
        <w:spacing w:after="0" w:line="276" w:lineRule="auto"/>
        <w:jc w:val="both"/>
        <w:rPr>
          <w:rFonts w:ascii="Gadugi" w:eastAsia="Times New Roman" w:hAnsi="Gadugi"/>
          <w:sz w:val="24"/>
          <w:szCs w:val="24"/>
          <w:lang w:val="es-ES" w:eastAsia="es-ES"/>
        </w:rPr>
      </w:pP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t>(iii) También se sabe que la señora Rentería Mena reside en la Manzana 12, casa 7 del barrio Padre Valencia ubicado en la comuna Cuba de Pereira.</w:t>
      </w:r>
      <w:r w:rsidR="00C84455" w:rsidRPr="00501476">
        <w:rPr>
          <w:rStyle w:val="Refdenotaalpie"/>
          <w:rFonts w:ascii="Gadugi" w:eastAsia="Times New Roman" w:hAnsi="Gadugi"/>
          <w:sz w:val="24"/>
          <w:szCs w:val="24"/>
          <w:lang w:val="es-ES" w:eastAsia="es-ES"/>
        </w:rPr>
        <w:footnoteReference w:id="16"/>
      </w:r>
      <w:r w:rsidRPr="00501476">
        <w:rPr>
          <w:rFonts w:ascii="Gadugi" w:eastAsia="Times New Roman" w:hAnsi="Gadugi"/>
          <w:sz w:val="24"/>
          <w:szCs w:val="24"/>
          <w:lang w:val="es-ES" w:eastAsia="es-ES"/>
        </w:rPr>
        <w:t xml:space="preserve"> </w:t>
      </w:r>
    </w:p>
    <w:p w14:paraId="5941B689" w14:textId="77E35341" w:rsidR="001926EE" w:rsidRPr="00501476" w:rsidRDefault="001926EE" w:rsidP="00501476">
      <w:pPr>
        <w:spacing w:after="0" w:line="276" w:lineRule="auto"/>
        <w:jc w:val="both"/>
        <w:rPr>
          <w:rFonts w:ascii="Gadugi" w:eastAsia="Times New Roman" w:hAnsi="Gadugi"/>
          <w:sz w:val="24"/>
          <w:szCs w:val="24"/>
          <w:lang w:val="es-ES" w:eastAsia="es-ES"/>
        </w:rPr>
      </w:pPr>
    </w:p>
    <w:p w14:paraId="66FDE377" w14:textId="788243D0" w:rsidR="001926EE" w:rsidRPr="00501476" w:rsidRDefault="001926EE" w:rsidP="00501476">
      <w:pPr>
        <w:spacing w:after="0" w:line="276" w:lineRule="auto"/>
        <w:jc w:val="both"/>
        <w:rPr>
          <w:rFonts w:ascii="Gadugi" w:eastAsia="Times New Roman" w:hAnsi="Gadugi"/>
          <w:sz w:val="24"/>
          <w:szCs w:val="24"/>
          <w:lang w:val="es-ES" w:eastAsia="es-ES"/>
        </w:rPr>
      </w:pP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t>(iv) Y finalmente, la accionante afirmó que ni ella y ni su familia, cuantan con los recursos económicos para sufragar el transporte desde su casa hasta el lugar donde recibe el tratamiento</w:t>
      </w:r>
      <w:r w:rsidR="00C84455" w:rsidRPr="00501476">
        <w:rPr>
          <w:rFonts w:ascii="Gadugi" w:eastAsia="Times New Roman" w:hAnsi="Gadugi"/>
          <w:sz w:val="24"/>
          <w:szCs w:val="24"/>
          <w:lang w:val="es-ES" w:eastAsia="es-ES"/>
        </w:rPr>
        <w:t xml:space="preserve"> de diálisis</w:t>
      </w:r>
      <w:r w:rsidR="008A2394" w:rsidRPr="00501476">
        <w:rPr>
          <w:rFonts w:ascii="Gadugi" w:eastAsia="Times New Roman" w:hAnsi="Gadugi"/>
          <w:sz w:val="24"/>
          <w:szCs w:val="24"/>
          <w:lang w:val="es-ES" w:eastAsia="es-ES"/>
        </w:rPr>
        <w:t xml:space="preserve"> periódicamente</w:t>
      </w:r>
      <w:r w:rsidRPr="00501476">
        <w:rPr>
          <w:rFonts w:ascii="Gadugi" w:eastAsia="Times New Roman" w:hAnsi="Gadugi"/>
          <w:sz w:val="24"/>
          <w:szCs w:val="24"/>
          <w:lang w:val="es-ES" w:eastAsia="es-ES"/>
        </w:rPr>
        <w:t xml:space="preserve">. </w:t>
      </w:r>
    </w:p>
    <w:p w14:paraId="4FA2B2AF" w14:textId="6752B35A" w:rsidR="001926EE" w:rsidRPr="00501476" w:rsidRDefault="001926EE" w:rsidP="00501476">
      <w:pPr>
        <w:spacing w:after="0" w:line="276" w:lineRule="auto"/>
        <w:jc w:val="both"/>
        <w:rPr>
          <w:rFonts w:ascii="Gadugi" w:eastAsia="Times New Roman" w:hAnsi="Gadugi"/>
          <w:sz w:val="24"/>
          <w:szCs w:val="24"/>
          <w:lang w:val="es-ES" w:eastAsia="es-ES"/>
        </w:rPr>
      </w:pP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p>
    <w:p w14:paraId="3190C100" w14:textId="30C0F3A7" w:rsidR="00654AC9" w:rsidRPr="00501476" w:rsidRDefault="001926EE" w:rsidP="00501476">
      <w:pPr>
        <w:spacing w:after="0" w:line="276" w:lineRule="auto"/>
        <w:jc w:val="both"/>
        <w:rPr>
          <w:rFonts w:ascii="Gadugi" w:hAnsi="Gadugi" w:cs="Arial"/>
          <w:sz w:val="24"/>
          <w:szCs w:val="24"/>
        </w:rPr>
      </w:pP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t xml:space="preserve">De frente a lo que acaba de exponerse, es criterio de la Sala que la sentencia impugnada debe ser confirmada, habida cuenta de que, </w:t>
      </w:r>
      <w:r w:rsidR="00C333AA" w:rsidRPr="00501476">
        <w:rPr>
          <w:rFonts w:ascii="Gadugi" w:eastAsia="Times New Roman" w:hAnsi="Gadugi"/>
          <w:sz w:val="24"/>
          <w:szCs w:val="24"/>
          <w:lang w:val="es-ES" w:eastAsia="es-ES"/>
        </w:rPr>
        <w:t xml:space="preserve">por una parte, no es motivo de discordia, que la salud de la señora Rentería Mena estaría en riesgo, si no es sometida a las sesiones de diálisis que le son ordenadas por los especialistas tratantes, y por otra, </w:t>
      </w:r>
      <w:r w:rsidRPr="00501476">
        <w:rPr>
          <w:rFonts w:ascii="Gadugi" w:eastAsia="Times New Roman" w:hAnsi="Gadugi"/>
          <w:sz w:val="24"/>
          <w:szCs w:val="24"/>
          <w:lang w:val="es-ES" w:eastAsia="es-ES"/>
        </w:rPr>
        <w:t xml:space="preserve">en casos como el presente, tal como lo explica la jurisprudencia citada en </w:t>
      </w:r>
      <w:r w:rsidR="008A2394" w:rsidRPr="00501476">
        <w:rPr>
          <w:rFonts w:ascii="Gadugi" w:eastAsia="Times New Roman" w:hAnsi="Gadugi"/>
          <w:sz w:val="24"/>
          <w:szCs w:val="24"/>
          <w:lang w:val="es-ES" w:eastAsia="es-ES"/>
        </w:rPr>
        <w:t>presidencia</w:t>
      </w:r>
      <w:r w:rsidRPr="00501476">
        <w:rPr>
          <w:rFonts w:ascii="Gadugi" w:eastAsia="Times New Roman" w:hAnsi="Gadugi"/>
          <w:sz w:val="24"/>
          <w:szCs w:val="24"/>
          <w:lang w:val="es-ES" w:eastAsia="es-ES"/>
        </w:rPr>
        <w:t>,</w:t>
      </w:r>
      <w:r w:rsidR="004E4C85" w:rsidRPr="00501476">
        <w:rPr>
          <w:rFonts w:ascii="Gadugi" w:hAnsi="Gadugi" w:cs="Arial"/>
          <w:sz w:val="24"/>
          <w:szCs w:val="24"/>
        </w:rPr>
        <w:t xml:space="preserve"> el servicio de transporte, adquier</w:t>
      </w:r>
      <w:r w:rsidR="008A2394" w:rsidRPr="00501476">
        <w:rPr>
          <w:rFonts w:ascii="Gadugi" w:hAnsi="Gadugi" w:cs="Arial"/>
          <w:sz w:val="24"/>
          <w:szCs w:val="24"/>
        </w:rPr>
        <w:t>e</w:t>
      </w:r>
      <w:r w:rsidR="004E4C85" w:rsidRPr="00501476">
        <w:rPr>
          <w:rFonts w:ascii="Gadugi" w:hAnsi="Gadugi" w:cs="Arial"/>
          <w:sz w:val="24"/>
          <w:szCs w:val="24"/>
        </w:rPr>
        <w:t xml:space="preserve"> </w:t>
      </w:r>
      <w:r w:rsidR="008A2394" w:rsidRPr="00501476">
        <w:rPr>
          <w:rFonts w:ascii="Gadugi" w:hAnsi="Gadugi" w:cs="Arial"/>
          <w:sz w:val="24"/>
          <w:szCs w:val="24"/>
        </w:rPr>
        <w:t>un</w:t>
      </w:r>
      <w:r w:rsidR="004E4C85" w:rsidRPr="00501476">
        <w:rPr>
          <w:rFonts w:ascii="Gadugi" w:hAnsi="Gadugi" w:cs="Arial"/>
          <w:sz w:val="24"/>
          <w:szCs w:val="24"/>
        </w:rPr>
        <w:t xml:space="preserve"> estatus de fundamental, por lo que es deber de la Entidad Prestadora de Salud garantizarlo, para mitigar el riesgo en la salud </w:t>
      </w:r>
      <w:r w:rsidR="008A2394" w:rsidRPr="00501476">
        <w:rPr>
          <w:rFonts w:ascii="Gadugi" w:hAnsi="Gadugi" w:cs="Arial"/>
          <w:sz w:val="24"/>
          <w:szCs w:val="24"/>
        </w:rPr>
        <w:t xml:space="preserve">de su afiliada. </w:t>
      </w:r>
    </w:p>
    <w:p w14:paraId="54DAA00F" w14:textId="77777777" w:rsidR="002C1409" w:rsidRPr="00501476" w:rsidRDefault="002C1409" w:rsidP="00501476">
      <w:pPr>
        <w:spacing w:after="0" w:line="276" w:lineRule="auto"/>
        <w:jc w:val="both"/>
        <w:rPr>
          <w:rFonts w:ascii="Gadugi" w:hAnsi="Gadugi" w:cs="Arial"/>
          <w:sz w:val="24"/>
          <w:szCs w:val="24"/>
        </w:rPr>
      </w:pPr>
    </w:p>
    <w:p w14:paraId="0A41457B" w14:textId="134C9B7C" w:rsidR="004E4C85" w:rsidRPr="00501476" w:rsidRDefault="004E4C85" w:rsidP="00501476">
      <w:pPr>
        <w:spacing w:after="0" w:line="276" w:lineRule="auto"/>
        <w:jc w:val="both"/>
        <w:rPr>
          <w:rFonts w:ascii="Gadugi" w:hAnsi="Gadugi" w:cs="Arial"/>
          <w:sz w:val="24"/>
          <w:szCs w:val="24"/>
        </w:rPr>
      </w:pPr>
      <w:r w:rsidRPr="00501476">
        <w:rPr>
          <w:rFonts w:ascii="Gadugi" w:hAnsi="Gadugi" w:cs="Arial"/>
          <w:sz w:val="24"/>
          <w:szCs w:val="24"/>
        </w:rPr>
        <w:tab/>
      </w:r>
      <w:r w:rsidRPr="00501476">
        <w:rPr>
          <w:rFonts w:ascii="Gadugi" w:hAnsi="Gadugi" w:cs="Arial"/>
          <w:sz w:val="24"/>
          <w:szCs w:val="24"/>
        </w:rPr>
        <w:tab/>
      </w:r>
      <w:r w:rsidRPr="00501476">
        <w:rPr>
          <w:rFonts w:ascii="Gadugi" w:hAnsi="Gadugi" w:cs="Arial"/>
          <w:sz w:val="24"/>
          <w:szCs w:val="24"/>
        </w:rPr>
        <w:tab/>
      </w:r>
      <w:r w:rsidRPr="00501476">
        <w:rPr>
          <w:rFonts w:ascii="Gadugi" w:hAnsi="Gadugi" w:cs="Arial"/>
          <w:sz w:val="24"/>
          <w:szCs w:val="24"/>
        </w:rPr>
        <w:tab/>
        <w:t>Además, no se desacreditaron las</w:t>
      </w:r>
      <w:r w:rsidR="006220A6" w:rsidRPr="00501476">
        <w:rPr>
          <w:rFonts w:ascii="Gadugi" w:hAnsi="Gadugi" w:cs="Arial"/>
          <w:sz w:val="24"/>
          <w:szCs w:val="24"/>
        </w:rPr>
        <w:t xml:space="preserve"> afirmaciones relacionadas con las</w:t>
      </w:r>
      <w:r w:rsidRPr="00501476">
        <w:rPr>
          <w:rFonts w:ascii="Gadugi" w:hAnsi="Gadugi" w:cs="Arial"/>
          <w:sz w:val="24"/>
          <w:szCs w:val="24"/>
        </w:rPr>
        <w:t xml:space="preserve"> dificultades económicas que soporta </w:t>
      </w:r>
      <w:r w:rsidR="006220A6" w:rsidRPr="00501476">
        <w:rPr>
          <w:rFonts w:ascii="Gadugi" w:hAnsi="Gadugi" w:cs="Arial"/>
          <w:sz w:val="24"/>
          <w:szCs w:val="24"/>
        </w:rPr>
        <w:t>la</w:t>
      </w:r>
      <w:r w:rsidRPr="00501476">
        <w:rPr>
          <w:rFonts w:ascii="Gadugi" w:hAnsi="Gadugi" w:cs="Arial"/>
          <w:sz w:val="24"/>
          <w:szCs w:val="24"/>
        </w:rPr>
        <w:t xml:space="preserve"> actor</w:t>
      </w:r>
      <w:r w:rsidR="006220A6" w:rsidRPr="00501476">
        <w:rPr>
          <w:rFonts w:ascii="Gadugi" w:hAnsi="Gadugi" w:cs="Arial"/>
          <w:sz w:val="24"/>
          <w:szCs w:val="24"/>
        </w:rPr>
        <w:t>a</w:t>
      </w:r>
      <w:r w:rsidRPr="00501476">
        <w:rPr>
          <w:rFonts w:ascii="Gadugi" w:hAnsi="Gadugi" w:cs="Arial"/>
          <w:sz w:val="24"/>
          <w:szCs w:val="24"/>
        </w:rPr>
        <w:t xml:space="preserve">, por lo cual, en virtud al principio de buena fe, </w:t>
      </w:r>
      <w:r w:rsidR="006220A6" w:rsidRPr="00501476">
        <w:rPr>
          <w:rFonts w:ascii="Gadugi" w:hAnsi="Gadugi" w:cs="Arial"/>
          <w:sz w:val="24"/>
          <w:szCs w:val="24"/>
        </w:rPr>
        <w:t>debe otorgárseles</w:t>
      </w:r>
      <w:r w:rsidRPr="00501476">
        <w:rPr>
          <w:rFonts w:ascii="Gadugi" w:hAnsi="Gadugi" w:cs="Arial"/>
          <w:sz w:val="24"/>
          <w:szCs w:val="24"/>
        </w:rPr>
        <w:t xml:space="preserve"> credibilidad, máxime porque en esos términos está alineada la jurisprudencia constitucional</w:t>
      </w:r>
      <w:r w:rsidRPr="00501476">
        <w:rPr>
          <w:rStyle w:val="Refdenotaalpie"/>
          <w:rFonts w:ascii="Gadugi" w:hAnsi="Gadugi"/>
          <w:sz w:val="24"/>
          <w:szCs w:val="24"/>
        </w:rPr>
        <w:footnoteReference w:id="17"/>
      </w:r>
      <w:r w:rsidRPr="00501476">
        <w:rPr>
          <w:rFonts w:ascii="Gadugi" w:hAnsi="Gadugi" w:cs="Arial"/>
          <w:sz w:val="24"/>
          <w:szCs w:val="24"/>
        </w:rPr>
        <w:t>:</w:t>
      </w:r>
    </w:p>
    <w:p w14:paraId="25E9FA6B" w14:textId="0E59CE0C" w:rsidR="004E4C85" w:rsidRPr="00501476" w:rsidRDefault="002C1409" w:rsidP="00501476">
      <w:pPr>
        <w:spacing w:after="0" w:line="276" w:lineRule="auto"/>
        <w:ind w:left="567" w:right="618"/>
        <w:jc w:val="both"/>
        <w:rPr>
          <w:rFonts w:ascii="Gadugi" w:hAnsi="Gadugi" w:cs="Arial"/>
          <w:sz w:val="24"/>
          <w:szCs w:val="24"/>
        </w:rPr>
      </w:pPr>
      <w:r w:rsidRPr="00501476">
        <w:rPr>
          <w:rFonts w:ascii="Gadugi" w:hAnsi="Gadugi" w:cs="Arial"/>
          <w:sz w:val="24"/>
          <w:szCs w:val="24"/>
        </w:rPr>
        <w:tab/>
      </w:r>
      <w:r w:rsidRPr="00501476">
        <w:rPr>
          <w:rFonts w:ascii="Gadugi" w:hAnsi="Gadugi" w:cs="Arial"/>
          <w:sz w:val="24"/>
          <w:szCs w:val="24"/>
        </w:rPr>
        <w:tab/>
      </w:r>
      <w:r w:rsidRPr="00501476">
        <w:rPr>
          <w:rFonts w:ascii="Gadugi" w:hAnsi="Gadugi" w:cs="Arial"/>
          <w:sz w:val="24"/>
          <w:szCs w:val="24"/>
        </w:rPr>
        <w:tab/>
      </w:r>
      <w:r w:rsidRPr="00501476">
        <w:rPr>
          <w:rFonts w:ascii="Gadugi" w:hAnsi="Gadugi" w:cs="Arial"/>
          <w:sz w:val="24"/>
          <w:szCs w:val="24"/>
        </w:rPr>
        <w:tab/>
      </w:r>
    </w:p>
    <w:p w14:paraId="2A3A40FD" w14:textId="0A4727EE" w:rsidR="002C1409" w:rsidRPr="004059CF" w:rsidRDefault="002C1409" w:rsidP="004059CF">
      <w:pPr>
        <w:spacing w:after="0" w:line="240" w:lineRule="auto"/>
        <w:ind w:left="426" w:right="420"/>
        <w:jc w:val="both"/>
        <w:rPr>
          <w:rFonts w:ascii="Gadugi" w:hAnsi="Gadugi" w:cs="Arial"/>
          <w:szCs w:val="24"/>
        </w:rPr>
      </w:pPr>
      <w:r w:rsidRPr="004059CF">
        <w:rPr>
          <w:rFonts w:ascii="Gadugi" w:hAnsi="Gadugi" w:cs="Arial"/>
          <w:szCs w:val="24"/>
        </w:rPr>
        <w:tab/>
      </w:r>
      <w:r w:rsidRPr="004059CF">
        <w:rPr>
          <w:rFonts w:ascii="Gadugi" w:hAnsi="Gadugi" w:cs="Arial"/>
          <w:szCs w:val="24"/>
        </w:rPr>
        <w:tab/>
      </w:r>
      <w:r w:rsidRPr="004059CF">
        <w:rPr>
          <w:rFonts w:ascii="Gadugi" w:hAnsi="Gadugi" w:cs="Arial"/>
          <w:szCs w:val="24"/>
        </w:rPr>
        <w:tab/>
      </w:r>
      <w:r w:rsidRPr="004059CF">
        <w:rPr>
          <w:rFonts w:ascii="Gadugi" w:hAnsi="Gadugi" w:cs="Arial"/>
          <w:szCs w:val="24"/>
        </w:rPr>
        <w:tab/>
      </w:r>
      <w:r w:rsidRPr="004059CF">
        <w:rPr>
          <w:rFonts w:ascii="Gadugi" w:hAnsi="Gadugi"/>
          <w:b/>
          <w:szCs w:val="24"/>
          <w:shd w:val="clear" w:color="auto" w:fill="FFFFFF"/>
          <w:lang w:val="es-ES"/>
        </w:rPr>
        <w:t>Esta Corporación ha expuesto que una E.P.S. no puede negarse a autorizar la prestación de un servicio de salud porque no se encuentra dentro del P.O.S. o porque el usuario no ha demostrado con un amplio material probatorio que no puede asumir el costo del tratamiento, medicamento o procedimiento requerido</w:t>
      </w:r>
      <w:r w:rsidRPr="004059CF">
        <w:rPr>
          <w:rFonts w:ascii="Gadugi" w:hAnsi="Gadugi"/>
          <w:szCs w:val="24"/>
          <w:shd w:val="clear" w:color="auto" w:fill="FFFFFF"/>
          <w:lang w:val="es-ES"/>
        </w:rPr>
        <w:t>. Respecto al último aspecto, la Corte ha señalado que “</w:t>
      </w:r>
      <w:r w:rsidRPr="004059CF">
        <w:rPr>
          <w:rFonts w:ascii="Gadugi" w:hAnsi="Gadugi"/>
          <w:i/>
          <w:iCs/>
          <w:szCs w:val="24"/>
          <w:shd w:val="clear" w:color="auto" w:fill="FFFFFF"/>
          <w:lang w:val="es-ES"/>
        </w:rPr>
        <w:t xml:space="preserve">las E.P.S. cuenta con información acerca de la condición económica de la persona, lo que le permite inferir si puede o no cubrir el costo. Por eso, uno de los deberes de las E.P.S. consiste en valorar si, con la información disponible o con la que le solicite al interesado, éste carece de los medios para soportar la carga económica. Esto, sin necesidad de que se acuda a la acción de tutela. </w:t>
      </w:r>
      <w:r w:rsidRPr="004059CF">
        <w:rPr>
          <w:rFonts w:ascii="Gadugi" w:hAnsi="Gadugi"/>
          <w:b/>
          <w:i/>
          <w:iCs/>
          <w:szCs w:val="24"/>
          <w:shd w:val="clear" w:color="auto" w:fill="FFFFFF"/>
          <w:lang w:val="es-ES"/>
        </w:rPr>
        <w:t xml:space="preserve">Ahora bien, de presentarse una </w:t>
      </w:r>
      <w:r w:rsidRPr="004059CF">
        <w:rPr>
          <w:rFonts w:ascii="Gadugi" w:hAnsi="Gadugi"/>
          <w:b/>
          <w:i/>
          <w:iCs/>
          <w:szCs w:val="24"/>
          <w:shd w:val="clear" w:color="auto" w:fill="FFFFFF"/>
          <w:lang w:val="es-ES"/>
        </w:rPr>
        <w:lastRenderedPageBreak/>
        <w:t>acción de tutela, la E.P.S. debe aportar la información al juez de tutela, para establecer la capacidad económica de los pacientes que requieren servicios de salud no incluidos en el P.O.S. o de exoneración de cuotas moderadoras</w:t>
      </w:r>
      <w:r w:rsidRPr="004059CF">
        <w:rPr>
          <w:rFonts w:ascii="Gadugi" w:hAnsi="Gadugi"/>
          <w:szCs w:val="24"/>
          <w:shd w:val="clear" w:color="auto" w:fill="FFFFFF"/>
          <w:lang w:val="es-ES"/>
        </w:rPr>
        <w:t>”</w:t>
      </w:r>
      <w:r w:rsidRPr="004059CF">
        <w:rPr>
          <w:rStyle w:val="Refdenotaalpie"/>
          <w:rFonts w:ascii="Gadugi" w:hAnsi="Gadugi"/>
          <w:szCs w:val="24"/>
          <w:shd w:val="clear" w:color="auto" w:fill="FFFFFF"/>
          <w:lang w:val="es-ES"/>
        </w:rPr>
        <w:footnoteReference w:id="18"/>
      </w:r>
      <w:r w:rsidRPr="004059CF">
        <w:rPr>
          <w:rFonts w:ascii="Gadugi" w:hAnsi="Gadugi"/>
          <w:szCs w:val="24"/>
          <w:shd w:val="clear" w:color="auto" w:fill="FFFFFF"/>
          <w:lang w:val="es-ES"/>
        </w:rPr>
        <w:t>.</w:t>
      </w:r>
    </w:p>
    <w:p w14:paraId="39F00FAE" w14:textId="627802F9" w:rsidR="002C1409" w:rsidRPr="004059CF" w:rsidRDefault="002C1409" w:rsidP="004059CF">
      <w:pPr>
        <w:spacing w:after="0" w:line="240" w:lineRule="auto"/>
        <w:ind w:left="426" w:right="420"/>
        <w:jc w:val="both"/>
        <w:rPr>
          <w:rFonts w:ascii="Gadugi" w:hAnsi="Gadugi" w:cs="Arial"/>
          <w:szCs w:val="24"/>
        </w:rPr>
      </w:pPr>
    </w:p>
    <w:p w14:paraId="3116EF50" w14:textId="348927F9" w:rsidR="002C1409" w:rsidRPr="004059CF" w:rsidRDefault="002C1409" w:rsidP="004059CF">
      <w:pPr>
        <w:spacing w:after="0" w:line="240" w:lineRule="auto"/>
        <w:ind w:left="426" w:right="420"/>
        <w:jc w:val="both"/>
        <w:rPr>
          <w:rFonts w:ascii="Gadugi" w:hAnsi="Gadugi" w:cs="Arial"/>
          <w:szCs w:val="24"/>
        </w:rPr>
      </w:pPr>
      <w:r w:rsidRPr="004059CF">
        <w:rPr>
          <w:rFonts w:ascii="Gadugi" w:hAnsi="Gadugi" w:cs="Arial"/>
          <w:szCs w:val="24"/>
        </w:rPr>
        <w:tab/>
      </w:r>
      <w:r w:rsidRPr="004059CF">
        <w:rPr>
          <w:rFonts w:ascii="Gadugi" w:hAnsi="Gadugi" w:cs="Arial"/>
          <w:szCs w:val="24"/>
        </w:rPr>
        <w:tab/>
      </w:r>
      <w:r w:rsidRPr="004059CF">
        <w:rPr>
          <w:rFonts w:ascii="Gadugi" w:hAnsi="Gadugi" w:cs="Arial"/>
          <w:szCs w:val="24"/>
        </w:rPr>
        <w:tab/>
      </w:r>
      <w:r w:rsidRPr="004059CF">
        <w:rPr>
          <w:rFonts w:ascii="Gadugi" w:hAnsi="Gadugi" w:cs="Arial"/>
          <w:szCs w:val="24"/>
        </w:rPr>
        <w:tab/>
        <w:t>(…)</w:t>
      </w:r>
    </w:p>
    <w:p w14:paraId="32E3A685" w14:textId="77777777" w:rsidR="002C1409" w:rsidRPr="004059CF" w:rsidRDefault="002C1409" w:rsidP="004059CF">
      <w:pPr>
        <w:spacing w:after="0" w:line="240" w:lineRule="auto"/>
        <w:ind w:left="426" w:right="420"/>
        <w:jc w:val="both"/>
        <w:rPr>
          <w:rFonts w:ascii="Gadugi" w:hAnsi="Gadugi" w:cs="Arial"/>
          <w:szCs w:val="24"/>
        </w:rPr>
      </w:pPr>
    </w:p>
    <w:p w14:paraId="4C6C6F1F" w14:textId="17F96C22" w:rsidR="002C1409" w:rsidRPr="004059CF" w:rsidRDefault="002C1409" w:rsidP="004059CF">
      <w:pPr>
        <w:spacing w:after="0" w:line="240" w:lineRule="auto"/>
        <w:ind w:left="426" w:right="420" w:firstLine="2268"/>
        <w:jc w:val="both"/>
        <w:rPr>
          <w:rFonts w:ascii="Gadugi" w:hAnsi="Gadugi" w:cs="Arial"/>
          <w:szCs w:val="24"/>
        </w:rPr>
      </w:pPr>
      <w:r w:rsidRPr="004059CF">
        <w:rPr>
          <w:rFonts w:ascii="Gadugi" w:hAnsi="Gadugi" w:cs="Arial"/>
          <w:szCs w:val="24"/>
        </w:rPr>
        <w:t xml:space="preserve">Así las cosas, la Sala concluye que las afirmaciones realizadas por los usuarios del servicio de salud sobre la incapacidad de poder sufragar los costos de copagos o cuotas moderadoras, </w:t>
      </w:r>
      <w:r w:rsidRPr="004059CF">
        <w:rPr>
          <w:rFonts w:ascii="Gadugi" w:hAnsi="Gadugi" w:cs="Arial"/>
          <w:b/>
          <w:szCs w:val="24"/>
        </w:rPr>
        <w:t xml:space="preserve">están revestidas por el principio de buena fe, por lo cual serán tenidas por ciertas hasta que las E.P.S. o E.P.S.-S presenten pruebas para desvirtuar dicha presunción." </w:t>
      </w:r>
      <w:r w:rsidRPr="004059CF">
        <w:rPr>
          <w:rFonts w:ascii="Gadugi" w:hAnsi="Gadugi" w:cs="Arial"/>
          <w:szCs w:val="24"/>
        </w:rPr>
        <w:t>(Destaca la Sala)</w:t>
      </w:r>
    </w:p>
    <w:p w14:paraId="6C0B0235" w14:textId="77777777" w:rsidR="002C1409" w:rsidRPr="00501476" w:rsidRDefault="002C1409" w:rsidP="00501476">
      <w:pPr>
        <w:spacing w:after="0" w:line="276" w:lineRule="auto"/>
        <w:ind w:firstLine="2835"/>
        <w:jc w:val="both"/>
        <w:rPr>
          <w:rFonts w:ascii="Gadugi" w:hAnsi="Gadugi" w:cs="Arial"/>
          <w:sz w:val="24"/>
          <w:szCs w:val="24"/>
        </w:rPr>
      </w:pPr>
    </w:p>
    <w:p w14:paraId="1FC39945" w14:textId="76EFE401" w:rsidR="00CC3303" w:rsidRPr="00501476" w:rsidRDefault="00557111" w:rsidP="00501476">
      <w:pPr>
        <w:spacing w:after="0" w:line="276" w:lineRule="auto"/>
        <w:ind w:firstLine="2835"/>
        <w:jc w:val="both"/>
        <w:rPr>
          <w:rFonts w:ascii="Gadugi" w:hAnsi="Gadugi" w:cs="Arial"/>
          <w:sz w:val="24"/>
          <w:szCs w:val="24"/>
        </w:rPr>
      </w:pPr>
      <w:r w:rsidRPr="00501476">
        <w:rPr>
          <w:rFonts w:ascii="Gadugi" w:hAnsi="Gadugi" w:cs="Arial"/>
          <w:sz w:val="24"/>
          <w:szCs w:val="24"/>
        </w:rPr>
        <w:t xml:space="preserve">Sobran adicionales consideraciones para confirmar la sentencia de primer grado en la que se le ordenó a la entidad accionada garantizar el servicio de transporte, para que </w:t>
      </w:r>
      <w:r w:rsidR="004C2320" w:rsidRPr="00501476">
        <w:rPr>
          <w:rFonts w:ascii="Gadugi" w:hAnsi="Gadugi" w:cs="Arial"/>
          <w:sz w:val="24"/>
          <w:szCs w:val="24"/>
        </w:rPr>
        <w:t>la</w:t>
      </w:r>
      <w:r w:rsidRPr="00501476">
        <w:rPr>
          <w:rFonts w:ascii="Gadugi" w:hAnsi="Gadugi" w:cs="Arial"/>
          <w:sz w:val="24"/>
          <w:szCs w:val="24"/>
        </w:rPr>
        <w:t xml:space="preserve"> accionante pueda asistir a las sesiones de diálisis</w:t>
      </w:r>
      <w:r w:rsidR="00C333AA" w:rsidRPr="00501476">
        <w:rPr>
          <w:rFonts w:ascii="Gadugi" w:hAnsi="Gadugi" w:cs="Arial"/>
          <w:sz w:val="24"/>
          <w:szCs w:val="24"/>
        </w:rPr>
        <w:t xml:space="preserve">, </w:t>
      </w:r>
      <w:r w:rsidR="004C2320" w:rsidRPr="00501476">
        <w:rPr>
          <w:rFonts w:ascii="Gadugi" w:hAnsi="Gadugi" w:cs="Arial"/>
          <w:sz w:val="24"/>
          <w:szCs w:val="24"/>
        </w:rPr>
        <w:t xml:space="preserve">que le sean prescritas por el profesional de la salud. </w:t>
      </w:r>
    </w:p>
    <w:p w14:paraId="08CE6F91" w14:textId="06FCB094" w:rsidR="003215AE" w:rsidRPr="00501476" w:rsidRDefault="003215AE" w:rsidP="00501476">
      <w:pPr>
        <w:spacing w:after="0" w:line="276" w:lineRule="auto"/>
        <w:jc w:val="both"/>
        <w:rPr>
          <w:rFonts w:ascii="Gadugi" w:eastAsia="Times New Roman" w:hAnsi="Gadugi" w:cs="Century Gothic"/>
          <w:b/>
          <w:bCs/>
          <w:sz w:val="24"/>
          <w:szCs w:val="24"/>
          <w:lang w:val="es-ES" w:eastAsia="es-ES"/>
        </w:rPr>
      </w:pPr>
    </w:p>
    <w:p w14:paraId="270EC27B" w14:textId="77777777" w:rsidR="00590632" w:rsidRPr="00501476" w:rsidRDefault="00590632" w:rsidP="00501476">
      <w:pPr>
        <w:spacing w:after="0" w:line="276" w:lineRule="auto"/>
        <w:jc w:val="both"/>
        <w:rPr>
          <w:rFonts w:ascii="Gadugi" w:eastAsia="Times New Roman" w:hAnsi="Gadugi" w:cs="Century Gothic"/>
          <w:b/>
          <w:bCs/>
          <w:sz w:val="24"/>
          <w:szCs w:val="24"/>
          <w:lang w:val="es-ES" w:eastAsia="es-ES"/>
        </w:rPr>
      </w:pPr>
    </w:p>
    <w:p w14:paraId="3E484425" w14:textId="77777777" w:rsidR="003215AE" w:rsidRPr="00501476" w:rsidRDefault="003215AE" w:rsidP="00501476">
      <w:pPr>
        <w:spacing w:after="0" w:line="276" w:lineRule="auto"/>
        <w:jc w:val="both"/>
        <w:rPr>
          <w:rFonts w:ascii="Gadugi" w:eastAsia="Times New Roman" w:hAnsi="Gadugi" w:cs="Century Gothic"/>
          <w:b/>
          <w:bCs/>
          <w:sz w:val="24"/>
          <w:szCs w:val="24"/>
          <w:lang w:val="es-ES" w:eastAsia="es-ES"/>
        </w:rPr>
      </w:pPr>
      <w:r w:rsidRPr="00501476">
        <w:rPr>
          <w:rFonts w:ascii="Gadugi" w:eastAsia="Times New Roman" w:hAnsi="Gadugi" w:cs="Century Gothic"/>
          <w:b/>
          <w:bCs/>
          <w:sz w:val="24"/>
          <w:szCs w:val="24"/>
          <w:lang w:val="es-ES" w:eastAsia="es-ES"/>
        </w:rPr>
        <w:t xml:space="preserve"> </w:t>
      </w:r>
      <w:r w:rsidRPr="00501476">
        <w:rPr>
          <w:rFonts w:ascii="Gadugi" w:eastAsia="Times New Roman" w:hAnsi="Gadugi" w:cs="Century Gothic"/>
          <w:b/>
          <w:bCs/>
          <w:sz w:val="24"/>
          <w:szCs w:val="24"/>
          <w:lang w:val="es-ES" w:eastAsia="es-ES"/>
        </w:rPr>
        <w:tab/>
      </w:r>
      <w:r w:rsidRPr="00501476">
        <w:rPr>
          <w:rFonts w:ascii="Gadugi" w:eastAsia="Times New Roman" w:hAnsi="Gadugi" w:cs="Century Gothic"/>
          <w:b/>
          <w:bCs/>
          <w:sz w:val="24"/>
          <w:szCs w:val="24"/>
          <w:lang w:val="es-ES" w:eastAsia="es-ES"/>
        </w:rPr>
        <w:tab/>
      </w:r>
      <w:r w:rsidRPr="00501476">
        <w:rPr>
          <w:rFonts w:ascii="Gadugi" w:eastAsia="Times New Roman" w:hAnsi="Gadugi" w:cs="Century Gothic"/>
          <w:b/>
          <w:bCs/>
          <w:sz w:val="24"/>
          <w:szCs w:val="24"/>
          <w:lang w:val="es-ES" w:eastAsia="es-ES"/>
        </w:rPr>
        <w:tab/>
      </w:r>
      <w:r w:rsidRPr="00501476">
        <w:rPr>
          <w:rFonts w:ascii="Gadugi" w:eastAsia="Times New Roman" w:hAnsi="Gadugi" w:cs="Century Gothic"/>
          <w:b/>
          <w:bCs/>
          <w:sz w:val="24"/>
          <w:szCs w:val="24"/>
          <w:lang w:val="es-ES" w:eastAsia="es-ES"/>
        </w:rPr>
        <w:tab/>
        <w:t>DECISIÓN</w:t>
      </w:r>
    </w:p>
    <w:p w14:paraId="61CDCEAD" w14:textId="77777777" w:rsidR="003215AE" w:rsidRPr="00501476" w:rsidRDefault="003215AE" w:rsidP="00501476">
      <w:pPr>
        <w:spacing w:after="0" w:line="276" w:lineRule="auto"/>
        <w:jc w:val="both"/>
        <w:rPr>
          <w:rFonts w:ascii="Gadugi" w:eastAsia="Times New Roman" w:hAnsi="Gadugi" w:cs="Century Gothic"/>
          <w:b/>
          <w:bCs/>
          <w:sz w:val="24"/>
          <w:szCs w:val="24"/>
          <w:lang w:val="es-ES" w:eastAsia="es-ES"/>
        </w:rPr>
      </w:pPr>
    </w:p>
    <w:p w14:paraId="6BB9E253" w14:textId="77777777" w:rsidR="003215AE" w:rsidRPr="00501476" w:rsidRDefault="003215AE" w:rsidP="00501476">
      <w:pPr>
        <w:spacing w:after="0" w:line="276" w:lineRule="auto"/>
        <w:jc w:val="both"/>
        <w:rPr>
          <w:rFonts w:ascii="Gadugi" w:eastAsia="Times New Roman" w:hAnsi="Gadugi" w:cs="Century Gothic"/>
          <w:b/>
          <w:bCs/>
          <w:sz w:val="24"/>
          <w:szCs w:val="24"/>
          <w:lang w:val="es-ES" w:eastAsia="es-ES"/>
        </w:rPr>
      </w:pPr>
    </w:p>
    <w:p w14:paraId="48ADA69F" w14:textId="75839A13" w:rsidR="00557111" w:rsidRPr="00501476" w:rsidRDefault="003215AE" w:rsidP="00501476">
      <w:pPr>
        <w:spacing w:after="0" w:line="276" w:lineRule="auto"/>
        <w:jc w:val="both"/>
        <w:rPr>
          <w:rFonts w:ascii="Gadugi" w:eastAsia="Times New Roman" w:hAnsi="Gadugi" w:cs="Century Gothic"/>
          <w:b/>
          <w:sz w:val="24"/>
          <w:szCs w:val="24"/>
          <w:lang w:val="es-ES" w:eastAsia="es-ES"/>
        </w:rPr>
      </w:pPr>
      <w:r w:rsidRPr="00501476">
        <w:rPr>
          <w:rFonts w:ascii="Gadugi" w:eastAsia="Times New Roman" w:hAnsi="Gadugi"/>
          <w:sz w:val="24"/>
          <w:szCs w:val="24"/>
          <w:lang w:val="es-ES" w:eastAsia="es-ES"/>
        </w:rPr>
        <w:t xml:space="preserve">  </w:t>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sz w:val="24"/>
          <w:szCs w:val="24"/>
          <w:lang w:val="es-ES" w:eastAsia="es-ES"/>
        </w:rPr>
        <w:tab/>
      </w:r>
      <w:r w:rsidRPr="00501476">
        <w:rPr>
          <w:rFonts w:ascii="Gadugi" w:eastAsia="Times New Roman" w:hAnsi="Gadugi" w:cs="Century Gothic"/>
          <w:sz w:val="24"/>
          <w:szCs w:val="24"/>
          <w:lang w:val="es-ES" w:eastAsia="es-ES"/>
        </w:rPr>
        <w:t xml:space="preserve">Por lo dicho, el Tribunal Superior del Distrito Judicial de Pereira, Sala de Decisión Civil Familia, administrando justicia en nombre de la República y por autoridad de la ley, </w:t>
      </w:r>
      <w:r w:rsidR="002837ED" w:rsidRPr="00501476">
        <w:rPr>
          <w:rFonts w:ascii="Gadugi" w:eastAsia="Times New Roman" w:hAnsi="Gadugi" w:cs="Arial"/>
          <w:b/>
          <w:bCs/>
          <w:sz w:val="24"/>
          <w:szCs w:val="24"/>
          <w:lang w:val="es-ES" w:eastAsia="es-ES"/>
        </w:rPr>
        <w:t>CONFIRMA</w:t>
      </w:r>
      <w:r w:rsidR="00031F0A" w:rsidRPr="00501476">
        <w:rPr>
          <w:rFonts w:ascii="Gadugi" w:eastAsia="Times New Roman" w:hAnsi="Gadugi" w:cs="Arial"/>
          <w:b/>
          <w:bCs/>
          <w:sz w:val="24"/>
          <w:szCs w:val="24"/>
          <w:lang w:val="es-ES" w:eastAsia="es-ES"/>
        </w:rPr>
        <w:t xml:space="preserve"> </w:t>
      </w:r>
      <w:r w:rsidRPr="00501476">
        <w:rPr>
          <w:rFonts w:ascii="Gadugi" w:eastAsia="Times New Roman" w:hAnsi="Gadugi" w:cs="Arial"/>
          <w:sz w:val="24"/>
          <w:szCs w:val="24"/>
          <w:lang w:val="es-ES" w:eastAsia="es-ES"/>
        </w:rPr>
        <w:t xml:space="preserve">la sentencia </w:t>
      </w:r>
      <w:r w:rsidR="006220A6" w:rsidRPr="00501476">
        <w:rPr>
          <w:rFonts w:ascii="Gadugi" w:eastAsia="Times New Roman" w:hAnsi="Gadugi" w:cs="Arial"/>
          <w:sz w:val="24"/>
          <w:szCs w:val="24"/>
          <w:lang w:val="es-ES" w:eastAsia="es-ES"/>
        </w:rPr>
        <w:t>impugnada</w:t>
      </w:r>
      <w:r w:rsidR="00DA45EE" w:rsidRPr="00501476">
        <w:rPr>
          <w:rFonts w:ascii="Gadugi" w:eastAsia="Times New Roman" w:hAnsi="Gadugi" w:cs="Arial"/>
          <w:sz w:val="24"/>
          <w:szCs w:val="24"/>
          <w:lang w:val="es-ES" w:eastAsia="es-ES"/>
        </w:rPr>
        <w:t>.</w:t>
      </w:r>
    </w:p>
    <w:p w14:paraId="28654922" w14:textId="4B8B0332" w:rsidR="00C607C9" w:rsidRPr="00501476" w:rsidRDefault="00C607C9" w:rsidP="00501476">
      <w:pPr>
        <w:spacing w:after="0" w:line="276" w:lineRule="auto"/>
        <w:jc w:val="both"/>
        <w:rPr>
          <w:rFonts w:ascii="Gadugi" w:eastAsia="Times New Roman" w:hAnsi="Gadugi" w:cs="Arial"/>
          <w:sz w:val="24"/>
          <w:szCs w:val="24"/>
          <w:lang w:val="es-ES" w:eastAsia="es-ES"/>
        </w:rPr>
      </w:pP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p>
    <w:p w14:paraId="7FD33318" w14:textId="77777777" w:rsidR="003215AE" w:rsidRPr="00501476" w:rsidRDefault="003215AE" w:rsidP="00501476">
      <w:pPr>
        <w:spacing w:after="0" w:line="276" w:lineRule="auto"/>
        <w:jc w:val="both"/>
        <w:rPr>
          <w:rFonts w:ascii="Gadugi" w:eastAsia="Times New Roman" w:hAnsi="Gadugi" w:cs="Arial"/>
          <w:sz w:val="24"/>
          <w:szCs w:val="24"/>
          <w:lang w:val="es-ES" w:eastAsia="es-ES"/>
        </w:rPr>
      </w:pP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t>Notifíquese la decisión a las partes en la forma prevista en el artículo 5° del Decreto 306 de 1992 y remítase el expediente a la Corte Constitucional para su eventual revisión.</w:t>
      </w:r>
    </w:p>
    <w:p w14:paraId="52E56223" w14:textId="77777777" w:rsidR="003215AE" w:rsidRPr="00501476" w:rsidRDefault="003215AE" w:rsidP="00501476">
      <w:pPr>
        <w:spacing w:after="0" w:line="276" w:lineRule="auto"/>
        <w:jc w:val="both"/>
        <w:rPr>
          <w:rFonts w:ascii="Gadugi" w:eastAsia="Times New Roman" w:hAnsi="Gadugi" w:cs="Arial"/>
          <w:sz w:val="24"/>
          <w:szCs w:val="24"/>
          <w:lang w:val="es-ES" w:eastAsia="es-ES"/>
        </w:rPr>
      </w:pPr>
    </w:p>
    <w:p w14:paraId="268AE4A1" w14:textId="77777777" w:rsidR="003215AE" w:rsidRPr="00501476" w:rsidRDefault="003215AE" w:rsidP="00501476">
      <w:pPr>
        <w:spacing w:after="0" w:line="276" w:lineRule="auto"/>
        <w:jc w:val="both"/>
        <w:rPr>
          <w:rFonts w:ascii="Gadugi" w:eastAsia="Times New Roman" w:hAnsi="Gadugi" w:cs="Arial"/>
          <w:sz w:val="24"/>
          <w:szCs w:val="24"/>
          <w:lang w:val="es-ES" w:eastAsia="es-ES"/>
        </w:rPr>
      </w:pPr>
      <w:r w:rsidRPr="00501476">
        <w:rPr>
          <w:rFonts w:ascii="Gadugi" w:eastAsia="Times New Roman" w:hAnsi="Gadugi" w:cs="Arial"/>
          <w:sz w:val="24"/>
          <w:szCs w:val="24"/>
          <w:lang w:val="es-ES" w:eastAsia="es-ES"/>
        </w:rPr>
        <w:t xml:space="preserve"> </w:t>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t>Los Magistrados,</w:t>
      </w:r>
    </w:p>
    <w:p w14:paraId="07547A01" w14:textId="2736C6B8" w:rsidR="003215AE" w:rsidRDefault="003215AE" w:rsidP="00501476">
      <w:pPr>
        <w:spacing w:after="0" w:line="276" w:lineRule="auto"/>
        <w:jc w:val="both"/>
        <w:rPr>
          <w:rFonts w:ascii="Gadugi" w:eastAsia="Times New Roman" w:hAnsi="Gadugi" w:cs="Arial"/>
          <w:sz w:val="24"/>
          <w:szCs w:val="24"/>
          <w:lang w:val="es-ES" w:eastAsia="es-ES"/>
        </w:rPr>
      </w:pPr>
    </w:p>
    <w:p w14:paraId="7B724C98" w14:textId="77777777" w:rsidR="00501476" w:rsidRPr="00501476" w:rsidRDefault="00501476" w:rsidP="00501476">
      <w:pPr>
        <w:spacing w:after="0" w:line="276" w:lineRule="auto"/>
        <w:jc w:val="both"/>
        <w:rPr>
          <w:rFonts w:ascii="Gadugi" w:eastAsia="Times New Roman" w:hAnsi="Gadugi" w:cs="Arial"/>
          <w:sz w:val="24"/>
          <w:szCs w:val="24"/>
          <w:lang w:val="es-ES" w:eastAsia="es-ES"/>
        </w:rPr>
      </w:pPr>
    </w:p>
    <w:p w14:paraId="737CEBAF" w14:textId="06FD4946" w:rsidR="003215AE" w:rsidRPr="00501476" w:rsidRDefault="003215AE" w:rsidP="00501476">
      <w:pPr>
        <w:spacing w:after="0" w:line="276" w:lineRule="auto"/>
        <w:jc w:val="both"/>
        <w:rPr>
          <w:rFonts w:ascii="Gadugi" w:eastAsia="Times New Roman" w:hAnsi="Gadugi" w:cs="Arial"/>
          <w:b/>
          <w:bCs/>
          <w:sz w:val="24"/>
          <w:szCs w:val="24"/>
          <w:lang w:val="es-ES" w:eastAsia="es-ES"/>
        </w:rPr>
      </w:pPr>
      <w:r w:rsidRPr="00501476">
        <w:rPr>
          <w:rFonts w:ascii="Gadugi" w:eastAsia="Times New Roman" w:hAnsi="Gadugi" w:cs="Arial"/>
          <w:sz w:val="24"/>
          <w:szCs w:val="24"/>
          <w:lang w:val="es-ES" w:eastAsia="es-ES"/>
        </w:rPr>
        <w:t xml:space="preserve">   </w:t>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sz w:val="24"/>
          <w:szCs w:val="24"/>
          <w:lang w:val="es-ES" w:eastAsia="es-ES"/>
        </w:rPr>
        <w:tab/>
      </w:r>
      <w:r w:rsidRPr="00501476">
        <w:rPr>
          <w:rFonts w:ascii="Gadugi" w:eastAsia="Times New Roman" w:hAnsi="Gadugi" w:cs="Arial"/>
          <w:b/>
          <w:bCs/>
          <w:sz w:val="24"/>
          <w:szCs w:val="24"/>
          <w:lang w:val="es-ES" w:eastAsia="es-ES"/>
        </w:rPr>
        <w:t>JAIME ALBERTO SARAZA NARANJO</w:t>
      </w:r>
    </w:p>
    <w:p w14:paraId="1274CF9A" w14:textId="345F8753" w:rsidR="0070395F" w:rsidRDefault="0070395F" w:rsidP="00501476">
      <w:pPr>
        <w:spacing w:after="0" w:line="276" w:lineRule="auto"/>
        <w:jc w:val="both"/>
        <w:rPr>
          <w:rFonts w:ascii="Gadugi" w:eastAsia="Times New Roman" w:hAnsi="Gadugi" w:cs="Arial"/>
          <w:b/>
          <w:bCs/>
          <w:sz w:val="24"/>
          <w:szCs w:val="24"/>
          <w:lang w:val="es-ES" w:eastAsia="es-ES"/>
        </w:rPr>
      </w:pPr>
    </w:p>
    <w:p w14:paraId="4FD73E23" w14:textId="77777777" w:rsidR="00501476" w:rsidRPr="00501476" w:rsidRDefault="00501476" w:rsidP="00501476">
      <w:pPr>
        <w:spacing w:after="0" w:line="276" w:lineRule="auto"/>
        <w:jc w:val="both"/>
        <w:rPr>
          <w:rFonts w:ascii="Gadugi" w:eastAsia="Times New Roman" w:hAnsi="Gadugi" w:cs="Arial"/>
          <w:b/>
          <w:bCs/>
          <w:sz w:val="24"/>
          <w:szCs w:val="24"/>
          <w:lang w:val="es-ES" w:eastAsia="es-ES"/>
        </w:rPr>
      </w:pPr>
    </w:p>
    <w:p w14:paraId="726E4031" w14:textId="28B4CF90" w:rsidR="00BA14A1" w:rsidRPr="00501476" w:rsidRDefault="00BA14A1" w:rsidP="00501476">
      <w:pPr>
        <w:spacing w:after="0" w:line="276" w:lineRule="auto"/>
        <w:jc w:val="both"/>
        <w:rPr>
          <w:rFonts w:ascii="Gadugi" w:eastAsia="Times New Roman" w:hAnsi="Gadugi" w:cs="Arial"/>
          <w:b/>
          <w:bCs/>
          <w:sz w:val="24"/>
          <w:szCs w:val="24"/>
          <w:lang w:val="es-ES" w:eastAsia="es-ES"/>
        </w:rPr>
      </w:pPr>
      <w:r w:rsidRPr="00501476">
        <w:rPr>
          <w:rFonts w:ascii="Gadugi" w:eastAsia="Times New Roman" w:hAnsi="Gadugi" w:cs="Arial"/>
          <w:b/>
          <w:bCs/>
          <w:sz w:val="24"/>
          <w:szCs w:val="24"/>
          <w:lang w:val="es-ES" w:eastAsia="es-ES"/>
        </w:rPr>
        <w:tab/>
      </w:r>
      <w:r w:rsidRPr="00501476">
        <w:rPr>
          <w:rFonts w:ascii="Gadugi" w:eastAsia="Times New Roman" w:hAnsi="Gadugi" w:cs="Arial"/>
          <w:b/>
          <w:bCs/>
          <w:sz w:val="24"/>
          <w:szCs w:val="24"/>
          <w:lang w:val="es-ES" w:eastAsia="es-ES"/>
        </w:rPr>
        <w:tab/>
      </w:r>
      <w:r w:rsidRPr="00501476">
        <w:rPr>
          <w:rFonts w:ascii="Gadugi" w:eastAsia="Times New Roman" w:hAnsi="Gadugi" w:cs="Arial"/>
          <w:b/>
          <w:bCs/>
          <w:sz w:val="24"/>
          <w:szCs w:val="24"/>
          <w:lang w:val="es-ES" w:eastAsia="es-ES"/>
        </w:rPr>
        <w:tab/>
      </w:r>
      <w:r w:rsidRPr="00501476">
        <w:rPr>
          <w:rFonts w:ascii="Gadugi" w:eastAsia="Times New Roman" w:hAnsi="Gadugi" w:cs="Arial"/>
          <w:b/>
          <w:bCs/>
          <w:sz w:val="24"/>
          <w:szCs w:val="24"/>
          <w:lang w:val="es-ES" w:eastAsia="es-ES"/>
        </w:rPr>
        <w:tab/>
        <w:t>CARLOS MAURICIO GARCÍA BARAJAS</w:t>
      </w:r>
    </w:p>
    <w:p w14:paraId="207CDE6F" w14:textId="0F77AD65" w:rsidR="00BA14A1" w:rsidRDefault="00BA14A1" w:rsidP="00501476">
      <w:pPr>
        <w:spacing w:after="0" w:line="276" w:lineRule="auto"/>
        <w:jc w:val="both"/>
        <w:rPr>
          <w:rFonts w:ascii="Gadugi" w:eastAsia="Times New Roman" w:hAnsi="Gadugi" w:cs="Arial"/>
          <w:b/>
          <w:bCs/>
          <w:sz w:val="24"/>
          <w:szCs w:val="24"/>
          <w:lang w:val="es-ES" w:eastAsia="es-ES"/>
        </w:rPr>
      </w:pPr>
    </w:p>
    <w:p w14:paraId="7D43A5A6" w14:textId="77777777" w:rsidR="00501476" w:rsidRPr="00501476" w:rsidRDefault="00501476" w:rsidP="00501476">
      <w:pPr>
        <w:spacing w:after="0" w:line="276" w:lineRule="auto"/>
        <w:jc w:val="both"/>
        <w:rPr>
          <w:rFonts w:ascii="Gadugi" w:eastAsia="Times New Roman" w:hAnsi="Gadugi" w:cs="Arial"/>
          <w:b/>
          <w:bCs/>
          <w:sz w:val="24"/>
          <w:szCs w:val="24"/>
          <w:lang w:val="es-ES" w:eastAsia="es-ES"/>
        </w:rPr>
      </w:pPr>
    </w:p>
    <w:p w14:paraId="560DD79E" w14:textId="5D81F47E" w:rsidR="003215AE" w:rsidRPr="00501476" w:rsidRDefault="00BA14A1" w:rsidP="00501476">
      <w:pPr>
        <w:spacing w:after="0" w:line="276" w:lineRule="auto"/>
        <w:jc w:val="both"/>
        <w:rPr>
          <w:rFonts w:ascii="Gadugi" w:eastAsia="Times New Roman" w:hAnsi="Gadugi"/>
          <w:sz w:val="24"/>
          <w:szCs w:val="24"/>
          <w:lang w:val="es-ES" w:eastAsia="es-ES"/>
        </w:rPr>
      </w:pPr>
      <w:r w:rsidRPr="00501476">
        <w:rPr>
          <w:rFonts w:ascii="Gadugi" w:eastAsia="Times New Roman" w:hAnsi="Gadugi" w:cs="Arial"/>
          <w:b/>
          <w:bCs/>
          <w:sz w:val="24"/>
          <w:szCs w:val="24"/>
          <w:lang w:val="es-ES" w:eastAsia="es-ES"/>
        </w:rPr>
        <w:tab/>
      </w:r>
      <w:r w:rsidRPr="00501476">
        <w:rPr>
          <w:rFonts w:ascii="Gadugi" w:eastAsia="Times New Roman" w:hAnsi="Gadugi" w:cs="Arial"/>
          <w:b/>
          <w:bCs/>
          <w:sz w:val="24"/>
          <w:szCs w:val="24"/>
          <w:lang w:val="es-ES" w:eastAsia="es-ES"/>
        </w:rPr>
        <w:tab/>
      </w:r>
      <w:r w:rsidRPr="00501476">
        <w:rPr>
          <w:rFonts w:ascii="Gadugi" w:eastAsia="Times New Roman" w:hAnsi="Gadugi" w:cs="Arial"/>
          <w:b/>
          <w:bCs/>
          <w:sz w:val="24"/>
          <w:szCs w:val="24"/>
          <w:lang w:val="es-ES" w:eastAsia="es-ES"/>
        </w:rPr>
        <w:tab/>
      </w:r>
      <w:r w:rsidRPr="00501476">
        <w:rPr>
          <w:rFonts w:ascii="Gadugi" w:eastAsia="Times New Roman" w:hAnsi="Gadugi" w:cs="Arial"/>
          <w:b/>
          <w:bCs/>
          <w:sz w:val="24"/>
          <w:szCs w:val="24"/>
          <w:lang w:val="es-ES" w:eastAsia="es-ES"/>
        </w:rPr>
        <w:tab/>
      </w:r>
      <w:r w:rsidR="003215AE" w:rsidRPr="00501476">
        <w:rPr>
          <w:rFonts w:ascii="Gadugi" w:eastAsia="Times New Roman" w:hAnsi="Gadugi" w:cs="Arial"/>
          <w:b/>
          <w:bCs/>
          <w:sz w:val="24"/>
          <w:szCs w:val="24"/>
          <w:lang w:eastAsia="es-ES"/>
        </w:rPr>
        <w:t xml:space="preserve">DUBERNEY GRISALES </w:t>
      </w:r>
      <w:r w:rsidR="00E3137F" w:rsidRPr="00501476">
        <w:rPr>
          <w:rFonts w:ascii="Gadugi" w:eastAsia="Times New Roman" w:hAnsi="Gadugi" w:cs="Arial"/>
          <w:b/>
          <w:bCs/>
          <w:sz w:val="24"/>
          <w:szCs w:val="24"/>
          <w:lang w:eastAsia="es-ES"/>
        </w:rPr>
        <w:t>HERRERA</w:t>
      </w:r>
    </w:p>
    <w:sectPr w:rsidR="003215AE" w:rsidRPr="00501476" w:rsidSect="00B6270C">
      <w:pgSz w:w="12242" w:h="18722" w:code="258"/>
      <w:pgMar w:top="1871" w:right="1304" w:bottom="1304" w:left="1871"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733B44" w16cex:dateUtc="2020-10-07T17:03:29.682Z"/>
  <w16cex:commentExtensible w16cex:durableId="2C31B4CF" w16cex:dateUtc="2021-11-09T14:21:58.483Z"/>
  <w16cex:commentExtensible w16cex:durableId="0EF0503A" w16cex:dateUtc="2021-11-09T15:52:57.151Z"/>
  <w16cex:commentExtensible w16cex:durableId="1E60E2C5" w16cex:dateUtc="2021-11-09T15:53:15.4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E2D6" w14:textId="77777777" w:rsidR="006B3AED" w:rsidRDefault="006B3AED" w:rsidP="003215AE">
      <w:pPr>
        <w:spacing w:after="0" w:line="240" w:lineRule="auto"/>
      </w:pPr>
      <w:r>
        <w:separator/>
      </w:r>
    </w:p>
  </w:endnote>
  <w:endnote w:type="continuationSeparator" w:id="0">
    <w:p w14:paraId="14A134F0" w14:textId="77777777" w:rsidR="006B3AED" w:rsidRDefault="006B3AED" w:rsidP="0032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D1E16" w14:textId="77777777" w:rsidR="006B3AED" w:rsidRDefault="006B3AED" w:rsidP="003215AE">
      <w:pPr>
        <w:spacing w:after="0" w:line="240" w:lineRule="auto"/>
      </w:pPr>
      <w:r>
        <w:separator/>
      </w:r>
    </w:p>
  </w:footnote>
  <w:footnote w:type="continuationSeparator" w:id="0">
    <w:p w14:paraId="3FA74F3F" w14:textId="77777777" w:rsidR="006B3AED" w:rsidRDefault="006B3AED" w:rsidP="003215AE">
      <w:pPr>
        <w:spacing w:after="0" w:line="240" w:lineRule="auto"/>
      </w:pPr>
      <w:r>
        <w:continuationSeparator/>
      </w:r>
    </w:p>
  </w:footnote>
  <w:footnote w:id="1">
    <w:p w14:paraId="258B94A4" w14:textId="76BA97E6" w:rsidR="004C2320" w:rsidRPr="00501476" w:rsidRDefault="004C2320"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Documento 01, C. 1.</w:t>
      </w:r>
    </w:p>
  </w:footnote>
  <w:footnote w:id="2">
    <w:p w14:paraId="6BE7F210" w14:textId="74F3B456" w:rsidR="00B50F51" w:rsidRPr="00501476" w:rsidRDefault="00B50F51"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Documento 02, C. 1.</w:t>
      </w:r>
    </w:p>
  </w:footnote>
  <w:footnote w:id="3">
    <w:p w14:paraId="54DB8486" w14:textId="2BCE4F6E" w:rsidR="00B50F51" w:rsidRPr="00501476" w:rsidRDefault="00B50F51"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Documento 04, C. 1.</w:t>
      </w:r>
    </w:p>
  </w:footnote>
  <w:footnote w:id="4">
    <w:p w14:paraId="718A82A4" w14:textId="146E5A92" w:rsidR="00B50F51" w:rsidRPr="00501476" w:rsidRDefault="00B50F51"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Documento 05, C. 1.</w:t>
      </w:r>
    </w:p>
  </w:footnote>
  <w:footnote w:id="5">
    <w:p w14:paraId="40633746" w14:textId="51775872" w:rsidR="00B50F51" w:rsidRPr="00501476" w:rsidRDefault="00B50F51"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Documento 07, C. 1.</w:t>
      </w:r>
    </w:p>
  </w:footnote>
  <w:footnote w:id="6">
    <w:p w14:paraId="54B96300" w14:textId="40789A81" w:rsidR="00B50F51" w:rsidRPr="00501476" w:rsidRDefault="00B50F51"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Pág. 2, Documento 01, C. 1.</w:t>
      </w:r>
    </w:p>
  </w:footnote>
  <w:footnote w:id="7">
    <w:p w14:paraId="285C7D7B" w14:textId="77777777" w:rsidR="00B50F51" w:rsidRPr="00501476" w:rsidRDefault="00B50F51"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Pág. 15, Documento 01, C. 1.</w:t>
      </w:r>
    </w:p>
  </w:footnote>
  <w:footnote w:id="8">
    <w:p w14:paraId="37B73244" w14:textId="77777777" w:rsidR="003215AE" w:rsidRPr="00501476" w:rsidRDefault="003215AE"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Sentencias T-016 y T-760 de 2007</w:t>
      </w:r>
    </w:p>
  </w:footnote>
  <w:footnote w:id="9">
    <w:p w14:paraId="4357224B" w14:textId="35BC38AD" w:rsidR="00E463B7" w:rsidRPr="00501476" w:rsidRDefault="00E463B7"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Sentencia T-421/15</w:t>
      </w:r>
    </w:p>
  </w:footnote>
  <w:footnote w:id="10">
    <w:p w14:paraId="6D40341B" w14:textId="18384154" w:rsidR="00E463B7" w:rsidRPr="00501476" w:rsidRDefault="00E463B7"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La Asociación Colombiana de Nefrología e Hipertensión Arterial contestó a lo solicitado en sede de revisión a través de documento suscrito por su presidente, Jaime José Torres Saltarín, que fue radicado en la Secretaría General de esta corporación el cuatro de junio de 2015. El doctor Torres es Médico Internista Nefrólogo, con estudios en la Universidad Libre de Barranquilla, la Universidad de la República de Montevideo y la Universidad de Buenos Aires (Folios 125 a 129 del cuaderno de revisión constitucional).</w:t>
      </w:r>
    </w:p>
  </w:footnote>
  <w:footnote w:id="11">
    <w:p w14:paraId="5889FD83" w14:textId="07CDF6BC" w:rsidR="00E463B7" w:rsidRPr="00501476" w:rsidRDefault="00E463B7"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Sentencia T-275/16</w:t>
      </w:r>
    </w:p>
  </w:footnote>
  <w:footnote w:id="12">
    <w:p w14:paraId="6C2963A8" w14:textId="1D30D1F1" w:rsidR="00EE0517" w:rsidRPr="00501476" w:rsidRDefault="00EE0517"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Sentencias T-900 de 2000, M.P. Alejandro Martínez Caballero; T-1079 de 2001, M.P. Alfredo Beltrán Sierra; T-1158 de 2001, M.P. Marco Gerardo Monroy Cabra; T- 962 de 2005, M.P. Marco Gerardo Monroy Cabra; T-493 de 2006, M.P. </w:t>
      </w:r>
      <w:proofErr w:type="spellStart"/>
      <w:r w:rsidRPr="00501476">
        <w:rPr>
          <w:rFonts w:ascii="Century" w:hAnsi="Century" w:cstheme="minorHAnsi"/>
          <w:sz w:val="18"/>
          <w:szCs w:val="26"/>
        </w:rPr>
        <w:t>Alvaro</w:t>
      </w:r>
      <w:proofErr w:type="spellEnd"/>
      <w:r w:rsidRPr="00501476">
        <w:rPr>
          <w:rFonts w:ascii="Century" w:hAnsi="Century" w:cstheme="minorHAnsi"/>
          <w:sz w:val="18"/>
          <w:szCs w:val="26"/>
        </w:rPr>
        <w:t xml:space="preserve"> Tafur Galvis; T-057 de 2009, M.P. Jaime Araújo Rentería; T-346 de 2009, M.P. María Victoria Calle Correa; y T-550 de 2009, M.P. Mauricio González Cuervo.</w:t>
      </w:r>
    </w:p>
  </w:footnote>
  <w:footnote w:id="13">
    <w:p w14:paraId="23A82EF9" w14:textId="5D2F81AA" w:rsidR="00EE0517" w:rsidRPr="00501476" w:rsidRDefault="00EE0517"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Sentencias T-900 de 2000, M.P. Alejandro Martínez Caballero; T-1079 de 2001, M.P. Alfredo Beltrán Sierra; T-1158 de 2001, M.P. Marco Gerardo Monroy Cabra; T- 962 de 2005, M.P. Marco Gerardo Monroy Cabra; T-493 de 2006, M.P. </w:t>
      </w:r>
      <w:proofErr w:type="spellStart"/>
      <w:r w:rsidRPr="00501476">
        <w:rPr>
          <w:rFonts w:ascii="Century" w:hAnsi="Century" w:cstheme="minorHAnsi"/>
          <w:sz w:val="18"/>
          <w:szCs w:val="26"/>
        </w:rPr>
        <w:t>Alvaro</w:t>
      </w:r>
      <w:proofErr w:type="spellEnd"/>
      <w:r w:rsidRPr="00501476">
        <w:rPr>
          <w:rFonts w:ascii="Century" w:hAnsi="Century" w:cstheme="minorHAnsi"/>
          <w:sz w:val="18"/>
          <w:szCs w:val="26"/>
        </w:rPr>
        <w:t xml:space="preserve"> Tafur Galvis; T-057 de 2009, M.P. Jaime Araújo Rentería; T-346 de 2009, M.P. María Victoria Calle Correa y T-550 de 2009, M.P. Mauricio González Cuervo.</w:t>
      </w:r>
    </w:p>
  </w:footnote>
  <w:footnote w:id="14">
    <w:p w14:paraId="55A40763" w14:textId="00D86AF9" w:rsidR="00B50F51" w:rsidRPr="00501476" w:rsidRDefault="00B50F51"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Pág. 15, Documento 01, C. 1.</w:t>
      </w:r>
    </w:p>
  </w:footnote>
  <w:footnote w:id="15">
    <w:p w14:paraId="060B3836" w14:textId="77777777" w:rsidR="00C84455" w:rsidRPr="00501476" w:rsidRDefault="00C84455"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Pág. 15, Documento 01, C. 1.</w:t>
      </w:r>
    </w:p>
  </w:footnote>
  <w:footnote w:id="16">
    <w:p w14:paraId="565A47BA" w14:textId="5E262AC8" w:rsidR="00C84455" w:rsidRPr="00501476" w:rsidRDefault="00C84455"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Pág. 15, Documento 01, C. 1.</w:t>
      </w:r>
    </w:p>
  </w:footnote>
  <w:footnote w:id="17">
    <w:p w14:paraId="043CE0BB" w14:textId="5EB6D3C0" w:rsidR="004E4C85" w:rsidRPr="00501476" w:rsidRDefault="004E4C85" w:rsidP="00501476">
      <w:pPr>
        <w:pStyle w:val="Textonotapie"/>
        <w:jc w:val="both"/>
        <w:rPr>
          <w:rFonts w:ascii="Century" w:hAnsi="Century" w:cstheme="minorHAnsi"/>
          <w:sz w:val="18"/>
          <w:szCs w:val="26"/>
        </w:rPr>
      </w:pPr>
      <w:r w:rsidRPr="00501476">
        <w:rPr>
          <w:rStyle w:val="Refdenotaalpie"/>
          <w:rFonts w:ascii="Century" w:hAnsi="Century" w:cstheme="minorHAnsi"/>
          <w:sz w:val="18"/>
          <w:szCs w:val="26"/>
        </w:rPr>
        <w:footnoteRef/>
      </w:r>
      <w:r w:rsidRPr="00501476">
        <w:rPr>
          <w:rFonts w:ascii="Century" w:hAnsi="Century" w:cstheme="minorHAnsi"/>
          <w:sz w:val="18"/>
          <w:szCs w:val="26"/>
        </w:rPr>
        <w:t xml:space="preserve"> </w:t>
      </w:r>
      <w:r w:rsidR="002C1409" w:rsidRPr="00501476">
        <w:rPr>
          <w:rFonts w:ascii="Century" w:hAnsi="Century" w:cstheme="minorHAnsi"/>
          <w:sz w:val="18"/>
          <w:szCs w:val="26"/>
        </w:rPr>
        <w:t>Sentencia T-260/17</w:t>
      </w:r>
    </w:p>
  </w:footnote>
  <w:footnote w:id="18">
    <w:p w14:paraId="66D38B68" w14:textId="4080BE7A" w:rsidR="002C1409" w:rsidRPr="00501476" w:rsidRDefault="002C1409" w:rsidP="00501476">
      <w:pPr>
        <w:pStyle w:val="Textonotapie"/>
        <w:jc w:val="both"/>
        <w:rPr>
          <w:rFonts w:ascii="Century" w:hAnsi="Century"/>
          <w:sz w:val="18"/>
          <w:szCs w:val="26"/>
        </w:rPr>
      </w:pPr>
      <w:r w:rsidRPr="00501476">
        <w:rPr>
          <w:rStyle w:val="Refdenotaalpie"/>
          <w:rFonts w:ascii="Century" w:hAnsi="Century"/>
          <w:sz w:val="18"/>
          <w:szCs w:val="26"/>
        </w:rPr>
        <w:footnoteRef/>
      </w:r>
      <w:r w:rsidRPr="00501476">
        <w:rPr>
          <w:rFonts w:ascii="Century" w:hAnsi="Century"/>
          <w:sz w:val="18"/>
          <w:szCs w:val="26"/>
        </w:rPr>
        <w:t xml:space="preserve"> Sentencia T-118 de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7577"/>
    <w:multiLevelType w:val="hybridMultilevel"/>
    <w:tmpl w:val="A4D039FC"/>
    <w:lvl w:ilvl="0" w:tplc="99CA495C">
      <w:start w:val="1"/>
      <w:numFmt w:val="lowerRoman"/>
      <w:lvlText w:val="(%1)"/>
      <w:lvlJc w:val="left"/>
      <w:pPr>
        <w:ind w:left="3915" w:hanging="108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AE"/>
    <w:rsid w:val="00031F0A"/>
    <w:rsid w:val="0006270A"/>
    <w:rsid w:val="00073A6D"/>
    <w:rsid w:val="000B7819"/>
    <w:rsid w:val="000C50C3"/>
    <w:rsid w:val="000E7A24"/>
    <w:rsid w:val="000F5BAB"/>
    <w:rsid w:val="00113E77"/>
    <w:rsid w:val="001161F5"/>
    <w:rsid w:val="0013208B"/>
    <w:rsid w:val="00140CC7"/>
    <w:rsid w:val="00166340"/>
    <w:rsid w:val="0016701D"/>
    <w:rsid w:val="001753B7"/>
    <w:rsid w:val="00180DF9"/>
    <w:rsid w:val="0018305D"/>
    <w:rsid w:val="001926EE"/>
    <w:rsid w:val="001F605F"/>
    <w:rsid w:val="0020477F"/>
    <w:rsid w:val="00213BBB"/>
    <w:rsid w:val="0022729A"/>
    <w:rsid w:val="00237B51"/>
    <w:rsid w:val="00255557"/>
    <w:rsid w:val="002716BA"/>
    <w:rsid w:val="002837ED"/>
    <w:rsid w:val="002A52E4"/>
    <w:rsid w:val="002C1409"/>
    <w:rsid w:val="002E3027"/>
    <w:rsid w:val="002F5168"/>
    <w:rsid w:val="002F6C85"/>
    <w:rsid w:val="00307759"/>
    <w:rsid w:val="003215AE"/>
    <w:rsid w:val="003220B4"/>
    <w:rsid w:val="00364320"/>
    <w:rsid w:val="00367BA9"/>
    <w:rsid w:val="00370196"/>
    <w:rsid w:val="0039557A"/>
    <w:rsid w:val="003A2AB7"/>
    <w:rsid w:val="003B7BE1"/>
    <w:rsid w:val="003C7F30"/>
    <w:rsid w:val="003F01F2"/>
    <w:rsid w:val="004059CF"/>
    <w:rsid w:val="00412723"/>
    <w:rsid w:val="00425503"/>
    <w:rsid w:val="00440C10"/>
    <w:rsid w:val="004516BC"/>
    <w:rsid w:val="00457F26"/>
    <w:rsid w:val="004615B2"/>
    <w:rsid w:val="00465A69"/>
    <w:rsid w:val="004672DD"/>
    <w:rsid w:val="004B225E"/>
    <w:rsid w:val="004C2320"/>
    <w:rsid w:val="004E4C85"/>
    <w:rsid w:val="00501476"/>
    <w:rsid w:val="00503AE4"/>
    <w:rsid w:val="00520F9A"/>
    <w:rsid w:val="00556673"/>
    <w:rsid w:val="00557111"/>
    <w:rsid w:val="00590632"/>
    <w:rsid w:val="005F7083"/>
    <w:rsid w:val="006220A6"/>
    <w:rsid w:val="006259BE"/>
    <w:rsid w:val="006350BE"/>
    <w:rsid w:val="00654AC9"/>
    <w:rsid w:val="00677A15"/>
    <w:rsid w:val="00681970"/>
    <w:rsid w:val="00695017"/>
    <w:rsid w:val="006B3AED"/>
    <w:rsid w:val="006B6D01"/>
    <w:rsid w:val="006D3257"/>
    <w:rsid w:val="0070395F"/>
    <w:rsid w:val="00720E72"/>
    <w:rsid w:val="007317C6"/>
    <w:rsid w:val="00776405"/>
    <w:rsid w:val="00790F56"/>
    <w:rsid w:val="007A4334"/>
    <w:rsid w:val="007D4D38"/>
    <w:rsid w:val="007E4272"/>
    <w:rsid w:val="007E68EB"/>
    <w:rsid w:val="00807A9B"/>
    <w:rsid w:val="00814310"/>
    <w:rsid w:val="00821DC7"/>
    <w:rsid w:val="0086529B"/>
    <w:rsid w:val="00892BD7"/>
    <w:rsid w:val="008A2394"/>
    <w:rsid w:val="008C34FB"/>
    <w:rsid w:val="008C5A76"/>
    <w:rsid w:val="008D7A5F"/>
    <w:rsid w:val="009206E7"/>
    <w:rsid w:val="00930BE9"/>
    <w:rsid w:val="00943D06"/>
    <w:rsid w:val="00950416"/>
    <w:rsid w:val="009B6148"/>
    <w:rsid w:val="009D3662"/>
    <w:rsid w:val="009F2247"/>
    <w:rsid w:val="00A02885"/>
    <w:rsid w:val="00A15BCB"/>
    <w:rsid w:val="00A27E6B"/>
    <w:rsid w:val="00A51203"/>
    <w:rsid w:val="00A5669D"/>
    <w:rsid w:val="00AB69DB"/>
    <w:rsid w:val="00AF2FDF"/>
    <w:rsid w:val="00B1502F"/>
    <w:rsid w:val="00B36BEA"/>
    <w:rsid w:val="00B41BA3"/>
    <w:rsid w:val="00B50F51"/>
    <w:rsid w:val="00B571ED"/>
    <w:rsid w:val="00B61688"/>
    <w:rsid w:val="00B6270C"/>
    <w:rsid w:val="00B735F9"/>
    <w:rsid w:val="00B83E4B"/>
    <w:rsid w:val="00BA14A1"/>
    <w:rsid w:val="00BC0CF7"/>
    <w:rsid w:val="00BC5475"/>
    <w:rsid w:val="00BE17DA"/>
    <w:rsid w:val="00BE1F84"/>
    <w:rsid w:val="00BE22D9"/>
    <w:rsid w:val="00C31AF4"/>
    <w:rsid w:val="00C333AA"/>
    <w:rsid w:val="00C5077E"/>
    <w:rsid w:val="00C607C9"/>
    <w:rsid w:val="00C84455"/>
    <w:rsid w:val="00CB66DD"/>
    <w:rsid w:val="00CC3303"/>
    <w:rsid w:val="00CD3450"/>
    <w:rsid w:val="00D13D8A"/>
    <w:rsid w:val="00D21FC4"/>
    <w:rsid w:val="00D7539E"/>
    <w:rsid w:val="00DA45EE"/>
    <w:rsid w:val="00DE2674"/>
    <w:rsid w:val="00E05BC7"/>
    <w:rsid w:val="00E209B1"/>
    <w:rsid w:val="00E3137F"/>
    <w:rsid w:val="00E463B7"/>
    <w:rsid w:val="00E83A81"/>
    <w:rsid w:val="00EA4D40"/>
    <w:rsid w:val="00EB5FC0"/>
    <w:rsid w:val="00ED69EE"/>
    <w:rsid w:val="00ED6E64"/>
    <w:rsid w:val="00EE0517"/>
    <w:rsid w:val="00EF1763"/>
    <w:rsid w:val="00F36BE1"/>
    <w:rsid w:val="00F4185B"/>
    <w:rsid w:val="00F4365F"/>
    <w:rsid w:val="00F67A10"/>
    <w:rsid w:val="02EC2744"/>
    <w:rsid w:val="0D827683"/>
    <w:rsid w:val="116E5084"/>
    <w:rsid w:val="126F8725"/>
    <w:rsid w:val="138F19E6"/>
    <w:rsid w:val="13D9F370"/>
    <w:rsid w:val="223F2F3A"/>
    <w:rsid w:val="2B992432"/>
    <w:rsid w:val="3031F904"/>
    <w:rsid w:val="34A35A5F"/>
    <w:rsid w:val="3596C367"/>
    <w:rsid w:val="381A1702"/>
    <w:rsid w:val="38C9BB4E"/>
    <w:rsid w:val="3A3322E4"/>
    <w:rsid w:val="3A899AEC"/>
    <w:rsid w:val="3B1B154E"/>
    <w:rsid w:val="3E58504E"/>
    <w:rsid w:val="40C0B8C4"/>
    <w:rsid w:val="4C75CA2E"/>
    <w:rsid w:val="4ECDA328"/>
    <w:rsid w:val="52407362"/>
    <w:rsid w:val="578FAB66"/>
    <w:rsid w:val="628707D0"/>
    <w:rsid w:val="62F136F1"/>
    <w:rsid w:val="7792941B"/>
    <w:rsid w:val="79DAEE0D"/>
    <w:rsid w:val="7DDCF4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C494"/>
  <w15:docId w15:val="{A4413F14-E9AD-48B4-8BB0-1AA55871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nota pie Car Car Car,Texto nota pie Car Car C,Footnote Text Char Char Char,texto de nota al pie Car,Car,Footnote Te,Footnote Text Char"/>
    <w:basedOn w:val="Normal"/>
    <w:link w:val="TextonotapieCar"/>
    <w:uiPriority w:val="99"/>
    <w:unhideWhenUsed/>
    <w:qFormat/>
    <w:rsid w:val="003215A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nota pie Car Car Car Car,Texto nota pie Car Car C Car,Footnote Text Char Char Char Car,Car Car,Footnote Te Car"/>
    <w:link w:val="Textonotapie"/>
    <w:uiPriority w:val="99"/>
    <w:rsid w:val="003215AE"/>
    <w:rPr>
      <w:sz w:val="20"/>
      <w:szCs w:val="20"/>
    </w:r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3215AE"/>
    <w:rPr>
      <w:rFonts w:cs="Times New Roman"/>
      <w:vertAlign w:val="superscript"/>
    </w:rPr>
  </w:style>
  <w:style w:type="paragraph" w:styleId="Textoindependiente">
    <w:name w:val="Body Text"/>
    <w:basedOn w:val="Normal"/>
    <w:link w:val="TextoindependienteCar"/>
    <w:uiPriority w:val="99"/>
    <w:semiHidden/>
    <w:unhideWhenUsed/>
    <w:rsid w:val="004672DD"/>
    <w:pPr>
      <w:spacing w:after="120"/>
    </w:pPr>
  </w:style>
  <w:style w:type="character" w:customStyle="1" w:styleId="TextoindependienteCar">
    <w:name w:val="Texto independiente Car"/>
    <w:link w:val="Textoindependiente"/>
    <w:uiPriority w:val="99"/>
    <w:semiHidden/>
    <w:rsid w:val="004672DD"/>
    <w:rPr>
      <w:sz w:val="22"/>
      <w:szCs w:val="22"/>
      <w:lang w:eastAsia="en-US"/>
    </w:rPr>
  </w:style>
  <w:style w:type="character" w:styleId="Hipervnculo">
    <w:name w:val="Hyperlink"/>
    <w:uiPriority w:val="99"/>
    <w:unhideWhenUsed/>
    <w:rsid w:val="00EA4D40"/>
    <w:rPr>
      <w:color w:val="0000FF"/>
      <w:u w:val="single"/>
    </w:rPr>
  </w:style>
  <w:style w:type="paragraph" w:styleId="Prrafodelista">
    <w:name w:val="List Paragraph"/>
    <w:basedOn w:val="Normal"/>
    <w:uiPriority w:val="34"/>
    <w:qFormat/>
    <w:rsid w:val="00113E77"/>
    <w:pPr>
      <w:ind w:left="708"/>
    </w:pPr>
  </w:style>
  <w:style w:type="paragraph" w:styleId="Textodeglobo">
    <w:name w:val="Balloon Text"/>
    <w:basedOn w:val="Normal"/>
    <w:link w:val="TextodegloboCar"/>
    <w:uiPriority w:val="99"/>
    <w:semiHidden/>
    <w:unhideWhenUsed/>
    <w:rsid w:val="00695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017"/>
    <w:rPr>
      <w:rFonts w:ascii="Tahoma" w:hAnsi="Tahoma" w:cs="Tahoma"/>
      <w:sz w:val="16"/>
      <w:szCs w:val="16"/>
      <w:lang w:eastAsia="en-US"/>
    </w:rPr>
  </w:style>
  <w:style w:type="character" w:styleId="Hipervnculovisitado">
    <w:name w:val="FollowedHyperlink"/>
    <w:basedOn w:val="Fuentedeprrafopredeter"/>
    <w:uiPriority w:val="99"/>
    <w:semiHidden/>
    <w:unhideWhenUsed/>
    <w:rsid w:val="00EE0517"/>
    <w:rPr>
      <w:color w:val="800080" w:themeColor="followedHyperlink"/>
      <w:u w:val="single"/>
    </w:rPr>
  </w:style>
  <w:style w:type="paragraph" w:customStyle="1" w:styleId="bodytext21">
    <w:name w:val="bodytext21"/>
    <w:basedOn w:val="Normal"/>
    <w:rsid w:val="004E4C8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Fuentedeprrafopredeter"/>
    <w:rsid w:val="004E4C85"/>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eastAsia="en-US"/>
    </w:rPr>
  </w:style>
  <w:style w:type="character" w:styleId="Refdecomentario">
    <w:name w:val="annotation reference"/>
    <w:basedOn w:val="Fuentedeprrafopredeter"/>
    <w:uiPriority w:val="99"/>
    <w:semiHidden/>
    <w:unhideWhenUsed/>
    <w:rPr>
      <w:sz w:val="16"/>
      <w:szCs w:val="16"/>
    </w:rPr>
  </w:style>
  <w:style w:type="character" w:styleId="Mencinsinresolver">
    <w:name w:val="Unresolved Mention"/>
    <w:basedOn w:val="Fuentedeprrafopredeter"/>
    <w:uiPriority w:val="99"/>
    <w:semiHidden/>
    <w:unhideWhenUsed/>
    <w:rsid w:val="00DA4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15836">
      <w:bodyDiv w:val="1"/>
      <w:marLeft w:val="0"/>
      <w:marRight w:val="0"/>
      <w:marTop w:val="0"/>
      <w:marBottom w:val="0"/>
      <w:divBdr>
        <w:top w:val="none" w:sz="0" w:space="0" w:color="auto"/>
        <w:left w:val="none" w:sz="0" w:space="0" w:color="auto"/>
        <w:bottom w:val="none" w:sz="0" w:space="0" w:color="auto"/>
        <w:right w:val="none" w:sz="0" w:space="0" w:color="auto"/>
      </w:divBdr>
    </w:div>
    <w:div w:id="1088648080">
      <w:bodyDiv w:val="1"/>
      <w:marLeft w:val="0"/>
      <w:marRight w:val="0"/>
      <w:marTop w:val="0"/>
      <w:marBottom w:val="0"/>
      <w:divBdr>
        <w:top w:val="none" w:sz="0" w:space="0" w:color="auto"/>
        <w:left w:val="none" w:sz="0" w:space="0" w:color="auto"/>
        <w:bottom w:val="none" w:sz="0" w:space="0" w:color="auto"/>
        <w:right w:val="none" w:sz="0" w:space="0" w:color="auto"/>
      </w:divBdr>
    </w:div>
    <w:div w:id="1267886178">
      <w:bodyDiv w:val="1"/>
      <w:marLeft w:val="0"/>
      <w:marRight w:val="0"/>
      <w:marTop w:val="0"/>
      <w:marBottom w:val="0"/>
      <w:divBdr>
        <w:top w:val="none" w:sz="0" w:space="0" w:color="auto"/>
        <w:left w:val="none" w:sz="0" w:space="0" w:color="auto"/>
        <w:bottom w:val="none" w:sz="0" w:space="0" w:color="auto"/>
        <w:right w:val="none" w:sz="0" w:space="0" w:color="auto"/>
      </w:divBdr>
    </w:div>
    <w:div w:id="1370957225">
      <w:bodyDiv w:val="1"/>
      <w:marLeft w:val="0"/>
      <w:marRight w:val="0"/>
      <w:marTop w:val="0"/>
      <w:marBottom w:val="0"/>
      <w:divBdr>
        <w:top w:val="none" w:sz="0" w:space="0" w:color="auto"/>
        <w:left w:val="none" w:sz="0" w:space="0" w:color="auto"/>
        <w:bottom w:val="none" w:sz="0" w:space="0" w:color="auto"/>
        <w:right w:val="none" w:sz="0" w:space="0" w:color="auto"/>
      </w:divBdr>
    </w:div>
    <w:div w:id="1470052524">
      <w:bodyDiv w:val="1"/>
      <w:marLeft w:val="0"/>
      <w:marRight w:val="0"/>
      <w:marTop w:val="0"/>
      <w:marBottom w:val="0"/>
      <w:divBdr>
        <w:top w:val="none" w:sz="0" w:space="0" w:color="auto"/>
        <w:left w:val="none" w:sz="0" w:space="0" w:color="auto"/>
        <w:bottom w:val="none" w:sz="0" w:space="0" w:color="auto"/>
        <w:right w:val="none" w:sz="0" w:space="0" w:color="auto"/>
      </w:divBdr>
    </w:div>
    <w:div w:id="1562984111">
      <w:bodyDiv w:val="1"/>
      <w:marLeft w:val="0"/>
      <w:marRight w:val="0"/>
      <w:marTop w:val="0"/>
      <w:marBottom w:val="0"/>
      <w:divBdr>
        <w:top w:val="none" w:sz="0" w:space="0" w:color="auto"/>
        <w:left w:val="none" w:sz="0" w:space="0" w:color="auto"/>
        <w:bottom w:val="none" w:sz="0" w:space="0" w:color="auto"/>
        <w:right w:val="none" w:sz="0" w:space="0" w:color="auto"/>
      </w:divBdr>
    </w:div>
    <w:div w:id="16698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6cfec8be9686480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F536-8847-4737-B451-6B717652EC2B}">
  <ds:schemaRefs>
    <ds:schemaRef ds:uri="http://schemas.microsoft.com/sharepoint/v3/contenttype/forms"/>
  </ds:schemaRefs>
</ds:datastoreItem>
</file>

<file path=customXml/itemProps2.xml><?xml version="1.0" encoding="utf-8"?>
<ds:datastoreItem xmlns:ds="http://schemas.openxmlformats.org/officeDocument/2006/customXml" ds:itemID="{CEC212B9-DB3D-4952-B77F-C897EF84E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14522-50C1-4CB4-AA44-625A3AC104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551081-F4D1-413B-A953-4D491CCF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2472</Words>
  <Characters>13602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dc:creator>
  <cp:lastModifiedBy>Hermides Alonso Gaviria Ocampo</cp:lastModifiedBy>
  <cp:revision>7</cp:revision>
  <dcterms:created xsi:type="dcterms:W3CDTF">2021-11-09T19:15:00Z</dcterms:created>
  <dcterms:modified xsi:type="dcterms:W3CDTF">2022-03-02T15:43:00Z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