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A2775" w14:textId="77777777" w:rsidR="009E28DA" w:rsidRPr="008A290B" w:rsidRDefault="009E28DA" w:rsidP="009E28D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586C27" w14:textId="77777777" w:rsidR="009E28DA" w:rsidRDefault="009E28DA" w:rsidP="009E28DA">
      <w:pPr>
        <w:jc w:val="both"/>
        <w:rPr>
          <w:rFonts w:ascii="Arial" w:hAnsi="Arial" w:cs="Arial"/>
          <w:lang w:val="es-419"/>
        </w:rPr>
      </w:pPr>
    </w:p>
    <w:p w14:paraId="4F58F3C0" w14:textId="7F53F111" w:rsidR="009E28DA" w:rsidRPr="009E28DA" w:rsidRDefault="009E28DA" w:rsidP="009E28DA">
      <w:pPr>
        <w:jc w:val="both"/>
        <w:rPr>
          <w:rFonts w:ascii="Arial" w:hAnsi="Arial" w:cs="Arial"/>
          <w:lang w:val="es-419"/>
        </w:rPr>
      </w:pPr>
      <w:r w:rsidRPr="009E28DA">
        <w:rPr>
          <w:rFonts w:ascii="Arial" w:hAnsi="Arial" w:cs="Arial"/>
          <w:lang w:val="es-419"/>
        </w:rPr>
        <w:t>Expediente</w:t>
      </w:r>
      <w:r>
        <w:rPr>
          <w:rFonts w:ascii="Arial" w:hAnsi="Arial" w:cs="Arial"/>
          <w:lang w:val="es-419"/>
        </w:rPr>
        <w:t>:</w:t>
      </w:r>
      <w:r>
        <w:rPr>
          <w:rFonts w:ascii="Arial" w:hAnsi="Arial" w:cs="Arial"/>
          <w:lang w:val="es-419"/>
        </w:rPr>
        <w:tab/>
      </w:r>
      <w:r w:rsidRPr="009E28DA">
        <w:rPr>
          <w:rFonts w:ascii="Arial" w:hAnsi="Arial" w:cs="Arial"/>
          <w:lang w:val="es-419"/>
        </w:rPr>
        <w:t>6170310300120160009401</w:t>
      </w:r>
    </w:p>
    <w:p w14:paraId="228BF19B" w14:textId="29D86E4D" w:rsidR="009E28DA" w:rsidRPr="009E28DA" w:rsidRDefault="009E28DA" w:rsidP="009E28DA">
      <w:pPr>
        <w:jc w:val="both"/>
        <w:rPr>
          <w:rFonts w:ascii="Arial" w:hAnsi="Arial" w:cs="Arial"/>
          <w:lang w:val="es-419"/>
        </w:rPr>
      </w:pPr>
      <w:r w:rsidRPr="009E28DA">
        <w:rPr>
          <w:rFonts w:ascii="Arial" w:hAnsi="Arial" w:cs="Arial"/>
          <w:lang w:val="es-419"/>
        </w:rPr>
        <w:t>Asunto:</w:t>
      </w:r>
      <w:r>
        <w:rPr>
          <w:rFonts w:ascii="Arial" w:hAnsi="Arial" w:cs="Arial"/>
          <w:lang w:val="es-419"/>
        </w:rPr>
        <w:tab/>
      </w:r>
      <w:r>
        <w:rPr>
          <w:rFonts w:ascii="Arial" w:hAnsi="Arial" w:cs="Arial"/>
          <w:lang w:val="es-419"/>
        </w:rPr>
        <w:tab/>
      </w:r>
      <w:r w:rsidRPr="009E28DA">
        <w:rPr>
          <w:rFonts w:ascii="Arial" w:hAnsi="Arial" w:cs="Arial"/>
          <w:lang w:val="es-419"/>
        </w:rPr>
        <w:t xml:space="preserve">Litisconsorcio necesario - aseguradora </w:t>
      </w:r>
    </w:p>
    <w:p w14:paraId="6DC08D84" w14:textId="478DD5DB" w:rsidR="009E28DA" w:rsidRPr="009E28DA" w:rsidRDefault="009E28DA" w:rsidP="009E28DA">
      <w:pPr>
        <w:jc w:val="both"/>
        <w:rPr>
          <w:rFonts w:ascii="Arial" w:hAnsi="Arial" w:cs="Arial"/>
          <w:lang w:val="es-419"/>
        </w:rPr>
      </w:pPr>
      <w:r w:rsidRPr="009E28DA">
        <w:rPr>
          <w:rFonts w:ascii="Arial" w:hAnsi="Arial" w:cs="Arial"/>
          <w:lang w:val="es-419"/>
        </w:rPr>
        <w:t>Demandante:</w:t>
      </w:r>
      <w:r>
        <w:rPr>
          <w:rFonts w:ascii="Arial" w:hAnsi="Arial" w:cs="Arial"/>
          <w:lang w:val="es-419"/>
        </w:rPr>
        <w:tab/>
      </w:r>
      <w:r w:rsidRPr="009E28DA">
        <w:rPr>
          <w:rFonts w:ascii="Arial" w:hAnsi="Arial" w:cs="Arial"/>
          <w:lang w:val="es-419"/>
        </w:rPr>
        <w:t xml:space="preserve">Edwin </w:t>
      </w:r>
      <w:proofErr w:type="spellStart"/>
      <w:r w:rsidRPr="009E28DA">
        <w:rPr>
          <w:rFonts w:ascii="Arial" w:hAnsi="Arial" w:cs="Arial"/>
          <w:lang w:val="es-419"/>
        </w:rPr>
        <w:t>Jhovang</w:t>
      </w:r>
      <w:proofErr w:type="spellEnd"/>
      <w:r w:rsidRPr="009E28DA">
        <w:rPr>
          <w:rFonts w:ascii="Arial" w:hAnsi="Arial" w:cs="Arial"/>
          <w:lang w:val="es-419"/>
        </w:rPr>
        <w:t xml:space="preserve"> Agudelo Gañán</w:t>
      </w:r>
    </w:p>
    <w:p w14:paraId="3139EAED" w14:textId="34892998" w:rsidR="009E28DA" w:rsidRDefault="009E28DA" w:rsidP="009E28DA">
      <w:pPr>
        <w:jc w:val="both"/>
        <w:rPr>
          <w:rFonts w:ascii="Arial" w:hAnsi="Arial" w:cs="Arial"/>
          <w:lang w:val="es-419"/>
        </w:rPr>
      </w:pPr>
      <w:r w:rsidRPr="009E28DA">
        <w:rPr>
          <w:rFonts w:ascii="Arial" w:hAnsi="Arial" w:cs="Arial"/>
          <w:lang w:val="es-419"/>
        </w:rPr>
        <w:t>Demandado:</w:t>
      </w:r>
      <w:r>
        <w:rPr>
          <w:rFonts w:ascii="Arial" w:hAnsi="Arial" w:cs="Arial"/>
          <w:lang w:val="es-419"/>
        </w:rPr>
        <w:tab/>
      </w:r>
      <w:r w:rsidRPr="009E28DA">
        <w:rPr>
          <w:rFonts w:ascii="Arial" w:hAnsi="Arial" w:cs="Arial"/>
          <w:lang w:val="es-419"/>
        </w:rPr>
        <w:t>Transportes Santana Triángulo del Café y otro</w:t>
      </w:r>
    </w:p>
    <w:p w14:paraId="15F65DB1" w14:textId="77777777" w:rsidR="009E28DA" w:rsidRDefault="009E28DA" w:rsidP="009E28DA">
      <w:pPr>
        <w:jc w:val="both"/>
        <w:rPr>
          <w:rFonts w:ascii="Arial" w:hAnsi="Arial" w:cs="Arial"/>
          <w:lang w:val="es-419"/>
        </w:rPr>
      </w:pPr>
    </w:p>
    <w:p w14:paraId="27750FBE" w14:textId="7149C705" w:rsidR="009E28DA" w:rsidRPr="00E32969" w:rsidRDefault="0078467D" w:rsidP="009E28D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LITISCONSORCIOS / CLASES / NECESARIO, FACULTATIVO Y CUASINECESARIO / EN PROCESOS DE RESPONSABILIDAD CIVIL EXTRACONTRACTUAL ES FACULTATIVO / NO PROCEDE VINCULAR COMO TAL A LA COMPAÑÍA DE SEGUROS.</w:t>
      </w:r>
    </w:p>
    <w:p w14:paraId="50E9A797" w14:textId="77777777" w:rsidR="009E28DA" w:rsidRPr="00E32969" w:rsidRDefault="009E28DA" w:rsidP="009E28DA">
      <w:pPr>
        <w:jc w:val="both"/>
        <w:rPr>
          <w:rFonts w:ascii="Arial" w:hAnsi="Arial" w:cs="Arial"/>
          <w:lang w:val="es-419"/>
        </w:rPr>
      </w:pPr>
    </w:p>
    <w:p w14:paraId="0FA972BF" w14:textId="77777777" w:rsidR="00492FD3" w:rsidRPr="00492FD3" w:rsidRDefault="00492FD3" w:rsidP="00492FD3">
      <w:pPr>
        <w:jc w:val="both"/>
        <w:rPr>
          <w:rFonts w:ascii="Arial" w:hAnsi="Arial" w:cs="Arial"/>
          <w:lang w:val="es-419"/>
        </w:rPr>
      </w:pPr>
      <w:r w:rsidRPr="00492FD3">
        <w:rPr>
          <w:rFonts w:ascii="Arial" w:hAnsi="Arial" w:cs="Arial"/>
          <w:lang w:val="es-419"/>
        </w:rPr>
        <w:t xml:space="preserve">El CGP regula tres modalidades de litisconsorcio, el necesario, el facultativo y el </w:t>
      </w:r>
      <w:proofErr w:type="spellStart"/>
      <w:r w:rsidRPr="00492FD3">
        <w:rPr>
          <w:rFonts w:ascii="Arial" w:hAnsi="Arial" w:cs="Arial"/>
          <w:lang w:val="es-419"/>
        </w:rPr>
        <w:t>cuasinecesario</w:t>
      </w:r>
      <w:proofErr w:type="spellEnd"/>
      <w:r w:rsidRPr="00492FD3">
        <w:rPr>
          <w:rFonts w:ascii="Arial" w:hAnsi="Arial" w:cs="Arial"/>
          <w:lang w:val="es-419"/>
        </w:rPr>
        <w:t xml:space="preserve">. </w:t>
      </w:r>
    </w:p>
    <w:p w14:paraId="72A3C900" w14:textId="77777777" w:rsidR="00492FD3" w:rsidRPr="00492FD3" w:rsidRDefault="00492FD3" w:rsidP="00492FD3">
      <w:pPr>
        <w:jc w:val="both"/>
        <w:rPr>
          <w:rFonts w:ascii="Arial" w:hAnsi="Arial" w:cs="Arial"/>
          <w:lang w:val="es-419"/>
        </w:rPr>
      </w:pPr>
    </w:p>
    <w:p w14:paraId="2ECF3535" w14:textId="284FF924" w:rsidR="009E28DA" w:rsidRPr="00E32969" w:rsidRDefault="00492FD3" w:rsidP="00492FD3">
      <w:pPr>
        <w:jc w:val="both"/>
        <w:rPr>
          <w:rFonts w:ascii="Arial" w:hAnsi="Arial" w:cs="Arial"/>
          <w:lang w:val="es-419"/>
        </w:rPr>
      </w:pPr>
      <w:r w:rsidRPr="00492FD3">
        <w:rPr>
          <w:rFonts w:ascii="Arial" w:hAnsi="Arial" w:cs="Arial"/>
          <w:lang w:val="es-419"/>
        </w:rPr>
        <w:t>El primero depende de que el proceso verse sobre relaciones o actos jurídicos, respecto de los cuales, por su naturaleza o por disposición legal, sea menester resolver de manera uniforme para todos, de manera que la ausencia de uno de los sujetos impide que se dicte sentencia de mérito</w:t>
      </w:r>
      <w:r w:rsidR="004C7E41">
        <w:rPr>
          <w:rFonts w:ascii="Arial" w:hAnsi="Arial" w:cs="Arial"/>
          <w:lang w:val="es-419"/>
        </w:rPr>
        <w:t>…</w:t>
      </w:r>
    </w:p>
    <w:p w14:paraId="5E38F490" w14:textId="77777777" w:rsidR="009E28DA" w:rsidRPr="00E32969" w:rsidRDefault="009E28DA" w:rsidP="009E28DA">
      <w:pPr>
        <w:jc w:val="both"/>
        <w:rPr>
          <w:rFonts w:ascii="Arial" w:hAnsi="Arial" w:cs="Arial"/>
          <w:lang w:val="es-419"/>
        </w:rPr>
      </w:pPr>
    </w:p>
    <w:p w14:paraId="4A0B2F00" w14:textId="18AE70B1" w:rsidR="009E28DA" w:rsidRDefault="00566BE4" w:rsidP="009E28DA">
      <w:pPr>
        <w:jc w:val="both"/>
        <w:rPr>
          <w:rFonts w:ascii="Arial" w:hAnsi="Arial" w:cs="Arial"/>
          <w:lang w:val="es-419"/>
        </w:rPr>
      </w:pPr>
      <w:r w:rsidRPr="00566BE4">
        <w:rPr>
          <w:rFonts w:ascii="Arial" w:hAnsi="Arial" w:cs="Arial"/>
          <w:lang w:val="es-419"/>
        </w:rPr>
        <w:t>En el segundo, la presencia de los litisconsortes no es indispensable, pues cada uno de los litigantes se considera por separado y sus actos no redundan en provecho ni en perjuicio de los demás</w:t>
      </w:r>
      <w:r>
        <w:rPr>
          <w:rFonts w:ascii="Arial" w:hAnsi="Arial" w:cs="Arial"/>
          <w:lang w:val="es-419"/>
        </w:rPr>
        <w:t>…</w:t>
      </w:r>
    </w:p>
    <w:p w14:paraId="2A16E20D" w14:textId="77777777" w:rsidR="009E28DA" w:rsidRDefault="009E28DA" w:rsidP="009E28DA">
      <w:pPr>
        <w:jc w:val="both"/>
        <w:rPr>
          <w:rFonts w:ascii="Arial" w:hAnsi="Arial" w:cs="Arial"/>
          <w:lang w:val="es-419"/>
        </w:rPr>
      </w:pPr>
    </w:p>
    <w:p w14:paraId="4AEAD866" w14:textId="02F78D3E" w:rsidR="009E28DA" w:rsidRPr="00E32969" w:rsidRDefault="00566BE4" w:rsidP="009E28DA">
      <w:pPr>
        <w:jc w:val="both"/>
        <w:rPr>
          <w:rFonts w:ascii="Arial" w:hAnsi="Arial" w:cs="Arial"/>
          <w:lang w:val="es-419"/>
        </w:rPr>
      </w:pPr>
      <w:r w:rsidRPr="00566BE4">
        <w:rPr>
          <w:rFonts w:ascii="Arial" w:hAnsi="Arial" w:cs="Arial"/>
          <w:lang w:val="es-419"/>
        </w:rPr>
        <w:t>En el caso de la responsabilidad civil extracontractual, no cabe duda, el litisconsorcio es de la segunda modalidad, esto es, facultativo, supuesto que “Si un delito o culpa ha sido cometido por dos o más personas, cada una de ellas será solidariamente responsable de todo perjuicio procedente del mismo delito o culpa…” (art. 2344 C.C.).</w:t>
      </w:r>
    </w:p>
    <w:p w14:paraId="2E7CAC6E" w14:textId="77777777" w:rsidR="009E28DA" w:rsidRDefault="009E28DA" w:rsidP="009E28DA">
      <w:pPr>
        <w:jc w:val="both"/>
        <w:rPr>
          <w:rFonts w:ascii="Arial" w:hAnsi="Arial" w:cs="Arial"/>
        </w:rPr>
      </w:pPr>
    </w:p>
    <w:p w14:paraId="2A3D0617" w14:textId="026637DA" w:rsidR="009E28DA" w:rsidRDefault="001B4960" w:rsidP="009E28DA">
      <w:pPr>
        <w:jc w:val="both"/>
        <w:rPr>
          <w:rFonts w:ascii="Arial" w:hAnsi="Arial" w:cs="Arial"/>
        </w:rPr>
      </w:pPr>
      <w:r>
        <w:rPr>
          <w:rFonts w:ascii="Arial" w:hAnsi="Arial" w:cs="Arial"/>
        </w:rPr>
        <w:t xml:space="preserve">… </w:t>
      </w:r>
      <w:r w:rsidR="00B90AE8" w:rsidRPr="00B90AE8">
        <w:rPr>
          <w:rFonts w:ascii="Arial" w:hAnsi="Arial" w:cs="Arial"/>
        </w:rPr>
        <w:t>es</w:t>
      </w:r>
      <w:r>
        <w:rPr>
          <w:rFonts w:ascii="Arial" w:hAnsi="Arial" w:cs="Arial"/>
        </w:rPr>
        <w:t xml:space="preserve"> </w:t>
      </w:r>
      <w:r w:rsidR="00B90AE8" w:rsidRPr="00B90AE8">
        <w:rPr>
          <w:rFonts w:ascii="Arial" w:hAnsi="Arial" w:cs="Arial"/>
        </w:rPr>
        <w:t>evidente la improcedencia de la petición que, ya avanzado el trámite del proceso, hace el codemandado Oswaldo Enrique Valderrama Pinzón, pues, como se trata de una responsabilidad civil extracontractual, entre él y Transportes Santana Triángulo del Café SAS existe un litisconsorcio facultativo, como también lo habría en el caso de que los demandantes hubieran optado por reclamar directamente a la aseguradora.</w:t>
      </w:r>
    </w:p>
    <w:p w14:paraId="3D43CFC7" w14:textId="76114855" w:rsidR="001B4960" w:rsidRDefault="001B4960" w:rsidP="009E28DA">
      <w:pPr>
        <w:jc w:val="both"/>
        <w:rPr>
          <w:rFonts w:ascii="Arial" w:hAnsi="Arial" w:cs="Arial"/>
        </w:rPr>
      </w:pPr>
    </w:p>
    <w:p w14:paraId="1010D3A0" w14:textId="77777777" w:rsidR="001B4960" w:rsidRDefault="001B4960" w:rsidP="009E28DA">
      <w:pPr>
        <w:jc w:val="both"/>
        <w:rPr>
          <w:rFonts w:ascii="Arial" w:hAnsi="Arial" w:cs="Arial"/>
        </w:rPr>
      </w:pPr>
    </w:p>
    <w:bookmarkEnd w:id="0"/>
    <w:p w14:paraId="021F7999" w14:textId="77777777" w:rsidR="009E28DA" w:rsidRDefault="009E28DA" w:rsidP="009E28DA">
      <w:pPr>
        <w:jc w:val="both"/>
        <w:rPr>
          <w:rFonts w:ascii="Arial" w:hAnsi="Arial" w:cs="Arial"/>
        </w:rPr>
      </w:pPr>
    </w:p>
    <w:p w14:paraId="71597F9F" w14:textId="77777777" w:rsidR="00EF764C" w:rsidRPr="009E28DA" w:rsidRDefault="00931612" w:rsidP="009E28DA">
      <w:pPr>
        <w:spacing w:line="276" w:lineRule="auto"/>
        <w:ind w:firstLine="1701"/>
        <w:jc w:val="both"/>
        <w:rPr>
          <w:rFonts w:ascii="Gadugi" w:hAnsi="Gadugi" w:cs="Courier New"/>
          <w:b/>
          <w:sz w:val="24"/>
          <w:szCs w:val="24"/>
          <w:lang w:val="es-MX"/>
        </w:rPr>
      </w:pPr>
      <w:r w:rsidRPr="009E28DA">
        <w:rPr>
          <w:rFonts w:ascii="Gadugi" w:hAnsi="Gadugi" w:cs="Courier New"/>
          <w:b/>
          <w:sz w:val="24"/>
          <w:szCs w:val="24"/>
          <w:lang w:val="es-MX"/>
        </w:rPr>
        <w:t>TRIBUNAL SUPERIOR DEL DISTRITO JUDICIAL</w:t>
      </w:r>
    </w:p>
    <w:p w14:paraId="1181EC54" w14:textId="77777777" w:rsidR="00EF764C" w:rsidRPr="009E28DA" w:rsidRDefault="00931612" w:rsidP="009E28DA">
      <w:pPr>
        <w:spacing w:line="276" w:lineRule="auto"/>
        <w:ind w:firstLine="1701"/>
        <w:jc w:val="both"/>
        <w:rPr>
          <w:rFonts w:ascii="Gadugi" w:hAnsi="Gadugi" w:cs="Courier New"/>
          <w:b/>
          <w:sz w:val="24"/>
          <w:szCs w:val="24"/>
          <w:lang w:val="es-MX"/>
        </w:rPr>
      </w:pPr>
      <w:r w:rsidRPr="009E28DA">
        <w:rPr>
          <w:rFonts w:ascii="Gadugi" w:hAnsi="Gadugi" w:cs="Courier New"/>
          <w:b/>
          <w:sz w:val="24"/>
          <w:szCs w:val="24"/>
          <w:lang w:val="es-MX"/>
        </w:rPr>
        <w:t xml:space="preserve">         </w:t>
      </w:r>
      <w:r w:rsidR="00CD2543" w:rsidRPr="009E28DA">
        <w:rPr>
          <w:rFonts w:ascii="Gadugi" w:hAnsi="Gadugi" w:cs="Courier New"/>
          <w:b/>
          <w:sz w:val="24"/>
          <w:szCs w:val="24"/>
          <w:lang w:val="es-MX"/>
        </w:rPr>
        <w:t xml:space="preserve"> </w:t>
      </w:r>
      <w:r w:rsidRPr="009E28DA">
        <w:rPr>
          <w:rFonts w:ascii="Gadugi" w:hAnsi="Gadugi" w:cs="Courier New"/>
          <w:b/>
          <w:sz w:val="24"/>
          <w:szCs w:val="24"/>
          <w:lang w:val="es-MX"/>
        </w:rPr>
        <w:t>SALA DE DECISION CIVIL FAMILIA</w:t>
      </w:r>
    </w:p>
    <w:p w14:paraId="405405D8" w14:textId="77777777" w:rsidR="00EF764C" w:rsidRPr="009E28DA" w:rsidRDefault="00EF764C" w:rsidP="009E28DA">
      <w:pPr>
        <w:spacing w:line="276" w:lineRule="auto"/>
        <w:ind w:firstLine="1701"/>
        <w:jc w:val="both"/>
        <w:rPr>
          <w:rFonts w:ascii="Gadugi" w:hAnsi="Gadugi" w:cs="Courier New"/>
          <w:b/>
          <w:sz w:val="24"/>
          <w:szCs w:val="24"/>
          <w:lang w:val="es-MX"/>
        </w:rPr>
      </w:pPr>
    </w:p>
    <w:p w14:paraId="722EF385" w14:textId="12218181" w:rsidR="00EF764C" w:rsidRPr="009E28DA" w:rsidRDefault="00931612" w:rsidP="009E28DA">
      <w:pPr>
        <w:pStyle w:val="Sangradetextonormal"/>
        <w:spacing w:line="276" w:lineRule="auto"/>
        <w:ind w:firstLine="1701"/>
        <w:rPr>
          <w:rFonts w:ascii="Gadugi" w:hAnsi="Gadugi" w:cs="Courier New"/>
          <w:b/>
          <w:szCs w:val="24"/>
          <w:lang w:val="es-MX"/>
        </w:rPr>
      </w:pPr>
      <w:r w:rsidRPr="009E28DA">
        <w:rPr>
          <w:rFonts w:ascii="Gadugi" w:hAnsi="Gadugi" w:cs="Courier New"/>
          <w:szCs w:val="24"/>
          <w:lang w:val="es-MX"/>
        </w:rPr>
        <w:t xml:space="preserve">Magistrado: </w:t>
      </w:r>
      <w:r w:rsidRPr="009E28DA">
        <w:rPr>
          <w:rFonts w:ascii="Gadugi" w:hAnsi="Gadugi" w:cs="Courier New"/>
          <w:b/>
          <w:szCs w:val="24"/>
          <w:lang w:val="es-MX"/>
        </w:rPr>
        <w:t>Jaime Alberto Saraza Naranjo</w:t>
      </w:r>
    </w:p>
    <w:p w14:paraId="588C1C2B" w14:textId="77777777" w:rsidR="009E28DA" w:rsidRDefault="009E28DA" w:rsidP="009E28DA">
      <w:pPr>
        <w:spacing w:line="276" w:lineRule="auto"/>
        <w:ind w:firstLine="1701"/>
        <w:jc w:val="both"/>
        <w:rPr>
          <w:rFonts w:ascii="Gadugi" w:hAnsi="Gadugi" w:cs="Courier New"/>
          <w:sz w:val="24"/>
          <w:szCs w:val="24"/>
          <w:lang w:val="es-MX"/>
        </w:rPr>
      </w:pPr>
    </w:p>
    <w:p w14:paraId="0E41293C" w14:textId="1FB0B13C" w:rsidR="00CD2543" w:rsidRPr="009E28DA" w:rsidRDefault="00931612" w:rsidP="009E28DA">
      <w:pPr>
        <w:spacing w:line="276" w:lineRule="auto"/>
        <w:ind w:firstLine="1701"/>
        <w:jc w:val="both"/>
        <w:rPr>
          <w:rFonts w:ascii="Gadugi" w:hAnsi="Gadugi" w:cs="Courier New"/>
          <w:sz w:val="24"/>
          <w:szCs w:val="24"/>
          <w:lang w:val="es-MX"/>
        </w:rPr>
      </w:pPr>
      <w:r w:rsidRPr="009E28DA">
        <w:rPr>
          <w:rFonts w:ascii="Gadugi" w:hAnsi="Gadugi" w:cs="Courier New"/>
          <w:sz w:val="24"/>
          <w:szCs w:val="24"/>
          <w:lang w:val="es-MX"/>
        </w:rPr>
        <w:t xml:space="preserve">Pereira, </w:t>
      </w:r>
      <w:r w:rsidR="004E7024" w:rsidRPr="009E28DA">
        <w:rPr>
          <w:rFonts w:ascii="Gadugi" w:hAnsi="Gadugi" w:cs="Courier New"/>
          <w:sz w:val="24"/>
          <w:szCs w:val="24"/>
          <w:lang w:val="es-MX"/>
        </w:rPr>
        <w:t xml:space="preserve">diciembre </w:t>
      </w:r>
      <w:r w:rsidR="003107D5" w:rsidRPr="009E28DA">
        <w:rPr>
          <w:rFonts w:ascii="Gadugi" w:hAnsi="Gadugi" w:cs="Courier New"/>
          <w:sz w:val="24"/>
          <w:szCs w:val="24"/>
          <w:lang w:val="es-MX"/>
        </w:rPr>
        <w:t>dieciséis</w:t>
      </w:r>
      <w:r w:rsidR="004E7024" w:rsidRPr="009E28DA">
        <w:rPr>
          <w:rFonts w:ascii="Gadugi" w:hAnsi="Gadugi" w:cs="Courier New"/>
          <w:sz w:val="24"/>
          <w:szCs w:val="24"/>
          <w:lang w:val="es-MX"/>
        </w:rPr>
        <w:t xml:space="preserve"> </w:t>
      </w:r>
      <w:r w:rsidR="00CD2543" w:rsidRPr="009E28DA">
        <w:rPr>
          <w:rFonts w:ascii="Gadugi" w:hAnsi="Gadugi" w:cs="Courier New"/>
          <w:sz w:val="24"/>
          <w:szCs w:val="24"/>
          <w:lang w:val="es-MX"/>
        </w:rPr>
        <w:t>de dos mil veintiuno</w:t>
      </w:r>
    </w:p>
    <w:p w14:paraId="1A18FBA1" w14:textId="626954D7" w:rsidR="00CD2543" w:rsidRPr="009E28DA" w:rsidRDefault="00CD2543" w:rsidP="009E28DA">
      <w:pPr>
        <w:spacing w:line="276" w:lineRule="auto"/>
        <w:ind w:firstLine="1701"/>
        <w:jc w:val="both"/>
        <w:rPr>
          <w:rFonts w:ascii="Gadugi" w:hAnsi="Gadugi" w:cs="Courier New"/>
          <w:sz w:val="24"/>
          <w:szCs w:val="24"/>
          <w:lang w:val="es-MX"/>
        </w:rPr>
      </w:pPr>
      <w:r w:rsidRPr="009E28DA">
        <w:rPr>
          <w:rFonts w:ascii="Gadugi" w:hAnsi="Gadugi" w:cs="Courier New"/>
          <w:sz w:val="24"/>
          <w:szCs w:val="24"/>
          <w:lang w:val="es-MX"/>
        </w:rPr>
        <w:t xml:space="preserve">Auto N°. </w:t>
      </w:r>
      <w:r w:rsidR="00244944" w:rsidRPr="009E28DA">
        <w:rPr>
          <w:rFonts w:ascii="Gadugi" w:hAnsi="Gadugi" w:cs="Courier New"/>
          <w:sz w:val="24"/>
          <w:szCs w:val="24"/>
          <w:lang w:val="es-MX"/>
        </w:rPr>
        <w:t>TSP.</w:t>
      </w:r>
      <w:r w:rsidR="00486F43">
        <w:rPr>
          <w:rFonts w:ascii="Gadugi" w:hAnsi="Gadugi" w:cs="Courier New"/>
          <w:sz w:val="24"/>
          <w:szCs w:val="24"/>
          <w:lang w:val="es-MX"/>
        </w:rPr>
        <w:t xml:space="preserve"> </w:t>
      </w:r>
      <w:r w:rsidR="00244944" w:rsidRPr="009E28DA">
        <w:rPr>
          <w:rFonts w:ascii="Gadugi" w:hAnsi="Gadugi" w:cs="Courier New"/>
          <w:sz w:val="24"/>
          <w:szCs w:val="24"/>
          <w:lang w:val="es-MX"/>
        </w:rPr>
        <w:t>AC</w:t>
      </w:r>
      <w:bookmarkStart w:id="1" w:name="_GoBack"/>
      <w:bookmarkEnd w:id="1"/>
      <w:r w:rsidR="00244944" w:rsidRPr="009E28DA">
        <w:rPr>
          <w:rFonts w:ascii="Gadugi" w:hAnsi="Gadugi" w:cs="Courier New"/>
          <w:sz w:val="24"/>
          <w:szCs w:val="24"/>
          <w:lang w:val="es-MX"/>
        </w:rPr>
        <w:t>-0166-2021</w:t>
      </w:r>
    </w:p>
    <w:p w14:paraId="4B7A1C37" w14:textId="77777777" w:rsidR="00EF764C" w:rsidRPr="009E28DA" w:rsidRDefault="00EF764C" w:rsidP="009E28DA">
      <w:pPr>
        <w:spacing w:line="276" w:lineRule="auto"/>
        <w:ind w:firstLine="1701"/>
        <w:jc w:val="both"/>
        <w:rPr>
          <w:rFonts w:ascii="Gadugi" w:hAnsi="Gadugi" w:cs="Courier New"/>
          <w:sz w:val="24"/>
          <w:szCs w:val="24"/>
          <w:lang w:val="es-MX"/>
        </w:rPr>
      </w:pPr>
    </w:p>
    <w:p w14:paraId="269943D2" w14:textId="77777777" w:rsidR="00EF764C" w:rsidRPr="009E28DA" w:rsidRDefault="00EF764C" w:rsidP="009E28DA">
      <w:pPr>
        <w:spacing w:line="276" w:lineRule="auto"/>
        <w:ind w:firstLine="1701"/>
        <w:jc w:val="both"/>
        <w:rPr>
          <w:rFonts w:ascii="Gadugi" w:hAnsi="Gadugi" w:cs="Courier New"/>
          <w:sz w:val="24"/>
          <w:szCs w:val="24"/>
          <w:lang w:val="es-MX"/>
        </w:rPr>
      </w:pPr>
    </w:p>
    <w:p w14:paraId="3776E869" w14:textId="41A5140D" w:rsidR="00A01646" w:rsidRPr="009E28DA" w:rsidRDefault="00931612" w:rsidP="009E28DA">
      <w:pPr>
        <w:spacing w:line="276" w:lineRule="auto"/>
        <w:ind w:firstLine="1701"/>
        <w:jc w:val="both"/>
        <w:rPr>
          <w:rFonts w:ascii="Gadugi" w:hAnsi="Gadugi" w:cs="Courier New"/>
          <w:sz w:val="24"/>
          <w:szCs w:val="24"/>
          <w:lang w:val="es-MX"/>
        </w:rPr>
      </w:pPr>
      <w:r w:rsidRPr="009E28DA">
        <w:rPr>
          <w:rFonts w:ascii="Gadugi" w:hAnsi="Gadugi"/>
          <w:sz w:val="24"/>
          <w:szCs w:val="24"/>
        </w:rPr>
        <w:t xml:space="preserve">Resuelve la Sala el recurso de apelación </w:t>
      </w:r>
      <w:r w:rsidR="00C915D7" w:rsidRPr="009E28DA">
        <w:rPr>
          <w:rFonts w:ascii="Gadugi" w:hAnsi="Gadugi"/>
          <w:sz w:val="24"/>
          <w:szCs w:val="24"/>
        </w:rPr>
        <w:t xml:space="preserve">interpuesto por </w:t>
      </w:r>
      <w:r w:rsidR="00784210" w:rsidRPr="009E28DA">
        <w:rPr>
          <w:rFonts w:ascii="Gadugi" w:hAnsi="Gadugi"/>
          <w:sz w:val="24"/>
          <w:szCs w:val="24"/>
        </w:rPr>
        <w:t>el codemandado Oswaldo Enrique Valderrama Pinzón, contra el auto del 30 de septiembre de 2021, proferido en la audiencia inicial, por el</w:t>
      </w:r>
      <w:r w:rsidR="00A01646" w:rsidRPr="009E28DA">
        <w:rPr>
          <w:rFonts w:ascii="Gadugi" w:hAnsi="Gadugi"/>
          <w:sz w:val="24"/>
          <w:szCs w:val="24"/>
        </w:rPr>
        <w:t xml:space="preserve"> </w:t>
      </w:r>
      <w:r w:rsidRPr="009E28DA">
        <w:rPr>
          <w:rFonts w:ascii="Gadugi" w:hAnsi="Gadugi"/>
          <w:sz w:val="24"/>
          <w:szCs w:val="24"/>
        </w:rPr>
        <w:t xml:space="preserve">Juzgado </w:t>
      </w:r>
      <w:r w:rsidR="00784210" w:rsidRPr="009E28DA">
        <w:rPr>
          <w:rFonts w:ascii="Gadugi" w:hAnsi="Gadugi"/>
          <w:sz w:val="24"/>
          <w:szCs w:val="24"/>
        </w:rPr>
        <w:t xml:space="preserve">Civil del Circuito de Dosquebradas, en el proceso de responsabilidad civil </w:t>
      </w:r>
      <w:r w:rsidR="003105FD" w:rsidRPr="009E28DA">
        <w:rPr>
          <w:rFonts w:ascii="Gadugi" w:hAnsi="Gadugi"/>
          <w:sz w:val="24"/>
          <w:szCs w:val="24"/>
        </w:rPr>
        <w:t xml:space="preserve">que </w:t>
      </w:r>
      <w:r w:rsidR="00A01646" w:rsidRPr="009E28DA">
        <w:rPr>
          <w:rFonts w:ascii="Gadugi" w:hAnsi="Gadugi" w:cs="Courier New"/>
          <w:b/>
          <w:sz w:val="24"/>
          <w:szCs w:val="24"/>
          <w:lang w:val="es-MX"/>
        </w:rPr>
        <w:t>Edwin Jhovang Agudelo Gañán</w:t>
      </w:r>
      <w:r w:rsidR="00A01646" w:rsidRPr="009E28DA">
        <w:rPr>
          <w:rFonts w:ascii="Gadugi" w:hAnsi="Gadugi" w:cs="Courier New"/>
          <w:sz w:val="24"/>
          <w:szCs w:val="24"/>
          <w:lang w:val="es-MX"/>
        </w:rPr>
        <w:t xml:space="preserve"> y otros le siguen a </w:t>
      </w:r>
      <w:r w:rsidR="00A01646" w:rsidRPr="009E28DA">
        <w:rPr>
          <w:rFonts w:ascii="Gadugi" w:hAnsi="Gadugi" w:cs="Courier New"/>
          <w:b/>
          <w:sz w:val="24"/>
          <w:szCs w:val="24"/>
          <w:lang w:val="es-MX"/>
        </w:rPr>
        <w:t>Transportes Santana Triángulo del Café</w:t>
      </w:r>
      <w:r w:rsidR="00C46953" w:rsidRPr="009E28DA">
        <w:rPr>
          <w:rFonts w:ascii="Gadugi" w:hAnsi="Gadugi" w:cs="Courier New"/>
          <w:b/>
          <w:sz w:val="24"/>
          <w:szCs w:val="24"/>
          <w:lang w:val="es-MX"/>
        </w:rPr>
        <w:t xml:space="preserve"> SAS</w:t>
      </w:r>
      <w:r w:rsidR="00A01646" w:rsidRPr="009E28DA">
        <w:rPr>
          <w:rFonts w:ascii="Gadugi" w:hAnsi="Gadugi" w:cs="Courier New"/>
          <w:sz w:val="24"/>
          <w:szCs w:val="24"/>
          <w:lang w:val="es-MX"/>
        </w:rPr>
        <w:t xml:space="preserve"> y </w:t>
      </w:r>
      <w:r w:rsidR="003105FD" w:rsidRPr="009E28DA">
        <w:rPr>
          <w:rFonts w:ascii="Gadugi" w:hAnsi="Gadugi"/>
          <w:b/>
          <w:sz w:val="24"/>
          <w:szCs w:val="24"/>
        </w:rPr>
        <w:t>Oswaldo Enrique Valderrama Pinzón</w:t>
      </w:r>
      <w:r w:rsidR="003105FD" w:rsidRPr="009E28DA">
        <w:rPr>
          <w:rFonts w:ascii="Gadugi" w:hAnsi="Gadugi"/>
          <w:sz w:val="24"/>
          <w:szCs w:val="24"/>
        </w:rPr>
        <w:t>.</w:t>
      </w:r>
      <w:r w:rsidR="00A01646" w:rsidRPr="009E28DA">
        <w:rPr>
          <w:rFonts w:ascii="Gadugi" w:hAnsi="Gadugi" w:cs="Courier New"/>
          <w:sz w:val="24"/>
          <w:szCs w:val="24"/>
          <w:lang w:val="es-MX"/>
        </w:rPr>
        <w:t xml:space="preserve"> </w:t>
      </w:r>
    </w:p>
    <w:p w14:paraId="7EEAD6C1" w14:textId="30094B52" w:rsidR="00CD2543" w:rsidRPr="009E28DA" w:rsidRDefault="00CD2543" w:rsidP="009E28DA">
      <w:pPr>
        <w:pStyle w:val="Textoindependiente"/>
        <w:spacing w:line="276" w:lineRule="auto"/>
        <w:ind w:firstLine="1701"/>
        <w:rPr>
          <w:rFonts w:ascii="Gadugi" w:hAnsi="Gadugi"/>
          <w:szCs w:val="24"/>
        </w:rPr>
      </w:pPr>
    </w:p>
    <w:p w14:paraId="123D9EB4" w14:textId="77777777" w:rsidR="00EF764C" w:rsidRPr="009E28DA" w:rsidRDefault="00CD2543" w:rsidP="009E28DA">
      <w:pPr>
        <w:pStyle w:val="Textoindependiente"/>
        <w:spacing w:line="276" w:lineRule="auto"/>
        <w:ind w:firstLine="1701"/>
        <w:rPr>
          <w:rFonts w:ascii="Gadugi" w:hAnsi="Gadugi"/>
          <w:b/>
          <w:bCs/>
          <w:szCs w:val="24"/>
        </w:rPr>
      </w:pPr>
      <w:r w:rsidRPr="009E28DA">
        <w:rPr>
          <w:rFonts w:ascii="Gadugi" w:hAnsi="Gadugi"/>
          <w:szCs w:val="24"/>
        </w:rPr>
        <w:t xml:space="preserve"> </w:t>
      </w:r>
    </w:p>
    <w:p w14:paraId="60FE2B24" w14:textId="77777777" w:rsidR="00EF764C" w:rsidRPr="009E28DA" w:rsidRDefault="00931612" w:rsidP="009E28DA">
      <w:pPr>
        <w:pStyle w:val="Textoindependiente"/>
        <w:spacing w:line="276" w:lineRule="auto"/>
        <w:ind w:firstLine="1701"/>
        <w:rPr>
          <w:rFonts w:ascii="Gadugi" w:hAnsi="Gadugi"/>
          <w:b/>
          <w:bCs/>
          <w:szCs w:val="24"/>
        </w:rPr>
      </w:pPr>
      <w:r w:rsidRPr="009E28DA">
        <w:rPr>
          <w:rFonts w:ascii="Gadugi" w:hAnsi="Gadugi"/>
          <w:b/>
          <w:bCs/>
          <w:szCs w:val="24"/>
        </w:rPr>
        <w:t>ANTECEDENTES</w:t>
      </w:r>
    </w:p>
    <w:p w14:paraId="11C9F66C" w14:textId="77777777" w:rsidR="00EF764C" w:rsidRPr="009E28DA" w:rsidRDefault="00EF764C" w:rsidP="009E28DA">
      <w:pPr>
        <w:pStyle w:val="Textoindependiente"/>
        <w:spacing w:line="276" w:lineRule="auto"/>
        <w:ind w:firstLine="1701"/>
        <w:rPr>
          <w:rFonts w:ascii="Gadugi" w:hAnsi="Gadugi"/>
          <w:szCs w:val="24"/>
        </w:rPr>
      </w:pPr>
    </w:p>
    <w:p w14:paraId="0BFF47C2" w14:textId="2EECEDE3" w:rsidR="00EF764C" w:rsidRPr="009E28DA" w:rsidRDefault="00EF764C" w:rsidP="009E28DA">
      <w:pPr>
        <w:pStyle w:val="Textoindependiente"/>
        <w:spacing w:line="276" w:lineRule="auto"/>
        <w:ind w:firstLine="1701"/>
        <w:rPr>
          <w:rFonts w:ascii="Gadugi" w:hAnsi="Gadugi"/>
          <w:szCs w:val="24"/>
        </w:rPr>
      </w:pPr>
    </w:p>
    <w:p w14:paraId="3779363A" w14:textId="77777777" w:rsidR="00EF7821" w:rsidRPr="009E28DA" w:rsidRDefault="001D25EA" w:rsidP="009E28DA">
      <w:pPr>
        <w:pStyle w:val="Textoindependiente"/>
        <w:spacing w:line="276" w:lineRule="auto"/>
        <w:ind w:firstLine="1701"/>
        <w:rPr>
          <w:rFonts w:ascii="Gadugi" w:hAnsi="Gadugi"/>
          <w:szCs w:val="24"/>
        </w:rPr>
      </w:pPr>
      <w:r w:rsidRPr="009E28DA">
        <w:rPr>
          <w:rFonts w:ascii="Gadugi" w:hAnsi="Gadugi"/>
          <w:szCs w:val="24"/>
        </w:rPr>
        <w:lastRenderedPageBreak/>
        <w:t xml:space="preserve">En el referido proceso, luego de </w:t>
      </w:r>
      <w:r w:rsidR="00A01646" w:rsidRPr="009E28DA">
        <w:rPr>
          <w:rFonts w:ascii="Gadugi" w:hAnsi="Gadugi"/>
          <w:szCs w:val="24"/>
        </w:rPr>
        <w:t>admitida la demanda</w:t>
      </w:r>
      <w:r w:rsidR="00A01646" w:rsidRPr="009E28DA">
        <w:rPr>
          <w:rStyle w:val="Refdenotaalpie"/>
          <w:rFonts w:ascii="Gadugi" w:hAnsi="Gadugi"/>
          <w:szCs w:val="24"/>
        </w:rPr>
        <w:footnoteReference w:id="2"/>
      </w:r>
      <w:r w:rsidR="00C46953" w:rsidRPr="009E28DA">
        <w:rPr>
          <w:rFonts w:ascii="Gadugi" w:hAnsi="Gadugi"/>
          <w:szCs w:val="24"/>
        </w:rPr>
        <w:t xml:space="preserve"> contra Transportes Santana Triángulo del Café SAS y Oswaldo Enrique Valderrama Pinzón, este último le dio respuesta</w:t>
      </w:r>
      <w:r w:rsidR="00C46953" w:rsidRPr="009E28DA">
        <w:rPr>
          <w:rStyle w:val="Refdenotaalpie"/>
          <w:rFonts w:ascii="Gadugi" w:hAnsi="Gadugi"/>
          <w:szCs w:val="24"/>
        </w:rPr>
        <w:footnoteReference w:id="3"/>
      </w:r>
      <w:r w:rsidR="00EF7821" w:rsidRPr="009E28DA">
        <w:rPr>
          <w:rFonts w:ascii="Gadugi" w:hAnsi="Gadugi"/>
          <w:szCs w:val="24"/>
        </w:rPr>
        <w:t xml:space="preserve"> durante el traslado, que venció el 6 de julio de 2017</w:t>
      </w:r>
      <w:r w:rsidR="0005505C" w:rsidRPr="009E28DA">
        <w:rPr>
          <w:rFonts w:ascii="Gadugi" w:hAnsi="Gadugi"/>
          <w:szCs w:val="24"/>
        </w:rPr>
        <w:t xml:space="preserve">. En esa oportunidad, solo </w:t>
      </w:r>
      <w:r w:rsidR="00EF7821" w:rsidRPr="009E28DA">
        <w:rPr>
          <w:rFonts w:ascii="Gadugi" w:hAnsi="Gadugi"/>
          <w:szCs w:val="24"/>
        </w:rPr>
        <w:t>se pronunció sobre los hechos y las pretensiones y propuso excepciones de mérito, de lo cual se dejó constancia</w:t>
      </w:r>
      <w:r w:rsidR="00EF7821" w:rsidRPr="009E28DA">
        <w:rPr>
          <w:rStyle w:val="Refdenotaalpie"/>
          <w:rFonts w:ascii="Gadugi" w:hAnsi="Gadugi"/>
          <w:szCs w:val="24"/>
        </w:rPr>
        <w:footnoteReference w:id="4"/>
      </w:r>
      <w:r w:rsidR="00EF7821" w:rsidRPr="009E28DA">
        <w:rPr>
          <w:rFonts w:ascii="Gadugi" w:hAnsi="Gadugi"/>
          <w:szCs w:val="24"/>
        </w:rPr>
        <w:t xml:space="preserve">. </w:t>
      </w:r>
    </w:p>
    <w:p w14:paraId="79D57124" w14:textId="77777777" w:rsidR="007F6D24" w:rsidRPr="009E28DA" w:rsidRDefault="007F6D24" w:rsidP="009E28DA">
      <w:pPr>
        <w:pStyle w:val="Textoindependiente"/>
        <w:spacing w:line="276" w:lineRule="auto"/>
        <w:ind w:firstLine="1701"/>
        <w:rPr>
          <w:rFonts w:ascii="Gadugi" w:hAnsi="Gadugi"/>
          <w:szCs w:val="24"/>
        </w:rPr>
      </w:pPr>
    </w:p>
    <w:p w14:paraId="740A3618" w14:textId="4F01242B" w:rsidR="00EF7821" w:rsidRPr="009E28DA" w:rsidRDefault="00610726" w:rsidP="009E28DA">
      <w:pPr>
        <w:pStyle w:val="Textoindependiente"/>
        <w:spacing w:line="276" w:lineRule="auto"/>
        <w:ind w:firstLine="1701"/>
        <w:rPr>
          <w:rFonts w:ascii="Gadugi" w:hAnsi="Gadugi"/>
          <w:szCs w:val="24"/>
        </w:rPr>
      </w:pPr>
      <w:r w:rsidRPr="009E28DA">
        <w:rPr>
          <w:rFonts w:ascii="Gadugi" w:hAnsi="Gadugi"/>
          <w:szCs w:val="24"/>
        </w:rPr>
        <w:t>Por su parte, el curador ad litem designado a la sociedad demandada, contestó el libelo</w:t>
      </w:r>
      <w:r w:rsidRPr="009E28DA">
        <w:rPr>
          <w:rStyle w:val="Refdenotaalpie"/>
          <w:rFonts w:ascii="Gadugi" w:hAnsi="Gadugi"/>
          <w:szCs w:val="24"/>
        </w:rPr>
        <w:footnoteReference w:id="5"/>
      </w:r>
      <w:r w:rsidRPr="009E28DA">
        <w:rPr>
          <w:rFonts w:ascii="Gadugi" w:hAnsi="Gadugi"/>
          <w:szCs w:val="24"/>
        </w:rPr>
        <w:t xml:space="preserve"> </w:t>
      </w:r>
      <w:r w:rsidR="000D2C93" w:rsidRPr="009E28DA">
        <w:rPr>
          <w:rFonts w:ascii="Gadugi" w:hAnsi="Gadugi"/>
          <w:szCs w:val="24"/>
        </w:rPr>
        <w:t>y llamó en garantía a la aseguradora Allianz Seguros de Vida S.A.</w:t>
      </w:r>
      <w:r w:rsidR="000D2C93" w:rsidRPr="009E28DA">
        <w:rPr>
          <w:rStyle w:val="Refdenotaalpie"/>
          <w:rFonts w:ascii="Gadugi" w:hAnsi="Gadugi"/>
          <w:szCs w:val="24"/>
        </w:rPr>
        <w:footnoteReference w:id="6"/>
      </w:r>
      <w:r w:rsidR="000D2C93" w:rsidRPr="009E28DA">
        <w:rPr>
          <w:rFonts w:ascii="Gadugi" w:hAnsi="Gadugi"/>
          <w:szCs w:val="24"/>
        </w:rPr>
        <w:t>, que alegó su falta de legitimación</w:t>
      </w:r>
      <w:r w:rsidR="000D2C93" w:rsidRPr="009E28DA">
        <w:rPr>
          <w:rStyle w:val="Refdenotaalpie"/>
          <w:rFonts w:ascii="Gadugi" w:hAnsi="Gadugi"/>
          <w:szCs w:val="24"/>
        </w:rPr>
        <w:footnoteReference w:id="7"/>
      </w:r>
      <w:r w:rsidR="000D2C93" w:rsidRPr="009E28DA">
        <w:rPr>
          <w:rFonts w:ascii="Gadugi" w:hAnsi="Gadugi"/>
          <w:szCs w:val="24"/>
        </w:rPr>
        <w:t xml:space="preserve">. Posteriormente, el Juzgado dictó sentencia anticipada respecto de esa entidad y </w:t>
      </w:r>
      <w:r w:rsidR="002042FC" w:rsidRPr="009E28DA">
        <w:rPr>
          <w:rFonts w:ascii="Gadugi" w:hAnsi="Gadugi"/>
          <w:szCs w:val="24"/>
        </w:rPr>
        <w:t>declaró probada esa excepción, así que la desvinculó del trámite</w:t>
      </w:r>
      <w:r w:rsidR="002042FC" w:rsidRPr="009E28DA">
        <w:rPr>
          <w:rStyle w:val="Refdenotaalpie"/>
          <w:rFonts w:ascii="Gadugi" w:hAnsi="Gadugi"/>
          <w:szCs w:val="24"/>
        </w:rPr>
        <w:footnoteReference w:id="8"/>
      </w:r>
      <w:r w:rsidR="002042FC" w:rsidRPr="009E28DA">
        <w:rPr>
          <w:rFonts w:ascii="Gadugi" w:hAnsi="Gadugi"/>
          <w:szCs w:val="24"/>
        </w:rPr>
        <w:t>.</w:t>
      </w:r>
    </w:p>
    <w:p w14:paraId="54064BCC" w14:textId="77777777" w:rsidR="00EF7821" w:rsidRPr="009E28DA" w:rsidRDefault="00EF7821" w:rsidP="009E28DA">
      <w:pPr>
        <w:pStyle w:val="Textoindependiente"/>
        <w:spacing w:line="276" w:lineRule="auto"/>
        <w:ind w:firstLine="1701"/>
        <w:rPr>
          <w:rFonts w:ascii="Gadugi" w:hAnsi="Gadugi"/>
          <w:szCs w:val="24"/>
        </w:rPr>
      </w:pPr>
    </w:p>
    <w:p w14:paraId="7479793C" w14:textId="3730407A" w:rsidR="0060661C" w:rsidRPr="009E28DA" w:rsidRDefault="002042FC" w:rsidP="009E28DA">
      <w:pPr>
        <w:pStyle w:val="Textoindependiente"/>
        <w:spacing w:line="276" w:lineRule="auto"/>
        <w:ind w:firstLine="1701"/>
        <w:rPr>
          <w:rFonts w:ascii="Gadugi" w:hAnsi="Gadugi"/>
          <w:szCs w:val="24"/>
        </w:rPr>
      </w:pPr>
      <w:r w:rsidRPr="009E28DA">
        <w:rPr>
          <w:rFonts w:ascii="Gadugi" w:hAnsi="Gadugi"/>
          <w:szCs w:val="24"/>
        </w:rPr>
        <w:t>El 28 de septiembre de 2021</w:t>
      </w:r>
      <w:r w:rsidRPr="009E28DA">
        <w:rPr>
          <w:rStyle w:val="Refdenotaalpie"/>
          <w:rFonts w:ascii="Gadugi" w:hAnsi="Gadugi"/>
          <w:szCs w:val="24"/>
        </w:rPr>
        <w:footnoteReference w:id="9"/>
      </w:r>
      <w:r w:rsidRPr="009E28DA">
        <w:rPr>
          <w:rFonts w:ascii="Gadugi" w:hAnsi="Gadugi"/>
          <w:szCs w:val="24"/>
        </w:rPr>
        <w:t>, el apoderado judicial de</w:t>
      </w:r>
      <w:r w:rsidR="0060661C" w:rsidRPr="009E28DA">
        <w:rPr>
          <w:rFonts w:ascii="Gadugi" w:hAnsi="Gadugi"/>
          <w:szCs w:val="24"/>
        </w:rPr>
        <w:t>l codemandado Oswaldo Enrique Valderrama Pinzón</w:t>
      </w:r>
      <w:r w:rsidRPr="009E28DA">
        <w:rPr>
          <w:rFonts w:ascii="Gadugi" w:hAnsi="Gadugi"/>
          <w:szCs w:val="24"/>
        </w:rPr>
        <w:t xml:space="preserve"> solicitó la vinculación de Allianz Seguros S.A., como litisconsorte necesario, en los términos del artículo 61 del CGP,</w:t>
      </w:r>
      <w:r w:rsidR="0060661C" w:rsidRPr="009E28DA">
        <w:rPr>
          <w:rFonts w:ascii="Gadugi" w:hAnsi="Gadugi"/>
          <w:szCs w:val="24"/>
        </w:rPr>
        <w:t xml:space="preserve"> cuya presencia es indispensable, por los efectos que una condena en su contra, dado que con esa aseguradora existe el contrato de seguro número 021625746</w:t>
      </w:r>
      <w:r w:rsidR="0060661C" w:rsidRPr="009E28DA">
        <w:rPr>
          <w:rStyle w:val="Refdenotaalpie"/>
          <w:rFonts w:ascii="Gadugi" w:hAnsi="Gadugi"/>
          <w:szCs w:val="24"/>
        </w:rPr>
        <w:footnoteReference w:id="10"/>
      </w:r>
      <w:r w:rsidR="00FF7C82" w:rsidRPr="009E28DA">
        <w:rPr>
          <w:rFonts w:ascii="Gadugi" w:hAnsi="Gadugi"/>
          <w:szCs w:val="24"/>
        </w:rPr>
        <w:t xml:space="preserve">; esto, por cuanto, debido a un error involuntario, no fue llamada en garantía al contestar la demanda. </w:t>
      </w:r>
    </w:p>
    <w:p w14:paraId="1B2BBE83" w14:textId="77777777" w:rsidR="0060661C" w:rsidRPr="009E28DA" w:rsidRDefault="0060661C" w:rsidP="009E28DA">
      <w:pPr>
        <w:pStyle w:val="Textoindependiente"/>
        <w:spacing w:line="276" w:lineRule="auto"/>
        <w:ind w:firstLine="1701"/>
        <w:rPr>
          <w:rFonts w:ascii="Gadugi" w:hAnsi="Gadugi"/>
          <w:szCs w:val="24"/>
        </w:rPr>
      </w:pPr>
    </w:p>
    <w:p w14:paraId="220992C3" w14:textId="302C1B60" w:rsidR="0060661C" w:rsidRPr="009E28DA" w:rsidRDefault="00010DAB" w:rsidP="009E28DA">
      <w:pPr>
        <w:pStyle w:val="Textoindependiente"/>
        <w:spacing w:line="276" w:lineRule="auto"/>
        <w:ind w:firstLine="1701"/>
        <w:rPr>
          <w:rFonts w:ascii="Gadugi" w:hAnsi="Gadugi"/>
          <w:szCs w:val="24"/>
        </w:rPr>
      </w:pPr>
      <w:r w:rsidRPr="009E28DA">
        <w:rPr>
          <w:rFonts w:ascii="Gadugi" w:hAnsi="Gadugi"/>
          <w:szCs w:val="24"/>
        </w:rPr>
        <w:t xml:space="preserve">En la audiencia de reconstrucción </w:t>
      </w:r>
      <w:r w:rsidR="00FF7C82" w:rsidRPr="009E28DA">
        <w:rPr>
          <w:rFonts w:ascii="Gadugi" w:hAnsi="Gadugi"/>
          <w:szCs w:val="24"/>
        </w:rPr>
        <w:t>de expediente</w:t>
      </w:r>
      <w:r w:rsidR="00FF7C82" w:rsidRPr="009E28DA">
        <w:rPr>
          <w:rStyle w:val="Refdenotaalpie"/>
          <w:rFonts w:ascii="Gadugi" w:hAnsi="Gadugi"/>
          <w:szCs w:val="24"/>
        </w:rPr>
        <w:footnoteReference w:id="11"/>
      </w:r>
      <w:r w:rsidR="00FF7C82" w:rsidRPr="009E28DA">
        <w:rPr>
          <w:rFonts w:ascii="Gadugi" w:hAnsi="Gadugi"/>
          <w:szCs w:val="24"/>
        </w:rPr>
        <w:t>, dijo el juzgado que</w:t>
      </w:r>
      <w:r w:rsidR="00362CEC" w:rsidRPr="009E28DA">
        <w:rPr>
          <w:rFonts w:ascii="Gadugi" w:hAnsi="Gadugi"/>
          <w:szCs w:val="24"/>
        </w:rPr>
        <w:t xml:space="preserve"> </w:t>
      </w:r>
      <w:r w:rsidR="005B4E71" w:rsidRPr="009E28DA">
        <w:rPr>
          <w:rFonts w:ascii="Gadugi" w:hAnsi="Gadugi"/>
          <w:szCs w:val="24"/>
        </w:rPr>
        <w:t>e</w:t>
      </w:r>
      <w:r w:rsidR="00FF7C82" w:rsidRPr="009E28DA">
        <w:rPr>
          <w:rFonts w:ascii="Gadugi" w:hAnsi="Gadugi"/>
          <w:szCs w:val="24"/>
        </w:rPr>
        <w:t>l artículo 61 se ocupa del litisconsorcio necesario</w:t>
      </w:r>
      <w:r w:rsidR="00362CEC" w:rsidRPr="009E28DA">
        <w:rPr>
          <w:rFonts w:ascii="Gadugi" w:hAnsi="Gadugi"/>
          <w:szCs w:val="24"/>
        </w:rPr>
        <w:t xml:space="preserve">; </w:t>
      </w:r>
      <w:r w:rsidR="005B4E71" w:rsidRPr="009E28DA">
        <w:rPr>
          <w:rFonts w:ascii="Gadugi" w:hAnsi="Gadugi"/>
          <w:szCs w:val="24"/>
        </w:rPr>
        <w:t xml:space="preserve">que en este caso se </w:t>
      </w:r>
      <w:r w:rsidR="00362CEC" w:rsidRPr="009E28DA">
        <w:rPr>
          <w:rFonts w:ascii="Gadugi" w:hAnsi="Gadugi"/>
          <w:szCs w:val="24"/>
        </w:rPr>
        <w:t>ha intentado llamar en garantía a Allianz Seguros S</w:t>
      </w:r>
      <w:r w:rsidR="005B4E71" w:rsidRPr="009E28DA">
        <w:rPr>
          <w:rFonts w:ascii="Gadugi" w:hAnsi="Gadugi"/>
          <w:szCs w:val="24"/>
        </w:rPr>
        <w:t>.</w:t>
      </w:r>
      <w:r w:rsidR="00362CEC" w:rsidRPr="009E28DA">
        <w:rPr>
          <w:rFonts w:ascii="Gadugi" w:hAnsi="Gadugi"/>
          <w:szCs w:val="24"/>
        </w:rPr>
        <w:t>A. que tiene el contrato con el señor Oswaldo Enrique</w:t>
      </w:r>
      <w:r w:rsidR="005B4E71" w:rsidRPr="009E28DA">
        <w:rPr>
          <w:rFonts w:ascii="Gadugi" w:hAnsi="Gadugi"/>
          <w:szCs w:val="24"/>
        </w:rPr>
        <w:t xml:space="preserve">, pero, de acuerdo con la </w:t>
      </w:r>
      <w:r w:rsidR="00362CEC" w:rsidRPr="009E28DA">
        <w:rPr>
          <w:rFonts w:ascii="Gadugi" w:hAnsi="Gadugi"/>
          <w:szCs w:val="24"/>
        </w:rPr>
        <w:t>jurisprudencia</w:t>
      </w:r>
      <w:r w:rsidR="005B4E71" w:rsidRPr="009E28DA">
        <w:rPr>
          <w:rFonts w:ascii="Gadugi" w:hAnsi="Gadugi"/>
          <w:szCs w:val="24"/>
        </w:rPr>
        <w:t xml:space="preserve">, </w:t>
      </w:r>
      <w:r w:rsidR="00362CEC" w:rsidRPr="009E28DA">
        <w:rPr>
          <w:rFonts w:ascii="Gadugi" w:hAnsi="Gadugi"/>
          <w:szCs w:val="24"/>
        </w:rPr>
        <w:t xml:space="preserve">es inadecuada la formulación de un llamamiento </w:t>
      </w:r>
      <w:r w:rsidR="005B4E71" w:rsidRPr="009E28DA">
        <w:rPr>
          <w:rFonts w:ascii="Gadugi" w:hAnsi="Gadugi"/>
          <w:szCs w:val="24"/>
        </w:rPr>
        <w:t>de ese tipo,</w:t>
      </w:r>
      <w:r w:rsidR="00362CEC" w:rsidRPr="009E28DA">
        <w:rPr>
          <w:rFonts w:ascii="Gadugi" w:hAnsi="Gadugi"/>
          <w:szCs w:val="24"/>
        </w:rPr>
        <w:t xml:space="preserve"> para la conformación de un litisconsorcio necesario, porque son figuras disímiles</w:t>
      </w:r>
      <w:r w:rsidR="00BE1510" w:rsidRPr="009E28DA">
        <w:rPr>
          <w:rFonts w:ascii="Gadugi" w:hAnsi="Gadugi"/>
          <w:szCs w:val="24"/>
        </w:rPr>
        <w:t xml:space="preserve">, y explicó las diferencias entre ellas. </w:t>
      </w:r>
    </w:p>
    <w:p w14:paraId="272306EC" w14:textId="6DABBD71" w:rsidR="005B4E71" w:rsidRPr="009E28DA" w:rsidRDefault="005B4E71" w:rsidP="009E28DA">
      <w:pPr>
        <w:pStyle w:val="Textoindependiente"/>
        <w:spacing w:line="276" w:lineRule="auto"/>
        <w:ind w:firstLine="1701"/>
        <w:rPr>
          <w:rFonts w:ascii="Gadugi" w:hAnsi="Gadugi"/>
          <w:szCs w:val="24"/>
          <w:u w:val="single"/>
        </w:rPr>
      </w:pPr>
    </w:p>
    <w:p w14:paraId="56DE6E06" w14:textId="398644E8" w:rsidR="00BB43E1" w:rsidRPr="009E28DA" w:rsidRDefault="00A3584B" w:rsidP="009E28DA">
      <w:pPr>
        <w:pStyle w:val="Textoindependiente"/>
        <w:spacing w:line="276" w:lineRule="auto"/>
        <w:ind w:firstLine="1701"/>
        <w:rPr>
          <w:rFonts w:ascii="Gadugi" w:hAnsi="Gadugi"/>
          <w:szCs w:val="24"/>
        </w:rPr>
      </w:pPr>
      <w:r w:rsidRPr="009E28DA">
        <w:rPr>
          <w:rFonts w:ascii="Gadugi" w:hAnsi="Gadugi"/>
          <w:szCs w:val="24"/>
        </w:rPr>
        <w:t xml:space="preserve">Interpuso recurso de reposición y en subsidio apelación, el apoderado del codemandado. Argumentó que </w:t>
      </w:r>
      <w:r w:rsidR="000A4957" w:rsidRPr="009E28DA">
        <w:rPr>
          <w:rFonts w:ascii="Gadugi" w:hAnsi="Gadugi"/>
          <w:szCs w:val="24"/>
        </w:rPr>
        <w:t xml:space="preserve">(i) </w:t>
      </w:r>
      <w:r w:rsidR="001A7BF3" w:rsidRPr="009E28DA">
        <w:rPr>
          <w:rFonts w:ascii="Gadugi" w:hAnsi="Gadugi"/>
          <w:szCs w:val="24"/>
        </w:rPr>
        <w:t xml:space="preserve">Se han presentado errores procesales, como haber notificado la demanda a Allianz Seguros de Vida S.A., sin que el auto admisorio lo permitiera; haber admitido la demanda contra Seguros Bolívar S.A., que no tiene nada que ver con el proceso. En virtud de esas notificaciones </w:t>
      </w:r>
      <w:r w:rsidR="00BB43E1" w:rsidRPr="009E28DA">
        <w:rPr>
          <w:rFonts w:ascii="Gadugi" w:hAnsi="Gadugi"/>
          <w:szCs w:val="24"/>
        </w:rPr>
        <w:t xml:space="preserve">Allianz Seguros de Vida se hizo presente y el juzgado la desvinculó. Para entonces el codemandado no había sido notificado, por lo cual no se interpuso recurso. (ii) en la parte final de la contestación se enuncia que se entrega escrito que contiene el llamamiento en garantía, y aquí no es mi estilo buscar culpables, pero en virtud del debido proceso </w:t>
      </w:r>
      <w:r w:rsidR="00BB43E1" w:rsidRPr="009E28DA">
        <w:rPr>
          <w:rFonts w:ascii="Gadugi" w:hAnsi="Gadugi"/>
          <w:szCs w:val="24"/>
        </w:rPr>
        <w:lastRenderedPageBreak/>
        <w:t xml:space="preserve">para el codemandado, el Juzgado debía inadmitir la contestación de la demanda porque al final no se aportó el llamamiento; (iii) el proceso sigue generando una situación de zozobra para el demandado, porque no solo él está asegurado, sino Transportes Santana, y ninguna de ellas va a tener efecto en el proceso, se cercena la posibilidad de que una aseguradora que lo respalde, y de ser condenado, le taca en un proceso aparte demandar a la aseguradora, y esa no es la efectividad que se espera de la justicia en este caso. </w:t>
      </w:r>
    </w:p>
    <w:p w14:paraId="76ABD7E4" w14:textId="77777777" w:rsidR="00BB43E1" w:rsidRPr="009E28DA" w:rsidRDefault="00BB43E1" w:rsidP="009E28DA">
      <w:pPr>
        <w:pStyle w:val="Textoindependiente"/>
        <w:spacing w:line="276" w:lineRule="auto"/>
        <w:ind w:firstLine="1701"/>
        <w:rPr>
          <w:rFonts w:ascii="Gadugi" w:hAnsi="Gadugi"/>
          <w:szCs w:val="24"/>
        </w:rPr>
      </w:pPr>
    </w:p>
    <w:p w14:paraId="37ED1529" w14:textId="77777777" w:rsidR="008F4D87" w:rsidRPr="009E28DA" w:rsidRDefault="00D35B92" w:rsidP="009E28DA">
      <w:pPr>
        <w:pStyle w:val="Textoindependiente"/>
        <w:spacing w:line="276" w:lineRule="auto"/>
        <w:ind w:firstLine="1701"/>
        <w:rPr>
          <w:rFonts w:ascii="Gadugi" w:hAnsi="Gadugi"/>
          <w:szCs w:val="24"/>
        </w:rPr>
      </w:pPr>
      <w:r w:rsidRPr="009E28DA">
        <w:rPr>
          <w:rFonts w:ascii="Gadugi" w:hAnsi="Gadugi"/>
          <w:szCs w:val="24"/>
        </w:rPr>
        <w:t>El Juzgado decidió no reponer la providencia</w:t>
      </w:r>
      <w:r w:rsidR="008F4D87" w:rsidRPr="009E28DA">
        <w:rPr>
          <w:rFonts w:ascii="Gadugi" w:hAnsi="Gadugi"/>
          <w:szCs w:val="24"/>
        </w:rPr>
        <w:t xml:space="preserve"> y concedió el recurso de apelación. </w:t>
      </w:r>
    </w:p>
    <w:p w14:paraId="60249890" w14:textId="77777777" w:rsidR="008F4D87" w:rsidRPr="009E28DA" w:rsidRDefault="008F4D87" w:rsidP="009E28DA">
      <w:pPr>
        <w:pStyle w:val="Textoindependiente"/>
        <w:spacing w:line="276" w:lineRule="auto"/>
        <w:ind w:firstLine="1701"/>
        <w:rPr>
          <w:rFonts w:ascii="Gadugi" w:hAnsi="Gadugi"/>
          <w:szCs w:val="24"/>
        </w:rPr>
      </w:pPr>
    </w:p>
    <w:p w14:paraId="62C0B129" w14:textId="77777777" w:rsidR="00B87A74" w:rsidRPr="009E28DA" w:rsidRDefault="00B87A74" w:rsidP="009E28DA">
      <w:pPr>
        <w:pStyle w:val="Textoindependiente"/>
        <w:spacing w:line="276" w:lineRule="auto"/>
        <w:ind w:firstLine="1701"/>
        <w:rPr>
          <w:rFonts w:ascii="Gadugi" w:hAnsi="Gadugi"/>
          <w:b/>
          <w:szCs w:val="24"/>
        </w:rPr>
      </w:pPr>
    </w:p>
    <w:p w14:paraId="065CD170" w14:textId="6CBE7CA5" w:rsidR="007D3BD2" w:rsidRPr="009E28DA" w:rsidRDefault="007D3BD2" w:rsidP="009E28DA">
      <w:pPr>
        <w:pStyle w:val="Textoindependiente"/>
        <w:spacing w:line="276" w:lineRule="auto"/>
        <w:ind w:firstLine="1701"/>
        <w:rPr>
          <w:rFonts w:ascii="Gadugi" w:hAnsi="Gadugi"/>
          <w:b/>
          <w:szCs w:val="24"/>
        </w:rPr>
      </w:pPr>
      <w:r w:rsidRPr="009E28DA">
        <w:rPr>
          <w:rFonts w:ascii="Gadugi" w:hAnsi="Gadugi"/>
          <w:b/>
          <w:szCs w:val="24"/>
        </w:rPr>
        <w:t>CONSIDERACIONES</w:t>
      </w:r>
    </w:p>
    <w:p w14:paraId="236DFE1A" w14:textId="1D04C1C3" w:rsidR="004A5E30" w:rsidRPr="009E28DA" w:rsidRDefault="004A5E30" w:rsidP="009E28DA">
      <w:pPr>
        <w:pStyle w:val="Textoindependiente"/>
        <w:spacing w:line="276" w:lineRule="auto"/>
        <w:ind w:firstLine="1701"/>
        <w:rPr>
          <w:rFonts w:ascii="Gadugi" w:hAnsi="Gadugi"/>
          <w:szCs w:val="24"/>
        </w:rPr>
      </w:pPr>
    </w:p>
    <w:p w14:paraId="5A8A08A4" w14:textId="7C7A5B42" w:rsidR="007D3BD2" w:rsidRPr="009E28DA" w:rsidRDefault="007D3BD2" w:rsidP="009E28DA">
      <w:pPr>
        <w:pStyle w:val="Textoindependiente"/>
        <w:spacing w:line="276" w:lineRule="auto"/>
        <w:ind w:firstLine="1701"/>
        <w:rPr>
          <w:rFonts w:ascii="Gadugi" w:hAnsi="Gadugi"/>
          <w:szCs w:val="24"/>
        </w:rPr>
      </w:pPr>
    </w:p>
    <w:p w14:paraId="7D0BF174" w14:textId="497E3D4F" w:rsidR="007D3BD2" w:rsidRPr="009E28DA" w:rsidRDefault="007D3BD2" w:rsidP="009E28DA">
      <w:pPr>
        <w:pStyle w:val="Textoindependiente"/>
        <w:numPr>
          <w:ilvl w:val="0"/>
          <w:numId w:val="21"/>
        </w:numPr>
        <w:spacing w:line="276" w:lineRule="auto"/>
        <w:ind w:left="0" w:firstLine="1701"/>
        <w:rPr>
          <w:rFonts w:ascii="Gadugi" w:hAnsi="Gadugi"/>
          <w:szCs w:val="24"/>
        </w:rPr>
      </w:pPr>
      <w:r w:rsidRPr="009E28DA">
        <w:rPr>
          <w:rFonts w:ascii="Gadugi" w:hAnsi="Gadugi"/>
          <w:szCs w:val="24"/>
        </w:rPr>
        <w:t>Esta Sala es competente para resolver el recurso propuesto, en los términos del artículo 35 del CGP, mismo que se torna procedente, según lo previene el artículo 321-</w:t>
      </w:r>
      <w:r w:rsidR="00BC293B" w:rsidRPr="009E28DA">
        <w:rPr>
          <w:rFonts w:ascii="Gadugi" w:hAnsi="Gadugi"/>
          <w:szCs w:val="24"/>
        </w:rPr>
        <w:t>2</w:t>
      </w:r>
      <w:r w:rsidRPr="009E28DA">
        <w:rPr>
          <w:rFonts w:ascii="Gadugi" w:hAnsi="Gadugi"/>
          <w:szCs w:val="24"/>
        </w:rPr>
        <w:t xml:space="preserve"> ibidem, fue propuesto por persona legitimada y en la oportunidad prevista para ello en el artículo 322 de la misma obra, a más de haber sido debidamente sustentado. </w:t>
      </w:r>
    </w:p>
    <w:p w14:paraId="40768EA3" w14:textId="6D1F49AE" w:rsidR="000644A6" w:rsidRPr="009E28DA" w:rsidRDefault="000644A6" w:rsidP="009E28DA">
      <w:pPr>
        <w:spacing w:line="276" w:lineRule="auto"/>
        <w:jc w:val="both"/>
        <w:rPr>
          <w:rFonts w:ascii="Gadugi" w:hAnsi="Gadugi" w:cs="Courier New"/>
          <w:sz w:val="24"/>
          <w:szCs w:val="24"/>
          <w:lang w:val="es-MX"/>
        </w:rPr>
      </w:pPr>
    </w:p>
    <w:p w14:paraId="54C39C6F" w14:textId="3B2E87A3" w:rsidR="00BC293B" w:rsidRPr="009E28DA" w:rsidRDefault="00BC293B" w:rsidP="009E28DA">
      <w:pPr>
        <w:spacing w:line="276" w:lineRule="auto"/>
        <w:ind w:firstLine="1701"/>
        <w:jc w:val="both"/>
        <w:rPr>
          <w:rFonts w:ascii="Gadugi" w:hAnsi="Gadugi" w:cs="Courier New"/>
          <w:sz w:val="24"/>
          <w:szCs w:val="24"/>
          <w:lang w:val="es-MX"/>
        </w:rPr>
      </w:pPr>
      <w:r w:rsidRPr="009E28DA">
        <w:rPr>
          <w:rFonts w:ascii="Gadugi" w:hAnsi="Gadugi" w:cs="Courier New"/>
          <w:sz w:val="24"/>
          <w:szCs w:val="24"/>
          <w:lang w:val="es-MX"/>
        </w:rPr>
        <w:t>Esto, en una interpretación amplia, para el caso, del numeral 2 del artículo 321 citado, que enlista como apelables los autos que niegan la intervención de terceros. Amplitud que obedece a que, en estricto sentido, no se ha invocado la presencia de Allianz Seguros S.A. como un tercero -entendida esta palabra en una acepción laxa-</w:t>
      </w:r>
      <w:r w:rsidRPr="009E28DA">
        <w:rPr>
          <w:rStyle w:val="Refdenotaalpie"/>
          <w:rFonts w:ascii="Gadugi" w:hAnsi="Gadugi" w:cs="Courier New"/>
          <w:sz w:val="24"/>
          <w:szCs w:val="24"/>
          <w:lang w:val="es-MX"/>
        </w:rPr>
        <w:footnoteReference w:id="12"/>
      </w:r>
      <w:r w:rsidRPr="009E28DA">
        <w:rPr>
          <w:rFonts w:ascii="Gadugi" w:hAnsi="Gadugi" w:cs="Courier New"/>
          <w:sz w:val="24"/>
          <w:szCs w:val="24"/>
          <w:lang w:val="es-MX"/>
        </w:rPr>
        <w:t>, sino como un litisconsorte necesario</w:t>
      </w:r>
      <w:r w:rsidR="008F613C" w:rsidRPr="009E28DA">
        <w:rPr>
          <w:rFonts w:ascii="Gadugi" w:hAnsi="Gadugi" w:cs="Courier New"/>
          <w:sz w:val="24"/>
          <w:szCs w:val="24"/>
          <w:lang w:val="es-MX"/>
        </w:rPr>
        <w:t>, regulado por el artículo 6</w:t>
      </w:r>
      <w:r w:rsidR="005E00E4" w:rsidRPr="009E28DA">
        <w:rPr>
          <w:rFonts w:ascii="Gadugi" w:hAnsi="Gadugi" w:cs="Courier New"/>
          <w:sz w:val="24"/>
          <w:szCs w:val="24"/>
          <w:lang w:val="es-MX"/>
        </w:rPr>
        <w:t>1</w:t>
      </w:r>
      <w:r w:rsidR="008F613C" w:rsidRPr="009E28DA">
        <w:rPr>
          <w:rFonts w:ascii="Gadugi" w:hAnsi="Gadugi" w:cs="Courier New"/>
          <w:sz w:val="24"/>
          <w:szCs w:val="24"/>
          <w:lang w:val="es-MX"/>
        </w:rPr>
        <w:t xml:space="preserve"> del CGP. </w:t>
      </w:r>
    </w:p>
    <w:p w14:paraId="0E83246E" w14:textId="58193845" w:rsidR="008F613C" w:rsidRPr="009E28DA" w:rsidRDefault="008F613C" w:rsidP="009E28DA">
      <w:pPr>
        <w:spacing w:line="276" w:lineRule="auto"/>
        <w:ind w:firstLine="1701"/>
        <w:jc w:val="both"/>
        <w:rPr>
          <w:rFonts w:ascii="Gadugi" w:hAnsi="Gadugi" w:cs="Courier New"/>
          <w:sz w:val="24"/>
          <w:szCs w:val="24"/>
          <w:lang w:val="es-MX"/>
        </w:rPr>
      </w:pPr>
    </w:p>
    <w:p w14:paraId="43EA7BE9" w14:textId="77777777" w:rsidR="008F613C" w:rsidRPr="009E28DA" w:rsidRDefault="008F613C" w:rsidP="009E28DA">
      <w:pPr>
        <w:pStyle w:val="Prrafodelista"/>
        <w:numPr>
          <w:ilvl w:val="0"/>
          <w:numId w:val="21"/>
        </w:numPr>
        <w:spacing w:after="0"/>
        <w:ind w:left="142" w:firstLine="1559"/>
        <w:jc w:val="both"/>
        <w:rPr>
          <w:rFonts w:ascii="Gadugi" w:hAnsi="Gadugi" w:cs="Courier New"/>
          <w:sz w:val="24"/>
          <w:szCs w:val="24"/>
          <w:lang w:val="es-MX"/>
        </w:rPr>
      </w:pPr>
      <w:r w:rsidRPr="009E28DA">
        <w:rPr>
          <w:rFonts w:ascii="Gadugi" w:hAnsi="Gadugi" w:cs="Courier New"/>
          <w:sz w:val="24"/>
          <w:szCs w:val="24"/>
          <w:lang w:val="es-MX"/>
        </w:rPr>
        <w:t>Son varias las razones por las cuales el auto será prohijado.</w:t>
      </w:r>
    </w:p>
    <w:p w14:paraId="4530C81A" w14:textId="57938F11" w:rsidR="008F613C" w:rsidRPr="009E28DA" w:rsidRDefault="008F613C" w:rsidP="009E28DA">
      <w:pPr>
        <w:pStyle w:val="Prrafodelista"/>
        <w:spacing w:after="0"/>
        <w:ind w:left="1843"/>
        <w:jc w:val="both"/>
        <w:rPr>
          <w:rFonts w:ascii="Gadugi" w:hAnsi="Gadugi" w:cs="Courier New"/>
          <w:sz w:val="24"/>
          <w:szCs w:val="24"/>
          <w:lang w:val="es-MX"/>
        </w:rPr>
      </w:pPr>
    </w:p>
    <w:p w14:paraId="62278B0B" w14:textId="77777777" w:rsidR="00E14ADE" w:rsidRPr="009E28DA" w:rsidRDefault="00E14ADE" w:rsidP="009E28DA">
      <w:pPr>
        <w:pStyle w:val="Prrafodelista"/>
        <w:spacing w:after="0"/>
        <w:ind w:left="0" w:firstLine="1701"/>
        <w:jc w:val="both"/>
        <w:rPr>
          <w:rFonts w:ascii="Gadugi" w:hAnsi="Gadugi" w:cs="Courier New"/>
          <w:sz w:val="24"/>
          <w:szCs w:val="24"/>
          <w:lang w:val="es-MX"/>
        </w:rPr>
      </w:pPr>
      <w:r w:rsidRPr="009E28DA">
        <w:rPr>
          <w:rFonts w:ascii="Gadugi" w:hAnsi="Gadugi" w:cs="Courier New"/>
          <w:sz w:val="24"/>
          <w:szCs w:val="24"/>
          <w:lang w:val="es-MX"/>
        </w:rPr>
        <w:t xml:space="preserve">El CGP regula tres modalidades de litisconsorcio, el necesario, el facultativo y el cuasinecesario. </w:t>
      </w:r>
    </w:p>
    <w:p w14:paraId="0E6C041D" w14:textId="77777777" w:rsidR="00E14ADE" w:rsidRPr="009E28DA" w:rsidRDefault="00E14ADE" w:rsidP="009E28DA">
      <w:pPr>
        <w:pStyle w:val="Prrafodelista"/>
        <w:spacing w:after="0"/>
        <w:ind w:left="0" w:firstLine="1701"/>
        <w:jc w:val="both"/>
        <w:rPr>
          <w:rFonts w:ascii="Gadugi" w:hAnsi="Gadugi" w:cs="Courier New"/>
          <w:sz w:val="24"/>
          <w:szCs w:val="24"/>
          <w:lang w:val="es-MX"/>
        </w:rPr>
      </w:pPr>
    </w:p>
    <w:p w14:paraId="677B4354" w14:textId="77777777" w:rsidR="00E14ADE" w:rsidRPr="009E28DA" w:rsidRDefault="00E14ADE" w:rsidP="009E28DA">
      <w:pPr>
        <w:pStyle w:val="Prrafodelista"/>
        <w:spacing w:after="0"/>
        <w:ind w:left="0" w:firstLine="1701"/>
        <w:jc w:val="both"/>
        <w:rPr>
          <w:rFonts w:ascii="Gadugi" w:hAnsi="Gadugi" w:cs="Courier New"/>
          <w:sz w:val="24"/>
          <w:szCs w:val="24"/>
          <w:lang w:val="es-MX"/>
        </w:rPr>
      </w:pPr>
      <w:r w:rsidRPr="009E28DA">
        <w:rPr>
          <w:rFonts w:ascii="Gadugi" w:hAnsi="Gadugi" w:cs="Courier New"/>
          <w:sz w:val="24"/>
          <w:szCs w:val="24"/>
          <w:lang w:val="es-MX"/>
        </w:rPr>
        <w:t xml:space="preserve">El primero depende de que el proceso verse sobre relaciones o actos jurídicos, respecto de los cuales, por su naturaleza o por disposición legal, sea menester resolver de manera uniforme para todos, de manera que la ausencia de uno de los sujetos impide que se dicte sentencia de mérito. Aquí, la iniciativa para la integración la tienen el demandante (en la demanda), el juez (en la admisión), el demandado (por medio de la excepción previa), cualquiera de los sujetos vinculados y el juez (antes de </w:t>
      </w:r>
      <w:r w:rsidRPr="009E28DA">
        <w:rPr>
          <w:rFonts w:ascii="Gadugi" w:hAnsi="Gadugi" w:cs="Courier New"/>
          <w:sz w:val="24"/>
          <w:szCs w:val="24"/>
          <w:lang w:val="es-MX"/>
        </w:rPr>
        <w:lastRenderedPageBreak/>
        <w:t>que se dicte sentencia) y hasta el mismo litisconsorte necesario que, enterado del proceso, acuda por su cuenta (art. 61).</w:t>
      </w:r>
    </w:p>
    <w:p w14:paraId="7A169E9F" w14:textId="77777777" w:rsidR="00E14ADE" w:rsidRPr="009E28DA" w:rsidRDefault="00E14ADE" w:rsidP="009E28DA">
      <w:pPr>
        <w:pStyle w:val="Prrafodelista"/>
        <w:spacing w:after="0"/>
        <w:ind w:left="0" w:firstLine="1701"/>
        <w:jc w:val="both"/>
        <w:rPr>
          <w:rFonts w:ascii="Gadugi" w:hAnsi="Gadugi" w:cs="Courier New"/>
          <w:sz w:val="24"/>
          <w:szCs w:val="24"/>
          <w:lang w:val="es-MX"/>
        </w:rPr>
      </w:pPr>
    </w:p>
    <w:p w14:paraId="5EC11A87" w14:textId="77777777" w:rsidR="00E14ADE" w:rsidRPr="009E28DA" w:rsidRDefault="00E14ADE" w:rsidP="009E28DA">
      <w:pPr>
        <w:pStyle w:val="Prrafodelista"/>
        <w:spacing w:after="0"/>
        <w:ind w:left="0" w:firstLine="1701"/>
        <w:jc w:val="both"/>
        <w:rPr>
          <w:rFonts w:ascii="Gadugi" w:hAnsi="Gadugi" w:cs="Courier New"/>
          <w:sz w:val="24"/>
          <w:szCs w:val="24"/>
          <w:lang w:val="es-MX"/>
        </w:rPr>
      </w:pPr>
      <w:r w:rsidRPr="009E28DA">
        <w:rPr>
          <w:rFonts w:ascii="Gadugi" w:hAnsi="Gadugi" w:cs="Courier New"/>
          <w:sz w:val="24"/>
          <w:szCs w:val="24"/>
          <w:lang w:val="es-MX"/>
        </w:rPr>
        <w:t xml:space="preserve">En el segundo, la presencia de los litisconsortes no es indispensable, pues cada uno de los litigantes se considera por separado y sus actos no redundan en provecho ni en perjuicio de los demás. Por tanto, la iniciativa para su integración a la litis depende del mismo demandante. </w:t>
      </w:r>
    </w:p>
    <w:p w14:paraId="3DDD1C8A" w14:textId="77777777" w:rsidR="00E14ADE" w:rsidRPr="009E28DA" w:rsidRDefault="00E14ADE" w:rsidP="009E28DA">
      <w:pPr>
        <w:pStyle w:val="Prrafodelista"/>
        <w:spacing w:after="0"/>
        <w:ind w:left="0" w:firstLine="1701"/>
        <w:jc w:val="both"/>
        <w:rPr>
          <w:rFonts w:ascii="Gadugi" w:hAnsi="Gadugi" w:cs="Courier New"/>
          <w:sz w:val="24"/>
          <w:szCs w:val="24"/>
          <w:lang w:val="es-MX"/>
        </w:rPr>
      </w:pPr>
    </w:p>
    <w:p w14:paraId="384E8153" w14:textId="00AC2AE9" w:rsidR="00E14ADE" w:rsidRPr="009E28DA" w:rsidRDefault="00E14ADE" w:rsidP="009E28DA">
      <w:pPr>
        <w:pStyle w:val="Prrafodelista"/>
        <w:spacing w:after="0"/>
        <w:ind w:left="0" w:firstLine="1701"/>
        <w:jc w:val="both"/>
        <w:rPr>
          <w:rFonts w:ascii="Gadugi" w:hAnsi="Gadugi" w:cs="Courier New"/>
          <w:sz w:val="24"/>
          <w:szCs w:val="24"/>
          <w:lang w:val="es-MX"/>
        </w:rPr>
      </w:pPr>
      <w:r w:rsidRPr="009E28DA">
        <w:rPr>
          <w:rFonts w:ascii="Gadugi" w:hAnsi="Gadugi" w:cs="Courier New"/>
          <w:sz w:val="24"/>
          <w:szCs w:val="24"/>
          <w:lang w:val="es-MX"/>
        </w:rPr>
        <w:t>El tercero, tiene una característica propia del litisconsorcio facultativo, en la medida en que el demandante puede dirigir su demanda contra cualquiera de quienes pudiera</w:t>
      </w:r>
      <w:r w:rsidR="005E00E4" w:rsidRPr="009E28DA">
        <w:rPr>
          <w:rFonts w:ascii="Gadugi" w:hAnsi="Gadugi" w:cs="Courier New"/>
          <w:sz w:val="24"/>
          <w:szCs w:val="24"/>
          <w:lang w:val="es-MX"/>
        </w:rPr>
        <w:t>n</w:t>
      </w:r>
      <w:r w:rsidRPr="009E28DA">
        <w:rPr>
          <w:rFonts w:ascii="Gadugi" w:hAnsi="Gadugi" w:cs="Courier New"/>
          <w:sz w:val="24"/>
          <w:szCs w:val="24"/>
          <w:lang w:val="es-MX"/>
        </w:rPr>
        <w:t xml:space="preserve"> ser obligados a una prestación (caso de los deudores solidarios); pero, como por causa de la relación sustancial que </w:t>
      </w:r>
      <w:r w:rsidR="005E00E4" w:rsidRPr="009E28DA">
        <w:rPr>
          <w:rFonts w:ascii="Gadugi" w:hAnsi="Gadugi" w:cs="Courier New"/>
          <w:sz w:val="24"/>
          <w:szCs w:val="24"/>
          <w:lang w:val="es-MX"/>
        </w:rPr>
        <w:t>tenga</w:t>
      </w:r>
      <w:r w:rsidRPr="009E28DA">
        <w:rPr>
          <w:rFonts w:ascii="Gadugi" w:hAnsi="Gadugi" w:cs="Courier New"/>
          <w:sz w:val="24"/>
          <w:szCs w:val="24"/>
          <w:lang w:val="es-MX"/>
        </w:rPr>
        <w:t xml:space="preserve"> con el demandante la sentencia puede extender a él sus efectos, la ley le permite intervenir en el proceso. Como es perceptible, aquí la iniciativa la tiene el propio litisconsorte, si es que no ha sido vinculado al proceso. </w:t>
      </w:r>
    </w:p>
    <w:p w14:paraId="1A305CF4" w14:textId="77777777" w:rsidR="00E14ADE" w:rsidRPr="009E28DA" w:rsidRDefault="00E14ADE" w:rsidP="009E28DA">
      <w:pPr>
        <w:pStyle w:val="Prrafodelista"/>
        <w:spacing w:after="0"/>
        <w:ind w:left="0" w:firstLine="1701"/>
        <w:jc w:val="both"/>
        <w:rPr>
          <w:rFonts w:ascii="Gadugi" w:hAnsi="Gadugi" w:cs="Courier New"/>
          <w:sz w:val="24"/>
          <w:szCs w:val="24"/>
          <w:lang w:val="es-MX"/>
        </w:rPr>
      </w:pPr>
    </w:p>
    <w:p w14:paraId="689E7D49" w14:textId="1A89FB72" w:rsidR="00B04194" w:rsidRPr="009E28DA" w:rsidRDefault="00E14ADE" w:rsidP="009E28DA">
      <w:pPr>
        <w:pStyle w:val="Prrafodelista"/>
        <w:spacing w:after="0"/>
        <w:ind w:left="0" w:firstLine="1701"/>
        <w:jc w:val="both"/>
        <w:rPr>
          <w:rFonts w:ascii="Gadugi" w:hAnsi="Gadugi" w:cs="Courier New"/>
          <w:sz w:val="24"/>
          <w:szCs w:val="24"/>
          <w:lang w:val="es-MX"/>
        </w:rPr>
      </w:pPr>
      <w:r w:rsidRPr="009E28DA">
        <w:rPr>
          <w:rFonts w:ascii="Gadugi" w:hAnsi="Gadugi" w:cs="Courier New"/>
          <w:sz w:val="24"/>
          <w:szCs w:val="24"/>
          <w:lang w:val="es-MX"/>
        </w:rPr>
        <w:t>En el caso de la respon</w:t>
      </w:r>
      <w:r w:rsidR="00CD2D2F" w:rsidRPr="009E28DA">
        <w:rPr>
          <w:rFonts w:ascii="Gadugi" w:hAnsi="Gadugi" w:cs="Courier New"/>
          <w:sz w:val="24"/>
          <w:szCs w:val="24"/>
          <w:lang w:val="es-MX"/>
        </w:rPr>
        <w:t>s</w:t>
      </w:r>
      <w:r w:rsidRPr="009E28DA">
        <w:rPr>
          <w:rFonts w:ascii="Gadugi" w:hAnsi="Gadugi" w:cs="Courier New"/>
          <w:sz w:val="24"/>
          <w:szCs w:val="24"/>
          <w:lang w:val="es-MX"/>
        </w:rPr>
        <w:t>abilidad civil</w:t>
      </w:r>
      <w:r w:rsidR="00CD2D2F" w:rsidRPr="009E28DA">
        <w:rPr>
          <w:rFonts w:ascii="Gadugi" w:hAnsi="Gadugi" w:cs="Courier New"/>
          <w:sz w:val="24"/>
          <w:szCs w:val="24"/>
          <w:lang w:val="es-MX"/>
        </w:rPr>
        <w:t xml:space="preserve"> </w:t>
      </w:r>
      <w:r w:rsidR="00EA2DC6" w:rsidRPr="009E28DA">
        <w:rPr>
          <w:rFonts w:ascii="Gadugi" w:hAnsi="Gadugi" w:cs="Courier New"/>
          <w:sz w:val="24"/>
          <w:szCs w:val="24"/>
          <w:lang w:val="es-MX"/>
        </w:rPr>
        <w:t>extracontractual, no</w:t>
      </w:r>
      <w:r w:rsidR="00CD2D2F" w:rsidRPr="009E28DA">
        <w:rPr>
          <w:rFonts w:ascii="Gadugi" w:hAnsi="Gadugi" w:cs="Courier New"/>
          <w:sz w:val="24"/>
          <w:szCs w:val="24"/>
          <w:lang w:val="es-MX"/>
        </w:rPr>
        <w:t xml:space="preserve"> cabe duda, el litisconsorcio es de la segunda modalidad, </w:t>
      </w:r>
      <w:r w:rsidR="00E34E56" w:rsidRPr="009E28DA">
        <w:rPr>
          <w:rFonts w:ascii="Gadugi" w:hAnsi="Gadugi" w:cs="Courier New"/>
          <w:sz w:val="24"/>
          <w:szCs w:val="24"/>
          <w:lang w:val="es-MX"/>
        </w:rPr>
        <w:t xml:space="preserve">esto es, facultativo, </w:t>
      </w:r>
      <w:r w:rsidR="00CD2D2F" w:rsidRPr="009E28DA">
        <w:rPr>
          <w:rFonts w:ascii="Gadugi" w:hAnsi="Gadugi" w:cs="Courier New"/>
          <w:sz w:val="24"/>
          <w:szCs w:val="24"/>
          <w:lang w:val="es-MX"/>
        </w:rPr>
        <w:t xml:space="preserve">supuesto que </w:t>
      </w:r>
      <w:r w:rsidR="00CD2D2F" w:rsidRPr="009E28DA">
        <w:rPr>
          <w:rFonts w:ascii="Gadugi" w:hAnsi="Gadugi" w:cs="Courier New"/>
          <w:i/>
          <w:sz w:val="24"/>
          <w:szCs w:val="24"/>
          <w:lang w:val="es-MX"/>
        </w:rPr>
        <w:t>“</w:t>
      </w:r>
      <w:r w:rsidR="00CD2D2F" w:rsidRPr="00EA2DC6">
        <w:rPr>
          <w:rFonts w:ascii="Gadugi" w:hAnsi="Gadugi" w:cs="Courier New"/>
          <w:i/>
          <w:szCs w:val="24"/>
          <w:lang w:val="es-MX"/>
        </w:rPr>
        <w:t>Si un delito o culpa ha sido cometido por dos o más personas, cada una de ellas será solidariamente responsable de todo perjuicio procedente del mismo delito o culpa…</w:t>
      </w:r>
      <w:r w:rsidR="00CD2D2F" w:rsidRPr="009E28DA">
        <w:rPr>
          <w:rFonts w:ascii="Gadugi" w:hAnsi="Gadugi" w:cs="Courier New"/>
          <w:i/>
          <w:sz w:val="24"/>
          <w:szCs w:val="24"/>
          <w:lang w:val="es-MX"/>
        </w:rPr>
        <w:t xml:space="preserve">” </w:t>
      </w:r>
      <w:r w:rsidR="00CD2D2F" w:rsidRPr="009E28DA">
        <w:rPr>
          <w:rFonts w:ascii="Gadugi" w:hAnsi="Gadugi" w:cs="Courier New"/>
          <w:sz w:val="24"/>
          <w:szCs w:val="24"/>
          <w:lang w:val="es-MX"/>
        </w:rPr>
        <w:t xml:space="preserve">(art. 2344 C.C.). </w:t>
      </w:r>
    </w:p>
    <w:p w14:paraId="39B7E248" w14:textId="5E70B620" w:rsidR="00CD2D2F" w:rsidRPr="009E28DA" w:rsidRDefault="00CD2D2F" w:rsidP="009E28DA">
      <w:pPr>
        <w:pStyle w:val="Prrafodelista"/>
        <w:spacing w:after="0"/>
        <w:ind w:left="0" w:firstLine="1701"/>
        <w:jc w:val="both"/>
        <w:rPr>
          <w:rFonts w:ascii="Gadugi" w:hAnsi="Gadugi" w:cs="Courier New"/>
          <w:sz w:val="24"/>
          <w:szCs w:val="24"/>
          <w:lang w:val="es-MX"/>
        </w:rPr>
      </w:pPr>
    </w:p>
    <w:p w14:paraId="143A8275" w14:textId="77777777" w:rsidR="00E34E56" w:rsidRPr="009E28DA" w:rsidRDefault="00E34E56" w:rsidP="009E28DA">
      <w:pPr>
        <w:spacing w:line="276" w:lineRule="auto"/>
        <w:ind w:right="51" w:firstLine="1701"/>
        <w:jc w:val="both"/>
        <w:rPr>
          <w:rFonts w:ascii="Gadugi" w:hAnsi="Gadugi" w:cs="Arial"/>
          <w:bCs/>
          <w:color w:val="000000"/>
          <w:sz w:val="24"/>
          <w:szCs w:val="24"/>
        </w:rPr>
      </w:pPr>
      <w:r w:rsidRPr="009E28DA">
        <w:rPr>
          <w:rFonts w:ascii="Gadugi" w:hAnsi="Gadugi" w:cs="Courier New"/>
          <w:sz w:val="24"/>
          <w:szCs w:val="24"/>
          <w:lang w:val="es-MX"/>
        </w:rPr>
        <w:t xml:space="preserve"> De tiempo atrás, así lo ha considerado la jurisprudencia. Por ejemplo, en sentencia de tutela del 2 de febrero de 2012, radicado </w:t>
      </w:r>
      <w:r w:rsidRPr="009E28DA">
        <w:rPr>
          <w:rFonts w:ascii="Gadugi" w:hAnsi="Gadugi" w:cs="Arial"/>
          <w:bCs/>
          <w:color w:val="000000"/>
          <w:sz w:val="24"/>
          <w:szCs w:val="24"/>
        </w:rPr>
        <w:t xml:space="preserve">1100102030002012-00064-00, M.P. Fernando Giraldo Gutiérrez, en la que se cita otra de casación, se dijo, en un proceso de esa estirpe, que: </w:t>
      </w:r>
    </w:p>
    <w:p w14:paraId="05555ECA" w14:textId="77777777" w:rsidR="00E34E56" w:rsidRPr="009E28DA" w:rsidRDefault="00E34E56" w:rsidP="009E28DA">
      <w:pPr>
        <w:spacing w:line="276" w:lineRule="auto"/>
        <w:ind w:right="51" w:firstLine="1701"/>
        <w:jc w:val="both"/>
        <w:rPr>
          <w:rFonts w:ascii="Gadugi" w:hAnsi="Gadugi" w:cs="Arial"/>
          <w:bCs/>
          <w:color w:val="000000"/>
          <w:sz w:val="24"/>
          <w:szCs w:val="24"/>
        </w:rPr>
      </w:pPr>
    </w:p>
    <w:p w14:paraId="7B5AE9B7" w14:textId="77777777" w:rsidR="00E34E56" w:rsidRPr="00EA2DC6" w:rsidRDefault="00E34E56" w:rsidP="00EA2DC6">
      <w:pPr>
        <w:ind w:left="426" w:right="420" w:firstLine="1134"/>
        <w:jc w:val="both"/>
        <w:rPr>
          <w:rFonts w:ascii="Gadugi" w:hAnsi="Gadugi" w:cs="Arial"/>
          <w:color w:val="000000"/>
          <w:sz w:val="22"/>
          <w:szCs w:val="24"/>
        </w:rPr>
      </w:pPr>
      <w:r w:rsidRPr="00EA2DC6">
        <w:rPr>
          <w:rFonts w:ascii="Gadugi" w:hAnsi="Gadugi" w:cs="Arial"/>
          <w:color w:val="000000"/>
          <w:sz w:val="22"/>
          <w:szCs w:val="24"/>
        </w:rPr>
        <w:t>En efecto, es claro que en el respectivo proceso ordinario se estaba en presencia de un litisconsorcio facultativo o voluntario por pasiva, cuestión que no amerita mayos explicación y respecto a la cual esta Sala ha tenido la oportunidad de pronunciarse así: </w:t>
      </w:r>
      <w:r w:rsidRPr="00EA2DC6">
        <w:rPr>
          <w:rFonts w:ascii="Gadugi" w:hAnsi="Gadugi" w:cs="Arial"/>
          <w:i/>
          <w:iCs/>
          <w:color w:val="000000"/>
          <w:sz w:val="22"/>
          <w:szCs w:val="24"/>
        </w:rPr>
        <w:t>“Si son varios los demandados, es indiscutible que, en este tipo de proceso (responsabilidad civil extracontractual), conforman un litisconsorcio facultativo y que, por ende, "serán considerados en sus relaciones con la contraparte, como litigantes separados" y "Los actos de cada uno de ellos no redundarán en provecho ni en perjuicio de los otros, sin que por ello se afecte la unidad del proceso" (art. 50 del C. de P.C.)”</w:t>
      </w:r>
      <w:r w:rsidRPr="00EA2DC6">
        <w:rPr>
          <w:rFonts w:ascii="Gadugi" w:hAnsi="Gadugi" w:cs="Arial"/>
          <w:color w:val="000000"/>
          <w:sz w:val="22"/>
          <w:szCs w:val="24"/>
        </w:rPr>
        <w:t> (sentencia de casación civil de 27 de septiembre de 2002, exp. 6143).</w:t>
      </w:r>
    </w:p>
    <w:p w14:paraId="5F6330FB" w14:textId="77777777" w:rsidR="00E34E56" w:rsidRPr="009E28DA" w:rsidRDefault="00E34E56" w:rsidP="009E28DA">
      <w:pPr>
        <w:pStyle w:val="Prrafodelista"/>
        <w:spacing w:after="0"/>
        <w:ind w:left="0" w:firstLine="1701"/>
        <w:jc w:val="both"/>
        <w:rPr>
          <w:rFonts w:ascii="Gadugi" w:hAnsi="Gadugi" w:cs="Courier New"/>
          <w:sz w:val="24"/>
          <w:szCs w:val="24"/>
          <w:lang w:val="es-MX"/>
        </w:rPr>
      </w:pPr>
    </w:p>
    <w:p w14:paraId="58032960" w14:textId="0A6955EE" w:rsidR="00E34E56" w:rsidRPr="009E28DA" w:rsidRDefault="00E34E56" w:rsidP="009E28DA">
      <w:pPr>
        <w:pStyle w:val="Prrafodelista"/>
        <w:spacing w:after="0"/>
        <w:ind w:left="0" w:firstLine="1701"/>
        <w:jc w:val="both"/>
        <w:rPr>
          <w:rFonts w:ascii="Gadugi" w:hAnsi="Gadugi" w:cs="Courier New"/>
          <w:sz w:val="24"/>
          <w:szCs w:val="24"/>
          <w:lang w:val="es-MX"/>
        </w:rPr>
      </w:pPr>
      <w:r w:rsidRPr="009E28DA">
        <w:rPr>
          <w:rFonts w:ascii="Gadugi" w:hAnsi="Gadugi" w:cs="Courier New"/>
          <w:sz w:val="24"/>
          <w:szCs w:val="24"/>
          <w:lang w:val="es-MX"/>
        </w:rPr>
        <w:t xml:space="preserve">Y para citar solo una reciente decisión, entre muchas, en el auto AC5133-2021, reiteró la Corte esa posición. </w:t>
      </w:r>
    </w:p>
    <w:p w14:paraId="0897F9EB" w14:textId="77777777" w:rsidR="00E34E56" w:rsidRPr="009E28DA" w:rsidRDefault="00E34E56" w:rsidP="009E28DA">
      <w:pPr>
        <w:pStyle w:val="Prrafodelista"/>
        <w:spacing w:after="0"/>
        <w:ind w:left="0" w:firstLine="1701"/>
        <w:jc w:val="both"/>
        <w:rPr>
          <w:rFonts w:ascii="Gadugi" w:hAnsi="Gadugi" w:cs="Courier New"/>
          <w:sz w:val="24"/>
          <w:szCs w:val="24"/>
          <w:lang w:val="es-MX"/>
        </w:rPr>
      </w:pPr>
    </w:p>
    <w:p w14:paraId="7BE66867" w14:textId="0F509890" w:rsidR="008F613C" w:rsidRPr="009E28DA" w:rsidRDefault="00E34E56" w:rsidP="009E28DA">
      <w:pPr>
        <w:pStyle w:val="Prrafodelista"/>
        <w:spacing w:after="0"/>
        <w:ind w:left="0" w:firstLine="1701"/>
        <w:jc w:val="both"/>
        <w:rPr>
          <w:rFonts w:ascii="Gadugi" w:hAnsi="Gadugi"/>
          <w:sz w:val="24"/>
          <w:szCs w:val="24"/>
        </w:rPr>
      </w:pPr>
      <w:r w:rsidRPr="009E28DA">
        <w:rPr>
          <w:rFonts w:ascii="Gadugi" w:hAnsi="Gadugi" w:cs="Courier New"/>
          <w:sz w:val="24"/>
          <w:szCs w:val="24"/>
          <w:lang w:val="es-MX"/>
        </w:rPr>
        <w:t xml:space="preserve">Con esta claridad, es evidente la improcedencia de la petición que, ya avanzado el trámite del proceso, hace el codemandado </w:t>
      </w:r>
      <w:r w:rsidRPr="009E28DA">
        <w:rPr>
          <w:rFonts w:ascii="Gadugi" w:hAnsi="Gadugi"/>
          <w:sz w:val="24"/>
          <w:szCs w:val="24"/>
        </w:rPr>
        <w:t xml:space="preserve">Oswaldo Enrique Valderrama Pinzón, pues, como se trata de una responsabilidad civil extracontractual, entre él y Transportes Santana Triángulo del Café SAS existe un litisconsorcio facultativo, como </w:t>
      </w:r>
      <w:r w:rsidRPr="009E28DA">
        <w:rPr>
          <w:rFonts w:ascii="Gadugi" w:hAnsi="Gadugi"/>
          <w:sz w:val="24"/>
          <w:szCs w:val="24"/>
        </w:rPr>
        <w:lastRenderedPageBreak/>
        <w:t xml:space="preserve">también lo habría en el caso de que los demandantes hubieran optado por reclamar directamente a la aseguradora. </w:t>
      </w:r>
    </w:p>
    <w:p w14:paraId="056B3227" w14:textId="77777777" w:rsidR="005E00E4" w:rsidRPr="009E28DA" w:rsidRDefault="005E00E4" w:rsidP="009E28DA">
      <w:pPr>
        <w:pStyle w:val="Prrafodelista"/>
        <w:spacing w:after="0"/>
        <w:ind w:left="0" w:firstLine="1701"/>
        <w:jc w:val="both"/>
        <w:rPr>
          <w:rFonts w:ascii="Gadugi" w:hAnsi="Gadugi" w:cs="Courier New"/>
          <w:sz w:val="24"/>
          <w:szCs w:val="24"/>
          <w:lang w:val="es-MX"/>
        </w:rPr>
      </w:pPr>
    </w:p>
    <w:p w14:paraId="0266221D" w14:textId="27445ED8" w:rsidR="00E34E56" w:rsidRPr="009E28DA" w:rsidRDefault="00E34E56" w:rsidP="009E28DA">
      <w:pPr>
        <w:pStyle w:val="Prrafodelista"/>
        <w:spacing w:after="0"/>
        <w:ind w:left="0" w:firstLine="1701"/>
        <w:jc w:val="both"/>
        <w:rPr>
          <w:rFonts w:ascii="Gadugi" w:hAnsi="Gadugi" w:cs="Courier New"/>
          <w:sz w:val="24"/>
          <w:szCs w:val="24"/>
          <w:lang w:val="es-MX"/>
        </w:rPr>
      </w:pPr>
      <w:r w:rsidRPr="009E28DA">
        <w:rPr>
          <w:rFonts w:ascii="Gadugi" w:hAnsi="Gadugi" w:cs="Courier New"/>
          <w:sz w:val="24"/>
          <w:szCs w:val="24"/>
          <w:lang w:val="es-MX"/>
        </w:rPr>
        <w:t xml:space="preserve">Así que, como no se trata de un litisconsorcio necesario, </w:t>
      </w:r>
      <w:r w:rsidR="005E00E4" w:rsidRPr="009E28DA">
        <w:rPr>
          <w:rFonts w:ascii="Gadugi" w:hAnsi="Gadugi" w:cs="Courier New"/>
          <w:sz w:val="24"/>
          <w:szCs w:val="24"/>
          <w:lang w:val="es-MX"/>
        </w:rPr>
        <w:t xml:space="preserve">por esta sola razón, </w:t>
      </w:r>
      <w:r w:rsidRPr="009E28DA">
        <w:rPr>
          <w:rFonts w:ascii="Gadugi" w:hAnsi="Gadugi" w:cs="Courier New"/>
          <w:sz w:val="24"/>
          <w:szCs w:val="24"/>
          <w:lang w:val="es-MX"/>
        </w:rPr>
        <w:t xml:space="preserve">su petición tenía que fracasar. </w:t>
      </w:r>
    </w:p>
    <w:p w14:paraId="5B80B024" w14:textId="72F237FB" w:rsidR="00E34E56" w:rsidRPr="009E28DA" w:rsidRDefault="00E34E56" w:rsidP="009E28DA">
      <w:pPr>
        <w:pStyle w:val="Prrafodelista"/>
        <w:spacing w:after="0"/>
        <w:ind w:left="0" w:firstLine="1701"/>
        <w:jc w:val="both"/>
        <w:rPr>
          <w:rFonts w:ascii="Gadugi" w:hAnsi="Gadugi" w:cs="Courier New"/>
          <w:sz w:val="24"/>
          <w:szCs w:val="24"/>
          <w:lang w:val="es-MX"/>
        </w:rPr>
      </w:pPr>
    </w:p>
    <w:p w14:paraId="515A8F65" w14:textId="52175FCA" w:rsidR="00E34E56" w:rsidRPr="009E28DA" w:rsidRDefault="00E34E56" w:rsidP="009E28DA">
      <w:pPr>
        <w:pStyle w:val="Prrafodelista"/>
        <w:spacing w:after="0"/>
        <w:ind w:left="0" w:firstLine="1701"/>
        <w:jc w:val="both"/>
        <w:rPr>
          <w:rFonts w:ascii="Gadugi" w:hAnsi="Gadugi" w:cs="Courier New"/>
          <w:sz w:val="24"/>
          <w:szCs w:val="24"/>
          <w:lang w:val="es-MX"/>
        </w:rPr>
      </w:pPr>
      <w:r w:rsidRPr="009E28DA">
        <w:rPr>
          <w:rFonts w:ascii="Gadugi" w:hAnsi="Gadugi" w:cs="Courier New"/>
          <w:sz w:val="24"/>
          <w:szCs w:val="24"/>
          <w:lang w:val="es-MX"/>
        </w:rPr>
        <w:t xml:space="preserve">Ahora, si se quiere abundar en argumentos, </w:t>
      </w:r>
      <w:r w:rsidR="00D1332A" w:rsidRPr="009E28DA">
        <w:rPr>
          <w:rFonts w:ascii="Gadugi" w:hAnsi="Gadugi" w:cs="Courier New"/>
          <w:sz w:val="24"/>
          <w:szCs w:val="24"/>
          <w:lang w:val="es-MX"/>
        </w:rPr>
        <w:t xml:space="preserve">ninguna de las razones de su disenso tiene cabida. </w:t>
      </w:r>
    </w:p>
    <w:p w14:paraId="65C2B7F3" w14:textId="7A17D0DF" w:rsidR="00D1332A" w:rsidRPr="009E28DA" w:rsidRDefault="00D1332A" w:rsidP="009E28DA">
      <w:pPr>
        <w:pStyle w:val="Prrafodelista"/>
        <w:spacing w:after="0"/>
        <w:ind w:left="0" w:firstLine="1701"/>
        <w:jc w:val="both"/>
        <w:rPr>
          <w:rFonts w:ascii="Gadugi" w:hAnsi="Gadugi" w:cs="Courier New"/>
          <w:sz w:val="24"/>
          <w:szCs w:val="24"/>
          <w:lang w:val="es-MX"/>
        </w:rPr>
      </w:pPr>
    </w:p>
    <w:p w14:paraId="562B133B" w14:textId="77777777" w:rsidR="00D1332A" w:rsidRPr="009E28DA" w:rsidRDefault="00D1332A" w:rsidP="009E28DA">
      <w:pPr>
        <w:pStyle w:val="Prrafodelista"/>
        <w:spacing w:after="0"/>
        <w:ind w:left="0" w:firstLine="1701"/>
        <w:jc w:val="both"/>
        <w:rPr>
          <w:rFonts w:ascii="Gadugi" w:hAnsi="Gadugi"/>
          <w:sz w:val="24"/>
          <w:szCs w:val="24"/>
        </w:rPr>
      </w:pPr>
      <w:r w:rsidRPr="009E28DA">
        <w:rPr>
          <w:rFonts w:ascii="Gadugi" w:hAnsi="Gadugi"/>
          <w:sz w:val="24"/>
          <w:szCs w:val="24"/>
        </w:rPr>
        <w:t>Por un lado, las irregularidades que se presentaron al comienzo del trámite, fueron saneadas y nada tienen que ver con la integración, como litisconsorte, de Allianz Seguros S.A., en lo cual se genera una confusión de su parte, porque uno de tales trámites involucraba a una persona jurídica distinta a independiente, que era Allianz Seguros de Vida S.A.</w:t>
      </w:r>
    </w:p>
    <w:p w14:paraId="4E7BCB8E" w14:textId="77777777" w:rsidR="00D1332A" w:rsidRPr="009E28DA" w:rsidRDefault="00D1332A" w:rsidP="009E28DA">
      <w:pPr>
        <w:pStyle w:val="Prrafodelista"/>
        <w:spacing w:after="0"/>
        <w:ind w:left="0" w:firstLine="1701"/>
        <w:jc w:val="both"/>
        <w:rPr>
          <w:rFonts w:ascii="Gadugi" w:hAnsi="Gadugi"/>
          <w:sz w:val="24"/>
          <w:szCs w:val="24"/>
        </w:rPr>
      </w:pPr>
    </w:p>
    <w:p w14:paraId="616CD595" w14:textId="77777777" w:rsidR="00FB4922" w:rsidRPr="009E28DA" w:rsidRDefault="00D1332A" w:rsidP="009E28DA">
      <w:pPr>
        <w:pStyle w:val="Prrafodelista"/>
        <w:spacing w:after="0"/>
        <w:ind w:left="0" w:firstLine="1701"/>
        <w:jc w:val="both"/>
        <w:rPr>
          <w:rFonts w:ascii="Gadugi" w:hAnsi="Gadugi"/>
          <w:sz w:val="24"/>
          <w:szCs w:val="24"/>
        </w:rPr>
      </w:pPr>
      <w:r w:rsidRPr="009E28DA">
        <w:rPr>
          <w:rFonts w:ascii="Gadugi" w:hAnsi="Gadugi"/>
          <w:sz w:val="24"/>
          <w:szCs w:val="24"/>
        </w:rPr>
        <w:t>En cualquier caso, la alternativa para vincular a Allianz Seguros S.A., estaba al alcance del codemandado, si bien el ar</w:t>
      </w:r>
      <w:r w:rsidR="00FB4922" w:rsidRPr="009E28DA">
        <w:rPr>
          <w:rFonts w:ascii="Gadugi" w:hAnsi="Gadugi"/>
          <w:sz w:val="24"/>
          <w:szCs w:val="24"/>
        </w:rPr>
        <w:t>tí</w:t>
      </w:r>
      <w:r w:rsidRPr="009E28DA">
        <w:rPr>
          <w:rFonts w:ascii="Gadugi" w:hAnsi="Gadugi"/>
          <w:sz w:val="24"/>
          <w:szCs w:val="24"/>
        </w:rPr>
        <w:t xml:space="preserve">culo 64 del CGP permite llamar en garantía a quien deba salir al reembolso, total o parcial, del pago que tenga qué hacer el demandado como consecuencia de la sentencia que le sea desfavorable. Ese es el caso típico de las aseguradoras. Pero, por supuesto, tal facultad, como reza la misma norma, está restringida a la etapa de la contestación de la demanda, cuando del demandado se trata. </w:t>
      </w:r>
    </w:p>
    <w:p w14:paraId="7366E5BC" w14:textId="77777777" w:rsidR="00FB4922" w:rsidRPr="009E28DA" w:rsidRDefault="00FB4922" w:rsidP="009E28DA">
      <w:pPr>
        <w:pStyle w:val="Prrafodelista"/>
        <w:spacing w:after="0"/>
        <w:ind w:left="0" w:firstLine="1701"/>
        <w:jc w:val="both"/>
        <w:rPr>
          <w:rFonts w:ascii="Gadugi" w:hAnsi="Gadugi"/>
          <w:sz w:val="24"/>
          <w:szCs w:val="24"/>
        </w:rPr>
      </w:pPr>
    </w:p>
    <w:p w14:paraId="647CB955" w14:textId="77777777" w:rsidR="00FB4922" w:rsidRPr="009E28DA" w:rsidRDefault="00FB4922" w:rsidP="009E28DA">
      <w:pPr>
        <w:pStyle w:val="Prrafodelista"/>
        <w:spacing w:after="0"/>
        <w:ind w:left="0" w:firstLine="1701"/>
        <w:jc w:val="both"/>
        <w:rPr>
          <w:rFonts w:ascii="Gadugi" w:hAnsi="Gadugi"/>
          <w:sz w:val="24"/>
          <w:szCs w:val="24"/>
        </w:rPr>
      </w:pPr>
      <w:r w:rsidRPr="009E28DA">
        <w:rPr>
          <w:rFonts w:ascii="Gadugi" w:hAnsi="Gadugi"/>
          <w:sz w:val="24"/>
          <w:szCs w:val="24"/>
        </w:rPr>
        <w:t xml:space="preserve">No basta anunciar en el escrito de respuesta que así se va a proceder, sino que es menester promover la demanda respectiva, como exige hoy el artículo 65 del estatuto procesal, con todos los requisitos que exigen el artículo 82 y las demás normas aplicables. Como el mismo apoderado lo reconoce, ello no se hizo, y no es esta la oportunidad para remediar esa falencia suya, no del juzgado. </w:t>
      </w:r>
    </w:p>
    <w:p w14:paraId="431FEDA9" w14:textId="77777777" w:rsidR="00FB4922" w:rsidRPr="009E28DA" w:rsidRDefault="00FB4922" w:rsidP="009E28DA">
      <w:pPr>
        <w:pStyle w:val="Prrafodelista"/>
        <w:spacing w:after="0"/>
        <w:ind w:left="0" w:firstLine="1701"/>
        <w:jc w:val="both"/>
        <w:rPr>
          <w:rFonts w:ascii="Gadugi" w:hAnsi="Gadugi"/>
          <w:sz w:val="24"/>
          <w:szCs w:val="24"/>
        </w:rPr>
      </w:pPr>
    </w:p>
    <w:p w14:paraId="6D470B2C" w14:textId="472C09C3" w:rsidR="00FB4922" w:rsidRPr="009E28DA" w:rsidRDefault="00FB4922" w:rsidP="009E28DA">
      <w:pPr>
        <w:pStyle w:val="Prrafodelista"/>
        <w:spacing w:after="0"/>
        <w:ind w:left="0" w:firstLine="1701"/>
        <w:jc w:val="both"/>
        <w:rPr>
          <w:rFonts w:ascii="Gadugi" w:hAnsi="Gadugi"/>
          <w:sz w:val="24"/>
          <w:szCs w:val="24"/>
        </w:rPr>
      </w:pPr>
      <w:r w:rsidRPr="009E28DA">
        <w:rPr>
          <w:rFonts w:ascii="Gadugi" w:hAnsi="Gadugi"/>
          <w:sz w:val="24"/>
          <w:szCs w:val="24"/>
        </w:rPr>
        <w:t>Querer enrostrarle ahora al despacho una omisión que no existió, es tratar de escudar la propia incuria de la parte. Como dijo el funcionario, ninguna norma tiene previsto que la falta de promoción de un llamamiento en garantía</w:t>
      </w:r>
      <w:r w:rsidR="007F1C35" w:rsidRPr="009E28DA">
        <w:rPr>
          <w:rFonts w:ascii="Gadugi" w:hAnsi="Gadugi"/>
          <w:sz w:val="24"/>
          <w:szCs w:val="24"/>
        </w:rPr>
        <w:t>,</w:t>
      </w:r>
      <w:r w:rsidRPr="009E28DA">
        <w:rPr>
          <w:rFonts w:ascii="Gadugi" w:hAnsi="Gadugi"/>
          <w:sz w:val="24"/>
          <w:szCs w:val="24"/>
        </w:rPr>
        <w:t xml:space="preserve"> sea indicativo de la inadmisión de la contestación de la demanda, tomando partido, como lo ha hecho esta Sala, por la tesis de que a falta de algunos requisitos formales de los que señala el artículo 96 del CGP, se pueda proceder de esa manera, ya que ninguna previsión existe sobre el particular, salvo la del artículo 97. </w:t>
      </w:r>
    </w:p>
    <w:p w14:paraId="4B560477" w14:textId="77777777" w:rsidR="00FB4922" w:rsidRPr="009E28DA" w:rsidRDefault="00FB4922" w:rsidP="009E28DA">
      <w:pPr>
        <w:pStyle w:val="Prrafodelista"/>
        <w:spacing w:after="0"/>
        <w:ind w:left="0" w:firstLine="1701"/>
        <w:jc w:val="both"/>
        <w:rPr>
          <w:rFonts w:ascii="Gadugi" w:hAnsi="Gadugi"/>
          <w:sz w:val="24"/>
          <w:szCs w:val="24"/>
        </w:rPr>
      </w:pPr>
    </w:p>
    <w:p w14:paraId="473C73CC" w14:textId="77777777" w:rsidR="003105FD" w:rsidRPr="009E28DA" w:rsidRDefault="00FB4922" w:rsidP="009E28DA">
      <w:pPr>
        <w:pStyle w:val="Prrafodelista"/>
        <w:spacing w:after="0"/>
        <w:ind w:left="0" w:firstLine="1701"/>
        <w:jc w:val="both"/>
        <w:rPr>
          <w:rFonts w:ascii="Gadugi" w:hAnsi="Gadugi"/>
          <w:sz w:val="24"/>
          <w:szCs w:val="24"/>
        </w:rPr>
      </w:pPr>
      <w:r w:rsidRPr="009E28DA">
        <w:rPr>
          <w:rFonts w:ascii="Gadugi" w:hAnsi="Gadugi"/>
          <w:sz w:val="24"/>
          <w:szCs w:val="24"/>
        </w:rPr>
        <w:t>Con todo, es evidente que el mismo demandado omitió en su momento recurrir el auto que tuvo por contestada la demanda y dispuso continuar con el trámite, cuando allí pudo habe</w:t>
      </w:r>
      <w:r w:rsidR="003105FD" w:rsidRPr="009E28DA">
        <w:rPr>
          <w:rFonts w:ascii="Gadugi" w:hAnsi="Gadugi"/>
          <w:sz w:val="24"/>
          <w:szCs w:val="24"/>
        </w:rPr>
        <w:t xml:space="preserve">r discutido, sin razón eso sí, que el juzgado debía inadmitir su intervención, para darle oportunidad de allegar la demanda de llamamiento en garantía que nunca aportó. </w:t>
      </w:r>
    </w:p>
    <w:p w14:paraId="47B7EBA4" w14:textId="77777777" w:rsidR="003105FD" w:rsidRPr="009E28DA" w:rsidRDefault="003105FD" w:rsidP="009E28DA">
      <w:pPr>
        <w:pStyle w:val="Prrafodelista"/>
        <w:spacing w:after="0"/>
        <w:ind w:left="0" w:firstLine="1701"/>
        <w:jc w:val="both"/>
        <w:rPr>
          <w:rFonts w:ascii="Gadugi" w:hAnsi="Gadugi"/>
          <w:sz w:val="24"/>
          <w:szCs w:val="24"/>
        </w:rPr>
      </w:pPr>
    </w:p>
    <w:p w14:paraId="7EB4F4EB" w14:textId="711EC03A" w:rsidR="00D1332A" w:rsidRPr="009E28DA" w:rsidRDefault="003105FD" w:rsidP="009E28DA">
      <w:pPr>
        <w:pStyle w:val="Prrafodelista"/>
        <w:spacing w:after="0"/>
        <w:ind w:left="0" w:firstLine="1701"/>
        <w:jc w:val="both"/>
        <w:rPr>
          <w:rFonts w:ascii="Gadugi" w:hAnsi="Gadugi"/>
          <w:sz w:val="24"/>
          <w:szCs w:val="24"/>
        </w:rPr>
      </w:pPr>
      <w:r w:rsidRPr="009E28DA">
        <w:rPr>
          <w:rFonts w:ascii="Gadugi" w:hAnsi="Gadugi"/>
          <w:sz w:val="24"/>
          <w:szCs w:val="24"/>
        </w:rPr>
        <w:t xml:space="preserve">De otra parte, como el mismo asesor judicial lo tiene claro, el hecho de que no se haya convocado al proceso a la aseguradora, simplemente tiene como secuela que, en caso de que el codemandado resulte condenado, deba promover las acciones pertinentes frente a ella por fuera de este trámite. Esa es la consecuencia que se corre, cuando se desaprovecha la oportunidad para convocarla como llamada en garantía. </w:t>
      </w:r>
    </w:p>
    <w:p w14:paraId="3372411A" w14:textId="4138547E" w:rsidR="003105FD" w:rsidRPr="009E28DA" w:rsidRDefault="003105FD" w:rsidP="009E28DA">
      <w:pPr>
        <w:pStyle w:val="Prrafodelista"/>
        <w:spacing w:after="0"/>
        <w:ind w:left="0" w:firstLine="1701"/>
        <w:jc w:val="both"/>
        <w:rPr>
          <w:rFonts w:ascii="Gadugi" w:hAnsi="Gadugi" w:cs="Courier New"/>
          <w:sz w:val="24"/>
          <w:szCs w:val="24"/>
          <w:lang w:val="es-MX"/>
        </w:rPr>
      </w:pPr>
    </w:p>
    <w:p w14:paraId="36B722F9" w14:textId="35B36807" w:rsidR="00B04194" w:rsidRPr="009E28DA" w:rsidRDefault="003105FD" w:rsidP="009E28DA">
      <w:pPr>
        <w:pStyle w:val="Prrafodelista"/>
        <w:spacing w:after="0"/>
        <w:ind w:left="0" w:firstLine="1701"/>
        <w:jc w:val="both"/>
        <w:rPr>
          <w:rFonts w:ascii="Gadugi" w:hAnsi="Gadugi" w:cs="Courier New"/>
          <w:sz w:val="24"/>
          <w:szCs w:val="24"/>
          <w:lang w:val="es-MX"/>
        </w:rPr>
      </w:pPr>
      <w:r w:rsidRPr="009E28DA">
        <w:rPr>
          <w:rFonts w:ascii="Gadugi" w:hAnsi="Gadugi" w:cs="Courier New"/>
          <w:sz w:val="24"/>
          <w:szCs w:val="24"/>
          <w:lang w:val="es-MX"/>
        </w:rPr>
        <w:t xml:space="preserve">Por último, como se mencionó al comienzo, la iniciativa para llamar en garantía está en el demandante o en el demandado; no es una de aquellas facultades oficiosas que tenga el juez, como parece sugerirlo el recurrente, aclarado como está que no se trata de un litisconsorcio necesario. Así que no se advierte cómo se pueda estar afectando su derecho de defensa o el debido proceso, si todo deriva de su propia omisión. </w:t>
      </w:r>
    </w:p>
    <w:p w14:paraId="77B0488F" w14:textId="20F9F319" w:rsidR="00B04194" w:rsidRPr="009E28DA" w:rsidRDefault="00B04194" w:rsidP="009E28DA">
      <w:pPr>
        <w:pStyle w:val="Prrafodelista"/>
        <w:spacing w:after="0"/>
        <w:ind w:left="0" w:firstLine="1701"/>
        <w:jc w:val="both"/>
        <w:rPr>
          <w:rFonts w:ascii="Gadugi" w:hAnsi="Gadugi" w:cs="Courier New"/>
          <w:sz w:val="24"/>
          <w:szCs w:val="24"/>
          <w:lang w:val="es-MX"/>
        </w:rPr>
      </w:pPr>
    </w:p>
    <w:p w14:paraId="2FEFD7FB" w14:textId="7BBB76D7" w:rsidR="003105FD" w:rsidRPr="009E28DA" w:rsidRDefault="003105FD" w:rsidP="009E28DA">
      <w:pPr>
        <w:pStyle w:val="Prrafodelista"/>
        <w:numPr>
          <w:ilvl w:val="0"/>
          <w:numId w:val="21"/>
        </w:numPr>
        <w:spacing w:after="0"/>
        <w:ind w:left="0" w:firstLine="1701"/>
        <w:jc w:val="both"/>
        <w:rPr>
          <w:rFonts w:ascii="Gadugi" w:hAnsi="Gadugi" w:cs="Courier New"/>
          <w:sz w:val="24"/>
          <w:szCs w:val="24"/>
          <w:lang w:val="es-MX"/>
        </w:rPr>
      </w:pPr>
      <w:r w:rsidRPr="009E28DA">
        <w:rPr>
          <w:rFonts w:ascii="Gadugi" w:hAnsi="Gadugi" w:cs="Courier New"/>
          <w:sz w:val="24"/>
          <w:szCs w:val="24"/>
          <w:lang w:val="es-MX"/>
        </w:rPr>
        <w:t xml:space="preserve">En síntesis, se confirmará el auto apelado. Y como el recurso fracasa, se condenará en costas al recurrente en favor de los demandados, por mandarlo así el artículo 365-1 del CGP. Ellas se liquidarán en primera instancia, siguiendo las previsiones del artículo 366 del CGP. Para tal fin, en auto separado se fijarán las agencias en derecho. </w:t>
      </w:r>
    </w:p>
    <w:p w14:paraId="5D0BC0D1" w14:textId="77777777" w:rsidR="00ED58F2" w:rsidRPr="009E28DA" w:rsidRDefault="00ED58F2" w:rsidP="009E28DA">
      <w:pPr>
        <w:spacing w:line="276" w:lineRule="auto"/>
        <w:ind w:firstLine="1701"/>
        <w:jc w:val="both"/>
        <w:rPr>
          <w:rFonts w:ascii="Gadugi" w:hAnsi="Gadugi" w:cs="Courier New"/>
          <w:b/>
          <w:sz w:val="24"/>
          <w:szCs w:val="24"/>
          <w:lang w:val="es-MX"/>
        </w:rPr>
      </w:pPr>
    </w:p>
    <w:p w14:paraId="02F0971F" w14:textId="77777777" w:rsidR="00ED58F2" w:rsidRPr="009E28DA" w:rsidRDefault="00ED58F2" w:rsidP="009E28DA">
      <w:pPr>
        <w:spacing w:line="276" w:lineRule="auto"/>
        <w:ind w:firstLine="1701"/>
        <w:jc w:val="both"/>
        <w:rPr>
          <w:rFonts w:ascii="Gadugi" w:hAnsi="Gadugi" w:cs="Courier New"/>
          <w:b/>
          <w:sz w:val="24"/>
          <w:szCs w:val="24"/>
          <w:lang w:val="es-MX"/>
        </w:rPr>
      </w:pPr>
    </w:p>
    <w:p w14:paraId="4B350955" w14:textId="26F0E792" w:rsidR="000644A6" w:rsidRPr="009E28DA" w:rsidRDefault="000644A6" w:rsidP="009E28DA">
      <w:pPr>
        <w:spacing w:line="276" w:lineRule="auto"/>
        <w:ind w:firstLine="1701"/>
        <w:jc w:val="both"/>
        <w:rPr>
          <w:rFonts w:ascii="Gadugi" w:hAnsi="Gadugi" w:cs="Courier New"/>
          <w:b/>
          <w:sz w:val="24"/>
          <w:szCs w:val="24"/>
          <w:lang w:val="es-MX"/>
        </w:rPr>
      </w:pPr>
      <w:r w:rsidRPr="009E28DA">
        <w:rPr>
          <w:rFonts w:ascii="Gadugi" w:hAnsi="Gadugi" w:cs="Courier New"/>
          <w:b/>
          <w:sz w:val="24"/>
          <w:szCs w:val="24"/>
          <w:lang w:val="es-MX"/>
        </w:rPr>
        <w:t>DECISIÓN</w:t>
      </w:r>
    </w:p>
    <w:p w14:paraId="1582C808" w14:textId="55408B3C" w:rsidR="000644A6" w:rsidRPr="009E28DA" w:rsidRDefault="000644A6" w:rsidP="009E28DA">
      <w:pPr>
        <w:spacing w:line="276" w:lineRule="auto"/>
        <w:ind w:firstLine="1701"/>
        <w:jc w:val="both"/>
        <w:rPr>
          <w:rFonts w:ascii="Gadugi" w:hAnsi="Gadugi" w:cs="Courier New"/>
          <w:b/>
          <w:sz w:val="24"/>
          <w:szCs w:val="24"/>
          <w:lang w:val="es-MX"/>
        </w:rPr>
      </w:pPr>
    </w:p>
    <w:p w14:paraId="282A5CB5" w14:textId="7C335268" w:rsidR="000644A6" w:rsidRPr="009E28DA" w:rsidRDefault="000644A6" w:rsidP="009E28DA">
      <w:pPr>
        <w:spacing w:line="276" w:lineRule="auto"/>
        <w:ind w:firstLine="1701"/>
        <w:jc w:val="both"/>
        <w:rPr>
          <w:rFonts w:ascii="Gadugi" w:hAnsi="Gadugi" w:cs="Courier New"/>
          <w:b/>
          <w:sz w:val="24"/>
          <w:szCs w:val="24"/>
          <w:lang w:val="es-MX"/>
        </w:rPr>
      </w:pPr>
    </w:p>
    <w:p w14:paraId="02BAF25E" w14:textId="77777777" w:rsidR="007F1C35" w:rsidRPr="009E28DA" w:rsidRDefault="00931612" w:rsidP="009E28DA">
      <w:pPr>
        <w:spacing w:line="276" w:lineRule="auto"/>
        <w:ind w:firstLine="1701"/>
        <w:jc w:val="both"/>
        <w:rPr>
          <w:rFonts w:ascii="Gadugi" w:hAnsi="Gadugi" w:cs="Courier New"/>
          <w:sz w:val="24"/>
          <w:szCs w:val="24"/>
          <w:lang w:val="es-MX"/>
        </w:rPr>
      </w:pPr>
      <w:r w:rsidRPr="009E28DA">
        <w:rPr>
          <w:rFonts w:ascii="Gadugi" w:hAnsi="Gadugi"/>
          <w:sz w:val="24"/>
          <w:szCs w:val="24"/>
        </w:rPr>
        <w:t xml:space="preserve">En armonía con lo dicho, el </w:t>
      </w:r>
      <w:r w:rsidRPr="009E28DA">
        <w:rPr>
          <w:rFonts w:ascii="Gadugi" w:hAnsi="Gadugi"/>
          <w:b/>
          <w:bCs/>
          <w:sz w:val="24"/>
          <w:szCs w:val="24"/>
        </w:rPr>
        <w:t>Tribunal Superior del Distrito Judicial, Sala de Decisión Civil-Familia</w:t>
      </w:r>
      <w:r w:rsidRPr="009E28DA">
        <w:rPr>
          <w:rFonts w:ascii="Gadugi" w:hAnsi="Gadugi"/>
          <w:sz w:val="24"/>
          <w:szCs w:val="24"/>
        </w:rPr>
        <w:t xml:space="preserve">, </w:t>
      </w:r>
      <w:r w:rsidR="00726DDF" w:rsidRPr="009E28DA">
        <w:rPr>
          <w:rFonts w:ascii="Gadugi" w:hAnsi="Gadugi"/>
          <w:b/>
          <w:sz w:val="24"/>
          <w:szCs w:val="24"/>
        </w:rPr>
        <w:t>CONFIRMA</w:t>
      </w:r>
      <w:r w:rsidRPr="009E28DA">
        <w:rPr>
          <w:rFonts w:ascii="Gadugi" w:hAnsi="Gadugi"/>
          <w:b/>
          <w:bCs/>
          <w:sz w:val="24"/>
          <w:szCs w:val="24"/>
        </w:rPr>
        <w:t xml:space="preserve"> </w:t>
      </w:r>
      <w:r w:rsidR="007F1C35" w:rsidRPr="009E28DA">
        <w:rPr>
          <w:rFonts w:ascii="Gadugi" w:hAnsi="Gadugi"/>
          <w:sz w:val="24"/>
          <w:szCs w:val="24"/>
        </w:rPr>
        <w:t xml:space="preserve">el auto del 30 de septiembre de 2021, proferido en la audiencia inicial, por el Juzgado Civil del Circuito de Dosquebradas, en el proceso de responsabilidad civil que </w:t>
      </w:r>
      <w:r w:rsidR="007F1C35" w:rsidRPr="009E28DA">
        <w:rPr>
          <w:rFonts w:ascii="Gadugi" w:hAnsi="Gadugi" w:cs="Courier New"/>
          <w:b/>
          <w:sz w:val="24"/>
          <w:szCs w:val="24"/>
          <w:lang w:val="es-MX"/>
        </w:rPr>
        <w:t>Edwin Jhovang Agudelo Gañán</w:t>
      </w:r>
      <w:r w:rsidR="007F1C35" w:rsidRPr="009E28DA">
        <w:rPr>
          <w:rFonts w:ascii="Gadugi" w:hAnsi="Gadugi" w:cs="Courier New"/>
          <w:sz w:val="24"/>
          <w:szCs w:val="24"/>
          <w:lang w:val="es-MX"/>
        </w:rPr>
        <w:t xml:space="preserve"> y otros le siguen a </w:t>
      </w:r>
      <w:r w:rsidR="007F1C35" w:rsidRPr="009E28DA">
        <w:rPr>
          <w:rFonts w:ascii="Gadugi" w:hAnsi="Gadugi" w:cs="Courier New"/>
          <w:b/>
          <w:sz w:val="24"/>
          <w:szCs w:val="24"/>
          <w:lang w:val="es-MX"/>
        </w:rPr>
        <w:t>Transportes Santana Triángulo del Café SAS</w:t>
      </w:r>
      <w:r w:rsidR="007F1C35" w:rsidRPr="009E28DA">
        <w:rPr>
          <w:rFonts w:ascii="Gadugi" w:hAnsi="Gadugi" w:cs="Courier New"/>
          <w:sz w:val="24"/>
          <w:szCs w:val="24"/>
          <w:lang w:val="es-MX"/>
        </w:rPr>
        <w:t xml:space="preserve"> y </w:t>
      </w:r>
      <w:r w:rsidR="007F1C35" w:rsidRPr="009E28DA">
        <w:rPr>
          <w:rFonts w:ascii="Gadugi" w:hAnsi="Gadugi"/>
          <w:b/>
          <w:sz w:val="24"/>
          <w:szCs w:val="24"/>
        </w:rPr>
        <w:t>Oswaldo Enrique Valderrama Pinzón</w:t>
      </w:r>
      <w:r w:rsidR="007F1C35" w:rsidRPr="009E28DA">
        <w:rPr>
          <w:rFonts w:ascii="Gadugi" w:hAnsi="Gadugi"/>
          <w:sz w:val="24"/>
          <w:szCs w:val="24"/>
        </w:rPr>
        <w:t>.</w:t>
      </w:r>
      <w:r w:rsidR="007F1C35" w:rsidRPr="009E28DA">
        <w:rPr>
          <w:rFonts w:ascii="Gadugi" w:hAnsi="Gadugi" w:cs="Courier New"/>
          <w:sz w:val="24"/>
          <w:szCs w:val="24"/>
          <w:lang w:val="es-MX"/>
        </w:rPr>
        <w:t xml:space="preserve"> </w:t>
      </w:r>
    </w:p>
    <w:p w14:paraId="002E8A0D" w14:textId="1432FA59" w:rsidR="00EF764C" w:rsidRPr="009E28DA" w:rsidRDefault="00EF764C" w:rsidP="009E28DA">
      <w:pPr>
        <w:pStyle w:val="Textoindependiente"/>
        <w:spacing w:line="276" w:lineRule="auto"/>
        <w:ind w:firstLine="1701"/>
        <w:rPr>
          <w:rFonts w:ascii="Gadugi" w:hAnsi="Gadugi"/>
          <w:szCs w:val="24"/>
        </w:rPr>
      </w:pPr>
    </w:p>
    <w:p w14:paraId="4278E408" w14:textId="0B9BD529" w:rsidR="00C915D7" w:rsidRPr="009E28DA" w:rsidRDefault="00C915D7" w:rsidP="009E28DA">
      <w:pPr>
        <w:spacing w:line="276" w:lineRule="auto"/>
        <w:ind w:firstLine="1701"/>
        <w:jc w:val="both"/>
        <w:rPr>
          <w:rFonts w:ascii="Gadugi" w:hAnsi="Gadugi" w:cs="Courier New"/>
          <w:sz w:val="24"/>
          <w:szCs w:val="24"/>
        </w:rPr>
      </w:pPr>
      <w:r w:rsidRPr="009E28DA">
        <w:rPr>
          <w:rFonts w:ascii="Gadugi" w:hAnsi="Gadugi" w:cs="Courier New"/>
          <w:sz w:val="24"/>
          <w:szCs w:val="24"/>
        </w:rPr>
        <w:t>Costas en esta sede a cargo de</w:t>
      </w:r>
      <w:r w:rsidR="007F1C35" w:rsidRPr="009E28DA">
        <w:rPr>
          <w:rFonts w:ascii="Gadugi" w:hAnsi="Gadugi" w:cs="Courier New"/>
          <w:sz w:val="24"/>
          <w:szCs w:val="24"/>
        </w:rPr>
        <w:t>l</w:t>
      </w:r>
      <w:r w:rsidRPr="009E28DA">
        <w:rPr>
          <w:rFonts w:ascii="Gadugi" w:hAnsi="Gadugi" w:cs="Courier New"/>
          <w:sz w:val="24"/>
          <w:szCs w:val="24"/>
        </w:rPr>
        <w:t xml:space="preserve"> recurrente y a favor de</w:t>
      </w:r>
      <w:r w:rsidR="007F1C35" w:rsidRPr="009E28DA">
        <w:rPr>
          <w:rFonts w:ascii="Gadugi" w:hAnsi="Gadugi" w:cs="Courier New"/>
          <w:sz w:val="24"/>
          <w:szCs w:val="24"/>
        </w:rPr>
        <w:t xml:space="preserve"> </w:t>
      </w:r>
      <w:r w:rsidRPr="009E28DA">
        <w:rPr>
          <w:rFonts w:ascii="Gadugi" w:hAnsi="Gadugi" w:cs="Courier New"/>
          <w:sz w:val="24"/>
          <w:szCs w:val="24"/>
        </w:rPr>
        <w:t xml:space="preserve">los demandados. En auto separado se fijarán las agencias en derecho. </w:t>
      </w:r>
    </w:p>
    <w:p w14:paraId="139E01CD" w14:textId="77777777" w:rsidR="00C915D7" w:rsidRPr="009E28DA" w:rsidRDefault="00C915D7" w:rsidP="009E28DA">
      <w:pPr>
        <w:spacing w:line="276" w:lineRule="auto"/>
        <w:ind w:firstLine="1701"/>
        <w:jc w:val="both"/>
        <w:rPr>
          <w:rFonts w:ascii="Gadugi" w:hAnsi="Gadugi" w:cs="Courier New"/>
          <w:sz w:val="24"/>
          <w:szCs w:val="24"/>
        </w:rPr>
      </w:pPr>
    </w:p>
    <w:p w14:paraId="748740C9" w14:textId="77777777" w:rsidR="00F2468D" w:rsidRPr="009E28DA" w:rsidRDefault="00F2468D" w:rsidP="009E28DA">
      <w:pPr>
        <w:spacing w:line="276" w:lineRule="auto"/>
        <w:ind w:firstLine="1701"/>
        <w:jc w:val="both"/>
        <w:rPr>
          <w:rFonts w:ascii="Gadugi" w:hAnsi="Gadugi" w:cs="Courier New"/>
          <w:sz w:val="24"/>
          <w:szCs w:val="24"/>
        </w:rPr>
      </w:pPr>
      <w:r w:rsidRPr="009E28DA">
        <w:rPr>
          <w:rFonts w:ascii="Gadugi" w:hAnsi="Gadugi" w:cs="Courier New"/>
          <w:sz w:val="24"/>
          <w:szCs w:val="24"/>
        </w:rPr>
        <w:t xml:space="preserve">Notifíquese, </w:t>
      </w:r>
    </w:p>
    <w:p w14:paraId="78328661" w14:textId="77777777" w:rsidR="00F2468D" w:rsidRPr="009E28DA" w:rsidRDefault="00F2468D" w:rsidP="009E28DA">
      <w:pPr>
        <w:spacing w:line="276" w:lineRule="auto"/>
        <w:ind w:firstLine="1701"/>
        <w:jc w:val="both"/>
        <w:rPr>
          <w:rFonts w:ascii="Gadugi" w:hAnsi="Gadugi" w:cs="Courier New"/>
          <w:sz w:val="24"/>
          <w:szCs w:val="24"/>
        </w:rPr>
      </w:pPr>
    </w:p>
    <w:p w14:paraId="314FD8E6" w14:textId="77777777" w:rsidR="00F2468D" w:rsidRPr="009E28DA" w:rsidRDefault="00F2468D" w:rsidP="009E28DA">
      <w:pPr>
        <w:spacing w:line="276" w:lineRule="auto"/>
        <w:ind w:firstLine="1701"/>
        <w:jc w:val="both"/>
        <w:rPr>
          <w:rFonts w:ascii="Gadugi" w:hAnsi="Gadugi" w:cs="Courier New"/>
          <w:sz w:val="24"/>
          <w:szCs w:val="24"/>
        </w:rPr>
      </w:pPr>
    </w:p>
    <w:p w14:paraId="52CBA140" w14:textId="77777777" w:rsidR="00F2468D" w:rsidRPr="009E28DA" w:rsidRDefault="00F2468D" w:rsidP="009E28DA">
      <w:pPr>
        <w:spacing w:line="276" w:lineRule="auto"/>
        <w:ind w:firstLine="1701"/>
        <w:jc w:val="both"/>
        <w:rPr>
          <w:rFonts w:ascii="Gadugi" w:hAnsi="Gadugi" w:cs="Courier New"/>
          <w:sz w:val="24"/>
          <w:szCs w:val="24"/>
        </w:rPr>
      </w:pPr>
    </w:p>
    <w:p w14:paraId="602E1406" w14:textId="77777777" w:rsidR="00F2468D" w:rsidRPr="009E28DA" w:rsidRDefault="00F2468D" w:rsidP="009E28DA">
      <w:pPr>
        <w:spacing w:line="276" w:lineRule="auto"/>
        <w:ind w:firstLine="1701"/>
        <w:jc w:val="both"/>
        <w:rPr>
          <w:rFonts w:ascii="Gadugi" w:hAnsi="Gadugi" w:cs="Courier New"/>
          <w:b/>
          <w:sz w:val="24"/>
          <w:szCs w:val="24"/>
        </w:rPr>
      </w:pPr>
      <w:r w:rsidRPr="009E28DA">
        <w:rPr>
          <w:rFonts w:ascii="Gadugi" w:hAnsi="Gadugi" w:cs="Courier New"/>
          <w:b/>
          <w:sz w:val="24"/>
          <w:szCs w:val="24"/>
        </w:rPr>
        <w:t>JAIME ALBERTO SARAZA NARANJO</w:t>
      </w:r>
    </w:p>
    <w:p w14:paraId="3C507B19" w14:textId="514A50B1" w:rsidR="00306CAC" w:rsidRPr="009E28DA" w:rsidRDefault="00F2468D" w:rsidP="009E28DA">
      <w:pPr>
        <w:spacing w:line="276" w:lineRule="auto"/>
        <w:ind w:firstLine="1701"/>
        <w:jc w:val="both"/>
        <w:rPr>
          <w:rFonts w:ascii="Gadugi" w:hAnsi="Gadugi"/>
          <w:sz w:val="24"/>
          <w:szCs w:val="24"/>
        </w:rPr>
      </w:pPr>
      <w:r w:rsidRPr="009E28DA">
        <w:rPr>
          <w:rFonts w:ascii="Gadugi" w:hAnsi="Gadugi" w:cs="Courier New"/>
          <w:sz w:val="24"/>
          <w:szCs w:val="24"/>
        </w:rPr>
        <w:t xml:space="preserve">Magistrado </w:t>
      </w:r>
    </w:p>
    <w:sectPr w:rsidR="00306CAC" w:rsidRPr="009E28DA" w:rsidSect="009E28DA">
      <w:headerReference w:type="default" r:id="rId11"/>
      <w:footerReference w:type="even" r:id="rId12"/>
      <w:footerReference w:type="default" r:id="rId13"/>
      <w:pgSz w:w="12242" w:h="18722" w:code="258"/>
      <w:pgMar w:top="1871" w:right="1304" w:bottom="1304" w:left="187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9AEA" w14:textId="77777777" w:rsidR="00FE1C25" w:rsidRDefault="00FE1C25">
      <w:r>
        <w:separator/>
      </w:r>
    </w:p>
  </w:endnote>
  <w:endnote w:type="continuationSeparator" w:id="0">
    <w:p w14:paraId="42037B94" w14:textId="77777777" w:rsidR="00FE1C25" w:rsidRDefault="00FE1C25">
      <w:r>
        <w:continuationSeparator/>
      </w:r>
    </w:p>
  </w:endnote>
  <w:endnote w:type="continuationNotice" w:id="1">
    <w:p w14:paraId="537560DF" w14:textId="77777777" w:rsidR="00FE1C25" w:rsidRDefault="00FE1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swiss"/>
    <w:pitch w:val="variable"/>
    <w:sig w:usb0="E00002FF" w:usb1="7AC7FFFF" w:usb2="00000012" w:usb3="00000000" w:csb0="0002000D"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DB29" w14:textId="77777777" w:rsidR="001B18EE" w:rsidRDefault="001B18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E3A75C" w14:textId="77777777" w:rsidR="001B18EE" w:rsidRDefault="001B18E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F7F6" w14:textId="77777777" w:rsidR="001B18EE" w:rsidRPr="00EA2DC6" w:rsidRDefault="001B18EE">
    <w:pPr>
      <w:pStyle w:val="Piedepgina"/>
      <w:framePr w:wrap="around" w:vAnchor="text" w:hAnchor="margin" w:xAlign="right" w:y="1"/>
      <w:rPr>
        <w:rStyle w:val="Nmerodepgina"/>
        <w:rFonts w:ascii="Arial" w:hAnsi="Arial" w:cs="Arial"/>
        <w:sz w:val="18"/>
      </w:rPr>
    </w:pPr>
    <w:r w:rsidRPr="00EA2DC6">
      <w:rPr>
        <w:rStyle w:val="Nmerodepgina"/>
        <w:rFonts w:ascii="Arial" w:hAnsi="Arial" w:cs="Arial"/>
        <w:sz w:val="18"/>
      </w:rPr>
      <w:fldChar w:fldCharType="begin"/>
    </w:r>
    <w:r w:rsidRPr="00EA2DC6">
      <w:rPr>
        <w:rStyle w:val="Nmerodepgina"/>
        <w:rFonts w:ascii="Arial" w:hAnsi="Arial" w:cs="Arial"/>
        <w:sz w:val="18"/>
      </w:rPr>
      <w:instrText xml:space="preserve">PAGE  </w:instrText>
    </w:r>
    <w:r w:rsidRPr="00EA2DC6">
      <w:rPr>
        <w:rStyle w:val="Nmerodepgina"/>
        <w:rFonts w:ascii="Arial" w:hAnsi="Arial" w:cs="Arial"/>
        <w:sz w:val="18"/>
      </w:rPr>
      <w:fldChar w:fldCharType="separate"/>
    </w:r>
    <w:r w:rsidRPr="00EA2DC6">
      <w:rPr>
        <w:rStyle w:val="Nmerodepgina"/>
        <w:rFonts w:ascii="Arial" w:hAnsi="Arial" w:cs="Arial"/>
        <w:noProof/>
        <w:sz w:val="18"/>
      </w:rPr>
      <w:t>5</w:t>
    </w:r>
    <w:r w:rsidRPr="00EA2DC6">
      <w:rPr>
        <w:rStyle w:val="Nmerodepgina"/>
        <w:rFonts w:ascii="Arial" w:hAnsi="Arial" w:cs="Arial"/>
        <w:sz w:val="18"/>
      </w:rPr>
      <w:fldChar w:fldCharType="end"/>
    </w:r>
  </w:p>
  <w:p w14:paraId="10876F83" w14:textId="77777777" w:rsidR="001B18EE" w:rsidRDefault="001B18E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CD73" w14:textId="77777777" w:rsidR="00FE1C25" w:rsidRDefault="00FE1C25">
      <w:r>
        <w:separator/>
      </w:r>
    </w:p>
  </w:footnote>
  <w:footnote w:type="continuationSeparator" w:id="0">
    <w:p w14:paraId="717541BA" w14:textId="77777777" w:rsidR="00FE1C25" w:rsidRDefault="00FE1C25">
      <w:r>
        <w:continuationSeparator/>
      </w:r>
    </w:p>
  </w:footnote>
  <w:footnote w:type="continuationNotice" w:id="1">
    <w:p w14:paraId="2B61D556" w14:textId="77777777" w:rsidR="00FE1C25" w:rsidRDefault="00FE1C25"/>
  </w:footnote>
  <w:footnote w:id="2">
    <w:p w14:paraId="2EDCD7F0" w14:textId="617B61FE" w:rsidR="00A01646" w:rsidRPr="00EA2DC6" w:rsidRDefault="00A01646" w:rsidP="00EA2DC6">
      <w:pPr>
        <w:pStyle w:val="Textonotapie"/>
        <w:jc w:val="both"/>
        <w:rPr>
          <w:rFonts w:ascii="Century" w:hAnsi="Century"/>
          <w:sz w:val="18"/>
          <w:szCs w:val="18"/>
          <w:lang w:val="es-419"/>
        </w:rPr>
      </w:pPr>
      <w:r w:rsidRPr="00EA2DC6">
        <w:rPr>
          <w:rStyle w:val="Refdenotaalpie"/>
          <w:rFonts w:ascii="Century" w:hAnsi="Century"/>
          <w:sz w:val="18"/>
          <w:szCs w:val="18"/>
        </w:rPr>
        <w:footnoteRef/>
      </w:r>
      <w:r w:rsidR="003107D5" w:rsidRPr="00EA2DC6">
        <w:rPr>
          <w:rFonts w:ascii="Century" w:hAnsi="Century"/>
          <w:sz w:val="18"/>
          <w:szCs w:val="18"/>
        </w:rPr>
        <w:t xml:space="preserve"> p.</w:t>
      </w:r>
      <w:r w:rsidRPr="00EA2DC6">
        <w:rPr>
          <w:rFonts w:ascii="Century" w:hAnsi="Century"/>
          <w:sz w:val="18"/>
          <w:szCs w:val="18"/>
          <w:lang w:val="es-419"/>
        </w:rPr>
        <w:t xml:space="preserve"> </w:t>
      </w:r>
      <w:r w:rsidR="00C46953" w:rsidRPr="00EA2DC6">
        <w:rPr>
          <w:rFonts w:ascii="Century" w:hAnsi="Century"/>
          <w:sz w:val="18"/>
          <w:szCs w:val="18"/>
          <w:lang w:val="es-419"/>
        </w:rPr>
        <w:t>170, 01PrimeraInstancia, 01CuadernoPrincipal</w:t>
      </w:r>
    </w:p>
  </w:footnote>
  <w:footnote w:id="3">
    <w:p w14:paraId="4889BCFB" w14:textId="21B713F7" w:rsidR="00C46953" w:rsidRPr="00EA2DC6" w:rsidRDefault="00C46953" w:rsidP="00EA2DC6">
      <w:pPr>
        <w:pStyle w:val="Textonotapie"/>
        <w:jc w:val="both"/>
        <w:rPr>
          <w:rFonts w:ascii="Century" w:hAnsi="Century"/>
          <w:sz w:val="18"/>
          <w:szCs w:val="18"/>
          <w:lang w:val="es-419"/>
        </w:rPr>
      </w:pPr>
      <w:r w:rsidRPr="00EA2DC6">
        <w:rPr>
          <w:rStyle w:val="Refdenotaalpie"/>
          <w:rFonts w:ascii="Century" w:hAnsi="Century"/>
          <w:sz w:val="18"/>
          <w:szCs w:val="18"/>
        </w:rPr>
        <w:footnoteRef/>
      </w:r>
      <w:r w:rsidRPr="00EA2DC6">
        <w:rPr>
          <w:rFonts w:ascii="Century" w:hAnsi="Century"/>
          <w:sz w:val="18"/>
          <w:szCs w:val="18"/>
        </w:rPr>
        <w:t xml:space="preserve"> </w:t>
      </w:r>
      <w:r w:rsidR="003107D5" w:rsidRPr="00EA2DC6">
        <w:rPr>
          <w:rFonts w:ascii="Century" w:hAnsi="Century"/>
          <w:sz w:val="18"/>
          <w:szCs w:val="18"/>
          <w:lang w:val="es-419"/>
        </w:rPr>
        <w:t>p</w:t>
      </w:r>
      <w:r w:rsidRPr="00EA2DC6">
        <w:rPr>
          <w:rFonts w:ascii="Century" w:hAnsi="Century"/>
          <w:sz w:val="18"/>
          <w:szCs w:val="18"/>
          <w:lang w:val="es-419"/>
        </w:rPr>
        <w:t xml:space="preserve">. 232 ib. </w:t>
      </w:r>
    </w:p>
  </w:footnote>
  <w:footnote w:id="4">
    <w:p w14:paraId="65AB0B58" w14:textId="2BF94A17" w:rsidR="00EF7821" w:rsidRPr="00EA2DC6" w:rsidRDefault="00EF7821" w:rsidP="00EA2DC6">
      <w:pPr>
        <w:pStyle w:val="Textonotapie"/>
        <w:jc w:val="both"/>
        <w:rPr>
          <w:rFonts w:ascii="Century" w:hAnsi="Century"/>
          <w:sz w:val="18"/>
          <w:szCs w:val="18"/>
          <w:lang w:val="es-419"/>
        </w:rPr>
      </w:pPr>
      <w:r w:rsidRPr="00EA2DC6">
        <w:rPr>
          <w:rStyle w:val="Refdenotaalpie"/>
          <w:rFonts w:ascii="Century" w:hAnsi="Century"/>
          <w:sz w:val="18"/>
          <w:szCs w:val="18"/>
        </w:rPr>
        <w:footnoteRef/>
      </w:r>
      <w:r w:rsidRPr="00EA2DC6">
        <w:rPr>
          <w:rFonts w:ascii="Century" w:hAnsi="Century"/>
          <w:sz w:val="18"/>
          <w:szCs w:val="18"/>
        </w:rPr>
        <w:t xml:space="preserve"> </w:t>
      </w:r>
      <w:r w:rsidR="003107D5" w:rsidRPr="00EA2DC6">
        <w:rPr>
          <w:rFonts w:ascii="Century" w:hAnsi="Century"/>
          <w:sz w:val="18"/>
          <w:szCs w:val="18"/>
          <w:lang w:val="es-419"/>
        </w:rPr>
        <w:t>p</w:t>
      </w:r>
      <w:r w:rsidRPr="00EA2DC6">
        <w:rPr>
          <w:rFonts w:ascii="Century" w:hAnsi="Century"/>
          <w:sz w:val="18"/>
          <w:szCs w:val="18"/>
          <w:lang w:val="es-419"/>
        </w:rPr>
        <w:t xml:space="preserve">. 248 ib. </w:t>
      </w:r>
    </w:p>
  </w:footnote>
  <w:footnote w:id="5">
    <w:p w14:paraId="7E2E12CA" w14:textId="2CAF2677" w:rsidR="00610726" w:rsidRPr="00EA2DC6" w:rsidRDefault="00610726" w:rsidP="00EA2DC6">
      <w:pPr>
        <w:pStyle w:val="Textoindependiente"/>
        <w:spacing w:line="240" w:lineRule="auto"/>
        <w:rPr>
          <w:rFonts w:ascii="Century" w:hAnsi="Century"/>
          <w:sz w:val="18"/>
          <w:szCs w:val="18"/>
          <w:lang w:val="es-419"/>
        </w:rPr>
      </w:pPr>
      <w:r w:rsidRPr="00EA2DC6">
        <w:rPr>
          <w:rStyle w:val="Refdenotaalpie"/>
          <w:rFonts w:ascii="Century" w:hAnsi="Century"/>
          <w:sz w:val="18"/>
          <w:szCs w:val="18"/>
        </w:rPr>
        <w:footnoteRef/>
      </w:r>
      <w:r w:rsidRPr="00EA2DC6">
        <w:rPr>
          <w:rFonts w:ascii="Century" w:hAnsi="Century"/>
          <w:sz w:val="18"/>
          <w:szCs w:val="18"/>
        </w:rPr>
        <w:t xml:space="preserve"> 01PrimeraInstancia, arch. 05.</w:t>
      </w:r>
      <w:r w:rsidRPr="00EA2DC6">
        <w:rPr>
          <w:rFonts w:ascii="Century" w:hAnsi="Century"/>
          <w:sz w:val="18"/>
          <w:szCs w:val="18"/>
          <w:lang w:val="es-419"/>
        </w:rPr>
        <w:t xml:space="preserve"> </w:t>
      </w:r>
    </w:p>
  </w:footnote>
  <w:footnote w:id="6">
    <w:p w14:paraId="080C68B9" w14:textId="4C214B38" w:rsidR="000D2C93" w:rsidRPr="00EA2DC6" w:rsidRDefault="000D2C93" w:rsidP="00EA2DC6">
      <w:pPr>
        <w:pStyle w:val="Textonotapie"/>
        <w:jc w:val="both"/>
        <w:rPr>
          <w:rFonts w:ascii="Century" w:hAnsi="Century"/>
          <w:sz w:val="18"/>
          <w:szCs w:val="18"/>
          <w:lang w:val="es-419"/>
        </w:rPr>
      </w:pPr>
      <w:r w:rsidRPr="00EA2DC6">
        <w:rPr>
          <w:rStyle w:val="Refdenotaalpie"/>
          <w:rFonts w:ascii="Century" w:hAnsi="Century"/>
          <w:sz w:val="18"/>
          <w:szCs w:val="18"/>
        </w:rPr>
        <w:footnoteRef/>
      </w:r>
      <w:r w:rsidRPr="00EA2DC6">
        <w:rPr>
          <w:rFonts w:ascii="Century" w:hAnsi="Century"/>
          <w:sz w:val="18"/>
          <w:szCs w:val="18"/>
        </w:rPr>
        <w:t xml:space="preserve"> 01PrimeraInstancia, arch. 07</w:t>
      </w:r>
    </w:p>
  </w:footnote>
  <w:footnote w:id="7">
    <w:p w14:paraId="27B7C761" w14:textId="01054B80" w:rsidR="000D2C93" w:rsidRPr="00EA2DC6" w:rsidRDefault="000D2C93" w:rsidP="00EA2DC6">
      <w:pPr>
        <w:pStyle w:val="Textonotapie"/>
        <w:jc w:val="both"/>
        <w:rPr>
          <w:rFonts w:ascii="Century" w:hAnsi="Century"/>
          <w:sz w:val="18"/>
          <w:szCs w:val="18"/>
          <w:lang w:val="es-419"/>
        </w:rPr>
      </w:pPr>
      <w:r w:rsidRPr="00EA2DC6">
        <w:rPr>
          <w:rStyle w:val="Refdenotaalpie"/>
          <w:rFonts w:ascii="Century" w:hAnsi="Century"/>
          <w:sz w:val="18"/>
          <w:szCs w:val="18"/>
        </w:rPr>
        <w:footnoteRef/>
      </w:r>
      <w:r w:rsidRPr="00EA2DC6">
        <w:rPr>
          <w:rFonts w:ascii="Century" w:hAnsi="Century"/>
          <w:sz w:val="18"/>
          <w:szCs w:val="18"/>
        </w:rPr>
        <w:t xml:space="preserve"> 01PrimeraInstancia, arch. 15</w:t>
      </w:r>
    </w:p>
  </w:footnote>
  <w:footnote w:id="8">
    <w:p w14:paraId="73996134" w14:textId="5342AD53" w:rsidR="002042FC" w:rsidRPr="00EA2DC6" w:rsidRDefault="002042FC" w:rsidP="00EA2DC6">
      <w:pPr>
        <w:pStyle w:val="Textonotapie"/>
        <w:jc w:val="both"/>
        <w:rPr>
          <w:rFonts w:ascii="Century" w:hAnsi="Century"/>
          <w:sz w:val="18"/>
          <w:szCs w:val="18"/>
          <w:lang w:val="es-419"/>
        </w:rPr>
      </w:pPr>
      <w:r w:rsidRPr="00EA2DC6">
        <w:rPr>
          <w:rStyle w:val="Refdenotaalpie"/>
          <w:rFonts w:ascii="Century" w:hAnsi="Century"/>
          <w:sz w:val="18"/>
          <w:szCs w:val="18"/>
        </w:rPr>
        <w:footnoteRef/>
      </w:r>
      <w:r w:rsidRPr="00EA2DC6">
        <w:rPr>
          <w:rFonts w:ascii="Century" w:hAnsi="Century"/>
          <w:sz w:val="18"/>
          <w:szCs w:val="18"/>
        </w:rPr>
        <w:t xml:space="preserve"> 01PrimeraInstancia, arch. 18</w:t>
      </w:r>
    </w:p>
  </w:footnote>
  <w:footnote w:id="9">
    <w:p w14:paraId="66462333" w14:textId="695D63EE" w:rsidR="002042FC" w:rsidRPr="00EA2DC6" w:rsidRDefault="002042FC" w:rsidP="00EA2DC6">
      <w:pPr>
        <w:pStyle w:val="Textonotapie"/>
        <w:jc w:val="both"/>
        <w:rPr>
          <w:rFonts w:ascii="Century" w:hAnsi="Century"/>
          <w:sz w:val="18"/>
          <w:szCs w:val="18"/>
          <w:lang w:val="es-419"/>
        </w:rPr>
      </w:pPr>
      <w:r w:rsidRPr="00EA2DC6">
        <w:rPr>
          <w:rStyle w:val="Refdenotaalpie"/>
          <w:rFonts w:ascii="Century" w:hAnsi="Century"/>
          <w:sz w:val="18"/>
          <w:szCs w:val="18"/>
        </w:rPr>
        <w:footnoteRef/>
      </w:r>
      <w:r w:rsidRPr="00EA2DC6">
        <w:rPr>
          <w:rFonts w:ascii="Century" w:hAnsi="Century"/>
          <w:sz w:val="18"/>
          <w:szCs w:val="18"/>
        </w:rPr>
        <w:t xml:space="preserve"> 01PrimeraInstancia, arch. 41</w:t>
      </w:r>
    </w:p>
  </w:footnote>
  <w:footnote w:id="10">
    <w:p w14:paraId="2823C928" w14:textId="607B3989" w:rsidR="0060661C" w:rsidRPr="00EA2DC6" w:rsidRDefault="0060661C" w:rsidP="00EA2DC6">
      <w:pPr>
        <w:pStyle w:val="Textonotapie"/>
        <w:jc w:val="both"/>
        <w:rPr>
          <w:rFonts w:ascii="Century" w:hAnsi="Century"/>
          <w:sz w:val="18"/>
          <w:szCs w:val="18"/>
          <w:lang w:val="es-419"/>
        </w:rPr>
      </w:pPr>
      <w:r w:rsidRPr="00EA2DC6">
        <w:rPr>
          <w:rStyle w:val="Refdenotaalpie"/>
          <w:rFonts w:ascii="Century" w:hAnsi="Century"/>
          <w:sz w:val="18"/>
          <w:szCs w:val="18"/>
        </w:rPr>
        <w:footnoteRef/>
      </w:r>
      <w:r w:rsidRPr="00EA2DC6">
        <w:rPr>
          <w:rFonts w:ascii="Century" w:hAnsi="Century"/>
          <w:sz w:val="18"/>
          <w:szCs w:val="18"/>
        </w:rPr>
        <w:t xml:space="preserve"> 01PrimeraInstancia, arch. 38</w:t>
      </w:r>
    </w:p>
  </w:footnote>
  <w:footnote w:id="11">
    <w:p w14:paraId="070A5113" w14:textId="66F6C588" w:rsidR="00FF7C82" w:rsidRPr="00EA2DC6" w:rsidRDefault="00FF7C82" w:rsidP="00EA2DC6">
      <w:pPr>
        <w:pStyle w:val="Textonotapie"/>
        <w:jc w:val="both"/>
        <w:rPr>
          <w:rFonts w:ascii="Century" w:hAnsi="Century"/>
          <w:sz w:val="18"/>
          <w:szCs w:val="18"/>
          <w:lang w:val="es-419"/>
        </w:rPr>
      </w:pPr>
      <w:r w:rsidRPr="00EA2DC6">
        <w:rPr>
          <w:rStyle w:val="Refdenotaalpie"/>
          <w:rFonts w:ascii="Century" w:hAnsi="Century"/>
          <w:sz w:val="18"/>
          <w:szCs w:val="18"/>
        </w:rPr>
        <w:footnoteRef/>
      </w:r>
      <w:r w:rsidRPr="00EA2DC6">
        <w:rPr>
          <w:rFonts w:ascii="Century" w:hAnsi="Century"/>
          <w:sz w:val="18"/>
          <w:szCs w:val="18"/>
        </w:rPr>
        <w:t xml:space="preserve"> 01PrimeraInstancia, arch. 42</w:t>
      </w:r>
      <w:r w:rsidR="008F4D87" w:rsidRPr="00EA2DC6">
        <w:rPr>
          <w:rFonts w:ascii="Century" w:hAnsi="Century"/>
          <w:sz w:val="18"/>
          <w:szCs w:val="18"/>
        </w:rPr>
        <w:t>, AUDIENCIAS, arch. 42b.</w:t>
      </w:r>
    </w:p>
  </w:footnote>
  <w:footnote w:id="12">
    <w:p w14:paraId="19FF9DA4" w14:textId="6FDEAC47" w:rsidR="00BC293B" w:rsidRPr="00EA2DC6" w:rsidRDefault="00BC293B" w:rsidP="00EA2DC6">
      <w:pPr>
        <w:pStyle w:val="Textonotapie"/>
        <w:jc w:val="both"/>
        <w:rPr>
          <w:rFonts w:ascii="Century" w:hAnsi="Century"/>
          <w:sz w:val="18"/>
          <w:szCs w:val="18"/>
          <w:lang w:val="es-419"/>
        </w:rPr>
      </w:pPr>
      <w:r w:rsidRPr="00EA2DC6">
        <w:rPr>
          <w:rStyle w:val="Refdenotaalpie"/>
          <w:rFonts w:ascii="Century" w:hAnsi="Century"/>
          <w:sz w:val="18"/>
          <w:szCs w:val="18"/>
        </w:rPr>
        <w:footnoteRef/>
      </w:r>
      <w:r w:rsidRPr="00EA2DC6">
        <w:rPr>
          <w:rFonts w:ascii="Century" w:hAnsi="Century"/>
          <w:sz w:val="18"/>
          <w:szCs w:val="18"/>
        </w:rPr>
        <w:t xml:space="preserve"> </w:t>
      </w:r>
      <w:r w:rsidRPr="00EA2DC6">
        <w:rPr>
          <w:rFonts w:ascii="Century" w:hAnsi="Century"/>
          <w:sz w:val="18"/>
          <w:szCs w:val="18"/>
          <w:lang w:val="es-419"/>
        </w:rPr>
        <w:t>Laxa, en el sentido de que en la estructura del CGP, los terceros son el coadyuvante y el llamado de oficio (arts. 71y 72 ib); pero, atendiendo otras reglas del mismo estatuto y lo que tradicionalmente se ha considerado por tercero, como aquel sujeto que no es propiamente el demandante o el demandado, también deben incluirse el llamado en garantía, el interviniente excluyente y el verdadero poseedor o tenedor (arts. 63 a 67 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A0FF" w14:textId="77777777" w:rsidR="001B18EE" w:rsidRDefault="001B18EE">
    <w:pPr>
      <w:spacing w:line="360" w:lineRule="auto"/>
      <w:ind w:firstLine="2835"/>
      <w:jc w:val="right"/>
      <w:rPr>
        <w:sz w:val="18"/>
        <w:lang w:val="es-MX"/>
      </w:rPr>
    </w:pPr>
  </w:p>
  <w:p w14:paraId="63D03558" w14:textId="77777777" w:rsidR="001B18EE" w:rsidRDefault="001B18EE">
    <w:pPr>
      <w:spacing w:line="360" w:lineRule="auto"/>
      <w:ind w:firstLine="2835"/>
      <w:jc w:val="right"/>
      <w:rPr>
        <w:sz w:val="18"/>
        <w:lang w:val="es-MX"/>
      </w:rPr>
    </w:pPr>
  </w:p>
  <w:p w14:paraId="459B6196" w14:textId="77777777" w:rsidR="001B18EE" w:rsidRDefault="001B18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B360D94"/>
    <w:lvl w:ilvl="0">
      <w:start w:val="1"/>
      <w:numFmt w:val="decimal"/>
      <w:pStyle w:val="Listaconnmeros"/>
      <w:lvlText w:val="%1."/>
      <w:lvlJc w:val="left"/>
      <w:pPr>
        <w:tabs>
          <w:tab w:val="num" w:pos="360"/>
        </w:tabs>
        <w:ind w:left="360" w:hanging="360"/>
      </w:pPr>
    </w:lvl>
  </w:abstractNum>
  <w:abstractNum w:abstractNumId="1" w15:restartNumberingAfterBreak="0">
    <w:nsid w:val="00D81421"/>
    <w:multiLevelType w:val="hybridMultilevel"/>
    <w:tmpl w:val="23F6DDCA"/>
    <w:lvl w:ilvl="0" w:tplc="E9B8D77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22F6175"/>
    <w:multiLevelType w:val="singleLevel"/>
    <w:tmpl w:val="56CA143A"/>
    <w:lvl w:ilvl="0">
      <w:start w:val="3"/>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3" w15:restartNumberingAfterBreak="0">
    <w:nsid w:val="1063647C"/>
    <w:multiLevelType w:val="hybridMultilevel"/>
    <w:tmpl w:val="60AE5FFC"/>
    <w:lvl w:ilvl="0" w:tplc="6A269EE0">
      <w:start w:val="1"/>
      <w:numFmt w:val="decimal"/>
      <w:lvlText w:val="%1."/>
      <w:lvlJc w:val="left"/>
      <w:pPr>
        <w:ind w:left="1414" w:hanging="70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1C9D5BE9"/>
    <w:multiLevelType w:val="singleLevel"/>
    <w:tmpl w:val="56CA143A"/>
    <w:lvl w:ilvl="0">
      <w:start w:val="7"/>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5" w15:restartNumberingAfterBreak="0">
    <w:nsid w:val="1FD96E7B"/>
    <w:multiLevelType w:val="multilevel"/>
    <w:tmpl w:val="8C96D61A"/>
    <w:lvl w:ilvl="0">
      <w:start w:val="3"/>
      <w:numFmt w:val="decimal"/>
      <w:lvlText w:val="%1."/>
      <w:lvlJc w:val="left"/>
      <w:pPr>
        <w:ind w:left="570" w:hanging="57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234C45BC"/>
    <w:multiLevelType w:val="singleLevel"/>
    <w:tmpl w:val="56CA143A"/>
    <w:lvl w:ilvl="0">
      <w:start w:val="8"/>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7" w15:restartNumberingAfterBreak="0">
    <w:nsid w:val="249F1DB2"/>
    <w:multiLevelType w:val="singleLevel"/>
    <w:tmpl w:val="56CA143A"/>
    <w:lvl w:ilvl="0">
      <w:start w:val="6"/>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8" w15:restartNumberingAfterBreak="0">
    <w:nsid w:val="31106296"/>
    <w:multiLevelType w:val="singleLevel"/>
    <w:tmpl w:val="56CA143A"/>
    <w:lvl w:ilvl="0">
      <w:start w:val="10"/>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9" w15:restartNumberingAfterBreak="0">
    <w:nsid w:val="43BC4CD9"/>
    <w:multiLevelType w:val="singleLevel"/>
    <w:tmpl w:val="56CA143A"/>
    <w:lvl w:ilvl="0">
      <w:start w:val="9"/>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0" w15:restartNumberingAfterBreak="0">
    <w:nsid w:val="49D001DC"/>
    <w:multiLevelType w:val="hybridMultilevel"/>
    <w:tmpl w:val="13CE36F2"/>
    <w:lvl w:ilvl="0" w:tplc="1A9AF9FE">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4C4A6AC9"/>
    <w:multiLevelType w:val="hybridMultilevel"/>
    <w:tmpl w:val="CA9EC16A"/>
    <w:lvl w:ilvl="0" w:tplc="0992A530">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5EE71064"/>
    <w:multiLevelType w:val="singleLevel"/>
    <w:tmpl w:val="56CA143A"/>
    <w:lvl w:ilvl="0">
      <w:start w:val="4"/>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3" w15:restartNumberingAfterBreak="0">
    <w:nsid w:val="64EA21C9"/>
    <w:multiLevelType w:val="hybridMultilevel"/>
    <w:tmpl w:val="66A68440"/>
    <w:lvl w:ilvl="0" w:tplc="F28EE9E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6BFD1419"/>
    <w:multiLevelType w:val="hybridMultilevel"/>
    <w:tmpl w:val="464E8B98"/>
    <w:lvl w:ilvl="0" w:tplc="FAA68030">
      <w:start w:val="1"/>
      <w:numFmt w:val="decimal"/>
      <w:lvlText w:val="%1."/>
      <w:lvlJc w:val="left"/>
      <w:pPr>
        <w:ind w:left="2061" w:hanging="360"/>
      </w:pPr>
      <w:rPr>
        <w:rFonts w:hint="default"/>
      </w:rPr>
    </w:lvl>
    <w:lvl w:ilvl="1" w:tplc="240A0019">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5" w15:restartNumberingAfterBreak="0">
    <w:nsid w:val="735008ED"/>
    <w:multiLevelType w:val="singleLevel"/>
    <w:tmpl w:val="56CA143A"/>
    <w:lvl w:ilvl="0">
      <w:start w:val="5"/>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6" w15:restartNumberingAfterBreak="0">
    <w:nsid w:val="7AB83F99"/>
    <w:multiLevelType w:val="singleLevel"/>
    <w:tmpl w:val="56CA143A"/>
    <w:lvl w:ilvl="0">
      <w:start w:val="2"/>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7" w15:restartNumberingAfterBreak="0">
    <w:nsid w:val="7C6F6FE3"/>
    <w:multiLevelType w:val="hybridMultilevel"/>
    <w:tmpl w:val="BF107254"/>
    <w:lvl w:ilvl="0" w:tplc="4A4827A2">
      <w:start w:val="1"/>
      <w:numFmt w:val="decimal"/>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8" w15:restartNumberingAfterBreak="0">
    <w:nsid w:val="7EF13473"/>
    <w:multiLevelType w:val="singleLevel"/>
    <w:tmpl w:val="56CA143A"/>
    <w:lvl w:ilvl="0">
      <w:start w:val="1"/>
      <w:numFmt w:val="decimal"/>
      <w:lvlText w:val="%1. "/>
      <w:legacy w:legacy="1" w:legacySpace="0" w:legacyIndent="283"/>
      <w:lvlJc w:val="left"/>
      <w:pPr>
        <w:ind w:left="373" w:hanging="283"/>
      </w:pPr>
      <w:rPr>
        <w:rFonts w:ascii="Verdana" w:hAnsi="Verdana" w:hint="default"/>
        <w:b w:val="0"/>
        <w:i w:val="0"/>
        <w:sz w:val="24"/>
        <w:u w:val="none"/>
      </w:rPr>
    </w:lvl>
  </w:abstractNum>
  <w:abstractNum w:abstractNumId="19" w15:restartNumberingAfterBreak="0">
    <w:nsid w:val="7F7E662A"/>
    <w:multiLevelType w:val="hybridMultilevel"/>
    <w:tmpl w:val="1B5E632C"/>
    <w:lvl w:ilvl="0" w:tplc="006A19CA">
      <w:start w:val="1"/>
      <w:numFmt w:val="decimal"/>
      <w:lvlText w:val="%1.-"/>
      <w:lvlJc w:val="left"/>
      <w:pPr>
        <w:ind w:left="1637"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18"/>
  </w:num>
  <w:num w:numId="2">
    <w:abstractNumId w:val="16"/>
  </w:num>
  <w:num w:numId="3">
    <w:abstractNumId w:val="2"/>
  </w:num>
  <w:num w:numId="4">
    <w:abstractNumId w:val="12"/>
  </w:num>
  <w:num w:numId="5">
    <w:abstractNumId w:val="15"/>
  </w:num>
  <w:num w:numId="6">
    <w:abstractNumId w:val="7"/>
  </w:num>
  <w:num w:numId="7">
    <w:abstractNumId w:val="4"/>
  </w:num>
  <w:num w:numId="8">
    <w:abstractNumId w:val="6"/>
  </w:num>
  <w:num w:numId="9">
    <w:abstractNumId w:val="9"/>
  </w:num>
  <w:num w:numId="10">
    <w:abstractNumId w:val="8"/>
  </w:num>
  <w:num w:numId="11">
    <w:abstractNumId w:val="5"/>
  </w:num>
  <w:num w:numId="12">
    <w:abstractNumId w:val="1"/>
  </w:num>
  <w:num w:numId="13">
    <w:abstractNumId w:val="13"/>
  </w:num>
  <w:num w:numId="14">
    <w:abstractNumId w:val="10"/>
  </w:num>
  <w:num w:numId="15">
    <w:abstractNumId w:val="11"/>
  </w:num>
  <w:num w:numId="16">
    <w:abstractNumId w:val="17"/>
  </w:num>
  <w:num w:numId="17">
    <w:abstractNumId w:val="3"/>
  </w:num>
  <w:num w:numId="18">
    <w:abstractNumId w:val="0"/>
  </w:num>
  <w:num w:numId="19">
    <w:abstractNumId w:val="19"/>
  </w:num>
  <w:num w:numId="20">
    <w:abstractNumId w:val="19"/>
    <w:lvlOverride w:ilvl="0">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CF"/>
    <w:rsid w:val="000104AA"/>
    <w:rsid w:val="00010DAB"/>
    <w:rsid w:val="00030626"/>
    <w:rsid w:val="00037B5A"/>
    <w:rsid w:val="00051E1F"/>
    <w:rsid w:val="0005505C"/>
    <w:rsid w:val="000644A6"/>
    <w:rsid w:val="00075683"/>
    <w:rsid w:val="00086DBD"/>
    <w:rsid w:val="000A4957"/>
    <w:rsid w:val="000B748C"/>
    <w:rsid w:val="000C0583"/>
    <w:rsid w:val="000C1503"/>
    <w:rsid w:val="000C4363"/>
    <w:rsid w:val="000D2C93"/>
    <w:rsid w:val="000E78F6"/>
    <w:rsid w:val="000F7A2C"/>
    <w:rsid w:val="001113E9"/>
    <w:rsid w:val="001539FE"/>
    <w:rsid w:val="00163EBD"/>
    <w:rsid w:val="00185883"/>
    <w:rsid w:val="00192F55"/>
    <w:rsid w:val="00197B4B"/>
    <w:rsid w:val="001A7BF3"/>
    <w:rsid w:val="001B18EE"/>
    <w:rsid w:val="001B4960"/>
    <w:rsid w:val="001B5806"/>
    <w:rsid w:val="001C0584"/>
    <w:rsid w:val="001D25EA"/>
    <w:rsid w:val="00203EF5"/>
    <w:rsid w:val="002042FC"/>
    <w:rsid w:val="00233F55"/>
    <w:rsid w:val="00244944"/>
    <w:rsid w:val="00252942"/>
    <w:rsid w:val="00253E1D"/>
    <w:rsid w:val="00266B8F"/>
    <w:rsid w:val="00266E90"/>
    <w:rsid w:val="00275F43"/>
    <w:rsid w:val="002840AE"/>
    <w:rsid w:val="002A4090"/>
    <w:rsid w:val="002D338A"/>
    <w:rsid w:val="002D66A8"/>
    <w:rsid w:val="002D68E1"/>
    <w:rsid w:val="00306CAC"/>
    <w:rsid w:val="003105FD"/>
    <w:rsid w:val="003107D5"/>
    <w:rsid w:val="00324DCA"/>
    <w:rsid w:val="003423C6"/>
    <w:rsid w:val="00352876"/>
    <w:rsid w:val="003548B1"/>
    <w:rsid w:val="00354A2C"/>
    <w:rsid w:val="003568D3"/>
    <w:rsid w:val="0036084E"/>
    <w:rsid w:val="00361503"/>
    <w:rsid w:val="00362CB5"/>
    <w:rsid w:val="00362CEC"/>
    <w:rsid w:val="00381B23"/>
    <w:rsid w:val="003A66EB"/>
    <w:rsid w:val="003B0031"/>
    <w:rsid w:val="003B0307"/>
    <w:rsid w:val="003C1FB4"/>
    <w:rsid w:val="003D690F"/>
    <w:rsid w:val="003E43C1"/>
    <w:rsid w:val="00415B5D"/>
    <w:rsid w:val="00443E57"/>
    <w:rsid w:val="0044489E"/>
    <w:rsid w:val="00455980"/>
    <w:rsid w:val="00473A83"/>
    <w:rsid w:val="00486F43"/>
    <w:rsid w:val="00491C9E"/>
    <w:rsid w:val="00492FD3"/>
    <w:rsid w:val="004A5E30"/>
    <w:rsid w:val="004B6402"/>
    <w:rsid w:val="004B65F1"/>
    <w:rsid w:val="004C662C"/>
    <w:rsid w:val="004C7E41"/>
    <w:rsid w:val="004E0F68"/>
    <w:rsid w:val="004E7024"/>
    <w:rsid w:val="004F094A"/>
    <w:rsid w:val="00530C84"/>
    <w:rsid w:val="005324DD"/>
    <w:rsid w:val="00541BF7"/>
    <w:rsid w:val="005525A7"/>
    <w:rsid w:val="00554664"/>
    <w:rsid w:val="005664E1"/>
    <w:rsid w:val="00566BE4"/>
    <w:rsid w:val="005776B0"/>
    <w:rsid w:val="005B4E71"/>
    <w:rsid w:val="005D30E9"/>
    <w:rsid w:val="005E00E4"/>
    <w:rsid w:val="005E25E8"/>
    <w:rsid w:val="0060468B"/>
    <w:rsid w:val="0060661C"/>
    <w:rsid w:val="006105A8"/>
    <w:rsid w:val="00610726"/>
    <w:rsid w:val="00612DD9"/>
    <w:rsid w:val="006130E0"/>
    <w:rsid w:val="006318DD"/>
    <w:rsid w:val="00654639"/>
    <w:rsid w:val="00656ACD"/>
    <w:rsid w:val="0067584B"/>
    <w:rsid w:val="00677062"/>
    <w:rsid w:val="00684B06"/>
    <w:rsid w:val="00684F10"/>
    <w:rsid w:val="0069028C"/>
    <w:rsid w:val="006A101B"/>
    <w:rsid w:val="006A1B7E"/>
    <w:rsid w:val="006C6552"/>
    <w:rsid w:val="006D0C6E"/>
    <w:rsid w:val="006D4E4D"/>
    <w:rsid w:val="006F07D7"/>
    <w:rsid w:val="006F709D"/>
    <w:rsid w:val="007147A5"/>
    <w:rsid w:val="00726DDF"/>
    <w:rsid w:val="00733B4F"/>
    <w:rsid w:val="00747F45"/>
    <w:rsid w:val="00751974"/>
    <w:rsid w:val="0075269B"/>
    <w:rsid w:val="00755807"/>
    <w:rsid w:val="00784210"/>
    <w:rsid w:val="0078467D"/>
    <w:rsid w:val="00790349"/>
    <w:rsid w:val="00797AF4"/>
    <w:rsid w:val="007B0695"/>
    <w:rsid w:val="007C31E0"/>
    <w:rsid w:val="007C61D0"/>
    <w:rsid w:val="007D04C3"/>
    <w:rsid w:val="007D3BD2"/>
    <w:rsid w:val="007D63E5"/>
    <w:rsid w:val="007E1046"/>
    <w:rsid w:val="007F1C35"/>
    <w:rsid w:val="007F6D24"/>
    <w:rsid w:val="00801105"/>
    <w:rsid w:val="008315AC"/>
    <w:rsid w:val="00836EE8"/>
    <w:rsid w:val="00852827"/>
    <w:rsid w:val="00853796"/>
    <w:rsid w:val="008833F1"/>
    <w:rsid w:val="00887415"/>
    <w:rsid w:val="008E7DBF"/>
    <w:rsid w:val="008F4D87"/>
    <w:rsid w:val="008F613C"/>
    <w:rsid w:val="009060CF"/>
    <w:rsid w:val="00920D9B"/>
    <w:rsid w:val="00922180"/>
    <w:rsid w:val="00930245"/>
    <w:rsid w:val="00931612"/>
    <w:rsid w:val="009401AD"/>
    <w:rsid w:val="00944873"/>
    <w:rsid w:val="00961916"/>
    <w:rsid w:val="00992471"/>
    <w:rsid w:val="00993FED"/>
    <w:rsid w:val="00995BA6"/>
    <w:rsid w:val="009A037E"/>
    <w:rsid w:val="009B3322"/>
    <w:rsid w:val="009C096B"/>
    <w:rsid w:val="009C764F"/>
    <w:rsid w:val="009D0D24"/>
    <w:rsid w:val="009D4146"/>
    <w:rsid w:val="009D52F3"/>
    <w:rsid w:val="009E28DA"/>
    <w:rsid w:val="009E3E58"/>
    <w:rsid w:val="009E5C0F"/>
    <w:rsid w:val="009E6D01"/>
    <w:rsid w:val="00A01646"/>
    <w:rsid w:val="00A177B1"/>
    <w:rsid w:val="00A25FBB"/>
    <w:rsid w:val="00A3021C"/>
    <w:rsid w:val="00A3584B"/>
    <w:rsid w:val="00A36862"/>
    <w:rsid w:val="00A47235"/>
    <w:rsid w:val="00A47531"/>
    <w:rsid w:val="00A62229"/>
    <w:rsid w:val="00A72379"/>
    <w:rsid w:val="00A814F7"/>
    <w:rsid w:val="00A95D9C"/>
    <w:rsid w:val="00AA65FD"/>
    <w:rsid w:val="00AB2684"/>
    <w:rsid w:val="00AC34B4"/>
    <w:rsid w:val="00B04194"/>
    <w:rsid w:val="00B37A79"/>
    <w:rsid w:val="00B5770D"/>
    <w:rsid w:val="00B629BB"/>
    <w:rsid w:val="00B85FB0"/>
    <w:rsid w:val="00B87A74"/>
    <w:rsid w:val="00B90AE8"/>
    <w:rsid w:val="00BA2578"/>
    <w:rsid w:val="00BB43E1"/>
    <w:rsid w:val="00BC18DF"/>
    <w:rsid w:val="00BC293B"/>
    <w:rsid w:val="00BD5CC8"/>
    <w:rsid w:val="00BE1510"/>
    <w:rsid w:val="00BE348D"/>
    <w:rsid w:val="00BF692D"/>
    <w:rsid w:val="00BF7EA9"/>
    <w:rsid w:val="00C149B4"/>
    <w:rsid w:val="00C14F40"/>
    <w:rsid w:val="00C15FCA"/>
    <w:rsid w:val="00C2371D"/>
    <w:rsid w:val="00C348EB"/>
    <w:rsid w:val="00C46953"/>
    <w:rsid w:val="00C86035"/>
    <w:rsid w:val="00C915D7"/>
    <w:rsid w:val="00CA3B38"/>
    <w:rsid w:val="00CB002B"/>
    <w:rsid w:val="00CB5CDA"/>
    <w:rsid w:val="00CC70A6"/>
    <w:rsid w:val="00CC76BD"/>
    <w:rsid w:val="00CD2543"/>
    <w:rsid w:val="00CD2D2F"/>
    <w:rsid w:val="00CD31D6"/>
    <w:rsid w:val="00D03AA7"/>
    <w:rsid w:val="00D1332A"/>
    <w:rsid w:val="00D34690"/>
    <w:rsid w:val="00D35B92"/>
    <w:rsid w:val="00D530F5"/>
    <w:rsid w:val="00D546F5"/>
    <w:rsid w:val="00D54BFB"/>
    <w:rsid w:val="00D76F88"/>
    <w:rsid w:val="00DB03B5"/>
    <w:rsid w:val="00DC6271"/>
    <w:rsid w:val="00DF7233"/>
    <w:rsid w:val="00E11275"/>
    <w:rsid w:val="00E14489"/>
    <w:rsid w:val="00E14ADE"/>
    <w:rsid w:val="00E349C1"/>
    <w:rsid w:val="00E34E56"/>
    <w:rsid w:val="00E4315D"/>
    <w:rsid w:val="00E44B26"/>
    <w:rsid w:val="00E6630F"/>
    <w:rsid w:val="00E85B4C"/>
    <w:rsid w:val="00EA2DC6"/>
    <w:rsid w:val="00ED0CB2"/>
    <w:rsid w:val="00ED58F2"/>
    <w:rsid w:val="00EF3353"/>
    <w:rsid w:val="00EF764C"/>
    <w:rsid w:val="00EF7821"/>
    <w:rsid w:val="00F00D51"/>
    <w:rsid w:val="00F143DE"/>
    <w:rsid w:val="00F1732F"/>
    <w:rsid w:val="00F2468D"/>
    <w:rsid w:val="00F26468"/>
    <w:rsid w:val="00F40628"/>
    <w:rsid w:val="00F416A8"/>
    <w:rsid w:val="00FA5D2D"/>
    <w:rsid w:val="00FB4922"/>
    <w:rsid w:val="00FB69D1"/>
    <w:rsid w:val="00FD1B5D"/>
    <w:rsid w:val="00FE079C"/>
    <w:rsid w:val="00FE1C25"/>
    <w:rsid w:val="00FF5488"/>
    <w:rsid w:val="00FF7C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91852"/>
  <w15:chartTrackingRefBased/>
  <w15:docId w15:val="{9D5F775B-3C56-4C56-8CEE-237CC109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cs="Courier Ne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cs="Courier New"/>
      <w:b/>
      <w:sz w:val="24"/>
    </w:rPr>
  </w:style>
  <w:style w:type="paragraph" w:styleId="Ttulo3">
    <w:name w:val="heading 3"/>
    <w:basedOn w:val="Normal"/>
    <w:next w:val="Normal"/>
    <w:link w:val="Ttulo3Car"/>
    <w:uiPriority w:val="9"/>
    <w:unhideWhenUsed/>
    <w:qFormat/>
    <w:rsid w:val="00E4315D"/>
    <w:pPr>
      <w:keepNext/>
      <w:keepLines/>
      <w:spacing w:before="40"/>
      <w:outlineLvl w:val="2"/>
    </w:pPr>
    <w:rPr>
      <w:rFonts w:ascii="Calibri Light" w:hAnsi="Calibri Light"/>
      <w:color w:val="1F4D78"/>
      <w:sz w:val="24"/>
      <w:szCs w:val="24"/>
    </w:rPr>
  </w:style>
  <w:style w:type="paragraph" w:styleId="Ttulo4">
    <w:name w:val="heading 4"/>
    <w:basedOn w:val="Normal"/>
    <w:next w:val="Normal"/>
    <w:link w:val="Ttulo4Car"/>
    <w:uiPriority w:val="9"/>
    <w:unhideWhenUsed/>
    <w:qFormat/>
    <w:rsid w:val="00E4315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cs="Courier New"/>
      <w:sz w:val="24"/>
      <w:lang w:val="es-MX"/>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debloque">
    <w:name w:val="Block Text"/>
    <w:basedOn w:val="Normal"/>
    <w:semiHidden/>
    <w:pPr>
      <w:ind w:left="1134" w:right="1418" w:firstLine="1701"/>
      <w:jc w:val="both"/>
    </w:pPr>
    <w:rPr>
      <w:rFonts w:ascii="Arial" w:hAnsi="Arial"/>
      <w:i/>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de nota al p,FA"/>
    <w:basedOn w:val="Normal"/>
    <w:link w:val="TextonotapieCar1"/>
    <w:qFormat/>
  </w:style>
  <w:style w:type="character" w:styleId="Refdenotaalpie">
    <w:name w:val="footnote reference"/>
    <w:aliases w:val="FC,Ref. de nota al pie 2,Texto de nota al pie,Pie de Página,Texto de nota al p,Pie de Pàgina,F,Pie de P_gin,Pie de P_,Texto de nota al pi,Pie de P_g,Footnotes refss,Appel note de bas de page,Footnote number,referencia nota al pie,f,R"/>
    <w:basedOn w:val="Fuentedeprrafopredeter"/>
    <w:link w:val="Refdenotaalpie2"/>
    <w:qFormat/>
    <w:rPr>
      <w:vertAlign w:val="superscript"/>
    </w:rPr>
  </w:style>
  <w:style w:type="character" w:customStyle="1" w:styleId="Ttulo3Car">
    <w:name w:val="Título 3 Car"/>
    <w:basedOn w:val="Fuentedeprrafopredeter"/>
    <w:link w:val="Ttulo3"/>
    <w:semiHidden/>
    <w:rsid w:val="00E4315D"/>
    <w:rPr>
      <w:rFonts w:ascii="Calibri Light" w:hAnsi="Calibri Light"/>
      <w:color w:val="1F4D78"/>
      <w:sz w:val="24"/>
      <w:szCs w:val="24"/>
      <w:lang w:val="es-ES" w:eastAsia="es-ES"/>
    </w:rPr>
  </w:style>
  <w:style w:type="character" w:customStyle="1" w:styleId="Ttulo4Car">
    <w:name w:val="Título 4 Car"/>
    <w:basedOn w:val="Fuentedeprrafopredeter"/>
    <w:link w:val="Ttulo4"/>
    <w:uiPriority w:val="9"/>
    <w:rsid w:val="00E4315D"/>
    <w:rPr>
      <w:rFonts w:ascii="Calibri" w:hAnsi="Calibri"/>
      <w:b/>
      <w:bCs/>
      <w:sz w:val="28"/>
      <w:szCs w:val="28"/>
      <w:lang w:val="es-ES" w:eastAsia="es-ES"/>
    </w:rPr>
  </w:style>
  <w:style w:type="character" w:customStyle="1" w:styleId="PiedepginaCar">
    <w:name w:val="Pie de página Car"/>
    <w:link w:val="Piedepgina"/>
    <w:uiPriority w:val="99"/>
    <w:rsid w:val="00E4315D"/>
    <w:rPr>
      <w:lang w:val="es-ES" w:eastAsia="es-ES"/>
    </w:rPr>
  </w:style>
  <w:style w:type="paragraph" w:customStyle="1" w:styleId="BodyTextIndent1">
    <w:name w:val="Body Text Indent1"/>
    <w:basedOn w:val="Normal"/>
    <w:rsid w:val="00E4315D"/>
    <w:pPr>
      <w:autoSpaceDE w:val="0"/>
      <w:autoSpaceDN w:val="0"/>
      <w:spacing w:line="360" w:lineRule="auto"/>
      <w:jc w:val="both"/>
    </w:pPr>
    <w:rPr>
      <w:rFonts w:ascii="Arial" w:hAnsi="Arial" w:cs="Arial"/>
      <w:sz w:val="26"/>
      <w:szCs w:val="26"/>
    </w:rPr>
  </w:style>
  <w:style w:type="character" w:styleId="Textoennegrita">
    <w:name w:val="Strong"/>
    <w:rsid w:val="00E4315D"/>
    <w:rPr>
      <w:b/>
      <w:bCs/>
    </w:rPr>
  </w:style>
  <w:style w:type="paragraph" w:styleId="Textodeglobo">
    <w:name w:val="Balloon Text"/>
    <w:basedOn w:val="Normal"/>
    <w:link w:val="TextodegloboCar"/>
    <w:rsid w:val="00E4315D"/>
    <w:rPr>
      <w:rFonts w:ascii="Verdana" w:hAnsi="Verdana"/>
      <w:sz w:val="16"/>
      <w:szCs w:val="16"/>
    </w:rPr>
  </w:style>
  <w:style w:type="character" w:customStyle="1" w:styleId="TextodegloboCar">
    <w:name w:val="Texto de globo Car"/>
    <w:basedOn w:val="Fuentedeprrafopredeter"/>
    <w:link w:val="Textodeglobo"/>
    <w:rsid w:val="00E4315D"/>
    <w:rPr>
      <w:rFonts w:ascii="Verdana" w:hAnsi="Verdana"/>
      <w:sz w:val="16"/>
      <w:szCs w:val="16"/>
      <w:lang w:val="es-ES" w:eastAsia="es-ES"/>
    </w:rPr>
  </w:style>
  <w:style w:type="character" w:customStyle="1" w:styleId="SangradetextonormalCar">
    <w:name w:val="Sangría de texto normal Car"/>
    <w:link w:val="Sangradetextonormal"/>
    <w:rsid w:val="00E4315D"/>
    <w:rPr>
      <w:rFonts w:ascii="Verdana" w:hAnsi="Verdana"/>
      <w:sz w:val="24"/>
      <w:lang w:val="es-ES" w:eastAsia="es-ES"/>
    </w:rPr>
  </w:style>
  <w:style w:type="paragraph" w:customStyle="1" w:styleId="Piedepgina1">
    <w:name w:val="Pie de página1"/>
    <w:rsid w:val="00E4315D"/>
    <w:pPr>
      <w:tabs>
        <w:tab w:val="center" w:pos="4252"/>
        <w:tab w:val="right" w:pos="8504"/>
      </w:tabs>
    </w:pPr>
    <w:rPr>
      <w:rFonts w:ascii="Arial" w:eastAsia="ヒラギノ角ゴ Pro W3" w:hAnsi="Arial"/>
      <w:color w:val="000000"/>
      <w:sz w:val="28"/>
      <w:lang w:val="es-ES_tradnl" w:eastAsia="es-ES"/>
    </w:rPr>
  </w:style>
  <w:style w:type="character" w:customStyle="1" w:styleId="EncabezadoCar">
    <w:name w:val="Encabezado Car"/>
    <w:link w:val="Encabezado"/>
    <w:uiPriority w:val="99"/>
    <w:rsid w:val="00E4315D"/>
    <w:rPr>
      <w:lang w:val="es-ES" w:eastAsia="es-ES"/>
    </w:rPr>
  </w:style>
  <w:style w:type="paragraph" w:styleId="Textoindependiente2">
    <w:name w:val="Body Text 2"/>
    <w:basedOn w:val="Normal"/>
    <w:link w:val="Textoindependiente2Car"/>
    <w:rsid w:val="00E4315D"/>
    <w:pPr>
      <w:spacing w:after="120" w:line="480" w:lineRule="auto"/>
    </w:pPr>
    <w:rPr>
      <w:sz w:val="24"/>
      <w:szCs w:val="24"/>
    </w:rPr>
  </w:style>
  <w:style w:type="character" w:customStyle="1" w:styleId="Textoindependiente2Car">
    <w:name w:val="Texto independiente 2 Car"/>
    <w:basedOn w:val="Fuentedeprrafopredeter"/>
    <w:link w:val="Textoindependiente2"/>
    <w:rsid w:val="00E4315D"/>
    <w:rPr>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FA Car"/>
    <w:link w:val="Textonotapie"/>
    <w:rsid w:val="00E4315D"/>
    <w:rPr>
      <w:lang w:val="es-ES" w:eastAsia="es-ES"/>
    </w:rPr>
  </w:style>
  <w:style w:type="paragraph" w:styleId="NormalWeb">
    <w:name w:val="Normal (Web)"/>
    <w:basedOn w:val="Normal"/>
    <w:uiPriority w:val="99"/>
    <w:unhideWhenUsed/>
    <w:rsid w:val="00E4315D"/>
    <w:pPr>
      <w:spacing w:before="100" w:beforeAutospacing="1" w:after="100" w:afterAutospacing="1"/>
    </w:pPr>
    <w:rPr>
      <w:sz w:val="24"/>
      <w:szCs w:val="24"/>
      <w:lang w:val="es-CO" w:eastAsia="es-CO"/>
    </w:rPr>
  </w:style>
  <w:style w:type="paragraph" w:styleId="Prrafodelista">
    <w:name w:val="List Paragraph"/>
    <w:basedOn w:val="Normal"/>
    <w:uiPriority w:val="34"/>
    <w:qFormat/>
    <w:rsid w:val="00E4315D"/>
    <w:pPr>
      <w:spacing w:after="200" w:line="276" w:lineRule="auto"/>
      <w:ind w:left="708"/>
    </w:pPr>
    <w:rPr>
      <w:rFonts w:ascii="Calibri" w:eastAsia="Calibri" w:hAnsi="Calibri"/>
      <w:sz w:val="22"/>
      <w:szCs w:val="22"/>
      <w:lang w:val="es-CO" w:eastAsia="en-US"/>
    </w:rPr>
  </w:style>
  <w:style w:type="character" w:customStyle="1" w:styleId="apple-converted-space">
    <w:name w:val="apple-converted-space"/>
    <w:rsid w:val="00E4315D"/>
  </w:style>
  <w:style w:type="paragraph" w:customStyle="1" w:styleId="Ttulo10">
    <w:name w:val="Título1"/>
    <w:basedOn w:val="Normal"/>
    <w:link w:val="TtuloCar"/>
    <w:rsid w:val="00E4315D"/>
    <w:pPr>
      <w:spacing w:line="360" w:lineRule="auto"/>
      <w:jc w:val="center"/>
    </w:pPr>
    <w:rPr>
      <w:rFonts w:ascii="Arial" w:hAnsi="Arial"/>
      <w:b/>
      <w:sz w:val="28"/>
      <w:lang w:val="es-ES_tradnl"/>
    </w:rPr>
  </w:style>
  <w:style w:type="character" w:customStyle="1" w:styleId="TtuloCar">
    <w:name w:val="Título Car"/>
    <w:link w:val="Ttulo10"/>
    <w:rsid w:val="00E4315D"/>
    <w:rPr>
      <w:rFonts w:ascii="Arial" w:hAnsi="Arial"/>
      <w:b/>
      <w:sz w:val="28"/>
      <w:lang w:val="es-ES_tradnl" w:eastAsia="es-ES"/>
    </w:rPr>
  </w:style>
  <w:style w:type="table" w:styleId="Tablaconcuadrcula">
    <w:name w:val="Table Grid"/>
    <w:basedOn w:val="Tablanormal"/>
    <w:rsid w:val="00E4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Footnote Text Char Char Char Char Char Car1,Ref. de nota al pie1 Car1,FA Fu Car1,texto de nota al pie Car1,Footnote Text Char Car,Footnote Text Char Char Char Char Char Char Char Char Car,ft Car"/>
    <w:rsid w:val="00E4315D"/>
    <w:rPr>
      <w:rFonts w:ascii="Arial" w:hAnsi="Arial"/>
      <w:lang w:val="es-ES_tradnl" w:eastAsia="x-none" w:bidi="ar-SA"/>
    </w:rPr>
  </w:style>
  <w:style w:type="character" w:customStyle="1" w:styleId="NormalCSJCar">
    <w:name w:val="Normal CSJ Car"/>
    <w:link w:val="NormalCSJ"/>
    <w:rsid w:val="00E4315D"/>
    <w:rPr>
      <w:rFonts w:ascii="Bookman Old Style" w:eastAsia="Calibri" w:hAnsi="Bookman Old Style"/>
      <w:sz w:val="28"/>
      <w:szCs w:val="28"/>
    </w:rPr>
  </w:style>
  <w:style w:type="paragraph" w:customStyle="1" w:styleId="NormalCSJ">
    <w:name w:val="Normal CSJ"/>
    <w:basedOn w:val="Normal"/>
    <w:link w:val="NormalCSJCar"/>
    <w:qFormat/>
    <w:rsid w:val="00E4315D"/>
    <w:pPr>
      <w:spacing w:line="360" w:lineRule="auto"/>
      <w:ind w:firstLine="709"/>
      <w:jc w:val="both"/>
    </w:pPr>
    <w:rPr>
      <w:rFonts w:ascii="Bookman Old Style" w:eastAsia="Calibri" w:hAnsi="Bookman Old Style"/>
      <w:sz w:val="28"/>
      <w:szCs w:val="28"/>
      <w:lang w:val="es-CO" w:eastAsia="es-CO"/>
    </w:rPr>
  </w:style>
  <w:style w:type="paragraph" w:customStyle="1" w:styleId="CitaExtraCSJ">
    <w:name w:val="Cita Extra CSJ"/>
    <w:basedOn w:val="Textoindependiente"/>
    <w:link w:val="CitaExtraCSJCar"/>
    <w:qFormat/>
    <w:rsid w:val="00E4315D"/>
    <w:pPr>
      <w:ind w:left="680"/>
    </w:pPr>
    <w:rPr>
      <w:rFonts w:ascii="Bookman Old Style" w:hAnsi="Bookman Old Style" w:cs="Times New Roman"/>
      <w:i/>
      <w:szCs w:val="28"/>
      <w:lang w:val="es-ES_tradnl" w:eastAsia="x-none"/>
    </w:rPr>
  </w:style>
  <w:style w:type="character" w:customStyle="1" w:styleId="CitaExtraCSJCar">
    <w:name w:val="Cita Extra CSJ Car"/>
    <w:link w:val="CitaExtraCSJ"/>
    <w:rsid w:val="00E4315D"/>
    <w:rPr>
      <w:rFonts w:ascii="Bookman Old Style" w:hAnsi="Bookman Old Style"/>
      <w:i/>
      <w:sz w:val="24"/>
      <w:szCs w:val="28"/>
      <w:lang w:val="es-ES_tradnl" w:eastAsia="x-none"/>
    </w:rPr>
  </w:style>
  <w:style w:type="character" w:customStyle="1" w:styleId="TextoindependienteCar">
    <w:name w:val="Texto independiente Car"/>
    <w:rsid w:val="00E4315D"/>
    <w:rPr>
      <w:rFonts w:ascii="Verdana" w:hAnsi="Verdana"/>
      <w:sz w:val="28"/>
    </w:rPr>
  </w:style>
  <w:style w:type="paragraph" w:customStyle="1" w:styleId="SubtituloCSJ">
    <w:name w:val="Subtitulo CSJ"/>
    <w:basedOn w:val="Ttulo2"/>
    <w:next w:val="NormalCSJ"/>
    <w:link w:val="SubtituloCSJCar"/>
    <w:qFormat/>
    <w:rsid w:val="00E4315D"/>
    <w:pPr>
      <w:keepLines/>
      <w:ind w:firstLine="709"/>
    </w:pPr>
    <w:rPr>
      <w:rFonts w:ascii="Bookman Old Style" w:hAnsi="Bookman Old Style" w:cs="Times New Roman"/>
      <w:sz w:val="28"/>
      <w:szCs w:val="26"/>
      <w:lang w:val="es-MX"/>
    </w:rPr>
  </w:style>
  <w:style w:type="character" w:customStyle="1" w:styleId="SubtituloCSJCar">
    <w:name w:val="Subtitulo CSJ Car"/>
    <w:link w:val="SubtituloCSJ"/>
    <w:rsid w:val="00E4315D"/>
    <w:rPr>
      <w:rFonts w:ascii="Bookman Old Style" w:hAnsi="Bookman Old Style"/>
      <w:b/>
      <w:sz w:val="28"/>
      <w:szCs w:val="26"/>
      <w:lang w:val="es-MX" w:eastAsia="es-ES"/>
    </w:rPr>
  </w:style>
  <w:style w:type="character" w:customStyle="1" w:styleId="Ttulo2Car">
    <w:name w:val="Título 2 Car"/>
    <w:link w:val="Ttulo2"/>
    <w:rsid w:val="00E4315D"/>
    <w:rPr>
      <w:rFonts w:ascii="Arial Narrow" w:hAnsi="Arial Narrow" w:cs="Courier New"/>
      <w:b/>
      <w:sz w:val="24"/>
      <w:lang w:val="es-ES" w:eastAsia="es-ES"/>
    </w:rPr>
  </w:style>
  <w:style w:type="paragraph" w:customStyle="1" w:styleId="TituloCSJ">
    <w:name w:val="Titulo CSJ"/>
    <w:basedOn w:val="Ttulo1"/>
    <w:link w:val="TituloCSJCar"/>
    <w:qFormat/>
    <w:rsid w:val="00E4315D"/>
    <w:pPr>
      <w:ind w:left="0" w:firstLine="0"/>
      <w:jc w:val="center"/>
    </w:pPr>
    <w:rPr>
      <w:rFonts w:ascii="Bookman Old Style" w:hAnsi="Bookman Old Style" w:cs="Times New Roman"/>
      <w:sz w:val="28"/>
      <w:szCs w:val="28"/>
      <w:lang w:val="es-ES_tradnl" w:eastAsia="x-none"/>
    </w:rPr>
  </w:style>
  <w:style w:type="character" w:customStyle="1" w:styleId="TituloCSJCar">
    <w:name w:val="Titulo CSJ Car"/>
    <w:link w:val="TituloCSJ"/>
    <w:rsid w:val="00E4315D"/>
    <w:rPr>
      <w:rFonts w:ascii="Bookman Old Style" w:hAnsi="Bookman Old Style"/>
      <w:b/>
      <w:sz w:val="28"/>
      <w:szCs w:val="28"/>
      <w:lang w:val="es-ES_tradnl" w:eastAsia="x-none"/>
    </w:rPr>
  </w:style>
  <w:style w:type="character" w:customStyle="1" w:styleId="CitaIntraCSJCar">
    <w:name w:val="Cita Intra CSJ Car"/>
    <w:link w:val="CitaIntraCSJ"/>
    <w:rsid w:val="00E4315D"/>
    <w:rPr>
      <w:rFonts w:ascii="Bookman Old Style" w:eastAsia="Calibri" w:hAnsi="Bookman Old Style"/>
      <w:bCs/>
      <w:i/>
      <w:sz w:val="24"/>
      <w:szCs w:val="24"/>
    </w:rPr>
  </w:style>
  <w:style w:type="paragraph" w:customStyle="1" w:styleId="CitaIntraCSJ">
    <w:name w:val="Cita Intra CSJ"/>
    <w:basedOn w:val="NormalCSJ"/>
    <w:link w:val="CitaIntraCSJCar"/>
    <w:qFormat/>
    <w:rsid w:val="00E4315D"/>
    <w:rPr>
      <w:bCs/>
      <w:i/>
      <w:sz w:val="24"/>
      <w:szCs w:val="24"/>
    </w:rPr>
  </w:style>
  <w:style w:type="paragraph" w:styleId="Sangra2detindependiente">
    <w:name w:val="Body Text Indent 2"/>
    <w:basedOn w:val="Normal"/>
    <w:link w:val="Sangra2detindependienteCar"/>
    <w:rsid w:val="00E4315D"/>
    <w:pPr>
      <w:spacing w:after="120" w:line="480" w:lineRule="auto"/>
      <w:ind w:left="283"/>
    </w:pPr>
  </w:style>
  <w:style w:type="character" w:customStyle="1" w:styleId="Sangra2detindependienteCar">
    <w:name w:val="Sangría 2 de t. independiente Car"/>
    <w:basedOn w:val="Fuentedeprrafopredeter"/>
    <w:link w:val="Sangra2detindependiente"/>
    <w:rsid w:val="00E4315D"/>
    <w:rPr>
      <w:lang w:val="es-ES" w:eastAsia="es-ES"/>
    </w:rPr>
  </w:style>
  <w:style w:type="paragraph" w:customStyle="1" w:styleId="Estilo">
    <w:name w:val="Estilo"/>
    <w:rsid w:val="00E4315D"/>
    <w:pPr>
      <w:widowControl w:val="0"/>
      <w:autoSpaceDE w:val="0"/>
      <w:autoSpaceDN w:val="0"/>
      <w:adjustRightInd w:val="0"/>
      <w:spacing w:before="100" w:beforeAutospacing="1" w:after="100" w:afterAutospacing="1"/>
    </w:pPr>
    <w:rPr>
      <w:rFonts w:ascii="Arial" w:hAnsi="Arial" w:cs="Arial"/>
      <w:sz w:val="24"/>
      <w:szCs w:val="24"/>
      <w:lang w:val="es-ES" w:eastAsia="es-ES"/>
    </w:rPr>
  </w:style>
  <w:style w:type="paragraph" w:styleId="Sinespaciado">
    <w:name w:val="No Spacing"/>
    <w:link w:val="SinespaciadoCar"/>
    <w:uiPriority w:val="1"/>
    <w:qFormat/>
    <w:rsid w:val="00E4315D"/>
    <w:rPr>
      <w:rFonts w:ascii="Calibri" w:eastAsia="Calibri" w:hAnsi="Calibri"/>
      <w:sz w:val="22"/>
      <w:szCs w:val="22"/>
      <w:lang w:eastAsia="en-US"/>
    </w:rPr>
  </w:style>
  <w:style w:type="character" w:customStyle="1" w:styleId="FontStyle21">
    <w:name w:val="Font Style21"/>
    <w:uiPriority w:val="99"/>
    <w:rsid w:val="00E4315D"/>
    <w:rPr>
      <w:rFonts w:ascii="Arial" w:hAnsi="Arial" w:cs="Arial"/>
      <w:sz w:val="22"/>
      <w:szCs w:val="22"/>
    </w:rPr>
  </w:style>
  <w:style w:type="paragraph" w:customStyle="1" w:styleId="NotaalpieCSJ">
    <w:name w:val="Nota al pie CSJ"/>
    <w:basedOn w:val="NormalCSJ"/>
    <w:link w:val="NotaalpieCSJCar"/>
    <w:qFormat/>
    <w:rsid w:val="00E4315D"/>
    <w:pPr>
      <w:spacing w:line="240" w:lineRule="auto"/>
      <w:ind w:firstLine="0"/>
    </w:pPr>
  </w:style>
  <w:style w:type="character" w:customStyle="1" w:styleId="NotaalpieCSJCar">
    <w:name w:val="Nota al pie CSJ Car"/>
    <w:link w:val="NotaalpieCSJ"/>
    <w:rsid w:val="00E4315D"/>
    <w:rPr>
      <w:rFonts w:ascii="Bookman Old Style" w:eastAsia="Calibri" w:hAnsi="Bookman Old Style"/>
      <w:sz w:val="28"/>
      <w:szCs w:val="28"/>
    </w:rPr>
  </w:style>
  <w:style w:type="paragraph" w:customStyle="1" w:styleId="Refdenotaalpie2">
    <w:name w:val="Ref. de nota al pie2"/>
    <w:aliases w:val="Nota de pie,Pie de pagina"/>
    <w:basedOn w:val="Normal"/>
    <w:link w:val="Refdenotaalpie"/>
    <w:rsid w:val="00E4315D"/>
    <w:pPr>
      <w:spacing w:after="160" w:line="240" w:lineRule="exact"/>
    </w:pPr>
    <w:rPr>
      <w:vertAlign w:val="superscript"/>
      <w:lang w:val="es-CO" w:eastAsia="es-CO"/>
    </w:rPr>
  </w:style>
  <w:style w:type="character" w:styleId="nfasissutil">
    <w:name w:val="Subtle Emphasis"/>
    <w:basedOn w:val="Fuentedeprrafopredeter"/>
    <w:uiPriority w:val="19"/>
    <w:qFormat/>
    <w:rsid w:val="00E4315D"/>
    <w:rPr>
      <w:i/>
      <w:iCs/>
      <w:color w:val="404040" w:themeColor="text1" w:themeTint="BF"/>
    </w:rPr>
  </w:style>
  <w:style w:type="paragraph" w:styleId="Textoindependienteprimerasangra">
    <w:name w:val="Body Text First Indent"/>
    <w:basedOn w:val="Textoindependiente"/>
    <w:link w:val="TextoindependienteprimerasangraCar"/>
    <w:rsid w:val="00E4315D"/>
    <w:pPr>
      <w:spacing w:line="240" w:lineRule="auto"/>
      <w:ind w:firstLine="360"/>
      <w:jc w:val="left"/>
    </w:pPr>
    <w:rPr>
      <w:rFonts w:ascii="Times New Roman" w:hAnsi="Times New Roman" w:cs="Times New Roman"/>
      <w:szCs w:val="24"/>
      <w:lang w:val="es-ES"/>
    </w:rPr>
  </w:style>
  <w:style w:type="character" w:customStyle="1" w:styleId="TextoindependienteCar1">
    <w:name w:val="Texto independiente Car1"/>
    <w:basedOn w:val="Fuentedeprrafopredeter"/>
    <w:link w:val="Textoindependiente"/>
    <w:rsid w:val="00E4315D"/>
    <w:rPr>
      <w:rFonts w:ascii="Courier New" w:hAnsi="Courier New" w:cs="Courier New"/>
      <w:sz w:val="24"/>
      <w:lang w:val="es-MX" w:eastAsia="es-ES"/>
    </w:rPr>
  </w:style>
  <w:style w:type="character" w:customStyle="1" w:styleId="TextoindependienteprimerasangraCar">
    <w:name w:val="Texto independiente primera sangría Car"/>
    <w:basedOn w:val="TextoindependienteCar1"/>
    <w:link w:val="Textoindependienteprimerasangra"/>
    <w:rsid w:val="00E4315D"/>
    <w:rPr>
      <w:rFonts w:ascii="Courier New" w:hAnsi="Courier New" w:cs="Courier New"/>
      <w:sz w:val="24"/>
      <w:szCs w:val="24"/>
      <w:lang w:val="es-ES" w:eastAsia="es-ES"/>
    </w:rPr>
  </w:style>
  <w:style w:type="paragraph" w:customStyle="1" w:styleId="ParrafoCSJ">
    <w:name w:val="Parrafo # CSJ"/>
    <w:basedOn w:val="Ttulo3"/>
    <w:next w:val="NormalCSJ"/>
    <w:link w:val="ParrafoCSJCar"/>
    <w:qFormat/>
    <w:rsid w:val="00E4315D"/>
    <w:pPr>
      <w:spacing w:before="0" w:line="360" w:lineRule="auto"/>
      <w:ind w:firstLine="709"/>
      <w:jc w:val="both"/>
    </w:pPr>
    <w:rPr>
      <w:rFonts w:ascii="Bookman Old Style" w:eastAsiaTheme="majorEastAsia" w:hAnsi="Bookman Old Style" w:cstheme="majorBidi"/>
      <w:color w:val="auto"/>
      <w:sz w:val="28"/>
      <w:lang w:val="es-MX"/>
    </w:rPr>
  </w:style>
  <w:style w:type="character" w:customStyle="1" w:styleId="ParrafoCSJCar">
    <w:name w:val="Parrafo # CSJ Car"/>
    <w:basedOn w:val="Ttulo2Car"/>
    <w:link w:val="ParrafoCSJ"/>
    <w:rsid w:val="00E4315D"/>
    <w:rPr>
      <w:rFonts w:ascii="Bookman Old Style" w:eastAsiaTheme="majorEastAsia" w:hAnsi="Bookman Old Style" w:cstheme="majorBidi"/>
      <w:b w:val="0"/>
      <w:sz w:val="28"/>
      <w:szCs w:val="24"/>
      <w:lang w:val="es-MX" w:eastAsia="es-ES"/>
    </w:rPr>
  </w:style>
  <w:style w:type="paragraph" w:customStyle="1" w:styleId="DIEZ">
    <w:name w:val="DIEZ"/>
    <w:rsid w:val="00887415"/>
    <w:pPr>
      <w:autoSpaceDE w:val="0"/>
      <w:autoSpaceDN w:val="0"/>
      <w:spacing w:after="74" w:line="220" w:lineRule="atLeast"/>
      <w:ind w:firstLine="159"/>
      <w:jc w:val="both"/>
    </w:pPr>
    <w:rPr>
      <w:rFonts w:ascii="Helvetica" w:hAnsi="Helvetica"/>
      <w:sz w:val="24"/>
      <w:lang w:val="en-US" w:eastAsia="es-ES"/>
    </w:rPr>
  </w:style>
  <w:style w:type="paragraph" w:styleId="Listaconnmeros">
    <w:name w:val="List Number"/>
    <w:basedOn w:val="Normal"/>
    <w:link w:val="ListaconnmerosCar"/>
    <w:uiPriority w:val="99"/>
    <w:semiHidden/>
    <w:unhideWhenUsed/>
    <w:rsid w:val="00554664"/>
    <w:pPr>
      <w:widowControl w:val="0"/>
      <w:numPr>
        <w:numId w:val="18"/>
      </w:numPr>
      <w:spacing w:line="360" w:lineRule="auto"/>
      <w:contextualSpacing/>
      <w:jc w:val="both"/>
    </w:pPr>
    <w:rPr>
      <w:rFonts w:ascii="Bookman Old Style" w:hAnsi="Bookman Old Style"/>
      <w:sz w:val="28"/>
      <w:szCs w:val="24"/>
    </w:rPr>
  </w:style>
  <w:style w:type="paragraph" w:styleId="Ttulo">
    <w:name w:val="Title"/>
    <w:basedOn w:val="Normal"/>
    <w:next w:val="Normal"/>
    <w:qFormat/>
    <w:rsid w:val="00554664"/>
    <w:pPr>
      <w:widowControl w:val="0"/>
      <w:spacing w:line="360" w:lineRule="auto"/>
      <w:contextualSpacing/>
      <w:jc w:val="center"/>
      <w:outlineLvl w:val="0"/>
    </w:pPr>
    <w:rPr>
      <w:rFonts w:ascii="Bookman Old Style" w:hAnsi="Bookman Old Style"/>
      <w:bCs/>
      <w:kern w:val="28"/>
      <w:sz w:val="28"/>
      <w:szCs w:val="32"/>
    </w:rPr>
  </w:style>
  <w:style w:type="character" w:customStyle="1" w:styleId="TtuloCar1">
    <w:name w:val="Título Car1"/>
    <w:basedOn w:val="Fuentedeprrafopredeter"/>
    <w:uiPriority w:val="10"/>
    <w:rsid w:val="00554664"/>
    <w:rPr>
      <w:rFonts w:asciiTheme="majorHAnsi" w:eastAsiaTheme="majorEastAsia" w:hAnsiTheme="majorHAnsi" w:cstheme="majorBidi"/>
      <w:spacing w:val="-10"/>
      <w:kern w:val="28"/>
      <w:sz w:val="56"/>
      <w:szCs w:val="56"/>
      <w:lang w:val="es-ES" w:eastAsia="es-ES"/>
    </w:rPr>
  </w:style>
  <w:style w:type="character" w:customStyle="1" w:styleId="ListaconnmerosCar">
    <w:name w:val="Lista con números Car"/>
    <w:link w:val="Listaconnmeros"/>
    <w:uiPriority w:val="99"/>
    <w:semiHidden/>
    <w:rsid w:val="00554664"/>
    <w:rPr>
      <w:rFonts w:ascii="Bookman Old Style" w:hAnsi="Bookman Old Style"/>
      <w:sz w:val="28"/>
      <w:szCs w:val="24"/>
      <w:lang w:val="es-ES" w:eastAsia="es-ES"/>
    </w:rPr>
  </w:style>
  <w:style w:type="character" w:customStyle="1" w:styleId="SinespaciadoCar">
    <w:name w:val="Sin espaciado Car"/>
    <w:link w:val="Sinespaciado"/>
    <w:uiPriority w:val="1"/>
    <w:locked/>
    <w:rsid w:val="009E28D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1" ma:contentTypeDescription="Crear nuevo documento." ma:contentTypeScope="" ma:versionID="c721996b405742483327067c3656c707">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17b575e4ce7bab19662f5dbb26cace48"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D8B7-2B06-4E32-80E1-22559A6246F4}">
  <ds:schemaRefs>
    <ds:schemaRef ds:uri="http://schemas.microsoft.com/sharepoint/v3/contenttype/forms"/>
  </ds:schemaRefs>
</ds:datastoreItem>
</file>

<file path=customXml/itemProps2.xml><?xml version="1.0" encoding="utf-8"?>
<ds:datastoreItem xmlns:ds="http://schemas.openxmlformats.org/officeDocument/2006/customXml" ds:itemID="{404D6B3B-6D6A-4F0D-B4E9-07B22330C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ACD1C-1FC2-4B15-B38D-38AD67158E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DB81FF-E1EE-4C49-BB13-166F69EA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2159</Words>
  <Characters>11878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7</cp:revision>
  <cp:lastPrinted>2004-02-05T10:59:00Z</cp:lastPrinted>
  <dcterms:created xsi:type="dcterms:W3CDTF">2021-12-16T16:10:00Z</dcterms:created>
  <dcterms:modified xsi:type="dcterms:W3CDTF">2022-03-02T15:46:00Z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