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9E61" w14:textId="77777777" w:rsidR="00E674BD" w:rsidRPr="008A290B" w:rsidRDefault="00E674BD" w:rsidP="00E674B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F9D4D8" w14:textId="02D91267" w:rsidR="00E674BD" w:rsidRDefault="00E674BD" w:rsidP="00E674BD">
      <w:pPr>
        <w:jc w:val="both"/>
        <w:rPr>
          <w:rFonts w:ascii="Arial" w:hAnsi="Arial" w:cs="Arial"/>
          <w:lang w:val="es-419"/>
        </w:rPr>
      </w:pPr>
    </w:p>
    <w:p w14:paraId="49D8D05F" w14:textId="7ED9F057" w:rsidR="004657AE" w:rsidRPr="004657AE" w:rsidRDefault="004657AE" w:rsidP="004657AE">
      <w:pPr>
        <w:jc w:val="both"/>
        <w:rPr>
          <w:rFonts w:ascii="Arial" w:hAnsi="Arial" w:cs="Arial"/>
          <w:lang w:val="es-419"/>
        </w:rPr>
      </w:pPr>
      <w:r w:rsidRPr="004657AE">
        <w:rPr>
          <w:rFonts w:ascii="Arial" w:hAnsi="Arial" w:cs="Arial"/>
          <w:lang w:val="es-419"/>
        </w:rPr>
        <w:t>Expediente</w:t>
      </w:r>
      <w:r>
        <w:rPr>
          <w:rFonts w:ascii="Arial" w:hAnsi="Arial" w:cs="Arial"/>
          <w:lang w:val="es-419"/>
        </w:rPr>
        <w:t>:</w:t>
      </w:r>
      <w:r>
        <w:rPr>
          <w:rFonts w:ascii="Arial" w:hAnsi="Arial" w:cs="Arial"/>
          <w:lang w:val="es-419"/>
        </w:rPr>
        <w:tab/>
      </w:r>
      <w:r w:rsidRPr="004657AE">
        <w:rPr>
          <w:rFonts w:ascii="Arial" w:hAnsi="Arial" w:cs="Arial"/>
          <w:lang w:val="es-419"/>
        </w:rPr>
        <w:t>66001310300320170035302</w:t>
      </w:r>
    </w:p>
    <w:p w14:paraId="1DBEBBDC" w14:textId="6DED7E05" w:rsidR="004657AE" w:rsidRPr="004657AE" w:rsidRDefault="004657AE" w:rsidP="004657AE">
      <w:pPr>
        <w:jc w:val="both"/>
        <w:rPr>
          <w:rFonts w:ascii="Arial" w:hAnsi="Arial" w:cs="Arial"/>
          <w:lang w:val="es-419"/>
        </w:rPr>
      </w:pPr>
      <w:r w:rsidRPr="004657AE">
        <w:rPr>
          <w:rFonts w:ascii="Arial" w:hAnsi="Arial" w:cs="Arial"/>
          <w:lang w:val="es-419"/>
        </w:rPr>
        <w:t>Asunto:</w:t>
      </w:r>
      <w:r>
        <w:rPr>
          <w:rFonts w:ascii="Arial" w:hAnsi="Arial" w:cs="Arial"/>
          <w:lang w:val="es-419"/>
        </w:rPr>
        <w:tab/>
      </w:r>
      <w:r>
        <w:rPr>
          <w:rFonts w:ascii="Arial" w:hAnsi="Arial" w:cs="Arial"/>
          <w:lang w:val="es-419"/>
        </w:rPr>
        <w:tab/>
      </w:r>
      <w:r w:rsidRPr="004657AE">
        <w:rPr>
          <w:rFonts w:ascii="Arial" w:hAnsi="Arial" w:cs="Arial"/>
          <w:lang w:val="es-419"/>
        </w:rPr>
        <w:t xml:space="preserve">Levantamiento de medidas </w:t>
      </w:r>
    </w:p>
    <w:p w14:paraId="39399740" w14:textId="21607BB0" w:rsidR="004657AE" w:rsidRPr="004657AE" w:rsidRDefault="004657AE" w:rsidP="004657AE">
      <w:pPr>
        <w:jc w:val="both"/>
        <w:rPr>
          <w:rFonts w:ascii="Arial" w:hAnsi="Arial" w:cs="Arial"/>
          <w:lang w:val="es-419"/>
        </w:rPr>
      </w:pPr>
      <w:r w:rsidRPr="004657AE">
        <w:rPr>
          <w:rFonts w:ascii="Arial" w:hAnsi="Arial" w:cs="Arial"/>
          <w:lang w:val="es-419"/>
        </w:rPr>
        <w:t>Demandante:</w:t>
      </w:r>
      <w:r>
        <w:rPr>
          <w:rFonts w:ascii="Arial" w:hAnsi="Arial" w:cs="Arial"/>
          <w:lang w:val="es-419"/>
        </w:rPr>
        <w:tab/>
      </w:r>
      <w:proofErr w:type="spellStart"/>
      <w:r w:rsidRPr="004657AE">
        <w:rPr>
          <w:rFonts w:ascii="Arial" w:hAnsi="Arial" w:cs="Arial"/>
          <w:lang w:val="es-419"/>
        </w:rPr>
        <w:t>Jhon</w:t>
      </w:r>
      <w:proofErr w:type="spellEnd"/>
      <w:r w:rsidRPr="004657AE">
        <w:rPr>
          <w:rFonts w:ascii="Arial" w:hAnsi="Arial" w:cs="Arial"/>
          <w:lang w:val="es-419"/>
        </w:rPr>
        <w:t xml:space="preserve"> Edison Loaiza Batero y otros</w:t>
      </w:r>
    </w:p>
    <w:p w14:paraId="5CA39DD5" w14:textId="796291AB" w:rsidR="00E674BD" w:rsidRDefault="004657AE" w:rsidP="004657AE">
      <w:pPr>
        <w:jc w:val="both"/>
        <w:rPr>
          <w:rFonts w:ascii="Arial" w:hAnsi="Arial" w:cs="Arial"/>
          <w:lang w:val="es-419"/>
        </w:rPr>
      </w:pPr>
      <w:r w:rsidRPr="004657AE">
        <w:rPr>
          <w:rFonts w:ascii="Arial" w:hAnsi="Arial" w:cs="Arial"/>
          <w:lang w:val="es-419"/>
        </w:rPr>
        <w:t>Demandado:</w:t>
      </w:r>
      <w:r>
        <w:rPr>
          <w:rFonts w:ascii="Arial" w:hAnsi="Arial" w:cs="Arial"/>
          <w:lang w:val="es-419"/>
        </w:rPr>
        <w:tab/>
      </w:r>
      <w:r w:rsidRPr="004657AE">
        <w:rPr>
          <w:rFonts w:ascii="Arial" w:hAnsi="Arial" w:cs="Arial"/>
          <w:lang w:val="es-419"/>
        </w:rPr>
        <w:t>Liberty Seguros S.A. y otros</w:t>
      </w:r>
    </w:p>
    <w:p w14:paraId="2DCC7BEC" w14:textId="77777777" w:rsidR="00E674BD" w:rsidRDefault="00E674BD" w:rsidP="00E674BD">
      <w:pPr>
        <w:jc w:val="both"/>
        <w:rPr>
          <w:rFonts w:ascii="Arial" w:hAnsi="Arial" w:cs="Arial"/>
          <w:lang w:val="es-419"/>
        </w:rPr>
      </w:pPr>
    </w:p>
    <w:p w14:paraId="386721A2" w14:textId="45DEAC86" w:rsidR="00E674BD" w:rsidRPr="00E32969" w:rsidRDefault="00E674BD" w:rsidP="00E674B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B40A84">
        <w:rPr>
          <w:rFonts w:ascii="Arial" w:hAnsi="Arial" w:cs="Arial"/>
          <w:b/>
          <w:bCs/>
          <w:iCs/>
          <w:sz w:val="20"/>
          <w:szCs w:val="20"/>
          <w:lang w:val="es-419" w:eastAsia="fr-FR"/>
        </w:rPr>
        <w:t xml:space="preserve">MEDIDAS CAUTELARES / EN PROCESO DECLARATIVO </w:t>
      </w:r>
      <w:r w:rsidRPr="00E32969">
        <w:rPr>
          <w:rFonts w:ascii="Arial" w:hAnsi="Arial" w:cs="Arial"/>
          <w:b/>
          <w:bCs/>
          <w:iCs/>
          <w:sz w:val="20"/>
          <w:szCs w:val="20"/>
          <w:lang w:val="es-419" w:eastAsia="fr-FR"/>
        </w:rPr>
        <w:t xml:space="preserve">/ </w:t>
      </w:r>
      <w:r w:rsidR="00B40A84">
        <w:rPr>
          <w:rFonts w:ascii="Arial" w:hAnsi="Arial" w:cs="Arial"/>
          <w:b/>
          <w:bCs/>
          <w:iCs/>
          <w:sz w:val="20"/>
          <w:szCs w:val="20"/>
          <w:lang w:val="es-419" w:eastAsia="fr-FR"/>
        </w:rPr>
        <w:t>PROCEDE</w:t>
      </w:r>
      <w:r w:rsidR="008C2C72">
        <w:rPr>
          <w:rFonts w:ascii="Arial" w:hAnsi="Arial" w:cs="Arial"/>
          <w:b/>
          <w:bCs/>
          <w:iCs/>
          <w:sz w:val="20"/>
          <w:szCs w:val="20"/>
          <w:lang w:val="es-419" w:eastAsia="fr-FR"/>
        </w:rPr>
        <w:t>N</w:t>
      </w:r>
      <w:r w:rsidR="00B40A84">
        <w:rPr>
          <w:rFonts w:ascii="Arial" w:hAnsi="Arial" w:cs="Arial"/>
          <w:b/>
          <w:bCs/>
          <w:iCs/>
          <w:sz w:val="20"/>
          <w:szCs w:val="20"/>
          <w:lang w:val="es-419" w:eastAsia="fr-FR"/>
        </w:rPr>
        <w:t xml:space="preserve"> SI HAY SENTENCIA FAVORABLE / PERO QUEDA</w:t>
      </w:r>
      <w:r w:rsidR="008C2C72">
        <w:rPr>
          <w:rFonts w:ascii="Arial" w:hAnsi="Arial" w:cs="Arial"/>
          <w:b/>
          <w:bCs/>
          <w:iCs/>
          <w:sz w:val="20"/>
          <w:szCs w:val="20"/>
          <w:lang w:val="es-419" w:eastAsia="fr-FR"/>
        </w:rPr>
        <w:t>N</w:t>
      </w:r>
      <w:r w:rsidR="00B40A84">
        <w:rPr>
          <w:rFonts w:ascii="Arial" w:hAnsi="Arial" w:cs="Arial"/>
          <w:b/>
          <w:bCs/>
          <w:iCs/>
          <w:sz w:val="20"/>
          <w:szCs w:val="20"/>
          <w:lang w:val="es-419" w:eastAsia="fr-FR"/>
        </w:rPr>
        <w:t xml:space="preserve"> CONDICIONADA</w:t>
      </w:r>
      <w:r w:rsidR="008C2C72">
        <w:rPr>
          <w:rFonts w:ascii="Arial" w:hAnsi="Arial" w:cs="Arial"/>
          <w:b/>
          <w:bCs/>
          <w:iCs/>
          <w:sz w:val="20"/>
          <w:szCs w:val="20"/>
          <w:lang w:val="es-419" w:eastAsia="fr-FR"/>
        </w:rPr>
        <w:t>S</w:t>
      </w:r>
      <w:r w:rsidR="00B40A84">
        <w:rPr>
          <w:rFonts w:ascii="Arial" w:hAnsi="Arial" w:cs="Arial"/>
          <w:b/>
          <w:bCs/>
          <w:iCs/>
          <w:sz w:val="20"/>
          <w:szCs w:val="20"/>
          <w:lang w:val="es-419" w:eastAsia="fr-FR"/>
        </w:rPr>
        <w:t xml:space="preserve"> A LA PROMOCIÓN DEL EJECUTIVO EN EL TÉRMINO DEL ARTÍCULO 306 DEL CÓDIGO GENERAL DEL PROCESO.</w:t>
      </w:r>
    </w:p>
    <w:p w14:paraId="67822269" w14:textId="77777777" w:rsidR="00E674BD" w:rsidRPr="00E32969" w:rsidRDefault="00E674BD" w:rsidP="00E674BD">
      <w:pPr>
        <w:jc w:val="both"/>
        <w:rPr>
          <w:rFonts w:ascii="Arial" w:hAnsi="Arial" w:cs="Arial"/>
          <w:lang w:val="es-419"/>
        </w:rPr>
      </w:pPr>
    </w:p>
    <w:p w14:paraId="066EF8D4" w14:textId="2B970EF0" w:rsidR="00E674BD" w:rsidRPr="00E32969" w:rsidRDefault="001A4A08" w:rsidP="00E674BD">
      <w:pPr>
        <w:jc w:val="both"/>
        <w:rPr>
          <w:rFonts w:ascii="Arial" w:hAnsi="Arial" w:cs="Arial"/>
          <w:lang w:val="es-419"/>
        </w:rPr>
      </w:pPr>
      <w:r w:rsidRPr="001A4A08">
        <w:rPr>
          <w:rFonts w:ascii="Arial" w:hAnsi="Arial" w:cs="Arial"/>
          <w:lang w:val="es-419"/>
        </w:rPr>
        <w:t>Establece el literal b) del artículo 590 del CGP, que en los procesos declarativos, y en particular aquellos en los que se persiga el pago de perjuicios derivados de una responsabilidad contractual o extracontractual, cuando la sentencia sea favorable al demandante, este puede solicitar el embargo y secuestro de los bienes que hubieren sido afectados previamente con inscripción de la demanda, o bien de los que se denuncien como de propiedad del demandado</w:t>
      </w:r>
      <w:r>
        <w:rPr>
          <w:rFonts w:ascii="Arial" w:hAnsi="Arial" w:cs="Arial"/>
          <w:lang w:val="es-419"/>
        </w:rPr>
        <w:t>…</w:t>
      </w:r>
    </w:p>
    <w:p w14:paraId="6A4C98F5" w14:textId="77777777" w:rsidR="00E674BD" w:rsidRPr="00E32969" w:rsidRDefault="00E674BD" w:rsidP="00E674BD">
      <w:pPr>
        <w:jc w:val="both"/>
        <w:rPr>
          <w:rFonts w:ascii="Arial" w:hAnsi="Arial" w:cs="Arial"/>
          <w:lang w:val="es-419"/>
        </w:rPr>
      </w:pPr>
    </w:p>
    <w:p w14:paraId="1794D4D6" w14:textId="5D7C5942" w:rsidR="00E674BD" w:rsidRDefault="00452FDC" w:rsidP="00E674BD">
      <w:pPr>
        <w:jc w:val="both"/>
        <w:rPr>
          <w:rFonts w:ascii="Arial" w:hAnsi="Arial" w:cs="Arial"/>
          <w:lang w:val="es-419"/>
        </w:rPr>
      </w:pPr>
      <w:r>
        <w:rPr>
          <w:rFonts w:ascii="Arial" w:hAnsi="Arial" w:cs="Arial"/>
          <w:lang w:val="es-419"/>
        </w:rPr>
        <w:t xml:space="preserve">… </w:t>
      </w:r>
      <w:r w:rsidRPr="00452FDC">
        <w:rPr>
          <w:rFonts w:ascii="Arial" w:hAnsi="Arial" w:cs="Arial"/>
          <w:lang w:val="es-419"/>
        </w:rPr>
        <w:t>la parte demandante, favorecida con la sentencia en el proceso declarativo, no solicitó que se librara la orden ejecutiva para hacer efectiva la condena; solo se concentró en la medida de embargo y secuestro de un automotor</w:t>
      </w:r>
      <w:r w:rsidR="0018126C" w:rsidRPr="0018126C">
        <w:rPr>
          <w:rFonts w:ascii="Arial" w:hAnsi="Arial" w:cs="Arial"/>
          <w:lang w:val="es-419"/>
        </w:rPr>
        <w:t>, que resultaba viable, y muy a pesar de lo que se sostiene en el recurso, en los términos del inciso segundo del literal b) del artículo 590 del CGP</w:t>
      </w:r>
      <w:r>
        <w:rPr>
          <w:rFonts w:ascii="Arial" w:hAnsi="Arial" w:cs="Arial"/>
          <w:lang w:val="es-419"/>
        </w:rPr>
        <w:t>…</w:t>
      </w:r>
    </w:p>
    <w:p w14:paraId="43B5C373" w14:textId="77777777" w:rsidR="00E674BD" w:rsidRDefault="00E674BD" w:rsidP="00E674BD">
      <w:pPr>
        <w:jc w:val="both"/>
        <w:rPr>
          <w:rFonts w:ascii="Arial" w:hAnsi="Arial" w:cs="Arial"/>
          <w:lang w:val="es-419"/>
        </w:rPr>
      </w:pPr>
    </w:p>
    <w:p w14:paraId="2F17E4FA" w14:textId="453D053E" w:rsidR="00E674BD" w:rsidRPr="00E32969" w:rsidRDefault="0018126C" w:rsidP="00E674BD">
      <w:pPr>
        <w:jc w:val="both"/>
        <w:rPr>
          <w:rFonts w:ascii="Arial" w:hAnsi="Arial" w:cs="Arial"/>
          <w:lang w:val="es-419"/>
        </w:rPr>
      </w:pPr>
      <w:r>
        <w:rPr>
          <w:rFonts w:ascii="Arial" w:hAnsi="Arial" w:cs="Arial"/>
          <w:lang w:val="es-419"/>
        </w:rPr>
        <w:t xml:space="preserve">… </w:t>
      </w:r>
      <w:r w:rsidRPr="0018126C">
        <w:rPr>
          <w:rFonts w:ascii="Arial" w:hAnsi="Arial" w:cs="Arial"/>
          <w:lang w:val="es-419"/>
        </w:rPr>
        <w:t>como no solicitó el mandamiento ejecutivo en la oportunidad señalada por el artículo 306 del mismo estatuto, no quedaba alternativa diferente para el Juzgado que la de proceder al levantamiento de las medidas</w:t>
      </w:r>
      <w:r>
        <w:rPr>
          <w:rFonts w:ascii="Arial" w:hAnsi="Arial" w:cs="Arial"/>
          <w:lang w:val="es-419"/>
        </w:rPr>
        <w:t>…</w:t>
      </w:r>
    </w:p>
    <w:p w14:paraId="42B80843" w14:textId="68F53983" w:rsidR="00E674BD" w:rsidRDefault="00E674BD" w:rsidP="00E674BD">
      <w:pPr>
        <w:jc w:val="both"/>
        <w:rPr>
          <w:rFonts w:ascii="Arial" w:hAnsi="Arial" w:cs="Arial"/>
        </w:rPr>
      </w:pPr>
    </w:p>
    <w:p w14:paraId="22AC4004" w14:textId="0F066806" w:rsidR="00AB25FC" w:rsidRDefault="00AB25FC" w:rsidP="00E674BD">
      <w:pPr>
        <w:jc w:val="both"/>
        <w:rPr>
          <w:rFonts w:ascii="Arial" w:hAnsi="Arial" w:cs="Arial"/>
        </w:rPr>
      </w:pPr>
      <w:r>
        <w:rPr>
          <w:rFonts w:ascii="Arial" w:hAnsi="Arial" w:cs="Arial"/>
        </w:rPr>
        <w:t xml:space="preserve">… </w:t>
      </w:r>
      <w:r w:rsidRPr="00AB25FC">
        <w:rPr>
          <w:rFonts w:ascii="Arial" w:hAnsi="Arial" w:cs="Arial"/>
        </w:rPr>
        <w:t>es obvio que el levantamiento de la medida se imponía por sí solo, dado que para cuando se ordenó, los accionantes no habían solicitado que se iniciara la ejecución a continuación del declarativo; solo vinieron a hacerlo en el mes de marzo de 2021, y sería a partir de allí, como prevé el artículo 599 del CGP, que se abriría paso esa petición.</w:t>
      </w:r>
    </w:p>
    <w:p w14:paraId="100FD281" w14:textId="4A0B47EC" w:rsidR="00AB25FC" w:rsidRDefault="00AB25FC" w:rsidP="00E674BD">
      <w:pPr>
        <w:jc w:val="both"/>
        <w:rPr>
          <w:rFonts w:ascii="Arial" w:hAnsi="Arial" w:cs="Arial"/>
        </w:rPr>
      </w:pPr>
    </w:p>
    <w:p w14:paraId="2DD31741" w14:textId="7A72CE61" w:rsidR="00AB25FC" w:rsidRDefault="0099045E" w:rsidP="00E674BD">
      <w:pPr>
        <w:jc w:val="both"/>
        <w:rPr>
          <w:rFonts w:ascii="Arial" w:hAnsi="Arial" w:cs="Arial"/>
        </w:rPr>
      </w:pPr>
      <w:r>
        <w:rPr>
          <w:rFonts w:ascii="Arial" w:hAnsi="Arial" w:cs="Arial"/>
        </w:rPr>
        <w:t xml:space="preserve">… </w:t>
      </w:r>
      <w:r w:rsidRPr="0099045E">
        <w:rPr>
          <w:rFonts w:ascii="Arial" w:hAnsi="Arial" w:cs="Arial"/>
        </w:rPr>
        <w:t>salvo los casos contemplados en el artículo 590</w:t>
      </w:r>
      <w:r w:rsidR="00227269">
        <w:rPr>
          <w:rFonts w:ascii="Arial" w:hAnsi="Arial" w:cs="Arial"/>
        </w:rPr>
        <w:t>…</w:t>
      </w:r>
      <w:r w:rsidRPr="0099045E">
        <w:rPr>
          <w:rFonts w:ascii="Arial" w:hAnsi="Arial" w:cs="Arial"/>
        </w:rPr>
        <w:t>, para que esa obligación dineraria se cumpla coercitivamente, es menester</w:t>
      </w:r>
      <w:r w:rsidR="00227269">
        <w:rPr>
          <w:rFonts w:ascii="Arial" w:hAnsi="Arial" w:cs="Arial"/>
        </w:rPr>
        <w:t>…</w:t>
      </w:r>
      <w:r w:rsidRPr="0099045E">
        <w:rPr>
          <w:rFonts w:ascii="Arial" w:hAnsi="Arial" w:cs="Arial"/>
        </w:rPr>
        <w:t xml:space="preserve"> que el juez libre una orden de pago, acompañada de las medidas de embargo y secuestro sobre bienes del deudor. Pero esa no es la cuestión que aquí se debate. Justamente, es por eso que el parágrafo mentado señala que si no se inicia en tiempo la ejecución, tienen que ser levantadas las cautelas que en el declarativo se hayan ordenado.</w:t>
      </w:r>
    </w:p>
    <w:p w14:paraId="2921CA15" w14:textId="77777777" w:rsidR="00E674BD" w:rsidRDefault="00E674BD" w:rsidP="00E674BD">
      <w:pPr>
        <w:jc w:val="both"/>
        <w:rPr>
          <w:rFonts w:ascii="Arial" w:hAnsi="Arial" w:cs="Arial"/>
        </w:rPr>
      </w:pPr>
    </w:p>
    <w:p w14:paraId="10525602" w14:textId="27DEC907" w:rsidR="00E674BD" w:rsidRDefault="00E674BD" w:rsidP="00E674BD">
      <w:pPr>
        <w:jc w:val="both"/>
        <w:rPr>
          <w:rFonts w:ascii="Arial" w:hAnsi="Arial" w:cs="Arial"/>
        </w:rPr>
      </w:pPr>
    </w:p>
    <w:p w14:paraId="28D2E5B0" w14:textId="77777777" w:rsidR="0099045E" w:rsidRDefault="0099045E" w:rsidP="00E674BD">
      <w:pPr>
        <w:jc w:val="both"/>
        <w:rPr>
          <w:rFonts w:ascii="Arial" w:hAnsi="Arial" w:cs="Arial"/>
        </w:rPr>
      </w:pPr>
    </w:p>
    <w:bookmarkEnd w:id="0"/>
    <w:p w14:paraId="71597F9F" w14:textId="77777777" w:rsidR="00EF764C" w:rsidRPr="005562FC" w:rsidRDefault="00931612" w:rsidP="005562FC">
      <w:pPr>
        <w:spacing w:line="276" w:lineRule="auto"/>
        <w:ind w:firstLine="1701"/>
        <w:jc w:val="both"/>
        <w:rPr>
          <w:rFonts w:ascii="Gadugi" w:hAnsi="Gadugi" w:cs="Courier New"/>
          <w:b/>
          <w:sz w:val="24"/>
          <w:szCs w:val="24"/>
          <w:lang w:val="es-MX"/>
        </w:rPr>
      </w:pPr>
      <w:r w:rsidRPr="005562FC">
        <w:rPr>
          <w:rFonts w:ascii="Gadugi" w:hAnsi="Gadugi" w:cs="Courier New"/>
          <w:b/>
          <w:sz w:val="24"/>
          <w:szCs w:val="24"/>
          <w:lang w:val="es-MX"/>
        </w:rPr>
        <w:t>TRIBUNAL SUPERIOR DEL DISTRITO JUDICIAL</w:t>
      </w:r>
    </w:p>
    <w:p w14:paraId="1181EC54" w14:textId="77777777" w:rsidR="00EF764C" w:rsidRPr="005562FC" w:rsidRDefault="00931612" w:rsidP="005562FC">
      <w:pPr>
        <w:spacing w:line="276" w:lineRule="auto"/>
        <w:ind w:firstLine="1701"/>
        <w:jc w:val="both"/>
        <w:rPr>
          <w:rFonts w:ascii="Gadugi" w:hAnsi="Gadugi" w:cs="Courier New"/>
          <w:b/>
          <w:sz w:val="24"/>
          <w:szCs w:val="24"/>
          <w:lang w:val="es-MX"/>
        </w:rPr>
      </w:pPr>
      <w:r w:rsidRPr="005562FC">
        <w:rPr>
          <w:rFonts w:ascii="Gadugi" w:hAnsi="Gadugi" w:cs="Courier New"/>
          <w:b/>
          <w:sz w:val="24"/>
          <w:szCs w:val="24"/>
          <w:lang w:val="es-MX"/>
        </w:rPr>
        <w:t xml:space="preserve">         </w:t>
      </w:r>
      <w:r w:rsidR="00CD2543" w:rsidRPr="005562FC">
        <w:rPr>
          <w:rFonts w:ascii="Gadugi" w:hAnsi="Gadugi" w:cs="Courier New"/>
          <w:b/>
          <w:sz w:val="24"/>
          <w:szCs w:val="24"/>
          <w:lang w:val="es-MX"/>
        </w:rPr>
        <w:t xml:space="preserve"> </w:t>
      </w:r>
      <w:r w:rsidRPr="005562FC">
        <w:rPr>
          <w:rFonts w:ascii="Gadugi" w:hAnsi="Gadugi" w:cs="Courier New"/>
          <w:b/>
          <w:sz w:val="24"/>
          <w:szCs w:val="24"/>
          <w:lang w:val="es-MX"/>
        </w:rPr>
        <w:t>SALA DE DECISION CIVIL FAMILIA</w:t>
      </w:r>
    </w:p>
    <w:p w14:paraId="405405D8" w14:textId="77777777" w:rsidR="00EF764C" w:rsidRPr="005562FC" w:rsidRDefault="00EF764C" w:rsidP="005562FC">
      <w:pPr>
        <w:spacing w:line="276" w:lineRule="auto"/>
        <w:ind w:firstLine="1701"/>
        <w:jc w:val="both"/>
        <w:rPr>
          <w:rFonts w:ascii="Gadugi" w:hAnsi="Gadugi" w:cs="Courier New"/>
          <w:b/>
          <w:sz w:val="24"/>
          <w:szCs w:val="24"/>
          <w:lang w:val="es-MX"/>
        </w:rPr>
      </w:pPr>
    </w:p>
    <w:p w14:paraId="722EF385" w14:textId="728F0C39" w:rsidR="00EF764C" w:rsidRPr="004657AE" w:rsidRDefault="00931612" w:rsidP="005562FC">
      <w:pPr>
        <w:pStyle w:val="Sangradetextonormal"/>
        <w:spacing w:line="276" w:lineRule="auto"/>
        <w:ind w:firstLine="1701"/>
        <w:rPr>
          <w:rFonts w:ascii="Gadugi" w:hAnsi="Gadugi" w:cs="Courier New"/>
          <w:b/>
          <w:szCs w:val="24"/>
          <w:lang w:val="es-MX"/>
        </w:rPr>
      </w:pPr>
      <w:r w:rsidRPr="005562FC">
        <w:rPr>
          <w:rFonts w:ascii="Gadugi" w:hAnsi="Gadugi" w:cs="Courier New"/>
          <w:szCs w:val="24"/>
          <w:lang w:val="es-MX"/>
        </w:rPr>
        <w:t xml:space="preserve">Magistrado: </w:t>
      </w:r>
      <w:r w:rsidRPr="004657AE">
        <w:rPr>
          <w:rFonts w:ascii="Gadugi" w:hAnsi="Gadugi" w:cs="Courier New"/>
          <w:b/>
          <w:szCs w:val="24"/>
          <w:lang w:val="es-MX"/>
        </w:rPr>
        <w:t>Jaime Alberto Saraza Naranjo</w:t>
      </w:r>
    </w:p>
    <w:p w14:paraId="5CCE5490" w14:textId="77777777" w:rsidR="004657AE" w:rsidRDefault="004657AE" w:rsidP="005562FC">
      <w:pPr>
        <w:spacing w:line="276" w:lineRule="auto"/>
        <w:ind w:firstLine="1701"/>
        <w:jc w:val="both"/>
        <w:rPr>
          <w:rFonts w:ascii="Gadugi" w:hAnsi="Gadugi" w:cs="Courier New"/>
          <w:sz w:val="24"/>
          <w:szCs w:val="24"/>
          <w:lang w:val="es-MX"/>
        </w:rPr>
      </w:pPr>
    </w:p>
    <w:p w14:paraId="0E41293C" w14:textId="6F6A51BB" w:rsidR="00CD2543" w:rsidRPr="005562FC" w:rsidRDefault="00931612" w:rsidP="005562FC">
      <w:pPr>
        <w:spacing w:line="276" w:lineRule="auto"/>
        <w:ind w:firstLine="1701"/>
        <w:jc w:val="both"/>
        <w:rPr>
          <w:rFonts w:ascii="Gadugi" w:hAnsi="Gadugi" w:cs="Courier New"/>
          <w:sz w:val="24"/>
          <w:szCs w:val="24"/>
          <w:lang w:val="es-MX"/>
        </w:rPr>
      </w:pPr>
      <w:r w:rsidRPr="005562FC">
        <w:rPr>
          <w:rFonts w:ascii="Gadugi" w:hAnsi="Gadugi" w:cs="Courier New"/>
          <w:sz w:val="24"/>
          <w:szCs w:val="24"/>
          <w:lang w:val="es-MX"/>
        </w:rPr>
        <w:t xml:space="preserve">Pereira, </w:t>
      </w:r>
      <w:r w:rsidR="004E7024" w:rsidRPr="005562FC">
        <w:rPr>
          <w:rFonts w:ascii="Gadugi" w:hAnsi="Gadugi" w:cs="Courier New"/>
          <w:sz w:val="24"/>
          <w:szCs w:val="24"/>
          <w:lang w:val="es-MX"/>
        </w:rPr>
        <w:t xml:space="preserve">diciembre </w:t>
      </w:r>
      <w:r w:rsidR="00C915D7" w:rsidRPr="005562FC">
        <w:rPr>
          <w:rFonts w:ascii="Gadugi" w:hAnsi="Gadugi" w:cs="Courier New"/>
          <w:sz w:val="24"/>
          <w:szCs w:val="24"/>
          <w:lang w:val="es-MX"/>
        </w:rPr>
        <w:t>quince</w:t>
      </w:r>
      <w:r w:rsidR="004E7024" w:rsidRPr="005562FC">
        <w:rPr>
          <w:rFonts w:ascii="Gadugi" w:hAnsi="Gadugi" w:cs="Courier New"/>
          <w:sz w:val="24"/>
          <w:szCs w:val="24"/>
          <w:lang w:val="es-MX"/>
        </w:rPr>
        <w:t xml:space="preserve"> </w:t>
      </w:r>
      <w:r w:rsidR="00CD2543" w:rsidRPr="005562FC">
        <w:rPr>
          <w:rFonts w:ascii="Gadugi" w:hAnsi="Gadugi" w:cs="Courier New"/>
          <w:sz w:val="24"/>
          <w:szCs w:val="24"/>
          <w:lang w:val="es-MX"/>
        </w:rPr>
        <w:t>de dos mil veintiuno</w:t>
      </w:r>
    </w:p>
    <w:p w14:paraId="1A18FBA1" w14:textId="773FE82C" w:rsidR="00CD2543" w:rsidRPr="005562FC" w:rsidRDefault="00CD2543" w:rsidP="005562FC">
      <w:pPr>
        <w:spacing w:line="276" w:lineRule="auto"/>
        <w:ind w:firstLine="1701"/>
        <w:jc w:val="both"/>
        <w:rPr>
          <w:rFonts w:ascii="Gadugi" w:hAnsi="Gadugi" w:cs="Courier New"/>
          <w:sz w:val="24"/>
          <w:szCs w:val="24"/>
          <w:lang w:val="es-MX"/>
        </w:rPr>
      </w:pPr>
      <w:r w:rsidRPr="005562FC">
        <w:rPr>
          <w:rFonts w:ascii="Gadugi" w:hAnsi="Gadugi" w:cs="Courier New"/>
          <w:sz w:val="24"/>
          <w:szCs w:val="24"/>
          <w:lang w:val="es-MX"/>
        </w:rPr>
        <w:t xml:space="preserve">Auto N°. </w:t>
      </w:r>
      <w:r w:rsidR="00574287" w:rsidRPr="005562FC">
        <w:rPr>
          <w:rFonts w:ascii="Gadugi" w:hAnsi="Gadugi" w:cs="Courier New"/>
          <w:sz w:val="24"/>
          <w:szCs w:val="24"/>
          <w:lang w:val="es-MX"/>
        </w:rPr>
        <w:t>TSP.</w:t>
      </w:r>
      <w:r w:rsidR="00BC29CF">
        <w:rPr>
          <w:rFonts w:ascii="Gadugi" w:hAnsi="Gadugi" w:cs="Courier New"/>
          <w:sz w:val="24"/>
          <w:szCs w:val="24"/>
          <w:lang w:val="es-MX"/>
        </w:rPr>
        <w:t xml:space="preserve"> A</w:t>
      </w:r>
      <w:bookmarkStart w:id="1" w:name="_GoBack"/>
      <w:bookmarkEnd w:id="1"/>
      <w:r w:rsidR="00574287" w:rsidRPr="005562FC">
        <w:rPr>
          <w:rFonts w:ascii="Gadugi" w:hAnsi="Gadugi" w:cs="Courier New"/>
          <w:sz w:val="24"/>
          <w:szCs w:val="24"/>
          <w:lang w:val="es-MX"/>
        </w:rPr>
        <w:t>C-0165-2021</w:t>
      </w:r>
    </w:p>
    <w:p w14:paraId="4B7A1C37" w14:textId="77777777" w:rsidR="00EF764C" w:rsidRPr="005562FC" w:rsidRDefault="00EF764C" w:rsidP="005562FC">
      <w:pPr>
        <w:spacing w:line="276" w:lineRule="auto"/>
        <w:ind w:firstLine="1701"/>
        <w:jc w:val="both"/>
        <w:rPr>
          <w:rFonts w:ascii="Gadugi" w:hAnsi="Gadugi" w:cs="Courier New"/>
          <w:sz w:val="24"/>
          <w:szCs w:val="24"/>
          <w:lang w:val="es-MX"/>
        </w:rPr>
      </w:pPr>
    </w:p>
    <w:p w14:paraId="269943D2" w14:textId="77777777" w:rsidR="00EF764C" w:rsidRPr="005562FC" w:rsidRDefault="00EF764C" w:rsidP="005562FC">
      <w:pPr>
        <w:spacing w:line="276" w:lineRule="auto"/>
        <w:ind w:firstLine="1701"/>
        <w:jc w:val="both"/>
        <w:rPr>
          <w:rFonts w:ascii="Gadugi" w:hAnsi="Gadugi" w:cs="Courier New"/>
          <w:sz w:val="24"/>
          <w:szCs w:val="24"/>
          <w:lang w:val="es-MX"/>
        </w:rPr>
      </w:pPr>
    </w:p>
    <w:p w14:paraId="60CBA0F6" w14:textId="6E1FA206" w:rsidR="00CD2543" w:rsidRPr="005562FC" w:rsidRDefault="00931612" w:rsidP="005562FC">
      <w:pPr>
        <w:pStyle w:val="Textoindependiente"/>
        <w:spacing w:line="276" w:lineRule="auto"/>
        <w:ind w:firstLine="1701"/>
        <w:rPr>
          <w:rFonts w:ascii="Gadugi" w:hAnsi="Gadugi"/>
          <w:szCs w:val="24"/>
        </w:rPr>
      </w:pPr>
      <w:r w:rsidRPr="005562FC">
        <w:rPr>
          <w:rFonts w:ascii="Gadugi" w:hAnsi="Gadugi"/>
          <w:szCs w:val="24"/>
        </w:rPr>
        <w:t xml:space="preserve">Resuelve la Sala el recurso de apelación </w:t>
      </w:r>
      <w:r w:rsidR="00C915D7" w:rsidRPr="005562FC">
        <w:rPr>
          <w:rFonts w:ascii="Gadugi" w:hAnsi="Gadugi"/>
          <w:szCs w:val="24"/>
        </w:rPr>
        <w:t xml:space="preserve">interpuesto por los demandantes </w:t>
      </w:r>
      <w:r w:rsidRPr="005562FC">
        <w:rPr>
          <w:rFonts w:ascii="Gadugi" w:hAnsi="Gadugi"/>
          <w:szCs w:val="24"/>
        </w:rPr>
        <w:t xml:space="preserve">contra el auto del </w:t>
      </w:r>
      <w:r w:rsidR="00CD2543" w:rsidRPr="005562FC">
        <w:rPr>
          <w:rFonts w:ascii="Gadugi" w:hAnsi="Gadugi"/>
          <w:szCs w:val="24"/>
        </w:rPr>
        <w:t xml:space="preserve">4 de </w:t>
      </w:r>
      <w:r w:rsidR="00C915D7" w:rsidRPr="005562FC">
        <w:rPr>
          <w:rFonts w:ascii="Gadugi" w:hAnsi="Gadugi"/>
          <w:szCs w:val="24"/>
        </w:rPr>
        <w:t xml:space="preserve">febrero de </w:t>
      </w:r>
      <w:r w:rsidR="00CD2543" w:rsidRPr="005562FC">
        <w:rPr>
          <w:rFonts w:ascii="Gadugi" w:hAnsi="Gadugi"/>
          <w:szCs w:val="24"/>
        </w:rPr>
        <w:t xml:space="preserve">2021, </w:t>
      </w:r>
      <w:r w:rsidRPr="005562FC">
        <w:rPr>
          <w:rFonts w:ascii="Gadugi" w:hAnsi="Gadugi"/>
          <w:szCs w:val="24"/>
        </w:rPr>
        <w:t xml:space="preserve">proferido por el Juzgado </w:t>
      </w:r>
      <w:r w:rsidR="00C915D7" w:rsidRPr="005562FC">
        <w:rPr>
          <w:rFonts w:ascii="Gadugi" w:hAnsi="Gadugi"/>
          <w:szCs w:val="24"/>
        </w:rPr>
        <w:t xml:space="preserve">Tercero Civil </w:t>
      </w:r>
      <w:r w:rsidR="00CD2543" w:rsidRPr="005562FC">
        <w:rPr>
          <w:rFonts w:ascii="Gadugi" w:hAnsi="Gadugi"/>
          <w:szCs w:val="24"/>
        </w:rPr>
        <w:t xml:space="preserve">del Circuito de </w:t>
      </w:r>
      <w:r w:rsidR="00C915D7" w:rsidRPr="005562FC">
        <w:rPr>
          <w:rFonts w:ascii="Gadugi" w:hAnsi="Gadugi"/>
          <w:szCs w:val="24"/>
        </w:rPr>
        <w:t xml:space="preserve">Pereira, en este proceso declarativo que </w:t>
      </w:r>
      <w:r w:rsidR="00C915D7" w:rsidRPr="005562FC">
        <w:rPr>
          <w:rFonts w:ascii="Gadugi" w:hAnsi="Gadugi"/>
          <w:b/>
          <w:szCs w:val="24"/>
        </w:rPr>
        <w:t xml:space="preserve">Jhon Edison Loaiza Batero </w:t>
      </w:r>
      <w:r w:rsidR="00C915D7" w:rsidRPr="005562FC">
        <w:rPr>
          <w:rFonts w:ascii="Gadugi" w:hAnsi="Gadugi"/>
          <w:szCs w:val="24"/>
        </w:rPr>
        <w:t xml:space="preserve">y otros siguen contra </w:t>
      </w:r>
      <w:r w:rsidR="00C915D7" w:rsidRPr="005562FC">
        <w:rPr>
          <w:rFonts w:ascii="Gadugi" w:hAnsi="Gadugi"/>
          <w:b/>
          <w:szCs w:val="24"/>
        </w:rPr>
        <w:t>Liberty Seguros S.A.</w:t>
      </w:r>
      <w:r w:rsidR="00C915D7" w:rsidRPr="005562FC">
        <w:rPr>
          <w:rFonts w:ascii="Gadugi" w:hAnsi="Gadugi"/>
          <w:szCs w:val="24"/>
        </w:rPr>
        <w:t xml:space="preserve"> y otros. </w:t>
      </w:r>
    </w:p>
    <w:p w14:paraId="123D9EB4" w14:textId="216459E6" w:rsidR="00EF764C" w:rsidRPr="005562FC" w:rsidRDefault="00EF764C" w:rsidP="005562FC">
      <w:pPr>
        <w:pStyle w:val="Textoindependiente"/>
        <w:spacing w:line="276" w:lineRule="auto"/>
        <w:ind w:firstLine="1701"/>
        <w:rPr>
          <w:rFonts w:ascii="Gadugi" w:hAnsi="Gadugi"/>
          <w:b/>
          <w:bCs/>
          <w:szCs w:val="24"/>
        </w:rPr>
      </w:pPr>
    </w:p>
    <w:p w14:paraId="60FE2B24" w14:textId="77777777" w:rsidR="00EF764C" w:rsidRPr="005562FC" w:rsidRDefault="00931612" w:rsidP="005562FC">
      <w:pPr>
        <w:pStyle w:val="Textoindependiente"/>
        <w:spacing w:line="276" w:lineRule="auto"/>
        <w:ind w:firstLine="1701"/>
        <w:rPr>
          <w:rFonts w:ascii="Gadugi" w:hAnsi="Gadugi"/>
          <w:b/>
          <w:bCs/>
          <w:szCs w:val="24"/>
        </w:rPr>
      </w:pPr>
      <w:r w:rsidRPr="005562FC">
        <w:rPr>
          <w:rFonts w:ascii="Gadugi" w:hAnsi="Gadugi"/>
          <w:b/>
          <w:bCs/>
          <w:szCs w:val="24"/>
        </w:rPr>
        <w:t>ANTECEDENTES</w:t>
      </w:r>
    </w:p>
    <w:p w14:paraId="0BFF47C2" w14:textId="2EECEDE3" w:rsidR="00EF764C" w:rsidRPr="005562FC" w:rsidRDefault="00EF764C" w:rsidP="005562FC">
      <w:pPr>
        <w:pStyle w:val="Textoindependiente"/>
        <w:spacing w:line="276" w:lineRule="auto"/>
        <w:ind w:firstLine="1701"/>
        <w:rPr>
          <w:rFonts w:ascii="Gadugi" w:hAnsi="Gadugi"/>
          <w:szCs w:val="24"/>
        </w:rPr>
      </w:pPr>
    </w:p>
    <w:p w14:paraId="26AF37FA" w14:textId="1A18015D" w:rsidR="001D25EA" w:rsidRDefault="001D25EA" w:rsidP="005562FC">
      <w:pPr>
        <w:pStyle w:val="Textoindependiente"/>
        <w:spacing w:line="276" w:lineRule="auto"/>
        <w:ind w:firstLine="1701"/>
        <w:rPr>
          <w:rFonts w:ascii="Gadugi" w:hAnsi="Gadugi"/>
          <w:szCs w:val="24"/>
        </w:rPr>
      </w:pPr>
      <w:r w:rsidRPr="005562FC">
        <w:rPr>
          <w:rFonts w:ascii="Gadugi" w:hAnsi="Gadugi"/>
          <w:szCs w:val="24"/>
        </w:rPr>
        <w:lastRenderedPageBreak/>
        <w:t>En el referido proceso, luego de que el 20 de noviembre de 2020 se ordenara estar a lo dispuesto por esta Colegiatura en el fallo del 25 de agosto de 2020</w:t>
      </w:r>
      <w:r w:rsidRPr="005562FC">
        <w:rPr>
          <w:rStyle w:val="Refdenotaalpie"/>
          <w:rFonts w:ascii="Gadugi" w:hAnsi="Gadugi"/>
          <w:szCs w:val="24"/>
        </w:rPr>
        <w:footnoteReference w:id="2"/>
      </w:r>
      <w:r w:rsidRPr="005562FC">
        <w:rPr>
          <w:rFonts w:ascii="Gadugi" w:hAnsi="Gadugi"/>
          <w:szCs w:val="24"/>
        </w:rPr>
        <w:t>, que confirmó la sentencia de primera instancia proferida el 4 de julio de 2019</w:t>
      </w:r>
      <w:r w:rsidRPr="005562FC">
        <w:rPr>
          <w:rStyle w:val="Refdenotaalpie"/>
          <w:rFonts w:ascii="Gadugi" w:hAnsi="Gadugi"/>
          <w:szCs w:val="24"/>
        </w:rPr>
        <w:footnoteReference w:id="3"/>
      </w:r>
      <w:r w:rsidRPr="005562FC">
        <w:rPr>
          <w:rFonts w:ascii="Gadugi" w:hAnsi="Gadugi"/>
          <w:szCs w:val="24"/>
        </w:rPr>
        <w:t>, el apoderado de los demandantes solicitó el embargo y secuestro del vehículo de placas NCZ-244</w:t>
      </w:r>
      <w:r w:rsidRPr="005562FC">
        <w:rPr>
          <w:rStyle w:val="Refdenotaalpie"/>
          <w:rFonts w:ascii="Gadugi" w:hAnsi="Gadugi"/>
          <w:szCs w:val="24"/>
        </w:rPr>
        <w:footnoteReference w:id="4"/>
      </w:r>
      <w:r w:rsidR="00726DDF" w:rsidRPr="005562FC">
        <w:rPr>
          <w:rFonts w:ascii="Gadugi" w:hAnsi="Gadugi"/>
          <w:szCs w:val="24"/>
        </w:rPr>
        <w:t>,</w:t>
      </w:r>
      <w:r w:rsidRPr="005562FC">
        <w:rPr>
          <w:rFonts w:ascii="Gadugi" w:hAnsi="Gadugi"/>
          <w:szCs w:val="24"/>
        </w:rPr>
        <w:t xml:space="preserve"> y así fue ordenado por el Juzgado con</w:t>
      </w:r>
      <w:r w:rsidR="006A101B" w:rsidRPr="005562FC">
        <w:rPr>
          <w:rFonts w:ascii="Gadugi" w:hAnsi="Gadugi"/>
          <w:szCs w:val="24"/>
        </w:rPr>
        <w:t xml:space="preserve"> auto del 7 de diciembre de 2020</w:t>
      </w:r>
      <w:r w:rsidR="00726DDF" w:rsidRPr="005562FC">
        <w:rPr>
          <w:rFonts w:ascii="Gadugi" w:hAnsi="Gadugi"/>
          <w:szCs w:val="24"/>
        </w:rPr>
        <w:t xml:space="preserve">, cuando </w:t>
      </w:r>
      <w:r w:rsidR="006A101B" w:rsidRPr="005562FC">
        <w:rPr>
          <w:rFonts w:ascii="Gadugi" w:hAnsi="Gadugi"/>
          <w:szCs w:val="24"/>
        </w:rPr>
        <w:t>se dispuso oficiar al Instituto de Movilidad de Pereira</w:t>
      </w:r>
      <w:r w:rsidRPr="005562FC">
        <w:rPr>
          <w:rStyle w:val="Refdenotaalpie"/>
          <w:rFonts w:ascii="Gadugi" w:hAnsi="Gadugi"/>
          <w:szCs w:val="24"/>
        </w:rPr>
        <w:footnoteReference w:id="5"/>
      </w:r>
      <w:r w:rsidRPr="005562FC">
        <w:rPr>
          <w:rFonts w:ascii="Gadugi" w:hAnsi="Gadugi"/>
          <w:szCs w:val="24"/>
        </w:rPr>
        <w:t xml:space="preserve">. </w:t>
      </w:r>
    </w:p>
    <w:p w14:paraId="25F91A56" w14:textId="77777777" w:rsidR="005562FC" w:rsidRPr="005562FC" w:rsidRDefault="005562FC" w:rsidP="005562FC">
      <w:pPr>
        <w:pStyle w:val="Textoindependiente"/>
        <w:spacing w:line="276" w:lineRule="auto"/>
        <w:ind w:firstLine="1701"/>
        <w:rPr>
          <w:rFonts w:ascii="Gadugi" w:hAnsi="Gadugi"/>
          <w:szCs w:val="24"/>
        </w:rPr>
      </w:pPr>
    </w:p>
    <w:p w14:paraId="62A6D493" w14:textId="0D4C6C31" w:rsidR="006A101B" w:rsidRPr="005562FC" w:rsidRDefault="001D25EA" w:rsidP="005562FC">
      <w:pPr>
        <w:pStyle w:val="Textoindependiente"/>
        <w:spacing w:line="276" w:lineRule="auto"/>
        <w:ind w:firstLine="1701"/>
        <w:rPr>
          <w:rFonts w:ascii="Gadugi" w:hAnsi="Gadugi"/>
          <w:szCs w:val="24"/>
        </w:rPr>
      </w:pPr>
      <w:r w:rsidRPr="005562FC">
        <w:rPr>
          <w:rFonts w:ascii="Gadugi" w:hAnsi="Gadugi"/>
          <w:szCs w:val="24"/>
        </w:rPr>
        <w:t>Dicha dependencia respondió negativamente, por cuanto el vehículo aparecía matriculado en el Instituto de Movilidad de Bogotá</w:t>
      </w:r>
      <w:r w:rsidRPr="005562FC">
        <w:rPr>
          <w:rStyle w:val="Refdenotaalpie"/>
          <w:rFonts w:ascii="Gadugi" w:hAnsi="Gadugi"/>
          <w:szCs w:val="24"/>
        </w:rPr>
        <w:footnoteReference w:id="6"/>
      </w:r>
      <w:r w:rsidRPr="005562FC">
        <w:rPr>
          <w:rFonts w:ascii="Gadugi" w:hAnsi="Gadugi"/>
          <w:szCs w:val="24"/>
        </w:rPr>
        <w:t xml:space="preserve">. </w:t>
      </w:r>
    </w:p>
    <w:p w14:paraId="5BB27306" w14:textId="67F393D4" w:rsidR="006A101B" w:rsidRPr="005562FC" w:rsidRDefault="006A101B" w:rsidP="005562FC">
      <w:pPr>
        <w:pStyle w:val="Textoindependiente"/>
        <w:spacing w:line="276" w:lineRule="auto"/>
        <w:ind w:firstLine="1701"/>
        <w:rPr>
          <w:rFonts w:ascii="Gadugi" w:hAnsi="Gadugi"/>
          <w:szCs w:val="24"/>
        </w:rPr>
      </w:pPr>
    </w:p>
    <w:p w14:paraId="31EC412C" w14:textId="7477313D" w:rsidR="00F26468" w:rsidRPr="005562FC" w:rsidRDefault="001D25EA" w:rsidP="005562FC">
      <w:pPr>
        <w:pStyle w:val="Textoindependiente"/>
        <w:spacing w:line="276" w:lineRule="auto"/>
        <w:ind w:firstLine="1701"/>
        <w:rPr>
          <w:rFonts w:ascii="Gadugi" w:hAnsi="Gadugi"/>
          <w:szCs w:val="24"/>
        </w:rPr>
      </w:pPr>
      <w:r w:rsidRPr="005562FC">
        <w:rPr>
          <w:rFonts w:ascii="Gadugi" w:hAnsi="Gadugi"/>
          <w:szCs w:val="24"/>
        </w:rPr>
        <w:t>Mediante proveído del 4 de febrero de 2021</w:t>
      </w:r>
      <w:r w:rsidRPr="005562FC">
        <w:rPr>
          <w:rStyle w:val="Refdenotaalpie"/>
          <w:rFonts w:ascii="Gadugi" w:hAnsi="Gadugi"/>
          <w:szCs w:val="24"/>
        </w:rPr>
        <w:footnoteReference w:id="7"/>
      </w:r>
      <w:r w:rsidR="00961916" w:rsidRPr="005562FC">
        <w:rPr>
          <w:rFonts w:ascii="Gadugi" w:hAnsi="Gadugi"/>
          <w:szCs w:val="24"/>
        </w:rPr>
        <w:t xml:space="preserve">, se </w:t>
      </w:r>
      <w:r w:rsidR="00F416A8" w:rsidRPr="005562FC">
        <w:rPr>
          <w:rFonts w:ascii="Gadugi" w:hAnsi="Gadugi"/>
          <w:szCs w:val="24"/>
        </w:rPr>
        <w:t>orden</w:t>
      </w:r>
      <w:r w:rsidR="00961916" w:rsidRPr="005562FC">
        <w:rPr>
          <w:rFonts w:ascii="Gadugi" w:hAnsi="Gadugi"/>
          <w:szCs w:val="24"/>
        </w:rPr>
        <w:t>ó</w:t>
      </w:r>
      <w:r w:rsidR="00F416A8" w:rsidRPr="005562FC">
        <w:rPr>
          <w:rFonts w:ascii="Gadugi" w:hAnsi="Gadugi"/>
          <w:szCs w:val="24"/>
        </w:rPr>
        <w:t xml:space="preserve"> </w:t>
      </w:r>
      <w:r w:rsidR="00961916" w:rsidRPr="005562FC">
        <w:rPr>
          <w:rFonts w:ascii="Gadugi" w:hAnsi="Gadugi"/>
          <w:szCs w:val="24"/>
        </w:rPr>
        <w:t xml:space="preserve">el </w:t>
      </w:r>
      <w:r w:rsidR="00F416A8" w:rsidRPr="005562FC">
        <w:rPr>
          <w:rFonts w:ascii="Gadugi" w:hAnsi="Gadugi"/>
          <w:szCs w:val="24"/>
        </w:rPr>
        <w:t xml:space="preserve">levantamiento de </w:t>
      </w:r>
      <w:r w:rsidR="00961916" w:rsidRPr="005562FC">
        <w:rPr>
          <w:rFonts w:ascii="Gadugi" w:hAnsi="Gadugi"/>
          <w:szCs w:val="24"/>
        </w:rPr>
        <w:t xml:space="preserve">la medida, en virtud de lo dispuesto en el parágrafo 2 del artículo 590 del CGP, ya que no se promovió la demanda ejecutiva en el término previsto en el artículo 306 ib. </w:t>
      </w:r>
    </w:p>
    <w:p w14:paraId="70E34D4E" w14:textId="5B19A172" w:rsidR="00F26468" w:rsidRPr="005562FC" w:rsidRDefault="00F26468" w:rsidP="005562FC">
      <w:pPr>
        <w:pStyle w:val="Textoindependiente"/>
        <w:spacing w:line="276" w:lineRule="auto"/>
        <w:ind w:firstLine="1701"/>
        <w:rPr>
          <w:rFonts w:ascii="Gadugi" w:hAnsi="Gadugi"/>
          <w:szCs w:val="24"/>
        </w:rPr>
      </w:pPr>
    </w:p>
    <w:p w14:paraId="53245ED8" w14:textId="66605253" w:rsidR="00AC34B4" w:rsidRPr="005562FC" w:rsidRDefault="00961916" w:rsidP="005562FC">
      <w:pPr>
        <w:pStyle w:val="Textoindependiente"/>
        <w:spacing w:line="276" w:lineRule="auto"/>
        <w:ind w:firstLine="1701"/>
        <w:rPr>
          <w:rFonts w:ascii="Gadugi" w:hAnsi="Gadugi"/>
          <w:szCs w:val="24"/>
        </w:rPr>
      </w:pPr>
      <w:r w:rsidRPr="005562FC">
        <w:rPr>
          <w:rFonts w:ascii="Gadugi" w:hAnsi="Gadugi"/>
          <w:szCs w:val="24"/>
        </w:rPr>
        <w:t>Contra esa decisión, la parte demandante interpuso r</w:t>
      </w:r>
      <w:r w:rsidR="00324DCA" w:rsidRPr="005562FC">
        <w:rPr>
          <w:rFonts w:ascii="Gadugi" w:hAnsi="Gadugi"/>
          <w:szCs w:val="24"/>
        </w:rPr>
        <w:t xml:space="preserve">ecurso </w:t>
      </w:r>
      <w:r w:rsidR="006A101B" w:rsidRPr="005562FC">
        <w:rPr>
          <w:rFonts w:ascii="Gadugi" w:hAnsi="Gadugi"/>
          <w:szCs w:val="24"/>
        </w:rPr>
        <w:t>de reposición y</w:t>
      </w:r>
      <w:r w:rsidRPr="005562FC">
        <w:rPr>
          <w:rFonts w:ascii="Gadugi" w:hAnsi="Gadugi"/>
          <w:szCs w:val="24"/>
        </w:rPr>
        <w:t xml:space="preserve">, en subsidio, </w:t>
      </w:r>
      <w:r w:rsidR="006A101B" w:rsidRPr="005562FC">
        <w:rPr>
          <w:rFonts w:ascii="Gadugi" w:hAnsi="Gadugi"/>
          <w:szCs w:val="24"/>
        </w:rPr>
        <w:t>apelación</w:t>
      </w:r>
      <w:r w:rsidRPr="005562FC">
        <w:rPr>
          <w:rStyle w:val="Refdenotaalpie"/>
          <w:rFonts w:ascii="Gadugi" w:hAnsi="Gadugi"/>
          <w:szCs w:val="24"/>
        </w:rPr>
        <w:footnoteReference w:id="8"/>
      </w:r>
      <w:r w:rsidRPr="005562FC">
        <w:rPr>
          <w:rFonts w:ascii="Gadugi" w:hAnsi="Gadugi"/>
          <w:szCs w:val="24"/>
        </w:rPr>
        <w:t xml:space="preserve">, con sustento en que (i) los </w:t>
      </w:r>
      <w:r w:rsidR="00324DCA" w:rsidRPr="005562FC">
        <w:rPr>
          <w:rFonts w:ascii="Gadugi" w:hAnsi="Gadugi"/>
          <w:szCs w:val="24"/>
        </w:rPr>
        <w:t xml:space="preserve">literales b y c del artículo 590 son inaplicables en este caso, </w:t>
      </w:r>
      <w:r w:rsidRPr="005562FC">
        <w:rPr>
          <w:rFonts w:ascii="Gadugi" w:hAnsi="Gadugi"/>
          <w:szCs w:val="24"/>
        </w:rPr>
        <w:t>ya que no se trata de la inscripción de la demanda</w:t>
      </w:r>
      <w:r w:rsidR="00324DCA" w:rsidRPr="005562FC">
        <w:rPr>
          <w:rFonts w:ascii="Gadugi" w:hAnsi="Gadugi"/>
          <w:szCs w:val="24"/>
        </w:rPr>
        <w:t xml:space="preserve">; </w:t>
      </w:r>
      <w:r w:rsidRPr="005562FC">
        <w:rPr>
          <w:rFonts w:ascii="Gadugi" w:hAnsi="Gadugi"/>
          <w:szCs w:val="24"/>
        </w:rPr>
        <w:t>(ii) la medida se</w:t>
      </w:r>
      <w:r w:rsidR="00324DCA" w:rsidRPr="005562FC">
        <w:rPr>
          <w:rFonts w:ascii="Gadugi" w:hAnsi="Gadugi"/>
          <w:szCs w:val="24"/>
        </w:rPr>
        <w:t xml:space="preserve"> pidió cuando ya estaba en firme la sentencia de segunda instancia; </w:t>
      </w:r>
      <w:r w:rsidRPr="005562FC">
        <w:rPr>
          <w:rFonts w:ascii="Gadugi" w:hAnsi="Gadugi"/>
          <w:szCs w:val="24"/>
        </w:rPr>
        <w:t xml:space="preserve">(iii) </w:t>
      </w:r>
      <w:r w:rsidR="00324DCA" w:rsidRPr="005562FC">
        <w:rPr>
          <w:rFonts w:ascii="Gadugi" w:hAnsi="Gadugi"/>
          <w:szCs w:val="24"/>
        </w:rPr>
        <w:t xml:space="preserve">el término al que se refiere el artículo 306 tampoco </w:t>
      </w:r>
      <w:r w:rsidRPr="005562FC">
        <w:rPr>
          <w:rFonts w:ascii="Gadugi" w:hAnsi="Gadugi"/>
          <w:szCs w:val="24"/>
        </w:rPr>
        <w:t>opera aquí, porque</w:t>
      </w:r>
      <w:r w:rsidR="00324DCA" w:rsidRPr="005562FC">
        <w:rPr>
          <w:rFonts w:ascii="Gadugi" w:hAnsi="Gadugi"/>
          <w:szCs w:val="24"/>
        </w:rPr>
        <w:t>, “</w:t>
      </w:r>
      <w:r w:rsidR="00324DCA" w:rsidRPr="003F66B9">
        <w:rPr>
          <w:rFonts w:ascii="Gadugi" w:hAnsi="Gadugi"/>
          <w:i/>
          <w:sz w:val="22"/>
          <w:szCs w:val="24"/>
        </w:rPr>
        <w:t>expresamente no hace alusión a un término específico para promover la ejecución, el cual objetivamente es amplio, con un único límite de la acción ejecutiva, sino que hace alusión es para los efectos de su notificación, la cual operara por estado, si se presenta dentro de los 30 días, o personalmente, si se inicia con posterioridad a este tiempo</w:t>
      </w:r>
      <w:r w:rsidR="00324DCA" w:rsidRPr="005562FC">
        <w:rPr>
          <w:rFonts w:ascii="Gadugi" w:hAnsi="Gadugi"/>
          <w:i/>
          <w:szCs w:val="24"/>
        </w:rPr>
        <w:t>”</w:t>
      </w:r>
      <w:r w:rsidRPr="005562FC">
        <w:rPr>
          <w:rFonts w:ascii="Gadugi" w:hAnsi="Gadugi"/>
          <w:i/>
          <w:szCs w:val="24"/>
        </w:rPr>
        <w:t xml:space="preserve"> </w:t>
      </w:r>
      <w:r w:rsidRPr="005562FC">
        <w:rPr>
          <w:rFonts w:ascii="Gadugi" w:hAnsi="Gadugi"/>
          <w:szCs w:val="24"/>
        </w:rPr>
        <w:t>(sic)</w:t>
      </w:r>
      <w:r w:rsidR="00324DCA" w:rsidRPr="005562FC">
        <w:rPr>
          <w:rFonts w:ascii="Gadugi" w:hAnsi="Gadugi"/>
          <w:szCs w:val="24"/>
        </w:rPr>
        <w:t xml:space="preserve">; </w:t>
      </w:r>
      <w:r w:rsidRPr="005562FC">
        <w:rPr>
          <w:rFonts w:ascii="Gadugi" w:hAnsi="Gadugi"/>
          <w:szCs w:val="24"/>
        </w:rPr>
        <w:t>y (iv)</w:t>
      </w:r>
      <w:r w:rsidR="00324DCA" w:rsidRPr="005562FC">
        <w:rPr>
          <w:rFonts w:ascii="Gadugi" w:hAnsi="Gadugi"/>
          <w:szCs w:val="24"/>
        </w:rPr>
        <w:t xml:space="preserve"> la práctica de estas medidas cautelares también </w:t>
      </w:r>
      <w:r w:rsidRPr="005562FC">
        <w:rPr>
          <w:rFonts w:ascii="Gadugi" w:hAnsi="Gadugi"/>
          <w:szCs w:val="24"/>
        </w:rPr>
        <w:t xml:space="preserve">tiene origen en el artículo </w:t>
      </w:r>
      <w:r w:rsidR="00324DCA" w:rsidRPr="005562FC">
        <w:rPr>
          <w:rFonts w:ascii="Gadugi" w:hAnsi="Gadugi"/>
          <w:szCs w:val="24"/>
        </w:rPr>
        <w:t xml:space="preserve">593 del CGP, </w:t>
      </w:r>
      <w:r w:rsidRPr="005562FC">
        <w:rPr>
          <w:rFonts w:ascii="Gadugi" w:hAnsi="Gadugi"/>
          <w:szCs w:val="24"/>
        </w:rPr>
        <w:t xml:space="preserve">como quiera que </w:t>
      </w:r>
      <w:r w:rsidR="00324DCA" w:rsidRPr="005562FC">
        <w:rPr>
          <w:rFonts w:ascii="Gadugi" w:hAnsi="Gadugi"/>
          <w:szCs w:val="24"/>
        </w:rPr>
        <w:t>existe una obligación dineraria a cargo de la parte demandada, por lo que debe mantenerse</w:t>
      </w:r>
      <w:r w:rsidRPr="005562FC">
        <w:rPr>
          <w:rFonts w:ascii="Gadugi" w:hAnsi="Gadugi"/>
          <w:szCs w:val="24"/>
        </w:rPr>
        <w:t>.</w:t>
      </w:r>
      <w:r w:rsidR="00324DCA" w:rsidRPr="005562FC">
        <w:rPr>
          <w:rFonts w:ascii="Gadugi" w:hAnsi="Gadugi"/>
          <w:szCs w:val="24"/>
        </w:rPr>
        <w:t xml:space="preserve"> </w:t>
      </w:r>
    </w:p>
    <w:p w14:paraId="224406FE" w14:textId="6A423D9C" w:rsidR="006A101B" w:rsidRPr="005562FC" w:rsidRDefault="006A101B" w:rsidP="005562FC">
      <w:pPr>
        <w:pStyle w:val="Textoindependiente"/>
        <w:spacing w:line="276" w:lineRule="auto"/>
        <w:ind w:firstLine="1701"/>
        <w:rPr>
          <w:rFonts w:ascii="Gadugi" w:hAnsi="Gadugi"/>
          <w:b/>
          <w:szCs w:val="24"/>
        </w:rPr>
      </w:pPr>
    </w:p>
    <w:p w14:paraId="0A42895A" w14:textId="2A9CB8E5" w:rsidR="00324DCA" w:rsidRPr="005562FC" w:rsidRDefault="00961916" w:rsidP="005562FC">
      <w:pPr>
        <w:pStyle w:val="Textoindependiente"/>
        <w:spacing w:line="276" w:lineRule="auto"/>
        <w:ind w:firstLine="1701"/>
        <w:rPr>
          <w:rFonts w:ascii="Gadugi" w:hAnsi="Gadugi"/>
          <w:szCs w:val="24"/>
        </w:rPr>
      </w:pPr>
      <w:r w:rsidRPr="005562FC">
        <w:rPr>
          <w:rFonts w:ascii="Gadugi" w:hAnsi="Gadugi"/>
          <w:szCs w:val="24"/>
        </w:rPr>
        <w:t>Con posterioridad a ello, el mismo apoderado solicitó que se siguiera con la ejecución, de acuerdo con lo previsto por el artículo 306 del CGP</w:t>
      </w:r>
      <w:r w:rsidRPr="005562FC">
        <w:rPr>
          <w:rStyle w:val="Refdenotaalpie"/>
          <w:rFonts w:ascii="Gadugi" w:hAnsi="Gadugi"/>
          <w:szCs w:val="24"/>
        </w:rPr>
        <w:footnoteReference w:id="9"/>
      </w:r>
      <w:r w:rsidR="00726DDF" w:rsidRPr="005562FC">
        <w:rPr>
          <w:rFonts w:ascii="Gadugi" w:hAnsi="Gadugi"/>
          <w:szCs w:val="24"/>
        </w:rPr>
        <w:t>,</w:t>
      </w:r>
      <w:r w:rsidR="00D35B92" w:rsidRPr="005562FC">
        <w:rPr>
          <w:rFonts w:ascii="Gadugi" w:hAnsi="Gadugi"/>
          <w:szCs w:val="24"/>
        </w:rPr>
        <w:t xml:space="preserve"> y solicitó nuevamente la medida, pero esta vez pidió que se oficiara al Instituto de Movilidad de Bogotá. </w:t>
      </w:r>
    </w:p>
    <w:p w14:paraId="389760F3" w14:textId="77777777" w:rsidR="00D35B92" w:rsidRPr="005562FC" w:rsidRDefault="00D35B92" w:rsidP="005562FC">
      <w:pPr>
        <w:pStyle w:val="Textoindependiente"/>
        <w:spacing w:line="276" w:lineRule="auto"/>
        <w:ind w:firstLine="1701"/>
        <w:rPr>
          <w:rFonts w:ascii="Gadugi" w:hAnsi="Gadugi"/>
          <w:szCs w:val="24"/>
        </w:rPr>
      </w:pPr>
    </w:p>
    <w:p w14:paraId="356526A4" w14:textId="1B20B222" w:rsidR="00D35B92" w:rsidRPr="005562FC" w:rsidRDefault="00D35B92" w:rsidP="005562FC">
      <w:pPr>
        <w:pStyle w:val="Textoindependiente"/>
        <w:spacing w:line="276" w:lineRule="auto"/>
        <w:ind w:firstLine="1701"/>
        <w:rPr>
          <w:rFonts w:ascii="Gadugi" w:hAnsi="Gadugi"/>
          <w:b/>
          <w:szCs w:val="24"/>
        </w:rPr>
      </w:pPr>
      <w:r w:rsidRPr="005562FC">
        <w:rPr>
          <w:rFonts w:ascii="Gadugi" w:hAnsi="Gadugi"/>
          <w:szCs w:val="24"/>
        </w:rPr>
        <w:t>El Juzgado decidió no reponer la providencia del 4 de febrero y concedió el recurso de apelación</w:t>
      </w:r>
      <w:r w:rsidRPr="005562FC">
        <w:rPr>
          <w:rStyle w:val="Refdenotaalpie"/>
          <w:rFonts w:ascii="Gadugi" w:hAnsi="Gadugi"/>
          <w:szCs w:val="24"/>
        </w:rPr>
        <w:footnoteReference w:id="10"/>
      </w:r>
      <w:r w:rsidRPr="005562FC">
        <w:rPr>
          <w:rFonts w:ascii="Gadugi" w:hAnsi="Gadugi"/>
          <w:szCs w:val="24"/>
        </w:rPr>
        <w:t xml:space="preserve">. Luego, con providencia del 11 de marzo, libró la </w:t>
      </w:r>
      <w:r w:rsidRPr="005562FC">
        <w:rPr>
          <w:rFonts w:ascii="Gadugi" w:hAnsi="Gadugi"/>
          <w:szCs w:val="24"/>
        </w:rPr>
        <w:lastRenderedPageBreak/>
        <w:t>orden ejecutiva</w:t>
      </w:r>
      <w:r w:rsidRPr="005562FC">
        <w:rPr>
          <w:rStyle w:val="Refdenotaalpie"/>
          <w:rFonts w:ascii="Gadugi" w:hAnsi="Gadugi"/>
          <w:szCs w:val="24"/>
        </w:rPr>
        <w:footnoteReference w:id="11"/>
      </w:r>
      <w:r w:rsidR="00726DDF" w:rsidRPr="005562FC">
        <w:rPr>
          <w:rFonts w:ascii="Gadugi" w:hAnsi="Gadugi"/>
          <w:szCs w:val="24"/>
        </w:rPr>
        <w:t>,</w:t>
      </w:r>
      <w:r w:rsidRPr="005562FC">
        <w:rPr>
          <w:rFonts w:ascii="Gadugi" w:hAnsi="Gadugi"/>
          <w:szCs w:val="24"/>
        </w:rPr>
        <w:t xml:space="preserve"> decretó el embargo pedido</w:t>
      </w:r>
      <w:r w:rsidRPr="005562FC">
        <w:rPr>
          <w:rStyle w:val="Refdenotaalpie"/>
          <w:rFonts w:ascii="Gadugi" w:hAnsi="Gadugi"/>
          <w:szCs w:val="24"/>
        </w:rPr>
        <w:footnoteReference w:id="12"/>
      </w:r>
      <w:r w:rsidRPr="005562FC">
        <w:rPr>
          <w:rFonts w:ascii="Gadugi" w:hAnsi="Gadugi"/>
          <w:szCs w:val="24"/>
        </w:rPr>
        <w:t xml:space="preserve"> y expidió el oficio 251, el 13 de abril siguiente</w:t>
      </w:r>
      <w:r w:rsidRPr="005562FC">
        <w:rPr>
          <w:rStyle w:val="Refdenotaalpie"/>
          <w:rFonts w:ascii="Gadugi" w:hAnsi="Gadugi"/>
          <w:szCs w:val="24"/>
        </w:rPr>
        <w:footnoteReference w:id="13"/>
      </w:r>
      <w:r w:rsidRPr="005562FC">
        <w:rPr>
          <w:rFonts w:ascii="Gadugi" w:hAnsi="Gadugi"/>
          <w:szCs w:val="24"/>
        </w:rPr>
        <w:t>; pero, otra vez, la medida fracasó, dado que se registró previamente un embargo del Juzgado Tercero Civil Municipal de Cartago</w:t>
      </w:r>
      <w:r w:rsidRPr="005562FC">
        <w:rPr>
          <w:rStyle w:val="Refdenotaalpie"/>
          <w:rFonts w:ascii="Gadugi" w:hAnsi="Gadugi"/>
          <w:szCs w:val="24"/>
        </w:rPr>
        <w:footnoteReference w:id="14"/>
      </w:r>
      <w:r w:rsidRPr="005562FC">
        <w:rPr>
          <w:rFonts w:ascii="Gadugi" w:hAnsi="Gadugi"/>
          <w:szCs w:val="24"/>
        </w:rPr>
        <w:t>, lo que se puso en conocimiento de la parte interesada</w:t>
      </w:r>
      <w:r w:rsidRPr="005562FC">
        <w:rPr>
          <w:rStyle w:val="Refdenotaalpie"/>
          <w:rFonts w:ascii="Gadugi" w:hAnsi="Gadugi"/>
          <w:szCs w:val="24"/>
        </w:rPr>
        <w:footnoteReference w:id="15"/>
      </w:r>
      <w:r w:rsidRPr="005562FC">
        <w:rPr>
          <w:rFonts w:ascii="Gadugi" w:hAnsi="Gadugi"/>
          <w:szCs w:val="24"/>
        </w:rPr>
        <w:t xml:space="preserve">. </w:t>
      </w:r>
    </w:p>
    <w:p w14:paraId="552A6205" w14:textId="790956CF" w:rsidR="00B87A74" w:rsidRPr="005562FC" w:rsidRDefault="00B87A74" w:rsidP="005562FC">
      <w:pPr>
        <w:pStyle w:val="Textoindependiente"/>
        <w:spacing w:line="276" w:lineRule="auto"/>
        <w:ind w:firstLine="1701"/>
        <w:rPr>
          <w:rFonts w:ascii="Gadugi" w:hAnsi="Gadugi"/>
          <w:b/>
          <w:szCs w:val="24"/>
        </w:rPr>
      </w:pPr>
    </w:p>
    <w:p w14:paraId="065CD170" w14:textId="6CBE7CA5" w:rsidR="007D3BD2" w:rsidRPr="005562FC" w:rsidRDefault="007D3BD2" w:rsidP="005562FC">
      <w:pPr>
        <w:pStyle w:val="Textoindependiente"/>
        <w:spacing w:line="276" w:lineRule="auto"/>
        <w:ind w:firstLine="1701"/>
        <w:rPr>
          <w:rFonts w:ascii="Gadugi" w:hAnsi="Gadugi"/>
          <w:b/>
          <w:szCs w:val="24"/>
        </w:rPr>
      </w:pPr>
      <w:r w:rsidRPr="005562FC">
        <w:rPr>
          <w:rFonts w:ascii="Gadugi" w:hAnsi="Gadugi"/>
          <w:b/>
          <w:szCs w:val="24"/>
        </w:rPr>
        <w:t>CONSIDERACIONES</w:t>
      </w:r>
    </w:p>
    <w:p w14:paraId="5A8A08A4" w14:textId="7C7A5B42" w:rsidR="007D3BD2" w:rsidRPr="005562FC" w:rsidRDefault="007D3BD2" w:rsidP="005562FC">
      <w:pPr>
        <w:pStyle w:val="Textoindependiente"/>
        <w:spacing w:line="276" w:lineRule="auto"/>
        <w:ind w:firstLine="1701"/>
        <w:rPr>
          <w:rFonts w:ascii="Gadugi" w:hAnsi="Gadugi"/>
          <w:szCs w:val="24"/>
        </w:rPr>
      </w:pPr>
    </w:p>
    <w:p w14:paraId="7D0BF174" w14:textId="52C374E5" w:rsidR="007D3BD2" w:rsidRPr="005562FC" w:rsidRDefault="007D3BD2" w:rsidP="005562FC">
      <w:pPr>
        <w:pStyle w:val="Textoindependiente"/>
        <w:numPr>
          <w:ilvl w:val="0"/>
          <w:numId w:val="21"/>
        </w:numPr>
        <w:spacing w:line="276" w:lineRule="auto"/>
        <w:ind w:left="0" w:firstLine="1701"/>
        <w:rPr>
          <w:rFonts w:ascii="Gadugi" w:hAnsi="Gadugi"/>
          <w:szCs w:val="24"/>
        </w:rPr>
      </w:pPr>
      <w:r w:rsidRPr="005562FC">
        <w:rPr>
          <w:rFonts w:ascii="Gadugi" w:hAnsi="Gadugi"/>
          <w:szCs w:val="24"/>
        </w:rPr>
        <w:t>Esta Sala es competente para resolver el recurso propuesto, en los términos del artículo 35 del CGP, mismo que se torna procedente, según lo previene el artículo 321-</w:t>
      </w:r>
      <w:r w:rsidR="00B5770D" w:rsidRPr="005562FC">
        <w:rPr>
          <w:rFonts w:ascii="Gadugi" w:hAnsi="Gadugi"/>
          <w:szCs w:val="24"/>
        </w:rPr>
        <w:t>8</w:t>
      </w:r>
      <w:r w:rsidRPr="005562FC">
        <w:rPr>
          <w:rFonts w:ascii="Gadugi" w:hAnsi="Gadugi"/>
          <w:szCs w:val="24"/>
        </w:rPr>
        <w:t xml:space="preserve"> ibidem, fue propuesto por persona legitimada y en la oportunidad prevista para ello en el artículo 322 de la misma obra, a más de haber sido debidamente sustentado. </w:t>
      </w:r>
    </w:p>
    <w:p w14:paraId="40768EA3" w14:textId="5189E21C" w:rsidR="000644A6" w:rsidRPr="005562FC" w:rsidRDefault="000644A6" w:rsidP="005562FC">
      <w:pPr>
        <w:spacing w:line="276" w:lineRule="auto"/>
        <w:jc w:val="both"/>
        <w:rPr>
          <w:rFonts w:ascii="Gadugi" w:hAnsi="Gadugi" w:cs="Courier New"/>
          <w:sz w:val="24"/>
          <w:szCs w:val="24"/>
          <w:lang w:val="es-MX"/>
        </w:rPr>
      </w:pPr>
    </w:p>
    <w:p w14:paraId="5508176C" w14:textId="77777777" w:rsidR="00D35B92" w:rsidRPr="005562FC" w:rsidRDefault="00F416A8" w:rsidP="005562FC">
      <w:pPr>
        <w:pStyle w:val="Prrafodelista"/>
        <w:numPr>
          <w:ilvl w:val="0"/>
          <w:numId w:val="21"/>
        </w:numPr>
        <w:spacing w:after="0"/>
        <w:ind w:left="0" w:firstLine="1701"/>
        <w:jc w:val="both"/>
        <w:rPr>
          <w:rFonts w:ascii="Gadugi" w:hAnsi="Gadugi" w:cs="Courier New"/>
          <w:sz w:val="24"/>
          <w:szCs w:val="24"/>
          <w:lang w:val="es-MX"/>
        </w:rPr>
      </w:pPr>
      <w:r w:rsidRPr="005562FC">
        <w:rPr>
          <w:rFonts w:ascii="Gadugi" w:hAnsi="Gadugi" w:cs="Courier New"/>
          <w:sz w:val="24"/>
          <w:szCs w:val="24"/>
          <w:lang w:val="es-MX"/>
        </w:rPr>
        <w:t xml:space="preserve">Por anticipado, se advierte que la providencia será </w:t>
      </w:r>
      <w:r w:rsidR="002840AE" w:rsidRPr="005562FC">
        <w:rPr>
          <w:rFonts w:ascii="Gadugi" w:hAnsi="Gadugi" w:cs="Courier New"/>
          <w:sz w:val="24"/>
          <w:szCs w:val="24"/>
          <w:lang w:val="es-MX"/>
        </w:rPr>
        <w:t>confirmada</w:t>
      </w:r>
      <w:r w:rsidRPr="005562FC">
        <w:rPr>
          <w:rFonts w:ascii="Gadugi" w:hAnsi="Gadugi" w:cs="Courier New"/>
          <w:sz w:val="24"/>
          <w:szCs w:val="24"/>
          <w:lang w:val="es-MX"/>
        </w:rPr>
        <w:t xml:space="preserve">, no obstante lo inútil y desgastante que resulta para el proceso el presente trámite, que a nada conduce, como adelante se analizará. </w:t>
      </w:r>
    </w:p>
    <w:p w14:paraId="3277772E" w14:textId="77777777" w:rsidR="00D35B92" w:rsidRPr="005562FC" w:rsidRDefault="00D35B92" w:rsidP="005562FC">
      <w:pPr>
        <w:pStyle w:val="Prrafodelista"/>
        <w:spacing w:after="0"/>
        <w:rPr>
          <w:rFonts w:ascii="Gadugi" w:hAnsi="Gadugi" w:cs="Courier New"/>
          <w:sz w:val="24"/>
          <w:szCs w:val="24"/>
          <w:lang w:val="es-MX"/>
        </w:rPr>
      </w:pPr>
    </w:p>
    <w:p w14:paraId="1DE12D86" w14:textId="7840C184" w:rsidR="00F416A8" w:rsidRPr="005562FC" w:rsidRDefault="002840AE" w:rsidP="005562FC">
      <w:pPr>
        <w:pStyle w:val="Prrafodelista"/>
        <w:numPr>
          <w:ilvl w:val="0"/>
          <w:numId w:val="21"/>
        </w:numPr>
        <w:spacing w:after="0"/>
        <w:ind w:left="0" w:firstLine="1701"/>
        <w:jc w:val="both"/>
        <w:rPr>
          <w:rFonts w:ascii="Gadugi" w:hAnsi="Gadugi" w:cs="Courier New"/>
          <w:sz w:val="24"/>
          <w:szCs w:val="24"/>
          <w:lang w:val="es-MX"/>
        </w:rPr>
      </w:pPr>
      <w:r w:rsidRPr="005562FC">
        <w:rPr>
          <w:rFonts w:ascii="Gadugi" w:hAnsi="Gadugi" w:cs="Courier New"/>
          <w:sz w:val="24"/>
          <w:szCs w:val="24"/>
          <w:lang w:val="es-MX"/>
        </w:rPr>
        <w:t>Establece el literal b) del artículo 590 del CGP, que en los procesos declarativos, y en particular aquellos en los que se persiga el pago de perjuicios derivados de una responsabilidad contractual o extracontractual, cuando la sentencia sea favorable al demandante, este puede solicitar el embargo y secuestro de los bienes que hubieren sido afectados previamente con inscripción de la demanda, o bien de los que se denuncien como de propiedad del demandado, en cantidad suficiente para el cumplimiento del fallo.</w:t>
      </w:r>
    </w:p>
    <w:p w14:paraId="674CD6FE" w14:textId="2ADBAD03" w:rsidR="002840AE" w:rsidRPr="005562FC" w:rsidRDefault="002840AE" w:rsidP="005562FC">
      <w:pPr>
        <w:spacing w:line="276" w:lineRule="auto"/>
        <w:jc w:val="both"/>
        <w:rPr>
          <w:rFonts w:ascii="Gadugi" w:eastAsia="Calibri" w:hAnsi="Gadugi" w:cs="Courier New"/>
          <w:sz w:val="24"/>
          <w:szCs w:val="24"/>
          <w:lang w:val="es-MX" w:eastAsia="en-US"/>
        </w:rPr>
      </w:pPr>
    </w:p>
    <w:p w14:paraId="14E7B4CB" w14:textId="77777777" w:rsidR="00266E90" w:rsidRPr="005562FC" w:rsidRDefault="002840AE" w:rsidP="005562FC">
      <w:pPr>
        <w:spacing w:line="276" w:lineRule="auto"/>
        <w:ind w:firstLine="1701"/>
        <w:jc w:val="both"/>
        <w:rPr>
          <w:rFonts w:ascii="Gadugi" w:hAnsi="Gadugi"/>
          <w:sz w:val="24"/>
          <w:szCs w:val="24"/>
        </w:rPr>
      </w:pPr>
      <w:r w:rsidRPr="005562FC">
        <w:rPr>
          <w:rFonts w:ascii="Gadugi" w:hAnsi="Gadugi" w:cs="Courier New"/>
          <w:sz w:val="24"/>
          <w:szCs w:val="24"/>
          <w:lang w:val="es-MX"/>
        </w:rPr>
        <w:t xml:space="preserve">En ejercicio de esa prerrogativa, el apoderado judicial de los demandantes pidió, </w:t>
      </w:r>
      <w:r w:rsidR="00266E90" w:rsidRPr="005562FC">
        <w:rPr>
          <w:rFonts w:ascii="Gadugi" w:hAnsi="Gadugi" w:cs="Courier New"/>
          <w:sz w:val="24"/>
          <w:szCs w:val="24"/>
          <w:lang w:val="es-MX"/>
        </w:rPr>
        <w:t xml:space="preserve">desde el mes de diciembre de 2020, que se ordenara el embargo del vehículo de placas </w:t>
      </w:r>
      <w:r w:rsidR="00266E90" w:rsidRPr="005562FC">
        <w:rPr>
          <w:rFonts w:ascii="Gadugi" w:hAnsi="Gadugi"/>
          <w:sz w:val="24"/>
          <w:szCs w:val="24"/>
        </w:rPr>
        <w:t xml:space="preserve">NCZ-244, a lo que el Juzgado accedió, con auto del 7 de esa calenda. </w:t>
      </w:r>
    </w:p>
    <w:p w14:paraId="270FE909" w14:textId="77777777" w:rsidR="00266E90" w:rsidRPr="005562FC" w:rsidRDefault="00266E90" w:rsidP="005562FC">
      <w:pPr>
        <w:spacing w:line="276" w:lineRule="auto"/>
        <w:ind w:firstLine="1701"/>
        <w:jc w:val="both"/>
        <w:rPr>
          <w:rFonts w:ascii="Gadugi" w:hAnsi="Gadugi" w:cs="Courier New"/>
          <w:sz w:val="24"/>
          <w:szCs w:val="24"/>
          <w:lang w:val="es-MX"/>
        </w:rPr>
      </w:pPr>
    </w:p>
    <w:p w14:paraId="5BD7890A" w14:textId="77777777" w:rsidR="00266E90" w:rsidRPr="005562FC" w:rsidRDefault="00266E90" w:rsidP="005562FC">
      <w:pPr>
        <w:spacing w:line="276" w:lineRule="auto"/>
        <w:ind w:firstLine="1701"/>
        <w:jc w:val="both"/>
        <w:rPr>
          <w:rFonts w:ascii="Gadugi" w:hAnsi="Gadugi" w:cs="Courier New"/>
          <w:sz w:val="24"/>
          <w:szCs w:val="24"/>
          <w:lang w:val="es-MX"/>
        </w:rPr>
      </w:pPr>
      <w:r w:rsidRPr="005562FC">
        <w:rPr>
          <w:rFonts w:ascii="Gadugi" w:hAnsi="Gadugi" w:cs="Courier New"/>
          <w:sz w:val="24"/>
          <w:szCs w:val="24"/>
          <w:lang w:val="es-MX"/>
        </w:rPr>
        <w:t xml:space="preserve">Es fácil ver, del derrotero que se hizo en los antecedentes, que para ese momento, </w:t>
      </w:r>
      <w:bookmarkStart w:id="2" w:name="_Hlk94082633"/>
      <w:r w:rsidRPr="005562FC">
        <w:rPr>
          <w:rFonts w:ascii="Gadugi" w:hAnsi="Gadugi" w:cs="Courier New"/>
          <w:sz w:val="24"/>
          <w:szCs w:val="24"/>
          <w:lang w:val="es-MX"/>
        </w:rPr>
        <w:t>la parte demandante, favorecida con la sentencia en el proceso declarativo, no solicitó que se librara la orden ejecutiva para hacer efectiva la condena; solo se concentró en la medida de embargo y secuestro de un automotor</w:t>
      </w:r>
      <w:bookmarkEnd w:id="2"/>
      <w:r w:rsidRPr="005562FC">
        <w:rPr>
          <w:rFonts w:ascii="Gadugi" w:hAnsi="Gadugi" w:cs="Courier New"/>
          <w:sz w:val="24"/>
          <w:szCs w:val="24"/>
          <w:lang w:val="es-MX"/>
        </w:rPr>
        <w:t xml:space="preserve">, que resultaba viable, y muy a pesar de lo que se sostiene en el recurso, en los términos del inciso segundo del literal b) del artículo 590 del CGP, que permite embargar y secuestrar, no solo los bienes que hubieran sido objeto de inscripción de la demanda, sino aquellos que se denuncien como de propiedad del demandado. </w:t>
      </w:r>
    </w:p>
    <w:p w14:paraId="0391BDA4" w14:textId="77777777" w:rsidR="00266E90" w:rsidRPr="005562FC" w:rsidRDefault="00266E90" w:rsidP="005562FC">
      <w:pPr>
        <w:spacing w:line="276" w:lineRule="auto"/>
        <w:ind w:firstLine="1701"/>
        <w:jc w:val="both"/>
        <w:rPr>
          <w:rFonts w:ascii="Gadugi" w:hAnsi="Gadugi" w:cs="Courier New"/>
          <w:sz w:val="24"/>
          <w:szCs w:val="24"/>
          <w:lang w:val="es-MX"/>
        </w:rPr>
      </w:pPr>
    </w:p>
    <w:p w14:paraId="5C17EB07" w14:textId="77777777" w:rsidR="00266E90" w:rsidRPr="005562FC" w:rsidRDefault="00266E90" w:rsidP="005562FC">
      <w:pPr>
        <w:spacing w:line="276" w:lineRule="auto"/>
        <w:ind w:firstLine="1701"/>
        <w:jc w:val="both"/>
        <w:rPr>
          <w:rFonts w:ascii="Gadugi" w:hAnsi="Gadugi" w:cs="Courier New"/>
          <w:sz w:val="24"/>
          <w:szCs w:val="24"/>
          <w:lang w:val="es-MX"/>
        </w:rPr>
      </w:pPr>
      <w:r w:rsidRPr="005562FC">
        <w:rPr>
          <w:rFonts w:ascii="Gadugi" w:hAnsi="Gadugi" w:cs="Courier New"/>
          <w:sz w:val="24"/>
          <w:szCs w:val="24"/>
          <w:lang w:val="es-MX"/>
        </w:rPr>
        <w:t xml:space="preserve">Ahora bien, como no solicitó el mandamiento ejecutivo en la oportunidad señalada por el artículo 306 del mismo estatuto, no quedaba alternativa diferente para el Juzgado que la de proceder al levantamiento de las medidas que, en realidad, no habían surtido efecto hasta ese momento, pues así lo establece el parágrafo 2 del artículo 590 citado. </w:t>
      </w:r>
    </w:p>
    <w:p w14:paraId="4D307FA6" w14:textId="77777777" w:rsidR="00266E90" w:rsidRPr="005562FC" w:rsidRDefault="00266E90" w:rsidP="005562FC">
      <w:pPr>
        <w:spacing w:line="276" w:lineRule="auto"/>
        <w:ind w:firstLine="1701"/>
        <w:jc w:val="both"/>
        <w:rPr>
          <w:rFonts w:ascii="Gadugi" w:hAnsi="Gadugi" w:cs="Courier New"/>
          <w:sz w:val="24"/>
          <w:szCs w:val="24"/>
          <w:lang w:val="es-MX"/>
        </w:rPr>
      </w:pPr>
    </w:p>
    <w:p w14:paraId="630FF952" w14:textId="61C415EF" w:rsidR="008315AC" w:rsidRPr="005562FC" w:rsidRDefault="00266E90" w:rsidP="005562FC">
      <w:pPr>
        <w:pStyle w:val="Textoindependiente"/>
        <w:spacing w:line="276" w:lineRule="auto"/>
        <w:ind w:firstLine="1701"/>
        <w:rPr>
          <w:rFonts w:ascii="Gadugi" w:hAnsi="Gadugi"/>
          <w:szCs w:val="24"/>
        </w:rPr>
      </w:pPr>
      <w:r w:rsidRPr="005562FC">
        <w:rPr>
          <w:rFonts w:ascii="Gadugi" w:hAnsi="Gadugi"/>
          <w:szCs w:val="24"/>
        </w:rPr>
        <w:t xml:space="preserve">Así que todos los argumentos que blande el recurrente se caen por su propio peso. En primer lugar, </w:t>
      </w:r>
      <w:r w:rsidR="000B748C" w:rsidRPr="005562FC">
        <w:rPr>
          <w:rFonts w:ascii="Gadugi" w:hAnsi="Gadugi"/>
          <w:szCs w:val="24"/>
        </w:rPr>
        <w:t xml:space="preserve">a juicio de la Sala, aquí si tiene relevancia el literal b) del artículo 590, según se señaló, dado que </w:t>
      </w:r>
      <w:r w:rsidR="0067584B" w:rsidRPr="005562FC">
        <w:rPr>
          <w:rFonts w:ascii="Gadugi" w:hAnsi="Gadugi"/>
          <w:szCs w:val="24"/>
        </w:rPr>
        <w:t>contempla la posibilidad de sol</w:t>
      </w:r>
      <w:r w:rsidR="008315AC" w:rsidRPr="005562FC">
        <w:rPr>
          <w:rFonts w:ascii="Gadugi" w:hAnsi="Gadugi"/>
          <w:szCs w:val="24"/>
        </w:rPr>
        <w:t>i</w:t>
      </w:r>
      <w:r w:rsidR="0067584B" w:rsidRPr="005562FC">
        <w:rPr>
          <w:rFonts w:ascii="Gadugi" w:hAnsi="Gadugi"/>
          <w:szCs w:val="24"/>
        </w:rPr>
        <w:t xml:space="preserve">citar el embargo y secuestro de bienes </w:t>
      </w:r>
      <w:r w:rsidR="008315AC" w:rsidRPr="005562FC">
        <w:rPr>
          <w:rFonts w:ascii="Gadugi" w:hAnsi="Gadugi"/>
          <w:szCs w:val="24"/>
        </w:rPr>
        <w:t xml:space="preserve">del demandado, una vez obtenida sentencia de primera instancia favorable. </w:t>
      </w:r>
    </w:p>
    <w:p w14:paraId="09A41579" w14:textId="77777777" w:rsidR="008315AC" w:rsidRPr="005562FC" w:rsidRDefault="008315AC" w:rsidP="005562FC">
      <w:pPr>
        <w:pStyle w:val="Textoindependiente"/>
        <w:spacing w:line="276" w:lineRule="auto"/>
        <w:ind w:firstLine="1701"/>
        <w:rPr>
          <w:rFonts w:ascii="Gadugi" w:hAnsi="Gadugi"/>
          <w:szCs w:val="24"/>
        </w:rPr>
      </w:pPr>
    </w:p>
    <w:p w14:paraId="59192CDE" w14:textId="3A8A5674" w:rsidR="008315AC" w:rsidRPr="005562FC" w:rsidRDefault="008315AC" w:rsidP="005562FC">
      <w:pPr>
        <w:pStyle w:val="Textoindependiente"/>
        <w:spacing w:line="276" w:lineRule="auto"/>
        <w:ind w:firstLine="1701"/>
        <w:rPr>
          <w:rFonts w:ascii="Gadugi" w:hAnsi="Gadugi"/>
          <w:szCs w:val="24"/>
        </w:rPr>
      </w:pPr>
      <w:r w:rsidRPr="005562FC">
        <w:rPr>
          <w:rFonts w:ascii="Gadugi" w:hAnsi="Gadugi"/>
          <w:szCs w:val="24"/>
        </w:rPr>
        <w:t>En segundo lugar, podrá pensarse, como parece hacerlo el apoderado de los demandantes, que una vez proferida la sentencia de segundo grado, tal alternativa ya es inviable, pero lo cierto es que la norma no consagra semejante limitación y, además, no tendría sentido, porque</w:t>
      </w:r>
      <w:r w:rsidR="00726DDF" w:rsidRPr="005562FC">
        <w:rPr>
          <w:rFonts w:ascii="Gadugi" w:hAnsi="Gadugi"/>
          <w:szCs w:val="24"/>
        </w:rPr>
        <w:t>,</w:t>
      </w:r>
      <w:r w:rsidRPr="005562FC">
        <w:rPr>
          <w:rFonts w:ascii="Gadugi" w:hAnsi="Gadugi"/>
          <w:szCs w:val="24"/>
        </w:rPr>
        <w:t xml:space="preserve"> podría tratarse de un proceso de única instancia, con lo que, parece claro que el requisito aquí, es que se cuente con sentencia a favor de los intereses del actor. </w:t>
      </w:r>
    </w:p>
    <w:p w14:paraId="182C1B23" w14:textId="6F19C802" w:rsidR="009D52F3" w:rsidRPr="005562FC" w:rsidRDefault="009D52F3" w:rsidP="005562FC">
      <w:pPr>
        <w:pStyle w:val="Textoindependiente"/>
        <w:spacing w:line="276" w:lineRule="auto"/>
        <w:ind w:firstLine="1701"/>
        <w:rPr>
          <w:rFonts w:ascii="Gadugi" w:hAnsi="Gadugi"/>
          <w:szCs w:val="24"/>
        </w:rPr>
      </w:pPr>
    </w:p>
    <w:p w14:paraId="4B1ADAB4" w14:textId="196266B1" w:rsidR="009D52F3" w:rsidRPr="005562FC" w:rsidRDefault="009D52F3" w:rsidP="005562FC">
      <w:pPr>
        <w:pStyle w:val="Textoindependiente"/>
        <w:spacing w:line="276" w:lineRule="auto"/>
        <w:ind w:firstLine="1701"/>
        <w:rPr>
          <w:rFonts w:ascii="Gadugi" w:hAnsi="Gadugi"/>
          <w:szCs w:val="24"/>
        </w:rPr>
      </w:pPr>
      <w:r w:rsidRPr="005562FC">
        <w:rPr>
          <w:rFonts w:ascii="Gadugi" w:hAnsi="Gadugi"/>
          <w:szCs w:val="24"/>
        </w:rPr>
        <w:t xml:space="preserve">Ahora, si no se le diera ese alcance a la norma, sino el que refieren los accionantes, es obvio que el levantamiento de la medida se imponía por sí solo, dado que para cuando se ordenó, los accionantes no habían solicitado que se iniciara la ejecución a continuación del declarativo; solo vinieron a hacerlo en el mes de marzo de 2021, y </w:t>
      </w:r>
      <w:r w:rsidR="007D04C3" w:rsidRPr="005562FC">
        <w:rPr>
          <w:rFonts w:ascii="Gadugi" w:hAnsi="Gadugi"/>
          <w:szCs w:val="24"/>
        </w:rPr>
        <w:t>sería</w:t>
      </w:r>
      <w:r w:rsidRPr="005562FC">
        <w:rPr>
          <w:rFonts w:ascii="Gadugi" w:hAnsi="Gadugi"/>
          <w:szCs w:val="24"/>
        </w:rPr>
        <w:t xml:space="preserve"> a partir de allí, como prevé el artículo 599 del CGP, </w:t>
      </w:r>
      <w:r w:rsidR="007D04C3" w:rsidRPr="005562FC">
        <w:rPr>
          <w:rFonts w:ascii="Gadugi" w:hAnsi="Gadugi"/>
          <w:szCs w:val="24"/>
        </w:rPr>
        <w:t xml:space="preserve">que se </w:t>
      </w:r>
      <w:r w:rsidRPr="005562FC">
        <w:rPr>
          <w:rFonts w:ascii="Gadugi" w:hAnsi="Gadugi"/>
          <w:szCs w:val="24"/>
        </w:rPr>
        <w:t xml:space="preserve">abriría paso esa petición. </w:t>
      </w:r>
    </w:p>
    <w:p w14:paraId="33B346A4" w14:textId="77777777" w:rsidR="008315AC" w:rsidRPr="005562FC" w:rsidRDefault="008315AC" w:rsidP="005562FC">
      <w:pPr>
        <w:pStyle w:val="Textoindependiente"/>
        <w:spacing w:line="276" w:lineRule="auto"/>
        <w:ind w:firstLine="1701"/>
        <w:rPr>
          <w:rFonts w:ascii="Gadugi" w:hAnsi="Gadugi"/>
          <w:szCs w:val="24"/>
        </w:rPr>
      </w:pPr>
    </w:p>
    <w:p w14:paraId="5208CA28" w14:textId="71A22A50" w:rsidR="007D04C3" w:rsidRPr="005562FC" w:rsidRDefault="008315AC" w:rsidP="005562FC">
      <w:pPr>
        <w:pStyle w:val="Textoindependiente"/>
        <w:spacing w:line="276" w:lineRule="auto"/>
        <w:ind w:firstLine="1701"/>
        <w:rPr>
          <w:rFonts w:ascii="Gadugi" w:hAnsi="Gadugi"/>
          <w:szCs w:val="24"/>
        </w:rPr>
      </w:pPr>
      <w:r w:rsidRPr="005562FC">
        <w:rPr>
          <w:rFonts w:ascii="Gadugi" w:hAnsi="Gadugi"/>
          <w:szCs w:val="24"/>
        </w:rPr>
        <w:t>De otro lado, contrario a lo que piensan los impugnantes, la Sala coincide con la funcionaria en el sentido de que el término al que se refiere el parágrafo 2 del artículo 590, es el de los treinta días que prevé el inciso segundo; no hay otra forma de entenderlo, porque, de no ser así, podría mantenerse una medida en el tiempo, al menos, mientras no prescriba la obligación, sin que cumpliera el propósito de hacer verdaderamente efectiva una decisión judicial, que es uno de sus principales fines</w:t>
      </w:r>
      <w:r w:rsidR="009D52F3" w:rsidRPr="005562FC">
        <w:rPr>
          <w:rFonts w:ascii="Gadugi" w:hAnsi="Gadugi"/>
          <w:szCs w:val="24"/>
        </w:rPr>
        <w:t xml:space="preserve">. </w:t>
      </w:r>
      <w:r w:rsidR="007D04C3" w:rsidRPr="005562FC">
        <w:rPr>
          <w:rFonts w:ascii="Gadugi" w:hAnsi="Gadugi"/>
          <w:szCs w:val="24"/>
        </w:rPr>
        <w:t>Si así fuera, perdería todo sentido esa previsión</w:t>
      </w:r>
      <w:r w:rsidR="00726DDF" w:rsidRPr="005562FC">
        <w:rPr>
          <w:rFonts w:ascii="Gadugi" w:hAnsi="Gadugi"/>
          <w:szCs w:val="24"/>
        </w:rPr>
        <w:t xml:space="preserve"> del parágrafo.</w:t>
      </w:r>
      <w:r w:rsidR="007D04C3" w:rsidRPr="005562FC">
        <w:rPr>
          <w:rFonts w:ascii="Gadugi" w:hAnsi="Gadugi"/>
          <w:szCs w:val="24"/>
        </w:rPr>
        <w:t xml:space="preserve"> </w:t>
      </w:r>
    </w:p>
    <w:p w14:paraId="57B8EF71" w14:textId="77777777" w:rsidR="007D04C3" w:rsidRPr="005562FC" w:rsidRDefault="007D04C3" w:rsidP="005562FC">
      <w:pPr>
        <w:pStyle w:val="Textoindependiente"/>
        <w:spacing w:line="276" w:lineRule="auto"/>
        <w:ind w:firstLine="1701"/>
        <w:rPr>
          <w:rFonts w:ascii="Gadugi" w:hAnsi="Gadugi"/>
          <w:szCs w:val="24"/>
        </w:rPr>
      </w:pPr>
    </w:p>
    <w:p w14:paraId="1A337F95" w14:textId="77777777" w:rsidR="007D04C3" w:rsidRPr="005562FC" w:rsidRDefault="007D04C3" w:rsidP="005562FC">
      <w:pPr>
        <w:pStyle w:val="Textoindependiente"/>
        <w:spacing w:line="276" w:lineRule="auto"/>
        <w:ind w:firstLine="1701"/>
        <w:rPr>
          <w:rFonts w:ascii="Gadugi" w:hAnsi="Gadugi"/>
          <w:szCs w:val="24"/>
        </w:rPr>
      </w:pPr>
      <w:r w:rsidRPr="005562FC">
        <w:rPr>
          <w:rFonts w:ascii="Gadugi" w:hAnsi="Gadugi"/>
          <w:szCs w:val="24"/>
        </w:rPr>
        <w:t xml:space="preserve">Finalmente, sostienen los disidentes que </w:t>
      </w:r>
      <w:r w:rsidR="000B748C" w:rsidRPr="005562FC">
        <w:rPr>
          <w:rFonts w:ascii="Gadugi" w:hAnsi="Gadugi"/>
          <w:szCs w:val="24"/>
        </w:rPr>
        <w:t>la práctica de</w:t>
      </w:r>
      <w:r w:rsidRPr="005562FC">
        <w:rPr>
          <w:rFonts w:ascii="Gadugi" w:hAnsi="Gadugi"/>
          <w:szCs w:val="24"/>
        </w:rPr>
        <w:t xml:space="preserve">l embargo y el secuestro </w:t>
      </w:r>
      <w:r w:rsidR="000B748C" w:rsidRPr="005562FC">
        <w:rPr>
          <w:rFonts w:ascii="Gadugi" w:hAnsi="Gadugi"/>
          <w:szCs w:val="24"/>
        </w:rPr>
        <w:t xml:space="preserve">también tiene origen en el artículo 593 del CGP, </w:t>
      </w:r>
      <w:r w:rsidRPr="005562FC">
        <w:rPr>
          <w:rFonts w:ascii="Gadugi" w:hAnsi="Gadugi"/>
          <w:szCs w:val="24"/>
        </w:rPr>
        <w:t xml:space="preserve">si bien </w:t>
      </w:r>
      <w:r w:rsidR="000B748C" w:rsidRPr="005562FC">
        <w:rPr>
          <w:rFonts w:ascii="Gadugi" w:hAnsi="Gadugi"/>
          <w:szCs w:val="24"/>
        </w:rPr>
        <w:t>existe una obligación dineraria a cargo de la parte demandada</w:t>
      </w:r>
      <w:r w:rsidRPr="005562FC">
        <w:rPr>
          <w:rFonts w:ascii="Gadugi" w:hAnsi="Gadugi"/>
          <w:szCs w:val="24"/>
        </w:rPr>
        <w:t xml:space="preserve">. Eso es cierto; pero también lo es que, </w:t>
      </w:r>
      <w:bookmarkStart w:id="3" w:name="_Hlk94084320"/>
      <w:r w:rsidRPr="005562FC">
        <w:rPr>
          <w:rFonts w:ascii="Gadugi" w:hAnsi="Gadugi"/>
          <w:szCs w:val="24"/>
        </w:rPr>
        <w:t xml:space="preserve">salvo los casos contemplados en el artículo 590, como este que ahora nos ocupa, para que esa obligación dineraria se cumpla coercitivamente, es menester, según se indicó ya, que el juez libre una orden de pago, acompañada de las medidas de embargo y secuestro sobre bienes del deudor. Pero esa no es la cuestión que aquí se debate. </w:t>
      </w:r>
      <w:r w:rsidRPr="005562FC">
        <w:rPr>
          <w:rFonts w:ascii="Gadugi" w:hAnsi="Gadugi"/>
          <w:szCs w:val="24"/>
        </w:rPr>
        <w:lastRenderedPageBreak/>
        <w:t xml:space="preserve">Justamente, es por eso que el parágrafo mentado señala que si no se inicia en tiempo la ejecución, tienen que ser levantadas las cautelas que en el declarativo se hayan ordenado. </w:t>
      </w:r>
    </w:p>
    <w:bookmarkEnd w:id="3"/>
    <w:p w14:paraId="0688BAE7" w14:textId="77777777" w:rsidR="007D04C3" w:rsidRPr="005562FC" w:rsidRDefault="007D04C3" w:rsidP="005562FC">
      <w:pPr>
        <w:pStyle w:val="Textoindependiente"/>
        <w:spacing w:line="276" w:lineRule="auto"/>
        <w:ind w:firstLine="1701"/>
        <w:rPr>
          <w:rFonts w:ascii="Gadugi" w:hAnsi="Gadugi"/>
          <w:szCs w:val="24"/>
        </w:rPr>
      </w:pPr>
    </w:p>
    <w:p w14:paraId="42E67DF1" w14:textId="77777777" w:rsidR="00455980" w:rsidRPr="005562FC" w:rsidRDefault="007D04C3" w:rsidP="005562FC">
      <w:pPr>
        <w:pStyle w:val="Prrafodelista"/>
        <w:numPr>
          <w:ilvl w:val="0"/>
          <w:numId w:val="21"/>
        </w:numPr>
        <w:spacing w:after="0"/>
        <w:ind w:left="0" w:firstLine="1701"/>
        <w:jc w:val="both"/>
        <w:rPr>
          <w:rFonts w:ascii="Gadugi" w:hAnsi="Gadugi" w:cs="Courier New"/>
          <w:sz w:val="24"/>
          <w:szCs w:val="24"/>
          <w:lang w:val="es-MX"/>
        </w:rPr>
      </w:pPr>
      <w:r w:rsidRPr="005562FC">
        <w:rPr>
          <w:rFonts w:ascii="Gadugi" w:hAnsi="Gadugi" w:cs="Courier New"/>
          <w:sz w:val="24"/>
          <w:szCs w:val="24"/>
          <w:lang w:val="es-MX"/>
        </w:rPr>
        <w:t>Con este breviario, se confirmará el auto protestado y, en atención a lo normado por el artículo 365-1</w:t>
      </w:r>
      <w:r w:rsidR="00455980" w:rsidRPr="005562FC">
        <w:rPr>
          <w:rFonts w:ascii="Gadugi" w:hAnsi="Gadugi" w:cs="Courier New"/>
          <w:sz w:val="24"/>
          <w:szCs w:val="24"/>
          <w:lang w:val="es-MX"/>
        </w:rPr>
        <w:t xml:space="preserve"> del CGP, se condenará en costas a los demandantes, a favor de los demandados. Ellas se liquidarán en la forma señalada por el artículo 366 del mismo estatuto, ante el juez de primer grado. Para ese fin, en auto separado, se señalarán las agencias en derecho que a esta sede correspondan. </w:t>
      </w:r>
    </w:p>
    <w:p w14:paraId="3485F15D" w14:textId="77777777" w:rsidR="00455980" w:rsidRPr="005562FC" w:rsidRDefault="00455980" w:rsidP="005562FC">
      <w:pPr>
        <w:pStyle w:val="Prrafodelista"/>
        <w:spacing w:after="0"/>
        <w:ind w:left="1701"/>
        <w:jc w:val="both"/>
        <w:rPr>
          <w:rFonts w:ascii="Gadugi" w:hAnsi="Gadugi" w:cs="Courier New"/>
          <w:sz w:val="24"/>
          <w:szCs w:val="24"/>
          <w:lang w:val="es-MX"/>
        </w:rPr>
      </w:pPr>
    </w:p>
    <w:p w14:paraId="45115ABF" w14:textId="5FF6B2E0" w:rsidR="00455980" w:rsidRPr="005562FC" w:rsidRDefault="00455980" w:rsidP="005562FC">
      <w:pPr>
        <w:pStyle w:val="Prrafodelista"/>
        <w:numPr>
          <w:ilvl w:val="0"/>
          <w:numId w:val="21"/>
        </w:numPr>
        <w:spacing w:after="0"/>
        <w:ind w:left="0" w:firstLine="1701"/>
        <w:jc w:val="both"/>
        <w:rPr>
          <w:rFonts w:ascii="Gadugi" w:hAnsi="Gadugi" w:cs="Courier New"/>
          <w:sz w:val="24"/>
          <w:szCs w:val="24"/>
          <w:lang w:val="es-MX"/>
        </w:rPr>
      </w:pPr>
      <w:r w:rsidRPr="005562FC">
        <w:rPr>
          <w:rFonts w:ascii="Gadugi" w:hAnsi="Gadugi" w:cs="Courier New"/>
          <w:sz w:val="24"/>
          <w:szCs w:val="24"/>
          <w:lang w:val="es-MX"/>
        </w:rPr>
        <w:t>Al margen de lo dicho, y retomando el comentario inicial sobre lo improductivo de este recurso, y es algo en lo que deberían reflexionar los litigantes, dado el grado de congestión que registran los despachos judiciales, no quiere dejar pasar la Sala la oportunidad para señalar que, después de que el juzgado ordenara el levantamiento de la medida cautelar, en el mes de febrero, y ante la solicitud elevada en el mes de marzo para que se iniciara la ejecución y otra vez se dispusiera el embargo y secuestro del automotor, así procedió el Juzgado en un auto de ese mes, es decir, mucho antes de que fueran enviadas las copias a esta instancia para surtir el trámite de la alzada. Eso significa que las medidas estaban vigentes, solo que se frustr</w:t>
      </w:r>
      <w:r w:rsidR="00C915D7" w:rsidRPr="005562FC">
        <w:rPr>
          <w:rFonts w:ascii="Gadugi" w:hAnsi="Gadugi" w:cs="Courier New"/>
          <w:sz w:val="24"/>
          <w:szCs w:val="24"/>
          <w:lang w:val="es-MX"/>
        </w:rPr>
        <w:t>aron</w:t>
      </w:r>
      <w:r w:rsidRPr="005562FC">
        <w:rPr>
          <w:rFonts w:ascii="Gadugi" w:hAnsi="Gadugi" w:cs="Courier New"/>
          <w:sz w:val="24"/>
          <w:szCs w:val="24"/>
          <w:lang w:val="es-MX"/>
        </w:rPr>
        <w:t xml:space="preserve"> por un embargo que antecedió</w:t>
      </w:r>
      <w:r w:rsidR="00C915D7" w:rsidRPr="005562FC">
        <w:rPr>
          <w:rFonts w:ascii="Gadugi" w:hAnsi="Gadugi" w:cs="Courier New"/>
          <w:sz w:val="24"/>
          <w:szCs w:val="24"/>
          <w:lang w:val="es-MX"/>
        </w:rPr>
        <w:t xml:space="preserve">, inscrito en el mes de julio de 2016. </w:t>
      </w:r>
      <w:r w:rsidRPr="005562FC">
        <w:rPr>
          <w:rFonts w:ascii="Gadugi" w:hAnsi="Gadugi" w:cs="Courier New"/>
          <w:sz w:val="24"/>
          <w:szCs w:val="24"/>
          <w:lang w:val="es-MX"/>
        </w:rPr>
        <w:t xml:space="preserve"> </w:t>
      </w:r>
    </w:p>
    <w:p w14:paraId="5F282A4B" w14:textId="77777777" w:rsidR="00455980" w:rsidRPr="005562FC" w:rsidRDefault="00455980" w:rsidP="005562FC">
      <w:pPr>
        <w:pStyle w:val="Prrafodelista"/>
        <w:spacing w:after="0"/>
        <w:rPr>
          <w:rFonts w:ascii="Gadugi" w:hAnsi="Gadugi" w:cs="Courier New"/>
          <w:sz w:val="24"/>
          <w:szCs w:val="24"/>
          <w:lang w:val="es-MX"/>
        </w:rPr>
      </w:pPr>
    </w:p>
    <w:p w14:paraId="5BC63D3D" w14:textId="05FE3B34" w:rsidR="00455980" w:rsidRPr="005562FC" w:rsidRDefault="00455980" w:rsidP="005562FC">
      <w:pPr>
        <w:pStyle w:val="Prrafodelista"/>
        <w:spacing w:after="0"/>
        <w:ind w:left="0" w:firstLine="1701"/>
        <w:jc w:val="both"/>
        <w:rPr>
          <w:rFonts w:ascii="Gadugi" w:hAnsi="Gadugi" w:cs="Courier New"/>
          <w:sz w:val="24"/>
          <w:szCs w:val="24"/>
          <w:lang w:val="es-MX"/>
        </w:rPr>
      </w:pPr>
      <w:r w:rsidRPr="005562FC">
        <w:rPr>
          <w:rFonts w:ascii="Gadugi" w:hAnsi="Gadugi" w:cs="Courier New"/>
          <w:sz w:val="24"/>
          <w:szCs w:val="24"/>
          <w:lang w:val="es-MX"/>
        </w:rPr>
        <w:t>Y si lo estaban, no se entiende a cuento de qué persistir en el trámite del recurso apelación</w:t>
      </w:r>
      <w:r w:rsidR="00C915D7" w:rsidRPr="005562FC">
        <w:rPr>
          <w:rFonts w:ascii="Gadugi" w:hAnsi="Gadugi" w:cs="Courier New"/>
          <w:sz w:val="24"/>
          <w:szCs w:val="24"/>
          <w:lang w:val="es-MX"/>
        </w:rPr>
        <w:t xml:space="preserve"> si, en todo caso, de haberse revocado la providencia, nada nuevo se podría disponer. </w:t>
      </w:r>
    </w:p>
    <w:p w14:paraId="0F7B4ECB" w14:textId="6C1109E6" w:rsidR="000644A6" w:rsidRPr="005562FC" w:rsidRDefault="000644A6" w:rsidP="005562FC">
      <w:pPr>
        <w:spacing w:line="276" w:lineRule="auto"/>
        <w:ind w:firstLine="1701"/>
        <w:jc w:val="both"/>
        <w:rPr>
          <w:rFonts w:ascii="Gadugi" w:hAnsi="Gadugi" w:cs="Courier New"/>
          <w:sz w:val="24"/>
          <w:szCs w:val="24"/>
          <w:lang w:val="es-MX"/>
        </w:rPr>
      </w:pPr>
    </w:p>
    <w:p w14:paraId="4B350955" w14:textId="2F685B78" w:rsidR="000644A6" w:rsidRPr="005562FC" w:rsidRDefault="000644A6" w:rsidP="005562FC">
      <w:pPr>
        <w:spacing w:line="276" w:lineRule="auto"/>
        <w:ind w:firstLine="1701"/>
        <w:jc w:val="both"/>
        <w:rPr>
          <w:rFonts w:ascii="Gadugi" w:hAnsi="Gadugi" w:cs="Courier New"/>
          <w:b/>
          <w:sz w:val="24"/>
          <w:szCs w:val="24"/>
          <w:lang w:val="es-MX"/>
        </w:rPr>
      </w:pPr>
      <w:r w:rsidRPr="005562FC">
        <w:rPr>
          <w:rFonts w:ascii="Gadugi" w:hAnsi="Gadugi" w:cs="Courier New"/>
          <w:b/>
          <w:sz w:val="24"/>
          <w:szCs w:val="24"/>
          <w:lang w:val="es-MX"/>
        </w:rPr>
        <w:t>DECISIÓN</w:t>
      </w:r>
    </w:p>
    <w:p w14:paraId="282A5CB5" w14:textId="7C335268" w:rsidR="000644A6" w:rsidRPr="005562FC" w:rsidRDefault="000644A6" w:rsidP="005562FC">
      <w:pPr>
        <w:spacing w:line="276" w:lineRule="auto"/>
        <w:ind w:firstLine="1701"/>
        <w:jc w:val="both"/>
        <w:rPr>
          <w:rFonts w:ascii="Gadugi" w:hAnsi="Gadugi" w:cs="Courier New"/>
          <w:b/>
          <w:sz w:val="24"/>
          <w:szCs w:val="24"/>
          <w:lang w:val="es-MX"/>
        </w:rPr>
      </w:pPr>
    </w:p>
    <w:p w14:paraId="05D11E70" w14:textId="0A21D1B2" w:rsidR="00C915D7" w:rsidRPr="005562FC" w:rsidRDefault="00931612" w:rsidP="005562FC">
      <w:pPr>
        <w:pStyle w:val="Textoindependiente"/>
        <w:spacing w:line="276" w:lineRule="auto"/>
        <w:ind w:firstLine="1701"/>
        <w:rPr>
          <w:rFonts w:ascii="Gadugi" w:hAnsi="Gadugi"/>
          <w:szCs w:val="24"/>
        </w:rPr>
      </w:pPr>
      <w:r w:rsidRPr="005562FC">
        <w:rPr>
          <w:rFonts w:ascii="Gadugi" w:hAnsi="Gadugi"/>
          <w:szCs w:val="24"/>
        </w:rPr>
        <w:t xml:space="preserve">En armonía con lo dicho, el </w:t>
      </w:r>
      <w:r w:rsidRPr="005562FC">
        <w:rPr>
          <w:rFonts w:ascii="Gadugi" w:hAnsi="Gadugi"/>
          <w:b/>
          <w:bCs/>
          <w:szCs w:val="24"/>
        </w:rPr>
        <w:t>Tribunal Superior del Distrito Judicial, Sala de Decisión Civil-Familia</w:t>
      </w:r>
      <w:r w:rsidRPr="005562FC">
        <w:rPr>
          <w:rFonts w:ascii="Gadugi" w:hAnsi="Gadugi"/>
          <w:szCs w:val="24"/>
        </w:rPr>
        <w:t xml:space="preserve">, </w:t>
      </w:r>
      <w:r w:rsidR="00726DDF" w:rsidRPr="005562FC">
        <w:rPr>
          <w:rFonts w:ascii="Gadugi" w:hAnsi="Gadugi"/>
          <w:b/>
          <w:szCs w:val="24"/>
        </w:rPr>
        <w:t>CONFIRMA</w:t>
      </w:r>
      <w:r w:rsidRPr="005562FC">
        <w:rPr>
          <w:rFonts w:ascii="Gadugi" w:hAnsi="Gadugi"/>
          <w:b/>
          <w:bCs/>
          <w:szCs w:val="24"/>
        </w:rPr>
        <w:t xml:space="preserve"> </w:t>
      </w:r>
      <w:r w:rsidR="00C915D7" w:rsidRPr="005562FC">
        <w:rPr>
          <w:rFonts w:ascii="Gadugi" w:hAnsi="Gadugi"/>
          <w:szCs w:val="24"/>
        </w:rPr>
        <w:t xml:space="preserve">el auto del 4 de febrero de 2021, proferido por el Juzgado Tercero Civil del Circuito de Pereira, en este proceso declarativo que </w:t>
      </w:r>
      <w:r w:rsidR="00C915D7" w:rsidRPr="005562FC">
        <w:rPr>
          <w:rFonts w:ascii="Gadugi" w:hAnsi="Gadugi"/>
          <w:b/>
          <w:szCs w:val="24"/>
        </w:rPr>
        <w:t xml:space="preserve">Jhon Edison Loaiza Batero </w:t>
      </w:r>
      <w:r w:rsidR="00C915D7" w:rsidRPr="005562FC">
        <w:rPr>
          <w:rFonts w:ascii="Gadugi" w:hAnsi="Gadugi"/>
          <w:szCs w:val="24"/>
        </w:rPr>
        <w:t xml:space="preserve">y otros siguen contra </w:t>
      </w:r>
      <w:r w:rsidR="00C915D7" w:rsidRPr="005562FC">
        <w:rPr>
          <w:rFonts w:ascii="Gadugi" w:hAnsi="Gadugi"/>
          <w:b/>
          <w:szCs w:val="24"/>
        </w:rPr>
        <w:t>Liberty Seguros S.A.</w:t>
      </w:r>
      <w:r w:rsidR="00C915D7" w:rsidRPr="005562FC">
        <w:rPr>
          <w:rFonts w:ascii="Gadugi" w:hAnsi="Gadugi"/>
          <w:szCs w:val="24"/>
        </w:rPr>
        <w:t xml:space="preserve"> y otros. </w:t>
      </w:r>
    </w:p>
    <w:p w14:paraId="002E8A0D" w14:textId="6965EA0F" w:rsidR="00EF764C" w:rsidRPr="005562FC" w:rsidRDefault="00EF764C" w:rsidP="005562FC">
      <w:pPr>
        <w:pStyle w:val="Textoindependiente"/>
        <w:spacing w:line="276" w:lineRule="auto"/>
        <w:ind w:firstLine="1701"/>
        <w:rPr>
          <w:rFonts w:ascii="Gadugi" w:hAnsi="Gadugi"/>
          <w:szCs w:val="24"/>
        </w:rPr>
      </w:pPr>
    </w:p>
    <w:p w14:paraId="4278E408" w14:textId="0E0A4A02" w:rsidR="00C915D7" w:rsidRPr="005562FC" w:rsidRDefault="00C915D7" w:rsidP="005562FC">
      <w:pPr>
        <w:spacing w:line="276" w:lineRule="auto"/>
        <w:ind w:firstLine="1701"/>
        <w:jc w:val="both"/>
        <w:rPr>
          <w:rFonts w:ascii="Gadugi" w:hAnsi="Gadugi" w:cs="Courier New"/>
          <w:sz w:val="24"/>
          <w:szCs w:val="24"/>
        </w:rPr>
      </w:pPr>
      <w:r w:rsidRPr="005562FC">
        <w:rPr>
          <w:rFonts w:ascii="Gadugi" w:hAnsi="Gadugi" w:cs="Courier New"/>
          <w:sz w:val="24"/>
          <w:szCs w:val="24"/>
        </w:rPr>
        <w:t>Costas en esta sede a cargo de los recurrentes y a favor d</w:t>
      </w:r>
      <w:r w:rsidR="00574287" w:rsidRPr="005562FC">
        <w:rPr>
          <w:rFonts w:ascii="Gadugi" w:hAnsi="Gadugi" w:cs="Courier New"/>
          <w:sz w:val="24"/>
          <w:szCs w:val="24"/>
        </w:rPr>
        <w:t>e</w:t>
      </w:r>
      <w:r w:rsidRPr="005562FC">
        <w:rPr>
          <w:rFonts w:ascii="Gadugi" w:hAnsi="Gadugi" w:cs="Courier New"/>
          <w:sz w:val="24"/>
          <w:szCs w:val="24"/>
        </w:rPr>
        <w:t xml:space="preserve"> ellos demandados. En auto separado se fijarán las agencias en derecho. </w:t>
      </w:r>
    </w:p>
    <w:p w14:paraId="139E01CD" w14:textId="77777777" w:rsidR="00C915D7" w:rsidRPr="005562FC" w:rsidRDefault="00C915D7" w:rsidP="005562FC">
      <w:pPr>
        <w:spacing w:line="276" w:lineRule="auto"/>
        <w:ind w:firstLine="1701"/>
        <w:jc w:val="both"/>
        <w:rPr>
          <w:rFonts w:ascii="Gadugi" w:hAnsi="Gadugi" w:cs="Courier New"/>
          <w:sz w:val="24"/>
          <w:szCs w:val="24"/>
        </w:rPr>
      </w:pPr>
    </w:p>
    <w:p w14:paraId="748740C9" w14:textId="5068FF52" w:rsidR="00F2468D" w:rsidRPr="005562FC" w:rsidRDefault="00F2468D" w:rsidP="005562FC">
      <w:pPr>
        <w:spacing w:line="276" w:lineRule="auto"/>
        <w:ind w:firstLine="1701"/>
        <w:jc w:val="both"/>
        <w:rPr>
          <w:rFonts w:ascii="Gadugi" w:hAnsi="Gadugi" w:cs="Courier New"/>
          <w:sz w:val="24"/>
          <w:szCs w:val="24"/>
        </w:rPr>
      </w:pPr>
      <w:r w:rsidRPr="005562FC">
        <w:rPr>
          <w:rFonts w:ascii="Gadugi" w:hAnsi="Gadugi" w:cs="Courier New"/>
          <w:sz w:val="24"/>
          <w:szCs w:val="24"/>
        </w:rPr>
        <w:t>Notifíquese</w:t>
      </w:r>
    </w:p>
    <w:p w14:paraId="314FD8E6" w14:textId="77777777" w:rsidR="00F2468D" w:rsidRPr="005562FC" w:rsidRDefault="00F2468D" w:rsidP="005562FC">
      <w:pPr>
        <w:spacing w:line="276" w:lineRule="auto"/>
        <w:ind w:firstLine="1701"/>
        <w:jc w:val="both"/>
        <w:rPr>
          <w:rFonts w:ascii="Gadugi" w:hAnsi="Gadugi" w:cs="Courier New"/>
          <w:sz w:val="24"/>
          <w:szCs w:val="24"/>
        </w:rPr>
      </w:pPr>
    </w:p>
    <w:p w14:paraId="52CBA140" w14:textId="77777777" w:rsidR="00F2468D" w:rsidRPr="005562FC" w:rsidRDefault="00F2468D" w:rsidP="005562FC">
      <w:pPr>
        <w:spacing w:line="276" w:lineRule="auto"/>
        <w:ind w:firstLine="1701"/>
        <w:jc w:val="both"/>
        <w:rPr>
          <w:rFonts w:ascii="Gadugi" w:hAnsi="Gadugi" w:cs="Courier New"/>
          <w:sz w:val="24"/>
          <w:szCs w:val="24"/>
        </w:rPr>
      </w:pPr>
    </w:p>
    <w:p w14:paraId="40D7F634" w14:textId="77777777" w:rsidR="00F2468D" w:rsidRPr="005562FC" w:rsidRDefault="00F2468D" w:rsidP="005562FC">
      <w:pPr>
        <w:spacing w:line="276" w:lineRule="auto"/>
        <w:ind w:firstLine="1701"/>
        <w:jc w:val="both"/>
        <w:rPr>
          <w:rFonts w:ascii="Gadugi" w:hAnsi="Gadugi" w:cs="Courier New"/>
          <w:sz w:val="24"/>
          <w:szCs w:val="24"/>
        </w:rPr>
      </w:pPr>
    </w:p>
    <w:p w14:paraId="602E1406" w14:textId="77777777" w:rsidR="00F2468D" w:rsidRPr="005562FC" w:rsidRDefault="00F2468D" w:rsidP="005562FC">
      <w:pPr>
        <w:spacing w:line="276" w:lineRule="auto"/>
        <w:ind w:firstLine="1701"/>
        <w:jc w:val="both"/>
        <w:rPr>
          <w:rFonts w:ascii="Gadugi" w:hAnsi="Gadugi" w:cs="Courier New"/>
          <w:b/>
          <w:sz w:val="24"/>
          <w:szCs w:val="24"/>
        </w:rPr>
      </w:pPr>
      <w:r w:rsidRPr="005562FC">
        <w:rPr>
          <w:rFonts w:ascii="Gadugi" w:hAnsi="Gadugi" w:cs="Courier New"/>
          <w:b/>
          <w:sz w:val="24"/>
          <w:szCs w:val="24"/>
        </w:rPr>
        <w:t>JAIME ALBERTO SARAZA NARANJO</w:t>
      </w:r>
    </w:p>
    <w:p w14:paraId="3C507B19" w14:textId="0DCD3CAC" w:rsidR="00306CAC" w:rsidRPr="005562FC" w:rsidRDefault="00F2468D" w:rsidP="005562FC">
      <w:pPr>
        <w:spacing w:line="276" w:lineRule="auto"/>
        <w:ind w:firstLine="1701"/>
        <w:jc w:val="both"/>
        <w:rPr>
          <w:rFonts w:ascii="Gadugi" w:hAnsi="Gadugi"/>
          <w:sz w:val="24"/>
          <w:szCs w:val="24"/>
        </w:rPr>
      </w:pPr>
      <w:r w:rsidRPr="005562FC">
        <w:rPr>
          <w:rFonts w:ascii="Gadugi" w:hAnsi="Gadugi" w:cs="Courier New"/>
          <w:sz w:val="24"/>
          <w:szCs w:val="24"/>
        </w:rPr>
        <w:t>Magistrado</w:t>
      </w:r>
    </w:p>
    <w:sectPr w:rsidR="00306CAC" w:rsidRPr="005562FC" w:rsidSect="005562FC">
      <w:headerReference w:type="default" r:id="rId11"/>
      <w:footerReference w:type="even" r:id="rId12"/>
      <w:footerReference w:type="default" r:id="rId13"/>
      <w:pgSz w:w="12242" w:h="18722" w:code="258"/>
      <w:pgMar w:top="1871" w:right="1304" w:bottom="1304" w:left="187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BB74" w14:textId="77777777" w:rsidR="006628FA" w:rsidRDefault="006628FA">
      <w:r>
        <w:separator/>
      </w:r>
    </w:p>
  </w:endnote>
  <w:endnote w:type="continuationSeparator" w:id="0">
    <w:p w14:paraId="0481FE74" w14:textId="77777777" w:rsidR="006628FA" w:rsidRDefault="006628FA">
      <w:r>
        <w:continuationSeparator/>
      </w:r>
    </w:p>
  </w:endnote>
  <w:endnote w:type="continuationNotice" w:id="1">
    <w:p w14:paraId="735030D7" w14:textId="77777777" w:rsidR="006628FA" w:rsidRDefault="00662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swiss"/>
    <w:pitch w:val="variable"/>
    <w:sig w:usb0="E00002FF" w:usb1="7AC7FFFF" w:usb2="00000012" w:usb3="00000000" w:csb0="0002000D"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DB29" w14:textId="77777777" w:rsidR="001B18EE" w:rsidRDefault="001B18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E3A75C" w14:textId="77777777" w:rsidR="001B18EE" w:rsidRDefault="001B18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F7F6" w14:textId="77777777" w:rsidR="001B18EE" w:rsidRPr="003F66B9" w:rsidRDefault="001B18EE">
    <w:pPr>
      <w:pStyle w:val="Piedepgina"/>
      <w:framePr w:wrap="around" w:vAnchor="text" w:hAnchor="margin" w:xAlign="right" w:y="1"/>
      <w:rPr>
        <w:rStyle w:val="Nmerodepgina"/>
        <w:rFonts w:ascii="Arial" w:hAnsi="Arial" w:cs="Arial"/>
        <w:sz w:val="18"/>
      </w:rPr>
    </w:pPr>
    <w:r w:rsidRPr="003F66B9">
      <w:rPr>
        <w:rStyle w:val="Nmerodepgina"/>
        <w:rFonts w:ascii="Arial" w:hAnsi="Arial" w:cs="Arial"/>
        <w:sz w:val="18"/>
      </w:rPr>
      <w:fldChar w:fldCharType="begin"/>
    </w:r>
    <w:r w:rsidRPr="003F66B9">
      <w:rPr>
        <w:rStyle w:val="Nmerodepgina"/>
        <w:rFonts w:ascii="Arial" w:hAnsi="Arial" w:cs="Arial"/>
        <w:sz w:val="18"/>
      </w:rPr>
      <w:instrText xml:space="preserve">PAGE  </w:instrText>
    </w:r>
    <w:r w:rsidRPr="003F66B9">
      <w:rPr>
        <w:rStyle w:val="Nmerodepgina"/>
        <w:rFonts w:ascii="Arial" w:hAnsi="Arial" w:cs="Arial"/>
        <w:sz w:val="18"/>
      </w:rPr>
      <w:fldChar w:fldCharType="separate"/>
    </w:r>
    <w:r w:rsidRPr="003F66B9">
      <w:rPr>
        <w:rStyle w:val="Nmerodepgina"/>
        <w:rFonts w:ascii="Arial" w:hAnsi="Arial" w:cs="Arial"/>
        <w:noProof/>
        <w:sz w:val="18"/>
      </w:rPr>
      <w:t>5</w:t>
    </w:r>
    <w:r w:rsidRPr="003F66B9">
      <w:rPr>
        <w:rStyle w:val="Nmerodepgina"/>
        <w:rFonts w:ascii="Arial" w:hAnsi="Arial" w:cs="Arial"/>
        <w:sz w:val="18"/>
      </w:rPr>
      <w:fldChar w:fldCharType="end"/>
    </w:r>
  </w:p>
  <w:p w14:paraId="10876F83" w14:textId="77777777" w:rsidR="001B18EE" w:rsidRDefault="001B18E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4CAD" w14:textId="77777777" w:rsidR="006628FA" w:rsidRDefault="006628FA">
      <w:r>
        <w:separator/>
      </w:r>
    </w:p>
  </w:footnote>
  <w:footnote w:type="continuationSeparator" w:id="0">
    <w:p w14:paraId="2A0FB1A2" w14:textId="77777777" w:rsidR="006628FA" w:rsidRDefault="006628FA">
      <w:r>
        <w:continuationSeparator/>
      </w:r>
    </w:p>
  </w:footnote>
  <w:footnote w:type="continuationNotice" w:id="1">
    <w:p w14:paraId="22EA8D6D" w14:textId="77777777" w:rsidR="006628FA" w:rsidRDefault="006628FA"/>
  </w:footnote>
  <w:footnote w:id="2">
    <w:p w14:paraId="06DF98C7" w14:textId="099A31C6" w:rsidR="001D25EA" w:rsidRPr="003F66B9" w:rsidRDefault="001D25EA"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03, c. </w:t>
      </w:r>
      <w:proofErr w:type="spellStart"/>
      <w:r w:rsidRPr="003F66B9">
        <w:rPr>
          <w:rFonts w:ascii="Century" w:hAnsi="Century"/>
          <w:sz w:val="18"/>
          <w:szCs w:val="18"/>
          <w:lang w:val="es-419"/>
        </w:rPr>
        <w:t>ppal</w:t>
      </w:r>
      <w:proofErr w:type="spellEnd"/>
      <w:r w:rsidRPr="003F66B9">
        <w:rPr>
          <w:rFonts w:ascii="Century" w:hAnsi="Century"/>
          <w:sz w:val="18"/>
          <w:szCs w:val="18"/>
          <w:lang w:val="es-419"/>
        </w:rPr>
        <w:t>, parte II</w:t>
      </w:r>
    </w:p>
  </w:footnote>
  <w:footnote w:id="3">
    <w:p w14:paraId="05AB162A" w14:textId="17587E97" w:rsidR="001D25EA" w:rsidRPr="003F66B9" w:rsidRDefault="001D25EA"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r w:rsidRPr="003F66B9">
        <w:rPr>
          <w:rFonts w:ascii="Century" w:hAnsi="Century"/>
          <w:sz w:val="18"/>
          <w:szCs w:val="18"/>
          <w:lang w:val="es-419"/>
        </w:rPr>
        <w:t xml:space="preserve">P. 345, c. </w:t>
      </w:r>
      <w:proofErr w:type="spellStart"/>
      <w:r w:rsidRPr="003F66B9">
        <w:rPr>
          <w:rFonts w:ascii="Century" w:hAnsi="Century"/>
          <w:sz w:val="18"/>
          <w:szCs w:val="18"/>
          <w:lang w:val="es-419"/>
        </w:rPr>
        <w:t>ppal</w:t>
      </w:r>
      <w:proofErr w:type="spellEnd"/>
      <w:r w:rsidRPr="003F66B9">
        <w:rPr>
          <w:rFonts w:ascii="Century" w:hAnsi="Century"/>
          <w:sz w:val="18"/>
          <w:szCs w:val="18"/>
          <w:lang w:val="es-419"/>
        </w:rPr>
        <w:t>, parte I</w:t>
      </w:r>
    </w:p>
  </w:footnote>
  <w:footnote w:id="4">
    <w:p w14:paraId="6667A44F" w14:textId="3DA6DB89" w:rsidR="001D25EA" w:rsidRPr="003F66B9" w:rsidRDefault="001D25EA"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04, c. </w:t>
      </w:r>
      <w:proofErr w:type="spellStart"/>
      <w:r w:rsidRPr="003F66B9">
        <w:rPr>
          <w:rFonts w:ascii="Century" w:hAnsi="Century"/>
          <w:sz w:val="18"/>
          <w:szCs w:val="18"/>
          <w:lang w:val="es-419"/>
        </w:rPr>
        <w:t>ppal</w:t>
      </w:r>
      <w:proofErr w:type="spellEnd"/>
      <w:r w:rsidRPr="003F66B9">
        <w:rPr>
          <w:rFonts w:ascii="Century" w:hAnsi="Century"/>
          <w:sz w:val="18"/>
          <w:szCs w:val="18"/>
          <w:lang w:val="es-419"/>
        </w:rPr>
        <w:t>, parte II</w:t>
      </w:r>
    </w:p>
  </w:footnote>
  <w:footnote w:id="5">
    <w:p w14:paraId="4DB58654" w14:textId="3FB2A3BA" w:rsidR="001D25EA" w:rsidRPr="003F66B9" w:rsidRDefault="001D25EA"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05 ib. </w:t>
      </w:r>
    </w:p>
  </w:footnote>
  <w:footnote w:id="6">
    <w:p w14:paraId="4F102110" w14:textId="3BC5EA4C" w:rsidR="001D25EA" w:rsidRPr="003F66B9" w:rsidRDefault="001D25EA"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w:t>
      </w:r>
      <w:r w:rsidR="00574287" w:rsidRPr="003F66B9">
        <w:rPr>
          <w:rFonts w:ascii="Century" w:hAnsi="Century"/>
          <w:sz w:val="18"/>
          <w:szCs w:val="18"/>
          <w:lang w:val="es-419"/>
        </w:rPr>
        <w:t>h</w:t>
      </w:r>
      <w:proofErr w:type="spellEnd"/>
      <w:r w:rsidRPr="003F66B9">
        <w:rPr>
          <w:rFonts w:ascii="Century" w:hAnsi="Century"/>
          <w:sz w:val="18"/>
          <w:szCs w:val="18"/>
          <w:lang w:val="es-419"/>
        </w:rPr>
        <w:t xml:space="preserve">. 14, ib. </w:t>
      </w:r>
    </w:p>
  </w:footnote>
  <w:footnote w:id="7">
    <w:p w14:paraId="227A3702" w14:textId="6FBBC4BB" w:rsidR="001D25EA" w:rsidRPr="003F66B9" w:rsidRDefault="001D25EA"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00961916" w:rsidRPr="003F66B9">
        <w:rPr>
          <w:rFonts w:ascii="Century" w:hAnsi="Century"/>
          <w:sz w:val="18"/>
          <w:szCs w:val="18"/>
        </w:rPr>
        <w:t>Arch</w:t>
      </w:r>
      <w:proofErr w:type="spellEnd"/>
      <w:r w:rsidR="00961916" w:rsidRPr="003F66B9">
        <w:rPr>
          <w:rFonts w:ascii="Century" w:hAnsi="Century"/>
          <w:sz w:val="18"/>
          <w:szCs w:val="18"/>
        </w:rPr>
        <w:t>. 12, 02SegundaInstancia, 02ApelaciónAuto.</w:t>
      </w:r>
    </w:p>
  </w:footnote>
  <w:footnote w:id="8">
    <w:p w14:paraId="23A306B5" w14:textId="4860204E" w:rsidR="00961916" w:rsidRPr="003F66B9" w:rsidRDefault="00961916"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rPr>
        <w:t>Arch</w:t>
      </w:r>
      <w:proofErr w:type="spellEnd"/>
      <w:r w:rsidRPr="003F66B9">
        <w:rPr>
          <w:rFonts w:ascii="Century" w:hAnsi="Century"/>
          <w:sz w:val="18"/>
          <w:szCs w:val="18"/>
        </w:rPr>
        <w:t>. 18, c. ppal. Parte II</w:t>
      </w:r>
    </w:p>
  </w:footnote>
  <w:footnote w:id="9">
    <w:p w14:paraId="57D7CE89" w14:textId="1F298074" w:rsidR="00961916" w:rsidRPr="003F66B9" w:rsidRDefault="00961916"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22, ib. </w:t>
      </w:r>
    </w:p>
  </w:footnote>
  <w:footnote w:id="10">
    <w:p w14:paraId="2069556A" w14:textId="30683995" w:rsidR="00D35B92" w:rsidRPr="003F66B9" w:rsidRDefault="00D35B92"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24, ib. </w:t>
      </w:r>
    </w:p>
  </w:footnote>
  <w:footnote w:id="11">
    <w:p w14:paraId="7609039D" w14:textId="45BB985D" w:rsidR="00D35B92" w:rsidRPr="003F66B9" w:rsidRDefault="00D35B92"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28, </w:t>
      </w:r>
      <w:proofErr w:type="spellStart"/>
      <w:r w:rsidRPr="003F66B9">
        <w:rPr>
          <w:rFonts w:ascii="Century" w:hAnsi="Century"/>
          <w:sz w:val="18"/>
          <w:szCs w:val="18"/>
          <w:lang w:val="es-419"/>
        </w:rPr>
        <w:t>ib</w:t>
      </w:r>
      <w:proofErr w:type="spellEnd"/>
      <w:r w:rsidRPr="003F66B9">
        <w:rPr>
          <w:rFonts w:ascii="Century" w:hAnsi="Century"/>
          <w:sz w:val="18"/>
          <w:szCs w:val="18"/>
          <w:lang w:val="es-419"/>
        </w:rPr>
        <w:t xml:space="preserve">, </w:t>
      </w:r>
    </w:p>
  </w:footnote>
  <w:footnote w:id="12">
    <w:p w14:paraId="24C3BE05" w14:textId="7C7AFFE6" w:rsidR="00D35B92" w:rsidRPr="003F66B9" w:rsidRDefault="00D35B92"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02, </w:t>
      </w:r>
      <w:r w:rsidRPr="003F66B9">
        <w:rPr>
          <w:rFonts w:ascii="Century" w:hAnsi="Century"/>
          <w:sz w:val="18"/>
          <w:szCs w:val="18"/>
        </w:rPr>
        <w:t xml:space="preserve">01PrimeraInstancia, 1Cuaderno Principal, </w:t>
      </w:r>
      <w:proofErr w:type="spellStart"/>
      <w:r w:rsidRPr="003F66B9">
        <w:rPr>
          <w:rFonts w:ascii="Century" w:hAnsi="Century"/>
          <w:sz w:val="18"/>
          <w:szCs w:val="18"/>
        </w:rPr>
        <w:t>CuadernoMedidas</w:t>
      </w:r>
      <w:proofErr w:type="spellEnd"/>
      <w:r w:rsidRPr="003F66B9">
        <w:rPr>
          <w:rFonts w:ascii="Century" w:hAnsi="Century"/>
          <w:sz w:val="18"/>
          <w:szCs w:val="18"/>
        </w:rPr>
        <w:t xml:space="preserve"> Previas.</w:t>
      </w:r>
    </w:p>
  </w:footnote>
  <w:footnote w:id="13">
    <w:p w14:paraId="335E82EA" w14:textId="5273685D" w:rsidR="00D35B92" w:rsidRPr="003F66B9" w:rsidRDefault="00D35B92"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03, ib. </w:t>
      </w:r>
    </w:p>
  </w:footnote>
  <w:footnote w:id="14">
    <w:p w14:paraId="1860C00B" w14:textId="08945609" w:rsidR="00D35B92" w:rsidRPr="003F66B9" w:rsidRDefault="00D35B92"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xml:space="preserve">. 04. </w:t>
      </w:r>
    </w:p>
  </w:footnote>
  <w:footnote w:id="15">
    <w:p w14:paraId="2BE3BFC0" w14:textId="709478B8" w:rsidR="00D35B92" w:rsidRPr="003F66B9" w:rsidRDefault="00D35B92" w:rsidP="003F66B9">
      <w:pPr>
        <w:pStyle w:val="Textonotapie"/>
        <w:rPr>
          <w:rFonts w:ascii="Century" w:hAnsi="Century"/>
          <w:sz w:val="18"/>
          <w:szCs w:val="18"/>
          <w:lang w:val="es-419"/>
        </w:rPr>
      </w:pPr>
      <w:r w:rsidRPr="003F66B9">
        <w:rPr>
          <w:rStyle w:val="Refdenotaalpie"/>
          <w:rFonts w:ascii="Century" w:hAnsi="Century"/>
          <w:sz w:val="18"/>
          <w:szCs w:val="18"/>
        </w:rPr>
        <w:footnoteRef/>
      </w:r>
      <w:r w:rsidRPr="003F66B9">
        <w:rPr>
          <w:rFonts w:ascii="Century" w:hAnsi="Century"/>
          <w:sz w:val="18"/>
          <w:szCs w:val="18"/>
        </w:rPr>
        <w:t xml:space="preserve"> </w:t>
      </w:r>
      <w:proofErr w:type="spellStart"/>
      <w:r w:rsidRPr="003F66B9">
        <w:rPr>
          <w:rFonts w:ascii="Century" w:hAnsi="Century"/>
          <w:sz w:val="18"/>
          <w:szCs w:val="18"/>
          <w:lang w:val="es-419"/>
        </w:rPr>
        <w:t>Arch</w:t>
      </w:r>
      <w:proofErr w:type="spellEnd"/>
      <w:r w:rsidRPr="003F66B9">
        <w:rPr>
          <w:rFonts w:ascii="Century" w:hAnsi="Century"/>
          <w:sz w:val="18"/>
          <w:szCs w:val="18"/>
          <w:lang w:val="es-419"/>
        </w:rPr>
        <w:t>.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A0FF" w14:textId="77777777" w:rsidR="001B18EE" w:rsidRDefault="001B18EE">
    <w:pPr>
      <w:spacing w:line="360" w:lineRule="auto"/>
      <w:ind w:firstLine="2835"/>
      <w:jc w:val="right"/>
      <w:rPr>
        <w:sz w:val="18"/>
        <w:lang w:val="es-MX"/>
      </w:rPr>
    </w:pPr>
  </w:p>
  <w:p w14:paraId="63D03558" w14:textId="77777777" w:rsidR="001B18EE" w:rsidRDefault="001B18EE">
    <w:pPr>
      <w:spacing w:line="360" w:lineRule="auto"/>
      <w:ind w:firstLine="2835"/>
      <w:jc w:val="right"/>
      <w:rPr>
        <w:sz w:val="18"/>
        <w:lang w:val="es-MX"/>
      </w:rPr>
    </w:pPr>
  </w:p>
  <w:p w14:paraId="459B6196" w14:textId="77777777" w:rsidR="001B18EE" w:rsidRDefault="001B18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B360D94"/>
    <w:lvl w:ilvl="0">
      <w:start w:val="1"/>
      <w:numFmt w:val="decimal"/>
      <w:pStyle w:val="Listaconnmeros"/>
      <w:lvlText w:val="%1."/>
      <w:lvlJc w:val="left"/>
      <w:pPr>
        <w:tabs>
          <w:tab w:val="num" w:pos="360"/>
        </w:tabs>
        <w:ind w:left="360" w:hanging="360"/>
      </w:pPr>
    </w:lvl>
  </w:abstractNum>
  <w:abstractNum w:abstractNumId="1" w15:restartNumberingAfterBreak="0">
    <w:nsid w:val="00D81421"/>
    <w:multiLevelType w:val="hybridMultilevel"/>
    <w:tmpl w:val="23F6DDCA"/>
    <w:lvl w:ilvl="0" w:tplc="E9B8D77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22F6175"/>
    <w:multiLevelType w:val="singleLevel"/>
    <w:tmpl w:val="56CA143A"/>
    <w:lvl w:ilvl="0">
      <w:start w:val="3"/>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3" w15:restartNumberingAfterBreak="0">
    <w:nsid w:val="1063647C"/>
    <w:multiLevelType w:val="hybridMultilevel"/>
    <w:tmpl w:val="60AE5FFC"/>
    <w:lvl w:ilvl="0" w:tplc="6A269EE0">
      <w:start w:val="1"/>
      <w:numFmt w:val="decimal"/>
      <w:lvlText w:val="%1."/>
      <w:lvlJc w:val="lef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1C9D5BE9"/>
    <w:multiLevelType w:val="singleLevel"/>
    <w:tmpl w:val="56CA143A"/>
    <w:lvl w:ilvl="0">
      <w:start w:val="7"/>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5" w15:restartNumberingAfterBreak="0">
    <w:nsid w:val="1FD96E7B"/>
    <w:multiLevelType w:val="multilevel"/>
    <w:tmpl w:val="8C96D61A"/>
    <w:lvl w:ilvl="0">
      <w:start w:val="3"/>
      <w:numFmt w:val="decimal"/>
      <w:lvlText w:val="%1."/>
      <w:lvlJc w:val="left"/>
      <w:pPr>
        <w:ind w:left="570" w:hanging="57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234C45BC"/>
    <w:multiLevelType w:val="singleLevel"/>
    <w:tmpl w:val="56CA143A"/>
    <w:lvl w:ilvl="0">
      <w:start w:val="8"/>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7" w15:restartNumberingAfterBreak="0">
    <w:nsid w:val="249F1DB2"/>
    <w:multiLevelType w:val="singleLevel"/>
    <w:tmpl w:val="56CA143A"/>
    <w:lvl w:ilvl="0">
      <w:start w:val="6"/>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8" w15:restartNumberingAfterBreak="0">
    <w:nsid w:val="31106296"/>
    <w:multiLevelType w:val="singleLevel"/>
    <w:tmpl w:val="56CA143A"/>
    <w:lvl w:ilvl="0">
      <w:start w:val="10"/>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9" w15:restartNumberingAfterBreak="0">
    <w:nsid w:val="43BC4CD9"/>
    <w:multiLevelType w:val="singleLevel"/>
    <w:tmpl w:val="56CA143A"/>
    <w:lvl w:ilvl="0">
      <w:start w:val="9"/>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0" w15:restartNumberingAfterBreak="0">
    <w:nsid w:val="49D001DC"/>
    <w:multiLevelType w:val="hybridMultilevel"/>
    <w:tmpl w:val="13CE36F2"/>
    <w:lvl w:ilvl="0" w:tplc="1A9AF9FE">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4C4A6AC9"/>
    <w:multiLevelType w:val="hybridMultilevel"/>
    <w:tmpl w:val="CA9EC16A"/>
    <w:lvl w:ilvl="0" w:tplc="0992A530">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5EE71064"/>
    <w:multiLevelType w:val="singleLevel"/>
    <w:tmpl w:val="56CA143A"/>
    <w:lvl w:ilvl="0">
      <w:start w:val="4"/>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3" w15:restartNumberingAfterBreak="0">
    <w:nsid w:val="64EA21C9"/>
    <w:multiLevelType w:val="hybridMultilevel"/>
    <w:tmpl w:val="66A68440"/>
    <w:lvl w:ilvl="0" w:tplc="F28EE9E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6BFD1419"/>
    <w:multiLevelType w:val="hybridMultilevel"/>
    <w:tmpl w:val="464E8B98"/>
    <w:lvl w:ilvl="0" w:tplc="FAA68030">
      <w:start w:val="1"/>
      <w:numFmt w:val="decimal"/>
      <w:lvlText w:val="%1."/>
      <w:lvlJc w:val="left"/>
      <w:pPr>
        <w:ind w:left="2061" w:hanging="360"/>
      </w:pPr>
      <w:rPr>
        <w:rFonts w:hint="default"/>
      </w:rPr>
    </w:lvl>
    <w:lvl w:ilvl="1" w:tplc="240A0019">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5" w15:restartNumberingAfterBreak="0">
    <w:nsid w:val="735008ED"/>
    <w:multiLevelType w:val="singleLevel"/>
    <w:tmpl w:val="56CA143A"/>
    <w:lvl w:ilvl="0">
      <w:start w:val="5"/>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6" w15:restartNumberingAfterBreak="0">
    <w:nsid w:val="7AB83F99"/>
    <w:multiLevelType w:val="singleLevel"/>
    <w:tmpl w:val="56CA143A"/>
    <w:lvl w:ilvl="0">
      <w:start w:val="2"/>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7" w15:restartNumberingAfterBreak="0">
    <w:nsid w:val="7C6F6FE3"/>
    <w:multiLevelType w:val="hybridMultilevel"/>
    <w:tmpl w:val="BF107254"/>
    <w:lvl w:ilvl="0" w:tplc="4A4827A2">
      <w:start w:val="1"/>
      <w:numFmt w:val="decimal"/>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8" w15:restartNumberingAfterBreak="0">
    <w:nsid w:val="7EF13473"/>
    <w:multiLevelType w:val="singleLevel"/>
    <w:tmpl w:val="56CA143A"/>
    <w:lvl w:ilvl="0">
      <w:start w:val="1"/>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9" w15:restartNumberingAfterBreak="0">
    <w:nsid w:val="7F7E662A"/>
    <w:multiLevelType w:val="hybridMultilevel"/>
    <w:tmpl w:val="1B5E632C"/>
    <w:lvl w:ilvl="0" w:tplc="006A19CA">
      <w:start w:val="1"/>
      <w:numFmt w:val="decimal"/>
      <w:lvlText w:val="%1.-"/>
      <w:lvlJc w:val="left"/>
      <w:pPr>
        <w:ind w:left="163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18"/>
  </w:num>
  <w:num w:numId="2">
    <w:abstractNumId w:val="16"/>
  </w:num>
  <w:num w:numId="3">
    <w:abstractNumId w:val="2"/>
  </w:num>
  <w:num w:numId="4">
    <w:abstractNumId w:val="12"/>
  </w:num>
  <w:num w:numId="5">
    <w:abstractNumId w:val="15"/>
  </w:num>
  <w:num w:numId="6">
    <w:abstractNumId w:val="7"/>
  </w:num>
  <w:num w:numId="7">
    <w:abstractNumId w:val="4"/>
  </w:num>
  <w:num w:numId="8">
    <w:abstractNumId w:val="6"/>
  </w:num>
  <w:num w:numId="9">
    <w:abstractNumId w:val="9"/>
  </w:num>
  <w:num w:numId="10">
    <w:abstractNumId w:val="8"/>
  </w:num>
  <w:num w:numId="11">
    <w:abstractNumId w:val="5"/>
  </w:num>
  <w:num w:numId="12">
    <w:abstractNumId w:val="1"/>
  </w:num>
  <w:num w:numId="13">
    <w:abstractNumId w:val="13"/>
  </w:num>
  <w:num w:numId="14">
    <w:abstractNumId w:val="10"/>
  </w:num>
  <w:num w:numId="15">
    <w:abstractNumId w:val="11"/>
  </w:num>
  <w:num w:numId="16">
    <w:abstractNumId w:val="17"/>
  </w:num>
  <w:num w:numId="17">
    <w:abstractNumId w:val="3"/>
  </w:num>
  <w:num w:numId="18">
    <w:abstractNumId w:val="0"/>
  </w:num>
  <w:num w:numId="19">
    <w:abstractNumId w:val="19"/>
  </w:num>
  <w:num w:numId="20">
    <w:abstractNumId w:val="19"/>
    <w:lvlOverride w:ilvl="0">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CF"/>
    <w:rsid w:val="000104AA"/>
    <w:rsid w:val="00030626"/>
    <w:rsid w:val="00037B5A"/>
    <w:rsid w:val="00051E1F"/>
    <w:rsid w:val="000644A6"/>
    <w:rsid w:val="00075683"/>
    <w:rsid w:val="00086DBD"/>
    <w:rsid w:val="000B748C"/>
    <w:rsid w:val="000C0583"/>
    <w:rsid w:val="000C1503"/>
    <w:rsid w:val="000C4363"/>
    <w:rsid w:val="000D4F26"/>
    <w:rsid w:val="000E78F6"/>
    <w:rsid w:val="000F7A2C"/>
    <w:rsid w:val="001539FE"/>
    <w:rsid w:val="00163EBD"/>
    <w:rsid w:val="0018126C"/>
    <w:rsid w:val="00185883"/>
    <w:rsid w:val="00192F55"/>
    <w:rsid w:val="00197B4B"/>
    <w:rsid w:val="001A4A08"/>
    <w:rsid w:val="001B18EE"/>
    <w:rsid w:val="001B5806"/>
    <w:rsid w:val="001C0584"/>
    <w:rsid w:val="001D25EA"/>
    <w:rsid w:val="00203EF5"/>
    <w:rsid w:val="00227269"/>
    <w:rsid w:val="00233F55"/>
    <w:rsid w:val="00252942"/>
    <w:rsid w:val="00253E1D"/>
    <w:rsid w:val="00266B8F"/>
    <w:rsid w:val="00266E90"/>
    <w:rsid w:val="00275F43"/>
    <w:rsid w:val="002840AE"/>
    <w:rsid w:val="002A4090"/>
    <w:rsid w:val="002D338A"/>
    <w:rsid w:val="002D66A8"/>
    <w:rsid w:val="002D68E1"/>
    <w:rsid w:val="00306CAC"/>
    <w:rsid w:val="00324DCA"/>
    <w:rsid w:val="003423C6"/>
    <w:rsid w:val="00352876"/>
    <w:rsid w:val="003548B1"/>
    <w:rsid w:val="00354A2C"/>
    <w:rsid w:val="003568D3"/>
    <w:rsid w:val="0036084E"/>
    <w:rsid w:val="00362CB5"/>
    <w:rsid w:val="00381B23"/>
    <w:rsid w:val="003A66EB"/>
    <w:rsid w:val="003B0031"/>
    <w:rsid w:val="003B0307"/>
    <w:rsid w:val="003C1FB4"/>
    <w:rsid w:val="003D690F"/>
    <w:rsid w:val="003E43C1"/>
    <w:rsid w:val="003F66B9"/>
    <w:rsid w:val="00415B5D"/>
    <w:rsid w:val="00436E8A"/>
    <w:rsid w:val="00443E57"/>
    <w:rsid w:val="0044489E"/>
    <w:rsid w:val="00452FDC"/>
    <w:rsid w:val="00455980"/>
    <w:rsid w:val="004657AE"/>
    <w:rsid w:val="00473A83"/>
    <w:rsid w:val="00491C9E"/>
    <w:rsid w:val="004A5E30"/>
    <w:rsid w:val="004B6402"/>
    <w:rsid w:val="004B65F1"/>
    <w:rsid w:val="004C662C"/>
    <w:rsid w:val="004E0F68"/>
    <w:rsid w:val="004E7024"/>
    <w:rsid w:val="004F094A"/>
    <w:rsid w:val="00530C84"/>
    <w:rsid w:val="005324DD"/>
    <w:rsid w:val="00541BF7"/>
    <w:rsid w:val="005525A7"/>
    <w:rsid w:val="00554664"/>
    <w:rsid w:val="00554A9B"/>
    <w:rsid w:val="005562FC"/>
    <w:rsid w:val="005637EB"/>
    <w:rsid w:val="005664E1"/>
    <w:rsid w:val="00574287"/>
    <w:rsid w:val="005776B0"/>
    <w:rsid w:val="005D30E9"/>
    <w:rsid w:val="005E25E8"/>
    <w:rsid w:val="0060468B"/>
    <w:rsid w:val="006105A8"/>
    <w:rsid w:val="00612DD9"/>
    <w:rsid w:val="006130E0"/>
    <w:rsid w:val="006318DD"/>
    <w:rsid w:val="00654639"/>
    <w:rsid w:val="00656ACD"/>
    <w:rsid w:val="006628FA"/>
    <w:rsid w:val="0067584B"/>
    <w:rsid w:val="00677062"/>
    <w:rsid w:val="00684B06"/>
    <w:rsid w:val="00684F10"/>
    <w:rsid w:val="0069028C"/>
    <w:rsid w:val="00694B0B"/>
    <w:rsid w:val="006A101B"/>
    <w:rsid w:val="006A1B7E"/>
    <w:rsid w:val="006C6552"/>
    <w:rsid w:val="006D0C6E"/>
    <w:rsid w:val="006D4E4D"/>
    <w:rsid w:val="006F07D7"/>
    <w:rsid w:val="006F709D"/>
    <w:rsid w:val="007147A5"/>
    <w:rsid w:val="00726DDF"/>
    <w:rsid w:val="00733B4F"/>
    <w:rsid w:val="00747F45"/>
    <w:rsid w:val="00751974"/>
    <w:rsid w:val="0075269B"/>
    <w:rsid w:val="00755807"/>
    <w:rsid w:val="00790349"/>
    <w:rsid w:val="00797AF4"/>
    <w:rsid w:val="007B0695"/>
    <w:rsid w:val="007C31E0"/>
    <w:rsid w:val="007C61D0"/>
    <w:rsid w:val="007D04C3"/>
    <w:rsid w:val="007D3BD2"/>
    <w:rsid w:val="007D63E5"/>
    <w:rsid w:val="007E1046"/>
    <w:rsid w:val="00801105"/>
    <w:rsid w:val="008315AC"/>
    <w:rsid w:val="00836EE8"/>
    <w:rsid w:val="00852827"/>
    <w:rsid w:val="00853796"/>
    <w:rsid w:val="008833F1"/>
    <w:rsid w:val="00887415"/>
    <w:rsid w:val="008C2C72"/>
    <w:rsid w:val="008E7DBF"/>
    <w:rsid w:val="009060CF"/>
    <w:rsid w:val="00920D9B"/>
    <w:rsid w:val="00922180"/>
    <w:rsid w:val="00930245"/>
    <w:rsid w:val="00931612"/>
    <w:rsid w:val="009401AD"/>
    <w:rsid w:val="00944873"/>
    <w:rsid w:val="00961916"/>
    <w:rsid w:val="0099045E"/>
    <w:rsid w:val="00992471"/>
    <w:rsid w:val="00995BA6"/>
    <w:rsid w:val="009A037E"/>
    <w:rsid w:val="009B3322"/>
    <w:rsid w:val="009C096B"/>
    <w:rsid w:val="009D0D24"/>
    <w:rsid w:val="009D4146"/>
    <w:rsid w:val="009D52F3"/>
    <w:rsid w:val="009E3E58"/>
    <w:rsid w:val="009E5C0F"/>
    <w:rsid w:val="009E6D01"/>
    <w:rsid w:val="00A177B1"/>
    <w:rsid w:val="00A25FBB"/>
    <w:rsid w:val="00A3021C"/>
    <w:rsid w:val="00A36862"/>
    <w:rsid w:val="00A47235"/>
    <w:rsid w:val="00A47531"/>
    <w:rsid w:val="00A62229"/>
    <w:rsid w:val="00A72379"/>
    <w:rsid w:val="00A95D9C"/>
    <w:rsid w:val="00AA65FD"/>
    <w:rsid w:val="00AB25FC"/>
    <w:rsid w:val="00AB2684"/>
    <w:rsid w:val="00AC34B4"/>
    <w:rsid w:val="00AF36DE"/>
    <w:rsid w:val="00B37A79"/>
    <w:rsid w:val="00B40A84"/>
    <w:rsid w:val="00B5770D"/>
    <w:rsid w:val="00B629BB"/>
    <w:rsid w:val="00B85FB0"/>
    <w:rsid w:val="00B87A74"/>
    <w:rsid w:val="00BA2578"/>
    <w:rsid w:val="00BC18DF"/>
    <w:rsid w:val="00BC29CF"/>
    <w:rsid w:val="00BD5CC8"/>
    <w:rsid w:val="00BE348D"/>
    <w:rsid w:val="00BF692D"/>
    <w:rsid w:val="00BF7EA9"/>
    <w:rsid w:val="00C149B4"/>
    <w:rsid w:val="00C14F40"/>
    <w:rsid w:val="00C15FCA"/>
    <w:rsid w:val="00C2371D"/>
    <w:rsid w:val="00C348EB"/>
    <w:rsid w:val="00C86035"/>
    <w:rsid w:val="00C879BE"/>
    <w:rsid w:val="00C915D7"/>
    <w:rsid w:val="00CA3B38"/>
    <w:rsid w:val="00CB002B"/>
    <w:rsid w:val="00CB5CDA"/>
    <w:rsid w:val="00CC76BD"/>
    <w:rsid w:val="00CD2543"/>
    <w:rsid w:val="00CD31D6"/>
    <w:rsid w:val="00D35B92"/>
    <w:rsid w:val="00D530F5"/>
    <w:rsid w:val="00D546F5"/>
    <w:rsid w:val="00D54BFB"/>
    <w:rsid w:val="00D76F88"/>
    <w:rsid w:val="00DB03B5"/>
    <w:rsid w:val="00DC6271"/>
    <w:rsid w:val="00DF7233"/>
    <w:rsid w:val="00E13911"/>
    <w:rsid w:val="00E14489"/>
    <w:rsid w:val="00E349C1"/>
    <w:rsid w:val="00E4315D"/>
    <w:rsid w:val="00E44B26"/>
    <w:rsid w:val="00E6630F"/>
    <w:rsid w:val="00E674BD"/>
    <w:rsid w:val="00E85B4C"/>
    <w:rsid w:val="00ED0CB2"/>
    <w:rsid w:val="00EF764C"/>
    <w:rsid w:val="00F00D51"/>
    <w:rsid w:val="00F143DE"/>
    <w:rsid w:val="00F1732F"/>
    <w:rsid w:val="00F2468D"/>
    <w:rsid w:val="00F26468"/>
    <w:rsid w:val="00F40628"/>
    <w:rsid w:val="00F416A8"/>
    <w:rsid w:val="00F86D51"/>
    <w:rsid w:val="00FA5D2D"/>
    <w:rsid w:val="00FB69D1"/>
    <w:rsid w:val="00FE079C"/>
    <w:rsid w:val="00FF54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91852"/>
  <w15:chartTrackingRefBased/>
  <w15:docId w15:val="{9D5F775B-3C56-4C56-8CEE-237CC109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cs="Courier Ne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cs="Courier New"/>
      <w:b/>
      <w:sz w:val="24"/>
    </w:rPr>
  </w:style>
  <w:style w:type="paragraph" w:styleId="Ttulo3">
    <w:name w:val="heading 3"/>
    <w:basedOn w:val="Normal"/>
    <w:next w:val="Normal"/>
    <w:link w:val="Ttulo3Car"/>
    <w:uiPriority w:val="9"/>
    <w:unhideWhenUsed/>
    <w:qFormat/>
    <w:rsid w:val="00E4315D"/>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E4315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cs="Courier New"/>
      <w:sz w:val="24"/>
      <w:lang w:val="es-MX"/>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debloque">
    <w:name w:val="Block Text"/>
    <w:basedOn w:val="Normal"/>
    <w:semiHidden/>
    <w:pPr>
      <w:ind w:left="1134" w:right="1418" w:firstLine="1701"/>
      <w:jc w:val="both"/>
    </w:pPr>
    <w:rPr>
      <w:rFonts w:ascii="Arial" w:hAnsi="Arial"/>
      <w:i/>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1"/>
    <w:qFormat/>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basedOn w:val="Fuentedeprrafopredeter"/>
    <w:link w:val="Refdenotaalpie2"/>
    <w:qFormat/>
    <w:rPr>
      <w:vertAlign w:val="superscript"/>
    </w:rPr>
  </w:style>
  <w:style w:type="character" w:customStyle="1" w:styleId="Ttulo3Car">
    <w:name w:val="Título 3 Car"/>
    <w:basedOn w:val="Fuentedeprrafopredeter"/>
    <w:link w:val="Ttulo3"/>
    <w:semiHidden/>
    <w:rsid w:val="00E4315D"/>
    <w:rPr>
      <w:rFonts w:ascii="Calibri Light" w:hAnsi="Calibri Light"/>
      <w:color w:val="1F4D78"/>
      <w:sz w:val="24"/>
      <w:szCs w:val="24"/>
      <w:lang w:val="es-ES" w:eastAsia="es-ES"/>
    </w:rPr>
  </w:style>
  <w:style w:type="character" w:customStyle="1" w:styleId="Ttulo4Car">
    <w:name w:val="Título 4 Car"/>
    <w:basedOn w:val="Fuentedeprrafopredeter"/>
    <w:link w:val="Ttulo4"/>
    <w:uiPriority w:val="9"/>
    <w:rsid w:val="00E4315D"/>
    <w:rPr>
      <w:rFonts w:ascii="Calibri" w:hAnsi="Calibri"/>
      <w:b/>
      <w:bCs/>
      <w:sz w:val="28"/>
      <w:szCs w:val="28"/>
      <w:lang w:val="es-ES" w:eastAsia="es-ES"/>
    </w:rPr>
  </w:style>
  <w:style w:type="character" w:customStyle="1" w:styleId="PiedepginaCar">
    <w:name w:val="Pie de página Car"/>
    <w:link w:val="Piedepgina"/>
    <w:uiPriority w:val="99"/>
    <w:rsid w:val="00E4315D"/>
    <w:rPr>
      <w:lang w:val="es-ES" w:eastAsia="es-ES"/>
    </w:rPr>
  </w:style>
  <w:style w:type="paragraph" w:customStyle="1" w:styleId="BodyTextIndent1">
    <w:name w:val="Body Text Indent1"/>
    <w:basedOn w:val="Normal"/>
    <w:rsid w:val="00E4315D"/>
    <w:pPr>
      <w:autoSpaceDE w:val="0"/>
      <w:autoSpaceDN w:val="0"/>
      <w:spacing w:line="360" w:lineRule="auto"/>
      <w:jc w:val="both"/>
    </w:pPr>
    <w:rPr>
      <w:rFonts w:ascii="Arial" w:hAnsi="Arial" w:cs="Arial"/>
      <w:sz w:val="26"/>
      <w:szCs w:val="26"/>
    </w:rPr>
  </w:style>
  <w:style w:type="character" w:styleId="Textoennegrita">
    <w:name w:val="Strong"/>
    <w:rsid w:val="00E4315D"/>
    <w:rPr>
      <w:b/>
      <w:bCs/>
    </w:rPr>
  </w:style>
  <w:style w:type="paragraph" w:styleId="Textodeglobo">
    <w:name w:val="Balloon Text"/>
    <w:basedOn w:val="Normal"/>
    <w:link w:val="TextodegloboCar"/>
    <w:rsid w:val="00E4315D"/>
    <w:rPr>
      <w:rFonts w:ascii="Verdana" w:hAnsi="Verdana"/>
      <w:sz w:val="16"/>
      <w:szCs w:val="16"/>
    </w:rPr>
  </w:style>
  <w:style w:type="character" w:customStyle="1" w:styleId="TextodegloboCar">
    <w:name w:val="Texto de globo Car"/>
    <w:basedOn w:val="Fuentedeprrafopredeter"/>
    <w:link w:val="Textodeglobo"/>
    <w:rsid w:val="00E4315D"/>
    <w:rPr>
      <w:rFonts w:ascii="Verdana" w:hAnsi="Verdana"/>
      <w:sz w:val="16"/>
      <w:szCs w:val="16"/>
      <w:lang w:val="es-ES" w:eastAsia="es-ES"/>
    </w:rPr>
  </w:style>
  <w:style w:type="character" w:customStyle="1" w:styleId="SangradetextonormalCar">
    <w:name w:val="Sangría de texto normal Car"/>
    <w:link w:val="Sangradetextonormal"/>
    <w:rsid w:val="00E4315D"/>
    <w:rPr>
      <w:rFonts w:ascii="Verdana" w:hAnsi="Verdana"/>
      <w:sz w:val="24"/>
      <w:lang w:val="es-ES" w:eastAsia="es-ES"/>
    </w:rPr>
  </w:style>
  <w:style w:type="paragraph" w:customStyle="1" w:styleId="Piedepgina1">
    <w:name w:val="Pie de página1"/>
    <w:rsid w:val="00E4315D"/>
    <w:pPr>
      <w:tabs>
        <w:tab w:val="center" w:pos="4252"/>
        <w:tab w:val="right" w:pos="8504"/>
      </w:tabs>
    </w:pPr>
    <w:rPr>
      <w:rFonts w:ascii="Arial" w:eastAsia="ヒラギノ角ゴ Pro W3" w:hAnsi="Arial"/>
      <w:color w:val="000000"/>
      <w:sz w:val="28"/>
      <w:lang w:val="es-ES_tradnl" w:eastAsia="es-ES"/>
    </w:rPr>
  </w:style>
  <w:style w:type="character" w:customStyle="1" w:styleId="EncabezadoCar">
    <w:name w:val="Encabezado Car"/>
    <w:link w:val="Encabezado"/>
    <w:uiPriority w:val="99"/>
    <w:rsid w:val="00E4315D"/>
    <w:rPr>
      <w:lang w:val="es-ES" w:eastAsia="es-ES"/>
    </w:rPr>
  </w:style>
  <w:style w:type="paragraph" w:styleId="Textoindependiente2">
    <w:name w:val="Body Text 2"/>
    <w:basedOn w:val="Normal"/>
    <w:link w:val="Textoindependiente2Car"/>
    <w:rsid w:val="00E4315D"/>
    <w:pPr>
      <w:spacing w:after="120" w:line="480" w:lineRule="auto"/>
    </w:pPr>
    <w:rPr>
      <w:sz w:val="24"/>
      <w:szCs w:val="24"/>
    </w:rPr>
  </w:style>
  <w:style w:type="character" w:customStyle="1" w:styleId="Textoindependiente2Car">
    <w:name w:val="Texto independiente 2 Car"/>
    <w:basedOn w:val="Fuentedeprrafopredeter"/>
    <w:link w:val="Textoindependiente2"/>
    <w:rsid w:val="00E4315D"/>
    <w:rPr>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link w:val="Textonotapie"/>
    <w:rsid w:val="00E4315D"/>
    <w:rPr>
      <w:lang w:val="es-ES" w:eastAsia="es-ES"/>
    </w:rPr>
  </w:style>
  <w:style w:type="paragraph" w:styleId="NormalWeb">
    <w:name w:val="Normal (Web)"/>
    <w:basedOn w:val="Normal"/>
    <w:uiPriority w:val="99"/>
    <w:unhideWhenUsed/>
    <w:rsid w:val="00E4315D"/>
    <w:pPr>
      <w:spacing w:before="100" w:beforeAutospacing="1" w:after="100" w:afterAutospacing="1"/>
    </w:pPr>
    <w:rPr>
      <w:sz w:val="24"/>
      <w:szCs w:val="24"/>
      <w:lang w:val="es-CO" w:eastAsia="es-CO"/>
    </w:rPr>
  </w:style>
  <w:style w:type="paragraph" w:styleId="Prrafodelista">
    <w:name w:val="List Paragraph"/>
    <w:basedOn w:val="Normal"/>
    <w:uiPriority w:val="34"/>
    <w:qFormat/>
    <w:rsid w:val="00E4315D"/>
    <w:pPr>
      <w:spacing w:after="200" w:line="276" w:lineRule="auto"/>
      <w:ind w:left="708"/>
    </w:pPr>
    <w:rPr>
      <w:rFonts w:ascii="Calibri" w:eastAsia="Calibri" w:hAnsi="Calibri"/>
      <w:sz w:val="22"/>
      <w:szCs w:val="22"/>
      <w:lang w:val="es-CO" w:eastAsia="en-US"/>
    </w:rPr>
  </w:style>
  <w:style w:type="character" w:customStyle="1" w:styleId="apple-converted-space">
    <w:name w:val="apple-converted-space"/>
    <w:rsid w:val="00E4315D"/>
  </w:style>
  <w:style w:type="paragraph" w:customStyle="1" w:styleId="Ttulo10">
    <w:name w:val="Título1"/>
    <w:basedOn w:val="Normal"/>
    <w:link w:val="TtuloCar"/>
    <w:rsid w:val="00E4315D"/>
    <w:pPr>
      <w:spacing w:line="360" w:lineRule="auto"/>
      <w:jc w:val="center"/>
    </w:pPr>
    <w:rPr>
      <w:rFonts w:ascii="Arial" w:hAnsi="Arial"/>
      <w:b/>
      <w:sz w:val="28"/>
      <w:lang w:val="es-ES_tradnl"/>
    </w:rPr>
  </w:style>
  <w:style w:type="character" w:customStyle="1" w:styleId="TtuloCar">
    <w:name w:val="Título Car"/>
    <w:link w:val="Ttulo10"/>
    <w:rsid w:val="00E4315D"/>
    <w:rPr>
      <w:rFonts w:ascii="Arial" w:hAnsi="Arial"/>
      <w:b/>
      <w:sz w:val="28"/>
      <w:lang w:val="es-ES_tradnl" w:eastAsia="es-ES"/>
    </w:rPr>
  </w:style>
  <w:style w:type="table" w:styleId="Tablaconcuadrcula">
    <w:name w:val="Table Grid"/>
    <w:basedOn w:val="Tablanormal"/>
    <w:rsid w:val="00E4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ootnote Text Char Char Char Char Char Car1,Ref. de nota al pie1 Car1,FA Fu Car1,texto de nota al pie Car1,Footnote Text Char Car,Footnote Text Char Char Char Char Char Char Char Char Car,ft Car"/>
    <w:rsid w:val="00E4315D"/>
    <w:rPr>
      <w:rFonts w:ascii="Arial" w:hAnsi="Arial"/>
      <w:lang w:val="es-ES_tradnl" w:eastAsia="x-none" w:bidi="ar-SA"/>
    </w:rPr>
  </w:style>
  <w:style w:type="character" w:customStyle="1" w:styleId="NormalCSJCar">
    <w:name w:val="Normal CSJ Car"/>
    <w:link w:val="NormalCSJ"/>
    <w:rsid w:val="00E4315D"/>
    <w:rPr>
      <w:rFonts w:ascii="Bookman Old Style" w:eastAsia="Calibri" w:hAnsi="Bookman Old Style"/>
      <w:sz w:val="28"/>
      <w:szCs w:val="28"/>
    </w:rPr>
  </w:style>
  <w:style w:type="paragraph" w:customStyle="1" w:styleId="NormalCSJ">
    <w:name w:val="Normal CSJ"/>
    <w:basedOn w:val="Normal"/>
    <w:link w:val="NormalCSJCar"/>
    <w:qFormat/>
    <w:rsid w:val="00E4315D"/>
    <w:pPr>
      <w:spacing w:line="360" w:lineRule="auto"/>
      <w:ind w:firstLine="709"/>
      <w:jc w:val="both"/>
    </w:pPr>
    <w:rPr>
      <w:rFonts w:ascii="Bookman Old Style" w:eastAsia="Calibri" w:hAnsi="Bookman Old Style"/>
      <w:sz w:val="28"/>
      <w:szCs w:val="28"/>
      <w:lang w:val="es-CO" w:eastAsia="es-CO"/>
    </w:rPr>
  </w:style>
  <w:style w:type="paragraph" w:customStyle="1" w:styleId="CitaExtraCSJ">
    <w:name w:val="Cita Extra CSJ"/>
    <w:basedOn w:val="Textoindependiente"/>
    <w:link w:val="CitaExtraCSJCar"/>
    <w:qFormat/>
    <w:rsid w:val="00E4315D"/>
    <w:pPr>
      <w:ind w:left="680"/>
    </w:pPr>
    <w:rPr>
      <w:rFonts w:ascii="Bookman Old Style" w:hAnsi="Bookman Old Style" w:cs="Times New Roman"/>
      <w:i/>
      <w:szCs w:val="28"/>
      <w:lang w:val="es-ES_tradnl" w:eastAsia="x-none"/>
    </w:rPr>
  </w:style>
  <w:style w:type="character" w:customStyle="1" w:styleId="CitaExtraCSJCar">
    <w:name w:val="Cita Extra CSJ Car"/>
    <w:link w:val="CitaExtraCSJ"/>
    <w:rsid w:val="00E4315D"/>
    <w:rPr>
      <w:rFonts w:ascii="Bookman Old Style" w:hAnsi="Bookman Old Style"/>
      <w:i/>
      <w:sz w:val="24"/>
      <w:szCs w:val="28"/>
      <w:lang w:val="es-ES_tradnl" w:eastAsia="x-none"/>
    </w:rPr>
  </w:style>
  <w:style w:type="character" w:customStyle="1" w:styleId="TextoindependienteCar">
    <w:name w:val="Texto independiente Car"/>
    <w:rsid w:val="00E4315D"/>
    <w:rPr>
      <w:rFonts w:ascii="Verdana" w:hAnsi="Verdana"/>
      <w:sz w:val="28"/>
    </w:rPr>
  </w:style>
  <w:style w:type="paragraph" w:customStyle="1" w:styleId="SubtituloCSJ">
    <w:name w:val="Subtitulo CSJ"/>
    <w:basedOn w:val="Ttulo2"/>
    <w:next w:val="NormalCSJ"/>
    <w:link w:val="SubtituloCSJCar"/>
    <w:qFormat/>
    <w:rsid w:val="00E4315D"/>
    <w:pPr>
      <w:keepLines/>
      <w:ind w:firstLine="709"/>
    </w:pPr>
    <w:rPr>
      <w:rFonts w:ascii="Bookman Old Style" w:hAnsi="Bookman Old Style" w:cs="Times New Roman"/>
      <w:sz w:val="28"/>
      <w:szCs w:val="26"/>
      <w:lang w:val="es-MX"/>
    </w:rPr>
  </w:style>
  <w:style w:type="character" w:customStyle="1" w:styleId="SubtituloCSJCar">
    <w:name w:val="Subtitulo CSJ Car"/>
    <w:link w:val="SubtituloCSJ"/>
    <w:rsid w:val="00E4315D"/>
    <w:rPr>
      <w:rFonts w:ascii="Bookman Old Style" w:hAnsi="Bookman Old Style"/>
      <w:b/>
      <w:sz w:val="28"/>
      <w:szCs w:val="26"/>
      <w:lang w:val="es-MX" w:eastAsia="es-ES"/>
    </w:rPr>
  </w:style>
  <w:style w:type="character" w:customStyle="1" w:styleId="Ttulo2Car">
    <w:name w:val="Título 2 Car"/>
    <w:link w:val="Ttulo2"/>
    <w:rsid w:val="00E4315D"/>
    <w:rPr>
      <w:rFonts w:ascii="Arial Narrow" w:hAnsi="Arial Narrow" w:cs="Courier New"/>
      <w:b/>
      <w:sz w:val="24"/>
      <w:lang w:val="es-ES" w:eastAsia="es-ES"/>
    </w:rPr>
  </w:style>
  <w:style w:type="paragraph" w:customStyle="1" w:styleId="TituloCSJ">
    <w:name w:val="Titulo CSJ"/>
    <w:basedOn w:val="Ttulo1"/>
    <w:link w:val="TituloCSJCar"/>
    <w:qFormat/>
    <w:rsid w:val="00E4315D"/>
    <w:pPr>
      <w:ind w:left="0" w:firstLine="0"/>
      <w:jc w:val="center"/>
    </w:pPr>
    <w:rPr>
      <w:rFonts w:ascii="Bookman Old Style" w:hAnsi="Bookman Old Style" w:cs="Times New Roman"/>
      <w:sz w:val="28"/>
      <w:szCs w:val="28"/>
      <w:lang w:val="es-ES_tradnl" w:eastAsia="x-none"/>
    </w:rPr>
  </w:style>
  <w:style w:type="character" w:customStyle="1" w:styleId="TituloCSJCar">
    <w:name w:val="Titulo CSJ Car"/>
    <w:link w:val="TituloCSJ"/>
    <w:rsid w:val="00E4315D"/>
    <w:rPr>
      <w:rFonts w:ascii="Bookman Old Style" w:hAnsi="Bookman Old Style"/>
      <w:b/>
      <w:sz w:val="28"/>
      <w:szCs w:val="28"/>
      <w:lang w:val="es-ES_tradnl" w:eastAsia="x-none"/>
    </w:rPr>
  </w:style>
  <w:style w:type="character" w:customStyle="1" w:styleId="CitaIntraCSJCar">
    <w:name w:val="Cita Intra CSJ Car"/>
    <w:link w:val="CitaIntraCSJ"/>
    <w:rsid w:val="00E4315D"/>
    <w:rPr>
      <w:rFonts w:ascii="Bookman Old Style" w:eastAsia="Calibri" w:hAnsi="Bookman Old Style"/>
      <w:bCs/>
      <w:i/>
      <w:sz w:val="24"/>
      <w:szCs w:val="24"/>
    </w:rPr>
  </w:style>
  <w:style w:type="paragraph" w:customStyle="1" w:styleId="CitaIntraCSJ">
    <w:name w:val="Cita Intra CSJ"/>
    <w:basedOn w:val="NormalCSJ"/>
    <w:link w:val="CitaIntraCSJCar"/>
    <w:qFormat/>
    <w:rsid w:val="00E4315D"/>
    <w:rPr>
      <w:bCs/>
      <w:i/>
      <w:sz w:val="24"/>
      <w:szCs w:val="24"/>
    </w:rPr>
  </w:style>
  <w:style w:type="paragraph" w:styleId="Sangra2detindependiente">
    <w:name w:val="Body Text Indent 2"/>
    <w:basedOn w:val="Normal"/>
    <w:link w:val="Sangra2detindependienteCar"/>
    <w:rsid w:val="00E4315D"/>
    <w:pPr>
      <w:spacing w:after="120" w:line="480" w:lineRule="auto"/>
      <w:ind w:left="283"/>
    </w:pPr>
  </w:style>
  <w:style w:type="character" w:customStyle="1" w:styleId="Sangra2detindependienteCar">
    <w:name w:val="Sangría 2 de t. independiente Car"/>
    <w:basedOn w:val="Fuentedeprrafopredeter"/>
    <w:link w:val="Sangra2detindependiente"/>
    <w:rsid w:val="00E4315D"/>
    <w:rPr>
      <w:lang w:val="es-ES" w:eastAsia="es-ES"/>
    </w:rPr>
  </w:style>
  <w:style w:type="paragraph" w:customStyle="1" w:styleId="Estilo">
    <w:name w:val="Estilo"/>
    <w:rsid w:val="00E4315D"/>
    <w:pPr>
      <w:widowControl w:val="0"/>
      <w:autoSpaceDE w:val="0"/>
      <w:autoSpaceDN w:val="0"/>
      <w:adjustRightInd w:val="0"/>
      <w:spacing w:before="100" w:beforeAutospacing="1" w:after="100" w:afterAutospacing="1"/>
    </w:pPr>
    <w:rPr>
      <w:rFonts w:ascii="Arial" w:hAnsi="Arial" w:cs="Arial"/>
      <w:sz w:val="24"/>
      <w:szCs w:val="24"/>
      <w:lang w:val="es-ES" w:eastAsia="es-ES"/>
    </w:rPr>
  </w:style>
  <w:style w:type="paragraph" w:styleId="Sinespaciado">
    <w:name w:val="No Spacing"/>
    <w:link w:val="SinespaciadoCar"/>
    <w:uiPriority w:val="1"/>
    <w:qFormat/>
    <w:rsid w:val="00E4315D"/>
    <w:rPr>
      <w:rFonts w:ascii="Calibri" w:eastAsia="Calibri" w:hAnsi="Calibri"/>
      <w:sz w:val="22"/>
      <w:szCs w:val="22"/>
      <w:lang w:eastAsia="en-US"/>
    </w:rPr>
  </w:style>
  <w:style w:type="character" w:customStyle="1" w:styleId="FontStyle21">
    <w:name w:val="Font Style21"/>
    <w:uiPriority w:val="99"/>
    <w:rsid w:val="00E4315D"/>
    <w:rPr>
      <w:rFonts w:ascii="Arial" w:hAnsi="Arial" w:cs="Arial"/>
      <w:sz w:val="22"/>
      <w:szCs w:val="22"/>
    </w:rPr>
  </w:style>
  <w:style w:type="paragraph" w:customStyle="1" w:styleId="NotaalpieCSJ">
    <w:name w:val="Nota al pie CSJ"/>
    <w:basedOn w:val="NormalCSJ"/>
    <w:link w:val="NotaalpieCSJCar"/>
    <w:qFormat/>
    <w:rsid w:val="00E4315D"/>
    <w:pPr>
      <w:spacing w:line="240" w:lineRule="auto"/>
      <w:ind w:firstLine="0"/>
    </w:pPr>
  </w:style>
  <w:style w:type="character" w:customStyle="1" w:styleId="NotaalpieCSJCar">
    <w:name w:val="Nota al pie CSJ Car"/>
    <w:link w:val="NotaalpieCSJ"/>
    <w:rsid w:val="00E4315D"/>
    <w:rPr>
      <w:rFonts w:ascii="Bookman Old Style" w:eastAsia="Calibri" w:hAnsi="Bookman Old Style"/>
      <w:sz w:val="28"/>
      <w:szCs w:val="28"/>
    </w:rPr>
  </w:style>
  <w:style w:type="paragraph" w:customStyle="1" w:styleId="Refdenotaalpie2">
    <w:name w:val="Ref. de nota al pie2"/>
    <w:aliases w:val="Nota de pie,Pie de pagina"/>
    <w:basedOn w:val="Normal"/>
    <w:link w:val="Refdenotaalpie"/>
    <w:rsid w:val="00E4315D"/>
    <w:pPr>
      <w:spacing w:after="160" w:line="240" w:lineRule="exact"/>
    </w:pPr>
    <w:rPr>
      <w:vertAlign w:val="superscript"/>
      <w:lang w:val="es-CO" w:eastAsia="es-CO"/>
    </w:rPr>
  </w:style>
  <w:style w:type="character" w:styleId="nfasissutil">
    <w:name w:val="Subtle Emphasis"/>
    <w:basedOn w:val="Fuentedeprrafopredeter"/>
    <w:uiPriority w:val="19"/>
    <w:qFormat/>
    <w:rsid w:val="00E4315D"/>
    <w:rPr>
      <w:i/>
      <w:iCs/>
      <w:color w:val="404040" w:themeColor="text1" w:themeTint="BF"/>
    </w:rPr>
  </w:style>
  <w:style w:type="paragraph" w:styleId="Textoindependienteprimerasangra">
    <w:name w:val="Body Text First Indent"/>
    <w:basedOn w:val="Textoindependiente"/>
    <w:link w:val="TextoindependienteprimerasangraCar"/>
    <w:rsid w:val="00E4315D"/>
    <w:pPr>
      <w:spacing w:line="240" w:lineRule="auto"/>
      <w:ind w:firstLine="360"/>
      <w:jc w:val="left"/>
    </w:pPr>
    <w:rPr>
      <w:rFonts w:ascii="Times New Roman" w:hAnsi="Times New Roman" w:cs="Times New Roman"/>
      <w:szCs w:val="24"/>
      <w:lang w:val="es-ES"/>
    </w:rPr>
  </w:style>
  <w:style w:type="character" w:customStyle="1" w:styleId="TextoindependienteCar1">
    <w:name w:val="Texto independiente Car1"/>
    <w:basedOn w:val="Fuentedeprrafopredeter"/>
    <w:link w:val="Textoindependiente"/>
    <w:rsid w:val="00E4315D"/>
    <w:rPr>
      <w:rFonts w:ascii="Courier New" w:hAnsi="Courier New" w:cs="Courier New"/>
      <w:sz w:val="24"/>
      <w:lang w:val="es-MX" w:eastAsia="es-ES"/>
    </w:rPr>
  </w:style>
  <w:style w:type="character" w:customStyle="1" w:styleId="TextoindependienteprimerasangraCar">
    <w:name w:val="Texto independiente primera sangría Car"/>
    <w:basedOn w:val="TextoindependienteCar1"/>
    <w:link w:val="Textoindependienteprimerasangra"/>
    <w:rsid w:val="00E4315D"/>
    <w:rPr>
      <w:rFonts w:ascii="Courier New" w:hAnsi="Courier New" w:cs="Courier New"/>
      <w:sz w:val="24"/>
      <w:szCs w:val="24"/>
      <w:lang w:val="es-ES" w:eastAsia="es-ES"/>
    </w:rPr>
  </w:style>
  <w:style w:type="paragraph" w:customStyle="1" w:styleId="ParrafoCSJ">
    <w:name w:val="Parrafo # CSJ"/>
    <w:basedOn w:val="Ttulo3"/>
    <w:next w:val="NormalCSJ"/>
    <w:link w:val="ParrafoCSJCar"/>
    <w:qFormat/>
    <w:rsid w:val="00E4315D"/>
    <w:pPr>
      <w:spacing w:before="0" w:line="360" w:lineRule="auto"/>
      <w:ind w:firstLine="709"/>
      <w:jc w:val="both"/>
    </w:pPr>
    <w:rPr>
      <w:rFonts w:ascii="Bookman Old Style" w:eastAsiaTheme="majorEastAsia" w:hAnsi="Bookman Old Style" w:cstheme="majorBidi"/>
      <w:color w:val="auto"/>
      <w:sz w:val="28"/>
      <w:lang w:val="es-MX"/>
    </w:rPr>
  </w:style>
  <w:style w:type="character" w:customStyle="1" w:styleId="ParrafoCSJCar">
    <w:name w:val="Parrafo # CSJ Car"/>
    <w:basedOn w:val="Ttulo2Car"/>
    <w:link w:val="ParrafoCSJ"/>
    <w:rsid w:val="00E4315D"/>
    <w:rPr>
      <w:rFonts w:ascii="Bookman Old Style" w:eastAsiaTheme="majorEastAsia" w:hAnsi="Bookman Old Style" w:cstheme="majorBidi"/>
      <w:b w:val="0"/>
      <w:sz w:val="28"/>
      <w:szCs w:val="24"/>
      <w:lang w:val="es-MX" w:eastAsia="es-ES"/>
    </w:rPr>
  </w:style>
  <w:style w:type="paragraph" w:customStyle="1" w:styleId="DIEZ">
    <w:name w:val="DIEZ"/>
    <w:rsid w:val="00887415"/>
    <w:pPr>
      <w:autoSpaceDE w:val="0"/>
      <w:autoSpaceDN w:val="0"/>
      <w:spacing w:after="74" w:line="220" w:lineRule="atLeast"/>
      <w:ind w:firstLine="159"/>
      <w:jc w:val="both"/>
    </w:pPr>
    <w:rPr>
      <w:rFonts w:ascii="Helvetica" w:hAnsi="Helvetica"/>
      <w:sz w:val="24"/>
      <w:lang w:val="en-US" w:eastAsia="es-ES"/>
    </w:rPr>
  </w:style>
  <w:style w:type="paragraph" w:styleId="Listaconnmeros">
    <w:name w:val="List Number"/>
    <w:basedOn w:val="Normal"/>
    <w:link w:val="ListaconnmerosCar"/>
    <w:uiPriority w:val="99"/>
    <w:semiHidden/>
    <w:unhideWhenUsed/>
    <w:rsid w:val="00554664"/>
    <w:pPr>
      <w:widowControl w:val="0"/>
      <w:numPr>
        <w:numId w:val="18"/>
      </w:numPr>
      <w:spacing w:line="360" w:lineRule="auto"/>
      <w:contextualSpacing/>
      <w:jc w:val="both"/>
    </w:pPr>
    <w:rPr>
      <w:rFonts w:ascii="Bookman Old Style" w:hAnsi="Bookman Old Style"/>
      <w:sz w:val="28"/>
      <w:szCs w:val="24"/>
    </w:rPr>
  </w:style>
  <w:style w:type="paragraph" w:styleId="Ttulo">
    <w:name w:val="Title"/>
    <w:basedOn w:val="Normal"/>
    <w:next w:val="Normal"/>
    <w:qFormat/>
    <w:rsid w:val="00554664"/>
    <w:pPr>
      <w:widowControl w:val="0"/>
      <w:spacing w:line="360" w:lineRule="auto"/>
      <w:contextualSpacing/>
      <w:jc w:val="center"/>
      <w:outlineLvl w:val="0"/>
    </w:pPr>
    <w:rPr>
      <w:rFonts w:ascii="Bookman Old Style" w:hAnsi="Bookman Old Style"/>
      <w:bCs/>
      <w:kern w:val="28"/>
      <w:sz w:val="28"/>
      <w:szCs w:val="32"/>
    </w:rPr>
  </w:style>
  <w:style w:type="character" w:customStyle="1" w:styleId="TtuloCar1">
    <w:name w:val="Título Car1"/>
    <w:basedOn w:val="Fuentedeprrafopredeter"/>
    <w:uiPriority w:val="10"/>
    <w:rsid w:val="00554664"/>
    <w:rPr>
      <w:rFonts w:asciiTheme="majorHAnsi" w:eastAsiaTheme="majorEastAsia" w:hAnsiTheme="majorHAnsi" w:cstheme="majorBidi"/>
      <w:spacing w:val="-10"/>
      <w:kern w:val="28"/>
      <w:sz w:val="56"/>
      <w:szCs w:val="56"/>
      <w:lang w:val="es-ES" w:eastAsia="es-ES"/>
    </w:rPr>
  </w:style>
  <w:style w:type="character" w:customStyle="1" w:styleId="ListaconnmerosCar">
    <w:name w:val="Lista con números Car"/>
    <w:link w:val="Listaconnmeros"/>
    <w:uiPriority w:val="99"/>
    <w:semiHidden/>
    <w:rsid w:val="00554664"/>
    <w:rPr>
      <w:rFonts w:ascii="Bookman Old Style" w:hAnsi="Bookman Old Style"/>
      <w:sz w:val="28"/>
      <w:szCs w:val="24"/>
      <w:lang w:val="es-ES" w:eastAsia="es-ES"/>
    </w:rPr>
  </w:style>
  <w:style w:type="character" w:customStyle="1" w:styleId="SinespaciadoCar">
    <w:name w:val="Sin espaciado Car"/>
    <w:link w:val="Sinespaciado"/>
    <w:uiPriority w:val="1"/>
    <w:locked/>
    <w:rsid w:val="00E674B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41FE-4C89-43CE-B4F0-3F0081B7B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04C5B-9708-47F9-8365-5E7A21215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88BEF-60D6-4B71-AAC8-0998A544DBFB}">
  <ds:schemaRefs>
    <ds:schemaRef ds:uri="http://schemas.microsoft.com/sharepoint/v3/contenttype/forms"/>
  </ds:schemaRefs>
</ds:datastoreItem>
</file>

<file path=customXml/itemProps4.xml><?xml version="1.0" encoding="utf-8"?>
<ds:datastoreItem xmlns:ds="http://schemas.openxmlformats.org/officeDocument/2006/customXml" ds:itemID="{C09B746C-2F8B-4A02-9F37-3E17B4C7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1880</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8</cp:revision>
  <cp:lastPrinted>2004-02-05T10:59:00Z</cp:lastPrinted>
  <dcterms:created xsi:type="dcterms:W3CDTF">2021-12-15T13:18:00Z</dcterms:created>
  <dcterms:modified xsi:type="dcterms:W3CDTF">2022-03-02T15:45:00Z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