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D8F8AC4" w14:textId="77777777" w:rsidR="006736AE" w:rsidRPr="006736AE" w:rsidRDefault="006736AE" w:rsidP="006736A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6736A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6CB5A97" w14:textId="77777777" w:rsidR="006736AE" w:rsidRPr="006736AE" w:rsidRDefault="006736AE" w:rsidP="006736AE">
      <w:pPr>
        <w:jc w:val="both"/>
        <w:rPr>
          <w:rFonts w:ascii="Arial" w:hAnsi="Arial" w:cs="Arial"/>
          <w:sz w:val="20"/>
          <w:szCs w:val="20"/>
          <w:lang w:val="es-419"/>
        </w:rPr>
      </w:pPr>
    </w:p>
    <w:p w14:paraId="7C07A7FB" w14:textId="77777777" w:rsidR="006736AE" w:rsidRPr="006736AE" w:rsidRDefault="006736AE" w:rsidP="006736AE">
      <w:pPr>
        <w:jc w:val="both"/>
        <w:rPr>
          <w:rFonts w:ascii="Arial" w:hAnsi="Arial" w:cs="Arial"/>
          <w:sz w:val="20"/>
          <w:szCs w:val="20"/>
          <w:lang w:val="es-419"/>
        </w:rPr>
      </w:pPr>
      <w:r w:rsidRPr="006736AE">
        <w:rPr>
          <w:rFonts w:ascii="Arial" w:hAnsi="Arial" w:cs="Arial"/>
          <w:sz w:val="20"/>
          <w:szCs w:val="20"/>
          <w:lang w:val="es-419"/>
        </w:rPr>
        <w:t xml:space="preserve">Providencia: </w:t>
      </w:r>
      <w:r w:rsidRPr="006736AE">
        <w:rPr>
          <w:rFonts w:ascii="Arial" w:hAnsi="Arial" w:cs="Arial"/>
          <w:sz w:val="20"/>
          <w:szCs w:val="20"/>
          <w:lang w:val="es-419"/>
        </w:rPr>
        <w:tab/>
      </w:r>
      <w:r w:rsidRPr="006736AE">
        <w:rPr>
          <w:rFonts w:ascii="Arial" w:hAnsi="Arial" w:cs="Arial"/>
          <w:sz w:val="20"/>
          <w:szCs w:val="20"/>
          <w:lang w:val="es-419"/>
        </w:rPr>
        <w:tab/>
        <w:t>Sentencia del 1° de febrero de 2021</w:t>
      </w:r>
    </w:p>
    <w:p w14:paraId="4CC44BF2" w14:textId="77777777" w:rsidR="006736AE" w:rsidRPr="006736AE" w:rsidRDefault="006736AE" w:rsidP="006736AE">
      <w:pPr>
        <w:jc w:val="both"/>
        <w:rPr>
          <w:rFonts w:ascii="Arial" w:hAnsi="Arial" w:cs="Arial"/>
          <w:sz w:val="20"/>
          <w:szCs w:val="20"/>
          <w:lang w:val="es-419"/>
        </w:rPr>
      </w:pPr>
      <w:r w:rsidRPr="006736AE">
        <w:rPr>
          <w:rFonts w:ascii="Arial" w:hAnsi="Arial" w:cs="Arial"/>
          <w:sz w:val="20"/>
          <w:szCs w:val="20"/>
          <w:lang w:val="es-419"/>
        </w:rPr>
        <w:t>Radicación No.:</w:t>
      </w:r>
      <w:r w:rsidRPr="006736AE">
        <w:rPr>
          <w:rFonts w:ascii="Arial" w:hAnsi="Arial" w:cs="Arial"/>
          <w:sz w:val="20"/>
          <w:szCs w:val="20"/>
          <w:lang w:val="es-419"/>
        </w:rPr>
        <w:tab/>
      </w:r>
      <w:r w:rsidRPr="006736AE">
        <w:rPr>
          <w:rFonts w:ascii="Arial" w:hAnsi="Arial" w:cs="Arial"/>
          <w:sz w:val="20"/>
          <w:szCs w:val="20"/>
          <w:lang w:val="es-419"/>
        </w:rPr>
        <w:tab/>
        <w:t>66001-31-05-001-2018-00580-01</w:t>
      </w:r>
    </w:p>
    <w:p w14:paraId="21A264FF" w14:textId="77777777" w:rsidR="006736AE" w:rsidRPr="006736AE" w:rsidRDefault="006736AE" w:rsidP="006736AE">
      <w:pPr>
        <w:jc w:val="both"/>
        <w:rPr>
          <w:rFonts w:ascii="Arial" w:hAnsi="Arial" w:cs="Arial"/>
          <w:sz w:val="20"/>
          <w:szCs w:val="20"/>
          <w:lang w:val="es-419"/>
        </w:rPr>
      </w:pPr>
      <w:r w:rsidRPr="006736AE">
        <w:rPr>
          <w:rFonts w:ascii="Arial" w:hAnsi="Arial" w:cs="Arial"/>
          <w:sz w:val="20"/>
          <w:szCs w:val="20"/>
          <w:lang w:val="es-419"/>
        </w:rPr>
        <w:t>Proceso:</w:t>
      </w:r>
      <w:r w:rsidRPr="006736AE">
        <w:rPr>
          <w:rFonts w:ascii="Arial" w:hAnsi="Arial" w:cs="Arial"/>
          <w:sz w:val="20"/>
          <w:szCs w:val="20"/>
          <w:lang w:val="es-419"/>
        </w:rPr>
        <w:tab/>
      </w:r>
      <w:r w:rsidRPr="006736AE">
        <w:rPr>
          <w:rFonts w:ascii="Arial" w:hAnsi="Arial" w:cs="Arial"/>
          <w:sz w:val="20"/>
          <w:szCs w:val="20"/>
          <w:lang w:val="es-419"/>
        </w:rPr>
        <w:tab/>
        <w:t xml:space="preserve">Ordinario laboral </w:t>
      </w:r>
    </w:p>
    <w:p w14:paraId="6E095B8F" w14:textId="77777777" w:rsidR="006736AE" w:rsidRPr="006736AE" w:rsidRDefault="006736AE" w:rsidP="006736AE">
      <w:pPr>
        <w:jc w:val="both"/>
        <w:rPr>
          <w:rFonts w:ascii="Arial" w:hAnsi="Arial" w:cs="Arial"/>
          <w:sz w:val="20"/>
          <w:szCs w:val="20"/>
          <w:lang w:val="es-419"/>
        </w:rPr>
      </w:pPr>
      <w:r w:rsidRPr="006736AE">
        <w:rPr>
          <w:rFonts w:ascii="Arial" w:hAnsi="Arial" w:cs="Arial"/>
          <w:sz w:val="20"/>
          <w:szCs w:val="20"/>
          <w:lang w:val="es-419"/>
        </w:rPr>
        <w:t>Demandante:</w:t>
      </w:r>
      <w:r w:rsidRPr="006736AE">
        <w:rPr>
          <w:rFonts w:ascii="Arial" w:hAnsi="Arial" w:cs="Arial"/>
          <w:sz w:val="20"/>
          <w:szCs w:val="20"/>
          <w:lang w:val="es-419"/>
        </w:rPr>
        <w:tab/>
      </w:r>
      <w:r w:rsidRPr="006736AE">
        <w:rPr>
          <w:rFonts w:ascii="Arial" w:hAnsi="Arial" w:cs="Arial"/>
          <w:sz w:val="20"/>
          <w:szCs w:val="20"/>
          <w:lang w:val="es-419"/>
        </w:rPr>
        <w:tab/>
        <w:t xml:space="preserve">Paula Andrea Pérez Bustamante   </w:t>
      </w:r>
    </w:p>
    <w:p w14:paraId="780A5D61" w14:textId="77777777" w:rsidR="006736AE" w:rsidRPr="006736AE" w:rsidRDefault="006736AE" w:rsidP="006736AE">
      <w:pPr>
        <w:jc w:val="both"/>
        <w:rPr>
          <w:rFonts w:ascii="Arial" w:hAnsi="Arial" w:cs="Arial"/>
          <w:sz w:val="20"/>
          <w:szCs w:val="20"/>
          <w:lang w:val="es-419"/>
        </w:rPr>
      </w:pPr>
      <w:r w:rsidRPr="006736AE">
        <w:rPr>
          <w:rFonts w:ascii="Arial" w:hAnsi="Arial" w:cs="Arial"/>
          <w:sz w:val="20"/>
          <w:szCs w:val="20"/>
          <w:lang w:val="es-419"/>
        </w:rPr>
        <w:t>Demandado:</w:t>
      </w:r>
      <w:r w:rsidRPr="006736AE">
        <w:rPr>
          <w:rFonts w:ascii="Arial" w:hAnsi="Arial" w:cs="Arial"/>
          <w:sz w:val="20"/>
          <w:szCs w:val="20"/>
          <w:lang w:val="es-419"/>
        </w:rPr>
        <w:tab/>
      </w:r>
      <w:r w:rsidRPr="006736AE">
        <w:rPr>
          <w:rFonts w:ascii="Arial" w:hAnsi="Arial" w:cs="Arial"/>
          <w:sz w:val="20"/>
          <w:szCs w:val="20"/>
          <w:lang w:val="es-419"/>
        </w:rPr>
        <w:tab/>
        <w:t>Porvenir S.A.</w:t>
      </w:r>
    </w:p>
    <w:p w14:paraId="40AD49C0" w14:textId="77777777" w:rsidR="006736AE" w:rsidRPr="006736AE" w:rsidRDefault="006736AE" w:rsidP="006736AE">
      <w:pPr>
        <w:jc w:val="both"/>
        <w:rPr>
          <w:rFonts w:ascii="Arial" w:hAnsi="Arial" w:cs="Arial"/>
          <w:sz w:val="20"/>
          <w:szCs w:val="20"/>
          <w:lang w:val="es-419"/>
        </w:rPr>
      </w:pPr>
      <w:r w:rsidRPr="006736AE">
        <w:rPr>
          <w:rFonts w:ascii="Arial" w:hAnsi="Arial" w:cs="Arial"/>
          <w:sz w:val="20"/>
          <w:szCs w:val="20"/>
          <w:lang w:val="es-419"/>
        </w:rPr>
        <w:t xml:space="preserve">Juzgado de origen: </w:t>
      </w:r>
      <w:r w:rsidRPr="006736AE">
        <w:rPr>
          <w:rFonts w:ascii="Arial" w:hAnsi="Arial" w:cs="Arial"/>
          <w:sz w:val="20"/>
          <w:szCs w:val="20"/>
          <w:lang w:val="es-419"/>
        </w:rPr>
        <w:tab/>
        <w:t xml:space="preserve">Primero Laboral del Circuito de Pereira </w:t>
      </w:r>
    </w:p>
    <w:p w14:paraId="725F4771" w14:textId="52F319CC" w:rsidR="006736AE" w:rsidRPr="006736AE" w:rsidRDefault="006736AE" w:rsidP="006736AE">
      <w:pPr>
        <w:jc w:val="both"/>
        <w:rPr>
          <w:rFonts w:ascii="Arial" w:hAnsi="Arial" w:cs="Arial"/>
          <w:sz w:val="20"/>
          <w:szCs w:val="20"/>
          <w:lang w:val="es-419"/>
        </w:rPr>
      </w:pPr>
      <w:r w:rsidRPr="006736AE">
        <w:rPr>
          <w:rFonts w:ascii="Arial" w:hAnsi="Arial" w:cs="Arial"/>
          <w:sz w:val="20"/>
          <w:szCs w:val="20"/>
          <w:lang w:val="es-419"/>
        </w:rPr>
        <w:t>Magistrada ponente:</w:t>
      </w:r>
      <w:r w:rsidRPr="006736AE">
        <w:rPr>
          <w:rFonts w:ascii="Arial" w:hAnsi="Arial" w:cs="Arial"/>
          <w:sz w:val="20"/>
          <w:szCs w:val="20"/>
          <w:lang w:val="es-419"/>
        </w:rPr>
        <w:tab/>
        <w:t>Dra. Ana Lucía Caicedo Calderón</w:t>
      </w:r>
    </w:p>
    <w:p w14:paraId="4C44AC2B" w14:textId="77777777" w:rsidR="006736AE" w:rsidRPr="006736AE" w:rsidRDefault="006736AE" w:rsidP="006736AE">
      <w:pPr>
        <w:jc w:val="both"/>
        <w:rPr>
          <w:rFonts w:ascii="Arial" w:hAnsi="Arial" w:cs="Arial"/>
          <w:sz w:val="20"/>
          <w:szCs w:val="20"/>
          <w:lang w:val="es-419"/>
        </w:rPr>
      </w:pPr>
    </w:p>
    <w:p w14:paraId="018DB9AD" w14:textId="75287B7B" w:rsidR="006736AE" w:rsidRPr="006736AE" w:rsidRDefault="006736AE" w:rsidP="006736AE">
      <w:pPr>
        <w:jc w:val="both"/>
        <w:rPr>
          <w:rFonts w:ascii="Arial" w:hAnsi="Arial" w:cs="Arial"/>
          <w:b/>
          <w:bCs/>
          <w:iCs/>
          <w:sz w:val="20"/>
          <w:szCs w:val="20"/>
          <w:lang w:val="es-419" w:eastAsia="fr-FR"/>
        </w:rPr>
      </w:pPr>
      <w:r w:rsidRPr="006736AE">
        <w:rPr>
          <w:rFonts w:ascii="Arial" w:hAnsi="Arial" w:cs="Arial"/>
          <w:b/>
          <w:bCs/>
          <w:iCs/>
          <w:sz w:val="20"/>
          <w:szCs w:val="20"/>
          <w:u w:val="single"/>
          <w:lang w:val="es-419" w:eastAsia="fr-FR"/>
        </w:rPr>
        <w:t>TEMAS:</w:t>
      </w:r>
      <w:r w:rsidRPr="006736AE">
        <w:rPr>
          <w:rFonts w:ascii="Arial" w:hAnsi="Arial" w:cs="Arial"/>
          <w:b/>
          <w:bCs/>
          <w:iCs/>
          <w:sz w:val="20"/>
          <w:szCs w:val="20"/>
          <w:lang w:val="es-419" w:eastAsia="fr-FR"/>
        </w:rPr>
        <w:tab/>
      </w:r>
      <w:r w:rsidR="00F66B2F">
        <w:rPr>
          <w:rFonts w:ascii="Arial" w:hAnsi="Arial" w:cs="Arial"/>
          <w:b/>
          <w:bCs/>
          <w:iCs/>
          <w:sz w:val="20"/>
          <w:szCs w:val="20"/>
          <w:lang w:val="es-419" w:eastAsia="fr-FR"/>
        </w:rPr>
        <w:t xml:space="preserve">PENSIÓN DE INVALIDEZ / </w:t>
      </w:r>
      <w:r w:rsidR="00FC5F7D">
        <w:rPr>
          <w:rFonts w:ascii="Arial" w:hAnsi="Arial" w:cs="Arial"/>
          <w:b/>
          <w:bCs/>
          <w:iCs/>
          <w:sz w:val="20"/>
          <w:szCs w:val="20"/>
          <w:lang w:val="es-419" w:eastAsia="fr-FR"/>
        </w:rPr>
        <w:t xml:space="preserve">REQUISITOS / 50 SEMANAS DE COTIZACIÓN EN LOS ÚLTIMOS TRES AÑOS / EXCEPCIÓN PARA </w:t>
      </w:r>
      <w:r w:rsidR="00F66B2F">
        <w:rPr>
          <w:rFonts w:ascii="Arial" w:hAnsi="Arial" w:cs="Arial"/>
          <w:b/>
          <w:bCs/>
          <w:iCs/>
          <w:sz w:val="20"/>
          <w:szCs w:val="20"/>
          <w:lang w:val="es-419" w:eastAsia="fr-FR"/>
        </w:rPr>
        <w:t xml:space="preserve">PERSONAS JÓVENES / 26 SEMANAS EN EL ÚLTIMO AÑO PARA MENORES DE 20 AÑOS / MODULACIÓN CONSTITUCIONAL: </w:t>
      </w:r>
      <w:r w:rsidR="00FC5F7D">
        <w:rPr>
          <w:rFonts w:ascii="Arial" w:hAnsi="Arial" w:cs="Arial"/>
          <w:b/>
          <w:bCs/>
          <w:iCs/>
          <w:sz w:val="20"/>
          <w:szCs w:val="20"/>
          <w:lang w:val="es-419" w:eastAsia="fr-FR"/>
        </w:rPr>
        <w:t>HASTA LOS 26 AÑOS.</w:t>
      </w:r>
    </w:p>
    <w:p w14:paraId="3518E356" w14:textId="77777777" w:rsidR="006736AE" w:rsidRPr="006736AE" w:rsidRDefault="006736AE" w:rsidP="006736AE">
      <w:pPr>
        <w:jc w:val="both"/>
        <w:rPr>
          <w:rFonts w:ascii="Arial" w:hAnsi="Arial" w:cs="Arial"/>
          <w:sz w:val="20"/>
          <w:szCs w:val="20"/>
          <w:lang w:val="es-419"/>
        </w:rPr>
      </w:pPr>
    </w:p>
    <w:p w14:paraId="739217F6" w14:textId="77777777" w:rsidR="00F66B2F" w:rsidRPr="00F66B2F" w:rsidRDefault="00F66B2F" w:rsidP="00F66B2F">
      <w:pPr>
        <w:jc w:val="both"/>
        <w:rPr>
          <w:rFonts w:ascii="Arial" w:hAnsi="Arial" w:cs="Arial"/>
          <w:sz w:val="20"/>
          <w:szCs w:val="20"/>
          <w:lang w:val="es-419"/>
        </w:rPr>
      </w:pPr>
      <w:r w:rsidRPr="00F66B2F">
        <w:rPr>
          <w:rFonts w:ascii="Arial" w:hAnsi="Arial" w:cs="Arial"/>
          <w:sz w:val="20"/>
          <w:szCs w:val="20"/>
          <w:lang w:val="es-419"/>
        </w:rPr>
        <w:t xml:space="preserve">El artículo 39 de la Ley 100 de 1993, modificado por el artículo 1º de la Ley 860 de 2003, consagra como regla general para acceder a la pensión de invalidez, la exigencia de un total de 50 semanas de cotización dentro de los 3 años anteriores a la fecha de estructuración. Sin embargo, el parágrafo 1º de esta norma establece una excepción a dicho requisito en los siguientes términos: “Los menores de 20 años de edad sólo deberán acreditar que han cotizado 26 semanas en el último año inmediatamente anterior al hecho causante de su invalidez o su declaratoria”. </w:t>
      </w:r>
    </w:p>
    <w:p w14:paraId="46AE314D" w14:textId="77777777" w:rsidR="00F66B2F" w:rsidRPr="00F66B2F" w:rsidRDefault="00F66B2F" w:rsidP="00F66B2F">
      <w:pPr>
        <w:jc w:val="both"/>
        <w:rPr>
          <w:rFonts w:ascii="Arial" w:hAnsi="Arial" w:cs="Arial"/>
          <w:sz w:val="20"/>
          <w:szCs w:val="20"/>
          <w:lang w:val="es-419"/>
        </w:rPr>
      </w:pPr>
    </w:p>
    <w:p w14:paraId="16D62AA5" w14:textId="1E4A45A7" w:rsidR="006736AE" w:rsidRPr="006736AE" w:rsidRDefault="00F66B2F" w:rsidP="00F66B2F">
      <w:pPr>
        <w:jc w:val="both"/>
        <w:rPr>
          <w:rFonts w:ascii="Arial" w:hAnsi="Arial" w:cs="Arial"/>
          <w:sz w:val="20"/>
          <w:szCs w:val="20"/>
          <w:lang w:val="es-419"/>
        </w:rPr>
      </w:pPr>
      <w:r w:rsidRPr="00F66B2F">
        <w:rPr>
          <w:rFonts w:ascii="Arial" w:hAnsi="Arial" w:cs="Arial"/>
          <w:sz w:val="20"/>
          <w:szCs w:val="20"/>
          <w:lang w:val="es-419"/>
        </w:rPr>
        <w:t>De acuerdo con el texto de dicho parágrafo, el legislador le quiso dar una protección especial a un segmento de la población joven que se encuentra haciendo el tránsito de la vida estudiantil a la laboral y estableció una prerrogativa a los menores de 20 años de edad para acceder a la pensión de invalidez, que solo tienen que acreditar 26 semanas en el último año antes de la fecha de estructuración de la invalidez o, incluso, en el último año antes del dictamen.</w:t>
      </w:r>
      <w:r>
        <w:rPr>
          <w:rFonts w:ascii="Arial" w:hAnsi="Arial" w:cs="Arial"/>
          <w:sz w:val="20"/>
          <w:szCs w:val="20"/>
          <w:lang w:val="es-419"/>
        </w:rPr>
        <w:t xml:space="preserve"> (…)</w:t>
      </w:r>
    </w:p>
    <w:p w14:paraId="312EB719" w14:textId="77777777" w:rsidR="006736AE" w:rsidRPr="006736AE" w:rsidRDefault="006736AE" w:rsidP="006736AE">
      <w:pPr>
        <w:jc w:val="both"/>
        <w:rPr>
          <w:rFonts w:ascii="Arial" w:hAnsi="Arial" w:cs="Arial"/>
          <w:sz w:val="20"/>
          <w:szCs w:val="20"/>
          <w:lang w:val="es-419"/>
        </w:rPr>
      </w:pPr>
    </w:p>
    <w:p w14:paraId="68331049" w14:textId="385F6EF6" w:rsidR="006736AE" w:rsidRPr="006736AE" w:rsidRDefault="00F66B2F" w:rsidP="006736AE">
      <w:pPr>
        <w:jc w:val="both"/>
        <w:rPr>
          <w:rFonts w:ascii="Arial" w:hAnsi="Arial" w:cs="Arial"/>
          <w:sz w:val="20"/>
          <w:szCs w:val="20"/>
          <w:lang w:val="es-419"/>
        </w:rPr>
      </w:pPr>
      <w:r>
        <w:rPr>
          <w:rFonts w:ascii="Arial" w:hAnsi="Arial" w:cs="Arial"/>
          <w:sz w:val="20"/>
          <w:szCs w:val="20"/>
          <w:lang w:val="es-419"/>
        </w:rPr>
        <w:t xml:space="preserve">… </w:t>
      </w:r>
      <w:r w:rsidRPr="00F66B2F">
        <w:rPr>
          <w:rFonts w:ascii="Arial" w:hAnsi="Arial" w:cs="Arial"/>
          <w:sz w:val="20"/>
          <w:szCs w:val="20"/>
          <w:lang w:val="es-419"/>
        </w:rPr>
        <w:t>la jurisprudencia constitucional ha establecido que las personas que se encuentren entre los 20 y 26 años de edad son considerados jóvenes y, por lo tanto, debe entenderse que la pensión de invalidez prevista para los menores de 20 años consagrada en el parágrafo 1º de la Ley 100 de 1993, le es aplicable cuando tengan una pérdida de capacidad laboral del 50% o más y acrediten las 26 semanas exigidas en el año anterior a la estructuración de la invalidez o la calificación</w:t>
      </w:r>
      <w:r>
        <w:rPr>
          <w:rFonts w:ascii="Arial" w:hAnsi="Arial" w:cs="Arial"/>
          <w:sz w:val="20"/>
          <w:szCs w:val="20"/>
          <w:lang w:val="es-419"/>
        </w:rPr>
        <w:t>…</w:t>
      </w:r>
    </w:p>
    <w:p w14:paraId="0A04ACAF" w14:textId="77777777" w:rsidR="006736AE" w:rsidRPr="006736AE" w:rsidRDefault="006736AE" w:rsidP="006736AE">
      <w:pPr>
        <w:jc w:val="both"/>
        <w:rPr>
          <w:rFonts w:ascii="Arial" w:hAnsi="Arial" w:cs="Arial"/>
          <w:sz w:val="20"/>
          <w:szCs w:val="20"/>
          <w:lang w:val="es-419"/>
        </w:rPr>
      </w:pPr>
    </w:p>
    <w:p w14:paraId="70615D6F" w14:textId="5DD8026F" w:rsidR="006736AE" w:rsidRPr="006736AE" w:rsidRDefault="00F66B2F" w:rsidP="006736AE">
      <w:pPr>
        <w:jc w:val="both"/>
        <w:rPr>
          <w:rFonts w:ascii="Arial" w:hAnsi="Arial" w:cs="Arial"/>
          <w:sz w:val="20"/>
          <w:szCs w:val="20"/>
          <w:lang w:val="es-419"/>
        </w:rPr>
      </w:pPr>
      <w:r w:rsidRPr="00F66B2F">
        <w:rPr>
          <w:rFonts w:ascii="Arial" w:hAnsi="Arial" w:cs="Arial"/>
          <w:sz w:val="20"/>
          <w:szCs w:val="20"/>
          <w:lang w:val="es-419"/>
        </w:rPr>
        <w:t>No es necesario un discernimiento en extenso para concluir que la determinación de la Jueza de instancia se ajusta plenamente al pacífico precedente sentado por la Corte Constitucional, y que los lánguidos argumentos esbozados por la togada que vela por los intereses de Porvenir S.A. carecen de la contundencia suficiente para llevar a esta Colegiatura a apartarse de la jurisprudencia en comento, pues salta a la vista el cumplimiento de los requisitos por parte del señor Felipe Pineda Pérez, quien al momento  del hecho generador de su invalidez contaba con 21 años de edad, asistiéndole el derecho a percibir la pensión desde el 20 de enero de 2017, fecha de estructuración.</w:t>
      </w:r>
    </w:p>
    <w:p w14:paraId="624A5D70" w14:textId="77777777" w:rsidR="006736AE" w:rsidRPr="006736AE" w:rsidRDefault="006736AE" w:rsidP="006736AE">
      <w:pPr>
        <w:jc w:val="both"/>
        <w:rPr>
          <w:rFonts w:ascii="Arial" w:hAnsi="Arial" w:cs="Arial"/>
          <w:sz w:val="20"/>
          <w:szCs w:val="20"/>
        </w:rPr>
      </w:pPr>
    </w:p>
    <w:p w14:paraId="59EF841A" w14:textId="77777777" w:rsidR="006736AE" w:rsidRPr="006736AE" w:rsidRDefault="006736AE" w:rsidP="006736AE">
      <w:pPr>
        <w:jc w:val="both"/>
        <w:rPr>
          <w:rFonts w:ascii="Arial" w:hAnsi="Arial" w:cs="Arial"/>
          <w:sz w:val="20"/>
          <w:szCs w:val="20"/>
        </w:rPr>
      </w:pPr>
    </w:p>
    <w:p w14:paraId="54ABC14C" w14:textId="77777777" w:rsidR="006736AE" w:rsidRPr="006736AE" w:rsidRDefault="006736AE" w:rsidP="006736AE">
      <w:pPr>
        <w:jc w:val="both"/>
        <w:rPr>
          <w:rFonts w:ascii="Arial" w:hAnsi="Arial" w:cs="Arial"/>
          <w:sz w:val="20"/>
          <w:szCs w:val="20"/>
        </w:rPr>
      </w:pPr>
    </w:p>
    <w:p w14:paraId="1DD29841" w14:textId="77777777" w:rsidR="00766B8A" w:rsidRPr="008B6423" w:rsidRDefault="00766B8A" w:rsidP="006736AE">
      <w:pPr>
        <w:spacing w:line="276" w:lineRule="auto"/>
        <w:jc w:val="center"/>
        <w:textAlignment w:val="baseline"/>
        <w:rPr>
          <w:rFonts w:ascii="Tahoma" w:hAnsi="Tahoma" w:cs="Tahoma"/>
          <w:b/>
          <w:bCs/>
          <w:color w:val="000000"/>
          <w:spacing w:val="4"/>
          <w:lang w:eastAsia="es-CO"/>
        </w:rPr>
      </w:pPr>
      <w:r w:rsidRPr="008B6423">
        <w:rPr>
          <w:rFonts w:ascii="Tahoma" w:hAnsi="Tahoma" w:cs="Tahoma"/>
          <w:b/>
          <w:bCs/>
          <w:color w:val="000000"/>
          <w:spacing w:val="4"/>
          <w:lang w:eastAsia="es-CO"/>
        </w:rPr>
        <w:t xml:space="preserve">TRIBUNAL SUPERIOR DEL DISTRITO JUDICIAL DE PEREIRA </w:t>
      </w:r>
    </w:p>
    <w:p w14:paraId="50D32D9E" w14:textId="77777777" w:rsidR="008F1F12" w:rsidRPr="008B6423" w:rsidRDefault="00766B8A" w:rsidP="006736AE">
      <w:pPr>
        <w:spacing w:line="276" w:lineRule="auto"/>
        <w:jc w:val="center"/>
        <w:textAlignment w:val="baseline"/>
        <w:rPr>
          <w:rFonts w:ascii="Tahoma" w:hAnsi="Tahoma" w:cs="Tahoma"/>
          <w:b/>
          <w:bCs/>
          <w:color w:val="000000"/>
          <w:spacing w:val="4"/>
          <w:lang w:eastAsia="es-CO"/>
        </w:rPr>
      </w:pPr>
      <w:r w:rsidRPr="008B6423">
        <w:rPr>
          <w:rFonts w:ascii="Tahoma" w:hAnsi="Tahoma" w:cs="Tahoma"/>
          <w:b/>
          <w:bCs/>
          <w:color w:val="000000"/>
          <w:spacing w:val="4"/>
          <w:lang w:eastAsia="es-CO"/>
        </w:rPr>
        <w:t xml:space="preserve">SALA DE DECISION </w:t>
      </w:r>
      <w:r w:rsidR="008F1F12" w:rsidRPr="008B6423">
        <w:rPr>
          <w:rFonts w:ascii="Tahoma" w:hAnsi="Tahoma" w:cs="Tahoma"/>
          <w:b/>
          <w:bCs/>
          <w:color w:val="000000"/>
          <w:spacing w:val="4"/>
          <w:lang w:eastAsia="es-CO"/>
        </w:rPr>
        <w:t>LABORAL PRESIDIDA POR LA</w:t>
      </w:r>
    </w:p>
    <w:p w14:paraId="3327ACFD" w14:textId="3D285F0C" w:rsidR="00766B8A" w:rsidRPr="008B6423" w:rsidRDefault="008F1F12" w:rsidP="006736AE">
      <w:pPr>
        <w:spacing w:line="276" w:lineRule="auto"/>
        <w:jc w:val="center"/>
        <w:textAlignment w:val="baseline"/>
        <w:rPr>
          <w:rFonts w:ascii="Tahoma" w:hAnsi="Tahoma" w:cs="Tahoma"/>
          <w:spacing w:val="4"/>
          <w:lang w:val="es-CO" w:eastAsia="es-CO"/>
        </w:rPr>
      </w:pPr>
      <w:r w:rsidRPr="008B6423">
        <w:rPr>
          <w:rFonts w:ascii="Tahoma" w:hAnsi="Tahoma" w:cs="Tahoma"/>
          <w:b/>
          <w:bCs/>
          <w:color w:val="000000"/>
          <w:spacing w:val="4"/>
          <w:lang w:eastAsia="es-CO"/>
        </w:rPr>
        <w:t xml:space="preserve"> MAGISTRADA ANA LUCÍA CAICEDO CALDERÓN</w:t>
      </w:r>
    </w:p>
    <w:p w14:paraId="1424224E" w14:textId="77777777" w:rsidR="00766B8A" w:rsidRPr="008B6423" w:rsidRDefault="00766B8A" w:rsidP="006736AE">
      <w:pPr>
        <w:spacing w:line="276" w:lineRule="auto"/>
        <w:jc w:val="center"/>
        <w:textAlignment w:val="baseline"/>
        <w:rPr>
          <w:rFonts w:ascii="Tahoma" w:hAnsi="Tahoma" w:cs="Tahoma"/>
          <w:spacing w:val="4"/>
          <w:lang w:val="es-CO" w:eastAsia="es-CO"/>
        </w:rPr>
      </w:pPr>
      <w:r w:rsidRPr="008B6423">
        <w:rPr>
          <w:rFonts w:ascii="Tahoma" w:hAnsi="Tahoma" w:cs="Tahoma"/>
          <w:color w:val="000000"/>
          <w:spacing w:val="4"/>
          <w:lang w:val="es-CO" w:eastAsia="es-CO"/>
        </w:rPr>
        <w:t> </w:t>
      </w:r>
    </w:p>
    <w:p w14:paraId="4944CD3F" w14:textId="77777777" w:rsidR="00766B8A" w:rsidRPr="008B6423" w:rsidRDefault="00766B8A" w:rsidP="006736AE">
      <w:pPr>
        <w:spacing w:line="276" w:lineRule="auto"/>
        <w:jc w:val="center"/>
        <w:textAlignment w:val="baseline"/>
        <w:rPr>
          <w:rFonts w:ascii="Tahoma" w:hAnsi="Tahoma" w:cs="Tahoma"/>
          <w:spacing w:val="4"/>
          <w:lang w:val="es-CO" w:eastAsia="es-CO"/>
        </w:rPr>
      </w:pPr>
      <w:r w:rsidRPr="008B6423">
        <w:rPr>
          <w:rFonts w:ascii="Tahoma" w:hAnsi="Tahoma" w:cs="Tahoma"/>
          <w:color w:val="000000"/>
          <w:spacing w:val="4"/>
          <w:lang w:eastAsia="es-CO"/>
        </w:rPr>
        <w:t>Magistrada Ponente: </w:t>
      </w:r>
      <w:r w:rsidRPr="008B6423">
        <w:rPr>
          <w:rFonts w:ascii="Tahoma" w:hAnsi="Tahoma" w:cs="Tahoma"/>
          <w:b/>
          <w:bCs/>
          <w:color w:val="000000"/>
          <w:spacing w:val="4"/>
          <w:lang w:eastAsia="es-CO"/>
        </w:rPr>
        <w:t>Ana Lucía Caicedo Calderón</w:t>
      </w:r>
      <w:r w:rsidRPr="008B6423">
        <w:rPr>
          <w:rFonts w:ascii="Tahoma" w:hAnsi="Tahoma" w:cs="Tahoma"/>
          <w:color w:val="000000"/>
          <w:spacing w:val="4"/>
          <w:lang w:val="es-CO" w:eastAsia="es-CO"/>
        </w:rPr>
        <w:t> </w:t>
      </w:r>
    </w:p>
    <w:p w14:paraId="6F82CB97" w14:textId="77777777" w:rsidR="00766B8A" w:rsidRPr="008B6423" w:rsidRDefault="00766B8A" w:rsidP="006736AE">
      <w:pPr>
        <w:spacing w:line="276" w:lineRule="auto"/>
        <w:jc w:val="center"/>
        <w:textAlignment w:val="baseline"/>
        <w:rPr>
          <w:rFonts w:ascii="Tahoma" w:hAnsi="Tahoma" w:cs="Tahoma"/>
          <w:spacing w:val="4"/>
          <w:lang w:val="es-CO" w:eastAsia="es-CO"/>
        </w:rPr>
      </w:pPr>
      <w:r w:rsidRPr="008B6423">
        <w:rPr>
          <w:rFonts w:ascii="Tahoma" w:hAnsi="Tahoma" w:cs="Tahoma"/>
          <w:color w:val="000000"/>
          <w:spacing w:val="4"/>
          <w:lang w:val="es-CO" w:eastAsia="es-CO"/>
        </w:rPr>
        <w:t> </w:t>
      </w:r>
    </w:p>
    <w:p w14:paraId="07C95AAB" w14:textId="5560FD92" w:rsidR="00766B8A" w:rsidRPr="008B6423" w:rsidRDefault="00766B8A" w:rsidP="006736AE">
      <w:pPr>
        <w:spacing w:line="276" w:lineRule="auto"/>
        <w:jc w:val="center"/>
        <w:textAlignment w:val="baseline"/>
        <w:rPr>
          <w:rFonts w:ascii="Tahoma" w:hAnsi="Tahoma" w:cs="Tahoma"/>
          <w:spacing w:val="4"/>
          <w:lang w:val="es-CO" w:eastAsia="es-CO"/>
        </w:rPr>
      </w:pPr>
      <w:r w:rsidRPr="008B6423">
        <w:rPr>
          <w:rFonts w:ascii="Tahoma" w:hAnsi="Tahoma" w:cs="Tahoma"/>
          <w:spacing w:val="4"/>
          <w:lang w:val="es-CO" w:eastAsia="es-CO"/>
        </w:rPr>
        <w:t>Pereira, Risaralda, </w:t>
      </w:r>
      <w:r w:rsidR="004E4F0E" w:rsidRPr="008B6423">
        <w:rPr>
          <w:rFonts w:ascii="Tahoma" w:hAnsi="Tahoma" w:cs="Tahoma"/>
          <w:spacing w:val="4"/>
          <w:lang w:val="es-CO" w:eastAsia="es-CO"/>
        </w:rPr>
        <w:t xml:space="preserve">primero (1°) de </w:t>
      </w:r>
      <w:r w:rsidR="000D3B82" w:rsidRPr="008B6423">
        <w:rPr>
          <w:rFonts w:ascii="Tahoma" w:hAnsi="Tahoma" w:cs="Tahoma"/>
          <w:spacing w:val="4"/>
          <w:lang w:val="es-CO" w:eastAsia="es-CO"/>
        </w:rPr>
        <w:t xml:space="preserve">febrero </w:t>
      </w:r>
      <w:r w:rsidRPr="008B6423">
        <w:rPr>
          <w:rFonts w:ascii="Tahoma" w:hAnsi="Tahoma" w:cs="Tahoma"/>
          <w:spacing w:val="4"/>
          <w:lang w:val="es-CO" w:eastAsia="es-CO"/>
        </w:rPr>
        <w:t>de dos mil veint</w:t>
      </w:r>
      <w:r w:rsidR="0012133C" w:rsidRPr="008B6423">
        <w:rPr>
          <w:rFonts w:ascii="Tahoma" w:hAnsi="Tahoma" w:cs="Tahoma"/>
          <w:spacing w:val="4"/>
          <w:lang w:val="es-CO" w:eastAsia="es-CO"/>
        </w:rPr>
        <w:t xml:space="preserve">iuno </w:t>
      </w:r>
      <w:r w:rsidRPr="008B6423">
        <w:rPr>
          <w:rFonts w:ascii="Tahoma" w:hAnsi="Tahoma" w:cs="Tahoma"/>
          <w:spacing w:val="4"/>
          <w:lang w:val="es-CO" w:eastAsia="es-CO"/>
        </w:rPr>
        <w:t>(202</w:t>
      </w:r>
      <w:r w:rsidR="0012133C" w:rsidRPr="008B6423">
        <w:rPr>
          <w:rFonts w:ascii="Tahoma" w:hAnsi="Tahoma" w:cs="Tahoma"/>
          <w:spacing w:val="4"/>
          <w:lang w:val="es-CO" w:eastAsia="es-CO"/>
        </w:rPr>
        <w:t>1</w:t>
      </w:r>
      <w:r w:rsidRPr="008B6423">
        <w:rPr>
          <w:rFonts w:ascii="Tahoma" w:hAnsi="Tahoma" w:cs="Tahoma"/>
          <w:spacing w:val="4"/>
          <w:lang w:val="es-CO" w:eastAsia="es-CO"/>
        </w:rPr>
        <w:t>)  </w:t>
      </w:r>
    </w:p>
    <w:p w14:paraId="52A7FA82" w14:textId="60EF212E" w:rsidR="00766B8A" w:rsidRPr="008B6423" w:rsidRDefault="00766B8A" w:rsidP="006736AE">
      <w:pPr>
        <w:spacing w:line="276" w:lineRule="auto"/>
        <w:jc w:val="center"/>
        <w:textAlignment w:val="baseline"/>
        <w:rPr>
          <w:rFonts w:ascii="Tahoma" w:hAnsi="Tahoma" w:cs="Tahoma"/>
          <w:spacing w:val="4"/>
          <w:lang w:val="es-CO" w:eastAsia="es-CO"/>
        </w:rPr>
      </w:pPr>
      <w:r w:rsidRPr="008B6423">
        <w:rPr>
          <w:rFonts w:ascii="Tahoma" w:hAnsi="Tahoma" w:cs="Tahoma"/>
          <w:spacing w:val="4"/>
          <w:lang w:val="es-CO" w:eastAsia="es-CO"/>
        </w:rPr>
        <w:t> Acta No. </w:t>
      </w:r>
      <w:r w:rsidR="00941597" w:rsidRPr="008B6423">
        <w:rPr>
          <w:rFonts w:ascii="Tahoma" w:hAnsi="Tahoma" w:cs="Tahoma"/>
          <w:spacing w:val="4"/>
          <w:lang w:val="es-CO" w:eastAsia="es-CO"/>
        </w:rPr>
        <w:t>10</w:t>
      </w:r>
      <w:r w:rsidRPr="008B6423">
        <w:rPr>
          <w:rFonts w:ascii="Tahoma" w:hAnsi="Tahoma" w:cs="Tahoma"/>
          <w:spacing w:val="4"/>
          <w:lang w:val="es-CO" w:eastAsia="es-CO"/>
        </w:rPr>
        <w:t xml:space="preserve"> del </w:t>
      </w:r>
      <w:r w:rsidR="0012133C" w:rsidRPr="008B6423">
        <w:rPr>
          <w:rFonts w:ascii="Tahoma" w:hAnsi="Tahoma" w:cs="Tahoma"/>
          <w:spacing w:val="4"/>
          <w:lang w:val="es-CO" w:eastAsia="es-CO"/>
        </w:rPr>
        <w:t>2</w:t>
      </w:r>
      <w:r w:rsidR="000D3B82" w:rsidRPr="008B6423">
        <w:rPr>
          <w:rFonts w:ascii="Tahoma" w:hAnsi="Tahoma" w:cs="Tahoma"/>
          <w:spacing w:val="4"/>
          <w:lang w:val="es-CO" w:eastAsia="es-CO"/>
        </w:rPr>
        <w:t>8</w:t>
      </w:r>
      <w:r w:rsidR="00FF4C7F" w:rsidRPr="008B6423">
        <w:rPr>
          <w:rFonts w:ascii="Tahoma" w:hAnsi="Tahoma" w:cs="Tahoma"/>
          <w:spacing w:val="4"/>
          <w:lang w:val="es-CO" w:eastAsia="es-CO"/>
        </w:rPr>
        <w:t xml:space="preserve"> </w:t>
      </w:r>
      <w:r w:rsidRPr="008B6423">
        <w:rPr>
          <w:rFonts w:ascii="Tahoma" w:hAnsi="Tahoma" w:cs="Tahoma"/>
          <w:spacing w:val="4"/>
          <w:lang w:val="es-CO" w:eastAsia="es-CO"/>
        </w:rPr>
        <w:t xml:space="preserve">de </w:t>
      </w:r>
      <w:r w:rsidR="0012133C" w:rsidRPr="008B6423">
        <w:rPr>
          <w:rFonts w:ascii="Tahoma" w:hAnsi="Tahoma" w:cs="Tahoma"/>
          <w:spacing w:val="4"/>
          <w:lang w:val="es-CO" w:eastAsia="es-CO"/>
        </w:rPr>
        <w:t xml:space="preserve">enero </w:t>
      </w:r>
      <w:r w:rsidR="002A5055" w:rsidRPr="008B6423">
        <w:rPr>
          <w:rFonts w:ascii="Tahoma" w:hAnsi="Tahoma" w:cs="Tahoma"/>
          <w:spacing w:val="4"/>
          <w:lang w:val="es-CO" w:eastAsia="es-CO"/>
        </w:rPr>
        <w:t xml:space="preserve">de </w:t>
      </w:r>
      <w:r w:rsidRPr="008B6423">
        <w:rPr>
          <w:rFonts w:ascii="Tahoma" w:hAnsi="Tahoma" w:cs="Tahoma"/>
          <w:spacing w:val="4"/>
          <w:lang w:val="es-CO" w:eastAsia="es-CO"/>
        </w:rPr>
        <w:t>202</w:t>
      </w:r>
      <w:r w:rsidR="0012133C" w:rsidRPr="008B6423">
        <w:rPr>
          <w:rFonts w:ascii="Tahoma" w:hAnsi="Tahoma" w:cs="Tahoma"/>
          <w:spacing w:val="4"/>
          <w:lang w:val="es-CO" w:eastAsia="es-CO"/>
        </w:rPr>
        <w:t>1</w:t>
      </w:r>
      <w:r w:rsidRPr="008B6423">
        <w:rPr>
          <w:rFonts w:ascii="Tahoma" w:hAnsi="Tahoma" w:cs="Tahoma"/>
          <w:spacing w:val="4"/>
          <w:lang w:val="es-CO" w:eastAsia="es-CO"/>
        </w:rPr>
        <w:t>  </w:t>
      </w:r>
    </w:p>
    <w:p w14:paraId="11422366" w14:textId="77777777" w:rsidR="003A3BBB" w:rsidRPr="008B6423" w:rsidRDefault="003A3BBB" w:rsidP="006736AE">
      <w:pPr>
        <w:pStyle w:val="Sinespaciado"/>
        <w:spacing w:line="276" w:lineRule="auto"/>
        <w:rPr>
          <w:rFonts w:ascii="Tahoma" w:hAnsi="Tahoma" w:cs="Tahoma"/>
          <w:spacing w:val="4"/>
        </w:rPr>
      </w:pPr>
      <w:r w:rsidRPr="008B6423">
        <w:rPr>
          <w:rFonts w:ascii="Tahoma" w:hAnsi="Tahoma" w:cs="Tahoma"/>
          <w:spacing w:val="4"/>
        </w:rPr>
        <w:tab/>
      </w:r>
      <w:r w:rsidR="004052FE" w:rsidRPr="008B6423">
        <w:rPr>
          <w:rFonts w:ascii="Tahoma" w:hAnsi="Tahoma" w:cs="Tahoma"/>
          <w:spacing w:val="4"/>
        </w:rPr>
        <w:t xml:space="preserve"> </w:t>
      </w:r>
    </w:p>
    <w:p w14:paraId="3154AF30" w14:textId="50E1D237" w:rsidR="003A3BBB" w:rsidRPr="008B6423" w:rsidRDefault="00766B8A" w:rsidP="006736AE">
      <w:pPr>
        <w:spacing w:line="276" w:lineRule="auto"/>
        <w:ind w:firstLine="708"/>
        <w:jc w:val="both"/>
        <w:rPr>
          <w:rFonts w:ascii="Tahoma" w:hAnsi="Tahoma" w:cs="Tahoma"/>
          <w:spacing w:val="4"/>
          <w:lang w:val="es-ES_tradnl"/>
        </w:rPr>
      </w:pPr>
      <w:r w:rsidRPr="008B6423">
        <w:rPr>
          <w:rFonts w:ascii="Tahoma" w:hAnsi="Tahoma" w:cs="Tahoma"/>
          <w:color w:val="000000"/>
          <w:spacing w:val="4"/>
          <w:lang w:val="es-ES_tradnl"/>
        </w:rPr>
        <w:t>Teniendo en cuenta que el artículo 15 del Decreto No. 806 del 4 de junio de 2020, expedido por el Ministerio de Justicia y del Derecho, estableció que en la especialidad laboral se proferirán por escrito</w:t>
      </w:r>
      <w:r w:rsidRPr="008B6423">
        <w:rPr>
          <w:rFonts w:ascii="Tahoma" w:hAnsi="Tahoma" w:cs="Tahoma"/>
          <w:spacing w:val="4"/>
        </w:rPr>
        <w:t xml:space="preserve"> </w:t>
      </w:r>
      <w:r w:rsidRPr="008B6423">
        <w:rPr>
          <w:rFonts w:ascii="Tahoma" w:hAnsi="Tahoma" w:cs="Tahoma"/>
          <w:color w:val="000000"/>
          <w:spacing w:val="4"/>
          <w:lang w:val="es-ES_tradnl"/>
        </w:rPr>
        <w:t xml:space="preserve">las providencias de segunda instancia en las que se surta el grado jurisdiccional de consulta o se resuelva el recurso de apelación de autos o sentencias, </w:t>
      </w:r>
      <w:r w:rsidRPr="008B6423">
        <w:rPr>
          <w:rFonts w:ascii="Tahoma" w:hAnsi="Tahoma" w:cs="Tahoma"/>
          <w:color w:val="000000"/>
          <w:spacing w:val="4"/>
        </w:rPr>
        <w:t xml:space="preserve">la Sala de </w:t>
      </w:r>
      <w:r w:rsidRPr="008B6423">
        <w:rPr>
          <w:rFonts w:ascii="Tahoma" w:hAnsi="Tahoma" w:cs="Tahoma"/>
          <w:spacing w:val="4"/>
        </w:rPr>
        <w:t xml:space="preserve">Decisión Laboral </w:t>
      </w:r>
      <w:r w:rsidR="003B3424" w:rsidRPr="008B6423">
        <w:rPr>
          <w:rFonts w:ascii="Tahoma" w:hAnsi="Tahoma" w:cs="Tahoma"/>
          <w:color w:val="000000"/>
          <w:spacing w:val="4"/>
          <w:lang w:val="es-ES_tradnl"/>
        </w:rPr>
        <w:t>presidida por la Magistrada Ana Lucía Caicedo Calderón</w:t>
      </w:r>
      <w:r w:rsidR="001A3764" w:rsidRPr="008B6423">
        <w:rPr>
          <w:rFonts w:ascii="Tahoma" w:hAnsi="Tahoma" w:cs="Tahoma"/>
          <w:color w:val="000000"/>
          <w:spacing w:val="4"/>
          <w:lang w:val="es-ES_tradnl"/>
        </w:rPr>
        <w:t xml:space="preserve"> -</w:t>
      </w:r>
      <w:r w:rsidRPr="008B6423">
        <w:rPr>
          <w:rFonts w:ascii="Tahoma" w:hAnsi="Tahoma" w:cs="Tahoma"/>
          <w:spacing w:val="4"/>
        </w:rPr>
        <w:t xml:space="preserve">integrada por las Magistradas ANA LUCÍA </w:t>
      </w:r>
      <w:r w:rsidRPr="008B6423">
        <w:rPr>
          <w:rFonts w:ascii="Tahoma" w:hAnsi="Tahoma" w:cs="Tahoma"/>
          <w:spacing w:val="4"/>
        </w:rPr>
        <w:lastRenderedPageBreak/>
        <w:t xml:space="preserve">CAICEDO CALDERÓN como Ponente, OLGA LUCÍA HOYOS SEPÚLVEDA y el Magistrado </w:t>
      </w:r>
      <w:r w:rsidR="0012133A" w:rsidRPr="008B6423">
        <w:rPr>
          <w:rFonts w:ascii="Tahoma" w:hAnsi="Tahoma" w:cs="Tahoma"/>
          <w:spacing w:val="4"/>
        </w:rPr>
        <w:t>GERMÁN DARIO GÓEZ VINASCO</w:t>
      </w:r>
      <w:r w:rsidR="001A3764" w:rsidRPr="008B6423">
        <w:rPr>
          <w:rFonts w:ascii="Tahoma" w:hAnsi="Tahoma" w:cs="Tahoma"/>
          <w:spacing w:val="4"/>
        </w:rPr>
        <w:t>-</w:t>
      </w:r>
      <w:r w:rsidRPr="008B6423">
        <w:rPr>
          <w:rFonts w:ascii="Tahoma" w:hAnsi="Tahoma" w:cs="Tahoma"/>
          <w:spacing w:val="4"/>
        </w:rPr>
        <w:t>, procede a proferir la siguiente sentencia escrita</w:t>
      </w:r>
      <w:r w:rsidRPr="008B6423">
        <w:rPr>
          <w:rStyle w:val="normaltextrun"/>
          <w:rFonts w:ascii="Tahoma" w:hAnsi="Tahoma" w:cs="Tahoma"/>
          <w:spacing w:val="4"/>
        </w:rPr>
        <w:t xml:space="preserve"> </w:t>
      </w:r>
      <w:r w:rsidRPr="008B6423">
        <w:rPr>
          <w:rFonts w:ascii="Tahoma" w:hAnsi="Tahoma" w:cs="Tahoma"/>
          <w:spacing w:val="4"/>
        </w:rPr>
        <w:t>dentro</w:t>
      </w:r>
      <w:r w:rsidRPr="008B6423">
        <w:rPr>
          <w:rStyle w:val="normaltextrun"/>
          <w:rFonts w:ascii="Tahoma" w:hAnsi="Tahoma" w:cs="Tahoma"/>
          <w:spacing w:val="4"/>
        </w:rPr>
        <w:t xml:space="preserve"> del proceso ordinario laboral instaurado por</w:t>
      </w:r>
      <w:r w:rsidR="003A3BBB" w:rsidRPr="008B6423">
        <w:rPr>
          <w:rFonts w:ascii="Tahoma" w:hAnsi="Tahoma" w:cs="Tahoma"/>
          <w:spacing w:val="4"/>
          <w:lang w:val="es-ES_tradnl"/>
        </w:rPr>
        <w:t xml:space="preserve"> </w:t>
      </w:r>
      <w:r w:rsidR="000D3B82" w:rsidRPr="008B6423">
        <w:rPr>
          <w:rFonts w:ascii="Tahoma" w:hAnsi="Tahoma" w:cs="Tahoma"/>
          <w:b/>
          <w:spacing w:val="4"/>
          <w:lang w:val="es-ES_tradnl"/>
        </w:rPr>
        <w:t>Paula Andrea Pérez Bustamante</w:t>
      </w:r>
      <w:r w:rsidR="00622512" w:rsidRPr="008B6423">
        <w:rPr>
          <w:rFonts w:ascii="Tahoma" w:hAnsi="Tahoma" w:cs="Tahoma"/>
          <w:spacing w:val="4"/>
          <w:lang w:val="es-ES_tradnl"/>
        </w:rPr>
        <w:t>, en representación de</w:t>
      </w:r>
      <w:r w:rsidR="00622512" w:rsidRPr="008B6423">
        <w:rPr>
          <w:rFonts w:ascii="Tahoma" w:hAnsi="Tahoma" w:cs="Tahoma"/>
          <w:spacing w:val="4"/>
        </w:rPr>
        <w:t xml:space="preserve"> Juan Felipe Pineda Pérez, </w:t>
      </w:r>
      <w:r w:rsidR="003A3BBB" w:rsidRPr="008B6423">
        <w:rPr>
          <w:rFonts w:ascii="Tahoma" w:hAnsi="Tahoma" w:cs="Tahoma"/>
          <w:spacing w:val="4"/>
          <w:lang w:val="es-ES_tradnl"/>
        </w:rPr>
        <w:t>en contra de</w:t>
      </w:r>
      <w:r w:rsidR="005D79AB" w:rsidRPr="008B6423">
        <w:rPr>
          <w:rFonts w:ascii="Tahoma" w:hAnsi="Tahoma" w:cs="Tahoma"/>
          <w:spacing w:val="4"/>
          <w:lang w:val="es-ES_tradnl"/>
        </w:rPr>
        <w:t xml:space="preserve"> la </w:t>
      </w:r>
      <w:r w:rsidR="00CD1C4B" w:rsidRPr="008B6423">
        <w:rPr>
          <w:rFonts w:ascii="Tahoma" w:hAnsi="Tahoma" w:cs="Tahoma"/>
          <w:b/>
          <w:spacing w:val="4"/>
          <w:lang w:val="es-ES_tradnl"/>
        </w:rPr>
        <w:t xml:space="preserve">Administradora </w:t>
      </w:r>
      <w:r w:rsidR="001A3764" w:rsidRPr="008B6423">
        <w:rPr>
          <w:rFonts w:ascii="Tahoma" w:hAnsi="Tahoma" w:cs="Tahoma"/>
          <w:b/>
          <w:spacing w:val="4"/>
          <w:lang w:val="es-ES_tradnl"/>
        </w:rPr>
        <w:t>de Fondos de Pensiones Porvenir S.A.</w:t>
      </w:r>
    </w:p>
    <w:p w14:paraId="024A565C" w14:textId="77777777" w:rsidR="006736AE" w:rsidRPr="008B6423" w:rsidRDefault="006736AE" w:rsidP="006736AE">
      <w:pPr>
        <w:spacing w:line="276" w:lineRule="auto"/>
        <w:ind w:firstLine="708"/>
        <w:jc w:val="both"/>
        <w:rPr>
          <w:rFonts w:ascii="Tahoma" w:hAnsi="Tahoma" w:cs="Tahoma"/>
          <w:b/>
          <w:spacing w:val="4"/>
          <w:lang w:val="es-ES_tradnl"/>
        </w:rPr>
      </w:pPr>
    </w:p>
    <w:p w14:paraId="3864ECFF" w14:textId="77777777" w:rsidR="00766B8A" w:rsidRPr="008B6423" w:rsidRDefault="00766B8A" w:rsidP="006736AE">
      <w:pPr>
        <w:pStyle w:val="paragraph"/>
        <w:spacing w:before="0" w:beforeAutospacing="0" w:after="0" w:afterAutospacing="0" w:line="276" w:lineRule="auto"/>
        <w:jc w:val="center"/>
        <w:textAlignment w:val="baseline"/>
        <w:rPr>
          <w:rFonts w:ascii="Tahoma" w:hAnsi="Tahoma" w:cs="Tahoma"/>
          <w:spacing w:val="4"/>
        </w:rPr>
      </w:pPr>
      <w:r w:rsidRPr="008B6423">
        <w:rPr>
          <w:rStyle w:val="normaltextrun"/>
          <w:rFonts w:ascii="Tahoma" w:hAnsi="Tahoma" w:cs="Tahoma"/>
          <w:b/>
          <w:bCs/>
          <w:color w:val="000000"/>
          <w:spacing w:val="4"/>
          <w:lang w:val="es-ES"/>
        </w:rPr>
        <w:t>PUNTO A TRATAR</w:t>
      </w:r>
    </w:p>
    <w:p w14:paraId="12E4D180" w14:textId="77777777" w:rsidR="00766B8A" w:rsidRPr="008B6423" w:rsidRDefault="00766B8A" w:rsidP="006736A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pacing w:val="4"/>
          <w:sz w:val="24"/>
          <w:szCs w:val="24"/>
          <w:lang w:val="es-CO"/>
        </w:rPr>
      </w:pPr>
    </w:p>
    <w:p w14:paraId="6F45CD53" w14:textId="54B12F72" w:rsidR="00766B8A" w:rsidRPr="008B6423" w:rsidRDefault="00766B8A" w:rsidP="006736AE">
      <w:pPr>
        <w:spacing w:line="276" w:lineRule="auto"/>
        <w:ind w:firstLine="708"/>
        <w:jc w:val="both"/>
        <w:rPr>
          <w:rStyle w:val="eop"/>
          <w:rFonts w:ascii="Tahoma" w:hAnsi="Tahoma" w:cs="Tahoma"/>
          <w:spacing w:val="4"/>
        </w:rPr>
      </w:pPr>
      <w:r w:rsidRPr="008B6423">
        <w:rPr>
          <w:rStyle w:val="normaltextrun"/>
          <w:rFonts w:ascii="Tahoma" w:hAnsi="Tahoma" w:cs="Tahoma"/>
          <w:spacing w:val="4"/>
        </w:rPr>
        <w:t>Por medio de esta providencia procede la Sala a</w:t>
      </w:r>
      <w:r w:rsidRPr="008B6423">
        <w:rPr>
          <w:rFonts w:ascii="Tahoma" w:hAnsi="Tahoma" w:cs="Tahoma"/>
          <w:spacing w:val="4"/>
        </w:rPr>
        <w:t xml:space="preserve"> </w:t>
      </w:r>
      <w:r w:rsidR="00C23E38" w:rsidRPr="008B6423">
        <w:rPr>
          <w:rFonts w:ascii="Tahoma" w:hAnsi="Tahoma" w:cs="Tahoma"/>
          <w:spacing w:val="4"/>
        </w:rPr>
        <w:t>re</w:t>
      </w:r>
      <w:r w:rsidR="001A3764" w:rsidRPr="008B6423">
        <w:rPr>
          <w:rFonts w:ascii="Tahoma" w:hAnsi="Tahoma" w:cs="Tahoma"/>
          <w:spacing w:val="4"/>
        </w:rPr>
        <w:t xml:space="preserve">solver los recursos de apelación interpuestos por </w:t>
      </w:r>
      <w:r w:rsidR="00DD49FC" w:rsidRPr="008B6423">
        <w:rPr>
          <w:rFonts w:ascii="Tahoma" w:hAnsi="Tahoma" w:cs="Tahoma"/>
          <w:spacing w:val="4"/>
        </w:rPr>
        <w:t xml:space="preserve">las apoderadas judiciales las partes en contra de la </w:t>
      </w:r>
      <w:r w:rsidR="00462EB4" w:rsidRPr="008B6423">
        <w:rPr>
          <w:rFonts w:ascii="Tahoma" w:hAnsi="Tahoma" w:cs="Tahoma"/>
          <w:spacing w:val="4"/>
        </w:rPr>
        <w:t xml:space="preserve">sentencia </w:t>
      </w:r>
      <w:r w:rsidRPr="008B6423">
        <w:rPr>
          <w:rFonts w:ascii="Tahoma" w:hAnsi="Tahoma" w:cs="Tahoma"/>
          <w:spacing w:val="4"/>
        </w:rPr>
        <w:t xml:space="preserve">emitida por el Juzgado </w:t>
      </w:r>
      <w:r w:rsidR="002652C7" w:rsidRPr="008B6423">
        <w:rPr>
          <w:rFonts w:ascii="Tahoma" w:hAnsi="Tahoma" w:cs="Tahoma"/>
          <w:spacing w:val="4"/>
        </w:rPr>
        <w:t xml:space="preserve">Tercero </w:t>
      </w:r>
      <w:r w:rsidRPr="008B6423">
        <w:rPr>
          <w:rFonts w:ascii="Tahoma" w:hAnsi="Tahoma" w:cs="Tahoma"/>
          <w:spacing w:val="4"/>
        </w:rPr>
        <w:t xml:space="preserve">Laboral del Circuito de Pereira el </w:t>
      </w:r>
      <w:r w:rsidR="00462EB4" w:rsidRPr="008B6423">
        <w:rPr>
          <w:rFonts w:ascii="Tahoma" w:hAnsi="Tahoma" w:cs="Tahoma"/>
          <w:spacing w:val="4"/>
        </w:rPr>
        <w:t>1</w:t>
      </w:r>
      <w:r w:rsidR="00DD49FC" w:rsidRPr="008B6423">
        <w:rPr>
          <w:rFonts w:ascii="Tahoma" w:hAnsi="Tahoma" w:cs="Tahoma"/>
          <w:spacing w:val="4"/>
        </w:rPr>
        <w:t>3</w:t>
      </w:r>
      <w:r w:rsidR="00462EB4" w:rsidRPr="008B6423">
        <w:rPr>
          <w:rFonts w:ascii="Tahoma" w:hAnsi="Tahoma" w:cs="Tahoma"/>
          <w:spacing w:val="4"/>
        </w:rPr>
        <w:t xml:space="preserve"> de </w:t>
      </w:r>
      <w:r w:rsidR="00DD49FC" w:rsidRPr="008B6423">
        <w:rPr>
          <w:rFonts w:ascii="Tahoma" w:hAnsi="Tahoma" w:cs="Tahoma"/>
          <w:spacing w:val="4"/>
        </w:rPr>
        <w:t xml:space="preserve">marzo </w:t>
      </w:r>
      <w:r w:rsidR="00462EB4" w:rsidRPr="008B6423">
        <w:rPr>
          <w:rFonts w:ascii="Tahoma" w:hAnsi="Tahoma" w:cs="Tahoma"/>
          <w:spacing w:val="4"/>
        </w:rPr>
        <w:t>de 2020</w:t>
      </w:r>
      <w:r w:rsidRPr="008B6423">
        <w:rPr>
          <w:rFonts w:ascii="Tahoma" w:hAnsi="Tahoma" w:cs="Tahoma"/>
          <w:spacing w:val="4"/>
        </w:rPr>
        <w:t xml:space="preserve">. </w:t>
      </w:r>
      <w:r w:rsidRPr="008B6423">
        <w:rPr>
          <w:rStyle w:val="normaltextrun"/>
          <w:rFonts w:ascii="Tahoma" w:hAnsi="Tahoma" w:cs="Tahoma"/>
          <w:spacing w:val="4"/>
        </w:rPr>
        <w:t>Para ello se tiene en cuenta lo siguiente: </w:t>
      </w:r>
      <w:r w:rsidRPr="008B6423">
        <w:rPr>
          <w:rStyle w:val="eop"/>
          <w:rFonts w:ascii="Tahoma" w:hAnsi="Tahoma" w:cs="Tahoma"/>
          <w:spacing w:val="4"/>
        </w:rPr>
        <w:t> </w:t>
      </w:r>
    </w:p>
    <w:p w14:paraId="63E2E156" w14:textId="77777777" w:rsidR="003D5F4E" w:rsidRPr="008B6423" w:rsidRDefault="003D5F4E" w:rsidP="006736AE">
      <w:pPr>
        <w:spacing w:line="276" w:lineRule="auto"/>
        <w:jc w:val="both"/>
        <w:rPr>
          <w:rFonts w:ascii="Tahoma" w:hAnsi="Tahoma" w:cs="Tahoma"/>
          <w:spacing w:val="4"/>
        </w:rPr>
      </w:pPr>
    </w:p>
    <w:p w14:paraId="11EB8792" w14:textId="77777777" w:rsidR="003A3BBB" w:rsidRPr="008B6423" w:rsidRDefault="003A3BBB" w:rsidP="006736AE">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spacing w:val="4"/>
        </w:rPr>
      </w:pPr>
      <w:r w:rsidRPr="008B6423">
        <w:rPr>
          <w:rFonts w:ascii="Tahoma" w:hAnsi="Tahoma" w:cs="Tahoma"/>
          <w:b/>
          <w:spacing w:val="4"/>
        </w:rPr>
        <w:t>La demanda y su contestación</w:t>
      </w:r>
    </w:p>
    <w:p w14:paraId="13BCB206" w14:textId="77777777" w:rsidR="00A82F87" w:rsidRPr="008B6423" w:rsidRDefault="00A82F87" w:rsidP="006736AE">
      <w:pPr>
        <w:widowControl w:val="0"/>
        <w:autoSpaceDE w:val="0"/>
        <w:autoSpaceDN w:val="0"/>
        <w:adjustRightInd w:val="0"/>
        <w:spacing w:line="276" w:lineRule="auto"/>
        <w:ind w:firstLine="708"/>
        <w:jc w:val="both"/>
        <w:rPr>
          <w:rFonts w:ascii="Tahoma" w:hAnsi="Tahoma" w:cs="Tahoma"/>
          <w:spacing w:val="4"/>
        </w:rPr>
      </w:pPr>
    </w:p>
    <w:p w14:paraId="33A2E04B" w14:textId="0917D538" w:rsidR="006619E5" w:rsidRPr="008B6423" w:rsidRDefault="00DD49FC" w:rsidP="006736AE">
      <w:pPr>
        <w:widowControl w:val="0"/>
        <w:autoSpaceDE w:val="0"/>
        <w:autoSpaceDN w:val="0"/>
        <w:adjustRightInd w:val="0"/>
        <w:spacing w:line="276" w:lineRule="auto"/>
        <w:ind w:firstLine="708"/>
        <w:jc w:val="both"/>
        <w:rPr>
          <w:rFonts w:ascii="Tahoma" w:hAnsi="Tahoma" w:cs="Tahoma"/>
          <w:spacing w:val="4"/>
        </w:rPr>
      </w:pPr>
      <w:r w:rsidRPr="008B6423">
        <w:rPr>
          <w:rFonts w:ascii="Tahoma" w:hAnsi="Tahoma" w:cs="Tahoma"/>
          <w:spacing w:val="4"/>
        </w:rPr>
        <w:t xml:space="preserve">La citada demandante, </w:t>
      </w:r>
      <w:r w:rsidR="006619E5" w:rsidRPr="008B6423">
        <w:rPr>
          <w:rFonts w:ascii="Tahoma" w:hAnsi="Tahoma" w:cs="Tahoma"/>
          <w:spacing w:val="4"/>
        </w:rPr>
        <w:t xml:space="preserve">actuando en calidad de curadora general de su hijo Juan Felipe Pineda Pérez, solicita que se condene a la demandada, previo a la declaración del derecho, </w:t>
      </w:r>
      <w:r w:rsidR="002615BD" w:rsidRPr="008B6423">
        <w:rPr>
          <w:rFonts w:ascii="Tahoma" w:hAnsi="Tahoma" w:cs="Tahoma"/>
          <w:spacing w:val="4"/>
        </w:rPr>
        <w:t>a que le reconozca y pague a aqu</w:t>
      </w:r>
      <w:r w:rsidR="004E4F0E" w:rsidRPr="008B6423">
        <w:rPr>
          <w:rFonts w:ascii="Tahoma" w:hAnsi="Tahoma" w:cs="Tahoma"/>
          <w:spacing w:val="4"/>
        </w:rPr>
        <w:t>é</w:t>
      </w:r>
      <w:r w:rsidR="002615BD" w:rsidRPr="008B6423">
        <w:rPr>
          <w:rFonts w:ascii="Tahoma" w:hAnsi="Tahoma" w:cs="Tahoma"/>
          <w:spacing w:val="4"/>
        </w:rPr>
        <w:t xml:space="preserve">l la pensión de invalidez </w:t>
      </w:r>
      <w:r w:rsidR="00F67051" w:rsidRPr="008B6423">
        <w:rPr>
          <w:rFonts w:ascii="Tahoma" w:hAnsi="Tahoma" w:cs="Tahoma"/>
          <w:spacing w:val="4"/>
        </w:rPr>
        <w:t xml:space="preserve">consagrada en el parágrafo 1º del artículo 1º de la Ley 860 de 2003, </w:t>
      </w:r>
      <w:r w:rsidR="002615BD" w:rsidRPr="008B6423">
        <w:rPr>
          <w:rFonts w:ascii="Tahoma" w:hAnsi="Tahoma" w:cs="Tahoma"/>
          <w:spacing w:val="4"/>
        </w:rPr>
        <w:t>a partir del 20 de enero de 2017, más los intereses moratorios de que trata el artículo 141 de la Ley 100 de 1993</w:t>
      </w:r>
      <w:r w:rsidR="00F67051" w:rsidRPr="008B6423">
        <w:rPr>
          <w:rFonts w:ascii="Tahoma" w:hAnsi="Tahoma" w:cs="Tahoma"/>
          <w:spacing w:val="4"/>
        </w:rPr>
        <w:t xml:space="preserve"> y las costas procesales.</w:t>
      </w:r>
    </w:p>
    <w:p w14:paraId="41A129FE" w14:textId="5ED4D957" w:rsidR="00F67051" w:rsidRPr="008B6423" w:rsidRDefault="00F67051" w:rsidP="006736AE">
      <w:pPr>
        <w:widowControl w:val="0"/>
        <w:autoSpaceDE w:val="0"/>
        <w:autoSpaceDN w:val="0"/>
        <w:adjustRightInd w:val="0"/>
        <w:spacing w:line="276" w:lineRule="auto"/>
        <w:ind w:firstLine="708"/>
        <w:jc w:val="both"/>
        <w:rPr>
          <w:rFonts w:ascii="Tahoma" w:hAnsi="Tahoma" w:cs="Tahoma"/>
          <w:spacing w:val="4"/>
        </w:rPr>
      </w:pPr>
    </w:p>
    <w:p w14:paraId="26A2BB85" w14:textId="20AF5A76" w:rsidR="00F67051" w:rsidRPr="008B6423" w:rsidRDefault="00F67051" w:rsidP="006736AE">
      <w:pPr>
        <w:widowControl w:val="0"/>
        <w:autoSpaceDE w:val="0"/>
        <w:autoSpaceDN w:val="0"/>
        <w:adjustRightInd w:val="0"/>
        <w:spacing w:line="276" w:lineRule="auto"/>
        <w:ind w:firstLine="708"/>
        <w:jc w:val="both"/>
        <w:rPr>
          <w:rFonts w:ascii="Tahoma" w:hAnsi="Tahoma" w:cs="Tahoma"/>
          <w:spacing w:val="4"/>
        </w:rPr>
      </w:pPr>
      <w:r w:rsidRPr="008B6423">
        <w:rPr>
          <w:rFonts w:ascii="Tahoma" w:hAnsi="Tahoma" w:cs="Tahoma"/>
          <w:spacing w:val="4"/>
        </w:rPr>
        <w:t xml:space="preserve">Para fundar dichas pretensiones manifiesta que Juan Felipe Pineda nació el 7 de noviembre de 1995 y tiene una pérdida de capacidad laboral del 77,12%, de origen común, estructurada el </w:t>
      </w:r>
      <w:r w:rsidR="00F67FD8" w:rsidRPr="008B6423">
        <w:rPr>
          <w:rFonts w:ascii="Tahoma" w:hAnsi="Tahoma" w:cs="Tahoma"/>
          <w:spacing w:val="4"/>
        </w:rPr>
        <w:t>20 de enero de 2017</w:t>
      </w:r>
      <w:r w:rsidR="003B1B0E" w:rsidRPr="008B6423">
        <w:rPr>
          <w:rFonts w:ascii="Tahoma" w:hAnsi="Tahoma" w:cs="Tahoma"/>
          <w:spacing w:val="4"/>
        </w:rPr>
        <w:t>;</w:t>
      </w:r>
      <w:r w:rsidR="00F67FD8" w:rsidRPr="008B6423">
        <w:rPr>
          <w:rFonts w:ascii="Tahoma" w:hAnsi="Tahoma" w:cs="Tahoma"/>
          <w:spacing w:val="4"/>
        </w:rPr>
        <w:t xml:space="preserve"> la cual fue calificada por Seguros de Vida Alfa a través del dictamen 2892155 del 12 de marzo de</w:t>
      </w:r>
      <w:r w:rsidR="003B1B0E" w:rsidRPr="008B6423">
        <w:rPr>
          <w:rFonts w:ascii="Tahoma" w:hAnsi="Tahoma" w:cs="Tahoma"/>
          <w:spacing w:val="4"/>
        </w:rPr>
        <w:t xml:space="preserve"> aquella anualidad</w:t>
      </w:r>
      <w:r w:rsidR="00F67FD8" w:rsidRPr="008B6423">
        <w:rPr>
          <w:rFonts w:ascii="Tahoma" w:hAnsi="Tahoma" w:cs="Tahoma"/>
          <w:spacing w:val="4"/>
        </w:rPr>
        <w:t xml:space="preserve">. </w:t>
      </w:r>
    </w:p>
    <w:p w14:paraId="22C4FC50" w14:textId="7A105C4E" w:rsidR="00F67FD8" w:rsidRPr="008B6423" w:rsidRDefault="00F67FD8" w:rsidP="006736AE">
      <w:pPr>
        <w:widowControl w:val="0"/>
        <w:autoSpaceDE w:val="0"/>
        <w:autoSpaceDN w:val="0"/>
        <w:adjustRightInd w:val="0"/>
        <w:spacing w:line="276" w:lineRule="auto"/>
        <w:ind w:firstLine="708"/>
        <w:jc w:val="both"/>
        <w:rPr>
          <w:rFonts w:ascii="Tahoma" w:hAnsi="Tahoma" w:cs="Tahoma"/>
          <w:spacing w:val="4"/>
        </w:rPr>
      </w:pPr>
    </w:p>
    <w:p w14:paraId="60B214F8" w14:textId="4B054CDD" w:rsidR="00F67FD8" w:rsidRPr="008B6423" w:rsidRDefault="0090472C" w:rsidP="006736AE">
      <w:pPr>
        <w:widowControl w:val="0"/>
        <w:autoSpaceDE w:val="0"/>
        <w:autoSpaceDN w:val="0"/>
        <w:adjustRightInd w:val="0"/>
        <w:spacing w:line="276" w:lineRule="auto"/>
        <w:ind w:firstLine="708"/>
        <w:jc w:val="both"/>
        <w:rPr>
          <w:rFonts w:ascii="Tahoma" w:hAnsi="Tahoma" w:cs="Tahoma"/>
          <w:spacing w:val="4"/>
        </w:rPr>
      </w:pPr>
      <w:r w:rsidRPr="008B6423">
        <w:rPr>
          <w:rFonts w:ascii="Tahoma" w:hAnsi="Tahoma" w:cs="Tahoma"/>
          <w:spacing w:val="4"/>
        </w:rPr>
        <w:t xml:space="preserve">Refiere que para la fecha de la calificación </w:t>
      </w:r>
      <w:r w:rsidR="003B1B0E" w:rsidRPr="008B6423">
        <w:rPr>
          <w:rFonts w:ascii="Tahoma" w:hAnsi="Tahoma" w:cs="Tahoma"/>
          <w:spacing w:val="4"/>
        </w:rPr>
        <w:t xml:space="preserve">su hijo </w:t>
      </w:r>
      <w:r w:rsidRPr="008B6423">
        <w:rPr>
          <w:rFonts w:ascii="Tahoma" w:hAnsi="Tahoma" w:cs="Tahoma"/>
          <w:spacing w:val="4"/>
        </w:rPr>
        <w:t xml:space="preserve">contaba con 21 años de edad y que el 12 de septiembre de 2017 Porvenir S.A. le negó el reconocimiento de la pensión de invalidez bajo el argumento de que </w:t>
      </w:r>
      <w:r w:rsidR="003B1B0E" w:rsidRPr="008B6423">
        <w:rPr>
          <w:rFonts w:ascii="Tahoma" w:hAnsi="Tahoma" w:cs="Tahoma"/>
          <w:spacing w:val="4"/>
        </w:rPr>
        <w:t>no contaba con 50 semanas en los tres años anteriores a la fecha de estructuración de la invalidez.</w:t>
      </w:r>
    </w:p>
    <w:p w14:paraId="256291CE" w14:textId="5180454E" w:rsidR="003B1B0E" w:rsidRPr="008B6423" w:rsidRDefault="003B1B0E" w:rsidP="006736AE">
      <w:pPr>
        <w:widowControl w:val="0"/>
        <w:autoSpaceDE w:val="0"/>
        <w:autoSpaceDN w:val="0"/>
        <w:adjustRightInd w:val="0"/>
        <w:spacing w:line="276" w:lineRule="auto"/>
        <w:ind w:firstLine="708"/>
        <w:jc w:val="both"/>
        <w:rPr>
          <w:rFonts w:ascii="Tahoma" w:hAnsi="Tahoma" w:cs="Tahoma"/>
          <w:spacing w:val="4"/>
        </w:rPr>
      </w:pPr>
    </w:p>
    <w:p w14:paraId="69F05430" w14:textId="2E797A0F" w:rsidR="003B1B0E" w:rsidRPr="008B6423" w:rsidRDefault="003B1B0E" w:rsidP="006736AE">
      <w:pPr>
        <w:widowControl w:val="0"/>
        <w:autoSpaceDE w:val="0"/>
        <w:autoSpaceDN w:val="0"/>
        <w:adjustRightInd w:val="0"/>
        <w:spacing w:line="276" w:lineRule="auto"/>
        <w:ind w:firstLine="708"/>
        <w:jc w:val="both"/>
        <w:rPr>
          <w:rFonts w:ascii="Tahoma" w:hAnsi="Tahoma" w:cs="Tahoma"/>
          <w:spacing w:val="4"/>
        </w:rPr>
      </w:pPr>
      <w:r w:rsidRPr="008B6423">
        <w:rPr>
          <w:rFonts w:ascii="Tahoma" w:hAnsi="Tahoma" w:cs="Tahoma"/>
          <w:spacing w:val="4"/>
        </w:rPr>
        <w:t>Informa que el 8 de noviembre</w:t>
      </w:r>
      <w:r w:rsidR="5E034F3F" w:rsidRPr="008B6423">
        <w:rPr>
          <w:rFonts w:ascii="Tahoma" w:hAnsi="Tahoma" w:cs="Tahoma"/>
          <w:spacing w:val="4"/>
        </w:rPr>
        <w:t xml:space="preserve"> de 2017</w:t>
      </w:r>
      <w:r w:rsidRPr="008B6423">
        <w:rPr>
          <w:rFonts w:ascii="Tahoma" w:hAnsi="Tahoma" w:cs="Tahoma"/>
          <w:spacing w:val="4"/>
        </w:rPr>
        <w:t xml:space="preserve"> se solicitó nuevamente la prestación con fundamento en la sentencia C-020 de 2015; no obstante, el Director Jurídico de Asesoría Previsional de la demandada se ratificó en la negativa de reconocimiento de la pensión.</w:t>
      </w:r>
    </w:p>
    <w:p w14:paraId="36607E4E" w14:textId="20BB5B99" w:rsidR="003B1B0E" w:rsidRPr="008B6423" w:rsidRDefault="003B1B0E" w:rsidP="006736AE">
      <w:pPr>
        <w:widowControl w:val="0"/>
        <w:autoSpaceDE w:val="0"/>
        <w:autoSpaceDN w:val="0"/>
        <w:adjustRightInd w:val="0"/>
        <w:spacing w:line="276" w:lineRule="auto"/>
        <w:ind w:firstLine="708"/>
        <w:jc w:val="both"/>
        <w:rPr>
          <w:rFonts w:ascii="Tahoma" w:hAnsi="Tahoma" w:cs="Tahoma"/>
          <w:spacing w:val="4"/>
        </w:rPr>
      </w:pPr>
    </w:p>
    <w:p w14:paraId="4EB5BCDF" w14:textId="3FF4F7FE" w:rsidR="00CA2985" w:rsidRPr="008B6423" w:rsidRDefault="00CA2985" w:rsidP="006736AE">
      <w:pPr>
        <w:widowControl w:val="0"/>
        <w:autoSpaceDE w:val="0"/>
        <w:autoSpaceDN w:val="0"/>
        <w:adjustRightInd w:val="0"/>
        <w:spacing w:line="276" w:lineRule="auto"/>
        <w:ind w:firstLine="708"/>
        <w:jc w:val="both"/>
        <w:rPr>
          <w:rFonts w:ascii="Tahoma" w:hAnsi="Tahoma" w:cs="Tahoma"/>
          <w:spacing w:val="4"/>
        </w:rPr>
      </w:pPr>
      <w:r w:rsidRPr="008B6423">
        <w:rPr>
          <w:rFonts w:ascii="Tahoma" w:hAnsi="Tahoma" w:cs="Tahoma"/>
          <w:spacing w:val="4"/>
        </w:rPr>
        <w:t>Por último, manifiesta que su hijo cuenta con más de 26 semanas cotizadas entre el 20 de enero de 2016 y el 20 de enero de 2017</w:t>
      </w:r>
      <w:r w:rsidR="002B6CF8" w:rsidRPr="008B6423">
        <w:rPr>
          <w:rFonts w:ascii="Tahoma" w:hAnsi="Tahoma" w:cs="Tahoma"/>
          <w:spacing w:val="4"/>
        </w:rPr>
        <w:t>.</w:t>
      </w:r>
    </w:p>
    <w:p w14:paraId="7CBB0AC9" w14:textId="66A99372" w:rsidR="00467EF2" w:rsidRPr="008B6423" w:rsidRDefault="003B1B0E" w:rsidP="006736AE">
      <w:pPr>
        <w:widowControl w:val="0"/>
        <w:autoSpaceDE w:val="0"/>
        <w:autoSpaceDN w:val="0"/>
        <w:adjustRightInd w:val="0"/>
        <w:spacing w:line="276" w:lineRule="auto"/>
        <w:ind w:firstLine="708"/>
        <w:jc w:val="both"/>
        <w:rPr>
          <w:rFonts w:ascii="Tahoma" w:hAnsi="Tahoma" w:cs="Tahoma"/>
          <w:spacing w:val="4"/>
        </w:rPr>
      </w:pPr>
      <w:r w:rsidRPr="008B6423">
        <w:rPr>
          <w:rFonts w:ascii="Tahoma" w:hAnsi="Tahoma" w:cs="Tahoma"/>
          <w:spacing w:val="4"/>
        </w:rPr>
        <w:t xml:space="preserve"> </w:t>
      </w:r>
    </w:p>
    <w:p w14:paraId="18A89A89" w14:textId="4DDF5561" w:rsidR="00AD2D33" w:rsidRPr="008B6423" w:rsidRDefault="001545EC" w:rsidP="006736AE">
      <w:pPr>
        <w:widowControl w:val="0"/>
        <w:autoSpaceDE w:val="0"/>
        <w:autoSpaceDN w:val="0"/>
        <w:adjustRightInd w:val="0"/>
        <w:spacing w:line="276" w:lineRule="auto"/>
        <w:ind w:firstLine="708"/>
        <w:jc w:val="both"/>
        <w:rPr>
          <w:rFonts w:ascii="Tahoma" w:hAnsi="Tahoma" w:cs="Tahoma"/>
          <w:spacing w:val="4"/>
        </w:rPr>
      </w:pPr>
      <w:r w:rsidRPr="008B6423">
        <w:rPr>
          <w:rFonts w:ascii="Tahoma" w:hAnsi="Tahoma" w:cs="Tahoma"/>
          <w:b/>
          <w:spacing w:val="4"/>
        </w:rPr>
        <w:t>Porvenir S.A.</w:t>
      </w:r>
      <w:r w:rsidR="00FC2F9C" w:rsidRPr="008B6423">
        <w:rPr>
          <w:rFonts w:ascii="Tahoma" w:hAnsi="Tahoma" w:cs="Tahoma"/>
          <w:spacing w:val="4"/>
        </w:rPr>
        <w:t xml:space="preserve"> </w:t>
      </w:r>
      <w:r w:rsidR="009B5328" w:rsidRPr="008B6423">
        <w:rPr>
          <w:rFonts w:ascii="Tahoma" w:hAnsi="Tahoma" w:cs="Tahoma"/>
          <w:spacing w:val="4"/>
        </w:rPr>
        <w:t>se opuso a la prosperidad de las pretensiones aduciendo que</w:t>
      </w:r>
      <w:r w:rsidR="00AD2D33" w:rsidRPr="008B6423">
        <w:rPr>
          <w:rFonts w:ascii="Tahoma" w:hAnsi="Tahoma" w:cs="Tahoma"/>
          <w:spacing w:val="4"/>
        </w:rPr>
        <w:t xml:space="preserve"> en el presente caso no es dable aplicar el precepto normativo expuesto en la demanda -parágrafo 1º del artículo 1º de la Ley 860 de 2003-, toda vez que el afiliado no contaba con menos de 20 años de edad al momento de la estructuración de su invalidez. Agregó que esa entidad ha actuado con sujeción a la ley, por lo </w:t>
      </w:r>
      <w:r w:rsidR="00AD2D33" w:rsidRPr="008B6423">
        <w:rPr>
          <w:rFonts w:ascii="Tahoma" w:hAnsi="Tahoma" w:cs="Tahoma"/>
          <w:spacing w:val="4"/>
        </w:rPr>
        <w:lastRenderedPageBreak/>
        <w:t xml:space="preserve">que no se le puede reprochar </w:t>
      </w:r>
      <w:r w:rsidR="00E97260" w:rsidRPr="008B6423">
        <w:rPr>
          <w:rFonts w:ascii="Tahoma" w:hAnsi="Tahoma" w:cs="Tahoma"/>
          <w:spacing w:val="4"/>
        </w:rPr>
        <w:t>negligencia o incumplimiento alguno.</w:t>
      </w:r>
    </w:p>
    <w:p w14:paraId="039114E0" w14:textId="6FDA9729" w:rsidR="00E97260" w:rsidRPr="008B6423" w:rsidRDefault="00E97260" w:rsidP="006736AE">
      <w:pPr>
        <w:widowControl w:val="0"/>
        <w:autoSpaceDE w:val="0"/>
        <w:autoSpaceDN w:val="0"/>
        <w:adjustRightInd w:val="0"/>
        <w:spacing w:line="276" w:lineRule="auto"/>
        <w:ind w:firstLine="708"/>
        <w:jc w:val="both"/>
        <w:rPr>
          <w:rFonts w:ascii="Tahoma" w:hAnsi="Tahoma" w:cs="Tahoma"/>
          <w:spacing w:val="4"/>
        </w:rPr>
      </w:pPr>
    </w:p>
    <w:p w14:paraId="2FE5EC2B" w14:textId="74B6F715" w:rsidR="00E97260" w:rsidRPr="008B6423" w:rsidRDefault="00E97260" w:rsidP="006736AE">
      <w:pPr>
        <w:widowControl w:val="0"/>
        <w:autoSpaceDE w:val="0"/>
        <w:autoSpaceDN w:val="0"/>
        <w:adjustRightInd w:val="0"/>
        <w:spacing w:line="276" w:lineRule="auto"/>
        <w:ind w:firstLine="708"/>
        <w:jc w:val="both"/>
        <w:rPr>
          <w:rFonts w:ascii="Tahoma" w:hAnsi="Tahoma" w:cs="Tahoma"/>
          <w:spacing w:val="4"/>
        </w:rPr>
      </w:pPr>
      <w:r w:rsidRPr="008B6423">
        <w:rPr>
          <w:rFonts w:ascii="Tahoma" w:hAnsi="Tahoma" w:cs="Tahoma"/>
          <w:spacing w:val="4"/>
        </w:rPr>
        <w:t xml:space="preserve">En ese orden de ideas, propuso las excepciones de mérito que denominó “Prescripción”; “Buena fe”; “Inexistencia de la obligación y/o cobro de lo no adeudado”; “Inexistencia de la causa por insuficiente densidad de semanas cotizadas”; “Compensación”; “Culpa exclusiva del afiliado”; “Exoneración de condena en costas y de intereses de mora”; “Falta de causa para pedir”; “Falta de legitimación en la causa por pasiva”; “Falta de personería sustantiva sobre el sujeto demandado”; “Inexistencia de la fuente de la obligación” y, “Afectación financiera del sistema general pensional”;  </w:t>
      </w:r>
    </w:p>
    <w:p w14:paraId="59437426" w14:textId="77777777" w:rsidR="00DE2EB9" w:rsidRPr="008B6423" w:rsidRDefault="00DE2EB9" w:rsidP="006736AE">
      <w:pPr>
        <w:widowControl w:val="0"/>
        <w:autoSpaceDE w:val="0"/>
        <w:autoSpaceDN w:val="0"/>
        <w:adjustRightInd w:val="0"/>
        <w:spacing w:line="276" w:lineRule="auto"/>
        <w:ind w:firstLine="708"/>
        <w:jc w:val="both"/>
        <w:rPr>
          <w:rFonts w:ascii="Tahoma" w:hAnsi="Tahoma" w:cs="Tahoma"/>
          <w:spacing w:val="4"/>
        </w:rPr>
      </w:pPr>
    </w:p>
    <w:p w14:paraId="0BCBB844" w14:textId="77777777" w:rsidR="003A3BBB" w:rsidRPr="008B6423" w:rsidRDefault="008F2E7F" w:rsidP="006736AE">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spacing w:val="4"/>
        </w:rPr>
      </w:pPr>
      <w:r w:rsidRPr="008B6423">
        <w:rPr>
          <w:rFonts w:ascii="Tahoma" w:hAnsi="Tahoma" w:cs="Tahoma"/>
          <w:b/>
          <w:spacing w:val="4"/>
        </w:rPr>
        <w:t>S</w:t>
      </w:r>
      <w:r w:rsidR="003A3BBB" w:rsidRPr="008B6423">
        <w:rPr>
          <w:rFonts w:ascii="Tahoma" w:hAnsi="Tahoma" w:cs="Tahoma"/>
          <w:b/>
          <w:spacing w:val="4"/>
        </w:rPr>
        <w:t>entencia de primera instancia</w:t>
      </w:r>
    </w:p>
    <w:p w14:paraId="2168AFBE" w14:textId="77777777" w:rsidR="003A3BBB" w:rsidRPr="008B6423" w:rsidRDefault="003A3BBB" w:rsidP="006736AE">
      <w:pPr>
        <w:pStyle w:val="Sinespaciado"/>
        <w:spacing w:line="276" w:lineRule="auto"/>
        <w:rPr>
          <w:rFonts w:ascii="Tahoma" w:hAnsi="Tahoma" w:cs="Tahoma"/>
          <w:spacing w:val="4"/>
        </w:rPr>
      </w:pPr>
    </w:p>
    <w:p w14:paraId="43C9CAA6" w14:textId="2008CB6A" w:rsidR="00E25122" w:rsidRPr="008B6423" w:rsidRDefault="00DD1394" w:rsidP="006736AE">
      <w:pPr>
        <w:widowControl w:val="0"/>
        <w:autoSpaceDE w:val="0"/>
        <w:autoSpaceDN w:val="0"/>
        <w:adjustRightInd w:val="0"/>
        <w:spacing w:line="276" w:lineRule="auto"/>
        <w:ind w:firstLine="708"/>
        <w:jc w:val="both"/>
        <w:rPr>
          <w:rFonts w:ascii="Tahoma" w:hAnsi="Tahoma" w:cs="Tahoma"/>
          <w:spacing w:val="4"/>
        </w:rPr>
      </w:pPr>
      <w:r w:rsidRPr="008B6423">
        <w:rPr>
          <w:rFonts w:ascii="Tahoma" w:hAnsi="Tahoma" w:cs="Tahoma"/>
          <w:spacing w:val="4"/>
        </w:rPr>
        <w:t>La Jueza de conocimiento</w:t>
      </w:r>
      <w:r w:rsidR="00FC2F9C" w:rsidRPr="008B6423">
        <w:rPr>
          <w:rFonts w:ascii="Tahoma" w:hAnsi="Tahoma" w:cs="Tahoma"/>
          <w:spacing w:val="4"/>
        </w:rPr>
        <w:t xml:space="preserve"> </w:t>
      </w:r>
      <w:r w:rsidR="0097605F" w:rsidRPr="008B6423">
        <w:rPr>
          <w:rFonts w:ascii="Tahoma" w:hAnsi="Tahoma" w:cs="Tahoma"/>
          <w:spacing w:val="4"/>
        </w:rPr>
        <w:t xml:space="preserve">declaró </w:t>
      </w:r>
      <w:r w:rsidR="00E25122" w:rsidRPr="008B6423">
        <w:rPr>
          <w:rFonts w:ascii="Tahoma" w:hAnsi="Tahoma" w:cs="Tahoma"/>
          <w:spacing w:val="4"/>
        </w:rPr>
        <w:t xml:space="preserve">que Juan Felipe Pineda Pérez tiene derecho a la pensión de invalidez consagrada en la Ley 860 de 2003 y, en consecuencia, condenó a Porvenir S.A. a que le reconozca y pague dicha prestación a partir del 20 de enero de 2017, en cuantía de un salario mínimo legal y por 13 mesadas al año; para lo cual le concedió </w:t>
      </w:r>
      <w:r w:rsidR="004E4F0E" w:rsidRPr="008B6423">
        <w:rPr>
          <w:rFonts w:ascii="Tahoma" w:hAnsi="Tahoma" w:cs="Tahoma"/>
          <w:spacing w:val="4"/>
        </w:rPr>
        <w:t xml:space="preserve">al Fondo de Pensiones </w:t>
      </w:r>
      <w:r w:rsidR="00E25122" w:rsidRPr="008B6423">
        <w:rPr>
          <w:rFonts w:ascii="Tahoma" w:hAnsi="Tahoma" w:cs="Tahoma"/>
          <w:spacing w:val="4"/>
        </w:rPr>
        <w:t>un mes a partir de que se radique la respectiva cuenta de cobro.</w:t>
      </w:r>
    </w:p>
    <w:p w14:paraId="3BCEA083" w14:textId="00F09464" w:rsidR="00E25122" w:rsidRPr="008B6423" w:rsidRDefault="00E25122" w:rsidP="006736AE">
      <w:pPr>
        <w:widowControl w:val="0"/>
        <w:autoSpaceDE w:val="0"/>
        <w:autoSpaceDN w:val="0"/>
        <w:adjustRightInd w:val="0"/>
        <w:spacing w:line="276" w:lineRule="auto"/>
        <w:ind w:firstLine="708"/>
        <w:jc w:val="both"/>
        <w:rPr>
          <w:rFonts w:ascii="Tahoma" w:hAnsi="Tahoma" w:cs="Tahoma"/>
          <w:spacing w:val="4"/>
        </w:rPr>
      </w:pPr>
    </w:p>
    <w:p w14:paraId="287968CB" w14:textId="61635F6C" w:rsidR="00E25122" w:rsidRPr="008B6423" w:rsidRDefault="00E25122" w:rsidP="006736AE">
      <w:pPr>
        <w:widowControl w:val="0"/>
        <w:autoSpaceDE w:val="0"/>
        <w:autoSpaceDN w:val="0"/>
        <w:adjustRightInd w:val="0"/>
        <w:spacing w:line="276" w:lineRule="auto"/>
        <w:ind w:firstLine="708"/>
        <w:jc w:val="both"/>
        <w:rPr>
          <w:rFonts w:ascii="Tahoma" w:hAnsi="Tahoma" w:cs="Tahoma"/>
          <w:spacing w:val="4"/>
        </w:rPr>
      </w:pPr>
      <w:r w:rsidRPr="008B6423">
        <w:rPr>
          <w:rFonts w:ascii="Tahoma" w:hAnsi="Tahoma" w:cs="Tahoma"/>
          <w:spacing w:val="4"/>
        </w:rPr>
        <w:t>Por otra parte, autorizó a la demandada para que descontara del retroactiva a reconocer el 12% por concepto de aportes al sistema de seguridad social en salud,</w:t>
      </w:r>
      <w:r w:rsidR="005B1462" w:rsidRPr="008B6423">
        <w:rPr>
          <w:rFonts w:ascii="Tahoma" w:hAnsi="Tahoma" w:cs="Tahoma"/>
          <w:spacing w:val="4"/>
        </w:rPr>
        <w:t xml:space="preserve"> y la absolvió del pago de los intereses moratorios.</w:t>
      </w:r>
    </w:p>
    <w:p w14:paraId="3C50AAA5" w14:textId="7DAF51CE" w:rsidR="00095F52" w:rsidRPr="008B6423" w:rsidRDefault="00095F52" w:rsidP="006736AE">
      <w:pPr>
        <w:widowControl w:val="0"/>
        <w:autoSpaceDE w:val="0"/>
        <w:autoSpaceDN w:val="0"/>
        <w:adjustRightInd w:val="0"/>
        <w:spacing w:line="276" w:lineRule="auto"/>
        <w:ind w:firstLine="708"/>
        <w:jc w:val="both"/>
        <w:rPr>
          <w:rFonts w:ascii="Tahoma" w:hAnsi="Tahoma" w:cs="Tahoma"/>
          <w:spacing w:val="4"/>
        </w:rPr>
      </w:pPr>
    </w:p>
    <w:p w14:paraId="1ABA1F8C" w14:textId="6E3AA15A" w:rsidR="00E8576C" w:rsidRPr="008B6423" w:rsidRDefault="00095F52" w:rsidP="006736AE">
      <w:pPr>
        <w:widowControl w:val="0"/>
        <w:autoSpaceDE w:val="0"/>
        <w:autoSpaceDN w:val="0"/>
        <w:adjustRightInd w:val="0"/>
        <w:spacing w:line="276" w:lineRule="auto"/>
        <w:ind w:firstLine="708"/>
        <w:jc w:val="both"/>
        <w:rPr>
          <w:rFonts w:ascii="Tahoma" w:hAnsi="Tahoma" w:cs="Tahoma"/>
          <w:spacing w:val="4"/>
        </w:rPr>
      </w:pPr>
      <w:r w:rsidRPr="008B6423">
        <w:rPr>
          <w:rFonts w:ascii="Tahoma" w:hAnsi="Tahoma" w:cs="Tahoma"/>
          <w:spacing w:val="4"/>
        </w:rPr>
        <w:t xml:space="preserve">Para llegar a tal determinación la A-quo consideró, en síntesis, que en el sub lite se daban los requisitos jurisprudenciales para reconocer la gracia pensional deprecada, </w:t>
      </w:r>
      <w:r w:rsidR="00E8576C" w:rsidRPr="008B6423">
        <w:rPr>
          <w:rFonts w:ascii="Tahoma" w:hAnsi="Tahoma" w:cs="Tahoma"/>
          <w:spacing w:val="4"/>
        </w:rPr>
        <w:t xml:space="preserve">básicamente por cuanto al momento en que se estructuró la invalidez del trabajador </w:t>
      </w:r>
      <w:r w:rsidR="00E8576C" w:rsidRPr="008B6423">
        <w:rPr>
          <w:rFonts w:ascii="Tahoma" w:hAnsi="Tahoma" w:cs="Tahoma"/>
          <w:i/>
          <w:spacing w:val="4"/>
        </w:rPr>
        <w:t>-superior al 50%-</w:t>
      </w:r>
      <w:r w:rsidR="00E8576C" w:rsidRPr="008B6423">
        <w:rPr>
          <w:rFonts w:ascii="Tahoma" w:hAnsi="Tahoma" w:cs="Tahoma"/>
          <w:spacing w:val="4"/>
        </w:rPr>
        <w:t xml:space="preserve">, este era menor de 26 años, razón por la cual, conforme al parágrafo 1º del artículo 1º de la Ley 860 de 2003, sólo era dable exigirle 26 semanas en el año anterior a aquel suceso, las cuales cumplía a cabalidad. </w:t>
      </w:r>
    </w:p>
    <w:p w14:paraId="7B4C2C21" w14:textId="77777777" w:rsidR="00E8576C" w:rsidRPr="008B6423" w:rsidRDefault="00E8576C" w:rsidP="006736AE">
      <w:pPr>
        <w:widowControl w:val="0"/>
        <w:autoSpaceDE w:val="0"/>
        <w:autoSpaceDN w:val="0"/>
        <w:adjustRightInd w:val="0"/>
        <w:spacing w:line="276" w:lineRule="auto"/>
        <w:ind w:firstLine="708"/>
        <w:jc w:val="both"/>
        <w:rPr>
          <w:rFonts w:ascii="Tahoma" w:hAnsi="Tahoma" w:cs="Tahoma"/>
          <w:spacing w:val="4"/>
        </w:rPr>
      </w:pPr>
    </w:p>
    <w:p w14:paraId="1C157E49" w14:textId="6265A844" w:rsidR="00E8576C" w:rsidRPr="008B6423" w:rsidRDefault="00E8576C" w:rsidP="006736AE">
      <w:pPr>
        <w:widowControl w:val="0"/>
        <w:autoSpaceDE w:val="0"/>
        <w:autoSpaceDN w:val="0"/>
        <w:adjustRightInd w:val="0"/>
        <w:spacing w:line="276" w:lineRule="auto"/>
        <w:ind w:firstLine="708"/>
        <w:jc w:val="both"/>
        <w:rPr>
          <w:rFonts w:ascii="Tahoma" w:hAnsi="Tahoma" w:cs="Tahoma"/>
          <w:spacing w:val="4"/>
        </w:rPr>
      </w:pPr>
      <w:r w:rsidRPr="008B6423">
        <w:rPr>
          <w:rFonts w:ascii="Tahoma" w:hAnsi="Tahoma" w:cs="Tahoma"/>
          <w:spacing w:val="4"/>
        </w:rPr>
        <w:t xml:space="preserve">En ese sentido, procedió a ordenar el reconocimiento de la pensión de invalidez desde el 20 de enero de 2017, precisando que no prosperaba la excepción de prescripción por no haberse superado el término trienal desde la </w:t>
      </w:r>
      <w:proofErr w:type="spellStart"/>
      <w:r w:rsidRPr="008B6423">
        <w:rPr>
          <w:rFonts w:ascii="Tahoma" w:hAnsi="Tahoma" w:cs="Tahoma"/>
          <w:spacing w:val="4"/>
        </w:rPr>
        <w:t>causación</w:t>
      </w:r>
      <w:proofErr w:type="spellEnd"/>
      <w:r w:rsidRPr="008B6423">
        <w:rPr>
          <w:rFonts w:ascii="Tahoma" w:hAnsi="Tahoma" w:cs="Tahoma"/>
          <w:spacing w:val="4"/>
        </w:rPr>
        <w:t xml:space="preserve"> del derecho y la reclamación del mismo; asimismo, aclaró que del retroactivo a reconocer la entidad demandada estaba habilitada para efectuar el respectivo descuento por concepto de salud.</w:t>
      </w:r>
    </w:p>
    <w:p w14:paraId="625FA79E" w14:textId="77777777" w:rsidR="00E8576C" w:rsidRPr="008B6423" w:rsidRDefault="00E8576C" w:rsidP="006736AE">
      <w:pPr>
        <w:widowControl w:val="0"/>
        <w:autoSpaceDE w:val="0"/>
        <w:autoSpaceDN w:val="0"/>
        <w:adjustRightInd w:val="0"/>
        <w:spacing w:line="276" w:lineRule="auto"/>
        <w:ind w:firstLine="708"/>
        <w:jc w:val="both"/>
        <w:rPr>
          <w:rFonts w:ascii="Tahoma" w:hAnsi="Tahoma" w:cs="Tahoma"/>
          <w:spacing w:val="4"/>
        </w:rPr>
      </w:pPr>
    </w:p>
    <w:p w14:paraId="49E2522F" w14:textId="309CC3EF" w:rsidR="00095F52" w:rsidRPr="008B6423" w:rsidRDefault="00E8576C" w:rsidP="006736AE">
      <w:pPr>
        <w:widowControl w:val="0"/>
        <w:autoSpaceDE w:val="0"/>
        <w:autoSpaceDN w:val="0"/>
        <w:adjustRightInd w:val="0"/>
        <w:spacing w:line="276" w:lineRule="auto"/>
        <w:ind w:firstLine="708"/>
        <w:jc w:val="both"/>
        <w:rPr>
          <w:rFonts w:ascii="Tahoma" w:hAnsi="Tahoma" w:cs="Tahoma"/>
          <w:spacing w:val="4"/>
        </w:rPr>
      </w:pPr>
      <w:r w:rsidRPr="008B6423">
        <w:rPr>
          <w:rFonts w:ascii="Tahoma" w:hAnsi="Tahoma" w:cs="Tahoma"/>
          <w:spacing w:val="4"/>
        </w:rPr>
        <w:t>Por último, dispuso que no había lugar a ordenar el pago de intereses moratorios al concederse la gracia pensional con base en una interpretación jurisprudencial favorable.</w:t>
      </w:r>
    </w:p>
    <w:p w14:paraId="24670EF8" w14:textId="77777777" w:rsidR="00942A20" w:rsidRPr="008B6423" w:rsidRDefault="00942A20" w:rsidP="006736AE">
      <w:pPr>
        <w:widowControl w:val="0"/>
        <w:autoSpaceDE w:val="0"/>
        <w:autoSpaceDN w:val="0"/>
        <w:adjustRightInd w:val="0"/>
        <w:spacing w:line="276" w:lineRule="auto"/>
        <w:ind w:firstLine="708"/>
        <w:jc w:val="both"/>
        <w:rPr>
          <w:rFonts w:ascii="Tahoma" w:hAnsi="Tahoma" w:cs="Tahoma"/>
          <w:spacing w:val="4"/>
        </w:rPr>
      </w:pPr>
    </w:p>
    <w:p w14:paraId="20B617D6" w14:textId="5B0793EF" w:rsidR="004F2069" w:rsidRPr="008B6423" w:rsidRDefault="005B1462" w:rsidP="006736AE">
      <w:pPr>
        <w:pStyle w:val="Prrafodelista"/>
        <w:numPr>
          <w:ilvl w:val="0"/>
          <w:numId w:val="43"/>
        </w:numPr>
        <w:spacing w:line="276" w:lineRule="auto"/>
        <w:jc w:val="center"/>
        <w:rPr>
          <w:rFonts w:ascii="Tahoma" w:hAnsi="Tahoma" w:cs="Tahoma"/>
          <w:b/>
          <w:spacing w:val="4"/>
        </w:rPr>
      </w:pPr>
      <w:r w:rsidRPr="008B6423">
        <w:rPr>
          <w:rFonts w:ascii="Tahoma" w:hAnsi="Tahoma" w:cs="Tahoma"/>
          <w:b/>
          <w:spacing w:val="4"/>
        </w:rPr>
        <w:t>Recursos de apelación</w:t>
      </w:r>
    </w:p>
    <w:p w14:paraId="04BD3B1F" w14:textId="2C361370" w:rsidR="00A9473B" w:rsidRPr="008B6423" w:rsidRDefault="00A9473B" w:rsidP="006736AE">
      <w:pPr>
        <w:pStyle w:val="Prrafodelista"/>
        <w:spacing w:line="276" w:lineRule="auto"/>
        <w:ind w:left="1080"/>
        <w:rPr>
          <w:rFonts w:ascii="Tahoma" w:hAnsi="Tahoma" w:cs="Tahoma"/>
          <w:spacing w:val="4"/>
        </w:rPr>
      </w:pPr>
    </w:p>
    <w:p w14:paraId="18B14A3C" w14:textId="6EEA12AD" w:rsidR="000D78EF" w:rsidRPr="008B6423" w:rsidRDefault="005B1462" w:rsidP="006736AE">
      <w:pPr>
        <w:pStyle w:val="Prrafodelista"/>
        <w:spacing w:line="276" w:lineRule="auto"/>
        <w:ind w:left="0" w:firstLine="709"/>
        <w:jc w:val="both"/>
        <w:rPr>
          <w:rFonts w:ascii="Tahoma" w:hAnsi="Tahoma" w:cs="Tahoma"/>
          <w:spacing w:val="4"/>
        </w:rPr>
      </w:pPr>
      <w:r w:rsidRPr="008B6423">
        <w:rPr>
          <w:rFonts w:ascii="Tahoma" w:hAnsi="Tahoma" w:cs="Tahoma"/>
          <w:spacing w:val="4"/>
        </w:rPr>
        <w:lastRenderedPageBreak/>
        <w:t>La apoderada judicial de Porvenir S.A. atacó el fallo arguyendo que el demandante no podía ser acreedor de la pensión enmarcada en el parágrafo primero del artículo 1º de la Ley 860 de 2003, habida consideración que al momento de la estructuración de su invalidez superaba los 20 años descritos en dicho canon</w:t>
      </w:r>
      <w:r w:rsidR="00E8576C" w:rsidRPr="008B6423">
        <w:rPr>
          <w:rFonts w:ascii="Tahoma" w:hAnsi="Tahoma" w:cs="Tahoma"/>
          <w:spacing w:val="4"/>
        </w:rPr>
        <w:t xml:space="preserve">; </w:t>
      </w:r>
      <w:r w:rsidR="005A08D3" w:rsidRPr="008B6423">
        <w:rPr>
          <w:rFonts w:ascii="Tahoma" w:hAnsi="Tahoma" w:cs="Tahoma"/>
          <w:spacing w:val="4"/>
        </w:rPr>
        <w:t xml:space="preserve">por lo que </w:t>
      </w:r>
      <w:r w:rsidRPr="008B6423">
        <w:rPr>
          <w:rFonts w:ascii="Tahoma" w:hAnsi="Tahoma" w:cs="Tahoma"/>
          <w:spacing w:val="4"/>
        </w:rPr>
        <w:t>solicit</w:t>
      </w:r>
      <w:r w:rsidR="00E8576C" w:rsidRPr="008B6423">
        <w:rPr>
          <w:rFonts w:ascii="Tahoma" w:hAnsi="Tahoma" w:cs="Tahoma"/>
          <w:spacing w:val="4"/>
        </w:rPr>
        <w:t xml:space="preserve">a </w:t>
      </w:r>
      <w:r w:rsidRPr="008B6423">
        <w:rPr>
          <w:rFonts w:ascii="Tahoma" w:hAnsi="Tahoma" w:cs="Tahoma"/>
          <w:spacing w:val="4"/>
        </w:rPr>
        <w:t xml:space="preserve">que </w:t>
      </w:r>
      <w:r w:rsidR="00E8576C" w:rsidRPr="008B6423">
        <w:rPr>
          <w:rFonts w:ascii="Tahoma" w:hAnsi="Tahoma" w:cs="Tahoma"/>
          <w:spacing w:val="4"/>
        </w:rPr>
        <w:t xml:space="preserve">se </w:t>
      </w:r>
      <w:r w:rsidRPr="008B6423">
        <w:rPr>
          <w:rFonts w:ascii="Tahoma" w:hAnsi="Tahoma" w:cs="Tahoma"/>
          <w:spacing w:val="4"/>
        </w:rPr>
        <w:t>revo</w:t>
      </w:r>
      <w:r w:rsidR="00E8576C" w:rsidRPr="008B6423">
        <w:rPr>
          <w:rFonts w:ascii="Tahoma" w:hAnsi="Tahoma" w:cs="Tahoma"/>
          <w:spacing w:val="4"/>
        </w:rPr>
        <w:t xml:space="preserve">que </w:t>
      </w:r>
      <w:r w:rsidRPr="008B6423">
        <w:rPr>
          <w:rFonts w:ascii="Tahoma" w:hAnsi="Tahoma" w:cs="Tahoma"/>
          <w:spacing w:val="4"/>
        </w:rPr>
        <w:t>íntegramente la decisión objeto de censura.</w:t>
      </w:r>
    </w:p>
    <w:p w14:paraId="0FB0E83C" w14:textId="10C9F14C" w:rsidR="005B1462" w:rsidRPr="008B6423" w:rsidRDefault="005B1462" w:rsidP="006736AE">
      <w:pPr>
        <w:pStyle w:val="Prrafodelista"/>
        <w:spacing w:line="276" w:lineRule="auto"/>
        <w:ind w:left="0" w:firstLine="709"/>
        <w:jc w:val="both"/>
        <w:rPr>
          <w:rFonts w:ascii="Tahoma" w:hAnsi="Tahoma" w:cs="Tahoma"/>
          <w:spacing w:val="4"/>
        </w:rPr>
      </w:pPr>
    </w:p>
    <w:p w14:paraId="2E3AA1E0" w14:textId="066C7083" w:rsidR="005B1462" w:rsidRPr="008B6423" w:rsidRDefault="005B1462" w:rsidP="006736AE">
      <w:pPr>
        <w:pStyle w:val="Prrafodelista"/>
        <w:spacing w:line="276" w:lineRule="auto"/>
        <w:ind w:left="0" w:firstLine="709"/>
        <w:jc w:val="both"/>
        <w:rPr>
          <w:rFonts w:ascii="Tahoma" w:hAnsi="Tahoma" w:cs="Tahoma"/>
          <w:spacing w:val="4"/>
        </w:rPr>
      </w:pPr>
      <w:r w:rsidRPr="008B6423">
        <w:rPr>
          <w:rFonts w:ascii="Tahoma" w:hAnsi="Tahoma" w:cs="Tahoma"/>
          <w:spacing w:val="4"/>
        </w:rPr>
        <w:t>Por su parte, la togada que representa los intereses de la parte activa de la litis sustentó su inconformidad frente a la negativa de reconocimiento de los intereses moratorios, en el entendido de que la sentencia C-020 de 2015</w:t>
      </w:r>
      <w:r w:rsidR="00095F52" w:rsidRPr="008B6423">
        <w:rPr>
          <w:rFonts w:ascii="Tahoma" w:hAnsi="Tahoma" w:cs="Tahoma"/>
          <w:spacing w:val="4"/>
        </w:rPr>
        <w:t xml:space="preserve"> sentó el alcance regulatorio del parágrafo primero del artículo 1º de la Ley 860 de 2003</w:t>
      </w:r>
      <w:r w:rsidR="005A08D3" w:rsidRPr="008B6423">
        <w:rPr>
          <w:rFonts w:ascii="Tahoma" w:hAnsi="Tahoma" w:cs="Tahoma"/>
          <w:spacing w:val="4"/>
        </w:rPr>
        <w:t xml:space="preserve"> y, por tanto, al ser </w:t>
      </w:r>
      <w:r w:rsidR="00095F52" w:rsidRPr="008B6423">
        <w:rPr>
          <w:rFonts w:ascii="Tahoma" w:hAnsi="Tahoma" w:cs="Tahoma"/>
          <w:spacing w:val="4"/>
        </w:rPr>
        <w:t>sus efectos erga omnes</w:t>
      </w:r>
      <w:r w:rsidR="005A08D3" w:rsidRPr="008B6423">
        <w:rPr>
          <w:rFonts w:ascii="Tahoma" w:hAnsi="Tahoma" w:cs="Tahoma"/>
          <w:spacing w:val="4"/>
        </w:rPr>
        <w:t xml:space="preserve">, era </w:t>
      </w:r>
      <w:r w:rsidR="00095F52" w:rsidRPr="008B6423">
        <w:rPr>
          <w:rFonts w:ascii="Tahoma" w:hAnsi="Tahoma" w:cs="Tahoma"/>
          <w:spacing w:val="4"/>
        </w:rPr>
        <w:t xml:space="preserve">de obligatorio cumplimiento por parte de la AFP demandada, quien debió aplicarla al momento de resolver la solicitud pensional. </w:t>
      </w:r>
    </w:p>
    <w:p w14:paraId="64BDE5E5" w14:textId="77777777" w:rsidR="00D51494" w:rsidRPr="008B6423" w:rsidRDefault="00D51494" w:rsidP="006736AE">
      <w:pPr>
        <w:pStyle w:val="Prrafodelista"/>
        <w:spacing w:line="276" w:lineRule="auto"/>
        <w:ind w:left="0" w:firstLine="709"/>
        <w:jc w:val="both"/>
        <w:rPr>
          <w:rFonts w:ascii="Tahoma" w:hAnsi="Tahoma" w:cs="Tahoma"/>
          <w:spacing w:val="4"/>
        </w:rPr>
      </w:pPr>
    </w:p>
    <w:p w14:paraId="64295F2D" w14:textId="77777777" w:rsidR="00D51494" w:rsidRPr="008B6423" w:rsidRDefault="00D51494" w:rsidP="006736AE">
      <w:pPr>
        <w:pStyle w:val="Prrafodelista"/>
        <w:numPr>
          <w:ilvl w:val="0"/>
          <w:numId w:val="43"/>
        </w:numPr>
        <w:tabs>
          <w:tab w:val="left" w:pos="284"/>
        </w:tabs>
        <w:spacing w:line="276" w:lineRule="auto"/>
        <w:ind w:left="0" w:firstLine="0"/>
        <w:jc w:val="center"/>
        <w:rPr>
          <w:rFonts w:ascii="Tahoma" w:hAnsi="Tahoma" w:cs="Tahoma"/>
          <w:b/>
          <w:spacing w:val="4"/>
        </w:rPr>
      </w:pPr>
      <w:r w:rsidRPr="008B6423">
        <w:rPr>
          <w:rStyle w:val="normaltextrun"/>
          <w:rFonts w:ascii="Tahoma" w:hAnsi="Tahoma" w:cs="Tahoma"/>
          <w:b/>
          <w:bCs/>
          <w:spacing w:val="4"/>
        </w:rPr>
        <w:t>Alegatos de Conclusión/Concepto del Ministerio Público</w:t>
      </w:r>
    </w:p>
    <w:p w14:paraId="22352B26" w14:textId="77777777" w:rsidR="00D51494" w:rsidRPr="008B6423" w:rsidRDefault="00D51494" w:rsidP="006736AE">
      <w:pPr>
        <w:pStyle w:val="paragraph"/>
        <w:spacing w:before="0" w:beforeAutospacing="0" w:after="0" w:afterAutospacing="0" w:line="276" w:lineRule="auto"/>
        <w:jc w:val="center"/>
        <w:textAlignment w:val="baseline"/>
        <w:rPr>
          <w:rFonts w:ascii="Tahoma" w:hAnsi="Tahoma" w:cs="Tahoma"/>
          <w:spacing w:val="4"/>
        </w:rPr>
      </w:pPr>
      <w:r w:rsidRPr="008B6423">
        <w:rPr>
          <w:rStyle w:val="eop"/>
          <w:rFonts w:ascii="Tahoma" w:hAnsi="Tahoma" w:cs="Tahoma"/>
          <w:spacing w:val="4"/>
        </w:rPr>
        <w:t> </w:t>
      </w:r>
    </w:p>
    <w:p w14:paraId="6CC5168F" w14:textId="77777777" w:rsidR="00D51494" w:rsidRPr="008B6423" w:rsidRDefault="00D51494" w:rsidP="006736AE">
      <w:pPr>
        <w:spacing w:line="276" w:lineRule="auto"/>
        <w:ind w:firstLine="708"/>
        <w:jc w:val="both"/>
        <w:rPr>
          <w:rStyle w:val="normaltextrun"/>
          <w:rFonts w:ascii="Tahoma" w:hAnsi="Tahoma" w:cs="Tahoma"/>
          <w:color w:val="000000"/>
          <w:spacing w:val="4"/>
        </w:rPr>
      </w:pPr>
      <w:r w:rsidRPr="008B6423">
        <w:rPr>
          <w:rStyle w:val="normaltextrun"/>
          <w:rFonts w:ascii="Tahoma" w:hAnsi="Tahoma" w:cs="Tahoma"/>
          <w:color w:val="000000"/>
          <w:spacing w:val="4"/>
        </w:rPr>
        <w:t xml:space="preserve">Analizados los alegatos presentados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w:t>
      </w:r>
      <w:r w:rsidRPr="008B6423">
        <w:rPr>
          <w:rStyle w:val="normaltextrun"/>
          <w:rFonts w:ascii="Tahoma" w:hAnsi="Tahoma" w:cs="Tahoma"/>
          <w:spacing w:val="4"/>
        </w:rPr>
        <w:t>el Ministerio Público NO conceptuó en este asunto.</w:t>
      </w:r>
      <w:r w:rsidRPr="008B6423">
        <w:rPr>
          <w:rStyle w:val="normaltextrun"/>
          <w:rFonts w:ascii="Tahoma" w:hAnsi="Tahoma" w:cs="Tahoma"/>
          <w:color w:val="000000"/>
          <w:spacing w:val="4"/>
        </w:rPr>
        <w:t xml:space="preserve"> </w:t>
      </w:r>
    </w:p>
    <w:p w14:paraId="5FFF7045" w14:textId="77777777" w:rsidR="00D51494" w:rsidRPr="008B6423" w:rsidRDefault="00D51494" w:rsidP="006736AE">
      <w:pPr>
        <w:widowControl w:val="0"/>
        <w:autoSpaceDE w:val="0"/>
        <w:autoSpaceDN w:val="0"/>
        <w:adjustRightInd w:val="0"/>
        <w:spacing w:line="276" w:lineRule="auto"/>
        <w:ind w:left="1080"/>
        <w:rPr>
          <w:rFonts w:ascii="Tahoma" w:hAnsi="Tahoma" w:cs="Tahoma"/>
          <w:b/>
          <w:spacing w:val="4"/>
        </w:rPr>
      </w:pPr>
    </w:p>
    <w:p w14:paraId="6582FEE0" w14:textId="77777777" w:rsidR="00D51494" w:rsidRPr="008B6423" w:rsidRDefault="00D51494" w:rsidP="006736AE">
      <w:pPr>
        <w:pStyle w:val="Prrafodelista"/>
        <w:widowControl w:val="0"/>
        <w:numPr>
          <w:ilvl w:val="0"/>
          <w:numId w:val="43"/>
        </w:numPr>
        <w:autoSpaceDE w:val="0"/>
        <w:autoSpaceDN w:val="0"/>
        <w:adjustRightInd w:val="0"/>
        <w:spacing w:line="276" w:lineRule="auto"/>
        <w:jc w:val="center"/>
        <w:rPr>
          <w:rFonts w:ascii="Tahoma" w:hAnsi="Tahoma" w:cs="Tahoma"/>
          <w:b/>
          <w:spacing w:val="4"/>
        </w:rPr>
      </w:pPr>
      <w:r w:rsidRPr="008B6423">
        <w:rPr>
          <w:rFonts w:ascii="Tahoma" w:hAnsi="Tahoma" w:cs="Tahoma"/>
          <w:b/>
          <w:spacing w:val="4"/>
        </w:rPr>
        <w:t>Problema jurídico por resolver</w:t>
      </w:r>
    </w:p>
    <w:p w14:paraId="6D78C238" w14:textId="77777777" w:rsidR="00D51494" w:rsidRPr="008B6423" w:rsidRDefault="00D51494" w:rsidP="006736AE">
      <w:pPr>
        <w:pStyle w:val="Sinespaciado"/>
        <w:spacing w:line="276" w:lineRule="auto"/>
        <w:ind w:left="1080"/>
        <w:rPr>
          <w:rFonts w:ascii="Tahoma" w:hAnsi="Tahoma" w:cs="Tahoma"/>
          <w:spacing w:val="4"/>
        </w:rPr>
      </w:pPr>
    </w:p>
    <w:p w14:paraId="1DF2D824" w14:textId="1ED824C1" w:rsidR="00095F52" w:rsidRPr="008B6423" w:rsidRDefault="00D51494" w:rsidP="006736AE">
      <w:pPr>
        <w:spacing w:line="276" w:lineRule="auto"/>
        <w:ind w:firstLine="708"/>
        <w:jc w:val="both"/>
        <w:rPr>
          <w:rFonts w:ascii="Tahoma" w:hAnsi="Tahoma" w:cs="Tahoma"/>
          <w:spacing w:val="4"/>
        </w:rPr>
      </w:pPr>
      <w:r w:rsidRPr="008B6423">
        <w:rPr>
          <w:rFonts w:ascii="Tahoma" w:hAnsi="Tahoma" w:cs="Tahoma"/>
          <w:spacing w:val="4"/>
        </w:rPr>
        <w:t>De acuerdo a los argumentos expuestos en la sentencia de primera instancia</w:t>
      </w:r>
      <w:r w:rsidR="004E4F0E" w:rsidRPr="008B6423">
        <w:rPr>
          <w:rFonts w:ascii="Tahoma" w:hAnsi="Tahoma" w:cs="Tahoma"/>
          <w:spacing w:val="4"/>
        </w:rPr>
        <w:t xml:space="preserve">, </w:t>
      </w:r>
      <w:r w:rsidRPr="008B6423">
        <w:rPr>
          <w:rFonts w:ascii="Tahoma" w:hAnsi="Tahoma" w:cs="Tahoma"/>
          <w:spacing w:val="4"/>
        </w:rPr>
        <w:t xml:space="preserve">los </w:t>
      </w:r>
      <w:r w:rsidR="004E4F0E" w:rsidRPr="008B6423">
        <w:rPr>
          <w:rFonts w:ascii="Tahoma" w:hAnsi="Tahoma" w:cs="Tahoma"/>
          <w:spacing w:val="4"/>
        </w:rPr>
        <w:t xml:space="preserve">recursos de apelación y los </w:t>
      </w:r>
      <w:r w:rsidRPr="008B6423">
        <w:rPr>
          <w:rFonts w:ascii="Tahoma" w:hAnsi="Tahoma" w:cs="Tahoma"/>
          <w:spacing w:val="4"/>
        </w:rPr>
        <w:t xml:space="preserve">alegatos de conclusión, le corresponde a la Sala determinar </w:t>
      </w:r>
      <w:r w:rsidR="004E4F0E" w:rsidRPr="008B6423">
        <w:rPr>
          <w:rFonts w:ascii="Tahoma" w:hAnsi="Tahoma" w:cs="Tahoma"/>
          <w:spacing w:val="4"/>
        </w:rPr>
        <w:t>lo siguiente: i) S</w:t>
      </w:r>
      <w:r w:rsidR="003758C4" w:rsidRPr="008B6423">
        <w:rPr>
          <w:rFonts w:ascii="Tahoma" w:hAnsi="Tahoma" w:cs="Tahoma"/>
          <w:spacing w:val="4"/>
        </w:rPr>
        <w:t xml:space="preserve">i </w:t>
      </w:r>
      <w:r w:rsidR="00095F52" w:rsidRPr="008B6423">
        <w:rPr>
          <w:rFonts w:ascii="Tahoma" w:hAnsi="Tahoma" w:cs="Tahoma"/>
          <w:spacing w:val="4"/>
        </w:rPr>
        <w:t>en virtud de la sentencia C-020 de 2015, Juan Felipe Pineda Pérez cumple las exigencias para acceder a la pensión de invalidez estipulada en el parágrafo 1º del artículo 1º de la Ley 860 de 2003, modificatorio del artículo 39 de la Ley 100 de 1993.</w:t>
      </w:r>
      <w:r w:rsidR="004E4F0E" w:rsidRPr="008B6423">
        <w:rPr>
          <w:rFonts w:ascii="Tahoma" w:hAnsi="Tahoma" w:cs="Tahoma"/>
          <w:spacing w:val="4"/>
        </w:rPr>
        <w:t xml:space="preserve"> </w:t>
      </w:r>
      <w:proofErr w:type="spellStart"/>
      <w:r w:rsidR="004E4F0E" w:rsidRPr="008B6423">
        <w:rPr>
          <w:rFonts w:ascii="Tahoma" w:hAnsi="Tahoma" w:cs="Tahoma"/>
          <w:spacing w:val="4"/>
        </w:rPr>
        <w:t>ii</w:t>
      </w:r>
      <w:proofErr w:type="spellEnd"/>
      <w:r w:rsidR="004E4F0E" w:rsidRPr="008B6423">
        <w:rPr>
          <w:rFonts w:ascii="Tahoma" w:hAnsi="Tahoma" w:cs="Tahoma"/>
          <w:spacing w:val="4"/>
        </w:rPr>
        <w:t>) En caso positivo, establecer si tiene derecho al pago de los intereses moratorios.</w:t>
      </w:r>
      <w:r w:rsidR="00095F52" w:rsidRPr="008B6423">
        <w:rPr>
          <w:rFonts w:ascii="Tahoma" w:hAnsi="Tahoma" w:cs="Tahoma"/>
          <w:spacing w:val="4"/>
        </w:rPr>
        <w:t xml:space="preserve"> </w:t>
      </w:r>
    </w:p>
    <w:p w14:paraId="77E6314F" w14:textId="369F725B" w:rsidR="00D51494" w:rsidRPr="008B6423" w:rsidRDefault="00095F52" w:rsidP="006736AE">
      <w:pPr>
        <w:spacing w:line="276" w:lineRule="auto"/>
        <w:ind w:firstLine="708"/>
        <w:jc w:val="both"/>
        <w:rPr>
          <w:rFonts w:ascii="Tahoma" w:hAnsi="Tahoma" w:cs="Tahoma"/>
          <w:spacing w:val="4"/>
        </w:rPr>
      </w:pPr>
      <w:r w:rsidRPr="008B6423">
        <w:rPr>
          <w:rFonts w:ascii="Tahoma" w:hAnsi="Tahoma" w:cs="Tahoma"/>
          <w:spacing w:val="4"/>
        </w:rPr>
        <w:t xml:space="preserve"> </w:t>
      </w:r>
    </w:p>
    <w:p w14:paraId="54FEA792" w14:textId="77777777" w:rsidR="00D51494" w:rsidRPr="008B6423" w:rsidRDefault="00D51494" w:rsidP="006736AE">
      <w:pPr>
        <w:widowControl w:val="0"/>
        <w:numPr>
          <w:ilvl w:val="0"/>
          <w:numId w:val="43"/>
        </w:numPr>
        <w:autoSpaceDE w:val="0"/>
        <w:autoSpaceDN w:val="0"/>
        <w:adjustRightInd w:val="0"/>
        <w:spacing w:line="276" w:lineRule="auto"/>
        <w:ind w:hanging="519"/>
        <w:jc w:val="center"/>
        <w:rPr>
          <w:rFonts w:ascii="Tahoma" w:hAnsi="Tahoma" w:cs="Tahoma"/>
          <w:b/>
          <w:spacing w:val="4"/>
        </w:rPr>
      </w:pPr>
      <w:r w:rsidRPr="008B6423">
        <w:rPr>
          <w:rFonts w:ascii="Tahoma" w:hAnsi="Tahoma" w:cs="Tahoma"/>
          <w:b/>
          <w:spacing w:val="4"/>
        </w:rPr>
        <w:t>Consideraciones</w:t>
      </w:r>
    </w:p>
    <w:p w14:paraId="6F0A64F8" w14:textId="77777777" w:rsidR="00D51494" w:rsidRPr="008B6423" w:rsidRDefault="00D51494" w:rsidP="006736AE">
      <w:pPr>
        <w:overflowPunct w:val="0"/>
        <w:autoSpaceDE w:val="0"/>
        <w:autoSpaceDN w:val="0"/>
        <w:adjustRightInd w:val="0"/>
        <w:spacing w:line="276" w:lineRule="auto"/>
        <w:ind w:left="709" w:right="193"/>
        <w:jc w:val="both"/>
        <w:textAlignment w:val="baseline"/>
        <w:rPr>
          <w:rFonts w:ascii="Tahoma" w:hAnsi="Tahoma" w:cs="Tahoma"/>
          <w:i/>
          <w:spacing w:val="4"/>
        </w:rPr>
      </w:pPr>
    </w:p>
    <w:p w14:paraId="7CD06EA2" w14:textId="77777777" w:rsidR="00D51494" w:rsidRPr="008B6423" w:rsidRDefault="00D51494" w:rsidP="006736AE">
      <w:pPr>
        <w:pStyle w:val="Textoindependiente"/>
        <w:numPr>
          <w:ilvl w:val="1"/>
          <w:numId w:val="44"/>
        </w:numPr>
        <w:spacing w:after="0" w:line="276" w:lineRule="auto"/>
        <w:ind w:left="1418" w:right="51"/>
        <w:jc w:val="both"/>
        <w:rPr>
          <w:rFonts w:ascii="Tahoma" w:hAnsi="Tahoma" w:cs="Tahoma"/>
          <w:b/>
          <w:spacing w:val="4"/>
        </w:rPr>
      </w:pPr>
      <w:r w:rsidRPr="008B6423">
        <w:rPr>
          <w:rFonts w:ascii="Tahoma" w:hAnsi="Tahoma" w:cs="Tahoma"/>
          <w:b/>
          <w:spacing w:val="4"/>
        </w:rPr>
        <w:t xml:space="preserve">Caso concreto </w:t>
      </w:r>
    </w:p>
    <w:p w14:paraId="63313675" w14:textId="0BB0F59F" w:rsidR="00D51494" w:rsidRPr="008B6423" w:rsidRDefault="00D51494" w:rsidP="006736AE">
      <w:pPr>
        <w:pStyle w:val="Prrafodelista"/>
        <w:tabs>
          <w:tab w:val="left" w:pos="0"/>
        </w:tabs>
        <w:spacing w:line="276" w:lineRule="auto"/>
        <w:ind w:left="450"/>
        <w:jc w:val="both"/>
        <w:rPr>
          <w:rFonts w:ascii="Tahoma" w:hAnsi="Tahoma" w:cs="Tahoma"/>
          <w:color w:val="FF0000"/>
          <w:spacing w:val="4"/>
        </w:rPr>
      </w:pPr>
    </w:p>
    <w:p w14:paraId="0C8CFA68" w14:textId="77777777" w:rsidR="00095F52" w:rsidRPr="008B6423" w:rsidRDefault="00095F52" w:rsidP="006231CD">
      <w:pPr>
        <w:tabs>
          <w:tab w:val="left" w:pos="0"/>
        </w:tabs>
        <w:spacing w:line="276" w:lineRule="auto"/>
        <w:jc w:val="both"/>
        <w:rPr>
          <w:rFonts w:ascii="Tahoma" w:hAnsi="Tahoma" w:cs="Tahoma"/>
          <w:spacing w:val="4"/>
        </w:rPr>
      </w:pPr>
      <w:r w:rsidRPr="008B6423">
        <w:rPr>
          <w:rFonts w:ascii="Tahoma" w:hAnsi="Tahoma" w:cs="Tahoma"/>
          <w:spacing w:val="4"/>
        </w:rPr>
        <w:t xml:space="preserve">No existe discusión alguna en el presente asunto respecto de los siguientes hechos: </w:t>
      </w:r>
    </w:p>
    <w:p w14:paraId="1DF0F394" w14:textId="77777777" w:rsidR="00095F52" w:rsidRPr="008B6423" w:rsidRDefault="00095F52" w:rsidP="006736AE">
      <w:pPr>
        <w:pStyle w:val="Prrafodelista"/>
        <w:tabs>
          <w:tab w:val="left" w:pos="0"/>
        </w:tabs>
        <w:spacing w:line="276" w:lineRule="auto"/>
        <w:ind w:left="450"/>
        <w:jc w:val="both"/>
        <w:rPr>
          <w:rFonts w:ascii="Tahoma" w:hAnsi="Tahoma" w:cs="Tahoma"/>
          <w:spacing w:val="4"/>
        </w:rPr>
      </w:pPr>
    </w:p>
    <w:p w14:paraId="2DD59C87" w14:textId="77777777" w:rsidR="008C6718" w:rsidRPr="008B6423" w:rsidRDefault="00095F52" w:rsidP="006736AE">
      <w:pPr>
        <w:pStyle w:val="Prrafodelista"/>
        <w:tabs>
          <w:tab w:val="left" w:pos="0"/>
        </w:tabs>
        <w:spacing w:line="276" w:lineRule="auto"/>
        <w:ind w:left="450"/>
        <w:jc w:val="both"/>
        <w:rPr>
          <w:rFonts w:ascii="Tahoma" w:hAnsi="Tahoma" w:cs="Tahoma"/>
          <w:spacing w:val="4"/>
        </w:rPr>
      </w:pPr>
      <w:r w:rsidRPr="008B6423">
        <w:rPr>
          <w:rFonts w:ascii="Tahoma" w:hAnsi="Tahoma" w:cs="Tahoma"/>
          <w:spacing w:val="4"/>
        </w:rPr>
        <w:t xml:space="preserve">1º. Que el Grupo Interdisciplinario de Calificación de la Pérdida de Capacidad Laboral de Seguros de Vida Alfa S.A., mediante dictamen del 12 de </w:t>
      </w:r>
      <w:r w:rsidR="005A08D3" w:rsidRPr="008B6423">
        <w:rPr>
          <w:rFonts w:ascii="Tahoma" w:hAnsi="Tahoma" w:cs="Tahoma"/>
          <w:spacing w:val="4"/>
        </w:rPr>
        <w:t>marzo de 2017</w:t>
      </w:r>
      <w:r w:rsidRPr="008B6423">
        <w:rPr>
          <w:rFonts w:ascii="Tahoma" w:hAnsi="Tahoma" w:cs="Tahoma"/>
          <w:spacing w:val="4"/>
        </w:rPr>
        <w:t xml:space="preserve"> (</w:t>
      </w:r>
      <w:proofErr w:type="spellStart"/>
      <w:r w:rsidRPr="008B6423">
        <w:rPr>
          <w:rFonts w:ascii="Tahoma" w:hAnsi="Tahoma" w:cs="Tahoma"/>
          <w:spacing w:val="4"/>
        </w:rPr>
        <w:t>fl</w:t>
      </w:r>
      <w:proofErr w:type="spellEnd"/>
      <w:r w:rsidRPr="008B6423">
        <w:rPr>
          <w:rFonts w:ascii="Tahoma" w:hAnsi="Tahoma" w:cs="Tahoma"/>
          <w:spacing w:val="4"/>
        </w:rPr>
        <w:t xml:space="preserve">. </w:t>
      </w:r>
      <w:r w:rsidR="005A08D3" w:rsidRPr="008B6423">
        <w:rPr>
          <w:rFonts w:ascii="Tahoma" w:hAnsi="Tahoma" w:cs="Tahoma"/>
          <w:spacing w:val="4"/>
        </w:rPr>
        <w:t>35</w:t>
      </w:r>
      <w:r w:rsidRPr="008B6423">
        <w:rPr>
          <w:rFonts w:ascii="Tahoma" w:hAnsi="Tahoma" w:cs="Tahoma"/>
          <w:spacing w:val="4"/>
        </w:rPr>
        <w:t>),</w:t>
      </w:r>
      <w:r w:rsidR="005A08D3" w:rsidRPr="008B6423">
        <w:rPr>
          <w:rFonts w:ascii="Tahoma" w:hAnsi="Tahoma" w:cs="Tahoma"/>
          <w:spacing w:val="4"/>
        </w:rPr>
        <w:t xml:space="preserve"> </w:t>
      </w:r>
      <w:r w:rsidRPr="008B6423">
        <w:rPr>
          <w:rFonts w:ascii="Tahoma" w:hAnsi="Tahoma" w:cs="Tahoma"/>
          <w:spacing w:val="4"/>
        </w:rPr>
        <w:t>determinó que el señor J</w:t>
      </w:r>
      <w:r w:rsidR="005A08D3" w:rsidRPr="008B6423">
        <w:rPr>
          <w:rFonts w:ascii="Tahoma" w:hAnsi="Tahoma" w:cs="Tahoma"/>
          <w:spacing w:val="4"/>
        </w:rPr>
        <w:t xml:space="preserve">uan Felipe Pineda Pérez </w:t>
      </w:r>
      <w:r w:rsidRPr="008B6423">
        <w:rPr>
          <w:rFonts w:ascii="Tahoma" w:hAnsi="Tahoma" w:cs="Tahoma"/>
          <w:spacing w:val="4"/>
        </w:rPr>
        <w:t xml:space="preserve">presenta una pérdida de capacidad laboral del </w:t>
      </w:r>
      <w:r w:rsidR="005A08D3" w:rsidRPr="008B6423">
        <w:rPr>
          <w:rFonts w:ascii="Tahoma" w:hAnsi="Tahoma" w:cs="Tahoma"/>
          <w:spacing w:val="4"/>
        </w:rPr>
        <w:t>77</w:t>
      </w:r>
      <w:r w:rsidRPr="008B6423">
        <w:rPr>
          <w:rFonts w:ascii="Tahoma" w:hAnsi="Tahoma" w:cs="Tahoma"/>
          <w:spacing w:val="4"/>
        </w:rPr>
        <w:t>.</w:t>
      </w:r>
      <w:r w:rsidR="005A08D3" w:rsidRPr="008B6423">
        <w:rPr>
          <w:rFonts w:ascii="Tahoma" w:hAnsi="Tahoma" w:cs="Tahoma"/>
          <w:spacing w:val="4"/>
        </w:rPr>
        <w:t>12</w:t>
      </w:r>
      <w:r w:rsidRPr="008B6423">
        <w:rPr>
          <w:rFonts w:ascii="Tahoma" w:hAnsi="Tahoma" w:cs="Tahoma"/>
          <w:spacing w:val="4"/>
        </w:rPr>
        <w:t xml:space="preserve">%, de origen común y con fecha de estructuración </w:t>
      </w:r>
      <w:r w:rsidR="008C6718" w:rsidRPr="008B6423">
        <w:rPr>
          <w:rFonts w:ascii="Tahoma" w:hAnsi="Tahoma" w:cs="Tahoma"/>
          <w:spacing w:val="4"/>
        </w:rPr>
        <w:t>20 de enero de 2017</w:t>
      </w:r>
      <w:r w:rsidRPr="008B6423">
        <w:rPr>
          <w:rFonts w:ascii="Tahoma" w:hAnsi="Tahoma" w:cs="Tahoma"/>
          <w:spacing w:val="4"/>
        </w:rPr>
        <w:t>.</w:t>
      </w:r>
    </w:p>
    <w:p w14:paraId="4C1D4126" w14:textId="77777777" w:rsidR="008C6718" w:rsidRPr="008B6423" w:rsidRDefault="008C6718" w:rsidP="006736AE">
      <w:pPr>
        <w:pStyle w:val="Prrafodelista"/>
        <w:tabs>
          <w:tab w:val="left" w:pos="0"/>
        </w:tabs>
        <w:spacing w:line="276" w:lineRule="auto"/>
        <w:ind w:left="450"/>
        <w:jc w:val="both"/>
        <w:rPr>
          <w:rFonts w:ascii="Tahoma" w:hAnsi="Tahoma" w:cs="Tahoma"/>
          <w:spacing w:val="4"/>
        </w:rPr>
      </w:pPr>
    </w:p>
    <w:p w14:paraId="5B63AEA7" w14:textId="5C5EAE7C" w:rsidR="00095F52" w:rsidRPr="008B6423" w:rsidRDefault="00095F52" w:rsidP="006736AE">
      <w:pPr>
        <w:pStyle w:val="Prrafodelista"/>
        <w:tabs>
          <w:tab w:val="left" w:pos="0"/>
        </w:tabs>
        <w:spacing w:line="276" w:lineRule="auto"/>
        <w:ind w:left="450"/>
        <w:jc w:val="both"/>
        <w:rPr>
          <w:rFonts w:ascii="Tahoma" w:hAnsi="Tahoma" w:cs="Tahoma"/>
          <w:spacing w:val="4"/>
        </w:rPr>
      </w:pPr>
      <w:r w:rsidRPr="008B6423">
        <w:rPr>
          <w:rFonts w:ascii="Tahoma" w:hAnsi="Tahoma" w:cs="Tahoma"/>
          <w:spacing w:val="4"/>
        </w:rPr>
        <w:t xml:space="preserve">2º. Que la administradora de fondos de pensiones PORVENIR S.A., mediante oficio </w:t>
      </w:r>
      <w:r w:rsidR="00013441" w:rsidRPr="008B6423">
        <w:rPr>
          <w:rFonts w:ascii="Tahoma" w:hAnsi="Tahoma" w:cs="Tahoma"/>
          <w:spacing w:val="4"/>
        </w:rPr>
        <w:t xml:space="preserve">579 </w:t>
      </w:r>
      <w:r w:rsidRPr="008B6423">
        <w:rPr>
          <w:rFonts w:ascii="Tahoma" w:hAnsi="Tahoma" w:cs="Tahoma"/>
          <w:spacing w:val="4"/>
        </w:rPr>
        <w:t>(</w:t>
      </w:r>
      <w:proofErr w:type="spellStart"/>
      <w:r w:rsidRPr="008B6423">
        <w:rPr>
          <w:rFonts w:ascii="Tahoma" w:hAnsi="Tahoma" w:cs="Tahoma"/>
          <w:spacing w:val="4"/>
        </w:rPr>
        <w:t>fl</w:t>
      </w:r>
      <w:proofErr w:type="spellEnd"/>
      <w:r w:rsidRPr="008B6423">
        <w:rPr>
          <w:rFonts w:ascii="Tahoma" w:hAnsi="Tahoma" w:cs="Tahoma"/>
          <w:spacing w:val="4"/>
        </w:rPr>
        <w:t xml:space="preserve">. </w:t>
      </w:r>
      <w:r w:rsidR="00013441" w:rsidRPr="008B6423">
        <w:rPr>
          <w:rFonts w:ascii="Tahoma" w:hAnsi="Tahoma" w:cs="Tahoma"/>
          <w:spacing w:val="4"/>
        </w:rPr>
        <w:t>51</w:t>
      </w:r>
      <w:r w:rsidRPr="008B6423">
        <w:rPr>
          <w:rFonts w:ascii="Tahoma" w:hAnsi="Tahoma" w:cs="Tahoma"/>
          <w:spacing w:val="4"/>
        </w:rPr>
        <w:t>), le negó la solicitud de pensión de invalidez por no cumplir con el requisito de las 50 semanas de cotizaciones dentro de los 3 años anteriores a la estructuración.</w:t>
      </w:r>
    </w:p>
    <w:p w14:paraId="46E4D00E" w14:textId="530E78F5" w:rsidR="00095F52" w:rsidRPr="008B6423" w:rsidRDefault="00095F52" w:rsidP="006736AE">
      <w:pPr>
        <w:pStyle w:val="Prrafodelista"/>
        <w:tabs>
          <w:tab w:val="left" w:pos="0"/>
        </w:tabs>
        <w:spacing w:line="276" w:lineRule="auto"/>
        <w:ind w:left="450"/>
        <w:jc w:val="both"/>
        <w:rPr>
          <w:rFonts w:ascii="Tahoma" w:hAnsi="Tahoma" w:cs="Tahoma"/>
          <w:color w:val="FF0000"/>
          <w:spacing w:val="4"/>
        </w:rPr>
      </w:pPr>
    </w:p>
    <w:p w14:paraId="7FF62B42" w14:textId="28991509" w:rsidR="00095F52" w:rsidRPr="008B6423" w:rsidRDefault="00095F52" w:rsidP="006736AE">
      <w:pPr>
        <w:pStyle w:val="Prrafodelista"/>
        <w:tabs>
          <w:tab w:val="left" w:pos="0"/>
        </w:tabs>
        <w:spacing w:line="276" w:lineRule="auto"/>
        <w:ind w:left="450"/>
        <w:jc w:val="both"/>
        <w:rPr>
          <w:rFonts w:ascii="Tahoma" w:hAnsi="Tahoma" w:cs="Tahoma"/>
          <w:color w:val="FF0000"/>
          <w:spacing w:val="4"/>
        </w:rPr>
      </w:pPr>
      <w:r w:rsidRPr="008B6423">
        <w:rPr>
          <w:rFonts w:ascii="Tahoma" w:hAnsi="Tahoma" w:cs="Tahoma"/>
          <w:spacing w:val="4"/>
        </w:rPr>
        <w:t xml:space="preserve">3º. Que el señor </w:t>
      </w:r>
      <w:r w:rsidR="007A5038" w:rsidRPr="008B6423">
        <w:rPr>
          <w:rFonts w:ascii="Tahoma" w:hAnsi="Tahoma" w:cs="Tahoma"/>
          <w:spacing w:val="4"/>
        </w:rPr>
        <w:t xml:space="preserve">Pineda </w:t>
      </w:r>
      <w:r w:rsidR="004E4F0E" w:rsidRPr="008B6423">
        <w:rPr>
          <w:rFonts w:ascii="Tahoma" w:hAnsi="Tahoma" w:cs="Tahoma"/>
          <w:spacing w:val="4"/>
        </w:rPr>
        <w:t>Pérez</w:t>
      </w:r>
      <w:r w:rsidR="007A5038" w:rsidRPr="008B6423">
        <w:rPr>
          <w:rFonts w:ascii="Tahoma" w:hAnsi="Tahoma" w:cs="Tahoma"/>
          <w:spacing w:val="4"/>
        </w:rPr>
        <w:t xml:space="preserve"> </w:t>
      </w:r>
      <w:r w:rsidRPr="008B6423">
        <w:rPr>
          <w:rFonts w:ascii="Tahoma" w:hAnsi="Tahoma" w:cs="Tahoma"/>
          <w:spacing w:val="4"/>
        </w:rPr>
        <w:t xml:space="preserve">se afilió al sistema general de pensiones a través de la AFP PORVENIR S.A., el día </w:t>
      </w:r>
      <w:r w:rsidR="00013441" w:rsidRPr="008B6423">
        <w:rPr>
          <w:rFonts w:ascii="Tahoma" w:hAnsi="Tahoma" w:cs="Tahoma"/>
          <w:spacing w:val="4"/>
        </w:rPr>
        <w:t>24 de febrero de 2015</w:t>
      </w:r>
      <w:r w:rsidRPr="008B6423">
        <w:rPr>
          <w:rFonts w:ascii="Tahoma" w:hAnsi="Tahoma" w:cs="Tahoma"/>
          <w:spacing w:val="4"/>
        </w:rPr>
        <w:t xml:space="preserve"> y acredita un total de 1</w:t>
      </w:r>
      <w:r w:rsidR="00013441" w:rsidRPr="008B6423">
        <w:rPr>
          <w:rFonts w:ascii="Tahoma" w:hAnsi="Tahoma" w:cs="Tahoma"/>
          <w:spacing w:val="4"/>
        </w:rPr>
        <w:t>32</w:t>
      </w:r>
      <w:r w:rsidRPr="008B6423">
        <w:rPr>
          <w:rFonts w:ascii="Tahoma" w:hAnsi="Tahoma" w:cs="Tahoma"/>
          <w:spacing w:val="4"/>
        </w:rPr>
        <w:t>,</w:t>
      </w:r>
      <w:r w:rsidR="00013441" w:rsidRPr="008B6423">
        <w:rPr>
          <w:rFonts w:ascii="Tahoma" w:hAnsi="Tahoma" w:cs="Tahoma"/>
          <w:spacing w:val="4"/>
        </w:rPr>
        <w:t>85</w:t>
      </w:r>
      <w:r w:rsidRPr="008B6423">
        <w:rPr>
          <w:rFonts w:ascii="Tahoma" w:hAnsi="Tahoma" w:cs="Tahoma"/>
          <w:spacing w:val="4"/>
        </w:rPr>
        <w:t xml:space="preserve"> semanas, de las cuales </w:t>
      </w:r>
      <w:r w:rsidR="00013441" w:rsidRPr="008B6423">
        <w:rPr>
          <w:rFonts w:ascii="Tahoma" w:hAnsi="Tahoma" w:cs="Tahoma"/>
          <w:spacing w:val="4"/>
        </w:rPr>
        <w:t>4</w:t>
      </w:r>
      <w:r w:rsidRPr="008B6423">
        <w:rPr>
          <w:rFonts w:ascii="Tahoma" w:hAnsi="Tahoma" w:cs="Tahoma"/>
          <w:spacing w:val="4"/>
        </w:rPr>
        <w:t>5,</w:t>
      </w:r>
      <w:r w:rsidR="007A5038" w:rsidRPr="008B6423">
        <w:rPr>
          <w:rFonts w:ascii="Tahoma" w:hAnsi="Tahoma" w:cs="Tahoma"/>
          <w:spacing w:val="4"/>
        </w:rPr>
        <w:t>57</w:t>
      </w:r>
      <w:r w:rsidRPr="008B6423">
        <w:rPr>
          <w:rFonts w:ascii="Tahoma" w:hAnsi="Tahoma" w:cs="Tahoma"/>
          <w:spacing w:val="4"/>
        </w:rPr>
        <w:t xml:space="preserve"> corresponden a los 3 años anteriores a la fecha de estructuración de la invalidez. En ese orden de ideas, surge evidente que, tal y como lo consideró la administradora de pensiones y lo avaló la juez</w:t>
      </w:r>
      <w:r w:rsidR="004E4F0E" w:rsidRPr="008B6423">
        <w:rPr>
          <w:rFonts w:ascii="Tahoma" w:hAnsi="Tahoma" w:cs="Tahoma"/>
          <w:spacing w:val="4"/>
        </w:rPr>
        <w:t>a</w:t>
      </w:r>
      <w:r w:rsidRPr="008B6423">
        <w:rPr>
          <w:rFonts w:ascii="Tahoma" w:hAnsi="Tahoma" w:cs="Tahoma"/>
          <w:spacing w:val="4"/>
        </w:rPr>
        <w:t xml:space="preserve"> de primer grado, el </w:t>
      </w:r>
      <w:r w:rsidR="00CC111B" w:rsidRPr="008B6423">
        <w:rPr>
          <w:rFonts w:ascii="Tahoma" w:hAnsi="Tahoma" w:cs="Tahoma"/>
          <w:spacing w:val="4"/>
        </w:rPr>
        <w:t xml:space="preserve">promotor de la litis </w:t>
      </w:r>
      <w:r w:rsidRPr="008B6423">
        <w:rPr>
          <w:rFonts w:ascii="Tahoma" w:hAnsi="Tahoma" w:cs="Tahoma"/>
          <w:spacing w:val="4"/>
        </w:rPr>
        <w:t>no cumple con el requisito de las 50 semanas exigidas por el artículo 39 de la Ley 100 de 1993, modificado por el artículo 1º de la Ley 860 de 2003.</w:t>
      </w:r>
    </w:p>
    <w:p w14:paraId="4D0F38FB" w14:textId="08B799CD" w:rsidR="00095F52" w:rsidRPr="008B6423" w:rsidRDefault="00095F52" w:rsidP="006736AE">
      <w:pPr>
        <w:pStyle w:val="Prrafodelista"/>
        <w:tabs>
          <w:tab w:val="left" w:pos="0"/>
        </w:tabs>
        <w:spacing w:line="276" w:lineRule="auto"/>
        <w:ind w:left="450"/>
        <w:jc w:val="both"/>
        <w:rPr>
          <w:rFonts w:ascii="Tahoma" w:hAnsi="Tahoma" w:cs="Tahoma"/>
          <w:color w:val="FF0000"/>
          <w:spacing w:val="4"/>
        </w:rPr>
      </w:pPr>
    </w:p>
    <w:p w14:paraId="0693FDF5" w14:textId="55046A6B" w:rsidR="00095F52" w:rsidRPr="008B6423" w:rsidRDefault="00095F52" w:rsidP="006736AE">
      <w:pPr>
        <w:pStyle w:val="Prrafodelista"/>
        <w:tabs>
          <w:tab w:val="left" w:pos="0"/>
        </w:tabs>
        <w:spacing w:line="276" w:lineRule="auto"/>
        <w:ind w:left="0" w:firstLine="561"/>
        <w:jc w:val="both"/>
        <w:rPr>
          <w:rFonts w:ascii="Tahoma" w:hAnsi="Tahoma" w:cs="Tahoma"/>
          <w:color w:val="FF0000"/>
          <w:spacing w:val="4"/>
        </w:rPr>
      </w:pPr>
      <w:r w:rsidRPr="008B6423">
        <w:rPr>
          <w:rFonts w:ascii="Tahoma" w:hAnsi="Tahoma" w:cs="Tahoma"/>
          <w:spacing w:val="4"/>
        </w:rPr>
        <w:t xml:space="preserve">Sin embargo, le corresponde a esta Corporación determinar si el actor tiene derecho a la pensión de invalidez de conformidad con la excepción consagrada en el parágrafo 1º del </w:t>
      </w:r>
      <w:r w:rsidR="007A5038" w:rsidRPr="008B6423">
        <w:rPr>
          <w:rFonts w:ascii="Tahoma" w:hAnsi="Tahoma" w:cs="Tahoma"/>
          <w:spacing w:val="4"/>
        </w:rPr>
        <w:t xml:space="preserve">artículo 1º de la Ley 860 de 2003, modificatorio del </w:t>
      </w:r>
      <w:r w:rsidRPr="008B6423">
        <w:rPr>
          <w:rFonts w:ascii="Tahoma" w:hAnsi="Tahoma" w:cs="Tahoma"/>
          <w:spacing w:val="4"/>
        </w:rPr>
        <w:t>artículo 39 de la Ley 100 de 1993.</w:t>
      </w:r>
    </w:p>
    <w:p w14:paraId="44D328C2" w14:textId="33EA979D" w:rsidR="00095F52" w:rsidRPr="008B6423" w:rsidRDefault="00095F52" w:rsidP="006736AE">
      <w:pPr>
        <w:pStyle w:val="Prrafodelista"/>
        <w:tabs>
          <w:tab w:val="left" w:pos="0"/>
        </w:tabs>
        <w:spacing w:line="276" w:lineRule="auto"/>
        <w:ind w:left="450"/>
        <w:jc w:val="both"/>
        <w:rPr>
          <w:rFonts w:ascii="Tahoma" w:hAnsi="Tahoma" w:cs="Tahoma"/>
          <w:color w:val="FF0000"/>
          <w:spacing w:val="4"/>
        </w:rPr>
      </w:pPr>
    </w:p>
    <w:p w14:paraId="49C7235F" w14:textId="660D8A36" w:rsidR="00095F52" w:rsidRPr="008B6423" w:rsidRDefault="00095F52" w:rsidP="006736AE">
      <w:pPr>
        <w:pStyle w:val="Textoindependiente"/>
        <w:numPr>
          <w:ilvl w:val="1"/>
          <w:numId w:val="44"/>
        </w:numPr>
        <w:spacing w:after="0" w:line="276" w:lineRule="auto"/>
        <w:ind w:left="1418" w:right="51"/>
        <w:jc w:val="both"/>
        <w:rPr>
          <w:rFonts w:ascii="Tahoma" w:hAnsi="Tahoma" w:cs="Tahoma"/>
          <w:b/>
          <w:spacing w:val="4"/>
        </w:rPr>
      </w:pPr>
      <w:r w:rsidRPr="008B6423">
        <w:rPr>
          <w:rFonts w:ascii="Tahoma" w:hAnsi="Tahoma" w:cs="Tahoma"/>
          <w:b/>
          <w:spacing w:val="4"/>
        </w:rPr>
        <w:t>Alcances de la pensión de invalidez consagrada para los jóvenes</w:t>
      </w:r>
    </w:p>
    <w:p w14:paraId="617B773A" w14:textId="5899DA10" w:rsidR="00095F52" w:rsidRPr="008B6423" w:rsidRDefault="00095F52" w:rsidP="006736AE">
      <w:pPr>
        <w:pStyle w:val="Prrafodelista"/>
        <w:tabs>
          <w:tab w:val="left" w:pos="0"/>
        </w:tabs>
        <w:spacing w:line="276" w:lineRule="auto"/>
        <w:ind w:left="450"/>
        <w:jc w:val="both"/>
        <w:rPr>
          <w:rFonts w:ascii="Tahoma" w:hAnsi="Tahoma" w:cs="Tahoma"/>
          <w:color w:val="FF0000"/>
          <w:spacing w:val="4"/>
        </w:rPr>
      </w:pPr>
    </w:p>
    <w:p w14:paraId="3BA6EAFF" w14:textId="77777777" w:rsidR="007A5038" w:rsidRPr="008B6423" w:rsidRDefault="007A5038" w:rsidP="006736AE">
      <w:pPr>
        <w:pStyle w:val="Prrafodelista"/>
        <w:tabs>
          <w:tab w:val="left" w:pos="0"/>
        </w:tabs>
        <w:spacing w:line="276" w:lineRule="auto"/>
        <w:ind w:left="0" w:firstLine="561"/>
        <w:jc w:val="both"/>
        <w:rPr>
          <w:rFonts w:ascii="Tahoma" w:hAnsi="Tahoma" w:cs="Tahoma"/>
          <w:spacing w:val="4"/>
        </w:rPr>
      </w:pPr>
      <w:r w:rsidRPr="008B6423">
        <w:rPr>
          <w:rFonts w:ascii="Tahoma" w:hAnsi="Tahoma" w:cs="Tahoma"/>
          <w:spacing w:val="4"/>
        </w:rPr>
        <w:tab/>
      </w:r>
      <w:r w:rsidR="00095F52" w:rsidRPr="008B6423">
        <w:rPr>
          <w:rFonts w:ascii="Tahoma" w:hAnsi="Tahoma" w:cs="Tahoma"/>
          <w:spacing w:val="4"/>
        </w:rPr>
        <w:t xml:space="preserve">El artículo 39 de la Ley 100 de 1993, modificado por el artículo 1º de la Ley 860 de 2003, consagra como regla general para acceder a la pensión de invalidez, la exigencia de un total de 50 semanas de cotización dentro de los 3 años anteriores a la fecha de estructuración. Sin embargo, el parágrafo 1º de esta norma establece una excepción a dicho requisito en los siguientes términos: </w:t>
      </w:r>
      <w:r w:rsidR="00095F52" w:rsidRPr="008B6423">
        <w:rPr>
          <w:rFonts w:ascii="Tahoma" w:hAnsi="Tahoma" w:cs="Tahoma"/>
          <w:i/>
          <w:spacing w:val="4"/>
        </w:rPr>
        <w:t>“</w:t>
      </w:r>
      <w:r w:rsidR="00095F52" w:rsidRPr="008B6423">
        <w:rPr>
          <w:rFonts w:ascii="Tahoma" w:hAnsi="Tahoma" w:cs="Tahoma"/>
          <w:i/>
          <w:spacing w:val="4"/>
          <w:sz w:val="22"/>
        </w:rPr>
        <w:t>Los menores de 20 años de edad sólo deberán acreditar que han cotizado 26 semanas en el último año inmediatamente anterior al hecho causante de su invalidez o su declaratoria</w:t>
      </w:r>
      <w:r w:rsidR="00095F52" w:rsidRPr="008B6423">
        <w:rPr>
          <w:rFonts w:ascii="Tahoma" w:hAnsi="Tahoma" w:cs="Tahoma"/>
          <w:i/>
          <w:spacing w:val="4"/>
        </w:rPr>
        <w:t>”.</w:t>
      </w:r>
      <w:r w:rsidR="00095F52" w:rsidRPr="008B6423">
        <w:rPr>
          <w:rFonts w:ascii="Tahoma" w:hAnsi="Tahoma" w:cs="Tahoma"/>
          <w:spacing w:val="4"/>
        </w:rPr>
        <w:t xml:space="preserve"> </w:t>
      </w:r>
    </w:p>
    <w:p w14:paraId="349FC93D" w14:textId="77777777" w:rsidR="007A5038" w:rsidRPr="008B6423" w:rsidRDefault="007A5038" w:rsidP="006736AE">
      <w:pPr>
        <w:pStyle w:val="Prrafodelista"/>
        <w:tabs>
          <w:tab w:val="left" w:pos="0"/>
        </w:tabs>
        <w:spacing w:line="276" w:lineRule="auto"/>
        <w:ind w:left="0" w:firstLine="561"/>
        <w:jc w:val="both"/>
        <w:rPr>
          <w:rFonts w:ascii="Tahoma" w:hAnsi="Tahoma" w:cs="Tahoma"/>
          <w:spacing w:val="4"/>
        </w:rPr>
      </w:pPr>
    </w:p>
    <w:p w14:paraId="752AAD95" w14:textId="77777777" w:rsidR="007A5038" w:rsidRPr="008B6423" w:rsidRDefault="00095F52" w:rsidP="006736AE">
      <w:pPr>
        <w:pStyle w:val="Prrafodelista"/>
        <w:tabs>
          <w:tab w:val="left" w:pos="0"/>
        </w:tabs>
        <w:spacing w:line="276" w:lineRule="auto"/>
        <w:ind w:left="0" w:firstLine="561"/>
        <w:jc w:val="both"/>
        <w:rPr>
          <w:rFonts w:ascii="Tahoma" w:hAnsi="Tahoma" w:cs="Tahoma"/>
          <w:spacing w:val="4"/>
        </w:rPr>
      </w:pPr>
      <w:r w:rsidRPr="008B6423">
        <w:rPr>
          <w:rFonts w:ascii="Tahoma" w:hAnsi="Tahoma" w:cs="Tahoma"/>
          <w:spacing w:val="4"/>
        </w:rPr>
        <w:t xml:space="preserve">De acuerdo con el texto de dicho parágrafo, el legislador le quiso dar una protección especial a un segmento de la población joven que se encuentra haciendo el tránsito de la vida estudiantil a la laboral y estableció una prerrogativa a los menores de 20 años de edad para acceder a la pensión de invalidez, que solo tienen que acreditar 26 semanas en el último año antes de la fecha de estructuración de la invalidez o, incluso, en el último año antes del dictamen. </w:t>
      </w:r>
    </w:p>
    <w:p w14:paraId="490962F8" w14:textId="77777777" w:rsidR="007A5038" w:rsidRPr="008B6423" w:rsidRDefault="007A5038" w:rsidP="006736AE">
      <w:pPr>
        <w:pStyle w:val="Prrafodelista"/>
        <w:tabs>
          <w:tab w:val="left" w:pos="0"/>
        </w:tabs>
        <w:spacing w:line="276" w:lineRule="auto"/>
        <w:ind w:left="0" w:firstLine="561"/>
        <w:jc w:val="both"/>
        <w:rPr>
          <w:rFonts w:ascii="Tahoma" w:hAnsi="Tahoma" w:cs="Tahoma"/>
          <w:spacing w:val="4"/>
        </w:rPr>
      </w:pPr>
    </w:p>
    <w:p w14:paraId="4E4342EA" w14:textId="77777777" w:rsidR="007A5038" w:rsidRPr="008B6423" w:rsidRDefault="00095F52" w:rsidP="006736AE">
      <w:pPr>
        <w:pStyle w:val="Prrafodelista"/>
        <w:tabs>
          <w:tab w:val="left" w:pos="0"/>
        </w:tabs>
        <w:spacing w:line="276" w:lineRule="auto"/>
        <w:ind w:left="0" w:firstLine="561"/>
        <w:jc w:val="both"/>
        <w:rPr>
          <w:rFonts w:ascii="Tahoma" w:hAnsi="Tahoma" w:cs="Tahoma"/>
          <w:spacing w:val="4"/>
        </w:rPr>
      </w:pPr>
      <w:r w:rsidRPr="008B6423">
        <w:rPr>
          <w:rFonts w:ascii="Tahoma" w:hAnsi="Tahoma" w:cs="Tahoma"/>
          <w:spacing w:val="4"/>
        </w:rPr>
        <w:t xml:space="preserve">Ahora, la Corte Constitucional, al evaluar los alcances de dicho parágrafo en sede de tutela </w:t>
      </w:r>
      <w:r w:rsidRPr="008B6423">
        <w:rPr>
          <w:rFonts w:ascii="Tahoma" w:hAnsi="Tahoma" w:cs="Tahoma"/>
          <w:i/>
          <w:spacing w:val="4"/>
        </w:rPr>
        <w:t xml:space="preserve">-específicamente desde la sentencia T-777 de 2009, M.P. Dr. Jorge Iván Palacio </w:t>
      </w:r>
      <w:proofErr w:type="spellStart"/>
      <w:r w:rsidRPr="008B6423">
        <w:rPr>
          <w:rFonts w:ascii="Tahoma" w:hAnsi="Tahoma" w:cs="Tahoma"/>
          <w:i/>
          <w:spacing w:val="4"/>
        </w:rPr>
        <w:t>Palacio</w:t>
      </w:r>
      <w:proofErr w:type="spellEnd"/>
      <w:r w:rsidRPr="008B6423">
        <w:rPr>
          <w:rFonts w:ascii="Tahoma" w:hAnsi="Tahoma" w:cs="Tahoma"/>
          <w:i/>
          <w:spacing w:val="4"/>
        </w:rPr>
        <w:t>-</w:t>
      </w:r>
      <w:r w:rsidRPr="008B6423">
        <w:rPr>
          <w:rFonts w:ascii="Tahoma" w:hAnsi="Tahoma" w:cs="Tahoma"/>
          <w:spacing w:val="4"/>
        </w:rPr>
        <w:t xml:space="preserve">, ha considerado que en dicha norma de acceso a la pensión de invalidez existe un </w:t>
      </w:r>
      <w:r w:rsidRPr="008B6423">
        <w:rPr>
          <w:rFonts w:ascii="Tahoma" w:hAnsi="Tahoma" w:cs="Tahoma"/>
          <w:i/>
          <w:spacing w:val="4"/>
        </w:rPr>
        <w:t>“</w:t>
      </w:r>
      <w:r w:rsidRPr="008B6423">
        <w:rPr>
          <w:rFonts w:ascii="Tahoma" w:hAnsi="Tahoma" w:cs="Tahoma"/>
          <w:i/>
          <w:spacing w:val="4"/>
          <w:sz w:val="22"/>
        </w:rPr>
        <w:t>déficit de protección a la juventud</w:t>
      </w:r>
      <w:r w:rsidRPr="008B6423">
        <w:rPr>
          <w:rFonts w:ascii="Tahoma" w:hAnsi="Tahoma" w:cs="Tahoma"/>
          <w:i/>
          <w:spacing w:val="4"/>
        </w:rPr>
        <w:t>”</w:t>
      </w:r>
      <w:r w:rsidRPr="008B6423">
        <w:rPr>
          <w:rFonts w:ascii="Tahoma" w:hAnsi="Tahoma" w:cs="Tahoma"/>
          <w:spacing w:val="4"/>
        </w:rPr>
        <w:t xml:space="preserve">, por cuanto no cumple con el fin de proteger a la población joven mayor de 20 años de edad que se encuentra en la misma circunstancia, esto es, que apenas está en el tránsito de la vida estudiantil a la laboral y se encuentra en estado de invalidez. </w:t>
      </w:r>
    </w:p>
    <w:p w14:paraId="7197E1F7" w14:textId="77777777" w:rsidR="007A5038" w:rsidRPr="008B6423" w:rsidRDefault="007A5038" w:rsidP="006736AE">
      <w:pPr>
        <w:pStyle w:val="Prrafodelista"/>
        <w:tabs>
          <w:tab w:val="left" w:pos="0"/>
        </w:tabs>
        <w:spacing w:line="276" w:lineRule="auto"/>
        <w:ind w:left="0" w:firstLine="561"/>
        <w:jc w:val="both"/>
        <w:rPr>
          <w:rFonts w:ascii="Tahoma" w:hAnsi="Tahoma" w:cs="Tahoma"/>
          <w:spacing w:val="4"/>
        </w:rPr>
      </w:pPr>
    </w:p>
    <w:p w14:paraId="1894E94C" w14:textId="77777777" w:rsidR="007A5038" w:rsidRPr="008B6423" w:rsidRDefault="00095F52" w:rsidP="006736AE">
      <w:pPr>
        <w:pStyle w:val="Prrafodelista"/>
        <w:tabs>
          <w:tab w:val="left" w:pos="0"/>
        </w:tabs>
        <w:spacing w:line="276" w:lineRule="auto"/>
        <w:ind w:left="0" w:firstLine="561"/>
        <w:jc w:val="both"/>
        <w:rPr>
          <w:rFonts w:ascii="Tahoma" w:hAnsi="Tahoma" w:cs="Tahoma"/>
          <w:spacing w:val="4"/>
        </w:rPr>
      </w:pPr>
      <w:r w:rsidRPr="008B6423">
        <w:rPr>
          <w:rFonts w:ascii="Tahoma" w:hAnsi="Tahoma" w:cs="Tahoma"/>
          <w:spacing w:val="4"/>
        </w:rPr>
        <w:lastRenderedPageBreak/>
        <w:t>Dicha tesis -reiterada entre otras en las sentencias T-839 de 2010; T-934 de 2011; T-930 y T-1011 de 2012; T-630 y, T-819 de 2013-, se sustenta básicamente en las siguientes consideraciones:</w:t>
      </w:r>
    </w:p>
    <w:p w14:paraId="1E85B77D" w14:textId="77777777" w:rsidR="007A5038" w:rsidRPr="008B6423" w:rsidRDefault="007A5038" w:rsidP="006736AE">
      <w:pPr>
        <w:pStyle w:val="Prrafodelista"/>
        <w:tabs>
          <w:tab w:val="left" w:pos="0"/>
        </w:tabs>
        <w:spacing w:line="276" w:lineRule="auto"/>
        <w:ind w:left="0" w:firstLine="561"/>
        <w:jc w:val="both"/>
        <w:rPr>
          <w:rFonts w:ascii="Tahoma" w:hAnsi="Tahoma" w:cs="Tahoma"/>
          <w:spacing w:val="4"/>
        </w:rPr>
      </w:pPr>
    </w:p>
    <w:p w14:paraId="5629FB46" w14:textId="5BF7282F" w:rsidR="007A5038" w:rsidRPr="008B6423" w:rsidRDefault="00095F52" w:rsidP="006736AE">
      <w:pPr>
        <w:pStyle w:val="Prrafodelista"/>
        <w:spacing w:line="276" w:lineRule="auto"/>
        <w:ind w:left="748" w:right="318"/>
        <w:jc w:val="both"/>
        <w:rPr>
          <w:rFonts w:ascii="Tahoma" w:hAnsi="Tahoma" w:cs="Tahoma"/>
          <w:spacing w:val="4"/>
        </w:rPr>
      </w:pPr>
      <w:r w:rsidRPr="008B6423">
        <w:rPr>
          <w:rFonts w:ascii="Tahoma" w:hAnsi="Tahoma" w:cs="Tahoma"/>
          <w:spacing w:val="4"/>
        </w:rPr>
        <w:t xml:space="preserve">1º. De conformidad con el derecho internacional, que hace parte del bloque de constitucionalidad, son considerados jóvenes las personas que se encuentran entre los 15 y 24 años de edad -según la Organización de las Naciones Unidas (ONU)-, o entre los 10 y 24 años de edad -según la Organización Mundial de la Salud (OMS)-. Y en Colombia, aunque la Constitución no define el rango de edad para que una persona sea considerada joven, la Ley 375 de 1997 </w:t>
      </w:r>
      <w:r w:rsidRPr="008B6423">
        <w:rPr>
          <w:rFonts w:ascii="Tahoma" w:hAnsi="Tahoma" w:cs="Tahoma"/>
          <w:i/>
          <w:iCs/>
          <w:spacing w:val="4"/>
        </w:rPr>
        <w:t>“</w:t>
      </w:r>
      <w:r w:rsidRPr="008B6423">
        <w:rPr>
          <w:rFonts w:ascii="Tahoma" w:hAnsi="Tahoma" w:cs="Tahoma"/>
          <w:i/>
          <w:iCs/>
          <w:spacing w:val="4"/>
          <w:sz w:val="22"/>
        </w:rPr>
        <w:t>Por la cual se crea la ley de la juventud y se dictan otras disposiciones</w:t>
      </w:r>
      <w:r w:rsidRPr="008B6423">
        <w:rPr>
          <w:rFonts w:ascii="Tahoma" w:hAnsi="Tahoma" w:cs="Tahoma"/>
          <w:i/>
          <w:iCs/>
          <w:spacing w:val="4"/>
        </w:rPr>
        <w:t>”</w:t>
      </w:r>
      <w:r w:rsidRPr="008B6423">
        <w:rPr>
          <w:rFonts w:ascii="Tahoma" w:hAnsi="Tahoma" w:cs="Tahoma"/>
          <w:spacing w:val="4"/>
        </w:rPr>
        <w:t xml:space="preserve">, en su artículo 3º dispone que </w:t>
      </w:r>
      <w:r w:rsidRPr="008B6423">
        <w:rPr>
          <w:rFonts w:ascii="Tahoma" w:hAnsi="Tahoma" w:cs="Tahoma"/>
          <w:i/>
          <w:iCs/>
          <w:spacing w:val="4"/>
        </w:rPr>
        <w:t>“</w:t>
      </w:r>
      <w:r w:rsidRPr="008B6423">
        <w:rPr>
          <w:rFonts w:ascii="Tahoma" w:hAnsi="Tahoma" w:cs="Tahoma"/>
          <w:i/>
          <w:iCs/>
          <w:spacing w:val="4"/>
          <w:sz w:val="22"/>
        </w:rPr>
        <w:t>se entiende por joven la persona entre los 14 y 26 años de edad</w:t>
      </w:r>
      <w:r w:rsidRPr="008B6423">
        <w:rPr>
          <w:rFonts w:ascii="Tahoma" w:hAnsi="Tahoma" w:cs="Tahoma"/>
          <w:i/>
          <w:iCs/>
          <w:spacing w:val="4"/>
        </w:rPr>
        <w:t>”</w:t>
      </w:r>
      <w:r w:rsidRPr="008B6423">
        <w:rPr>
          <w:rFonts w:ascii="Tahoma" w:hAnsi="Tahoma" w:cs="Tahoma"/>
          <w:spacing w:val="4"/>
        </w:rPr>
        <w:t>.</w:t>
      </w:r>
      <w:r w:rsidR="007A5038" w:rsidRPr="008B6423">
        <w:rPr>
          <w:rFonts w:ascii="Tahoma" w:hAnsi="Tahoma" w:cs="Tahoma"/>
          <w:spacing w:val="4"/>
        </w:rPr>
        <w:t xml:space="preserve"> </w:t>
      </w:r>
      <w:r w:rsidRPr="008B6423">
        <w:rPr>
          <w:rFonts w:ascii="Tahoma" w:hAnsi="Tahoma" w:cs="Tahoma"/>
          <w:spacing w:val="4"/>
        </w:rPr>
        <w:t>En ese orden de ideas, mientras en el marco del derecho</w:t>
      </w:r>
      <w:r w:rsidR="007A5038" w:rsidRPr="008B6423">
        <w:rPr>
          <w:rFonts w:ascii="Tahoma" w:hAnsi="Tahoma" w:cs="Tahoma"/>
          <w:spacing w:val="4"/>
        </w:rPr>
        <w:t xml:space="preserve"> </w:t>
      </w:r>
      <w:r w:rsidRPr="008B6423">
        <w:rPr>
          <w:rFonts w:ascii="Tahoma" w:hAnsi="Tahoma" w:cs="Tahoma"/>
          <w:spacing w:val="4"/>
        </w:rPr>
        <w:t xml:space="preserve">internacional los jóvenes oscilan entre los 10 y 24 años, la legislación colombiana protege como jóvenes a las personas que se encuentran entre los 14 y 26 años de edad. </w:t>
      </w:r>
    </w:p>
    <w:p w14:paraId="52A72369" w14:textId="77777777" w:rsidR="007A5038" w:rsidRPr="008B6423" w:rsidRDefault="007A5038" w:rsidP="006736AE">
      <w:pPr>
        <w:pStyle w:val="Prrafodelista"/>
        <w:spacing w:line="276" w:lineRule="auto"/>
        <w:ind w:left="748" w:right="318"/>
        <w:jc w:val="both"/>
        <w:rPr>
          <w:rFonts w:ascii="Tahoma" w:hAnsi="Tahoma" w:cs="Tahoma"/>
          <w:spacing w:val="4"/>
        </w:rPr>
      </w:pPr>
    </w:p>
    <w:p w14:paraId="1CBB0F14" w14:textId="77777777" w:rsidR="007A5038" w:rsidRPr="008B6423" w:rsidRDefault="00095F52" w:rsidP="006736AE">
      <w:pPr>
        <w:pStyle w:val="Prrafodelista"/>
        <w:spacing w:line="276" w:lineRule="auto"/>
        <w:ind w:left="748" w:right="318"/>
        <w:jc w:val="both"/>
        <w:rPr>
          <w:rFonts w:ascii="Tahoma" w:hAnsi="Tahoma" w:cs="Tahoma"/>
          <w:spacing w:val="4"/>
        </w:rPr>
      </w:pPr>
      <w:r w:rsidRPr="008B6423">
        <w:rPr>
          <w:rFonts w:ascii="Tahoma" w:hAnsi="Tahoma" w:cs="Tahoma"/>
          <w:spacing w:val="4"/>
        </w:rPr>
        <w:t xml:space="preserve">2º. Revisados los antecedentes legislativos de la norma cuestionada, la Corte Constitucional no encontró justificación alguna motivada y razonable para limitar dicha prerrogativa a los menores de 20 años de edad, cuando generalmente, entre el rango de 20 a 25 años es que las personas finalizan sus estudios e inician su vida laboral, y por ende, efectúan su afiliación al Sistema General de Pensiones en calidad de cotizantes, lo que significa que no existe una justificación constitucionalmente válida para no proteger también a la población joven mayor de 20 años de edad que se encuentra en las mismas circunstancias. </w:t>
      </w:r>
    </w:p>
    <w:p w14:paraId="21DE11CC" w14:textId="77777777" w:rsidR="007A5038" w:rsidRPr="008B6423" w:rsidRDefault="007A5038" w:rsidP="006736AE">
      <w:pPr>
        <w:pStyle w:val="Prrafodelista"/>
        <w:spacing w:line="276" w:lineRule="auto"/>
        <w:ind w:left="748" w:right="318"/>
        <w:jc w:val="both"/>
        <w:rPr>
          <w:rFonts w:ascii="Tahoma" w:hAnsi="Tahoma" w:cs="Tahoma"/>
          <w:spacing w:val="4"/>
        </w:rPr>
      </w:pPr>
    </w:p>
    <w:p w14:paraId="5E681B43" w14:textId="36249956" w:rsidR="007A5038" w:rsidRPr="008B6423" w:rsidRDefault="00095F52" w:rsidP="006736AE">
      <w:pPr>
        <w:pStyle w:val="Prrafodelista"/>
        <w:spacing w:line="276" w:lineRule="auto"/>
        <w:ind w:left="748" w:right="318"/>
        <w:jc w:val="both"/>
        <w:rPr>
          <w:rFonts w:ascii="Tahoma" w:hAnsi="Tahoma" w:cs="Tahoma"/>
          <w:spacing w:val="4"/>
        </w:rPr>
      </w:pPr>
      <w:r w:rsidRPr="008B6423">
        <w:rPr>
          <w:rFonts w:ascii="Tahoma" w:hAnsi="Tahoma" w:cs="Tahoma"/>
          <w:spacing w:val="4"/>
        </w:rPr>
        <w:t xml:space="preserve">3º. El legislador, en el caso de la pensión de sobrevivientes, decidió proteger a la población joven hasta los 25 años de edad al considerarla como beneficiaria de dicha prestación en el evento de que se encuentre estudiando, pero en el caso de la pensión de invalidez limitó la protección a los menores de 20 años. </w:t>
      </w:r>
    </w:p>
    <w:p w14:paraId="7D91A7B6" w14:textId="77777777" w:rsidR="007A5038" w:rsidRPr="008B6423" w:rsidRDefault="007A5038" w:rsidP="006736AE">
      <w:pPr>
        <w:pStyle w:val="Prrafodelista"/>
        <w:spacing w:line="276" w:lineRule="auto"/>
        <w:ind w:left="748" w:right="318"/>
        <w:jc w:val="both"/>
        <w:rPr>
          <w:rFonts w:ascii="Tahoma" w:hAnsi="Tahoma" w:cs="Tahoma"/>
          <w:spacing w:val="4"/>
        </w:rPr>
      </w:pPr>
    </w:p>
    <w:p w14:paraId="6CDE290D" w14:textId="0CF9CEAC" w:rsidR="00095F52" w:rsidRPr="008B6423" w:rsidRDefault="00095F52" w:rsidP="006736AE">
      <w:pPr>
        <w:pStyle w:val="Prrafodelista"/>
        <w:spacing w:line="276" w:lineRule="auto"/>
        <w:ind w:left="0" w:right="318" w:firstLine="748"/>
        <w:jc w:val="both"/>
        <w:rPr>
          <w:rFonts w:ascii="Tahoma" w:hAnsi="Tahoma" w:cs="Tahoma"/>
          <w:spacing w:val="4"/>
        </w:rPr>
      </w:pPr>
      <w:r w:rsidRPr="008B6423">
        <w:rPr>
          <w:rFonts w:ascii="Tahoma" w:hAnsi="Tahoma" w:cs="Tahoma"/>
          <w:spacing w:val="4"/>
        </w:rPr>
        <w:t xml:space="preserve">Por todo lo anterior, la jurisprudencia constitucional ha establecido que las personas que se encuentren entre los 20 y 26 años de edad son considerados jóvenes y, por lo tanto, debe entenderse que la pensión de invalidez prevista para los menores de 20 </w:t>
      </w:r>
      <w:r w:rsidR="00AE5A72" w:rsidRPr="008B6423">
        <w:rPr>
          <w:rFonts w:ascii="Tahoma" w:hAnsi="Tahoma" w:cs="Tahoma"/>
          <w:spacing w:val="4"/>
        </w:rPr>
        <w:t xml:space="preserve">años </w:t>
      </w:r>
      <w:r w:rsidRPr="008B6423">
        <w:rPr>
          <w:rFonts w:ascii="Tahoma" w:hAnsi="Tahoma" w:cs="Tahoma"/>
          <w:spacing w:val="4"/>
        </w:rPr>
        <w:t xml:space="preserve">consagrada en el parágrafo 1º de la Ley 100 de 1993, le es aplicable cuando tengan una pérdida de capacidad laboral del 50% o más y acrediten las 26 semanas exigidas en el año anterior a la estructuración de la invalidez o la calificación. En consecuencia, la Corte Constitucional, en reiterada jurisprudencia, ha optado por inaplicar el requisito de los 20 años de edad consagrado en el parágrafo 1º del artículo 39 de la Ley 100 de 1993, para proteger, en esos casos específicos, a unas personas que no </w:t>
      </w:r>
      <w:r w:rsidRPr="008B6423">
        <w:rPr>
          <w:rFonts w:ascii="Tahoma" w:hAnsi="Tahoma" w:cs="Tahoma"/>
          <w:spacing w:val="4"/>
        </w:rPr>
        <w:lastRenderedPageBreak/>
        <w:t>solo se encuentran en el rango de jóvenes, sino que también son sujetos de especial protección por su estado de invalidez.</w:t>
      </w:r>
    </w:p>
    <w:p w14:paraId="77791CF7" w14:textId="7C5930E7" w:rsidR="007A5038" w:rsidRPr="008B6423" w:rsidRDefault="007A5038" w:rsidP="006736AE">
      <w:pPr>
        <w:pStyle w:val="Prrafodelista"/>
        <w:spacing w:line="276" w:lineRule="auto"/>
        <w:ind w:left="0" w:right="318" w:firstLine="748"/>
        <w:jc w:val="both"/>
        <w:rPr>
          <w:rFonts w:ascii="Tahoma" w:hAnsi="Tahoma" w:cs="Tahoma"/>
          <w:spacing w:val="4"/>
        </w:rPr>
      </w:pPr>
    </w:p>
    <w:p w14:paraId="04B613D2" w14:textId="5A4CED29" w:rsidR="007A5038" w:rsidRPr="008B6423" w:rsidRDefault="007A5038" w:rsidP="006736AE">
      <w:pPr>
        <w:pStyle w:val="Prrafodelista"/>
        <w:spacing w:line="276" w:lineRule="auto"/>
        <w:ind w:left="0" w:right="318" w:firstLine="748"/>
        <w:jc w:val="both"/>
        <w:rPr>
          <w:rFonts w:ascii="Tahoma" w:hAnsi="Tahoma" w:cs="Tahoma"/>
          <w:spacing w:val="4"/>
        </w:rPr>
      </w:pPr>
      <w:r w:rsidRPr="008B6423">
        <w:rPr>
          <w:rFonts w:ascii="Tahoma" w:hAnsi="Tahoma" w:cs="Tahoma"/>
          <w:spacing w:val="4"/>
        </w:rPr>
        <w:t>Lo anterior quedó delimitado de manera definitiva en la sentencia C-020 de 2015</w:t>
      </w:r>
      <w:r w:rsidRPr="008B6423">
        <w:rPr>
          <w:rStyle w:val="Refdenotaalpie"/>
          <w:rFonts w:ascii="Tahoma" w:hAnsi="Tahoma" w:cs="Tahoma"/>
          <w:spacing w:val="4"/>
        </w:rPr>
        <w:footnoteReference w:id="1"/>
      </w:r>
      <w:r w:rsidRPr="008B6423">
        <w:rPr>
          <w:rFonts w:ascii="Tahoma" w:hAnsi="Tahoma" w:cs="Tahoma"/>
          <w:spacing w:val="4"/>
        </w:rPr>
        <w:t>, en la que de manera expresa se señaló:</w:t>
      </w:r>
    </w:p>
    <w:p w14:paraId="54331449" w14:textId="77777777" w:rsidR="006736AE" w:rsidRPr="008B6423" w:rsidRDefault="006736AE" w:rsidP="006736AE">
      <w:pPr>
        <w:pStyle w:val="Prrafodelista"/>
        <w:spacing w:line="276" w:lineRule="auto"/>
        <w:ind w:left="0" w:right="318" w:firstLine="748"/>
        <w:jc w:val="both"/>
        <w:rPr>
          <w:rFonts w:ascii="Tahoma" w:hAnsi="Tahoma" w:cs="Tahoma"/>
          <w:spacing w:val="4"/>
        </w:rPr>
      </w:pPr>
    </w:p>
    <w:p w14:paraId="7537706C" w14:textId="69085B76" w:rsidR="007A5038" w:rsidRPr="008B6423" w:rsidRDefault="007A5038" w:rsidP="006736AE">
      <w:pPr>
        <w:pStyle w:val="NormalWeb"/>
        <w:spacing w:before="0" w:beforeAutospacing="0" w:after="0" w:afterAutospacing="0"/>
        <w:ind w:left="426" w:right="420"/>
        <w:jc w:val="both"/>
        <w:rPr>
          <w:rStyle w:val="iaj"/>
          <w:rFonts w:ascii="Tahoma" w:hAnsi="Tahoma" w:cs="Tahoma"/>
          <w:i/>
          <w:iCs/>
          <w:spacing w:val="4"/>
          <w:sz w:val="22"/>
        </w:rPr>
      </w:pPr>
      <w:r w:rsidRPr="008B6423">
        <w:rPr>
          <w:rStyle w:val="iaj"/>
          <w:rFonts w:ascii="Tahoma" w:hAnsi="Tahoma" w:cs="Tahoma"/>
          <w:i/>
          <w:iCs/>
          <w:spacing w:val="4"/>
          <w:sz w:val="22"/>
        </w:rPr>
        <w:t>“60. Ahora bien, que el Estado esté en la obligación de garantizar progresivamente la plena efectividad de los derechos sociales no puede interpretarse en el sentido de que cuenta con la autorización de privarlos de cualquier efecto inmediato. El Comité de Derechos Económicos, Sociales y Culturales, la doctrina internacional más autorizada en la materia y la Corte Constitucional coinciden en que –como lo expresó esta última en la sentencia </w:t>
      </w:r>
      <w:hyperlink r:id="rId11" w:anchor="inicio" w:history="1">
        <w:r w:rsidRPr="008B6423">
          <w:rPr>
            <w:rStyle w:val="Hipervnculo"/>
            <w:rFonts w:ascii="Tahoma" w:hAnsi="Tahoma" w:cs="Tahoma"/>
            <w:i/>
            <w:iCs/>
            <w:color w:val="auto"/>
            <w:spacing w:val="4"/>
            <w:sz w:val="22"/>
          </w:rPr>
          <w:t>C-671</w:t>
        </w:r>
      </w:hyperlink>
      <w:r w:rsidRPr="008B6423">
        <w:rPr>
          <w:rStyle w:val="iaj"/>
          <w:rFonts w:ascii="Tahoma" w:hAnsi="Tahoma" w:cs="Tahoma"/>
          <w:i/>
          <w:iCs/>
          <w:spacing w:val="4"/>
          <w:sz w:val="22"/>
        </w:rPr>
        <w:t> de 2002- algunas de las obligaciones asociadas a los derechos sociales, económicos y culturales deben cumplirse en períodos breves o de inmediato. Una de estas obligaci</w:t>
      </w:r>
      <w:r w:rsidR="006736AE" w:rsidRPr="008B6423">
        <w:rPr>
          <w:rStyle w:val="iaj"/>
          <w:rFonts w:ascii="Tahoma" w:hAnsi="Tahoma" w:cs="Tahoma"/>
          <w:i/>
          <w:iCs/>
          <w:spacing w:val="4"/>
          <w:sz w:val="22"/>
        </w:rPr>
        <w:t xml:space="preserve">ones </w:t>
      </w:r>
      <w:r w:rsidRPr="008B6423">
        <w:rPr>
          <w:rStyle w:val="iaj"/>
          <w:rFonts w:ascii="Tahoma" w:hAnsi="Tahoma" w:cs="Tahoma"/>
          <w:i/>
          <w:iCs/>
          <w:spacing w:val="4"/>
          <w:sz w:val="22"/>
        </w:rPr>
        <w:t>de exigibilidad o cumplimiento inmediato es la de no retroceder injustificadamente en los niveles de protección previamente obtenidos. En consecuencia, todo derecho económico, social y cultural lleva implícita una prohibición de retroceso injustificado en el nivel de protección alcanzado. Este principio ha sido aplicado en diversas ocasiones por la Corte en el control de las leyes, y en virtud suya se han declarado contrarias a la Constitución normas por violar el principio de no regresividad en materia de vivienda; de educación; de seguridad social; entre otras. La prohibición de regresividad no vincula sólo al legislador, sino también al juez, quien no puede dejar de observarla en la definición futura, caso a caso, del universo al que aplica el régimen especial previsto en el parágrafo 1, artículo </w:t>
      </w:r>
      <w:hyperlink r:id="rId12" w:anchor="1" w:history="1">
        <w:r w:rsidRPr="008B6423">
          <w:rPr>
            <w:rStyle w:val="Hipervnculo"/>
            <w:rFonts w:ascii="Tahoma" w:hAnsi="Tahoma" w:cs="Tahoma"/>
            <w:i/>
            <w:iCs/>
            <w:color w:val="auto"/>
            <w:spacing w:val="4"/>
            <w:sz w:val="22"/>
          </w:rPr>
          <w:t>1</w:t>
        </w:r>
      </w:hyperlink>
      <w:r w:rsidRPr="008B6423">
        <w:rPr>
          <w:rStyle w:val="iaj"/>
          <w:rFonts w:ascii="Tahoma" w:hAnsi="Tahoma" w:cs="Tahoma"/>
          <w:i/>
          <w:iCs/>
          <w:spacing w:val="4"/>
          <w:sz w:val="22"/>
        </w:rPr>
        <w:t>, de la Ley 860 de 2003.</w:t>
      </w:r>
    </w:p>
    <w:p w14:paraId="5F149D73" w14:textId="77777777" w:rsidR="00CC111B" w:rsidRPr="008B6423" w:rsidRDefault="00CC111B" w:rsidP="006736AE">
      <w:pPr>
        <w:pStyle w:val="NormalWeb"/>
        <w:spacing w:before="0" w:beforeAutospacing="0" w:after="0" w:afterAutospacing="0"/>
        <w:ind w:left="426" w:right="420"/>
        <w:jc w:val="both"/>
        <w:rPr>
          <w:rFonts w:ascii="Tahoma" w:hAnsi="Tahoma" w:cs="Tahoma"/>
          <w:spacing w:val="4"/>
          <w:sz w:val="22"/>
        </w:rPr>
      </w:pPr>
    </w:p>
    <w:p w14:paraId="6AE0D7A4" w14:textId="7A677304" w:rsidR="007A5038" w:rsidRPr="008B6423" w:rsidRDefault="007A5038" w:rsidP="006736AE">
      <w:pPr>
        <w:pStyle w:val="NormalWeb"/>
        <w:spacing w:before="0" w:beforeAutospacing="0" w:after="0" w:afterAutospacing="0"/>
        <w:ind w:left="426" w:right="420"/>
        <w:jc w:val="both"/>
        <w:rPr>
          <w:rStyle w:val="iaj"/>
          <w:rFonts w:ascii="Tahoma" w:hAnsi="Tahoma" w:cs="Tahoma"/>
          <w:i/>
          <w:iCs/>
          <w:spacing w:val="4"/>
          <w:sz w:val="22"/>
        </w:rPr>
      </w:pPr>
      <w:r w:rsidRPr="008B6423">
        <w:rPr>
          <w:rStyle w:val="iaj"/>
          <w:rFonts w:ascii="Tahoma" w:hAnsi="Tahoma" w:cs="Tahoma"/>
          <w:i/>
          <w:iCs/>
          <w:spacing w:val="4"/>
          <w:sz w:val="22"/>
        </w:rPr>
        <w:t>61. Por lo cual, para remediar el déficit de protección, la Corte declarará exequible la norma acusada, con la condición de que se extienda lo allí previsto en materia de pensiones de invalidez hacia toda la población joven, definida esta última razonablemente, y en la medida en que sea más favorable al afiliado. En los casos concretos, sin embargo, mientras la jurisprudencia constitucional no evolucione a la luz del principio de progresividad, la regla especial prevista en el parágrafo 1º del artículo </w:t>
      </w:r>
      <w:hyperlink r:id="rId13" w:anchor="1" w:history="1">
        <w:r w:rsidRPr="008B6423">
          <w:rPr>
            <w:rStyle w:val="Hipervnculo"/>
            <w:rFonts w:ascii="Tahoma" w:hAnsi="Tahoma" w:cs="Tahoma"/>
            <w:i/>
            <w:iCs/>
            <w:color w:val="auto"/>
            <w:spacing w:val="4"/>
            <w:sz w:val="22"/>
          </w:rPr>
          <w:t>1</w:t>
        </w:r>
      </w:hyperlink>
      <w:r w:rsidRPr="008B6423">
        <w:rPr>
          <w:rStyle w:val="iaj"/>
          <w:rFonts w:ascii="Tahoma" w:hAnsi="Tahoma" w:cs="Tahoma"/>
          <w:i/>
          <w:iCs/>
          <w:spacing w:val="4"/>
          <w:sz w:val="22"/>
        </w:rPr>
        <w:t> de la Ley 860 de 2003 debe extenderse favorablemente, conforme lo ha señalado hasta el momento la jurisprudencia consistente de las distintas Salas de Revisión de la Corte Constitucional; es decir, se debe aplicar a la población que tenga hasta 26 años de edad, inclusive.”  </w:t>
      </w:r>
    </w:p>
    <w:p w14:paraId="55C09CE0" w14:textId="50D8D3FA" w:rsidR="00095F52" w:rsidRPr="008B6423" w:rsidRDefault="00095F52" w:rsidP="006736AE">
      <w:pPr>
        <w:pStyle w:val="Prrafodelista"/>
        <w:tabs>
          <w:tab w:val="left" w:pos="0"/>
        </w:tabs>
        <w:spacing w:line="276" w:lineRule="auto"/>
        <w:ind w:left="450"/>
        <w:jc w:val="both"/>
        <w:rPr>
          <w:rFonts w:ascii="Tahoma" w:hAnsi="Tahoma" w:cs="Tahoma"/>
          <w:color w:val="FF0000"/>
          <w:spacing w:val="4"/>
        </w:rPr>
      </w:pPr>
    </w:p>
    <w:p w14:paraId="2948F7BC" w14:textId="4709E674" w:rsidR="00941597" w:rsidRPr="008B6423" w:rsidRDefault="00941597" w:rsidP="006736AE">
      <w:pPr>
        <w:tabs>
          <w:tab w:val="left" w:pos="0"/>
        </w:tabs>
        <w:spacing w:line="276" w:lineRule="auto"/>
        <w:jc w:val="both"/>
        <w:rPr>
          <w:rFonts w:ascii="Tahoma" w:hAnsi="Tahoma" w:cs="Tahoma"/>
          <w:spacing w:val="4"/>
        </w:rPr>
      </w:pPr>
      <w:r w:rsidRPr="008B6423">
        <w:rPr>
          <w:rFonts w:ascii="Tahoma" w:hAnsi="Tahoma" w:cs="Tahoma"/>
          <w:spacing w:val="4"/>
        </w:rPr>
        <w:tab/>
        <w:t xml:space="preserve">A esa misma conclusión llegó la Sala de </w:t>
      </w:r>
      <w:r w:rsidR="00AC78C2" w:rsidRPr="008B6423">
        <w:rPr>
          <w:rFonts w:ascii="Tahoma" w:hAnsi="Tahoma" w:cs="Tahoma"/>
          <w:spacing w:val="4"/>
        </w:rPr>
        <w:t xml:space="preserve">Casación Laboral de </w:t>
      </w:r>
      <w:r w:rsidRPr="008B6423">
        <w:rPr>
          <w:rFonts w:ascii="Tahoma" w:hAnsi="Tahoma" w:cs="Tahoma"/>
          <w:spacing w:val="4"/>
        </w:rPr>
        <w:t xml:space="preserve">Descongestión de la </w:t>
      </w:r>
      <w:r w:rsidR="00AC78C2" w:rsidRPr="008B6423">
        <w:rPr>
          <w:rFonts w:ascii="Tahoma" w:hAnsi="Tahoma" w:cs="Tahoma"/>
          <w:spacing w:val="4"/>
        </w:rPr>
        <w:t>Corte Suprema de Justicia, en la sentencia SL 4951, del 9 de diciembre de 2020, con Ponencia del Dr. JORGE PRADA SÁNCHEZ cuando dijo lo siguiente en un asunto similar:</w:t>
      </w:r>
    </w:p>
    <w:p w14:paraId="4881D577" w14:textId="37E71E62" w:rsidR="00AC78C2" w:rsidRPr="008B6423" w:rsidRDefault="00AC78C2" w:rsidP="006736AE">
      <w:pPr>
        <w:tabs>
          <w:tab w:val="left" w:pos="0"/>
        </w:tabs>
        <w:spacing w:line="276" w:lineRule="auto"/>
        <w:jc w:val="both"/>
        <w:rPr>
          <w:rFonts w:ascii="Tahoma" w:hAnsi="Tahoma" w:cs="Tahoma"/>
          <w:spacing w:val="4"/>
        </w:rPr>
      </w:pPr>
    </w:p>
    <w:p w14:paraId="6F14761F" w14:textId="4B32D75E" w:rsidR="00AC78C2" w:rsidRPr="008B6423" w:rsidRDefault="00AC78C2" w:rsidP="006736AE">
      <w:pPr>
        <w:pStyle w:val="NormalWeb"/>
        <w:spacing w:before="0" w:beforeAutospacing="0" w:after="0" w:afterAutospacing="0"/>
        <w:ind w:left="426" w:right="420"/>
        <w:jc w:val="both"/>
        <w:rPr>
          <w:rStyle w:val="iaj"/>
          <w:rFonts w:ascii="Tahoma" w:hAnsi="Tahoma" w:cs="Tahoma"/>
          <w:i/>
          <w:iCs/>
          <w:spacing w:val="4"/>
          <w:sz w:val="22"/>
        </w:rPr>
      </w:pPr>
      <w:r w:rsidRPr="008B6423">
        <w:rPr>
          <w:rStyle w:val="iaj"/>
          <w:rFonts w:ascii="Tahoma" w:hAnsi="Tahoma" w:cs="Tahoma"/>
          <w:i/>
          <w:iCs/>
          <w:spacing w:val="4"/>
          <w:sz w:val="22"/>
        </w:rPr>
        <w:t>“En ese orden, tal cual lo definió el juzgador de alzada, al promotor del asunto le es aplicable lo dispuesto en el parágrafo 1 del artículo 1 de la Ley 860 de 2003, en los términos en que fue declarado condicionadamente exequible, toda vez que acreditó 39.19 semanas pagadas en el año inmediatamente anterior a la estructuración del estado de invalidez”.</w:t>
      </w:r>
    </w:p>
    <w:p w14:paraId="2724BA29" w14:textId="77777777" w:rsidR="00AC78C2" w:rsidRPr="008B6423" w:rsidRDefault="00AC78C2" w:rsidP="006736AE">
      <w:pPr>
        <w:tabs>
          <w:tab w:val="left" w:pos="0"/>
        </w:tabs>
        <w:spacing w:line="276" w:lineRule="auto"/>
        <w:jc w:val="both"/>
        <w:rPr>
          <w:rFonts w:ascii="Tahoma" w:hAnsi="Tahoma" w:cs="Tahoma"/>
          <w:spacing w:val="4"/>
        </w:rPr>
      </w:pPr>
    </w:p>
    <w:p w14:paraId="4C4E32BA" w14:textId="177AD037" w:rsidR="00095F52" w:rsidRPr="008B6423" w:rsidRDefault="00095F52" w:rsidP="006736AE">
      <w:pPr>
        <w:pStyle w:val="Textoindependiente"/>
        <w:numPr>
          <w:ilvl w:val="1"/>
          <w:numId w:val="44"/>
        </w:numPr>
        <w:spacing w:after="0" w:line="276" w:lineRule="auto"/>
        <w:ind w:left="1418" w:right="51"/>
        <w:jc w:val="both"/>
        <w:rPr>
          <w:rFonts w:ascii="Tahoma" w:hAnsi="Tahoma" w:cs="Tahoma"/>
          <w:b/>
          <w:spacing w:val="4"/>
        </w:rPr>
      </w:pPr>
      <w:r w:rsidRPr="008B6423">
        <w:rPr>
          <w:rFonts w:ascii="Tahoma" w:hAnsi="Tahoma" w:cs="Tahoma"/>
          <w:b/>
          <w:spacing w:val="4"/>
        </w:rPr>
        <w:t>Caso Concreto</w:t>
      </w:r>
    </w:p>
    <w:p w14:paraId="7674295A" w14:textId="28DD71CE" w:rsidR="00095F52" w:rsidRPr="008B6423" w:rsidRDefault="00095F52" w:rsidP="006736AE">
      <w:pPr>
        <w:pStyle w:val="Prrafodelista"/>
        <w:tabs>
          <w:tab w:val="left" w:pos="0"/>
        </w:tabs>
        <w:spacing w:line="276" w:lineRule="auto"/>
        <w:ind w:left="450"/>
        <w:jc w:val="both"/>
        <w:rPr>
          <w:rFonts w:ascii="Tahoma" w:hAnsi="Tahoma" w:cs="Tahoma"/>
          <w:color w:val="FF0000"/>
          <w:spacing w:val="4"/>
          <w:lang w:val="es-CO"/>
        </w:rPr>
      </w:pPr>
    </w:p>
    <w:p w14:paraId="6D6014DA" w14:textId="1B9EF77E" w:rsidR="00CC111B" w:rsidRPr="008B6423" w:rsidRDefault="007A5038" w:rsidP="006736AE">
      <w:pPr>
        <w:pStyle w:val="Prrafodelista"/>
        <w:tabs>
          <w:tab w:val="left" w:pos="0"/>
        </w:tabs>
        <w:spacing w:line="276" w:lineRule="auto"/>
        <w:ind w:left="0" w:firstLine="561"/>
        <w:jc w:val="both"/>
        <w:rPr>
          <w:rFonts w:ascii="Tahoma" w:hAnsi="Tahoma" w:cs="Tahoma"/>
          <w:spacing w:val="4"/>
        </w:rPr>
      </w:pPr>
      <w:r w:rsidRPr="008B6423">
        <w:rPr>
          <w:rFonts w:ascii="Tahoma" w:hAnsi="Tahoma" w:cs="Tahoma"/>
          <w:spacing w:val="4"/>
          <w:lang w:val="es-CO"/>
        </w:rPr>
        <w:lastRenderedPageBreak/>
        <w:tab/>
      </w:r>
      <w:bookmarkStart w:id="1" w:name="_Hlk66459050"/>
      <w:r w:rsidR="00CC111B" w:rsidRPr="008B6423">
        <w:rPr>
          <w:rFonts w:ascii="Tahoma" w:hAnsi="Tahoma" w:cs="Tahoma"/>
          <w:spacing w:val="4"/>
          <w:lang w:val="es-CO"/>
        </w:rPr>
        <w:t>No es necesario un discernimiento en extenso</w:t>
      </w:r>
      <w:r w:rsidR="00C77F0E" w:rsidRPr="008B6423">
        <w:rPr>
          <w:rFonts w:ascii="Tahoma" w:hAnsi="Tahoma" w:cs="Tahoma"/>
          <w:spacing w:val="4"/>
        </w:rPr>
        <w:t xml:space="preserve"> </w:t>
      </w:r>
      <w:r w:rsidR="00CC111B" w:rsidRPr="008B6423">
        <w:rPr>
          <w:rFonts w:ascii="Tahoma" w:hAnsi="Tahoma" w:cs="Tahoma"/>
          <w:spacing w:val="4"/>
        </w:rPr>
        <w:t xml:space="preserve">para concluir que la determinación de la Jueza de instancia se ajusta plenamente al pacífico precedente sentado por la Corte Constitucional, y que los lánguidos argumentos esbozados por la togada que vela por los intereses de Porvenir S.A. carecen de la contundencia suficiente para llevar a esta Colegiatura a apartarse de la jurisprudencia en comento, pues salta a la vista el cumplimiento de los requisitos por parte del señor Felipe Pineda Pérez, quien al momento  del hecho generador de su invalidez contaba con 21 años de edad, asistiéndole el derecho a percibir la pensión desde el 20 de enero de 2017, fecha de estructuración. </w:t>
      </w:r>
      <w:bookmarkEnd w:id="1"/>
      <w:r w:rsidR="00CC111B" w:rsidRPr="008B6423">
        <w:rPr>
          <w:rFonts w:ascii="Tahoma" w:hAnsi="Tahoma" w:cs="Tahoma"/>
          <w:spacing w:val="4"/>
        </w:rPr>
        <w:t>Lo anterior conlleva a la inminente confirmación de la sentencia atacada en lo que atañe al derecho al reconocimiento de la pensión y el respectivo descuento que por concepto de salud deba efectuarse sobre el retroactivo reconocido al momento efectivo del pago.</w:t>
      </w:r>
    </w:p>
    <w:p w14:paraId="3C896D0F" w14:textId="7F29B731" w:rsidR="00CC111B" w:rsidRPr="008B6423" w:rsidRDefault="00CC111B" w:rsidP="006736AE">
      <w:pPr>
        <w:pStyle w:val="Prrafodelista"/>
        <w:tabs>
          <w:tab w:val="left" w:pos="0"/>
        </w:tabs>
        <w:spacing w:line="276" w:lineRule="auto"/>
        <w:ind w:left="0" w:firstLine="561"/>
        <w:jc w:val="both"/>
        <w:rPr>
          <w:rFonts w:ascii="Tahoma" w:hAnsi="Tahoma" w:cs="Tahoma"/>
          <w:spacing w:val="4"/>
        </w:rPr>
      </w:pPr>
    </w:p>
    <w:p w14:paraId="5E807F43" w14:textId="7B982727" w:rsidR="00622512" w:rsidRPr="008B6423" w:rsidRDefault="00CC111B" w:rsidP="006736AE">
      <w:pPr>
        <w:pStyle w:val="Prrafodelista"/>
        <w:spacing w:line="276" w:lineRule="auto"/>
        <w:ind w:left="0" w:firstLine="561"/>
        <w:jc w:val="both"/>
        <w:rPr>
          <w:rFonts w:ascii="Tahoma" w:hAnsi="Tahoma" w:cs="Tahoma"/>
          <w:spacing w:val="4"/>
        </w:rPr>
      </w:pPr>
      <w:r w:rsidRPr="008B6423">
        <w:rPr>
          <w:rFonts w:ascii="Tahoma" w:hAnsi="Tahoma" w:cs="Tahoma"/>
          <w:spacing w:val="4"/>
        </w:rPr>
        <w:t xml:space="preserve">En lo </w:t>
      </w:r>
      <w:r w:rsidR="208F0269" w:rsidRPr="008B6423">
        <w:rPr>
          <w:rFonts w:ascii="Tahoma" w:hAnsi="Tahoma" w:cs="Tahoma"/>
          <w:spacing w:val="4"/>
        </w:rPr>
        <w:t>relacionado con el</w:t>
      </w:r>
      <w:r w:rsidRPr="008B6423">
        <w:rPr>
          <w:rFonts w:ascii="Tahoma" w:hAnsi="Tahoma" w:cs="Tahoma"/>
          <w:spacing w:val="4"/>
        </w:rPr>
        <w:t xml:space="preserve"> reconocimiento de los intereses moratorios, se dirá que si bien esta Corporación ha sostenido que no hay lugar a los mismos cuando la garantía pensi</w:t>
      </w:r>
      <w:r w:rsidR="00622512" w:rsidRPr="008B6423">
        <w:rPr>
          <w:rFonts w:ascii="Tahoma" w:hAnsi="Tahoma" w:cs="Tahoma"/>
          <w:spacing w:val="4"/>
        </w:rPr>
        <w:t>o</w:t>
      </w:r>
      <w:r w:rsidRPr="008B6423">
        <w:rPr>
          <w:rFonts w:ascii="Tahoma" w:hAnsi="Tahoma" w:cs="Tahoma"/>
          <w:spacing w:val="4"/>
        </w:rPr>
        <w:t xml:space="preserve">nal se concede en aplicación de una interpretación jurisprudencial </w:t>
      </w:r>
      <w:r w:rsidR="00622512" w:rsidRPr="008B6423">
        <w:rPr>
          <w:rFonts w:ascii="Tahoma" w:hAnsi="Tahoma" w:cs="Tahoma"/>
          <w:spacing w:val="4"/>
        </w:rPr>
        <w:t xml:space="preserve">favorable, en esta ocasión se acogen los argumentos planteados por la apoderada de la parte actora, pues los efectos de una sentencia de constitucionalidad, como lo fue la C-050 de 2015, irrigan sobre el cuerpo mismo de la norma analizada, de manera que a partir de su </w:t>
      </w:r>
      <w:proofErr w:type="spellStart"/>
      <w:r w:rsidR="00622512" w:rsidRPr="008B6423">
        <w:rPr>
          <w:rFonts w:ascii="Tahoma" w:hAnsi="Tahoma" w:cs="Tahoma"/>
          <w:spacing w:val="4"/>
        </w:rPr>
        <w:t>proferimiento</w:t>
      </w:r>
      <w:proofErr w:type="spellEnd"/>
      <w:r w:rsidR="00622512" w:rsidRPr="008B6423">
        <w:rPr>
          <w:rFonts w:ascii="Tahoma" w:hAnsi="Tahoma" w:cs="Tahoma"/>
          <w:spacing w:val="4"/>
        </w:rPr>
        <w:t xml:space="preserve"> las administradoras de pensiones estaban compelidas a aplicar su contenido. Lo anterior implica que, si se reclamó la prestación el 8 de noviembre de 2017, los aludidos emolumentos correrían a partir del 9 de marzo de 2018 hasta que se haga el pago efectivo de la obligación.</w:t>
      </w:r>
    </w:p>
    <w:p w14:paraId="2C250764" w14:textId="77777777" w:rsidR="00622512" w:rsidRPr="008B6423" w:rsidRDefault="00622512" w:rsidP="006736AE">
      <w:pPr>
        <w:pStyle w:val="Prrafodelista"/>
        <w:tabs>
          <w:tab w:val="left" w:pos="0"/>
        </w:tabs>
        <w:spacing w:line="276" w:lineRule="auto"/>
        <w:ind w:left="0" w:firstLine="561"/>
        <w:jc w:val="both"/>
        <w:rPr>
          <w:rFonts w:ascii="Tahoma" w:hAnsi="Tahoma" w:cs="Tahoma"/>
          <w:spacing w:val="4"/>
        </w:rPr>
      </w:pPr>
    </w:p>
    <w:p w14:paraId="3CF72497" w14:textId="6ABC3C9C" w:rsidR="00622512" w:rsidRPr="008B6423" w:rsidRDefault="00622512" w:rsidP="006736AE">
      <w:pPr>
        <w:pStyle w:val="Prrafodelista"/>
        <w:tabs>
          <w:tab w:val="left" w:pos="0"/>
        </w:tabs>
        <w:spacing w:line="276" w:lineRule="auto"/>
        <w:ind w:left="0" w:firstLine="561"/>
        <w:jc w:val="both"/>
        <w:rPr>
          <w:rFonts w:ascii="Tahoma" w:hAnsi="Tahoma" w:cs="Tahoma"/>
          <w:spacing w:val="4"/>
        </w:rPr>
      </w:pPr>
      <w:r w:rsidRPr="008B6423">
        <w:rPr>
          <w:rFonts w:ascii="Tahoma" w:hAnsi="Tahoma" w:cs="Tahoma"/>
          <w:spacing w:val="4"/>
        </w:rPr>
        <w:t>Lo hasta aquí discurrido conlleva a esta Sala de decisión a revocar el ordinal cuarto de la sentencia apelada para, en su lugar, ordenar el pago de los intereses moratorios en los términos expuestos previamente. En lo demás se confirmará la sentencia objeto de censura.</w:t>
      </w:r>
    </w:p>
    <w:p w14:paraId="4EB8A098" w14:textId="77777777" w:rsidR="00C77F0E" w:rsidRPr="008B6423" w:rsidRDefault="00C77F0E" w:rsidP="006736AE">
      <w:pPr>
        <w:spacing w:line="276" w:lineRule="auto"/>
        <w:jc w:val="both"/>
        <w:rPr>
          <w:rFonts w:ascii="Tahoma" w:hAnsi="Tahoma" w:cs="Tahoma"/>
          <w:spacing w:val="4"/>
        </w:rPr>
      </w:pPr>
    </w:p>
    <w:p w14:paraId="1E2B0650" w14:textId="0A9D803C" w:rsidR="008F1F12" w:rsidRPr="008B6423" w:rsidRDefault="00ED2367" w:rsidP="006736AE">
      <w:pPr>
        <w:spacing w:line="276" w:lineRule="auto"/>
        <w:ind w:firstLine="708"/>
        <w:jc w:val="both"/>
        <w:rPr>
          <w:rFonts w:ascii="Tahoma" w:hAnsi="Tahoma" w:cs="Tahoma"/>
          <w:spacing w:val="4"/>
        </w:rPr>
      </w:pPr>
      <w:r w:rsidRPr="008B6423">
        <w:rPr>
          <w:rFonts w:ascii="Tahoma" w:hAnsi="Tahoma" w:cs="Tahoma"/>
          <w:spacing w:val="4"/>
        </w:rPr>
        <w:t>Por lo hasta aquí expuesto l</w:t>
      </w:r>
      <w:r w:rsidR="008F1F12" w:rsidRPr="008B6423">
        <w:rPr>
          <w:rFonts w:ascii="Tahoma" w:hAnsi="Tahoma" w:cs="Tahoma"/>
          <w:spacing w:val="4"/>
        </w:rPr>
        <w:t xml:space="preserve">a condena </w:t>
      </w:r>
      <w:r w:rsidRPr="008B6423">
        <w:rPr>
          <w:rFonts w:ascii="Tahoma" w:hAnsi="Tahoma" w:cs="Tahoma"/>
          <w:spacing w:val="4"/>
        </w:rPr>
        <w:t>en</w:t>
      </w:r>
      <w:r w:rsidR="008F1F12" w:rsidRPr="008B6423">
        <w:rPr>
          <w:rFonts w:ascii="Tahoma" w:hAnsi="Tahoma" w:cs="Tahoma"/>
          <w:spacing w:val="4"/>
        </w:rPr>
        <w:t xml:space="preserve"> costas procesales impuesta en primera instancia </w:t>
      </w:r>
      <w:r w:rsidR="00622512" w:rsidRPr="008B6423">
        <w:rPr>
          <w:rFonts w:ascii="Tahoma" w:hAnsi="Tahoma" w:cs="Tahoma"/>
          <w:spacing w:val="4"/>
        </w:rPr>
        <w:t>se mantendrá incólume</w:t>
      </w:r>
      <w:r w:rsidR="008F1F12" w:rsidRPr="008B6423">
        <w:rPr>
          <w:rFonts w:ascii="Tahoma" w:hAnsi="Tahoma" w:cs="Tahoma"/>
          <w:spacing w:val="4"/>
        </w:rPr>
        <w:t xml:space="preserve">. En esta sede </w:t>
      </w:r>
      <w:r w:rsidR="00622512" w:rsidRPr="008B6423">
        <w:rPr>
          <w:rFonts w:ascii="Tahoma" w:hAnsi="Tahoma" w:cs="Tahoma"/>
          <w:spacing w:val="4"/>
        </w:rPr>
        <w:t>correrán a cargo de Porvenir S.A. en un 100% a favor de la parte demandante, las cuales se liquidarán por la secretaría del juzgado de origen.</w:t>
      </w:r>
    </w:p>
    <w:p w14:paraId="24C54589" w14:textId="1E302303" w:rsidR="00D51494" w:rsidRPr="008B6423" w:rsidRDefault="00D51494" w:rsidP="006736AE">
      <w:pPr>
        <w:spacing w:line="276" w:lineRule="auto"/>
        <w:ind w:firstLine="705"/>
        <w:jc w:val="both"/>
        <w:rPr>
          <w:rFonts w:ascii="Tahoma" w:hAnsi="Tahoma" w:cs="Tahoma"/>
          <w:spacing w:val="4"/>
        </w:rPr>
      </w:pPr>
    </w:p>
    <w:p w14:paraId="3F0959F5" w14:textId="1F8ACA27" w:rsidR="00D51494" w:rsidRPr="008B6423" w:rsidRDefault="00D51494" w:rsidP="006736AE">
      <w:pPr>
        <w:pStyle w:val="Sangradetextonormal"/>
        <w:spacing w:line="276" w:lineRule="auto"/>
        <w:rPr>
          <w:spacing w:val="4"/>
        </w:rPr>
      </w:pPr>
      <w:r w:rsidRPr="008B6423">
        <w:rPr>
          <w:spacing w:val="4"/>
        </w:rPr>
        <w:t xml:space="preserve">En mérito de lo expuesto, el </w:t>
      </w:r>
      <w:r w:rsidRPr="008B6423">
        <w:rPr>
          <w:b/>
          <w:spacing w:val="4"/>
        </w:rPr>
        <w:t xml:space="preserve">Tribunal Superior del Distrito Judicial de Pereira (Risaralda), Sala de Decisión Laboral </w:t>
      </w:r>
      <w:r w:rsidR="008F1F12" w:rsidRPr="008B6423">
        <w:rPr>
          <w:b/>
          <w:spacing w:val="4"/>
        </w:rPr>
        <w:t>presidida por la Magistrada Ana Lucía Caicedo Calderón</w:t>
      </w:r>
      <w:r w:rsidRPr="008B6423">
        <w:rPr>
          <w:spacing w:val="4"/>
        </w:rPr>
        <w:t>, administrando justicia en nombre de la República y por autoridad de la Ley,</w:t>
      </w:r>
    </w:p>
    <w:p w14:paraId="64CCE6E4" w14:textId="77777777" w:rsidR="00D51494" w:rsidRPr="008B6423" w:rsidRDefault="00D51494" w:rsidP="006736AE">
      <w:pPr>
        <w:pStyle w:val="Sinespaciado"/>
        <w:spacing w:line="276" w:lineRule="auto"/>
        <w:rPr>
          <w:rFonts w:ascii="Tahoma" w:hAnsi="Tahoma" w:cs="Tahoma"/>
          <w:spacing w:val="4"/>
        </w:rPr>
      </w:pPr>
    </w:p>
    <w:p w14:paraId="23C29F55" w14:textId="77777777" w:rsidR="00D51494" w:rsidRPr="008B6423" w:rsidRDefault="00D51494" w:rsidP="006736AE">
      <w:pPr>
        <w:pStyle w:val="Prrafodelista"/>
        <w:widowControl w:val="0"/>
        <w:numPr>
          <w:ilvl w:val="0"/>
          <w:numId w:val="44"/>
        </w:numPr>
        <w:autoSpaceDE w:val="0"/>
        <w:autoSpaceDN w:val="0"/>
        <w:adjustRightInd w:val="0"/>
        <w:spacing w:line="276" w:lineRule="auto"/>
        <w:jc w:val="center"/>
        <w:rPr>
          <w:rFonts w:ascii="Tahoma" w:hAnsi="Tahoma" w:cs="Tahoma"/>
          <w:b/>
          <w:spacing w:val="4"/>
        </w:rPr>
      </w:pPr>
      <w:r w:rsidRPr="008B6423">
        <w:rPr>
          <w:rFonts w:ascii="Tahoma" w:hAnsi="Tahoma" w:cs="Tahoma"/>
          <w:b/>
          <w:spacing w:val="4"/>
        </w:rPr>
        <w:t>RESUELVE</w:t>
      </w:r>
    </w:p>
    <w:p w14:paraId="7C6745EF" w14:textId="77777777" w:rsidR="00D51494" w:rsidRPr="008B6423" w:rsidRDefault="00D51494" w:rsidP="006736AE">
      <w:pPr>
        <w:pStyle w:val="Sinespaciado"/>
        <w:spacing w:line="276" w:lineRule="auto"/>
        <w:rPr>
          <w:rFonts w:ascii="Tahoma" w:hAnsi="Tahoma" w:cs="Tahoma"/>
          <w:spacing w:val="4"/>
        </w:rPr>
      </w:pPr>
    </w:p>
    <w:p w14:paraId="4C3CCB36" w14:textId="534CB5A0" w:rsidR="00B07369" w:rsidRPr="008B6423" w:rsidRDefault="00D51494" w:rsidP="006736AE">
      <w:pPr>
        <w:pStyle w:val="Prrafodelista"/>
        <w:spacing w:line="276" w:lineRule="auto"/>
        <w:ind w:left="0" w:firstLine="561"/>
        <w:jc w:val="both"/>
        <w:rPr>
          <w:rFonts w:ascii="Tahoma" w:hAnsi="Tahoma" w:cs="Tahoma"/>
          <w:spacing w:val="4"/>
        </w:rPr>
      </w:pPr>
      <w:r w:rsidRPr="008B6423">
        <w:rPr>
          <w:rFonts w:ascii="Tahoma" w:hAnsi="Tahoma" w:cs="Tahoma"/>
          <w:b/>
          <w:bCs/>
          <w:spacing w:val="4"/>
          <w:u w:val="single"/>
        </w:rPr>
        <w:t>PRIMERO</w:t>
      </w:r>
      <w:r w:rsidRPr="008B6423">
        <w:rPr>
          <w:rFonts w:ascii="Tahoma" w:hAnsi="Tahoma" w:cs="Tahoma"/>
          <w:spacing w:val="4"/>
        </w:rPr>
        <w:t xml:space="preserve">.- </w:t>
      </w:r>
      <w:r w:rsidR="00622512" w:rsidRPr="008B6423">
        <w:rPr>
          <w:rFonts w:ascii="Tahoma" w:hAnsi="Tahoma" w:cs="Tahoma"/>
          <w:b/>
          <w:bCs/>
          <w:spacing w:val="4"/>
        </w:rPr>
        <w:t xml:space="preserve">REVOCAR </w:t>
      </w:r>
      <w:r w:rsidR="00622512" w:rsidRPr="008B6423">
        <w:rPr>
          <w:rFonts w:ascii="Tahoma" w:hAnsi="Tahoma" w:cs="Tahoma"/>
          <w:spacing w:val="4"/>
        </w:rPr>
        <w:t>el ordinal cuarto</w:t>
      </w:r>
      <w:r w:rsidR="00622512" w:rsidRPr="008B6423">
        <w:rPr>
          <w:rFonts w:ascii="Tahoma" w:hAnsi="Tahoma" w:cs="Tahoma"/>
          <w:b/>
          <w:bCs/>
          <w:spacing w:val="4"/>
        </w:rPr>
        <w:t xml:space="preserve"> </w:t>
      </w:r>
      <w:r w:rsidRPr="008B6423">
        <w:rPr>
          <w:rFonts w:ascii="Tahoma" w:hAnsi="Tahoma" w:cs="Tahoma"/>
          <w:spacing w:val="4"/>
        </w:rPr>
        <w:t xml:space="preserve">la sentencia proferida por el Juzgado </w:t>
      </w:r>
      <w:r w:rsidR="00622512" w:rsidRPr="008B6423">
        <w:rPr>
          <w:rFonts w:ascii="Tahoma" w:hAnsi="Tahoma" w:cs="Tahoma"/>
          <w:spacing w:val="4"/>
        </w:rPr>
        <w:t xml:space="preserve">Primero </w:t>
      </w:r>
      <w:r w:rsidRPr="008B6423">
        <w:rPr>
          <w:rFonts w:ascii="Tahoma" w:hAnsi="Tahoma" w:cs="Tahoma"/>
          <w:spacing w:val="4"/>
        </w:rPr>
        <w:t>Laboral del Circuito de Pereira el 1</w:t>
      </w:r>
      <w:r w:rsidR="00622512" w:rsidRPr="008B6423">
        <w:rPr>
          <w:rFonts w:ascii="Tahoma" w:hAnsi="Tahoma" w:cs="Tahoma"/>
          <w:spacing w:val="4"/>
        </w:rPr>
        <w:t xml:space="preserve">3 de marzo </w:t>
      </w:r>
      <w:r w:rsidR="00581C49" w:rsidRPr="008B6423">
        <w:rPr>
          <w:rFonts w:ascii="Tahoma" w:hAnsi="Tahoma" w:cs="Tahoma"/>
          <w:spacing w:val="4"/>
        </w:rPr>
        <w:t>de 2020</w:t>
      </w:r>
      <w:r w:rsidRPr="008B6423">
        <w:rPr>
          <w:rFonts w:ascii="Tahoma" w:hAnsi="Tahoma" w:cs="Tahoma"/>
          <w:spacing w:val="4"/>
        </w:rPr>
        <w:t xml:space="preserve">, dentro del proceso </w:t>
      </w:r>
      <w:r w:rsidRPr="008B6423">
        <w:rPr>
          <w:rStyle w:val="normaltextrun"/>
          <w:rFonts w:ascii="Tahoma" w:hAnsi="Tahoma" w:cs="Tahoma"/>
          <w:spacing w:val="4"/>
        </w:rPr>
        <w:t>instaurado por</w:t>
      </w:r>
      <w:r w:rsidRPr="008B6423">
        <w:rPr>
          <w:rFonts w:ascii="Tahoma" w:hAnsi="Tahoma" w:cs="Tahoma"/>
          <w:spacing w:val="4"/>
        </w:rPr>
        <w:t xml:space="preserve"> </w:t>
      </w:r>
      <w:r w:rsidR="00622512" w:rsidRPr="008B6423">
        <w:rPr>
          <w:rFonts w:ascii="Tahoma" w:hAnsi="Tahoma" w:cs="Tahoma"/>
          <w:b/>
          <w:bCs/>
          <w:spacing w:val="4"/>
        </w:rPr>
        <w:t>Paula Andrea Pérez Bustamante</w:t>
      </w:r>
      <w:r w:rsidR="00622512" w:rsidRPr="008B6423">
        <w:rPr>
          <w:rFonts w:ascii="Tahoma" w:hAnsi="Tahoma" w:cs="Tahoma"/>
          <w:spacing w:val="4"/>
        </w:rPr>
        <w:t xml:space="preserve">, en representación </w:t>
      </w:r>
      <w:r w:rsidR="00622512" w:rsidRPr="008B6423">
        <w:rPr>
          <w:rFonts w:ascii="Tahoma" w:hAnsi="Tahoma" w:cs="Tahoma"/>
          <w:spacing w:val="4"/>
        </w:rPr>
        <w:lastRenderedPageBreak/>
        <w:t xml:space="preserve">de Juan Felipe Pineda Pérez, en contra de la </w:t>
      </w:r>
      <w:r w:rsidR="00622512" w:rsidRPr="008B6423">
        <w:rPr>
          <w:rFonts w:ascii="Tahoma" w:hAnsi="Tahoma" w:cs="Tahoma"/>
          <w:b/>
          <w:bCs/>
          <w:spacing w:val="4"/>
        </w:rPr>
        <w:t>Administradora de Fondos de Pensiones Porvenir S.A.</w:t>
      </w:r>
      <w:r w:rsidR="00622512" w:rsidRPr="008B6423">
        <w:rPr>
          <w:rFonts w:ascii="Tahoma" w:hAnsi="Tahoma" w:cs="Tahoma"/>
          <w:spacing w:val="4"/>
        </w:rPr>
        <w:t xml:space="preserve"> para, en su lugar, ordenar a la AFP demandada que reconozca los intereses moratorios de que trata el artículo 141 de la Ley 100 de 1993</w:t>
      </w:r>
      <w:r w:rsidR="00B07369" w:rsidRPr="008B6423">
        <w:rPr>
          <w:rFonts w:ascii="Tahoma" w:hAnsi="Tahoma" w:cs="Tahoma"/>
          <w:spacing w:val="4"/>
        </w:rPr>
        <w:t xml:space="preserve"> a partir del 9 de marzo de 2018 hasta que se haga el pago efectivo de la obligación.</w:t>
      </w:r>
    </w:p>
    <w:p w14:paraId="33A24B9B" w14:textId="4B3D303B" w:rsidR="00581C49" w:rsidRPr="008B6423" w:rsidRDefault="00581C49" w:rsidP="006736AE">
      <w:pPr>
        <w:spacing w:line="276" w:lineRule="auto"/>
        <w:ind w:firstLine="708"/>
        <w:jc w:val="both"/>
        <w:rPr>
          <w:rFonts w:ascii="Tahoma" w:hAnsi="Tahoma" w:cs="Tahoma"/>
          <w:spacing w:val="4"/>
        </w:rPr>
      </w:pPr>
    </w:p>
    <w:p w14:paraId="1969D17A" w14:textId="0A4B19CD" w:rsidR="005A2746" w:rsidRPr="008B6423" w:rsidRDefault="006736AE" w:rsidP="006736AE">
      <w:pPr>
        <w:spacing w:line="276" w:lineRule="auto"/>
        <w:ind w:firstLine="708"/>
        <w:jc w:val="both"/>
        <w:rPr>
          <w:rFonts w:ascii="Tahoma" w:eastAsia="Tahoma" w:hAnsi="Tahoma" w:cs="Tahoma"/>
          <w:spacing w:val="4"/>
        </w:rPr>
      </w:pPr>
      <w:r w:rsidRPr="008B6423">
        <w:rPr>
          <w:rFonts w:ascii="Tahoma" w:hAnsi="Tahoma" w:cs="Tahoma"/>
          <w:b/>
          <w:spacing w:val="4"/>
          <w:u w:val="single"/>
        </w:rPr>
        <w:t>SEGUNDO</w:t>
      </w:r>
      <w:r w:rsidRPr="008B6423">
        <w:rPr>
          <w:rFonts w:ascii="Tahoma" w:hAnsi="Tahoma" w:cs="Tahoma"/>
          <w:b/>
          <w:spacing w:val="4"/>
        </w:rPr>
        <w:t>. -</w:t>
      </w:r>
      <w:r w:rsidR="00D51494" w:rsidRPr="008B6423">
        <w:rPr>
          <w:rFonts w:ascii="Tahoma" w:hAnsi="Tahoma" w:cs="Tahoma"/>
          <w:b/>
          <w:spacing w:val="4"/>
        </w:rPr>
        <w:t xml:space="preserve"> </w:t>
      </w:r>
      <w:r w:rsidR="00B07369" w:rsidRPr="008B6423">
        <w:rPr>
          <w:rFonts w:ascii="Tahoma" w:eastAsia="Tahoma" w:hAnsi="Tahoma" w:cs="Tahoma"/>
          <w:b/>
          <w:bCs/>
          <w:spacing w:val="4"/>
        </w:rPr>
        <w:t xml:space="preserve">CONFIRMAR </w:t>
      </w:r>
      <w:r w:rsidR="00B07369" w:rsidRPr="008B6423">
        <w:rPr>
          <w:rFonts w:ascii="Tahoma" w:eastAsia="Tahoma" w:hAnsi="Tahoma" w:cs="Tahoma"/>
          <w:bCs/>
          <w:spacing w:val="4"/>
        </w:rPr>
        <w:t>en todo lo demás la sentencia de primer grado.</w:t>
      </w:r>
    </w:p>
    <w:p w14:paraId="4302208E" w14:textId="77777777" w:rsidR="00ED2367" w:rsidRPr="008B6423" w:rsidRDefault="00ED2367" w:rsidP="006736AE">
      <w:pPr>
        <w:spacing w:line="276" w:lineRule="auto"/>
        <w:ind w:firstLine="709"/>
        <w:jc w:val="both"/>
        <w:rPr>
          <w:rFonts w:ascii="Tahoma" w:hAnsi="Tahoma" w:cs="Tahoma"/>
          <w:b/>
          <w:spacing w:val="4"/>
        </w:rPr>
      </w:pPr>
    </w:p>
    <w:p w14:paraId="4DA3E54A" w14:textId="341DF651" w:rsidR="00FF2D43" w:rsidRPr="008B6423" w:rsidRDefault="006736AE" w:rsidP="006736AE">
      <w:pPr>
        <w:spacing w:line="276" w:lineRule="auto"/>
        <w:ind w:firstLine="709"/>
        <w:jc w:val="both"/>
        <w:rPr>
          <w:rFonts w:ascii="Tahoma" w:hAnsi="Tahoma" w:cs="Tahoma"/>
          <w:b/>
          <w:spacing w:val="4"/>
        </w:rPr>
      </w:pPr>
      <w:r w:rsidRPr="008B6423">
        <w:rPr>
          <w:rFonts w:ascii="Tahoma" w:hAnsi="Tahoma" w:cs="Tahoma"/>
          <w:b/>
          <w:spacing w:val="4"/>
        </w:rPr>
        <w:t>TERCERO. -</w:t>
      </w:r>
      <w:r w:rsidR="00ED2367" w:rsidRPr="008B6423">
        <w:rPr>
          <w:rFonts w:ascii="Tahoma" w:hAnsi="Tahoma" w:cs="Tahoma"/>
          <w:b/>
          <w:spacing w:val="4"/>
        </w:rPr>
        <w:t xml:space="preserve"> </w:t>
      </w:r>
      <w:r w:rsidR="00FF2D43" w:rsidRPr="008B6423">
        <w:rPr>
          <w:rFonts w:ascii="Tahoma" w:hAnsi="Tahoma" w:cs="Tahoma"/>
          <w:b/>
          <w:spacing w:val="4"/>
        </w:rPr>
        <w:t xml:space="preserve">COSTAS </w:t>
      </w:r>
      <w:r w:rsidR="00FF2D43" w:rsidRPr="008B6423">
        <w:rPr>
          <w:rFonts w:ascii="Tahoma" w:hAnsi="Tahoma" w:cs="Tahoma"/>
          <w:spacing w:val="4"/>
        </w:rPr>
        <w:t xml:space="preserve">en </w:t>
      </w:r>
      <w:r w:rsidR="00ED2367" w:rsidRPr="008B6423">
        <w:rPr>
          <w:rFonts w:ascii="Tahoma" w:hAnsi="Tahoma" w:cs="Tahoma"/>
          <w:spacing w:val="4"/>
        </w:rPr>
        <w:t>segunda instancia</w:t>
      </w:r>
      <w:r w:rsidR="00B07369" w:rsidRPr="008B6423">
        <w:rPr>
          <w:rFonts w:ascii="Tahoma" w:hAnsi="Tahoma" w:cs="Tahoma"/>
          <w:spacing w:val="4"/>
        </w:rPr>
        <w:t xml:space="preserve"> a cargo de Porvenir S.A. y a favor de la parte actora en un 100%</w:t>
      </w:r>
      <w:r w:rsidR="00ED2367" w:rsidRPr="008B6423">
        <w:rPr>
          <w:rFonts w:ascii="Tahoma" w:hAnsi="Tahoma" w:cs="Tahoma"/>
          <w:spacing w:val="4"/>
        </w:rPr>
        <w:t>.</w:t>
      </w:r>
      <w:r w:rsidR="00B07369" w:rsidRPr="008B6423">
        <w:rPr>
          <w:rFonts w:ascii="Tahoma" w:hAnsi="Tahoma" w:cs="Tahoma"/>
          <w:spacing w:val="4"/>
        </w:rPr>
        <w:t xml:space="preserve"> Liquídense por la secretaría del juzgado de origen.</w:t>
      </w:r>
    </w:p>
    <w:p w14:paraId="1F7C5049" w14:textId="77777777" w:rsidR="00D51494" w:rsidRPr="008B6423" w:rsidRDefault="00D51494" w:rsidP="006736AE">
      <w:pPr>
        <w:pStyle w:val="Sinespaciado"/>
        <w:spacing w:line="276" w:lineRule="auto"/>
        <w:rPr>
          <w:rFonts w:ascii="Tahoma" w:hAnsi="Tahoma" w:cs="Tahoma"/>
          <w:spacing w:val="4"/>
        </w:rPr>
      </w:pPr>
    </w:p>
    <w:p w14:paraId="2C4F8A75" w14:textId="0268914A" w:rsidR="00ED2367" w:rsidRPr="008B6423" w:rsidRDefault="00ED2367" w:rsidP="006736AE">
      <w:pPr>
        <w:pStyle w:val="Prrafodelista"/>
        <w:widowControl w:val="0"/>
        <w:autoSpaceDE w:val="0"/>
        <w:autoSpaceDN w:val="0"/>
        <w:adjustRightInd w:val="0"/>
        <w:spacing w:line="276" w:lineRule="auto"/>
        <w:ind w:left="0" w:firstLine="709"/>
        <w:jc w:val="both"/>
        <w:rPr>
          <w:rFonts w:ascii="Tahoma" w:hAnsi="Tahoma" w:cs="Tahoma"/>
          <w:b/>
          <w:bCs/>
          <w:spacing w:val="4"/>
        </w:rPr>
      </w:pPr>
      <w:r w:rsidRPr="008B6423">
        <w:rPr>
          <w:rFonts w:ascii="Tahoma" w:hAnsi="Tahoma" w:cs="Tahoma"/>
          <w:b/>
          <w:bCs/>
          <w:spacing w:val="4"/>
        </w:rPr>
        <w:t>Notifíquese y cúmplase.</w:t>
      </w:r>
    </w:p>
    <w:p w14:paraId="2743D12D" w14:textId="77777777" w:rsidR="00D51494" w:rsidRPr="008B6423" w:rsidRDefault="00D51494" w:rsidP="006736AE">
      <w:pPr>
        <w:pStyle w:val="Prrafodelista"/>
        <w:widowControl w:val="0"/>
        <w:autoSpaceDE w:val="0"/>
        <w:autoSpaceDN w:val="0"/>
        <w:adjustRightInd w:val="0"/>
        <w:spacing w:line="276" w:lineRule="auto"/>
        <w:ind w:left="0" w:firstLine="709"/>
        <w:jc w:val="both"/>
        <w:rPr>
          <w:rFonts w:ascii="Tahoma" w:hAnsi="Tahoma" w:cs="Tahoma"/>
          <w:spacing w:val="4"/>
        </w:rPr>
      </w:pPr>
    </w:p>
    <w:p w14:paraId="0C3DC0D6" w14:textId="77777777" w:rsidR="006736AE" w:rsidRPr="008B6423" w:rsidRDefault="006736AE" w:rsidP="006736AE">
      <w:pPr>
        <w:widowControl w:val="0"/>
        <w:autoSpaceDE w:val="0"/>
        <w:autoSpaceDN w:val="0"/>
        <w:adjustRightInd w:val="0"/>
        <w:spacing w:line="276" w:lineRule="auto"/>
        <w:jc w:val="both"/>
        <w:rPr>
          <w:rFonts w:ascii="Tahoma" w:hAnsi="Tahoma" w:cs="Tahoma"/>
          <w:spacing w:val="4"/>
        </w:rPr>
      </w:pPr>
      <w:bookmarkStart w:id="2" w:name="_Hlk66276963"/>
      <w:r w:rsidRPr="008B6423">
        <w:rPr>
          <w:rFonts w:ascii="Tahoma" w:hAnsi="Tahoma" w:cs="Tahoma"/>
          <w:spacing w:val="4"/>
        </w:rPr>
        <w:tab/>
        <w:t>La Magistrada ponente,</w:t>
      </w:r>
    </w:p>
    <w:p w14:paraId="381B8A64" w14:textId="77777777" w:rsidR="006736AE" w:rsidRPr="008B6423" w:rsidRDefault="006736AE" w:rsidP="006736AE">
      <w:pPr>
        <w:spacing w:line="276" w:lineRule="auto"/>
        <w:rPr>
          <w:rFonts w:ascii="Tahoma" w:hAnsi="Tahoma" w:cs="Tahoma"/>
          <w:spacing w:val="4"/>
        </w:rPr>
      </w:pPr>
    </w:p>
    <w:p w14:paraId="1398DE18" w14:textId="77777777" w:rsidR="006736AE" w:rsidRPr="008B6423" w:rsidRDefault="006736AE" w:rsidP="006736AE">
      <w:pPr>
        <w:spacing w:line="276" w:lineRule="auto"/>
        <w:rPr>
          <w:rFonts w:ascii="Tahoma" w:hAnsi="Tahoma" w:cs="Tahoma"/>
          <w:spacing w:val="4"/>
        </w:rPr>
      </w:pPr>
    </w:p>
    <w:p w14:paraId="6A8D084C" w14:textId="77777777" w:rsidR="006736AE" w:rsidRPr="008B6423" w:rsidRDefault="006736AE" w:rsidP="006736AE">
      <w:pPr>
        <w:spacing w:line="276" w:lineRule="auto"/>
        <w:rPr>
          <w:rFonts w:ascii="Tahoma" w:hAnsi="Tahoma" w:cs="Tahoma"/>
          <w:spacing w:val="4"/>
        </w:rPr>
      </w:pPr>
    </w:p>
    <w:p w14:paraId="3F8433AF" w14:textId="77777777" w:rsidR="006736AE" w:rsidRPr="008B6423" w:rsidRDefault="006736AE" w:rsidP="006736AE">
      <w:pPr>
        <w:keepNext/>
        <w:spacing w:line="276" w:lineRule="auto"/>
        <w:jc w:val="center"/>
        <w:outlineLvl w:val="2"/>
        <w:rPr>
          <w:rFonts w:ascii="Tahoma" w:hAnsi="Tahoma" w:cs="Tahoma"/>
          <w:b/>
          <w:bCs/>
          <w:spacing w:val="4"/>
        </w:rPr>
      </w:pPr>
      <w:r w:rsidRPr="008B6423">
        <w:rPr>
          <w:rFonts w:ascii="Tahoma" w:hAnsi="Tahoma" w:cs="Tahoma"/>
          <w:b/>
          <w:bCs/>
          <w:spacing w:val="4"/>
        </w:rPr>
        <w:t>ANA LUCÍA CAICEDO CALDERÓN</w:t>
      </w:r>
    </w:p>
    <w:p w14:paraId="4DBFA5E0" w14:textId="77777777" w:rsidR="006736AE" w:rsidRPr="008B6423" w:rsidRDefault="006736AE" w:rsidP="006736AE">
      <w:pPr>
        <w:spacing w:line="276" w:lineRule="auto"/>
        <w:rPr>
          <w:rFonts w:ascii="Tahoma" w:hAnsi="Tahoma" w:cs="Tahoma"/>
          <w:spacing w:val="4"/>
        </w:rPr>
      </w:pPr>
    </w:p>
    <w:p w14:paraId="4C4B7264" w14:textId="77777777" w:rsidR="006736AE" w:rsidRPr="008B6423" w:rsidRDefault="006736AE" w:rsidP="006736AE">
      <w:pPr>
        <w:spacing w:line="276" w:lineRule="auto"/>
        <w:ind w:firstLine="708"/>
        <w:rPr>
          <w:rFonts w:ascii="Tahoma" w:hAnsi="Tahoma" w:cs="Tahoma"/>
          <w:spacing w:val="4"/>
        </w:rPr>
      </w:pPr>
      <w:bookmarkStart w:id="3" w:name="_Hlk62478330"/>
      <w:r w:rsidRPr="008B6423">
        <w:rPr>
          <w:rFonts w:ascii="Tahoma" w:hAnsi="Tahoma" w:cs="Tahoma"/>
          <w:spacing w:val="4"/>
        </w:rPr>
        <w:t>La Magistrada y el Magistrado,</w:t>
      </w:r>
    </w:p>
    <w:p w14:paraId="05705560" w14:textId="77777777" w:rsidR="006736AE" w:rsidRPr="008B6423" w:rsidRDefault="006736AE" w:rsidP="006736AE">
      <w:pPr>
        <w:spacing w:line="276" w:lineRule="auto"/>
        <w:rPr>
          <w:rFonts w:ascii="Tahoma" w:hAnsi="Tahoma" w:cs="Tahoma"/>
          <w:spacing w:val="4"/>
        </w:rPr>
      </w:pPr>
    </w:p>
    <w:p w14:paraId="4187FEB2" w14:textId="77777777" w:rsidR="006736AE" w:rsidRPr="008B6423" w:rsidRDefault="006736AE" w:rsidP="006736AE">
      <w:pPr>
        <w:spacing w:line="276" w:lineRule="auto"/>
        <w:rPr>
          <w:rFonts w:ascii="Tahoma" w:hAnsi="Tahoma" w:cs="Tahoma"/>
          <w:spacing w:val="4"/>
        </w:rPr>
      </w:pPr>
    </w:p>
    <w:p w14:paraId="1942BCB2" w14:textId="77777777" w:rsidR="006736AE" w:rsidRPr="008B6423" w:rsidRDefault="006736AE" w:rsidP="006736AE">
      <w:pPr>
        <w:spacing w:line="276" w:lineRule="auto"/>
        <w:rPr>
          <w:rFonts w:ascii="Tahoma" w:hAnsi="Tahoma" w:cs="Tahoma"/>
          <w:spacing w:val="4"/>
        </w:rPr>
      </w:pPr>
    </w:p>
    <w:p w14:paraId="304DBDD3" w14:textId="77777777" w:rsidR="006736AE" w:rsidRPr="008B6423" w:rsidRDefault="006736AE" w:rsidP="006736AE">
      <w:pPr>
        <w:spacing w:line="276" w:lineRule="auto"/>
        <w:jc w:val="both"/>
        <w:rPr>
          <w:rFonts w:ascii="Tahoma" w:hAnsi="Tahoma" w:cs="Tahoma"/>
          <w:spacing w:val="4"/>
        </w:rPr>
      </w:pPr>
      <w:r w:rsidRPr="008B6423">
        <w:rPr>
          <w:rFonts w:ascii="Tahoma" w:hAnsi="Tahoma" w:cs="Tahoma"/>
          <w:b/>
          <w:bCs/>
          <w:spacing w:val="4"/>
        </w:rPr>
        <w:t>OLGA LUCÍA HOYOS SEPÚLVEDA</w:t>
      </w:r>
      <w:r w:rsidRPr="008B6423">
        <w:rPr>
          <w:rFonts w:ascii="Tahoma" w:hAnsi="Tahoma" w:cs="Tahoma"/>
          <w:b/>
          <w:bCs/>
          <w:spacing w:val="4"/>
        </w:rPr>
        <w:tab/>
      </w:r>
      <w:r w:rsidRPr="008B6423">
        <w:rPr>
          <w:rFonts w:ascii="Tahoma" w:hAnsi="Tahoma" w:cs="Tahoma"/>
          <w:b/>
          <w:bCs/>
          <w:spacing w:val="4"/>
        </w:rPr>
        <w:tab/>
        <w:t>GERMÁN DARÍO GÓEZ VINASCO</w:t>
      </w:r>
    </w:p>
    <w:p w14:paraId="7B4D8B0D" w14:textId="66ACE755" w:rsidR="00036862" w:rsidRPr="008B6423" w:rsidRDefault="006736AE" w:rsidP="006736AE">
      <w:pPr>
        <w:spacing w:line="276" w:lineRule="auto"/>
        <w:jc w:val="both"/>
        <w:rPr>
          <w:rFonts w:ascii="Tahoma" w:hAnsi="Tahoma" w:cs="Tahoma"/>
          <w:spacing w:val="4"/>
        </w:rPr>
      </w:pPr>
      <w:r w:rsidRPr="008B6423">
        <w:rPr>
          <w:rFonts w:ascii="Tahoma" w:hAnsi="Tahoma" w:cs="Tahoma"/>
          <w:spacing w:val="4"/>
        </w:rPr>
        <w:t>Magistrada</w:t>
      </w:r>
      <w:r w:rsidRPr="008B6423">
        <w:rPr>
          <w:rFonts w:ascii="Tahoma" w:hAnsi="Tahoma" w:cs="Tahoma"/>
          <w:spacing w:val="4"/>
        </w:rPr>
        <w:tab/>
      </w:r>
      <w:r w:rsidRPr="008B6423">
        <w:rPr>
          <w:rFonts w:ascii="Tahoma" w:hAnsi="Tahoma" w:cs="Tahoma"/>
          <w:spacing w:val="4"/>
        </w:rPr>
        <w:tab/>
      </w:r>
      <w:r w:rsidRPr="008B6423">
        <w:rPr>
          <w:rFonts w:ascii="Tahoma" w:hAnsi="Tahoma" w:cs="Tahoma"/>
          <w:spacing w:val="4"/>
        </w:rPr>
        <w:tab/>
      </w:r>
      <w:r w:rsidRPr="008B6423">
        <w:rPr>
          <w:rFonts w:ascii="Tahoma" w:hAnsi="Tahoma" w:cs="Tahoma"/>
          <w:spacing w:val="4"/>
        </w:rPr>
        <w:tab/>
      </w:r>
      <w:r w:rsidRPr="008B6423">
        <w:rPr>
          <w:rFonts w:ascii="Tahoma" w:hAnsi="Tahoma" w:cs="Tahoma"/>
          <w:spacing w:val="4"/>
        </w:rPr>
        <w:tab/>
      </w:r>
      <w:r w:rsidRPr="008B6423">
        <w:rPr>
          <w:rFonts w:ascii="Tahoma" w:hAnsi="Tahoma" w:cs="Tahoma"/>
          <w:spacing w:val="4"/>
        </w:rPr>
        <w:tab/>
        <w:t>Magistrado</w:t>
      </w:r>
      <w:bookmarkEnd w:id="2"/>
      <w:bookmarkEnd w:id="3"/>
    </w:p>
    <w:sectPr w:rsidR="00036862" w:rsidRPr="008B6423" w:rsidSect="008B6423">
      <w:headerReference w:type="even" r:id="rId14"/>
      <w:headerReference w:type="default" r:id="rId15"/>
      <w:footerReference w:type="default" r:id="rId16"/>
      <w:pgSz w:w="12242" w:h="18722" w:code="258"/>
      <w:pgMar w:top="1985" w:right="1361" w:bottom="1418" w:left="1928"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7BD6A" w14:textId="77777777" w:rsidR="00693B49" w:rsidRDefault="00693B49">
      <w:r>
        <w:separator/>
      </w:r>
    </w:p>
  </w:endnote>
  <w:endnote w:type="continuationSeparator" w:id="0">
    <w:p w14:paraId="0BEB0AC8" w14:textId="77777777" w:rsidR="00693B49" w:rsidRDefault="0069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FA4D61" w:rsidRPr="006736AE" w:rsidRDefault="00FA4D61">
    <w:pPr>
      <w:pStyle w:val="Piedepgina"/>
      <w:jc w:val="right"/>
      <w:rPr>
        <w:rFonts w:ascii="Arial" w:hAnsi="Arial" w:cs="Arial"/>
        <w:sz w:val="18"/>
      </w:rPr>
    </w:pPr>
    <w:r w:rsidRPr="006736AE">
      <w:rPr>
        <w:rFonts w:ascii="Arial" w:hAnsi="Arial" w:cs="Arial"/>
        <w:sz w:val="18"/>
      </w:rPr>
      <w:fldChar w:fldCharType="begin"/>
    </w:r>
    <w:r w:rsidRPr="006736AE">
      <w:rPr>
        <w:rFonts w:ascii="Arial" w:hAnsi="Arial" w:cs="Arial"/>
        <w:sz w:val="18"/>
      </w:rPr>
      <w:instrText>PAGE   \* MERGEFORMAT</w:instrText>
    </w:r>
    <w:r w:rsidRPr="006736AE">
      <w:rPr>
        <w:rFonts w:ascii="Arial" w:hAnsi="Arial" w:cs="Arial"/>
        <w:sz w:val="18"/>
      </w:rPr>
      <w:fldChar w:fldCharType="separate"/>
    </w:r>
    <w:r w:rsidR="0052373A" w:rsidRPr="006736AE">
      <w:rPr>
        <w:rFonts w:ascii="Arial" w:hAnsi="Arial" w:cs="Arial"/>
        <w:noProof/>
        <w:sz w:val="18"/>
      </w:rPr>
      <w:t>2</w:t>
    </w:r>
    <w:r w:rsidRPr="006736AE">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A814F" w14:textId="77777777" w:rsidR="00693B49" w:rsidRDefault="00693B49">
      <w:r>
        <w:separator/>
      </w:r>
    </w:p>
  </w:footnote>
  <w:footnote w:type="continuationSeparator" w:id="0">
    <w:p w14:paraId="46A2989E" w14:textId="77777777" w:rsidR="00693B49" w:rsidRDefault="00693B49">
      <w:r>
        <w:continuationSeparator/>
      </w:r>
    </w:p>
  </w:footnote>
  <w:footnote w:id="1">
    <w:p w14:paraId="50DBF2D8" w14:textId="617A7A9D" w:rsidR="007A5038" w:rsidRPr="006736AE" w:rsidRDefault="007A5038" w:rsidP="006736AE">
      <w:pPr>
        <w:pStyle w:val="Textonotapie"/>
        <w:jc w:val="both"/>
        <w:rPr>
          <w:rFonts w:ascii="Arial" w:hAnsi="Arial" w:cs="Arial"/>
          <w:sz w:val="18"/>
          <w:szCs w:val="18"/>
        </w:rPr>
      </w:pPr>
      <w:r w:rsidRPr="006736AE">
        <w:rPr>
          <w:rStyle w:val="Refdenotaalpie"/>
          <w:rFonts w:ascii="Arial" w:hAnsi="Arial" w:cs="Arial"/>
          <w:sz w:val="18"/>
          <w:szCs w:val="18"/>
        </w:rPr>
        <w:footnoteRef/>
      </w:r>
      <w:r w:rsidRPr="006736AE">
        <w:rPr>
          <w:rFonts w:ascii="Arial" w:hAnsi="Arial" w:cs="Arial"/>
          <w:sz w:val="18"/>
          <w:szCs w:val="18"/>
        </w:rPr>
        <w:t xml:space="preserve"> </w:t>
      </w:r>
      <w:r w:rsidRPr="006736AE">
        <w:rPr>
          <w:rFonts w:ascii="Arial" w:hAnsi="Arial" w:cs="Arial"/>
          <w:sz w:val="18"/>
          <w:szCs w:val="18"/>
          <w:shd w:val="clear" w:color="auto" w:fill="E6E6E6"/>
        </w:rPr>
        <w:t> Magistrada Ponente Dra. María Victoria Calle Correa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FA4D61" w:rsidRDefault="00FA4D6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FA4D61" w:rsidRDefault="00FA4D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9E165" w14:textId="624D2EA5" w:rsidR="000D3B82" w:rsidRPr="006736AE" w:rsidRDefault="000D3B82" w:rsidP="006736AE">
    <w:pPr>
      <w:pStyle w:val="Ttulo"/>
      <w:spacing w:line="240" w:lineRule="auto"/>
      <w:jc w:val="both"/>
      <w:rPr>
        <w:b w:val="0"/>
        <w:sz w:val="18"/>
        <w:szCs w:val="16"/>
      </w:rPr>
    </w:pPr>
    <w:r w:rsidRPr="006736AE">
      <w:rPr>
        <w:b w:val="0"/>
        <w:sz w:val="18"/>
        <w:szCs w:val="16"/>
      </w:rPr>
      <w:t>Radicación No.: 66001-31-05-001-2018-00580-01</w:t>
    </w:r>
  </w:p>
  <w:p w14:paraId="749D3544" w14:textId="184E8949" w:rsidR="000D3B82" w:rsidRPr="006736AE" w:rsidRDefault="000D3B82" w:rsidP="006736AE">
    <w:pPr>
      <w:pStyle w:val="Ttulo"/>
      <w:spacing w:line="240" w:lineRule="auto"/>
      <w:jc w:val="both"/>
      <w:rPr>
        <w:b w:val="0"/>
        <w:sz w:val="18"/>
        <w:szCs w:val="16"/>
      </w:rPr>
    </w:pPr>
    <w:r w:rsidRPr="006736AE">
      <w:rPr>
        <w:b w:val="0"/>
        <w:sz w:val="18"/>
        <w:szCs w:val="16"/>
      </w:rPr>
      <w:t xml:space="preserve">Demandante: Paula Andrea Pérez Bustamante   </w:t>
    </w:r>
  </w:p>
  <w:p w14:paraId="4E116FCF" w14:textId="5DD8D6B3" w:rsidR="000D3B82" w:rsidRPr="006736AE" w:rsidRDefault="000D3B82" w:rsidP="006736AE">
    <w:pPr>
      <w:pStyle w:val="Ttulo"/>
      <w:spacing w:line="240" w:lineRule="auto"/>
      <w:jc w:val="both"/>
      <w:rPr>
        <w:b w:val="0"/>
        <w:sz w:val="18"/>
        <w:szCs w:val="16"/>
      </w:rPr>
    </w:pPr>
    <w:r w:rsidRPr="006736AE">
      <w:rPr>
        <w:b w:val="0"/>
        <w:sz w:val="18"/>
        <w:szCs w:val="16"/>
      </w:rPr>
      <w:t xml:space="preserve">Demandado: </w:t>
    </w:r>
    <w:r w:rsidR="00DD49FC" w:rsidRPr="006736AE">
      <w:rPr>
        <w:b w:val="0"/>
        <w:sz w:val="18"/>
        <w:szCs w:val="16"/>
      </w:rPr>
      <w:t>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8D127332"/>
    <w:lvl w:ilvl="0" w:tplc="A71A048E">
      <w:start w:val="1"/>
      <w:numFmt w:val="bullet"/>
      <w:pStyle w:val="Listaconvietas"/>
      <w:lvlText w:val=""/>
      <w:lvlJc w:val="left"/>
      <w:pPr>
        <w:tabs>
          <w:tab w:val="num" w:pos="360"/>
        </w:tabs>
        <w:ind w:left="360" w:hanging="360"/>
      </w:pPr>
      <w:rPr>
        <w:rFonts w:ascii="Symbol" w:hAnsi="Symbol" w:hint="default"/>
      </w:rPr>
    </w:lvl>
    <w:lvl w:ilvl="1" w:tplc="03CC20DA">
      <w:numFmt w:val="decimal"/>
      <w:lvlText w:val=""/>
      <w:lvlJc w:val="left"/>
    </w:lvl>
    <w:lvl w:ilvl="2" w:tplc="96B4FCC4">
      <w:numFmt w:val="decimal"/>
      <w:lvlText w:val=""/>
      <w:lvlJc w:val="left"/>
    </w:lvl>
    <w:lvl w:ilvl="3" w:tplc="AB36AA74">
      <w:numFmt w:val="decimal"/>
      <w:lvlText w:val=""/>
      <w:lvlJc w:val="left"/>
    </w:lvl>
    <w:lvl w:ilvl="4" w:tplc="A3821A2C">
      <w:numFmt w:val="decimal"/>
      <w:lvlText w:val=""/>
      <w:lvlJc w:val="left"/>
    </w:lvl>
    <w:lvl w:ilvl="5" w:tplc="51EC2FBE">
      <w:numFmt w:val="decimal"/>
      <w:lvlText w:val=""/>
      <w:lvlJc w:val="left"/>
    </w:lvl>
    <w:lvl w:ilvl="6" w:tplc="0DB684BC">
      <w:numFmt w:val="decimal"/>
      <w:lvlText w:val=""/>
      <w:lvlJc w:val="left"/>
    </w:lvl>
    <w:lvl w:ilvl="7" w:tplc="C532C6EA">
      <w:numFmt w:val="decimal"/>
      <w:lvlText w:val=""/>
      <w:lvlJc w:val="left"/>
    </w:lvl>
    <w:lvl w:ilvl="8" w:tplc="8242C600">
      <w:numFmt w:val="decimal"/>
      <w:lvlText w:val=""/>
      <w:lvlJc w:val="left"/>
    </w:lvl>
  </w:abstractNum>
  <w:abstractNum w:abstractNumId="2"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4E02A0F"/>
    <w:multiLevelType w:val="multilevel"/>
    <w:tmpl w:val="30A44C36"/>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8E149B"/>
    <w:multiLevelType w:val="multilevel"/>
    <w:tmpl w:val="0504B88E"/>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7863691"/>
    <w:multiLevelType w:val="multilevel"/>
    <w:tmpl w:val="9E34A81E"/>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1" w15:restartNumberingAfterBreak="0">
    <w:nsid w:val="1A170CC2"/>
    <w:multiLevelType w:val="multilevel"/>
    <w:tmpl w:val="FA4CF8A0"/>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15:restartNumberingAfterBreak="0">
    <w:nsid w:val="1BCB7A59"/>
    <w:multiLevelType w:val="multilevel"/>
    <w:tmpl w:val="B448E334"/>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1D657105"/>
    <w:multiLevelType w:val="multilevel"/>
    <w:tmpl w:val="D92021E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22420212"/>
    <w:multiLevelType w:val="multilevel"/>
    <w:tmpl w:val="D0C81D02"/>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7"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4"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5"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15:restartNumberingAfterBreak="0">
    <w:nsid w:val="40553CEB"/>
    <w:multiLevelType w:val="multilevel"/>
    <w:tmpl w:val="163AEC90"/>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0"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6D038DA"/>
    <w:multiLevelType w:val="multilevel"/>
    <w:tmpl w:val="F190BA0E"/>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5" w15:restartNumberingAfterBreak="0">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7"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9"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0" w15:restartNumberingAfterBreak="0">
    <w:nsid w:val="6BB846B4"/>
    <w:multiLevelType w:val="multilevel"/>
    <w:tmpl w:val="4A2A7D0A"/>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1"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2"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3"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5"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9"/>
  </w:num>
  <w:num w:numId="2">
    <w:abstractNumId w:val="44"/>
  </w:num>
  <w:num w:numId="3">
    <w:abstractNumId w:val="30"/>
  </w:num>
  <w:num w:numId="4">
    <w:abstractNumId w:val="29"/>
  </w:num>
  <w:num w:numId="5">
    <w:abstractNumId w:val="24"/>
  </w:num>
  <w:num w:numId="6">
    <w:abstractNumId w:val="22"/>
  </w:num>
  <w:num w:numId="7">
    <w:abstractNumId w:val="20"/>
  </w:num>
  <w:num w:numId="8">
    <w:abstractNumId w:val="12"/>
  </w:num>
  <w:num w:numId="9">
    <w:abstractNumId w:val="17"/>
  </w:num>
  <w:num w:numId="10">
    <w:abstractNumId w:val="18"/>
  </w:num>
  <w:num w:numId="11">
    <w:abstractNumId w:val="15"/>
  </w:num>
  <w:num w:numId="12">
    <w:abstractNumId w:val="5"/>
  </w:num>
  <w:num w:numId="13">
    <w:abstractNumId w:val="1"/>
  </w:num>
  <w:num w:numId="14">
    <w:abstractNumId w:val="36"/>
  </w:num>
  <w:num w:numId="15">
    <w:abstractNumId w:val="39"/>
  </w:num>
  <w:num w:numId="16">
    <w:abstractNumId w:val="38"/>
  </w:num>
  <w:num w:numId="17">
    <w:abstractNumId w:val="23"/>
  </w:num>
  <w:num w:numId="18">
    <w:abstractNumId w:val="42"/>
  </w:num>
  <w:num w:numId="19">
    <w:abstractNumId w:val="43"/>
  </w:num>
  <w:num w:numId="20">
    <w:abstractNumId w:val="31"/>
  </w:num>
  <w:num w:numId="21">
    <w:abstractNumId w:val="41"/>
  </w:num>
  <w:num w:numId="22">
    <w:abstractNumId w:val="33"/>
  </w:num>
  <w:num w:numId="23">
    <w:abstractNumId w:val="32"/>
  </w:num>
  <w:num w:numId="24">
    <w:abstractNumId w:val="0"/>
  </w:num>
  <w:num w:numId="25">
    <w:abstractNumId w:val="27"/>
  </w:num>
  <w:num w:numId="26">
    <w:abstractNumId w:val="25"/>
  </w:num>
  <w:num w:numId="27">
    <w:abstractNumId w:val="13"/>
  </w:num>
  <w:num w:numId="28">
    <w:abstractNumId w:val="45"/>
  </w:num>
  <w:num w:numId="29">
    <w:abstractNumId w:val="16"/>
  </w:num>
  <w:num w:numId="30">
    <w:abstractNumId w:val="10"/>
  </w:num>
  <w:num w:numId="31">
    <w:abstractNumId w:val="14"/>
  </w:num>
  <w:num w:numId="32">
    <w:abstractNumId w:val="8"/>
  </w:num>
  <w:num w:numId="33">
    <w:abstractNumId w:val="28"/>
  </w:num>
  <w:num w:numId="34">
    <w:abstractNumId w:val="4"/>
  </w:num>
  <w:num w:numId="35">
    <w:abstractNumId w:val="40"/>
  </w:num>
  <w:num w:numId="36">
    <w:abstractNumId w:val="9"/>
  </w:num>
  <w:num w:numId="37">
    <w:abstractNumId w:val="34"/>
  </w:num>
  <w:num w:numId="38">
    <w:abstractNumId w:val="7"/>
  </w:num>
  <w:num w:numId="39">
    <w:abstractNumId w:val="26"/>
  </w:num>
  <w:num w:numId="40">
    <w:abstractNumId w:val="35"/>
  </w:num>
  <w:num w:numId="41">
    <w:abstractNumId w:val="21"/>
  </w:num>
  <w:num w:numId="42">
    <w:abstractNumId w:val="3"/>
  </w:num>
  <w:num w:numId="43">
    <w:abstractNumId w:val="6"/>
  </w:num>
  <w:num w:numId="44">
    <w:abstractNumId w:val="11"/>
  </w:num>
  <w:num w:numId="45">
    <w:abstractNumId w:val="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946"/>
    <w:rsid w:val="00011DC0"/>
    <w:rsid w:val="00013138"/>
    <w:rsid w:val="00013441"/>
    <w:rsid w:val="000138D2"/>
    <w:rsid w:val="00014101"/>
    <w:rsid w:val="00014172"/>
    <w:rsid w:val="00014949"/>
    <w:rsid w:val="000149FB"/>
    <w:rsid w:val="00014F1A"/>
    <w:rsid w:val="000153D6"/>
    <w:rsid w:val="00015677"/>
    <w:rsid w:val="00015C7D"/>
    <w:rsid w:val="00016531"/>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862"/>
    <w:rsid w:val="00036C06"/>
    <w:rsid w:val="00036EDF"/>
    <w:rsid w:val="00036EF2"/>
    <w:rsid w:val="00037530"/>
    <w:rsid w:val="00037AF3"/>
    <w:rsid w:val="00037FB7"/>
    <w:rsid w:val="000400DC"/>
    <w:rsid w:val="00041F36"/>
    <w:rsid w:val="000423AA"/>
    <w:rsid w:val="000424DD"/>
    <w:rsid w:val="000424FE"/>
    <w:rsid w:val="00042929"/>
    <w:rsid w:val="00042BE8"/>
    <w:rsid w:val="00042D64"/>
    <w:rsid w:val="00043582"/>
    <w:rsid w:val="0004475C"/>
    <w:rsid w:val="00044C28"/>
    <w:rsid w:val="00044E95"/>
    <w:rsid w:val="000454B0"/>
    <w:rsid w:val="00045950"/>
    <w:rsid w:val="000461AB"/>
    <w:rsid w:val="00046230"/>
    <w:rsid w:val="0004798C"/>
    <w:rsid w:val="000502A9"/>
    <w:rsid w:val="00050B8B"/>
    <w:rsid w:val="000516FA"/>
    <w:rsid w:val="000526DE"/>
    <w:rsid w:val="0005299F"/>
    <w:rsid w:val="00053381"/>
    <w:rsid w:val="00053767"/>
    <w:rsid w:val="000539D9"/>
    <w:rsid w:val="00053BBC"/>
    <w:rsid w:val="00054180"/>
    <w:rsid w:val="00056F1F"/>
    <w:rsid w:val="00057644"/>
    <w:rsid w:val="00057E02"/>
    <w:rsid w:val="0006296E"/>
    <w:rsid w:val="0006298A"/>
    <w:rsid w:val="000634C3"/>
    <w:rsid w:val="00063FBC"/>
    <w:rsid w:val="00064C80"/>
    <w:rsid w:val="00065677"/>
    <w:rsid w:val="00065765"/>
    <w:rsid w:val="00065C21"/>
    <w:rsid w:val="00065E53"/>
    <w:rsid w:val="00067227"/>
    <w:rsid w:val="0007089E"/>
    <w:rsid w:val="00070FB2"/>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5F52"/>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3191"/>
    <w:rsid w:val="000B3201"/>
    <w:rsid w:val="000B408E"/>
    <w:rsid w:val="000B4F1F"/>
    <w:rsid w:val="000B5064"/>
    <w:rsid w:val="000B7C76"/>
    <w:rsid w:val="000B7F7C"/>
    <w:rsid w:val="000C032A"/>
    <w:rsid w:val="000C0395"/>
    <w:rsid w:val="000C0CA5"/>
    <w:rsid w:val="000C1504"/>
    <w:rsid w:val="000C1551"/>
    <w:rsid w:val="000C1808"/>
    <w:rsid w:val="000C1E6A"/>
    <w:rsid w:val="000C2226"/>
    <w:rsid w:val="000C29B3"/>
    <w:rsid w:val="000C2C37"/>
    <w:rsid w:val="000C2FCD"/>
    <w:rsid w:val="000C3177"/>
    <w:rsid w:val="000C49FA"/>
    <w:rsid w:val="000C4CB0"/>
    <w:rsid w:val="000C5830"/>
    <w:rsid w:val="000C5B4F"/>
    <w:rsid w:val="000C6F72"/>
    <w:rsid w:val="000C732F"/>
    <w:rsid w:val="000C7393"/>
    <w:rsid w:val="000C76C5"/>
    <w:rsid w:val="000C79F9"/>
    <w:rsid w:val="000C7DB4"/>
    <w:rsid w:val="000D2236"/>
    <w:rsid w:val="000D2E16"/>
    <w:rsid w:val="000D306C"/>
    <w:rsid w:val="000D33C5"/>
    <w:rsid w:val="000D349C"/>
    <w:rsid w:val="000D3ABC"/>
    <w:rsid w:val="000D3B82"/>
    <w:rsid w:val="000D4C36"/>
    <w:rsid w:val="000D6954"/>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133A"/>
    <w:rsid w:val="0012133C"/>
    <w:rsid w:val="00122140"/>
    <w:rsid w:val="00122521"/>
    <w:rsid w:val="00123412"/>
    <w:rsid w:val="00123767"/>
    <w:rsid w:val="001245C1"/>
    <w:rsid w:val="00124D1E"/>
    <w:rsid w:val="00125BB8"/>
    <w:rsid w:val="00126266"/>
    <w:rsid w:val="00127EE2"/>
    <w:rsid w:val="00130D74"/>
    <w:rsid w:val="00131250"/>
    <w:rsid w:val="00131C1B"/>
    <w:rsid w:val="0013280B"/>
    <w:rsid w:val="00133641"/>
    <w:rsid w:val="00133DD5"/>
    <w:rsid w:val="00134872"/>
    <w:rsid w:val="001355E4"/>
    <w:rsid w:val="00135707"/>
    <w:rsid w:val="00137BDE"/>
    <w:rsid w:val="00137E1C"/>
    <w:rsid w:val="001410C3"/>
    <w:rsid w:val="00141D49"/>
    <w:rsid w:val="00142274"/>
    <w:rsid w:val="00143418"/>
    <w:rsid w:val="001446C7"/>
    <w:rsid w:val="00144A90"/>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5EC"/>
    <w:rsid w:val="00154A10"/>
    <w:rsid w:val="00154E20"/>
    <w:rsid w:val="00154FBA"/>
    <w:rsid w:val="00155008"/>
    <w:rsid w:val="0015510F"/>
    <w:rsid w:val="0015533E"/>
    <w:rsid w:val="001554E1"/>
    <w:rsid w:val="00155AE5"/>
    <w:rsid w:val="0015638D"/>
    <w:rsid w:val="00156529"/>
    <w:rsid w:val="00156577"/>
    <w:rsid w:val="0015690B"/>
    <w:rsid w:val="00156F0C"/>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AC"/>
    <w:rsid w:val="00173EBE"/>
    <w:rsid w:val="00175883"/>
    <w:rsid w:val="00175C09"/>
    <w:rsid w:val="00175F09"/>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64"/>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409C"/>
    <w:rsid w:val="001B4C7E"/>
    <w:rsid w:val="001B4E47"/>
    <w:rsid w:val="001B5F3A"/>
    <w:rsid w:val="001B6E90"/>
    <w:rsid w:val="001B76BD"/>
    <w:rsid w:val="001C03A9"/>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81"/>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327"/>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318"/>
    <w:rsid w:val="00217C92"/>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BE8"/>
    <w:rsid w:val="00252D82"/>
    <w:rsid w:val="002531AB"/>
    <w:rsid w:val="00253D88"/>
    <w:rsid w:val="00253F65"/>
    <w:rsid w:val="00253FD6"/>
    <w:rsid w:val="00254181"/>
    <w:rsid w:val="00255760"/>
    <w:rsid w:val="002557C5"/>
    <w:rsid w:val="002557C8"/>
    <w:rsid w:val="002565B2"/>
    <w:rsid w:val="002568B4"/>
    <w:rsid w:val="00261293"/>
    <w:rsid w:val="002615BD"/>
    <w:rsid w:val="00262666"/>
    <w:rsid w:val="00262975"/>
    <w:rsid w:val="00262E0F"/>
    <w:rsid w:val="00264334"/>
    <w:rsid w:val="002643EE"/>
    <w:rsid w:val="00264762"/>
    <w:rsid w:val="002652C7"/>
    <w:rsid w:val="00265365"/>
    <w:rsid w:val="00265644"/>
    <w:rsid w:val="00265B6D"/>
    <w:rsid w:val="0026673D"/>
    <w:rsid w:val="00266836"/>
    <w:rsid w:val="0026744C"/>
    <w:rsid w:val="002676DC"/>
    <w:rsid w:val="002703E0"/>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2734"/>
    <w:rsid w:val="002A2825"/>
    <w:rsid w:val="002A2B23"/>
    <w:rsid w:val="002A2CD2"/>
    <w:rsid w:val="002A47DA"/>
    <w:rsid w:val="002A5055"/>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CF8"/>
    <w:rsid w:val="002B6D4C"/>
    <w:rsid w:val="002B73AC"/>
    <w:rsid w:val="002B776A"/>
    <w:rsid w:val="002B7E9C"/>
    <w:rsid w:val="002B7FD3"/>
    <w:rsid w:val="002C0BAD"/>
    <w:rsid w:val="002C1403"/>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0FC1"/>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3EE2"/>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BFA"/>
    <w:rsid w:val="00351DA6"/>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1C00"/>
    <w:rsid w:val="003720D7"/>
    <w:rsid w:val="003725CC"/>
    <w:rsid w:val="00372E1F"/>
    <w:rsid w:val="0037454D"/>
    <w:rsid w:val="003750A1"/>
    <w:rsid w:val="0037582F"/>
    <w:rsid w:val="003758C4"/>
    <w:rsid w:val="00375CF8"/>
    <w:rsid w:val="0037720D"/>
    <w:rsid w:val="003775CD"/>
    <w:rsid w:val="00377B96"/>
    <w:rsid w:val="00380ED1"/>
    <w:rsid w:val="00381284"/>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0D82"/>
    <w:rsid w:val="003A1F44"/>
    <w:rsid w:val="003A22EF"/>
    <w:rsid w:val="003A2495"/>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1B0E"/>
    <w:rsid w:val="003B2E57"/>
    <w:rsid w:val="003B3424"/>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838"/>
    <w:rsid w:val="003C485E"/>
    <w:rsid w:val="003C4B44"/>
    <w:rsid w:val="003C5545"/>
    <w:rsid w:val="003C6A58"/>
    <w:rsid w:val="003C6D5F"/>
    <w:rsid w:val="003C7018"/>
    <w:rsid w:val="003C7149"/>
    <w:rsid w:val="003C7C33"/>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6D44"/>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1FD"/>
    <w:rsid w:val="00457599"/>
    <w:rsid w:val="004575BF"/>
    <w:rsid w:val="00457AF3"/>
    <w:rsid w:val="0046001C"/>
    <w:rsid w:val="004603F1"/>
    <w:rsid w:val="00461ADF"/>
    <w:rsid w:val="00461EE1"/>
    <w:rsid w:val="0046245C"/>
    <w:rsid w:val="00462E1B"/>
    <w:rsid w:val="00462EB4"/>
    <w:rsid w:val="00462F0D"/>
    <w:rsid w:val="004631FD"/>
    <w:rsid w:val="00463DA1"/>
    <w:rsid w:val="00463ECE"/>
    <w:rsid w:val="00464FDA"/>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671"/>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5560"/>
    <w:rsid w:val="00495E07"/>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4F0E"/>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3068C"/>
    <w:rsid w:val="00531442"/>
    <w:rsid w:val="00531A49"/>
    <w:rsid w:val="00531CF2"/>
    <w:rsid w:val="00532384"/>
    <w:rsid w:val="00532475"/>
    <w:rsid w:val="005337F5"/>
    <w:rsid w:val="00533BA1"/>
    <w:rsid w:val="00533FD9"/>
    <w:rsid w:val="00534379"/>
    <w:rsid w:val="00534382"/>
    <w:rsid w:val="00534CEA"/>
    <w:rsid w:val="00535526"/>
    <w:rsid w:val="0053628F"/>
    <w:rsid w:val="005366D1"/>
    <w:rsid w:val="00540A27"/>
    <w:rsid w:val="00540BF2"/>
    <w:rsid w:val="005416D6"/>
    <w:rsid w:val="005417FF"/>
    <w:rsid w:val="00542138"/>
    <w:rsid w:val="00542C65"/>
    <w:rsid w:val="0054465E"/>
    <w:rsid w:val="00544CC5"/>
    <w:rsid w:val="0054549D"/>
    <w:rsid w:val="005455F5"/>
    <w:rsid w:val="00545B55"/>
    <w:rsid w:val="0054647D"/>
    <w:rsid w:val="00546BE0"/>
    <w:rsid w:val="00547C05"/>
    <w:rsid w:val="00547DEE"/>
    <w:rsid w:val="00550451"/>
    <w:rsid w:val="00551407"/>
    <w:rsid w:val="0055210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1C49"/>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8D3"/>
    <w:rsid w:val="005A0929"/>
    <w:rsid w:val="005A10CA"/>
    <w:rsid w:val="005A1558"/>
    <w:rsid w:val="005A221E"/>
    <w:rsid w:val="005A25F0"/>
    <w:rsid w:val="005A2620"/>
    <w:rsid w:val="005A2746"/>
    <w:rsid w:val="005A2946"/>
    <w:rsid w:val="005A3587"/>
    <w:rsid w:val="005A3A67"/>
    <w:rsid w:val="005A5E6A"/>
    <w:rsid w:val="005A67F3"/>
    <w:rsid w:val="005A6E74"/>
    <w:rsid w:val="005A716C"/>
    <w:rsid w:val="005A75BA"/>
    <w:rsid w:val="005A7AE9"/>
    <w:rsid w:val="005A7B34"/>
    <w:rsid w:val="005B0811"/>
    <w:rsid w:val="005B087A"/>
    <w:rsid w:val="005B1010"/>
    <w:rsid w:val="005B1462"/>
    <w:rsid w:val="005B1BA2"/>
    <w:rsid w:val="005B1C48"/>
    <w:rsid w:val="005B1F8E"/>
    <w:rsid w:val="005B20D0"/>
    <w:rsid w:val="005B2A5C"/>
    <w:rsid w:val="005B2EFE"/>
    <w:rsid w:val="005B33CE"/>
    <w:rsid w:val="005B37F1"/>
    <w:rsid w:val="005B4016"/>
    <w:rsid w:val="005B4056"/>
    <w:rsid w:val="005B7021"/>
    <w:rsid w:val="005B72F4"/>
    <w:rsid w:val="005B76C5"/>
    <w:rsid w:val="005C0100"/>
    <w:rsid w:val="005C0F48"/>
    <w:rsid w:val="005C1171"/>
    <w:rsid w:val="005C214D"/>
    <w:rsid w:val="005C2351"/>
    <w:rsid w:val="005C321D"/>
    <w:rsid w:val="005C36FA"/>
    <w:rsid w:val="005C4839"/>
    <w:rsid w:val="005C5353"/>
    <w:rsid w:val="005C54F0"/>
    <w:rsid w:val="005C5DEF"/>
    <w:rsid w:val="005C618F"/>
    <w:rsid w:val="005C6217"/>
    <w:rsid w:val="005C76D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E56"/>
    <w:rsid w:val="0061340F"/>
    <w:rsid w:val="006139E3"/>
    <w:rsid w:val="00613A32"/>
    <w:rsid w:val="006153AB"/>
    <w:rsid w:val="00615B84"/>
    <w:rsid w:val="00615F04"/>
    <w:rsid w:val="00616C21"/>
    <w:rsid w:val="00616F8E"/>
    <w:rsid w:val="006172B6"/>
    <w:rsid w:val="00617CF9"/>
    <w:rsid w:val="006204F3"/>
    <w:rsid w:val="006206DD"/>
    <w:rsid w:val="00620DA9"/>
    <w:rsid w:val="00621A38"/>
    <w:rsid w:val="00621FBF"/>
    <w:rsid w:val="00622512"/>
    <w:rsid w:val="00622F78"/>
    <w:rsid w:val="0062311A"/>
    <w:rsid w:val="00623155"/>
    <w:rsid w:val="006231CD"/>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2"/>
    <w:rsid w:val="00636945"/>
    <w:rsid w:val="00637FD8"/>
    <w:rsid w:val="006406AA"/>
    <w:rsid w:val="00640EE1"/>
    <w:rsid w:val="0064162F"/>
    <w:rsid w:val="0064264E"/>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50B"/>
    <w:rsid w:val="00654623"/>
    <w:rsid w:val="00654BAD"/>
    <w:rsid w:val="00654D3D"/>
    <w:rsid w:val="006553DC"/>
    <w:rsid w:val="00655794"/>
    <w:rsid w:val="0065759A"/>
    <w:rsid w:val="00660133"/>
    <w:rsid w:val="006609C0"/>
    <w:rsid w:val="00660F77"/>
    <w:rsid w:val="006619E5"/>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DDA"/>
    <w:rsid w:val="00672845"/>
    <w:rsid w:val="00672B23"/>
    <w:rsid w:val="00672FE3"/>
    <w:rsid w:val="006736AE"/>
    <w:rsid w:val="00673BB8"/>
    <w:rsid w:val="00673D39"/>
    <w:rsid w:val="00673F2B"/>
    <w:rsid w:val="0067431F"/>
    <w:rsid w:val="00674D78"/>
    <w:rsid w:val="00676937"/>
    <w:rsid w:val="00676D3D"/>
    <w:rsid w:val="006776BD"/>
    <w:rsid w:val="00677B3F"/>
    <w:rsid w:val="0068004E"/>
    <w:rsid w:val="00681774"/>
    <w:rsid w:val="00682049"/>
    <w:rsid w:val="0068233B"/>
    <w:rsid w:val="0068315A"/>
    <w:rsid w:val="006834F0"/>
    <w:rsid w:val="0068387E"/>
    <w:rsid w:val="006838B6"/>
    <w:rsid w:val="00683904"/>
    <w:rsid w:val="006840BA"/>
    <w:rsid w:val="006842A5"/>
    <w:rsid w:val="006846CE"/>
    <w:rsid w:val="006857A7"/>
    <w:rsid w:val="00686D2E"/>
    <w:rsid w:val="00687ACE"/>
    <w:rsid w:val="00690700"/>
    <w:rsid w:val="0069102A"/>
    <w:rsid w:val="00693263"/>
    <w:rsid w:val="00693296"/>
    <w:rsid w:val="006936EA"/>
    <w:rsid w:val="00693B49"/>
    <w:rsid w:val="0069400F"/>
    <w:rsid w:val="00695976"/>
    <w:rsid w:val="006960F1"/>
    <w:rsid w:val="00696D9D"/>
    <w:rsid w:val="00697587"/>
    <w:rsid w:val="00697666"/>
    <w:rsid w:val="00697CC0"/>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1CF"/>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0D1"/>
    <w:rsid w:val="006E16C9"/>
    <w:rsid w:val="006E26B9"/>
    <w:rsid w:val="006E2A54"/>
    <w:rsid w:val="006E4B16"/>
    <w:rsid w:val="006E6431"/>
    <w:rsid w:val="006E6612"/>
    <w:rsid w:val="006E675C"/>
    <w:rsid w:val="006E6A8B"/>
    <w:rsid w:val="006E72A1"/>
    <w:rsid w:val="006E731C"/>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7007F0"/>
    <w:rsid w:val="00701153"/>
    <w:rsid w:val="0070134C"/>
    <w:rsid w:val="007014F8"/>
    <w:rsid w:val="007016D8"/>
    <w:rsid w:val="00701E01"/>
    <w:rsid w:val="00702AB3"/>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00A4"/>
    <w:rsid w:val="00723BD9"/>
    <w:rsid w:val="00723FD3"/>
    <w:rsid w:val="00724299"/>
    <w:rsid w:val="00724E3A"/>
    <w:rsid w:val="007250F3"/>
    <w:rsid w:val="007255D0"/>
    <w:rsid w:val="00725BD5"/>
    <w:rsid w:val="00725FC0"/>
    <w:rsid w:val="00726102"/>
    <w:rsid w:val="00727AF6"/>
    <w:rsid w:val="007302B8"/>
    <w:rsid w:val="00730A33"/>
    <w:rsid w:val="00730B52"/>
    <w:rsid w:val="007310CB"/>
    <w:rsid w:val="007312AB"/>
    <w:rsid w:val="00731B40"/>
    <w:rsid w:val="00732070"/>
    <w:rsid w:val="0073215F"/>
    <w:rsid w:val="00732D93"/>
    <w:rsid w:val="0073326C"/>
    <w:rsid w:val="00733346"/>
    <w:rsid w:val="0073357B"/>
    <w:rsid w:val="00733726"/>
    <w:rsid w:val="0073395C"/>
    <w:rsid w:val="00734730"/>
    <w:rsid w:val="0073497E"/>
    <w:rsid w:val="00734AE6"/>
    <w:rsid w:val="00734C45"/>
    <w:rsid w:val="00735676"/>
    <w:rsid w:val="00735908"/>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032"/>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3AA"/>
    <w:rsid w:val="00776A8B"/>
    <w:rsid w:val="0077789E"/>
    <w:rsid w:val="00777F27"/>
    <w:rsid w:val="00780210"/>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9BB"/>
    <w:rsid w:val="00790D2F"/>
    <w:rsid w:val="007910C1"/>
    <w:rsid w:val="007916D2"/>
    <w:rsid w:val="00791841"/>
    <w:rsid w:val="00792211"/>
    <w:rsid w:val="00792A47"/>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5038"/>
    <w:rsid w:val="007A79C7"/>
    <w:rsid w:val="007A7C37"/>
    <w:rsid w:val="007B0A84"/>
    <w:rsid w:val="007B0C81"/>
    <w:rsid w:val="007B0CED"/>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42F7"/>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E0BD2"/>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008"/>
    <w:rsid w:val="007F6520"/>
    <w:rsid w:val="007F6D94"/>
    <w:rsid w:val="007F7BC4"/>
    <w:rsid w:val="008010EC"/>
    <w:rsid w:val="00801471"/>
    <w:rsid w:val="00801622"/>
    <w:rsid w:val="0080165B"/>
    <w:rsid w:val="008018B1"/>
    <w:rsid w:val="00801B94"/>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30A6"/>
    <w:rsid w:val="00813908"/>
    <w:rsid w:val="00813EAE"/>
    <w:rsid w:val="0081479D"/>
    <w:rsid w:val="00814923"/>
    <w:rsid w:val="00815322"/>
    <w:rsid w:val="008155DB"/>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1DE8"/>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5BF"/>
    <w:rsid w:val="00873205"/>
    <w:rsid w:val="00873340"/>
    <w:rsid w:val="00873969"/>
    <w:rsid w:val="00873F8B"/>
    <w:rsid w:val="00874E0C"/>
    <w:rsid w:val="00875638"/>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C58"/>
    <w:rsid w:val="008A6F32"/>
    <w:rsid w:val="008A6FF5"/>
    <w:rsid w:val="008A769D"/>
    <w:rsid w:val="008B111D"/>
    <w:rsid w:val="008B1B1E"/>
    <w:rsid w:val="008B24F9"/>
    <w:rsid w:val="008B35A7"/>
    <w:rsid w:val="008B59C3"/>
    <w:rsid w:val="008B6423"/>
    <w:rsid w:val="008B684D"/>
    <w:rsid w:val="008B69DF"/>
    <w:rsid w:val="008B7A03"/>
    <w:rsid w:val="008B7BFA"/>
    <w:rsid w:val="008C0444"/>
    <w:rsid w:val="008C04FE"/>
    <w:rsid w:val="008C0B28"/>
    <w:rsid w:val="008C0B7C"/>
    <w:rsid w:val="008C0D89"/>
    <w:rsid w:val="008C22DA"/>
    <w:rsid w:val="008C26C2"/>
    <w:rsid w:val="008C29CE"/>
    <w:rsid w:val="008C2B48"/>
    <w:rsid w:val="008C2EB1"/>
    <w:rsid w:val="008C30F6"/>
    <w:rsid w:val="008C3D5C"/>
    <w:rsid w:val="008C3F1C"/>
    <w:rsid w:val="008C4417"/>
    <w:rsid w:val="008C4B93"/>
    <w:rsid w:val="008C5E5B"/>
    <w:rsid w:val="008C6718"/>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1F1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A37"/>
    <w:rsid w:val="009030CA"/>
    <w:rsid w:val="009035E7"/>
    <w:rsid w:val="00903C8D"/>
    <w:rsid w:val="009042E3"/>
    <w:rsid w:val="0090466B"/>
    <w:rsid w:val="0090472C"/>
    <w:rsid w:val="00904A0D"/>
    <w:rsid w:val="00905B2D"/>
    <w:rsid w:val="00905BEF"/>
    <w:rsid w:val="009060BE"/>
    <w:rsid w:val="009063D2"/>
    <w:rsid w:val="00906CB2"/>
    <w:rsid w:val="00907178"/>
    <w:rsid w:val="0091018E"/>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7BDE"/>
    <w:rsid w:val="00940331"/>
    <w:rsid w:val="009403A0"/>
    <w:rsid w:val="00940725"/>
    <w:rsid w:val="00940D13"/>
    <w:rsid w:val="00940EDF"/>
    <w:rsid w:val="00941597"/>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252F"/>
    <w:rsid w:val="009730BE"/>
    <w:rsid w:val="00973BC9"/>
    <w:rsid w:val="00974939"/>
    <w:rsid w:val="00974AF1"/>
    <w:rsid w:val="00974EF9"/>
    <w:rsid w:val="00974FD3"/>
    <w:rsid w:val="0097517E"/>
    <w:rsid w:val="0097605F"/>
    <w:rsid w:val="00976097"/>
    <w:rsid w:val="009761C9"/>
    <w:rsid w:val="009771B0"/>
    <w:rsid w:val="00977A65"/>
    <w:rsid w:val="00977A78"/>
    <w:rsid w:val="00980690"/>
    <w:rsid w:val="00980FAA"/>
    <w:rsid w:val="009813E6"/>
    <w:rsid w:val="0098140C"/>
    <w:rsid w:val="00981E1C"/>
    <w:rsid w:val="00982144"/>
    <w:rsid w:val="00982BC4"/>
    <w:rsid w:val="009834A8"/>
    <w:rsid w:val="00983C9F"/>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2924"/>
    <w:rsid w:val="009A3047"/>
    <w:rsid w:val="009A32A1"/>
    <w:rsid w:val="009A3EDD"/>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5328"/>
    <w:rsid w:val="009B5339"/>
    <w:rsid w:val="009B5C1C"/>
    <w:rsid w:val="009B6875"/>
    <w:rsid w:val="009B6923"/>
    <w:rsid w:val="009B79EE"/>
    <w:rsid w:val="009B7B37"/>
    <w:rsid w:val="009B7D2C"/>
    <w:rsid w:val="009C0108"/>
    <w:rsid w:val="009C0BD1"/>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64C"/>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A1E"/>
    <w:rsid w:val="009E72A7"/>
    <w:rsid w:val="009E782D"/>
    <w:rsid w:val="009F1086"/>
    <w:rsid w:val="009F2CDF"/>
    <w:rsid w:val="009F3150"/>
    <w:rsid w:val="009F3F98"/>
    <w:rsid w:val="009F4358"/>
    <w:rsid w:val="009F4A0B"/>
    <w:rsid w:val="009F554A"/>
    <w:rsid w:val="009F614B"/>
    <w:rsid w:val="009F6880"/>
    <w:rsid w:val="009F6F9F"/>
    <w:rsid w:val="009F7425"/>
    <w:rsid w:val="009F7588"/>
    <w:rsid w:val="009F7CD1"/>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60F"/>
    <w:rsid w:val="00A44DE9"/>
    <w:rsid w:val="00A45733"/>
    <w:rsid w:val="00A457C8"/>
    <w:rsid w:val="00A4627C"/>
    <w:rsid w:val="00A46592"/>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05C3"/>
    <w:rsid w:val="00A91E04"/>
    <w:rsid w:val="00A91E44"/>
    <w:rsid w:val="00A91FC6"/>
    <w:rsid w:val="00A92401"/>
    <w:rsid w:val="00A93362"/>
    <w:rsid w:val="00A93993"/>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5F5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C78C2"/>
    <w:rsid w:val="00AD1694"/>
    <w:rsid w:val="00AD17BA"/>
    <w:rsid w:val="00AD1E37"/>
    <w:rsid w:val="00AD252D"/>
    <w:rsid w:val="00AD2D33"/>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E5A72"/>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05F"/>
    <w:rsid w:val="00B052E9"/>
    <w:rsid w:val="00B0538B"/>
    <w:rsid w:val="00B05489"/>
    <w:rsid w:val="00B05774"/>
    <w:rsid w:val="00B07369"/>
    <w:rsid w:val="00B07D70"/>
    <w:rsid w:val="00B1000D"/>
    <w:rsid w:val="00B103D2"/>
    <w:rsid w:val="00B10865"/>
    <w:rsid w:val="00B109E0"/>
    <w:rsid w:val="00B1188A"/>
    <w:rsid w:val="00B11C8A"/>
    <w:rsid w:val="00B12335"/>
    <w:rsid w:val="00B12B6C"/>
    <w:rsid w:val="00B12DC9"/>
    <w:rsid w:val="00B12ED6"/>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5EBB"/>
    <w:rsid w:val="00B363D6"/>
    <w:rsid w:val="00B36581"/>
    <w:rsid w:val="00B36B81"/>
    <w:rsid w:val="00B36C81"/>
    <w:rsid w:val="00B3724D"/>
    <w:rsid w:val="00B37588"/>
    <w:rsid w:val="00B37CD7"/>
    <w:rsid w:val="00B40996"/>
    <w:rsid w:val="00B41CAF"/>
    <w:rsid w:val="00B4219B"/>
    <w:rsid w:val="00B43BEE"/>
    <w:rsid w:val="00B4463E"/>
    <w:rsid w:val="00B44856"/>
    <w:rsid w:val="00B459E5"/>
    <w:rsid w:val="00B46202"/>
    <w:rsid w:val="00B46330"/>
    <w:rsid w:val="00B47ADC"/>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2C3E"/>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75BD"/>
    <w:rsid w:val="00B90285"/>
    <w:rsid w:val="00B90554"/>
    <w:rsid w:val="00B929BA"/>
    <w:rsid w:val="00B931B7"/>
    <w:rsid w:val="00B9358A"/>
    <w:rsid w:val="00B93676"/>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B03E6"/>
    <w:rsid w:val="00BB074E"/>
    <w:rsid w:val="00BB1DE9"/>
    <w:rsid w:val="00BB2CF5"/>
    <w:rsid w:val="00BB2DB8"/>
    <w:rsid w:val="00BB3D5A"/>
    <w:rsid w:val="00BB3DFD"/>
    <w:rsid w:val="00BB4372"/>
    <w:rsid w:val="00BB49C1"/>
    <w:rsid w:val="00BB4CA2"/>
    <w:rsid w:val="00BB54CD"/>
    <w:rsid w:val="00BB6167"/>
    <w:rsid w:val="00BB70BC"/>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9F1"/>
    <w:rsid w:val="00BC7DEB"/>
    <w:rsid w:val="00BD1142"/>
    <w:rsid w:val="00BD36E0"/>
    <w:rsid w:val="00BD3899"/>
    <w:rsid w:val="00BD3F2E"/>
    <w:rsid w:val="00BD497F"/>
    <w:rsid w:val="00BD4A6A"/>
    <w:rsid w:val="00BD5490"/>
    <w:rsid w:val="00BD6412"/>
    <w:rsid w:val="00BD77FD"/>
    <w:rsid w:val="00BD7A75"/>
    <w:rsid w:val="00BE0FB0"/>
    <w:rsid w:val="00BE11FC"/>
    <w:rsid w:val="00BE2326"/>
    <w:rsid w:val="00BE254C"/>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077CB"/>
    <w:rsid w:val="00C1005D"/>
    <w:rsid w:val="00C10B24"/>
    <w:rsid w:val="00C116A8"/>
    <w:rsid w:val="00C117B9"/>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146"/>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38D7"/>
    <w:rsid w:val="00C73ACA"/>
    <w:rsid w:val="00C7546D"/>
    <w:rsid w:val="00C75C59"/>
    <w:rsid w:val="00C760C5"/>
    <w:rsid w:val="00C76A70"/>
    <w:rsid w:val="00C76C94"/>
    <w:rsid w:val="00C76D7F"/>
    <w:rsid w:val="00C77274"/>
    <w:rsid w:val="00C77A04"/>
    <w:rsid w:val="00C77F0E"/>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69"/>
    <w:rsid w:val="00C85CC7"/>
    <w:rsid w:val="00C86746"/>
    <w:rsid w:val="00C8747E"/>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23C7"/>
    <w:rsid w:val="00CA264C"/>
    <w:rsid w:val="00CA2985"/>
    <w:rsid w:val="00CA2A47"/>
    <w:rsid w:val="00CA405F"/>
    <w:rsid w:val="00CA451F"/>
    <w:rsid w:val="00CA51C4"/>
    <w:rsid w:val="00CA5254"/>
    <w:rsid w:val="00CA52DD"/>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111B"/>
    <w:rsid w:val="00CC2B6D"/>
    <w:rsid w:val="00CC2C0A"/>
    <w:rsid w:val="00CC2FAF"/>
    <w:rsid w:val="00CC362C"/>
    <w:rsid w:val="00CC3B98"/>
    <w:rsid w:val="00CC3E1B"/>
    <w:rsid w:val="00CC3FCF"/>
    <w:rsid w:val="00CC516B"/>
    <w:rsid w:val="00CC60B8"/>
    <w:rsid w:val="00CC63F7"/>
    <w:rsid w:val="00CC6A5B"/>
    <w:rsid w:val="00CC6DB3"/>
    <w:rsid w:val="00CD0326"/>
    <w:rsid w:val="00CD1C4B"/>
    <w:rsid w:val="00CD425D"/>
    <w:rsid w:val="00CD4263"/>
    <w:rsid w:val="00CD4AA0"/>
    <w:rsid w:val="00CD55CD"/>
    <w:rsid w:val="00CD5941"/>
    <w:rsid w:val="00CD5CEB"/>
    <w:rsid w:val="00CD64B2"/>
    <w:rsid w:val="00CD6847"/>
    <w:rsid w:val="00CD771C"/>
    <w:rsid w:val="00CD7F5A"/>
    <w:rsid w:val="00CE0156"/>
    <w:rsid w:val="00CE07B1"/>
    <w:rsid w:val="00CE0CAB"/>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1693"/>
    <w:rsid w:val="00CF1B04"/>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582"/>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4DB3"/>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601"/>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494"/>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1AFA"/>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B7681"/>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07F4"/>
    <w:rsid w:val="00DD1242"/>
    <w:rsid w:val="00DD1394"/>
    <w:rsid w:val="00DD14FF"/>
    <w:rsid w:val="00DD1608"/>
    <w:rsid w:val="00DD25A6"/>
    <w:rsid w:val="00DD29B1"/>
    <w:rsid w:val="00DD3315"/>
    <w:rsid w:val="00DD40EE"/>
    <w:rsid w:val="00DD49FC"/>
    <w:rsid w:val="00DD4D98"/>
    <w:rsid w:val="00DD5421"/>
    <w:rsid w:val="00DD5EC5"/>
    <w:rsid w:val="00DE0119"/>
    <w:rsid w:val="00DE0F1D"/>
    <w:rsid w:val="00DE1CF2"/>
    <w:rsid w:val="00DE1D62"/>
    <w:rsid w:val="00DE2020"/>
    <w:rsid w:val="00DE2EB9"/>
    <w:rsid w:val="00DE3A97"/>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A3E"/>
    <w:rsid w:val="00DF7ED5"/>
    <w:rsid w:val="00E00464"/>
    <w:rsid w:val="00E0051C"/>
    <w:rsid w:val="00E00922"/>
    <w:rsid w:val="00E00B88"/>
    <w:rsid w:val="00E00CA5"/>
    <w:rsid w:val="00E01A19"/>
    <w:rsid w:val="00E02438"/>
    <w:rsid w:val="00E03558"/>
    <w:rsid w:val="00E04642"/>
    <w:rsid w:val="00E055B6"/>
    <w:rsid w:val="00E06B0B"/>
    <w:rsid w:val="00E06B63"/>
    <w:rsid w:val="00E06CAA"/>
    <w:rsid w:val="00E0719A"/>
    <w:rsid w:val="00E075D9"/>
    <w:rsid w:val="00E07908"/>
    <w:rsid w:val="00E07983"/>
    <w:rsid w:val="00E10DB9"/>
    <w:rsid w:val="00E10E35"/>
    <w:rsid w:val="00E11139"/>
    <w:rsid w:val="00E1161C"/>
    <w:rsid w:val="00E11C08"/>
    <w:rsid w:val="00E1224B"/>
    <w:rsid w:val="00E122E7"/>
    <w:rsid w:val="00E12858"/>
    <w:rsid w:val="00E131B9"/>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122"/>
    <w:rsid w:val="00E2531E"/>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C9D"/>
    <w:rsid w:val="00E734D8"/>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401D"/>
    <w:rsid w:val="00E841BE"/>
    <w:rsid w:val="00E853F5"/>
    <w:rsid w:val="00E8572F"/>
    <w:rsid w:val="00E8576C"/>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97260"/>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425"/>
    <w:rsid w:val="00ED137C"/>
    <w:rsid w:val="00ED1561"/>
    <w:rsid w:val="00ED22CE"/>
    <w:rsid w:val="00ED2367"/>
    <w:rsid w:val="00ED24E6"/>
    <w:rsid w:val="00ED266D"/>
    <w:rsid w:val="00ED2E7F"/>
    <w:rsid w:val="00ED387F"/>
    <w:rsid w:val="00ED3C01"/>
    <w:rsid w:val="00ED420D"/>
    <w:rsid w:val="00ED4287"/>
    <w:rsid w:val="00ED469C"/>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2A69"/>
    <w:rsid w:val="00EE359B"/>
    <w:rsid w:val="00EE39A1"/>
    <w:rsid w:val="00EE3A47"/>
    <w:rsid w:val="00EE3DCE"/>
    <w:rsid w:val="00EE45FA"/>
    <w:rsid w:val="00EE58A3"/>
    <w:rsid w:val="00EE5B24"/>
    <w:rsid w:val="00EE618C"/>
    <w:rsid w:val="00EE63F9"/>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A2F"/>
    <w:rsid w:val="00F06324"/>
    <w:rsid w:val="00F06611"/>
    <w:rsid w:val="00F06D6D"/>
    <w:rsid w:val="00F06E13"/>
    <w:rsid w:val="00F07853"/>
    <w:rsid w:val="00F10C6E"/>
    <w:rsid w:val="00F10FCC"/>
    <w:rsid w:val="00F11EB8"/>
    <w:rsid w:val="00F12B71"/>
    <w:rsid w:val="00F134F4"/>
    <w:rsid w:val="00F13E1E"/>
    <w:rsid w:val="00F1429C"/>
    <w:rsid w:val="00F15705"/>
    <w:rsid w:val="00F17E0D"/>
    <w:rsid w:val="00F204EF"/>
    <w:rsid w:val="00F206D8"/>
    <w:rsid w:val="00F20E7A"/>
    <w:rsid w:val="00F227E8"/>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07F"/>
    <w:rsid w:val="00F3646F"/>
    <w:rsid w:val="00F372A4"/>
    <w:rsid w:val="00F373AF"/>
    <w:rsid w:val="00F3754E"/>
    <w:rsid w:val="00F410D8"/>
    <w:rsid w:val="00F4167E"/>
    <w:rsid w:val="00F416FA"/>
    <w:rsid w:val="00F423EF"/>
    <w:rsid w:val="00F4314A"/>
    <w:rsid w:val="00F43433"/>
    <w:rsid w:val="00F43450"/>
    <w:rsid w:val="00F44BE8"/>
    <w:rsid w:val="00F44C0F"/>
    <w:rsid w:val="00F455DB"/>
    <w:rsid w:val="00F45BA6"/>
    <w:rsid w:val="00F470A4"/>
    <w:rsid w:val="00F479F8"/>
    <w:rsid w:val="00F50014"/>
    <w:rsid w:val="00F50A32"/>
    <w:rsid w:val="00F50B68"/>
    <w:rsid w:val="00F516D6"/>
    <w:rsid w:val="00F51D3D"/>
    <w:rsid w:val="00F5262C"/>
    <w:rsid w:val="00F527D2"/>
    <w:rsid w:val="00F52F30"/>
    <w:rsid w:val="00F53BB6"/>
    <w:rsid w:val="00F5558B"/>
    <w:rsid w:val="00F55ED9"/>
    <w:rsid w:val="00F56DA6"/>
    <w:rsid w:val="00F56FE4"/>
    <w:rsid w:val="00F570B1"/>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6B2F"/>
    <w:rsid w:val="00F67051"/>
    <w:rsid w:val="00F67785"/>
    <w:rsid w:val="00F677C4"/>
    <w:rsid w:val="00F677FA"/>
    <w:rsid w:val="00F67FD8"/>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7CE0"/>
    <w:rsid w:val="00F90509"/>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92B"/>
    <w:rsid w:val="00FB0592"/>
    <w:rsid w:val="00FB0808"/>
    <w:rsid w:val="00FB1198"/>
    <w:rsid w:val="00FB2619"/>
    <w:rsid w:val="00FB276C"/>
    <w:rsid w:val="00FB303B"/>
    <w:rsid w:val="00FB372D"/>
    <w:rsid w:val="00FB4032"/>
    <w:rsid w:val="00FB42E8"/>
    <w:rsid w:val="00FB4714"/>
    <w:rsid w:val="00FB49C0"/>
    <w:rsid w:val="00FB57FB"/>
    <w:rsid w:val="00FB5F29"/>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5F7D"/>
    <w:rsid w:val="00FC6EF4"/>
    <w:rsid w:val="00FD0675"/>
    <w:rsid w:val="00FD0D70"/>
    <w:rsid w:val="00FD1829"/>
    <w:rsid w:val="00FD19E3"/>
    <w:rsid w:val="00FD2245"/>
    <w:rsid w:val="00FD2BCE"/>
    <w:rsid w:val="00FD2D31"/>
    <w:rsid w:val="00FD4053"/>
    <w:rsid w:val="00FD45EB"/>
    <w:rsid w:val="00FD4C7A"/>
    <w:rsid w:val="00FD5C78"/>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2D43"/>
    <w:rsid w:val="00FF33AA"/>
    <w:rsid w:val="00FF35DA"/>
    <w:rsid w:val="00FF3A16"/>
    <w:rsid w:val="00FF3B22"/>
    <w:rsid w:val="00FF3BFC"/>
    <w:rsid w:val="00FF3C8A"/>
    <w:rsid w:val="00FF42BB"/>
    <w:rsid w:val="00FF4C5F"/>
    <w:rsid w:val="00FF4C7F"/>
    <w:rsid w:val="00FF50A1"/>
    <w:rsid w:val="00FF5B88"/>
    <w:rsid w:val="00FF7237"/>
    <w:rsid w:val="00FF768C"/>
    <w:rsid w:val="00FF7B6C"/>
    <w:rsid w:val="0C7243CB"/>
    <w:rsid w:val="0F6C0AB9"/>
    <w:rsid w:val="10AAEABE"/>
    <w:rsid w:val="17503DBB"/>
    <w:rsid w:val="199AA74F"/>
    <w:rsid w:val="208F0269"/>
    <w:rsid w:val="250332DE"/>
    <w:rsid w:val="3C252B9A"/>
    <w:rsid w:val="5E034F3F"/>
    <w:rsid w:val="631A8861"/>
    <w:rsid w:val="72B7B4EF"/>
    <w:rsid w:val="741C8293"/>
    <w:rsid w:val="78DEB7E4"/>
    <w:rsid w:val="7A001B45"/>
    <w:rsid w:val="7A4DBD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D51494"/>
    <w:rPr>
      <w:sz w:val="24"/>
      <w:szCs w:val="24"/>
    </w:rPr>
  </w:style>
  <w:style w:type="character" w:customStyle="1" w:styleId="iaj">
    <w:name w:val="i_aj"/>
    <w:basedOn w:val="Fuentedeprrafopredeter"/>
    <w:rsid w:val="007A5038"/>
  </w:style>
  <w:style w:type="character" w:styleId="Refdecomentario">
    <w:name w:val="annotation reference"/>
    <w:basedOn w:val="Fuentedeprrafopredeter"/>
    <w:semiHidden/>
    <w:unhideWhenUsed/>
    <w:rsid w:val="004E4F0E"/>
    <w:rPr>
      <w:sz w:val="16"/>
      <w:szCs w:val="16"/>
    </w:rPr>
  </w:style>
  <w:style w:type="paragraph" w:styleId="Textocomentario">
    <w:name w:val="annotation text"/>
    <w:basedOn w:val="Normal"/>
    <w:link w:val="TextocomentarioCar"/>
    <w:semiHidden/>
    <w:unhideWhenUsed/>
    <w:rsid w:val="004E4F0E"/>
    <w:rPr>
      <w:sz w:val="20"/>
      <w:szCs w:val="20"/>
    </w:rPr>
  </w:style>
  <w:style w:type="character" w:customStyle="1" w:styleId="TextocomentarioCar">
    <w:name w:val="Texto comentario Car"/>
    <w:basedOn w:val="Fuentedeprrafopredeter"/>
    <w:link w:val="Textocomentario"/>
    <w:semiHidden/>
    <w:rsid w:val="004E4F0E"/>
  </w:style>
  <w:style w:type="paragraph" w:styleId="Asuntodelcomentario">
    <w:name w:val="annotation subject"/>
    <w:basedOn w:val="Textocomentario"/>
    <w:next w:val="Textocomentario"/>
    <w:link w:val="AsuntodelcomentarioCar"/>
    <w:semiHidden/>
    <w:unhideWhenUsed/>
    <w:rsid w:val="004E4F0E"/>
    <w:rPr>
      <w:b/>
      <w:bCs/>
    </w:rPr>
  </w:style>
  <w:style w:type="character" w:customStyle="1" w:styleId="AsuntodelcomentarioCar">
    <w:name w:val="Asunto del comentario Car"/>
    <w:basedOn w:val="TextocomentarioCar"/>
    <w:link w:val="Asuntodelcomentario"/>
    <w:semiHidden/>
    <w:rsid w:val="004E4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0014552">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0226101">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241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retariasenado.gov.co/senado/basedoc/ley_0860_2003.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retariasenado.gov.co/senado/basedoc/ley_0860_2003.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c-671_2002.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72BF76-9B7B-444B-847B-7701917A7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4.xml><?xml version="1.0" encoding="utf-8"?>
<ds:datastoreItem xmlns:ds="http://schemas.openxmlformats.org/officeDocument/2006/customXml" ds:itemID="{604AEBDC-01F7-4622-B84D-D77DFD8D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3628</Words>
  <Characters>19957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9</cp:revision>
  <cp:lastPrinted>2018-11-02T18:38:00Z</cp:lastPrinted>
  <dcterms:created xsi:type="dcterms:W3CDTF">2021-01-27T14:17:00Z</dcterms:created>
  <dcterms:modified xsi:type="dcterms:W3CDTF">2021-03-12T21:39:00Z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