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BF33CFB" w14:textId="77777777" w:rsidR="0018770B" w:rsidRPr="0018770B" w:rsidRDefault="0018770B" w:rsidP="0018770B">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62585520"/>
      <w:r w:rsidRPr="0018770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774100" w14:textId="77777777" w:rsidR="0018770B" w:rsidRPr="0018770B" w:rsidRDefault="0018770B" w:rsidP="0018770B">
      <w:pPr>
        <w:spacing w:line="240" w:lineRule="auto"/>
        <w:rPr>
          <w:rFonts w:ascii="Arial" w:eastAsia="Times New Roman" w:hAnsi="Arial" w:cs="Arial"/>
          <w:sz w:val="20"/>
          <w:szCs w:val="20"/>
          <w:lang w:val="es-419" w:eastAsia="es-ES"/>
        </w:rPr>
      </w:pPr>
    </w:p>
    <w:p w14:paraId="12DBFA0E" w14:textId="77777777" w:rsidR="0018770B" w:rsidRPr="0018770B" w:rsidRDefault="0018770B" w:rsidP="0018770B">
      <w:pPr>
        <w:spacing w:line="240" w:lineRule="auto"/>
        <w:rPr>
          <w:rFonts w:ascii="Arial" w:eastAsia="Times New Roman" w:hAnsi="Arial" w:cs="Arial"/>
          <w:sz w:val="20"/>
          <w:szCs w:val="20"/>
          <w:lang w:val="es-419" w:eastAsia="es-ES"/>
        </w:rPr>
      </w:pPr>
      <w:r w:rsidRPr="0018770B">
        <w:rPr>
          <w:rFonts w:ascii="Arial" w:eastAsia="Times New Roman" w:hAnsi="Arial" w:cs="Arial"/>
          <w:sz w:val="20"/>
          <w:szCs w:val="20"/>
          <w:lang w:val="es-419" w:eastAsia="es-ES"/>
        </w:rPr>
        <w:t xml:space="preserve">Radicación No.: </w:t>
      </w:r>
      <w:r w:rsidRPr="0018770B">
        <w:rPr>
          <w:rFonts w:ascii="Arial" w:eastAsia="Times New Roman" w:hAnsi="Arial" w:cs="Arial"/>
          <w:sz w:val="20"/>
          <w:szCs w:val="20"/>
          <w:lang w:val="es-419" w:eastAsia="es-ES"/>
        </w:rPr>
        <w:tab/>
        <w:t>66001310500120180033801</w:t>
      </w:r>
    </w:p>
    <w:p w14:paraId="1C149832" w14:textId="77777777" w:rsidR="0018770B" w:rsidRPr="0018770B" w:rsidRDefault="0018770B" w:rsidP="0018770B">
      <w:pPr>
        <w:spacing w:line="240" w:lineRule="auto"/>
        <w:rPr>
          <w:rFonts w:ascii="Arial" w:eastAsia="Times New Roman" w:hAnsi="Arial" w:cs="Arial"/>
          <w:sz w:val="20"/>
          <w:szCs w:val="20"/>
          <w:lang w:val="es-419" w:eastAsia="es-ES"/>
        </w:rPr>
      </w:pPr>
      <w:r w:rsidRPr="0018770B">
        <w:rPr>
          <w:rFonts w:ascii="Arial" w:eastAsia="Times New Roman" w:hAnsi="Arial" w:cs="Arial"/>
          <w:sz w:val="20"/>
          <w:szCs w:val="20"/>
          <w:lang w:val="es-419" w:eastAsia="es-ES"/>
        </w:rPr>
        <w:t xml:space="preserve">Proceso: </w:t>
      </w:r>
      <w:r w:rsidRPr="0018770B">
        <w:rPr>
          <w:rFonts w:ascii="Arial" w:eastAsia="Times New Roman" w:hAnsi="Arial" w:cs="Arial"/>
          <w:sz w:val="20"/>
          <w:szCs w:val="20"/>
          <w:lang w:val="es-419" w:eastAsia="es-ES"/>
        </w:rPr>
        <w:tab/>
      </w:r>
      <w:r w:rsidRPr="0018770B">
        <w:rPr>
          <w:rFonts w:ascii="Arial" w:eastAsia="Times New Roman" w:hAnsi="Arial" w:cs="Arial"/>
          <w:sz w:val="20"/>
          <w:szCs w:val="20"/>
          <w:lang w:val="es-419" w:eastAsia="es-ES"/>
        </w:rPr>
        <w:tab/>
        <w:t xml:space="preserve">Ordinario Laboral </w:t>
      </w:r>
    </w:p>
    <w:p w14:paraId="5D1F76FA" w14:textId="3F8E2FE5" w:rsidR="0018770B" w:rsidRPr="0018770B" w:rsidRDefault="0018770B" w:rsidP="0018770B">
      <w:pPr>
        <w:spacing w:line="240" w:lineRule="auto"/>
        <w:rPr>
          <w:rFonts w:ascii="Arial" w:eastAsia="Times New Roman" w:hAnsi="Arial" w:cs="Arial"/>
          <w:sz w:val="20"/>
          <w:szCs w:val="20"/>
          <w:lang w:val="es-419" w:eastAsia="es-ES"/>
        </w:rPr>
      </w:pPr>
      <w:r w:rsidRPr="0018770B">
        <w:rPr>
          <w:rFonts w:ascii="Arial" w:eastAsia="Times New Roman" w:hAnsi="Arial" w:cs="Arial"/>
          <w:sz w:val="20"/>
          <w:szCs w:val="20"/>
          <w:lang w:val="es-419" w:eastAsia="es-ES"/>
        </w:rPr>
        <w:t xml:space="preserve">Demandante: </w:t>
      </w:r>
      <w:r w:rsidRPr="0018770B">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8770B">
        <w:rPr>
          <w:rFonts w:ascii="Arial" w:eastAsia="Times New Roman" w:hAnsi="Arial" w:cs="Arial"/>
          <w:sz w:val="20"/>
          <w:szCs w:val="20"/>
          <w:lang w:val="es-419" w:eastAsia="es-ES"/>
        </w:rPr>
        <w:t>María Graciela Arias</w:t>
      </w:r>
    </w:p>
    <w:p w14:paraId="1B24333C" w14:textId="77777777" w:rsidR="0018770B" w:rsidRPr="0018770B" w:rsidRDefault="0018770B" w:rsidP="0018770B">
      <w:pPr>
        <w:spacing w:line="240" w:lineRule="auto"/>
        <w:rPr>
          <w:rFonts w:ascii="Arial" w:eastAsia="Times New Roman" w:hAnsi="Arial" w:cs="Arial"/>
          <w:sz w:val="20"/>
          <w:szCs w:val="20"/>
          <w:lang w:val="es-419" w:eastAsia="es-ES"/>
        </w:rPr>
      </w:pPr>
      <w:r w:rsidRPr="0018770B">
        <w:rPr>
          <w:rFonts w:ascii="Arial" w:eastAsia="Times New Roman" w:hAnsi="Arial" w:cs="Arial"/>
          <w:sz w:val="20"/>
          <w:szCs w:val="20"/>
          <w:lang w:val="es-419" w:eastAsia="es-ES"/>
        </w:rPr>
        <w:t xml:space="preserve">Demandado: </w:t>
      </w:r>
      <w:r w:rsidRPr="0018770B">
        <w:rPr>
          <w:rFonts w:ascii="Arial" w:eastAsia="Times New Roman" w:hAnsi="Arial" w:cs="Arial"/>
          <w:sz w:val="20"/>
          <w:szCs w:val="20"/>
          <w:lang w:val="es-419" w:eastAsia="es-ES"/>
        </w:rPr>
        <w:tab/>
      </w:r>
      <w:r w:rsidRPr="0018770B">
        <w:rPr>
          <w:rFonts w:ascii="Arial" w:eastAsia="Times New Roman" w:hAnsi="Arial" w:cs="Arial"/>
          <w:sz w:val="20"/>
          <w:szCs w:val="20"/>
          <w:lang w:val="es-419" w:eastAsia="es-ES"/>
        </w:rPr>
        <w:tab/>
        <w:t>Porvenir S.A. y Colpensiones</w:t>
      </w:r>
    </w:p>
    <w:p w14:paraId="70C329EB" w14:textId="4CD04945" w:rsidR="0018770B" w:rsidRDefault="0018770B" w:rsidP="0018770B">
      <w:pPr>
        <w:spacing w:line="240" w:lineRule="auto"/>
        <w:rPr>
          <w:rFonts w:ascii="Arial" w:eastAsia="Times New Roman" w:hAnsi="Arial" w:cs="Arial"/>
          <w:sz w:val="20"/>
          <w:szCs w:val="20"/>
          <w:lang w:val="es-419" w:eastAsia="es-ES"/>
        </w:rPr>
      </w:pPr>
      <w:r w:rsidRPr="0018770B">
        <w:rPr>
          <w:rFonts w:ascii="Arial" w:eastAsia="Times New Roman" w:hAnsi="Arial" w:cs="Arial"/>
          <w:sz w:val="20"/>
          <w:szCs w:val="20"/>
          <w:lang w:val="es-419" w:eastAsia="es-ES"/>
        </w:rPr>
        <w:t xml:space="preserve">Juzgado: </w:t>
      </w:r>
      <w:r w:rsidRPr="0018770B">
        <w:rPr>
          <w:rFonts w:ascii="Arial" w:eastAsia="Times New Roman" w:hAnsi="Arial" w:cs="Arial"/>
          <w:sz w:val="20"/>
          <w:szCs w:val="20"/>
          <w:lang w:val="es-419" w:eastAsia="es-ES"/>
        </w:rPr>
        <w:tab/>
      </w:r>
      <w:r w:rsidRPr="0018770B">
        <w:rPr>
          <w:rFonts w:ascii="Arial" w:eastAsia="Times New Roman" w:hAnsi="Arial" w:cs="Arial"/>
          <w:sz w:val="20"/>
          <w:szCs w:val="20"/>
          <w:lang w:val="es-419" w:eastAsia="es-ES"/>
        </w:rPr>
        <w:tab/>
        <w:t>Primero Laboral del Circuito de Pereira</w:t>
      </w:r>
    </w:p>
    <w:p w14:paraId="6D97B72D" w14:textId="77777777" w:rsidR="0018770B" w:rsidRPr="0018770B" w:rsidRDefault="0018770B" w:rsidP="0018770B">
      <w:pPr>
        <w:spacing w:line="240" w:lineRule="auto"/>
        <w:rPr>
          <w:rFonts w:ascii="Arial" w:eastAsia="Times New Roman" w:hAnsi="Arial" w:cs="Arial"/>
          <w:sz w:val="20"/>
          <w:szCs w:val="20"/>
          <w:lang w:val="es-419" w:eastAsia="es-ES"/>
        </w:rPr>
      </w:pPr>
    </w:p>
    <w:p w14:paraId="0A2C086C" w14:textId="77777777" w:rsidR="0018770B" w:rsidRPr="0018770B" w:rsidRDefault="0018770B" w:rsidP="0018770B">
      <w:pPr>
        <w:spacing w:line="240" w:lineRule="auto"/>
        <w:rPr>
          <w:rFonts w:ascii="Arial" w:eastAsia="Times New Roman" w:hAnsi="Arial" w:cs="Arial"/>
          <w:b/>
          <w:bCs/>
          <w:iCs/>
          <w:sz w:val="20"/>
          <w:szCs w:val="20"/>
          <w:lang w:val="es-419" w:eastAsia="fr-FR"/>
        </w:rPr>
      </w:pPr>
      <w:r w:rsidRPr="0018770B">
        <w:rPr>
          <w:rFonts w:ascii="Arial" w:eastAsia="Times New Roman" w:hAnsi="Arial" w:cs="Arial"/>
          <w:b/>
          <w:bCs/>
          <w:iCs/>
          <w:sz w:val="20"/>
          <w:szCs w:val="20"/>
          <w:u w:val="single"/>
          <w:lang w:val="es-419" w:eastAsia="fr-FR"/>
        </w:rPr>
        <w:t>TEMAS:</w:t>
      </w:r>
      <w:r w:rsidRPr="0018770B">
        <w:rPr>
          <w:rFonts w:ascii="Arial" w:eastAsia="Times New Roman" w:hAnsi="Arial" w:cs="Arial"/>
          <w:b/>
          <w:bCs/>
          <w:iCs/>
          <w:sz w:val="20"/>
          <w:szCs w:val="20"/>
          <w:lang w:val="es-419" w:eastAsia="fr-FR"/>
        </w:rPr>
        <w:tab/>
      </w:r>
      <w:r w:rsidRPr="0018770B">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64BC803" w14:textId="77777777" w:rsidR="0018770B" w:rsidRPr="0018770B" w:rsidRDefault="0018770B" w:rsidP="0018770B">
      <w:pPr>
        <w:spacing w:line="240" w:lineRule="auto"/>
        <w:rPr>
          <w:rFonts w:ascii="Arial" w:eastAsia="Times New Roman" w:hAnsi="Arial" w:cs="Arial"/>
          <w:sz w:val="20"/>
          <w:szCs w:val="20"/>
          <w:lang w:val="es-419" w:eastAsia="es-ES"/>
        </w:rPr>
      </w:pPr>
    </w:p>
    <w:p w14:paraId="3444FE72" w14:textId="77777777" w:rsidR="0018770B" w:rsidRPr="0018770B" w:rsidRDefault="0018770B" w:rsidP="0018770B">
      <w:pPr>
        <w:spacing w:line="240" w:lineRule="auto"/>
        <w:rPr>
          <w:rFonts w:ascii="Arial" w:eastAsia="Times New Roman" w:hAnsi="Arial" w:cs="Arial"/>
          <w:sz w:val="20"/>
          <w:szCs w:val="20"/>
          <w:lang w:val="es-419" w:eastAsia="es-ES"/>
        </w:rPr>
      </w:pPr>
      <w:r w:rsidRPr="0018770B">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5E22FB5" w14:textId="77777777" w:rsidR="0018770B" w:rsidRPr="0018770B" w:rsidRDefault="0018770B" w:rsidP="0018770B">
      <w:pPr>
        <w:spacing w:line="240" w:lineRule="auto"/>
        <w:rPr>
          <w:rFonts w:ascii="Arial" w:eastAsia="Times New Roman" w:hAnsi="Arial" w:cs="Arial"/>
          <w:sz w:val="20"/>
          <w:szCs w:val="20"/>
          <w:lang w:val="es-419" w:eastAsia="es-ES"/>
        </w:rPr>
      </w:pPr>
    </w:p>
    <w:p w14:paraId="614D19DB" w14:textId="77777777" w:rsidR="0018770B" w:rsidRPr="0018770B" w:rsidRDefault="0018770B" w:rsidP="0018770B">
      <w:pPr>
        <w:spacing w:line="240" w:lineRule="auto"/>
        <w:rPr>
          <w:rFonts w:ascii="Arial" w:eastAsia="Times New Roman" w:hAnsi="Arial" w:cs="Arial"/>
          <w:sz w:val="20"/>
          <w:szCs w:val="20"/>
          <w:lang w:val="es-419" w:eastAsia="es-ES"/>
        </w:rPr>
      </w:pPr>
      <w:r w:rsidRPr="0018770B">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5E5BDFF" w14:textId="77777777" w:rsidR="0018770B" w:rsidRPr="0018770B" w:rsidRDefault="0018770B" w:rsidP="0018770B">
      <w:pPr>
        <w:spacing w:line="240" w:lineRule="auto"/>
        <w:rPr>
          <w:rFonts w:ascii="Arial" w:eastAsia="Times New Roman" w:hAnsi="Arial" w:cs="Arial"/>
          <w:sz w:val="20"/>
          <w:szCs w:val="20"/>
          <w:lang w:val="es-419" w:eastAsia="es-ES"/>
        </w:rPr>
      </w:pPr>
    </w:p>
    <w:p w14:paraId="39B6DEDE" w14:textId="77777777" w:rsidR="0018770B" w:rsidRPr="0018770B" w:rsidRDefault="0018770B" w:rsidP="0018770B">
      <w:pPr>
        <w:spacing w:line="240" w:lineRule="auto"/>
        <w:rPr>
          <w:rFonts w:ascii="Arial" w:eastAsia="Times New Roman" w:hAnsi="Arial" w:cs="Arial"/>
          <w:sz w:val="20"/>
          <w:szCs w:val="20"/>
          <w:lang w:val="es-419" w:eastAsia="es-ES"/>
        </w:rPr>
      </w:pPr>
      <w:r w:rsidRPr="0018770B">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3790AE76" w14:textId="77777777" w:rsidR="0018770B" w:rsidRPr="0018770B" w:rsidRDefault="0018770B" w:rsidP="0018770B">
      <w:pPr>
        <w:spacing w:line="240" w:lineRule="auto"/>
        <w:rPr>
          <w:rFonts w:ascii="Arial" w:eastAsia="Times New Roman" w:hAnsi="Arial" w:cs="Arial"/>
          <w:sz w:val="20"/>
          <w:szCs w:val="20"/>
          <w:lang w:val="es-419" w:eastAsia="es-ES"/>
        </w:rPr>
      </w:pPr>
    </w:p>
    <w:p w14:paraId="4481A71B" w14:textId="77777777" w:rsidR="0018770B" w:rsidRPr="0018770B" w:rsidRDefault="0018770B" w:rsidP="0018770B">
      <w:pPr>
        <w:spacing w:line="240" w:lineRule="auto"/>
        <w:rPr>
          <w:rFonts w:ascii="Arial" w:eastAsia="Times New Roman" w:hAnsi="Arial" w:cs="Arial"/>
          <w:sz w:val="20"/>
          <w:szCs w:val="20"/>
          <w:lang w:val="es-419" w:eastAsia="es-ES"/>
        </w:rPr>
      </w:pPr>
      <w:r w:rsidRPr="0018770B">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CF4802A" w14:textId="77777777" w:rsidR="0018770B" w:rsidRPr="0018770B" w:rsidRDefault="0018770B" w:rsidP="0018770B">
      <w:pPr>
        <w:spacing w:line="240" w:lineRule="auto"/>
        <w:rPr>
          <w:rFonts w:ascii="Arial" w:eastAsia="Times New Roman" w:hAnsi="Arial" w:cs="Arial"/>
          <w:sz w:val="20"/>
          <w:szCs w:val="20"/>
          <w:lang w:val="es-ES" w:eastAsia="es-ES"/>
        </w:rPr>
      </w:pPr>
    </w:p>
    <w:p w14:paraId="0AE59E6F" w14:textId="77777777" w:rsidR="0018770B" w:rsidRPr="0018770B" w:rsidRDefault="0018770B" w:rsidP="0018770B">
      <w:pPr>
        <w:spacing w:line="240" w:lineRule="auto"/>
        <w:rPr>
          <w:rFonts w:ascii="Arial" w:eastAsia="Times New Roman" w:hAnsi="Arial" w:cs="Arial"/>
          <w:sz w:val="20"/>
          <w:szCs w:val="20"/>
          <w:lang w:val="es-ES" w:eastAsia="es-ES"/>
        </w:rPr>
      </w:pPr>
    </w:p>
    <w:p w14:paraId="25FBAD44" w14:textId="77777777" w:rsidR="0018770B" w:rsidRPr="0018770B" w:rsidRDefault="0018770B" w:rsidP="0018770B">
      <w:pPr>
        <w:spacing w:line="240" w:lineRule="auto"/>
        <w:rPr>
          <w:rFonts w:ascii="Arial" w:eastAsia="Times New Roman" w:hAnsi="Arial" w:cs="Arial"/>
          <w:sz w:val="20"/>
          <w:szCs w:val="20"/>
          <w:lang w:val="es-ES" w:eastAsia="es-ES"/>
        </w:rPr>
      </w:pPr>
    </w:p>
    <w:bookmarkEnd w:id="0"/>
    <w:p w14:paraId="63855F4C" w14:textId="77777777" w:rsidR="00C877F4" w:rsidRPr="00C877F4" w:rsidRDefault="00C877F4" w:rsidP="00C877F4">
      <w:pPr>
        <w:keepNext/>
        <w:widowControl w:val="0"/>
        <w:shd w:val="clear" w:color="auto" w:fill="FFFFFF"/>
        <w:overflowPunct w:val="0"/>
        <w:autoSpaceDE w:val="0"/>
        <w:autoSpaceDN w:val="0"/>
        <w:adjustRightInd w:val="0"/>
        <w:spacing w:line="276" w:lineRule="auto"/>
        <w:jc w:val="center"/>
        <w:outlineLvl w:val="3"/>
        <w:rPr>
          <w:rFonts w:eastAsia="Times New Roman" w:cs="Tahoma"/>
          <w:b/>
          <w:bCs/>
          <w:szCs w:val="24"/>
          <w:lang w:val="es-ES" w:eastAsia="es-MX"/>
        </w:rPr>
      </w:pPr>
      <w:r w:rsidRPr="00C877F4">
        <w:rPr>
          <w:rFonts w:eastAsia="Times New Roman" w:cs="Tahoma"/>
          <w:b/>
          <w:bCs/>
          <w:szCs w:val="24"/>
          <w:lang w:val="es-ES" w:eastAsia="es-MX"/>
        </w:rPr>
        <w:t>TRIBUNAL SUPERIOR DEL DISTRITO JUDICIAL DE PEREIRA</w:t>
      </w:r>
    </w:p>
    <w:p w14:paraId="0EA5E192" w14:textId="77777777" w:rsidR="00C877F4" w:rsidRPr="00C877F4" w:rsidRDefault="00C877F4" w:rsidP="00C877F4">
      <w:pPr>
        <w:keepNext/>
        <w:widowControl w:val="0"/>
        <w:shd w:val="clear" w:color="auto" w:fill="FFFFFF"/>
        <w:overflowPunct w:val="0"/>
        <w:autoSpaceDE w:val="0"/>
        <w:autoSpaceDN w:val="0"/>
        <w:adjustRightInd w:val="0"/>
        <w:spacing w:line="276" w:lineRule="auto"/>
        <w:jc w:val="center"/>
        <w:outlineLvl w:val="3"/>
        <w:rPr>
          <w:rFonts w:eastAsia="Times New Roman" w:cs="Tahoma"/>
          <w:b/>
          <w:bCs/>
          <w:szCs w:val="24"/>
          <w:lang w:val="es-ES" w:eastAsia="es-MX"/>
        </w:rPr>
      </w:pPr>
      <w:r w:rsidRPr="00C877F4">
        <w:rPr>
          <w:rFonts w:eastAsia="Times New Roman" w:cs="Tahoma"/>
          <w:b/>
          <w:bCs/>
          <w:szCs w:val="24"/>
          <w:lang w:val="es-ES" w:eastAsia="es-MX"/>
        </w:rPr>
        <w:t>SALA PRIMERA DE DECISION LABORAL</w:t>
      </w:r>
    </w:p>
    <w:p w14:paraId="0CCB544A" w14:textId="77777777" w:rsidR="00C877F4" w:rsidRPr="00C877F4" w:rsidRDefault="00C877F4" w:rsidP="00C877F4">
      <w:pPr>
        <w:shd w:val="clear" w:color="auto" w:fill="FFFFFF"/>
        <w:spacing w:line="276" w:lineRule="auto"/>
        <w:jc w:val="center"/>
        <w:rPr>
          <w:rFonts w:eastAsia="Century Gothic" w:cs="Tahoma"/>
          <w:bCs/>
          <w:szCs w:val="24"/>
        </w:rPr>
      </w:pPr>
    </w:p>
    <w:p w14:paraId="6F6D61D6" w14:textId="77777777" w:rsidR="00C877F4" w:rsidRPr="00C877F4" w:rsidRDefault="00C877F4" w:rsidP="00C877F4">
      <w:pPr>
        <w:shd w:val="clear" w:color="auto" w:fill="FFFFFF"/>
        <w:spacing w:line="276" w:lineRule="auto"/>
        <w:jc w:val="center"/>
        <w:textAlignment w:val="baseline"/>
        <w:rPr>
          <w:rFonts w:eastAsia="Times New Roman" w:cs="Tahoma"/>
          <w:szCs w:val="24"/>
          <w:lang w:eastAsia="es-CO"/>
        </w:rPr>
      </w:pPr>
      <w:r w:rsidRPr="00C877F4">
        <w:rPr>
          <w:rFonts w:eastAsia="Times New Roman" w:cs="Tahoma"/>
          <w:szCs w:val="24"/>
          <w:lang w:eastAsia="es-CO"/>
        </w:rPr>
        <w:t>Magistrada Ponente: </w:t>
      </w:r>
      <w:r w:rsidRPr="00C877F4">
        <w:rPr>
          <w:rFonts w:eastAsia="Times New Roman" w:cs="Tahoma"/>
          <w:b/>
          <w:bCs/>
          <w:szCs w:val="24"/>
          <w:lang w:eastAsia="es-CO"/>
        </w:rPr>
        <w:t>Ana Lucía Caicedo Calderón</w:t>
      </w:r>
      <w:r w:rsidRPr="00C877F4">
        <w:rPr>
          <w:rFonts w:eastAsia="Times New Roman" w:cs="Tahoma"/>
          <w:szCs w:val="24"/>
          <w:lang w:eastAsia="es-CO"/>
        </w:rPr>
        <w:t> </w:t>
      </w:r>
    </w:p>
    <w:p w14:paraId="524F4F78" w14:textId="77777777" w:rsidR="00C877F4" w:rsidRPr="00C877F4" w:rsidRDefault="00C877F4" w:rsidP="00C877F4">
      <w:pPr>
        <w:shd w:val="clear" w:color="auto" w:fill="FFFFFF"/>
        <w:spacing w:line="276" w:lineRule="auto"/>
        <w:jc w:val="center"/>
        <w:textAlignment w:val="baseline"/>
        <w:rPr>
          <w:rFonts w:eastAsia="Times New Roman" w:cs="Tahoma"/>
          <w:szCs w:val="24"/>
          <w:lang w:eastAsia="es-CO"/>
        </w:rPr>
      </w:pPr>
      <w:r w:rsidRPr="00C877F4">
        <w:rPr>
          <w:rFonts w:eastAsia="Times New Roman" w:cs="Tahoma"/>
          <w:szCs w:val="24"/>
          <w:lang w:eastAsia="es-CO"/>
        </w:rPr>
        <w:t> </w:t>
      </w:r>
    </w:p>
    <w:p w14:paraId="6C99201E" w14:textId="77777777" w:rsidR="00C342C0" w:rsidRPr="00517228" w:rsidRDefault="00C342C0" w:rsidP="00517228">
      <w:pPr>
        <w:spacing w:line="276" w:lineRule="auto"/>
        <w:jc w:val="center"/>
        <w:textAlignment w:val="baseline"/>
        <w:rPr>
          <w:rFonts w:eastAsia="Times New Roman" w:cs="Tahoma"/>
          <w:szCs w:val="24"/>
          <w:lang w:eastAsia="es-CO"/>
        </w:rPr>
      </w:pPr>
      <w:r w:rsidRPr="00517228">
        <w:rPr>
          <w:rFonts w:eastAsia="Times New Roman" w:cs="Tahoma"/>
          <w:szCs w:val="24"/>
          <w:lang w:eastAsia="es-CO"/>
        </w:rPr>
        <w:t>Pereira, Risaralda, catorce (14) de mayo de dos mil veintiuno (2021)  </w:t>
      </w:r>
    </w:p>
    <w:p w14:paraId="4972033A" w14:textId="76FFA632" w:rsidR="00C342C0" w:rsidRPr="00517228" w:rsidRDefault="00C342C0" w:rsidP="00517228">
      <w:pPr>
        <w:spacing w:line="276" w:lineRule="auto"/>
        <w:jc w:val="center"/>
        <w:textAlignment w:val="baseline"/>
        <w:rPr>
          <w:rFonts w:eastAsia="Times New Roman" w:cs="Tahoma"/>
          <w:szCs w:val="24"/>
          <w:lang w:eastAsia="es-CO"/>
        </w:rPr>
      </w:pPr>
      <w:r w:rsidRPr="00517228">
        <w:rPr>
          <w:rFonts w:eastAsia="Times New Roman" w:cs="Tahoma"/>
          <w:szCs w:val="24"/>
          <w:lang w:eastAsia="es-CO"/>
        </w:rPr>
        <w:t>Acta No. </w:t>
      </w:r>
      <w:r w:rsidR="5003DA2F" w:rsidRPr="00517228">
        <w:rPr>
          <w:rFonts w:eastAsia="Times New Roman" w:cs="Tahoma"/>
          <w:szCs w:val="24"/>
          <w:lang w:eastAsia="es-CO"/>
        </w:rPr>
        <w:t>72</w:t>
      </w:r>
      <w:r w:rsidRPr="00517228">
        <w:rPr>
          <w:rFonts w:eastAsia="Times New Roman" w:cs="Tahoma"/>
          <w:szCs w:val="24"/>
          <w:lang w:eastAsia="es-CO"/>
        </w:rPr>
        <w:t xml:space="preserve"> del 13 de mayo del 2021</w:t>
      </w:r>
    </w:p>
    <w:p w14:paraId="3CDD4E79" w14:textId="7CF23A35" w:rsidR="00790DA9" w:rsidRPr="00517228" w:rsidRDefault="00790DA9" w:rsidP="00517228">
      <w:pPr>
        <w:spacing w:line="276" w:lineRule="auto"/>
        <w:jc w:val="center"/>
        <w:rPr>
          <w:rFonts w:cs="Tahoma"/>
          <w:b/>
          <w:szCs w:val="24"/>
        </w:rPr>
      </w:pPr>
    </w:p>
    <w:p w14:paraId="73AFF3DE" w14:textId="77777777" w:rsidR="00662FC5" w:rsidRPr="00517228" w:rsidRDefault="00662FC5" w:rsidP="00517228">
      <w:pPr>
        <w:spacing w:line="276" w:lineRule="auto"/>
        <w:jc w:val="center"/>
        <w:rPr>
          <w:rFonts w:cs="Tahoma"/>
          <w:b/>
          <w:szCs w:val="24"/>
        </w:rPr>
      </w:pPr>
    </w:p>
    <w:p w14:paraId="1118462F" w14:textId="5223D07C" w:rsidR="00790DA9" w:rsidRPr="00517228" w:rsidRDefault="00662FC5" w:rsidP="00517228">
      <w:pPr>
        <w:spacing w:line="276" w:lineRule="auto"/>
        <w:ind w:firstLine="708"/>
        <w:rPr>
          <w:rFonts w:cs="Tahoma"/>
          <w:szCs w:val="24"/>
          <w:lang w:val="es-ES"/>
        </w:rPr>
      </w:pPr>
      <w:r w:rsidRPr="00517228">
        <w:rPr>
          <w:rFonts w:cs="Tahoma"/>
          <w:color w:val="000000" w:themeColor="text1"/>
          <w:szCs w:val="24"/>
        </w:rPr>
        <w:t>Teniendo en cuenta que el artículo 15 del Decreto No. 806 del 4 de junio de</w:t>
      </w:r>
      <w:r w:rsidR="3B1122DA" w:rsidRPr="00517228">
        <w:rPr>
          <w:rFonts w:cs="Tahoma"/>
          <w:color w:val="000000" w:themeColor="text1"/>
          <w:szCs w:val="24"/>
        </w:rPr>
        <w:t xml:space="preserve"> </w:t>
      </w:r>
      <w:r w:rsidRPr="00517228">
        <w:rPr>
          <w:rFonts w:cs="Tahoma"/>
          <w:color w:val="000000" w:themeColor="text1"/>
          <w:szCs w:val="24"/>
        </w:rPr>
        <w:t>2020, expedido por el Ministerio de Justicia y del Derecho, estableció que en la</w:t>
      </w:r>
      <w:r w:rsidRPr="00517228">
        <w:rPr>
          <w:rFonts w:cs="Tahoma"/>
          <w:szCs w:val="24"/>
        </w:rPr>
        <w:br/>
      </w:r>
      <w:r w:rsidRPr="00517228">
        <w:rPr>
          <w:rFonts w:cs="Tahoma"/>
          <w:color w:val="000000" w:themeColor="text1"/>
          <w:szCs w:val="24"/>
        </w:rPr>
        <w:t>especialidad laboral se proferirán por escrito las providencias de segunda instancia</w:t>
      </w:r>
      <w:r w:rsidRPr="00517228">
        <w:rPr>
          <w:rFonts w:cs="Tahoma"/>
          <w:szCs w:val="24"/>
        </w:rPr>
        <w:br/>
      </w:r>
      <w:r w:rsidRPr="00517228">
        <w:rPr>
          <w:rFonts w:cs="Tahoma"/>
          <w:color w:val="000000" w:themeColor="text1"/>
          <w:szCs w:val="24"/>
        </w:rPr>
        <w:t>en las que se surta el grado jurisdiccional de consulta o se resuelva el recurso de</w:t>
      </w:r>
      <w:r w:rsidR="6B539B18" w:rsidRPr="00517228">
        <w:rPr>
          <w:rFonts w:cs="Tahoma"/>
          <w:color w:val="000000" w:themeColor="text1"/>
          <w:szCs w:val="24"/>
        </w:rPr>
        <w:t xml:space="preserve"> </w:t>
      </w:r>
      <w:r w:rsidRPr="00517228">
        <w:rPr>
          <w:rFonts w:cs="Tahoma"/>
          <w:color w:val="000000" w:themeColor="text1"/>
          <w:szCs w:val="24"/>
        </w:rPr>
        <w:t xml:space="preserve">apelación de autos o sentencias, la Sala de Decisión Laboral </w:t>
      </w:r>
      <w:r w:rsidR="00D61D85" w:rsidRPr="00517228">
        <w:rPr>
          <w:rFonts w:cs="Tahoma"/>
          <w:color w:val="000000" w:themeColor="text1"/>
          <w:szCs w:val="24"/>
        </w:rPr>
        <w:t xml:space="preserve">No. 1 </w:t>
      </w:r>
      <w:r w:rsidRPr="00517228">
        <w:rPr>
          <w:rFonts w:cs="Tahoma"/>
          <w:color w:val="000000" w:themeColor="text1"/>
          <w:szCs w:val="24"/>
        </w:rPr>
        <w:t xml:space="preserve">Presidida por la </w:t>
      </w:r>
      <w:r w:rsidRPr="00517228">
        <w:rPr>
          <w:rFonts w:cs="Tahoma"/>
          <w:color w:val="000000" w:themeColor="text1"/>
          <w:szCs w:val="24"/>
        </w:rPr>
        <w:lastRenderedPageBreak/>
        <w:t>Dra.</w:t>
      </w:r>
      <w:r w:rsidR="443D6A8A" w:rsidRPr="00517228">
        <w:rPr>
          <w:rFonts w:cs="Tahoma"/>
          <w:color w:val="000000" w:themeColor="text1"/>
          <w:szCs w:val="24"/>
        </w:rPr>
        <w:t xml:space="preserve"> </w:t>
      </w:r>
      <w:r w:rsidRPr="00517228">
        <w:rPr>
          <w:rFonts w:cs="Tahoma"/>
          <w:color w:val="000000" w:themeColor="text1"/>
          <w:szCs w:val="24"/>
        </w:rPr>
        <w:t>Ana Lucía Caicedo Calderón del Tribunal Superior de Pereira, integrada por las</w:t>
      </w:r>
      <w:r w:rsidR="72FCF6FA" w:rsidRPr="00517228">
        <w:rPr>
          <w:rFonts w:cs="Tahoma"/>
          <w:color w:val="000000" w:themeColor="text1"/>
          <w:szCs w:val="24"/>
        </w:rPr>
        <w:t xml:space="preserve"> </w:t>
      </w:r>
      <w:r w:rsidRPr="00517228">
        <w:rPr>
          <w:rFonts w:cs="Tahoma"/>
          <w:color w:val="000000" w:themeColor="text1"/>
          <w:szCs w:val="24"/>
        </w:rPr>
        <w:t>Magistradas ANA LUCÍA CAICEDO CALDERÓN como Ponente, OLGA LUCÍA HOYOS</w:t>
      </w:r>
      <w:r w:rsidR="4986519F" w:rsidRPr="00517228">
        <w:rPr>
          <w:rFonts w:cs="Tahoma"/>
          <w:color w:val="000000" w:themeColor="text1"/>
          <w:szCs w:val="24"/>
        </w:rPr>
        <w:t xml:space="preserve"> </w:t>
      </w:r>
      <w:r w:rsidRPr="00517228">
        <w:rPr>
          <w:rFonts w:cs="Tahoma"/>
          <w:color w:val="000000" w:themeColor="text1"/>
          <w:szCs w:val="24"/>
        </w:rPr>
        <w:t>SEPÚLVEDA y el Magistrado GERMÁN DARIO GOEZ VINASCO, procede a proferir la</w:t>
      </w:r>
      <w:r w:rsidR="455AA45F" w:rsidRPr="00517228">
        <w:rPr>
          <w:rFonts w:cs="Tahoma"/>
          <w:color w:val="000000" w:themeColor="text1"/>
          <w:szCs w:val="24"/>
        </w:rPr>
        <w:t xml:space="preserve"> </w:t>
      </w:r>
      <w:r w:rsidRPr="00517228">
        <w:rPr>
          <w:rFonts w:cs="Tahoma"/>
          <w:color w:val="000000" w:themeColor="text1"/>
          <w:szCs w:val="24"/>
        </w:rPr>
        <w:t>siguiente sentencia escrita dentro del proceso ordinario laboral instaurado por</w:t>
      </w:r>
      <w:r w:rsidRPr="00517228">
        <w:rPr>
          <w:rFonts w:cs="Tahoma"/>
          <w:szCs w:val="24"/>
        </w:rPr>
        <w:t xml:space="preserve"> </w:t>
      </w:r>
      <w:r w:rsidR="00375525" w:rsidRPr="00517228">
        <w:rPr>
          <w:rFonts w:cs="Tahoma"/>
          <w:b/>
          <w:bCs/>
          <w:szCs w:val="24"/>
          <w:lang w:val="es-ES"/>
        </w:rPr>
        <w:t>María Graciela Arias</w:t>
      </w:r>
      <w:r w:rsidR="00790DA9" w:rsidRPr="00517228">
        <w:rPr>
          <w:rFonts w:cs="Tahoma"/>
          <w:b/>
          <w:bCs/>
          <w:szCs w:val="24"/>
          <w:lang w:val="es-ES"/>
        </w:rPr>
        <w:t xml:space="preserve"> </w:t>
      </w:r>
      <w:r w:rsidR="00790DA9" w:rsidRPr="00517228">
        <w:rPr>
          <w:rFonts w:cs="Tahoma"/>
          <w:szCs w:val="24"/>
          <w:lang w:val="es-ES"/>
        </w:rPr>
        <w:t xml:space="preserve">en contra de la </w:t>
      </w:r>
      <w:r w:rsidR="00790DA9" w:rsidRPr="00517228">
        <w:rPr>
          <w:rFonts w:cs="Tahoma"/>
          <w:b/>
          <w:bCs/>
          <w:szCs w:val="24"/>
          <w:lang w:val="es-ES"/>
        </w:rPr>
        <w:t xml:space="preserve">Administradora Colombiana de Pensiones </w:t>
      </w:r>
      <w:r w:rsidR="00B8317C" w:rsidRPr="00517228">
        <w:rPr>
          <w:rFonts w:cs="Tahoma"/>
          <w:b/>
          <w:bCs/>
          <w:szCs w:val="24"/>
          <w:lang w:val="es-ES"/>
        </w:rPr>
        <w:t>–</w:t>
      </w:r>
      <w:r w:rsidR="00790DA9" w:rsidRPr="00517228">
        <w:rPr>
          <w:rFonts w:cs="Tahoma"/>
          <w:b/>
          <w:bCs/>
          <w:szCs w:val="24"/>
          <w:lang w:val="es-ES"/>
        </w:rPr>
        <w:t xml:space="preserve"> Colpensiones</w:t>
      </w:r>
      <w:r w:rsidR="00375525" w:rsidRPr="00517228">
        <w:rPr>
          <w:rFonts w:cs="Tahoma"/>
          <w:szCs w:val="24"/>
          <w:lang w:val="es-ES"/>
        </w:rPr>
        <w:t xml:space="preserve"> y </w:t>
      </w:r>
      <w:r w:rsidR="00790DA9" w:rsidRPr="00517228">
        <w:rPr>
          <w:rFonts w:cs="Tahoma"/>
          <w:szCs w:val="24"/>
          <w:lang w:val="es-ES"/>
        </w:rPr>
        <w:t xml:space="preserve">la </w:t>
      </w:r>
      <w:r w:rsidR="00790DA9" w:rsidRPr="00517228">
        <w:rPr>
          <w:rFonts w:cs="Tahoma"/>
          <w:b/>
          <w:bCs/>
          <w:szCs w:val="24"/>
          <w:lang w:val="es-ES"/>
        </w:rPr>
        <w:t xml:space="preserve">Administradora de Fondos de Pensiones </w:t>
      </w:r>
      <w:bookmarkStart w:id="1" w:name="_Hlk69822626"/>
      <w:r w:rsidR="00790DA9" w:rsidRPr="00517228">
        <w:rPr>
          <w:rFonts w:cs="Tahoma"/>
          <w:b/>
          <w:bCs/>
          <w:szCs w:val="24"/>
          <w:lang w:val="es-ES"/>
        </w:rPr>
        <w:t>–</w:t>
      </w:r>
      <w:bookmarkEnd w:id="1"/>
      <w:r w:rsidR="00790DA9" w:rsidRPr="00517228">
        <w:rPr>
          <w:rFonts w:cs="Tahoma"/>
          <w:szCs w:val="24"/>
          <w:lang w:val="es-ES"/>
        </w:rPr>
        <w:t xml:space="preserve"> </w:t>
      </w:r>
      <w:r w:rsidR="00790DA9" w:rsidRPr="00517228">
        <w:rPr>
          <w:rFonts w:cs="Tahoma"/>
          <w:b/>
          <w:bCs/>
          <w:szCs w:val="24"/>
          <w:lang w:val="es-ES"/>
        </w:rPr>
        <w:t>Porvenir</w:t>
      </w:r>
      <w:r w:rsidR="00790DA9" w:rsidRPr="00517228">
        <w:rPr>
          <w:rFonts w:cs="Tahoma"/>
          <w:szCs w:val="24"/>
          <w:lang w:val="es-ES"/>
        </w:rPr>
        <w:t xml:space="preserve"> </w:t>
      </w:r>
      <w:r w:rsidR="00790DA9" w:rsidRPr="00517228">
        <w:rPr>
          <w:rFonts w:cs="Tahoma"/>
          <w:b/>
          <w:bCs/>
          <w:szCs w:val="24"/>
          <w:lang w:val="es-ES"/>
        </w:rPr>
        <w:t>S.A</w:t>
      </w:r>
      <w:r w:rsidR="00375525" w:rsidRPr="00517228">
        <w:rPr>
          <w:rFonts w:cs="Tahoma"/>
          <w:b/>
          <w:bCs/>
          <w:szCs w:val="24"/>
          <w:lang w:val="es-ES"/>
        </w:rPr>
        <w:t>.</w:t>
      </w:r>
    </w:p>
    <w:p w14:paraId="6B4944D3" w14:textId="77777777" w:rsidR="00790DA9" w:rsidRPr="00517228" w:rsidRDefault="00790DA9" w:rsidP="00517228">
      <w:pPr>
        <w:spacing w:line="276" w:lineRule="auto"/>
        <w:rPr>
          <w:rFonts w:cs="Tahoma"/>
          <w:szCs w:val="24"/>
        </w:rPr>
      </w:pPr>
    </w:p>
    <w:p w14:paraId="74E244FD" w14:textId="76777837" w:rsidR="00790DA9" w:rsidRPr="00517228" w:rsidRDefault="00790DA9" w:rsidP="00517228">
      <w:pPr>
        <w:pStyle w:val="paragraph"/>
        <w:spacing w:before="0" w:beforeAutospacing="0" w:after="0" w:afterAutospacing="0" w:line="276" w:lineRule="auto"/>
        <w:jc w:val="center"/>
        <w:textAlignment w:val="baseline"/>
        <w:rPr>
          <w:rStyle w:val="normaltextrun"/>
          <w:rFonts w:ascii="Tahoma" w:hAnsi="Tahoma" w:cs="Tahoma"/>
          <w:b/>
          <w:bCs/>
        </w:rPr>
      </w:pPr>
      <w:r w:rsidRPr="00517228">
        <w:rPr>
          <w:rStyle w:val="normaltextrun"/>
          <w:rFonts w:ascii="Tahoma" w:hAnsi="Tahoma" w:cs="Tahoma"/>
          <w:b/>
          <w:bCs/>
        </w:rPr>
        <w:t>PUNTO A TRATAR</w:t>
      </w:r>
    </w:p>
    <w:p w14:paraId="604BDCDA" w14:textId="77777777" w:rsidR="00EF5C33" w:rsidRPr="00517228" w:rsidRDefault="00EF5C33" w:rsidP="00517228">
      <w:pPr>
        <w:pStyle w:val="paragraph"/>
        <w:spacing w:before="0" w:beforeAutospacing="0" w:after="0" w:afterAutospacing="0" w:line="276" w:lineRule="auto"/>
        <w:jc w:val="center"/>
        <w:textAlignment w:val="baseline"/>
        <w:rPr>
          <w:rFonts w:ascii="Tahoma" w:hAnsi="Tahoma" w:cs="Tahoma"/>
        </w:rPr>
      </w:pPr>
    </w:p>
    <w:p w14:paraId="277DA54F" w14:textId="3F07DA20" w:rsidR="00790DA9" w:rsidRPr="00517228" w:rsidRDefault="00790DA9" w:rsidP="00517228">
      <w:pPr>
        <w:spacing w:line="276" w:lineRule="auto"/>
        <w:ind w:firstLine="708"/>
        <w:rPr>
          <w:rFonts w:cs="Tahoma"/>
          <w:szCs w:val="24"/>
        </w:rPr>
      </w:pPr>
      <w:r w:rsidRPr="00517228">
        <w:rPr>
          <w:rStyle w:val="normaltextrun"/>
          <w:rFonts w:cs="Tahoma"/>
          <w:szCs w:val="24"/>
        </w:rPr>
        <w:t>Por medio de esta providencia procede la Sala a</w:t>
      </w:r>
      <w:r w:rsidRPr="00517228">
        <w:rPr>
          <w:rFonts w:cs="Tahoma"/>
          <w:szCs w:val="24"/>
        </w:rPr>
        <w:t xml:space="preserve"> resolver los recursos de apelación interpuestos por las codemandadas en contra de la sentencia proferida el </w:t>
      </w:r>
      <w:r w:rsidR="0072783E" w:rsidRPr="00517228">
        <w:rPr>
          <w:rFonts w:cs="Tahoma"/>
          <w:b/>
          <w:bCs/>
          <w:szCs w:val="24"/>
        </w:rPr>
        <w:t>1</w:t>
      </w:r>
      <w:r w:rsidR="00ED7835" w:rsidRPr="00517228">
        <w:rPr>
          <w:rFonts w:cs="Tahoma"/>
          <w:b/>
          <w:bCs/>
          <w:szCs w:val="24"/>
        </w:rPr>
        <w:t>0</w:t>
      </w:r>
      <w:r w:rsidRPr="00517228">
        <w:rPr>
          <w:rFonts w:cs="Tahoma"/>
          <w:b/>
          <w:bCs/>
          <w:szCs w:val="24"/>
        </w:rPr>
        <w:t xml:space="preserve"> de </w:t>
      </w:r>
      <w:r w:rsidR="0072783E" w:rsidRPr="00517228">
        <w:rPr>
          <w:rFonts w:cs="Tahoma"/>
          <w:b/>
          <w:bCs/>
          <w:szCs w:val="24"/>
        </w:rPr>
        <w:t>noviembre</w:t>
      </w:r>
      <w:r w:rsidRPr="00517228">
        <w:rPr>
          <w:rFonts w:cs="Tahoma"/>
          <w:b/>
          <w:bCs/>
          <w:szCs w:val="24"/>
        </w:rPr>
        <w:t xml:space="preserve"> de 2020</w:t>
      </w:r>
      <w:r w:rsidRPr="00517228">
        <w:rPr>
          <w:rFonts w:cs="Tahoma"/>
          <w:szCs w:val="24"/>
        </w:rPr>
        <w:t xml:space="preserve">, por el </w:t>
      </w:r>
      <w:r w:rsidRPr="00517228">
        <w:rPr>
          <w:rFonts w:cs="Tahoma"/>
          <w:szCs w:val="24"/>
          <w:lang w:val="es-ES_tradnl"/>
        </w:rPr>
        <w:t>Juzgado</w:t>
      </w:r>
      <w:r w:rsidRPr="00517228">
        <w:rPr>
          <w:rFonts w:cs="Tahoma"/>
          <w:szCs w:val="24"/>
        </w:rPr>
        <w:t xml:space="preserve"> </w:t>
      </w:r>
      <w:r w:rsidR="00AA30DB" w:rsidRPr="00517228">
        <w:rPr>
          <w:rFonts w:cs="Tahoma"/>
          <w:szCs w:val="24"/>
        </w:rPr>
        <w:t>Primero</w:t>
      </w:r>
      <w:r w:rsidRPr="00517228">
        <w:rPr>
          <w:rFonts w:cs="Tahoma"/>
          <w:szCs w:val="24"/>
        </w:rPr>
        <w:t xml:space="preserve"> Laboral del Circuito de Pereira</w:t>
      </w:r>
      <w:r w:rsidRPr="00517228">
        <w:rPr>
          <w:rStyle w:val="normaltextrun"/>
          <w:rFonts w:cs="Tahoma"/>
          <w:szCs w:val="24"/>
        </w:rPr>
        <w:t>.</w:t>
      </w:r>
      <w:r w:rsidRPr="00517228">
        <w:rPr>
          <w:rStyle w:val="Refdenotaalpie"/>
          <w:rFonts w:cs="Tahoma"/>
          <w:szCs w:val="24"/>
        </w:rPr>
        <w:t xml:space="preserve"> </w:t>
      </w:r>
      <w:r w:rsidRPr="00517228">
        <w:rPr>
          <w:rStyle w:val="normaltextrun"/>
          <w:rFonts w:cs="Tahoma"/>
          <w:szCs w:val="24"/>
        </w:rPr>
        <w:t>Para ello se tiene en cuenta lo siguiente: </w:t>
      </w:r>
    </w:p>
    <w:p w14:paraId="1A3B83DF" w14:textId="77777777" w:rsidR="00790DA9" w:rsidRPr="00517228" w:rsidRDefault="00790DA9" w:rsidP="00517228">
      <w:pPr>
        <w:spacing w:line="276" w:lineRule="auto"/>
        <w:ind w:firstLine="708"/>
        <w:rPr>
          <w:rFonts w:cs="Tahoma"/>
          <w:b/>
          <w:szCs w:val="24"/>
        </w:rPr>
      </w:pPr>
    </w:p>
    <w:p w14:paraId="783EB004" w14:textId="77777777" w:rsidR="00790DA9" w:rsidRPr="00517228" w:rsidRDefault="00790DA9" w:rsidP="00517228">
      <w:pPr>
        <w:pStyle w:val="Prrafodelista"/>
        <w:numPr>
          <w:ilvl w:val="0"/>
          <w:numId w:val="1"/>
        </w:numPr>
        <w:spacing w:line="276" w:lineRule="auto"/>
        <w:ind w:left="426" w:hanging="426"/>
        <w:jc w:val="center"/>
        <w:rPr>
          <w:rFonts w:cs="Tahoma"/>
          <w:b/>
          <w:bCs/>
          <w:szCs w:val="24"/>
        </w:rPr>
      </w:pPr>
      <w:r w:rsidRPr="00517228">
        <w:rPr>
          <w:rFonts w:cs="Tahoma"/>
          <w:b/>
          <w:bCs/>
          <w:szCs w:val="24"/>
        </w:rPr>
        <w:t>Demanda y su contestación</w:t>
      </w:r>
    </w:p>
    <w:p w14:paraId="17F37787" w14:textId="77777777" w:rsidR="00790DA9" w:rsidRPr="00517228" w:rsidRDefault="00790DA9" w:rsidP="00517228">
      <w:pPr>
        <w:spacing w:line="276" w:lineRule="auto"/>
        <w:ind w:firstLine="708"/>
        <w:rPr>
          <w:rStyle w:val="normaltextrun"/>
          <w:rFonts w:cs="Tahoma"/>
          <w:szCs w:val="24"/>
        </w:rPr>
      </w:pPr>
    </w:p>
    <w:p w14:paraId="0700657A" w14:textId="4CE69827" w:rsidR="00EF5C33" w:rsidRPr="00517228" w:rsidRDefault="00790DA9" w:rsidP="00517228">
      <w:pPr>
        <w:spacing w:line="276" w:lineRule="auto"/>
        <w:ind w:firstLine="708"/>
        <w:rPr>
          <w:rStyle w:val="normaltextrun"/>
          <w:rFonts w:cs="Tahoma"/>
          <w:szCs w:val="24"/>
        </w:rPr>
      </w:pPr>
      <w:r w:rsidRPr="00517228">
        <w:rPr>
          <w:rStyle w:val="normaltextrun"/>
          <w:rFonts w:cs="Tahoma"/>
          <w:szCs w:val="24"/>
        </w:rPr>
        <w:t>Pretende l</w:t>
      </w:r>
      <w:r w:rsidR="00ED7835" w:rsidRPr="00517228">
        <w:rPr>
          <w:rStyle w:val="normaltextrun"/>
          <w:rFonts w:cs="Tahoma"/>
          <w:szCs w:val="24"/>
        </w:rPr>
        <w:t>a</w:t>
      </w:r>
      <w:r w:rsidRPr="00517228">
        <w:rPr>
          <w:rStyle w:val="normaltextrun"/>
          <w:rFonts w:cs="Tahoma"/>
          <w:szCs w:val="24"/>
        </w:rPr>
        <w:t xml:space="preserve"> demandante que se declare la nulidad </w:t>
      </w:r>
      <w:r w:rsidR="00C16845" w:rsidRPr="00517228">
        <w:rPr>
          <w:rStyle w:val="normaltextrun"/>
          <w:rFonts w:cs="Tahoma"/>
          <w:szCs w:val="24"/>
        </w:rPr>
        <w:t>del</w:t>
      </w:r>
      <w:r w:rsidRPr="00517228">
        <w:rPr>
          <w:rStyle w:val="normaltextrun"/>
          <w:rFonts w:cs="Tahoma"/>
          <w:szCs w:val="24"/>
        </w:rPr>
        <w:t xml:space="preserve"> traslado de régimen </w:t>
      </w:r>
      <w:r w:rsidR="00EF5C33" w:rsidRPr="00517228">
        <w:rPr>
          <w:rStyle w:val="normaltextrun"/>
          <w:rFonts w:cs="Tahoma"/>
          <w:szCs w:val="24"/>
        </w:rPr>
        <w:t xml:space="preserve">que hizo desde el régimen de prima media con prestación definida </w:t>
      </w:r>
      <w:r w:rsidR="00C342C0" w:rsidRPr="00517228">
        <w:rPr>
          <w:rStyle w:val="normaltextrun"/>
          <w:rFonts w:cs="Tahoma"/>
          <w:szCs w:val="24"/>
        </w:rPr>
        <w:t xml:space="preserve">(en adelante RPM) </w:t>
      </w:r>
      <w:r w:rsidRPr="00517228">
        <w:rPr>
          <w:rStyle w:val="normaltextrun"/>
          <w:rFonts w:cs="Tahoma"/>
          <w:szCs w:val="24"/>
        </w:rPr>
        <w:t xml:space="preserve">hacia </w:t>
      </w:r>
      <w:r w:rsidR="00CD14BB" w:rsidRPr="00517228">
        <w:rPr>
          <w:rStyle w:val="normaltextrun"/>
          <w:rFonts w:cs="Tahoma"/>
          <w:szCs w:val="24"/>
        </w:rPr>
        <w:t>la Administradora de Fondos de Pensiones y Cesantías</w:t>
      </w:r>
      <w:r w:rsidR="00EF5C33" w:rsidRPr="00517228">
        <w:rPr>
          <w:rStyle w:val="normaltextrun"/>
          <w:rFonts w:cs="Tahoma"/>
          <w:szCs w:val="24"/>
        </w:rPr>
        <w:t xml:space="preserve"> </w:t>
      </w:r>
      <w:r w:rsidR="00C4413A" w:rsidRPr="00517228">
        <w:rPr>
          <w:rStyle w:val="normaltextrun"/>
          <w:rFonts w:cs="Tahoma"/>
          <w:szCs w:val="24"/>
        </w:rPr>
        <w:t>Porvenir</w:t>
      </w:r>
      <w:r w:rsidR="000E25BE" w:rsidRPr="00517228">
        <w:rPr>
          <w:rStyle w:val="normaltextrun"/>
          <w:rFonts w:cs="Tahoma"/>
          <w:szCs w:val="24"/>
        </w:rPr>
        <w:t xml:space="preserve"> S.A. </w:t>
      </w:r>
      <w:r w:rsidR="00C4413A" w:rsidRPr="00517228">
        <w:rPr>
          <w:rStyle w:val="normaltextrun"/>
          <w:rFonts w:cs="Tahoma"/>
          <w:szCs w:val="24"/>
        </w:rPr>
        <w:t>E</w:t>
      </w:r>
      <w:r w:rsidRPr="00517228">
        <w:rPr>
          <w:rStyle w:val="normaltextrun"/>
          <w:rFonts w:cs="Tahoma"/>
          <w:szCs w:val="24"/>
        </w:rPr>
        <w:t xml:space="preserve">n consecuencia, solicita se </w:t>
      </w:r>
      <w:r w:rsidR="00EF5C33" w:rsidRPr="00517228">
        <w:rPr>
          <w:rStyle w:val="normaltextrun"/>
          <w:rFonts w:cs="Tahoma"/>
          <w:szCs w:val="24"/>
        </w:rPr>
        <w:t>ordene</w:t>
      </w:r>
      <w:r w:rsidRPr="00517228">
        <w:rPr>
          <w:rStyle w:val="normaltextrun"/>
          <w:rFonts w:cs="Tahoma"/>
          <w:szCs w:val="24"/>
        </w:rPr>
        <w:t xml:space="preserve"> </w:t>
      </w:r>
      <w:r w:rsidR="00C4413A" w:rsidRPr="00517228">
        <w:rPr>
          <w:rStyle w:val="normaltextrun"/>
          <w:rFonts w:cs="Tahoma"/>
          <w:szCs w:val="24"/>
        </w:rPr>
        <w:t xml:space="preserve">a </w:t>
      </w:r>
      <w:r w:rsidRPr="00517228">
        <w:rPr>
          <w:rStyle w:val="normaltextrun"/>
          <w:rFonts w:cs="Tahoma"/>
          <w:szCs w:val="24"/>
        </w:rPr>
        <w:t xml:space="preserve">Porvenir S.A. devolver a Colpensiones los valores que hubiera recibido con motivo de </w:t>
      </w:r>
      <w:r w:rsidR="00761E4E" w:rsidRPr="00517228">
        <w:rPr>
          <w:rStyle w:val="normaltextrun"/>
          <w:rFonts w:cs="Tahoma"/>
          <w:szCs w:val="24"/>
        </w:rPr>
        <w:t>su afiliación.</w:t>
      </w:r>
      <w:r w:rsidR="005B00B8" w:rsidRPr="00517228">
        <w:rPr>
          <w:rStyle w:val="normaltextrun"/>
          <w:rFonts w:cs="Tahoma"/>
          <w:szCs w:val="24"/>
        </w:rPr>
        <w:t xml:space="preserve"> </w:t>
      </w:r>
    </w:p>
    <w:p w14:paraId="32AEA9DF" w14:textId="77777777" w:rsidR="00EF5C33" w:rsidRPr="00517228" w:rsidRDefault="00EF5C33" w:rsidP="00517228">
      <w:pPr>
        <w:spacing w:line="276" w:lineRule="auto"/>
        <w:ind w:firstLine="708"/>
        <w:rPr>
          <w:rStyle w:val="normaltextrun"/>
          <w:rFonts w:cs="Tahoma"/>
          <w:szCs w:val="24"/>
        </w:rPr>
      </w:pPr>
    </w:p>
    <w:p w14:paraId="723D2312" w14:textId="1DAA509F" w:rsidR="00790DA9" w:rsidRPr="00517228" w:rsidRDefault="00EF5C33" w:rsidP="00517228">
      <w:pPr>
        <w:spacing w:line="276" w:lineRule="auto"/>
        <w:ind w:firstLine="708"/>
        <w:rPr>
          <w:rStyle w:val="normaltextrun"/>
          <w:rFonts w:cs="Tahoma"/>
          <w:szCs w:val="24"/>
        </w:rPr>
      </w:pPr>
      <w:r w:rsidRPr="00517228">
        <w:rPr>
          <w:rStyle w:val="normaltextrun"/>
          <w:rFonts w:cs="Tahoma"/>
          <w:szCs w:val="24"/>
        </w:rPr>
        <w:t xml:space="preserve">Así mismo, solicita que </w:t>
      </w:r>
      <w:r w:rsidR="005B00B8" w:rsidRPr="00517228">
        <w:rPr>
          <w:rStyle w:val="normaltextrun"/>
          <w:rFonts w:cs="Tahoma"/>
          <w:szCs w:val="24"/>
        </w:rPr>
        <w:t xml:space="preserve">se condene al pago </w:t>
      </w:r>
      <w:r w:rsidR="00790DA9" w:rsidRPr="00517228">
        <w:rPr>
          <w:rStyle w:val="normaltextrun"/>
          <w:rFonts w:cs="Tahoma"/>
          <w:szCs w:val="24"/>
        </w:rPr>
        <w:t xml:space="preserve">de las costas </w:t>
      </w:r>
      <w:r w:rsidR="005B00B8" w:rsidRPr="00517228">
        <w:rPr>
          <w:rStyle w:val="normaltextrun"/>
          <w:rFonts w:cs="Tahoma"/>
          <w:szCs w:val="24"/>
        </w:rPr>
        <w:t xml:space="preserve">procesales </w:t>
      </w:r>
      <w:r w:rsidR="00C4413A" w:rsidRPr="00517228">
        <w:rPr>
          <w:rStyle w:val="normaltextrun"/>
          <w:rFonts w:cs="Tahoma"/>
          <w:szCs w:val="24"/>
        </w:rPr>
        <w:t>a</w:t>
      </w:r>
      <w:r w:rsidR="005B00B8" w:rsidRPr="00517228">
        <w:rPr>
          <w:rStyle w:val="normaltextrun"/>
          <w:rFonts w:cs="Tahoma"/>
          <w:szCs w:val="24"/>
        </w:rPr>
        <w:t xml:space="preserve"> cargo de</w:t>
      </w:r>
      <w:r w:rsidR="00C4413A" w:rsidRPr="00517228">
        <w:rPr>
          <w:rStyle w:val="normaltextrun"/>
          <w:rFonts w:cs="Tahoma"/>
          <w:szCs w:val="24"/>
        </w:rPr>
        <w:t xml:space="preserve"> </w:t>
      </w:r>
      <w:r w:rsidR="00761E4E" w:rsidRPr="00517228">
        <w:rPr>
          <w:rStyle w:val="normaltextrun"/>
          <w:rFonts w:cs="Tahoma"/>
          <w:szCs w:val="24"/>
        </w:rPr>
        <w:t>los demandados.</w:t>
      </w:r>
    </w:p>
    <w:p w14:paraId="2E77701D" w14:textId="77777777" w:rsidR="00790DA9" w:rsidRPr="00517228" w:rsidRDefault="00790DA9" w:rsidP="00517228">
      <w:pPr>
        <w:spacing w:line="276" w:lineRule="auto"/>
        <w:rPr>
          <w:rFonts w:cs="Tahoma"/>
          <w:color w:val="1F4E79" w:themeColor="accent5" w:themeShade="80"/>
          <w:szCs w:val="24"/>
        </w:rPr>
      </w:pPr>
    </w:p>
    <w:p w14:paraId="7A126899" w14:textId="3B32576A" w:rsidR="006C7C85" w:rsidRPr="00517228" w:rsidRDefault="00790DA9" w:rsidP="00517228">
      <w:pPr>
        <w:spacing w:line="276" w:lineRule="auto"/>
        <w:ind w:firstLine="708"/>
        <w:rPr>
          <w:rStyle w:val="normaltextrun"/>
          <w:rFonts w:cs="Tahoma"/>
          <w:szCs w:val="24"/>
        </w:rPr>
      </w:pPr>
      <w:r w:rsidRPr="00517228">
        <w:rPr>
          <w:rStyle w:val="normaltextrun"/>
          <w:rFonts w:cs="Tahoma"/>
          <w:szCs w:val="24"/>
        </w:rPr>
        <w:t xml:space="preserve">En síntesis, relata que </w:t>
      </w:r>
      <w:r w:rsidR="00761E4E" w:rsidRPr="00517228">
        <w:rPr>
          <w:rStyle w:val="normaltextrun"/>
          <w:rFonts w:cs="Tahoma"/>
          <w:szCs w:val="24"/>
        </w:rPr>
        <w:t xml:space="preserve">se vinculó laboralmente el día 07 de febrero de 1994 mediante contrato escrito y a término indefinido, como vigilante en los supermercados de </w:t>
      </w:r>
      <w:proofErr w:type="spellStart"/>
      <w:r w:rsidR="00761E4E" w:rsidRPr="00517228">
        <w:rPr>
          <w:rStyle w:val="normaltextrun"/>
          <w:rFonts w:cs="Tahoma"/>
          <w:szCs w:val="24"/>
        </w:rPr>
        <w:t>Comfamiliar</w:t>
      </w:r>
      <w:proofErr w:type="spellEnd"/>
      <w:r w:rsidR="00761E4E" w:rsidRPr="00517228">
        <w:rPr>
          <w:rStyle w:val="normaltextrun"/>
          <w:rFonts w:cs="Tahoma"/>
          <w:szCs w:val="24"/>
        </w:rPr>
        <w:t xml:space="preserve"> Risaralda, </w:t>
      </w:r>
      <w:r w:rsidR="00E74F09" w:rsidRPr="00517228">
        <w:rPr>
          <w:rStyle w:val="normaltextrun"/>
          <w:rFonts w:cs="Tahoma"/>
          <w:szCs w:val="24"/>
        </w:rPr>
        <w:t xml:space="preserve">y se </w:t>
      </w:r>
      <w:r w:rsidR="0098260A" w:rsidRPr="00517228">
        <w:rPr>
          <w:rStyle w:val="normaltextrun"/>
          <w:rFonts w:cs="Tahoma"/>
          <w:szCs w:val="24"/>
        </w:rPr>
        <w:t>afili</w:t>
      </w:r>
      <w:r w:rsidR="00E74F09" w:rsidRPr="00517228">
        <w:rPr>
          <w:rStyle w:val="normaltextrun"/>
          <w:rFonts w:cs="Tahoma"/>
          <w:szCs w:val="24"/>
        </w:rPr>
        <w:t>ó</w:t>
      </w:r>
      <w:r w:rsidR="0098260A" w:rsidRPr="00517228">
        <w:rPr>
          <w:rStyle w:val="normaltextrun"/>
          <w:rFonts w:cs="Tahoma"/>
          <w:szCs w:val="24"/>
        </w:rPr>
        <w:t xml:space="preserve"> en ese momento al Instituto de Seguro</w:t>
      </w:r>
      <w:r w:rsidR="00D86208" w:rsidRPr="00517228">
        <w:rPr>
          <w:rStyle w:val="normaltextrun"/>
          <w:rFonts w:cs="Tahoma"/>
          <w:szCs w:val="24"/>
        </w:rPr>
        <w:t>s</w:t>
      </w:r>
      <w:r w:rsidR="0098260A" w:rsidRPr="00517228">
        <w:rPr>
          <w:rStyle w:val="normaltextrun"/>
          <w:rFonts w:cs="Tahoma"/>
          <w:szCs w:val="24"/>
        </w:rPr>
        <w:t xml:space="preserve"> Social</w:t>
      </w:r>
      <w:r w:rsidR="00D86208" w:rsidRPr="00517228">
        <w:rPr>
          <w:rStyle w:val="normaltextrun"/>
          <w:rFonts w:cs="Tahoma"/>
          <w:szCs w:val="24"/>
        </w:rPr>
        <w:t>es</w:t>
      </w:r>
      <w:r w:rsidR="0098260A" w:rsidRPr="00517228">
        <w:rPr>
          <w:rStyle w:val="normaltextrun"/>
          <w:rFonts w:cs="Tahoma"/>
          <w:szCs w:val="24"/>
        </w:rPr>
        <w:t xml:space="preserve"> (hoy Colpensiones)</w:t>
      </w:r>
    </w:p>
    <w:p w14:paraId="2D1FD05D" w14:textId="5CDF3573" w:rsidR="00761E4E" w:rsidRPr="00517228" w:rsidRDefault="00761E4E" w:rsidP="00517228">
      <w:pPr>
        <w:spacing w:line="276" w:lineRule="auto"/>
        <w:ind w:firstLine="708"/>
        <w:rPr>
          <w:rStyle w:val="normaltextrun"/>
          <w:rFonts w:cs="Tahoma"/>
          <w:szCs w:val="24"/>
        </w:rPr>
      </w:pPr>
      <w:r w:rsidRPr="00517228">
        <w:rPr>
          <w:rStyle w:val="normaltextrun"/>
          <w:rFonts w:cs="Tahoma"/>
          <w:szCs w:val="24"/>
        </w:rPr>
        <w:t xml:space="preserve"> </w:t>
      </w:r>
    </w:p>
    <w:p w14:paraId="37DD4458" w14:textId="44F61CDA" w:rsidR="006B11AA" w:rsidRPr="00517228" w:rsidRDefault="00AA30DB" w:rsidP="00517228">
      <w:pPr>
        <w:spacing w:line="276" w:lineRule="auto"/>
        <w:ind w:firstLine="708"/>
        <w:rPr>
          <w:rStyle w:val="normaltextrun"/>
          <w:rFonts w:cs="Tahoma"/>
          <w:szCs w:val="24"/>
        </w:rPr>
      </w:pPr>
      <w:r w:rsidRPr="00517228">
        <w:rPr>
          <w:rStyle w:val="normaltextrun"/>
          <w:rFonts w:cs="Tahoma"/>
          <w:szCs w:val="24"/>
        </w:rPr>
        <w:t>Rememora</w:t>
      </w:r>
      <w:r w:rsidR="00790DA9" w:rsidRPr="00517228">
        <w:rPr>
          <w:rStyle w:val="normaltextrun"/>
          <w:rFonts w:cs="Tahoma"/>
          <w:szCs w:val="24"/>
        </w:rPr>
        <w:t xml:space="preserve"> que </w:t>
      </w:r>
      <w:r w:rsidR="006B11AA" w:rsidRPr="00517228">
        <w:rPr>
          <w:rStyle w:val="normaltextrun"/>
          <w:rFonts w:cs="Tahoma"/>
          <w:szCs w:val="24"/>
        </w:rPr>
        <w:t>el</w:t>
      </w:r>
      <w:r w:rsidR="00E74F09" w:rsidRPr="00517228">
        <w:rPr>
          <w:rStyle w:val="normaltextrun"/>
          <w:rFonts w:cs="Tahoma"/>
          <w:szCs w:val="24"/>
        </w:rPr>
        <w:t xml:space="preserve"> </w:t>
      </w:r>
      <w:r w:rsidR="00D86208" w:rsidRPr="00517228">
        <w:rPr>
          <w:rStyle w:val="normaltextrun"/>
          <w:rFonts w:cs="Tahoma"/>
          <w:szCs w:val="24"/>
        </w:rPr>
        <w:t xml:space="preserve">día </w:t>
      </w:r>
      <w:r w:rsidR="00E74F09" w:rsidRPr="00517228">
        <w:rPr>
          <w:rStyle w:val="normaltextrun"/>
          <w:rFonts w:cs="Tahoma"/>
          <w:szCs w:val="24"/>
        </w:rPr>
        <w:t>19 de octubre de 2004</w:t>
      </w:r>
      <w:r w:rsidRPr="00517228">
        <w:rPr>
          <w:rStyle w:val="normaltextrun"/>
          <w:rFonts w:cs="Tahoma"/>
          <w:szCs w:val="24"/>
        </w:rPr>
        <w:t>,</w:t>
      </w:r>
      <w:r w:rsidR="00E74F09" w:rsidRPr="00517228">
        <w:rPr>
          <w:rStyle w:val="normaltextrun"/>
          <w:rFonts w:cs="Tahoma"/>
          <w:szCs w:val="24"/>
        </w:rPr>
        <w:t xml:space="preserve"> la</w:t>
      </w:r>
      <w:r w:rsidR="006B11AA" w:rsidRPr="00517228">
        <w:rPr>
          <w:rStyle w:val="normaltextrun"/>
          <w:rFonts w:cs="Tahoma"/>
          <w:szCs w:val="24"/>
        </w:rPr>
        <w:t xml:space="preserve"> asesor</w:t>
      </w:r>
      <w:r w:rsidR="00E74F09" w:rsidRPr="00517228">
        <w:rPr>
          <w:rStyle w:val="normaltextrun"/>
          <w:rFonts w:cs="Tahoma"/>
          <w:szCs w:val="24"/>
        </w:rPr>
        <w:t xml:space="preserve">a </w:t>
      </w:r>
      <w:r w:rsidR="00B21AB8" w:rsidRPr="00517228">
        <w:rPr>
          <w:rStyle w:val="normaltextrun"/>
          <w:rFonts w:cs="Tahoma"/>
          <w:szCs w:val="24"/>
        </w:rPr>
        <w:t>Claudia</w:t>
      </w:r>
      <w:r w:rsidR="00E74F09" w:rsidRPr="00517228">
        <w:rPr>
          <w:rStyle w:val="normaltextrun"/>
          <w:rFonts w:cs="Tahoma"/>
          <w:szCs w:val="24"/>
        </w:rPr>
        <w:t xml:space="preserve"> M. Serna</w:t>
      </w:r>
      <w:r w:rsidR="006B11AA" w:rsidRPr="00517228">
        <w:rPr>
          <w:rStyle w:val="normaltextrun"/>
          <w:rFonts w:cs="Tahoma"/>
          <w:szCs w:val="24"/>
        </w:rPr>
        <w:t xml:space="preserve"> de la AFP </w:t>
      </w:r>
      <w:r w:rsidR="00E74F09" w:rsidRPr="00517228">
        <w:rPr>
          <w:rStyle w:val="normaltextrun"/>
          <w:rFonts w:cs="Tahoma"/>
          <w:szCs w:val="24"/>
        </w:rPr>
        <w:t>Porvenir</w:t>
      </w:r>
      <w:r w:rsidR="00B21AB8" w:rsidRPr="00517228">
        <w:rPr>
          <w:rStyle w:val="normaltextrun"/>
          <w:rFonts w:cs="Tahoma"/>
          <w:szCs w:val="24"/>
        </w:rPr>
        <w:t xml:space="preserve"> visitó las instalaciones de </w:t>
      </w:r>
      <w:proofErr w:type="spellStart"/>
      <w:r w:rsidR="00B21AB8" w:rsidRPr="00517228">
        <w:rPr>
          <w:rStyle w:val="normaltextrun"/>
          <w:rFonts w:cs="Tahoma"/>
          <w:szCs w:val="24"/>
        </w:rPr>
        <w:t>Comfamiliar</w:t>
      </w:r>
      <w:proofErr w:type="spellEnd"/>
      <w:r w:rsidR="00B21AB8" w:rsidRPr="00517228">
        <w:rPr>
          <w:rStyle w:val="normaltextrun"/>
          <w:rFonts w:cs="Tahoma"/>
          <w:szCs w:val="24"/>
        </w:rPr>
        <w:t xml:space="preserve"> Risaralda en la ciudad de Pereira, donde la instó para que abandonara al entonces instituto de Seguro</w:t>
      </w:r>
      <w:r w:rsidR="00D86208" w:rsidRPr="00517228">
        <w:rPr>
          <w:rStyle w:val="normaltextrun"/>
          <w:rFonts w:cs="Tahoma"/>
          <w:szCs w:val="24"/>
        </w:rPr>
        <w:t>s</w:t>
      </w:r>
      <w:r w:rsidR="00B21AB8" w:rsidRPr="00517228">
        <w:rPr>
          <w:rStyle w:val="normaltextrun"/>
          <w:rFonts w:cs="Tahoma"/>
          <w:szCs w:val="24"/>
        </w:rPr>
        <w:t xml:space="preserve"> Social</w:t>
      </w:r>
      <w:r w:rsidR="00D86208" w:rsidRPr="00517228">
        <w:rPr>
          <w:rStyle w:val="normaltextrun"/>
          <w:rFonts w:cs="Tahoma"/>
          <w:szCs w:val="24"/>
        </w:rPr>
        <w:t>es</w:t>
      </w:r>
      <w:r w:rsidR="00B21AB8" w:rsidRPr="00517228">
        <w:rPr>
          <w:rStyle w:val="normaltextrun"/>
          <w:rFonts w:cs="Tahoma"/>
          <w:szCs w:val="24"/>
        </w:rPr>
        <w:t xml:space="preserve"> y se trasladara a Porvenir S.A.</w:t>
      </w:r>
      <w:r w:rsidR="00D86208" w:rsidRPr="00517228">
        <w:rPr>
          <w:rStyle w:val="normaltextrun"/>
          <w:rFonts w:cs="Tahoma"/>
          <w:szCs w:val="24"/>
        </w:rPr>
        <w:t xml:space="preserve"> De igual forma,</w:t>
      </w:r>
      <w:r w:rsidR="006B11AA" w:rsidRPr="00517228">
        <w:rPr>
          <w:rStyle w:val="normaltextrun"/>
          <w:rFonts w:cs="Tahoma"/>
          <w:szCs w:val="24"/>
        </w:rPr>
        <w:t xml:space="preserve"> le indicó</w:t>
      </w:r>
      <w:r w:rsidR="00D86208" w:rsidRPr="00517228">
        <w:rPr>
          <w:rStyle w:val="normaltextrun"/>
          <w:rFonts w:cs="Tahoma"/>
          <w:szCs w:val="24"/>
        </w:rPr>
        <w:t xml:space="preserve"> </w:t>
      </w:r>
      <w:r w:rsidR="006B11AA" w:rsidRPr="00517228">
        <w:rPr>
          <w:rStyle w:val="normaltextrun"/>
          <w:rFonts w:cs="Tahoma"/>
          <w:szCs w:val="24"/>
        </w:rPr>
        <w:t xml:space="preserve">que de trasladarse al </w:t>
      </w:r>
      <w:r w:rsidR="00C342C0" w:rsidRPr="00517228">
        <w:rPr>
          <w:rStyle w:val="normaltextrun"/>
          <w:rFonts w:cs="Tahoma"/>
          <w:szCs w:val="24"/>
        </w:rPr>
        <w:t xml:space="preserve">régimen de ahorro individual con solidaridad (en adelante </w:t>
      </w:r>
      <w:r w:rsidR="006B11AA" w:rsidRPr="00517228">
        <w:rPr>
          <w:rStyle w:val="normaltextrun"/>
          <w:rFonts w:cs="Tahoma"/>
          <w:szCs w:val="24"/>
        </w:rPr>
        <w:t>RAIS</w:t>
      </w:r>
      <w:r w:rsidR="00C342C0" w:rsidRPr="00517228">
        <w:rPr>
          <w:rStyle w:val="normaltextrun"/>
          <w:rFonts w:cs="Tahoma"/>
          <w:szCs w:val="24"/>
        </w:rPr>
        <w:t>)</w:t>
      </w:r>
      <w:r w:rsidR="00D86208" w:rsidRPr="00517228">
        <w:rPr>
          <w:rStyle w:val="normaltextrun"/>
          <w:rFonts w:cs="Tahoma"/>
          <w:szCs w:val="24"/>
        </w:rPr>
        <w:t xml:space="preserve"> podría pensionarse a más temprana edad y el monto de</w:t>
      </w:r>
      <w:r w:rsidR="006B11AA" w:rsidRPr="00517228">
        <w:rPr>
          <w:rStyle w:val="normaltextrun"/>
          <w:rFonts w:cs="Tahoma"/>
          <w:szCs w:val="24"/>
        </w:rPr>
        <w:t xml:space="preserve"> su mesada pensional sería mucho más alta de la que recibiría en e</w:t>
      </w:r>
      <w:r w:rsidR="00D86208" w:rsidRPr="00517228">
        <w:rPr>
          <w:rStyle w:val="normaltextrun"/>
          <w:rFonts w:cs="Tahoma"/>
          <w:szCs w:val="24"/>
        </w:rPr>
        <w:t>l Instituto de Seguros Sociales (hoy Colpensiones)</w:t>
      </w:r>
      <w:r w:rsidR="00E60B9A" w:rsidRPr="00517228">
        <w:rPr>
          <w:rStyle w:val="normaltextrun"/>
          <w:rFonts w:cs="Tahoma"/>
          <w:szCs w:val="24"/>
        </w:rPr>
        <w:t xml:space="preserve"> y </w:t>
      </w:r>
      <w:r w:rsidR="006B11AA" w:rsidRPr="00517228">
        <w:rPr>
          <w:rStyle w:val="normaltextrun"/>
          <w:rFonts w:cs="Tahoma"/>
          <w:szCs w:val="24"/>
        </w:rPr>
        <w:t xml:space="preserve">que </w:t>
      </w:r>
      <w:r w:rsidR="00D86208" w:rsidRPr="00517228">
        <w:rPr>
          <w:rStyle w:val="normaltextrun"/>
          <w:rFonts w:cs="Tahoma"/>
          <w:szCs w:val="24"/>
        </w:rPr>
        <w:t>éste se acabaría.</w:t>
      </w:r>
      <w:r w:rsidR="00403746" w:rsidRPr="00517228">
        <w:rPr>
          <w:rStyle w:val="normaltextrun"/>
          <w:rFonts w:cs="Tahoma"/>
          <w:szCs w:val="24"/>
        </w:rPr>
        <w:t xml:space="preserve"> </w:t>
      </w:r>
      <w:r w:rsidR="00B5078E" w:rsidRPr="00517228">
        <w:rPr>
          <w:rStyle w:val="normaltextrun"/>
          <w:rFonts w:cs="Tahoma"/>
          <w:szCs w:val="24"/>
        </w:rPr>
        <w:t>Señala</w:t>
      </w:r>
      <w:r w:rsidR="00403746" w:rsidRPr="00517228">
        <w:rPr>
          <w:rStyle w:val="normaltextrun"/>
          <w:rFonts w:cs="Tahoma"/>
          <w:szCs w:val="24"/>
        </w:rPr>
        <w:t xml:space="preserve"> que la agente comercial de Porvenir S.A. se aprovechó de su desconocimiento.</w:t>
      </w:r>
    </w:p>
    <w:p w14:paraId="3584972E" w14:textId="77777777" w:rsidR="00790DA9" w:rsidRPr="00517228" w:rsidRDefault="00790DA9" w:rsidP="00517228">
      <w:pPr>
        <w:spacing w:line="276" w:lineRule="auto"/>
        <w:rPr>
          <w:rStyle w:val="normaltextrun"/>
          <w:rFonts w:cs="Tahoma"/>
          <w:szCs w:val="24"/>
        </w:rPr>
      </w:pPr>
    </w:p>
    <w:p w14:paraId="3AA898F4" w14:textId="30BDA8A5" w:rsidR="00790DA9" w:rsidRPr="00517228" w:rsidRDefault="005A5ADA" w:rsidP="00517228">
      <w:pPr>
        <w:spacing w:line="276" w:lineRule="auto"/>
        <w:ind w:firstLine="708"/>
        <w:rPr>
          <w:rStyle w:val="normaltextrun"/>
          <w:rFonts w:cs="Tahoma"/>
          <w:szCs w:val="24"/>
        </w:rPr>
      </w:pPr>
      <w:r w:rsidRPr="00517228">
        <w:rPr>
          <w:rStyle w:val="normaltextrun"/>
          <w:rFonts w:cs="Tahoma"/>
          <w:szCs w:val="24"/>
        </w:rPr>
        <w:t>A</w:t>
      </w:r>
      <w:r w:rsidR="00073698" w:rsidRPr="00517228">
        <w:rPr>
          <w:rStyle w:val="normaltextrun"/>
          <w:rFonts w:cs="Tahoma"/>
          <w:szCs w:val="24"/>
        </w:rPr>
        <w:t>lude</w:t>
      </w:r>
      <w:r w:rsidR="00CD14BB" w:rsidRPr="00517228">
        <w:rPr>
          <w:rStyle w:val="normaltextrun"/>
          <w:rFonts w:cs="Tahoma"/>
          <w:szCs w:val="24"/>
        </w:rPr>
        <w:t xml:space="preserve"> que</w:t>
      </w:r>
      <w:r w:rsidR="00403746" w:rsidRPr="00517228">
        <w:rPr>
          <w:rStyle w:val="normaltextrun"/>
          <w:rFonts w:cs="Tahoma"/>
          <w:szCs w:val="24"/>
        </w:rPr>
        <w:t xml:space="preserve"> a los pocos días de haber firmado el traspaso de régimen pensional con Porvenir S.A</w:t>
      </w:r>
      <w:r w:rsidR="00AA30DB" w:rsidRPr="00517228">
        <w:rPr>
          <w:rStyle w:val="normaltextrun"/>
          <w:rFonts w:cs="Tahoma"/>
          <w:szCs w:val="24"/>
        </w:rPr>
        <w:t>,</w:t>
      </w:r>
      <w:r w:rsidR="00403746" w:rsidRPr="00517228">
        <w:rPr>
          <w:rStyle w:val="normaltextrun"/>
          <w:rFonts w:cs="Tahoma"/>
          <w:szCs w:val="24"/>
        </w:rPr>
        <w:t xml:space="preserve"> se acercó a sus instalaciones y solicitó de manera verbal su deseo de regresar nuevamente al Instituto de Seguros Sociales, a lo cual la respuesta fue totalmente negativa</w:t>
      </w:r>
      <w:r w:rsidR="00B83EFF" w:rsidRPr="00517228">
        <w:rPr>
          <w:rStyle w:val="normaltextrun"/>
          <w:rFonts w:cs="Tahoma"/>
          <w:szCs w:val="24"/>
        </w:rPr>
        <w:t>; que</w:t>
      </w:r>
      <w:r w:rsidR="00C342C0" w:rsidRPr="00517228">
        <w:rPr>
          <w:rStyle w:val="normaltextrun"/>
          <w:rFonts w:cs="Tahoma"/>
          <w:szCs w:val="24"/>
        </w:rPr>
        <w:t>,</w:t>
      </w:r>
      <w:r w:rsidR="00403746" w:rsidRPr="00517228">
        <w:rPr>
          <w:rStyle w:val="normaltextrun"/>
          <w:rFonts w:cs="Tahoma"/>
          <w:szCs w:val="24"/>
        </w:rPr>
        <w:t xml:space="preserve"> pasados </w:t>
      </w:r>
      <w:r w:rsidR="00B83EFF" w:rsidRPr="00517228">
        <w:rPr>
          <w:rStyle w:val="normaltextrun"/>
          <w:rFonts w:cs="Tahoma"/>
          <w:szCs w:val="24"/>
        </w:rPr>
        <w:t xml:space="preserve">cinco </w:t>
      </w:r>
      <w:r w:rsidR="00403746" w:rsidRPr="00517228">
        <w:rPr>
          <w:rStyle w:val="normaltextrun"/>
          <w:rFonts w:cs="Tahoma"/>
          <w:szCs w:val="24"/>
        </w:rPr>
        <w:t>años después de la afiliación, en reiteradas ocasiones solicitó verbalmente el traslado de régimen, sin lograr llevar a buen término su solicitud. Finalmente, indica que se enviaron derechos de petición a Colpensiones y Porvenir y las respuestas fueron</w:t>
      </w:r>
      <w:r w:rsidR="00B83EFF" w:rsidRPr="00517228">
        <w:rPr>
          <w:rStyle w:val="normaltextrun"/>
          <w:rFonts w:cs="Tahoma"/>
          <w:szCs w:val="24"/>
        </w:rPr>
        <w:t xml:space="preserve"> todas</w:t>
      </w:r>
      <w:r w:rsidR="00403746" w:rsidRPr="00517228">
        <w:rPr>
          <w:rStyle w:val="normaltextrun"/>
          <w:rFonts w:cs="Tahoma"/>
          <w:szCs w:val="24"/>
        </w:rPr>
        <w:t xml:space="preserve"> infructuosas.</w:t>
      </w:r>
    </w:p>
    <w:p w14:paraId="710088ED" w14:textId="77777777" w:rsidR="00790DA9" w:rsidRPr="00517228" w:rsidRDefault="00790DA9" w:rsidP="00517228">
      <w:pPr>
        <w:spacing w:line="276" w:lineRule="auto"/>
        <w:rPr>
          <w:rFonts w:cs="Tahoma"/>
          <w:szCs w:val="24"/>
        </w:rPr>
      </w:pPr>
    </w:p>
    <w:p w14:paraId="3C91E675" w14:textId="41083C3D" w:rsidR="00790DA9" w:rsidRPr="00517228" w:rsidRDefault="00790DA9" w:rsidP="00517228">
      <w:pPr>
        <w:spacing w:line="276" w:lineRule="auto"/>
        <w:ind w:firstLine="708"/>
        <w:rPr>
          <w:rStyle w:val="normaltextrun"/>
          <w:rFonts w:cs="Tahoma"/>
          <w:i/>
          <w:iCs/>
          <w:szCs w:val="24"/>
        </w:rPr>
      </w:pPr>
      <w:r w:rsidRPr="00517228">
        <w:rPr>
          <w:rStyle w:val="normaltextrun"/>
          <w:rFonts w:cs="Tahoma"/>
          <w:b/>
          <w:bCs/>
          <w:szCs w:val="24"/>
        </w:rPr>
        <w:t>Colpensiones</w:t>
      </w:r>
      <w:r w:rsidRPr="00517228">
        <w:rPr>
          <w:rStyle w:val="normaltextrun"/>
          <w:rFonts w:cs="Tahoma"/>
          <w:szCs w:val="24"/>
        </w:rPr>
        <w:t xml:space="preserve"> </w:t>
      </w:r>
      <w:r w:rsidR="00FF6DD0" w:rsidRPr="00517228">
        <w:rPr>
          <w:rStyle w:val="normaltextrun"/>
          <w:rFonts w:cs="Tahoma"/>
          <w:szCs w:val="24"/>
        </w:rPr>
        <w:t>en su</w:t>
      </w:r>
      <w:r w:rsidR="002D70C7" w:rsidRPr="00517228">
        <w:rPr>
          <w:rStyle w:val="normaltextrun"/>
          <w:rFonts w:cs="Tahoma"/>
          <w:szCs w:val="24"/>
        </w:rPr>
        <w:t xml:space="preserve"> contestación</w:t>
      </w:r>
      <w:r w:rsidR="00FF6DD0" w:rsidRPr="00517228">
        <w:rPr>
          <w:rStyle w:val="normaltextrun"/>
          <w:rFonts w:cs="Tahoma"/>
          <w:szCs w:val="24"/>
        </w:rPr>
        <w:t xml:space="preserve">, </w:t>
      </w:r>
      <w:bookmarkStart w:id="2" w:name="_Hlk70578161"/>
      <w:r w:rsidR="00FF6DD0" w:rsidRPr="00517228">
        <w:rPr>
          <w:rStyle w:val="normaltextrun"/>
          <w:rFonts w:cs="Tahoma"/>
          <w:szCs w:val="24"/>
        </w:rPr>
        <w:t>se opuso</w:t>
      </w:r>
      <w:r w:rsidRPr="00517228">
        <w:rPr>
          <w:rStyle w:val="normaltextrun"/>
          <w:rFonts w:cs="Tahoma"/>
          <w:szCs w:val="24"/>
        </w:rPr>
        <w:t xml:space="preserve"> a las pretensiones</w:t>
      </w:r>
      <w:r w:rsidR="00553FD7" w:rsidRPr="00517228">
        <w:rPr>
          <w:rStyle w:val="normaltextrun"/>
          <w:rFonts w:cs="Tahoma"/>
          <w:szCs w:val="24"/>
        </w:rPr>
        <w:t>,</w:t>
      </w:r>
      <w:r w:rsidRPr="00517228">
        <w:rPr>
          <w:rStyle w:val="normaltextrun"/>
          <w:rFonts w:cs="Tahoma"/>
          <w:szCs w:val="24"/>
        </w:rPr>
        <w:t xml:space="preserve"> </w:t>
      </w:r>
      <w:r w:rsidR="002D70C7" w:rsidRPr="00517228">
        <w:rPr>
          <w:rStyle w:val="normaltextrun"/>
          <w:rFonts w:cs="Tahoma"/>
          <w:szCs w:val="24"/>
        </w:rPr>
        <w:t>señalando</w:t>
      </w:r>
      <w:r w:rsidRPr="00517228">
        <w:rPr>
          <w:rStyle w:val="normaltextrun"/>
          <w:rFonts w:cs="Tahoma"/>
          <w:szCs w:val="24"/>
        </w:rPr>
        <w:t xml:space="preserve"> que </w:t>
      </w:r>
      <w:r w:rsidR="00553FD7" w:rsidRPr="00517228">
        <w:rPr>
          <w:rStyle w:val="normaltextrun"/>
          <w:rFonts w:cs="Tahoma"/>
          <w:szCs w:val="24"/>
        </w:rPr>
        <w:t xml:space="preserve">el </w:t>
      </w:r>
      <w:r w:rsidRPr="00517228">
        <w:rPr>
          <w:rStyle w:val="normaltextrun"/>
          <w:rFonts w:cs="Tahoma"/>
          <w:szCs w:val="24"/>
        </w:rPr>
        <w:t xml:space="preserve">traslado </w:t>
      </w:r>
      <w:r w:rsidR="00553FD7" w:rsidRPr="00517228">
        <w:rPr>
          <w:rStyle w:val="normaltextrun"/>
          <w:rFonts w:cs="Tahoma"/>
          <w:szCs w:val="24"/>
        </w:rPr>
        <w:t>a Porvenir S.A se dio</w:t>
      </w:r>
      <w:r w:rsidR="00846780" w:rsidRPr="00517228">
        <w:rPr>
          <w:rStyle w:val="normaltextrun"/>
          <w:rFonts w:cs="Tahoma"/>
          <w:szCs w:val="24"/>
        </w:rPr>
        <w:t xml:space="preserve"> en virtud de </w:t>
      </w:r>
      <w:r w:rsidR="007418AD" w:rsidRPr="00517228">
        <w:rPr>
          <w:rStyle w:val="normaltextrun"/>
          <w:rFonts w:cs="Tahoma"/>
          <w:szCs w:val="24"/>
        </w:rPr>
        <w:t>que la demandante adoptó voluntariamente el RAIS</w:t>
      </w:r>
      <w:r w:rsidR="00553FD7" w:rsidRPr="00517228">
        <w:rPr>
          <w:rStyle w:val="normaltextrun"/>
          <w:rFonts w:cs="Tahoma"/>
          <w:szCs w:val="24"/>
        </w:rPr>
        <w:t xml:space="preserve">. </w:t>
      </w:r>
      <w:r w:rsidR="00846780" w:rsidRPr="00517228">
        <w:rPr>
          <w:rStyle w:val="normaltextrun"/>
          <w:rFonts w:cs="Tahoma"/>
          <w:szCs w:val="24"/>
        </w:rPr>
        <w:t>Por consiguiente, n</w:t>
      </w:r>
      <w:r w:rsidRPr="00517228">
        <w:rPr>
          <w:rStyle w:val="normaltextrun"/>
          <w:rFonts w:cs="Tahoma"/>
          <w:szCs w:val="24"/>
        </w:rPr>
        <w:t>eg</w:t>
      </w:r>
      <w:r w:rsidR="00096470" w:rsidRPr="00517228">
        <w:rPr>
          <w:rStyle w:val="normaltextrun"/>
          <w:rFonts w:cs="Tahoma"/>
          <w:szCs w:val="24"/>
        </w:rPr>
        <w:t>ó</w:t>
      </w:r>
      <w:r w:rsidRPr="00517228">
        <w:rPr>
          <w:rStyle w:val="normaltextrun"/>
          <w:rFonts w:cs="Tahoma"/>
          <w:szCs w:val="24"/>
        </w:rPr>
        <w:t xml:space="preserve"> la mayoría de los hechos de la demanda o refiri</w:t>
      </w:r>
      <w:r w:rsidR="00096470" w:rsidRPr="00517228">
        <w:rPr>
          <w:rStyle w:val="normaltextrun"/>
          <w:rFonts w:cs="Tahoma"/>
          <w:szCs w:val="24"/>
        </w:rPr>
        <w:t>ó</w:t>
      </w:r>
      <w:r w:rsidRPr="00517228">
        <w:rPr>
          <w:rStyle w:val="normaltextrun"/>
          <w:rFonts w:cs="Tahoma"/>
          <w:szCs w:val="24"/>
        </w:rPr>
        <w:t xml:space="preserve"> no constarl</w:t>
      </w:r>
      <w:r w:rsidR="00846780" w:rsidRPr="00517228">
        <w:rPr>
          <w:rStyle w:val="normaltextrun"/>
          <w:rFonts w:cs="Tahoma"/>
          <w:szCs w:val="24"/>
        </w:rPr>
        <w:t>e</w:t>
      </w:r>
      <w:r w:rsidR="007418AD" w:rsidRPr="00517228">
        <w:rPr>
          <w:rStyle w:val="normaltextrun"/>
          <w:rFonts w:cs="Tahoma"/>
          <w:szCs w:val="24"/>
        </w:rPr>
        <w:t xml:space="preserve">. </w:t>
      </w:r>
      <w:r w:rsidR="00FF6DD0" w:rsidRPr="00517228">
        <w:rPr>
          <w:rStyle w:val="normaltextrun"/>
          <w:rFonts w:cs="Tahoma"/>
          <w:szCs w:val="24"/>
        </w:rPr>
        <w:t xml:space="preserve">Centra su </w:t>
      </w:r>
      <w:r w:rsidR="00D31819" w:rsidRPr="00517228">
        <w:rPr>
          <w:rStyle w:val="normaltextrun"/>
          <w:rFonts w:cs="Tahoma"/>
          <w:szCs w:val="24"/>
        </w:rPr>
        <w:t xml:space="preserve">defensa </w:t>
      </w:r>
      <w:bookmarkEnd w:id="2"/>
      <w:r w:rsidR="00D31819" w:rsidRPr="00517228">
        <w:rPr>
          <w:rStyle w:val="normaltextrun"/>
          <w:rFonts w:cs="Tahoma"/>
          <w:szCs w:val="24"/>
        </w:rPr>
        <w:t xml:space="preserve">en que la </w:t>
      </w:r>
      <w:r w:rsidR="007418AD" w:rsidRPr="00517228">
        <w:rPr>
          <w:rStyle w:val="normaltextrun"/>
          <w:rFonts w:cs="Tahoma"/>
          <w:szCs w:val="24"/>
        </w:rPr>
        <w:t xml:space="preserve">demandante no indica bajo que presupuestos jurídicos debe declararse la nulidad, pues si bien deja de presente una presunta desinformación por parte de </w:t>
      </w:r>
      <w:r w:rsidR="002F3E23" w:rsidRPr="00517228">
        <w:rPr>
          <w:rStyle w:val="normaltextrun"/>
          <w:rFonts w:cs="Tahoma"/>
          <w:szCs w:val="24"/>
        </w:rPr>
        <w:t>l</w:t>
      </w:r>
      <w:r w:rsidR="007418AD" w:rsidRPr="00517228">
        <w:rPr>
          <w:rStyle w:val="normaltextrun"/>
          <w:rFonts w:cs="Tahoma"/>
          <w:szCs w:val="24"/>
        </w:rPr>
        <w:t>a AFP Porvenir S.A</w:t>
      </w:r>
      <w:r w:rsidR="005D7831" w:rsidRPr="00517228">
        <w:rPr>
          <w:rStyle w:val="normaltextrun"/>
          <w:rFonts w:cs="Tahoma"/>
          <w:szCs w:val="24"/>
        </w:rPr>
        <w:t xml:space="preserve">, </w:t>
      </w:r>
      <w:r w:rsidR="007418AD" w:rsidRPr="00517228">
        <w:rPr>
          <w:rStyle w:val="normaltextrun"/>
          <w:rFonts w:cs="Tahoma"/>
          <w:szCs w:val="24"/>
        </w:rPr>
        <w:t>no especifica</w:t>
      </w:r>
      <w:r w:rsidR="005D7831" w:rsidRPr="00517228">
        <w:rPr>
          <w:rStyle w:val="normaltextrun"/>
          <w:rFonts w:cs="Tahoma"/>
          <w:szCs w:val="24"/>
        </w:rPr>
        <w:t>ba</w:t>
      </w:r>
      <w:r w:rsidR="007418AD" w:rsidRPr="00517228">
        <w:rPr>
          <w:rStyle w:val="normaltextrun"/>
          <w:rFonts w:cs="Tahoma"/>
          <w:szCs w:val="24"/>
        </w:rPr>
        <w:t xml:space="preserve"> cuál </w:t>
      </w:r>
      <w:r w:rsidR="005D7831" w:rsidRPr="00517228">
        <w:rPr>
          <w:rStyle w:val="normaltextrun"/>
          <w:rFonts w:cs="Tahoma"/>
          <w:szCs w:val="24"/>
        </w:rPr>
        <w:t xml:space="preserve">era </w:t>
      </w:r>
      <w:r w:rsidR="007418AD" w:rsidRPr="00517228">
        <w:rPr>
          <w:rStyle w:val="normaltextrun"/>
          <w:rFonts w:cs="Tahoma"/>
          <w:szCs w:val="24"/>
        </w:rPr>
        <w:t xml:space="preserve">el vicio </w:t>
      </w:r>
      <w:r w:rsidR="005D7831" w:rsidRPr="00517228">
        <w:rPr>
          <w:rStyle w:val="normaltextrun"/>
          <w:rFonts w:cs="Tahoma"/>
          <w:szCs w:val="24"/>
        </w:rPr>
        <w:t>que,</w:t>
      </w:r>
      <w:r w:rsidR="007418AD" w:rsidRPr="00517228">
        <w:rPr>
          <w:rStyle w:val="normaltextrun"/>
          <w:rFonts w:cs="Tahoma"/>
          <w:szCs w:val="24"/>
        </w:rPr>
        <w:t xml:space="preserve"> a su juicio, invalida la afiliación</w:t>
      </w:r>
      <w:r w:rsidR="005D7831" w:rsidRPr="00517228">
        <w:rPr>
          <w:rStyle w:val="normaltextrun"/>
          <w:rFonts w:cs="Tahoma"/>
          <w:szCs w:val="24"/>
        </w:rPr>
        <w:t xml:space="preserve"> y que </w:t>
      </w:r>
      <w:r w:rsidR="007418AD" w:rsidRPr="00517228">
        <w:rPr>
          <w:rStyle w:val="normaltextrun"/>
          <w:rFonts w:cs="Tahoma"/>
          <w:szCs w:val="24"/>
        </w:rPr>
        <w:t>en el expediente no reposa documental alguna que permita entrever un posible vicio</w:t>
      </w:r>
      <w:r w:rsidR="002F3E23" w:rsidRPr="00517228">
        <w:rPr>
          <w:rStyle w:val="normaltextrun"/>
          <w:rFonts w:cs="Tahoma"/>
          <w:szCs w:val="24"/>
        </w:rPr>
        <w:t xml:space="preserve"> o</w:t>
      </w:r>
      <w:r w:rsidR="007418AD" w:rsidRPr="00517228">
        <w:rPr>
          <w:rStyle w:val="normaltextrun"/>
          <w:rFonts w:cs="Tahoma"/>
          <w:szCs w:val="24"/>
        </w:rPr>
        <w:t xml:space="preserve"> error que conllevara a la indebida afiliación</w:t>
      </w:r>
      <w:r w:rsidR="00D31819" w:rsidRPr="00517228">
        <w:rPr>
          <w:rStyle w:val="normaltextrun"/>
          <w:rFonts w:cs="Tahoma"/>
          <w:szCs w:val="24"/>
        </w:rPr>
        <w:t xml:space="preserve">. </w:t>
      </w:r>
      <w:r w:rsidRPr="00517228">
        <w:rPr>
          <w:rStyle w:val="normaltextrun"/>
          <w:rFonts w:cs="Tahoma"/>
          <w:szCs w:val="24"/>
        </w:rPr>
        <w:t xml:space="preserve">Como excepciones invocó </w:t>
      </w:r>
      <w:r w:rsidR="00FF6DD0" w:rsidRPr="00517228">
        <w:rPr>
          <w:rStyle w:val="normaltextrun"/>
          <w:rFonts w:cs="Tahoma"/>
          <w:szCs w:val="24"/>
        </w:rPr>
        <w:t>“</w:t>
      </w:r>
      <w:r w:rsidR="002F3E23" w:rsidRPr="00517228">
        <w:rPr>
          <w:rStyle w:val="normaltextrun"/>
          <w:rFonts w:cs="Tahoma"/>
          <w:b/>
          <w:bCs/>
          <w:i/>
          <w:iCs/>
          <w:szCs w:val="24"/>
        </w:rPr>
        <w:t xml:space="preserve">inexistencia de la obligación demandada, prescripción </w:t>
      </w:r>
      <w:r w:rsidR="00784D72" w:rsidRPr="00517228">
        <w:rPr>
          <w:rStyle w:val="normaltextrun"/>
          <w:rFonts w:cs="Tahoma"/>
          <w:b/>
          <w:bCs/>
          <w:i/>
          <w:iCs/>
          <w:szCs w:val="24"/>
        </w:rPr>
        <w:t>y declaratoria de otras excepciones</w:t>
      </w:r>
      <w:r w:rsidR="00FF6DD0" w:rsidRPr="00517228">
        <w:rPr>
          <w:rStyle w:val="normaltextrun"/>
          <w:rFonts w:cs="Tahoma"/>
          <w:b/>
          <w:bCs/>
          <w:i/>
          <w:iCs/>
          <w:szCs w:val="24"/>
        </w:rPr>
        <w:t>”</w:t>
      </w:r>
      <w:r w:rsidR="00784D72" w:rsidRPr="00517228">
        <w:rPr>
          <w:rStyle w:val="normaltextrun"/>
          <w:rFonts w:cs="Tahoma"/>
          <w:b/>
          <w:bCs/>
          <w:i/>
          <w:iCs/>
          <w:szCs w:val="24"/>
        </w:rPr>
        <w:t>.</w:t>
      </w:r>
    </w:p>
    <w:p w14:paraId="4442E1CF" w14:textId="77777777" w:rsidR="00790DA9" w:rsidRPr="00517228" w:rsidRDefault="00790DA9" w:rsidP="00517228">
      <w:pPr>
        <w:spacing w:line="276" w:lineRule="auto"/>
        <w:rPr>
          <w:rFonts w:cs="Tahoma"/>
          <w:i/>
          <w:iCs/>
          <w:szCs w:val="24"/>
        </w:rPr>
      </w:pPr>
    </w:p>
    <w:p w14:paraId="54DD8ABB" w14:textId="797D6F02" w:rsidR="00790DA9" w:rsidRPr="00517228" w:rsidRDefault="00790DA9" w:rsidP="00517228">
      <w:pPr>
        <w:spacing w:line="276" w:lineRule="auto"/>
        <w:ind w:firstLine="426"/>
        <w:rPr>
          <w:rFonts w:cs="Tahoma"/>
          <w:szCs w:val="24"/>
        </w:rPr>
      </w:pPr>
      <w:r w:rsidRPr="00517228">
        <w:rPr>
          <w:rFonts w:cs="Tahoma"/>
          <w:b/>
          <w:bCs/>
          <w:szCs w:val="24"/>
        </w:rPr>
        <w:t>Porvenir S.A.</w:t>
      </w:r>
      <w:r w:rsidRPr="00517228">
        <w:rPr>
          <w:rFonts w:cs="Tahoma"/>
          <w:szCs w:val="24"/>
        </w:rPr>
        <w:t xml:space="preserve"> al contestar </w:t>
      </w:r>
      <w:r w:rsidR="00C06B1A" w:rsidRPr="00517228">
        <w:rPr>
          <w:rFonts w:cs="Tahoma"/>
          <w:szCs w:val="24"/>
        </w:rPr>
        <w:t>se opuso a las pretensiones, señalando</w:t>
      </w:r>
      <w:r w:rsidR="00C7760C" w:rsidRPr="00517228">
        <w:rPr>
          <w:rFonts w:cs="Tahoma"/>
          <w:szCs w:val="24"/>
        </w:rPr>
        <w:t xml:space="preserve"> respecto a la declaración de nulidad por omisión en la información y/o inducción a error que, no existieron las maniobras preterintencionales que se le endilgan</w:t>
      </w:r>
      <w:r w:rsidR="00C06B1A" w:rsidRPr="00517228">
        <w:rPr>
          <w:rFonts w:cs="Tahoma"/>
          <w:szCs w:val="24"/>
        </w:rPr>
        <w:t xml:space="preserve">. </w:t>
      </w:r>
      <w:r w:rsidR="00FE7B6D" w:rsidRPr="00517228">
        <w:rPr>
          <w:rFonts w:cs="Tahoma"/>
          <w:szCs w:val="24"/>
        </w:rPr>
        <w:t>N</w:t>
      </w:r>
      <w:r w:rsidR="00C06B1A" w:rsidRPr="00517228">
        <w:rPr>
          <w:rFonts w:cs="Tahoma"/>
          <w:szCs w:val="24"/>
        </w:rPr>
        <w:t>egó la mayoría de los hechos de la demanda o refirió no constarle. Centra su defensa</w:t>
      </w:r>
      <w:r w:rsidRPr="00517228">
        <w:rPr>
          <w:rFonts w:cs="Tahoma"/>
          <w:szCs w:val="24"/>
        </w:rPr>
        <w:t xml:space="preserve"> en que</w:t>
      </w:r>
      <w:r w:rsidR="002F035D" w:rsidRPr="00517228">
        <w:rPr>
          <w:rFonts w:cs="Tahoma"/>
          <w:szCs w:val="24"/>
        </w:rPr>
        <w:t xml:space="preserve"> la decisión de traslado de régimen correspondió a un acto de su propia voluntad, por lo tanto, no pudo ser víctima de la omisión en la información; asimismo, que no se le hizo incurrir en error sobre el objeto de la contratación en lo relativo a sus derechos prestacionales, características y condiciones del régimen que la acogía; </w:t>
      </w:r>
      <w:r w:rsidR="00FE7B6D" w:rsidRPr="00517228">
        <w:rPr>
          <w:rFonts w:cs="Tahoma"/>
          <w:szCs w:val="24"/>
        </w:rPr>
        <w:t xml:space="preserve">además, que no existía solución de continuidad de su vinculación con el RPM; y que su vinculación fue lícita y ajustada a derecho en la medida en que su voluntad fue totalmente consiente del acto del traslado en cuanto a sus consecuencias jurídicas. </w:t>
      </w:r>
      <w:r w:rsidRPr="00517228">
        <w:rPr>
          <w:rFonts w:cs="Tahoma"/>
          <w:szCs w:val="24"/>
        </w:rPr>
        <w:t xml:space="preserve">Como excepciones invocó </w:t>
      </w:r>
      <w:r w:rsidRPr="00517228">
        <w:rPr>
          <w:rFonts w:cs="Tahoma"/>
          <w:b/>
          <w:bCs/>
          <w:i/>
          <w:iCs/>
          <w:szCs w:val="24"/>
        </w:rPr>
        <w:t>prescripción, buena fe</w:t>
      </w:r>
      <w:r w:rsidR="002E0F25" w:rsidRPr="00517228">
        <w:rPr>
          <w:rFonts w:cs="Tahoma"/>
          <w:b/>
          <w:bCs/>
          <w:i/>
          <w:iCs/>
          <w:szCs w:val="24"/>
        </w:rPr>
        <w:t>,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r w:rsidRPr="00517228">
        <w:rPr>
          <w:rFonts w:cs="Tahoma"/>
          <w:b/>
          <w:bCs/>
          <w:i/>
          <w:iCs/>
          <w:szCs w:val="24"/>
        </w:rPr>
        <w:t xml:space="preserve"> y </w:t>
      </w:r>
      <w:r w:rsidR="000B6595" w:rsidRPr="00517228">
        <w:rPr>
          <w:rFonts w:cs="Tahoma"/>
          <w:b/>
          <w:bCs/>
          <w:i/>
          <w:iCs/>
          <w:szCs w:val="24"/>
        </w:rPr>
        <w:t xml:space="preserve">la </w:t>
      </w:r>
      <w:r w:rsidRPr="00517228">
        <w:rPr>
          <w:rFonts w:cs="Tahoma"/>
          <w:b/>
          <w:bCs/>
          <w:i/>
          <w:iCs/>
          <w:szCs w:val="24"/>
        </w:rPr>
        <w:t>genérica</w:t>
      </w:r>
      <w:r w:rsidRPr="00517228">
        <w:rPr>
          <w:rFonts w:cs="Tahoma"/>
          <w:i/>
          <w:iCs/>
          <w:szCs w:val="24"/>
        </w:rPr>
        <w:t>.</w:t>
      </w:r>
    </w:p>
    <w:p w14:paraId="521FFB2E" w14:textId="77777777" w:rsidR="00790DA9" w:rsidRPr="00517228" w:rsidRDefault="00790DA9" w:rsidP="00517228">
      <w:pPr>
        <w:spacing w:line="276" w:lineRule="auto"/>
        <w:rPr>
          <w:rFonts w:cs="Tahoma"/>
          <w:b/>
          <w:bCs/>
          <w:szCs w:val="24"/>
        </w:rPr>
      </w:pPr>
    </w:p>
    <w:p w14:paraId="2FF3E5FC" w14:textId="77777777" w:rsidR="00790DA9" w:rsidRPr="00517228" w:rsidRDefault="00790DA9" w:rsidP="00517228">
      <w:pPr>
        <w:pStyle w:val="Prrafodelista"/>
        <w:numPr>
          <w:ilvl w:val="0"/>
          <w:numId w:val="1"/>
        </w:numPr>
        <w:spacing w:line="276" w:lineRule="auto"/>
        <w:ind w:left="426" w:hanging="426"/>
        <w:jc w:val="center"/>
        <w:rPr>
          <w:rFonts w:cs="Tahoma"/>
          <w:b/>
          <w:bCs/>
          <w:szCs w:val="24"/>
        </w:rPr>
      </w:pPr>
      <w:r w:rsidRPr="00517228">
        <w:rPr>
          <w:rFonts w:cs="Tahoma"/>
          <w:b/>
          <w:bCs/>
          <w:szCs w:val="24"/>
        </w:rPr>
        <w:t>Sentencia de primera instancia</w:t>
      </w:r>
    </w:p>
    <w:p w14:paraId="3ACAB8F5" w14:textId="77777777" w:rsidR="00790DA9" w:rsidRPr="00517228" w:rsidRDefault="00790DA9" w:rsidP="00517228">
      <w:pPr>
        <w:spacing w:line="276" w:lineRule="auto"/>
        <w:ind w:left="360"/>
        <w:rPr>
          <w:rFonts w:cs="Tahoma"/>
          <w:b/>
          <w:bCs/>
          <w:szCs w:val="24"/>
        </w:rPr>
      </w:pPr>
    </w:p>
    <w:p w14:paraId="143437DE" w14:textId="4F2573E7" w:rsidR="007A34E5" w:rsidRPr="00517228" w:rsidRDefault="00790DA9" w:rsidP="00517228">
      <w:pPr>
        <w:spacing w:line="276" w:lineRule="auto"/>
        <w:ind w:firstLine="360"/>
        <w:rPr>
          <w:rFonts w:cs="Tahoma"/>
          <w:szCs w:val="24"/>
        </w:rPr>
      </w:pPr>
      <w:r w:rsidRPr="00517228">
        <w:rPr>
          <w:rFonts w:cs="Tahoma"/>
          <w:szCs w:val="24"/>
        </w:rPr>
        <w:t>La Jueza de primera instancia,</w:t>
      </w:r>
      <w:r w:rsidR="00A93215" w:rsidRPr="00517228">
        <w:rPr>
          <w:rFonts w:cs="Tahoma"/>
          <w:szCs w:val="24"/>
        </w:rPr>
        <w:t xml:space="preserve"> declaró no probadas las excepciones propuestas por Colpensiones y Porvenir S.A. (ordinal 1).</w:t>
      </w:r>
      <w:r w:rsidRPr="00517228">
        <w:rPr>
          <w:rFonts w:cs="Tahoma"/>
          <w:szCs w:val="24"/>
        </w:rPr>
        <w:t xml:space="preserve"> </w:t>
      </w:r>
      <w:r w:rsidR="00A93215" w:rsidRPr="00517228">
        <w:rPr>
          <w:rFonts w:cs="Tahoma"/>
          <w:szCs w:val="24"/>
        </w:rPr>
        <w:t>D</w:t>
      </w:r>
      <w:r w:rsidRPr="00517228">
        <w:rPr>
          <w:rFonts w:cs="Tahoma"/>
          <w:szCs w:val="24"/>
        </w:rPr>
        <w:t xml:space="preserve">ecidió la litis declarando la ineficacia del traslado realizado por </w:t>
      </w:r>
      <w:r w:rsidR="008E6A9E" w:rsidRPr="00517228">
        <w:rPr>
          <w:rFonts w:cs="Tahoma"/>
          <w:szCs w:val="24"/>
        </w:rPr>
        <w:t>la</w:t>
      </w:r>
      <w:r w:rsidRPr="00517228">
        <w:rPr>
          <w:rFonts w:cs="Tahoma"/>
          <w:szCs w:val="24"/>
        </w:rPr>
        <w:t xml:space="preserve"> demandante al régimen de ahorro individual con solidaridad el </w:t>
      </w:r>
      <w:r w:rsidR="008E6A9E" w:rsidRPr="00517228">
        <w:rPr>
          <w:rFonts w:cs="Tahoma"/>
          <w:szCs w:val="24"/>
        </w:rPr>
        <w:t>19</w:t>
      </w:r>
      <w:r w:rsidR="00F8423F" w:rsidRPr="00517228">
        <w:rPr>
          <w:rFonts w:cs="Tahoma"/>
          <w:szCs w:val="24"/>
        </w:rPr>
        <w:t xml:space="preserve"> </w:t>
      </w:r>
      <w:r w:rsidRPr="00517228">
        <w:rPr>
          <w:rFonts w:cs="Tahoma"/>
          <w:szCs w:val="24"/>
        </w:rPr>
        <w:t xml:space="preserve">de </w:t>
      </w:r>
      <w:r w:rsidR="008E6A9E" w:rsidRPr="00517228">
        <w:rPr>
          <w:rFonts w:cs="Tahoma"/>
          <w:szCs w:val="24"/>
        </w:rPr>
        <w:t>octubre</w:t>
      </w:r>
      <w:r w:rsidR="00F8423F" w:rsidRPr="00517228">
        <w:rPr>
          <w:rFonts w:cs="Tahoma"/>
          <w:szCs w:val="24"/>
        </w:rPr>
        <w:t xml:space="preserve"> de</w:t>
      </w:r>
      <w:r w:rsidR="00EF513D" w:rsidRPr="00517228">
        <w:rPr>
          <w:rFonts w:cs="Tahoma"/>
          <w:szCs w:val="24"/>
        </w:rPr>
        <w:t>l 200</w:t>
      </w:r>
      <w:r w:rsidR="008E6A9E" w:rsidRPr="00517228">
        <w:rPr>
          <w:rFonts w:cs="Tahoma"/>
          <w:szCs w:val="24"/>
        </w:rPr>
        <w:t>4</w:t>
      </w:r>
      <w:r w:rsidRPr="00517228">
        <w:rPr>
          <w:rFonts w:cs="Tahoma"/>
          <w:szCs w:val="24"/>
        </w:rPr>
        <w:t xml:space="preserve"> a través de </w:t>
      </w:r>
      <w:r w:rsidR="00EF513D" w:rsidRPr="00517228">
        <w:rPr>
          <w:rFonts w:cs="Tahoma"/>
          <w:szCs w:val="24"/>
        </w:rPr>
        <w:t>la AFP Porvenir</w:t>
      </w:r>
      <w:r w:rsidR="007A34E5" w:rsidRPr="00517228">
        <w:rPr>
          <w:rFonts w:cs="Tahoma"/>
          <w:szCs w:val="24"/>
        </w:rPr>
        <w:t xml:space="preserve"> S.A.</w:t>
      </w:r>
      <w:r w:rsidR="00103F06" w:rsidRPr="00517228">
        <w:rPr>
          <w:rFonts w:cs="Tahoma"/>
          <w:szCs w:val="24"/>
        </w:rPr>
        <w:t xml:space="preserve"> (ordinal </w:t>
      </w:r>
      <w:r w:rsidR="00A93215" w:rsidRPr="00517228">
        <w:rPr>
          <w:rFonts w:cs="Tahoma"/>
          <w:szCs w:val="24"/>
        </w:rPr>
        <w:t>2</w:t>
      </w:r>
      <w:r w:rsidR="00103F06" w:rsidRPr="00517228">
        <w:rPr>
          <w:rFonts w:cs="Tahoma"/>
          <w:szCs w:val="24"/>
        </w:rPr>
        <w:t>)</w:t>
      </w:r>
      <w:r w:rsidR="00EF513D" w:rsidRPr="00517228">
        <w:rPr>
          <w:rFonts w:cs="Tahoma"/>
          <w:szCs w:val="24"/>
        </w:rPr>
        <w:t>.</w:t>
      </w:r>
      <w:r w:rsidRPr="00517228">
        <w:rPr>
          <w:rFonts w:cs="Tahoma"/>
          <w:szCs w:val="24"/>
        </w:rPr>
        <w:t xml:space="preserve"> </w:t>
      </w:r>
    </w:p>
    <w:p w14:paraId="41FDAF7A" w14:textId="77777777" w:rsidR="007A34E5" w:rsidRPr="00517228" w:rsidRDefault="007A34E5" w:rsidP="00517228">
      <w:pPr>
        <w:spacing w:line="276" w:lineRule="auto"/>
        <w:ind w:firstLine="360"/>
        <w:rPr>
          <w:rFonts w:cs="Tahoma"/>
          <w:szCs w:val="24"/>
        </w:rPr>
      </w:pPr>
    </w:p>
    <w:p w14:paraId="6EB80266" w14:textId="39368919" w:rsidR="00F50C4F" w:rsidRPr="00517228" w:rsidRDefault="00E352C7" w:rsidP="00517228">
      <w:pPr>
        <w:spacing w:line="276" w:lineRule="auto"/>
        <w:ind w:firstLine="360"/>
        <w:rPr>
          <w:rFonts w:cs="Tahoma"/>
          <w:szCs w:val="24"/>
        </w:rPr>
      </w:pPr>
      <w:r w:rsidRPr="00517228">
        <w:rPr>
          <w:rFonts w:cs="Tahoma"/>
          <w:szCs w:val="24"/>
        </w:rPr>
        <w:t xml:space="preserve">En consecuencia, </w:t>
      </w:r>
      <w:r w:rsidR="00790DA9" w:rsidRPr="00517228">
        <w:rPr>
          <w:rFonts w:cs="Tahoma"/>
          <w:szCs w:val="24"/>
        </w:rPr>
        <w:t>orden</w:t>
      </w:r>
      <w:r w:rsidRPr="00517228">
        <w:rPr>
          <w:rFonts w:cs="Tahoma"/>
          <w:szCs w:val="24"/>
        </w:rPr>
        <w:t>ó</w:t>
      </w:r>
      <w:r w:rsidR="00790DA9" w:rsidRPr="00517228">
        <w:rPr>
          <w:rFonts w:cs="Tahoma"/>
          <w:szCs w:val="24"/>
        </w:rPr>
        <w:t xml:space="preserve"> a </w:t>
      </w:r>
      <w:r w:rsidRPr="00517228">
        <w:rPr>
          <w:rFonts w:cs="Tahoma"/>
          <w:szCs w:val="24"/>
        </w:rPr>
        <w:t>Porvenir S.A.</w:t>
      </w:r>
      <w:r w:rsidR="00790DA9" w:rsidRPr="00517228">
        <w:rPr>
          <w:rFonts w:cs="Tahoma"/>
          <w:szCs w:val="24"/>
        </w:rPr>
        <w:t xml:space="preserve"> trasladar </w:t>
      </w:r>
      <w:r w:rsidR="00A93215" w:rsidRPr="00517228">
        <w:rPr>
          <w:rFonts w:cs="Tahoma"/>
          <w:szCs w:val="24"/>
        </w:rPr>
        <w:t>a</w:t>
      </w:r>
      <w:r w:rsidR="00790DA9" w:rsidRPr="00517228">
        <w:rPr>
          <w:rFonts w:cs="Tahoma"/>
          <w:szCs w:val="24"/>
        </w:rPr>
        <w:t xml:space="preserve"> C</w:t>
      </w:r>
      <w:r w:rsidR="00A93215" w:rsidRPr="00517228">
        <w:rPr>
          <w:rFonts w:cs="Tahoma"/>
          <w:szCs w:val="24"/>
        </w:rPr>
        <w:t xml:space="preserve">olpensiones todos los aportes que reposen en la cuenta de ahorro individual de la parte demandante, junto con los </w:t>
      </w:r>
      <w:r w:rsidR="00790DA9" w:rsidRPr="00517228">
        <w:rPr>
          <w:rFonts w:cs="Tahoma"/>
          <w:szCs w:val="24"/>
        </w:rPr>
        <w:t>intereses</w:t>
      </w:r>
      <w:r w:rsidR="00A93215" w:rsidRPr="00517228">
        <w:rPr>
          <w:rFonts w:cs="Tahoma"/>
          <w:szCs w:val="24"/>
        </w:rPr>
        <w:t xml:space="preserve">, rendimientos financieros, bonos pensionales, </w:t>
      </w:r>
      <w:r w:rsidR="00F8423F" w:rsidRPr="00517228">
        <w:rPr>
          <w:rFonts w:cs="Tahoma"/>
          <w:szCs w:val="24"/>
        </w:rPr>
        <w:t>gastos</w:t>
      </w:r>
      <w:r w:rsidR="00790DA9" w:rsidRPr="00517228">
        <w:rPr>
          <w:rFonts w:cs="Tahoma"/>
          <w:szCs w:val="24"/>
        </w:rPr>
        <w:t xml:space="preserve"> de administración</w:t>
      </w:r>
      <w:r w:rsidR="00F8423F" w:rsidRPr="00517228">
        <w:rPr>
          <w:rFonts w:cs="Tahoma"/>
          <w:szCs w:val="24"/>
        </w:rPr>
        <w:t xml:space="preserve"> y </w:t>
      </w:r>
      <w:r w:rsidR="00A93215" w:rsidRPr="00517228">
        <w:rPr>
          <w:rFonts w:cs="Tahoma"/>
          <w:szCs w:val="24"/>
        </w:rPr>
        <w:t xml:space="preserve">restituir con cargo a sus propios recursos, el valor que durante todo el tiempo de vinculación al RAIS de la demandante destinó a financiar los gastos de </w:t>
      </w:r>
      <w:r w:rsidR="00A93215" w:rsidRPr="00517228">
        <w:rPr>
          <w:rFonts w:cs="Tahoma"/>
          <w:szCs w:val="24"/>
        </w:rPr>
        <w:lastRenderedPageBreak/>
        <w:t>administración, las primas que respaldan la garantía de pensión mínima y las primas de los seguros de invalidez y sobrevivientes, debidamente indexadas</w:t>
      </w:r>
      <w:r w:rsidR="007B2D77" w:rsidRPr="00517228">
        <w:rPr>
          <w:rFonts w:cs="Tahoma"/>
          <w:szCs w:val="24"/>
        </w:rPr>
        <w:t xml:space="preserve"> (ordinal 3)</w:t>
      </w:r>
      <w:r w:rsidR="00A93215" w:rsidRPr="00517228">
        <w:rPr>
          <w:rFonts w:cs="Tahoma"/>
          <w:szCs w:val="24"/>
        </w:rPr>
        <w:t>.</w:t>
      </w:r>
    </w:p>
    <w:p w14:paraId="6D54CAA7" w14:textId="77777777" w:rsidR="00F50C4F" w:rsidRPr="00517228" w:rsidRDefault="00F50C4F" w:rsidP="00517228">
      <w:pPr>
        <w:spacing w:line="276" w:lineRule="auto"/>
        <w:ind w:firstLine="360"/>
        <w:rPr>
          <w:rFonts w:cs="Tahoma"/>
          <w:szCs w:val="24"/>
        </w:rPr>
      </w:pPr>
    </w:p>
    <w:p w14:paraId="71A262DF" w14:textId="0866AA21" w:rsidR="00790DA9" w:rsidRPr="00517228" w:rsidRDefault="00F50C4F" w:rsidP="00517228">
      <w:pPr>
        <w:spacing w:line="276" w:lineRule="auto"/>
        <w:ind w:firstLine="360"/>
        <w:rPr>
          <w:rFonts w:cs="Tahoma"/>
          <w:szCs w:val="24"/>
        </w:rPr>
      </w:pPr>
      <w:r w:rsidRPr="00517228">
        <w:rPr>
          <w:rFonts w:cs="Tahoma"/>
          <w:szCs w:val="24"/>
        </w:rPr>
        <w:t>De otro lado</w:t>
      </w:r>
      <w:r w:rsidR="00E352C7" w:rsidRPr="00517228">
        <w:rPr>
          <w:rFonts w:cs="Tahoma"/>
          <w:szCs w:val="24"/>
        </w:rPr>
        <w:t xml:space="preserve">, se ordenó </w:t>
      </w:r>
      <w:r w:rsidR="008D443F" w:rsidRPr="00517228">
        <w:rPr>
          <w:rFonts w:cs="Tahoma"/>
          <w:szCs w:val="24"/>
        </w:rPr>
        <w:t>Colpensiones proceder sin dilaciones a aceptar el traslado de la señora María Graciela Arias.</w:t>
      </w:r>
      <w:r w:rsidR="007B2D77" w:rsidRPr="00517228">
        <w:rPr>
          <w:rFonts w:cs="Tahoma"/>
          <w:szCs w:val="24"/>
        </w:rPr>
        <w:t xml:space="preserve">, conservando como válida y vigente su afiliación al RPM, dada la declaratoria de ineficacia y dispuso la condena en costas </w:t>
      </w:r>
      <w:r w:rsidR="00790DA9" w:rsidRPr="00517228">
        <w:rPr>
          <w:rFonts w:cs="Tahoma"/>
          <w:szCs w:val="24"/>
        </w:rPr>
        <w:t>a</w:t>
      </w:r>
      <w:r w:rsidR="00E352C7" w:rsidRPr="00517228">
        <w:rPr>
          <w:rFonts w:cs="Tahoma"/>
          <w:szCs w:val="24"/>
        </w:rPr>
        <w:t xml:space="preserve"> cargo de </w:t>
      </w:r>
      <w:r w:rsidR="008D443F" w:rsidRPr="00517228">
        <w:rPr>
          <w:rFonts w:cs="Tahoma"/>
          <w:szCs w:val="24"/>
        </w:rPr>
        <w:t>Porvenir S.A.</w:t>
      </w:r>
      <w:r w:rsidR="00E352C7" w:rsidRPr="00517228">
        <w:rPr>
          <w:rFonts w:cs="Tahoma"/>
          <w:szCs w:val="24"/>
        </w:rPr>
        <w:t xml:space="preserve"> y en favor del demandant</w:t>
      </w:r>
      <w:r w:rsidR="008D443F" w:rsidRPr="00517228">
        <w:rPr>
          <w:rFonts w:cs="Tahoma"/>
          <w:szCs w:val="24"/>
        </w:rPr>
        <w:t xml:space="preserve">e. </w:t>
      </w:r>
    </w:p>
    <w:p w14:paraId="654F72DE" w14:textId="77777777" w:rsidR="007B2D77" w:rsidRPr="00517228" w:rsidRDefault="007B2D77" w:rsidP="00517228">
      <w:pPr>
        <w:spacing w:line="276" w:lineRule="auto"/>
        <w:ind w:firstLine="360"/>
        <w:rPr>
          <w:rFonts w:cs="Tahoma"/>
          <w:b/>
          <w:bCs/>
          <w:szCs w:val="24"/>
        </w:rPr>
      </w:pPr>
    </w:p>
    <w:p w14:paraId="7DB8018A" w14:textId="1572B51F" w:rsidR="00790DA9" w:rsidRPr="00517228" w:rsidRDefault="00790DA9" w:rsidP="00517228">
      <w:pPr>
        <w:spacing w:line="276" w:lineRule="auto"/>
        <w:ind w:firstLine="360"/>
        <w:rPr>
          <w:rFonts w:cs="Tahoma"/>
          <w:szCs w:val="24"/>
        </w:rPr>
      </w:pPr>
      <w:r w:rsidRPr="00517228">
        <w:rPr>
          <w:rFonts w:cs="Tahoma"/>
          <w:szCs w:val="24"/>
        </w:rPr>
        <w:t>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w:t>
      </w:r>
      <w:r w:rsidR="00F26ECD" w:rsidRPr="00517228">
        <w:rPr>
          <w:rFonts w:cs="Tahoma"/>
          <w:szCs w:val="24"/>
        </w:rPr>
        <w:t xml:space="preserve"> pensional</w:t>
      </w:r>
      <w:r w:rsidRPr="00517228">
        <w:rPr>
          <w:rFonts w:cs="Tahoma"/>
          <w:szCs w:val="24"/>
        </w:rPr>
        <w:t xml:space="preserve">.  </w:t>
      </w:r>
      <w:r w:rsidR="00F26ECD" w:rsidRPr="00517228">
        <w:rPr>
          <w:rFonts w:cs="Tahoma"/>
          <w:szCs w:val="24"/>
        </w:rPr>
        <w:t>Resaltó</w:t>
      </w:r>
      <w:r w:rsidRPr="00517228">
        <w:rPr>
          <w:rFonts w:cs="Tahoma"/>
          <w:szCs w:val="24"/>
        </w:rPr>
        <w:t xml:space="preserve"> que</w:t>
      </w:r>
      <w:r w:rsidR="00F26ECD" w:rsidRPr="00517228">
        <w:rPr>
          <w:rFonts w:cs="Tahoma"/>
          <w:szCs w:val="24"/>
        </w:rPr>
        <w:t>,</w:t>
      </w:r>
      <w:r w:rsidRPr="00517228">
        <w:rPr>
          <w:rFonts w:cs="Tahoma"/>
          <w:szCs w:val="24"/>
        </w:rPr>
        <w:t xml:space="preserve"> </w:t>
      </w:r>
      <w:r w:rsidR="00F26ECD" w:rsidRPr="00517228">
        <w:rPr>
          <w:rFonts w:cs="Tahoma"/>
          <w:szCs w:val="24"/>
        </w:rPr>
        <w:t xml:space="preserve">en estos casos opera una inversión de la carga de la prueba a favor del afiliado </w:t>
      </w:r>
      <w:r w:rsidRPr="00517228">
        <w:rPr>
          <w:rFonts w:cs="Tahoma"/>
          <w:szCs w:val="24"/>
        </w:rPr>
        <w:t xml:space="preserve">y, en todo caso, la </w:t>
      </w:r>
      <w:r w:rsidR="00F26ECD" w:rsidRPr="00517228">
        <w:rPr>
          <w:rFonts w:cs="Tahoma"/>
          <w:szCs w:val="24"/>
        </w:rPr>
        <w:t xml:space="preserve">suscripción del formulario no </w:t>
      </w:r>
      <w:r w:rsidR="00AF1C75" w:rsidRPr="00517228">
        <w:rPr>
          <w:rFonts w:cs="Tahoma"/>
          <w:szCs w:val="24"/>
        </w:rPr>
        <w:t>era</w:t>
      </w:r>
      <w:r w:rsidR="00F26ECD" w:rsidRPr="00517228">
        <w:rPr>
          <w:rFonts w:cs="Tahoma"/>
          <w:szCs w:val="24"/>
        </w:rPr>
        <w:t xml:space="preserve"> prueba suficiente para demostrar la información que brindaron los asesores al momento del traslado y que en ningún caso constituye un consentimiento informado.</w:t>
      </w:r>
    </w:p>
    <w:p w14:paraId="17200724" w14:textId="77777777" w:rsidR="00790DA9" w:rsidRPr="00517228" w:rsidRDefault="00790DA9" w:rsidP="00517228">
      <w:pPr>
        <w:spacing w:line="276" w:lineRule="auto"/>
        <w:ind w:firstLine="360"/>
        <w:rPr>
          <w:rFonts w:cs="Tahoma"/>
          <w:szCs w:val="24"/>
        </w:rPr>
      </w:pPr>
    </w:p>
    <w:p w14:paraId="0C2107BA" w14:textId="6E174596" w:rsidR="000F3D75" w:rsidRPr="00517228" w:rsidRDefault="007B2D77" w:rsidP="00517228">
      <w:pPr>
        <w:spacing w:line="276" w:lineRule="auto"/>
        <w:ind w:firstLine="360"/>
        <w:rPr>
          <w:rFonts w:cs="Tahoma"/>
          <w:szCs w:val="24"/>
        </w:rPr>
      </w:pPr>
      <w:bookmarkStart w:id="3" w:name="_Hlk70602127"/>
      <w:r w:rsidRPr="00517228">
        <w:rPr>
          <w:rFonts w:cs="Tahoma"/>
          <w:szCs w:val="24"/>
        </w:rPr>
        <w:t>Del material probatorio, en suma, c</w:t>
      </w:r>
      <w:r w:rsidR="00633F28" w:rsidRPr="00517228">
        <w:rPr>
          <w:rFonts w:cs="Tahoma"/>
          <w:szCs w:val="24"/>
        </w:rPr>
        <w:t>oncluye que</w:t>
      </w:r>
      <w:r w:rsidR="00CE1144" w:rsidRPr="00517228">
        <w:rPr>
          <w:rFonts w:cs="Tahoma"/>
          <w:szCs w:val="24"/>
        </w:rPr>
        <w:t xml:space="preserve"> </w:t>
      </w:r>
      <w:r w:rsidRPr="00517228">
        <w:rPr>
          <w:rFonts w:cs="Tahoma"/>
          <w:szCs w:val="24"/>
        </w:rPr>
        <w:t xml:space="preserve">la afiliada </w:t>
      </w:r>
      <w:r w:rsidR="00CE1144" w:rsidRPr="00517228">
        <w:rPr>
          <w:rFonts w:cs="Tahoma"/>
          <w:szCs w:val="24"/>
        </w:rPr>
        <w:t>no recibió la información suficiente</w:t>
      </w:r>
      <w:r w:rsidRPr="00517228">
        <w:rPr>
          <w:rFonts w:cs="Tahoma"/>
          <w:szCs w:val="24"/>
        </w:rPr>
        <w:t>,</w:t>
      </w:r>
      <w:r w:rsidR="00CE1144" w:rsidRPr="00517228">
        <w:rPr>
          <w:rFonts w:cs="Tahoma"/>
          <w:szCs w:val="24"/>
        </w:rPr>
        <w:t xml:space="preserve"> ni la comprensión necesaria sobre las implicaciones del cambio que realizó,</w:t>
      </w:r>
      <w:r w:rsidR="00F65DF6" w:rsidRPr="00517228">
        <w:rPr>
          <w:rFonts w:cs="Tahoma"/>
          <w:szCs w:val="24"/>
        </w:rPr>
        <w:t xml:space="preserve"> </w:t>
      </w:r>
      <w:r w:rsidR="00CE1144" w:rsidRPr="00517228">
        <w:rPr>
          <w:rFonts w:cs="Tahoma"/>
          <w:szCs w:val="24"/>
        </w:rPr>
        <w:t>además</w:t>
      </w:r>
      <w:r w:rsidR="00F65DF6" w:rsidRPr="00517228">
        <w:rPr>
          <w:rFonts w:cs="Tahoma"/>
          <w:szCs w:val="24"/>
        </w:rPr>
        <w:t>,</w:t>
      </w:r>
      <w:r w:rsidR="00CE1144" w:rsidRPr="00517228">
        <w:rPr>
          <w:rFonts w:cs="Tahoma"/>
          <w:szCs w:val="24"/>
        </w:rPr>
        <w:t xml:space="preserve"> que no se le</w:t>
      </w:r>
      <w:r w:rsidR="00633F28" w:rsidRPr="00517228">
        <w:rPr>
          <w:rFonts w:cs="Tahoma"/>
          <w:szCs w:val="24"/>
        </w:rPr>
        <w:t xml:space="preserve"> advirtió </w:t>
      </w:r>
      <w:r w:rsidR="00CE1144" w:rsidRPr="00517228">
        <w:rPr>
          <w:rFonts w:cs="Tahoma"/>
          <w:szCs w:val="24"/>
        </w:rPr>
        <w:t>sobre las diferencias entre el régimen administrado por el Seguro Social y el fondo al que se estaba afiliando</w:t>
      </w:r>
      <w:r w:rsidRPr="00517228">
        <w:rPr>
          <w:rFonts w:cs="Tahoma"/>
          <w:szCs w:val="24"/>
        </w:rPr>
        <w:t>, por lo que había lugar a declarar la ineficacia del acto</w:t>
      </w:r>
      <w:r w:rsidR="00CE1144" w:rsidRPr="00517228">
        <w:rPr>
          <w:rFonts w:cs="Tahoma"/>
          <w:szCs w:val="24"/>
        </w:rPr>
        <w:t>.</w:t>
      </w:r>
      <w:r w:rsidR="000F3D75" w:rsidRPr="00517228">
        <w:rPr>
          <w:rFonts w:cs="Tahoma"/>
          <w:szCs w:val="24"/>
        </w:rPr>
        <w:t xml:space="preserve"> </w:t>
      </w:r>
    </w:p>
    <w:bookmarkEnd w:id="3"/>
    <w:p w14:paraId="5465DDC1" w14:textId="65996CA2" w:rsidR="00790DA9" w:rsidRPr="00517228" w:rsidRDefault="00790DA9" w:rsidP="00517228">
      <w:pPr>
        <w:spacing w:line="276" w:lineRule="auto"/>
        <w:rPr>
          <w:rFonts w:cs="Tahoma"/>
          <w:szCs w:val="24"/>
        </w:rPr>
      </w:pPr>
    </w:p>
    <w:p w14:paraId="62F918D7" w14:textId="05391B89" w:rsidR="00790DA9" w:rsidRPr="00517228" w:rsidRDefault="00790DA9" w:rsidP="00517228">
      <w:pPr>
        <w:pStyle w:val="Prrafodelista"/>
        <w:numPr>
          <w:ilvl w:val="0"/>
          <w:numId w:val="1"/>
        </w:numPr>
        <w:spacing w:line="276" w:lineRule="auto"/>
        <w:ind w:left="426" w:hanging="426"/>
        <w:jc w:val="center"/>
        <w:rPr>
          <w:rFonts w:cs="Tahoma"/>
          <w:b/>
          <w:bCs/>
          <w:szCs w:val="24"/>
        </w:rPr>
      </w:pPr>
      <w:r w:rsidRPr="00517228">
        <w:rPr>
          <w:rFonts w:cs="Tahoma"/>
          <w:b/>
          <w:bCs/>
          <w:szCs w:val="24"/>
        </w:rPr>
        <w:t>Recursos de apelación</w:t>
      </w:r>
      <w:r w:rsidR="00DB521D" w:rsidRPr="00517228">
        <w:rPr>
          <w:rFonts w:cs="Tahoma"/>
          <w:b/>
          <w:bCs/>
          <w:szCs w:val="24"/>
        </w:rPr>
        <w:t xml:space="preserve"> y consulta</w:t>
      </w:r>
    </w:p>
    <w:p w14:paraId="093AE73F" w14:textId="679D399E" w:rsidR="00790DA9" w:rsidRPr="00517228" w:rsidRDefault="00790DA9" w:rsidP="00517228">
      <w:pPr>
        <w:spacing w:line="276" w:lineRule="auto"/>
        <w:ind w:left="360"/>
        <w:rPr>
          <w:rFonts w:cs="Tahoma"/>
          <w:b/>
          <w:bCs/>
          <w:szCs w:val="24"/>
        </w:rPr>
      </w:pPr>
    </w:p>
    <w:p w14:paraId="485A38A4" w14:textId="02D71B1C" w:rsidR="00E37AAA" w:rsidRPr="00517228" w:rsidRDefault="00790DA9" w:rsidP="00517228">
      <w:pPr>
        <w:spacing w:line="276" w:lineRule="auto"/>
        <w:ind w:firstLine="426"/>
        <w:rPr>
          <w:rFonts w:cs="Tahoma"/>
          <w:szCs w:val="24"/>
        </w:rPr>
      </w:pPr>
      <w:r w:rsidRPr="00517228">
        <w:rPr>
          <w:rFonts w:cs="Tahoma"/>
          <w:szCs w:val="24"/>
        </w:rPr>
        <w:t xml:space="preserve">La demandada </w:t>
      </w:r>
      <w:r w:rsidRPr="00517228">
        <w:rPr>
          <w:rFonts w:cs="Tahoma"/>
          <w:b/>
          <w:bCs/>
          <w:szCs w:val="24"/>
        </w:rPr>
        <w:t>Porvenir</w:t>
      </w:r>
      <w:r w:rsidR="00BD0CEF" w:rsidRPr="00517228">
        <w:rPr>
          <w:rFonts w:cs="Tahoma"/>
          <w:b/>
          <w:bCs/>
          <w:szCs w:val="24"/>
        </w:rPr>
        <w:t xml:space="preserve"> S.A </w:t>
      </w:r>
      <w:r w:rsidRPr="00517228">
        <w:rPr>
          <w:rFonts w:cs="Tahoma"/>
          <w:szCs w:val="24"/>
        </w:rPr>
        <w:t xml:space="preserve">manifestó inconformidad con la decisión, arguyendo: </w:t>
      </w:r>
      <w:r w:rsidR="006C4834" w:rsidRPr="00517228">
        <w:rPr>
          <w:rFonts w:cs="Tahoma"/>
          <w:szCs w:val="24"/>
        </w:rPr>
        <w:t>Que es materia de inconformidad la declaratoria de ineficacia, por cuanto, la</w:t>
      </w:r>
      <w:r w:rsidR="00E37AAA" w:rsidRPr="00517228">
        <w:rPr>
          <w:rFonts w:cs="Tahoma"/>
          <w:szCs w:val="24"/>
        </w:rPr>
        <w:t xml:space="preserve">s pretensiones de la demanda hicieron alusión a la nulidad exclusivamente y no la ineficacia. </w:t>
      </w:r>
      <w:r w:rsidR="00A10608" w:rsidRPr="00517228">
        <w:rPr>
          <w:rFonts w:cs="Tahoma"/>
          <w:szCs w:val="24"/>
        </w:rPr>
        <w:t>También, h</w:t>
      </w:r>
      <w:r w:rsidR="00E37AAA" w:rsidRPr="00517228">
        <w:rPr>
          <w:rFonts w:cs="Tahoma"/>
          <w:szCs w:val="24"/>
        </w:rPr>
        <w:t>ace notar que dentro del interrogatorio de parte y los hechos de la demanda, se evidencia que esa entidad cumplió con el deber de información, según las respuestas dadas</w:t>
      </w:r>
      <w:r w:rsidR="00AC0C8D" w:rsidRPr="00517228">
        <w:rPr>
          <w:rFonts w:cs="Tahoma"/>
          <w:szCs w:val="24"/>
        </w:rPr>
        <w:t xml:space="preserve"> por la demandante</w:t>
      </w:r>
      <w:r w:rsidR="00E37AAA" w:rsidRPr="00517228">
        <w:rPr>
          <w:rFonts w:cs="Tahoma"/>
          <w:szCs w:val="24"/>
        </w:rPr>
        <w:t xml:space="preserve">. </w:t>
      </w:r>
      <w:r w:rsidR="00AC0C8D" w:rsidRPr="00517228">
        <w:rPr>
          <w:rFonts w:cs="Tahoma"/>
          <w:szCs w:val="24"/>
        </w:rPr>
        <w:t xml:space="preserve">Indica, que la </w:t>
      </w:r>
      <w:r w:rsidR="00A10608" w:rsidRPr="00517228">
        <w:rPr>
          <w:rFonts w:cs="Tahoma"/>
          <w:szCs w:val="24"/>
        </w:rPr>
        <w:t xml:space="preserve">misma </w:t>
      </w:r>
      <w:r w:rsidR="00AC0C8D" w:rsidRPr="00517228">
        <w:rPr>
          <w:rFonts w:cs="Tahoma"/>
          <w:szCs w:val="24"/>
        </w:rPr>
        <w:t>reconoció</w:t>
      </w:r>
      <w:r w:rsidR="00E37AAA" w:rsidRPr="00517228">
        <w:rPr>
          <w:rFonts w:cs="Tahoma"/>
          <w:szCs w:val="24"/>
        </w:rPr>
        <w:t xml:space="preserve"> que para la época del traslado le resultaba altamente conveniente permanecer en el régimen de ahorro individual</w:t>
      </w:r>
      <w:r w:rsidR="00AC0C8D" w:rsidRPr="00517228">
        <w:rPr>
          <w:rFonts w:cs="Tahoma"/>
          <w:szCs w:val="24"/>
        </w:rPr>
        <w:t>.</w:t>
      </w:r>
    </w:p>
    <w:p w14:paraId="35F7E3BA" w14:textId="77777777" w:rsidR="00E37AAA" w:rsidRPr="00517228" w:rsidRDefault="00E37AAA" w:rsidP="00517228">
      <w:pPr>
        <w:spacing w:line="276" w:lineRule="auto"/>
        <w:ind w:firstLine="426"/>
        <w:rPr>
          <w:rFonts w:cs="Tahoma"/>
          <w:szCs w:val="24"/>
        </w:rPr>
      </w:pPr>
    </w:p>
    <w:p w14:paraId="197AB39A" w14:textId="1E68EF54" w:rsidR="00A10608" w:rsidRPr="00517228" w:rsidRDefault="000B4F2C" w:rsidP="00517228">
      <w:pPr>
        <w:spacing w:line="276" w:lineRule="auto"/>
        <w:ind w:firstLine="426"/>
        <w:rPr>
          <w:rFonts w:cs="Tahoma"/>
          <w:szCs w:val="24"/>
        </w:rPr>
      </w:pPr>
      <w:r w:rsidRPr="00517228">
        <w:rPr>
          <w:rFonts w:cs="Tahoma"/>
          <w:szCs w:val="24"/>
        </w:rPr>
        <w:t xml:space="preserve">Señala </w:t>
      </w:r>
      <w:r w:rsidR="008722AC" w:rsidRPr="00517228">
        <w:rPr>
          <w:rFonts w:cs="Tahoma"/>
          <w:szCs w:val="24"/>
        </w:rPr>
        <w:t>en cuanto a la ineficacia</w:t>
      </w:r>
      <w:r w:rsidR="00A63E9B" w:rsidRPr="00517228">
        <w:rPr>
          <w:rFonts w:cs="Tahoma"/>
          <w:szCs w:val="24"/>
        </w:rPr>
        <w:t xml:space="preserve"> </w:t>
      </w:r>
      <w:r w:rsidR="000C4E1E" w:rsidRPr="00517228">
        <w:rPr>
          <w:rFonts w:cs="Tahoma"/>
          <w:szCs w:val="24"/>
        </w:rPr>
        <w:t>que</w:t>
      </w:r>
      <w:r w:rsidR="00A63E9B" w:rsidRPr="00517228">
        <w:rPr>
          <w:rFonts w:cs="Tahoma"/>
          <w:szCs w:val="24"/>
        </w:rPr>
        <w:t>,</w:t>
      </w:r>
      <w:r w:rsidR="000C4E1E" w:rsidRPr="00517228">
        <w:rPr>
          <w:rFonts w:cs="Tahoma"/>
          <w:szCs w:val="24"/>
        </w:rPr>
        <w:t xml:space="preserve"> </w:t>
      </w:r>
      <w:r w:rsidR="008722AC" w:rsidRPr="00517228">
        <w:rPr>
          <w:rFonts w:cs="Tahoma"/>
          <w:szCs w:val="24"/>
        </w:rPr>
        <w:t>el obedecimiento a esa línea jurisprudencial hace que las decisiones judiciales vulneren los derechos de las AFP. Asimismo, que la decisión de ordenar a Porvenir el reintegro de los gastos de administración es manifiestamente contraria a derecho.</w:t>
      </w:r>
      <w:r w:rsidR="00A10608" w:rsidRPr="00517228">
        <w:rPr>
          <w:rFonts w:cs="Tahoma"/>
          <w:szCs w:val="24"/>
        </w:rPr>
        <w:t xml:space="preserve"> </w:t>
      </w:r>
    </w:p>
    <w:p w14:paraId="6AAB1C56" w14:textId="77777777" w:rsidR="00A10608" w:rsidRPr="00517228" w:rsidRDefault="00A10608" w:rsidP="00517228">
      <w:pPr>
        <w:spacing w:line="276" w:lineRule="auto"/>
        <w:ind w:firstLine="426"/>
        <w:rPr>
          <w:rFonts w:cs="Tahoma"/>
          <w:szCs w:val="24"/>
        </w:rPr>
      </w:pPr>
    </w:p>
    <w:p w14:paraId="02A376C6" w14:textId="4358A33C" w:rsidR="005B65AA" w:rsidRPr="00517228" w:rsidRDefault="003B2384" w:rsidP="00517228">
      <w:pPr>
        <w:spacing w:line="276" w:lineRule="auto"/>
        <w:ind w:firstLine="426"/>
        <w:rPr>
          <w:rFonts w:cs="Tahoma"/>
          <w:szCs w:val="24"/>
        </w:rPr>
      </w:pPr>
      <w:r w:rsidRPr="00517228">
        <w:rPr>
          <w:rFonts w:cs="Tahoma"/>
          <w:szCs w:val="24"/>
        </w:rPr>
        <w:t>Alude que, p</w:t>
      </w:r>
      <w:r w:rsidR="00A10608" w:rsidRPr="00517228">
        <w:rPr>
          <w:rFonts w:cs="Tahoma"/>
          <w:szCs w:val="24"/>
        </w:rPr>
        <w:t>ara efectos del reintegro de los gastos de administración</w:t>
      </w:r>
      <w:r w:rsidRPr="00517228">
        <w:rPr>
          <w:rFonts w:cs="Tahoma"/>
          <w:szCs w:val="24"/>
        </w:rPr>
        <w:t>,</w:t>
      </w:r>
      <w:r w:rsidR="00A10608" w:rsidRPr="00517228">
        <w:rPr>
          <w:rFonts w:cs="Tahoma"/>
          <w:szCs w:val="24"/>
        </w:rPr>
        <w:t xml:space="preserve"> es el artículo 20 de la ley 100 del 93 modificado por el art 7 de la Ley 797 de 2003 el que le ordena los fondos descontar los gastos de administración</w:t>
      </w:r>
      <w:r w:rsidRPr="00517228">
        <w:rPr>
          <w:rFonts w:cs="Tahoma"/>
          <w:szCs w:val="24"/>
        </w:rPr>
        <w:t>,</w:t>
      </w:r>
      <w:r w:rsidR="00A10608" w:rsidRPr="00517228">
        <w:rPr>
          <w:rFonts w:cs="Tahoma"/>
          <w:szCs w:val="24"/>
        </w:rPr>
        <w:t xml:space="preserve"> para efectos de cubrir seguros</w:t>
      </w:r>
      <w:r w:rsidRPr="00517228">
        <w:rPr>
          <w:rFonts w:cs="Tahoma"/>
          <w:szCs w:val="24"/>
        </w:rPr>
        <w:t>,</w:t>
      </w:r>
      <w:r w:rsidR="00A10608" w:rsidRPr="00517228">
        <w:rPr>
          <w:rFonts w:cs="Tahoma"/>
          <w:szCs w:val="24"/>
        </w:rPr>
        <w:t xml:space="preserve"> para amparar los riesgos de los afiliados, para atender los costos de operación</w:t>
      </w:r>
      <w:r w:rsidRPr="00517228">
        <w:rPr>
          <w:rFonts w:cs="Tahoma"/>
          <w:szCs w:val="24"/>
        </w:rPr>
        <w:t xml:space="preserve"> y </w:t>
      </w:r>
      <w:r w:rsidR="00A10608" w:rsidRPr="00517228">
        <w:rPr>
          <w:rFonts w:cs="Tahoma"/>
          <w:szCs w:val="24"/>
        </w:rPr>
        <w:t>para poder pagar nómina de los empleados que con su gestión hacen que los afiliados se favorezcan en cuanto los rendimientos</w:t>
      </w:r>
      <w:r w:rsidR="00DB521D" w:rsidRPr="00517228">
        <w:rPr>
          <w:rFonts w:cs="Tahoma"/>
          <w:szCs w:val="24"/>
        </w:rPr>
        <w:t xml:space="preserve"> y, agrega, </w:t>
      </w:r>
      <w:r w:rsidR="005B65AA" w:rsidRPr="00517228">
        <w:rPr>
          <w:rFonts w:cs="Tahoma"/>
          <w:szCs w:val="24"/>
        </w:rPr>
        <w:t xml:space="preserve">que </w:t>
      </w:r>
      <w:r w:rsidR="00A10608" w:rsidRPr="00517228">
        <w:rPr>
          <w:rFonts w:cs="Tahoma"/>
          <w:szCs w:val="24"/>
        </w:rPr>
        <w:t xml:space="preserve">se viola el </w:t>
      </w:r>
      <w:r w:rsidR="00A10608" w:rsidRPr="00517228">
        <w:rPr>
          <w:rFonts w:cs="Tahoma"/>
          <w:szCs w:val="24"/>
        </w:rPr>
        <w:lastRenderedPageBreak/>
        <w:t>principio de igualdad constitucional entre las partes procesales y que esa línea jurisprudencial desconoce el principio congruencia.</w:t>
      </w:r>
    </w:p>
    <w:p w14:paraId="4F2E8121" w14:textId="41C9DC2F" w:rsidR="00790DA9" w:rsidRPr="00517228" w:rsidRDefault="00790DA9" w:rsidP="00517228">
      <w:pPr>
        <w:spacing w:line="276" w:lineRule="auto"/>
        <w:ind w:left="360"/>
        <w:rPr>
          <w:rFonts w:cs="Tahoma"/>
          <w:b/>
          <w:bCs/>
          <w:szCs w:val="24"/>
        </w:rPr>
      </w:pPr>
    </w:p>
    <w:p w14:paraId="05C38C30" w14:textId="1A6D2EC4" w:rsidR="00A56069" w:rsidRPr="00517228" w:rsidRDefault="00790DA9" w:rsidP="00517228">
      <w:pPr>
        <w:spacing w:line="276" w:lineRule="auto"/>
        <w:ind w:firstLine="360"/>
        <w:rPr>
          <w:rFonts w:cs="Tahoma"/>
          <w:szCs w:val="24"/>
        </w:rPr>
      </w:pPr>
      <w:r w:rsidRPr="00517228">
        <w:rPr>
          <w:rFonts w:cs="Tahoma"/>
          <w:szCs w:val="24"/>
        </w:rPr>
        <w:t xml:space="preserve">Por su parte, </w:t>
      </w:r>
      <w:r w:rsidRPr="00517228">
        <w:rPr>
          <w:rFonts w:cs="Tahoma"/>
          <w:b/>
          <w:bCs/>
          <w:szCs w:val="24"/>
        </w:rPr>
        <w:t>Colpensiones</w:t>
      </w:r>
      <w:r w:rsidRPr="00517228">
        <w:rPr>
          <w:rFonts w:cs="Tahoma"/>
          <w:szCs w:val="24"/>
        </w:rPr>
        <w:t xml:space="preserve"> in</w:t>
      </w:r>
      <w:r w:rsidR="009979A7" w:rsidRPr="00517228">
        <w:rPr>
          <w:rFonts w:cs="Tahoma"/>
          <w:szCs w:val="24"/>
        </w:rPr>
        <w:t>dic</w:t>
      </w:r>
      <w:r w:rsidRPr="00517228">
        <w:rPr>
          <w:rFonts w:cs="Tahoma"/>
          <w:szCs w:val="24"/>
        </w:rPr>
        <w:t xml:space="preserve">ó </w:t>
      </w:r>
      <w:r w:rsidR="009979A7" w:rsidRPr="00517228">
        <w:rPr>
          <w:rFonts w:cs="Tahoma"/>
          <w:szCs w:val="24"/>
        </w:rPr>
        <w:t xml:space="preserve">en su </w:t>
      </w:r>
      <w:r w:rsidRPr="00517228">
        <w:rPr>
          <w:rFonts w:cs="Tahoma"/>
          <w:szCs w:val="24"/>
        </w:rPr>
        <w:t>apelación que</w:t>
      </w:r>
      <w:r w:rsidR="007E77EA" w:rsidRPr="00517228">
        <w:rPr>
          <w:rFonts w:cs="Tahoma"/>
          <w:szCs w:val="24"/>
        </w:rPr>
        <w:t xml:space="preserve"> a partir de la entrada en vigencia de la Ley 100 de 1993 en Colombia se crearon dos regímenes pensionales, los cuales son coexistentes y no se puede predicar que uno sea mejor o peor que el otro. De igual manera</w:t>
      </w:r>
      <w:r w:rsidR="00A56069" w:rsidRPr="00517228">
        <w:rPr>
          <w:rFonts w:cs="Tahoma"/>
          <w:szCs w:val="24"/>
        </w:rPr>
        <w:t xml:space="preserve">, </w:t>
      </w:r>
      <w:r w:rsidR="007E77EA" w:rsidRPr="00517228">
        <w:rPr>
          <w:rFonts w:cs="Tahoma"/>
          <w:szCs w:val="24"/>
        </w:rPr>
        <w:t>que</w:t>
      </w:r>
      <w:r w:rsidR="00C342C0" w:rsidRPr="00517228">
        <w:rPr>
          <w:rFonts w:cs="Tahoma"/>
          <w:szCs w:val="24"/>
        </w:rPr>
        <w:t>,</w:t>
      </w:r>
      <w:r w:rsidRPr="00517228">
        <w:rPr>
          <w:rFonts w:cs="Tahoma"/>
          <w:szCs w:val="24"/>
        </w:rPr>
        <w:t xml:space="preserve"> </w:t>
      </w:r>
      <w:r w:rsidR="007E77EA" w:rsidRPr="00517228">
        <w:rPr>
          <w:rFonts w:cs="Tahoma"/>
          <w:szCs w:val="24"/>
        </w:rPr>
        <w:t xml:space="preserve">en virtud del principio de legalidad, la falta de información que alega la demandante no conlleva a la declaratoria de ineficacia del traslado efectuado en el año 2004, por el contrario, </w:t>
      </w:r>
      <w:r w:rsidR="00A56069" w:rsidRPr="00517228">
        <w:rPr>
          <w:rFonts w:cs="Tahoma"/>
          <w:szCs w:val="24"/>
        </w:rPr>
        <w:t xml:space="preserve">que </w:t>
      </w:r>
      <w:r w:rsidR="007E77EA" w:rsidRPr="00517228">
        <w:rPr>
          <w:rFonts w:cs="Tahoma"/>
          <w:szCs w:val="24"/>
        </w:rPr>
        <w:t>lo que ataña</w:t>
      </w:r>
      <w:r w:rsidR="00A56069" w:rsidRPr="00517228">
        <w:rPr>
          <w:rFonts w:cs="Tahoma"/>
          <w:szCs w:val="24"/>
        </w:rPr>
        <w:t xml:space="preserve"> en este caso</w:t>
      </w:r>
      <w:r w:rsidR="007E77EA" w:rsidRPr="00517228">
        <w:rPr>
          <w:rFonts w:cs="Tahoma"/>
          <w:szCs w:val="24"/>
        </w:rPr>
        <w:t xml:space="preserve"> es un resarcimiento de perjuicios</w:t>
      </w:r>
      <w:r w:rsidR="00A56069" w:rsidRPr="00517228">
        <w:rPr>
          <w:rFonts w:cs="Tahoma"/>
          <w:szCs w:val="24"/>
        </w:rPr>
        <w:t>.</w:t>
      </w:r>
      <w:r w:rsidR="007E77EA" w:rsidRPr="00517228">
        <w:rPr>
          <w:rFonts w:cs="Tahoma"/>
          <w:szCs w:val="24"/>
        </w:rPr>
        <w:t xml:space="preserve"> Asimismo, que la información que recibió la demandante fue la que se contempló Ley 100 de 1993. </w:t>
      </w:r>
    </w:p>
    <w:p w14:paraId="406868AF" w14:textId="77777777" w:rsidR="00A56069" w:rsidRPr="00517228" w:rsidRDefault="00A56069" w:rsidP="00517228">
      <w:pPr>
        <w:spacing w:line="276" w:lineRule="auto"/>
        <w:ind w:firstLine="360"/>
        <w:rPr>
          <w:rFonts w:cs="Tahoma"/>
          <w:szCs w:val="24"/>
        </w:rPr>
      </w:pPr>
    </w:p>
    <w:p w14:paraId="050125F2" w14:textId="26DFFBF8" w:rsidR="007E77EA" w:rsidRPr="00517228" w:rsidRDefault="00A56069" w:rsidP="00517228">
      <w:pPr>
        <w:spacing w:line="276" w:lineRule="auto"/>
        <w:ind w:firstLine="360"/>
        <w:rPr>
          <w:rFonts w:cs="Tahoma"/>
          <w:szCs w:val="24"/>
        </w:rPr>
      </w:pPr>
      <w:r w:rsidRPr="00517228">
        <w:rPr>
          <w:rFonts w:cs="Tahoma"/>
          <w:szCs w:val="24"/>
        </w:rPr>
        <w:t>Resalta que, l</w:t>
      </w:r>
      <w:r w:rsidR="007E77EA" w:rsidRPr="00517228">
        <w:rPr>
          <w:rFonts w:cs="Tahoma"/>
          <w:szCs w:val="24"/>
        </w:rPr>
        <w:t>a actora al momento de solicitar nuevamente el traslado</w:t>
      </w:r>
      <w:r w:rsidRPr="00517228">
        <w:rPr>
          <w:rFonts w:cs="Tahoma"/>
          <w:szCs w:val="24"/>
        </w:rPr>
        <w:t xml:space="preserve"> de régimen</w:t>
      </w:r>
      <w:r w:rsidR="007E77EA" w:rsidRPr="00517228">
        <w:rPr>
          <w:rFonts w:cs="Tahoma"/>
          <w:szCs w:val="24"/>
        </w:rPr>
        <w:t xml:space="preserve"> contaba con más de 47 años, </w:t>
      </w:r>
      <w:r w:rsidRPr="00517228">
        <w:rPr>
          <w:rFonts w:cs="Tahoma"/>
          <w:szCs w:val="24"/>
        </w:rPr>
        <w:t>por lo que se encontraba dentro del</w:t>
      </w:r>
      <w:r w:rsidR="007E77EA" w:rsidRPr="00517228">
        <w:rPr>
          <w:rFonts w:cs="Tahoma"/>
          <w:szCs w:val="24"/>
        </w:rPr>
        <w:t xml:space="preserve"> límite</w:t>
      </w:r>
      <w:r w:rsidRPr="00517228">
        <w:rPr>
          <w:rFonts w:cs="Tahoma"/>
          <w:szCs w:val="24"/>
        </w:rPr>
        <w:t xml:space="preserve"> legal para llevar a cabo su traslado, que corresponde a aquellas</w:t>
      </w:r>
      <w:r w:rsidR="007E77EA" w:rsidRPr="00517228">
        <w:rPr>
          <w:rFonts w:cs="Tahoma"/>
          <w:szCs w:val="24"/>
        </w:rPr>
        <w:t xml:space="preserve"> personas que estuviesen a 10 años o menos de </w:t>
      </w:r>
      <w:r w:rsidRPr="00517228">
        <w:rPr>
          <w:rFonts w:cs="Tahoma"/>
          <w:szCs w:val="24"/>
        </w:rPr>
        <w:t>cumplir</w:t>
      </w:r>
      <w:r w:rsidR="007E77EA" w:rsidRPr="00517228">
        <w:rPr>
          <w:rFonts w:cs="Tahoma"/>
          <w:szCs w:val="24"/>
        </w:rPr>
        <w:t xml:space="preserve"> con la edad para pensionar, lo que</w:t>
      </w:r>
      <w:r w:rsidRPr="00517228">
        <w:rPr>
          <w:rFonts w:cs="Tahoma"/>
          <w:szCs w:val="24"/>
        </w:rPr>
        <w:t xml:space="preserve"> en su criterio</w:t>
      </w:r>
      <w:r w:rsidR="007E77EA" w:rsidRPr="00517228">
        <w:rPr>
          <w:rFonts w:cs="Tahoma"/>
          <w:szCs w:val="24"/>
        </w:rPr>
        <w:t xml:space="preserve"> podría atentar contra el principio de eficacia funcional y poner en riesgo la garantía de los demás pensionados. En consecuencia, solicita revocar la decisión de primera instancia y absolver a Colpensiones de aceptar el traslado de la demandante.</w:t>
      </w:r>
    </w:p>
    <w:p w14:paraId="13CAE69F" w14:textId="69FE17A2" w:rsidR="00AE042F" w:rsidRPr="00517228" w:rsidRDefault="00AE042F" w:rsidP="00517228">
      <w:pPr>
        <w:spacing w:line="276" w:lineRule="auto"/>
        <w:ind w:firstLine="360"/>
        <w:rPr>
          <w:rFonts w:cs="Tahoma"/>
          <w:szCs w:val="24"/>
        </w:rPr>
      </w:pPr>
    </w:p>
    <w:p w14:paraId="20058931" w14:textId="77777777" w:rsidR="00790DA9" w:rsidRPr="00517228" w:rsidRDefault="00790DA9" w:rsidP="00517228">
      <w:pPr>
        <w:pStyle w:val="Prrafodelista"/>
        <w:numPr>
          <w:ilvl w:val="0"/>
          <w:numId w:val="1"/>
        </w:numPr>
        <w:spacing w:line="276" w:lineRule="auto"/>
        <w:ind w:left="426" w:hanging="426"/>
        <w:jc w:val="center"/>
        <w:rPr>
          <w:rFonts w:cs="Tahoma"/>
          <w:b/>
          <w:caps/>
          <w:szCs w:val="24"/>
        </w:rPr>
      </w:pPr>
      <w:r w:rsidRPr="00517228">
        <w:rPr>
          <w:rFonts w:cs="Tahoma"/>
          <w:b/>
          <w:szCs w:val="24"/>
        </w:rPr>
        <w:t xml:space="preserve">Alegatos de </w:t>
      </w:r>
      <w:r w:rsidRPr="00517228">
        <w:rPr>
          <w:rFonts w:cs="Tahoma"/>
          <w:b/>
          <w:bCs/>
          <w:szCs w:val="24"/>
        </w:rPr>
        <w:t>conclusión</w:t>
      </w:r>
    </w:p>
    <w:p w14:paraId="0F6CF093" w14:textId="77777777" w:rsidR="00790DA9" w:rsidRPr="00517228" w:rsidRDefault="00790DA9" w:rsidP="00517228">
      <w:pPr>
        <w:widowControl w:val="0"/>
        <w:autoSpaceDE w:val="0"/>
        <w:autoSpaceDN w:val="0"/>
        <w:adjustRightInd w:val="0"/>
        <w:spacing w:line="276" w:lineRule="auto"/>
        <w:rPr>
          <w:rFonts w:cs="Tahoma"/>
          <w:szCs w:val="24"/>
        </w:rPr>
      </w:pPr>
    </w:p>
    <w:p w14:paraId="06499D4F" w14:textId="77777777" w:rsidR="00D61D85" w:rsidRPr="00517228" w:rsidRDefault="003C46FA" w:rsidP="00517228">
      <w:pPr>
        <w:spacing w:line="276" w:lineRule="auto"/>
        <w:ind w:firstLine="360"/>
        <w:rPr>
          <w:rFonts w:cs="Tahoma"/>
          <w:szCs w:val="24"/>
        </w:rPr>
      </w:pPr>
      <w:r w:rsidRPr="00517228">
        <w:rPr>
          <w:rFonts w:cs="Tahoma"/>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p>
    <w:p w14:paraId="03123851" w14:textId="77777777" w:rsidR="00D61D85" w:rsidRPr="00517228" w:rsidRDefault="00D61D85" w:rsidP="00517228">
      <w:pPr>
        <w:spacing w:line="276" w:lineRule="auto"/>
        <w:ind w:firstLine="360"/>
        <w:rPr>
          <w:rFonts w:cs="Tahoma"/>
          <w:szCs w:val="24"/>
        </w:rPr>
      </w:pPr>
    </w:p>
    <w:p w14:paraId="5E3F4AE9" w14:textId="083F3ED4" w:rsidR="4175F712" w:rsidRPr="00517228" w:rsidRDefault="003C46FA" w:rsidP="00517228">
      <w:pPr>
        <w:spacing w:line="276" w:lineRule="auto"/>
        <w:ind w:firstLine="360"/>
        <w:rPr>
          <w:rFonts w:eastAsia="Calibri" w:cs="Tahoma"/>
          <w:szCs w:val="24"/>
        </w:rPr>
      </w:pPr>
      <w:r w:rsidRPr="00517228">
        <w:rPr>
          <w:rFonts w:cs="Tahoma"/>
          <w:szCs w:val="24"/>
        </w:rPr>
        <w:t>Por otra parte, el Ministerio Público rindió concepto en este asunto</w:t>
      </w:r>
      <w:r w:rsidR="00D61D85" w:rsidRPr="00517228">
        <w:rPr>
          <w:rFonts w:cs="Tahoma"/>
          <w:szCs w:val="24"/>
        </w:rPr>
        <w:t xml:space="preserve">, </w:t>
      </w:r>
      <w:proofErr w:type="gramStart"/>
      <w:r w:rsidR="00D61D85" w:rsidRPr="00517228">
        <w:rPr>
          <w:rFonts w:cs="Tahoma"/>
          <w:szCs w:val="24"/>
        </w:rPr>
        <w:t>exponiendo</w:t>
      </w:r>
      <w:proofErr w:type="gramEnd"/>
      <w:r w:rsidR="00D61D85" w:rsidRPr="00517228">
        <w:rPr>
          <w:rFonts w:cs="Tahoma"/>
          <w:szCs w:val="24"/>
        </w:rPr>
        <w:t xml:space="preserve"> e</w:t>
      </w:r>
      <w:r w:rsidR="4175F712" w:rsidRPr="00517228">
        <w:rPr>
          <w:rFonts w:eastAsia="Calibri" w:cs="Tahoma"/>
          <w:szCs w:val="24"/>
        </w:rPr>
        <w:t>n síntesis, que la sentencia de primera instancia debía ser confirmada</w:t>
      </w:r>
      <w:r w:rsidR="45A3599D" w:rsidRPr="00517228">
        <w:rPr>
          <w:rFonts w:eastAsia="Calibri" w:cs="Tahoma"/>
          <w:szCs w:val="24"/>
        </w:rPr>
        <w:t xml:space="preserve"> porque Porvenir S.A. no satisfizo la obligación de orientar a la demandante respecto de las implicaciones del cambio de régimen que efectuó el 19-10-2004</w:t>
      </w:r>
      <w:r w:rsidR="361FF738" w:rsidRPr="00517228">
        <w:rPr>
          <w:rFonts w:eastAsia="Calibri" w:cs="Tahoma"/>
          <w:szCs w:val="24"/>
        </w:rPr>
        <w:t>, por lo que la decisión de la afiliada no resultó cons</w:t>
      </w:r>
      <w:r w:rsidR="00D61D85" w:rsidRPr="00517228">
        <w:rPr>
          <w:rFonts w:eastAsia="Calibri" w:cs="Tahoma"/>
          <w:szCs w:val="24"/>
        </w:rPr>
        <w:t>c</w:t>
      </w:r>
      <w:r w:rsidR="361FF738" w:rsidRPr="00517228">
        <w:rPr>
          <w:rFonts w:eastAsia="Calibri" w:cs="Tahoma"/>
          <w:szCs w:val="24"/>
        </w:rPr>
        <w:t xml:space="preserve">iente y en ese orden resultaba ineficaz.  Además, refirió que la AFP demandada debía de pasar a Colpensiones </w:t>
      </w:r>
      <w:r w:rsidR="639AB167" w:rsidRPr="00517228">
        <w:rPr>
          <w:rFonts w:eastAsia="Calibri" w:cs="Tahoma"/>
          <w:szCs w:val="24"/>
        </w:rPr>
        <w:t>el capital de la cuenta de ahorro individual incluyendo los gastos de administración de sus propios recursos para que la afiliada mantuviera en el régimen de prima media sin solución de continuidad.</w:t>
      </w:r>
    </w:p>
    <w:p w14:paraId="66ECB44F" w14:textId="77777777" w:rsidR="00C342C0" w:rsidRPr="00517228" w:rsidRDefault="00C342C0" w:rsidP="00517228">
      <w:pPr>
        <w:spacing w:line="276" w:lineRule="auto"/>
        <w:rPr>
          <w:rFonts w:cs="Tahoma"/>
          <w:b/>
          <w:bCs/>
          <w:szCs w:val="24"/>
        </w:rPr>
      </w:pPr>
    </w:p>
    <w:p w14:paraId="3204CC61" w14:textId="77777777" w:rsidR="00790DA9" w:rsidRPr="00517228" w:rsidRDefault="00790DA9" w:rsidP="00517228">
      <w:pPr>
        <w:pStyle w:val="Prrafodelista"/>
        <w:numPr>
          <w:ilvl w:val="0"/>
          <w:numId w:val="1"/>
        </w:numPr>
        <w:spacing w:line="276" w:lineRule="auto"/>
        <w:ind w:left="426" w:hanging="426"/>
        <w:jc w:val="center"/>
        <w:rPr>
          <w:rFonts w:cs="Tahoma"/>
          <w:b/>
          <w:szCs w:val="24"/>
        </w:rPr>
      </w:pPr>
      <w:r w:rsidRPr="00517228">
        <w:rPr>
          <w:rFonts w:cs="Tahoma"/>
          <w:b/>
          <w:bCs/>
          <w:szCs w:val="24"/>
        </w:rPr>
        <w:t>Problemas</w:t>
      </w:r>
      <w:r w:rsidRPr="00517228">
        <w:rPr>
          <w:rStyle w:val="normaltextrun"/>
          <w:rFonts w:cs="Tahoma"/>
          <w:b/>
          <w:bCs/>
          <w:szCs w:val="24"/>
        </w:rPr>
        <w:t xml:space="preserve"> jurídicos por resolver</w:t>
      </w:r>
    </w:p>
    <w:p w14:paraId="7D2181B2" w14:textId="77777777" w:rsidR="00790DA9" w:rsidRPr="00517228" w:rsidRDefault="00790DA9" w:rsidP="00517228">
      <w:pPr>
        <w:pStyle w:val="paragraph"/>
        <w:spacing w:before="0" w:beforeAutospacing="0" w:after="0" w:afterAutospacing="0" w:line="276" w:lineRule="auto"/>
        <w:textAlignment w:val="baseline"/>
        <w:rPr>
          <w:rFonts w:ascii="Tahoma" w:hAnsi="Tahoma" w:cs="Tahoma"/>
        </w:rPr>
      </w:pPr>
      <w:r w:rsidRPr="00517228">
        <w:rPr>
          <w:rStyle w:val="eop"/>
          <w:rFonts w:ascii="Tahoma" w:hAnsi="Tahoma" w:cs="Tahoma"/>
        </w:rPr>
        <w:t> </w:t>
      </w:r>
    </w:p>
    <w:p w14:paraId="09798F6A" w14:textId="77777777" w:rsidR="00790DA9" w:rsidRPr="00517228" w:rsidRDefault="00790DA9" w:rsidP="00517228">
      <w:pPr>
        <w:widowControl w:val="0"/>
        <w:autoSpaceDE w:val="0"/>
        <w:autoSpaceDN w:val="0"/>
        <w:adjustRightInd w:val="0"/>
        <w:spacing w:line="276" w:lineRule="auto"/>
        <w:ind w:firstLine="284"/>
        <w:rPr>
          <w:rStyle w:val="normaltextrun"/>
          <w:rFonts w:cs="Tahoma"/>
          <w:szCs w:val="24"/>
        </w:rPr>
      </w:pPr>
      <w:bookmarkStart w:id="4" w:name="_Hlk57064004"/>
      <w:r w:rsidRPr="00517228">
        <w:rPr>
          <w:rStyle w:val="normaltextrun"/>
          <w:rFonts w:cs="Tahoma"/>
          <w:szCs w:val="24"/>
        </w:rPr>
        <w:t xml:space="preserve">De acuerdo con los argumentos expuestos en la sentencia de primera instancia, los fundamentos de la apelación y los alegatos de conclusión, le corresponde a la Sala resolver los siguientes problemas jurídicos: </w:t>
      </w:r>
    </w:p>
    <w:p w14:paraId="177F91D4" w14:textId="77777777" w:rsidR="00790DA9" w:rsidRPr="00517228" w:rsidRDefault="00790DA9" w:rsidP="00517228">
      <w:pPr>
        <w:widowControl w:val="0"/>
        <w:autoSpaceDE w:val="0"/>
        <w:autoSpaceDN w:val="0"/>
        <w:adjustRightInd w:val="0"/>
        <w:spacing w:line="276" w:lineRule="auto"/>
        <w:rPr>
          <w:rStyle w:val="normaltextrun"/>
          <w:rFonts w:cs="Tahoma"/>
          <w:szCs w:val="24"/>
        </w:rPr>
      </w:pPr>
    </w:p>
    <w:p w14:paraId="140A2DF6" w14:textId="261F5B45" w:rsidR="00790DA9" w:rsidRPr="00517228" w:rsidRDefault="00CE5E7B" w:rsidP="00517228">
      <w:pPr>
        <w:pStyle w:val="Prrafodelista"/>
        <w:widowControl w:val="0"/>
        <w:numPr>
          <w:ilvl w:val="0"/>
          <w:numId w:val="2"/>
        </w:numPr>
        <w:tabs>
          <w:tab w:val="left" w:pos="709"/>
          <w:tab w:val="left" w:pos="1134"/>
        </w:tabs>
        <w:autoSpaceDE w:val="0"/>
        <w:autoSpaceDN w:val="0"/>
        <w:adjustRightInd w:val="0"/>
        <w:spacing w:line="276" w:lineRule="auto"/>
        <w:ind w:left="0" w:firstLine="709"/>
        <w:rPr>
          <w:rFonts w:cs="Tahoma"/>
          <w:szCs w:val="24"/>
        </w:rPr>
      </w:pPr>
      <w:r w:rsidRPr="00517228">
        <w:rPr>
          <w:rFonts w:cs="Tahoma"/>
          <w:color w:val="000000"/>
          <w:szCs w:val="24"/>
        </w:rPr>
        <w:t>Establecer si para el momento en que la parte actora efectuó el traslado</w:t>
      </w:r>
      <w:r w:rsidRPr="00517228">
        <w:rPr>
          <w:rFonts w:cs="Tahoma"/>
          <w:color w:val="000000"/>
          <w:szCs w:val="24"/>
        </w:rPr>
        <w:br/>
        <w:t>del régimen de prima media al régimen de ahorro individual, existía normatividad</w:t>
      </w:r>
      <w:r w:rsidRPr="00517228">
        <w:rPr>
          <w:rFonts w:cs="Tahoma"/>
          <w:color w:val="000000"/>
          <w:szCs w:val="24"/>
        </w:rPr>
        <w:br/>
      </w:r>
      <w:r w:rsidRPr="00517228">
        <w:rPr>
          <w:rFonts w:cs="Tahoma"/>
          <w:color w:val="000000"/>
          <w:szCs w:val="24"/>
        </w:rPr>
        <w:lastRenderedPageBreak/>
        <w:t>vigente que obligaba a la entidad administradora de pensiones a brindarle al</w:t>
      </w:r>
      <w:r w:rsidRPr="00517228">
        <w:rPr>
          <w:rFonts w:cs="Tahoma"/>
          <w:color w:val="000000"/>
          <w:szCs w:val="24"/>
        </w:rPr>
        <w:br/>
        <w:t>potencial afiliado información suficiente sobre las consecuencias del cambio de</w:t>
      </w:r>
      <w:r w:rsidRPr="00517228">
        <w:rPr>
          <w:rFonts w:cs="Tahoma"/>
          <w:color w:val="000000"/>
          <w:szCs w:val="24"/>
        </w:rPr>
        <w:br/>
        <w:t>régimen.</w:t>
      </w:r>
    </w:p>
    <w:p w14:paraId="1BFD1D24" w14:textId="1E5214C4" w:rsidR="00CE5E7B" w:rsidRPr="00517228" w:rsidRDefault="00CE5E7B" w:rsidP="00517228">
      <w:pPr>
        <w:pStyle w:val="Prrafodelista"/>
        <w:widowControl w:val="0"/>
        <w:tabs>
          <w:tab w:val="left" w:pos="709"/>
          <w:tab w:val="left" w:pos="1134"/>
        </w:tabs>
        <w:autoSpaceDE w:val="0"/>
        <w:autoSpaceDN w:val="0"/>
        <w:adjustRightInd w:val="0"/>
        <w:spacing w:line="276" w:lineRule="auto"/>
        <w:ind w:left="709"/>
        <w:rPr>
          <w:rFonts w:cs="Tahoma"/>
          <w:szCs w:val="24"/>
        </w:rPr>
      </w:pPr>
      <w:r w:rsidRPr="00517228">
        <w:rPr>
          <w:rFonts w:cs="Tahoma"/>
          <w:color w:val="000000"/>
          <w:szCs w:val="24"/>
        </w:rPr>
        <w:t xml:space="preserve"> </w:t>
      </w:r>
    </w:p>
    <w:p w14:paraId="4DF35D0C" w14:textId="77DA6624" w:rsidR="00CE5E7B" w:rsidRPr="00517228" w:rsidRDefault="00CE5E7B" w:rsidP="00517228">
      <w:pPr>
        <w:pStyle w:val="Prrafodelista"/>
        <w:widowControl w:val="0"/>
        <w:numPr>
          <w:ilvl w:val="0"/>
          <w:numId w:val="2"/>
        </w:numPr>
        <w:tabs>
          <w:tab w:val="left" w:pos="709"/>
          <w:tab w:val="left" w:pos="1134"/>
        </w:tabs>
        <w:autoSpaceDE w:val="0"/>
        <w:autoSpaceDN w:val="0"/>
        <w:adjustRightInd w:val="0"/>
        <w:spacing w:line="276" w:lineRule="auto"/>
        <w:ind w:left="0" w:firstLine="709"/>
        <w:rPr>
          <w:rFonts w:cs="Tahoma"/>
          <w:szCs w:val="24"/>
        </w:rPr>
      </w:pPr>
      <w:r w:rsidRPr="00517228">
        <w:rPr>
          <w:rFonts w:cs="Tahoma"/>
          <w:color w:val="000000"/>
          <w:szCs w:val="24"/>
        </w:rPr>
        <w:t>Definir si para dar por cumplido el deber de información de las AFP es</w:t>
      </w:r>
      <w:r w:rsidRPr="00517228">
        <w:rPr>
          <w:rFonts w:cs="Tahoma"/>
          <w:color w:val="000000"/>
          <w:szCs w:val="24"/>
        </w:rPr>
        <w:br/>
        <w:t>suficiente el diligenciamiento del formulario de afiliación</w:t>
      </w:r>
    </w:p>
    <w:p w14:paraId="6591F5D4" w14:textId="77777777" w:rsidR="00790DA9" w:rsidRPr="00517228" w:rsidRDefault="00790DA9" w:rsidP="00517228">
      <w:pPr>
        <w:pStyle w:val="Prrafodelista"/>
        <w:widowControl w:val="0"/>
        <w:tabs>
          <w:tab w:val="left" w:pos="709"/>
          <w:tab w:val="left" w:pos="1134"/>
        </w:tabs>
        <w:autoSpaceDE w:val="0"/>
        <w:autoSpaceDN w:val="0"/>
        <w:adjustRightInd w:val="0"/>
        <w:spacing w:line="276" w:lineRule="auto"/>
        <w:ind w:left="709"/>
        <w:rPr>
          <w:rFonts w:cs="Tahoma"/>
          <w:szCs w:val="24"/>
        </w:rPr>
      </w:pPr>
    </w:p>
    <w:p w14:paraId="5A788E91" w14:textId="67866AC8" w:rsidR="005B1B92" w:rsidRPr="00517228" w:rsidRDefault="00CE5E7B" w:rsidP="00517228">
      <w:pPr>
        <w:pStyle w:val="Prrafodelista"/>
        <w:widowControl w:val="0"/>
        <w:numPr>
          <w:ilvl w:val="0"/>
          <w:numId w:val="2"/>
        </w:numPr>
        <w:tabs>
          <w:tab w:val="left" w:pos="709"/>
          <w:tab w:val="left" w:pos="1134"/>
        </w:tabs>
        <w:autoSpaceDE w:val="0"/>
        <w:autoSpaceDN w:val="0"/>
        <w:adjustRightInd w:val="0"/>
        <w:spacing w:line="276" w:lineRule="auto"/>
        <w:ind w:left="0" w:firstLine="709"/>
        <w:rPr>
          <w:rFonts w:cs="Tahoma"/>
          <w:szCs w:val="24"/>
        </w:rPr>
      </w:pPr>
      <w:r w:rsidRPr="00517228">
        <w:rPr>
          <w:rFonts w:cs="Tahoma"/>
          <w:color w:val="000000"/>
          <w:szCs w:val="24"/>
        </w:rPr>
        <w:t>Determinar la carga probatoria que les corresponde a cada una de las</w:t>
      </w:r>
      <w:r w:rsidRPr="00517228">
        <w:rPr>
          <w:rFonts w:cs="Tahoma"/>
          <w:color w:val="000000"/>
          <w:szCs w:val="24"/>
        </w:rPr>
        <w:br/>
        <w:t>partes cuando está en discusión la eficacia del traslado entre regímenes pensionales.</w:t>
      </w:r>
    </w:p>
    <w:p w14:paraId="73851130" w14:textId="77777777" w:rsidR="00CE5E7B" w:rsidRPr="00517228" w:rsidRDefault="00CE5E7B" w:rsidP="00517228">
      <w:pPr>
        <w:pStyle w:val="Prrafodelista"/>
        <w:tabs>
          <w:tab w:val="left" w:pos="1134"/>
        </w:tabs>
        <w:spacing w:line="276" w:lineRule="auto"/>
        <w:rPr>
          <w:rFonts w:cs="Tahoma"/>
          <w:szCs w:val="24"/>
        </w:rPr>
      </w:pPr>
    </w:p>
    <w:p w14:paraId="32056C04" w14:textId="11DB8CCB" w:rsidR="00790DA9" w:rsidRPr="00517228" w:rsidRDefault="005B1B92" w:rsidP="00517228">
      <w:pPr>
        <w:pStyle w:val="Prrafodelista"/>
        <w:widowControl w:val="0"/>
        <w:numPr>
          <w:ilvl w:val="0"/>
          <w:numId w:val="2"/>
        </w:numPr>
        <w:tabs>
          <w:tab w:val="left" w:pos="709"/>
          <w:tab w:val="left" w:pos="1134"/>
        </w:tabs>
        <w:autoSpaceDE w:val="0"/>
        <w:autoSpaceDN w:val="0"/>
        <w:adjustRightInd w:val="0"/>
        <w:spacing w:line="276" w:lineRule="auto"/>
        <w:ind w:left="0" w:firstLine="709"/>
        <w:rPr>
          <w:rFonts w:cs="Tahoma"/>
          <w:color w:val="000000"/>
          <w:szCs w:val="24"/>
        </w:rPr>
      </w:pPr>
      <w:r w:rsidRPr="00517228">
        <w:rPr>
          <w:rFonts w:cs="Tahoma"/>
          <w:color w:val="000000"/>
          <w:szCs w:val="24"/>
        </w:rPr>
        <w:t xml:space="preserve"> </w:t>
      </w:r>
      <w:r w:rsidR="00790DA9" w:rsidRPr="00517228">
        <w:rPr>
          <w:rFonts w:cs="Tahoma"/>
          <w:color w:val="000000"/>
          <w:szCs w:val="24"/>
        </w:rPr>
        <w:t xml:space="preserve"> </w:t>
      </w:r>
      <w:bookmarkEnd w:id="4"/>
      <w:r w:rsidR="00CE5E7B" w:rsidRPr="00517228">
        <w:rPr>
          <w:rFonts w:cs="Tahoma"/>
          <w:color w:val="000000"/>
          <w:szCs w:val="24"/>
        </w:rPr>
        <w:t>analizar si quedó probado en el proceso que la parte demandante recibió de parte de las AFP demandada, la asesoría e información suficiente y necesaria para hacer el cambio de régimen.</w:t>
      </w:r>
    </w:p>
    <w:p w14:paraId="0ACDFEBC" w14:textId="77777777" w:rsidR="00CE5E7B" w:rsidRPr="00517228" w:rsidRDefault="00CE5E7B" w:rsidP="00517228">
      <w:pPr>
        <w:pStyle w:val="Prrafodelista"/>
        <w:tabs>
          <w:tab w:val="left" w:pos="1134"/>
        </w:tabs>
        <w:spacing w:line="276" w:lineRule="auto"/>
        <w:rPr>
          <w:rFonts w:cs="Tahoma"/>
          <w:color w:val="000000"/>
          <w:szCs w:val="24"/>
        </w:rPr>
      </w:pPr>
    </w:p>
    <w:p w14:paraId="5B2BA620" w14:textId="4D36FE11" w:rsidR="00CE5E7B" w:rsidRPr="00517228" w:rsidRDefault="00CE5E7B" w:rsidP="00517228">
      <w:pPr>
        <w:pStyle w:val="Prrafodelista"/>
        <w:widowControl w:val="0"/>
        <w:numPr>
          <w:ilvl w:val="0"/>
          <w:numId w:val="2"/>
        </w:numPr>
        <w:tabs>
          <w:tab w:val="left" w:pos="709"/>
          <w:tab w:val="left" w:pos="1134"/>
        </w:tabs>
        <w:autoSpaceDE w:val="0"/>
        <w:autoSpaceDN w:val="0"/>
        <w:adjustRightInd w:val="0"/>
        <w:spacing w:line="276" w:lineRule="auto"/>
        <w:ind w:left="0" w:firstLine="709"/>
        <w:rPr>
          <w:rFonts w:cs="Tahoma"/>
          <w:color w:val="000000"/>
          <w:szCs w:val="24"/>
        </w:rPr>
      </w:pPr>
      <w:r w:rsidRPr="00517228">
        <w:rPr>
          <w:rFonts w:cs="Tahoma"/>
          <w:color w:val="000000"/>
          <w:szCs w:val="24"/>
        </w:rPr>
        <w:t>Establecer si el tiempo de permanencia de la afiliada en el RAIS convalida</w:t>
      </w:r>
      <w:r w:rsidR="00342284" w:rsidRPr="00517228">
        <w:rPr>
          <w:rFonts w:cs="Tahoma"/>
          <w:color w:val="000000"/>
          <w:szCs w:val="24"/>
        </w:rPr>
        <w:t xml:space="preserve"> </w:t>
      </w:r>
      <w:r w:rsidRPr="00517228">
        <w:rPr>
          <w:rFonts w:cs="Tahoma"/>
          <w:color w:val="000000"/>
          <w:szCs w:val="24"/>
        </w:rPr>
        <w:t>el traslado de régimen pensional.</w:t>
      </w:r>
    </w:p>
    <w:p w14:paraId="7F6529EB" w14:textId="77777777" w:rsidR="00CE5E7B" w:rsidRPr="00517228" w:rsidRDefault="00CE5E7B" w:rsidP="00517228">
      <w:pPr>
        <w:pStyle w:val="Prrafodelista"/>
        <w:tabs>
          <w:tab w:val="left" w:pos="1134"/>
        </w:tabs>
        <w:spacing w:line="276" w:lineRule="auto"/>
        <w:rPr>
          <w:rFonts w:cs="Tahoma"/>
          <w:color w:val="000000"/>
          <w:szCs w:val="24"/>
        </w:rPr>
      </w:pPr>
    </w:p>
    <w:p w14:paraId="4B5B0F42" w14:textId="6CD58D89" w:rsidR="00CE5E7B" w:rsidRPr="00517228" w:rsidRDefault="00CE5E7B" w:rsidP="00517228">
      <w:pPr>
        <w:pStyle w:val="Prrafodelista"/>
        <w:widowControl w:val="0"/>
        <w:numPr>
          <w:ilvl w:val="0"/>
          <w:numId w:val="2"/>
        </w:numPr>
        <w:tabs>
          <w:tab w:val="left" w:pos="709"/>
          <w:tab w:val="left" w:pos="1134"/>
        </w:tabs>
        <w:autoSpaceDE w:val="0"/>
        <w:autoSpaceDN w:val="0"/>
        <w:adjustRightInd w:val="0"/>
        <w:spacing w:line="276" w:lineRule="auto"/>
        <w:ind w:left="0" w:firstLine="709"/>
        <w:rPr>
          <w:rFonts w:cs="Tahoma"/>
          <w:color w:val="000000"/>
          <w:szCs w:val="24"/>
        </w:rPr>
      </w:pPr>
      <w:r w:rsidRPr="00517228">
        <w:rPr>
          <w:rFonts w:cs="Tahoma"/>
          <w:color w:val="000000"/>
          <w:szCs w:val="24"/>
        </w:rPr>
        <w:t>Establecer si es dable ordenar la devolución de los gastos de</w:t>
      </w:r>
      <w:r w:rsidRPr="00517228">
        <w:rPr>
          <w:rFonts w:cs="Tahoma"/>
          <w:color w:val="000000"/>
          <w:szCs w:val="24"/>
        </w:rPr>
        <w:br/>
        <w:t>administración, rendimientos</w:t>
      </w:r>
      <w:r w:rsidR="009F05B2" w:rsidRPr="00517228">
        <w:rPr>
          <w:rFonts w:cs="Tahoma"/>
          <w:color w:val="000000"/>
          <w:szCs w:val="24"/>
        </w:rPr>
        <w:t>,</w:t>
      </w:r>
      <w:r w:rsidRPr="00517228">
        <w:rPr>
          <w:rFonts w:cs="Tahoma"/>
          <w:color w:val="000000"/>
          <w:szCs w:val="24"/>
        </w:rPr>
        <w:t xml:space="preserve"> seguros previsionales </w:t>
      </w:r>
      <w:r w:rsidR="009F05B2" w:rsidRPr="00517228">
        <w:rPr>
          <w:rFonts w:cs="Tahoma"/>
          <w:color w:val="000000"/>
          <w:szCs w:val="24"/>
        </w:rPr>
        <w:t>y demás emolumentos ordenados</w:t>
      </w:r>
      <w:r w:rsidRPr="00517228">
        <w:rPr>
          <w:rFonts w:cs="Tahoma"/>
          <w:color w:val="000000"/>
          <w:szCs w:val="24"/>
        </w:rPr>
        <w:t>, con cargo a sus propios recursos y debidamente indexados</w:t>
      </w:r>
      <w:r w:rsidR="009F05B2" w:rsidRPr="00517228">
        <w:rPr>
          <w:rFonts w:cs="Tahoma"/>
          <w:color w:val="000000"/>
          <w:szCs w:val="24"/>
        </w:rPr>
        <w:t>.</w:t>
      </w:r>
    </w:p>
    <w:p w14:paraId="4A16F331" w14:textId="77777777" w:rsidR="00CE5E7B" w:rsidRPr="00517228" w:rsidRDefault="00CE5E7B" w:rsidP="00517228">
      <w:pPr>
        <w:pStyle w:val="Prrafodelista"/>
        <w:tabs>
          <w:tab w:val="left" w:pos="1134"/>
        </w:tabs>
        <w:spacing w:line="276" w:lineRule="auto"/>
        <w:rPr>
          <w:rFonts w:cs="Tahoma"/>
          <w:color w:val="000000"/>
          <w:szCs w:val="24"/>
        </w:rPr>
      </w:pPr>
    </w:p>
    <w:p w14:paraId="665AF286" w14:textId="2DAC4933" w:rsidR="00CE5E7B" w:rsidRPr="00517228" w:rsidRDefault="00CE5E7B" w:rsidP="00517228">
      <w:pPr>
        <w:pStyle w:val="Prrafodelista"/>
        <w:widowControl w:val="0"/>
        <w:numPr>
          <w:ilvl w:val="0"/>
          <w:numId w:val="2"/>
        </w:numPr>
        <w:tabs>
          <w:tab w:val="left" w:pos="709"/>
          <w:tab w:val="left" w:pos="1134"/>
        </w:tabs>
        <w:autoSpaceDE w:val="0"/>
        <w:autoSpaceDN w:val="0"/>
        <w:adjustRightInd w:val="0"/>
        <w:spacing w:line="276" w:lineRule="auto"/>
        <w:ind w:left="0" w:firstLine="709"/>
        <w:rPr>
          <w:rFonts w:cs="Tahoma"/>
          <w:color w:val="000000"/>
          <w:szCs w:val="24"/>
        </w:rPr>
      </w:pPr>
      <w:r w:rsidRPr="00517228">
        <w:rPr>
          <w:rFonts w:cs="Tahoma"/>
          <w:color w:val="000000"/>
          <w:szCs w:val="24"/>
        </w:rPr>
        <w:t>Analizar si de encontrarse la afiliada dentro de la prohibición señalada en el literal e) del artículo 13 de la Ley 100 de 1993, hace improcedente la ineficacia.</w:t>
      </w:r>
    </w:p>
    <w:p w14:paraId="7CA275E9" w14:textId="77777777" w:rsidR="00CE5E7B" w:rsidRPr="00517228" w:rsidRDefault="00CE5E7B" w:rsidP="00517228">
      <w:pPr>
        <w:pStyle w:val="Prrafodelista"/>
        <w:tabs>
          <w:tab w:val="left" w:pos="1134"/>
        </w:tabs>
        <w:spacing w:line="276" w:lineRule="auto"/>
        <w:rPr>
          <w:rFonts w:cs="Tahoma"/>
          <w:color w:val="000000"/>
          <w:szCs w:val="24"/>
        </w:rPr>
      </w:pPr>
    </w:p>
    <w:p w14:paraId="0C8695E2" w14:textId="639CE55E" w:rsidR="00CE5E7B" w:rsidRPr="00517228" w:rsidRDefault="00CE5E7B" w:rsidP="00517228">
      <w:pPr>
        <w:pStyle w:val="Prrafodelista"/>
        <w:widowControl w:val="0"/>
        <w:numPr>
          <w:ilvl w:val="0"/>
          <w:numId w:val="2"/>
        </w:numPr>
        <w:tabs>
          <w:tab w:val="left" w:pos="709"/>
          <w:tab w:val="left" w:pos="1134"/>
        </w:tabs>
        <w:autoSpaceDE w:val="0"/>
        <w:autoSpaceDN w:val="0"/>
        <w:adjustRightInd w:val="0"/>
        <w:spacing w:line="276" w:lineRule="auto"/>
        <w:ind w:left="0" w:firstLine="709"/>
        <w:rPr>
          <w:rFonts w:cs="Tahoma"/>
          <w:color w:val="000000"/>
          <w:szCs w:val="24"/>
        </w:rPr>
      </w:pPr>
      <w:r w:rsidRPr="00517228">
        <w:rPr>
          <w:rFonts w:cs="Tahoma"/>
          <w:color w:val="000000"/>
          <w:szCs w:val="24"/>
        </w:rPr>
        <w:t>Definir si en virtud del grado jurisdiccional de consulta en favor de</w:t>
      </w:r>
      <w:r w:rsidRPr="00517228">
        <w:rPr>
          <w:rFonts w:cs="Tahoma"/>
          <w:color w:val="000000"/>
          <w:szCs w:val="24"/>
        </w:rPr>
        <w:br/>
        <w:t>C</w:t>
      </w:r>
      <w:r w:rsidR="001C1B52" w:rsidRPr="00517228">
        <w:rPr>
          <w:rFonts w:cs="Tahoma"/>
          <w:color w:val="000000"/>
          <w:szCs w:val="24"/>
        </w:rPr>
        <w:t>olpensiones</w:t>
      </w:r>
      <w:r w:rsidRPr="00517228">
        <w:rPr>
          <w:rFonts w:cs="Tahoma"/>
          <w:color w:val="000000"/>
          <w:szCs w:val="24"/>
        </w:rPr>
        <w:t>, es dable ordenar la devolución de otros valores por parte de la</w:t>
      </w:r>
      <w:r w:rsidRPr="00517228">
        <w:rPr>
          <w:rFonts w:cs="Tahoma"/>
          <w:color w:val="000000"/>
          <w:szCs w:val="24"/>
        </w:rPr>
        <w:br/>
        <w:t>AFP demandada, con cargo a sus propios recursos y debidamente indexados,</w:t>
      </w:r>
      <w:r w:rsidRPr="00517228">
        <w:rPr>
          <w:rFonts w:cs="Tahoma"/>
          <w:color w:val="000000"/>
          <w:szCs w:val="24"/>
        </w:rPr>
        <w:br/>
        <w:t xml:space="preserve">durante el periodo en que estuvo afiliada la parte demandante en </w:t>
      </w:r>
      <w:r w:rsidR="001C1B52" w:rsidRPr="00517228">
        <w:rPr>
          <w:rFonts w:cs="Tahoma"/>
          <w:color w:val="000000"/>
          <w:szCs w:val="24"/>
        </w:rPr>
        <w:t>la</w:t>
      </w:r>
      <w:r w:rsidRPr="00517228">
        <w:rPr>
          <w:rFonts w:cs="Tahoma"/>
          <w:color w:val="000000"/>
          <w:szCs w:val="24"/>
        </w:rPr>
        <w:t xml:space="preserve"> entidad</w:t>
      </w:r>
      <w:r w:rsidR="001C1B52" w:rsidRPr="00517228">
        <w:rPr>
          <w:rFonts w:cs="Tahoma"/>
          <w:color w:val="000000"/>
          <w:szCs w:val="24"/>
        </w:rPr>
        <w:t>.</w:t>
      </w:r>
    </w:p>
    <w:p w14:paraId="01934F18" w14:textId="77777777" w:rsidR="00CE5E7B" w:rsidRPr="00517228" w:rsidRDefault="00CE5E7B" w:rsidP="00517228">
      <w:pPr>
        <w:pStyle w:val="Prrafodelista"/>
        <w:spacing w:line="276" w:lineRule="auto"/>
        <w:rPr>
          <w:rFonts w:cs="Tahoma"/>
          <w:color w:val="000000"/>
          <w:szCs w:val="24"/>
        </w:rPr>
      </w:pPr>
    </w:p>
    <w:p w14:paraId="150DA6D4" w14:textId="77777777" w:rsidR="00790DA9" w:rsidRPr="00517228" w:rsidRDefault="00790DA9" w:rsidP="00517228">
      <w:pPr>
        <w:pStyle w:val="Prrafodelista"/>
        <w:numPr>
          <w:ilvl w:val="0"/>
          <w:numId w:val="1"/>
        </w:numPr>
        <w:spacing w:line="276" w:lineRule="auto"/>
        <w:ind w:left="426" w:hanging="426"/>
        <w:jc w:val="center"/>
        <w:rPr>
          <w:rFonts w:cs="Tahoma"/>
          <w:b/>
          <w:szCs w:val="24"/>
        </w:rPr>
      </w:pPr>
      <w:r w:rsidRPr="00517228">
        <w:rPr>
          <w:rStyle w:val="normaltextrun"/>
          <w:rFonts w:cs="Tahoma"/>
          <w:b/>
          <w:szCs w:val="24"/>
        </w:rPr>
        <w:t>Consideraciones</w:t>
      </w:r>
    </w:p>
    <w:p w14:paraId="47C5D088" w14:textId="77777777" w:rsidR="00790DA9" w:rsidRPr="00517228" w:rsidRDefault="00790DA9" w:rsidP="00517228">
      <w:pPr>
        <w:widowControl w:val="0"/>
        <w:autoSpaceDE w:val="0"/>
        <w:autoSpaceDN w:val="0"/>
        <w:adjustRightInd w:val="0"/>
        <w:spacing w:line="276" w:lineRule="auto"/>
        <w:rPr>
          <w:rFonts w:cs="Tahoma"/>
          <w:b/>
          <w:szCs w:val="24"/>
        </w:rPr>
      </w:pPr>
    </w:p>
    <w:p w14:paraId="318620DB" w14:textId="65F0811D" w:rsidR="000F49C1" w:rsidRPr="00517228" w:rsidRDefault="000F49C1" w:rsidP="00517228">
      <w:pPr>
        <w:numPr>
          <w:ilvl w:val="1"/>
          <w:numId w:val="3"/>
        </w:numPr>
        <w:spacing w:line="276" w:lineRule="auto"/>
        <w:ind w:left="0" w:firstLine="0"/>
        <w:contextualSpacing/>
        <w:rPr>
          <w:rFonts w:eastAsia="Calibri" w:cs="Tahoma"/>
          <w:b/>
          <w:szCs w:val="24"/>
        </w:rPr>
      </w:pPr>
      <w:r w:rsidRPr="00517228">
        <w:rPr>
          <w:rFonts w:eastAsia="Calibri" w:cs="Tahoma"/>
          <w:b/>
          <w:szCs w:val="24"/>
        </w:rPr>
        <w:t>Presupuestos fácticos probados</w:t>
      </w:r>
    </w:p>
    <w:p w14:paraId="1E64F413" w14:textId="77777777" w:rsidR="000F49C1" w:rsidRPr="00517228" w:rsidRDefault="000F49C1" w:rsidP="00517228">
      <w:pPr>
        <w:spacing w:line="276" w:lineRule="auto"/>
        <w:ind w:firstLine="708"/>
        <w:rPr>
          <w:rFonts w:cs="Tahoma"/>
          <w:szCs w:val="24"/>
        </w:rPr>
      </w:pPr>
    </w:p>
    <w:p w14:paraId="491441A6" w14:textId="62870B99" w:rsidR="000F49C1" w:rsidRPr="00517228" w:rsidRDefault="000F49C1" w:rsidP="00517228">
      <w:pPr>
        <w:spacing w:line="276" w:lineRule="auto"/>
        <w:ind w:firstLine="708"/>
        <w:rPr>
          <w:rFonts w:cs="Tahoma"/>
          <w:szCs w:val="24"/>
        </w:rPr>
      </w:pPr>
      <w:r w:rsidRPr="00517228">
        <w:rPr>
          <w:rFonts w:cs="Tahoma"/>
          <w:szCs w:val="24"/>
        </w:rPr>
        <w:t>No existe discusión alguna en el presente asunto respecto de los siguientes hechos:</w:t>
      </w:r>
      <w:r w:rsidR="00BB0943" w:rsidRPr="00517228">
        <w:rPr>
          <w:rFonts w:cs="Tahoma"/>
          <w:szCs w:val="24"/>
        </w:rPr>
        <w:t xml:space="preserve">  </w:t>
      </w:r>
      <w:r w:rsidR="00BB0943" w:rsidRPr="00517228">
        <w:rPr>
          <w:rFonts w:cs="Tahoma"/>
          <w:i/>
          <w:iCs/>
          <w:szCs w:val="24"/>
        </w:rPr>
        <w:t xml:space="preserve">i) </w:t>
      </w:r>
      <w:r w:rsidRPr="00517228">
        <w:rPr>
          <w:rFonts w:cs="Tahoma"/>
          <w:szCs w:val="24"/>
        </w:rPr>
        <w:t>Que el señor</w:t>
      </w:r>
      <w:r w:rsidR="001C1B52" w:rsidRPr="00517228">
        <w:rPr>
          <w:rFonts w:cs="Tahoma"/>
          <w:szCs w:val="24"/>
        </w:rPr>
        <w:t xml:space="preserve">a </w:t>
      </w:r>
      <w:r w:rsidR="009F05B2" w:rsidRPr="00517228">
        <w:rPr>
          <w:rFonts w:cs="Tahoma"/>
          <w:szCs w:val="24"/>
        </w:rPr>
        <w:t>María</w:t>
      </w:r>
      <w:r w:rsidR="001C1B52" w:rsidRPr="00517228">
        <w:rPr>
          <w:rFonts w:cs="Tahoma"/>
          <w:szCs w:val="24"/>
        </w:rPr>
        <w:t xml:space="preserve"> Graciela Arias</w:t>
      </w:r>
      <w:r w:rsidRPr="00517228">
        <w:rPr>
          <w:rFonts w:cs="Tahoma"/>
          <w:szCs w:val="24"/>
        </w:rPr>
        <w:t xml:space="preserve"> </w:t>
      </w:r>
      <w:r w:rsidR="001C1B52" w:rsidRPr="00517228">
        <w:rPr>
          <w:rFonts w:cs="Tahoma"/>
          <w:szCs w:val="24"/>
        </w:rPr>
        <w:t xml:space="preserve">se vinculó laboralmente el 7 de febrero de 1994 como vigilante en los supermercados de </w:t>
      </w:r>
      <w:proofErr w:type="spellStart"/>
      <w:r w:rsidR="009F05B2" w:rsidRPr="00517228">
        <w:rPr>
          <w:rFonts w:cs="Tahoma"/>
          <w:szCs w:val="24"/>
        </w:rPr>
        <w:t>Comfamiliar</w:t>
      </w:r>
      <w:proofErr w:type="spellEnd"/>
      <w:r w:rsidR="001C1B52" w:rsidRPr="00517228">
        <w:rPr>
          <w:rFonts w:cs="Tahoma"/>
          <w:szCs w:val="24"/>
        </w:rPr>
        <w:t xml:space="preserve"> Risaralda</w:t>
      </w:r>
      <w:r w:rsidR="00BB0943" w:rsidRPr="00517228">
        <w:rPr>
          <w:rFonts w:cs="Tahoma"/>
          <w:szCs w:val="24"/>
        </w:rPr>
        <w:t xml:space="preserve">; </w:t>
      </w:r>
      <w:proofErr w:type="spellStart"/>
      <w:r w:rsidR="00BB0943" w:rsidRPr="00517228">
        <w:rPr>
          <w:rFonts w:cs="Tahoma"/>
          <w:i/>
          <w:iCs/>
          <w:szCs w:val="24"/>
        </w:rPr>
        <w:t>ii</w:t>
      </w:r>
      <w:proofErr w:type="spellEnd"/>
      <w:r w:rsidR="00BB0943" w:rsidRPr="00517228">
        <w:rPr>
          <w:rFonts w:cs="Tahoma"/>
          <w:i/>
          <w:iCs/>
          <w:szCs w:val="24"/>
        </w:rPr>
        <w:t>)</w:t>
      </w:r>
      <w:r w:rsidR="00BB0943" w:rsidRPr="00517228">
        <w:rPr>
          <w:rFonts w:cs="Tahoma"/>
          <w:szCs w:val="24"/>
        </w:rPr>
        <w:t xml:space="preserve"> q</w:t>
      </w:r>
      <w:r w:rsidRPr="00517228">
        <w:rPr>
          <w:rFonts w:cs="Tahoma"/>
          <w:szCs w:val="24"/>
        </w:rPr>
        <w:t xml:space="preserve">ue </w:t>
      </w:r>
      <w:r w:rsidR="001C1B52" w:rsidRPr="00517228">
        <w:rPr>
          <w:rFonts w:cs="Tahoma"/>
          <w:szCs w:val="24"/>
        </w:rPr>
        <w:t>fue afiliada al Instituto de Seguros Sociales (hoy Colpensiones)</w:t>
      </w:r>
      <w:r w:rsidR="009206B1" w:rsidRPr="00517228">
        <w:rPr>
          <w:rFonts w:cs="Tahoma"/>
          <w:szCs w:val="24"/>
        </w:rPr>
        <w:t>,</w:t>
      </w:r>
      <w:r w:rsidR="001C1B52" w:rsidRPr="00517228">
        <w:rPr>
          <w:rFonts w:cs="Tahoma"/>
          <w:szCs w:val="24"/>
        </w:rPr>
        <w:t xml:space="preserve"> a partir de haber iniciado su contrato laboral</w:t>
      </w:r>
      <w:r w:rsidRPr="00517228">
        <w:rPr>
          <w:rFonts w:cs="Tahoma"/>
          <w:szCs w:val="24"/>
        </w:rPr>
        <w:t>.</w:t>
      </w:r>
      <w:r w:rsidR="00BB0943" w:rsidRPr="00517228">
        <w:rPr>
          <w:rFonts w:cs="Tahoma"/>
          <w:szCs w:val="24"/>
        </w:rPr>
        <w:t xml:space="preserve">; </w:t>
      </w:r>
      <w:proofErr w:type="spellStart"/>
      <w:r w:rsidR="00BB0943" w:rsidRPr="00517228">
        <w:rPr>
          <w:rFonts w:cs="Tahoma"/>
          <w:i/>
          <w:iCs/>
          <w:szCs w:val="24"/>
        </w:rPr>
        <w:t>iii</w:t>
      </w:r>
      <w:proofErr w:type="spellEnd"/>
      <w:r w:rsidR="00BB0943" w:rsidRPr="00517228">
        <w:rPr>
          <w:rFonts w:cs="Tahoma"/>
          <w:i/>
          <w:iCs/>
          <w:szCs w:val="24"/>
        </w:rPr>
        <w:t xml:space="preserve">) </w:t>
      </w:r>
      <w:r w:rsidR="00BB0943" w:rsidRPr="00517228">
        <w:rPr>
          <w:rFonts w:cs="Tahoma"/>
          <w:szCs w:val="24"/>
        </w:rPr>
        <w:t>q</w:t>
      </w:r>
      <w:r w:rsidRPr="00517228">
        <w:rPr>
          <w:rFonts w:cs="Tahoma"/>
          <w:szCs w:val="24"/>
        </w:rPr>
        <w:t xml:space="preserve">ue </w:t>
      </w:r>
      <w:r w:rsidR="001C1B52" w:rsidRPr="00517228">
        <w:rPr>
          <w:rFonts w:cs="Tahoma"/>
          <w:szCs w:val="24"/>
        </w:rPr>
        <w:t>el día 19 de octubre de 2004</w:t>
      </w:r>
      <w:r w:rsidR="009F05B2" w:rsidRPr="00517228">
        <w:rPr>
          <w:rFonts w:cs="Tahoma"/>
          <w:szCs w:val="24"/>
        </w:rPr>
        <w:t xml:space="preserve"> se trasladó </w:t>
      </w:r>
      <w:r w:rsidR="001C1B52" w:rsidRPr="00517228">
        <w:rPr>
          <w:rFonts w:cs="Tahoma"/>
          <w:szCs w:val="24"/>
        </w:rPr>
        <w:t>a Porvenir S.A.</w:t>
      </w:r>
      <w:r w:rsidR="00BB0943" w:rsidRPr="00517228">
        <w:rPr>
          <w:rFonts w:cs="Tahoma"/>
          <w:szCs w:val="24"/>
        </w:rPr>
        <w:t xml:space="preserve">; </w:t>
      </w:r>
      <w:proofErr w:type="spellStart"/>
      <w:r w:rsidR="00BB0943" w:rsidRPr="00517228">
        <w:rPr>
          <w:rFonts w:cs="Tahoma"/>
          <w:i/>
          <w:iCs/>
          <w:szCs w:val="24"/>
        </w:rPr>
        <w:t>iv</w:t>
      </w:r>
      <w:proofErr w:type="spellEnd"/>
      <w:r w:rsidR="00BB0943" w:rsidRPr="00517228">
        <w:rPr>
          <w:rFonts w:cs="Tahoma"/>
          <w:i/>
          <w:iCs/>
          <w:szCs w:val="24"/>
        </w:rPr>
        <w:t xml:space="preserve">) </w:t>
      </w:r>
      <w:r w:rsidR="00BB0943" w:rsidRPr="00517228">
        <w:rPr>
          <w:rFonts w:cs="Tahoma"/>
          <w:szCs w:val="24"/>
        </w:rPr>
        <w:t>q</w:t>
      </w:r>
      <w:r w:rsidRPr="00517228">
        <w:rPr>
          <w:rFonts w:cs="Tahoma"/>
          <w:szCs w:val="24"/>
        </w:rPr>
        <w:t xml:space="preserve">ue </w:t>
      </w:r>
      <w:r w:rsidR="008C4964" w:rsidRPr="00517228">
        <w:rPr>
          <w:rFonts w:cs="Tahoma"/>
          <w:szCs w:val="24"/>
        </w:rPr>
        <w:t>s</w:t>
      </w:r>
      <w:r w:rsidR="009206B1" w:rsidRPr="00517228">
        <w:rPr>
          <w:rFonts w:cs="Tahoma"/>
          <w:szCs w:val="24"/>
        </w:rPr>
        <w:t>e enviaron derechos de petición a Colpensiones y Porvenir, siendo las respuestas infructuosas.</w:t>
      </w:r>
    </w:p>
    <w:p w14:paraId="569625ED" w14:textId="77777777" w:rsidR="000F49C1" w:rsidRPr="00517228" w:rsidRDefault="000F49C1" w:rsidP="00517228">
      <w:pPr>
        <w:spacing w:line="276" w:lineRule="auto"/>
        <w:contextualSpacing/>
        <w:rPr>
          <w:rFonts w:eastAsia="Calibri" w:cs="Tahoma"/>
          <w:b/>
          <w:szCs w:val="24"/>
        </w:rPr>
      </w:pPr>
    </w:p>
    <w:p w14:paraId="6625C456" w14:textId="77777777" w:rsidR="001878AE" w:rsidRPr="00517228" w:rsidRDefault="001878AE" w:rsidP="00517228">
      <w:pPr>
        <w:numPr>
          <w:ilvl w:val="1"/>
          <w:numId w:val="3"/>
        </w:numPr>
        <w:spacing w:line="276" w:lineRule="auto"/>
        <w:ind w:left="0" w:firstLine="0"/>
        <w:contextualSpacing/>
        <w:rPr>
          <w:rFonts w:eastAsia="Calibri" w:cs="Tahoma"/>
          <w:b/>
          <w:szCs w:val="24"/>
        </w:rPr>
      </w:pPr>
      <w:r w:rsidRPr="00517228">
        <w:rPr>
          <w:rFonts w:eastAsia="Calibri" w:cs="Tahoma"/>
          <w:b/>
          <w:szCs w:val="24"/>
        </w:rPr>
        <w:t xml:space="preserve">Precedente vertical: la tesis de la Corte Suprema de Justicia respecto al tema de la ineficacia del traslado constituye doctrina probable </w:t>
      </w:r>
    </w:p>
    <w:p w14:paraId="51EA1652" w14:textId="77777777" w:rsidR="001878AE" w:rsidRPr="00517228" w:rsidRDefault="001878AE" w:rsidP="00517228">
      <w:pPr>
        <w:shd w:val="clear" w:color="auto" w:fill="FFFFFF" w:themeFill="background1"/>
        <w:spacing w:line="276" w:lineRule="auto"/>
        <w:rPr>
          <w:rFonts w:cs="Tahoma"/>
          <w:szCs w:val="24"/>
        </w:rPr>
      </w:pPr>
    </w:p>
    <w:p w14:paraId="1C672407" w14:textId="77777777" w:rsidR="001878AE" w:rsidRPr="00517228" w:rsidRDefault="001878AE" w:rsidP="00517228">
      <w:pPr>
        <w:spacing w:line="276" w:lineRule="auto"/>
        <w:ind w:firstLine="567"/>
        <w:rPr>
          <w:rFonts w:cs="Tahoma"/>
          <w:spacing w:val="-4"/>
          <w:szCs w:val="24"/>
        </w:rPr>
      </w:pPr>
      <w:r w:rsidRPr="00517228">
        <w:rPr>
          <w:rFonts w:cs="Tahoma"/>
          <w:szCs w:val="24"/>
        </w:rPr>
        <w:lastRenderedPageBreak/>
        <w:t xml:space="preserve">En la actualidad existe </w:t>
      </w:r>
      <w:r w:rsidRPr="00517228">
        <w:rPr>
          <w:rFonts w:cs="Tahoma"/>
          <w:b/>
          <w:szCs w:val="24"/>
        </w:rPr>
        <w:t>doctrina probable</w:t>
      </w:r>
      <w:r w:rsidRPr="00517228">
        <w:rPr>
          <w:rFonts w:cs="Tahoma"/>
          <w:szCs w:val="24"/>
        </w:rPr>
        <w:t xml:space="preserve"> respecto a la ineficacia de los traslados de regímenes, por cuanto la Sala de Casación Laboral ha proferido sobre el tema un número considerable de sentencias (más de 40), entre otras, las siguientes: </w:t>
      </w:r>
    </w:p>
    <w:p w14:paraId="3BDDEB06" w14:textId="77777777" w:rsidR="001878AE" w:rsidRPr="00517228" w:rsidRDefault="001878AE" w:rsidP="00517228">
      <w:pPr>
        <w:pStyle w:val="Prrafodelista"/>
        <w:shd w:val="clear" w:color="auto" w:fill="FFFFFF" w:themeFill="background1"/>
        <w:spacing w:line="276" w:lineRule="auto"/>
        <w:ind w:left="0" w:firstLine="709"/>
        <w:rPr>
          <w:rFonts w:cs="Tahoma"/>
          <w:szCs w:val="24"/>
        </w:rPr>
      </w:pPr>
    </w:p>
    <w:p w14:paraId="4B8E0DC9" w14:textId="77777777" w:rsidR="001878AE" w:rsidRPr="00517228" w:rsidRDefault="001878AE" w:rsidP="00517228">
      <w:pPr>
        <w:pStyle w:val="Prrafodelista"/>
        <w:shd w:val="clear" w:color="auto" w:fill="FFFFFF" w:themeFill="background1"/>
        <w:spacing w:line="276" w:lineRule="auto"/>
        <w:ind w:left="0" w:firstLine="709"/>
        <w:rPr>
          <w:rFonts w:cs="Tahoma"/>
          <w:szCs w:val="24"/>
        </w:rPr>
      </w:pPr>
      <w:r w:rsidRPr="00517228">
        <w:rPr>
          <w:rFonts w:cs="Tahoma"/>
          <w:bCs/>
          <w:szCs w:val="24"/>
        </w:rPr>
        <w:t xml:space="preserve">SL 31989 del 9 sep. 2008, </w:t>
      </w:r>
      <w:r w:rsidRPr="00517228">
        <w:rPr>
          <w:rFonts w:cs="Tahoma"/>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23B3B23C" w14:textId="77777777" w:rsidR="001878AE" w:rsidRPr="00517228" w:rsidRDefault="001878AE" w:rsidP="00517228">
      <w:pPr>
        <w:pStyle w:val="Prrafodelista"/>
        <w:shd w:val="clear" w:color="auto" w:fill="FFFFFF" w:themeFill="background1"/>
        <w:spacing w:line="276" w:lineRule="auto"/>
        <w:ind w:left="0" w:firstLine="709"/>
        <w:rPr>
          <w:rFonts w:cs="Tahoma"/>
          <w:szCs w:val="24"/>
        </w:rPr>
      </w:pPr>
    </w:p>
    <w:p w14:paraId="3FC975F3" w14:textId="77777777" w:rsidR="001878AE" w:rsidRPr="00517228" w:rsidRDefault="001878AE" w:rsidP="00517228">
      <w:pPr>
        <w:spacing w:line="276" w:lineRule="auto"/>
        <w:ind w:firstLine="567"/>
        <w:rPr>
          <w:rFonts w:cs="Tahoma"/>
          <w:spacing w:val="-4"/>
          <w:szCs w:val="24"/>
        </w:rPr>
      </w:pPr>
      <w:r w:rsidRPr="00517228">
        <w:rPr>
          <w:rFonts w:cs="Tahoma"/>
          <w:szCs w:val="24"/>
        </w:rPr>
        <w:t xml:space="preserve">En términos generales, en todas estas sentencias se determinó </w:t>
      </w:r>
      <w:r w:rsidRPr="00517228">
        <w:rPr>
          <w:rFonts w:cs="Tahoma"/>
          <w:i/>
          <w:szCs w:val="24"/>
        </w:rPr>
        <w:t xml:space="preserve">i) </w:t>
      </w:r>
      <w:r w:rsidRPr="00517228">
        <w:rPr>
          <w:rFonts w:cs="Tahoma"/>
          <w:szCs w:val="24"/>
        </w:rPr>
        <w:t xml:space="preserve">el alcance del deber de información a cargo de las Administradoras de Fondos de Pensiones, </w:t>
      </w:r>
      <w:proofErr w:type="spellStart"/>
      <w:r w:rsidRPr="00517228">
        <w:rPr>
          <w:rFonts w:cs="Tahoma"/>
          <w:i/>
          <w:szCs w:val="24"/>
        </w:rPr>
        <w:t>ii</w:t>
      </w:r>
      <w:proofErr w:type="spellEnd"/>
      <w:r w:rsidRPr="00517228">
        <w:rPr>
          <w:rFonts w:cs="Tahoma"/>
          <w:i/>
          <w:szCs w:val="24"/>
        </w:rPr>
        <w:t xml:space="preserve">) </w:t>
      </w:r>
      <w:r w:rsidRPr="00517228">
        <w:rPr>
          <w:rFonts w:cs="Tahoma"/>
          <w:szCs w:val="24"/>
        </w:rPr>
        <w:t xml:space="preserve">la procedencia de la ineficacia del traslado, </w:t>
      </w:r>
      <w:proofErr w:type="spellStart"/>
      <w:r w:rsidRPr="00517228">
        <w:rPr>
          <w:rFonts w:cs="Tahoma"/>
          <w:i/>
          <w:szCs w:val="24"/>
        </w:rPr>
        <w:t>iii</w:t>
      </w:r>
      <w:proofErr w:type="spellEnd"/>
      <w:r w:rsidRPr="00517228">
        <w:rPr>
          <w:rFonts w:cs="Tahoma"/>
          <w:i/>
          <w:szCs w:val="24"/>
        </w:rPr>
        <w:t xml:space="preserve">) </w:t>
      </w:r>
      <w:r w:rsidRPr="00517228">
        <w:rPr>
          <w:rFonts w:cs="Tahoma"/>
          <w:szCs w:val="24"/>
        </w:rPr>
        <w:t>la inversión de la carga de la prueba en favor del afiliado.</w:t>
      </w:r>
      <w:r w:rsidRPr="00517228">
        <w:rPr>
          <w:rFonts w:cs="Tahoma"/>
          <w:spacing w:val="-4"/>
          <w:szCs w:val="24"/>
        </w:rPr>
        <w:t xml:space="preserve"> Todos los problemas jurídicos planteados en este asunto fueron objeto de estudio por parte de la Sala de Casación Laboral, de modo que basta referirnos a su precedente para dar respuesta a los mismos, como veremos a continuación.</w:t>
      </w:r>
    </w:p>
    <w:p w14:paraId="2EBEB010" w14:textId="77777777" w:rsidR="001878AE" w:rsidRPr="00517228" w:rsidRDefault="001878AE" w:rsidP="00517228">
      <w:pPr>
        <w:pStyle w:val="Prrafodelista"/>
        <w:tabs>
          <w:tab w:val="left" w:pos="-720"/>
        </w:tabs>
        <w:suppressAutoHyphens/>
        <w:spacing w:line="276" w:lineRule="auto"/>
        <w:ind w:left="644"/>
        <w:rPr>
          <w:rFonts w:cs="Tahoma"/>
          <w:spacing w:val="-3"/>
          <w:kern w:val="2"/>
          <w:szCs w:val="24"/>
        </w:rPr>
      </w:pPr>
    </w:p>
    <w:p w14:paraId="647525E9" w14:textId="77777777" w:rsidR="001878AE" w:rsidRPr="00517228" w:rsidRDefault="001878AE" w:rsidP="00517228">
      <w:pPr>
        <w:numPr>
          <w:ilvl w:val="1"/>
          <w:numId w:val="3"/>
        </w:numPr>
        <w:spacing w:line="276" w:lineRule="auto"/>
        <w:ind w:left="0" w:firstLine="0"/>
        <w:contextualSpacing/>
        <w:rPr>
          <w:rFonts w:eastAsia="Calibri" w:cs="Tahoma"/>
          <w:b/>
          <w:szCs w:val="24"/>
        </w:rPr>
      </w:pPr>
      <w:r w:rsidRPr="00517228">
        <w:rPr>
          <w:rFonts w:eastAsia="Calibri" w:cs="Tahoma"/>
          <w:b/>
          <w:szCs w:val="24"/>
        </w:rPr>
        <w:t>“El deber de información a cargo de las administradoras de fondos de pensiones: Un deber exigible desde su creación</w:t>
      </w:r>
      <w:r w:rsidRPr="00517228">
        <w:rPr>
          <w:rFonts w:eastAsia="Calibri" w:cs="Tahoma"/>
          <w:szCs w:val="24"/>
          <w:vertAlign w:val="superscript"/>
        </w:rPr>
        <w:footnoteReference w:id="1"/>
      </w:r>
      <w:r w:rsidRPr="00517228">
        <w:rPr>
          <w:rFonts w:eastAsia="Calibri" w:cs="Tahoma"/>
          <w:b/>
          <w:szCs w:val="24"/>
        </w:rPr>
        <w:t>”</w:t>
      </w:r>
    </w:p>
    <w:p w14:paraId="7D3C3C26" w14:textId="77777777" w:rsidR="001878AE" w:rsidRPr="00517228" w:rsidRDefault="001878AE" w:rsidP="00517228">
      <w:pPr>
        <w:pStyle w:val="Prrafodelista"/>
        <w:tabs>
          <w:tab w:val="left" w:pos="-720"/>
        </w:tabs>
        <w:suppressAutoHyphens/>
        <w:spacing w:line="276" w:lineRule="auto"/>
        <w:ind w:left="644"/>
        <w:rPr>
          <w:rFonts w:cs="Tahoma"/>
          <w:i/>
          <w:spacing w:val="-3"/>
          <w:kern w:val="2"/>
          <w:szCs w:val="24"/>
        </w:rPr>
      </w:pPr>
    </w:p>
    <w:p w14:paraId="0ADC7C36" w14:textId="77777777" w:rsidR="001878AE" w:rsidRPr="00517228" w:rsidRDefault="001878AE" w:rsidP="00517228">
      <w:pPr>
        <w:spacing w:line="276" w:lineRule="auto"/>
        <w:ind w:firstLine="567"/>
        <w:rPr>
          <w:rFonts w:cs="Tahoma"/>
          <w:spacing w:val="-3"/>
          <w:kern w:val="2"/>
          <w:szCs w:val="24"/>
        </w:rPr>
      </w:pPr>
      <w:r w:rsidRPr="00517228">
        <w:rPr>
          <w:rFonts w:cs="Tahoma"/>
          <w:spacing w:val="-3"/>
          <w:kern w:val="2"/>
          <w:szCs w:val="24"/>
        </w:rPr>
        <w:t xml:space="preserve">Dado que las Administradoras de </w:t>
      </w:r>
      <w:r w:rsidRPr="00517228">
        <w:rPr>
          <w:rFonts w:cs="Tahoma"/>
          <w:szCs w:val="24"/>
        </w:rPr>
        <w:t>Fondos</w:t>
      </w:r>
      <w:r w:rsidRPr="00517228">
        <w:rPr>
          <w:rFonts w:cs="Tahoma"/>
          <w:spacing w:val="-3"/>
          <w:kern w:val="2"/>
          <w:szCs w:val="24"/>
        </w:rPr>
        <w:t xml:space="preserve"> de Pensiones son organismos profesionales, resulta aplicable el artículo 1604 del Código Civil, según el cual la prueba de la </w:t>
      </w:r>
      <w:r w:rsidRPr="00517228">
        <w:rPr>
          <w:rFonts w:cs="Tahoma"/>
          <w:spacing w:val="-3"/>
          <w:kern w:val="2"/>
          <w:szCs w:val="24"/>
          <w:u w:val="single"/>
        </w:rPr>
        <w:t>debida diligencia y cuidado</w:t>
      </w:r>
      <w:r w:rsidRPr="00517228">
        <w:rPr>
          <w:rFonts w:cs="Tahoma"/>
          <w:spacing w:val="-3"/>
          <w:kern w:val="2"/>
          <w:szCs w:val="24"/>
        </w:rPr>
        <w:t xml:space="preserve"> incumbe a quien ha debido emplearla, atendiendo a las siguientes razones:</w:t>
      </w:r>
    </w:p>
    <w:p w14:paraId="4795E794" w14:textId="77777777" w:rsidR="001878AE" w:rsidRPr="00517228" w:rsidRDefault="001878AE" w:rsidP="00517228">
      <w:pPr>
        <w:pStyle w:val="Prrafodelista"/>
        <w:tabs>
          <w:tab w:val="left" w:pos="-720"/>
        </w:tabs>
        <w:suppressAutoHyphens/>
        <w:spacing w:line="276" w:lineRule="auto"/>
        <w:ind w:left="644"/>
        <w:rPr>
          <w:rFonts w:cs="Tahoma"/>
          <w:b/>
          <w:spacing w:val="-3"/>
          <w:kern w:val="2"/>
          <w:szCs w:val="24"/>
        </w:rPr>
      </w:pPr>
    </w:p>
    <w:p w14:paraId="5CE1E8F0" w14:textId="77777777" w:rsidR="001878AE" w:rsidRPr="00517228" w:rsidRDefault="001878AE" w:rsidP="00517228">
      <w:pPr>
        <w:pStyle w:val="Prrafodelista"/>
        <w:tabs>
          <w:tab w:val="left" w:pos="-720"/>
        </w:tabs>
        <w:suppressAutoHyphens/>
        <w:spacing w:line="276" w:lineRule="auto"/>
        <w:ind w:left="0" w:firstLine="709"/>
        <w:rPr>
          <w:rFonts w:cs="Tahoma"/>
          <w:spacing w:val="-3"/>
          <w:kern w:val="2"/>
          <w:szCs w:val="24"/>
        </w:rPr>
      </w:pPr>
      <w:r w:rsidRPr="00517228">
        <w:rPr>
          <w:rFonts w:cs="Tahoma"/>
          <w:b/>
          <w:spacing w:val="-3"/>
          <w:kern w:val="2"/>
          <w:szCs w:val="24"/>
        </w:rPr>
        <w:t>1)</w:t>
      </w:r>
      <w:r w:rsidRPr="00517228">
        <w:rPr>
          <w:rFonts w:cs="Tahoma"/>
          <w:spacing w:val="-3"/>
          <w:kern w:val="2"/>
          <w:szCs w:val="24"/>
        </w:rPr>
        <w:t xml:space="preserve"> Las Administradoras de Fondos de Pensiones tienen deberes de carácter profesional con sus afiliados y con los consumidores del mercado potencial en general. Además, sus actividades se encuentran reguladas por el </w:t>
      </w:r>
      <w:r w:rsidRPr="00517228">
        <w:rPr>
          <w:rFonts w:cs="Tahoma"/>
          <w:spacing w:val="-3"/>
          <w:kern w:val="2"/>
          <w:szCs w:val="24"/>
          <w:u w:val="single"/>
        </w:rPr>
        <w:t>Decreto 663 de 1993</w:t>
      </w:r>
      <w:r w:rsidRPr="00517228">
        <w:rPr>
          <w:rStyle w:val="Refdenotaalpie"/>
          <w:rFonts w:cs="Tahoma"/>
          <w:spacing w:val="-3"/>
          <w:kern w:val="2"/>
          <w:szCs w:val="24"/>
          <w:u w:val="single"/>
        </w:rPr>
        <w:footnoteReference w:id="2"/>
      </w:r>
      <w:r w:rsidRPr="00517228">
        <w:rPr>
          <w:rFonts w:cs="Tahoma"/>
          <w:spacing w:val="-3"/>
          <w:kern w:val="2"/>
          <w:szCs w:val="24"/>
        </w:rPr>
        <w:t>, norma en la que se destaca la importancia de los principios de debida diligencia, transparencia e información cierta, suficiente y oportuna.</w:t>
      </w:r>
    </w:p>
    <w:p w14:paraId="61B226A9" w14:textId="77777777" w:rsidR="001878AE" w:rsidRPr="00517228" w:rsidRDefault="001878AE" w:rsidP="00517228">
      <w:pPr>
        <w:pStyle w:val="Prrafodelista"/>
        <w:tabs>
          <w:tab w:val="left" w:pos="-720"/>
        </w:tabs>
        <w:suppressAutoHyphens/>
        <w:spacing w:line="276" w:lineRule="auto"/>
        <w:ind w:left="0" w:firstLine="709"/>
        <w:rPr>
          <w:rFonts w:cs="Tahoma"/>
          <w:spacing w:val="-3"/>
          <w:kern w:val="2"/>
          <w:szCs w:val="24"/>
        </w:rPr>
      </w:pPr>
    </w:p>
    <w:p w14:paraId="0A821BAE" w14:textId="77777777" w:rsidR="001878AE" w:rsidRPr="00517228" w:rsidRDefault="001878AE" w:rsidP="00517228">
      <w:pPr>
        <w:pStyle w:val="Prrafodelista"/>
        <w:tabs>
          <w:tab w:val="left" w:pos="-720"/>
        </w:tabs>
        <w:suppressAutoHyphens/>
        <w:spacing w:line="276" w:lineRule="auto"/>
        <w:ind w:left="0" w:firstLine="709"/>
        <w:rPr>
          <w:rFonts w:cs="Tahoma"/>
          <w:szCs w:val="24"/>
        </w:rPr>
      </w:pPr>
      <w:r w:rsidRPr="00517228">
        <w:rPr>
          <w:rFonts w:cs="Tahoma"/>
          <w:b/>
          <w:spacing w:val="-3"/>
          <w:kern w:val="2"/>
          <w:szCs w:val="24"/>
        </w:rPr>
        <w:t>2)</w:t>
      </w:r>
      <w:r w:rsidRPr="00517228">
        <w:rPr>
          <w:rFonts w:cs="Tahoma"/>
          <w:spacing w:val="-3"/>
          <w:kern w:val="2"/>
          <w:szCs w:val="24"/>
        </w:rPr>
        <w:t xml:space="preserve"> Adicionalmente, se tiene previsto en el artículo 12 del Decreto 720 de 1994, que lo</w:t>
      </w:r>
      <w:r w:rsidRPr="00517228">
        <w:rPr>
          <w:rFonts w:cs="Tahoma"/>
          <w:szCs w:val="24"/>
        </w:rPr>
        <w:t xml:space="preserve">s promotores que empleen las sociedades administradoras del sistema general de pensiones deberán suministrar </w:t>
      </w:r>
      <w:r w:rsidRPr="00517228">
        <w:rPr>
          <w:rFonts w:cs="Tahoma"/>
          <w:szCs w:val="24"/>
          <w:u w:val="single"/>
        </w:rPr>
        <w:t>suficiente, amplia y oportuna</w:t>
      </w:r>
      <w:r w:rsidRPr="00517228">
        <w:rPr>
          <w:rFonts w:cs="Tahoma"/>
          <w:szCs w:val="24"/>
        </w:rPr>
        <w:t xml:space="preserve"> información a los posibles afiliados al momento de la promoción de la afiliación y durante toda la vinculación con ocasión de las prestaciones a las cuales tenga derecho el afiliado. </w:t>
      </w:r>
    </w:p>
    <w:p w14:paraId="3C6CA679" w14:textId="77777777" w:rsidR="001878AE" w:rsidRPr="00517228" w:rsidRDefault="001878AE" w:rsidP="00517228">
      <w:pPr>
        <w:pStyle w:val="Prrafodelista"/>
        <w:tabs>
          <w:tab w:val="left" w:pos="-720"/>
        </w:tabs>
        <w:suppressAutoHyphens/>
        <w:spacing w:line="276" w:lineRule="auto"/>
        <w:ind w:left="0" w:firstLine="709"/>
        <w:rPr>
          <w:rFonts w:cs="Tahoma"/>
          <w:spacing w:val="-3"/>
          <w:kern w:val="2"/>
          <w:szCs w:val="24"/>
        </w:rPr>
      </w:pPr>
    </w:p>
    <w:p w14:paraId="2F3B35A4" w14:textId="77777777" w:rsidR="001878AE" w:rsidRPr="00517228" w:rsidRDefault="001878AE" w:rsidP="00517228">
      <w:pPr>
        <w:pStyle w:val="Prrafodelista"/>
        <w:tabs>
          <w:tab w:val="left" w:pos="-720"/>
        </w:tabs>
        <w:suppressAutoHyphens/>
        <w:spacing w:line="276" w:lineRule="auto"/>
        <w:ind w:left="0" w:firstLine="709"/>
        <w:rPr>
          <w:rFonts w:cs="Tahoma"/>
          <w:spacing w:val="-3"/>
          <w:kern w:val="2"/>
          <w:szCs w:val="24"/>
        </w:rPr>
      </w:pPr>
      <w:r w:rsidRPr="00517228">
        <w:rPr>
          <w:rFonts w:cs="Tahoma"/>
          <w:b/>
          <w:spacing w:val="-3"/>
          <w:kern w:val="2"/>
          <w:szCs w:val="24"/>
        </w:rPr>
        <w:t>3)</w:t>
      </w:r>
      <w:r w:rsidRPr="00517228">
        <w:rPr>
          <w:rFonts w:cs="Tahoma"/>
          <w:spacing w:val="-3"/>
          <w:kern w:val="2"/>
          <w:szCs w:val="24"/>
        </w:rPr>
        <w:t xml:space="preserve">   Dispone el artículo 114 de la Ley 100 de 1993, que los trabajadores y servidores públicos que se trasladen por primera vez del RPM al RAIS deberán presentar </w:t>
      </w:r>
      <w:r w:rsidRPr="00517228">
        <w:rPr>
          <w:rFonts w:cs="Tahoma"/>
          <w:spacing w:val="-3"/>
          <w:kern w:val="2"/>
          <w:szCs w:val="24"/>
        </w:rPr>
        <w:lastRenderedPageBreak/>
        <w:t>a la respectiva entidad administradora comunicación escrita en la que conste que la selección de dicho régimen se ha tomado de manera libre, espontánea y sin presiones.</w:t>
      </w:r>
    </w:p>
    <w:p w14:paraId="0D85AB93" w14:textId="77777777" w:rsidR="001878AE" w:rsidRPr="00517228" w:rsidRDefault="001878AE" w:rsidP="00517228">
      <w:pPr>
        <w:pStyle w:val="Prrafodelista"/>
        <w:tabs>
          <w:tab w:val="left" w:pos="-720"/>
        </w:tabs>
        <w:suppressAutoHyphens/>
        <w:spacing w:line="276" w:lineRule="auto"/>
        <w:ind w:left="0" w:firstLine="709"/>
        <w:rPr>
          <w:rFonts w:cs="Tahoma"/>
          <w:spacing w:val="-3"/>
          <w:kern w:val="2"/>
          <w:szCs w:val="24"/>
        </w:rPr>
      </w:pPr>
    </w:p>
    <w:p w14:paraId="5C13D575" w14:textId="454417BD" w:rsidR="001878AE" w:rsidRPr="00517228" w:rsidRDefault="001878AE" w:rsidP="00517228">
      <w:pPr>
        <w:pStyle w:val="Prrafodelista"/>
        <w:tabs>
          <w:tab w:val="left" w:pos="-720"/>
        </w:tabs>
        <w:suppressAutoHyphens/>
        <w:spacing w:line="276" w:lineRule="auto"/>
        <w:ind w:left="0" w:firstLine="709"/>
        <w:rPr>
          <w:rFonts w:cs="Tahoma"/>
          <w:iCs/>
          <w:szCs w:val="24"/>
          <w:u w:val="single"/>
        </w:rPr>
      </w:pPr>
      <w:r w:rsidRPr="00517228">
        <w:rPr>
          <w:rFonts w:cs="Tahoma"/>
          <w:b/>
          <w:spacing w:val="-3"/>
          <w:kern w:val="2"/>
          <w:szCs w:val="24"/>
        </w:rPr>
        <w:t>4)</w:t>
      </w:r>
      <w:r w:rsidRPr="00517228">
        <w:rPr>
          <w:rFonts w:cs="Tahoma"/>
          <w:spacing w:val="-3"/>
          <w:kern w:val="2"/>
          <w:szCs w:val="24"/>
        </w:rPr>
        <w:t xml:space="preserve"> En numerosas sentencias del órgano de cierre de la jurisdicción ordinaria laboral, se ha establecido que no puede argüirse que </w:t>
      </w:r>
      <w:r w:rsidRPr="00517228">
        <w:rPr>
          <w:rFonts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517228">
        <w:rPr>
          <w:rFonts w:cs="Tahoma"/>
          <w:i/>
          <w:iCs/>
          <w:szCs w:val="24"/>
        </w:rPr>
        <w:t>“</w:t>
      </w:r>
      <w:r w:rsidRPr="00D757DB">
        <w:rPr>
          <w:rFonts w:cs="Tahoma"/>
          <w:i/>
          <w:iCs/>
          <w:sz w:val="22"/>
          <w:szCs w:val="24"/>
          <w:u w:val="single"/>
        </w:rPr>
        <w:t>dar cuenta de que documentaron clara y suficientemente los efectos que acarrea el cambio de régimen, so pena de declarar ineficaz ese tránsito</w:t>
      </w:r>
      <w:r w:rsidRPr="00517228">
        <w:rPr>
          <w:rFonts w:cs="Tahoma"/>
          <w:i/>
          <w:iCs/>
          <w:szCs w:val="24"/>
          <w:u w:val="single"/>
        </w:rPr>
        <w:t>”</w:t>
      </w:r>
      <w:r w:rsidRPr="00517228">
        <w:rPr>
          <w:rFonts w:cs="Tahoma"/>
          <w:iCs/>
          <w:szCs w:val="24"/>
          <w:u w:val="single"/>
        </w:rPr>
        <w:t>.</w:t>
      </w:r>
    </w:p>
    <w:p w14:paraId="7FF0C609" w14:textId="77777777" w:rsidR="001878AE" w:rsidRPr="00517228" w:rsidRDefault="001878AE" w:rsidP="00517228">
      <w:pPr>
        <w:pStyle w:val="Prrafodelista"/>
        <w:tabs>
          <w:tab w:val="left" w:pos="-720"/>
        </w:tabs>
        <w:suppressAutoHyphens/>
        <w:spacing w:line="276" w:lineRule="auto"/>
        <w:ind w:left="644"/>
        <w:rPr>
          <w:rFonts w:cs="Tahoma"/>
          <w:iCs/>
          <w:szCs w:val="24"/>
          <w:u w:val="single"/>
        </w:rPr>
      </w:pPr>
    </w:p>
    <w:p w14:paraId="52EA53FC" w14:textId="77777777" w:rsidR="001878AE" w:rsidRPr="00517228" w:rsidRDefault="001878AE" w:rsidP="00517228">
      <w:pPr>
        <w:spacing w:line="276" w:lineRule="auto"/>
        <w:ind w:firstLine="567"/>
        <w:rPr>
          <w:rFonts w:cs="Tahoma"/>
          <w:iCs/>
          <w:szCs w:val="24"/>
        </w:rPr>
      </w:pPr>
      <w:r w:rsidRPr="00517228">
        <w:rPr>
          <w:rFonts w:cs="Tahoma"/>
          <w:iCs/>
          <w:szCs w:val="24"/>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517228">
        <w:rPr>
          <w:rFonts w:cs="Tahoma"/>
          <w:szCs w:val="24"/>
        </w:rPr>
        <w:t>probatorios</w:t>
      </w:r>
      <w:r w:rsidRPr="00517228">
        <w:rPr>
          <w:rFonts w:cs="Tahoma"/>
          <w:iCs/>
          <w:szCs w:val="24"/>
        </w:rPr>
        <w:t xml:space="preserve"> a su alcance, que cumplió con el deber del buen consejo al transmitirle al afiliado toda aquella información que resultaba relevante para que tomara una decisión de tal trascendencia. </w:t>
      </w:r>
    </w:p>
    <w:p w14:paraId="02A4C92F" w14:textId="77777777" w:rsidR="001878AE" w:rsidRPr="00517228" w:rsidRDefault="001878AE" w:rsidP="00517228">
      <w:pPr>
        <w:pStyle w:val="Prrafodelista"/>
        <w:tabs>
          <w:tab w:val="left" w:pos="-720"/>
        </w:tabs>
        <w:suppressAutoHyphens/>
        <w:spacing w:line="276" w:lineRule="auto"/>
        <w:ind w:left="0"/>
        <w:rPr>
          <w:rFonts w:cs="Tahoma"/>
          <w:iCs/>
          <w:szCs w:val="24"/>
        </w:rPr>
      </w:pPr>
    </w:p>
    <w:p w14:paraId="06C6D35D" w14:textId="77777777" w:rsidR="001878AE" w:rsidRPr="00517228" w:rsidRDefault="001878AE" w:rsidP="00517228">
      <w:pPr>
        <w:spacing w:line="276" w:lineRule="auto"/>
        <w:ind w:firstLine="567"/>
        <w:rPr>
          <w:rFonts w:cs="Tahoma"/>
          <w:iCs/>
          <w:szCs w:val="24"/>
        </w:rPr>
      </w:pPr>
      <w:r w:rsidRPr="00517228">
        <w:rPr>
          <w:rFonts w:cs="Tahoma"/>
          <w:iCs/>
          <w:szCs w:val="24"/>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4A74E9D" w14:textId="77777777" w:rsidR="001878AE" w:rsidRPr="00517228" w:rsidRDefault="001878AE" w:rsidP="00517228">
      <w:pPr>
        <w:pStyle w:val="Prrafodelista"/>
        <w:tabs>
          <w:tab w:val="left" w:pos="-720"/>
        </w:tabs>
        <w:suppressAutoHyphens/>
        <w:spacing w:line="276" w:lineRule="auto"/>
        <w:ind w:left="0"/>
        <w:rPr>
          <w:rFonts w:cs="Tahoma"/>
          <w:iCs/>
          <w:szCs w:val="24"/>
        </w:rPr>
      </w:pPr>
    </w:p>
    <w:p w14:paraId="717F8D80" w14:textId="77777777" w:rsidR="001878AE" w:rsidRPr="00517228" w:rsidRDefault="001878AE" w:rsidP="00517228">
      <w:pPr>
        <w:spacing w:line="276" w:lineRule="auto"/>
        <w:ind w:firstLine="567"/>
        <w:rPr>
          <w:rFonts w:cs="Tahoma"/>
          <w:szCs w:val="24"/>
        </w:rPr>
      </w:pPr>
      <w:r w:rsidRPr="00517228">
        <w:rPr>
          <w:rFonts w:cs="Tahoma"/>
          <w:szCs w:val="24"/>
        </w:rPr>
        <w:t xml:space="preserve">Ello así, también ha dicho el órgano de cierre de la especialidad laboral, que las </w:t>
      </w:r>
      <w:proofErr w:type="spellStart"/>
      <w:r w:rsidRPr="00517228">
        <w:rPr>
          <w:rFonts w:cs="Tahoma"/>
          <w:szCs w:val="24"/>
        </w:rPr>
        <w:t>AFPs</w:t>
      </w:r>
      <w:proofErr w:type="spellEnd"/>
      <w:r w:rsidRPr="00517228">
        <w:rPr>
          <w:rFonts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5646C76" w14:textId="77777777" w:rsidR="001878AE" w:rsidRPr="00517228" w:rsidRDefault="001878AE" w:rsidP="00517228">
      <w:pPr>
        <w:pStyle w:val="Prrafodelista"/>
        <w:tabs>
          <w:tab w:val="left" w:pos="-720"/>
        </w:tabs>
        <w:suppressAutoHyphens/>
        <w:spacing w:line="276" w:lineRule="auto"/>
        <w:ind w:left="644"/>
        <w:rPr>
          <w:rFonts w:cs="Tahoma"/>
          <w:iCs/>
          <w:szCs w:val="24"/>
        </w:rPr>
      </w:pPr>
    </w:p>
    <w:p w14:paraId="38A1BDF7" w14:textId="77777777" w:rsidR="001878AE" w:rsidRPr="00517228" w:rsidRDefault="001878AE" w:rsidP="00517228">
      <w:pPr>
        <w:spacing w:line="276" w:lineRule="auto"/>
        <w:ind w:firstLine="567"/>
        <w:rPr>
          <w:rFonts w:cs="Tahoma"/>
          <w:szCs w:val="24"/>
        </w:rPr>
      </w:pPr>
      <w:r w:rsidRPr="00517228">
        <w:rPr>
          <w:rFonts w:cs="Tahoma"/>
          <w:szCs w:val="24"/>
        </w:rPr>
        <w:t xml:space="preserve">Ahora bien, respecto del deber de información en su inicio, vale la pena citar la sentencia del 8 de mayo de 2019 SL 1688-2019, Radicado 68838, con Ponencia de la Dra. Clara Cecilia Dueñas Quevedo, donde </w:t>
      </w:r>
      <w:r w:rsidRPr="00517228">
        <w:rPr>
          <w:rFonts w:cs="Tahoma"/>
          <w:spacing w:val="-4"/>
          <w:szCs w:val="24"/>
        </w:rPr>
        <w:t>se hace un didáctico recuento histórico de las normas que rigen la actividad de los Fondos de Pensiones privados, dividiéndolo en 3 etapas, de cuyo análisis se llega a la conclusión de que a las AFP</w:t>
      </w:r>
      <w:r w:rsidRPr="00517228">
        <w:rPr>
          <w:rFonts w:cs="Tahoma"/>
          <w:szCs w:val="24"/>
        </w:rPr>
        <w:t xml:space="preserve"> les compete, desde su creación, el deber de suministrar una información </w:t>
      </w:r>
      <w:r w:rsidRPr="00517228">
        <w:rPr>
          <w:rFonts w:cs="Tahoma"/>
          <w:b/>
          <w:szCs w:val="24"/>
        </w:rPr>
        <w:t xml:space="preserve">necesaria y transparente, </w:t>
      </w:r>
      <w:r w:rsidRPr="00517228">
        <w:rPr>
          <w:rFonts w:cs="Tahoma"/>
          <w:szCs w:val="24"/>
        </w:rPr>
        <w:t xml:space="preserve">que con el </w:t>
      </w:r>
      <w:r w:rsidRPr="00517228">
        <w:rPr>
          <w:rFonts w:cs="Tahoma"/>
          <w:spacing w:val="-4"/>
          <w:szCs w:val="24"/>
        </w:rPr>
        <w:t xml:space="preserve">transcurrir del tiempo esta exigencia cambió, pasando de un deber de información necesaria al de </w:t>
      </w:r>
      <w:r w:rsidRPr="00517228">
        <w:rPr>
          <w:rFonts w:cs="Tahoma"/>
          <w:b/>
          <w:spacing w:val="-4"/>
          <w:szCs w:val="24"/>
        </w:rPr>
        <w:t>asesoría y buen consejo</w:t>
      </w:r>
      <w:r w:rsidRPr="00517228">
        <w:rPr>
          <w:rFonts w:cs="Tahoma"/>
          <w:spacing w:val="-4"/>
          <w:szCs w:val="24"/>
        </w:rPr>
        <w:t xml:space="preserve">, y finalmente al de </w:t>
      </w:r>
      <w:r w:rsidRPr="00517228">
        <w:rPr>
          <w:rFonts w:cs="Tahoma"/>
          <w:b/>
          <w:spacing w:val="-4"/>
          <w:szCs w:val="24"/>
        </w:rPr>
        <w:t>doble asesoría</w:t>
      </w:r>
      <w:r w:rsidRPr="00517228">
        <w:rPr>
          <w:rFonts w:cs="Tahoma"/>
          <w:spacing w:val="-4"/>
          <w:szCs w:val="24"/>
        </w:rPr>
        <w:t xml:space="preserve">, </w:t>
      </w:r>
      <w:r w:rsidRPr="00517228">
        <w:rPr>
          <w:rFonts w:cs="Tahoma"/>
          <w:szCs w:val="24"/>
        </w:rPr>
        <w:t>explicando en qué consiste cada uno de esos conceptos. Dicho recuento histórico, se compendia de la siguiente manera:</w:t>
      </w:r>
    </w:p>
    <w:p w14:paraId="30017111" w14:textId="77777777" w:rsidR="001878AE" w:rsidRPr="00517228" w:rsidRDefault="001878AE" w:rsidP="00517228">
      <w:pPr>
        <w:pStyle w:val="Prrafodelista"/>
        <w:spacing w:line="276" w:lineRule="auto"/>
        <w:ind w:left="0" w:firstLine="708"/>
        <w:rPr>
          <w:rFonts w:cs="Tahoma"/>
          <w:szCs w:val="24"/>
        </w:rPr>
      </w:pPr>
    </w:p>
    <w:p w14:paraId="425B65D4" w14:textId="5748BCF4" w:rsidR="001878AE" w:rsidRDefault="001878AE" w:rsidP="00330A42">
      <w:pPr>
        <w:spacing w:line="240" w:lineRule="auto"/>
        <w:ind w:left="426" w:right="420" w:firstLine="1"/>
        <w:rPr>
          <w:rFonts w:cs="Tahoma"/>
          <w:i/>
          <w:spacing w:val="-4"/>
          <w:sz w:val="22"/>
          <w:szCs w:val="24"/>
        </w:rPr>
      </w:pPr>
      <w:r w:rsidRPr="00330A42">
        <w:rPr>
          <w:rFonts w:cs="Tahoma"/>
          <w:i/>
          <w:spacing w:val="-4"/>
          <w:sz w:val="22"/>
          <w:szCs w:val="24"/>
        </w:rPr>
        <w:lastRenderedPageBreak/>
        <w:t>“El anterior recuento sobre la evolución normativa del deber de información a cargo de las administradoras de pensiones podría, a grandes rasgos, sintetizarse así:</w:t>
      </w:r>
    </w:p>
    <w:p w14:paraId="1C85BA87" w14:textId="5151975F" w:rsidR="00786D47" w:rsidRDefault="00786D47" w:rsidP="00330A42">
      <w:pPr>
        <w:spacing w:line="240" w:lineRule="auto"/>
        <w:ind w:left="426" w:right="420" w:firstLine="1"/>
        <w:rPr>
          <w:rFonts w:cs="Tahoma"/>
          <w:i/>
          <w:spacing w:val="-4"/>
          <w:sz w:val="22"/>
          <w:szCs w:val="24"/>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786D47" w:rsidRPr="00786D47" w14:paraId="5FCD7443"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0D522A1"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b/>
                <w:bCs/>
                <w:i/>
                <w:iCs/>
                <w:sz w:val="20"/>
                <w:szCs w:val="24"/>
                <w:lang w:eastAsia="es-ES"/>
              </w:rPr>
              <w:t>Etapa acumulativa</w:t>
            </w:r>
            <w:r w:rsidRPr="00786D47">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B9E5A3E"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b/>
                <w:bCs/>
                <w:i/>
                <w:iCs/>
                <w:sz w:val="20"/>
                <w:szCs w:val="24"/>
                <w:lang w:eastAsia="es-ES"/>
              </w:rPr>
              <w:t>Normas que obligan a las administradoras de pensiones a dar información</w:t>
            </w:r>
            <w:r w:rsidRPr="00786D47">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4F901FA"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b/>
                <w:bCs/>
                <w:i/>
                <w:iCs/>
                <w:sz w:val="20"/>
                <w:szCs w:val="24"/>
                <w:lang w:eastAsia="es-ES"/>
              </w:rPr>
              <w:t>Contenido mínimo y alcance del deber de información</w:t>
            </w:r>
            <w:r w:rsidRPr="00786D47">
              <w:rPr>
                <w:rFonts w:eastAsia="Times New Roman" w:cs="Tahoma"/>
                <w:sz w:val="20"/>
                <w:szCs w:val="24"/>
                <w:lang w:val="es-ES" w:eastAsia="es-ES"/>
              </w:rPr>
              <w:t> </w:t>
            </w:r>
          </w:p>
        </w:tc>
      </w:tr>
      <w:tr w:rsidR="00786D47" w:rsidRPr="00786D47" w14:paraId="40B85770"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7F22121"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Deber de información </w:t>
            </w:r>
            <w:r w:rsidRPr="00786D47">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EEDD351"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Arts. 13 literal b), 271 y 272 de la Ley 100 de 1993</w:t>
            </w:r>
            <w:r w:rsidRPr="00786D47">
              <w:rPr>
                <w:rFonts w:eastAsia="Times New Roman" w:cs="Tahoma"/>
                <w:sz w:val="20"/>
                <w:szCs w:val="24"/>
                <w:lang w:val="es-ES" w:eastAsia="es-ES"/>
              </w:rPr>
              <w:t> </w:t>
            </w:r>
          </w:p>
          <w:p w14:paraId="14D0AC96"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val="es-ES" w:eastAsia="es-ES"/>
              </w:rPr>
              <w:t>Art. 97, numeral 1 del Decreto 663 de 1993, modificado por el artículo 23 de la Ley 797 de 2003</w:t>
            </w:r>
            <w:r w:rsidRPr="00786D47">
              <w:rPr>
                <w:rFonts w:eastAsia="Times New Roman" w:cs="Tahoma"/>
                <w:sz w:val="20"/>
                <w:szCs w:val="24"/>
                <w:lang w:val="es-ES" w:eastAsia="es-ES"/>
              </w:rPr>
              <w:t> </w:t>
            </w:r>
          </w:p>
          <w:p w14:paraId="2479A806"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val="es-ES" w:eastAsia="es-ES"/>
              </w:rPr>
              <w:t>Disposiciones constitucionales relativas al derecho a la información, no menoscabo de derechos laborales y autonomía personal</w:t>
            </w:r>
            <w:r w:rsidRPr="00786D47">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A2FA420"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786D47">
              <w:rPr>
                <w:rFonts w:eastAsia="Times New Roman" w:cs="Tahoma"/>
                <w:sz w:val="20"/>
                <w:szCs w:val="24"/>
                <w:lang w:val="es-ES" w:eastAsia="es-ES"/>
              </w:rPr>
              <w:t> </w:t>
            </w:r>
          </w:p>
        </w:tc>
      </w:tr>
      <w:tr w:rsidR="00786D47" w:rsidRPr="00786D47" w14:paraId="660D80A3"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AFF282B"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Deber de información, asesoría y buen consejo</w:t>
            </w:r>
            <w:r w:rsidRPr="00786D47">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9B4FA93"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Artículo 3, literal c) de la Ley 1328 de 2009</w:t>
            </w:r>
            <w:r w:rsidRPr="00786D47">
              <w:rPr>
                <w:rFonts w:eastAsia="Times New Roman" w:cs="Tahoma"/>
                <w:sz w:val="20"/>
                <w:szCs w:val="24"/>
                <w:lang w:val="es-ES" w:eastAsia="es-ES"/>
              </w:rPr>
              <w:t> </w:t>
            </w:r>
          </w:p>
          <w:p w14:paraId="1EFDA41C"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Decreto 2241 de 2010</w:t>
            </w:r>
            <w:r w:rsidRPr="00786D47">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38D7D53"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 xml:space="preserve">Implica el análisis previo, calificado y </w:t>
            </w:r>
            <w:proofErr w:type="gramStart"/>
            <w:r w:rsidRPr="00786D47">
              <w:rPr>
                <w:rFonts w:eastAsia="Times New Roman" w:cs="Tahoma"/>
                <w:i/>
                <w:iCs/>
                <w:sz w:val="20"/>
                <w:szCs w:val="24"/>
                <w:lang w:eastAsia="es-ES"/>
              </w:rPr>
              <w:t>global  de</w:t>
            </w:r>
            <w:proofErr w:type="gramEnd"/>
            <w:r w:rsidRPr="00786D47">
              <w:rPr>
                <w:rFonts w:eastAsia="Times New Roman"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786D47">
              <w:rPr>
                <w:rFonts w:eastAsia="Times New Roman" w:cs="Tahoma"/>
                <w:sz w:val="20"/>
                <w:szCs w:val="24"/>
                <w:lang w:val="es-ES" w:eastAsia="es-ES"/>
              </w:rPr>
              <w:t> </w:t>
            </w:r>
          </w:p>
        </w:tc>
      </w:tr>
      <w:tr w:rsidR="00786D47" w:rsidRPr="00786D47" w14:paraId="14157B42"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F0CE2DB"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Deber de información, asesoría, buen consejo y doble asesoría. </w:t>
            </w:r>
            <w:r w:rsidRPr="00786D47">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C67A5C8"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Ley 1748 de 2014</w:t>
            </w:r>
            <w:r w:rsidRPr="00786D47">
              <w:rPr>
                <w:rFonts w:eastAsia="Times New Roman" w:cs="Tahoma"/>
                <w:sz w:val="20"/>
                <w:szCs w:val="24"/>
                <w:lang w:val="es-ES" w:eastAsia="es-ES"/>
              </w:rPr>
              <w:t> </w:t>
            </w:r>
          </w:p>
          <w:p w14:paraId="4F4FA24D"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Artículo 3 del Decreto 2071 de 2015</w:t>
            </w:r>
            <w:r w:rsidRPr="00786D47">
              <w:rPr>
                <w:rFonts w:eastAsia="Times New Roman" w:cs="Tahoma"/>
                <w:sz w:val="20"/>
                <w:szCs w:val="24"/>
                <w:lang w:val="es-ES" w:eastAsia="es-ES"/>
              </w:rPr>
              <w:t> </w:t>
            </w:r>
          </w:p>
          <w:p w14:paraId="3D124A1A"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Circular Externa n. 016 de 2016</w:t>
            </w:r>
            <w:r w:rsidRPr="00786D47">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1B19107" w14:textId="77777777" w:rsidR="00786D47" w:rsidRPr="00786D47" w:rsidRDefault="00786D47" w:rsidP="00786D47">
            <w:pPr>
              <w:spacing w:line="276" w:lineRule="auto"/>
              <w:textAlignment w:val="baseline"/>
              <w:rPr>
                <w:rFonts w:eastAsia="Times New Roman" w:cs="Tahoma"/>
                <w:sz w:val="20"/>
                <w:szCs w:val="24"/>
                <w:lang w:val="es-ES" w:eastAsia="es-ES"/>
              </w:rPr>
            </w:pPr>
            <w:r w:rsidRPr="00786D47">
              <w:rPr>
                <w:rFonts w:eastAsia="Times New Roman" w:cs="Tahoma"/>
                <w:i/>
                <w:iCs/>
                <w:sz w:val="20"/>
                <w:szCs w:val="24"/>
                <w:lang w:eastAsia="es-ES"/>
              </w:rPr>
              <w:t>Junto con lo anterior, lleva inmerso el derecho a obtener asesoría de los representantes de ambos regímenes pensionales.</w:t>
            </w:r>
            <w:r w:rsidRPr="00786D47">
              <w:rPr>
                <w:rFonts w:eastAsia="Times New Roman" w:cs="Tahoma"/>
                <w:sz w:val="20"/>
                <w:szCs w:val="24"/>
                <w:lang w:val="es-ES" w:eastAsia="es-ES"/>
              </w:rPr>
              <w:t> </w:t>
            </w:r>
          </w:p>
        </w:tc>
      </w:tr>
    </w:tbl>
    <w:p w14:paraId="4228F88B" w14:textId="38D3CEF4" w:rsidR="00786D47" w:rsidRDefault="00786D47" w:rsidP="00330A42">
      <w:pPr>
        <w:spacing w:line="240" w:lineRule="auto"/>
        <w:ind w:left="426" w:right="420" w:firstLine="1"/>
        <w:rPr>
          <w:rFonts w:cs="Tahoma"/>
          <w:i/>
          <w:spacing w:val="-4"/>
          <w:sz w:val="22"/>
          <w:szCs w:val="24"/>
        </w:rPr>
      </w:pPr>
    </w:p>
    <w:p w14:paraId="30B7340B" w14:textId="7F5455D2" w:rsidR="00786D47" w:rsidRDefault="00786D47" w:rsidP="00330A42">
      <w:pPr>
        <w:spacing w:line="240" w:lineRule="auto"/>
        <w:ind w:left="426" w:right="420" w:firstLine="1"/>
        <w:rPr>
          <w:rFonts w:cs="Tahoma"/>
          <w:i/>
          <w:spacing w:val="-4"/>
          <w:sz w:val="22"/>
          <w:szCs w:val="24"/>
        </w:rPr>
      </w:pPr>
    </w:p>
    <w:p w14:paraId="56772875" w14:textId="77777777" w:rsidR="0003790B" w:rsidRPr="0003790B" w:rsidRDefault="0003790B" w:rsidP="0003790B">
      <w:pPr>
        <w:spacing w:line="240" w:lineRule="auto"/>
        <w:ind w:left="426" w:right="420" w:firstLine="709"/>
        <w:rPr>
          <w:rFonts w:eastAsia="Calibri" w:cs="Tahoma"/>
          <w:b/>
          <w:i/>
          <w:sz w:val="22"/>
          <w:szCs w:val="24"/>
        </w:rPr>
      </w:pPr>
      <w:r w:rsidRPr="0003790B">
        <w:rPr>
          <w:rFonts w:eastAsia="Calibri" w:cs="Tahoma"/>
          <w:b/>
          <w:i/>
          <w:sz w:val="22"/>
          <w:szCs w:val="24"/>
        </w:rPr>
        <w:t>1.4 Conclusión: La constatación del deber de información es ineludible</w:t>
      </w:r>
    </w:p>
    <w:p w14:paraId="345803E5" w14:textId="77777777" w:rsidR="0003790B" w:rsidRPr="0003790B" w:rsidRDefault="0003790B" w:rsidP="0003790B">
      <w:pPr>
        <w:spacing w:line="240" w:lineRule="auto"/>
        <w:ind w:left="426" w:right="420" w:firstLine="709"/>
        <w:rPr>
          <w:rFonts w:eastAsia="Calibri" w:cs="Tahoma"/>
          <w:b/>
          <w:i/>
          <w:sz w:val="22"/>
          <w:szCs w:val="24"/>
        </w:rPr>
      </w:pPr>
    </w:p>
    <w:p w14:paraId="2F9A378B" w14:textId="77777777" w:rsidR="0003790B" w:rsidRPr="0003790B" w:rsidRDefault="0003790B" w:rsidP="0003790B">
      <w:pPr>
        <w:spacing w:line="240" w:lineRule="auto"/>
        <w:ind w:left="426" w:right="420" w:firstLine="1"/>
        <w:rPr>
          <w:rFonts w:eastAsia="Calibri" w:cs="Tahoma"/>
          <w:i/>
          <w:sz w:val="22"/>
          <w:szCs w:val="24"/>
        </w:rPr>
      </w:pPr>
      <w:r w:rsidRPr="0003790B">
        <w:rPr>
          <w:rFonts w:eastAsia="Calibri" w:cs="Tahoma"/>
          <w:i/>
          <w:sz w:val="22"/>
          <w:szCs w:val="24"/>
        </w:rPr>
        <w:t xml:space="preserve">Según se pudo advertir del anterior recuento, </w:t>
      </w:r>
      <w:r w:rsidRPr="0003790B">
        <w:rPr>
          <w:rFonts w:eastAsia="Calibri" w:cs="Tahoma"/>
          <w:b/>
          <w:i/>
          <w:sz w:val="22"/>
          <w:szCs w:val="24"/>
        </w:rPr>
        <w:t>las AFP, desde su creación, tenían el deber de brindar información a los afiliados o usuarios del sistema pensional a fin de que estos pudiesen adoptar una decisión consciente y realmente libre sobre su futuro pensional.</w:t>
      </w:r>
      <w:r w:rsidRPr="0003790B">
        <w:rPr>
          <w:rFonts w:eastAsia="Calibri" w:cs="Tahoma"/>
          <w:i/>
          <w:sz w:val="22"/>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A5190AF" w14:textId="77777777" w:rsidR="0003790B" w:rsidRPr="0003790B" w:rsidRDefault="0003790B" w:rsidP="0003790B">
      <w:pPr>
        <w:spacing w:line="240" w:lineRule="auto"/>
        <w:ind w:left="426" w:right="420" w:firstLine="1"/>
        <w:rPr>
          <w:rFonts w:eastAsia="Calibri" w:cs="Tahoma"/>
          <w:i/>
          <w:sz w:val="22"/>
          <w:szCs w:val="24"/>
        </w:rPr>
      </w:pPr>
    </w:p>
    <w:p w14:paraId="36286477" w14:textId="77777777" w:rsidR="0003790B" w:rsidRPr="0003790B" w:rsidRDefault="0003790B" w:rsidP="0003790B">
      <w:pPr>
        <w:spacing w:line="240" w:lineRule="auto"/>
        <w:ind w:left="426" w:right="420"/>
        <w:rPr>
          <w:rFonts w:eastAsia="Calibri" w:cs="Tahoma"/>
          <w:i/>
          <w:sz w:val="22"/>
          <w:szCs w:val="24"/>
        </w:rPr>
      </w:pPr>
      <w:r w:rsidRPr="0003790B">
        <w:rPr>
          <w:rFonts w:eastAsia="Calibri" w:cs="Tahoma"/>
          <w:i/>
          <w:sz w:val="22"/>
          <w:szCs w:val="24"/>
        </w:rPr>
        <w:t xml:space="preserve">Así las cosas, el Tribunal cometió un primer error al concluir que la responsabilidad por el incumplimiento o entrega de información deficitaria surgió con el </w:t>
      </w:r>
      <w:r w:rsidRPr="0003790B">
        <w:rPr>
          <w:rFonts w:eastAsia="Calibri" w:cs="Tahoma"/>
          <w:i/>
          <w:sz w:val="22"/>
          <w:szCs w:val="24"/>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03790B">
        <w:rPr>
          <w:rFonts w:eastAsia="Calibri" w:cs="Tahoma"/>
          <w:i/>
          <w:sz w:val="22"/>
          <w:szCs w:val="24"/>
        </w:rPr>
        <w:t xml:space="preserve">  </w:t>
      </w:r>
    </w:p>
    <w:p w14:paraId="46A2E95E" w14:textId="77777777" w:rsidR="0003790B" w:rsidRPr="0003790B" w:rsidRDefault="0003790B" w:rsidP="0003790B">
      <w:pPr>
        <w:spacing w:line="240" w:lineRule="auto"/>
        <w:ind w:left="426" w:right="420" w:firstLine="709"/>
        <w:rPr>
          <w:rFonts w:eastAsia="Calibri" w:cs="Tahoma"/>
          <w:i/>
          <w:sz w:val="22"/>
          <w:szCs w:val="24"/>
        </w:rPr>
      </w:pPr>
    </w:p>
    <w:p w14:paraId="72DFA791" w14:textId="77777777" w:rsidR="0003790B" w:rsidRPr="0003790B" w:rsidRDefault="0003790B" w:rsidP="0003790B">
      <w:pPr>
        <w:spacing w:line="240" w:lineRule="auto"/>
        <w:ind w:left="426" w:right="420"/>
        <w:rPr>
          <w:rFonts w:eastAsia="Calibri" w:cs="Tahoma"/>
          <w:i/>
          <w:sz w:val="22"/>
          <w:szCs w:val="24"/>
        </w:rPr>
      </w:pPr>
      <w:r w:rsidRPr="0003790B">
        <w:rPr>
          <w:rFonts w:eastAsia="Calibri" w:cs="Tahoma"/>
          <w:i/>
          <w:sz w:val="22"/>
          <w:szCs w:val="24"/>
        </w:rPr>
        <w:t xml:space="preserve">Adicionalmente, la Sala no puede pasar por alto la indebida fundamentación con la que </w:t>
      </w:r>
      <w:r w:rsidRPr="0003790B">
        <w:rPr>
          <w:rFonts w:eastAsia="Calibri" w:cs="Tahoma"/>
          <w:bCs/>
          <w:i/>
          <w:sz w:val="22"/>
          <w:szCs w:val="24"/>
          <w:lang w:val="es-ES"/>
        </w:rPr>
        <w:t>la Sala Primera de Decisión Laboral del Tribunal de Medellín</w:t>
      </w:r>
      <w:r w:rsidRPr="0003790B">
        <w:rPr>
          <w:rFonts w:eastAsia="Calibri" w:cs="Tahoma"/>
          <w:i/>
          <w:sz w:val="22"/>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w:t>
      </w:r>
      <w:r w:rsidRPr="0003790B">
        <w:rPr>
          <w:rFonts w:eastAsia="Calibri" w:cs="Tahoma"/>
          <w:i/>
          <w:sz w:val="22"/>
          <w:szCs w:val="24"/>
        </w:rPr>
        <w:lastRenderedPageBreak/>
        <w:t xml:space="preserve">a su dicho y sin la construcción de un argumento jurídico que soportara su tesis. Es decir, la sentencia estuvo desprovista de una adecuada investigación normativa y un discurso jurídico debidamente fundamentado”. </w:t>
      </w:r>
    </w:p>
    <w:p w14:paraId="092C5F83" w14:textId="77777777" w:rsidR="0003790B" w:rsidRPr="0003790B" w:rsidRDefault="0003790B" w:rsidP="0003790B">
      <w:pPr>
        <w:spacing w:line="276" w:lineRule="auto"/>
        <w:ind w:left="708"/>
        <w:jc w:val="left"/>
        <w:rPr>
          <w:rFonts w:eastAsia="Times New Roman" w:cs="Tahoma"/>
          <w:i/>
          <w:spacing w:val="-4"/>
          <w:szCs w:val="24"/>
          <w:lang w:val="es-ES" w:eastAsia="es-ES"/>
        </w:rPr>
      </w:pPr>
    </w:p>
    <w:p w14:paraId="0658E58E" w14:textId="77777777" w:rsidR="0003790B" w:rsidRPr="0003790B" w:rsidRDefault="0003790B" w:rsidP="0003790B">
      <w:pPr>
        <w:spacing w:line="276" w:lineRule="auto"/>
        <w:ind w:firstLine="644"/>
        <w:jc w:val="left"/>
        <w:rPr>
          <w:rFonts w:eastAsia="Times New Roman" w:cs="Tahoma"/>
          <w:spacing w:val="-4"/>
          <w:szCs w:val="24"/>
          <w:lang w:val="es-ES" w:eastAsia="es-ES"/>
        </w:rPr>
      </w:pPr>
      <w:r w:rsidRPr="0003790B">
        <w:rPr>
          <w:rFonts w:eastAsia="Times New Roman" w:cs="Tahoma"/>
          <w:spacing w:val="-4"/>
          <w:szCs w:val="24"/>
          <w:lang w:val="es-ES" w:eastAsia="es-ES"/>
        </w:rPr>
        <w:t>Con lo dicho precedentemente queda resuelto el primer problema jurídico.</w:t>
      </w:r>
    </w:p>
    <w:p w14:paraId="16B3CF90" w14:textId="77777777" w:rsidR="001878AE" w:rsidRPr="00517228" w:rsidRDefault="001878AE" w:rsidP="00517228">
      <w:pPr>
        <w:spacing w:line="276" w:lineRule="auto"/>
        <w:ind w:firstLine="644"/>
        <w:rPr>
          <w:rFonts w:cs="Tahoma"/>
          <w:spacing w:val="-4"/>
          <w:szCs w:val="24"/>
        </w:rPr>
      </w:pPr>
    </w:p>
    <w:p w14:paraId="0B2E7DA4" w14:textId="77777777" w:rsidR="001878AE" w:rsidRPr="00517228" w:rsidRDefault="001878AE" w:rsidP="00517228">
      <w:pPr>
        <w:numPr>
          <w:ilvl w:val="1"/>
          <w:numId w:val="3"/>
        </w:numPr>
        <w:spacing w:line="276" w:lineRule="auto"/>
        <w:ind w:left="0" w:firstLine="0"/>
        <w:contextualSpacing/>
        <w:rPr>
          <w:rFonts w:eastAsia="Calibri" w:cs="Tahoma"/>
          <w:b/>
          <w:szCs w:val="24"/>
        </w:rPr>
      </w:pPr>
      <w:r w:rsidRPr="00517228">
        <w:rPr>
          <w:rFonts w:eastAsia="Calibri" w:cs="Tahoma"/>
          <w:b/>
          <w:szCs w:val="24"/>
        </w:rPr>
        <w:t xml:space="preserve">“El simple consentimiento vertido en el formulario de afiliación es insuficiente – Necesidad de un consentimiento informado” </w:t>
      </w:r>
      <w:r w:rsidRPr="00517228">
        <w:rPr>
          <w:rFonts w:eastAsia="Calibri" w:cs="Tahoma"/>
          <w:szCs w:val="24"/>
        </w:rPr>
        <w:footnoteReference w:id="3"/>
      </w:r>
      <w:r w:rsidRPr="00517228">
        <w:rPr>
          <w:rFonts w:eastAsia="Calibri" w:cs="Tahoma"/>
          <w:b/>
          <w:szCs w:val="24"/>
        </w:rPr>
        <w:t xml:space="preserve"> </w:t>
      </w:r>
    </w:p>
    <w:p w14:paraId="1196A425" w14:textId="77777777" w:rsidR="001878AE" w:rsidRPr="00517228" w:rsidRDefault="001878AE" w:rsidP="00517228">
      <w:pPr>
        <w:spacing w:line="276" w:lineRule="auto"/>
        <w:rPr>
          <w:rFonts w:cs="Tahoma"/>
          <w:spacing w:val="-4"/>
          <w:szCs w:val="24"/>
        </w:rPr>
      </w:pPr>
    </w:p>
    <w:p w14:paraId="5B23CF52" w14:textId="71B07E6B" w:rsidR="001878AE" w:rsidRPr="00517228" w:rsidRDefault="001878AE" w:rsidP="00517228">
      <w:pPr>
        <w:spacing w:line="276" w:lineRule="auto"/>
        <w:rPr>
          <w:rFonts w:cs="Tahoma"/>
          <w:spacing w:val="-4"/>
          <w:szCs w:val="24"/>
        </w:rPr>
      </w:pPr>
      <w:r w:rsidRPr="00517228">
        <w:rPr>
          <w:rFonts w:cs="Tahoma"/>
          <w:spacing w:val="-4"/>
          <w:szCs w:val="24"/>
        </w:rPr>
        <w:t xml:space="preserve">El segundo problema jurídico relativo al valor probatorio de los formularios de afiliación fue abordado en la sentencia a la que venimos haciendo referencia, en el sentido de que los formularios de afiliación a lo sumo acreditan un </w:t>
      </w:r>
      <w:r w:rsidR="0003790B" w:rsidRPr="00517228">
        <w:rPr>
          <w:rFonts w:cs="Tahoma"/>
          <w:spacing w:val="-4"/>
          <w:szCs w:val="24"/>
        </w:rPr>
        <w:t>consentimiento,</w:t>
      </w:r>
      <w:r w:rsidRPr="00517228">
        <w:rPr>
          <w:rFonts w:cs="Tahoma"/>
          <w:spacing w:val="-4"/>
          <w:szCs w:val="24"/>
        </w:rPr>
        <w:t xml:space="preserve"> </w:t>
      </w:r>
      <w:r w:rsidRPr="00517228">
        <w:rPr>
          <w:rFonts w:cs="Tahoma"/>
          <w:b/>
          <w:spacing w:val="-4"/>
          <w:szCs w:val="24"/>
        </w:rPr>
        <w:t>pero no informado</w:t>
      </w:r>
      <w:r w:rsidRPr="00517228">
        <w:rPr>
          <w:rFonts w:cs="Tahoma"/>
          <w:spacing w:val="-4"/>
          <w:szCs w:val="24"/>
        </w:rPr>
        <w:t xml:space="preserve">, tal como se expresa a continuación: </w:t>
      </w:r>
    </w:p>
    <w:p w14:paraId="07D55941" w14:textId="77777777" w:rsidR="001878AE" w:rsidRPr="00517228" w:rsidRDefault="001878AE" w:rsidP="00517228">
      <w:pPr>
        <w:spacing w:line="276" w:lineRule="auto"/>
        <w:rPr>
          <w:rFonts w:cs="Tahoma"/>
          <w:spacing w:val="-4"/>
          <w:szCs w:val="24"/>
        </w:rPr>
      </w:pPr>
    </w:p>
    <w:p w14:paraId="15627778" w14:textId="77777777" w:rsidR="0003790B" w:rsidRPr="0003790B" w:rsidRDefault="0003790B" w:rsidP="0003790B">
      <w:pPr>
        <w:spacing w:line="240" w:lineRule="auto"/>
        <w:ind w:left="426" w:right="420" w:firstLine="1"/>
        <w:rPr>
          <w:rFonts w:eastAsia="Calibri" w:cs="Tahoma"/>
          <w:i/>
          <w:sz w:val="22"/>
          <w:szCs w:val="24"/>
        </w:rPr>
      </w:pPr>
      <w:bookmarkStart w:id="5" w:name="_Hlk71714483"/>
      <w:r w:rsidRPr="0003790B">
        <w:rPr>
          <w:rFonts w:eastAsia="Calibri" w:cs="Tahoma"/>
          <w:i/>
          <w:sz w:val="22"/>
          <w:szCs w:val="24"/>
        </w:rPr>
        <w:t xml:space="preserve">“Para el Tribunal el consentimiento informado no es predicable del acto jurídico de traslado, pues basta la consignación en el formulario de que la afiliación se hizo de manera libre y voluntaria. </w:t>
      </w:r>
    </w:p>
    <w:p w14:paraId="7D8DEB6A" w14:textId="77777777" w:rsidR="0003790B" w:rsidRPr="0003790B" w:rsidRDefault="0003790B" w:rsidP="0003790B">
      <w:pPr>
        <w:spacing w:line="240" w:lineRule="auto"/>
        <w:ind w:left="426" w:right="420" w:firstLine="1"/>
        <w:rPr>
          <w:rFonts w:eastAsia="Calibri" w:cs="Tahoma"/>
          <w:i/>
          <w:sz w:val="22"/>
          <w:szCs w:val="24"/>
        </w:rPr>
      </w:pPr>
    </w:p>
    <w:p w14:paraId="488D43E2" w14:textId="77777777" w:rsidR="0003790B" w:rsidRPr="0003790B" w:rsidRDefault="0003790B" w:rsidP="0003790B">
      <w:pPr>
        <w:spacing w:line="240" w:lineRule="auto"/>
        <w:ind w:left="426" w:right="420" w:firstLine="1"/>
        <w:rPr>
          <w:rFonts w:eastAsia="Calibri" w:cs="Tahoma"/>
          <w:i/>
          <w:sz w:val="22"/>
          <w:szCs w:val="24"/>
        </w:rPr>
      </w:pPr>
      <w:r w:rsidRPr="0003790B">
        <w:rPr>
          <w:rFonts w:eastAsia="Calibri" w:cs="Tahoma"/>
          <w:i/>
          <w:sz w:val="22"/>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E721109" w14:textId="77777777" w:rsidR="0003790B" w:rsidRPr="0003790B" w:rsidRDefault="0003790B" w:rsidP="0003790B">
      <w:pPr>
        <w:spacing w:line="240" w:lineRule="auto"/>
        <w:ind w:left="426" w:right="420" w:firstLine="1"/>
        <w:rPr>
          <w:rFonts w:eastAsia="Calibri" w:cs="Tahoma"/>
          <w:i/>
          <w:sz w:val="22"/>
          <w:szCs w:val="24"/>
        </w:rPr>
      </w:pPr>
    </w:p>
    <w:p w14:paraId="2904819A" w14:textId="77777777" w:rsidR="0003790B" w:rsidRPr="0003790B" w:rsidRDefault="0003790B" w:rsidP="0003790B">
      <w:pPr>
        <w:spacing w:line="240" w:lineRule="auto"/>
        <w:ind w:left="426" w:right="420" w:firstLine="1"/>
        <w:rPr>
          <w:rFonts w:eastAsia="Calibri" w:cs="Tahoma"/>
          <w:i/>
          <w:sz w:val="22"/>
          <w:szCs w:val="24"/>
        </w:rPr>
      </w:pPr>
      <w:r w:rsidRPr="0003790B">
        <w:rPr>
          <w:rFonts w:eastAsia="Calibri" w:cs="Tahoma"/>
          <w:i/>
          <w:sz w:val="22"/>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CECCA30" w14:textId="77777777" w:rsidR="0003790B" w:rsidRPr="0003790B" w:rsidRDefault="0003790B" w:rsidP="0003790B">
      <w:pPr>
        <w:spacing w:line="240" w:lineRule="auto"/>
        <w:ind w:left="426" w:right="420" w:firstLine="1"/>
        <w:rPr>
          <w:rFonts w:eastAsia="Calibri" w:cs="Tahoma"/>
          <w:i/>
          <w:sz w:val="22"/>
          <w:szCs w:val="24"/>
        </w:rPr>
      </w:pPr>
    </w:p>
    <w:p w14:paraId="131553BB" w14:textId="77777777" w:rsidR="0003790B" w:rsidRPr="0003790B" w:rsidRDefault="0003790B" w:rsidP="0003790B">
      <w:pPr>
        <w:spacing w:line="240" w:lineRule="auto"/>
        <w:ind w:left="426" w:right="420" w:firstLine="1"/>
        <w:rPr>
          <w:rFonts w:eastAsia="Calibri" w:cs="Tahoma"/>
          <w:i/>
          <w:sz w:val="22"/>
          <w:szCs w:val="24"/>
        </w:rPr>
      </w:pPr>
      <w:r w:rsidRPr="0003790B">
        <w:rPr>
          <w:rFonts w:eastAsia="Calibri" w:cs="Tahoma"/>
          <w:i/>
          <w:sz w:val="22"/>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bookmarkEnd w:id="5"/>
    <w:p w14:paraId="1003E806" w14:textId="77777777" w:rsidR="001878AE" w:rsidRPr="00517228" w:rsidRDefault="001878AE" w:rsidP="00517228">
      <w:pPr>
        <w:widowControl w:val="0"/>
        <w:tabs>
          <w:tab w:val="left" w:pos="709"/>
        </w:tabs>
        <w:autoSpaceDE w:val="0"/>
        <w:autoSpaceDN w:val="0"/>
        <w:adjustRightInd w:val="0"/>
        <w:spacing w:line="276" w:lineRule="auto"/>
        <w:rPr>
          <w:rFonts w:cs="Tahoma"/>
          <w:bCs/>
          <w:szCs w:val="24"/>
        </w:rPr>
      </w:pPr>
    </w:p>
    <w:p w14:paraId="00E8F8AA" w14:textId="77777777" w:rsidR="001878AE" w:rsidRPr="00517228" w:rsidRDefault="001878AE" w:rsidP="00517228">
      <w:pPr>
        <w:widowControl w:val="0"/>
        <w:tabs>
          <w:tab w:val="left" w:pos="567"/>
        </w:tabs>
        <w:autoSpaceDE w:val="0"/>
        <w:autoSpaceDN w:val="0"/>
        <w:adjustRightInd w:val="0"/>
        <w:spacing w:line="276" w:lineRule="auto"/>
        <w:ind w:firstLine="284"/>
        <w:rPr>
          <w:rFonts w:cs="Tahoma"/>
          <w:bCs/>
          <w:szCs w:val="24"/>
        </w:rPr>
      </w:pPr>
      <w:r w:rsidRPr="00517228">
        <w:rPr>
          <w:rFonts w:cs="Tahoma"/>
          <w:bCs/>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517228">
        <w:rPr>
          <w:rFonts w:eastAsia="Arial Narrow" w:cs="Tahoma"/>
          <w:szCs w:val="24"/>
          <w:lang w:val="es-ES"/>
        </w:rPr>
        <w:t>Justicia</w:t>
      </w:r>
      <w:r w:rsidRPr="00517228">
        <w:rPr>
          <w:rFonts w:cs="Tahoma"/>
          <w:bCs/>
          <w:szCs w:val="24"/>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04983401" w14:textId="77777777" w:rsidR="001878AE" w:rsidRPr="00517228" w:rsidRDefault="001878AE" w:rsidP="00517228">
      <w:pPr>
        <w:tabs>
          <w:tab w:val="left" w:pos="709"/>
        </w:tabs>
        <w:spacing w:line="276" w:lineRule="auto"/>
        <w:rPr>
          <w:rFonts w:cs="Tahoma"/>
          <w:bCs/>
          <w:i/>
          <w:szCs w:val="24"/>
        </w:rPr>
      </w:pPr>
    </w:p>
    <w:p w14:paraId="23CD8716" w14:textId="77777777" w:rsidR="00935CFB" w:rsidRPr="00935CFB" w:rsidRDefault="00935CFB" w:rsidP="00935CFB">
      <w:pPr>
        <w:spacing w:line="240" w:lineRule="auto"/>
        <w:ind w:left="426" w:right="420"/>
        <w:rPr>
          <w:rFonts w:eastAsia="Calibri" w:cs="Tahoma"/>
          <w:i/>
          <w:sz w:val="22"/>
          <w:szCs w:val="24"/>
          <w:lang w:val="es-ES"/>
        </w:rPr>
      </w:pPr>
      <w:bookmarkStart w:id="6" w:name="_Hlk71714516"/>
      <w:r w:rsidRPr="00935CFB">
        <w:rPr>
          <w:rFonts w:eastAsia="Calibri" w:cs="Tahoma"/>
          <w:i/>
          <w:sz w:val="22"/>
          <w:szCs w:val="24"/>
          <w:lang w:val="es-ES"/>
        </w:rPr>
        <w:t xml:space="preserve">“De manera que, conforme lo discurrido queda claro que existirá ineficacia de la afiliación cuando quiera que i) la insuficiencia de la información genere lesiones </w:t>
      </w:r>
      <w:r w:rsidRPr="00935CFB">
        <w:rPr>
          <w:rFonts w:eastAsia="Calibri" w:cs="Tahoma"/>
          <w:i/>
          <w:sz w:val="22"/>
          <w:szCs w:val="24"/>
          <w:lang w:val="es-ES"/>
        </w:rPr>
        <w:lastRenderedPageBreak/>
        <w:t xml:space="preserve">injustificadas en el derecho pensional del afiliado, impidiéndole su acceso al derecho; </w:t>
      </w:r>
      <w:proofErr w:type="spellStart"/>
      <w:r w:rsidRPr="00935CFB">
        <w:rPr>
          <w:rFonts w:eastAsia="Calibri" w:cs="Tahoma"/>
          <w:i/>
          <w:sz w:val="22"/>
          <w:szCs w:val="24"/>
          <w:lang w:val="es-ES"/>
        </w:rPr>
        <w:t>ii</w:t>
      </w:r>
      <w:proofErr w:type="spellEnd"/>
      <w:r w:rsidRPr="00935CFB">
        <w:rPr>
          <w:rFonts w:eastAsia="Calibri" w:cs="Tahoma"/>
          <w:i/>
          <w:sz w:val="22"/>
          <w:szCs w:val="24"/>
          <w:lang w:val="es-ES"/>
        </w:rPr>
        <w:t xml:space="preserve">) no será suficiente la simple suscripción del formulario, sino el cotejo con la información brindada, la cual debe corresponder a la realidad; </w:t>
      </w:r>
      <w:proofErr w:type="spellStart"/>
      <w:r w:rsidRPr="00935CFB">
        <w:rPr>
          <w:rFonts w:eastAsia="Calibri" w:cs="Tahoma"/>
          <w:i/>
          <w:sz w:val="22"/>
          <w:szCs w:val="24"/>
          <w:lang w:val="es-ES"/>
        </w:rPr>
        <w:t>iii</w:t>
      </w:r>
      <w:proofErr w:type="spellEnd"/>
      <w:r w:rsidRPr="00935CFB">
        <w:rPr>
          <w:rFonts w:eastAsia="Calibri" w:cs="Tahoma"/>
          <w:i/>
          <w:sz w:val="22"/>
          <w:szCs w:val="24"/>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EC41868" w14:textId="77777777" w:rsidR="00935CFB" w:rsidRPr="00935CFB" w:rsidRDefault="00935CFB" w:rsidP="00935CFB">
      <w:pPr>
        <w:spacing w:line="240" w:lineRule="auto"/>
        <w:ind w:left="426" w:right="420" w:firstLine="708"/>
        <w:rPr>
          <w:rFonts w:eastAsia="Calibri" w:cs="Tahoma"/>
          <w:b/>
          <w:i/>
          <w:sz w:val="22"/>
          <w:szCs w:val="24"/>
          <w:lang w:val="es-ES"/>
        </w:rPr>
      </w:pPr>
    </w:p>
    <w:p w14:paraId="63E91736" w14:textId="77777777" w:rsidR="00935CFB" w:rsidRPr="00935CFB" w:rsidRDefault="00935CFB" w:rsidP="00935CFB">
      <w:pPr>
        <w:tabs>
          <w:tab w:val="left" w:pos="709"/>
        </w:tabs>
        <w:spacing w:line="240" w:lineRule="auto"/>
        <w:ind w:left="426" w:right="420"/>
        <w:rPr>
          <w:rFonts w:eastAsia="Calibri" w:cs="Tahoma"/>
          <w:i/>
          <w:sz w:val="22"/>
          <w:szCs w:val="24"/>
          <w:lang w:val="es-ES"/>
        </w:rPr>
      </w:pPr>
      <w:r w:rsidRPr="00935CFB">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bookmarkEnd w:id="6"/>
    <w:p w14:paraId="2DD3775F" w14:textId="77777777" w:rsidR="001878AE" w:rsidRPr="00517228" w:rsidRDefault="001878AE" w:rsidP="00517228">
      <w:pPr>
        <w:spacing w:line="276" w:lineRule="auto"/>
        <w:rPr>
          <w:rFonts w:cs="Tahoma"/>
          <w:spacing w:val="-4"/>
          <w:szCs w:val="24"/>
        </w:rPr>
      </w:pPr>
    </w:p>
    <w:p w14:paraId="24975446" w14:textId="77777777" w:rsidR="001878AE" w:rsidRPr="00517228" w:rsidRDefault="001878AE" w:rsidP="00517228">
      <w:pPr>
        <w:widowControl w:val="0"/>
        <w:tabs>
          <w:tab w:val="left" w:pos="567"/>
        </w:tabs>
        <w:autoSpaceDE w:val="0"/>
        <w:autoSpaceDN w:val="0"/>
        <w:adjustRightInd w:val="0"/>
        <w:spacing w:line="276" w:lineRule="auto"/>
        <w:ind w:firstLine="284"/>
        <w:rPr>
          <w:rFonts w:cs="Tahoma"/>
          <w:szCs w:val="24"/>
        </w:rPr>
      </w:pPr>
      <w:r w:rsidRPr="00517228">
        <w:rPr>
          <w:rFonts w:eastAsia="Arial Narrow" w:cs="Tahoma"/>
          <w:bCs/>
          <w:szCs w:val="24"/>
          <w:lang w:val="es-ES"/>
        </w:rPr>
        <w:t xml:space="preserve">Igual cosa se ha predicado de las </w:t>
      </w:r>
      <w:proofErr w:type="spellStart"/>
      <w:r w:rsidRPr="00517228">
        <w:rPr>
          <w:rFonts w:eastAsia="Arial Narrow" w:cs="Tahoma"/>
          <w:bCs/>
          <w:szCs w:val="24"/>
          <w:lang w:val="es-ES"/>
        </w:rPr>
        <w:t>reasesorías</w:t>
      </w:r>
      <w:proofErr w:type="spellEnd"/>
      <w:r w:rsidRPr="00517228">
        <w:rPr>
          <w:rFonts w:eastAsia="Arial Narrow" w:cs="Tahoma"/>
          <w:bCs/>
          <w:szCs w:val="24"/>
          <w:lang w:val="es-ES"/>
        </w:rPr>
        <w:t xml:space="preserve"> posteriores dadas al interior de las AFP</w:t>
      </w:r>
      <w:r w:rsidRPr="00517228">
        <w:rPr>
          <w:rFonts w:eastAsia="Arial Narrow" w:cs="Tahoma"/>
          <w:szCs w:val="24"/>
          <w:lang w:val="es-ES"/>
        </w:rPr>
        <w:t xml:space="preserve">, las cuales tampoco convalidan el traslado, como quedó dicho en la citada </w:t>
      </w:r>
      <w:r w:rsidRPr="00517228">
        <w:rPr>
          <w:rFonts w:cs="Tahoma"/>
          <w:szCs w:val="24"/>
        </w:rPr>
        <w:t xml:space="preserve">sentencia del 8 de mayo de 2019SL 1688-2019, así: </w:t>
      </w:r>
    </w:p>
    <w:p w14:paraId="5C88D652" w14:textId="77777777" w:rsidR="001878AE" w:rsidRPr="00517228" w:rsidRDefault="001878AE" w:rsidP="00517228">
      <w:pPr>
        <w:spacing w:line="276" w:lineRule="auto"/>
        <w:rPr>
          <w:rFonts w:eastAsia="Arial Narrow" w:cs="Tahoma"/>
          <w:i/>
          <w:iCs/>
          <w:szCs w:val="24"/>
          <w:lang w:val="es-ES"/>
        </w:rPr>
      </w:pPr>
      <w:r w:rsidRPr="00517228">
        <w:rPr>
          <w:rFonts w:eastAsia="Arial Narrow" w:cs="Tahoma"/>
          <w:szCs w:val="24"/>
          <w:lang w:val="es-ES"/>
        </w:rPr>
        <w:t xml:space="preserve">  </w:t>
      </w:r>
    </w:p>
    <w:p w14:paraId="3D30B1AE" w14:textId="77777777" w:rsidR="00935CFB" w:rsidRPr="00935CFB" w:rsidRDefault="00935CFB" w:rsidP="00935CFB">
      <w:pPr>
        <w:spacing w:line="240" w:lineRule="auto"/>
        <w:ind w:left="426" w:right="420"/>
        <w:rPr>
          <w:rFonts w:eastAsia="Calibri" w:cs="Tahoma"/>
          <w:i/>
          <w:sz w:val="22"/>
          <w:szCs w:val="24"/>
          <w:lang w:val="es-ES"/>
        </w:rPr>
      </w:pPr>
      <w:bookmarkStart w:id="7" w:name="_Hlk71714539"/>
      <w:r w:rsidRPr="00935CFB">
        <w:rPr>
          <w:rFonts w:eastAsia="Calibri" w:cs="Tahoma"/>
          <w:i/>
          <w:sz w:val="22"/>
          <w:szCs w:val="24"/>
          <w:lang w:val="es-ES"/>
        </w:rPr>
        <w:t xml:space="preserve">“Ahora, si bien la AFP brindó a la actora una </w:t>
      </w:r>
      <w:proofErr w:type="spellStart"/>
      <w:r w:rsidRPr="00935CFB">
        <w:rPr>
          <w:rFonts w:eastAsia="Calibri" w:cs="Tahoma"/>
          <w:i/>
          <w:sz w:val="22"/>
          <w:szCs w:val="24"/>
          <w:lang w:val="es-ES"/>
        </w:rPr>
        <w:t>reasesoría</w:t>
      </w:r>
      <w:proofErr w:type="spellEnd"/>
      <w:r w:rsidRPr="00935CFB">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01D42D2" w14:textId="77777777" w:rsidR="00935CFB" w:rsidRPr="00935CFB" w:rsidRDefault="00935CFB" w:rsidP="00935CFB">
      <w:pPr>
        <w:spacing w:line="240" w:lineRule="auto"/>
        <w:ind w:left="426" w:right="420" w:firstLine="709"/>
        <w:rPr>
          <w:rFonts w:eastAsia="Arial Narrow" w:cs="Tahoma"/>
          <w:i/>
          <w:iCs/>
          <w:sz w:val="22"/>
          <w:szCs w:val="24"/>
          <w:lang w:val="es"/>
        </w:rPr>
      </w:pPr>
      <w:r w:rsidRPr="00935CFB">
        <w:rPr>
          <w:rFonts w:eastAsia="Arial Narrow" w:cs="Tahoma"/>
          <w:i/>
          <w:iCs/>
          <w:sz w:val="22"/>
          <w:szCs w:val="24"/>
          <w:lang w:val="es"/>
        </w:rPr>
        <w:t xml:space="preserve"> </w:t>
      </w:r>
    </w:p>
    <w:p w14:paraId="4D992743" w14:textId="77777777" w:rsidR="00935CFB" w:rsidRPr="00935CFB" w:rsidRDefault="00935CFB" w:rsidP="00935CFB">
      <w:pPr>
        <w:spacing w:line="240" w:lineRule="auto"/>
        <w:ind w:left="426" w:right="420"/>
        <w:rPr>
          <w:rFonts w:eastAsia="Calibri" w:cs="Tahoma"/>
          <w:i/>
          <w:sz w:val="22"/>
          <w:szCs w:val="24"/>
          <w:lang w:val="es-ES"/>
        </w:rPr>
      </w:pPr>
      <w:r w:rsidRPr="00935CFB">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935CFB">
        <w:rPr>
          <w:rFonts w:eastAsia="Calibri" w:cs="Tahoma"/>
          <w:i/>
          <w:sz w:val="22"/>
          <w:szCs w:val="24"/>
          <w:lang w:val="es-ES"/>
        </w:rPr>
        <w:t>reasesoría</w:t>
      </w:r>
      <w:proofErr w:type="spellEnd"/>
      <w:r w:rsidRPr="00935CFB">
        <w:rPr>
          <w:rFonts w:eastAsia="Calibri" w:cs="Tahoma"/>
          <w:i/>
          <w:sz w:val="22"/>
          <w:szCs w:val="24"/>
          <w:lang w:val="es-ES"/>
        </w:rPr>
        <w:t xml:space="preserve">, de todas </w:t>
      </w:r>
      <w:proofErr w:type="gramStart"/>
      <w:r w:rsidRPr="00935CFB">
        <w:rPr>
          <w:rFonts w:eastAsia="Calibri" w:cs="Tahoma"/>
          <w:i/>
          <w:sz w:val="22"/>
          <w:szCs w:val="24"/>
          <w:lang w:val="es-ES"/>
        </w:rPr>
        <w:t>formas</w:t>
      </w:r>
      <w:proofErr w:type="gramEnd"/>
      <w:r w:rsidRPr="00935CFB">
        <w:rPr>
          <w:rFonts w:eastAsia="Calibri" w:cs="Tahoma"/>
          <w:i/>
          <w:sz w:val="22"/>
          <w:szCs w:val="24"/>
          <w:lang w:val="es-ES"/>
        </w:rPr>
        <w:t xml:space="preserve"> ya había perdido la transición.</w:t>
      </w:r>
    </w:p>
    <w:p w14:paraId="07841F4B" w14:textId="77777777" w:rsidR="00935CFB" w:rsidRPr="00935CFB" w:rsidRDefault="00935CFB" w:rsidP="00935CFB">
      <w:pPr>
        <w:spacing w:line="240" w:lineRule="auto"/>
        <w:ind w:left="426" w:right="420" w:firstLine="709"/>
        <w:rPr>
          <w:rFonts w:eastAsia="Arial Narrow" w:cs="Tahoma"/>
          <w:i/>
          <w:iCs/>
          <w:sz w:val="22"/>
          <w:szCs w:val="24"/>
          <w:lang w:val="es"/>
        </w:rPr>
      </w:pPr>
      <w:r w:rsidRPr="00935CFB">
        <w:rPr>
          <w:rFonts w:eastAsia="Arial Narrow" w:cs="Tahoma"/>
          <w:i/>
          <w:iCs/>
          <w:sz w:val="22"/>
          <w:szCs w:val="24"/>
          <w:lang w:val="es"/>
        </w:rPr>
        <w:t xml:space="preserve"> </w:t>
      </w:r>
    </w:p>
    <w:p w14:paraId="72B12D93" w14:textId="77777777" w:rsidR="00935CFB" w:rsidRPr="00935CFB" w:rsidRDefault="00935CFB" w:rsidP="00935CFB">
      <w:pPr>
        <w:spacing w:line="240" w:lineRule="auto"/>
        <w:ind w:left="426" w:right="420"/>
        <w:rPr>
          <w:rFonts w:eastAsia="Calibri" w:cs="Tahoma"/>
          <w:i/>
          <w:sz w:val="22"/>
          <w:szCs w:val="24"/>
          <w:lang w:val="es-ES"/>
        </w:rPr>
      </w:pPr>
      <w:r w:rsidRPr="00935CFB">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22E5C7D" w14:textId="77777777" w:rsidR="00935CFB" w:rsidRPr="00935CFB" w:rsidRDefault="00935CFB" w:rsidP="00935CFB">
      <w:pPr>
        <w:spacing w:line="240" w:lineRule="auto"/>
        <w:ind w:left="426" w:right="420" w:firstLine="709"/>
        <w:rPr>
          <w:rFonts w:eastAsia="Arial Narrow" w:cs="Tahoma"/>
          <w:i/>
          <w:iCs/>
          <w:sz w:val="22"/>
          <w:szCs w:val="24"/>
          <w:lang w:val="es"/>
        </w:rPr>
      </w:pPr>
      <w:r w:rsidRPr="00935CFB">
        <w:rPr>
          <w:rFonts w:eastAsia="Arial Narrow" w:cs="Tahoma"/>
          <w:i/>
          <w:iCs/>
          <w:sz w:val="22"/>
          <w:szCs w:val="24"/>
          <w:lang w:val="es"/>
        </w:rPr>
        <w:t xml:space="preserve"> </w:t>
      </w:r>
    </w:p>
    <w:p w14:paraId="179ED319" w14:textId="77777777" w:rsidR="00935CFB" w:rsidRPr="00935CFB" w:rsidRDefault="00935CFB" w:rsidP="00935CFB">
      <w:pPr>
        <w:spacing w:line="240" w:lineRule="auto"/>
        <w:ind w:left="426" w:right="420"/>
        <w:rPr>
          <w:rFonts w:eastAsia="Calibri" w:cs="Tahoma"/>
          <w:i/>
          <w:sz w:val="22"/>
          <w:szCs w:val="24"/>
          <w:lang w:val="es-ES"/>
        </w:rPr>
      </w:pPr>
      <w:r w:rsidRPr="00935CFB">
        <w:rPr>
          <w:rFonts w:eastAsia="Calibri" w:cs="Tahoma"/>
          <w:i/>
          <w:sz w:val="22"/>
          <w:szCs w:val="24"/>
          <w:lang w:val="es-ES"/>
        </w:rPr>
        <w:t xml:space="preserve">Por otro lado, no es de recibo el planteo de Protección S.A., cuando sostiene que una vez realizó la </w:t>
      </w:r>
      <w:proofErr w:type="spellStart"/>
      <w:r w:rsidRPr="00935CFB">
        <w:rPr>
          <w:rFonts w:eastAsia="Calibri" w:cs="Tahoma"/>
          <w:i/>
          <w:sz w:val="22"/>
          <w:szCs w:val="24"/>
          <w:lang w:val="es-ES"/>
        </w:rPr>
        <w:t>reasesoría</w:t>
      </w:r>
      <w:proofErr w:type="spellEnd"/>
      <w:r w:rsidRPr="00935CFB">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bookmarkEnd w:id="7"/>
    <w:p w14:paraId="672B8408" w14:textId="77777777" w:rsidR="001878AE" w:rsidRPr="00517228" w:rsidRDefault="001878AE" w:rsidP="00517228">
      <w:pPr>
        <w:spacing w:line="276" w:lineRule="auto"/>
        <w:ind w:left="708"/>
        <w:rPr>
          <w:rFonts w:cs="Tahoma"/>
          <w:spacing w:val="-4"/>
          <w:szCs w:val="24"/>
        </w:rPr>
      </w:pPr>
    </w:p>
    <w:p w14:paraId="0B750FE3" w14:textId="77777777" w:rsidR="001878AE" w:rsidRPr="00517228" w:rsidRDefault="001878AE" w:rsidP="00517228">
      <w:pPr>
        <w:numPr>
          <w:ilvl w:val="1"/>
          <w:numId w:val="3"/>
        </w:numPr>
        <w:spacing w:line="276" w:lineRule="auto"/>
        <w:ind w:left="0" w:firstLine="0"/>
        <w:contextualSpacing/>
        <w:rPr>
          <w:rFonts w:eastAsia="Calibri" w:cs="Tahoma"/>
          <w:b/>
          <w:szCs w:val="24"/>
        </w:rPr>
      </w:pPr>
      <w:r w:rsidRPr="00517228">
        <w:rPr>
          <w:rFonts w:eastAsia="Calibri" w:cs="Tahoma"/>
          <w:b/>
          <w:szCs w:val="24"/>
        </w:rPr>
        <w:lastRenderedPageBreak/>
        <w:t xml:space="preserve">“De la carga de la prueba – Inversión a favor del afiliado” </w:t>
      </w:r>
      <w:r w:rsidRPr="00935CFB">
        <w:rPr>
          <w:rFonts w:eastAsia="Calibri" w:cs="Tahoma"/>
          <w:szCs w:val="24"/>
          <w:vertAlign w:val="superscript"/>
        </w:rPr>
        <w:footnoteReference w:id="4"/>
      </w:r>
    </w:p>
    <w:p w14:paraId="24EF2DF1" w14:textId="77777777" w:rsidR="001878AE" w:rsidRPr="00517228" w:rsidRDefault="001878AE" w:rsidP="00517228">
      <w:pPr>
        <w:spacing w:line="276" w:lineRule="auto"/>
        <w:ind w:firstLine="708"/>
        <w:rPr>
          <w:rFonts w:cs="Tahoma"/>
          <w:b/>
          <w:spacing w:val="-4"/>
          <w:szCs w:val="24"/>
        </w:rPr>
      </w:pPr>
    </w:p>
    <w:p w14:paraId="06C22C0E" w14:textId="2FD42D2B" w:rsidR="001878AE" w:rsidRPr="00517228" w:rsidRDefault="001878AE" w:rsidP="00517228">
      <w:pPr>
        <w:widowControl w:val="0"/>
        <w:tabs>
          <w:tab w:val="left" w:pos="567"/>
        </w:tabs>
        <w:autoSpaceDE w:val="0"/>
        <w:autoSpaceDN w:val="0"/>
        <w:adjustRightInd w:val="0"/>
        <w:spacing w:line="276" w:lineRule="auto"/>
        <w:ind w:firstLine="284"/>
        <w:rPr>
          <w:rFonts w:cs="Tahoma"/>
          <w:spacing w:val="-4"/>
          <w:szCs w:val="24"/>
        </w:rPr>
      </w:pPr>
      <w:r w:rsidRPr="00517228">
        <w:rPr>
          <w:rFonts w:cs="Tahoma"/>
          <w:spacing w:val="-4"/>
          <w:szCs w:val="24"/>
        </w:rPr>
        <w:t xml:space="preserve">El tercer problema jurídico relativo a la carga de la prueba en los procesos de ineficacia de traslado, también se resolvió por la Corte Suprema de Justicia desde la sentencia hito, en la que se expresó que de </w:t>
      </w:r>
      <w:r w:rsidRPr="00517228">
        <w:rPr>
          <w:rFonts w:cs="Tahoma"/>
          <w:bCs/>
          <w:szCs w:val="24"/>
        </w:rPr>
        <w:t>conformidad</w:t>
      </w:r>
      <w:r w:rsidRPr="00517228">
        <w:rPr>
          <w:rFonts w:cs="Tahoma"/>
          <w:spacing w:val="-4"/>
          <w:szCs w:val="24"/>
        </w:rPr>
        <w:t xml:space="preserve"> al artículo 1604 del Código Civil </w:t>
      </w:r>
      <w:r w:rsidR="00935CFB">
        <w:rPr>
          <w:rFonts w:cs="Tahoma"/>
          <w:spacing w:val="-4"/>
          <w:szCs w:val="24"/>
        </w:rPr>
        <w:t>“</w:t>
      </w:r>
      <w:r w:rsidRPr="00935CFB">
        <w:rPr>
          <w:rFonts w:cs="Tahoma"/>
          <w:i/>
          <w:spacing w:val="-4"/>
          <w:sz w:val="22"/>
          <w:szCs w:val="24"/>
        </w:rPr>
        <w:t xml:space="preserve">la prueba de la diligencia o cuidado incumbe al que ha debido </w:t>
      </w:r>
      <w:r w:rsidR="00935CFB" w:rsidRPr="00935CFB">
        <w:rPr>
          <w:rFonts w:cs="Tahoma"/>
          <w:i/>
          <w:spacing w:val="-4"/>
          <w:sz w:val="22"/>
          <w:szCs w:val="24"/>
        </w:rPr>
        <w:t>emplearlo</w:t>
      </w:r>
      <w:r w:rsidR="00935CFB" w:rsidRPr="00517228">
        <w:rPr>
          <w:rFonts w:cs="Tahoma"/>
          <w:i/>
          <w:spacing w:val="-4"/>
          <w:szCs w:val="24"/>
        </w:rPr>
        <w:t>”</w:t>
      </w:r>
      <w:r w:rsidR="00935CFB" w:rsidRPr="00517228">
        <w:rPr>
          <w:rFonts w:cs="Tahoma"/>
          <w:spacing w:val="-4"/>
          <w:szCs w:val="24"/>
        </w:rPr>
        <w:t xml:space="preserve"> lo</w:t>
      </w:r>
      <w:r w:rsidRPr="00517228">
        <w:rPr>
          <w:rFonts w:cs="Tahoma"/>
          <w:spacing w:val="-4"/>
          <w:szCs w:val="24"/>
        </w:rPr>
        <w:t xml:space="preserve"> que quiere decir que la carga de la prueba recae en el fondo de pensiones. Dicha postura se ha mantenido invariable, y se reiteró de manera más contundente en la citada sentencia, así: </w:t>
      </w:r>
    </w:p>
    <w:p w14:paraId="6220BCB9" w14:textId="77777777" w:rsidR="001878AE" w:rsidRPr="00517228" w:rsidRDefault="001878AE" w:rsidP="00517228">
      <w:pPr>
        <w:spacing w:line="276" w:lineRule="auto"/>
        <w:ind w:firstLine="708"/>
        <w:rPr>
          <w:rFonts w:cs="Tahoma"/>
          <w:spacing w:val="-4"/>
          <w:szCs w:val="24"/>
        </w:rPr>
      </w:pPr>
    </w:p>
    <w:p w14:paraId="752964B6" w14:textId="77777777" w:rsidR="00935CFB" w:rsidRPr="00935CFB" w:rsidRDefault="00935CFB" w:rsidP="00935CFB">
      <w:pPr>
        <w:spacing w:line="240" w:lineRule="auto"/>
        <w:ind w:left="426" w:right="420" w:firstLine="1"/>
        <w:rPr>
          <w:rFonts w:eastAsia="Calibri" w:cs="Tahoma"/>
          <w:i/>
          <w:sz w:val="22"/>
          <w:szCs w:val="24"/>
          <w:lang w:val="es-ES"/>
        </w:rPr>
      </w:pPr>
      <w:bookmarkStart w:id="8" w:name="_Hlk71714570"/>
      <w:r w:rsidRPr="00935CFB">
        <w:rPr>
          <w:rFonts w:eastAsia="Calibri" w:cs="Tahoma"/>
          <w:sz w:val="22"/>
          <w:szCs w:val="24"/>
          <w:lang w:val="es-ES"/>
        </w:rPr>
        <w:t>“</w:t>
      </w:r>
      <w:r w:rsidRPr="00935CFB">
        <w:rPr>
          <w:rFonts w:eastAsia="Calibri" w:cs="Tahoma"/>
          <w:i/>
          <w:sz w:val="22"/>
          <w:szCs w:val="24"/>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00999A5" w14:textId="77777777" w:rsidR="00935CFB" w:rsidRPr="00935CFB" w:rsidRDefault="00935CFB" w:rsidP="00935CFB">
      <w:pPr>
        <w:spacing w:line="240" w:lineRule="auto"/>
        <w:ind w:left="426" w:right="420" w:firstLine="1"/>
        <w:rPr>
          <w:rFonts w:eastAsia="Calibri" w:cs="Tahoma"/>
          <w:i/>
          <w:sz w:val="22"/>
          <w:szCs w:val="24"/>
          <w:lang w:val="es-ES"/>
        </w:rPr>
      </w:pPr>
    </w:p>
    <w:p w14:paraId="1B582EC7" w14:textId="77777777" w:rsidR="00935CFB" w:rsidRPr="00935CFB" w:rsidRDefault="00935CFB" w:rsidP="00935CFB">
      <w:pPr>
        <w:spacing w:line="240" w:lineRule="auto"/>
        <w:ind w:left="426" w:right="420" w:firstLine="1"/>
        <w:rPr>
          <w:rFonts w:eastAsia="Calibri" w:cs="Tahoma"/>
          <w:i/>
          <w:sz w:val="22"/>
          <w:szCs w:val="24"/>
          <w:lang w:val="es-ES"/>
        </w:rPr>
      </w:pPr>
      <w:r w:rsidRPr="00935CFB">
        <w:rPr>
          <w:rFonts w:eastAsia="Calibri" w:cs="Tahoma"/>
          <w:i/>
          <w:sz w:val="22"/>
          <w:szCs w:val="24"/>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210747FC" w14:textId="77777777" w:rsidR="00935CFB" w:rsidRPr="00935CFB" w:rsidRDefault="00935CFB" w:rsidP="00935CFB">
      <w:pPr>
        <w:spacing w:line="240" w:lineRule="auto"/>
        <w:ind w:left="426" w:right="420" w:firstLine="1"/>
        <w:rPr>
          <w:rFonts w:eastAsia="Calibri" w:cs="Tahoma"/>
          <w:i/>
          <w:sz w:val="22"/>
          <w:szCs w:val="24"/>
          <w:lang w:val="es-ES"/>
        </w:rPr>
      </w:pPr>
    </w:p>
    <w:p w14:paraId="2F615129" w14:textId="77777777" w:rsidR="00935CFB" w:rsidRPr="00935CFB" w:rsidRDefault="00935CFB" w:rsidP="00935CFB">
      <w:pPr>
        <w:spacing w:line="240" w:lineRule="auto"/>
        <w:ind w:left="426" w:right="420" w:firstLine="1"/>
        <w:rPr>
          <w:rFonts w:eastAsia="Calibri" w:cs="Tahoma"/>
          <w:i/>
          <w:sz w:val="22"/>
          <w:szCs w:val="24"/>
          <w:lang w:val="es-ES"/>
        </w:rPr>
      </w:pPr>
      <w:r w:rsidRPr="00935CFB">
        <w:rPr>
          <w:rFonts w:eastAsia="Calibri" w:cs="Tahoma"/>
          <w:i/>
          <w:sz w:val="22"/>
          <w:szCs w:val="24"/>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37357BA" w14:textId="77777777" w:rsidR="00935CFB" w:rsidRPr="00935CFB" w:rsidRDefault="00935CFB" w:rsidP="00935CFB">
      <w:pPr>
        <w:spacing w:line="240" w:lineRule="auto"/>
        <w:ind w:left="426" w:right="420" w:firstLine="1"/>
        <w:rPr>
          <w:rFonts w:eastAsia="Calibri" w:cs="Tahoma"/>
          <w:i/>
          <w:sz w:val="22"/>
          <w:szCs w:val="24"/>
          <w:lang w:val="es-ES"/>
        </w:rPr>
      </w:pPr>
    </w:p>
    <w:p w14:paraId="3AF95F80" w14:textId="77777777" w:rsidR="00935CFB" w:rsidRPr="00935CFB" w:rsidRDefault="00935CFB" w:rsidP="00935CFB">
      <w:pPr>
        <w:spacing w:line="240" w:lineRule="auto"/>
        <w:ind w:left="426" w:right="420" w:firstLine="1"/>
        <w:rPr>
          <w:rFonts w:eastAsia="Calibri" w:cs="Tahoma"/>
          <w:i/>
          <w:iCs/>
          <w:sz w:val="22"/>
          <w:szCs w:val="24"/>
          <w:lang w:val="es-ES"/>
        </w:rPr>
      </w:pPr>
      <w:r w:rsidRPr="00935CFB">
        <w:rPr>
          <w:rFonts w:eastAsia="Calibri" w:cs="Tahoma"/>
          <w:i/>
          <w:sz w:val="22"/>
          <w:szCs w:val="24"/>
          <w:lang w:val="es-ES"/>
        </w:rPr>
        <w:t xml:space="preserve">Como se ha expuesto, el deber de información al momento del traslado entre regímenes, es una obligación que corresponde a las administradoras de fondos de pensiones, y </w:t>
      </w:r>
      <w:r w:rsidRPr="00935CFB">
        <w:rPr>
          <w:rFonts w:eastAsia="Calibri" w:cs="Tahoma"/>
          <w:i/>
          <w:iCs/>
          <w:sz w:val="22"/>
          <w:szCs w:val="24"/>
          <w:lang w:val="es-ES"/>
        </w:rPr>
        <w:t xml:space="preserve">su ejercicio debe ser de tal diligencia, que permita comprender la lógica, beneficios y desventajas del cambio de régimen, así como prever los riesgos y efectos negativos de esa decisión. </w:t>
      </w:r>
    </w:p>
    <w:p w14:paraId="0BD17EAE" w14:textId="77777777" w:rsidR="00935CFB" w:rsidRPr="00935CFB" w:rsidRDefault="00935CFB" w:rsidP="00935CFB">
      <w:pPr>
        <w:spacing w:line="240" w:lineRule="auto"/>
        <w:ind w:left="426" w:right="420" w:firstLine="1"/>
        <w:rPr>
          <w:rFonts w:eastAsia="Calibri" w:cs="Tahoma"/>
          <w:i/>
          <w:iCs/>
          <w:sz w:val="22"/>
          <w:szCs w:val="24"/>
          <w:lang w:val="es-ES"/>
        </w:rPr>
      </w:pPr>
    </w:p>
    <w:p w14:paraId="7EF59021" w14:textId="77777777" w:rsidR="00935CFB" w:rsidRPr="00935CFB" w:rsidRDefault="00935CFB" w:rsidP="00935CFB">
      <w:pPr>
        <w:spacing w:line="240" w:lineRule="auto"/>
        <w:ind w:left="426" w:right="420" w:firstLine="1"/>
        <w:rPr>
          <w:rFonts w:eastAsia="Calibri" w:cs="Tahoma"/>
          <w:i/>
          <w:iCs/>
          <w:sz w:val="22"/>
          <w:szCs w:val="24"/>
          <w:lang w:val="es-ES"/>
        </w:rPr>
      </w:pPr>
      <w:r w:rsidRPr="00935CFB">
        <w:rPr>
          <w:rFonts w:eastAsia="Calibri" w:cs="Tahoma"/>
          <w:i/>
          <w:sz w:val="22"/>
          <w:szCs w:val="24"/>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DA747A9" w14:textId="77777777" w:rsidR="00935CFB" w:rsidRPr="00935CFB" w:rsidRDefault="00935CFB" w:rsidP="00935CFB">
      <w:pPr>
        <w:spacing w:line="240" w:lineRule="auto"/>
        <w:ind w:left="426" w:right="420" w:firstLine="1"/>
        <w:rPr>
          <w:rFonts w:eastAsia="Calibri" w:cs="Tahoma"/>
          <w:i/>
          <w:iCs/>
          <w:sz w:val="22"/>
          <w:szCs w:val="24"/>
          <w:lang w:val="es-ES"/>
        </w:rPr>
      </w:pPr>
    </w:p>
    <w:p w14:paraId="0574FA09" w14:textId="77777777" w:rsidR="00935CFB" w:rsidRPr="00935CFB" w:rsidRDefault="00935CFB" w:rsidP="00935CFB">
      <w:pPr>
        <w:spacing w:line="240" w:lineRule="auto"/>
        <w:ind w:left="426" w:right="420" w:firstLine="1"/>
        <w:rPr>
          <w:rFonts w:eastAsia="Calibri" w:cs="Tahoma"/>
          <w:i/>
          <w:iCs/>
          <w:sz w:val="22"/>
          <w:szCs w:val="24"/>
          <w:lang w:val="es-ES"/>
        </w:rPr>
      </w:pPr>
      <w:r w:rsidRPr="00935CFB">
        <w:rPr>
          <w:rFonts w:eastAsia="Calibri" w:cs="Tahoma"/>
          <w:i/>
          <w:sz w:val="22"/>
          <w:szCs w:val="24"/>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935CFB">
        <w:rPr>
          <w:rFonts w:eastAsia="Calibri" w:cs="Tahoma"/>
          <w:i/>
          <w:sz w:val="22"/>
          <w:szCs w:val="24"/>
          <w:lang w:val="es-ES"/>
        </w:rPr>
        <w:t>ii</w:t>
      </w:r>
      <w:proofErr w:type="spellEnd"/>
      <w:r w:rsidRPr="00935CFB">
        <w:rPr>
          <w:rFonts w:eastAsia="Calibri" w:cs="Tahoma"/>
          <w:i/>
          <w:sz w:val="22"/>
          <w:szCs w:val="24"/>
          <w:lang w:val="es-ES"/>
        </w:rPr>
        <w:t>) la documentación soporte del traslado debe conservarse en los archivos del fondo, dado que (</w:t>
      </w:r>
      <w:proofErr w:type="spellStart"/>
      <w:r w:rsidRPr="00935CFB">
        <w:rPr>
          <w:rFonts w:eastAsia="Calibri" w:cs="Tahoma"/>
          <w:i/>
          <w:sz w:val="22"/>
          <w:szCs w:val="24"/>
          <w:lang w:val="es-ES"/>
        </w:rPr>
        <w:t>iii</w:t>
      </w:r>
      <w:proofErr w:type="spellEnd"/>
      <w:r w:rsidRPr="00935CFB">
        <w:rPr>
          <w:rFonts w:eastAsia="Calibri" w:cs="Tahoma"/>
          <w:i/>
          <w:sz w:val="22"/>
          <w:szCs w:val="24"/>
          <w:lang w:val="es-ES"/>
        </w:rPr>
        <w:t xml:space="preserve">) es esta entidad la que está obligada a observar la obligación de brindar información y, más aún, probar ante las autoridades administrativas y judiciales su pleno cumplimiento. </w:t>
      </w:r>
    </w:p>
    <w:p w14:paraId="73A8E45D" w14:textId="77777777" w:rsidR="00935CFB" w:rsidRPr="00935CFB" w:rsidRDefault="00935CFB" w:rsidP="00935CFB">
      <w:pPr>
        <w:spacing w:line="240" w:lineRule="auto"/>
        <w:ind w:left="426" w:right="420" w:firstLine="1"/>
        <w:rPr>
          <w:rFonts w:eastAsia="Calibri" w:cs="Tahoma"/>
          <w:i/>
          <w:iCs/>
          <w:sz w:val="22"/>
          <w:szCs w:val="24"/>
          <w:lang w:val="es-ES"/>
        </w:rPr>
      </w:pPr>
    </w:p>
    <w:p w14:paraId="314DAD5C" w14:textId="77777777" w:rsidR="00935CFB" w:rsidRPr="00935CFB" w:rsidRDefault="00935CFB" w:rsidP="00935CFB">
      <w:pPr>
        <w:spacing w:line="240" w:lineRule="auto"/>
        <w:ind w:left="426" w:right="420" w:firstLine="1"/>
        <w:rPr>
          <w:rFonts w:eastAsia="Calibri" w:cs="Tahoma"/>
          <w:sz w:val="22"/>
          <w:szCs w:val="24"/>
          <w:lang w:val="es-ES"/>
        </w:rPr>
      </w:pPr>
      <w:r w:rsidRPr="00935CFB">
        <w:rPr>
          <w:rFonts w:eastAsia="Calibri" w:cs="Tahoma"/>
          <w:i/>
          <w:sz w:val="22"/>
          <w:szCs w:val="24"/>
          <w:lang w:val="es-ES"/>
        </w:rPr>
        <w:lastRenderedPageBreak/>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935CFB">
        <w:rPr>
          <w:rFonts w:eastAsia="Calibri" w:cs="Tahoma"/>
          <w:sz w:val="22"/>
          <w:szCs w:val="24"/>
          <w:lang w:val="es-ES"/>
        </w:rPr>
        <w:t xml:space="preserve"> </w:t>
      </w:r>
    </w:p>
    <w:bookmarkEnd w:id="8"/>
    <w:p w14:paraId="1229F1A2" w14:textId="77777777" w:rsidR="001878AE" w:rsidRPr="00517228" w:rsidRDefault="001878AE" w:rsidP="00517228">
      <w:pPr>
        <w:tabs>
          <w:tab w:val="left" w:pos="3568"/>
        </w:tabs>
        <w:spacing w:line="276" w:lineRule="auto"/>
        <w:rPr>
          <w:rFonts w:cs="Tahoma"/>
          <w:spacing w:val="-4"/>
          <w:szCs w:val="24"/>
        </w:rPr>
      </w:pPr>
    </w:p>
    <w:p w14:paraId="6E278C58" w14:textId="77777777" w:rsidR="001878AE" w:rsidRPr="00517228" w:rsidRDefault="001878AE" w:rsidP="00517228">
      <w:pPr>
        <w:numPr>
          <w:ilvl w:val="1"/>
          <w:numId w:val="3"/>
        </w:numPr>
        <w:spacing w:line="276" w:lineRule="auto"/>
        <w:ind w:left="0" w:firstLine="0"/>
        <w:contextualSpacing/>
        <w:rPr>
          <w:rFonts w:eastAsia="Calibri" w:cs="Tahoma"/>
          <w:b/>
          <w:szCs w:val="24"/>
        </w:rPr>
      </w:pPr>
      <w:r w:rsidRPr="00517228">
        <w:rPr>
          <w:rFonts w:eastAsia="Calibri" w:cs="Tahoma"/>
          <w:b/>
          <w:szCs w:val="24"/>
        </w:rPr>
        <w:t>Consecuencias de la declaratoria de ineficacia del traslado: Devolución de las cuotas de administración y de otros valores debidamente indexados</w:t>
      </w:r>
    </w:p>
    <w:p w14:paraId="7E400A85" w14:textId="77777777" w:rsidR="001878AE" w:rsidRPr="00517228" w:rsidRDefault="001878AE" w:rsidP="00517228">
      <w:pPr>
        <w:pStyle w:val="Prrafodelista"/>
        <w:widowControl w:val="0"/>
        <w:autoSpaceDE w:val="0"/>
        <w:autoSpaceDN w:val="0"/>
        <w:adjustRightInd w:val="0"/>
        <w:spacing w:line="276" w:lineRule="auto"/>
        <w:ind w:left="1428"/>
        <w:rPr>
          <w:rFonts w:cs="Tahoma"/>
          <w:szCs w:val="24"/>
        </w:rPr>
      </w:pPr>
    </w:p>
    <w:p w14:paraId="79E08893" w14:textId="77777777" w:rsidR="001878AE" w:rsidRPr="00517228" w:rsidRDefault="001878AE"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 xml:space="preserve">En la sentencia SL1421 de 2019, Rad. 56174, M.P. Gerardo Botero Zuluaga, cuando se declaró la ineficacia del traslado, se dijo que una de las consecuencias de tal situación </w:t>
      </w:r>
      <w:r w:rsidRPr="00517228">
        <w:rPr>
          <w:rFonts w:cs="Tahoma"/>
          <w:bCs/>
          <w:szCs w:val="24"/>
        </w:rPr>
        <w:t>era</w:t>
      </w:r>
      <w:r w:rsidRPr="00517228">
        <w:rPr>
          <w:rFonts w:cs="Tahoma"/>
          <w:szCs w:val="24"/>
        </w:rPr>
        <w:t xml:space="preserve"> la devolución de las cuotas de administración a cargo de la AFP, tema que se planteó en los siguientes términos: </w:t>
      </w:r>
    </w:p>
    <w:p w14:paraId="35E45DC6" w14:textId="77777777" w:rsidR="001878AE" w:rsidRPr="00517228" w:rsidRDefault="001878AE" w:rsidP="00517228">
      <w:pPr>
        <w:pStyle w:val="Prrafodelista"/>
        <w:spacing w:line="276" w:lineRule="auto"/>
        <w:ind w:left="644"/>
        <w:rPr>
          <w:rFonts w:cs="Tahoma"/>
          <w:szCs w:val="24"/>
        </w:rPr>
      </w:pPr>
    </w:p>
    <w:p w14:paraId="185DAAD7" w14:textId="77777777" w:rsidR="00935CFB" w:rsidRPr="00935CFB" w:rsidRDefault="00935CFB" w:rsidP="00935CFB">
      <w:pPr>
        <w:tabs>
          <w:tab w:val="left" w:pos="5180"/>
        </w:tabs>
        <w:suppressAutoHyphens/>
        <w:spacing w:line="240" w:lineRule="auto"/>
        <w:ind w:left="426" w:right="420"/>
        <w:contextualSpacing/>
        <w:rPr>
          <w:rFonts w:eastAsia="Calibri" w:cs="Tahoma"/>
          <w:i/>
          <w:sz w:val="22"/>
          <w:szCs w:val="24"/>
          <w:lang w:val="es-ES"/>
        </w:rPr>
      </w:pPr>
      <w:bookmarkStart w:id="9" w:name="_Hlk71716498"/>
      <w:bookmarkStart w:id="10" w:name="_Hlk71714598"/>
      <w:r w:rsidRPr="00935CFB">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C6FB4D9" w14:textId="77777777" w:rsidR="00935CFB" w:rsidRPr="00935CFB" w:rsidRDefault="00935CFB" w:rsidP="00935CFB">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4479D242" w14:textId="77777777" w:rsidR="00935CFB" w:rsidRPr="00935CFB" w:rsidRDefault="00935CFB" w:rsidP="00935CFB">
      <w:pPr>
        <w:tabs>
          <w:tab w:val="left" w:pos="5180"/>
        </w:tabs>
        <w:suppressAutoHyphens/>
        <w:spacing w:line="240" w:lineRule="auto"/>
        <w:ind w:left="426" w:right="420"/>
        <w:contextualSpacing/>
        <w:rPr>
          <w:rFonts w:eastAsia="Calibri" w:cs="Tahoma"/>
          <w:i/>
          <w:sz w:val="22"/>
          <w:szCs w:val="24"/>
          <w:lang w:val="es-ES"/>
        </w:rPr>
      </w:pPr>
      <w:r w:rsidRPr="00935CFB">
        <w:rPr>
          <w:rFonts w:eastAsia="Calibri" w:cs="Tahoma"/>
          <w:i/>
          <w:sz w:val="22"/>
          <w:szCs w:val="24"/>
          <w:lang w:val="es-ES"/>
        </w:rPr>
        <w:t>Sobre las consecuencias de la nulidad del traslado entre regímenes esta Sala en sentencia SL, del 8 de sep. 2008, rad. 31989, reiterada en varias oportunidades, adoctrinó: […]</w:t>
      </w:r>
    </w:p>
    <w:p w14:paraId="1083F742" w14:textId="77777777" w:rsidR="00935CFB" w:rsidRPr="00935CFB" w:rsidRDefault="00935CFB" w:rsidP="00935CFB">
      <w:pPr>
        <w:tabs>
          <w:tab w:val="left" w:pos="5180"/>
        </w:tabs>
        <w:suppressAutoHyphens/>
        <w:spacing w:line="240" w:lineRule="auto"/>
        <w:ind w:left="426" w:right="420"/>
        <w:contextualSpacing/>
        <w:rPr>
          <w:rFonts w:eastAsia="Calibri" w:cs="Tahoma"/>
          <w:i/>
          <w:sz w:val="22"/>
          <w:szCs w:val="24"/>
          <w:lang w:val="es-ES"/>
        </w:rPr>
      </w:pPr>
    </w:p>
    <w:p w14:paraId="31B16B2E" w14:textId="77777777" w:rsidR="00935CFB" w:rsidRPr="00935CFB" w:rsidRDefault="00935CFB" w:rsidP="00935CFB">
      <w:pPr>
        <w:tabs>
          <w:tab w:val="left" w:pos="5180"/>
        </w:tabs>
        <w:suppressAutoHyphens/>
        <w:spacing w:line="240" w:lineRule="auto"/>
        <w:ind w:left="426" w:right="420"/>
        <w:contextualSpacing/>
        <w:rPr>
          <w:rFonts w:eastAsia="Calibri" w:cs="Tahoma"/>
          <w:i/>
          <w:sz w:val="22"/>
          <w:szCs w:val="24"/>
          <w:lang w:val="es-ES"/>
        </w:rPr>
      </w:pPr>
      <w:r w:rsidRPr="00935CFB">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E699322" w14:textId="77777777" w:rsidR="00935CFB" w:rsidRPr="00935CFB" w:rsidRDefault="00935CFB" w:rsidP="00935CFB">
      <w:pPr>
        <w:tabs>
          <w:tab w:val="left" w:pos="5180"/>
        </w:tabs>
        <w:suppressAutoHyphens/>
        <w:spacing w:line="240" w:lineRule="auto"/>
        <w:ind w:left="426" w:right="420"/>
        <w:contextualSpacing/>
        <w:rPr>
          <w:rFonts w:eastAsia="Calibri" w:cs="Tahoma"/>
          <w:i/>
          <w:sz w:val="22"/>
          <w:szCs w:val="24"/>
          <w:lang w:val="es-ES"/>
        </w:rPr>
      </w:pPr>
    </w:p>
    <w:p w14:paraId="333E6DDF" w14:textId="77777777" w:rsidR="00935CFB" w:rsidRPr="00935CFB" w:rsidRDefault="00935CFB" w:rsidP="00935CFB">
      <w:pPr>
        <w:tabs>
          <w:tab w:val="left" w:pos="5180"/>
        </w:tabs>
        <w:suppressAutoHyphens/>
        <w:spacing w:line="240" w:lineRule="auto"/>
        <w:ind w:left="426" w:right="420"/>
        <w:contextualSpacing/>
        <w:rPr>
          <w:rFonts w:eastAsia="Calibri" w:cs="Tahoma"/>
          <w:i/>
          <w:sz w:val="22"/>
          <w:szCs w:val="24"/>
          <w:lang w:val="es-ES"/>
        </w:rPr>
      </w:pPr>
      <w:r w:rsidRPr="00935CFB">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w:t>
      </w:r>
      <w:bookmarkEnd w:id="9"/>
      <w:r w:rsidRPr="00935CFB">
        <w:rPr>
          <w:rFonts w:eastAsia="Calibri" w:cs="Tahoma"/>
          <w:i/>
          <w:sz w:val="22"/>
          <w:szCs w:val="24"/>
          <w:lang w:val="es-ES"/>
        </w:rPr>
        <w:t xml:space="preserve">del artículo 963 del C.C. </w:t>
      </w:r>
    </w:p>
    <w:bookmarkEnd w:id="10"/>
    <w:p w14:paraId="4E132617" w14:textId="77777777" w:rsidR="001878AE" w:rsidRPr="00517228" w:rsidRDefault="001878AE" w:rsidP="00517228">
      <w:pPr>
        <w:widowControl w:val="0"/>
        <w:autoSpaceDE w:val="0"/>
        <w:autoSpaceDN w:val="0"/>
        <w:adjustRightInd w:val="0"/>
        <w:spacing w:line="276" w:lineRule="auto"/>
        <w:rPr>
          <w:rFonts w:cs="Tahoma"/>
          <w:szCs w:val="24"/>
        </w:rPr>
      </w:pPr>
    </w:p>
    <w:p w14:paraId="4FA92AAE" w14:textId="77777777" w:rsidR="001878AE" w:rsidRPr="00517228" w:rsidRDefault="001878AE"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ab/>
        <w:t xml:space="preserve">Dicha postura fue reiterada en la sentencia SL 2611 del 1° de julio de 2020, también con Ponencia del Dr. GERARDO BOTERO ZULUAGA en la que se reafirma </w:t>
      </w:r>
      <w:proofErr w:type="gramStart"/>
      <w:r w:rsidRPr="00517228">
        <w:rPr>
          <w:rFonts w:cs="Tahoma"/>
          <w:szCs w:val="24"/>
        </w:rPr>
        <w:t>que</w:t>
      </w:r>
      <w:proofErr w:type="gramEnd"/>
      <w:r w:rsidRPr="00517228">
        <w:rPr>
          <w:rFonts w:cs="Tahoma"/>
          <w:szCs w:val="24"/>
        </w:rPr>
        <w:t xml:space="preserve"> por cuenta de la ineficacia, las cosas deben retrotraerse al estado en que se encontraban antes de ocurrir el traslado de régimen. Dijo la sentencia: </w:t>
      </w:r>
    </w:p>
    <w:p w14:paraId="27D72563" w14:textId="77777777" w:rsidR="001878AE" w:rsidRPr="00517228" w:rsidRDefault="001878AE" w:rsidP="00517228">
      <w:pPr>
        <w:widowControl w:val="0"/>
        <w:autoSpaceDE w:val="0"/>
        <w:autoSpaceDN w:val="0"/>
        <w:adjustRightInd w:val="0"/>
        <w:spacing w:line="276" w:lineRule="auto"/>
        <w:rPr>
          <w:rFonts w:cs="Tahoma"/>
          <w:szCs w:val="24"/>
        </w:rPr>
      </w:pPr>
    </w:p>
    <w:p w14:paraId="5803238F" w14:textId="77777777" w:rsidR="00935CFB" w:rsidRPr="00935CFB" w:rsidRDefault="00935CFB" w:rsidP="00935CFB">
      <w:pPr>
        <w:tabs>
          <w:tab w:val="left" w:pos="5180"/>
        </w:tabs>
        <w:suppressAutoHyphens/>
        <w:spacing w:line="240" w:lineRule="auto"/>
        <w:ind w:left="426" w:right="420"/>
        <w:contextualSpacing/>
        <w:rPr>
          <w:rFonts w:eastAsia="Calibri" w:cs="Tahoma"/>
          <w:i/>
          <w:sz w:val="22"/>
          <w:szCs w:val="24"/>
          <w:lang w:val="es-ES"/>
        </w:rPr>
      </w:pPr>
      <w:bookmarkStart w:id="11" w:name="_Hlk71714609"/>
      <w:r w:rsidRPr="00935CFB">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w:t>
      </w:r>
      <w:r w:rsidRPr="00935CFB">
        <w:rPr>
          <w:rFonts w:eastAsia="Calibri" w:cs="Tahoma"/>
          <w:i/>
          <w:sz w:val="22"/>
          <w:szCs w:val="24"/>
          <w:lang w:val="es-ES"/>
        </w:rPr>
        <w:lastRenderedPageBreak/>
        <w:t xml:space="preserve">pronunciado en oportunidades anteriores, pudiéndose traer a colación la sentencia CSJ SL17595-2017, donde se rememoró la CSJ SL, 8 sep. 2008, rad. 31989…” </w:t>
      </w:r>
    </w:p>
    <w:bookmarkEnd w:id="11"/>
    <w:p w14:paraId="45BCBB2F" w14:textId="77777777" w:rsidR="001878AE" w:rsidRPr="00517228" w:rsidRDefault="001878AE" w:rsidP="00517228">
      <w:pPr>
        <w:tabs>
          <w:tab w:val="left" w:pos="-1440"/>
          <w:tab w:val="left" w:pos="-720"/>
          <w:tab w:val="left" w:pos="5180"/>
        </w:tabs>
        <w:suppressAutoHyphens/>
        <w:spacing w:line="276" w:lineRule="auto"/>
        <w:rPr>
          <w:rFonts w:cs="Tahoma"/>
          <w:szCs w:val="24"/>
        </w:rPr>
      </w:pPr>
    </w:p>
    <w:p w14:paraId="7465E4B2" w14:textId="77777777" w:rsidR="001878AE" w:rsidRPr="00517228" w:rsidRDefault="001878AE"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4036CB7" w14:textId="77777777" w:rsidR="001878AE" w:rsidRPr="00517228" w:rsidRDefault="001878AE" w:rsidP="00517228">
      <w:pPr>
        <w:widowControl w:val="0"/>
        <w:autoSpaceDE w:val="0"/>
        <w:autoSpaceDN w:val="0"/>
        <w:adjustRightInd w:val="0"/>
        <w:spacing w:line="276" w:lineRule="auto"/>
        <w:rPr>
          <w:rFonts w:cs="Tahoma"/>
          <w:szCs w:val="24"/>
        </w:rPr>
      </w:pPr>
    </w:p>
    <w:p w14:paraId="126E5943" w14:textId="22071C0D" w:rsidR="001878AE" w:rsidRPr="00517228" w:rsidRDefault="001878AE"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 xml:space="preserve">Finalmente, el resto de los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w:t>
      </w:r>
    </w:p>
    <w:p w14:paraId="74759B4B" w14:textId="77777777" w:rsidR="00700EFF" w:rsidRPr="00517228" w:rsidRDefault="00700EFF" w:rsidP="00517228">
      <w:pPr>
        <w:widowControl w:val="0"/>
        <w:autoSpaceDE w:val="0"/>
        <w:autoSpaceDN w:val="0"/>
        <w:adjustRightInd w:val="0"/>
        <w:spacing w:line="276" w:lineRule="auto"/>
        <w:rPr>
          <w:rFonts w:cs="Tahoma"/>
          <w:szCs w:val="24"/>
        </w:rPr>
      </w:pPr>
    </w:p>
    <w:p w14:paraId="09D4533D" w14:textId="77777777" w:rsidR="00790DA9" w:rsidRPr="00517228" w:rsidRDefault="00790DA9" w:rsidP="00517228">
      <w:pPr>
        <w:numPr>
          <w:ilvl w:val="1"/>
          <w:numId w:val="3"/>
        </w:numPr>
        <w:spacing w:line="276" w:lineRule="auto"/>
        <w:ind w:left="0" w:firstLine="0"/>
        <w:contextualSpacing/>
        <w:rPr>
          <w:rFonts w:eastAsia="Calibri" w:cs="Tahoma"/>
          <w:b/>
          <w:szCs w:val="24"/>
        </w:rPr>
      </w:pPr>
      <w:r w:rsidRPr="00517228">
        <w:rPr>
          <w:rFonts w:eastAsia="Calibri" w:cs="Tahoma"/>
          <w:b/>
          <w:szCs w:val="24"/>
        </w:rPr>
        <w:t>Caso concreto</w:t>
      </w:r>
    </w:p>
    <w:p w14:paraId="3189F6D8" w14:textId="00FE5EF5" w:rsidR="00790DA9" w:rsidRPr="00517228" w:rsidRDefault="00790DA9" w:rsidP="00517228">
      <w:pPr>
        <w:pStyle w:val="xmsonormal"/>
        <w:spacing w:before="0" w:beforeAutospacing="0" w:after="0" w:afterAutospacing="0" w:line="276" w:lineRule="auto"/>
        <w:ind w:left="644"/>
        <w:jc w:val="both"/>
        <w:textAlignment w:val="baseline"/>
        <w:rPr>
          <w:rFonts w:ascii="Tahoma" w:hAnsi="Tahoma" w:cs="Tahoma"/>
        </w:rPr>
      </w:pPr>
    </w:p>
    <w:p w14:paraId="53C19E18" w14:textId="77777777" w:rsidR="00BE6BEA" w:rsidRPr="00517228" w:rsidRDefault="00BE6BEA"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45DAD1F7" w14:textId="77777777" w:rsidR="00BE6BEA" w:rsidRPr="00517228" w:rsidRDefault="00BE6BEA" w:rsidP="00517228">
      <w:pPr>
        <w:pStyle w:val="Sinespaciado"/>
        <w:spacing w:line="276" w:lineRule="auto"/>
        <w:rPr>
          <w:rFonts w:ascii="Tahoma" w:hAnsi="Tahoma" w:cs="Tahoma"/>
        </w:rPr>
      </w:pPr>
    </w:p>
    <w:p w14:paraId="76B5C300" w14:textId="1BB4B9DB" w:rsidR="00BE6BEA" w:rsidRPr="00517228" w:rsidRDefault="00BE6BEA"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w:t>
      </w:r>
      <w:r w:rsidR="009206B1" w:rsidRPr="00517228">
        <w:rPr>
          <w:rFonts w:cs="Tahoma"/>
          <w:szCs w:val="24"/>
        </w:rPr>
        <w:t xml:space="preserve"> </w:t>
      </w:r>
      <w:r w:rsidRPr="00517228">
        <w:rPr>
          <w:rFonts w:cs="Tahoma"/>
          <w:szCs w:val="24"/>
        </w:rPr>
        <w:t>l</w:t>
      </w:r>
      <w:r w:rsidR="009206B1" w:rsidRPr="00517228">
        <w:rPr>
          <w:rFonts w:cs="Tahoma"/>
          <w:szCs w:val="24"/>
        </w:rPr>
        <w:t>a</w:t>
      </w:r>
      <w:r w:rsidRPr="00517228">
        <w:rPr>
          <w:rFonts w:cs="Tahoma"/>
          <w:szCs w:val="24"/>
        </w:rPr>
        <w:t xml:space="preserve"> afiliada, acerca del impacto del cambio de régimen pensional.</w:t>
      </w:r>
    </w:p>
    <w:p w14:paraId="3606C1C6" w14:textId="77777777" w:rsidR="00BE6BEA" w:rsidRPr="00517228" w:rsidRDefault="00BE6BEA" w:rsidP="00517228">
      <w:pPr>
        <w:pStyle w:val="Prrafodelista"/>
        <w:spacing w:line="276" w:lineRule="auto"/>
        <w:ind w:left="0"/>
        <w:rPr>
          <w:rFonts w:cs="Tahoma"/>
          <w:szCs w:val="24"/>
        </w:rPr>
      </w:pPr>
    </w:p>
    <w:p w14:paraId="3C449CA0" w14:textId="55905FB2" w:rsidR="00BE6BEA" w:rsidRPr="00517228" w:rsidRDefault="00BE6BEA" w:rsidP="00517228">
      <w:pPr>
        <w:widowControl w:val="0"/>
        <w:tabs>
          <w:tab w:val="left" w:pos="567"/>
        </w:tabs>
        <w:autoSpaceDE w:val="0"/>
        <w:autoSpaceDN w:val="0"/>
        <w:adjustRightInd w:val="0"/>
        <w:spacing w:line="276" w:lineRule="auto"/>
        <w:ind w:firstLine="284"/>
        <w:rPr>
          <w:rFonts w:cs="Tahoma"/>
          <w:b/>
          <w:szCs w:val="24"/>
        </w:rPr>
      </w:pPr>
      <w:r w:rsidRPr="00517228">
        <w:rPr>
          <w:rFonts w:cs="Tahoma"/>
          <w:szCs w:val="24"/>
        </w:rPr>
        <w:t>Así pues, la negligencia en que eventualmente incurre tal administradora de pensiones, al no suministrar la información adecuada y precisa a</w:t>
      </w:r>
      <w:r w:rsidR="009206B1" w:rsidRPr="00517228">
        <w:rPr>
          <w:rFonts w:cs="Tahoma"/>
          <w:szCs w:val="24"/>
        </w:rPr>
        <w:t xml:space="preserve"> l</w:t>
      </w:r>
      <w:r w:rsidRPr="00517228">
        <w:rPr>
          <w:rFonts w:cs="Tahoma"/>
          <w:szCs w:val="24"/>
        </w:rPr>
        <w:t>a afiliada, recaerá en la eficacia del acto, dado que con la omisión o la defectuosa información se ha inducido en error a</w:t>
      </w:r>
      <w:r w:rsidR="003B5E98" w:rsidRPr="00517228">
        <w:rPr>
          <w:rFonts w:cs="Tahoma"/>
          <w:szCs w:val="24"/>
        </w:rPr>
        <w:t xml:space="preserve"> </w:t>
      </w:r>
      <w:r w:rsidRPr="00517228">
        <w:rPr>
          <w:rFonts w:cs="Tahoma"/>
          <w:szCs w:val="24"/>
        </w:rPr>
        <w:t>l</w:t>
      </w:r>
      <w:r w:rsidR="003B5E98" w:rsidRPr="00517228">
        <w:rPr>
          <w:rFonts w:cs="Tahoma"/>
          <w:szCs w:val="24"/>
        </w:rPr>
        <w:t>a</w:t>
      </w:r>
      <w:r w:rsidRPr="00517228">
        <w:rPr>
          <w:rFonts w:cs="Tahoma"/>
          <w:szCs w:val="24"/>
        </w:rPr>
        <w:t xml:space="preserve"> afectada. En curso del proceso la AFP demandada no cumplió con la carga que se le impone, esto es</w:t>
      </w:r>
      <w:r w:rsidRPr="00517228">
        <w:rPr>
          <w:rFonts w:cs="Tahoma"/>
          <w:b/>
          <w:szCs w:val="24"/>
        </w:rPr>
        <w:t>, acreditar haber transmitido a la parte actora la información concreta y cierta, acerca de la implicación del traslado de régimen pensional.</w:t>
      </w:r>
    </w:p>
    <w:p w14:paraId="2F397BD8" w14:textId="77777777" w:rsidR="00BE6BEA" w:rsidRPr="00517228" w:rsidRDefault="00BE6BEA" w:rsidP="00517228">
      <w:pPr>
        <w:pStyle w:val="Prrafodelista"/>
        <w:spacing w:line="276" w:lineRule="auto"/>
        <w:ind w:left="0"/>
        <w:rPr>
          <w:rFonts w:cs="Tahoma"/>
          <w:b/>
          <w:szCs w:val="24"/>
        </w:rPr>
      </w:pPr>
    </w:p>
    <w:p w14:paraId="4B50DF84" w14:textId="77777777" w:rsidR="00BE6BEA" w:rsidRPr="00517228" w:rsidRDefault="00BE6BEA"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 xml:space="preserve">En realidad, mínimo la AFP tendría que haber dado la siguiente información: </w:t>
      </w:r>
      <w:r w:rsidRPr="00517228">
        <w:rPr>
          <w:rFonts w:cs="Tahoma"/>
          <w:i/>
          <w:szCs w:val="24"/>
        </w:rPr>
        <w:t xml:space="preserve">i) </w:t>
      </w:r>
      <w:r w:rsidRPr="00517228">
        <w:rPr>
          <w:rFonts w:cs="Tahoma"/>
          <w:szCs w:val="24"/>
        </w:rPr>
        <w:t xml:space="preserve">Que, dependiendo del capital, puede pensionarse anticipadamente, esto es, antes de la edad mínima para la pensión de vejez. </w:t>
      </w:r>
      <w:proofErr w:type="spellStart"/>
      <w:r w:rsidRPr="00517228">
        <w:rPr>
          <w:rFonts w:cs="Tahoma"/>
          <w:i/>
          <w:szCs w:val="24"/>
        </w:rPr>
        <w:t>ii</w:t>
      </w:r>
      <w:proofErr w:type="spellEnd"/>
      <w:r w:rsidRPr="00517228">
        <w:rPr>
          <w:rFonts w:cs="Tahoma"/>
          <w:i/>
          <w:szCs w:val="24"/>
        </w:rPr>
        <w:t xml:space="preserve">) </w:t>
      </w:r>
      <w:r w:rsidRPr="00517228">
        <w:rPr>
          <w:rFonts w:cs="Tahoma"/>
          <w:szCs w:val="24"/>
        </w:rPr>
        <w:t xml:space="preserve">La posibilidad para sus herederos de hacerse a la devolución de saldos, en caso de que no existieran beneficiaros para la pensión de sobrevivientes. </w:t>
      </w:r>
      <w:proofErr w:type="spellStart"/>
      <w:r w:rsidRPr="00517228">
        <w:rPr>
          <w:rFonts w:cs="Tahoma"/>
          <w:i/>
          <w:szCs w:val="24"/>
        </w:rPr>
        <w:t>iii</w:t>
      </w:r>
      <w:proofErr w:type="spellEnd"/>
      <w:r w:rsidRPr="00517228">
        <w:rPr>
          <w:rFonts w:cs="Tahoma"/>
          <w:i/>
          <w:szCs w:val="24"/>
        </w:rPr>
        <w:t xml:space="preserve">) </w:t>
      </w:r>
      <w:r w:rsidRPr="00517228">
        <w:rPr>
          <w:rFonts w:cs="Tahoma"/>
          <w:szCs w:val="24"/>
        </w:rPr>
        <w:t xml:space="preserve">La devolución total del saldo en caso de no alcanzar a reunir el total de los requisitos legales para optar al beneficio pensional. </w:t>
      </w:r>
      <w:proofErr w:type="spellStart"/>
      <w:r w:rsidRPr="00517228">
        <w:rPr>
          <w:rFonts w:cs="Tahoma"/>
          <w:i/>
          <w:szCs w:val="24"/>
        </w:rPr>
        <w:t>iv</w:t>
      </w:r>
      <w:proofErr w:type="spellEnd"/>
      <w:r w:rsidRPr="00517228">
        <w:rPr>
          <w:rFonts w:cs="Tahoma"/>
          <w:i/>
          <w:szCs w:val="24"/>
        </w:rPr>
        <w:t xml:space="preserve">) </w:t>
      </w:r>
      <w:r w:rsidRPr="00517228">
        <w:rPr>
          <w:rFonts w:cs="Tahoma"/>
          <w:szCs w:val="24"/>
        </w:rPr>
        <w:t xml:space="preserve">Tener la posibilidad de la pensión de vejez habiendo cotizado el mínimo de semanas requeridas a pesar de no reunir el capital suficiente para el financiamiento de la prestación económica. </w:t>
      </w:r>
      <w:r w:rsidRPr="00517228">
        <w:rPr>
          <w:rFonts w:cs="Tahoma"/>
          <w:i/>
          <w:szCs w:val="24"/>
        </w:rPr>
        <w:t xml:space="preserve">v) </w:t>
      </w:r>
      <w:r w:rsidRPr="00517228">
        <w:rPr>
          <w:rFonts w:cs="Tahoma"/>
          <w:szCs w:val="24"/>
        </w:rPr>
        <w:t xml:space="preserve">La posibilidad de que el reconocimiento de la pensión de vejez, una </w:t>
      </w:r>
      <w:r w:rsidRPr="00517228">
        <w:rPr>
          <w:rFonts w:cs="Tahoma"/>
          <w:szCs w:val="24"/>
        </w:rPr>
        <w:lastRenderedPageBreak/>
        <w:t xml:space="preserve">vez reunido los requisitos, se haga pronto. </w:t>
      </w:r>
      <w:r w:rsidRPr="00517228">
        <w:rPr>
          <w:rFonts w:cs="Tahoma"/>
          <w:i/>
          <w:szCs w:val="24"/>
        </w:rPr>
        <w:t xml:space="preserve">vi) </w:t>
      </w:r>
      <w:r w:rsidRPr="00517228">
        <w:rPr>
          <w:rFonts w:cs="Tahoma"/>
          <w:szCs w:val="24"/>
        </w:rPr>
        <w:t xml:space="preserve">La posibilidad de que sus aportes se conviertan en patrimonio </w:t>
      </w:r>
      <w:proofErr w:type="spellStart"/>
      <w:r w:rsidRPr="00517228">
        <w:rPr>
          <w:rFonts w:cs="Tahoma"/>
          <w:szCs w:val="24"/>
        </w:rPr>
        <w:t>sucesoral</w:t>
      </w:r>
      <w:proofErr w:type="spellEnd"/>
      <w:r w:rsidRPr="00517228">
        <w:rPr>
          <w:rFonts w:cs="Tahoma"/>
          <w:szCs w:val="24"/>
        </w:rPr>
        <w:t xml:space="preserve"> en un caso dado. </w:t>
      </w:r>
      <w:proofErr w:type="spellStart"/>
      <w:r w:rsidRPr="00517228">
        <w:rPr>
          <w:rFonts w:cs="Tahoma"/>
          <w:i/>
          <w:szCs w:val="24"/>
        </w:rPr>
        <w:t>vii</w:t>
      </w:r>
      <w:proofErr w:type="spellEnd"/>
      <w:r w:rsidRPr="00517228">
        <w:rPr>
          <w:rFonts w:cs="Tahoma"/>
          <w:i/>
          <w:szCs w:val="24"/>
        </w:rPr>
        <w:t xml:space="preserve">) </w:t>
      </w:r>
      <w:r w:rsidRPr="00517228">
        <w:rPr>
          <w:rFonts w:cs="Tahoma"/>
          <w:szCs w:val="24"/>
        </w:rPr>
        <w:t xml:space="preserve">El hecho de que el afiliado es el único titular de la cuenta de ahorro individual en contraste con el fondo público cuyos ahorros hacen parte de un fondo común. </w:t>
      </w:r>
      <w:proofErr w:type="spellStart"/>
      <w:r w:rsidRPr="00517228">
        <w:rPr>
          <w:rFonts w:cs="Tahoma"/>
          <w:i/>
          <w:szCs w:val="24"/>
        </w:rPr>
        <w:t>viii</w:t>
      </w:r>
      <w:proofErr w:type="spellEnd"/>
      <w:r w:rsidRPr="00517228">
        <w:rPr>
          <w:rFonts w:cs="Tahoma"/>
          <w:i/>
          <w:szCs w:val="24"/>
        </w:rPr>
        <w:t xml:space="preserve">) </w:t>
      </w:r>
      <w:r w:rsidRPr="00517228">
        <w:rPr>
          <w:rFonts w:cs="Tahoma"/>
          <w:szCs w:val="24"/>
        </w:rPr>
        <w:t xml:space="preserve">Los rendimientos financieros que le generen sus aportes abonados sobre el saldo de su cuenta de ahorro individual; y, </w:t>
      </w:r>
      <w:proofErr w:type="spellStart"/>
      <w:r w:rsidRPr="00517228">
        <w:rPr>
          <w:rFonts w:cs="Tahoma"/>
          <w:i/>
          <w:szCs w:val="24"/>
        </w:rPr>
        <w:t>ix</w:t>
      </w:r>
      <w:proofErr w:type="spellEnd"/>
      <w:r w:rsidRPr="00517228">
        <w:rPr>
          <w:rFonts w:cs="Tahoma"/>
          <w:i/>
          <w:szCs w:val="24"/>
        </w:rPr>
        <w:t xml:space="preserve">) </w:t>
      </w:r>
      <w:r w:rsidRPr="00517228">
        <w:rPr>
          <w:rFonts w:cs="Tahoma"/>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517228">
        <w:rPr>
          <w:rFonts w:cs="Tahoma"/>
          <w:szCs w:val="24"/>
        </w:rPr>
        <w:t>sucesoral</w:t>
      </w:r>
      <w:proofErr w:type="spellEnd"/>
      <w:proofErr w:type="gramEnd"/>
      <w:r w:rsidRPr="00517228">
        <w:rPr>
          <w:rFonts w:cs="Tahoma"/>
          <w:szCs w:val="24"/>
        </w:rPr>
        <w:t xml:space="preserve"> pero le garantiza una pensión de por vida. La modalidad de </w:t>
      </w:r>
      <w:r w:rsidRPr="00517228">
        <w:rPr>
          <w:rFonts w:cs="Tahoma"/>
          <w:i/>
          <w:szCs w:val="24"/>
        </w:rPr>
        <w:t>retiro programado</w:t>
      </w:r>
      <w:r w:rsidRPr="00517228">
        <w:rPr>
          <w:rFonts w:cs="Tahoma"/>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98D955A" w14:textId="07A767F4" w:rsidR="00BE6BEA" w:rsidRPr="00517228" w:rsidRDefault="00BE6BEA" w:rsidP="00517228">
      <w:pPr>
        <w:pStyle w:val="xmsonormal"/>
        <w:spacing w:before="0" w:beforeAutospacing="0" w:after="0" w:afterAutospacing="0" w:line="276" w:lineRule="auto"/>
        <w:ind w:left="644"/>
        <w:jc w:val="both"/>
        <w:textAlignment w:val="baseline"/>
        <w:rPr>
          <w:rFonts w:ascii="Tahoma" w:hAnsi="Tahoma" w:cs="Tahoma"/>
          <w:lang w:val="es-CO"/>
        </w:rPr>
      </w:pPr>
    </w:p>
    <w:p w14:paraId="37C8D240" w14:textId="6291C599" w:rsidR="00FC4541" w:rsidRPr="00517228" w:rsidRDefault="00FC4541"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Pues bien, en el presente asunto se afirma la AFP que brind</w:t>
      </w:r>
      <w:r w:rsidR="003B5E98" w:rsidRPr="00517228">
        <w:rPr>
          <w:rFonts w:cs="Tahoma"/>
          <w:szCs w:val="24"/>
        </w:rPr>
        <w:t>ó</w:t>
      </w:r>
      <w:r w:rsidRPr="00517228">
        <w:rPr>
          <w:rFonts w:cs="Tahoma"/>
          <w:szCs w:val="24"/>
        </w:rPr>
        <w:t xml:space="preserve"> la información que era jurídicamente pertinente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citado en precedencia.</w:t>
      </w:r>
    </w:p>
    <w:p w14:paraId="2E36B6D2" w14:textId="77777777" w:rsidR="00FC4541" w:rsidRPr="00517228" w:rsidRDefault="00FC4541" w:rsidP="00517228">
      <w:pPr>
        <w:widowControl w:val="0"/>
        <w:shd w:val="clear" w:color="auto" w:fill="FFFFFF" w:themeFill="background1"/>
        <w:tabs>
          <w:tab w:val="left" w:pos="1134"/>
        </w:tabs>
        <w:autoSpaceDE w:val="0"/>
        <w:autoSpaceDN w:val="0"/>
        <w:adjustRightInd w:val="0"/>
        <w:spacing w:line="276" w:lineRule="auto"/>
        <w:rPr>
          <w:rFonts w:cs="Tahoma"/>
          <w:szCs w:val="24"/>
          <w:lang w:val="es-ES"/>
        </w:rPr>
      </w:pPr>
    </w:p>
    <w:p w14:paraId="04105A67" w14:textId="0D567A24" w:rsidR="00FC4541" w:rsidRPr="00517228" w:rsidRDefault="00FC4541"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De hecho, los citados precedentes dejan al descubierto que, para la fecha de la creación de la AFP, existían normas en el código civil y en el estatuto financiero que obligaban a los fondos a brindar una asesoría adecuada de cara a lo que consistía el nuevo régimen de ahorro individual con solidaridad por lo menos en los puntos esbozados en líneas atrás.</w:t>
      </w:r>
    </w:p>
    <w:p w14:paraId="3C4BBACE" w14:textId="47121BBE" w:rsidR="00BE6BEA" w:rsidRPr="00517228" w:rsidRDefault="00BE6BEA" w:rsidP="00517228">
      <w:pPr>
        <w:pStyle w:val="xmsonormal"/>
        <w:spacing w:before="0" w:beforeAutospacing="0" w:after="0" w:afterAutospacing="0" w:line="276" w:lineRule="auto"/>
        <w:ind w:left="644"/>
        <w:jc w:val="both"/>
        <w:textAlignment w:val="baseline"/>
        <w:rPr>
          <w:rFonts w:ascii="Tahoma" w:hAnsi="Tahoma" w:cs="Tahoma"/>
          <w:lang w:val="es-CO"/>
        </w:rPr>
      </w:pPr>
    </w:p>
    <w:p w14:paraId="38362397" w14:textId="0977BAA2" w:rsidR="004C46ED" w:rsidRPr="00517228" w:rsidRDefault="004C46ED"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Con todo, hay que indicar que como prueba del cumplimiento del deber de información y buen consejo, la demandada llam</w:t>
      </w:r>
      <w:r w:rsidR="003B5E98" w:rsidRPr="00517228">
        <w:rPr>
          <w:rFonts w:cs="Tahoma"/>
          <w:szCs w:val="24"/>
        </w:rPr>
        <w:t>ó</w:t>
      </w:r>
      <w:r w:rsidRPr="00517228">
        <w:rPr>
          <w:rFonts w:cs="Tahoma"/>
          <w:szCs w:val="24"/>
        </w:rPr>
        <w:t xml:space="preserve"> a declarar a su contraparte procesal, de cuya intervención, en definitiva no lograron desvirtuar la escasa o sesgada información recibida, según los hechos de la demanda,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tal como lo concluyó la A-quo. Así mismo, con el otro elemento de prueba que se esgrime por la</w:t>
      </w:r>
      <w:r w:rsidR="003B5E98" w:rsidRPr="00517228">
        <w:rPr>
          <w:rFonts w:cs="Tahoma"/>
          <w:szCs w:val="24"/>
        </w:rPr>
        <w:t xml:space="preserve"> </w:t>
      </w:r>
      <w:r w:rsidRPr="00517228">
        <w:rPr>
          <w:rFonts w:cs="Tahoma"/>
          <w:szCs w:val="24"/>
        </w:rPr>
        <w:t xml:space="preserve">AFP, esto es, el formulario de afiliación suscrito por </w:t>
      </w:r>
      <w:r w:rsidR="003B5E98" w:rsidRPr="00517228">
        <w:rPr>
          <w:rFonts w:cs="Tahoma"/>
          <w:szCs w:val="24"/>
        </w:rPr>
        <w:t>l</w:t>
      </w:r>
      <w:r w:rsidRPr="00517228">
        <w:rPr>
          <w:rFonts w:cs="Tahoma"/>
          <w:szCs w:val="24"/>
        </w:rPr>
        <w:t>a promotora</w:t>
      </w:r>
      <w:r w:rsidR="003B5E98" w:rsidRPr="00517228">
        <w:rPr>
          <w:rFonts w:cs="Tahoma"/>
          <w:szCs w:val="24"/>
        </w:rPr>
        <w:t xml:space="preserve"> </w:t>
      </w:r>
      <w:r w:rsidRPr="00517228">
        <w:rPr>
          <w:rFonts w:cs="Tahoma"/>
          <w:szCs w:val="24"/>
        </w:rPr>
        <w:t>de la litis, tampoco se logra evidenciar la información que se le brindó a</w:t>
      </w:r>
      <w:r w:rsidR="003B5E98" w:rsidRPr="00517228">
        <w:rPr>
          <w:rFonts w:cs="Tahoma"/>
          <w:szCs w:val="24"/>
        </w:rPr>
        <w:t xml:space="preserve"> </w:t>
      </w:r>
      <w:r w:rsidRPr="00517228">
        <w:rPr>
          <w:rFonts w:cs="Tahoma"/>
          <w:szCs w:val="24"/>
        </w:rPr>
        <w:t>l</w:t>
      </w:r>
      <w:r w:rsidR="003B5E98" w:rsidRPr="00517228">
        <w:rPr>
          <w:rFonts w:cs="Tahoma"/>
          <w:szCs w:val="24"/>
        </w:rPr>
        <w:t>a</w:t>
      </w:r>
      <w:r w:rsidRPr="00517228">
        <w:rPr>
          <w:rFonts w:cs="Tahoma"/>
          <w:szCs w:val="24"/>
        </w:rPr>
        <w:t xml:space="preserve"> afiliada. </w:t>
      </w:r>
    </w:p>
    <w:p w14:paraId="7E0EF3B8" w14:textId="1EA8E031" w:rsidR="009853EE" w:rsidRPr="00517228" w:rsidRDefault="009853EE" w:rsidP="00517228">
      <w:pPr>
        <w:widowControl w:val="0"/>
        <w:tabs>
          <w:tab w:val="left" w:pos="567"/>
        </w:tabs>
        <w:autoSpaceDE w:val="0"/>
        <w:autoSpaceDN w:val="0"/>
        <w:adjustRightInd w:val="0"/>
        <w:spacing w:line="276" w:lineRule="auto"/>
        <w:ind w:firstLine="284"/>
        <w:rPr>
          <w:rFonts w:cs="Tahoma"/>
          <w:szCs w:val="24"/>
        </w:rPr>
      </w:pPr>
    </w:p>
    <w:p w14:paraId="4FAD8580" w14:textId="778D2401" w:rsidR="009853EE" w:rsidRPr="00517228" w:rsidRDefault="009853EE"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De hecho, l</w:t>
      </w:r>
      <w:r w:rsidR="003B5E98" w:rsidRPr="00517228">
        <w:rPr>
          <w:rFonts w:cs="Tahoma"/>
          <w:szCs w:val="24"/>
        </w:rPr>
        <w:t>a</w:t>
      </w:r>
      <w:r w:rsidRPr="00517228">
        <w:rPr>
          <w:rFonts w:cs="Tahoma"/>
          <w:szCs w:val="24"/>
        </w:rPr>
        <w:t xml:space="preserve"> demandante al rendir interrogato</w:t>
      </w:r>
      <w:r w:rsidR="009253E4" w:rsidRPr="00517228">
        <w:rPr>
          <w:rFonts w:cs="Tahoma"/>
          <w:szCs w:val="24"/>
        </w:rPr>
        <w:t xml:space="preserve">rio se limitó a decir que la asesoría fue corta; </w:t>
      </w:r>
      <w:r w:rsidR="00154FD8" w:rsidRPr="00517228">
        <w:rPr>
          <w:rFonts w:cs="Tahoma"/>
          <w:szCs w:val="24"/>
        </w:rPr>
        <w:t xml:space="preserve">que se le indicó que de trasladarse a Porvenir S.A. podría pensionarse a más temprana edad y que monto de su pensión sería mucho más alto; </w:t>
      </w:r>
      <w:r w:rsidR="009253E4" w:rsidRPr="00517228">
        <w:rPr>
          <w:rFonts w:cs="Tahoma"/>
          <w:szCs w:val="24"/>
        </w:rPr>
        <w:t xml:space="preserve">que </w:t>
      </w:r>
      <w:r w:rsidR="003B5E98" w:rsidRPr="00517228">
        <w:rPr>
          <w:rFonts w:cs="Tahoma"/>
          <w:szCs w:val="24"/>
        </w:rPr>
        <w:t xml:space="preserve">no tuvo la comprensión necesaria sobre las implicaciones; que la misma asesora de Porvenir sacó copia de su documento de identidad y que no se </w:t>
      </w:r>
      <w:r w:rsidR="00154FD8" w:rsidRPr="00517228">
        <w:rPr>
          <w:rFonts w:cs="Tahoma"/>
          <w:szCs w:val="24"/>
        </w:rPr>
        <w:t xml:space="preserve">le </w:t>
      </w:r>
      <w:r w:rsidR="003B5E98" w:rsidRPr="00517228">
        <w:rPr>
          <w:rFonts w:cs="Tahoma"/>
          <w:szCs w:val="24"/>
        </w:rPr>
        <w:t>advirtió sobre las diferencias entre los regímenes.</w:t>
      </w:r>
    </w:p>
    <w:p w14:paraId="1CBF16A0" w14:textId="77777777" w:rsidR="004C46ED" w:rsidRPr="00517228" w:rsidRDefault="004C46ED" w:rsidP="00517228">
      <w:pPr>
        <w:pStyle w:val="xmsonormal"/>
        <w:spacing w:before="0" w:beforeAutospacing="0" w:after="0" w:afterAutospacing="0" w:line="276" w:lineRule="auto"/>
        <w:ind w:left="644"/>
        <w:jc w:val="both"/>
        <w:textAlignment w:val="baseline"/>
        <w:rPr>
          <w:rFonts w:ascii="Tahoma" w:hAnsi="Tahoma" w:cs="Tahoma"/>
          <w:lang w:val="es-CO"/>
        </w:rPr>
      </w:pPr>
    </w:p>
    <w:p w14:paraId="627A5BF1" w14:textId="77B08D5F" w:rsidR="00D459BB" w:rsidRPr="00517228" w:rsidRDefault="00D459BB"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Hasta aquí, a juicio de esta colegiatura, por lo menos a la parte demandante se le debió hacer un discernimiento mínimo de las limitantes que tenía el RAIS en contraste con el régimen de prima media, o viceversa,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4B2C775D" w14:textId="03EBFC63" w:rsidR="00734150" w:rsidRPr="00517228" w:rsidRDefault="00734150" w:rsidP="00517228">
      <w:pPr>
        <w:widowControl w:val="0"/>
        <w:tabs>
          <w:tab w:val="left" w:pos="567"/>
        </w:tabs>
        <w:autoSpaceDE w:val="0"/>
        <w:autoSpaceDN w:val="0"/>
        <w:adjustRightInd w:val="0"/>
        <w:spacing w:line="276" w:lineRule="auto"/>
        <w:ind w:firstLine="284"/>
        <w:rPr>
          <w:rFonts w:cs="Tahoma"/>
          <w:szCs w:val="24"/>
        </w:rPr>
      </w:pPr>
    </w:p>
    <w:p w14:paraId="0F3E0E07" w14:textId="191014B7" w:rsidR="00734150" w:rsidRPr="00517228" w:rsidRDefault="00734150"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 xml:space="preserve">Así, la suscripción del formulario de afiliación Nro. </w:t>
      </w:r>
      <w:r w:rsidR="00D9394C" w:rsidRPr="00517228">
        <w:rPr>
          <w:rFonts w:cs="Tahoma"/>
          <w:szCs w:val="24"/>
        </w:rPr>
        <w:t>02141745</w:t>
      </w:r>
      <w:r w:rsidRPr="00517228">
        <w:rPr>
          <w:rFonts w:cs="Tahoma"/>
          <w:szCs w:val="24"/>
        </w:rPr>
        <w:t xml:space="preserve"> con la AFP </w:t>
      </w:r>
      <w:r w:rsidR="00D9394C" w:rsidRPr="00517228">
        <w:rPr>
          <w:rFonts w:cs="Tahoma"/>
          <w:szCs w:val="24"/>
        </w:rPr>
        <w:t>Porvenir S.A.</w:t>
      </w:r>
      <w:r w:rsidRPr="00517228">
        <w:rPr>
          <w:rFonts w:cs="Tahoma"/>
          <w:szCs w:val="24"/>
        </w:rPr>
        <w:t xml:space="preserve"> el </w:t>
      </w:r>
      <w:r w:rsidR="00D9394C" w:rsidRPr="00517228">
        <w:rPr>
          <w:rFonts w:cs="Tahoma"/>
          <w:szCs w:val="24"/>
        </w:rPr>
        <w:t>19</w:t>
      </w:r>
      <w:r w:rsidRPr="00517228">
        <w:rPr>
          <w:rFonts w:cs="Tahoma"/>
          <w:szCs w:val="24"/>
        </w:rPr>
        <w:t xml:space="preserve"> de </w:t>
      </w:r>
      <w:r w:rsidR="00D9394C" w:rsidRPr="00517228">
        <w:rPr>
          <w:rFonts w:cs="Tahoma"/>
          <w:szCs w:val="24"/>
        </w:rPr>
        <w:t>octubre</w:t>
      </w:r>
      <w:r w:rsidRPr="00517228">
        <w:rPr>
          <w:rFonts w:cs="Tahoma"/>
          <w:szCs w:val="24"/>
        </w:rPr>
        <w:t xml:space="preserve"> del año 200</w:t>
      </w:r>
      <w:r w:rsidR="00D9394C" w:rsidRPr="00517228">
        <w:rPr>
          <w:rFonts w:cs="Tahoma"/>
          <w:szCs w:val="24"/>
        </w:rPr>
        <w:t>4</w:t>
      </w:r>
      <w:r w:rsidRPr="00517228">
        <w:rPr>
          <w:rFonts w:cs="Tahoma"/>
          <w:szCs w:val="24"/>
        </w:rPr>
        <w:t xml:space="preserve">, en definitiva, no </w:t>
      </w:r>
      <w:r w:rsidR="00D9394C" w:rsidRPr="00517228">
        <w:rPr>
          <w:rFonts w:cs="Tahoma"/>
          <w:szCs w:val="24"/>
        </w:rPr>
        <w:t>es</w:t>
      </w:r>
      <w:r w:rsidRPr="00517228">
        <w:rPr>
          <w:rFonts w:cs="Tahoma"/>
          <w:szCs w:val="24"/>
        </w:rPr>
        <w:t xml:space="preserve"> suficiente para dar por demostrado que se cumplió con el deber de información., sin que se pueda afirmar que la permanencia de</w:t>
      </w:r>
      <w:r w:rsidR="00D9394C" w:rsidRPr="00517228">
        <w:rPr>
          <w:rFonts w:cs="Tahoma"/>
          <w:szCs w:val="24"/>
        </w:rPr>
        <w:t xml:space="preserve"> </w:t>
      </w:r>
      <w:r w:rsidRPr="00517228">
        <w:rPr>
          <w:rFonts w:cs="Tahoma"/>
          <w:szCs w:val="24"/>
        </w:rPr>
        <w:t>l</w:t>
      </w:r>
      <w:r w:rsidR="00D9394C" w:rsidRPr="00517228">
        <w:rPr>
          <w:rFonts w:cs="Tahoma"/>
          <w:szCs w:val="24"/>
        </w:rPr>
        <w:t>a</w:t>
      </w:r>
      <w:r w:rsidRPr="00517228">
        <w:rPr>
          <w:rFonts w:cs="Tahoma"/>
          <w:szCs w:val="24"/>
        </w:rPr>
        <w:t xml:space="preserve"> afiliad</w:t>
      </w:r>
      <w:r w:rsidR="00D9394C" w:rsidRPr="00517228">
        <w:rPr>
          <w:rFonts w:cs="Tahoma"/>
          <w:szCs w:val="24"/>
        </w:rPr>
        <w:t>a</w:t>
      </w:r>
      <w:r w:rsidRPr="00517228">
        <w:rPr>
          <w:rFonts w:cs="Tahoma"/>
          <w:szCs w:val="24"/>
        </w:rPr>
        <w:t xml:space="preserve"> en el RAIS denot</w:t>
      </w:r>
      <w:r w:rsidR="0027358B" w:rsidRPr="00517228">
        <w:rPr>
          <w:rFonts w:cs="Tahoma"/>
          <w:szCs w:val="24"/>
        </w:rPr>
        <w:t>a</w:t>
      </w:r>
      <w:r w:rsidRPr="00517228">
        <w:rPr>
          <w:rFonts w:cs="Tahoma"/>
          <w:szCs w:val="24"/>
        </w:rPr>
        <w:t xml:space="preserve"> una ratificación o convalidación de su traslado de régimen</w:t>
      </w:r>
      <w:r w:rsidR="004A1054" w:rsidRPr="00517228">
        <w:rPr>
          <w:rFonts w:cs="Tahoma"/>
          <w:szCs w:val="24"/>
        </w:rPr>
        <w:t>, como lo quiere hacer ver Protección S.A.</w:t>
      </w:r>
      <w:r w:rsidRPr="00517228">
        <w:rPr>
          <w:rFonts w:cs="Tahoma"/>
          <w:szCs w:val="24"/>
        </w:rPr>
        <w:t xml:space="preserve"> </w:t>
      </w:r>
    </w:p>
    <w:p w14:paraId="782DA342" w14:textId="77777777" w:rsidR="00734150" w:rsidRPr="00517228" w:rsidRDefault="00734150" w:rsidP="00517228">
      <w:pPr>
        <w:widowControl w:val="0"/>
        <w:tabs>
          <w:tab w:val="left" w:pos="567"/>
        </w:tabs>
        <w:autoSpaceDE w:val="0"/>
        <w:autoSpaceDN w:val="0"/>
        <w:adjustRightInd w:val="0"/>
        <w:spacing w:line="276" w:lineRule="auto"/>
        <w:ind w:firstLine="284"/>
        <w:rPr>
          <w:rFonts w:cs="Tahoma"/>
          <w:szCs w:val="24"/>
        </w:rPr>
      </w:pPr>
    </w:p>
    <w:p w14:paraId="3386C89F" w14:textId="55CE3D13" w:rsidR="00FE63C7" w:rsidRPr="00517228" w:rsidRDefault="00734150" w:rsidP="00517228">
      <w:pPr>
        <w:widowControl w:val="0"/>
        <w:tabs>
          <w:tab w:val="left" w:pos="567"/>
        </w:tabs>
        <w:autoSpaceDE w:val="0"/>
        <w:autoSpaceDN w:val="0"/>
        <w:adjustRightInd w:val="0"/>
        <w:spacing w:line="276" w:lineRule="auto"/>
        <w:ind w:firstLine="284"/>
        <w:rPr>
          <w:rFonts w:cs="Tahoma"/>
          <w:szCs w:val="24"/>
        </w:rPr>
      </w:pPr>
      <w:r w:rsidRPr="00517228">
        <w:rPr>
          <w:rFonts w:cs="Tahoma"/>
          <w:szCs w:val="24"/>
        </w:rPr>
        <w:t>Ahora, d</w:t>
      </w:r>
      <w:r w:rsidR="009E715D" w:rsidRPr="00517228">
        <w:rPr>
          <w:rFonts w:cs="Tahoma"/>
          <w:szCs w:val="24"/>
        </w:rPr>
        <w:t>e conformidad con el precedente jurisprudencial traído a colación</w:t>
      </w:r>
      <w:r w:rsidR="00D459BB" w:rsidRPr="00517228">
        <w:rPr>
          <w:rFonts w:cs="Tahoma"/>
          <w:szCs w:val="24"/>
        </w:rPr>
        <w:t xml:space="preserve"> y las circunstancias que rodearon el caso</w:t>
      </w:r>
      <w:r w:rsidR="009E715D" w:rsidRPr="00517228">
        <w:rPr>
          <w:rFonts w:cs="Tahoma"/>
          <w:szCs w:val="24"/>
        </w:rPr>
        <w:t>, es evidente que la AFP Porvenir S.A. debía otorgar a</w:t>
      </w:r>
      <w:r w:rsidR="0027358B" w:rsidRPr="00517228">
        <w:rPr>
          <w:rFonts w:cs="Tahoma"/>
          <w:szCs w:val="24"/>
        </w:rPr>
        <w:t xml:space="preserve"> </w:t>
      </w:r>
      <w:r w:rsidR="009E715D" w:rsidRPr="00517228">
        <w:rPr>
          <w:rFonts w:cs="Tahoma"/>
          <w:szCs w:val="24"/>
        </w:rPr>
        <w:t>l</w:t>
      </w:r>
      <w:r w:rsidR="0027358B" w:rsidRPr="00517228">
        <w:rPr>
          <w:rFonts w:cs="Tahoma"/>
          <w:szCs w:val="24"/>
        </w:rPr>
        <w:t>a</w:t>
      </w:r>
      <w:r w:rsidR="009E715D" w:rsidRPr="00517228">
        <w:rPr>
          <w:rFonts w:cs="Tahoma"/>
          <w:szCs w:val="24"/>
        </w:rPr>
        <w:t xml:space="preserve"> señor</w:t>
      </w:r>
      <w:r w:rsidR="0027358B" w:rsidRPr="00517228">
        <w:rPr>
          <w:rFonts w:cs="Tahoma"/>
          <w:szCs w:val="24"/>
        </w:rPr>
        <w:t>a</w:t>
      </w:r>
      <w:r w:rsidR="009E715D" w:rsidRPr="00517228">
        <w:rPr>
          <w:rFonts w:cs="Tahoma"/>
          <w:szCs w:val="24"/>
        </w:rPr>
        <w:t xml:space="preserve"> </w:t>
      </w:r>
      <w:r w:rsidR="0027358B" w:rsidRPr="00517228">
        <w:rPr>
          <w:rFonts w:cs="Tahoma"/>
          <w:szCs w:val="24"/>
        </w:rPr>
        <w:t>María Graciela Arias</w:t>
      </w:r>
      <w:r w:rsidR="009E715D" w:rsidRPr="00517228">
        <w:rPr>
          <w:rFonts w:cs="Tahoma"/>
          <w:szCs w:val="24"/>
        </w:rPr>
        <w:t xml:space="preserve"> una información clara, comprensible y suficiente, sobre las consecuencias favorables y desfavorables que su decisión acarreaba.</w:t>
      </w:r>
      <w:r w:rsidR="00CF703F" w:rsidRPr="00517228">
        <w:rPr>
          <w:rFonts w:cs="Tahoma"/>
          <w:szCs w:val="24"/>
        </w:rPr>
        <w:t xml:space="preserve"> Sin embargo,</w:t>
      </w:r>
      <w:r w:rsidR="00FE63C7" w:rsidRPr="00517228">
        <w:rPr>
          <w:rFonts w:cs="Tahoma"/>
          <w:szCs w:val="24"/>
        </w:rPr>
        <w:t xml:space="preserve"> </w:t>
      </w:r>
      <w:r w:rsidR="0027358B" w:rsidRPr="00517228">
        <w:rPr>
          <w:rFonts w:cs="Tahoma"/>
          <w:szCs w:val="24"/>
        </w:rPr>
        <w:t>el</w:t>
      </w:r>
      <w:r w:rsidR="00600B9D" w:rsidRPr="00517228">
        <w:rPr>
          <w:rFonts w:cs="Tahoma"/>
          <w:szCs w:val="24"/>
        </w:rPr>
        <w:t xml:space="preserve"> fondo demandado no </w:t>
      </w:r>
      <w:r w:rsidR="00CF703F" w:rsidRPr="00517228">
        <w:rPr>
          <w:rFonts w:cs="Tahoma"/>
          <w:szCs w:val="24"/>
        </w:rPr>
        <w:t>logr</w:t>
      </w:r>
      <w:r w:rsidR="0027358B" w:rsidRPr="00517228">
        <w:rPr>
          <w:rFonts w:cs="Tahoma"/>
          <w:szCs w:val="24"/>
        </w:rPr>
        <w:t>ó</w:t>
      </w:r>
      <w:r w:rsidR="00CF703F" w:rsidRPr="00517228">
        <w:rPr>
          <w:rFonts w:cs="Tahoma"/>
          <w:szCs w:val="24"/>
        </w:rPr>
        <w:t xml:space="preserve"> probar</w:t>
      </w:r>
      <w:r w:rsidR="00600B9D" w:rsidRPr="00517228">
        <w:rPr>
          <w:rFonts w:cs="Tahoma"/>
          <w:szCs w:val="24"/>
        </w:rPr>
        <w:t xml:space="preserve"> que cumpli</w:t>
      </w:r>
      <w:r w:rsidR="0027358B" w:rsidRPr="00517228">
        <w:rPr>
          <w:rFonts w:cs="Tahoma"/>
          <w:szCs w:val="24"/>
        </w:rPr>
        <w:t xml:space="preserve">ó </w:t>
      </w:r>
      <w:r w:rsidR="00600B9D" w:rsidRPr="00517228">
        <w:rPr>
          <w:rFonts w:cs="Tahoma"/>
          <w:szCs w:val="24"/>
        </w:rPr>
        <w:t xml:space="preserve">con el deber de informar </w:t>
      </w:r>
      <w:r w:rsidR="006F3644" w:rsidRPr="00517228">
        <w:rPr>
          <w:rFonts w:cs="Tahoma"/>
          <w:szCs w:val="24"/>
        </w:rPr>
        <w:t>plenamente</w:t>
      </w:r>
      <w:r w:rsidR="00600B9D" w:rsidRPr="00517228">
        <w:rPr>
          <w:rFonts w:cs="Tahoma"/>
          <w:szCs w:val="24"/>
        </w:rPr>
        <w:t xml:space="preserve"> a</w:t>
      </w:r>
      <w:r w:rsidR="0027358B" w:rsidRPr="00517228">
        <w:rPr>
          <w:rFonts w:cs="Tahoma"/>
          <w:szCs w:val="24"/>
        </w:rPr>
        <w:t xml:space="preserve"> </w:t>
      </w:r>
      <w:r w:rsidR="00600B9D" w:rsidRPr="00517228">
        <w:rPr>
          <w:rFonts w:cs="Tahoma"/>
          <w:szCs w:val="24"/>
        </w:rPr>
        <w:t>l</w:t>
      </w:r>
      <w:r w:rsidR="0027358B" w:rsidRPr="00517228">
        <w:rPr>
          <w:rFonts w:cs="Tahoma"/>
          <w:szCs w:val="24"/>
        </w:rPr>
        <w:t>a</w:t>
      </w:r>
      <w:r w:rsidR="00600B9D" w:rsidRPr="00517228">
        <w:rPr>
          <w:rFonts w:cs="Tahoma"/>
          <w:szCs w:val="24"/>
        </w:rPr>
        <w:t xml:space="preserve"> afiliad</w:t>
      </w:r>
      <w:r w:rsidR="0027358B" w:rsidRPr="00517228">
        <w:rPr>
          <w:rFonts w:cs="Tahoma"/>
          <w:szCs w:val="24"/>
        </w:rPr>
        <w:t>a</w:t>
      </w:r>
      <w:r w:rsidR="00D459BB" w:rsidRPr="00517228">
        <w:rPr>
          <w:rFonts w:cs="Tahoma"/>
          <w:szCs w:val="24"/>
        </w:rPr>
        <w:t xml:space="preserve">, por lo que </w:t>
      </w:r>
      <w:r w:rsidR="000856A8" w:rsidRPr="00517228">
        <w:rPr>
          <w:rFonts w:cs="Tahoma"/>
          <w:szCs w:val="24"/>
        </w:rPr>
        <w:t>no puede alegarse que existió una manifestación libre y voluntaria</w:t>
      </w:r>
      <w:r w:rsidR="006F3644" w:rsidRPr="00517228">
        <w:rPr>
          <w:rFonts w:cs="Tahoma"/>
          <w:szCs w:val="24"/>
        </w:rPr>
        <w:t>, por</w:t>
      </w:r>
      <w:r w:rsidR="000856A8" w:rsidRPr="00517228">
        <w:rPr>
          <w:rFonts w:cs="Tahoma"/>
          <w:szCs w:val="24"/>
        </w:rPr>
        <w:t xml:space="preserve"> cuan</w:t>
      </w:r>
      <w:r w:rsidR="006F3644" w:rsidRPr="00517228">
        <w:rPr>
          <w:rFonts w:cs="Tahoma"/>
          <w:szCs w:val="24"/>
        </w:rPr>
        <w:t>to</w:t>
      </w:r>
      <w:r w:rsidR="000856A8" w:rsidRPr="00517228">
        <w:rPr>
          <w:rFonts w:cs="Tahoma"/>
          <w:szCs w:val="24"/>
        </w:rPr>
        <w:t xml:space="preserve"> l</w:t>
      </w:r>
      <w:r w:rsidR="0027358B" w:rsidRPr="00517228">
        <w:rPr>
          <w:rFonts w:cs="Tahoma"/>
          <w:szCs w:val="24"/>
        </w:rPr>
        <w:t>a</w:t>
      </w:r>
      <w:r w:rsidR="000856A8" w:rsidRPr="00517228">
        <w:rPr>
          <w:rFonts w:cs="Tahoma"/>
          <w:szCs w:val="24"/>
        </w:rPr>
        <w:t xml:space="preserve"> demandante desconocía la incidencia </w:t>
      </w:r>
      <w:r w:rsidR="00D459BB" w:rsidRPr="00517228">
        <w:rPr>
          <w:rFonts w:cs="Tahoma"/>
          <w:szCs w:val="24"/>
        </w:rPr>
        <w:t xml:space="preserve">de su elección de </w:t>
      </w:r>
      <w:r w:rsidR="00FE63C7" w:rsidRPr="00517228">
        <w:rPr>
          <w:rFonts w:cs="Tahoma"/>
          <w:szCs w:val="24"/>
        </w:rPr>
        <w:t xml:space="preserve">régimen </w:t>
      </w:r>
      <w:r w:rsidR="000856A8" w:rsidRPr="00517228">
        <w:rPr>
          <w:rFonts w:cs="Tahoma"/>
          <w:szCs w:val="24"/>
        </w:rPr>
        <w:t>frente a sus derechos prestacionales</w:t>
      </w:r>
      <w:r w:rsidR="00FE63C7" w:rsidRPr="00517228">
        <w:rPr>
          <w:rFonts w:cs="Tahoma"/>
          <w:szCs w:val="24"/>
        </w:rPr>
        <w:t>.</w:t>
      </w:r>
    </w:p>
    <w:p w14:paraId="18018239" w14:textId="77777777" w:rsidR="00FE63C7" w:rsidRPr="00517228" w:rsidRDefault="00FE63C7" w:rsidP="00517228">
      <w:pPr>
        <w:pStyle w:val="Prrafodelista"/>
        <w:spacing w:line="276" w:lineRule="auto"/>
        <w:ind w:left="0" w:firstLine="644"/>
        <w:rPr>
          <w:rFonts w:cs="Tahoma"/>
          <w:szCs w:val="24"/>
        </w:rPr>
      </w:pPr>
    </w:p>
    <w:p w14:paraId="2C5F3094" w14:textId="6948794E" w:rsidR="00734150" w:rsidRPr="00517228" w:rsidRDefault="00734150" w:rsidP="00517228">
      <w:pPr>
        <w:pStyle w:val="NormalWeb"/>
        <w:spacing w:before="0" w:beforeAutospacing="0" w:after="0" w:afterAutospacing="0" w:line="276" w:lineRule="auto"/>
        <w:ind w:firstLine="644"/>
        <w:jc w:val="both"/>
        <w:rPr>
          <w:rFonts w:ascii="Tahoma" w:hAnsi="Tahoma" w:cs="Tahoma"/>
        </w:rPr>
      </w:pPr>
      <w:r w:rsidRPr="00517228">
        <w:rPr>
          <w:rFonts w:ascii="Tahoma" w:hAnsi="Tahoma" w:cs="Tahoma"/>
        </w:rPr>
        <w:t>Aclarado lo anterior, frente a la orden de trasladar a Colpensiones rendimientos, gastos de administración, comisiones, cuotas de garantía de pensión mínima y seguros previsionales cobrados al afiliado, lo cual reprocha Porvenir S.A y en su alzada,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17DAD965" w14:textId="41D2ABD7" w:rsidR="00A00398" w:rsidRPr="00517228" w:rsidRDefault="00A00398" w:rsidP="00517228">
      <w:pPr>
        <w:pStyle w:val="NormalWeb"/>
        <w:spacing w:before="0" w:beforeAutospacing="0" w:after="0" w:afterAutospacing="0" w:line="276" w:lineRule="auto"/>
        <w:ind w:firstLine="644"/>
        <w:jc w:val="both"/>
        <w:rPr>
          <w:rFonts w:ascii="Tahoma" w:hAnsi="Tahoma" w:cs="Tahoma"/>
        </w:rPr>
      </w:pPr>
    </w:p>
    <w:p w14:paraId="4A174121" w14:textId="5ED37F69" w:rsidR="00A00398" w:rsidRPr="00517228" w:rsidRDefault="00A00398" w:rsidP="00517228">
      <w:pPr>
        <w:pStyle w:val="NormalWeb"/>
        <w:spacing w:before="0" w:beforeAutospacing="0" w:after="0" w:afterAutospacing="0" w:line="276" w:lineRule="auto"/>
        <w:ind w:firstLine="644"/>
        <w:jc w:val="both"/>
        <w:rPr>
          <w:rFonts w:ascii="Tahoma" w:hAnsi="Tahoma" w:cs="Tahoma"/>
        </w:rPr>
      </w:pPr>
      <w:bookmarkStart w:id="12" w:name="_Hlk70453597"/>
      <w:r w:rsidRPr="00517228">
        <w:rPr>
          <w:rFonts w:ascii="Tahoma" w:hAnsi="Tahoma" w:cs="Tahoma"/>
        </w:rPr>
        <w:t>En torno a la prohibición señalada en el literal e) del artículo 13 de la Ley 100 de 1993 modificado por la Ley 797 de 2003 a que se hace alusión en la alzada como un aspecto que impide acceder a las pretensiones, tal referencia se torna inaplicable y por ende, impróspera en atención a que lo aquí analizado no es el traslado voluntario con la conservación o no del régimen de transición, sino el efecto de la ineficacia del cambio de régimen pensional a falta de información detallada y completa al momento del traslado de régimen.</w:t>
      </w:r>
    </w:p>
    <w:p w14:paraId="72CBC006" w14:textId="77777777" w:rsidR="00700EFF" w:rsidRPr="00517228" w:rsidRDefault="00700EFF" w:rsidP="00517228">
      <w:pPr>
        <w:pStyle w:val="NormalWeb"/>
        <w:spacing w:before="0" w:beforeAutospacing="0" w:after="0" w:afterAutospacing="0" w:line="276" w:lineRule="auto"/>
        <w:ind w:firstLine="644"/>
        <w:jc w:val="both"/>
        <w:rPr>
          <w:rFonts w:ascii="Tahoma" w:hAnsi="Tahoma" w:cs="Tahoma"/>
        </w:rPr>
      </w:pPr>
    </w:p>
    <w:p w14:paraId="3C036A3E" w14:textId="7D8E6B65" w:rsidR="006D45C3" w:rsidRPr="00517228" w:rsidRDefault="006D45C3" w:rsidP="00517228">
      <w:pPr>
        <w:pStyle w:val="NormalWeb"/>
        <w:spacing w:before="0" w:beforeAutospacing="0" w:after="0" w:afterAutospacing="0" w:line="276" w:lineRule="auto"/>
        <w:ind w:firstLine="644"/>
        <w:jc w:val="both"/>
        <w:rPr>
          <w:rFonts w:ascii="Tahoma" w:hAnsi="Tahoma" w:cs="Tahoma"/>
        </w:rPr>
      </w:pPr>
      <w:r w:rsidRPr="00517228">
        <w:rPr>
          <w:rFonts w:ascii="Tahoma" w:hAnsi="Tahoma" w:cs="Tahoma"/>
        </w:rPr>
        <w:lastRenderedPageBreak/>
        <w:t>En torno a la manifestación que hizo Colpensiones, la cual consistió en que al existir un interés económico en la parte demandante frente al cambio de régimen, lo que debió de solicitar era la indemnización de perjuicios, criterio que vale mencionar, era el precedente de 2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6A0FA636" w14:textId="77777777" w:rsidR="006D45C3" w:rsidRPr="00517228" w:rsidRDefault="006D45C3" w:rsidP="00517228">
      <w:pPr>
        <w:pStyle w:val="NormalWeb"/>
        <w:spacing w:before="0" w:beforeAutospacing="0" w:after="0" w:afterAutospacing="0" w:line="276" w:lineRule="auto"/>
        <w:ind w:firstLine="644"/>
        <w:jc w:val="both"/>
        <w:rPr>
          <w:rFonts w:ascii="Tahoma" w:hAnsi="Tahoma" w:cs="Tahoma"/>
        </w:rPr>
      </w:pPr>
    </w:p>
    <w:p w14:paraId="75684FB6" w14:textId="77777777" w:rsidR="006D45C3" w:rsidRPr="00517228" w:rsidRDefault="006D45C3" w:rsidP="00517228">
      <w:pPr>
        <w:pStyle w:val="NormalWeb"/>
        <w:spacing w:before="0" w:beforeAutospacing="0" w:after="0" w:afterAutospacing="0" w:line="276" w:lineRule="auto"/>
        <w:ind w:firstLine="644"/>
        <w:jc w:val="both"/>
        <w:rPr>
          <w:rFonts w:ascii="Tahoma" w:hAnsi="Tahoma" w:cs="Tahoma"/>
        </w:rPr>
      </w:pPr>
      <w:r w:rsidRPr="00517228">
        <w:rPr>
          <w:rFonts w:ascii="Tahoma" w:hAnsi="Tahoma" w:cs="Tahoma"/>
        </w:rPr>
        <w:t>En este punto, recuérdese que la Corte Constitucional en sentencia SU-053-2015, ha definido el precedente judicial como «</w:t>
      </w:r>
      <w:r w:rsidRPr="0011481C">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517228">
        <w:rPr>
          <w:rFonts w:ascii="Tahoma" w:hAnsi="Tahoma" w:cs="Tahoma"/>
          <w:i/>
          <w:iCs/>
        </w:rPr>
        <w:t>»</w:t>
      </w:r>
      <w:r w:rsidRPr="00517228">
        <w:rPr>
          <w:rFonts w:ascii="Tahoma" w:hAnsi="Tahoma" w:cs="Tahoma"/>
        </w:rPr>
        <w:t xml:space="preserve"> y, en tal sentido, el emitido por los máximos órganos de cierre, “</w:t>
      </w:r>
      <w:r w:rsidRPr="0011481C">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517228">
        <w:rPr>
          <w:rFonts w:ascii="Tahoma" w:hAnsi="Tahoma" w:cs="Tahoma"/>
          <w:i/>
          <w:iCs/>
        </w:rPr>
        <w:t>”</w:t>
      </w:r>
      <w:r w:rsidRPr="00517228">
        <w:rPr>
          <w:rFonts w:ascii="Tahoma" w:hAnsi="Tahoma" w:cs="Tahoma"/>
        </w:rPr>
        <w:t xml:space="preserve"> (STL4759-2020).</w:t>
      </w:r>
    </w:p>
    <w:p w14:paraId="3E26D41A" w14:textId="77777777" w:rsidR="006D45C3" w:rsidRPr="00517228" w:rsidRDefault="006D45C3" w:rsidP="00517228">
      <w:pPr>
        <w:pStyle w:val="NormalWeb"/>
        <w:spacing w:before="0" w:beforeAutospacing="0" w:after="0" w:afterAutospacing="0" w:line="276" w:lineRule="auto"/>
        <w:ind w:firstLine="644"/>
        <w:jc w:val="both"/>
        <w:rPr>
          <w:rFonts w:ascii="Tahoma" w:hAnsi="Tahoma" w:cs="Tahoma"/>
        </w:rPr>
      </w:pPr>
    </w:p>
    <w:p w14:paraId="1C575CA4" w14:textId="1BE43AD2" w:rsidR="00483816" w:rsidRPr="00517228" w:rsidRDefault="006D45C3" w:rsidP="00517228">
      <w:pPr>
        <w:pStyle w:val="NormalWeb"/>
        <w:spacing w:before="0" w:beforeAutospacing="0" w:after="0" w:afterAutospacing="0" w:line="276" w:lineRule="auto"/>
        <w:ind w:firstLine="644"/>
        <w:jc w:val="both"/>
        <w:rPr>
          <w:rFonts w:ascii="Tahoma" w:eastAsia="Tahoma" w:hAnsi="Tahoma" w:cs="Tahoma"/>
        </w:rPr>
      </w:pPr>
      <w:bookmarkStart w:id="13" w:name="_Hlk70453667"/>
      <w:bookmarkEnd w:id="12"/>
      <w:r w:rsidRPr="00517228">
        <w:rPr>
          <w:rFonts w:ascii="Tahoma" w:eastAsia="Tahoma" w:hAnsi="Tahoma" w:cs="Tahoma"/>
        </w:rPr>
        <w:t>Finalmente</w:t>
      </w:r>
      <w:r w:rsidR="00737D7B" w:rsidRPr="00517228">
        <w:rPr>
          <w:rFonts w:ascii="Tahoma" w:eastAsia="Tahoma" w:hAnsi="Tahoma" w:cs="Tahoma"/>
        </w:rPr>
        <w:t xml:space="preserve">, como la declaratoria de ineficacia trae como consecuencia que las cosas se reestablezcan al estado en el que se encontraban </w:t>
      </w:r>
      <w:r w:rsidR="00EA76E7" w:rsidRPr="00517228">
        <w:rPr>
          <w:rFonts w:ascii="Tahoma" w:eastAsia="Tahoma" w:hAnsi="Tahoma" w:cs="Tahoma"/>
        </w:rPr>
        <w:t>al momento del traslado de régimen</w:t>
      </w:r>
      <w:r w:rsidR="00737D7B" w:rsidRPr="00517228">
        <w:rPr>
          <w:rFonts w:ascii="Tahoma" w:eastAsia="Tahoma" w:hAnsi="Tahoma" w:cs="Tahoma"/>
        </w:rPr>
        <w:t xml:space="preserve">,  </w:t>
      </w:r>
      <w:r w:rsidR="00483816" w:rsidRPr="00517228">
        <w:rPr>
          <w:rFonts w:ascii="Tahoma" w:eastAsia="Tahoma" w:hAnsi="Tahoma" w:cs="Tahoma"/>
        </w:rPr>
        <w:t xml:space="preserve">necesario modificar el ordinal </w:t>
      </w:r>
      <w:r w:rsidR="0027358B" w:rsidRPr="00517228">
        <w:rPr>
          <w:rFonts w:ascii="Tahoma" w:eastAsia="Tahoma" w:hAnsi="Tahoma" w:cs="Tahoma"/>
        </w:rPr>
        <w:t>tercero</w:t>
      </w:r>
      <w:r w:rsidR="00483816" w:rsidRPr="00517228">
        <w:rPr>
          <w:rFonts w:ascii="Tahoma" w:eastAsia="Tahoma" w:hAnsi="Tahoma" w:cs="Tahoma"/>
        </w:rPr>
        <w:t xml:space="preserve"> de la sentencia en el sentido de excluir la orden de trasladar hacia Colpensiones el bono pensional </w:t>
      </w:r>
      <w:r w:rsidR="00066767" w:rsidRPr="00517228">
        <w:rPr>
          <w:rFonts w:ascii="Tahoma" w:eastAsia="Tahoma" w:hAnsi="Tahoma" w:cs="Tahoma"/>
        </w:rPr>
        <w:t xml:space="preserve">en caso de existir </w:t>
      </w:r>
      <w:r w:rsidR="00483816" w:rsidRPr="00517228">
        <w:rPr>
          <w:rFonts w:ascii="Tahoma" w:eastAsia="Tahoma" w:hAnsi="Tahoma" w:cs="Tahoma"/>
        </w:rPr>
        <w:t>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bookmarkEnd w:id="13"/>
    <w:p w14:paraId="4BAF0081" w14:textId="5E89C2F0" w:rsidR="00737D7B" w:rsidRPr="00517228" w:rsidRDefault="00737D7B" w:rsidP="00517228">
      <w:pPr>
        <w:pStyle w:val="NormalWeb"/>
        <w:spacing w:before="0" w:beforeAutospacing="0" w:after="0" w:afterAutospacing="0" w:line="276" w:lineRule="auto"/>
        <w:ind w:firstLine="644"/>
        <w:jc w:val="both"/>
        <w:rPr>
          <w:rFonts w:ascii="Tahoma" w:eastAsia="Tahoma" w:hAnsi="Tahoma" w:cs="Tahoma"/>
        </w:rPr>
      </w:pPr>
    </w:p>
    <w:p w14:paraId="6C954117" w14:textId="62C15F4A" w:rsidR="007E1917" w:rsidRPr="00517228" w:rsidRDefault="007E1917" w:rsidP="00517228">
      <w:pPr>
        <w:widowControl w:val="0"/>
        <w:tabs>
          <w:tab w:val="left" w:pos="567"/>
        </w:tabs>
        <w:autoSpaceDE w:val="0"/>
        <w:autoSpaceDN w:val="0"/>
        <w:adjustRightInd w:val="0"/>
        <w:spacing w:line="276" w:lineRule="auto"/>
        <w:ind w:firstLine="284"/>
        <w:rPr>
          <w:rFonts w:cs="Tahoma"/>
          <w:szCs w:val="24"/>
        </w:rPr>
      </w:pPr>
      <w:r w:rsidRPr="00517228">
        <w:rPr>
          <w:rFonts w:eastAsia="Tahoma" w:cs="Tahoma"/>
          <w:szCs w:val="24"/>
        </w:rPr>
        <w:t xml:space="preserve">Así, las cosas, en lo demás se confirmará la sentencia objeto de recursos y se dispondrán costas </w:t>
      </w:r>
      <w:r w:rsidRPr="00517228">
        <w:rPr>
          <w:rFonts w:cs="Tahoma"/>
          <w:szCs w:val="24"/>
        </w:rPr>
        <w:t xml:space="preserve">en esta instancia a cargo de la </w:t>
      </w:r>
      <w:r w:rsidRPr="00517228">
        <w:rPr>
          <w:rFonts w:cs="Tahoma"/>
          <w:b/>
          <w:bCs/>
          <w:szCs w:val="24"/>
        </w:rPr>
        <w:t>Administradora de Fondos de Pensiones y Cesantías Porvenir S.A. y Colpensiones</w:t>
      </w:r>
      <w:r w:rsidRPr="00517228">
        <w:rPr>
          <w:rFonts w:cs="Tahoma"/>
          <w:szCs w:val="24"/>
        </w:rPr>
        <w:t xml:space="preserve"> al no haber prosperado los recursos de alzada. </w:t>
      </w:r>
    </w:p>
    <w:p w14:paraId="61F21B60" w14:textId="2952414C" w:rsidR="00790DA9" w:rsidRPr="00517228" w:rsidRDefault="00790DA9" w:rsidP="00517228">
      <w:pPr>
        <w:spacing w:line="276" w:lineRule="auto"/>
        <w:ind w:firstLine="644"/>
        <w:rPr>
          <w:rFonts w:cs="Tahoma"/>
          <w:szCs w:val="24"/>
        </w:rPr>
      </w:pPr>
    </w:p>
    <w:p w14:paraId="6C2A20AE" w14:textId="2D26D23F" w:rsidR="000F5175" w:rsidRPr="00517228" w:rsidRDefault="0011481C" w:rsidP="00517228">
      <w:pPr>
        <w:widowControl w:val="0"/>
        <w:tabs>
          <w:tab w:val="left" w:pos="567"/>
        </w:tabs>
        <w:autoSpaceDE w:val="0"/>
        <w:autoSpaceDN w:val="0"/>
        <w:adjustRightInd w:val="0"/>
        <w:spacing w:line="276" w:lineRule="auto"/>
        <w:ind w:firstLine="284"/>
        <w:rPr>
          <w:rFonts w:eastAsia="Tahoma" w:cs="Tahoma"/>
          <w:szCs w:val="24"/>
        </w:rPr>
      </w:pPr>
      <w:r>
        <w:rPr>
          <w:rFonts w:eastAsia="Tahoma" w:cs="Tahoma"/>
          <w:szCs w:val="24"/>
        </w:rPr>
        <w:t>(…)</w:t>
      </w:r>
    </w:p>
    <w:p w14:paraId="43390D01" w14:textId="7EB4C15E" w:rsidR="000F5175" w:rsidRPr="00517228" w:rsidRDefault="000F5175" w:rsidP="00517228">
      <w:pPr>
        <w:widowControl w:val="0"/>
        <w:tabs>
          <w:tab w:val="left" w:pos="567"/>
        </w:tabs>
        <w:autoSpaceDE w:val="0"/>
        <w:autoSpaceDN w:val="0"/>
        <w:adjustRightInd w:val="0"/>
        <w:spacing w:line="276" w:lineRule="auto"/>
        <w:ind w:firstLine="284"/>
        <w:rPr>
          <w:rFonts w:eastAsia="Tahoma" w:cs="Tahoma"/>
          <w:szCs w:val="24"/>
        </w:rPr>
      </w:pPr>
    </w:p>
    <w:p w14:paraId="44359FB7" w14:textId="22E972F6" w:rsidR="00790DA9" w:rsidRPr="00517228" w:rsidRDefault="00790DA9" w:rsidP="00517228">
      <w:pPr>
        <w:pStyle w:val="Prrafodelista2"/>
        <w:spacing w:after="0"/>
        <w:ind w:left="0" w:firstLine="708"/>
        <w:jc w:val="both"/>
        <w:rPr>
          <w:rFonts w:ascii="Tahoma" w:hAnsi="Tahoma" w:cs="Tahoma"/>
          <w:sz w:val="24"/>
          <w:szCs w:val="24"/>
          <w:lang w:val="es-ES_tradnl"/>
        </w:rPr>
      </w:pPr>
      <w:r w:rsidRPr="00517228">
        <w:rPr>
          <w:rFonts w:ascii="Tahoma" w:hAnsi="Tahoma" w:cs="Tahoma"/>
          <w:sz w:val="24"/>
          <w:szCs w:val="24"/>
          <w:lang w:val="es-ES_tradnl"/>
        </w:rPr>
        <w:t xml:space="preserve">En mérito de lo expuesto, el </w:t>
      </w:r>
      <w:r w:rsidRPr="00517228">
        <w:rPr>
          <w:rFonts w:ascii="Tahoma" w:hAnsi="Tahoma" w:cs="Tahoma"/>
          <w:b/>
          <w:sz w:val="24"/>
          <w:szCs w:val="24"/>
          <w:lang w:val="es-ES_tradnl"/>
        </w:rPr>
        <w:t>Tribunal Superior del Distrito Judicial de Pereira - Risaralda, Sala Primera de Decisión Laboral</w:t>
      </w:r>
      <w:r w:rsidR="00272FA1" w:rsidRPr="00517228">
        <w:rPr>
          <w:rFonts w:ascii="Tahoma" w:hAnsi="Tahoma" w:cs="Tahoma"/>
          <w:b/>
          <w:sz w:val="24"/>
          <w:szCs w:val="24"/>
          <w:lang w:val="es-ES_tradnl"/>
        </w:rPr>
        <w:t xml:space="preserve"> presidida por la Dra. Ana Lucía Caicedo Calderón</w:t>
      </w:r>
      <w:r w:rsidRPr="00517228">
        <w:rPr>
          <w:rFonts w:ascii="Tahoma" w:hAnsi="Tahoma" w:cs="Tahoma"/>
          <w:b/>
          <w:sz w:val="24"/>
          <w:szCs w:val="24"/>
          <w:lang w:val="es-ES_tradnl"/>
        </w:rPr>
        <w:t>,</w:t>
      </w:r>
      <w:r w:rsidRPr="00517228">
        <w:rPr>
          <w:rFonts w:ascii="Tahoma" w:hAnsi="Tahoma" w:cs="Tahoma"/>
          <w:sz w:val="24"/>
          <w:szCs w:val="24"/>
          <w:lang w:val="es-ES_tradnl"/>
        </w:rPr>
        <w:t xml:space="preserve"> administrando justicia en nombre de la República y por autoridad de la ley,</w:t>
      </w:r>
    </w:p>
    <w:p w14:paraId="583D0978" w14:textId="405DD41D" w:rsidR="00790DA9" w:rsidRPr="00517228" w:rsidRDefault="00790DA9" w:rsidP="00517228">
      <w:pPr>
        <w:pStyle w:val="Prrafodelista2"/>
        <w:spacing w:after="0"/>
        <w:ind w:left="0"/>
        <w:jc w:val="both"/>
        <w:rPr>
          <w:rFonts w:ascii="Tahoma" w:hAnsi="Tahoma" w:cs="Tahoma"/>
          <w:sz w:val="24"/>
          <w:szCs w:val="24"/>
          <w:lang w:val="es-ES_tradnl"/>
        </w:rPr>
      </w:pPr>
    </w:p>
    <w:p w14:paraId="38A12034" w14:textId="77777777" w:rsidR="00790DA9" w:rsidRPr="00517228" w:rsidRDefault="00790DA9" w:rsidP="00517228">
      <w:pPr>
        <w:spacing w:line="276" w:lineRule="auto"/>
        <w:contextualSpacing/>
        <w:jc w:val="center"/>
        <w:rPr>
          <w:rFonts w:cs="Tahoma"/>
          <w:b/>
          <w:szCs w:val="24"/>
        </w:rPr>
      </w:pPr>
      <w:r w:rsidRPr="00517228">
        <w:rPr>
          <w:rFonts w:cs="Tahoma"/>
          <w:b/>
          <w:szCs w:val="24"/>
        </w:rPr>
        <w:t>RESUELVE</w:t>
      </w:r>
    </w:p>
    <w:p w14:paraId="185D3C0A" w14:textId="77777777" w:rsidR="00790DA9" w:rsidRPr="00517228" w:rsidRDefault="00790DA9" w:rsidP="00517228">
      <w:pPr>
        <w:widowControl w:val="0"/>
        <w:autoSpaceDE w:val="0"/>
        <w:autoSpaceDN w:val="0"/>
        <w:adjustRightInd w:val="0"/>
        <w:spacing w:line="276" w:lineRule="auto"/>
        <w:jc w:val="center"/>
        <w:rPr>
          <w:rFonts w:cs="Tahoma"/>
          <w:b/>
          <w:szCs w:val="24"/>
        </w:rPr>
      </w:pPr>
    </w:p>
    <w:p w14:paraId="6621D83C" w14:textId="1ABE1953" w:rsidR="00272FA1" w:rsidRPr="00517228" w:rsidRDefault="00790DA9" w:rsidP="00517228">
      <w:pPr>
        <w:pStyle w:val="NormalWeb"/>
        <w:spacing w:before="0" w:beforeAutospacing="0" w:after="0" w:afterAutospacing="0" w:line="276" w:lineRule="auto"/>
        <w:ind w:firstLine="644"/>
        <w:jc w:val="both"/>
        <w:rPr>
          <w:rFonts w:ascii="Tahoma" w:eastAsia="Tahoma" w:hAnsi="Tahoma" w:cs="Tahoma"/>
        </w:rPr>
      </w:pPr>
      <w:bookmarkStart w:id="14" w:name="_Hlk70454020"/>
      <w:r w:rsidRPr="00517228">
        <w:rPr>
          <w:rFonts w:ascii="Tahoma" w:eastAsia="Tahoma" w:hAnsi="Tahoma" w:cs="Tahoma"/>
          <w:b/>
          <w:bCs/>
        </w:rPr>
        <w:lastRenderedPageBreak/>
        <w:t>PRI</w:t>
      </w:r>
      <w:bookmarkStart w:id="15" w:name="_GoBack"/>
      <w:bookmarkEnd w:id="15"/>
      <w:r w:rsidRPr="00517228">
        <w:rPr>
          <w:rFonts w:ascii="Tahoma" w:eastAsia="Tahoma" w:hAnsi="Tahoma" w:cs="Tahoma"/>
          <w:b/>
          <w:bCs/>
        </w:rPr>
        <w:t>MERO</w:t>
      </w:r>
      <w:r w:rsidRPr="00517228">
        <w:rPr>
          <w:rFonts w:ascii="Tahoma" w:eastAsia="Tahoma" w:hAnsi="Tahoma" w:cs="Tahoma"/>
        </w:rPr>
        <w:t>: </w:t>
      </w:r>
      <w:r w:rsidR="00272FA1" w:rsidRPr="00517228">
        <w:rPr>
          <w:rFonts w:ascii="Tahoma" w:eastAsia="Tahoma" w:hAnsi="Tahoma" w:cs="Tahoma"/>
          <w:b/>
          <w:bCs/>
        </w:rPr>
        <w:t>MODIFICAR</w:t>
      </w:r>
      <w:r w:rsidR="00272FA1" w:rsidRPr="00517228">
        <w:rPr>
          <w:rFonts w:ascii="Tahoma" w:eastAsia="Tahoma" w:hAnsi="Tahoma" w:cs="Tahoma"/>
        </w:rPr>
        <w:t xml:space="preserve"> el ordinal </w:t>
      </w:r>
      <w:r w:rsidR="00CF09B3" w:rsidRPr="00517228">
        <w:rPr>
          <w:rFonts w:ascii="Tahoma" w:eastAsia="Tahoma" w:hAnsi="Tahoma" w:cs="Tahoma"/>
        </w:rPr>
        <w:t>tercero</w:t>
      </w:r>
      <w:r w:rsidR="00272FA1" w:rsidRPr="00517228">
        <w:rPr>
          <w:rFonts w:ascii="Tahoma" w:eastAsia="Tahoma" w:hAnsi="Tahoma" w:cs="Tahoma"/>
        </w:rPr>
        <w:t xml:space="preserve"> de la sentencia en el sentido de excluir la orden de trasladar a Colpensiones el bono pensional en caso de que exista y </w:t>
      </w:r>
      <w:r w:rsidR="00272FA1" w:rsidRPr="00517228">
        <w:rPr>
          <w:rFonts w:ascii="Tahoma" w:eastAsia="Tahoma" w:hAnsi="Tahoma" w:cs="Tahoma"/>
          <w:b/>
          <w:bCs/>
        </w:rPr>
        <w:t>ADICIONAR</w:t>
      </w:r>
      <w:r w:rsidR="00272FA1" w:rsidRPr="00517228">
        <w:rPr>
          <w:rFonts w:ascii="Tahoma" w:eastAsia="Tahoma" w:hAnsi="Tahoma" w:cs="Tahoma"/>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260FAE99" w14:textId="77777777" w:rsidR="003324F5" w:rsidRPr="00517228" w:rsidRDefault="003324F5" w:rsidP="00517228">
      <w:pPr>
        <w:spacing w:line="276" w:lineRule="auto"/>
        <w:ind w:firstLine="705"/>
        <w:textAlignment w:val="baseline"/>
        <w:rPr>
          <w:rFonts w:eastAsia="Times New Roman" w:cs="Tahoma"/>
          <w:b/>
          <w:bCs/>
          <w:szCs w:val="24"/>
          <w:lang w:val="es-ES" w:eastAsia="es-ES"/>
        </w:rPr>
      </w:pPr>
      <w:r w:rsidRPr="00517228">
        <w:rPr>
          <w:rFonts w:eastAsia="Times New Roman" w:cs="Tahoma"/>
          <w:b/>
          <w:bCs/>
          <w:szCs w:val="24"/>
          <w:lang w:val="es-ES" w:eastAsia="es-ES"/>
        </w:rPr>
        <w:t xml:space="preserve"> </w:t>
      </w:r>
    </w:p>
    <w:p w14:paraId="1DAB658E" w14:textId="15F271B8" w:rsidR="00467973" w:rsidRPr="00517228" w:rsidRDefault="003324F5" w:rsidP="00517228">
      <w:pPr>
        <w:spacing w:line="276" w:lineRule="auto"/>
        <w:ind w:firstLine="705"/>
        <w:textAlignment w:val="baseline"/>
        <w:rPr>
          <w:rFonts w:cs="Tahoma"/>
          <w:szCs w:val="24"/>
        </w:rPr>
      </w:pPr>
      <w:r w:rsidRPr="00517228">
        <w:rPr>
          <w:rFonts w:eastAsia="Times New Roman" w:cs="Tahoma"/>
          <w:b/>
          <w:bCs/>
          <w:szCs w:val="24"/>
          <w:lang w:val="es-ES" w:eastAsia="es-ES"/>
        </w:rPr>
        <w:t xml:space="preserve">SEGUNDO: </w:t>
      </w:r>
      <w:r w:rsidR="00467973" w:rsidRPr="00517228">
        <w:rPr>
          <w:rFonts w:eastAsia="Times New Roman" w:cs="Tahoma"/>
          <w:b/>
          <w:bCs/>
          <w:szCs w:val="24"/>
          <w:lang w:eastAsia="es-ES"/>
        </w:rPr>
        <w:t>CONFIRMAR</w:t>
      </w:r>
      <w:r w:rsidR="00790DA9" w:rsidRPr="00517228">
        <w:rPr>
          <w:rFonts w:eastAsia="Times New Roman" w:cs="Tahoma"/>
          <w:b/>
          <w:bCs/>
          <w:i/>
          <w:iCs/>
          <w:szCs w:val="24"/>
          <w:lang w:eastAsia="es-ES"/>
        </w:rPr>
        <w:t xml:space="preserve"> </w:t>
      </w:r>
      <w:r w:rsidRPr="00517228">
        <w:rPr>
          <w:rFonts w:cs="Tahoma"/>
          <w:szCs w:val="24"/>
        </w:rPr>
        <w:t xml:space="preserve">en lo demás </w:t>
      </w:r>
      <w:r w:rsidR="00790DA9" w:rsidRPr="00517228">
        <w:rPr>
          <w:rFonts w:cs="Tahoma"/>
          <w:szCs w:val="24"/>
        </w:rPr>
        <w:t xml:space="preserve">la sentencia </w:t>
      </w:r>
      <w:r w:rsidR="00467973" w:rsidRPr="00517228">
        <w:rPr>
          <w:rFonts w:cs="Tahoma"/>
          <w:szCs w:val="24"/>
        </w:rPr>
        <w:t xml:space="preserve">proferida por el Juzgado </w:t>
      </w:r>
      <w:r w:rsidR="00ED2008" w:rsidRPr="00517228">
        <w:rPr>
          <w:rFonts w:cs="Tahoma"/>
          <w:szCs w:val="24"/>
        </w:rPr>
        <w:t>Primero</w:t>
      </w:r>
      <w:r w:rsidR="00467973" w:rsidRPr="00517228">
        <w:rPr>
          <w:rFonts w:cs="Tahoma"/>
          <w:szCs w:val="24"/>
        </w:rPr>
        <w:t xml:space="preserve"> Laboral de Circuito de Pereira, del </w:t>
      </w:r>
      <w:r w:rsidR="00545B08" w:rsidRPr="00517228">
        <w:rPr>
          <w:rFonts w:cs="Tahoma"/>
          <w:szCs w:val="24"/>
        </w:rPr>
        <w:t>1</w:t>
      </w:r>
      <w:r w:rsidR="00CF09B3" w:rsidRPr="00517228">
        <w:rPr>
          <w:rFonts w:cs="Tahoma"/>
          <w:szCs w:val="24"/>
        </w:rPr>
        <w:t>0</w:t>
      </w:r>
      <w:r w:rsidR="00467973" w:rsidRPr="00517228">
        <w:rPr>
          <w:rFonts w:cs="Tahoma"/>
          <w:szCs w:val="24"/>
        </w:rPr>
        <w:t xml:space="preserve"> de </w:t>
      </w:r>
      <w:r w:rsidR="00545B08" w:rsidRPr="00517228">
        <w:rPr>
          <w:rFonts w:cs="Tahoma"/>
          <w:szCs w:val="24"/>
        </w:rPr>
        <w:t>noviembre</w:t>
      </w:r>
      <w:r w:rsidR="00467973" w:rsidRPr="00517228">
        <w:rPr>
          <w:rFonts w:cs="Tahoma"/>
          <w:szCs w:val="24"/>
        </w:rPr>
        <w:t xml:space="preserve"> de 2020 dentro del proceso de la referencia.</w:t>
      </w:r>
    </w:p>
    <w:p w14:paraId="74BA8488" w14:textId="77777777" w:rsidR="00467973" w:rsidRPr="00517228" w:rsidRDefault="00467973" w:rsidP="00517228">
      <w:pPr>
        <w:spacing w:line="276" w:lineRule="auto"/>
        <w:ind w:firstLine="705"/>
        <w:textAlignment w:val="baseline"/>
        <w:rPr>
          <w:rFonts w:cs="Tahoma"/>
          <w:szCs w:val="24"/>
        </w:rPr>
      </w:pPr>
    </w:p>
    <w:p w14:paraId="071F1191" w14:textId="49CC4806" w:rsidR="00790DA9" w:rsidRPr="00517228" w:rsidRDefault="003324F5" w:rsidP="00517228">
      <w:pPr>
        <w:spacing w:line="276" w:lineRule="auto"/>
        <w:ind w:firstLine="705"/>
        <w:textAlignment w:val="baseline"/>
        <w:rPr>
          <w:rFonts w:eastAsia="Times New Roman" w:cs="Tahoma"/>
          <w:szCs w:val="24"/>
          <w:lang w:eastAsia="es-ES"/>
        </w:rPr>
      </w:pPr>
      <w:r w:rsidRPr="00517228">
        <w:rPr>
          <w:rFonts w:eastAsia="Times New Roman" w:cs="Tahoma"/>
          <w:b/>
          <w:bCs/>
          <w:szCs w:val="24"/>
          <w:lang w:eastAsia="es-ES_tradnl"/>
        </w:rPr>
        <w:t>TERCERO</w:t>
      </w:r>
      <w:r w:rsidR="00B8317C" w:rsidRPr="00517228">
        <w:rPr>
          <w:rFonts w:eastAsia="Times New Roman" w:cs="Tahoma"/>
          <w:b/>
          <w:bCs/>
          <w:szCs w:val="24"/>
          <w:lang w:eastAsia="es-ES_tradnl"/>
        </w:rPr>
        <w:t>: </w:t>
      </w:r>
      <w:r w:rsidR="00790DA9" w:rsidRPr="00517228">
        <w:rPr>
          <w:rFonts w:eastAsia="Times New Roman" w:cs="Tahoma"/>
          <w:b/>
          <w:bCs/>
          <w:szCs w:val="24"/>
          <w:lang w:eastAsia="es-ES"/>
        </w:rPr>
        <w:t>CONDENAR</w:t>
      </w:r>
      <w:r w:rsidR="00790DA9" w:rsidRPr="00517228">
        <w:rPr>
          <w:rFonts w:eastAsia="Times New Roman" w:cs="Tahoma"/>
          <w:szCs w:val="24"/>
          <w:lang w:eastAsia="es-ES"/>
        </w:rPr>
        <w:t xml:space="preserve"> en costas de segunda instancia a </w:t>
      </w:r>
      <w:r w:rsidR="00790DA9" w:rsidRPr="00517228">
        <w:rPr>
          <w:rFonts w:cs="Tahoma"/>
          <w:b/>
          <w:bCs/>
          <w:szCs w:val="24"/>
        </w:rPr>
        <w:t>Porvenir S.A.</w:t>
      </w:r>
      <w:r w:rsidR="00790DA9" w:rsidRPr="00517228">
        <w:rPr>
          <w:rFonts w:cs="Tahoma"/>
          <w:szCs w:val="24"/>
        </w:rPr>
        <w:t xml:space="preserve"> </w:t>
      </w:r>
      <w:r w:rsidR="00467973" w:rsidRPr="00517228">
        <w:rPr>
          <w:rFonts w:cs="Tahoma"/>
          <w:szCs w:val="24"/>
        </w:rPr>
        <w:t xml:space="preserve">y </w:t>
      </w:r>
      <w:r w:rsidR="00467973" w:rsidRPr="00517228">
        <w:rPr>
          <w:rFonts w:cs="Tahoma"/>
          <w:b/>
          <w:bCs/>
          <w:szCs w:val="24"/>
        </w:rPr>
        <w:t xml:space="preserve">Colpensiones </w:t>
      </w:r>
      <w:r w:rsidR="00790DA9" w:rsidRPr="00517228">
        <w:rPr>
          <w:rFonts w:eastAsia="Times New Roman" w:cs="Tahoma"/>
          <w:szCs w:val="24"/>
          <w:lang w:eastAsia="es-ES"/>
        </w:rPr>
        <w:t xml:space="preserve">a favor del demandante. </w:t>
      </w:r>
    </w:p>
    <w:p w14:paraId="0913BAD8" w14:textId="54F39B67" w:rsidR="000F5175" w:rsidRPr="00517228" w:rsidRDefault="000F5175" w:rsidP="00517228">
      <w:pPr>
        <w:spacing w:line="276" w:lineRule="auto"/>
        <w:ind w:firstLine="705"/>
        <w:textAlignment w:val="baseline"/>
        <w:rPr>
          <w:rFonts w:eastAsia="Times New Roman" w:cs="Tahoma"/>
          <w:szCs w:val="24"/>
          <w:lang w:eastAsia="es-ES"/>
        </w:rPr>
      </w:pPr>
    </w:p>
    <w:p w14:paraId="4F894D06" w14:textId="3D45E216" w:rsidR="000F5175" w:rsidRPr="00517228" w:rsidRDefault="000F5175" w:rsidP="00517228">
      <w:pPr>
        <w:spacing w:line="276" w:lineRule="auto"/>
        <w:ind w:firstLine="705"/>
        <w:textAlignment w:val="baseline"/>
        <w:rPr>
          <w:rFonts w:eastAsia="Tahoma" w:cs="Tahoma"/>
          <w:szCs w:val="24"/>
        </w:rPr>
      </w:pPr>
      <w:r w:rsidRPr="00517228">
        <w:rPr>
          <w:rFonts w:eastAsia="Tahoma" w:cs="Tahoma"/>
          <w:b/>
          <w:bCs/>
          <w:szCs w:val="24"/>
        </w:rPr>
        <w:t xml:space="preserve">CUARTO: </w:t>
      </w:r>
      <w:r w:rsidR="0011481C">
        <w:rPr>
          <w:rFonts w:eastAsia="Tahoma" w:cs="Tahoma"/>
          <w:szCs w:val="24"/>
        </w:rPr>
        <w:t>(…)</w:t>
      </w:r>
      <w:r w:rsidRPr="00517228">
        <w:rPr>
          <w:rFonts w:eastAsia="Tahoma" w:cs="Tahoma"/>
          <w:szCs w:val="24"/>
        </w:rPr>
        <w:t xml:space="preserve"> </w:t>
      </w:r>
    </w:p>
    <w:p w14:paraId="52BA2706" w14:textId="4A77FA27" w:rsidR="00A26AC8" w:rsidRPr="00517228" w:rsidRDefault="00A26AC8" w:rsidP="00517228">
      <w:pPr>
        <w:spacing w:line="276" w:lineRule="auto"/>
        <w:ind w:firstLine="705"/>
        <w:textAlignment w:val="baseline"/>
        <w:rPr>
          <w:rFonts w:eastAsia="Times New Roman" w:cs="Tahoma"/>
          <w:szCs w:val="24"/>
          <w:lang w:eastAsia="es-ES"/>
        </w:rPr>
      </w:pPr>
    </w:p>
    <w:bookmarkEnd w:id="14"/>
    <w:p w14:paraId="7808E4F4" w14:textId="77777777" w:rsidR="003324F5" w:rsidRPr="00517228" w:rsidRDefault="003324F5" w:rsidP="00517228">
      <w:pPr>
        <w:widowControl w:val="0"/>
        <w:autoSpaceDE w:val="0"/>
        <w:autoSpaceDN w:val="0"/>
        <w:adjustRightInd w:val="0"/>
        <w:spacing w:line="276" w:lineRule="auto"/>
        <w:jc w:val="center"/>
        <w:rPr>
          <w:rFonts w:cs="Tahoma"/>
          <w:b/>
          <w:szCs w:val="24"/>
        </w:rPr>
      </w:pPr>
      <w:r w:rsidRPr="00517228">
        <w:rPr>
          <w:rFonts w:cs="Tahoma"/>
          <w:b/>
          <w:szCs w:val="24"/>
        </w:rPr>
        <w:t>NOTIFÍQUESE Y CÚMPLASE</w:t>
      </w:r>
    </w:p>
    <w:p w14:paraId="531E4EDC" w14:textId="77777777" w:rsidR="00517228" w:rsidRPr="00517228" w:rsidRDefault="00517228" w:rsidP="00517228">
      <w:pPr>
        <w:spacing w:line="276" w:lineRule="auto"/>
        <w:ind w:firstLine="708"/>
        <w:contextualSpacing/>
        <w:rPr>
          <w:rFonts w:eastAsia="Times New Roman" w:cs="Tahoma"/>
          <w:szCs w:val="24"/>
          <w:lang w:val="es-ES_tradnl"/>
        </w:rPr>
      </w:pPr>
      <w:bookmarkStart w:id="16" w:name="_Hlk74294138"/>
    </w:p>
    <w:p w14:paraId="4CC4273C" w14:textId="77777777" w:rsidR="00517228" w:rsidRPr="00517228" w:rsidRDefault="00517228" w:rsidP="00517228">
      <w:pPr>
        <w:widowControl w:val="0"/>
        <w:autoSpaceDE w:val="0"/>
        <w:autoSpaceDN w:val="0"/>
        <w:adjustRightInd w:val="0"/>
        <w:spacing w:line="276" w:lineRule="auto"/>
        <w:rPr>
          <w:rFonts w:eastAsia="Times New Roman" w:cs="Tahoma"/>
          <w:szCs w:val="24"/>
          <w:lang w:val="es-ES" w:eastAsia="es-ES"/>
        </w:rPr>
      </w:pPr>
      <w:r w:rsidRPr="00517228">
        <w:rPr>
          <w:rFonts w:eastAsia="Times New Roman" w:cs="Tahoma"/>
          <w:szCs w:val="24"/>
          <w:lang w:val="es-ES" w:eastAsia="es-ES"/>
        </w:rPr>
        <w:tab/>
        <w:t>La Magistrada ponente,</w:t>
      </w:r>
    </w:p>
    <w:p w14:paraId="1C22166B" w14:textId="77777777" w:rsidR="00517228" w:rsidRPr="00517228" w:rsidRDefault="00517228" w:rsidP="00517228">
      <w:pPr>
        <w:spacing w:line="276" w:lineRule="auto"/>
        <w:jc w:val="left"/>
        <w:rPr>
          <w:rFonts w:eastAsia="Times New Roman" w:cs="Tahoma"/>
          <w:szCs w:val="24"/>
          <w:lang w:val="es-ES" w:eastAsia="es-ES"/>
        </w:rPr>
      </w:pPr>
    </w:p>
    <w:p w14:paraId="62C2D6BE" w14:textId="77777777" w:rsidR="00517228" w:rsidRPr="00517228" w:rsidRDefault="00517228" w:rsidP="00517228">
      <w:pPr>
        <w:spacing w:line="276" w:lineRule="auto"/>
        <w:jc w:val="left"/>
        <w:rPr>
          <w:rFonts w:eastAsia="Times New Roman" w:cs="Tahoma"/>
          <w:szCs w:val="24"/>
          <w:lang w:val="es-ES" w:eastAsia="es-ES"/>
        </w:rPr>
      </w:pPr>
    </w:p>
    <w:p w14:paraId="67B528FD" w14:textId="77777777" w:rsidR="00517228" w:rsidRPr="00517228" w:rsidRDefault="00517228" w:rsidP="00517228">
      <w:pPr>
        <w:spacing w:line="276" w:lineRule="auto"/>
        <w:jc w:val="left"/>
        <w:rPr>
          <w:rFonts w:eastAsia="Times New Roman" w:cs="Tahoma"/>
          <w:szCs w:val="24"/>
          <w:lang w:val="es-ES" w:eastAsia="es-ES"/>
        </w:rPr>
      </w:pPr>
    </w:p>
    <w:p w14:paraId="2BF25651" w14:textId="77777777" w:rsidR="00517228" w:rsidRPr="00517228" w:rsidRDefault="00517228" w:rsidP="00517228">
      <w:pPr>
        <w:keepNext/>
        <w:spacing w:line="276" w:lineRule="auto"/>
        <w:jc w:val="center"/>
        <w:outlineLvl w:val="2"/>
        <w:rPr>
          <w:rFonts w:eastAsia="Times New Roman" w:cs="Tahoma"/>
          <w:b/>
          <w:bCs/>
          <w:szCs w:val="24"/>
          <w:lang w:val="es-ES" w:eastAsia="es-ES"/>
        </w:rPr>
      </w:pPr>
      <w:r w:rsidRPr="00517228">
        <w:rPr>
          <w:rFonts w:eastAsia="Times New Roman" w:cs="Tahoma"/>
          <w:b/>
          <w:bCs/>
          <w:szCs w:val="24"/>
          <w:lang w:val="es-ES" w:eastAsia="es-ES"/>
        </w:rPr>
        <w:t>ANA LUCÍA CAICEDO CALDERÓN</w:t>
      </w:r>
    </w:p>
    <w:p w14:paraId="0AE62431" w14:textId="77777777" w:rsidR="00517228" w:rsidRPr="00517228" w:rsidRDefault="00517228" w:rsidP="00517228">
      <w:pPr>
        <w:spacing w:line="276" w:lineRule="auto"/>
        <w:jc w:val="left"/>
        <w:rPr>
          <w:rFonts w:eastAsia="Times New Roman" w:cs="Tahoma"/>
          <w:szCs w:val="24"/>
          <w:lang w:val="es-ES" w:eastAsia="es-ES"/>
        </w:rPr>
      </w:pPr>
    </w:p>
    <w:p w14:paraId="3A071935" w14:textId="77777777" w:rsidR="00517228" w:rsidRPr="00517228" w:rsidRDefault="00517228" w:rsidP="00517228">
      <w:pPr>
        <w:spacing w:line="276" w:lineRule="auto"/>
        <w:ind w:firstLine="708"/>
        <w:jc w:val="left"/>
        <w:rPr>
          <w:rFonts w:eastAsia="Times New Roman" w:cs="Tahoma"/>
          <w:szCs w:val="24"/>
          <w:lang w:val="es-ES" w:eastAsia="es-ES"/>
        </w:rPr>
      </w:pPr>
      <w:bookmarkStart w:id="17" w:name="_Hlk62478330"/>
      <w:r w:rsidRPr="00517228">
        <w:rPr>
          <w:rFonts w:eastAsia="Times New Roman" w:cs="Tahoma"/>
          <w:szCs w:val="24"/>
          <w:lang w:val="es-ES" w:eastAsia="es-ES"/>
        </w:rPr>
        <w:t>La Magistrada y el Magistrado,</w:t>
      </w:r>
    </w:p>
    <w:p w14:paraId="3D5EE2F1" w14:textId="77777777" w:rsidR="00517228" w:rsidRPr="00517228" w:rsidRDefault="00517228" w:rsidP="00517228">
      <w:pPr>
        <w:spacing w:line="276" w:lineRule="auto"/>
        <w:jc w:val="left"/>
        <w:rPr>
          <w:rFonts w:eastAsia="Times New Roman" w:cs="Tahoma"/>
          <w:szCs w:val="24"/>
          <w:lang w:val="es-ES" w:eastAsia="es-ES"/>
        </w:rPr>
      </w:pPr>
    </w:p>
    <w:p w14:paraId="7C350579" w14:textId="77777777" w:rsidR="00517228" w:rsidRPr="00517228" w:rsidRDefault="00517228" w:rsidP="00517228">
      <w:pPr>
        <w:spacing w:line="276" w:lineRule="auto"/>
        <w:jc w:val="left"/>
        <w:rPr>
          <w:rFonts w:eastAsia="Times New Roman" w:cs="Tahoma"/>
          <w:szCs w:val="24"/>
          <w:lang w:val="es-ES" w:eastAsia="es-ES"/>
        </w:rPr>
      </w:pPr>
    </w:p>
    <w:p w14:paraId="191FEF91" w14:textId="77777777" w:rsidR="00517228" w:rsidRPr="00517228" w:rsidRDefault="00517228" w:rsidP="00517228">
      <w:pPr>
        <w:spacing w:line="276" w:lineRule="auto"/>
        <w:jc w:val="left"/>
        <w:rPr>
          <w:rFonts w:eastAsia="Times New Roman" w:cs="Tahoma"/>
          <w:szCs w:val="24"/>
          <w:lang w:val="es-ES" w:eastAsia="es-ES"/>
        </w:rPr>
      </w:pPr>
    </w:p>
    <w:p w14:paraId="793643D9" w14:textId="77777777" w:rsidR="00517228" w:rsidRPr="00517228" w:rsidRDefault="00517228" w:rsidP="00517228">
      <w:pPr>
        <w:spacing w:line="276" w:lineRule="auto"/>
        <w:rPr>
          <w:rFonts w:eastAsia="Times New Roman" w:cs="Tahoma"/>
          <w:szCs w:val="24"/>
          <w:lang w:val="es-ES" w:eastAsia="es-ES"/>
        </w:rPr>
      </w:pPr>
      <w:r w:rsidRPr="00517228">
        <w:rPr>
          <w:rFonts w:eastAsia="Times New Roman" w:cs="Tahoma"/>
          <w:b/>
          <w:bCs/>
          <w:szCs w:val="24"/>
          <w:lang w:val="es-ES" w:eastAsia="es-ES"/>
        </w:rPr>
        <w:t>OLGA LUCÍA HOYOS SEPÚLVEDA</w:t>
      </w:r>
      <w:r w:rsidRPr="00517228">
        <w:rPr>
          <w:rFonts w:eastAsia="Times New Roman" w:cs="Tahoma"/>
          <w:b/>
          <w:bCs/>
          <w:szCs w:val="24"/>
          <w:lang w:val="es-ES" w:eastAsia="es-ES"/>
        </w:rPr>
        <w:tab/>
      </w:r>
      <w:r w:rsidRPr="00517228">
        <w:rPr>
          <w:rFonts w:eastAsia="Times New Roman" w:cs="Tahoma"/>
          <w:b/>
          <w:bCs/>
          <w:szCs w:val="24"/>
          <w:lang w:val="es-ES" w:eastAsia="es-ES"/>
        </w:rPr>
        <w:tab/>
        <w:t>GERMÁN DARÍO GÓEZ VINASCO</w:t>
      </w:r>
      <w:bookmarkEnd w:id="16"/>
      <w:bookmarkEnd w:id="17"/>
    </w:p>
    <w:p w14:paraId="7DF2A4B3" w14:textId="6CEAE16B" w:rsidR="009D10A2" w:rsidRPr="00517228" w:rsidRDefault="00517228" w:rsidP="00517228">
      <w:pPr>
        <w:pStyle w:val="Prrafodelista2"/>
        <w:spacing w:after="0"/>
        <w:ind w:left="0"/>
        <w:jc w:val="both"/>
        <w:rPr>
          <w:rFonts w:ascii="Tahoma" w:hAnsi="Tahoma" w:cs="Tahoma"/>
          <w:bCs/>
          <w:sz w:val="24"/>
          <w:szCs w:val="24"/>
        </w:rPr>
      </w:pPr>
      <w:r>
        <w:rPr>
          <w:rFonts w:ascii="Tahoma" w:hAnsi="Tahoma" w:cs="Tahoma"/>
          <w:bCs/>
          <w:sz w:val="24"/>
          <w:szCs w:val="24"/>
        </w:rPr>
        <w:t>Aclara voto</w:t>
      </w:r>
    </w:p>
    <w:sectPr w:rsidR="009D10A2" w:rsidRPr="00517228" w:rsidSect="0011481C">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B2206C" w16cex:dateUtc="2021-05-07T19:27:34.074Z"/>
  <w16cex:commentExtensible w16cex:durableId="1C84F00F" w16cex:dateUtc="2021-05-13T16:47:39.3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9CCED" w14:textId="77777777" w:rsidR="004A14FC" w:rsidRDefault="004A14FC" w:rsidP="00790DA9">
      <w:pPr>
        <w:spacing w:line="240" w:lineRule="auto"/>
      </w:pPr>
      <w:r>
        <w:separator/>
      </w:r>
    </w:p>
  </w:endnote>
  <w:endnote w:type="continuationSeparator" w:id="0">
    <w:p w14:paraId="6CBD7764" w14:textId="77777777" w:rsidR="004A14FC" w:rsidRDefault="004A14FC"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val="es-ES" w:eastAsia="es-ES"/>
      </w:rPr>
    </w:sdtEndPr>
    <w:sdtContent>
      <w:p w14:paraId="14419340" w14:textId="77777777" w:rsidR="009206B1" w:rsidRPr="008063DF" w:rsidRDefault="009206B1">
        <w:pPr>
          <w:pStyle w:val="Piedepgina"/>
          <w:jc w:val="right"/>
          <w:rPr>
            <w:rFonts w:ascii="Arial" w:eastAsia="Times New Roman" w:hAnsi="Arial" w:cs="Arial"/>
            <w:sz w:val="18"/>
            <w:szCs w:val="14"/>
            <w:lang w:val="es-ES" w:eastAsia="es-ES"/>
          </w:rPr>
        </w:pPr>
        <w:r w:rsidRPr="008063DF">
          <w:rPr>
            <w:rFonts w:ascii="Arial" w:eastAsia="Times New Roman" w:hAnsi="Arial" w:cs="Arial"/>
            <w:sz w:val="18"/>
            <w:szCs w:val="14"/>
            <w:lang w:val="es-ES" w:eastAsia="es-ES"/>
          </w:rPr>
          <w:fldChar w:fldCharType="begin"/>
        </w:r>
        <w:r w:rsidRPr="008063DF">
          <w:rPr>
            <w:rFonts w:ascii="Arial" w:eastAsia="Times New Roman" w:hAnsi="Arial" w:cs="Arial"/>
            <w:sz w:val="18"/>
            <w:szCs w:val="14"/>
            <w:lang w:val="es-ES" w:eastAsia="es-ES"/>
          </w:rPr>
          <w:instrText>PAGE   \* MERGEFORMAT</w:instrText>
        </w:r>
        <w:r w:rsidRPr="008063DF">
          <w:rPr>
            <w:rFonts w:ascii="Arial" w:eastAsia="Times New Roman" w:hAnsi="Arial" w:cs="Arial"/>
            <w:sz w:val="18"/>
            <w:szCs w:val="14"/>
            <w:lang w:val="es-ES" w:eastAsia="es-ES"/>
          </w:rPr>
          <w:fldChar w:fldCharType="separate"/>
        </w:r>
        <w:r>
          <w:rPr>
            <w:rFonts w:ascii="Arial" w:eastAsia="Times New Roman" w:hAnsi="Arial" w:cs="Arial"/>
            <w:noProof/>
            <w:sz w:val="18"/>
            <w:szCs w:val="14"/>
            <w:lang w:val="es-ES" w:eastAsia="es-ES"/>
          </w:rPr>
          <w:t>17</w:t>
        </w:r>
        <w:r w:rsidRPr="008063DF">
          <w:rPr>
            <w:rFonts w:ascii="Arial" w:eastAsia="Times New Roman" w:hAnsi="Arial" w:cs="Arial"/>
            <w:sz w:val="18"/>
            <w:szCs w:val="14"/>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D9066" w14:textId="77777777" w:rsidR="004A14FC" w:rsidRDefault="004A14FC" w:rsidP="00790DA9">
      <w:pPr>
        <w:spacing w:line="240" w:lineRule="auto"/>
      </w:pPr>
      <w:r>
        <w:separator/>
      </w:r>
    </w:p>
  </w:footnote>
  <w:footnote w:type="continuationSeparator" w:id="0">
    <w:p w14:paraId="689189D3" w14:textId="77777777" w:rsidR="004A14FC" w:rsidRDefault="004A14FC" w:rsidP="00790DA9">
      <w:pPr>
        <w:spacing w:line="240" w:lineRule="auto"/>
      </w:pPr>
      <w:r>
        <w:continuationSeparator/>
      </w:r>
    </w:p>
  </w:footnote>
  <w:footnote w:id="1">
    <w:p w14:paraId="2E631C55" w14:textId="77777777" w:rsidR="009206B1" w:rsidRPr="002B4CF4" w:rsidRDefault="009206B1" w:rsidP="002B4CF4">
      <w:pPr>
        <w:pStyle w:val="Textonotapie"/>
        <w:ind w:firstLine="0"/>
        <w:rPr>
          <w:rFonts w:ascii="Arial" w:hAnsi="Arial" w:cs="Arial"/>
          <w:sz w:val="18"/>
          <w:szCs w:val="18"/>
        </w:rPr>
      </w:pPr>
      <w:r w:rsidRPr="002B4CF4">
        <w:rPr>
          <w:rStyle w:val="Refdenotaalpie"/>
          <w:rFonts w:ascii="Arial" w:hAnsi="Arial" w:cs="Arial"/>
          <w:sz w:val="18"/>
          <w:szCs w:val="18"/>
        </w:rPr>
        <w:footnoteRef/>
      </w:r>
      <w:r w:rsidRPr="002B4CF4">
        <w:rPr>
          <w:rFonts w:ascii="Arial" w:hAnsi="Arial" w:cs="Arial"/>
          <w:sz w:val="18"/>
          <w:szCs w:val="18"/>
        </w:rPr>
        <w:t xml:space="preserve"> Título tomado de la sentencia del 8 de mayo de 2019SL 1688-2019, Radicado 68838, con Ponencia de la Dra. Clara Cecilia Dueñas Quevedo</w:t>
      </w:r>
    </w:p>
  </w:footnote>
  <w:footnote w:id="2">
    <w:p w14:paraId="2B42BD2D" w14:textId="77777777" w:rsidR="009206B1" w:rsidRPr="002B4CF4" w:rsidRDefault="009206B1" w:rsidP="002B4CF4">
      <w:pPr>
        <w:pStyle w:val="Textonotapie"/>
        <w:ind w:firstLine="0"/>
        <w:rPr>
          <w:rFonts w:ascii="Arial" w:hAnsi="Arial" w:cs="Arial"/>
          <w:sz w:val="18"/>
          <w:szCs w:val="18"/>
        </w:rPr>
      </w:pPr>
      <w:r w:rsidRPr="002B4CF4">
        <w:rPr>
          <w:rStyle w:val="Refdenotaalpie"/>
          <w:rFonts w:ascii="Arial" w:hAnsi="Arial" w:cs="Arial"/>
          <w:sz w:val="18"/>
          <w:szCs w:val="18"/>
        </w:rPr>
        <w:footnoteRef/>
      </w:r>
      <w:r w:rsidRPr="002B4CF4">
        <w:rPr>
          <w:rFonts w:ascii="Arial" w:hAnsi="Arial" w:cs="Arial"/>
          <w:sz w:val="18"/>
          <w:szCs w:val="18"/>
        </w:rPr>
        <w:t xml:space="preserve"> Estatuto Orgánico del Sistema Financiero </w:t>
      </w:r>
    </w:p>
  </w:footnote>
  <w:footnote w:id="3">
    <w:p w14:paraId="15EEAB70" w14:textId="2B22EC02" w:rsidR="009206B1" w:rsidRPr="002B4CF4" w:rsidRDefault="009206B1" w:rsidP="002B4CF4">
      <w:pPr>
        <w:pStyle w:val="Textonotapie"/>
        <w:ind w:firstLine="0"/>
        <w:rPr>
          <w:rFonts w:ascii="Arial" w:hAnsi="Arial" w:cs="Arial"/>
          <w:sz w:val="18"/>
          <w:szCs w:val="18"/>
        </w:rPr>
      </w:pPr>
      <w:r w:rsidRPr="002B4CF4">
        <w:rPr>
          <w:rStyle w:val="Refdenotaalpie"/>
          <w:rFonts w:ascii="Arial" w:hAnsi="Arial" w:cs="Arial"/>
          <w:sz w:val="18"/>
          <w:szCs w:val="18"/>
        </w:rPr>
        <w:footnoteRef/>
      </w:r>
      <w:r w:rsidRPr="002B4CF4">
        <w:rPr>
          <w:rFonts w:ascii="Arial" w:hAnsi="Arial" w:cs="Arial"/>
          <w:sz w:val="18"/>
          <w:szCs w:val="18"/>
        </w:rPr>
        <w:t xml:space="preserve"> Título tomado de la sentencia del 8 de mayo de 2019SL 1688-2019, Radicado 68838, con Ponencia de la Dra. Clara Cecilia Dueñas Quevedo</w:t>
      </w:r>
    </w:p>
  </w:footnote>
  <w:footnote w:id="4">
    <w:p w14:paraId="00339A32" w14:textId="77777777" w:rsidR="009206B1" w:rsidRPr="002B4CF4" w:rsidRDefault="009206B1" w:rsidP="002B4CF4">
      <w:pPr>
        <w:pStyle w:val="Textonotapie"/>
        <w:ind w:firstLine="0"/>
        <w:rPr>
          <w:rFonts w:ascii="Arial" w:hAnsi="Arial" w:cs="Arial"/>
          <w:sz w:val="18"/>
          <w:szCs w:val="18"/>
        </w:rPr>
      </w:pPr>
      <w:r w:rsidRPr="002B4CF4">
        <w:rPr>
          <w:rStyle w:val="Refdenotaalpie"/>
          <w:rFonts w:ascii="Arial" w:hAnsi="Arial" w:cs="Arial"/>
          <w:sz w:val="18"/>
          <w:szCs w:val="18"/>
        </w:rPr>
        <w:footnoteRef/>
      </w:r>
      <w:r w:rsidRPr="002B4CF4">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7652" w14:textId="6DEE8C41" w:rsidR="009206B1" w:rsidRPr="00517228" w:rsidRDefault="009206B1" w:rsidP="0011481C">
    <w:pPr>
      <w:pStyle w:val="NormalWeb"/>
      <w:tabs>
        <w:tab w:val="left" w:pos="1134"/>
      </w:tabs>
      <w:spacing w:before="0" w:beforeAutospacing="0" w:after="0" w:afterAutospacing="0"/>
      <w:jc w:val="both"/>
      <w:rPr>
        <w:rFonts w:ascii="Arial" w:hAnsi="Arial" w:cs="Arial"/>
        <w:sz w:val="18"/>
        <w:szCs w:val="14"/>
      </w:rPr>
    </w:pPr>
    <w:r w:rsidRPr="00517228">
      <w:rPr>
        <w:rFonts w:ascii="Arial" w:hAnsi="Arial" w:cs="Arial"/>
        <w:sz w:val="18"/>
        <w:szCs w:val="14"/>
      </w:rPr>
      <w:t>66001-31-05-001-2018-00338-01</w:t>
    </w:r>
  </w:p>
  <w:p w14:paraId="4918B5A4" w14:textId="61976269" w:rsidR="009206B1" w:rsidRPr="00517228" w:rsidRDefault="009206B1" w:rsidP="0011481C">
    <w:pPr>
      <w:pStyle w:val="NormalWeb"/>
      <w:tabs>
        <w:tab w:val="left" w:pos="1134"/>
      </w:tabs>
      <w:spacing w:before="0" w:beforeAutospacing="0" w:after="0" w:afterAutospacing="0"/>
      <w:jc w:val="both"/>
      <w:rPr>
        <w:rFonts w:ascii="Arial" w:hAnsi="Arial" w:cs="Arial"/>
        <w:sz w:val="18"/>
        <w:szCs w:val="14"/>
      </w:rPr>
    </w:pPr>
    <w:r w:rsidRPr="00517228">
      <w:rPr>
        <w:rFonts w:ascii="Arial" w:hAnsi="Arial" w:cs="Arial"/>
        <w:sz w:val="18"/>
        <w:szCs w:val="14"/>
      </w:rPr>
      <w:t>María Graciela Arias</w:t>
    </w:r>
  </w:p>
  <w:p w14:paraId="35FE2D1C" w14:textId="7CE43A99" w:rsidR="009206B1" w:rsidRPr="00517228" w:rsidRDefault="009206B1" w:rsidP="0011481C">
    <w:pPr>
      <w:pStyle w:val="NormalWeb"/>
      <w:tabs>
        <w:tab w:val="left" w:pos="1134"/>
      </w:tabs>
      <w:spacing w:before="0" w:beforeAutospacing="0" w:after="0" w:afterAutospacing="0"/>
      <w:jc w:val="both"/>
      <w:rPr>
        <w:rFonts w:ascii="Arial" w:hAnsi="Arial" w:cs="Arial"/>
        <w:sz w:val="18"/>
        <w:szCs w:val="14"/>
      </w:rPr>
    </w:pPr>
    <w:r w:rsidRPr="00517228">
      <w:rPr>
        <w:rFonts w:ascii="Arial" w:hAnsi="Arial" w:cs="Arial"/>
        <w:sz w:val="18"/>
        <w:szCs w:val="14"/>
      </w:rPr>
      <w:t>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9E407E00"/>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42761D"/>
    <w:multiLevelType w:val="multilevel"/>
    <w:tmpl w:val="3F1202F6"/>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5"/>
  </w:num>
  <w:num w:numId="2">
    <w:abstractNumId w:val="4"/>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17704"/>
    <w:rsid w:val="000303BA"/>
    <w:rsid w:val="000333C2"/>
    <w:rsid w:val="0003790B"/>
    <w:rsid w:val="00042B25"/>
    <w:rsid w:val="00066767"/>
    <w:rsid w:val="000723F0"/>
    <w:rsid w:val="00073698"/>
    <w:rsid w:val="00081437"/>
    <w:rsid w:val="00081C10"/>
    <w:rsid w:val="000856A8"/>
    <w:rsid w:val="000929C2"/>
    <w:rsid w:val="00096470"/>
    <w:rsid w:val="000B2BAA"/>
    <w:rsid w:val="000B4F2C"/>
    <w:rsid w:val="000B6053"/>
    <w:rsid w:val="000B6595"/>
    <w:rsid w:val="000C02A4"/>
    <w:rsid w:val="000C4E1E"/>
    <w:rsid w:val="000E25BE"/>
    <w:rsid w:val="000F3D75"/>
    <w:rsid w:val="000F49C1"/>
    <w:rsid w:val="000F5175"/>
    <w:rsid w:val="00103F06"/>
    <w:rsid w:val="0011481C"/>
    <w:rsid w:val="00115C02"/>
    <w:rsid w:val="001162CF"/>
    <w:rsid w:val="001170DA"/>
    <w:rsid w:val="001363CA"/>
    <w:rsid w:val="00142473"/>
    <w:rsid w:val="001461F7"/>
    <w:rsid w:val="00147587"/>
    <w:rsid w:val="001533B3"/>
    <w:rsid w:val="00154FD8"/>
    <w:rsid w:val="0018770B"/>
    <w:rsid w:val="001878AE"/>
    <w:rsid w:val="001A291C"/>
    <w:rsid w:val="001C0216"/>
    <w:rsid w:val="001C1B52"/>
    <w:rsid w:val="001D225A"/>
    <w:rsid w:val="001D423C"/>
    <w:rsid w:val="00216A63"/>
    <w:rsid w:val="0022440C"/>
    <w:rsid w:val="00235D61"/>
    <w:rsid w:val="00272FA1"/>
    <w:rsid w:val="0027358B"/>
    <w:rsid w:val="002B4CF4"/>
    <w:rsid w:val="002C32BD"/>
    <w:rsid w:val="002D70C7"/>
    <w:rsid w:val="002E0F25"/>
    <w:rsid w:val="002E1784"/>
    <w:rsid w:val="002F035D"/>
    <w:rsid w:val="002F3E23"/>
    <w:rsid w:val="00300A30"/>
    <w:rsid w:val="00315273"/>
    <w:rsid w:val="00322722"/>
    <w:rsid w:val="00330A42"/>
    <w:rsid w:val="003324F5"/>
    <w:rsid w:val="003340AA"/>
    <w:rsid w:val="00342284"/>
    <w:rsid w:val="00352607"/>
    <w:rsid w:val="00375525"/>
    <w:rsid w:val="003B2384"/>
    <w:rsid w:val="003B5E98"/>
    <w:rsid w:val="003C0463"/>
    <w:rsid w:val="003C46FA"/>
    <w:rsid w:val="003C7505"/>
    <w:rsid w:val="003D0E6E"/>
    <w:rsid w:val="003D16E5"/>
    <w:rsid w:val="00403746"/>
    <w:rsid w:val="004154E0"/>
    <w:rsid w:val="00421F4F"/>
    <w:rsid w:val="004260C5"/>
    <w:rsid w:val="00454F9D"/>
    <w:rsid w:val="00466937"/>
    <w:rsid w:val="00467973"/>
    <w:rsid w:val="00483816"/>
    <w:rsid w:val="004A1054"/>
    <w:rsid w:val="004A14FC"/>
    <w:rsid w:val="004C46ED"/>
    <w:rsid w:val="00517228"/>
    <w:rsid w:val="0053421E"/>
    <w:rsid w:val="00534253"/>
    <w:rsid w:val="00545B08"/>
    <w:rsid w:val="00553FD7"/>
    <w:rsid w:val="00561E61"/>
    <w:rsid w:val="005A473D"/>
    <w:rsid w:val="005A5ADA"/>
    <w:rsid w:val="005B00B8"/>
    <w:rsid w:val="005B1B92"/>
    <w:rsid w:val="005B5103"/>
    <w:rsid w:val="005B65AA"/>
    <w:rsid w:val="005D7831"/>
    <w:rsid w:val="005E1630"/>
    <w:rsid w:val="005E6400"/>
    <w:rsid w:val="005F4133"/>
    <w:rsid w:val="00600B9D"/>
    <w:rsid w:val="00600CE4"/>
    <w:rsid w:val="0060137B"/>
    <w:rsid w:val="006136C7"/>
    <w:rsid w:val="00633F28"/>
    <w:rsid w:val="006458B0"/>
    <w:rsid w:val="00654EAE"/>
    <w:rsid w:val="00662FC5"/>
    <w:rsid w:val="00667387"/>
    <w:rsid w:val="006A36EB"/>
    <w:rsid w:val="006B11AA"/>
    <w:rsid w:val="006C4834"/>
    <w:rsid w:val="006C7C85"/>
    <w:rsid w:val="006D3825"/>
    <w:rsid w:val="006D45C3"/>
    <w:rsid w:val="006E3FE2"/>
    <w:rsid w:val="006E68C0"/>
    <w:rsid w:val="006F3644"/>
    <w:rsid w:val="006F3819"/>
    <w:rsid w:val="006F46B8"/>
    <w:rsid w:val="00700EFF"/>
    <w:rsid w:val="0072783E"/>
    <w:rsid w:val="00734150"/>
    <w:rsid w:val="00737D7B"/>
    <w:rsid w:val="007418AD"/>
    <w:rsid w:val="00747DAA"/>
    <w:rsid w:val="00761E4E"/>
    <w:rsid w:val="007813BE"/>
    <w:rsid w:val="00784D72"/>
    <w:rsid w:val="00786D47"/>
    <w:rsid w:val="00790CCA"/>
    <w:rsid w:val="00790DA9"/>
    <w:rsid w:val="007A34E5"/>
    <w:rsid w:val="007A7B9B"/>
    <w:rsid w:val="007B2D77"/>
    <w:rsid w:val="007E1917"/>
    <w:rsid w:val="007E5A0D"/>
    <w:rsid w:val="007E77EA"/>
    <w:rsid w:val="008063DF"/>
    <w:rsid w:val="00806950"/>
    <w:rsid w:val="00820A77"/>
    <w:rsid w:val="00824349"/>
    <w:rsid w:val="00835553"/>
    <w:rsid w:val="00846780"/>
    <w:rsid w:val="008548ED"/>
    <w:rsid w:val="008722AC"/>
    <w:rsid w:val="0087484F"/>
    <w:rsid w:val="0087626E"/>
    <w:rsid w:val="00886808"/>
    <w:rsid w:val="0089161C"/>
    <w:rsid w:val="00891AE9"/>
    <w:rsid w:val="008B3405"/>
    <w:rsid w:val="008C4964"/>
    <w:rsid w:val="008D443F"/>
    <w:rsid w:val="008E6A9E"/>
    <w:rsid w:val="008F0584"/>
    <w:rsid w:val="00907968"/>
    <w:rsid w:val="009206B1"/>
    <w:rsid w:val="009253E4"/>
    <w:rsid w:val="00935CFB"/>
    <w:rsid w:val="00943B70"/>
    <w:rsid w:val="009449CA"/>
    <w:rsid w:val="0094516B"/>
    <w:rsid w:val="00946FB9"/>
    <w:rsid w:val="00956792"/>
    <w:rsid w:val="00956F52"/>
    <w:rsid w:val="00975AB3"/>
    <w:rsid w:val="0098260A"/>
    <w:rsid w:val="0098525A"/>
    <w:rsid w:val="009853EE"/>
    <w:rsid w:val="009979A7"/>
    <w:rsid w:val="009B14F6"/>
    <w:rsid w:val="009D10A2"/>
    <w:rsid w:val="009E4F54"/>
    <w:rsid w:val="009E715D"/>
    <w:rsid w:val="009F05B2"/>
    <w:rsid w:val="009F4A39"/>
    <w:rsid w:val="00A00398"/>
    <w:rsid w:val="00A0657B"/>
    <w:rsid w:val="00A10608"/>
    <w:rsid w:val="00A13F40"/>
    <w:rsid w:val="00A266D4"/>
    <w:rsid w:val="00A26AC8"/>
    <w:rsid w:val="00A33916"/>
    <w:rsid w:val="00A56069"/>
    <w:rsid w:val="00A63E9B"/>
    <w:rsid w:val="00A67C26"/>
    <w:rsid w:val="00A74124"/>
    <w:rsid w:val="00A900DB"/>
    <w:rsid w:val="00A93215"/>
    <w:rsid w:val="00A9742B"/>
    <w:rsid w:val="00AA30DB"/>
    <w:rsid w:val="00AA3C7C"/>
    <w:rsid w:val="00AA3D20"/>
    <w:rsid w:val="00AA783A"/>
    <w:rsid w:val="00AB462E"/>
    <w:rsid w:val="00AC0C8D"/>
    <w:rsid w:val="00AC1979"/>
    <w:rsid w:val="00AE042F"/>
    <w:rsid w:val="00AE2EB0"/>
    <w:rsid w:val="00AF1C75"/>
    <w:rsid w:val="00AF4757"/>
    <w:rsid w:val="00B06E1F"/>
    <w:rsid w:val="00B17E1F"/>
    <w:rsid w:val="00B20840"/>
    <w:rsid w:val="00B21AB8"/>
    <w:rsid w:val="00B24B52"/>
    <w:rsid w:val="00B40350"/>
    <w:rsid w:val="00B44542"/>
    <w:rsid w:val="00B5078E"/>
    <w:rsid w:val="00B508F6"/>
    <w:rsid w:val="00B53E94"/>
    <w:rsid w:val="00B8317C"/>
    <w:rsid w:val="00B83EFF"/>
    <w:rsid w:val="00B92321"/>
    <w:rsid w:val="00BB0107"/>
    <w:rsid w:val="00BB0943"/>
    <w:rsid w:val="00BB5F94"/>
    <w:rsid w:val="00BB7B81"/>
    <w:rsid w:val="00BD0CEF"/>
    <w:rsid w:val="00BE08FF"/>
    <w:rsid w:val="00BE6A3B"/>
    <w:rsid w:val="00BE6BEA"/>
    <w:rsid w:val="00BF131B"/>
    <w:rsid w:val="00C021EE"/>
    <w:rsid w:val="00C02346"/>
    <w:rsid w:val="00C02C9A"/>
    <w:rsid w:val="00C06B1A"/>
    <w:rsid w:val="00C11B0A"/>
    <w:rsid w:val="00C16845"/>
    <w:rsid w:val="00C27D5D"/>
    <w:rsid w:val="00C33E31"/>
    <w:rsid w:val="00C342C0"/>
    <w:rsid w:val="00C4413A"/>
    <w:rsid w:val="00C53028"/>
    <w:rsid w:val="00C7760C"/>
    <w:rsid w:val="00C84471"/>
    <w:rsid w:val="00C877F4"/>
    <w:rsid w:val="00C9368C"/>
    <w:rsid w:val="00CA743B"/>
    <w:rsid w:val="00CC776A"/>
    <w:rsid w:val="00CD14BB"/>
    <w:rsid w:val="00CD1CE4"/>
    <w:rsid w:val="00CE0567"/>
    <w:rsid w:val="00CE1144"/>
    <w:rsid w:val="00CE5E7B"/>
    <w:rsid w:val="00CF09B3"/>
    <w:rsid w:val="00CF2833"/>
    <w:rsid w:val="00CF703F"/>
    <w:rsid w:val="00D31819"/>
    <w:rsid w:val="00D459BB"/>
    <w:rsid w:val="00D47BA5"/>
    <w:rsid w:val="00D61D85"/>
    <w:rsid w:val="00D72C19"/>
    <w:rsid w:val="00D757DB"/>
    <w:rsid w:val="00D86208"/>
    <w:rsid w:val="00D90263"/>
    <w:rsid w:val="00D9394C"/>
    <w:rsid w:val="00DA1938"/>
    <w:rsid w:val="00DA1C9D"/>
    <w:rsid w:val="00DA4370"/>
    <w:rsid w:val="00DB2FDD"/>
    <w:rsid w:val="00DB521D"/>
    <w:rsid w:val="00DC5863"/>
    <w:rsid w:val="00E352C7"/>
    <w:rsid w:val="00E37AAA"/>
    <w:rsid w:val="00E44599"/>
    <w:rsid w:val="00E45567"/>
    <w:rsid w:val="00E60B9A"/>
    <w:rsid w:val="00E64B79"/>
    <w:rsid w:val="00E66B3E"/>
    <w:rsid w:val="00E74EEE"/>
    <w:rsid w:val="00E74F09"/>
    <w:rsid w:val="00EA76E7"/>
    <w:rsid w:val="00ED2008"/>
    <w:rsid w:val="00ED7835"/>
    <w:rsid w:val="00EF513D"/>
    <w:rsid w:val="00EF5C33"/>
    <w:rsid w:val="00F2211F"/>
    <w:rsid w:val="00F24E45"/>
    <w:rsid w:val="00F26ECD"/>
    <w:rsid w:val="00F30A77"/>
    <w:rsid w:val="00F41005"/>
    <w:rsid w:val="00F4298B"/>
    <w:rsid w:val="00F50C4F"/>
    <w:rsid w:val="00F65DF6"/>
    <w:rsid w:val="00F8423F"/>
    <w:rsid w:val="00FA239F"/>
    <w:rsid w:val="00FA61A6"/>
    <w:rsid w:val="00FB16D8"/>
    <w:rsid w:val="00FC4541"/>
    <w:rsid w:val="00FD50CB"/>
    <w:rsid w:val="00FE63C7"/>
    <w:rsid w:val="00FE7B6D"/>
    <w:rsid w:val="00FF6DD0"/>
    <w:rsid w:val="00FF72C1"/>
    <w:rsid w:val="01678849"/>
    <w:rsid w:val="0500474C"/>
    <w:rsid w:val="067D2DD4"/>
    <w:rsid w:val="0C50EF9E"/>
    <w:rsid w:val="0EC2C8AC"/>
    <w:rsid w:val="10CB543A"/>
    <w:rsid w:val="10D03A52"/>
    <w:rsid w:val="10F5B9B0"/>
    <w:rsid w:val="1604B740"/>
    <w:rsid w:val="1AA6F466"/>
    <w:rsid w:val="1C39E654"/>
    <w:rsid w:val="1F1CB475"/>
    <w:rsid w:val="2165CB40"/>
    <w:rsid w:val="245DBE3A"/>
    <w:rsid w:val="28AA6E5E"/>
    <w:rsid w:val="2B62F4E0"/>
    <w:rsid w:val="32D5D917"/>
    <w:rsid w:val="361FF738"/>
    <w:rsid w:val="38ABB1A4"/>
    <w:rsid w:val="3A64500F"/>
    <w:rsid w:val="3B1122DA"/>
    <w:rsid w:val="3B63AED4"/>
    <w:rsid w:val="3F86C813"/>
    <w:rsid w:val="4175F712"/>
    <w:rsid w:val="443D6A8A"/>
    <w:rsid w:val="450B4BA1"/>
    <w:rsid w:val="455AA45F"/>
    <w:rsid w:val="45A3599D"/>
    <w:rsid w:val="46756579"/>
    <w:rsid w:val="4986519F"/>
    <w:rsid w:val="4EC5BA19"/>
    <w:rsid w:val="4FC84195"/>
    <w:rsid w:val="5003DA2F"/>
    <w:rsid w:val="5A72C606"/>
    <w:rsid w:val="5B5209DC"/>
    <w:rsid w:val="5D4E4829"/>
    <w:rsid w:val="5E77DBDD"/>
    <w:rsid w:val="5F29AE0F"/>
    <w:rsid w:val="60257AFF"/>
    <w:rsid w:val="639AB167"/>
    <w:rsid w:val="65C0E083"/>
    <w:rsid w:val="66694A02"/>
    <w:rsid w:val="68A9C598"/>
    <w:rsid w:val="6931BCB7"/>
    <w:rsid w:val="6B539B18"/>
    <w:rsid w:val="6B602A80"/>
    <w:rsid w:val="70DFBA0F"/>
    <w:rsid w:val="72FCF6FA"/>
    <w:rsid w:val="780C3E85"/>
    <w:rsid w:val="79BD3250"/>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Asuntodelcomentario">
    <w:name w:val="annotation subject"/>
    <w:basedOn w:val="Textocomentario"/>
    <w:next w:val="Textocomentario"/>
    <w:link w:val="AsuntodelcomentarioCar"/>
    <w:uiPriority w:val="99"/>
    <w:semiHidden/>
    <w:unhideWhenUsed/>
    <w:rsid w:val="00700EFF"/>
    <w:rPr>
      <w:b/>
      <w:bCs/>
    </w:rPr>
  </w:style>
  <w:style w:type="character" w:customStyle="1" w:styleId="AsuntodelcomentarioCar">
    <w:name w:val="Asunto del comentario Car"/>
    <w:basedOn w:val="TextocomentarioCar"/>
    <w:link w:val="Asuntodelcomentario"/>
    <w:uiPriority w:val="99"/>
    <w:semiHidden/>
    <w:rsid w:val="00700EFF"/>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691806649">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d431a8b8fc6e4649"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C985A7A4-DA7B-4344-80E0-6F0E3B415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5E4E8-2600-414D-B187-B60EE2E6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8124</Words>
  <Characters>44684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7</cp:revision>
  <dcterms:created xsi:type="dcterms:W3CDTF">2021-05-05T19:33:00Z</dcterms:created>
  <dcterms:modified xsi:type="dcterms:W3CDTF">2021-06-17T18:16:00Z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