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0336A" w14:textId="77777777" w:rsidR="008C7C79" w:rsidRPr="008C7C79" w:rsidRDefault="008C7C79" w:rsidP="008C7C79">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Hlk76320119"/>
      <w:r w:rsidRPr="008C7C79">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F815D1F" w14:textId="77777777" w:rsidR="008C7C79" w:rsidRPr="008C7C79" w:rsidRDefault="008C7C79" w:rsidP="008C7C79">
      <w:pPr>
        <w:spacing w:line="240" w:lineRule="auto"/>
        <w:rPr>
          <w:rFonts w:ascii="Arial" w:eastAsia="Times New Roman" w:hAnsi="Arial" w:cs="Arial"/>
          <w:sz w:val="20"/>
          <w:szCs w:val="20"/>
          <w:lang w:val="es-419" w:eastAsia="es-ES"/>
        </w:rPr>
      </w:pPr>
    </w:p>
    <w:p w14:paraId="1B4FEAEC" w14:textId="77777777" w:rsidR="008C7C79" w:rsidRPr="008C7C79" w:rsidRDefault="008C7C79" w:rsidP="008C7C79">
      <w:pPr>
        <w:spacing w:line="240" w:lineRule="auto"/>
        <w:rPr>
          <w:rFonts w:ascii="Arial" w:eastAsia="Times New Roman" w:hAnsi="Arial" w:cs="Arial"/>
          <w:sz w:val="20"/>
          <w:szCs w:val="20"/>
          <w:lang w:val="es-419" w:eastAsia="es-ES"/>
        </w:rPr>
      </w:pPr>
      <w:r w:rsidRPr="008C7C79">
        <w:rPr>
          <w:rFonts w:ascii="Arial" w:eastAsia="Times New Roman" w:hAnsi="Arial" w:cs="Arial"/>
          <w:sz w:val="20"/>
          <w:szCs w:val="20"/>
          <w:lang w:val="es-419" w:eastAsia="es-ES"/>
        </w:rPr>
        <w:t xml:space="preserve">Radicación No.: </w:t>
      </w:r>
      <w:r w:rsidRPr="008C7C79">
        <w:rPr>
          <w:rFonts w:ascii="Arial" w:eastAsia="Times New Roman" w:hAnsi="Arial" w:cs="Arial"/>
          <w:sz w:val="20"/>
          <w:szCs w:val="20"/>
          <w:lang w:val="es-419" w:eastAsia="es-ES"/>
        </w:rPr>
        <w:tab/>
        <w:t>66001-31-05-005-2018-00440-01</w:t>
      </w:r>
    </w:p>
    <w:p w14:paraId="63F418E7" w14:textId="77777777" w:rsidR="008C7C79" w:rsidRPr="008C7C79" w:rsidRDefault="008C7C79" w:rsidP="008C7C79">
      <w:pPr>
        <w:spacing w:line="240" w:lineRule="auto"/>
        <w:rPr>
          <w:rFonts w:ascii="Arial" w:eastAsia="Times New Roman" w:hAnsi="Arial" w:cs="Arial"/>
          <w:sz w:val="20"/>
          <w:szCs w:val="20"/>
          <w:lang w:val="es-419" w:eastAsia="es-ES"/>
        </w:rPr>
      </w:pPr>
      <w:r w:rsidRPr="008C7C79">
        <w:rPr>
          <w:rFonts w:ascii="Arial" w:eastAsia="Times New Roman" w:hAnsi="Arial" w:cs="Arial"/>
          <w:sz w:val="20"/>
          <w:szCs w:val="20"/>
          <w:lang w:val="es-419" w:eastAsia="es-ES"/>
        </w:rPr>
        <w:t xml:space="preserve">Proceso: </w:t>
      </w:r>
      <w:r w:rsidRPr="008C7C79">
        <w:rPr>
          <w:rFonts w:ascii="Arial" w:eastAsia="Times New Roman" w:hAnsi="Arial" w:cs="Arial"/>
          <w:sz w:val="20"/>
          <w:szCs w:val="20"/>
          <w:lang w:val="es-419" w:eastAsia="es-ES"/>
        </w:rPr>
        <w:tab/>
      </w:r>
      <w:r w:rsidRPr="008C7C79">
        <w:rPr>
          <w:rFonts w:ascii="Arial" w:eastAsia="Times New Roman" w:hAnsi="Arial" w:cs="Arial"/>
          <w:sz w:val="20"/>
          <w:szCs w:val="20"/>
          <w:lang w:val="es-419" w:eastAsia="es-ES"/>
        </w:rPr>
        <w:tab/>
        <w:t xml:space="preserve">Ordinario Laboral </w:t>
      </w:r>
    </w:p>
    <w:p w14:paraId="266C4676" w14:textId="77777777" w:rsidR="008C7C79" w:rsidRPr="008C7C79" w:rsidRDefault="008C7C79" w:rsidP="008C7C79">
      <w:pPr>
        <w:spacing w:line="240" w:lineRule="auto"/>
        <w:rPr>
          <w:rFonts w:ascii="Arial" w:eastAsia="Times New Roman" w:hAnsi="Arial" w:cs="Arial"/>
          <w:sz w:val="20"/>
          <w:szCs w:val="20"/>
          <w:lang w:val="es-419" w:eastAsia="es-ES"/>
        </w:rPr>
      </w:pPr>
      <w:r w:rsidRPr="008C7C79">
        <w:rPr>
          <w:rFonts w:ascii="Arial" w:eastAsia="Times New Roman" w:hAnsi="Arial" w:cs="Arial"/>
          <w:sz w:val="20"/>
          <w:szCs w:val="20"/>
          <w:lang w:val="es-419" w:eastAsia="es-ES"/>
        </w:rPr>
        <w:t xml:space="preserve">Demandante: </w:t>
      </w:r>
      <w:r w:rsidRPr="008C7C79">
        <w:rPr>
          <w:rFonts w:ascii="Arial" w:eastAsia="Times New Roman" w:hAnsi="Arial" w:cs="Arial"/>
          <w:sz w:val="20"/>
          <w:szCs w:val="20"/>
          <w:lang w:val="es-419" w:eastAsia="es-ES"/>
        </w:rPr>
        <w:tab/>
      </w:r>
      <w:r w:rsidRPr="008C7C79">
        <w:rPr>
          <w:rFonts w:ascii="Arial" w:eastAsia="Times New Roman" w:hAnsi="Arial" w:cs="Arial"/>
          <w:sz w:val="20"/>
          <w:szCs w:val="20"/>
          <w:lang w:val="es-419" w:eastAsia="es-ES"/>
        </w:rPr>
        <w:tab/>
        <w:t>Carlos Víctor Barragán López</w:t>
      </w:r>
    </w:p>
    <w:p w14:paraId="22D7EFF7" w14:textId="77777777" w:rsidR="008C7C79" w:rsidRPr="008C7C79" w:rsidRDefault="008C7C79" w:rsidP="008C7C79">
      <w:pPr>
        <w:spacing w:line="240" w:lineRule="auto"/>
        <w:rPr>
          <w:rFonts w:ascii="Arial" w:eastAsia="Times New Roman" w:hAnsi="Arial" w:cs="Arial"/>
          <w:sz w:val="20"/>
          <w:szCs w:val="20"/>
          <w:lang w:val="es-419" w:eastAsia="es-ES"/>
        </w:rPr>
      </w:pPr>
      <w:r w:rsidRPr="008C7C79">
        <w:rPr>
          <w:rFonts w:ascii="Arial" w:eastAsia="Times New Roman" w:hAnsi="Arial" w:cs="Arial"/>
          <w:sz w:val="20"/>
          <w:szCs w:val="20"/>
          <w:lang w:val="es-419" w:eastAsia="es-ES"/>
        </w:rPr>
        <w:t xml:space="preserve">Demandado: </w:t>
      </w:r>
      <w:r w:rsidRPr="008C7C79">
        <w:rPr>
          <w:rFonts w:ascii="Arial" w:eastAsia="Times New Roman" w:hAnsi="Arial" w:cs="Arial"/>
          <w:sz w:val="20"/>
          <w:szCs w:val="20"/>
          <w:lang w:val="es-419" w:eastAsia="es-ES"/>
        </w:rPr>
        <w:tab/>
      </w:r>
      <w:r w:rsidRPr="008C7C79">
        <w:rPr>
          <w:rFonts w:ascii="Arial" w:eastAsia="Times New Roman" w:hAnsi="Arial" w:cs="Arial"/>
          <w:sz w:val="20"/>
          <w:szCs w:val="20"/>
          <w:lang w:val="es-419" w:eastAsia="es-ES"/>
        </w:rPr>
        <w:tab/>
        <w:t>Porvenir S.A. y Colpensiones</w:t>
      </w:r>
    </w:p>
    <w:p w14:paraId="00DE5285" w14:textId="511D9B10" w:rsidR="008C7C79" w:rsidRPr="008C7C79" w:rsidRDefault="008C7C79" w:rsidP="008C7C79">
      <w:pPr>
        <w:spacing w:line="240" w:lineRule="auto"/>
        <w:rPr>
          <w:rFonts w:ascii="Arial" w:eastAsia="Times New Roman" w:hAnsi="Arial" w:cs="Arial"/>
          <w:sz w:val="20"/>
          <w:szCs w:val="20"/>
          <w:lang w:val="es-419" w:eastAsia="es-ES"/>
        </w:rPr>
      </w:pPr>
      <w:r w:rsidRPr="008C7C79">
        <w:rPr>
          <w:rFonts w:ascii="Arial" w:eastAsia="Times New Roman" w:hAnsi="Arial" w:cs="Arial"/>
          <w:sz w:val="20"/>
          <w:szCs w:val="20"/>
          <w:lang w:val="es-419" w:eastAsia="es-ES"/>
        </w:rPr>
        <w:t xml:space="preserve">Juzgado: </w:t>
      </w:r>
      <w:r w:rsidRPr="008C7C79">
        <w:rPr>
          <w:rFonts w:ascii="Arial" w:eastAsia="Times New Roman" w:hAnsi="Arial" w:cs="Arial"/>
          <w:sz w:val="20"/>
          <w:szCs w:val="20"/>
          <w:lang w:val="es-419" w:eastAsia="es-ES"/>
        </w:rPr>
        <w:tab/>
      </w:r>
      <w:r w:rsidRPr="008C7C79">
        <w:rPr>
          <w:rFonts w:ascii="Arial" w:eastAsia="Times New Roman" w:hAnsi="Arial" w:cs="Arial"/>
          <w:sz w:val="20"/>
          <w:szCs w:val="20"/>
          <w:lang w:val="es-419" w:eastAsia="es-ES"/>
        </w:rPr>
        <w:tab/>
        <w:t>Quinto Laboral del Circuito de Pereira</w:t>
      </w:r>
    </w:p>
    <w:p w14:paraId="6C106D23" w14:textId="77777777" w:rsidR="008C7C79" w:rsidRPr="008C7C79" w:rsidRDefault="008C7C79" w:rsidP="008C7C79">
      <w:pPr>
        <w:spacing w:line="240" w:lineRule="auto"/>
        <w:rPr>
          <w:rFonts w:ascii="Arial" w:eastAsia="Times New Roman" w:hAnsi="Arial" w:cs="Arial"/>
          <w:sz w:val="20"/>
          <w:szCs w:val="20"/>
          <w:lang w:val="es-419" w:eastAsia="es-ES"/>
        </w:rPr>
      </w:pPr>
    </w:p>
    <w:p w14:paraId="30A76ED0" w14:textId="77777777" w:rsidR="008C7C79" w:rsidRPr="008C7C79" w:rsidRDefault="008C7C79" w:rsidP="008C7C79">
      <w:pPr>
        <w:spacing w:line="240" w:lineRule="auto"/>
        <w:rPr>
          <w:rFonts w:ascii="Arial" w:eastAsia="Times New Roman" w:hAnsi="Arial" w:cs="Arial"/>
          <w:b/>
          <w:bCs/>
          <w:iCs/>
          <w:sz w:val="20"/>
          <w:szCs w:val="20"/>
          <w:lang w:val="es-419" w:eastAsia="fr-FR"/>
        </w:rPr>
      </w:pPr>
      <w:r w:rsidRPr="008C7C79">
        <w:rPr>
          <w:rFonts w:ascii="Arial" w:eastAsia="Times New Roman" w:hAnsi="Arial" w:cs="Arial"/>
          <w:b/>
          <w:bCs/>
          <w:iCs/>
          <w:sz w:val="20"/>
          <w:szCs w:val="20"/>
          <w:u w:val="single"/>
          <w:lang w:val="es-419" w:eastAsia="fr-FR"/>
        </w:rPr>
        <w:t>TEMAS:</w:t>
      </w:r>
      <w:r w:rsidRPr="008C7C79">
        <w:rPr>
          <w:rFonts w:ascii="Arial" w:eastAsia="Times New Roman" w:hAnsi="Arial" w:cs="Arial"/>
          <w:b/>
          <w:bCs/>
          <w:iCs/>
          <w:sz w:val="20"/>
          <w:szCs w:val="20"/>
          <w:lang w:val="es-419" w:eastAsia="fr-FR"/>
        </w:rPr>
        <w:tab/>
      </w:r>
      <w:r w:rsidRPr="008C7C79">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2252F8A2" w14:textId="77777777" w:rsidR="008C7C79" w:rsidRPr="008C7C79" w:rsidRDefault="008C7C79" w:rsidP="008C7C79">
      <w:pPr>
        <w:spacing w:line="240" w:lineRule="auto"/>
        <w:rPr>
          <w:rFonts w:ascii="Arial" w:eastAsia="Times New Roman" w:hAnsi="Arial" w:cs="Arial"/>
          <w:sz w:val="20"/>
          <w:szCs w:val="20"/>
          <w:lang w:val="es-419" w:eastAsia="es-ES"/>
        </w:rPr>
      </w:pPr>
    </w:p>
    <w:p w14:paraId="641914DF" w14:textId="77777777" w:rsidR="008C7C79" w:rsidRPr="008C7C79" w:rsidRDefault="008C7C79" w:rsidP="008C7C79">
      <w:pPr>
        <w:spacing w:line="240" w:lineRule="auto"/>
        <w:rPr>
          <w:rFonts w:ascii="Arial" w:eastAsia="Times New Roman" w:hAnsi="Arial" w:cs="Arial"/>
          <w:sz w:val="20"/>
          <w:szCs w:val="20"/>
          <w:lang w:val="es-419" w:eastAsia="es-ES"/>
        </w:rPr>
      </w:pPr>
      <w:r w:rsidRPr="008C7C79">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3142ADCB" w14:textId="77777777" w:rsidR="008C7C79" w:rsidRPr="008C7C79" w:rsidRDefault="008C7C79" w:rsidP="008C7C79">
      <w:pPr>
        <w:spacing w:line="240" w:lineRule="auto"/>
        <w:rPr>
          <w:rFonts w:ascii="Arial" w:eastAsia="Times New Roman" w:hAnsi="Arial" w:cs="Arial"/>
          <w:sz w:val="20"/>
          <w:szCs w:val="20"/>
          <w:lang w:val="es-419" w:eastAsia="es-ES"/>
        </w:rPr>
      </w:pPr>
    </w:p>
    <w:p w14:paraId="6612051C" w14:textId="77777777" w:rsidR="008C7C79" w:rsidRPr="008C7C79" w:rsidRDefault="008C7C79" w:rsidP="008C7C79">
      <w:pPr>
        <w:spacing w:line="240" w:lineRule="auto"/>
        <w:rPr>
          <w:rFonts w:ascii="Arial" w:eastAsia="Times New Roman" w:hAnsi="Arial" w:cs="Arial"/>
          <w:sz w:val="20"/>
          <w:szCs w:val="20"/>
          <w:lang w:val="es-419" w:eastAsia="es-ES"/>
        </w:rPr>
      </w:pPr>
      <w:r w:rsidRPr="008C7C79">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5C5ADE22" w14:textId="77777777" w:rsidR="008C7C79" w:rsidRPr="008C7C79" w:rsidRDefault="008C7C79" w:rsidP="008C7C79">
      <w:pPr>
        <w:spacing w:line="240" w:lineRule="auto"/>
        <w:rPr>
          <w:rFonts w:ascii="Arial" w:eastAsia="Times New Roman" w:hAnsi="Arial" w:cs="Arial"/>
          <w:sz w:val="20"/>
          <w:szCs w:val="20"/>
          <w:lang w:val="es-419" w:eastAsia="es-ES"/>
        </w:rPr>
      </w:pPr>
    </w:p>
    <w:p w14:paraId="2508ABD3" w14:textId="77777777" w:rsidR="008C7C79" w:rsidRPr="008C7C79" w:rsidRDefault="008C7C79" w:rsidP="008C7C79">
      <w:pPr>
        <w:spacing w:line="240" w:lineRule="auto"/>
        <w:rPr>
          <w:rFonts w:ascii="Arial" w:eastAsia="Times New Roman" w:hAnsi="Arial" w:cs="Arial"/>
          <w:sz w:val="20"/>
          <w:szCs w:val="20"/>
          <w:lang w:val="es-419" w:eastAsia="es-ES"/>
        </w:rPr>
      </w:pPr>
      <w:r w:rsidRPr="008C7C79">
        <w:rPr>
          <w:rFonts w:ascii="Arial" w:eastAsia="Times New Roman" w:hAnsi="Arial" w:cs="Arial"/>
          <w:sz w:val="20"/>
          <w:szCs w:val="20"/>
          <w:lang w:val="es-419" w:eastAsia="es-ES"/>
        </w:rPr>
        <w:t>Ahora bien, respecto del deber de información en su inicio,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58B47F97" w14:textId="77777777" w:rsidR="008C7C79" w:rsidRPr="008C7C79" w:rsidRDefault="008C7C79" w:rsidP="008C7C79">
      <w:pPr>
        <w:spacing w:line="240" w:lineRule="auto"/>
        <w:rPr>
          <w:rFonts w:ascii="Arial" w:eastAsia="Times New Roman" w:hAnsi="Arial" w:cs="Arial"/>
          <w:sz w:val="20"/>
          <w:szCs w:val="20"/>
          <w:lang w:val="es-419" w:eastAsia="es-ES"/>
        </w:rPr>
      </w:pPr>
    </w:p>
    <w:p w14:paraId="1F8F97B4" w14:textId="77777777" w:rsidR="008C7C79" w:rsidRPr="008C7C79" w:rsidRDefault="008C7C79" w:rsidP="008C7C79">
      <w:pPr>
        <w:spacing w:line="240" w:lineRule="auto"/>
        <w:rPr>
          <w:rFonts w:ascii="Arial" w:eastAsia="Times New Roman" w:hAnsi="Arial" w:cs="Arial"/>
          <w:sz w:val="20"/>
          <w:szCs w:val="20"/>
          <w:lang w:val="es-419" w:eastAsia="es-ES"/>
        </w:rPr>
      </w:pPr>
      <w:r w:rsidRPr="008C7C79">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62BB91AE" w14:textId="77777777" w:rsidR="008C7C79" w:rsidRPr="008C7C79" w:rsidRDefault="008C7C79" w:rsidP="008C7C79">
      <w:pPr>
        <w:spacing w:line="240" w:lineRule="auto"/>
        <w:rPr>
          <w:rFonts w:ascii="Arial" w:eastAsia="Times New Roman" w:hAnsi="Arial" w:cs="Arial"/>
          <w:sz w:val="20"/>
          <w:szCs w:val="20"/>
          <w:lang w:eastAsia="es-ES"/>
        </w:rPr>
      </w:pPr>
    </w:p>
    <w:p w14:paraId="0BFEE584" w14:textId="77777777" w:rsidR="008C7C79" w:rsidRPr="008C7C79" w:rsidRDefault="008C7C79" w:rsidP="008C7C79">
      <w:pPr>
        <w:spacing w:line="240" w:lineRule="auto"/>
        <w:rPr>
          <w:rFonts w:ascii="Arial" w:eastAsia="Times New Roman" w:hAnsi="Arial" w:cs="Arial"/>
          <w:sz w:val="20"/>
          <w:szCs w:val="20"/>
          <w:lang w:eastAsia="es-ES"/>
        </w:rPr>
      </w:pPr>
    </w:p>
    <w:p w14:paraId="4CB7B113" w14:textId="77777777" w:rsidR="008C7C79" w:rsidRPr="008C7C79" w:rsidRDefault="008C7C79" w:rsidP="008C7C79">
      <w:pPr>
        <w:spacing w:line="240" w:lineRule="auto"/>
        <w:rPr>
          <w:rFonts w:ascii="Arial" w:eastAsia="Times New Roman" w:hAnsi="Arial" w:cs="Arial"/>
          <w:sz w:val="20"/>
          <w:szCs w:val="20"/>
          <w:lang w:eastAsia="es-ES"/>
        </w:rPr>
      </w:pPr>
    </w:p>
    <w:bookmarkEnd w:id="0"/>
    <w:p w14:paraId="79F64DA0" w14:textId="77777777" w:rsidR="00790DA9" w:rsidRPr="008C7C79" w:rsidRDefault="00790DA9" w:rsidP="008C7C79">
      <w:pPr>
        <w:pStyle w:val="Ttulo4"/>
        <w:widowControl w:val="0"/>
        <w:tabs>
          <w:tab w:val="clear" w:pos="0"/>
        </w:tabs>
        <w:spacing w:line="276" w:lineRule="auto"/>
        <w:ind w:left="709" w:right="845"/>
        <w:rPr>
          <w:rFonts w:ascii="Tahoma" w:hAnsi="Tahoma" w:cs="Tahoma"/>
          <w:bCs/>
          <w:szCs w:val="24"/>
          <w:lang w:eastAsia="es-MX"/>
        </w:rPr>
      </w:pPr>
      <w:r w:rsidRPr="008C7C79">
        <w:rPr>
          <w:rFonts w:ascii="Tahoma" w:hAnsi="Tahoma" w:cs="Tahoma"/>
          <w:bCs/>
          <w:szCs w:val="24"/>
          <w:lang w:eastAsia="es-MX"/>
        </w:rPr>
        <w:t>TRIBUNAL SUPERIOR DEL DISTRITO JUDICIAL DE PEREIRA</w:t>
      </w:r>
    </w:p>
    <w:p w14:paraId="019D66BB" w14:textId="292CA569" w:rsidR="00790DA9" w:rsidRPr="008C7C79" w:rsidRDefault="00790DA9" w:rsidP="008C7C79">
      <w:pPr>
        <w:pStyle w:val="Ttulo4"/>
        <w:widowControl w:val="0"/>
        <w:tabs>
          <w:tab w:val="clear" w:pos="0"/>
        </w:tabs>
        <w:spacing w:line="276" w:lineRule="auto"/>
        <w:ind w:left="709" w:right="845"/>
        <w:rPr>
          <w:rFonts w:ascii="Tahoma" w:hAnsi="Tahoma" w:cs="Tahoma"/>
          <w:bCs/>
          <w:szCs w:val="24"/>
          <w:lang w:eastAsia="es-MX"/>
        </w:rPr>
      </w:pPr>
      <w:r w:rsidRPr="008C7C79">
        <w:rPr>
          <w:rFonts w:ascii="Tahoma" w:hAnsi="Tahoma" w:cs="Tahoma"/>
          <w:bCs/>
          <w:szCs w:val="24"/>
          <w:lang w:eastAsia="es-MX"/>
        </w:rPr>
        <w:t>SALA PRIMERA DE DECISION LABORAL</w:t>
      </w:r>
      <w:r w:rsidR="00662FC5" w:rsidRPr="008C7C79">
        <w:rPr>
          <w:rFonts w:ascii="Tahoma" w:hAnsi="Tahoma" w:cs="Tahoma"/>
          <w:bCs/>
          <w:szCs w:val="24"/>
          <w:lang w:eastAsia="es-MX"/>
        </w:rPr>
        <w:t xml:space="preserve"> </w:t>
      </w:r>
    </w:p>
    <w:p w14:paraId="6C8078C4" w14:textId="77777777" w:rsidR="00662FC5" w:rsidRPr="008C7C79" w:rsidRDefault="00662FC5" w:rsidP="008C7C79">
      <w:pPr>
        <w:spacing w:line="276" w:lineRule="auto"/>
        <w:jc w:val="center"/>
        <w:rPr>
          <w:rFonts w:cs="Tahoma"/>
          <w:bCs/>
          <w:szCs w:val="24"/>
        </w:rPr>
      </w:pPr>
    </w:p>
    <w:p w14:paraId="0E7ACA8F" w14:textId="77777777" w:rsidR="00790DA9" w:rsidRPr="008C7C79" w:rsidRDefault="00790DA9" w:rsidP="008C7C79">
      <w:pPr>
        <w:spacing w:line="276" w:lineRule="auto"/>
        <w:jc w:val="center"/>
        <w:textAlignment w:val="baseline"/>
        <w:rPr>
          <w:rFonts w:eastAsia="Times New Roman" w:cs="Tahoma"/>
          <w:szCs w:val="24"/>
          <w:lang w:eastAsia="es-CO"/>
        </w:rPr>
      </w:pPr>
      <w:r w:rsidRPr="008C7C79">
        <w:rPr>
          <w:rFonts w:eastAsia="Times New Roman" w:cs="Tahoma"/>
          <w:szCs w:val="24"/>
          <w:lang w:eastAsia="es-CO"/>
        </w:rPr>
        <w:t>Magistrada Ponente: </w:t>
      </w:r>
      <w:r w:rsidRPr="008C7C79">
        <w:rPr>
          <w:rFonts w:eastAsia="Times New Roman" w:cs="Tahoma"/>
          <w:b/>
          <w:bCs/>
          <w:szCs w:val="24"/>
          <w:lang w:eastAsia="es-CO"/>
        </w:rPr>
        <w:t>Ana Lucía Caicedo Calderón</w:t>
      </w:r>
      <w:r w:rsidRPr="008C7C79">
        <w:rPr>
          <w:rFonts w:eastAsia="Times New Roman" w:cs="Tahoma"/>
          <w:szCs w:val="24"/>
          <w:lang w:eastAsia="es-CO"/>
        </w:rPr>
        <w:t> </w:t>
      </w:r>
    </w:p>
    <w:p w14:paraId="17B99363" w14:textId="17A5E01B" w:rsidR="00790DA9" w:rsidRPr="008C7C79" w:rsidRDefault="00790DA9" w:rsidP="008C7C79">
      <w:pPr>
        <w:spacing w:line="276" w:lineRule="auto"/>
        <w:jc w:val="center"/>
        <w:textAlignment w:val="baseline"/>
        <w:rPr>
          <w:rFonts w:eastAsia="Times New Roman" w:cs="Tahoma"/>
          <w:szCs w:val="24"/>
          <w:lang w:eastAsia="es-CO"/>
        </w:rPr>
      </w:pPr>
      <w:r w:rsidRPr="008C7C79">
        <w:rPr>
          <w:rFonts w:eastAsia="Times New Roman" w:cs="Tahoma"/>
          <w:szCs w:val="24"/>
          <w:lang w:eastAsia="es-CO"/>
        </w:rPr>
        <w:t> </w:t>
      </w:r>
    </w:p>
    <w:p w14:paraId="61EC5009" w14:textId="348338F4" w:rsidR="00B92321" w:rsidRPr="008C7C79" w:rsidRDefault="00B92321" w:rsidP="008C7C79">
      <w:pPr>
        <w:spacing w:line="276" w:lineRule="auto"/>
        <w:jc w:val="center"/>
        <w:textAlignment w:val="baseline"/>
        <w:rPr>
          <w:rFonts w:eastAsia="Times New Roman" w:cs="Tahoma"/>
          <w:szCs w:val="24"/>
          <w:lang w:eastAsia="es-CO"/>
        </w:rPr>
      </w:pPr>
      <w:r w:rsidRPr="008C7C79">
        <w:rPr>
          <w:rFonts w:eastAsia="Times New Roman" w:cs="Tahoma"/>
          <w:szCs w:val="24"/>
          <w:lang w:eastAsia="es-CO"/>
        </w:rPr>
        <w:t xml:space="preserve">Pereira, Risaralda, </w:t>
      </w:r>
      <w:r w:rsidR="00881144" w:rsidRPr="008C7C79">
        <w:rPr>
          <w:rFonts w:eastAsia="Times New Roman" w:cs="Tahoma"/>
          <w:szCs w:val="24"/>
          <w:lang w:eastAsia="es-CO"/>
        </w:rPr>
        <w:t xml:space="preserve">diecinueve </w:t>
      </w:r>
      <w:r w:rsidRPr="008C7C79">
        <w:rPr>
          <w:rFonts w:eastAsia="Times New Roman" w:cs="Tahoma"/>
          <w:szCs w:val="24"/>
          <w:lang w:eastAsia="es-CO"/>
        </w:rPr>
        <w:t>(</w:t>
      </w:r>
      <w:r w:rsidR="005D0823" w:rsidRPr="008C7C79">
        <w:rPr>
          <w:rFonts w:eastAsia="Times New Roman" w:cs="Tahoma"/>
          <w:szCs w:val="24"/>
          <w:lang w:eastAsia="es-CO"/>
        </w:rPr>
        <w:t>1</w:t>
      </w:r>
      <w:r w:rsidR="00881144" w:rsidRPr="008C7C79">
        <w:rPr>
          <w:rFonts w:eastAsia="Times New Roman" w:cs="Tahoma"/>
          <w:szCs w:val="24"/>
          <w:lang w:eastAsia="es-CO"/>
        </w:rPr>
        <w:t>9</w:t>
      </w:r>
      <w:r w:rsidRPr="008C7C79">
        <w:rPr>
          <w:rFonts w:eastAsia="Times New Roman" w:cs="Tahoma"/>
          <w:szCs w:val="24"/>
          <w:lang w:eastAsia="es-CO"/>
        </w:rPr>
        <w:t xml:space="preserve">) de </w:t>
      </w:r>
      <w:r w:rsidR="005D0823" w:rsidRPr="008C7C79">
        <w:rPr>
          <w:rFonts w:eastAsia="Times New Roman" w:cs="Tahoma"/>
          <w:szCs w:val="24"/>
          <w:lang w:eastAsia="es-CO"/>
        </w:rPr>
        <w:t>julio</w:t>
      </w:r>
      <w:r w:rsidR="00662FC5" w:rsidRPr="008C7C79">
        <w:rPr>
          <w:rFonts w:eastAsia="Times New Roman" w:cs="Tahoma"/>
          <w:szCs w:val="24"/>
          <w:lang w:eastAsia="es-CO"/>
        </w:rPr>
        <w:t xml:space="preserve"> </w:t>
      </w:r>
      <w:r w:rsidRPr="008C7C79">
        <w:rPr>
          <w:rFonts w:eastAsia="Times New Roman" w:cs="Tahoma"/>
          <w:szCs w:val="24"/>
          <w:lang w:eastAsia="es-CO"/>
        </w:rPr>
        <w:t>de dos mil veintiuno (2021)  </w:t>
      </w:r>
    </w:p>
    <w:p w14:paraId="41C75338" w14:textId="23899ED2" w:rsidR="00B92321" w:rsidRPr="008C7C79" w:rsidRDefault="00B92321" w:rsidP="008C7C79">
      <w:pPr>
        <w:spacing w:line="276" w:lineRule="auto"/>
        <w:jc w:val="center"/>
        <w:textAlignment w:val="baseline"/>
        <w:rPr>
          <w:rFonts w:eastAsia="Times New Roman" w:cs="Tahoma"/>
          <w:szCs w:val="24"/>
          <w:lang w:eastAsia="es-CO"/>
        </w:rPr>
      </w:pPr>
      <w:r w:rsidRPr="008C7C79">
        <w:rPr>
          <w:rFonts w:eastAsia="Times New Roman" w:cs="Tahoma"/>
          <w:szCs w:val="24"/>
          <w:lang w:eastAsia="es-CO"/>
        </w:rPr>
        <w:t> Acta No. </w:t>
      </w:r>
      <w:r w:rsidR="006F3819" w:rsidRPr="008C7C79">
        <w:rPr>
          <w:rFonts w:eastAsia="Times New Roman" w:cs="Tahoma"/>
          <w:szCs w:val="24"/>
          <w:lang w:eastAsia="es-CO"/>
        </w:rPr>
        <w:t>____</w:t>
      </w:r>
      <w:r w:rsidRPr="008C7C79">
        <w:rPr>
          <w:rFonts w:eastAsia="Times New Roman" w:cs="Tahoma"/>
          <w:szCs w:val="24"/>
          <w:lang w:eastAsia="es-CO"/>
        </w:rPr>
        <w:t xml:space="preserve"> del </w:t>
      </w:r>
      <w:r w:rsidR="00A8338F" w:rsidRPr="008C7C79">
        <w:rPr>
          <w:rFonts w:eastAsia="Times New Roman" w:cs="Tahoma"/>
          <w:szCs w:val="24"/>
          <w:lang w:eastAsia="es-CO"/>
        </w:rPr>
        <w:t>15</w:t>
      </w:r>
      <w:r w:rsidR="00662FC5" w:rsidRPr="008C7C79">
        <w:rPr>
          <w:rFonts w:eastAsia="Times New Roman" w:cs="Tahoma"/>
          <w:szCs w:val="24"/>
          <w:lang w:eastAsia="es-CO"/>
        </w:rPr>
        <w:t xml:space="preserve"> de </w:t>
      </w:r>
      <w:r w:rsidR="005D0823" w:rsidRPr="008C7C79">
        <w:rPr>
          <w:rFonts w:eastAsia="Times New Roman" w:cs="Tahoma"/>
          <w:szCs w:val="24"/>
          <w:lang w:eastAsia="es-CO"/>
        </w:rPr>
        <w:t xml:space="preserve">julio </w:t>
      </w:r>
      <w:r w:rsidRPr="008C7C79">
        <w:rPr>
          <w:rFonts w:eastAsia="Times New Roman" w:cs="Tahoma"/>
          <w:szCs w:val="24"/>
          <w:lang w:eastAsia="es-CO"/>
        </w:rPr>
        <w:t>de 2021</w:t>
      </w:r>
    </w:p>
    <w:p w14:paraId="3CDD4E79" w14:textId="7CF23A35" w:rsidR="00790DA9" w:rsidRPr="008C7C79" w:rsidRDefault="00790DA9" w:rsidP="008C7C79">
      <w:pPr>
        <w:spacing w:line="276" w:lineRule="auto"/>
        <w:jc w:val="center"/>
        <w:rPr>
          <w:rFonts w:cs="Tahoma"/>
          <w:b/>
          <w:szCs w:val="24"/>
        </w:rPr>
      </w:pPr>
    </w:p>
    <w:p w14:paraId="73AFF3DE" w14:textId="77777777" w:rsidR="00662FC5" w:rsidRPr="008C7C79" w:rsidRDefault="00662FC5" w:rsidP="008C7C79">
      <w:pPr>
        <w:spacing w:line="276" w:lineRule="auto"/>
        <w:jc w:val="center"/>
        <w:rPr>
          <w:rFonts w:cs="Tahoma"/>
          <w:b/>
          <w:szCs w:val="24"/>
        </w:rPr>
      </w:pPr>
    </w:p>
    <w:p w14:paraId="1118462F" w14:textId="115D6FBA" w:rsidR="00790DA9" w:rsidRPr="008C7C79" w:rsidRDefault="00662FC5" w:rsidP="008C7C79">
      <w:pPr>
        <w:spacing w:line="276" w:lineRule="auto"/>
        <w:ind w:firstLine="709"/>
        <w:rPr>
          <w:rFonts w:cs="Tahoma"/>
          <w:szCs w:val="24"/>
        </w:rPr>
      </w:pPr>
      <w:r w:rsidRPr="008C7C79">
        <w:rPr>
          <w:rFonts w:cs="Tahoma"/>
          <w:szCs w:val="24"/>
        </w:rPr>
        <w:t>Teniendo en cuenta que el artículo 15 del Decreto No. 806 del 4 de junio de</w:t>
      </w:r>
      <w:r w:rsidR="00C216F2" w:rsidRPr="008C7C79">
        <w:rPr>
          <w:rFonts w:cs="Tahoma"/>
          <w:szCs w:val="24"/>
        </w:rPr>
        <w:t xml:space="preserve"> </w:t>
      </w:r>
      <w:r w:rsidRPr="008C7C79">
        <w:rPr>
          <w:rFonts w:cs="Tahoma"/>
          <w:szCs w:val="24"/>
        </w:rPr>
        <w:t>2020, expedido por el Ministerio de Justicia y del Derecho, estableció que en la</w:t>
      </w:r>
      <w:r w:rsidR="00C216F2" w:rsidRPr="008C7C79">
        <w:rPr>
          <w:rFonts w:cs="Tahoma"/>
          <w:szCs w:val="24"/>
        </w:rPr>
        <w:t xml:space="preserve"> </w:t>
      </w:r>
      <w:r w:rsidRPr="008C7C79">
        <w:rPr>
          <w:rFonts w:cs="Tahoma"/>
          <w:szCs w:val="24"/>
        </w:rPr>
        <w:t>especialidad laboral se proferirán por escrito las providencias de segunda instancia</w:t>
      </w:r>
      <w:r w:rsidR="00C216F2" w:rsidRPr="008C7C79">
        <w:rPr>
          <w:rFonts w:cs="Tahoma"/>
          <w:szCs w:val="24"/>
        </w:rPr>
        <w:t xml:space="preserve"> </w:t>
      </w:r>
      <w:r w:rsidRPr="008C7C79">
        <w:rPr>
          <w:rFonts w:cs="Tahoma"/>
          <w:szCs w:val="24"/>
        </w:rPr>
        <w:t>en las que se surta el grado jurisdiccional de consulta o se resuelva el recurso de</w:t>
      </w:r>
      <w:r w:rsidR="00C216F2" w:rsidRPr="008C7C79">
        <w:rPr>
          <w:rFonts w:cs="Tahoma"/>
          <w:szCs w:val="24"/>
        </w:rPr>
        <w:t xml:space="preserve"> </w:t>
      </w:r>
      <w:r w:rsidRPr="008C7C79">
        <w:rPr>
          <w:rFonts w:cs="Tahoma"/>
          <w:szCs w:val="24"/>
        </w:rPr>
        <w:t xml:space="preserve">apelación de autos o sentencias, la Sala </w:t>
      </w:r>
      <w:r w:rsidR="005D0823" w:rsidRPr="008C7C79">
        <w:rPr>
          <w:rFonts w:cs="Tahoma"/>
          <w:szCs w:val="24"/>
        </w:rPr>
        <w:t xml:space="preserve">Primera </w:t>
      </w:r>
      <w:r w:rsidRPr="008C7C79">
        <w:rPr>
          <w:rFonts w:cs="Tahoma"/>
          <w:szCs w:val="24"/>
        </w:rPr>
        <w:t xml:space="preserve">de Decisión Laboral </w:t>
      </w:r>
      <w:r w:rsidR="005D0823" w:rsidRPr="008C7C79">
        <w:rPr>
          <w:rFonts w:cs="Tahoma"/>
          <w:szCs w:val="24"/>
        </w:rPr>
        <w:t xml:space="preserve">del Tribunal </w:t>
      </w:r>
      <w:r w:rsidR="005D0823" w:rsidRPr="008C7C79">
        <w:rPr>
          <w:rFonts w:cs="Tahoma"/>
          <w:szCs w:val="24"/>
        </w:rPr>
        <w:lastRenderedPageBreak/>
        <w:t>Superior de Pereira</w:t>
      </w:r>
      <w:r w:rsidRPr="008C7C79">
        <w:rPr>
          <w:rFonts w:cs="Tahoma"/>
          <w:szCs w:val="24"/>
        </w:rPr>
        <w:t>, integrada por las</w:t>
      </w:r>
      <w:r w:rsidR="00881144" w:rsidRPr="008C7C79">
        <w:rPr>
          <w:rFonts w:cs="Tahoma"/>
          <w:szCs w:val="24"/>
        </w:rPr>
        <w:t xml:space="preserve"> </w:t>
      </w:r>
      <w:r w:rsidRPr="008C7C79">
        <w:rPr>
          <w:rFonts w:cs="Tahoma"/>
          <w:szCs w:val="24"/>
        </w:rPr>
        <w:t xml:space="preserve">Magistradas ANA LUCÍA CAICEDO </w:t>
      </w:r>
      <w:r w:rsidR="00881144" w:rsidRPr="008C7C79">
        <w:rPr>
          <w:rFonts w:cs="Tahoma"/>
          <w:szCs w:val="24"/>
        </w:rPr>
        <w:t>C</w:t>
      </w:r>
      <w:r w:rsidRPr="008C7C79">
        <w:rPr>
          <w:rFonts w:cs="Tahoma"/>
          <w:szCs w:val="24"/>
        </w:rPr>
        <w:t>ALDERÓN</w:t>
      </w:r>
      <w:r w:rsidR="005D0823" w:rsidRPr="008C7C79">
        <w:rPr>
          <w:rFonts w:cs="Tahoma"/>
          <w:szCs w:val="24"/>
        </w:rPr>
        <w:t>,</w:t>
      </w:r>
      <w:r w:rsidRPr="008C7C79">
        <w:rPr>
          <w:rFonts w:cs="Tahoma"/>
          <w:szCs w:val="24"/>
        </w:rPr>
        <w:t xml:space="preserve"> como Ponente, </w:t>
      </w:r>
      <w:r w:rsidR="005D0823" w:rsidRPr="008C7C79">
        <w:rPr>
          <w:rFonts w:cs="Tahoma"/>
          <w:szCs w:val="24"/>
        </w:rPr>
        <w:t xml:space="preserve">y </w:t>
      </w:r>
      <w:r w:rsidRPr="008C7C79">
        <w:rPr>
          <w:rFonts w:cs="Tahoma"/>
          <w:szCs w:val="24"/>
        </w:rPr>
        <w:t>OLGA LUCÍA HOYOS</w:t>
      </w:r>
      <w:r w:rsidR="00881144" w:rsidRPr="008C7C79">
        <w:rPr>
          <w:rFonts w:cs="Tahoma"/>
          <w:szCs w:val="24"/>
        </w:rPr>
        <w:t xml:space="preserve"> </w:t>
      </w:r>
      <w:r w:rsidRPr="008C7C79">
        <w:rPr>
          <w:rFonts w:cs="Tahoma"/>
          <w:szCs w:val="24"/>
        </w:rPr>
        <w:t>SEPÚLVEDA</w:t>
      </w:r>
      <w:r w:rsidR="005D0823" w:rsidRPr="008C7C79">
        <w:rPr>
          <w:rFonts w:cs="Tahoma"/>
          <w:szCs w:val="24"/>
        </w:rPr>
        <w:t>,</w:t>
      </w:r>
      <w:r w:rsidRPr="008C7C79">
        <w:rPr>
          <w:rFonts w:cs="Tahoma"/>
          <w:szCs w:val="24"/>
        </w:rPr>
        <w:t xml:space="preserve"> y el Magistrado GERMÁN DARIO GOEZ VINASCO, procede a proferir la</w:t>
      </w:r>
      <w:r w:rsidR="00881144" w:rsidRPr="008C7C79">
        <w:rPr>
          <w:rFonts w:cs="Tahoma"/>
          <w:szCs w:val="24"/>
        </w:rPr>
        <w:t xml:space="preserve"> </w:t>
      </w:r>
      <w:r w:rsidRPr="008C7C79">
        <w:rPr>
          <w:rFonts w:cs="Tahoma"/>
          <w:szCs w:val="24"/>
        </w:rPr>
        <w:t xml:space="preserve">siguiente sentencia escrita dentro del proceso </w:t>
      </w:r>
      <w:r w:rsidRPr="004A133D">
        <w:rPr>
          <w:rFonts w:cs="Tahoma"/>
          <w:b/>
          <w:szCs w:val="24"/>
        </w:rPr>
        <w:t>ordinario laboral</w:t>
      </w:r>
      <w:r w:rsidRPr="008C7C79">
        <w:rPr>
          <w:rFonts w:cs="Tahoma"/>
          <w:szCs w:val="24"/>
        </w:rPr>
        <w:t xml:space="preserve"> instaurado por </w:t>
      </w:r>
      <w:r w:rsidR="002F244F" w:rsidRPr="008C7C79">
        <w:rPr>
          <w:rFonts w:cs="Tahoma"/>
          <w:b/>
          <w:bCs/>
          <w:szCs w:val="24"/>
          <w:lang w:val="es-ES_tradnl"/>
        </w:rPr>
        <w:t>Carlos Víctor Barragán López</w:t>
      </w:r>
      <w:r w:rsidR="00790DA9" w:rsidRPr="008C7C79">
        <w:rPr>
          <w:rFonts w:cs="Tahoma"/>
          <w:b/>
          <w:bCs/>
          <w:szCs w:val="24"/>
          <w:lang w:val="es-ES_tradnl"/>
        </w:rPr>
        <w:t xml:space="preserve"> </w:t>
      </w:r>
      <w:r w:rsidR="00790DA9" w:rsidRPr="008C7C79">
        <w:rPr>
          <w:rFonts w:cs="Tahoma"/>
          <w:szCs w:val="24"/>
          <w:lang w:val="es-ES_tradnl"/>
        </w:rPr>
        <w:t xml:space="preserve">en contra de la </w:t>
      </w:r>
      <w:r w:rsidR="00790DA9" w:rsidRPr="008C7C79">
        <w:rPr>
          <w:rFonts w:cs="Tahoma"/>
          <w:b/>
          <w:szCs w:val="24"/>
          <w:lang w:val="es-ES_tradnl"/>
        </w:rPr>
        <w:t xml:space="preserve">Administradora Colombiana de Pensiones </w:t>
      </w:r>
      <w:r w:rsidR="00B8317C" w:rsidRPr="008C7C79">
        <w:rPr>
          <w:rFonts w:cs="Tahoma"/>
          <w:b/>
          <w:szCs w:val="24"/>
          <w:lang w:val="es-ES_tradnl"/>
        </w:rPr>
        <w:t>–</w:t>
      </w:r>
      <w:r w:rsidR="00790DA9" w:rsidRPr="008C7C79">
        <w:rPr>
          <w:rFonts w:cs="Tahoma"/>
          <w:b/>
          <w:szCs w:val="24"/>
          <w:lang w:val="es-ES_tradnl"/>
        </w:rPr>
        <w:t xml:space="preserve"> Colpensiones</w:t>
      </w:r>
      <w:r w:rsidR="002F244F" w:rsidRPr="008C7C79">
        <w:rPr>
          <w:rFonts w:cs="Tahoma"/>
          <w:bCs/>
          <w:szCs w:val="24"/>
          <w:lang w:val="es-ES_tradnl"/>
        </w:rPr>
        <w:t xml:space="preserve"> y</w:t>
      </w:r>
      <w:r w:rsidR="00790DA9" w:rsidRPr="008C7C79">
        <w:rPr>
          <w:rFonts w:cs="Tahoma"/>
          <w:szCs w:val="24"/>
          <w:lang w:val="es-ES_tradnl"/>
        </w:rPr>
        <w:t xml:space="preserve"> la </w:t>
      </w:r>
      <w:r w:rsidR="00790DA9" w:rsidRPr="008C7C79">
        <w:rPr>
          <w:rFonts w:cs="Tahoma"/>
          <w:b/>
          <w:szCs w:val="24"/>
          <w:lang w:val="es-ES_tradnl"/>
        </w:rPr>
        <w:t xml:space="preserve">Administradora de Fondos de Pensiones </w:t>
      </w:r>
      <w:bookmarkStart w:id="1" w:name="_Hlk69822626"/>
      <w:r w:rsidR="00790DA9" w:rsidRPr="008C7C79">
        <w:rPr>
          <w:rFonts w:cs="Tahoma"/>
          <w:b/>
          <w:szCs w:val="24"/>
          <w:lang w:val="es-ES_tradnl"/>
        </w:rPr>
        <w:t>–</w:t>
      </w:r>
      <w:bookmarkEnd w:id="1"/>
      <w:r w:rsidR="00790DA9" w:rsidRPr="008C7C79">
        <w:rPr>
          <w:rFonts w:cs="Tahoma"/>
          <w:szCs w:val="24"/>
          <w:lang w:val="es-ES_tradnl"/>
        </w:rPr>
        <w:t xml:space="preserve"> </w:t>
      </w:r>
      <w:r w:rsidR="00790DA9" w:rsidRPr="008C7C79">
        <w:rPr>
          <w:rFonts w:cs="Tahoma"/>
          <w:b/>
          <w:bCs/>
          <w:szCs w:val="24"/>
          <w:lang w:val="es-ES_tradnl"/>
        </w:rPr>
        <w:t>Porvenir</w:t>
      </w:r>
      <w:r w:rsidR="00790DA9" w:rsidRPr="008C7C79">
        <w:rPr>
          <w:rFonts w:cs="Tahoma"/>
          <w:szCs w:val="24"/>
          <w:lang w:val="es-ES_tradnl"/>
        </w:rPr>
        <w:t xml:space="preserve"> </w:t>
      </w:r>
      <w:r w:rsidR="00790DA9" w:rsidRPr="008C7C79">
        <w:rPr>
          <w:rFonts w:cs="Tahoma"/>
          <w:b/>
          <w:szCs w:val="24"/>
          <w:lang w:val="es-ES_tradnl"/>
        </w:rPr>
        <w:t>S.A</w:t>
      </w:r>
      <w:r w:rsidR="002F244F" w:rsidRPr="008C7C79">
        <w:rPr>
          <w:rFonts w:cs="Tahoma"/>
          <w:b/>
          <w:szCs w:val="24"/>
          <w:lang w:val="es-ES_tradnl"/>
        </w:rPr>
        <w:t>.</w:t>
      </w:r>
    </w:p>
    <w:p w14:paraId="6B4944D3" w14:textId="77777777" w:rsidR="00790DA9" w:rsidRPr="008C7C79" w:rsidRDefault="00790DA9" w:rsidP="008C7C79">
      <w:pPr>
        <w:spacing w:line="276" w:lineRule="auto"/>
        <w:rPr>
          <w:rFonts w:cs="Tahoma"/>
          <w:szCs w:val="24"/>
        </w:rPr>
      </w:pPr>
    </w:p>
    <w:p w14:paraId="74E244FD" w14:textId="76777837" w:rsidR="00790DA9" w:rsidRPr="008C7C79" w:rsidRDefault="00790DA9" w:rsidP="008C7C79">
      <w:pPr>
        <w:pStyle w:val="paragraph"/>
        <w:spacing w:before="0" w:beforeAutospacing="0" w:after="0" w:afterAutospacing="0" w:line="276" w:lineRule="auto"/>
        <w:jc w:val="center"/>
        <w:textAlignment w:val="baseline"/>
        <w:rPr>
          <w:rStyle w:val="normaltextrun"/>
          <w:rFonts w:ascii="Tahoma" w:hAnsi="Tahoma" w:cs="Tahoma"/>
          <w:b/>
          <w:bCs/>
        </w:rPr>
      </w:pPr>
      <w:r w:rsidRPr="008C7C79">
        <w:rPr>
          <w:rStyle w:val="normaltextrun"/>
          <w:rFonts w:ascii="Tahoma" w:hAnsi="Tahoma" w:cs="Tahoma"/>
          <w:b/>
          <w:bCs/>
        </w:rPr>
        <w:t>PUNTO A TRATAR</w:t>
      </w:r>
    </w:p>
    <w:p w14:paraId="604BDCDA" w14:textId="77777777" w:rsidR="00EF5C33" w:rsidRPr="008C7C79" w:rsidRDefault="00EF5C33" w:rsidP="008C7C79">
      <w:pPr>
        <w:pStyle w:val="paragraph"/>
        <w:spacing w:before="0" w:beforeAutospacing="0" w:after="0" w:afterAutospacing="0" w:line="276" w:lineRule="auto"/>
        <w:jc w:val="center"/>
        <w:textAlignment w:val="baseline"/>
        <w:rPr>
          <w:rFonts w:ascii="Tahoma" w:hAnsi="Tahoma" w:cs="Tahoma"/>
        </w:rPr>
      </w:pPr>
    </w:p>
    <w:p w14:paraId="277DA54F" w14:textId="66237212" w:rsidR="00790DA9" w:rsidRPr="008C7C79" w:rsidRDefault="00790DA9" w:rsidP="008C7C79">
      <w:pPr>
        <w:spacing w:line="276" w:lineRule="auto"/>
        <w:ind w:firstLine="708"/>
        <w:rPr>
          <w:rFonts w:cs="Tahoma"/>
          <w:szCs w:val="24"/>
        </w:rPr>
      </w:pPr>
      <w:r w:rsidRPr="008C7C79">
        <w:rPr>
          <w:rStyle w:val="normaltextrun"/>
          <w:rFonts w:cs="Tahoma"/>
          <w:szCs w:val="24"/>
        </w:rPr>
        <w:t>Por medio de esta providencia procede la Sala a</w:t>
      </w:r>
      <w:r w:rsidRPr="008C7C79">
        <w:rPr>
          <w:rFonts w:cs="Tahoma"/>
          <w:szCs w:val="24"/>
        </w:rPr>
        <w:t xml:space="preserve"> resolver los recursos de apelación interpuestos por las codemandadas en contra de la sentencia proferida el </w:t>
      </w:r>
      <w:r w:rsidR="00EB3C0B" w:rsidRPr="008C7C79">
        <w:rPr>
          <w:rFonts w:cs="Tahoma"/>
          <w:szCs w:val="24"/>
        </w:rPr>
        <w:t>3</w:t>
      </w:r>
      <w:r w:rsidRPr="008C7C79">
        <w:rPr>
          <w:rFonts w:cs="Tahoma"/>
          <w:szCs w:val="24"/>
        </w:rPr>
        <w:t xml:space="preserve"> de </w:t>
      </w:r>
      <w:r w:rsidR="00EB3C0B" w:rsidRPr="008C7C79">
        <w:rPr>
          <w:rFonts w:cs="Tahoma"/>
          <w:szCs w:val="24"/>
        </w:rPr>
        <w:t>marzo</w:t>
      </w:r>
      <w:r w:rsidRPr="008C7C79">
        <w:rPr>
          <w:rFonts w:cs="Tahoma"/>
          <w:szCs w:val="24"/>
        </w:rPr>
        <w:t xml:space="preserve"> de 202</w:t>
      </w:r>
      <w:r w:rsidR="00EB3C0B" w:rsidRPr="008C7C79">
        <w:rPr>
          <w:rFonts w:cs="Tahoma"/>
          <w:szCs w:val="24"/>
        </w:rPr>
        <w:t>1</w:t>
      </w:r>
      <w:r w:rsidRPr="008C7C79">
        <w:rPr>
          <w:rFonts w:cs="Tahoma"/>
          <w:szCs w:val="24"/>
        </w:rPr>
        <w:t xml:space="preserve">, por el </w:t>
      </w:r>
      <w:r w:rsidRPr="008C7C79">
        <w:rPr>
          <w:rFonts w:cs="Tahoma"/>
          <w:szCs w:val="24"/>
          <w:lang w:val="es-ES_tradnl"/>
        </w:rPr>
        <w:t>Juzgado</w:t>
      </w:r>
      <w:r w:rsidRPr="008C7C79">
        <w:rPr>
          <w:rFonts w:cs="Tahoma"/>
          <w:szCs w:val="24"/>
        </w:rPr>
        <w:t xml:space="preserve"> </w:t>
      </w:r>
      <w:r w:rsidR="00EB3C0B" w:rsidRPr="008C7C79">
        <w:rPr>
          <w:rFonts w:cs="Tahoma"/>
          <w:szCs w:val="24"/>
        </w:rPr>
        <w:t>Quint</w:t>
      </w:r>
      <w:r w:rsidRPr="008C7C79">
        <w:rPr>
          <w:rFonts w:cs="Tahoma"/>
          <w:szCs w:val="24"/>
        </w:rPr>
        <w:t>o Laboral del Circuito de Pereira</w:t>
      </w:r>
      <w:r w:rsidRPr="008C7C79">
        <w:rPr>
          <w:rStyle w:val="normaltextrun"/>
          <w:rFonts w:cs="Tahoma"/>
          <w:szCs w:val="24"/>
        </w:rPr>
        <w:t>.</w:t>
      </w:r>
      <w:r w:rsidRPr="008C7C79">
        <w:rPr>
          <w:rStyle w:val="Refdenotaalpie"/>
          <w:rFonts w:cs="Tahoma"/>
          <w:szCs w:val="24"/>
        </w:rPr>
        <w:t xml:space="preserve"> </w:t>
      </w:r>
      <w:r w:rsidR="005D0823" w:rsidRPr="008C7C79">
        <w:rPr>
          <w:rFonts w:cs="Tahoma"/>
          <w:szCs w:val="24"/>
        </w:rPr>
        <w:t xml:space="preserve">Asimismo, se revisará de manera íntegra dicha decisión en virtud del grado jurisdiccional de consulta decretado a favor de Colpensiones. </w:t>
      </w:r>
      <w:r w:rsidRPr="008C7C79">
        <w:rPr>
          <w:rStyle w:val="normaltextrun"/>
          <w:rFonts w:cs="Tahoma"/>
          <w:szCs w:val="24"/>
        </w:rPr>
        <w:t>Para ello se tiene en cuenta lo siguiente: </w:t>
      </w:r>
    </w:p>
    <w:p w14:paraId="1A3B83DF" w14:textId="77777777" w:rsidR="00790DA9" w:rsidRPr="008C7C79" w:rsidRDefault="00790DA9" w:rsidP="008C7C79">
      <w:pPr>
        <w:spacing w:line="276" w:lineRule="auto"/>
        <w:ind w:firstLine="708"/>
        <w:rPr>
          <w:rFonts w:cs="Tahoma"/>
          <w:b/>
          <w:szCs w:val="24"/>
        </w:rPr>
      </w:pPr>
    </w:p>
    <w:p w14:paraId="783EB004" w14:textId="77777777" w:rsidR="00790DA9" w:rsidRPr="008C7C79" w:rsidRDefault="00790DA9" w:rsidP="008C7C79">
      <w:pPr>
        <w:pStyle w:val="Prrafodelista"/>
        <w:numPr>
          <w:ilvl w:val="0"/>
          <w:numId w:val="1"/>
        </w:numPr>
        <w:spacing w:line="276" w:lineRule="auto"/>
        <w:ind w:left="426" w:hanging="426"/>
        <w:jc w:val="center"/>
        <w:rPr>
          <w:rFonts w:cs="Tahoma"/>
          <w:b/>
          <w:bCs/>
          <w:szCs w:val="24"/>
        </w:rPr>
      </w:pPr>
      <w:r w:rsidRPr="008C7C79">
        <w:rPr>
          <w:rFonts w:cs="Tahoma"/>
          <w:b/>
          <w:bCs/>
          <w:szCs w:val="24"/>
        </w:rPr>
        <w:t>Demanda y su contestación</w:t>
      </w:r>
    </w:p>
    <w:p w14:paraId="17F37787" w14:textId="77777777" w:rsidR="00790DA9" w:rsidRPr="008C7C79" w:rsidRDefault="00790DA9" w:rsidP="008C7C79">
      <w:pPr>
        <w:spacing w:line="276" w:lineRule="auto"/>
        <w:ind w:firstLine="708"/>
        <w:rPr>
          <w:rStyle w:val="normaltextrun"/>
          <w:rFonts w:cs="Tahoma"/>
          <w:szCs w:val="24"/>
        </w:rPr>
      </w:pPr>
    </w:p>
    <w:p w14:paraId="0700657A" w14:textId="0FECE437" w:rsidR="00EF5C33" w:rsidRPr="008C7C79" w:rsidRDefault="00790DA9" w:rsidP="008C7C79">
      <w:pPr>
        <w:spacing w:line="276" w:lineRule="auto"/>
        <w:ind w:firstLine="708"/>
        <w:rPr>
          <w:rStyle w:val="normaltextrun"/>
          <w:rFonts w:cs="Tahoma"/>
          <w:szCs w:val="24"/>
        </w:rPr>
      </w:pPr>
      <w:r w:rsidRPr="008C7C79">
        <w:rPr>
          <w:rStyle w:val="normaltextrun"/>
          <w:rFonts w:cs="Tahoma"/>
          <w:szCs w:val="24"/>
        </w:rPr>
        <w:t xml:space="preserve">Pretende </w:t>
      </w:r>
      <w:r w:rsidR="000E25BE" w:rsidRPr="008C7C79">
        <w:rPr>
          <w:rStyle w:val="normaltextrun"/>
          <w:rFonts w:cs="Tahoma"/>
          <w:szCs w:val="24"/>
        </w:rPr>
        <w:t>e</w:t>
      </w:r>
      <w:r w:rsidRPr="008C7C79">
        <w:rPr>
          <w:rStyle w:val="normaltextrun"/>
          <w:rFonts w:cs="Tahoma"/>
          <w:szCs w:val="24"/>
        </w:rPr>
        <w:t>l demandante que se declare la nulidad d</w:t>
      </w:r>
      <w:r w:rsidR="00C16845" w:rsidRPr="008C7C79">
        <w:rPr>
          <w:rStyle w:val="normaltextrun"/>
          <w:rFonts w:cs="Tahoma"/>
          <w:szCs w:val="24"/>
        </w:rPr>
        <w:t>el</w:t>
      </w:r>
      <w:r w:rsidRPr="008C7C79">
        <w:rPr>
          <w:rStyle w:val="normaltextrun"/>
          <w:rFonts w:cs="Tahoma"/>
          <w:szCs w:val="24"/>
        </w:rPr>
        <w:t xml:space="preserve"> traslado </w:t>
      </w:r>
      <w:r w:rsidR="00EF5C33" w:rsidRPr="008C7C79">
        <w:rPr>
          <w:rStyle w:val="normaltextrun"/>
          <w:rFonts w:cs="Tahoma"/>
          <w:szCs w:val="24"/>
        </w:rPr>
        <w:t xml:space="preserve">que hizo desde el régimen de prima media con prestación definida </w:t>
      </w:r>
      <w:r w:rsidR="00D411B4" w:rsidRPr="008C7C79">
        <w:rPr>
          <w:rStyle w:val="normaltextrun"/>
          <w:rFonts w:cs="Tahoma"/>
          <w:szCs w:val="24"/>
        </w:rPr>
        <w:t xml:space="preserve">(en adelante RPM) </w:t>
      </w:r>
      <w:r w:rsidRPr="008C7C79">
        <w:rPr>
          <w:rStyle w:val="normaltextrun"/>
          <w:rFonts w:cs="Tahoma"/>
          <w:szCs w:val="24"/>
        </w:rPr>
        <w:t xml:space="preserve">hacia </w:t>
      </w:r>
      <w:r w:rsidR="00CD14BB" w:rsidRPr="008C7C79">
        <w:rPr>
          <w:rStyle w:val="normaltextrun"/>
          <w:rFonts w:cs="Tahoma"/>
          <w:szCs w:val="24"/>
        </w:rPr>
        <w:t>la A</w:t>
      </w:r>
      <w:r w:rsidR="00B66AFB" w:rsidRPr="008C7C79">
        <w:rPr>
          <w:rStyle w:val="normaltextrun"/>
          <w:rFonts w:cs="Tahoma"/>
          <w:szCs w:val="24"/>
        </w:rPr>
        <w:t xml:space="preserve">FP </w:t>
      </w:r>
      <w:r w:rsidR="007748EF" w:rsidRPr="008C7C79">
        <w:rPr>
          <w:rStyle w:val="normaltextrun"/>
          <w:rFonts w:cs="Tahoma"/>
          <w:szCs w:val="24"/>
        </w:rPr>
        <w:t xml:space="preserve">Horizonte </w:t>
      </w:r>
      <w:r w:rsidR="00CD14BB" w:rsidRPr="008C7C79">
        <w:rPr>
          <w:rStyle w:val="normaltextrun"/>
          <w:rFonts w:cs="Tahoma"/>
          <w:szCs w:val="24"/>
        </w:rPr>
        <w:t xml:space="preserve">(hoy </w:t>
      </w:r>
      <w:r w:rsidR="007748EF" w:rsidRPr="008C7C79">
        <w:rPr>
          <w:rStyle w:val="normaltextrun"/>
          <w:rFonts w:cs="Tahoma"/>
          <w:szCs w:val="24"/>
        </w:rPr>
        <w:t xml:space="preserve">Porvenir </w:t>
      </w:r>
      <w:r w:rsidR="00CD14BB" w:rsidRPr="008C7C79">
        <w:rPr>
          <w:rStyle w:val="normaltextrun"/>
          <w:rFonts w:cs="Tahoma"/>
          <w:szCs w:val="24"/>
        </w:rPr>
        <w:t>S.A)</w:t>
      </w:r>
      <w:r w:rsidR="000E25BE" w:rsidRPr="008C7C79">
        <w:rPr>
          <w:rStyle w:val="normaltextrun"/>
          <w:rFonts w:cs="Tahoma"/>
          <w:szCs w:val="24"/>
        </w:rPr>
        <w:t xml:space="preserve">. </w:t>
      </w:r>
      <w:r w:rsidR="00C4413A" w:rsidRPr="008C7C79">
        <w:rPr>
          <w:rStyle w:val="normaltextrun"/>
          <w:rFonts w:cs="Tahoma"/>
          <w:szCs w:val="24"/>
        </w:rPr>
        <w:t>E</w:t>
      </w:r>
      <w:r w:rsidRPr="008C7C79">
        <w:rPr>
          <w:rStyle w:val="normaltextrun"/>
          <w:rFonts w:cs="Tahoma"/>
          <w:szCs w:val="24"/>
        </w:rPr>
        <w:t xml:space="preserve">n consecuencia, solicita </w:t>
      </w:r>
      <w:r w:rsidR="00B66AFB" w:rsidRPr="008C7C79">
        <w:rPr>
          <w:rStyle w:val="normaltextrun"/>
          <w:rFonts w:cs="Tahoma"/>
          <w:szCs w:val="24"/>
        </w:rPr>
        <w:t xml:space="preserve">que </w:t>
      </w:r>
      <w:r w:rsidRPr="008C7C79">
        <w:rPr>
          <w:rStyle w:val="normaltextrun"/>
          <w:rFonts w:cs="Tahoma"/>
          <w:szCs w:val="24"/>
        </w:rPr>
        <w:t xml:space="preserve">se </w:t>
      </w:r>
      <w:r w:rsidR="00EF5C33" w:rsidRPr="008C7C79">
        <w:rPr>
          <w:rStyle w:val="normaltextrun"/>
          <w:rFonts w:cs="Tahoma"/>
          <w:szCs w:val="24"/>
        </w:rPr>
        <w:t>ordene</w:t>
      </w:r>
      <w:r w:rsidRPr="008C7C79">
        <w:rPr>
          <w:rStyle w:val="normaltextrun"/>
          <w:rFonts w:cs="Tahoma"/>
          <w:szCs w:val="24"/>
        </w:rPr>
        <w:t xml:space="preserve"> a </w:t>
      </w:r>
      <w:r w:rsidR="00C4413A" w:rsidRPr="008C7C79">
        <w:rPr>
          <w:rStyle w:val="normaltextrun"/>
          <w:rFonts w:cs="Tahoma"/>
          <w:szCs w:val="24"/>
        </w:rPr>
        <w:t>Colpensiones a recibir</w:t>
      </w:r>
      <w:r w:rsidR="00F05EFB" w:rsidRPr="008C7C79">
        <w:rPr>
          <w:rStyle w:val="normaltextrun"/>
          <w:rFonts w:cs="Tahoma"/>
          <w:szCs w:val="24"/>
        </w:rPr>
        <w:t>lo</w:t>
      </w:r>
      <w:r w:rsidR="00C4413A" w:rsidRPr="008C7C79">
        <w:rPr>
          <w:rStyle w:val="normaltextrun"/>
          <w:rFonts w:cs="Tahoma"/>
          <w:szCs w:val="24"/>
        </w:rPr>
        <w:t xml:space="preserve"> </w:t>
      </w:r>
      <w:r w:rsidR="00EF5C33" w:rsidRPr="008C7C79">
        <w:rPr>
          <w:rStyle w:val="normaltextrun"/>
          <w:rFonts w:cs="Tahoma"/>
          <w:szCs w:val="24"/>
        </w:rPr>
        <w:t xml:space="preserve">nuevamente </w:t>
      </w:r>
      <w:r w:rsidR="00C4413A" w:rsidRPr="008C7C79">
        <w:rPr>
          <w:rStyle w:val="normaltextrun"/>
          <w:rFonts w:cs="Tahoma"/>
          <w:szCs w:val="24"/>
        </w:rPr>
        <w:t>como afiliado cotizante</w:t>
      </w:r>
      <w:r w:rsidR="00EF5C33" w:rsidRPr="008C7C79">
        <w:rPr>
          <w:rStyle w:val="normaltextrun"/>
          <w:rFonts w:cs="Tahoma"/>
          <w:szCs w:val="24"/>
        </w:rPr>
        <w:t xml:space="preserve"> y, de igual manera, </w:t>
      </w:r>
      <w:r w:rsidR="00C4413A" w:rsidRPr="008C7C79">
        <w:rPr>
          <w:rStyle w:val="normaltextrun"/>
          <w:rFonts w:cs="Tahoma"/>
          <w:szCs w:val="24"/>
        </w:rPr>
        <w:t xml:space="preserve">que se condene a </w:t>
      </w:r>
      <w:r w:rsidRPr="008C7C79">
        <w:rPr>
          <w:rStyle w:val="normaltextrun"/>
          <w:rFonts w:cs="Tahoma"/>
          <w:szCs w:val="24"/>
        </w:rPr>
        <w:t xml:space="preserve">Porvenir S.A. a </w:t>
      </w:r>
      <w:r w:rsidR="007748EF" w:rsidRPr="008C7C79">
        <w:rPr>
          <w:rStyle w:val="normaltextrun"/>
          <w:rFonts w:cs="Tahoma"/>
          <w:szCs w:val="24"/>
        </w:rPr>
        <w:t xml:space="preserve">liberarlo de sus bases de </w:t>
      </w:r>
      <w:r w:rsidR="00D411B4" w:rsidRPr="008C7C79">
        <w:rPr>
          <w:rStyle w:val="normaltextrun"/>
          <w:rFonts w:cs="Tahoma"/>
          <w:szCs w:val="24"/>
        </w:rPr>
        <w:t>datos, y</w:t>
      </w:r>
      <w:r w:rsidR="007748EF" w:rsidRPr="008C7C79">
        <w:rPr>
          <w:rStyle w:val="normaltextrun"/>
          <w:rFonts w:cs="Tahoma"/>
          <w:szCs w:val="24"/>
        </w:rPr>
        <w:t xml:space="preserve"> trasladar </w:t>
      </w:r>
      <w:r w:rsidRPr="008C7C79">
        <w:rPr>
          <w:rStyle w:val="normaltextrun"/>
          <w:rFonts w:cs="Tahoma"/>
          <w:szCs w:val="24"/>
        </w:rPr>
        <w:t xml:space="preserve">a Colpensiones los valores que hubiera recibido con motivo de </w:t>
      </w:r>
      <w:r w:rsidR="00C4413A" w:rsidRPr="008C7C79">
        <w:rPr>
          <w:rStyle w:val="normaltextrun"/>
          <w:rFonts w:cs="Tahoma"/>
          <w:szCs w:val="24"/>
        </w:rPr>
        <w:t>sus</w:t>
      </w:r>
      <w:r w:rsidR="005B00B8" w:rsidRPr="008C7C79">
        <w:rPr>
          <w:rStyle w:val="normaltextrun"/>
          <w:rFonts w:cs="Tahoma"/>
          <w:szCs w:val="24"/>
        </w:rPr>
        <w:t xml:space="preserve"> </w:t>
      </w:r>
      <w:r w:rsidR="007748EF" w:rsidRPr="008C7C79">
        <w:rPr>
          <w:rStyle w:val="normaltextrun"/>
          <w:rFonts w:cs="Tahoma"/>
          <w:szCs w:val="24"/>
        </w:rPr>
        <w:t>cotizaciones.</w:t>
      </w:r>
    </w:p>
    <w:p w14:paraId="32AEA9DF" w14:textId="77777777" w:rsidR="00EF5C33" w:rsidRPr="008C7C79" w:rsidRDefault="00EF5C33" w:rsidP="008C7C79">
      <w:pPr>
        <w:spacing w:line="276" w:lineRule="auto"/>
        <w:ind w:firstLine="708"/>
        <w:rPr>
          <w:rStyle w:val="normaltextrun"/>
          <w:rFonts w:cs="Tahoma"/>
          <w:szCs w:val="24"/>
        </w:rPr>
      </w:pPr>
    </w:p>
    <w:p w14:paraId="723D2312" w14:textId="4E4247A0" w:rsidR="00790DA9" w:rsidRPr="008C7C79" w:rsidRDefault="00EF5C33" w:rsidP="008C7C79">
      <w:pPr>
        <w:spacing w:line="276" w:lineRule="auto"/>
        <w:ind w:firstLine="708"/>
        <w:rPr>
          <w:rStyle w:val="normaltextrun"/>
          <w:rFonts w:cs="Tahoma"/>
          <w:szCs w:val="24"/>
        </w:rPr>
      </w:pPr>
      <w:r w:rsidRPr="008C7C79">
        <w:rPr>
          <w:rStyle w:val="normaltextrun"/>
          <w:rFonts w:cs="Tahoma"/>
          <w:szCs w:val="24"/>
        </w:rPr>
        <w:t>As</w:t>
      </w:r>
      <w:r w:rsidR="009A3626" w:rsidRPr="008C7C79">
        <w:rPr>
          <w:rStyle w:val="normaltextrun"/>
          <w:rFonts w:cs="Tahoma"/>
          <w:szCs w:val="24"/>
        </w:rPr>
        <w:t>i</w:t>
      </w:r>
      <w:r w:rsidRPr="008C7C79">
        <w:rPr>
          <w:rStyle w:val="normaltextrun"/>
          <w:rFonts w:cs="Tahoma"/>
          <w:szCs w:val="24"/>
        </w:rPr>
        <w:t xml:space="preserve">mismo, solicita que </w:t>
      </w:r>
      <w:r w:rsidR="005B00B8" w:rsidRPr="008C7C79">
        <w:rPr>
          <w:rStyle w:val="normaltextrun"/>
          <w:rFonts w:cs="Tahoma"/>
          <w:szCs w:val="24"/>
        </w:rPr>
        <w:t xml:space="preserve">se condene </w:t>
      </w:r>
      <w:r w:rsidR="009A3626" w:rsidRPr="008C7C79">
        <w:rPr>
          <w:rStyle w:val="normaltextrun"/>
          <w:rFonts w:cs="Tahoma"/>
          <w:szCs w:val="24"/>
        </w:rPr>
        <w:t xml:space="preserve">a Porvenir S.A. </w:t>
      </w:r>
      <w:r w:rsidR="005B00B8" w:rsidRPr="008C7C79">
        <w:rPr>
          <w:rStyle w:val="normaltextrun"/>
          <w:rFonts w:cs="Tahoma"/>
          <w:szCs w:val="24"/>
        </w:rPr>
        <w:t xml:space="preserve">al pago </w:t>
      </w:r>
      <w:r w:rsidR="00790DA9" w:rsidRPr="008C7C79">
        <w:rPr>
          <w:rStyle w:val="normaltextrun"/>
          <w:rFonts w:cs="Tahoma"/>
          <w:szCs w:val="24"/>
        </w:rPr>
        <w:t xml:space="preserve">de las costas </w:t>
      </w:r>
      <w:r w:rsidR="005B00B8" w:rsidRPr="008C7C79">
        <w:rPr>
          <w:rStyle w:val="normaltextrun"/>
          <w:rFonts w:cs="Tahoma"/>
          <w:szCs w:val="24"/>
        </w:rPr>
        <w:t>procesales</w:t>
      </w:r>
      <w:r w:rsidR="009A3626" w:rsidRPr="008C7C79">
        <w:rPr>
          <w:rStyle w:val="normaltextrun"/>
          <w:rFonts w:cs="Tahoma"/>
          <w:szCs w:val="24"/>
        </w:rPr>
        <w:t xml:space="preserve"> y a lo extra y ultra </w:t>
      </w:r>
      <w:proofErr w:type="spellStart"/>
      <w:r w:rsidR="009A3626" w:rsidRPr="008C7C79">
        <w:rPr>
          <w:rStyle w:val="normaltextrun"/>
          <w:rFonts w:cs="Tahoma"/>
          <w:szCs w:val="24"/>
        </w:rPr>
        <w:t>petita</w:t>
      </w:r>
      <w:proofErr w:type="spellEnd"/>
      <w:r w:rsidR="009A3626" w:rsidRPr="008C7C79">
        <w:rPr>
          <w:rStyle w:val="normaltextrun"/>
          <w:rFonts w:cs="Tahoma"/>
          <w:szCs w:val="24"/>
        </w:rPr>
        <w:t xml:space="preserve"> debatido y probado en el proceso.</w:t>
      </w:r>
    </w:p>
    <w:p w14:paraId="2E77701D" w14:textId="77777777" w:rsidR="00790DA9" w:rsidRPr="008C7C79" w:rsidRDefault="00790DA9" w:rsidP="008C7C79">
      <w:pPr>
        <w:spacing w:line="276" w:lineRule="auto"/>
        <w:rPr>
          <w:rFonts w:cs="Tahoma"/>
          <w:szCs w:val="24"/>
        </w:rPr>
      </w:pPr>
    </w:p>
    <w:p w14:paraId="0BF86B1E" w14:textId="77777777" w:rsidR="009A3626" w:rsidRPr="008C7C79" w:rsidRDefault="00790DA9" w:rsidP="008C7C79">
      <w:pPr>
        <w:spacing w:line="276" w:lineRule="auto"/>
        <w:ind w:firstLine="708"/>
        <w:rPr>
          <w:rStyle w:val="normaltextrun"/>
          <w:rFonts w:cs="Tahoma"/>
          <w:szCs w:val="24"/>
        </w:rPr>
      </w:pPr>
      <w:r w:rsidRPr="008C7C79">
        <w:rPr>
          <w:rStyle w:val="normaltextrun"/>
          <w:rFonts w:cs="Tahoma"/>
          <w:szCs w:val="24"/>
        </w:rPr>
        <w:t xml:space="preserve">En síntesis, relata que </w:t>
      </w:r>
      <w:r w:rsidR="00CB15E9" w:rsidRPr="008C7C79">
        <w:rPr>
          <w:rStyle w:val="normaltextrun"/>
          <w:rFonts w:cs="Tahoma"/>
          <w:szCs w:val="24"/>
        </w:rPr>
        <w:t>empezó su vida laboral</w:t>
      </w:r>
      <w:r w:rsidRPr="008C7C79">
        <w:rPr>
          <w:rStyle w:val="normaltextrun"/>
          <w:rFonts w:cs="Tahoma"/>
          <w:szCs w:val="24"/>
        </w:rPr>
        <w:t xml:space="preserve"> el </w:t>
      </w:r>
      <w:r w:rsidR="00CB15E9" w:rsidRPr="008C7C79">
        <w:rPr>
          <w:rStyle w:val="normaltextrun"/>
          <w:rFonts w:cs="Tahoma"/>
          <w:szCs w:val="24"/>
        </w:rPr>
        <w:t>5</w:t>
      </w:r>
      <w:r w:rsidRPr="008C7C79">
        <w:rPr>
          <w:rStyle w:val="normaltextrun"/>
          <w:rFonts w:cs="Tahoma"/>
          <w:szCs w:val="24"/>
        </w:rPr>
        <w:t xml:space="preserve"> de </w:t>
      </w:r>
      <w:r w:rsidR="00CB15E9" w:rsidRPr="008C7C79">
        <w:rPr>
          <w:rStyle w:val="normaltextrun"/>
          <w:rFonts w:cs="Tahoma"/>
          <w:szCs w:val="24"/>
        </w:rPr>
        <w:t>mayo</w:t>
      </w:r>
      <w:r w:rsidRPr="008C7C79">
        <w:rPr>
          <w:rStyle w:val="normaltextrun"/>
          <w:rFonts w:cs="Tahoma"/>
          <w:szCs w:val="24"/>
        </w:rPr>
        <w:t xml:space="preserve"> de 198</w:t>
      </w:r>
      <w:r w:rsidR="00CB15E9" w:rsidRPr="008C7C79">
        <w:rPr>
          <w:rStyle w:val="normaltextrun"/>
          <w:rFonts w:cs="Tahoma"/>
          <w:szCs w:val="24"/>
        </w:rPr>
        <w:t>2, calenda en la que</w:t>
      </w:r>
      <w:r w:rsidRPr="008C7C79">
        <w:rPr>
          <w:rStyle w:val="normaltextrun"/>
          <w:rFonts w:cs="Tahoma"/>
          <w:szCs w:val="24"/>
        </w:rPr>
        <w:t xml:space="preserve"> se afilió al régimen de prima media con prestación definida</w:t>
      </w:r>
      <w:r w:rsidR="00CB15E9" w:rsidRPr="008C7C79">
        <w:rPr>
          <w:rStyle w:val="normaltextrun"/>
          <w:rFonts w:cs="Tahoma"/>
          <w:szCs w:val="24"/>
        </w:rPr>
        <w:t xml:space="preserve"> administrado por el Seguro Social</w:t>
      </w:r>
      <w:r w:rsidR="009A3626" w:rsidRPr="008C7C79">
        <w:rPr>
          <w:rStyle w:val="normaltextrun"/>
          <w:rFonts w:cs="Tahoma"/>
          <w:szCs w:val="24"/>
        </w:rPr>
        <w:t xml:space="preserve">, </w:t>
      </w:r>
      <w:r w:rsidR="00B20840" w:rsidRPr="008C7C79">
        <w:rPr>
          <w:rStyle w:val="normaltextrun"/>
          <w:rFonts w:cs="Tahoma"/>
          <w:szCs w:val="24"/>
        </w:rPr>
        <w:t xml:space="preserve">cotizando en dicho régimen hasta el mes de </w:t>
      </w:r>
      <w:r w:rsidR="00CB15E9" w:rsidRPr="008C7C79">
        <w:rPr>
          <w:rStyle w:val="normaltextrun"/>
          <w:rFonts w:cs="Tahoma"/>
          <w:szCs w:val="24"/>
        </w:rPr>
        <w:t>marzo</w:t>
      </w:r>
      <w:r w:rsidR="00B20840" w:rsidRPr="008C7C79">
        <w:rPr>
          <w:rStyle w:val="normaltextrun"/>
          <w:rFonts w:cs="Tahoma"/>
          <w:szCs w:val="24"/>
        </w:rPr>
        <w:t xml:space="preserve"> del año 2000</w:t>
      </w:r>
      <w:r w:rsidR="00CB15E9" w:rsidRPr="008C7C79">
        <w:rPr>
          <w:rStyle w:val="normaltextrun"/>
          <w:rFonts w:cs="Tahoma"/>
          <w:szCs w:val="24"/>
        </w:rPr>
        <w:t>, fecha en la cual se encontraba laborando como trabajador independiente</w:t>
      </w:r>
      <w:r w:rsidR="00B20840" w:rsidRPr="008C7C79">
        <w:rPr>
          <w:rStyle w:val="normaltextrun"/>
          <w:rFonts w:cs="Tahoma"/>
          <w:szCs w:val="24"/>
        </w:rPr>
        <w:t xml:space="preserve">. </w:t>
      </w:r>
    </w:p>
    <w:p w14:paraId="21C86AEB" w14:textId="77777777" w:rsidR="009A3626" w:rsidRPr="008C7C79" w:rsidRDefault="009A3626" w:rsidP="008C7C79">
      <w:pPr>
        <w:spacing w:line="276" w:lineRule="auto"/>
        <w:ind w:firstLine="708"/>
        <w:rPr>
          <w:rStyle w:val="normaltextrun"/>
          <w:rFonts w:cs="Tahoma"/>
          <w:szCs w:val="24"/>
        </w:rPr>
      </w:pPr>
    </w:p>
    <w:p w14:paraId="1B960113" w14:textId="585908D9" w:rsidR="004F626D" w:rsidRPr="008C7C79" w:rsidRDefault="005B00B8" w:rsidP="008C7C79">
      <w:pPr>
        <w:spacing w:line="276" w:lineRule="auto"/>
        <w:ind w:firstLine="708"/>
        <w:rPr>
          <w:rStyle w:val="normaltextrun"/>
          <w:rFonts w:cs="Tahoma"/>
          <w:szCs w:val="24"/>
        </w:rPr>
      </w:pPr>
      <w:r w:rsidRPr="008C7C79">
        <w:rPr>
          <w:rStyle w:val="normaltextrun"/>
          <w:rFonts w:cs="Tahoma"/>
          <w:szCs w:val="24"/>
        </w:rPr>
        <w:t>Indica</w:t>
      </w:r>
      <w:r w:rsidR="00790DA9" w:rsidRPr="008C7C79">
        <w:rPr>
          <w:rStyle w:val="normaltextrun"/>
          <w:rFonts w:cs="Tahoma"/>
          <w:szCs w:val="24"/>
        </w:rPr>
        <w:t xml:space="preserve"> que el </w:t>
      </w:r>
      <w:r w:rsidR="00CB15E9" w:rsidRPr="008C7C79">
        <w:rPr>
          <w:rStyle w:val="normaltextrun"/>
          <w:rFonts w:cs="Tahoma"/>
          <w:szCs w:val="24"/>
        </w:rPr>
        <w:t>7</w:t>
      </w:r>
      <w:r w:rsidR="00790DA9" w:rsidRPr="008C7C79">
        <w:rPr>
          <w:rStyle w:val="normaltextrun"/>
          <w:rFonts w:cs="Tahoma"/>
          <w:szCs w:val="24"/>
        </w:rPr>
        <w:t xml:space="preserve"> de </w:t>
      </w:r>
      <w:r w:rsidR="00CB15E9" w:rsidRPr="008C7C79">
        <w:rPr>
          <w:rStyle w:val="normaltextrun"/>
          <w:rFonts w:cs="Tahoma"/>
          <w:szCs w:val="24"/>
        </w:rPr>
        <w:t>septiembre</w:t>
      </w:r>
      <w:r w:rsidR="00790DA9" w:rsidRPr="008C7C79">
        <w:rPr>
          <w:rStyle w:val="normaltextrun"/>
          <w:rFonts w:cs="Tahoma"/>
          <w:szCs w:val="24"/>
        </w:rPr>
        <w:t xml:space="preserve"> de</w:t>
      </w:r>
      <w:r w:rsidR="006B11AA" w:rsidRPr="008C7C79">
        <w:rPr>
          <w:rStyle w:val="normaltextrun"/>
          <w:rFonts w:cs="Tahoma"/>
          <w:szCs w:val="24"/>
        </w:rPr>
        <w:t>l</w:t>
      </w:r>
      <w:r w:rsidR="00790DA9" w:rsidRPr="008C7C79">
        <w:rPr>
          <w:rStyle w:val="normaltextrun"/>
          <w:rFonts w:cs="Tahoma"/>
          <w:szCs w:val="24"/>
        </w:rPr>
        <w:t xml:space="preserve"> </w:t>
      </w:r>
      <w:r w:rsidR="00B20840" w:rsidRPr="008C7C79">
        <w:rPr>
          <w:rStyle w:val="normaltextrun"/>
          <w:rFonts w:cs="Tahoma"/>
          <w:szCs w:val="24"/>
        </w:rPr>
        <w:t>2000</w:t>
      </w:r>
      <w:r w:rsidR="00790DA9" w:rsidRPr="008C7C79">
        <w:rPr>
          <w:rStyle w:val="normaltextrun"/>
          <w:rFonts w:cs="Tahoma"/>
          <w:szCs w:val="24"/>
        </w:rPr>
        <w:t xml:space="preserve"> suscribió formulario de </w:t>
      </w:r>
      <w:r w:rsidR="00CB15E9" w:rsidRPr="008C7C79">
        <w:rPr>
          <w:rStyle w:val="normaltextrun"/>
          <w:rFonts w:cs="Tahoma"/>
          <w:szCs w:val="24"/>
        </w:rPr>
        <w:t xml:space="preserve">afiliación No. 5572174 </w:t>
      </w:r>
      <w:r w:rsidR="00790DA9" w:rsidRPr="008C7C79">
        <w:rPr>
          <w:rStyle w:val="normaltextrun"/>
          <w:rFonts w:cs="Tahoma"/>
          <w:szCs w:val="24"/>
        </w:rPr>
        <w:t xml:space="preserve">con </w:t>
      </w:r>
      <w:r w:rsidR="00B20840" w:rsidRPr="008C7C79">
        <w:rPr>
          <w:rStyle w:val="normaltextrun"/>
          <w:rFonts w:cs="Tahoma"/>
          <w:szCs w:val="24"/>
        </w:rPr>
        <w:t xml:space="preserve">la Administradora de Fondos de Pensiones y Cesantías </w:t>
      </w:r>
      <w:r w:rsidR="00CB15E9" w:rsidRPr="008C7C79">
        <w:rPr>
          <w:rStyle w:val="normaltextrun"/>
          <w:rFonts w:cs="Tahoma"/>
          <w:szCs w:val="24"/>
        </w:rPr>
        <w:t>Horizonte</w:t>
      </w:r>
      <w:r w:rsidR="00B20840" w:rsidRPr="008C7C79">
        <w:rPr>
          <w:rStyle w:val="normaltextrun"/>
          <w:rFonts w:cs="Tahoma"/>
          <w:szCs w:val="24"/>
        </w:rPr>
        <w:t xml:space="preserve"> (hoy P</w:t>
      </w:r>
      <w:r w:rsidR="00CB15E9" w:rsidRPr="008C7C79">
        <w:rPr>
          <w:rStyle w:val="normaltextrun"/>
          <w:rFonts w:cs="Tahoma"/>
          <w:szCs w:val="24"/>
        </w:rPr>
        <w:t>orvenir</w:t>
      </w:r>
      <w:r w:rsidR="00B20840" w:rsidRPr="008C7C79">
        <w:rPr>
          <w:rStyle w:val="normaltextrun"/>
          <w:rFonts w:cs="Tahoma"/>
          <w:szCs w:val="24"/>
        </w:rPr>
        <w:t xml:space="preserve"> S.A)</w:t>
      </w:r>
      <w:r w:rsidR="00790DA9" w:rsidRPr="008C7C79">
        <w:rPr>
          <w:rStyle w:val="normaltextrun"/>
          <w:rFonts w:cs="Tahoma"/>
          <w:szCs w:val="24"/>
        </w:rPr>
        <w:t>.</w:t>
      </w:r>
      <w:r w:rsidR="009A3626" w:rsidRPr="008C7C79">
        <w:rPr>
          <w:rStyle w:val="normaltextrun"/>
          <w:rFonts w:cs="Tahoma"/>
          <w:szCs w:val="24"/>
        </w:rPr>
        <w:t xml:space="preserve"> </w:t>
      </w:r>
      <w:r w:rsidR="00790DA9" w:rsidRPr="008C7C79">
        <w:rPr>
          <w:rStyle w:val="normaltextrun"/>
          <w:rFonts w:cs="Tahoma"/>
          <w:szCs w:val="24"/>
        </w:rPr>
        <w:t xml:space="preserve">En cuanto a la asesoría, rememora que </w:t>
      </w:r>
      <w:r w:rsidR="006B11AA" w:rsidRPr="008C7C79">
        <w:rPr>
          <w:rStyle w:val="normaltextrun"/>
          <w:rFonts w:cs="Tahoma"/>
          <w:szCs w:val="24"/>
        </w:rPr>
        <w:t>l</w:t>
      </w:r>
      <w:r w:rsidR="00CB15E9" w:rsidRPr="008C7C79">
        <w:rPr>
          <w:rStyle w:val="normaltextrun"/>
          <w:rFonts w:cs="Tahoma"/>
          <w:szCs w:val="24"/>
        </w:rPr>
        <w:t>a</w:t>
      </w:r>
      <w:r w:rsidR="006B11AA" w:rsidRPr="008C7C79">
        <w:rPr>
          <w:rStyle w:val="normaltextrun"/>
          <w:rFonts w:cs="Tahoma"/>
          <w:szCs w:val="24"/>
        </w:rPr>
        <w:t xml:space="preserve"> asesor</w:t>
      </w:r>
      <w:r w:rsidR="00CB15E9" w:rsidRPr="008C7C79">
        <w:rPr>
          <w:rStyle w:val="normaltextrun"/>
          <w:rFonts w:cs="Tahoma"/>
          <w:szCs w:val="24"/>
        </w:rPr>
        <w:t>a</w:t>
      </w:r>
      <w:r w:rsidR="006B11AA" w:rsidRPr="008C7C79">
        <w:rPr>
          <w:rStyle w:val="normaltextrun"/>
          <w:rFonts w:cs="Tahoma"/>
          <w:szCs w:val="24"/>
        </w:rPr>
        <w:t xml:space="preserve"> de la AFP </w:t>
      </w:r>
      <w:r w:rsidR="00CB15E9" w:rsidRPr="008C7C79">
        <w:rPr>
          <w:rStyle w:val="normaltextrun"/>
          <w:rFonts w:cs="Tahoma"/>
          <w:szCs w:val="24"/>
        </w:rPr>
        <w:t>Horizonte en visita realizada a su sitio de trabajo</w:t>
      </w:r>
      <w:r w:rsidR="006B11AA" w:rsidRPr="008C7C79">
        <w:rPr>
          <w:rStyle w:val="normaltextrun"/>
          <w:rFonts w:cs="Tahoma"/>
          <w:szCs w:val="24"/>
        </w:rPr>
        <w:t xml:space="preserve"> le </w:t>
      </w:r>
      <w:r w:rsidR="004F626D" w:rsidRPr="008C7C79">
        <w:rPr>
          <w:rStyle w:val="normaltextrun"/>
          <w:rFonts w:cs="Tahoma"/>
          <w:szCs w:val="24"/>
        </w:rPr>
        <w:t xml:space="preserve">manifestó </w:t>
      </w:r>
      <w:r w:rsidR="006B11AA" w:rsidRPr="008C7C79">
        <w:rPr>
          <w:rStyle w:val="normaltextrun"/>
          <w:rFonts w:cs="Tahoma"/>
          <w:szCs w:val="24"/>
        </w:rPr>
        <w:t xml:space="preserve">que de trasladarse </w:t>
      </w:r>
      <w:r w:rsidR="00CB15E9" w:rsidRPr="008C7C79">
        <w:rPr>
          <w:rStyle w:val="normaltextrun"/>
          <w:rFonts w:cs="Tahoma"/>
          <w:szCs w:val="24"/>
        </w:rPr>
        <w:t xml:space="preserve">se podría </w:t>
      </w:r>
      <w:r w:rsidR="00D11BAA" w:rsidRPr="008C7C79">
        <w:rPr>
          <w:rStyle w:val="normaltextrun"/>
          <w:rFonts w:cs="Tahoma"/>
          <w:szCs w:val="24"/>
        </w:rPr>
        <w:t>pensionar</w:t>
      </w:r>
      <w:r w:rsidR="00CB15E9" w:rsidRPr="008C7C79">
        <w:rPr>
          <w:rStyle w:val="normaltextrun"/>
          <w:rFonts w:cs="Tahoma"/>
          <w:szCs w:val="24"/>
        </w:rPr>
        <w:t xml:space="preserve"> an</w:t>
      </w:r>
      <w:r w:rsidR="00D11BAA" w:rsidRPr="008C7C79">
        <w:rPr>
          <w:rStyle w:val="normaltextrun"/>
          <w:rFonts w:cs="Tahoma"/>
          <w:szCs w:val="24"/>
        </w:rPr>
        <w:t xml:space="preserve">ticipadamente </w:t>
      </w:r>
      <w:r w:rsidR="00E60B9A" w:rsidRPr="008C7C79">
        <w:rPr>
          <w:rStyle w:val="normaltextrun"/>
          <w:rFonts w:cs="Tahoma"/>
          <w:szCs w:val="24"/>
        </w:rPr>
        <w:t xml:space="preserve">y </w:t>
      </w:r>
      <w:r w:rsidR="00F05EFB" w:rsidRPr="008C7C79">
        <w:rPr>
          <w:rStyle w:val="normaltextrun"/>
          <w:rFonts w:cs="Tahoma"/>
          <w:szCs w:val="24"/>
        </w:rPr>
        <w:t>que,</w:t>
      </w:r>
      <w:r w:rsidR="006B11AA" w:rsidRPr="008C7C79">
        <w:rPr>
          <w:rStyle w:val="normaltextrun"/>
          <w:rFonts w:cs="Tahoma"/>
          <w:szCs w:val="24"/>
        </w:rPr>
        <w:t xml:space="preserve"> </w:t>
      </w:r>
      <w:r w:rsidR="005A5ADA" w:rsidRPr="008C7C79">
        <w:rPr>
          <w:rStyle w:val="normaltextrun"/>
          <w:rFonts w:cs="Tahoma"/>
          <w:szCs w:val="24"/>
        </w:rPr>
        <w:t xml:space="preserve">en caso </w:t>
      </w:r>
      <w:r w:rsidR="006B11AA" w:rsidRPr="008C7C79">
        <w:rPr>
          <w:rStyle w:val="normaltextrun"/>
          <w:rFonts w:cs="Tahoma"/>
          <w:szCs w:val="24"/>
        </w:rPr>
        <w:t>de no querer reclamar la pensión</w:t>
      </w:r>
      <w:r w:rsidR="005A5ADA" w:rsidRPr="008C7C79">
        <w:rPr>
          <w:rStyle w:val="normaltextrun"/>
          <w:rFonts w:cs="Tahoma"/>
          <w:szCs w:val="24"/>
        </w:rPr>
        <w:t xml:space="preserve">, </w:t>
      </w:r>
      <w:r w:rsidR="006B11AA" w:rsidRPr="008C7C79">
        <w:rPr>
          <w:rStyle w:val="normaltextrun"/>
          <w:rFonts w:cs="Tahoma"/>
          <w:szCs w:val="24"/>
        </w:rPr>
        <w:t>podría solicitar la devolución de</w:t>
      </w:r>
      <w:r w:rsidR="00D11BAA" w:rsidRPr="008C7C79">
        <w:rPr>
          <w:rStyle w:val="normaltextrun"/>
          <w:rFonts w:cs="Tahoma"/>
          <w:szCs w:val="24"/>
        </w:rPr>
        <w:t>l</w:t>
      </w:r>
      <w:r w:rsidR="006B11AA" w:rsidRPr="008C7C79">
        <w:rPr>
          <w:rStyle w:val="normaltextrun"/>
          <w:rFonts w:cs="Tahoma"/>
          <w:szCs w:val="24"/>
        </w:rPr>
        <w:t xml:space="preserve"> capital </w:t>
      </w:r>
      <w:r w:rsidR="00D11BAA" w:rsidRPr="008C7C79">
        <w:rPr>
          <w:rStyle w:val="normaltextrun"/>
          <w:rFonts w:cs="Tahoma"/>
          <w:szCs w:val="24"/>
        </w:rPr>
        <w:t xml:space="preserve">que tuviese acumulado a dicha fecha. </w:t>
      </w:r>
    </w:p>
    <w:p w14:paraId="69656DDC" w14:textId="77777777" w:rsidR="004F626D" w:rsidRPr="008C7C79" w:rsidRDefault="004F626D" w:rsidP="008C7C79">
      <w:pPr>
        <w:spacing w:line="276" w:lineRule="auto"/>
        <w:ind w:firstLine="708"/>
        <w:rPr>
          <w:rStyle w:val="normaltextrun"/>
          <w:rFonts w:cs="Tahoma"/>
          <w:szCs w:val="24"/>
        </w:rPr>
      </w:pPr>
    </w:p>
    <w:p w14:paraId="37DD4458" w14:textId="1889A670" w:rsidR="006B11AA" w:rsidRPr="008C7C79" w:rsidRDefault="004F626D" w:rsidP="008C7C79">
      <w:pPr>
        <w:spacing w:line="276" w:lineRule="auto"/>
        <w:ind w:firstLine="708"/>
        <w:rPr>
          <w:rStyle w:val="normaltextrun"/>
          <w:rFonts w:cs="Tahoma"/>
          <w:szCs w:val="24"/>
        </w:rPr>
      </w:pPr>
      <w:r w:rsidRPr="008C7C79">
        <w:rPr>
          <w:rStyle w:val="normaltextrun"/>
          <w:rFonts w:cs="Tahoma"/>
          <w:szCs w:val="24"/>
        </w:rPr>
        <w:t xml:space="preserve">Refiere </w:t>
      </w:r>
      <w:r w:rsidR="00D11BAA" w:rsidRPr="008C7C79">
        <w:rPr>
          <w:rStyle w:val="normaltextrun"/>
          <w:rFonts w:cs="Tahoma"/>
          <w:szCs w:val="24"/>
        </w:rPr>
        <w:t>que la asesora le otorgó una información limitada, sin un asesoramiento adecuado y sin realizar proyección alguna, inclus</w:t>
      </w:r>
      <w:r w:rsidR="00F05EFB" w:rsidRPr="008C7C79">
        <w:rPr>
          <w:rStyle w:val="normaltextrun"/>
          <w:rFonts w:cs="Tahoma"/>
          <w:szCs w:val="24"/>
        </w:rPr>
        <w:t>ive</w:t>
      </w:r>
      <w:r w:rsidR="00D11BAA" w:rsidRPr="008C7C79">
        <w:rPr>
          <w:rStyle w:val="normaltextrun"/>
          <w:rFonts w:cs="Tahoma"/>
          <w:szCs w:val="24"/>
        </w:rPr>
        <w:t>, que en ningún momento le manifestó que al trasladarse perdería el derecho a pensionarse bajo el Régimen de Transición al cumplimiento de los 62 años.</w:t>
      </w:r>
    </w:p>
    <w:p w14:paraId="3584972E" w14:textId="77777777" w:rsidR="00790DA9" w:rsidRPr="008C7C79" w:rsidRDefault="00790DA9" w:rsidP="008C7C79">
      <w:pPr>
        <w:spacing w:line="276" w:lineRule="auto"/>
        <w:ind w:firstLine="708"/>
        <w:rPr>
          <w:rStyle w:val="normaltextrun"/>
          <w:rFonts w:cs="Tahoma"/>
          <w:szCs w:val="24"/>
        </w:rPr>
      </w:pPr>
    </w:p>
    <w:p w14:paraId="54096DBF" w14:textId="76687E67" w:rsidR="005A5ADA" w:rsidRPr="008C7C79" w:rsidRDefault="005A5ADA" w:rsidP="008C7C79">
      <w:pPr>
        <w:spacing w:line="276" w:lineRule="auto"/>
        <w:ind w:firstLine="708"/>
        <w:rPr>
          <w:rStyle w:val="normaltextrun"/>
          <w:rFonts w:cs="Tahoma"/>
          <w:szCs w:val="24"/>
        </w:rPr>
      </w:pPr>
      <w:r w:rsidRPr="008C7C79">
        <w:rPr>
          <w:rStyle w:val="normaltextrun"/>
          <w:rFonts w:cs="Tahoma"/>
          <w:szCs w:val="24"/>
        </w:rPr>
        <w:t>Además, refiere que</w:t>
      </w:r>
      <w:r w:rsidR="00036D82" w:rsidRPr="008C7C79">
        <w:rPr>
          <w:rStyle w:val="normaltextrun"/>
          <w:rFonts w:cs="Tahoma"/>
          <w:szCs w:val="24"/>
        </w:rPr>
        <w:t>,</w:t>
      </w:r>
      <w:r w:rsidRPr="008C7C79">
        <w:rPr>
          <w:rStyle w:val="normaltextrun"/>
          <w:rFonts w:cs="Tahoma"/>
          <w:szCs w:val="24"/>
        </w:rPr>
        <w:t xml:space="preserve"> e</w:t>
      </w:r>
      <w:r w:rsidR="00D11BAA" w:rsidRPr="008C7C79">
        <w:rPr>
          <w:rStyle w:val="normaltextrun"/>
          <w:rFonts w:cs="Tahoma"/>
          <w:szCs w:val="24"/>
        </w:rPr>
        <w:t>n documento proferido por la AFP Porvenir</w:t>
      </w:r>
      <w:r w:rsidR="004F626D" w:rsidRPr="008C7C79">
        <w:rPr>
          <w:rStyle w:val="normaltextrun"/>
          <w:rFonts w:cs="Tahoma"/>
          <w:szCs w:val="24"/>
        </w:rPr>
        <w:t>,</w:t>
      </w:r>
      <w:r w:rsidR="00D11BAA" w:rsidRPr="008C7C79">
        <w:rPr>
          <w:rStyle w:val="normaltextrun"/>
          <w:rFonts w:cs="Tahoma"/>
          <w:szCs w:val="24"/>
        </w:rPr>
        <w:t xml:space="preserve"> con Referencia de Radicado No. 0105672020899600</w:t>
      </w:r>
      <w:r w:rsidR="004F626D" w:rsidRPr="008C7C79">
        <w:rPr>
          <w:rStyle w:val="normaltextrun"/>
          <w:rFonts w:cs="Tahoma"/>
          <w:szCs w:val="24"/>
        </w:rPr>
        <w:t>,</w:t>
      </w:r>
      <w:r w:rsidR="00D11BAA" w:rsidRPr="008C7C79">
        <w:rPr>
          <w:rStyle w:val="normaltextrun"/>
          <w:rFonts w:cs="Tahoma"/>
          <w:szCs w:val="24"/>
        </w:rPr>
        <w:t xml:space="preserve"> se le indicó</w:t>
      </w:r>
      <w:r w:rsidR="004F626D" w:rsidRPr="008C7C79">
        <w:rPr>
          <w:rStyle w:val="normaltextrun"/>
          <w:rFonts w:cs="Tahoma"/>
          <w:szCs w:val="24"/>
        </w:rPr>
        <w:t>:</w:t>
      </w:r>
      <w:r w:rsidR="00D11BAA" w:rsidRPr="008C7C79">
        <w:rPr>
          <w:rStyle w:val="normaltextrun"/>
          <w:rFonts w:cs="Tahoma"/>
          <w:i/>
          <w:iCs/>
          <w:szCs w:val="24"/>
        </w:rPr>
        <w:t xml:space="preserve"> “Es necesario aclarar</w:t>
      </w:r>
      <w:r w:rsidR="007748EF" w:rsidRPr="008C7C79">
        <w:rPr>
          <w:rStyle w:val="normaltextrun"/>
          <w:rFonts w:cs="Tahoma"/>
          <w:i/>
          <w:iCs/>
          <w:szCs w:val="24"/>
        </w:rPr>
        <w:t xml:space="preserve"> </w:t>
      </w:r>
      <w:proofErr w:type="gramStart"/>
      <w:r w:rsidR="007748EF" w:rsidRPr="008C7C79">
        <w:rPr>
          <w:rStyle w:val="normaltextrun"/>
          <w:rFonts w:cs="Tahoma"/>
          <w:i/>
          <w:iCs/>
          <w:szCs w:val="24"/>
        </w:rPr>
        <w:lastRenderedPageBreak/>
        <w:t>que</w:t>
      </w:r>
      <w:proofErr w:type="gramEnd"/>
      <w:r w:rsidR="007748EF" w:rsidRPr="008C7C79">
        <w:rPr>
          <w:rStyle w:val="normaltextrun"/>
          <w:rFonts w:cs="Tahoma"/>
          <w:i/>
          <w:iCs/>
          <w:szCs w:val="24"/>
        </w:rPr>
        <w:t xml:space="preserve"> al momento de la asesoría para un traslado, la información que brinda el Asesor Comercial es de manera verbal, por ello no se anexan soportes respectivos</w:t>
      </w:r>
      <w:r w:rsidR="007748EF" w:rsidRPr="008C7C79">
        <w:rPr>
          <w:rStyle w:val="normaltextrun"/>
          <w:rFonts w:cs="Tahoma"/>
          <w:szCs w:val="24"/>
        </w:rPr>
        <w:t>”</w:t>
      </w:r>
      <w:r w:rsidRPr="008C7C79">
        <w:rPr>
          <w:rStyle w:val="normaltextrun"/>
          <w:rFonts w:cs="Tahoma"/>
          <w:szCs w:val="24"/>
        </w:rPr>
        <w:t>.</w:t>
      </w:r>
    </w:p>
    <w:p w14:paraId="710088ED" w14:textId="77777777" w:rsidR="00790DA9" w:rsidRPr="008C7C79" w:rsidRDefault="00790DA9" w:rsidP="008C7C79">
      <w:pPr>
        <w:spacing w:line="276" w:lineRule="auto"/>
        <w:rPr>
          <w:rFonts w:cs="Tahoma"/>
          <w:szCs w:val="24"/>
        </w:rPr>
      </w:pPr>
    </w:p>
    <w:p w14:paraId="254EAFBE" w14:textId="2366F94B" w:rsidR="00CA0437" w:rsidRPr="008C7C79" w:rsidRDefault="00790DA9" w:rsidP="008C7C79">
      <w:pPr>
        <w:spacing w:line="276" w:lineRule="auto"/>
        <w:ind w:firstLine="708"/>
        <w:rPr>
          <w:rStyle w:val="normaltextrun"/>
          <w:rFonts w:cs="Tahoma"/>
          <w:szCs w:val="24"/>
        </w:rPr>
      </w:pPr>
      <w:r w:rsidRPr="008C7C79">
        <w:rPr>
          <w:rStyle w:val="normaltextrun"/>
          <w:rFonts w:cs="Tahoma"/>
          <w:b/>
          <w:bCs/>
          <w:szCs w:val="24"/>
        </w:rPr>
        <w:t>Colpensiones</w:t>
      </w:r>
      <w:r w:rsidRPr="008C7C79">
        <w:rPr>
          <w:rStyle w:val="normaltextrun"/>
          <w:rFonts w:cs="Tahoma"/>
          <w:szCs w:val="24"/>
        </w:rPr>
        <w:t xml:space="preserve"> </w:t>
      </w:r>
      <w:r w:rsidR="00FF6DD0" w:rsidRPr="008C7C79">
        <w:rPr>
          <w:rStyle w:val="normaltextrun"/>
          <w:rFonts w:cs="Tahoma"/>
          <w:szCs w:val="24"/>
        </w:rPr>
        <w:t>se opuso</w:t>
      </w:r>
      <w:r w:rsidRPr="008C7C79">
        <w:rPr>
          <w:rStyle w:val="normaltextrun"/>
          <w:rFonts w:cs="Tahoma"/>
          <w:szCs w:val="24"/>
        </w:rPr>
        <w:t xml:space="preserve"> a las pretensiones </w:t>
      </w:r>
      <w:r w:rsidR="002D70C7" w:rsidRPr="008C7C79">
        <w:rPr>
          <w:rStyle w:val="normaltextrun"/>
          <w:rFonts w:cs="Tahoma"/>
          <w:szCs w:val="24"/>
        </w:rPr>
        <w:t>señalando</w:t>
      </w:r>
      <w:r w:rsidRPr="008C7C79">
        <w:rPr>
          <w:rStyle w:val="normaltextrun"/>
          <w:rFonts w:cs="Tahoma"/>
          <w:szCs w:val="24"/>
        </w:rPr>
        <w:t xml:space="preserve"> </w:t>
      </w:r>
      <w:r w:rsidR="00263815" w:rsidRPr="008C7C79">
        <w:rPr>
          <w:rStyle w:val="normaltextrun"/>
          <w:rFonts w:cs="Tahoma"/>
          <w:szCs w:val="24"/>
        </w:rPr>
        <w:t xml:space="preserve">no se </w:t>
      </w:r>
      <w:r w:rsidR="00DC460A" w:rsidRPr="008C7C79">
        <w:rPr>
          <w:rStyle w:val="normaltextrun"/>
          <w:rFonts w:cs="Tahoma"/>
          <w:szCs w:val="24"/>
        </w:rPr>
        <w:t xml:space="preserve">evidencia </w:t>
      </w:r>
      <w:r w:rsidR="00263815" w:rsidRPr="008C7C79">
        <w:rPr>
          <w:rStyle w:val="normaltextrun"/>
          <w:rFonts w:cs="Tahoma"/>
          <w:szCs w:val="24"/>
        </w:rPr>
        <w:t xml:space="preserve">engaño o acto que </w:t>
      </w:r>
      <w:r w:rsidR="00DC460A" w:rsidRPr="008C7C79">
        <w:rPr>
          <w:rStyle w:val="normaltextrun"/>
          <w:rFonts w:cs="Tahoma"/>
          <w:szCs w:val="24"/>
        </w:rPr>
        <w:t>ofrezca</w:t>
      </w:r>
      <w:r w:rsidR="00263815" w:rsidRPr="008C7C79">
        <w:rPr>
          <w:rStyle w:val="normaltextrun"/>
          <w:rFonts w:cs="Tahoma"/>
          <w:szCs w:val="24"/>
        </w:rPr>
        <w:t xml:space="preserve"> motivo para declarar la nulidad del traslado de régimen</w:t>
      </w:r>
      <w:r w:rsidR="00DC460A" w:rsidRPr="008C7C79">
        <w:rPr>
          <w:rStyle w:val="normaltextrun"/>
          <w:rFonts w:cs="Tahoma"/>
          <w:szCs w:val="24"/>
        </w:rPr>
        <w:t xml:space="preserve"> efectuado por el actor</w:t>
      </w:r>
      <w:r w:rsidR="00263815" w:rsidRPr="008C7C79">
        <w:rPr>
          <w:rStyle w:val="normaltextrun"/>
          <w:rFonts w:cs="Tahoma"/>
          <w:szCs w:val="24"/>
        </w:rPr>
        <w:t xml:space="preserve">. De igual forma, hace notar que las nulidades que hubiesen podido surgirse encuentran saneadas </w:t>
      </w:r>
      <w:r w:rsidR="00F05EFB" w:rsidRPr="008C7C79">
        <w:rPr>
          <w:rStyle w:val="normaltextrun"/>
          <w:rFonts w:cs="Tahoma"/>
          <w:szCs w:val="24"/>
        </w:rPr>
        <w:t>por</w:t>
      </w:r>
      <w:r w:rsidR="00263815" w:rsidRPr="008C7C79">
        <w:rPr>
          <w:rStyle w:val="normaltextrun"/>
          <w:rFonts w:cs="Tahoma"/>
          <w:szCs w:val="24"/>
        </w:rPr>
        <w:t xml:space="preserve"> el paso del tiempo </w:t>
      </w:r>
      <w:r w:rsidR="00F05EFB" w:rsidRPr="008C7C79">
        <w:rPr>
          <w:rStyle w:val="normaltextrun"/>
          <w:rFonts w:cs="Tahoma"/>
          <w:szCs w:val="24"/>
        </w:rPr>
        <w:t xml:space="preserve">con </w:t>
      </w:r>
      <w:r w:rsidR="00263815" w:rsidRPr="008C7C79">
        <w:rPr>
          <w:rStyle w:val="normaltextrun"/>
          <w:rFonts w:cs="Tahoma"/>
          <w:szCs w:val="24"/>
        </w:rPr>
        <w:t>la prescripción. Además, no se acredita</w:t>
      </w:r>
      <w:r w:rsidR="00C555E3" w:rsidRPr="008C7C79">
        <w:rPr>
          <w:rStyle w:val="normaltextrun"/>
          <w:rFonts w:cs="Tahoma"/>
          <w:szCs w:val="24"/>
        </w:rPr>
        <w:t>n</w:t>
      </w:r>
      <w:r w:rsidR="00263815" w:rsidRPr="008C7C79">
        <w:rPr>
          <w:rStyle w:val="normaltextrun"/>
          <w:rFonts w:cs="Tahoma"/>
          <w:szCs w:val="24"/>
        </w:rPr>
        <w:t xml:space="preserve"> los requisitos legales para </w:t>
      </w:r>
      <w:r w:rsidR="00C555E3" w:rsidRPr="008C7C79">
        <w:rPr>
          <w:rStyle w:val="normaltextrun"/>
          <w:rFonts w:cs="Tahoma"/>
          <w:szCs w:val="24"/>
        </w:rPr>
        <w:t xml:space="preserve">aceptar </w:t>
      </w:r>
      <w:r w:rsidR="00263815" w:rsidRPr="008C7C79">
        <w:rPr>
          <w:rStyle w:val="normaltextrun"/>
          <w:rFonts w:cs="Tahoma"/>
          <w:szCs w:val="24"/>
        </w:rPr>
        <w:t xml:space="preserve">el traslado con destino al RPM, </w:t>
      </w:r>
      <w:r w:rsidR="00DC460A" w:rsidRPr="008C7C79">
        <w:rPr>
          <w:rStyle w:val="normaltextrun"/>
          <w:rFonts w:cs="Tahoma"/>
          <w:szCs w:val="24"/>
        </w:rPr>
        <w:t>pues</w:t>
      </w:r>
      <w:r w:rsidR="00F05EFB" w:rsidRPr="008C7C79">
        <w:rPr>
          <w:rStyle w:val="normaltextrun"/>
          <w:rFonts w:cs="Tahoma"/>
          <w:szCs w:val="24"/>
        </w:rPr>
        <w:t xml:space="preserve">, </w:t>
      </w:r>
      <w:r w:rsidR="00DC460A" w:rsidRPr="008C7C79">
        <w:rPr>
          <w:rStyle w:val="normaltextrun"/>
          <w:rFonts w:cs="Tahoma"/>
          <w:szCs w:val="24"/>
        </w:rPr>
        <w:t>el demandante acredita</w:t>
      </w:r>
      <w:r w:rsidR="00CA0437" w:rsidRPr="008C7C79">
        <w:rPr>
          <w:rStyle w:val="normaltextrun"/>
          <w:rFonts w:cs="Tahoma"/>
          <w:szCs w:val="24"/>
        </w:rPr>
        <w:t xml:space="preserve"> 750 semanas a la fecha de entrada en vigencia del Sistema de Seguridad Social Integral.</w:t>
      </w:r>
    </w:p>
    <w:p w14:paraId="4924F2F1" w14:textId="77777777" w:rsidR="00FF6DD0" w:rsidRPr="008C7C79" w:rsidRDefault="00FF6DD0" w:rsidP="008C7C79">
      <w:pPr>
        <w:spacing w:line="276" w:lineRule="auto"/>
        <w:ind w:firstLine="708"/>
        <w:rPr>
          <w:rStyle w:val="normaltextrun"/>
          <w:rFonts w:cs="Tahoma"/>
          <w:szCs w:val="24"/>
        </w:rPr>
      </w:pPr>
    </w:p>
    <w:p w14:paraId="3C91E675" w14:textId="54EE1C26" w:rsidR="00790DA9" w:rsidRPr="008C7C79" w:rsidRDefault="00DC460A" w:rsidP="008C7C79">
      <w:pPr>
        <w:spacing w:line="276" w:lineRule="auto"/>
        <w:ind w:firstLine="708"/>
        <w:rPr>
          <w:rStyle w:val="normaltextrun"/>
          <w:rFonts w:cs="Tahoma"/>
          <w:i/>
          <w:iCs/>
          <w:szCs w:val="24"/>
        </w:rPr>
      </w:pPr>
      <w:r w:rsidRPr="008C7C79">
        <w:rPr>
          <w:rStyle w:val="normaltextrun"/>
          <w:rFonts w:cs="Tahoma"/>
          <w:szCs w:val="24"/>
        </w:rPr>
        <w:t>Señala que</w:t>
      </w:r>
      <w:r w:rsidR="00C463AE" w:rsidRPr="008C7C79">
        <w:rPr>
          <w:rStyle w:val="normaltextrun"/>
          <w:rFonts w:cs="Tahoma"/>
          <w:szCs w:val="24"/>
        </w:rPr>
        <w:t>,</w:t>
      </w:r>
      <w:r w:rsidRPr="008C7C79">
        <w:rPr>
          <w:rStyle w:val="normaltextrun"/>
          <w:rFonts w:cs="Tahoma"/>
          <w:szCs w:val="24"/>
        </w:rPr>
        <w:t xml:space="preserve"> </w:t>
      </w:r>
      <w:r w:rsidR="00CA0437" w:rsidRPr="008C7C79">
        <w:rPr>
          <w:rStyle w:val="normaltextrun"/>
          <w:rFonts w:cs="Tahoma"/>
          <w:szCs w:val="24"/>
        </w:rPr>
        <w:t xml:space="preserve">al no existir ineficacia o nulidad del traslado, no es posible condenar a Colpensiones </w:t>
      </w:r>
      <w:r w:rsidR="00C555E3" w:rsidRPr="008C7C79">
        <w:rPr>
          <w:rStyle w:val="normaltextrun"/>
          <w:rFonts w:cs="Tahoma"/>
          <w:szCs w:val="24"/>
        </w:rPr>
        <w:t xml:space="preserve">a </w:t>
      </w:r>
      <w:r w:rsidR="00CA0437" w:rsidRPr="008C7C79">
        <w:rPr>
          <w:rStyle w:val="normaltextrun"/>
          <w:rFonts w:cs="Tahoma"/>
          <w:szCs w:val="24"/>
        </w:rPr>
        <w:t xml:space="preserve">que emita un acto administrativo teniendo como vigente la afiliación del </w:t>
      </w:r>
      <w:r w:rsidR="00C555E3" w:rsidRPr="008C7C79">
        <w:rPr>
          <w:rStyle w:val="normaltextrun"/>
          <w:rFonts w:cs="Tahoma"/>
          <w:szCs w:val="24"/>
        </w:rPr>
        <w:t xml:space="preserve">actor </w:t>
      </w:r>
      <w:r w:rsidR="00CA0437" w:rsidRPr="008C7C79">
        <w:rPr>
          <w:rStyle w:val="normaltextrun"/>
          <w:rFonts w:cs="Tahoma"/>
          <w:szCs w:val="24"/>
        </w:rPr>
        <w:t xml:space="preserve">al </w:t>
      </w:r>
      <w:r w:rsidR="00F05EFB" w:rsidRPr="008C7C79">
        <w:rPr>
          <w:rStyle w:val="normaltextrun"/>
          <w:rFonts w:cs="Tahoma"/>
          <w:szCs w:val="24"/>
        </w:rPr>
        <w:t xml:space="preserve">Régimen </w:t>
      </w:r>
      <w:r w:rsidR="00C555E3" w:rsidRPr="008C7C79">
        <w:rPr>
          <w:rStyle w:val="normaltextrun"/>
          <w:rFonts w:cs="Tahoma"/>
          <w:szCs w:val="24"/>
        </w:rPr>
        <w:t>d</w:t>
      </w:r>
      <w:r w:rsidR="00F05EFB" w:rsidRPr="008C7C79">
        <w:rPr>
          <w:rStyle w:val="normaltextrun"/>
          <w:rFonts w:cs="Tahoma"/>
          <w:szCs w:val="24"/>
        </w:rPr>
        <w:t xml:space="preserve">e </w:t>
      </w:r>
      <w:r w:rsidR="00CA0437" w:rsidRPr="008C7C79">
        <w:rPr>
          <w:rStyle w:val="normaltextrun"/>
          <w:rFonts w:cs="Tahoma"/>
          <w:szCs w:val="24"/>
        </w:rPr>
        <w:t xml:space="preserve">Prima Media. </w:t>
      </w:r>
      <w:r w:rsidRPr="008C7C79">
        <w:rPr>
          <w:rStyle w:val="normaltextrun"/>
          <w:rFonts w:cs="Tahoma"/>
          <w:szCs w:val="24"/>
        </w:rPr>
        <w:t>En ese orden de ideas, propuso como excepciones de mérito las de</w:t>
      </w:r>
      <w:r w:rsidR="00790DA9" w:rsidRPr="008C7C79">
        <w:rPr>
          <w:rStyle w:val="normaltextrun"/>
          <w:rFonts w:cs="Tahoma"/>
          <w:szCs w:val="24"/>
        </w:rPr>
        <w:t xml:space="preserve"> </w:t>
      </w:r>
      <w:r w:rsidRPr="008C7C79">
        <w:rPr>
          <w:rStyle w:val="normaltextrun"/>
          <w:rFonts w:cs="Tahoma"/>
          <w:i/>
          <w:iCs/>
          <w:szCs w:val="24"/>
        </w:rPr>
        <w:t>“I</w:t>
      </w:r>
      <w:r w:rsidR="00CA0437" w:rsidRPr="008C7C79">
        <w:rPr>
          <w:rStyle w:val="normaltextrun"/>
          <w:rFonts w:cs="Tahoma"/>
          <w:i/>
          <w:iCs/>
          <w:szCs w:val="24"/>
        </w:rPr>
        <w:t>nexistencia de la obligación</w:t>
      </w:r>
      <w:r w:rsidR="00B87B7A" w:rsidRPr="008C7C79">
        <w:rPr>
          <w:rStyle w:val="normaltextrun"/>
          <w:rFonts w:cs="Tahoma"/>
          <w:i/>
          <w:iCs/>
          <w:szCs w:val="24"/>
        </w:rPr>
        <w:t>”</w:t>
      </w:r>
      <w:r w:rsidR="00CA0437" w:rsidRPr="008C7C79">
        <w:rPr>
          <w:rStyle w:val="normaltextrun"/>
          <w:rFonts w:cs="Tahoma"/>
          <w:i/>
          <w:iCs/>
          <w:szCs w:val="24"/>
        </w:rPr>
        <w:t xml:space="preserve">, </w:t>
      </w:r>
      <w:r w:rsidR="00B87B7A" w:rsidRPr="008C7C79">
        <w:rPr>
          <w:rStyle w:val="normaltextrun"/>
          <w:rFonts w:cs="Tahoma"/>
          <w:i/>
          <w:iCs/>
          <w:szCs w:val="24"/>
        </w:rPr>
        <w:t>“V</w:t>
      </w:r>
      <w:r w:rsidR="00CA0437" w:rsidRPr="008C7C79">
        <w:rPr>
          <w:rStyle w:val="normaltextrun"/>
          <w:rFonts w:cs="Tahoma"/>
          <w:i/>
          <w:iCs/>
          <w:szCs w:val="24"/>
        </w:rPr>
        <w:t xml:space="preserve">alidez de la afiliación </w:t>
      </w:r>
      <w:r w:rsidR="002E4546" w:rsidRPr="008C7C79">
        <w:rPr>
          <w:rStyle w:val="normaltextrun"/>
          <w:rFonts w:cs="Tahoma"/>
          <w:i/>
          <w:iCs/>
          <w:szCs w:val="24"/>
        </w:rPr>
        <w:t>al RAIS</w:t>
      </w:r>
      <w:r w:rsidR="00B87B7A" w:rsidRPr="008C7C79">
        <w:rPr>
          <w:rStyle w:val="normaltextrun"/>
          <w:rFonts w:cs="Tahoma"/>
          <w:i/>
          <w:iCs/>
          <w:szCs w:val="24"/>
        </w:rPr>
        <w:t>”</w:t>
      </w:r>
      <w:r w:rsidR="002E4546" w:rsidRPr="008C7C79">
        <w:rPr>
          <w:rStyle w:val="normaltextrun"/>
          <w:rFonts w:cs="Tahoma"/>
          <w:i/>
          <w:iCs/>
          <w:szCs w:val="24"/>
        </w:rPr>
        <w:t xml:space="preserve">, </w:t>
      </w:r>
      <w:r w:rsidR="00B87B7A" w:rsidRPr="008C7C79">
        <w:rPr>
          <w:rStyle w:val="normaltextrun"/>
          <w:rFonts w:cs="Tahoma"/>
          <w:i/>
          <w:iCs/>
          <w:szCs w:val="24"/>
        </w:rPr>
        <w:t>“S</w:t>
      </w:r>
      <w:r w:rsidR="002E4546" w:rsidRPr="008C7C79">
        <w:rPr>
          <w:rStyle w:val="normaltextrun"/>
          <w:rFonts w:cs="Tahoma"/>
          <w:i/>
          <w:iCs/>
          <w:szCs w:val="24"/>
        </w:rPr>
        <w:t>aneamiento de una presunta nulidad</w:t>
      </w:r>
      <w:r w:rsidR="00B87B7A" w:rsidRPr="008C7C79">
        <w:rPr>
          <w:rStyle w:val="normaltextrun"/>
          <w:rFonts w:cs="Tahoma"/>
          <w:i/>
          <w:iCs/>
          <w:szCs w:val="24"/>
        </w:rPr>
        <w:t>”</w:t>
      </w:r>
      <w:r w:rsidR="002E4546" w:rsidRPr="008C7C79">
        <w:rPr>
          <w:rStyle w:val="normaltextrun"/>
          <w:rFonts w:cs="Tahoma"/>
          <w:i/>
          <w:iCs/>
          <w:szCs w:val="24"/>
        </w:rPr>
        <w:t xml:space="preserve">, </w:t>
      </w:r>
      <w:r w:rsidR="00B87B7A" w:rsidRPr="008C7C79">
        <w:rPr>
          <w:rStyle w:val="normaltextrun"/>
          <w:rFonts w:cs="Tahoma"/>
          <w:i/>
          <w:iCs/>
          <w:szCs w:val="24"/>
        </w:rPr>
        <w:t>“P</w:t>
      </w:r>
      <w:r w:rsidR="002E4546" w:rsidRPr="008C7C79">
        <w:rPr>
          <w:rStyle w:val="normaltextrun"/>
          <w:rFonts w:cs="Tahoma"/>
          <w:i/>
          <w:iCs/>
          <w:szCs w:val="24"/>
        </w:rPr>
        <w:t>rescripción</w:t>
      </w:r>
      <w:r w:rsidR="00B87B7A" w:rsidRPr="008C7C79">
        <w:rPr>
          <w:rStyle w:val="normaltextrun"/>
          <w:rFonts w:cs="Tahoma"/>
          <w:i/>
          <w:iCs/>
          <w:szCs w:val="24"/>
        </w:rPr>
        <w:t>”</w:t>
      </w:r>
      <w:r w:rsidR="002E4546" w:rsidRPr="008C7C79">
        <w:rPr>
          <w:rStyle w:val="normaltextrun"/>
          <w:rFonts w:cs="Tahoma"/>
          <w:i/>
          <w:iCs/>
          <w:szCs w:val="24"/>
        </w:rPr>
        <w:t xml:space="preserve">, </w:t>
      </w:r>
      <w:r w:rsidR="00B87B7A" w:rsidRPr="008C7C79">
        <w:rPr>
          <w:rStyle w:val="normaltextrun"/>
          <w:rFonts w:cs="Tahoma"/>
          <w:i/>
          <w:iCs/>
          <w:szCs w:val="24"/>
        </w:rPr>
        <w:t>“I</w:t>
      </w:r>
      <w:r w:rsidR="002E4546" w:rsidRPr="008C7C79">
        <w:rPr>
          <w:rStyle w:val="normaltextrun"/>
          <w:rFonts w:cs="Tahoma"/>
          <w:i/>
          <w:iCs/>
          <w:szCs w:val="24"/>
        </w:rPr>
        <w:t>mposibilidad jurídica para reconocer y pagar derechos por fuera del ordenamiento legal</w:t>
      </w:r>
      <w:r w:rsidR="00B87B7A" w:rsidRPr="008C7C79">
        <w:rPr>
          <w:rStyle w:val="normaltextrun"/>
          <w:rFonts w:cs="Tahoma"/>
          <w:i/>
          <w:iCs/>
          <w:szCs w:val="24"/>
        </w:rPr>
        <w:t>”</w:t>
      </w:r>
      <w:r w:rsidR="002E4546" w:rsidRPr="008C7C79">
        <w:rPr>
          <w:rStyle w:val="normaltextrun"/>
          <w:rFonts w:cs="Tahoma"/>
          <w:i/>
          <w:iCs/>
          <w:szCs w:val="24"/>
        </w:rPr>
        <w:t xml:space="preserve">, </w:t>
      </w:r>
      <w:r w:rsidR="00B87B7A" w:rsidRPr="008C7C79">
        <w:rPr>
          <w:rStyle w:val="normaltextrun"/>
          <w:rFonts w:cs="Tahoma"/>
          <w:i/>
          <w:iCs/>
          <w:szCs w:val="24"/>
        </w:rPr>
        <w:t>“B</w:t>
      </w:r>
      <w:r w:rsidR="002E4546" w:rsidRPr="008C7C79">
        <w:rPr>
          <w:rStyle w:val="normaltextrun"/>
          <w:rFonts w:cs="Tahoma"/>
          <w:i/>
          <w:iCs/>
          <w:szCs w:val="24"/>
        </w:rPr>
        <w:t>uena fe</w:t>
      </w:r>
      <w:r w:rsidR="00B87B7A" w:rsidRPr="008C7C79">
        <w:rPr>
          <w:rStyle w:val="normaltextrun"/>
          <w:rFonts w:cs="Tahoma"/>
          <w:i/>
          <w:iCs/>
          <w:szCs w:val="24"/>
        </w:rPr>
        <w:t>” e</w:t>
      </w:r>
      <w:r w:rsidR="002E4546" w:rsidRPr="008C7C79">
        <w:rPr>
          <w:rStyle w:val="normaltextrun"/>
          <w:rFonts w:cs="Tahoma"/>
          <w:i/>
          <w:iCs/>
          <w:szCs w:val="24"/>
        </w:rPr>
        <w:t xml:space="preserve"> </w:t>
      </w:r>
      <w:r w:rsidR="00B87B7A" w:rsidRPr="008C7C79">
        <w:rPr>
          <w:rStyle w:val="normaltextrun"/>
          <w:rFonts w:cs="Tahoma"/>
          <w:i/>
          <w:iCs/>
          <w:szCs w:val="24"/>
        </w:rPr>
        <w:t>“I</w:t>
      </w:r>
      <w:r w:rsidR="002E4546" w:rsidRPr="008C7C79">
        <w:rPr>
          <w:rStyle w:val="normaltextrun"/>
          <w:rFonts w:cs="Tahoma"/>
          <w:i/>
          <w:iCs/>
          <w:szCs w:val="24"/>
        </w:rPr>
        <w:t>mposibilidad de condena en costas</w:t>
      </w:r>
      <w:r w:rsidR="00FF6DD0" w:rsidRPr="008C7C79">
        <w:rPr>
          <w:rStyle w:val="normaltextrun"/>
          <w:rFonts w:cs="Tahoma"/>
          <w:i/>
          <w:iCs/>
          <w:szCs w:val="24"/>
        </w:rPr>
        <w:t>”</w:t>
      </w:r>
      <w:r w:rsidR="00784D72" w:rsidRPr="008C7C79">
        <w:rPr>
          <w:rStyle w:val="normaltextrun"/>
          <w:rFonts w:cs="Tahoma"/>
          <w:i/>
          <w:iCs/>
          <w:szCs w:val="24"/>
        </w:rPr>
        <w:t>.</w:t>
      </w:r>
    </w:p>
    <w:p w14:paraId="4442E1CF" w14:textId="77777777" w:rsidR="00790DA9" w:rsidRPr="008C7C79" w:rsidRDefault="00790DA9" w:rsidP="008C7C79">
      <w:pPr>
        <w:spacing w:line="276" w:lineRule="auto"/>
        <w:rPr>
          <w:rFonts w:cs="Tahoma"/>
          <w:i/>
          <w:iCs/>
          <w:szCs w:val="24"/>
        </w:rPr>
      </w:pPr>
    </w:p>
    <w:p w14:paraId="26542892" w14:textId="77777777" w:rsidR="00E10AC5" w:rsidRPr="008C7C79" w:rsidRDefault="00790DA9" w:rsidP="008C7C79">
      <w:pPr>
        <w:spacing w:line="276" w:lineRule="auto"/>
        <w:ind w:firstLine="426"/>
        <w:rPr>
          <w:rFonts w:cs="Tahoma"/>
          <w:szCs w:val="24"/>
        </w:rPr>
      </w:pPr>
      <w:r w:rsidRPr="008C7C79">
        <w:rPr>
          <w:rFonts w:cs="Tahoma"/>
          <w:b/>
          <w:bCs/>
          <w:szCs w:val="24"/>
        </w:rPr>
        <w:t>Porvenir S.A.</w:t>
      </w:r>
      <w:r w:rsidRPr="008C7C79">
        <w:rPr>
          <w:rFonts w:cs="Tahoma"/>
          <w:szCs w:val="24"/>
        </w:rPr>
        <w:t xml:space="preserve"> </w:t>
      </w:r>
      <w:r w:rsidR="00B87B7A" w:rsidRPr="008C7C79">
        <w:rPr>
          <w:rFonts w:cs="Tahoma"/>
          <w:szCs w:val="24"/>
        </w:rPr>
        <w:t>solicitó que se negaran los pedidos del promotor de la litis</w:t>
      </w:r>
      <w:r w:rsidR="00F46EBB" w:rsidRPr="008C7C79">
        <w:rPr>
          <w:rFonts w:cs="Tahoma"/>
          <w:szCs w:val="24"/>
        </w:rPr>
        <w:t>,</w:t>
      </w:r>
      <w:r w:rsidR="002D70C7" w:rsidRPr="008C7C79">
        <w:rPr>
          <w:rFonts w:cs="Tahoma"/>
          <w:szCs w:val="24"/>
        </w:rPr>
        <w:t xml:space="preserve"> indicando que</w:t>
      </w:r>
      <w:r w:rsidR="00A67C26" w:rsidRPr="008C7C79">
        <w:rPr>
          <w:rFonts w:cs="Tahoma"/>
          <w:szCs w:val="24"/>
        </w:rPr>
        <w:t xml:space="preserve"> el </w:t>
      </w:r>
      <w:r w:rsidR="00F46EBB" w:rsidRPr="008C7C79">
        <w:rPr>
          <w:rFonts w:cs="Tahoma"/>
          <w:szCs w:val="24"/>
        </w:rPr>
        <w:t xml:space="preserve">acto que dio lugar </w:t>
      </w:r>
      <w:r w:rsidR="00F05EFB" w:rsidRPr="008C7C79">
        <w:rPr>
          <w:rFonts w:cs="Tahoma"/>
          <w:szCs w:val="24"/>
        </w:rPr>
        <w:t>a</w:t>
      </w:r>
      <w:r w:rsidR="00B87B7A" w:rsidRPr="008C7C79">
        <w:rPr>
          <w:rFonts w:cs="Tahoma"/>
          <w:szCs w:val="24"/>
        </w:rPr>
        <w:t xml:space="preserve"> su</w:t>
      </w:r>
      <w:r w:rsidR="00F05EFB" w:rsidRPr="008C7C79">
        <w:rPr>
          <w:rFonts w:cs="Tahoma"/>
          <w:szCs w:val="24"/>
        </w:rPr>
        <w:t xml:space="preserve"> </w:t>
      </w:r>
      <w:r w:rsidR="00F46EBB" w:rsidRPr="008C7C79">
        <w:rPr>
          <w:rFonts w:cs="Tahoma"/>
          <w:szCs w:val="24"/>
        </w:rPr>
        <w:t>trasladó de régimen</w:t>
      </w:r>
      <w:r w:rsidR="00F05EFB" w:rsidRPr="008C7C79">
        <w:rPr>
          <w:rFonts w:cs="Tahoma"/>
          <w:szCs w:val="24"/>
        </w:rPr>
        <w:t xml:space="preserve"> </w:t>
      </w:r>
      <w:r w:rsidR="00F46EBB" w:rsidRPr="008C7C79">
        <w:rPr>
          <w:rFonts w:cs="Tahoma"/>
          <w:szCs w:val="24"/>
        </w:rPr>
        <w:t xml:space="preserve">se realizó conforme lo establece la </w:t>
      </w:r>
      <w:r w:rsidR="00B87B7A" w:rsidRPr="008C7C79">
        <w:rPr>
          <w:rFonts w:cs="Tahoma"/>
          <w:szCs w:val="24"/>
        </w:rPr>
        <w:t>l</w:t>
      </w:r>
      <w:r w:rsidR="00F46EBB" w:rsidRPr="008C7C79">
        <w:rPr>
          <w:rFonts w:cs="Tahoma"/>
          <w:szCs w:val="24"/>
        </w:rPr>
        <w:t>ey</w:t>
      </w:r>
      <w:r w:rsidR="00B87B7A" w:rsidRPr="008C7C79">
        <w:rPr>
          <w:rFonts w:cs="Tahoma"/>
          <w:szCs w:val="24"/>
        </w:rPr>
        <w:t>, s</w:t>
      </w:r>
      <w:r w:rsidR="00F46EBB" w:rsidRPr="008C7C79">
        <w:rPr>
          <w:rFonts w:cs="Tahoma"/>
          <w:szCs w:val="24"/>
        </w:rPr>
        <w:t>iendo su afiliación un acto jurídico válido, el cual fue suscrito de manera libre, espontánea y s</w:t>
      </w:r>
      <w:r w:rsidR="00F05EFB" w:rsidRPr="008C7C79">
        <w:rPr>
          <w:rFonts w:cs="Tahoma"/>
          <w:szCs w:val="24"/>
        </w:rPr>
        <w:t>i</w:t>
      </w:r>
      <w:r w:rsidR="00F46EBB" w:rsidRPr="008C7C79">
        <w:rPr>
          <w:rFonts w:cs="Tahoma"/>
          <w:szCs w:val="24"/>
        </w:rPr>
        <w:t>n presiones</w:t>
      </w:r>
      <w:r w:rsidR="00F05EFB" w:rsidRPr="008C7C79">
        <w:rPr>
          <w:rFonts w:cs="Tahoma"/>
          <w:szCs w:val="24"/>
        </w:rPr>
        <w:t xml:space="preserve">, en </w:t>
      </w:r>
      <w:r w:rsidR="00E10AC5" w:rsidRPr="008C7C79">
        <w:rPr>
          <w:rFonts w:cs="Tahoma"/>
          <w:szCs w:val="24"/>
        </w:rPr>
        <w:t xml:space="preserve">virtud de la </w:t>
      </w:r>
      <w:r w:rsidR="00F46EBB" w:rsidRPr="008C7C79">
        <w:rPr>
          <w:rFonts w:cs="Tahoma"/>
          <w:szCs w:val="24"/>
        </w:rPr>
        <w:t xml:space="preserve">asesoría </w:t>
      </w:r>
      <w:r w:rsidR="00E10AC5" w:rsidRPr="008C7C79">
        <w:rPr>
          <w:rFonts w:cs="Tahoma"/>
          <w:szCs w:val="24"/>
        </w:rPr>
        <w:t xml:space="preserve">que recibió </w:t>
      </w:r>
      <w:r w:rsidR="00F46EBB" w:rsidRPr="008C7C79">
        <w:rPr>
          <w:rFonts w:cs="Tahoma"/>
          <w:szCs w:val="24"/>
        </w:rPr>
        <w:t>respecto a todas las implicaciones de su decisión, tal como lo h</w:t>
      </w:r>
      <w:r w:rsidR="00E10AC5" w:rsidRPr="008C7C79">
        <w:rPr>
          <w:rFonts w:cs="Tahoma"/>
          <w:szCs w:val="24"/>
        </w:rPr>
        <w:t>izo</w:t>
      </w:r>
      <w:r w:rsidR="00F46EBB" w:rsidRPr="008C7C79">
        <w:rPr>
          <w:rFonts w:cs="Tahoma"/>
          <w:szCs w:val="24"/>
        </w:rPr>
        <w:t xml:space="preserve"> constar al firmar el formulario de afiliación. </w:t>
      </w:r>
    </w:p>
    <w:p w14:paraId="2AAE20D7" w14:textId="77777777" w:rsidR="00E10AC5" w:rsidRPr="008C7C79" w:rsidRDefault="00E10AC5" w:rsidP="008C7C79">
      <w:pPr>
        <w:spacing w:line="276" w:lineRule="auto"/>
        <w:ind w:firstLine="426"/>
        <w:rPr>
          <w:rFonts w:cs="Tahoma"/>
          <w:szCs w:val="24"/>
        </w:rPr>
      </w:pPr>
    </w:p>
    <w:p w14:paraId="142791DE" w14:textId="56FF3531" w:rsidR="00E10AC5" w:rsidRPr="008C7C79" w:rsidRDefault="00E10AC5" w:rsidP="008C7C79">
      <w:pPr>
        <w:spacing w:line="276" w:lineRule="auto"/>
        <w:ind w:firstLine="426"/>
        <w:rPr>
          <w:rFonts w:cs="Tahoma"/>
          <w:szCs w:val="24"/>
        </w:rPr>
      </w:pPr>
      <w:r w:rsidRPr="008C7C79">
        <w:rPr>
          <w:rFonts w:cs="Tahoma"/>
          <w:szCs w:val="24"/>
        </w:rPr>
        <w:t xml:space="preserve">Afirmó </w:t>
      </w:r>
      <w:r w:rsidR="00291FAB" w:rsidRPr="008C7C79">
        <w:rPr>
          <w:rFonts w:cs="Tahoma"/>
          <w:szCs w:val="24"/>
        </w:rPr>
        <w:t xml:space="preserve">que los asesores comerciales de Horizonte </w:t>
      </w:r>
      <w:r w:rsidR="007F0966" w:rsidRPr="008C7C79">
        <w:rPr>
          <w:rFonts w:cs="Tahoma"/>
          <w:szCs w:val="24"/>
        </w:rPr>
        <w:t xml:space="preserve">(hoy Porvenir) </w:t>
      </w:r>
      <w:r w:rsidR="00291FAB" w:rsidRPr="008C7C79">
        <w:rPr>
          <w:rFonts w:cs="Tahoma"/>
          <w:szCs w:val="24"/>
        </w:rPr>
        <w:t xml:space="preserve">recibían capacitaciones a fin de que </w:t>
      </w:r>
      <w:r w:rsidRPr="008C7C79">
        <w:rPr>
          <w:rFonts w:cs="Tahoma"/>
          <w:szCs w:val="24"/>
        </w:rPr>
        <w:t>brindaran</w:t>
      </w:r>
      <w:r w:rsidR="00291FAB" w:rsidRPr="008C7C79">
        <w:rPr>
          <w:rFonts w:cs="Tahoma"/>
          <w:szCs w:val="24"/>
        </w:rPr>
        <w:t xml:space="preserve"> una adecuada orientación</w:t>
      </w:r>
      <w:r w:rsidRPr="008C7C79">
        <w:rPr>
          <w:rFonts w:cs="Tahoma"/>
          <w:szCs w:val="24"/>
        </w:rPr>
        <w:t xml:space="preserve"> y que,</w:t>
      </w:r>
      <w:r w:rsidR="00291FAB" w:rsidRPr="008C7C79">
        <w:rPr>
          <w:rFonts w:cs="Tahoma"/>
          <w:szCs w:val="24"/>
        </w:rPr>
        <w:t xml:space="preserve"> en el evento en que se llegar</w:t>
      </w:r>
      <w:r w:rsidR="00F05EFB" w:rsidRPr="008C7C79">
        <w:rPr>
          <w:rFonts w:cs="Tahoma"/>
          <w:szCs w:val="24"/>
        </w:rPr>
        <w:t>e</w:t>
      </w:r>
      <w:r w:rsidR="00291FAB" w:rsidRPr="008C7C79">
        <w:rPr>
          <w:rFonts w:cs="Tahoma"/>
          <w:szCs w:val="24"/>
        </w:rPr>
        <w:t xml:space="preserve"> a demostrar un vicio en el consentimiento</w:t>
      </w:r>
      <w:r w:rsidR="00F2212C" w:rsidRPr="008C7C79">
        <w:rPr>
          <w:rFonts w:cs="Tahoma"/>
          <w:szCs w:val="24"/>
        </w:rPr>
        <w:t>, la eventual nulidad relativa que hubiere podido configurarse se vio subsanada por el paso del tiempo</w:t>
      </w:r>
      <w:r w:rsidRPr="008C7C79">
        <w:rPr>
          <w:rFonts w:cs="Tahoma"/>
          <w:szCs w:val="24"/>
        </w:rPr>
        <w:t>.</w:t>
      </w:r>
    </w:p>
    <w:p w14:paraId="05EC0BB7" w14:textId="77777777" w:rsidR="00E10AC5" w:rsidRPr="008C7C79" w:rsidRDefault="00E10AC5" w:rsidP="008C7C79">
      <w:pPr>
        <w:spacing w:line="276" w:lineRule="auto"/>
        <w:ind w:firstLine="426"/>
        <w:rPr>
          <w:rFonts w:cs="Tahoma"/>
          <w:szCs w:val="24"/>
        </w:rPr>
      </w:pPr>
    </w:p>
    <w:p w14:paraId="6E50E456" w14:textId="68D9663E" w:rsidR="00784D72" w:rsidRPr="008C7C79" w:rsidRDefault="00E10AC5" w:rsidP="008C7C79">
      <w:pPr>
        <w:spacing w:line="276" w:lineRule="auto"/>
        <w:ind w:firstLine="426"/>
        <w:rPr>
          <w:rFonts w:cs="Tahoma"/>
          <w:szCs w:val="24"/>
        </w:rPr>
      </w:pPr>
      <w:r w:rsidRPr="008C7C79">
        <w:rPr>
          <w:rFonts w:cs="Tahoma"/>
          <w:szCs w:val="24"/>
        </w:rPr>
        <w:t xml:space="preserve">Alegó </w:t>
      </w:r>
      <w:r w:rsidR="00F2212C" w:rsidRPr="008C7C79">
        <w:rPr>
          <w:rFonts w:cs="Tahoma"/>
          <w:szCs w:val="24"/>
        </w:rPr>
        <w:t>que el demandante no puede afiliarse al RPM de conformidad con la prohibición legal del literal e) del artículo 2 de la Ley 797 de 2003</w:t>
      </w:r>
      <w:r w:rsidRPr="008C7C79">
        <w:rPr>
          <w:rFonts w:cs="Tahoma"/>
          <w:szCs w:val="24"/>
        </w:rPr>
        <w:t>,</w:t>
      </w:r>
      <w:r w:rsidR="00F2212C" w:rsidRPr="008C7C79">
        <w:rPr>
          <w:rFonts w:cs="Tahoma"/>
          <w:szCs w:val="24"/>
        </w:rPr>
        <w:t xml:space="preserve"> y porque no es beneficiario del régimen de transición.</w:t>
      </w:r>
      <w:r w:rsidR="0053421E" w:rsidRPr="008C7C79">
        <w:rPr>
          <w:rFonts w:cs="Tahoma"/>
          <w:szCs w:val="24"/>
        </w:rPr>
        <w:t xml:space="preserve"> </w:t>
      </w:r>
      <w:r w:rsidRPr="008C7C79">
        <w:rPr>
          <w:rFonts w:cs="Tahoma"/>
          <w:szCs w:val="24"/>
        </w:rPr>
        <w:t>En ese sentido, invocó como e</w:t>
      </w:r>
      <w:r w:rsidR="0053421E" w:rsidRPr="008C7C79">
        <w:rPr>
          <w:rStyle w:val="normaltextrun"/>
          <w:rFonts w:cs="Tahoma"/>
          <w:szCs w:val="24"/>
        </w:rPr>
        <w:t>xcepciones</w:t>
      </w:r>
      <w:r w:rsidRPr="008C7C79">
        <w:rPr>
          <w:rStyle w:val="normaltextrun"/>
          <w:rFonts w:cs="Tahoma"/>
          <w:szCs w:val="24"/>
        </w:rPr>
        <w:t xml:space="preserve"> perentorias las de</w:t>
      </w:r>
      <w:r w:rsidR="0053421E" w:rsidRPr="008C7C79">
        <w:rPr>
          <w:rStyle w:val="normaltextrun"/>
          <w:rFonts w:cs="Tahoma"/>
          <w:szCs w:val="24"/>
        </w:rPr>
        <w:t xml:space="preserve"> </w:t>
      </w:r>
      <w:r w:rsidRPr="008C7C79">
        <w:rPr>
          <w:rStyle w:val="normaltextrun"/>
          <w:rFonts w:cs="Tahoma"/>
          <w:i/>
          <w:iCs/>
          <w:szCs w:val="24"/>
        </w:rPr>
        <w:t>“V</w:t>
      </w:r>
      <w:r w:rsidR="00F2212C" w:rsidRPr="008C7C79">
        <w:rPr>
          <w:rStyle w:val="normaltextrun"/>
          <w:rFonts w:cs="Tahoma"/>
          <w:i/>
          <w:iCs/>
          <w:szCs w:val="24"/>
        </w:rPr>
        <w:t xml:space="preserve">alidez de la afiliación al RAIS e inexistencia de vicios en el consentimiento, </w:t>
      </w:r>
      <w:r w:rsidRPr="008C7C79">
        <w:rPr>
          <w:rStyle w:val="normaltextrun"/>
          <w:rFonts w:cs="Tahoma"/>
          <w:i/>
          <w:iCs/>
          <w:szCs w:val="24"/>
        </w:rPr>
        <w:t>“S</w:t>
      </w:r>
      <w:r w:rsidR="00F2212C" w:rsidRPr="008C7C79">
        <w:rPr>
          <w:rStyle w:val="normaltextrun"/>
          <w:rFonts w:cs="Tahoma"/>
          <w:i/>
          <w:iCs/>
          <w:szCs w:val="24"/>
        </w:rPr>
        <w:t>aneamiento de la supuesta nulidad relativa</w:t>
      </w:r>
      <w:r w:rsidRPr="008C7C79">
        <w:rPr>
          <w:rStyle w:val="normaltextrun"/>
          <w:rFonts w:cs="Tahoma"/>
          <w:i/>
          <w:iCs/>
          <w:szCs w:val="24"/>
        </w:rPr>
        <w:t>”</w:t>
      </w:r>
      <w:r w:rsidR="00F2212C" w:rsidRPr="008C7C79">
        <w:rPr>
          <w:rStyle w:val="normaltextrun"/>
          <w:rFonts w:cs="Tahoma"/>
          <w:i/>
          <w:iCs/>
          <w:szCs w:val="24"/>
        </w:rPr>
        <w:t xml:space="preserve">, </w:t>
      </w:r>
      <w:r w:rsidRPr="008C7C79">
        <w:rPr>
          <w:rStyle w:val="normaltextrun"/>
          <w:rFonts w:cs="Tahoma"/>
          <w:i/>
          <w:iCs/>
          <w:szCs w:val="24"/>
        </w:rPr>
        <w:t>“P</w:t>
      </w:r>
      <w:r w:rsidR="00F2212C" w:rsidRPr="008C7C79">
        <w:rPr>
          <w:rStyle w:val="normaltextrun"/>
          <w:rFonts w:cs="Tahoma"/>
          <w:i/>
          <w:iCs/>
          <w:szCs w:val="24"/>
        </w:rPr>
        <w:t>rescripción</w:t>
      </w:r>
      <w:r w:rsidRPr="008C7C79">
        <w:rPr>
          <w:rStyle w:val="normaltextrun"/>
          <w:rFonts w:cs="Tahoma"/>
          <w:i/>
          <w:iCs/>
          <w:szCs w:val="24"/>
        </w:rPr>
        <w:t>” y</w:t>
      </w:r>
      <w:r w:rsidR="00F2212C" w:rsidRPr="008C7C79">
        <w:rPr>
          <w:rStyle w:val="normaltextrun"/>
          <w:rFonts w:cs="Tahoma"/>
          <w:i/>
          <w:iCs/>
          <w:szCs w:val="24"/>
        </w:rPr>
        <w:t xml:space="preserve">, </w:t>
      </w:r>
      <w:r w:rsidRPr="008C7C79">
        <w:rPr>
          <w:rStyle w:val="normaltextrun"/>
          <w:rFonts w:cs="Tahoma"/>
          <w:i/>
          <w:iCs/>
          <w:szCs w:val="24"/>
        </w:rPr>
        <w:t>“B</w:t>
      </w:r>
      <w:r w:rsidR="00F2212C" w:rsidRPr="008C7C79">
        <w:rPr>
          <w:rStyle w:val="normaltextrun"/>
          <w:rFonts w:cs="Tahoma"/>
          <w:i/>
          <w:iCs/>
          <w:szCs w:val="24"/>
        </w:rPr>
        <w:t xml:space="preserve">uena </w:t>
      </w:r>
      <w:r w:rsidR="00AC3AFC" w:rsidRPr="008C7C79">
        <w:rPr>
          <w:rStyle w:val="normaltextrun"/>
          <w:rFonts w:cs="Tahoma"/>
          <w:i/>
          <w:iCs/>
          <w:szCs w:val="24"/>
        </w:rPr>
        <w:t>fe</w:t>
      </w:r>
      <w:r w:rsidRPr="008C7C79">
        <w:rPr>
          <w:rStyle w:val="normaltextrun"/>
          <w:rFonts w:cs="Tahoma"/>
          <w:i/>
          <w:iCs/>
          <w:szCs w:val="24"/>
        </w:rPr>
        <w:t>”</w:t>
      </w:r>
      <w:r w:rsidR="00F2212C" w:rsidRPr="008C7C79">
        <w:rPr>
          <w:rStyle w:val="normaltextrun"/>
          <w:rFonts w:cs="Tahoma"/>
          <w:i/>
          <w:iCs/>
          <w:szCs w:val="24"/>
        </w:rPr>
        <w:t>.</w:t>
      </w:r>
    </w:p>
    <w:p w14:paraId="521FFB2E" w14:textId="77777777" w:rsidR="00790DA9" w:rsidRPr="008C7C79" w:rsidRDefault="00790DA9" w:rsidP="008C7C79">
      <w:pPr>
        <w:spacing w:line="276" w:lineRule="auto"/>
        <w:rPr>
          <w:rFonts w:cs="Tahoma"/>
          <w:b/>
          <w:bCs/>
          <w:szCs w:val="24"/>
        </w:rPr>
      </w:pPr>
    </w:p>
    <w:p w14:paraId="2FF3E5FC" w14:textId="77777777" w:rsidR="00790DA9" w:rsidRPr="008C7C79" w:rsidRDefault="00790DA9" w:rsidP="008C7C79">
      <w:pPr>
        <w:pStyle w:val="Prrafodelista"/>
        <w:numPr>
          <w:ilvl w:val="0"/>
          <w:numId w:val="1"/>
        </w:numPr>
        <w:spacing w:line="276" w:lineRule="auto"/>
        <w:ind w:left="426" w:hanging="426"/>
        <w:jc w:val="center"/>
        <w:rPr>
          <w:rFonts w:cs="Tahoma"/>
          <w:b/>
          <w:bCs/>
          <w:szCs w:val="24"/>
        </w:rPr>
      </w:pPr>
      <w:r w:rsidRPr="008C7C79">
        <w:rPr>
          <w:rFonts w:cs="Tahoma"/>
          <w:b/>
          <w:bCs/>
          <w:szCs w:val="24"/>
        </w:rPr>
        <w:t>Sentencia de primera instancia</w:t>
      </w:r>
    </w:p>
    <w:p w14:paraId="3ACAB8F5" w14:textId="77777777" w:rsidR="00790DA9" w:rsidRPr="008C7C79" w:rsidRDefault="00790DA9" w:rsidP="008C7C79">
      <w:pPr>
        <w:spacing w:line="276" w:lineRule="auto"/>
        <w:ind w:left="360"/>
        <w:rPr>
          <w:rFonts w:cs="Tahoma"/>
          <w:b/>
          <w:bCs/>
          <w:szCs w:val="24"/>
        </w:rPr>
      </w:pPr>
    </w:p>
    <w:p w14:paraId="71E374D5" w14:textId="11A51AD5" w:rsidR="00A62303" w:rsidRPr="008C7C79" w:rsidRDefault="00790DA9" w:rsidP="008C7C79">
      <w:pPr>
        <w:spacing w:line="276" w:lineRule="auto"/>
        <w:ind w:firstLine="360"/>
        <w:rPr>
          <w:rFonts w:cs="Tahoma"/>
          <w:szCs w:val="24"/>
        </w:rPr>
      </w:pPr>
      <w:r w:rsidRPr="008C7C79">
        <w:rPr>
          <w:rFonts w:cs="Tahoma"/>
          <w:szCs w:val="24"/>
        </w:rPr>
        <w:t xml:space="preserve">La Jueza de primera instancia, </w:t>
      </w:r>
      <w:r w:rsidR="00A62303" w:rsidRPr="008C7C79">
        <w:rPr>
          <w:rFonts w:cs="Tahoma"/>
          <w:szCs w:val="24"/>
        </w:rPr>
        <w:t>dec</w:t>
      </w:r>
      <w:r w:rsidR="003C1E02" w:rsidRPr="008C7C79">
        <w:rPr>
          <w:rFonts w:cs="Tahoma"/>
          <w:szCs w:val="24"/>
        </w:rPr>
        <w:t>ret</w:t>
      </w:r>
      <w:r w:rsidR="00A62303" w:rsidRPr="008C7C79">
        <w:rPr>
          <w:rFonts w:cs="Tahoma"/>
          <w:szCs w:val="24"/>
        </w:rPr>
        <w:t xml:space="preserve">ó no probados los medios exceptivos propuestos por las codemandadas y </w:t>
      </w:r>
      <w:r w:rsidRPr="008C7C79">
        <w:rPr>
          <w:rFonts w:cs="Tahoma"/>
          <w:szCs w:val="24"/>
        </w:rPr>
        <w:t>declar</w:t>
      </w:r>
      <w:r w:rsidR="00E10AC5" w:rsidRPr="008C7C79">
        <w:rPr>
          <w:rFonts w:cs="Tahoma"/>
          <w:szCs w:val="24"/>
        </w:rPr>
        <w:t>ó</w:t>
      </w:r>
      <w:r w:rsidRPr="008C7C79">
        <w:rPr>
          <w:rFonts w:cs="Tahoma"/>
          <w:szCs w:val="24"/>
        </w:rPr>
        <w:t xml:space="preserve"> la ineficacia del traslado </w:t>
      </w:r>
      <w:r w:rsidR="0040245E" w:rsidRPr="008C7C79">
        <w:rPr>
          <w:rFonts w:cs="Tahoma"/>
          <w:szCs w:val="24"/>
        </w:rPr>
        <w:t>de régimen que Carlos Víctor Barragán López efectuó al régimen de ahorro individual con solidaridad</w:t>
      </w:r>
      <w:r w:rsidR="00F85D82" w:rsidRPr="008C7C79">
        <w:rPr>
          <w:rFonts w:cs="Tahoma"/>
          <w:szCs w:val="24"/>
        </w:rPr>
        <w:t xml:space="preserve"> (en adelante RAIS)</w:t>
      </w:r>
      <w:r w:rsidR="0040245E" w:rsidRPr="008C7C79">
        <w:rPr>
          <w:rFonts w:cs="Tahoma"/>
          <w:szCs w:val="24"/>
        </w:rPr>
        <w:t xml:space="preserve">, </w:t>
      </w:r>
      <w:r w:rsidR="00A62303" w:rsidRPr="008C7C79">
        <w:rPr>
          <w:rFonts w:cs="Tahoma"/>
          <w:szCs w:val="24"/>
        </w:rPr>
        <w:t>el</w:t>
      </w:r>
      <w:r w:rsidR="0040245E" w:rsidRPr="008C7C79">
        <w:rPr>
          <w:rFonts w:cs="Tahoma"/>
          <w:szCs w:val="24"/>
        </w:rPr>
        <w:t xml:space="preserve"> 7 de septiembre de 2000</w:t>
      </w:r>
      <w:r w:rsidR="00A62303" w:rsidRPr="008C7C79">
        <w:rPr>
          <w:rFonts w:cs="Tahoma"/>
          <w:szCs w:val="24"/>
        </w:rPr>
        <w:t xml:space="preserve">, </w:t>
      </w:r>
      <w:r w:rsidR="0040245E" w:rsidRPr="008C7C79">
        <w:rPr>
          <w:rFonts w:cs="Tahoma"/>
          <w:szCs w:val="24"/>
        </w:rPr>
        <w:t>a través de Horizonte Pensiones y Cesantías S.A, hoy Porvenir S.A</w:t>
      </w:r>
      <w:r w:rsidR="00A62303" w:rsidRPr="008C7C79">
        <w:rPr>
          <w:rFonts w:cs="Tahoma"/>
          <w:szCs w:val="24"/>
        </w:rPr>
        <w:t xml:space="preserve">. </w:t>
      </w:r>
    </w:p>
    <w:p w14:paraId="081DC9A3" w14:textId="77777777" w:rsidR="00A62303" w:rsidRPr="008C7C79" w:rsidRDefault="00A62303" w:rsidP="008C7C79">
      <w:pPr>
        <w:spacing w:line="276" w:lineRule="auto"/>
        <w:ind w:firstLine="360"/>
        <w:rPr>
          <w:rFonts w:cs="Tahoma"/>
          <w:szCs w:val="24"/>
        </w:rPr>
      </w:pPr>
    </w:p>
    <w:p w14:paraId="53EA4D05" w14:textId="7209169F" w:rsidR="00F50C4F" w:rsidRPr="008C7C79" w:rsidRDefault="00E352C7" w:rsidP="008C7C79">
      <w:pPr>
        <w:spacing w:line="276" w:lineRule="auto"/>
        <w:ind w:firstLine="360"/>
        <w:rPr>
          <w:rFonts w:cs="Tahoma"/>
          <w:szCs w:val="24"/>
        </w:rPr>
      </w:pPr>
      <w:r w:rsidRPr="008C7C79">
        <w:rPr>
          <w:rFonts w:cs="Tahoma"/>
          <w:szCs w:val="24"/>
        </w:rPr>
        <w:lastRenderedPageBreak/>
        <w:t xml:space="preserve">En consecuencia, </w:t>
      </w:r>
      <w:r w:rsidR="00790DA9" w:rsidRPr="008C7C79">
        <w:rPr>
          <w:rFonts w:cs="Tahoma"/>
          <w:szCs w:val="24"/>
        </w:rPr>
        <w:t>orden</w:t>
      </w:r>
      <w:r w:rsidRPr="008C7C79">
        <w:rPr>
          <w:rFonts w:cs="Tahoma"/>
          <w:szCs w:val="24"/>
        </w:rPr>
        <w:t>ó</w:t>
      </w:r>
      <w:r w:rsidR="00790DA9" w:rsidRPr="008C7C79">
        <w:rPr>
          <w:rFonts w:cs="Tahoma"/>
          <w:szCs w:val="24"/>
        </w:rPr>
        <w:t xml:space="preserve"> a </w:t>
      </w:r>
      <w:r w:rsidRPr="008C7C79">
        <w:rPr>
          <w:rFonts w:cs="Tahoma"/>
          <w:szCs w:val="24"/>
        </w:rPr>
        <w:t>Porvenir S.A</w:t>
      </w:r>
      <w:r w:rsidR="00A62303" w:rsidRPr="008C7C79">
        <w:rPr>
          <w:rFonts w:cs="Tahoma"/>
          <w:szCs w:val="24"/>
        </w:rPr>
        <w:t>.</w:t>
      </w:r>
      <w:r w:rsidR="00790DA9" w:rsidRPr="008C7C79">
        <w:rPr>
          <w:rFonts w:cs="Tahoma"/>
          <w:szCs w:val="24"/>
        </w:rPr>
        <w:t xml:space="preserve"> </w:t>
      </w:r>
      <w:r w:rsidR="0040245E" w:rsidRPr="008C7C79">
        <w:rPr>
          <w:rFonts w:cs="Tahoma"/>
          <w:szCs w:val="24"/>
        </w:rPr>
        <w:t>que</w:t>
      </w:r>
      <w:r w:rsidR="00FF148F" w:rsidRPr="008C7C79">
        <w:rPr>
          <w:rFonts w:cs="Tahoma"/>
          <w:szCs w:val="24"/>
        </w:rPr>
        <w:t xml:space="preserve"> </w:t>
      </w:r>
      <w:r w:rsidR="0040245E" w:rsidRPr="008C7C79">
        <w:rPr>
          <w:rFonts w:cs="Tahoma"/>
          <w:szCs w:val="24"/>
        </w:rPr>
        <w:t>proceda a devolver a la Administradora Colombiana de Pensiones – Colpensiones, la totalidad de las sumas recibidas por concepto de cotizaciones, incluyendo bonos y sumas adicionales junto con sus respectivos rendimientos, frutos e interes</w:t>
      </w:r>
      <w:r w:rsidR="00A62303" w:rsidRPr="008C7C79">
        <w:rPr>
          <w:rFonts w:cs="Tahoma"/>
          <w:szCs w:val="24"/>
        </w:rPr>
        <w:t>es; igualmente,</w:t>
      </w:r>
      <w:r w:rsidRPr="008C7C79">
        <w:rPr>
          <w:rFonts w:cs="Tahoma"/>
          <w:szCs w:val="24"/>
        </w:rPr>
        <w:t xml:space="preserve"> </w:t>
      </w:r>
      <w:r w:rsidR="00A62303" w:rsidRPr="008C7C79">
        <w:rPr>
          <w:rFonts w:cs="Tahoma"/>
          <w:szCs w:val="24"/>
        </w:rPr>
        <w:t xml:space="preserve">y </w:t>
      </w:r>
      <w:r w:rsidR="00FF148F" w:rsidRPr="008C7C79">
        <w:rPr>
          <w:rFonts w:cs="Tahoma"/>
          <w:szCs w:val="24"/>
        </w:rPr>
        <w:t xml:space="preserve">con cargo </w:t>
      </w:r>
      <w:r w:rsidR="00A62303" w:rsidRPr="008C7C79">
        <w:rPr>
          <w:rFonts w:cs="Tahoma"/>
          <w:szCs w:val="24"/>
        </w:rPr>
        <w:t>a</w:t>
      </w:r>
      <w:r w:rsidR="00FF148F" w:rsidRPr="008C7C79">
        <w:rPr>
          <w:rFonts w:cs="Tahoma"/>
          <w:szCs w:val="24"/>
        </w:rPr>
        <w:t xml:space="preserve"> sus propios recursos</w:t>
      </w:r>
      <w:r w:rsidR="00A62303" w:rsidRPr="008C7C79">
        <w:rPr>
          <w:rFonts w:cs="Tahoma"/>
          <w:szCs w:val="24"/>
        </w:rPr>
        <w:t>,</w:t>
      </w:r>
      <w:r w:rsidR="00FF148F" w:rsidRPr="008C7C79">
        <w:rPr>
          <w:rFonts w:cs="Tahoma"/>
          <w:szCs w:val="24"/>
        </w:rPr>
        <w:t xml:space="preserve"> el valor de las comisiones y cuotas de administración, as</w:t>
      </w:r>
      <w:r w:rsidR="00480777" w:rsidRPr="008C7C79">
        <w:rPr>
          <w:rFonts w:cs="Tahoma"/>
          <w:szCs w:val="24"/>
        </w:rPr>
        <w:t>í</w:t>
      </w:r>
      <w:r w:rsidR="00FF148F" w:rsidRPr="008C7C79">
        <w:rPr>
          <w:rFonts w:cs="Tahoma"/>
          <w:szCs w:val="24"/>
        </w:rPr>
        <w:t xml:space="preserve"> como las cuotas de garantía de pensión mínima y seguros provisionales </w:t>
      </w:r>
      <w:r w:rsidR="00A62303" w:rsidRPr="008C7C79">
        <w:rPr>
          <w:rFonts w:cs="Tahoma"/>
          <w:szCs w:val="24"/>
        </w:rPr>
        <w:t xml:space="preserve">que cobró </w:t>
      </w:r>
      <w:r w:rsidR="00FF148F" w:rsidRPr="008C7C79">
        <w:rPr>
          <w:rFonts w:cs="Tahoma"/>
          <w:szCs w:val="24"/>
        </w:rPr>
        <w:t>durante el periodo en que el actor estuvo afiliado</w:t>
      </w:r>
      <w:r w:rsidR="00480777" w:rsidRPr="008C7C79">
        <w:rPr>
          <w:rFonts w:cs="Tahoma"/>
          <w:szCs w:val="24"/>
        </w:rPr>
        <w:t xml:space="preserve"> a ese fondo y a la AFP Horizonte S.A, </w:t>
      </w:r>
      <w:r w:rsidR="00A62303" w:rsidRPr="008C7C79">
        <w:rPr>
          <w:rFonts w:cs="Tahoma"/>
          <w:szCs w:val="24"/>
        </w:rPr>
        <w:t>todos</w:t>
      </w:r>
      <w:r w:rsidR="00480777" w:rsidRPr="008C7C79">
        <w:rPr>
          <w:rFonts w:cs="Tahoma"/>
          <w:szCs w:val="24"/>
        </w:rPr>
        <w:t xml:space="preserve"> debidamente indexados.</w:t>
      </w:r>
    </w:p>
    <w:p w14:paraId="2094FAC8" w14:textId="0E65821B" w:rsidR="00480777" w:rsidRPr="008C7C79" w:rsidRDefault="00480777" w:rsidP="008C7C79">
      <w:pPr>
        <w:spacing w:line="276" w:lineRule="auto"/>
        <w:ind w:firstLine="360"/>
        <w:rPr>
          <w:rFonts w:cs="Tahoma"/>
          <w:szCs w:val="24"/>
        </w:rPr>
      </w:pPr>
    </w:p>
    <w:p w14:paraId="0E2662A1" w14:textId="0ECED59A" w:rsidR="00790DA9" w:rsidRPr="008C7C79" w:rsidRDefault="00480777" w:rsidP="008C7C79">
      <w:pPr>
        <w:spacing w:line="276" w:lineRule="auto"/>
        <w:ind w:firstLine="360"/>
        <w:rPr>
          <w:rFonts w:cs="Tahoma"/>
          <w:szCs w:val="24"/>
        </w:rPr>
      </w:pPr>
      <w:r w:rsidRPr="008C7C79">
        <w:rPr>
          <w:rFonts w:cs="Tahoma"/>
          <w:szCs w:val="24"/>
        </w:rPr>
        <w:t>En ese sentido, ordenó a Colpensiones que acepte el retorno de Carlos Víctor Barragán López sin solución de continuidad</w:t>
      </w:r>
      <w:r w:rsidR="003C1E02" w:rsidRPr="008C7C79">
        <w:rPr>
          <w:rFonts w:cs="Tahoma"/>
          <w:szCs w:val="24"/>
        </w:rPr>
        <w:t xml:space="preserve"> </w:t>
      </w:r>
      <w:proofErr w:type="gramStart"/>
      <w:r w:rsidR="003C1E02" w:rsidRPr="008C7C79">
        <w:rPr>
          <w:rFonts w:cs="Tahoma"/>
          <w:szCs w:val="24"/>
        </w:rPr>
        <w:t>y</w:t>
      </w:r>
      <w:proofErr w:type="gramEnd"/>
      <w:r w:rsidR="003C1E02" w:rsidRPr="008C7C79">
        <w:rPr>
          <w:rFonts w:cs="Tahoma"/>
          <w:szCs w:val="24"/>
        </w:rPr>
        <w:t xml:space="preserve"> p</w:t>
      </w:r>
      <w:r w:rsidR="00E352C7" w:rsidRPr="008C7C79">
        <w:rPr>
          <w:rFonts w:cs="Tahoma"/>
          <w:szCs w:val="24"/>
        </w:rPr>
        <w:t xml:space="preserve">or último, </w:t>
      </w:r>
      <w:r w:rsidR="00790DA9" w:rsidRPr="008C7C79">
        <w:rPr>
          <w:rFonts w:cs="Tahoma"/>
          <w:szCs w:val="24"/>
        </w:rPr>
        <w:t>conden</w:t>
      </w:r>
      <w:r w:rsidR="00E352C7" w:rsidRPr="008C7C79">
        <w:rPr>
          <w:rFonts w:cs="Tahoma"/>
          <w:szCs w:val="24"/>
        </w:rPr>
        <w:t>ó</w:t>
      </w:r>
      <w:r w:rsidR="00790DA9" w:rsidRPr="008C7C79">
        <w:rPr>
          <w:rFonts w:cs="Tahoma"/>
          <w:szCs w:val="24"/>
        </w:rPr>
        <w:t xml:space="preserve"> en costas </w:t>
      </w:r>
      <w:r w:rsidR="00A83353" w:rsidRPr="008C7C79">
        <w:rPr>
          <w:rFonts w:cs="Tahoma"/>
          <w:szCs w:val="24"/>
        </w:rPr>
        <w:t>a Porvenir</w:t>
      </w:r>
      <w:r w:rsidR="00E352C7" w:rsidRPr="008C7C79">
        <w:rPr>
          <w:rFonts w:cs="Tahoma"/>
          <w:szCs w:val="24"/>
        </w:rPr>
        <w:t xml:space="preserve"> S.A. </w:t>
      </w:r>
      <w:r w:rsidR="003C1E02" w:rsidRPr="008C7C79">
        <w:rPr>
          <w:rFonts w:cs="Tahoma"/>
          <w:szCs w:val="24"/>
        </w:rPr>
        <w:t>a</w:t>
      </w:r>
      <w:r w:rsidR="00E352C7" w:rsidRPr="008C7C79">
        <w:rPr>
          <w:rFonts w:cs="Tahoma"/>
          <w:szCs w:val="24"/>
        </w:rPr>
        <w:t xml:space="preserve"> favor del demandante en un 100%.</w:t>
      </w:r>
    </w:p>
    <w:p w14:paraId="71A262DF" w14:textId="77777777" w:rsidR="00790DA9" w:rsidRPr="008C7C79" w:rsidRDefault="00790DA9" w:rsidP="008C7C79">
      <w:pPr>
        <w:spacing w:line="276" w:lineRule="auto"/>
        <w:ind w:left="360"/>
        <w:rPr>
          <w:rFonts w:cs="Tahoma"/>
          <w:b/>
          <w:bCs/>
          <w:szCs w:val="24"/>
        </w:rPr>
      </w:pPr>
    </w:p>
    <w:p w14:paraId="3D44DAE4" w14:textId="19A6764D" w:rsidR="003A16E6" w:rsidRPr="008C7C79" w:rsidRDefault="00790DA9" w:rsidP="008C7C79">
      <w:pPr>
        <w:spacing w:line="276" w:lineRule="auto"/>
        <w:ind w:firstLine="360"/>
        <w:rPr>
          <w:rFonts w:cs="Tahoma"/>
          <w:szCs w:val="24"/>
          <w:highlight w:val="yellow"/>
        </w:rPr>
      </w:pPr>
      <w:r w:rsidRPr="008C7C79">
        <w:rPr>
          <w:rFonts w:cs="Tahoma"/>
          <w:szCs w:val="24"/>
        </w:rPr>
        <w:t xml:space="preserve">Para llegar a tal determinación, la A-quo hizo un recuento legal y jurisprudencial respecto del deber de información a cargo de </w:t>
      </w:r>
      <w:bookmarkStart w:id="2" w:name="_Hlk75437293"/>
      <w:r w:rsidRPr="008C7C79">
        <w:rPr>
          <w:rFonts w:cs="Tahoma"/>
          <w:szCs w:val="24"/>
        </w:rPr>
        <w:t>las AFP, la cual debía ser clara, cierta, comprensible y oportuna sobre las características, condiciones, beneficios, diferencias, riesgos y consecuencias del cambio de régimen</w:t>
      </w:r>
      <w:r w:rsidR="00F26ECD" w:rsidRPr="008C7C79">
        <w:rPr>
          <w:rFonts w:cs="Tahoma"/>
          <w:szCs w:val="24"/>
        </w:rPr>
        <w:t xml:space="preserve"> pensional</w:t>
      </w:r>
      <w:r w:rsidRPr="008C7C79">
        <w:rPr>
          <w:rFonts w:cs="Tahoma"/>
          <w:szCs w:val="24"/>
        </w:rPr>
        <w:t xml:space="preserve">.  </w:t>
      </w:r>
      <w:bookmarkEnd w:id="2"/>
      <w:r w:rsidR="00F26ECD" w:rsidRPr="008C7C79">
        <w:rPr>
          <w:rFonts w:cs="Tahoma"/>
          <w:szCs w:val="24"/>
        </w:rPr>
        <w:t>Resaltó</w:t>
      </w:r>
      <w:r w:rsidRPr="008C7C79">
        <w:rPr>
          <w:rFonts w:cs="Tahoma"/>
          <w:szCs w:val="24"/>
        </w:rPr>
        <w:t xml:space="preserve"> que</w:t>
      </w:r>
      <w:r w:rsidR="00F26ECD" w:rsidRPr="008C7C79">
        <w:rPr>
          <w:rFonts w:cs="Tahoma"/>
          <w:szCs w:val="24"/>
        </w:rPr>
        <w:t>,</w:t>
      </w:r>
      <w:r w:rsidRPr="008C7C79">
        <w:rPr>
          <w:rFonts w:cs="Tahoma"/>
          <w:szCs w:val="24"/>
        </w:rPr>
        <w:t xml:space="preserve"> </w:t>
      </w:r>
      <w:r w:rsidR="00F26ECD" w:rsidRPr="008C7C79">
        <w:rPr>
          <w:rFonts w:cs="Tahoma"/>
          <w:szCs w:val="24"/>
        </w:rPr>
        <w:t>en estos casos opera una inversión de la carga de la prueba a favor del afiliad</w:t>
      </w:r>
      <w:r w:rsidR="003A16E6" w:rsidRPr="008C7C79">
        <w:rPr>
          <w:rFonts w:cs="Tahoma"/>
          <w:szCs w:val="24"/>
        </w:rPr>
        <w:t>o. De igual forma, que la expresión libre y voluntaria necesariamente presupone conocimiento, lo cual s</w:t>
      </w:r>
      <w:r w:rsidR="003B4218" w:rsidRPr="008C7C79">
        <w:rPr>
          <w:rFonts w:cs="Tahoma"/>
          <w:szCs w:val="24"/>
        </w:rPr>
        <w:t>ó</w:t>
      </w:r>
      <w:r w:rsidR="003A16E6" w:rsidRPr="008C7C79">
        <w:rPr>
          <w:rFonts w:cs="Tahoma"/>
          <w:szCs w:val="24"/>
        </w:rPr>
        <w:t xml:space="preserve">lo es posible alcanzar cuando se saben a plenitud las consecuencias de una decisión de esta índole. </w:t>
      </w:r>
    </w:p>
    <w:p w14:paraId="17200724" w14:textId="77777777" w:rsidR="00790DA9" w:rsidRPr="008C7C79" w:rsidRDefault="00790DA9" w:rsidP="008C7C79">
      <w:pPr>
        <w:spacing w:line="276" w:lineRule="auto"/>
        <w:ind w:firstLine="360"/>
        <w:rPr>
          <w:rFonts w:cs="Tahoma"/>
          <w:szCs w:val="24"/>
          <w:highlight w:val="yellow"/>
        </w:rPr>
      </w:pPr>
    </w:p>
    <w:p w14:paraId="0C2107BA" w14:textId="0C770CFE" w:rsidR="000F3D75" w:rsidRPr="008C7C79" w:rsidRDefault="00633F28" w:rsidP="008C7C79">
      <w:pPr>
        <w:spacing w:line="276" w:lineRule="auto"/>
        <w:ind w:firstLine="360"/>
        <w:rPr>
          <w:rFonts w:cs="Tahoma"/>
          <w:szCs w:val="24"/>
        </w:rPr>
      </w:pPr>
      <w:r w:rsidRPr="008C7C79">
        <w:rPr>
          <w:rFonts w:cs="Tahoma"/>
          <w:szCs w:val="24"/>
        </w:rPr>
        <w:t>En cuanto al interrog</w:t>
      </w:r>
      <w:r w:rsidR="003B4218" w:rsidRPr="008C7C79">
        <w:rPr>
          <w:rFonts w:cs="Tahoma"/>
          <w:szCs w:val="24"/>
        </w:rPr>
        <w:t xml:space="preserve">atorio rendido por el actor, concluyó que él </w:t>
      </w:r>
      <w:r w:rsidR="00597A65" w:rsidRPr="008C7C79">
        <w:rPr>
          <w:rFonts w:cs="Tahoma"/>
          <w:szCs w:val="24"/>
        </w:rPr>
        <w:t xml:space="preserve">nunca </w:t>
      </w:r>
      <w:r w:rsidR="003B4218" w:rsidRPr="008C7C79">
        <w:rPr>
          <w:rFonts w:cs="Tahoma"/>
          <w:szCs w:val="24"/>
        </w:rPr>
        <w:t>reci</w:t>
      </w:r>
      <w:r w:rsidR="00597A65" w:rsidRPr="008C7C79">
        <w:rPr>
          <w:rFonts w:cs="Tahoma"/>
          <w:szCs w:val="24"/>
        </w:rPr>
        <w:t xml:space="preserve">bió por parte </w:t>
      </w:r>
      <w:r w:rsidR="003B4218" w:rsidRPr="008C7C79">
        <w:rPr>
          <w:rFonts w:cs="Tahoma"/>
          <w:szCs w:val="24"/>
        </w:rPr>
        <w:t xml:space="preserve">de </w:t>
      </w:r>
      <w:r w:rsidR="00597A65" w:rsidRPr="008C7C79">
        <w:rPr>
          <w:rFonts w:cs="Tahoma"/>
          <w:szCs w:val="24"/>
        </w:rPr>
        <w:t>Horizonte (hoy Porvenir S.A) la asesoría y el acompañamiento que como administradora pensional debió brindarle.</w:t>
      </w:r>
      <w:r w:rsidR="000F3D75" w:rsidRPr="008C7C79">
        <w:rPr>
          <w:rFonts w:cs="Tahoma"/>
          <w:szCs w:val="24"/>
        </w:rPr>
        <w:t xml:space="preserve"> </w:t>
      </w:r>
      <w:r w:rsidR="00850CF8" w:rsidRPr="008C7C79">
        <w:rPr>
          <w:rFonts w:cs="Tahoma"/>
          <w:szCs w:val="24"/>
        </w:rPr>
        <w:t>Igualmente</w:t>
      </w:r>
      <w:r w:rsidR="003A16E6" w:rsidRPr="008C7C79">
        <w:rPr>
          <w:rFonts w:cs="Tahoma"/>
          <w:szCs w:val="24"/>
        </w:rPr>
        <w:t>,</w:t>
      </w:r>
      <w:r w:rsidR="00850CF8" w:rsidRPr="008C7C79">
        <w:rPr>
          <w:rFonts w:cs="Tahoma"/>
          <w:szCs w:val="24"/>
        </w:rPr>
        <w:t xml:space="preserve"> indic</w:t>
      </w:r>
      <w:r w:rsidR="003B4218" w:rsidRPr="008C7C79">
        <w:rPr>
          <w:rFonts w:cs="Tahoma"/>
          <w:szCs w:val="24"/>
        </w:rPr>
        <w:t>ó</w:t>
      </w:r>
      <w:r w:rsidR="003A16E6" w:rsidRPr="008C7C79">
        <w:rPr>
          <w:rFonts w:cs="Tahoma"/>
          <w:szCs w:val="24"/>
        </w:rPr>
        <w:t xml:space="preserve"> que Porvenir S.A </w:t>
      </w:r>
      <w:r w:rsidR="00F03D18" w:rsidRPr="008C7C79">
        <w:rPr>
          <w:rFonts w:cs="Tahoma"/>
          <w:szCs w:val="24"/>
        </w:rPr>
        <w:t>suministró al demandante</w:t>
      </w:r>
      <w:r w:rsidR="003A16E6" w:rsidRPr="008C7C79">
        <w:rPr>
          <w:rFonts w:cs="Tahoma"/>
          <w:szCs w:val="24"/>
        </w:rPr>
        <w:t xml:space="preserve"> </w:t>
      </w:r>
      <w:r w:rsidR="00850CF8" w:rsidRPr="008C7C79">
        <w:rPr>
          <w:rFonts w:cs="Tahoma"/>
          <w:szCs w:val="24"/>
        </w:rPr>
        <w:t xml:space="preserve">una </w:t>
      </w:r>
      <w:r w:rsidR="003A16E6" w:rsidRPr="008C7C79">
        <w:rPr>
          <w:rFonts w:cs="Tahoma"/>
          <w:szCs w:val="24"/>
        </w:rPr>
        <w:t xml:space="preserve">información </w:t>
      </w:r>
      <w:r w:rsidR="00F03D18" w:rsidRPr="008C7C79">
        <w:rPr>
          <w:rFonts w:cs="Tahoma"/>
          <w:szCs w:val="24"/>
        </w:rPr>
        <w:t>que</w:t>
      </w:r>
      <w:r w:rsidR="003A16E6" w:rsidRPr="008C7C79">
        <w:rPr>
          <w:rFonts w:cs="Tahoma"/>
          <w:szCs w:val="24"/>
        </w:rPr>
        <w:t xml:space="preserve"> se tornó parcializada y escasa, limitada únicamente a los beneficios del RAIS que </w:t>
      </w:r>
      <w:r w:rsidR="00F03D18" w:rsidRPr="008C7C79">
        <w:rPr>
          <w:rFonts w:cs="Tahoma"/>
          <w:szCs w:val="24"/>
        </w:rPr>
        <w:t xml:space="preserve">le </w:t>
      </w:r>
      <w:r w:rsidR="003A16E6" w:rsidRPr="008C7C79">
        <w:rPr>
          <w:rFonts w:cs="Tahoma"/>
          <w:szCs w:val="24"/>
        </w:rPr>
        <w:t>fueron enunciado</w:t>
      </w:r>
      <w:r w:rsidR="00F03D18" w:rsidRPr="008C7C79">
        <w:rPr>
          <w:rFonts w:cs="Tahoma"/>
          <w:szCs w:val="24"/>
        </w:rPr>
        <w:t>s</w:t>
      </w:r>
      <w:r w:rsidR="003A16E6" w:rsidRPr="008C7C79">
        <w:rPr>
          <w:rFonts w:cs="Tahoma"/>
          <w:szCs w:val="24"/>
        </w:rPr>
        <w:t xml:space="preserve"> de manera genérica, sin denotar diferenciaciones objetivas respecto de las características de uno u otro régimen.</w:t>
      </w:r>
    </w:p>
    <w:p w14:paraId="5465DDC1" w14:textId="77777777" w:rsidR="00790DA9" w:rsidRPr="008C7C79" w:rsidRDefault="00790DA9" w:rsidP="008C7C79">
      <w:pPr>
        <w:spacing w:line="276" w:lineRule="auto"/>
        <w:rPr>
          <w:rFonts w:cs="Tahoma"/>
          <w:szCs w:val="24"/>
        </w:rPr>
      </w:pPr>
    </w:p>
    <w:p w14:paraId="62F918D7" w14:textId="62C87925" w:rsidR="00790DA9" w:rsidRPr="008C7C79" w:rsidRDefault="00790DA9" w:rsidP="008C7C79">
      <w:pPr>
        <w:pStyle w:val="Prrafodelista"/>
        <w:numPr>
          <w:ilvl w:val="0"/>
          <w:numId w:val="1"/>
        </w:numPr>
        <w:spacing w:line="276" w:lineRule="auto"/>
        <w:ind w:left="426" w:hanging="426"/>
        <w:jc w:val="center"/>
        <w:rPr>
          <w:rFonts w:cs="Tahoma"/>
          <w:b/>
          <w:bCs/>
          <w:szCs w:val="24"/>
        </w:rPr>
      </w:pPr>
      <w:r w:rsidRPr="008C7C79">
        <w:rPr>
          <w:rFonts w:cs="Tahoma"/>
          <w:b/>
          <w:bCs/>
          <w:szCs w:val="24"/>
        </w:rPr>
        <w:t>Recursos de apelación</w:t>
      </w:r>
      <w:r w:rsidR="00244E21" w:rsidRPr="008C7C79">
        <w:rPr>
          <w:rFonts w:cs="Tahoma"/>
          <w:b/>
          <w:bCs/>
          <w:szCs w:val="24"/>
        </w:rPr>
        <w:t xml:space="preserve"> y procedencia de la consulta</w:t>
      </w:r>
    </w:p>
    <w:p w14:paraId="093AE73F" w14:textId="679D399E" w:rsidR="00790DA9" w:rsidRPr="008C7C79" w:rsidRDefault="00790DA9" w:rsidP="008C7C79">
      <w:pPr>
        <w:spacing w:line="276" w:lineRule="auto"/>
        <w:ind w:left="360"/>
        <w:rPr>
          <w:rFonts w:cs="Tahoma"/>
          <w:b/>
          <w:bCs/>
          <w:szCs w:val="24"/>
        </w:rPr>
      </w:pPr>
    </w:p>
    <w:p w14:paraId="6EA97E3A" w14:textId="55F12E88" w:rsidR="001B01DA" w:rsidRPr="008C7C79" w:rsidRDefault="00C021EE" w:rsidP="008C7C79">
      <w:pPr>
        <w:spacing w:line="276" w:lineRule="auto"/>
        <w:ind w:firstLine="426"/>
        <w:rPr>
          <w:rFonts w:cs="Tahoma"/>
          <w:szCs w:val="24"/>
        </w:rPr>
      </w:pPr>
      <w:r w:rsidRPr="008C7C79">
        <w:rPr>
          <w:rFonts w:cs="Tahoma"/>
          <w:b/>
          <w:bCs/>
          <w:szCs w:val="24"/>
        </w:rPr>
        <w:t>P</w:t>
      </w:r>
      <w:r w:rsidR="00F57E18" w:rsidRPr="008C7C79">
        <w:rPr>
          <w:rFonts w:cs="Tahoma"/>
          <w:b/>
          <w:bCs/>
          <w:szCs w:val="24"/>
        </w:rPr>
        <w:t xml:space="preserve">orvenir </w:t>
      </w:r>
      <w:r w:rsidR="00E45567" w:rsidRPr="008C7C79">
        <w:rPr>
          <w:rFonts w:cs="Tahoma"/>
          <w:b/>
          <w:bCs/>
          <w:szCs w:val="24"/>
        </w:rPr>
        <w:t>S.A.</w:t>
      </w:r>
      <w:r w:rsidRPr="008C7C79">
        <w:rPr>
          <w:rFonts w:cs="Tahoma"/>
          <w:b/>
          <w:bCs/>
          <w:szCs w:val="24"/>
        </w:rPr>
        <w:t xml:space="preserve"> </w:t>
      </w:r>
      <w:r w:rsidR="00472F19" w:rsidRPr="008C7C79">
        <w:rPr>
          <w:rFonts w:cs="Tahoma"/>
          <w:szCs w:val="24"/>
        </w:rPr>
        <w:t>atacó el fallo arguyendo que</w:t>
      </w:r>
      <w:r w:rsidR="00115C02" w:rsidRPr="008C7C79">
        <w:rPr>
          <w:rFonts w:cs="Tahoma"/>
          <w:szCs w:val="24"/>
        </w:rPr>
        <w:t xml:space="preserve"> </w:t>
      </w:r>
      <w:r w:rsidR="001B01DA" w:rsidRPr="008C7C79">
        <w:rPr>
          <w:rFonts w:cs="Tahoma"/>
          <w:szCs w:val="24"/>
        </w:rPr>
        <w:t xml:space="preserve">quedó demostrado dentro del plenario que </w:t>
      </w:r>
      <w:r w:rsidR="00472F19" w:rsidRPr="008C7C79">
        <w:rPr>
          <w:rFonts w:cs="Tahoma"/>
          <w:szCs w:val="24"/>
        </w:rPr>
        <w:t xml:space="preserve">cumplió </w:t>
      </w:r>
      <w:r w:rsidR="00115C02" w:rsidRPr="008C7C79">
        <w:rPr>
          <w:rFonts w:cs="Tahoma"/>
          <w:szCs w:val="24"/>
        </w:rPr>
        <w:t>el</w:t>
      </w:r>
      <w:r w:rsidR="001B01DA" w:rsidRPr="008C7C79">
        <w:rPr>
          <w:rFonts w:cs="Tahoma"/>
          <w:szCs w:val="24"/>
        </w:rPr>
        <w:t xml:space="preserve"> deber de asesoría requerido para la época </w:t>
      </w:r>
      <w:r w:rsidR="00472F19" w:rsidRPr="008C7C79">
        <w:rPr>
          <w:rFonts w:cs="Tahoma"/>
          <w:szCs w:val="24"/>
        </w:rPr>
        <w:t>d</w:t>
      </w:r>
      <w:r w:rsidR="001B01DA" w:rsidRPr="008C7C79">
        <w:rPr>
          <w:rFonts w:cs="Tahoma"/>
          <w:szCs w:val="24"/>
        </w:rPr>
        <w:t>el traslado</w:t>
      </w:r>
      <w:r w:rsidR="00472F19" w:rsidRPr="008C7C79">
        <w:rPr>
          <w:rFonts w:cs="Tahoma"/>
          <w:szCs w:val="24"/>
        </w:rPr>
        <w:t xml:space="preserve"> del señor </w:t>
      </w:r>
      <w:r w:rsidR="003D11D6" w:rsidRPr="008C7C79">
        <w:rPr>
          <w:rFonts w:cs="Tahoma"/>
          <w:szCs w:val="24"/>
        </w:rPr>
        <w:t>Barragán</w:t>
      </w:r>
      <w:r w:rsidR="001B01DA" w:rsidRPr="008C7C79">
        <w:rPr>
          <w:rFonts w:cs="Tahoma"/>
          <w:szCs w:val="24"/>
        </w:rPr>
        <w:t xml:space="preserve">, </w:t>
      </w:r>
      <w:r w:rsidR="00472F19" w:rsidRPr="008C7C79">
        <w:rPr>
          <w:rFonts w:cs="Tahoma"/>
          <w:szCs w:val="24"/>
        </w:rPr>
        <w:t xml:space="preserve">consistente en una </w:t>
      </w:r>
      <w:r w:rsidR="001B01DA" w:rsidRPr="008C7C79">
        <w:rPr>
          <w:rFonts w:cs="Tahoma"/>
          <w:szCs w:val="24"/>
        </w:rPr>
        <w:t>asesoría básic</w:t>
      </w:r>
      <w:r w:rsidR="00472F19" w:rsidRPr="008C7C79">
        <w:rPr>
          <w:rFonts w:cs="Tahoma"/>
          <w:szCs w:val="24"/>
        </w:rPr>
        <w:t xml:space="preserve">a, sin que existiera </w:t>
      </w:r>
      <w:r w:rsidR="001B01DA" w:rsidRPr="008C7C79">
        <w:rPr>
          <w:rFonts w:cs="Tahoma"/>
          <w:szCs w:val="24"/>
        </w:rPr>
        <w:t xml:space="preserve">la obligación de mantener constancia escrita de las asesorías suministradas a los potenciales afiliados. </w:t>
      </w:r>
      <w:r w:rsidR="00472F19" w:rsidRPr="008C7C79">
        <w:rPr>
          <w:rFonts w:cs="Tahoma"/>
          <w:szCs w:val="24"/>
        </w:rPr>
        <w:t>Reitera</w:t>
      </w:r>
      <w:r w:rsidR="001B01DA" w:rsidRPr="008C7C79">
        <w:rPr>
          <w:rFonts w:cs="Tahoma"/>
          <w:szCs w:val="24"/>
        </w:rPr>
        <w:t xml:space="preserve"> que Horizonte (hoy Porvenir S.A) puso de presente al </w:t>
      </w:r>
      <w:r w:rsidR="00472F19" w:rsidRPr="008C7C79">
        <w:rPr>
          <w:rFonts w:cs="Tahoma"/>
          <w:szCs w:val="24"/>
        </w:rPr>
        <w:t>actor</w:t>
      </w:r>
      <w:r w:rsidR="001B01DA" w:rsidRPr="008C7C79">
        <w:rPr>
          <w:rFonts w:cs="Tahoma"/>
          <w:szCs w:val="24"/>
        </w:rPr>
        <w:t xml:space="preserve"> todas y cada una de las características propias del Régimen de Ahorro Individual con Solidaridad, aunado a las implicaciones que traía consigo la decisión de traslado de régimen pensional.</w:t>
      </w:r>
      <w:r w:rsidR="00115C02" w:rsidRPr="008C7C79">
        <w:rPr>
          <w:rFonts w:cs="Tahoma"/>
          <w:szCs w:val="24"/>
        </w:rPr>
        <w:t xml:space="preserve"> </w:t>
      </w:r>
    </w:p>
    <w:p w14:paraId="784176B4" w14:textId="3A226BAE" w:rsidR="00454F9D" w:rsidRPr="008C7C79" w:rsidRDefault="001B01DA" w:rsidP="008C7C79">
      <w:pPr>
        <w:spacing w:line="276" w:lineRule="auto"/>
        <w:ind w:firstLine="426"/>
        <w:rPr>
          <w:rFonts w:cs="Tahoma"/>
          <w:szCs w:val="24"/>
        </w:rPr>
      </w:pPr>
      <w:r w:rsidRPr="008C7C79">
        <w:rPr>
          <w:rFonts w:cs="Tahoma"/>
          <w:szCs w:val="24"/>
        </w:rPr>
        <w:t>A</w:t>
      </w:r>
      <w:r w:rsidR="00472F19" w:rsidRPr="008C7C79">
        <w:rPr>
          <w:rFonts w:cs="Tahoma"/>
          <w:szCs w:val="24"/>
        </w:rPr>
        <w:t xml:space="preserve">grega </w:t>
      </w:r>
      <w:r w:rsidRPr="008C7C79">
        <w:rPr>
          <w:rFonts w:cs="Tahoma"/>
          <w:szCs w:val="24"/>
        </w:rPr>
        <w:t xml:space="preserve">que el </w:t>
      </w:r>
      <w:r w:rsidR="00115C02" w:rsidRPr="008C7C79">
        <w:rPr>
          <w:rFonts w:cs="Tahoma"/>
          <w:szCs w:val="24"/>
        </w:rPr>
        <w:t xml:space="preserve">demandante </w:t>
      </w:r>
      <w:r w:rsidR="00E45567" w:rsidRPr="008C7C79">
        <w:rPr>
          <w:rFonts w:cs="Tahoma"/>
          <w:szCs w:val="24"/>
        </w:rPr>
        <w:t xml:space="preserve">se benefició de </w:t>
      </w:r>
      <w:r w:rsidR="00472F19" w:rsidRPr="008C7C79">
        <w:rPr>
          <w:rFonts w:cs="Tahoma"/>
          <w:szCs w:val="24"/>
        </w:rPr>
        <w:t>los</w:t>
      </w:r>
      <w:r w:rsidR="00E45567" w:rsidRPr="008C7C79">
        <w:rPr>
          <w:rFonts w:cs="Tahoma"/>
          <w:szCs w:val="24"/>
        </w:rPr>
        <w:t xml:space="preserve"> rendimientos</w:t>
      </w:r>
      <w:r w:rsidRPr="008C7C79">
        <w:rPr>
          <w:rFonts w:cs="Tahoma"/>
          <w:szCs w:val="24"/>
        </w:rPr>
        <w:t xml:space="preserve"> y prerrogativas del RAIS</w:t>
      </w:r>
      <w:r w:rsidR="00472F19" w:rsidRPr="008C7C79">
        <w:rPr>
          <w:rFonts w:cs="Tahoma"/>
          <w:szCs w:val="24"/>
        </w:rPr>
        <w:t xml:space="preserve"> sin hacer</w:t>
      </w:r>
      <w:r w:rsidRPr="008C7C79">
        <w:rPr>
          <w:rFonts w:cs="Tahoma"/>
          <w:szCs w:val="24"/>
        </w:rPr>
        <w:t xml:space="preserve"> uso del derecho de retracto, ni </w:t>
      </w:r>
      <w:r w:rsidR="00472F19" w:rsidRPr="008C7C79">
        <w:rPr>
          <w:rFonts w:cs="Tahoma"/>
          <w:szCs w:val="24"/>
        </w:rPr>
        <w:t>d</w:t>
      </w:r>
      <w:r w:rsidRPr="008C7C79">
        <w:rPr>
          <w:rFonts w:cs="Tahoma"/>
          <w:szCs w:val="24"/>
        </w:rPr>
        <w:t>el periodo de gracia</w:t>
      </w:r>
      <w:r w:rsidR="00472F19" w:rsidRPr="008C7C79">
        <w:rPr>
          <w:rFonts w:cs="Tahoma"/>
          <w:szCs w:val="24"/>
        </w:rPr>
        <w:t>;</w:t>
      </w:r>
      <w:r w:rsidR="00C02346" w:rsidRPr="008C7C79">
        <w:rPr>
          <w:rFonts w:cs="Tahoma"/>
          <w:szCs w:val="24"/>
        </w:rPr>
        <w:t xml:space="preserve"> </w:t>
      </w:r>
      <w:r w:rsidRPr="008C7C79">
        <w:rPr>
          <w:rFonts w:cs="Tahoma"/>
          <w:szCs w:val="24"/>
        </w:rPr>
        <w:t xml:space="preserve">tampoco buscó retornar al Régimen de Prima Media. </w:t>
      </w:r>
      <w:r w:rsidR="00850CF8" w:rsidRPr="008C7C79">
        <w:rPr>
          <w:rFonts w:cs="Tahoma"/>
          <w:szCs w:val="24"/>
        </w:rPr>
        <w:t>Adicional a lo anterior,</w:t>
      </w:r>
      <w:r w:rsidRPr="008C7C79">
        <w:rPr>
          <w:rFonts w:cs="Tahoma"/>
          <w:szCs w:val="24"/>
        </w:rPr>
        <w:t xml:space="preserve"> esperó a encontrarse a</w:t>
      </w:r>
      <w:r w:rsidR="00472F19" w:rsidRPr="008C7C79">
        <w:rPr>
          <w:rFonts w:cs="Tahoma"/>
          <w:szCs w:val="24"/>
        </w:rPr>
        <w:t>d</w:t>
      </w:r>
      <w:r w:rsidRPr="008C7C79">
        <w:rPr>
          <w:rFonts w:cs="Tahoma"/>
          <w:szCs w:val="24"/>
        </w:rPr>
        <w:t xml:space="preserve"> portas de la edad para acceder a la gracia pensional por vejez</w:t>
      </w:r>
      <w:r w:rsidR="000558C6" w:rsidRPr="008C7C79">
        <w:rPr>
          <w:rFonts w:cs="Tahoma"/>
          <w:szCs w:val="24"/>
        </w:rPr>
        <w:t xml:space="preserve"> y al evidenciar que </w:t>
      </w:r>
      <w:r w:rsidR="00472F19" w:rsidRPr="008C7C79">
        <w:rPr>
          <w:rFonts w:cs="Tahoma"/>
          <w:szCs w:val="24"/>
        </w:rPr>
        <w:t>n</w:t>
      </w:r>
      <w:r w:rsidR="000558C6" w:rsidRPr="008C7C79">
        <w:rPr>
          <w:rFonts w:cs="Tahoma"/>
          <w:szCs w:val="24"/>
        </w:rPr>
        <w:t xml:space="preserve">o resultaban atractivos los dineros que por concepto de mesada pensional iba a recibir </w:t>
      </w:r>
      <w:r w:rsidR="000558C6" w:rsidRPr="008C7C79">
        <w:rPr>
          <w:rFonts w:cs="Tahoma"/>
          <w:szCs w:val="24"/>
        </w:rPr>
        <w:lastRenderedPageBreak/>
        <w:t xml:space="preserve">en el RAIS, buscó revertir la decisión </w:t>
      </w:r>
      <w:r w:rsidR="00244E21" w:rsidRPr="008C7C79">
        <w:rPr>
          <w:rFonts w:cs="Tahoma"/>
          <w:szCs w:val="24"/>
        </w:rPr>
        <w:t>que,</w:t>
      </w:r>
      <w:r w:rsidR="000558C6" w:rsidRPr="008C7C79">
        <w:rPr>
          <w:rFonts w:cs="Tahoma"/>
          <w:szCs w:val="24"/>
        </w:rPr>
        <w:t xml:space="preserve"> de manera libre, voluntaria y sin presiones</w:t>
      </w:r>
      <w:r w:rsidR="00244E21" w:rsidRPr="008C7C79">
        <w:rPr>
          <w:rFonts w:cs="Tahoma"/>
          <w:szCs w:val="24"/>
        </w:rPr>
        <w:t>,</w:t>
      </w:r>
      <w:r w:rsidR="000558C6" w:rsidRPr="008C7C79">
        <w:rPr>
          <w:rFonts w:cs="Tahoma"/>
          <w:szCs w:val="24"/>
        </w:rPr>
        <w:t xml:space="preserve"> adoptó</w:t>
      </w:r>
      <w:r w:rsidR="00244E21" w:rsidRPr="008C7C79">
        <w:rPr>
          <w:rFonts w:cs="Tahoma"/>
          <w:szCs w:val="24"/>
        </w:rPr>
        <w:t xml:space="preserve"> y corroboró a través de actos de relacionamiento</w:t>
      </w:r>
      <w:r w:rsidR="000558C6" w:rsidRPr="008C7C79">
        <w:rPr>
          <w:rFonts w:cs="Tahoma"/>
          <w:szCs w:val="24"/>
        </w:rPr>
        <w:t xml:space="preserve">. </w:t>
      </w:r>
    </w:p>
    <w:p w14:paraId="2ECFC5BE" w14:textId="77777777" w:rsidR="00454F9D" w:rsidRPr="008C7C79" w:rsidRDefault="00454F9D" w:rsidP="008C7C79">
      <w:pPr>
        <w:spacing w:line="276" w:lineRule="auto"/>
        <w:ind w:firstLine="426"/>
        <w:rPr>
          <w:rFonts w:cs="Tahoma"/>
          <w:szCs w:val="24"/>
        </w:rPr>
      </w:pPr>
    </w:p>
    <w:p w14:paraId="579186A5" w14:textId="1DCC9CEC" w:rsidR="00C021EE" w:rsidRPr="008C7C79" w:rsidRDefault="00454F9D" w:rsidP="008C7C79">
      <w:pPr>
        <w:spacing w:line="276" w:lineRule="auto"/>
        <w:ind w:firstLine="426"/>
        <w:rPr>
          <w:rFonts w:cs="Tahoma"/>
          <w:szCs w:val="24"/>
        </w:rPr>
      </w:pPr>
      <w:r w:rsidRPr="008C7C79">
        <w:rPr>
          <w:rFonts w:cs="Tahoma"/>
          <w:szCs w:val="24"/>
        </w:rPr>
        <w:t>Respecto a los gastos de administración, indic</w:t>
      </w:r>
      <w:r w:rsidR="00472F19" w:rsidRPr="008C7C79">
        <w:rPr>
          <w:rFonts w:cs="Tahoma"/>
          <w:szCs w:val="24"/>
        </w:rPr>
        <w:t>ó</w:t>
      </w:r>
      <w:r w:rsidRPr="008C7C79">
        <w:rPr>
          <w:rFonts w:cs="Tahoma"/>
          <w:szCs w:val="24"/>
        </w:rPr>
        <w:t xml:space="preserve"> que </w:t>
      </w:r>
      <w:r w:rsidR="000558C6" w:rsidRPr="008C7C79">
        <w:rPr>
          <w:rFonts w:cs="Tahoma"/>
          <w:szCs w:val="24"/>
        </w:rPr>
        <w:t xml:space="preserve">estos son autorizados por la </w:t>
      </w:r>
      <w:r w:rsidR="00472F19" w:rsidRPr="008C7C79">
        <w:rPr>
          <w:rFonts w:cs="Tahoma"/>
          <w:szCs w:val="24"/>
        </w:rPr>
        <w:t>l</w:t>
      </w:r>
      <w:r w:rsidR="000558C6" w:rsidRPr="008C7C79">
        <w:rPr>
          <w:rFonts w:cs="Tahoma"/>
          <w:szCs w:val="24"/>
        </w:rPr>
        <w:t xml:space="preserve">ey como una contraprestación de la gestión desplegada por las </w:t>
      </w:r>
      <w:proofErr w:type="spellStart"/>
      <w:r w:rsidR="000558C6" w:rsidRPr="008C7C79">
        <w:rPr>
          <w:rFonts w:cs="Tahoma"/>
          <w:szCs w:val="24"/>
        </w:rPr>
        <w:t>AFPs</w:t>
      </w:r>
      <w:proofErr w:type="spellEnd"/>
      <w:r w:rsidR="000558C6" w:rsidRPr="008C7C79">
        <w:rPr>
          <w:rFonts w:cs="Tahoma"/>
          <w:szCs w:val="24"/>
        </w:rPr>
        <w:t xml:space="preserve"> del RAIS</w:t>
      </w:r>
      <w:r w:rsidR="00472F19" w:rsidRPr="008C7C79">
        <w:rPr>
          <w:rFonts w:cs="Tahoma"/>
          <w:szCs w:val="24"/>
        </w:rPr>
        <w:t>,</w:t>
      </w:r>
      <w:r w:rsidR="000558C6" w:rsidRPr="008C7C79">
        <w:rPr>
          <w:rFonts w:cs="Tahoma"/>
          <w:szCs w:val="24"/>
        </w:rPr>
        <w:t xml:space="preserve"> y el hecho de tenerlos que girar con destino a Colpensiones no s</w:t>
      </w:r>
      <w:r w:rsidR="00472F19" w:rsidRPr="008C7C79">
        <w:rPr>
          <w:rFonts w:cs="Tahoma"/>
          <w:szCs w:val="24"/>
        </w:rPr>
        <w:t>o</w:t>
      </w:r>
      <w:r w:rsidR="000558C6" w:rsidRPr="008C7C79">
        <w:rPr>
          <w:rFonts w:cs="Tahoma"/>
          <w:szCs w:val="24"/>
        </w:rPr>
        <w:t>lo representa un detrimento patrimonial de Porvenir S.A, sino un enriquecimiento sin justa causa en favor del demandante</w:t>
      </w:r>
      <w:r w:rsidRPr="008C7C79">
        <w:rPr>
          <w:rFonts w:cs="Tahoma"/>
          <w:szCs w:val="24"/>
        </w:rPr>
        <w:t xml:space="preserve">. </w:t>
      </w:r>
      <w:r w:rsidR="009B14F6" w:rsidRPr="008C7C79">
        <w:rPr>
          <w:rFonts w:cs="Tahoma"/>
          <w:szCs w:val="24"/>
        </w:rPr>
        <w:t xml:space="preserve">Así </w:t>
      </w:r>
      <w:r w:rsidR="00C02346" w:rsidRPr="008C7C79">
        <w:rPr>
          <w:rFonts w:cs="Tahoma"/>
          <w:szCs w:val="24"/>
        </w:rPr>
        <w:t xml:space="preserve">mismo, </w:t>
      </w:r>
      <w:r w:rsidR="009B14F6" w:rsidRPr="008C7C79">
        <w:rPr>
          <w:rFonts w:cs="Tahoma"/>
          <w:szCs w:val="24"/>
        </w:rPr>
        <w:t>refiere</w:t>
      </w:r>
      <w:r w:rsidRPr="008C7C79">
        <w:rPr>
          <w:rFonts w:cs="Tahoma"/>
          <w:szCs w:val="24"/>
        </w:rPr>
        <w:t xml:space="preserve"> que </w:t>
      </w:r>
      <w:r w:rsidR="000558C6" w:rsidRPr="008C7C79">
        <w:rPr>
          <w:rFonts w:cs="Tahoma"/>
          <w:szCs w:val="24"/>
        </w:rPr>
        <w:t>los seguros previsionales son sumas que son giradas a las aseguradoras previsionales del RAIS</w:t>
      </w:r>
      <w:r w:rsidR="00472F19" w:rsidRPr="008C7C79">
        <w:rPr>
          <w:rFonts w:cs="Tahoma"/>
          <w:szCs w:val="24"/>
        </w:rPr>
        <w:t>,</w:t>
      </w:r>
      <w:r w:rsidR="000558C6" w:rsidRPr="008C7C79">
        <w:rPr>
          <w:rFonts w:cs="Tahoma"/>
          <w:szCs w:val="24"/>
        </w:rPr>
        <w:t xml:space="preserve"> cuya finalidad radica básicamente en cubrir eventuales contingencias que puedan suscitarse entorno a los siniestros de invalidez y sobrevivencia, </w:t>
      </w:r>
      <w:r w:rsidR="00472F19" w:rsidRPr="008C7C79">
        <w:rPr>
          <w:rFonts w:cs="Tahoma"/>
          <w:szCs w:val="24"/>
        </w:rPr>
        <w:t xml:space="preserve">tornándose </w:t>
      </w:r>
      <w:r w:rsidR="000558C6" w:rsidRPr="008C7C79">
        <w:rPr>
          <w:rFonts w:cs="Tahoma"/>
          <w:szCs w:val="24"/>
        </w:rPr>
        <w:t xml:space="preserve">imposible </w:t>
      </w:r>
      <w:r w:rsidR="00472F19" w:rsidRPr="008C7C79">
        <w:rPr>
          <w:rFonts w:cs="Tahoma"/>
          <w:szCs w:val="24"/>
        </w:rPr>
        <w:t>su recobro</w:t>
      </w:r>
      <w:r w:rsidR="000558C6" w:rsidRPr="008C7C79">
        <w:rPr>
          <w:rFonts w:cs="Tahoma"/>
          <w:szCs w:val="24"/>
        </w:rPr>
        <w:t>.</w:t>
      </w:r>
    </w:p>
    <w:p w14:paraId="3E0ADB71" w14:textId="77777777" w:rsidR="001162CF" w:rsidRPr="008C7C79" w:rsidRDefault="001162CF" w:rsidP="008C7C79">
      <w:pPr>
        <w:spacing w:line="276" w:lineRule="auto"/>
        <w:ind w:firstLine="426"/>
        <w:rPr>
          <w:rFonts w:cs="Tahoma"/>
          <w:szCs w:val="24"/>
        </w:rPr>
      </w:pPr>
    </w:p>
    <w:p w14:paraId="60E7C50D" w14:textId="7208789E" w:rsidR="00835553" w:rsidRPr="008C7C79" w:rsidRDefault="00AF4757" w:rsidP="008C7C79">
      <w:pPr>
        <w:spacing w:line="276" w:lineRule="auto"/>
        <w:ind w:firstLine="426"/>
        <w:rPr>
          <w:rFonts w:cs="Tahoma"/>
          <w:szCs w:val="24"/>
        </w:rPr>
      </w:pPr>
      <w:r w:rsidRPr="008C7C79">
        <w:rPr>
          <w:rFonts w:cs="Tahoma"/>
          <w:szCs w:val="24"/>
        </w:rPr>
        <w:t xml:space="preserve">Adicional a lo anterior, señala que </w:t>
      </w:r>
      <w:r w:rsidR="000558C6" w:rsidRPr="008C7C79">
        <w:rPr>
          <w:rFonts w:cs="Tahoma"/>
          <w:szCs w:val="24"/>
        </w:rPr>
        <w:t xml:space="preserve">el demandante se encuentra incurso en la prohibición legal contemplada en el literal </w:t>
      </w:r>
      <w:r w:rsidR="00FA5236" w:rsidRPr="008C7C79">
        <w:rPr>
          <w:rFonts w:cs="Tahoma"/>
          <w:szCs w:val="24"/>
        </w:rPr>
        <w:t>“</w:t>
      </w:r>
      <w:r w:rsidR="000558C6" w:rsidRPr="008C7C79">
        <w:rPr>
          <w:rFonts w:cs="Tahoma"/>
          <w:szCs w:val="24"/>
        </w:rPr>
        <w:t>e</w:t>
      </w:r>
      <w:r w:rsidR="00FA5236" w:rsidRPr="008C7C79">
        <w:rPr>
          <w:rFonts w:cs="Tahoma"/>
          <w:szCs w:val="24"/>
        </w:rPr>
        <w:t>”</w:t>
      </w:r>
      <w:r w:rsidR="000558C6" w:rsidRPr="008C7C79">
        <w:rPr>
          <w:rFonts w:cs="Tahoma"/>
          <w:szCs w:val="24"/>
        </w:rPr>
        <w:t xml:space="preserve"> del artículo 2 de la ley 797 de 2003</w:t>
      </w:r>
      <w:r w:rsidR="00F57E18" w:rsidRPr="008C7C79">
        <w:rPr>
          <w:rFonts w:cs="Tahoma"/>
          <w:szCs w:val="24"/>
        </w:rPr>
        <w:t xml:space="preserve">. Además, que </w:t>
      </w:r>
      <w:r w:rsidR="00472F19" w:rsidRPr="008C7C79">
        <w:rPr>
          <w:rFonts w:cs="Tahoma"/>
          <w:szCs w:val="24"/>
        </w:rPr>
        <w:t xml:space="preserve">el </w:t>
      </w:r>
      <w:r w:rsidR="00F57E18" w:rsidRPr="008C7C79">
        <w:rPr>
          <w:rFonts w:cs="Tahoma"/>
          <w:szCs w:val="24"/>
        </w:rPr>
        <w:t xml:space="preserve">actuar </w:t>
      </w:r>
      <w:r w:rsidR="00472F19" w:rsidRPr="008C7C79">
        <w:rPr>
          <w:rFonts w:cs="Tahoma"/>
          <w:szCs w:val="24"/>
        </w:rPr>
        <w:t xml:space="preserve">de esa </w:t>
      </w:r>
      <w:r w:rsidR="0055696E" w:rsidRPr="008C7C79">
        <w:rPr>
          <w:rFonts w:cs="Tahoma"/>
          <w:szCs w:val="24"/>
        </w:rPr>
        <w:t xml:space="preserve">entidad </w:t>
      </w:r>
      <w:r w:rsidR="00F57E18" w:rsidRPr="008C7C79">
        <w:rPr>
          <w:rFonts w:cs="Tahoma"/>
          <w:szCs w:val="24"/>
        </w:rPr>
        <w:t>siempre fue en estricto apego a todas las normas que regulan la materia y ceñido a los postulados de la buena fe</w:t>
      </w:r>
      <w:r w:rsidR="00472F19" w:rsidRPr="008C7C79">
        <w:rPr>
          <w:rFonts w:cs="Tahoma"/>
          <w:szCs w:val="24"/>
        </w:rPr>
        <w:t>, por lo que no había lugar a la condena en costas procesales</w:t>
      </w:r>
      <w:r w:rsidR="00F57E18" w:rsidRPr="008C7C79">
        <w:rPr>
          <w:rFonts w:cs="Tahoma"/>
          <w:szCs w:val="24"/>
        </w:rPr>
        <w:t>.</w:t>
      </w:r>
    </w:p>
    <w:p w14:paraId="1CE92786" w14:textId="77777777" w:rsidR="00115C02" w:rsidRPr="008C7C79" w:rsidRDefault="00115C02" w:rsidP="008C7C79">
      <w:pPr>
        <w:spacing w:line="276" w:lineRule="auto"/>
        <w:ind w:firstLine="426"/>
        <w:rPr>
          <w:rFonts w:cs="Tahoma"/>
          <w:szCs w:val="24"/>
        </w:rPr>
      </w:pPr>
    </w:p>
    <w:p w14:paraId="265EC07F" w14:textId="1863506F" w:rsidR="0097793B" w:rsidRPr="008C7C79" w:rsidRDefault="00790DA9" w:rsidP="008C7C79">
      <w:pPr>
        <w:spacing w:line="276" w:lineRule="auto"/>
        <w:ind w:firstLine="360"/>
        <w:rPr>
          <w:rFonts w:cs="Tahoma"/>
          <w:szCs w:val="24"/>
        </w:rPr>
      </w:pPr>
      <w:r w:rsidRPr="008C7C79">
        <w:rPr>
          <w:rFonts w:cs="Tahoma"/>
          <w:szCs w:val="24"/>
        </w:rPr>
        <w:t xml:space="preserve">Por su parte, </w:t>
      </w:r>
      <w:r w:rsidRPr="008C7C79">
        <w:rPr>
          <w:rFonts w:cs="Tahoma"/>
          <w:b/>
          <w:bCs/>
          <w:szCs w:val="24"/>
        </w:rPr>
        <w:t>Colpensiones</w:t>
      </w:r>
      <w:r w:rsidRPr="008C7C79">
        <w:rPr>
          <w:rFonts w:cs="Tahoma"/>
          <w:szCs w:val="24"/>
        </w:rPr>
        <w:t xml:space="preserve"> in</w:t>
      </w:r>
      <w:r w:rsidR="009979A7" w:rsidRPr="008C7C79">
        <w:rPr>
          <w:rFonts w:cs="Tahoma"/>
          <w:szCs w:val="24"/>
        </w:rPr>
        <w:t>dic</w:t>
      </w:r>
      <w:r w:rsidRPr="008C7C79">
        <w:rPr>
          <w:rFonts w:cs="Tahoma"/>
          <w:szCs w:val="24"/>
        </w:rPr>
        <w:t xml:space="preserve">ó </w:t>
      </w:r>
      <w:r w:rsidR="009979A7" w:rsidRPr="008C7C79">
        <w:rPr>
          <w:rFonts w:cs="Tahoma"/>
          <w:szCs w:val="24"/>
        </w:rPr>
        <w:t xml:space="preserve">en su </w:t>
      </w:r>
      <w:r w:rsidRPr="008C7C79">
        <w:rPr>
          <w:rFonts w:cs="Tahoma"/>
          <w:szCs w:val="24"/>
        </w:rPr>
        <w:t xml:space="preserve">apelación que </w:t>
      </w:r>
      <w:r w:rsidR="00F4298B" w:rsidRPr="008C7C79">
        <w:rPr>
          <w:rFonts w:cs="Tahoma"/>
          <w:szCs w:val="24"/>
        </w:rPr>
        <w:t>la</w:t>
      </w:r>
      <w:r w:rsidR="00F57E18" w:rsidRPr="008C7C79">
        <w:rPr>
          <w:rFonts w:cs="Tahoma"/>
          <w:szCs w:val="24"/>
        </w:rPr>
        <w:t>s afirmaciones realizadas por la parte demandante dentro de</w:t>
      </w:r>
      <w:r w:rsidR="00472F19" w:rsidRPr="008C7C79">
        <w:rPr>
          <w:rFonts w:cs="Tahoma"/>
          <w:szCs w:val="24"/>
        </w:rPr>
        <w:t>l</w:t>
      </w:r>
      <w:r w:rsidR="00F57E18" w:rsidRPr="008C7C79">
        <w:rPr>
          <w:rFonts w:cs="Tahoma"/>
          <w:szCs w:val="24"/>
        </w:rPr>
        <w:t xml:space="preserve"> texto de </w:t>
      </w:r>
      <w:r w:rsidR="00472F19" w:rsidRPr="008C7C79">
        <w:rPr>
          <w:rFonts w:cs="Tahoma"/>
          <w:szCs w:val="24"/>
        </w:rPr>
        <w:t xml:space="preserve">su </w:t>
      </w:r>
      <w:r w:rsidR="00F57E18" w:rsidRPr="008C7C79">
        <w:rPr>
          <w:rFonts w:cs="Tahoma"/>
          <w:szCs w:val="24"/>
        </w:rPr>
        <w:t>demanda, as</w:t>
      </w:r>
      <w:r w:rsidR="00A13952" w:rsidRPr="008C7C79">
        <w:rPr>
          <w:rFonts w:cs="Tahoma"/>
          <w:szCs w:val="24"/>
        </w:rPr>
        <w:t>í</w:t>
      </w:r>
      <w:r w:rsidR="00F57E18" w:rsidRPr="008C7C79">
        <w:rPr>
          <w:rFonts w:cs="Tahoma"/>
          <w:szCs w:val="24"/>
        </w:rPr>
        <w:t xml:space="preserve"> como lo manifestado al absolver el interrogatorio de parte, evidencia que la acción judicial persigue </w:t>
      </w:r>
      <w:r w:rsidR="00A13952" w:rsidRPr="008C7C79">
        <w:rPr>
          <w:rFonts w:cs="Tahoma"/>
          <w:szCs w:val="24"/>
        </w:rPr>
        <w:t>u</w:t>
      </w:r>
      <w:r w:rsidR="00F57E18" w:rsidRPr="008C7C79">
        <w:rPr>
          <w:rFonts w:cs="Tahoma"/>
          <w:szCs w:val="24"/>
        </w:rPr>
        <w:t>n interés económico que no está llamado a ser atendido por este medio</w:t>
      </w:r>
      <w:r w:rsidR="00A13952" w:rsidRPr="008C7C79">
        <w:rPr>
          <w:rFonts w:cs="Tahoma"/>
          <w:szCs w:val="24"/>
        </w:rPr>
        <w:t>,</w:t>
      </w:r>
      <w:r w:rsidR="00F57E18" w:rsidRPr="008C7C79">
        <w:rPr>
          <w:rFonts w:cs="Tahoma"/>
          <w:szCs w:val="24"/>
        </w:rPr>
        <w:t xml:space="preserve"> sino </w:t>
      </w:r>
      <w:r w:rsidR="00472F19" w:rsidRPr="008C7C79">
        <w:rPr>
          <w:rFonts w:cs="Tahoma"/>
          <w:szCs w:val="24"/>
        </w:rPr>
        <w:t>por medio de</w:t>
      </w:r>
      <w:r w:rsidR="00F57E18" w:rsidRPr="008C7C79">
        <w:rPr>
          <w:rFonts w:cs="Tahoma"/>
          <w:szCs w:val="24"/>
        </w:rPr>
        <w:t xml:space="preserve"> una acción de responsabilidad de resarcimiento del eventual daño o perjuicio</w:t>
      </w:r>
      <w:r w:rsidR="00F4298B" w:rsidRPr="008C7C79">
        <w:rPr>
          <w:rFonts w:cs="Tahoma"/>
          <w:szCs w:val="24"/>
        </w:rPr>
        <w:t xml:space="preserve">. Asimismo, que </w:t>
      </w:r>
      <w:r w:rsidR="00F57E18" w:rsidRPr="008C7C79">
        <w:rPr>
          <w:rFonts w:cs="Tahoma"/>
          <w:szCs w:val="24"/>
        </w:rPr>
        <w:t xml:space="preserve">la declaración de ineficacia del traslado atenta en contra de la sostenibilidad financiera del régimen de prima media con prestación definida, </w:t>
      </w:r>
      <w:r w:rsidR="00472F19" w:rsidRPr="008C7C79">
        <w:rPr>
          <w:rFonts w:cs="Tahoma"/>
          <w:szCs w:val="24"/>
        </w:rPr>
        <w:t>pues s</w:t>
      </w:r>
      <w:r w:rsidR="00F57E18" w:rsidRPr="008C7C79">
        <w:rPr>
          <w:rFonts w:cs="Tahoma"/>
          <w:szCs w:val="24"/>
        </w:rPr>
        <w:t>e le impone la carga de resarcir un daño que no causó</w:t>
      </w:r>
      <w:r w:rsidR="00244E21" w:rsidRPr="008C7C79">
        <w:rPr>
          <w:rFonts w:cs="Tahoma"/>
          <w:szCs w:val="24"/>
        </w:rPr>
        <w:t xml:space="preserve">, sino que es </w:t>
      </w:r>
      <w:r w:rsidR="00A673EF" w:rsidRPr="008C7C79">
        <w:rPr>
          <w:rFonts w:cs="Tahoma"/>
          <w:szCs w:val="24"/>
        </w:rPr>
        <w:t>la consecuencia</w:t>
      </w:r>
      <w:r w:rsidR="00F57E18" w:rsidRPr="008C7C79">
        <w:rPr>
          <w:rFonts w:cs="Tahoma"/>
          <w:szCs w:val="24"/>
        </w:rPr>
        <w:t xml:space="preserve"> de la decisión de un afiliado que no se interesó en retornar al régimen sino hasta cuando evidenció un perjuicio económico</w:t>
      </w:r>
      <w:r w:rsidR="00F4298B" w:rsidRPr="008C7C79">
        <w:rPr>
          <w:rFonts w:cs="Tahoma"/>
          <w:szCs w:val="24"/>
        </w:rPr>
        <w:t xml:space="preserve">. </w:t>
      </w:r>
    </w:p>
    <w:p w14:paraId="032F9E11" w14:textId="77777777" w:rsidR="0097793B" w:rsidRPr="008C7C79" w:rsidRDefault="0097793B" w:rsidP="008C7C79">
      <w:pPr>
        <w:spacing w:line="276" w:lineRule="auto"/>
        <w:ind w:firstLine="360"/>
        <w:rPr>
          <w:rFonts w:cs="Tahoma"/>
          <w:szCs w:val="24"/>
        </w:rPr>
      </w:pPr>
    </w:p>
    <w:p w14:paraId="6BFC4A1F" w14:textId="77777777" w:rsidR="00244E21" w:rsidRPr="008C7C79" w:rsidRDefault="00F4298B" w:rsidP="008C7C79">
      <w:pPr>
        <w:spacing w:line="276" w:lineRule="auto"/>
        <w:ind w:firstLine="360"/>
        <w:rPr>
          <w:rFonts w:cs="Tahoma"/>
          <w:szCs w:val="24"/>
        </w:rPr>
      </w:pPr>
      <w:r w:rsidRPr="008C7C79">
        <w:rPr>
          <w:rFonts w:cs="Tahoma"/>
          <w:szCs w:val="24"/>
        </w:rPr>
        <w:t xml:space="preserve">En igual sentido, que el actuar del demandante de </w:t>
      </w:r>
      <w:r w:rsidR="00F57E18" w:rsidRPr="008C7C79">
        <w:rPr>
          <w:rFonts w:cs="Tahoma"/>
          <w:szCs w:val="24"/>
        </w:rPr>
        <w:t xml:space="preserve">solicitar </w:t>
      </w:r>
      <w:r w:rsidR="00244E21" w:rsidRPr="008C7C79">
        <w:rPr>
          <w:rFonts w:cs="Tahoma"/>
          <w:szCs w:val="24"/>
        </w:rPr>
        <w:t>el 30 de octubre de 2015 la pensión de vejez</w:t>
      </w:r>
      <w:r w:rsidR="0097793B" w:rsidRPr="008C7C79">
        <w:rPr>
          <w:rFonts w:cs="Tahoma"/>
          <w:szCs w:val="24"/>
        </w:rPr>
        <w:t>, así como la contratación de retiro programado, evidencia su compromiso serio de permanecer en el RAIS</w:t>
      </w:r>
      <w:r w:rsidR="00244E21" w:rsidRPr="008C7C79">
        <w:rPr>
          <w:rFonts w:cs="Tahoma"/>
          <w:szCs w:val="24"/>
        </w:rPr>
        <w:t>, por lo que debe tenerse en cuenta como un acto de relacionamiento</w:t>
      </w:r>
      <w:r w:rsidR="0097793B" w:rsidRPr="008C7C79">
        <w:rPr>
          <w:rFonts w:cs="Tahoma"/>
          <w:szCs w:val="24"/>
        </w:rPr>
        <w:t xml:space="preserve">. </w:t>
      </w:r>
    </w:p>
    <w:p w14:paraId="4E95CACF" w14:textId="77777777" w:rsidR="00244E21" w:rsidRPr="008C7C79" w:rsidRDefault="00244E21" w:rsidP="008C7C79">
      <w:pPr>
        <w:spacing w:line="276" w:lineRule="auto"/>
        <w:ind w:firstLine="360"/>
        <w:rPr>
          <w:rFonts w:cs="Tahoma"/>
          <w:szCs w:val="24"/>
        </w:rPr>
      </w:pPr>
    </w:p>
    <w:p w14:paraId="775411B7" w14:textId="7261697C" w:rsidR="00F4298B" w:rsidRPr="008C7C79" w:rsidRDefault="000D7C6A" w:rsidP="008C7C79">
      <w:pPr>
        <w:spacing w:line="276" w:lineRule="auto"/>
        <w:ind w:firstLine="360"/>
        <w:rPr>
          <w:rFonts w:cs="Tahoma"/>
          <w:szCs w:val="24"/>
        </w:rPr>
      </w:pPr>
      <w:r w:rsidRPr="008C7C79">
        <w:rPr>
          <w:rFonts w:cs="Tahoma"/>
          <w:szCs w:val="24"/>
        </w:rPr>
        <w:t>P</w:t>
      </w:r>
      <w:r w:rsidR="00244E21" w:rsidRPr="008C7C79">
        <w:rPr>
          <w:rFonts w:cs="Tahoma"/>
          <w:szCs w:val="24"/>
        </w:rPr>
        <w:t xml:space="preserve">one de relieve </w:t>
      </w:r>
      <w:r w:rsidR="00AE042F" w:rsidRPr="008C7C79">
        <w:rPr>
          <w:rFonts w:cs="Tahoma"/>
          <w:szCs w:val="24"/>
        </w:rPr>
        <w:t xml:space="preserve">que </w:t>
      </w:r>
      <w:r w:rsidR="0097793B" w:rsidRPr="008C7C79">
        <w:rPr>
          <w:rFonts w:cs="Tahoma"/>
          <w:szCs w:val="24"/>
        </w:rPr>
        <w:t xml:space="preserve">para la época en que </w:t>
      </w:r>
      <w:r w:rsidR="00244E21" w:rsidRPr="008C7C79">
        <w:rPr>
          <w:rFonts w:cs="Tahoma"/>
          <w:szCs w:val="24"/>
        </w:rPr>
        <w:t xml:space="preserve">el gestor del pleito </w:t>
      </w:r>
      <w:r w:rsidR="0097793B" w:rsidRPr="008C7C79">
        <w:rPr>
          <w:rFonts w:cs="Tahoma"/>
          <w:szCs w:val="24"/>
        </w:rPr>
        <w:t>solicitó el retorno al régimen de prima media ya estaba inmerso en la limitación del 2 de la ley 797 de 2003, ya que contaba con más de 60 años de edad.</w:t>
      </w:r>
    </w:p>
    <w:p w14:paraId="13CAE69F" w14:textId="372ABE5B" w:rsidR="00AE042F" w:rsidRPr="008C7C79" w:rsidRDefault="00AE042F" w:rsidP="008C7C79">
      <w:pPr>
        <w:spacing w:line="276" w:lineRule="auto"/>
        <w:ind w:firstLine="360"/>
        <w:rPr>
          <w:rFonts w:cs="Tahoma"/>
          <w:szCs w:val="24"/>
        </w:rPr>
      </w:pPr>
    </w:p>
    <w:p w14:paraId="06B29EC7" w14:textId="77777777" w:rsidR="00B33A2C" w:rsidRPr="008C7C79" w:rsidRDefault="00B33A2C" w:rsidP="008C7C79">
      <w:pPr>
        <w:spacing w:line="276" w:lineRule="auto"/>
        <w:ind w:firstLine="360"/>
        <w:rPr>
          <w:rFonts w:cs="Tahoma"/>
          <w:szCs w:val="24"/>
        </w:rPr>
      </w:pPr>
      <w:r w:rsidRPr="008C7C79">
        <w:rPr>
          <w:rFonts w:cs="Tahoma"/>
          <w:szCs w:val="24"/>
        </w:rPr>
        <w:t xml:space="preserve">Finalmente, como quiera que la decisión de primer grado fue desfavorable a los intereses de Colpensiones, en esta instancia se admitió el grado jurisdiccional de consulta a favor de dicha entidad. </w:t>
      </w:r>
    </w:p>
    <w:p w14:paraId="4E6AED37" w14:textId="77777777" w:rsidR="00B33A2C" w:rsidRPr="008C7C79" w:rsidRDefault="00B33A2C" w:rsidP="008C7C79">
      <w:pPr>
        <w:spacing w:line="276" w:lineRule="auto"/>
        <w:rPr>
          <w:rFonts w:cs="Tahoma"/>
          <w:szCs w:val="24"/>
        </w:rPr>
      </w:pPr>
    </w:p>
    <w:p w14:paraId="771B2564" w14:textId="77777777" w:rsidR="00B33A2C" w:rsidRPr="008C7C79" w:rsidRDefault="00B33A2C" w:rsidP="008C7C79">
      <w:pPr>
        <w:pStyle w:val="Prrafodelista"/>
        <w:numPr>
          <w:ilvl w:val="0"/>
          <w:numId w:val="1"/>
        </w:numPr>
        <w:spacing w:line="276" w:lineRule="auto"/>
        <w:jc w:val="center"/>
        <w:rPr>
          <w:rFonts w:eastAsia="Times New Roman" w:cs="Tahoma"/>
          <w:b/>
          <w:bCs/>
          <w:szCs w:val="24"/>
          <w:lang w:val="es-ES_tradnl" w:eastAsia="es-ES"/>
        </w:rPr>
      </w:pPr>
      <w:r w:rsidRPr="008C7C79">
        <w:rPr>
          <w:rFonts w:eastAsia="Times New Roman" w:cs="Tahoma"/>
          <w:b/>
          <w:bCs/>
          <w:szCs w:val="24"/>
          <w:lang w:val="es-ES_tradnl" w:eastAsia="es-ES"/>
        </w:rPr>
        <w:t>Alegatos de conclusión</w:t>
      </w:r>
    </w:p>
    <w:p w14:paraId="67765DB8" w14:textId="77777777" w:rsidR="00B33A2C" w:rsidRPr="008C7C79" w:rsidRDefault="00B33A2C" w:rsidP="008C7C79">
      <w:pPr>
        <w:spacing w:line="276" w:lineRule="auto"/>
        <w:rPr>
          <w:rFonts w:cs="Tahoma"/>
          <w:szCs w:val="24"/>
        </w:rPr>
      </w:pPr>
    </w:p>
    <w:p w14:paraId="42F6475E" w14:textId="77777777" w:rsidR="00B33A2C" w:rsidRPr="008C7C79" w:rsidRDefault="00B33A2C" w:rsidP="008C7C79">
      <w:pPr>
        <w:spacing w:line="276" w:lineRule="auto"/>
        <w:ind w:firstLine="360"/>
        <w:rPr>
          <w:rFonts w:cs="Tahoma"/>
          <w:szCs w:val="24"/>
        </w:rPr>
      </w:pPr>
      <w:r w:rsidRPr="008C7C79">
        <w:rPr>
          <w:rFonts w:cs="Tahoma"/>
          <w:szCs w:val="24"/>
        </w:rPr>
        <w:t xml:space="preserve">Analizados los alegatos presentados por las partes mediante escritos que obran en el expediente digital y a los cuales nos remitimos por economía procesal en virtud del </w:t>
      </w:r>
      <w:r w:rsidRPr="008C7C79">
        <w:rPr>
          <w:rFonts w:cs="Tahoma"/>
          <w:szCs w:val="24"/>
        </w:rPr>
        <w:lastRenderedPageBreak/>
        <w:t>artículo 280 del C.G.P., la Sala encuentra que los argumentos fácticos y jurídicos expresados concuerdan con los puntos objeto de discusión en esta instancia y se relacionan con el problema jurídico que se expresa a continuación. De otra parte, el Ministerio Público NO rindió concepto.</w:t>
      </w:r>
    </w:p>
    <w:p w14:paraId="2154C994" w14:textId="77777777" w:rsidR="000D7C6A" w:rsidRPr="008C7C79" w:rsidRDefault="000D7C6A" w:rsidP="008C7C79">
      <w:pPr>
        <w:spacing w:line="276" w:lineRule="auto"/>
        <w:rPr>
          <w:rFonts w:cs="Tahoma"/>
          <w:szCs w:val="24"/>
        </w:rPr>
      </w:pPr>
    </w:p>
    <w:p w14:paraId="50418479" w14:textId="77777777" w:rsidR="00B33A2C" w:rsidRPr="008C7C79" w:rsidRDefault="00B33A2C" w:rsidP="008C7C79">
      <w:pPr>
        <w:numPr>
          <w:ilvl w:val="0"/>
          <w:numId w:val="1"/>
        </w:numPr>
        <w:spacing w:line="276" w:lineRule="auto"/>
        <w:contextualSpacing/>
        <w:jc w:val="center"/>
        <w:rPr>
          <w:rFonts w:eastAsia="Times New Roman" w:cs="Tahoma"/>
          <w:b/>
          <w:bCs/>
          <w:szCs w:val="24"/>
          <w:lang w:val="es-ES_tradnl" w:eastAsia="es-ES"/>
        </w:rPr>
      </w:pPr>
      <w:r w:rsidRPr="008C7C79">
        <w:rPr>
          <w:rFonts w:eastAsia="Times New Roman" w:cs="Tahoma"/>
          <w:b/>
          <w:bCs/>
          <w:szCs w:val="24"/>
          <w:lang w:val="es-ES_tradnl" w:eastAsia="es-ES"/>
        </w:rPr>
        <w:t>Problemas jurídicos por resolver</w:t>
      </w:r>
    </w:p>
    <w:p w14:paraId="7C83EFF1" w14:textId="77777777" w:rsidR="00B33A2C" w:rsidRPr="008C7C79" w:rsidRDefault="00B33A2C" w:rsidP="008C7C79">
      <w:pPr>
        <w:spacing w:line="276" w:lineRule="auto"/>
        <w:rPr>
          <w:rFonts w:cs="Tahoma"/>
          <w:szCs w:val="24"/>
        </w:rPr>
      </w:pPr>
      <w:r w:rsidRPr="008C7C79">
        <w:rPr>
          <w:rFonts w:cs="Tahoma"/>
          <w:szCs w:val="24"/>
        </w:rPr>
        <w:t> </w:t>
      </w:r>
    </w:p>
    <w:p w14:paraId="6C98F685" w14:textId="77777777" w:rsidR="00B33A2C" w:rsidRPr="008C7C79" w:rsidRDefault="00B33A2C" w:rsidP="008C7C79">
      <w:pPr>
        <w:spacing w:line="276" w:lineRule="auto"/>
        <w:ind w:firstLine="360"/>
        <w:rPr>
          <w:rFonts w:cs="Tahoma"/>
          <w:szCs w:val="24"/>
        </w:rPr>
      </w:pPr>
      <w:r w:rsidRPr="008C7C79">
        <w:rPr>
          <w:rFonts w:cs="Tahoma"/>
          <w:szCs w:val="24"/>
        </w:rPr>
        <w:t xml:space="preserve">De acuerdo a los argumentos expuestos en la sentencia de primera instancia, los fundamentos de la apelación y los alegatos de conclusión, le corresponde a la Sala resolver los siguientes problemas jurídicos: </w:t>
      </w:r>
    </w:p>
    <w:p w14:paraId="433643D4" w14:textId="77777777" w:rsidR="00B33A2C" w:rsidRPr="008C7C79" w:rsidRDefault="00B33A2C" w:rsidP="008C7C79">
      <w:pPr>
        <w:spacing w:line="276" w:lineRule="auto"/>
        <w:rPr>
          <w:rFonts w:cs="Tahoma"/>
          <w:szCs w:val="24"/>
        </w:rPr>
      </w:pPr>
    </w:p>
    <w:p w14:paraId="13D4EB11" w14:textId="77777777" w:rsidR="00B33A2C" w:rsidRPr="008C7C79" w:rsidRDefault="00B33A2C" w:rsidP="008C7C79">
      <w:pPr>
        <w:widowControl w:val="0"/>
        <w:numPr>
          <w:ilvl w:val="0"/>
          <w:numId w:val="11"/>
        </w:numPr>
        <w:tabs>
          <w:tab w:val="left" w:pos="709"/>
          <w:tab w:val="left" w:pos="993"/>
        </w:tabs>
        <w:autoSpaceDE w:val="0"/>
        <w:autoSpaceDN w:val="0"/>
        <w:adjustRightInd w:val="0"/>
        <w:spacing w:line="276" w:lineRule="auto"/>
        <w:ind w:left="0" w:firstLine="709"/>
        <w:contextualSpacing/>
        <w:rPr>
          <w:rFonts w:eastAsia="Times New Roman" w:cs="Tahoma"/>
          <w:szCs w:val="24"/>
          <w:lang w:eastAsia="es-ES"/>
        </w:rPr>
      </w:pPr>
      <w:r w:rsidRPr="008C7C79">
        <w:rPr>
          <w:rFonts w:eastAsia="Times New Roman" w:cs="Tahoma"/>
          <w:szCs w:val="24"/>
          <w:lang w:eastAsia="es-ES"/>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6A4AB6DA" w14:textId="77777777" w:rsidR="00B33A2C" w:rsidRPr="008C7C79" w:rsidRDefault="00B33A2C" w:rsidP="008C7C79">
      <w:pPr>
        <w:widowControl w:val="0"/>
        <w:tabs>
          <w:tab w:val="left" w:pos="709"/>
          <w:tab w:val="left" w:pos="993"/>
        </w:tabs>
        <w:autoSpaceDE w:val="0"/>
        <w:autoSpaceDN w:val="0"/>
        <w:adjustRightInd w:val="0"/>
        <w:spacing w:line="276" w:lineRule="auto"/>
        <w:ind w:left="709"/>
        <w:contextualSpacing/>
        <w:rPr>
          <w:rFonts w:eastAsia="Times New Roman" w:cs="Tahoma"/>
          <w:szCs w:val="24"/>
          <w:lang w:eastAsia="es-ES"/>
        </w:rPr>
      </w:pPr>
    </w:p>
    <w:p w14:paraId="4F55B491" w14:textId="77777777" w:rsidR="00B33A2C" w:rsidRPr="008C7C79" w:rsidRDefault="00B33A2C" w:rsidP="008C7C79">
      <w:pPr>
        <w:widowControl w:val="0"/>
        <w:numPr>
          <w:ilvl w:val="0"/>
          <w:numId w:val="11"/>
        </w:numPr>
        <w:tabs>
          <w:tab w:val="left" w:pos="993"/>
        </w:tabs>
        <w:autoSpaceDE w:val="0"/>
        <w:autoSpaceDN w:val="0"/>
        <w:adjustRightInd w:val="0"/>
        <w:spacing w:line="276" w:lineRule="auto"/>
        <w:ind w:left="0" w:firstLine="709"/>
        <w:contextualSpacing/>
        <w:rPr>
          <w:rFonts w:eastAsia="Times New Roman" w:cs="Tahoma"/>
          <w:szCs w:val="24"/>
          <w:lang w:eastAsia="es-ES"/>
        </w:rPr>
      </w:pPr>
      <w:r w:rsidRPr="008C7C79">
        <w:rPr>
          <w:rFonts w:eastAsia="Times New Roman" w:cs="Tahoma"/>
          <w:szCs w:val="24"/>
          <w:lang w:eastAsia="es-ES"/>
        </w:rPr>
        <w:t>Definir si para dar por cumplido el deber de información de las AFP es suficiente el diligenciamiento del formulario de afiliación.</w:t>
      </w:r>
      <w:r w:rsidRPr="008C7C79">
        <w:rPr>
          <w:rFonts w:eastAsia="Times New Roman" w:cs="Tahoma"/>
          <w:color w:val="FF0000"/>
          <w:szCs w:val="24"/>
          <w:lang w:eastAsia="es-ES"/>
        </w:rPr>
        <w:t xml:space="preserve"> </w:t>
      </w:r>
    </w:p>
    <w:p w14:paraId="25FD03AE" w14:textId="77777777" w:rsidR="00B33A2C" w:rsidRPr="008C7C79" w:rsidRDefault="00B33A2C" w:rsidP="008C7C79">
      <w:pPr>
        <w:spacing w:line="276" w:lineRule="auto"/>
        <w:ind w:left="720"/>
        <w:contextualSpacing/>
        <w:jc w:val="left"/>
        <w:rPr>
          <w:rFonts w:eastAsia="Times New Roman" w:cs="Tahoma"/>
          <w:szCs w:val="24"/>
          <w:lang w:eastAsia="es-ES"/>
        </w:rPr>
      </w:pPr>
    </w:p>
    <w:p w14:paraId="7682FE5A" w14:textId="77777777" w:rsidR="00B33A2C" w:rsidRPr="008C7C79" w:rsidRDefault="00B33A2C" w:rsidP="008C7C79">
      <w:pPr>
        <w:widowControl w:val="0"/>
        <w:numPr>
          <w:ilvl w:val="0"/>
          <w:numId w:val="11"/>
        </w:numPr>
        <w:tabs>
          <w:tab w:val="left" w:pos="993"/>
        </w:tabs>
        <w:autoSpaceDE w:val="0"/>
        <w:autoSpaceDN w:val="0"/>
        <w:adjustRightInd w:val="0"/>
        <w:spacing w:line="276" w:lineRule="auto"/>
        <w:ind w:left="0" w:firstLine="709"/>
        <w:contextualSpacing/>
        <w:rPr>
          <w:rFonts w:eastAsia="Times New Roman" w:cs="Tahoma"/>
          <w:szCs w:val="24"/>
          <w:lang w:eastAsia="es-ES"/>
        </w:rPr>
      </w:pPr>
      <w:r w:rsidRPr="008C7C79">
        <w:rPr>
          <w:rFonts w:eastAsia="Times New Roman" w:cs="Tahoma"/>
          <w:szCs w:val="24"/>
          <w:lang w:eastAsia="es-ES"/>
        </w:rPr>
        <w:t xml:space="preserve"> Determinar la carga probatoria que les corresponde a cada una de las partes cuando está en discusión la eficacia del traslado entre regímenes pensionales.</w:t>
      </w:r>
    </w:p>
    <w:p w14:paraId="1A64C23A" w14:textId="77777777" w:rsidR="00B33A2C" w:rsidRPr="008C7C79" w:rsidRDefault="00B33A2C" w:rsidP="008C7C79">
      <w:pPr>
        <w:spacing w:line="276" w:lineRule="auto"/>
        <w:ind w:left="720"/>
        <w:contextualSpacing/>
        <w:jc w:val="left"/>
        <w:rPr>
          <w:rFonts w:eastAsia="Times New Roman" w:cs="Tahoma"/>
          <w:szCs w:val="24"/>
          <w:lang w:eastAsia="es-ES"/>
        </w:rPr>
      </w:pPr>
    </w:p>
    <w:p w14:paraId="267BE48B" w14:textId="77777777" w:rsidR="00B33A2C" w:rsidRPr="008C7C79" w:rsidRDefault="00B33A2C" w:rsidP="008C7C79">
      <w:pPr>
        <w:widowControl w:val="0"/>
        <w:numPr>
          <w:ilvl w:val="0"/>
          <w:numId w:val="11"/>
        </w:numPr>
        <w:tabs>
          <w:tab w:val="left" w:pos="993"/>
        </w:tabs>
        <w:autoSpaceDE w:val="0"/>
        <w:autoSpaceDN w:val="0"/>
        <w:adjustRightInd w:val="0"/>
        <w:spacing w:line="276" w:lineRule="auto"/>
        <w:ind w:left="0" w:firstLine="709"/>
        <w:contextualSpacing/>
        <w:rPr>
          <w:rFonts w:eastAsia="Times New Roman" w:cs="Tahoma"/>
          <w:szCs w:val="24"/>
          <w:lang w:eastAsia="es-ES"/>
        </w:rPr>
      </w:pPr>
      <w:r w:rsidRPr="008C7C79">
        <w:rPr>
          <w:rFonts w:eastAsia="Times New Roman" w:cs="Tahoma"/>
          <w:szCs w:val="24"/>
          <w:lang w:eastAsia="es-ES"/>
        </w:rPr>
        <w:t>Analizar si quedó probado en el proceso que la parte demandante recibió de parte de la AFP demandada la asesoría e información suficiente y necesaria para hacer el cambio de régimen.</w:t>
      </w:r>
    </w:p>
    <w:p w14:paraId="7D3EE873" w14:textId="77777777" w:rsidR="001F45EC" w:rsidRPr="008C7C79" w:rsidRDefault="001F45EC" w:rsidP="008C7C79">
      <w:pPr>
        <w:pStyle w:val="Prrafodelista"/>
        <w:spacing w:line="276" w:lineRule="auto"/>
        <w:rPr>
          <w:rFonts w:eastAsia="Times New Roman" w:cs="Tahoma"/>
          <w:szCs w:val="24"/>
          <w:lang w:eastAsia="es-ES"/>
        </w:rPr>
      </w:pPr>
    </w:p>
    <w:p w14:paraId="299BAAD9" w14:textId="30A2E01F" w:rsidR="003050DC" w:rsidRPr="008C7C79" w:rsidRDefault="001F45EC" w:rsidP="008C7C79">
      <w:pPr>
        <w:pStyle w:val="Prrafodelista"/>
        <w:numPr>
          <w:ilvl w:val="0"/>
          <w:numId w:val="11"/>
        </w:numPr>
        <w:tabs>
          <w:tab w:val="left" w:pos="993"/>
        </w:tabs>
        <w:spacing w:line="276" w:lineRule="auto"/>
        <w:ind w:left="0" w:firstLine="709"/>
        <w:rPr>
          <w:rFonts w:cs="Tahoma"/>
          <w:szCs w:val="24"/>
        </w:rPr>
      </w:pPr>
      <w:r w:rsidRPr="008C7C79">
        <w:rPr>
          <w:rFonts w:eastAsia="Arial" w:cs="Tahoma"/>
          <w:szCs w:val="24"/>
        </w:rPr>
        <w:t xml:space="preserve">Analizar si </w:t>
      </w:r>
      <w:r w:rsidR="00080060" w:rsidRPr="008C7C79">
        <w:rPr>
          <w:rFonts w:eastAsia="Arial" w:cs="Tahoma"/>
          <w:szCs w:val="24"/>
        </w:rPr>
        <w:t xml:space="preserve">la acción que se debió impetrar en este caso es la de </w:t>
      </w:r>
      <w:r w:rsidR="003050DC" w:rsidRPr="008C7C79">
        <w:rPr>
          <w:rFonts w:eastAsia="Arial" w:cs="Tahoma"/>
          <w:szCs w:val="24"/>
        </w:rPr>
        <w:t>resarcimiento</w:t>
      </w:r>
      <w:r w:rsidR="00080060" w:rsidRPr="008C7C79">
        <w:rPr>
          <w:rFonts w:eastAsia="Arial" w:cs="Tahoma"/>
          <w:szCs w:val="24"/>
        </w:rPr>
        <w:t xml:space="preserve"> de perjuicios y no la acción de ineficacia</w:t>
      </w:r>
      <w:r w:rsidR="003050DC" w:rsidRPr="008C7C79">
        <w:rPr>
          <w:rFonts w:eastAsia="Arial" w:cs="Tahoma"/>
          <w:szCs w:val="24"/>
        </w:rPr>
        <w:t xml:space="preserve">. </w:t>
      </w:r>
    </w:p>
    <w:p w14:paraId="61B304A1" w14:textId="77777777" w:rsidR="003050DC" w:rsidRPr="008C7C79" w:rsidRDefault="003050DC" w:rsidP="008C7C79">
      <w:pPr>
        <w:pStyle w:val="Prrafodelista"/>
        <w:spacing w:line="276" w:lineRule="auto"/>
        <w:rPr>
          <w:rFonts w:eastAsia="Times New Roman" w:cs="Tahoma"/>
          <w:szCs w:val="24"/>
          <w:lang w:eastAsia="es-ES"/>
        </w:rPr>
      </w:pPr>
    </w:p>
    <w:p w14:paraId="2BC58063" w14:textId="77777777" w:rsidR="00B33A2C" w:rsidRPr="008C7C79" w:rsidRDefault="00B33A2C" w:rsidP="008C7C79">
      <w:pPr>
        <w:widowControl w:val="0"/>
        <w:numPr>
          <w:ilvl w:val="0"/>
          <w:numId w:val="11"/>
        </w:numPr>
        <w:tabs>
          <w:tab w:val="left" w:pos="993"/>
        </w:tabs>
        <w:autoSpaceDE w:val="0"/>
        <w:autoSpaceDN w:val="0"/>
        <w:adjustRightInd w:val="0"/>
        <w:spacing w:line="276" w:lineRule="auto"/>
        <w:ind w:left="0" w:firstLine="709"/>
        <w:contextualSpacing/>
        <w:rPr>
          <w:rFonts w:eastAsia="Times New Roman" w:cs="Tahoma"/>
          <w:szCs w:val="24"/>
          <w:lang w:eastAsia="es-ES"/>
        </w:rPr>
      </w:pPr>
      <w:r w:rsidRPr="008C7C79">
        <w:rPr>
          <w:rFonts w:eastAsia="Times New Roman" w:cs="Tahoma"/>
          <w:szCs w:val="24"/>
          <w:lang w:eastAsia="es-ES"/>
        </w:rPr>
        <w:t>Establecer si es dable ordenar la devolución de los gastos de</w:t>
      </w:r>
      <w:r w:rsidRPr="008C7C79">
        <w:rPr>
          <w:rFonts w:eastAsia="Times New Roman" w:cs="Tahoma"/>
          <w:szCs w:val="24"/>
          <w:lang w:eastAsia="es-ES"/>
        </w:rPr>
        <w:br/>
        <w:t>administración, rendimientos y seguros previsionales a Colpensiones, con cargo a sus propios recursos y debidamente indexados, durante el periodo en que estuvo afiliada la parte demandante en cada entidad.</w:t>
      </w:r>
    </w:p>
    <w:p w14:paraId="52DB1F05" w14:textId="77777777" w:rsidR="00B33A2C" w:rsidRPr="008C7C79" w:rsidRDefault="00B33A2C" w:rsidP="008C7C79">
      <w:pPr>
        <w:spacing w:line="276" w:lineRule="auto"/>
        <w:ind w:left="720"/>
        <w:contextualSpacing/>
        <w:jc w:val="left"/>
        <w:rPr>
          <w:rFonts w:eastAsia="Times New Roman" w:cs="Tahoma"/>
          <w:szCs w:val="24"/>
          <w:lang w:eastAsia="es-ES"/>
        </w:rPr>
      </w:pPr>
    </w:p>
    <w:p w14:paraId="3B41E07A" w14:textId="77777777" w:rsidR="00B33A2C" w:rsidRPr="008C7C79" w:rsidRDefault="00B33A2C" w:rsidP="008C7C79">
      <w:pPr>
        <w:widowControl w:val="0"/>
        <w:numPr>
          <w:ilvl w:val="0"/>
          <w:numId w:val="11"/>
        </w:numPr>
        <w:tabs>
          <w:tab w:val="left" w:pos="1134"/>
        </w:tabs>
        <w:autoSpaceDE w:val="0"/>
        <w:autoSpaceDN w:val="0"/>
        <w:adjustRightInd w:val="0"/>
        <w:spacing w:line="276" w:lineRule="auto"/>
        <w:ind w:left="0" w:firstLine="709"/>
        <w:contextualSpacing/>
        <w:rPr>
          <w:rFonts w:eastAsia="Times New Roman" w:cs="Tahoma"/>
          <w:szCs w:val="24"/>
          <w:lang w:eastAsia="es-ES"/>
        </w:rPr>
      </w:pPr>
      <w:r w:rsidRPr="008C7C79">
        <w:rPr>
          <w:rFonts w:eastAsia="Times New Roman" w:cs="Tahoma"/>
          <w:szCs w:val="24"/>
          <w:lang w:eastAsia="es-ES"/>
        </w:rPr>
        <w:t>Establecer si hay lugar a exonerar en costas a la AFP del RAIS Porvenir S.A.</w:t>
      </w:r>
    </w:p>
    <w:p w14:paraId="694D841B" w14:textId="77777777" w:rsidR="00B33A2C" w:rsidRPr="008C7C79" w:rsidRDefault="00B33A2C" w:rsidP="008C7C79">
      <w:pPr>
        <w:spacing w:line="276" w:lineRule="auto"/>
        <w:ind w:left="709"/>
        <w:contextualSpacing/>
        <w:jc w:val="left"/>
        <w:textAlignment w:val="baseline"/>
        <w:rPr>
          <w:rFonts w:eastAsia="Times New Roman" w:cs="Tahoma"/>
          <w:szCs w:val="24"/>
          <w:lang w:eastAsia="es-CO"/>
        </w:rPr>
      </w:pPr>
    </w:p>
    <w:p w14:paraId="5DD1ED34" w14:textId="77777777" w:rsidR="00B33A2C" w:rsidRPr="008C7C79" w:rsidRDefault="00B33A2C" w:rsidP="008C7C79">
      <w:pPr>
        <w:numPr>
          <w:ilvl w:val="0"/>
          <w:numId w:val="1"/>
        </w:numPr>
        <w:spacing w:line="276" w:lineRule="auto"/>
        <w:contextualSpacing/>
        <w:jc w:val="center"/>
        <w:rPr>
          <w:rFonts w:eastAsia="Times New Roman" w:cs="Tahoma"/>
          <w:b/>
          <w:bCs/>
          <w:szCs w:val="24"/>
          <w:lang w:val="es-ES_tradnl" w:eastAsia="es-ES"/>
        </w:rPr>
      </w:pPr>
      <w:r w:rsidRPr="008C7C79">
        <w:rPr>
          <w:rFonts w:eastAsia="Times New Roman" w:cs="Tahoma"/>
          <w:b/>
          <w:bCs/>
          <w:szCs w:val="24"/>
          <w:lang w:val="es-ES_tradnl" w:eastAsia="es-ES"/>
        </w:rPr>
        <w:t>Consideraciones</w:t>
      </w:r>
    </w:p>
    <w:p w14:paraId="5985C539" w14:textId="77777777" w:rsidR="00B33A2C" w:rsidRPr="008C7C79" w:rsidRDefault="00B33A2C" w:rsidP="008C7C79">
      <w:pPr>
        <w:widowControl w:val="0"/>
        <w:autoSpaceDE w:val="0"/>
        <w:autoSpaceDN w:val="0"/>
        <w:adjustRightInd w:val="0"/>
        <w:spacing w:line="276" w:lineRule="auto"/>
        <w:rPr>
          <w:rFonts w:cs="Tahoma"/>
          <w:b/>
          <w:szCs w:val="24"/>
        </w:rPr>
      </w:pPr>
    </w:p>
    <w:p w14:paraId="7BEBF3AB" w14:textId="77777777" w:rsidR="00B33A2C" w:rsidRPr="008C7C79" w:rsidRDefault="00B33A2C" w:rsidP="008C7C79">
      <w:pPr>
        <w:numPr>
          <w:ilvl w:val="1"/>
          <w:numId w:val="9"/>
        </w:numPr>
        <w:spacing w:line="276" w:lineRule="auto"/>
        <w:ind w:left="0" w:firstLine="709"/>
        <w:contextualSpacing/>
        <w:rPr>
          <w:rFonts w:eastAsia="Times New Roman" w:cs="Tahoma"/>
          <w:b/>
          <w:szCs w:val="24"/>
          <w:lang w:eastAsia="es-ES"/>
        </w:rPr>
      </w:pPr>
      <w:r w:rsidRPr="008C7C79">
        <w:rPr>
          <w:rFonts w:eastAsia="Times New Roman" w:cs="Tahoma"/>
          <w:b/>
          <w:szCs w:val="24"/>
          <w:lang w:eastAsia="es-ES"/>
        </w:rPr>
        <w:t xml:space="preserve">Precedente vertical: la tesis de la Corte Suprema de Justicia respecto al tema de la ineficacia del traslado constituye doctrina probable </w:t>
      </w:r>
    </w:p>
    <w:p w14:paraId="25EFF0C4" w14:textId="77777777" w:rsidR="00B33A2C" w:rsidRPr="008C7C79" w:rsidRDefault="00B33A2C" w:rsidP="008C7C79">
      <w:pPr>
        <w:spacing w:line="276" w:lineRule="auto"/>
        <w:ind w:firstLine="709"/>
        <w:rPr>
          <w:rFonts w:cs="Tahoma"/>
          <w:szCs w:val="24"/>
        </w:rPr>
      </w:pPr>
    </w:p>
    <w:p w14:paraId="487E7E56" w14:textId="77777777" w:rsidR="008B5C4E" w:rsidRPr="008B5C4E" w:rsidRDefault="008B5C4E" w:rsidP="008B5C4E">
      <w:pPr>
        <w:spacing w:line="276" w:lineRule="auto"/>
        <w:ind w:firstLine="567"/>
        <w:rPr>
          <w:rFonts w:eastAsia="Century Gothic" w:cs="Tahoma"/>
          <w:spacing w:val="-4"/>
          <w:szCs w:val="24"/>
          <w:lang w:val="es-CO"/>
        </w:rPr>
      </w:pPr>
      <w:r w:rsidRPr="008B5C4E">
        <w:rPr>
          <w:rFonts w:eastAsia="Century Gothic" w:cs="Tahoma"/>
          <w:szCs w:val="24"/>
          <w:lang w:val="es-CO"/>
        </w:rPr>
        <w:t xml:space="preserve">En la actualidad existe </w:t>
      </w:r>
      <w:r w:rsidRPr="008B5C4E">
        <w:rPr>
          <w:rFonts w:eastAsia="Century Gothic" w:cs="Tahoma"/>
          <w:b/>
          <w:szCs w:val="24"/>
          <w:lang w:val="es-CO"/>
        </w:rPr>
        <w:t>doctrina probable</w:t>
      </w:r>
      <w:r w:rsidRPr="008B5C4E">
        <w:rPr>
          <w:rFonts w:eastAsia="Century Gothic" w:cs="Tahoma"/>
          <w:szCs w:val="24"/>
          <w:lang w:val="es-CO"/>
        </w:rPr>
        <w:t xml:space="preserve"> respecto a la ineficacia de los traslados de regímenes, por cuanto la Sala de Casación Laboral ha proferido sobre el tema un número considerable de sentencias (más de 40), entre otras, las siguientes: </w:t>
      </w:r>
    </w:p>
    <w:p w14:paraId="37C18C4C" w14:textId="77777777" w:rsidR="008B5C4E" w:rsidRPr="008B5C4E" w:rsidRDefault="008B5C4E" w:rsidP="008B5C4E">
      <w:pPr>
        <w:shd w:val="clear" w:color="auto" w:fill="FFFFFF"/>
        <w:spacing w:line="276" w:lineRule="auto"/>
        <w:ind w:firstLine="737"/>
        <w:rPr>
          <w:rFonts w:eastAsia="Century Gothic" w:cs="Tahoma"/>
          <w:szCs w:val="24"/>
          <w:lang w:val="es-CO"/>
        </w:rPr>
      </w:pPr>
    </w:p>
    <w:p w14:paraId="17301E65" w14:textId="77777777" w:rsidR="008B5C4E" w:rsidRPr="008B5C4E" w:rsidRDefault="008B5C4E" w:rsidP="008B5C4E">
      <w:pPr>
        <w:spacing w:line="276" w:lineRule="auto"/>
        <w:ind w:firstLine="567"/>
        <w:rPr>
          <w:rFonts w:eastAsia="Century Gothic" w:cs="Tahoma"/>
          <w:szCs w:val="24"/>
          <w:lang w:val="es-CO"/>
        </w:rPr>
      </w:pPr>
      <w:r w:rsidRPr="008B5C4E">
        <w:rPr>
          <w:rFonts w:eastAsia="Century Gothic" w:cs="Tahoma"/>
          <w:bCs/>
          <w:szCs w:val="24"/>
          <w:lang w:val="es-CO"/>
        </w:rPr>
        <w:lastRenderedPageBreak/>
        <w:t xml:space="preserve">SL 31989 del 9 sep. 2008, </w:t>
      </w:r>
      <w:r w:rsidRPr="008B5C4E">
        <w:rPr>
          <w:rFonts w:eastAsia="Century Gothic" w:cs="Tahoma"/>
          <w:szCs w:val="24"/>
          <w:lang w:val="es-CO"/>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2C0AD9EA" w14:textId="77777777" w:rsidR="008B5C4E" w:rsidRPr="008B5C4E" w:rsidRDefault="008B5C4E" w:rsidP="008B5C4E">
      <w:pPr>
        <w:shd w:val="clear" w:color="auto" w:fill="FFFFFF"/>
        <w:spacing w:line="276" w:lineRule="auto"/>
        <w:ind w:firstLine="709"/>
        <w:contextualSpacing/>
        <w:jc w:val="left"/>
        <w:rPr>
          <w:rFonts w:eastAsia="Century Gothic" w:cs="Tahoma"/>
          <w:szCs w:val="24"/>
          <w:lang w:val="es-CO"/>
        </w:rPr>
      </w:pPr>
    </w:p>
    <w:p w14:paraId="3756BBF4" w14:textId="77777777" w:rsidR="008B5C4E" w:rsidRPr="008B5C4E" w:rsidRDefault="008B5C4E" w:rsidP="008B5C4E">
      <w:pPr>
        <w:spacing w:line="276" w:lineRule="auto"/>
        <w:ind w:firstLine="567"/>
        <w:rPr>
          <w:rFonts w:eastAsia="Century Gothic" w:cs="Tahoma"/>
          <w:spacing w:val="-4"/>
          <w:szCs w:val="24"/>
          <w:lang w:val="es-CO"/>
        </w:rPr>
      </w:pPr>
      <w:r w:rsidRPr="008B5C4E">
        <w:rPr>
          <w:rFonts w:eastAsia="Century Gothic" w:cs="Tahoma"/>
          <w:szCs w:val="24"/>
          <w:lang w:val="es-CO"/>
        </w:rPr>
        <w:t xml:space="preserve">En términos generales, en todas estas sentencias se determinó </w:t>
      </w:r>
      <w:r w:rsidRPr="008B5C4E">
        <w:rPr>
          <w:rFonts w:eastAsia="Century Gothic" w:cs="Tahoma"/>
          <w:i/>
          <w:szCs w:val="24"/>
          <w:lang w:val="es-CO"/>
        </w:rPr>
        <w:t xml:space="preserve">i) </w:t>
      </w:r>
      <w:r w:rsidRPr="008B5C4E">
        <w:rPr>
          <w:rFonts w:eastAsia="Century Gothic" w:cs="Tahoma"/>
          <w:szCs w:val="24"/>
          <w:lang w:val="es-CO"/>
        </w:rPr>
        <w:t xml:space="preserve">el alcance del deber de información a cargo de las Administradoras de Fondos de Pensiones, </w:t>
      </w:r>
      <w:r w:rsidRPr="008B5C4E">
        <w:rPr>
          <w:rFonts w:eastAsia="Century Gothic" w:cs="Tahoma"/>
          <w:i/>
          <w:szCs w:val="24"/>
          <w:lang w:val="es-CO"/>
        </w:rPr>
        <w:t xml:space="preserve">ii) </w:t>
      </w:r>
      <w:r w:rsidRPr="008B5C4E">
        <w:rPr>
          <w:rFonts w:eastAsia="Century Gothic" w:cs="Tahoma"/>
          <w:szCs w:val="24"/>
          <w:lang w:val="es-CO"/>
        </w:rPr>
        <w:t xml:space="preserve">la procedencia de la ineficacia del traslado, </w:t>
      </w:r>
      <w:proofErr w:type="spellStart"/>
      <w:r w:rsidRPr="008B5C4E">
        <w:rPr>
          <w:rFonts w:eastAsia="Century Gothic" w:cs="Tahoma"/>
          <w:i/>
          <w:szCs w:val="24"/>
          <w:lang w:val="es-CO"/>
        </w:rPr>
        <w:t>iii</w:t>
      </w:r>
      <w:proofErr w:type="spellEnd"/>
      <w:r w:rsidRPr="008B5C4E">
        <w:rPr>
          <w:rFonts w:eastAsia="Century Gothic" w:cs="Tahoma"/>
          <w:i/>
          <w:szCs w:val="24"/>
          <w:lang w:val="es-CO"/>
        </w:rPr>
        <w:t xml:space="preserve">) </w:t>
      </w:r>
      <w:r w:rsidRPr="008B5C4E">
        <w:rPr>
          <w:rFonts w:eastAsia="Century Gothic" w:cs="Tahoma"/>
          <w:szCs w:val="24"/>
          <w:lang w:val="es-CO"/>
        </w:rPr>
        <w:t>la inversión de la carga de la prueba en favor del afiliado.</w:t>
      </w:r>
      <w:r w:rsidRPr="008B5C4E">
        <w:rPr>
          <w:rFonts w:eastAsia="Century Gothic" w:cs="Tahoma"/>
          <w:spacing w:val="-4"/>
          <w:szCs w:val="24"/>
          <w:lang w:val="es-CO"/>
        </w:rPr>
        <w:t xml:space="preserve"> Todos los problemas jurídicos planteados en este asunto fueron objeto de estudio por parte de la Sala de Casación Laboral, de modo que basta referirnos a su precedente para dar respuesta a los mismos, como veremos a continuación.</w:t>
      </w:r>
    </w:p>
    <w:p w14:paraId="1575403B" w14:textId="77777777" w:rsidR="008B5C4E" w:rsidRPr="008B5C4E" w:rsidRDefault="008B5C4E" w:rsidP="008B5C4E">
      <w:pPr>
        <w:spacing w:line="276" w:lineRule="auto"/>
        <w:ind w:firstLine="567"/>
        <w:rPr>
          <w:rFonts w:eastAsia="Century Gothic" w:cs="Tahoma"/>
          <w:spacing w:val="-3"/>
          <w:kern w:val="2"/>
          <w:szCs w:val="24"/>
          <w:lang w:val="es-CO"/>
        </w:rPr>
      </w:pPr>
    </w:p>
    <w:p w14:paraId="4E2DE0F0" w14:textId="77777777" w:rsidR="008B5C4E" w:rsidRPr="008B5C4E" w:rsidRDefault="008B5C4E" w:rsidP="008B5C4E">
      <w:pPr>
        <w:numPr>
          <w:ilvl w:val="1"/>
          <w:numId w:val="12"/>
        </w:numPr>
        <w:spacing w:after="160" w:line="276" w:lineRule="auto"/>
        <w:ind w:left="0" w:firstLine="0"/>
        <w:contextualSpacing/>
        <w:jc w:val="left"/>
        <w:rPr>
          <w:rFonts w:cs="Tahoma"/>
          <w:b/>
          <w:szCs w:val="24"/>
          <w:lang w:val="es-CO"/>
        </w:rPr>
      </w:pPr>
      <w:r w:rsidRPr="008B5C4E">
        <w:rPr>
          <w:rFonts w:cs="Tahoma"/>
          <w:b/>
          <w:szCs w:val="24"/>
          <w:lang w:val="es-CO"/>
        </w:rPr>
        <w:t>“El deber de información a cargo de las administradoras de fondos de pensiones: Un deber exigible desde su creación</w:t>
      </w:r>
      <w:r w:rsidRPr="008B5C4E">
        <w:rPr>
          <w:rFonts w:cs="Tahoma"/>
          <w:b/>
          <w:szCs w:val="24"/>
          <w:vertAlign w:val="superscript"/>
          <w:lang w:val="es-CO"/>
        </w:rPr>
        <w:footnoteReference w:id="2"/>
      </w:r>
      <w:r w:rsidRPr="008B5C4E">
        <w:rPr>
          <w:rFonts w:cs="Tahoma"/>
          <w:b/>
          <w:szCs w:val="24"/>
          <w:lang w:val="es-CO"/>
        </w:rPr>
        <w:t>”</w:t>
      </w:r>
    </w:p>
    <w:p w14:paraId="511B384B" w14:textId="77777777" w:rsidR="008B5C4E" w:rsidRPr="008B5C4E" w:rsidRDefault="008B5C4E" w:rsidP="008B5C4E">
      <w:pPr>
        <w:spacing w:line="276" w:lineRule="auto"/>
        <w:ind w:firstLine="567"/>
        <w:rPr>
          <w:rFonts w:eastAsia="Century Gothic" w:cs="Tahoma"/>
          <w:spacing w:val="-3"/>
          <w:kern w:val="2"/>
          <w:szCs w:val="24"/>
          <w:lang w:val="es-CO"/>
        </w:rPr>
      </w:pPr>
    </w:p>
    <w:p w14:paraId="1C4B7EAC" w14:textId="77777777" w:rsidR="008B5C4E" w:rsidRPr="008B5C4E" w:rsidRDefault="008B5C4E" w:rsidP="008B5C4E">
      <w:pPr>
        <w:spacing w:line="276" w:lineRule="auto"/>
        <w:ind w:firstLine="567"/>
        <w:rPr>
          <w:rFonts w:eastAsia="Century Gothic" w:cs="Tahoma"/>
          <w:spacing w:val="-3"/>
          <w:kern w:val="2"/>
          <w:szCs w:val="24"/>
          <w:lang w:val="es-CO"/>
        </w:rPr>
      </w:pPr>
      <w:r w:rsidRPr="008B5C4E">
        <w:rPr>
          <w:rFonts w:eastAsia="Century Gothic" w:cs="Tahoma"/>
          <w:spacing w:val="-3"/>
          <w:kern w:val="2"/>
          <w:szCs w:val="24"/>
          <w:lang w:val="es-CO"/>
        </w:rPr>
        <w:t xml:space="preserve">Dado que las Administradoras de </w:t>
      </w:r>
      <w:r w:rsidRPr="008B5C4E">
        <w:rPr>
          <w:rFonts w:eastAsia="Century Gothic" w:cs="Tahoma"/>
          <w:szCs w:val="24"/>
          <w:lang w:val="es-CO"/>
        </w:rPr>
        <w:t>Fondos</w:t>
      </w:r>
      <w:r w:rsidRPr="008B5C4E">
        <w:rPr>
          <w:rFonts w:eastAsia="Century Gothic" w:cs="Tahoma"/>
          <w:spacing w:val="-3"/>
          <w:kern w:val="2"/>
          <w:szCs w:val="24"/>
          <w:lang w:val="es-CO"/>
        </w:rPr>
        <w:t xml:space="preserve"> de Pensiones son organismos profesionales, resulta aplicable el artículo 1604 del Código Civil, según el cual la prueba de la </w:t>
      </w:r>
      <w:r w:rsidRPr="008B5C4E">
        <w:rPr>
          <w:rFonts w:eastAsia="Century Gothic" w:cs="Tahoma"/>
          <w:spacing w:val="-3"/>
          <w:kern w:val="2"/>
          <w:szCs w:val="24"/>
          <w:u w:val="single"/>
          <w:lang w:val="es-CO"/>
        </w:rPr>
        <w:t>debida diligencia y cuidado</w:t>
      </w:r>
      <w:r w:rsidRPr="008B5C4E">
        <w:rPr>
          <w:rFonts w:eastAsia="Century Gothic" w:cs="Tahoma"/>
          <w:spacing w:val="-3"/>
          <w:kern w:val="2"/>
          <w:szCs w:val="24"/>
          <w:lang w:val="es-CO"/>
        </w:rPr>
        <w:t xml:space="preserve"> incumbe a quien ha debido emplearla, atendiendo a las siguientes razones:</w:t>
      </w:r>
    </w:p>
    <w:p w14:paraId="174755C4" w14:textId="77777777" w:rsidR="008B5C4E" w:rsidRPr="008B5C4E" w:rsidRDefault="008B5C4E" w:rsidP="008B5C4E">
      <w:pPr>
        <w:shd w:val="clear" w:color="auto" w:fill="FFFFFF"/>
        <w:spacing w:line="276" w:lineRule="auto"/>
        <w:ind w:firstLine="709"/>
        <w:contextualSpacing/>
        <w:jc w:val="left"/>
        <w:rPr>
          <w:rFonts w:eastAsia="Century Gothic" w:cs="Tahoma"/>
          <w:szCs w:val="24"/>
          <w:lang w:val="es-CO"/>
        </w:rPr>
      </w:pPr>
    </w:p>
    <w:p w14:paraId="26B20C68" w14:textId="77777777" w:rsidR="008B5C4E" w:rsidRPr="008B5C4E" w:rsidRDefault="008B5C4E" w:rsidP="008B5C4E">
      <w:pPr>
        <w:spacing w:line="276" w:lineRule="auto"/>
        <w:ind w:firstLine="567"/>
        <w:rPr>
          <w:rFonts w:eastAsia="Century Gothic" w:cs="Tahoma"/>
          <w:spacing w:val="-3"/>
          <w:kern w:val="2"/>
          <w:szCs w:val="24"/>
          <w:lang w:val="es-CO"/>
        </w:rPr>
      </w:pPr>
      <w:r w:rsidRPr="008B5C4E">
        <w:rPr>
          <w:rFonts w:eastAsia="Century Gothic" w:cs="Tahoma"/>
          <w:b/>
          <w:spacing w:val="-3"/>
          <w:kern w:val="2"/>
          <w:szCs w:val="24"/>
          <w:lang w:val="es-CO"/>
        </w:rPr>
        <w:t>1)</w:t>
      </w:r>
      <w:r w:rsidRPr="008B5C4E">
        <w:rPr>
          <w:rFonts w:eastAsia="Century Gothic" w:cs="Tahoma"/>
          <w:spacing w:val="-3"/>
          <w:kern w:val="2"/>
          <w:szCs w:val="24"/>
          <w:lang w:val="es-CO"/>
        </w:rPr>
        <w:t xml:space="preserve"> Las Administradoras de Fondos de Pensiones tienen deberes de carácter profesional con sus afiliados y con los consumidores del mercado potencial en general. Además, sus actividades se encuentran reguladas por el </w:t>
      </w:r>
      <w:r w:rsidRPr="008B5C4E">
        <w:rPr>
          <w:rFonts w:eastAsia="Century Gothic" w:cs="Tahoma"/>
          <w:spacing w:val="-3"/>
          <w:kern w:val="2"/>
          <w:szCs w:val="24"/>
          <w:u w:val="single"/>
          <w:lang w:val="es-CO"/>
        </w:rPr>
        <w:t>Decreto 663 de 1993</w:t>
      </w:r>
      <w:r w:rsidRPr="008B5C4E">
        <w:rPr>
          <w:rFonts w:eastAsia="Century Gothic" w:cs="Tahoma"/>
          <w:spacing w:val="-3"/>
          <w:kern w:val="2"/>
          <w:szCs w:val="24"/>
          <w:u w:val="single"/>
          <w:vertAlign w:val="superscript"/>
          <w:lang w:val="es-CO"/>
        </w:rPr>
        <w:footnoteReference w:id="3"/>
      </w:r>
      <w:r w:rsidRPr="008B5C4E">
        <w:rPr>
          <w:rFonts w:eastAsia="Century Gothic" w:cs="Tahoma"/>
          <w:spacing w:val="-3"/>
          <w:kern w:val="2"/>
          <w:szCs w:val="24"/>
          <w:lang w:val="es-CO"/>
        </w:rPr>
        <w:t>, norma en la que se destaca la importancia de los principios de debida diligencia, transparencia e información cierta, suficiente y oportuna.</w:t>
      </w:r>
    </w:p>
    <w:p w14:paraId="1792C135" w14:textId="77777777" w:rsidR="008B5C4E" w:rsidRPr="008B5C4E" w:rsidRDefault="008B5C4E" w:rsidP="008B5C4E">
      <w:pPr>
        <w:shd w:val="clear" w:color="auto" w:fill="FFFFFF"/>
        <w:spacing w:line="276" w:lineRule="auto"/>
        <w:ind w:firstLine="709"/>
        <w:contextualSpacing/>
        <w:jc w:val="left"/>
        <w:rPr>
          <w:rFonts w:eastAsia="Century Gothic" w:cs="Tahoma"/>
          <w:szCs w:val="24"/>
          <w:lang w:val="es-CO"/>
        </w:rPr>
      </w:pPr>
    </w:p>
    <w:p w14:paraId="740AD668" w14:textId="77777777" w:rsidR="008B5C4E" w:rsidRPr="008B5C4E" w:rsidRDefault="008B5C4E" w:rsidP="008B5C4E">
      <w:pPr>
        <w:spacing w:line="276" w:lineRule="auto"/>
        <w:ind w:firstLine="567"/>
        <w:rPr>
          <w:rFonts w:eastAsia="Century Gothic" w:cs="Tahoma"/>
          <w:szCs w:val="24"/>
          <w:lang w:val="es-CO"/>
        </w:rPr>
      </w:pPr>
      <w:r w:rsidRPr="008B5C4E">
        <w:rPr>
          <w:rFonts w:eastAsia="Century Gothic" w:cs="Tahoma"/>
          <w:b/>
          <w:spacing w:val="-3"/>
          <w:kern w:val="2"/>
          <w:szCs w:val="24"/>
          <w:lang w:val="es-CO"/>
        </w:rPr>
        <w:t>2)</w:t>
      </w:r>
      <w:r w:rsidRPr="008B5C4E">
        <w:rPr>
          <w:rFonts w:eastAsia="Century Gothic" w:cs="Tahoma"/>
          <w:spacing w:val="-3"/>
          <w:kern w:val="2"/>
          <w:szCs w:val="24"/>
          <w:lang w:val="es-CO"/>
        </w:rPr>
        <w:t xml:space="preserve"> Adicionalmente, se tiene previsto en el artículo 12 del Decreto 720 de 1994, que lo</w:t>
      </w:r>
      <w:r w:rsidRPr="008B5C4E">
        <w:rPr>
          <w:rFonts w:eastAsia="Century Gothic" w:cs="Tahoma"/>
          <w:szCs w:val="24"/>
          <w:lang w:val="es-CO"/>
        </w:rPr>
        <w:t xml:space="preserve">s promotores que empleen las sociedades administradoras del sistema general de pensiones deberán suministrar </w:t>
      </w:r>
      <w:r w:rsidRPr="008B5C4E">
        <w:rPr>
          <w:rFonts w:eastAsia="Century Gothic" w:cs="Tahoma"/>
          <w:szCs w:val="24"/>
          <w:u w:val="single"/>
          <w:lang w:val="es-CO"/>
        </w:rPr>
        <w:t>suficiente, amplia y oportuna</w:t>
      </w:r>
      <w:r w:rsidRPr="008B5C4E">
        <w:rPr>
          <w:rFonts w:eastAsia="Century Gothic" w:cs="Tahoma"/>
          <w:szCs w:val="24"/>
          <w:lang w:val="es-CO"/>
        </w:rPr>
        <w:t xml:space="preserve"> información a los posibles afiliados al momento de la promoción de la afiliación y durante </w:t>
      </w:r>
      <w:r w:rsidRPr="008B5C4E">
        <w:rPr>
          <w:rFonts w:eastAsia="Century Gothic" w:cs="Tahoma"/>
          <w:spacing w:val="-3"/>
          <w:kern w:val="2"/>
          <w:szCs w:val="24"/>
          <w:lang w:val="es-CO"/>
        </w:rPr>
        <w:t>toda</w:t>
      </w:r>
      <w:r w:rsidRPr="008B5C4E">
        <w:rPr>
          <w:rFonts w:eastAsia="Century Gothic" w:cs="Tahoma"/>
          <w:szCs w:val="24"/>
          <w:lang w:val="es-CO"/>
        </w:rPr>
        <w:t xml:space="preserve"> la vinculación con ocasión de las prestaciones a las cuales tenga derecho el afiliado. </w:t>
      </w:r>
    </w:p>
    <w:p w14:paraId="5ED050E9" w14:textId="77777777" w:rsidR="008B5C4E" w:rsidRPr="008B5C4E" w:rsidRDefault="008B5C4E" w:rsidP="008B5C4E">
      <w:pPr>
        <w:shd w:val="clear" w:color="auto" w:fill="FFFFFF"/>
        <w:spacing w:line="276" w:lineRule="auto"/>
        <w:ind w:firstLine="709"/>
        <w:contextualSpacing/>
        <w:jc w:val="left"/>
        <w:rPr>
          <w:rFonts w:eastAsia="Century Gothic" w:cs="Tahoma"/>
          <w:szCs w:val="24"/>
          <w:lang w:val="es-CO"/>
        </w:rPr>
      </w:pPr>
    </w:p>
    <w:p w14:paraId="78BCE1AB" w14:textId="77777777" w:rsidR="008B5C4E" w:rsidRPr="008B5C4E" w:rsidRDefault="008B5C4E" w:rsidP="008B5C4E">
      <w:pPr>
        <w:spacing w:line="276" w:lineRule="auto"/>
        <w:ind w:firstLine="567"/>
        <w:rPr>
          <w:rFonts w:eastAsia="Century Gothic" w:cs="Tahoma"/>
          <w:spacing w:val="-3"/>
          <w:kern w:val="2"/>
          <w:szCs w:val="24"/>
          <w:lang w:val="es-CO"/>
        </w:rPr>
      </w:pPr>
      <w:r w:rsidRPr="008B5C4E">
        <w:rPr>
          <w:rFonts w:eastAsia="Century Gothic" w:cs="Tahoma"/>
          <w:b/>
          <w:spacing w:val="-3"/>
          <w:kern w:val="2"/>
          <w:szCs w:val="24"/>
          <w:lang w:val="es-CO"/>
        </w:rPr>
        <w:t>3)</w:t>
      </w:r>
      <w:r w:rsidRPr="008B5C4E">
        <w:rPr>
          <w:rFonts w:eastAsia="Century Gothic" w:cs="Tahoma"/>
          <w:spacing w:val="-3"/>
          <w:kern w:val="2"/>
          <w:szCs w:val="24"/>
          <w:lang w:val="es-CO"/>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012A53F6" w14:textId="77777777" w:rsidR="008B5C4E" w:rsidRPr="008B5C4E" w:rsidRDefault="008B5C4E" w:rsidP="008B5C4E">
      <w:pPr>
        <w:shd w:val="clear" w:color="auto" w:fill="FFFFFF"/>
        <w:spacing w:line="276" w:lineRule="auto"/>
        <w:ind w:firstLine="709"/>
        <w:contextualSpacing/>
        <w:jc w:val="left"/>
        <w:rPr>
          <w:rFonts w:eastAsia="Century Gothic" w:cs="Tahoma"/>
          <w:szCs w:val="24"/>
          <w:lang w:val="es-CO"/>
        </w:rPr>
      </w:pPr>
    </w:p>
    <w:p w14:paraId="4FE3BB24" w14:textId="77777777" w:rsidR="008B5C4E" w:rsidRPr="008B5C4E" w:rsidRDefault="008B5C4E" w:rsidP="008B5C4E">
      <w:pPr>
        <w:spacing w:line="276" w:lineRule="auto"/>
        <w:ind w:firstLine="567"/>
        <w:rPr>
          <w:rFonts w:eastAsia="Century Gothic" w:cs="Tahoma"/>
          <w:iCs/>
          <w:szCs w:val="24"/>
          <w:u w:val="single"/>
          <w:lang w:val="es-CO"/>
        </w:rPr>
      </w:pPr>
      <w:r w:rsidRPr="008B5C4E">
        <w:rPr>
          <w:rFonts w:eastAsia="Century Gothic" w:cs="Tahoma"/>
          <w:b/>
          <w:spacing w:val="-3"/>
          <w:kern w:val="2"/>
          <w:szCs w:val="24"/>
          <w:lang w:val="es-CO"/>
        </w:rPr>
        <w:lastRenderedPageBreak/>
        <w:t>4)</w:t>
      </w:r>
      <w:r w:rsidRPr="008B5C4E">
        <w:rPr>
          <w:rFonts w:eastAsia="Century Gothic" w:cs="Tahoma"/>
          <w:spacing w:val="-3"/>
          <w:kern w:val="2"/>
          <w:szCs w:val="24"/>
          <w:lang w:val="es-CO"/>
        </w:rPr>
        <w:t xml:space="preserve"> En numerosas sentencias del órgano de cierre de la jurisdicción ordinaria laboral, se ha establecido que no puede argüirse que </w:t>
      </w:r>
      <w:r w:rsidRPr="008B5C4E">
        <w:rPr>
          <w:rFonts w:eastAsia="Century Gothic" w:cs="Tahoma"/>
          <w:iCs/>
          <w:szCs w:val="24"/>
          <w:lang w:val="es-CO"/>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8B5C4E">
        <w:rPr>
          <w:rFonts w:eastAsia="Century Gothic" w:cs="Tahoma"/>
          <w:i/>
          <w:iCs/>
          <w:szCs w:val="24"/>
          <w:lang w:val="es-CO"/>
        </w:rPr>
        <w:t>“</w:t>
      </w:r>
      <w:r w:rsidRPr="008B5C4E">
        <w:rPr>
          <w:rFonts w:eastAsia="Century Gothic" w:cs="Tahoma"/>
          <w:i/>
          <w:iCs/>
          <w:sz w:val="22"/>
          <w:szCs w:val="24"/>
          <w:u w:val="single"/>
          <w:lang w:val="es-CO"/>
        </w:rPr>
        <w:t>dar cuenta de que documentaron clara y suficientemente los efectos que acarrea el cambio de régimen, so pena de declarar ineficaz ese tránsito</w:t>
      </w:r>
      <w:r w:rsidRPr="008B5C4E">
        <w:rPr>
          <w:rFonts w:eastAsia="Century Gothic" w:cs="Tahoma"/>
          <w:i/>
          <w:iCs/>
          <w:szCs w:val="24"/>
          <w:u w:val="single"/>
          <w:lang w:val="es-CO"/>
        </w:rPr>
        <w:t>”</w:t>
      </w:r>
      <w:r w:rsidRPr="008B5C4E">
        <w:rPr>
          <w:rFonts w:eastAsia="Century Gothic" w:cs="Tahoma"/>
          <w:iCs/>
          <w:szCs w:val="24"/>
          <w:u w:val="single"/>
          <w:lang w:val="es-CO"/>
        </w:rPr>
        <w:t>.</w:t>
      </w:r>
    </w:p>
    <w:p w14:paraId="6E8F2573" w14:textId="77777777" w:rsidR="008B5C4E" w:rsidRPr="008B5C4E" w:rsidRDefault="008B5C4E" w:rsidP="008B5C4E">
      <w:pPr>
        <w:shd w:val="clear" w:color="auto" w:fill="FFFFFF"/>
        <w:spacing w:line="276" w:lineRule="auto"/>
        <w:ind w:firstLine="709"/>
        <w:contextualSpacing/>
        <w:jc w:val="left"/>
        <w:rPr>
          <w:rFonts w:eastAsia="Century Gothic" w:cs="Tahoma"/>
          <w:szCs w:val="24"/>
          <w:lang w:val="es-CO"/>
        </w:rPr>
      </w:pPr>
    </w:p>
    <w:p w14:paraId="049C9C20" w14:textId="77777777" w:rsidR="008B5C4E" w:rsidRPr="008B5C4E" w:rsidRDefault="008B5C4E" w:rsidP="008B5C4E">
      <w:pPr>
        <w:spacing w:line="276" w:lineRule="auto"/>
        <w:ind w:firstLine="567"/>
        <w:rPr>
          <w:rFonts w:eastAsia="Century Gothic" w:cs="Tahoma"/>
          <w:iCs/>
          <w:szCs w:val="24"/>
          <w:lang w:val="es-CO"/>
        </w:rPr>
      </w:pPr>
      <w:r w:rsidRPr="008B5C4E">
        <w:rPr>
          <w:rFonts w:eastAsia="Century Gothic" w:cs="Tahoma"/>
          <w:iCs/>
          <w:szCs w:val="24"/>
          <w:lang w:val="es-CO"/>
        </w:rPr>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w:t>
      </w:r>
      <w:r w:rsidRPr="008B5C4E">
        <w:rPr>
          <w:rFonts w:eastAsia="Century Gothic" w:cs="Tahoma"/>
          <w:szCs w:val="24"/>
          <w:lang w:val="es-CO"/>
        </w:rPr>
        <w:t>probatorios</w:t>
      </w:r>
      <w:r w:rsidRPr="008B5C4E">
        <w:rPr>
          <w:rFonts w:eastAsia="Century Gothic" w:cs="Tahoma"/>
          <w:iCs/>
          <w:szCs w:val="24"/>
          <w:lang w:val="es-CO"/>
        </w:rPr>
        <w:t xml:space="preserve"> a su alcance, que cumplió con el deber del buen consejo al transmitirle al afiliado toda aquella información que resultaba relevante para que tomara una decisión de tal trascendencia. </w:t>
      </w:r>
    </w:p>
    <w:p w14:paraId="071E281B" w14:textId="77777777" w:rsidR="008B5C4E" w:rsidRPr="008B5C4E" w:rsidRDefault="008B5C4E" w:rsidP="008B5C4E">
      <w:pPr>
        <w:shd w:val="clear" w:color="auto" w:fill="FFFFFF"/>
        <w:spacing w:line="276" w:lineRule="auto"/>
        <w:ind w:firstLine="709"/>
        <w:contextualSpacing/>
        <w:jc w:val="left"/>
        <w:rPr>
          <w:rFonts w:eastAsia="Century Gothic" w:cs="Tahoma"/>
          <w:szCs w:val="24"/>
          <w:lang w:val="es-CO"/>
        </w:rPr>
      </w:pPr>
    </w:p>
    <w:p w14:paraId="2AF55B4B" w14:textId="77777777" w:rsidR="008B5C4E" w:rsidRPr="008B5C4E" w:rsidRDefault="008B5C4E" w:rsidP="008B5C4E">
      <w:pPr>
        <w:spacing w:line="276" w:lineRule="auto"/>
        <w:ind w:firstLine="567"/>
        <w:rPr>
          <w:rFonts w:eastAsia="Century Gothic" w:cs="Tahoma"/>
          <w:iCs/>
          <w:szCs w:val="24"/>
          <w:lang w:val="es-CO"/>
        </w:rPr>
      </w:pPr>
      <w:r w:rsidRPr="008B5C4E">
        <w:rPr>
          <w:rFonts w:eastAsia="Century Gothic" w:cs="Tahoma"/>
          <w:iCs/>
          <w:szCs w:val="24"/>
          <w:lang w:val="es-CO"/>
        </w:rPr>
        <w:t>Dicho deber, como lo ha enseñado la Corte, es exigible desde las etapas previas y preparatorias a la formalización de la afiliación a la administradora, pues en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21BC0AAA" w14:textId="77777777" w:rsidR="008B5C4E" w:rsidRPr="008B5C4E" w:rsidRDefault="008B5C4E" w:rsidP="008B5C4E">
      <w:pPr>
        <w:shd w:val="clear" w:color="auto" w:fill="FFFFFF"/>
        <w:spacing w:line="276" w:lineRule="auto"/>
        <w:ind w:firstLine="709"/>
        <w:contextualSpacing/>
        <w:jc w:val="left"/>
        <w:rPr>
          <w:rFonts w:eastAsia="Century Gothic" w:cs="Tahoma"/>
          <w:szCs w:val="24"/>
          <w:lang w:val="es-CO"/>
        </w:rPr>
      </w:pPr>
    </w:p>
    <w:p w14:paraId="45F1DAFF" w14:textId="77777777" w:rsidR="008B5C4E" w:rsidRPr="008B5C4E" w:rsidRDefault="008B5C4E" w:rsidP="008B5C4E">
      <w:pPr>
        <w:spacing w:line="276" w:lineRule="auto"/>
        <w:ind w:firstLine="567"/>
        <w:rPr>
          <w:rFonts w:eastAsia="Century Gothic" w:cs="Tahoma"/>
          <w:szCs w:val="24"/>
          <w:lang w:val="es-CO"/>
        </w:rPr>
      </w:pPr>
      <w:r w:rsidRPr="008B5C4E">
        <w:rPr>
          <w:rFonts w:eastAsia="Century Gothic" w:cs="Tahoma"/>
          <w:szCs w:val="24"/>
          <w:lang w:val="es-CO"/>
        </w:rPr>
        <w:t xml:space="preserve">Ello así, también ha dicho el órgano de cierre de la especialidad laboral, que las </w:t>
      </w:r>
      <w:proofErr w:type="spellStart"/>
      <w:r w:rsidRPr="008B5C4E">
        <w:rPr>
          <w:rFonts w:eastAsia="Century Gothic" w:cs="Tahoma"/>
          <w:szCs w:val="24"/>
          <w:lang w:val="es-CO"/>
        </w:rPr>
        <w:t>AFPs</w:t>
      </w:r>
      <w:proofErr w:type="spellEnd"/>
      <w:r w:rsidRPr="008B5C4E">
        <w:rPr>
          <w:rFonts w:eastAsia="Century Gothic" w:cs="Tahoma"/>
          <w:szCs w:val="24"/>
          <w:lang w:val="es-CO"/>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6A6B4E2A" w14:textId="77777777" w:rsidR="008B5C4E" w:rsidRPr="008B5C4E" w:rsidRDefault="008B5C4E" w:rsidP="008B5C4E">
      <w:pPr>
        <w:shd w:val="clear" w:color="auto" w:fill="FFFFFF" w:themeFill="background1"/>
        <w:tabs>
          <w:tab w:val="left" w:pos="-720"/>
        </w:tabs>
        <w:suppressAutoHyphens/>
        <w:spacing w:line="276" w:lineRule="auto"/>
        <w:contextualSpacing/>
        <w:rPr>
          <w:rFonts w:eastAsia="Times New Roman" w:cs="Tahoma"/>
          <w:szCs w:val="24"/>
          <w:lang w:eastAsia="es-ES"/>
        </w:rPr>
      </w:pPr>
    </w:p>
    <w:p w14:paraId="31A27FD2" w14:textId="77777777" w:rsidR="008B5C4E" w:rsidRPr="008B5C4E" w:rsidRDefault="008B5C4E" w:rsidP="008B5C4E">
      <w:pPr>
        <w:shd w:val="clear" w:color="auto" w:fill="FFFFFF" w:themeFill="background1"/>
        <w:spacing w:line="276" w:lineRule="auto"/>
        <w:ind w:firstLine="708"/>
        <w:contextualSpacing/>
        <w:rPr>
          <w:rFonts w:eastAsia="Times New Roman" w:cs="Tahoma"/>
          <w:szCs w:val="24"/>
          <w:lang w:eastAsia="es-ES"/>
        </w:rPr>
      </w:pPr>
      <w:r w:rsidRPr="008B5C4E">
        <w:rPr>
          <w:rFonts w:eastAsia="Times New Roman" w:cs="Tahoma"/>
          <w:szCs w:val="24"/>
          <w:lang w:eastAsia="es-ES"/>
        </w:rPr>
        <w:t xml:space="preserve">Ahora bien, como quiera que uno de los argumentos de la defensa de las AFP es que la normatividad del deber de información se ha venido dando paulatinamente, vale la pena citar la sentencia del 8 de mayo de 2019SL 1688-2019, Radicado 68838, con Ponencia de la Dra. Clara Cecilia Dueñas Quevedo, donde </w:t>
      </w:r>
      <w:r w:rsidRPr="008B5C4E">
        <w:rPr>
          <w:rFonts w:eastAsia="Times New Roman" w:cs="Tahoma"/>
          <w:spacing w:val="-4"/>
          <w:szCs w:val="24"/>
          <w:lang w:eastAsia="es-ES"/>
        </w:rPr>
        <w:t>se hace un didáctico recuento histórico de las normas que rigen la actividad de los Fondos de Pensiones privados, dividiéndolo en 3 etapas, de cuyo análisis se llega a la conclusión de que a las AFP</w:t>
      </w:r>
      <w:r w:rsidRPr="008B5C4E">
        <w:rPr>
          <w:rFonts w:eastAsia="Times New Roman" w:cs="Tahoma"/>
          <w:szCs w:val="24"/>
          <w:lang w:eastAsia="es-ES"/>
        </w:rPr>
        <w:t xml:space="preserve"> les compete, desde su creación, el deber de suministrar una información </w:t>
      </w:r>
      <w:r w:rsidRPr="008B5C4E">
        <w:rPr>
          <w:rFonts w:eastAsia="Times New Roman" w:cs="Tahoma"/>
          <w:b/>
          <w:szCs w:val="24"/>
          <w:lang w:eastAsia="es-ES"/>
        </w:rPr>
        <w:t xml:space="preserve">necesaria y transparente, </w:t>
      </w:r>
      <w:r w:rsidRPr="008B5C4E">
        <w:rPr>
          <w:rFonts w:eastAsia="Times New Roman" w:cs="Tahoma"/>
          <w:szCs w:val="24"/>
          <w:lang w:eastAsia="es-ES"/>
        </w:rPr>
        <w:t xml:space="preserve">que con el </w:t>
      </w:r>
      <w:r w:rsidRPr="008B5C4E">
        <w:rPr>
          <w:rFonts w:eastAsia="Times New Roman" w:cs="Tahoma"/>
          <w:spacing w:val="-4"/>
          <w:szCs w:val="24"/>
          <w:lang w:eastAsia="es-ES"/>
        </w:rPr>
        <w:t xml:space="preserve">transcurrir del tiempo esta exigencia cambió, pasando de un deber de información necesaria al de </w:t>
      </w:r>
      <w:r w:rsidRPr="008B5C4E">
        <w:rPr>
          <w:rFonts w:eastAsia="Times New Roman" w:cs="Tahoma"/>
          <w:b/>
          <w:spacing w:val="-4"/>
          <w:szCs w:val="24"/>
          <w:lang w:eastAsia="es-ES"/>
        </w:rPr>
        <w:t>asesoría y buen consejo</w:t>
      </w:r>
      <w:r w:rsidRPr="008B5C4E">
        <w:rPr>
          <w:rFonts w:eastAsia="Times New Roman" w:cs="Tahoma"/>
          <w:spacing w:val="-4"/>
          <w:szCs w:val="24"/>
          <w:lang w:eastAsia="es-ES"/>
        </w:rPr>
        <w:t xml:space="preserve">, y finalmente al de </w:t>
      </w:r>
      <w:r w:rsidRPr="008B5C4E">
        <w:rPr>
          <w:rFonts w:eastAsia="Times New Roman" w:cs="Tahoma"/>
          <w:b/>
          <w:spacing w:val="-4"/>
          <w:szCs w:val="24"/>
          <w:lang w:eastAsia="es-ES"/>
        </w:rPr>
        <w:t>doble asesoría</w:t>
      </w:r>
      <w:r w:rsidRPr="008B5C4E">
        <w:rPr>
          <w:rFonts w:eastAsia="Times New Roman" w:cs="Tahoma"/>
          <w:spacing w:val="-4"/>
          <w:szCs w:val="24"/>
          <w:lang w:eastAsia="es-ES"/>
        </w:rPr>
        <w:t xml:space="preserve">, </w:t>
      </w:r>
      <w:r w:rsidRPr="008B5C4E">
        <w:rPr>
          <w:rFonts w:eastAsia="Times New Roman" w:cs="Tahoma"/>
          <w:szCs w:val="24"/>
          <w:lang w:eastAsia="es-ES"/>
        </w:rPr>
        <w:t>explicando en qué consiste cada uno de esos conceptos. Dicho recuento histórico, se compendia de la siguiente manera:</w:t>
      </w:r>
    </w:p>
    <w:p w14:paraId="199E1BFD" w14:textId="77777777" w:rsidR="00B33A2C" w:rsidRPr="008C7C79" w:rsidRDefault="00B33A2C" w:rsidP="008C7C79">
      <w:pPr>
        <w:spacing w:line="276" w:lineRule="auto"/>
        <w:ind w:firstLine="708"/>
        <w:contextualSpacing/>
        <w:jc w:val="left"/>
        <w:rPr>
          <w:rFonts w:eastAsia="Times New Roman" w:cs="Tahoma"/>
          <w:szCs w:val="24"/>
          <w:lang w:eastAsia="es-ES"/>
        </w:rPr>
      </w:pPr>
    </w:p>
    <w:p w14:paraId="1094C8FC" w14:textId="77777777" w:rsidR="008B5C4E" w:rsidRPr="008B5C4E" w:rsidRDefault="008B5C4E" w:rsidP="008B5C4E">
      <w:pPr>
        <w:spacing w:line="240" w:lineRule="auto"/>
        <w:ind w:left="426" w:right="420"/>
        <w:textAlignment w:val="baseline"/>
        <w:rPr>
          <w:rFonts w:eastAsia="Times New Roman" w:cs="Tahoma"/>
          <w:sz w:val="22"/>
          <w:szCs w:val="24"/>
          <w:lang w:eastAsia="es-ES"/>
        </w:rPr>
      </w:pPr>
      <w:bookmarkStart w:id="3" w:name="_Hlk80191322"/>
      <w:bookmarkStart w:id="4" w:name="_Hlk66368436"/>
      <w:r w:rsidRPr="008B5C4E">
        <w:rPr>
          <w:rFonts w:eastAsia="Times New Roman" w:cs="Tahoma"/>
          <w:i/>
          <w:iCs/>
          <w:sz w:val="22"/>
          <w:szCs w:val="24"/>
          <w:lang w:val="es-CO" w:eastAsia="es-ES"/>
        </w:rPr>
        <w:t>“El anterior recuento sobre la evolución normativa del deber de información a cargo de las administradoras de pensiones podría, a grandes rasgos, sintetizarse así:</w:t>
      </w:r>
    </w:p>
    <w:p w14:paraId="36EF2910" w14:textId="77777777" w:rsidR="008B5C4E" w:rsidRPr="008B5C4E" w:rsidRDefault="008B5C4E" w:rsidP="008B5C4E">
      <w:pPr>
        <w:spacing w:line="240" w:lineRule="auto"/>
        <w:ind w:left="426" w:right="420"/>
        <w:textAlignment w:val="baseline"/>
        <w:rPr>
          <w:rFonts w:eastAsia="Times New Roman" w:cs="Tahoma"/>
          <w:sz w:val="22"/>
          <w:szCs w:val="24"/>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8B5C4E" w:rsidRPr="008B5C4E" w14:paraId="1AF8C832" w14:textId="77777777" w:rsidTr="00DA0230">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10072986" w14:textId="77777777" w:rsidR="008B5C4E" w:rsidRPr="008B5C4E" w:rsidRDefault="008B5C4E" w:rsidP="008B5C4E">
            <w:pPr>
              <w:spacing w:line="276" w:lineRule="auto"/>
              <w:textAlignment w:val="baseline"/>
              <w:rPr>
                <w:rFonts w:eastAsia="Times New Roman" w:cs="Tahoma"/>
                <w:sz w:val="20"/>
                <w:szCs w:val="24"/>
                <w:lang w:eastAsia="es-ES"/>
              </w:rPr>
            </w:pPr>
            <w:r w:rsidRPr="008B5C4E">
              <w:rPr>
                <w:rFonts w:eastAsia="Times New Roman" w:cs="Tahoma"/>
                <w:b/>
                <w:bCs/>
                <w:i/>
                <w:iCs/>
                <w:sz w:val="20"/>
                <w:szCs w:val="24"/>
                <w:lang w:val="es-CO" w:eastAsia="es-ES"/>
              </w:rPr>
              <w:lastRenderedPageBreak/>
              <w:t>Etapa acumulativa</w:t>
            </w:r>
            <w:r w:rsidRPr="008B5C4E">
              <w:rPr>
                <w:rFonts w:eastAsia="Times New Roman"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DD0C3EE" w14:textId="77777777" w:rsidR="008B5C4E" w:rsidRPr="008B5C4E" w:rsidRDefault="008B5C4E" w:rsidP="008B5C4E">
            <w:pPr>
              <w:spacing w:line="276" w:lineRule="auto"/>
              <w:textAlignment w:val="baseline"/>
              <w:rPr>
                <w:rFonts w:eastAsia="Times New Roman" w:cs="Tahoma"/>
                <w:sz w:val="20"/>
                <w:szCs w:val="24"/>
                <w:lang w:eastAsia="es-ES"/>
              </w:rPr>
            </w:pPr>
            <w:r w:rsidRPr="008B5C4E">
              <w:rPr>
                <w:rFonts w:eastAsia="Times New Roman" w:cs="Tahoma"/>
                <w:b/>
                <w:bCs/>
                <w:i/>
                <w:iCs/>
                <w:sz w:val="20"/>
                <w:szCs w:val="24"/>
                <w:lang w:val="es-CO" w:eastAsia="es-ES"/>
              </w:rPr>
              <w:t>Normas que obligan a las administradoras de pensiones a dar información</w:t>
            </w:r>
            <w:r w:rsidRPr="008B5C4E">
              <w:rPr>
                <w:rFonts w:eastAsia="Times New Roman"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4CF981E3" w14:textId="77777777" w:rsidR="008B5C4E" w:rsidRPr="008B5C4E" w:rsidRDefault="008B5C4E" w:rsidP="008B5C4E">
            <w:pPr>
              <w:spacing w:line="276" w:lineRule="auto"/>
              <w:textAlignment w:val="baseline"/>
              <w:rPr>
                <w:rFonts w:eastAsia="Times New Roman" w:cs="Tahoma"/>
                <w:sz w:val="20"/>
                <w:szCs w:val="24"/>
                <w:lang w:eastAsia="es-ES"/>
              </w:rPr>
            </w:pPr>
            <w:r w:rsidRPr="008B5C4E">
              <w:rPr>
                <w:rFonts w:eastAsia="Times New Roman" w:cs="Tahoma"/>
                <w:b/>
                <w:bCs/>
                <w:i/>
                <w:iCs/>
                <w:sz w:val="20"/>
                <w:szCs w:val="24"/>
                <w:lang w:val="es-CO" w:eastAsia="es-ES"/>
              </w:rPr>
              <w:t>Contenido mínimo y alcance del deber de información</w:t>
            </w:r>
            <w:r w:rsidRPr="008B5C4E">
              <w:rPr>
                <w:rFonts w:eastAsia="Times New Roman" w:cs="Tahoma"/>
                <w:sz w:val="20"/>
                <w:szCs w:val="24"/>
                <w:lang w:eastAsia="es-ES"/>
              </w:rPr>
              <w:t> </w:t>
            </w:r>
          </w:p>
        </w:tc>
      </w:tr>
      <w:tr w:rsidR="008B5C4E" w:rsidRPr="008B5C4E" w14:paraId="133645BB" w14:textId="77777777" w:rsidTr="00DA0230">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5524DAC3" w14:textId="77777777" w:rsidR="008B5C4E" w:rsidRPr="008B5C4E" w:rsidRDefault="008B5C4E" w:rsidP="008B5C4E">
            <w:pPr>
              <w:spacing w:line="276" w:lineRule="auto"/>
              <w:textAlignment w:val="baseline"/>
              <w:rPr>
                <w:rFonts w:eastAsia="Times New Roman" w:cs="Tahoma"/>
                <w:sz w:val="20"/>
                <w:szCs w:val="24"/>
                <w:lang w:eastAsia="es-ES"/>
              </w:rPr>
            </w:pPr>
            <w:r w:rsidRPr="008B5C4E">
              <w:rPr>
                <w:rFonts w:eastAsia="Times New Roman" w:cs="Tahoma"/>
                <w:i/>
                <w:iCs/>
                <w:sz w:val="20"/>
                <w:szCs w:val="24"/>
                <w:lang w:val="es-CO" w:eastAsia="es-ES"/>
              </w:rPr>
              <w:t>Deber de información </w:t>
            </w:r>
            <w:r w:rsidRPr="008B5C4E">
              <w:rPr>
                <w:rFonts w:eastAsia="Times New Roman"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01E95850" w14:textId="77777777" w:rsidR="008B5C4E" w:rsidRPr="008B5C4E" w:rsidRDefault="008B5C4E" w:rsidP="008B5C4E">
            <w:pPr>
              <w:spacing w:line="276" w:lineRule="auto"/>
              <w:textAlignment w:val="baseline"/>
              <w:rPr>
                <w:rFonts w:eastAsia="Times New Roman" w:cs="Tahoma"/>
                <w:sz w:val="20"/>
                <w:szCs w:val="24"/>
                <w:lang w:eastAsia="es-ES"/>
              </w:rPr>
            </w:pPr>
            <w:r w:rsidRPr="008B5C4E">
              <w:rPr>
                <w:rFonts w:eastAsia="Times New Roman" w:cs="Tahoma"/>
                <w:i/>
                <w:iCs/>
                <w:sz w:val="20"/>
                <w:szCs w:val="24"/>
                <w:lang w:val="es-CO" w:eastAsia="es-ES"/>
              </w:rPr>
              <w:t>Arts. 13 literal b), 271 y 272 de la Ley 100 de 1993</w:t>
            </w:r>
            <w:r w:rsidRPr="008B5C4E">
              <w:rPr>
                <w:rFonts w:eastAsia="Times New Roman" w:cs="Tahoma"/>
                <w:sz w:val="20"/>
                <w:szCs w:val="24"/>
                <w:lang w:eastAsia="es-ES"/>
              </w:rPr>
              <w:t> </w:t>
            </w:r>
          </w:p>
          <w:p w14:paraId="6FEDB6FF" w14:textId="77777777" w:rsidR="008B5C4E" w:rsidRPr="008B5C4E" w:rsidRDefault="008B5C4E" w:rsidP="008B5C4E">
            <w:pPr>
              <w:spacing w:line="276" w:lineRule="auto"/>
              <w:textAlignment w:val="baseline"/>
              <w:rPr>
                <w:rFonts w:eastAsia="Times New Roman" w:cs="Tahoma"/>
                <w:sz w:val="20"/>
                <w:szCs w:val="24"/>
                <w:lang w:eastAsia="es-ES"/>
              </w:rPr>
            </w:pPr>
            <w:r w:rsidRPr="008B5C4E">
              <w:rPr>
                <w:rFonts w:eastAsia="Times New Roman" w:cs="Tahoma"/>
                <w:i/>
                <w:iCs/>
                <w:sz w:val="20"/>
                <w:szCs w:val="24"/>
                <w:lang w:eastAsia="es-ES"/>
              </w:rPr>
              <w:t>Art. 97, numeral 1 del Decreto 663 de 1993, modificado por el artículo 23 de la Ley 797 de 2003</w:t>
            </w:r>
            <w:r w:rsidRPr="008B5C4E">
              <w:rPr>
                <w:rFonts w:eastAsia="Times New Roman" w:cs="Tahoma"/>
                <w:sz w:val="20"/>
                <w:szCs w:val="24"/>
                <w:lang w:eastAsia="es-ES"/>
              </w:rPr>
              <w:t> </w:t>
            </w:r>
          </w:p>
          <w:p w14:paraId="0D924EDA" w14:textId="77777777" w:rsidR="008B5C4E" w:rsidRPr="008B5C4E" w:rsidRDefault="008B5C4E" w:rsidP="008B5C4E">
            <w:pPr>
              <w:spacing w:line="276" w:lineRule="auto"/>
              <w:textAlignment w:val="baseline"/>
              <w:rPr>
                <w:rFonts w:eastAsia="Times New Roman" w:cs="Tahoma"/>
                <w:sz w:val="20"/>
                <w:szCs w:val="24"/>
                <w:lang w:eastAsia="es-ES"/>
              </w:rPr>
            </w:pPr>
            <w:r w:rsidRPr="008B5C4E">
              <w:rPr>
                <w:rFonts w:eastAsia="Times New Roman" w:cs="Tahoma"/>
                <w:i/>
                <w:iCs/>
                <w:sz w:val="20"/>
                <w:szCs w:val="24"/>
                <w:lang w:eastAsia="es-ES"/>
              </w:rPr>
              <w:t>Disposiciones constitucionales relativas al derecho a la información, no menoscabo de derechos laborales y autonomía personal</w:t>
            </w:r>
            <w:r w:rsidRPr="008B5C4E">
              <w:rPr>
                <w:rFonts w:eastAsia="Times New Roman"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40E7AF20" w14:textId="77777777" w:rsidR="008B5C4E" w:rsidRPr="008B5C4E" w:rsidRDefault="008B5C4E" w:rsidP="008B5C4E">
            <w:pPr>
              <w:spacing w:line="276" w:lineRule="auto"/>
              <w:textAlignment w:val="baseline"/>
              <w:rPr>
                <w:rFonts w:eastAsia="Times New Roman" w:cs="Tahoma"/>
                <w:sz w:val="20"/>
                <w:szCs w:val="24"/>
                <w:lang w:eastAsia="es-ES"/>
              </w:rPr>
            </w:pPr>
            <w:r w:rsidRPr="008B5C4E">
              <w:rPr>
                <w:rFonts w:eastAsia="Times New Roman" w:cs="Tahoma"/>
                <w:i/>
                <w:iCs/>
                <w:sz w:val="20"/>
                <w:szCs w:val="24"/>
                <w:lang w:val="es-CO" w:eastAsia="es-ES"/>
              </w:rPr>
              <w:t>Ilustración de las características, condiciones, acceso, efectos y riesgos de cada uno de los regímenes pensionales, lo que incluye dar a conocer la existencia de un régimen de transición y la eventual pérdida de beneficios pensionales</w:t>
            </w:r>
            <w:r w:rsidRPr="008B5C4E">
              <w:rPr>
                <w:rFonts w:eastAsia="Times New Roman" w:cs="Tahoma"/>
                <w:sz w:val="20"/>
                <w:szCs w:val="24"/>
                <w:lang w:eastAsia="es-ES"/>
              </w:rPr>
              <w:t> </w:t>
            </w:r>
          </w:p>
        </w:tc>
      </w:tr>
      <w:tr w:rsidR="008B5C4E" w:rsidRPr="008B5C4E" w14:paraId="1E9BE19D" w14:textId="77777777" w:rsidTr="00DA0230">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241DC803" w14:textId="77777777" w:rsidR="008B5C4E" w:rsidRPr="008B5C4E" w:rsidRDefault="008B5C4E" w:rsidP="008B5C4E">
            <w:pPr>
              <w:spacing w:line="276" w:lineRule="auto"/>
              <w:textAlignment w:val="baseline"/>
              <w:rPr>
                <w:rFonts w:eastAsia="Times New Roman" w:cs="Tahoma"/>
                <w:sz w:val="20"/>
                <w:szCs w:val="24"/>
                <w:lang w:eastAsia="es-ES"/>
              </w:rPr>
            </w:pPr>
            <w:r w:rsidRPr="008B5C4E">
              <w:rPr>
                <w:rFonts w:eastAsia="Times New Roman" w:cs="Tahoma"/>
                <w:i/>
                <w:iCs/>
                <w:sz w:val="20"/>
                <w:szCs w:val="24"/>
                <w:lang w:val="es-CO" w:eastAsia="es-ES"/>
              </w:rPr>
              <w:t>Deber de información, asesoría y buen consejo</w:t>
            </w:r>
            <w:r w:rsidRPr="008B5C4E">
              <w:rPr>
                <w:rFonts w:eastAsia="Times New Roman"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258EF3F5" w14:textId="77777777" w:rsidR="008B5C4E" w:rsidRPr="008B5C4E" w:rsidRDefault="008B5C4E" w:rsidP="008B5C4E">
            <w:pPr>
              <w:spacing w:line="276" w:lineRule="auto"/>
              <w:textAlignment w:val="baseline"/>
              <w:rPr>
                <w:rFonts w:eastAsia="Times New Roman" w:cs="Tahoma"/>
                <w:sz w:val="20"/>
                <w:szCs w:val="24"/>
                <w:lang w:eastAsia="es-ES"/>
              </w:rPr>
            </w:pPr>
            <w:r w:rsidRPr="008B5C4E">
              <w:rPr>
                <w:rFonts w:eastAsia="Times New Roman" w:cs="Tahoma"/>
                <w:i/>
                <w:iCs/>
                <w:sz w:val="20"/>
                <w:szCs w:val="24"/>
                <w:lang w:val="es-CO" w:eastAsia="es-ES"/>
              </w:rPr>
              <w:t>Artículo 3, literal c) de la Ley 1328 de 2009</w:t>
            </w:r>
            <w:r w:rsidRPr="008B5C4E">
              <w:rPr>
                <w:rFonts w:eastAsia="Times New Roman" w:cs="Tahoma"/>
                <w:sz w:val="20"/>
                <w:szCs w:val="24"/>
                <w:lang w:eastAsia="es-ES"/>
              </w:rPr>
              <w:t> </w:t>
            </w:r>
          </w:p>
          <w:p w14:paraId="7831C1D0" w14:textId="77777777" w:rsidR="008B5C4E" w:rsidRPr="008B5C4E" w:rsidRDefault="008B5C4E" w:rsidP="008B5C4E">
            <w:pPr>
              <w:spacing w:line="276" w:lineRule="auto"/>
              <w:textAlignment w:val="baseline"/>
              <w:rPr>
                <w:rFonts w:eastAsia="Times New Roman" w:cs="Tahoma"/>
                <w:sz w:val="20"/>
                <w:szCs w:val="24"/>
                <w:lang w:eastAsia="es-ES"/>
              </w:rPr>
            </w:pPr>
            <w:r w:rsidRPr="008B5C4E">
              <w:rPr>
                <w:rFonts w:eastAsia="Times New Roman" w:cs="Tahoma"/>
                <w:i/>
                <w:iCs/>
                <w:sz w:val="20"/>
                <w:szCs w:val="24"/>
                <w:lang w:val="es-CO" w:eastAsia="es-ES"/>
              </w:rPr>
              <w:t>Decreto 2241 de 2010</w:t>
            </w:r>
            <w:r w:rsidRPr="008B5C4E">
              <w:rPr>
                <w:rFonts w:eastAsia="Times New Roman"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27E5312A" w14:textId="77777777" w:rsidR="008B5C4E" w:rsidRPr="008B5C4E" w:rsidRDefault="008B5C4E" w:rsidP="008B5C4E">
            <w:pPr>
              <w:spacing w:line="276" w:lineRule="auto"/>
              <w:textAlignment w:val="baseline"/>
              <w:rPr>
                <w:rFonts w:eastAsia="Times New Roman" w:cs="Tahoma"/>
                <w:sz w:val="20"/>
                <w:szCs w:val="24"/>
                <w:lang w:eastAsia="es-ES"/>
              </w:rPr>
            </w:pPr>
            <w:r w:rsidRPr="008B5C4E">
              <w:rPr>
                <w:rFonts w:eastAsia="Times New Roman" w:cs="Tahoma"/>
                <w:i/>
                <w:iCs/>
                <w:sz w:val="20"/>
                <w:szCs w:val="24"/>
                <w:lang w:val="es-CO" w:eastAsia="es-ES"/>
              </w:rPr>
              <w:t xml:space="preserve">Implica el análisis previo, calificado y </w:t>
            </w:r>
            <w:proofErr w:type="gramStart"/>
            <w:r w:rsidRPr="008B5C4E">
              <w:rPr>
                <w:rFonts w:eastAsia="Times New Roman" w:cs="Tahoma"/>
                <w:i/>
                <w:iCs/>
                <w:sz w:val="20"/>
                <w:szCs w:val="24"/>
                <w:lang w:val="es-CO" w:eastAsia="es-ES"/>
              </w:rPr>
              <w:t>global  de</w:t>
            </w:r>
            <w:proofErr w:type="gramEnd"/>
            <w:r w:rsidRPr="008B5C4E">
              <w:rPr>
                <w:rFonts w:eastAsia="Times New Roman" w:cs="Tahoma"/>
                <w:i/>
                <w:iCs/>
                <w:sz w:val="20"/>
                <w:szCs w:val="24"/>
                <w:lang w:val="es-CO" w:eastAsia="es-ES"/>
              </w:rPr>
              <w:t xml:space="preserve"> los antecedentes del afiliado y los pormenores de los regímenes pensionales, a fin de que el asesor o promotor pueda emitir un consejo, sugerencia o recomendación al afiliado acerca de lo que más le conviene y, por tanto, lo que podría perjudicarle</w:t>
            </w:r>
            <w:r w:rsidRPr="008B5C4E">
              <w:rPr>
                <w:rFonts w:eastAsia="Times New Roman" w:cs="Tahoma"/>
                <w:sz w:val="20"/>
                <w:szCs w:val="24"/>
                <w:lang w:eastAsia="es-ES"/>
              </w:rPr>
              <w:t> </w:t>
            </w:r>
          </w:p>
        </w:tc>
      </w:tr>
      <w:tr w:rsidR="008B5C4E" w:rsidRPr="008B5C4E" w14:paraId="4AE9DAB5" w14:textId="77777777" w:rsidTr="00DA0230">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5D2B1734" w14:textId="77777777" w:rsidR="008B5C4E" w:rsidRPr="008B5C4E" w:rsidRDefault="008B5C4E" w:rsidP="008B5C4E">
            <w:pPr>
              <w:spacing w:line="276" w:lineRule="auto"/>
              <w:textAlignment w:val="baseline"/>
              <w:rPr>
                <w:rFonts w:eastAsia="Times New Roman" w:cs="Tahoma"/>
                <w:sz w:val="20"/>
                <w:szCs w:val="24"/>
                <w:lang w:eastAsia="es-ES"/>
              </w:rPr>
            </w:pPr>
            <w:r w:rsidRPr="008B5C4E">
              <w:rPr>
                <w:rFonts w:eastAsia="Times New Roman" w:cs="Tahoma"/>
                <w:i/>
                <w:iCs/>
                <w:sz w:val="20"/>
                <w:szCs w:val="24"/>
                <w:lang w:val="es-CO" w:eastAsia="es-ES"/>
              </w:rPr>
              <w:t>Deber de información, asesoría, buen consejo y doble asesoría. </w:t>
            </w:r>
            <w:r w:rsidRPr="008B5C4E">
              <w:rPr>
                <w:rFonts w:eastAsia="Times New Roman"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5926178E" w14:textId="77777777" w:rsidR="008B5C4E" w:rsidRPr="008B5C4E" w:rsidRDefault="008B5C4E" w:rsidP="008B5C4E">
            <w:pPr>
              <w:spacing w:line="276" w:lineRule="auto"/>
              <w:textAlignment w:val="baseline"/>
              <w:rPr>
                <w:rFonts w:eastAsia="Times New Roman" w:cs="Tahoma"/>
                <w:sz w:val="20"/>
                <w:szCs w:val="24"/>
                <w:lang w:eastAsia="es-ES"/>
              </w:rPr>
            </w:pPr>
            <w:r w:rsidRPr="008B5C4E">
              <w:rPr>
                <w:rFonts w:eastAsia="Times New Roman" w:cs="Tahoma"/>
                <w:i/>
                <w:iCs/>
                <w:sz w:val="20"/>
                <w:szCs w:val="24"/>
                <w:lang w:val="es-CO" w:eastAsia="es-ES"/>
              </w:rPr>
              <w:t>Ley 1748 de 2014</w:t>
            </w:r>
            <w:r w:rsidRPr="008B5C4E">
              <w:rPr>
                <w:rFonts w:eastAsia="Times New Roman" w:cs="Tahoma"/>
                <w:sz w:val="20"/>
                <w:szCs w:val="24"/>
                <w:lang w:eastAsia="es-ES"/>
              </w:rPr>
              <w:t> </w:t>
            </w:r>
          </w:p>
          <w:p w14:paraId="2562917B" w14:textId="77777777" w:rsidR="008B5C4E" w:rsidRPr="008B5C4E" w:rsidRDefault="008B5C4E" w:rsidP="008B5C4E">
            <w:pPr>
              <w:spacing w:line="276" w:lineRule="auto"/>
              <w:textAlignment w:val="baseline"/>
              <w:rPr>
                <w:rFonts w:eastAsia="Times New Roman" w:cs="Tahoma"/>
                <w:sz w:val="20"/>
                <w:szCs w:val="24"/>
                <w:lang w:eastAsia="es-ES"/>
              </w:rPr>
            </w:pPr>
            <w:r w:rsidRPr="008B5C4E">
              <w:rPr>
                <w:rFonts w:eastAsia="Times New Roman" w:cs="Tahoma"/>
                <w:i/>
                <w:iCs/>
                <w:sz w:val="20"/>
                <w:szCs w:val="24"/>
                <w:lang w:val="es-CO" w:eastAsia="es-ES"/>
              </w:rPr>
              <w:t>Artículo 3 del Decreto 2071 de 2015</w:t>
            </w:r>
            <w:r w:rsidRPr="008B5C4E">
              <w:rPr>
                <w:rFonts w:eastAsia="Times New Roman" w:cs="Tahoma"/>
                <w:sz w:val="20"/>
                <w:szCs w:val="24"/>
                <w:lang w:eastAsia="es-ES"/>
              </w:rPr>
              <w:t> </w:t>
            </w:r>
          </w:p>
          <w:p w14:paraId="5173EEEE" w14:textId="77777777" w:rsidR="008B5C4E" w:rsidRPr="008B5C4E" w:rsidRDefault="008B5C4E" w:rsidP="008B5C4E">
            <w:pPr>
              <w:spacing w:line="276" w:lineRule="auto"/>
              <w:textAlignment w:val="baseline"/>
              <w:rPr>
                <w:rFonts w:eastAsia="Times New Roman" w:cs="Tahoma"/>
                <w:sz w:val="20"/>
                <w:szCs w:val="24"/>
                <w:lang w:eastAsia="es-ES"/>
              </w:rPr>
            </w:pPr>
            <w:r w:rsidRPr="008B5C4E">
              <w:rPr>
                <w:rFonts w:eastAsia="Times New Roman" w:cs="Tahoma"/>
                <w:i/>
                <w:iCs/>
                <w:sz w:val="20"/>
                <w:szCs w:val="24"/>
                <w:lang w:val="es-CO" w:eastAsia="es-ES"/>
              </w:rPr>
              <w:t>Circular Externa n. 016 de 2016</w:t>
            </w:r>
            <w:r w:rsidRPr="008B5C4E">
              <w:rPr>
                <w:rFonts w:eastAsia="Times New Roman"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67A1F2BB" w14:textId="77777777" w:rsidR="008B5C4E" w:rsidRPr="008B5C4E" w:rsidRDefault="008B5C4E" w:rsidP="008B5C4E">
            <w:pPr>
              <w:spacing w:line="276" w:lineRule="auto"/>
              <w:textAlignment w:val="baseline"/>
              <w:rPr>
                <w:rFonts w:eastAsia="Times New Roman" w:cs="Tahoma"/>
                <w:sz w:val="20"/>
                <w:szCs w:val="24"/>
                <w:lang w:eastAsia="es-ES"/>
              </w:rPr>
            </w:pPr>
            <w:r w:rsidRPr="008B5C4E">
              <w:rPr>
                <w:rFonts w:eastAsia="Times New Roman" w:cs="Tahoma"/>
                <w:i/>
                <w:iCs/>
                <w:sz w:val="20"/>
                <w:szCs w:val="24"/>
                <w:lang w:val="es-CO" w:eastAsia="es-ES"/>
              </w:rPr>
              <w:t>Junto con lo anterior, lleva inmerso el derecho a obtener asesoría de los representantes de ambos regímenes pensionales.</w:t>
            </w:r>
            <w:r w:rsidRPr="008B5C4E">
              <w:rPr>
                <w:rFonts w:eastAsia="Times New Roman" w:cs="Tahoma"/>
                <w:sz w:val="20"/>
                <w:szCs w:val="24"/>
                <w:lang w:eastAsia="es-ES"/>
              </w:rPr>
              <w:t> </w:t>
            </w:r>
          </w:p>
        </w:tc>
      </w:tr>
      <w:bookmarkEnd w:id="3"/>
    </w:tbl>
    <w:p w14:paraId="08782561" w14:textId="77777777" w:rsidR="008B5C4E" w:rsidRPr="008B5C4E" w:rsidRDefault="008B5C4E" w:rsidP="008B5C4E">
      <w:pPr>
        <w:spacing w:line="240" w:lineRule="auto"/>
        <w:ind w:left="426" w:right="420" w:firstLine="709"/>
        <w:rPr>
          <w:rFonts w:eastAsia="Calibri" w:cs="Tahoma"/>
          <w:b/>
          <w:i/>
          <w:spacing w:val="-4"/>
          <w:sz w:val="22"/>
          <w:szCs w:val="24"/>
          <w:lang w:val="es-CO"/>
        </w:rPr>
      </w:pPr>
    </w:p>
    <w:p w14:paraId="043EA2A1" w14:textId="77777777" w:rsidR="008B5C4E" w:rsidRPr="008B5C4E" w:rsidRDefault="008B5C4E" w:rsidP="008B5C4E">
      <w:pPr>
        <w:spacing w:line="240" w:lineRule="auto"/>
        <w:ind w:left="426" w:right="420" w:firstLine="709"/>
        <w:rPr>
          <w:rFonts w:eastAsia="Calibri" w:cs="Tahoma"/>
          <w:b/>
          <w:i/>
          <w:sz w:val="22"/>
          <w:szCs w:val="24"/>
          <w:lang w:val="es-CO"/>
        </w:rPr>
      </w:pPr>
      <w:bookmarkStart w:id="5" w:name="_Hlk80191347"/>
      <w:bookmarkEnd w:id="4"/>
      <w:r w:rsidRPr="008B5C4E">
        <w:rPr>
          <w:rFonts w:eastAsia="Calibri" w:cs="Tahoma"/>
          <w:b/>
          <w:i/>
          <w:sz w:val="22"/>
          <w:szCs w:val="24"/>
          <w:lang w:val="es-CO"/>
        </w:rPr>
        <w:t>1.4 Conclusión: La constatación del deber de información es ineludible</w:t>
      </w:r>
    </w:p>
    <w:p w14:paraId="71F1AA4A" w14:textId="77777777" w:rsidR="008B5C4E" w:rsidRPr="008B5C4E" w:rsidRDefault="008B5C4E" w:rsidP="008B5C4E">
      <w:pPr>
        <w:spacing w:line="240" w:lineRule="auto"/>
        <w:ind w:left="426" w:right="420" w:firstLine="709"/>
        <w:rPr>
          <w:rFonts w:eastAsia="Calibri" w:cs="Tahoma"/>
          <w:b/>
          <w:i/>
          <w:sz w:val="22"/>
          <w:szCs w:val="24"/>
          <w:lang w:val="es-CO"/>
        </w:rPr>
      </w:pPr>
    </w:p>
    <w:p w14:paraId="5F1ED4BD" w14:textId="77777777" w:rsidR="008B5C4E" w:rsidRPr="008B5C4E" w:rsidRDefault="008B5C4E" w:rsidP="008B5C4E">
      <w:pPr>
        <w:spacing w:line="240" w:lineRule="auto"/>
        <w:ind w:left="426" w:right="420" w:firstLine="1"/>
        <w:rPr>
          <w:rFonts w:eastAsia="Calibri" w:cs="Tahoma"/>
          <w:i/>
          <w:sz w:val="22"/>
          <w:szCs w:val="24"/>
          <w:lang w:val="es-CO"/>
        </w:rPr>
      </w:pPr>
      <w:r w:rsidRPr="008B5C4E">
        <w:rPr>
          <w:rFonts w:eastAsia="Calibri" w:cs="Tahoma"/>
          <w:i/>
          <w:sz w:val="22"/>
          <w:szCs w:val="24"/>
          <w:lang w:val="es-CO"/>
        </w:rPr>
        <w:t xml:space="preserve">Según se pudo advertir del anterior recuento, </w:t>
      </w:r>
      <w:r w:rsidRPr="008B5C4E">
        <w:rPr>
          <w:rFonts w:eastAsia="Calibri" w:cs="Tahoma"/>
          <w:b/>
          <w:i/>
          <w:sz w:val="22"/>
          <w:szCs w:val="24"/>
          <w:lang w:val="es-CO"/>
        </w:rPr>
        <w:t>las AFP, desde su creación, tenían el deber de brindar información a los afiliados o usuarios del sistema pensional a fin de que estos pudiesen adoptar una decisión consciente y realmente libre sobre su futuro pensional.</w:t>
      </w:r>
      <w:r w:rsidRPr="008B5C4E">
        <w:rPr>
          <w:rFonts w:eastAsia="Calibri" w:cs="Tahoma"/>
          <w:i/>
          <w:sz w:val="22"/>
          <w:szCs w:val="24"/>
          <w:lang w:val="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3CD43A3E" w14:textId="77777777" w:rsidR="008B5C4E" w:rsidRPr="008B5C4E" w:rsidRDefault="008B5C4E" w:rsidP="008B5C4E">
      <w:pPr>
        <w:spacing w:line="240" w:lineRule="auto"/>
        <w:ind w:left="426" w:right="420" w:firstLine="1"/>
        <w:rPr>
          <w:rFonts w:eastAsia="Calibri" w:cs="Tahoma"/>
          <w:i/>
          <w:sz w:val="22"/>
          <w:szCs w:val="24"/>
          <w:lang w:val="es-CO"/>
        </w:rPr>
      </w:pPr>
    </w:p>
    <w:p w14:paraId="34CB1F5C" w14:textId="77777777" w:rsidR="008B5C4E" w:rsidRPr="008B5C4E" w:rsidRDefault="008B5C4E" w:rsidP="008B5C4E">
      <w:pPr>
        <w:spacing w:line="240" w:lineRule="auto"/>
        <w:ind w:left="426" w:right="420"/>
        <w:rPr>
          <w:rFonts w:eastAsia="Calibri" w:cs="Tahoma"/>
          <w:i/>
          <w:sz w:val="22"/>
          <w:szCs w:val="24"/>
          <w:lang w:val="es-CO"/>
        </w:rPr>
      </w:pPr>
      <w:r w:rsidRPr="008B5C4E">
        <w:rPr>
          <w:rFonts w:eastAsia="Calibri" w:cs="Tahoma"/>
          <w:i/>
          <w:sz w:val="22"/>
          <w:szCs w:val="24"/>
          <w:lang w:val="es-CO"/>
        </w:rPr>
        <w:t xml:space="preserve">Así las cosas, el Tribunal cometió un primer error al concluir que la responsabilidad por el incumplimiento o entrega de información deficitaria surgió con el </w:t>
      </w:r>
      <w:r w:rsidRPr="008B5C4E">
        <w:rPr>
          <w:rFonts w:eastAsia="Calibri" w:cs="Tahoma"/>
          <w:i/>
          <w:sz w:val="22"/>
          <w:szCs w:val="24"/>
        </w:rPr>
        <w:t>Decreto 019 de 2012, en la medida que este exista desde la expedición de la Ley 100 de 1993, el Decreto 663 de 1993 y era predicable de la esencia de las actividades desarrolladas por las administradoras de fondos de pensiones, según se explicó ampliamente.</w:t>
      </w:r>
      <w:r w:rsidRPr="008B5C4E">
        <w:rPr>
          <w:rFonts w:eastAsia="Calibri" w:cs="Tahoma"/>
          <w:i/>
          <w:sz w:val="22"/>
          <w:szCs w:val="24"/>
          <w:lang w:val="es-CO"/>
        </w:rPr>
        <w:t xml:space="preserve">  </w:t>
      </w:r>
    </w:p>
    <w:p w14:paraId="6F7EE728" w14:textId="77777777" w:rsidR="008B5C4E" w:rsidRPr="008B5C4E" w:rsidRDefault="008B5C4E" w:rsidP="008B5C4E">
      <w:pPr>
        <w:spacing w:line="240" w:lineRule="auto"/>
        <w:ind w:left="426" w:right="420" w:firstLine="709"/>
        <w:rPr>
          <w:rFonts w:eastAsia="Calibri" w:cs="Tahoma"/>
          <w:i/>
          <w:sz w:val="22"/>
          <w:szCs w:val="24"/>
          <w:lang w:val="es-CO"/>
        </w:rPr>
      </w:pPr>
    </w:p>
    <w:p w14:paraId="7276E875" w14:textId="77777777" w:rsidR="008B5C4E" w:rsidRPr="008B5C4E" w:rsidRDefault="008B5C4E" w:rsidP="008B5C4E">
      <w:pPr>
        <w:spacing w:line="240" w:lineRule="auto"/>
        <w:ind w:left="426" w:right="420"/>
        <w:rPr>
          <w:rFonts w:eastAsia="Calibri" w:cs="Tahoma"/>
          <w:i/>
          <w:sz w:val="22"/>
          <w:szCs w:val="24"/>
          <w:lang w:val="es-CO"/>
        </w:rPr>
      </w:pPr>
      <w:r w:rsidRPr="008B5C4E">
        <w:rPr>
          <w:rFonts w:eastAsia="Calibri" w:cs="Tahoma"/>
          <w:i/>
          <w:sz w:val="22"/>
          <w:szCs w:val="24"/>
          <w:lang w:val="es-CO"/>
        </w:rPr>
        <w:t xml:space="preserve">Adicionalmente, la Sala no puede pasar por alto la indebida fundamentación con la que </w:t>
      </w:r>
      <w:r w:rsidRPr="008B5C4E">
        <w:rPr>
          <w:rFonts w:eastAsia="Calibri" w:cs="Tahoma"/>
          <w:bCs/>
          <w:i/>
          <w:sz w:val="22"/>
          <w:szCs w:val="24"/>
        </w:rPr>
        <w:t>la Sala Primera de Decisión Laboral del Tribunal de Medellín</w:t>
      </w:r>
      <w:r w:rsidRPr="008B5C4E">
        <w:rPr>
          <w:rFonts w:eastAsia="Calibri" w:cs="Tahoma"/>
          <w:i/>
          <w:sz w:val="22"/>
          <w:szCs w:val="24"/>
          <w:lang w:val="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56C0C551" w14:textId="77777777" w:rsidR="008B5C4E" w:rsidRPr="008B5C4E" w:rsidRDefault="008B5C4E" w:rsidP="008B5C4E">
      <w:pPr>
        <w:spacing w:line="276" w:lineRule="auto"/>
        <w:ind w:left="708" w:firstLine="737"/>
        <w:rPr>
          <w:rFonts w:eastAsia="Century Gothic" w:cs="Tahoma"/>
          <w:i/>
          <w:spacing w:val="-4"/>
          <w:szCs w:val="24"/>
          <w:lang w:val="es-CO"/>
        </w:rPr>
      </w:pPr>
    </w:p>
    <w:p w14:paraId="3C5E9529" w14:textId="77777777" w:rsidR="008B5C4E" w:rsidRPr="008B5C4E" w:rsidRDefault="008B5C4E" w:rsidP="008B5C4E">
      <w:pPr>
        <w:spacing w:line="276" w:lineRule="auto"/>
        <w:ind w:firstLine="644"/>
        <w:rPr>
          <w:rFonts w:eastAsia="Century Gothic" w:cs="Tahoma"/>
          <w:spacing w:val="-4"/>
          <w:szCs w:val="24"/>
          <w:lang w:val="es-CO"/>
        </w:rPr>
      </w:pPr>
      <w:r w:rsidRPr="008B5C4E">
        <w:rPr>
          <w:rFonts w:eastAsia="Century Gothic" w:cs="Tahoma"/>
          <w:spacing w:val="-4"/>
          <w:szCs w:val="24"/>
          <w:lang w:val="es-CO"/>
        </w:rPr>
        <w:t>Con lo dicho precedentemente queda resuelto el primer problema jurídico.</w:t>
      </w:r>
    </w:p>
    <w:bookmarkEnd w:id="5"/>
    <w:p w14:paraId="606983FA" w14:textId="77777777" w:rsidR="00B33A2C" w:rsidRPr="008C7C79" w:rsidRDefault="00B33A2C" w:rsidP="008C7C79">
      <w:pPr>
        <w:spacing w:line="276" w:lineRule="auto"/>
        <w:ind w:firstLine="644"/>
        <w:rPr>
          <w:rFonts w:cs="Tahoma"/>
          <w:spacing w:val="-4"/>
          <w:szCs w:val="24"/>
        </w:rPr>
      </w:pPr>
    </w:p>
    <w:p w14:paraId="4AF8F00D" w14:textId="77777777" w:rsidR="00B33A2C" w:rsidRPr="008C7C79" w:rsidRDefault="00B33A2C" w:rsidP="008C7C79">
      <w:pPr>
        <w:numPr>
          <w:ilvl w:val="1"/>
          <w:numId w:val="9"/>
        </w:numPr>
        <w:spacing w:line="276" w:lineRule="auto"/>
        <w:ind w:left="0" w:firstLine="709"/>
        <w:contextualSpacing/>
        <w:rPr>
          <w:rFonts w:eastAsia="Times New Roman" w:cs="Tahoma"/>
          <w:iCs/>
          <w:spacing w:val="-4"/>
          <w:szCs w:val="24"/>
          <w:lang w:eastAsia="es-ES"/>
        </w:rPr>
      </w:pPr>
      <w:r w:rsidRPr="008C7C79">
        <w:rPr>
          <w:rFonts w:eastAsia="Times New Roman" w:cs="Tahoma"/>
          <w:b/>
          <w:iCs/>
          <w:spacing w:val="-4"/>
          <w:szCs w:val="24"/>
          <w:lang w:eastAsia="es-ES"/>
        </w:rPr>
        <w:t xml:space="preserve">“El simple consentimiento vertido en el formulario de afiliación es insuficiente – Necesidad de un consentimiento informado” </w:t>
      </w:r>
      <w:r w:rsidRPr="008C7C79">
        <w:rPr>
          <w:rFonts w:eastAsia="Times New Roman" w:cs="Tahoma"/>
          <w:b/>
          <w:iCs/>
          <w:spacing w:val="-4"/>
          <w:szCs w:val="24"/>
          <w:vertAlign w:val="superscript"/>
          <w:lang w:eastAsia="es-ES"/>
        </w:rPr>
        <w:footnoteReference w:id="4"/>
      </w:r>
      <w:r w:rsidRPr="008C7C79">
        <w:rPr>
          <w:rFonts w:eastAsia="Times New Roman" w:cs="Tahoma"/>
          <w:iCs/>
          <w:spacing w:val="-4"/>
          <w:szCs w:val="24"/>
          <w:lang w:eastAsia="es-ES"/>
        </w:rPr>
        <w:t xml:space="preserve"> </w:t>
      </w:r>
    </w:p>
    <w:p w14:paraId="4B1E0195" w14:textId="77777777" w:rsidR="00B33A2C" w:rsidRPr="008C7C79" w:rsidRDefault="00B33A2C" w:rsidP="008C7C79">
      <w:pPr>
        <w:spacing w:line="276" w:lineRule="auto"/>
        <w:ind w:firstLine="709"/>
        <w:rPr>
          <w:rFonts w:cs="Tahoma"/>
          <w:spacing w:val="-4"/>
          <w:szCs w:val="24"/>
        </w:rPr>
      </w:pPr>
    </w:p>
    <w:p w14:paraId="592F8951" w14:textId="77777777" w:rsidR="00B33A2C" w:rsidRPr="008C7C79" w:rsidRDefault="00B33A2C" w:rsidP="008C7C79">
      <w:pPr>
        <w:spacing w:line="276" w:lineRule="auto"/>
        <w:ind w:firstLine="709"/>
        <w:rPr>
          <w:rFonts w:cs="Tahoma"/>
          <w:spacing w:val="-4"/>
          <w:szCs w:val="24"/>
        </w:rPr>
      </w:pPr>
      <w:r w:rsidRPr="008C7C79">
        <w:rPr>
          <w:rFonts w:cs="Tahoma"/>
          <w:spacing w:val="-4"/>
          <w:szCs w:val="24"/>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8C7C79">
        <w:rPr>
          <w:rFonts w:cs="Tahoma"/>
          <w:b/>
          <w:spacing w:val="-4"/>
          <w:szCs w:val="24"/>
        </w:rPr>
        <w:t>pero no informado</w:t>
      </w:r>
      <w:r w:rsidRPr="008C7C79">
        <w:rPr>
          <w:rFonts w:cs="Tahoma"/>
          <w:spacing w:val="-4"/>
          <w:szCs w:val="24"/>
        </w:rPr>
        <w:t xml:space="preserve">, tal como se expresa a continuación: </w:t>
      </w:r>
    </w:p>
    <w:p w14:paraId="0FB3E09D" w14:textId="77777777" w:rsidR="00B33A2C" w:rsidRPr="008C7C79" w:rsidRDefault="00B33A2C" w:rsidP="008C7C79">
      <w:pPr>
        <w:spacing w:line="276" w:lineRule="auto"/>
        <w:ind w:firstLine="709"/>
        <w:rPr>
          <w:rFonts w:cs="Tahoma"/>
          <w:spacing w:val="-4"/>
          <w:szCs w:val="24"/>
        </w:rPr>
      </w:pPr>
    </w:p>
    <w:p w14:paraId="021D991B" w14:textId="77777777" w:rsidR="004D22AC" w:rsidRPr="004D22AC" w:rsidRDefault="004D22AC" w:rsidP="004D22AC">
      <w:pPr>
        <w:spacing w:line="240" w:lineRule="auto"/>
        <w:ind w:left="426" w:right="420" w:firstLine="1"/>
        <w:rPr>
          <w:rFonts w:eastAsia="Calibri" w:cs="Tahoma"/>
          <w:i/>
          <w:sz w:val="22"/>
          <w:szCs w:val="24"/>
          <w:lang w:val="es-CO"/>
        </w:rPr>
      </w:pPr>
      <w:bookmarkStart w:id="6" w:name="_Hlk80191376"/>
      <w:r w:rsidRPr="004D22AC">
        <w:rPr>
          <w:rFonts w:eastAsia="Calibri" w:cs="Tahoma"/>
          <w:i/>
          <w:sz w:val="22"/>
          <w:szCs w:val="24"/>
          <w:lang w:val="es-CO"/>
        </w:rPr>
        <w:t xml:space="preserve">“Para el Tribunal el consentimiento informado no es predicable del acto jurídico de traslado, pues basta la consignación en el formulario de que la afiliación se hizo de manera libre y voluntaria. </w:t>
      </w:r>
    </w:p>
    <w:p w14:paraId="44874DEA" w14:textId="77777777" w:rsidR="004D22AC" w:rsidRPr="004D22AC" w:rsidRDefault="004D22AC" w:rsidP="004D22AC">
      <w:pPr>
        <w:spacing w:line="240" w:lineRule="auto"/>
        <w:ind w:left="426" w:right="420" w:firstLine="1"/>
        <w:rPr>
          <w:rFonts w:eastAsia="Calibri" w:cs="Tahoma"/>
          <w:i/>
          <w:sz w:val="22"/>
          <w:szCs w:val="24"/>
          <w:lang w:val="es-CO"/>
        </w:rPr>
      </w:pPr>
    </w:p>
    <w:p w14:paraId="15C4F130" w14:textId="77777777" w:rsidR="004D22AC" w:rsidRPr="004D22AC" w:rsidRDefault="004D22AC" w:rsidP="004D22AC">
      <w:pPr>
        <w:spacing w:line="240" w:lineRule="auto"/>
        <w:ind w:left="426" w:right="420" w:firstLine="1"/>
        <w:rPr>
          <w:rFonts w:eastAsia="Calibri" w:cs="Tahoma"/>
          <w:i/>
          <w:sz w:val="22"/>
          <w:szCs w:val="24"/>
          <w:lang w:val="es-CO"/>
        </w:rPr>
      </w:pPr>
      <w:r w:rsidRPr="004D22AC">
        <w:rPr>
          <w:rFonts w:eastAsia="Calibri" w:cs="Tahoma"/>
          <w:i/>
          <w:sz w:val="22"/>
          <w:szCs w:val="24"/>
          <w:lang w:val="es-CO"/>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3F658D7D" w14:textId="77777777" w:rsidR="004D22AC" w:rsidRPr="004D22AC" w:rsidRDefault="004D22AC" w:rsidP="004D22AC">
      <w:pPr>
        <w:spacing w:line="240" w:lineRule="auto"/>
        <w:ind w:left="426" w:right="420" w:firstLine="1"/>
        <w:rPr>
          <w:rFonts w:eastAsia="Calibri" w:cs="Tahoma"/>
          <w:i/>
          <w:sz w:val="22"/>
          <w:szCs w:val="24"/>
          <w:lang w:val="es-CO"/>
        </w:rPr>
      </w:pPr>
    </w:p>
    <w:p w14:paraId="35F1C017" w14:textId="77777777" w:rsidR="004D22AC" w:rsidRPr="004D22AC" w:rsidRDefault="004D22AC" w:rsidP="004D22AC">
      <w:pPr>
        <w:spacing w:line="240" w:lineRule="auto"/>
        <w:ind w:left="426" w:right="420" w:firstLine="1"/>
        <w:rPr>
          <w:rFonts w:eastAsia="Calibri" w:cs="Tahoma"/>
          <w:i/>
          <w:sz w:val="22"/>
          <w:szCs w:val="24"/>
          <w:lang w:val="es-CO"/>
        </w:rPr>
      </w:pPr>
      <w:r w:rsidRPr="004D22AC">
        <w:rPr>
          <w:rFonts w:eastAsia="Calibri" w:cs="Tahoma"/>
          <w:i/>
          <w:sz w:val="22"/>
          <w:szCs w:val="24"/>
          <w:lang w:val="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1662F75E" w14:textId="77777777" w:rsidR="004D22AC" w:rsidRPr="004D22AC" w:rsidRDefault="004D22AC" w:rsidP="004D22AC">
      <w:pPr>
        <w:spacing w:line="240" w:lineRule="auto"/>
        <w:ind w:left="426" w:right="420" w:firstLine="1"/>
        <w:rPr>
          <w:rFonts w:eastAsia="Calibri" w:cs="Tahoma"/>
          <w:i/>
          <w:sz w:val="22"/>
          <w:szCs w:val="24"/>
          <w:lang w:val="es-CO"/>
        </w:rPr>
      </w:pPr>
    </w:p>
    <w:p w14:paraId="6DB88FC9" w14:textId="77777777" w:rsidR="004D22AC" w:rsidRPr="004D22AC" w:rsidRDefault="004D22AC" w:rsidP="004D22AC">
      <w:pPr>
        <w:spacing w:line="240" w:lineRule="auto"/>
        <w:ind w:left="426" w:right="420" w:firstLine="1"/>
        <w:rPr>
          <w:rFonts w:eastAsia="Calibri" w:cs="Tahoma"/>
          <w:i/>
          <w:sz w:val="22"/>
          <w:szCs w:val="24"/>
          <w:lang w:val="es-CO"/>
        </w:rPr>
      </w:pPr>
      <w:r w:rsidRPr="004D22AC">
        <w:rPr>
          <w:rFonts w:eastAsia="Calibri" w:cs="Tahoma"/>
          <w:i/>
          <w:sz w:val="22"/>
          <w:szCs w:val="24"/>
          <w:lang w:val="es-CO"/>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bookmarkEnd w:id="6"/>
    <w:p w14:paraId="518548B2" w14:textId="77777777" w:rsidR="00B33A2C" w:rsidRPr="008C7C79" w:rsidRDefault="00B33A2C" w:rsidP="008C7C79">
      <w:pPr>
        <w:widowControl w:val="0"/>
        <w:tabs>
          <w:tab w:val="left" w:pos="709"/>
        </w:tabs>
        <w:autoSpaceDE w:val="0"/>
        <w:autoSpaceDN w:val="0"/>
        <w:adjustRightInd w:val="0"/>
        <w:spacing w:line="276" w:lineRule="auto"/>
        <w:ind w:firstLine="709"/>
        <w:rPr>
          <w:rFonts w:cs="Tahoma"/>
          <w:bCs/>
          <w:szCs w:val="24"/>
        </w:rPr>
      </w:pPr>
    </w:p>
    <w:p w14:paraId="0142C3A3" w14:textId="0514E52D" w:rsidR="00B33A2C" w:rsidRPr="008C7C79" w:rsidRDefault="00B33A2C" w:rsidP="008C7C79">
      <w:pPr>
        <w:widowControl w:val="0"/>
        <w:tabs>
          <w:tab w:val="left" w:pos="709"/>
        </w:tabs>
        <w:autoSpaceDE w:val="0"/>
        <w:autoSpaceDN w:val="0"/>
        <w:adjustRightInd w:val="0"/>
        <w:spacing w:line="276" w:lineRule="auto"/>
        <w:ind w:firstLine="709"/>
        <w:rPr>
          <w:rFonts w:cs="Tahoma"/>
          <w:bCs/>
          <w:szCs w:val="24"/>
        </w:rPr>
      </w:pPr>
      <w:r w:rsidRPr="008C7C79">
        <w:rPr>
          <w:rFonts w:cs="Tahoma"/>
          <w:bCs/>
          <w:szCs w:val="24"/>
        </w:rPr>
        <w:t>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RAIS</w:t>
      </w:r>
      <w:r w:rsidR="003F14CC" w:rsidRPr="008C7C79">
        <w:rPr>
          <w:rStyle w:val="Refdenotaalpie"/>
          <w:rFonts w:cs="Tahoma"/>
          <w:bCs/>
          <w:szCs w:val="24"/>
        </w:rPr>
        <w:footnoteReference w:id="5"/>
      </w:r>
      <w:r w:rsidRPr="008C7C79">
        <w:rPr>
          <w:rFonts w:cs="Tahoma"/>
          <w:bCs/>
          <w:szCs w:val="24"/>
        </w:rPr>
        <w:t>,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7957F810" w14:textId="77777777" w:rsidR="00B33A2C" w:rsidRPr="008C7C79" w:rsidRDefault="00B33A2C" w:rsidP="008C7C79">
      <w:pPr>
        <w:tabs>
          <w:tab w:val="left" w:pos="709"/>
        </w:tabs>
        <w:spacing w:line="276" w:lineRule="auto"/>
        <w:ind w:firstLine="709"/>
        <w:rPr>
          <w:rFonts w:cs="Tahoma"/>
          <w:bCs/>
          <w:i/>
          <w:szCs w:val="24"/>
        </w:rPr>
      </w:pPr>
    </w:p>
    <w:p w14:paraId="19946EA7" w14:textId="77777777" w:rsidR="00595701" w:rsidRPr="00595701" w:rsidRDefault="00595701" w:rsidP="00595701">
      <w:pPr>
        <w:spacing w:line="240" w:lineRule="auto"/>
        <w:ind w:left="426" w:right="420"/>
        <w:rPr>
          <w:rFonts w:eastAsia="Calibri" w:cs="Tahoma"/>
          <w:i/>
          <w:sz w:val="22"/>
          <w:szCs w:val="24"/>
        </w:rPr>
      </w:pPr>
      <w:bookmarkStart w:id="7" w:name="_Hlk80191400"/>
      <w:r w:rsidRPr="00595701">
        <w:rPr>
          <w:rFonts w:eastAsia="Calibri" w:cs="Tahoma"/>
          <w:i/>
          <w:sz w:val="22"/>
          <w:szCs w:val="24"/>
        </w:rPr>
        <w:t xml:space="preserve">“De manera que, conforme lo discurrido queda claro que existirá ineficacia de la afiliación cuando quiera que i) la insuficiencia de la información genere lesiones injustificadas en el derecho pensional del afiliado, impidiéndole su acceso al derecho; </w:t>
      </w:r>
      <w:r w:rsidRPr="00595701">
        <w:rPr>
          <w:rFonts w:eastAsia="Calibri" w:cs="Tahoma"/>
          <w:i/>
          <w:sz w:val="22"/>
          <w:szCs w:val="24"/>
        </w:rPr>
        <w:lastRenderedPageBreak/>
        <w:t xml:space="preserve">ii) no será suficiente la simple suscripción del formulario, sino el cotejo con la información brindada, la cual debe corresponder a la realidad; </w:t>
      </w:r>
      <w:proofErr w:type="spellStart"/>
      <w:r w:rsidRPr="00595701">
        <w:rPr>
          <w:rFonts w:eastAsia="Calibri" w:cs="Tahoma"/>
          <w:i/>
          <w:sz w:val="22"/>
          <w:szCs w:val="24"/>
        </w:rPr>
        <w:t>iii</w:t>
      </w:r>
      <w:proofErr w:type="spellEnd"/>
      <w:r w:rsidRPr="00595701">
        <w:rPr>
          <w:rFonts w:eastAsia="Calibri" w:cs="Tahoma"/>
          <w:i/>
          <w:sz w:val="22"/>
          <w:szCs w:val="24"/>
        </w:rPr>
        <w:t>)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6E65CF3D" w14:textId="77777777" w:rsidR="00595701" w:rsidRPr="00595701" w:rsidRDefault="00595701" w:rsidP="00595701">
      <w:pPr>
        <w:spacing w:line="240" w:lineRule="auto"/>
        <w:ind w:left="426" w:right="420" w:firstLine="708"/>
        <w:rPr>
          <w:rFonts w:eastAsia="Calibri" w:cs="Tahoma"/>
          <w:b/>
          <w:i/>
          <w:sz w:val="22"/>
          <w:szCs w:val="24"/>
        </w:rPr>
      </w:pPr>
    </w:p>
    <w:p w14:paraId="52CC3771" w14:textId="77777777" w:rsidR="00595701" w:rsidRPr="00595701" w:rsidRDefault="00595701" w:rsidP="00595701">
      <w:pPr>
        <w:tabs>
          <w:tab w:val="left" w:pos="709"/>
        </w:tabs>
        <w:spacing w:line="240" w:lineRule="auto"/>
        <w:ind w:left="426" w:right="420"/>
        <w:rPr>
          <w:rFonts w:eastAsia="Calibri" w:cs="Tahoma"/>
          <w:i/>
          <w:sz w:val="22"/>
          <w:szCs w:val="24"/>
        </w:rPr>
      </w:pPr>
      <w:r w:rsidRPr="00595701">
        <w:rPr>
          <w:rFonts w:eastAsia="Calibri" w:cs="Tahoma"/>
          <w:i/>
          <w:sz w:val="22"/>
          <w:szCs w:val="24"/>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bookmarkEnd w:id="7"/>
    <w:p w14:paraId="7F77D39F" w14:textId="77777777" w:rsidR="00595701" w:rsidRPr="00595701" w:rsidRDefault="00595701" w:rsidP="00595701">
      <w:pPr>
        <w:spacing w:line="276" w:lineRule="auto"/>
        <w:ind w:firstLine="737"/>
        <w:rPr>
          <w:rFonts w:eastAsia="Century Gothic" w:cs="Tahoma"/>
          <w:spacing w:val="-4"/>
          <w:szCs w:val="24"/>
          <w:lang w:val="es-CO"/>
        </w:rPr>
      </w:pPr>
    </w:p>
    <w:p w14:paraId="32FE7858" w14:textId="77777777" w:rsidR="00595701" w:rsidRPr="00595701" w:rsidRDefault="00595701" w:rsidP="00595701">
      <w:pPr>
        <w:widowControl w:val="0"/>
        <w:tabs>
          <w:tab w:val="left" w:pos="567"/>
        </w:tabs>
        <w:autoSpaceDE w:val="0"/>
        <w:autoSpaceDN w:val="0"/>
        <w:adjustRightInd w:val="0"/>
        <w:spacing w:line="276" w:lineRule="auto"/>
        <w:ind w:firstLine="284"/>
        <w:rPr>
          <w:rFonts w:eastAsia="Century Gothic" w:cs="Tahoma"/>
          <w:szCs w:val="24"/>
          <w:lang w:val="es-CO"/>
        </w:rPr>
      </w:pPr>
      <w:r w:rsidRPr="00595701">
        <w:rPr>
          <w:rFonts w:eastAsia="Arial Narrow" w:cs="Tahoma"/>
          <w:bCs/>
          <w:szCs w:val="24"/>
          <w:lang w:val="es"/>
        </w:rPr>
        <w:t xml:space="preserve">Igual cosa se ha predicado de las </w:t>
      </w:r>
      <w:proofErr w:type="spellStart"/>
      <w:r w:rsidRPr="00595701">
        <w:rPr>
          <w:rFonts w:eastAsia="Arial Narrow" w:cs="Tahoma"/>
          <w:bCs/>
          <w:szCs w:val="24"/>
          <w:lang w:val="es"/>
        </w:rPr>
        <w:t>reasesorías</w:t>
      </w:r>
      <w:proofErr w:type="spellEnd"/>
      <w:r w:rsidRPr="00595701">
        <w:rPr>
          <w:rFonts w:eastAsia="Arial Narrow" w:cs="Tahoma"/>
          <w:bCs/>
          <w:szCs w:val="24"/>
          <w:lang w:val="es"/>
        </w:rPr>
        <w:t xml:space="preserve"> posteriores dadas al interior de las AFP</w:t>
      </w:r>
      <w:r w:rsidRPr="00595701">
        <w:rPr>
          <w:rFonts w:eastAsia="Arial Narrow" w:cs="Tahoma"/>
          <w:szCs w:val="24"/>
          <w:lang w:val="es"/>
        </w:rPr>
        <w:t xml:space="preserve">, las cuales tampoco convalidan el traslado, como quedó dicho en la citada </w:t>
      </w:r>
      <w:r w:rsidRPr="00595701">
        <w:rPr>
          <w:rFonts w:eastAsia="Century Gothic" w:cs="Tahoma"/>
          <w:szCs w:val="24"/>
          <w:lang w:val="es-CO"/>
        </w:rPr>
        <w:t xml:space="preserve">sentencia del 8 de mayo de 2019SL 1688-2019, así: </w:t>
      </w:r>
    </w:p>
    <w:p w14:paraId="675B8BED" w14:textId="77777777" w:rsidR="00595701" w:rsidRPr="00595701" w:rsidRDefault="00595701" w:rsidP="00595701">
      <w:pPr>
        <w:spacing w:line="276" w:lineRule="auto"/>
        <w:ind w:firstLine="737"/>
        <w:rPr>
          <w:rFonts w:eastAsia="Arial Narrow" w:cs="Tahoma"/>
          <w:i/>
          <w:iCs/>
          <w:szCs w:val="24"/>
          <w:lang w:val="es"/>
        </w:rPr>
      </w:pPr>
      <w:r w:rsidRPr="00595701">
        <w:rPr>
          <w:rFonts w:eastAsia="Arial Narrow" w:cs="Tahoma"/>
          <w:szCs w:val="24"/>
          <w:lang w:val="es"/>
        </w:rPr>
        <w:t xml:space="preserve">  </w:t>
      </w:r>
    </w:p>
    <w:p w14:paraId="3E13F9A2" w14:textId="77777777" w:rsidR="00595701" w:rsidRPr="00595701" w:rsidRDefault="00595701" w:rsidP="00595701">
      <w:pPr>
        <w:spacing w:line="240" w:lineRule="auto"/>
        <w:ind w:left="426" w:right="420"/>
        <w:rPr>
          <w:rFonts w:eastAsia="Calibri" w:cs="Tahoma"/>
          <w:i/>
          <w:sz w:val="22"/>
          <w:szCs w:val="24"/>
        </w:rPr>
      </w:pPr>
      <w:bookmarkStart w:id="8" w:name="_Hlk80191423"/>
      <w:r w:rsidRPr="00595701">
        <w:rPr>
          <w:rFonts w:eastAsia="Calibri" w:cs="Tahoma"/>
          <w:i/>
          <w:sz w:val="22"/>
          <w:szCs w:val="24"/>
        </w:rPr>
        <w:t xml:space="preserve">“Ahora, si bien la AFP brindó a la actora una </w:t>
      </w:r>
      <w:proofErr w:type="spellStart"/>
      <w:r w:rsidRPr="00595701">
        <w:rPr>
          <w:rFonts w:eastAsia="Calibri" w:cs="Tahoma"/>
          <w:i/>
          <w:sz w:val="22"/>
          <w:szCs w:val="24"/>
        </w:rPr>
        <w:t>reasesoría</w:t>
      </w:r>
      <w:proofErr w:type="spellEnd"/>
      <w:r w:rsidRPr="00595701">
        <w:rPr>
          <w:rFonts w:eastAsia="Calibri" w:cs="Tahoma"/>
          <w:i/>
          <w:sz w:val="22"/>
          <w:szCs w:val="24"/>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1F5CA354" w14:textId="77777777" w:rsidR="00595701" w:rsidRPr="00595701" w:rsidRDefault="00595701" w:rsidP="00595701">
      <w:pPr>
        <w:spacing w:line="240" w:lineRule="auto"/>
        <w:ind w:left="426" w:right="420" w:firstLine="709"/>
        <w:rPr>
          <w:rFonts w:eastAsia="Arial Narrow" w:cs="Tahoma"/>
          <w:i/>
          <w:iCs/>
          <w:sz w:val="22"/>
          <w:szCs w:val="24"/>
          <w:lang w:val="es"/>
        </w:rPr>
      </w:pPr>
      <w:r w:rsidRPr="00595701">
        <w:rPr>
          <w:rFonts w:eastAsia="Arial Narrow" w:cs="Tahoma"/>
          <w:i/>
          <w:iCs/>
          <w:sz w:val="22"/>
          <w:szCs w:val="24"/>
          <w:lang w:val="es"/>
        </w:rPr>
        <w:t xml:space="preserve"> </w:t>
      </w:r>
    </w:p>
    <w:p w14:paraId="3FF2A170" w14:textId="77777777" w:rsidR="00595701" w:rsidRPr="00595701" w:rsidRDefault="00595701" w:rsidP="00595701">
      <w:pPr>
        <w:spacing w:line="240" w:lineRule="auto"/>
        <w:ind w:left="426" w:right="420"/>
        <w:rPr>
          <w:rFonts w:eastAsia="Calibri" w:cs="Tahoma"/>
          <w:i/>
          <w:sz w:val="22"/>
          <w:szCs w:val="24"/>
        </w:rPr>
      </w:pPr>
      <w:r w:rsidRPr="00595701">
        <w:rPr>
          <w:rFonts w:eastAsia="Calibri" w:cs="Tahoma"/>
          <w:i/>
          <w:sz w:val="22"/>
          <w:szCs w:val="24"/>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595701">
        <w:rPr>
          <w:rFonts w:eastAsia="Calibri" w:cs="Tahoma"/>
          <w:i/>
          <w:sz w:val="22"/>
          <w:szCs w:val="24"/>
        </w:rPr>
        <w:t>reasesoría</w:t>
      </w:r>
      <w:proofErr w:type="spellEnd"/>
      <w:r w:rsidRPr="00595701">
        <w:rPr>
          <w:rFonts w:eastAsia="Calibri" w:cs="Tahoma"/>
          <w:i/>
          <w:sz w:val="22"/>
          <w:szCs w:val="24"/>
        </w:rPr>
        <w:t xml:space="preserve">, de todas </w:t>
      </w:r>
      <w:proofErr w:type="gramStart"/>
      <w:r w:rsidRPr="00595701">
        <w:rPr>
          <w:rFonts w:eastAsia="Calibri" w:cs="Tahoma"/>
          <w:i/>
          <w:sz w:val="22"/>
          <w:szCs w:val="24"/>
        </w:rPr>
        <w:t>formas</w:t>
      </w:r>
      <w:proofErr w:type="gramEnd"/>
      <w:r w:rsidRPr="00595701">
        <w:rPr>
          <w:rFonts w:eastAsia="Calibri" w:cs="Tahoma"/>
          <w:i/>
          <w:sz w:val="22"/>
          <w:szCs w:val="24"/>
        </w:rPr>
        <w:t xml:space="preserve"> ya había perdido la transición.</w:t>
      </w:r>
    </w:p>
    <w:p w14:paraId="5A2809F2" w14:textId="77777777" w:rsidR="00595701" w:rsidRPr="00595701" w:rsidRDefault="00595701" w:rsidP="00595701">
      <w:pPr>
        <w:spacing w:line="240" w:lineRule="auto"/>
        <w:ind w:left="426" w:right="420" w:firstLine="709"/>
        <w:rPr>
          <w:rFonts w:eastAsia="Arial Narrow" w:cs="Tahoma"/>
          <w:i/>
          <w:iCs/>
          <w:sz w:val="22"/>
          <w:szCs w:val="24"/>
          <w:lang w:val="es"/>
        </w:rPr>
      </w:pPr>
      <w:r w:rsidRPr="00595701">
        <w:rPr>
          <w:rFonts w:eastAsia="Arial Narrow" w:cs="Tahoma"/>
          <w:i/>
          <w:iCs/>
          <w:sz w:val="22"/>
          <w:szCs w:val="24"/>
          <w:lang w:val="es"/>
        </w:rPr>
        <w:t xml:space="preserve"> </w:t>
      </w:r>
    </w:p>
    <w:p w14:paraId="4D1274F6" w14:textId="77777777" w:rsidR="00595701" w:rsidRPr="00595701" w:rsidRDefault="00595701" w:rsidP="00595701">
      <w:pPr>
        <w:spacing w:line="240" w:lineRule="auto"/>
        <w:ind w:left="426" w:right="420"/>
        <w:rPr>
          <w:rFonts w:eastAsia="Calibri" w:cs="Tahoma"/>
          <w:i/>
          <w:sz w:val="22"/>
          <w:szCs w:val="24"/>
        </w:rPr>
      </w:pPr>
      <w:r w:rsidRPr="00595701">
        <w:rPr>
          <w:rFonts w:eastAsia="Calibri" w:cs="Tahoma"/>
          <w:i/>
          <w:sz w:val="22"/>
          <w:szCs w:val="24"/>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581DD85C" w14:textId="77777777" w:rsidR="00595701" w:rsidRPr="00595701" w:rsidRDefault="00595701" w:rsidP="00595701">
      <w:pPr>
        <w:spacing w:line="240" w:lineRule="auto"/>
        <w:ind w:left="426" w:right="420" w:firstLine="709"/>
        <w:rPr>
          <w:rFonts w:eastAsia="Arial Narrow" w:cs="Tahoma"/>
          <w:i/>
          <w:iCs/>
          <w:sz w:val="22"/>
          <w:szCs w:val="24"/>
          <w:lang w:val="es"/>
        </w:rPr>
      </w:pPr>
      <w:r w:rsidRPr="00595701">
        <w:rPr>
          <w:rFonts w:eastAsia="Arial Narrow" w:cs="Tahoma"/>
          <w:i/>
          <w:iCs/>
          <w:sz w:val="22"/>
          <w:szCs w:val="24"/>
          <w:lang w:val="es"/>
        </w:rPr>
        <w:t xml:space="preserve"> </w:t>
      </w:r>
    </w:p>
    <w:p w14:paraId="0C0216D8" w14:textId="77777777" w:rsidR="00595701" w:rsidRPr="00595701" w:rsidRDefault="00595701" w:rsidP="00595701">
      <w:pPr>
        <w:spacing w:line="240" w:lineRule="auto"/>
        <w:ind w:left="426" w:right="420"/>
        <w:rPr>
          <w:rFonts w:eastAsia="Calibri" w:cs="Tahoma"/>
          <w:i/>
          <w:sz w:val="22"/>
          <w:szCs w:val="24"/>
        </w:rPr>
      </w:pPr>
      <w:r w:rsidRPr="00595701">
        <w:rPr>
          <w:rFonts w:eastAsia="Calibri" w:cs="Tahoma"/>
          <w:i/>
          <w:sz w:val="22"/>
          <w:szCs w:val="24"/>
        </w:rPr>
        <w:t xml:space="preserve">Por otro lado, no es de recibo el planteo de Protección S.A., cuando sostiene que una vez realizó la </w:t>
      </w:r>
      <w:proofErr w:type="spellStart"/>
      <w:r w:rsidRPr="00595701">
        <w:rPr>
          <w:rFonts w:eastAsia="Calibri" w:cs="Tahoma"/>
          <w:i/>
          <w:sz w:val="22"/>
          <w:szCs w:val="24"/>
        </w:rPr>
        <w:t>reasesoría</w:t>
      </w:r>
      <w:proofErr w:type="spellEnd"/>
      <w:r w:rsidRPr="00595701">
        <w:rPr>
          <w:rFonts w:eastAsia="Calibri" w:cs="Tahoma"/>
          <w:i/>
          <w:sz w:val="22"/>
          <w:szCs w:val="24"/>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bookmarkEnd w:id="8"/>
    <w:p w14:paraId="60B2686D" w14:textId="77777777" w:rsidR="00B33A2C" w:rsidRPr="008C7C79" w:rsidRDefault="00B33A2C" w:rsidP="008C7C79">
      <w:pPr>
        <w:spacing w:line="276" w:lineRule="auto"/>
        <w:ind w:left="708" w:firstLine="709"/>
        <w:rPr>
          <w:rFonts w:cs="Tahoma"/>
          <w:spacing w:val="-4"/>
          <w:szCs w:val="24"/>
        </w:rPr>
      </w:pPr>
    </w:p>
    <w:p w14:paraId="375D0380" w14:textId="77777777" w:rsidR="00B33A2C" w:rsidRPr="008C7C79" w:rsidRDefault="00B33A2C" w:rsidP="008C7C79">
      <w:pPr>
        <w:numPr>
          <w:ilvl w:val="1"/>
          <w:numId w:val="9"/>
        </w:numPr>
        <w:spacing w:line="276" w:lineRule="auto"/>
        <w:contextualSpacing/>
        <w:jc w:val="left"/>
        <w:rPr>
          <w:rFonts w:eastAsia="Times New Roman" w:cs="Tahoma"/>
          <w:b/>
          <w:iCs/>
          <w:spacing w:val="-4"/>
          <w:szCs w:val="24"/>
          <w:lang w:eastAsia="es-ES"/>
        </w:rPr>
      </w:pPr>
      <w:r w:rsidRPr="008C7C79">
        <w:rPr>
          <w:rFonts w:eastAsia="Times New Roman" w:cs="Tahoma"/>
          <w:b/>
          <w:iCs/>
          <w:spacing w:val="-4"/>
          <w:szCs w:val="24"/>
          <w:lang w:eastAsia="es-ES"/>
        </w:rPr>
        <w:lastRenderedPageBreak/>
        <w:t xml:space="preserve">“De la carga de la prueba – Inversión a favor del afiliado” </w:t>
      </w:r>
      <w:r w:rsidRPr="008C7C79">
        <w:rPr>
          <w:rFonts w:eastAsia="Times New Roman" w:cs="Tahoma"/>
          <w:b/>
          <w:iCs/>
          <w:spacing w:val="-4"/>
          <w:szCs w:val="24"/>
          <w:vertAlign w:val="superscript"/>
          <w:lang w:eastAsia="es-ES"/>
        </w:rPr>
        <w:footnoteReference w:id="6"/>
      </w:r>
    </w:p>
    <w:p w14:paraId="065C208B" w14:textId="77777777" w:rsidR="00B33A2C" w:rsidRPr="008C7C79" w:rsidRDefault="00B33A2C" w:rsidP="008C7C79">
      <w:pPr>
        <w:spacing w:line="276" w:lineRule="auto"/>
        <w:ind w:firstLine="708"/>
        <w:rPr>
          <w:rFonts w:cs="Tahoma"/>
          <w:b/>
          <w:spacing w:val="-4"/>
          <w:szCs w:val="24"/>
        </w:rPr>
      </w:pPr>
    </w:p>
    <w:p w14:paraId="17591C36" w14:textId="77777777" w:rsidR="00B33A2C" w:rsidRPr="008C7C79" w:rsidRDefault="00B33A2C" w:rsidP="008C7C79">
      <w:pPr>
        <w:spacing w:line="276" w:lineRule="auto"/>
        <w:ind w:firstLine="709"/>
        <w:rPr>
          <w:rFonts w:cs="Tahoma"/>
          <w:spacing w:val="-4"/>
          <w:szCs w:val="24"/>
        </w:rPr>
      </w:pPr>
      <w:r w:rsidRPr="008C7C79">
        <w:rPr>
          <w:rFonts w:cs="Tahoma"/>
          <w:spacing w:val="-4"/>
          <w:szCs w:val="24"/>
        </w:rPr>
        <w:t>El tercer problema jurídico relativo a la carga de la prueba en los procesos de ineficacia de traslado, también se resolvió por la Corte Suprema de Justicia desde la sentencia hito, en la que se expresó que de conformidad al artículo 1604 del Código Civil «</w:t>
      </w:r>
      <w:r w:rsidRPr="008C7C79">
        <w:rPr>
          <w:rFonts w:cs="Tahoma"/>
          <w:i/>
          <w:spacing w:val="-4"/>
          <w:szCs w:val="24"/>
        </w:rPr>
        <w:t>la prueba de la diligencia o cuidado incumbe al que ha debido emplearlo”</w:t>
      </w:r>
      <w:r w:rsidRPr="008C7C79">
        <w:rPr>
          <w:rFonts w:cs="Tahoma"/>
          <w:spacing w:val="-4"/>
          <w:szCs w:val="24"/>
        </w:rPr>
        <w:t xml:space="preserve"> lo que quiere decir que la carga de la prueba recae en el fondo de pensiones. Dicha postura se ha mantenido invariable, y se reiteró de manera más contundente en la citada sentencia, así: </w:t>
      </w:r>
    </w:p>
    <w:p w14:paraId="509C016F" w14:textId="77777777" w:rsidR="00B33A2C" w:rsidRPr="008C7C79" w:rsidRDefault="00B33A2C" w:rsidP="008C7C79">
      <w:pPr>
        <w:spacing w:line="276" w:lineRule="auto"/>
        <w:ind w:firstLine="708"/>
        <w:rPr>
          <w:rFonts w:cs="Tahoma"/>
          <w:spacing w:val="-4"/>
          <w:szCs w:val="24"/>
        </w:rPr>
      </w:pPr>
    </w:p>
    <w:p w14:paraId="4D18427E" w14:textId="77777777" w:rsidR="00595701" w:rsidRPr="00595701" w:rsidRDefault="00595701" w:rsidP="00595701">
      <w:pPr>
        <w:spacing w:line="240" w:lineRule="auto"/>
        <w:ind w:left="426" w:right="420" w:firstLine="1"/>
        <w:rPr>
          <w:rFonts w:eastAsia="Calibri" w:cs="Tahoma"/>
          <w:i/>
          <w:sz w:val="22"/>
        </w:rPr>
      </w:pPr>
      <w:bookmarkStart w:id="9" w:name="_Hlk80191469"/>
      <w:r w:rsidRPr="00595701">
        <w:rPr>
          <w:rFonts w:eastAsia="Calibri" w:cs="Tahoma"/>
          <w:sz w:val="22"/>
        </w:rPr>
        <w:t>“</w:t>
      </w:r>
      <w:r w:rsidRPr="00595701">
        <w:rPr>
          <w:rFonts w:eastAsia="Calibri" w:cs="Tahoma"/>
          <w:i/>
          <w:sz w:val="22"/>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36BBC44D" w14:textId="77777777" w:rsidR="00595701" w:rsidRPr="00595701" w:rsidRDefault="00595701" w:rsidP="00595701">
      <w:pPr>
        <w:spacing w:line="240" w:lineRule="auto"/>
        <w:ind w:left="426" w:right="420" w:firstLine="1"/>
        <w:rPr>
          <w:rFonts w:eastAsia="Calibri" w:cs="Tahoma"/>
          <w:i/>
          <w:sz w:val="22"/>
        </w:rPr>
      </w:pPr>
    </w:p>
    <w:p w14:paraId="5C66805C" w14:textId="77777777" w:rsidR="00595701" w:rsidRPr="00595701" w:rsidRDefault="00595701" w:rsidP="00595701">
      <w:pPr>
        <w:spacing w:line="240" w:lineRule="auto"/>
        <w:ind w:left="426" w:right="420" w:firstLine="1"/>
        <w:rPr>
          <w:rFonts w:eastAsia="Calibri" w:cs="Tahoma"/>
          <w:i/>
          <w:sz w:val="22"/>
        </w:rPr>
      </w:pPr>
      <w:r w:rsidRPr="00595701">
        <w:rPr>
          <w:rFonts w:eastAsia="Calibri" w:cs="Tahoma"/>
          <w:i/>
          <w:sz w:val="22"/>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635720B6" w14:textId="77777777" w:rsidR="00595701" w:rsidRPr="00595701" w:rsidRDefault="00595701" w:rsidP="00595701">
      <w:pPr>
        <w:spacing w:line="240" w:lineRule="auto"/>
        <w:ind w:left="426" w:right="420" w:firstLine="1"/>
        <w:rPr>
          <w:rFonts w:eastAsia="Calibri" w:cs="Tahoma"/>
          <w:i/>
          <w:sz w:val="22"/>
        </w:rPr>
      </w:pPr>
    </w:p>
    <w:p w14:paraId="208ED769" w14:textId="77777777" w:rsidR="00595701" w:rsidRPr="00595701" w:rsidRDefault="00595701" w:rsidP="00595701">
      <w:pPr>
        <w:spacing w:line="240" w:lineRule="auto"/>
        <w:ind w:left="426" w:right="420" w:firstLine="1"/>
        <w:rPr>
          <w:rFonts w:eastAsia="Calibri" w:cs="Tahoma"/>
          <w:i/>
          <w:sz w:val="22"/>
        </w:rPr>
      </w:pPr>
      <w:r w:rsidRPr="00595701">
        <w:rPr>
          <w:rFonts w:eastAsia="Calibri" w:cs="Tahoma"/>
          <w:i/>
          <w:sz w:val="22"/>
        </w:rPr>
        <w:t xml:space="preserve">En consecuencia, si se arguye </w:t>
      </w:r>
      <w:proofErr w:type="gramStart"/>
      <w:r w:rsidRPr="00595701">
        <w:rPr>
          <w:rFonts w:eastAsia="Calibri" w:cs="Tahoma"/>
          <w:i/>
          <w:sz w:val="22"/>
        </w:rPr>
        <w:t>que</w:t>
      </w:r>
      <w:proofErr w:type="gramEnd"/>
      <w:r w:rsidRPr="00595701">
        <w:rPr>
          <w:rFonts w:eastAsia="Calibri" w:cs="Tahoma"/>
          <w:i/>
          <w:sz w:val="22"/>
        </w:rPr>
        <w:t xml:space="preserv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22EAA333" w14:textId="77777777" w:rsidR="00595701" w:rsidRPr="00595701" w:rsidRDefault="00595701" w:rsidP="00595701">
      <w:pPr>
        <w:spacing w:line="240" w:lineRule="auto"/>
        <w:ind w:left="426" w:right="420" w:firstLine="1"/>
        <w:rPr>
          <w:rFonts w:eastAsia="Calibri" w:cs="Tahoma"/>
          <w:i/>
          <w:sz w:val="22"/>
        </w:rPr>
      </w:pPr>
    </w:p>
    <w:p w14:paraId="1E839D04" w14:textId="77777777" w:rsidR="00595701" w:rsidRPr="00595701" w:rsidRDefault="00595701" w:rsidP="00595701">
      <w:pPr>
        <w:spacing w:line="240" w:lineRule="auto"/>
        <w:ind w:left="426" w:right="420" w:firstLine="1"/>
        <w:rPr>
          <w:rFonts w:eastAsia="Calibri" w:cs="Tahoma"/>
          <w:i/>
          <w:iCs/>
          <w:sz w:val="22"/>
        </w:rPr>
      </w:pPr>
      <w:r w:rsidRPr="00595701">
        <w:rPr>
          <w:rFonts w:eastAsia="Calibri" w:cs="Tahoma"/>
          <w:i/>
          <w:sz w:val="22"/>
        </w:rPr>
        <w:t xml:space="preserve">Como se ha expuesto, el deber de información al momento del traslado entre regímenes, es una obligación que corresponde a las administradoras de fondos de pensiones, y </w:t>
      </w:r>
      <w:r w:rsidRPr="00595701">
        <w:rPr>
          <w:rFonts w:eastAsia="Calibri" w:cs="Tahoma"/>
          <w:i/>
          <w:iCs/>
          <w:sz w:val="22"/>
        </w:rPr>
        <w:t xml:space="preserve">su ejercicio debe ser de tal diligencia, que permita comprender la lógica, beneficios y desventajas del cambio de régimen, así como prever los riesgos y efectos negativos de esa decisión. </w:t>
      </w:r>
    </w:p>
    <w:p w14:paraId="3A2B72DA" w14:textId="77777777" w:rsidR="00595701" w:rsidRPr="00595701" w:rsidRDefault="00595701" w:rsidP="00595701">
      <w:pPr>
        <w:spacing w:line="240" w:lineRule="auto"/>
        <w:ind w:left="426" w:right="420" w:firstLine="1"/>
        <w:rPr>
          <w:rFonts w:eastAsia="Calibri" w:cs="Tahoma"/>
          <w:i/>
          <w:iCs/>
          <w:sz w:val="22"/>
        </w:rPr>
      </w:pPr>
    </w:p>
    <w:p w14:paraId="2FE1EB37" w14:textId="77777777" w:rsidR="00595701" w:rsidRPr="00595701" w:rsidRDefault="00595701" w:rsidP="00595701">
      <w:pPr>
        <w:spacing w:line="240" w:lineRule="auto"/>
        <w:ind w:left="426" w:right="420" w:firstLine="1"/>
        <w:rPr>
          <w:rFonts w:eastAsia="Calibri" w:cs="Tahoma"/>
          <w:i/>
          <w:iCs/>
          <w:sz w:val="22"/>
        </w:rPr>
      </w:pPr>
      <w:r w:rsidRPr="00595701">
        <w:rPr>
          <w:rFonts w:eastAsia="Calibri" w:cs="Tahoma"/>
          <w:i/>
          <w:sz w:val="22"/>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0909648A" w14:textId="77777777" w:rsidR="00595701" w:rsidRPr="00595701" w:rsidRDefault="00595701" w:rsidP="00595701">
      <w:pPr>
        <w:spacing w:line="240" w:lineRule="auto"/>
        <w:ind w:left="426" w:right="420" w:firstLine="1"/>
        <w:rPr>
          <w:rFonts w:eastAsia="Calibri" w:cs="Tahoma"/>
          <w:i/>
          <w:iCs/>
          <w:sz w:val="22"/>
        </w:rPr>
      </w:pPr>
    </w:p>
    <w:p w14:paraId="4862C784" w14:textId="77777777" w:rsidR="00595701" w:rsidRPr="00595701" w:rsidRDefault="00595701" w:rsidP="00595701">
      <w:pPr>
        <w:spacing w:line="240" w:lineRule="auto"/>
        <w:ind w:left="426" w:right="420" w:firstLine="1"/>
        <w:rPr>
          <w:rFonts w:eastAsia="Calibri" w:cs="Tahoma"/>
          <w:i/>
          <w:iCs/>
          <w:sz w:val="22"/>
        </w:rPr>
      </w:pPr>
      <w:r w:rsidRPr="00595701">
        <w:rPr>
          <w:rFonts w:eastAsia="Calibri" w:cs="Tahoma"/>
          <w:i/>
          <w:sz w:val="22"/>
        </w:rPr>
        <w:t>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w:t>
      </w:r>
      <w:proofErr w:type="spellStart"/>
      <w:r w:rsidRPr="00595701">
        <w:rPr>
          <w:rFonts w:eastAsia="Calibri" w:cs="Tahoma"/>
          <w:i/>
          <w:sz w:val="22"/>
        </w:rPr>
        <w:t>iii</w:t>
      </w:r>
      <w:proofErr w:type="spellEnd"/>
      <w:r w:rsidRPr="00595701">
        <w:rPr>
          <w:rFonts w:eastAsia="Calibri" w:cs="Tahoma"/>
          <w:i/>
          <w:sz w:val="22"/>
        </w:rPr>
        <w:t xml:space="preserve">) es esta entidad la que está obligada a observar la obligación de brindar información y, más aún, probar ante las autoridades administrativas y judiciales su pleno cumplimiento. </w:t>
      </w:r>
    </w:p>
    <w:p w14:paraId="108CF470" w14:textId="77777777" w:rsidR="00595701" w:rsidRPr="00595701" w:rsidRDefault="00595701" w:rsidP="00595701">
      <w:pPr>
        <w:spacing w:line="240" w:lineRule="auto"/>
        <w:ind w:left="426" w:right="420" w:firstLine="1"/>
        <w:rPr>
          <w:rFonts w:eastAsia="Calibri" w:cs="Tahoma"/>
          <w:i/>
          <w:iCs/>
          <w:sz w:val="22"/>
        </w:rPr>
      </w:pPr>
    </w:p>
    <w:p w14:paraId="0A8A2C3B" w14:textId="77777777" w:rsidR="00595701" w:rsidRPr="00595701" w:rsidRDefault="00595701" w:rsidP="00595701">
      <w:pPr>
        <w:spacing w:line="240" w:lineRule="auto"/>
        <w:ind w:left="426" w:right="420" w:firstLine="1"/>
        <w:rPr>
          <w:rFonts w:eastAsia="Calibri" w:cs="Tahoma"/>
          <w:sz w:val="22"/>
        </w:rPr>
      </w:pPr>
      <w:r w:rsidRPr="00595701">
        <w:rPr>
          <w:rFonts w:eastAsia="Calibri" w:cs="Tahoma"/>
          <w:i/>
          <w:sz w:val="22"/>
        </w:rPr>
        <w:lastRenderedPageBreak/>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595701">
        <w:rPr>
          <w:rFonts w:eastAsia="Calibri" w:cs="Tahoma"/>
          <w:sz w:val="22"/>
        </w:rPr>
        <w:t xml:space="preserve"> </w:t>
      </w:r>
    </w:p>
    <w:bookmarkEnd w:id="9"/>
    <w:p w14:paraId="705FE395" w14:textId="77777777" w:rsidR="00B33A2C" w:rsidRPr="008C7C79" w:rsidRDefault="00B33A2C" w:rsidP="008C7C79">
      <w:pPr>
        <w:tabs>
          <w:tab w:val="left" w:pos="3568"/>
        </w:tabs>
        <w:spacing w:line="276" w:lineRule="auto"/>
        <w:rPr>
          <w:rFonts w:cs="Tahoma"/>
          <w:spacing w:val="-4"/>
          <w:szCs w:val="24"/>
        </w:rPr>
      </w:pPr>
    </w:p>
    <w:p w14:paraId="29AAC7D0" w14:textId="77777777" w:rsidR="00B33A2C" w:rsidRPr="008C7C79" w:rsidRDefault="00B33A2C" w:rsidP="008C7C79">
      <w:pPr>
        <w:widowControl w:val="0"/>
        <w:numPr>
          <w:ilvl w:val="1"/>
          <w:numId w:val="9"/>
        </w:numPr>
        <w:autoSpaceDE w:val="0"/>
        <w:autoSpaceDN w:val="0"/>
        <w:adjustRightInd w:val="0"/>
        <w:spacing w:line="276" w:lineRule="auto"/>
        <w:ind w:left="0" w:firstLine="709"/>
        <w:contextualSpacing/>
        <w:rPr>
          <w:rFonts w:eastAsia="Times New Roman" w:cs="Tahoma"/>
          <w:b/>
          <w:szCs w:val="24"/>
          <w:lang w:eastAsia="es-ES"/>
        </w:rPr>
      </w:pPr>
      <w:r w:rsidRPr="008C7C79">
        <w:rPr>
          <w:rFonts w:eastAsia="Times New Roman" w:cs="Tahoma"/>
          <w:b/>
          <w:szCs w:val="24"/>
          <w:lang w:eastAsia="es-ES"/>
        </w:rPr>
        <w:t>Consecuencias de la declaratoria de ineficacia del traslado: Devolución de las cuotas de administración y de otros valores debidamente indexados</w:t>
      </w:r>
    </w:p>
    <w:p w14:paraId="17C033A2" w14:textId="77777777" w:rsidR="00B33A2C" w:rsidRPr="008C7C79" w:rsidRDefault="00B33A2C" w:rsidP="008C7C79">
      <w:pPr>
        <w:widowControl w:val="0"/>
        <w:autoSpaceDE w:val="0"/>
        <w:autoSpaceDN w:val="0"/>
        <w:adjustRightInd w:val="0"/>
        <w:spacing w:line="276" w:lineRule="auto"/>
        <w:ind w:left="1428"/>
        <w:contextualSpacing/>
        <w:jc w:val="left"/>
        <w:rPr>
          <w:rFonts w:eastAsia="Times New Roman" w:cs="Tahoma"/>
          <w:szCs w:val="24"/>
          <w:lang w:eastAsia="es-ES"/>
        </w:rPr>
      </w:pPr>
    </w:p>
    <w:p w14:paraId="438982C0" w14:textId="77777777" w:rsidR="00B33A2C" w:rsidRPr="008C7C79" w:rsidRDefault="00B33A2C" w:rsidP="008C7C79">
      <w:pPr>
        <w:spacing w:line="276" w:lineRule="auto"/>
        <w:ind w:firstLine="709"/>
        <w:rPr>
          <w:rFonts w:cs="Tahoma"/>
          <w:szCs w:val="24"/>
        </w:rPr>
      </w:pPr>
      <w:r w:rsidRPr="008C7C79">
        <w:rPr>
          <w:rFonts w:cs="Tahoma"/>
          <w:szCs w:val="24"/>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0D69E2BC" w14:textId="77777777" w:rsidR="00B33A2C" w:rsidRPr="008C7C79" w:rsidRDefault="00B33A2C" w:rsidP="008C7C79">
      <w:pPr>
        <w:spacing w:line="276" w:lineRule="auto"/>
        <w:ind w:left="644"/>
        <w:contextualSpacing/>
        <w:jc w:val="left"/>
        <w:rPr>
          <w:rFonts w:eastAsia="Times New Roman" w:cs="Tahoma"/>
          <w:szCs w:val="24"/>
          <w:lang w:eastAsia="es-ES"/>
        </w:rPr>
      </w:pPr>
    </w:p>
    <w:p w14:paraId="068F4035" w14:textId="77777777" w:rsidR="00595701" w:rsidRPr="00595701" w:rsidRDefault="00595701" w:rsidP="00595701">
      <w:pPr>
        <w:tabs>
          <w:tab w:val="left" w:pos="5180"/>
        </w:tabs>
        <w:suppressAutoHyphens/>
        <w:spacing w:line="240" w:lineRule="auto"/>
        <w:ind w:left="426" w:right="420"/>
        <w:contextualSpacing/>
        <w:rPr>
          <w:rFonts w:eastAsia="Calibri" w:cs="Tahoma"/>
          <w:i/>
          <w:sz w:val="22"/>
          <w:szCs w:val="24"/>
        </w:rPr>
      </w:pPr>
      <w:bookmarkStart w:id="10" w:name="_Hlk80191489"/>
      <w:r w:rsidRPr="00595701">
        <w:rPr>
          <w:rFonts w:eastAsia="Calibri" w:cs="Tahoma"/>
          <w:i/>
          <w:sz w:val="22"/>
          <w:szCs w:val="24"/>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409EF0A5" w14:textId="77777777" w:rsidR="00595701" w:rsidRPr="00595701" w:rsidRDefault="00595701" w:rsidP="00595701">
      <w:pPr>
        <w:tabs>
          <w:tab w:val="left" w:pos="5180"/>
        </w:tabs>
        <w:suppressAutoHyphens/>
        <w:spacing w:line="240" w:lineRule="auto"/>
        <w:ind w:left="426" w:right="420"/>
        <w:contextualSpacing/>
        <w:jc w:val="left"/>
        <w:rPr>
          <w:rFonts w:eastAsia="Times New Roman" w:cs="Tahoma"/>
          <w:color w:val="000000"/>
          <w:sz w:val="22"/>
          <w:szCs w:val="24"/>
          <w:lang w:eastAsia="es-ES"/>
        </w:rPr>
      </w:pPr>
    </w:p>
    <w:p w14:paraId="2C82B70B" w14:textId="77777777" w:rsidR="00595701" w:rsidRPr="00595701" w:rsidRDefault="00595701" w:rsidP="00595701">
      <w:pPr>
        <w:tabs>
          <w:tab w:val="left" w:pos="5180"/>
        </w:tabs>
        <w:suppressAutoHyphens/>
        <w:spacing w:line="240" w:lineRule="auto"/>
        <w:ind w:left="426" w:right="420"/>
        <w:contextualSpacing/>
        <w:rPr>
          <w:rFonts w:eastAsia="Calibri" w:cs="Tahoma"/>
          <w:i/>
          <w:sz w:val="22"/>
          <w:szCs w:val="24"/>
        </w:rPr>
      </w:pPr>
      <w:r w:rsidRPr="00595701">
        <w:rPr>
          <w:rFonts w:eastAsia="Calibri" w:cs="Tahoma"/>
          <w:i/>
          <w:sz w:val="22"/>
          <w:szCs w:val="24"/>
        </w:rPr>
        <w:t>Sobre las consecuencias de la nulidad del traslado entre regímenes esta Sala en sentencia SL, del 8 de sep. 2008, rad. 31989, reiterada en varias oportunidades, adoctrinó: […]</w:t>
      </w:r>
    </w:p>
    <w:p w14:paraId="2DB4F751" w14:textId="77777777" w:rsidR="00595701" w:rsidRPr="00595701" w:rsidRDefault="00595701" w:rsidP="00595701">
      <w:pPr>
        <w:tabs>
          <w:tab w:val="left" w:pos="5180"/>
        </w:tabs>
        <w:suppressAutoHyphens/>
        <w:spacing w:line="240" w:lineRule="auto"/>
        <w:ind w:left="426" w:right="420"/>
        <w:contextualSpacing/>
        <w:rPr>
          <w:rFonts w:eastAsia="Calibri" w:cs="Tahoma"/>
          <w:i/>
          <w:sz w:val="22"/>
          <w:szCs w:val="24"/>
        </w:rPr>
      </w:pPr>
    </w:p>
    <w:p w14:paraId="12809B7F" w14:textId="77777777" w:rsidR="00595701" w:rsidRPr="00595701" w:rsidRDefault="00595701" w:rsidP="00595701">
      <w:pPr>
        <w:tabs>
          <w:tab w:val="left" w:pos="5180"/>
        </w:tabs>
        <w:suppressAutoHyphens/>
        <w:spacing w:line="240" w:lineRule="auto"/>
        <w:ind w:left="426" w:right="420"/>
        <w:contextualSpacing/>
        <w:rPr>
          <w:rFonts w:eastAsia="Calibri" w:cs="Tahoma"/>
          <w:i/>
          <w:sz w:val="22"/>
          <w:szCs w:val="24"/>
        </w:rPr>
      </w:pPr>
      <w:r w:rsidRPr="00595701">
        <w:rPr>
          <w:rFonts w:eastAsia="Calibri" w:cs="Tahoma"/>
          <w:i/>
          <w:sz w:val="22"/>
          <w:szCs w:val="24"/>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6ADA0C09" w14:textId="77777777" w:rsidR="00595701" w:rsidRPr="00595701" w:rsidRDefault="00595701" w:rsidP="00595701">
      <w:pPr>
        <w:tabs>
          <w:tab w:val="left" w:pos="5180"/>
        </w:tabs>
        <w:suppressAutoHyphens/>
        <w:spacing w:line="240" w:lineRule="auto"/>
        <w:ind w:left="426" w:right="420"/>
        <w:contextualSpacing/>
        <w:rPr>
          <w:rFonts w:eastAsia="Calibri" w:cs="Tahoma"/>
          <w:i/>
          <w:sz w:val="22"/>
          <w:szCs w:val="24"/>
        </w:rPr>
      </w:pPr>
    </w:p>
    <w:p w14:paraId="4A0C9840" w14:textId="77777777" w:rsidR="00595701" w:rsidRPr="00595701" w:rsidRDefault="00595701" w:rsidP="00595701">
      <w:pPr>
        <w:tabs>
          <w:tab w:val="left" w:pos="5180"/>
        </w:tabs>
        <w:suppressAutoHyphens/>
        <w:spacing w:line="240" w:lineRule="auto"/>
        <w:ind w:left="426" w:right="420"/>
        <w:contextualSpacing/>
        <w:rPr>
          <w:rFonts w:eastAsia="Calibri" w:cs="Tahoma"/>
          <w:i/>
          <w:sz w:val="22"/>
          <w:szCs w:val="24"/>
        </w:rPr>
      </w:pPr>
      <w:r w:rsidRPr="00595701">
        <w:rPr>
          <w:rFonts w:eastAsia="Calibri" w:cs="Tahoma"/>
          <w:i/>
          <w:sz w:val="22"/>
          <w:szCs w:val="24"/>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bookmarkEnd w:id="10"/>
    <w:p w14:paraId="2B2AC1D1" w14:textId="77777777" w:rsidR="00B33A2C" w:rsidRPr="008C7C79" w:rsidRDefault="00B33A2C" w:rsidP="008C7C79">
      <w:pPr>
        <w:widowControl w:val="0"/>
        <w:autoSpaceDE w:val="0"/>
        <w:autoSpaceDN w:val="0"/>
        <w:adjustRightInd w:val="0"/>
        <w:spacing w:line="276" w:lineRule="auto"/>
        <w:rPr>
          <w:rFonts w:cs="Tahoma"/>
          <w:szCs w:val="24"/>
        </w:rPr>
      </w:pPr>
    </w:p>
    <w:p w14:paraId="225A4851" w14:textId="77777777" w:rsidR="00B33A2C" w:rsidRPr="008C7C79" w:rsidRDefault="00B33A2C" w:rsidP="008C7C79">
      <w:pPr>
        <w:widowControl w:val="0"/>
        <w:autoSpaceDE w:val="0"/>
        <w:autoSpaceDN w:val="0"/>
        <w:adjustRightInd w:val="0"/>
        <w:spacing w:line="276" w:lineRule="auto"/>
        <w:rPr>
          <w:rFonts w:cs="Tahoma"/>
          <w:szCs w:val="24"/>
        </w:rPr>
      </w:pPr>
      <w:r w:rsidRPr="008C7C79">
        <w:rPr>
          <w:rFonts w:cs="Tahoma"/>
          <w:szCs w:val="24"/>
        </w:rPr>
        <w:tab/>
        <w:t xml:space="preserve">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7C9519A6" w14:textId="77777777" w:rsidR="00B33A2C" w:rsidRPr="008C7C79" w:rsidRDefault="00B33A2C" w:rsidP="008C7C79">
      <w:pPr>
        <w:widowControl w:val="0"/>
        <w:autoSpaceDE w:val="0"/>
        <w:autoSpaceDN w:val="0"/>
        <w:adjustRightInd w:val="0"/>
        <w:spacing w:line="276" w:lineRule="auto"/>
        <w:rPr>
          <w:rFonts w:cs="Tahoma"/>
          <w:szCs w:val="24"/>
        </w:rPr>
      </w:pPr>
    </w:p>
    <w:p w14:paraId="5CF289C6" w14:textId="77777777" w:rsidR="00595701" w:rsidRPr="00595701" w:rsidRDefault="00595701" w:rsidP="00595701">
      <w:pPr>
        <w:tabs>
          <w:tab w:val="left" w:pos="5180"/>
        </w:tabs>
        <w:suppressAutoHyphens/>
        <w:spacing w:line="240" w:lineRule="auto"/>
        <w:ind w:left="426" w:right="420"/>
        <w:contextualSpacing/>
        <w:rPr>
          <w:rFonts w:eastAsia="Calibri" w:cs="Tahoma"/>
          <w:i/>
          <w:sz w:val="22"/>
          <w:szCs w:val="24"/>
        </w:rPr>
      </w:pPr>
      <w:bookmarkStart w:id="11" w:name="_Hlk80191519"/>
      <w:r w:rsidRPr="00595701">
        <w:rPr>
          <w:rFonts w:eastAsia="Calibri" w:cs="Tahoma"/>
          <w:i/>
          <w:sz w:val="22"/>
          <w:szCs w:val="24"/>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w:t>
      </w:r>
      <w:r w:rsidRPr="00595701">
        <w:rPr>
          <w:rFonts w:eastAsia="Calibri" w:cs="Tahoma"/>
          <w:i/>
          <w:sz w:val="22"/>
          <w:szCs w:val="24"/>
        </w:rPr>
        <w:lastRenderedPageBreak/>
        <w:t xml:space="preserve">pronunciado en oportunidades anteriores, pudiéndose traer a colación la sentencia CSJ SL17595-2017, donde se rememoró la CSJ SL, 8 sep. 2008, rad. 31989…” </w:t>
      </w:r>
    </w:p>
    <w:bookmarkEnd w:id="11"/>
    <w:p w14:paraId="208BE64A" w14:textId="77777777" w:rsidR="00B33A2C" w:rsidRPr="008C7C79" w:rsidRDefault="00B33A2C" w:rsidP="008C7C79">
      <w:pPr>
        <w:tabs>
          <w:tab w:val="left" w:pos="-1440"/>
          <w:tab w:val="left" w:pos="-720"/>
          <w:tab w:val="left" w:pos="5180"/>
        </w:tabs>
        <w:suppressAutoHyphens/>
        <w:spacing w:line="276" w:lineRule="auto"/>
        <w:rPr>
          <w:rFonts w:cs="Tahoma"/>
          <w:szCs w:val="24"/>
        </w:rPr>
      </w:pPr>
    </w:p>
    <w:p w14:paraId="320E6672" w14:textId="77777777" w:rsidR="00B33A2C" w:rsidRPr="008C7C79" w:rsidRDefault="00B33A2C" w:rsidP="008C7C79">
      <w:pPr>
        <w:widowControl w:val="0"/>
        <w:autoSpaceDE w:val="0"/>
        <w:autoSpaceDN w:val="0"/>
        <w:adjustRightInd w:val="0"/>
        <w:spacing w:line="276" w:lineRule="auto"/>
        <w:ind w:firstLine="708"/>
        <w:rPr>
          <w:rFonts w:cs="Tahoma"/>
          <w:szCs w:val="24"/>
        </w:rPr>
      </w:pPr>
      <w:r w:rsidRPr="008C7C79">
        <w:rPr>
          <w:rFonts w:cs="Tahoma"/>
          <w:szCs w:val="24"/>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6D7CFAC7" w14:textId="77777777" w:rsidR="00B33A2C" w:rsidRPr="008C7C79" w:rsidRDefault="00B33A2C" w:rsidP="008C7C79">
      <w:pPr>
        <w:widowControl w:val="0"/>
        <w:autoSpaceDE w:val="0"/>
        <w:autoSpaceDN w:val="0"/>
        <w:adjustRightInd w:val="0"/>
        <w:spacing w:line="276" w:lineRule="auto"/>
        <w:rPr>
          <w:rFonts w:cs="Tahoma"/>
          <w:szCs w:val="24"/>
        </w:rPr>
      </w:pPr>
    </w:p>
    <w:p w14:paraId="6EAD9C8D" w14:textId="77777777" w:rsidR="00B33A2C" w:rsidRPr="008C7C79" w:rsidRDefault="00B33A2C" w:rsidP="008C7C79">
      <w:pPr>
        <w:widowControl w:val="0"/>
        <w:autoSpaceDE w:val="0"/>
        <w:autoSpaceDN w:val="0"/>
        <w:adjustRightInd w:val="0"/>
        <w:spacing w:line="276" w:lineRule="auto"/>
        <w:rPr>
          <w:rFonts w:cs="Tahoma"/>
          <w:szCs w:val="24"/>
        </w:rPr>
      </w:pPr>
      <w:r w:rsidRPr="008C7C79">
        <w:rPr>
          <w:rFonts w:cs="Tahoma"/>
          <w:szCs w:val="24"/>
        </w:rPr>
        <w:tab/>
        <w:t xml:space="preserve">Finalmente, los últimos problemas jurídicos se analizarán al evaluar el acervo probatorio del caso concreto, esto es, se estudiará si quedó probado en el proceso que la parte demandante recibió de parte de la AFP demandada la asesoría e información suficiente y necesaria para hacer el cambio de régimen. Y, en caso positivo se entrará a definir si cuando se declara la ineficacia del traslado, hay lugar en condenar en costas a la AFP. </w:t>
      </w:r>
    </w:p>
    <w:p w14:paraId="7B387F1F" w14:textId="524DF571" w:rsidR="00B33A2C" w:rsidRPr="008C7C79" w:rsidRDefault="00B33A2C" w:rsidP="008C7C79">
      <w:pPr>
        <w:widowControl w:val="0"/>
        <w:autoSpaceDE w:val="0"/>
        <w:autoSpaceDN w:val="0"/>
        <w:adjustRightInd w:val="0"/>
        <w:spacing w:line="276" w:lineRule="auto"/>
        <w:rPr>
          <w:rFonts w:cs="Tahoma"/>
          <w:b/>
          <w:szCs w:val="24"/>
        </w:rPr>
      </w:pPr>
      <w:r w:rsidRPr="008C7C79">
        <w:rPr>
          <w:rFonts w:cs="Tahoma"/>
          <w:szCs w:val="24"/>
        </w:rPr>
        <w:t xml:space="preserve"> </w:t>
      </w:r>
    </w:p>
    <w:p w14:paraId="4171BE59" w14:textId="77777777" w:rsidR="00B33A2C" w:rsidRPr="008C7C79" w:rsidRDefault="00B33A2C" w:rsidP="008C7C79">
      <w:pPr>
        <w:widowControl w:val="0"/>
        <w:numPr>
          <w:ilvl w:val="1"/>
          <w:numId w:val="9"/>
        </w:numPr>
        <w:autoSpaceDE w:val="0"/>
        <w:autoSpaceDN w:val="0"/>
        <w:adjustRightInd w:val="0"/>
        <w:spacing w:line="276" w:lineRule="auto"/>
        <w:contextualSpacing/>
        <w:jc w:val="left"/>
        <w:rPr>
          <w:rFonts w:eastAsia="Times New Roman" w:cs="Tahoma"/>
          <w:b/>
          <w:szCs w:val="24"/>
          <w:lang w:eastAsia="es-ES"/>
        </w:rPr>
      </w:pPr>
      <w:r w:rsidRPr="008C7C79">
        <w:rPr>
          <w:rFonts w:eastAsia="Times New Roman" w:cs="Tahoma"/>
          <w:b/>
          <w:szCs w:val="24"/>
          <w:lang w:eastAsia="es-ES"/>
        </w:rPr>
        <w:t>Caso concreto</w:t>
      </w:r>
    </w:p>
    <w:p w14:paraId="43A0405D" w14:textId="77777777" w:rsidR="00B33A2C" w:rsidRPr="008C7C79" w:rsidRDefault="00B33A2C" w:rsidP="008C7C79">
      <w:pPr>
        <w:spacing w:line="276" w:lineRule="auto"/>
        <w:ind w:left="644"/>
        <w:textAlignment w:val="baseline"/>
        <w:rPr>
          <w:rFonts w:eastAsia="Times New Roman" w:cs="Tahoma"/>
          <w:szCs w:val="24"/>
          <w:lang w:eastAsia="es-ES"/>
        </w:rPr>
      </w:pPr>
    </w:p>
    <w:p w14:paraId="75D1F611" w14:textId="56A1C193" w:rsidR="00B33A2C" w:rsidRPr="008C7C79" w:rsidRDefault="00B33A2C" w:rsidP="008C7C79">
      <w:pPr>
        <w:spacing w:line="276" w:lineRule="auto"/>
        <w:ind w:firstLine="644"/>
        <w:contextualSpacing/>
        <w:rPr>
          <w:rFonts w:eastAsia="Times New Roman" w:cs="Tahoma"/>
          <w:szCs w:val="24"/>
          <w:lang w:eastAsia="es-ES"/>
        </w:rPr>
      </w:pPr>
      <w:r w:rsidRPr="008C7C79">
        <w:rPr>
          <w:rFonts w:eastAsia="Times New Roman" w:cs="Tahoma"/>
          <w:szCs w:val="24"/>
          <w:lang w:eastAsia="es-ES"/>
        </w:rPr>
        <w:t xml:space="preserve">Se pretende por esta vía ordinaria que se declare la nulidad de la afiliación a </w:t>
      </w:r>
      <w:r w:rsidR="0067398B" w:rsidRPr="008C7C79">
        <w:rPr>
          <w:rFonts w:eastAsia="Times New Roman" w:cs="Tahoma"/>
          <w:szCs w:val="24"/>
          <w:lang w:eastAsia="es-ES"/>
        </w:rPr>
        <w:t xml:space="preserve">Horizonte Pensiones y </w:t>
      </w:r>
      <w:r w:rsidR="009C2977" w:rsidRPr="008C7C79">
        <w:rPr>
          <w:rFonts w:eastAsia="Times New Roman" w:cs="Tahoma"/>
          <w:szCs w:val="24"/>
          <w:lang w:eastAsia="es-ES"/>
        </w:rPr>
        <w:t>Cesantías</w:t>
      </w:r>
      <w:r w:rsidR="0067398B" w:rsidRPr="008C7C79">
        <w:rPr>
          <w:rFonts w:eastAsia="Times New Roman" w:cs="Tahoma"/>
          <w:szCs w:val="24"/>
          <w:lang w:eastAsia="es-ES"/>
        </w:rPr>
        <w:t xml:space="preserve"> (hoy </w:t>
      </w:r>
      <w:r w:rsidRPr="008C7C79">
        <w:rPr>
          <w:rFonts w:eastAsia="Times New Roman" w:cs="Tahoma"/>
          <w:szCs w:val="24"/>
          <w:lang w:eastAsia="es-ES"/>
        </w:rPr>
        <w:t>Porvenir S.A.</w:t>
      </w:r>
      <w:r w:rsidR="0067398B" w:rsidRPr="008C7C79">
        <w:rPr>
          <w:rFonts w:eastAsia="Times New Roman" w:cs="Tahoma"/>
          <w:szCs w:val="24"/>
          <w:lang w:eastAsia="es-ES"/>
        </w:rPr>
        <w:t>)</w:t>
      </w:r>
      <w:r w:rsidRPr="008C7C79">
        <w:rPr>
          <w:rFonts w:eastAsia="Times New Roman" w:cs="Tahoma"/>
          <w:szCs w:val="24"/>
          <w:lang w:eastAsia="es-ES"/>
        </w:rPr>
        <w:t>, por medio de la cual se llevó a cabo el traslado del régimen de prima media con prestación definida al de ahorro individual con solidaridad; dada la omisión de información clara y precisa, que ha debido brindarle la A.F.P. a la parte actora en orden a conocer las condiciones y consecuencias de migración de régimen.</w:t>
      </w:r>
    </w:p>
    <w:p w14:paraId="12D9D28E" w14:textId="77777777" w:rsidR="00B33A2C" w:rsidRPr="008C7C79" w:rsidRDefault="00B33A2C" w:rsidP="008C7C79">
      <w:pPr>
        <w:spacing w:line="276" w:lineRule="auto"/>
        <w:jc w:val="left"/>
        <w:rPr>
          <w:rFonts w:cs="Tahoma"/>
          <w:szCs w:val="24"/>
          <w:lang w:val="es-CO"/>
        </w:rPr>
      </w:pPr>
    </w:p>
    <w:p w14:paraId="496F461C" w14:textId="77777777" w:rsidR="00B33A2C" w:rsidRPr="008C7C79" w:rsidRDefault="00B33A2C" w:rsidP="008C7C79">
      <w:pPr>
        <w:spacing w:line="276" w:lineRule="auto"/>
        <w:ind w:firstLine="644"/>
        <w:contextualSpacing/>
        <w:rPr>
          <w:rFonts w:eastAsia="Times New Roman" w:cs="Tahoma"/>
          <w:szCs w:val="24"/>
          <w:lang w:eastAsia="es-ES"/>
        </w:rPr>
      </w:pPr>
      <w:r w:rsidRPr="008C7C79">
        <w:rPr>
          <w:rFonts w:eastAsia="Times New Roman" w:cs="Tahoma"/>
          <w:szCs w:val="24"/>
          <w:lang w:eastAsia="es-ES"/>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 la afiliada, acerca del impacto del cambio de régimen pensional.</w:t>
      </w:r>
    </w:p>
    <w:p w14:paraId="4CE186AC" w14:textId="77777777" w:rsidR="00B33A2C" w:rsidRPr="008C7C79" w:rsidRDefault="00B33A2C" w:rsidP="008C7C79">
      <w:pPr>
        <w:spacing w:line="276" w:lineRule="auto"/>
        <w:contextualSpacing/>
        <w:jc w:val="left"/>
        <w:rPr>
          <w:rFonts w:eastAsia="Times New Roman" w:cs="Tahoma"/>
          <w:szCs w:val="24"/>
          <w:lang w:eastAsia="es-ES"/>
        </w:rPr>
      </w:pPr>
    </w:p>
    <w:p w14:paraId="02F860E9" w14:textId="77777777" w:rsidR="00B33A2C" w:rsidRPr="008C7C79" w:rsidRDefault="00B33A2C" w:rsidP="008C7C79">
      <w:pPr>
        <w:spacing w:line="276" w:lineRule="auto"/>
        <w:ind w:firstLine="644"/>
        <w:contextualSpacing/>
        <w:rPr>
          <w:rFonts w:eastAsia="Times New Roman" w:cs="Tahoma"/>
          <w:b/>
          <w:szCs w:val="24"/>
          <w:lang w:eastAsia="es-ES"/>
        </w:rPr>
      </w:pPr>
      <w:r w:rsidRPr="008C7C79">
        <w:rPr>
          <w:rFonts w:eastAsia="Times New Roman" w:cs="Tahoma"/>
          <w:szCs w:val="24"/>
          <w:lang w:eastAsia="es-ES"/>
        </w:rPr>
        <w:t>Así pues, la negligencia en que eventualmente incurren tales administradoras de pensiones, al no suministrar la información adecuada y precisa al afiliado(a), recaerá en la eficacia del acto, dado que con la omisión o la defectuosa información se ha inducido en error al afectado(a). En curso del proceso la AFP demandada no cumplió con la carga que se le impone, esto es</w:t>
      </w:r>
      <w:r w:rsidRPr="008C7C79">
        <w:rPr>
          <w:rFonts w:eastAsia="Times New Roman" w:cs="Tahoma"/>
          <w:b/>
          <w:szCs w:val="24"/>
          <w:lang w:eastAsia="es-ES"/>
        </w:rPr>
        <w:t>, acreditar haber transmitido a la parte actora la información concreta y cierta, acerca de la implicación del traslado de régimen pensional.</w:t>
      </w:r>
    </w:p>
    <w:p w14:paraId="0DAA77C1" w14:textId="77777777" w:rsidR="00B33A2C" w:rsidRPr="008C7C79" w:rsidRDefault="00B33A2C" w:rsidP="008C7C79">
      <w:pPr>
        <w:spacing w:line="276" w:lineRule="auto"/>
        <w:contextualSpacing/>
        <w:jc w:val="left"/>
        <w:rPr>
          <w:rFonts w:eastAsia="Times New Roman" w:cs="Tahoma"/>
          <w:b/>
          <w:szCs w:val="24"/>
          <w:lang w:eastAsia="es-ES"/>
        </w:rPr>
      </w:pPr>
    </w:p>
    <w:p w14:paraId="5FC0E7ED" w14:textId="77777777" w:rsidR="00B33A2C" w:rsidRPr="008C7C79" w:rsidRDefault="00B33A2C" w:rsidP="008C7C79">
      <w:pPr>
        <w:spacing w:line="276" w:lineRule="auto"/>
        <w:ind w:firstLine="644"/>
        <w:rPr>
          <w:rFonts w:eastAsia="Times New Roman" w:cs="Tahoma"/>
          <w:color w:val="000000"/>
          <w:szCs w:val="24"/>
          <w:lang w:eastAsia="es-ES"/>
        </w:rPr>
      </w:pPr>
      <w:r w:rsidRPr="008C7C79">
        <w:rPr>
          <w:rFonts w:eastAsia="Times New Roman" w:cs="Tahoma"/>
          <w:color w:val="000000"/>
          <w:szCs w:val="24"/>
          <w:lang w:eastAsia="es-ES"/>
        </w:rPr>
        <w:t xml:space="preserve">En realidad, mínimo la AFP tendría que haber dado la siguiente información: </w:t>
      </w:r>
      <w:r w:rsidRPr="008C7C79">
        <w:rPr>
          <w:rFonts w:eastAsia="Times New Roman" w:cs="Tahoma"/>
          <w:i/>
          <w:color w:val="000000"/>
          <w:szCs w:val="24"/>
          <w:lang w:eastAsia="es-ES"/>
        </w:rPr>
        <w:t xml:space="preserve">i) </w:t>
      </w:r>
      <w:r w:rsidRPr="008C7C79">
        <w:rPr>
          <w:rFonts w:eastAsia="Times New Roman" w:cs="Tahoma"/>
          <w:color w:val="000000"/>
          <w:szCs w:val="24"/>
          <w:lang w:eastAsia="es-ES"/>
        </w:rPr>
        <w:t xml:space="preserve">Que, dependiendo del capital, puede pensionarse anticipadamente, esto es, antes de la edad mínima para la pensión de vejez. </w:t>
      </w:r>
      <w:r w:rsidRPr="008C7C79">
        <w:rPr>
          <w:rFonts w:eastAsia="Times New Roman" w:cs="Tahoma"/>
          <w:i/>
          <w:color w:val="000000"/>
          <w:szCs w:val="24"/>
          <w:lang w:eastAsia="es-ES"/>
        </w:rPr>
        <w:t xml:space="preserve">ii) </w:t>
      </w:r>
      <w:r w:rsidRPr="008C7C79">
        <w:rPr>
          <w:rFonts w:eastAsia="Times New Roman" w:cs="Tahoma"/>
          <w:color w:val="000000"/>
          <w:szCs w:val="24"/>
          <w:lang w:eastAsia="es-ES"/>
        </w:rPr>
        <w:t xml:space="preserve">La posibilidad para sus herederos de hacerse a la devolución de saldos, en caso de que no existieran beneficiaros para la pensión de sobrevivientes. </w:t>
      </w:r>
      <w:r w:rsidRPr="008C7C79">
        <w:rPr>
          <w:rFonts w:eastAsia="Times New Roman" w:cs="Tahoma"/>
          <w:i/>
          <w:color w:val="000000"/>
          <w:szCs w:val="24"/>
          <w:lang w:eastAsia="es-ES"/>
        </w:rPr>
        <w:t xml:space="preserve">iii) </w:t>
      </w:r>
      <w:r w:rsidRPr="008C7C79">
        <w:rPr>
          <w:rFonts w:eastAsia="Times New Roman" w:cs="Tahoma"/>
          <w:color w:val="000000"/>
          <w:szCs w:val="24"/>
          <w:lang w:eastAsia="es-ES"/>
        </w:rPr>
        <w:t xml:space="preserve">La devolución total del saldo en caso de no alcanzar a reunir el total de los requisitos legales para optar al beneficio pensional. </w:t>
      </w:r>
      <w:r w:rsidRPr="008C7C79">
        <w:rPr>
          <w:rFonts w:eastAsia="Times New Roman" w:cs="Tahoma"/>
          <w:i/>
          <w:color w:val="000000"/>
          <w:szCs w:val="24"/>
          <w:lang w:eastAsia="es-ES"/>
        </w:rPr>
        <w:t xml:space="preserve">iv) </w:t>
      </w:r>
      <w:r w:rsidRPr="008C7C79">
        <w:rPr>
          <w:rFonts w:eastAsia="Times New Roman" w:cs="Tahoma"/>
          <w:color w:val="000000"/>
          <w:szCs w:val="24"/>
          <w:lang w:eastAsia="es-ES"/>
        </w:rPr>
        <w:t xml:space="preserve">Tener la </w:t>
      </w:r>
      <w:r w:rsidRPr="008C7C79">
        <w:rPr>
          <w:rFonts w:eastAsia="Times New Roman" w:cs="Tahoma"/>
          <w:color w:val="000000"/>
          <w:szCs w:val="24"/>
          <w:lang w:eastAsia="es-ES"/>
        </w:rPr>
        <w:lastRenderedPageBreak/>
        <w:t xml:space="preserve">posibilidad de la pensión de vejez habiendo cotizado el mínimo de semanas requeridas a pesar de no reunir el capital suficiente para el financiamiento de la prestación económica. </w:t>
      </w:r>
      <w:r w:rsidRPr="008C7C79">
        <w:rPr>
          <w:rFonts w:eastAsia="Times New Roman" w:cs="Tahoma"/>
          <w:i/>
          <w:color w:val="000000"/>
          <w:szCs w:val="24"/>
          <w:lang w:eastAsia="es-ES"/>
        </w:rPr>
        <w:t xml:space="preserve">v) </w:t>
      </w:r>
      <w:r w:rsidRPr="008C7C79">
        <w:rPr>
          <w:rFonts w:eastAsia="Times New Roman" w:cs="Tahoma"/>
          <w:color w:val="000000"/>
          <w:szCs w:val="24"/>
          <w:lang w:eastAsia="es-ES"/>
        </w:rPr>
        <w:t xml:space="preserve">La posibilidad de que el reconocimiento de la pensión de vejez, una vez reunido los requisitos, se haga pronto. </w:t>
      </w:r>
      <w:r w:rsidRPr="008C7C79">
        <w:rPr>
          <w:rFonts w:eastAsia="Times New Roman" w:cs="Tahoma"/>
          <w:i/>
          <w:color w:val="000000"/>
          <w:szCs w:val="24"/>
          <w:lang w:eastAsia="es-ES"/>
        </w:rPr>
        <w:t xml:space="preserve">vi) </w:t>
      </w:r>
      <w:r w:rsidRPr="008C7C79">
        <w:rPr>
          <w:rFonts w:eastAsia="Times New Roman" w:cs="Tahoma"/>
          <w:color w:val="000000"/>
          <w:szCs w:val="24"/>
          <w:lang w:eastAsia="es-ES"/>
        </w:rPr>
        <w:t xml:space="preserve">La posibilidad de que sus aportes se conviertan en patrimonio </w:t>
      </w:r>
      <w:proofErr w:type="spellStart"/>
      <w:r w:rsidRPr="008C7C79">
        <w:rPr>
          <w:rFonts w:eastAsia="Times New Roman" w:cs="Tahoma"/>
          <w:color w:val="000000"/>
          <w:szCs w:val="24"/>
          <w:lang w:eastAsia="es-ES"/>
        </w:rPr>
        <w:t>sucesoral</w:t>
      </w:r>
      <w:proofErr w:type="spellEnd"/>
      <w:r w:rsidRPr="008C7C79">
        <w:rPr>
          <w:rFonts w:eastAsia="Times New Roman" w:cs="Tahoma"/>
          <w:color w:val="000000"/>
          <w:szCs w:val="24"/>
          <w:lang w:eastAsia="es-ES"/>
        </w:rPr>
        <w:t xml:space="preserve"> en un caso dado. </w:t>
      </w:r>
      <w:r w:rsidRPr="008C7C79">
        <w:rPr>
          <w:rFonts w:eastAsia="Times New Roman" w:cs="Tahoma"/>
          <w:i/>
          <w:color w:val="000000"/>
          <w:szCs w:val="24"/>
          <w:lang w:eastAsia="es-ES"/>
        </w:rPr>
        <w:t xml:space="preserve">vii) </w:t>
      </w:r>
      <w:r w:rsidRPr="008C7C79">
        <w:rPr>
          <w:rFonts w:eastAsia="Times New Roman" w:cs="Tahoma"/>
          <w:color w:val="000000"/>
          <w:szCs w:val="24"/>
          <w:lang w:eastAsia="es-ES"/>
        </w:rPr>
        <w:t xml:space="preserve">El hecho de que el afiliado es el único titular de la cuenta de ahorro individual en contraste con el fondo público cuyos ahorros hacen parte de un fondo común. </w:t>
      </w:r>
      <w:r w:rsidRPr="008C7C79">
        <w:rPr>
          <w:rFonts w:eastAsia="Times New Roman" w:cs="Tahoma"/>
          <w:i/>
          <w:color w:val="000000"/>
          <w:szCs w:val="24"/>
          <w:lang w:eastAsia="es-ES"/>
        </w:rPr>
        <w:t xml:space="preserve">viii) </w:t>
      </w:r>
      <w:r w:rsidRPr="008C7C79">
        <w:rPr>
          <w:rFonts w:eastAsia="Times New Roman" w:cs="Tahoma"/>
          <w:color w:val="000000"/>
          <w:szCs w:val="24"/>
          <w:lang w:eastAsia="es-ES"/>
        </w:rPr>
        <w:t xml:space="preserve">Los rendimientos financieros que le generen sus aportes abonados sobre el saldo de su cuenta de ahorro individual; y, </w:t>
      </w:r>
      <w:r w:rsidRPr="008C7C79">
        <w:rPr>
          <w:rFonts w:eastAsia="Times New Roman" w:cs="Tahoma"/>
          <w:i/>
          <w:color w:val="000000"/>
          <w:szCs w:val="24"/>
          <w:lang w:eastAsia="es-ES"/>
        </w:rPr>
        <w:t xml:space="preserve">ix) </w:t>
      </w:r>
      <w:r w:rsidRPr="008C7C79">
        <w:rPr>
          <w:rFonts w:eastAsia="Times New Roman" w:cs="Tahoma"/>
          <w:color w:val="000000"/>
          <w:szCs w:val="24"/>
          <w:lang w:eastAsia="es-ES"/>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8C7C79">
        <w:rPr>
          <w:rFonts w:eastAsia="Times New Roman" w:cs="Tahoma"/>
          <w:color w:val="000000"/>
          <w:szCs w:val="24"/>
          <w:lang w:eastAsia="es-ES"/>
        </w:rPr>
        <w:t>sucesoral</w:t>
      </w:r>
      <w:proofErr w:type="spellEnd"/>
      <w:r w:rsidRPr="008C7C79">
        <w:rPr>
          <w:rFonts w:eastAsia="Times New Roman" w:cs="Tahoma"/>
          <w:color w:val="000000"/>
          <w:szCs w:val="24"/>
          <w:lang w:eastAsia="es-ES"/>
        </w:rPr>
        <w:t xml:space="preserve">, pero le garantiza una pensión de por vida. La modalidad de </w:t>
      </w:r>
      <w:r w:rsidRPr="008C7C79">
        <w:rPr>
          <w:rFonts w:eastAsia="Times New Roman" w:cs="Tahoma"/>
          <w:i/>
          <w:color w:val="000000"/>
          <w:szCs w:val="24"/>
          <w:lang w:eastAsia="es-ES"/>
        </w:rPr>
        <w:t>retiro programado</w:t>
      </w:r>
      <w:r w:rsidRPr="008C7C79">
        <w:rPr>
          <w:rFonts w:eastAsia="Times New Roman" w:cs="Tahoma"/>
          <w:color w:val="000000"/>
          <w:szCs w:val="24"/>
          <w:lang w:eastAsia="es-ES"/>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068E6484" w14:textId="77777777" w:rsidR="00B33A2C" w:rsidRPr="008C7C79" w:rsidRDefault="00B33A2C" w:rsidP="008C7C79">
      <w:pPr>
        <w:spacing w:line="276" w:lineRule="auto"/>
        <w:ind w:firstLine="644"/>
        <w:rPr>
          <w:rFonts w:eastAsia="Times New Roman" w:cs="Tahoma"/>
          <w:color w:val="000000"/>
          <w:szCs w:val="24"/>
          <w:lang w:eastAsia="es-ES"/>
        </w:rPr>
      </w:pPr>
    </w:p>
    <w:p w14:paraId="1FB2C145" w14:textId="77777777" w:rsidR="00B33A2C" w:rsidRPr="008C7C79" w:rsidRDefault="00B33A2C" w:rsidP="008C7C79">
      <w:pPr>
        <w:spacing w:line="276" w:lineRule="auto"/>
        <w:ind w:firstLine="644"/>
        <w:rPr>
          <w:rFonts w:eastAsia="Times New Roman" w:cs="Tahoma"/>
          <w:color w:val="000000"/>
          <w:szCs w:val="24"/>
          <w:lang w:eastAsia="es-ES"/>
        </w:rPr>
      </w:pPr>
      <w:r w:rsidRPr="008C7C79">
        <w:rPr>
          <w:rFonts w:eastAsia="Times New Roman" w:cs="Tahoma"/>
          <w:color w:val="000000"/>
          <w:szCs w:val="24"/>
          <w:lang w:eastAsia="es-ES"/>
        </w:rPr>
        <w:t xml:space="preserve">La AFP afirma en su contestación que brindó la información </w:t>
      </w:r>
      <w:r w:rsidRPr="008C7C79">
        <w:rPr>
          <w:rFonts w:eastAsia="Times New Roman" w:cs="Tahoma"/>
          <w:szCs w:val="24"/>
          <w:lang w:val="es-CO" w:eastAsia="es-ES"/>
        </w:rPr>
        <w:t>seria y veraz que para la época era jurídicamente pertinente</w:t>
      </w:r>
      <w:r w:rsidRPr="008C7C79">
        <w:rPr>
          <w:rFonts w:eastAsia="Times New Roman" w:cs="Tahoma"/>
          <w:color w:val="000000"/>
          <w:szCs w:val="24"/>
          <w:lang w:eastAsia="es-ES"/>
        </w:rPr>
        <w:t xml:space="preserve"> a la parte demandante sin que se precise en qué 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27AD3914" w14:textId="77777777" w:rsidR="00B33A2C" w:rsidRPr="008C7C79" w:rsidRDefault="00B33A2C" w:rsidP="008C7C79">
      <w:pPr>
        <w:spacing w:line="276" w:lineRule="auto"/>
        <w:jc w:val="left"/>
        <w:rPr>
          <w:rFonts w:cs="Tahoma"/>
          <w:szCs w:val="24"/>
          <w:lang w:val="es-CO"/>
        </w:rPr>
      </w:pPr>
    </w:p>
    <w:p w14:paraId="3B7372E8" w14:textId="1E8849E0" w:rsidR="00B33A2C" w:rsidRPr="008C7C79" w:rsidRDefault="00B33A2C" w:rsidP="008C7C79">
      <w:pPr>
        <w:spacing w:line="276" w:lineRule="auto"/>
        <w:ind w:firstLine="709"/>
        <w:rPr>
          <w:rFonts w:cs="Tahoma"/>
          <w:szCs w:val="24"/>
        </w:rPr>
      </w:pPr>
      <w:r w:rsidRPr="008C7C79">
        <w:rPr>
          <w:rFonts w:cs="Tahoma"/>
          <w:szCs w:val="24"/>
        </w:rPr>
        <w:t xml:space="preserve">Con todo hay que indicar que como prueba del cumplimiento del deber de información y buen consejo, la AFP demandada llamó a declarar a su contraparte procesal, de cuya declaración, la Sala considera que la parte demandante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w:t>
      </w:r>
      <w:r w:rsidR="00ED75E5" w:rsidRPr="008C7C79">
        <w:rPr>
          <w:rFonts w:cs="Tahoma"/>
          <w:szCs w:val="24"/>
        </w:rPr>
        <w:t>Tampoco hay prueba de</w:t>
      </w:r>
      <w:r w:rsidR="003619AA" w:rsidRPr="008C7C79">
        <w:rPr>
          <w:rFonts w:cs="Tahoma"/>
          <w:szCs w:val="24"/>
        </w:rPr>
        <w:t xml:space="preserve"> que se le hubiera informado los beneficios del régimen de transición </w:t>
      </w:r>
      <w:r w:rsidR="00263852" w:rsidRPr="008C7C79">
        <w:rPr>
          <w:rFonts w:cs="Tahoma"/>
          <w:szCs w:val="24"/>
        </w:rPr>
        <w:t xml:space="preserve">que perdería en caso de trasladarse de régimen. </w:t>
      </w:r>
      <w:r w:rsidRPr="008C7C79">
        <w:rPr>
          <w:rFonts w:cs="Tahoma"/>
          <w:szCs w:val="24"/>
        </w:rPr>
        <w:t>El otro elemento de prueba que esgrime la AFP es el formulario de afiliación suscrito por la promotora de la litis ante Porvenir, pero dichos documentos no logran evidenciar la información que se le brindó. En tal virtud se estima acertada la valoración probatoria efectuada por la operadora judicial de instancia.</w:t>
      </w:r>
    </w:p>
    <w:p w14:paraId="570C026D" w14:textId="77777777" w:rsidR="00B33A2C" w:rsidRPr="008C7C79" w:rsidRDefault="00B33A2C" w:rsidP="008C7C79">
      <w:pPr>
        <w:spacing w:line="276" w:lineRule="auto"/>
        <w:rPr>
          <w:rFonts w:cs="Tahoma"/>
          <w:szCs w:val="24"/>
        </w:rPr>
      </w:pPr>
    </w:p>
    <w:p w14:paraId="02C5E8C4" w14:textId="0C246B97" w:rsidR="00B33A2C" w:rsidRPr="008C7C79" w:rsidRDefault="00B33A2C" w:rsidP="008C7C79">
      <w:pPr>
        <w:spacing w:line="276" w:lineRule="auto"/>
        <w:ind w:firstLine="709"/>
        <w:rPr>
          <w:rFonts w:cs="Tahoma"/>
          <w:szCs w:val="24"/>
        </w:rPr>
      </w:pPr>
      <w:r w:rsidRPr="008C7C79">
        <w:rPr>
          <w:rFonts w:cs="Tahoma"/>
          <w:szCs w:val="24"/>
        </w:rPr>
        <w:t xml:space="preserve">Pero además, a juicio de esta colegiatura, si el asesor (a) de la demandada contaba con un conocimiento profundo de todas las posibilidades que ofrecía el RAIS, como se afirma en la defensa, también debía contar con un discernimiento mínimo de las limitantes que este tenía en contraste con el régimen de prima media, o </w:t>
      </w:r>
      <w:r w:rsidRPr="008C7C79">
        <w:rPr>
          <w:rFonts w:cs="Tahoma"/>
          <w:szCs w:val="24"/>
        </w:rPr>
        <w:lastRenderedPageBreak/>
        <w:t>viceversa, por lo que debió poner de presente a la demandante –al menos de manera sucinta- esas situaciones antes de permitirle diligenciar el formulario de vinculación; no obstante, la prueba documental sólo permite concluir que esa trascendental decisión se limitó a la suscripción del aludido documento</w:t>
      </w:r>
      <w:r w:rsidR="00F3612F" w:rsidRPr="008C7C79">
        <w:rPr>
          <w:rFonts w:cs="Tahoma"/>
          <w:szCs w:val="24"/>
        </w:rPr>
        <w:t xml:space="preserve">, sin que el hecho de que posteriormente haya solicitado el reconocimiento de la pensión permita concluir que al momento del traslado, o durante su vinculación, se le brindó la información necesaria para tener el conocimiento pleno de la trascendencia de su afiliación y permanencia en el RAIS. </w:t>
      </w:r>
    </w:p>
    <w:p w14:paraId="7D7F6085" w14:textId="77777777" w:rsidR="00B33A2C" w:rsidRPr="008C7C79" w:rsidRDefault="00B33A2C" w:rsidP="008C7C79">
      <w:pPr>
        <w:spacing w:line="276" w:lineRule="auto"/>
        <w:ind w:firstLine="709"/>
        <w:rPr>
          <w:rFonts w:cs="Tahoma"/>
          <w:szCs w:val="24"/>
        </w:rPr>
      </w:pPr>
    </w:p>
    <w:p w14:paraId="1AA6CCCD" w14:textId="77777777" w:rsidR="00B33A2C" w:rsidRPr="008C7C79" w:rsidRDefault="00B33A2C" w:rsidP="008C7C79">
      <w:pPr>
        <w:spacing w:line="276" w:lineRule="auto"/>
        <w:ind w:firstLine="644"/>
        <w:rPr>
          <w:rFonts w:eastAsia="Times New Roman" w:cs="Tahoma"/>
          <w:szCs w:val="24"/>
          <w:lang w:eastAsia="es-ES"/>
        </w:rPr>
      </w:pPr>
      <w:r w:rsidRPr="008C7C79">
        <w:rPr>
          <w:rFonts w:eastAsia="Times New Roman" w:cs="Tahoma"/>
          <w:szCs w:val="24"/>
          <w:lang w:eastAsia="es-ES"/>
        </w:rPr>
        <w:t>En cuanto a las condenas impartidas a cargo de Porvenir S.A., se dirá que de conformidad con las sentencias SL1421 de 2019 y SL 2611 de 2020, M.P. Gerardo Botero Zuluaga, previamente citadas, es su deber trasladar a Colpensiones los gastos de administración, debidamente indexados, cancelados por la parte actora en razón a 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confirmará la sentencia apelada frente a tal decisión.</w:t>
      </w:r>
    </w:p>
    <w:p w14:paraId="0C0B900B" w14:textId="77777777" w:rsidR="00B33A2C" w:rsidRPr="008C7C79" w:rsidRDefault="00B33A2C" w:rsidP="008C7C79">
      <w:pPr>
        <w:spacing w:line="276" w:lineRule="auto"/>
        <w:ind w:firstLine="644"/>
        <w:rPr>
          <w:rFonts w:eastAsia="Times New Roman" w:cs="Tahoma"/>
          <w:szCs w:val="24"/>
          <w:lang w:eastAsia="es-ES"/>
        </w:rPr>
      </w:pPr>
    </w:p>
    <w:p w14:paraId="32A1B8FC" w14:textId="71E22E85" w:rsidR="00B33A2C" w:rsidRPr="008C7C79" w:rsidRDefault="00B33A2C" w:rsidP="008C7C79">
      <w:pPr>
        <w:spacing w:line="276" w:lineRule="auto"/>
        <w:ind w:firstLine="644"/>
        <w:rPr>
          <w:rFonts w:eastAsia="Times New Roman" w:cs="Tahoma"/>
          <w:szCs w:val="24"/>
          <w:lang w:eastAsia="es-ES"/>
        </w:rPr>
      </w:pPr>
      <w:r w:rsidRPr="008C7C79">
        <w:rPr>
          <w:rFonts w:eastAsia="Times New Roman" w:cs="Tahoma"/>
          <w:szCs w:val="24"/>
          <w:lang w:eastAsia="es-ES"/>
        </w:rPr>
        <w:t>Ahora, debe recordarse que la Corte Constitucional en sentencia SU-053-2015, ha definido el precedente judicial como «</w:t>
      </w:r>
      <w:r w:rsidRPr="009C2977">
        <w:rPr>
          <w:rFonts w:eastAsia="Times New Roman" w:cs="Tahoma"/>
          <w:i/>
          <w:iCs/>
          <w:sz w:val="22"/>
          <w:szCs w:val="24"/>
          <w:lang w:eastAsia="es-ES"/>
        </w:rPr>
        <w:t>la sentencia o el conjunto de ellas, anteriores a un caso determinado, que por su pertinencia y semejanza en los problemas jurídicos resueltos, debe necesariamente considerarse por las autoridades judiciales al momento de emitir un fallo</w:t>
      </w:r>
      <w:r w:rsidRPr="008C7C79">
        <w:rPr>
          <w:rFonts w:eastAsia="Times New Roman" w:cs="Tahoma"/>
          <w:i/>
          <w:iCs/>
          <w:szCs w:val="24"/>
          <w:lang w:eastAsia="es-ES"/>
        </w:rPr>
        <w:t>»</w:t>
      </w:r>
      <w:r w:rsidRPr="008C7C79">
        <w:rPr>
          <w:rFonts w:eastAsia="Times New Roman" w:cs="Tahoma"/>
          <w:szCs w:val="24"/>
          <w:lang w:eastAsia="es-ES"/>
        </w:rPr>
        <w:t xml:space="preserve"> y, en tal sentido, el emitido por los máximos órganos de cierre, “</w:t>
      </w:r>
      <w:r w:rsidRPr="004077EA">
        <w:rPr>
          <w:rFonts w:eastAsia="Times New Roman" w:cs="Tahoma"/>
          <w:i/>
          <w:iCs/>
          <w:sz w:val="22"/>
          <w:szCs w:val="24"/>
          <w:lang w:eastAsia="es-ES"/>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8C7C79">
        <w:rPr>
          <w:rFonts w:eastAsia="Times New Roman" w:cs="Tahoma"/>
          <w:i/>
          <w:iCs/>
          <w:szCs w:val="24"/>
          <w:lang w:eastAsia="es-ES"/>
        </w:rPr>
        <w:t>”</w:t>
      </w:r>
      <w:r w:rsidRPr="008C7C79">
        <w:rPr>
          <w:rFonts w:eastAsia="Times New Roman" w:cs="Tahoma"/>
          <w:szCs w:val="24"/>
          <w:lang w:eastAsia="es-ES"/>
        </w:rPr>
        <w:t xml:space="preserve"> (STL4759-2020).</w:t>
      </w:r>
    </w:p>
    <w:p w14:paraId="0D1F978F" w14:textId="77777777" w:rsidR="0067398B" w:rsidRPr="008C7C79" w:rsidRDefault="0067398B" w:rsidP="008C7C79">
      <w:pPr>
        <w:spacing w:line="276" w:lineRule="auto"/>
        <w:ind w:firstLine="644"/>
        <w:rPr>
          <w:rFonts w:eastAsia="Times New Roman" w:cs="Tahoma"/>
          <w:szCs w:val="24"/>
          <w:lang w:eastAsia="es-ES"/>
        </w:rPr>
      </w:pPr>
    </w:p>
    <w:p w14:paraId="3F89162E" w14:textId="47ECFAE6" w:rsidR="00271428" w:rsidRPr="008C7C79" w:rsidRDefault="0067398B" w:rsidP="008C7C79">
      <w:pPr>
        <w:widowControl w:val="0"/>
        <w:tabs>
          <w:tab w:val="left" w:pos="567"/>
        </w:tabs>
        <w:autoSpaceDE w:val="0"/>
        <w:autoSpaceDN w:val="0"/>
        <w:adjustRightInd w:val="0"/>
        <w:spacing w:line="276" w:lineRule="auto"/>
        <w:ind w:firstLine="284"/>
        <w:rPr>
          <w:rFonts w:cs="Tahoma"/>
          <w:szCs w:val="24"/>
        </w:rPr>
      </w:pPr>
      <w:r w:rsidRPr="008C7C79">
        <w:rPr>
          <w:rFonts w:cs="Tahoma"/>
          <w:szCs w:val="24"/>
        </w:rPr>
        <w:t>F</w:t>
      </w:r>
      <w:r w:rsidR="00271428" w:rsidRPr="008C7C79">
        <w:rPr>
          <w:rFonts w:cs="Tahoma"/>
          <w:szCs w:val="24"/>
        </w:rPr>
        <w:t>rente al argumento de Colpensiones de que era improcedente permitir que la demandante se trasladara hacia dicha entidad al faltarle menos de diez años para lograr la edad mínima pensional, basta mencionar que uno de los efectos de la ineficacia es que justamente las cosas se retrotraen al estado en que se encontraban, es decir, como si ello no hubiera ocurrido y, en este caso, dicha declaratoria de ineficacia de cambio de régimen pensional, conlleva al regreso automático de la demandante al régimen solidario de prima media con prestación definida hoy administrado por Colpensiones, del cual ya hacía parte la demandante.</w:t>
      </w:r>
    </w:p>
    <w:p w14:paraId="01425DDD" w14:textId="77777777" w:rsidR="00B33A2C" w:rsidRPr="008C7C79" w:rsidRDefault="00B33A2C" w:rsidP="008C7C79">
      <w:pPr>
        <w:spacing w:line="276" w:lineRule="auto"/>
        <w:ind w:firstLine="709"/>
        <w:rPr>
          <w:rFonts w:cs="Tahoma"/>
          <w:szCs w:val="24"/>
        </w:rPr>
      </w:pPr>
    </w:p>
    <w:p w14:paraId="6A17913E" w14:textId="15117A2F" w:rsidR="00B33A2C" w:rsidRPr="008C7C79" w:rsidRDefault="0067398B" w:rsidP="008C7C79">
      <w:pPr>
        <w:spacing w:line="276" w:lineRule="auto"/>
        <w:ind w:firstLine="644"/>
        <w:rPr>
          <w:rFonts w:eastAsia="Tahoma" w:cs="Tahoma"/>
          <w:szCs w:val="24"/>
          <w:lang w:eastAsia="es-ES"/>
        </w:rPr>
      </w:pPr>
      <w:r w:rsidRPr="008C7C79">
        <w:rPr>
          <w:rFonts w:eastAsia="Tahoma" w:cs="Tahoma"/>
          <w:szCs w:val="24"/>
          <w:lang w:eastAsia="es-ES"/>
        </w:rPr>
        <w:t>Por otra parte,</w:t>
      </w:r>
      <w:r w:rsidR="00B33A2C" w:rsidRPr="008C7C79">
        <w:rPr>
          <w:rFonts w:eastAsia="Tahoma" w:cs="Tahoma"/>
          <w:szCs w:val="24"/>
          <w:lang w:eastAsia="es-ES"/>
        </w:rPr>
        <w:t xml:space="preserve"> como la declaratoria de ineficacia trae como consecuencia que las cosas se reestablezcan al estado en el que se encontraban al momento del traslado de régimen, es necesario modificar el ordinal </w:t>
      </w:r>
      <w:r w:rsidR="000507CC" w:rsidRPr="008C7C79">
        <w:rPr>
          <w:rFonts w:eastAsia="Tahoma" w:cs="Tahoma"/>
          <w:szCs w:val="24"/>
          <w:lang w:eastAsia="es-ES"/>
        </w:rPr>
        <w:t>segundo</w:t>
      </w:r>
      <w:r w:rsidR="00B33A2C" w:rsidRPr="008C7C79">
        <w:rPr>
          <w:rFonts w:eastAsia="Tahoma" w:cs="Tahoma"/>
          <w:szCs w:val="24"/>
          <w:lang w:eastAsia="es-ES"/>
        </w:rPr>
        <w:t xml:space="preserve"> de la sentencia en el sentido de excluir la orden de trasladar hacia Colpensiones el bono pensional, para adicionar </w:t>
      </w:r>
      <w:r w:rsidR="00B33A2C" w:rsidRPr="008C7C79">
        <w:rPr>
          <w:rFonts w:eastAsia="Tahoma" w:cs="Tahoma"/>
          <w:szCs w:val="24"/>
          <w:lang w:eastAsia="es-ES"/>
        </w:rPr>
        <w:lastRenderedPageBreak/>
        <w:t>la providencia de instancia, en el sentido de comunicar la decisión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833 de 2016. Ello en razón a que</w:t>
      </w:r>
      <w:r w:rsidR="00C12BA2" w:rsidRPr="008C7C79">
        <w:rPr>
          <w:rFonts w:eastAsia="Tahoma" w:cs="Tahoma"/>
          <w:szCs w:val="24"/>
          <w:lang w:eastAsia="es-ES"/>
        </w:rPr>
        <w:t>, pese a que el actor solicitó el reconocimiento de su pensión de vejez,</w:t>
      </w:r>
      <w:r w:rsidR="00B33A2C" w:rsidRPr="008C7C79">
        <w:rPr>
          <w:rFonts w:eastAsia="Tahoma" w:cs="Tahoma"/>
          <w:szCs w:val="24"/>
          <w:lang w:eastAsia="es-ES"/>
        </w:rPr>
        <w:t xml:space="preserve"> </w:t>
      </w:r>
      <w:r w:rsidR="00C12BA2" w:rsidRPr="008C7C79">
        <w:rPr>
          <w:rFonts w:eastAsia="Tahoma" w:cs="Tahoma"/>
          <w:szCs w:val="24"/>
          <w:lang w:eastAsia="es-ES"/>
        </w:rPr>
        <w:t xml:space="preserve">en el proceso reposa únicamente una liquidación </w:t>
      </w:r>
      <w:r w:rsidR="002A7D16" w:rsidRPr="008C7C79">
        <w:rPr>
          <w:rFonts w:eastAsia="Tahoma" w:cs="Tahoma"/>
          <w:szCs w:val="24"/>
          <w:lang w:eastAsia="es-ES"/>
        </w:rPr>
        <w:t xml:space="preserve">provisional </w:t>
      </w:r>
      <w:r w:rsidR="00C12BA2" w:rsidRPr="008C7C79">
        <w:rPr>
          <w:rFonts w:eastAsia="Tahoma" w:cs="Tahoma"/>
          <w:szCs w:val="24"/>
          <w:lang w:eastAsia="es-ES"/>
        </w:rPr>
        <w:t xml:space="preserve">del bono pensional, es decir, </w:t>
      </w:r>
      <w:r w:rsidR="00B33A2C" w:rsidRPr="008C7C79">
        <w:rPr>
          <w:rFonts w:eastAsia="Tahoma" w:cs="Tahoma"/>
          <w:szCs w:val="24"/>
          <w:lang w:eastAsia="es-ES"/>
        </w:rPr>
        <w:t xml:space="preserve">no existe dentro del plenario prueba que acredite que el bono ha sido </w:t>
      </w:r>
      <w:r w:rsidR="00C12BA2" w:rsidRPr="008C7C79">
        <w:rPr>
          <w:rFonts w:eastAsia="Tahoma" w:cs="Tahoma"/>
          <w:szCs w:val="24"/>
          <w:lang w:eastAsia="es-ES"/>
        </w:rPr>
        <w:t xml:space="preserve">efectivamente </w:t>
      </w:r>
      <w:r w:rsidR="00B33A2C" w:rsidRPr="008C7C79">
        <w:rPr>
          <w:rFonts w:eastAsia="Tahoma" w:cs="Tahoma"/>
          <w:szCs w:val="24"/>
          <w:lang w:eastAsia="es-ES"/>
        </w:rPr>
        <w:t>liquidado, emitido y cancelado por parte de esa cartera ministerial.</w:t>
      </w:r>
    </w:p>
    <w:p w14:paraId="7209D83C" w14:textId="77777777" w:rsidR="00271428" w:rsidRPr="008C7C79" w:rsidRDefault="00271428" w:rsidP="008C7C79">
      <w:pPr>
        <w:spacing w:line="276" w:lineRule="auto"/>
        <w:ind w:firstLine="644"/>
        <w:rPr>
          <w:rFonts w:eastAsia="Tahoma" w:cs="Tahoma"/>
          <w:szCs w:val="24"/>
          <w:lang w:eastAsia="es-ES"/>
        </w:rPr>
      </w:pPr>
    </w:p>
    <w:p w14:paraId="0CF659A6" w14:textId="15D1E3E8" w:rsidR="00271428" w:rsidRPr="008C7C79" w:rsidRDefault="00271428" w:rsidP="008C7C79">
      <w:pPr>
        <w:spacing w:line="276" w:lineRule="auto"/>
        <w:ind w:firstLine="644"/>
        <w:rPr>
          <w:rFonts w:eastAsia="Arial" w:cs="Tahoma"/>
          <w:szCs w:val="24"/>
          <w:lang w:val="es-CO"/>
        </w:rPr>
      </w:pPr>
      <w:r w:rsidRPr="008C7C79">
        <w:rPr>
          <w:rFonts w:eastAsia="Arial" w:cs="Tahoma"/>
          <w:szCs w:val="24"/>
        </w:rPr>
        <w:t xml:space="preserve">En torno a la manifestación que hizo Colpensiones, </w:t>
      </w:r>
      <w:r w:rsidR="0067398B" w:rsidRPr="008C7C79">
        <w:rPr>
          <w:rFonts w:eastAsia="Arial" w:cs="Tahoma"/>
          <w:szCs w:val="24"/>
        </w:rPr>
        <w:t>referente a</w:t>
      </w:r>
      <w:r w:rsidRPr="008C7C79">
        <w:rPr>
          <w:rFonts w:eastAsia="Arial" w:cs="Tahoma"/>
          <w:szCs w:val="24"/>
        </w:rPr>
        <w:t xml:space="preserve"> que</w:t>
      </w:r>
      <w:r w:rsidR="0067398B" w:rsidRPr="008C7C79">
        <w:rPr>
          <w:rFonts w:eastAsia="Arial" w:cs="Tahoma"/>
          <w:szCs w:val="24"/>
        </w:rPr>
        <w:t>,</w:t>
      </w:r>
      <w:r w:rsidRPr="008C7C79">
        <w:rPr>
          <w:rFonts w:eastAsia="Arial" w:cs="Tahoma"/>
          <w:szCs w:val="24"/>
        </w:rPr>
        <w:t xml:space="preserve"> al existir un interés económico en la parte demandante frente al cambio de régimen, lo que debió solicitar era el resarcimiento, vale mencionar</w:t>
      </w:r>
      <w:r w:rsidR="0067398B" w:rsidRPr="008C7C79">
        <w:rPr>
          <w:rFonts w:eastAsia="Arial" w:cs="Tahoma"/>
          <w:szCs w:val="24"/>
        </w:rPr>
        <w:t xml:space="preserve"> que</w:t>
      </w:r>
      <w:r w:rsidRPr="008C7C79">
        <w:rPr>
          <w:rFonts w:eastAsia="Arial" w:cs="Tahoma"/>
          <w:szCs w:val="24"/>
        </w:rPr>
        <w:t xml:space="preserve"> era el precedente de las mayorías de dos Salas de Decisión de esta Corporación pero que fue desestimado por la Corte Suprema de Justicia, a través de varias sentencias de tutela, lo que obligó a los Magistrados que lideraban esa tesis a acoger la línea jurisprudencial que sobre el tema tiene fijada la Sala de Casación Laboral al que ya se hizo una amplia referencia.</w:t>
      </w:r>
      <w:r w:rsidRPr="008C7C79">
        <w:rPr>
          <w:rFonts w:eastAsia="Arial" w:cs="Tahoma"/>
          <w:szCs w:val="24"/>
          <w:lang w:val="es-CO"/>
        </w:rPr>
        <w:t> </w:t>
      </w:r>
    </w:p>
    <w:p w14:paraId="2C482D84" w14:textId="77777777" w:rsidR="00B33A2C" w:rsidRPr="008C7C79" w:rsidRDefault="00B33A2C" w:rsidP="008C7C79">
      <w:pPr>
        <w:spacing w:line="276" w:lineRule="auto"/>
        <w:rPr>
          <w:rFonts w:eastAsia="Arial" w:cs="Tahoma"/>
          <w:szCs w:val="24"/>
        </w:rPr>
      </w:pPr>
    </w:p>
    <w:p w14:paraId="6806D8FF" w14:textId="77777777" w:rsidR="00B33A2C" w:rsidRPr="008C7C79" w:rsidRDefault="00B33A2C" w:rsidP="008C7C79">
      <w:pPr>
        <w:widowControl w:val="0"/>
        <w:tabs>
          <w:tab w:val="left" w:pos="567"/>
        </w:tabs>
        <w:autoSpaceDE w:val="0"/>
        <w:autoSpaceDN w:val="0"/>
        <w:adjustRightInd w:val="0"/>
        <w:spacing w:line="276" w:lineRule="auto"/>
        <w:ind w:firstLine="284"/>
        <w:rPr>
          <w:rFonts w:eastAsia="Tahoma" w:cs="Tahoma"/>
          <w:szCs w:val="24"/>
        </w:rPr>
      </w:pPr>
      <w:r w:rsidRPr="008C7C79">
        <w:rPr>
          <w:rFonts w:cs="Tahoma"/>
          <w:szCs w:val="24"/>
        </w:rPr>
        <w:t>De</w:t>
      </w:r>
      <w:r w:rsidRPr="008C7C79">
        <w:rPr>
          <w:rFonts w:eastAsia="Tahoma" w:cs="Tahoma"/>
          <w:szCs w:val="24"/>
        </w:rPr>
        <w:t xml:space="preserve"> otro lado, respecto a la solicitud de la AFP tendiente a que no se le condene </w:t>
      </w:r>
      <w:r w:rsidRPr="008C7C79">
        <w:rPr>
          <w:rFonts w:cs="Tahoma"/>
          <w:szCs w:val="24"/>
        </w:rPr>
        <w:t>en</w:t>
      </w:r>
      <w:r w:rsidRPr="008C7C79">
        <w:rPr>
          <w:rFonts w:eastAsia="Tahoma" w:cs="Tahoma"/>
          <w:szCs w:val="24"/>
        </w:rPr>
        <w:t xml:space="preserve"> costas procesales bajo el argumento de que se cumplió con los requisitos legales exigidos al momento del traslado, hay que indicar, en primer lugar, que al haber existido controversia e incluso oposición frente al debate jurídico puesto en conocimiento de la Judicatura, conforme lo faculta el artículo 365 del CGP, hay lugar a condenar en costas a quien resulta vencido en la contienda y, en segundo lugar, por cuanto -contrario a lo expuesto en la censura- en la presente litis no quedó acreditado que se hubiese cumplido el deber legal de brindar al demandante la asesoría exigida en el momento en que se trasladó al RAIS, de ahí que se esté declarando la ineficacia del acto. </w:t>
      </w:r>
    </w:p>
    <w:p w14:paraId="69BFA9BE" w14:textId="77777777" w:rsidR="00B33A2C" w:rsidRPr="008C7C79" w:rsidRDefault="00B33A2C" w:rsidP="008C7C79">
      <w:pPr>
        <w:spacing w:line="276" w:lineRule="auto"/>
        <w:ind w:firstLine="709"/>
        <w:rPr>
          <w:rFonts w:cs="Tahoma"/>
          <w:szCs w:val="24"/>
        </w:rPr>
      </w:pPr>
    </w:p>
    <w:p w14:paraId="78DFC891" w14:textId="77777777" w:rsidR="00B33A2C" w:rsidRPr="008C7C79" w:rsidRDefault="00B33A2C" w:rsidP="008C7C79">
      <w:pPr>
        <w:spacing w:line="276" w:lineRule="auto"/>
        <w:ind w:firstLine="708"/>
        <w:rPr>
          <w:rFonts w:eastAsia="Tahoma" w:cs="Tahoma"/>
          <w:szCs w:val="24"/>
        </w:rPr>
      </w:pPr>
      <w:r w:rsidRPr="008C7C79">
        <w:rPr>
          <w:rFonts w:cs="Tahoma"/>
          <w:szCs w:val="24"/>
        </w:rPr>
        <w:t xml:space="preserve">En esta instancia de conformidad a lo consagrado en el artículo 365 del CGP, se condenará en costas procesales a la </w:t>
      </w:r>
      <w:r w:rsidRPr="008C7C79">
        <w:rPr>
          <w:rFonts w:cs="Tahoma"/>
          <w:b/>
          <w:bCs/>
          <w:szCs w:val="24"/>
        </w:rPr>
        <w:t>Administradora de Fondos de Pensiones y Cesantías</w:t>
      </w:r>
      <w:r w:rsidRPr="008C7C79">
        <w:rPr>
          <w:rFonts w:cs="Tahoma"/>
          <w:szCs w:val="24"/>
        </w:rPr>
        <w:t xml:space="preserve"> </w:t>
      </w:r>
      <w:r w:rsidRPr="008C7C79">
        <w:rPr>
          <w:rFonts w:cs="Tahoma"/>
          <w:b/>
          <w:bCs/>
          <w:szCs w:val="24"/>
        </w:rPr>
        <w:t>Porvenir S.A.</w:t>
      </w:r>
      <w:r w:rsidRPr="008C7C79">
        <w:rPr>
          <w:rFonts w:cs="Tahoma"/>
          <w:szCs w:val="24"/>
        </w:rPr>
        <w:t xml:space="preserve"> y a </w:t>
      </w:r>
      <w:r w:rsidRPr="004A133D">
        <w:rPr>
          <w:rFonts w:cs="Tahoma"/>
          <w:b/>
          <w:szCs w:val="24"/>
        </w:rPr>
        <w:t>C</w:t>
      </w:r>
      <w:bookmarkStart w:id="12" w:name="_GoBack"/>
      <w:bookmarkEnd w:id="12"/>
      <w:r w:rsidRPr="004A133D">
        <w:rPr>
          <w:rFonts w:cs="Tahoma"/>
          <w:b/>
          <w:szCs w:val="24"/>
        </w:rPr>
        <w:t>OLPENSIONES</w:t>
      </w:r>
      <w:r w:rsidRPr="008C7C79">
        <w:rPr>
          <w:rFonts w:cs="Tahoma"/>
          <w:szCs w:val="24"/>
        </w:rPr>
        <w:t xml:space="preserve"> </w:t>
      </w:r>
      <w:r w:rsidRPr="008C7C79">
        <w:rPr>
          <w:rFonts w:eastAsia="Tahoma" w:cs="Tahoma"/>
          <w:szCs w:val="24"/>
        </w:rPr>
        <w:t xml:space="preserve">a favor de la parte actora, las cuales se liquidarán por la secretaría del juzgado de origen. </w:t>
      </w:r>
    </w:p>
    <w:p w14:paraId="3C1E6E1E" w14:textId="77777777" w:rsidR="00B33A2C" w:rsidRPr="008C7C79" w:rsidRDefault="00B33A2C" w:rsidP="008C7C79">
      <w:pPr>
        <w:spacing w:line="276" w:lineRule="auto"/>
        <w:ind w:firstLine="708"/>
        <w:rPr>
          <w:rFonts w:eastAsia="Tahoma" w:cs="Tahoma"/>
          <w:szCs w:val="24"/>
        </w:rPr>
      </w:pPr>
    </w:p>
    <w:p w14:paraId="76735015" w14:textId="6BD08DB8" w:rsidR="00B33A2C" w:rsidRPr="008C7C79" w:rsidRDefault="004077EA" w:rsidP="008C7C79">
      <w:pPr>
        <w:spacing w:line="276" w:lineRule="auto"/>
        <w:ind w:firstLine="644"/>
        <w:rPr>
          <w:rFonts w:eastAsia="Tahoma" w:cs="Tahoma"/>
          <w:szCs w:val="24"/>
          <w:lang w:eastAsia="es-ES"/>
        </w:rPr>
      </w:pPr>
      <w:r>
        <w:rPr>
          <w:rFonts w:eastAsia="Tahoma" w:cs="Tahoma"/>
          <w:szCs w:val="24"/>
          <w:lang w:eastAsia="es-ES"/>
        </w:rPr>
        <w:t>(…)</w:t>
      </w:r>
    </w:p>
    <w:p w14:paraId="40D43801" w14:textId="77777777" w:rsidR="00B33A2C" w:rsidRPr="008C7C79" w:rsidRDefault="00B33A2C" w:rsidP="008C7C79">
      <w:pPr>
        <w:spacing w:line="276" w:lineRule="auto"/>
        <w:ind w:firstLine="644"/>
        <w:rPr>
          <w:rFonts w:eastAsia="Tahoma" w:cs="Tahoma"/>
          <w:szCs w:val="24"/>
          <w:lang w:eastAsia="es-ES"/>
        </w:rPr>
      </w:pPr>
    </w:p>
    <w:p w14:paraId="28755A4D" w14:textId="77777777" w:rsidR="00B33A2C" w:rsidRPr="008C7C79" w:rsidRDefault="00B33A2C" w:rsidP="008C7C79">
      <w:pPr>
        <w:spacing w:line="276" w:lineRule="auto"/>
        <w:ind w:firstLine="644"/>
        <w:contextualSpacing/>
        <w:rPr>
          <w:rFonts w:eastAsia="Times New Roman" w:cs="Tahoma"/>
          <w:color w:val="000000" w:themeColor="text1"/>
          <w:szCs w:val="24"/>
          <w:lang w:val="es-ES_tradnl"/>
        </w:rPr>
      </w:pPr>
      <w:r w:rsidRPr="008C7C79">
        <w:rPr>
          <w:rFonts w:eastAsia="Times New Roman" w:cs="Tahoma"/>
          <w:color w:val="000000" w:themeColor="text1"/>
          <w:szCs w:val="24"/>
          <w:lang w:val="es-ES_tradnl"/>
        </w:rPr>
        <w:t xml:space="preserve">En mérito de lo expuesto, el </w:t>
      </w:r>
      <w:r w:rsidRPr="008C7C79">
        <w:rPr>
          <w:rFonts w:eastAsia="Times New Roman" w:cs="Tahoma"/>
          <w:b/>
          <w:color w:val="000000" w:themeColor="text1"/>
          <w:szCs w:val="24"/>
          <w:lang w:val="es-ES_tradnl"/>
        </w:rPr>
        <w:t>Tribunal Superior del Distrito Judicial de Pereira - Risaralda, Sala Primera de Decisión Laboral,</w:t>
      </w:r>
      <w:r w:rsidRPr="008C7C79">
        <w:rPr>
          <w:rFonts w:eastAsia="Times New Roman" w:cs="Tahoma"/>
          <w:color w:val="000000" w:themeColor="text1"/>
          <w:szCs w:val="24"/>
          <w:lang w:val="es-ES_tradnl"/>
        </w:rPr>
        <w:t xml:space="preserve"> administrando justicia en nombre de la República y por autoridad de la ley,</w:t>
      </w:r>
    </w:p>
    <w:p w14:paraId="391610F1" w14:textId="77777777" w:rsidR="00B33A2C" w:rsidRPr="008C7C79" w:rsidRDefault="00B33A2C" w:rsidP="008C7C79">
      <w:pPr>
        <w:spacing w:line="276" w:lineRule="auto"/>
        <w:ind w:firstLine="708"/>
        <w:contextualSpacing/>
        <w:rPr>
          <w:rFonts w:eastAsia="Times New Roman" w:cs="Tahoma"/>
          <w:color w:val="000000" w:themeColor="text1"/>
          <w:szCs w:val="24"/>
          <w:lang w:val="es-ES_tradnl"/>
        </w:rPr>
      </w:pPr>
    </w:p>
    <w:p w14:paraId="1E94C6A5" w14:textId="77777777" w:rsidR="00B33A2C" w:rsidRPr="008C7C79" w:rsidRDefault="00B33A2C" w:rsidP="008C7C79">
      <w:pPr>
        <w:spacing w:line="276" w:lineRule="auto"/>
        <w:ind w:firstLine="709"/>
        <w:jc w:val="center"/>
        <w:rPr>
          <w:rFonts w:cs="Tahoma"/>
          <w:b/>
          <w:color w:val="000000" w:themeColor="text1"/>
          <w:szCs w:val="24"/>
        </w:rPr>
      </w:pPr>
      <w:r w:rsidRPr="008C7C79">
        <w:rPr>
          <w:rFonts w:cs="Tahoma"/>
          <w:b/>
          <w:color w:val="000000" w:themeColor="text1"/>
          <w:szCs w:val="24"/>
        </w:rPr>
        <w:t>RESUELVE</w:t>
      </w:r>
    </w:p>
    <w:p w14:paraId="4C955A4B" w14:textId="77777777" w:rsidR="00B33A2C" w:rsidRPr="008C7C79" w:rsidRDefault="00B33A2C" w:rsidP="008C7C79">
      <w:pPr>
        <w:widowControl w:val="0"/>
        <w:autoSpaceDE w:val="0"/>
        <w:autoSpaceDN w:val="0"/>
        <w:adjustRightInd w:val="0"/>
        <w:spacing w:line="276" w:lineRule="auto"/>
        <w:jc w:val="center"/>
        <w:rPr>
          <w:rFonts w:cs="Tahoma"/>
          <w:b/>
          <w:szCs w:val="24"/>
        </w:rPr>
      </w:pPr>
    </w:p>
    <w:p w14:paraId="18B5CB7C" w14:textId="1D884B5C" w:rsidR="00B33A2C" w:rsidRPr="008C7C79" w:rsidRDefault="00B33A2C" w:rsidP="008C7C79">
      <w:pPr>
        <w:spacing w:line="276" w:lineRule="auto"/>
        <w:ind w:firstLine="644"/>
        <w:rPr>
          <w:rFonts w:eastAsia="Tahoma" w:cs="Tahoma"/>
          <w:szCs w:val="24"/>
          <w:lang w:eastAsia="es-ES"/>
        </w:rPr>
      </w:pPr>
      <w:r w:rsidRPr="008C7C79">
        <w:rPr>
          <w:rFonts w:eastAsia="Tahoma" w:cs="Tahoma"/>
          <w:b/>
          <w:bCs/>
          <w:szCs w:val="24"/>
          <w:lang w:eastAsia="es-ES"/>
        </w:rPr>
        <w:t>PRIMERO</w:t>
      </w:r>
      <w:r w:rsidRPr="008C7C79">
        <w:rPr>
          <w:rFonts w:eastAsia="Tahoma" w:cs="Tahoma"/>
          <w:szCs w:val="24"/>
          <w:lang w:eastAsia="es-ES"/>
        </w:rPr>
        <w:t>: </w:t>
      </w:r>
      <w:r w:rsidRPr="008C7C79">
        <w:rPr>
          <w:rFonts w:eastAsia="Tahoma" w:cs="Tahoma"/>
          <w:b/>
          <w:bCs/>
          <w:szCs w:val="24"/>
          <w:lang w:eastAsia="es-ES"/>
        </w:rPr>
        <w:t>MODIFICAR</w:t>
      </w:r>
      <w:r w:rsidRPr="008C7C79">
        <w:rPr>
          <w:rFonts w:eastAsia="Tahoma" w:cs="Tahoma"/>
          <w:szCs w:val="24"/>
          <w:lang w:eastAsia="es-ES"/>
        </w:rPr>
        <w:t xml:space="preserve"> el ordinal </w:t>
      </w:r>
      <w:r w:rsidR="000507CC" w:rsidRPr="008C7C79">
        <w:rPr>
          <w:rFonts w:eastAsia="Tahoma" w:cs="Tahoma"/>
          <w:szCs w:val="24"/>
          <w:lang w:eastAsia="es-ES"/>
        </w:rPr>
        <w:t>segundo</w:t>
      </w:r>
      <w:r w:rsidRPr="008C7C79">
        <w:rPr>
          <w:rFonts w:eastAsia="Tahoma" w:cs="Tahoma"/>
          <w:szCs w:val="24"/>
          <w:lang w:eastAsia="es-ES"/>
        </w:rPr>
        <w:t xml:space="preserve"> de la sentencia en el sentido de excluir la orden de trasladar a Colpensiones el bono pensional y </w:t>
      </w:r>
      <w:r w:rsidRPr="008C7C79">
        <w:rPr>
          <w:rFonts w:eastAsia="Tahoma" w:cs="Tahoma"/>
          <w:b/>
          <w:bCs/>
          <w:szCs w:val="24"/>
          <w:lang w:eastAsia="es-ES"/>
        </w:rPr>
        <w:t>ADICIONAR</w:t>
      </w:r>
      <w:r w:rsidRPr="008C7C79">
        <w:rPr>
          <w:rFonts w:eastAsia="Tahoma" w:cs="Tahoma"/>
          <w:szCs w:val="24"/>
          <w:lang w:eastAsia="es-ES"/>
        </w:rPr>
        <w:t xml:space="preserve"> la providencia de instancia, en el sentido de comunicar la decisión adoptada en este </w:t>
      </w:r>
      <w:r w:rsidRPr="008C7C79">
        <w:rPr>
          <w:rFonts w:eastAsia="Tahoma" w:cs="Tahoma"/>
          <w:szCs w:val="24"/>
          <w:lang w:eastAsia="es-ES"/>
        </w:rPr>
        <w:lastRenderedPageBreak/>
        <w:t>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833 de 2016.</w:t>
      </w:r>
    </w:p>
    <w:p w14:paraId="114C1E87" w14:textId="77777777" w:rsidR="00B33A2C" w:rsidRPr="008C7C79" w:rsidRDefault="00B33A2C" w:rsidP="008C7C79">
      <w:pPr>
        <w:spacing w:line="276" w:lineRule="auto"/>
        <w:ind w:firstLine="705"/>
        <w:textAlignment w:val="baseline"/>
        <w:rPr>
          <w:rFonts w:eastAsia="Times New Roman" w:cs="Tahoma"/>
          <w:b/>
          <w:bCs/>
          <w:szCs w:val="24"/>
          <w:lang w:eastAsia="es-ES"/>
        </w:rPr>
      </w:pPr>
      <w:r w:rsidRPr="008C7C79">
        <w:rPr>
          <w:rFonts w:eastAsia="Times New Roman" w:cs="Tahoma"/>
          <w:b/>
          <w:bCs/>
          <w:szCs w:val="24"/>
          <w:lang w:eastAsia="es-ES"/>
        </w:rPr>
        <w:t xml:space="preserve"> </w:t>
      </w:r>
    </w:p>
    <w:p w14:paraId="303BE9A6" w14:textId="6EF3D4E7" w:rsidR="00B33A2C" w:rsidRPr="008C7C79" w:rsidRDefault="00B33A2C" w:rsidP="008C7C79">
      <w:pPr>
        <w:spacing w:line="276" w:lineRule="auto"/>
        <w:ind w:firstLine="644"/>
        <w:rPr>
          <w:rFonts w:eastAsia="Tahoma" w:cs="Tahoma"/>
          <w:szCs w:val="24"/>
          <w:lang w:eastAsia="es-ES"/>
        </w:rPr>
      </w:pPr>
      <w:r w:rsidRPr="008C7C79">
        <w:rPr>
          <w:rFonts w:eastAsia="Tahoma" w:cs="Tahoma"/>
          <w:b/>
          <w:bCs/>
          <w:szCs w:val="24"/>
          <w:lang w:eastAsia="es-ES"/>
        </w:rPr>
        <w:t>SEGUNDO</w:t>
      </w:r>
      <w:r w:rsidRPr="008C7C79">
        <w:rPr>
          <w:rFonts w:eastAsia="Tahoma" w:cs="Tahoma"/>
          <w:szCs w:val="24"/>
          <w:lang w:eastAsia="es-ES"/>
        </w:rPr>
        <w:t xml:space="preserve">: </w:t>
      </w:r>
      <w:r w:rsidRPr="008C7C79">
        <w:rPr>
          <w:rFonts w:eastAsia="Tahoma" w:cs="Tahoma"/>
          <w:b/>
          <w:bCs/>
          <w:szCs w:val="24"/>
          <w:lang w:eastAsia="es-ES"/>
        </w:rPr>
        <w:t>CONFIRMAR</w:t>
      </w:r>
      <w:r w:rsidRPr="008C7C79">
        <w:rPr>
          <w:rFonts w:eastAsia="Tahoma" w:cs="Tahoma"/>
          <w:szCs w:val="24"/>
          <w:lang w:eastAsia="es-ES"/>
        </w:rPr>
        <w:t xml:space="preserve"> en lo demás la sentencia proferida por el Juzgado Segundo Laboral de Circuito de Pereira, del </w:t>
      </w:r>
      <w:r w:rsidR="000507CC" w:rsidRPr="008C7C79">
        <w:rPr>
          <w:rFonts w:eastAsia="Tahoma" w:cs="Tahoma"/>
          <w:szCs w:val="24"/>
          <w:lang w:eastAsia="es-ES"/>
        </w:rPr>
        <w:t>3</w:t>
      </w:r>
      <w:r w:rsidRPr="008C7C79">
        <w:rPr>
          <w:rFonts w:eastAsia="Tahoma" w:cs="Tahoma"/>
          <w:szCs w:val="24"/>
          <w:lang w:eastAsia="es-ES"/>
        </w:rPr>
        <w:t xml:space="preserve"> de </w:t>
      </w:r>
      <w:r w:rsidR="000507CC" w:rsidRPr="008C7C79">
        <w:rPr>
          <w:rFonts w:eastAsia="Tahoma" w:cs="Tahoma"/>
          <w:szCs w:val="24"/>
          <w:lang w:eastAsia="es-ES"/>
        </w:rPr>
        <w:t xml:space="preserve">marzo </w:t>
      </w:r>
      <w:r w:rsidRPr="008C7C79">
        <w:rPr>
          <w:rFonts w:eastAsia="Tahoma" w:cs="Tahoma"/>
          <w:szCs w:val="24"/>
          <w:lang w:eastAsia="es-ES"/>
        </w:rPr>
        <w:t>de 202</w:t>
      </w:r>
      <w:r w:rsidR="000507CC" w:rsidRPr="008C7C79">
        <w:rPr>
          <w:rFonts w:eastAsia="Tahoma" w:cs="Tahoma"/>
          <w:szCs w:val="24"/>
          <w:lang w:eastAsia="es-ES"/>
        </w:rPr>
        <w:t>1</w:t>
      </w:r>
      <w:r w:rsidRPr="008C7C79">
        <w:rPr>
          <w:rFonts w:eastAsia="Tahoma" w:cs="Tahoma"/>
          <w:szCs w:val="24"/>
          <w:lang w:eastAsia="es-ES"/>
        </w:rPr>
        <w:t xml:space="preserve"> dentro del proceso de la referencia.</w:t>
      </w:r>
    </w:p>
    <w:p w14:paraId="057F5F86" w14:textId="77777777" w:rsidR="00B33A2C" w:rsidRPr="008C7C79" w:rsidRDefault="00B33A2C" w:rsidP="008C7C79">
      <w:pPr>
        <w:spacing w:line="276" w:lineRule="auto"/>
        <w:ind w:firstLine="644"/>
        <w:rPr>
          <w:rFonts w:eastAsia="Tahoma" w:cs="Tahoma"/>
          <w:szCs w:val="24"/>
          <w:lang w:eastAsia="es-ES"/>
        </w:rPr>
      </w:pPr>
    </w:p>
    <w:p w14:paraId="02803F78" w14:textId="77777777" w:rsidR="00B33A2C" w:rsidRPr="008C7C79" w:rsidRDefault="00B33A2C" w:rsidP="008C7C79">
      <w:pPr>
        <w:spacing w:line="276" w:lineRule="auto"/>
        <w:ind w:firstLine="644"/>
        <w:rPr>
          <w:rFonts w:eastAsia="Tahoma" w:cs="Tahoma"/>
          <w:szCs w:val="24"/>
          <w:lang w:eastAsia="es-ES"/>
        </w:rPr>
      </w:pPr>
      <w:r w:rsidRPr="008C7C79">
        <w:rPr>
          <w:rFonts w:eastAsia="Tahoma" w:cs="Tahoma"/>
          <w:b/>
          <w:bCs/>
          <w:szCs w:val="24"/>
          <w:lang w:eastAsia="es-ES"/>
        </w:rPr>
        <w:t>TERCERO</w:t>
      </w:r>
      <w:r w:rsidRPr="008C7C79">
        <w:rPr>
          <w:rFonts w:eastAsia="Tahoma" w:cs="Tahoma"/>
          <w:szCs w:val="24"/>
          <w:lang w:eastAsia="es-ES"/>
        </w:rPr>
        <w:t>: </w:t>
      </w:r>
      <w:r w:rsidRPr="008C7C79">
        <w:rPr>
          <w:rFonts w:eastAsia="Tahoma" w:cs="Tahoma"/>
          <w:b/>
          <w:bCs/>
          <w:szCs w:val="24"/>
          <w:lang w:eastAsia="es-ES"/>
        </w:rPr>
        <w:t>CONDENAR</w:t>
      </w:r>
      <w:r w:rsidRPr="008C7C79">
        <w:rPr>
          <w:rFonts w:eastAsia="Tahoma" w:cs="Tahoma"/>
          <w:szCs w:val="24"/>
          <w:lang w:eastAsia="es-ES"/>
        </w:rPr>
        <w:t xml:space="preserve"> en costas de segunda instancia a la AFP Porvenir S.A. Y A Colpensiones a favor del demandante, las cuales se liquidarán por el juzgado de origen.</w:t>
      </w:r>
    </w:p>
    <w:p w14:paraId="0D0FA362" w14:textId="77777777" w:rsidR="00B33A2C" w:rsidRPr="008C7C79" w:rsidRDefault="00B33A2C" w:rsidP="008C7C79">
      <w:pPr>
        <w:spacing w:line="276" w:lineRule="auto"/>
        <w:ind w:firstLine="644"/>
        <w:rPr>
          <w:rFonts w:eastAsia="Tahoma" w:cs="Tahoma"/>
          <w:szCs w:val="24"/>
          <w:lang w:eastAsia="es-ES"/>
        </w:rPr>
      </w:pPr>
    </w:p>
    <w:p w14:paraId="2BFB9057" w14:textId="0BE8062E" w:rsidR="00B33A2C" w:rsidRPr="008C7C79" w:rsidRDefault="00B33A2C" w:rsidP="008C7C79">
      <w:pPr>
        <w:spacing w:line="276" w:lineRule="auto"/>
        <w:ind w:firstLine="644"/>
        <w:rPr>
          <w:rFonts w:eastAsia="Tahoma" w:cs="Tahoma"/>
          <w:szCs w:val="24"/>
          <w:lang w:eastAsia="es-ES"/>
        </w:rPr>
      </w:pPr>
      <w:r w:rsidRPr="008C7C79">
        <w:rPr>
          <w:rFonts w:eastAsia="Tahoma" w:cs="Tahoma"/>
          <w:b/>
          <w:bCs/>
          <w:szCs w:val="24"/>
          <w:lang w:eastAsia="es-ES"/>
        </w:rPr>
        <w:t>CUARTO</w:t>
      </w:r>
      <w:r w:rsidRPr="008C7C79">
        <w:rPr>
          <w:rFonts w:eastAsia="Tahoma" w:cs="Tahoma"/>
          <w:szCs w:val="24"/>
          <w:lang w:eastAsia="es-ES"/>
        </w:rPr>
        <w:t xml:space="preserve">: </w:t>
      </w:r>
      <w:r w:rsidR="004077EA" w:rsidRPr="004077EA">
        <w:rPr>
          <w:rFonts w:eastAsia="Tahoma" w:cs="Tahoma"/>
          <w:bCs/>
          <w:szCs w:val="24"/>
          <w:lang w:eastAsia="es-ES"/>
        </w:rPr>
        <w:t>(…)</w:t>
      </w:r>
    </w:p>
    <w:p w14:paraId="6CDD2ABE" w14:textId="77777777" w:rsidR="00B33A2C" w:rsidRPr="008C7C79" w:rsidRDefault="00B33A2C" w:rsidP="008C7C79">
      <w:pPr>
        <w:spacing w:line="276" w:lineRule="auto"/>
        <w:ind w:firstLine="644"/>
        <w:rPr>
          <w:rFonts w:eastAsia="Tahoma" w:cs="Tahoma"/>
          <w:szCs w:val="24"/>
          <w:lang w:eastAsia="es-ES"/>
        </w:rPr>
      </w:pPr>
    </w:p>
    <w:p w14:paraId="7BBDA11C" w14:textId="77777777" w:rsidR="00B33A2C" w:rsidRPr="008C7C79" w:rsidRDefault="00B33A2C" w:rsidP="008C7C79">
      <w:pPr>
        <w:widowControl w:val="0"/>
        <w:autoSpaceDE w:val="0"/>
        <w:autoSpaceDN w:val="0"/>
        <w:adjustRightInd w:val="0"/>
        <w:spacing w:line="276" w:lineRule="auto"/>
        <w:jc w:val="center"/>
        <w:rPr>
          <w:rFonts w:cs="Tahoma"/>
          <w:b/>
          <w:szCs w:val="24"/>
        </w:rPr>
      </w:pPr>
      <w:r w:rsidRPr="008C7C79">
        <w:rPr>
          <w:rFonts w:cs="Tahoma"/>
          <w:b/>
          <w:szCs w:val="24"/>
        </w:rPr>
        <w:t>NOTIFÍQUESE Y CÚMPLASE</w:t>
      </w:r>
    </w:p>
    <w:p w14:paraId="643E1C2D" w14:textId="77777777" w:rsidR="008C7C79" w:rsidRPr="008C7C79" w:rsidRDefault="008C7C79" w:rsidP="008C7C79">
      <w:pPr>
        <w:spacing w:line="276" w:lineRule="auto"/>
        <w:contextualSpacing/>
        <w:rPr>
          <w:rFonts w:eastAsia="Times New Roman" w:cs="Tahoma"/>
          <w:szCs w:val="24"/>
          <w:lang w:val="es-ES_tradnl"/>
        </w:rPr>
      </w:pPr>
      <w:bookmarkStart w:id="13" w:name="_Hlk74294138"/>
    </w:p>
    <w:p w14:paraId="3DCBE92A" w14:textId="77777777" w:rsidR="008C7C79" w:rsidRPr="008C7C79" w:rsidRDefault="008C7C79" w:rsidP="008C7C79">
      <w:pPr>
        <w:widowControl w:val="0"/>
        <w:autoSpaceDE w:val="0"/>
        <w:autoSpaceDN w:val="0"/>
        <w:adjustRightInd w:val="0"/>
        <w:spacing w:line="276" w:lineRule="auto"/>
        <w:rPr>
          <w:rFonts w:eastAsia="Times New Roman" w:cs="Tahoma"/>
          <w:szCs w:val="24"/>
          <w:lang w:eastAsia="es-ES"/>
        </w:rPr>
      </w:pPr>
      <w:r w:rsidRPr="008C7C79">
        <w:rPr>
          <w:rFonts w:eastAsia="Times New Roman" w:cs="Tahoma"/>
          <w:szCs w:val="24"/>
          <w:lang w:eastAsia="es-ES"/>
        </w:rPr>
        <w:tab/>
        <w:t>La Magistrada ponente,</w:t>
      </w:r>
    </w:p>
    <w:p w14:paraId="52BCC753" w14:textId="77777777" w:rsidR="008C7C79" w:rsidRPr="008C7C79" w:rsidRDefault="008C7C79" w:rsidP="008C7C79">
      <w:pPr>
        <w:spacing w:line="276" w:lineRule="auto"/>
        <w:jc w:val="left"/>
        <w:rPr>
          <w:rFonts w:eastAsia="Times New Roman" w:cs="Tahoma"/>
          <w:szCs w:val="24"/>
          <w:lang w:eastAsia="es-ES"/>
        </w:rPr>
      </w:pPr>
    </w:p>
    <w:p w14:paraId="2F37978A" w14:textId="77777777" w:rsidR="008C7C79" w:rsidRPr="008C7C79" w:rsidRDefault="008C7C79" w:rsidP="008C7C79">
      <w:pPr>
        <w:spacing w:line="276" w:lineRule="auto"/>
        <w:jc w:val="left"/>
        <w:rPr>
          <w:rFonts w:eastAsia="Times New Roman" w:cs="Tahoma"/>
          <w:szCs w:val="24"/>
          <w:lang w:eastAsia="es-ES"/>
        </w:rPr>
      </w:pPr>
    </w:p>
    <w:p w14:paraId="02BD618D" w14:textId="77777777" w:rsidR="008C7C79" w:rsidRPr="008C7C79" w:rsidRDefault="008C7C79" w:rsidP="008C7C79">
      <w:pPr>
        <w:spacing w:line="276" w:lineRule="auto"/>
        <w:jc w:val="left"/>
        <w:rPr>
          <w:rFonts w:eastAsia="Times New Roman" w:cs="Tahoma"/>
          <w:szCs w:val="24"/>
          <w:lang w:eastAsia="es-ES"/>
        </w:rPr>
      </w:pPr>
    </w:p>
    <w:p w14:paraId="36541E96" w14:textId="77777777" w:rsidR="008C7C79" w:rsidRPr="008C7C79" w:rsidRDefault="008C7C79" w:rsidP="008C7C79">
      <w:pPr>
        <w:keepNext/>
        <w:spacing w:line="276" w:lineRule="auto"/>
        <w:jc w:val="center"/>
        <w:outlineLvl w:val="2"/>
        <w:rPr>
          <w:rFonts w:eastAsia="Times New Roman" w:cs="Tahoma"/>
          <w:b/>
          <w:bCs/>
          <w:szCs w:val="24"/>
          <w:lang w:eastAsia="es-ES"/>
        </w:rPr>
      </w:pPr>
      <w:r w:rsidRPr="008C7C79">
        <w:rPr>
          <w:rFonts w:eastAsia="Times New Roman" w:cs="Tahoma"/>
          <w:b/>
          <w:bCs/>
          <w:szCs w:val="24"/>
          <w:lang w:eastAsia="es-ES"/>
        </w:rPr>
        <w:t>ANA LUCÍA CAICEDO CALDERÓN</w:t>
      </w:r>
    </w:p>
    <w:p w14:paraId="54263B75" w14:textId="77777777" w:rsidR="008C7C79" w:rsidRPr="008C7C79" w:rsidRDefault="008C7C79" w:rsidP="008C7C79">
      <w:pPr>
        <w:spacing w:line="276" w:lineRule="auto"/>
        <w:jc w:val="left"/>
        <w:rPr>
          <w:rFonts w:eastAsia="Times New Roman" w:cs="Tahoma"/>
          <w:szCs w:val="24"/>
          <w:lang w:eastAsia="es-ES"/>
        </w:rPr>
      </w:pPr>
    </w:p>
    <w:p w14:paraId="59C3D59D" w14:textId="77777777" w:rsidR="008C7C79" w:rsidRPr="008C7C79" w:rsidRDefault="008C7C79" w:rsidP="008C7C79">
      <w:pPr>
        <w:spacing w:line="276" w:lineRule="auto"/>
        <w:ind w:firstLine="708"/>
        <w:jc w:val="left"/>
        <w:rPr>
          <w:rFonts w:eastAsia="Times New Roman" w:cs="Tahoma"/>
          <w:szCs w:val="24"/>
          <w:lang w:eastAsia="es-ES"/>
        </w:rPr>
      </w:pPr>
      <w:bookmarkStart w:id="14" w:name="_Hlk62478330"/>
      <w:r w:rsidRPr="008C7C79">
        <w:rPr>
          <w:rFonts w:eastAsia="Times New Roman" w:cs="Tahoma"/>
          <w:szCs w:val="24"/>
          <w:lang w:eastAsia="es-ES"/>
        </w:rPr>
        <w:t>La Magistrada y el Magistrado,</w:t>
      </w:r>
    </w:p>
    <w:p w14:paraId="48E6C745" w14:textId="77777777" w:rsidR="008C7C79" w:rsidRPr="008C7C79" w:rsidRDefault="008C7C79" w:rsidP="008C7C79">
      <w:pPr>
        <w:spacing w:line="276" w:lineRule="auto"/>
        <w:jc w:val="left"/>
        <w:rPr>
          <w:rFonts w:eastAsia="Times New Roman" w:cs="Tahoma"/>
          <w:szCs w:val="24"/>
          <w:lang w:eastAsia="es-ES"/>
        </w:rPr>
      </w:pPr>
    </w:p>
    <w:p w14:paraId="587776BC" w14:textId="77777777" w:rsidR="008C7C79" w:rsidRPr="008C7C79" w:rsidRDefault="008C7C79" w:rsidP="008C7C79">
      <w:pPr>
        <w:spacing w:line="276" w:lineRule="auto"/>
        <w:jc w:val="left"/>
        <w:rPr>
          <w:rFonts w:eastAsia="Times New Roman" w:cs="Tahoma"/>
          <w:szCs w:val="24"/>
          <w:lang w:eastAsia="es-ES"/>
        </w:rPr>
      </w:pPr>
    </w:p>
    <w:p w14:paraId="7A12EDE0" w14:textId="77777777" w:rsidR="008C7C79" w:rsidRPr="008C7C79" w:rsidRDefault="008C7C79" w:rsidP="008C7C79">
      <w:pPr>
        <w:spacing w:line="276" w:lineRule="auto"/>
        <w:jc w:val="left"/>
        <w:rPr>
          <w:rFonts w:eastAsia="Times New Roman" w:cs="Tahoma"/>
          <w:szCs w:val="24"/>
          <w:lang w:eastAsia="es-ES"/>
        </w:rPr>
      </w:pPr>
    </w:p>
    <w:p w14:paraId="433C9393" w14:textId="77777777" w:rsidR="008C7C79" w:rsidRPr="008C7C79" w:rsidRDefault="008C7C79" w:rsidP="008C7C79">
      <w:pPr>
        <w:spacing w:line="276" w:lineRule="auto"/>
        <w:rPr>
          <w:rFonts w:eastAsia="Times New Roman" w:cs="Tahoma"/>
          <w:szCs w:val="24"/>
          <w:lang w:eastAsia="es-ES"/>
        </w:rPr>
      </w:pPr>
      <w:r w:rsidRPr="008C7C79">
        <w:rPr>
          <w:rFonts w:eastAsia="Times New Roman" w:cs="Tahoma"/>
          <w:b/>
          <w:bCs/>
          <w:szCs w:val="24"/>
          <w:lang w:eastAsia="es-ES"/>
        </w:rPr>
        <w:t>OLGA LUCÍA HOYOS SEPÚLVEDA</w:t>
      </w:r>
      <w:r w:rsidRPr="008C7C79">
        <w:rPr>
          <w:rFonts w:eastAsia="Times New Roman" w:cs="Tahoma"/>
          <w:b/>
          <w:bCs/>
          <w:szCs w:val="24"/>
          <w:lang w:eastAsia="es-ES"/>
        </w:rPr>
        <w:tab/>
      </w:r>
      <w:r w:rsidRPr="008C7C79">
        <w:rPr>
          <w:rFonts w:eastAsia="Times New Roman" w:cs="Tahoma"/>
          <w:b/>
          <w:bCs/>
          <w:szCs w:val="24"/>
          <w:lang w:eastAsia="es-ES"/>
        </w:rPr>
        <w:tab/>
        <w:t>GERMÁN DARÍO GÓEZ VINASCO</w:t>
      </w:r>
      <w:bookmarkEnd w:id="13"/>
      <w:bookmarkEnd w:id="14"/>
    </w:p>
    <w:p w14:paraId="7DF2A4B3" w14:textId="604E71BB" w:rsidR="009D10A2" w:rsidRPr="008C7C79" w:rsidRDefault="008C7C79" w:rsidP="008C7C79">
      <w:pPr>
        <w:spacing w:line="276" w:lineRule="auto"/>
        <w:textAlignment w:val="baseline"/>
        <w:rPr>
          <w:rFonts w:cs="Tahoma"/>
          <w:bCs/>
          <w:szCs w:val="24"/>
        </w:rPr>
      </w:pPr>
      <w:r w:rsidRPr="008C7C79">
        <w:rPr>
          <w:rFonts w:cs="Tahoma"/>
          <w:bCs/>
          <w:szCs w:val="24"/>
        </w:rPr>
        <w:t>Aclara voto</w:t>
      </w:r>
    </w:p>
    <w:sectPr w:rsidR="009D10A2" w:rsidRPr="008C7C79" w:rsidSect="009C2977">
      <w:headerReference w:type="default" r:id="rId11"/>
      <w:footerReference w:type="default" r:id="rId12"/>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926E12" w16cex:dateUtc="2021-07-09T11:41:00Z"/>
  <w16cex:commentExtensible w16cex:durableId="24926DEE" w16cex:dateUtc="2021-07-09T11:40:00Z"/>
  <w16cex:commentExtensible w16cex:durableId="78A988E1" w16cex:dateUtc="2021-07-12T15:38:59.27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73625" w14:textId="77777777" w:rsidR="001265BB" w:rsidRDefault="001265BB" w:rsidP="00790DA9">
      <w:pPr>
        <w:spacing w:line="240" w:lineRule="auto"/>
      </w:pPr>
      <w:r>
        <w:separator/>
      </w:r>
    </w:p>
  </w:endnote>
  <w:endnote w:type="continuationSeparator" w:id="0">
    <w:p w14:paraId="5D7B4100" w14:textId="77777777" w:rsidR="001265BB" w:rsidRDefault="001265BB" w:rsidP="00790DA9">
      <w:pPr>
        <w:spacing w:line="240" w:lineRule="auto"/>
      </w:pPr>
      <w:r>
        <w:continuationSeparator/>
      </w:r>
    </w:p>
  </w:endnote>
  <w:endnote w:type="continuationNotice" w:id="1">
    <w:p w14:paraId="3D3AEBF9" w14:textId="77777777" w:rsidR="001265BB" w:rsidRDefault="001265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Bold">
    <w:altName w:val="Tahom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680810"/>
      <w:docPartObj>
        <w:docPartGallery w:val="Page Numbers (Bottom of Page)"/>
        <w:docPartUnique/>
      </w:docPartObj>
    </w:sdtPr>
    <w:sdtEndPr>
      <w:rPr>
        <w:rFonts w:ascii="Arial" w:eastAsia="Times New Roman" w:hAnsi="Arial" w:cs="Arial"/>
        <w:sz w:val="18"/>
        <w:szCs w:val="14"/>
        <w:lang w:eastAsia="es-ES"/>
      </w:rPr>
    </w:sdtEndPr>
    <w:sdtContent>
      <w:p w14:paraId="14419340" w14:textId="77777777" w:rsidR="00B33A2C" w:rsidRPr="008063DF" w:rsidRDefault="00B33A2C">
        <w:pPr>
          <w:pStyle w:val="Piedepgina"/>
          <w:jc w:val="right"/>
          <w:rPr>
            <w:rFonts w:ascii="Arial" w:eastAsia="Times New Roman" w:hAnsi="Arial" w:cs="Arial"/>
            <w:sz w:val="18"/>
            <w:szCs w:val="14"/>
            <w:lang w:eastAsia="es-ES"/>
          </w:rPr>
        </w:pPr>
        <w:r w:rsidRPr="00320B9F">
          <w:rPr>
            <w:rFonts w:ascii="Arial" w:eastAsia="Times New Roman" w:hAnsi="Arial" w:cs="Arial"/>
            <w:sz w:val="18"/>
            <w:szCs w:val="14"/>
            <w:lang w:val="es-419" w:eastAsia="es-ES"/>
          </w:rPr>
          <w:fldChar w:fldCharType="begin"/>
        </w:r>
        <w:r w:rsidRPr="00320B9F">
          <w:rPr>
            <w:rFonts w:ascii="Arial" w:eastAsia="Times New Roman" w:hAnsi="Arial" w:cs="Arial"/>
            <w:sz w:val="18"/>
            <w:szCs w:val="14"/>
            <w:lang w:val="es-419" w:eastAsia="es-ES"/>
          </w:rPr>
          <w:instrText>PAGE   \* MERGEFORMAT</w:instrText>
        </w:r>
        <w:r w:rsidRPr="00320B9F">
          <w:rPr>
            <w:rFonts w:ascii="Arial" w:eastAsia="Times New Roman" w:hAnsi="Arial" w:cs="Arial"/>
            <w:sz w:val="18"/>
            <w:szCs w:val="14"/>
            <w:lang w:val="es-419" w:eastAsia="es-ES"/>
          </w:rPr>
          <w:fldChar w:fldCharType="separate"/>
        </w:r>
        <w:r w:rsidRPr="00320B9F">
          <w:rPr>
            <w:rFonts w:ascii="Arial" w:eastAsia="Times New Roman" w:hAnsi="Arial" w:cs="Arial"/>
            <w:sz w:val="18"/>
            <w:szCs w:val="14"/>
            <w:lang w:val="es-419" w:eastAsia="es-ES"/>
          </w:rPr>
          <w:t>17</w:t>
        </w:r>
        <w:r w:rsidRPr="00320B9F">
          <w:rPr>
            <w:rFonts w:ascii="Arial" w:eastAsia="Times New Roman" w:hAnsi="Arial" w:cs="Arial"/>
            <w:sz w:val="18"/>
            <w:szCs w:val="14"/>
            <w:lang w:val="es-419"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37A1A" w14:textId="77777777" w:rsidR="001265BB" w:rsidRDefault="001265BB" w:rsidP="00790DA9">
      <w:pPr>
        <w:spacing w:line="240" w:lineRule="auto"/>
      </w:pPr>
      <w:r>
        <w:separator/>
      </w:r>
    </w:p>
  </w:footnote>
  <w:footnote w:type="continuationSeparator" w:id="0">
    <w:p w14:paraId="770D457E" w14:textId="77777777" w:rsidR="001265BB" w:rsidRDefault="001265BB" w:rsidP="00790DA9">
      <w:pPr>
        <w:spacing w:line="240" w:lineRule="auto"/>
      </w:pPr>
      <w:r>
        <w:continuationSeparator/>
      </w:r>
    </w:p>
  </w:footnote>
  <w:footnote w:type="continuationNotice" w:id="1">
    <w:p w14:paraId="71A03188" w14:textId="77777777" w:rsidR="001265BB" w:rsidRDefault="001265BB">
      <w:pPr>
        <w:spacing w:line="240" w:lineRule="auto"/>
      </w:pPr>
    </w:p>
  </w:footnote>
  <w:footnote w:id="2">
    <w:p w14:paraId="420E579B" w14:textId="77777777" w:rsidR="008B5C4E" w:rsidRPr="004077EA" w:rsidRDefault="008B5C4E" w:rsidP="004077EA">
      <w:pPr>
        <w:pStyle w:val="Textonotapie"/>
        <w:ind w:firstLine="0"/>
        <w:rPr>
          <w:rFonts w:ascii="Arial" w:hAnsi="Arial" w:cs="Arial"/>
          <w:sz w:val="18"/>
          <w:szCs w:val="18"/>
        </w:rPr>
      </w:pPr>
      <w:r w:rsidRPr="004077EA">
        <w:rPr>
          <w:rStyle w:val="Refdenotaalpie"/>
          <w:rFonts w:ascii="Arial" w:hAnsi="Arial" w:cs="Arial"/>
          <w:sz w:val="18"/>
          <w:szCs w:val="18"/>
        </w:rPr>
        <w:footnoteRef/>
      </w:r>
      <w:r w:rsidRPr="004077EA">
        <w:rPr>
          <w:rFonts w:ascii="Arial" w:hAnsi="Arial" w:cs="Arial"/>
          <w:sz w:val="18"/>
          <w:szCs w:val="18"/>
        </w:rPr>
        <w:t xml:space="preserve"> Título tomado de la sentencia del 8 de mayo de 2019SL 1688-2019, Radicado 68838, con Ponencia de la Dra. Clara Cecilia Dueñas Quevedo</w:t>
      </w:r>
    </w:p>
  </w:footnote>
  <w:footnote w:id="3">
    <w:p w14:paraId="3B43B79D" w14:textId="77777777" w:rsidR="008B5C4E" w:rsidRPr="004077EA" w:rsidRDefault="008B5C4E" w:rsidP="004077EA">
      <w:pPr>
        <w:pStyle w:val="Textonotapie"/>
        <w:ind w:firstLine="0"/>
        <w:rPr>
          <w:rFonts w:ascii="Arial" w:hAnsi="Arial" w:cs="Arial"/>
          <w:sz w:val="18"/>
          <w:szCs w:val="18"/>
        </w:rPr>
      </w:pPr>
      <w:r w:rsidRPr="004077EA">
        <w:rPr>
          <w:rStyle w:val="Refdenotaalpie"/>
          <w:rFonts w:ascii="Arial" w:hAnsi="Arial" w:cs="Arial"/>
          <w:sz w:val="18"/>
          <w:szCs w:val="18"/>
        </w:rPr>
        <w:footnoteRef/>
      </w:r>
      <w:r w:rsidRPr="004077EA">
        <w:rPr>
          <w:rFonts w:ascii="Arial" w:hAnsi="Arial" w:cs="Arial"/>
          <w:sz w:val="18"/>
          <w:szCs w:val="18"/>
        </w:rPr>
        <w:t xml:space="preserve"> Estatuto Orgánico del Sistema Financiero </w:t>
      </w:r>
    </w:p>
  </w:footnote>
  <w:footnote w:id="4">
    <w:p w14:paraId="6BCE9B89" w14:textId="04D6231C" w:rsidR="00B33A2C" w:rsidRPr="004077EA" w:rsidRDefault="00B33A2C" w:rsidP="004077EA">
      <w:pPr>
        <w:pStyle w:val="Textonotapie"/>
        <w:ind w:firstLine="0"/>
        <w:rPr>
          <w:rFonts w:ascii="Arial" w:hAnsi="Arial" w:cs="Arial"/>
          <w:sz w:val="18"/>
          <w:szCs w:val="18"/>
          <w:lang w:val="es-CO"/>
        </w:rPr>
      </w:pPr>
      <w:r w:rsidRPr="004077EA">
        <w:rPr>
          <w:rStyle w:val="Refdenotaalpie"/>
          <w:rFonts w:ascii="Arial" w:hAnsi="Arial" w:cs="Arial"/>
          <w:sz w:val="18"/>
          <w:szCs w:val="18"/>
        </w:rPr>
        <w:footnoteRef/>
      </w:r>
      <w:r w:rsidRPr="004077EA">
        <w:rPr>
          <w:rFonts w:ascii="Arial" w:hAnsi="Arial" w:cs="Arial"/>
          <w:sz w:val="18"/>
          <w:szCs w:val="18"/>
        </w:rPr>
        <w:t xml:space="preserve"> </w:t>
      </w:r>
      <w:r w:rsidRPr="004077EA">
        <w:rPr>
          <w:rFonts w:ascii="Arial" w:hAnsi="Arial" w:cs="Arial"/>
          <w:sz w:val="18"/>
          <w:szCs w:val="18"/>
          <w:lang w:val="es-CO"/>
        </w:rPr>
        <w:t xml:space="preserve">Título tomado de la sentencia </w:t>
      </w:r>
      <w:r w:rsidRPr="004077EA">
        <w:rPr>
          <w:rFonts w:ascii="Arial" w:hAnsi="Arial" w:cs="Arial"/>
          <w:sz w:val="18"/>
          <w:szCs w:val="18"/>
        </w:rPr>
        <w:t>del 8 de mayo de 2019SL 1688-2019, Radicado 68838, con Ponencia de la Dra. Clara Cecilia Dueñas Quevedo</w:t>
      </w:r>
    </w:p>
  </w:footnote>
  <w:footnote w:id="5">
    <w:p w14:paraId="0DA897BD" w14:textId="650AB9C2" w:rsidR="003F14CC" w:rsidRPr="004077EA" w:rsidRDefault="003F14CC" w:rsidP="004077EA">
      <w:pPr>
        <w:pStyle w:val="Textonotapie"/>
        <w:ind w:firstLine="0"/>
        <w:rPr>
          <w:rFonts w:ascii="Arial" w:hAnsi="Arial" w:cs="Arial"/>
          <w:sz w:val="18"/>
          <w:szCs w:val="18"/>
        </w:rPr>
      </w:pPr>
      <w:r w:rsidRPr="004077EA">
        <w:rPr>
          <w:rStyle w:val="Refdenotaalpie"/>
          <w:rFonts w:ascii="Arial" w:hAnsi="Arial" w:cs="Arial"/>
          <w:sz w:val="18"/>
          <w:szCs w:val="18"/>
        </w:rPr>
        <w:footnoteRef/>
      </w:r>
      <w:r w:rsidRPr="004077EA">
        <w:rPr>
          <w:rFonts w:ascii="Arial" w:hAnsi="Arial" w:cs="Arial"/>
          <w:sz w:val="18"/>
          <w:szCs w:val="18"/>
        </w:rPr>
        <w:t xml:space="preserve"> Con lo que se descarta igualmente la tesis que alude a los “actos de relacionamiento” para desestimar la ineficacia por la falta de información al momento del traslado al RAIS.</w:t>
      </w:r>
    </w:p>
  </w:footnote>
  <w:footnote w:id="6">
    <w:p w14:paraId="7031D0C0" w14:textId="77777777" w:rsidR="00B33A2C" w:rsidRDefault="00B33A2C" w:rsidP="004077EA">
      <w:pPr>
        <w:pStyle w:val="Textonotapie"/>
        <w:ind w:firstLine="0"/>
        <w:rPr>
          <w:lang w:val="es-CO"/>
        </w:rPr>
      </w:pPr>
      <w:r w:rsidRPr="004077EA">
        <w:rPr>
          <w:rStyle w:val="Refdenotaalpie"/>
          <w:rFonts w:ascii="Arial" w:hAnsi="Arial" w:cs="Arial"/>
          <w:sz w:val="18"/>
          <w:szCs w:val="18"/>
        </w:rPr>
        <w:footnoteRef/>
      </w:r>
      <w:r w:rsidRPr="004077EA">
        <w:rPr>
          <w:rFonts w:ascii="Arial" w:hAnsi="Arial" w:cs="Arial"/>
          <w:sz w:val="18"/>
          <w:szCs w:val="18"/>
        </w:rPr>
        <w:t xml:space="preserve"> </w:t>
      </w:r>
      <w:r w:rsidRPr="004077EA">
        <w:rPr>
          <w:rFonts w:ascii="Arial" w:hAnsi="Arial" w:cs="Arial"/>
          <w:sz w:val="18"/>
          <w:szCs w:val="18"/>
          <w:lang w:val="es-CO"/>
        </w:rPr>
        <w:t>Ibídem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EF5E4" w14:textId="22066F75" w:rsidR="00B33A2C" w:rsidRPr="00320B9F" w:rsidRDefault="00B33A2C" w:rsidP="00320B9F">
    <w:pPr>
      <w:tabs>
        <w:tab w:val="left" w:pos="993"/>
      </w:tabs>
      <w:spacing w:line="240" w:lineRule="auto"/>
      <w:ind w:left="1134" w:hanging="1134"/>
      <w:rPr>
        <w:rFonts w:ascii="Arial" w:eastAsia="Times New Roman" w:hAnsi="Arial" w:cs="Arial"/>
        <w:sz w:val="18"/>
        <w:szCs w:val="14"/>
        <w:lang w:val="es-419" w:eastAsia="es-ES"/>
      </w:rPr>
    </w:pPr>
    <w:r w:rsidRPr="00320B9F">
      <w:rPr>
        <w:rFonts w:ascii="Arial" w:eastAsia="Times New Roman" w:hAnsi="Arial" w:cs="Arial"/>
        <w:sz w:val="18"/>
        <w:szCs w:val="14"/>
        <w:lang w:val="es-419" w:eastAsia="es-ES"/>
      </w:rPr>
      <w:t xml:space="preserve">Proceso: Ordinario Laboral </w:t>
    </w:r>
  </w:p>
  <w:p w14:paraId="3E4BE2E7" w14:textId="3F53C6C8" w:rsidR="00B33A2C" w:rsidRPr="00320B9F" w:rsidRDefault="00B33A2C" w:rsidP="00320B9F">
    <w:pPr>
      <w:tabs>
        <w:tab w:val="left" w:pos="993"/>
      </w:tabs>
      <w:spacing w:line="240" w:lineRule="auto"/>
      <w:ind w:left="1134" w:hanging="1134"/>
      <w:rPr>
        <w:rFonts w:ascii="Arial" w:eastAsia="Times New Roman" w:hAnsi="Arial" w:cs="Arial"/>
        <w:sz w:val="18"/>
        <w:szCs w:val="14"/>
        <w:lang w:val="es-419" w:eastAsia="es-ES"/>
      </w:rPr>
    </w:pPr>
    <w:r w:rsidRPr="00320B9F">
      <w:rPr>
        <w:rFonts w:ascii="Arial" w:eastAsia="Times New Roman" w:hAnsi="Arial" w:cs="Arial"/>
        <w:sz w:val="18"/>
        <w:szCs w:val="14"/>
        <w:lang w:val="es-419" w:eastAsia="es-ES"/>
      </w:rPr>
      <w:t>Demandante: Carlos Víctor Barragán López</w:t>
    </w:r>
  </w:p>
  <w:p w14:paraId="004C7ECE" w14:textId="1D873F93" w:rsidR="00B33A2C" w:rsidRPr="00320B9F" w:rsidRDefault="00B33A2C" w:rsidP="00320B9F">
    <w:pPr>
      <w:tabs>
        <w:tab w:val="left" w:pos="993"/>
      </w:tabs>
      <w:spacing w:line="240" w:lineRule="auto"/>
      <w:ind w:left="1134" w:hanging="1134"/>
      <w:rPr>
        <w:rFonts w:ascii="Arial" w:eastAsia="Times New Roman" w:hAnsi="Arial" w:cs="Arial"/>
        <w:sz w:val="18"/>
        <w:szCs w:val="14"/>
        <w:lang w:val="es-419" w:eastAsia="es-ES"/>
      </w:rPr>
    </w:pPr>
    <w:r w:rsidRPr="00320B9F">
      <w:rPr>
        <w:rFonts w:ascii="Arial" w:eastAsia="Times New Roman" w:hAnsi="Arial" w:cs="Arial"/>
        <w:sz w:val="18"/>
        <w:szCs w:val="14"/>
        <w:lang w:val="es-419" w:eastAsia="es-ES"/>
      </w:rPr>
      <w:t>Demandado: Porvenir S.A. y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A25"/>
    <w:multiLevelType w:val="hybridMultilevel"/>
    <w:tmpl w:val="9314E568"/>
    <w:lvl w:ilvl="0" w:tplc="D9529758">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9121BCD"/>
    <w:multiLevelType w:val="multilevel"/>
    <w:tmpl w:val="6098316A"/>
    <w:lvl w:ilvl="0">
      <w:start w:val="6"/>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3DD0931"/>
    <w:multiLevelType w:val="multilevel"/>
    <w:tmpl w:val="C6FC24D4"/>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b/>
        <w:i w:val="0"/>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abstractNum w:abstractNumId="5"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500F164A"/>
    <w:multiLevelType w:val="hybridMultilevel"/>
    <w:tmpl w:val="E8081B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num w:numId="1">
    <w:abstractNumId w:val="6"/>
  </w:num>
  <w:num w:numId="2">
    <w:abstractNumId w:val="5"/>
  </w:num>
  <w:num w:numId="3">
    <w:abstractNumId w:val="9"/>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0"/>
  </w:num>
  <w:num w:numId="9">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A9"/>
    <w:rsid w:val="00017704"/>
    <w:rsid w:val="00023C72"/>
    <w:rsid w:val="000303BA"/>
    <w:rsid w:val="000333C2"/>
    <w:rsid w:val="00036D82"/>
    <w:rsid w:val="00042B25"/>
    <w:rsid w:val="000507CC"/>
    <w:rsid w:val="000558C6"/>
    <w:rsid w:val="00066767"/>
    <w:rsid w:val="000723F0"/>
    <w:rsid w:val="00073698"/>
    <w:rsid w:val="00080060"/>
    <w:rsid w:val="00080F5A"/>
    <w:rsid w:val="00081C10"/>
    <w:rsid w:val="00083F58"/>
    <w:rsid w:val="000856A8"/>
    <w:rsid w:val="00096470"/>
    <w:rsid w:val="000B2BAA"/>
    <w:rsid w:val="000B4F2C"/>
    <w:rsid w:val="000B6053"/>
    <w:rsid w:val="000B6595"/>
    <w:rsid w:val="000C02A4"/>
    <w:rsid w:val="000D7C6A"/>
    <w:rsid w:val="000E25BE"/>
    <w:rsid w:val="000E2F1D"/>
    <w:rsid w:val="000F3D75"/>
    <w:rsid w:val="000F49C1"/>
    <w:rsid w:val="000F5175"/>
    <w:rsid w:val="00103F06"/>
    <w:rsid w:val="00104518"/>
    <w:rsid w:val="0011239C"/>
    <w:rsid w:val="00113A33"/>
    <w:rsid w:val="00115C02"/>
    <w:rsid w:val="001162CF"/>
    <w:rsid w:val="001170DA"/>
    <w:rsid w:val="001265BB"/>
    <w:rsid w:val="001363CA"/>
    <w:rsid w:val="00142473"/>
    <w:rsid w:val="00147587"/>
    <w:rsid w:val="001533B3"/>
    <w:rsid w:val="001878AE"/>
    <w:rsid w:val="001A291C"/>
    <w:rsid w:val="001B01DA"/>
    <w:rsid w:val="001C0216"/>
    <w:rsid w:val="001D225A"/>
    <w:rsid w:val="001D423C"/>
    <w:rsid w:val="001E6780"/>
    <w:rsid w:val="001F45EC"/>
    <w:rsid w:val="00200893"/>
    <w:rsid w:val="002211BD"/>
    <w:rsid w:val="0022440C"/>
    <w:rsid w:val="002346CF"/>
    <w:rsid w:val="00235D61"/>
    <w:rsid w:val="00244E21"/>
    <w:rsid w:val="00263815"/>
    <w:rsid w:val="00263852"/>
    <w:rsid w:val="00271428"/>
    <w:rsid w:val="00272FA1"/>
    <w:rsid w:val="00291FAB"/>
    <w:rsid w:val="002A31FE"/>
    <w:rsid w:val="002A7D16"/>
    <w:rsid w:val="002C32BD"/>
    <w:rsid w:val="002D70C7"/>
    <w:rsid w:val="002E4546"/>
    <w:rsid w:val="002F1A96"/>
    <w:rsid w:val="002F244F"/>
    <w:rsid w:val="002F3F33"/>
    <w:rsid w:val="003050DC"/>
    <w:rsid w:val="00315273"/>
    <w:rsid w:val="00320B9F"/>
    <w:rsid w:val="00322722"/>
    <w:rsid w:val="003254BC"/>
    <w:rsid w:val="003324F5"/>
    <w:rsid w:val="0034027E"/>
    <w:rsid w:val="00342284"/>
    <w:rsid w:val="003619AA"/>
    <w:rsid w:val="00367F03"/>
    <w:rsid w:val="003775EE"/>
    <w:rsid w:val="00386234"/>
    <w:rsid w:val="00392D0C"/>
    <w:rsid w:val="003A16E6"/>
    <w:rsid w:val="003B4218"/>
    <w:rsid w:val="003C0463"/>
    <w:rsid w:val="003C1E02"/>
    <w:rsid w:val="003C46FA"/>
    <w:rsid w:val="003C4CE3"/>
    <w:rsid w:val="003C7505"/>
    <w:rsid w:val="003C7E50"/>
    <w:rsid w:val="003D0E6E"/>
    <w:rsid w:val="003D11D6"/>
    <w:rsid w:val="003E7477"/>
    <w:rsid w:val="003F14CC"/>
    <w:rsid w:val="0040245E"/>
    <w:rsid w:val="004077EA"/>
    <w:rsid w:val="00421F4F"/>
    <w:rsid w:val="004260C5"/>
    <w:rsid w:val="00450E83"/>
    <w:rsid w:val="00454F9D"/>
    <w:rsid w:val="00466937"/>
    <w:rsid w:val="00467973"/>
    <w:rsid w:val="00472F19"/>
    <w:rsid w:val="00480777"/>
    <w:rsid w:val="00483816"/>
    <w:rsid w:val="004A1054"/>
    <w:rsid w:val="004A133D"/>
    <w:rsid w:val="004A65D3"/>
    <w:rsid w:val="004C46ED"/>
    <w:rsid w:val="004D22AC"/>
    <w:rsid w:val="004F626D"/>
    <w:rsid w:val="00506631"/>
    <w:rsid w:val="005206C1"/>
    <w:rsid w:val="0053421E"/>
    <w:rsid w:val="00545B08"/>
    <w:rsid w:val="00553FD7"/>
    <w:rsid w:val="0055696E"/>
    <w:rsid w:val="00561E61"/>
    <w:rsid w:val="00586AB3"/>
    <w:rsid w:val="00595701"/>
    <w:rsid w:val="00597A65"/>
    <w:rsid w:val="005A473D"/>
    <w:rsid w:val="005A5ADA"/>
    <w:rsid w:val="005B00B8"/>
    <w:rsid w:val="005B1B92"/>
    <w:rsid w:val="005B5103"/>
    <w:rsid w:val="005B65AA"/>
    <w:rsid w:val="005B7046"/>
    <w:rsid w:val="005D0823"/>
    <w:rsid w:val="005E1630"/>
    <w:rsid w:val="005F2570"/>
    <w:rsid w:val="005F4133"/>
    <w:rsid w:val="00600B9D"/>
    <w:rsid w:val="00600CE4"/>
    <w:rsid w:val="0060137B"/>
    <w:rsid w:val="006136C7"/>
    <w:rsid w:val="00622251"/>
    <w:rsid w:val="00633F28"/>
    <w:rsid w:val="00640C62"/>
    <w:rsid w:val="006458B0"/>
    <w:rsid w:val="00654EAE"/>
    <w:rsid w:val="00662FC5"/>
    <w:rsid w:val="00667387"/>
    <w:rsid w:val="00667EA3"/>
    <w:rsid w:val="0067398B"/>
    <w:rsid w:val="00694B34"/>
    <w:rsid w:val="006950D2"/>
    <w:rsid w:val="006A36EB"/>
    <w:rsid w:val="006B11AA"/>
    <w:rsid w:val="006C0B2A"/>
    <w:rsid w:val="006C4834"/>
    <w:rsid w:val="006D1A75"/>
    <w:rsid w:val="006D3825"/>
    <w:rsid w:val="006E3FE2"/>
    <w:rsid w:val="006E68C0"/>
    <w:rsid w:val="006E785B"/>
    <w:rsid w:val="006F3644"/>
    <w:rsid w:val="006F3819"/>
    <w:rsid w:val="006F46B8"/>
    <w:rsid w:val="0072783E"/>
    <w:rsid w:val="00734150"/>
    <w:rsid w:val="00737D7B"/>
    <w:rsid w:val="00745023"/>
    <w:rsid w:val="00772EED"/>
    <w:rsid w:val="007748EF"/>
    <w:rsid w:val="007813BE"/>
    <w:rsid w:val="0078280A"/>
    <w:rsid w:val="00784D72"/>
    <w:rsid w:val="00790CCA"/>
    <w:rsid w:val="00790CD6"/>
    <w:rsid w:val="00790DA9"/>
    <w:rsid w:val="00794A68"/>
    <w:rsid w:val="007A34E5"/>
    <w:rsid w:val="007A7B9B"/>
    <w:rsid w:val="007E1917"/>
    <w:rsid w:val="007E30A0"/>
    <w:rsid w:val="007E5A0D"/>
    <w:rsid w:val="007F0966"/>
    <w:rsid w:val="007F3FEC"/>
    <w:rsid w:val="008063DF"/>
    <w:rsid w:val="00806950"/>
    <w:rsid w:val="00812057"/>
    <w:rsid w:val="00820A77"/>
    <w:rsid w:val="008224AC"/>
    <w:rsid w:val="00824349"/>
    <w:rsid w:val="00835553"/>
    <w:rsid w:val="00837203"/>
    <w:rsid w:val="00846780"/>
    <w:rsid w:val="00850CF8"/>
    <w:rsid w:val="008548ED"/>
    <w:rsid w:val="0087484F"/>
    <w:rsid w:val="0087626E"/>
    <w:rsid w:val="00881144"/>
    <w:rsid w:val="00886808"/>
    <w:rsid w:val="00887195"/>
    <w:rsid w:val="00891AE9"/>
    <w:rsid w:val="008B3405"/>
    <w:rsid w:val="008B5C4E"/>
    <w:rsid w:val="008C4964"/>
    <w:rsid w:val="008C7C79"/>
    <w:rsid w:val="00907968"/>
    <w:rsid w:val="009253E4"/>
    <w:rsid w:val="00927E0B"/>
    <w:rsid w:val="00933ABF"/>
    <w:rsid w:val="00940973"/>
    <w:rsid w:val="00943B70"/>
    <w:rsid w:val="009449CA"/>
    <w:rsid w:val="0094516B"/>
    <w:rsid w:val="00950F6B"/>
    <w:rsid w:val="00956792"/>
    <w:rsid w:val="00956F52"/>
    <w:rsid w:val="00975AB3"/>
    <w:rsid w:val="0097793B"/>
    <w:rsid w:val="00983715"/>
    <w:rsid w:val="009853EE"/>
    <w:rsid w:val="009926DF"/>
    <w:rsid w:val="009979A7"/>
    <w:rsid w:val="009A3626"/>
    <w:rsid w:val="009A7016"/>
    <w:rsid w:val="009B14F6"/>
    <w:rsid w:val="009C2977"/>
    <w:rsid w:val="009C389B"/>
    <w:rsid w:val="009D10A2"/>
    <w:rsid w:val="009E4F54"/>
    <w:rsid w:val="009E5FBE"/>
    <w:rsid w:val="009E715D"/>
    <w:rsid w:val="00A00398"/>
    <w:rsid w:val="00A0657B"/>
    <w:rsid w:val="00A135E0"/>
    <w:rsid w:val="00A13952"/>
    <w:rsid w:val="00A13F40"/>
    <w:rsid w:val="00A148A9"/>
    <w:rsid w:val="00A266D4"/>
    <w:rsid w:val="00A26AC8"/>
    <w:rsid w:val="00A62303"/>
    <w:rsid w:val="00A673EF"/>
    <w:rsid w:val="00A67C26"/>
    <w:rsid w:val="00A74124"/>
    <w:rsid w:val="00A83353"/>
    <w:rsid w:val="00A8338F"/>
    <w:rsid w:val="00A900DB"/>
    <w:rsid w:val="00AA3C7C"/>
    <w:rsid w:val="00AA3D20"/>
    <w:rsid w:val="00AA783A"/>
    <w:rsid w:val="00AB462E"/>
    <w:rsid w:val="00AC3AFC"/>
    <w:rsid w:val="00AC7E7D"/>
    <w:rsid w:val="00AE042F"/>
    <w:rsid w:val="00AE2EB0"/>
    <w:rsid w:val="00AE7DC3"/>
    <w:rsid w:val="00AF1C75"/>
    <w:rsid w:val="00AF4757"/>
    <w:rsid w:val="00B068DB"/>
    <w:rsid w:val="00B06E1F"/>
    <w:rsid w:val="00B17E1F"/>
    <w:rsid w:val="00B20840"/>
    <w:rsid w:val="00B24B52"/>
    <w:rsid w:val="00B33A2C"/>
    <w:rsid w:val="00B40350"/>
    <w:rsid w:val="00B44542"/>
    <w:rsid w:val="00B508F6"/>
    <w:rsid w:val="00B53E94"/>
    <w:rsid w:val="00B66AFB"/>
    <w:rsid w:val="00B73FAF"/>
    <w:rsid w:val="00B8317C"/>
    <w:rsid w:val="00B87B7A"/>
    <w:rsid w:val="00B92321"/>
    <w:rsid w:val="00BB0107"/>
    <w:rsid w:val="00BB0943"/>
    <w:rsid w:val="00BB5F94"/>
    <w:rsid w:val="00BB7B81"/>
    <w:rsid w:val="00BC28EC"/>
    <w:rsid w:val="00BD0CEF"/>
    <w:rsid w:val="00BE6BEA"/>
    <w:rsid w:val="00BF131B"/>
    <w:rsid w:val="00C021EE"/>
    <w:rsid w:val="00C02346"/>
    <w:rsid w:val="00C02C9A"/>
    <w:rsid w:val="00C11B0A"/>
    <w:rsid w:val="00C12BA2"/>
    <w:rsid w:val="00C16845"/>
    <w:rsid w:val="00C216F2"/>
    <w:rsid w:val="00C278E2"/>
    <w:rsid w:val="00C27D5D"/>
    <w:rsid w:val="00C33E31"/>
    <w:rsid w:val="00C40F24"/>
    <w:rsid w:val="00C4413A"/>
    <w:rsid w:val="00C463AE"/>
    <w:rsid w:val="00C46FB9"/>
    <w:rsid w:val="00C53028"/>
    <w:rsid w:val="00C555E3"/>
    <w:rsid w:val="00C65E3E"/>
    <w:rsid w:val="00C766C2"/>
    <w:rsid w:val="00C84471"/>
    <w:rsid w:val="00C9368C"/>
    <w:rsid w:val="00CA0437"/>
    <w:rsid w:val="00CA743B"/>
    <w:rsid w:val="00CB15E9"/>
    <w:rsid w:val="00CC52E1"/>
    <w:rsid w:val="00CC776A"/>
    <w:rsid w:val="00CD14BB"/>
    <w:rsid w:val="00CD1CE4"/>
    <w:rsid w:val="00CD2450"/>
    <w:rsid w:val="00CD2AF0"/>
    <w:rsid w:val="00CD37ED"/>
    <w:rsid w:val="00CE0567"/>
    <w:rsid w:val="00CE5E7B"/>
    <w:rsid w:val="00CF2833"/>
    <w:rsid w:val="00CF703F"/>
    <w:rsid w:val="00D11BAA"/>
    <w:rsid w:val="00D31819"/>
    <w:rsid w:val="00D411B4"/>
    <w:rsid w:val="00D459BB"/>
    <w:rsid w:val="00D47BA5"/>
    <w:rsid w:val="00D62C3C"/>
    <w:rsid w:val="00D72C19"/>
    <w:rsid w:val="00D87CED"/>
    <w:rsid w:val="00D90263"/>
    <w:rsid w:val="00DA1C9D"/>
    <w:rsid w:val="00DA4370"/>
    <w:rsid w:val="00DB2FDD"/>
    <w:rsid w:val="00DC460A"/>
    <w:rsid w:val="00DC5863"/>
    <w:rsid w:val="00E10AC5"/>
    <w:rsid w:val="00E352C7"/>
    <w:rsid w:val="00E44599"/>
    <w:rsid w:val="00E45567"/>
    <w:rsid w:val="00E60B9A"/>
    <w:rsid w:val="00E66B3E"/>
    <w:rsid w:val="00E71FFE"/>
    <w:rsid w:val="00E74EEE"/>
    <w:rsid w:val="00EA76E7"/>
    <w:rsid w:val="00EB3C0B"/>
    <w:rsid w:val="00ED1586"/>
    <w:rsid w:val="00ED75E5"/>
    <w:rsid w:val="00EF513D"/>
    <w:rsid w:val="00EF5C33"/>
    <w:rsid w:val="00F03D18"/>
    <w:rsid w:val="00F05EFB"/>
    <w:rsid w:val="00F11F14"/>
    <w:rsid w:val="00F2212C"/>
    <w:rsid w:val="00F24429"/>
    <w:rsid w:val="00F24E45"/>
    <w:rsid w:val="00F26BEE"/>
    <w:rsid w:val="00F26ECD"/>
    <w:rsid w:val="00F30A77"/>
    <w:rsid w:val="00F3612F"/>
    <w:rsid w:val="00F41005"/>
    <w:rsid w:val="00F4298B"/>
    <w:rsid w:val="00F46BDF"/>
    <w:rsid w:val="00F46EBB"/>
    <w:rsid w:val="00F50C4F"/>
    <w:rsid w:val="00F57E18"/>
    <w:rsid w:val="00F66DE0"/>
    <w:rsid w:val="00F71107"/>
    <w:rsid w:val="00F8423F"/>
    <w:rsid w:val="00F85D82"/>
    <w:rsid w:val="00F9722F"/>
    <w:rsid w:val="00FA239F"/>
    <w:rsid w:val="00FA5236"/>
    <w:rsid w:val="00FA61A6"/>
    <w:rsid w:val="00FB16D8"/>
    <w:rsid w:val="00FC1D9E"/>
    <w:rsid w:val="00FC4541"/>
    <w:rsid w:val="00FC669B"/>
    <w:rsid w:val="00FD50CB"/>
    <w:rsid w:val="00FE63C7"/>
    <w:rsid w:val="00FF148F"/>
    <w:rsid w:val="00FF6DD0"/>
    <w:rsid w:val="01678849"/>
    <w:rsid w:val="04AEB11A"/>
    <w:rsid w:val="0500474C"/>
    <w:rsid w:val="067D2DD4"/>
    <w:rsid w:val="10CB543A"/>
    <w:rsid w:val="10D03A52"/>
    <w:rsid w:val="10F5B9B0"/>
    <w:rsid w:val="1C39E654"/>
    <w:rsid w:val="2165CB40"/>
    <w:rsid w:val="245DBE3A"/>
    <w:rsid w:val="2B62F4E0"/>
    <w:rsid w:val="38ABB1A4"/>
    <w:rsid w:val="3B63AED4"/>
    <w:rsid w:val="450B4BA1"/>
    <w:rsid w:val="46756579"/>
    <w:rsid w:val="4EC5BA19"/>
    <w:rsid w:val="4FC84195"/>
    <w:rsid w:val="5D4E4829"/>
    <w:rsid w:val="5E77DBDD"/>
    <w:rsid w:val="68A9C598"/>
    <w:rsid w:val="6931BCB7"/>
    <w:rsid w:val="6B602A80"/>
    <w:rsid w:val="79BD3250"/>
    <w:rsid w:val="7C7D00D9"/>
    <w:rsid w:val="7FCBB7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67739"/>
  <w15:docId w15:val="{DE1343EB-857E-4C26-B473-6AD0AD15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DA9"/>
    <w:rPr>
      <w:rFonts w:ascii="Tahoma" w:hAnsi="Tahoma"/>
      <w:szCs w:val="22"/>
      <w:lang w:val="es-ES"/>
    </w:rPr>
  </w:style>
  <w:style w:type="paragraph" w:styleId="Ttulo1">
    <w:name w:val="heading 1"/>
    <w:basedOn w:val="Normal"/>
    <w:next w:val="Normal"/>
    <w:link w:val="Ttulo1Car"/>
    <w:uiPriority w:val="9"/>
    <w:qFormat/>
    <w:rsid w:val="001170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nhideWhenUsed/>
    <w:qFormat/>
    <w:rsid w:val="00790DA9"/>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90DA9"/>
    <w:rPr>
      <w:rFonts w:ascii="Times New Roman" w:eastAsia="Times New Roman" w:hAnsi="Times New Roman" w:cs="Times New Roman"/>
      <w:b/>
      <w:szCs w:val="20"/>
      <w:lang w:val="es-ES" w:eastAsia="es-ES"/>
    </w:rPr>
  </w:style>
  <w:style w:type="paragraph" w:styleId="NormalWeb">
    <w:name w:val="Normal (Web)"/>
    <w:basedOn w:val="Normal"/>
    <w:uiPriority w:val="99"/>
    <w:unhideWhenUsed/>
    <w:rsid w:val="00790DA9"/>
    <w:pPr>
      <w:spacing w:before="100" w:beforeAutospacing="1" w:after="100" w:afterAutospacing="1" w:line="240" w:lineRule="auto"/>
      <w:jc w:val="left"/>
    </w:pPr>
    <w:rPr>
      <w:rFonts w:ascii="Times New Roman" w:eastAsia="Times New Roman" w:hAnsi="Times New Roman" w:cs="Times New Roman"/>
      <w:szCs w:val="24"/>
      <w:lang w:eastAsia="es-ES"/>
    </w:rPr>
  </w:style>
  <w:style w:type="paragraph" w:customStyle="1" w:styleId="paragraph">
    <w:name w:val="paragraph"/>
    <w:basedOn w:val="Normal"/>
    <w:rsid w:val="00790DA9"/>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790DA9"/>
  </w:style>
  <w:style w:type="character" w:customStyle="1" w:styleId="eop">
    <w:name w:val="eop"/>
    <w:basedOn w:val="Fuentedeprrafopredeter"/>
    <w:rsid w:val="00790DA9"/>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790DA9"/>
    <w:rPr>
      <w:vertAlign w:val="superscript"/>
    </w:rPr>
  </w:style>
  <w:style w:type="paragraph" w:styleId="Prrafodelista">
    <w:name w:val="List Paragraph"/>
    <w:basedOn w:val="Normal"/>
    <w:qFormat/>
    <w:rsid w:val="00790DA9"/>
    <w:pPr>
      <w:ind w:left="720"/>
      <w:contextualSpacing/>
    </w:pPr>
  </w:style>
  <w:style w:type="paragraph" w:styleId="Encabezado">
    <w:name w:val="header"/>
    <w:basedOn w:val="Normal"/>
    <w:link w:val="EncabezadoCar"/>
    <w:uiPriority w:val="99"/>
    <w:unhideWhenUsed/>
    <w:rsid w:val="00790DA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90DA9"/>
    <w:rPr>
      <w:rFonts w:ascii="Tahoma" w:hAnsi="Tahoma"/>
      <w:szCs w:val="22"/>
    </w:rPr>
  </w:style>
  <w:style w:type="paragraph" w:styleId="Piedepgina">
    <w:name w:val="footer"/>
    <w:basedOn w:val="Normal"/>
    <w:link w:val="PiedepginaCar"/>
    <w:uiPriority w:val="99"/>
    <w:unhideWhenUsed/>
    <w:rsid w:val="00790DA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90DA9"/>
    <w:rPr>
      <w:rFonts w:ascii="Tahoma" w:hAnsi="Tahoma"/>
      <w:szCs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790DA9"/>
    <w:pPr>
      <w:spacing w:line="240" w:lineRule="auto"/>
      <w:ind w:firstLine="709"/>
    </w:pPr>
    <w:rPr>
      <w:rFonts w:asciiTheme="minorHAnsi" w:hAnsiTheme="minorHAnsi"/>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790DA9"/>
    <w:rPr>
      <w:rFonts w:asciiTheme="minorHAnsi" w:hAnsiTheme="minorHAnsi"/>
      <w:sz w:val="20"/>
      <w:szCs w:val="20"/>
      <w:lang w:val="es-ES"/>
    </w:rPr>
  </w:style>
  <w:style w:type="table" w:styleId="Tablaconcuadrcula">
    <w:name w:val="Table Grid"/>
    <w:basedOn w:val="Tablanormal"/>
    <w:rsid w:val="00790DA9"/>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790DA9"/>
  </w:style>
  <w:style w:type="paragraph" w:styleId="Sinespaciado">
    <w:name w:val="No Spacing"/>
    <w:link w:val="SinespaciadoCar"/>
    <w:uiPriority w:val="1"/>
    <w:qFormat/>
    <w:rsid w:val="00790DA9"/>
    <w:pPr>
      <w:spacing w:line="240" w:lineRule="auto"/>
      <w:jc w:val="left"/>
    </w:pPr>
  </w:style>
  <w:style w:type="paragraph" w:customStyle="1" w:styleId="xmsonormal">
    <w:name w:val="x_msonormal"/>
    <w:basedOn w:val="Normal"/>
    <w:uiPriority w:val="99"/>
    <w:rsid w:val="00790DA9"/>
    <w:pPr>
      <w:spacing w:before="100" w:beforeAutospacing="1" w:after="100" w:afterAutospacing="1" w:line="240" w:lineRule="auto"/>
      <w:jc w:val="left"/>
    </w:pPr>
    <w:rPr>
      <w:rFonts w:ascii="Times New Roman" w:eastAsia="Times New Roman" w:hAnsi="Times New Roman" w:cs="Times New Roman"/>
      <w:szCs w:val="24"/>
      <w:lang w:eastAsia="es-ES"/>
    </w:rPr>
  </w:style>
  <w:style w:type="paragraph" w:customStyle="1" w:styleId="Prrafodelista2">
    <w:name w:val="Párrafo de lista2"/>
    <w:basedOn w:val="Normal"/>
    <w:uiPriority w:val="99"/>
    <w:rsid w:val="00790DA9"/>
    <w:pPr>
      <w:spacing w:after="200" w:line="276" w:lineRule="auto"/>
      <w:ind w:left="720"/>
      <w:contextualSpacing/>
      <w:jc w:val="left"/>
    </w:pPr>
    <w:rPr>
      <w:rFonts w:ascii="Calibri" w:eastAsia="Times New Roman" w:hAnsi="Calibri" w:cs="Times New Roman"/>
      <w:sz w:val="22"/>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Tahoma" w:hAnsi="Tahoma"/>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9232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2321"/>
    <w:rPr>
      <w:rFonts w:ascii="Segoe UI" w:hAnsi="Segoe UI" w:cs="Segoe UI"/>
      <w:sz w:val="18"/>
      <w:szCs w:val="18"/>
    </w:rPr>
  </w:style>
  <w:style w:type="character" w:customStyle="1" w:styleId="Ttulo1Car">
    <w:name w:val="Título 1 Car"/>
    <w:basedOn w:val="Fuentedeprrafopredeter"/>
    <w:link w:val="Ttulo1"/>
    <w:uiPriority w:val="9"/>
    <w:rsid w:val="001170DA"/>
    <w:rPr>
      <w:rFonts w:asciiTheme="majorHAnsi" w:eastAsiaTheme="majorEastAsia" w:hAnsiTheme="majorHAnsi" w:cstheme="majorBidi"/>
      <w:color w:val="2F5496" w:themeColor="accent1" w:themeShade="BF"/>
      <w:sz w:val="32"/>
      <w:szCs w:val="32"/>
    </w:rPr>
  </w:style>
  <w:style w:type="character" w:customStyle="1" w:styleId="fontstyle01">
    <w:name w:val="fontstyle01"/>
    <w:basedOn w:val="Fuentedeprrafopredeter"/>
    <w:rsid w:val="00662FC5"/>
    <w:rPr>
      <w:rFonts w:ascii="Tahoma-Bold" w:hAnsi="Tahoma-Bold" w:hint="default"/>
      <w:b/>
      <w:bCs/>
      <w:i w:val="0"/>
      <w:iCs w:val="0"/>
      <w:color w:val="000000"/>
      <w:sz w:val="24"/>
      <w:szCs w:val="24"/>
    </w:rPr>
  </w:style>
  <w:style w:type="character" w:customStyle="1" w:styleId="fontstyle21">
    <w:name w:val="fontstyle21"/>
    <w:basedOn w:val="Fuentedeprrafopredeter"/>
    <w:rsid w:val="00662FC5"/>
    <w:rPr>
      <w:rFonts w:ascii="Tahoma" w:hAnsi="Tahoma" w:cs="Tahoma" w:hint="default"/>
      <w:b w:val="0"/>
      <w:bCs w:val="0"/>
      <w:i w:val="0"/>
      <w:iCs w:val="0"/>
      <w:color w:val="000000"/>
      <w:sz w:val="24"/>
      <w:szCs w:val="24"/>
    </w:rPr>
  </w:style>
  <w:style w:type="paragraph" w:styleId="Textoindependiente">
    <w:name w:val="Body Text"/>
    <w:basedOn w:val="Normal"/>
    <w:link w:val="TextoindependienteCar"/>
    <w:uiPriority w:val="1"/>
    <w:qFormat/>
    <w:rsid w:val="00662FC5"/>
    <w:pPr>
      <w:autoSpaceDE w:val="0"/>
      <w:autoSpaceDN w:val="0"/>
      <w:adjustRightInd w:val="0"/>
      <w:spacing w:line="240" w:lineRule="auto"/>
      <w:jc w:val="left"/>
    </w:pPr>
    <w:rPr>
      <w:rFonts w:cs="Tahoma"/>
      <w:sz w:val="16"/>
      <w:szCs w:val="16"/>
    </w:rPr>
  </w:style>
  <w:style w:type="character" w:customStyle="1" w:styleId="TextoindependienteCar">
    <w:name w:val="Texto independiente Car"/>
    <w:basedOn w:val="Fuentedeprrafopredeter"/>
    <w:link w:val="Textoindependiente"/>
    <w:uiPriority w:val="1"/>
    <w:rsid w:val="00662FC5"/>
    <w:rPr>
      <w:rFonts w:ascii="Tahoma" w:hAnsi="Tahoma" w:cs="Tahoma"/>
      <w:sz w:val="16"/>
      <w:szCs w:val="16"/>
    </w:rPr>
  </w:style>
  <w:style w:type="paragraph" w:styleId="Ttulo">
    <w:name w:val="Title"/>
    <w:basedOn w:val="Normal"/>
    <w:next w:val="Normal"/>
    <w:link w:val="TtuloCar"/>
    <w:uiPriority w:val="1"/>
    <w:qFormat/>
    <w:rsid w:val="00662FC5"/>
    <w:pPr>
      <w:autoSpaceDE w:val="0"/>
      <w:autoSpaceDN w:val="0"/>
      <w:adjustRightInd w:val="0"/>
      <w:spacing w:line="264" w:lineRule="exact"/>
      <w:ind w:left="102"/>
      <w:jc w:val="left"/>
    </w:pPr>
    <w:rPr>
      <w:rFonts w:cs="Tahoma"/>
      <w:b/>
      <w:bCs/>
      <w:sz w:val="22"/>
    </w:rPr>
  </w:style>
  <w:style w:type="character" w:customStyle="1" w:styleId="TtuloCar">
    <w:name w:val="Título Car"/>
    <w:basedOn w:val="Fuentedeprrafopredeter"/>
    <w:link w:val="Ttulo"/>
    <w:uiPriority w:val="1"/>
    <w:rsid w:val="00662FC5"/>
    <w:rPr>
      <w:rFonts w:ascii="Tahoma" w:hAnsi="Tahoma" w:cs="Tahoma"/>
      <w:b/>
      <w:bCs/>
      <w:sz w:val="22"/>
      <w:szCs w:val="22"/>
    </w:rPr>
  </w:style>
  <w:style w:type="paragraph" w:styleId="Sangradetextonormal">
    <w:name w:val="Body Text Indent"/>
    <w:basedOn w:val="Normal"/>
    <w:link w:val="SangradetextonormalCar"/>
    <w:uiPriority w:val="99"/>
    <w:semiHidden/>
    <w:unhideWhenUsed/>
    <w:rsid w:val="006E785B"/>
    <w:pPr>
      <w:spacing w:after="120"/>
      <w:ind w:left="283"/>
    </w:pPr>
  </w:style>
  <w:style w:type="character" w:customStyle="1" w:styleId="SangradetextonormalCar">
    <w:name w:val="Sangría de texto normal Car"/>
    <w:basedOn w:val="Fuentedeprrafopredeter"/>
    <w:link w:val="Sangradetextonormal"/>
    <w:uiPriority w:val="99"/>
    <w:semiHidden/>
    <w:rsid w:val="006E785B"/>
    <w:rPr>
      <w:rFonts w:ascii="Tahoma" w:hAnsi="Tahoma"/>
      <w:szCs w:val="22"/>
    </w:rPr>
  </w:style>
  <w:style w:type="table" w:customStyle="1" w:styleId="Tablaconcuadrcula1">
    <w:name w:val="Tabla con cuadrícula1"/>
    <w:basedOn w:val="Tablanormal"/>
    <w:next w:val="Tablaconcuadrcula"/>
    <w:rsid w:val="00B33A2C"/>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080F5A"/>
    <w:rPr>
      <w:b/>
      <w:bCs/>
    </w:rPr>
  </w:style>
  <w:style w:type="character" w:customStyle="1" w:styleId="AsuntodelcomentarioCar">
    <w:name w:val="Asunto del comentario Car"/>
    <w:basedOn w:val="TextocomentarioCar"/>
    <w:link w:val="Asuntodelcomentario"/>
    <w:uiPriority w:val="99"/>
    <w:semiHidden/>
    <w:rsid w:val="00080F5A"/>
    <w:rPr>
      <w:rFonts w:ascii="Tahoma" w:hAnsi="Tahoma"/>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2814">
      <w:bodyDiv w:val="1"/>
      <w:marLeft w:val="0"/>
      <w:marRight w:val="0"/>
      <w:marTop w:val="0"/>
      <w:marBottom w:val="0"/>
      <w:divBdr>
        <w:top w:val="none" w:sz="0" w:space="0" w:color="auto"/>
        <w:left w:val="none" w:sz="0" w:space="0" w:color="auto"/>
        <w:bottom w:val="none" w:sz="0" w:space="0" w:color="auto"/>
        <w:right w:val="none" w:sz="0" w:space="0" w:color="auto"/>
      </w:divBdr>
    </w:div>
    <w:div w:id="82529595">
      <w:bodyDiv w:val="1"/>
      <w:marLeft w:val="0"/>
      <w:marRight w:val="0"/>
      <w:marTop w:val="0"/>
      <w:marBottom w:val="0"/>
      <w:divBdr>
        <w:top w:val="none" w:sz="0" w:space="0" w:color="auto"/>
        <w:left w:val="none" w:sz="0" w:space="0" w:color="auto"/>
        <w:bottom w:val="none" w:sz="0" w:space="0" w:color="auto"/>
        <w:right w:val="none" w:sz="0" w:space="0" w:color="auto"/>
      </w:divBdr>
    </w:div>
    <w:div w:id="86118278">
      <w:bodyDiv w:val="1"/>
      <w:marLeft w:val="0"/>
      <w:marRight w:val="0"/>
      <w:marTop w:val="0"/>
      <w:marBottom w:val="0"/>
      <w:divBdr>
        <w:top w:val="none" w:sz="0" w:space="0" w:color="auto"/>
        <w:left w:val="none" w:sz="0" w:space="0" w:color="auto"/>
        <w:bottom w:val="none" w:sz="0" w:space="0" w:color="auto"/>
        <w:right w:val="none" w:sz="0" w:space="0" w:color="auto"/>
      </w:divBdr>
    </w:div>
    <w:div w:id="248348384">
      <w:bodyDiv w:val="1"/>
      <w:marLeft w:val="0"/>
      <w:marRight w:val="0"/>
      <w:marTop w:val="0"/>
      <w:marBottom w:val="0"/>
      <w:divBdr>
        <w:top w:val="none" w:sz="0" w:space="0" w:color="auto"/>
        <w:left w:val="none" w:sz="0" w:space="0" w:color="auto"/>
        <w:bottom w:val="none" w:sz="0" w:space="0" w:color="auto"/>
        <w:right w:val="none" w:sz="0" w:space="0" w:color="auto"/>
      </w:divBdr>
    </w:div>
    <w:div w:id="256640102">
      <w:bodyDiv w:val="1"/>
      <w:marLeft w:val="0"/>
      <w:marRight w:val="0"/>
      <w:marTop w:val="0"/>
      <w:marBottom w:val="0"/>
      <w:divBdr>
        <w:top w:val="none" w:sz="0" w:space="0" w:color="auto"/>
        <w:left w:val="none" w:sz="0" w:space="0" w:color="auto"/>
        <w:bottom w:val="none" w:sz="0" w:space="0" w:color="auto"/>
        <w:right w:val="none" w:sz="0" w:space="0" w:color="auto"/>
      </w:divBdr>
    </w:div>
    <w:div w:id="343359403">
      <w:bodyDiv w:val="1"/>
      <w:marLeft w:val="0"/>
      <w:marRight w:val="0"/>
      <w:marTop w:val="0"/>
      <w:marBottom w:val="0"/>
      <w:divBdr>
        <w:top w:val="none" w:sz="0" w:space="0" w:color="auto"/>
        <w:left w:val="none" w:sz="0" w:space="0" w:color="auto"/>
        <w:bottom w:val="none" w:sz="0" w:space="0" w:color="auto"/>
        <w:right w:val="none" w:sz="0" w:space="0" w:color="auto"/>
      </w:divBdr>
    </w:div>
    <w:div w:id="698891555">
      <w:bodyDiv w:val="1"/>
      <w:marLeft w:val="0"/>
      <w:marRight w:val="0"/>
      <w:marTop w:val="0"/>
      <w:marBottom w:val="0"/>
      <w:divBdr>
        <w:top w:val="none" w:sz="0" w:space="0" w:color="auto"/>
        <w:left w:val="none" w:sz="0" w:space="0" w:color="auto"/>
        <w:bottom w:val="none" w:sz="0" w:space="0" w:color="auto"/>
        <w:right w:val="none" w:sz="0" w:space="0" w:color="auto"/>
      </w:divBdr>
    </w:div>
    <w:div w:id="806774583">
      <w:bodyDiv w:val="1"/>
      <w:marLeft w:val="0"/>
      <w:marRight w:val="0"/>
      <w:marTop w:val="0"/>
      <w:marBottom w:val="0"/>
      <w:divBdr>
        <w:top w:val="none" w:sz="0" w:space="0" w:color="auto"/>
        <w:left w:val="none" w:sz="0" w:space="0" w:color="auto"/>
        <w:bottom w:val="none" w:sz="0" w:space="0" w:color="auto"/>
        <w:right w:val="none" w:sz="0" w:space="0" w:color="auto"/>
      </w:divBdr>
    </w:div>
    <w:div w:id="837304134">
      <w:bodyDiv w:val="1"/>
      <w:marLeft w:val="0"/>
      <w:marRight w:val="0"/>
      <w:marTop w:val="0"/>
      <w:marBottom w:val="0"/>
      <w:divBdr>
        <w:top w:val="none" w:sz="0" w:space="0" w:color="auto"/>
        <w:left w:val="none" w:sz="0" w:space="0" w:color="auto"/>
        <w:bottom w:val="none" w:sz="0" w:space="0" w:color="auto"/>
        <w:right w:val="none" w:sz="0" w:space="0" w:color="auto"/>
      </w:divBdr>
    </w:div>
    <w:div w:id="903025219">
      <w:bodyDiv w:val="1"/>
      <w:marLeft w:val="0"/>
      <w:marRight w:val="0"/>
      <w:marTop w:val="0"/>
      <w:marBottom w:val="0"/>
      <w:divBdr>
        <w:top w:val="none" w:sz="0" w:space="0" w:color="auto"/>
        <w:left w:val="none" w:sz="0" w:space="0" w:color="auto"/>
        <w:bottom w:val="none" w:sz="0" w:space="0" w:color="auto"/>
        <w:right w:val="none" w:sz="0" w:space="0" w:color="auto"/>
      </w:divBdr>
    </w:div>
    <w:div w:id="1102844272">
      <w:bodyDiv w:val="1"/>
      <w:marLeft w:val="0"/>
      <w:marRight w:val="0"/>
      <w:marTop w:val="0"/>
      <w:marBottom w:val="0"/>
      <w:divBdr>
        <w:top w:val="none" w:sz="0" w:space="0" w:color="auto"/>
        <w:left w:val="none" w:sz="0" w:space="0" w:color="auto"/>
        <w:bottom w:val="none" w:sz="0" w:space="0" w:color="auto"/>
        <w:right w:val="none" w:sz="0" w:space="0" w:color="auto"/>
      </w:divBdr>
    </w:div>
    <w:div w:id="1126582235">
      <w:bodyDiv w:val="1"/>
      <w:marLeft w:val="0"/>
      <w:marRight w:val="0"/>
      <w:marTop w:val="0"/>
      <w:marBottom w:val="0"/>
      <w:divBdr>
        <w:top w:val="none" w:sz="0" w:space="0" w:color="auto"/>
        <w:left w:val="none" w:sz="0" w:space="0" w:color="auto"/>
        <w:bottom w:val="none" w:sz="0" w:space="0" w:color="auto"/>
        <w:right w:val="none" w:sz="0" w:space="0" w:color="auto"/>
      </w:divBdr>
    </w:div>
    <w:div w:id="1154563280">
      <w:bodyDiv w:val="1"/>
      <w:marLeft w:val="0"/>
      <w:marRight w:val="0"/>
      <w:marTop w:val="0"/>
      <w:marBottom w:val="0"/>
      <w:divBdr>
        <w:top w:val="none" w:sz="0" w:space="0" w:color="auto"/>
        <w:left w:val="none" w:sz="0" w:space="0" w:color="auto"/>
        <w:bottom w:val="none" w:sz="0" w:space="0" w:color="auto"/>
        <w:right w:val="none" w:sz="0" w:space="0" w:color="auto"/>
      </w:divBdr>
    </w:div>
    <w:div w:id="1185945558">
      <w:bodyDiv w:val="1"/>
      <w:marLeft w:val="0"/>
      <w:marRight w:val="0"/>
      <w:marTop w:val="0"/>
      <w:marBottom w:val="0"/>
      <w:divBdr>
        <w:top w:val="none" w:sz="0" w:space="0" w:color="auto"/>
        <w:left w:val="none" w:sz="0" w:space="0" w:color="auto"/>
        <w:bottom w:val="none" w:sz="0" w:space="0" w:color="auto"/>
        <w:right w:val="none" w:sz="0" w:space="0" w:color="auto"/>
      </w:divBdr>
    </w:div>
    <w:div w:id="1263880981">
      <w:bodyDiv w:val="1"/>
      <w:marLeft w:val="0"/>
      <w:marRight w:val="0"/>
      <w:marTop w:val="0"/>
      <w:marBottom w:val="0"/>
      <w:divBdr>
        <w:top w:val="none" w:sz="0" w:space="0" w:color="auto"/>
        <w:left w:val="none" w:sz="0" w:space="0" w:color="auto"/>
        <w:bottom w:val="none" w:sz="0" w:space="0" w:color="auto"/>
        <w:right w:val="none" w:sz="0" w:space="0" w:color="auto"/>
      </w:divBdr>
    </w:div>
    <w:div w:id="1271739093">
      <w:bodyDiv w:val="1"/>
      <w:marLeft w:val="0"/>
      <w:marRight w:val="0"/>
      <w:marTop w:val="0"/>
      <w:marBottom w:val="0"/>
      <w:divBdr>
        <w:top w:val="none" w:sz="0" w:space="0" w:color="auto"/>
        <w:left w:val="none" w:sz="0" w:space="0" w:color="auto"/>
        <w:bottom w:val="none" w:sz="0" w:space="0" w:color="auto"/>
        <w:right w:val="none" w:sz="0" w:space="0" w:color="auto"/>
      </w:divBdr>
    </w:div>
    <w:div w:id="1357925658">
      <w:bodyDiv w:val="1"/>
      <w:marLeft w:val="0"/>
      <w:marRight w:val="0"/>
      <w:marTop w:val="0"/>
      <w:marBottom w:val="0"/>
      <w:divBdr>
        <w:top w:val="none" w:sz="0" w:space="0" w:color="auto"/>
        <w:left w:val="none" w:sz="0" w:space="0" w:color="auto"/>
        <w:bottom w:val="none" w:sz="0" w:space="0" w:color="auto"/>
        <w:right w:val="none" w:sz="0" w:space="0" w:color="auto"/>
      </w:divBdr>
    </w:div>
    <w:div w:id="1406610838">
      <w:bodyDiv w:val="1"/>
      <w:marLeft w:val="0"/>
      <w:marRight w:val="0"/>
      <w:marTop w:val="0"/>
      <w:marBottom w:val="0"/>
      <w:divBdr>
        <w:top w:val="none" w:sz="0" w:space="0" w:color="auto"/>
        <w:left w:val="none" w:sz="0" w:space="0" w:color="auto"/>
        <w:bottom w:val="none" w:sz="0" w:space="0" w:color="auto"/>
        <w:right w:val="none" w:sz="0" w:space="0" w:color="auto"/>
      </w:divBdr>
    </w:div>
    <w:div w:id="1658532760">
      <w:bodyDiv w:val="1"/>
      <w:marLeft w:val="0"/>
      <w:marRight w:val="0"/>
      <w:marTop w:val="0"/>
      <w:marBottom w:val="0"/>
      <w:divBdr>
        <w:top w:val="none" w:sz="0" w:space="0" w:color="auto"/>
        <w:left w:val="none" w:sz="0" w:space="0" w:color="auto"/>
        <w:bottom w:val="none" w:sz="0" w:space="0" w:color="auto"/>
        <w:right w:val="none" w:sz="0" w:space="0" w:color="auto"/>
      </w:divBdr>
    </w:div>
    <w:div w:id="1684625157">
      <w:bodyDiv w:val="1"/>
      <w:marLeft w:val="0"/>
      <w:marRight w:val="0"/>
      <w:marTop w:val="0"/>
      <w:marBottom w:val="0"/>
      <w:divBdr>
        <w:top w:val="none" w:sz="0" w:space="0" w:color="auto"/>
        <w:left w:val="none" w:sz="0" w:space="0" w:color="auto"/>
        <w:bottom w:val="none" w:sz="0" w:space="0" w:color="auto"/>
        <w:right w:val="none" w:sz="0" w:space="0" w:color="auto"/>
      </w:divBdr>
    </w:div>
    <w:div w:id="177047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D5E7B-8FC0-4581-B37A-406CFC20F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8E8571-C183-41FA-99CE-B768D05788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4C3085-D8D9-4B7D-8E8F-B95F777686A8}">
  <ds:schemaRefs>
    <ds:schemaRef ds:uri="http://schemas.microsoft.com/sharepoint/v3/contenttype/forms"/>
  </ds:schemaRefs>
</ds:datastoreItem>
</file>

<file path=customXml/itemProps4.xml><?xml version="1.0" encoding="utf-8"?>
<ds:datastoreItem xmlns:ds="http://schemas.openxmlformats.org/officeDocument/2006/customXml" ds:itemID="{AD7CC532-9DA4-4059-AD65-8B33CAC10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8147</Words>
  <Characters>44809</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6</cp:revision>
  <dcterms:created xsi:type="dcterms:W3CDTF">2021-07-09T14:31:00Z</dcterms:created>
  <dcterms:modified xsi:type="dcterms:W3CDTF">2021-08-20T15:29:00Z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