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3DED" w14:textId="77777777" w:rsidR="00D55B3D" w:rsidRPr="00D55B3D" w:rsidRDefault="00D55B3D" w:rsidP="00D55B3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D55B3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8A73C3" w14:textId="77777777" w:rsidR="00D55B3D" w:rsidRPr="00D55B3D" w:rsidRDefault="00D55B3D" w:rsidP="00D55B3D">
      <w:pPr>
        <w:spacing w:line="240" w:lineRule="auto"/>
        <w:rPr>
          <w:rFonts w:ascii="Arial" w:eastAsia="Times New Roman" w:hAnsi="Arial" w:cs="Arial"/>
          <w:sz w:val="20"/>
          <w:szCs w:val="20"/>
          <w:lang w:val="es-419" w:eastAsia="es-ES"/>
        </w:rPr>
      </w:pPr>
    </w:p>
    <w:p w14:paraId="06A69BF4" w14:textId="77777777" w:rsidR="00D55B3D" w:rsidRPr="00D55B3D" w:rsidRDefault="00D55B3D" w:rsidP="00D55B3D">
      <w:pPr>
        <w:spacing w:line="240" w:lineRule="auto"/>
        <w:rPr>
          <w:rFonts w:ascii="Arial" w:eastAsia="Times New Roman" w:hAnsi="Arial" w:cs="Arial"/>
          <w:sz w:val="20"/>
          <w:szCs w:val="20"/>
          <w:lang w:val="es-419" w:eastAsia="es-ES"/>
        </w:rPr>
      </w:pPr>
      <w:r w:rsidRPr="00D55B3D">
        <w:rPr>
          <w:rFonts w:ascii="Arial" w:eastAsia="Times New Roman" w:hAnsi="Arial" w:cs="Arial"/>
          <w:sz w:val="20"/>
          <w:szCs w:val="20"/>
          <w:lang w:val="es-419" w:eastAsia="es-ES"/>
        </w:rPr>
        <w:t xml:space="preserve">Radicación No.: </w:t>
      </w:r>
      <w:r w:rsidRPr="00D55B3D">
        <w:rPr>
          <w:rFonts w:ascii="Arial" w:eastAsia="Times New Roman" w:hAnsi="Arial" w:cs="Arial"/>
          <w:sz w:val="20"/>
          <w:szCs w:val="20"/>
          <w:lang w:val="es-419" w:eastAsia="es-ES"/>
        </w:rPr>
        <w:tab/>
        <w:t>66001-31-05-005-2019-00050-01</w:t>
      </w:r>
    </w:p>
    <w:p w14:paraId="40B99045" w14:textId="77777777" w:rsidR="00D55B3D" w:rsidRPr="00D55B3D" w:rsidRDefault="00D55B3D" w:rsidP="00D55B3D">
      <w:pPr>
        <w:spacing w:line="240" w:lineRule="auto"/>
        <w:rPr>
          <w:rFonts w:ascii="Arial" w:eastAsia="Times New Roman" w:hAnsi="Arial" w:cs="Arial"/>
          <w:sz w:val="20"/>
          <w:szCs w:val="20"/>
          <w:lang w:val="es-419" w:eastAsia="es-ES"/>
        </w:rPr>
      </w:pPr>
      <w:r w:rsidRPr="00D55B3D">
        <w:rPr>
          <w:rFonts w:ascii="Arial" w:eastAsia="Times New Roman" w:hAnsi="Arial" w:cs="Arial"/>
          <w:sz w:val="20"/>
          <w:szCs w:val="20"/>
          <w:lang w:val="es-419" w:eastAsia="es-ES"/>
        </w:rPr>
        <w:t xml:space="preserve">Proceso: </w:t>
      </w:r>
      <w:r w:rsidRPr="00D55B3D">
        <w:rPr>
          <w:rFonts w:ascii="Arial" w:eastAsia="Times New Roman" w:hAnsi="Arial" w:cs="Arial"/>
          <w:sz w:val="20"/>
          <w:szCs w:val="20"/>
          <w:lang w:val="es-419" w:eastAsia="es-ES"/>
        </w:rPr>
        <w:tab/>
      </w:r>
      <w:r w:rsidRPr="00D55B3D">
        <w:rPr>
          <w:rFonts w:ascii="Arial" w:eastAsia="Times New Roman" w:hAnsi="Arial" w:cs="Arial"/>
          <w:sz w:val="20"/>
          <w:szCs w:val="20"/>
          <w:lang w:val="es-419" w:eastAsia="es-ES"/>
        </w:rPr>
        <w:tab/>
        <w:t xml:space="preserve">Ordinario Laboral </w:t>
      </w:r>
    </w:p>
    <w:p w14:paraId="29E07C7D" w14:textId="77777777" w:rsidR="00D55B3D" w:rsidRPr="00D55B3D" w:rsidRDefault="00D55B3D" w:rsidP="00D55B3D">
      <w:pPr>
        <w:spacing w:line="240" w:lineRule="auto"/>
        <w:rPr>
          <w:rFonts w:ascii="Arial" w:eastAsia="Times New Roman" w:hAnsi="Arial" w:cs="Arial"/>
          <w:sz w:val="20"/>
          <w:szCs w:val="20"/>
          <w:lang w:val="es-419" w:eastAsia="es-ES"/>
        </w:rPr>
      </w:pPr>
      <w:r w:rsidRPr="00D55B3D">
        <w:rPr>
          <w:rFonts w:ascii="Arial" w:eastAsia="Times New Roman" w:hAnsi="Arial" w:cs="Arial"/>
          <w:sz w:val="20"/>
          <w:szCs w:val="20"/>
          <w:lang w:val="es-419" w:eastAsia="es-ES"/>
        </w:rPr>
        <w:t xml:space="preserve">Demandante: </w:t>
      </w:r>
      <w:r w:rsidRPr="00D55B3D">
        <w:rPr>
          <w:rFonts w:ascii="Arial" w:eastAsia="Times New Roman" w:hAnsi="Arial" w:cs="Arial"/>
          <w:sz w:val="20"/>
          <w:szCs w:val="20"/>
          <w:lang w:val="es-419" w:eastAsia="es-ES"/>
        </w:rPr>
        <w:tab/>
      </w:r>
      <w:r w:rsidRPr="00D55B3D">
        <w:rPr>
          <w:rFonts w:ascii="Arial" w:eastAsia="Times New Roman" w:hAnsi="Arial" w:cs="Arial"/>
          <w:sz w:val="20"/>
          <w:szCs w:val="20"/>
          <w:lang w:val="es-419" w:eastAsia="es-ES"/>
        </w:rPr>
        <w:tab/>
        <w:t>María Teresa Rivera Herrera</w:t>
      </w:r>
    </w:p>
    <w:p w14:paraId="24147D96" w14:textId="77777777" w:rsidR="00D55B3D" w:rsidRPr="00D55B3D" w:rsidRDefault="00D55B3D" w:rsidP="00D55B3D">
      <w:pPr>
        <w:spacing w:line="240" w:lineRule="auto"/>
        <w:rPr>
          <w:rFonts w:ascii="Arial" w:eastAsia="Times New Roman" w:hAnsi="Arial" w:cs="Arial"/>
          <w:sz w:val="20"/>
          <w:szCs w:val="20"/>
          <w:lang w:val="es-419" w:eastAsia="es-ES"/>
        </w:rPr>
      </w:pPr>
      <w:r w:rsidRPr="00D55B3D">
        <w:rPr>
          <w:rFonts w:ascii="Arial" w:eastAsia="Times New Roman" w:hAnsi="Arial" w:cs="Arial"/>
          <w:sz w:val="20"/>
          <w:szCs w:val="20"/>
          <w:lang w:val="es-419" w:eastAsia="es-ES"/>
        </w:rPr>
        <w:t xml:space="preserve">Demandado: </w:t>
      </w:r>
      <w:r w:rsidRPr="00D55B3D">
        <w:rPr>
          <w:rFonts w:ascii="Arial" w:eastAsia="Times New Roman" w:hAnsi="Arial" w:cs="Arial"/>
          <w:sz w:val="20"/>
          <w:szCs w:val="20"/>
          <w:lang w:val="es-419" w:eastAsia="es-ES"/>
        </w:rPr>
        <w:tab/>
      </w:r>
      <w:r w:rsidRPr="00D55B3D">
        <w:rPr>
          <w:rFonts w:ascii="Arial" w:eastAsia="Times New Roman" w:hAnsi="Arial" w:cs="Arial"/>
          <w:sz w:val="20"/>
          <w:szCs w:val="20"/>
          <w:lang w:val="es-419" w:eastAsia="es-ES"/>
        </w:rPr>
        <w:tab/>
        <w:t>Colpensiones</w:t>
      </w:r>
    </w:p>
    <w:p w14:paraId="6487AEF8" w14:textId="4122A37B" w:rsidR="00D55B3D" w:rsidRPr="00D55B3D" w:rsidRDefault="00D55B3D" w:rsidP="00D55B3D">
      <w:pPr>
        <w:spacing w:line="240" w:lineRule="auto"/>
        <w:rPr>
          <w:rFonts w:ascii="Arial" w:eastAsia="Times New Roman" w:hAnsi="Arial" w:cs="Arial"/>
          <w:sz w:val="20"/>
          <w:szCs w:val="20"/>
          <w:lang w:val="es-419" w:eastAsia="es-ES"/>
        </w:rPr>
      </w:pPr>
      <w:r w:rsidRPr="00D55B3D">
        <w:rPr>
          <w:rFonts w:ascii="Arial" w:eastAsia="Times New Roman" w:hAnsi="Arial" w:cs="Arial"/>
          <w:sz w:val="20"/>
          <w:szCs w:val="20"/>
          <w:lang w:val="es-419" w:eastAsia="es-ES"/>
        </w:rPr>
        <w:t xml:space="preserve">Juzgado: </w:t>
      </w:r>
      <w:r w:rsidRPr="00D55B3D">
        <w:rPr>
          <w:rFonts w:ascii="Arial" w:eastAsia="Times New Roman" w:hAnsi="Arial" w:cs="Arial"/>
          <w:sz w:val="20"/>
          <w:szCs w:val="20"/>
          <w:lang w:val="es-419" w:eastAsia="es-ES"/>
        </w:rPr>
        <w:tab/>
      </w:r>
      <w:r w:rsidRPr="00D55B3D">
        <w:rPr>
          <w:rFonts w:ascii="Arial" w:eastAsia="Times New Roman" w:hAnsi="Arial" w:cs="Arial"/>
          <w:sz w:val="20"/>
          <w:szCs w:val="20"/>
          <w:lang w:val="es-419" w:eastAsia="es-ES"/>
        </w:rPr>
        <w:tab/>
        <w:t>Quinto Laboral del Circuito de Pereira</w:t>
      </w:r>
    </w:p>
    <w:p w14:paraId="44504399" w14:textId="77777777" w:rsidR="00D55B3D" w:rsidRPr="00D55B3D" w:rsidRDefault="00D55B3D" w:rsidP="00D55B3D">
      <w:pPr>
        <w:spacing w:line="240" w:lineRule="auto"/>
        <w:rPr>
          <w:rFonts w:ascii="Arial" w:eastAsia="Times New Roman" w:hAnsi="Arial" w:cs="Arial"/>
          <w:sz w:val="20"/>
          <w:szCs w:val="20"/>
          <w:lang w:val="es-419" w:eastAsia="es-ES"/>
        </w:rPr>
      </w:pPr>
    </w:p>
    <w:p w14:paraId="563E26D0" w14:textId="6A3F4E0B" w:rsidR="00D55B3D" w:rsidRPr="00D55B3D" w:rsidRDefault="00D55B3D" w:rsidP="00D55B3D">
      <w:pPr>
        <w:spacing w:line="240" w:lineRule="auto"/>
        <w:rPr>
          <w:rFonts w:ascii="Arial" w:eastAsia="Times New Roman" w:hAnsi="Arial" w:cs="Arial"/>
          <w:b/>
          <w:bCs/>
          <w:iCs/>
          <w:sz w:val="20"/>
          <w:szCs w:val="20"/>
          <w:lang w:val="es-419" w:eastAsia="fr-FR"/>
        </w:rPr>
      </w:pPr>
      <w:r w:rsidRPr="00D55B3D">
        <w:rPr>
          <w:rFonts w:ascii="Arial" w:eastAsia="Times New Roman" w:hAnsi="Arial" w:cs="Arial"/>
          <w:b/>
          <w:bCs/>
          <w:iCs/>
          <w:sz w:val="20"/>
          <w:szCs w:val="20"/>
          <w:u w:val="single"/>
          <w:lang w:val="es-419" w:eastAsia="fr-FR"/>
        </w:rPr>
        <w:t>TEMAS:</w:t>
      </w:r>
      <w:r w:rsidRPr="00D55B3D">
        <w:rPr>
          <w:rFonts w:ascii="Arial" w:eastAsia="Times New Roman" w:hAnsi="Arial" w:cs="Arial"/>
          <w:b/>
          <w:bCs/>
          <w:iCs/>
          <w:sz w:val="20"/>
          <w:szCs w:val="20"/>
          <w:lang w:val="es-419" w:eastAsia="fr-FR"/>
        </w:rPr>
        <w:tab/>
      </w:r>
      <w:r w:rsidR="00A46B97">
        <w:rPr>
          <w:rFonts w:ascii="Arial" w:eastAsia="Times New Roman" w:hAnsi="Arial" w:cs="Arial"/>
          <w:b/>
          <w:bCs/>
          <w:iCs/>
          <w:sz w:val="20"/>
          <w:szCs w:val="20"/>
          <w:lang w:val="es-419" w:eastAsia="fr-FR"/>
        </w:rPr>
        <w:t xml:space="preserve">PENSIÓN DE SOBREVIVIENTES / CÓNYUGE SEPARADA DE HECHO </w:t>
      </w:r>
      <w:r w:rsidRPr="00D55B3D">
        <w:rPr>
          <w:rFonts w:ascii="Arial" w:eastAsia="Times New Roman" w:hAnsi="Arial" w:cs="Arial"/>
          <w:b/>
          <w:bCs/>
          <w:iCs/>
          <w:sz w:val="20"/>
          <w:szCs w:val="20"/>
          <w:lang w:val="es-419" w:eastAsia="fr-FR"/>
        </w:rPr>
        <w:t xml:space="preserve">/ </w:t>
      </w:r>
      <w:r w:rsidR="00A46B97">
        <w:rPr>
          <w:rFonts w:ascii="Arial" w:eastAsia="Times New Roman" w:hAnsi="Arial" w:cs="Arial"/>
          <w:b/>
          <w:bCs/>
          <w:iCs/>
          <w:sz w:val="20"/>
          <w:szCs w:val="20"/>
          <w:lang w:val="es-419" w:eastAsia="fr-FR"/>
        </w:rPr>
        <w:t xml:space="preserve">REQUISITOS / CONVIVENCIA / CINCO AÑOS EN CUALQUIER </w:t>
      </w:r>
      <w:r w:rsidR="004C39AB">
        <w:rPr>
          <w:rFonts w:ascii="Arial" w:eastAsia="Times New Roman" w:hAnsi="Arial" w:cs="Arial"/>
          <w:b/>
          <w:bCs/>
          <w:iCs/>
          <w:sz w:val="20"/>
          <w:szCs w:val="20"/>
          <w:lang w:val="es-419" w:eastAsia="fr-FR"/>
        </w:rPr>
        <w:t>TIEMPO</w:t>
      </w:r>
      <w:r w:rsidR="00A46B97">
        <w:rPr>
          <w:rFonts w:ascii="Arial" w:eastAsia="Times New Roman" w:hAnsi="Arial" w:cs="Arial"/>
          <w:b/>
          <w:bCs/>
          <w:iCs/>
          <w:sz w:val="20"/>
          <w:szCs w:val="20"/>
          <w:lang w:val="es-419" w:eastAsia="fr-FR"/>
        </w:rPr>
        <w:t xml:space="preserve"> / </w:t>
      </w:r>
      <w:r w:rsidR="004C39AB">
        <w:rPr>
          <w:rFonts w:ascii="Arial" w:eastAsia="Times New Roman" w:hAnsi="Arial" w:cs="Arial"/>
          <w:b/>
          <w:bCs/>
          <w:iCs/>
          <w:sz w:val="20"/>
          <w:szCs w:val="20"/>
          <w:lang w:val="es-419" w:eastAsia="fr-FR"/>
        </w:rPr>
        <w:t>PAGO DE RETROACTIVO / INTERESES DE MORA.</w:t>
      </w:r>
    </w:p>
    <w:p w14:paraId="2963D86C" w14:textId="77777777" w:rsidR="00D55B3D" w:rsidRPr="00D55B3D" w:rsidRDefault="00D55B3D" w:rsidP="00D55B3D">
      <w:pPr>
        <w:spacing w:line="240" w:lineRule="auto"/>
        <w:rPr>
          <w:rFonts w:ascii="Arial" w:eastAsia="Times New Roman" w:hAnsi="Arial" w:cs="Arial"/>
          <w:sz w:val="20"/>
          <w:szCs w:val="20"/>
          <w:lang w:val="es-419" w:eastAsia="es-ES"/>
        </w:rPr>
      </w:pPr>
    </w:p>
    <w:p w14:paraId="7B9768F0" w14:textId="044D23B9" w:rsidR="009F6526" w:rsidRPr="009F6526" w:rsidRDefault="009F6526" w:rsidP="009F6526">
      <w:pPr>
        <w:spacing w:line="240" w:lineRule="auto"/>
        <w:rPr>
          <w:rFonts w:ascii="Arial" w:eastAsia="Times New Roman" w:hAnsi="Arial" w:cs="Arial"/>
          <w:sz w:val="20"/>
          <w:szCs w:val="20"/>
          <w:lang w:val="es-419" w:eastAsia="es-ES"/>
        </w:rPr>
      </w:pPr>
      <w:r w:rsidRPr="009F6526">
        <w:rPr>
          <w:rFonts w:ascii="Arial" w:eastAsia="Times New Roman" w:hAnsi="Arial" w:cs="Arial"/>
          <w:sz w:val="20"/>
          <w:szCs w:val="20"/>
          <w:lang w:val="es-419" w:eastAsia="es-ES"/>
        </w:rPr>
        <w:t xml:space="preserve">A efectos de exponer el criterio actual de la Sala de Casación Laboral de la Corte Suprema de Justicia, frente a la calidad de beneficiarias de los o las cónyuges separadas de hecho, con un vínculo matrimonial vigente, se trae a colación la sentencia SL1399 de 2018, en la cual dicha Magistratura planteó lo siguiente: </w:t>
      </w:r>
    </w:p>
    <w:p w14:paraId="7AA1BBCA" w14:textId="77777777" w:rsidR="009F6526" w:rsidRPr="009F6526" w:rsidRDefault="009F6526" w:rsidP="009F6526">
      <w:pPr>
        <w:spacing w:line="240" w:lineRule="auto"/>
        <w:rPr>
          <w:rFonts w:ascii="Arial" w:eastAsia="Times New Roman" w:hAnsi="Arial" w:cs="Arial"/>
          <w:sz w:val="20"/>
          <w:szCs w:val="20"/>
          <w:lang w:val="es-419" w:eastAsia="es-ES"/>
        </w:rPr>
      </w:pPr>
    </w:p>
    <w:p w14:paraId="29AE3749" w14:textId="77777777" w:rsidR="009F6526" w:rsidRPr="009F6526" w:rsidRDefault="009F6526" w:rsidP="009F6526">
      <w:pPr>
        <w:spacing w:line="240" w:lineRule="auto"/>
        <w:rPr>
          <w:rFonts w:ascii="Arial" w:eastAsia="Times New Roman" w:hAnsi="Arial" w:cs="Arial"/>
          <w:sz w:val="20"/>
          <w:szCs w:val="20"/>
          <w:lang w:val="es-419" w:eastAsia="es-ES"/>
        </w:rPr>
      </w:pPr>
      <w:r w:rsidRPr="009F6526">
        <w:rPr>
          <w:rFonts w:ascii="Arial" w:eastAsia="Times New Roman" w:hAnsi="Arial" w:cs="Arial"/>
          <w:sz w:val="20"/>
          <w:szCs w:val="20"/>
          <w:lang w:val="es-419" w:eastAsia="es-ES"/>
        </w:rPr>
        <w:t xml:space="preserve">“En tratándose de la relación del afiliado o pensionado con su cónyuge, esta Corporación ha defendido el criterio según el cual la convivencia por un lapso no inferior a 5 años puede ocurrir en cualquier tiempo, siempre que el vínculo matrimonial se mantenga intacto. </w:t>
      </w:r>
    </w:p>
    <w:p w14:paraId="1B8BAB96" w14:textId="77777777" w:rsidR="009F6526" w:rsidRPr="009F6526" w:rsidRDefault="009F6526" w:rsidP="009F6526">
      <w:pPr>
        <w:spacing w:line="240" w:lineRule="auto"/>
        <w:rPr>
          <w:rFonts w:ascii="Arial" w:eastAsia="Times New Roman" w:hAnsi="Arial" w:cs="Arial"/>
          <w:sz w:val="20"/>
          <w:szCs w:val="20"/>
          <w:lang w:val="es-419" w:eastAsia="es-ES"/>
        </w:rPr>
      </w:pPr>
    </w:p>
    <w:p w14:paraId="76727F6C" w14:textId="58425895" w:rsidR="00D55B3D" w:rsidRPr="00D55B3D" w:rsidRDefault="009F6526" w:rsidP="009F6526">
      <w:pPr>
        <w:spacing w:line="240" w:lineRule="auto"/>
        <w:rPr>
          <w:rFonts w:ascii="Arial" w:eastAsia="Times New Roman" w:hAnsi="Arial" w:cs="Arial"/>
          <w:sz w:val="20"/>
          <w:szCs w:val="20"/>
          <w:lang w:val="es-419" w:eastAsia="es-ES"/>
        </w:rPr>
      </w:pPr>
      <w:r w:rsidRPr="009F6526">
        <w:rPr>
          <w:rFonts w:ascii="Arial" w:eastAsia="Times New Roman" w:hAnsi="Arial" w:cs="Arial"/>
          <w:sz w:val="20"/>
          <w:szCs w:val="20"/>
          <w:lang w:val="es-419" w:eastAsia="es-ES"/>
        </w:rPr>
        <w:t>En efecto, a partir de la sentencia SL, 24 en. 2012, rad. 41637, esta Sala planteó que el cónyuge con unión matrimonial vigente, independientemente de si se encuentra separado de hecho o no de su consorte, puede reclamar legítimamente la pensión de sobrevivientes por su fallecimiento, siempre que hubiese convivido con el (la) causante durante un interregno no inferior a 5 años, en cualquier tiempo.”</w:t>
      </w:r>
    </w:p>
    <w:p w14:paraId="218F4A6C" w14:textId="77777777" w:rsidR="00D55B3D" w:rsidRPr="00D55B3D" w:rsidRDefault="00D55B3D" w:rsidP="00D55B3D">
      <w:pPr>
        <w:spacing w:line="240" w:lineRule="auto"/>
        <w:rPr>
          <w:rFonts w:ascii="Arial" w:eastAsia="Times New Roman" w:hAnsi="Arial" w:cs="Arial"/>
          <w:sz w:val="20"/>
          <w:szCs w:val="20"/>
          <w:lang w:val="es-419" w:eastAsia="es-ES"/>
        </w:rPr>
      </w:pPr>
    </w:p>
    <w:p w14:paraId="733D5173" w14:textId="143B0127" w:rsidR="00C12250" w:rsidRPr="00C12250" w:rsidRDefault="00C12250" w:rsidP="00C12250">
      <w:pPr>
        <w:spacing w:line="240" w:lineRule="auto"/>
        <w:rPr>
          <w:rFonts w:ascii="Arial" w:eastAsia="Times New Roman" w:hAnsi="Arial" w:cs="Arial"/>
          <w:sz w:val="20"/>
          <w:szCs w:val="20"/>
          <w:lang w:val="es-419" w:eastAsia="es-ES"/>
        </w:rPr>
      </w:pPr>
      <w:r w:rsidRPr="00C12250">
        <w:rPr>
          <w:rFonts w:ascii="Arial" w:eastAsia="Times New Roman" w:hAnsi="Arial" w:cs="Arial"/>
          <w:sz w:val="20"/>
          <w:szCs w:val="20"/>
          <w:lang w:val="es-419" w:eastAsia="es-ES"/>
        </w:rPr>
        <w:t>En lo que respecta a la calidad de beneficiaria que alega la señora María Teresa Rivera, como cónyuge supérstite, se tiene que esta condición quedó probada con el registro de matrimonio allegado con la demanda</w:t>
      </w:r>
      <w:r>
        <w:rPr>
          <w:rFonts w:ascii="Arial" w:eastAsia="Times New Roman" w:hAnsi="Arial" w:cs="Arial"/>
          <w:sz w:val="20"/>
          <w:szCs w:val="20"/>
          <w:lang w:val="es-419" w:eastAsia="es-ES"/>
        </w:rPr>
        <w:t>…</w:t>
      </w:r>
      <w:r w:rsidRPr="00C12250">
        <w:rPr>
          <w:rFonts w:ascii="Arial" w:eastAsia="Times New Roman" w:hAnsi="Arial" w:cs="Arial"/>
          <w:sz w:val="20"/>
          <w:szCs w:val="20"/>
          <w:lang w:val="es-419" w:eastAsia="es-ES"/>
        </w:rPr>
        <w:t xml:space="preserve"> </w:t>
      </w:r>
    </w:p>
    <w:p w14:paraId="126AA636" w14:textId="77777777" w:rsidR="00C12250" w:rsidRPr="00C12250" w:rsidRDefault="00C12250" w:rsidP="00C12250">
      <w:pPr>
        <w:spacing w:line="240" w:lineRule="auto"/>
        <w:rPr>
          <w:rFonts w:ascii="Arial" w:eastAsia="Times New Roman" w:hAnsi="Arial" w:cs="Arial"/>
          <w:sz w:val="20"/>
          <w:szCs w:val="20"/>
          <w:lang w:val="es-419" w:eastAsia="es-ES"/>
        </w:rPr>
      </w:pPr>
    </w:p>
    <w:p w14:paraId="1126D233" w14:textId="4D13974B" w:rsidR="00D55B3D" w:rsidRDefault="00C12250" w:rsidP="00C12250">
      <w:pPr>
        <w:spacing w:line="240" w:lineRule="auto"/>
        <w:rPr>
          <w:rFonts w:ascii="Arial" w:eastAsia="Times New Roman" w:hAnsi="Arial" w:cs="Arial"/>
          <w:sz w:val="20"/>
          <w:szCs w:val="20"/>
          <w:lang w:val="es-419" w:eastAsia="es-ES"/>
        </w:rPr>
      </w:pPr>
      <w:r w:rsidRPr="00C12250">
        <w:rPr>
          <w:rFonts w:ascii="Arial" w:eastAsia="Times New Roman" w:hAnsi="Arial" w:cs="Arial"/>
          <w:sz w:val="20"/>
          <w:szCs w:val="20"/>
          <w:lang w:val="es-419" w:eastAsia="es-ES"/>
        </w:rPr>
        <w:t>Ahora bien, en cuanto a la convivencia mínima de 5 años que exige el artículo 47 de la Ley 100 de 1993 y que, como se plasma en el precedente de la Corte Suprema de Justicia, puede verificarse en cualquier tiempo; al realizar una valoración conjunta de los elementos de convicción, emerge sin vacilación alguna que, como mínimo, la pareja mantuvo una comunidad de vida estable, permanente y firme, desde el momento en que contrajeron matrimonio en febrero del año 1971, hasta cuando ocurrió la separación de facto en el año de 1996.</w:t>
      </w:r>
      <w:r>
        <w:rPr>
          <w:rFonts w:ascii="Arial" w:eastAsia="Times New Roman" w:hAnsi="Arial" w:cs="Arial"/>
          <w:sz w:val="20"/>
          <w:szCs w:val="20"/>
          <w:lang w:val="es-419" w:eastAsia="es-ES"/>
        </w:rPr>
        <w:t xml:space="preserve"> (…)</w:t>
      </w:r>
    </w:p>
    <w:p w14:paraId="039FF35D" w14:textId="2A47E578" w:rsidR="00C12250" w:rsidRDefault="00C12250" w:rsidP="00C12250">
      <w:pPr>
        <w:spacing w:line="240" w:lineRule="auto"/>
        <w:rPr>
          <w:rFonts w:ascii="Arial" w:eastAsia="Times New Roman" w:hAnsi="Arial" w:cs="Arial"/>
          <w:sz w:val="20"/>
          <w:szCs w:val="20"/>
          <w:lang w:val="es-419" w:eastAsia="es-ES"/>
        </w:rPr>
      </w:pPr>
    </w:p>
    <w:p w14:paraId="233AE64A" w14:textId="31A4175E" w:rsidR="00C12250" w:rsidRPr="00D55B3D" w:rsidRDefault="000F7716" w:rsidP="00C12250">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F7716">
        <w:rPr>
          <w:rFonts w:ascii="Arial" w:eastAsia="Times New Roman" w:hAnsi="Arial" w:cs="Arial"/>
          <w:sz w:val="20"/>
          <w:szCs w:val="20"/>
          <w:lang w:val="es-419" w:eastAsia="es-ES"/>
        </w:rPr>
        <w:t xml:space="preserve">dado que Colpensiones publicó el edicto </w:t>
      </w:r>
      <w:proofErr w:type="spellStart"/>
      <w:r w:rsidRPr="000F7716">
        <w:rPr>
          <w:rFonts w:ascii="Arial" w:eastAsia="Times New Roman" w:hAnsi="Arial" w:cs="Arial"/>
          <w:sz w:val="20"/>
          <w:szCs w:val="20"/>
          <w:lang w:val="es-419" w:eastAsia="es-ES"/>
        </w:rPr>
        <w:t>emplazatorio</w:t>
      </w:r>
      <w:proofErr w:type="spellEnd"/>
      <w:r w:rsidRPr="000F7716">
        <w:rPr>
          <w:rFonts w:ascii="Arial" w:eastAsia="Times New Roman" w:hAnsi="Arial" w:cs="Arial"/>
          <w:sz w:val="20"/>
          <w:szCs w:val="20"/>
          <w:lang w:val="es-419" w:eastAsia="es-ES"/>
        </w:rPr>
        <w:t xml:space="preserve"> el 17 de marzo de 2017 y que la demandante no compareció tempestivamente, sino que lo hizo el 21 de noviembre de 2017, cuando ya le había sido reconocida la prestación a la señora María Otilia Franco García a través de la Resolución SUB, es esta última quien debe cancelar a la actora los valores generados entre el 25 de enero de 2017 y el 20 de noviembre de 2017, los cuales equivalen a $7.746.029.</w:t>
      </w:r>
      <w:r w:rsidR="0073725A">
        <w:rPr>
          <w:rFonts w:ascii="Arial" w:eastAsia="Times New Roman" w:hAnsi="Arial" w:cs="Arial"/>
          <w:sz w:val="20"/>
          <w:szCs w:val="20"/>
          <w:lang w:val="es-419" w:eastAsia="es-ES"/>
        </w:rPr>
        <w:t xml:space="preserve"> </w:t>
      </w:r>
    </w:p>
    <w:p w14:paraId="195AB483" w14:textId="77777777" w:rsidR="00D55B3D" w:rsidRPr="00D55B3D" w:rsidRDefault="00D55B3D" w:rsidP="00D55B3D">
      <w:pPr>
        <w:spacing w:line="240" w:lineRule="auto"/>
        <w:rPr>
          <w:rFonts w:ascii="Arial" w:eastAsia="Times New Roman" w:hAnsi="Arial" w:cs="Arial"/>
          <w:sz w:val="20"/>
          <w:szCs w:val="20"/>
          <w:lang w:val="es-419" w:eastAsia="es-ES"/>
        </w:rPr>
      </w:pPr>
    </w:p>
    <w:p w14:paraId="47CBD217" w14:textId="26214930" w:rsidR="00D55B3D" w:rsidRPr="00D55B3D" w:rsidRDefault="0073725A" w:rsidP="00D55B3D">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3725A">
        <w:rPr>
          <w:rFonts w:ascii="Arial" w:eastAsia="Times New Roman" w:hAnsi="Arial" w:cs="Arial"/>
          <w:sz w:val="20"/>
          <w:szCs w:val="20"/>
          <w:lang w:val="es-419" w:eastAsia="es-ES"/>
        </w:rPr>
        <w:t>atendiendo el precedente de la Sala de Casación Laboral de la Corte Suprema de Justicia, considera la Sala que tampoco son procedentes los intereses moratorios sobre las mesadas a que tiene derecho la demandante toda vez que, cuando la entidad pensional resolvió la solicitud de reconocimiento, la decisión adoptada estuvo acorde con el precedente sentado en la sentencia CSJ SL12442 de 2015, en la cual se decía que el amparo a la cónyuge separada de hecho únicamente era concebible cuando había mantenido vivo y actuante el vínculo de familia con el causante</w:t>
      </w:r>
      <w:r>
        <w:rPr>
          <w:rFonts w:ascii="Arial" w:eastAsia="Times New Roman" w:hAnsi="Arial" w:cs="Arial"/>
          <w:sz w:val="20"/>
          <w:szCs w:val="20"/>
          <w:lang w:val="es-419" w:eastAsia="es-ES"/>
        </w:rPr>
        <w:t>…</w:t>
      </w:r>
    </w:p>
    <w:p w14:paraId="7147A7A6" w14:textId="77777777" w:rsidR="00D55B3D" w:rsidRPr="00D55B3D" w:rsidRDefault="00D55B3D" w:rsidP="00D55B3D">
      <w:pPr>
        <w:spacing w:line="240" w:lineRule="auto"/>
        <w:rPr>
          <w:rFonts w:ascii="Arial" w:eastAsia="Times New Roman" w:hAnsi="Arial" w:cs="Arial"/>
          <w:sz w:val="20"/>
          <w:szCs w:val="20"/>
          <w:lang w:eastAsia="es-ES"/>
        </w:rPr>
      </w:pPr>
    </w:p>
    <w:p w14:paraId="64F78FB3" w14:textId="77777777" w:rsidR="00D55B3D" w:rsidRPr="00D55B3D" w:rsidRDefault="00D55B3D" w:rsidP="00D55B3D">
      <w:pPr>
        <w:spacing w:line="240" w:lineRule="auto"/>
        <w:rPr>
          <w:rFonts w:ascii="Arial" w:eastAsia="Times New Roman" w:hAnsi="Arial" w:cs="Arial"/>
          <w:sz w:val="20"/>
          <w:szCs w:val="20"/>
          <w:lang w:eastAsia="es-ES"/>
        </w:rPr>
      </w:pPr>
    </w:p>
    <w:p w14:paraId="0850C4BC" w14:textId="77777777" w:rsidR="00D55B3D" w:rsidRPr="00D55B3D" w:rsidRDefault="00D55B3D" w:rsidP="00D55B3D">
      <w:pPr>
        <w:spacing w:line="240" w:lineRule="auto"/>
        <w:rPr>
          <w:rFonts w:ascii="Arial" w:eastAsia="Times New Roman" w:hAnsi="Arial" w:cs="Arial"/>
          <w:sz w:val="20"/>
          <w:szCs w:val="20"/>
          <w:lang w:eastAsia="es-ES"/>
        </w:rPr>
      </w:pPr>
    </w:p>
    <w:bookmarkEnd w:id="0"/>
    <w:p w14:paraId="79F64DA0" w14:textId="77777777" w:rsidR="00790DA9" w:rsidRPr="00D55B3D" w:rsidRDefault="00790DA9" w:rsidP="00D55B3D">
      <w:pPr>
        <w:pStyle w:val="Ttulo4"/>
        <w:widowControl w:val="0"/>
        <w:tabs>
          <w:tab w:val="clear" w:pos="0"/>
        </w:tabs>
        <w:spacing w:line="276" w:lineRule="auto"/>
        <w:ind w:left="709" w:right="845"/>
        <w:rPr>
          <w:rFonts w:ascii="Tahoma" w:hAnsi="Tahoma" w:cs="Tahoma"/>
          <w:bCs/>
          <w:szCs w:val="24"/>
          <w:lang w:eastAsia="es-MX"/>
        </w:rPr>
      </w:pPr>
      <w:r w:rsidRPr="00D55B3D">
        <w:rPr>
          <w:rFonts w:ascii="Tahoma" w:hAnsi="Tahoma" w:cs="Tahoma"/>
          <w:bCs/>
          <w:szCs w:val="24"/>
          <w:lang w:eastAsia="es-MX"/>
        </w:rPr>
        <w:t>TRIBUNAL SUPERIOR DEL DISTRITO JUDICIAL DE PEREIRA</w:t>
      </w:r>
    </w:p>
    <w:p w14:paraId="019D66BB" w14:textId="292CA569" w:rsidR="00790DA9" w:rsidRPr="00D55B3D" w:rsidRDefault="00790DA9" w:rsidP="00D55B3D">
      <w:pPr>
        <w:pStyle w:val="Ttulo4"/>
        <w:widowControl w:val="0"/>
        <w:tabs>
          <w:tab w:val="clear" w:pos="0"/>
        </w:tabs>
        <w:spacing w:line="276" w:lineRule="auto"/>
        <w:ind w:left="709" w:right="845"/>
        <w:rPr>
          <w:rFonts w:ascii="Tahoma" w:hAnsi="Tahoma" w:cs="Tahoma"/>
          <w:bCs/>
          <w:szCs w:val="24"/>
          <w:lang w:eastAsia="es-MX"/>
        </w:rPr>
      </w:pPr>
      <w:r w:rsidRPr="00D55B3D">
        <w:rPr>
          <w:rFonts w:ascii="Tahoma" w:hAnsi="Tahoma" w:cs="Tahoma"/>
          <w:bCs/>
          <w:szCs w:val="24"/>
          <w:lang w:eastAsia="es-MX"/>
        </w:rPr>
        <w:t>SALA PRIMERA DE DECISION LABORAL</w:t>
      </w:r>
      <w:r w:rsidR="00662FC5" w:rsidRPr="00D55B3D">
        <w:rPr>
          <w:rFonts w:ascii="Tahoma" w:hAnsi="Tahoma" w:cs="Tahoma"/>
          <w:bCs/>
          <w:szCs w:val="24"/>
          <w:lang w:eastAsia="es-MX"/>
        </w:rPr>
        <w:t xml:space="preserve"> </w:t>
      </w:r>
    </w:p>
    <w:p w14:paraId="6C8078C4" w14:textId="77777777" w:rsidR="00662FC5" w:rsidRPr="00D55B3D" w:rsidRDefault="00662FC5" w:rsidP="00D55B3D">
      <w:pPr>
        <w:spacing w:line="276" w:lineRule="auto"/>
        <w:jc w:val="center"/>
        <w:rPr>
          <w:rFonts w:cs="Tahoma"/>
          <w:bCs/>
          <w:szCs w:val="24"/>
        </w:rPr>
      </w:pPr>
    </w:p>
    <w:p w14:paraId="0E7ACA8F" w14:textId="77777777" w:rsidR="00790DA9" w:rsidRPr="00D55B3D" w:rsidRDefault="00790DA9" w:rsidP="00D55B3D">
      <w:pPr>
        <w:spacing w:line="276" w:lineRule="auto"/>
        <w:jc w:val="center"/>
        <w:textAlignment w:val="baseline"/>
        <w:rPr>
          <w:rFonts w:eastAsia="Times New Roman" w:cs="Tahoma"/>
          <w:szCs w:val="24"/>
          <w:lang w:eastAsia="es-CO"/>
        </w:rPr>
      </w:pPr>
      <w:r w:rsidRPr="00D55B3D">
        <w:rPr>
          <w:rFonts w:eastAsia="Times New Roman" w:cs="Tahoma"/>
          <w:szCs w:val="24"/>
          <w:lang w:eastAsia="es-CO"/>
        </w:rPr>
        <w:t>Magistrada Ponente: </w:t>
      </w:r>
      <w:r w:rsidRPr="00D55B3D">
        <w:rPr>
          <w:rFonts w:eastAsia="Times New Roman" w:cs="Tahoma"/>
          <w:b/>
          <w:bCs/>
          <w:szCs w:val="24"/>
          <w:lang w:eastAsia="es-CO"/>
        </w:rPr>
        <w:t>Ana Lucía Caicedo Calderón</w:t>
      </w:r>
      <w:r w:rsidRPr="00D55B3D">
        <w:rPr>
          <w:rFonts w:eastAsia="Times New Roman" w:cs="Tahoma"/>
          <w:szCs w:val="24"/>
          <w:lang w:eastAsia="es-CO"/>
        </w:rPr>
        <w:t> </w:t>
      </w:r>
    </w:p>
    <w:p w14:paraId="17B99363" w14:textId="17A5E01B" w:rsidR="00790DA9" w:rsidRPr="00D55B3D" w:rsidRDefault="00790DA9" w:rsidP="00D55B3D">
      <w:pPr>
        <w:spacing w:line="276" w:lineRule="auto"/>
        <w:jc w:val="center"/>
        <w:textAlignment w:val="baseline"/>
        <w:rPr>
          <w:rFonts w:eastAsia="Times New Roman" w:cs="Tahoma"/>
          <w:szCs w:val="24"/>
          <w:lang w:eastAsia="es-CO"/>
        </w:rPr>
      </w:pPr>
      <w:r w:rsidRPr="00D55B3D">
        <w:rPr>
          <w:rFonts w:eastAsia="Times New Roman" w:cs="Tahoma"/>
          <w:szCs w:val="24"/>
          <w:lang w:eastAsia="es-CO"/>
        </w:rPr>
        <w:t> </w:t>
      </w:r>
    </w:p>
    <w:p w14:paraId="61EC5009" w14:textId="3736C640" w:rsidR="00B92321" w:rsidRPr="00D55B3D" w:rsidRDefault="00B92321" w:rsidP="00D55B3D">
      <w:pPr>
        <w:spacing w:line="276" w:lineRule="auto"/>
        <w:jc w:val="center"/>
        <w:textAlignment w:val="baseline"/>
        <w:rPr>
          <w:rFonts w:eastAsia="Times New Roman" w:cs="Tahoma"/>
          <w:szCs w:val="24"/>
          <w:lang w:eastAsia="es-CO"/>
        </w:rPr>
      </w:pPr>
      <w:r w:rsidRPr="00D55B3D">
        <w:rPr>
          <w:rFonts w:eastAsia="Times New Roman" w:cs="Tahoma"/>
          <w:szCs w:val="24"/>
          <w:lang w:eastAsia="es-CO"/>
        </w:rPr>
        <w:t xml:space="preserve">Pereira, Risaralda, </w:t>
      </w:r>
      <w:r w:rsidR="0056002A" w:rsidRPr="00D55B3D">
        <w:rPr>
          <w:rFonts w:eastAsia="Times New Roman" w:cs="Tahoma"/>
          <w:szCs w:val="24"/>
          <w:lang w:eastAsia="es-CO"/>
        </w:rPr>
        <w:t xml:space="preserve">julio veintiséis </w:t>
      </w:r>
      <w:r w:rsidRPr="00D55B3D">
        <w:rPr>
          <w:rFonts w:eastAsia="Times New Roman" w:cs="Tahoma"/>
          <w:szCs w:val="24"/>
          <w:lang w:eastAsia="es-CO"/>
        </w:rPr>
        <w:t>(</w:t>
      </w:r>
      <w:r w:rsidR="0056002A" w:rsidRPr="00D55B3D">
        <w:rPr>
          <w:rFonts w:eastAsia="Times New Roman" w:cs="Tahoma"/>
          <w:szCs w:val="24"/>
          <w:lang w:eastAsia="es-CO"/>
        </w:rPr>
        <w:t>26</w:t>
      </w:r>
      <w:r w:rsidRPr="00D55B3D">
        <w:rPr>
          <w:rFonts w:eastAsia="Times New Roman" w:cs="Tahoma"/>
          <w:szCs w:val="24"/>
          <w:lang w:eastAsia="es-CO"/>
        </w:rPr>
        <w:t>) de dos mil veintiuno (2021)  </w:t>
      </w:r>
    </w:p>
    <w:p w14:paraId="41C75338" w14:textId="760BB043" w:rsidR="00B92321" w:rsidRPr="00D55B3D" w:rsidRDefault="00B92321" w:rsidP="00D55B3D">
      <w:pPr>
        <w:spacing w:line="276" w:lineRule="auto"/>
        <w:jc w:val="center"/>
        <w:textAlignment w:val="baseline"/>
        <w:rPr>
          <w:rFonts w:eastAsia="Times New Roman" w:cs="Tahoma"/>
          <w:szCs w:val="24"/>
          <w:lang w:eastAsia="es-CO"/>
        </w:rPr>
      </w:pPr>
      <w:r w:rsidRPr="00D55B3D">
        <w:rPr>
          <w:rFonts w:eastAsia="Times New Roman" w:cs="Tahoma"/>
          <w:szCs w:val="24"/>
          <w:lang w:eastAsia="es-CO"/>
        </w:rPr>
        <w:t> Acta No. </w:t>
      </w:r>
      <w:r w:rsidR="0022751C" w:rsidRPr="00D55B3D">
        <w:rPr>
          <w:rFonts w:eastAsia="Times New Roman" w:cs="Tahoma"/>
          <w:szCs w:val="24"/>
          <w:lang w:eastAsia="es-CO"/>
        </w:rPr>
        <w:t>117</w:t>
      </w:r>
      <w:r w:rsidRPr="00D55B3D">
        <w:rPr>
          <w:rFonts w:eastAsia="Times New Roman" w:cs="Tahoma"/>
          <w:szCs w:val="24"/>
          <w:lang w:eastAsia="es-CO"/>
        </w:rPr>
        <w:t xml:space="preserve"> del </w:t>
      </w:r>
      <w:r w:rsidR="0056002A" w:rsidRPr="00D55B3D">
        <w:rPr>
          <w:rFonts w:eastAsia="Times New Roman" w:cs="Tahoma"/>
          <w:szCs w:val="24"/>
          <w:lang w:eastAsia="es-CO"/>
        </w:rPr>
        <w:t>22</w:t>
      </w:r>
      <w:r w:rsidR="00662FC5" w:rsidRPr="00D55B3D">
        <w:rPr>
          <w:rFonts w:eastAsia="Times New Roman" w:cs="Tahoma"/>
          <w:szCs w:val="24"/>
          <w:lang w:eastAsia="es-CO"/>
        </w:rPr>
        <w:t xml:space="preserve"> de </w:t>
      </w:r>
      <w:r w:rsidR="005D0823" w:rsidRPr="00D55B3D">
        <w:rPr>
          <w:rFonts w:eastAsia="Times New Roman" w:cs="Tahoma"/>
          <w:szCs w:val="24"/>
          <w:lang w:eastAsia="es-CO"/>
        </w:rPr>
        <w:t xml:space="preserve">julio </w:t>
      </w:r>
      <w:r w:rsidRPr="00D55B3D">
        <w:rPr>
          <w:rFonts w:eastAsia="Times New Roman" w:cs="Tahoma"/>
          <w:szCs w:val="24"/>
          <w:lang w:eastAsia="es-CO"/>
        </w:rPr>
        <w:t>de 2021</w:t>
      </w:r>
    </w:p>
    <w:p w14:paraId="3CDD4E79" w14:textId="7CF23A35" w:rsidR="00790DA9" w:rsidRPr="00D55B3D" w:rsidRDefault="00790DA9" w:rsidP="00D55B3D">
      <w:pPr>
        <w:spacing w:line="276" w:lineRule="auto"/>
        <w:jc w:val="center"/>
        <w:rPr>
          <w:rFonts w:cs="Tahoma"/>
          <w:b/>
          <w:szCs w:val="24"/>
        </w:rPr>
      </w:pPr>
    </w:p>
    <w:p w14:paraId="73AFF3DE" w14:textId="77777777" w:rsidR="00662FC5" w:rsidRPr="00D55B3D" w:rsidRDefault="00662FC5" w:rsidP="00D55B3D">
      <w:pPr>
        <w:spacing w:line="276" w:lineRule="auto"/>
        <w:jc w:val="center"/>
        <w:rPr>
          <w:rFonts w:cs="Tahoma"/>
          <w:b/>
          <w:szCs w:val="24"/>
        </w:rPr>
      </w:pPr>
    </w:p>
    <w:p w14:paraId="6B4944D3" w14:textId="54DB8F60" w:rsidR="00790DA9" w:rsidRPr="00D55B3D" w:rsidRDefault="00662FC5" w:rsidP="00D55B3D">
      <w:pPr>
        <w:spacing w:line="276" w:lineRule="auto"/>
        <w:ind w:firstLine="709"/>
        <w:rPr>
          <w:rFonts w:cs="Tahoma"/>
          <w:szCs w:val="24"/>
        </w:rPr>
      </w:pPr>
      <w:r w:rsidRPr="00D55B3D">
        <w:rPr>
          <w:rFonts w:cs="Tahoma"/>
          <w:szCs w:val="24"/>
        </w:rPr>
        <w:t>Teniendo en cuenta que el artículo 15 del Decreto No. 806 del 4 de junio de</w:t>
      </w:r>
      <w:r w:rsidR="002E4492">
        <w:rPr>
          <w:rFonts w:cs="Tahoma"/>
          <w:szCs w:val="24"/>
        </w:rPr>
        <w:t xml:space="preserve"> </w:t>
      </w:r>
      <w:r w:rsidRPr="00D55B3D">
        <w:rPr>
          <w:rFonts w:cs="Tahoma"/>
          <w:szCs w:val="24"/>
        </w:rPr>
        <w:t>2020, expedido por el Ministerio de Justicia y del Derecho, estableció que en la</w:t>
      </w:r>
      <w:r w:rsidR="002E4492">
        <w:rPr>
          <w:rFonts w:cs="Tahoma"/>
          <w:szCs w:val="24"/>
        </w:rPr>
        <w:t xml:space="preserve"> </w:t>
      </w:r>
      <w:r w:rsidRPr="00D55B3D">
        <w:rPr>
          <w:rFonts w:cs="Tahoma"/>
          <w:szCs w:val="24"/>
        </w:rPr>
        <w:t>especialidad laboral se proferirán por escrito las providencias de segunda instancia</w:t>
      </w:r>
      <w:r w:rsidR="002E4492">
        <w:rPr>
          <w:rFonts w:cs="Tahoma"/>
          <w:szCs w:val="24"/>
        </w:rPr>
        <w:t xml:space="preserve"> </w:t>
      </w:r>
      <w:r w:rsidRPr="00D55B3D">
        <w:rPr>
          <w:rFonts w:cs="Tahoma"/>
          <w:szCs w:val="24"/>
        </w:rPr>
        <w:t>en las que se surta el grado jurisdiccional de consulta o se resuelva el recurso de</w:t>
      </w:r>
      <w:r w:rsidR="002E4492">
        <w:rPr>
          <w:rFonts w:cs="Tahoma"/>
          <w:szCs w:val="24"/>
        </w:rPr>
        <w:t xml:space="preserve"> </w:t>
      </w:r>
      <w:r w:rsidRPr="00D55B3D">
        <w:rPr>
          <w:rFonts w:cs="Tahoma"/>
          <w:szCs w:val="24"/>
        </w:rPr>
        <w:t xml:space="preserve">apelación de autos o sentencias, la Sala </w:t>
      </w:r>
      <w:r w:rsidR="005D0823" w:rsidRPr="00D55B3D">
        <w:rPr>
          <w:rFonts w:cs="Tahoma"/>
          <w:szCs w:val="24"/>
        </w:rPr>
        <w:t xml:space="preserve">Primera </w:t>
      </w:r>
      <w:r w:rsidRPr="00D55B3D">
        <w:rPr>
          <w:rFonts w:cs="Tahoma"/>
          <w:szCs w:val="24"/>
        </w:rPr>
        <w:t xml:space="preserve">de Decisión Laboral </w:t>
      </w:r>
      <w:r w:rsidR="005D0823" w:rsidRPr="00D55B3D">
        <w:rPr>
          <w:rFonts w:cs="Tahoma"/>
          <w:szCs w:val="24"/>
        </w:rPr>
        <w:t>del Tribunal Superior de Pereira</w:t>
      </w:r>
      <w:r w:rsidRPr="00D55B3D">
        <w:rPr>
          <w:rFonts w:cs="Tahoma"/>
          <w:szCs w:val="24"/>
        </w:rPr>
        <w:t>, integrada por las</w:t>
      </w:r>
      <w:r w:rsidR="00881144" w:rsidRPr="00D55B3D">
        <w:rPr>
          <w:rFonts w:cs="Tahoma"/>
          <w:szCs w:val="24"/>
        </w:rPr>
        <w:t xml:space="preserve"> </w:t>
      </w:r>
      <w:r w:rsidRPr="00D55B3D">
        <w:rPr>
          <w:rFonts w:cs="Tahoma"/>
          <w:szCs w:val="24"/>
        </w:rPr>
        <w:t xml:space="preserve">Magistradas ANA LUCÍA CAICEDO </w:t>
      </w:r>
      <w:r w:rsidR="00881144" w:rsidRPr="00D55B3D">
        <w:rPr>
          <w:rFonts w:cs="Tahoma"/>
          <w:szCs w:val="24"/>
        </w:rPr>
        <w:t>C</w:t>
      </w:r>
      <w:r w:rsidRPr="00D55B3D">
        <w:rPr>
          <w:rFonts w:cs="Tahoma"/>
          <w:szCs w:val="24"/>
        </w:rPr>
        <w:t>ALDERÓN</w:t>
      </w:r>
      <w:r w:rsidR="005D0823" w:rsidRPr="00D55B3D">
        <w:rPr>
          <w:rFonts w:cs="Tahoma"/>
          <w:szCs w:val="24"/>
        </w:rPr>
        <w:t>,</w:t>
      </w:r>
      <w:r w:rsidRPr="00D55B3D">
        <w:rPr>
          <w:rFonts w:cs="Tahoma"/>
          <w:szCs w:val="24"/>
        </w:rPr>
        <w:t xml:space="preserve"> como Ponente, </w:t>
      </w:r>
      <w:r w:rsidR="005D0823" w:rsidRPr="00D55B3D">
        <w:rPr>
          <w:rFonts w:cs="Tahoma"/>
          <w:szCs w:val="24"/>
        </w:rPr>
        <w:t xml:space="preserve">y </w:t>
      </w:r>
      <w:r w:rsidRPr="00D55B3D">
        <w:rPr>
          <w:rFonts w:cs="Tahoma"/>
          <w:szCs w:val="24"/>
        </w:rPr>
        <w:t>OLGA LUCÍA HOYOS</w:t>
      </w:r>
      <w:r w:rsidR="00881144" w:rsidRPr="00D55B3D">
        <w:rPr>
          <w:rFonts w:cs="Tahoma"/>
          <w:szCs w:val="24"/>
        </w:rPr>
        <w:t xml:space="preserve"> </w:t>
      </w:r>
      <w:r w:rsidRPr="00D55B3D">
        <w:rPr>
          <w:rFonts w:cs="Tahoma"/>
          <w:szCs w:val="24"/>
        </w:rPr>
        <w:t>SEPÚLVEDA</w:t>
      </w:r>
      <w:r w:rsidR="005D0823" w:rsidRPr="00D55B3D">
        <w:rPr>
          <w:rFonts w:cs="Tahoma"/>
          <w:szCs w:val="24"/>
        </w:rPr>
        <w:t>,</w:t>
      </w:r>
      <w:r w:rsidRPr="00D55B3D">
        <w:rPr>
          <w:rFonts w:cs="Tahoma"/>
          <w:szCs w:val="24"/>
        </w:rPr>
        <w:t xml:space="preserve"> y el Magistrado GERMÁN DARIO GOEZ VINASCO, procede a proferir la</w:t>
      </w:r>
      <w:r w:rsidR="00881144" w:rsidRPr="00D55B3D">
        <w:rPr>
          <w:rFonts w:cs="Tahoma"/>
          <w:szCs w:val="24"/>
        </w:rPr>
        <w:t xml:space="preserve"> </w:t>
      </w:r>
      <w:r w:rsidRPr="00D55B3D">
        <w:rPr>
          <w:rFonts w:cs="Tahoma"/>
          <w:szCs w:val="24"/>
        </w:rPr>
        <w:t xml:space="preserve">siguiente sentencia escrita dentro del proceso </w:t>
      </w:r>
      <w:r w:rsidRPr="001E414A">
        <w:rPr>
          <w:rFonts w:cs="Tahoma"/>
          <w:b/>
          <w:szCs w:val="24"/>
        </w:rPr>
        <w:t>ordinario laboral</w:t>
      </w:r>
      <w:r w:rsidRPr="00D55B3D">
        <w:rPr>
          <w:rFonts w:cs="Tahoma"/>
          <w:szCs w:val="24"/>
        </w:rPr>
        <w:t xml:space="preserve"> instaurado por </w:t>
      </w:r>
      <w:r w:rsidR="00032108" w:rsidRPr="00D55B3D">
        <w:rPr>
          <w:rFonts w:cs="Tahoma"/>
          <w:b/>
          <w:bCs/>
          <w:szCs w:val="24"/>
          <w:lang w:val="es-ES_tradnl"/>
        </w:rPr>
        <w:t xml:space="preserve">María </w:t>
      </w:r>
      <w:r w:rsidR="0056002A" w:rsidRPr="00D55B3D">
        <w:rPr>
          <w:rFonts w:cs="Tahoma"/>
          <w:b/>
          <w:bCs/>
          <w:szCs w:val="24"/>
          <w:lang w:val="es-ES_tradnl"/>
        </w:rPr>
        <w:t xml:space="preserve">Teresa Rivera Herrera </w:t>
      </w:r>
      <w:r w:rsidR="00790DA9" w:rsidRPr="00D55B3D">
        <w:rPr>
          <w:rFonts w:cs="Tahoma"/>
          <w:szCs w:val="24"/>
          <w:lang w:val="es-ES_tradnl"/>
        </w:rPr>
        <w:t xml:space="preserve">en contra de la </w:t>
      </w:r>
      <w:r w:rsidR="00790DA9" w:rsidRPr="00D55B3D">
        <w:rPr>
          <w:rFonts w:cs="Tahoma"/>
          <w:b/>
          <w:szCs w:val="24"/>
          <w:lang w:val="es-ES_tradnl"/>
        </w:rPr>
        <w:t xml:space="preserve">Administradora Colombiana de Pensiones </w:t>
      </w:r>
      <w:r w:rsidR="00B8317C" w:rsidRPr="00D55B3D">
        <w:rPr>
          <w:rFonts w:cs="Tahoma"/>
          <w:b/>
          <w:szCs w:val="24"/>
          <w:lang w:val="es-ES_tradnl"/>
        </w:rPr>
        <w:t>–</w:t>
      </w:r>
      <w:r w:rsidR="00790DA9" w:rsidRPr="00D55B3D">
        <w:rPr>
          <w:rFonts w:cs="Tahoma"/>
          <w:b/>
          <w:szCs w:val="24"/>
          <w:lang w:val="es-ES_tradnl"/>
        </w:rPr>
        <w:t xml:space="preserve"> Colpensiones</w:t>
      </w:r>
      <w:r w:rsidR="00CD3A8B" w:rsidRPr="00D55B3D">
        <w:rPr>
          <w:rFonts w:cs="Tahoma"/>
          <w:bCs/>
          <w:szCs w:val="24"/>
          <w:lang w:val="es-ES_tradnl"/>
        </w:rPr>
        <w:t xml:space="preserve">; proceso al que fue vinculada la señora </w:t>
      </w:r>
      <w:r w:rsidR="00400519" w:rsidRPr="00D55B3D">
        <w:rPr>
          <w:rFonts w:cs="Tahoma"/>
          <w:b/>
          <w:bCs/>
          <w:szCs w:val="24"/>
        </w:rPr>
        <w:t>María Otilia Franco García</w:t>
      </w:r>
      <w:r w:rsidR="00CD3A8B" w:rsidRPr="00D55B3D">
        <w:rPr>
          <w:rFonts w:cs="Tahoma"/>
          <w:szCs w:val="24"/>
        </w:rPr>
        <w:t>.</w:t>
      </w:r>
    </w:p>
    <w:p w14:paraId="5A6182C7" w14:textId="77777777" w:rsidR="00CD3A8B" w:rsidRPr="00D55B3D" w:rsidRDefault="00CD3A8B" w:rsidP="00D55B3D">
      <w:pPr>
        <w:spacing w:line="276" w:lineRule="auto"/>
        <w:ind w:firstLine="709"/>
        <w:rPr>
          <w:rFonts w:cs="Tahoma"/>
          <w:szCs w:val="24"/>
        </w:rPr>
      </w:pPr>
    </w:p>
    <w:p w14:paraId="74E244FD" w14:textId="76777837" w:rsidR="00790DA9" w:rsidRPr="00D55B3D" w:rsidRDefault="00790DA9" w:rsidP="00D55B3D">
      <w:pPr>
        <w:pStyle w:val="paragraph"/>
        <w:spacing w:before="0" w:beforeAutospacing="0" w:after="0" w:afterAutospacing="0" w:line="276" w:lineRule="auto"/>
        <w:jc w:val="center"/>
        <w:textAlignment w:val="baseline"/>
        <w:rPr>
          <w:rStyle w:val="normaltextrun"/>
          <w:rFonts w:ascii="Tahoma" w:hAnsi="Tahoma" w:cs="Tahoma"/>
          <w:b/>
          <w:bCs/>
        </w:rPr>
      </w:pPr>
      <w:r w:rsidRPr="00D55B3D">
        <w:rPr>
          <w:rStyle w:val="normaltextrun"/>
          <w:rFonts w:ascii="Tahoma" w:hAnsi="Tahoma" w:cs="Tahoma"/>
          <w:b/>
          <w:bCs/>
        </w:rPr>
        <w:t>PUNTO A TRATAR</w:t>
      </w:r>
    </w:p>
    <w:p w14:paraId="604BDCDA" w14:textId="77777777" w:rsidR="00EF5C33" w:rsidRPr="00D55B3D" w:rsidRDefault="00EF5C33" w:rsidP="00D55B3D">
      <w:pPr>
        <w:pStyle w:val="paragraph"/>
        <w:spacing w:before="0" w:beforeAutospacing="0" w:after="0" w:afterAutospacing="0" w:line="276" w:lineRule="auto"/>
        <w:jc w:val="center"/>
        <w:textAlignment w:val="baseline"/>
        <w:rPr>
          <w:rFonts w:ascii="Tahoma" w:hAnsi="Tahoma" w:cs="Tahoma"/>
        </w:rPr>
      </w:pPr>
    </w:p>
    <w:p w14:paraId="277DA54F" w14:textId="197481EC" w:rsidR="00790DA9" w:rsidRPr="00D55B3D" w:rsidRDefault="00790DA9" w:rsidP="00D55B3D">
      <w:pPr>
        <w:spacing w:line="276" w:lineRule="auto"/>
        <w:ind w:firstLine="708"/>
        <w:rPr>
          <w:rStyle w:val="normaltextrun"/>
          <w:rFonts w:cs="Tahoma"/>
          <w:szCs w:val="24"/>
        </w:rPr>
      </w:pPr>
      <w:r w:rsidRPr="00D55B3D">
        <w:rPr>
          <w:rStyle w:val="normaltextrun"/>
          <w:rFonts w:cs="Tahoma"/>
          <w:szCs w:val="24"/>
        </w:rPr>
        <w:t>Por medio de esta providencia</w:t>
      </w:r>
      <w:r w:rsidR="002E4492">
        <w:rPr>
          <w:rStyle w:val="normaltextrun"/>
          <w:rFonts w:cs="Tahoma"/>
          <w:szCs w:val="24"/>
        </w:rPr>
        <w:t xml:space="preserve"> </w:t>
      </w:r>
      <w:r w:rsidRPr="00D55B3D">
        <w:rPr>
          <w:rStyle w:val="normaltextrun"/>
          <w:rFonts w:cs="Tahoma"/>
          <w:szCs w:val="24"/>
        </w:rPr>
        <w:t>procede la Sala a</w:t>
      </w:r>
      <w:r w:rsidRPr="00D55B3D">
        <w:rPr>
          <w:rFonts w:cs="Tahoma"/>
          <w:szCs w:val="24"/>
        </w:rPr>
        <w:t xml:space="preserve"> resolver </w:t>
      </w:r>
      <w:r w:rsidR="00032108" w:rsidRPr="00D55B3D">
        <w:rPr>
          <w:rFonts w:cs="Tahoma"/>
          <w:szCs w:val="24"/>
        </w:rPr>
        <w:t>e</w:t>
      </w:r>
      <w:r w:rsidRPr="00D55B3D">
        <w:rPr>
          <w:rFonts w:cs="Tahoma"/>
          <w:szCs w:val="24"/>
        </w:rPr>
        <w:t xml:space="preserve">l recurso de apelación interpuesto por </w:t>
      </w:r>
      <w:r w:rsidR="00032108" w:rsidRPr="00D55B3D">
        <w:rPr>
          <w:rFonts w:cs="Tahoma"/>
          <w:szCs w:val="24"/>
        </w:rPr>
        <w:t>l</w:t>
      </w:r>
      <w:r w:rsidR="0056002A" w:rsidRPr="00D55B3D">
        <w:rPr>
          <w:rFonts w:cs="Tahoma"/>
          <w:szCs w:val="24"/>
        </w:rPr>
        <w:t>a</w:t>
      </w:r>
      <w:r w:rsidR="00032108" w:rsidRPr="00D55B3D">
        <w:rPr>
          <w:rFonts w:cs="Tahoma"/>
          <w:szCs w:val="24"/>
        </w:rPr>
        <w:t xml:space="preserve"> apoderad</w:t>
      </w:r>
      <w:r w:rsidR="0056002A" w:rsidRPr="00D55B3D">
        <w:rPr>
          <w:rFonts w:cs="Tahoma"/>
          <w:szCs w:val="24"/>
        </w:rPr>
        <w:t>a</w:t>
      </w:r>
      <w:r w:rsidR="00032108" w:rsidRPr="00D55B3D">
        <w:rPr>
          <w:rFonts w:cs="Tahoma"/>
          <w:szCs w:val="24"/>
        </w:rPr>
        <w:t xml:space="preserve"> de </w:t>
      </w:r>
      <w:r w:rsidR="0056002A" w:rsidRPr="00D55B3D">
        <w:rPr>
          <w:rFonts w:cs="Tahoma"/>
          <w:szCs w:val="24"/>
        </w:rPr>
        <w:t xml:space="preserve">Colpensiones </w:t>
      </w:r>
      <w:r w:rsidRPr="00D55B3D">
        <w:rPr>
          <w:rFonts w:cs="Tahoma"/>
          <w:szCs w:val="24"/>
        </w:rPr>
        <w:t xml:space="preserve">en contra de la sentencia proferida el </w:t>
      </w:r>
      <w:r w:rsidR="00032108" w:rsidRPr="00D55B3D">
        <w:rPr>
          <w:rFonts w:cs="Tahoma"/>
          <w:szCs w:val="24"/>
        </w:rPr>
        <w:t>1</w:t>
      </w:r>
      <w:r w:rsidR="0056002A" w:rsidRPr="00D55B3D">
        <w:rPr>
          <w:rFonts w:cs="Tahoma"/>
          <w:szCs w:val="24"/>
        </w:rPr>
        <w:t>8</w:t>
      </w:r>
      <w:r w:rsidR="00032108" w:rsidRPr="00D55B3D">
        <w:rPr>
          <w:rFonts w:cs="Tahoma"/>
          <w:szCs w:val="24"/>
        </w:rPr>
        <w:t xml:space="preserve"> </w:t>
      </w:r>
      <w:r w:rsidRPr="00D55B3D">
        <w:rPr>
          <w:rFonts w:cs="Tahoma"/>
          <w:szCs w:val="24"/>
        </w:rPr>
        <w:t xml:space="preserve">de </w:t>
      </w:r>
      <w:r w:rsidR="00EB3C0B" w:rsidRPr="00D55B3D">
        <w:rPr>
          <w:rFonts w:cs="Tahoma"/>
          <w:szCs w:val="24"/>
        </w:rPr>
        <w:t>marzo</w:t>
      </w:r>
      <w:r w:rsidRPr="00D55B3D">
        <w:rPr>
          <w:rFonts w:cs="Tahoma"/>
          <w:szCs w:val="24"/>
        </w:rPr>
        <w:t xml:space="preserve"> de 202</w:t>
      </w:r>
      <w:r w:rsidR="00EB3C0B" w:rsidRPr="00D55B3D">
        <w:rPr>
          <w:rFonts w:cs="Tahoma"/>
          <w:szCs w:val="24"/>
        </w:rPr>
        <w:t>1</w:t>
      </w:r>
      <w:r w:rsidRPr="00D55B3D">
        <w:rPr>
          <w:rFonts w:cs="Tahoma"/>
          <w:szCs w:val="24"/>
        </w:rPr>
        <w:t xml:space="preserve">, por el </w:t>
      </w:r>
      <w:r w:rsidRPr="00D55B3D">
        <w:rPr>
          <w:rFonts w:cs="Tahoma"/>
          <w:szCs w:val="24"/>
          <w:lang w:val="es-ES_tradnl"/>
        </w:rPr>
        <w:t>Juzgado</w:t>
      </w:r>
      <w:r w:rsidR="00032108" w:rsidRPr="00D55B3D">
        <w:rPr>
          <w:rFonts w:cs="Tahoma"/>
          <w:szCs w:val="24"/>
          <w:lang w:val="es-ES_tradnl"/>
        </w:rPr>
        <w:t xml:space="preserve"> </w:t>
      </w:r>
      <w:r w:rsidR="00B8422F" w:rsidRPr="00D55B3D">
        <w:rPr>
          <w:rFonts w:cs="Tahoma"/>
          <w:szCs w:val="24"/>
          <w:lang w:val="es-ES_tradnl"/>
        </w:rPr>
        <w:t>Quinto</w:t>
      </w:r>
      <w:r w:rsidRPr="00D55B3D">
        <w:rPr>
          <w:rFonts w:cs="Tahoma"/>
          <w:szCs w:val="24"/>
        </w:rPr>
        <w:t xml:space="preserve"> Laboral del Circuito de Pereira</w:t>
      </w:r>
      <w:r w:rsidR="005D0823" w:rsidRPr="00D55B3D">
        <w:rPr>
          <w:rFonts w:cs="Tahoma"/>
          <w:szCs w:val="24"/>
        </w:rPr>
        <w:t xml:space="preserve">. </w:t>
      </w:r>
      <w:r w:rsidR="0056002A" w:rsidRPr="00D55B3D">
        <w:rPr>
          <w:rFonts w:cs="Tahoma"/>
          <w:szCs w:val="24"/>
        </w:rPr>
        <w:t xml:space="preserve">Asimismo, se revisará </w:t>
      </w:r>
      <w:r w:rsidR="00B8422F" w:rsidRPr="00D55B3D">
        <w:rPr>
          <w:rFonts w:cs="Tahoma"/>
          <w:szCs w:val="24"/>
        </w:rPr>
        <w:t xml:space="preserve">el </w:t>
      </w:r>
      <w:r w:rsidR="0056002A" w:rsidRPr="00D55B3D">
        <w:rPr>
          <w:rFonts w:cs="Tahoma"/>
          <w:szCs w:val="24"/>
        </w:rPr>
        <w:t xml:space="preserve">fallo en sede jurisdiccional de consulta al haber sido condenada dicha entidad, cuya garante es la Nación. </w:t>
      </w:r>
      <w:r w:rsidRPr="00D55B3D">
        <w:rPr>
          <w:rStyle w:val="normaltextrun"/>
          <w:rFonts w:cs="Tahoma"/>
          <w:szCs w:val="24"/>
        </w:rPr>
        <w:t>Para ello se tiene en cuenta lo siguiente: </w:t>
      </w:r>
    </w:p>
    <w:p w14:paraId="6423E934" w14:textId="77777777" w:rsidR="0056002A" w:rsidRPr="00D55B3D" w:rsidRDefault="0056002A" w:rsidP="00D55B3D">
      <w:pPr>
        <w:spacing w:line="276" w:lineRule="auto"/>
        <w:ind w:firstLine="708"/>
        <w:rPr>
          <w:rFonts w:cs="Tahoma"/>
          <w:szCs w:val="24"/>
        </w:rPr>
      </w:pPr>
    </w:p>
    <w:p w14:paraId="783EB004" w14:textId="77777777" w:rsidR="00790DA9" w:rsidRPr="00D55B3D" w:rsidRDefault="00790DA9" w:rsidP="00D55B3D">
      <w:pPr>
        <w:pStyle w:val="Prrafodelista"/>
        <w:numPr>
          <w:ilvl w:val="0"/>
          <w:numId w:val="1"/>
        </w:numPr>
        <w:spacing w:line="276" w:lineRule="auto"/>
        <w:ind w:left="426" w:hanging="426"/>
        <w:jc w:val="center"/>
        <w:rPr>
          <w:rFonts w:cs="Tahoma"/>
          <w:b/>
          <w:bCs/>
          <w:szCs w:val="24"/>
        </w:rPr>
      </w:pPr>
      <w:r w:rsidRPr="00D55B3D">
        <w:rPr>
          <w:rFonts w:cs="Tahoma"/>
          <w:b/>
          <w:bCs/>
          <w:szCs w:val="24"/>
        </w:rPr>
        <w:t>Demanda y su contestación</w:t>
      </w:r>
    </w:p>
    <w:p w14:paraId="17F37787" w14:textId="77777777" w:rsidR="00790DA9" w:rsidRPr="00D55B3D" w:rsidRDefault="00790DA9" w:rsidP="00D55B3D">
      <w:pPr>
        <w:spacing w:line="276" w:lineRule="auto"/>
        <w:ind w:firstLine="708"/>
        <w:rPr>
          <w:rStyle w:val="normaltextrun"/>
          <w:rFonts w:cs="Tahoma"/>
          <w:szCs w:val="24"/>
        </w:rPr>
      </w:pPr>
    </w:p>
    <w:p w14:paraId="7CF7F3F0" w14:textId="67FBD130" w:rsidR="0056002A" w:rsidRPr="00D55B3D" w:rsidRDefault="00790DA9" w:rsidP="00D55B3D">
      <w:pPr>
        <w:spacing w:line="276" w:lineRule="auto"/>
        <w:ind w:firstLine="708"/>
        <w:rPr>
          <w:rStyle w:val="normaltextrun"/>
          <w:rFonts w:cs="Tahoma"/>
          <w:szCs w:val="24"/>
        </w:rPr>
      </w:pPr>
      <w:r w:rsidRPr="00D55B3D">
        <w:rPr>
          <w:rStyle w:val="normaltextrun"/>
          <w:rFonts w:cs="Tahoma"/>
          <w:szCs w:val="24"/>
        </w:rPr>
        <w:t>Pretende l</w:t>
      </w:r>
      <w:r w:rsidR="00032108" w:rsidRPr="00D55B3D">
        <w:rPr>
          <w:rStyle w:val="normaltextrun"/>
          <w:rFonts w:cs="Tahoma"/>
          <w:szCs w:val="24"/>
        </w:rPr>
        <w:t>a</w:t>
      </w:r>
      <w:r w:rsidRPr="00D55B3D">
        <w:rPr>
          <w:rStyle w:val="normaltextrun"/>
          <w:rFonts w:cs="Tahoma"/>
          <w:szCs w:val="24"/>
        </w:rPr>
        <w:t xml:space="preserve"> demandante que </w:t>
      </w:r>
      <w:r w:rsidR="0056002A" w:rsidRPr="00D55B3D">
        <w:rPr>
          <w:rStyle w:val="normaltextrun"/>
          <w:rFonts w:cs="Tahoma"/>
          <w:szCs w:val="24"/>
        </w:rPr>
        <w:t>se condene a Colpensiones, previa declaración del derecho, a que le reconozca la pensión de sobreviv</w:t>
      </w:r>
      <w:r w:rsidR="009220FE" w:rsidRPr="00D55B3D">
        <w:rPr>
          <w:rStyle w:val="normaltextrun"/>
          <w:rFonts w:cs="Tahoma"/>
          <w:szCs w:val="24"/>
        </w:rPr>
        <w:t>i</w:t>
      </w:r>
      <w:r w:rsidR="0056002A" w:rsidRPr="00D55B3D">
        <w:rPr>
          <w:rStyle w:val="normaltextrun"/>
          <w:rFonts w:cs="Tahoma"/>
          <w:szCs w:val="24"/>
        </w:rPr>
        <w:t xml:space="preserve">entes causada por el deceso de su cónyuge Fabio Hernández Bejarano, a partir del 25 de enero de 2017, más los intereses moratorios de que trata el artículo 141 de la Ley 100 de 1993; las costas procesales y a lo extra y ultra </w:t>
      </w:r>
      <w:proofErr w:type="spellStart"/>
      <w:r w:rsidR="0056002A" w:rsidRPr="00D55B3D">
        <w:rPr>
          <w:rStyle w:val="normaltextrun"/>
          <w:rFonts w:cs="Tahoma"/>
          <w:szCs w:val="24"/>
        </w:rPr>
        <w:t>petita</w:t>
      </w:r>
      <w:proofErr w:type="spellEnd"/>
      <w:r w:rsidR="0056002A" w:rsidRPr="00D55B3D">
        <w:rPr>
          <w:rStyle w:val="normaltextrun"/>
          <w:rFonts w:cs="Tahoma"/>
          <w:szCs w:val="24"/>
        </w:rPr>
        <w:t>.</w:t>
      </w:r>
    </w:p>
    <w:p w14:paraId="3970C1D7" w14:textId="77777777" w:rsidR="0056002A" w:rsidRPr="00D55B3D" w:rsidRDefault="0056002A" w:rsidP="00D55B3D">
      <w:pPr>
        <w:spacing w:line="276" w:lineRule="auto"/>
        <w:ind w:firstLine="708"/>
        <w:rPr>
          <w:rStyle w:val="normaltextrun"/>
          <w:rFonts w:cs="Tahoma"/>
          <w:szCs w:val="24"/>
        </w:rPr>
      </w:pPr>
    </w:p>
    <w:p w14:paraId="43916074" w14:textId="38ACC4F5" w:rsidR="00465ABE" w:rsidRPr="00D55B3D" w:rsidRDefault="0056002A" w:rsidP="00D55B3D">
      <w:pPr>
        <w:spacing w:line="276" w:lineRule="auto"/>
        <w:ind w:firstLine="708"/>
        <w:rPr>
          <w:rStyle w:val="normaltextrun"/>
          <w:rFonts w:cs="Tahoma"/>
          <w:szCs w:val="24"/>
        </w:rPr>
      </w:pPr>
      <w:r w:rsidRPr="00D55B3D">
        <w:rPr>
          <w:rStyle w:val="normaltextrun"/>
          <w:rFonts w:cs="Tahoma"/>
          <w:szCs w:val="24"/>
        </w:rPr>
        <w:t xml:space="preserve">Sustenta sus pretensiones en que </w:t>
      </w:r>
      <w:r w:rsidR="00465ABE" w:rsidRPr="00D55B3D">
        <w:rPr>
          <w:rStyle w:val="normaltextrun"/>
          <w:rFonts w:cs="Tahoma"/>
          <w:szCs w:val="24"/>
        </w:rPr>
        <w:t>el 25 de febrero de 1971 contrajo matrimonio con el señor Fabio Hernández Bejarano, procreando tres hijos durante la relación</w:t>
      </w:r>
      <w:r w:rsidR="00FA290F" w:rsidRPr="00D55B3D">
        <w:rPr>
          <w:rStyle w:val="normaltextrun"/>
          <w:rFonts w:cs="Tahoma"/>
          <w:szCs w:val="24"/>
        </w:rPr>
        <w:t xml:space="preserve"> (todos mayores de edad)</w:t>
      </w:r>
      <w:r w:rsidR="00465ABE" w:rsidRPr="00D55B3D">
        <w:rPr>
          <w:rStyle w:val="normaltextrun"/>
          <w:rFonts w:cs="Tahoma"/>
          <w:szCs w:val="24"/>
        </w:rPr>
        <w:t xml:space="preserve"> y conviviendo de manera ininterrumpida hasta el 25 de enero de 2017, fecha en la que aquel falleció.</w:t>
      </w:r>
    </w:p>
    <w:p w14:paraId="708FF966" w14:textId="77777777" w:rsidR="00465ABE" w:rsidRPr="00D55B3D" w:rsidRDefault="00465ABE" w:rsidP="00D55B3D">
      <w:pPr>
        <w:spacing w:line="276" w:lineRule="auto"/>
        <w:ind w:firstLine="708"/>
        <w:rPr>
          <w:rStyle w:val="normaltextrun"/>
          <w:rFonts w:cs="Tahoma"/>
          <w:szCs w:val="24"/>
        </w:rPr>
      </w:pPr>
    </w:p>
    <w:p w14:paraId="0D60457A" w14:textId="70E89D12" w:rsidR="00465ABE" w:rsidRPr="00D55B3D" w:rsidRDefault="00465ABE" w:rsidP="00D55B3D">
      <w:pPr>
        <w:spacing w:line="276" w:lineRule="auto"/>
        <w:ind w:firstLine="708"/>
        <w:rPr>
          <w:rStyle w:val="normaltextrun"/>
          <w:rFonts w:cs="Tahoma"/>
          <w:szCs w:val="24"/>
        </w:rPr>
      </w:pPr>
      <w:r w:rsidRPr="00D55B3D">
        <w:rPr>
          <w:rStyle w:val="normaltextrun"/>
          <w:rFonts w:cs="Tahoma"/>
          <w:szCs w:val="24"/>
        </w:rPr>
        <w:t>Refiere que, por problemas económicos, en el año 1998 ella tuvo que irse a trabajar a España, no obstante, la relación con su pareja se mantuvo activa y vigente, toda vez que durante todo el tiempo de su estadía en ese país mandó giros a sus hijos y esposo.</w:t>
      </w:r>
    </w:p>
    <w:p w14:paraId="26DEAA36" w14:textId="47349808" w:rsidR="00465ABE" w:rsidRPr="00D55B3D" w:rsidRDefault="00465ABE" w:rsidP="00D55B3D">
      <w:pPr>
        <w:spacing w:line="276" w:lineRule="auto"/>
        <w:ind w:firstLine="708"/>
        <w:rPr>
          <w:rStyle w:val="normaltextrun"/>
          <w:rFonts w:cs="Tahoma"/>
          <w:szCs w:val="24"/>
        </w:rPr>
      </w:pPr>
    </w:p>
    <w:p w14:paraId="47B95082" w14:textId="3970426C" w:rsidR="00465ABE" w:rsidRPr="00D55B3D" w:rsidRDefault="00465ABE" w:rsidP="00D55B3D">
      <w:pPr>
        <w:spacing w:line="276" w:lineRule="auto"/>
        <w:ind w:firstLine="708"/>
        <w:rPr>
          <w:rStyle w:val="normaltextrun"/>
          <w:rFonts w:cs="Tahoma"/>
          <w:szCs w:val="24"/>
        </w:rPr>
      </w:pPr>
      <w:r w:rsidRPr="00D55B3D">
        <w:rPr>
          <w:rStyle w:val="normaltextrun"/>
          <w:rFonts w:cs="Tahoma"/>
          <w:szCs w:val="24"/>
        </w:rPr>
        <w:t xml:space="preserve">Sostiene que el Instituto de Seguros Sociales, a través de la Resolución 1170 de 2004, reconoció la pensión de vejez al señor Hernández Bejarano, y que, una vez acaecido el deceso del pensionado, por medio de la Resolución SUB </w:t>
      </w:r>
      <w:r w:rsidR="00C13250" w:rsidRPr="00D55B3D">
        <w:rPr>
          <w:rStyle w:val="normaltextrun"/>
          <w:rFonts w:cs="Tahoma"/>
          <w:szCs w:val="24"/>
        </w:rPr>
        <w:t>50</w:t>
      </w:r>
      <w:r w:rsidRPr="00D55B3D">
        <w:rPr>
          <w:rStyle w:val="normaltextrun"/>
          <w:rFonts w:cs="Tahoma"/>
          <w:szCs w:val="24"/>
        </w:rPr>
        <w:t>947 de 2017 le concedió la pensión de sobrevivientes a la señora María Otilia Franco García.</w:t>
      </w:r>
    </w:p>
    <w:p w14:paraId="06BC365A" w14:textId="7D7DD25D" w:rsidR="00465ABE" w:rsidRPr="00D55B3D" w:rsidRDefault="00465ABE" w:rsidP="00D55B3D">
      <w:pPr>
        <w:spacing w:line="276" w:lineRule="auto"/>
        <w:ind w:firstLine="708"/>
        <w:rPr>
          <w:rStyle w:val="normaltextrun"/>
          <w:rFonts w:cs="Tahoma"/>
          <w:szCs w:val="24"/>
        </w:rPr>
      </w:pPr>
    </w:p>
    <w:p w14:paraId="5EFC386A" w14:textId="7C50D281" w:rsidR="00465ABE" w:rsidRPr="00D55B3D" w:rsidRDefault="00C13250" w:rsidP="00D55B3D">
      <w:pPr>
        <w:spacing w:line="276" w:lineRule="auto"/>
        <w:ind w:firstLine="708"/>
        <w:rPr>
          <w:rStyle w:val="normaltextrun"/>
          <w:rFonts w:cs="Tahoma"/>
          <w:szCs w:val="24"/>
        </w:rPr>
      </w:pPr>
      <w:r w:rsidRPr="00D55B3D">
        <w:rPr>
          <w:rStyle w:val="normaltextrun"/>
          <w:rFonts w:cs="Tahoma"/>
          <w:szCs w:val="24"/>
        </w:rPr>
        <w:lastRenderedPageBreak/>
        <w:t xml:space="preserve">Indica que el 21 de noviembre de 2017 solicitó ante Colpensiones el reconocimiento de la pensión de sobrevivientes, la cual fue denegada mediante la Resolución SUB 291060 de la misma anualidad, bajo el argumento de que ya había sido reconocida a la compañera permanente del causante. Dicho acto sería confirmado a través de la Resolución SUB 17398 de 2018. </w:t>
      </w:r>
    </w:p>
    <w:p w14:paraId="2051FBF6" w14:textId="77777777" w:rsidR="00465ABE" w:rsidRPr="00D55B3D" w:rsidRDefault="00465ABE" w:rsidP="00D55B3D">
      <w:pPr>
        <w:spacing w:line="276" w:lineRule="auto"/>
        <w:ind w:firstLine="708"/>
        <w:rPr>
          <w:rStyle w:val="normaltextrun"/>
          <w:rFonts w:cs="Tahoma"/>
          <w:szCs w:val="24"/>
        </w:rPr>
      </w:pPr>
    </w:p>
    <w:p w14:paraId="37DB85FF" w14:textId="61966C63" w:rsidR="0056002A" w:rsidRPr="00D55B3D" w:rsidRDefault="00C13250" w:rsidP="00D55B3D">
      <w:pPr>
        <w:spacing w:line="276" w:lineRule="auto"/>
        <w:ind w:firstLine="708"/>
        <w:rPr>
          <w:rStyle w:val="normaltextrun"/>
          <w:rFonts w:cs="Tahoma"/>
          <w:szCs w:val="24"/>
        </w:rPr>
      </w:pPr>
      <w:r w:rsidRPr="00D55B3D">
        <w:rPr>
          <w:rStyle w:val="normaltextrun"/>
          <w:rFonts w:cs="Tahoma"/>
          <w:szCs w:val="24"/>
        </w:rPr>
        <w:t xml:space="preserve">Resalta que </w:t>
      </w:r>
      <w:r w:rsidR="00400519" w:rsidRPr="00D55B3D">
        <w:rPr>
          <w:rStyle w:val="normaltextrun"/>
          <w:rFonts w:cs="Tahoma"/>
          <w:szCs w:val="24"/>
        </w:rPr>
        <w:t xml:space="preserve">por medio de la Resolución DIR 5012 de </w:t>
      </w:r>
      <w:r w:rsidRPr="00D55B3D">
        <w:rPr>
          <w:rStyle w:val="normaltextrun"/>
          <w:rFonts w:cs="Tahoma"/>
          <w:szCs w:val="24"/>
        </w:rPr>
        <w:t>20</w:t>
      </w:r>
      <w:r w:rsidR="00400519" w:rsidRPr="00D55B3D">
        <w:rPr>
          <w:rStyle w:val="normaltextrun"/>
          <w:rFonts w:cs="Tahoma"/>
          <w:szCs w:val="24"/>
        </w:rPr>
        <w:t>18</w:t>
      </w:r>
      <w:r w:rsidRPr="00D55B3D">
        <w:rPr>
          <w:rStyle w:val="normaltextrun"/>
          <w:rFonts w:cs="Tahoma"/>
          <w:szCs w:val="24"/>
        </w:rPr>
        <w:t xml:space="preserve">, Colpensiones resolvió el recurso de apelación y revocó la Resolución SUB 50947 de 2017, argumentando que la señora María Otilia Franco García nunca convivió con el pensionado y, además, </w:t>
      </w:r>
      <w:r w:rsidR="00B8422F" w:rsidRPr="00D55B3D">
        <w:rPr>
          <w:rStyle w:val="normaltextrun"/>
          <w:rFonts w:cs="Tahoma"/>
          <w:szCs w:val="24"/>
        </w:rPr>
        <w:t xml:space="preserve">ella </w:t>
      </w:r>
      <w:r w:rsidRPr="00D55B3D">
        <w:rPr>
          <w:rStyle w:val="normaltextrun"/>
          <w:rFonts w:cs="Tahoma"/>
          <w:szCs w:val="24"/>
        </w:rPr>
        <w:t xml:space="preserve">autorizó expresamente que se revocara la aludida resolución. Pese a lo anterior, </w:t>
      </w:r>
      <w:r w:rsidR="00400519" w:rsidRPr="00D55B3D">
        <w:rPr>
          <w:rStyle w:val="normaltextrun"/>
          <w:rFonts w:cs="Tahoma"/>
          <w:szCs w:val="24"/>
        </w:rPr>
        <w:t xml:space="preserve">también </w:t>
      </w:r>
      <w:r w:rsidRPr="00D55B3D">
        <w:rPr>
          <w:rStyle w:val="normaltextrun"/>
          <w:rFonts w:cs="Tahoma"/>
          <w:szCs w:val="24"/>
        </w:rPr>
        <w:t>se le negó el reconocimiento de la pensión</w:t>
      </w:r>
      <w:r w:rsidR="00400519" w:rsidRPr="00D55B3D">
        <w:rPr>
          <w:rStyle w:val="normaltextrun"/>
          <w:rFonts w:cs="Tahoma"/>
          <w:szCs w:val="24"/>
        </w:rPr>
        <w:t xml:space="preserve"> </w:t>
      </w:r>
      <w:r w:rsidR="00B8422F" w:rsidRPr="00D55B3D">
        <w:rPr>
          <w:rStyle w:val="normaltextrun"/>
          <w:rFonts w:cs="Tahoma"/>
          <w:szCs w:val="24"/>
        </w:rPr>
        <w:t xml:space="preserve">a la demandante </w:t>
      </w:r>
      <w:r w:rsidR="00400519" w:rsidRPr="00D55B3D">
        <w:rPr>
          <w:rStyle w:val="normaltextrun"/>
          <w:rFonts w:cs="Tahoma"/>
          <w:szCs w:val="24"/>
        </w:rPr>
        <w:t>aduciendo que no demostró haber convivido con el señor Hernández Bejarano en los 5 años anteriores a su deceso.</w:t>
      </w:r>
    </w:p>
    <w:p w14:paraId="66A5EB16" w14:textId="063896F8" w:rsidR="00400519" w:rsidRPr="00D55B3D" w:rsidRDefault="00400519" w:rsidP="00D55B3D">
      <w:pPr>
        <w:spacing w:line="276" w:lineRule="auto"/>
        <w:ind w:firstLine="708"/>
        <w:rPr>
          <w:rStyle w:val="normaltextrun"/>
          <w:rFonts w:cs="Tahoma"/>
          <w:szCs w:val="24"/>
        </w:rPr>
      </w:pPr>
    </w:p>
    <w:p w14:paraId="440451C1" w14:textId="0161C8CC" w:rsidR="00400519" w:rsidRPr="00D55B3D" w:rsidRDefault="00400519" w:rsidP="00D55B3D">
      <w:pPr>
        <w:spacing w:line="276" w:lineRule="auto"/>
        <w:ind w:firstLine="708"/>
        <w:rPr>
          <w:rStyle w:val="normaltextrun"/>
          <w:rFonts w:cs="Tahoma"/>
          <w:szCs w:val="24"/>
        </w:rPr>
      </w:pPr>
      <w:r w:rsidRPr="00D55B3D">
        <w:rPr>
          <w:rStyle w:val="normaltextrun"/>
          <w:rFonts w:cs="Tahoma"/>
          <w:szCs w:val="24"/>
        </w:rPr>
        <w:t xml:space="preserve">Por último, refiere que no pudo asistir al sepelio de su esposo por cuanto se encontraba incapacitada y estaba pendiente de que le fijaran fecha para practicarle una cirugía de rodilla en Madrid, España. </w:t>
      </w:r>
    </w:p>
    <w:p w14:paraId="710088ED" w14:textId="77777777" w:rsidR="00790DA9" w:rsidRPr="00D55B3D" w:rsidRDefault="00790DA9" w:rsidP="00D55B3D">
      <w:pPr>
        <w:spacing w:line="276" w:lineRule="auto"/>
        <w:rPr>
          <w:rFonts w:cs="Tahoma"/>
          <w:szCs w:val="24"/>
        </w:rPr>
      </w:pPr>
    </w:p>
    <w:p w14:paraId="7C06054C" w14:textId="62C8ED87" w:rsidR="00400519" w:rsidRPr="00D55B3D" w:rsidRDefault="00790DA9" w:rsidP="00D55B3D">
      <w:pPr>
        <w:spacing w:line="276" w:lineRule="auto"/>
        <w:ind w:firstLine="708"/>
        <w:rPr>
          <w:rStyle w:val="normaltextrun"/>
          <w:rFonts w:cs="Tahoma"/>
          <w:szCs w:val="24"/>
        </w:rPr>
      </w:pPr>
      <w:r w:rsidRPr="00D55B3D">
        <w:rPr>
          <w:rStyle w:val="normaltextrun"/>
          <w:rFonts w:cs="Tahoma"/>
          <w:b/>
          <w:bCs/>
          <w:szCs w:val="24"/>
        </w:rPr>
        <w:t>Colpensiones</w:t>
      </w:r>
      <w:r w:rsidRPr="00D55B3D">
        <w:rPr>
          <w:rStyle w:val="normaltextrun"/>
          <w:rFonts w:cs="Tahoma"/>
          <w:szCs w:val="24"/>
        </w:rPr>
        <w:t xml:space="preserve"> </w:t>
      </w:r>
      <w:r w:rsidR="00FF6DD0" w:rsidRPr="00D55B3D">
        <w:rPr>
          <w:rStyle w:val="normaltextrun"/>
          <w:rFonts w:cs="Tahoma"/>
          <w:szCs w:val="24"/>
        </w:rPr>
        <w:t>se opuso</w:t>
      </w:r>
      <w:r w:rsidRPr="00D55B3D">
        <w:rPr>
          <w:rStyle w:val="normaltextrun"/>
          <w:rFonts w:cs="Tahoma"/>
          <w:szCs w:val="24"/>
        </w:rPr>
        <w:t xml:space="preserve"> a las pretensiones </w:t>
      </w:r>
      <w:r w:rsidR="00871F44" w:rsidRPr="00D55B3D">
        <w:rPr>
          <w:rStyle w:val="normaltextrun"/>
          <w:rFonts w:cs="Tahoma"/>
          <w:szCs w:val="24"/>
        </w:rPr>
        <w:t xml:space="preserve">aduciendo </w:t>
      </w:r>
      <w:r w:rsidR="00400519" w:rsidRPr="00D55B3D">
        <w:rPr>
          <w:rStyle w:val="normaltextrun"/>
          <w:rFonts w:cs="Tahoma"/>
          <w:szCs w:val="24"/>
        </w:rPr>
        <w:t>de la demandante no logró acreditar haber convivido con el señor Fabio Hernández Bejarano en los 5 años que antecedieron el deceso de este. En ese sentido, propuso como excepciones de mérito las que denominó “Inexistencia de la obligación reclamada”; “Prescripción”; “Buena fe” e “Imposibilidad de condena en costas”.</w:t>
      </w:r>
    </w:p>
    <w:p w14:paraId="521FFB2E" w14:textId="6AB6C3F1" w:rsidR="00790DA9" w:rsidRPr="00D55B3D" w:rsidRDefault="00790DA9" w:rsidP="00D55B3D">
      <w:pPr>
        <w:spacing w:line="276" w:lineRule="auto"/>
        <w:rPr>
          <w:rFonts w:cs="Tahoma"/>
          <w:b/>
          <w:bCs/>
          <w:szCs w:val="24"/>
        </w:rPr>
      </w:pPr>
    </w:p>
    <w:p w14:paraId="0087F68E" w14:textId="1F245C9F" w:rsidR="00400519" w:rsidRPr="00D55B3D" w:rsidRDefault="00400519" w:rsidP="00D55B3D">
      <w:pPr>
        <w:spacing w:line="276" w:lineRule="auto"/>
        <w:rPr>
          <w:rFonts w:cs="Tahoma"/>
          <w:szCs w:val="24"/>
        </w:rPr>
      </w:pPr>
      <w:r w:rsidRPr="00D55B3D">
        <w:rPr>
          <w:rFonts w:cs="Tahoma"/>
          <w:b/>
          <w:bCs/>
          <w:szCs w:val="24"/>
        </w:rPr>
        <w:tab/>
      </w:r>
      <w:r w:rsidRPr="00D55B3D">
        <w:rPr>
          <w:rFonts w:cs="Tahoma"/>
          <w:szCs w:val="24"/>
        </w:rPr>
        <w:t xml:space="preserve">La señora María Otilia Franco García, quien fuera vinculada por el despacho de conocimiento, </w:t>
      </w:r>
      <w:r w:rsidR="00CD3A8B" w:rsidRPr="00D55B3D">
        <w:rPr>
          <w:rFonts w:cs="Tahoma"/>
          <w:szCs w:val="24"/>
        </w:rPr>
        <w:t>manifestó que no se oponía a las pretensiones de la señora María Teresa Rivera y dejaba a consideración del despacho la respectiva decisión; no obstante, propuso como excepciones perentorias las de “Buena fe” y “Improcedencia de devolución de mesada recibidas”.</w:t>
      </w:r>
    </w:p>
    <w:p w14:paraId="57DF22C9" w14:textId="3BA6344F" w:rsidR="00400519" w:rsidRPr="00D55B3D" w:rsidRDefault="00400519" w:rsidP="00D55B3D">
      <w:pPr>
        <w:spacing w:line="276" w:lineRule="auto"/>
        <w:rPr>
          <w:rFonts w:cs="Tahoma"/>
          <w:b/>
          <w:bCs/>
          <w:szCs w:val="24"/>
        </w:rPr>
      </w:pPr>
    </w:p>
    <w:p w14:paraId="2FF3E5FC" w14:textId="77777777" w:rsidR="00790DA9" w:rsidRPr="00D55B3D" w:rsidRDefault="00790DA9" w:rsidP="00D55B3D">
      <w:pPr>
        <w:pStyle w:val="Prrafodelista"/>
        <w:numPr>
          <w:ilvl w:val="0"/>
          <w:numId w:val="1"/>
        </w:numPr>
        <w:spacing w:line="276" w:lineRule="auto"/>
        <w:ind w:left="426" w:hanging="426"/>
        <w:jc w:val="center"/>
        <w:rPr>
          <w:rFonts w:cs="Tahoma"/>
          <w:b/>
          <w:bCs/>
          <w:szCs w:val="24"/>
        </w:rPr>
      </w:pPr>
      <w:r w:rsidRPr="00D55B3D">
        <w:rPr>
          <w:rFonts w:cs="Tahoma"/>
          <w:b/>
          <w:bCs/>
          <w:szCs w:val="24"/>
        </w:rPr>
        <w:t>Sentencia de primera instancia</w:t>
      </w:r>
    </w:p>
    <w:p w14:paraId="3ACAB8F5" w14:textId="77777777" w:rsidR="00790DA9" w:rsidRPr="00D55B3D" w:rsidRDefault="00790DA9" w:rsidP="00D55B3D">
      <w:pPr>
        <w:spacing w:line="276" w:lineRule="auto"/>
        <w:ind w:left="360"/>
        <w:rPr>
          <w:rFonts w:cs="Tahoma"/>
          <w:b/>
          <w:bCs/>
          <w:szCs w:val="24"/>
        </w:rPr>
      </w:pPr>
    </w:p>
    <w:p w14:paraId="45A9BD0A" w14:textId="4A913085" w:rsidR="00277760" w:rsidRPr="00D55B3D" w:rsidRDefault="00790DA9" w:rsidP="00D55B3D">
      <w:pPr>
        <w:spacing w:line="276" w:lineRule="auto"/>
        <w:ind w:firstLine="360"/>
        <w:rPr>
          <w:rFonts w:cs="Tahoma"/>
          <w:szCs w:val="24"/>
          <w:lang w:val="es-CO"/>
        </w:rPr>
      </w:pPr>
      <w:r w:rsidRPr="00D55B3D">
        <w:rPr>
          <w:rFonts w:cs="Tahoma"/>
          <w:szCs w:val="24"/>
        </w:rPr>
        <w:t xml:space="preserve">La Jueza de primera instancia </w:t>
      </w:r>
      <w:r w:rsidR="00277760" w:rsidRPr="00D55B3D">
        <w:rPr>
          <w:rFonts w:cs="Tahoma"/>
          <w:szCs w:val="24"/>
          <w:lang w:val="es-CO"/>
        </w:rPr>
        <w:t>tuvo como</w:t>
      </w:r>
      <w:r w:rsidR="00957F43" w:rsidRPr="00D55B3D">
        <w:rPr>
          <w:rFonts w:cs="Tahoma"/>
          <w:szCs w:val="24"/>
          <w:lang w:val="es-CO"/>
        </w:rPr>
        <w:t xml:space="preserve"> </w:t>
      </w:r>
      <w:r w:rsidR="00CD3A8B" w:rsidRPr="00D55B3D">
        <w:rPr>
          <w:rFonts w:cs="Tahoma"/>
          <w:szCs w:val="24"/>
          <w:lang w:val="es-CO"/>
        </w:rPr>
        <w:t xml:space="preserve">no probadas las excepciones presentadas por Colpensiones y </w:t>
      </w:r>
      <w:r w:rsidR="00860BE2" w:rsidRPr="00D55B3D">
        <w:rPr>
          <w:rFonts w:cs="Tahoma"/>
          <w:szCs w:val="24"/>
          <w:lang w:val="es-CO"/>
        </w:rPr>
        <w:t>la señora</w:t>
      </w:r>
      <w:r w:rsidR="00CD3A8B" w:rsidRPr="00D55B3D">
        <w:rPr>
          <w:rFonts w:cs="Tahoma"/>
          <w:szCs w:val="24"/>
          <w:lang w:val="es-CO"/>
        </w:rPr>
        <w:t xml:space="preserve"> </w:t>
      </w:r>
      <w:r w:rsidR="00860BE2" w:rsidRPr="00D55B3D">
        <w:rPr>
          <w:rFonts w:cs="Tahoma"/>
          <w:szCs w:val="24"/>
          <w:lang w:val="es-CO"/>
        </w:rPr>
        <w:t>María Otilia</w:t>
      </w:r>
      <w:r w:rsidR="00CD3A8B" w:rsidRPr="00D55B3D">
        <w:rPr>
          <w:rFonts w:cs="Tahoma"/>
          <w:szCs w:val="24"/>
          <w:lang w:val="es-CO"/>
        </w:rPr>
        <w:t xml:space="preserve"> Franco García</w:t>
      </w:r>
      <w:r w:rsidR="005462CC" w:rsidRPr="00D55B3D">
        <w:rPr>
          <w:rFonts w:cs="Tahoma"/>
          <w:szCs w:val="24"/>
          <w:lang w:val="es-CO"/>
        </w:rPr>
        <w:t xml:space="preserve">; </w:t>
      </w:r>
      <w:r w:rsidR="00277760" w:rsidRPr="00D55B3D">
        <w:rPr>
          <w:rFonts w:cs="Tahoma"/>
          <w:szCs w:val="24"/>
          <w:lang w:val="es-CO"/>
        </w:rPr>
        <w:t xml:space="preserve">en consecuencia, declaró </w:t>
      </w:r>
      <w:r w:rsidR="00CD3A8B" w:rsidRPr="00D55B3D">
        <w:rPr>
          <w:rFonts w:cs="Tahoma"/>
          <w:szCs w:val="24"/>
          <w:lang w:val="es-CO"/>
        </w:rPr>
        <w:t xml:space="preserve">que la señora </w:t>
      </w:r>
      <w:r w:rsidR="00613FC6" w:rsidRPr="00D55B3D">
        <w:rPr>
          <w:rFonts w:cs="Tahoma"/>
          <w:szCs w:val="24"/>
          <w:lang w:val="es-CO"/>
        </w:rPr>
        <w:t>María</w:t>
      </w:r>
      <w:r w:rsidR="00277760" w:rsidRPr="00D55B3D">
        <w:rPr>
          <w:rFonts w:cs="Tahoma"/>
          <w:szCs w:val="24"/>
          <w:lang w:val="es-CO"/>
        </w:rPr>
        <w:t xml:space="preserve"> Teresa Rivera Herrera</w:t>
      </w:r>
      <w:r w:rsidR="00CD3A8B" w:rsidRPr="00D55B3D">
        <w:rPr>
          <w:rFonts w:cs="Tahoma"/>
          <w:szCs w:val="24"/>
          <w:lang w:val="es-CO"/>
        </w:rPr>
        <w:t xml:space="preserve"> es la única beneficiaria de la pensión de sobreviviente que dejó causada el señor </w:t>
      </w:r>
      <w:r w:rsidR="00277760" w:rsidRPr="00D55B3D">
        <w:rPr>
          <w:rFonts w:cs="Tahoma"/>
          <w:szCs w:val="24"/>
          <w:lang w:val="es-CO"/>
        </w:rPr>
        <w:t>Fabio Hernández Bejarano</w:t>
      </w:r>
      <w:r w:rsidR="00CD3A8B" w:rsidRPr="00D55B3D">
        <w:rPr>
          <w:rFonts w:cs="Tahoma"/>
          <w:szCs w:val="24"/>
          <w:lang w:val="es-CO"/>
        </w:rPr>
        <w:t>.</w:t>
      </w:r>
    </w:p>
    <w:p w14:paraId="17034600" w14:textId="77777777" w:rsidR="00277760" w:rsidRPr="00D55B3D" w:rsidRDefault="00277760" w:rsidP="00D55B3D">
      <w:pPr>
        <w:spacing w:line="276" w:lineRule="auto"/>
        <w:ind w:firstLine="360"/>
        <w:rPr>
          <w:rFonts w:cs="Tahoma"/>
          <w:szCs w:val="24"/>
          <w:lang w:val="es-CO"/>
        </w:rPr>
      </w:pPr>
    </w:p>
    <w:p w14:paraId="32838DBF" w14:textId="1E85EB69" w:rsidR="00CD3A8B" w:rsidRPr="00D55B3D" w:rsidRDefault="00277760" w:rsidP="00D55B3D">
      <w:pPr>
        <w:spacing w:line="276" w:lineRule="auto"/>
        <w:ind w:firstLine="360"/>
        <w:rPr>
          <w:rFonts w:cs="Tahoma"/>
          <w:szCs w:val="24"/>
          <w:lang w:val="es-CO"/>
        </w:rPr>
      </w:pPr>
      <w:r w:rsidRPr="00D55B3D">
        <w:rPr>
          <w:rFonts w:cs="Tahoma"/>
          <w:szCs w:val="24"/>
          <w:lang w:val="es-CO"/>
        </w:rPr>
        <w:t xml:space="preserve">Asimismo, declaró </w:t>
      </w:r>
      <w:r w:rsidR="00CD3A8B" w:rsidRPr="00D55B3D">
        <w:rPr>
          <w:rFonts w:cs="Tahoma"/>
          <w:szCs w:val="24"/>
          <w:lang w:val="es-CO"/>
        </w:rPr>
        <w:t xml:space="preserve">que la </w:t>
      </w:r>
      <w:r w:rsidR="00EC5F9F" w:rsidRPr="00D55B3D">
        <w:rPr>
          <w:rFonts w:cs="Tahoma"/>
          <w:szCs w:val="24"/>
          <w:lang w:val="es-CO"/>
        </w:rPr>
        <w:t>demandante tiene</w:t>
      </w:r>
      <w:r w:rsidR="00CD3A8B" w:rsidRPr="00D55B3D">
        <w:rPr>
          <w:rFonts w:cs="Tahoma"/>
          <w:szCs w:val="24"/>
          <w:lang w:val="es-CO"/>
        </w:rPr>
        <w:t xml:space="preserve"> derecho a que se le reconozca </w:t>
      </w:r>
      <w:r w:rsidRPr="00D55B3D">
        <w:rPr>
          <w:rFonts w:cs="Tahoma"/>
          <w:szCs w:val="24"/>
          <w:lang w:val="es-CO"/>
        </w:rPr>
        <w:t xml:space="preserve">la aludida prestación </w:t>
      </w:r>
      <w:r w:rsidR="00CD3A8B" w:rsidRPr="00D55B3D">
        <w:rPr>
          <w:rFonts w:cs="Tahoma"/>
          <w:szCs w:val="24"/>
          <w:lang w:val="es-CO"/>
        </w:rPr>
        <w:t>a partir del 25 de enero de 2017</w:t>
      </w:r>
      <w:r w:rsidRPr="00D55B3D">
        <w:rPr>
          <w:rFonts w:cs="Tahoma"/>
          <w:szCs w:val="24"/>
          <w:lang w:val="es-CO"/>
        </w:rPr>
        <w:t xml:space="preserve">, en cuantía del salario mínimo y por </w:t>
      </w:r>
      <w:r w:rsidR="00CD3A8B" w:rsidRPr="00D55B3D">
        <w:rPr>
          <w:rFonts w:cs="Tahoma"/>
          <w:szCs w:val="24"/>
          <w:lang w:val="es-CO"/>
        </w:rPr>
        <w:t>14 mesadas anuales</w:t>
      </w:r>
      <w:r w:rsidRPr="00D55B3D">
        <w:rPr>
          <w:rFonts w:cs="Tahoma"/>
          <w:szCs w:val="24"/>
          <w:lang w:val="es-CO"/>
        </w:rPr>
        <w:t xml:space="preserve">, por lo que condenó a Colpensiones a que le reconozca y </w:t>
      </w:r>
      <w:r w:rsidR="00EC5F9F" w:rsidRPr="00D55B3D">
        <w:rPr>
          <w:rFonts w:cs="Tahoma"/>
          <w:szCs w:val="24"/>
          <w:lang w:val="es-CO"/>
        </w:rPr>
        <w:t>pague, por</w:t>
      </w:r>
      <w:r w:rsidR="00CD3A8B" w:rsidRPr="00D55B3D">
        <w:rPr>
          <w:rFonts w:cs="Tahoma"/>
          <w:szCs w:val="24"/>
          <w:lang w:val="es-CO"/>
        </w:rPr>
        <w:t xml:space="preserve">   concepto   de   retroactivo pensional</w:t>
      </w:r>
      <w:r w:rsidRPr="00D55B3D">
        <w:rPr>
          <w:rFonts w:cs="Tahoma"/>
          <w:szCs w:val="24"/>
          <w:lang w:val="es-CO"/>
        </w:rPr>
        <w:t>,</w:t>
      </w:r>
      <w:r w:rsidR="00CD3A8B" w:rsidRPr="00D55B3D">
        <w:rPr>
          <w:rFonts w:cs="Tahoma"/>
          <w:szCs w:val="24"/>
          <w:lang w:val="es-CO"/>
        </w:rPr>
        <w:t xml:space="preserve"> la suma de </w:t>
      </w:r>
      <w:r w:rsidR="00B36FF5" w:rsidRPr="00D55B3D">
        <w:rPr>
          <w:rFonts w:cs="Tahoma"/>
          <w:szCs w:val="24"/>
          <w:lang w:val="es-CO"/>
        </w:rPr>
        <w:t>$</w:t>
      </w:r>
      <w:r w:rsidR="00CD3A8B" w:rsidRPr="00D55B3D">
        <w:rPr>
          <w:rFonts w:cs="Tahoma"/>
          <w:szCs w:val="24"/>
          <w:lang w:val="es-CO"/>
        </w:rPr>
        <w:t>46</w:t>
      </w:r>
      <w:r w:rsidR="00B36FF5" w:rsidRPr="00D55B3D">
        <w:rPr>
          <w:rFonts w:cs="Tahoma"/>
          <w:szCs w:val="24"/>
          <w:lang w:val="es-CO"/>
        </w:rPr>
        <w:t>.</w:t>
      </w:r>
      <w:r w:rsidR="00CD3A8B" w:rsidRPr="00D55B3D">
        <w:rPr>
          <w:rFonts w:cs="Tahoma"/>
          <w:szCs w:val="24"/>
          <w:lang w:val="es-CO"/>
        </w:rPr>
        <w:t>375.170</w:t>
      </w:r>
      <w:r w:rsidRPr="00D55B3D">
        <w:rPr>
          <w:rFonts w:cs="Tahoma"/>
          <w:szCs w:val="24"/>
          <w:lang w:val="es-CO"/>
        </w:rPr>
        <w:t>, así como los</w:t>
      </w:r>
      <w:r w:rsidR="00CD3A8B" w:rsidRPr="00D55B3D">
        <w:rPr>
          <w:rFonts w:cs="Tahoma"/>
          <w:szCs w:val="24"/>
          <w:lang w:val="es-CO"/>
        </w:rPr>
        <w:t xml:space="preserve"> intereses moratorios del artículo 141 de la </w:t>
      </w:r>
      <w:r w:rsidRPr="00D55B3D">
        <w:rPr>
          <w:rFonts w:cs="Tahoma"/>
          <w:szCs w:val="24"/>
          <w:lang w:val="es-CO"/>
        </w:rPr>
        <w:t>L</w:t>
      </w:r>
      <w:r w:rsidR="00CD3A8B" w:rsidRPr="00D55B3D">
        <w:rPr>
          <w:rFonts w:cs="Tahoma"/>
          <w:szCs w:val="24"/>
          <w:lang w:val="es-CO"/>
        </w:rPr>
        <w:t xml:space="preserve">ey 100 de </w:t>
      </w:r>
      <w:r w:rsidR="00EC5F9F" w:rsidRPr="00D55B3D">
        <w:rPr>
          <w:rFonts w:cs="Tahoma"/>
          <w:szCs w:val="24"/>
          <w:lang w:val="es-CO"/>
        </w:rPr>
        <w:t>1993, a partir</w:t>
      </w:r>
      <w:r w:rsidR="00CD3A8B" w:rsidRPr="00D55B3D">
        <w:rPr>
          <w:rFonts w:cs="Tahoma"/>
          <w:szCs w:val="24"/>
          <w:lang w:val="es-CO"/>
        </w:rPr>
        <w:t xml:space="preserve"> del </w:t>
      </w:r>
      <w:r w:rsidR="00EC5F9F" w:rsidRPr="00D55B3D">
        <w:rPr>
          <w:rFonts w:cs="Tahoma"/>
          <w:szCs w:val="24"/>
          <w:lang w:val="es-CO"/>
        </w:rPr>
        <w:t>17 de mayo de</w:t>
      </w:r>
      <w:r w:rsidRPr="00D55B3D">
        <w:rPr>
          <w:rFonts w:cs="Tahoma"/>
          <w:szCs w:val="24"/>
          <w:lang w:val="es-CO"/>
        </w:rPr>
        <w:t xml:space="preserve"> </w:t>
      </w:r>
      <w:r w:rsidR="00EC5F9F" w:rsidRPr="00D55B3D">
        <w:rPr>
          <w:rFonts w:cs="Tahoma"/>
          <w:szCs w:val="24"/>
          <w:lang w:val="es-CO"/>
        </w:rPr>
        <w:t>2018 hasta el pago total de la</w:t>
      </w:r>
      <w:r w:rsidR="00CD3A8B" w:rsidRPr="00D55B3D">
        <w:rPr>
          <w:rFonts w:cs="Tahoma"/>
          <w:szCs w:val="24"/>
          <w:lang w:val="es-CO"/>
        </w:rPr>
        <w:t xml:space="preserve"> obligación.  </w:t>
      </w:r>
    </w:p>
    <w:p w14:paraId="24E030C1" w14:textId="77777777" w:rsidR="00400519" w:rsidRPr="00D55B3D" w:rsidRDefault="00400519" w:rsidP="00D55B3D">
      <w:pPr>
        <w:spacing w:line="276" w:lineRule="auto"/>
        <w:ind w:firstLine="360"/>
        <w:rPr>
          <w:rFonts w:cs="Tahoma"/>
          <w:szCs w:val="24"/>
          <w:lang w:val="es-CO"/>
        </w:rPr>
      </w:pPr>
    </w:p>
    <w:p w14:paraId="723A3885" w14:textId="5623DF7A" w:rsidR="00400519" w:rsidRPr="00D55B3D" w:rsidRDefault="00277760" w:rsidP="00D55B3D">
      <w:pPr>
        <w:spacing w:line="276" w:lineRule="auto"/>
        <w:ind w:firstLine="360"/>
        <w:rPr>
          <w:rFonts w:cs="Tahoma"/>
          <w:szCs w:val="24"/>
          <w:lang w:val="es-CO"/>
        </w:rPr>
      </w:pPr>
      <w:r w:rsidRPr="00D55B3D">
        <w:rPr>
          <w:rFonts w:cs="Tahoma"/>
          <w:szCs w:val="24"/>
          <w:lang w:val="es-CO"/>
        </w:rPr>
        <w:t>Finalmente, condenó a Colpensiones al pago del 80% de las costas procesales a favor de la actora.</w:t>
      </w:r>
    </w:p>
    <w:p w14:paraId="3941333F" w14:textId="1557CF42" w:rsidR="00CF2B9B" w:rsidRPr="00D55B3D" w:rsidRDefault="00CF2B9B" w:rsidP="00D55B3D">
      <w:pPr>
        <w:spacing w:line="276" w:lineRule="auto"/>
        <w:ind w:firstLine="360"/>
        <w:rPr>
          <w:rFonts w:cs="Tahoma"/>
          <w:szCs w:val="24"/>
          <w:lang w:val="es-CO"/>
        </w:rPr>
      </w:pPr>
    </w:p>
    <w:p w14:paraId="12FB27F2" w14:textId="70AF3D07" w:rsidR="00B36FF5" w:rsidRPr="00D55B3D" w:rsidRDefault="00CF2B9B" w:rsidP="00D55B3D">
      <w:pPr>
        <w:spacing w:line="276" w:lineRule="auto"/>
        <w:ind w:firstLine="360"/>
        <w:rPr>
          <w:rFonts w:cs="Tahoma"/>
          <w:szCs w:val="24"/>
          <w:lang w:val="es-CO"/>
        </w:rPr>
      </w:pPr>
      <w:r w:rsidRPr="00D55B3D">
        <w:rPr>
          <w:rFonts w:cs="Tahoma"/>
          <w:szCs w:val="24"/>
          <w:lang w:val="es-CO"/>
        </w:rPr>
        <w:t>Para llegar a tal determinación la A-quo manifestó que</w:t>
      </w:r>
      <w:r w:rsidR="00B36FF5" w:rsidRPr="00D55B3D">
        <w:rPr>
          <w:rFonts w:cs="Tahoma"/>
          <w:szCs w:val="24"/>
          <w:lang w:val="es-CO"/>
        </w:rPr>
        <w:t>, al encontrarse vigente el vínculo matrimonial que ató a la demandante con el señor</w:t>
      </w:r>
      <w:r w:rsidRPr="00D55B3D">
        <w:rPr>
          <w:rFonts w:cs="Tahoma"/>
          <w:szCs w:val="24"/>
          <w:lang w:val="es-CO"/>
        </w:rPr>
        <w:t xml:space="preserve"> </w:t>
      </w:r>
      <w:r w:rsidR="00B36FF5" w:rsidRPr="00D55B3D">
        <w:rPr>
          <w:rFonts w:cs="Tahoma"/>
          <w:szCs w:val="24"/>
          <w:lang w:val="es-CO"/>
        </w:rPr>
        <w:t xml:space="preserve">Fabio Hernández Bejarano al momento en que este falleció, los cinco años de convivencia podían demostrarse en cualquier época, de conformidad con el precedente a la Sala de Casación de Justicia; por ello, al analizar las pruebas recaudadas, concluyó que la pareja convivió por un interregno aproximado de 25 años, desde el momento de su matrimonio, llevado a cabo en 1971, hasta el año 1996, </w:t>
      </w:r>
      <w:r w:rsidR="005462CC" w:rsidRPr="00D55B3D">
        <w:rPr>
          <w:rFonts w:cs="Tahoma"/>
          <w:szCs w:val="24"/>
          <w:lang w:val="es-CO"/>
        </w:rPr>
        <w:t>año</w:t>
      </w:r>
      <w:r w:rsidR="00B36FF5" w:rsidRPr="00D55B3D">
        <w:rPr>
          <w:rFonts w:cs="Tahoma"/>
          <w:szCs w:val="24"/>
          <w:lang w:val="es-CO"/>
        </w:rPr>
        <w:t xml:space="preserve"> en </w:t>
      </w:r>
      <w:r w:rsidR="005462CC" w:rsidRPr="00D55B3D">
        <w:rPr>
          <w:rFonts w:cs="Tahoma"/>
          <w:szCs w:val="24"/>
          <w:lang w:val="es-CO"/>
        </w:rPr>
        <w:t>e</w:t>
      </w:r>
      <w:r w:rsidR="00B36FF5" w:rsidRPr="00D55B3D">
        <w:rPr>
          <w:rFonts w:cs="Tahoma"/>
          <w:szCs w:val="24"/>
          <w:lang w:val="es-CO"/>
        </w:rPr>
        <w:t>l</w:t>
      </w:r>
      <w:r w:rsidR="005462CC" w:rsidRPr="00D55B3D">
        <w:rPr>
          <w:rFonts w:cs="Tahoma"/>
          <w:szCs w:val="24"/>
          <w:lang w:val="es-CO"/>
        </w:rPr>
        <w:t xml:space="preserve"> que la</w:t>
      </w:r>
      <w:r w:rsidR="00B36FF5" w:rsidRPr="00D55B3D">
        <w:rPr>
          <w:rFonts w:cs="Tahoma"/>
          <w:szCs w:val="24"/>
          <w:lang w:val="es-CO"/>
        </w:rPr>
        <w:t xml:space="preserve"> actora se fue a vivir a España.</w:t>
      </w:r>
    </w:p>
    <w:p w14:paraId="1C84376E" w14:textId="174F4291" w:rsidR="00B36FF5" w:rsidRPr="00D55B3D" w:rsidRDefault="00B36FF5" w:rsidP="00D55B3D">
      <w:pPr>
        <w:spacing w:line="276" w:lineRule="auto"/>
        <w:ind w:firstLine="360"/>
        <w:rPr>
          <w:rFonts w:cs="Tahoma"/>
          <w:szCs w:val="24"/>
          <w:lang w:val="es-CO"/>
        </w:rPr>
      </w:pPr>
    </w:p>
    <w:p w14:paraId="56B972B7" w14:textId="160BED96" w:rsidR="00B36FF5" w:rsidRPr="00D55B3D" w:rsidRDefault="00B36FF5" w:rsidP="00D55B3D">
      <w:pPr>
        <w:spacing w:line="276" w:lineRule="auto"/>
        <w:ind w:firstLine="360"/>
        <w:rPr>
          <w:rFonts w:cs="Tahoma"/>
          <w:szCs w:val="24"/>
          <w:lang w:val="es-CO"/>
        </w:rPr>
      </w:pPr>
      <w:r w:rsidRPr="00D55B3D">
        <w:rPr>
          <w:rFonts w:cs="Tahoma"/>
          <w:szCs w:val="24"/>
          <w:lang w:val="es-CO"/>
        </w:rPr>
        <w:t xml:space="preserve">Así las cosas, ordenó el reconocimiento del retroactivo pensional desde la fecha del óbito del señor </w:t>
      </w:r>
      <w:r w:rsidR="00EC5F9F" w:rsidRPr="00D55B3D">
        <w:rPr>
          <w:rFonts w:cs="Tahoma"/>
          <w:szCs w:val="24"/>
          <w:lang w:val="es-CO"/>
        </w:rPr>
        <w:t>Hernández</w:t>
      </w:r>
      <w:r w:rsidRPr="00D55B3D">
        <w:rPr>
          <w:rFonts w:cs="Tahoma"/>
          <w:szCs w:val="24"/>
          <w:lang w:val="es-CO"/>
        </w:rPr>
        <w:t xml:space="preserve">, 25 de enero de 2017, el cual estimó, a la fecha de la sentencia, en $46.375.170, calculado con base en el salario mínimo y sobre 14 mesadas, mismas que </w:t>
      </w:r>
      <w:r w:rsidR="005462CC" w:rsidRPr="00D55B3D">
        <w:rPr>
          <w:rFonts w:cs="Tahoma"/>
          <w:szCs w:val="24"/>
          <w:lang w:val="es-CO"/>
        </w:rPr>
        <w:t xml:space="preserve">le </w:t>
      </w:r>
      <w:r w:rsidRPr="00D55B3D">
        <w:rPr>
          <w:rFonts w:cs="Tahoma"/>
          <w:szCs w:val="24"/>
          <w:lang w:val="es-CO"/>
        </w:rPr>
        <w:t>fueron reconocidas al pensionado.</w:t>
      </w:r>
    </w:p>
    <w:p w14:paraId="0DF021DD" w14:textId="504FCDDC" w:rsidR="00B36FF5" w:rsidRPr="00D55B3D" w:rsidRDefault="00B36FF5" w:rsidP="00D55B3D">
      <w:pPr>
        <w:spacing w:line="276" w:lineRule="auto"/>
        <w:ind w:firstLine="360"/>
        <w:rPr>
          <w:rFonts w:cs="Tahoma"/>
          <w:szCs w:val="24"/>
          <w:lang w:val="es-CO"/>
        </w:rPr>
      </w:pPr>
    </w:p>
    <w:p w14:paraId="20996211" w14:textId="44632D19" w:rsidR="00B36FF5" w:rsidRPr="00D55B3D" w:rsidRDefault="00167BA0" w:rsidP="00D55B3D">
      <w:pPr>
        <w:spacing w:line="276" w:lineRule="auto"/>
        <w:ind w:firstLine="360"/>
        <w:rPr>
          <w:rStyle w:val="normaltextrun"/>
          <w:rFonts w:cs="Tahoma"/>
          <w:szCs w:val="24"/>
        </w:rPr>
      </w:pPr>
      <w:r w:rsidRPr="00D55B3D">
        <w:rPr>
          <w:rFonts w:cs="Tahoma"/>
          <w:szCs w:val="24"/>
          <w:lang w:val="es-CO"/>
        </w:rPr>
        <w:t xml:space="preserve">Frente a los intereses moratorios, refirió que los mismos correrían a partir del </w:t>
      </w:r>
      <w:r w:rsidR="00EC5F9F" w:rsidRPr="00D55B3D">
        <w:rPr>
          <w:rFonts w:cs="Tahoma"/>
          <w:szCs w:val="24"/>
          <w:lang w:val="es-CO"/>
        </w:rPr>
        <w:t>17 de</w:t>
      </w:r>
      <w:r w:rsidRPr="00D55B3D">
        <w:rPr>
          <w:rFonts w:cs="Tahoma"/>
          <w:szCs w:val="24"/>
          <w:lang w:val="es-CO"/>
        </w:rPr>
        <w:t xml:space="preserve"> mayo de 2018, día siguiente a aquel en el que quedó en firme la Resolución </w:t>
      </w:r>
      <w:r w:rsidRPr="00D55B3D">
        <w:rPr>
          <w:rStyle w:val="normaltextrun"/>
          <w:rFonts w:cs="Tahoma"/>
          <w:szCs w:val="24"/>
        </w:rPr>
        <w:t>DIR 5012 de 2018, por medio de la cual revocó la pensión reconocida a la señora María Otilia Franco.</w:t>
      </w:r>
    </w:p>
    <w:p w14:paraId="0804E997" w14:textId="3F81F4E9" w:rsidR="00167BA0" w:rsidRPr="00D55B3D" w:rsidRDefault="00167BA0" w:rsidP="00D55B3D">
      <w:pPr>
        <w:spacing w:line="276" w:lineRule="auto"/>
        <w:ind w:firstLine="360"/>
        <w:rPr>
          <w:rStyle w:val="normaltextrun"/>
          <w:rFonts w:cs="Tahoma"/>
          <w:szCs w:val="24"/>
        </w:rPr>
      </w:pPr>
    </w:p>
    <w:p w14:paraId="779D6B2E" w14:textId="1AD8E326" w:rsidR="00167BA0" w:rsidRPr="00D55B3D" w:rsidRDefault="00167BA0" w:rsidP="00D55B3D">
      <w:pPr>
        <w:spacing w:line="276" w:lineRule="auto"/>
        <w:ind w:firstLine="360"/>
        <w:rPr>
          <w:rFonts w:cs="Tahoma"/>
          <w:szCs w:val="24"/>
          <w:lang w:val="es-CO"/>
        </w:rPr>
      </w:pPr>
      <w:r w:rsidRPr="00D55B3D">
        <w:rPr>
          <w:rStyle w:val="normaltextrun"/>
          <w:rFonts w:cs="Tahoma"/>
          <w:szCs w:val="24"/>
        </w:rPr>
        <w:t xml:space="preserve">Finalmente, señaló que Colpensiones adelantaría las gestiones pertinentes para recuperar los dineros reconocidos, por concepto de pensión de sobrevivientes, a la señora María Otilia Franco, tal como la misma entidad lo manifestara dentro del </w:t>
      </w:r>
      <w:r w:rsidR="00302CBB" w:rsidRPr="00D55B3D">
        <w:rPr>
          <w:rStyle w:val="normaltextrun"/>
          <w:rFonts w:cs="Tahoma"/>
          <w:szCs w:val="24"/>
        </w:rPr>
        <w:t>trámite administrativo.</w:t>
      </w:r>
    </w:p>
    <w:p w14:paraId="6EF69E49" w14:textId="77777777" w:rsidR="009220FE" w:rsidRPr="00D55B3D" w:rsidRDefault="009220FE" w:rsidP="00D55B3D">
      <w:pPr>
        <w:spacing w:line="276" w:lineRule="auto"/>
        <w:rPr>
          <w:rFonts w:cs="Tahoma"/>
          <w:szCs w:val="24"/>
        </w:rPr>
      </w:pPr>
    </w:p>
    <w:p w14:paraId="62F918D7" w14:textId="2075FFC0" w:rsidR="00790DA9" w:rsidRPr="00D55B3D" w:rsidRDefault="00790DA9" w:rsidP="00D55B3D">
      <w:pPr>
        <w:pStyle w:val="Prrafodelista"/>
        <w:numPr>
          <w:ilvl w:val="0"/>
          <w:numId w:val="1"/>
        </w:numPr>
        <w:spacing w:line="276" w:lineRule="auto"/>
        <w:ind w:left="426" w:hanging="426"/>
        <w:jc w:val="center"/>
        <w:rPr>
          <w:rFonts w:cs="Tahoma"/>
          <w:b/>
          <w:bCs/>
          <w:szCs w:val="24"/>
        </w:rPr>
      </w:pPr>
      <w:r w:rsidRPr="00D55B3D">
        <w:rPr>
          <w:rFonts w:cs="Tahoma"/>
          <w:b/>
          <w:bCs/>
          <w:szCs w:val="24"/>
        </w:rPr>
        <w:t>Recurso de apelación</w:t>
      </w:r>
      <w:r w:rsidR="00FA290F" w:rsidRPr="00D55B3D">
        <w:rPr>
          <w:rFonts w:cs="Tahoma"/>
          <w:b/>
          <w:bCs/>
          <w:szCs w:val="24"/>
        </w:rPr>
        <w:t xml:space="preserve"> y procedencia de la consulta</w:t>
      </w:r>
    </w:p>
    <w:p w14:paraId="093AE73F" w14:textId="679D399E" w:rsidR="00790DA9" w:rsidRPr="00D55B3D" w:rsidRDefault="00790DA9" w:rsidP="00D55B3D">
      <w:pPr>
        <w:spacing w:line="276" w:lineRule="auto"/>
        <w:ind w:left="360"/>
        <w:rPr>
          <w:rFonts w:cs="Tahoma"/>
          <w:b/>
          <w:bCs/>
          <w:szCs w:val="24"/>
        </w:rPr>
      </w:pPr>
    </w:p>
    <w:p w14:paraId="0C7963D7" w14:textId="6FD83CC3" w:rsidR="00302CBB" w:rsidRPr="00D55B3D" w:rsidRDefault="00302CBB" w:rsidP="00D55B3D">
      <w:pPr>
        <w:spacing w:line="276" w:lineRule="auto"/>
        <w:ind w:firstLine="360"/>
        <w:rPr>
          <w:rFonts w:cs="Tahoma"/>
          <w:szCs w:val="24"/>
        </w:rPr>
      </w:pPr>
      <w:r w:rsidRPr="00D55B3D">
        <w:rPr>
          <w:rFonts w:cs="Tahoma"/>
          <w:szCs w:val="24"/>
        </w:rPr>
        <w:t>La apoderada judicial de Colpensiones apeló el fallo alegando que</w:t>
      </w:r>
      <w:r w:rsidR="005462CC" w:rsidRPr="00D55B3D">
        <w:rPr>
          <w:rFonts w:cs="Tahoma"/>
          <w:szCs w:val="24"/>
        </w:rPr>
        <w:t>,</w:t>
      </w:r>
      <w:r w:rsidRPr="00D55B3D">
        <w:rPr>
          <w:rFonts w:cs="Tahoma"/>
          <w:szCs w:val="24"/>
        </w:rPr>
        <w:t xml:space="preserve"> al haber existido una separación de hecho entre la demandante y el causante, se suspendieron los efectos de la convivencia, por lo que no había lugar a tener a la actora como beneficiaria de la prestación.</w:t>
      </w:r>
    </w:p>
    <w:p w14:paraId="70A76D13" w14:textId="621064C4" w:rsidR="00302CBB" w:rsidRPr="00D55B3D" w:rsidRDefault="00302CBB" w:rsidP="00D55B3D">
      <w:pPr>
        <w:spacing w:line="276" w:lineRule="auto"/>
        <w:ind w:firstLine="360"/>
        <w:rPr>
          <w:rFonts w:cs="Tahoma"/>
          <w:szCs w:val="24"/>
        </w:rPr>
      </w:pPr>
    </w:p>
    <w:p w14:paraId="29F69E94" w14:textId="4763B813" w:rsidR="00302CBB" w:rsidRPr="00D55B3D" w:rsidRDefault="00302CBB" w:rsidP="00D55B3D">
      <w:pPr>
        <w:spacing w:line="276" w:lineRule="auto"/>
        <w:ind w:firstLine="360"/>
        <w:rPr>
          <w:rFonts w:cs="Tahoma"/>
          <w:szCs w:val="24"/>
        </w:rPr>
      </w:pPr>
      <w:r w:rsidRPr="00D55B3D">
        <w:rPr>
          <w:rFonts w:cs="Tahoma"/>
          <w:szCs w:val="24"/>
        </w:rPr>
        <w:t>Por otra parte, solicitó que se revocara la condena de los intereses moratorios en razón a que el reconocimiento de la pensión se dio con ocasión de una variación jurisprudencial; además, tampoco había lugar a la condena en costas por cuanto esa entidad siempre aplicó la normatividad correspondiente al caso concreto.</w:t>
      </w:r>
    </w:p>
    <w:p w14:paraId="6B51E495" w14:textId="77777777" w:rsidR="00302CBB" w:rsidRPr="00D55B3D" w:rsidRDefault="00302CBB" w:rsidP="00D55B3D">
      <w:pPr>
        <w:spacing w:line="276" w:lineRule="auto"/>
        <w:ind w:firstLine="360"/>
        <w:rPr>
          <w:rFonts w:cs="Tahoma"/>
          <w:szCs w:val="24"/>
        </w:rPr>
      </w:pPr>
    </w:p>
    <w:p w14:paraId="4E6AED37" w14:textId="7BCF727F" w:rsidR="00B33A2C" w:rsidRPr="00D55B3D" w:rsidRDefault="00302CBB" w:rsidP="00D55B3D">
      <w:pPr>
        <w:spacing w:line="276" w:lineRule="auto"/>
        <w:ind w:firstLine="360"/>
        <w:rPr>
          <w:rFonts w:cs="Tahoma"/>
          <w:szCs w:val="24"/>
        </w:rPr>
      </w:pPr>
      <w:r w:rsidRPr="00D55B3D">
        <w:rPr>
          <w:rFonts w:cs="Tahoma"/>
          <w:szCs w:val="24"/>
        </w:rPr>
        <w:t>Tal como se advirtiera previamente, la decisión de primer grado se conoce en sede jurisdiccional de consulta al haber sido condenada la Administradora Colombiana de Pensiones – Colpensiones.</w:t>
      </w:r>
    </w:p>
    <w:p w14:paraId="13B4951D" w14:textId="77777777" w:rsidR="009220FE" w:rsidRPr="00D55B3D" w:rsidRDefault="009220FE" w:rsidP="00D55B3D">
      <w:pPr>
        <w:spacing w:line="276" w:lineRule="auto"/>
        <w:rPr>
          <w:rFonts w:cs="Tahoma"/>
          <w:szCs w:val="24"/>
        </w:rPr>
      </w:pPr>
    </w:p>
    <w:p w14:paraId="771B2564" w14:textId="072CE957" w:rsidR="00B33A2C" w:rsidRPr="00D55B3D" w:rsidRDefault="00B33A2C" w:rsidP="00D55B3D">
      <w:pPr>
        <w:pStyle w:val="Prrafodelista"/>
        <w:numPr>
          <w:ilvl w:val="0"/>
          <w:numId w:val="1"/>
        </w:numPr>
        <w:spacing w:line="276" w:lineRule="auto"/>
        <w:jc w:val="center"/>
        <w:rPr>
          <w:rFonts w:eastAsia="Times New Roman" w:cs="Tahoma"/>
          <w:b/>
          <w:bCs/>
          <w:szCs w:val="24"/>
          <w:lang w:val="es-ES_tradnl" w:eastAsia="es-ES"/>
        </w:rPr>
      </w:pPr>
      <w:r w:rsidRPr="00D55B3D">
        <w:rPr>
          <w:rFonts w:eastAsia="Times New Roman" w:cs="Tahoma"/>
          <w:b/>
          <w:bCs/>
          <w:szCs w:val="24"/>
          <w:lang w:val="es-ES_tradnl" w:eastAsia="es-ES"/>
        </w:rPr>
        <w:t>Alegatos de conclusión</w:t>
      </w:r>
    </w:p>
    <w:p w14:paraId="67765DB8" w14:textId="77777777" w:rsidR="00B33A2C" w:rsidRPr="00D55B3D" w:rsidRDefault="00B33A2C" w:rsidP="00D55B3D">
      <w:pPr>
        <w:spacing w:line="276" w:lineRule="auto"/>
        <w:rPr>
          <w:rFonts w:cs="Tahoma"/>
          <w:szCs w:val="24"/>
        </w:rPr>
      </w:pPr>
    </w:p>
    <w:p w14:paraId="55F81F7E" w14:textId="20F4E651" w:rsidR="00302CBB" w:rsidRPr="00D55B3D" w:rsidRDefault="00B33A2C" w:rsidP="00D55B3D">
      <w:pPr>
        <w:spacing w:line="276" w:lineRule="auto"/>
        <w:ind w:firstLine="360"/>
        <w:rPr>
          <w:rFonts w:cs="Tahoma"/>
          <w:szCs w:val="24"/>
        </w:rPr>
      </w:pPr>
      <w:r w:rsidRPr="00D55B3D">
        <w:rPr>
          <w:rFonts w:cs="Tahoma"/>
          <w:szCs w:val="24"/>
        </w:rPr>
        <w:t xml:space="preserve">Analizados los alegatos presentados por </w:t>
      </w:r>
      <w:r w:rsidR="00302CBB" w:rsidRPr="00D55B3D">
        <w:rPr>
          <w:rFonts w:cs="Tahoma"/>
          <w:szCs w:val="24"/>
        </w:rPr>
        <w:t xml:space="preserve">las partes </w:t>
      </w:r>
      <w:r w:rsidRPr="00D55B3D">
        <w:rPr>
          <w:rFonts w:cs="Tahoma"/>
          <w:szCs w:val="24"/>
        </w:rPr>
        <w:t>mediante escrito que obra</w:t>
      </w:r>
      <w:r w:rsidR="00613FC6">
        <w:rPr>
          <w:rFonts w:cs="Tahoma"/>
          <w:szCs w:val="24"/>
        </w:rPr>
        <w:t xml:space="preserve"> </w:t>
      </w:r>
      <w:r w:rsidRPr="00D55B3D">
        <w:rPr>
          <w:rFonts w:cs="Tahoma"/>
          <w:szCs w:val="24"/>
        </w:rPr>
        <w:t>en el expediente digital</w:t>
      </w:r>
      <w:r w:rsidR="00613FC6">
        <w:rPr>
          <w:rFonts w:cs="Tahoma"/>
          <w:szCs w:val="24"/>
        </w:rPr>
        <w:t xml:space="preserve"> </w:t>
      </w:r>
      <w:r w:rsidRPr="00D55B3D">
        <w:rPr>
          <w:rFonts w:cs="Tahoma"/>
          <w:szCs w:val="24"/>
        </w:rPr>
        <w:t>y al cual nos remitimos por economía procesal en virtud del artículo 280 del C.G.P., la Sala encuentra que los argumentos fácticos y jurídicos</w:t>
      </w:r>
      <w:r w:rsidR="00613FC6">
        <w:rPr>
          <w:rFonts w:cs="Tahoma"/>
          <w:szCs w:val="24"/>
        </w:rPr>
        <w:t xml:space="preserve"> </w:t>
      </w:r>
      <w:r w:rsidRPr="00D55B3D">
        <w:rPr>
          <w:rFonts w:cs="Tahoma"/>
          <w:szCs w:val="24"/>
        </w:rPr>
        <w:lastRenderedPageBreak/>
        <w:t>expresados</w:t>
      </w:r>
      <w:r w:rsidR="00613FC6">
        <w:rPr>
          <w:rFonts w:cs="Tahoma"/>
          <w:szCs w:val="24"/>
        </w:rPr>
        <w:t xml:space="preserve"> </w:t>
      </w:r>
      <w:r w:rsidRPr="00D55B3D">
        <w:rPr>
          <w:rFonts w:cs="Tahoma"/>
          <w:szCs w:val="24"/>
        </w:rPr>
        <w:t>concuerdan</w:t>
      </w:r>
      <w:r w:rsidR="00613FC6">
        <w:rPr>
          <w:rFonts w:cs="Tahoma"/>
          <w:szCs w:val="24"/>
        </w:rPr>
        <w:t xml:space="preserve"> </w:t>
      </w:r>
      <w:r w:rsidRPr="00D55B3D">
        <w:rPr>
          <w:rFonts w:cs="Tahoma"/>
          <w:szCs w:val="24"/>
        </w:rPr>
        <w:t>con</w:t>
      </w:r>
      <w:r w:rsidR="00613FC6">
        <w:rPr>
          <w:rFonts w:cs="Tahoma"/>
          <w:szCs w:val="24"/>
        </w:rPr>
        <w:t xml:space="preserve"> </w:t>
      </w:r>
      <w:r w:rsidRPr="00D55B3D">
        <w:rPr>
          <w:rFonts w:cs="Tahoma"/>
          <w:szCs w:val="24"/>
        </w:rPr>
        <w:t>los puntos objeto de discusión en esta instancia y se relacionan con el problema jurídico que se expresa a continuación. </w:t>
      </w:r>
    </w:p>
    <w:p w14:paraId="7EFD7237" w14:textId="77777777" w:rsidR="00302CBB" w:rsidRPr="00D55B3D" w:rsidRDefault="00302CBB" w:rsidP="00D55B3D">
      <w:pPr>
        <w:spacing w:line="276" w:lineRule="auto"/>
        <w:ind w:firstLine="360"/>
        <w:rPr>
          <w:rFonts w:cs="Tahoma"/>
          <w:szCs w:val="24"/>
        </w:rPr>
      </w:pPr>
    </w:p>
    <w:p w14:paraId="5FB4A20D" w14:textId="3583162D" w:rsidR="00302CBB" w:rsidRPr="00D55B3D" w:rsidRDefault="00B33A2C" w:rsidP="00D55B3D">
      <w:pPr>
        <w:spacing w:line="276" w:lineRule="auto"/>
        <w:ind w:firstLine="360"/>
        <w:rPr>
          <w:rFonts w:cs="Tahoma"/>
          <w:szCs w:val="24"/>
          <w:lang w:val="es-CO"/>
        </w:rPr>
      </w:pPr>
      <w:r w:rsidRPr="00D55B3D">
        <w:rPr>
          <w:rFonts w:cs="Tahoma"/>
          <w:szCs w:val="24"/>
        </w:rPr>
        <w:t>De otra parte, el Ministerio Público rindió concepto</w:t>
      </w:r>
      <w:r w:rsidR="00302CBB" w:rsidRPr="00D55B3D">
        <w:rPr>
          <w:rFonts w:cs="Tahoma"/>
          <w:szCs w:val="24"/>
        </w:rPr>
        <w:t xml:space="preserve"> en el cual indicó que </w:t>
      </w:r>
      <w:r w:rsidR="00302CBB" w:rsidRPr="00D55B3D">
        <w:rPr>
          <w:rFonts w:cs="Tahoma"/>
          <w:szCs w:val="24"/>
          <w:lang w:val="es-CO"/>
        </w:rPr>
        <w:t xml:space="preserve">la señora María Teresa Rivera Herrera satisfizo los requisitos para ser única beneficiaria del 100% de la sustitución pensional que dejó </w:t>
      </w:r>
      <w:r w:rsidR="00496280" w:rsidRPr="00D55B3D">
        <w:rPr>
          <w:rFonts w:cs="Tahoma"/>
          <w:szCs w:val="24"/>
          <w:lang w:val="es-CO"/>
        </w:rPr>
        <w:t>causada el</w:t>
      </w:r>
      <w:r w:rsidR="00302CBB" w:rsidRPr="00D55B3D">
        <w:rPr>
          <w:rFonts w:cs="Tahoma"/>
          <w:szCs w:val="24"/>
          <w:lang w:val="es-CO"/>
        </w:rPr>
        <w:t xml:space="preserve"> pensionado Fabio Hernández Bejarano, en forma vitalicia, equivalente a un salario mínimo legal vigente con 14</w:t>
      </w:r>
      <w:r w:rsidR="005462CC" w:rsidRPr="00D55B3D">
        <w:rPr>
          <w:rFonts w:cs="Tahoma"/>
          <w:szCs w:val="24"/>
          <w:lang w:val="es-CO"/>
        </w:rPr>
        <w:t xml:space="preserve"> </w:t>
      </w:r>
      <w:r w:rsidR="00302CBB" w:rsidRPr="00D55B3D">
        <w:rPr>
          <w:rFonts w:cs="Tahoma"/>
          <w:szCs w:val="24"/>
          <w:lang w:val="es-CO"/>
        </w:rPr>
        <w:t>mesadas anuales. Precis</w:t>
      </w:r>
      <w:r w:rsidR="005462CC" w:rsidRPr="00D55B3D">
        <w:rPr>
          <w:rFonts w:cs="Tahoma"/>
          <w:szCs w:val="24"/>
          <w:lang w:val="es-CO"/>
        </w:rPr>
        <w:t xml:space="preserve">ó </w:t>
      </w:r>
      <w:r w:rsidR="00302CBB" w:rsidRPr="00D55B3D">
        <w:rPr>
          <w:rFonts w:cs="Tahoma"/>
          <w:szCs w:val="24"/>
          <w:lang w:val="es-CO"/>
        </w:rPr>
        <w:t>que, el derecho a la prestación se adquiere desde el 25 de enero de 2017, día en el que el causante falleció, sin que se presente el fenómeno de la prescripción porque la actora adelantó la reclamación administrativa el 21 de noviembre de 2017 y la demanda la presentó el 01 de febrero</w:t>
      </w:r>
      <w:r w:rsidR="00496280">
        <w:rPr>
          <w:rFonts w:cs="Tahoma"/>
          <w:szCs w:val="24"/>
          <w:lang w:val="es-CO"/>
        </w:rPr>
        <w:t xml:space="preserve"> </w:t>
      </w:r>
      <w:r w:rsidR="00302CBB" w:rsidRPr="00D55B3D">
        <w:rPr>
          <w:rFonts w:cs="Tahoma"/>
          <w:szCs w:val="24"/>
          <w:lang w:val="es-CO"/>
        </w:rPr>
        <w:t>de 2019 y</w:t>
      </w:r>
      <w:r w:rsidR="008F2962" w:rsidRPr="00D55B3D">
        <w:rPr>
          <w:rFonts w:cs="Tahoma"/>
          <w:szCs w:val="24"/>
          <w:lang w:val="es-CO"/>
        </w:rPr>
        <w:t>,</w:t>
      </w:r>
      <w:r w:rsidR="00302CBB" w:rsidRPr="00D55B3D">
        <w:rPr>
          <w:rFonts w:cs="Tahoma"/>
          <w:szCs w:val="24"/>
          <w:lang w:val="es-CO"/>
        </w:rPr>
        <w:t xml:space="preserve"> por la misma razón</w:t>
      </w:r>
      <w:r w:rsidR="008F2962" w:rsidRPr="00D55B3D">
        <w:rPr>
          <w:rFonts w:cs="Tahoma"/>
          <w:szCs w:val="24"/>
          <w:lang w:val="es-CO"/>
        </w:rPr>
        <w:t>,</w:t>
      </w:r>
      <w:r w:rsidR="00302CBB" w:rsidRPr="00D55B3D">
        <w:rPr>
          <w:rFonts w:cs="Tahoma"/>
          <w:szCs w:val="24"/>
          <w:lang w:val="es-CO"/>
        </w:rPr>
        <w:t xml:space="preserve"> el retroactivo se causa a partir del 25 de enero de 2017 hasta cuando sea pagada la obligación.</w:t>
      </w:r>
    </w:p>
    <w:p w14:paraId="5B956096" w14:textId="77777777" w:rsidR="009220FE" w:rsidRPr="00D55B3D" w:rsidRDefault="009220FE" w:rsidP="00D55B3D">
      <w:pPr>
        <w:spacing w:line="276" w:lineRule="auto"/>
        <w:rPr>
          <w:rFonts w:cs="Tahoma"/>
          <w:szCs w:val="24"/>
        </w:rPr>
      </w:pPr>
    </w:p>
    <w:p w14:paraId="50418479" w14:textId="0CA74485" w:rsidR="00B33A2C" w:rsidRPr="00D55B3D" w:rsidRDefault="00B33A2C" w:rsidP="00D55B3D">
      <w:pPr>
        <w:numPr>
          <w:ilvl w:val="0"/>
          <w:numId w:val="1"/>
        </w:numPr>
        <w:spacing w:line="276" w:lineRule="auto"/>
        <w:contextualSpacing/>
        <w:jc w:val="center"/>
        <w:rPr>
          <w:rFonts w:eastAsia="Times New Roman" w:cs="Tahoma"/>
          <w:b/>
          <w:bCs/>
          <w:szCs w:val="24"/>
          <w:lang w:val="es-ES_tradnl" w:eastAsia="es-ES"/>
        </w:rPr>
      </w:pPr>
      <w:r w:rsidRPr="00D55B3D">
        <w:rPr>
          <w:rFonts w:eastAsia="Times New Roman" w:cs="Tahoma"/>
          <w:b/>
          <w:bCs/>
          <w:szCs w:val="24"/>
          <w:lang w:val="es-ES_tradnl" w:eastAsia="es-ES"/>
        </w:rPr>
        <w:t>Problema jurídico por resolver</w:t>
      </w:r>
    </w:p>
    <w:p w14:paraId="7C83EFF1" w14:textId="6E34638D" w:rsidR="00B33A2C" w:rsidRPr="00D55B3D" w:rsidRDefault="00B33A2C" w:rsidP="00D55B3D">
      <w:pPr>
        <w:spacing w:line="276" w:lineRule="auto"/>
        <w:rPr>
          <w:rFonts w:cs="Tahoma"/>
          <w:szCs w:val="24"/>
        </w:rPr>
      </w:pPr>
    </w:p>
    <w:p w14:paraId="20C9FE1F" w14:textId="7C9C2CFF" w:rsidR="008F2962" w:rsidRPr="00D55B3D" w:rsidRDefault="00B33A2C" w:rsidP="00D55B3D">
      <w:pPr>
        <w:spacing w:line="276" w:lineRule="auto"/>
        <w:ind w:firstLine="360"/>
        <w:rPr>
          <w:rFonts w:cs="Tahoma"/>
          <w:szCs w:val="24"/>
        </w:rPr>
      </w:pPr>
      <w:r w:rsidRPr="00D55B3D">
        <w:rPr>
          <w:rFonts w:cs="Tahoma"/>
          <w:szCs w:val="24"/>
        </w:rPr>
        <w:t>De acuerdo a los argumentos expuestos en la sentencia de primera instancia</w:t>
      </w:r>
      <w:r w:rsidR="006D0A97" w:rsidRPr="00D55B3D">
        <w:rPr>
          <w:rFonts w:cs="Tahoma"/>
          <w:szCs w:val="24"/>
        </w:rPr>
        <w:t>,</w:t>
      </w:r>
      <w:r w:rsidRPr="00D55B3D">
        <w:rPr>
          <w:rFonts w:cs="Tahoma"/>
          <w:szCs w:val="24"/>
        </w:rPr>
        <w:t xml:space="preserve"> los fundamentos de la apelación y los alegatos de conclusión, le corresponde a la Sala </w:t>
      </w:r>
      <w:r w:rsidR="006D0A97" w:rsidRPr="00D55B3D">
        <w:rPr>
          <w:rFonts w:cs="Tahoma"/>
          <w:szCs w:val="24"/>
        </w:rPr>
        <w:t xml:space="preserve">determinar </w:t>
      </w:r>
      <w:r w:rsidR="008F2962" w:rsidRPr="00D55B3D">
        <w:rPr>
          <w:rFonts w:cs="Tahoma"/>
          <w:szCs w:val="24"/>
        </w:rPr>
        <w:t>si la señora María Teresa Rivera acreditó los requisitos para ser beneficiaria de la pensión de sobrevivientes que reclama</w:t>
      </w:r>
      <w:r w:rsidR="00943FAF" w:rsidRPr="00D55B3D">
        <w:rPr>
          <w:rFonts w:cs="Tahoma"/>
          <w:szCs w:val="24"/>
        </w:rPr>
        <w:t>.</w:t>
      </w:r>
      <w:r w:rsidR="008F2962" w:rsidRPr="00D55B3D">
        <w:rPr>
          <w:rFonts w:cs="Tahoma"/>
          <w:szCs w:val="24"/>
        </w:rPr>
        <w:t> </w:t>
      </w:r>
    </w:p>
    <w:p w14:paraId="7693BCFE" w14:textId="77777777" w:rsidR="009220FE" w:rsidRPr="00D55B3D" w:rsidRDefault="009220FE" w:rsidP="00D55B3D">
      <w:pPr>
        <w:spacing w:line="276" w:lineRule="auto"/>
        <w:rPr>
          <w:rFonts w:cs="Tahoma"/>
          <w:szCs w:val="24"/>
        </w:rPr>
      </w:pPr>
    </w:p>
    <w:p w14:paraId="5DD1ED34" w14:textId="77777777" w:rsidR="00B33A2C" w:rsidRPr="00D55B3D" w:rsidRDefault="00B33A2C" w:rsidP="00D55B3D">
      <w:pPr>
        <w:numPr>
          <w:ilvl w:val="0"/>
          <w:numId w:val="1"/>
        </w:numPr>
        <w:spacing w:line="276" w:lineRule="auto"/>
        <w:contextualSpacing/>
        <w:jc w:val="center"/>
        <w:rPr>
          <w:rFonts w:eastAsia="Times New Roman" w:cs="Tahoma"/>
          <w:b/>
          <w:bCs/>
          <w:szCs w:val="24"/>
          <w:lang w:val="es-ES_tradnl" w:eastAsia="es-ES"/>
        </w:rPr>
      </w:pPr>
      <w:r w:rsidRPr="00D55B3D">
        <w:rPr>
          <w:rFonts w:eastAsia="Times New Roman" w:cs="Tahoma"/>
          <w:b/>
          <w:bCs/>
          <w:szCs w:val="24"/>
          <w:lang w:val="es-ES_tradnl" w:eastAsia="es-ES"/>
        </w:rPr>
        <w:t>Consideraciones</w:t>
      </w:r>
    </w:p>
    <w:p w14:paraId="5501A8C4" w14:textId="77777777" w:rsidR="002C7DFA" w:rsidRPr="00D55B3D" w:rsidRDefault="002C7DFA" w:rsidP="00D55B3D">
      <w:pPr>
        <w:widowControl w:val="0"/>
        <w:autoSpaceDE w:val="0"/>
        <w:autoSpaceDN w:val="0"/>
        <w:adjustRightInd w:val="0"/>
        <w:spacing w:line="276" w:lineRule="auto"/>
        <w:rPr>
          <w:rFonts w:cs="Tahoma"/>
          <w:b/>
          <w:spacing w:val="-2"/>
          <w:szCs w:val="24"/>
        </w:rPr>
      </w:pPr>
    </w:p>
    <w:p w14:paraId="5985C539" w14:textId="558ED5AA" w:rsidR="00B33A2C" w:rsidRPr="00D55B3D" w:rsidRDefault="002C7DFA" w:rsidP="00D55B3D">
      <w:pPr>
        <w:widowControl w:val="0"/>
        <w:autoSpaceDE w:val="0"/>
        <w:autoSpaceDN w:val="0"/>
        <w:adjustRightInd w:val="0"/>
        <w:spacing w:line="276" w:lineRule="auto"/>
        <w:ind w:firstLine="360"/>
        <w:rPr>
          <w:rFonts w:cs="Tahoma"/>
          <w:b/>
          <w:spacing w:val="-2"/>
          <w:szCs w:val="24"/>
        </w:rPr>
      </w:pPr>
      <w:r w:rsidRPr="00D55B3D">
        <w:rPr>
          <w:rFonts w:cs="Tahoma"/>
          <w:b/>
          <w:spacing w:val="-2"/>
          <w:szCs w:val="24"/>
        </w:rPr>
        <w:t>6.1 Pensión de sobrevivientes para el cónyuge separado – Requisitos</w:t>
      </w:r>
    </w:p>
    <w:p w14:paraId="1601A5FD" w14:textId="5560DA9C" w:rsidR="002C7DFA" w:rsidRPr="00D55B3D" w:rsidRDefault="002C7DFA" w:rsidP="00D55B3D">
      <w:pPr>
        <w:widowControl w:val="0"/>
        <w:autoSpaceDE w:val="0"/>
        <w:autoSpaceDN w:val="0"/>
        <w:adjustRightInd w:val="0"/>
        <w:spacing w:line="276" w:lineRule="auto"/>
        <w:ind w:firstLine="426"/>
        <w:rPr>
          <w:rFonts w:cs="Tahoma"/>
          <w:b/>
          <w:spacing w:val="-2"/>
          <w:szCs w:val="24"/>
        </w:rPr>
      </w:pPr>
    </w:p>
    <w:p w14:paraId="7FAF8276" w14:textId="73E00EED" w:rsidR="002C7DFA" w:rsidRPr="00D55B3D" w:rsidRDefault="002C7DFA" w:rsidP="00D55B3D">
      <w:pPr>
        <w:widowControl w:val="0"/>
        <w:autoSpaceDE w:val="0"/>
        <w:autoSpaceDN w:val="0"/>
        <w:adjustRightInd w:val="0"/>
        <w:spacing w:line="276" w:lineRule="auto"/>
        <w:ind w:firstLine="426"/>
        <w:rPr>
          <w:rFonts w:cs="Tahoma"/>
          <w:szCs w:val="24"/>
        </w:rPr>
      </w:pPr>
      <w:bookmarkStart w:id="1" w:name="_Hlk80257573"/>
      <w:r w:rsidRPr="00D55B3D">
        <w:rPr>
          <w:rFonts w:cs="Tahoma"/>
          <w:szCs w:val="24"/>
        </w:rPr>
        <w:t>A efectos de exponer el criterio actual de la Sala de Casación Laboral de la Corte Suprema de Justicia</w:t>
      </w:r>
      <w:r w:rsidR="008F2962" w:rsidRPr="00D55B3D">
        <w:rPr>
          <w:rFonts w:cs="Tahoma"/>
          <w:szCs w:val="24"/>
        </w:rPr>
        <w:t>,</w:t>
      </w:r>
      <w:r w:rsidRPr="00D55B3D">
        <w:rPr>
          <w:rFonts w:cs="Tahoma"/>
          <w:szCs w:val="24"/>
        </w:rPr>
        <w:t xml:space="preserve"> </w:t>
      </w:r>
      <w:r w:rsidR="008F2962" w:rsidRPr="00D55B3D">
        <w:rPr>
          <w:rFonts w:cs="Tahoma"/>
          <w:szCs w:val="24"/>
        </w:rPr>
        <w:t>frente a la calidad de beneficiarias de los o las cónyuges separadas de hecho, con un vínculo matrimonial vigente, se trae a colación la sentencia SL1</w:t>
      </w:r>
      <w:r w:rsidR="0042036D" w:rsidRPr="00D55B3D">
        <w:rPr>
          <w:rFonts w:cs="Tahoma"/>
          <w:szCs w:val="24"/>
        </w:rPr>
        <w:t>399</w:t>
      </w:r>
      <w:r w:rsidR="008F2962" w:rsidRPr="00D55B3D">
        <w:rPr>
          <w:rFonts w:cs="Tahoma"/>
          <w:szCs w:val="24"/>
        </w:rPr>
        <w:t xml:space="preserve"> de </w:t>
      </w:r>
      <w:r w:rsidR="0042036D" w:rsidRPr="00D55B3D">
        <w:rPr>
          <w:rFonts w:cs="Tahoma"/>
          <w:szCs w:val="24"/>
        </w:rPr>
        <w:t>2018</w:t>
      </w:r>
      <w:r w:rsidR="008F2962" w:rsidRPr="00D55B3D">
        <w:rPr>
          <w:rStyle w:val="Refdenotaalpie"/>
          <w:rFonts w:cs="Tahoma"/>
          <w:szCs w:val="24"/>
        </w:rPr>
        <w:footnoteReference w:id="2"/>
      </w:r>
      <w:r w:rsidR="008F2962" w:rsidRPr="00D55B3D">
        <w:rPr>
          <w:rFonts w:cs="Tahoma"/>
          <w:szCs w:val="24"/>
        </w:rPr>
        <w:t xml:space="preserve">, en la cual dicha Magistratura planteó lo siguiente: </w:t>
      </w:r>
    </w:p>
    <w:p w14:paraId="1205FA77" w14:textId="77777777" w:rsidR="002C7DFA" w:rsidRPr="00D55B3D" w:rsidRDefault="002C7DFA" w:rsidP="00D55B3D">
      <w:pPr>
        <w:widowControl w:val="0"/>
        <w:autoSpaceDE w:val="0"/>
        <w:autoSpaceDN w:val="0"/>
        <w:adjustRightInd w:val="0"/>
        <w:spacing w:line="276" w:lineRule="auto"/>
        <w:ind w:firstLine="426"/>
        <w:rPr>
          <w:rFonts w:cs="Tahoma"/>
          <w:bCs/>
          <w:szCs w:val="24"/>
        </w:rPr>
      </w:pPr>
    </w:p>
    <w:p w14:paraId="2905D0D2" w14:textId="77777777" w:rsidR="0042036D" w:rsidRPr="00496280" w:rsidRDefault="008F2962" w:rsidP="00496280">
      <w:pPr>
        <w:widowControl w:val="0"/>
        <w:autoSpaceDE w:val="0"/>
        <w:autoSpaceDN w:val="0"/>
        <w:adjustRightInd w:val="0"/>
        <w:spacing w:line="240" w:lineRule="auto"/>
        <w:ind w:left="426" w:right="420"/>
        <w:rPr>
          <w:rFonts w:cs="Tahoma"/>
          <w:sz w:val="22"/>
          <w:szCs w:val="24"/>
        </w:rPr>
      </w:pPr>
      <w:r w:rsidRPr="00496280">
        <w:rPr>
          <w:rFonts w:cs="Tahoma"/>
          <w:sz w:val="22"/>
          <w:szCs w:val="24"/>
          <w:lang w:val="es-CO"/>
        </w:rPr>
        <w:t>“</w:t>
      </w:r>
      <w:r w:rsidR="0042036D" w:rsidRPr="00496280">
        <w:rPr>
          <w:rFonts w:cs="Tahoma"/>
          <w:sz w:val="22"/>
          <w:szCs w:val="24"/>
        </w:rPr>
        <w:t xml:space="preserve">En tratándose de la relación del afiliado o pensionado con su cónyuge, esta Corporación ha defendido el criterio según el cual la convivencia por un lapso no inferior a 5 años puede ocurrir </w:t>
      </w:r>
      <w:r w:rsidR="0042036D" w:rsidRPr="00496280">
        <w:rPr>
          <w:rFonts w:cs="Tahoma"/>
          <w:i/>
          <w:sz w:val="22"/>
          <w:szCs w:val="24"/>
        </w:rPr>
        <w:t>en cualquier tiempo</w:t>
      </w:r>
      <w:r w:rsidR="0042036D" w:rsidRPr="00496280">
        <w:rPr>
          <w:rFonts w:cs="Tahoma"/>
          <w:sz w:val="22"/>
          <w:szCs w:val="24"/>
        </w:rPr>
        <w:t>,</w:t>
      </w:r>
      <w:r w:rsidR="0042036D" w:rsidRPr="00496280">
        <w:rPr>
          <w:rFonts w:cs="Tahoma"/>
          <w:b/>
          <w:sz w:val="22"/>
          <w:szCs w:val="24"/>
        </w:rPr>
        <w:t xml:space="preserve"> </w:t>
      </w:r>
      <w:r w:rsidR="0042036D" w:rsidRPr="00496280">
        <w:rPr>
          <w:rFonts w:cs="Tahoma"/>
          <w:sz w:val="22"/>
          <w:szCs w:val="24"/>
        </w:rPr>
        <w:t xml:space="preserve">siempre que el vínculo matrimonial se mantenga intacto. </w:t>
      </w:r>
    </w:p>
    <w:p w14:paraId="5F28CE7F" w14:textId="77777777" w:rsidR="0042036D" w:rsidRPr="00496280" w:rsidRDefault="0042036D" w:rsidP="00496280">
      <w:pPr>
        <w:widowControl w:val="0"/>
        <w:autoSpaceDE w:val="0"/>
        <w:autoSpaceDN w:val="0"/>
        <w:adjustRightInd w:val="0"/>
        <w:spacing w:line="240" w:lineRule="auto"/>
        <w:ind w:left="426" w:right="420"/>
        <w:rPr>
          <w:rFonts w:cs="Tahoma"/>
          <w:sz w:val="22"/>
          <w:szCs w:val="24"/>
        </w:rPr>
      </w:pPr>
    </w:p>
    <w:p w14:paraId="09524421" w14:textId="1E0BEC3F" w:rsidR="0042036D" w:rsidRPr="00496280" w:rsidRDefault="0042036D" w:rsidP="00496280">
      <w:pPr>
        <w:widowControl w:val="0"/>
        <w:autoSpaceDE w:val="0"/>
        <w:autoSpaceDN w:val="0"/>
        <w:adjustRightInd w:val="0"/>
        <w:spacing w:line="240" w:lineRule="auto"/>
        <w:ind w:left="426" w:right="420"/>
        <w:rPr>
          <w:rFonts w:cs="Tahoma"/>
          <w:sz w:val="22"/>
          <w:szCs w:val="24"/>
        </w:rPr>
      </w:pPr>
      <w:r w:rsidRPr="00496280">
        <w:rPr>
          <w:rFonts w:cs="Tahoma"/>
          <w:sz w:val="22"/>
          <w:szCs w:val="24"/>
        </w:rPr>
        <w:t xml:space="preserve">En efecto, a partir de la sentencia SL, 24 en. 2012, rad. 41637, esta Sala planteó que el cónyuge con unión matrimonial vigente, independientemente de si se encuentra </w:t>
      </w:r>
      <w:r w:rsidRPr="00496280">
        <w:rPr>
          <w:rFonts w:cs="Tahoma"/>
          <w:i/>
          <w:sz w:val="22"/>
          <w:szCs w:val="24"/>
        </w:rPr>
        <w:t>separado de hecho</w:t>
      </w:r>
      <w:r w:rsidRPr="00496280">
        <w:rPr>
          <w:rFonts w:cs="Tahoma"/>
          <w:sz w:val="22"/>
          <w:szCs w:val="24"/>
        </w:rPr>
        <w:t xml:space="preserve"> o no de su consorte, puede reclamar legítimamente la pensión de sobrevivientes por su fallecimiento, siempre que hubiese convivido con el (la) causante durante un interregno no inferior a 5 años, </w:t>
      </w:r>
      <w:r w:rsidRPr="00496280">
        <w:rPr>
          <w:rFonts w:cs="Tahoma"/>
          <w:i/>
          <w:sz w:val="22"/>
          <w:szCs w:val="24"/>
        </w:rPr>
        <w:t>en cualquier tiempo</w:t>
      </w:r>
      <w:r w:rsidRPr="00496280">
        <w:rPr>
          <w:rFonts w:cs="Tahoma"/>
          <w:sz w:val="22"/>
          <w:szCs w:val="24"/>
        </w:rPr>
        <w:t>.”</w:t>
      </w:r>
    </w:p>
    <w:bookmarkEnd w:id="1"/>
    <w:p w14:paraId="18C9597E" w14:textId="77777777" w:rsidR="009220FE" w:rsidRPr="00D55B3D" w:rsidRDefault="009220FE" w:rsidP="00D55B3D">
      <w:pPr>
        <w:pStyle w:val="Textoindependiente"/>
        <w:spacing w:line="276" w:lineRule="auto"/>
        <w:ind w:right="49"/>
        <w:contextualSpacing/>
        <w:rPr>
          <w:sz w:val="24"/>
          <w:szCs w:val="24"/>
          <w:lang w:val="es-CO"/>
        </w:rPr>
      </w:pPr>
    </w:p>
    <w:p w14:paraId="01A9DD67" w14:textId="39CF5397" w:rsidR="00D02450" w:rsidRPr="00D55B3D" w:rsidRDefault="001F4630" w:rsidP="00D55B3D">
      <w:pPr>
        <w:pStyle w:val="Textoindependiente"/>
        <w:numPr>
          <w:ilvl w:val="1"/>
          <w:numId w:val="1"/>
        </w:numPr>
        <w:spacing w:line="276" w:lineRule="auto"/>
        <w:ind w:left="993"/>
        <w:contextualSpacing/>
        <w:rPr>
          <w:b/>
          <w:sz w:val="24"/>
          <w:szCs w:val="24"/>
          <w:lang w:val="es-CO"/>
        </w:rPr>
      </w:pPr>
      <w:r w:rsidRPr="00D55B3D">
        <w:rPr>
          <w:b/>
          <w:sz w:val="24"/>
          <w:szCs w:val="24"/>
          <w:lang w:val="es-CO"/>
        </w:rPr>
        <w:t>Caso concreto</w:t>
      </w:r>
    </w:p>
    <w:p w14:paraId="3930BF3D" w14:textId="1E256C8A" w:rsidR="001F4630" w:rsidRPr="00D55B3D" w:rsidRDefault="001F4630" w:rsidP="00D55B3D">
      <w:pPr>
        <w:pStyle w:val="Textoindependiente"/>
        <w:spacing w:line="276" w:lineRule="auto"/>
        <w:ind w:left="360"/>
        <w:contextualSpacing/>
        <w:rPr>
          <w:b/>
          <w:sz w:val="24"/>
          <w:szCs w:val="24"/>
          <w:lang w:val="es-CO"/>
        </w:rPr>
      </w:pPr>
    </w:p>
    <w:p w14:paraId="53EDF04F" w14:textId="4B6E7825" w:rsidR="00B512D3" w:rsidRPr="00D55B3D" w:rsidRDefault="00943FAF" w:rsidP="00D55B3D">
      <w:pPr>
        <w:spacing w:line="276" w:lineRule="auto"/>
        <w:ind w:firstLine="709"/>
        <w:rPr>
          <w:rFonts w:cs="Tahoma"/>
          <w:bCs/>
          <w:szCs w:val="24"/>
          <w:lang w:val="es-ES_tradnl"/>
        </w:rPr>
      </w:pPr>
      <w:r w:rsidRPr="00D55B3D">
        <w:rPr>
          <w:rFonts w:cs="Tahoma"/>
          <w:bCs/>
          <w:szCs w:val="24"/>
          <w:lang w:val="es-ES_tradnl"/>
        </w:rPr>
        <w:t xml:space="preserve">En el presente caso </w:t>
      </w:r>
      <w:r w:rsidR="00B512D3" w:rsidRPr="00D55B3D">
        <w:rPr>
          <w:rFonts w:cs="Tahoma"/>
          <w:bCs/>
          <w:szCs w:val="24"/>
          <w:lang w:val="es-ES_tradnl"/>
        </w:rPr>
        <w:t xml:space="preserve">no es objeto de controversia que el señor </w:t>
      </w:r>
      <w:r w:rsidRPr="00D55B3D">
        <w:rPr>
          <w:rFonts w:cs="Tahoma"/>
          <w:bCs/>
          <w:szCs w:val="24"/>
          <w:lang w:val="es-ES_tradnl"/>
        </w:rPr>
        <w:t>e</w:t>
      </w:r>
      <w:r w:rsidR="00B512D3" w:rsidRPr="00D55B3D">
        <w:rPr>
          <w:rFonts w:cs="Tahoma"/>
          <w:bCs/>
          <w:szCs w:val="24"/>
          <w:lang w:val="es-ES_tradnl"/>
        </w:rPr>
        <w:t>l</w:t>
      </w:r>
      <w:r w:rsidR="00B512D3" w:rsidRPr="00D55B3D">
        <w:rPr>
          <w:rFonts w:cs="Tahoma"/>
          <w:szCs w:val="24"/>
          <w:lang w:val="es-CO"/>
        </w:rPr>
        <w:t xml:space="preserve"> Fabio Hernández Bejarano </w:t>
      </w:r>
      <w:r w:rsidRPr="00D55B3D">
        <w:rPr>
          <w:rFonts w:cs="Tahoma"/>
          <w:bCs/>
          <w:szCs w:val="24"/>
          <w:lang w:val="es-ES_tradnl"/>
        </w:rPr>
        <w:t xml:space="preserve">dejó causado el derecho a la pensión de sobrevivientes, por </w:t>
      </w:r>
      <w:r w:rsidRPr="00D55B3D">
        <w:rPr>
          <w:rFonts w:cs="Tahoma"/>
          <w:bCs/>
          <w:szCs w:val="24"/>
          <w:lang w:val="es-ES_tradnl"/>
        </w:rPr>
        <w:lastRenderedPageBreak/>
        <w:t xml:space="preserve">cuanto </w:t>
      </w:r>
      <w:r w:rsidR="00B512D3" w:rsidRPr="00D55B3D">
        <w:rPr>
          <w:rFonts w:cs="Tahoma"/>
          <w:bCs/>
          <w:szCs w:val="24"/>
          <w:lang w:val="es-ES_tradnl"/>
        </w:rPr>
        <w:t xml:space="preserve">percibía, al momento de su óbito, la pensión de vejez que le fuera reconocida por el Instituto de Seguros Sociales a través de la Resolución </w:t>
      </w:r>
      <w:r w:rsidR="00B512D3" w:rsidRPr="00D55B3D">
        <w:rPr>
          <w:rStyle w:val="normaltextrun"/>
          <w:rFonts w:cs="Tahoma"/>
          <w:szCs w:val="24"/>
        </w:rPr>
        <w:t>1170 de 2004.</w:t>
      </w:r>
    </w:p>
    <w:p w14:paraId="4156F079" w14:textId="77777777" w:rsidR="00B512D3" w:rsidRPr="00D55B3D" w:rsidRDefault="00B512D3" w:rsidP="00D55B3D">
      <w:pPr>
        <w:spacing w:line="276" w:lineRule="auto"/>
        <w:ind w:firstLine="709"/>
        <w:rPr>
          <w:rFonts w:cs="Tahoma"/>
          <w:bCs/>
          <w:szCs w:val="24"/>
          <w:lang w:val="es-ES_tradnl"/>
        </w:rPr>
      </w:pPr>
    </w:p>
    <w:p w14:paraId="2D4D0865" w14:textId="49FF2303" w:rsidR="00943FAF" w:rsidRPr="00D55B3D" w:rsidRDefault="00943FAF" w:rsidP="00D55B3D">
      <w:pPr>
        <w:spacing w:line="276" w:lineRule="auto"/>
        <w:ind w:firstLine="709"/>
        <w:rPr>
          <w:rFonts w:cs="Tahoma"/>
          <w:bCs/>
          <w:szCs w:val="24"/>
        </w:rPr>
      </w:pPr>
      <w:r w:rsidRPr="00D55B3D">
        <w:rPr>
          <w:rFonts w:cs="Tahoma"/>
          <w:bCs/>
          <w:szCs w:val="24"/>
        </w:rPr>
        <w:t>En lo que respecta a la calidad de beneficiari</w:t>
      </w:r>
      <w:r w:rsidR="00B512D3" w:rsidRPr="00D55B3D">
        <w:rPr>
          <w:rFonts w:cs="Tahoma"/>
          <w:bCs/>
          <w:szCs w:val="24"/>
        </w:rPr>
        <w:t xml:space="preserve">a que alega la señora María Teresa Rivera, </w:t>
      </w:r>
      <w:r w:rsidRPr="00D55B3D">
        <w:rPr>
          <w:rFonts w:cs="Tahoma"/>
          <w:bCs/>
          <w:szCs w:val="24"/>
        </w:rPr>
        <w:t xml:space="preserve">como cónyuge supérstite, se tiene que esta condición quedó probada con el registro de matrimonio </w:t>
      </w:r>
      <w:r w:rsidR="00B512D3" w:rsidRPr="00D55B3D">
        <w:rPr>
          <w:rFonts w:cs="Tahoma"/>
          <w:bCs/>
          <w:szCs w:val="24"/>
        </w:rPr>
        <w:t>allegado con la demanda</w:t>
      </w:r>
      <w:r w:rsidRPr="00D55B3D">
        <w:rPr>
          <w:rFonts w:cs="Tahoma"/>
          <w:bCs/>
          <w:szCs w:val="24"/>
        </w:rPr>
        <w:t>; el cual, por carecer de notas marginales o la inscripción de actos o providencias indicativas de la liquidación de la sociedad conyugal o de la cesación de efectos civiles del matrimonio católico contraído el 14 de junio de 1975,  permite colegir que el vínculo matrimonial se mantuv</w:t>
      </w:r>
      <w:r w:rsidRPr="00D55B3D" w:rsidDel="00463094">
        <w:rPr>
          <w:rFonts w:cs="Tahoma"/>
          <w:bCs/>
          <w:szCs w:val="24"/>
        </w:rPr>
        <w:t>o</w:t>
      </w:r>
      <w:r w:rsidRPr="00D55B3D">
        <w:rPr>
          <w:rFonts w:cs="Tahoma"/>
          <w:bCs/>
          <w:szCs w:val="24"/>
        </w:rPr>
        <w:t xml:space="preserve"> vigente hasta el óbito del señor </w:t>
      </w:r>
      <w:r w:rsidR="00B512D3" w:rsidRPr="00D55B3D">
        <w:rPr>
          <w:rFonts w:cs="Tahoma"/>
          <w:bCs/>
          <w:szCs w:val="24"/>
        </w:rPr>
        <w:t>Hernández Bejarano</w:t>
      </w:r>
      <w:r w:rsidRPr="00D55B3D">
        <w:rPr>
          <w:rFonts w:cs="Tahoma"/>
          <w:bCs/>
          <w:szCs w:val="24"/>
        </w:rPr>
        <w:t xml:space="preserve">. </w:t>
      </w:r>
    </w:p>
    <w:p w14:paraId="7F47C86E" w14:textId="77777777" w:rsidR="00943FAF" w:rsidRPr="00D55B3D" w:rsidRDefault="00943FAF" w:rsidP="00D55B3D">
      <w:pPr>
        <w:spacing w:line="276" w:lineRule="auto"/>
        <w:ind w:firstLine="709"/>
        <w:rPr>
          <w:rFonts w:cs="Tahoma"/>
          <w:bCs/>
          <w:szCs w:val="24"/>
          <w:lang w:val="es-ES_tradnl"/>
        </w:rPr>
      </w:pPr>
    </w:p>
    <w:p w14:paraId="7FE11792" w14:textId="02E633BF" w:rsidR="00943FAF" w:rsidRPr="00D55B3D" w:rsidRDefault="00943FAF" w:rsidP="00D55B3D">
      <w:pPr>
        <w:spacing w:line="276" w:lineRule="auto"/>
        <w:ind w:firstLine="709"/>
        <w:rPr>
          <w:rFonts w:cs="Tahoma"/>
          <w:szCs w:val="24"/>
        </w:rPr>
      </w:pPr>
      <w:r w:rsidRPr="00D55B3D">
        <w:rPr>
          <w:rFonts w:cs="Tahoma"/>
          <w:szCs w:val="24"/>
        </w:rPr>
        <w:t>Ahora bien, en cuanto a la convivencia mínima de 5 años que exige el artículo 47 de la Ley 100 de 1993 y que</w:t>
      </w:r>
      <w:r w:rsidR="00B512D3" w:rsidRPr="00D55B3D">
        <w:rPr>
          <w:rFonts w:cs="Tahoma"/>
          <w:szCs w:val="24"/>
        </w:rPr>
        <w:t>,</w:t>
      </w:r>
      <w:r w:rsidRPr="00D55B3D">
        <w:rPr>
          <w:rFonts w:cs="Tahoma"/>
          <w:szCs w:val="24"/>
        </w:rPr>
        <w:t xml:space="preserve"> como se </w:t>
      </w:r>
      <w:r w:rsidR="00B512D3" w:rsidRPr="00D55B3D">
        <w:rPr>
          <w:rFonts w:cs="Tahoma"/>
          <w:szCs w:val="24"/>
        </w:rPr>
        <w:t>plasma en el precedente de la Corte Suprema de Justicia</w:t>
      </w:r>
      <w:r w:rsidRPr="00D55B3D">
        <w:rPr>
          <w:rFonts w:cs="Tahoma"/>
          <w:szCs w:val="24"/>
        </w:rPr>
        <w:t xml:space="preserve">, puede verificarse en cualquier tiempo; al realizar una valoración conjunta de los elementos de convicción, emerge sin vacilación alguna que, como mínimo, la pareja mantuvo una comunidad de vida estable, permanente y firme, desde el momento en que contrajeron matrimonio en </w:t>
      </w:r>
      <w:r w:rsidR="00B512D3" w:rsidRPr="00D55B3D">
        <w:rPr>
          <w:rFonts w:cs="Tahoma"/>
          <w:szCs w:val="24"/>
        </w:rPr>
        <w:t>febrero</w:t>
      </w:r>
      <w:r w:rsidRPr="00D55B3D">
        <w:rPr>
          <w:rFonts w:cs="Tahoma"/>
          <w:szCs w:val="24"/>
        </w:rPr>
        <w:t xml:space="preserve"> del año 197</w:t>
      </w:r>
      <w:r w:rsidR="00B512D3" w:rsidRPr="00D55B3D">
        <w:rPr>
          <w:rFonts w:cs="Tahoma"/>
          <w:szCs w:val="24"/>
        </w:rPr>
        <w:t>1</w:t>
      </w:r>
      <w:r w:rsidRPr="00D55B3D">
        <w:rPr>
          <w:rFonts w:cs="Tahoma"/>
          <w:szCs w:val="24"/>
        </w:rPr>
        <w:t>, hasta cuando ocurrió la separación de facto en el año de 199</w:t>
      </w:r>
      <w:r w:rsidR="00B512D3" w:rsidRPr="00D55B3D">
        <w:rPr>
          <w:rFonts w:cs="Tahoma"/>
          <w:szCs w:val="24"/>
        </w:rPr>
        <w:t>6</w:t>
      </w:r>
      <w:r w:rsidRPr="00D55B3D">
        <w:rPr>
          <w:rFonts w:cs="Tahoma"/>
          <w:szCs w:val="24"/>
        </w:rPr>
        <w:t xml:space="preserve">. </w:t>
      </w:r>
    </w:p>
    <w:p w14:paraId="795246BA" w14:textId="77777777" w:rsidR="00943FAF" w:rsidRPr="00D55B3D" w:rsidRDefault="00943FAF" w:rsidP="00D55B3D">
      <w:pPr>
        <w:spacing w:line="276" w:lineRule="auto"/>
        <w:ind w:firstLine="709"/>
        <w:rPr>
          <w:rFonts w:cs="Tahoma"/>
          <w:bCs/>
          <w:szCs w:val="24"/>
          <w:lang w:val="es-ES_tradnl"/>
        </w:rPr>
      </w:pPr>
    </w:p>
    <w:p w14:paraId="620FC915" w14:textId="4A68508E" w:rsidR="00763138" w:rsidRPr="00D55B3D" w:rsidRDefault="00943FAF" w:rsidP="00D55B3D">
      <w:pPr>
        <w:spacing w:line="276" w:lineRule="auto"/>
        <w:ind w:firstLine="709"/>
        <w:rPr>
          <w:rFonts w:cs="Tahoma"/>
          <w:szCs w:val="24"/>
        </w:rPr>
      </w:pPr>
      <w:r w:rsidRPr="00D55B3D">
        <w:rPr>
          <w:rFonts w:cs="Tahoma"/>
          <w:szCs w:val="24"/>
        </w:rPr>
        <w:t>En efecto,</w:t>
      </w:r>
      <w:r w:rsidR="00763138" w:rsidRPr="00D55B3D">
        <w:rPr>
          <w:rFonts w:cs="Tahoma"/>
          <w:szCs w:val="24"/>
        </w:rPr>
        <w:t xml:space="preserve"> a folios 43 a 45 militan las copias de los registros civiles de nacimiento de </w:t>
      </w:r>
      <w:r w:rsidR="00646344" w:rsidRPr="00D55B3D">
        <w:rPr>
          <w:rFonts w:cs="Tahoma"/>
          <w:szCs w:val="24"/>
        </w:rPr>
        <w:t>Héctor</w:t>
      </w:r>
      <w:r w:rsidR="00763138" w:rsidRPr="00D55B3D">
        <w:rPr>
          <w:rFonts w:cs="Tahoma"/>
          <w:szCs w:val="24"/>
        </w:rPr>
        <w:t xml:space="preserve"> Fabio, Robert Styd y </w:t>
      </w:r>
      <w:r w:rsidR="00646344" w:rsidRPr="00D55B3D">
        <w:rPr>
          <w:rFonts w:cs="Tahoma"/>
          <w:szCs w:val="24"/>
        </w:rPr>
        <w:t>John</w:t>
      </w:r>
      <w:r w:rsidR="00763138" w:rsidRPr="00D55B3D">
        <w:rPr>
          <w:rFonts w:cs="Tahoma"/>
          <w:szCs w:val="24"/>
        </w:rPr>
        <w:t xml:space="preserve"> Edward Hernández rivera, hijos concebidos dentro de matrimonio, nacidos en los años 1971, 1978, 1979, lo que de entrada permite inferir que, al menos durante 8 años, la pareja mantuvo una convivencia estable e ininterrumpida. </w:t>
      </w:r>
    </w:p>
    <w:p w14:paraId="40F1B789" w14:textId="77777777" w:rsidR="00763138" w:rsidRPr="00D55B3D" w:rsidRDefault="00763138" w:rsidP="00D55B3D">
      <w:pPr>
        <w:spacing w:line="276" w:lineRule="auto"/>
        <w:ind w:firstLine="709"/>
        <w:rPr>
          <w:rFonts w:cs="Tahoma"/>
          <w:bCs/>
          <w:szCs w:val="24"/>
        </w:rPr>
      </w:pPr>
    </w:p>
    <w:p w14:paraId="5CDC6F43" w14:textId="2E26C720" w:rsidR="00B512D3" w:rsidRPr="00D55B3D" w:rsidRDefault="00943FAF" w:rsidP="00D55B3D">
      <w:pPr>
        <w:spacing w:line="276" w:lineRule="auto"/>
        <w:ind w:firstLine="709"/>
        <w:rPr>
          <w:rFonts w:cs="Tahoma"/>
          <w:bCs/>
          <w:szCs w:val="24"/>
          <w:lang w:val="es-CO"/>
        </w:rPr>
      </w:pPr>
      <w:r w:rsidRPr="00D55B3D">
        <w:rPr>
          <w:rFonts w:cs="Tahoma"/>
          <w:bCs/>
          <w:szCs w:val="24"/>
        </w:rPr>
        <w:t xml:space="preserve"> </w:t>
      </w:r>
      <w:r w:rsidR="00763138" w:rsidRPr="00D55B3D">
        <w:rPr>
          <w:rFonts w:cs="Tahoma"/>
          <w:bCs/>
          <w:szCs w:val="24"/>
        </w:rPr>
        <w:t xml:space="preserve">Por otra parte, </w:t>
      </w:r>
      <w:r w:rsidR="00B512D3" w:rsidRPr="00D55B3D">
        <w:rPr>
          <w:rFonts w:cs="Tahoma"/>
          <w:bCs/>
          <w:szCs w:val="24"/>
        </w:rPr>
        <w:t xml:space="preserve">de los testimonios recaudados en el proceso, cobra especial preponderancia los dichos del señor </w:t>
      </w:r>
      <w:r w:rsidR="00B512D3" w:rsidRPr="00D55B3D">
        <w:rPr>
          <w:rFonts w:cs="Tahoma"/>
          <w:bCs/>
          <w:szCs w:val="24"/>
          <w:lang w:val="es-CO"/>
        </w:rPr>
        <w:t xml:space="preserve">Robert </w:t>
      </w:r>
      <w:proofErr w:type="spellStart"/>
      <w:r w:rsidR="00B512D3" w:rsidRPr="00D55B3D">
        <w:rPr>
          <w:rFonts w:cs="Tahoma"/>
          <w:bCs/>
          <w:szCs w:val="24"/>
          <w:lang w:val="es-CO"/>
        </w:rPr>
        <w:t>Styd</w:t>
      </w:r>
      <w:proofErr w:type="spellEnd"/>
      <w:r w:rsidR="00B512D3" w:rsidRPr="00D55B3D">
        <w:rPr>
          <w:rFonts w:cs="Tahoma"/>
          <w:bCs/>
          <w:szCs w:val="24"/>
          <w:lang w:val="es-CO"/>
        </w:rPr>
        <w:t xml:space="preserve"> Hernández Rivera, hijo de la pareja que dio un relato espontáneo </w:t>
      </w:r>
      <w:r w:rsidR="00C252E0" w:rsidRPr="00D55B3D">
        <w:rPr>
          <w:rFonts w:cs="Tahoma"/>
          <w:bCs/>
          <w:szCs w:val="24"/>
          <w:lang w:val="es-CO"/>
        </w:rPr>
        <w:t>por haber presenciado lo acontecido en la relación de sus padres. Indicó que sus p</w:t>
      </w:r>
      <w:r w:rsidR="005462CC" w:rsidRPr="00D55B3D">
        <w:rPr>
          <w:rFonts w:cs="Tahoma"/>
          <w:bCs/>
          <w:szCs w:val="24"/>
          <w:lang w:val="es-CO"/>
        </w:rPr>
        <w:t xml:space="preserve">rogenitores </w:t>
      </w:r>
      <w:r w:rsidR="00C252E0" w:rsidRPr="00D55B3D">
        <w:rPr>
          <w:rFonts w:cs="Tahoma"/>
          <w:bCs/>
          <w:szCs w:val="24"/>
          <w:lang w:val="es-CO"/>
        </w:rPr>
        <w:t xml:space="preserve">vivieron juntos hasta el momento en que su madre su fue para España, en el año 1996; que ella </w:t>
      </w:r>
      <w:r w:rsidR="005462CC" w:rsidRPr="00D55B3D">
        <w:rPr>
          <w:rFonts w:cs="Tahoma"/>
          <w:bCs/>
          <w:szCs w:val="24"/>
          <w:lang w:val="es-CO"/>
        </w:rPr>
        <w:t>estuvo</w:t>
      </w:r>
      <w:r w:rsidR="00C252E0" w:rsidRPr="00D55B3D">
        <w:rPr>
          <w:rFonts w:cs="Tahoma"/>
          <w:bCs/>
          <w:szCs w:val="24"/>
          <w:lang w:val="es-CO"/>
        </w:rPr>
        <w:t xml:space="preserve"> </w:t>
      </w:r>
      <w:r w:rsidR="009661C8" w:rsidRPr="00D55B3D">
        <w:rPr>
          <w:rFonts w:cs="Tahoma"/>
          <w:bCs/>
          <w:szCs w:val="24"/>
          <w:lang w:val="es-CO"/>
        </w:rPr>
        <w:t>mandando</w:t>
      </w:r>
      <w:r w:rsidR="00C252E0" w:rsidRPr="00D55B3D">
        <w:rPr>
          <w:rFonts w:cs="Tahoma"/>
          <w:bCs/>
          <w:szCs w:val="24"/>
          <w:lang w:val="es-CO"/>
        </w:rPr>
        <w:t xml:space="preserve"> dinero a su padre hasta el año 2004, cuando </w:t>
      </w:r>
      <w:r w:rsidR="005462CC" w:rsidRPr="00D55B3D">
        <w:rPr>
          <w:rFonts w:cs="Tahoma"/>
          <w:bCs/>
          <w:szCs w:val="24"/>
          <w:lang w:val="es-CO"/>
        </w:rPr>
        <w:t xml:space="preserve">él </w:t>
      </w:r>
      <w:r w:rsidR="00C252E0" w:rsidRPr="00D55B3D">
        <w:rPr>
          <w:rFonts w:cs="Tahoma"/>
          <w:bCs/>
          <w:szCs w:val="24"/>
          <w:lang w:val="es-CO"/>
        </w:rPr>
        <w:t>adquirió la pensión</w:t>
      </w:r>
      <w:r w:rsidR="005462CC" w:rsidRPr="00D55B3D">
        <w:rPr>
          <w:rFonts w:cs="Tahoma"/>
          <w:bCs/>
          <w:szCs w:val="24"/>
          <w:lang w:val="es-CO"/>
        </w:rPr>
        <w:t xml:space="preserve"> de vejez</w:t>
      </w:r>
      <w:r w:rsidR="00C252E0" w:rsidRPr="00D55B3D">
        <w:rPr>
          <w:rFonts w:cs="Tahoma"/>
          <w:bCs/>
          <w:szCs w:val="24"/>
          <w:lang w:val="es-CO"/>
        </w:rPr>
        <w:t xml:space="preserve">, pero que después de eso mantuvieron un relación de amistad, </w:t>
      </w:r>
      <w:r w:rsidR="005462CC" w:rsidRPr="00D55B3D">
        <w:rPr>
          <w:rFonts w:cs="Tahoma"/>
          <w:bCs/>
          <w:szCs w:val="24"/>
          <w:lang w:val="es-CO"/>
        </w:rPr>
        <w:t xml:space="preserve">más </w:t>
      </w:r>
      <w:r w:rsidR="00C252E0" w:rsidRPr="00D55B3D">
        <w:rPr>
          <w:rFonts w:cs="Tahoma"/>
          <w:bCs/>
          <w:szCs w:val="24"/>
          <w:lang w:val="es-CO"/>
        </w:rPr>
        <w:t>no una de pareja como tal.</w:t>
      </w:r>
      <w:r w:rsidR="005462CC" w:rsidRPr="00D55B3D">
        <w:rPr>
          <w:rFonts w:cs="Tahoma"/>
          <w:bCs/>
          <w:szCs w:val="24"/>
          <w:lang w:val="es-CO"/>
        </w:rPr>
        <w:t xml:space="preserve"> </w:t>
      </w:r>
    </w:p>
    <w:p w14:paraId="4AFCF111" w14:textId="77777777" w:rsidR="00943FAF" w:rsidRPr="00D55B3D" w:rsidRDefault="00943FAF" w:rsidP="00D55B3D">
      <w:pPr>
        <w:spacing w:line="276" w:lineRule="auto"/>
        <w:ind w:firstLine="709"/>
        <w:rPr>
          <w:rFonts w:cs="Tahoma"/>
          <w:bCs/>
          <w:szCs w:val="24"/>
          <w:lang w:val="es-ES_tradnl"/>
        </w:rPr>
      </w:pPr>
    </w:p>
    <w:p w14:paraId="28637A34" w14:textId="1CF6C8A2" w:rsidR="00943FAF" w:rsidRPr="00D55B3D" w:rsidRDefault="00943FAF" w:rsidP="00D55B3D">
      <w:pPr>
        <w:spacing w:line="276" w:lineRule="auto"/>
        <w:ind w:firstLine="709"/>
        <w:rPr>
          <w:rFonts w:cs="Tahoma"/>
          <w:bCs/>
          <w:szCs w:val="24"/>
          <w:lang w:val="es-ES_tradnl"/>
        </w:rPr>
      </w:pPr>
      <w:r w:rsidRPr="00D55B3D">
        <w:rPr>
          <w:rFonts w:cs="Tahoma"/>
          <w:bCs/>
          <w:szCs w:val="24"/>
          <w:lang w:val="es-ES_tradnl"/>
        </w:rPr>
        <w:t xml:space="preserve">Ahora bien, advirtiendo que la demandante durante el interrogatorio de parte confesó que la cohabitación con el señor </w:t>
      </w:r>
      <w:r w:rsidR="00C252E0" w:rsidRPr="00D55B3D">
        <w:rPr>
          <w:rFonts w:cs="Tahoma"/>
          <w:szCs w:val="24"/>
          <w:lang w:val="es-CO"/>
        </w:rPr>
        <w:t>Fabio Hernández Bejarano</w:t>
      </w:r>
      <w:r w:rsidR="00C252E0" w:rsidRPr="00D55B3D">
        <w:rPr>
          <w:rFonts w:cs="Tahoma"/>
          <w:bCs/>
          <w:szCs w:val="24"/>
          <w:lang w:val="es-ES_tradnl"/>
        </w:rPr>
        <w:t xml:space="preserve"> </w:t>
      </w:r>
      <w:r w:rsidRPr="00D55B3D">
        <w:rPr>
          <w:rFonts w:cs="Tahoma"/>
          <w:bCs/>
          <w:szCs w:val="24"/>
          <w:lang w:val="es-ES_tradnl"/>
        </w:rPr>
        <w:t xml:space="preserve">cesó </w:t>
      </w:r>
      <w:r w:rsidR="00C252E0" w:rsidRPr="00D55B3D">
        <w:rPr>
          <w:rFonts w:cs="Tahoma"/>
          <w:bCs/>
          <w:szCs w:val="24"/>
          <w:lang w:val="es-ES_tradnl"/>
        </w:rPr>
        <w:t>en 1996</w:t>
      </w:r>
      <w:r w:rsidRPr="00D55B3D">
        <w:rPr>
          <w:rFonts w:cs="Tahoma"/>
          <w:bCs/>
          <w:szCs w:val="24"/>
          <w:lang w:val="es-ES_tradnl"/>
        </w:rPr>
        <w:t xml:space="preserve">, cuando </w:t>
      </w:r>
      <w:r w:rsidR="00C252E0" w:rsidRPr="00D55B3D">
        <w:rPr>
          <w:rFonts w:cs="Tahoma"/>
          <w:bCs/>
          <w:szCs w:val="24"/>
          <w:lang w:val="es-ES_tradnl"/>
        </w:rPr>
        <w:t>ella se fue a vivir a España</w:t>
      </w:r>
      <w:r w:rsidRPr="00D55B3D">
        <w:rPr>
          <w:rFonts w:cs="Tahoma"/>
          <w:bCs/>
          <w:szCs w:val="24"/>
          <w:lang w:val="es-ES_tradnl"/>
        </w:rPr>
        <w:t>, se acogerá esta data como momento final de la convivencia</w:t>
      </w:r>
      <w:r w:rsidR="00C252E0" w:rsidRPr="00D55B3D">
        <w:rPr>
          <w:rFonts w:cs="Tahoma"/>
          <w:bCs/>
          <w:szCs w:val="24"/>
          <w:lang w:val="es-ES_tradnl"/>
        </w:rPr>
        <w:t>, tal como lo hiciera la A-quo</w:t>
      </w:r>
      <w:r w:rsidRPr="00D55B3D">
        <w:rPr>
          <w:rFonts w:cs="Tahoma"/>
          <w:bCs/>
          <w:szCs w:val="24"/>
          <w:lang w:val="es-ES_tradnl"/>
        </w:rPr>
        <w:t xml:space="preserve">. </w:t>
      </w:r>
    </w:p>
    <w:p w14:paraId="2A171031" w14:textId="77777777" w:rsidR="00943FAF" w:rsidRPr="00D55B3D" w:rsidRDefault="00943FAF" w:rsidP="00D55B3D">
      <w:pPr>
        <w:spacing w:line="276" w:lineRule="auto"/>
        <w:ind w:firstLine="709"/>
        <w:rPr>
          <w:rFonts w:cs="Tahoma"/>
          <w:bCs/>
          <w:szCs w:val="24"/>
          <w:lang w:val="es-ES_tradnl"/>
        </w:rPr>
      </w:pPr>
    </w:p>
    <w:p w14:paraId="51D4F43A" w14:textId="0C5690A6" w:rsidR="00943FAF" w:rsidRPr="00D55B3D" w:rsidRDefault="00943FAF" w:rsidP="00D55B3D">
      <w:pPr>
        <w:spacing w:line="276" w:lineRule="auto"/>
        <w:ind w:firstLine="709"/>
        <w:rPr>
          <w:rFonts w:cs="Tahoma"/>
          <w:bCs/>
          <w:szCs w:val="24"/>
          <w:lang w:val="es-ES_tradnl"/>
        </w:rPr>
      </w:pPr>
      <w:r w:rsidRPr="00D55B3D">
        <w:rPr>
          <w:rFonts w:cs="Tahoma"/>
          <w:bCs/>
          <w:szCs w:val="24"/>
          <w:lang w:val="es-ES_tradnl"/>
        </w:rPr>
        <w:t xml:space="preserve">De lo dicho hasta aquí, se tiene que la convivencia conyugal se habría extendido durante un periodo cercano a </w:t>
      </w:r>
      <w:r w:rsidR="00C252E0" w:rsidRPr="00D55B3D">
        <w:rPr>
          <w:rFonts w:cs="Tahoma"/>
          <w:bCs/>
          <w:szCs w:val="24"/>
          <w:lang w:val="es-ES_tradnl"/>
        </w:rPr>
        <w:t>25</w:t>
      </w:r>
      <w:r w:rsidRPr="00D55B3D">
        <w:rPr>
          <w:rFonts w:cs="Tahoma"/>
          <w:bCs/>
          <w:szCs w:val="24"/>
          <w:lang w:val="es-ES_tradnl"/>
        </w:rPr>
        <w:t xml:space="preserve"> años, desde el </w:t>
      </w:r>
      <w:r w:rsidR="00C252E0" w:rsidRPr="00D55B3D">
        <w:rPr>
          <w:rFonts w:cs="Tahoma"/>
          <w:bCs/>
          <w:szCs w:val="24"/>
          <w:lang w:val="es-ES_tradnl"/>
        </w:rPr>
        <w:t>25</w:t>
      </w:r>
      <w:r w:rsidRPr="00D55B3D">
        <w:rPr>
          <w:rFonts w:cs="Tahoma"/>
          <w:bCs/>
          <w:szCs w:val="24"/>
          <w:lang w:val="es-ES_tradnl"/>
        </w:rPr>
        <w:t xml:space="preserve"> de </w:t>
      </w:r>
      <w:r w:rsidR="00C252E0" w:rsidRPr="00D55B3D">
        <w:rPr>
          <w:rFonts w:cs="Tahoma"/>
          <w:bCs/>
          <w:szCs w:val="24"/>
          <w:lang w:val="es-ES_tradnl"/>
        </w:rPr>
        <w:t xml:space="preserve">febrero </w:t>
      </w:r>
      <w:r w:rsidRPr="00D55B3D">
        <w:rPr>
          <w:rFonts w:cs="Tahoma"/>
          <w:bCs/>
          <w:szCs w:val="24"/>
          <w:lang w:val="es-ES_tradnl"/>
        </w:rPr>
        <w:t>de 197</w:t>
      </w:r>
      <w:r w:rsidR="00C252E0" w:rsidRPr="00D55B3D">
        <w:rPr>
          <w:rFonts w:cs="Tahoma"/>
          <w:bCs/>
          <w:szCs w:val="24"/>
          <w:lang w:val="es-ES_tradnl"/>
        </w:rPr>
        <w:t>1</w:t>
      </w:r>
      <w:r w:rsidRPr="00D55B3D">
        <w:rPr>
          <w:rFonts w:cs="Tahoma"/>
          <w:bCs/>
          <w:szCs w:val="24"/>
          <w:lang w:val="es-ES_tradnl"/>
        </w:rPr>
        <w:t xml:space="preserve"> hasta </w:t>
      </w:r>
      <w:r w:rsidR="00C252E0" w:rsidRPr="00D55B3D">
        <w:rPr>
          <w:rFonts w:cs="Tahoma"/>
          <w:bCs/>
          <w:szCs w:val="24"/>
          <w:lang w:val="es-ES_tradnl"/>
        </w:rPr>
        <w:t xml:space="preserve">el año </w:t>
      </w:r>
      <w:r w:rsidRPr="00D55B3D">
        <w:rPr>
          <w:rFonts w:cs="Tahoma"/>
          <w:bCs/>
          <w:szCs w:val="24"/>
          <w:lang w:val="es-ES_tradnl"/>
        </w:rPr>
        <w:t>199</w:t>
      </w:r>
      <w:r w:rsidR="00C252E0" w:rsidRPr="00D55B3D">
        <w:rPr>
          <w:rFonts w:cs="Tahoma"/>
          <w:bCs/>
          <w:szCs w:val="24"/>
          <w:lang w:val="es-ES_tradnl"/>
        </w:rPr>
        <w:t>6</w:t>
      </w:r>
      <w:r w:rsidRPr="00D55B3D">
        <w:rPr>
          <w:rFonts w:cs="Tahoma"/>
          <w:bCs/>
          <w:szCs w:val="24"/>
          <w:lang w:val="es-ES_tradnl"/>
        </w:rPr>
        <w:t xml:space="preserve">; tiempo más que suficiente, para tener por cumplido el requisito mínimo de los 5 años de convivencia en cualquier tiempo.  Así mismo teniendo en cuenta que conforme a la historia laboral, </w:t>
      </w:r>
      <w:r w:rsidR="00BC22EC" w:rsidRPr="00D55B3D">
        <w:rPr>
          <w:rFonts w:cs="Tahoma"/>
          <w:bCs/>
          <w:szCs w:val="24"/>
          <w:lang w:val="es-ES_tradnl"/>
        </w:rPr>
        <w:t xml:space="preserve">las cotizaciones con las que cuenta </w:t>
      </w:r>
      <w:r w:rsidRPr="00D55B3D">
        <w:rPr>
          <w:rFonts w:cs="Tahoma"/>
          <w:bCs/>
          <w:szCs w:val="24"/>
          <w:lang w:val="es-ES_tradnl"/>
        </w:rPr>
        <w:t xml:space="preserve">el señor </w:t>
      </w:r>
      <w:r w:rsidR="00C252E0" w:rsidRPr="00D55B3D">
        <w:rPr>
          <w:rFonts w:cs="Tahoma"/>
          <w:szCs w:val="24"/>
          <w:lang w:val="es-CO"/>
        </w:rPr>
        <w:t>Fabio Hernández Bejarano</w:t>
      </w:r>
      <w:r w:rsidR="00C252E0" w:rsidRPr="00D55B3D">
        <w:rPr>
          <w:rFonts w:cs="Tahoma"/>
          <w:bCs/>
          <w:szCs w:val="24"/>
          <w:lang w:val="es-ES_tradnl"/>
        </w:rPr>
        <w:t xml:space="preserve"> </w:t>
      </w:r>
      <w:r w:rsidR="00BC22EC" w:rsidRPr="00D55B3D">
        <w:rPr>
          <w:rFonts w:cs="Tahoma"/>
          <w:bCs/>
          <w:szCs w:val="24"/>
          <w:lang w:val="es-ES_tradnl"/>
        </w:rPr>
        <w:t>se hicieron desde 1968 hasta el año 1998 (</w:t>
      </w:r>
      <w:proofErr w:type="spellStart"/>
      <w:r w:rsidR="00BC22EC" w:rsidRPr="00D55B3D">
        <w:rPr>
          <w:rFonts w:cs="Tahoma"/>
          <w:bCs/>
          <w:szCs w:val="24"/>
          <w:lang w:val="es-ES_tradnl"/>
        </w:rPr>
        <w:t>fl</w:t>
      </w:r>
      <w:proofErr w:type="spellEnd"/>
      <w:r w:rsidR="00BC22EC" w:rsidRPr="00D55B3D">
        <w:rPr>
          <w:rFonts w:cs="Tahoma"/>
          <w:bCs/>
          <w:szCs w:val="24"/>
          <w:lang w:val="es-ES_tradnl"/>
        </w:rPr>
        <w:t>. 114), es decir, durante prácticamente tod</w:t>
      </w:r>
      <w:r w:rsidR="005462CC" w:rsidRPr="00D55B3D">
        <w:rPr>
          <w:rFonts w:cs="Tahoma"/>
          <w:bCs/>
          <w:szCs w:val="24"/>
          <w:lang w:val="es-ES_tradnl"/>
        </w:rPr>
        <w:t>o</w:t>
      </w:r>
      <w:r w:rsidR="00BC22EC" w:rsidRPr="00D55B3D">
        <w:rPr>
          <w:rFonts w:cs="Tahoma"/>
          <w:bCs/>
          <w:szCs w:val="24"/>
          <w:lang w:val="es-ES_tradnl"/>
        </w:rPr>
        <w:t xml:space="preserve"> el tiempo que convivió con la señora </w:t>
      </w:r>
      <w:r w:rsidR="00C252E0" w:rsidRPr="00D55B3D">
        <w:rPr>
          <w:rFonts w:cs="Tahoma"/>
          <w:bCs/>
          <w:szCs w:val="24"/>
          <w:lang w:val="es-ES_tradnl"/>
        </w:rPr>
        <w:t xml:space="preserve">María </w:t>
      </w:r>
      <w:r w:rsidRPr="00D55B3D">
        <w:rPr>
          <w:rFonts w:cs="Tahoma"/>
          <w:bCs/>
          <w:szCs w:val="24"/>
          <w:lang w:val="es-ES_tradnl"/>
        </w:rPr>
        <w:t xml:space="preserve">Teresa </w:t>
      </w:r>
      <w:r w:rsidR="00C252E0" w:rsidRPr="00D55B3D">
        <w:rPr>
          <w:rFonts w:cs="Tahoma"/>
          <w:bCs/>
          <w:szCs w:val="24"/>
          <w:lang w:val="es-ES_tradnl"/>
        </w:rPr>
        <w:lastRenderedPageBreak/>
        <w:t>Rivera</w:t>
      </w:r>
      <w:r w:rsidR="00BC22EC" w:rsidRPr="00D55B3D">
        <w:rPr>
          <w:rFonts w:cs="Tahoma"/>
          <w:bCs/>
          <w:szCs w:val="24"/>
          <w:lang w:val="es-ES_tradnl"/>
        </w:rPr>
        <w:t xml:space="preserve">, por lo que es fácil concluir que ella </w:t>
      </w:r>
      <w:r w:rsidRPr="00D55B3D">
        <w:rPr>
          <w:rFonts w:cs="Tahoma"/>
          <w:bCs/>
          <w:szCs w:val="24"/>
          <w:lang w:val="es-ES_tradnl"/>
        </w:rPr>
        <w:t xml:space="preserve">coadyuvó a la realización de </w:t>
      </w:r>
      <w:r w:rsidR="005462CC" w:rsidRPr="00D55B3D">
        <w:rPr>
          <w:rFonts w:cs="Tahoma"/>
          <w:bCs/>
          <w:szCs w:val="24"/>
          <w:lang w:val="es-ES_tradnl"/>
        </w:rPr>
        <w:t xml:space="preserve">tales </w:t>
      </w:r>
      <w:r w:rsidRPr="00D55B3D">
        <w:rPr>
          <w:rFonts w:cs="Tahoma"/>
          <w:bCs/>
          <w:szCs w:val="24"/>
          <w:lang w:val="es-ES_tradnl"/>
        </w:rPr>
        <w:t>aportes</w:t>
      </w:r>
      <w:r w:rsidR="005462CC" w:rsidRPr="00D55B3D">
        <w:rPr>
          <w:rFonts w:cs="Tahoma"/>
          <w:bCs/>
          <w:szCs w:val="24"/>
          <w:lang w:val="es-ES_tradnl"/>
        </w:rPr>
        <w:t>,</w:t>
      </w:r>
      <w:r w:rsidRPr="00D55B3D">
        <w:rPr>
          <w:rFonts w:cs="Tahoma"/>
          <w:bCs/>
          <w:szCs w:val="24"/>
          <w:lang w:val="es-ES_tradnl"/>
        </w:rPr>
        <w:t xml:space="preserve"> con los que se construyó el derecho pensional en contienda. </w:t>
      </w:r>
    </w:p>
    <w:p w14:paraId="146E4FA9" w14:textId="77777777" w:rsidR="00943FAF" w:rsidRPr="00D55B3D" w:rsidRDefault="00943FAF" w:rsidP="00D55B3D">
      <w:pPr>
        <w:spacing w:line="276" w:lineRule="auto"/>
        <w:rPr>
          <w:rFonts w:cs="Tahoma"/>
          <w:bCs/>
          <w:szCs w:val="24"/>
          <w:lang w:val="es-ES_tradnl"/>
        </w:rPr>
      </w:pPr>
    </w:p>
    <w:p w14:paraId="66F2CA47" w14:textId="176FBB9E" w:rsidR="00943FAF" w:rsidRPr="00D55B3D" w:rsidRDefault="00943FAF" w:rsidP="00D55B3D">
      <w:pPr>
        <w:spacing w:line="276" w:lineRule="auto"/>
        <w:ind w:firstLine="709"/>
        <w:rPr>
          <w:rFonts w:cs="Tahoma"/>
          <w:bCs/>
          <w:szCs w:val="24"/>
          <w:lang w:val="es-ES_tradnl"/>
        </w:rPr>
      </w:pPr>
      <w:r w:rsidRPr="00D55B3D">
        <w:rPr>
          <w:rFonts w:cs="Tahoma"/>
          <w:bCs/>
          <w:szCs w:val="24"/>
          <w:lang w:val="es-ES_tradnl"/>
        </w:rPr>
        <w:t xml:space="preserve">En consecuencia, verificados los requisitos exigibles en los anteriores términos, </w:t>
      </w:r>
      <w:r w:rsidR="005462CC" w:rsidRPr="00D55B3D">
        <w:rPr>
          <w:rFonts w:cs="Tahoma"/>
          <w:bCs/>
          <w:szCs w:val="24"/>
          <w:lang w:val="es-ES_tradnl"/>
        </w:rPr>
        <w:t>María Teresa Rivera Herrera</w:t>
      </w:r>
      <w:r w:rsidRPr="00D55B3D">
        <w:rPr>
          <w:rFonts w:cs="Tahoma"/>
          <w:bCs/>
          <w:szCs w:val="24"/>
          <w:lang w:val="es-ES_tradnl"/>
        </w:rPr>
        <w:t xml:space="preserve">, en calidad de cónyuge supérstite, tenía derecho a la pensión de sobrevivientes causada con ocasión del fallecimiento del afiliado </w:t>
      </w:r>
      <w:r w:rsidR="00C252E0" w:rsidRPr="00D55B3D">
        <w:rPr>
          <w:rFonts w:cs="Tahoma"/>
          <w:szCs w:val="24"/>
          <w:lang w:val="es-CO"/>
        </w:rPr>
        <w:t>Fabio Hernández Bejarano</w:t>
      </w:r>
      <w:r w:rsidRPr="00D55B3D">
        <w:rPr>
          <w:rFonts w:cs="Tahoma"/>
          <w:bCs/>
          <w:szCs w:val="24"/>
          <w:lang w:val="es-ES_tradnl"/>
        </w:rPr>
        <w:t xml:space="preserve">, a partir del </w:t>
      </w:r>
      <w:r w:rsidR="00C252E0" w:rsidRPr="00D55B3D">
        <w:rPr>
          <w:rFonts w:cs="Tahoma"/>
          <w:bCs/>
          <w:szCs w:val="24"/>
          <w:lang w:val="es-ES_tradnl"/>
        </w:rPr>
        <w:t>25</w:t>
      </w:r>
      <w:r w:rsidRPr="00D55B3D">
        <w:rPr>
          <w:rFonts w:cs="Tahoma"/>
          <w:bCs/>
          <w:szCs w:val="24"/>
          <w:lang w:val="es-ES_tradnl"/>
        </w:rPr>
        <w:t xml:space="preserve"> de </w:t>
      </w:r>
      <w:r w:rsidR="00C252E0" w:rsidRPr="00D55B3D">
        <w:rPr>
          <w:rFonts w:cs="Tahoma"/>
          <w:bCs/>
          <w:szCs w:val="24"/>
          <w:lang w:val="es-ES_tradnl"/>
        </w:rPr>
        <w:t>enero de 2017</w:t>
      </w:r>
      <w:r w:rsidRPr="00D55B3D">
        <w:rPr>
          <w:rFonts w:cs="Tahoma"/>
          <w:bCs/>
          <w:szCs w:val="24"/>
          <w:lang w:val="es-ES_tradnl"/>
        </w:rPr>
        <w:t xml:space="preserve">. </w:t>
      </w:r>
    </w:p>
    <w:p w14:paraId="0B46F55D" w14:textId="77777777" w:rsidR="00943FAF" w:rsidRPr="00D55B3D" w:rsidRDefault="00943FAF" w:rsidP="00D55B3D">
      <w:pPr>
        <w:spacing w:line="276" w:lineRule="auto"/>
        <w:ind w:firstLine="709"/>
        <w:rPr>
          <w:rFonts w:cs="Tahoma"/>
          <w:bCs/>
          <w:szCs w:val="24"/>
          <w:lang w:val="es-ES_tradnl"/>
        </w:rPr>
      </w:pPr>
    </w:p>
    <w:p w14:paraId="17C39639" w14:textId="362A6423" w:rsidR="00C252E0" w:rsidRPr="00D55B3D" w:rsidRDefault="00C252E0" w:rsidP="00D55B3D">
      <w:pPr>
        <w:spacing w:line="276" w:lineRule="auto"/>
        <w:ind w:firstLine="709"/>
        <w:rPr>
          <w:rFonts w:cs="Tahoma"/>
          <w:szCs w:val="24"/>
        </w:rPr>
      </w:pPr>
      <w:r w:rsidRPr="00D55B3D">
        <w:rPr>
          <w:rFonts w:cs="Tahoma"/>
          <w:szCs w:val="24"/>
        </w:rPr>
        <w:t>Con relación al retroactivo reconocido, se dirá que no operó el fenómeno de la prescripción por cuanto la reclamación presentada por la actora</w:t>
      </w:r>
      <w:r w:rsidR="00442BD5" w:rsidRPr="00D55B3D">
        <w:rPr>
          <w:rFonts w:cs="Tahoma"/>
          <w:szCs w:val="24"/>
        </w:rPr>
        <w:t>, así como la demanda,</w:t>
      </w:r>
      <w:r w:rsidRPr="00D55B3D">
        <w:rPr>
          <w:rFonts w:cs="Tahoma"/>
          <w:szCs w:val="24"/>
        </w:rPr>
        <w:t xml:space="preserve"> se di</w:t>
      </w:r>
      <w:r w:rsidR="00442BD5" w:rsidRPr="00D55B3D">
        <w:rPr>
          <w:rFonts w:cs="Tahoma"/>
          <w:szCs w:val="24"/>
        </w:rPr>
        <w:t>eron</w:t>
      </w:r>
      <w:r w:rsidRPr="00D55B3D">
        <w:rPr>
          <w:rFonts w:cs="Tahoma"/>
          <w:szCs w:val="24"/>
        </w:rPr>
        <w:t xml:space="preserve"> dentro del término trienal</w:t>
      </w:r>
      <w:r w:rsidR="00442BD5" w:rsidRPr="00D55B3D">
        <w:rPr>
          <w:rFonts w:cs="Tahoma"/>
          <w:szCs w:val="24"/>
        </w:rPr>
        <w:t xml:space="preserve">; asimismo, es claro que </w:t>
      </w:r>
      <w:r w:rsidR="005462CC" w:rsidRPr="00D55B3D">
        <w:rPr>
          <w:rFonts w:cs="Tahoma"/>
          <w:szCs w:val="24"/>
        </w:rPr>
        <w:t>e</w:t>
      </w:r>
      <w:r w:rsidR="00442BD5" w:rsidRPr="00D55B3D">
        <w:rPr>
          <w:rFonts w:cs="Tahoma"/>
          <w:szCs w:val="24"/>
        </w:rPr>
        <w:t xml:space="preserve">l monto de la pensión asciende al salario mínimo por cuanto era el percibido por el pensionado. Frente a la cantidad de mesadas a que tiene derecho la promotora del pleito, se dirá que al haberse causado la pensión de sobrevivientes con posterioridad al 31 de julio de 2011, tiene derecho a 13 mesadas en consideración a lo preceptuado en el Acto Legislativo 01 de 2005; siendo del caso modificar el ordinal </w:t>
      </w:r>
      <w:r w:rsidR="001D1461" w:rsidRPr="00D55B3D">
        <w:rPr>
          <w:rFonts w:cs="Tahoma"/>
          <w:szCs w:val="24"/>
        </w:rPr>
        <w:t>tercero</w:t>
      </w:r>
      <w:r w:rsidR="00442BD5" w:rsidRPr="00D55B3D">
        <w:rPr>
          <w:rFonts w:cs="Tahoma"/>
          <w:szCs w:val="24"/>
        </w:rPr>
        <w:t xml:space="preserve"> de la sentencia de instancia.</w:t>
      </w:r>
    </w:p>
    <w:p w14:paraId="2A782CA0" w14:textId="5F54BD61" w:rsidR="00C252E0" w:rsidRPr="00D55B3D" w:rsidRDefault="00C252E0" w:rsidP="00D55B3D">
      <w:pPr>
        <w:spacing w:line="276" w:lineRule="auto"/>
        <w:ind w:firstLine="709"/>
        <w:rPr>
          <w:rFonts w:cs="Tahoma"/>
          <w:bCs/>
          <w:szCs w:val="24"/>
        </w:rPr>
      </w:pPr>
    </w:p>
    <w:p w14:paraId="20DA97A7" w14:textId="138A3EAE" w:rsidR="00BB42A0" w:rsidRPr="00D55B3D" w:rsidRDefault="007D4B11" w:rsidP="00D55B3D">
      <w:pPr>
        <w:spacing w:line="276" w:lineRule="auto"/>
        <w:ind w:firstLine="708"/>
        <w:rPr>
          <w:rFonts w:cs="Tahoma"/>
          <w:szCs w:val="24"/>
        </w:rPr>
      </w:pPr>
      <w:r w:rsidRPr="00D55B3D">
        <w:rPr>
          <w:rFonts w:cs="Tahoma"/>
          <w:szCs w:val="24"/>
        </w:rPr>
        <w:t xml:space="preserve">No obstante lo anterior, </w:t>
      </w:r>
      <w:r w:rsidR="00611F2F" w:rsidRPr="00D55B3D">
        <w:rPr>
          <w:rFonts w:cs="Tahoma"/>
          <w:szCs w:val="24"/>
        </w:rPr>
        <w:t xml:space="preserve">no puede pasarse por alto que </w:t>
      </w:r>
      <w:r w:rsidRPr="00D55B3D">
        <w:rPr>
          <w:rFonts w:cs="Tahoma"/>
          <w:szCs w:val="24"/>
        </w:rPr>
        <w:t xml:space="preserve">la demandante solo se presentó a reclamar </w:t>
      </w:r>
      <w:r w:rsidR="00611F2F" w:rsidRPr="00D55B3D">
        <w:rPr>
          <w:rFonts w:cs="Tahoma"/>
          <w:szCs w:val="24"/>
        </w:rPr>
        <w:t xml:space="preserve">la prestación </w:t>
      </w:r>
      <w:r w:rsidRPr="00D55B3D">
        <w:rPr>
          <w:rFonts w:cs="Tahoma"/>
          <w:szCs w:val="24"/>
        </w:rPr>
        <w:t xml:space="preserve">el </w:t>
      </w:r>
      <w:r w:rsidR="00611F2F" w:rsidRPr="00D55B3D">
        <w:rPr>
          <w:rFonts w:cs="Tahoma"/>
          <w:szCs w:val="24"/>
        </w:rPr>
        <w:t xml:space="preserve">21 de noviembre </w:t>
      </w:r>
      <w:r w:rsidRPr="00D55B3D">
        <w:rPr>
          <w:rFonts w:cs="Tahoma"/>
          <w:szCs w:val="24"/>
        </w:rPr>
        <w:t xml:space="preserve">de 2017, </w:t>
      </w:r>
      <w:r w:rsidR="00861C34" w:rsidRPr="00D55B3D">
        <w:rPr>
          <w:rFonts w:cs="Tahoma"/>
          <w:szCs w:val="24"/>
        </w:rPr>
        <w:t>por lo que Colpensiones actuó, en principio, atendiendo las disposiciones normativas que regentan la materia, toda vez que reconoció la prestación a la codemandada bajo el convencimiento de que esta, en calidad de compañera, era la única beneficiaria de la prestación que dejó causada el señor Hernández Bejarano; empero,</w:t>
      </w:r>
      <w:r w:rsidRPr="00D55B3D">
        <w:rPr>
          <w:rFonts w:cs="Tahoma"/>
          <w:szCs w:val="24"/>
        </w:rPr>
        <w:t xml:space="preserve"> tal situación no exonera a Colpensiones de asumir el pago retroactivo pensional a partir del </w:t>
      </w:r>
      <w:r w:rsidR="00861C34" w:rsidRPr="00D55B3D">
        <w:rPr>
          <w:rFonts w:cs="Tahoma"/>
          <w:szCs w:val="24"/>
        </w:rPr>
        <w:t xml:space="preserve">21 de noviembre de </w:t>
      </w:r>
      <w:r w:rsidRPr="00D55B3D">
        <w:rPr>
          <w:rFonts w:cs="Tahoma"/>
          <w:szCs w:val="24"/>
        </w:rPr>
        <w:t>2017</w:t>
      </w:r>
      <w:r w:rsidR="00861C34" w:rsidRPr="00D55B3D">
        <w:rPr>
          <w:rFonts w:cs="Tahoma"/>
          <w:szCs w:val="24"/>
        </w:rPr>
        <w:t>,</w:t>
      </w:r>
      <w:r w:rsidRPr="00D55B3D">
        <w:rPr>
          <w:rFonts w:cs="Tahoma"/>
          <w:szCs w:val="24"/>
        </w:rPr>
        <w:t xml:space="preserve"> en </w:t>
      </w:r>
      <w:r w:rsidR="00851DD1" w:rsidRPr="00D55B3D">
        <w:rPr>
          <w:rFonts w:cs="Tahoma"/>
          <w:szCs w:val="24"/>
        </w:rPr>
        <w:t>los términos expuestos por la Sala de Casación Laboral de la Corte Suprema de Justicia en la sentencia proferida el 10 de agosto de 2010, radicado 36540, en la que se indicó:</w:t>
      </w:r>
    </w:p>
    <w:p w14:paraId="3993450B" w14:textId="548928BE" w:rsidR="00851DD1" w:rsidRPr="00D55B3D" w:rsidRDefault="00851DD1" w:rsidP="00D55B3D">
      <w:pPr>
        <w:spacing w:line="276" w:lineRule="auto"/>
        <w:ind w:firstLine="708"/>
        <w:rPr>
          <w:rFonts w:cs="Tahoma"/>
          <w:szCs w:val="24"/>
        </w:rPr>
      </w:pPr>
    </w:p>
    <w:p w14:paraId="1B98BD8C" w14:textId="77777777" w:rsidR="00851DD1" w:rsidRPr="009661C8" w:rsidRDefault="00851DD1" w:rsidP="009661C8">
      <w:pPr>
        <w:spacing w:line="240" w:lineRule="auto"/>
        <w:ind w:left="426" w:right="420"/>
        <w:rPr>
          <w:rFonts w:cs="Tahoma"/>
          <w:sz w:val="22"/>
          <w:szCs w:val="24"/>
          <w:lang w:val="es-CO"/>
        </w:rPr>
      </w:pPr>
      <w:r w:rsidRPr="009661C8">
        <w:rPr>
          <w:rFonts w:cs="Tahoma"/>
          <w:sz w:val="22"/>
          <w:szCs w:val="24"/>
          <w:lang w:val="es-CO"/>
        </w:rPr>
        <w:t>“(…) Aun cuando es cierto que de conformidad con lo dispuesto en el artículo </w:t>
      </w:r>
      <w:hyperlink r:id="rId11" w:anchor="212" w:history="1">
        <w:r w:rsidRPr="009661C8">
          <w:rPr>
            <w:rFonts w:cs="Tahoma"/>
            <w:sz w:val="22"/>
            <w:szCs w:val="24"/>
            <w:lang w:val="es-CO"/>
          </w:rPr>
          <w:t>212</w:t>
        </w:r>
      </w:hyperlink>
      <w:r w:rsidRPr="009661C8">
        <w:rPr>
          <w:rFonts w:cs="Tahoma"/>
          <w:sz w:val="22"/>
          <w:szCs w:val="24"/>
          <w:lang w:val="es-CO"/>
        </w:rPr>
        <w:t> del Código Sustantivo del Trabajo, y en tratándose de pensión de sobrevivientes, la presencia de nuevos beneficiarios acreditados, distintos a los que reconoció el empleador, habilitan a éste para efectuar hacia el futuro una nueva distribución del derecho, pero con referencia a las mesadas causadas y canceladas sólo podrán cobrarse las respectivas cuotas a quienes las percibieron, tal preceptiva no resultaba aplicable al asunto objeto de controversia, por cuanto no se configuran los supuestos de hecho que allí se consagran. En efecto, teniendo en cuenta lo previsto en la norma anteriormente mencionada, para que opere la exoneración o liberación al empleador de pagar la cuota parte de las mesadas pensionales causadas, y que le correspondían al nuevo beneficiario de la pensión de sobrevivientes, es menester que aquel haya cancelado la totalidad de la pensión a quien éste se la reconoció y, además, que hubiera adelantado el trámite que se encuentra previsto en la citada preceptiva, esto es, publicar un aviso en dos ocasiones por lo menos, indicando quiénes se presentaron y en qué condición, así como también, convocando a todos los que se estimen beneficiarios a fin de que puedan concurrir a reclamar. En el presente asunto, la empresa demandada no acreditó el cumplimiento de ninguna de esas dos exigencias mencionadas, pues no aportó al proceso la prueba que acredite el pago de la totalidad de la pensión de sobrevivientes a uno de los hijos del causante, por la supuesta invalidez, y, menos aún, el de haberse hecho las publicaciones que ordena la norma. (…)”</w:t>
      </w:r>
    </w:p>
    <w:p w14:paraId="2CECDDA3" w14:textId="77777777" w:rsidR="00851DD1" w:rsidRPr="00D55B3D" w:rsidRDefault="00851DD1" w:rsidP="00D55B3D">
      <w:pPr>
        <w:spacing w:line="276" w:lineRule="auto"/>
        <w:ind w:firstLine="708"/>
        <w:rPr>
          <w:rFonts w:cs="Tahoma"/>
          <w:szCs w:val="24"/>
        </w:rPr>
      </w:pPr>
    </w:p>
    <w:p w14:paraId="6724B5A1" w14:textId="52E91A26" w:rsidR="001D1461" w:rsidRPr="00D55B3D" w:rsidRDefault="007D4B11" w:rsidP="00D55B3D">
      <w:pPr>
        <w:spacing w:line="276" w:lineRule="auto"/>
        <w:ind w:firstLine="709"/>
        <w:rPr>
          <w:rFonts w:cs="Tahoma"/>
          <w:bCs/>
          <w:szCs w:val="24"/>
        </w:rPr>
      </w:pPr>
      <w:r w:rsidRPr="00D55B3D">
        <w:rPr>
          <w:rFonts w:cs="Tahoma"/>
          <w:szCs w:val="24"/>
        </w:rPr>
        <w:t xml:space="preserve">Así </w:t>
      </w:r>
      <w:r w:rsidR="00851DD1" w:rsidRPr="00D55B3D">
        <w:rPr>
          <w:rFonts w:cs="Tahoma"/>
          <w:szCs w:val="24"/>
        </w:rPr>
        <w:t xml:space="preserve">las cosas, </w:t>
      </w:r>
      <w:bookmarkStart w:id="2" w:name="_Hlk80258055"/>
      <w:r w:rsidR="00851DD1" w:rsidRPr="00D55B3D">
        <w:rPr>
          <w:rFonts w:cs="Tahoma"/>
          <w:szCs w:val="24"/>
        </w:rPr>
        <w:t xml:space="preserve">dado que </w:t>
      </w:r>
      <w:r w:rsidRPr="00D55B3D">
        <w:rPr>
          <w:rFonts w:cs="Tahoma"/>
          <w:szCs w:val="24"/>
        </w:rPr>
        <w:t xml:space="preserve">Colpensiones publicó el edicto </w:t>
      </w:r>
      <w:proofErr w:type="spellStart"/>
      <w:r w:rsidRPr="00D55B3D">
        <w:rPr>
          <w:rFonts w:cs="Tahoma"/>
          <w:szCs w:val="24"/>
        </w:rPr>
        <w:t>emplazatorio</w:t>
      </w:r>
      <w:proofErr w:type="spellEnd"/>
      <w:r w:rsidRPr="00D55B3D">
        <w:rPr>
          <w:rFonts w:cs="Tahoma"/>
          <w:szCs w:val="24"/>
        </w:rPr>
        <w:t xml:space="preserve"> </w:t>
      </w:r>
      <w:r w:rsidR="003418B7" w:rsidRPr="00D55B3D">
        <w:rPr>
          <w:rFonts w:cs="Tahoma"/>
          <w:szCs w:val="24"/>
        </w:rPr>
        <w:t xml:space="preserve">el 17 de marzo de 2017 </w:t>
      </w:r>
      <w:r w:rsidRPr="00D55B3D">
        <w:rPr>
          <w:rFonts w:cs="Tahoma"/>
          <w:szCs w:val="24"/>
        </w:rPr>
        <w:t>y que la demandante no</w:t>
      </w:r>
      <w:r w:rsidR="003418B7" w:rsidRPr="00D55B3D">
        <w:rPr>
          <w:rFonts w:cs="Tahoma"/>
          <w:szCs w:val="24"/>
        </w:rPr>
        <w:t xml:space="preserve"> compareció tempestivamente, sino que </w:t>
      </w:r>
      <w:r w:rsidRPr="00D55B3D">
        <w:rPr>
          <w:rFonts w:cs="Tahoma"/>
          <w:szCs w:val="24"/>
        </w:rPr>
        <w:t xml:space="preserve">lo hizo el </w:t>
      </w:r>
      <w:r w:rsidR="003418B7" w:rsidRPr="00D55B3D">
        <w:rPr>
          <w:rFonts w:cs="Tahoma"/>
          <w:szCs w:val="24"/>
        </w:rPr>
        <w:t>21</w:t>
      </w:r>
      <w:r w:rsidRPr="00D55B3D">
        <w:rPr>
          <w:rFonts w:cs="Tahoma"/>
          <w:szCs w:val="24"/>
        </w:rPr>
        <w:t xml:space="preserve"> de</w:t>
      </w:r>
      <w:r w:rsidR="003418B7" w:rsidRPr="00D55B3D">
        <w:rPr>
          <w:rFonts w:cs="Tahoma"/>
          <w:szCs w:val="24"/>
        </w:rPr>
        <w:t xml:space="preserve"> noviembre de </w:t>
      </w:r>
      <w:r w:rsidRPr="00D55B3D">
        <w:rPr>
          <w:rFonts w:cs="Tahoma"/>
          <w:szCs w:val="24"/>
        </w:rPr>
        <w:t>2017</w:t>
      </w:r>
      <w:r w:rsidR="003418B7" w:rsidRPr="00D55B3D">
        <w:rPr>
          <w:rFonts w:cs="Tahoma"/>
          <w:szCs w:val="24"/>
        </w:rPr>
        <w:t>,</w:t>
      </w:r>
      <w:r w:rsidRPr="00D55B3D">
        <w:rPr>
          <w:rFonts w:cs="Tahoma"/>
          <w:szCs w:val="24"/>
        </w:rPr>
        <w:t xml:space="preserve"> cuando ya le había sido reconocida la prestación a la señora </w:t>
      </w:r>
      <w:r w:rsidR="003418B7" w:rsidRPr="00D55B3D">
        <w:rPr>
          <w:rFonts w:cs="Tahoma"/>
          <w:szCs w:val="24"/>
        </w:rPr>
        <w:t xml:space="preserve">María Otilia Franco García a través de la Resolución SUB, </w:t>
      </w:r>
      <w:r w:rsidR="003418B7" w:rsidRPr="00D55B3D">
        <w:rPr>
          <w:rFonts w:cs="Tahoma"/>
          <w:b/>
          <w:szCs w:val="24"/>
        </w:rPr>
        <w:t xml:space="preserve">es esta última quien debe cancelar a la actora los valores generados entre el 25 de enero de 2017 y el 20 de noviembre de 2017, los cuales equivalen a </w:t>
      </w:r>
      <w:r w:rsidR="000F4D8F" w:rsidRPr="00D55B3D">
        <w:rPr>
          <w:rFonts w:cs="Tahoma"/>
          <w:b/>
          <w:szCs w:val="24"/>
        </w:rPr>
        <w:t>$7.746.029</w:t>
      </w:r>
      <w:r w:rsidR="000F4D8F" w:rsidRPr="00D55B3D">
        <w:rPr>
          <w:rFonts w:cs="Tahoma"/>
          <w:szCs w:val="24"/>
        </w:rPr>
        <w:t xml:space="preserve">. </w:t>
      </w:r>
      <w:bookmarkEnd w:id="2"/>
      <w:r w:rsidR="00146C69" w:rsidRPr="00D55B3D">
        <w:rPr>
          <w:rFonts w:cs="Tahoma"/>
          <w:szCs w:val="24"/>
        </w:rPr>
        <w:t>Lo anterior implica necesariamente la modificación de la liquidación del retroactivo respecto al hito inicial a partir del cual se causó, lo cual se hará atendiendo el grado jurisdiccional de consulta a favor de COLPENSIONES. En ese orden de ideas</w:t>
      </w:r>
      <w:r w:rsidR="000F4D8F" w:rsidRPr="00D55B3D">
        <w:rPr>
          <w:rFonts w:cs="Tahoma"/>
          <w:bCs/>
          <w:szCs w:val="24"/>
        </w:rPr>
        <w:t xml:space="preserve">, </w:t>
      </w:r>
      <w:r w:rsidR="00442BD5" w:rsidRPr="00D55B3D">
        <w:rPr>
          <w:rFonts w:cs="Tahoma"/>
          <w:bCs/>
          <w:szCs w:val="24"/>
        </w:rPr>
        <w:t>una vez realizad</w:t>
      </w:r>
      <w:r w:rsidR="005462CC" w:rsidRPr="00D55B3D">
        <w:rPr>
          <w:rFonts w:cs="Tahoma"/>
          <w:bCs/>
          <w:szCs w:val="24"/>
        </w:rPr>
        <w:t>o</w:t>
      </w:r>
      <w:r w:rsidR="00442BD5" w:rsidRPr="00D55B3D">
        <w:rPr>
          <w:rFonts w:cs="Tahoma"/>
          <w:bCs/>
          <w:szCs w:val="24"/>
        </w:rPr>
        <w:t>s los cálculos respectivos</w:t>
      </w:r>
      <w:r w:rsidR="001D1461" w:rsidRPr="00D55B3D">
        <w:rPr>
          <w:rFonts w:cs="Tahoma"/>
          <w:bCs/>
          <w:szCs w:val="24"/>
        </w:rPr>
        <w:t xml:space="preserve">, el retroactivo </w:t>
      </w:r>
      <w:r w:rsidR="000F4D8F" w:rsidRPr="00D55B3D">
        <w:rPr>
          <w:rFonts w:cs="Tahoma"/>
          <w:bCs/>
          <w:szCs w:val="24"/>
        </w:rPr>
        <w:t xml:space="preserve">que </w:t>
      </w:r>
      <w:r w:rsidR="00CD15CC" w:rsidRPr="00D55B3D">
        <w:rPr>
          <w:rFonts w:cs="Tahoma"/>
          <w:bCs/>
          <w:szCs w:val="24"/>
        </w:rPr>
        <w:t xml:space="preserve">le </w:t>
      </w:r>
      <w:r w:rsidR="000F4D8F" w:rsidRPr="00D55B3D">
        <w:rPr>
          <w:rFonts w:cs="Tahoma"/>
          <w:bCs/>
          <w:szCs w:val="24"/>
        </w:rPr>
        <w:t xml:space="preserve">corresponde cancelar a Colpensiones, </w:t>
      </w:r>
      <w:r w:rsidR="001D1461" w:rsidRPr="00D55B3D">
        <w:rPr>
          <w:rFonts w:cs="Tahoma"/>
          <w:bCs/>
          <w:szCs w:val="24"/>
        </w:rPr>
        <w:t>liquidado entre el 2</w:t>
      </w:r>
      <w:r w:rsidR="000F4D8F" w:rsidRPr="00D55B3D">
        <w:rPr>
          <w:rFonts w:cs="Tahoma"/>
          <w:bCs/>
          <w:szCs w:val="24"/>
        </w:rPr>
        <w:t xml:space="preserve">1 de noviembre </w:t>
      </w:r>
      <w:r w:rsidR="001D1461" w:rsidRPr="00D55B3D">
        <w:rPr>
          <w:rFonts w:cs="Tahoma"/>
          <w:bCs/>
          <w:szCs w:val="24"/>
        </w:rPr>
        <w:t xml:space="preserve">de 2017 y el 30 de junio de 2021 asciende a la suma de </w:t>
      </w:r>
      <w:r w:rsidR="000F4D8F" w:rsidRPr="00D55B3D">
        <w:rPr>
          <w:rFonts w:cs="Tahoma"/>
          <w:bCs/>
          <w:szCs w:val="24"/>
        </w:rPr>
        <w:t>$39.503,130</w:t>
      </w:r>
      <w:r w:rsidR="001D1461" w:rsidRPr="00D55B3D">
        <w:rPr>
          <w:rFonts w:cs="Tahoma"/>
          <w:bCs/>
          <w:szCs w:val="24"/>
        </w:rPr>
        <w:t>, sin perjuicio de las mesadas que se causen con posterioridad y los descuentos de ley. En este sentido se modificará el ordinal cuarto de la sentencia de primer grado.</w:t>
      </w:r>
    </w:p>
    <w:p w14:paraId="561E27CD" w14:textId="42AD8594" w:rsidR="00943FAF" w:rsidRPr="00D55B3D" w:rsidRDefault="00943FAF" w:rsidP="00D55B3D">
      <w:pPr>
        <w:spacing w:line="276" w:lineRule="auto"/>
        <w:ind w:firstLine="709"/>
        <w:rPr>
          <w:rFonts w:cs="Tahoma"/>
          <w:bCs/>
          <w:szCs w:val="24"/>
          <w:lang w:val="es-ES_tradnl"/>
        </w:rPr>
      </w:pPr>
    </w:p>
    <w:p w14:paraId="14A6B964" w14:textId="7FE0E452" w:rsidR="00E76B25" w:rsidRPr="00D55B3D" w:rsidRDefault="000F4D8F" w:rsidP="00D55B3D">
      <w:pPr>
        <w:spacing w:line="276" w:lineRule="auto"/>
        <w:ind w:firstLine="709"/>
        <w:rPr>
          <w:rFonts w:eastAsia="Times New Roman" w:cs="Tahoma"/>
          <w:szCs w:val="24"/>
          <w:lang w:eastAsia="es-ES"/>
        </w:rPr>
      </w:pPr>
      <w:r w:rsidRPr="00D55B3D">
        <w:rPr>
          <w:rFonts w:cs="Tahoma"/>
          <w:szCs w:val="24"/>
        </w:rPr>
        <w:t>Ahora, a</w:t>
      </w:r>
      <w:r w:rsidR="001D1461" w:rsidRPr="00D55B3D">
        <w:rPr>
          <w:rFonts w:cs="Tahoma"/>
          <w:szCs w:val="24"/>
        </w:rPr>
        <w:t>tendiendo el precedente de la Sala de Casación Laboral de la Corte Suprema de Justicia, considera la Sala que</w:t>
      </w:r>
      <w:r w:rsidR="00943FAF" w:rsidRPr="00D55B3D">
        <w:rPr>
          <w:rFonts w:cs="Tahoma"/>
          <w:szCs w:val="24"/>
        </w:rPr>
        <w:t xml:space="preserve"> tampoco son procedentes los intereses moratorios sobre las mesadas a que tiene derecho la demandante toda vez que, cuando la entidad pensional resolvió la solicitud de reconocimiento, la decisión adoptada estuvo acorde con </w:t>
      </w:r>
      <w:r w:rsidR="00E76B25" w:rsidRPr="00D55B3D">
        <w:rPr>
          <w:rFonts w:cs="Tahoma"/>
          <w:szCs w:val="24"/>
        </w:rPr>
        <w:t xml:space="preserve">el precedente sentado en la </w:t>
      </w:r>
      <w:r w:rsidR="00E76B25" w:rsidRPr="00D55B3D">
        <w:rPr>
          <w:rFonts w:eastAsia="Times New Roman" w:cs="Tahoma"/>
          <w:szCs w:val="24"/>
          <w:lang w:eastAsia="es-ES"/>
        </w:rPr>
        <w:t xml:space="preserve">sentencia CSJ SL12442 de 2015, en la cual se decía que el amparo a la cónyuge separada de hecho únicamente era concebible cuando </w:t>
      </w:r>
      <w:r w:rsidR="000555BE" w:rsidRPr="00D55B3D">
        <w:rPr>
          <w:rFonts w:eastAsia="Times New Roman" w:cs="Tahoma"/>
          <w:szCs w:val="24"/>
          <w:lang w:eastAsia="es-ES"/>
        </w:rPr>
        <w:t xml:space="preserve">había </w:t>
      </w:r>
      <w:r w:rsidR="00E76B25" w:rsidRPr="00D55B3D">
        <w:rPr>
          <w:rFonts w:eastAsia="Times New Roman" w:cs="Tahoma"/>
          <w:szCs w:val="24"/>
          <w:lang w:eastAsia="es-ES"/>
        </w:rPr>
        <w:t>mantenido vivo y actuante el vínculo de familia</w:t>
      </w:r>
      <w:r w:rsidR="000555BE" w:rsidRPr="00D55B3D">
        <w:rPr>
          <w:rFonts w:eastAsia="Times New Roman" w:cs="Tahoma"/>
          <w:szCs w:val="24"/>
          <w:lang w:eastAsia="es-ES"/>
        </w:rPr>
        <w:t xml:space="preserve"> con el causante</w:t>
      </w:r>
      <w:r w:rsidR="00E76B25" w:rsidRPr="00D55B3D">
        <w:rPr>
          <w:rFonts w:eastAsia="Times New Roman" w:cs="Tahoma"/>
          <w:szCs w:val="24"/>
          <w:lang w:eastAsia="es-ES"/>
        </w:rPr>
        <w:t>, mediante la comunicación, el auxilio mutuo u otras expresiones de su vigencia, más allá del rompimiento de la convivencia</w:t>
      </w:r>
      <w:r w:rsidR="000555BE" w:rsidRPr="00D55B3D">
        <w:rPr>
          <w:rFonts w:eastAsia="Times New Roman" w:cs="Tahoma"/>
          <w:szCs w:val="24"/>
          <w:lang w:eastAsia="es-ES"/>
        </w:rPr>
        <w:t>; postura que sería variada a través de la sentencia SL5169 de 2019.</w:t>
      </w:r>
      <w:r w:rsidRPr="00D55B3D">
        <w:rPr>
          <w:rFonts w:eastAsia="Times New Roman" w:cs="Tahoma"/>
          <w:szCs w:val="24"/>
          <w:lang w:eastAsia="es-ES"/>
        </w:rPr>
        <w:t xml:space="preserve"> En virtud de lo anterior, se revocará el ordinal quinto de la sentencia primigenia.</w:t>
      </w:r>
    </w:p>
    <w:p w14:paraId="60AB25EB" w14:textId="77777777" w:rsidR="001D1461" w:rsidRPr="00D55B3D" w:rsidRDefault="001D1461" w:rsidP="00D55B3D">
      <w:pPr>
        <w:spacing w:line="276" w:lineRule="auto"/>
        <w:ind w:firstLine="709"/>
        <w:rPr>
          <w:rFonts w:cs="Tahoma"/>
          <w:szCs w:val="24"/>
        </w:rPr>
      </w:pPr>
    </w:p>
    <w:p w14:paraId="2CFD6007" w14:textId="4C9AF50A" w:rsidR="001D1461" w:rsidRPr="00D55B3D" w:rsidRDefault="00184EFA" w:rsidP="00D55B3D">
      <w:pPr>
        <w:spacing w:line="276" w:lineRule="auto"/>
        <w:ind w:firstLine="709"/>
        <w:rPr>
          <w:rFonts w:cs="Tahoma"/>
          <w:szCs w:val="24"/>
        </w:rPr>
      </w:pPr>
      <w:r w:rsidRPr="00D55B3D">
        <w:rPr>
          <w:rFonts w:cs="Tahoma"/>
          <w:szCs w:val="24"/>
        </w:rPr>
        <w:t xml:space="preserve">Las costas de primera instancia se </w:t>
      </w:r>
      <w:r w:rsidR="001D1461" w:rsidRPr="00D55B3D">
        <w:rPr>
          <w:rFonts w:cs="Tahoma"/>
          <w:szCs w:val="24"/>
        </w:rPr>
        <w:t xml:space="preserve">mantendrán incólumes, en primer lugar, </w:t>
      </w:r>
      <w:r w:rsidR="005462CC" w:rsidRPr="00D55B3D">
        <w:rPr>
          <w:rFonts w:cs="Tahoma"/>
          <w:szCs w:val="24"/>
        </w:rPr>
        <w:t>por</w:t>
      </w:r>
      <w:r w:rsidR="001D1461" w:rsidRPr="00D55B3D">
        <w:rPr>
          <w:rFonts w:cs="Tahoma"/>
          <w:szCs w:val="24"/>
        </w:rPr>
        <w:t xml:space="preserve">que al haber existido controversia e incluso oposición frente al debate jurídico puesto en conocimiento de la Judicatura, conforme lo faculta el artículo 365 del CGP, hay lugar a condenar </w:t>
      </w:r>
      <w:r w:rsidR="005462CC" w:rsidRPr="00D55B3D">
        <w:rPr>
          <w:rFonts w:cs="Tahoma"/>
          <w:szCs w:val="24"/>
        </w:rPr>
        <w:t>po</w:t>
      </w:r>
      <w:bookmarkStart w:id="3" w:name="_GoBack"/>
      <w:bookmarkEnd w:id="3"/>
      <w:r w:rsidR="005462CC" w:rsidRPr="00D55B3D">
        <w:rPr>
          <w:rFonts w:cs="Tahoma"/>
          <w:szCs w:val="24"/>
        </w:rPr>
        <w:t>r ese concepto</w:t>
      </w:r>
      <w:r w:rsidR="001D1461" w:rsidRPr="00D55B3D">
        <w:rPr>
          <w:rFonts w:cs="Tahoma"/>
          <w:szCs w:val="24"/>
        </w:rPr>
        <w:t xml:space="preserve"> a quien resulta vencido en la contienda</w:t>
      </w:r>
      <w:r w:rsidR="005462CC" w:rsidRPr="00D55B3D">
        <w:rPr>
          <w:rFonts w:cs="Tahoma"/>
          <w:szCs w:val="24"/>
        </w:rPr>
        <w:t>.</w:t>
      </w:r>
    </w:p>
    <w:p w14:paraId="76B8DCD9" w14:textId="77777777" w:rsidR="001D1461" w:rsidRPr="00D55B3D" w:rsidRDefault="001D1461" w:rsidP="00D55B3D">
      <w:pPr>
        <w:spacing w:line="276" w:lineRule="auto"/>
        <w:ind w:firstLine="709"/>
        <w:rPr>
          <w:rFonts w:cs="Tahoma"/>
          <w:szCs w:val="24"/>
        </w:rPr>
      </w:pPr>
    </w:p>
    <w:p w14:paraId="78DFC891" w14:textId="23866AB8" w:rsidR="00B33A2C" w:rsidRPr="00D55B3D" w:rsidRDefault="00184EFA" w:rsidP="00D55B3D">
      <w:pPr>
        <w:spacing w:line="276" w:lineRule="auto"/>
        <w:ind w:firstLine="709"/>
        <w:rPr>
          <w:rFonts w:eastAsia="Tahoma" w:cs="Tahoma"/>
          <w:szCs w:val="24"/>
        </w:rPr>
      </w:pPr>
      <w:r w:rsidRPr="00D55B3D">
        <w:rPr>
          <w:rFonts w:cs="Tahoma"/>
          <w:szCs w:val="24"/>
        </w:rPr>
        <w:t xml:space="preserve"> </w:t>
      </w:r>
      <w:r w:rsidR="00B33A2C" w:rsidRPr="00D55B3D">
        <w:rPr>
          <w:rFonts w:cs="Tahoma"/>
          <w:szCs w:val="24"/>
        </w:rPr>
        <w:t xml:space="preserve">En esta instancia </w:t>
      </w:r>
      <w:r w:rsidRPr="00D55B3D">
        <w:rPr>
          <w:rFonts w:cs="Tahoma"/>
          <w:szCs w:val="24"/>
        </w:rPr>
        <w:t xml:space="preserve">no habrá condena por ese concepto por haber </w:t>
      </w:r>
      <w:r w:rsidR="000072F6" w:rsidRPr="00D55B3D">
        <w:rPr>
          <w:rFonts w:cs="Tahoma"/>
          <w:szCs w:val="24"/>
        </w:rPr>
        <w:t>salido avante</w:t>
      </w:r>
      <w:r w:rsidR="001D1461" w:rsidRPr="00D55B3D">
        <w:rPr>
          <w:rFonts w:cs="Tahoma"/>
          <w:szCs w:val="24"/>
        </w:rPr>
        <w:t>,</w:t>
      </w:r>
      <w:r w:rsidRPr="00D55B3D">
        <w:rPr>
          <w:rFonts w:cs="Tahoma"/>
          <w:szCs w:val="24"/>
        </w:rPr>
        <w:t xml:space="preserve"> </w:t>
      </w:r>
      <w:r w:rsidR="001D1461" w:rsidRPr="00D55B3D">
        <w:rPr>
          <w:rFonts w:cs="Tahoma"/>
          <w:szCs w:val="24"/>
        </w:rPr>
        <w:t xml:space="preserve">parcialmente, </w:t>
      </w:r>
      <w:r w:rsidR="000072F6" w:rsidRPr="00D55B3D">
        <w:rPr>
          <w:rFonts w:cs="Tahoma"/>
          <w:szCs w:val="24"/>
        </w:rPr>
        <w:t>parte del recurso de alzada.</w:t>
      </w:r>
      <w:r w:rsidR="00B33A2C" w:rsidRPr="00D55B3D">
        <w:rPr>
          <w:rFonts w:eastAsia="Tahoma" w:cs="Tahoma"/>
          <w:szCs w:val="24"/>
        </w:rPr>
        <w:t xml:space="preserve"> </w:t>
      </w:r>
    </w:p>
    <w:p w14:paraId="3C1E6E1E" w14:textId="77777777" w:rsidR="00B33A2C" w:rsidRPr="00D55B3D" w:rsidRDefault="00B33A2C" w:rsidP="00D55B3D">
      <w:pPr>
        <w:spacing w:line="276" w:lineRule="auto"/>
        <w:ind w:firstLine="708"/>
        <w:rPr>
          <w:rFonts w:eastAsia="Tahoma" w:cs="Tahoma"/>
          <w:szCs w:val="24"/>
        </w:rPr>
      </w:pPr>
    </w:p>
    <w:p w14:paraId="0D73C273" w14:textId="239055D1" w:rsidR="001D1461" w:rsidRPr="00D55B3D" w:rsidRDefault="009661C8" w:rsidP="00D55B3D">
      <w:pPr>
        <w:spacing w:line="276" w:lineRule="auto"/>
        <w:ind w:firstLine="644"/>
        <w:rPr>
          <w:rFonts w:eastAsia="Tahoma" w:cs="Tahoma"/>
          <w:szCs w:val="24"/>
          <w:lang w:eastAsia="es-ES"/>
        </w:rPr>
      </w:pPr>
      <w:r>
        <w:rPr>
          <w:rFonts w:eastAsia="Tahoma" w:cs="Tahoma"/>
          <w:szCs w:val="24"/>
          <w:lang w:eastAsia="es-ES"/>
        </w:rPr>
        <w:t>(…)</w:t>
      </w:r>
    </w:p>
    <w:p w14:paraId="40D43801" w14:textId="77777777" w:rsidR="00B33A2C" w:rsidRPr="00D55B3D" w:rsidRDefault="00B33A2C" w:rsidP="00D55B3D">
      <w:pPr>
        <w:spacing w:line="276" w:lineRule="auto"/>
        <w:ind w:firstLine="644"/>
        <w:rPr>
          <w:rFonts w:eastAsia="Tahoma" w:cs="Tahoma"/>
          <w:szCs w:val="24"/>
          <w:lang w:eastAsia="es-ES"/>
        </w:rPr>
      </w:pPr>
    </w:p>
    <w:p w14:paraId="28755A4D" w14:textId="77777777" w:rsidR="00B33A2C" w:rsidRPr="00D55B3D" w:rsidRDefault="00B33A2C" w:rsidP="00D55B3D">
      <w:pPr>
        <w:spacing w:line="276" w:lineRule="auto"/>
        <w:ind w:firstLine="644"/>
        <w:contextualSpacing/>
        <w:rPr>
          <w:rFonts w:eastAsia="Times New Roman" w:cs="Tahoma"/>
          <w:color w:val="000000" w:themeColor="text1"/>
          <w:szCs w:val="24"/>
          <w:lang w:val="es-ES_tradnl"/>
        </w:rPr>
      </w:pPr>
      <w:r w:rsidRPr="00D55B3D">
        <w:rPr>
          <w:rFonts w:eastAsia="Times New Roman" w:cs="Tahoma"/>
          <w:color w:val="000000" w:themeColor="text1"/>
          <w:szCs w:val="24"/>
          <w:lang w:val="es-ES_tradnl"/>
        </w:rPr>
        <w:t xml:space="preserve">En mérito de lo expuesto, el </w:t>
      </w:r>
      <w:r w:rsidRPr="00D55B3D">
        <w:rPr>
          <w:rFonts w:eastAsia="Times New Roman" w:cs="Tahoma"/>
          <w:b/>
          <w:color w:val="000000" w:themeColor="text1"/>
          <w:szCs w:val="24"/>
          <w:lang w:val="es-ES_tradnl"/>
        </w:rPr>
        <w:t>Tribunal Superior del Distrito Judicial de Pereira - Risaralda, Sala Primera de Decisión Laboral,</w:t>
      </w:r>
      <w:r w:rsidRPr="00D55B3D">
        <w:rPr>
          <w:rFonts w:eastAsia="Times New Roman" w:cs="Tahoma"/>
          <w:color w:val="000000" w:themeColor="text1"/>
          <w:szCs w:val="24"/>
          <w:lang w:val="es-ES_tradnl"/>
        </w:rPr>
        <w:t xml:space="preserve"> administrando justicia en nombre de la República y por autoridad de la ley,</w:t>
      </w:r>
    </w:p>
    <w:p w14:paraId="391610F1" w14:textId="77777777" w:rsidR="00B33A2C" w:rsidRPr="00D55B3D" w:rsidRDefault="00B33A2C" w:rsidP="00D55B3D">
      <w:pPr>
        <w:spacing w:line="276" w:lineRule="auto"/>
        <w:ind w:firstLine="708"/>
        <w:contextualSpacing/>
        <w:rPr>
          <w:rFonts w:eastAsia="Times New Roman" w:cs="Tahoma"/>
          <w:color w:val="000000" w:themeColor="text1"/>
          <w:szCs w:val="24"/>
          <w:lang w:val="es-ES_tradnl"/>
        </w:rPr>
      </w:pPr>
    </w:p>
    <w:p w14:paraId="1E94C6A5" w14:textId="77777777" w:rsidR="00B33A2C" w:rsidRPr="00D55B3D" w:rsidRDefault="00B33A2C" w:rsidP="00D55B3D">
      <w:pPr>
        <w:spacing w:line="276" w:lineRule="auto"/>
        <w:ind w:firstLine="709"/>
        <w:jc w:val="center"/>
        <w:rPr>
          <w:rFonts w:cs="Tahoma"/>
          <w:b/>
          <w:color w:val="000000" w:themeColor="text1"/>
          <w:szCs w:val="24"/>
        </w:rPr>
      </w:pPr>
      <w:r w:rsidRPr="00D55B3D">
        <w:rPr>
          <w:rFonts w:cs="Tahoma"/>
          <w:b/>
          <w:color w:val="000000" w:themeColor="text1"/>
          <w:szCs w:val="24"/>
        </w:rPr>
        <w:t>RESUELVE</w:t>
      </w:r>
    </w:p>
    <w:p w14:paraId="4C955A4B" w14:textId="77777777" w:rsidR="00B33A2C" w:rsidRPr="00D55B3D" w:rsidRDefault="00B33A2C" w:rsidP="00D55B3D">
      <w:pPr>
        <w:widowControl w:val="0"/>
        <w:autoSpaceDE w:val="0"/>
        <w:autoSpaceDN w:val="0"/>
        <w:adjustRightInd w:val="0"/>
        <w:spacing w:line="276" w:lineRule="auto"/>
        <w:jc w:val="center"/>
        <w:rPr>
          <w:rFonts w:cs="Tahoma"/>
          <w:b/>
          <w:szCs w:val="24"/>
        </w:rPr>
      </w:pPr>
    </w:p>
    <w:p w14:paraId="080CA3CF" w14:textId="7D5B2444" w:rsidR="001D1461" w:rsidRPr="00D55B3D" w:rsidRDefault="00B33A2C" w:rsidP="00D55B3D">
      <w:pPr>
        <w:spacing w:line="276" w:lineRule="auto"/>
        <w:ind w:firstLine="644"/>
        <w:rPr>
          <w:rFonts w:eastAsia="Tahoma" w:cs="Tahoma"/>
          <w:szCs w:val="24"/>
          <w:lang w:eastAsia="es-ES"/>
        </w:rPr>
      </w:pPr>
      <w:r w:rsidRPr="00D55B3D">
        <w:rPr>
          <w:rFonts w:eastAsia="Tahoma" w:cs="Tahoma"/>
          <w:b/>
          <w:bCs/>
          <w:szCs w:val="24"/>
          <w:lang w:eastAsia="es-ES"/>
        </w:rPr>
        <w:t>PRIMERO</w:t>
      </w:r>
      <w:r w:rsidRPr="00D55B3D">
        <w:rPr>
          <w:rFonts w:eastAsia="Tahoma" w:cs="Tahoma"/>
          <w:szCs w:val="24"/>
          <w:lang w:eastAsia="es-ES"/>
        </w:rPr>
        <w:t>: </w:t>
      </w:r>
      <w:r w:rsidR="001D1461" w:rsidRPr="00D55B3D">
        <w:rPr>
          <w:rFonts w:eastAsia="Tahoma" w:cs="Tahoma"/>
          <w:b/>
          <w:bCs/>
          <w:szCs w:val="24"/>
          <w:lang w:eastAsia="es-ES"/>
        </w:rPr>
        <w:t xml:space="preserve">MODIFICAR </w:t>
      </w:r>
      <w:r w:rsidR="001D1461" w:rsidRPr="00D55B3D">
        <w:rPr>
          <w:rFonts w:eastAsia="Tahoma" w:cs="Tahoma"/>
          <w:szCs w:val="24"/>
          <w:lang w:eastAsia="es-ES"/>
        </w:rPr>
        <w:t>los ordinales tercero y cuarto de</w:t>
      </w:r>
      <w:r w:rsidR="000072F6" w:rsidRPr="00D55B3D">
        <w:rPr>
          <w:rFonts w:eastAsia="Tahoma" w:cs="Tahoma"/>
          <w:b/>
          <w:bCs/>
          <w:szCs w:val="24"/>
          <w:lang w:eastAsia="es-ES"/>
        </w:rPr>
        <w:t xml:space="preserve"> </w:t>
      </w:r>
      <w:r w:rsidR="000072F6" w:rsidRPr="00D55B3D">
        <w:rPr>
          <w:rFonts w:eastAsia="Tahoma" w:cs="Tahoma"/>
          <w:szCs w:val="24"/>
          <w:lang w:eastAsia="es-ES"/>
        </w:rPr>
        <w:t xml:space="preserve">la sentencia proferida por el Juzgado </w:t>
      </w:r>
      <w:r w:rsidR="001D1461" w:rsidRPr="00D55B3D">
        <w:rPr>
          <w:rFonts w:eastAsia="Tahoma" w:cs="Tahoma"/>
          <w:szCs w:val="24"/>
          <w:lang w:eastAsia="es-ES"/>
        </w:rPr>
        <w:t>Quinto</w:t>
      </w:r>
      <w:r w:rsidR="000072F6" w:rsidRPr="00D55B3D">
        <w:rPr>
          <w:rFonts w:eastAsia="Tahoma" w:cs="Tahoma"/>
          <w:szCs w:val="24"/>
          <w:lang w:eastAsia="es-ES"/>
        </w:rPr>
        <w:t xml:space="preserve"> Laboral de Circuito de Pereira, del 1</w:t>
      </w:r>
      <w:r w:rsidR="001D1461" w:rsidRPr="00D55B3D">
        <w:rPr>
          <w:rFonts w:eastAsia="Tahoma" w:cs="Tahoma"/>
          <w:szCs w:val="24"/>
          <w:lang w:eastAsia="es-ES"/>
        </w:rPr>
        <w:t>8</w:t>
      </w:r>
      <w:r w:rsidR="000072F6" w:rsidRPr="00D55B3D">
        <w:rPr>
          <w:rFonts w:eastAsia="Tahoma" w:cs="Tahoma"/>
          <w:szCs w:val="24"/>
          <w:lang w:eastAsia="es-ES"/>
        </w:rPr>
        <w:t xml:space="preserve"> de marzo de </w:t>
      </w:r>
      <w:r w:rsidR="000072F6" w:rsidRPr="00D55B3D">
        <w:rPr>
          <w:rFonts w:eastAsia="Tahoma" w:cs="Tahoma"/>
          <w:szCs w:val="24"/>
          <w:lang w:eastAsia="es-ES"/>
        </w:rPr>
        <w:lastRenderedPageBreak/>
        <w:t xml:space="preserve">2021 dentro del proceso de la referencia, </w:t>
      </w:r>
      <w:r w:rsidR="001D1461" w:rsidRPr="00D55B3D">
        <w:rPr>
          <w:rFonts w:eastAsia="Tahoma" w:cs="Tahoma"/>
          <w:szCs w:val="24"/>
          <w:lang w:eastAsia="es-ES"/>
        </w:rPr>
        <w:t>en el sentido de que a la demandante le asiste derecho a 13 mesada anuales y</w:t>
      </w:r>
      <w:r w:rsidR="000B411C" w:rsidRPr="00D55B3D">
        <w:rPr>
          <w:rFonts w:eastAsia="Tahoma" w:cs="Tahoma"/>
          <w:szCs w:val="24"/>
          <w:lang w:eastAsia="es-ES"/>
        </w:rPr>
        <w:t>,</w:t>
      </w:r>
      <w:r w:rsidR="001D1461" w:rsidRPr="00D55B3D">
        <w:rPr>
          <w:rFonts w:eastAsia="Tahoma" w:cs="Tahoma"/>
          <w:szCs w:val="24"/>
          <w:lang w:eastAsia="es-ES"/>
        </w:rPr>
        <w:t xml:space="preserve"> que</w:t>
      </w:r>
      <w:r w:rsidR="000B411C" w:rsidRPr="00D55B3D">
        <w:rPr>
          <w:rFonts w:eastAsia="Tahoma" w:cs="Tahoma"/>
          <w:szCs w:val="24"/>
          <w:lang w:eastAsia="es-ES"/>
        </w:rPr>
        <w:t xml:space="preserve"> la demandante tiene derecho a que le sea reconocida la suma de </w:t>
      </w:r>
      <w:r w:rsidR="000B411C" w:rsidRPr="00D55B3D">
        <w:rPr>
          <w:rFonts w:cs="Tahoma"/>
          <w:szCs w:val="24"/>
        </w:rPr>
        <w:t>$7.746.029 por parte de la señora María Otilia Franco García, por las mesadas causadas entre el 25 de enero y el 20 de noviembre de 2017; y, por parte de Colpensiones, el monto equivalente a $39.503.130, como</w:t>
      </w:r>
      <w:r w:rsidR="000B411C" w:rsidRPr="00D55B3D">
        <w:rPr>
          <w:rFonts w:eastAsia="Tahoma" w:cs="Tahoma"/>
          <w:szCs w:val="24"/>
          <w:lang w:eastAsia="es-ES"/>
        </w:rPr>
        <w:t xml:space="preserve"> retroactiv</w:t>
      </w:r>
      <w:r w:rsidR="000B411C" w:rsidRPr="00D55B3D">
        <w:rPr>
          <w:rFonts w:cs="Tahoma"/>
          <w:szCs w:val="24"/>
        </w:rPr>
        <w:t xml:space="preserve">o </w:t>
      </w:r>
      <w:r w:rsidR="001D1461" w:rsidRPr="00D55B3D">
        <w:rPr>
          <w:rFonts w:eastAsia="Tahoma" w:cs="Tahoma"/>
          <w:szCs w:val="24"/>
          <w:lang w:eastAsia="es-ES"/>
        </w:rPr>
        <w:t>causado entre el 2</w:t>
      </w:r>
      <w:r w:rsidR="000B411C" w:rsidRPr="00D55B3D">
        <w:rPr>
          <w:rFonts w:eastAsia="Tahoma" w:cs="Tahoma"/>
          <w:szCs w:val="24"/>
          <w:lang w:eastAsia="es-ES"/>
        </w:rPr>
        <w:t xml:space="preserve">1 de noviembre </w:t>
      </w:r>
      <w:r w:rsidR="001D1461" w:rsidRPr="00D55B3D">
        <w:rPr>
          <w:rFonts w:eastAsia="Tahoma" w:cs="Tahoma"/>
          <w:szCs w:val="24"/>
          <w:lang w:eastAsia="es-ES"/>
        </w:rPr>
        <w:t>de 2017 y el 30 de junio de 2021 asciende a la suma de</w:t>
      </w:r>
      <w:r w:rsidR="001D1461" w:rsidRPr="00D55B3D">
        <w:rPr>
          <w:rFonts w:cs="Tahoma"/>
          <w:szCs w:val="24"/>
        </w:rPr>
        <w:t>, sin perjuicio de las mesadas que se causen con posterioridad y los descuentos de ley</w:t>
      </w:r>
    </w:p>
    <w:p w14:paraId="7DECB32C" w14:textId="77777777" w:rsidR="001D1461" w:rsidRPr="00D55B3D" w:rsidRDefault="001D1461" w:rsidP="00D55B3D">
      <w:pPr>
        <w:spacing w:line="276" w:lineRule="auto"/>
        <w:ind w:firstLine="644"/>
        <w:rPr>
          <w:rFonts w:eastAsia="Tahoma" w:cs="Tahoma"/>
          <w:b/>
          <w:bCs/>
          <w:szCs w:val="24"/>
          <w:lang w:eastAsia="es-ES"/>
        </w:rPr>
      </w:pPr>
    </w:p>
    <w:p w14:paraId="39E9598A" w14:textId="4C32E12A" w:rsidR="001D1461" w:rsidRPr="00D55B3D" w:rsidRDefault="001D1461" w:rsidP="00D55B3D">
      <w:pPr>
        <w:spacing w:line="276" w:lineRule="auto"/>
        <w:ind w:firstLine="644"/>
        <w:rPr>
          <w:rFonts w:eastAsia="Tahoma" w:cs="Tahoma"/>
          <w:szCs w:val="24"/>
          <w:lang w:eastAsia="es-ES"/>
        </w:rPr>
      </w:pPr>
      <w:r w:rsidRPr="00D55B3D">
        <w:rPr>
          <w:rFonts w:eastAsia="Tahoma" w:cs="Tahoma"/>
          <w:b/>
          <w:bCs/>
          <w:szCs w:val="24"/>
          <w:lang w:eastAsia="es-ES"/>
        </w:rPr>
        <w:t>SEGUNDO</w:t>
      </w:r>
      <w:r w:rsidRPr="00D55B3D">
        <w:rPr>
          <w:rFonts w:eastAsia="Tahoma" w:cs="Tahoma"/>
          <w:szCs w:val="24"/>
          <w:lang w:eastAsia="es-ES"/>
        </w:rPr>
        <w:t xml:space="preserve">: </w:t>
      </w:r>
      <w:r w:rsidRPr="00D55B3D">
        <w:rPr>
          <w:rFonts w:eastAsia="Tahoma" w:cs="Tahoma"/>
          <w:b/>
          <w:bCs/>
          <w:szCs w:val="24"/>
          <w:lang w:eastAsia="es-ES"/>
        </w:rPr>
        <w:t>REVOCAR</w:t>
      </w:r>
      <w:r w:rsidRPr="00D55B3D">
        <w:rPr>
          <w:rFonts w:eastAsia="Tahoma" w:cs="Tahoma"/>
          <w:szCs w:val="24"/>
          <w:lang w:eastAsia="es-ES"/>
        </w:rPr>
        <w:t xml:space="preserve"> el ordinal quinto de la sentencia de primer grado para, en su lugar, exonerar a Colpensiones del pago de los intereses moratorios.</w:t>
      </w:r>
    </w:p>
    <w:p w14:paraId="030D056E" w14:textId="675C5195" w:rsidR="001D1461" w:rsidRPr="00D55B3D" w:rsidRDefault="001D1461" w:rsidP="00D55B3D">
      <w:pPr>
        <w:spacing w:line="276" w:lineRule="auto"/>
        <w:ind w:firstLine="644"/>
        <w:rPr>
          <w:rFonts w:eastAsia="Tahoma" w:cs="Tahoma"/>
          <w:szCs w:val="24"/>
          <w:lang w:eastAsia="es-ES"/>
        </w:rPr>
      </w:pPr>
    </w:p>
    <w:p w14:paraId="5BB2ADD9" w14:textId="70C44D2C" w:rsidR="001D1461" w:rsidRPr="00D55B3D" w:rsidRDefault="001D1461" w:rsidP="00D55B3D">
      <w:pPr>
        <w:spacing w:line="276" w:lineRule="auto"/>
        <w:ind w:firstLine="644"/>
        <w:rPr>
          <w:rFonts w:eastAsia="Tahoma" w:cs="Tahoma"/>
          <w:szCs w:val="24"/>
          <w:lang w:eastAsia="es-ES"/>
        </w:rPr>
      </w:pPr>
      <w:r w:rsidRPr="00D55B3D">
        <w:rPr>
          <w:rFonts w:eastAsia="Tahoma" w:cs="Tahoma"/>
          <w:b/>
          <w:bCs/>
          <w:szCs w:val="24"/>
          <w:lang w:eastAsia="es-ES"/>
        </w:rPr>
        <w:t>TERCERO</w:t>
      </w:r>
      <w:r w:rsidRPr="00D55B3D">
        <w:rPr>
          <w:rFonts w:eastAsia="Tahoma" w:cs="Tahoma"/>
          <w:szCs w:val="24"/>
          <w:lang w:eastAsia="es-ES"/>
        </w:rPr>
        <w:t>: </w:t>
      </w:r>
      <w:r w:rsidRPr="00D55B3D">
        <w:rPr>
          <w:rFonts w:eastAsia="Tahoma" w:cs="Tahoma"/>
          <w:b/>
          <w:bCs/>
          <w:szCs w:val="24"/>
          <w:lang w:eastAsia="es-ES"/>
        </w:rPr>
        <w:t>CONFIRMAR</w:t>
      </w:r>
      <w:r w:rsidRPr="00D55B3D">
        <w:rPr>
          <w:rFonts w:eastAsia="Tahoma" w:cs="Tahoma"/>
          <w:szCs w:val="24"/>
          <w:lang w:eastAsia="es-ES"/>
        </w:rPr>
        <w:t xml:space="preserve"> en lo demás la sentencia recurrida.</w:t>
      </w:r>
    </w:p>
    <w:p w14:paraId="0D0FA362" w14:textId="77777777" w:rsidR="00B33A2C" w:rsidRPr="00D55B3D" w:rsidRDefault="00B33A2C" w:rsidP="00D55B3D">
      <w:pPr>
        <w:spacing w:line="276" w:lineRule="auto"/>
        <w:rPr>
          <w:rFonts w:eastAsia="Tahoma" w:cs="Tahoma"/>
          <w:szCs w:val="24"/>
          <w:lang w:eastAsia="es-ES"/>
        </w:rPr>
      </w:pPr>
    </w:p>
    <w:p w14:paraId="6B03D2E9" w14:textId="6353FC66" w:rsidR="001D1461" w:rsidRPr="00D55B3D" w:rsidRDefault="00B33A2C" w:rsidP="00D55B3D">
      <w:pPr>
        <w:spacing w:line="276" w:lineRule="auto"/>
        <w:ind w:firstLine="644"/>
        <w:rPr>
          <w:rFonts w:eastAsia="Tahoma" w:cs="Tahoma"/>
          <w:szCs w:val="24"/>
          <w:lang w:eastAsia="es-ES"/>
        </w:rPr>
      </w:pPr>
      <w:r w:rsidRPr="00D55B3D">
        <w:rPr>
          <w:rFonts w:eastAsia="Tahoma" w:cs="Tahoma"/>
          <w:b/>
          <w:bCs/>
          <w:szCs w:val="24"/>
          <w:lang w:eastAsia="es-ES"/>
        </w:rPr>
        <w:t>CUARTO</w:t>
      </w:r>
      <w:r w:rsidRPr="00D55B3D">
        <w:rPr>
          <w:rFonts w:eastAsia="Tahoma" w:cs="Tahoma"/>
          <w:szCs w:val="24"/>
          <w:lang w:eastAsia="es-ES"/>
        </w:rPr>
        <w:t xml:space="preserve">: </w:t>
      </w:r>
      <w:r w:rsidR="001D1461" w:rsidRPr="00D55B3D">
        <w:rPr>
          <w:rFonts w:eastAsia="Tahoma" w:cs="Tahoma"/>
          <w:b/>
          <w:bCs/>
          <w:szCs w:val="24"/>
          <w:lang w:eastAsia="es-ES"/>
        </w:rPr>
        <w:t>SIN COSTAS</w:t>
      </w:r>
      <w:r w:rsidR="001D1461" w:rsidRPr="00D55B3D">
        <w:rPr>
          <w:rFonts w:eastAsia="Tahoma" w:cs="Tahoma"/>
          <w:szCs w:val="24"/>
          <w:lang w:eastAsia="es-ES"/>
        </w:rPr>
        <w:t xml:space="preserve"> en esta instancia.</w:t>
      </w:r>
    </w:p>
    <w:p w14:paraId="1B7B5BB0" w14:textId="77777777" w:rsidR="001D1461" w:rsidRPr="00D55B3D" w:rsidRDefault="001D1461" w:rsidP="00D55B3D">
      <w:pPr>
        <w:spacing w:line="276" w:lineRule="auto"/>
        <w:ind w:firstLine="644"/>
        <w:rPr>
          <w:rFonts w:eastAsia="Tahoma" w:cs="Tahoma"/>
          <w:szCs w:val="24"/>
          <w:lang w:eastAsia="es-ES"/>
        </w:rPr>
      </w:pPr>
    </w:p>
    <w:p w14:paraId="2BFB9057" w14:textId="7D910A7D" w:rsidR="00B33A2C" w:rsidRPr="00D55B3D" w:rsidRDefault="001D1461" w:rsidP="00D55B3D">
      <w:pPr>
        <w:spacing w:line="276" w:lineRule="auto"/>
        <w:ind w:firstLine="644"/>
        <w:rPr>
          <w:rFonts w:eastAsia="Tahoma" w:cs="Tahoma"/>
          <w:szCs w:val="24"/>
          <w:lang w:eastAsia="es-ES"/>
        </w:rPr>
      </w:pPr>
      <w:r w:rsidRPr="00D55B3D">
        <w:rPr>
          <w:rFonts w:eastAsia="Times New Roman" w:cs="Tahoma"/>
          <w:b/>
          <w:bCs/>
          <w:szCs w:val="24"/>
          <w:lang w:eastAsia="es-CO"/>
        </w:rPr>
        <w:t xml:space="preserve">QUINTO: </w:t>
      </w:r>
      <w:r w:rsidR="009661C8">
        <w:rPr>
          <w:rFonts w:eastAsia="Times New Roman" w:cs="Tahoma"/>
          <w:szCs w:val="24"/>
          <w:lang w:eastAsia="es-CO"/>
        </w:rPr>
        <w:t>(…)</w:t>
      </w:r>
    </w:p>
    <w:p w14:paraId="6CDD2ABE" w14:textId="77777777" w:rsidR="00B33A2C" w:rsidRPr="00D55B3D" w:rsidRDefault="00B33A2C" w:rsidP="00D55B3D">
      <w:pPr>
        <w:spacing w:line="276" w:lineRule="auto"/>
        <w:ind w:firstLine="644"/>
        <w:rPr>
          <w:rFonts w:eastAsia="Tahoma" w:cs="Tahoma"/>
          <w:szCs w:val="24"/>
          <w:lang w:eastAsia="es-ES"/>
        </w:rPr>
      </w:pPr>
    </w:p>
    <w:p w14:paraId="7BBDA11C" w14:textId="77777777" w:rsidR="00B33A2C" w:rsidRPr="00D55B3D" w:rsidRDefault="00B33A2C" w:rsidP="00D55B3D">
      <w:pPr>
        <w:widowControl w:val="0"/>
        <w:autoSpaceDE w:val="0"/>
        <w:autoSpaceDN w:val="0"/>
        <w:adjustRightInd w:val="0"/>
        <w:spacing w:line="276" w:lineRule="auto"/>
        <w:jc w:val="center"/>
        <w:rPr>
          <w:rFonts w:cs="Tahoma"/>
          <w:b/>
          <w:szCs w:val="24"/>
        </w:rPr>
      </w:pPr>
      <w:r w:rsidRPr="00D55B3D">
        <w:rPr>
          <w:rFonts w:cs="Tahoma"/>
          <w:b/>
          <w:szCs w:val="24"/>
        </w:rPr>
        <w:t>NOTIFÍQUESE Y CÚMPLASE</w:t>
      </w:r>
    </w:p>
    <w:p w14:paraId="14A0AD8C" w14:textId="77777777" w:rsidR="00D55B3D" w:rsidRPr="00D55B3D" w:rsidRDefault="00D55B3D" w:rsidP="00D55B3D">
      <w:pPr>
        <w:spacing w:line="276" w:lineRule="auto"/>
        <w:contextualSpacing/>
        <w:rPr>
          <w:rFonts w:eastAsia="Times New Roman" w:cs="Tahoma"/>
          <w:szCs w:val="24"/>
          <w:lang w:val="es-ES_tradnl"/>
        </w:rPr>
      </w:pPr>
      <w:bookmarkStart w:id="4" w:name="_Hlk74294138"/>
    </w:p>
    <w:p w14:paraId="732E9A37" w14:textId="77777777" w:rsidR="00D55B3D" w:rsidRPr="00D55B3D" w:rsidRDefault="00D55B3D" w:rsidP="00D55B3D">
      <w:pPr>
        <w:widowControl w:val="0"/>
        <w:autoSpaceDE w:val="0"/>
        <w:autoSpaceDN w:val="0"/>
        <w:adjustRightInd w:val="0"/>
        <w:spacing w:line="276" w:lineRule="auto"/>
        <w:rPr>
          <w:rFonts w:eastAsia="Times New Roman" w:cs="Tahoma"/>
          <w:szCs w:val="24"/>
          <w:lang w:eastAsia="es-ES"/>
        </w:rPr>
      </w:pPr>
      <w:r w:rsidRPr="00D55B3D">
        <w:rPr>
          <w:rFonts w:eastAsia="Times New Roman" w:cs="Tahoma"/>
          <w:szCs w:val="24"/>
          <w:lang w:eastAsia="es-ES"/>
        </w:rPr>
        <w:tab/>
        <w:t>La Magistrada ponente,</w:t>
      </w:r>
    </w:p>
    <w:p w14:paraId="5DDF1F53" w14:textId="77777777" w:rsidR="00D55B3D" w:rsidRPr="00D55B3D" w:rsidRDefault="00D55B3D" w:rsidP="00D55B3D">
      <w:pPr>
        <w:spacing w:line="276" w:lineRule="auto"/>
        <w:jc w:val="left"/>
        <w:rPr>
          <w:rFonts w:eastAsia="Times New Roman" w:cs="Tahoma"/>
          <w:szCs w:val="24"/>
          <w:lang w:eastAsia="es-ES"/>
        </w:rPr>
      </w:pPr>
    </w:p>
    <w:p w14:paraId="53C189FE" w14:textId="77777777" w:rsidR="00D55B3D" w:rsidRPr="00D55B3D" w:rsidRDefault="00D55B3D" w:rsidP="00D55B3D">
      <w:pPr>
        <w:spacing w:line="276" w:lineRule="auto"/>
        <w:jc w:val="left"/>
        <w:rPr>
          <w:rFonts w:eastAsia="Times New Roman" w:cs="Tahoma"/>
          <w:szCs w:val="24"/>
          <w:lang w:eastAsia="es-ES"/>
        </w:rPr>
      </w:pPr>
    </w:p>
    <w:p w14:paraId="42D7C31E" w14:textId="77777777" w:rsidR="00D55B3D" w:rsidRPr="00D55B3D" w:rsidRDefault="00D55B3D" w:rsidP="00D55B3D">
      <w:pPr>
        <w:spacing w:line="276" w:lineRule="auto"/>
        <w:jc w:val="left"/>
        <w:rPr>
          <w:rFonts w:eastAsia="Times New Roman" w:cs="Tahoma"/>
          <w:szCs w:val="24"/>
          <w:lang w:eastAsia="es-ES"/>
        </w:rPr>
      </w:pPr>
    </w:p>
    <w:p w14:paraId="6A653AAD" w14:textId="77777777" w:rsidR="00D55B3D" w:rsidRPr="00D55B3D" w:rsidRDefault="00D55B3D" w:rsidP="00D55B3D">
      <w:pPr>
        <w:keepNext/>
        <w:spacing w:line="276" w:lineRule="auto"/>
        <w:jc w:val="center"/>
        <w:outlineLvl w:val="2"/>
        <w:rPr>
          <w:rFonts w:eastAsia="Times New Roman" w:cs="Tahoma"/>
          <w:b/>
          <w:bCs/>
          <w:szCs w:val="24"/>
          <w:lang w:eastAsia="es-ES"/>
        </w:rPr>
      </w:pPr>
      <w:r w:rsidRPr="00D55B3D">
        <w:rPr>
          <w:rFonts w:eastAsia="Times New Roman" w:cs="Tahoma"/>
          <w:b/>
          <w:bCs/>
          <w:szCs w:val="24"/>
          <w:lang w:eastAsia="es-ES"/>
        </w:rPr>
        <w:t>ANA LUCÍA CAICEDO CALDERÓN</w:t>
      </w:r>
    </w:p>
    <w:p w14:paraId="4888E473" w14:textId="77777777" w:rsidR="00D55B3D" w:rsidRPr="00D55B3D" w:rsidRDefault="00D55B3D" w:rsidP="00D55B3D">
      <w:pPr>
        <w:spacing w:line="276" w:lineRule="auto"/>
        <w:jc w:val="left"/>
        <w:rPr>
          <w:rFonts w:eastAsia="Times New Roman" w:cs="Tahoma"/>
          <w:szCs w:val="24"/>
          <w:lang w:eastAsia="es-ES"/>
        </w:rPr>
      </w:pPr>
    </w:p>
    <w:p w14:paraId="46B0F54E" w14:textId="77777777" w:rsidR="00D55B3D" w:rsidRPr="00D55B3D" w:rsidRDefault="00D55B3D" w:rsidP="00D55B3D">
      <w:pPr>
        <w:spacing w:line="276" w:lineRule="auto"/>
        <w:ind w:firstLine="708"/>
        <w:jc w:val="left"/>
        <w:rPr>
          <w:rFonts w:eastAsia="Times New Roman" w:cs="Tahoma"/>
          <w:szCs w:val="24"/>
          <w:lang w:eastAsia="es-ES"/>
        </w:rPr>
      </w:pPr>
      <w:bookmarkStart w:id="5" w:name="_Hlk62478330"/>
      <w:r w:rsidRPr="00D55B3D">
        <w:rPr>
          <w:rFonts w:eastAsia="Times New Roman" w:cs="Tahoma"/>
          <w:szCs w:val="24"/>
          <w:lang w:eastAsia="es-ES"/>
        </w:rPr>
        <w:t>La Magistrada y el Magistrado,</w:t>
      </w:r>
    </w:p>
    <w:p w14:paraId="0DBF8FE6" w14:textId="77777777" w:rsidR="00D55B3D" w:rsidRPr="00D55B3D" w:rsidRDefault="00D55B3D" w:rsidP="00D55B3D">
      <w:pPr>
        <w:spacing w:line="276" w:lineRule="auto"/>
        <w:jc w:val="left"/>
        <w:rPr>
          <w:rFonts w:eastAsia="Times New Roman" w:cs="Tahoma"/>
          <w:szCs w:val="24"/>
          <w:lang w:eastAsia="es-ES"/>
        </w:rPr>
      </w:pPr>
    </w:p>
    <w:p w14:paraId="090026E0" w14:textId="77777777" w:rsidR="00D55B3D" w:rsidRPr="00D55B3D" w:rsidRDefault="00D55B3D" w:rsidP="00D55B3D">
      <w:pPr>
        <w:spacing w:line="276" w:lineRule="auto"/>
        <w:jc w:val="left"/>
        <w:rPr>
          <w:rFonts w:eastAsia="Times New Roman" w:cs="Tahoma"/>
          <w:szCs w:val="24"/>
          <w:lang w:eastAsia="es-ES"/>
        </w:rPr>
      </w:pPr>
    </w:p>
    <w:p w14:paraId="65E01B51" w14:textId="77777777" w:rsidR="00D55B3D" w:rsidRPr="00D55B3D" w:rsidRDefault="00D55B3D" w:rsidP="00D55B3D">
      <w:pPr>
        <w:spacing w:line="276" w:lineRule="auto"/>
        <w:jc w:val="left"/>
        <w:rPr>
          <w:rFonts w:eastAsia="Times New Roman" w:cs="Tahoma"/>
          <w:szCs w:val="24"/>
          <w:lang w:eastAsia="es-ES"/>
        </w:rPr>
      </w:pPr>
    </w:p>
    <w:p w14:paraId="6184D840" w14:textId="77777777" w:rsidR="00D55B3D" w:rsidRPr="00D55B3D" w:rsidRDefault="00D55B3D" w:rsidP="00D55B3D">
      <w:pPr>
        <w:spacing w:line="276" w:lineRule="auto"/>
        <w:rPr>
          <w:rFonts w:eastAsia="Times New Roman" w:cs="Tahoma"/>
          <w:szCs w:val="24"/>
          <w:lang w:eastAsia="es-ES"/>
        </w:rPr>
      </w:pPr>
      <w:r w:rsidRPr="00D55B3D">
        <w:rPr>
          <w:rFonts w:eastAsia="Times New Roman" w:cs="Tahoma"/>
          <w:b/>
          <w:bCs/>
          <w:szCs w:val="24"/>
          <w:lang w:eastAsia="es-ES"/>
        </w:rPr>
        <w:t>OLGA LUCÍA HOYOS SEPÚLVEDA</w:t>
      </w:r>
      <w:r w:rsidRPr="00D55B3D">
        <w:rPr>
          <w:rFonts w:eastAsia="Times New Roman" w:cs="Tahoma"/>
          <w:b/>
          <w:bCs/>
          <w:szCs w:val="24"/>
          <w:lang w:eastAsia="es-ES"/>
        </w:rPr>
        <w:tab/>
      </w:r>
      <w:r w:rsidRPr="00D55B3D">
        <w:rPr>
          <w:rFonts w:eastAsia="Times New Roman" w:cs="Tahoma"/>
          <w:b/>
          <w:bCs/>
          <w:szCs w:val="24"/>
          <w:lang w:eastAsia="es-ES"/>
        </w:rPr>
        <w:tab/>
        <w:t>GERMÁN DARÍO GÓEZ VINASCO</w:t>
      </w:r>
      <w:bookmarkEnd w:id="4"/>
      <w:bookmarkEnd w:id="5"/>
    </w:p>
    <w:p w14:paraId="7DF2A4B3" w14:textId="7EEFC1C3" w:rsidR="009D10A2" w:rsidRPr="00D55B3D" w:rsidRDefault="00D55B3D" w:rsidP="00D55B3D">
      <w:pPr>
        <w:spacing w:line="276" w:lineRule="auto"/>
        <w:textAlignment w:val="baseline"/>
        <w:rPr>
          <w:rFonts w:cs="Tahoma"/>
          <w:bCs/>
          <w:szCs w:val="24"/>
        </w:rPr>
      </w:pPr>
      <w:r w:rsidRPr="00D55B3D">
        <w:rPr>
          <w:rFonts w:cs="Tahoma"/>
          <w:bCs/>
          <w:szCs w:val="24"/>
        </w:rPr>
        <w:t>Salva voto parcialmente</w:t>
      </w:r>
    </w:p>
    <w:sectPr w:rsidR="009D10A2" w:rsidRPr="00D55B3D" w:rsidSect="004C39AB">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5EF6981" w16cex:dateUtc="2021-07-21T22:07:00Z"/>
  <w16cex:commentExtensible w16cex:durableId="04F9B608" w16cex:dateUtc="2021-07-22T14:18:00Z"/>
  <w16cex:commentExtensible w16cex:durableId="1BFAA571" w16cex:dateUtc="2021-07-22T19:03:00Z"/>
  <w16cex:commentExtensible w16cex:durableId="2286CF06" w16cex:dateUtc="2021-07-21T22:03:00Z"/>
  <w16cex:commentExtensible w16cex:durableId="232950F7" w16cex:dateUtc="2021-07-21T22:09:00Z"/>
  <w16cex:commentExtensible w16cex:durableId="2DA7878E" w16cex:dateUtc="2021-07-21T22:10:00Z"/>
  <w16cex:commentExtensible w16cex:durableId="24A3B94F" w16cex:dateUtc="2021-07-22T14:30:00Z"/>
  <w16cex:commentExtensible w16cex:durableId="0BBBFF14" w16cex:dateUtc="2021-07-22T18:44:00Z"/>
  <w16cex:commentExtensible w16cex:durableId="7478231F" w16cex:dateUtc="2021-07-21T22:20:00Z"/>
  <w16cex:commentExtensible w16cex:durableId="3F2BDD20" w16cex:dateUtc="2021-07-22T14:02:00Z"/>
  <w16cex:commentExtensible w16cex:durableId="2B353CBF" w16cex:dateUtc="2021-07-22T18:47:00Z"/>
  <w16cex:commentExtensible w16cex:durableId="3FFB1B8F" w16cex:dateUtc="2021-07-21T22:13:00Z"/>
  <w16cex:commentExtensible w16cex:durableId="376E18DC" w16cex:dateUtc="2021-07-22T14:28:00Z"/>
  <w16cex:commentExtensible w16cex:durableId="52E8FFE3" w16cex:dateUtc="2021-07-22T18:54:00Z"/>
  <w16cex:commentExtensible w16cex:durableId="4F586203" w16cex:dateUtc="2021-07-22T21:02:00Z"/>
  <w16cex:commentExtensible w16cex:durableId="24A3DC02" w16cex:dateUtc="2021-07-22T16:58:00Z"/>
  <w16cex:commentExtensible w16cex:durableId="6D60A4C6" w16cex:dateUtc="2021-07-21T22:16:00Z"/>
  <w16cex:commentExtensible w16cex:durableId="24A3DBDC" w16cex:dateUtc="2021-07-22T16:58:00Z"/>
  <w16cex:commentExtensible w16cex:durableId="334B3D5A" w16cex:dateUtc="2021-07-22T19:04:00Z"/>
  <w16cex:commentExtensible w16cex:durableId="0916641A" w16cex:dateUtc="2021-07-21T22:17:00Z"/>
  <w16cex:commentExtensible w16cex:durableId="24A3DCFE" w16cex:dateUtc="2021-07-22T17:03:00Z"/>
  <w16cex:commentExtensible w16cex:durableId="24A3DCF8" w16cex:dateUtc="2021-07-22T17:03:00Z"/>
  <w16cex:commentExtensible w16cex:durableId="77176B95" w16cex:dateUtc="2021-07-21T22:22:00Z"/>
  <w16cex:commentExtensible w16cex:durableId="2546C228" w16cex:dateUtc="2021-07-22T21:02:00Z"/>
  <w16cex:commentExtensible w16cex:durableId="11FB6FD2" w16cex:dateUtc="2021-07-22T16: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D7F1" w14:textId="77777777" w:rsidR="00F557AE" w:rsidRDefault="00F557AE" w:rsidP="00790DA9">
      <w:pPr>
        <w:spacing w:line="240" w:lineRule="auto"/>
      </w:pPr>
      <w:r>
        <w:separator/>
      </w:r>
    </w:p>
  </w:endnote>
  <w:endnote w:type="continuationSeparator" w:id="0">
    <w:p w14:paraId="09A0F37A" w14:textId="77777777" w:rsidR="00F557AE" w:rsidRDefault="00F557AE" w:rsidP="00790DA9">
      <w:pPr>
        <w:spacing w:line="240" w:lineRule="auto"/>
      </w:pPr>
      <w:r>
        <w:continuationSeparator/>
      </w:r>
    </w:p>
  </w:endnote>
  <w:endnote w:type="continuationNotice" w:id="1">
    <w:p w14:paraId="3FC4AEA7" w14:textId="77777777" w:rsidR="00F557AE" w:rsidRDefault="00F557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eastAsia="Times New Roman" w:cs="Tahoma"/>
        <w:sz w:val="18"/>
        <w:szCs w:val="14"/>
        <w:lang w:val="es-419" w:eastAsia="es-ES"/>
      </w:rPr>
    </w:sdtEndPr>
    <w:sdtContent>
      <w:p w14:paraId="14419340" w14:textId="77777777" w:rsidR="000B411C" w:rsidRPr="00EC5F9F" w:rsidRDefault="000B411C">
        <w:pPr>
          <w:pStyle w:val="Piedepgina"/>
          <w:jc w:val="right"/>
          <w:rPr>
            <w:rFonts w:eastAsia="Times New Roman" w:cs="Tahoma"/>
            <w:sz w:val="18"/>
            <w:szCs w:val="14"/>
            <w:lang w:val="es-419" w:eastAsia="es-ES"/>
          </w:rPr>
        </w:pPr>
        <w:r w:rsidRPr="00EC5F9F">
          <w:rPr>
            <w:rFonts w:eastAsia="Times New Roman" w:cs="Tahoma"/>
            <w:sz w:val="18"/>
            <w:szCs w:val="14"/>
            <w:lang w:val="es-419" w:eastAsia="es-ES"/>
          </w:rPr>
          <w:fldChar w:fldCharType="begin"/>
        </w:r>
        <w:r w:rsidRPr="00EC5F9F">
          <w:rPr>
            <w:rFonts w:eastAsia="Times New Roman" w:cs="Tahoma"/>
            <w:sz w:val="18"/>
            <w:szCs w:val="14"/>
            <w:lang w:val="es-419" w:eastAsia="es-ES"/>
          </w:rPr>
          <w:instrText>PAGE   \* MERGEFORMAT</w:instrText>
        </w:r>
        <w:r w:rsidRPr="00EC5F9F">
          <w:rPr>
            <w:rFonts w:eastAsia="Times New Roman" w:cs="Tahoma"/>
            <w:sz w:val="18"/>
            <w:szCs w:val="14"/>
            <w:lang w:val="es-419" w:eastAsia="es-ES"/>
          </w:rPr>
          <w:fldChar w:fldCharType="separate"/>
        </w:r>
        <w:r w:rsidRPr="00EC5F9F">
          <w:rPr>
            <w:rFonts w:eastAsia="Times New Roman" w:cs="Tahoma"/>
            <w:sz w:val="18"/>
            <w:szCs w:val="14"/>
            <w:lang w:val="es-419" w:eastAsia="es-ES"/>
          </w:rPr>
          <w:t>17</w:t>
        </w:r>
        <w:r w:rsidRPr="00EC5F9F">
          <w:rPr>
            <w:rFonts w:eastAsia="Times New Roman" w:cs="Tahoma"/>
            <w:sz w:val="18"/>
            <w:szCs w:val="14"/>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CF6D" w14:textId="77777777" w:rsidR="00F557AE" w:rsidRDefault="00F557AE" w:rsidP="00790DA9">
      <w:pPr>
        <w:spacing w:line="240" w:lineRule="auto"/>
      </w:pPr>
      <w:r>
        <w:separator/>
      </w:r>
    </w:p>
  </w:footnote>
  <w:footnote w:type="continuationSeparator" w:id="0">
    <w:p w14:paraId="20FBA169" w14:textId="77777777" w:rsidR="00F557AE" w:rsidRDefault="00F557AE" w:rsidP="00790DA9">
      <w:pPr>
        <w:spacing w:line="240" w:lineRule="auto"/>
      </w:pPr>
      <w:r>
        <w:continuationSeparator/>
      </w:r>
    </w:p>
  </w:footnote>
  <w:footnote w:type="continuationNotice" w:id="1">
    <w:p w14:paraId="788F33DA" w14:textId="77777777" w:rsidR="00F557AE" w:rsidRDefault="00F557AE">
      <w:pPr>
        <w:spacing w:line="240" w:lineRule="auto"/>
      </w:pPr>
    </w:p>
  </w:footnote>
  <w:footnote w:id="2">
    <w:p w14:paraId="529853AB" w14:textId="02DAA271" w:rsidR="000B411C" w:rsidRPr="00646344" w:rsidRDefault="000B411C" w:rsidP="00646344">
      <w:pPr>
        <w:spacing w:line="240" w:lineRule="auto"/>
        <w:jc w:val="left"/>
        <w:rPr>
          <w:rFonts w:ascii="Arial" w:eastAsia="Calibri" w:hAnsi="Arial" w:cs="Arial"/>
          <w:b/>
          <w:color w:val="000000" w:themeColor="text1"/>
          <w:sz w:val="18"/>
          <w:szCs w:val="18"/>
        </w:rPr>
      </w:pPr>
      <w:r w:rsidRPr="00646344">
        <w:rPr>
          <w:rStyle w:val="Refdenotaalpie"/>
          <w:rFonts w:ascii="Arial" w:hAnsi="Arial" w:cs="Arial"/>
          <w:sz w:val="18"/>
          <w:szCs w:val="18"/>
        </w:rPr>
        <w:footnoteRef/>
      </w:r>
      <w:r w:rsidRPr="00646344">
        <w:rPr>
          <w:rFonts w:ascii="Arial" w:hAnsi="Arial" w:cs="Arial"/>
          <w:sz w:val="18"/>
          <w:szCs w:val="18"/>
        </w:rPr>
        <w:t xml:space="preserve"> </w:t>
      </w:r>
      <w:r w:rsidR="0042036D" w:rsidRPr="00646344">
        <w:rPr>
          <w:rFonts w:ascii="Arial" w:hAnsi="Arial" w:cs="Arial"/>
          <w:sz w:val="18"/>
          <w:szCs w:val="18"/>
        </w:rPr>
        <w:t>M.P. Clara Cecilia Dueñas Quevedo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12B8" w14:textId="07AF0691" w:rsidR="000B411C" w:rsidRPr="00EC5F9F" w:rsidRDefault="000B411C" w:rsidP="00EC5F9F">
    <w:pPr>
      <w:tabs>
        <w:tab w:val="left" w:pos="993"/>
      </w:tabs>
      <w:spacing w:line="240" w:lineRule="auto"/>
      <w:ind w:left="1134" w:hanging="1134"/>
      <w:rPr>
        <w:rFonts w:eastAsia="Times New Roman" w:cs="Tahoma"/>
        <w:sz w:val="18"/>
        <w:szCs w:val="14"/>
        <w:lang w:val="es-419" w:eastAsia="es-ES"/>
      </w:rPr>
    </w:pPr>
    <w:r w:rsidRPr="00EC5F9F">
      <w:rPr>
        <w:rFonts w:eastAsia="Times New Roman" w:cs="Tahoma"/>
        <w:sz w:val="18"/>
        <w:szCs w:val="14"/>
        <w:lang w:val="es-419" w:eastAsia="es-ES"/>
      </w:rPr>
      <w:t>Radicación No.: 66001-31-05-005-2019-00050-01</w:t>
    </w:r>
  </w:p>
  <w:p w14:paraId="0306506B" w14:textId="7B8EBAB3" w:rsidR="000B411C" w:rsidRPr="00EC5F9F" w:rsidRDefault="000B411C" w:rsidP="00EC5F9F">
    <w:pPr>
      <w:tabs>
        <w:tab w:val="left" w:pos="993"/>
      </w:tabs>
      <w:spacing w:line="240" w:lineRule="auto"/>
      <w:ind w:left="1134" w:hanging="1134"/>
      <w:rPr>
        <w:rFonts w:eastAsia="Times New Roman" w:cs="Tahoma"/>
        <w:sz w:val="18"/>
        <w:szCs w:val="14"/>
        <w:lang w:val="es-419" w:eastAsia="es-ES"/>
      </w:rPr>
    </w:pPr>
    <w:r w:rsidRPr="00EC5F9F">
      <w:rPr>
        <w:rFonts w:eastAsia="Times New Roman" w:cs="Tahoma"/>
        <w:sz w:val="18"/>
        <w:szCs w:val="14"/>
        <w:lang w:val="es-419" w:eastAsia="es-ES"/>
      </w:rPr>
      <w:t>Demandante: María Teresa Rivera Herrera</w:t>
    </w:r>
  </w:p>
  <w:p w14:paraId="45EA3F9F" w14:textId="2BC5FC43" w:rsidR="000B411C" w:rsidRPr="00EC5F9F" w:rsidRDefault="000B411C" w:rsidP="00EC5F9F">
    <w:pPr>
      <w:tabs>
        <w:tab w:val="left" w:pos="993"/>
      </w:tabs>
      <w:spacing w:line="240" w:lineRule="auto"/>
      <w:ind w:left="1134" w:hanging="1134"/>
      <w:rPr>
        <w:rFonts w:eastAsia="Times New Roman" w:cs="Tahoma"/>
        <w:sz w:val="18"/>
        <w:szCs w:val="14"/>
        <w:lang w:val="es-419" w:eastAsia="es-ES"/>
      </w:rPr>
    </w:pPr>
    <w:r w:rsidRPr="00EC5F9F">
      <w:rPr>
        <w:rFonts w:eastAsia="Times New Roman" w:cs="Tahoma"/>
        <w:sz w:val="18"/>
        <w:szCs w:val="14"/>
        <w:lang w:val="es-419" w:eastAsia="es-ES"/>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1B702F"/>
    <w:multiLevelType w:val="hybridMultilevel"/>
    <w:tmpl w:val="4504108C"/>
    <w:lvl w:ilvl="0" w:tplc="1F74229C">
      <w:start w:val="1"/>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8"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7"/>
  </w:num>
  <w:num w:numId="2">
    <w:abstractNumId w:val="5"/>
  </w:num>
  <w:num w:numId="3">
    <w:abstractNumId w:val="1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72F6"/>
    <w:rsid w:val="00017704"/>
    <w:rsid w:val="00023C72"/>
    <w:rsid w:val="000244B5"/>
    <w:rsid w:val="000303BA"/>
    <w:rsid w:val="00032108"/>
    <w:rsid w:val="000333C2"/>
    <w:rsid w:val="00042B25"/>
    <w:rsid w:val="000507CC"/>
    <w:rsid w:val="000555BE"/>
    <w:rsid w:val="000558C6"/>
    <w:rsid w:val="00060218"/>
    <w:rsid w:val="00066767"/>
    <w:rsid w:val="000723F0"/>
    <w:rsid w:val="00073698"/>
    <w:rsid w:val="00081C10"/>
    <w:rsid w:val="000856A8"/>
    <w:rsid w:val="00094029"/>
    <w:rsid w:val="00096470"/>
    <w:rsid w:val="000B2BAA"/>
    <w:rsid w:val="000B411C"/>
    <w:rsid w:val="000B4F2C"/>
    <w:rsid w:val="000B6053"/>
    <w:rsid w:val="000B6595"/>
    <w:rsid w:val="000C02A4"/>
    <w:rsid w:val="000E25BE"/>
    <w:rsid w:val="000E2F1D"/>
    <w:rsid w:val="000F3D75"/>
    <w:rsid w:val="000F49C1"/>
    <w:rsid w:val="000F4D8F"/>
    <w:rsid w:val="000F5175"/>
    <w:rsid w:val="000F7716"/>
    <w:rsid w:val="00103F06"/>
    <w:rsid w:val="00115C02"/>
    <w:rsid w:val="001162CF"/>
    <w:rsid w:val="001170DA"/>
    <w:rsid w:val="0012255B"/>
    <w:rsid w:val="001363CA"/>
    <w:rsid w:val="00142473"/>
    <w:rsid w:val="00146C69"/>
    <w:rsid w:val="00147587"/>
    <w:rsid w:val="001533B3"/>
    <w:rsid w:val="00167BA0"/>
    <w:rsid w:val="00184EFA"/>
    <w:rsid w:val="001878AE"/>
    <w:rsid w:val="00191285"/>
    <w:rsid w:val="001A291C"/>
    <w:rsid w:val="001B01DA"/>
    <w:rsid w:val="001C0216"/>
    <w:rsid w:val="001D1461"/>
    <w:rsid w:val="001D225A"/>
    <w:rsid w:val="001D423C"/>
    <w:rsid w:val="001D5489"/>
    <w:rsid w:val="001E0201"/>
    <w:rsid w:val="001E414A"/>
    <w:rsid w:val="001E6780"/>
    <w:rsid w:val="001F4630"/>
    <w:rsid w:val="00200893"/>
    <w:rsid w:val="00216190"/>
    <w:rsid w:val="00222D58"/>
    <w:rsid w:val="0022440C"/>
    <w:rsid w:val="0022751C"/>
    <w:rsid w:val="00235D61"/>
    <w:rsid w:val="00244E21"/>
    <w:rsid w:val="00263815"/>
    <w:rsid w:val="00271428"/>
    <w:rsid w:val="00272FA1"/>
    <w:rsid w:val="00277760"/>
    <w:rsid w:val="00290DEE"/>
    <w:rsid w:val="00291E84"/>
    <w:rsid w:val="00291FAB"/>
    <w:rsid w:val="002A31FE"/>
    <w:rsid w:val="002A33C6"/>
    <w:rsid w:val="002C32BD"/>
    <w:rsid w:val="002C7DFA"/>
    <w:rsid w:val="002D70C7"/>
    <w:rsid w:val="002E4492"/>
    <w:rsid w:val="002E4546"/>
    <w:rsid w:val="002F244F"/>
    <w:rsid w:val="002F4EA4"/>
    <w:rsid w:val="00302CBB"/>
    <w:rsid w:val="00315273"/>
    <w:rsid w:val="00322722"/>
    <w:rsid w:val="003324F5"/>
    <w:rsid w:val="00332A03"/>
    <w:rsid w:val="0034027E"/>
    <w:rsid w:val="003418B7"/>
    <w:rsid w:val="00342284"/>
    <w:rsid w:val="00345F8E"/>
    <w:rsid w:val="003537F0"/>
    <w:rsid w:val="003749DC"/>
    <w:rsid w:val="00376FD1"/>
    <w:rsid w:val="003775EE"/>
    <w:rsid w:val="00386234"/>
    <w:rsid w:val="00392D0C"/>
    <w:rsid w:val="003A16E6"/>
    <w:rsid w:val="003B4218"/>
    <w:rsid w:val="003C0463"/>
    <w:rsid w:val="003C1E02"/>
    <w:rsid w:val="003C46FA"/>
    <w:rsid w:val="003C7505"/>
    <w:rsid w:val="003C7E50"/>
    <w:rsid w:val="003D0E6E"/>
    <w:rsid w:val="003D39EC"/>
    <w:rsid w:val="003F14CC"/>
    <w:rsid w:val="00400519"/>
    <w:rsid w:val="0040245E"/>
    <w:rsid w:val="0042036D"/>
    <w:rsid w:val="00421F4F"/>
    <w:rsid w:val="004260C5"/>
    <w:rsid w:val="00442BD5"/>
    <w:rsid w:val="00454F9D"/>
    <w:rsid w:val="00465ABE"/>
    <w:rsid w:val="00466937"/>
    <w:rsid w:val="00467973"/>
    <w:rsid w:val="00472F19"/>
    <w:rsid w:val="00480777"/>
    <w:rsid w:val="00483816"/>
    <w:rsid w:val="00496280"/>
    <w:rsid w:val="004A1054"/>
    <w:rsid w:val="004A65D3"/>
    <w:rsid w:val="004C39AB"/>
    <w:rsid w:val="004C46ED"/>
    <w:rsid w:val="004F626D"/>
    <w:rsid w:val="005206C1"/>
    <w:rsid w:val="0053421E"/>
    <w:rsid w:val="00545B08"/>
    <w:rsid w:val="005462CC"/>
    <w:rsid w:val="00553FD7"/>
    <w:rsid w:val="0056002A"/>
    <w:rsid w:val="005600B0"/>
    <w:rsid w:val="00561E61"/>
    <w:rsid w:val="00597A65"/>
    <w:rsid w:val="005A473D"/>
    <w:rsid w:val="005A4DDC"/>
    <w:rsid w:val="005A5ADA"/>
    <w:rsid w:val="005B00B8"/>
    <w:rsid w:val="005B1B92"/>
    <w:rsid w:val="005B5103"/>
    <w:rsid w:val="005B65AA"/>
    <w:rsid w:val="005D0823"/>
    <w:rsid w:val="005E1630"/>
    <w:rsid w:val="005F2570"/>
    <w:rsid w:val="005F4133"/>
    <w:rsid w:val="00600B9D"/>
    <w:rsid w:val="00600CE4"/>
    <w:rsid w:val="0060137B"/>
    <w:rsid w:val="00606B61"/>
    <w:rsid w:val="00611F2F"/>
    <w:rsid w:val="006136C7"/>
    <w:rsid w:val="00613FC6"/>
    <w:rsid w:val="00615B1F"/>
    <w:rsid w:val="00633F28"/>
    <w:rsid w:val="006458B0"/>
    <w:rsid w:val="00646344"/>
    <w:rsid w:val="00654EAE"/>
    <w:rsid w:val="00662FC5"/>
    <w:rsid w:val="00667387"/>
    <w:rsid w:val="00667EA3"/>
    <w:rsid w:val="0067398B"/>
    <w:rsid w:val="00683B05"/>
    <w:rsid w:val="006950D2"/>
    <w:rsid w:val="006A36EB"/>
    <w:rsid w:val="006B11AA"/>
    <w:rsid w:val="006C4834"/>
    <w:rsid w:val="006D0A97"/>
    <w:rsid w:val="006D3825"/>
    <w:rsid w:val="006E3FE2"/>
    <w:rsid w:val="006E68C0"/>
    <w:rsid w:val="006E785B"/>
    <w:rsid w:val="006F3644"/>
    <w:rsid w:val="006F3819"/>
    <w:rsid w:val="006F46B8"/>
    <w:rsid w:val="00701AC9"/>
    <w:rsid w:val="0072783E"/>
    <w:rsid w:val="00734150"/>
    <w:rsid w:val="0073725A"/>
    <w:rsid w:val="00737D7B"/>
    <w:rsid w:val="00745023"/>
    <w:rsid w:val="00763138"/>
    <w:rsid w:val="007748EF"/>
    <w:rsid w:val="007813BE"/>
    <w:rsid w:val="00784D72"/>
    <w:rsid w:val="00790CCA"/>
    <w:rsid w:val="00790CD6"/>
    <w:rsid w:val="00790DA9"/>
    <w:rsid w:val="00794A68"/>
    <w:rsid w:val="007A34E5"/>
    <w:rsid w:val="007A7B9B"/>
    <w:rsid w:val="007B41AF"/>
    <w:rsid w:val="007C5FBC"/>
    <w:rsid w:val="007D4B11"/>
    <w:rsid w:val="007E1917"/>
    <w:rsid w:val="007E30A0"/>
    <w:rsid w:val="007E5A0D"/>
    <w:rsid w:val="008063DF"/>
    <w:rsid w:val="00806950"/>
    <w:rsid w:val="00812057"/>
    <w:rsid w:val="00820A77"/>
    <w:rsid w:val="008224AC"/>
    <w:rsid w:val="00824349"/>
    <w:rsid w:val="00835553"/>
    <w:rsid w:val="00837203"/>
    <w:rsid w:val="00846780"/>
    <w:rsid w:val="00850CF8"/>
    <w:rsid w:val="00851DD1"/>
    <w:rsid w:val="0085208D"/>
    <w:rsid w:val="008548ED"/>
    <w:rsid w:val="00857292"/>
    <w:rsid w:val="00860BE2"/>
    <w:rsid w:val="00861C34"/>
    <w:rsid w:val="00871F44"/>
    <w:rsid w:val="0087484F"/>
    <w:rsid w:val="0087626E"/>
    <w:rsid w:val="008809A4"/>
    <w:rsid w:val="00881144"/>
    <w:rsid w:val="00886808"/>
    <w:rsid w:val="00891AE9"/>
    <w:rsid w:val="008A23B9"/>
    <w:rsid w:val="008B3405"/>
    <w:rsid w:val="008C4964"/>
    <w:rsid w:val="008F2962"/>
    <w:rsid w:val="0090786E"/>
    <w:rsid w:val="00907968"/>
    <w:rsid w:val="009220FE"/>
    <w:rsid w:val="009253E4"/>
    <w:rsid w:val="00926144"/>
    <w:rsid w:val="00940973"/>
    <w:rsid w:val="00943B70"/>
    <w:rsid w:val="00943FAF"/>
    <w:rsid w:val="009449CA"/>
    <w:rsid w:val="0094516B"/>
    <w:rsid w:val="00950F6B"/>
    <w:rsid w:val="00956792"/>
    <w:rsid w:val="00956F52"/>
    <w:rsid w:val="00957F43"/>
    <w:rsid w:val="009661C8"/>
    <w:rsid w:val="00975AB3"/>
    <w:rsid w:val="0097793B"/>
    <w:rsid w:val="00983715"/>
    <w:rsid w:val="009853EE"/>
    <w:rsid w:val="00996C58"/>
    <w:rsid w:val="009979A7"/>
    <w:rsid w:val="009A3626"/>
    <w:rsid w:val="009B14F6"/>
    <w:rsid w:val="009D10A2"/>
    <w:rsid w:val="009E4F54"/>
    <w:rsid w:val="009E715D"/>
    <w:rsid w:val="009F6526"/>
    <w:rsid w:val="00A00398"/>
    <w:rsid w:val="00A0657B"/>
    <w:rsid w:val="00A11701"/>
    <w:rsid w:val="00A135E0"/>
    <w:rsid w:val="00A13952"/>
    <w:rsid w:val="00A13F40"/>
    <w:rsid w:val="00A266D4"/>
    <w:rsid w:val="00A26AC8"/>
    <w:rsid w:val="00A46B97"/>
    <w:rsid w:val="00A62303"/>
    <w:rsid w:val="00A67C26"/>
    <w:rsid w:val="00A74124"/>
    <w:rsid w:val="00A900DB"/>
    <w:rsid w:val="00A90476"/>
    <w:rsid w:val="00AA3C7C"/>
    <w:rsid w:val="00AA3D20"/>
    <w:rsid w:val="00AA783A"/>
    <w:rsid w:val="00AB462E"/>
    <w:rsid w:val="00AC3AFC"/>
    <w:rsid w:val="00AE042F"/>
    <w:rsid w:val="00AE2EB0"/>
    <w:rsid w:val="00AF1C75"/>
    <w:rsid w:val="00AF4757"/>
    <w:rsid w:val="00B068DB"/>
    <w:rsid w:val="00B06E1F"/>
    <w:rsid w:val="00B17E1F"/>
    <w:rsid w:val="00B20840"/>
    <w:rsid w:val="00B24B52"/>
    <w:rsid w:val="00B33A2C"/>
    <w:rsid w:val="00B36FF5"/>
    <w:rsid w:val="00B40350"/>
    <w:rsid w:val="00B4057E"/>
    <w:rsid w:val="00B44542"/>
    <w:rsid w:val="00B508F6"/>
    <w:rsid w:val="00B512D3"/>
    <w:rsid w:val="00B53E94"/>
    <w:rsid w:val="00B56D27"/>
    <w:rsid w:val="00B66AFB"/>
    <w:rsid w:val="00B778DB"/>
    <w:rsid w:val="00B8317C"/>
    <w:rsid w:val="00B8422F"/>
    <w:rsid w:val="00B87B7A"/>
    <w:rsid w:val="00B92321"/>
    <w:rsid w:val="00BB0107"/>
    <w:rsid w:val="00BB0943"/>
    <w:rsid w:val="00BB42A0"/>
    <w:rsid w:val="00BB5F94"/>
    <w:rsid w:val="00BB7B81"/>
    <w:rsid w:val="00BC22EC"/>
    <w:rsid w:val="00BC28EC"/>
    <w:rsid w:val="00BD0CEF"/>
    <w:rsid w:val="00BE6BEA"/>
    <w:rsid w:val="00BF131B"/>
    <w:rsid w:val="00C021EE"/>
    <w:rsid w:val="00C02346"/>
    <w:rsid w:val="00C02C9A"/>
    <w:rsid w:val="00C11B0A"/>
    <w:rsid w:val="00C12250"/>
    <w:rsid w:val="00C13250"/>
    <w:rsid w:val="00C16845"/>
    <w:rsid w:val="00C252E0"/>
    <w:rsid w:val="00C278E2"/>
    <w:rsid w:val="00C27D5D"/>
    <w:rsid w:val="00C33E31"/>
    <w:rsid w:val="00C40F24"/>
    <w:rsid w:val="00C4413A"/>
    <w:rsid w:val="00C46B4E"/>
    <w:rsid w:val="00C53028"/>
    <w:rsid w:val="00C555E3"/>
    <w:rsid w:val="00C65E3E"/>
    <w:rsid w:val="00C80119"/>
    <w:rsid w:val="00C84471"/>
    <w:rsid w:val="00C9368C"/>
    <w:rsid w:val="00CA0437"/>
    <w:rsid w:val="00CA743B"/>
    <w:rsid w:val="00CB15E9"/>
    <w:rsid w:val="00CC776A"/>
    <w:rsid w:val="00CD14BB"/>
    <w:rsid w:val="00CD15CC"/>
    <w:rsid w:val="00CD1CE4"/>
    <w:rsid w:val="00CD37ED"/>
    <w:rsid w:val="00CD3A8B"/>
    <w:rsid w:val="00CD5BE6"/>
    <w:rsid w:val="00CE0567"/>
    <w:rsid w:val="00CE5988"/>
    <w:rsid w:val="00CE5E7B"/>
    <w:rsid w:val="00CF2833"/>
    <w:rsid w:val="00CF2B9B"/>
    <w:rsid w:val="00CF703F"/>
    <w:rsid w:val="00D02450"/>
    <w:rsid w:val="00D11BAA"/>
    <w:rsid w:val="00D2449F"/>
    <w:rsid w:val="00D31819"/>
    <w:rsid w:val="00D41D2F"/>
    <w:rsid w:val="00D459BB"/>
    <w:rsid w:val="00D47BA5"/>
    <w:rsid w:val="00D55B3D"/>
    <w:rsid w:val="00D7269E"/>
    <w:rsid w:val="00D72C19"/>
    <w:rsid w:val="00D82A0A"/>
    <w:rsid w:val="00D90263"/>
    <w:rsid w:val="00DA1C9D"/>
    <w:rsid w:val="00DA4370"/>
    <w:rsid w:val="00DA6A79"/>
    <w:rsid w:val="00DB2FDD"/>
    <w:rsid w:val="00DC460A"/>
    <w:rsid w:val="00DC5863"/>
    <w:rsid w:val="00DD7CEB"/>
    <w:rsid w:val="00DF1FF6"/>
    <w:rsid w:val="00E10AC5"/>
    <w:rsid w:val="00E1794B"/>
    <w:rsid w:val="00E352C7"/>
    <w:rsid w:val="00E44599"/>
    <w:rsid w:val="00E45567"/>
    <w:rsid w:val="00E60B9A"/>
    <w:rsid w:val="00E66B3E"/>
    <w:rsid w:val="00E74EEE"/>
    <w:rsid w:val="00E76B25"/>
    <w:rsid w:val="00E86377"/>
    <w:rsid w:val="00E86F42"/>
    <w:rsid w:val="00EA76E7"/>
    <w:rsid w:val="00EB3C0B"/>
    <w:rsid w:val="00EC5F9F"/>
    <w:rsid w:val="00ED1586"/>
    <w:rsid w:val="00EE0E93"/>
    <w:rsid w:val="00EF513D"/>
    <w:rsid w:val="00EF5C33"/>
    <w:rsid w:val="00F006DC"/>
    <w:rsid w:val="00F03D18"/>
    <w:rsid w:val="00F05EFB"/>
    <w:rsid w:val="00F11F14"/>
    <w:rsid w:val="00F17360"/>
    <w:rsid w:val="00F2204A"/>
    <w:rsid w:val="00F2212C"/>
    <w:rsid w:val="00F24429"/>
    <w:rsid w:val="00F24E45"/>
    <w:rsid w:val="00F26ECD"/>
    <w:rsid w:val="00F30A77"/>
    <w:rsid w:val="00F3612F"/>
    <w:rsid w:val="00F41005"/>
    <w:rsid w:val="00F4298B"/>
    <w:rsid w:val="00F46EBB"/>
    <w:rsid w:val="00F50C4F"/>
    <w:rsid w:val="00F557AE"/>
    <w:rsid w:val="00F57E18"/>
    <w:rsid w:val="00F66DE0"/>
    <w:rsid w:val="00F71107"/>
    <w:rsid w:val="00F80FB6"/>
    <w:rsid w:val="00F8423F"/>
    <w:rsid w:val="00F87194"/>
    <w:rsid w:val="00FA239F"/>
    <w:rsid w:val="00FA290F"/>
    <w:rsid w:val="00FA4226"/>
    <w:rsid w:val="00FA61A6"/>
    <w:rsid w:val="00FB16D8"/>
    <w:rsid w:val="00FC4541"/>
    <w:rsid w:val="00FD50CB"/>
    <w:rsid w:val="00FE63C7"/>
    <w:rsid w:val="00FF148F"/>
    <w:rsid w:val="00FF648B"/>
    <w:rsid w:val="00FF6DD0"/>
    <w:rsid w:val="01678849"/>
    <w:rsid w:val="01C3DB1C"/>
    <w:rsid w:val="02275DE5"/>
    <w:rsid w:val="0500474C"/>
    <w:rsid w:val="067D2DD4"/>
    <w:rsid w:val="0CA27800"/>
    <w:rsid w:val="0E43D73C"/>
    <w:rsid w:val="10CB543A"/>
    <w:rsid w:val="10D03A52"/>
    <w:rsid w:val="10F5B9B0"/>
    <w:rsid w:val="12558E32"/>
    <w:rsid w:val="1720372D"/>
    <w:rsid w:val="1C39E654"/>
    <w:rsid w:val="1CF8B14E"/>
    <w:rsid w:val="2165CB40"/>
    <w:rsid w:val="245DBE3A"/>
    <w:rsid w:val="24B0142D"/>
    <w:rsid w:val="25ED2722"/>
    <w:rsid w:val="267585EF"/>
    <w:rsid w:val="28C95C66"/>
    <w:rsid w:val="2B62F4E0"/>
    <w:rsid w:val="2D51F8A9"/>
    <w:rsid w:val="30A68CE6"/>
    <w:rsid w:val="3138D807"/>
    <w:rsid w:val="32A43C4E"/>
    <w:rsid w:val="351E3415"/>
    <w:rsid w:val="360C492A"/>
    <w:rsid w:val="36A87896"/>
    <w:rsid w:val="38ABB1A4"/>
    <w:rsid w:val="3B63AED4"/>
    <w:rsid w:val="450B4BA1"/>
    <w:rsid w:val="45CFEFD3"/>
    <w:rsid w:val="4661CA3C"/>
    <w:rsid w:val="46756579"/>
    <w:rsid w:val="4EC5BA19"/>
    <w:rsid w:val="4FC84195"/>
    <w:rsid w:val="53D25A7E"/>
    <w:rsid w:val="557258C4"/>
    <w:rsid w:val="59FBDD80"/>
    <w:rsid w:val="5D4E4829"/>
    <w:rsid w:val="5E77DBDD"/>
    <w:rsid w:val="5FE38BE6"/>
    <w:rsid w:val="6244A324"/>
    <w:rsid w:val="639219B1"/>
    <w:rsid w:val="68A9C598"/>
    <w:rsid w:val="6931BCB7"/>
    <w:rsid w:val="69EC2BF2"/>
    <w:rsid w:val="6B602A80"/>
    <w:rsid w:val="6F312CDF"/>
    <w:rsid w:val="72B3A92D"/>
    <w:rsid w:val="7459675F"/>
    <w:rsid w:val="79BD3250"/>
    <w:rsid w:val="7AA96AE7"/>
    <w:rsid w:val="7C7D00D9"/>
    <w:rsid w:val="7D4AFC74"/>
    <w:rsid w:val="7D4E4E66"/>
    <w:rsid w:val="7EEA1EC7"/>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01AC9"/>
    <w:rPr>
      <w:b/>
      <w:bCs/>
    </w:rPr>
  </w:style>
  <w:style w:type="character" w:customStyle="1" w:styleId="AsuntodelcomentarioCar">
    <w:name w:val="Asunto del comentario Car"/>
    <w:basedOn w:val="TextocomentarioCar"/>
    <w:link w:val="Asuntodelcomentario"/>
    <w:uiPriority w:val="99"/>
    <w:semiHidden/>
    <w:rsid w:val="00701AC9"/>
    <w:rPr>
      <w:rFonts w:ascii="Tahoma" w:hAnsi="Tahoma"/>
      <w:b/>
      <w:bCs/>
      <w:sz w:val="20"/>
      <w:szCs w:val="20"/>
      <w:lang w:val="es-ES"/>
    </w:rPr>
  </w:style>
  <w:style w:type="character" w:styleId="Hipervnculo">
    <w:name w:val="Hyperlink"/>
    <w:basedOn w:val="Fuentedeprrafopredeter"/>
    <w:uiPriority w:val="99"/>
    <w:unhideWhenUsed/>
    <w:rsid w:val="00851DD1"/>
    <w:rPr>
      <w:color w:val="0563C1" w:themeColor="hyperlink"/>
      <w:u w:val="single"/>
    </w:rPr>
  </w:style>
  <w:style w:type="character" w:styleId="Mencinsinresolver">
    <w:name w:val="Unresolved Mention"/>
    <w:basedOn w:val="Fuentedeprrafopredeter"/>
    <w:uiPriority w:val="99"/>
    <w:semiHidden/>
    <w:unhideWhenUsed/>
    <w:rsid w:val="00851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07248746">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2079789345">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mativa.colpensiones.gov.co/colpens/docs/codigo_sustantivo_trabajo.htm"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16FF7-DBEE-4660-9358-D5BA0E92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4.xml><?xml version="1.0" encoding="utf-8"?>
<ds:datastoreItem xmlns:ds="http://schemas.openxmlformats.org/officeDocument/2006/customXml" ds:itemID="{2577471A-2A9E-4E34-9D84-C03F987F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3742</Words>
  <Characters>20585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31</cp:revision>
  <dcterms:created xsi:type="dcterms:W3CDTF">2021-07-16T18:47:00Z</dcterms:created>
  <dcterms:modified xsi:type="dcterms:W3CDTF">2021-08-20T15:30:00Z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