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2703" w14:textId="77777777" w:rsidR="009D48B9" w:rsidRPr="009D48B9" w:rsidRDefault="009D48B9" w:rsidP="009D48B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9D48B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7C75E9" w14:textId="77777777" w:rsidR="009D48B9" w:rsidRPr="009D48B9" w:rsidRDefault="009D48B9" w:rsidP="009D48B9">
      <w:pPr>
        <w:spacing w:line="240" w:lineRule="auto"/>
        <w:rPr>
          <w:rFonts w:ascii="Arial" w:eastAsia="Times New Roman" w:hAnsi="Arial" w:cs="Arial"/>
          <w:sz w:val="20"/>
          <w:szCs w:val="20"/>
          <w:lang w:val="es-419" w:eastAsia="es-ES"/>
        </w:rPr>
      </w:pPr>
    </w:p>
    <w:p w14:paraId="409C950E" w14:textId="77777777" w:rsidR="009D48B9" w:rsidRPr="009D48B9" w:rsidRDefault="009D48B9" w:rsidP="009D48B9">
      <w:pPr>
        <w:spacing w:line="240" w:lineRule="auto"/>
        <w:rPr>
          <w:rFonts w:ascii="Arial" w:eastAsia="Times New Roman" w:hAnsi="Arial" w:cs="Arial"/>
          <w:sz w:val="20"/>
          <w:szCs w:val="20"/>
          <w:lang w:val="es-419" w:eastAsia="es-ES"/>
        </w:rPr>
      </w:pPr>
      <w:r w:rsidRPr="009D48B9">
        <w:rPr>
          <w:rFonts w:ascii="Arial" w:eastAsia="Times New Roman" w:hAnsi="Arial" w:cs="Arial"/>
          <w:sz w:val="20"/>
          <w:szCs w:val="20"/>
          <w:lang w:val="es-419" w:eastAsia="es-ES"/>
        </w:rPr>
        <w:t xml:space="preserve">Radicación No.: </w:t>
      </w:r>
      <w:r w:rsidRPr="009D48B9">
        <w:rPr>
          <w:rFonts w:ascii="Arial" w:eastAsia="Times New Roman" w:hAnsi="Arial" w:cs="Arial"/>
          <w:sz w:val="20"/>
          <w:szCs w:val="20"/>
          <w:lang w:val="es-419" w:eastAsia="es-ES"/>
        </w:rPr>
        <w:tab/>
        <w:t>66001-31-05-004-2018-00634-01</w:t>
      </w:r>
    </w:p>
    <w:p w14:paraId="520F2190" w14:textId="77777777" w:rsidR="009D48B9" w:rsidRPr="009D48B9" w:rsidRDefault="009D48B9" w:rsidP="009D48B9">
      <w:pPr>
        <w:spacing w:line="240" w:lineRule="auto"/>
        <w:rPr>
          <w:rFonts w:ascii="Arial" w:eastAsia="Times New Roman" w:hAnsi="Arial" w:cs="Arial"/>
          <w:sz w:val="20"/>
          <w:szCs w:val="20"/>
          <w:lang w:val="es-419" w:eastAsia="es-ES"/>
        </w:rPr>
      </w:pPr>
      <w:r w:rsidRPr="009D48B9">
        <w:rPr>
          <w:rFonts w:ascii="Arial" w:eastAsia="Times New Roman" w:hAnsi="Arial" w:cs="Arial"/>
          <w:sz w:val="20"/>
          <w:szCs w:val="20"/>
          <w:lang w:val="es-419" w:eastAsia="es-ES"/>
        </w:rPr>
        <w:t xml:space="preserve">Proceso: </w:t>
      </w:r>
      <w:r w:rsidRPr="009D48B9">
        <w:rPr>
          <w:rFonts w:ascii="Arial" w:eastAsia="Times New Roman" w:hAnsi="Arial" w:cs="Arial"/>
          <w:sz w:val="20"/>
          <w:szCs w:val="20"/>
          <w:lang w:val="es-419" w:eastAsia="es-ES"/>
        </w:rPr>
        <w:tab/>
      </w:r>
      <w:r w:rsidRPr="009D48B9">
        <w:rPr>
          <w:rFonts w:ascii="Arial" w:eastAsia="Times New Roman" w:hAnsi="Arial" w:cs="Arial"/>
          <w:sz w:val="20"/>
          <w:szCs w:val="20"/>
          <w:lang w:val="es-419" w:eastAsia="es-ES"/>
        </w:rPr>
        <w:tab/>
        <w:t xml:space="preserve">Ordinario Laboral </w:t>
      </w:r>
    </w:p>
    <w:p w14:paraId="2987653C" w14:textId="77777777" w:rsidR="009D48B9" w:rsidRPr="009D48B9" w:rsidRDefault="009D48B9" w:rsidP="009D48B9">
      <w:pPr>
        <w:spacing w:line="240" w:lineRule="auto"/>
        <w:rPr>
          <w:rFonts w:ascii="Arial" w:eastAsia="Times New Roman" w:hAnsi="Arial" w:cs="Arial"/>
          <w:sz w:val="20"/>
          <w:szCs w:val="20"/>
          <w:lang w:val="es-419" w:eastAsia="es-ES"/>
        </w:rPr>
      </w:pPr>
      <w:r w:rsidRPr="009D48B9">
        <w:rPr>
          <w:rFonts w:ascii="Arial" w:eastAsia="Times New Roman" w:hAnsi="Arial" w:cs="Arial"/>
          <w:sz w:val="20"/>
          <w:szCs w:val="20"/>
          <w:lang w:val="es-419" w:eastAsia="es-ES"/>
        </w:rPr>
        <w:t xml:space="preserve">Demandante: </w:t>
      </w:r>
      <w:r w:rsidRPr="009D48B9">
        <w:rPr>
          <w:rFonts w:ascii="Arial" w:eastAsia="Times New Roman" w:hAnsi="Arial" w:cs="Arial"/>
          <w:sz w:val="20"/>
          <w:szCs w:val="20"/>
          <w:lang w:val="es-419" w:eastAsia="es-ES"/>
        </w:rPr>
        <w:tab/>
      </w:r>
      <w:r w:rsidRPr="009D48B9">
        <w:rPr>
          <w:rFonts w:ascii="Arial" w:eastAsia="Times New Roman" w:hAnsi="Arial" w:cs="Arial"/>
          <w:sz w:val="20"/>
          <w:szCs w:val="20"/>
          <w:lang w:val="es-419" w:eastAsia="es-ES"/>
        </w:rPr>
        <w:tab/>
        <w:t xml:space="preserve">José Olmedo </w:t>
      </w:r>
      <w:proofErr w:type="spellStart"/>
      <w:r w:rsidRPr="009D48B9">
        <w:rPr>
          <w:rFonts w:ascii="Arial" w:eastAsia="Times New Roman" w:hAnsi="Arial" w:cs="Arial"/>
          <w:sz w:val="20"/>
          <w:szCs w:val="20"/>
          <w:lang w:val="es-419" w:eastAsia="es-ES"/>
        </w:rPr>
        <w:t>Sons</w:t>
      </w:r>
      <w:proofErr w:type="spellEnd"/>
      <w:r w:rsidRPr="009D48B9">
        <w:rPr>
          <w:rFonts w:ascii="Arial" w:eastAsia="Times New Roman" w:hAnsi="Arial" w:cs="Arial"/>
          <w:sz w:val="20"/>
          <w:szCs w:val="20"/>
          <w:lang w:val="es-419" w:eastAsia="es-ES"/>
        </w:rPr>
        <w:t xml:space="preserve"> Pérez</w:t>
      </w:r>
    </w:p>
    <w:p w14:paraId="4A43730E" w14:textId="77777777" w:rsidR="009D48B9" w:rsidRPr="009D48B9" w:rsidRDefault="009D48B9" w:rsidP="009D48B9">
      <w:pPr>
        <w:spacing w:line="240" w:lineRule="auto"/>
        <w:rPr>
          <w:rFonts w:ascii="Arial" w:eastAsia="Times New Roman" w:hAnsi="Arial" w:cs="Arial"/>
          <w:sz w:val="20"/>
          <w:szCs w:val="20"/>
          <w:lang w:val="es-419" w:eastAsia="es-ES"/>
        </w:rPr>
      </w:pPr>
      <w:r w:rsidRPr="009D48B9">
        <w:rPr>
          <w:rFonts w:ascii="Arial" w:eastAsia="Times New Roman" w:hAnsi="Arial" w:cs="Arial"/>
          <w:sz w:val="20"/>
          <w:szCs w:val="20"/>
          <w:lang w:val="es-419" w:eastAsia="es-ES"/>
        </w:rPr>
        <w:t xml:space="preserve">Demandado: </w:t>
      </w:r>
      <w:r w:rsidRPr="009D48B9">
        <w:rPr>
          <w:rFonts w:ascii="Arial" w:eastAsia="Times New Roman" w:hAnsi="Arial" w:cs="Arial"/>
          <w:sz w:val="20"/>
          <w:szCs w:val="20"/>
          <w:lang w:val="es-419" w:eastAsia="es-ES"/>
        </w:rPr>
        <w:tab/>
      </w:r>
      <w:r w:rsidRPr="009D48B9">
        <w:rPr>
          <w:rFonts w:ascii="Arial" w:eastAsia="Times New Roman" w:hAnsi="Arial" w:cs="Arial"/>
          <w:sz w:val="20"/>
          <w:szCs w:val="20"/>
          <w:lang w:val="es-419" w:eastAsia="es-ES"/>
        </w:rPr>
        <w:tab/>
        <w:t xml:space="preserve">Colpensiones y Porvenir S.A. </w:t>
      </w:r>
    </w:p>
    <w:p w14:paraId="6DC41A9F" w14:textId="18A1CC23" w:rsidR="009D48B9" w:rsidRPr="009D48B9" w:rsidRDefault="009D48B9" w:rsidP="009D48B9">
      <w:pPr>
        <w:spacing w:line="240" w:lineRule="auto"/>
        <w:rPr>
          <w:rFonts w:ascii="Arial" w:eastAsia="Times New Roman" w:hAnsi="Arial" w:cs="Arial"/>
          <w:sz w:val="20"/>
          <w:szCs w:val="20"/>
          <w:lang w:val="es-419" w:eastAsia="es-ES"/>
        </w:rPr>
      </w:pPr>
      <w:r w:rsidRPr="009D48B9">
        <w:rPr>
          <w:rFonts w:ascii="Arial" w:eastAsia="Times New Roman" w:hAnsi="Arial" w:cs="Arial"/>
          <w:sz w:val="20"/>
          <w:szCs w:val="20"/>
          <w:lang w:val="es-419" w:eastAsia="es-ES"/>
        </w:rPr>
        <w:t xml:space="preserve">Juzgado: </w:t>
      </w:r>
      <w:r w:rsidRPr="009D48B9">
        <w:rPr>
          <w:rFonts w:ascii="Arial" w:eastAsia="Times New Roman" w:hAnsi="Arial" w:cs="Arial"/>
          <w:sz w:val="20"/>
          <w:szCs w:val="20"/>
          <w:lang w:val="es-419" w:eastAsia="es-ES"/>
        </w:rPr>
        <w:tab/>
      </w:r>
      <w:r w:rsidRPr="009D48B9">
        <w:rPr>
          <w:rFonts w:ascii="Arial" w:eastAsia="Times New Roman" w:hAnsi="Arial" w:cs="Arial"/>
          <w:sz w:val="20"/>
          <w:szCs w:val="20"/>
          <w:lang w:val="es-419" w:eastAsia="es-ES"/>
        </w:rPr>
        <w:tab/>
        <w:t>Cuarto Laboral del Circuito de Pereira</w:t>
      </w:r>
    </w:p>
    <w:p w14:paraId="173E41B2" w14:textId="77777777" w:rsidR="009D48B9" w:rsidRPr="009D48B9" w:rsidRDefault="009D48B9" w:rsidP="009D48B9">
      <w:pPr>
        <w:spacing w:line="240" w:lineRule="auto"/>
        <w:rPr>
          <w:rFonts w:ascii="Arial" w:eastAsia="Times New Roman" w:hAnsi="Arial" w:cs="Arial"/>
          <w:sz w:val="20"/>
          <w:szCs w:val="20"/>
          <w:lang w:val="es-419" w:eastAsia="es-ES"/>
        </w:rPr>
      </w:pPr>
    </w:p>
    <w:bookmarkEnd w:id="0"/>
    <w:p w14:paraId="210235AB" w14:textId="77777777" w:rsidR="00B12513" w:rsidRPr="00B12513" w:rsidRDefault="00B12513" w:rsidP="00B12513">
      <w:pPr>
        <w:spacing w:line="240" w:lineRule="auto"/>
        <w:rPr>
          <w:rFonts w:ascii="Arial" w:eastAsia="Times New Roman" w:hAnsi="Arial" w:cs="Arial"/>
          <w:b/>
          <w:bCs/>
          <w:iCs/>
          <w:sz w:val="20"/>
          <w:szCs w:val="20"/>
          <w:lang w:val="es-419" w:eastAsia="fr-FR"/>
        </w:rPr>
      </w:pPr>
      <w:r w:rsidRPr="00B12513">
        <w:rPr>
          <w:rFonts w:ascii="Arial" w:eastAsia="Times New Roman" w:hAnsi="Arial" w:cs="Arial"/>
          <w:b/>
          <w:bCs/>
          <w:iCs/>
          <w:sz w:val="20"/>
          <w:szCs w:val="20"/>
          <w:u w:val="single"/>
          <w:lang w:val="es-419" w:eastAsia="fr-FR"/>
        </w:rPr>
        <w:t>TEMAS:</w:t>
      </w:r>
      <w:r w:rsidRPr="00B12513">
        <w:rPr>
          <w:rFonts w:ascii="Arial" w:eastAsia="Times New Roman" w:hAnsi="Arial" w:cs="Arial"/>
          <w:b/>
          <w:bCs/>
          <w:iCs/>
          <w:sz w:val="20"/>
          <w:szCs w:val="20"/>
          <w:lang w:val="es-419" w:eastAsia="fr-FR"/>
        </w:rPr>
        <w:tab/>
      </w:r>
      <w:r w:rsidRPr="00B1251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CD1A108" w14:textId="77777777" w:rsidR="00B12513" w:rsidRPr="00B12513" w:rsidRDefault="00B12513" w:rsidP="00B12513">
      <w:pPr>
        <w:spacing w:line="240" w:lineRule="auto"/>
        <w:rPr>
          <w:rFonts w:ascii="Arial" w:eastAsia="Times New Roman" w:hAnsi="Arial" w:cs="Arial"/>
          <w:sz w:val="20"/>
          <w:szCs w:val="20"/>
          <w:lang w:val="es-419" w:eastAsia="es-ES"/>
        </w:rPr>
      </w:pPr>
    </w:p>
    <w:p w14:paraId="411BADC9" w14:textId="77777777" w:rsidR="00B12513" w:rsidRPr="00B12513" w:rsidRDefault="00B12513" w:rsidP="00B12513">
      <w:pPr>
        <w:spacing w:line="240" w:lineRule="auto"/>
        <w:rPr>
          <w:rFonts w:ascii="Arial" w:eastAsia="Times New Roman" w:hAnsi="Arial" w:cs="Arial"/>
          <w:sz w:val="20"/>
          <w:szCs w:val="20"/>
          <w:lang w:val="es-419" w:eastAsia="es-ES"/>
        </w:rPr>
      </w:pPr>
      <w:r w:rsidRPr="00B1251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DE6D7DA" w14:textId="77777777" w:rsidR="00B12513" w:rsidRPr="00B12513" w:rsidRDefault="00B12513" w:rsidP="00B12513">
      <w:pPr>
        <w:spacing w:line="240" w:lineRule="auto"/>
        <w:rPr>
          <w:rFonts w:ascii="Arial" w:eastAsia="Times New Roman" w:hAnsi="Arial" w:cs="Arial"/>
          <w:sz w:val="20"/>
          <w:szCs w:val="20"/>
          <w:lang w:val="es-419" w:eastAsia="es-ES"/>
        </w:rPr>
      </w:pPr>
    </w:p>
    <w:p w14:paraId="7BF3AC3F" w14:textId="77777777" w:rsidR="00B12513" w:rsidRPr="00B12513" w:rsidRDefault="00B12513" w:rsidP="00B12513">
      <w:pPr>
        <w:spacing w:line="240" w:lineRule="auto"/>
        <w:rPr>
          <w:rFonts w:ascii="Arial" w:eastAsia="Times New Roman" w:hAnsi="Arial" w:cs="Arial"/>
          <w:sz w:val="20"/>
          <w:szCs w:val="20"/>
          <w:lang w:val="es-419" w:eastAsia="es-ES"/>
        </w:rPr>
      </w:pPr>
      <w:r w:rsidRPr="00B1251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E23D5DC" w14:textId="77777777" w:rsidR="00B12513" w:rsidRPr="00B12513" w:rsidRDefault="00B12513" w:rsidP="00B12513">
      <w:pPr>
        <w:spacing w:line="240" w:lineRule="auto"/>
        <w:rPr>
          <w:rFonts w:ascii="Arial" w:eastAsia="Times New Roman" w:hAnsi="Arial" w:cs="Arial"/>
          <w:sz w:val="20"/>
          <w:szCs w:val="20"/>
          <w:lang w:val="es-419" w:eastAsia="es-ES"/>
        </w:rPr>
      </w:pPr>
    </w:p>
    <w:p w14:paraId="4FD04531" w14:textId="4B592F21" w:rsidR="00B12513" w:rsidRPr="00B12513" w:rsidRDefault="009D1B5D" w:rsidP="00B12513">
      <w:pPr>
        <w:spacing w:line="240" w:lineRule="auto"/>
        <w:rPr>
          <w:rFonts w:ascii="Arial" w:eastAsia="Times New Roman" w:hAnsi="Arial" w:cs="Arial"/>
          <w:sz w:val="20"/>
          <w:szCs w:val="20"/>
          <w:lang w:val="es-419" w:eastAsia="es-ES"/>
        </w:rPr>
      </w:pPr>
      <w:r w:rsidRPr="009D1B5D">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B12513" w:rsidRPr="00B12513">
        <w:rPr>
          <w:rFonts w:ascii="Arial" w:eastAsia="Times New Roman" w:hAnsi="Arial" w:cs="Arial"/>
          <w:sz w:val="20"/>
          <w:szCs w:val="20"/>
          <w:lang w:val="es-419" w:eastAsia="es-ES"/>
        </w:rPr>
        <w:t>…</w:t>
      </w:r>
    </w:p>
    <w:p w14:paraId="03FB54B4" w14:textId="77777777" w:rsidR="00B12513" w:rsidRPr="00B12513" w:rsidRDefault="00B12513" w:rsidP="00B12513">
      <w:pPr>
        <w:spacing w:line="240" w:lineRule="auto"/>
        <w:rPr>
          <w:rFonts w:ascii="Arial" w:eastAsia="Times New Roman" w:hAnsi="Arial" w:cs="Arial"/>
          <w:sz w:val="20"/>
          <w:szCs w:val="20"/>
          <w:lang w:val="es-419" w:eastAsia="es-ES"/>
        </w:rPr>
      </w:pPr>
    </w:p>
    <w:p w14:paraId="5BED2015" w14:textId="77777777" w:rsidR="00B12513" w:rsidRPr="00B12513" w:rsidRDefault="00B12513" w:rsidP="00B12513">
      <w:pPr>
        <w:spacing w:line="240" w:lineRule="auto"/>
        <w:rPr>
          <w:rFonts w:ascii="Arial" w:eastAsia="Times New Roman" w:hAnsi="Arial" w:cs="Arial"/>
          <w:sz w:val="20"/>
          <w:szCs w:val="20"/>
          <w:lang w:val="es-419" w:eastAsia="es-ES"/>
        </w:rPr>
      </w:pPr>
      <w:r w:rsidRPr="00B12513">
        <w:rPr>
          <w:rFonts w:ascii="Arial" w:eastAsia="Times New Roman" w:hAnsi="Arial" w:cs="Arial"/>
          <w:sz w:val="20"/>
          <w:szCs w:val="20"/>
          <w:lang w:val="es-419" w:eastAsia="es-ES"/>
        </w:rPr>
        <w:t>El tercer proble</w:t>
      </w:r>
      <w:bookmarkStart w:id="1" w:name="_GoBack"/>
      <w:r w:rsidRPr="00B12513">
        <w:rPr>
          <w:rFonts w:ascii="Arial" w:eastAsia="Times New Roman" w:hAnsi="Arial" w:cs="Arial"/>
          <w:sz w:val="20"/>
          <w:szCs w:val="20"/>
          <w:lang w:val="es-419" w:eastAsia="es-ES"/>
        </w:rPr>
        <w:t>ma jurídico relativo a la carga</w:t>
      </w:r>
      <w:bookmarkEnd w:id="1"/>
      <w:r w:rsidRPr="00B12513">
        <w:rPr>
          <w:rFonts w:ascii="Arial" w:eastAsia="Times New Roman" w:hAnsi="Arial" w:cs="Arial"/>
          <w:sz w:val="20"/>
          <w:szCs w:val="20"/>
          <w:lang w:val="es-419" w:eastAsia="es-ES"/>
        </w:rPr>
        <w:t xml:space="preserve">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2F4A34A" w14:textId="77777777" w:rsidR="00B12513" w:rsidRPr="00B12513" w:rsidRDefault="00B12513" w:rsidP="00B12513">
      <w:pPr>
        <w:spacing w:line="240" w:lineRule="auto"/>
        <w:rPr>
          <w:rFonts w:ascii="Arial" w:eastAsia="Times New Roman" w:hAnsi="Arial" w:cs="Arial"/>
          <w:sz w:val="20"/>
          <w:szCs w:val="20"/>
          <w:lang w:val="es-ES" w:eastAsia="es-ES"/>
        </w:rPr>
      </w:pPr>
    </w:p>
    <w:p w14:paraId="6E2929AB" w14:textId="77777777" w:rsidR="00B12513" w:rsidRPr="00B12513" w:rsidRDefault="00B12513" w:rsidP="00B12513">
      <w:pPr>
        <w:spacing w:line="240" w:lineRule="auto"/>
        <w:rPr>
          <w:rFonts w:ascii="Arial" w:eastAsia="Times New Roman" w:hAnsi="Arial" w:cs="Arial"/>
          <w:sz w:val="20"/>
          <w:szCs w:val="20"/>
          <w:lang w:val="es-ES" w:eastAsia="es-ES"/>
        </w:rPr>
      </w:pPr>
    </w:p>
    <w:p w14:paraId="3C307284" w14:textId="77777777" w:rsidR="00B12513" w:rsidRPr="00B12513" w:rsidRDefault="00B12513" w:rsidP="00B12513">
      <w:pPr>
        <w:spacing w:line="240" w:lineRule="auto"/>
        <w:rPr>
          <w:rFonts w:ascii="Arial" w:eastAsia="Times New Roman" w:hAnsi="Arial" w:cs="Arial"/>
          <w:sz w:val="20"/>
          <w:szCs w:val="20"/>
          <w:lang w:val="es-ES" w:eastAsia="es-ES"/>
        </w:rPr>
      </w:pPr>
    </w:p>
    <w:p w14:paraId="79F64DA0" w14:textId="77777777" w:rsidR="00790DA9" w:rsidRPr="009D48B9" w:rsidRDefault="00790DA9" w:rsidP="009D48B9">
      <w:pPr>
        <w:pStyle w:val="Ttulo4"/>
        <w:widowControl w:val="0"/>
        <w:tabs>
          <w:tab w:val="clear" w:pos="0"/>
        </w:tabs>
        <w:spacing w:line="276" w:lineRule="auto"/>
        <w:ind w:left="709" w:right="845"/>
        <w:rPr>
          <w:rFonts w:ascii="Tahoma" w:hAnsi="Tahoma" w:cs="Tahoma"/>
          <w:bCs/>
          <w:szCs w:val="24"/>
          <w:lang w:eastAsia="es-MX"/>
        </w:rPr>
      </w:pPr>
      <w:r w:rsidRPr="009D48B9">
        <w:rPr>
          <w:rFonts w:ascii="Tahoma" w:hAnsi="Tahoma" w:cs="Tahoma"/>
          <w:bCs/>
          <w:szCs w:val="24"/>
          <w:lang w:eastAsia="es-MX"/>
        </w:rPr>
        <w:t>TRIBUNAL SUPERIOR DEL DISTRITO JUDICIAL DE PEREIRA</w:t>
      </w:r>
    </w:p>
    <w:p w14:paraId="790CF845" w14:textId="482B04BB" w:rsidR="00790DA9" w:rsidRPr="009D48B9" w:rsidRDefault="00790DA9" w:rsidP="009D48B9">
      <w:pPr>
        <w:pStyle w:val="Ttulo4"/>
        <w:widowControl w:val="0"/>
        <w:tabs>
          <w:tab w:val="clear" w:pos="0"/>
        </w:tabs>
        <w:spacing w:line="276" w:lineRule="auto"/>
        <w:ind w:left="709" w:right="845"/>
        <w:rPr>
          <w:rFonts w:ascii="Tahoma" w:hAnsi="Tahoma" w:cs="Tahoma"/>
          <w:bCs/>
          <w:szCs w:val="24"/>
          <w:lang w:eastAsia="es-MX"/>
        </w:rPr>
      </w:pPr>
      <w:r w:rsidRPr="009D48B9">
        <w:rPr>
          <w:rFonts w:ascii="Tahoma" w:hAnsi="Tahoma" w:cs="Tahoma"/>
          <w:bCs/>
          <w:szCs w:val="24"/>
          <w:lang w:eastAsia="es-MX"/>
        </w:rPr>
        <w:t>SALA PRIMERA DE DECISION LABORAL</w:t>
      </w:r>
      <w:r w:rsidR="00662FC5" w:rsidRPr="009D48B9">
        <w:rPr>
          <w:rFonts w:ascii="Tahoma" w:hAnsi="Tahoma" w:cs="Tahoma"/>
          <w:bCs/>
          <w:szCs w:val="24"/>
          <w:lang w:eastAsia="es-MX"/>
        </w:rPr>
        <w:t xml:space="preserve"> </w:t>
      </w:r>
    </w:p>
    <w:p w14:paraId="019D66BB" w14:textId="5DF07334" w:rsidR="00790DA9" w:rsidRPr="009D48B9" w:rsidRDefault="00790DA9" w:rsidP="009D48B9">
      <w:pPr>
        <w:spacing w:line="276" w:lineRule="auto"/>
        <w:jc w:val="center"/>
        <w:rPr>
          <w:rFonts w:cs="Tahoma"/>
          <w:bCs/>
          <w:szCs w:val="24"/>
        </w:rPr>
      </w:pPr>
    </w:p>
    <w:p w14:paraId="0E7ACA8F" w14:textId="77777777" w:rsidR="00790DA9" w:rsidRPr="009D48B9" w:rsidRDefault="00790DA9" w:rsidP="009D48B9">
      <w:pPr>
        <w:spacing w:line="276" w:lineRule="auto"/>
        <w:jc w:val="center"/>
        <w:textAlignment w:val="baseline"/>
        <w:rPr>
          <w:rFonts w:eastAsia="Times New Roman" w:cs="Tahoma"/>
          <w:szCs w:val="24"/>
          <w:lang w:eastAsia="es-CO"/>
        </w:rPr>
      </w:pPr>
      <w:r w:rsidRPr="009D48B9">
        <w:rPr>
          <w:rFonts w:eastAsia="Times New Roman" w:cs="Tahoma"/>
          <w:szCs w:val="24"/>
          <w:lang w:eastAsia="es-CO"/>
        </w:rPr>
        <w:t>Magistrada Ponente: </w:t>
      </w:r>
      <w:r w:rsidRPr="009D48B9">
        <w:rPr>
          <w:rFonts w:eastAsia="Times New Roman" w:cs="Tahoma"/>
          <w:b/>
          <w:bCs/>
          <w:szCs w:val="24"/>
          <w:lang w:eastAsia="es-CO"/>
        </w:rPr>
        <w:t>Ana Lucía Caicedo Calderón</w:t>
      </w:r>
      <w:r w:rsidRPr="009D48B9">
        <w:rPr>
          <w:rFonts w:eastAsia="Times New Roman" w:cs="Tahoma"/>
          <w:szCs w:val="24"/>
          <w:lang w:eastAsia="es-CO"/>
        </w:rPr>
        <w:t> </w:t>
      </w:r>
    </w:p>
    <w:p w14:paraId="17B99363" w14:textId="17A5E01B" w:rsidR="00790DA9" w:rsidRPr="009D48B9" w:rsidRDefault="00790DA9" w:rsidP="009D48B9">
      <w:pPr>
        <w:spacing w:line="276" w:lineRule="auto"/>
        <w:jc w:val="center"/>
        <w:textAlignment w:val="baseline"/>
        <w:rPr>
          <w:rFonts w:eastAsia="Times New Roman" w:cs="Tahoma"/>
          <w:szCs w:val="24"/>
          <w:lang w:eastAsia="es-CO"/>
        </w:rPr>
      </w:pPr>
      <w:r w:rsidRPr="009D48B9">
        <w:rPr>
          <w:rFonts w:eastAsia="Times New Roman" w:cs="Tahoma"/>
          <w:szCs w:val="24"/>
          <w:lang w:eastAsia="es-CO"/>
        </w:rPr>
        <w:t> </w:t>
      </w:r>
    </w:p>
    <w:p w14:paraId="61EC5009" w14:textId="0B8033C7" w:rsidR="00B92321" w:rsidRPr="009D48B9" w:rsidRDefault="00B92321" w:rsidP="009D48B9">
      <w:pPr>
        <w:spacing w:line="276" w:lineRule="auto"/>
        <w:jc w:val="center"/>
        <w:textAlignment w:val="baseline"/>
        <w:rPr>
          <w:rFonts w:eastAsia="Times New Roman" w:cs="Tahoma"/>
          <w:szCs w:val="24"/>
          <w:lang w:eastAsia="es-CO"/>
        </w:rPr>
      </w:pPr>
      <w:r w:rsidRPr="009D48B9">
        <w:rPr>
          <w:rFonts w:eastAsia="Times New Roman" w:cs="Tahoma"/>
          <w:szCs w:val="24"/>
          <w:lang w:eastAsia="es-CO"/>
        </w:rPr>
        <w:t xml:space="preserve">Pereira, Risaralda, </w:t>
      </w:r>
      <w:r w:rsidR="00802799" w:rsidRPr="009D48B9">
        <w:rPr>
          <w:rFonts w:eastAsia="Times New Roman" w:cs="Tahoma"/>
          <w:szCs w:val="24"/>
          <w:lang w:eastAsia="es-CO"/>
        </w:rPr>
        <w:t>dieciocho (18)</w:t>
      </w:r>
      <w:r w:rsidRPr="009D48B9">
        <w:rPr>
          <w:rFonts w:eastAsia="Times New Roman" w:cs="Tahoma"/>
          <w:szCs w:val="24"/>
          <w:lang w:eastAsia="es-CO"/>
        </w:rPr>
        <w:t xml:space="preserve"> de </w:t>
      </w:r>
      <w:r w:rsidR="00AE6D9F">
        <w:rPr>
          <w:rFonts w:eastAsia="Times New Roman" w:cs="Tahoma"/>
          <w:szCs w:val="24"/>
          <w:lang w:eastAsia="es-CO"/>
        </w:rPr>
        <w:t xml:space="preserve">agosto </w:t>
      </w:r>
      <w:r w:rsidRPr="009D48B9">
        <w:rPr>
          <w:rFonts w:eastAsia="Times New Roman" w:cs="Tahoma"/>
          <w:szCs w:val="24"/>
          <w:lang w:eastAsia="es-CO"/>
        </w:rPr>
        <w:t>dos mil veintiuno (2021)  </w:t>
      </w:r>
    </w:p>
    <w:p w14:paraId="41C75338" w14:textId="0ACD1270" w:rsidR="00B92321" w:rsidRPr="009D48B9" w:rsidRDefault="00B92321" w:rsidP="009D48B9">
      <w:pPr>
        <w:spacing w:line="276" w:lineRule="auto"/>
        <w:jc w:val="center"/>
        <w:textAlignment w:val="baseline"/>
        <w:rPr>
          <w:rFonts w:eastAsia="Times New Roman" w:cs="Tahoma"/>
          <w:szCs w:val="24"/>
          <w:lang w:eastAsia="es-CO"/>
        </w:rPr>
      </w:pPr>
      <w:r w:rsidRPr="009D48B9">
        <w:rPr>
          <w:rFonts w:eastAsia="Times New Roman" w:cs="Tahoma"/>
          <w:szCs w:val="24"/>
          <w:lang w:eastAsia="es-CO"/>
        </w:rPr>
        <w:t> Acta No. </w:t>
      </w:r>
      <w:r w:rsidR="00802799" w:rsidRPr="009D48B9">
        <w:rPr>
          <w:rFonts w:eastAsia="Times New Roman" w:cs="Tahoma"/>
          <w:szCs w:val="24"/>
          <w:lang w:eastAsia="es-CO"/>
        </w:rPr>
        <w:t>125</w:t>
      </w:r>
      <w:r w:rsidRPr="009D48B9">
        <w:rPr>
          <w:rFonts w:eastAsia="Times New Roman" w:cs="Tahoma"/>
          <w:szCs w:val="24"/>
          <w:lang w:eastAsia="es-CO"/>
        </w:rPr>
        <w:t xml:space="preserve"> del </w:t>
      </w:r>
      <w:r w:rsidR="00A47546" w:rsidRPr="009D48B9">
        <w:rPr>
          <w:rFonts w:eastAsia="Times New Roman" w:cs="Tahoma"/>
          <w:szCs w:val="24"/>
          <w:lang w:eastAsia="es-CO"/>
        </w:rPr>
        <w:t>1</w:t>
      </w:r>
      <w:r w:rsidR="00802799" w:rsidRPr="009D48B9">
        <w:rPr>
          <w:rFonts w:eastAsia="Times New Roman" w:cs="Tahoma"/>
          <w:szCs w:val="24"/>
          <w:lang w:eastAsia="es-CO"/>
        </w:rPr>
        <w:t>3</w:t>
      </w:r>
      <w:r w:rsidR="00662FC5" w:rsidRPr="009D48B9">
        <w:rPr>
          <w:rFonts w:eastAsia="Times New Roman" w:cs="Tahoma"/>
          <w:szCs w:val="24"/>
          <w:lang w:eastAsia="es-CO"/>
        </w:rPr>
        <w:t xml:space="preserve"> de </w:t>
      </w:r>
      <w:r w:rsidR="00A47546" w:rsidRPr="009D48B9">
        <w:rPr>
          <w:rFonts w:eastAsia="Times New Roman" w:cs="Tahoma"/>
          <w:szCs w:val="24"/>
          <w:lang w:eastAsia="es-CO"/>
        </w:rPr>
        <w:t xml:space="preserve">agosto </w:t>
      </w:r>
      <w:r w:rsidRPr="009D48B9">
        <w:rPr>
          <w:rFonts w:eastAsia="Times New Roman" w:cs="Tahoma"/>
          <w:szCs w:val="24"/>
          <w:lang w:eastAsia="es-CO"/>
        </w:rPr>
        <w:t>de 2021</w:t>
      </w:r>
    </w:p>
    <w:p w14:paraId="3CDD4E79" w14:textId="7CF23A35" w:rsidR="00790DA9" w:rsidRPr="009D48B9" w:rsidRDefault="00790DA9" w:rsidP="009D48B9">
      <w:pPr>
        <w:spacing w:line="276" w:lineRule="auto"/>
        <w:jc w:val="center"/>
        <w:rPr>
          <w:rFonts w:cs="Tahoma"/>
          <w:b/>
          <w:szCs w:val="24"/>
        </w:rPr>
      </w:pPr>
    </w:p>
    <w:p w14:paraId="73AFF3DE" w14:textId="77777777" w:rsidR="00662FC5" w:rsidRPr="009D48B9" w:rsidRDefault="00662FC5" w:rsidP="009D48B9">
      <w:pPr>
        <w:spacing w:line="276" w:lineRule="auto"/>
        <w:jc w:val="center"/>
        <w:rPr>
          <w:rFonts w:cs="Tahoma"/>
          <w:b/>
          <w:szCs w:val="24"/>
        </w:rPr>
      </w:pPr>
    </w:p>
    <w:p w14:paraId="1118462F" w14:textId="58227F3D" w:rsidR="00790DA9" w:rsidRPr="009D48B9" w:rsidRDefault="00662FC5" w:rsidP="009D48B9">
      <w:pPr>
        <w:spacing w:line="276" w:lineRule="auto"/>
        <w:ind w:firstLine="708"/>
        <w:rPr>
          <w:rFonts w:cs="Tahoma"/>
          <w:b/>
          <w:szCs w:val="24"/>
          <w:lang w:val="es-ES_tradnl"/>
        </w:rPr>
      </w:pPr>
      <w:r w:rsidRPr="009D48B9">
        <w:rPr>
          <w:rFonts w:cs="Tahoma"/>
          <w:szCs w:val="24"/>
        </w:rPr>
        <w:t>Teniendo en cuenta que el artículo 15 del Decreto No. 806 del 4 de junio de</w:t>
      </w:r>
      <w:r w:rsidR="002C095D" w:rsidRPr="009D48B9">
        <w:rPr>
          <w:rFonts w:cs="Tahoma"/>
          <w:szCs w:val="24"/>
        </w:rPr>
        <w:t xml:space="preserve"> </w:t>
      </w:r>
      <w:r w:rsidRPr="009D48B9">
        <w:rPr>
          <w:rFonts w:cs="Tahoma"/>
          <w:szCs w:val="24"/>
        </w:rPr>
        <w:t>2020, expedido por el Ministerio de Justicia y del Derecho, estableció que en la</w:t>
      </w:r>
      <w:r w:rsidR="002C095D" w:rsidRPr="009D48B9">
        <w:rPr>
          <w:rFonts w:cs="Tahoma"/>
          <w:szCs w:val="24"/>
        </w:rPr>
        <w:t xml:space="preserve"> </w:t>
      </w:r>
      <w:r w:rsidRPr="009D48B9">
        <w:rPr>
          <w:rFonts w:cs="Tahoma"/>
          <w:szCs w:val="24"/>
        </w:rPr>
        <w:t>especialidad laboral se proferirán por escrito las providencias de segunda instancia</w:t>
      </w:r>
      <w:r w:rsidR="002C095D" w:rsidRPr="009D48B9">
        <w:rPr>
          <w:rFonts w:cs="Tahoma"/>
          <w:szCs w:val="24"/>
        </w:rPr>
        <w:t xml:space="preserve"> </w:t>
      </w:r>
      <w:r w:rsidRPr="009D48B9">
        <w:rPr>
          <w:rFonts w:cs="Tahoma"/>
          <w:szCs w:val="24"/>
        </w:rPr>
        <w:t>en las que se surta el grado jurisdiccional de consulta o se resuelva el recurso de</w:t>
      </w:r>
      <w:r w:rsidR="002C095D" w:rsidRPr="009D48B9">
        <w:rPr>
          <w:rFonts w:cs="Tahoma"/>
          <w:szCs w:val="24"/>
        </w:rPr>
        <w:t xml:space="preserve"> </w:t>
      </w:r>
      <w:r w:rsidRPr="009D48B9">
        <w:rPr>
          <w:rFonts w:cs="Tahoma"/>
          <w:szCs w:val="24"/>
        </w:rPr>
        <w:t>apelación de autos o sentencias, la Sala de Decisión Laboral Presidida por la Dra.</w:t>
      </w:r>
      <w:r w:rsidR="002C095D" w:rsidRPr="009D48B9">
        <w:rPr>
          <w:rFonts w:cs="Tahoma"/>
          <w:szCs w:val="24"/>
        </w:rPr>
        <w:t xml:space="preserve"> </w:t>
      </w:r>
      <w:r w:rsidRPr="009D48B9">
        <w:rPr>
          <w:rFonts w:cs="Tahoma"/>
          <w:szCs w:val="24"/>
        </w:rPr>
        <w:t>Ana Lucía Caicedo Calderón del Tribunal Superior de Pereira, integrada por las</w:t>
      </w:r>
      <w:r w:rsidR="002C095D" w:rsidRPr="009D48B9">
        <w:rPr>
          <w:rFonts w:cs="Tahoma"/>
          <w:szCs w:val="24"/>
        </w:rPr>
        <w:t xml:space="preserve"> </w:t>
      </w:r>
      <w:r w:rsidRPr="009D48B9">
        <w:rPr>
          <w:rFonts w:cs="Tahoma"/>
          <w:szCs w:val="24"/>
        </w:rPr>
        <w:t xml:space="preserve">Magistradas ANA </w:t>
      </w:r>
      <w:r w:rsidRPr="009D48B9">
        <w:rPr>
          <w:rFonts w:cs="Tahoma"/>
          <w:szCs w:val="24"/>
        </w:rPr>
        <w:lastRenderedPageBreak/>
        <w:t>LUCÍA CAICEDO CALDERÓN como Ponente, OLGA LUCÍA HOYOS</w:t>
      </w:r>
      <w:r w:rsidR="002C095D" w:rsidRPr="009D48B9">
        <w:rPr>
          <w:rFonts w:cs="Tahoma"/>
          <w:szCs w:val="24"/>
        </w:rPr>
        <w:t xml:space="preserve"> </w:t>
      </w:r>
      <w:r w:rsidRPr="009D48B9">
        <w:rPr>
          <w:rFonts w:cs="Tahoma"/>
          <w:szCs w:val="24"/>
        </w:rPr>
        <w:t>SEPÚLVEDA y el Magistrado GERMÁN DARIO GOEZ VINASCO, procede a proferir la</w:t>
      </w:r>
      <w:r w:rsidR="002C095D" w:rsidRPr="009D48B9">
        <w:rPr>
          <w:rFonts w:cs="Tahoma"/>
          <w:szCs w:val="24"/>
        </w:rPr>
        <w:t xml:space="preserve"> </w:t>
      </w:r>
      <w:r w:rsidRPr="009D48B9">
        <w:rPr>
          <w:rFonts w:cs="Tahoma"/>
          <w:szCs w:val="24"/>
        </w:rPr>
        <w:t xml:space="preserve">siguiente sentencia escrita dentro del proceso ordinario laboral instaurado por </w:t>
      </w:r>
      <w:r w:rsidR="005A7B94" w:rsidRPr="009D48B9">
        <w:rPr>
          <w:rFonts w:cs="Tahoma"/>
          <w:b/>
          <w:bCs/>
          <w:szCs w:val="24"/>
          <w:lang w:val="es-419"/>
        </w:rPr>
        <w:t xml:space="preserve">José </w:t>
      </w:r>
      <w:proofErr w:type="spellStart"/>
      <w:r w:rsidR="005A7B94" w:rsidRPr="009D48B9">
        <w:rPr>
          <w:rFonts w:cs="Tahoma"/>
          <w:b/>
          <w:bCs/>
          <w:szCs w:val="24"/>
          <w:lang w:val="es-419"/>
        </w:rPr>
        <w:t>Ólmedo</w:t>
      </w:r>
      <w:proofErr w:type="spellEnd"/>
      <w:r w:rsidR="005A7B94" w:rsidRPr="009D48B9">
        <w:rPr>
          <w:rFonts w:cs="Tahoma"/>
          <w:b/>
          <w:bCs/>
          <w:szCs w:val="24"/>
          <w:lang w:val="es-419"/>
        </w:rPr>
        <w:t xml:space="preserve"> </w:t>
      </w:r>
      <w:proofErr w:type="spellStart"/>
      <w:r w:rsidR="005A7B94" w:rsidRPr="009D48B9">
        <w:rPr>
          <w:rFonts w:cs="Tahoma"/>
          <w:b/>
          <w:bCs/>
          <w:szCs w:val="24"/>
          <w:lang w:val="es-419"/>
        </w:rPr>
        <w:t>Sons</w:t>
      </w:r>
      <w:proofErr w:type="spellEnd"/>
      <w:r w:rsidR="005A7B94" w:rsidRPr="009D48B9">
        <w:rPr>
          <w:rFonts w:cs="Tahoma"/>
          <w:b/>
          <w:bCs/>
          <w:szCs w:val="24"/>
          <w:lang w:val="es-419"/>
        </w:rPr>
        <w:t xml:space="preserve"> Pérez </w:t>
      </w:r>
      <w:r w:rsidR="005A7B94" w:rsidRPr="009D48B9">
        <w:rPr>
          <w:rFonts w:cs="Tahoma"/>
          <w:szCs w:val="24"/>
          <w:lang w:val="es-ES_tradnl"/>
        </w:rPr>
        <w:t xml:space="preserve">en contra de la </w:t>
      </w:r>
      <w:r w:rsidR="005A7B94" w:rsidRPr="009D48B9">
        <w:rPr>
          <w:rFonts w:cs="Tahoma"/>
          <w:b/>
          <w:szCs w:val="24"/>
          <w:lang w:val="es-ES_tradnl"/>
        </w:rPr>
        <w:t>Administradora Colombiana de Pensiones – Colpensiones</w:t>
      </w:r>
      <w:r w:rsidR="005A7B94" w:rsidRPr="009D48B9">
        <w:rPr>
          <w:rFonts w:cs="Tahoma"/>
          <w:bCs/>
          <w:szCs w:val="24"/>
          <w:lang w:val="es-ES_tradnl"/>
        </w:rPr>
        <w:t xml:space="preserve"> y</w:t>
      </w:r>
      <w:r w:rsidR="005A7B94" w:rsidRPr="009D48B9">
        <w:rPr>
          <w:rFonts w:cs="Tahoma"/>
          <w:szCs w:val="24"/>
          <w:lang w:val="es-ES_tradnl"/>
        </w:rPr>
        <w:t xml:space="preserve"> la </w:t>
      </w:r>
      <w:r w:rsidR="005A7B94" w:rsidRPr="009D48B9">
        <w:rPr>
          <w:rFonts w:cs="Tahoma"/>
          <w:b/>
          <w:szCs w:val="24"/>
          <w:lang w:val="es-ES_tradnl"/>
        </w:rPr>
        <w:t xml:space="preserve">Administradora de Fondos de Pensiones </w:t>
      </w:r>
      <w:bookmarkStart w:id="2" w:name="_Hlk69822626"/>
      <w:r w:rsidR="005A7B94" w:rsidRPr="009D48B9">
        <w:rPr>
          <w:rFonts w:cs="Tahoma"/>
          <w:b/>
          <w:szCs w:val="24"/>
          <w:lang w:val="es-ES_tradnl"/>
        </w:rPr>
        <w:t>–</w:t>
      </w:r>
      <w:bookmarkEnd w:id="2"/>
      <w:r w:rsidR="005A7B94" w:rsidRPr="009D48B9">
        <w:rPr>
          <w:rFonts w:cs="Tahoma"/>
          <w:szCs w:val="24"/>
          <w:lang w:val="es-ES_tradnl"/>
        </w:rPr>
        <w:t xml:space="preserve"> </w:t>
      </w:r>
      <w:r w:rsidR="005A7B94" w:rsidRPr="009D48B9">
        <w:rPr>
          <w:rFonts w:cs="Tahoma"/>
          <w:b/>
          <w:bCs/>
          <w:szCs w:val="24"/>
          <w:lang w:val="es-ES_tradnl"/>
        </w:rPr>
        <w:t>Porvenir</w:t>
      </w:r>
      <w:r w:rsidR="005A7B94" w:rsidRPr="009D48B9">
        <w:rPr>
          <w:rFonts w:cs="Tahoma"/>
          <w:szCs w:val="24"/>
          <w:lang w:val="es-ES_tradnl"/>
        </w:rPr>
        <w:t xml:space="preserve"> </w:t>
      </w:r>
      <w:r w:rsidR="005A7B94" w:rsidRPr="009D48B9">
        <w:rPr>
          <w:rFonts w:cs="Tahoma"/>
          <w:b/>
          <w:szCs w:val="24"/>
          <w:lang w:val="es-ES_tradnl"/>
        </w:rPr>
        <w:t>S.A.</w:t>
      </w:r>
    </w:p>
    <w:p w14:paraId="1543144E" w14:textId="77777777" w:rsidR="00463CFF" w:rsidRPr="009D48B9" w:rsidRDefault="00463CFF" w:rsidP="009D48B9">
      <w:pPr>
        <w:spacing w:line="276" w:lineRule="auto"/>
        <w:ind w:firstLine="708"/>
        <w:rPr>
          <w:rFonts w:cs="Tahoma"/>
          <w:szCs w:val="24"/>
          <w:lang w:val="es-ES_tradnl"/>
        </w:rPr>
      </w:pPr>
    </w:p>
    <w:p w14:paraId="74E244FD" w14:textId="76777837" w:rsidR="00790DA9" w:rsidRPr="009D48B9" w:rsidRDefault="00790DA9" w:rsidP="009D48B9">
      <w:pPr>
        <w:pStyle w:val="paragraph"/>
        <w:spacing w:before="0" w:beforeAutospacing="0" w:after="0" w:afterAutospacing="0" w:line="276" w:lineRule="auto"/>
        <w:jc w:val="center"/>
        <w:textAlignment w:val="baseline"/>
        <w:rPr>
          <w:rStyle w:val="normaltextrun"/>
          <w:rFonts w:ascii="Tahoma" w:hAnsi="Tahoma" w:cs="Tahoma"/>
          <w:b/>
          <w:bCs/>
        </w:rPr>
      </w:pPr>
      <w:r w:rsidRPr="009D48B9">
        <w:rPr>
          <w:rStyle w:val="normaltextrun"/>
          <w:rFonts w:ascii="Tahoma" w:hAnsi="Tahoma" w:cs="Tahoma"/>
          <w:b/>
          <w:bCs/>
        </w:rPr>
        <w:t>PUNTO A TRATAR</w:t>
      </w:r>
    </w:p>
    <w:p w14:paraId="604BDCDA" w14:textId="77777777" w:rsidR="00EF5C33" w:rsidRPr="009D48B9" w:rsidRDefault="00EF5C33" w:rsidP="009D48B9">
      <w:pPr>
        <w:pStyle w:val="paragraph"/>
        <w:spacing w:before="0" w:beforeAutospacing="0" w:after="0" w:afterAutospacing="0" w:line="276" w:lineRule="auto"/>
        <w:jc w:val="center"/>
        <w:textAlignment w:val="baseline"/>
        <w:rPr>
          <w:rFonts w:ascii="Tahoma" w:hAnsi="Tahoma" w:cs="Tahoma"/>
        </w:rPr>
      </w:pPr>
    </w:p>
    <w:p w14:paraId="277DA54F" w14:textId="7D8DBF56" w:rsidR="00790DA9" w:rsidRPr="009D48B9" w:rsidRDefault="00790DA9" w:rsidP="009D48B9">
      <w:pPr>
        <w:spacing w:line="276" w:lineRule="auto"/>
        <w:ind w:firstLine="708"/>
        <w:rPr>
          <w:rFonts w:cs="Tahoma"/>
          <w:szCs w:val="24"/>
        </w:rPr>
      </w:pPr>
      <w:r w:rsidRPr="009D48B9">
        <w:rPr>
          <w:rStyle w:val="normaltextrun"/>
          <w:rFonts w:cs="Tahoma"/>
          <w:szCs w:val="24"/>
        </w:rPr>
        <w:t>Por medio de esta providencia procede la Sala a</w:t>
      </w:r>
      <w:r w:rsidRPr="009D48B9">
        <w:rPr>
          <w:rFonts w:cs="Tahoma"/>
          <w:szCs w:val="24"/>
        </w:rPr>
        <w:t xml:space="preserve"> resolver</w:t>
      </w:r>
      <w:r w:rsidR="00E376E1" w:rsidRPr="009D48B9">
        <w:rPr>
          <w:rFonts w:cs="Tahoma"/>
          <w:szCs w:val="24"/>
        </w:rPr>
        <w:t xml:space="preserve"> </w:t>
      </w:r>
      <w:r w:rsidRPr="009D48B9">
        <w:rPr>
          <w:rFonts w:cs="Tahoma"/>
          <w:szCs w:val="24"/>
        </w:rPr>
        <w:t>l</w:t>
      </w:r>
      <w:r w:rsidR="00463CFF" w:rsidRPr="009D48B9">
        <w:rPr>
          <w:rFonts w:cs="Tahoma"/>
          <w:szCs w:val="24"/>
        </w:rPr>
        <w:t>os</w:t>
      </w:r>
      <w:r w:rsidR="001F37EE" w:rsidRPr="009D48B9">
        <w:rPr>
          <w:rFonts w:cs="Tahoma"/>
          <w:szCs w:val="24"/>
        </w:rPr>
        <w:t xml:space="preserve"> </w:t>
      </w:r>
      <w:r w:rsidRPr="009D48B9">
        <w:rPr>
          <w:rFonts w:cs="Tahoma"/>
          <w:szCs w:val="24"/>
        </w:rPr>
        <w:t>recurso</w:t>
      </w:r>
      <w:r w:rsidR="00463CFF" w:rsidRPr="009D48B9">
        <w:rPr>
          <w:rFonts w:cs="Tahoma"/>
          <w:szCs w:val="24"/>
        </w:rPr>
        <w:t>s</w:t>
      </w:r>
      <w:r w:rsidRPr="009D48B9">
        <w:rPr>
          <w:rFonts w:cs="Tahoma"/>
          <w:szCs w:val="24"/>
        </w:rPr>
        <w:t xml:space="preserve"> de apelación interpuesto</w:t>
      </w:r>
      <w:r w:rsidR="00463CFF" w:rsidRPr="009D48B9">
        <w:rPr>
          <w:rFonts w:cs="Tahoma"/>
          <w:szCs w:val="24"/>
        </w:rPr>
        <w:t>s</w:t>
      </w:r>
      <w:r w:rsidRPr="009D48B9">
        <w:rPr>
          <w:rFonts w:cs="Tahoma"/>
          <w:szCs w:val="24"/>
        </w:rPr>
        <w:t xml:space="preserve"> por </w:t>
      </w:r>
      <w:r w:rsidR="00E376E1" w:rsidRPr="009D48B9">
        <w:rPr>
          <w:rFonts w:cs="Tahoma"/>
          <w:szCs w:val="24"/>
        </w:rPr>
        <w:t>Col</w:t>
      </w:r>
      <w:r w:rsidR="00D805CC" w:rsidRPr="009D48B9">
        <w:rPr>
          <w:rFonts w:cs="Tahoma"/>
          <w:szCs w:val="24"/>
        </w:rPr>
        <w:t xml:space="preserve">pensiones </w:t>
      </w:r>
      <w:r w:rsidR="00E376E1" w:rsidRPr="009D48B9">
        <w:rPr>
          <w:rFonts w:cs="Tahoma"/>
          <w:szCs w:val="24"/>
        </w:rPr>
        <w:t xml:space="preserve">y Porvenir S.A. </w:t>
      </w:r>
      <w:r w:rsidRPr="009D48B9">
        <w:rPr>
          <w:rFonts w:cs="Tahoma"/>
          <w:szCs w:val="24"/>
        </w:rPr>
        <w:t xml:space="preserve">en contra de la sentencia proferida el </w:t>
      </w:r>
      <w:r w:rsidR="00D805CC" w:rsidRPr="009D48B9">
        <w:rPr>
          <w:rFonts w:cs="Tahoma"/>
          <w:b/>
          <w:bCs/>
          <w:szCs w:val="24"/>
        </w:rPr>
        <w:t>5</w:t>
      </w:r>
      <w:r w:rsidRPr="009D48B9">
        <w:rPr>
          <w:rFonts w:cs="Tahoma"/>
          <w:b/>
          <w:bCs/>
          <w:szCs w:val="24"/>
        </w:rPr>
        <w:t xml:space="preserve"> de </w:t>
      </w:r>
      <w:r w:rsidR="00D805CC" w:rsidRPr="009D48B9">
        <w:rPr>
          <w:rFonts w:cs="Tahoma"/>
          <w:b/>
          <w:bCs/>
          <w:szCs w:val="24"/>
        </w:rPr>
        <w:t xml:space="preserve">abril </w:t>
      </w:r>
      <w:r w:rsidRPr="009D48B9">
        <w:rPr>
          <w:rFonts w:cs="Tahoma"/>
          <w:b/>
          <w:bCs/>
          <w:szCs w:val="24"/>
        </w:rPr>
        <w:t>de 202</w:t>
      </w:r>
      <w:r w:rsidR="00463B87" w:rsidRPr="009D48B9">
        <w:rPr>
          <w:rFonts w:cs="Tahoma"/>
          <w:b/>
          <w:bCs/>
          <w:szCs w:val="24"/>
        </w:rPr>
        <w:t>1</w:t>
      </w:r>
      <w:r w:rsidRPr="009D48B9">
        <w:rPr>
          <w:rFonts w:cs="Tahoma"/>
          <w:szCs w:val="24"/>
        </w:rPr>
        <w:t xml:space="preserve"> por el </w:t>
      </w:r>
      <w:r w:rsidRPr="009D48B9">
        <w:rPr>
          <w:rFonts w:cs="Tahoma"/>
          <w:szCs w:val="24"/>
          <w:lang w:val="es-ES_tradnl"/>
        </w:rPr>
        <w:t>Juzgado</w:t>
      </w:r>
      <w:r w:rsidRPr="009D48B9">
        <w:rPr>
          <w:rFonts w:cs="Tahoma"/>
          <w:szCs w:val="24"/>
        </w:rPr>
        <w:t xml:space="preserve"> </w:t>
      </w:r>
      <w:r w:rsidR="00E376E1" w:rsidRPr="009D48B9">
        <w:rPr>
          <w:rFonts w:cs="Tahoma"/>
          <w:szCs w:val="24"/>
        </w:rPr>
        <w:t xml:space="preserve">Cuarto </w:t>
      </w:r>
      <w:r w:rsidRPr="009D48B9">
        <w:rPr>
          <w:rFonts w:cs="Tahoma"/>
          <w:szCs w:val="24"/>
        </w:rPr>
        <w:t>Laboral del Circuito de Pereira</w:t>
      </w:r>
      <w:r w:rsidR="00A47546" w:rsidRPr="009D48B9">
        <w:rPr>
          <w:rStyle w:val="normaltextrun"/>
          <w:rFonts w:cs="Tahoma"/>
          <w:szCs w:val="24"/>
        </w:rPr>
        <w:t>; asimismo, se revisará la decisión de instancia en virtud del</w:t>
      </w:r>
      <w:r w:rsidR="00A47546" w:rsidRPr="009D48B9">
        <w:rPr>
          <w:rFonts w:cs="Tahoma"/>
          <w:szCs w:val="24"/>
        </w:rPr>
        <w:t xml:space="preserve"> grado jurisdiccional de consulta </w:t>
      </w:r>
      <w:r w:rsidR="00463CFF" w:rsidRPr="009D48B9">
        <w:rPr>
          <w:rFonts w:cs="Tahoma"/>
          <w:szCs w:val="24"/>
        </w:rPr>
        <w:t xml:space="preserve">a favor </w:t>
      </w:r>
      <w:r w:rsidR="00A47546" w:rsidRPr="009D48B9">
        <w:rPr>
          <w:rFonts w:cs="Tahoma"/>
          <w:szCs w:val="24"/>
        </w:rPr>
        <w:t xml:space="preserve">de Colpensiones. </w:t>
      </w:r>
      <w:r w:rsidRPr="009D48B9">
        <w:rPr>
          <w:rStyle w:val="normaltextrun"/>
          <w:rFonts w:cs="Tahoma"/>
          <w:szCs w:val="24"/>
        </w:rPr>
        <w:t>Para ello se tiene en cuenta lo siguiente: </w:t>
      </w:r>
    </w:p>
    <w:p w14:paraId="1A3B83DF" w14:textId="77777777" w:rsidR="00790DA9" w:rsidRPr="009D48B9" w:rsidRDefault="00790DA9" w:rsidP="009D48B9">
      <w:pPr>
        <w:spacing w:line="276" w:lineRule="auto"/>
        <w:ind w:firstLine="708"/>
        <w:rPr>
          <w:rFonts w:cs="Tahoma"/>
          <w:b/>
          <w:szCs w:val="24"/>
        </w:rPr>
      </w:pPr>
    </w:p>
    <w:p w14:paraId="783EB004" w14:textId="77777777" w:rsidR="00790DA9" w:rsidRPr="009D48B9" w:rsidRDefault="00790DA9" w:rsidP="009D48B9">
      <w:pPr>
        <w:pStyle w:val="Prrafodelista"/>
        <w:numPr>
          <w:ilvl w:val="0"/>
          <w:numId w:val="1"/>
        </w:numPr>
        <w:spacing w:line="276" w:lineRule="auto"/>
        <w:ind w:left="426" w:hanging="426"/>
        <w:jc w:val="center"/>
        <w:rPr>
          <w:rFonts w:cs="Tahoma"/>
          <w:b/>
          <w:bCs/>
          <w:szCs w:val="24"/>
        </w:rPr>
      </w:pPr>
      <w:r w:rsidRPr="009D48B9">
        <w:rPr>
          <w:rFonts w:cs="Tahoma"/>
          <w:b/>
          <w:bCs/>
          <w:szCs w:val="24"/>
        </w:rPr>
        <w:t>Demanda y su contestación</w:t>
      </w:r>
    </w:p>
    <w:p w14:paraId="17F37787" w14:textId="77777777" w:rsidR="00790DA9" w:rsidRPr="009D48B9" w:rsidRDefault="00790DA9" w:rsidP="009D48B9">
      <w:pPr>
        <w:spacing w:line="276" w:lineRule="auto"/>
        <w:ind w:firstLine="708"/>
        <w:rPr>
          <w:rStyle w:val="normaltextrun"/>
          <w:rFonts w:cs="Tahoma"/>
          <w:szCs w:val="24"/>
        </w:rPr>
      </w:pPr>
    </w:p>
    <w:p w14:paraId="2D98BE7A" w14:textId="517A1A24" w:rsidR="00D805CC" w:rsidRPr="009D48B9" w:rsidRDefault="00D805CC" w:rsidP="009D48B9">
      <w:pPr>
        <w:spacing w:line="276" w:lineRule="auto"/>
        <w:ind w:firstLine="708"/>
        <w:rPr>
          <w:rFonts w:eastAsia="Calibri" w:cs="Tahoma"/>
          <w:szCs w:val="24"/>
        </w:rPr>
      </w:pPr>
      <w:r w:rsidRPr="009D48B9">
        <w:rPr>
          <w:rFonts w:eastAsia="Calibri" w:cs="Tahoma"/>
          <w:szCs w:val="24"/>
        </w:rPr>
        <w:t xml:space="preserve">Solicita el demandante que se declare la nulidad y/o ineficacia del traslado efectuado el 31 de mayo de 2000, por medio del cual migró del régimen de prima media con prestación definida </w:t>
      </w:r>
      <w:r w:rsidR="009B33B6" w:rsidRPr="009D48B9">
        <w:rPr>
          <w:rFonts w:eastAsia="Calibri" w:cs="Tahoma"/>
          <w:szCs w:val="24"/>
        </w:rPr>
        <w:t xml:space="preserve">(en adelante RPM) </w:t>
      </w:r>
      <w:r w:rsidRPr="009D48B9">
        <w:rPr>
          <w:rFonts w:eastAsia="Calibri" w:cs="Tahoma"/>
          <w:szCs w:val="24"/>
        </w:rPr>
        <w:t>al régimen de ahorro individual con solidaridad</w:t>
      </w:r>
      <w:r w:rsidR="009B33B6" w:rsidRPr="009D48B9">
        <w:rPr>
          <w:rFonts w:eastAsia="Calibri" w:cs="Tahoma"/>
          <w:szCs w:val="24"/>
        </w:rPr>
        <w:t xml:space="preserve"> (en adelante RAIS)</w:t>
      </w:r>
      <w:r w:rsidRPr="009D48B9">
        <w:rPr>
          <w:rFonts w:eastAsia="Calibri" w:cs="Tahoma"/>
          <w:szCs w:val="24"/>
        </w:rPr>
        <w:t>. En consecuencia, procura que se condene a Porvenir S.A. a remitir a Colpensiones la totalidad de los aportes que efectuó en el RAIS.</w:t>
      </w:r>
    </w:p>
    <w:p w14:paraId="57D00E02" w14:textId="77777777" w:rsidR="00D805CC" w:rsidRPr="009D48B9" w:rsidRDefault="00D805CC" w:rsidP="009D48B9">
      <w:pPr>
        <w:spacing w:line="276" w:lineRule="auto"/>
        <w:rPr>
          <w:rFonts w:eastAsia="Calibri" w:cs="Tahoma"/>
          <w:szCs w:val="24"/>
        </w:rPr>
      </w:pPr>
    </w:p>
    <w:p w14:paraId="63B64BB3" w14:textId="69C6090F" w:rsidR="00D805CC" w:rsidRPr="009D48B9" w:rsidRDefault="00D805CC" w:rsidP="009D48B9">
      <w:pPr>
        <w:spacing w:line="276" w:lineRule="auto"/>
        <w:ind w:firstLine="708"/>
        <w:rPr>
          <w:rFonts w:eastAsia="Calibri" w:cs="Tahoma"/>
          <w:szCs w:val="24"/>
          <w:lang w:val="es-ES"/>
        </w:rPr>
      </w:pPr>
      <w:r w:rsidRPr="009D48B9">
        <w:rPr>
          <w:rFonts w:eastAsia="Calibri" w:cs="Tahoma"/>
          <w:szCs w:val="24"/>
          <w:lang w:val="es-ES"/>
        </w:rPr>
        <w:t>Asimismo, pretende que se ordene a Colpensiones que, una vez reciba de Porvenir S.A. lo enunciado en precedencia, acepte su traslado pensional</w:t>
      </w:r>
      <w:r w:rsidR="00463CFF" w:rsidRPr="009D48B9">
        <w:rPr>
          <w:rFonts w:eastAsia="Calibri" w:cs="Tahoma"/>
          <w:szCs w:val="24"/>
          <w:lang w:val="es-ES"/>
        </w:rPr>
        <w:t xml:space="preserve"> y, p</w:t>
      </w:r>
      <w:r w:rsidRPr="009D48B9">
        <w:rPr>
          <w:rFonts w:eastAsia="Calibri" w:cs="Tahoma"/>
          <w:szCs w:val="24"/>
          <w:lang w:val="es-ES"/>
        </w:rPr>
        <w:t>or último, procura que se condene a las costas procesales correspondientes.</w:t>
      </w:r>
    </w:p>
    <w:p w14:paraId="6382FE39" w14:textId="77777777" w:rsidR="00D805CC" w:rsidRPr="009D48B9" w:rsidRDefault="00D805CC" w:rsidP="009D48B9">
      <w:pPr>
        <w:spacing w:line="276" w:lineRule="auto"/>
        <w:rPr>
          <w:rFonts w:eastAsia="Calibri" w:cs="Tahoma"/>
          <w:szCs w:val="24"/>
          <w:lang w:val="es-ES"/>
        </w:rPr>
      </w:pPr>
    </w:p>
    <w:p w14:paraId="0804089E" w14:textId="06955712" w:rsidR="00D805CC" w:rsidRPr="009D48B9" w:rsidRDefault="00D805CC" w:rsidP="009D48B9">
      <w:pPr>
        <w:spacing w:line="276" w:lineRule="auto"/>
        <w:ind w:firstLine="708"/>
        <w:rPr>
          <w:rFonts w:eastAsia="Calibri" w:cs="Tahoma"/>
          <w:szCs w:val="24"/>
          <w:lang w:val="es-ES"/>
        </w:rPr>
      </w:pPr>
      <w:r w:rsidRPr="009D48B9">
        <w:rPr>
          <w:rFonts w:eastAsia="Calibri" w:cs="Tahoma"/>
          <w:szCs w:val="24"/>
          <w:lang w:val="es-ES"/>
        </w:rPr>
        <w:t>Para fundar dichas pretensiones manifiesta que el 3 de diciembre de 1982 se vinculó al régimen de prima media con prestación definida y el 31 de mayo de 2000 suscribió formulario de vinculación pensional con la Porvenir S.A., a través del cual se trasladó al régimen de ahorro individual</w:t>
      </w:r>
      <w:r w:rsidR="00463CFF" w:rsidRPr="009D48B9">
        <w:rPr>
          <w:rFonts w:eastAsia="Calibri" w:cs="Tahoma"/>
          <w:szCs w:val="24"/>
          <w:lang w:val="es-ES"/>
        </w:rPr>
        <w:t xml:space="preserve">, traslado que se dio sin que dicha AFP le hubiera brindado </w:t>
      </w:r>
      <w:r w:rsidRPr="009D48B9">
        <w:rPr>
          <w:rFonts w:eastAsia="Calibri" w:cs="Tahoma"/>
          <w:szCs w:val="24"/>
          <w:lang w:val="es-ES"/>
        </w:rPr>
        <w:t xml:space="preserve">información acerca de las implicaciones que </w:t>
      </w:r>
      <w:r w:rsidR="00463CFF" w:rsidRPr="009D48B9">
        <w:rPr>
          <w:rFonts w:eastAsia="Calibri" w:cs="Tahoma"/>
          <w:szCs w:val="24"/>
          <w:lang w:val="es-ES"/>
        </w:rPr>
        <w:t xml:space="preserve">ello </w:t>
      </w:r>
      <w:r w:rsidRPr="009D48B9">
        <w:rPr>
          <w:rFonts w:eastAsia="Calibri" w:cs="Tahoma"/>
          <w:szCs w:val="24"/>
          <w:lang w:val="es-ES"/>
        </w:rPr>
        <w:t xml:space="preserve">tendría. </w:t>
      </w:r>
    </w:p>
    <w:p w14:paraId="1DCB4E6C" w14:textId="77777777" w:rsidR="00D805CC" w:rsidRPr="009D48B9" w:rsidRDefault="00D805CC" w:rsidP="009D48B9">
      <w:pPr>
        <w:spacing w:line="276" w:lineRule="auto"/>
        <w:rPr>
          <w:rFonts w:eastAsia="Calibri" w:cs="Tahoma"/>
          <w:szCs w:val="24"/>
          <w:lang w:val="es-ES"/>
        </w:rPr>
      </w:pPr>
    </w:p>
    <w:p w14:paraId="1B8C417B" w14:textId="2B8E9FB5" w:rsidR="00D805CC" w:rsidRPr="009D48B9" w:rsidRDefault="00463CFF" w:rsidP="009D48B9">
      <w:pPr>
        <w:spacing w:line="276" w:lineRule="auto"/>
        <w:ind w:firstLine="708"/>
        <w:rPr>
          <w:rFonts w:eastAsia="Calibri" w:cs="Tahoma"/>
          <w:szCs w:val="24"/>
          <w:lang w:val="es-ES"/>
        </w:rPr>
      </w:pPr>
      <w:r w:rsidRPr="009D48B9">
        <w:rPr>
          <w:rFonts w:eastAsia="Calibri" w:cs="Tahoma"/>
          <w:szCs w:val="24"/>
          <w:lang w:val="es-ES"/>
        </w:rPr>
        <w:t>Por último, s</w:t>
      </w:r>
      <w:r w:rsidR="00D805CC" w:rsidRPr="009D48B9">
        <w:rPr>
          <w:rFonts w:eastAsia="Calibri" w:cs="Tahoma"/>
          <w:szCs w:val="24"/>
          <w:lang w:val="es-ES"/>
        </w:rPr>
        <w:t>ostiene que el 23 de noviembre de 2018 Colpensiones le negó la solicitud de traslado de régimen en razón a que le faltaban menos de 10 años para pensionarse.</w:t>
      </w:r>
    </w:p>
    <w:p w14:paraId="6EB8C0A8" w14:textId="77777777" w:rsidR="00D805CC" w:rsidRPr="009D48B9" w:rsidRDefault="00D805CC" w:rsidP="009D48B9">
      <w:pPr>
        <w:spacing w:line="276" w:lineRule="auto"/>
        <w:rPr>
          <w:rFonts w:eastAsia="Calibri" w:cs="Tahoma"/>
          <w:szCs w:val="24"/>
          <w:lang w:val="es-ES"/>
        </w:rPr>
      </w:pPr>
    </w:p>
    <w:p w14:paraId="40C3D6FB" w14:textId="0CC50C97" w:rsidR="00D805CC" w:rsidRPr="009D48B9" w:rsidRDefault="00D805CC" w:rsidP="009D48B9">
      <w:pPr>
        <w:spacing w:line="276" w:lineRule="auto"/>
        <w:rPr>
          <w:rFonts w:eastAsia="Calibri" w:cs="Tahoma"/>
          <w:i/>
          <w:szCs w:val="24"/>
        </w:rPr>
      </w:pPr>
      <w:r w:rsidRPr="009D48B9">
        <w:rPr>
          <w:rFonts w:eastAsia="Calibri" w:cs="Tahoma"/>
          <w:szCs w:val="24"/>
        </w:rPr>
        <w:tab/>
      </w:r>
      <w:r w:rsidRPr="009D48B9">
        <w:rPr>
          <w:rFonts w:eastAsia="Calibri" w:cs="Tahoma"/>
          <w:b/>
          <w:szCs w:val="24"/>
        </w:rPr>
        <w:t>Colpensiones</w:t>
      </w:r>
      <w:r w:rsidRPr="009D48B9">
        <w:rPr>
          <w:rFonts w:eastAsia="Calibri" w:cs="Tahoma"/>
          <w:szCs w:val="24"/>
        </w:rPr>
        <w:t xml:space="preserve"> solicitó que </w:t>
      </w:r>
      <w:r w:rsidR="001F38B6" w:rsidRPr="009D48B9">
        <w:rPr>
          <w:rFonts w:eastAsia="Calibri" w:cs="Tahoma"/>
          <w:szCs w:val="24"/>
        </w:rPr>
        <w:t xml:space="preserve">se </w:t>
      </w:r>
      <w:r w:rsidRPr="009D48B9">
        <w:rPr>
          <w:rFonts w:eastAsia="Calibri" w:cs="Tahoma"/>
          <w:szCs w:val="24"/>
        </w:rPr>
        <w:t xml:space="preserve">negaran los pedidos del actor aduciendo que </w:t>
      </w:r>
      <w:r w:rsidR="001F38B6" w:rsidRPr="009D48B9">
        <w:rPr>
          <w:rFonts w:eastAsia="Calibri" w:cs="Tahoma"/>
          <w:szCs w:val="24"/>
        </w:rPr>
        <w:t xml:space="preserve">él </w:t>
      </w:r>
      <w:r w:rsidRPr="009D48B9">
        <w:rPr>
          <w:rFonts w:eastAsia="Calibri" w:cs="Tahoma"/>
          <w:szCs w:val="24"/>
        </w:rPr>
        <w:t>tom</w:t>
      </w:r>
      <w:r w:rsidR="001F38B6" w:rsidRPr="009D48B9">
        <w:rPr>
          <w:rFonts w:eastAsia="Calibri" w:cs="Tahoma"/>
          <w:szCs w:val="24"/>
        </w:rPr>
        <w:t xml:space="preserve">ó </w:t>
      </w:r>
      <w:r w:rsidRPr="009D48B9">
        <w:rPr>
          <w:rFonts w:eastAsia="Calibri" w:cs="Tahoma"/>
          <w:szCs w:val="24"/>
        </w:rPr>
        <w:t>la decisión de afiliarse al régimen de ahorro individual con solidaridad de manera libre y espontánea</w:t>
      </w:r>
      <w:r w:rsidR="001F38B6" w:rsidRPr="009D48B9">
        <w:rPr>
          <w:rFonts w:eastAsia="Calibri" w:cs="Tahoma"/>
          <w:szCs w:val="24"/>
        </w:rPr>
        <w:t xml:space="preserve">; aunado a </w:t>
      </w:r>
      <w:r w:rsidR="00463CFF" w:rsidRPr="009D48B9">
        <w:rPr>
          <w:rFonts w:eastAsia="Calibri" w:cs="Tahoma"/>
          <w:szCs w:val="24"/>
        </w:rPr>
        <w:t>ello,</w:t>
      </w:r>
      <w:r w:rsidR="001F38B6" w:rsidRPr="009D48B9">
        <w:rPr>
          <w:rFonts w:eastAsia="Calibri" w:cs="Tahoma"/>
          <w:szCs w:val="24"/>
        </w:rPr>
        <w:t xml:space="preserve"> </w:t>
      </w:r>
      <w:r w:rsidRPr="009D48B9">
        <w:rPr>
          <w:rFonts w:eastAsia="Calibri" w:cs="Tahoma"/>
          <w:szCs w:val="24"/>
        </w:rPr>
        <w:t xml:space="preserve">no hizo uso de la acción de nulidad dentro del término legal. En ese sentido, propuso como excepciones de mérito las que denominó </w:t>
      </w:r>
      <w:r w:rsidRPr="009D48B9">
        <w:rPr>
          <w:rFonts w:eastAsia="Calibri" w:cs="Tahoma"/>
          <w:i/>
          <w:iCs/>
          <w:szCs w:val="24"/>
        </w:rPr>
        <w:t xml:space="preserve">Validez de afiliación al RAIS”; “Saneamiento de una presunta nulidad”; “Prescripción” y “Imposibilidad jurídica para reconocer y pagar derechos por fuera del ordenamiento legal”; “Buena fe”.  </w:t>
      </w:r>
    </w:p>
    <w:p w14:paraId="666D9CEF" w14:textId="77777777" w:rsidR="00F2638B" w:rsidRPr="009D48B9" w:rsidRDefault="00F2638B" w:rsidP="009D48B9">
      <w:pPr>
        <w:spacing w:line="276" w:lineRule="auto"/>
        <w:rPr>
          <w:rFonts w:eastAsia="Calibri" w:cs="Tahoma"/>
          <w:szCs w:val="24"/>
        </w:rPr>
      </w:pPr>
    </w:p>
    <w:p w14:paraId="11E80333" w14:textId="242BA849" w:rsidR="00D805CC" w:rsidRPr="009D48B9" w:rsidRDefault="00D805CC" w:rsidP="009D48B9">
      <w:pPr>
        <w:spacing w:line="276" w:lineRule="auto"/>
        <w:ind w:firstLine="708"/>
        <w:rPr>
          <w:rFonts w:eastAsia="Calibri" w:cs="Tahoma"/>
          <w:szCs w:val="24"/>
          <w:lang w:val="es-ES"/>
        </w:rPr>
      </w:pPr>
      <w:r w:rsidRPr="009D48B9">
        <w:rPr>
          <w:rFonts w:eastAsia="Calibri" w:cs="Tahoma"/>
          <w:szCs w:val="24"/>
          <w:lang w:val="es-ES"/>
        </w:rPr>
        <w:t>Por su parte,</w:t>
      </w:r>
      <w:r w:rsidRPr="009D48B9">
        <w:rPr>
          <w:rFonts w:eastAsia="Calibri" w:cs="Tahoma"/>
          <w:b/>
          <w:bCs/>
          <w:szCs w:val="24"/>
          <w:lang w:val="es-ES"/>
        </w:rPr>
        <w:t xml:space="preserve"> Porvenir S.A.</w:t>
      </w:r>
      <w:r w:rsidRPr="009D48B9">
        <w:rPr>
          <w:rFonts w:eastAsia="Calibri" w:cs="Tahoma"/>
          <w:szCs w:val="24"/>
          <w:lang w:val="es-ES"/>
        </w:rPr>
        <w:t xml:space="preserve"> solicitó que se negaran los pedidos del promotor de la litis, </w:t>
      </w:r>
      <w:r w:rsidR="00463CFF" w:rsidRPr="009D48B9">
        <w:rPr>
          <w:rFonts w:eastAsia="Calibri" w:cs="Tahoma"/>
          <w:szCs w:val="24"/>
          <w:lang w:val="es-ES"/>
        </w:rPr>
        <w:t xml:space="preserve">refiriendo </w:t>
      </w:r>
      <w:r w:rsidRPr="009D48B9">
        <w:rPr>
          <w:rFonts w:eastAsia="Calibri" w:cs="Tahoma"/>
          <w:szCs w:val="24"/>
          <w:lang w:val="es-ES"/>
        </w:rPr>
        <w:t xml:space="preserve">que el acto </w:t>
      </w:r>
      <w:r w:rsidR="001F38B6" w:rsidRPr="009D48B9">
        <w:rPr>
          <w:rFonts w:eastAsia="Calibri" w:cs="Tahoma"/>
          <w:szCs w:val="24"/>
          <w:lang w:val="es-ES"/>
        </w:rPr>
        <w:t xml:space="preserve">jurídico </w:t>
      </w:r>
      <w:r w:rsidRPr="009D48B9">
        <w:rPr>
          <w:rFonts w:eastAsia="Calibri" w:cs="Tahoma"/>
          <w:szCs w:val="24"/>
          <w:lang w:val="es-ES"/>
        </w:rPr>
        <w:t>que dio lugar a su traslad</w:t>
      </w:r>
      <w:r w:rsidR="009B33B6" w:rsidRPr="009D48B9">
        <w:rPr>
          <w:rFonts w:eastAsia="Calibri" w:cs="Tahoma"/>
          <w:szCs w:val="24"/>
          <w:lang w:val="es-ES"/>
        </w:rPr>
        <w:t>o</w:t>
      </w:r>
      <w:r w:rsidRPr="009D48B9">
        <w:rPr>
          <w:rFonts w:eastAsia="Calibri" w:cs="Tahoma"/>
          <w:szCs w:val="24"/>
          <w:lang w:val="es-ES"/>
        </w:rPr>
        <w:t xml:space="preserve"> de régimen se realizó conforme lo establece la ley,</w:t>
      </w:r>
      <w:r w:rsidR="001F38B6" w:rsidRPr="009D48B9">
        <w:rPr>
          <w:rFonts w:eastAsia="Calibri" w:cs="Tahoma"/>
          <w:szCs w:val="24"/>
          <w:lang w:val="es-ES"/>
        </w:rPr>
        <w:t xml:space="preserve"> </w:t>
      </w:r>
      <w:r w:rsidR="00463CFF" w:rsidRPr="009D48B9">
        <w:rPr>
          <w:rFonts w:eastAsia="Calibri" w:cs="Tahoma"/>
          <w:szCs w:val="24"/>
          <w:lang w:val="es-ES"/>
        </w:rPr>
        <w:t xml:space="preserve">habiendo </w:t>
      </w:r>
      <w:r w:rsidR="001F38B6" w:rsidRPr="009D48B9">
        <w:rPr>
          <w:rFonts w:eastAsia="Calibri" w:cs="Tahoma"/>
          <w:szCs w:val="24"/>
          <w:lang w:val="es-ES"/>
        </w:rPr>
        <w:t xml:space="preserve">sido </w:t>
      </w:r>
      <w:r w:rsidRPr="009D48B9">
        <w:rPr>
          <w:rFonts w:eastAsia="Calibri" w:cs="Tahoma"/>
          <w:szCs w:val="24"/>
          <w:lang w:val="es-ES"/>
        </w:rPr>
        <w:t xml:space="preserve">suscrito de manera libre, espontánea y sin </w:t>
      </w:r>
      <w:r w:rsidRPr="009D48B9">
        <w:rPr>
          <w:rFonts w:eastAsia="Calibri" w:cs="Tahoma"/>
          <w:szCs w:val="24"/>
          <w:lang w:val="es-ES"/>
        </w:rPr>
        <w:lastRenderedPageBreak/>
        <w:t xml:space="preserve">presiones, en virtud de la asesoría que recibió respecto a todas las implicaciones de su decisión, tal como lo hizo constar </w:t>
      </w:r>
      <w:r w:rsidR="001F38B6" w:rsidRPr="009D48B9">
        <w:rPr>
          <w:rFonts w:eastAsia="Calibri" w:cs="Tahoma"/>
          <w:szCs w:val="24"/>
          <w:lang w:val="es-ES"/>
        </w:rPr>
        <w:t xml:space="preserve">en el </w:t>
      </w:r>
      <w:r w:rsidRPr="009D48B9">
        <w:rPr>
          <w:rFonts w:eastAsia="Calibri" w:cs="Tahoma"/>
          <w:szCs w:val="24"/>
          <w:lang w:val="es-ES"/>
        </w:rPr>
        <w:t xml:space="preserve">formulario de afiliación. </w:t>
      </w:r>
    </w:p>
    <w:p w14:paraId="0CCF8556" w14:textId="77777777" w:rsidR="00D805CC" w:rsidRPr="009D48B9" w:rsidRDefault="00D805CC" w:rsidP="009D48B9">
      <w:pPr>
        <w:spacing w:line="276" w:lineRule="auto"/>
        <w:ind w:firstLine="426"/>
        <w:rPr>
          <w:rFonts w:eastAsia="Calibri" w:cs="Tahoma"/>
          <w:szCs w:val="24"/>
          <w:lang w:val="es-ES"/>
        </w:rPr>
      </w:pPr>
    </w:p>
    <w:p w14:paraId="103AE480" w14:textId="77777777" w:rsidR="00D805CC" w:rsidRPr="009D48B9" w:rsidRDefault="00D805CC" w:rsidP="009D48B9">
      <w:pPr>
        <w:spacing w:line="276" w:lineRule="auto"/>
        <w:ind w:firstLine="708"/>
        <w:rPr>
          <w:rFonts w:eastAsia="Calibri" w:cs="Tahoma"/>
          <w:szCs w:val="24"/>
          <w:lang w:val="es-ES"/>
        </w:rPr>
      </w:pPr>
      <w:r w:rsidRPr="009D48B9">
        <w:rPr>
          <w:rFonts w:eastAsia="Calibri" w:cs="Tahoma"/>
          <w:szCs w:val="24"/>
          <w:lang w:val="es-ES"/>
        </w:rPr>
        <w:t>Afirmó que los asesores comerciales de Porvenir reciben capacitaciones a fin de brindar una adecuada orientación y que, en el evento en que se llegare a demostrar un vicio en el consentimiento, la eventual nulidad relativa que hubiere podido configurarse se vio subsanada por el paso del tiempo.</w:t>
      </w:r>
    </w:p>
    <w:p w14:paraId="3E5CB514" w14:textId="77777777" w:rsidR="00D805CC" w:rsidRPr="009D48B9" w:rsidRDefault="00D805CC" w:rsidP="009D48B9">
      <w:pPr>
        <w:spacing w:line="276" w:lineRule="auto"/>
        <w:ind w:firstLine="426"/>
        <w:rPr>
          <w:rFonts w:eastAsia="Calibri" w:cs="Tahoma"/>
          <w:szCs w:val="24"/>
          <w:lang w:val="es-ES"/>
        </w:rPr>
      </w:pPr>
    </w:p>
    <w:p w14:paraId="059B8B0C" w14:textId="77777777" w:rsidR="00D805CC" w:rsidRPr="009D48B9" w:rsidRDefault="00D805CC" w:rsidP="009D48B9">
      <w:pPr>
        <w:spacing w:line="276" w:lineRule="auto"/>
        <w:ind w:firstLine="708"/>
        <w:rPr>
          <w:rFonts w:eastAsia="Calibri" w:cs="Tahoma"/>
          <w:szCs w:val="24"/>
          <w:lang w:val="es-ES"/>
        </w:rPr>
      </w:pPr>
      <w:r w:rsidRPr="009D48B9">
        <w:rPr>
          <w:rFonts w:eastAsia="Calibri" w:cs="Tahoma"/>
          <w:szCs w:val="24"/>
          <w:lang w:val="es-ES"/>
        </w:rPr>
        <w:t xml:space="preserve">Alegó que el demandante no puede afiliarse al RPM de conformidad con la prohibición legal del literal e) del artículo 2 de la Ley 797 de 2003, y porque no es beneficiario del régimen de transición. En ese sentido, invocó como excepciones perentorias las de </w:t>
      </w:r>
      <w:r w:rsidRPr="009D48B9">
        <w:rPr>
          <w:rFonts w:eastAsia="Calibri" w:cs="Tahoma"/>
          <w:i/>
          <w:iCs/>
          <w:szCs w:val="24"/>
          <w:lang w:val="es-ES"/>
        </w:rPr>
        <w:t>“Validez de la afiliación al RAIS e inexistencia de vicios en el consentimiento, “Saneamiento de la supuesta nulidad relativa”, “Prescripción” y, “Buena fe”.</w:t>
      </w:r>
    </w:p>
    <w:p w14:paraId="20EF79A3" w14:textId="1E1A3430" w:rsidR="00784D72" w:rsidRPr="009D48B9" w:rsidRDefault="00784D72" w:rsidP="009D48B9">
      <w:pPr>
        <w:spacing w:line="276" w:lineRule="auto"/>
        <w:ind w:firstLine="426"/>
        <w:rPr>
          <w:rFonts w:cs="Tahoma"/>
          <w:szCs w:val="24"/>
        </w:rPr>
      </w:pPr>
    </w:p>
    <w:p w14:paraId="2FF3E5FC" w14:textId="77777777" w:rsidR="00790DA9" w:rsidRPr="009D48B9" w:rsidRDefault="00790DA9" w:rsidP="009D48B9">
      <w:pPr>
        <w:pStyle w:val="Prrafodelista"/>
        <w:numPr>
          <w:ilvl w:val="0"/>
          <w:numId w:val="1"/>
        </w:numPr>
        <w:spacing w:line="276" w:lineRule="auto"/>
        <w:ind w:left="426" w:hanging="426"/>
        <w:jc w:val="center"/>
        <w:rPr>
          <w:rFonts w:cs="Tahoma"/>
          <w:b/>
          <w:bCs/>
          <w:szCs w:val="24"/>
        </w:rPr>
      </w:pPr>
      <w:r w:rsidRPr="009D48B9">
        <w:rPr>
          <w:rFonts w:cs="Tahoma"/>
          <w:b/>
          <w:bCs/>
          <w:szCs w:val="24"/>
        </w:rPr>
        <w:t>Sentencia de primera instancia</w:t>
      </w:r>
    </w:p>
    <w:p w14:paraId="3ACAB8F5" w14:textId="77777777" w:rsidR="00790DA9" w:rsidRPr="009D48B9" w:rsidRDefault="00790DA9" w:rsidP="009D48B9">
      <w:pPr>
        <w:spacing w:line="276" w:lineRule="auto"/>
        <w:ind w:left="360"/>
        <w:rPr>
          <w:rFonts w:cs="Tahoma"/>
          <w:b/>
          <w:bCs/>
          <w:szCs w:val="24"/>
        </w:rPr>
      </w:pPr>
    </w:p>
    <w:p w14:paraId="4F3B96C0" w14:textId="28DC11DA" w:rsidR="00C224D8" w:rsidRPr="009D48B9" w:rsidRDefault="00C224D8" w:rsidP="009D48B9">
      <w:pPr>
        <w:spacing w:line="276" w:lineRule="auto"/>
        <w:ind w:firstLine="708"/>
        <w:rPr>
          <w:rFonts w:eastAsia="Calibri" w:cs="Tahoma"/>
          <w:szCs w:val="24"/>
          <w:lang w:val="es-ES"/>
        </w:rPr>
      </w:pPr>
      <w:r w:rsidRPr="009D48B9">
        <w:rPr>
          <w:rFonts w:eastAsia="Calibri" w:cs="Tahoma"/>
          <w:szCs w:val="24"/>
          <w:lang w:val="es-ES"/>
        </w:rPr>
        <w:t xml:space="preserve">La Jueza de primera instancia decretó no probados los medios exceptivos propuestos por las codemandadas y declaró la ineficacia del traslado de régimen que </w:t>
      </w:r>
      <w:r w:rsidRPr="009D48B9">
        <w:rPr>
          <w:rFonts w:eastAsia="Calibri" w:cs="Tahoma"/>
          <w:szCs w:val="24"/>
          <w:lang w:val="es-419"/>
        </w:rPr>
        <w:t xml:space="preserve">José </w:t>
      </w:r>
      <w:proofErr w:type="spellStart"/>
      <w:r w:rsidRPr="009D48B9">
        <w:rPr>
          <w:rFonts w:eastAsia="Calibri" w:cs="Tahoma"/>
          <w:szCs w:val="24"/>
          <w:lang w:val="es-419"/>
        </w:rPr>
        <w:t>Ólmedo</w:t>
      </w:r>
      <w:proofErr w:type="spellEnd"/>
      <w:r w:rsidRPr="009D48B9">
        <w:rPr>
          <w:rFonts w:eastAsia="Calibri" w:cs="Tahoma"/>
          <w:szCs w:val="24"/>
          <w:lang w:val="es-419"/>
        </w:rPr>
        <w:t xml:space="preserve"> </w:t>
      </w:r>
      <w:proofErr w:type="spellStart"/>
      <w:r w:rsidRPr="009D48B9">
        <w:rPr>
          <w:rFonts w:eastAsia="Calibri" w:cs="Tahoma"/>
          <w:szCs w:val="24"/>
          <w:lang w:val="es-419"/>
        </w:rPr>
        <w:t>Sons</w:t>
      </w:r>
      <w:proofErr w:type="spellEnd"/>
      <w:r w:rsidRPr="009D48B9">
        <w:rPr>
          <w:rFonts w:eastAsia="Calibri" w:cs="Tahoma"/>
          <w:szCs w:val="24"/>
          <w:lang w:val="es-419"/>
        </w:rPr>
        <w:t xml:space="preserve"> Pérez</w:t>
      </w:r>
      <w:r w:rsidRPr="009D48B9">
        <w:rPr>
          <w:rFonts w:eastAsia="Calibri" w:cs="Tahoma"/>
          <w:szCs w:val="24"/>
          <w:lang w:val="es-ES"/>
        </w:rPr>
        <w:t xml:space="preserve"> efectuó al régimen de ahorro individual con solidaridad, el 31 de mayo de 2000, a través de Porvenir S.A. </w:t>
      </w:r>
    </w:p>
    <w:p w14:paraId="3C132635" w14:textId="77777777" w:rsidR="00C224D8" w:rsidRPr="009D48B9" w:rsidRDefault="00C224D8" w:rsidP="009D48B9">
      <w:pPr>
        <w:spacing w:line="276" w:lineRule="auto"/>
        <w:ind w:firstLine="360"/>
        <w:rPr>
          <w:rFonts w:eastAsia="Calibri" w:cs="Tahoma"/>
          <w:szCs w:val="24"/>
          <w:lang w:val="es-ES"/>
        </w:rPr>
      </w:pPr>
    </w:p>
    <w:p w14:paraId="45AD8CA8" w14:textId="04B30DF4" w:rsidR="00C224D8" w:rsidRPr="009D48B9" w:rsidRDefault="00C224D8" w:rsidP="009D48B9">
      <w:pPr>
        <w:spacing w:line="276" w:lineRule="auto"/>
        <w:ind w:firstLine="708"/>
        <w:rPr>
          <w:rFonts w:eastAsia="Calibri" w:cs="Tahoma"/>
          <w:szCs w:val="24"/>
          <w:lang w:val="es-ES"/>
        </w:rPr>
      </w:pPr>
      <w:r w:rsidRPr="009D48B9">
        <w:rPr>
          <w:rFonts w:eastAsia="Calibri" w:cs="Tahoma"/>
          <w:szCs w:val="24"/>
          <w:lang w:val="es-ES"/>
        </w:rPr>
        <w:t xml:space="preserve">En consecuencia, ordenó a Porvenir S.A. que proceda a devolver a Colpensiones la totalidad de las sumas recibidas por concepto de cotizaciones, incluyendo bonos </w:t>
      </w:r>
      <w:r w:rsidR="0009529A" w:rsidRPr="009D48B9">
        <w:rPr>
          <w:rFonts w:eastAsia="Calibri" w:cs="Tahoma"/>
          <w:szCs w:val="24"/>
          <w:lang w:val="es-ES"/>
        </w:rPr>
        <w:t>pensional</w:t>
      </w:r>
      <w:r w:rsidR="00111CC7" w:rsidRPr="009D48B9">
        <w:rPr>
          <w:rFonts w:eastAsia="Calibri" w:cs="Tahoma"/>
          <w:szCs w:val="24"/>
          <w:lang w:val="es-ES"/>
        </w:rPr>
        <w:t>, en caso de que exista,</w:t>
      </w:r>
      <w:r w:rsidR="00111CC7" w:rsidRPr="009D48B9">
        <w:rPr>
          <w:rStyle w:val="Refdecomentario"/>
          <w:rFonts w:cs="Tahoma"/>
          <w:sz w:val="24"/>
          <w:szCs w:val="24"/>
        </w:rPr>
        <w:t xml:space="preserve"> </w:t>
      </w:r>
      <w:r w:rsidRPr="009D48B9">
        <w:rPr>
          <w:rFonts w:eastAsia="Calibri" w:cs="Tahoma"/>
          <w:szCs w:val="24"/>
          <w:lang w:val="es-ES"/>
        </w:rPr>
        <w:t>sumas adicionales junto con sus respectivos rendimientos, frutos e intereses; igualmente, y con cargo a sus propios recursos, el valor de las comisiones y cuotas de administración, así como las cuotas de garantía de pensión mínima y seguros provisionales que cobró durante el periodo en que el actor estuvo afiliado a ese fondo, todos debidamente indexados.</w:t>
      </w:r>
    </w:p>
    <w:p w14:paraId="2DF9D4DC" w14:textId="77777777" w:rsidR="00C224D8" w:rsidRPr="009D48B9" w:rsidRDefault="00C224D8" w:rsidP="009D48B9">
      <w:pPr>
        <w:spacing w:line="276" w:lineRule="auto"/>
        <w:ind w:firstLine="360"/>
        <w:rPr>
          <w:rFonts w:eastAsia="Calibri" w:cs="Tahoma"/>
          <w:szCs w:val="24"/>
          <w:lang w:val="es-ES"/>
        </w:rPr>
      </w:pPr>
    </w:p>
    <w:p w14:paraId="6467CEDE" w14:textId="1DB9AEBA" w:rsidR="00C224D8" w:rsidRPr="009D48B9" w:rsidRDefault="00C224D8" w:rsidP="009D48B9">
      <w:pPr>
        <w:spacing w:line="276" w:lineRule="auto"/>
        <w:ind w:firstLine="708"/>
        <w:rPr>
          <w:rFonts w:eastAsia="Calibri" w:cs="Tahoma"/>
          <w:szCs w:val="24"/>
          <w:lang w:val="es-ES"/>
        </w:rPr>
      </w:pPr>
      <w:r w:rsidRPr="009D48B9">
        <w:rPr>
          <w:rFonts w:eastAsia="Calibri" w:cs="Tahoma"/>
          <w:szCs w:val="24"/>
          <w:lang w:val="es-ES"/>
        </w:rPr>
        <w:t xml:space="preserve">En ese sentido, ordenó a Colpensiones que acepte el retorno de José </w:t>
      </w:r>
      <w:proofErr w:type="spellStart"/>
      <w:r w:rsidRPr="009D48B9">
        <w:rPr>
          <w:rFonts w:eastAsia="Calibri" w:cs="Tahoma"/>
          <w:szCs w:val="24"/>
          <w:lang w:val="es-ES"/>
        </w:rPr>
        <w:t>Ólmedo</w:t>
      </w:r>
      <w:proofErr w:type="spellEnd"/>
      <w:r w:rsidRPr="009D48B9">
        <w:rPr>
          <w:rFonts w:eastAsia="Calibri" w:cs="Tahoma"/>
          <w:szCs w:val="24"/>
          <w:lang w:val="es-ES"/>
        </w:rPr>
        <w:t xml:space="preserve"> </w:t>
      </w:r>
      <w:proofErr w:type="spellStart"/>
      <w:r w:rsidRPr="009D48B9">
        <w:rPr>
          <w:rFonts w:eastAsia="Calibri" w:cs="Tahoma"/>
          <w:szCs w:val="24"/>
          <w:lang w:val="es-ES"/>
        </w:rPr>
        <w:t>Sons</w:t>
      </w:r>
      <w:proofErr w:type="spellEnd"/>
      <w:r w:rsidRPr="009D48B9">
        <w:rPr>
          <w:rFonts w:eastAsia="Calibri" w:cs="Tahoma"/>
          <w:szCs w:val="24"/>
          <w:lang w:val="es-ES"/>
        </w:rPr>
        <w:t xml:space="preserve"> Pérez</w:t>
      </w:r>
      <w:r w:rsidR="00111CC7" w:rsidRPr="009D48B9">
        <w:rPr>
          <w:rFonts w:eastAsia="Calibri" w:cs="Tahoma"/>
          <w:szCs w:val="24"/>
          <w:lang w:val="es-ES"/>
        </w:rPr>
        <w:t>, sin solución de continuidad</w:t>
      </w:r>
      <w:r w:rsidRPr="009D48B9">
        <w:rPr>
          <w:rFonts w:eastAsia="Calibri" w:cs="Tahoma"/>
          <w:szCs w:val="24"/>
          <w:lang w:val="es-ES"/>
        </w:rPr>
        <w:t xml:space="preserve"> y, por último, condenó en costas a Porvenir S.A. a favor del demandante en un 100%.</w:t>
      </w:r>
    </w:p>
    <w:p w14:paraId="7D77F768" w14:textId="77777777" w:rsidR="00C224D8" w:rsidRPr="009D48B9" w:rsidRDefault="00C224D8" w:rsidP="009D48B9">
      <w:pPr>
        <w:spacing w:line="276" w:lineRule="auto"/>
        <w:ind w:left="360"/>
        <w:rPr>
          <w:rFonts w:eastAsia="Calibri" w:cs="Tahoma"/>
          <w:b/>
          <w:bCs/>
          <w:szCs w:val="24"/>
          <w:lang w:val="es-ES"/>
        </w:rPr>
      </w:pPr>
    </w:p>
    <w:p w14:paraId="7E5B4C09" w14:textId="6C3D33E6" w:rsidR="00C224D8" w:rsidRPr="009D48B9" w:rsidRDefault="00C224D8" w:rsidP="009D48B9">
      <w:pPr>
        <w:spacing w:line="276" w:lineRule="auto"/>
        <w:ind w:firstLine="708"/>
        <w:rPr>
          <w:rFonts w:eastAsia="Calibri" w:cs="Tahoma"/>
          <w:szCs w:val="24"/>
          <w:highlight w:val="yellow"/>
          <w:lang w:val="es-ES"/>
        </w:rPr>
      </w:pPr>
      <w:r w:rsidRPr="009D48B9">
        <w:rPr>
          <w:rFonts w:eastAsia="Calibri" w:cs="Tahoma"/>
          <w:szCs w:val="24"/>
          <w:lang w:val="es-ES"/>
        </w:rPr>
        <w:t xml:space="preserve">Para llegar a tal determinación la A-quo hizo un recuento legal y jurisprudencial respecto del deber de información a cargo de </w:t>
      </w:r>
      <w:bookmarkStart w:id="3" w:name="_Hlk75437293"/>
      <w:r w:rsidRPr="009D48B9">
        <w:rPr>
          <w:rFonts w:eastAsia="Calibri" w:cs="Tahoma"/>
          <w:szCs w:val="24"/>
          <w:lang w:val="es-ES"/>
        </w:rPr>
        <w:t xml:space="preserve">las AFP, la cual debía ser clara, cierta, comprensible y oportuna sobre las características, condiciones, beneficios, diferencias, riesgos y consecuencias del cambio de régimen pensional.  </w:t>
      </w:r>
      <w:bookmarkEnd w:id="3"/>
      <w:r w:rsidRPr="009D48B9">
        <w:rPr>
          <w:rFonts w:eastAsia="Calibri" w:cs="Tahoma"/>
          <w:szCs w:val="24"/>
          <w:lang w:val="es-ES"/>
        </w:rPr>
        <w:t xml:space="preserve">Resaltó que, en estos casos opera una inversión de la carga de la prueba a favor del afiliado. De igual forma, resaltó que la expresión libre y voluntaria necesariamente presupone conocimiento, lo cual sólo es posible alcanzar cuando se saben a plenitud las consecuencias de una decisión de esta índole. </w:t>
      </w:r>
    </w:p>
    <w:p w14:paraId="0F80EDD5" w14:textId="77777777" w:rsidR="00C224D8" w:rsidRPr="009D48B9" w:rsidRDefault="00C224D8" w:rsidP="009D48B9">
      <w:pPr>
        <w:spacing w:line="276" w:lineRule="auto"/>
        <w:ind w:firstLine="360"/>
        <w:rPr>
          <w:rFonts w:eastAsia="Calibri" w:cs="Tahoma"/>
          <w:szCs w:val="24"/>
          <w:highlight w:val="yellow"/>
          <w:lang w:val="es-ES"/>
        </w:rPr>
      </w:pPr>
    </w:p>
    <w:p w14:paraId="6030C1E5" w14:textId="1D67B8A0" w:rsidR="00C224D8" w:rsidRPr="009D48B9" w:rsidRDefault="00C224D8" w:rsidP="009D48B9">
      <w:pPr>
        <w:spacing w:line="276" w:lineRule="auto"/>
        <w:ind w:firstLine="708"/>
        <w:rPr>
          <w:rFonts w:eastAsia="Calibri" w:cs="Tahoma"/>
          <w:szCs w:val="24"/>
          <w:lang w:val="es-ES"/>
        </w:rPr>
      </w:pPr>
      <w:r w:rsidRPr="009D48B9">
        <w:rPr>
          <w:rFonts w:eastAsia="Calibri" w:cs="Tahoma"/>
          <w:szCs w:val="24"/>
          <w:lang w:val="es-ES"/>
        </w:rPr>
        <w:t>En cuanto al interrogatorio rendido por el actor, concluyó que de él no se desprende que hubiera recibido</w:t>
      </w:r>
      <w:r w:rsidR="00442AA4" w:rsidRPr="009D48B9">
        <w:rPr>
          <w:rFonts w:eastAsia="Calibri" w:cs="Tahoma"/>
          <w:szCs w:val="24"/>
          <w:lang w:val="es-ES"/>
        </w:rPr>
        <w:t>,</w:t>
      </w:r>
      <w:r w:rsidRPr="009D48B9">
        <w:rPr>
          <w:rFonts w:eastAsia="Calibri" w:cs="Tahoma"/>
          <w:szCs w:val="24"/>
          <w:lang w:val="es-ES"/>
        </w:rPr>
        <w:t xml:space="preserve"> por parte de Porvenir S.A</w:t>
      </w:r>
      <w:r w:rsidR="00442AA4" w:rsidRPr="009D48B9">
        <w:rPr>
          <w:rFonts w:eastAsia="Calibri" w:cs="Tahoma"/>
          <w:szCs w:val="24"/>
          <w:lang w:val="es-ES"/>
        </w:rPr>
        <w:t>.,</w:t>
      </w:r>
      <w:r w:rsidRPr="009D48B9">
        <w:rPr>
          <w:rFonts w:eastAsia="Calibri" w:cs="Tahoma"/>
          <w:szCs w:val="24"/>
          <w:lang w:val="es-ES"/>
        </w:rPr>
        <w:t xml:space="preserve"> la asesoría y el acompañamiento que como administradora pensional debió brindarle.</w:t>
      </w:r>
    </w:p>
    <w:p w14:paraId="498B4CE7" w14:textId="77777777" w:rsidR="00C224D8" w:rsidRPr="009D48B9" w:rsidRDefault="00C224D8" w:rsidP="009D48B9">
      <w:pPr>
        <w:spacing w:line="276" w:lineRule="auto"/>
        <w:rPr>
          <w:rFonts w:eastAsia="Calibri" w:cs="Tahoma"/>
          <w:szCs w:val="24"/>
          <w:lang w:val="es-ES"/>
        </w:rPr>
      </w:pPr>
    </w:p>
    <w:p w14:paraId="5465DDC1" w14:textId="34AF626B" w:rsidR="00790DA9" w:rsidRPr="009D48B9" w:rsidRDefault="00C224D8" w:rsidP="009D48B9">
      <w:pPr>
        <w:spacing w:line="276" w:lineRule="auto"/>
        <w:ind w:firstLine="708"/>
        <w:rPr>
          <w:rFonts w:eastAsia="Calibri" w:cs="Tahoma"/>
          <w:szCs w:val="24"/>
        </w:rPr>
      </w:pPr>
      <w:r w:rsidRPr="009D48B9">
        <w:rPr>
          <w:rFonts w:eastAsia="Calibri" w:cs="Tahoma"/>
          <w:szCs w:val="24"/>
        </w:rPr>
        <w:lastRenderedPageBreak/>
        <w:t>Por lo dicho, concluyó que la decisión de la parte demandante no estuvo precedida de la compresión suficiente ni el real consentimiento para llevarla a cabo, razón por la cual debía declarase la ineficacia del acto de traslado, sin que operara la prescripción debido a que la Corte Suprema de Justicia, en su Sala de Casación Laboral, ha puesto de manifiesto la imprescriptibilidad de esta acción por su estrecha relación con el derecho a la pensión de vejez.</w:t>
      </w:r>
    </w:p>
    <w:p w14:paraId="78315F13" w14:textId="77777777" w:rsidR="00DF139A" w:rsidRPr="009D48B9" w:rsidRDefault="00DF139A" w:rsidP="009D48B9">
      <w:pPr>
        <w:spacing w:line="276" w:lineRule="auto"/>
        <w:rPr>
          <w:rFonts w:cs="Tahoma"/>
          <w:szCs w:val="24"/>
        </w:rPr>
      </w:pPr>
    </w:p>
    <w:p w14:paraId="62F918D7" w14:textId="5631D9F4" w:rsidR="00790DA9" w:rsidRPr="009D48B9" w:rsidRDefault="00790DA9" w:rsidP="009D48B9">
      <w:pPr>
        <w:pStyle w:val="Prrafodelista"/>
        <w:numPr>
          <w:ilvl w:val="0"/>
          <w:numId w:val="1"/>
        </w:numPr>
        <w:spacing w:line="276" w:lineRule="auto"/>
        <w:ind w:left="426" w:hanging="426"/>
        <w:jc w:val="center"/>
        <w:rPr>
          <w:rFonts w:cs="Tahoma"/>
          <w:b/>
          <w:bCs/>
          <w:szCs w:val="24"/>
        </w:rPr>
      </w:pPr>
      <w:r w:rsidRPr="009D48B9">
        <w:rPr>
          <w:rFonts w:cs="Tahoma"/>
          <w:b/>
          <w:bCs/>
          <w:szCs w:val="24"/>
        </w:rPr>
        <w:t>Recursos de apelación</w:t>
      </w:r>
      <w:r w:rsidR="00851B08" w:rsidRPr="009D48B9">
        <w:rPr>
          <w:rFonts w:cs="Tahoma"/>
          <w:b/>
          <w:bCs/>
          <w:szCs w:val="24"/>
        </w:rPr>
        <w:t xml:space="preserve"> y procedencia de la consulta</w:t>
      </w:r>
    </w:p>
    <w:p w14:paraId="093AE73F" w14:textId="679D399E" w:rsidR="00790DA9" w:rsidRPr="009D48B9" w:rsidRDefault="00790DA9" w:rsidP="009D48B9">
      <w:pPr>
        <w:spacing w:line="276" w:lineRule="auto"/>
        <w:ind w:left="360"/>
        <w:rPr>
          <w:rFonts w:cs="Tahoma"/>
          <w:b/>
          <w:bCs/>
          <w:szCs w:val="24"/>
        </w:rPr>
      </w:pPr>
    </w:p>
    <w:p w14:paraId="4EA932FB" w14:textId="6523EC90" w:rsidR="009E43EE" w:rsidRPr="009D48B9" w:rsidRDefault="009E43EE" w:rsidP="009D48B9">
      <w:pPr>
        <w:spacing w:line="276" w:lineRule="auto"/>
        <w:ind w:firstLine="708"/>
        <w:rPr>
          <w:rFonts w:eastAsia="Calibri" w:cs="Tahoma"/>
          <w:szCs w:val="24"/>
          <w:lang w:val="es-ES"/>
        </w:rPr>
      </w:pPr>
      <w:r w:rsidRPr="009D48B9">
        <w:rPr>
          <w:rFonts w:eastAsia="Calibri" w:cs="Tahoma"/>
          <w:b/>
          <w:bCs/>
          <w:szCs w:val="24"/>
          <w:lang w:val="es-ES"/>
        </w:rPr>
        <w:t xml:space="preserve">Porvenir S.A. </w:t>
      </w:r>
      <w:r w:rsidRPr="009D48B9">
        <w:rPr>
          <w:rFonts w:eastAsia="Calibri" w:cs="Tahoma"/>
          <w:szCs w:val="24"/>
          <w:lang w:val="es-ES"/>
        </w:rPr>
        <w:t xml:space="preserve">atacó el fallo arguyendo que quedó demostrado dentro del plenario que cumplió el deber de asesoría requerido para la época del traslado del señor José </w:t>
      </w:r>
      <w:proofErr w:type="spellStart"/>
      <w:r w:rsidRPr="009D48B9">
        <w:rPr>
          <w:rFonts w:eastAsia="Calibri" w:cs="Tahoma"/>
          <w:szCs w:val="24"/>
          <w:lang w:val="es-ES"/>
        </w:rPr>
        <w:t>Ólmedo</w:t>
      </w:r>
      <w:proofErr w:type="spellEnd"/>
      <w:r w:rsidRPr="009D48B9">
        <w:rPr>
          <w:rFonts w:eastAsia="Calibri" w:cs="Tahoma"/>
          <w:szCs w:val="24"/>
          <w:lang w:val="es-ES"/>
        </w:rPr>
        <w:t xml:space="preserve"> </w:t>
      </w:r>
      <w:proofErr w:type="spellStart"/>
      <w:r w:rsidRPr="009D48B9">
        <w:rPr>
          <w:rFonts w:eastAsia="Calibri" w:cs="Tahoma"/>
          <w:szCs w:val="24"/>
          <w:lang w:val="es-ES"/>
        </w:rPr>
        <w:t>Sons</w:t>
      </w:r>
      <w:proofErr w:type="spellEnd"/>
      <w:r w:rsidRPr="009D48B9">
        <w:rPr>
          <w:rFonts w:eastAsia="Calibri" w:cs="Tahoma"/>
          <w:szCs w:val="24"/>
          <w:lang w:val="es-ES"/>
        </w:rPr>
        <w:t xml:space="preserve"> Pérez, lo que se vio reflejado en la firma libre y voluntaria del formulario de afiliación.</w:t>
      </w:r>
      <w:r w:rsidR="00442AA4" w:rsidRPr="009D48B9">
        <w:rPr>
          <w:rFonts w:eastAsia="Calibri" w:cs="Tahoma"/>
          <w:szCs w:val="24"/>
          <w:lang w:val="es-ES"/>
        </w:rPr>
        <w:t xml:space="preserve"> </w:t>
      </w:r>
      <w:r w:rsidRPr="009D48B9">
        <w:rPr>
          <w:rFonts w:eastAsia="Calibri" w:cs="Tahoma"/>
          <w:szCs w:val="24"/>
          <w:lang w:val="es-ES"/>
        </w:rPr>
        <w:t>Agrega que el demandante se benefició de los rendimientos, garantías y prerrogativas del RAIS, permaneciendo dentro del mismo durante casi 21 años, en los que desplegó diversos actos de relacionamiento.</w:t>
      </w:r>
    </w:p>
    <w:p w14:paraId="4C15963C" w14:textId="77777777" w:rsidR="009E43EE" w:rsidRPr="009D48B9" w:rsidRDefault="009E43EE" w:rsidP="009D48B9">
      <w:pPr>
        <w:spacing w:line="276" w:lineRule="auto"/>
        <w:ind w:firstLine="357"/>
        <w:rPr>
          <w:rFonts w:eastAsia="Calibri" w:cs="Tahoma"/>
          <w:szCs w:val="24"/>
          <w:lang w:val="es-ES"/>
        </w:rPr>
      </w:pPr>
    </w:p>
    <w:p w14:paraId="73314779" w14:textId="225CBC88" w:rsidR="009E43EE" w:rsidRPr="009D48B9" w:rsidRDefault="009E43EE" w:rsidP="009D48B9">
      <w:pPr>
        <w:spacing w:line="276" w:lineRule="auto"/>
        <w:ind w:firstLine="708"/>
        <w:rPr>
          <w:rFonts w:eastAsia="Calibri" w:cs="Tahoma"/>
          <w:szCs w:val="24"/>
          <w:lang w:val="es-ES"/>
        </w:rPr>
      </w:pPr>
      <w:r w:rsidRPr="009D48B9">
        <w:rPr>
          <w:rFonts w:eastAsia="Calibri" w:cs="Tahoma"/>
          <w:szCs w:val="24"/>
          <w:lang w:val="es-ES"/>
        </w:rPr>
        <w:t>Asimismo, resalta que el señor</w:t>
      </w:r>
      <w:r w:rsidR="00442AA4" w:rsidRPr="009D48B9">
        <w:rPr>
          <w:rFonts w:eastAsia="Calibri" w:cs="Tahoma"/>
          <w:szCs w:val="24"/>
          <w:lang w:val="es-ES"/>
        </w:rPr>
        <w:t xml:space="preserve"> </w:t>
      </w:r>
      <w:proofErr w:type="spellStart"/>
      <w:r w:rsidR="00442AA4" w:rsidRPr="009D48B9">
        <w:rPr>
          <w:rFonts w:eastAsia="Calibri" w:cs="Tahoma"/>
          <w:szCs w:val="24"/>
          <w:lang w:val="es-ES"/>
        </w:rPr>
        <w:t>Sons</w:t>
      </w:r>
      <w:proofErr w:type="spellEnd"/>
      <w:r w:rsidR="00442AA4" w:rsidRPr="009D48B9">
        <w:rPr>
          <w:rFonts w:eastAsia="Calibri" w:cs="Tahoma"/>
          <w:szCs w:val="24"/>
          <w:lang w:val="es-ES"/>
        </w:rPr>
        <w:t xml:space="preserve"> Pérez </w:t>
      </w:r>
      <w:r w:rsidRPr="009D48B9">
        <w:rPr>
          <w:rFonts w:eastAsia="Calibri" w:cs="Tahoma"/>
          <w:szCs w:val="24"/>
          <w:lang w:val="es-ES"/>
        </w:rPr>
        <w:t xml:space="preserve">no hizo uso del retracto a pesar de contemplarse dicha posibilidad en el formulario de afiliación, ni </w:t>
      </w:r>
      <w:r w:rsidR="008B63E1" w:rsidRPr="009D48B9">
        <w:rPr>
          <w:rFonts w:eastAsia="Calibri" w:cs="Tahoma"/>
          <w:szCs w:val="24"/>
          <w:lang w:val="es-ES"/>
        </w:rPr>
        <w:t>tampoco</w:t>
      </w:r>
      <w:r w:rsidRPr="009D48B9">
        <w:rPr>
          <w:rFonts w:eastAsia="Calibri" w:cs="Tahoma"/>
          <w:szCs w:val="24"/>
          <w:lang w:val="es-ES"/>
        </w:rPr>
        <w:t xml:space="preserve"> del periodo de gracia, que fue un hecho notorio en los años 2003-2004, al haber sido ampliamente difundido en diversos medios de comunicación.</w:t>
      </w:r>
    </w:p>
    <w:p w14:paraId="448FD854" w14:textId="77777777" w:rsidR="009E43EE" w:rsidRPr="009D48B9" w:rsidRDefault="009E43EE" w:rsidP="009D48B9">
      <w:pPr>
        <w:spacing w:line="276" w:lineRule="auto"/>
        <w:ind w:firstLine="357"/>
        <w:rPr>
          <w:rFonts w:eastAsia="Calibri" w:cs="Tahoma"/>
          <w:szCs w:val="24"/>
          <w:lang w:val="es-ES"/>
        </w:rPr>
      </w:pPr>
    </w:p>
    <w:p w14:paraId="756B9131" w14:textId="25EA9B94" w:rsidR="00DF139A" w:rsidRPr="009D48B9" w:rsidRDefault="009E43EE" w:rsidP="009D48B9">
      <w:pPr>
        <w:spacing w:line="276" w:lineRule="auto"/>
        <w:ind w:firstLine="708"/>
        <w:rPr>
          <w:rFonts w:eastAsia="Calibri" w:cs="Tahoma"/>
          <w:szCs w:val="24"/>
          <w:lang w:val="es-ES"/>
        </w:rPr>
      </w:pPr>
      <w:r w:rsidRPr="009D48B9">
        <w:rPr>
          <w:rFonts w:eastAsia="Calibri" w:cs="Tahoma"/>
          <w:szCs w:val="24"/>
          <w:lang w:val="es-ES"/>
        </w:rPr>
        <w:t xml:space="preserve">Por otra </w:t>
      </w:r>
      <w:r w:rsidR="00442AA4" w:rsidRPr="009D48B9">
        <w:rPr>
          <w:rFonts w:eastAsia="Calibri" w:cs="Tahoma"/>
          <w:szCs w:val="24"/>
          <w:lang w:val="es-ES"/>
        </w:rPr>
        <w:t>parte,</w:t>
      </w:r>
      <w:r w:rsidRPr="009D48B9">
        <w:rPr>
          <w:rFonts w:eastAsia="Calibri" w:cs="Tahoma"/>
          <w:szCs w:val="24"/>
          <w:lang w:val="es-ES"/>
        </w:rPr>
        <w:t xml:space="preserve"> señala </w:t>
      </w:r>
      <w:r w:rsidR="000B398F" w:rsidRPr="009D48B9">
        <w:rPr>
          <w:rFonts w:eastAsia="Calibri" w:cs="Tahoma"/>
          <w:szCs w:val="24"/>
          <w:lang w:val="es-ES"/>
        </w:rPr>
        <w:t>que,</w:t>
      </w:r>
      <w:r w:rsidRPr="009D48B9">
        <w:rPr>
          <w:rFonts w:eastAsia="Calibri" w:cs="Tahoma"/>
          <w:szCs w:val="24"/>
          <w:lang w:val="es-ES"/>
        </w:rPr>
        <w:t xml:space="preserve"> si se llegase a declarar la ineficacia del traslado de régimen, la única obligación que recaería sobre Porvenir S.A sería la de retornar al régimen de prima media los dineros que por concepto de aportes a pensión hubiere realizado el demandante. Lo anterior </w:t>
      </w:r>
      <w:r w:rsidR="000B398F" w:rsidRPr="009D48B9">
        <w:rPr>
          <w:rFonts w:eastAsia="Calibri" w:cs="Tahoma"/>
          <w:szCs w:val="24"/>
          <w:lang w:val="es-ES"/>
        </w:rPr>
        <w:t>puesto que,</w:t>
      </w:r>
      <w:r w:rsidRPr="009D48B9">
        <w:rPr>
          <w:rFonts w:eastAsia="Calibri" w:cs="Tahoma"/>
          <w:szCs w:val="24"/>
          <w:lang w:val="es-ES"/>
        </w:rPr>
        <w:t xml:space="preserve"> si se declara que el traslado nunca nació a la vida jurídica</w:t>
      </w:r>
      <w:r w:rsidR="00FD26B3" w:rsidRPr="009D48B9">
        <w:rPr>
          <w:rFonts w:eastAsia="Calibri" w:cs="Tahoma"/>
          <w:szCs w:val="24"/>
          <w:lang w:val="es-ES"/>
        </w:rPr>
        <w:t>,</w:t>
      </w:r>
      <w:r w:rsidRPr="009D48B9">
        <w:rPr>
          <w:rFonts w:eastAsia="Calibri" w:cs="Tahoma"/>
          <w:szCs w:val="24"/>
          <w:lang w:val="es-ES"/>
        </w:rPr>
        <w:t xml:space="preserve"> o fue inexistente, emolumentos como </w:t>
      </w:r>
      <w:r w:rsidR="00FD26B3" w:rsidRPr="009D48B9">
        <w:rPr>
          <w:rFonts w:eastAsia="Calibri" w:cs="Tahoma"/>
          <w:szCs w:val="24"/>
          <w:lang w:val="es-ES"/>
        </w:rPr>
        <w:t>los</w:t>
      </w:r>
      <w:r w:rsidRPr="009D48B9">
        <w:rPr>
          <w:rFonts w:eastAsia="Calibri" w:cs="Tahoma"/>
          <w:szCs w:val="24"/>
          <w:lang w:val="es-ES"/>
        </w:rPr>
        <w:t xml:space="preserve"> gastos de administración, y demás, también deberían ser declarados inexistentes. </w:t>
      </w:r>
    </w:p>
    <w:p w14:paraId="426FD8C3" w14:textId="77777777" w:rsidR="00DF139A" w:rsidRPr="009D48B9" w:rsidRDefault="00DF139A" w:rsidP="009D48B9">
      <w:pPr>
        <w:spacing w:line="276" w:lineRule="auto"/>
        <w:ind w:firstLine="708"/>
        <w:rPr>
          <w:rFonts w:eastAsia="Calibri" w:cs="Tahoma"/>
          <w:szCs w:val="24"/>
          <w:lang w:val="es-ES"/>
        </w:rPr>
      </w:pPr>
    </w:p>
    <w:p w14:paraId="5C7736EC" w14:textId="3AAE0E85" w:rsidR="009E43EE" w:rsidRPr="009D48B9" w:rsidRDefault="009E43EE" w:rsidP="009D48B9">
      <w:pPr>
        <w:spacing w:line="276" w:lineRule="auto"/>
        <w:ind w:firstLine="708"/>
        <w:rPr>
          <w:rFonts w:eastAsia="Calibri" w:cs="Tahoma"/>
          <w:szCs w:val="24"/>
          <w:lang w:val="es-ES"/>
        </w:rPr>
      </w:pPr>
      <w:r w:rsidRPr="009D48B9">
        <w:rPr>
          <w:rFonts w:eastAsia="Calibri" w:cs="Tahoma"/>
          <w:szCs w:val="24"/>
          <w:lang w:val="es-ES"/>
        </w:rPr>
        <w:t xml:space="preserve">Respecto a las cuotas de administración, indicó que estos son autorizados por la ley como una contraprestación de la gestión desplegada por las </w:t>
      </w:r>
      <w:proofErr w:type="spellStart"/>
      <w:r w:rsidRPr="009D48B9">
        <w:rPr>
          <w:rFonts w:eastAsia="Calibri" w:cs="Tahoma"/>
          <w:szCs w:val="24"/>
          <w:lang w:val="es-ES"/>
        </w:rPr>
        <w:t>AFPs</w:t>
      </w:r>
      <w:proofErr w:type="spellEnd"/>
      <w:r w:rsidRPr="009D48B9">
        <w:rPr>
          <w:rFonts w:eastAsia="Calibri" w:cs="Tahoma"/>
          <w:szCs w:val="24"/>
          <w:lang w:val="es-ES"/>
        </w:rPr>
        <w:t xml:space="preserve"> del RAIS, y el hecho de tenerlos que girar con destino a Colpensiones no solo representa un detrimento patrimonial de Porvenir S.A, sino un enriquecimiento sin justa causa en favor del demandante. Así mismo, refiere que los seguros previsionales son sumas que son giradas a las aseguradoras previsionales del RAIS, cuya finalidad radica básicamente en cubrir eventuales contingencias que puedan suscitarse entorno a los siniestros de invalidez y sobrevivencia.</w:t>
      </w:r>
    </w:p>
    <w:p w14:paraId="6482DBDE" w14:textId="77777777" w:rsidR="009E43EE" w:rsidRPr="009D48B9" w:rsidRDefault="009E43EE" w:rsidP="009D48B9">
      <w:pPr>
        <w:spacing w:line="276" w:lineRule="auto"/>
        <w:ind w:firstLine="357"/>
        <w:rPr>
          <w:rFonts w:eastAsia="Calibri" w:cs="Tahoma"/>
          <w:szCs w:val="24"/>
          <w:lang w:val="es-ES"/>
        </w:rPr>
      </w:pPr>
    </w:p>
    <w:p w14:paraId="0B39AF37" w14:textId="77777777" w:rsidR="009E43EE" w:rsidRPr="009D48B9" w:rsidRDefault="009E43EE" w:rsidP="009D48B9">
      <w:pPr>
        <w:spacing w:line="276" w:lineRule="auto"/>
        <w:ind w:firstLine="708"/>
        <w:rPr>
          <w:rFonts w:eastAsia="Calibri" w:cs="Tahoma"/>
          <w:szCs w:val="24"/>
          <w:lang w:val="es-ES"/>
        </w:rPr>
      </w:pPr>
      <w:r w:rsidRPr="009D48B9">
        <w:rPr>
          <w:rFonts w:eastAsia="Calibri" w:cs="Tahoma"/>
          <w:szCs w:val="24"/>
          <w:lang w:val="es-ES"/>
        </w:rPr>
        <w:t>Adicional a lo anterior, señala que el actuar de Porvenir S.A siempre fue en estricto apego a todas las normas que regulan la materia y ceñido a los postulados de la buena fe, por lo que no había lugar a la condena en costas procesales.</w:t>
      </w:r>
    </w:p>
    <w:p w14:paraId="3F03831C" w14:textId="77777777" w:rsidR="009E43EE" w:rsidRPr="009D48B9" w:rsidRDefault="009E43EE" w:rsidP="009D48B9">
      <w:pPr>
        <w:spacing w:line="276" w:lineRule="auto"/>
        <w:ind w:firstLine="357"/>
        <w:rPr>
          <w:rFonts w:eastAsia="Calibri" w:cs="Tahoma"/>
          <w:szCs w:val="24"/>
          <w:lang w:val="es-ES"/>
        </w:rPr>
      </w:pPr>
    </w:p>
    <w:p w14:paraId="04C99082" w14:textId="15DCC91D" w:rsidR="009E43EE" w:rsidRPr="009D48B9" w:rsidRDefault="009E43EE" w:rsidP="009D48B9">
      <w:pPr>
        <w:spacing w:line="276" w:lineRule="auto"/>
        <w:ind w:firstLine="708"/>
        <w:rPr>
          <w:rFonts w:eastAsia="Calibri" w:cs="Tahoma"/>
          <w:szCs w:val="24"/>
        </w:rPr>
      </w:pPr>
      <w:r w:rsidRPr="009D48B9">
        <w:rPr>
          <w:rFonts w:eastAsia="Calibri" w:cs="Tahoma"/>
          <w:szCs w:val="24"/>
          <w:lang w:val="es-ES"/>
        </w:rPr>
        <w:t xml:space="preserve">Por su parte, </w:t>
      </w:r>
      <w:r w:rsidRPr="009D48B9">
        <w:rPr>
          <w:rFonts w:eastAsia="Calibri" w:cs="Tahoma"/>
          <w:b/>
          <w:bCs/>
          <w:szCs w:val="24"/>
          <w:lang w:val="es-ES"/>
        </w:rPr>
        <w:t>Colpensiones</w:t>
      </w:r>
      <w:r w:rsidRPr="009D48B9">
        <w:rPr>
          <w:rFonts w:eastAsia="Calibri" w:cs="Tahoma"/>
          <w:szCs w:val="24"/>
          <w:lang w:val="es-ES"/>
        </w:rPr>
        <w:t xml:space="preserve"> </w:t>
      </w:r>
      <w:r w:rsidRPr="009D48B9">
        <w:rPr>
          <w:rFonts w:eastAsia="Calibri" w:cs="Tahoma"/>
          <w:szCs w:val="24"/>
        </w:rPr>
        <w:t>en su alzada, atacó la decisión cimentando su inconformidad en que se cumplió con la totalidad de los requisitos normativos en el trámite de afiliación ante la AFP Porvenir S.A</w:t>
      </w:r>
      <w:r w:rsidR="00FD26B3" w:rsidRPr="009D48B9">
        <w:rPr>
          <w:rFonts w:eastAsia="Calibri" w:cs="Tahoma"/>
          <w:szCs w:val="24"/>
        </w:rPr>
        <w:t>.,</w:t>
      </w:r>
      <w:r w:rsidRPr="009D48B9">
        <w:rPr>
          <w:rFonts w:eastAsia="Calibri" w:cs="Tahoma"/>
          <w:szCs w:val="24"/>
        </w:rPr>
        <w:t xml:space="preserve"> puesto que el demandante había firmado el formulario de afiliación voluntariamente. Asimismo, señaló que la declaratoria de ineficacia del traslado causaría eventualmente un detrimento patrimonial para </w:t>
      </w:r>
      <w:r w:rsidRPr="009D48B9">
        <w:rPr>
          <w:rFonts w:eastAsia="Calibri" w:cs="Tahoma"/>
          <w:szCs w:val="24"/>
        </w:rPr>
        <w:lastRenderedPageBreak/>
        <w:t xml:space="preserve">Colpensiones en el caso de que el demandante cumpla con los requisitos exigidos por la ley para una pensión vitalicia.  </w:t>
      </w:r>
    </w:p>
    <w:p w14:paraId="464F6093" w14:textId="77777777" w:rsidR="009E43EE" w:rsidRPr="009D48B9" w:rsidRDefault="009E43EE" w:rsidP="009D48B9">
      <w:pPr>
        <w:spacing w:line="276" w:lineRule="auto"/>
        <w:ind w:firstLine="360"/>
        <w:rPr>
          <w:rFonts w:eastAsia="Calibri" w:cs="Tahoma"/>
          <w:szCs w:val="24"/>
        </w:rPr>
      </w:pPr>
    </w:p>
    <w:p w14:paraId="6E38CD01" w14:textId="77777777" w:rsidR="009E43EE" w:rsidRPr="009D48B9" w:rsidRDefault="009E43EE" w:rsidP="009D48B9">
      <w:pPr>
        <w:spacing w:line="276" w:lineRule="auto"/>
        <w:ind w:firstLine="708"/>
        <w:rPr>
          <w:rFonts w:eastAsia="Calibri" w:cs="Tahoma"/>
          <w:szCs w:val="24"/>
          <w:lang w:val="es-ES"/>
        </w:rPr>
      </w:pPr>
      <w:r w:rsidRPr="009D48B9">
        <w:rPr>
          <w:rFonts w:eastAsia="Calibri" w:cs="Tahoma"/>
          <w:szCs w:val="24"/>
          <w:lang w:val="es-ES"/>
        </w:rPr>
        <w:t xml:space="preserve">Finalmente, como quiera que la decisión de primer grado fue desfavorable a los intereses de Colpensiones, en esta instancia se admitió el grado jurisdiccional de consulta a favor de dicha entidad. </w:t>
      </w:r>
    </w:p>
    <w:p w14:paraId="13CAE69F" w14:textId="69FE17A2" w:rsidR="00AE042F" w:rsidRPr="009D48B9" w:rsidRDefault="00AE042F" w:rsidP="009D48B9">
      <w:pPr>
        <w:spacing w:line="276" w:lineRule="auto"/>
        <w:ind w:firstLine="360"/>
        <w:rPr>
          <w:rFonts w:cs="Tahoma"/>
          <w:szCs w:val="24"/>
        </w:rPr>
      </w:pPr>
    </w:p>
    <w:p w14:paraId="20058931" w14:textId="77777777" w:rsidR="00790DA9" w:rsidRPr="009D48B9" w:rsidRDefault="00790DA9" w:rsidP="009D48B9">
      <w:pPr>
        <w:pStyle w:val="Prrafodelista"/>
        <w:numPr>
          <w:ilvl w:val="0"/>
          <w:numId w:val="1"/>
        </w:numPr>
        <w:spacing w:line="276" w:lineRule="auto"/>
        <w:ind w:left="426" w:hanging="426"/>
        <w:jc w:val="center"/>
        <w:rPr>
          <w:rFonts w:cs="Tahoma"/>
          <w:b/>
          <w:caps/>
          <w:szCs w:val="24"/>
        </w:rPr>
      </w:pPr>
      <w:r w:rsidRPr="009D48B9">
        <w:rPr>
          <w:rFonts w:cs="Tahoma"/>
          <w:b/>
          <w:szCs w:val="24"/>
        </w:rPr>
        <w:t xml:space="preserve">Alegatos de </w:t>
      </w:r>
      <w:r w:rsidRPr="009D48B9">
        <w:rPr>
          <w:rFonts w:cs="Tahoma"/>
          <w:b/>
          <w:bCs/>
          <w:szCs w:val="24"/>
        </w:rPr>
        <w:t>conclusión</w:t>
      </w:r>
    </w:p>
    <w:p w14:paraId="0F6CF093" w14:textId="77777777" w:rsidR="00790DA9" w:rsidRPr="009D48B9" w:rsidRDefault="00790DA9" w:rsidP="009D48B9">
      <w:pPr>
        <w:widowControl w:val="0"/>
        <w:autoSpaceDE w:val="0"/>
        <w:autoSpaceDN w:val="0"/>
        <w:adjustRightInd w:val="0"/>
        <w:spacing w:line="276" w:lineRule="auto"/>
        <w:rPr>
          <w:rFonts w:cs="Tahoma"/>
          <w:szCs w:val="24"/>
        </w:rPr>
      </w:pPr>
    </w:p>
    <w:p w14:paraId="5BB6E47A" w14:textId="09716DFE" w:rsidR="00CE0E35" w:rsidRPr="009D48B9" w:rsidRDefault="003C46FA" w:rsidP="009D48B9">
      <w:pPr>
        <w:spacing w:line="276" w:lineRule="auto"/>
        <w:ind w:firstLine="708"/>
        <w:rPr>
          <w:rFonts w:cs="Tahoma"/>
          <w:szCs w:val="24"/>
        </w:rPr>
      </w:pPr>
      <w:r w:rsidRPr="009D48B9">
        <w:rPr>
          <w:rFonts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00CE0E35" w:rsidRPr="009D48B9">
        <w:rPr>
          <w:rFonts w:cs="Tahoma"/>
          <w:szCs w:val="24"/>
        </w:rPr>
        <w:t>que se expresan más adelante.</w:t>
      </w:r>
    </w:p>
    <w:p w14:paraId="3A35CABD" w14:textId="77777777" w:rsidR="00CE0E35" w:rsidRPr="009D48B9" w:rsidRDefault="00CE0E35" w:rsidP="009D48B9">
      <w:pPr>
        <w:spacing w:line="276" w:lineRule="auto"/>
        <w:ind w:firstLine="708"/>
        <w:rPr>
          <w:rFonts w:cs="Tahoma"/>
          <w:szCs w:val="24"/>
        </w:rPr>
      </w:pPr>
    </w:p>
    <w:p w14:paraId="34F7E1D0" w14:textId="054DFA4D" w:rsidR="00CE0E35" w:rsidRPr="009D48B9" w:rsidRDefault="00CE0E35" w:rsidP="009D48B9">
      <w:pPr>
        <w:spacing w:line="276" w:lineRule="auto"/>
        <w:ind w:firstLine="708"/>
        <w:rPr>
          <w:rFonts w:cs="Tahoma"/>
          <w:szCs w:val="24"/>
        </w:rPr>
      </w:pPr>
      <w:r w:rsidRPr="009D48B9">
        <w:rPr>
          <w:rFonts w:cs="Tahoma"/>
          <w:szCs w:val="24"/>
        </w:rPr>
        <w:t>De otra parte, el Ministerio Público rindió concepto en el que solicita que se confirme la decisión de primera instancia en razón a que la AFP Porvenir S.A., no satisfizo el deber de informar al actor sobre las implicaciones del traslado de régimen pensional que realizó el 31 de mayo de 2000, de tal manera que esa decisión no fue consciente y, en consecuencia, el cambio es ineficaz.</w:t>
      </w:r>
    </w:p>
    <w:p w14:paraId="1AB7BA28" w14:textId="77777777" w:rsidR="00DF139A" w:rsidRPr="009D48B9" w:rsidRDefault="00DF139A" w:rsidP="009D48B9">
      <w:pPr>
        <w:spacing w:line="276" w:lineRule="auto"/>
        <w:rPr>
          <w:rFonts w:cs="Tahoma"/>
          <w:b/>
          <w:bCs/>
          <w:szCs w:val="24"/>
        </w:rPr>
      </w:pPr>
    </w:p>
    <w:p w14:paraId="3204CC61" w14:textId="77777777" w:rsidR="00790DA9" w:rsidRPr="009D48B9" w:rsidRDefault="00790DA9" w:rsidP="009D48B9">
      <w:pPr>
        <w:pStyle w:val="Prrafodelista"/>
        <w:numPr>
          <w:ilvl w:val="0"/>
          <w:numId w:val="1"/>
        </w:numPr>
        <w:spacing w:line="276" w:lineRule="auto"/>
        <w:ind w:left="426" w:hanging="426"/>
        <w:jc w:val="center"/>
        <w:rPr>
          <w:rFonts w:cs="Tahoma"/>
          <w:b/>
          <w:szCs w:val="24"/>
        </w:rPr>
      </w:pPr>
      <w:r w:rsidRPr="009D48B9">
        <w:rPr>
          <w:rFonts w:cs="Tahoma"/>
          <w:b/>
          <w:bCs/>
          <w:szCs w:val="24"/>
        </w:rPr>
        <w:t>Problemas</w:t>
      </w:r>
      <w:r w:rsidRPr="009D48B9">
        <w:rPr>
          <w:rStyle w:val="normaltextrun"/>
          <w:rFonts w:cs="Tahoma"/>
          <w:b/>
          <w:bCs/>
          <w:szCs w:val="24"/>
        </w:rPr>
        <w:t xml:space="preserve"> jurídicos por resolver</w:t>
      </w:r>
    </w:p>
    <w:p w14:paraId="2AFEC8AA" w14:textId="3F7E8F3A" w:rsidR="00CE0E35" w:rsidRPr="009D48B9" w:rsidRDefault="00790DA9" w:rsidP="009D48B9">
      <w:pPr>
        <w:pStyle w:val="paragraph"/>
        <w:tabs>
          <w:tab w:val="left" w:pos="700"/>
        </w:tabs>
        <w:spacing w:before="0" w:beforeAutospacing="0" w:after="0" w:afterAutospacing="0" w:line="276" w:lineRule="auto"/>
        <w:textAlignment w:val="baseline"/>
        <w:rPr>
          <w:rFonts w:ascii="Tahoma" w:hAnsi="Tahoma" w:cs="Tahoma"/>
        </w:rPr>
      </w:pPr>
      <w:r w:rsidRPr="009D48B9">
        <w:rPr>
          <w:rStyle w:val="eop"/>
          <w:rFonts w:ascii="Tahoma" w:hAnsi="Tahoma" w:cs="Tahoma"/>
        </w:rPr>
        <w:t> </w:t>
      </w:r>
      <w:r w:rsidR="000337DA" w:rsidRPr="009D48B9">
        <w:rPr>
          <w:rStyle w:val="eop"/>
          <w:rFonts w:ascii="Tahoma" w:hAnsi="Tahoma" w:cs="Tahoma"/>
        </w:rPr>
        <w:tab/>
      </w:r>
    </w:p>
    <w:p w14:paraId="0B64F5AE" w14:textId="77777777" w:rsidR="00CE0E35" w:rsidRPr="009D48B9" w:rsidRDefault="00CE0E35" w:rsidP="009D48B9">
      <w:pPr>
        <w:spacing w:line="276" w:lineRule="auto"/>
        <w:ind w:firstLine="708"/>
        <w:rPr>
          <w:rFonts w:cs="Tahoma"/>
          <w:szCs w:val="24"/>
        </w:rPr>
      </w:pPr>
      <w:r w:rsidRPr="009D48B9">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3B31D879" w14:textId="77777777" w:rsidR="00CE0E35" w:rsidRPr="009D48B9" w:rsidRDefault="00CE0E35" w:rsidP="009D48B9">
      <w:pPr>
        <w:spacing w:line="276" w:lineRule="auto"/>
        <w:rPr>
          <w:rFonts w:cs="Tahoma"/>
          <w:szCs w:val="24"/>
        </w:rPr>
      </w:pPr>
    </w:p>
    <w:p w14:paraId="024A5FA5" w14:textId="77777777" w:rsidR="00CE0E35" w:rsidRPr="009D48B9" w:rsidRDefault="00CE0E35" w:rsidP="009D48B9">
      <w:pPr>
        <w:widowControl w:val="0"/>
        <w:numPr>
          <w:ilvl w:val="0"/>
          <w:numId w:val="10"/>
        </w:numPr>
        <w:tabs>
          <w:tab w:val="left" w:pos="709"/>
        </w:tabs>
        <w:autoSpaceDE w:val="0"/>
        <w:autoSpaceDN w:val="0"/>
        <w:adjustRightInd w:val="0"/>
        <w:spacing w:line="276" w:lineRule="auto"/>
        <w:ind w:left="0" w:firstLine="709"/>
        <w:contextualSpacing/>
        <w:rPr>
          <w:rFonts w:eastAsia="Times New Roman" w:cs="Tahoma"/>
          <w:szCs w:val="24"/>
          <w:lang w:eastAsia="es-ES"/>
        </w:rPr>
      </w:pPr>
      <w:r w:rsidRPr="009D48B9">
        <w:rPr>
          <w:rFonts w:eastAsia="Times New Roman" w:cs="Tahoma"/>
          <w:szCs w:val="24"/>
          <w:lang w:eastAsia="es-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A43ED91" w14:textId="77777777" w:rsidR="00CE0E35" w:rsidRPr="009D48B9" w:rsidRDefault="00CE0E35" w:rsidP="009D48B9">
      <w:pPr>
        <w:widowControl w:val="0"/>
        <w:tabs>
          <w:tab w:val="left" w:pos="709"/>
        </w:tabs>
        <w:autoSpaceDE w:val="0"/>
        <w:autoSpaceDN w:val="0"/>
        <w:adjustRightInd w:val="0"/>
        <w:spacing w:line="276" w:lineRule="auto"/>
        <w:contextualSpacing/>
        <w:rPr>
          <w:rFonts w:eastAsia="Times New Roman" w:cs="Tahoma"/>
          <w:szCs w:val="24"/>
          <w:lang w:eastAsia="es-ES"/>
        </w:rPr>
      </w:pPr>
    </w:p>
    <w:p w14:paraId="1AFDCF76" w14:textId="77777777" w:rsidR="00CE0E35" w:rsidRPr="009D48B9" w:rsidRDefault="00CE0E35" w:rsidP="009D48B9">
      <w:pPr>
        <w:widowControl w:val="0"/>
        <w:numPr>
          <w:ilvl w:val="0"/>
          <w:numId w:val="10"/>
        </w:numPr>
        <w:autoSpaceDE w:val="0"/>
        <w:autoSpaceDN w:val="0"/>
        <w:adjustRightInd w:val="0"/>
        <w:spacing w:line="276" w:lineRule="auto"/>
        <w:ind w:left="0" w:firstLine="709"/>
        <w:contextualSpacing/>
        <w:rPr>
          <w:rFonts w:eastAsia="Times New Roman" w:cs="Tahoma"/>
          <w:szCs w:val="24"/>
          <w:lang w:eastAsia="es-ES"/>
        </w:rPr>
      </w:pPr>
      <w:r w:rsidRPr="009D48B9">
        <w:rPr>
          <w:rFonts w:eastAsia="Times New Roman" w:cs="Tahoma"/>
          <w:szCs w:val="24"/>
          <w:lang w:eastAsia="es-ES"/>
        </w:rPr>
        <w:t xml:space="preserve">Definir si para dar por cumplido el deber de información de las AFP es suficiente el diligenciamiento del formulario de afiliación. </w:t>
      </w:r>
    </w:p>
    <w:p w14:paraId="160CAF1F" w14:textId="77777777" w:rsidR="00CE0E35" w:rsidRPr="009D48B9" w:rsidRDefault="00CE0E35" w:rsidP="009D48B9">
      <w:pPr>
        <w:spacing w:line="276" w:lineRule="auto"/>
        <w:contextualSpacing/>
        <w:jc w:val="left"/>
        <w:rPr>
          <w:rFonts w:eastAsia="Times New Roman" w:cs="Tahoma"/>
          <w:szCs w:val="24"/>
          <w:lang w:eastAsia="es-ES"/>
        </w:rPr>
      </w:pPr>
    </w:p>
    <w:p w14:paraId="7FA6F626" w14:textId="77777777" w:rsidR="00CE0E35" w:rsidRPr="009D48B9" w:rsidRDefault="00CE0E35" w:rsidP="009D48B9">
      <w:pPr>
        <w:widowControl w:val="0"/>
        <w:numPr>
          <w:ilvl w:val="0"/>
          <w:numId w:val="10"/>
        </w:numPr>
        <w:autoSpaceDE w:val="0"/>
        <w:autoSpaceDN w:val="0"/>
        <w:adjustRightInd w:val="0"/>
        <w:spacing w:line="276" w:lineRule="auto"/>
        <w:ind w:left="0" w:firstLine="709"/>
        <w:contextualSpacing/>
        <w:rPr>
          <w:rFonts w:eastAsia="Times New Roman" w:cs="Tahoma"/>
          <w:szCs w:val="24"/>
          <w:lang w:eastAsia="es-ES"/>
        </w:rPr>
      </w:pPr>
      <w:r w:rsidRPr="009D48B9">
        <w:rPr>
          <w:rFonts w:eastAsia="Times New Roman" w:cs="Tahoma"/>
          <w:szCs w:val="24"/>
          <w:lang w:eastAsia="es-ES"/>
        </w:rPr>
        <w:t xml:space="preserve"> Determinar la carga probatoria que les corresponde a cada una de las partes cuando está en discusión la eficacia del traslado entre regímenes pensionales.</w:t>
      </w:r>
    </w:p>
    <w:p w14:paraId="433E115B" w14:textId="77777777" w:rsidR="00CE0E35" w:rsidRPr="009D48B9" w:rsidRDefault="00CE0E35" w:rsidP="009D48B9">
      <w:pPr>
        <w:spacing w:line="276" w:lineRule="auto"/>
        <w:contextualSpacing/>
        <w:jc w:val="left"/>
        <w:rPr>
          <w:rFonts w:eastAsia="Times New Roman" w:cs="Tahoma"/>
          <w:szCs w:val="24"/>
          <w:lang w:eastAsia="es-ES"/>
        </w:rPr>
      </w:pPr>
    </w:p>
    <w:p w14:paraId="3F2CAC25" w14:textId="77777777" w:rsidR="00CE0E35" w:rsidRPr="009D48B9" w:rsidRDefault="00CE0E35" w:rsidP="009D48B9">
      <w:pPr>
        <w:widowControl w:val="0"/>
        <w:numPr>
          <w:ilvl w:val="0"/>
          <w:numId w:val="10"/>
        </w:numPr>
        <w:autoSpaceDE w:val="0"/>
        <w:autoSpaceDN w:val="0"/>
        <w:adjustRightInd w:val="0"/>
        <w:spacing w:line="276" w:lineRule="auto"/>
        <w:ind w:left="0" w:firstLine="709"/>
        <w:contextualSpacing/>
        <w:rPr>
          <w:rFonts w:eastAsia="Times New Roman" w:cs="Tahoma"/>
          <w:szCs w:val="24"/>
          <w:lang w:eastAsia="es-ES"/>
        </w:rPr>
      </w:pPr>
      <w:r w:rsidRPr="009D48B9">
        <w:rPr>
          <w:rFonts w:eastAsia="Times New Roman" w:cs="Tahoma"/>
          <w:szCs w:val="24"/>
          <w:lang w:eastAsia="es-ES"/>
        </w:rPr>
        <w:t>Analizar si quedó probado en el proceso que la parte demandante recibió de parte de la AFP demandada la asesoría e información suficiente y necesaria para hacer el cambio de régimen.</w:t>
      </w:r>
    </w:p>
    <w:p w14:paraId="2A4BA32D" w14:textId="77777777" w:rsidR="00CE0E35" w:rsidRPr="009D48B9" w:rsidRDefault="00CE0E35" w:rsidP="009D48B9">
      <w:pPr>
        <w:spacing w:line="276" w:lineRule="auto"/>
        <w:contextualSpacing/>
        <w:rPr>
          <w:rFonts w:eastAsia="Times New Roman" w:cs="Tahoma"/>
          <w:szCs w:val="24"/>
          <w:lang w:eastAsia="es-ES"/>
        </w:rPr>
      </w:pPr>
    </w:p>
    <w:p w14:paraId="32BFCA8B" w14:textId="77777777" w:rsidR="00CE0E35" w:rsidRPr="009D48B9" w:rsidRDefault="00CE0E35" w:rsidP="009D48B9">
      <w:pPr>
        <w:widowControl w:val="0"/>
        <w:numPr>
          <w:ilvl w:val="0"/>
          <w:numId w:val="10"/>
        </w:numPr>
        <w:autoSpaceDE w:val="0"/>
        <w:autoSpaceDN w:val="0"/>
        <w:adjustRightInd w:val="0"/>
        <w:spacing w:line="276" w:lineRule="auto"/>
        <w:ind w:left="0" w:firstLine="709"/>
        <w:contextualSpacing/>
        <w:rPr>
          <w:rFonts w:eastAsia="Times New Roman" w:cs="Tahoma"/>
          <w:szCs w:val="24"/>
          <w:lang w:eastAsia="es-ES"/>
        </w:rPr>
      </w:pPr>
      <w:r w:rsidRPr="009D48B9">
        <w:rPr>
          <w:rFonts w:eastAsia="Times New Roman" w:cs="Tahoma"/>
          <w:szCs w:val="24"/>
          <w:lang w:eastAsia="es-ES"/>
        </w:rPr>
        <w:t>Establecer si es dable ordenar la devolución de los gastos de</w:t>
      </w:r>
      <w:r w:rsidRPr="009D48B9">
        <w:rPr>
          <w:rFonts w:eastAsia="Times New Roman" w:cs="Tahoma"/>
          <w:szCs w:val="24"/>
          <w:lang w:eastAsia="es-ES"/>
        </w:rPr>
        <w:br/>
        <w:t>administración, rendimientos y seguros previsionales a Colpensiones, con cargo a sus propios recursos y debidamente indexados, durante el periodo en que estuvo afiliada la parte demandante en cada entidad.</w:t>
      </w:r>
    </w:p>
    <w:p w14:paraId="02C9FE22" w14:textId="77777777" w:rsidR="00CE0E35" w:rsidRPr="009D48B9" w:rsidRDefault="00CE0E35" w:rsidP="009D48B9">
      <w:pPr>
        <w:spacing w:line="276" w:lineRule="auto"/>
        <w:contextualSpacing/>
        <w:jc w:val="left"/>
        <w:rPr>
          <w:rFonts w:eastAsia="Times New Roman" w:cs="Tahoma"/>
          <w:szCs w:val="24"/>
          <w:lang w:val="es-ES" w:eastAsia="es-ES"/>
        </w:rPr>
      </w:pPr>
    </w:p>
    <w:p w14:paraId="1A270458" w14:textId="77777777" w:rsidR="00CE0E35" w:rsidRPr="009D48B9" w:rsidRDefault="00CE0E35" w:rsidP="009D48B9">
      <w:pPr>
        <w:widowControl w:val="0"/>
        <w:numPr>
          <w:ilvl w:val="0"/>
          <w:numId w:val="10"/>
        </w:numPr>
        <w:tabs>
          <w:tab w:val="left" w:pos="1134"/>
        </w:tabs>
        <w:autoSpaceDE w:val="0"/>
        <w:autoSpaceDN w:val="0"/>
        <w:adjustRightInd w:val="0"/>
        <w:spacing w:line="276" w:lineRule="auto"/>
        <w:ind w:left="0" w:firstLine="709"/>
        <w:contextualSpacing/>
        <w:rPr>
          <w:rFonts w:eastAsia="Times New Roman" w:cs="Tahoma"/>
          <w:szCs w:val="24"/>
          <w:lang w:eastAsia="es-ES"/>
        </w:rPr>
      </w:pPr>
      <w:r w:rsidRPr="009D48B9">
        <w:rPr>
          <w:rFonts w:eastAsia="Times New Roman" w:cs="Tahoma"/>
          <w:szCs w:val="24"/>
          <w:lang w:eastAsia="es-ES"/>
        </w:rPr>
        <w:lastRenderedPageBreak/>
        <w:t>Establecer si hay lugar a exonerar en costas a la AFP del RAIS Porvenir S.A.</w:t>
      </w:r>
    </w:p>
    <w:p w14:paraId="1BCE32CA" w14:textId="77777777" w:rsidR="00DF139A" w:rsidRPr="009D48B9" w:rsidRDefault="00DF139A" w:rsidP="009D48B9">
      <w:pPr>
        <w:spacing w:line="276" w:lineRule="auto"/>
        <w:ind w:left="709"/>
        <w:contextualSpacing/>
        <w:jc w:val="left"/>
        <w:textAlignment w:val="baseline"/>
        <w:rPr>
          <w:rFonts w:eastAsia="Times New Roman" w:cs="Tahoma"/>
          <w:szCs w:val="24"/>
          <w:lang w:eastAsia="es-CO"/>
        </w:rPr>
      </w:pPr>
    </w:p>
    <w:p w14:paraId="1E54B303" w14:textId="77777777" w:rsidR="00CE0E35" w:rsidRPr="009D48B9" w:rsidRDefault="00CE0E35" w:rsidP="009D48B9">
      <w:pPr>
        <w:numPr>
          <w:ilvl w:val="0"/>
          <w:numId w:val="1"/>
        </w:numPr>
        <w:spacing w:line="276" w:lineRule="auto"/>
        <w:contextualSpacing/>
        <w:jc w:val="center"/>
        <w:rPr>
          <w:rFonts w:eastAsia="Times New Roman" w:cs="Tahoma"/>
          <w:b/>
          <w:bCs/>
          <w:szCs w:val="24"/>
          <w:lang w:eastAsia="es-ES"/>
        </w:rPr>
      </w:pPr>
      <w:r w:rsidRPr="009D48B9">
        <w:rPr>
          <w:rFonts w:eastAsia="Times New Roman" w:cs="Tahoma"/>
          <w:b/>
          <w:bCs/>
          <w:szCs w:val="24"/>
          <w:lang w:eastAsia="es-ES"/>
        </w:rPr>
        <w:t>Consideraciones</w:t>
      </w:r>
    </w:p>
    <w:p w14:paraId="3264488A" w14:textId="77777777" w:rsidR="00CE0E35" w:rsidRPr="009D48B9" w:rsidRDefault="00CE0E35" w:rsidP="009D48B9">
      <w:pPr>
        <w:widowControl w:val="0"/>
        <w:autoSpaceDE w:val="0"/>
        <w:autoSpaceDN w:val="0"/>
        <w:adjustRightInd w:val="0"/>
        <w:spacing w:line="276" w:lineRule="auto"/>
        <w:rPr>
          <w:rFonts w:cs="Tahoma"/>
          <w:b/>
          <w:szCs w:val="24"/>
        </w:rPr>
      </w:pPr>
    </w:p>
    <w:p w14:paraId="4C3FB6CA" w14:textId="77777777" w:rsidR="00CE0E35" w:rsidRPr="009D48B9" w:rsidRDefault="00CE0E35" w:rsidP="009D48B9">
      <w:pPr>
        <w:numPr>
          <w:ilvl w:val="1"/>
          <w:numId w:val="9"/>
        </w:numPr>
        <w:spacing w:line="276" w:lineRule="auto"/>
        <w:ind w:left="0" w:firstLine="709"/>
        <w:contextualSpacing/>
        <w:rPr>
          <w:rFonts w:eastAsia="Times New Roman" w:cs="Tahoma"/>
          <w:b/>
          <w:szCs w:val="24"/>
          <w:lang w:eastAsia="es-ES"/>
        </w:rPr>
      </w:pPr>
      <w:r w:rsidRPr="009D48B9">
        <w:rPr>
          <w:rFonts w:eastAsia="Times New Roman" w:cs="Tahoma"/>
          <w:b/>
          <w:szCs w:val="24"/>
          <w:lang w:eastAsia="es-ES"/>
        </w:rPr>
        <w:t xml:space="preserve">Precedente vertical: la tesis de la Corte Suprema de Justicia respecto al tema de la ineficacia del traslado constituye doctrina probable </w:t>
      </w:r>
    </w:p>
    <w:p w14:paraId="4354495C" w14:textId="77777777" w:rsidR="00CE0E35" w:rsidRPr="009D48B9" w:rsidRDefault="00CE0E35" w:rsidP="009D48B9">
      <w:pPr>
        <w:spacing w:line="276" w:lineRule="auto"/>
        <w:ind w:firstLine="709"/>
        <w:rPr>
          <w:rFonts w:cs="Tahoma"/>
          <w:szCs w:val="24"/>
        </w:rPr>
      </w:pPr>
    </w:p>
    <w:p w14:paraId="138F306E" w14:textId="77777777" w:rsidR="00CE0E35" w:rsidRPr="009D48B9" w:rsidRDefault="00CE0E35" w:rsidP="009D48B9">
      <w:pPr>
        <w:spacing w:line="276" w:lineRule="auto"/>
        <w:ind w:firstLine="709"/>
        <w:rPr>
          <w:rFonts w:cs="Tahoma"/>
          <w:spacing w:val="-4"/>
          <w:szCs w:val="24"/>
        </w:rPr>
      </w:pPr>
      <w:r w:rsidRPr="009D48B9">
        <w:rPr>
          <w:rFonts w:cs="Tahoma"/>
          <w:szCs w:val="24"/>
        </w:rPr>
        <w:t xml:space="preserve">En la actualidad existe </w:t>
      </w:r>
      <w:r w:rsidRPr="009D48B9">
        <w:rPr>
          <w:rFonts w:cs="Tahoma"/>
          <w:b/>
          <w:szCs w:val="24"/>
        </w:rPr>
        <w:t>doctrina probable</w:t>
      </w:r>
      <w:r w:rsidRPr="009D48B9">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7741B5EA" w14:textId="77777777" w:rsidR="00CE0E35" w:rsidRPr="009D48B9" w:rsidRDefault="00CE0E35" w:rsidP="009D48B9">
      <w:pPr>
        <w:spacing w:line="276" w:lineRule="auto"/>
        <w:contextualSpacing/>
        <w:jc w:val="left"/>
        <w:rPr>
          <w:rFonts w:eastAsia="Times New Roman" w:cs="Tahoma"/>
          <w:szCs w:val="24"/>
          <w:lang w:eastAsia="es-ES"/>
        </w:rPr>
      </w:pPr>
    </w:p>
    <w:p w14:paraId="2EECB690" w14:textId="77777777" w:rsidR="00CE0E35" w:rsidRPr="009D48B9" w:rsidRDefault="00CE0E35" w:rsidP="009D48B9">
      <w:pPr>
        <w:spacing w:line="276" w:lineRule="auto"/>
        <w:ind w:firstLine="708"/>
        <w:contextualSpacing/>
        <w:rPr>
          <w:rFonts w:eastAsia="Times New Roman" w:cs="Tahoma"/>
          <w:szCs w:val="24"/>
          <w:lang w:eastAsia="es-ES"/>
        </w:rPr>
      </w:pPr>
      <w:r w:rsidRPr="009D48B9">
        <w:rPr>
          <w:rFonts w:eastAsia="Times New Roman" w:cs="Tahoma"/>
          <w:bCs/>
          <w:szCs w:val="24"/>
          <w:lang w:eastAsia="es-ES"/>
        </w:rPr>
        <w:t xml:space="preserve">SL 31989 del 9 sep. 2008, </w:t>
      </w:r>
      <w:r w:rsidRPr="009D48B9">
        <w:rPr>
          <w:rFonts w:eastAsia="Times New Roman" w:cs="Tahoma"/>
          <w:szCs w:val="24"/>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A248329" w14:textId="77777777" w:rsidR="00CE0E35" w:rsidRPr="009D48B9" w:rsidRDefault="00CE0E35" w:rsidP="009D48B9">
      <w:pPr>
        <w:spacing w:line="276" w:lineRule="auto"/>
        <w:contextualSpacing/>
        <w:jc w:val="left"/>
        <w:rPr>
          <w:rFonts w:eastAsia="Times New Roman" w:cs="Tahoma"/>
          <w:szCs w:val="24"/>
          <w:lang w:eastAsia="es-ES"/>
        </w:rPr>
      </w:pPr>
    </w:p>
    <w:p w14:paraId="75C8955B" w14:textId="77777777" w:rsidR="00CE0E35" w:rsidRPr="009D48B9" w:rsidRDefault="00CE0E35" w:rsidP="009D48B9">
      <w:pPr>
        <w:spacing w:line="276" w:lineRule="auto"/>
        <w:ind w:firstLine="708"/>
        <w:contextualSpacing/>
        <w:rPr>
          <w:rFonts w:eastAsia="Times New Roman" w:cs="Tahoma"/>
          <w:spacing w:val="-4"/>
          <w:szCs w:val="24"/>
          <w:lang w:eastAsia="es-ES"/>
        </w:rPr>
      </w:pPr>
      <w:r w:rsidRPr="009D48B9">
        <w:rPr>
          <w:rFonts w:eastAsia="Times New Roman" w:cs="Tahoma"/>
          <w:szCs w:val="24"/>
          <w:lang w:eastAsia="es-ES"/>
        </w:rPr>
        <w:t xml:space="preserve">En términos generales, en todas estas sentencias se determinó </w:t>
      </w:r>
      <w:r w:rsidRPr="009D48B9">
        <w:rPr>
          <w:rFonts w:eastAsia="Times New Roman" w:cs="Tahoma"/>
          <w:i/>
          <w:szCs w:val="24"/>
          <w:lang w:eastAsia="es-ES"/>
        </w:rPr>
        <w:t xml:space="preserve">i) </w:t>
      </w:r>
      <w:r w:rsidRPr="009D48B9">
        <w:rPr>
          <w:rFonts w:eastAsia="Times New Roman" w:cs="Tahoma"/>
          <w:szCs w:val="24"/>
          <w:lang w:eastAsia="es-ES"/>
        </w:rPr>
        <w:t xml:space="preserve">el alcance del deber de información a cargo de las Administradoras de Fondos de Pensiones, </w:t>
      </w:r>
      <w:r w:rsidRPr="009D48B9">
        <w:rPr>
          <w:rFonts w:eastAsia="Times New Roman" w:cs="Tahoma"/>
          <w:i/>
          <w:szCs w:val="24"/>
          <w:lang w:eastAsia="es-ES"/>
        </w:rPr>
        <w:t xml:space="preserve">ii) </w:t>
      </w:r>
      <w:r w:rsidRPr="009D48B9">
        <w:rPr>
          <w:rFonts w:eastAsia="Times New Roman" w:cs="Tahoma"/>
          <w:szCs w:val="24"/>
          <w:lang w:eastAsia="es-ES"/>
        </w:rPr>
        <w:t xml:space="preserve">la procedencia de la ineficacia del traslado, </w:t>
      </w:r>
      <w:proofErr w:type="spellStart"/>
      <w:r w:rsidRPr="009D48B9">
        <w:rPr>
          <w:rFonts w:eastAsia="Times New Roman" w:cs="Tahoma"/>
          <w:i/>
          <w:szCs w:val="24"/>
          <w:lang w:eastAsia="es-ES"/>
        </w:rPr>
        <w:t>iii</w:t>
      </w:r>
      <w:proofErr w:type="spellEnd"/>
      <w:r w:rsidRPr="009D48B9">
        <w:rPr>
          <w:rFonts w:eastAsia="Times New Roman" w:cs="Tahoma"/>
          <w:i/>
          <w:szCs w:val="24"/>
          <w:lang w:eastAsia="es-ES"/>
        </w:rPr>
        <w:t xml:space="preserve">) </w:t>
      </w:r>
      <w:r w:rsidRPr="009D48B9">
        <w:rPr>
          <w:rFonts w:eastAsia="Times New Roman" w:cs="Tahoma"/>
          <w:szCs w:val="24"/>
          <w:lang w:eastAsia="es-ES"/>
        </w:rPr>
        <w:t>la inversión de la carga de la prueba en favor del afiliado.</w:t>
      </w:r>
      <w:r w:rsidRPr="009D48B9">
        <w:rPr>
          <w:rFonts w:eastAsia="Times New Roman" w:cs="Tahoma"/>
          <w:spacing w:val="-4"/>
          <w:szCs w:val="2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2B16BF9E" w14:textId="77777777" w:rsidR="00CE0E35" w:rsidRPr="009D48B9" w:rsidRDefault="00CE0E35" w:rsidP="009D48B9">
      <w:pPr>
        <w:tabs>
          <w:tab w:val="left" w:pos="-720"/>
        </w:tabs>
        <w:suppressAutoHyphens/>
        <w:spacing w:line="276" w:lineRule="auto"/>
        <w:ind w:left="644"/>
        <w:contextualSpacing/>
        <w:jc w:val="left"/>
        <w:rPr>
          <w:rFonts w:eastAsia="Times New Roman" w:cs="Tahoma"/>
          <w:spacing w:val="-3"/>
          <w:kern w:val="2"/>
          <w:szCs w:val="24"/>
          <w:lang w:eastAsia="es-ES"/>
        </w:rPr>
      </w:pPr>
    </w:p>
    <w:p w14:paraId="22C1D81B" w14:textId="77777777" w:rsidR="00CE0E35" w:rsidRPr="009D48B9" w:rsidRDefault="00CE0E35" w:rsidP="009D48B9">
      <w:pPr>
        <w:numPr>
          <w:ilvl w:val="1"/>
          <w:numId w:val="9"/>
        </w:numPr>
        <w:spacing w:line="276" w:lineRule="auto"/>
        <w:ind w:left="0" w:firstLine="709"/>
        <w:contextualSpacing/>
        <w:rPr>
          <w:rFonts w:eastAsia="Times New Roman" w:cs="Tahoma"/>
          <w:b/>
          <w:iCs/>
          <w:spacing w:val="-4"/>
          <w:szCs w:val="24"/>
          <w:lang w:eastAsia="es-ES"/>
        </w:rPr>
      </w:pPr>
      <w:r w:rsidRPr="009D48B9">
        <w:rPr>
          <w:rFonts w:eastAsia="Times New Roman" w:cs="Tahoma"/>
          <w:b/>
          <w:iCs/>
          <w:spacing w:val="-4"/>
          <w:szCs w:val="24"/>
          <w:lang w:eastAsia="es-ES"/>
        </w:rPr>
        <w:t>“El deber de información a cargo de las administradoras de fondos de pensiones: Un deber exigible desde su creación</w:t>
      </w:r>
      <w:r w:rsidRPr="009D48B9">
        <w:rPr>
          <w:rFonts w:eastAsia="Times New Roman" w:cs="Tahoma"/>
          <w:b/>
          <w:iCs/>
          <w:spacing w:val="-4"/>
          <w:szCs w:val="24"/>
          <w:vertAlign w:val="superscript"/>
          <w:lang w:eastAsia="es-ES"/>
        </w:rPr>
        <w:footnoteReference w:id="2"/>
      </w:r>
      <w:r w:rsidRPr="009D48B9">
        <w:rPr>
          <w:rFonts w:eastAsia="Times New Roman" w:cs="Tahoma"/>
          <w:b/>
          <w:iCs/>
          <w:spacing w:val="-4"/>
          <w:szCs w:val="24"/>
          <w:lang w:eastAsia="es-ES"/>
        </w:rPr>
        <w:t>”</w:t>
      </w:r>
    </w:p>
    <w:p w14:paraId="018C5722" w14:textId="77777777" w:rsidR="00CE0E35" w:rsidRPr="009D48B9" w:rsidRDefault="00CE0E35" w:rsidP="009D48B9">
      <w:pPr>
        <w:tabs>
          <w:tab w:val="left" w:pos="-720"/>
        </w:tabs>
        <w:suppressAutoHyphens/>
        <w:spacing w:line="276" w:lineRule="auto"/>
        <w:ind w:left="644"/>
        <w:contextualSpacing/>
        <w:jc w:val="left"/>
        <w:rPr>
          <w:rFonts w:eastAsia="Times New Roman" w:cs="Tahoma"/>
          <w:i/>
          <w:spacing w:val="-3"/>
          <w:kern w:val="2"/>
          <w:szCs w:val="24"/>
          <w:lang w:eastAsia="es-ES"/>
        </w:rPr>
      </w:pPr>
    </w:p>
    <w:p w14:paraId="7FF76639" w14:textId="77777777" w:rsidR="00CE0E35" w:rsidRPr="009D48B9" w:rsidRDefault="00CE0E35" w:rsidP="009D48B9">
      <w:pPr>
        <w:tabs>
          <w:tab w:val="left" w:pos="-720"/>
        </w:tabs>
        <w:suppressAutoHyphens/>
        <w:spacing w:line="276" w:lineRule="auto"/>
        <w:ind w:firstLine="709"/>
        <w:rPr>
          <w:rFonts w:cs="Tahoma"/>
          <w:spacing w:val="-3"/>
          <w:kern w:val="2"/>
          <w:szCs w:val="24"/>
        </w:rPr>
      </w:pPr>
      <w:r w:rsidRPr="009D48B9">
        <w:rPr>
          <w:rFonts w:cs="Tahoma"/>
          <w:spacing w:val="-3"/>
          <w:kern w:val="2"/>
          <w:szCs w:val="24"/>
        </w:rPr>
        <w:t xml:space="preserve">Dado que las Administradoras de Fondos de Pensiones son organismos profesionales, resulta aplicable el artículo 1604 del Código Civil, según el cual la prueba de la </w:t>
      </w:r>
      <w:r w:rsidRPr="009D48B9">
        <w:rPr>
          <w:rFonts w:cs="Tahoma"/>
          <w:spacing w:val="-3"/>
          <w:kern w:val="2"/>
          <w:szCs w:val="24"/>
          <w:u w:val="single"/>
        </w:rPr>
        <w:t>debida diligencia y cuidado</w:t>
      </w:r>
      <w:r w:rsidRPr="009D48B9">
        <w:rPr>
          <w:rFonts w:cs="Tahoma"/>
          <w:spacing w:val="-3"/>
          <w:kern w:val="2"/>
          <w:szCs w:val="24"/>
        </w:rPr>
        <w:t xml:space="preserve"> incumbe a quien ha debido emplearla, atendiendo a las siguientes razones:</w:t>
      </w:r>
    </w:p>
    <w:p w14:paraId="5119A5B9" w14:textId="77777777" w:rsidR="00CE0E35" w:rsidRPr="009D48B9" w:rsidRDefault="00CE0E35" w:rsidP="009D48B9">
      <w:pPr>
        <w:tabs>
          <w:tab w:val="left" w:pos="-720"/>
        </w:tabs>
        <w:suppressAutoHyphens/>
        <w:spacing w:line="276" w:lineRule="auto"/>
        <w:ind w:left="644"/>
        <w:contextualSpacing/>
        <w:jc w:val="left"/>
        <w:rPr>
          <w:rFonts w:eastAsia="Times New Roman" w:cs="Tahoma"/>
          <w:b/>
          <w:spacing w:val="-3"/>
          <w:kern w:val="2"/>
          <w:szCs w:val="24"/>
          <w:lang w:eastAsia="es-ES"/>
        </w:rPr>
      </w:pPr>
    </w:p>
    <w:p w14:paraId="5FF789BD" w14:textId="21F53224" w:rsidR="00CE0E35" w:rsidRPr="009D48B9" w:rsidRDefault="000B398F" w:rsidP="009D48B9">
      <w:pPr>
        <w:tabs>
          <w:tab w:val="left" w:pos="-720"/>
        </w:tabs>
        <w:suppressAutoHyphens/>
        <w:spacing w:line="276" w:lineRule="auto"/>
        <w:contextualSpacing/>
        <w:rPr>
          <w:rFonts w:eastAsia="Times New Roman" w:cs="Tahoma"/>
          <w:spacing w:val="-3"/>
          <w:kern w:val="2"/>
          <w:szCs w:val="24"/>
          <w:lang w:eastAsia="es-ES"/>
        </w:rPr>
      </w:pPr>
      <w:r w:rsidRPr="009D48B9">
        <w:rPr>
          <w:rFonts w:eastAsia="Times New Roman" w:cs="Tahoma"/>
          <w:b/>
          <w:spacing w:val="-3"/>
          <w:kern w:val="2"/>
          <w:szCs w:val="24"/>
          <w:lang w:eastAsia="es-ES"/>
        </w:rPr>
        <w:tab/>
      </w:r>
      <w:r w:rsidR="00CE0E35" w:rsidRPr="009D48B9">
        <w:rPr>
          <w:rFonts w:eastAsia="Times New Roman" w:cs="Tahoma"/>
          <w:b/>
          <w:spacing w:val="-3"/>
          <w:kern w:val="2"/>
          <w:szCs w:val="24"/>
          <w:lang w:eastAsia="es-ES"/>
        </w:rPr>
        <w:t>1)</w:t>
      </w:r>
      <w:r w:rsidR="00CE0E35" w:rsidRPr="009D48B9">
        <w:rPr>
          <w:rFonts w:eastAsia="Times New Roman" w:cs="Tahoma"/>
          <w:spacing w:val="-3"/>
          <w:kern w:val="2"/>
          <w:szCs w:val="24"/>
          <w:lang w:eastAsia="es-ES"/>
        </w:rPr>
        <w:t xml:space="preserve"> Las Administradoras de Fondos de Pensiones tienen deberes de carácter profesional con sus afiliados y con los consumidores del mercado potencial en general. Además, sus actividades se encuentran reguladas por el </w:t>
      </w:r>
      <w:r w:rsidR="00CE0E35" w:rsidRPr="009D48B9">
        <w:rPr>
          <w:rFonts w:eastAsia="Times New Roman" w:cs="Tahoma"/>
          <w:spacing w:val="-3"/>
          <w:kern w:val="2"/>
          <w:szCs w:val="24"/>
          <w:u w:val="single"/>
          <w:lang w:eastAsia="es-ES"/>
        </w:rPr>
        <w:t>Decreto 663 de 1993</w:t>
      </w:r>
      <w:r w:rsidR="00CE0E35" w:rsidRPr="009D48B9">
        <w:rPr>
          <w:rFonts w:eastAsia="Times New Roman" w:cs="Tahoma"/>
          <w:spacing w:val="-3"/>
          <w:kern w:val="2"/>
          <w:szCs w:val="24"/>
          <w:u w:val="single"/>
          <w:vertAlign w:val="superscript"/>
          <w:lang w:eastAsia="es-ES"/>
        </w:rPr>
        <w:footnoteReference w:id="3"/>
      </w:r>
      <w:r w:rsidR="00CE0E35" w:rsidRPr="009D48B9">
        <w:rPr>
          <w:rFonts w:eastAsia="Times New Roman" w:cs="Tahoma"/>
          <w:spacing w:val="-3"/>
          <w:kern w:val="2"/>
          <w:szCs w:val="24"/>
          <w:lang w:eastAsia="es-ES"/>
        </w:rPr>
        <w:t>, norma en la que se destaca la importancia de los principios de debida diligencia, transparencia e información cierta, suficiente y oportuna.</w:t>
      </w:r>
    </w:p>
    <w:p w14:paraId="366C0834" w14:textId="77777777" w:rsidR="00CE0E35" w:rsidRPr="009D48B9" w:rsidRDefault="00CE0E35" w:rsidP="009D48B9">
      <w:pPr>
        <w:tabs>
          <w:tab w:val="left" w:pos="-720"/>
        </w:tabs>
        <w:suppressAutoHyphens/>
        <w:spacing w:line="276" w:lineRule="auto"/>
        <w:contextualSpacing/>
        <w:jc w:val="left"/>
        <w:rPr>
          <w:rFonts w:eastAsia="Times New Roman" w:cs="Tahoma"/>
          <w:spacing w:val="-3"/>
          <w:kern w:val="2"/>
          <w:szCs w:val="24"/>
          <w:lang w:eastAsia="es-ES"/>
        </w:rPr>
      </w:pPr>
    </w:p>
    <w:p w14:paraId="698385FC" w14:textId="569165FE" w:rsidR="00CE0E35" w:rsidRPr="009D48B9" w:rsidRDefault="000B398F" w:rsidP="009D48B9">
      <w:pPr>
        <w:tabs>
          <w:tab w:val="left" w:pos="-720"/>
        </w:tabs>
        <w:suppressAutoHyphens/>
        <w:spacing w:line="276" w:lineRule="auto"/>
        <w:contextualSpacing/>
        <w:rPr>
          <w:rFonts w:eastAsia="Times New Roman" w:cs="Tahoma"/>
          <w:szCs w:val="24"/>
          <w:lang w:eastAsia="es-ES"/>
        </w:rPr>
      </w:pPr>
      <w:r w:rsidRPr="009D48B9">
        <w:rPr>
          <w:rFonts w:eastAsia="Times New Roman" w:cs="Tahoma"/>
          <w:b/>
          <w:spacing w:val="-3"/>
          <w:kern w:val="2"/>
          <w:szCs w:val="24"/>
          <w:lang w:eastAsia="es-ES"/>
        </w:rPr>
        <w:tab/>
      </w:r>
      <w:r w:rsidR="00CE0E35" w:rsidRPr="009D48B9">
        <w:rPr>
          <w:rFonts w:eastAsia="Times New Roman" w:cs="Tahoma"/>
          <w:b/>
          <w:spacing w:val="-3"/>
          <w:kern w:val="2"/>
          <w:szCs w:val="24"/>
          <w:lang w:eastAsia="es-ES"/>
        </w:rPr>
        <w:t>2)</w:t>
      </w:r>
      <w:r w:rsidR="00CE0E35" w:rsidRPr="009D48B9">
        <w:rPr>
          <w:rFonts w:eastAsia="Times New Roman" w:cs="Tahoma"/>
          <w:spacing w:val="-3"/>
          <w:kern w:val="2"/>
          <w:szCs w:val="24"/>
          <w:lang w:eastAsia="es-ES"/>
        </w:rPr>
        <w:t xml:space="preserve"> Adicionalmente, se tiene previsto en el artículo 12 del Decreto 720 de 1994, que lo</w:t>
      </w:r>
      <w:r w:rsidR="00CE0E35" w:rsidRPr="009D48B9">
        <w:rPr>
          <w:rFonts w:eastAsia="Times New Roman" w:cs="Tahoma"/>
          <w:szCs w:val="24"/>
          <w:lang w:eastAsia="es-ES"/>
        </w:rPr>
        <w:t xml:space="preserve">s promotores que empleen las sociedades administradoras del sistema general de </w:t>
      </w:r>
      <w:r w:rsidR="00CE0E35" w:rsidRPr="009D48B9">
        <w:rPr>
          <w:rFonts w:eastAsia="Times New Roman" w:cs="Tahoma"/>
          <w:szCs w:val="24"/>
          <w:lang w:eastAsia="es-ES"/>
        </w:rPr>
        <w:lastRenderedPageBreak/>
        <w:t xml:space="preserve">pensiones deberán suministrar </w:t>
      </w:r>
      <w:r w:rsidR="00CE0E35" w:rsidRPr="009D48B9">
        <w:rPr>
          <w:rFonts w:eastAsia="Times New Roman" w:cs="Tahoma"/>
          <w:szCs w:val="24"/>
          <w:u w:val="single"/>
          <w:lang w:eastAsia="es-ES"/>
        </w:rPr>
        <w:t>suficiente, amplia y oportuna</w:t>
      </w:r>
      <w:r w:rsidR="00CE0E35" w:rsidRPr="009D48B9">
        <w:rPr>
          <w:rFonts w:eastAsia="Times New Roman" w:cs="Tahoma"/>
          <w:szCs w:val="24"/>
          <w:lang w:eastAsia="es-ES"/>
        </w:rPr>
        <w:t xml:space="preserve"> información a los posibles afiliados al momento de la promoción de la afiliación y durante toda la vinculación con ocasión de las prestaciones a las cuales tenga derecho el afiliado. </w:t>
      </w:r>
    </w:p>
    <w:p w14:paraId="75B7FF3E" w14:textId="77777777" w:rsidR="00CE0E35" w:rsidRPr="009D48B9" w:rsidRDefault="00CE0E35" w:rsidP="009D48B9">
      <w:pPr>
        <w:tabs>
          <w:tab w:val="left" w:pos="-720"/>
        </w:tabs>
        <w:suppressAutoHyphens/>
        <w:spacing w:line="276" w:lineRule="auto"/>
        <w:contextualSpacing/>
        <w:jc w:val="left"/>
        <w:rPr>
          <w:rFonts w:eastAsia="Times New Roman" w:cs="Tahoma"/>
          <w:spacing w:val="-3"/>
          <w:kern w:val="2"/>
          <w:szCs w:val="24"/>
          <w:lang w:eastAsia="es-ES"/>
        </w:rPr>
      </w:pPr>
    </w:p>
    <w:p w14:paraId="2EC7E08A" w14:textId="2302B617" w:rsidR="00CE0E35" w:rsidRPr="009D48B9" w:rsidRDefault="000B398F" w:rsidP="009D48B9">
      <w:pPr>
        <w:tabs>
          <w:tab w:val="left" w:pos="-720"/>
        </w:tabs>
        <w:suppressAutoHyphens/>
        <w:spacing w:line="276" w:lineRule="auto"/>
        <w:contextualSpacing/>
        <w:rPr>
          <w:rFonts w:eastAsia="Times New Roman" w:cs="Tahoma"/>
          <w:spacing w:val="-3"/>
          <w:kern w:val="2"/>
          <w:szCs w:val="24"/>
          <w:lang w:eastAsia="es-ES"/>
        </w:rPr>
      </w:pPr>
      <w:r w:rsidRPr="009D48B9">
        <w:rPr>
          <w:rFonts w:eastAsia="Times New Roman" w:cs="Tahoma"/>
          <w:b/>
          <w:spacing w:val="-3"/>
          <w:kern w:val="2"/>
          <w:szCs w:val="24"/>
          <w:lang w:eastAsia="es-ES"/>
        </w:rPr>
        <w:tab/>
      </w:r>
      <w:r w:rsidR="00CE0E35" w:rsidRPr="009D48B9">
        <w:rPr>
          <w:rFonts w:eastAsia="Times New Roman" w:cs="Tahoma"/>
          <w:b/>
          <w:spacing w:val="-3"/>
          <w:kern w:val="2"/>
          <w:szCs w:val="24"/>
          <w:lang w:eastAsia="es-ES"/>
        </w:rPr>
        <w:t>3)</w:t>
      </w:r>
      <w:r w:rsidR="00CE0E35" w:rsidRPr="009D48B9">
        <w:rPr>
          <w:rFonts w:eastAsia="Times New Roman" w:cs="Tahoma"/>
          <w:spacing w:val="-3"/>
          <w:kern w:val="2"/>
          <w:szCs w:val="24"/>
          <w:lang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AB09907" w14:textId="29A61349" w:rsidR="00CE0E35" w:rsidRPr="009D48B9" w:rsidRDefault="000B398F" w:rsidP="009D48B9">
      <w:pPr>
        <w:tabs>
          <w:tab w:val="left" w:pos="-720"/>
        </w:tabs>
        <w:suppressAutoHyphens/>
        <w:spacing w:line="276" w:lineRule="auto"/>
        <w:contextualSpacing/>
        <w:rPr>
          <w:rFonts w:eastAsia="Times New Roman" w:cs="Tahoma"/>
          <w:iCs/>
          <w:szCs w:val="24"/>
          <w:u w:val="single"/>
          <w:lang w:eastAsia="es-ES"/>
        </w:rPr>
      </w:pPr>
      <w:r w:rsidRPr="009D48B9">
        <w:rPr>
          <w:rFonts w:eastAsia="Times New Roman" w:cs="Tahoma"/>
          <w:b/>
          <w:spacing w:val="-3"/>
          <w:kern w:val="2"/>
          <w:szCs w:val="24"/>
          <w:lang w:eastAsia="es-ES"/>
        </w:rPr>
        <w:tab/>
      </w:r>
      <w:r w:rsidR="00CE0E35" w:rsidRPr="009D48B9">
        <w:rPr>
          <w:rFonts w:eastAsia="Times New Roman" w:cs="Tahoma"/>
          <w:b/>
          <w:spacing w:val="-3"/>
          <w:kern w:val="2"/>
          <w:szCs w:val="24"/>
          <w:lang w:eastAsia="es-ES"/>
        </w:rPr>
        <w:t>4)</w:t>
      </w:r>
      <w:r w:rsidR="00CE0E35" w:rsidRPr="009D48B9">
        <w:rPr>
          <w:rFonts w:eastAsia="Times New Roman" w:cs="Tahoma"/>
          <w:spacing w:val="-3"/>
          <w:kern w:val="2"/>
          <w:szCs w:val="24"/>
          <w:lang w:eastAsia="es-ES"/>
        </w:rPr>
        <w:t xml:space="preserve"> En numerosas sentencias del órgano de cierre de la jurisdicción ordinaria laboral, se ha establecido que no puede argüirse que </w:t>
      </w:r>
      <w:r w:rsidR="00CE0E35" w:rsidRPr="009D48B9">
        <w:rPr>
          <w:rFonts w:eastAsia="Times New Roman" w:cs="Tahoma"/>
          <w:iCs/>
          <w:szCs w:val="24"/>
          <w:lang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00CE0E35" w:rsidRPr="009D48B9">
        <w:rPr>
          <w:rFonts w:eastAsia="Times New Roman" w:cs="Tahoma"/>
          <w:i/>
          <w:iCs/>
          <w:szCs w:val="24"/>
          <w:lang w:eastAsia="es-ES"/>
        </w:rPr>
        <w:t>“</w:t>
      </w:r>
      <w:r w:rsidR="00CE0E35" w:rsidRPr="00B12513">
        <w:rPr>
          <w:rFonts w:eastAsia="Times New Roman" w:cs="Tahoma"/>
          <w:i/>
          <w:iCs/>
          <w:sz w:val="22"/>
          <w:szCs w:val="24"/>
          <w:u w:val="single"/>
          <w:lang w:eastAsia="es-ES"/>
        </w:rPr>
        <w:t>dar cuenta de que documentaron clara y suficientemente los efectos que acarrea el cambio de régimen, so pena de declarar ineficaz ese tránsito</w:t>
      </w:r>
      <w:r w:rsidR="00CE0E35" w:rsidRPr="009D48B9">
        <w:rPr>
          <w:rFonts w:eastAsia="Times New Roman" w:cs="Tahoma"/>
          <w:i/>
          <w:iCs/>
          <w:szCs w:val="24"/>
          <w:u w:val="single"/>
          <w:lang w:eastAsia="es-ES"/>
        </w:rPr>
        <w:t>”</w:t>
      </w:r>
      <w:r w:rsidR="00CE0E35" w:rsidRPr="009D48B9">
        <w:rPr>
          <w:rFonts w:eastAsia="Times New Roman" w:cs="Tahoma"/>
          <w:iCs/>
          <w:szCs w:val="24"/>
          <w:u w:val="single"/>
          <w:lang w:eastAsia="es-ES"/>
        </w:rPr>
        <w:t>.</w:t>
      </w:r>
    </w:p>
    <w:p w14:paraId="43EB7670" w14:textId="77777777" w:rsidR="00CE0E35" w:rsidRPr="009D48B9" w:rsidRDefault="00CE0E35" w:rsidP="009D48B9">
      <w:pPr>
        <w:tabs>
          <w:tab w:val="left" w:pos="-720"/>
        </w:tabs>
        <w:suppressAutoHyphens/>
        <w:spacing w:line="276" w:lineRule="auto"/>
        <w:ind w:left="644"/>
        <w:contextualSpacing/>
        <w:jc w:val="left"/>
        <w:rPr>
          <w:rFonts w:eastAsia="Times New Roman" w:cs="Tahoma"/>
          <w:iCs/>
          <w:szCs w:val="24"/>
          <w:u w:val="single"/>
          <w:lang w:eastAsia="es-ES"/>
        </w:rPr>
      </w:pPr>
    </w:p>
    <w:p w14:paraId="3B2B78CF" w14:textId="77777777" w:rsidR="00CE0E35" w:rsidRPr="009D48B9" w:rsidRDefault="00CE0E35" w:rsidP="009D48B9">
      <w:pPr>
        <w:tabs>
          <w:tab w:val="left" w:pos="-720"/>
        </w:tabs>
        <w:suppressAutoHyphens/>
        <w:spacing w:line="276" w:lineRule="auto"/>
        <w:contextualSpacing/>
        <w:rPr>
          <w:rFonts w:eastAsia="Times New Roman" w:cs="Tahoma"/>
          <w:iCs/>
          <w:szCs w:val="24"/>
          <w:lang w:eastAsia="es-ES"/>
        </w:rPr>
      </w:pPr>
      <w:r w:rsidRPr="009D48B9">
        <w:rPr>
          <w:rFonts w:eastAsia="Times New Roman" w:cs="Tahoma"/>
          <w:iCs/>
          <w:szCs w:val="24"/>
          <w:lang w:eastAsia="es-E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DC67A0A" w14:textId="77777777" w:rsidR="00CE0E35" w:rsidRPr="009D48B9" w:rsidRDefault="00CE0E35" w:rsidP="009D48B9">
      <w:pPr>
        <w:tabs>
          <w:tab w:val="left" w:pos="-720"/>
        </w:tabs>
        <w:suppressAutoHyphens/>
        <w:spacing w:line="276" w:lineRule="auto"/>
        <w:contextualSpacing/>
        <w:jc w:val="left"/>
        <w:rPr>
          <w:rFonts w:eastAsia="Times New Roman" w:cs="Tahoma"/>
          <w:iCs/>
          <w:szCs w:val="24"/>
          <w:lang w:eastAsia="es-ES"/>
        </w:rPr>
      </w:pPr>
    </w:p>
    <w:p w14:paraId="12448722" w14:textId="77777777" w:rsidR="00CE0E35" w:rsidRPr="009D48B9" w:rsidRDefault="00CE0E35" w:rsidP="009D48B9">
      <w:pPr>
        <w:tabs>
          <w:tab w:val="left" w:pos="-720"/>
        </w:tabs>
        <w:suppressAutoHyphens/>
        <w:spacing w:line="276" w:lineRule="auto"/>
        <w:contextualSpacing/>
        <w:rPr>
          <w:rFonts w:eastAsia="Times New Roman" w:cs="Tahoma"/>
          <w:iCs/>
          <w:szCs w:val="24"/>
          <w:lang w:eastAsia="es-ES"/>
        </w:rPr>
      </w:pPr>
      <w:r w:rsidRPr="009D48B9">
        <w:rPr>
          <w:rFonts w:eastAsia="Times New Roman" w:cs="Tahoma"/>
          <w:iCs/>
          <w:szCs w:val="24"/>
          <w:lang w:eastAsia="es-E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A00F15A" w14:textId="77777777" w:rsidR="00CE0E35" w:rsidRPr="009D48B9" w:rsidRDefault="00CE0E35" w:rsidP="009D48B9">
      <w:pPr>
        <w:tabs>
          <w:tab w:val="left" w:pos="-720"/>
        </w:tabs>
        <w:suppressAutoHyphens/>
        <w:spacing w:line="276" w:lineRule="auto"/>
        <w:contextualSpacing/>
        <w:jc w:val="left"/>
        <w:rPr>
          <w:rFonts w:eastAsia="Times New Roman" w:cs="Tahoma"/>
          <w:iCs/>
          <w:szCs w:val="24"/>
          <w:lang w:eastAsia="es-ES"/>
        </w:rPr>
      </w:pPr>
    </w:p>
    <w:p w14:paraId="4137E6E8" w14:textId="77777777" w:rsidR="00CE0E35" w:rsidRPr="009D48B9" w:rsidRDefault="00CE0E35" w:rsidP="009D48B9">
      <w:pPr>
        <w:tabs>
          <w:tab w:val="left" w:pos="-720"/>
        </w:tabs>
        <w:suppressAutoHyphens/>
        <w:spacing w:line="276" w:lineRule="auto"/>
        <w:contextualSpacing/>
        <w:rPr>
          <w:rFonts w:eastAsia="Times New Roman" w:cs="Tahoma"/>
          <w:szCs w:val="24"/>
          <w:lang w:eastAsia="es-ES"/>
        </w:rPr>
      </w:pPr>
      <w:r w:rsidRPr="009D48B9">
        <w:rPr>
          <w:rFonts w:eastAsia="Times New Roman" w:cs="Tahoma"/>
          <w:szCs w:val="24"/>
          <w:lang w:eastAsia="es-ES"/>
        </w:rPr>
        <w:tab/>
        <w:t xml:space="preserve">Ello así, también ha dicho el órgano de cierre de la especialidad laboral, que las </w:t>
      </w:r>
      <w:proofErr w:type="spellStart"/>
      <w:r w:rsidRPr="009D48B9">
        <w:rPr>
          <w:rFonts w:eastAsia="Times New Roman" w:cs="Tahoma"/>
          <w:szCs w:val="24"/>
          <w:lang w:eastAsia="es-ES"/>
        </w:rPr>
        <w:t>AFPs</w:t>
      </w:r>
      <w:proofErr w:type="spellEnd"/>
      <w:r w:rsidRPr="009D48B9">
        <w:rPr>
          <w:rFonts w:eastAsia="Times New Roman" w:cs="Tahoma"/>
          <w:szCs w:val="24"/>
          <w:lang w:eastAsia="es-ES"/>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8A22AA0" w14:textId="77777777" w:rsidR="00CE0E35" w:rsidRPr="009D48B9" w:rsidRDefault="00CE0E35" w:rsidP="009D48B9">
      <w:pPr>
        <w:tabs>
          <w:tab w:val="left" w:pos="-720"/>
        </w:tabs>
        <w:suppressAutoHyphens/>
        <w:spacing w:line="276" w:lineRule="auto"/>
        <w:contextualSpacing/>
        <w:jc w:val="left"/>
        <w:rPr>
          <w:rFonts w:eastAsia="Times New Roman" w:cs="Tahoma"/>
          <w:szCs w:val="24"/>
          <w:lang w:eastAsia="es-ES"/>
        </w:rPr>
      </w:pPr>
    </w:p>
    <w:p w14:paraId="2049F586" w14:textId="4B32F12C" w:rsidR="00CE0E35" w:rsidRPr="009D48B9" w:rsidRDefault="00CE0E35" w:rsidP="009D48B9">
      <w:pPr>
        <w:spacing w:line="276" w:lineRule="auto"/>
        <w:ind w:firstLine="708"/>
        <w:contextualSpacing/>
        <w:rPr>
          <w:rFonts w:eastAsia="Times New Roman" w:cs="Tahoma"/>
          <w:szCs w:val="24"/>
          <w:lang w:eastAsia="es-ES"/>
        </w:rPr>
      </w:pPr>
      <w:r w:rsidRPr="009D48B9">
        <w:rPr>
          <w:rFonts w:eastAsia="Times New Roman" w:cs="Tahoma"/>
          <w:szCs w:val="24"/>
          <w:lang w:eastAsia="es-ES"/>
        </w:rPr>
        <w:t>Ahora bien, como quiera que uno de los argumentos de la defensa de las AFP es que la normatividad del deber de información se ha venido dando paulatinamente, vale la pena citar la sentencia del 8 de mayo de 2019</w:t>
      </w:r>
      <w:r w:rsidR="000B398F" w:rsidRPr="009D48B9">
        <w:rPr>
          <w:rFonts w:eastAsia="Times New Roman" w:cs="Tahoma"/>
          <w:szCs w:val="24"/>
          <w:lang w:eastAsia="es-ES"/>
        </w:rPr>
        <w:t xml:space="preserve">, </w:t>
      </w:r>
      <w:r w:rsidRPr="009D48B9">
        <w:rPr>
          <w:rFonts w:eastAsia="Times New Roman" w:cs="Tahoma"/>
          <w:szCs w:val="24"/>
          <w:lang w:eastAsia="es-ES"/>
        </w:rPr>
        <w:t xml:space="preserve">SL 1688-2019, Radicado 68838, con Ponencia de la Dra. Clara Cecilia Dueñas Quevedo, donde </w:t>
      </w:r>
      <w:r w:rsidRPr="009D48B9">
        <w:rPr>
          <w:rFonts w:eastAsia="Times New Roman" w:cs="Tahoma"/>
          <w:spacing w:val="-4"/>
          <w:szCs w:val="24"/>
          <w:lang w:eastAsia="es-ES"/>
        </w:rPr>
        <w:t>se hace un didáctico recuento histórico de las normas que rigen la actividad de los Fondos de Pensiones privados, dividiéndolo en 3 etapas, de cuyo análisis se llega a la conclusión de que a las AFP</w:t>
      </w:r>
      <w:r w:rsidRPr="009D48B9">
        <w:rPr>
          <w:rFonts w:eastAsia="Times New Roman" w:cs="Tahoma"/>
          <w:szCs w:val="24"/>
          <w:lang w:eastAsia="es-ES"/>
        </w:rPr>
        <w:t xml:space="preserve"> les compete, desde su creación, el deber de suministrar una información </w:t>
      </w:r>
      <w:r w:rsidRPr="009D48B9">
        <w:rPr>
          <w:rFonts w:eastAsia="Times New Roman" w:cs="Tahoma"/>
          <w:b/>
          <w:szCs w:val="24"/>
          <w:lang w:eastAsia="es-ES"/>
        </w:rPr>
        <w:t xml:space="preserve">necesaria y transparente, </w:t>
      </w:r>
      <w:r w:rsidRPr="009D48B9">
        <w:rPr>
          <w:rFonts w:eastAsia="Times New Roman" w:cs="Tahoma"/>
          <w:szCs w:val="24"/>
          <w:lang w:eastAsia="es-ES"/>
        </w:rPr>
        <w:t xml:space="preserve">que con el </w:t>
      </w:r>
      <w:r w:rsidRPr="009D48B9">
        <w:rPr>
          <w:rFonts w:eastAsia="Times New Roman" w:cs="Tahoma"/>
          <w:spacing w:val="-4"/>
          <w:szCs w:val="24"/>
          <w:lang w:eastAsia="es-ES"/>
        </w:rPr>
        <w:t xml:space="preserve">transcurrir del tiempo esta exigencia cambió, pasando de un </w:t>
      </w:r>
      <w:r w:rsidRPr="009D48B9">
        <w:rPr>
          <w:rFonts w:eastAsia="Times New Roman" w:cs="Tahoma"/>
          <w:spacing w:val="-4"/>
          <w:szCs w:val="24"/>
          <w:lang w:eastAsia="es-ES"/>
        </w:rPr>
        <w:lastRenderedPageBreak/>
        <w:t xml:space="preserve">deber de información necesaria al de </w:t>
      </w:r>
      <w:r w:rsidRPr="009D48B9">
        <w:rPr>
          <w:rFonts w:eastAsia="Times New Roman" w:cs="Tahoma"/>
          <w:b/>
          <w:spacing w:val="-4"/>
          <w:szCs w:val="24"/>
          <w:lang w:eastAsia="es-ES"/>
        </w:rPr>
        <w:t>asesoría y buen consejo</w:t>
      </w:r>
      <w:r w:rsidRPr="009D48B9">
        <w:rPr>
          <w:rFonts w:eastAsia="Times New Roman" w:cs="Tahoma"/>
          <w:spacing w:val="-4"/>
          <w:szCs w:val="24"/>
          <w:lang w:eastAsia="es-ES"/>
        </w:rPr>
        <w:t xml:space="preserve">, y finalmente al de </w:t>
      </w:r>
      <w:r w:rsidRPr="009D48B9">
        <w:rPr>
          <w:rFonts w:eastAsia="Times New Roman" w:cs="Tahoma"/>
          <w:b/>
          <w:spacing w:val="-4"/>
          <w:szCs w:val="24"/>
          <w:lang w:eastAsia="es-ES"/>
        </w:rPr>
        <w:t>doble asesoría</w:t>
      </w:r>
      <w:r w:rsidRPr="009D48B9">
        <w:rPr>
          <w:rFonts w:eastAsia="Times New Roman" w:cs="Tahoma"/>
          <w:spacing w:val="-4"/>
          <w:szCs w:val="24"/>
          <w:lang w:eastAsia="es-ES"/>
        </w:rPr>
        <w:t xml:space="preserve">, </w:t>
      </w:r>
      <w:r w:rsidRPr="009D48B9">
        <w:rPr>
          <w:rFonts w:eastAsia="Times New Roman" w:cs="Tahoma"/>
          <w:szCs w:val="24"/>
          <w:lang w:eastAsia="es-ES"/>
        </w:rPr>
        <w:t>explicando en qué consiste cada uno de esos conceptos. Dicho recuento histórico, se compendia de la siguiente manera:</w:t>
      </w:r>
    </w:p>
    <w:p w14:paraId="505CCE66" w14:textId="77777777" w:rsidR="00CE0E35" w:rsidRPr="009D48B9" w:rsidRDefault="00CE0E35" w:rsidP="009D48B9">
      <w:pPr>
        <w:spacing w:line="276" w:lineRule="auto"/>
        <w:ind w:firstLine="708"/>
        <w:contextualSpacing/>
        <w:jc w:val="left"/>
        <w:rPr>
          <w:rFonts w:eastAsia="Times New Roman" w:cs="Tahoma"/>
          <w:szCs w:val="24"/>
          <w:lang w:eastAsia="es-ES"/>
        </w:rPr>
      </w:pPr>
    </w:p>
    <w:p w14:paraId="32301E03" w14:textId="77777777" w:rsidR="002265A6" w:rsidRPr="002265A6" w:rsidRDefault="002265A6" w:rsidP="002265A6">
      <w:pPr>
        <w:spacing w:line="240" w:lineRule="auto"/>
        <w:ind w:left="426" w:right="420"/>
        <w:textAlignment w:val="baseline"/>
        <w:rPr>
          <w:rFonts w:eastAsia="Times New Roman" w:cs="Tahoma"/>
          <w:sz w:val="22"/>
          <w:szCs w:val="24"/>
          <w:lang w:val="es-ES" w:eastAsia="es-ES"/>
        </w:rPr>
      </w:pPr>
      <w:bookmarkStart w:id="4" w:name="_Hlk66368436"/>
      <w:bookmarkStart w:id="5" w:name="_Hlk82368963"/>
      <w:r w:rsidRPr="002265A6">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7AFC3207" w14:textId="77777777" w:rsidR="002265A6" w:rsidRPr="002265A6" w:rsidRDefault="002265A6" w:rsidP="002265A6">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265A6" w:rsidRPr="002265A6" w14:paraId="327A605B"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81827AF"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b/>
                <w:bCs/>
                <w:i/>
                <w:iCs/>
                <w:sz w:val="20"/>
                <w:szCs w:val="24"/>
                <w:lang w:eastAsia="es-ES"/>
              </w:rPr>
              <w:t>Etapa acumulativa</w:t>
            </w:r>
            <w:r w:rsidRPr="002265A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1B74935"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b/>
                <w:bCs/>
                <w:i/>
                <w:iCs/>
                <w:sz w:val="20"/>
                <w:szCs w:val="24"/>
                <w:lang w:eastAsia="es-ES"/>
              </w:rPr>
              <w:t>Normas que obligan a las administradoras de pensiones a dar información</w:t>
            </w:r>
            <w:r w:rsidRPr="002265A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F80278F"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b/>
                <w:bCs/>
                <w:i/>
                <w:iCs/>
                <w:sz w:val="20"/>
                <w:szCs w:val="24"/>
                <w:lang w:eastAsia="es-ES"/>
              </w:rPr>
              <w:t>Contenido mínimo y alcance del deber de información</w:t>
            </w:r>
            <w:r w:rsidRPr="002265A6">
              <w:rPr>
                <w:rFonts w:eastAsia="Times New Roman" w:cs="Tahoma"/>
                <w:sz w:val="20"/>
                <w:szCs w:val="24"/>
                <w:lang w:val="es-ES" w:eastAsia="es-ES"/>
              </w:rPr>
              <w:t> </w:t>
            </w:r>
          </w:p>
        </w:tc>
      </w:tr>
      <w:tr w:rsidR="002265A6" w:rsidRPr="002265A6" w14:paraId="489A8BC2"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BCF60DF"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Deber de información </w:t>
            </w:r>
            <w:r w:rsidRPr="002265A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DC40E5E"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Arts. 13 literal b), 271 y 272 de la Ley 100 de 1993</w:t>
            </w:r>
            <w:r w:rsidRPr="002265A6">
              <w:rPr>
                <w:rFonts w:eastAsia="Times New Roman" w:cs="Tahoma"/>
                <w:sz w:val="20"/>
                <w:szCs w:val="24"/>
                <w:lang w:val="es-ES" w:eastAsia="es-ES"/>
              </w:rPr>
              <w:t> </w:t>
            </w:r>
          </w:p>
          <w:p w14:paraId="656837AA"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val="es-ES" w:eastAsia="es-ES"/>
              </w:rPr>
              <w:t>Art. 97, numeral 1 del Decreto 663 de 1993, modificado por el artículo 23 de la Ley 797 de 2003</w:t>
            </w:r>
            <w:r w:rsidRPr="002265A6">
              <w:rPr>
                <w:rFonts w:eastAsia="Times New Roman" w:cs="Tahoma"/>
                <w:sz w:val="20"/>
                <w:szCs w:val="24"/>
                <w:lang w:val="es-ES" w:eastAsia="es-ES"/>
              </w:rPr>
              <w:t> </w:t>
            </w:r>
          </w:p>
          <w:p w14:paraId="6A2C56FD"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val="es-ES" w:eastAsia="es-ES"/>
              </w:rPr>
              <w:t>Disposiciones constitucionales relativas al derecho a la información, no menoscabo de derechos laborales y autonomía personal</w:t>
            </w:r>
            <w:r w:rsidRPr="002265A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21206C5"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265A6">
              <w:rPr>
                <w:rFonts w:eastAsia="Times New Roman" w:cs="Tahoma"/>
                <w:sz w:val="20"/>
                <w:szCs w:val="24"/>
                <w:lang w:val="es-ES" w:eastAsia="es-ES"/>
              </w:rPr>
              <w:t> </w:t>
            </w:r>
          </w:p>
        </w:tc>
      </w:tr>
      <w:tr w:rsidR="002265A6" w:rsidRPr="002265A6" w14:paraId="4E75F69F"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BF0634C"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Deber de información, asesoría y buen consejo</w:t>
            </w:r>
            <w:r w:rsidRPr="002265A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01E41F1"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Artículo 3, literal c) de la Ley 1328 de 2009</w:t>
            </w:r>
            <w:r w:rsidRPr="002265A6">
              <w:rPr>
                <w:rFonts w:eastAsia="Times New Roman" w:cs="Tahoma"/>
                <w:sz w:val="20"/>
                <w:szCs w:val="24"/>
                <w:lang w:val="es-ES" w:eastAsia="es-ES"/>
              </w:rPr>
              <w:t> </w:t>
            </w:r>
          </w:p>
          <w:p w14:paraId="23D45A3F"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Decreto 2241 de 2010</w:t>
            </w:r>
            <w:r w:rsidRPr="002265A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496F65C"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 xml:space="preserve">Implica el análisis previo, calificado y </w:t>
            </w:r>
            <w:proofErr w:type="gramStart"/>
            <w:r w:rsidRPr="002265A6">
              <w:rPr>
                <w:rFonts w:eastAsia="Times New Roman" w:cs="Tahoma"/>
                <w:i/>
                <w:iCs/>
                <w:sz w:val="20"/>
                <w:szCs w:val="24"/>
                <w:lang w:eastAsia="es-ES"/>
              </w:rPr>
              <w:t>global  de</w:t>
            </w:r>
            <w:proofErr w:type="gramEnd"/>
            <w:r w:rsidRPr="002265A6">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2265A6">
              <w:rPr>
                <w:rFonts w:eastAsia="Times New Roman" w:cs="Tahoma"/>
                <w:sz w:val="20"/>
                <w:szCs w:val="24"/>
                <w:lang w:val="es-ES" w:eastAsia="es-ES"/>
              </w:rPr>
              <w:t> </w:t>
            </w:r>
          </w:p>
        </w:tc>
      </w:tr>
      <w:tr w:rsidR="002265A6" w:rsidRPr="002265A6" w14:paraId="7CAC01DA" w14:textId="77777777" w:rsidTr="00872CC5">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E830B61"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Deber de información, asesoría, buen consejo y doble asesoría. </w:t>
            </w:r>
            <w:r w:rsidRPr="002265A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4584502"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Ley 1748 de 2014</w:t>
            </w:r>
            <w:r w:rsidRPr="002265A6">
              <w:rPr>
                <w:rFonts w:eastAsia="Times New Roman" w:cs="Tahoma"/>
                <w:sz w:val="20"/>
                <w:szCs w:val="24"/>
                <w:lang w:val="es-ES" w:eastAsia="es-ES"/>
              </w:rPr>
              <w:t> </w:t>
            </w:r>
          </w:p>
          <w:p w14:paraId="695C1D1D"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Artículo 3 del Decreto 2071 de 2015</w:t>
            </w:r>
            <w:r w:rsidRPr="002265A6">
              <w:rPr>
                <w:rFonts w:eastAsia="Times New Roman" w:cs="Tahoma"/>
                <w:sz w:val="20"/>
                <w:szCs w:val="24"/>
                <w:lang w:val="es-ES" w:eastAsia="es-ES"/>
              </w:rPr>
              <w:t> </w:t>
            </w:r>
          </w:p>
          <w:p w14:paraId="0DD5D501"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Circular Externa n. 016 de 2016</w:t>
            </w:r>
            <w:r w:rsidRPr="002265A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F593751" w14:textId="77777777" w:rsidR="002265A6" w:rsidRPr="002265A6" w:rsidRDefault="002265A6" w:rsidP="002265A6">
            <w:pPr>
              <w:spacing w:line="276" w:lineRule="auto"/>
              <w:textAlignment w:val="baseline"/>
              <w:rPr>
                <w:rFonts w:eastAsia="Times New Roman" w:cs="Tahoma"/>
                <w:sz w:val="20"/>
                <w:szCs w:val="24"/>
                <w:lang w:val="es-ES" w:eastAsia="es-ES"/>
              </w:rPr>
            </w:pPr>
            <w:r w:rsidRPr="002265A6">
              <w:rPr>
                <w:rFonts w:eastAsia="Times New Roman" w:cs="Tahoma"/>
                <w:i/>
                <w:iCs/>
                <w:sz w:val="20"/>
                <w:szCs w:val="24"/>
                <w:lang w:eastAsia="es-ES"/>
              </w:rPr>
              <w:t>Junto con lo anterior, lleva inmerso el derecho a obtener asesoría de los representantes de ambos regímenes pensionales.</w:t>
            </w:r>
            <w:r w:rsidRPr="002265A6">
              <w:rPr>
                <w:rFonts w:eastAsia="Times New Roman" w:cs="Tahoma"/>
                <w:sz w:val="20"/>
                <w:szCs w:val="24"/>
                <w:lang w:val="es-ES" w:eastAsia="es-ES"/>
              </w:rPr>
              <w:t> </w:t>
            </w:r>
          </w:p>
        </w:tc>
      </w:tr>
    </w:tbl>
    <w:p w14:paraId="6DD009D2" w14:textId="77777777" w:rsidR="002265A6" w:rsidRPr="002265A6" w:rsidRDefault="002265A6" w:rsidP="002265A6">
      <w:pPr>
        <w:spacing w:line="240" w:lineRule="auto"/>
        <w:ind w:left="426" w:right="420" w:firstLine="709"/>
        <w:rPr>
          <w:rFonts w:eastAsia="Calibri" w:cs="Tahoma"/>
          <w:b/>
          <w:i/>
          <w:spacing w:val="-4"/>
          <w:sz w:val="22"/>
          <w:szCs w:val="24"/>
        </w:rPr>
      </w:pPr>
    </w:p>
    <w:bookmarkEnd w:id="4"/>
    <w:p w14:paraId="6115A06B" w14:textId="77777777" w:rsidR="002265A6" w:rsidRPr="002265A6" w:rsidRDefault="002265A6" w:rsidP="002265A6">
      <w:pPr>
        <w:spacing w:line="240" w:lineRule="auto"/>
        <w:ind w:left="426" w:right="420" w:firstLine="709"/>
        <w:rPr>
          <w:rFonts w:eastAsia="Calibri" w:cs="Tahoma"/>
          <w:b/>
          <w:i/>
          <w:sz w:val="22"/>
          <w:szCs w:val="24"/>
        </w:rPr>
      </w:pPr>
      <w:r w:rsidRPr="002265A6">
        <w:rPr>
          <w:rFonts w:eastAsia="Calibri" w:cs="Tahoma"/>
          <w:b/>
          <w:i/>
          <w:sz w:val="22"/>
          <w:szCs w:val="24"/>
        </w:rPr>
        <w:t>1.4 Conclusión: La constatación del deber de información es ineludible</w:t>
      </w:r>
    </w:p>
    <w:p w14:paraId="15B80EB4" w14:textId="77777777" w:rsidR="002265A6" w:rsidRPr="002265A6" w:rsidRDefault="002265A6" w:rsidP="002265A6">
      <w:pPr>
        <w:spacing w:line="240" w:lineRule="auto"/>
        <w:ind w:left="426" w:right="420" w:firstLine="709"/>
        <w:rPr>
          <w:rFonts w:eastAsia="Calibri" w:cs="Tahoma"/>
          <w:b/>
          <w:i/>
          <w:sz w:val="22"/>
          <w:szCs w:val="24"/>
        </w:rPr>
      </w:pPr>
    </w:p>
    <w:p w14:paraId="5118BD19" w14:textId="77777777" w:rsidR="002265A6" w:rsidRPr="002265A6" w:rsidRDefault="002265A6" w:rsidP="002265A6">
      <w:pPr>
        <w:spacing w:line="240" w:lineRule="auto"/>
        <w:ind w:left="426" w:right="420" w:firstLine="1"/>
        <w:rPr>
          <w:rFonts w:eastAsia="Calibri" w:cs="Tahoma"/>
          <w:i/>
          <w:sz w:val="22"/>
          <w:szCs w:val="24"/>
        </w:rPr>
      </w:pPr>
      <w:r w:rsidRPr="002265A6">
        <w:rPr>
          <w:rFonts w:eastAsia="Calibri" w:cs="Tahoma"/>
          <w:i/>
          <w:sz w:val="22"/>
          <w:szCs w:val="24"/>
        </w:rPr>
        <w:t xml:space="preserve">Según se pudo advertir del anterior recuento, </w:t>
      </w:r>
      <w:r w:rsidRPr="002265A6">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sidRPr="002265A6">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D1B3A47" w14:textId="77777777" w:rsidR="002265A6" w:rsidRPr="002265A6" w:rsidRDefault="002265A6" w:rsidP="002265A6">
      <w:pPr>
        <w:spacing w:line="240" w:lineRule="auto"/>
        <w:ind w:left="426" w:right="420" w:firstLine="1"/>
        <w:rPr>
          <w:rFonts w:eastAsia="Calibri" w:cs="Tahoma"/>
          <w:i/>
          <w:sz w:val="22"/>
          <w:szCs w:val="24"/>
        </w:rPr>
      </w:pPr>
    </w:p>
    <w:p w14:paraId="58979999" w14:textId="77777777" w:rsidR="002265A6" w:rsidRPr="002265A6" w:rsidRDefault="002265A6" w:rsidP="002265A6">
      <w:pPr>
        <w:spacing w:line="240" w:lineRule="auto"/>
        <w:ind w:left="426" w:right="420"/>
        <w:rPr>
          <w:rFonts w:eastAsia="Calibri" w:cs="Tahoma"/>
          <w:i/>
          <w:sz w:val="22"/>
          <w:szCs w:val="24"/>
        </w:rPr>
      </w:pPr>
      <w:r w:rsidRPr="002265A6">
        <w:rPr>
          <w:rFonts w:eastAsia="Calibri" w:cs="Tahoma"/>
          <w:i/>
          <w:sz w:val="22"/>
          <w:szCs w:val="24"/>
        </w:rPr>
        <w:t xml:space="preserve">Así las cosas, el Tribunal cometió un primer error al concluir que la responsabilidad por el incumplimiento o entrega de información deficitaria surgió con el </w:t>
      </w:r>
      <w:r w:rsidRPr="002265A6">
        <w:rPr>
          <w:rFonts w:eastAsia="Calibri" w:cs="Tahoma"/>
          <w:i/>
          <w:sz w:val="22"/>
          <w:szCs w:val="24"/>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2265A6">
        <w:rPr>
          <w:rFonts w:eastAsia="Calibri" w:cs="Tahoma"/>
          <w:i/>
          <w:sz w:val="22"/>
          <w:szCs w:val="24"/>
        </w:rPr>
        <w:t xml:space="preserve">  </w:t>
      </w:r>
    </w:p>
    <w:p w14:paraId="4AEC5A53" w14:textId="77777777" w:rsidR="002265A6" w:rsidRPr="002265A6" w:rsidRDefault="002265A6" w:rsidP="002265A6">
      <w:pPr>
        <w:spacing w:line="240" w:lineRule="auto"/>
        <w:ind w:left="426" w:right="420" w:firstLine="709"/>
        <w:rPr>
          <w:rFonts w:eastAsia="Calibri" w:cs="Tahoma"/>
          <w:i/>
          <w:sz w:val="22"/>
          <w:szCs w:val="24"/>
        </w:rPr>
      </w:pPr>
    </w:p>
    <w:p w14:paraId="6851F086" w14:textId="77777777" w:rsidR="002265A6" w:rsidRPr="002265A6" w:rsidRDefault="002265A6" w:rsidP="002265A6">
      <w:pPr>
        <w:spacing w:line="240" w:lineRule="auto"/>
        <w:ind w:left="426" w:right="420"/>
        <w:rPr>
          <w:rFonts w:eastAsia="Calibri" w:cs="Tahoma"/>
          <w:i/>
          <w:sz w:val="22"/>
          <w:szCs w:val="24"/>
        </w:rPr>
      </w:pPr>
      <w:r w:rsidRPr="002265A6">
        <w:rPr>
          <w:rFonts w:eastAsia="Calibri" w:cs="Tahoma"/>
          <w:i/>
          <w:sz w:val="22"/>
          <w:szCs w:val="24"/>
        </w:rPr>
        <w:t xml:space="preserve">Adicionalmente, la Sala no puede pasar por alto la indebida fundamentación con la que </w:t>
      </w:r>
      <w:r w:rsidRPr="002265A6">
        <w:rPr>
          <w:rFonts w:eastAsia="Calibri" w:cs="Tahoma"/>
          <w:bCs/>
          <w:i/>
          <w:sz w:val="22"/>
          <w:szCs w:val="24"/>
          <w:lang w:val="es-ES"/>
        </w:rPr>
        <w:t>la Sala Primera de Decisión Laboral del Tribunal de Medellín</w:t>
      </w:r>
      <w:r w:rsidRPr="002265A6">
        <w:rPr>
          <w:rFonts w:eastAsia="Calibri" w:cs="Tahoma"/>
          <w:i/>
          <w:sz w:val="22"/>
          <w:szCs w:val="24"/>
        </w:rPr>
        <w:t xml:space="preserve"> emitió su sentencia, pues sin razón alguna se limitó a señalar que a partir del Decreto 019 de 2012 es imputable </w:t>
      </w:r>
      <w:r w:rsidRPr="002265A6">
        <w:rPr>
          <w:rFonts w:eastAsia="Calibri" w:cs="Tahoma"/>
          <w:i/>
          <w:sz w:val="22"/>
          <w:szCs w:val="24"/>
        </w:rPr>
        <w:lastRenderedPageBreak/>
        <w:t xml:space="preserve">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bookmarkEnd w:id="5"/>
    <w:p w14:paraId="2A8544BC" w14:textId="77777777" w:rsidR="002265A6" w:rsidRPr="002265A6" w:rsidRDefault="002265A6" w:rsidP="002265A6">
      <w:pPr>
        <w:spacing w:line="276" w:lineRule="auto"/>
        <w:ind w:left="708" w:firstLine="737"/>
        <w:rPr>
          <w:rFonts w:eastAsia="Century Gothic" w:cs="Tahoma"/>
          <w:i/>
          <w:spacing w:val="-4"/>
          <w:szCs w:val="24"/>
        </w:rPr>
      </w:pPr>
    </w:p>
    <w:p w14:paraId="55AAA408" w14:textId="77777777" w:rsidR="002265A6" w:rsidRPr="002265A6" w:rsidRDefault="002265A6" w:rsidP="002265A6">
      <w:pPr>
        <w:spacing w:line="276" w:lineRule="auto"/>
        <w:ind w:firstLine="644"/>
        <w:rPr>
          <w:rFonts w:eastAsia="Century Gothic" w:cs="Tahoma"/>
          <w:spacing w:val="-4"/>
          <w:szCs w:val="24"/>
        </w:rPr>
      </w:pPr>
      <w:r w:rsidRPr="002265A6">
        <w:rPr>
          <w:rFonts w:eastAsia="Century Gothic" w:cs="Tahoma"/>
          <w:spacing w:val="-4"/>
          <w:szCs w:val="24"/>
        </w:rPr>
        <w:t>Con lo dicho precedentemente queda resuelto el primer problema jurídico.</w:t>
      </w:r>
    </w:p>
    <w:p w14:paraId="0E63A88B" w14:textId="77777777" w:rsidR="002265A6" w:rsidRPr="002265A6" w:rsidRDefault="002265A6" w:rsidP="002265A6">
      <w:pPr>
        <w:spacing w:line="276" w:lineRule="auto"/>
        <w:ind w:firstLine="644"/>
        <w:rPr>
          <w:rFonts w:eastAsia="Century Gothic" w:cs="Tahoma"/>
          <w:spacing w:val="-4"/>
          <w:szCs w:val="24"/>
        </w:rPr>
      </w:pPr>
    </w:p>
    <w:p w14:paraId="2045839C" w14:textId="77777777" w:rsidR="002265A6" w:rsidRPr="002265A6" w:rsidRDefault="002265A6" w:rsidP="002265A6">
      <w:pPr>
        <w:numPr>
          <w:ilvl w:val="1"/>
          <w:numId w:val="11"/>
        </w:numPr>
        <w:shd w:val="clear" w:color="auto" w:fill="FFFFFF" w:themeFill="background1"/>
        <w:spacing w:line="276" w:lineRule="auto"/>
        <w:contextualSpacing/>
        <w:jc w:val="left"/>
        <w:rPr>
          <w:rFonts w:eastAsia="Times New Roman" w:cs="Tahoma"/>
          <w:b/>
          <w:szCs w:val="24"/>
          <w:lang w:val="es-ES" w:eastAsia="es-ES"/>
        </w:rPr>
      </w:pPr>
      <w:r w:rsidRPr="002265A6">
        <w:rPr>
          <w:rFonts w:eastAsia="Times New Roman" w:cs="Tahoma"/>
          <w:b/>
          <w:szCs w:val="24"/>
          <w:lang w:val="es-ES" w:eastAsia="es-ES"/>
        </w:rPr>
        <w:t xml:space="preserve">“El simple consentimiento vertido en el formulario de afiliación es insuficiente – Necesidad de un consentimiento informado” </w:t>
      </w:r>
      <w:r w:rsidRPr="002265A6">
        <w:rPr>
          <w:rFonts w:eastAsia="Times New Roman" w:cs="Tahoma"/>
          <w:b/>
          <w:szCs w:val="24"/>
          <w:vertAlign w:val="superscript"/>
          <w:lang w:val="es-ES" w:eastAsia="es-ES"/>
        </w:rPr>
        <w:footnoteReference w:id="4"/>
      </w:r>
      <w:r w:rsidRPr="002265A6">
        <w:rPr>
          <w:rFonts w:eastAsia="Times New Roman" w:cs="Tahoma"/>
          <w:b/>
          <w:szCs w:val="24"/>
          <w:lang w:val="es-ES" w:eastAsia="es-ES"/>
        </w:rPr>
        <w:t xml:space="preserve"> </w:t>
      </w:r>
    </w:p>
    <w:p w14:paraId="25D6CA78" w14:textId="77777777" w:rsidR="002265A6" w:rsidRPr="002265A6" w:rsidRDefault="002265A6" w:rsidP="002265A6">
      <w:pPr>
        <w:spacing w:line="276" w:lineRule="auto"/>
        <w:ind w:firstLine="737"/>
        <w:rPr>
          <w:rFonts w:eastAsia="Century Gothic" w:cs="Tahoma"/>
          <w:spacing w:val="-4"/>
          <w:szCs w:val="24"/>
        </w:rPr>
      </w:pPr>
    </w:p>
    <w:p w14:paraId="3C222C6B" w14:textId="77777777" w:rsidR="002265A6" w:rsidRPr="002265A6" w:rsidRDefault="002265A6" w:rsidP="002265A6">
      <w:pPr>
        <w:spacing w:line="276" w:lineRule="auto"/>
        <w:ind w:firstLine="737"/>
        <w:rPr>
          <w:rFonts w:eastAsia="Century Gothic" w:cs="Tahoma"/>
          <w:spacing w:val="-4"/>
          <w:szCs w:val="24"/>
        </w:rPr>
      </w:pPr>
      <w:r w:rsidRPr="002265A6">
        <w:rPr>
          <w:rFonts w:eastAsia="Century Gothic" w:cs="Tahoma"/>
          <w:spacing w:val="-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2265A6">
        <w:rPr>
          <w:rFonts w:eastAsia="Century Gothic" w:cs="Tahoma"/>
          <w:b/>
          <w:spacing w:val="-4"/>
          <w:szCs w:val="24"/>
        </w:rPr>
        <w:t>pero no informado</w:t>
      </w:r>
      <w:r w:rsidRPr="002265A6">
        <w:rPr>
          <w:rFonts w:eastAsia="Century Gothic" w:cs="Tahoma"/>
          <w:spacing w:val="-4"/>
          <w:szCs w:val="24"/>
        </w:rPr>
        <w:t xml:space="preserve">, tal como se expresa a continuación: </w:t>
      </w:r>
    </w:p>
    <w:p w14:paraId="060EE203" w14:textId="77777777" w:rsidR="002265A6" w:rsidRPr="002265A6" w:rsidRDefault="002265A6" w:rsidP="002265A6">
      <w:pPr>
        <w:spacing w:line="276" w:lineRule="auto"/>
        <w:ind w:firstLine="737"/>
        <w:rPr>
          <w:rFonts w:eastAsia="Century Gothic" w:cs="Tahoma"/>
          <w:spacing w:val="-4"/>
          <w:szCs w:val="24"/>
        </w:rPr>
      </w:pPr>
    </w:p>
    <w:p w14:paraId="0401381A" w14:textId="77777777" w:rsidR="002265A6" w:rsidRPr="002265A6" w:rsidRDefault="002265A6" w:rsidP="002265A6">
      <w:pPr>
        <w:spacing w:line="240" w:lineRule="auto"/>
        <w:ind w:left="426" w:right="420" w:firstLine="1"/>
        <w:rPr>
          <w:rFonts w:eastAsia="Calibri" w:cs="Tahoma"/>
          <w:i/>
          <w:sz w:val="22"/>
          <w:szCs w:val="24"/>
        </w:rPr>
      </w:pPr>
      <w:bookmarkStart w:id="6" w:name="_Hlk82369016"/>
      <w:r w:rsidRPr="002265A6">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3DD1FAF6" w14:textId="77777777" w:rsidR="002265A6" w:rsidRPr="002265A6" w:rsidRDefault="002265A6" w:rsidP="002265A6">
      <w:pPr>
        <w:spacing w:line="240" w:lineRule="auto"/>
        <w:ind w:left="426" w:right="420" w:firstLine="1"/>
        <w:rPr>
          <w:rFonts w:eastAsia="Calibri" w:cs="Tahoma"/>
          <w:i/>
          <w:sz w:val="22"/>
          <w:szCs w:val="24"/>
        </w:rPr>
      </w:pPr>
    </w:p>
    <w:p w14:paraId="3B958E14" w14:textId="77777777" w:rsidR="002265A6" w:rsidRPr="002265A6" w:rsidRDefault="002265A6" w:rsidP="002265A6">
      <w:pPr>
        <w:spacing w:line="240" w:lineRule="auto"/>
        <w:ind w:left="426" w:right="420" w:firstLine="1"/>
        <w:rPr>
          <w:rFonts w:eastAsia="Calibri" w:cs="Tahoma"/>
          <w:i/>
          <w:sz w:val="22"/>
          <w:szCs w:val="24"/>
        </w:rPr>
      </w:pPr>
      <w:r w:rsidRPr="002265A6">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3785F84" w14:textId="77777777" w:rsidR="002265A6" w:rsidRPr="002265A6" w:rsidRDefault="002265A6" w:rsidP="002265A6">
      <w:pPr>
        <w:spacing w:line="240" w:lineRule="auto"/>
        <w:ind w:left="426" w:right="420" w:firstLine="1"/>
        <w:rPr>
          <w:rFonts w:eastAsia="Calibri" w:cs="Tahoma"/>
          <w:i/>
          <w:sz w:val="22"/>
          <w:szCs w:val="24"/>
        </w:rPr>
      </w:pPr>
    </w:p>
    <w:p w14:paraId="6BF54B61" w14:textId="77777777" w:rsidR="002265A6" w:rsidRPr="002265A6" w:rsidRDefault="002265A6" w:rsidP="002265A6">
      <w:pPr>
        <w:spacing w:line="240" w:lineRule="auto"/>
        <w:ind w:left="426" w:right="420" w:firstLine="1"/>
        <w:rPr>
          <w:rFonts w:eastAsia="Calibri" w:cs="Tahoma"/>
          <w:i/>
          <w:sz w:val="22"/>
          <w:szCs w:val="24"/>
        </w:rPr>
      </w:pPr>
      <w:r w:rsidRPr="002265A6">
        <w:rPr>
          <w:rFonts w:eastAsia="Calibri" w:cs="Tahoma"/>
          <w:i/>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C59AEF7" w14:textId="77777777" w:rsidR="002265A6" w:rsidRPr="002265A6" w:rsidRDefault="002265A6" w:rsidP="002265A6">
      <w:pPr>
        <w:spacing w:line="240" w:lineRule="auto"/>
        <w:ind w:left="426" w:right="420" w:firstLine="1"/>
        <w:rPr>
          <w:rFonts w:eastAsia="Calibri" w:cs="Tahoma"/>
          <w:i/>
          <w:sz w:val="22"/>
          <w:szCs w:val="24"/>
        </w:rPr>
      </w:pPr>
    </w:p>
    <w:p w14:paraId="579A14C4" w14:textId="77777777" w:rsidR="002265A6" w:rsidRPr="002265A6" w:rsidRDefault="002265A6" w:rsidP="002265A6">
      <w:pPr>
        <w:spacing w:line="240" w:lineRule="auto"/>
        <w:ind w:left="426" w:right="420" w:firstLine="1"/>
        <w:rPr>
          <w:rFonts w:eastAsia="Calibri" w:cs="Tahoma"/>
          <w:i/>
          <w:sz w:val="22"/>
          <w:szCs w:val="24"/>
        </w:rPr>
      </w:pPr>
      <w:r w:rsidRPr="002265A6">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bookmarkEnd w:id="6"/>
    <w:p w14:paraId="449C5F25" w14:textId="77777777" w:rsidR="00CE0E35" w:rsidRPr="009D48B9" w:rsidRDefault="00CE0E35" w:rsidP="009D48B9">
      <w:pPr>
        <w:widowControl w:val="0"/>
        <w:tabs>
          <w:tab w:val="left" w:pos="709"/>
        </w:tabs>
        <w:autoSpaceDE w:val="0"/>
        <w:autoSpaceDN w:val="0"/>
        <w:adjustRightInd w:val="0"/>
        <w:spacing w:line="276" w:lineRule="auto"/>
        <w:ind w:firstLine="709"/>
        <w:rPr>
          <w:rFonts w:cs="Tahoma"/>
          <w:bCs/>
          <w:szCs w:val="24"/>
        </w:rPr>
      </w:pPr>
    </w:p>
    <w:p w14:paraId="3DFAEC2D" w14:textId="77777777" w:rsidR="00CE0E35" w:rsidRPr="009D48B9" w:rsidRDefault="00CE0E35" w:rsidP="009D48B9">
      <w:pPr>
        <w:widowControl w:val="0"/>
        <w:tabs>
          <w:tab w:val="left" w:pos="709"/>
        </w:tabs>
        <w:autoSpaceDE w:val="0"/>
        <w:autoSpaceDN w:val="0"/>
        <w:adjustRightInd w:val="0"/>
        <w:spacing w:line="276" w:lineRule="auto"/>
        <w:ind w:firstLine="709"/>
        <w:rPr>
          <w:rFonts w:cs="Tahoma"/>
          <w:bCs/>
          <w:szCs w:val="24"/>
        </w:rPr>
      </w:pPr>
      <w:r w:rsidRPr="009D48B9">
        <w:rPr>
          <w:rFonts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9D48B9">
        <w:rPr>
          <w:rFonts w:cs="Tahoma"/>
          <w:bCs/>
          <w:szCs w:val="24"/>
          <w:vertAlign w:val="superscript"/>
        </w:rPr>
        <w:footnoteReference w:id="5"/>
      </w:r>
      <w:r w:rsidRPr="009D48B9">
        <w:rPr>
          <w:rFonts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E435D1A" w14:textId="77777777" w:rsidR="00CE0E35" w:rsidRPr="009D48B9" w:rsidRDefault="00CE0E35" w:rsidP="009D48B9">
      <w:pPr>
        <w:tabs>
          <w:tab w:val="left" w:pos="709"/>
        </w:tabs>
        <w:spacing w:line="276" w:lineRule="auto"/>
        <w:ind w:firstLine="709"/>
        <w:rPr>
          <w:rFonts w:cs="Tahoma"/>
          <w:bCs/>
          <w:i/>
          <w:szCs w:val="24"/>
        </w:rPr>
      </w:pPr>
    </w:p>
    <w:p w14:paraId="7883DBD3" w14:textId="77777777" w:rsidR="002265A6" w:rsidRPr="002265A6" w:rsidRDefault="002265A6" w:rsidP="002265A6">
      <w:pPr>
        <w:spacing w:line="240" w:lineRule="auto"/>
        <w:ind w:left="426" w:right="420"/>
        <w:rPr>
          <w:rFonts w:eastAsia="Calibri" w:cs="Tahoma"/>
          <w:i/>
          <w:sz w:val="22"/>
          <w:szCs w:val="24"/>
          <w:lang w:val="es-ES"/>
        </w:rPr>
      </w:pPr>
      <w:bookmarkStart w:id="7" w:name="_Hlk82369052"/>
      <w:r w:rsidRPr="002265A6">
        <w:rPr>
          <w:rFonts w:eastAsia="Calibri" w:cs="Tahoma"/>
          <w:i/>
          <w:sz w:val="22"/>
          <w:szCs w:val="24"/>
          <w:lang w:val="es-ES"/>
        </w:rPr>
        <w:lastRenderedPageBreak/>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w:t>
      </w:r>
      <w:proofErr w:type="spellStart"/>
      <w:r w:rsidRPr="002265A6">
        <w:rPr>
          <w:rFonts w:eastAsia="Calibri" w:cs="Tahoma"/>
          <w:i/>
          <w:sz w:val="22"/>
          <w:szCs w:val="24"/>
          <w:lang w:val="es-ES"/>
        </w:rPr>
        <w:t>iii</w:t>
      </w:r>
      <w:proofErr w:type="spellEnd"/>
      <w:r w:rsidRPr="002265A6">
        <w:rPr>
          <w:rFonts w:eastAsia="Calibri" w:cs="Tahoma"/>
          <w:i/>
          <w:sz w:val="22"/>
          <w:szCs w:val="24"/>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595320C" w14:textId="77777777" w:rsidR="002265A6" w:rsidRPr="002265A6" w:rsidRDefault="002265A6" w:rsidP="002265A6">
      <w:pPr>
        <w:spacing w:line="240" w:lineRule="auto"/>
        <w:ind w:left="426" w:right="420" w:firstLine="708"/>
        <w:rPr>
          <w:rFonts w:eastAsia="Calibri" w:cs="Tahoma"/>
          <w:b/>
          <w:i/>
          <w:sz w:val="22"/>
          <w:szCs w:val="24"/>
          <w:lang w:val="es-ES"/>
        </w:rPr>
      </w:pPr>
    </w:p>
    <w:p w14:paraId="77ADF50F" w14:textId="77777777" w:rsidR="002265A6" w:rsidRPr="002265A6" w:rsidRDefault="002265A6" w:rsidP="002265A6">
      <w:pPr>
        <w:tabs>
          <w:tab w:val="left" w:pos="709"/>
        </w:tabs>
        <w:spacing w:line="240" w:lineRule="auto"/>
        <w:ind w:left="426" w:right="420"/>
        <w:rPr>
          <w:rFonts w:eastAsia="Calibri" w:cs="Tahoma"/>
          <w:i/>
          <w:sz w:val="22"/>
          <w:szCs w:val="24"/>
          <w:lang w:val="es-ES"/>
        </w:rPr>
      </w:pPr>
      <w:r w:rsidRPr="002265A6">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bookmarkEnd w:id="7"/>
    <w:p w14:paraId="5EEF76CB" w14:textId="77777777" w:rsidR="00CE0E35" w:rsidRPr="009D48B9" w:rsidRDefault="00CE0E35" w:rsidP="009D48B9">
      <w:pPr>
        <w:spacing w:line="276" w:lineRule="auto"/>
        <w:rPr>
          <w:rFonts w:cs="Tahoma"/>
          <w:spacing w:val="-4"/>
          <w:szCs w:val="24"/>
        </w:rPr>
      </w:pPr>
    </w:p>
    <w:p w14:paraId="23AD3F76" w14:textId="77777777" w:rsidR="00CE0E35" w:rsidRPr="009D48B9" w:rsidRDefault="00CE0E35" w:rsidP="009D48B9">
      <w:pPr>
        <w:spacing w:line="276" w:lineRule="auto"/>
        <w:ind w:firstLine="708"/>
        <w:rPr>
          <w:rFonts w:cs="Tahoma"/>
          <w:szCs w:val="24"/>
        </w:rPr>
      </w:pPr>
      <w:r w:rsidRPr="009D48B9">
        <w:rPr>
          <w:rFonts w:eastAsia="Arial Narrow" w:cs="Tahoma"/>
          <w:bCs/>
          <w:szCs w:val="24"/>
        </w:rPr>
        <w:t xml:space="preserve">Igual cosa se ha predicado de las </w:t>
      </w:r>
      <w:proofErr w:type="spellStart"/>
      <w:r w:rsidRPr="009D48B9">
        <w:rPr>
          <w:rFonts w:eastAsia="Arial Narrow" w:cs="Tahoma"/>
          <w:bCs/>
          <w:szCs w:val="24"/>
        </w:rPr>
        <w:t>reasesorías</w:t>
      </w:r>
      <w:proofErr w:type="spellEnd"/>
      <w:r w:rsidRPr="009D48B9">
        <w:rPr>
          <w:rFonts w:eastAsia="Arial Narrow" w:cs="Tahoma"/>
          <w:bCs/>
          <w:szCs w:val="24"/>
        </w:rPr>
        <w:t xml:space="preserve"> posteriores dadas al interior de las AFP</w:t>
      </w:r>
      <w:r w:rsidRPr="009D48B9">
        <w:rPr>
          <w:rFonts w:eastAsia="Arial Narrow" w:cs="Tahoma"/>
          <w:szCs w:val="24"/>
        </w:rPr>
        <w:t xml:space="preserve">, las cuales tampoco convalidan el traslado, como quedó dicho en la citada </w:t>
      </w:r>
      <w:r w:rsidRPr="009D48B9">
        <w:rPr>
          <w:rFonts w:cs="Tahoma"/>
          <w:szCs w:val="24"/>
        </w:rPr>
        <w:t xml:space="preserve">sentencia del 8 de mayo de 2019 SL 1688-2019, así: </w:t>
      </w:r>
    </w:p>
    <w:p w14:paraId="4868530E" w14:textId="77777777" w:rsidR="00CE0E35" w:rsidRPr="009D48B9" w:rsidRDefault="00CE0E35" w:rsidP="009D48B9">
      <w:pPr>
        <w:spacing w:line="276" w:lineRule="auto"/>
        <w:ind w:firstLine="709"/>
        <w:rPr>
          <w:rFonts w:eastAsia="Arial Narrow" w:cs="Tahoma"/>
          <w:i/>
          <w:iCs/>
          <w:szCs w:val="24"/>
        </w:rPr>
      </w:pPr>
      <w:r w:rsidRPr="009D48B9">
        <w:rPr>
          <w:rFonts w:eastAsia="Arial Narrow" w:cs="Tahoma"/>
          <w:szCs w:val="24"/>
        </w:rPr>
        <w:t xml:space="preserve">  </w:t>
      </w:r>
    </w:p>
    <w:p w14:paraId="3128D065" w14:textId="77777777" w:rsidR="00B32B7C" w:rsidRPr="00B32B7C" w:rsidRDefault="00B32B7C" w:rsidP="00B32B7C">
      <w:pPr>
        <w:spacing w:line="240" w:lineRule="auto"/>
        <w:ind w:left="426" w:right="420"/>
        <w:rPr>
          <w:rFonts w:eastAsia="Calibri" w:cs="Tahoma"/>
          <w:i/>
          <w:sz w:val="22"/>
          <w:szCs w:val="24"/>
          <w:lang w:val="es-ES"/>
        </w:rPr>
      </w:pPr>
      <w:bookmarkStart w:id="8" w:name="_Hlk82369089"/>
      <w:r w:rsidRPr="00B32B7C">
        <w:rPr>
          <w:rFonts w:eastAsia="Calibri" w:cs="Tahoma"/>
          <w:i/>
          <w:sz w:val="22"/>
          <w:szCs w:val="24"/>
          <w:lang w:val="es-ES"/>
        </w:rPr>
        <w:t xml:space="preserve">“Ahora, si bien la AFP brindó a la actora una </w:t>
      </w:r>
      <w:proofErr w:type="spellStart"/>
      <w:r w:rsidRPr="00B32B7C">
        <w:rPr>
          <w:rFonts w:eastAsia="Calibri" w:cs="Tahoma"/>
          <w:i/>
          <w:sz w:val="22"/>
          <w:szCs w:val="24"/>
          <w:lang w:val="es-ES"/>
        </w:rPr>
        <w:t>reasesoría</w:t>
      </w:r>
      <w:proofErr w:type="spellEnd"/>
      <w:r w:rsidRPr="00B32B7C">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5CF802C" w14:textId="77777777" w:rsidR="00B32B7C" w:rsidRPr="00B32B7C" w:rsidRDefault="00B32B7C" w:rsidP="00B32B7C">
      <w:pPr>
        <w:spacing w:line="240" w:lineRule="auto"/>
        <w:ind w:left="426" w:right="420" w:firstLine="709"/>
        <w:rPr>
          <w:rFonts w:eastAsia="Arial Narrow" w:cs="Tahoma"/>
          <w:i/>
          <w:iCs/>
          <w:sz w:val="22"/>
          <w:szCs w:val="24"/>
          <w:lang w:val="es"/>
        </w:rPr>
      </w:pPr>
      <w:r w:rsidRPr="00B32B7C">
        <w:rPr>
          <w:rFonts w:eastAsia="Arial Narrow" w:cs="Tahoma"/>
          <w:i/>
          <w:iCs/>
          <w:sz w:val="22"/>
          <w:szCs w:val="24"/>
          <w:lang w:val="es"/>
        </w:rPr>
        <w:t xml:space="preserve"> </w:t>
      </w:r>
    </w:p>
    <w:p w14:paraId="0474C46C" w14:textId="77777777" w:rsidR="00B32B7C" w:rsidRPr="00B32B7C" w:rsidRDefault="00B32B7C" w:rsidP="00B32B7C">
      <w:pPr>
        <w:spacing w:line="240" w:lineRule="auto"/>
        <w:ind w:left="426" w:right="420"/>
        <w:rPr>
          <w:rFonts w:eastAsia="Calibri" w:cs="Tahoma"/>
          <w:i/>
          <w:sz w:val="22"/>
          <w:szCs w:val="24"/>
          <w:lang w:val="es-ES"/>
        </w:rPr>
      </w:pPr>
      <w:r w:rsidRPr="00B32B7C">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32B7C">
        <w:rPr>
          <w:rFonts w:eastAsia="Calibri" w:cs="Tahoma"/>
          <w:i/>
          <w:sz w:val="22"/>
          <w:szCs w:val="24"/>
          <w:lang w:val="es-ES"/>
        </w:rPr>
        <w:t>reasesoría</w:t>
      </w:r>
      <w:proofErr w:type="spellEnd"/>
      <w:r w:rsidRPr="00B32B7C">
        <w:rPr>
          <w:rFonts w:eastAsia="Calibri" w:cs="Tahoma"/>
          <w:i/>
          <w:sz w:val="22"/>
          <w:szCs w:val="24"/>
          <w:lang w:val="es-ES"/>
        </w:rPr>
        <w:t>, de todas formas ya había perdido la transición.</w:t>
      </w:r>
    </w:p>
    <w:p w14:paraId="0EA00BB3" w14:textId="77777777" w:rsidR="00B32B7C" w:rsidRPr="00B32B7C" w:rsidRDefault="00B32B7C" w:rsidP="00B32B7C">
      <w:pPr>
        <w:spacing w:line="240" w:lineRule="auto"/>
        <w:ind w:left="426" w:right="420" w:firstLine="709"/>
        <w:rPr>
          <w:rFonts w:eastAsia="Arial Narrow" w:cs="Tahoma"/>
          <w:i/>
          <w:iCs/>
          <w:sz w:val="22"/>
          <w:szCs w:val="24"/>
          <w:lang w:val="es"/>
        </w:rPr>
      </w:pPr>
      <w:r w:rsidRPr="00B32B7C">
        <w:rPr>
          <w:rFonts w:eastAsia="Arial Narrow" w:cs="Tahoma"/>
          <w:i/>
          <w:iCs/>
          <w:sz w:val="22"/>
          <w:szCs w:val="24"/>
          <w:lang w:val="es"/>
        </w:rPr>
        <w:t xml:space="preserve"> </w:t>
      </w:r>
    </w:p>
    <w:p w14:paraId="2CED88CD" w14:textId="77777777" w:rsidR="00B32B7C" w:rsidRPr="00B32B7C" w:rsidRDefault="00B32B7C" w:rsidP="00B32B7C">
      <w:pPr>
        <w:spacing w:line="240" w:lineRule="auto"/>
        <w:ind w:left="426" w:right="420"/>
        <w:rPr>
          <w:rFonts w:eastAsia="Calibri" w:cs="Tahoma"/>
          <w:i/>
          <w:sz w:val="22"/>
          <w:szCs w:val="24"/>
          <w:lang w:val="es-ES"/>
        </w:rPr>
      </w:pPr>
      <w:r w:rsidRPr="00B32B7C">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FA5F1D9" w14:textId="77777777" w:rsidR="00B32B7C" w:rsidRPr="00B32B7C" w:rsidRDefault="00B32B7C" w:rsidP="00B32B7C">
      <w:pPr>
        <w:spacing w:line="240" w:lineRule="auto"/>
        <w:ind w:left="426" w:right="420" w:firstLine="709"/>
        <w:rPr>
          <w:rFonts w:eastAsia="Arial Narrow" w:cs="Tahoma"/>
          <w:i/>
          <w:iCs/>
          <w:sz w:val="22"/>
          <w:szCs w:val="24"/>
          <w:lang w:val="es"/>
        </w:rPr>
      </w:pPr>
      <w:r w:rsidRPr="00B32B7C">
        <w:rPr>
          <w:rFonts w:eastAsia="Arial Narrow" w:cs="Tahoma"/>
          <w:i/>
          <w:iCs/>
          <w:sz w:val="22"/>
          <w:szCs w:val="24"/>
          <w:lang w:val="es"/>
        </w:rPr>
        <w:t xml:space="preserve"> </w:t>
      </w:r>
    </w:p>
    <w:p w14:paraId="0C3BCF5A" w14:textId="77777777" w:rsidR="00B32B7C" w:rsidRPr="00B32B7C" w:rsidRDefault="00B32B7C" w:rsidP="00B32B7C">
      <w:pPr>
        <w:spacing w:line="240" w:lineRule="auto"/>
        <w:ind w:left="426" w:right="420"/>
        <w:rPr>
          <w:rFonts w:eastAsia="Calibri" w:cs="Tahoma"/>
          <w:i/>
          <w:sz w:val="22"/>
          <w:szCs w:val="24"/>
          <w:lang w:val="es-ES"/>
        </w:rPr>
      </w:pPr>
      <w:r w:rsidRPr="00B32B7C">
        <w:rPr>
          <w:rFonts w:eastAsia="Calibri" w:cs="Tahoma"/>
          <w:i/>
          <w:sz w:val="22"/>
          <w:szCs w:val="24"/>
          <w:lang w:val="es-ES"/>
        </w:rPr>
        <w:t xml:space="preserve">Por otro lado, no es de recibo el planteo de Protección S.A., cuando sostiene que una vez realizó la </w:t>
      </w:r>
      <w:proofErr w:type="spellStart"/>
      <w:r w:rsidRPr="00B32B7C">
        <w:rPr>
          <w:rFonts w:eastAsia="Calibri" w:cs="Tahoma"/>
          <w:i/>
          <w:sz w:val="22"/>
          <w:szCs w:val="24"/>
          <w:lang w:val="es-ES"/>
        </w:rPr>
        <w:t>reasesoría</w:t>
      </w:r>
      <w:proofErr w:type="spellEnd"/>
      <w:r w:rsidRPr="00B32B7C">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bookmarkEnd w:id="8"/>
    <w:p w14:paraId="26C1BD24" w14:textId="77777777" w:rsidR="00CE0E35" w:rsidRPr="009D48B9" w:rsidRDefault="00CE0E35" w:rsidP="009D48B9">
      <w:pPr>
        <w:spacing w:line="276" w:lineRule="auto"/>
        <w:ind w:left="708" w:firstLine="709"/>
        <w:rPr>
          <w:rFonts w:cs="Tahoma"/>
          <w:spacing w:val="-4"/>
          <w:szCs w:val="24"/>
        </w:rPr>
      </w:pPr>
    </w:p>
    <w:p w14:paraId="7181DE8C" w14:textId="77777777" w:rsidR="00CE0E35" w:rsidRPr="009D48B9" w:rsidRDefault="00CE0E35" w:rsidP="009D48B9">
      <w:pPr>
        <w:numPr>
          <w:ilvl w:val="1"/>
          <w:numId w:val="9"/>
        </w:numPr>
        <w:spacing w:line="276" w:lineRule="auto"/>
        <w:contextualSpacing/>
        <w:jc w:val="left"/>
        <w:rPr>
          <w:rFonts w:eastAsia="Times New Roman" w:cs="Tahoma"/>
          <w:b/>
          <w:iCs/>
          <w:spacing w:val="-4"/>
          <w:szCs w:val="24"/>
          <w:lang w:eastAsia="es-ES"/>
        </w:rPr>
      </w:pPr>
      <w:r w:rsidRPr="009D48B9">
        <w:rPr>
          <w:rFonts w:eastAsia="Times New Roman" w:cs="Tahoma"/>
          <w:b/>
          <w:iCs/>
          <w:spacing w:val="-4"/>
          <w:szCs w:val="24"/>
          <w:lang w:eastAsia="es-ES"/>
        </w:rPr>
        <w:lastRenderedPageBreak/>
        <w:t xml:space="preserve">“De la carga de la prueba – Inversión a favor del afiliado” </w:t>
      </w:r>
      <w:r w:rsidRPr="009D48B9">
        <w:rPr>
          <w:rFonts w:eastAsia="Times New Roman" w:cs="Tahoma"/>
          <w:b/>
          <w:iCs/>
          <w:spacing w:val="-4"/>
          <w:szCs w:val="24"/>
          <w:vertAlign w:val="superscript"/>
          <w:lang w:eastAsia="es-ES"/>
        </w:rPr>
        <w:footnoteReference w:id="6"/>
      </w:r>
    </w:p>
    <w:p w14:paraId="1E43A436" w14:textId="77777777" w:rsidR="00CE0E35" w:rsidRPr="009D48B9" w:rsidRDefault="00CE0E35" w:rsidP="009D48B9">
      <w:pPr>
        <w:spacing w:line="276" w:lineRule="auto"/>
        <w:ind w:firstLine="708"/>
        <w:rPr>
          <w:rFonts w:cs="Tahoma"/>
          <w:b/>
          <w:spacing w:val="-4"/>
          <w:szCs w:val="24"/>
        </w:rPr>
      </w:pPr>
    </w:p>
    <w:p w14:paraId="23FF6F21" w14:textId="77777777" w:rsidR="00CE0E35" w:rsidRPr="009D48B9" w:rsidRDefault="00CE0E35" w:rsidP="009D48B9">
      <w:pPr>
        <w:spacing w:line="276" w:lineRule="auto"/>
        <w:ind w:firstLine="709"/>
        <w:rPr>
          <w:rFonts w:cs="Tahoma"/>
          <w:spacing w:val="-4"/>
          <w:szCs w:val="24"/>
        </w:rPr>
      </w:pPr>
      <w:r w:rsidRPr="009D48B9">
        <w:rPr>
          <w:rFonts w:cs="Tahoma"/>
          <w:spacing w:val="-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B32B7C">
        <w:rPr>
          <w:rFonts w:cs="Tahoma"/>
          <w:i/>
          <w:spacing w:val="-4"/>
          <w:sz w:val="22"/>
          <w:szCs w:val="24"/>
        </w:rPr>
        <w:t>la prueba de la diligencia o cuidado incumbe al que ha debido emplearlo</w:t>
      </w:r>
      <w:r w:rsidRPr="009D48B9">
        <w:rPr>
          <w:rFonts w:cs="Tahoma"/>
          <w:i/>
          <w:spacing w:val="-4"/>
          <w:szCs w:val="24"/>
        </w:rPr>
        <w:t>”</w:t>
      </w:r>
      <w:r w:rsidRPr="009D48B9">
        <w:rPr>
          <w:rFonts w:cs="Tahoma"/>
          <w:spacing w:val="-4"/>
          <w:szCs w:val="24"/>
        </w:rPr>
        <w:t xml:space="preserve"> lo que quiere decir que la carga de la prueba recae en el fondo de pensiones. Dicha postura se ha mantenido invariable, y se reiteró de manera más contundente en la citada sentencia, así: </w:t>
      </w:r>
    </w:p>
    <w:p w14:paraId="195711B8" w14:textId="77777777" w:rsidR="00CE0E35" w:rsidRPr="009D48B9" w:rsidRDefault="00CE0E35" w:rsidP="009D48B9">
      <w:pPr>
        <w:spacing w:line="276" w:lineRule="auto"/>
        <w:ind w:firstLine="708"/>
        <w:rPr>
          <w:rFonts w:cs="Tahoma"/>
          <w:spacing w:val="-4"/>
          <w:szCs w:val="24"/>
        </w:rPr>
      </w:pPr>
    </w:p>
    <w:p w14:paraId="3F7296F4" w14:textId="77777777" w:rsidR="00B32B7C" w:rsidRPr="00B32B7C" w:rsidRDefault="00B32B7C" w:rsidP="00B32B7C">
      <w:pPr>
        <w:spacing w:line="240" w:lineRule="auto"/>
        <w:ind w:left="426" w:right="420" w:firstLine="1"/>
        <w:rPr>
          <w:rFonts w:eastAsia="Calibri" w:cs="Tahoma"/>
          <w:i/>
          <w:sz w:val="22"/>
          <w:lang w:val="es-ES"/>
        </w:rPr>
      </w:pPr>
      <w:r w:rsidRPr="00B32B7C">
        <w:rPr>
          <w:rFonts w:eastAsia="Calibri" w:cs="Tahoma"/>
          <w:sz w:val="22"/>
          <w:lang w:val="es-ES"/>
        </w:rPr>
        <w:t>“</w:t>
      </w:r>
      <w:r w:rsidRPr="00B32B7C">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A15E9C1" w14:textId="77777777" w:rsidR="00B32B7C" w:rsidRPr="00B32B7C" w:rsidRDefault="00B32B7C" w:rsidP="00B32B7C">
      <w:pPr>
        <w:spacing w:line="240" w:lineRule="auto"/>
        <w:ind w:left="426" w:right="420" w:firstLine="1"/>
        <w:rPr>
          <w:rFonts w:eastAsia="Calibri" w:cs="Tahoma"/>
          <w:i/>
          <w:sz w:val="22"/>
          <w:lang w:val="es-ES"/>
        </w:rPr>
      </w:pPr>
    </w:p>
    <w:p w14:paraId="25B56629" w14:textId="77777777" w:rsidR="00B32B7C" w:rsidRPr="00B32B7C" w:rsidRDefault="00B32B7C" w:rsidP="00B32B7C">
      <w:pPr>
        <w:spacing w:line="240" w:lineRule="auto"/>
        <w:ind w:left="426" w:right="420" w:firstLine="1"/>
        <w:rPr>
          <w:rFonts w:eastAsia="Calibri" w:cs="Tahoma"/>
          <w:i/>
          <w:sz w:val="22"/>
          <w:lang w:val="es-ES"/>
        </w:rPr>
      </w:pPr>
      <w:r w:rsidRPr="00B32B7C">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B1CEC97" w14:textId="77777777" w:rsidR="00B32B7C" w:rsidRPr="00B32B7C" w:rsidRDefault="00B32B7C" w:rsidP="00B32B7C">
      <w:pPr>
        <w:spacing w:line="240" w:lineRule="auto"/>
        <w:ind w:left="426" w:right="420" w:firstLine="1"/>
        <w:rPr>
          <w:rFonts w:eastAsia="Calibri" w:cs="Tahoma"/>
          <w:i/>
          <w:sz w:val="22"/>
          <w:lang w:val="es-ES"/>
        </w:rPr>
      </w:pPr>
    </w:p>
    <w:p w14:paraId="5FAD3173" w14:textId="77777777" w:rsidR="00B32B7C" w:rsidRPr="00B32B7C" w:rsidRDefault="00B32B7C" w:rsidP="00B32B7C">
      <w:pPr>
        <w:spacing w:line="240" w:lineRule="auto"/>
        <w:ind w:left="426" w:right="420" w:firstLine="1"/>
        <w:rPr>
          <w:rFonts w:eastAsia="Calibri" w:cs="Tahoma"/>
          <w:i/>
          <w:sz w:val="22"/>
          <w:lang w:val="es-ES"/>
        </w:rPr>
      </w:pPr>
      <w:r w:rsidRPr="00B32B7C">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24EE564" w14:textId="77777777" w:rsidR="00B32B7C" w:rsidRPr="00B32B7C" w:rsidRDefault="00B32B7C" w:rsidP="00B32B7C">
      <w:pPr>
        <w:spacing w:line="240" w:lineRule="auto"/>
        <w:ind w:left="426" w:right="420" w:firstLine="1"/>
        <w:rPr>
          <w:rFonts w:eastAsia="Calibri" w:cs="Tahoma"/>
          <w:i/>
          <w:sz w:val="22"/>
          <w:lang w:val="es-ES"/>
        </w:rPr>
      </w:pPr>
    </w:p>
    <w:p w14:paraId="77C2F448" w14:textId="77777777" w:rsidR="00B32B7C" w:rsidRPr="00B32B7C" w:rsidRDefault="00B32B7C" w:rsidP="00B32B7C">
      <w:pPr>
        <w:spacing w:line="240" w:lineRule="auto"/>
        <w:ind w:left="426" w:right="420" w:firstLine="1"/>
        <w:rPr>
          <w:rFonts w:eastAsia="Calibri" w:cs="Tahoma"/>
          <w:i/>
          <w:iCs/>
          <w:sz w:val="22"/>
          <w:lang w:val="es-ES"/>
        </w:rPr>
      </w:pPr>
      <w:r w:rsidRPr="00B32B7C">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B32B7C">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0D226EE3" w14:textId="77777777" w:rsidR="00B32B7C" w:rsidRPr="00B32B7C" w:rsidRDefault="00B32B7C" w:rsidP="00B32B7C">
      <w:pPr>
        <w:spacing w:line="240" w:lineRule="auto"/>
        <w:ind w:left="426" w:right="420" w:firstLine="1"/>
        <w:rPr>
          <w:rFonts w:eastAsia="Calibri" w:cs="Tahoma"/>
          <w:i/>
          <w:iCs/>
          <w:sz w:val="22"/>
          <w:lang w:val="es-ES"/>
        </w:rPr>
      </w:pPr>
    </w:p>
    <w:p w14:paraId="7D04B056" w14:textId="77777777" w:rsidR="00B32B7C" w:rsidRPr="00B32B7C" w:rsidRDefault="00B32B7C" w:rsidP="00B32B7C">
      <w:pPr>
        <w:spacing w:line="240" w:lineRule="auto"/>
        <w:ind w:left="426" w:right="420" w:firstLine="1"/>
        <w:rPr>
          <w:rFonts w:eastAsia="Calibri" w:cs="Tahoma"/>
          <w:i/>
          <w:iCs/>
          <w:sz w:val="22"/>
          <w:lang w:val="es-ES"/>
        </w:rPr>
      </w:pPr>
      <w:r w:rsidRPr="00B32B7C">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7EDC416" w14:textId="77777777" w:rsidR="00B32B7C" w:rsidRPr="00B32B7C" w:rsidRDefault="00B32B7C" w:rsidP="00B32B7C">
      <w:pPr>
        <w:spacing w:line="240" w:lineRule="auto"/>
        <w:ind w:left="426" w:right="420" w:firstLine="1"/>
        <w:rPr>
          <w:rFonts w:eastAsia="Calibri" w:cs="Tahoma"/>
          <w:i/>
          <w:iCs/>
          <w:sz w:val="22"/>
          <w:lang w:val="es-ES"/>
        </w:rPr>
      </w:pPr>
    </w:p>
    <w:p w14:paraId="378848C0" w14:textId="77777777" w:rsidR="00B32B7C" w:rsidRPr="00B32B7C" w:rsidRDefault="00B32B7C" w:rsidP="00B32B7C">
      <w:pPr>
        <w:spacing w:line="240" w:lineRule="auto"/>
        <w:ind w:left="426" w:right="420" w:firstLine="1"/>
        <w:rPr>
          <w:rFonts w:eastAsia="Calibri" w:cs="Tahoma"/>
          <w:i/>
          <w:iCs/>
          <w:sz w:val="22"/>
          <w:lang w:val="es-ES"/>
        </w:rPr>
      </w:pPr>
      <w:r w:rsidRPr="00B32B7C">
        <w:rPr>
          <w:rFonts w:eastAsia="Calibri"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w:t>
      </w:r>
      <w:proofErr w:type="spellStart"/>
      <w:r w:rsidRPr="00B32B7C">
        <w:rPr>
          <w:rFonts w:eastAsia="Calibri" w:cs="Tahoma"/>
          <w:i/>
          <w:sz w:val="22"/>
          <w:lang w:val="es-ES"/>
        </w:rPr>
        <w:t>iii</w:t>
      </w:r>
      <w:proofErr w:type="spellEnd"/>
      <w:r w:rsidRPr="00B32B7C">
        <w:rPr>
          <w:rFonts w:eastAsia="Calibri" w:cs="Tahoma"/>
          <w:i/>
          <w:sz w:val="22"/>
          <w:lang w:val="es-ES"/>
        </w:rPr>
        <w:t xml:space="preserve">) es esta entidad la que está obligada a observar la obligación de brindar información y, más aún, probar ante las autoridades administrativas y judiciales su pleno cumplimiento. </w:t>
      </w:r>
    </w:p>
    <w:p w14:paraId="025BAF8B" w14:textId="77777777" w:rsidR="00B32B7C" w:rsidRPr="00B32B7C" w:rsidRDefault="00B32B7C" w:rsidP="00B32B7C">
      <w:pPr>
        <w:spacing w:line="240" w:lineRule="auto"/>
        <w:ind w:left="426" w:right="420" w:firstLine="1"/>
        <w:rPr>
          <w:rFonts w:eastAsia="Calibri" w:cs="Tahoma"/>
          <w:i/>
          <w:iCs/>
          <w:sz w:val="22"/>
          <w:lang w:val="es-ES"/>
        </w:rPr>
      </w:pPr>
    </w:p>
    <w:p w14:paraId="126A070B" w14:textId="77777777" w:rsidR="00B32B7C" w:rsidRPr="00B32B7C" w:rsidRDefault="00B32B7C" w:rsidP="00B32B7C">
      <w:pPr>
        <w:spacing w:line="240" w:lineRule="auto"/>
        <w:ind w:left="426" w:right="420" w:firstLine="1"/>
        <w:rPr>
          <w:rFonts w:eastAsia="Calibri" w:cs="Tahoma"/>
          <w:sz w:val="22"/>
          <w:lang w:val="es-ES"/>
        </w:rPr>
      </w:pPr>
      <w:r w:rsidRPr="00B32B7C">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w:t>
      </w:r>
      <w:r w:rsidRPr="00B32B7C">
        <w:rPr>
          <w:rFonts w:eastAsia="Calibri" w:cs="Tahoma"/>
          <w:i/>
          <w:sz w:val="22"/>
          <w:lang w:val="es-ES"/>
        </w:rPr>
        <w:lastRenderedPageBreak/>
        <w:t xml:space="preserve">legislación (art. 11, literal b), L. 1328/2009), considera una práctica abusiva la inversión de la carga de la prueba en disfavor de los consumidores financieros”. </w:t>
      </w:r>
      <w:r w:rsidRPr="00B32B7C">
        <w:rPr>
          <w:rFonts w:eastAsia="Calibri" w:cs="Tahoma"/>
          <w:sz w:val="22"/>
          <w:lang w:val="es-ES"/>
        </w:rPr>
        <w:t xml:space="preserve"> </w:t>
      </w:r>
    </w:p>
    <w:p w14:paraId="444F44AF" w14:textId="77777777" w:rsidR="00CE0E35" w:rsidRPr="009D48B9" w:rsidRDefault="00CE0E35" w:rsidP="009D48B9">
      <w:pPr>
        <w:tabs>
          <w:tab w:val="left" w:pos="3568"/>
        </w:tabs>
        <w:spacing w:line="276" w:lineRule="auto"/>
        <w:rPr>
          <w:rFonts w:cs="Tahoma"/>
          <w:spacing w:val="-4"/>
          <w:szCs w:val="24"/>
        </w:rPr>
      </w:pPr>
    </w:p>
    <w:p w14:paraId="300ABF2C" w14:textId="77777777" w:rsidR="00CE0E35" w:rsidRPr="009D48B9" w:rsidRDefault="00CE0E35" w:rsidP="009D48B9">
      <w:pPr>
        <w:widowControl w:val="0"/>
        <w:numPr>
          <w:ilvl w:val="1"/>
          <w:numId w:val="9"/>
        </w:numPr>
        <w:autoSpaceDE w:val="0"/>
        <w:autoSpaceDN w:val="0"/>
        <w:adjustRightInd w:val="0"/>
        <w:spacing w:line="276" w:lineRule="auto"/>
        <w:ind w:left="0" w:firstLine="709"/>
        <w:contextualSpacing/>
        <w:rPr>
          <w:rFonts w:eastAsia="Times New Roman" w:cs="Tahoma"/>
          <w:b/>
          <w:szCs w:val="24"/>
          <w:lang w:eastAsia="es-ES"/>
        </w:rPr>
      </w:pPr>
      <w:r w:rsidRPr="009D48B9">
        <w:rPr>
          <w:rFonts w:eastAsia="Times New Roman" w:cs="Tahoma"/>
          <w:b/>
          <w:szCs w:val="24"/>
          <w:lang w:eastAsia="es-ES"/>
        </w:rPr>
        <w:t>Consecuencias de la declaratoria de ineficacia del traslado: Devolución de las cuotas de administración y de otros valores debidamente indexados</w:t>
      </w:r>
    </w:p>
    <w:p w14:paraId="2754CD68" w14:textId="77777777" w:rsidR="00CE0E35" w:rsidRPr="009D48B9" w:rsidRDefault="00CE0E35" w:rsidP="009D48B9">
      <w:pPr>
        <w:widowControl w:val="0"/>
        <w:autoSpaceDE w:val="0"/>
        <w:autoSpaceDN w:val="0"/>
        <w:adjustRightInd w:val="0"/>
        <w:spacing w:line="276" w:lineRule="auto"/>
        <w:ind w:left="1428"/>
        <w:contextualSpacing/>
        <w:jc w:val="left"/>
        <w:rPr>
          <w:rFonts w:eastAsia="Times New Roman" w:cs="Tahoma"/>
          <w:szCs w:val="24"/>
          <w:lang w:eastAsia="es-ES"/>
        </w:rPr>
      </w:pPr>
    </w:p>
    <w:p w14:paraId="7B58E120" w14:textId="77777777" w:rsidR="00CE0E35" w:rsidRPr="009D48B9" w:rsidRDefault="00CE0E35" w:rsidP="009D48B9">
      <w:pPr>
        <w:spacing w:line="276" w:lineRule="auto"/>
        <w:ind w:firstLine="709"/>
        <w:rPr>
          <w:rFonts w:cs="Tahoma"/>
          <w:szCs w:val="24"/>
        </w:rPr>
      </w:pPr>
      <w:r w:rsidRPr="009D48B9">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BC17A5E" w14:textId="77777777" w:rsidR="00CE0E35" w:rsidRPr="009D48B9" w:rsidRDefault="00CE0E35" w:rsidP="009D48B9">
      <w:pPr>
        <w:spacing w:line="276" w:lineRule="auto"/>
        <w:ind w:left="644"/>
        <w:contextualSpacing/>
        <w:jc w:val="left"/>
        <w:rPr>
          <w:rFonts w:eastAsia="Times New Roman" w:cs="Tahoma"/>
          <w:szCs w:val="24"/>
          <w:lang w:eastAsia="es-ES"/>
        </w:rPr>
      </w:pPr>
    </w:p>
    <w:p w14:paraId="6BE64240" w14:textId="77777777" w:rsidR="00B32B7C" w:rsidRPr="00B32B7C" w:rsidRDefault="00B32B7C" w:rsidP="00B32B7C">
      <w:pPr>
        <w:tabs>
          <w:tab w:val="left" w:pos="5180"/>
        </w:tabs>
        <w:suppressAutoHyphens/>
        <w:spacing w:line="240" w:lineRule="auto"/>
        <w:ind w:left="426" w:right="420"/>
        <w:contextualSpacing/>
        <w:rPr>
          <w:rFonts w:eastAsia="Calibri" w:cs="Tahoma"/>
          <w:i/>
          <w:sz w:val="22"/>
          <w:szCs w:val="24"/>
          <w:lang w:val="es-ES"/>
        </w:rPr>
      </w:pPr>
      <w:bookmarkStart w:id="9" w:name="_Hlk82369162"/>
      <w:r w:rsidRPr="00B32B7C">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B88702E" w14:textId="77777777" w:rsidR="00B32B7C" w:rsidRPr="00B32B7C" w:rsidRDefault="00B32B7C" w:rsidP="00B32B7C">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3C449A4F" w14:textId="77777777" w:rsidR="00B32B7C" w:rsidRPr="00B32B7C" w:rsidRDefault="00B32B7C" w:rsidP="00B32B7C">
      <w:pPr>
        <w:tabs>
          <w:tab w:val="left" w:pos="5180"/>
        </w:tabs>
        <w:suppressAutoHyphens/>
        <w:spacing w:line="240" w:lineRule="auto"/>
        <w:ind w:left="426" w:right="420"/>
        <w:contextualSpacing/>
        <w:rPr>
          <w:rFonts w:eastAsia="Calibri" w:cs="Tahoma"/>
          <w:i/>
          <w:sz w:val="22"/>
          <w:szCs w:val="24"/>
          <w:lang w:val="es-ES"/>
        </w:rPr>
      </w:pPr>
      <w:r w:rsidRPr="00B32B7C">
        <w:rPr>
          <w:rFonts w:eastAsia="Calibri" w:cs="Tahoma"/>
          <w:i/>
          <w:sz w:val="22"/>
          <w:szCs w:val="24"/>
          <w:lang w:val="es-ES"/>
        </w:rPr>
        <w:t>Sobre las consecuencias de la nulidad del traslado entre regímenes esta Sala en sentencia SL, del 8 de sep. 2008, rad. 31989, reiterada en varias oportunidades, adoctrinó: […]</w:t>
      </w:r>
    </w:p>
    <w:p w14:paraId="2EE09D72" w14:textId="77777777" w:rsidR="00B32B7C" w:rsidRPr="00B32B7C" w:rsidRDefault="00B32B7C" w:rsidP="00B32B7C">
      <w:pPr>
        <w:tabs>
          <w:tab w:val="left" w:pos="5180"/>
        </w:tabs>
        <w:suppressAutoHyphens/>
        <w:spacing w:line="240" w:lineRule="auto"/>
        <w:ind w:left="426" w:right="420"/>
        <w:contextualSpacing/>
        <w:rPr>
          <w:rFonts w:eastAsia="Calibri" w:cs="Tahoma"/>
          <w:i/>
          <w:sz w:val="22"/>
          <w:szCs w:val="24"/>
          <w:lang w:val="es-ES"/>
        </w:rPr>
      </w:pPr>
    </w:p>
    <w:p w14:paraId="7A04E298" w14:textId="77777777" w:rsidR="00B32B7C" w:rsidRPr="00B32B7C" w:rsidRDefault="00B32B7C" w:rsidP="00B32B7C">
      <w:pPr>
        <w:tabs>
          <w:tab w:val="left" w:pos="5180"/>
        </w:tabs>
        <w:suppressAutoHyphens/>
        <w:spacing w:line="240" w:lineRule="auto"/>
        <w:ind w:left="426" w:right="420"/>
        <w:contextualSpacing/>
        <w:rPr>
          <w:rFonts w:eastAsia="Calibri" w:cs="Tahoma"/>
          <w:i/>
          <w:sz w:val="22"/>
          <w:szCs w:val="24"/>
          <w:lang w:val="es-ES"/>
        </w:rPr>
      </w:pPr>
      <w:r w:rsidRPr="00B32B7C">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875ECA9" w14:textId="77777777" w:rsidR="00B32B7C" w:rsidRPr="00B32B7C" w:rsidRDefault="00B32B7C" w:rsidP="00B32B7C">
      <w:pPr>
        <w:tabs>
          <w:tab w:val="left" w:pos="5180"/>
        </w:tabs>
        <w:suppressAutoHyphens/>
        <w:spacing w:line="240" w:lineRule="auto"/>
        <w:ind w:left="426" w:right="420"/>
        <w:contextualSpacing/>
        <w:rPr>
          <w:rFonts w:eastAsia="Calibri" w:cs="Tahoma"/>
          <w:i/>
          <w:sz w:val="22"/>
          <w:szCs w:val="24"/>
          <w:lang w:val="es-ES"/>
        </w:rPr>
      </w:pPr>
    </w:p>
    <w:p w14:paraId="4F04EA95" w14:textId="77777777" w:rsidR="00B32B7C" w:rsidRPr="00B32B7C" w:rsidRDefault="00B32B7C" w:rsidP="00B32B7C">
      <w:pPr>
        <w:tabs>
          <w:tab w:val="left" w:pos="5180"/>
        </w:tabs>
        <w:suppressAutoHyphens/>
        <w:spacing w:line="240" w:lineRule="auto"/>
        <w:ind w:left="426" w:right="420"/>
        <w:contextualSpacing/>
        <w:rPr>
          <w:rFonts w:eastAsia="Calibri" w:cs="Tahoma"/>
          <w:i/>
          <w:sz w:val="22"/>
          <w:szCs w:val="24"/>
          <w:lang w:val="es-ES"/>
        </w:rPr>
      </w:pPr>
      <w:r w:rsidRPr="00B32B7C">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bookmarkEnd w:id="9"/>
    <w:p w14:paraId="0AA83225" w14:textId="77777777" w:rsidR="00B32B7C" w:rsidRPr="00B32B7C" w:rsidRDefault="00B32B7C" w:rsidP="00B32B7C">
      <w:pPr>
        <w:widowControl w:val="0"/>
        <w:autoSpaceDE w:val="0"/>
        <w:autoSpaceDN w:val="0"/>
        <w:adjustRightInd w:val="0"/>
        <w:spacing w:line="276" w:lineRule="auto"/>
        <w:ind w:firstLine="737"/>
        <w:rPr>
          <w:rFonts w:eastAsia="Century Gothic" w:cs="Tahoma"/>
          <w:szCs w:val="24"/>
        </w:rPr>
      </w:pPr>
    </w:p>
    <w:p w14:paraId="71986B03" w14:textId="77777777" w:rsidR="00B32B7C" w:rsidRPr="00B32B7C" w:rsidRDefault="00B32B7C" w:rsidP="00B32B7C">
      <w:pPr>
        <w:widowControl w:val="0"/>
        <w:tabs>
          <w:tab w:val="left" w:pos="567"/>
        </w:tabs>
        <w:autoSpaceDE w:val="0"/>
        <w:autoSpaceDN w:val="0"/>
        <w:adjustRightInd w:val="0"/>
        <w:spacing w:line="276" w:lineRule="auto"/>
        <w:ind w:firstLine="284"/>
        <w:rPr>
          <w:rFonts w:eastAsia="Century Gothic" w:cs="Tahoma"/>
          <w:szCs w:val="24"/>
        </w:rPr>
      </w:pPr>
      <w:r w:rsidRPr="00B32B7C">
        <w:rPr>
          <w:rFonts w:eastAsia="Century Gothic" w:cs="Tahoma"/>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7F4E4D6B" w14:textId="77777777" w:rsidR="00B32B7C" w:rsidRPr="00B32B7C" w:rsidRDefault="00B32B7C" w:rsidP="00B32B7C">
      <w:pPr>
        <w:widowControl w:val="0"/>
        <w:autoSpaceDE w:val="0"/>
        <w:autoSpaceDN w:val="0"/>
        <w:adjustRightInd w:val="0"/>
        <w:spacing w:line="276" w:lineRule="auto"/>
        <w:ind w:firstLine="737"/>
        <w:rPr>
          <w:rFonts w:eastAsia="Century Gothic" w:cs="Tahoma"/>
          <w:szCs w:val="24"/>
        </w:rPr>
      </w:pPr>
    </w:p>
    <w:p w14:paraId="79FD0179" w14:textId="77777777" w:rsidR="00B32B7C" w:rsidRPr="00B32B7C" w:rsidRDefault="00B32B7C" w:rsidP="00B32B7C">
      <w:pPr>
        <w:tabs>
          <w:tab w:val="left" w:pos="5180"/>
        </w:tabs>
        <w:suppressAutoHyphens/>
        <w:spacing w:line="240" w:lineRule="auto"/>
        <w:ind w:left="426" w:right="420"/>
        <w:contextualSpacing/>
        <w:rPr>
          <w:rFonts w:eastAsia="Calibri" w:cs="Tahoma"/>
          <w:i/>
          <w:sz w:val="22"/>
          <w:szCs w:val="24"/>
          <w:lang w:val="es-ES"/>
        </w:rPr>
      </w:pPr>
      <w:bookmarkStart w:id="10" w:name="_Hlk82369193"/>
      <w:r w:rsidRPr="00B32B7C">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bookmarkEnd w:id="10"/>
    <w:p w14:paraId="6A5AB47D" w14:textId="77777777" w:rsidR="00CE0E35" w:rsidRPr="009D48B9" w:rsidRDefault="00CE0E35" w:rsidP="009D48B9">
      <w:pPr>
        <w:tabs>
          <w:tab w:val="left" w:pos="-1440"/>
          <w:tab w:val="left" w:pos="-720"/>
          <w:tab w:val="left" w:pos="5180"/>
        </w:tabs>
        <w:suppressAutoHyphens/>
        <w:spacing w:line="276" w:lineRule="auto"/>
        <w:rPr>
          <w:rFonts w:cs="Tahoma"/>
          <w:szCs w:val="24"/>
        </w:rPr>
      </w:pPr>
    </w:p>
    <w:p w14:paraId="34CB0B9C" w14:textId="77777777" w:rsidR="00CE0E35" w:rsidRPr="009D48B9" w:rsidRDefault="00CE0E35" w:rsidP="009D48B9">
      <w:pPr>
        <w:widowControl w:val="0"/>
        <w:autoSpaceDE w:val="0"/>
        <w:autoSpaceDN w:val="0"/>
        <w:adjustRightInd w:val="0"/>
        <w:spacing w:line="276" w:lineRule="auto"/>
        <w:ind w:firstLine="708"/>
        <w:rPr>
          <w:rFonts w:cs="Tahoma"/>
          <w:szCs w:val="24"/>
        </w:rPr>
      </w:pPr>
      <w:r w:rsidRPr="009D48B9">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w:t>
      </w:r>
      <w:r w:rsidRPr="009D48B9">
        <w:rPr>
          <w:rFonts w:cs="Tahoma"/>
          <w:szCs w:val="24"/>
        </w:rPr>
        <w:lastRenderedPageBreak/>
        <w:t xml:space="preserve">pensión mínima, sumas que deben pagarse debidamente indexadas con el fin de superar el deterioro del dinero en el tiempo. </w:t>
      </w:r>
    </w:p>
    <w:p w14:paraId="6C891E3C" w14:textId="77777777" w:rsidR="00CE0E35" w:rsidRPr="009D48B9" w:rsidRDefault="00CE0E35" w:rsidP="009D48B9">
      <w:pPr>
        <w:widowControl w:val="0"/>
        <w:autoSpaceDE w:val="0"/>
        <w:autoSpaceDN w:val="0"/>
        <w:adjustRightInd w:val="0"/>
        <w:spacing w:line="276" w:lineRule="auto"/>
        <w:rPr>
          <w:rFonts w:cs="Tahoma"/>
          <w:szCs w:val="24"/>
        </w:rPr>
      </w:pPr>
    </w:p>
    <w:p w14:paraId="6359D756" w14:textId="77777777" w:rsidR="00CE0E35" w:rsidRPr="009D48B9" w:rsidRDefault="00CE0E35" w:rsidP="009D48B9">
      <w:pPr>
        <w:widowControl w:val="0"/>
        <w:autoSpaceDE w:val="0"/>
        <w:autoSpaceDN w:val="0"/>
        <w:adjustRightInd w:val="0"/>
        <w:spacing w:line="276" w:lineRule="auto"/>
        <w:rPr>
          <w:rFonts w:cs="Tahoma"/>
          <w:szCs w:val="24"/>
        </w:rPr>
      </w:pPr>
      <w:r w:rsidRPr="009D48B9">
        <w:rPr>
          <w:rFonts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08A6DBAE" w14:textId="77777777" w:rsidR="00CE0E35" w:rsidRPr="009D48B9" w:rsidRDefault="00CE0E35" w:rsidP="009D48B9">
      <w:pPr>
        <w:widowControl w:val="0"/>
        <w:autoSpaceDE w:val="0"/>
        <w:autoSpaceDN w:val="0"/>
        <w:adjustRightInd w:val="0"/>
        <w:spacing w:line="276" w:lineRule="auto"/>
        <w:rPr>
          <w:rFonts w:cs="Tahoma"/>
          <w:b/>
          <w:szCs w:val="24"/>
        </w:rPr>
      </w:pPr>
      <w:r w:rsidRPr="009D48B9">
        <w:rPr>
          <w:rFonts w:cs="Tahoma"/>
          <w:szCs w:val="24"/>
        </w:rPr>
        <w:t xml:space="preserve"> </w:t>
      </w:r>
    </w:p>
    <w:p w14:paraId="04466919" w14:textId="77777777" w:rsidR="00CE0E35" w:rsidRPr="009D48B9" w:rsidRDefault="00CE0E35" w:rsidP="009D48B9">
      <w:pPr>
        <w:widowControl w:val="0"/>
        <w:numPr>
          <w:ilvl w:val="1"/>
          <w:numId w:val="9"/>
        </w:numPr>
        <w:autoSpaceDE w:val="0"/>
        <w:autoSpaceDN w:val="0"/>
        <w:adjustRightInd w:val="0"/>
        <w:spacing w:line="276" w:lineRule="auto"/>
        <w:contextualSpacing/>
        <w:jc w:val="left"/>
        <w:rPr>
          <w:rFonts w:eastAsia="Times New Roman" w:cs="Tahoma"/>
          <w:b/>
          <w:szCs w:val="24"/>
          <w:lang w:eastAsia="es-ES"/>
        </w:rPr>
      </w:pPr>
      <w:r w:rsidRPr="009D48B9">
        <w:rPr>
          <w:rFonts w:eastAsia="Times New Roman" w:cs="Tahoma"/>
          <w:b/>
          <w:szCs w:val="24"/>
          <w:lang w:eastAsia="es-ES"/>
        </w:rPr>
        <w:t>Caso concreto</w:t>
      </w:r>
    </w:p>
    <w:p w14:paraId="1C3A911E" w14:textId="77777777" w:rsidR="00CE0E35" w:rsidRPr="009D48B9" w:rsidRDefault="00CE0E35" w:rsidP="009D48B9">
      <w:pPr>
        <w:spacing w:line="276" w:lineRule="auto"/>
        <w:ind w:left="644"/>
        <w:textAlignment w:val="baseline"/>
        <w:rPr>
          <w:rFonts w:eastAsia="Times New Roman" w:cs="Tahoma"/>
          <w:szCs w:val="24"/>
          <w:lang w:eastAsia="es-ES"/>
        </w:rPr>
      </w:pPr>
    </w:p>
    <w:p w14:paraId="0DDDE5BF" w14:textId="42A55A28" w:rsidR="00CE0E35" w:rsidRPr="009D48B9" w:rsidRDefault="00CE0E35" w:rsidP="009D48B9">
      <w:pPr>
        <w:spacing w:line="276" w:lineRule="auto"/>
        <w:ind w:firstLine="644"/>
        <w:contextualSpacing/>
        <w:rPr>
          <w:rFonts w:eastAsia="Times New Roman" w:cs="Tahoma"/>
          <w:szCs w:val="24"/>
          <w:lang w:eastAsia="es-ES"/>
        </w:rPr>
      </w:pPr>
      <w:r w:rsidRPr="009D48B9">
        <w:rPr>
          <w:rFonts w:eastAsia="Times New Roman" w:cs="Tahoma"/>
          <w:szCs w:val="24"/>
          <w:lang w:eastAsia="es-ES"/>
        </w:rPr>
        <w:t xml:space="preserve">Se pretende por esta vía ordinaria que se declare la </w:t>
      </w:r>
      <w:r w:rsidR="00CA14ED" w:rsidRPr="009D48B9">
        <w:rPr>
          <w:rFonts w:eastAsia="Times New Roman" w:cs="Tahoma"/>
          <w:szCs w:val="24"/>
          <w:lang w:eastAsia="es-ES"/>
        </w:rPr>
        <w:t>ineficacia</w:t>
      </w:r>
      <w:r w:rsidRPr="009D48B9">
        <w:rPr>
          <w:rFonts w:eastAsia="Times New Roman" w:cs="Tahoma"/>
          <w:szCs w:val="24"/>
          <w:lang w:eastAsia="es-ES"/>
        </w:rPr>
        <w:t xml:space="preserve"> de la afiliación a Porvenir 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14C38C8F" w14:textId="77777777" w:rsidR="00CE0E35" w:rsidRPr="009D48B9" w:rsidRDefault="00CE0E35" w:rsidP="009D48B9">
      <w:pPr>
        <w:spacing w:line="276" w:lineRule="auto"/>
        <w:jc w:val="left"/>
        <w:rPr>
          <w:rFonts w:cs="Tahoma"/>
          <w:szCs w:val="24"/>
        </w:rPr>
      </w:pPr>
    </w:p>
    <w:p w14:paraId="2CF3F7F5" w14:textId="77777777" w:rsidR="00CE0E35" w:rsidRPr="009D48B9" w:rsidRDefault="00CE0E35" w:rsidP="009D48B9">
      <w:pPr>
        <w:spacing w:line="276" w:lineRule="auto"/>
        <w:ind w:firstLine="644"/>
        <w:contextualSpacing/>
        <w:rPr>
          <w:rFonts w:eastAsia="Times New Roman" w:cs="Tahoma"/>
          <w:szCs w:val="24"/>
          <w:lang w:eastAsia="es-ES"/>
        </w:rPr>
      </w:pPr>
      <w:r w:rsidRPr="009D48B9">
        <w:rPr>
          <w:rFonts w:eastAsia="Times New Roman" w:cs="Tahoma"/>
          <w:szCs w:val="24"/>
          <w:lang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267C39B6" w14:textId="77777777" w:rsidR="00CE0E35" w:rsidRPr="009D48B9" w:rsidRDefault="00CE0E35" w:rsidP="009D48B9">
      <w:pPr>
        <w:spacing w:line="276" w:lineRule="auto"/>
        <w:contextualSpacing/>
        <w:jc w:val="left"/>
        <w:rPr>
          <w:rFonts w:eastAsia="Times New Roman" w:cs="Tahoma"/>
          <w:szCs w:val="24"/>
          <w:lang w:eastAsia="es-ES"/>
        </w:rPr>
      </w:pPr>
    </w:p>
    <w:p w14:paraId="06BECE71" w14:textId="77777777" w:rsidR="00CE0E35" w:rsidRPr="009D48B9" w:rsidRDefault="00CE0E35" w:rsidP="009D48B9">
      <w:pPr>
        <w:spacing w:line="276" w:lineRule="auto"/>
        <w:ind w:firstLine="644"/>
        <w:contextualSpacing/>
        <w:rPr>
          <w:rFonts w:eastAsia="Times New Roman" w:cs="Tahoma"/>
          <w:b/>
          <w:szCs w:val="24"/>
          <w:lang w:eastAsia="es-ES"/>
        </w:rPr>
      </w:pPr>
      <w:r w:rsidRPr="009D48B9">
        <w:rPr>
          <w:rFonts w:eastAsia="Times New Roman" w:cs="Tahoma"/>
          <w:szCs w:val="24"/>
          <w:lang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9D48B9">
        <w:rPr>
          <w:rFonts w:eastAsia="Times New Roman" w:cs="Tahoma"/>
          <w:b/>
          <w:szCs w:val="24"/>
          <w:lang w:eastAsia="es-ES"/>
        </w:rPr>
        <w:t>, acreditar haber transmitido a la parte actora la información concreta y cierta, acerca de la implicación del traslado de régimen pensional.</w:t>
      </w:r>
    </w:p>
    <w:p w14:paraId="610277ED" w14:textId="77777777" w:rsidR="00CE0E35" w:rsidRPr="009D48B9" w:rsidRDefault="00CE0E35" w:rsidP="009D48B9">
      <w:pPr>
        <w:spacing w:line="276" w:lineRule="auto"/>
        <w:contextualSpacing/>
        <w:jc w:val="left"/>
        <w:rPr>
          <w:rFonts w:eastAsia="Times New Roman" w:cs="Tahoma"/>
          <w:b/>
          <w:szCs w:val="24"/>
          <w:lang w:eastAsia="es-ES"/>
        </w:rPr>
      </w:pPr>
    </w:p>
    <w:p w14:paraId="36BFA5C0" w14:textId="77777777" w:rsidR="00CE0E35" w:rsidRPr="009D48B9" w:rsidRDefault="00CE0E35" w:rsidP="009D48B9">
      <w:pPr>
        <w:spacing w:line="276" w:lineRule="auto"/>
        <w:ind w:firstLine="644"/>
        <w:rPr>
          <w:rFonts w:eastAsia="Times New Roman" w:cs="Tahoma"/>
          <w:szCs w:val="24"/>
          <w:lang w:eastAsia="es-ES"/>
        </w:rPr>
      </w:pPr>
      <w:r w:rsidRPr="009D48B9">
        <w:rPr>
          <w:rFonts w:eastAsia="Times New Roman" w:cs="Tahoma"/>
          <w:szCs w:val="24"/>
          <w:lang w:eastAsia="es-ES"/>
        </w:rPr>
        <w:t xml:space="preserve">En realidad, mínimo la AFP tendría que haber dado la siguiente información: </w:t>
      </w:r>
      <w:r w:rsidRPr="009D48B9">
        <w:rPr>
          <w:rFonts w:eastAsia="Times New Roman" w:cs="Tahoma"/>
          <w:i/>
          <w:szCs w:val="24"/>
          <w:lang w:eastAsia="es-ES"/>
        </w:rPr>
        <w:t xml:space="preserve">i) </w:t>
      </w:r>
      <w:r w:rsidRPr="009D48B9">
        <w:rPr>
          <w:rFonts w:eastAsia="Times New Roman" w:cs="Tahoma"/>
          <w:szCs w:val="24"/>
          <w:lang w:eastAsia="es-ES"/>
        </w:rPr>
        <w:t xml:space="preserve">Que, dependiendo del capital, puede pensionarse anticipadamente, esto es, antes de la edad mínima para la pensión de vejez. </w:t>
      </w:r>
      <w:r w:rsidRPr="009D48B9">
        <w:rPr>
          <w:rFonts w:eastAsia="Times New Roman" w:cs="Tahoma"/>
          <w:i/>
          <w:szCs w:val="24"/>
          <w:lang w:eastAsia="es-ES"/>
        </w:rPr>
        <w:t xml:space="preserve">ii) </w:t>
      </w:r>
      <w:r w:rsidRPr="009D48B9">
        <w:rPr>
          <w:rFonts w:eastAsia="Times New Roman" w:cs="Tahoma"/>
          <w:szCs w:val="24"/>
          <w:lang w:eastAsia="es-ES"/>
        </w:rPr>
        <w:t xml:space="preserve">La posibilidad para sus herederos de hacerse a la devolución de saldos, en caso de que no existieran beneficiaros para la pensión de sobrevivientes. </w:t>
      </w:r>
      <w:proofErr w:type="spellStart"/>
      <w:r w:rsidRPr="009D48B9">
        <w:rPr>
          <w:rFonts w:eastAsia="Times New Roman" w:cs="Tahoma"/>
          <w:i/>
          <w:szCs w:val="24"/>
          <w:lang w:eastAsia="es-ES"/>
        </w:rPr>
        <w:t>iii</w:t>
      </w:r>
      <w:proofErr w:type="spellEnd"/>
      <w:r w:rsidRPr="009D48B9">
        <w:rPr>
          <w:rFonts w:eastAsia="Times New Roman" w:cs="Tahoma"/>
          <w:i/>
          <w:szCs w:val="24"/>
          <w:lang w:eastAsia="es-ES"/>
        </w:rPr>
        <w:t xml:space="preserve">) </w:t>
      </w:r>
      <w:r w:rsidRPr="009D48B9">
        <w:rPr>
          <w:rFonts w:eastAsia="Times New Roman" w:cs="Tahoma"/>
          <w:szCs w:val="24"/>
          <w:lang w:eastAsia="es-ES"/>
        </w:rPr>
        <w:t xml:space="preserve">La devolución total del saldo en caso de no alcanzar a reunir el total de los requisitos legales para optar al beneficio pensional. </w:t>
      </w:r>
      <w:proofErr w:type="spellStart"/>
      <w:r w:rsidRPr="009D48B9">
        <w:rPr>
          <w:rFonts w:eastAsia="Times New Roman" w:cs="Tahoma"/>
          <w:i/>
          <w:szCs w:val="24"/>
          <w:lang w:eastAsia="es-ES"/>
        </w:rPr>
        <w:t>iv</w:t>
      </w:r>
      <w:proofErr w:type="spellEnd"/>
      <w:r w:rsidRPr="009D48B9">
        <w:rPr>
          <w:rFonts w:eastAsia="Times New Roman" w:cs="Tahoma"/>
          <w:i/>
          <w:szCs w:val="24"/>
          <w:lang w:eastAsia="es-ES"/>
        </w:rPr>
        <w:t xml:space="preserve">) </w:t>
      </w:r>
      <w:r w:rsidRPr="009D48B9">
        <w:rPr>
          <w:rFonts w:eastAsia="Times New Roman" w:cs="Tahoma"/>
          <w:szCs w:val="24"/>
          <w:lang w:eastAsia="es-ES"/>
        </w:rPr>
        <w:t xml:space="preserve">Tener la posibilidad de la pensión de vejez habiendo cotizado el mínimo de semanas requeridas a pesar de no reunir el capital suficiente para el financiamiento de la prestación económica. </w:t>
      </w:r>
      <w:r w:rsidRPr="009D48B9">
        <w:rPr>
          <w:rFonts w:eastAsia="Times New Roman" w:cs="Tahoma"/>
          <w:i/>
          <w:szCs w:val="24"/>
          <w:lang w:eastAsia="es-ES"/>
        </w:rPr>
        <w:t xml:space="preserve">v) </w:t>
      </w:r>
      <w:r w:rsidRPr="009D48B9">
        <w:rPr>
          <w:rFonts w:eastAsia="Times New Roman" w:cs="Tahoma"/>
          <w:szCs w:val="24"/>
          <w:lang w:eastAsia="es-ES"/>
        </w:rPr>
        <w:t xml:space="preserve">La posibilidad de que el reconocimiento de la pensión de vejez, una vez reunido los requisitos, se haga pronto. </w:t>
      </w:r>
      <w:r w:rsidRPr="009D48B9">
        <w:rPr>
          <w:rFonts w:eastAsia="Times New Roman" w:cs="Tahoma"/>
          <w:i/>
          <w:szCs w:val="24"/>
          <w:lang w:eastAsia="es-ES"/>
        </w:rPr>
        <w:t xml:space="preserve">vi) </w:t>
      </w:r>
      <w:r w:rsidRPr="009D48B9">
        <w:rPr>
          <w:rFonts w:eastAsia="Times New Roman" w:cs="Tahoma"/>
          <w:szCs w:val="24"/>
          <w:lang w:eastAsia="es-ES"/>
        </w:rPr>
        <w:t xml:space="preserve">La posibilidad de que sus aportes se conviertan en patrimonio </w:t>
      </w:r>
      <w:proofErr w:type="spellStart"/>
      <w:r w:rsidRPr="009D48B9">
        <w:rPr>
          <w:rFonts w:eastAsia="Times New Roman" w:cs="Tahoma"/>
          <w:szCs w:val="24"/>
          <w:lang w:eastAsia="es-ES"/>
        </w:rPr>
        <w:t>sucesoral</w:t>
      </w:r>
      <w:proofErr w:type="spellEnd"/>
      <w:r w:rsidRPr="009D48B9">
        <w:rPr>
          <w:rFonts w:eastAsia="Times New Roman" w:cs="Tahoma"/>
          <w:szCs w:val="24"/>
          <w:lang w:eastAsia="es-ES"/>
        </w:rPr>
        <w:t xml:space="preserve"> en un caso dado. </w:t>
      </w:r>
      <w:proofErr w:type="spellStart"/>
      <w:r w:rsidRPr="009D48B9">
        <w:rPr>
          <w:rFonts w:eastAsia="Times New Roman" w:cs="Tahoma"/>
          <w:i/>
          <w:szCs w:val="24"/>
          <w:lang w:eastAsia="es-ES"/>
        </w:rPr>
        <w:t>vii</w:t>
      </w:r>
      <w:proofErr w:type="spellEnd"/>
      <w:r w:rsidRPr="009D48B9">
        <w:rPr>
          <w:rFonts w:eastAsia="Times New Roman" w:cs="Tahoma"/>
          <w:i/>
          <w:szCs w:val="24"/>
          <w:lang w:eastAsia="es-ES"/>
        </w:rPr>
        <w:t xml:space="preserve">) </w:t>
      </w:r>
      <w:r w:rsidRPr="009D48B9">
        <w:rPr>
          <w:rFonts w:eastAsia="Times New Roman" w:cs="Tahoma"/>
          <w:szCs w:val="24"/>
          <w:lang w:eastAsia="es-ES"/>
        </w:rPr>
        <w:t xml:space="preserve">El hecho de que el afiliado es el único titular de la cuenta de ahorro individual en contraste con el fondo público cuyos ahorros hacen parte de un fondo común. </w:t>
      </w:r>
      <w:proofErr w:type="spellStart"/>
      <w:r w:rsidRPr="009D48B9">
        <w:rPr>
          <w:rFonts w:eastAsia="Times New Roman" w:cs="Tahoma"/>
          <w:i/>
          <w:szCs w:val="24"/>
          <w:lang w:eastAsia="es-ES"/>
        </w:rPr>
        <w:t>viii</w:t>
      </w:r>
      <w:proofErr w:type="spellEnd"/>
      <w:r w:rsidRPr="009D48B9">
        <w:rPr>
          <w:rFonts w:eastAsia="Times New Roman" w:cs="Tahoma"/>
          <w:i/>
          <w:szCs w:val="24"/>
          <w:lang w:eastAsia="es-ES"/>
        </w:rPr>
        <w:t xml:space="preserve">) </w:t>
      </w:r>
      <w:r w:rsidRPr="009D48B9">
        <w:rPr>
          <w:rFonts w:eastAsia="Times New Roman" w:cs="Tahoma"/>
          <w:szCs w:val="24"/>
          <w:lang w:eastAsia="es-ES"/>
        </w:rPr>
        <w:t xml:space="preserve">Los rendimientos financieros que le generen sus aportes abonados sobre el saldo de su cuenta de ahorro individual; y, </w:t>
      </w:r>
      <w:proofErr w:type="spellStart"/>
      <w:r w:rsidRPr="009D48B9">
        <w:rPr>
          <w:rFonts w:eastAsia="Times New Roman" w:cs="Tahoma"/>
          <w:i/>
          <w:szCs w:val="24"/>
          <w:lang w:eastAsia="es-ES"/>
        </w:rPr>
        <w:t>ix</w:t>
      </w:r>
      <w:proofErr w:type="spellEnd"/>
      <w:r w:rsidRPr="009D48B9">
        <w:rPr>
          <w:rFonts w:eastAsia="Times New Roman" w:cs="Tahoma"/>
          <w:i/>
          <w:szCs w:val="24"/>
          <w:lang w:eastAsia="es-ES"/>
        </w:rPr>
        <w:t xml:space="preserve">) </w:t>
      </w:r>
      <w:r w:rsidRPr="009D48B9">
        <w:rPr>
          <w:rFonts w:eastAsia="Times New Roman" w:cs="Tahoma"/>
          <w:szCs w:val="24"/>
          <w:lang w:eastAsia="es-ES"/>
        </w:rPr>
        <w:t xml:space="preserve">La posibilidad de </w:t>
      </w:r>
      <w:r w:rsidRPr="009D48B9">
        <w:rPr>
          <w:rFonts w:eastAsia="Times New Roman" w:cs="Tahoma"/>
          <w:szCs w:val="24"/>
          <w:lang w:eastAsia="es-ES"/>
        </w:rPr>
        <w:lastRenderedPageBreak/>
        <w:t xml:space="preserve">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9D48B9">
        <w:rPr>
          <w:rFonts w:eastAsia="Times New Roman" w:cs="Tahoma"/>
          <w:szCs w:val="24"/>
          <w:lang w:eastAsia="es-ES"/>
        </w:rPr>
        <w:t>sucesoral</w:t>
      </w:r>
      <w:proofErr w:type="spellEnd"/>
      <w:r w:rsidRPr="009D48B9">
        <w:rPr>
          <w:rFonts w:eastAsia="Times New Roman" w:cs="Tahoma"/>
          <w:szCs w:val="24"/>
          <w:lang w:eastAsia="es-ES"/>
        </w:rPr>
        <w:t xml:space="preserve">, pero le garantiza una pensión de por vida. La modalidad de </w:t>
      </w:r>
      <w:r w:rsidRPr="009D48B9">
        <w:rPr>
          <w:rFonts w:eastAsia="Times New Roman" w:cs="Tahoma"/>
          <w:i/>
          <w:szCs w:val="24"/>
          <w:lang w:eastAsia="es-ES"/>
        </w:rPr>
        <w:t>retiro programado</w:t>
      </w:r>
      <w:r w:rsidRPr="009D48B9">
        <w:rPr>
          <w:rFonts w:eastAsia="Times New Roman" w:cs="Tahoma"/>
          <w:szCs w:val="24"/>
          <w:lang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1468ABE" w14:textId="77777777" w:rsidR="00CE0E35" w:rsidRPr="009D48B9" w:rsidRDefault="00CE0E35" w:rsidP="009D48B9">
      <w:pPr>
        <w:spacing w:line="276" w:lineRule="auto"/>
        <w:ind w:firstLine="644"/>
        <w:rPr>
          <w:rFonts w:eastAsia="Times New Roman" w:cs="Tahoma"/>
          <w:szCs w:val="24"/>
          <w:lang w:eastAsia="es-ES"/>
        </w:rPr>
      </w:pPr>
    </w:p>
    <w:p w14:paraId="3A458C9E" w14:textId="77777777" w:rsidR="00CE0E35" w:rsidRPr="009D48B9" w:rsidRDefault="00CE0E35" w:rsidP="009D48B9">
      <w:pPr>
        <w:spacing w:line="276" w:lineRule="auto"/>
        <w:ind w:firstLine="644"/>
        <w:rPr>
          <w:rFonts w:eastAsia="Times New Roman" w:cs="Tahoma"/>
          <w:szCs w:val="24"/>
          <w:lang w:eastAsia="es-ES"/>
        </w:rPr>
      </w:pPr>
      <w:r w:rsidRPr="009D48B9">
        <w:rPr>
          <w:rFonts w:eastAsia="Times New Roman" w:cs="Tahoma"/>
          <w:szCs w:val="24"/>
          <w:lang w:eastAsia="es-ES"/>
        </w:rPr>
        <w:t xml:space="preserve">La AFP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9304AF7" w14:textId="77777777" w:rsidR="00CE0E35" w:rsidRPr="009D48B9" w:rsidRDefault="00CE0E35" w:rsidP="009D48B9">
      <w:pPr>
        <w:spacing w:line="276" w:lineRule="auto"/>
        <w:jc w:val="left"/>
        <w:rPr>
          <w:rFonts w:cs="Tahoma"/>
          <w:szCs w:val="24"/>
        </w:rPr>
      </w:pPr>
    </w:p>
    <w:p w14:paraId="6CB896BB" w14:textId="1E293A26" w:rsidR="00CE0E35" w:rsidRPr="009D48B9" w:rsidRDefault="00CE0E35" w:rsidP="009D48B9">
      <w:pPr>
        <w:spacing w:line="276" w:lineRule="auto"/>
        <w:ind w:firstLine="709"/>
        <w:rPr>
          <w:rFonts w:cs="Tahoma"/>
          <w:szCs w:val="24"/>
        </w:rPr>
      </w:pPr>
      <w:r w:rsidRPr="009D48B9">
        <w:rPr>
          <w:rFonts w:cs="Tahoma"/>
          <w:szCs w:val="24"/>
        </w:rPr>
        <w:t>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Porvenir, pero dicho documento no logra evidenciar la información que se le brindó. En tal virtud</w:t>
      </w:r>
      <w:r w:rsidR="0009529A" w:rsidRPr="009D48B9">
        <w:rPr>
          <w:rFonts w:cs="Tahoma"/>
          <w:szCs w:val="24"/>
        </w:rPr>
        <w:t>,</w:t>
      </w:r>
      <w:r w:rsidRPr="009D48B9">
        <w:rPr>
          <w:rFonts w:cs="Tahoma"/>
          <w:szCs w:val="24"/>
        </w:rPr>
        <w:t xml:space="preserve"> se estima acertada la valoración probatoria efectuada por la operadora judicial de instancia.</w:t>
      </w:r>
    </w:p>
    <w:p w14:paraId="007B7C33" w14:textId="77777777" w:rsidR="00CE0E35" w:rsidRPr="009D48B9" w:rsidRDefault="00CE0E35" w:rsidP="009D48B9">
      <w:pPr>
        <w:spacing w:line="276" w:lineRule="auto"/>
        <w:rPr>
          <w:rFonts w:cs="Tahoma"/>
          <w:szCs w:val="24"/>
        </w:rPr>
      </w:pPr>
    </w:p>
    <w:p w14:paraId="1C58522C" w14:textId="77777777" w:rsidR="00CE0E35" w:rsidRPr="009D48B9" w:rsidRDefault="00CE0E35" w:rsidP="009D48B9">
      <w:pPr>
        <w:spacing w:line="276" w:lineRule="auto"/>
        <w:ind w:firstLine="709"/>
        <w:rPr>
          <w:rFonts w:cs="Tahoma"/>
          <w:szCs w:val="24"/>
        </w:rPr>
      </w:pPr>
      <w:r w:rsidRPr="009D48B9">
        <w:rPr>
          <w:rFonts w:cs="Tahoma"/>
          <w:szCs w:val="24"/>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w:t>
      </w:r>
    </w:p>
    <w:p w14:paraId="03552AD2" w14:textId="77777777" w:rsidR="00CE0E35" w:rsidRPr="009D48B9" w:rsidRDefault="00CE0E35" w:rsidP="009D48B9">
      <w:pPr>
        <w:spacing w:line="276" w:lineRule="auto"/>
        <w:ind w:firstLine="709"/>
        <w:rPr>
          <w:rFonts w:cs="Tahoma"/>
          <w:szCs w:val="24"/>
        </w:rPr>
      </w:pPr>
    </w:p>
    <w:p w14:paraId="7558682E" w14:textId="77777777" w:rsidR="00CE0E35" w:rsidRPr="009D48B9" w:rsidRDefault="00CE0E35" w:rsidP="009D48B9">
      <w:pPr>
        <w:spacing w:line="276" w:lineRule="auto"/>
        <w:ind w:firstLine="644"/>
        <w:rPr>
          <w:rFonts w:eastAsia="Times New Roman" w:cs="Tahoma"/>
          <w:szCs w:val="24"/>
          <w:lang w:eastAsia="es-ES"/>
        </w:rPr>
      </w:pPr>
      <w:r w:rsidRPr="009D48B9">
        <w:rPr>
          <w:rFonts w:eastAsia="Times New Roman" w:cs="Tahoma"/>
          <w:szCs w:val="24"/>
          <w:lang w:eastAsia="es-ES"/>
        </w:rPr>
        <w:t xml:space="preserve">En cuanto a las condenas impartidas a cargo de Porvenir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w:t>
      </w:r>
      <w:r w:rsidRPr="009D48B9">
        <w:rPr>
          <w:rFonts w:eastAsia="Times New Roman" w:cs="Tahoma"/>
          <w:szCs w:val="24"/>
          <w:lang w:eastAsia="es-ES"/>
        </w:rPr>
        <w:lastRenderedPageBreak/>
        <w:t>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CF5F16D" w14:textId="77777777" w:rsidR="00CE0E35" w:rsidRPr="009D48B9" w:rsidRDefault="00CE0E35" w:rsidP="009D48B9">
      <w:pPr>
        <w:spacing w:line="276" w:lineRule="auto"/>
        <w:ind w:firstLine="644"/>
        <w:rPr>
          <w:rFonts w:eastAsia="Times New Roman" w:cs="Tahoma"/>
          <w:szCs w:val="24"/>
          <w:lang w:val="es" w:eastAsia="es-ES"/>
        </w:rPr>
      </w:pPr>
    </w:p>
    <w:p w14:paraId="723BB5FD" w14:textId="77777777" w:rsidR="00CE0E35" w:rsidRPr="009D48B9" w:rsidRDefault="00CE0E35" w:rsidP="009D48B9">
      <w:pPr>
        <w:spacing w:line="276" w:lineRule="auto"/>
        <w:ind w:firstLine="644"/>
        <w:rPr>
          <w:rFonts w:eastAsia="Times New Roman" w:cs="Tahoma"/>
          <w:szCs w:val="24"/>
          <w:lang w:eastAsia="es-ES"/>
        </w:rPr>
      </w:pPr>
      <w:r w:rsidRPr="009D48B9">
        <w:rPr>
          <w:rFonts w:eastAsia="Times New Roman" w:cs="Tahoma"/>
          <w:szCs w:val="24"/>
          <w:lang w:eastAsia="es-ES"/>
        </w:rPr>
        <w:t>Ahora, debe recordarse que la Corte Constitucional en sentencia SU-053-2015, ha definido el precedente judicial como «</w:t>
      </w:r>
      <w:r w:rsidRPr="00B32B7C">
        <w:rPr>
          <w:rFonts w:eastAsia="Times New Roman" w:cs="Tahoma"/>
          <w:i/>
          <w:iCs/>
          <w:sz w:val="22"/>
          <w:szCs w:val="24"/>
          <w:lang w:eastAsia="es-ES"/>
        </w:rPr>
        <w:t>la sentencia o el conjunto de ellas, anteriores a un caso determinado, que por su pertinencia y semejanza en los problemas jurídicos resueltos, debe necesariamente considerarse por las autoridades judiciales al momento de emitir un fallo»</w:t>
      </w:r>
      <w:r w:rsidRPr="00B32B7C">
        <w:rPr>
          <w:rFonts w:eastAsia="Times New Roman" w:cs="Tahoma"/>
          <w:sz w:val="22"/>
          <w:szCs w:val="24"/>
          <w:lang w:eastAsia="es-ES"/>
        </w:rPr>
        <w:t xml:space="preserve"> y, en tal sentido, el emitido por los máximos órganos de cierre, “</w:t>
      </w:r>
      <w:r w:rsidRPr="00B32B7C">
        <w:rPr>
          <w:rFonts w:eastAsia="Times New Roman" w:cs="Tahoma"/>
          <w:i/>
          <w:iCs/>
          <w:sz w:val="22"/>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9D48B9">
        <w:rPr>
          <w:rFonts w:eastAsia="Times New Roman" w:cs="Tahoma"/>
          <w:i/>
          <w:iCs/>
          <w:szCs w:val="24"/>
          <w:lang w:eastAsia="es-ES"/>
        </w:rPr>
        <w:t>”</w:t>
      </w:r>
      <w:r w:rsidRPr="009D48B9">
        <w:rPr>
          <w:rFonts w:eastAsia="Times New Roman" w:cs="Tahoma"/>
          <w:szCs w:val="24"/>
          <w:lang w:eastAsia="es-ES"/>
        </w:rPr>
        <w:t xml:space="preserve"> (STL4759-2020).</w:t>
      </w:r>
    </w:p>
    <w:p w14:paraId="77C1B17A" w14:textId="77777777" w:rsidR="00CE0E35" w:rsidRPr="009D48B9" w:rsidRDefault="00CE0E35" w:rsidP="009D48B9">
      <w:pPr>
        <w:spacing w:line="276" w:lineRule="auto"/>
        <w:ind w:firstLine="644"/>
        <w:rPr>
          <w:rFonts w:eastAsia="Times New Roman" w:cs="Tahoma"/>
          <w:szCs w:val="24"/>
          <w:lang w:eastAsia="es-ES"/>
        </w:rPr>
      </w:pPr>
    </w:p>
    <w:p w14:paraId="5CC29E36" w14:textId="4C98E095" w:rsidR="00CE0E35" w:rsidRPr="009D48B9" w:rsidRDefault="00CE0E35" w:rsidP="009D48B9">
      <w:pPr>
        <w:widowControl w:val="0"/>
        <w:tabs>
          <w:tab w:val="left" w:pos="567"/>
        </w:tabs>
        <w:autoSpaceDE w:val="0"/>
        <w:autoSpaceDN w:val="0"/>
        <w:adjustRightInd w:val="0"/>
        <w:spacing w:line="276" w:lineRule="auto"/>
        <w:ind w:firstLine="284"/>
        <w:rPr>
          <w:rFonts w:cs="Tahoma"/>
          <w:szCs w:val="24"/>
        </w:rPr>
      </w:pPr>
      <w:r w:rsidRPr="009D48B9">
        <w:rPr>
          <w:rFonts w:cs="Tahoma"/>
          <w:szCs w:val="24"/>
        </w:rPr>
        <w:tab/>
        <w:t xml:space="preserve">Frente al argumento de </w:t>
      </w:r>
      <w:r w:rsidR="00CA14ED" w:rsidRPr="009D48B9">
        <w:rPr>
          <w:rFonts w:cs="Tahoma"/>
          <w:szCs w:val="24"/>
        </w:rPr>
        <w:t>Porvenir</w:t>
      </w:r>
      <w:r w:rsidRPr="009D48B9">
        <w:rPr>
          <w:rFonts w:cs="Tahoma"/>
          <w:szCs w:val="24"/>
        </w:rPr>
        <w:t xml:space="preserve">, referente a que era improcedente permitir que el demandante se trasladara hacia dicha entidad al superar la edad mínima pensional, según lo estipulado en </w:t>
      </w:r>
      <w:r w:rsidRPr="009D48B9">
        <w:rPr>
          <w:rFonts w:cs="Tahoma"/>
          <w:szCs w:val="24"/>
          <w:lang w:val="es-ES"/>
        </w:rPr>
        <w:t xml:space="preserve">el literal e) del artículo 13 de la Ley 100 de 1993, modificado por la Ley 797 de 2003, </w:t>
      </w:r>
      <w:r w:rsidRPr="009D48B9">
        <w:rPr>
          <w:rFonts w:cs="Tahoma"/>
          <w:szCs w:val="24"/>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9D48B9">
        <w:rPr>
          <w:rFonts w:cs="Tahoma"/>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7D69FFD6" w14:textId="7900E99A" w:rsidR="00413A7F" w:rsidRPr="009D48B9" w:rsidRDefault="00413A7F" w:rsidP="009D48B9">
      <w:pPr>
        <w:spacing w:line="276" w:lineRule="auto"/>
        <w:ind w:firstLine="709"/>
        <w:rPr>
          <w:rFonts w:cs="Tahoma"/>
          <w:szCs w:val="24"/>
        </w:rPr>
      </w:pPr>
    </w:p>
    <w:p w14:paraId="2B08C811" w14:textId="63EF395A" w:rsidR="00AF2FD0" w:rsidRPr="009D48B9" w:rsidRDefault="00AF2FD0" w:rsidP="009D48B9">
      <w:pPr>
        <w:spacing w:line="276" w:lineRule="auto"/>
        <w:ind w:firstLine="708"/>
        <w:rPr>
          <w:rFonts w:eastAsia="Tahoma" w:cs="Tahoma"/>
          <w:szCs w:val="24"/>
        </w:rPr>
      </w:pPr>
      <w:r w:rsidRPr="009D48B9">
        <w:rPr>
          <w:rFonts w:eastAsia="Tahoma" w:cs="Tahoma"/>
          <w:szCs w:val="24"/>
        </w:rPr>
        <w:t>Parafraseando lo dicho en otros asuntos similares, decididos por esta Corporación</w:t>
      </w:r>
      <w:r w:rsidRPr="009D48B9">
        <w:rPr>
          <w:rStyle w:val="Refdenotaalpie"/>
          <w:rFonts w:eastAsia="Tahoma" w:cs="Tahoma"/>
          <w:szCs w:val="24"/>
        </w:rPr>
        <w:footnoteReference w:id="7"/>
      </w:r>
      <w:r w:rsidRPr="009D48B9">
        <w:rPr>
          <w:rFonts w:eastAsia="Tahoma" w:cs="Tahoma"/>
          <w:szCs w:val="24"/>
        </w:rPr>
        <w:t xml:space="preserve">, en este punto es pertinente advertir que al haber operado un traslado desde el régimen de prima media con prestación definida al régimen de ahorro individual con solidaridad el 31 de mayo de 2000, se generó en ese momento un bono pensional tipo A en favor del señor </w:t>
      </w:r>
      <w:r w:rsidRPr="009D48B9">
        <w:rPr>
          <w:rFonts w:cs="Tahoma"/>
          <w:szCs w:val="24"/>
        </w:rPr>
        <w:t xml:space="preserve">José Olmedo </w:t>
      </w:r>
      <w:proofErr w:type="spellStart"/>
      <w:r w:rsidRPr="009D48B9">
        <w:rPr>
          <w:rFonts w:cs="Tahoma"/>
          <w:szCs w:val="24"/>
        </w:rPr>
        <w:t>Sons</w:t>
      </w:r>
      <w:proofErr w:type="spellEnd"/>
      <w:r w:rsidRPr="009D48B9">
        <w:rPr>
          <w:rFonts w:cs="Tahoma"/>
          <w:szCs w:val="24"/>
        </w:rPr>
        <w:t xml:space="preserve"> Pérez, nacido el 5 de octubre de 1957, </w:t>
      </w:r>
      <w:r w:rsidRPr="009D48B9">
        <w:rPr>
          <w:rFonts w:eastAsia="Tahoma" w:cs="Tahoma"/>
          <w:szCs w:val="24"/>
        </w:rPr>
        <w:t xml:space="preserve">como se evidencia en la copia de su cédula de ciudadanía -pág. 24 expediente digitalizado-, por lo que a pesar de que no existe prueba que demuestre el estado actual de ese instrumento de deuda pública, lo cierto es que el mismo se redimió normalmente el pasado 5 de octubre de 2019, fecha en que el accionante cumplió los 62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del demandante antes del 5 de noviembre de 2019; razón por la que, al tener que restituirse las cosas al estado en el que se encontraban antes del 31 de mayo de 2000, por cuenta de la ineficacia del traslado declarada en primera </w:t>
      </w:r>
      <w:r w:rsidRPr="009D48B9">
        <w:rPr>
          <w:rFonts w:eastAsia="Tahoma" w:cs="Tahoma"/>
          <w:szCs w:val="24"/>
        </w:rPr>
        <w:lastRenderedPageBreak/>
        <w:t xml:space="preserve">instancia y ratificada en esta sede, se </w:t>
      </w:r>
      <w:r w:rsidRPr="009D48B9">
        <w:rPr>
          <w:rFonts w:eastAsia="Tahoma" w:cs="Tahoma"/>
          <w:b/>
          <w:bCs/>
          <w:szCs w:val="24"/>
        </w:rPr>
        <w:t>modificará</w:t>
      </w:r>
      <w:r w:rsidRPr="009D48B9">
        <w:rPr>
          <w:rFonts w:eastAsia="Tahoma" w:cs="Tahoma"/>
          <w:szCs w:val="24"/>
        </w:rPr>
        <w:t xml:space="preserve"> el ordinal segundo de la sentencia proferida por el Juzgado Cuarto del Circuito de Pereira, con el objeto de no incluir dentro de la condena la restitución del valor del bono pensional a favor de la Administradora Colombiana de Pensiones, para en su lugar </w:t>
      </w:r>
      <w:r w:rsidRPr="009D48B9">
        <w:rPr>
          <w:rFonts w:eastAsia="Tahoma" w:cs="Tahoma"/>
          <w:b/>
          <w:szCs w:val="24"/>
        </w:rPr>
        <w:t>condenar</w:t>
      </w:r>
      <w:r w:rsidRPr="009D48B9">
        <w:rPr>
          <w:rFonts w:eastAsia="Tahoma" w:cs="Tahoma"/>
          <w:szCs w:val="24"/>
        </w:rPr>
        <w:t xml:space="preserve"> al fondo privado de pensiones accionado a </w:t>
      </w:r>
      <w:r w:rsidRPr="009D48B9">
        <w:rPr>
          <w:rFonts w:eastAsia="Tahoma" w:cs="Tahoma"/>
          <w:b/>
          <w:szCs w:val="24"/>
        </w:rPr>
        <w:t>restituir</w:t>
      </w:r>
      <w:r w:rsidRPr="009D48B9">
        <w:rPr>
          <w:rFonts w:eastAsia="Tahoma" w:cs="Tahoma"/>
          <w:szCs w:val="24"/>
        </w:rPr>
        <w:t xml:space="preserve"> la suma pagada por ese concepto pero a favor de la OBP del Ministerio de Hacienda y Crédito Público, misma que deberá estar debidamente indexada, precisándose que esa actualización del valor del bono pensional debe ser cancelada con los recursos propios del fondo privado de pensiones Porvenir S.A. </w:t>
      </w:r>
    </w:p>
    <w:p w14:paraId="7526B8F0" w14:textId="77777777" w:rsidR="00413A7F" w:rsidRPr="009D48B9" w:rsidRDefault="00413A7F" w:rsidP="009D48B9">
      <w:pPr>
        <w:spacing w:line="276" w:lineRule="auto"/>
        <w:ind w:firstLine="709"/>
        <w:rPr>
          <w:rFonts w:cs="Tahoma"/>
          <w:szCs w:val="24"/>
        </w:rPr>
      </w:pPr>
    </w:p>
    <w:p w14:paraId="188601D5" w14:textId="759E1EE7" w:rsidR="00AF2FD0" w:rsidRPr="009D48B9" w:rsidRDefault="00AF2FD0" w:rsidP="009D48B9">
      <w:pPr>
        <w:spacing w:line="276" w:lineRule="auto"/>
        <w:ind w:firstLine="708"/>
        <w:rPr>
          <w:rFonts w:eastAsia="Tahoma" w:cs="Tahoma"/>
          <w:szCs w:val="24"/>
        </w:rPr>
      </w:pPr>
      <w:r w:rsidRPr="009D48B9">
        <w:rPr>
          <w:rFonts w:eastAsia="Tahoma" w:cs="Tahoma"/>
          <w:szCs w:val="24"/>
        </w:rPr>
        <w:t>Así mismo, se adicionará la sentencia proferida por la a quo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31 de mayo de 2000.</w:t>
      </w:r>
    </w:p>
    <w:p w14:paraId="1D1798A2" w14:textId="77777777" w:rsidR="00CE0E35" w:rsidRPr="009D48B9" w:rsidRDefault="00CE0E35" w:rsidP="009D48B9">
      <w:pPr>
        <w:spacing w:line="276" w:lineRule="auto"/>
        <w:rPr>
          <w:rFonts w:eastAsia="Arial" w:cs="Tahoma"/>
          <w:szCs w:val="24"/>
          <w:lang w:val="es-ES"/>
        </w:rPr>
      </w:pPr>
    </w:p>
    <w:p w14:paraId="2D47322E" w14:textId="77777777" w:rsidR="00CE0E35" w:rsidRPr="009D48B9" w:rsidRDefault="00CE0E35" w:rsidP="009D48B9">
      <w:pPr>
        <w:widowControl w:val="0"/>
        <w:tabs>
          <w:tab w:val="left" w:pos="567"/>
        </w:tabs>
        <w:autoSpaceDE w:val="0"/>
        <w:autoSpaceDN w:val="0"/>
        <w:adjustRightInd w:val="0"/>
        <w:spacing w:line="276" w:lineRule="auto"/>
        <w:ind w:firstLine="284"/>
        <w:rPr>
          <w:rFonts w:eastAsia="Tahoma" w:cs="Tahoma"/>
          <w:szCs w:val="24"/>
        </w:rPr>
      </w:pPr>
      <w:r w:rsidRPr="009D48B9">
        <w:rPr>
          <w:rFonts w:cs="Tahoma"/>
          <w:szCs w:val="24"/>
        </w:rPr>
        <w:tab/>
        <w:t>De</w:t>
      </w:r>
      <w:r w:rsidRPr="009D48B9">
        <w:rPr>
          <w:rFonts w:eastAsia="Tahoma" w:cs="Tahoma"/>
          <w:szCs w:val="24"/>
        </w:rPr>
        <w:t xml:space="preserve"> otro lado, respecto a la solicitud de la AFP tendiente a que no se le condene </w:t>
      </w:r>
      <w:r w:rsidRPr="009D48B9">
        <w:rPr>
          <w:rFonts w:cs="Tahoma"/>
          <w:szCs w:val="24"/>
        </w:rPr>
        <w:t>en</w:t>
      </w:r>
      <w:r w:rsidRPr="009D48B9">
        <w:rPr>
          <w:rFonts w:eastAsia="Tahoma" w:cs="Tahoma"/>
          <w:szCs w:val="24"/>
        </w:rPr>
        <w:t xml:space="preserve">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w:t>
      </w:r>
    </w:p>
    <w:p w14:paraId="1F5CD273" w14:textId="77777777" w:rsidR="00CE0E35" w:rsidRPr="009D48B9" w:rsidRDefault="00CE0E35" w:rsidP="009D48B9">
      <w:pPr>
        <w:spacing w:line="276" w:lineRule="auto"/>
        <w:ind w:firstLine="709"/>
        <w:rPr>
          <w:rFonts w:cs="Tahoma"/>
          <w:szCs w:val="24"/>
        </w:rPr>
      </w:pPr>
    </w:p>
    <w:p w14:paraId="4702410C" w14:textId="77777777" w:rsidR="00CE0E35" w:rsidRPr="009D48B9" w:rsidRDefault="00CE0E35" w:rsidP="009D48B9">
      <w:pPr>
        <w:spacing w:line="276" w:lineRule="auto"/>
        <w:ind w:firstLine="708"/>
        <w:rPr>
          <w:rFonts w:eastAsia="Tahoma" w:cs="Tahoma"/>
          <w:szCs w:val="24"/>
        </w:rPr>
      </w:pPr>
      <w:r w:rsidRPr="009D48B9">
        <w:rPr>
          <w:rFonts w:cs="Tahoma"/>
          <w:szCs w:val="24"/>
        </w:rPr>
        <w:t xml:space="preserve">En esta instancia de conformidad a lo consagrado en el artículo 365 del CGP, se condenará en costas procesales a la </w:t>
      </w:r>
      <w:r w:rsidRPr="009D48B9">
        <w:rPr>
          <w:rFonts w:cs="Tahoma"/>
          <w:b/>
          <w:bCs/>
          <w:szCs w:val="24"/>
        </w:rPr>
        <w:t>Administradora de Fondos de Pensiones y Cesantías</w:t>
      </w:r>
      <w:r w:rsidRPr="009D48B9">
        <w:rPr>
          <w:rFonts w:cs="Tahoma"/>
          <w:szCs w:val="24"/>
        </w:rPr>
        <w:t xml:space="preserve"> </w:t>
      </w:r>
      <w:r w:rsidRPr="009D48B9">
        <w:rPr>
          <w:rFonts w:cs="Tahoma"/>
          <w:b/>
          <w:bCs/>
          <w:szCs w:val="24"/>
        </w:rPr>
        <w:t>Porvenir S.A.</w:t>
      </w:r>
      <w:r w:rsidRPr="009D48B9">
        <w:rPr>
          <w:rFonts w:cs="Tahoma"/>
          <w:szCs w:val="24"/>
        </w:rPr>
        <w:t xml:space="preserve"> y a </w:t>
      </w:r>
      <w:r w:rsidRPr="009D48B9">
        <w:rPr>
          <w:rFonts w:cs="Tahoma"/>
          <w:b/>
          <w:szCs w:val="24"/>
        </w:rPr>
        <w:t>COLPENSIONES</w:t>
      </w:r>
      <w:r w:rsidRPr="009D48B9">
        <w:rPr>
          <w:rFonts w:cs="Tahoma"/>
          <w:szCs w:val="24"/>
        </w:rPr>
        <w:t xml:space="preserve"> </w:t>
      </w:r>
      <w:r w:rsidRPr="009D48B9">
        <w:rPr>
          <w:rFonts w:eastAsia="Tahoma" w:cs="Tahoma"/>
          <w:szCs w:val="24"/>
        </w:rPr>
        <w:t xml:space="preserve">a favor de la parte actora, las cuales se liquidarán por la secretaría del juzgado de origen. </w:t>
      </w:r>
    </w:p>
    <w:p w14:paraId="3C8636D6" w14:textId="77777777" w:rsidR="00CE0E35" w:rsidRPr="009D48B9" w:rsidRDefault="00CE0E35" w:rsidP="009D48B9">
      <w:pPr>
        <w:spacing w:line="276" w:lineRule="auto"/>
        <w:ind w:firstLine="708"/>
        <w:rPr>
          <w:rFonts w:eastAsia="Tahoma" w:cs="Tahoma"/>
          <w:szCs w:val="24"/>
        </w:rPr>
      </w:pPr>
    </w:p>
    <w:p w14:paraId="03F2828B" w14:textId="1C4BB1A7" w:rsidR="00CE0E35" w:rsidRPr="009D48B9" w:rsidRDefault="00CA516C" w:rsidP="009D48B9">
      <w:pPr>
        <w:spacing w:line="276" w:lineRule="auto"/>
        <w:ind w:firstLine="644"/>
        <w:rPr>
          <w:rFonts w:cs="Tahoma"/>
          <w:szCs w:val="24"/>
          <w:lang w:val="es-ES"/>
        </w:rPr>
      </w:pPr>
      <w:r>
        <w:rPr>
          <w:rFonts w:cs="Tahoma"/>
          <w:szCs w:val="24"/>
          <w:lang w:val="es-ES"/>
        </w:rPr>
        <w:t>(…)</w:t>
      </w:r>
    </w:p>
    <w:p w14:paraId="0986B6F6" w14:textId="77777777" w:rsidR="00CE0E35" w:rsidRPr="009D48B9" w:rsidRDefault="00CE0E35" w:rsidP="009D48B9">
      <w:pPr>
        <w:spacing w:line="276" w:lineRule="auto"/>
        <w:ind w:firstLine="644"/>
        <w:rPr>
          <w:rFonts w:eastAsia="Tahoma" w:cs="Tahoma"/>
          <w:szCs w:val="24"/>
          <w:lang w:val="es-ES" w:eastAsia="es-ES"/>
        </w:rPr>
      </w:pPr>
    </w:p>
    <w:p w14:paraId="1025B225" w14:textId="155BC360" w:rsidR="00CE0E35" w:rsidRDefault="00CE0E35" w:rsidP="009D48B9">
      <w:pPr>
        <w:spacing w:line="276" w:lineRule="auto"/>
        <w:ind w:firstLine="644"/>
        <w:contextualSpacing/>
        <w:rPr>
          <w:rFonts w:eastAsia="Times New Roman" w:cs="Tahoma"/>
          <w:szCs w:val="24"/>
        </w:rPr>
      </w:pPr>
      <w:r w:rsidRPr="009D48B9">
        <w:rPr>
          <w:rFonts w:eastAsia="Times New Roman" w:cs="Tahoma"/>
          <w:szCs w:val="24"/>
        </w:rPr>
        <w:t xml:space="preserve">En mérito de lo expuesto, el </w:t>
      </w:r>
      <w:r w:rsidRPr="009D48B9">
        <w:rPr>
          <w:rFonts w:eastAsia="Times New Roman" w:cs="Tahoma"/>
          <w:b/>
          <w:szCs w:val="24"/>
        </w:rPr>
        <w:t>Tribunal Superior del Distrito Judicial de Pereira - Risaralda, Sala Primera de Decisión Laboral,</w:t>
      </w:r>
      <w:r w:rsidRPr="009D48B9">
        <w:rPr>
          <w:rFonts w:eastAsia="Times New Roman" w:cs="Tahoma"/>
          <w:szCs w:val="24"/>
        </w:rPr>
        <w:t xml:space="preserve"> administrando justicia en nombre de la República y por autoridad de la ley,</w:t>
      </w:r>
    </w:p>
    <w:p w14:paraId="7C62E5D1" w14:textId="77777777" w:rsidR="008C1AE6" w:rsidRPr="009D48B9" w:rsidRDefault="008C1AE6" w:rsidP="009D48B9">
      <w:pPr>
        <w:spacing w:line="276" w:lineRule="auto"/>
        <w:ind w:firstLine="644"/>
        <w:contextualSpacing/>
        <w:rPr>
          <w:rFonts w:eastAsia="Times New Roman" w:cs="Tahoma"/>
          <w:szCs w:val="24"/>
        </w:rPr>
      </w:pPr>
    </w:p>
    <w:p w14:paraId="74C27FA7" w14:textId="77777777" w:rsidR="00CE0E35" w:rsidRPr="009D48B9" w:rsidRDefault="00CE0E35" w:rsidP="009D48B9">
      <w:pPr>
        <w:spacing w:line="276" w:lineRule="auto"/>
        <w:ind w:firstLine="709"/>
        <w:jc w:val="center"/>
        <w:rPr>
          <w:rFonts w:cs="Tahoma"/>
          <w:b/>
          <w:szCs w:val="24"/>
        </w:rPr>
      </w:pPr>
      <w:r w:rsidRPr="009D48B9">
        <w:rPr>
          <w:rFonts w:cs="Tahoma"/>
          <w:b/>
          <w:szCs w:val="24"/>
        </w:rPr>
        <w:t>RESUELVE</w:t>
      </w:r>
    </w:p>
    <w:p w14:paraId="64A82EBD" w14:textId="77777777" w:rsidR="00CE0E35" w:rsidRPr="009D48B9" w:rsidRDefault="00CE0E35" w:rsidP="009D48B9">
      <w:pPr>
        <w:widowControl w:val="0"/>
        <w:autoSpaceDE w:val="0"/>
        <w:autoSpaceDN w:val="0"/>
        <w:adjustRightInd w:val="0"/>
        <w:spacing w:line="276" w:lineRule="auto"/>
        <w:jc w:val="center"/>
        <w:rPr>
          <w:rFonts w:cs="Tahoma"/>
          <w:b/>
          <w:szCs w:val="24"/>
        </w:rPr>
      </w:pPr>
    </w:p>
    <w:p w14:paraId="466BFD93" w14:textId="2DB39E15" w:rsidR="00AF2FD0" w:rsidRPr="009D48B9" w:rsidRDefault="00CE0E35" w:rsidP="009D48B9">
      <w:pPr>
        <w:spacing w:line="276" w:lineRule="auto"/>
        <w:ind w:firstLine="709"/>
        <w:rPr>
          <w:rFonts w:eastAsia="Times New Roman" w:cs="Tahoma"/>
          <w:iCs/>
          <w:szCs w:val="24"/>
          <w:highlight w:val="yellow"/>
          <w:lang w:eastAsia="es-CO"/>
        </w:rPr>
      </w:pPr>
      <w:r w:rsidRPr="009D48B9">
        <w:rPr>
          <w:rFonts w:eastAsia="Tahoma" w:cs="Tahoma"/>
          <w:b/>
          <w:bCs/>
          <w:szCs w:val="24"/>
          <w:lang w:eastAsia="es-ES"/>
        </w:rPr>
        <w:t>PRIMERO</w:t>
      </w:r>
      <w:r w:rsidRPr="009D48B9">
        <w:rPr>
          <w:rFonts w:eastAsia="Tahoma" w:cs="Tahoma"/>
          <w:szCs w:val="24"/>
          <w:lang w:eastAsia="es-ES"/>
        </w:rPr>
        <w:t>: </w:t>
      </w:r>
      <w:r w:rsidR="00AF2FD0" w:rsidRPr="009D48B9">
        <w:rPr>
          <w:rFonts w:eastAsia="Tahoma" w:cs="Tahoma"/>
          <w:b/>
          <w:bCs/>
          <w:szCs w:val="24"/>
        </w:rPr>
        <w:t>MODIFICAR</w:t>
      </w:r>
      <w:r w:rsidR="00AF2FD0" w:rsidRPr="009D48B9">
        <w:rPr>
          <w:rFonts w:eastAsia="Tahoma" w:cs="Tahoma"/>
          <w:szCs w:val="24"/>
        </w:rPr>
        <w:t xml:space="preserve"> el ordinal segundo de la parte resolutiva de la sentencia de primera instancia en el sentido de excluir la orden de trasladar a Colpensiones el bono pensional en caso de existir. En su lugar, </w:t>
      </w:r>
      <w:r w:rsidR="00AF2FD0" w:rsidRPr="009D48B9">
        <w:rPr>
          <w:rFonts w:eastAsia="Times New Roman" w:cs="Tahoma"/>
          <w:b/>
          <w:bCs/>
          <w:iCs/>
          <w:szCs w:val="24"/>
          <w:lang w:eastAsia="es-CO"/>
        </w:rPr>
        <w:t>CONDENAR </w:t>
      </w:r>
      <w:r w:rsidR="00AF2FD0" w:rsidRPr="009D48B9">
        <w:rPr>
          <w:rFonts w:eastAsia="Tahoma" w:cs="Tahoma"/>
          <w:szCs w:val="24"/>
        </w:rPr>
        <w:t>al Fondo Privado De Pensiones Porvenir S.A.</w:t>
      </w:r>
      <w:r w:rsidR="00AF2FD0" w:rsidRPr="009D48B9">
        <w:rPr>
          <w:rFonts w:eastAsia="Times New Roman" w:cs="Tahoma"/>
          <w:iCs/>
          <w:szCs w:val="24"/>
          <w:lang w:eastAsia="es-CO"/>
        </w:rPr>
        <w:t xml:space="preserve"> que en caso de haber recibido el pago del bono pensional en favor de la cuenta de ahorro individual del Sr. JOSE OLMEDO SONS PEREZ, </w:t>
      </w:r>
      <w:r w:rsidR="00AF2FD0" w:rsidRPr="009D48B9">
        <w:rPr>
          <w:rFonts w:eastAsia="Times New Roman" w:cs="Tahoma"/>
          <w:b/>
          <w:iCs/>
          <w:szCs w:val="24"/>
          <w:lang w:eastAsia="es-CO"/>
        </w:rPr>
        <w:t>RESTITUYA</w:t>
      </w:r>
      <w:r w:rsidR="00AF2FD0" w:rsidRPr="009D48B9">
        <w:rPr>
          <w:rFonts w:eastAsia="Times New Roman" w:cs="Tahoma"/>
          <w:iCs/>
          <w:szCs w:val="24"/>
          <w:lang w:eastAsia="es-CO"/>
        </w:rPr>
        <w:t xml:space="preserve"> la suma pagada por ese concepto a la Oficina de Bonos Pensionales del </w:t>
      </w:r>
      <w:r w:rsidR="00AF2FD0" w:rsidRPr="009D48B9">
        <w:rPr>
          <w:rFonts w:eastAsia="Times New Roman" w:cs="Tahoma"/>
          <w:iCs/>
          <w:szCs w:val="24"/>
          <w:lang w:eastAsia="es-CO"/>
        </w:rPr>
        <w:lastRenderedPageBreak/>
        <w:t xml:space="preserve">MINISTERIO DE HACIENDA Y CRÉDITO PÚBLICO, misma </w:t>
      </w:r>
      <w:proofErr w:type="gramStart"/>
      <w:r w:rsidR="00AF2FD0" w:rsidRPr="009D48B9">
        <w:rPr>
          <w:rFonts w:eastAsia="Times New Roman" w:cs="Tahoma"/>
          <w:iCs/>
          <w:szCs w:val="24"/>
          <w:lang w:eastAsia="es-CO"/>
        </w:rPr>
        <w:t>que  deberá</w:t>
      </w:r>
      <w:proofErr w:type="gramEnd"/>
      <w:r w:rsidR="00AF2FD0" w:rsidRPr="009D48B9">
        <w:rPr>
          <w:rFonts w:eastAsia="Times New Roman" w:cs="Tahoma"/>
          <w:iCs/>
          <w:szCs w:val="24"/>
          <w:lang w:eastAsia="es-CO"/>
        </w:rPr>
        <w:t xml:space="preserve"> estar debidamente indexada, precisándose que esa actualización del valor del bono pensional debe ser cancelada con cargo a sus propios recursos.</w:t>
      </w:r>
    </w:p>
    <w:p w14:paraId="0B3BA051" w14:textId="77777777" w:rsidR="00B16B6C" w:rsidRPr="009D48B9" w:rsidRDefault="00B16B6C" w:rsidP="009D48B9">
      <w:pPr>
        <w:spacing w:line="276" w:lineRule="auto"/>
        <w:ind w:firstLine="644"/>
        <w:rPr>
          <w:rFonts w:eastAsia="Tahoma" w:cs="Tahoma"/>
          <w:szCs w:val="24"/>
          <w:lang w:eastAsia="es-ES"/>
        </w:rPr>
      </w:pPr>
    </w:p>
    <w:p w14:paraId="2315F948" w14:textId="65CB9492" w:rsidR="00CE0E35" w:rsidRPr="009D48B9" w:rsidRDefault="00B16B6C" w:rsidP="009D48B9">
      <w:pPr>
        <w:spacing w:line="276" w:lineRule="auto"/>
        <w:ind w:firstLine="644"/>
        <w:rPr>
          <w:rFonts w:eastAsia="Tahoma" w:cs="Tahoma"/>
          <w:szCs w:val="24"/>
          <w:lang w:eastAsia="es-ES"/>
        </w:rPr>
      </w:pPr>
      <w:r w:rsidRPr="009D48B9">
        <w:rPr>
          <w:rFonts w:eastAsia="Tahoma" w:cs="Tahoma"/>
          <w:b/>
          <w:bCs/>
          <w:szCs w:val="24"/>
          <w:lang w:eastAsia="es-ES"/>
        </w:rPr>
        <w:t xml:space="preserve">SEGUNDO: </w:t>
      </w:r>
      <w:r w:rsidR="00AF2FD0" w:rsidRPr="009D48B9">
        <w:rPr>
          <w:rFonts w:eastAsia="Tahoma" w:cs="Tahoma"/>
          <w:b/>
          <w:bCs/>
          <w:szCs w:val="24"/>
        </w:rPr>
        <w:t>ADICIONAR</w:t>
      </w:r>
      <w:r w:rsidR="00AF2FD0" w:rsidRPr="009D48B9">
        <w:rPr>
          <w:rFonts w:eastAsia="Tahoma" w:cs="Tahoma"/>
          <w:szCs w:val="24"/>
        </w:rPr>
        <w:t xml:space="preserve"> la providencia de instancia, en el sentido de comunicar la decisión adoptada en este asunto a la OBP del Ministerio de Hacienda y Crédito Público, </w:t>
      </w:r>
      <w:r w:rsidR="00AF2FD0" w:rsidRPr="009D48B9">
        <w:rPr>
          <w:rFonts w:eastAsia="Times New Roman" w:cs="Tahoma"/>
          <w:color w:val="000000"/>
          <w:szCs w:val="24"/>
          <w:lang w:val="es-ES" w:eastAsia="es-CO"/>
        </w:rPr>
        <w:t xml:space="preserve">con el objeto de que tenga conocimiento de la orden impartida frente al bono pensional tipo A que una vez redimido debió ser pagado por parte de esa entidad a favor de la cuenta de ahorro individual del </w:t>
      </w:r>
      <w:r w:rsidR="00AF2FD0" w:rsidRPr="009D48B9">
        <w:rPr>
          <w:rFonts w:eastAsia="Times New Roman" w:cs="Tahoma"/>
          <w:iCs/>
          <w:szCs w:val="24"/>
          <w:lang w:eastAsia="es-CO"/>
        </w:rPr>
        <w:t xml:space="preserve">Sr. </w:t>
      </w:r>
      <w:r w:rsidR="00832FF3" w:rsidRPr="009D48B9">
        <w:rPr>
          <w:rFonts w:eastAsia="Times New Roman" w:cs="Tahoma"/>
          <w:iCs/>
          <w:szCs w:val="24"/>
          <w:lang w:eastAsia="es-CO"/>
        </w:rPr>
        <w:t>JOSE OLMEDO SONS PEREZ</w:t>
      </w:r>
      <w:r w:rsidR="00AF2FD0" w:rsidRPr="009D48B9">
        <w:rPr>
          <w:rFonts w:eastAsia="Times New Roman" w:cs="Tahoma"/>
          <w:color w:val="000000"/>
          <w:szCs w:val="24"/>
          <w:lang w:val="es-ES" w:eastAsia="es-CO"/>
        </w:rPr>
        <w:t>, con el fin de que posteriormente, haciendo uso de trámites internos y a través de canales institucionales, ejecute todas las acciones pertinentes para retrotraer las cosas al estado en el que se encontraban para el 31 de mayo de 2000</w:t>
      </w:r>
      <w:r w:rsidR="00AF2FD0" w:rsidRPr="009D48B9">
        <w:rPr>
          <w:rFonts w:eastAsia="Times New Roman" w:cs="Tahoma"/>
          <w:spacing w:val="-2"/>
          <w:szCs w:val="24"/>
          <w:lang w:eastAsia="es-ES"/>
        </w:rPr>
        <w:t>.</w:t>
      </w:r>
    </w:p>
    <w:p w14:paraId="1D08F2DC" w14:textId="77777777" w:rsidR="00CE0E35" w:rsidRPr="009D48B9" w:rsidRDefault="00CE0E35" w:rsidP="009D48B9">
      <w:pPr>
        <w:spacing w:line="276" w:lineRule="auto"/>
        <w:ind w:firstLine="705"/>
        <w:textAlignment w:val="baseline"/>
        <w:rPr>
          <w:rFonts w:eastAsia="Times New Roman" w:cs="Tahoma"/>
          <w:b/>
          <w:bCs/>
          <w:szCs w:val="24"/>
          <w:lang w:eastAsia="es-ES"/>
        </w:rPr>
      </w:pPr>
      <w:r w:rsidRPr="009D48B9">
        <w:rPr>
          <w:rFonts w:eastAsia="Times New Roman" w:cs="Tahoma"/>
          <w:b/>
          <w:bCs/>
          <w:szCs w:val="24"/>
          <w:lang w:eastAsia="es-ES"/>
        </w:rPr>
        <w:t xml:space="preserve"> </w:t>
      </w:r>
    </w:p>
    <w:p w14:paraId="7B59A222" w14:textId="6E0F2CF0" w:rsidR="00CE0E35" w:rsidRPr="009D48B9" w:rsidRDefault="00395D29" w:rsidP="009D48B9">
      <w:pPr>
        <w:spacing w:line="276" w:lineRule="auto"/>
        <w:ind w:firstLine="644"/>
        <w:rPr>
          <w:rFonts w:eastAsia="Tahoma" w:cs="Tahoma"/>
          <w:szCs w:val="24"/>
          <w:lang w:eastAsia="es-ES"/>
        </w:rPr>
      </w:pPr>
      <w:r w:rsidRPr="009D48B9">
        <w:rPr>
          <w:rFonts w:eastAsia="Tahoma" w:cs="Tahoma"/>
          <w:b/>
          <w:bCs/>
          <w:szCs w:val="24"/>
          <w:lang w:eastAsia="es-ES"/>
        </w:rPr>
        <w:t>TERCERO</w:t>
      </w:r>
      <w:r w:rsidR="00CE0E35" w:rsidRPr="009D48B9">
        <w:rPr>
          <w:rFonts w:eastAsia="Tahoma" w:cs="Tahoma"/>
          <w:szCs w:val="24"/>
          <w:lang w:eastAsia="es-ES"/>
        </w:rPr>
        <w:t xml:space="preserve">: </w:t>
      </w:r>
      <w:r w:rsidR="00CE0E35" w:rsidRPr="009D48B9">
        <w:rPr>
          <w:rFonts w:eastAsia="Tahoma" w:cs="Tahoma"/>
          <w:b/>
          <w:bCs/>
          <w:szCs w:val="24"/>
          <w:lang w:eastAsia="es-ES"/>
        </w:rPr>
        <w:t>CONFIRMAR</w:t>
      </w:r>
      <w:r w:rsidR="00CE0E35" w:rsidRPr="009D48B9">
        <w:rPr>
          <w:rFonts w:eastAsia="Tahoma" w:cs="Tahoma"/>
          <w:szCs w:val="24"/>
          <w:lang w:eastAsia="es-ES"/>
        </w:rPr>
        <w:t xml:space="preserve"> en lo demás la sentencia proferida por el Juzgado </w:t>
      </w:r>
      <w:r w:rsidR="00CA14ED" w:rsidRPr="009D48B9">
        <w:rPr>
          <w:rFonts w:eastAsia="Tahoma" w:cs="Tahoma"/>
          <w:szCs w:val="24"/>
          <w:lang w:eastAsia="es-ES"/>
        </w:rPr>
        <w:t>Cuarto</w:t>
      </w:r>
      <w:r w:rsidR="00CE0E35" w:rsidRPr="009D48B9">
        <w:rPr>
          <w:rFonts w:eastAsia="Tahoma" w:cs="Tahoma"/>
          <w:szCs w:val="24"/>
          <w:lang w:eastAsia="es-ES"/>
        </w:rPr>
        <w:t xml:space="preserve"> Laboral de Circuito de Pereira, del </w:t>
      </w:r>
      <w:r w:rsidR="00CA14ED" w:rsidRPr="009D48B9">
        <w:rPr>
          <w:rFonts w:eastAsia="Tahoma" w:cs="Tahoma"/>
          <w:szCs w:val="24"/>
          <w:lang w:eastAsia="es-ES"/>
        </w:rPr>
        <w:t>5</w:t>
      </w:r>
      <w:r w:rsidR="00CE0E35" w:rsidRPr="009D48B9">
        <w:rPr>
          <w:rFonts w:eastAsia="Tahoma" w:cs="Tahoma"/>
          <w:szCs w:val="24"/>
          <w:lang w:eastAsia="es-ES"/>
        </w:rPr>
        <w:t xml:space="preserve"> de </w:t>
      </w:r>
      <w:r w:rsidR="00CA14ED" w:rsidRPr="009D48B9">
        <w:rPr>
          <w:rFonts w:eastAsia="Tahoma" w:cs="Tahoma"/>
          <w:szCs w:val="24"/>
          <w:lang w:eastAsia="es-ES"/>
        </w:rPr>
        <w:t>abril</w:t>
      </w:r>
      <w:r w:rsidR="00CE0E35" w:rsidRPr="009D48B9">
        <w:rPr>
          <w:rFonts w:eastAsia="Tahoma" w:cs="Tahoma"/>
          <w:szCs w:val="24"/>
          <w:lang w:eastAsia="es-ES"/>
        </w:rPr>
        <w:t xml:space="preserve"> de 2021 dentro del proceso de la referencia.</w:t>
      </w:r>
    </w:p>
    <w:p w14:paraId="38ADE5BE" w14:textId="77777777" w:rsidR="00CE0E35" w:rsidRPr="009D48B9" w:rsidRDefault="00CE0E35" w:rsidP="009D48B9">
      <w:pPr>
        <w:spacing w:line="276" w:lineRule="auto"/>
        <w:ind w:firstLine="644"/>
        <w:rPr>
          <w:rFonts w:eastAsia="Tahoma" w:cs="Tahoma"/>
          <w:szCs w:val="24"/>
          <w:lang w:eastAsia="es-ES"/>
        </w:rPr>
      </w:pPr>
    </w:p>
    <w:p w14:paraId="02537960" w14:textId="70481D0A" w:rsidR="00CE0E35" w:rsidRPr="009D48B9" w:rsidRDefault="00395D29" w:rsidP="009D48B9">
      <w:pPr>
        <w:spacing w:line="276" w:lineRule="auto"/>
        <w:ind w:firstLine="644"/>
        <w:rPr>
          <w:rFonts w:eastAsia="Tahoma" w:cs="Tahoma"/>
          <w:szCs w:val="24"/>
          <w:lang w:eastAsia="es-ES"/>
        </w:rPr>
      </w:pPr>
      <w:r w:rsidRPr="009D48B9">
        <w:rPr>
          <w:rFonts w:cs="Tahoma"/>
          <w:b/>
          <w:bCs/>
          <w:szCs w:val="24"/>
          <w:lang w:val="es-ES"/>
        </w:rPr>
        <w:t>CUARTO</w:t>
      </w:r>
      <w:r w:rsidR="00CE0E35" w:rsidRPr="009D48B9">
        <w:rPr>
          <w:rFonts w:eastAsia="Tahoma" w:cs="Tahoma"/>
          <w:szCs w:val="24"/>
          <w:lang w:eastAsia="es-ES"/>
        </w:rPr>
        <w:t>: </w:t>
      </w:r>
      <w:r w:rsidR="00CE0E35" w:rsidRPr="009D48B9">
        <w:rPr>
          <w:rFonts w:eastAsia="Tahoma" w:cs="Tahoma"/>
          <w:b/>
          <w:bCs/>
          <w:szCs w:val="24"/>
          <w:lang w:eastAsia="es-ES"/>
        </w:rPr>
        <w:t>CONDENAR</w:t>
      </w:r>
      <w:r w:rsidR="00CE0E35" w:rsidRPr="009D48B9">
        <w:rPr>
          <w:rFonts w:eastAsia="Tahoma" w:cs="Tahoma"/>
          <w:szCs w:val="24"/>
          <w:lang w:eastAsia="es-ES"/>
        </w:rPr>
        <w:t xml:space="preserve"> en costas de segunda instancia a la AFP Porvenir S.A. y a Colpensiones a favor del demandante, las cuales se liquidarán por el juzgado de origen.</w:t>
      </w:r>
    </w:p>
    <w:p w14:paraId="57641910" w14:textId="77777777" w:rsidR="00CE0E35" w:rsidRPr="009D48B9" w:rsidRDefault="00CE0E35" w:rsidP="009D48B9">
      <w:pPr>
        <w:spacing w:line="276" w:lineRule="auto"/>
        <w:ind w:firstLine="644"/>
        <w:rPr>
          <w:rFonts w:eastAsia="Tahoma" w:cs="Tahoma"/>
          <w:szCs w:val="24"/>
          <w:lang w:eastAsia="es-ES"/>
        </w:rPr>
      </w:pPr>
    </w:p>
    <w:p w14:paraId="362255B4" w14:textId="51F6FC52" w:rsidR="00CE0E35" w:rsidRPr="009D48B9" w:rsidRDefault="00395D29" w:rsidP="009D48B9">
      <w:pPr>
        <w:spacing w:line="276" w:lineRule="auto"/>
        <w:ind w:firstLine="644"/>
        <w:rPr>
          <w:rFonts w:cs="Tahoma"/>
          <w:szCs w:val="24"/>
          <w:lang w:val="es-ES"/>
        </w:rPr>
      </w:pPr>
      <w:r w:rsidRPr="009D48B9">
        <w:rPr>
          <w:rFonts w:cs="Tahoma"/>
          <w:b/>
          <w:bCs/>
          <w:szCs w:val="24"/>
          <w:lang w:val="es-ES"/>
        </w:rPr>
        <w:t>QUINTO</w:t>
      </w:r>
      <w:r w:rsidR="00CE0E35" w:rsidRPr="009D48B9">
        <w:rPr>
          <w:rFonts w:cs="Tahoma"/>
          <w:szCs w:val="24"/>
          <w:lang w:val="es-ES"/>
        </w:rPr>
        <w:t xml:space="preserve">: </w:t>
      </w:r>
      <w:r w:rsidR="00CA516C">
        <w:rPr>
          <w:rFonts w:cs="Tahoma"/>
          <w:szCs w:val="24"/>
          <w:lang w:val="es-ES"/>
        </w:rPr>
        <w:t>(…)</w:t>
      </w:r>
    </w:p>
    <w:p w14:paraId="5E3EB188" w14:textId="77777777" w:rsidR="00CE0E35" w:rsidRPr="009D48B9" w:rsidRDefault="00CE0E35" w:rsidP="009D48B9">
      <w:pPr>
        <w:spacing w:line="276" w:lineRule="auto"/>
        <w:ind w:firstLine="644"/>
        <w:rPr>
          <w:rFonts w:eastAsia="Tahoma" w:cs="Tahoma"/>
          <w:szCs w:val="24"/>
          <w:lang w:val="es-ES" w:eastAsia="es-ES"/>
        </w:rPr>
      </w:pPr>
    </w:p>
    <w:p w14:paraId="262D91C3" w14:textId="77777777" w:rsidR="00CE0E35" w:rsidRPr="009D48B9" w:rsidRDefault="00CE0E35" w:rsidP="009D48B9">
      <w:pPr>
        <w:widowControl w:val="0"/>
        <w:autoSpaceDE w:val="0"/>
        <w:autoSpaceDN w:val="0"/>
        <w:adjustRightInd w:val="0"/>
        <w:spacing w:line="276" w:lineRule="auto"/>
        <w:jc w:val="center"/>
        <w:rPr>
          <w:rFonts w:cs="Tahoma"/>
          <w:b/>
          <w:szCs w:val="24"/>
        </w:rPr>
      </w:pPr>
      <w:r w:rsidRPr="009D48B9">
        <w:rPr>
          <w:rFonts w:cs="Tahoma"/>
          <w:b/>
          <w:szCs w:val="24"/>
        </w:rPr>
        <w:t>NOTIFÍQUESE Y CÚMPLASE</w:t>
      </w:r>
    </w:p>
    <w:p w14:paraId="72ADBF11" w14:textId="77777777" w:rsidR="009D48B9" w:rsidRPr="009D48B9" w:rsidRDefault="009D48B9" w:rsidP="009D48B9">
      <w:pPr>
        <w:spacing w:line="276" w:lineRule="auto"/>
        <w:contextualSpacing/>
        <w:rPr>
          <w:rFonts w:eastAsia="Times New Roman" w:cs="Tahoma"/>
          <w:szCs w:val="24"/>
          <w:lang w:val="es-ES_tradnl"/>
        </w:rPr>
      </w:pPr>
      <w:bookmarkStart w:id="11" w:name="_Hlk74294138"/>
    </w:p>
    <w:p w14:paraId="0E87D30F" w14:textId="77777777" w:rsidR="009D48B9" w:rsidRPr="009D48B9" w:rsidRDefault="009D48B9" w:rsidP="009D48B9">
      <w:pPr>
        <w:widowControl w:val="0"/>
        <w:autoSpaceDE w:val="0"/>
        <w:autoSpaceDN w:val="0"/>
        <w:adjustRightInd w:val="0"/>
        <w:spacing w:line="276" w:lineRule="auto"/>
        <w:rPr>
          <w:rFonts w:eastAsia="Times New Roman" w:cs="Tahoma"/>
          <w:szCs w:val="24"/>
          <w:lang w:val="es-ES" w:eastAsia="es-ES"/>
        </w:rPr>
      </w:pPr>
      <w:r w:rsidRPr="009D48B9">
        <w:rPr>
          <w:rFonts w:eastAsia="Times New Roman" w:cs="Tahoma"/>
          <w:szCs w:val="24"/>
          <w:lang w:val="es-ES" w:eastAsia="es-ES"/>
        </w:rPr>
        <w:tab/>
        <w:t>La Magistrada ponente,</w:t>
      </w:r>
    </w:p>
    <w:p w14:paraId="0BB89EE0" w14:textId="77777777" w:rsidR="009D48B9" w:rsidRPr="009D48B9" w:rsidRDefault="009D48B9" w:rsidP="009D48B9">
      <w:pPr>
        <w:spacing w:line="276" w:lineRule="auto"/>
        <w:jc w:val="left"/>
        <w:rPr>
          <w:rFonts w:eastAsia="Times New Roman" w:cs="Tahoma"/>
          <w:szCs w:val="24"/>
          <w:lang w:val="es-ES" w:eastAsia="es-ES"/>
        </w:rPr>
      </w:pPr>
    </w:p>
    <w:p w14:paraId="44B3A23C" w14:textId="77777777" w:rsidR="009D48B9" w:rsidRPr="009D48B9" w:rsidRDefault="009D48B9" w:rsidP="009D48B9">
      <w:pPr>
        <w:spacing w:line="276" w:lineRule="auto"/>
        <w:jc w:val="left"/>
        <w:rPr>
          <w:rFonts w:eastAsia="Times New Roman" w:cs="Tahoma"/>
          <w:szCs w:val="24"/>
          <w:lang w:val="es-ES" w:eastAsia="es-ES"/>
        </w:rPr>
      </w:pPr>
    </w:p>
    <w:p w14:paraId="3A63ADBE" w14:textId="77777777" w:rsidR="009D48B9" w:rsidRPr="009D48B9" w:rsidRDefault="009D48B9" w:rsidP="009D48B9">
      <w:pPr>
        <w:spacing w:line="276" w:lineRule="auto"/>
        <w:jc w:val="left"/>
        <w:rPr>
          <w:rFonts w:eastAsia="Times New Roman" w:cs="Tahoma"/>
          <w:szCs w:val="24"/>
          <w:lang w:val="es-ES" w:eastAsia="es-ES"/>
        </w:rPr>
      </w:pPr>
    </w:p>
    <w:p w14:paraId="1D0D129D" w14:textId="77777777" w:rsidR="009D48B9" w:rsidRPr="009D48B9" w:rsidRDefault="009D48B9" w:rsidP="009D48B9">
      <w:pPr>
        <w:keepNext/>
        <w:spacing w:line="276" w:lineRule="auto"/>
        <w:jc w:val="center"/>
        <w:outlineLvl w:val="2"/>
        <w:rPr>
          <w:rFonts w:eastAsia="Times New Roman" w:cs="Tahoma"/>
          <w:b/>
          <w:bCs/>
          <w:szCs w:val="24"/>
          <w:lang w:val="es-ES" w:eastAsia="es-ES"/>
        </w:rPr>
      </w:pPr>
      <w:r w:rsidRPr="009D48B9">
        <w:rPr>
          <w:rFonts w:eastAsia="Times New Roman" w:cs="Tahoma"/>
          <w:b/>
          <w:bCs/>
          <w:szCs w:val="24"/>
          <w:lang w:val="es-ES" w:eastAsia="es-ES"/>
        </w:rPr>
        <w:t>ANA LUCÍA CAICEDO CALDERÓN</w:t>
      </w:r>
    </w:p>
    <w:p w14:paraId="198FDA8B" w14:textId="77777777" w:rsidR="009D48B9" w:rsidRPr="009D48B9" w:rsidRDefault="009D48B9" w:rsidP="009D48B9">
      <w:pPr>
        <w:spacing w:line="276" w:lineRule="auto"/>
        <w:jc w:val="left"/>
        <w:rPr>
          <w:rFonts w:eastAsia="Times New Roman" w:cs="Tahoma"/>
          <w:szCs w:val="24"/>
          <w:lang w:val="es-ES" w:eastAsia="es-ES"/>
        </w:rPr>
      </w:pPr>
    </w:p>
    <w:p w14:paraId="3EBFC13E" w14:textId="77777777" w:rsidR="009D48B9" w:rsidRPr="009D48B9" w:rsidRDefault="009D48B9" w:rsidP="009D48B9">
      <w:pPr>
        <w:spacing w:line="276" w:lineRule="auto"/>
        <w:ind w:firstLine="708"/>
        <w:jc w:val="left"/>
        <w:rPr>
          <w:rFonts w:eastAsia="Times New Roman" w:cs="Tahoma"/>
          <w:szCs w:val="24"/>
          <w:lang w:val="es-ES" w:eastAsia="es-ES"/>
        </w:rPr>
      </w:pPr>
      <w:bookmarkStart w:id="12" w:name="_Hlk62478330"/>
      <w:r w:rsidRPr="009D48B9">
        <w:rPr>
          <w:rFonts w:eastAsia="Times New Roman" w:cs="Tahoma"/>
          <w:szCs w:val="24"/>
          <w:lang w:val="es-ES" w:eastAsia="es-ES"/>
        </w:rPr>
        <w:t>La Magistrada y el Magistrado,</w:t>
      </w:r>
    </w:p>
    <w:p w14:paraId="5D652A95" w14:textId="77777777" w:rsidR="009D48B9" w:rsidRPr="009D48B9" w:rsidRDefault="009D48B9" w:rsidP="009D48B9">
      <w:pPr>
        <w:spacing w:line="276" w:lineRule="auto"/>
        <w:jc w:val="left"/>
        <w:rPr>
          <w:rFonts w:eastAsia="Times New Roman" w:cs="Tahoma"/>
          <w:szCs w:val="24"/>
          <w:lang w:val="es-ES" w:eastAsia="es-ES"/>
        </w:rPr>
      </w:pPr>
    </w:p>
    <w:p w14:paraId="0D1F85C7" w14:textId="77777777" w:rsidR="009D48B9" w:rsidRPr="009D48B9" w:rsidRDefault="009D48B9" w:rsidP="009D48B9">
      <w:pPr>
        <w:spacing w:line="276" w:lineRule="auto"/>
        <w:jc w:val="left"/>
        <w:rPr>
          <w:rFonts w:eastAsia="Times New Roman" w:cs="Tahoma"/>
          <w:szCs w:val="24"/>
          <w:lang w:val="es-ES" w:eastAsia="es-ES"/>
        </w:rPr>
      </w:pPr>
    </w:p>
    <w:p w14:paraId="0D5BC923" w14:textId="77777777" w:rsidR="009D48B9" w:rsidRPr="009D48B9" w:rsidRDefault="009D48B9" w:rsidP="009D48B9">
      <w:pPr>
        <w:spacing w:line="276" w:lineRule="auto"/>
        <w:jc w:val="left"/>
        <w:rPr>
          <w:rFonts w:eastAsia="Times New Roman" w:cs="Tahoma"/>
          <w:szCs w:val="24"/>
          <w:lang w:val="es-ES" w:eastAsia="es-ES"/>
        </w:rPr>
      </w:pPr>
    </w:p>
    <w:p w14:paraId="153FECC7" w14:textId="77777777" w:rsidR="009D48B9" w:rsidRPr="009D48B9" w:rsidRDefault="009D48B9" w:rsidP="009D48B9">
      <w:pPr>
        <w:spacing w:line="276" w:lineRule="auto"/>
        <w:rPr>
          <w:rFonts w:eastAsia="Times New Roman" w:cs="Tahoma"/>
          <w:szCs w:val="24"/>
          <w:lang w:val="es-ES" w:eastAsia="es-ES"/>
        </w:rPr>
      </w:pPr>
      <w:r w:rsidRPr="009D48B9">
        <w:rPr>
          <w:rFonts w:eastAsia="Times New Roman" w:cs="Tahoma"/>
          <w:b/>
          <w:bCs/>
          <w:szCs w:val="24"/>
          <w:lang w:val="es-ES" w:eastAsia="es-ES"/>
        </w:rPr>
        <w:t>OLGA LUCÍA HOYOS SEPÚLVEDA</w:t>
      </w:r>
      <w:r w:rsidRPr="009D48B9">
        <w:rPr>
          <w:rFonts w:eastAsia="Times New Roman" w:cs="Tahoma"/>
          <w:b/>
          <w:bCs/>
          <w:szCs w:val="24"/>
          <w:lang w:val="es-ES" w:eastAsia="es-ES"/>
        </w:rPr>
        <w:tab/>
      </w:r>
      <w:r w:rsidRPr="009D48B9">
        <w:rPr>
          <w:rFonts w:eastAsia="Times New Roman" w:cs="Tahoma"/>
          <w:b/>
          <w:bCs/>
          <w:szCs w:val="24"/>
          <w:lang w:val="es-ES" w:eastAsia="es-ES"/>
        </w:rPr>
        <w:tab/>
        <w:t>GERMÁN DARÍO GÓEZ VINASCO</w:t>
      </w:r>
      <w:bookmarkEnd w:id="11"/>
      <w:bookmarkEnd w:id="12"/>
    </w:p>
    <w:p w14:paraId="7DF2A4B3" w14:textId="4B63397B" w:rsidR="009D10A2" w:rsidRPr="009D48B9" w:rsidRDefault="009D48B9" w:rsidP="009D48B9">
      <w:pPr>
        <w:spacing w:line="276" w:lineRule="auto"/>
        <w:textAlignment w:val="baseline"/>
        <w:rPr>
          <w:rFonts w:cs="Tahoma"/>
          <w:bCs/>
          <w:szCs w:val="24"/>
        </w:rPr>
      </w:pPr>
      <w:r>
        <w:rPr>
          <w:rFonts w:cs="Tahoma"/>
          <w:bCs/>
          <w:szCs w:val="24"/>
        </w:rPr>
        <w:t>Aclara voto</w:t>
      </w:r>
    </w:p>
    <w:sectPr w:rsidR="009D10A2" w:rsidRPr="009D48B9" w:rsidSect="008C1AE6">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1C2A76" w16cex:dateUtc="2021-08-12T15:44:08.623Z"/>
  <w16cex:commentExtensible w16cex:durableId="1E05124D" w16cex:dateUtc="2021-08-13T13:01:13.5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524C" w14:textId="77777777" w:rsidR="00C45DBA" w:rsidRDefault="00C45DBA" w:rsidP="00790DA9">
      <w:pPr>
        <w:spacing w:line="240" w:lineRule="auto"/>
      </w:pPr>
      <w:r>
        <w:separator/>
      </w:r>
    </w:p>
  </w:endnote>
  <w:endnote w:type="continuationSeparator" w:id="0">
    <w:p w14:paraId="25B3EE61" w14:textId="77777777" w:rsidR="00C45DBA" w:rsidRDefault="00C45DBA" w:rsidP="00790DA9">
      <w:pPr>
        <w:spacing w:line="240" w:lineRule="auto"/>
      </w:pPr>
      <w:r>
        <w:continuationSeparator/>
      </w:r>
    </w:p>
  </w:endnote>
  <w:endnote w:type="continuationNotice" w:id="1">
    <w:p w14:paraId="0674742B" w14:textId="77777777" w:rsidR="00C45DBA" w:rsidRDefault="00C45D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8"/>
        <w:lang w:val="es-ES" w:eastAsia="es-ES"/>
      </w:rPr>
    </w:sdtEndPr>
    <w:sdtContent>
      <w:p w14:paraId="14419340" w14:textId="77777777" w:rsidR="00BB0107" w:rsidRPr="009D48B9" w:rsidRDefault="00BB0107">
        <w:pPr>
          <w:pStyle w:val="Piedepgina"/>
          <w:jc w:val="right"/>
          <w:rPr>
            <w:rFonts w:ascii="Arial" w:eastAsia="Times New Roman" w:hAnsi="Arial" w:cs="Arial"/>
            <w:sz w:val="18"/>
            <w:szCs w:val="18"/>
            <w:lang w:val="es-ES" w:eastAsia="es-ES"/>
          </w:rPr>
        </w:pPr>
        <w:r w:rsidRPr="009D48B9">
          <w:rPr>
            <w:rFonts w:ascii="Arial" w:eastAsia="Times New Roman" w:hAnsi="Arial" w:cs="Arial"/>
            <w:sz w:val="18"/>
            <w:szCs w:val="18"/>
            <w:lang w:val="es-ES" w:eastAsia="es-ES"/>
          </w:rPr>
          <w:fldChar w:fldCharType="begin"/>
        </w:r>
        <w:r w:rsidRPr="009D48B9">
          <w:rPr>
            <w:rFonts w:ascii="Arial" w:eastAsia="Times New Roman" w:hAnsi="Arial" w:cs="Arial"/>
            <w:sz w:val="18"/>
            <w:szCs w:val="18"/>
            <w:lang w:val="es-ES" w:eastAsia="es-ES"/>
          </w:rPr>
          <w:instrText>PAGE   \* MERGEFORMAT</w:instrText>
        </w:r>
        <w:r w:rsidRPr="009D48B9">
          <w:rPr>
            <w:rFonts w:ascii="Arial" w:eastAsia="Times New Roman" w:hAnsi="Arial" w:cs="Arial"/>
            <w:sz w:val="18"/>
            <w:szCs w:val="18"/>
            <w:lang w:val="es-ES" w:eastAsia="es-ES"/>
          </w:rPr>
          <w:fldChar w:fldCharType="separate"/>
        </w:r>
        <w:r w:rsidRPr="009D48B9">
          <w:rPr>
            <w:rFonts w:ascii="Arial" w:eastAsia="Times New Roman" w:hAnsi="Arial" w:cs="Arial"/>
            <w:sz w:val="18"/>
            <w:szCs w:val="18"/>
            <w:lang w:val="es-ES" w:eastAsia="es-ES"/>
          </w:rPr>
          <w:t>17</w:t>
        </w:r>
        <w:r w:rsidRPr="009D48B9">
          <w:rPr>
            <w:rFonts w:ascii="Arial" w:eastAsia="Times New Roman" w:hAnsi="Arial" w:cs="Arial"/>
            <w:sz w:val="18"/>
            <w:szCs w:val="18"/>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6E97" w14:textId="77777777" w:rsidR="00C45DBA" w:rsidRDefault="00C45DBA" w:rsidP="00790DA9">
      <w:pPr>
        <w:spacing w:line="240" w:lineRule="auto"/>
      </w:pPr>
      <w:r>
        <w:separator/>
      </w:r>
    </w:p>
  </w:footnote>
  <w:footnote w:type="continuationSeparator" w:id="0">
    <w:p w14:paraId="768374DB" w14:textId="77777777" w:rsidR="00C45DBA" w:rsidRDefault="00C45DBA" w:rsidP="00790DA9">
      <w:pPr>
        <w:spacing w:line="240" w:lineRule="auto"/>
      </w:pPr>
      <w:r>
        <w:continuationSeparator/>
      </w:r>
    </w:p>
  </w:footnote>
  <w:footnote w:type="continuationNotice" w:id="1">
    <w:p w14:paraId="6CAF372B" w14:textId="77777777" w:rsidR="00C45DBA" w:rsidRDefault="00C45DBA">
      <w:pPr>
        <w:spacing w:line="240" w:lineRule="auto"/>
      </w:pPr>
    </w:p>
  </w:footnote>
  <w:footnote w:id="2">
    <w:p w14:paraId="7069EB7B" w14:textId="77777777" w:rsidR="00CE0E35" w:rsidRPr="00CA516C" w:rsidRDefault="00CE0E35" w:rsidP="00CA516C">
      <w:pPr>
        <w:pStyle w:val="Textonotapie"/>
        <w:ind w:firstLine="0"/>
        <w:rPr>
          <w:rFonts w:ascii="Arial" w:hAnsi="Arial" w:cs="Arial"/>
          <w:sz w:val="18"/>
          <w:szCs w:val="18"/>
          <w:lang w:val="es-CO"/>
        </w:rPr>
      </w:pPr>
      <w:r w:rsidRPr="00CA516C">
        <w:rPr>
          <w:rStyle w:val="Refdenotaalpie"/>
          <w:rFonts w:ascii="Arial" w:hAnsi="Arial" w:cs="Arial"/>
          <w:sz w:val="18"/>
          <w:szCs w:val="18"/>
        </w:rPr>
        <w:footnoteRef/>
      </w:r>
      <w:r w:rsidRPr="00CA516C">
        <w:rPr>
          <w:rFonts w:ascii="Arial" w:hAnsi="Arial" w:cs="Arial"/>
          <w:sz w:val="18"/>
          <w:szCs w:val="18"/>
        </w:rPr>
        <w:t xml:space="preserve"> </w:t>
      </w:r>
      <w:r w:rsidRPr="00CA516C">
        <w:rPr>
          <w:rFonts w:ascii="Arial" w:hAnsi="Arial" w:cs="Arial"/>
          <w:sz w:val="18"/>
          <w:szCs w:val="18"/>
          <w:lang w:val="es-CO"/>
        </w:rPr>
        <w:t xml:space="preserve">Título tomado de la sentencia </w:t>
      </w:r>
      <w:r w:rsidRPr="00CA516C">
        <w:rPr>
          <w:rFonts w:ascii="Arial" w:hAnsi="Arial" w:cs="Arial"/>
          <w:sz w:val="18"/>
          <w:szCs w:val="18"/>
        </w:rPr>
        <w:t>del 8 de mayo de 2019SL 1688-2019, Radicado 68838, con Ponencia de la Dra. Clara Cecilia Dueñas Quevedo</w:t>
      </w:r>
    </w:p>
  </w:footnote>
  <w:footnote w:id="3">
    <w:p w14:paraId="2A7BCAAA" w14:textId="77777777" w:rsidR="00CE0E35" w:rsidRPr="00CA516C" w:rsidRDefault="00CE0E35" w:rsidP="00CA516C">
      <w:pPr>
        <w:pStyle w:val="Textonotapie"/>
        <w:ind w:firstLine="0"/>
        <w:rPr>
          <w:rFonts w:ascii="Arial" w:hAnsi="Arial" w:cs="Arial"/>
          <w:sz w:val="18"/>
          <w:szCs w:val="18"/>
          <w:lang w:val="es-CO"/>
        </w:rPr>
      </w:pPr>
      <w:r w:rsidRPr="00CA516C">
        <w:rPr>
          <w:rStyle w:val="Refdenotaalpie"/>
          <w:rFonts w:ascii="Arial" w:hAnsi="Arial" w:cs="Arial"/>
          <w:sz w:val="18"/>
          <w:szCs w:val="18"/>
        </w:rPr>
        <w:footnoteRef/>
      </w:r>
      <w:r w:rsidRPr="00CA516C">
        <w:rPr>
          <w:rFonts w:ascii="Arial" w:hAnsi="Arial" w:cs="Arial"/>
          <w:sz w:val="18"/>
          <w:szCs w:val="18"/>
        </w:rPr>
        <w:t xml:space="preserve"> </w:t>
      </w:r>
      <w:r w:rsidRPr="00CA516C">
        <w:rPr>
          <w:rFonts w:ascii="Arial" w:hAnsi="Arial" w:cs="Arial"/>
          <w:sz w:val="18"/>
          <w:szCs w:val="18"/>
          <w:lang w:val="es-CO"/>
        </w:rPr>
        <w:t xml:space="preserve">Estatuto Orgánico del Sistema Financiero </w:t>
      </w:r>
    </w:p>
  </w:footnote>
  <w:footnote w:id="4">
    <w:p w14:paraId="4D1B97A4" w14:textId="77777777" w:rsidR="002265A6" w:rsidRPr="00835DD4" w:rsidRDefault="002265A6" w:rsidP="002265A6">
      <w:pPr>
        <w:pStyle w:val="Textonotapie"/>
        <w:ind w:firstLine="0"/>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5">
    <w:p w14:paraId="2BB92051" w14:textId="77777777" w:rsidR="00CE0E35" w:rsidRPr="00CA516C" w:rsidRDefault="00CE0E35" w:rsidP="00CA516C">
      <w:pPr>
        <w:pStyle w:val="Textonotapie"/>
        <w:ind w:firstLine="0"/>
        <w:rPr>
          <w:rFonts w:ascii="Arial" w:hAnsi="Arial" w:cs="Arial"/>
          <w:sz w:val="18"/>
          <w:szCs w:val="18"/>
        </w:rPr>
      </w:pPr>
      <w:r w:rsidRPr="00CA516C">
        <w:rPr>
          <w:rStyle w:val="Refdenotaalpie"/>
          <w:rFonts w:ascii="Arial" w:hAnsi="Arial" w:cs="Arial"/>
          <w:sz w:val="18"/>
          <w:szCs w:val="18"/>
        </w:rPr>
        <w:footnoteRef/>
      </w:r>
      <w:r w:rsidRPr="00CA516C">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78198D27" w14:textId="77777777" w:rsidR="00CE0E35" w:rsidRPr="00CA516C" w:rsidRDefault="00CE0E35" w:rsidP="00CA516C">
      <w:pPr>
        <w:pStyle w:val="Textonotapie"/>
        <w:ind w:firstLine="0"/>
        <w:rPr>
          <w:rFonts w:ascii="Arial" w:hAnsi="Arial" w:cs="Arial"/>
          <w:sz w:val="18"/>
          <w:szCs w:val="18"/>
          <w:lang w:val="es-CO"/>
        </w:rPr>
      </w:pPr>
      <w:r w:rsidRPr="00CA516C">
        <w:rPr>
          <w:rStyle w:val="Refdenotaalpie"/>
          <w:rFonts w:ascii="Arial" w:hAnsi="Arial" w:cs="Arial"/>
          <w:sz w:val="18"/>
          <w:szCs w:val="18"/>
        </w:rPr>
        <w:footnoteRef/>
      </w:r>
      <w:r w:rsidRPr="00CA516C">
        <w:rPr>
          <w:rFonts w:ascii="Arial" w:hAnsi="Arial" w:cs="Arial"/>
          <w:sz w:val="18"/>
          <w:szCs w:val="18"/>
        </w:rPr>
        <w:t xml:space="preserve"> </w:t>
      </w:r>
      <w:r w:rsidRPr="00CA516C">
        <w:rPr>
          <w:rFonts w:ascii="Arial" w:hAnsi="Arial" w:cs="Arial"/>
          <w:sz w:val="18"/>
          <w:szCs w:val="18"/>
          <w:lang w:val="es-CO"/>
        </w:rPr>
        <w:t>Ibídem</w:t>
      </w:r>
    </w:p>
  </w:footnote>
  <w:footnote w:id="7">
    <w:p w14:paraId="34F7D0E7" w14:textId="0B3AAE95" w:rsidR="00AF2FD0" w:rsidRPr="00CA516C" w:rsidRDefault="00AF2FD0" w:rsidP="00CA516C">
      <w:pPr>
        <w:suppressAutoHyphens/>
        <w:spacing w:line="240" w:lineRule="auto"/>
        <w:rPr>
          <w:rFonts w:ascii="Arial" w:hAnsi="Arial" w:cs="Arial"/>
          <w:sz w:val="28"/>
          <w:szCs w:val="28"/>
        </w:rPr>
      </w:pPr>
      <w:r w:rsidRPr="00CA516C">
        <w:rPr>
          <w:rStyle w:val="Refdenotaalpie"/>
          <w:rFonts w:ascii="Arial" w:hAnsi="Arial" w:cs="Arial"/>
          <w:sz w:val="18"/>
          <w:szCs w:val="18"/>
        </w:rPr>
        <w:footnoteRef/>
      </w:r>
      <w:r w:rsidRPr="00CA516C">
        <w:rPr>
          <w:rFonts w:ascii="Arial" w:hAnsi="Arial" w:cs="Arial"/>
          <w:sz w:val="18"/>
          <w:szCs w:val="18"/>
        </w:rPr>
        <w:t xml:space="preserve"> Verbigracia, Sentencia de segunda instancia del 11 de agosto de 2021, Proceso Ordinario No. </w:t>
      </w:r>
      <w:r w:rsidRPr="00CA516C">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E054" w14:textId="6E2C6896" w:rsidR="005A7B94" w:rsidRPr="009D48B9" w:rsidRDefault="005A7B94" w:rsidP="005A7B94">
    <w:pPr>
      <w:pStyle w:val="NormalWeb"/>
      <w:tabs>
        <w:tab w:val="left" w:pos="1134"/>
      </w:tabs>
      <w:spacing w:before="0" w:beforeAutospacing="0" w:after="0" w:afterAutospacing="0"/>
      <w:jc w:val="both"/>
      <w:rPr>
        <w:rFonts w:ascii="Arial" w:hAnsi="Arial" w:cs="Arial"/>
        <w:sz w:val="18"/>
        <w:szCs w:val="18"/>
      </w:rPr>
    </w:pPr>
    <w:r w:rsidRPr="009D48B9">
      <w:rPr>
        <w:rFonts w:ascii="Arial" w:hAnsi="Arial" w:cs="Arial"/>
        <w:sz w:val="18"/>
        <w:szCs w:val="18"/>
      </w:rPr>
      <w:t>Radicación No.: 66001-31-05-004-2018-00634-01</w:t>
    </w:r>
  </w:p>
  <w:p w14:paraId="62731557" w14:textId="24F86B73" w:rsidR="005A7B94" w:rsidRPr="009D48B9" w:rsidRDefault="005A7B94" w:rsidP="005A7B94">
    <w:pPr>
      <w:pStyle w:val="NormalWeb"/>
      <w:tabs>
        <w:tab w:val="left" w:pos="1134"/>
      </w:tabs>
      <w:spacing w:before="0" w:beforeAutospacing="0" w:after="0" w:afterAutospacing="0"/>
      <w:jc w:val="both"/>
      <w:rPr>
        <w:rFonts w:ascii="Arial" w:hAnsi="Arial" w:cs="Arial"/>
        <w:sz w:val="18"/>
        <w:szCs w:val="18"/>
      </w:rPr>
    </w:pPr>
    <w:r w:rsidRPr="009D48B9">
      <w:rPr>
        <w:rFonts w:ascii="Arial" w:hAnsi="Arial" w:cs="Arial"/>
        <w:sz w:val="18"/>
        <w:szCs w:val="18"/>
      </w:rPr>
      <w:t>Demandante: José Olmedo Sons Pérez</w:t>
    </w:r>
  </w:p>
  <w:p w14:paraId="74068C4F" w14:textId="18D37433" w:rsidR="005A7B94" w:rsidRPr="009D48B9" w:rsidRDefault="005A7B94" w:rsidP="005A7B94">
    <w:pPr>
      <w:pStyle w:val="NormalWeb"/>
      <w:tabs>
        <w:tab w:val="left" w:pos="1134"/>
      </w:tabs>
      <w:spacing w:before="0" w:beforeAutospacing="0" w:after="0" w:afterAutospacing="0"/>
      <w:jc w:val="both"/>
      <w:rPr>
        <w:rFonts w:ascii="Arial" w:hAnsi="Arial" w:cs="Arial"/>
        <w:sz w:val="18"/>
        <w:szCs w:val="18"/>
      </w:rPr>
    </w:pPr>
    <w:r w:rsidRPr="009D48B9">
      <w:rPr>
        <w:rFonts w:ascii="Arial" w:hAnsi="Arial" w:cs="Arial"/>
        <w:sz w:val="18"/>
        <w:szCs w:val="18"/>
      </w:rPr>
      <w:t xml:space="preserve">Demandado: Colpensiones y Porvenir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ADC177F"/>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5"/>
  </w:num>
  <w:num w:numId="2">
    <w:abstractNumId w:val="4"/>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3E2E"/>
    <w:rsid w:val="00017704"/>
    <w:rsid w:val="00022EDE"/>
    <w:rsid w:val="000303BA"/>
    <w:rsid w:val="000333C2"/>
    <w:rsid w:val="000337DA"/>
    <w:rsid w:val="00033ECF"/>
    <w:rsid w:val="00042B25"/>
    <w:rsid w:val="00057428"/>
    <w:rsid w:val="00066767"/>
    <w:rsid w:val="00067D70"/>
    <w:rsid w:val="000723F0"/>
    <w:rsid w:val="00073698"/>
    <w:rsid w:val="00077A73"/>
    <w:rsid w:val="00081C10"/>
    <w:rsid w:val="000834CE"/>
    <w:rsid w:val="0008477A"/>
    <w:rsid w:val="000856A8"/>
    <w:rsid w:val="0009529A"/>
    <w:rsid w:val="00095D3A"/>
    <w:rsid w:val="00096470"/>
    <w:rsid w:val="00096A3F"/>
    <w:rsid w:val="000A6114"/>
    <w:rsid w:val="000B2BAA"/>
    <w:rsid w:val="000B398F"/>
    <w:rsid w:val="000B4F2C"/>
    <w:rsid w:val="000B51CC"/>
    <w:rsid w:val="000B6053"/>
    <w:rsid w:val="000B6595"/>
    <w:rsid w:val="000C02A4"/>
    <w:rsid w:val="000D5112"/>
    <w:rsid w:val="000E25BE"/>
    <w:rsid w:val="000F3D75"/>
    <w:rsid w:val="000F43BC"/>
    <w:rsid w:val="000F49C1"/>
    <w:rsid w:val="000F5175"/>
    <w:rsid w:val="00100496"/>
    <w:rsid w:val="00103F06"/>
    <w:rsid w:val="00104A02"/>
    <w:rsid w:val="00111CC7"/>
    <w:rsid w:val="00115C02"/>
    <w:rsid w:val="001162CF"/>
    <w:rsid w:val="001170DA"/>
    <w:rsid w:val="001229A3"/>
    <w:rsid w:val="00132CF5"/>
    <w:rsid w:val="001363CA"/>
    <w:rsid w:val="00142473"/>
    <w:rsid w:val="00142A51"/>
    <w:rsid w:val="00147587"/>
    <w:rsid w:val="00152DAF"/>
    <w:rsid w:val="001533B3"/>
    <w:rsid w:val="001878AE"/>
    <w:rsid w:val="001A291C"/>
    <w:rsid w:val="001B362B"/>
    <w:rsid w:val="001C0216"/>
    <w:rsid w:val="001D225A"/>
    <w:rsid w:val="001D423C"/>
    <w:rsid w:val="001F37EE"/>
    <w:rsid w:val="001F38B6"/>
    <w:rsid w:val="0022440C"/>
    <w:rsid w:val="002265A6"/>
    <w:rsid w:val="00227128"/>
    <w:rsid w:val="00235D61"/>
    <w:rsid w:val="00257046"/>
    <w:rsid w:val="00272B83"/>
    <w:rsid w:val="00272FA1"/>
    <w:rsid w:val="002A45C4"/>
    <w:rsid w:val="002B6E44"/>
    <w:rsid w:val="002B700F"/>
    <w:rsid w:val="002C0448"/>
    <w:rsid w:val="002C095D"/>
    <w:rsid w:val="002C32BD"/>
    <w:rsid w:val="002D3585"/>
    <w:rsid w:val="002D70C7"/>
    <w:rsid w:val="002F3B2F"/>
    <w:rsid w:val="00315273"/>
    <w:rsid w:val="00322722"/>
    <w:rsid w:val="00326F0D"/>
    <w:rsid w:val="003324F5"/>
    <w:rsid w:val="00333562"/>
    <w:rsid w:val="00342284"/>
    <w:rsid w:val="0034303C"/>
    <w:rsid w:val="0035761D"/>
    <w:rsid w:val="00395D29"/>
    <w:rsid w:val="003A3D04"/>
    <w:rsid w:val="003C0463"/>
    <w:rsid w:val="003C46FA"/>
    <w:rsid w:val="003C7505"/>
    <w:rsid w:val="003D0E6E"/>
    <w:rsid w:val="003D72E0"/>
    <w:rsid w:val="003E261A"/>
    <w:rsid w:val="004123A8"/>
    <w:rsid w:val="00413A7F"/>
    <w:rsid w:val="00416977"/>
    <w:rsid w:val="00421F4F"/>
    <w:rsid w:val="004221BB"/>
    <w:rsid w:val="0042469E"/>
    <w:rsid w:val="004260C5"/>
    <w:rsid w:val="00442AA4"/>
    <w:rsid w:val="00454F9D"/>
    <w:rsid w:val="00463493"/>
    <w:rsid w:val="00463B87"/>
    <w:rsid w:val="00463CFF"/>
    <w:rsid w:val="00466937"/>
    <w:rsid w:val="00467973"/>
    <w:rsid w:val="00473BC1"/>
    <w:rsid w:val="00480E80"/>
    <w:rsid w:val="00483816"/>
    <w:rsid w:val="00497808"/>
    <w:rsid w:val="004A1054"/>
    <w:rsid w:val="004C46ED"/>
    <w:rsid w:val="0053421E"/>
    <w:rsid w:val="00536012"/>
    <w:rsid w:val="00545B08"/>
    <w:rsid w:val="00553FD7"/>
    <w:rsid w:val="00555BF5"/>
    <w:rsid w:val="005607ED"/>
    <w:rsid w:val="00561E61"/>
    <w:rsid w:val="005662E3"/>
    <w:rsid w:val="005852DF"/>
    <w:rsid w:val="005A23C9"/>
    <w:rsid w:val="005A473D"/>
    <w:rsid w:val="005A5ADA"/>
    <w:rsid w:val="005A7B94"/>
    <w:rsid w:val="005B00B8"/>
    <w:rsid w:val="005B1B3D"/>
    <w:rsid w:val="005B1B92"/>
    <w:rsid w:val="005B4F89"/>
    <w:rsid w:val="005B5103"/>
    <w:rsid w:val="005B6189"/>
    <w:rsid w:val="005B65AA"/>
    <w:rsid w:val="005D6C75"/>
    <w:rsid w:val="005E1630"/>
    <w:rsid w:val="005F4133"/>
    <w:rsid w:val="00600B9D"/>
    <w:rsid w:val="00600CE4"/>
    <w:rsid w:val="0060137B"/>
    <w:rsid w:val="006136C7"/>
    <w:rsid w:val="00620E72"/>
    <w:rsid w:val="00630FC0"/>
    <w:rsid w:val="00633F28"/>
    <w:rsid w:val="006458B0"/>
    <w:rsid w:val="00647B40"/>
    <w:rsid w:val="00654EAE"/>
    <w:rsid w:val="00662FC5"/>
    <w:rsid w:val="00667387"/>
    <w:rsid w:val="0067414E"/>
    <w:rsid w:val="00693C39"/>
    <w:rsid w:val="006958B8"/>
    <w:rsid w:val="006A36EB"/>
    <w:rsid w:val="006B0AAC"/>
    <w:rsid w:val="006B11AA"/>
    <w:rsid w:val="006C4834"/>
    <w:rsid w:val="006D3825"/>
    <w:rsid w:val="006E3FE2"/>
    <w:rsid w:val="006E53AC"/>
    <w:rsid w:val="006E68C0"/>
    <w:rsid w:val="006F3644"/>
    <w:rsid w:val="006F3819"/>
    <w:rsid w:val="006F46B8"/>
    <w:rsid w:val="0072082E"/>
    <w:rsid w:val="00720DE1"/>
    <w:rsid w:val="0072783E"/>
    <w:rsid w:val="00734150"/>
    <w:rsid w:val="00737D7B"/>
    <w:rsid w:val="007813BE"/>
    <w:rsid w:val="00784D72"/>
    <w:rsid w:val="00790CCA"/>
    <w:rsid w:val="00790DA9"/>
    <w:rsid w:val="007A0931"/>
    <w:rsid w:val="007A34E5"/>
    <w:rsid w:val="007A7B9B"/>
    <w:rsid w:val="007D60E6"/>
    <w:rsid w:val="007E1917"/>
    <w:rsid w:val="007E5A0D"/>
    <w:rsid w:val="007F4E75"/>
    <w:rsid w:val="00802799"/>
    <w:rsid w:val="008063DF"/>
    <w:rsid w:val="00806950"/>
    <w:rsid w:val="00820A77"/>
    <w:rsid w:val="00824349"/>
    <w:rsid w:val="00832FF3"/>
    <w:rsid w:val="00835553"/>
    <w:rsid w:val="00840DA1"/>
    <w:rsid w:val="00846780"/>
    <w:rsid w:val="00851B08"/>
    <w:rsid w:val="008548ED"/>
    <w:rsid w:val="00854C63"/>
    <w:rsid w:val="0087484F"/>
    <w:rsid w:val="0087626E"/>
    <w:rsid w:val="00886808"/>
    <w:rsid w:val="00890591"/>
    <w:rsid w:val="00891AE9"/>
    <w:rsid w:val="008950AD"/>
    <w:rsid w:val="008B0C7F"/>
    <w:rsid w:val="008B3405"/>
    <w:rsid w:val="008B3F9C"/>
    <w:rsid w:val="008B63E1"/>
    <w:rsid w:val="008B6C8E"/>
    <w:rsid w:val="008C1AE6"/>
    <w:rsid w:val="008C3C79"/>
    <w:rsid w:val="008C4964"/>
    <w:rsid w:val="00907968"/>
    <w:rsid w:val="009253E4"/>
    <w:rsid w:val="00943B70"/>
    <w:rsid w:val="009449CA"/>
    <w:rsid w:val="0094516B"/>
    <w:rsid w:val="00946706"/>
    <w:rsid w:val="00952524"/>
    <w:rsid w:val="00956792"/>
    <w:rsid w:val="00956F52"/>
    <w:rsid w:val="00975AB3"/>
    <w:rsid w:val="009853EE"/>
    <w:rsid w:val="00990252"/>
    <w:rsid w:val="009979A7"/>
    <w:rsid w:val="009A49F0"/>
    <w:rsid w:val="009B14F6"/>
    <w:rsid w:val="009B33B6"/>
    <w:rsid w:val="009D10A2"/>
    <w:rsid w:val="009D1B5D"/>
    <w:rsid w:val="009D48B9"/>
    <w:rsid w:val="009E02EA"/>
    <w:rsid w:val="009E43EE"/>
    <w:rsid w:val="009E4F54"/>
    <w:rsid w:val="009E6EFD"/>
    <w:rsid w:val="009E715D"/>
    <w:rsid w:val="009E7D52"/>
    <w:rsid w:val="009F35E3"/>
    <w:rsid w:val="00A00398"/>
    <w:rsid w:val="00A0657B"/>
    <w:rsid w:val="00A13F40"/>
    <w:rsid w:val="00A15E51"/>
    <w:rsid w:val="00A22272"/>
    <w:rsid w:val="00A228DE"/>
    <w:rsid w:val="00A24955"/>
    <w:rsid w:val="00A266D4"/>
    <w:rsid w:val="00A26AC8"/>
    <w:rsid w:val="00A47546"/>
    <w:rsid w:val="00A67C26"/>
    <w:rsid w:val="00A74124"/>
    <w:rsid w:val="00A80CCF"/>
    <w:rsid w:val="00A87FEB"/>
    <w:rsid w:val="00A900DB"/>
    <w:rsid w:val="00A92675"/>
    <w:rsid w:val="00AA3C7C"/>
    <w:rsid w:val="00AA3D20"/>
    <w:rsid w:val="00AA783A"/>
    <w:rsid w:val="00AB462E"/>
    <w:rsid w:val="00AD511A"/>
    <w:rsid w:val="00AE042F"/>
    <w:rsid w:val="00AE2EB0"/>
    <w:rsid w:val="00AE6D9F"/>
    <w:rsid w:val="00AF1C75"/>
    <w:rsid w:val="00AF2FD0"/>
    <w:rsid w:val="00AF4757"/>
    <w:rsid w:val="00B03A68"/>
    <w:rsid w:val="00B06E1F"/>
    <w:rsid w:val="00B12513"/>
    <w:rsid w:val="00B16B6C"/>
    <w:rsid w:val="00B17E1F"/>
    <w:rsid w:val="00B20840"/>
    <w:rsid w:val="00B24B52"/>
    <w:rsid w:val="00B32B7C"/>
    <w:rsid w:val="00B40350"/>
    <w:rsid w:val="00B43958"/>
    <w:rsid w:val="00B44542"/>
    <w:rsid w:val="00B4752E"/>
    <w:rsid w:val="00B508F6"/>
    <w:rsid w:val="00B53E94"/>
    <w:rsid w:val="00B6216B"/>
    <w:rsid w:val="00B8317C"/>
    <w:rsid w:val="00B92321"/>
    <w:rsid w:val="00B951B9"/>
    <w:rsid w:val="00BB0107"/>
    <w:rsid w:val="00BB0943"/>
    <w:rsid w:val="00BB4300"/>
    <w:rsid w:val="00BB5F94"/>
    <w:rsid w:val="00BB7B81"/>
    <w:rsid w:val="00BC4213"/>
    <w:rsid w:val="00BC67CF"/>
    <w:rsid w:val="00BD0CEF"/>
    <w:rsid w:val="00BD1EBE"/>
    <w:rsid w:val="00BE0F3E"/>
    <w:rsid w:val="00BE6BEA"/>
    <w:rsid w:val="00BF10F2"/>
    <w:rsid w:val="00BF131B"/>
    <w:rsid w:val="00BF41DA"/>
    <w:rsid w:val="00C021EE"/>
    <w:rsid w:val="00C02346"/>
    <w:rsid w:val="00C02C9A"/>
    <w:rsid w:val="00C11B0A"/>
    <w:rsid w:val="00C16845"/>
    <w:rsid w:val="00C203B9"/>
    <w:rsid w:val="00C224D8"/>
    <w:rsid w:val="00C27D5D"/>
    <w:rsid w:val="00C33E31"/>
    <w:rsid w:val="00C36F4E"/>
    <w:rsid w:val="00C4413A"/>
    <w:rsid w:val="00C45DBA"/>
    <w:rsid w:val="00C53028"/>
    <w:rsid w:val="00C53872"/>
    <w:rsid w:val="00C7747B"/>
    <w:rsid w:val="00C81B2A"/>
    <w:rsid w:val="00C84471"/>
    <w:rsid w:val="00C860F2"/>
    <w:rsid w:val="00C9368C"/>
    <w:rsid w:val="00CA14ED"/>
    <w:rsid w:val="00CA516C"/>
    <w:rsid w:val="00CA743B"/>
    <w:rsid w:val="00CC776A"/>
    <w:rsid w:val="00CD14BB"/>
    <w:rsid w:val="00CD1CE4"/>
    <w:rsid w:val="00CE0567"/>
    <w:rsid w:val="00CE0E35"/>
    <w:rsid w:val="00CE5E7B"/>
    <w:rsid w:val="00CF2833"/>
    <w:rsid w:val="00CF703F"/>
    <w:rsid w:val="00D114C6"/>
    <w:rsid w:val="00D12F7D"/>
    <w:rsid w:val="00D14776"/>
    <w:rsid w:val="00D153D7"/>
    <w:rsid w:val="00D31819"/>
    <w:rsid w:val="00D44DF0"/>
    <w:rsid w:val="00D450B8"/>
    <w:rsid w:val="00D459BB"/>
    <w:rsid w:val="00D46A8D"/>
    <w:rsid w:val="00D47BA5"/>
    <w:rsid w:val="00D72C19"/>
    <w:rsid w:val="00D805CC"/>
    <w:rsid w:val="00D82B80"/>
    <w:rsid w:val="00D90263"/>
    <w:rsid w:val="00DA1C9D"/>
    <w:rsid w:val="00DA4370"/>
    <w:rsid w:val="00DB2FDD"/>
    <w:rsid w:val="00DC5863"/>
    <w:rsid w:val="00DF139A"/>
    <w:rsid w:val="00DF61C4"/>
    <w:rsid w:val="00DF7B39"/>
    <w:rsid w:val="00E352C7"/>
    <w:rsid w:val="00E376E1"/>
    <w:rsid w:val="00E43F7E"/>
    <w:rsid w:val="00E44599"/>
    <w:rsid w:val="00E45567"/>
    <w:rsid w:val="00E5519F"/>
    <w:rsid w:val="00E60B9A"/>
    <w:rsid w:val="00E66B3E"/>
    <w:rsid w:val="00E72BFE"/>
    <w:rsid w:val="00E74EEE"/>
    <w:rsid w:val="00E82867"/>
    <w:rsid w:val="00E931AE"/>
    <w:rsid w:val="00EA76E7"/>
    <w:rsid w:val="00EF3AA2"/>
    <w:rsid w:val="00EF513D"/>
    <w:rsid w:val="00EF5C33"/>
    <w:rsid w:val="00F159B2"/>
    <w:rsid w:val="00F24E45"/>
    <w:rsid w:val="00F2638B"/>
    <w:rsid w:val="00F26ECD"/>
    <w:rsid w:val="00F30A77"/>
    <w:rsid w:val="00F371AC"/>
    <w:rsid w:val="00F41005"/>
    <w:rsid w:val="00F4298B"/>
    <w:rsid w:val="00F45B56"/>
    <w:rsid w:val="00F50C4F"/>
    <w:rsid w:val="00F567D0"/>
    <w:rsid w:val="00F76BA2"/>
    <w:rsid w:val="00F8423F"/>
    <w:rsid w:val="00F902D2"/>
    <w:rsid w:val="00F92E51"/>
    <w:rsid w:val="00FA13EF"/>
    <w:rsid w:val="00FA239F"/>
    <w:rsid w:val="00FA61A6"/>
    <w:rsid w:val="00FB16D8"/>
    <w:rsid w:val="00FB1755"/>
    <w:rsid w:val="00FB4083"/>
    <w:rsid w:val="00FC4541"/>
    <w:rsid w:val="00FD1293"/>
    <w:rsid w:val="00FD26B3"/>
    <w:rsid w:val="00FD3954"/>
    <w:rsid w:val="00FD50CB"/>
    <w:rsid w:val="00FE17EB"/>
    <w:rsid w:val="00FE3C22"/>
    <w:rsid w:val="00FE63C7"/>
    <w:rsid w:val="00FF6DD0"/>
    <w:rsid w:val="01678849"/>
    <w:rsid w:val="030AFB16"/>
    <w:rsid w:val="0500474C"/>
    <w:rsid w:val="067D2DD4"/>
    <w:rsid w:val="10CB543A"/>
    <w:rsid w:val="10D03A52"/>
    <w:rsid w:val="10F5B9B0"/>
    <w:rsid w:val="1C39E654"/>
    <w:rsid w:val="2165CB40"/>
    <w:rsid w:val="245DBE3A"/>
    <w:rsid w:val="2B62F4E0"/>
    <w:rsid w:val="38ABB1A4"/>
    <w:rsid w:val="3B63AED4"/>
    <w:rsid w:val="450B4BA1"/>
    <w:rsid w:val="46756579"/>
    <w:rsid w:val="4EC5BA19"/>
    <w:rsid w:val="4FC84195"/>
    <w:rsid w:val="5D4E4829"/>
    <w:rsid w:val="5E77DBDD"/>
    <w:rsid w:val="68A9C598"/>
    <w:rsid w:val="6931BCB7"/>
    <w:rsid w:val="6B602A80"/>
    <w:rsid w:val="79BD3250"/>
    <w:rsid w:val="7C7D00D9"/>
    <w:rsid w:val="7E015A5D"/>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F139A"/>
    <w:rPr>
      <w:b/>
      <w:bCs/>
    </w:rPr>
  </w:style>
  <w:style w:type="character" w:customStyle="1" w:styleId="AsuntodelcomentarioCar">
    <w:name w:val="Asunto del comentario Car"/>
    <w:basedOn w:val="TextocomentarioCar"/>
    <w:link w:val="Asuntodelcomentario"/>
    <w:uiPriority w:val="99"/>
    <w:semiHidden/>
    <w:rsid w:val="00DF139A"/>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751">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63710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e13d0ea49bb04b3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C41C4270-D6FC-4283-8C6D-A9B3CB87D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4DA8B8-6704-4C05-8871-D3DC809D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8092</Words>
  <Characters>44508</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15</cp:revision>
  <dcterms:created xsi:type="dcterms:W3CDTF">2021-08-06T16:28:00Z</dcterms:created>
  <dcterms:modified xsi:type="dcterms:W3CDTF">2021-09-13T01:46:00Z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