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4BC2C0" w14:textId="77777777" w:rsidR="00CB2431" w:rsidRPr="00CB2431" w:rsidRDefault="00CB2431" w:rsidP="00CB2431">
      <w:pPr>
        <w:pBdr>
          <w:top w:val="single" w:sz="4" w:space="0" w:color="auto"/>
          <w:left w:val="single" w:sz="4" w:space="4" w:color="auto"/>
          <w:bottom w:val="single" w:sz="4" w:space="1" w:color="auto"/>
          <w:right w:val="single" w:sz="4" w:space="4" w:color="auto"/>
        </w:pBdr>
        <w:shd w:val="clear" w:color="auto" w:fill="FFFFFF"/>
        <w:spacing w:line="240" w:lineRule="auto"/>
        <w:ind w:firstLine="0"/>
        <w:rPr>
          <w:rFonts w:ascii="Arial" w:eastAsia="Times New Roman" w:hAnsi="Arial" w:cs="Arial"/>
          <w:color w:val="FF0000"/>
          <w:spacing w:val="-4"/>
          <w:sz w:val="18"/>
          <w:szCs w:val="18"/>
          <w:lang w:val="es-419" w:eastAsia="fr-FR"/>
        </w:rPr>
      </w:pPr>
      <w:bookmarkStart w:id="0" w:name="_Hlk76320119"/>
      <w:bookmarkStart w:id="1" w:name="_Hlk58566252"/>
      <w:r w:rsidRPr="00CB2431">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007AF062" w14:textId="77777777" w:rsidR="00CB2431" w:rsidRPr="00CB2431" w:rsidRDefault="00CB2431" w:rsidP="00CB2431">
      <w:pPr>
        <w:spacing w:line="240" w:lineRule="auto"/>
        <w:ind w:firstLine="0"/>
        <w:rPr>
          <w:rFonts w:ascii="Arial" w:eastAsia="Times New Roman" w:hAnsi="Arial" w:cs="Arial"/>
          <w:sz w:val="20"/>
          <w:szCs w:val="20"/>
          <w:lang w:val="es-419" w:eastAsia="es-ES"/>
        </w:rPr>
      </w:pPr>
    </w:p>
    <w:p w14:paraId="11893CDB" w14:textId="77777777" w:rsidR="00CB2431" w:rsidRPr="00CB2431" w:rsidRDefault="00CB2431" w:rsidP="00CB2431">
      <w:pPr>
        <w:spacing w:line="240" w:lineRule="auto"/>
        <w:ind w:firstLine="0"/>
        <w:rPr>
          <w:rFonts w:ascii="Arial" w:eastAsia="Times New Roman" w:hAnsi="Arial" w:cs="Arial"/>
          <w:sz w:val="20"/>
          <w:szCs w:val="20"/>
          <w:lang w:val="es-419" w:eastAsia="es-ES"/>
        </w:rPr>
      </w:pPr>
      <w:r w:rsidRPr="00CB2431">
        <w:rPr>
          <w:rFonts w:ascii="Arial" w:eastAsia="Times New Roman" w:hAnsi="Arial" w:cs="Arial"/>
          <w:sz w:val="20"/>
          <w:szCs w:val="20"/>
          <w:lang w:val="es-419" w:eastAsia="es-ES"/>
        </w:rPr>
        <w:t xml:space="preserve">Radicación No.: </w:t>
      </w:r>
      <w:r w:rsidRPr="00CB2431">
        <w:rPr>
          <w:rFonts w:ascii="Arial" w:eastAsia="Times New Roman" w:hAnsi="Arial" w:cs="Arial"/>
          <w:sz w:val="20"/>
          <w:szCs w:val="20"/>
          <w:lang w:val="es-419" w:eastAsia="es-ES"/>
        </w:rPr>
        <w:tab/>
        <w:t>66001-31-05-003-2019-00436-01</w:t>
      </w:r>
    </w:p>
    <w:p w14:paraId="58F04D23" w14:textId="77777777" w:rsidR="00CB2431" w:rsidRPr="00CB2431" w:rsidRDefault="00CB2431" w:rsidP="00CB2431">
      <w:pPr>
        <w:spacing w:line="240" w:lineRule="auto"/>
        <w:ind w:firstLine="0"/>
        <w:rPr>
          <w:rFonts w:ascii="Arial" w:eastAsia="Times New Roman" w:hAnsi="Arial" w:cs="Arial"/>
          <w:sz w:val="20"/>
          <w:szCs w:val="20"/>
          <w:lang w:val="es-419" w:eastAsia="es-ES"/>
        </w:rPr>
      </w:pPr>
      <w:r w:rsidRPr="00CB2431">
        <w:rPr>
          <w:rFonts w:ascii="Arial" w:eastAsia="Times New Roman" w:hAnsi="Arial" w:cs="Arial"/>
          <w:sz w:val="20"/>
          <w:szCs w:val="20"/>
          <w:lang w:val="es-419" w:eastAsia="es-ES"/>
        </w:rPr>
        <w:t xml:space="preserve">Proceso: </w:t>
      </w:r>
      <w:r w:rsidRPr="00CB2431">
        <w:rPr>
          <w:rFonts w:ascii="Arial" w:eastAsia="Times New Roman" w:hAnsi="Arial" w:cs="Arial"/>
          <w:sz w:val="20"/>
          <w:szCs w:val="20"/>
          <w:lang w:val="es-419" w:eastAsia="es-ES"/>
        </w:rPr>
        <w:tab/>
      </w:r>
      <w:r w:rsidRPr="00CB2431">
        <w:rPr>
          <w:rFonts w:ascii="Arial" w:eastAsia="Times New Roman" w:hAnsi="Arial" w:cs="Arial"/>
          <w:sz w:val="20"/>
          <w:szCs w:val="20"/>
          <w:lang w:val="es-419" w:eastAsia="es-ES"/>
        </w:rPr>
        <w:tab/>
        <w:t xml:space="preserve">Ordinario Laboral </w:t>
      </w:r>
    </w:p>
    <w:p w14:paraId="15CC1EAB" w14:textId="77777777" w:rsidR="00CB2431" w:rsidRPr="00CB2431" w:rsidRDefault="00CB2431" w:rsidP="00CB2431">
      <w:pPr>
        <w:spacing w:line="240" w:lineRule="auto"/>
        <w:ind w:firstLine="0"/>
        <w:rPr>
          <w:rFonts w:ascii="Arial" w:eastAsia="Times New Roman" w:hAnsi="Arial" w:cs="Arial"/>
          <w:sz w:val="20"/>
          <w:szCs w:val="20"/>
          <w:lang w:val="es-419" w:eastAsia="es-ES"/>
        </w:rPr>
      </w:pPr>
      <w:r w:rsidRPr="00CB2431">
        <w:rPr>
          <w:rFonts w:ascii="Arial" w:eastAsia="Times New Roman" w:hAnsi="Arial" w:cs="Arial"/>
          <w:sz w:val="20"/>
          <w:szCs w:val="20"/>
          <w:lang w:val="es-419" w:eastAsia="es-ES"/>
        </w:rPr>
        <w:t xml:space="preserve">Demandante: </w:t>
      </w:r>
      <w:r w:rsidRPr="00CB2431">
        <w:rPr>
          <w:rFonts w:ascii="Arial" w:eastAsia="Times New Roman" w:hAnsi="Arial" w:cs="Arial"/>
          <w:sz w:val="20"/>
          <w:szCs w:val="20"/>
          <w:lang w:val="es-419" w:eastAsia="es-ES"/>
        </w:rPr>
        <w:tab/>
      </w:r>
      <w:r w:rsidRPr="00CB2431">
        <w:rPr>
          <w:rFonts w:ascii="Arial" w:eastAsia="Times New Roman" w:hAnsi="Arial" w:cs="Arial"/>
          <w:sz w:val="20"/>
          <w:szCs w:val="20"/>
          <w:lang w:val="es-419" w:eastAsia="es-ES"/>
        </w:rPr>
        <w:tab/>
        <w:t xml:space="preserve">Claudia Carmenza Acosta </w:t>
      </w:r>
      <w:proofErr w:type="spellStart"/>
      <w:r w:rsidRPr="00CB2431">
        <w:rPr>
          <w:rFonts w:ascii="Arial" w:eastAsia="Times New Roman" w:hAnsi="Arial" w:cs="Arial"/>
          <w:sz w:val="20"/>
          <w:szCs w:val="20"/>
          <w:lang w:val="es-419" w:eastAsia="es-ES"/>
        </w:rPr>
        <w:t>Aranzazu</w:t>
      </w:r>
      <w:proofErr w:type="spellEnd"/>
      <w:r w:rsidRPr="00CB2431">
        <w:rPr>
          <w:rFonts w:ascii="Arial" w:eastAsia="Times New Roman" w:hAnsi="Arial" w:cs="Arial"/>
          <w:sz w:val="20"/>
          <w:szCs w:val="20"/>
          <w:lang w:val="es-419" w:eastAsia="es-ES"/>
        </w:rPr>
        <w:t xml:space="preserve"> </w:t>
      </w:r>
    </w:p>
    <w:p w14:paraId="52C14FA0" w14:textId="77777777" w:rsidR="00CB2431" w:rsidRPr="00CB2431" w:rsidRDefault="00CB2431" w:rsidP="00CB2431">
      <w:pPr>
        <w:spacing w:line="240" w:lineRule="auto"/>
        <w:ind w:firstLine="0"/>
        <w:rPr>
          <w:rFonts w:ascii="Arial" w:eastAsia="Times New Roman" w:hAnsi="Arial" w:cs="Arial"/>
          <w:sz w:val="20"/>
          <w:szCs w:val="20"/>
          <w:lang w:val="es-419" w:eastAsia="es-ES"/>
        </w:rPr>
      </w:pPr>
      <w:r w:rsidRPr="00CB2431">
        <w:rPr>
          <w:rFonts w:ascii="Arial" w:eastAsia="Times New Roman" w:hAnsi="Arial" w:cs="Arial"/>
          <w:sz w:val="20"/>
          <w:szCs w:val="20"/>
          <w:lang w:val="es-419" w:eastAsia="es-ES"/>
        </w:rPr>
        <w:t xml:space="preserve">Demandado: </w:t>
      </w:r>
      <w:r w:rsidRPr="00CB2431">
        <w:rPr>
          <w:rFonts w:ascii="Arial" w:eastAsia="Times New Roman" w:hAnsi="Arial" w:cs="Arial"/>
          <w:sz w:val="20"/>
          <w:szCs w:val="20"/>
          <w:lang w:val="es-419" w:eastAsia="es-ES"/>
        </w:rPr>
        <w:tab/>
      </w:r>
      <w:r w:rsidRPr="00CB2431">
        <w:rPr>
          <w:rFonts w:ascii="Arial" w:eastAsia="Times New Roman" w:hAnsi="Arial" w:cs="Arial"/>
          <w:sz w:val="20"/>
          <w:szCs w:val="20"/>
          <w:lang w:val="es-419" w:eastAsia="es-ES"/>
        </w:rPr>
        <w:tab/>
        <w:t>Protección S.A.</w:t>
      </w:r>
    </w:p>
    <w:p w14:paraId="07648EA9" w14:textId="5D188E3B" w:rsidR="00CB2431" w:rsidRPr="00CB2431" w:rsidRDefault="00CB2431" w:rsidP="00CB2431">
      <w:pPr>
        <w:spacing w:line="240" w:lineRule="auto"/>
        <w:ind w:firstLine="0"/>
        <w:rPr>
          <w:rFonts w:ascii="Arial" w:eastAsia="Times New Roman" w:hAnsi="Arial" w:cs="Arial"/>
          <w:sz w:val="20"/>
          <w:szCs w:val="20"/>
          <w:lang w:val="es-419" w:eastAsia="es-ES"/>
        </w:rPr>
      </w:pPr>
      <w:r w:rsidRPr="00CB2431">
        <w:rPr>
          <w:rFonts w:ascii="Arial" w:eastAsia="Times New Roman" w:hAnsi="Arial" w:cs="Arial"/>
          <w:sz w:val="20"/>
          <w:szCs w:val="20"/>
          <w:lang w:val="es-419" w:eastAsia="es-ES"/>
        </w:rPr>
        <w:t>Juzgado</w:t>
      </w:r>
      <w:bookmarkStart w:id="2" w:name="_GoBack"/>
      <w:bookmarkEnd w:id="2"/>
      <w:r w:rsidRPr="00CB2431">
        <w:rPr>
          <w:rFonts w:ascii="Arial" w:eastAsia="Times New Roman" w:hAnsi="Arial" w:cs="Arial"/>
          <w:sz w:val="20"/>
          <w:szCs w:val="20"/>
          <w:lang w:val="es-419" w:eastAsia="es-ES"/>
        </w:rPr>
        <w:t xml:space="preserve"> de origen: </w:t>
      </w:r>
      <w:r w:rsidRPr="00CB2431">
        <w:rPr>
          <w:rFonts w:ascii="Arial" w:eastAsia="Times New Roman" w:hAnsi="Arial" w:cs="Arial"/>
          <w:sz w:val="20"/>
          <w:szCs w:val="20"/>
          <w:lang w:val="es-419" w:eastAsia="es-ES"/>
        </w:rPr>
        <w:tab/>
        <w:t>Tercero Laboral del Circuito de Pereira</w:t>
      </w:r>
    </w:p>
    <w:p w14:paraId="37C19F92" w14:textId="77777777" w:rsidR="00CB2431" w:rsidRPr="00CB2431" w:rsidRDefault="00CB2431" w:rsidP="00CB2431">
      <w:pPr>
        <w:spacing w:line="240" w:lineRule="auto"/>
        <w:ind w:firstLine="0"/>
        <w:rPr>
          <w:rFonts w:ascii="Arial" w:eastAsia="Times New Roman" w:hAnsi="Arial" w:cs="Arial"/>
          <w:sz w:val="20"/>
          <w:szCs w:val="20"/>
          <w:lang w:val="es-419" w:eastAsia="es-ES"/>
        </w:rPr>
      </w:pPr>
    </w:p>
    <w:p w14:paraId="1A136F88" w14:textId="424A0924" w:rsidR="00CB2431" w:rsidRPr="00CB2431" w:rsidRDefault="00063924" w:rsidP="00CB2431">
      <w:pPr>
        <w:spacing w:line="240" w:lineRule="auto"/>
        <w:ind w:firstLine="0"/>
        <w:rPr>
          <w:rFonts w:ascii="Arial" w:eastAsia="Times New Roman" w:hAnsi="Arial" w:cs="Arial"/>
          <w:b/>
          <w:bCs/>
          <w:iCs/>
          <w:sz w:val="20"/>
          <w:szCs w:val="20"/>
          <w:lang w:val="es-419" w:eastAsia="fr-FR"/>
        </w:rPr>
      </w:pPr>
      <w:r w:rsidRPr="00CB2431">
        <w:rPr>
          <w:rFonts w:ascii="Arial" w:eastAsia="Times New Roman" w:hAnsi="Arial" w:cs="Arial"/>
          <w:b/>
          <w:bCs/>
          <w:iCs/>
          <w:sz w:val="20"/>
          <w:szCs w:val="20"/>
          <w:u w:val="single"/>
          <w:lang w:val="es-419" w:eastAsia="fr-FR"/>
        </w:rPr>
        <w:t>TEMAS:</w:t>
      </w:r>
      <w:r w:rsidRPr="00CB2431">
        <w:rPr>
          <w:rFonts w:ascii="Arial" w:eastAsia="Times New Roman" w:hAnsi="Arial" w:cs="Arial"/>
          <w:b/>
          <w:bCs/>
          <w:iCs/>
          <w:sz w:val="20"/>
          <w:szCs w:val="20"/>
          <w:lang w:val="es-419" w:eastAsia="fr-FR"/>
        </w:rPr>
        <w:tab/>
      </w:r>
      <w:r>
        <w:rPr>
          <w:rFonts w:ascii="Arial" w:eastAsia="Times New Roman" w:hAnsi="Arial" w:cs="Arial"/>
          <w:b/>
          <w:bCs/>
          <w:iCs/>
          <w:sz w:val="20"/>
          <w:szCs w:val="20"/>
          <w:lang w:val="es-419" w:eastAsia="fr-FR"/>
        </w:rPr>
        <w:t>PENSIÓN DE SOBREVIVIENTES / COMPAÑERA PERMANENTE / REQUISITOS / CONVIVENCIA / CINCO AÑOS ANTERIORES AL FALLECIMIENTO / CARACTERÍSTICAS / VALORACIÓN PROBATORIA / SE DENIEGA.</w:t>
      </w:r>
    </w:p>
    <w:p w14:paraId="76AA7B23" w14:textId="77777777" w:rsidR="00CB2431" w:rsidRPr="00CB2431" w:rsidRDefault="00CB2431" w:rsidP="00CB2431">
      <w:pPr>
        <w:spacing w:line="240" w:lineRule="auto"/>
        <w:ind w:firstLine="0"/>
        <w:rPr>
          <w:rFonts w:ascii="Arial" w:eastAsia="Times New Roman" w:hAnsi="Arial" w:cs="Arial"/>
          <w:sz w:val="20"/>
          <w:szCs w:val="20"/>
          <w:lang w:val="es-419" w:eastAsia="es-ES"/>
        </w:rPr>
      </w:pPr>
    </w:p>
    <w:p w14:paraId="0542D98A" w14:textId="5A7FEEE5" w:rsidR="00CB2431" w:rsidRPr="00CB2431" w:rsidRDefault="00C15147" w:rsidP="00CB2431">
      <w:pPr>
        <w:spacing w:line="240" w:lineRule="auto"/>
        <w:ind w:firstLine="0"/>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0052421D" w:rsidRPr="0052421D">
        <w:rPr>
          <w:rFonts w:ascii="Arial" w:eastAsia="Times New Roman" w:hAnsi="Arial" w:cs="Arial"/>
          <w:sz w:val="20"/>
          <w:szCs w:val="20"/>
          <w:lang w:val="es-419" w:eastAsia="es-ES"/>
        </w:rPr>
        <w:t>la norma que rige el estudio de la prestación reclamada es la vigente al momento en que aquella se causó, esto es, el artículo 47 de la Ley 100 de 1993 con las modificaciones introducidas por la Ley 797 de 2003, misma que exige a la compañera permanente una convivencia no inferior a cinco años, con anterioridad al deceso del pensionado, y que la Sala de Casación Laboral de la Corte Suprema de Justicia ha definido como aquella “comunidad de vida, forjada en el crisol del amor responsable, la ayuda mutua, el afecto entrañable, el apoyo económico, la asistencia solidaria y el acompañamiento espiritual, que refleje el propósito de realizar un proyecto de vida de pareja responsable y estable, a la par de una convivencia real efectiva y afectiva-  durante los años anteriores al fallecimiento del afiliado o del pensionado”</w:t>
      </w:r>
      <w:r>
        <w:rPr>
          <w:rFonts w:ascii="Arial" w:eastAsia="Times New Roman" w:hAnsi="Arial" w:cs="Arial"/>
          <w:sz w:val="20"/>
          <w:szCs w:val="20"/>
          <w:lang w:val="es-419" w:eastAsia="es-ES"/>
        </w:rPr>
        <w:t>.</w:t>
      </w:r>
    </w:p>
    <w:p w14:paraId="70A0454B" w14:textId="77777777" w:rsidR="00CB2431" w:rsidRPr="00CB2431" w:rsidRDefault="00CB2431" w:rsidP="00CB2431">
      <w:pPr>
        <w:spacing w:line="240" w:lineRule="auto"/>
        <w:ind w:firstLine="0"/>
        <w:rPr>
          <w:rFonts w:ascii="Arial" w:eastAsia="Times New Roman" w:hAnsi="Arial" w:cs="Arial"/>
          <w:sz w:val="20"/>
          <w:szCs w:val="20"/>
          <w:lang w:val="es-419" w:eastAsia="es-ES"/>
        </w:rPr>
      </w:pPr>
    </w:p>
    <w:p w14:paraId="58FF7BE6" w14:textId="70218C1F" w:rsidR="00C15147" w:rsidRPr="00C15147" w:rsidRDefault="00C15147" w:rsidP="00C15147">
      <w:pPr>
        <w:spacing w:line="240" w:lineRule="auto"/>
        <w:ind w:firstLine="0"/>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C15147">
        <w:rPr>
          <w:rFonts w:ascii="Arial" w:eastAsia="Times New Roman" w:hAnsi="Arial" w:cs="Arial"/>
          <w:sz w:val="20"/>
          <w:szCs w:val="20"/>
          <w:lang w:val="es-419" w:eastAsia="es-ES"/>
        </w:rPr>
        <w:t>lo expuesto por la demandante en su interrogatorio emergió como una confesión que permite inferir que, si bien pudo existir una relación estrecha con el causante, la misma no tuvo vocación de ser ininterrumpida en los cinco años que precedieron el óbito del afiliado, de tal manera que se pudiera gestar una comunidad de vida donde la convivencia fuera el pilar fundamental que diera lugar a considerarla como beneficiaria de la pensión reclamada.</w:t>
      </w:r>
    </w:p>
    <w:p w14:paraId="5C4104AA" w14:textId="77777777" w:rsidR="00C15147" w:rsidRPr="00C15147" w:rsidRDefault="00C15147" w:rsidP="00C15147">
      <w:pPr>
        <w:spacing w:line="240" w:lineRule="auto"/>
        <w:ind w:firstLine="0"/>
        <w:rPr>
          <w:rFonts w:ascii="Arial" w:eastAsia="Times New Roman" w:hAnsi="Arial" w:cs="Arial"/>
          <w:sz w:val="20"/>
          <w:szCs w:val="20"/>
          <w:lang w:val="es-419" w:eastAsia="es-ES"/>
        </w:rPr>
      </w:pPr>
    </w:p>
    <w:p w14:paraId="4F8F36FF" w14:textId="160D666C" w:rsidR="00CB2431" w:rsidRPr="00CB2431" w:rsidRDefault="00C15147" w:rsidP="00C15147">
      <w:pPr>
        <w:spacing w:line="240" w:lineRule="auto"/>
        <w:ind w:firstLine="0"/>
        <w:rPr>
          <w:rFonts w:ascii="Arial" w:eastAsia="Times New Roman" w:hAnsi="Arial" w:cs="Arial"/>
          <w:sz w:val="20"/>
          <w:szCs w:val="20"/>
          <w:lang w:val="es-419" w:eastAsia="es-ES"/>
        </w:rPr>
      </w:pPr>
      <w:r w:rsidRPr="00C15147">
        <w:rPr>
          <w:rFonts w:ascii="Arial" w:eastAsia="Times New Roman" w:hAnsi="Arial" w:cs="Arial"/>
          <w:sz w:val="20"/>
          <w:szCs w:val="20"/>
          <w:lang w:val="es-419" w:eastAsia="es-ES"/>
        </w:rPr>
        <w:t>En su declaración de parte, lejos de ofrecer claridad de una relación que, según sus dichos, se extendió por un lapso de nueve años, no indicó siquiera una fecha aproximada de la fecha en que inició la relación</w:t>
      </w:r>
      <w:r>
        <w:rPr>
          <w:rFonts w:ascii="Arial" w:eastAsia="Times New Roman" w:hAnsi="Arial" w:cs="Arial"/>
          <w:sz w:val="20"/>
          <w:szCs w:val="20"/>
          <w:lang w:val="es-419" w:eastAsia="es-ES"/>
        </w:rPr>
        <w:t>…</w:t>
      </w:r>
    </w:p>
    <w:p w14:paraId="443DAC14" w14:textId="77777777" w:rsidR="00CB2431" w:rsidRPr="00CB2431" w:rsidRDefault="00CB2431" w:rsidP="00CB2431">
      <w:pPr>
        <w:spacing w:line="240" w:lineRule="auto"/>
        <w:ind w:firstLine="0"/>
        <w:rPr>
          <w:rFonts w:ascii="Arial" w:eastAsia="Times New Roman" w:hAnsi="Arial" w:cs="Arial"/>
          <w:sz w:val="20"/>
          <w:szCs w:val="20"/>
          <w:lang w:val="es-419" w:eastAsia="es-ES"/>
        </w:rPr>
      </w:pPr>
    </w:p>
    <w:p w14:paraId="0CFF5422" w14:textId="6A66513D" w:rsidR="00CB2431" w:rsidRPr="00CB2431" w:rsidRDefault="00D71AB9" w:rsidP="00CB2431">
      <w:pPr>
        <w:spacing w:line="240" w:lineRule="auto"/>
        <w:ind w:firstLine="0"/>
        <w:rPr>
          <w:rFonts w:ascii="Arial" w:eastAsia="Times New Roman" w:hAnsi="Arial" w:cs="Arial"/>
          <w:sz w:val="20"/>
          <w:szCs w:val="20"/>
          <w:lang w:val="es-419" w:eastAsia="es-ES"/>
        </w:rPr>
      </w:pPr>
      <w:r w:rsidRPr="00D71AB9">
        <w:rPr>
          <w:rFonts w:ascii="Arial" w:eastAsia="Times New Roman" w:hAnsi="Arial" w:cs="Arial"/>
          <w:sz w:val="20"/>
          <w:szCs w:val="20"/>
          <w:lang w:val="es-419" w:eastAsia="es-ES"/>
        </w:rPr>
        <w:t xml:space="preserve">Michael Sánchez Agudelo y </w:t>
      </w:r>
      <w:proofErr w:type="spellStart"/>
      <w:r w:rsidRPr="00D71AB9">
        <w:rPr>
          <w:rFonts w:ascii="Arial" w:eastAsia="Times New Roman" w:hAnsi="Arial" w:cs="Arial"/>
          <w:sz w:val="20"/>
          <w:szCs w:val="20"/>
          <w:lang w:val="es-419" w:eastAsia="es-ES"/>
        </w:rPr>
        <w:t>Herlin</w:t>
      </w:r>
      <w:proofErr w:type="spellEnd"/>
      <w:r w:rsidRPr="00D71AB9">
        <w:rPr>
          <w:rFonts w:ascii="Arial" w:eastAsia="Times New Roman" w:hAnsi="Arial" w:cs="Arial"/>
          <w:sz w:val="20"/>
          <w:szCs w:val="20"/>
          <w:lang w:val="es-419" w:eastAsia="es-ES"/>
        </w:rPr>
        <w:t xml:space="preserve"> Sol Giraldo Sánchez, quienes conocieron a la actora en el taller donde hacía arreglos de ropa, a pesar de que coinciden en que el causante la iba a recoger a su sitio de trabajo, aceptaron categóricamente no haber tenido contacto con la pareja desde el año 2015, esto es, por un lapso superior al año anterior al deceso del causante</w:t>
      </w:r>
      <w:r>
        <w:rPr>
          <w:rFonts w:ascii="Arial" w:eastAsia="Times New Roman" w:hAnsi="Arial" w:cs="Arial"/>
          <w:sz w:val="20"/>
          <w:szCs w:val="20"/>
          <w:lang w:val="es-419" w:eastAsia="es-ES"/>
        </w:rPr>
        <w:t>…</w:t>
      </w:r>
    </w:p>
    <w:p w14:paraId="3A4B602A" w14:textId="77777777" w:rsidR="00CB2431" w:rsidRPr="00CB2431" w:rsidRDefault="00CB2431" w:rsidP="00CB2431">
      <w:pPr>
        <w:spacing w:line="240" w:lineRule="auto"/>
        <w:ind w:firstLine="0"/>
        <w:rPr>
          <w:rFonts w:ascii="Arial" w:eastAsia="Times New Roman" w:hAnsi="Arial" w:cs="Arial"/>
          <w:sz w:val="20"/>
          <w:szCs w:val="20"/>
          <w:lang w:eastAsia="es-ES"/>
        </w:rPr>
      </w:pPr>
    </w:p>
    <w:p w14:paraId="78B4ED7E" w14:textId="77777777" w:rsidR="00CB2431" w:rsidRPr="00CB2431" w:rsidRDefault="00CB2431" w:rsidP="00CB2431">
      <w:pPr>
        <w:spacing w:line="240" w:lineRule="auto"/>
        <w:ind w:firstLine="0"/>
        <w:rPr>
          <w:rFonts w:ascii="Arial" w:eastAsia="Times New Roman" w:hAnsi="Arial" w:cs="Arial"/>
          <w:sz w:val="20"/>
          <w:szCs w:val="20"/>
          <w:lang w:eastAsia="es-ES"/>
        </w:rPr>
      </w:pPr>
    </w:p>
    <w:p w14:paraId="5007EA7E" w14:textId="77777777" w:rsidR="00CB2431" w:rsidRPr="00CB2431" w:rsidRDefault="00CB2431" w:rsidP="00CB2431">
      <w:pPr>
        <w:spacing w:line="240" w:lineRule="auto"/>
        <w:ind w:firstLine="0"/>
        <w:rPr>
          <w:rFonts w:ascii="Arial" w:eastAsia="Times New Roman" w:hAnsi="Arial" w:cs="Arial"/>
          <w:sz w:val="20"/>
          <w:szCs w:val="20"/>
          <w:lang w:eastAsia="es-ES"/>
        </w:rPr>
      </w:pPr>
    </w:p>
    <w:bookmarkEnd w:id="0"/>
    <w:bookmarkEnd w:id="1"/>
    <w:p w14:paraId="22A63B66" w14:textId="77777777" w:rsidR="00A31306" w:rsidRPr="00CB2431" w:rsidRDefault="00A31306" w:rsidP="00CB2431">
      <w:pPr>
        <w:pStyle w:val="Ttulo4"/>
        <w:widowControl w:val="0"/>
        <w:tabs>
          <w:tab w:val="clear" w:pos="0"/>
        </w:tabs>
        <w:spacing w:line="276" w:lineRule="auto"/>
        <w:rPr>
          <w:rFonts w:ascii="Tahoma" w:hAnsi="Tahoma" w:cs="Tahoma"/>
          <w:bCs/>
          <w:szCs w:val="24"/>
          <w:lang w:eastAsia="es-MX"/>
        </w:rPr>
      </w:pPr>
      <w:r w:rsidRPr="00CB2431">
        <w:rPr>
          <w:rFonts w:ascii="Tahoma" w:hAnsi="Tahoma" w:cs="Tahoma"/>
          <w:bCs/>
          <w:szCs w:val="24"/>
          <w:lang w:eastAsia="es-MX"/>
        </w:rPr>
        <w:t>TRIBUNAL SUPERIOR DEL DISTRITO JUDICIAL DE PEREIRA</w:t>
      </w:r>
    </w:p>
    <w:p w14:paraId="5E416C34" w14:textId="77777777" w:rsidR="00A31306" w:rsidRPr="00CB2431" w:rsidRDefault="00A31306" w:rsidP="00CB2431">
      <w:pPr>
        <w:pStyle w:val="Ttulo4"/>
        <w:widowControl w:val="0"/>
        <w:tabs>
          <w:tab w:val="clear" w:pos="0"/>
        </w:tabs>
        <w:spacing w:line="276" w:lineRule="auto"/>
        <w:rPr>
          <w:rFonts w:ascii="Tahoma" w:hAnsi="Tahoma" w:cs="Tahoma"/>
          <w:bCs/>
          <w:szCs w:val="24"/>
          <w:lang w:eastAsia="es-MX"/>
        </w:rPr>
      </w:pPr>
      <w:r w:rsidRPr="00CB2431">
        <w:rPr>
          <w:rFonts w:ascii="Tahoma" w:hAnsi="Tahoma" w:cs="Tahoma"/>
          <w:bCs/>
          <w:szCs w:val="24"/>
          <w:lang w:eastAsia="es-MX"/>
        </w:rPr>
        <w:t>SALA PRIMERA DE DECISION LABORAL</w:t>
      </w:r>
    </w:p>
    <w:p w14:paraId="0EE0F0EB" w14:textId="77777777" w:rsidR="00A31306" w:rsidRPr="00CB2431" w:rsidRDefault="00A31306" w:rsidP="00CB2431">
      <w:pPr>
        <w:spacing w:line="276" w:lineRule="auto"/>
        <w:jc w:val="center"/>
        <w:rPr>
          <w:rFonts w:ascii="Tahoma" w:hAnsi="Tahoma" w:cs="Tahoma"/>
          <w:bCs/>
          <w:sz w:val="24"/>
          <w:szCs w:val="24"/>
        </w:rPr>
      </w:pPr>
    </w:p>
    <w:p w14:paraId="66871BAB" w14:textId="77777777" w:rsidR="00A31306" w:rsidRPr="00CB2431" w:rsidRDefault="00A31306" w:rsidP="00CB2431">
      <w:pPr>
        <w:spacing w:line="276" w:lineRule="auto"/>
        <w:ind w:firstLine="0"/>
        <w:jc w:val="center"/>
        <w:textAlignment w:val="baseline"/>
        <w:rPr>
          <w:rFonts w:ascii="Tahoma" w:eastAsia="Times New Roman" w:hAnsi="Tahoma" w:cs="Tahoma"/>
          <w:sz w:val="24"/>
          <w:szCs w:val="24"/>
          <w:lang w:val="es-CO" w:eastAsia="es-CO"/>
        </w:rPr>
      </w:pPr>
      <w:r w:rsidRPr="00CB2431">
        <w:rPr>
          <w:rFonts w:ascii="Tahoma" w:eastAsia="Times New Roman" w:hAnsi="Tahoma" w:cs="Tahoma"/>
          <w:sz w:val="24"/>
          <w:szCs w:val="24"/>
          <w:lang w:eastAsia="es-CO"/>
        </w:rPr>
        <w:t>Magistrada Ponente: </w:t>
      </w:r>
      <w:r w:rsidRPr="00CB2431">
        <w:rPr>
          <w:rFonts w:ascii="Tahoma" w:eastAsia="Times New Roman" w:hAnsi="Tahoma" w:cs="Tahoma"/>
          <w:b/>
          <w:bCs/>
          <w:sz w:val="24"/>
          <w:szCs w:val="24"/>
          <w:lang w:eastAsia="es-CO"/>
        </w:rPr>
        <w:t>Ana Lucía Caicedo Calderón</w:t>
      </w:r>
      <w:r w:rsidRPr="00CB2431">
        <w:rPr>
          <w:rFonts w:ascii="Tahoma" w:eastAsia="Times New Roman" w:hAnsi="Tahoma" w:cs="Tahoma"/>
          <w:sz w:val="24"/>
          <w:szCs w:val="24"/>
          <w:lang w:val="es-CO" w:eastAsia="es-CO"/>
        </w:rPr>
        <w:t> </w:t>
      </w:r>
    </w:p>
    <w:p w14:paraId="683D6714" w14:textId="77777777" w:rsidR="00A31306" w:rsidRPr="00CB2431" w:rsidRDefault="00A31306" w:rsidP="00CB2431">
      <w:pPr>
        <w:spacing w:line="276" w:lineRule="auto"/>
        <w:ind w:firstLine="0"/>
        <w:jc w:val="center"/>
        <w:textAlignment w:val="baseline"/>
        <w:rPr>
          <w:rFonts w:ascii="Tahoma" w:eastAsia="Times New Roman" w:hAnsi="Tahoma" w:cs="Tahoma"/>
          <w:sz w:val="24"/>
          <w:szCs w:val="24"/>
          <w:lang w:val="es-CO" w:eastAsia="es-CO"/>
        </w:rPr>
      </w:pPr>
      <w:r w:rsidRPr="00CB2431">
        <w:rPr>
          <w:rFonts w:ascii="Tahoma" w:eastAsia="Times New Roman" w:hAnsi="Tahoma" w:cs="Tahoma"/>
          <w:sz w:val="24"/>
          <w:szCs w:val="24"/>
          <w:lang w:val="es-CO" w:eastAsia="es-CO"/>
        </w:rPr>
        <w:t> </w:t>
      </w:r>
    </w:p>
    <w:p w14:paraId="16A8630E" w14:textId="40381FCF" w:rsidR="00A31306" w:rsidRPr="00CB2431" w:rsidRDefault="00A31306" w:rsidP="00CB2431">
      <w:pPr>
        <w:spacing w:line="276" w:lineRule="auto"/>
        <w:ind w:firstLine="0"/>
        <w:jc w:val="center"/>
        <w:textAlignment w:val="baseline"/>
        <w:rPr>
          <w:rFonts w:ascii="Tahoma" w:eastAsia="Times New Roman" w:hAnsi="Tahoma" w:cs="Tahoma"/>
          <w:sz w:val="24"/>
          <w:szCs w:val="24"/>
          <w:lang w:val="es-CO" w:eastAsia="es-CO"/>
        </w:rPr>
      </w:pPr>
      <w:r w:rsidRPr="00CB2431">
        <w:rPr>
          <w:rFonts w:ascii="Tahoma" w:eastAsia="Times New Roman" w:hAnsi="Tahoma" w:cs="Tahoma"/>
          <w:sz w:val="24"/>
          <w:szCs w:val="24"/>
          <w:lang w:val="es-CO" w:eastAsia="es-CO"/>
        </w:rPr>
        <w:t>Pereira, Risaralda, </w:t>
      </w:r>
      <w:r w:rsidR="00C025AF" w:rsidRPr="00CB2431">
        <w:rPr>
          <w:rFonts w:ascii="Tahoma" w:eastAsia="Times New Roman" w:hAnsi="Tahoma" w:cs="Tahoma"/>
          <w:sz w:val="24"/>
          <w:szCs w:val="24"/>
          <w:lang w:val="es-CO" w:eastAsia="es-CO"/>
        </w:rPr>
        <w:t xml:space="preserve">octubre once </w:t>
      </w:r>
      <w:r w:rsidRPr="00CB2431">
        <w:rPr>
          <w:rFonts w:ascii="Tahoma" w:eastAsia="Times New Roman" w:hAnsi="Tahoma" w:cs="Tahoma"/>
          <w:sz w:val="24"/>
          <w:szCs w:val="24"/>
          <w:lang w:val="es-CO" w:eastAsia="es-CO"/>
        </w:rPr>
        <w:t>(</w:t>
      </w:r>
      <w:r w:rsidR="00C025AF" w:rsidRPr="00CB2431">
        <w:rPr>
          <w:rFonts w:ascii="Tahoma" w:eastAsia="Times New Roman" w:hAnsi="Tahoma" w:cs="Tahoma"/>
          <w:sz w:val="24"/>
          <w:szCs w:val="24"/>
          <w:lang w:val="es-CO" w:eastAsia="es-CO"/>
        </w:rPr>
        <w:t>11</w:t>
      </w:r>
      <w:r w:rsidRPr="00CB2431">
        <w:rPr>
          <w:rFonts w:ascii="Tahoma" w:eastAsia="Times New Roman" w:hAnsi="Tahoma" w:cs="Tahoma"/>
          <w:sz w:val="24"/>
          <w:szCs w:val="24"/>
          <w:lang w:val="es-CO" w:eastAsia="es-CO"/>
        </w:rPr>
        <w:t>) de dos mil veint</w:t>
      </w:r>
      <w:r w:rsidR="00696EF5" w:rsidRPr="00CB2431">
        <w:rPr>
          <w:rFonts w:ascii="Tahoma" w:eastAsia="Times New Roman" w:hAnsi="Tahoma" w:cs="Tahoma"/>
          <w:sz w:val="24"/>
          <w:szCs w:val="24"/>
          <w:lang w:val="es-CO" w:eastAsia="es-CO"/>
        </w:rPr>
        <w:t>iuno</w:t>
      </w:r>
      <w:r w:rsidRPr="00CB2431">
        <w:rPr>
          <w:rFonts w:ascii="Tahoma" w:eastAsia="Times New Roman" w:hAnsi="Tahoma" w:cs="Tahoma"/>
          <w:sz w:val="24"/>
          <w:szCs w:val="24"/>
          <w:lang w:val="es-CO" w:eastAsia="es-CO"/>
        </w:rPr>
        <w:t xml:space="preserve"> (202</w:t>
      </w:r>
      <w:r w:rsidR="00696EF5" w:rsidRPr="00CB2431">
        <w:rPr>
          <w:rFonts w:ascii="Tahoma" w:eastAsia="Times New Roman" w:hAnsi="Tahoma" w:cs="Tahoma"/>
          <w:sz w:val="24"/>
          <w:szCs w:val="24"/>
          <w:lang w:val="es-CO" w:eastAsia="es-CO"/>
        </w:rPr>
        <w:t>1</w:t>
      </w:r>
      <w:r w:rsidRPr="00CB2431">
        <w:rPr>
          <w:rFonts w:ascii="Tahoma" w:eastAsia="Times New Roman" w:hAnsi="Tahoma" w:cs="Tahoma"/>
          <w:sz w:val="24"/>
          <w:szCs w:val="24"/>
          <w:lang w:val="es-CO" w:eastAsia="es-CO"/>
        </w:rPr>
        <w:t>)  </w:t>
      </w:r>
    </w:p>
    <w:p w14:paraId="3CF3F963" w14:textId="6F4BB92F" w:rsidR="002A3355" w:rsidRPr="00CB2431" w:rsidRDefault="00A31306" w:rsidP="00CB2431">
      <w:pPr>
        <w:spacing w:line="276" w:lineRule="auto"/>
        <w:ind w:firstLine="0"/>
        <w:jc w:val="center"/>
        <w:textAlignment w:val="baseline"/>
        <w:rPr>
          <w:rFonts w:ascii="Tahoma" w:eastAsia="Times New Roman" w:hAnsi="Tahoma" w:cs="Tahoma"/>
          <w:sz w:val="24"/>
          <w:szCs w:val="24"/>
          <w:lang w:val="es-CO" w:eastAsia="es-CO"/>
        </w:rPr>
      </w:pPr>
      <w:r w:rsidRPr="00CB2431">
        <w:rPr>
          <w:rFonts w:ascii="Tahoma" w:eastAsia="Times New Roman" w:hAnsi="Tahoma" w:cs="Tahoma"/>
          <w:sz w:val="24"/>
          <w:szCs w:val="24"/>
          <w:lang w:val="es-CO" w:eastAsia="es-CO"/>
        </w:rPr>
        <w:t> Acta No.</w:t>
      </w:r>
      <w:r w:rsidR="00FE6B56" w:rsidRPr="00CB2431">
        <w:rPr>
          <w:rFonts w:ascii="Tahoma" w:eastAsia="Times New Roman" w:hAnsi="Tahoma" w:cs="Tahoma"/>
          <w:sz w:val="24"/>
          <w:szCs w:val="24"/>
          <w:lang w:val="es-CO" w:eastAsia="es-CO"/>
        </w:rPr>
        <w:t xml:space="preserve"> </w:t>
      </w:r>
      <w:r w:rsidR="002110C9" w:rsidRPr="00CB2431">
        <w:rPr>
          <w:rFonts w:ascii="Tahoma" w:eastAsia="Times New Roman" w:hAnsi="Tahoma" w:cs="Tahoma"/>
          <w:sz w:val="24"/>
          <w:szCs w:val="24"/>
          <w:lang w:val="es-CO" w:eastAsia="es-CO"/>
        </w:rPr>
        <w:t>157</w:t>
      </w:r>
      <w:r w:rsidR="00FE6B56" w:rsidRPr="00CB2431">
        <w:rPr>
          <w:rFonts w:ascii="Tahoma" w:eastAsia="Times New Roman" w:hAnsi="Tahoma" w:cs="Tahoma"/>
          <w:sz w:val="24"/>
          <w:szCs w:val="24"/>
          <w:lang w:val="es-CO" w:eastAsia="es-CO"/>
        </w:rPr>
        <w:t xml:space="preserve"> </w:t>
      </w:r>
      <w:r w:rsidRPr="00CB2431">
        <w:rPr>
          <w:rFonts w:ascii="Tahoma" w:eastAsia="Times New Roman" w:hAnsi="Tahoma" w:cs="Tahoma"/>
          <w:sz w:val="24"/>
          <w:szCs w:val="24"/>
          <w:lang w:val="es-CO" w:eastAsia="es-CO"/>
        </w:rPr>
        <w:t xml:space="preserve">del </w:t>
      </w:r>
      <w:r w:rsidR="00C025AF" w:rsidRPr="00CB2431">
        <w:rPr>
          <w:rFonts w:ascii="Tahoma" w:eastAsia="Times New Roman" w:hAnsi="Tahoma" w:cs="Tahoma"/>
          <w:sz w:val="24"/>
          <w:szCs w:val="24"/>
          <w:lang w:val="es-CO" w:eastAsia="es-CO"/>
        </w:rPr>
        <w:t>7 de octubre</w:t>
      </w:r>
      <w:r w:rsidR="002E43B1" w:rsidRPr="00CB2431">
        <w:rPr>
          <w:rFonts w:ascii="Tahoma" w:eastAsia="Times New Roman" w:hAnsi="Tahoma" w:cs="Tahoma"/>
          <w:sz w:val="24"/>
          <w:szCs w:val="24"/>
          <w:lang w:val="es-CO" w:eastAsia="es-CO"/>
        </w:rPr>
        <w:t xml:space="preserve"> </w:t>
      </w:r>
      <w:r w:rsidRPr="00CB2431">
        <w:rPr>
          <w:rFonts w:ascii="Tahoma" w:eastAsia="Times New Roman" w:hAnsi="Tahoma" w:cs="Tahoma"/>
          <w:sz w:val="24"/>
          <w:szCs w:val="24"/>
          <w:lang w:val="es-CO" w:eastAsia="es-CO"/>
        </w:rPr>
        <w:t>de 202</w:t>
      </w:r>
      <w:r w:rsidR="002A3355" w:rsidRPr="00CB2431">
        <w:rPr>
          <w:rFonts w:ascii="Tahoma" w:eastAsia="Times New Roman" w:hAnsi="Tahoma" w:cs="Tahoma"/>
          <w:sz w:val="24"/>
          <w:szCs w:val="24"/>
          <w:lang w:val="es-CO" w:eastAsia="es-CO"/>
        </w:rPr>
        <w:t>1</w:t>
      </w:r>
    </w:p>
    <w:p w14:paraId="18F7C9EB" w14:textId="77777777" w:rsidR="001C5C55" w:rsidRPr="00CB2431" w:rsidRDefault="001C5C55" w:rsidP="00CB2431">
      <w:pPr>
        <w:spacing w:line="276" w:lineRule="auto"/>
        <w:ind w:firstLine="0"/>
        <w:jc w:val="center"/>
        <w:rPr>
          <w:rFonts w:ascii="Tahoma" w:hAnsi="Tahoma" w:cs="Tahoma"/>
          <w:b/>
          <w:sz w:val="24"/>
          <w:szCs w:val="24"/>
        </w:rPr>
      </w:pPr>
    </w:p>
    <w:p w14:paraId="02A472BA" w14:textId="6B7AF71C" w:rsidR="00997C3E" w:rsidRPr="00CB2431" w:rsidRDefault="00A31306" w:rsidP="00CB2431">
      <w:pPr>
        <w:spacing w:line="276" w:lineRule="auto"/>
        <w:ind w:firstLine="708"/>
        <w:rPr>
          <w:rFonts w:ascii="Tahoma" w:hAnsi="Tahoma" w:cs="Tahoma"/>
          <w:b/>
          <w:sz w:val="24"/>
          <w:szCs w:val="24"/>
          <w:lang w:val="es-ES_tradnl"/>
        </w:rPr>
      </w:pPr>
      <w:r w:rsidRPr="00CB2431">
        <w:rPr>
          <w:rFonts w:ascii="Tahoma" w:hAnsi="Tahoma" w:cs="Tahoma"/>
          <w:sz w:val="24"/>
          <w:szCs w:val="24"/>
          <w:lang w:val="es-ES_tradnl"/>
        </w:rPr>
        <w:t>Teniendo en cuenta que el artículo 15 del Decreto No. 806 del 4 de junio de 2020, expedido por el Ministerio de Justicia y del Derecho, estableció que en la especialidad laboral</w:t>
      </w:r>
      <w:r w:rsidRPr="00CB2431">
        <w:rPr>
          <w:rFonts w:ascii="Tahoma" w:hAnsi="Tahoma" w:cs="Tahoma"/>
          <w:sz w:val="24"/>
          <w:szCs w:val="24"/>
        </w:rPr>
        <w:t xml:space="preserve"> </w:t>
      </w:r>
      <w:r w:rsidRPr="00CB2431">
        <w:rPr>
          <w:rFonts w:ascii="Tahoma" w:hAnsi="Tahoma" w:cs="Tahoma"/>
          <w:sz w:val="24"/>
          <w:szCs w:val="24"/>
          <w:lang w:val="es-ES_tradnl"/>
        </w:rPr>
        <w:t>se proferirán por escrito</w:t>
      </w:r>
      <w:r w:rsidRPr="00CB2431">
        <w:rPr>
          <w:rFonts w:ascii="Tahoma" w:hAnsi="Tahoma" w:cs="Tahoma"/>
          <w:sz w:val="24"/>
          <w:szCs w:val="24"/>
        </w:rPr>
        <w:t xml:space="preserve"> </w:t>
      </w:r>
      <w:r w:rsidRPr="00CB2431">
        <w:rPr>
          <w:rFonts w:ascii="Tahoma" w:hAnsi="Tahoma" w:cs="Tahoma"/>
          <w:sz w:val="24"/>
          <w:szCs w:val="24"/>
          <w:lang w:val="es-ES_tradnl"/>
        </w:rPr>
        <w:t xml:space="preserve">las providencias de segunda instancia en las que se surta el grado jurisdiccional de consulta o se resuelva el recurso de apelación de autos o sentencias, </w:t>
      </w:r>
      <w:r w:rsidRPr="00CB2431">
        <w:rPr>
          <w:rFonts w:ascii="Tahoma" w:hAnsi="Tahoma" w:cs="Tahoma"/>
          <w:sz w:val="24"/>
          <w:szCs w:val="24"/>
        </w:rPr>
        <w:t xml:space="preserve">la Sala </w:t>
      </w:r>
      <w:r w:rsidR="00D204BC" w:rsidRPr="00CB2431">
        <w:rPr>
          <w:rFonts w:ascii="Tahoma" w:hAnsi="Tahoma" w:cs="Tahoma"/>
          <w:sz w:val="24"/>
          <w:szCs w:val="24"/>
        </w:rPr>
        <w:t xml:space="preserve">Primera </w:t>
      </w:r>
      <w:r w:rsidRPr="00CB2431">
        <w:rPr>
          <w:rFonts w:ascii="Tahoma" w:hAnsi="Tahoma" w:cs="Tahoma"/>
          <w:sz w:val="24"/>
          <w:szCs w:val="24"/>
        </w:rPr>
        <w:t>de Decisión Laboral del Tribunal Superior de Pereira, integrada por las Magistradas ANA LUCÍA CAICEDO CALDERÓN</w:t>
      </w:r>
      <w:r w:rsidR="00C025AF" w:rsidRPr="00CB2431">
        <w:rPr>
          <w:rFonts w:ascii="Tahoma" w:hAnsi="Tahoma" w:cs="Tahoma"/>
          <w:sz w:val="24"/>
          <w:szCs w:val="24"/>
        </w:rPr>
        <w:t>,</w:t>
      </w:r>
      <w:r w:rsidRPr="00CB2431">
        <w:rPr>
          <w:rFonts w:ascii="Tahoma" w:hAnsi="Tahoma" w:cs="Tahoma"/>
          <w:sz w:val="24"/>
          <w:szCs w:val="24"/>
        </w:rPr>
        <w:t xml:space="preserve"> como Ponente, </w:t>
      </w:r>
      <w:r w:rsidR="00C025AF" w:rsidRPr="00CB2431">
        <w:rPr>
          <w:rFonts w:ascii="Tahoma" w:hAnsi="Tahoma" w:cs="Tahoma"/>
          <w:sz w:val="24"/>
          <w:szCs w:val="24"/>
        </w:rPr>
        <w:t xml:space="preserve">y </w:t>
      </w:r>
      <w:r w:rsidRPr="00CB2431">
        <w:rPr>
          <w:rFonts w:ascii="Tahoma" w:hAnsi="Tahoma" w:cs="Tahoma"/>
          <w:sz w:val="24"/>
          <w:szCs w:val="24"/>
        </w:rPr>
        <w:t>OLGA LUCÍA HOYOS SEPÚLVEDA</w:t>
      </w:r>
      <w:r w:rsidR="00C931FB" w:rsidRPr="00CB2431">
        <w:rPr>
          <w:rFonts w:ascii="Tahoma" w:hAnsi="Tahoma" w:cs="Tahoma"/>
          <w:sz w:val="24"/>
          <w:szCs w:val="24"/>
        </w:rPr>
        <w:t>,</w:t>
      </w:r>
      <w:r w:rsidRPr="00CB2431">
        <w:rPr>
          <w:rFonts w:ascii="Tahoma" w:hAnsi="Tahoma" w:cs="Tahoma"/>
          <w:sz w:val="24"/>
          <w:szCs w:val="24"/>
        </w:rPr>
        <w:t xml:space="preserve"> y el Magistrado </w:t>
      </w:r>
      <w:r w:rsidR="00C931FB" w:rsidRPr="00CB2431">
        <w:rPr>
          <w:rFonts w:ascii="Tahoma" w:hAnsi="Tahoma" w:cs="Tahoma"/>
          <w:sz w:val="24"/>
          <w:szCs w:val="24"/>
        </w:rPr>
        <w:t>GERMÁN DARÍO GOEZ VINASCO</w:t>
      </w:r>
      <w:r w:rsidRPr="00CB2431">
        <w:rPr>
          <w:rFonts w:ascii="Tahoma" w:hAnsi="Tahoma" w:cs="Tahoma"/>
          <w:sz w:val="24"/>
          <w:szCs w:val="24"/>
        </w:rPr>
        <w:t>, procede a proferir la siguiente sentencia escrita dentro del proceso ordinario laboral instaurado por</w:t>
      </w:r>
      <w:r w:rsidRPr="00CB2431">
        <w:rPr>
          <w:rFonts w:ascii="Tahoma" w:hAnsi="Tahoma" w:cs="Tahoma"/>
          <w:sz w:val="24"/>
          <w:szCs w:val="24"/>
          <w:lang w:val="es-ES_tradnl"/>
        </w:rPr>
        <w:t xml:space="preserve"> </w:t>
      </w:r>
      <w:r w:rsidR="00DC4A83" w:rsidRPr="00CB2431">
        <w:rPr>
          <w:rFonts w:ascii="Tahoma" w:hAnsi="Tahoma" w:cs="Tahoma"/>
          <w:b/>
          <w:sz w:val="24"/>
          <w:szCs w:val="24"/>
          <w:lang w:val="es-ES_tradnl"/>
        </w:rPr>
        <w:t xml:space="preserve"> </w:t>
      </w:r>
      <w:r w:rsidR="00046542" w:rsidRPr="00CB2431">
        <w:rPr>
          <w:rFonts w:ascii="Tahoma" w:hAnsi="Tahoma" w:cs="Tahoma"/>
          <w:b/>
          <w:sz w:val="24"/>
          <w:szCs w:val="24"/>
          <w:lang w:val="es-ES_tradnl"/>
        </w:rPr>
        <w:t xml:space="preserve">Claudia Carmenza Acosta </w:t>
      </w:r>
      <w:proofErr w:type="spellStart"/>
      <w:r w:rsidR="00046542" w:rsidRPr="00CB2431">
        <w:rPr>
          <w:rFonts w:ascii="Tahoma" w:hAnsi="Tahoma" w:cs="Tahoma"/>
          <w:b/>
          <w:sz w:val="24"/>
          <w:szCs w:val="24"/>
          <w:lang w:val="es-ES_tradnl"/>
        </w:rPr>
        <w:t>Aranzazu</w:t>
      </w:r>
      <w:proofErr w:type="spellEnd"/>
      <w:r w:rsidR="00046542" w:rsidRPr="00CB2431">
        <w:rPr>
          <w:rFonts w:ascii="Tahoma" w:hAnsi="Tahoma" w:cs="Tahoma"/>
          <w:b/>
          <w:sz w:val="24"/>
          <w:szCs w:val="24"/>
          <w:lang w:val="es-ES_tradnl"/>
        </w:rPr>
        <w:t xml:space="preserve"> </w:t>
      </w:r>
      <w:r w:rsidR="00324DDD" w:rsidRPr="00CB2431">
        <w:rPr>
          <w:rFonts w:ascii="Tahoma" w:hAnsi="Tahoma" w:cs="Tahoma"/>
          <w:sz w:val="24"/>
          <w:szCs w:val="24"/>
          <w:lang w:val="es-ES_tradnl"/>
        </w:rPr>
        <w:t xml:space="preserve">en contra de la </w:t>
      </w:r>
      <w:r w:rsidR="00324DDD" w:rsidRPr="00CB2431">
        <w:rPr>
          <w:rFonts w:ascii="Tahoma" w:hAnsi="Tahoma" w:cs="Tahoma"/>
          <w:b/>
          <w:sz w:val="24"/>
          <w:szCs w:val="24"/>
          <w:lang w:val="es-ES_tradnl"/>
        </w:rPr>
        <w:t>A</w:t>
      </w:r>
      <w:r w:rsidR="001C5C55" w:rsidRPr="00CB2431">
        <w:rPr>
          <w:rFonts w:ascii="Tahoma" w:hAnsi="Tahoma" w:cs="Tahoma"/>
          <w:b/>
          <w:sz w:val="24"/>
          <w:szCs w:val="24"/>
          <w:lang w:val="es-ES_tradnl"/>
        </w:rPr>
        <w:t xml:space="preserve">dministradora </w:t>
      </w:r>
      <w:r w:rsidR="00DC4A83" w:rsidRPr="00CB2431">
        <w:rPr>
          <w:rFonts w:ascii="Tahoma" w:hAnsi="Tahoma" w:cs="Tahoma"/>
          <w:b/>
          <w:sz w:val="24"/>
          <w:szCs w:val="24"/>
          <w:lang w:val="es-ES_tradnl"/>
        </w:rPr>
        <w:t xml:space="preserve">de Fondos de Pensiones </w:t>
      </w:r>
      <w:r w:rsidR="00C931FB" w:rsidRPr="00CB2431">
        <w:rPr>
          <w:rFonts w:ascii="Tahoma" w:hAnsi="Tahoma" w:cs="Tahoma"/>
          <w:b/>
          <w:sz w:val="24"/>
          <w:szCs w:val="24"/>
          <w:lang w:val="es-ES_tradnl"/>
        </w:rPr>
        <w:t>Protección S.A.</w:t>
      </w:r>
    </w:p>
    <w:p w14:paraId="6766D29F" w14:textId="77777777" w:rsidR="00046542" w:rsidRPr="00CB2431" w:rsidRDefault="00046542" w:rsidP="00CB2431">
      <w:pPr>
        <w:spacing w:line="276" w:lineRule="auto"/>
        <w:ind w:firstLine="708"/>
        <w:rPr>
          <w:rFonts w:ascii="Tahoma" w:hAnsi="Tahoma" w:cs="Tahoma"/>
          <w:b/>
          <w:sz w:val="24"/>
          <w:szCs w:val="24"/>
          <w:lang w:val="es-ES_tradnl"/>
        </w:rPr>
      </w:pPr>
    </w:p>
    <w:p w14:paraId="10189EAD" w14:textId="38911961" w:rsidR="00A31306" w:rsidRPr="00CB2431" w:rsidRDefault="00A31306" w:rsidP="00CB2431">
      <w:pPr>
        <w:pStyle w:val="paragraph"/>
        <w:spacing w:before="0" w:beforeAutospacing="0" w:after="0" w:afterAutospacing="0" w:line="276" w:lineRule="auto"/>
        <w:jc w:val="center"/>
        <w:textAlignment w:val="baseline"/>
        <w:rPr>
          <w:rStyle w:val="normaltextrun"/>
          <w:rFonts w:ascii="Tahoma" w:hAnsi="Tahoma" w:cs="Tahoma"/>
          <w:b/>
          <w:bCs/>
        </w:rPr>
      </w:pPr>
      <w:r w:rsidRPr="00CB2431">
        <w:rPr>
          <w:rStyle w:val="normaltextrun"/>
          <w:rFonts w:ascii="Tahoma" w:hAnsi="Tahoma" w:cs="Tahoma"/>
          <w:b/>
          <w:bCs/>
        </w:rPr>
        <w:lastRenderedPageBreak/>
        <w:t>PUNTO A TRATAR</w:t>
      </w:r>
    </w:p>
    <w:p w14:paraId="795D0D39" w14:textId="77777777" w:rsidR="00AB12BB" w:rsidRPr="00CB2431" w:rsidRDefault="00AB12BB" w:rsidP="00CB2431">
      <w:pPr>
        <w:pStyle w:val="paragraph"/>
        <w:spacing w:before="0" w:beforeAutospacing="0" w:after="0" w:afterAutospacing="0" w:line="276" w:lineRule="auto"/>
        <w:jc w:val="center"/>
        <w:textAlignment w:val="baseline"/>
        <w:rPr>
          <w:rFonts w:ascii="Tahoma" w:hAnsi="Tahoma" w:cs="Tahoma"/>
        </w:rPr>
      </w:pPr>
    </w:p>
    <w:p w14:paraId="1B8C11DD" w14:textId="1CB60EA5" w:rsidR="00A31306" w:rsidRPr="00CB2431" w:rsidRDefault="00A31306" w:rsidP="00CB2431">
      <w:pPr>
        <w:spacing w:line="276" w:lineRule="auto"/>
        <w:ind w:firstLine="708"/>
        <w:rPr>
          <w:rFonts w:ascii="Tahoma" w:hAnsi="Tahoma" w:cs="Tahoma"/>
          <w:sz w:val="24"/>
          <w:szCs w:val="24"/>
          <w:lang w:val="es-ES_tradnl"/>
        </w:rPr>
      </w:pPr>
      <w:r w:rsidRPr="00CB2431">
        <w:rPr>
          <w:rStyle w:val="normaltextrun"/>
          <w:rFonts w:ascii="Tahoma" w:hAnsi="Tahoma" w:cs="Tahoma"/>
          <w:sz w:val="24"/>
          <w:szCs w:val="24"/>
        </w:rPr>
        <w:t>Por medio de esta providencia procede la Sala a</w:t>
      </w:r>
      <w:r w:rsidRPr="00CB2431">
        <w:rPr>
          <w:rFonts w:ascii="Tahoma" w:hAnsi="Tahoma" w:cs="Tahoma"/>
          <w:sz w:val="24"/>
          <w:szCs w:val="24"/>
        </w:rPr>
        <w:t xml:space="preserve"> revolver </w:t>
      </w:r>
      <w:r w:rsidR="000B7630" w:rsidRPr="00CB2431">
        <w:rPr>
          <w:rFonts w:ascii="Tahoma" w:hAnsi="Tahoma" w:cs="Tahoma"/>
          <w:sz w:val="24"/>
          <w:szCs w:val="24"/>
        </w:rPr>
        <w:t>e</w:t>
      </w:r>
      <w:r w:rsidRPr="00CB2431">
        <w:rPr>
          <w:rFonts w:ascii="Tahoma" w:hAnsi="Tahoma" w:cs="Tahoma"/>
          <w:sz w:val="24"/>
          <w:szCs w:val="24"/>
        </w:rPr>
        <w:t>l recurso de apelación interpuesto por</w:t>
      </w:r>
      <w:r w:rsidR="000B7630" w:rsidRPr="00CB2431">
        <w:rPr>
          <w:rFonts w:ascii="Tahoma" w:hAnsi="Tahoma" w:cs="Tahoma"/>
          <w:sz w:val="24"/>
          <w:szCs w:val="24"/>
        </w:rPr>
        <w:t xml:space="preserve"> </w:t>
      </w:r>
      <w:r w:rsidR="00C026E9" w:rsidRPr="00CB2431">
        <w:rPr>
          <w:rFonts w:ascii="Tahoma" w:hAnsi="Tahoma" w:cs="Tahoma"/>
          <w:sz w:val="24"/>
          <w:szCs w:val="24"/>
        </w:rPr>
        <w:t>e</w:t>
      </w:r>
      <w:r w:rsidR="000B7630" w:rsidRPr="00CB2431">
        <w:rPr>
          <w:rFonts w:ascii="Tahoma" w:hAnsi="Tahoma" w:cs="Tahoma"/>
          <w:sz w:val="24"/>
          <w:szCs w:val="24"/>
        </w:rPr>
        <w:t>l</w:t>
      </w:r>
      <w:r w:rsidR="00AE218E" w:rsidRPr="00CB2431">
        <w:rPr>
          <w:rFonts w:ascii="Tahoma" w:hAnsi="Tahoma" w:cs="Tahoma"/>
          <w:sz w:val="24"/>
          <w:szCs w:val="24"/>
        </w:rPr>
        <w:t xml:space="preserve"> apoderad</w:t>
      </w:r>
      <w:r w:rsidR="00C026E9" w:rsidRPr="00CB2431">
        <w:rPr>
          <w:rFonts w:ascii="Tahoma" w:hAnsi="Tahoma" w:cs="Tahoma"/>
          <w:sz w:val="24"/>
          <w:szCs w:val="24"/>
        </w:rPr>
        <w:t>o</w:t>
      </w:r>
      <w:r w:rsidR="00FF5527" w:rsidRPr="00CB2431">
        <w:rPr>
          <w:rFonts w:ascii="Tahoma" w:hAnsi="Tahoma" w:cs="Tahoma"/>
          <w:sz w:val="24"/>
          <w:szCs w:val="24"/>
        </w:rPr>
        <w:t xml:space="preserve"> de</w:t>
      </w:r>
      <w:r w:rsidR="00C026E9" w:rsidRPr="00CB2431">
        <w:rPr>
          <w:rFonts w:ascii="Tahoma" w:hAnsi="Tahoma" w:cs="Tahoma"/>
          <w:sz w:val="24"/>
          <w:szCs w:val="24"/>
        </w:rPr>
        <w:t xml:space="preserve"> </w:t>
      </w:r>
      <w:r w:rsidR="00FF5527" w:rsidRPr="00CB2431">
        <w:rPr>
          <w:rFonts w:ascii="Tahoma" w:hAnsi="Tahoma" w:cs="Tahoma"/>
          <w:sz w:val="24"/>
          <w:szCs w:val="24"/>
        </w:rPr>
        <w:t>l</w:t>
      </w:r>
      <w:r w:rsidR="00C026E9" w:rsidRPr="00CB2431">
        <w:rPr>
          <w:rFonts w:ascii="Tahoma" w:hAnsi="Tahoma" w:cs="Tahoma"/>
          <w:sz w:val="24"/>
          <w:szCs w:val="24"/>
        </w:rPr>
        <w:t xml:space="preserve">a demandante </w:t>
      </w:r>
      <w:r w:rsidR="00DC4A83" w:rsidRPr="00CB2431">
        <w:rPr>
          <w:rFonts w:ascii="Tahoma" w:hAnsi="Tahoma" w:cs="Tahoma"/>
          <w:sz w:val="24"/>
          <w:szCs w:val="24"/>
        </w:rPr>
        <w:t>e</w:t>
      </w:r>
      <w:r w:rsidRPr="00CB2431">
        <w:rPr>
          <w:rFonts w:ascii="Tahoma" w:hAnsi="Tahoma" w:cs="Tahoma"/>
          <w:sz w:val="24"/>
          <w:szCs w:val="24"/>
          <w:lang w:val="es-CO"/>
        </w:rPr>
        <w:t xml:space="preserve">n contra de la sentencia proferida </w:t>
      </w:r>
      <w:r w:rsidR="009F7B32" w:rsidRPr="00CB2431">
        <w:rPr>
          <w:rFonts w:ascii="Tahoma" w:hAnsi="Tahoma" w:cs="Tahoma"/>
          <w:sz w:val="24"/>
          <w:szCs w:val="24"/>
          <w:lang w:val="es-CO"/>
        </w:rPr>
        <w:t xml:space="preserve">el </w:t>
      </w:r>
      <w:r w:rsidR="00C026E9" w:rsidRPr="00CB2431">
        <w:rPr>
          <w:rFonts w:ascii="Tahoma" w:hAnsi="Tahoma" w:cs="Tahoma"/>
          <w:sz w:val="24"/>
          <w:szCs w:val="24"/>
          <w:lang w:val="es-CO"/>
        </w:rPr>
        <w:t>15</w:t>
      </w:r>
      <w:r w:rsidR="00FF5527" w:rsidRPr="00CB2431">
        <w:rPr>
          <w:rFonts w:ascii="Tahoma" w:hAnsi="Tahoma" w:cs="Tahoma"/>
          <w:sz w:val="24"/>
          <w:szCs w:val="24"/>
          <w:lang w:val="es-CO"/>
        </w:rPr>
        <w:t xml:space="preserve"> de </w:t>
      </w:r>
      <w:r w:rsidR="00C026E9" w:rsidRPr="00CB2431">
        <w:rPr>
          <w:rFonts w:ascii="Tahoma" w:hAnsi="Tahoma" w:cs="Tahoma"/>
          <w:sz w:val="24"/>
          <w:szCs w:val="24"/>
          <w:lang w:val="es-CO"/>
        </w:rPr>
        <w:t xml:space="preserve">marzo </w:t>
      </w:r>
      <w:r w:rsidR="00FF5527" w:rsidRPr="00CB2431">
        <w:rPr>
          <w:rFonts w:ascii="Tahoma" w:hAnsi="Tahoma" w:cs="Tahoma"/>
          <w:sz w:val="24"/>
          <w:szCs w:val="24"/>
          <w:lang w:val="es-CO"/>
        </w:rPr>
        <w:t>de 2021</w:t>
      </w:r>
      <w:r w:rsidR="000F4167" w:rsidRPr="00CB2431">
        <w:rPr>
          <w:rFonts w:ascii="Tahoma" w:hAnsi="Tahoma" w:cs="Tahoma"/>
          <w:sz w:val="24"/>
          <w:szCs w:val="24"/>
          <w:lang w:val="es-CO"/>
        </w:rPr>
        <w:t xml:space="preserve"> </w:t>
      </w:r>
      <w:r w:rsidRPr="00CB2431">
        <w:rPr>
          <w:rFonts w:ascii="Tahoma" w:hAnsi="Tahoma" w:cs="Tahoma"/>
          <w:sz w:val="24"/>
          <w:szCs w:val="24"/>
          <w:lang w:val="es-CO"/>
        </w:rPr>
        <w:t xml:space="preserve">por el Juzgado </w:t>
      </w:r>
      <w:r w:rsidR="00DC4A83" w:rsidRPr="00CB2431">
        <w:rPr>
          <w:rFonts w:ascii="Tahoma" w:hAnsi="Tahoma" w:cs="Tahoma"/>
          <w:sz w:val="24"/>
          <w:szCs w:val="24"/>
          <w:lang w:val="es-CO"/>
        </w:rPr>
        <w:t>Tercero</w:t>
      </w:r>
      <w:r w:rsidR="00AE218E" w:rsidRPr="00CB2431">
        <w:rPr>
          <w:rFonts w:ascii="Tahoma" w:hAnsi="Tahoma" w:cs="Tahoma"/>
          <w:sz w:val="24"/>
          <w:szCs w:val="24"/>
          <w:lang w:val="es-CO"/>
        </w:rPr>
        <w:t xml:space="preserve"> </w:t>
      </w:r>
      <w:r w:rsidRPr="00CB2431">
        <w:rPr>
          <w:rFonts w:ascii="Tahoma" w:hAnsi="Tahoma" w:cs="Tahoma"/>
          <w:sz w:val="24"/>
          <w:szCs w:val="24"/>
          <w:lang w:val="es-CO"/>
        </w:rPr>
        <w:t>Laboral del Circuito de Pereira</w:t>
      </w:r>
      <w:r w:rsidRPr="00CB2431">
        <w:rPr>
          <w:rStyle w:val="normaltextrun"/>
          <w:rFonts w:ascii="Tahoma" w:hAnsi="Tahoma" w:cs="Tahoma"/>
          <w:sz w:val="24"/>
          <w:szCs w:val="24"/>
        </w:rPr>
        <w:t>.</w:t>
      </w:r>
      <w:r w:rsidRPr="00CB2431">
        <w:rPr>
          <w:rStyle w:val="Refdenotaalpie"/>
          <w:rFonts w:ascii="Tahoma" w:hAnsi="Tahoma" w:cs="Tahoma"/>
          <w:sz w:val="24"/>
          <w:szCs w:val="24"/>
        </w:rPr>
        <w:t xml:space="preserve"> </w:t>
      </w:r>
      <w:r w:rsidRPr="00CB2431">
        <w:rPr>
          <w:rStyle w:val="normaltextrun"/>
          <w:rFonts w:ascii="Tahoma" w:hAnsi="Tahoma" w:cs="Tahoma"/>
          <w:sz w:val="24"/>
          <w:szCs w:val="24"/>
        </w:rPr>
        <w:t>Para ello se tiene en cuenta lo siguiente: </w:t>
      </w:r>
    </w:p>
    <w:p w14:paraId="2755A6FD" w14:textId="77777777" w:rsidR="001E41AA" w:rsidRPr="00CB2431" w:rsidRDefault="001E41AA" w:rsidP="00CB2431">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firstLine="0"/>
        <w:rPr>
          <w:rFonts w:cs="Tahoma"/>
          <w:b/>
          <w:sz w:val="24"/>
          <w:szCs w:val="24"/>
          <w:lang w:val="es-CO"/>
        </w:rPr>
      </w:pPr>
    </w:p>
    <w:p w14:paraId="04B97E35" w14:textId="77777777" w:rsidR="00A31306" w:rsidRPr="00CB2431" w:rsidRDefault="00A31306" w:rsidP="00CB2431">
      <w:pPr>
        <w:pStyle w:val="Sinespaciado"/>
        <w:numPr>
          <w:ilvl w:val="0"/>
          <w:numId w:val="2"/>
        </w:numPr>
        <w:tabs>
          <w:tab w:val="left" w:pos="0"/>
          <w:tab w:val="left" w:pos="284"/>
        </w:tabs>
        <w:spacing w:line="276" w:lineRule="auto"/>
        <w:ind w:left="0" w:firstLine="0"/>
        <w:jc w:val="center"/>
        <w:rPr>
          <w:rFonts w:ascii="Tahoma" w:hAnsi="Tahoma" w:cs="Tahoma"/>
          <w:b/>
        </w:rPr>
      </w:pPr>
      <w:r w:rsidRPr="00CB2431">
        <w:rPr>
          <w:rFonts w:ascii="Tahoma" w:hAnsi="Tahoma" w:cs="Tahoma"/>
          <w:b/>
        </w:rPr>
        <w:t>La demanda y su contestación</w:t>
      </w:r>
    </w:p>
    <w:p w14:paraId="5B2B7272" w14:textId="1FD4A226" w:rsidR="001C5C55" w:rsidRPr="00CB2431" w:rsidRDefault="001C5C55" w:rsidP="00CB2431">
      <w:pPr>
        <w:pStyle w:val="Sinespaciado"/>
        <w:spacing w:line="276" w:lineRule="auto"/>
        <w:rPr>
          <w:rFonts w:ascii="Tahoma" w:hAnsi="Tahoma" w:cs="Tahoma"/>
        </w:rPr>
      </w:pPr>
    </w:p>
    <w:p w14:paraId="09131B86" w14:textId="0D3E5B51" w:rsidR="00C026E9" w:rsidRPr="00CB2431" w:rsidRDefault="00F95604" w:rsidP="00CB2431">
      <w:pPr>
        <w:spacing w:line="276" w:lineRule="auto"/>
        <w:rPr>
          <w:rFonts w:ascii="Tahoma" w:hAnsi="Tahoma" w:cs="Tahoma"/>
          <w:sz w:val="24"/>
          <w:szCs w:val="24"/>
          <w:lang w:val="es-CO"/>
        </w:rPr>
      </w:pPr>
      <w:r w:rsidRPr="00CB2431">
        <w:rPr>
          <w:rFonts w:ascii="Tahoma" w:hAnsi="Tahoma" w:cs="Tahoma"/>
          <w:sz w:val="24"/>
          <w:szCs w:val="24"/>
          <w:lang w:val="es-CO"/>
        </w:rPr>
        <w:t xml:space="preserve">La citada demandante solicita que se declare que le asiste derecho a la pensión de sobrevivientes causada por el deceso de su compañero, señor </w:t>
      </w:r>
      <w:proofErr w:type="spellStart"/>
      <w:r w:rsidRPr="00CB2431">
        <w:rPr>
          <w:rFonts w:ascii="Tahoma" w:hAnsi="Tahoma" w:cs="Tahoma"/>
          <w:sz w:val="24"/>
          <w:szCs w:val="24"/>
          <w:lang w:val="es-CO"/>
        </w:rPr>
        <w:t>Veyergen</w:t>
      </w:r>
      <w:proofErr w:type="spellEnd"/>
      <w:r w:rsidRPr="00CB2431">
        <w:rPr>
          <w:rFonts w:ascii="Tahoma" w:hAnsi="Tahoma" w:cs="Tahoma"/>
          <w:sz w:val="24"/>
          <w:szCs w:val="24"/>
          <w:lang w:val="es-CO"/>
        </w:rPr>
        <w:t xml:space="preserve"> Salas López. </w:t>
      </w:r>
    </w:p>
    <w:p w14:paraId="2C41D797" w14:textId="74F8994A" w:rsidR="00F95604" w:rsidRPr="00CB2431" w:rsidRDefault="00F95604" w:rsidP="00CB2431">
      <w:pPr>
        <w:spacing w:line="276" w:lineRule="auto"/>
        <w:rPr>
          <w:rFonts w:ascii="Tahoma" w:hAnsi="Tahoma" w:cs="Tahoma"/>
          <w:sz w:val="24"/>
          <w:szCs w:val="24"/>
          <w:lang w:val="es-CO"/>
        </w:rPr>
      </w:pPr>
    </w:p>
    <w:p w14:paraId="001D9922" w14:textId="0383E365" w:rsidR="00F95604" w:rsidRPr="00CB2431" w:rsidRDefault="00F95604" w:rsidP="00CB2431">
      <w:pPr>
        <w:spacing w:line="276" w:lineRule="auto"/>
        <w:rPr>
          <w:rFonts w:ascii="Tahoma" w:hAnsi="Tahoma" w:cs="Tahoma"/>
          <w:sz w:val="24"/>
          <w:szCs w:val="24"/>
          <w:lang w:val="es-CO"/>
        </w:rPr>
      </w:pPr>
      <w:r w:rsidRPr="00CB2431">
        <w:rPr>
          <w:rFonts w:ascii="Tahoma" w:hAnsi="Tahoma" w:cs="Tahoma"/>
          <w:sz w:val="24"/>
          <w:szCs w:val="24"/>
          <w:lang w:val="es-CO"/>
        </w:rPr>
        <w:t>En consecuencia, procura que se condene a Protección S.A. a recon</w:t>
      </w:r>
      <w:r w:rsidR="001E41AA" w:rsidRPr="00CB2431">
        <w:rPr>
          <w:rFonts w:ascii="Tahoma" w:hAnsi="Tahoma" w:cs="Tahoma"/>
          <w:sz w:val="24"/>
          <w:szCs w:val="24"/>
          <w:lang w:val="es-CO"/>
        </w:rPr>
        <w:t>ocer</w:t>
      </w:r>
      <w:r w:rsidRPr="00CB2431">
        <w:rPr>
          <w:rFonts w:ascii="Tahoma" w:hAnsi="Tahoma" w:cs="Tahoma"/>
          <w:sz w:val="24"/>
          <w:szCs w:val="24"/>
          <w:lang w:val="es-CO"/>
        </w:rPr>
        <w:t>le dicha prestación a partir del 17 de abril de 2016, más los intereses moratorios contemplados en el artículo 141 de la Ley 100 de 1993, o subsidiariamente la indexación de las condenas, y las costas procesales.</w:t>
      </w:r>
    </w:p>
    <w:p w14:paraId="35B9F2C3" w14:textId="77777777" w:rsidR="00C026E9" w:rsidRPr="00CB2431" w:rsidRDefault="00C026E9" w:rsidP="00CB2431">
      <w:pPr>
        <w:spacing w:line="276" w:lineRule="auto"/>
        <w:rPr>
          <w:rFonts w:ascii="Tahoma" w:hAnsi="Tahoma" w:cs="Tahoma"/>
          <w:sz w:val="24"/>
          <w:szCs w:val="24"/>
          <w:lang w:val="es-CO"/>
        </w:rPr>
      </w:pPr>
    </w:p>
    <w:p w14:paraId="77035120" w14:textId="79A38C6F" w:rsidR="00F95604" w:rsidRPr="00CB2431" w:rsidRDefault="00F95604" w:rsidP="00CB2431">
      <w:pPr>
        <w:spacing w:line="276" w:lineRule="auto"/>
        <w:ind w:firstLine="708"/>
        <w:rPr>
          <w:rFonts w:ascii="Tahoma" w:hAnsi="Tahoma" w:cs="Tahoma"/>
          <w:sz w:val="24"/>
          <w:szCs w:val="24"/>
          <w:lang w:val="es-CO"/>
        </w:rPr>
      </w:pPr>
      <w:r w:rsidRPr="00CB2431">
        <w:rPr>
          <w:rFonts w:ascii="Tahoma" w:hAnsi="Tahoma" w:cs="Tahoma"/>
          <w:sz w:val="24"/>
          <w:szCs w:val="24"/>
          <w:lang w:val="es-CO"/>
        </w:rPr>
        <w:t xml:space="preserve">Para fundar tales pedidos indica la actora que convivió </w:t>
      </w:r>
      <w:r w:rsidR="00986B39" w:rsidRPr="00CB2431">
        <w:rPr>
          <w:rFonts w:ascii="Tahoma" w:hAnsi="Tahoma" w:cs="Tahoma"/>
          <w:sz w:val="24"/>
          <w:szCs w:val="24"/>
          <w:lang w:val="es-CO"/>
        </w:rPr>
        <w:t xml:space="preserve">con el señor </w:t>
      </w:r>
      <w:proofErr w:type="spellStart"/>
      <w:r w:rsidR="00986B39" w:rsidRPr="00CB2431">
        <w:rPr>
          <w:rFonts w:ascii="Tahoma" w:hAnsi="Tahoma" w:cs="Tahoma"/>
          <w:sz w:val="24"/>
          <w:szCs w:val="24"/>
          <w:lang w:val="es-CO"/>
        </w:rPr>
        <w:t>Veyergen</w:t>
      </w:r>
      <w:proofErr w:type="spellEnd"/>
      <w:r w:rsidR="00986B39" w:rsidRPr="00CB2431">
        <w:rPr>
          <w:rFonts w:ascii="Tahoma" w:hAnsi="Tahoma" w:cs="Tahoma"/>
          <w:sz w:val="24"/>
          <w:szCs w:val="24"/>
          <w:lang w:val="es-CO"/>
        </w:rPr>
        <w:t xml:space="preserve"> Salas López, de manera ininterrumpida, </w:t>
      </w:r>
      <w:r w:rsidRPr="00CB2431">
        <w:rPr>
          <w:rFonts w:ascii="Tahoma" w:hAnsi="Tahoma" w:cs="Tahoma"/>
          <w:sz w:val="24"/>
          <w:szCs w:val="24"/>
          <w:lang w:val="es-CO"/>
        </w:rPr>
        <w:t xml:space="preserve">durante nueve años, </w:t>
      </w:r>
      <w:r w:rsidR="00986B39" w:rsidRPr="00CB2431">
        <w:rPr>
          <w:rFonts w:ascii="Tahoma" w:hAnsi="Tahoma" w:cs="Tahoma"/>
          <w:sz w:val="24"/>
          <w:szCs w:val="24"/>
          <w:lang w:val="es-CO"/>
        </w:rPr>
        <w:t>hasta el momento del deceso de aquel, acaecido el 17 de abril de 2016.</w:t>
      </w:r>
    </w:p>
    <w:p w14:paraId="124F64D4" w14:textId="0ADBDF14" w:rsidR="00986B39" w:rsidRPr="00CB2431" w:rsidRDefault="00986B39" w:rsidP="00CB2431">
      <w:pPr>
        <w:spacing w:line="276" w:lineRule="auto"/>
        <w:ind w:firstLine="708"/>
        <w:rPr>
          <w:rFonts w:ascii="Tahoma" w:hAnsi="Tahoma" w:cs="Tahoma"/>
          <w:sz w:val="24"/>
          <w:szCs w:val="24"/>
          <w:lang w:val="es-CO"/>
        </w:rPr>
      </w:pPr>
    </w:p>
    <w:p w14:paraId="291A9836" w14:textId="77777777" w:rsidR="00986B39" w:rsidRPr="00CB2431" w:rsidRDefault="00986B39" w:rsidP="00CB2431">
      <w:pPr>
        <w:spacing w:line="276" w:lineRule="auto"/>
        <w:ind w:firstLine="708"/>
        <w:rPr>
          <w:rFonts w:ascii="Tahoma" w:hAnsi="Tahoma" w:cs="Tahoma"/>
          <w:sz w:val="24"/>
          <w:szCs w:val="24"/>
          <w:lang w:val="es-CO"/>
        </w:rPr>
      </w:pPr>
      <w:r w:rsidRPr="00CB2431">
        <w:rPr>
          <w:rFonts w:ascii="Tahoma" w:hAnsi="Tahoma" w:cs="Tahoma"/>
          <w:sz w:val="24"/>
          <w:szCs w:val="24"/>
          <w:lang w:val="es-CO"/>
        </w:rPr>
        <w:t>Refiere que el 13 de junio de 2016 solicitó ante Protección S.A. el reconocimiento de la pensión de sobrevivientes, la cual fue negada por dicha entidad bajo el argumento de que no se encontraba demostrada la convivencia exigida por las disposiciones legales que regulan la materia.</w:t>
      </w:r>
    </w:p>
    <w:p w14:paraId="5C1AF060" w14:textId="77777777" w:rsidR="00986B39" w:rsidRPr="00CB2431" w:rsidRDefault="00986B39" w:rsidP="00CB2431">
      <w:pPr>
        <w:spacing w:line="276" w:lineRule="auto"/>
        <w:ind w:firstLine="708"/>
        <w:rPr>
          <w:rFonts w:ascii="Tahoma" w:hAnsi="Tahoma" w:cs="Tahoma"/>
          <w:sz w:val="24"/>
          <w:szCs w:val="24"/>
          <w:lang w:val="es-CO"/>
        </w:rPr>
      </w:pPr>
    </w:p>
    <w:p w14:paraId="3009AF60" w14:textId="186A376C" w:rsidR="00986B39" w:rsidRPr="00CB2431" w:rsidRDefault="00986B39" w:rsidP="00CB2431">
      <w:pPr>
        <w:spacing w:line="276" w:lineRule="auto"/>
        <w:ind w:firstLine="708"/>
        <w:rPr>
          <w:rFonts w:ascii="Tahoma" w:hAnsi="Tahoma" w:cs="Tahoma"/>
          <w:sz w:val="24"/>
          <w:szCs w:val="24"/>
          <w:lang w:val="es-CO"/>
        </w:rPr>
      </w:pPr>
      <w:r w:rsidRPr="00CB2431">
        <w:rPr>
          <w:rFonts w:ascii="Tahoma" w:hAnsi="Tahoma" w:cs="Tahoma"/>
          <w:sz w:val="24"/>
          <w:szCs w:val="24"/>
          <w:lang w:val="es-CO"/>
        </w:rPr>
        <w:t xml:space="preserve">Por último, indica que el 10 de agosto de 2017 solicitó por segunda vez la aludida prestación, misma que sería negada nuevamente por la demandada; quedando agotada de esta manera la reclamación </w:t>
      </w:r>
      <w:r w:rsidR="00DD1D92" w:rsidRPr="00CB2431">
        <w:rPr>
          <w:rFonts w:ascii="Tahoma" w:hAnsi="Tahoma" w:cs="Tahoma"/>
          <w:sz w:val="24"/>
          <w:szCs w:val="24"/>
          <w:lang w:val="es-CO"/>
        </w:rPr>
        <w:t>administrativa</w:t>
      </w:r>
      <w:r w:rsidRPr="00CB2431">
        <w:rPr>
          <w:rFonts w:ascii="Tahoma" w:hAnsi="Tahoma" w:cs="Tahoma"/>
          <w:sz w:val="24"/>
          <w:szCs w:val="24"/>
          <w:lang w:val="es-CO"/>
        </w:rPr>
        <w:t xml:space="preserve">.  </w:t>
      </w:r>
    </w:p>
    <w:p w14:paraId="6A025C58" w14:textId="77777777" w:rsidR="00986B39" w:rsidRPr="00CB2431" w:rsidRDefault="00986B39" w:rsidP="00CB2431">
      <w:pPr>
        <w:spacing w:line="276" w:lineRule="auto"/>
        <w:ind w:firstLine="708"/>
        <w:rPr>
          <w:rFonts w:ascii="Tahoma" w:hAnsi="Tahoma" w:cs="Tahoma"/>
          <w:sz w:val="24"/>
          <w:szCs w:val="24"/>
          <w:lang w:val="es-CO"/>
        </w:rPr>
      </w:pPr>
    </w:p>
    <w:p w14:paraId="778E0F4F" w14:textId="73956622" w:rsidR="00986B39" w:rsidRPr="00CB2431" w:rsidRDefault="00C86915" w:rsidP="00CB2431">
      <w:pPr>
        <w:spacing w:line="276" w:lineRule="auto"/>
        <w:ind w:firstLine="708"/>
        <w:rPr>
          <w:rFonts w:ascii="Tahoma" w:hAnsi="Tahoma" w:cs="Tahoma"/>
          <w:sz w:val="24"/>
          <w:szCs w:val="24"/>
          <w:lang w:val="es-CO"/>
        </w:rPr>
      </w:pPr>
      <w:r w:rsidRPr="00CB2431">
        <w:rPr>
          <w:rFonts w:ascii="Tahoma" w:hAnsi="Tahoma" w:cs="Tahoma"/>
          <w:b/>
          <w:sz w:val="24"/>
          <w:szCs w:val="24"/>
          <w:lang w:val="es-CO"/>
        </w:rPr>
        <w:t xml:space="preserve">Protección S.A. </w:t>
      </w:r>
      <w:r w:rsidR="007D4D80" w:rsidRPr="00CB2431">
        <w:rPr>
          <w:rFonts w:ascii="Tahoma" w:hAnsi="Tahoma" w:cs="Tahoma"/>
          <w:sz w:val="24"/>
          <w:szCs w:val="24"/>
          <w:lang w:val="es-CO"/>
        </w:rPr>
        <w:t>se opuso a la prosperidad de las pretensiones aduciendo que</w:t>
      </w:r>
      <w:r w:rsidR="00CE0D4F" w:rsidRPr="00CB2431">
        <w:rPr>
          <w:rFonts w:ascii="Tahoma" w:hAnsi="Tahoma" w:cs="Tahoma"/>
          <w:sz w:val="24"/>
          <w:szCs w:val="24"/>
          <w:lang w:val="es-CO"/>
        </w:rPr>
        <w:t xml:space="preserve">, a pesar de que el señor </w:t>
      </w:r>
      <w:proofErr w:type="spellStart"/>
      <w:r w:rsidR="00CE0D4F" w:rsidRPr="00CB2431">
        <w:rPr>
          <w:rFonts w:ascii="Tahoma" w:hAnsi="Tahoma" w:cs="Tahoma"/>
          <w:sz w:val="24"/>
          <w:szCs w:val="24"/>
          <w:lang w:val="es-CO"/>
        </w:rPr>
        <w:t>Veyergen</w:t>
      </w:r>
      <w:proofErr w:type="spellEnd"/>
      <w:r w:rsidR="00CE0D4F" w:rsidRPr="00CB2431">
        <w:rPr>
          <w:rFonts w:ascii="Tahoma" w:hAnsi="Tahoma" w:cs="Tahoma"/>
          <w:sz w:val="24"/>
          <w:szCs w:val="24"/>
          <w:lang w:val="es-CO"/>
        </w:rPr>
        <w:t xml:space="preserve"> Salas López reunió la densidad de semanas exigidas para dejar causado el derecho, la demandante no acredita la calidad de beneficiaria por no haber convivido con aquel en los 5 años que exige el artículo 13 de la Ley 797 de 2003.</w:t>
      </w:r>
    </w:p>
    <w:p w14:paraId="713F4C1C" w14:textId="77777777" w:rsidR="00CE0D4F" w:rsidRPr="00CB2431" w:rsidRDefault="00CE0D4F" w:rsidP="00CB2431">
      <w:pPr>
        <w:spacing w:line="276" w:lineRule="auto"/>
        <w:ind w:firstLine="708"/>
        <w:rPr>
          <w:rFonts w:ascii="Tahoma" w:hAnsi="Tahoma" w:cs="Tahoma"/>
          <w:sz w:val="24"/>
          <w:szCs w:val="24"/>
          <w:lang w:val="es-CO"/>
        </w:rPr>
      </w:pPr>
    </w:p>
    <w:p w14:paraId="1A6D327D" w14:textId="38B53F74" w:rsidR="00CE0D4F" w:rsidRPr="00CB2431" w:rsidRDefault="00EB6C33" w:rsidP="00CB2431">
      <w:pPr>
        <w:spacing w:line="276" w:lineRule="auto"/>
        <w:ind w:firstLine="708"/>
        <w:rPr>
          <w:rFonts w:ascii="Tahoma" w:hAnsi="Tahoma" w:cs="Tahoma"/>
          <w:sz w:val="24"/>
          <w:szCs w:val="24"/>
          <w:lang w:val="es-CO"/>
        </w:rPr>
      </w:pPr>
      <w:r w:rsidRPr="00CB2431">
        <w:rPr>
          <w:rFonts w:ascii="Tahoma" w:hAnsi="Tahoma" w:cs="Tahoma"/>
          <w:sz w:val="24"/>
          <w:szCs w:val="24"/>
          <w:lang w:val="es-CO"/>
        </w:rPr>
        <w:t xml:space="preserve">En ese orden de ideas, propuso como excepciones de mérito las </w:t>
      </w:r>
      <w:r w:rsidR="00CE0D4F" w:rsidRPr="00CB2431">
        <w:rPr>
          <w:rFonts w:ascii="Tahoma" w:hAnsi="Tahoma" w:cs="Tahoma"/>
          <w:sz w:val="24"/>
          <w:szCs w:val="24"/>
          <w:lang w:val="es-CO"/>
        </w:rPr>
        <w:t xml:space="preserve">de </w:t>
      </w:r>
      <w:r w:rsidRPr="00CB2431">
        <w:rPr>
          <w:rFonts w:ascii="Tahoma" w:hAnsi="Tahoma" w:cs="Tahoma"/>
          <w:sz w:val="24"/>
          <w:szCs w:val="24"/>
          <w:lang w:val="es-CO"/>
        </w:rPr>
        <w:t>“Prescripción”; “Compensación”</w:t>
      </w:r>
      <w:r w:rsidR="001C1297" w:rsidRPr="00CB2431">
        <w:rPr>
          <w:rFonts w:ascii="Tahoma" w:hAnsi="Tahoma" w:cs="Tahoma"/>
          <w:sz w:val="24"/>
          <w:szCs w:val="24"/>
          <w:lang w:val="es-CO"/>
        </w:rPr>
        <w:t>;</w:t>
      </w:r>
      <w:r w:rsidR="00CE0D4F" w:rsidRPr="00CB2431">
        <w:rPr>
          <w:rFonts w:ascii="Tahoma" w:hAnsi="Tahoma" w:cs="Tahoma"/>
          <w:sz w:val="24"/>
          <w:szCs w:val="24"/>
          <w:lang w:val="es-CO"/>
        </w:rPr>
        <w:t xml:space="preserve"> “Exoneración de condena en costas y de intereses de mora”; “Buena fe”; “Falta de causa para pedir”; “Inexistencia de las obligaciones demandadas”; “Falta de legitimación en la causa por pasiva”</w:t>
      </w:r>
      <w:r w:rsidR="00DD1D92" w:rsidRPr="00CB2431">
        <w:rPr>
          <w:rFonts w:ascii="Tahoma" w:hAnsi="Tahoma" w:cs="Tahoma"/>
          <w:sz w:val="24"/>
          <w:szCs w:val="24"/>
          <w:lang w:val="es-CO"/>
        </w:rPr>
        <w:t>;</w:t>
      </w:r>
      <w:r w:rsidR="00CE0D4F" w:rsidRPr="00CB2431">
        <w:rPr>
          <w:rFonts w:ascii="Tahoma" w:hAnsi="Tahoma" w:cs="Tahoma"/>
          <w:sz w:val="24"/>
          <w:szCs w:val="24"/>
          <w:lang w:val="es-CO"/>
        </w:rPr>
        <w:t xml:space="preserve"> “</w:t>
      </w:r>
      <w:r w:rsidR="00DD1D92" w:rsidRPr="00CB2431">
        <w:rPr>
          <w:rFonts w:ascii="Tahoma" w:hAnsi="Tahoma" w:cs="Tahoma"/>
          <w:sz w:val="24"/>
          <w:szCs w:val="24"/>
          <w:lang w:val="es-CO"/>
        </w:rPr>
        <w:t xml:space="preserve">Falta </w:t>
      </w:r>
      <w:r w:rsidR="00CE0D4F" w:rsidRPr="00CB2431">
        <w:rPr>
          <w:rFonts w:ascii="Tahoma" w:hAnsi="Tahoma" w:cs="Tahoma"/>
          <w:sz w:val="24"/>
          <w:szCs w:val="24"/>
          <w:lang w:val="es-CO"/>
        </w:rPr>
        <w:t>de personería sustantiva por pasiva”</w:t>
      </w:r>
      <w:r w:rsidR="00DD1D92" w:rsidRPr="00CB2431">
        <w:rPr>
          <w:rFonts w:ascii="Tahoma" w:hAnsi="Tahoma" w:cs="Tahoma"/>
          <w:sz w:val="24"/>
          <w:szCs w:val="24"/>
          <w:lang w:val="es-CO"/>
        </w:rPr>
        <w:t>;</w:t>
      </w:r>
      <w:r w:rsidR="00CE0D4F" w:rsidRPr="00CB2431">
        <w:rPr>
          <w:rFonts w:ascii="Tahoma" w:hAnsi="Tahoma" w:cs="Tahoma"/>
          <w:sz w:val="24"/>
          <w:szCs w:val="24"/>
          <w:lang w:val="es-CO"/>
        </w:rPr>
        <w:t xml:space="preserve"> “Inexistencia de la fuente de la obligación”</w:t>
      </w:r>
      <w:r w:rsidR="00DD1D92" w:rsidRPr="00CB2431">
        <w:rPr>
          <w:rFonts w:ascii="Tahoma" w:hAnsi="Tahoma" w:cs="Tahoma"/>
          <w:sz w:val="24"/>
          <w:szCs w:val="24"/>
          <w:lang w:val="es-CO"/>
        </w:rPr>
        <w:t xml:space="preserve"> y,</w:t>
      </w:r>
      <w:r w:rsidR="00CE0D4F" w:rsidRPr="00CB2431">
        <w:rPr>
          <w:rFonts w:ascii="Tahoma" w:hAnsi="Tahoma" w:cs="Tahoma"/>
          <w:sz w:val="24"/>
          <w:szCs w:val="24"/>
          <w:lang w:val="es-CO"/>
        </w:rPr>
        <w:t xml:space="preserve"> “Ausencia de cumplimiento de requisitos por parte de la reclamante</w:t>
      </w:r>
      <w:r w:rsidR="00DD1D92" w:rsidRPr="00CB2431">
        <w:rPr>
          <w:rFonts w:ascii="Tahoma" w:hAnsi="Tahoma" w:cs="Tahoma"/>
          <w:sz w:val="24"/>
          <w:szCs w:val="24"/>
          <w:lang w:val="es-CO"/>
        </w:rPr>
        <w:t>”.</w:t>
      </w:r>
    </w:p>
    <w:p w14:paraId="7D550047" w14:textId="77777777" w:rsidR="0044439D" w:rsidRPr="00CB2431" w:rsidRDefault="0044439D" w:rsidP="00CB2431">
      <w:pPr>
        <w:spacing w:line="276" w:lineRule="auto"/>
        <w:ind w:firstLine="708"/>
        <w:rPr>
          <w:rFonts w:ascii="Tahoma" w:hAnsi="Tahoma" w:cs="Tahoma"/>
          <w:sz w:val="24"/>
          <w:szCs w:val="24"/>
          <w:lang w:val="es-CO"/>
        </w:rPr>
      </w:pPr>
    </w:p>
    <w:p w14:paraId="6E92720B" w14:textId="7389AAF0" w:rsidR="00A31306" w:rsidRPr="00CB2431" w:rsidRDefault="00A31306" w:rsidP="00CB2431">
      <w:pPr>
        <w:pStyle w:val="Prrafodelista"/>
        <w:numPr>
          <w:ilvl w:val="0"/>
          <w:numId w:val="2"/>
        </w:numPr>
        <w:spacing w:line="276" w:lineRule="auto"/>
        <w:jc w:val="center"/>
        <w:rPr>
          <w:rFonts w:ascii="Tahoma" w:hAnsi="Tahoma" w:cs="Tahoma"/>
          <w:b/>
          <w:lang w:val="es-CO"/>
        </w:rPr>
      </w:pPr>
      <w:r w:rsidRPr="00CB2431">
        <w:rPr>
          <w:rFonts w:ascii="Tahoma" w:hAnsi="Tahoma" w:cs="Tahoma"/>
          <w:b/>
          <w:lang w:val="es-CO"/>
        </w:rPr>
        <w:t>Sentencia de primera instancia</w:t>
      </w:r>
    </w:p>
    <w:p w14:paraId="032E0903" w14:textId="77777777" w:rsidR="005F4AA0" w:rsidRPr="00CB2431" w:rsidRDefault="005F4AA0" w:rsidP="00CB2431">
      <w:pPr>
        <w:spacing w:line="276" w:lineRule="auto"/>
        <w:ind w:firstLine="708"/>
        <w:rPr>
          <w:rFonts w:ascii="Tahoma" w:hAnsi="Tahoma" w:cs="Tahoma"/>
          <w:sz w:val="24"/>
          <w:szCs w:val="24"/>
          <w:lang w:val="es-CO"/>
        </w:rPr>
      </w:pPr>
    </w:p>
    <w:p w14:paraId="4D4AE4EA" w14:textId="345429A5" w:rsidR="00DD1D92" w:rsidRPr="00CB2431" w:rsidRDefault="001C5C55" w:rsidP="00CB2431">
      <w:pPr>
        <w:spacing w:line="276" w:lineRule="auto"/>
        <w:ind w:firstLine="708"/>
        <w:rPr>
          <w:rFonts w:ascii="Tahoma" w:hAnsi="Tahoma" w:cs="Tahoma"/>
          <w:sz w:val="24"/>
          <w:szCs w:val="24"/>
          <w:lang w:val="es-CO"/>
        </w:rPr>
      </w:pPr>
      <w:r w:rsidRPr="00CB2431">
        <w:rPr>
          <w:rFonts w:ascii="Tahoma" w:hAnsi="Tahoma" w:cs="Tahoma"/>
          <w:sz w:val="24"/>
          <w:szCs w:val="24"/>
          <w:lang w:val="es-CO"/>
        </w:rPr>
        <w:lastRenderedPageBreak/>
        <w:t xml:space="preserve">La </w:t>
      </w:r>
      <w:r w:rsidR="00EA5E3B" w:rsidRPr="00CB2431">
        <w:rPr>
          <w:rFonts w:ascii="Tahoma" w:hAnsi="Tahoma" w:cs="Tahoma"/>
          <w:sz w:val="24"/>
          <w:szCs w:val="24"/>
          <w:lang w:val="es-CO"/>
        </w:rPr>
        <w:t>Jueza de primer grado</w:t>
      </w:r>
      <w:r w:rsidR="00754A65" w:rsidRPr="00CB2431">
        <w:rPr>
          <w:rFonts w:ascii="Tahoma" w:hAnsi="Tahoma" w:cs="Tahoma"/>
          <w:sz w:val="24"/>
          <w:szCs w:val="24"/>
          <w:lang w:val="es-CO"/>
        </w:rPr>
        <w:t xml:space="preserve"> </w:t>
      </w:r>
      <w:r w:rsidR="00DD1D92" w:rsidRPr="00CB2431">
        <w:rPr>
          <w:rFonts w:ascii="Tahoma" w:hAnsi="Tahoma" w:cs="Tahoma"/>
          <w:sz w:val="24"/>
          <w:szCs w:val="24"/>
          <w:lang w:val="es-CO"/>
        </w:rPr>
        <w:t>declaró probadas las excepciones de “Falta de causa para pedir”, “Inexistencia de las obligaciones demandadas” e “Inexistencia de la fuente de la obligación”, propuestas por Protección S.A.</w:t>
      </w:r>
    </w:p>
    <w:p w14:paraId="2F32F3D7" w14:textId="77777777" w:rsidR="00DD1D92" w:rsidRPr="00CB2431" w:rsidRDefault="00DD1D92" w:rsidP="00CB2431">
      <w:pPr>
        <w:spacing w:line="276" w:lineRule="auto"/>
        <w:ind w:firstLine="708"/>
        <w:rPr>
          <w:rFonts w:ascii="Tahoma" w:hAnsi="Tahoma" w:cs="Tahoma"/>
          <w:sz w:val="24"/>
          <w:szCs w:val="24"/>
          <w:lang w:val="es-CO"/>
        </w:rPr>
      </w:pPr>
    </w:p>
    <w:p w14:paraId="681AFE24" w14:textId="6FA2BA6D" w:rsidR="00DD1D92" w:rsidRPr="00CB2431" w:rsidRDefault="00DD1D92" w:rsidP="00CB2431">
      <w:pPr>
        <w:spacing w:line="276" w:lineRule="auto"/>
        <w:ind w:firstLine="708"/>
        <w:rPr>
          <w:rFonts w:ascii="Tahoma" w:hAnsi="Tahoma" w:cs="Tahoma"/>
          <w:sz w:val="24"/>
          <w:szCs w:val="24"/>
          <w:lang w:val="es-CO"/>
        </w:rPr>
      </w:pPr>
      <w:r w:rsidRPr="00CB2431">
        <w:rPr>
          <w:rFonts w:ascii="Tahoma" w:hAnsi="Tahoma" w:cs="Tahoma"/>
          <w:sz w:val="24"/>
          <w:szCs w:val="24"/>
          <w:lang w:val="es-CO"/>
        </w:rPr>
        <w:t xml:space="preserve">En consecuencia, negó la totalidad de las pretensiones de la demandante, a quien condenó al pago de las costas procesales. </w:t>
      </w:r>
    </w:p>
    <w:p w14:paraId="574548CB" w14:textId="77777777" w:rsidR="00DD1D92" w:rsidRPr="00CB2431" w:rsidRDefault="00DD1D92" w:rsidP="00CB2431">
      <w:pPr>
        <w:spacing w:line="276" w:lineRule="auto"/>
        <w:ind w:firstLine="708"/>
        <w:rPr>
          <w:rFonts w:ascii="Tahoma" w:hAnsi="Tahoma" w:cs="Tahoma"/>
          <w:sz w:val="24"/>
          <w:szCs w:val="24"/>
          <w:lang w:val="es-CO"/>
        </w:rPr>
      </w:pPr>
    </w:p>
    <w:p w14:paraId="2C1AE0EE" w14:textId="19FEE0C2" w:rsidR="00AC6326" w:rsidRPr="00CB2431" w:rsidRDefault="00DD1D92" w:rsidP="00CB2431">
      <w:pPr>
        <w:spacing w:line="276" w:lineRule="auto"/>
        <w:ind w:firstLine="708"/>
        <w:rPr>
          <w:rFonts w:ascii="Tahoma" w:hAnsi="Tahoma" w:cs="Tahoma"/>
          <w:sz w:val="24"/>
          <w:szCs w:val="24"/>
          <w:lang w:val="es-CO"/>
        </w:rPr>
      </w:pPr>
      <w:r w:rsidRPr="00CB2431">
        <w:rPr>
          <w:rFonts w:ascii="Tahoma" w:hAnsi="Tahoma" w:cs="Tahoma"/>
          <w:sz w:val="24"/>
          <w:szCs w:val="24"/>
          <w:lang w:val="es-CO"/>
        </w:rPr>
        <w:t xml:space="preserve">Para fundar tal determinación la A-quo consideró, en síntesis, </w:t>
      </w:r>
      <w:r w:rsidR="007B555E" w:rsidRPr="00CB2431">
        <w:rPr>
          <w:rFonts w:ascii="Tahoma" w:hAnsi="Tahoma" w:cs="Tahoma"/>
          <w:sz w:val="24"/>
          <w:szCs w:val="24"/>
          <w:lang w:val="es-CO"/>
        </w:rPr>
        <w:t>que además de las notorias impresiones en las que incurrió la demandante al rendir el interrogatorio de parte, en el que aceptó que al momento del deceso del causante no convivían bajo el mismo techo</w:t>
      </w:r>
      <w:r w:rsidR="009443F3" w:rsidRPr="00CB2431">
        <w:rPr>
          <w:rFonts w:ascii="Tahoma" w:hAnsi="Tahoma" w:cs="Tahoma"/>
          <w:sz w:val="24"/>
          <w:szCs w:val="24"/>
          <w:lang w:val="es-CO"/>
        </w:rPr>
        <w:t xml:space="preserve">, </w:t>
      </w:r>
      <w:r w:rsidR="007B555E" w:rsidRPr="00CB2431">
        <w:rPr>
          <w:rFonts w:ascii="Tahoma" w:hAnsi="Tahoma" w:cs="Tahoma"/>
          <w:sz w:val="24"/>
          <w:szCs w:val="24"/>
          <w:lang w:val="es-CO"/>
        </w:rPr>
        <w:t xml:space="preserve">los testigos que llamó para probar los hechos de la demanda no ofrecen información relevante, pues dos de ellos, Michael Sánchez Agudelo y </w:t>
      </w:r>
      <w:proofErr w:type="spellStart"/>
      <w:r w:rsidR="007B555E" w:rsidRPr="00CB2431">
        <w:rPr>
          <w:rFonts w:ascii="Tahoma" w:hAnsi="Tahoma" w:cs="Tahoma"/>
          <w:sz w:val="24"/>
          <w:szCs w:val="24"/>
          <w:lang w:val="es-CO"/>
        </w:rPr>
        <w:t>Herlin</w:t>
      </w:r>
      <w:proofErr w:type="spellEnd"/>
      <w:r w:rsidR="007B555E" w:rsidRPr="00CB2431">
        <w:rPr>
          <w:rFonts w:ascii="Tahoma" w:hAnsi="Tahoma" w:cs="Tahoma"/>
          <w:sz w:val="24"/>
          <w:szCs w:val="24"/>
          <w:lang w:val="es-CO"/>
        </w:rPr>
        <w:t xml:space="preserve"> Sol Giraldo Sánchez, no tuvieron contacto con la pareja en los dos años que precedieron al óbito del señor </w:t>
      </w:r>
      <w:proofErr w:type="spellStart"/>
      <w:r w:rsidR="007B555E" w:rsidRPr="00CB2431">
        <w:rPr>
          <w:rFonts w:ascii="Tahoma" w:hAnsi="Tahoma" w:cs="Tahoma"/>
          <w:sz w:val="24"/>
          <w:szCs w:val="24"/>
          <w:lang w:val="es-CO"/>
        </w:rPr>
        <w:t>Veyergen</w:t>
      </w:r>
      <w:proofErr w:type="spellEnd"/>
      <w:r w:rsidR="007B555E" w:rsidRPr="00CB2431">
        <w:rPr>
          <w:rFonts w:ascii="Tahoma" w:hAnsi="Tahoma" w:cs="Tahoma"/>
          <w:sz w:val="24"/>
          <w:szCs w:val="24"/>
          <w:lang w:val="es-CO"/>
        </w:rPr>
        <w:t xml:space="preserve"> Salas</w:t>
      </w:r>
      <w:r w:rsidR="009443F3" w:rsidRPr="00CB2431">
        <w:rPr>
          <w:rFonts w:ascii="Tahoma" w:hAnsi="Tahoma" w:cs="Tahoma"/>
          <w:sz w:val="24"/>
          <w:szCs w:val="24"/>
          <w:lang w:val="es-CO"/>
        </w:rPr>
        <w:t>;</w:t>
      </w:r>
      <w:r w:rsidRPr="00CB2431">
        <w:rPr>
          <w:rFonts w:ascii="Tahoma" w:hAnsi="Tahoma" w:cs="Tahoma"/>
          <w:sz w:val="24"/>
          <w:szCs w:val="24"/>
          <w:lang w:val="es-CO"/>
        </w:rPr>
        <w:t xml:space="preserve"> </w:t>
      </w:r>
      <w:r w:rsidR="007B555E" w:rsidRPr="00CB2431">
        <w:rPr>
          <w:rFonts w:ascii="Tahoma" w:hAnsi="Tahoma" w:cs="Tahoma"/>
          <w:sz w:val="24"/>
          <w:szCs w:val="24"/>
          <w:lang w:val="es-CO"/>
        </w:rPr>
        <w:t>y el tercero, Alejandro López</w:t>
      </w:r>
      <w:r w:rsidR="00F45640" w:rsidRPr="00CB2431">
        <w:rPr>
          <w:rFonts w:ascii="Tahoma" w:hAnsi="Tahoma" w:cs="Tahoma"/>
          <w:sz w:val="24"/>
          <w:szCs w:val="24"/>
          <w:lang w:val="es-CO"/>
        </w:rPr>
        <w:t>, sobrino del causante, afirmó que nunca tuvo una relación directa con su tío y que lo que le constaba provenía de lo que le contaba su madre, hermana de</w:t>
      </w:r>
      <w:r w:rsidR="009443F3" w:rsidRPr="00CB2431">
        <w:rPr>
          <w:rFonts w:ascii="Tahoma" w:hAnsi="Tahoma" w:cs="Tahoma"/>
          <w:sz w:val="24"/>
          <w:szCs w:val="24"/>
          <w:lang w:val="es-CO"/>
        </w:rPr>
        <w:t xml:space="preserve"> aquel</w:t>
      </w:r>
      <w:r w:rsidR="00F45640" w:rsidRPr="00CB2431">
        <w:rPr>
          <w:rFonts w:ascii="Tahoma" w:hAnsi="Tahoma" w:cs="Tahoma"/>
          <w:sz w:val="24"/>
          <w:szCs w:val="24"/>
          <w:lang w:val="es-CO"/>
        </w:rPr>
        <w:t>.</w:t>
      </w:r>
      <w:r w:rsidR="006872B2" w:rsidRPr="00CB2431">
        <w:rPr>
          <w:rFonts w:ascii="Tahoma" w:hAnsi="Tahoma" w:cs="Tahoma"/>
          <w:sz w:val="24"/>
          <w:szCs w:val="24"/>
          <w:lang w:val="es-CO"/>
        </w:rPr>
        <w:t xml:space="preserve"> No obstante, puso de relieve que fue este último</w:t>
      </w:r>
      <w:r w:rsidR="009443F3" w:rsidRPr="00CB2431">
        <w:rPr>
          <w:rFonts w:ascii="Tahoma" w:hAnsi="Tahoma" w:cs="Tahoma"/>
          <w:sz w:val="24"/>
          <w:szCs w:val="24"/>
          <w:lang w:val="es-CO"/>
        </w:rPr>
        <w:t>, y no la promotora de la litis,</w:t>
      </w:r>
      <w:r w:rsidR="006872B2" w:rsidRPr="00CB2431">
        <w:rPr>
          <w:rFonts w:ascii="Tahoma" w:hAnsi="Tahoma" w:cs="Tahoma"/>
          <w:sz w:val="24"/>
          <w:szCs w:val="24"/>
          <w:lang w:val="es-CO"/>
        </w:rPr>
        <w:t xml:space="preserve"> quien, a pesar de vivir en el Choco, se desplazó a la ciudad de Pereira a adelantar las gestiones pertinentes para retirar el cadáver de la morgue y llevarlo al municipio de la Dorada – Caldas, de donde era oriundo</w:t>
      </w:r>
      <w:r w:rsidR="009443F3" w:rsidRPr="00CB2431">
        <w:rPr>
          <w:rFonts w:ascii="Tahoma" w:hAnsi="Tahoma" w:cs="Tahoma"/>
          <w:sz w:val="24"/>
          <w:szCs w:val="24"/>
          <w:lang w:val="es-CO"/>
        </w:rPr>
        <w:t xml:space="preserve"> el afiliado</w:t>
      </w:r>
      <w:r w:rsidR="006872B2" w:rsidRPr="00CB2431">
        <w:rPr>
          <w:rFonts w:ascii="Tahoma" w:hAnsi="Tahoma" w:cs="Tahoma"/>
          <w:sz w:val="24"/>
          <w:szCs w:val="24"/>
          <w:lang w:val="es-CO"/>
        </w:rPr>
        <w:t>.</w:t>
      </w:r>
    </w:p>
    <w:p w14:paraId="56D1F24F" w14:textId="77777777" w:rsidR="001E41AA" w:rsidRPr="00CB2431" w:rsidRDefault="001E41AA" w:rsidP="00CB2431">
      <w:pPr>
        <w:spacing w:line="276" w:lineRule="auto"/>
        <w:ind w:firstLine="708"/>
        <w:rPr>
          <w:rFonts w:ascii="Tahoma" w:hAnsi="Tahoma" w:cs="Tahoma"/>
          <w:sz w:val="24"/>
          <w:szCs w:val="24"/>
          <w:lang w:val="es-CO"/>
        </w:rPr>
      </w:pPr>
    </w:p>
    <w:p w14:paraId="77F0C615" w14:textId="113B9C28" w:rsidR="00A31306" w:rsidRPr="00CB2431" w:rsidRDefault="00A31306" w:rsidP="00CB2431">
      <w:pPr>
        <w:pStyle w:val="Prrafodelista"/>
        <w:numPr>
          <w:ilvl w:val="0"/>
          <w:numId w:val="2"/>
        </w:numPr>
        <w:spacing w:line="276" w:lineRule="auto"/>
        <w:jc w:val="center"/>
        <w:rPr>
          <w:rFonts w:ascii="Tahoma" w:hAnsi="Tahoma" w:cs="Tahoma"/>
          <w:b/>
          <w:lang w:val="es-CO"/>
        </w:rPr>
      </w:pPr>
      <w:r w:rsidRPr="00CB2431">
        <w:rPr>
          <w:rFonts w:ascii="Tahoma" w:hAnsi="Tahoma" w:cs="Tahoma"/>
          <w:b/>
          <w:lang w:val="es-CO"/>
        </w:rPr>
        <w:t xml:space="preserve">Recurso de apelación </w:t>
      </w:r>
    </w:p>
    <w:p w14:paraId="4EDBAF83" w14:textId="77777777" w:rsidR="007B6843" w:rsidRPr="00CB2431" w:rsidRDefault="007B6843" w:rsidP="00CB2431">
      <w:pPr>
        <w:spacing w:line="276" w:lineRule="auto"/>
        <w:ind w:firstLine="708"/>
        <w:rPr>
          <w:rFonts w:ascii="Tahoma" w:hAnsi="Tahoma" w:cs="Tahoma"/>
          <w:sz w:val="24"/>
          <w:szCs w:val="24"/>
        </w:rPr>
      </w:pPr>
    </w:p>
    <w:p w14:paraId="249F2B83" w14:textId="3F620CCA" w:rsidR="0044579D" w:rsidRPr="00CB2431" w:rsidRDefault="0044579D" w:rsidP="00CB2431">
      <w:pPr>
        <w:spacing w:line="276" w:lineRule="auto"/>
        <w:ind w:firstLine="708"/>
        <w:rPr>
          <w:rFonts w:ascii="Tahoma" w:hAnsi="Tahoma" w:cs="Tahoma"/>
          <w:sz w:val="24"/>
          <w:szCs w:val="24"/>
        </w:rPr>
      </w:pPr>
      <w:r w:rsidRPr="00CB2431">
        <w:rPr>
          <w:rFonts w:ascii="Tahoma" w:hAnsi="Tahoma" w:cs="Tahoma"/>
          <w:sz w:val="24"/>
          <w:szCs w:val="24"/>
        </w:rPr>
        <w:t xml:space="preserve">El apoderado de la demandante apeló la decisión de instancia arguyendo que la operadora jurídica de instancia no tuvo en cuenta </w:t>
      </w:r>
      <w:r w:rsidR="006872B2" w:rsidRPr="00CB2431">
        <w:rPr>
          <w:rFonts w:ascii="Tahoma" w:hAnsi="Tahoma" w:cs="Tahoma"/>
          <w:sz w:val="24"/>
          <w:szCs w:val="24"/>
        </w:rPr>
        <w:t xml:space="preserve">los escasos ingresos económicos de su prohijada, su </w:t>
      </w:r>
      <w:r w:rsidRPr="00CB2431">
        <w:rPr>
          <w:rFonts w:ascii="Tahoma" w:hAnsi="Tahoma" w:cs="Tahoma"/>
          <w:sz w:val="24"/>
          <w:szCs w:val="24"/>
        </w:rPr>
        <w:t>grado de escolaridad y que al momento de rendir el interrogatorio estaba nerviosa, razón por la cual incurrió en los desatinos advertidos</w:t>
      </w:r>
      <w:r w:rsidR="00EA7E9A" w:rsidRPr="00CB2431">
        <w:rPr>
          <w:rFonts w:ascii="Tahoma" w:hAnsi="Tahoma" w:cs="Tahoma"/>
          <w:sz w:val="24"/>
          <w:szCs w:val="24"/>
        </w:rPr>
        <w:t xml:space="preserve"> en el fallo</w:t>
      </w:r>
      <w:r w:rsidRPr="00CB2431">
        <w:rPr>
          <w:rFonts w:ascii="Tahoma" w:hAnsi="Tahoma" w:cs="Tahoma"/>
          <w:sz w:val="24"/>
          <w:szCs w:val="24"/>
        </w:rPr>
        <w:t>.</w:t>
      </w:r>
    </w:p>
    <w:p w14:paraId="46481ED1" w14:textId="57D309AC" w:rsidR="00DF54EA" w:rsidRPr="00CB2431" w:rsidRDefault="00DF54EA" w:rsidP="00CB2431">
      <w:pPr>
        <w:spacing w:line="276" w:lineRule="auto"/>
        <w:ind w:firstLine="708"/>
        <w:rPr>
          <w:rFonts w:ascii="Tahoma" w:hAnsi="Tahoma" w:cs="Tahoma"/>
          <w:sz w:val="24"/>
          <w:szCs w:val="24"/>
        </w:rPr>
      </w:pPr>
    </w:p>
    <w:p w14:paraId="0E017B85" w14:textId="02F58E90" w:rsidR="006872B2" w:rsidRPr="00CB2431" w:rsidRDefault="00DF54EA" w:rsidP="00CB2431">
      <w:pPr>
        <w:spacing w:line="276" w:lineRule="auto"/>
        <w:ind w:firstLine="708"/>
        <w:rPr>
          <w:rFonts w:ascii="Tahoma" w:hAnsi="Tahoma" w:cs="Tahoma"/>
          <w:sz w:val="24"/>
          <w:szCs w:val="24"/>
        </w:rPr>
      </w:pPr>
      <w:r w:rsidRPr="00CB2431">
        <w:rPr>
          <w:rFonts w:ascii="Tahoma" w:hAnsi="Tahoma" w:cs="Tahoma"/>
          <w:sz w:val="24"/>
          <w:szCs w:val="24"/>
        </w:rPr>
        <w:t xml:space="preserve">Por otra parte, resaltó que </w:t>
      </w:r>
      <w:r w:rsidR="006872B2" w:rsidRPr="00CB2431">
        <w:rPr>
          <w:rFonts w:ascii="Tahoma" w:hAnsi="Tahoma" w:cs="Tahoma"/>
          <w:sz w:val="24"/>
          <w:szCs w:val="24"/>
        </w:rPr>
        <w:t xml:space="preserve">a pesar de que el testigo </w:t>
      </w:r>
      <w:r w:rsidR="006872B2" w:rsidRPr="00CB2431">
        <w:rPr>
          <w:rFonts w:ascii="Tahoma" w:hAnsi="Tahoma" w:cs="Tahoma"/>
          <w:sz w:val="24"/>
          <w:szCs w:val="24"/>
          <w:lang w:val="es-CO"/>
        </w:rPr>
        <w:t>Alejandro López, sobrino del causante, es un testigo de oídas, cuando vino a reclamar el cadáver de su tío fue a la casa de la actora, donde encontró ropa de su tío, de lo que se podía inferir la convivencia que echa de menos la juzgadora</w:t>
      </w:r>
      <w:r w:rsidR="00EA7E9A" w:rsidRPr="00CB2431">
        <w:rPr>
          <w:rFonts w:ascii="Tahoma" w:hAnsi="Tahoma" w:cs="Tahoma"/>
          <w:sz w:val="24"/>
          <w:szCs w:val="24"/>
          <w:lang w:val="es-CO"/>
        </w:rPr>
        <w:t xml:space="preserve"> de instancia</w:t>
      </w:r>
      <w:r w:rsidR="006872B2" w:rsidRPr="00CB2431">
        <w:rPr>
          <w:rFonts w:ascii="Tahoma" w:hAnsi="Tahoma" w:cs="Tahoma"/>
          <w:sz w:val="24"/>
          <w:szCs w:val="24"/>
          <w:lang w:val="es-CO"/>
        </w:rPr>
        <w:t>.</w:t>
      </w:r>
    </w:p>
    <w:p w14:paraId="27F5E3AA" w14:textId="77777777" w:rsidR="006872B2" w:rsidRPr="00CB2431" w:rsidRDefault="006872B2" w:rsidP="00CB2431">
      <w:pPr>
        <w:spacing w:line="276" w:lineRule="auto"/>
        <w:ind w:firstLine="708"/>
        <w:rPr>
          <w:rFonts w:ascii="Tahoma" w:hAnsi="Tahoma" w:cs="Tahoma"/>
          <w:sz w:val="24"/>
          <w:szCs w:val="24"/>
        </w:rPr>
      </w:pPr>
    </w:p>
    <w:p w14:paraId="264FA737" w14:textId="620120EE" w:rsidR="001D10AD" w:rsidRPr="00CB2431" w:rsidRDefault="006872B2" w:rsidP="00CB2431">
      <w:pPr>
        <w:spacing w:line="276" w:lineRule="auto"/>
        <w:ind w:firstLine="708"/>
        <w:rPr>
          <w:rFonts w:ascii="Tahoma" w:hAnsi="Tahoma" w:cs="Tahoma"/>
          <w:sz w:val="24"/>
          <w:szCs w:val="24"/>
          <w:lang w:val="es-CO"/>
        </w:rPr>
      </w:pPr>
      <w:r w:rsidRPr="00CB2431">
        <w:rPr>
          <w:rFonts w:ascii="Tahoma" w:hAnsi="Tahoma" w:cs="Tahoma"/>
          <w:sz w:val="24"/>
          <w:szCs w:val="24"/>
        </w:rPr>
        <w:t xml:space="preserve">Por último, pone de relieve que </w:t>
      </w:r>
      <w:r w:rsidR="00DF54EA" w:rsidRPr="00CB2431">
        <w:rPr>
          <w:rFonts w:ascii="Tahoma" w:hAnsi="Tahoma" w:cs="Tahoma"/>
          <w:sz w:val="24"/>
          <w:szCs w:val="24"/>
        </w:rPr>
        <w:t xml:space="preserve">no se tuvo en cuenta </w:t>
      </w:r>
      <w:r w:rsidR="001E41AA" w:rsidRPr="00CB2431">
        <w:rPr>
          <w:rFonts w:ascii="Tahoma" w:hAnsi="Tahoma" w:cs="Tahoma"/>
          <w:sz w:val="24"/>
          <w:szCs w:val="24"/>
        </w:rPr>
        <w:t xml:space="preserve">que </w:t>
      </w:r>
      <w:r w:rsidR="00DF54EA" w:rsidRPr="00CB2431">
        <w:rPr>
          <w:rFonts w:ascii="Tahoma" w:hAnsi="Tahoma" w:cs="Tahoma"/>
          <w:sz w:val="24"/>
          <w:szCs w:val="24"/>
        </w:rPr>
        <w:t xml:space="preserve">tanto </w:t>
      </w:r>
      <w:r w:rsidR="00DF54EA" w:rsidRPr="00CB2431">
        <w:rPr>
          <w:rFonts w:ascii="Tahoma" w:hAnsi="Tahoma" w:cs="Tahoma"/>
          <w:sz w:val="24"/>
          <w:szCs w:val="24"/>
          <w:lang w:val="es-CO"/>
        </w:rPr>
        <w:t xml:space="preserve">Michael Sánchez Agudelo como </w:t>
      </w:r>
      <w:proofErr w:type="spellStart"/>
      <w:r w:rsidR="00DF54EA" w:rsidRPr="00CB2431">
        <w:rPr>
          <w:rFonts w:ascii="Tahoma" w:hAnsi="Tahoma" w:cs="Tahoma"/>
          <w:sz w:val="24"/>
          <w:szCs w:val="24"/>
          <w:lang w:val="es-CO"/>
        </w:rPr>
        <w:t>Herlin</w:t>
      </w:r>
      <w:proofErr w:type="spellEnd"/>
      <w:r w:rsidR="00DF54EA" w:rsidRPr="00CB2431">
        <w:rPr>
          <w:rFonts w:ascii="Tahoma" w:hAnsi="Tahoma" w:cs="Tahoma"/>
          <w:sz w:val="24"/>
          <w:szCs w:val="24"/>
          <w:lang w:val="es-CO"/>
        </w:rPr>
        <w:t xml:space="preserve"> Sol Giraldo Sánchez afirmaron que les constaba que el señor </w:t>
      </w:r>
      <w:proofErr w:type="spellStart"/>
      <w:r w:rsidR="00DF54EA" w:rsidRPr="00CB2431">
        <w:rPr>
          <w:rFonts w:ascii="Tahoma" w:hAnsi="Tahoma" w:cs="Tahoma"/>
          <w:sz w:val="24"/>
          <w:szCs w:val="24"/>
          <w:lang w:val="es-CO"/>
        </w:rPr>
        <w:t>Veyergen</w:t>
      </w:r>
      <w:proofErr w:type="spellEnd"/>
      <w:r w:rsidR="00DF54EA" w:rsidRPr="00CB2431">
        <w:rPr>
          <w:rFonts w:ascii="Tahoma" w:hAnsi="Tahoma" w:cs="Tahoma"/>
          <w:sz w:val="24"/>
          <w:szCs w:val="24"/>
          <w:lang w:val="es-CO"/>
        </w:rPr>
        <w:t xml:space="preserve"> Salas iba a recoger a la demandante a su sitio de trabajo.</w:t>
      </w:r>
    </w:p>
    <w:p w14:paraId="7D6E3356" w14:textId="77777777" w:rsidR="001E41AA" w:rsidRPr="00CB2431" w:rsidRDefault="001E41AA" w:rsidP="00CB2431">
      <w:pPr>
        <w:spacing w:line="276" w:lineRule="auto"/>
        <w:ind w:firstLine="708"/>
        <w:rPr>
          <w:rFonts w:ascii="Tahoma" w:hAnsi="Tahoma" w:cs="Tahoma"/>
          <w:sz w:val="24"/>
          <w:szCs w:val="24"/>
          <w:lang w:val="es-CO"/>
        </w:rPr>
      </w:pPr>
    </w:p>
    <w:p w14:paraId="015B31E9" w14:textId="77777777" w:rsidR="00A31306" w:rsidRPr="00CB2431" w:rsidRDefault="00A31306" w:rsidP="00CB2431">
      <w:pPr>
        <w:pStyle w:val="Prrafodelista"/>
        <w:widowControl w:val="0"/>
        <w:numPr>
          <w:ilvl w:val="0"/>
          <w:numId w:val="2"/>
        </w:numPr>
        <w:autoSpaceDE w:val="0"/>
        <w:autoSpaceDN w:val="0"/>
        <w:adjustRightInd w:val="0"/>
        <w:spacing w:line="276" w:lineRule="auto"/>
        <w:jc w:val="center"/>
        <w:rPr>
          <w:rFonts w:ascii="Tahoma" w:hAnsi="Tahoma" w:cs="Tahoma"/>
          <w:b/>
          <w:caps/>
        </w:rPr>
      </w:pPr>
      <w:r w:rsidRPr="00CB2431">
        <w:rPr>
          <w:rFonts w:ascii="Tahoma" w:hAnsi="Tahoma" w:cs="Tahoma"/>
          <w:b/>
        </w:rPr>
        <w:t>Alegatos de conclusión</w:t>
      </w:r>
    </w:p>
    <w:p w14:paraId="22967A8F" w14:textId="77777777" w:rsidR="00A31306" w:rsidRPr="00CB2431" w:rsidRDefault="00A31306" w:rsidP="00CB2431">
      <w:pPr>
        <w:widowControl w:val="0"/>
        <w:autoSpaceDE w:val="0"/>
        <w:autoSpaceDN w:val="0"/>
        <w:adjustRightInd w:val="0"/>
        <w:spacing w:line="276" w:lineRule="auto"/>
        <w:rPr>
          <w:rFonts w:ascii="Tahoma" w:hAnsi="Tahoma" w:cs="Tahoma"/>
          <w:sz w:val="24"/>
          <w:szCs w:val="24"/>
        </w:rPr>
      </w:pPr>
    </w:p>
    <w:p w14:paraId="47FBCC7D" w14:textId="391FD808" w:rsidR="002D68FD" w:rsidRPr="006E1E1B" w:rsidRDefault="00A31306" w:rsidP="006E1E1B">
      <w:pPr>
        <w:spacing w:line="276" w:lineRule="auto"/>
        <w:ind w:firstLine="708"/>
        <w:rPr>
          <w:rStyle w:val="normaltextrun"/>
          <w:rFonts w:ascii="Tahoma" w:hAnsi="Tahoma" w:cs="Tahoma"/>
          <w:sz w:val="24"/>
          <w:szCs w:val="24"/>
        </w:rPr>
      </w:pPr>
      <w:r w:rsidRPr="00CB2431">
        <w:rPr>
          <w:rStyle w:val="normaltextrun"/>
          <w:rFonts w:ascii="Tahoma" w:hAnsi="Tahoma" w:cs="Tahoma"/>
          <w:color w:val="000000"/>
          <w:sz w:val="24"/>
          <w:szCs w:val="24"/>
        </w:rPr>
        <w:t>Analizado</w:t>
      </w:r>
      <w:r w:rsidR="009443F3" w:rsidRPr="00CB2431">
        <w:rPr>
          <w:rStyle w:val="normaltextrun"/>
          <w:rFonts w:ascii="Tahoma" w:hAnsi="Tahoma" w:cs="Tahoma"/>
          <w:color w:val="000000"/>
          <w:sz w:val="24"/>
          <w:szCs w:val="24"/>
        </w:rPr>
        <w:t xml:space="preserve"> el escrito </w:t>
      </w:r>
      <w:r w:rsidR="00CB2431" w:rsidRPr="00CB2431">
        <w:rPr>
          <w:rStyle w:val="normaltextrun"/>
          <w:rFonts w:ascii="Tahoma" w:hAnsi="Tahoma" w:cs="Tahoma"/>
          <w:color w:val="000000"/>
          <w:sz w:val="24"/>
          <w:szCs w:val="24"/>
        </w:rPr>
        <w:t>de alegatos</w:t>
      </w:r>
      <w:r w:rsidRPr="00CB2431">
        <w:rPr>
          <w:rStyle w:val="normaltextrun"/>
          <w:rFonts w:ascii="Tahoma" w:hAnsi="Tahoma" w:cs="Tahoma"/>
          <w:color w:val="000000"/>
          <w:sz w:val="24"/>
          <w:szCs w:val="24"/>
        </w:rPr>
        <w:t xml:space="preserve"> presentado</w:t>
      </w:r>
      <w:r w:rsidR="009443F3" w:rsidRPr="00CB2431">
        <w:rPr>
          <w:rStyle w:val="normaltextrun"/>
          <w:rFonts w:ascii="Tahoma" w:hAnsi="Tahoma" w:cs="Tahoma"/>
          <w:color w:val="000000"/>
          <w:sz w:val="24"/>
          <w:szCs w:val="24"/>
        </w:rPr>
        <w:t xml:space="preserve"> por la parte demandada</w:t>
      </w:r>
      <w:r w:rsidRPr="00CB2431">
        <w:rPr>
          <w:rStyle w:val="normaltextrun"/>
          <w:rFonts w:ascii="Tahoma" w:hAnsi="Tahoma" w:cs="Tahoma"/>
          <w:color w:val="000000"/>
          <w:sz w:val="24"/>
          <w:szCs w:val="24"/>
        </w:rPr>
        <w:t xml:space="preserve">, mismo que obran en el expediente digital y al cual nos remitimos por economía procesal en virtud del artículo 280 del C.G.P., la Sala encuentra que </w:t>
      </w:r>
      <w:r w:rsidR="00CB2431" w:rsidRPr="00CB2431">
        <w:rPr>
          <w:rStyle w:val="normaltextrun"/>
          <w:rFonts w:ascii="Tahoma" w:hAnsi="Tahoma" w:cs="Tahoma"/>
          <w:color w:val="000000"/>
          <w:sz w:val="24"/>
          <w:szCs w:val="24"/>
        </w:rPr>
        <w:t>los argumentos</w:t>
      </w:r>
      <w:r w:rsidRPr="00CB2431">
        <w:rPr>
          <w:rStyle w:val="normaltextrun"/>
          <w:rFonts w:ascii="Tahoma" w:hAnsi="Tahoma" w:cs="Tahoma"/>
          <w:color w:val="000000"/>
          <w:sz w:val="24"/>
          <w:szCs w:val="24"/>
        </w:rPr>
        <w:t> fácticos y jurídicos expresados concuerdan con los puntos objeto de discusión en esta instancia y se relacionan con el problema jurídico que se expresa</w:t>
      </w:r>
      <w:r w:rsidR="00F615DC" w:rsidRPr="00CB2431">
        <w:rPr>
          <w:rStyle w:val="normaltextrun"/>
          <w:rFonts w:ascii="Tahoma" w:hAnsi="Tahoma" w:cs="Tahoma"/>
          <w:color w:val="000000"/>
          <w:sz w:val="24"/>
          <w:szCs w:val="24"/>
        </w:rPr>
        <w:t>rá más adelante</w:t>
      </w:r>
      <w:r w:rsidRPr="00CB2431">
        <w:rPr>
          <w:rStyle w:val="normaltextrun"/>
          <w:rFonts w:ascii="Tahoma" w:hAnsi="Tahoma" w:cs="Tahoma"/>
          <w:color w:val="000000"/>
          <w:sz w:val="24"/>
          <w:szCs w:val="24"/>
        </w:rPr>
        <w:t>. </w:t>
      </w:r>
      <w:r w:rsidRPr="00CB2431">
        <w:rPr>
          <w:rStyle w:val="eop"/>
          <w:rFonts w:ascii="Tahoma" w:hAnsi="Tahoma" w:cs="Tahoma"/>
          <w:color w:val="000000"/>
          <w:sz w:val="24"/>
          <w:szCs w:val="24"/>
        </w:rPr>
        <w:t> </w:t>
      </w:r>
      <w:r w:rsidRPr="00CB2431">
        <w:rPr>
          <w:rStyle w:val="normaltextrun"/>
          <w:rFonts w:ascii="Tahoma" w:hAnsi="Tahoma" w:cs="Tahoma"/>
          <w:color w:val="000000" w:themeColor="text1"/>
          <w:sz w:val="24"/>
          <w:szCs w:val="24"/>
        </w:rPr>
        <w:t xml:space="preserve">Por otra parte, </w:t>
      </w:r>
      <w:r w:rsidRPr="00CB2431">
        <w:rPr>
          <w:rStyle w:val="normaltextrun"/>
          <w:rFonts w:ascii="Tahoma" w:hAnsi="Tahoma" w:cs="Tahoma"/>
          <w:sz w:val="24"/>
          <w:szCs w:val="24"/>
        </w:rPr>
        <w:t>el Ministerio Público no rindió concepto en este asunto.</w:t>
      </w:r>
    </w:p>
    <w:p w14:paraId="204EAF97" w14:textId="77777777" w:rsidR="001E41AA" w:rsidRPr="00CB2431" w:rsidRDefault="001E41AA" w:rsidP="00CB2431">
      <w:pPr>
        <w:spacing w:line="276" w:lineRule="auto"/>
        <w:ind w:firstLine="708"/>
        <w:rPr>
          <w:rStyle w:val="normaltextrun"/>
          <w:rFonts w:ascii="Tahoma" w:hAnsi="Tahoma" w:cs="Tahoma"/>
          <w:color w:val="000000" w:themeColor="text1"/>
          <w:sz w:val="24"/>
          <w:szCs w:val="24"/>
        </w:rPr>
      </w:pPr>
    </w:p>
    <w:p w14:paraId="6E7C5120" w14:textId="54064144" w:rsidR="005F4EE1" w:rsidRPr="00CB2431" w:rsidRDefault="005F4EE1" w:rsidP="00CB2431">
      <w:pPr>
        <w:pStyle w:val="paragraph"/>
        <w:numPr>
          <w:ilvl w:val="0"/>
          <w:numId w:val="2"/>
        </w:numPr>
        <w:spacing w:before="0" w:beforeAutospacing="0" w:after="0" w:afterAutospacing="0" w:line="276" w:lineRule="auto"/>
        <w:jc w:val="center"/>
        <w:textAlignment w:val="baseline"/>
        <w:rPr>
          <w:rFonts w:ascii="Tahoma" w:hAnsi="Tahoma" w:cs="Tahoma"/>
          <w:b/>
        </w:rPr>
      </w:pPr>
      <w:r w:rsidRPr="00CB2431">
        <w:rPr>
          <w:rStyle w:val="normaltextrun"/>
          <w:rFonts w:ascii="Tahoma" w:hAnsi="Tahoma" w:cs="Tahoma"/>
          <w:b/>
          <w:bCs/>
        </w:rPr>
        <w:lastRenderedPageBreak/>
        <w:t>Problema jurídico por resolver</w:t>
      </w:r>
    </w:p>
    <w:p w14:paraId="32411F34" w14:textId="77777777" w:rsidR="005F4EE1" w:rsidRPr="00CB2431" w:rsidRDefault="005F4EE1" w:rsidP="00CB2431">
      <w:pPr>
        <w:pStyle w:val="paragraph"/>
        <w:spacing w:before="0" w:beforeAutospacing="0" w:after="0" w:afterAutospacing="0" w:line="276" w:lineRule="auto"/>
        <w:textAlignment w:val="baseline"/>
        <w:rPr>
          <w:rFonts w:ascii="Tahoma" w:hAnsi="Tahoma" w:cs="Tahoma"/>
        </w:rPr>
      </w:pPr>
      <w:r w:rsidRPr="00CB2431">
        <w:rPr>
          <w:rStyle w:val="eop"/>
          <w:rFonts w:ascii="Tahoma" w:hAnsi="Tahoma" w:cs="Tahoma"/>
        </w:rPr>
        <w:t> </w:t>
      </w:r>
    </w:p>
    <w:p w14:paraId="2E4A59DF" w14:textId="0DE719B1" w:rsidR="009443F3" w:rsidRPr="00CB2431" w:rsidRDefault="00F64F82" w:rsidP="00CB2431">
      <w:pPr>
        <w:widowControl w:val="0"/>
        <w:autoSpaceDE w:val="0"/>
        <w:autoSpaceDN w:val="0"/>
        <w:adjustRightInd w:val="0"/>
        <w:spacing w:line="276" w:lineRule="auto"/>
        <w:ind w:firstLine="708"/>
        <w:rPr>
          <w:rStyle w:val="normaltextrun"/>
          <w:rFonts w:ascii="Tahoma" w:hAnsi="Tahoma" w:cs="Tahoma"/>
          <w:sz w:val="24"/>
          <w:szCs w:val="24"/>
        </w:rPr>
      </w:pPr>
      <w:r w:rsidRPr="00CB2431">
        <w:rPr>
          <w:rStyle w:val="normaltextrun"/>
          <w:rFonts w:ascii="Tahoma" w:hAnsi="Tahoma" w:cs="Tahoma"/>
          <w:sz w:val="24"/>
          <w:szCs w:val="24"/>
        </w:rPr>
        <w:t xml:space="preserve">De acuerdo a los argumentos expuestos en la sentencia de primera instancia, los fundamentos de la apelación y los alegatos de conclusión, le corresponde a la Sala </w:t>
      </w:r>
      <w:r w:rsidR="001856B6" w:rsidRPr="00CB2431">
        <w:rPr>
          <w:rStyle w:val="normaltextrun"/>
          <w:rFonts w:ascii="Tahoma" w:hAnsi="Tahoma" w:cs="Tahoma"/>
          <w:sz w:val="24"/>
          <w:szCs w:val="24"/>
        </w:rPr>
        <w:t>determinar si</w:t>
      </w:r>
      <w:r w:rsidR="009443F3" w:rsidRPr="00CB2431">
        <w:rPr>
          <w:rStyle w:val="normaltextrun"/>
          <w:rFonts w:ascii="Tahoma" w:hAnsi="Tahoma" w:cs="Tahoma"/>
          <w:sz w:val="24"/>
          <w:szCs w:val="24"/>
        </w:rPr>
        <w:t xml:space="preserve"> en el presente proceso se encuentra acreditada la convivencia entre la demandante y el señor </w:t>
      </w:r>
      <w:proofErr w:type="spellStart"/>
      <w:r w:rsidR="00EA7E9A" w:rsidRPr="00CB2431">
        <w:rPr>
          <w:rFonts w:ascii="Tahoma" w:hAnsi="Tahoma" w:cs="Tahoma"/>
          <w:sz w:val="24"/>
          <w:szCs w:val="24"/>
          <w:lang w:val="es-CO"/>
        </w:rPr>
        <w:t>Veyergen</w:t>
      </w:r>
      <w:proofErr w:type="spellEnd"/>
      <w:r w:rsidR="00EA7E9A" w:rsidRPr="00CB2431">
        <w:rPr>
          <w:rFonts w:ascii="Tahoma" w:hAnsi="Tahoma" w:cs="Tahoma"/>
          <w:sz w:val="24"/>
          <w:szCs w:val="24"/>
          <w:lang w:val="es-CO"/>
        </w:rPr>
        <w:t xml:space="preserve"> Salas López</w:t>
      </w:r>
      <w:r w:rsidR="009443F3" w:rsidRPr="00CB2431">
        <w:rPr>
          <w:rStyle w:val="normaltextrun"/>
          <w:rFonts w:ascii="Tahoma" w:hAnsi="Tahoma" w:cs="Tahoma"/>
          <w:sz w:val="24"/>
          <w:szCs w:val="24"/>
        </w:rPr>
        <w:t xml:space="preserve">, en los cinco años que antecedieron </w:t>
      </w:r>
      <w:r w:rsidR="001E41AA" w:rsidRPr="00CB2431">
        <w:rPr>
          <w:rStyle w:val="normaltextrun"/>
          <w:rFonts w:ascii="Tahoma" w:hAnsi="Tahoma" w:cs="Tahoma"/>
          <w:sz w:val="24"/>
          <w:szCs w:val="24"/>
        </w:rPr>
        <w:t>al</w:t>
      </w:r>
      <w:r w:rsidR="009443F3" w:rsidRPr="00CB2431">
        <w:rPr>
          <w:rStyle w:val="normaltextrun"/>
          <w:rFonts w:ascii="Tahoma" w:hAnsi="Tahoma" w:cs="Tahoma"/>
          <w:sz w:val="24"/>
          <w:szCs w:val="24"/>
        </w:rPr>
        <w:t xml:space="preserve"> deceso de este último. </w:t>
      </w:r>
    </w:p>
    <w:p w14:paraId="5CC3BCED" w14:textId="77777777" w:rsidR="00F64F82" w:rsidRPr="00CB2431" w:rsidRDefault="00F64F82" w:rsidP="00CB2431">
      <w:pPr>
        <w:spacing w:line="276" w:lineRule="auto"/>
        <w:ind w:firstLine="900"/>
        <w:rPr>
          <w:rFonts w:ascii="Tahoma" w:hAnsi="Tahoma" w:cs="Tahoma"/>
          <w:sz w:val="24"/>
          <w:szCs w:val="24"/>
        </w:rPr>
      </w:pPr>
      <w:r w:rsidRPr="00CB2431">
        <w:rPr>
          <w:rFonts w:ascii="Tahoma" w:hAnsi="Tahoma" w:cs="Tahoma"/>
          <w:sz w:val="24"/>
          <w:szCs w:val="24"/>
        </w:rPr>
        <w:t xml:space="preserve">  </w:t>
      </w:r>
    </w:p>
    <w:p w14:paraId="5C33ACB5" w14:textId="4E54D403" w:rsidR="00F64F82" w:rsidRPr="00CB2431" w:rsidRDefault="00F64F82" w:rsidP="00CB2431">
      <w:pPr>
        <w:pStyle w:val="Prrafodelista"/>
        <w:widowControl w:val="0"/>
        <w:numPr>
          <w:ilvl w:val="0"/>
          <w:numId w:val="2"/>
        </w:numPr>
        <w:tabs>
          <w:tab w:val="left" w:pos="284"/>
        </w:tabs>
        <w:autoSpaceDE w:val="0"/>
        <w:autoSpaceDN w:val="0"/>
        <w:adjustRightInd w:val="0"/>
        <w:spacing w:line="276" w:lineRule="auto"/>
        <w:ind w:left="0" w:firstLine="0"/>
        <w:jc w:val="center"/>
        <w:rPr>
          <w:rFonts w:ascii="Tahoma" w:hAnsi="Tahoma" w:cs="Tahoma"/>
          <w:b/>
        </w:rPr>
      </w:pPr>
      <w:r w:rsidRPr="00CB2431">
        <w:rPr>
          <w:rFonts w:ascii="Tahoma" w:hAnsi="Tahoma" w:cs="Tahoma"/>
          <w:b/>
        </w:rPr>
        <w:t>Consideraciones</w:t>
      </w:r>
    </w:p>
    <w:p w14:paraId="339F0828" w14:textId="77777777" w:rsidR="00EA7E9A" w:rsidRPr="00CB2431" w:rsidRDefault="00EA7E9A" w:rsidP="00CB2431">
      <w:pPr>
        <w:overflowPunct w:val="0"/>
        <w:autoSpaceDE w:val="0"/>
        <w:autoSpaceDN w:val="0"/>
        <w:adjustRightInd w:val="0"/>
        <w:spacing w:line="276" w:lineRule="auto"/>
        <w:ind w:left="709" w:right="193"/>
        <w:textAlignment w:val="baseline"/>
        <w:rPr>
          <w:rFonts w:ascii="Tahoma" w:hAnsi="Tahoma" w:cs="Tahoma"/>
          <w:i/>
          <w:sz w:val="24"/>
          <w:szCs w:val="24"/>
        </w:rPr>
      </w:pPr>
    </w:p>
    <w:p w14:paraId="7708AB04" w14:textId="77777777" w:rsidR="00EA7E9A" w:rsidRPr="00CB2431" w:rsidRDefault="00EA7E9A" w:rsidP="00CB2431">
      <w:pPr>
        <w:spacing w:line="276" w:lineRule="auto"/>
        <w:ind w:firstLine="708"/>
        <w:rPr>
          <w:rFonts w:ascii="Tahoma" w:hAnsi="Tahoma" w:cs="Tahoma"/>
          <w:b/>
          <w:sz w:val="24"/>
          <w:szCs w:val="24"/>
        </w:rPr>
      </w:pPr>
      <w:r w:rsidRPr="00CB2431">
        <w:rPr>
          <w:rFonts w:ascii="Tahoma" w:hAnsi="Tahoma" w:cs="Tahoma"/>
          <w:b/>
          <w:sz w:val="24"/>
          <w:szCs w:val="24"/>
        </w:rPr>
        <w:t>6.1 Supuestos fácticos por fuera de debate</w:t>
      </w:r>
    </w:p>
    <w:p w14:paraId="22959E8C" w14:textId="77777777" w:rsidR="00EA7E9A" w:rsidRPr="00CB2431" w:rsidRDefault="00EA7E9A" w:rsidP="00CB2431">
      <w:pPr>
        <w:spacing w:line="276" w:lineRule="auto"/>
        <w:ind w:firstLine="708"/>
        <w:rPr>
          <w:rFonts w:ascii="Tahoma" w:hAnsi="Tahoma" w:cs="Tahoma"/>
          <w:sz w:val="24"/>
          <w:szCs w:val="24"/>
        </w:rPr>
      </w:pPr>
    </w:p>
    <w:p w14:paraId="60F013E2" w14:textId="77777777" w:rsidR="00EA7E9A" w:rsidRPr="00CB2431" w:rsidRDefault="00EA7E9A" w:rsidP="00CB2431">
      <w:pPr>
        <w:spacing w:line="276" w:lineRule="auto"/>
        <w:ind w:firstLine="708"/>
        <w:rPr>
          <w:rFonts w:ascii="Tahoma" w:hAnsi="Tahoma" w:cs="Tahoma"/>
          <w:sz w:val="24"/>
          <w:szCs w:val="24"/>
        </w:rPr>
      </w:pPr>
      <w:r w:rsidRPr="00CB2431">
        <w:rPr>
          <w:rFonts w:ascii="Tahoma" w:hAnsi="Tahoma" w:cs="Tahoma"/>
          <w:sz w:val="24"/>
          <w:szCs w:val="24"/>
        </w:rPr>
        <w:t>Son hechos que se encuentran por fuera de discusión los siguientes:</w:t>
      </w:r>
    </w:p>
    <w:p w14:paraId="7537B9B0" w14:textId="77777777" w:rsidR="00EA7E9A" w:rsidRPr="00CB2431" w:rsidRDefault="00EA7E9A" w:rsidP="00CB2431">
      <w:pPr>
        <w:spacing w:line="276" w:lineRule="auto"/>
        <w:ind w:firstLine="708"/>
        <w:rPr>
          <w:rFonts w:ascii="Tahoma" w:hAnsi="Tahoma" w:cs="Tahoma"/>
          <w:sz w:val="24"/>
          <w:szCs w:val="24"/>
        </w:rPr>
      </w:pPr>
    </w:p>
    <w:p w14:paraId="70C22C1C" w14:textId="1521F7CD" w:rsidR="00EA7E9A" w:rsidRPr="00CB2431" w:rsidRDefault="00EA7E9A" w:rsidP="00CB2431">
      <w:pPr>
        <w:pStyle w:val="Prrafodelista"/>
        <w:numPr>
          <w:ilvl w:val="0"/>
          <w:numId w:val="12"/>
        </w:numPr>
        <w:tabs>
          <w:tab w:val="left" w:pos="993"/>
        </w:tabs>
        <w:spacing w:line="276" w:lineRule="auto"/>
        <w:ind w:left="0" w:firstLine="709"/>
        <w:jc w:val="both"/>
        <w:rPr>
          <w:rFonts w:ascii="Tahoma" w:hAnsi="Tahoma" w:cs="Tahoma"/>
        </w:rPr>
      </w:pPr>
      <w:r w:rsidRPr="00CB2431">
        <w:rPr>
          <w:rFonts w:ascii="Tahoma" w:hAnsi="Tahoma" w:cs="Tahoma"/>
        </w:rPr>
        <w:t xml:space="preserve">Que </w:t>
      </w:r>
      <w:proofErr w:type="spellStart"/>
      <w:r w:rsidRPr="00CB2431">
        <w:rPr>
          <w:rFonts w:ascii="Tahoma" w:hAnsi="Tahoma" w:cs="Tahoma"/>
          <w:lang w:val="es-CO"/>
        </w:rPr>
        <w:t>Veyergen</w:t>
      </w:r>
      <w:proofErr w:type="spellEnd"/>
      <w:r w:rsidRPr="00CB2431">
        <w:rPr>
          <w:rFonts w:ascii="Tahoma" w:hAnsi="Tahoma" w:cs="Tahoma"/>
          <w:lang w:val="es-CO"/>
        </w:rPr>
        <w:t xml:space="preserve"> Salas López falleció el 17 de abril de 2016 (</w:t>
      </w:r>
      <w:proofErr w:type="spellStart"/>
      <w:r w:rsidRPr="00CB2431">
        <w:rPr>
          <w:rFonts w:ascii="Tahoma" w:hAnsi="Tahoma" w:cs="Tahoma"/>
          <w:lang w:val="es-CO"/>
        </w:rPr>
        <w:t>fl</w:t>
      </w:r>
      <w:proofErr w:type="spellEnd"/>
      <w:r w:rsidRPr="00CB2431">
        <w:rPr>
          <w:rFonts w:ascii="Tahoma" w:hAnsi="Tahoma" w:cs="Tahoma"/>
          <w:lang w:val="es-CO"/>
        </w:rPr>
        <w:t>. 65).</w:t>
      </w:r>
    </w:p>
    <w:p w14:paraId="532C1F3B" w14:textId="77777777" w:rsidR="00075D82" w:rsidRPr="00CB2431" w:rsidRDefault="00075D82" w:rsidP="00CB2431">
      <w:pPr>
        <w:pStyle w:val="Prrafodelista"/>
        <w:tabs>
          <w:tab w:val="left" w:pos="993"/>
        </w:tabs>
        <w:spacing w:line="276" w:lineRule="auto"/>
        <w:ind w:left="709"/>
        <w:jc w:val="both"/>
        <w:rPr>
          <w:rFonts w:ascii="Tahoma" w:hAnsi="Tahoma" w:cs="Tahoma"/>
        </w:rPr>
      </w:pPr>
    </w:p>
    <w:p w14:paraId="30AC192E" w14:textId="7A974923" w:rsidR="00EA7E9A" w:rsidRPr="00CB2431" w:rsidRDefault="00EA7E9A" w:rsidP="00CB2431">
      <w:pPr>
        <w:pStyle w:val="Prrafodelista"/>
        <w:numPr>
          <w:ilvl w:val="0"/>
          <w:numId w:val="12"/>
        </w:numPr>
        <w:tabs>
          <w:tab w:val="left" w:pos="993"/>
        </w:tabs>
        <w:spacing w:line="276" w:lineRule="auto"/>
        <w:ind w:left="0" w:firstLine="709"/>
        <w:jc w:val="both"/>
        <w:rPr>
          <w:rFonts w:ascii="Tahoma" w:hAnsi="Tahoma" w:cs="Tahoma"/>
        </w:rPr>
      </w:pPr>
      <w:r w:rsidRPr="00CB2431">
        <w:rPr>
          <w:rFonts w:ascii="Tahoma" w:hAnsi="Tahoma" w:cs="Tahoma"/>
        </w:rPr>
        <w:t>Que al superar las 50 semanas exigidas en la Ley 797 de 2003, en los tres años anteriores a su deceso, según historia laboral expedida por Protección S.A. (</w:t>
      </w:r>
      <w:proofErr w:type="spellStart"/>
      <w:r w:rsidRPr="00CB2431">
        <w:rPr>
          <w:rFonts w:ascii="Tahoma" w:hAnsi="Tahoma" w:cs="Tahoma"/>
        </w:rPr>
        <w:t>fl</w:t>
      </w:r>
      <w:proofErr w:type="spellEnd"/>
      <w:r w:rsidRPr="00CB2431">
        <w:rPr>
          <w:rFonts w:ascii="Tahoma" w:hAnsi="Tahoma" w:cs="Tahoma"/>
        </w:rPr>
        <w:t>. 67), dejó causado el derecho a la pensión de sobrevivientes</w:t>
      </w:r>
      <w:r w:rsidR="00BB2946" w:rsidRPr="00CB2431">
        <w:rPr>
          <w:rFonts w:ascii="Tahoma" w:hAnsi="Tahoma" w:cs="Tahoma"/>
        </w:rPr>
        <w:t xml:space="preserve"> y,</w:t>
      </w:r>
    </w:p>
    <w:p w14:paraId="18DDC126" w14:textId="77777777" w:rsidR="00BB2946" w:rsidRPr="00CB2431" w:rsidRDefault="00BB2946" w:rsidP="00CB2431">
      <w:pPr>
        <w:pStyle w:val="Prrafodelista"/>
        <w:tabs>
          <w:tab w:val="left" w:pos="993"/>
        </w:tabs>
        <w:spacing w:line="276" w:lineRule="auto"/>
        <w:ind w:left="709"/>
        <w:jc w:val="both"/>
        <w:rPr>
          <w:rFonts w:ascii="Tahoma" w:hAnsi="Tahoma" w:cs="Tahoma"/>
        </w:rPr>
      </w:pPr>
    </w:p>
    <w:p w14:paraId="5BA73C52" w14:textId="77EEE034" w:rsidR="00EA7E9A" w:rsidRPr="00CB2431" w:rsidRDefault="00EA7E9A" w:rsidP="00CB2431">
      <w:pPr>
        <w:pStyle w:val="Prrafodelista"/>
        <w:numPr>
          <w:ilvl w:val="0"/>
          <w:numId w:val="12"/>
        </w:numPr>
        <w:tabs>
          <w:tab w:val="left" w:pos="993"/>
        </w:tabs>
        <w:spacing w:line="276" w:lineRule="auto"/>
        <w:ind w:left="0" w:firstLine="709"/>
        <w:jc w:val="both"/>
        <w:rPr>
          <w:rFonts w:ascii="Tahoma" w:hAnsi="Tahoma" w:cs="Tahoma"/>
        </w:rPr>
      </w:pPr>
      <w:r w:rsidRPr="00CB2431">
        <w:rPr>
          <w:rFonts w:ascii="Tahoma" w:hAnsi="Tahoma" w:cs="Tahoma"/>
        </w:rPr>
        <w:t xml:space="preserve">Que </w:t>
      </w:r>
      <w:r w:rsidR="00BB2946" w:rsidRPr="00CB2431">
        <w:rPr>
          <w:rFonts w:ascii="Tahoma" w:hAnsi="Tahoma" w:cs="Tahoma"/>
        </w:rPr>
        <w:t xml:space="preserve">Protección S.A.  </w:t>
      </w:r>
      <w:r w:rsidRPr="00CB2431">
        <w:rPr>
          <w:rFonts w:ascii="Tahoma" w:hAnsi="Tahoma" w:cs="Tahoma"/>
        </w:rPr>
        <w:t xml:space="preserve">negó la prestación </w:t>
      </w:r>
      <w:r w:rsidR="00BB2946" w:rsidRPr="00CB2431">
        <w:rPr>
          <w:rFonts w:ascii="Tahoma" w:hAnsi="Tahoma" w:cs="Tahoma"/>
        </w:rPr>
        <w:t>a la demandante</w:t>
      </w:r>
      <w:r w:rsidRPr="00CB2431">
        <w:rPr>
          <w:rFonts w:ascii="Tahoma" w:hAnsi="Tahoma" w:cs="Tahoma"/>
        </w:rPr>
        <w:t xml:space="preserve"> bajo el argumento de que </w:t>
      </w:r>
      <w:r w:rsidR="00BB2946" w:rsidRPr="00CB2431">
        <w:rPr>
          <w:rFonts w:ascii="Tahoma" w:hAnsi="Tahoma" w:cs="Tahoma"/>
        </w:rPr>
        <w:t>ella</w:t>
      </w:r>
      <w:r w:rsidRPr="00CB2431">
        <w:rPr>
          <w:rFonts w:ascii="Tahoma" w:hAnsi="Tahoma" w:cs="Tahoma"/>
        </w:rPr>
        <w:t xml:space="preserve"> no acreditó el tiempo mínimo de convivencia con el causante para hacerse acreedor de la pensión reclamada.</w:t>
      </w:r>
    </w:p>
    <w:p w14:paraId="7A96F0A6" w14:textId="77777777" w:rsidR="001E41AA" w:rsidRPr="00CB2431" w:rsidRDefault="001E41AA" w:rsidP="00CB2431">
      <w:pPr>
        <w:pStyle w:val="Prrafodelista"/>
        <w:spacing w:line="276" w:lineRule="auto"/>
        <w:rPr>
          <w:rFonts w:ascii="Tahoma" w:hAnsi="Tahoma" w:cs="Tahoma"/>
        </w:rPr>
      </w:pPr>
    </w:p>
    <w:p w14:paraId="63ECB8CD" w14:textId="77777777" w:rsidR="00EA7E9A" w:rsidRPr="00CB2431" w:rsidRDefault="00EA7E9A" w:rsidP="00CB2431">
      <w:pPr>
        <w:spacing w:line="276" w:lineRule="auto"/>
        <w:ind w:firstLine="708"/>
        <w:rPr>
          <w:rFonts w:ascii="Tahoma" w:hAnsi="Tahoma" w:cs="Tahoma"/>
          <w:b/>
          <w:sz w:val="24"/>
          <w:szCs w:val="24"/>
        </w:rPr>
      </w:pPr>
      <w:r w:rsidRPr="00CB2431">
        <w:rPr>
          <w:rFonts w:ascii="Tahoma" w:hAnsi="Tahoma" w:cs="Tahoma"/>
          <w:b/>
          <w:sz w:val="24"/>
          <w:szCs w:val="24"/>
        </w:rPr>
        <w:t>6.2 Caso concreto</w:t>
      </w:r>
    </w:p>
    <w:p w14:paraId="0B7A6FC9" w14:textId="77777777" w:rsidR="00EA7E9A" w:rsidRPr="00CB2431" w:rsidRDefault="00EA7E9A" w:rsidP="00CB2431">
      <w:pPr>
        <w:spacing w:line="276" w:lineRule="auto"/>
        <w:ind w:firstLine="708"/>
        <w:rPr>
          <w:rFonts w:ascii="Tahoma" w:hAnsi="Tahoma" w:cs="Tahoma"/>
          <w:sz w:val="24"/>
          <w:szCs w:val="24"/>
        </w:rPr>
      </w:pPr>
    </w:p>
    <w:p w14:paraId="731F274A" w14:textId="77777777" w:rsidR="00EA7E9A" w:rsidRPr="00CB2431" w:rsidRDefault="00EA7E9A" w:rsidP="00CB2431">
      <w:pPr>
        <w:spacing w:line="276" w:lineRule="auto"/>
        <w:ind w:firstLine="708"/>
        <w:rPr>
          <w:rFonts w:ascii="Tahoma" w:hAnsi="Tahoma" w:cs="Tahoma"/>
          <w:i/>
          <w:sz w:val="24"/>
          <w:szCs w:val="24"/>
        </w:rPr>
      </w:pPr>
      <w:r w:rsidRPr="00CB2431">
        <w:rPr>
          <w:rFonts w:ascii="Tahoma" w:hAnsi="Tahoma" w:cs="Tahoma"/>
          <w:sz w:val="24"/>
          <w:szCs w:val="24"/>
        </w:rPr>
        <w:t>Sea lo primero indicar que la norma que rige el estudio de la prestación reclamada es la vigente al momento en que aquella se causó, esto es, el artículo 47 de la Ley 100 de 1993 con las modificaciones introducidas por la Ley 797 de 2003, misma que exige a la compañera permanente una convivencia no inferior a cinco años, con anterioridad al deceso del pensionado, y que la Sala de Casación Laboral de la Corte Suprema de Justicia ha definido como aquella “</w:t>
      </w:r>
      <w:r w:rsidRPr="006E1E1B">
        <w:rPr>
          <w:rFonts w:ascii="Tahoma" w:hAnsi="Tahoma" w:cs="Tahoma"/>
          <w:i/>
          <w:szCs w:val="24"/>
        </w:rPr>
        <w:t>comunidad de vida, forjada en el crisol del amor responsable, la ayuda mutua, el afecto entrañable, el apoyo económico, la asistencia solidaria y el acompañamiento espiritual, que refleje el propósito de realizar un proyecto de vida de pareja responsable y estable, a la par de una convivencia real efectiva y afectiva-  durante los años anteriores al fallecimiento del afiliado o del pensionado</w:t>
      </w:r>
      <w:r w:rsidRPr="00CB2431">
        <w:rPr>
          <w:rFonts w:ascii="Tahoma" w:hAnsi="Tahoma" w:cs="Tahoma"/>
          <w:i/>
          <w:sz w:val="24"/>
          <w:szCs w:val="24"/>
        </w:rPr>
        <w:t xml:space="preserve">” </w:t>
      </w:r>
      <w:r w:rsidRPr="00CB2431">
        <w:rPr>
          <w:rStyle w:val="Refdenotaalpie"/>
          <w:rFonts w:ascii="Tahoma" w:hAnsi="Tahoma" w:cs="Tahoma"/>
          <w:i/>
          <w:sz w:val="24"/>
          <w:szCs w:val="24"/>
        </w:rPr>
        <w:footnoteReference w:id="1"/>
      </w:r>
      <w:r w:rsidRPr="00CB2431">
        <w:rPr>
          <w:rFonts w:ascii="Tahoma" w:hAnsi="Tahoma" w:cs="Tahoma"/>
          <w:i/>
          <w:sz w:val="24"/>
          <w:szCs w:val="24"/>
        </w:rPr>
        <w:t>.</w:t>
      </w:r>
    </w:p>
    <w:p w14:paraId="0D3347B5" w14:textId="77777777" w:rsidR="00EA7E9A" w:rsidRPr="00CB2431" w:rsidRDefault="00EA7E9A" w:rsidP="00CB2431">
      <w:pPr>
        <w:spacing w:line="276" w:lineRule="auto"/>
        <w:ind w:firstLine="708"/>
        <w:rPr>
          <w:rFonts w:ascii="Tahoma" w:hAnsi="Tahoma" w:cs="Tahoma"/>
          <w:sz w:val="24"/>
          <w:szCs w:val="24"/>
        </w:rPr>
      </w:pPr>
    </w:p>
    <w:p w14:paraId="0352AE1E" w14:textId="77777777" w:rsidR="00EA7E9A" w:rsidRPr="00CB2431" w:rsidRDefault="00EA7E9A" w:rsidP="00CB2431">
      <w:pPr>
        <w:spacing w:line="276" w:lineRule="auto"/>
        <w:ind w:firstLine="708"/>
        <w:rPr>
          <w:rFonts w:ascii="Tahoma" w:hAnsi="Tahoma" w:cs="Tahoma"/>
          <w:sz w:val="24"/>
          <w:szCs w:val="24"/>
        </w:rPr>
      </w:pPr>
      <w:bookmarkStart w:id="3" w:name="_Hlk69031917"/>
      <w:r w:rsidRPr="00CB2431">
        <w:rPr>
          <w:rFonts w:ascii="Tahoma" w:hAnsi="Tahoma" w:cs="Tahoma"/>
          <w:sz w:val="24"/>
          <w:szCs w:val="24"/>
        </w:rPr>
        <w:t xml:space="preserve">Precisó igualmente la Corte en la sentencia SL1399 de 2018 que </w:t>
      </w:r>
      <w:r w:rsidRPr="00CB2431">
        <w:rPr>
          <w:rFonts w:ascii="Tahoma" w:hAnsi="Tahoma" w:cs="Tahoma"/>
          <w:i/>
          <w:sz w:val="24"/>
          <w:szCs w:val="24"/>
        </w:rPr>
        <w:t>“</w:t>
      </w:r>
      <w:r w:rsidRPr="006E1E1B">
        <w:rPr>
          <w:rFonts w:ascii="Tahoma" w:hAnsi="Tahoma" w:cs="Tahoma"/>
          <w:i/>
          <w:szCs w:val="24"/>
        </w:rPr>
        <w:t>la convivencia debe ser evaluada de acuerdo con las peculiaridades de cada caso, dado que pueden existir eventos en los que los cónyuges o compañeros no cohabiten bajo el mismo techo, en razón de circunstancias especiales de salud, trabajo, fuerza mayor o similares, lo cual no conduce de manera inexorable a que desaparezca la comunidad de vida de la pareja si notoriamente subsisten los lazos afectivos, sentimentales y de apoyo, solidaridad, acompañamiento espiritual y ayuda mutua</w:t>
      </w:r>
      <w:bookmarkEnd w:id="3"/>
      <w:r w:rsidRPr="006E1E1B">
        <w:rPr>
          <w:rFonts w:ascii="Tahoma" w:hAnsi="Tahoma" w:cs="Tahoma"/>
          <w:i/>
          <w:szCs w:val="24"/>
        </w:rPr>
        <w:t>, rasgos esenciales y distintivos de la convivencia entre una pareja y que supera su concepción meramente física y carnal de compartir el mismo domicilio</w:t>
      </w:r>
      <w:r w:rsidRPr="00CB2431">
        <w:rPr>
          <w:rFonts w:ascii="Tahoma" w:hAnsi="Tahoma" w:cs="Tahoma"/>
          <w:i/>
          <w:sz w:val="24"/>
          <w:szCs w:val="24"/>
        </w:rPr>
        <w:t>.”</w:t>
      </w:r>
    </w:p>
    <w:p w14:paraId="545A7812" w14:textId="221C1870" w:rsidR="00B234FB" w:rsidRPr="00CB2431" w:rsidRDefault="00B234FB" w:rsidP="00CB2431">
      <w:pPr>
        <w:spacing w:line="276" w:lineRule="auto"/>
        <w:ind w:firstLine="705"/>
        <w:rPr>
          <w:rFonts w:ascii="Tahoma" w:eastAsia="Times New Roman" w:hAnsi="Tahoma" w:cs="Tahoma"/>
          <w:sz w:val="24"/>
          <w:szCs w:val="24"/>
          <w:lang w:eastAsia="es-ES"/>
        </w:rPr>
      </w:pPr>
    </w:p>
    <w:p w14:paraId="2679E062" w14:textId="73282584" w:rsidR="00CA2E30" w:rsidRPr="00CB2431" w:rsidRDefault="00CA2E30" w:rsidP="00CB2431">
      <w:pPr>
        <w:spacing w:line="276" w:lineRule="auto"/>
        <w:ind w:firstLine="708"/>
        <w:rPr>
          <w:rFonts w:ascii="Tahoma" w:hAnsi="Tahoma" w:cs="Tahoma"/>
          <w:sz w:val="24"/>
          <w:szCs w:val="24"/>
        </w:rPr>
      </w:pPr>
      <w:r w:rsidRPr="00CB2431">
        <w:rPr>
          <w:rFonts w:ascii="Tahoma" w:hAnsi="Tahoma" w:cs="Tahoma"/>
          <w:sz w:val="24"/>
          <w:szCs w:val="24"/>
        </w:rPr>
        <w:t>De conformidad con lo anterior y atendiendo los fundamentos de la alzada, la Sala encuentra que la conclusión de la Jueza de instancia no desatiende el precedente del órgano de cierre de esta especialidad y, en consecuencia, debe ser confirmada.</w:t>
      </w:r>
    </w:p>
    <w:p w14:paraId="66342DFD" w14:textId="7AD5389F" w:rsidR="00CA2E30" w:rsidRPr="00CB2431" w:rsidRDefault="00CA2E30" w:rsidP="00CB2431">
      <w:pPr>
        <w:spacing w:line="276" w:lineRule="auto"/>
        <w:ind w:firstLine="708"/>
        <w:rPr>
          <w:rFonts w:ascii="Tahoma" w:hAnsi="Tahoma" w:cs="Tahoma"/>
          <w:sz w:val="24"/>
          <w:szCs w:val="24"/>
        </w:rPr>
      </w:pPr>
    </w:p>
    <w:p w14:paraId="7F4A05E4" w14:textId="0B9B1A67" w:rsidR="00C63E78" w:rsidRPr="00CB2431" w:rsidRDefault="00CA2E30" w:rsidP="00CB2431">
      <w:pPr>
        <w:spacing w:line="276" w:lineRule="auto"/>
        <w:ind w:firstLine="708"/>
        <w:rPr>
          <w:rFonts w:ascii="Tahoma" w:hAnsi="Tahoma" w:cs="Tahoma"/>
          <w:sz w:val="24"/>
          <w:szCs w:val="24"/>
        </w:rPr>
      </w:pPr>
      <w:r w:rsidRPr="00CB2431">
        <w:rPr>
          <w:rFonts w:ascii="Tahoma" w:hAnsi="Tahoma" w:cs="Tahoma"/>
          <w:sz w:val="24"/>
          <w:szCs w:val="24"/>
        </w:rPr>
        <w:t xml:space="preserve">En efecto, </w:t>
      </w:r>
      <w:r w:rsidR="00B14360" w:rsidRPr="00CB2431">
        <w:rPr>
          <w:rFonts w:ascii="Tahoma" w:hAnsi="Tahoma" w:cs="Tahoma"/>
          <w:sz w:val="24"/>
          <w:szCs w:val="24"/>
        </w:rPr>
        <w:t>lo expuesto por la demandante en su interrogatorio emergió como una confesión que permite inferir que</w:t>
      </w:r>
      <w:r w:rsidR="001E41AA" w:rsidRPr="00CB2431">
        <w:rPr>
          <w:rFonts w:ascii="Tahoma" w:hAnsi="Tahoma" w:cs="Tahoma"/>
          <w:sz w:val="24"/>
          <w:szCs w:val="24"/>
        </w:rPr>
        <w:t>,</w:t>
      </w:r>
      <w:r w:rsidR="00B14360" w:rsidRPr="00CB2431">
        <w:rPr>
          <w:rFonts w:ascii="Tahoma" w:hAnsi="Tahoma" w:cs="Tahoma"/>
          <w:sz w:val="24"/>
          <w:szCs w:val="24"/>
        </w:rPr>
        <w:t xml:space="preserve"> si bien pudo existir una relación estrecha con el causante, la misma no t</w:t>
      </w:r>
      <w:r w:rsidR="00C63E78" w:rsidRPr="00CB2431">
        <w:rPr>
          <w:rFonts w:ascii="Tahoma" w:hAnsi="Tahoma" w:cs="Tahoma"/>
          <w:sz w:val="24"/>
          <w:szCs w:val="24"/>
        </w:rPr>
        <w:t>uvo vocación de ser ininterrumpida en los cinco años que precedieron el óbito del afiliado, de tal manera que se pudiera gestar una comunidad de vida donde la convivencia fuera el pilar fundamental que diera lugar a considerarla como beneficiaria de la pensión reclamada.</w:t>
      </w:r>
    </w:p>
    <w:p w14:paraId="4D4D8890" w14:textId="0F5DC0FB" w:rsidR="00C63E78" w:rsidRPr="00CB2431" w:rsidRDefault="00C63E78" w:rsidP="00CB2431">
      <w:pPr>
        <w:spacing w:line="276" w:lineRule="auto"/>
        <w:ind w:firstLine="708"/>
        <w:rPr>
          <w:rFonts w:ascii="Tahoma" w:hAnsi="Tahoma" w:cs="Tahoma"/>
          <w:sz w:val="24"/>
          <w:szCs w:val="24"/>
        </w:rPr>
      </w:pPr>
    </w:p>
    <w:p w14:paraId="27D3507C" w14:textId="034C6CED" w:rsidR="00C63E78" w:rsidRPr="00CB2431" w:rsidRDefault="00C63E78" w:rsidP="00CB2431">
      <w:pPr>
        <w:spacing w:line="276" w:lineRule="auto"/>
        <w:ind w:firstLine="708"/>
        <w:rPr>
          <w:rFonts w:ascii="Tahoma" w:hAnsi="Tahoma" w:cs="Tahoma"/>
          <w:sz w:val="24"/>
          <w:szCs w:val="24"/>
        </w:rPr>
      </w:pPr>
      <w:r w:rsidRPr="00CB2431">
        <w:rPr>
          <w:rFonts w:ascii="Tahoma" w:hAnsi="Tahoma" w:cs="Tahoma"/>
          <w:sz w:val="24"/>
          <w:szCs w:val="24"/>
        </w:rPr>
        <w:t>En su declaración de parte, lejos de ofrecer claridad de una relación que, según sus dichos, se extendió por un lapso de nueve años, no indicó siquiera una fecha aproximada de la fecha en que inició la relación</w:t>
      </w:r>
      <w:r w:rsidR="007D1E43" w:rsidRPr="00CB2431">
        <w:rPr>
          <w:rFonts w:ascii="Tahoma" w:hAnsi="Tahoma" w:cs="Tahoma"/>
          <w:sz w:val="24"/>
          <w:szCs w:val="24"/>
        </w:rPr>
        <w:t>;</w:t>
      </w:r>
      <w:r w:rsidRPr="00CB2431">
        <w:rPr>
          <w:rFonts w:ascii="Tahoma" w:hAnsi="Tahoma" w:cs="Tahoma"/>
          <w:sz w:val="24"/>
          <w:szCs w:val="24"/>
        </w:rPr>
        <w:t xml:space="preserve"> tampoco dio una razón precisa del lugar donde trabajaba el señor </w:t>
      </w:r>
      <w:proofErr w:type="spellStart"/>
      <w:r w:rsidRPr="00CB2431">
        <w:rPr>
          <w:rFonts w:ascii="Tahoma" w:hAnsi="Tahoma" w:cs="Tahoma"/>
          <w:sz w:val="24"/>
          <w:szCs w:val="24"/>
        </w:rPr>
        <w:t>Veyergen</w:t>
      </w:r>
      <w:proofErr w:type="spellEnd"/>
      <w:r w:rsidRPr="00CB2431">
        <w:rPr>
          <w:rFonts w:ascii="Tahoma" w:hAnsi="Tahoma" w:cs="Tahoma"/>
          <w:sz w:val="24"/>
          <w:szCs w:val="24"/>
        </w:rPr>
        <w:t xml:space="preserve"> Salas </w:t>
      </w:r>
      <w:r w:rsidR="007D1E43" w:rsidRPr="00CB2431">
        <w:rPr>
          <w:rFonts w:ascii="Tahoma" w:hAnsi="Tahoma" w:cs="Tahoma"/>
          <w:sz w:val="24"/>
          <w:szCs w:val="24"/>
        </w:rPr>
        <w:t>cuando fue asesinado; ni tampoco por qué no la afilió al sistema de salud.</w:t>
      </w:r>
    </w:p>
    <w:p w14:paraId="25FB7F57" w14:textId="3C50EBC6" w:rsidR="007D1E43" w:rsidRPr="00CB2431" w:rsidRDefault="007D1E43" w:rsidP="00CB2431">
      <w:pPr>
        <w:spacing w:line="276" w:lineRule="auto"/>
        <w:ind w:firstLine="708"/>
        <w:rPr>
          <w:rFonts w:ascii="Tahoma" w:hAnsi="Tahoma" w:cs="Tahoma"/>
          <w:sz w:val="24"/>
          <w:szCs w:val="24"/>
        </w:rPr>
      </w:pPr>
    </w:p>
    <w:p w14:paraId="1F1445D2" w14:textId="53FABF9C" w:rsidR="00876DBE" w:rsidRPr="00CB2431" w:rsidRDefault="007D1E43" w:rsidP="00CB2431">
      <w:pPr>
        <w:spacing w:line="276" w:lineRule="auto"/>
        <w:ind w:firstLine="708"/>
        <w:rPr>
          <w:rFonts w:ascii="Tahoma" w:hAnsi="Tahoma" w:cs="Tahoma"/>
          <w:sz w:val="24"/>
          <w:szCs w:val="24"/>
        </w:rPr>
      </w:pPr>
      <w:r w:rsidRPr="00CB2431">
        <w:rPr>
          <w:rFonts w:ascii="Tahoma" w:hAnsi="Tahoma" w:cs="Tahoma"/>
          <w:sz w:val="24"/>
          <w:szCs w:val="24"/>
        </w:rPr>
        <w:t xml:space="preserve">Cuando se le cuestiona sobre los testimonios que rindieron </w:t>
      </w:r>
      <w:proofErr w:type="spellStart"/>
      <w:r w:rsidRPr="00CB2431">
        <w:rPr>
          <w:rFonts w:ascii="Tahoma" w:hAnsi="Tahoma" w:cs="Tahoma"/>
          <w:sz w:val="24"/>
          <w:szCs w:val="24"/>
        </w:rPr>
        <w:t>Hund</w:t>
      </w:r>
      <w:r w:rsidR="00FA2295" w:rsidRPr="00CB2431">
        <w:rPr>
          <w:rFonts w:ascii="Tahoma" w:hAnsi="Tahoma" w:cs="Tahoma"/>
          <w:sz w:val="24"/>
          <w:szCs w:val="24"/>
        </w:rPr>
        <w:t>é</w:t>
      </w:r>
      <w:r w:rsidRPr="00CB2431">
        <w:rPr>
          <w:rFonts w:ascii="Tahoma" w:hAnsi="Tahoma" w:cs="Tahoma"/>
          <w:sz w:val="24"/>
          <w:szCs w:val="24"/>
        </w:rPr>
        <w:t>cimo</w:t>
      </w:r>
      <w:proofErr w:type="spellEnd"/>
      <w:r w:rsidRPr="00CB2431">
        <w:rPr>
          <w:rFonts w:ascii="Tahoma" w:hAnsi="Tahoma" w:cs="Tahoma"/>
          <w:sz w:val="24"/>
          <w:szCs w:val="24"/>
        </w:rPr>
        <w:t xml:space="preserve"> Hernández y José Gabriel Muñoz en la investigación realizada por la demandada, </w:t>
      </w:r>
      <w:r w:rsidR="003179D5" w:rsidRPr="00CB2431">
        <w:rPr>
          <w:rFonts w:ascii="Tahoma" w:hAnsi="Tahoma" w:cs="Tahoma"/>
          <w:sz w:val="24"/>
          <w:szCs w:val="24"/>
        </w:rPr>
        <w:t xml:space="preserve">quienes </w:t>
      </w:r>
      <w:r w:rsidRPr="00CB2431">
        <w:rPr>
          <w:rFonts w:ascii="Tahoma" w:hAnsi="Tahoma" w:cs="Tahoma"/>
          <w:sz w:val="24"/>
          <w:szCs w:val="24"/>
        </w:rPr>
        <w:t xml:space="preserve">afirmaron que ella y el causante vivían en casas separadas dentro del mismo barrio, </w:t>
      </w:r>
      <w:r w:rsidR="003179D5" w:rsidRPr="00CB2431">
        <w:rPr>
          <w:rFonts w:ascii="Tahoma" w:hAnsi="Tahoma" w:cs="Tahoma"/>
          <w:sz w:val="24"/>
          <w:szCs w:val="24"/>
        </w:rPr>
        <w:t xml:space="preserve">lo cuales les costaba por ser quienes les arrendaban las habitaciones, </w:t>
      </w:r>
      <w:r w:rsidRPr="00CB2431">
        <w:rPr>
          <w:rFonts w:ascii="Tahoma" w:hAnsi="Tahoma" w:cs="Tahoma"/>
          <w:sz w:val="24"/>
          <w:szCs w:val="24"/>
        </w:rPr>
        <w:t>aceptó que eso era cierto</w:t>
      </w:r>
      <w:r w:rsidR="00876DBE" w:rsidRPr="00CB2431">
        <w:rPr>
          <w:rFonts w:ascii="Tahoma" w:hAnsi="Tahoma" w:cs="Tahoma"/>
          <w:sz w:val="24"/>
          <w:szCs w:val="24"/>
        </w:rPr>
        <w:t>, sin precisar cuál era el motivo de fuerza mayor que generaba tal distanciamiento.</w:t>
      </w:r>
    </w:p>
    <w:p w14:paraId="636A063E" w14:textId="77777777" w:rsidR="00876DBE" w:rsidRPr="00CB2431" w:rsidRDefault="00876DBE" w:rsidP="00CB2431">
      <w:pPr>
        <w:spacing w:line="276" w:lineRule="auto"/>
        <w:ind w:firstLine="708"/>
        <w:rPr>
          <w:rFonts w:ascii="Tahoma" w:hAnsi="Tahoma" w:cs="Tahoma"/>
          <w:sz w:val="24"/>
          <w:szCs w:val="24"/>
        </w:rPr>
      </w:pPr>
    </w:p>
    <w:p w14:paraId="4057B5AA" w14:textId="67D6212E" w:rsidR="00AB4EB0" w:rsidRPr="00CB2431" w:rsidRDefault="00EE3123" w:rsidP="00CB2431">
      <w:pPr>
        <w:spacing w:line="276" w:lineRule="auto"/>
        <w:ind w:firstLine="708"/>
        <w:rPr>
          <w:rFonts w:ascii="Tahoma" w:hAnsi="Tahoma" w:cs="Tahoma"/>
          <w:sz w:val="24"/>
          <w:szCs w:val="24"/>
        </w:rPr>
      </w:pPr>
      <w:r w:rsidRPr="00CB2431">
        <w:rPr>
          <w:rFonts w:ascii="Tahoma" w:hAnsi="Tahoma" w:cs="Tahoma"/>
          <w:sz w:val="24"/>
          <w:szCs w:val="24"/>
        </w:rPr>
        <w:t xml:space="preserve">A pesar de que el recurrente excusa la información proporcionada por su cliente dado </w:t>
      </w:r>
      <w:r w:rsidR="00937F70" w:rsidRPr="00CB2431">
        <w:rPr>
          <w:rFonts w:ascii="Tahoma" w:hAnsi="Tahoma" w:cs="Tahoma"/>
          <w:sz w:val="24"/>
          <w:szCs w:val="24"/>
        </w:rPr>
        <w:t xml:space="preserve">a </w:t>
      </w:r>
      <w:r w:rsidRPr="00CB2431">
        <w:rPr>
          <w:rFonts w:ascii="Tahoma" w:hAnsi="Tahoma" w:cs="Tahoma"/>
          <w:sz w:val="24"/>
          <w:szCs w:val="24"/>
        </w:rPr>
        <w:t xml:space="preserve">su grado de escolaridad, </w:t>
      </w:r>
      <w:r w:rsidR="00AB4EB0" w:rsidRPr="00CB2431">
        <w:rPr>
          <w:rFonts w:ascii="Tahoma" w:hAnsi="Tahoma" w:cs="Tahoma"/>
          <w:sz w:val="24"/>
          <w:szCs w:val="24"/>
        </w:rPr>
        <w:t>no puede perderse de vista, atendiendo las reglas de la sana crítica, que al momento de rendir su interrogatorio tenía 48 años de edad, es decir, es una persona joven que, si bien puede incurrir en dislates, el grueso de sus dichos deben ser coherentes e hilados con lo plasmado en el libelo genitor, no obstante, el desconocimiento de datos básicos de su pareja, que nacen de la confianza que surge por haber estado supuestamente nueve años, como el lugar donde trabajaba, la razón por la cual no la afilió al sistema de salud o por qué vivían en lugares separados, da al traste con la prosperidad de su pretensiones, tal como lo concluyó la jueza de instancia.</w:t>
      </w:r>
    </w:p>
    <w:p w14:paraId="7B2788FF" w14:textId="77777777" w:rsidR="00AB4EB0" w:rsidRPr="00CB2431" w:rsidRDefault="00AB4EB0" w:rsidP="00CB2431">
      <w:pPr>
        <w:spacing w:line="276" w:lineRule="auto"/>
        <w:ind w:firstLine="708"/>
        <w:rPr>
          <w:rFonts w:ascii="Tahoma" w:hAnsi="Tahoma" w:cs="Tahoma"/>
          <w:sz w:val="24"/>
          <w:szCs w:val="24"/>
        </w:rPr>
      </w:pPr>
    </w:p>
    <w:p w14:paraId="0EDFF686" w14:textId="7BEB5FE9" w:rsidR="00AB4EB0" w:rsidRPr="00CB2431" w:rsidRDefault="00AB4EB0" w:rsidP="00CB2431">
      <w:pPr>
        <w:spacing w:line="276" w:lineRule="auto"/>
        <w:ind w:firstLine="708"/>
        <w:rPr>
          <w:rFonts w:ascii="Tahoma" w:hAnsi="Tahoma" w:cs="Tahoma"/>
          <w:sz w:val="24"/>
          <w:szCs w:val="24"/>
        </w:rPr>
      </w:pPr>
      <w:r w:rsidRPr="00CB2431">
        <w:rPr>
          <w:rFonts w:ascii="Tahoma" w:hAnsi="Tahoma" w:cs="Tahoma"/>
          <w:sz w:val="24"/>
          <w:szCs w:val="24"/>
        </w:rPr>
        <w:t xml:space="preserve">Ahora, al remitirse la Sala a lo expuesto por la </w:t>
      </w:r>
      <w:r w:rsidR="00DE0E0B" w:rsidRPr="00CB2431">
        <w:rPr>
          <w:rFonts w:ascii="Tahoma" w:hAnsi="Tahoma" w:cs="Tahoma"/>
          <w:sz w:val="24"/>
          <w:szCs w:val="24"/>
        </w:rPr>
        <w:t xml:space="preserve">Michael Sánchez Agudelo, </w:t>
      </w:r>
      <w:proofErr w:type="spellStart"/>
      <w:r w:rsidR="00DE0E0B" w:rsidRPr="00CB2431">
        <w:rPr>
          <w:rFonts w:ascii="Tahoma" w:hAnsi="Tahoma" w:cs="Tahoma"/>
          <w:sz w:val="24"/>
          <w:szCs w:val="24"/>
        </w:rPr>
        <w:t>Herlin</w:t>
      </w:r>
      <w:proofErr w:type="spellEnd"/>
      <w:r w:rsidR="00DE0E0B" w:rsidRPr="00CB2431">
        <w:rPr>
          <w:rFonts w:ascii="Tahoma" w:hAnsi="Tahoma" w:cs="Tahoma"/>
          <w:sz w:val="24"/>
          <w:szCs w:val="24"/>
        </w:rPr>
        <w:t xml:space="preserve"> Sol Giraldo Sánchez y Alejandro López, </w:t>
      </w:r>
      <w:r w:rsidRPr="00CB2431">
        <w:rPr>
          <w:rFonts w:ascii="Tahoma" w:hAnsi="Tahoma" w:cs="Tahoma"/>
          <w:sz w:val="24"/>
          <w:szCs w:val="24"/>
        </w:rPr>
        <w:t>testigos llamados al proceso</w:t>
      </w:r>
      <w:r w:rsidR="00DE0E0B" w:rsidRPr="00CB2431">
        <w:rPr>
          <w:rFonts w:ascii="Tahoma" w:hAnsi="Tahoma" w:cs="Tahoma"/>
          <w:sz w:val="24"/>
          <w:szCs w:val="24"/>
        </w:rPr>
        <w:t xml:space="preserve"> por la parte actora</w:t>
      </w:r>
      <w:r w:rsidRPr="00CB2431">
        <w:rPr>
          <w:rFonts w:ascii="Tahoma" w:hAnsi="Tahoma" w:cs="Tahoma"/>
          <w:sz w:val="24"/>
          <w:szCs w:val="24"/>
        </w:rPr>
        <w:t xml:space="preserve">, es claro que sus dichos no podrían desdibujar lo expuesto por la propia </w:t>
      </w:r>
      <w:r w:rsidR="00DE0E0B" w:rsidRPr="00CB2431">
        <w:rPr>
          <w:rFonts w:ascii="Tahoma" w:hAnsi="Tahoma" w:cs="Tahoma"/>
          <w:sz w:val="24"/>
          <w:szCs w:val="24"/>
        </w:rPr>
        <w:t>demandante en su declaración</w:t>
      </w:r>
      <w:r w:rsidRPr="00CB2431">
        <w:rPr>
          <w:rFonts w:ascii="Tahoma" w:hAnsi="Tahoma" w:cs="Tahoma"/>
          <w:sz w:val="24"/>
          <w:szCs w:val="24"/>
        </w:rPr>
        <w:t>, referente</w:t>
      </w:r>
      <w:r w:rsidR="00DE0E0B" w:rsidRPr="00CB2431">
        <w:rPr>
          <w:rFonts w:ascii="Tahoma" w:hAnsi="Tahoma" w:cs="Tahoma"/>
          <w:sz w:val="24"/>
          <w:szCs w:val="24"/>
        </w:rPr>
        <w:t xml:space="preserve"> a la falta de convivencia bajo el mismo techo; ello aunado al trascendental hecho de que ninguno de ellos tuvo contacto directo con la pareja en los últimos meses de vida del causante. </w:t>
      </w:r>
      <w:r w:rsidRPr="00CB2431">
        <w:rPr>
          <w:rFonts w:ascii="Tahoma" w:hAnsi="Tahoma" w:cs="Tahoma"/>
          <w:sz w:val="24"/>
          <w:szCs w:val="24"/>
        </w:rPr>
        <w:t xml:space="preserve">  </w:t>
      </w:r>
    </w:p>
    <w:p w14:paraId="63CE41F4" w14:textId="4335C765" w:rsidR="00AB4EB0" w:rsidRPr="00CB2431" w:rsidRDefault="00AB4EB0" w:rsidP="00CB2431">
      <w:pPr>
        <w:spacing w:line="276" w:lineRule="auto"/>
        <w:ind w:firstLine="708"/>
        <w:rPr>
          <w:rFonts w:ascii="Tahoma" w:hAnsi="Tahoma" w:cs="Tahoma"/>
          <w:sz w:val="24"/>
          <w:szCs w:val="24"/>
        </w:rPr>
      </w:pPr>
    </w:p>
    <w:p w14:paraId="3D2EBF4F" w14:textId="550E035B" w:rsidR="009222FC" w:rsidRPr="00CB2431" w:rsidRDefault="009222FC" w:rsidP="00CB2431">
      <w:pPr>
        <w:spacing w:line="276" w:lineRule="auto"/>
        <w:ind w:firstLine="708"/>
        <w:rPr>
          <w:rFonts w:ascii="Tahoma" w:hAnsi="Tahoma" w:cs="Tahoma"/>
          <w:sz w:val="24"/>
          <w:szCs w:val="24"/>
        </w:rPr>
      </w:pPr>
      <w:r w:rsidRPr="00CB2431">
        <w:rPr>
          <w:rFonts w:ascii="Tahoma" w:hAnsi="Tahoma" w:cs="Tahoma"/>
          <w:sz w:val="24"/>
          <w:szCs w:val="24"/>
        </w:rPr>
        <w:t xml:space="preserve">En efecto Michael Sánchez Agudelo y </w:t>
      </w:r>
      <w:proofErr w:type="spellStart"/>
      <w:r w:rsidRPr="00CB2431">
        <w:rPr>
          <w:rFonts w:ascii="Tahoma" w:hAnsi="Tahoma" w:cs="Tahoma"/>
          <w:sz w:val="24"/>
          <w:szCs w:val="24"/>
        </w:rPr>
        <w:t>Herlin</w:t>
      </w:r>
      <w:proofErr w:type="spellEnd"/>
      <w:r w:rsidRPr="00CB2431">
        <w:rPr>
          <w:rFonts w:ascii="Tahoma" w:hAnsi="Tahoma" w:cs="Tahoma"/>
          <w:sz w:val="24"/>
          <w:szCs w:val="24"/>
        </w:rPr>
        <w:t xml:space="preserve"> Sol Giraldo Sánchez, quienes conocieron a la actora en el taller donde hacía arreglos de ropa, a pesar de que coinciden </w:t>
      </w:r>
      <w:r w:rsidR="00D71AB9">
        <w:rPr>
          <w:rFonts w:ascii="Tahoma" w:hAnsi="Tahoma" w:cs="Tahoma"/>
          <w:sz w:val="24"/>
          <w:szCs w:val="24"/>
        </w:rPr>
        <w:t>en</w:t>
      </w:r>
      <w:r w:rsidRPr="00CB2431">
        <w:rPr>
          <w:rFonts w:ascii="Tahoma" w:hAnsi="Tahoma" w:cs="Tahoma"/>
          <w:sz w:val="24"/>
          <w:szCs w:val="24"/>
        </w:rPr>
        <w:t xml:space="preserve"> que el causante la iba a recoger a su sitio de trabajo, aceptaron </w:t>
      </w:r>
      <w:r w:rsidR="00A83E8E" w:rsidRPr="00CB2431">
        <w:rPr>
          <w:rFonts w:ascii="Tahoma" w:hAnsi="Tahoma" w:cs="Tahoma"/>
          <w:sz w:val="24"/>
          <w:szCs w:val="24"/>
        </w:rPr>
        <w:lastRenderedPageBreak/>
        <w:t xml:space="preserve">categóricamente </w:t>
      </w:r>
      <w:r w:rsidRPr="00CB2431">
        <w:rPr>
          <w:rFonts w:ascii="Tahoma" w:hAnsi="Tahoma" w:cs="Tahoma"/>
          <w:sz w:val="24"/>
          <w:szCs w:val="24"/>
        </w:rPr>
        <w:t xml:space="preserve">no haber tenido contacto con la pareja </w:t>
      </w:r>
      <w:r w:rsidR="00A83E8E" w:rsidRPr="00CB2431">
        <w:rPr>
          <w:rFonts w:ascii="Tahoma" w:hAnsi="Tahoma" w:cs="Tahoma"/>
          <w:sz w:val="24"/>
          <w:szCs w:val="24"/>
        </w:rPr>
        <w:t xml:space="preserve">desde el año 2015, esto es, </w:t>
      </w:r>
      <w:r w:rsidRPr="00CB2431">
        <w:rPr>
          <w:rFonts w:ascii="Tahoma" w:hAnsi="Tahoma" w:cs="Tahoma"/>
          <w:sz w:val="24"/>
          <w:szCs w:val="24"/>
        </w:rPr>
        <w:t>por un lapso superior al año anterior al deceso del causante</w:t>
      </w:r>
      <w:r w:rsidR="00A83E8E" w:rsidRPr="00CB2431">
        <w:rPr>
          <w:rFonts w:ascii="Tahoma" w:hAnsi="Tahoma" w:cs="Tahoma"/>
          <w:sz w:val="24"/>
          <w:szCs w:val="24"/>
        </w:rPr>
        <w:t>; el primero, porque la señor</w:t>
      </w:r>
      <w:r w:rsidR="00ED0F19" w:rsidRPr="00CB2431">
        <w:rPr>
          <w:rFonts w:ascii="Tahoma" w:hAnsi="Tahoma" w:cs="Tahoma"/>
          <w:sz w:val="24"/>
          <w:szCs w:val="24"/>
        </w:rPr>
        <w:t>a</w:t>
      </w:r>
      <w:r w:rsidR="00A83E8E" w:rsidRPr="00CB2431">
        <w:rPr>
          <w:rFonts w:ascii="Tahoma" w:hAnsi="Tahoma" w:cs="Tahoma"/>
          <w:sz w:val="24"/>
          <w:szCs w:val="24"/>
        </w:rPr>
        <w:t xml:space="preserve"> Acosta renunció a su cargo en el aludido taller, y la segunda, porque se fue a trabajar a Ecuador.</w:t>
      </w:r>
      <w:r w:rsidRPr="00CB2431">
        <w:rPr>
          <w:rFonts w:ascii="Tahoma" w:hAnsi="Tahoma" w:cs="Tahoma"/>
          <w:sz w:val="24"/>
          <w:szCs w:val="24"/>
        </w:rPr>
        <w:t xml:space="preserve"> </w:t>
      </w:r>
    </w:p>
    <w:p w14:paraId="28BFE006" w14:textId="77777777" w:rsidR="009222FC" w:rsidRPr="00CB2431" w:rsidRDefault="009222FC" w:rsidP="00CB2431">
      <w:pPr>
        <w:spacing w:line="276" w:lineRule="auto"/>
        <w:ind w:firstLine="708"/>
        <w:rPr>
          <w:rFonts w:ascii="Tahoma" w:hAnsi="Tahoma" w:cs="Tahoma"/>
          <w:sz w:val="24"/>
          <w:szCs w:val="24"/>
        </w:rPr>
      </w:pPr>
    </w:p>
    <w:p w14:paraId="012F571F" w14:textId="1673E97A" w:rsidR="009222FC" w:rsidRPr="00CB2431" w:rsidRDefault="00A83E8E" w:rsidP="00CB2431">
      <w:pPr>
        <w:spacing w:line="276" w:lineRule="auto"/>
        <w:ind w:firstLine="708"/>
        <w:rPr>
          <w:rFonts w:ascii="Tahoma" w:hAnsi="Tahoma" w:cs="Tahoma"/>
          <w:sz w:val="24"/>
          <w:szCs w:val="24"/>
        </w:rPr>
      </w:pPr>
      <w:r w:rsidRPr="00CB2431">
        <w:rPr>
          <w:rFonts w:ascii="Tahoma" w:hAnsi="Tahoma" w:cs="Tahoma"/>
          <w:sz w:val="24"/>
          <w:szCs w:val="24"/>
        </w:rPr>
        <w:t>Por su parte,</w:t>
      </w:r>
      <w:r w:rsidR="009222FC" w:rsidRPr="00CB2431">
        <w:rPr>
          <w:rFonts w:ascii="Tahoma" w:hAnsi="Tahoma" w:cs="Tahoma"/>
          <w:sz w:val="24"/>
          <w:szCs w:val="24"/>
        </w:rPr>
        <w:t xml:space="preserve"> Alejandro López</w:t>
      </w:r>
      <w:r w:rsidRPr="00CB2431">
        <w:rPr>
          <w:rFonts w:ascii="Tahoma" w:hAnsi="Tahoma" w:cs="Tahoma"/>
          <w:sz w:val="24"/>
          <w:szCs w:val="24"/>
        </w:rPr>
        <w:t xml:space="preserve">, sobrino del señor </w:t>
      </w:r>
      <w:proofErr w:type="spellStart"/>
      <w:r w:rsidRPr="00CB2431">
        <w:rPr>
          <w:rFonts w:ascii="Tahoma" w:hAnsi="Tahoma" w:cs="Tahoma"/>
          <w:sz w:val="24"/>
          <w:szCs w:val="24"/>
        </w:rPr>
        <w:t>Veyergen</w:t>
      </w:r>
      <w:proofErr w:type="spellEnd"/>
      <w:r w:rsidRPr="00CB2431">
        <w:rPr>
          <w:rFonts w:ascii="Tahoma" w:hAnsi="Tahoma" w:cs="Tahoma"/>
          <w:sz w:val="24"/>
          <w:szCs w:val="24"/>
        </w:rPr>
        <w:t xml:space="preserve"> Salas, reiteró en varias ocasiones que nunca tuvo contacto con su tío, que todo lo que sabía de él era porque se lo contaba su madre</w:t>
      </w:r>
      <w:r w:rsidR="00011A6B" w:rsidRPr="00CB2431">
        <w:rPr>
          <w:rFonts w:ascii="Tahoma" w:hAnsi="Tahoma" w:cs="Tahoma"/>
          <w:sz w:val="24"/>
          <w:szCs w:val="24"/>
        </w:rPr>
        <w:t>; precisando que la única vez que estuvo en Pereira fue cuando vino a hacer las gestiones relativas al retiro del cadáver de la morgue</w:t>
      </w:r>
      <w:r w:rsidR="00ED0F19" w:rsidRPr="00CB2431">
        <w:rPr>
          <w:rFonts w:ascii="Tahoma" w:hAnsi="Tahoma" w:cs="Tahoma"/>
          <w:sz w:val="24"/>
          <w:szCs w:val="24"/>
        </w:rPr>
        <w:t>, no de la casa de la demandante como se alega en la apelación</w:t>
      </w:r>
      <w:r w:rsidR="00011A6B" w:rsidRPr="00CB2431">
        <w:rPr>
          <w:rFonts w:ascii="Tahoma" w:hAnsi="Tahoma" w:cs="Tahoma"/>
          <w:sz w:val="24"/>
          <w:szCs w:val="24"/>
        </w:rPr>
        <w:t>.</w:t>
      </w:r>
      <w:r w:rsidRPr="00CB2431">
        <w:rPr>
          <w:rFonts w:ascii="Tahoma" w:hAnsi="Tahoma" w:cs="Tahoma"/>
          <w:sz w:val="24"/>
          <w:szCs w:val="24"/>
        </w:rPr>
        <w:t xml:space="preserve"> </w:t>
      </w:r>
    </w:p>
    <w:p w14:paraId="75AE1F0E" w14:textId="77777777" w:rsidR="009222FC" w:rsidRPr="00CB2431" w:rsidRDefault="009222FC" w:rsidP="00CB2431">
      <w:pPr>
        <w:spacing w:line="276" w:lineRule="auto"/>
        <w:ind w:firstLine="708"/>
        <w:rPr>
          <w:rFonts w:ascii="Tahoma" w:hAnsi="Tahoma" w:cs="Tahoma"/>
          <w:sz w:val="24"/>
          <w:szCs w:val="24"/>
        </w:rPr>
      </w:pPr>
    </w:p>
    <w:p w14:paraId="0CE035C9" w14:textId="1B57DE3C" w:rsidR="0050274B" w:rsidRPr="00CB2431" w:rsidRDefault="0050274B" w:rsidP="00CB2431">
      <w:pPr>
        <w:spacing w:line="276" w:lineRule="auto"/>
        <w:ind w:firstLine="705"/>
        <w:rPr>
          <w:rFonts w:ascii="Tahoma" w:eastAsia="Times New Roman" w:hAnsi="Tahoma" w:cs="Tahoma"/>
          <w:sz w:val="24"/>
          <w:szCs w:val="24"/>
          <w:lang w:eastAsia="es-ES"/>
        </w:rPr>
      </w:pPr>
      <w:r w:rsidRPr="00CB2431">
        <w:rPr>
          <w:rFonts w:ascii="Tahoma" w:eastAsia="Times New Roman" w:hAnsi="Tahoma" w:cs="Tahoma"/>
          <w:sz w:val="24"/>
          <w:szCs w:val="24"/>
          <w:lang w:eastAsia="es-ES"/>
        </w:rPr>
        <w:t xml:space="preserve">Por lo </w:t>
      </w:r>
      <w:r w:rsidR="00DE0E0B" w:rsidRPr="00CB2431">
        <w:rPr>
          <w:rFonts w:ascii="Tahoma" w:eastAsia="Times New Roman" w:hAnsi="Tahoma" w:cs="Tahoma"/>
          <w:sz w:val="24"/>
          <w:szCs w:val="24"/>
          <w:lang w:eastAsia="es-ES"/>
        </w:rPr>
        <w:t xml:space="preserve">brevemente </w:t>
      </w:r>
      <w:r w:rsidRPr="00CB2431">
        <w:rPr>
          <w:rFonts w:ascii="Tahoma" w:eastAsia="Times New Roman" w:hAnsi="Tahoma" w:cs="Tahoma"/>
          <w:sz w:val="24"/>
          <w:szCs w:val="24"/>
          <w:lang w:eastAsia="es-ES"/>
        </w:rPr>
        <w:t>expuesto se confirmará la decisión apelada.</w:t>
      </w:r>
    </w:p>
    <w:p w14:paraId="4EB51915" w14:textId="77777777" w:rsidR="0050274B" w:rsidRPr="00CB2431" w:rsidRDefault="0050274B" w:rsidP="00CB2431">
      <w:pPr>
        <w:spacing w:line="276" w:lineRule="auto"/>
        <w:ind w:firstLine="705"/>
        <w:rPr>
          <w:rFonts w:ascii="Tahoma" w:eastAsia="Times New Roman" w:hAnsi="Tahoma" w:cs="Tahoma"/>
          <w:sz w:val="24"/>
          <w:szCs w:val="24"/>
          <w:lang w:eastAsia="es-ES"/>
        </w:rPr>
      </w:pPr>
    </w:p>
    <w:p w14:paraId="5A0A0F0A" w14:textId="5A15FF29" w:rsidR="00F64F82" w:rsidRPr="00CB2431" w:rsidRDefault="00DE0E0B" w:rsidP="00CB2431">
      <w:pPr>
        <w:spacing w:line="276" w:lineRule="auto"/>
        <w:ind w:firstLine="705"/>
        <w:rPr>
          <w:rFonts w:ascii="Tahoma" w:eastAsia="Times New Roman" w:hAnsi="Tahoma" w:cs="Tahoma"/>
          <w:sz w:val="24"/>
          <w:szCs w:val="24"/>
          <w:lang w:eastAsia="es-ES"/>
        </w:rPr>
      </w:pPr>
      <w:r w:rsidRPr="00CB2431">
        <w:rPr>
          <w:rFonts w:ascii="Tahoma" w:eastAsia="Times New Roman" w:hAnsi="Tahoma" w:cs="Tahoma"/>
          <w:sz w:val="24"/>
          <w:szCs w:val="24"/>
          <w:lang w:eastAsia="es-ES"/>
        </w:rPr>
        <w:t>La condena en costas en esta instancia correrá a cargo de la parte apelante y a favor de Protección S.A., las cuales se liquidarán por la secretaría del juzgado de origen.</w:t>
      </w:r>
    </w:p>
    <w:p w14:paraId="18EAB6B7" w14:textId="77777777" w:rsidR="00DE0E0B" w:rsidRPr="00CB2431" w:rsidRDefault="00DE0E0B" w:rsidP="00CB2431">
      <w:pPr>
        <w:spacing w:line="276" w:lineRule="auto"/>
        <w:ind w:firstLine="705"/>
        <w:rPr>
          <w:rFonts w:ascii="Tahoma" w:eastAsia="Tahoma" w:hAnsi="Tahoma" w:cs="Tahoma"/>
          <w:sz w:val="24"/>
          <w:szCs w:val="24"/>
        </w:rPr>
      </w:pPr>
    </w:p>
    <w:p w14:paraId="5F7939C5" w14:textId="2269B4D5" w:rsidR="00484FFB" w:rsidRPr="00CB2431" w:rsidRDefault="00484FFB" w:rsidP="00CB2431">
      <w:pPr>
        <w:pStyle w:val="Prrafodelista2"/>
        <w:spacing w:after="0"/>
        <w:ind w:left="0" w:firstLine="708"/>
        <w:jc w:val="both"/>
        <w:rPr>
          <w:rFonts w:ascii="Tahoma" w:hAnsi="Tahoma" w:cs="Tahoma"/>
          <w:color w:val="000000" w:themeColor="text1"/>
          <w:sz w:val="24"/>
          <w:szCs w:val="24"/>
          <w:lang w:val="es-ES_tradnl"/>
        </w:rPr>
      </w:pPr>
      <w:r w:rsidRPr="00CB2431">
        <w:rPr>
          <w:rFonts w:ascii="Tahoma" w:hAnsi="Tahoma" w:cs="Tahoma"/>
          <w:color w:val="000000" w:themeColor="text1"/>
          <w:sz w:val="24"/>
          <w:szCs w:val="24"/>
          <w:lang w:val="es-ES_tradnl"/>
        </w:rPr>
        <w:t xml:space="preserve">En mérito de lo expuesto, el </w:t>
      </w:r>
      <w:r w:rsidRPr="00CB2431">
        <w:rPr>
          <w:rFonts w:ascii="Tahoma" w:hAnsi="Tahoma" w:cs="Tahoma"/>
          <w:b/>
          <w:color w:val="000000" w:themeColor="text1"/>
          <w:sz w:val="24"/>
          <w:szCs w:val="24"/>
          <w:lang w:val="es-ES_tradnl"/>
        </w:rPr>
        <w:t xml:space="preserve">Tribunal Superior del Distrito Judicial de Pereira - Risaralda, Sala </w:t>
      </w:r>
      <w:r w:rsidR="008043E4" w:rsidRPr="00CB2431">
        <w:rPr>
          <w:rFonts w:ascii="Tahoma" w:hAnsi="Tahoma" w:cs="Tahoma"/>
          <w:b/>
          <w:color w:val="000000" w:themeColor="text1"/>
          <w:sz w:val="24"/>
          <w:szCs w:val="24"/>
          <w:lang w:val="es-ES_tradnl"/>
        </w:rPr>
        <w:t xml:space="preserve">Primera </w:t>
      </w:r>
      <w:r w:rsidRPr="00CB2431">
        <w:rPr>
          <w:rFonts w:ascii="Tahoma" w:hAnsi="Tahoma" w:cs="Tahoma"/>
          <w:b/>
          <w:color w:val="000000" w:themeColor="text1"/>
          <w:sz w:val="24"/>
          <w:szCs w:val="24"/>
          <w:lang w:val="es-ES_tradnl"/>
        </w:rPr>
        <w:t>de Decisión Laboral,</w:t>
      </w:r>
      <w:r w:rsidRPr="00CB2431">
        <w:rPr>
          <w:rFonts w:ascii="Tahoma" w:hAnsi="Tahoma" w:cs="Tahoma"/>
          <w:color w:val="000000" w:themeColor="text1"/>
          <w:sz w:val="24"/>
          <w:szCs w:val="24"/>
          <w:lang w:val="es-ES_tradnl"/>
        </w:rPr>
        <w:t xml:space="preserve"> administrando justicia en nombre de la República y por autoridad de la ley,</w:t>
      </w:r>
    </w:p>
    <w:p w14:paraId="48AA29FC" w14:textId="77777777" w:rsidR="00484FFB" w:rsidRPr="00CB2431" w:rsidRDefault="00484FFB" w:rsidP="00CB2431">
      <w:pPr>
        <w:pStyle w:val="Prrafodelista2"/>
        <w:spacing w:after="0"/>
        <w:ind w:left="0"/>
        <w:jc w:val="both"/>
        <w:rPr>
          <w:rFonts w:ascii="Tahoma" w:hAnsi="Tahoma" w:cs="Tahoma"/>
          <w:color w:val="000000" w:themeColor="text1"/>
          <w:sz w:val="24"/>
          <w:szCs w:val="24"/>
          <w:lang w:val="es-ES_tradnl"/>
        </w:rPr>
      </w:pPr>
    </w:p>
    <w:p w14:paraId="43198635" w14:textId="70D41EA4" w:rsidR="00484FFB" w:rsidRPr="00CB2431" w:rsidRDefault="00484FFB" w:rsidP="00CB2431">
      <w:pPr>
        <w:spacing w:line="276" w:lineRule="auto"/>
        <w:jc w:val="center"/>
        <w:rPr>
          <w:rFonts w:ascii="Tahoma" w:hAnsi="Tahoma" w:cs="Tahoma"/>
          <w:b/>
          <w:color w:val="000000" w:themeColor="text1"/>
          <w:sz w:val="24"/>
          <w:szCs w:val="24"/>
        </w:rPr>
      </w:pPr>
      <w:r w:rsidRPr="00CB2431">
        <w:rPr>
          <w:rFonts w:ascii="Tahoma" w:hAnsi="Tahoma" w:cs="Tahoma"/>
          <w:b/>
          <w:color w:val="000000" w:themeColor="text1"/>
          <w:sz w:val="24"/>
          <w:szCs w:val="24"/>
        </w:rPr>
        <w:t>RESUELVE</w:t>
      </w:r>
    </w:p>
    <w:p w14:paraId="14A872D1" w14:textId="77777777" w:rsidR="008479F3" w:rsidRPr="00CB2431" w:rsidRDefault="008479F3" w:rsidP="00CB2431">
      <w:pPr>
        <w:spacing w:line="276" w:lineRule="auto"/>
        <w:jc w:val="center"/>
        <w:rPr>
          <w:rFonts w:ascii="Tahoma" w:hAnsi="Tahoma" w:cs="Tahoma"/>
          <w:b/>
          <w:color w:val="000000" w:themeColor="text1"/>
          <w:sz w:val="24"/>
          <w:szCs w:val="24"/>
        </w:rPr>
      </w:pPr>
    </w:p>
    <w:p w14:paraId="10EB49C8" w14:textId="4516B30F" w:rsidR="00390792" w:rsidRPr="00CB2431" w:rsidRDefault="00484FFB" w:rsidP="00CB2431">
      <w:pPr>
        <w:spacing w:line="276" w:lineRule="auto"/>
        <w:rPr>
          <w:rFonts w:ascii="Tahoma" w:hAnsi="Tahoma" w:cs="Tahoma"/>
          <w:sz w:val="24"/>
          <w:szCs w:val="24"/>
        </w:rPr>
      </w:pPr>
      <w:r w:rsidRPr="00CB2431">
        <w:rPr>
          <w:rFonts w:ascii="Tahoma" w:eastAsia="Times New Roman" w:hAnsi="Tahoma" w:cs="Tahoma"/>
          <w:b/>
          <w:bCs/>
          <w:sz w:val="24"/>
          <w:szCs w:val="24"/>
          <w:lang w:eastAsia="es-ES"/>
        </w:rPr>
        <w:t>PRIMERO:</w:t>
      </w:r>
      <w:r w:rsidRPr="00CB2431">
        <w:rPr>
          <w:rFonts w:ascii="Tahoma" w:eastAsia="Times New Roman" w:hAnsi="Tahoma" w:cs="Tahoma"/>
          <w:b/>
          <w:bCs/>
          <w:i/>
          <w:iCs/>
          <w:sz w:val="24"/>
          <w:szCs w:val="24"/>
          <w:lang w:eastAsia="es-ES"/>
        </w:rPr>
        <w:t> </w:t>
      </w:r>
      <w:r w:rsidR="008043E4" w:rsidRPr="00CB2431">
        <w:rPr>
          <w:rFonts w:ascii="Tahoma" w:eastAsia="Times New Roman" w:hAnsi="Tahoma" w:cs="Tahoma"/>
          <w:b/>
          <w:bCs/>
          <w:sz w:val="24"/>
          <w:szCs w:val="24"/>
          <w:lang w:eastAsia="es-ES"/>
        </w:rPr>
        <w:t>CONFIRMA</w:t>
      </w:r>
      <w:r w:rsidR="00F00FCD" w:rsidRPr="00CB2431">
        <w:rPr>
          <w:rFonts w:ascii="Tahoma" w:eastAsia="Times New Roman" w:hAnsi="Tahoma" w:cs="Tahoma"/>
          <w:b/>
          <w:bCs/>
          <w:sz w:val="24"/>
          <w:szCs w:val="24"/>
          <w:lang w:eastAsia="es-ES"/>
        </w:rPr>
        <w:t>R</w:t>
      </w:r>
      <w:r w:rsidRPr="00CB2431">
        <w:rPr>
          <w:rFonts w:ascii="Tahoma" w:eastAsia="Times New Roman" w:hAnsi="Tahoma" w:cs="Tahoma"/>
          <w:b/>
          <w:bCs/>
          <w:i/>
          <w:iCs/>
          <w:sz w:val="24"/>
          <w:szCs w:val="24"/>
          <w:lang w:eastAsia="es-ES"/>
        </w:rPr>
        <w:t xml:space="preserve"> </w:t>
      </w:r>
      <w:r w:rsidRPr="00CB2431">
        <w:rPr>
          <w:rFonts w:ascii="Tahoma" w:hAnsi="Tahoma" w:cs="Tahoma"/>
          <w:sz w:val="24"/>
          <w:szCs w:val="24"/>
        </w:rPr>
        <w:t xml:space="preserve">la sentencia </w:t>
      </w:r>
      <w:r w:rsidR="00390792" w:rsidRPr="00CB2431">
        <w:rPr>
          <w:rFonts w:ascii="Tahoma" w:hAnsi="Tahoma" w:cs="Tahoma"/>
          <w:sz w:val="24"/>
          <w:szCs w:val="24"/>
        </w:rPr>
        <w:t xml:space="preserve">proferida por el Juzgado </w:t>
      </w:r>
      <w:r w:rsidR="00A976B2" w:rsidRPr="00CB2431">
        <w:rPr>
          <w:rFonts w:ascii="Tahoma" w:hAnsi="Tahoma" w:cs="Tahoma"/>
          <w:sz w:val="24"/>
          <w:szCs w:val="24"/>
        </w:rPr>
        <w:t xml:space="preserve">Tercero </w:t>
      </w:r>
      <w:r w:rsidR="00390792" w:rsidRPr="00CB2431">
        <w:rPr>
          <w:rFonts w:ascii="Tahoma" w:hAnsi="Tahoma" w:cs="Tahoma"/>
          <w:sz w:val="24"/>
          <w:szCs w:val="24"/>
        </w:rPr>
        <w:t xml:space="preserve">Laboral del Circuito de Pereira el </w:t>
      </w:r>
      <w:r w:rsidR="00DE0E0B" w:rsidRPr="00CB2431">
        <w:rPr>
          <w:rFonts w:ascii="Tahoma" w:hAnsi="Tahoma" w:cs="Tahoma"/>
          <w:sz w:val="24"/>
          <w:szCs w:val="24"/>
        </w:rPr>
        <w:t>15 de marzo d</w:t>
      </w:r>
      <w:r w:rsidR="008043E4" w:rsidRPr="00CB2431">
        <w:rPr>
          <w:rFonts w:ascii="Tahoma" w:hAnsi="Tahoma" w:cs="Tahoma"/>
          <w:sz w:val="24"/>
          <w:szCs w:val="24"/>
        </w:rPr>
        <w:t>e 2021,</w:t>
      </w:r>
      <w:r w:rsidR="00C35899" w:rsidRPr="00CB2431">
        <w:rPr>
          <w:rFonts w:ascii="Tahoma" w:hAnsi="Tahoma" w:cs="Tahoma"/>
          <w:b/>
          <w:bCs/>
          <w:sz w:val="24"/>
          <w:szCs w:val="24"/>
        </w:rPr>
        <w:t xml:space="preserve"> </w:t>
      </w:r>
      <w:r w:rsidR="00C35899" w:rsidRPr="00CB2431">
        <w:rPr>
          <w:rFonts w:ascii="Tahoma" w:hAnsi="Tahoma" w:cs="Tahoma"/>
          <w:sz w:val="24"/>
          <w:szCs w:val="24"/>
        </w:rPr>
        <w:t>por las razones expuestas en la parte motiva de esta providencia.</w:t>
      </w:r>
      <w:r w:rsidR="76696FE1" w:rsidRPr="00CB2431">
        <w:rPr>
          <w:rFonts w:ascii="Tahoma" w:hAnsi="Tahoma" w:cs="Tahoma"/>
          <w:sz w:val="24"/>
          <w:szCs w:val="24"/>
        </w:rPr>
        <w:t xml:space="preserve"> </w:t>
      </w:r>
    </w:p>
    <w:p w14:paraId="575719E0" w14:textId="77777777" w:rsidR="00484FFB" w:rsidRPr="00CB2431" w:rsidRDefault="00484FFB" w:rsidP="00CB2431">
      <w:pPr>
        <w:spacing w:line="276" w:lineRule="auto"/>
        <w:ind w:firstLine="705"/>
        <w:textAlignment w:val="baseline"/>
        <w:rPr>
          <w:rFonts w:ascii="Tahoma" w:hAnsi="Tahoma" w:cs="Tahoma"/>
          <w:sz w:val="24"/>
          <w:szCs w:val="24"/>
        </w:rPr>
      </w:pPr>
    </w:p>
    <w:p w14:paraId="65468CAD" w14:textId="32CCBF5D" w:rsidR="00DE0E0B" w:rsidRPr="00CB2431" w:rsidRDefault="00484FFB" w:rsidP="00CB2431">
      <w:pPr>
        <w:spacing w:line="276" w:lineRule="auto"/>
        <w:ind w:firstLine="705"/>
        <w:rPr>
          <w:rFonts w:ascii="Tahoma" w:eastAsia="Times New Roman" w:hAnsi="Tahoma" w:cs="Tahoma"/>
          <w:sz w:val="24"/>
          <w:szCs w:val="24"/>
          <w:lang w:eastAsia="es-ES"/>
        </w:rPr>
      </w:pPr>
      <w:r w:rsidRPr="00CB2431">
        <w:rPr>
          <w:rFonts w:ascii="Tahoma" w:hAnsi="Tahoma" w:cs="Tahoma"/>
          <w:b/>
          <w:bCs/>
          <w:sz w:val="24"/>
          <w:szCs w:val="24"/>
        </w:rPr>
        <w:t xml:space="preserve">SEGUNDO: </w:t>
      </w:r>
      <w:r w:rsidR="00DE0E0B" w:rsidRPr="00CB2431">
        <w:rPr>
          <w:rFonts w:ascii="Tahoma" w:eastAsia="Times New Roman" w:hAnsi="Tahoma" w:cs="Tahoma"/>
          <w:sz w:val="24"/>
          <w:szCs w:val="24"/>
          <w:lang w:eastAsia="es-ES"/>
        </w:rPr>
        <w:t>Costas en esta instancia a cargo de la parte apelante y a favor de Protección S.A., las cuales se liquidarán por la secretaría del juzgado de origen.</w:t>
      </w:r>
    </w:p>
    <w:p w14:paraId="544682FD" w14:textId="5BC30FEB" w:rsidR="00484FFB" w:rsidRPr="00CB2431" w:rsidRDefault="00484FFB" w:rsidP="00CB2431">
      <w:pPr>
        <w:spacing w:line="276" w:lineRule="auto"/>
        <w:ind w:firstLine="705"/>
        <w:textAlignment w:val="baseline"/>
        <w:rPr>
          <w:rFonts w:ascii="Tahoma" w:hAnsi="Tahoma" w:cs="Tahoma"/>
          <w:sz w:val="24"/>
          <w:szCs w:val="24"/>
        </w:rPr>
      </w:pPr>
    </w:p>
    <w:p w14:paraId="1E0B9FA6" w14:textId="34F3E47F" w:rsidR="00484FFB" w:rsidRPr="00CB2431" w:rsidRDefault="00484FFB" w:rsidP="00CB2431">
      <w:pPr>
        <w:spacing w:line="276" w:lineRule="auto"/>
        <w:ind w:firstLine="705"/>
        <w:textAlignment w:val="baseline"/>
        <w:rPr>
          <w:rFonts w:ascii="Tahoma" w:eastAsia="Times New Roman" w:hAnsi="Tahoma" w:cs="Tahoma"/>
          <w:sz w:val="24"/>
          <w:szCs w:val="24"/>
          <w:lang w:val="es-CO" w:eastAsia="es-ES_tradnl"/>
        </w:rPr>
      </w:pPr>
      <w:r w:rsidRPr="00CB2431">
        <w:rPr>
          <w:rFonts w:ascii="Tahoma" w:eastAsia="Times New Roman" w:hAnsi="Tahoma" w:cs="Tahoma"/>
          <w:sz w:val="24"/>
          <w:szCs w:val="24"/>
          <w:lang w:val="es-CO" w:eastAsia="es-ES_tradnl"/>
        </w:rPr>
        <w:t> </w:t>
      </w:r>
    </w:p>
    <w:p w14:paraId="3EF86551" w14:textId="77777777" w:rsidR="00484FFB" w:rsidRPr="00CB2431" w:rsidRDefault="00484FFB" w:rsidP="00CB2431">
      <w:pPr>
        <w:widowControl w:val="0"/>
        <w:autoSpaceDE w:val="0"/>
        <w:autoSpaceDN w:val="0"/>
        <w:adjustRightInd w:val="0"/>
        <w:spacing w:line="276" w:lineRule="auto"/>
        <w:ind w:firstLine="0"/>
        <w:jc w:val="center"/>
        <w:rPr>
          <w:rFonts w:ascii="Tahoma" w:hAnsi="Tahoma" w:cs="Tahoma"/>
          <w:b/>
          <w:sz w:val="24"/>
          <w:szCs w:val="24"/>
        </w:rPr>
      </w:pPr>
      <w:r w:rsidRPr="00CB2431">
        <w:rPr>
          <w:rFonts w:ascii="Tahoma" w:hAnsi="Tahoma" w:cs="Tahoma"/>
          <w:b/>
          <w:sz w:val="24"/>
          <w:szCs w:val="24"/>
        </w:rPr>
        <w:t>NOTIFÍQUESE Y CÚMPLASE</w:t>
      </w:r>
    </w:p>
    <w:p w14:paraId="5A53AF3D" w14:textId="77777777" w:rsidR="00484FFB" w:rsidRPr="00CB2431" w:rsidRDefault="00484FFB" w:rsidP="00CB2431">
      <w:pPr>
        <w:spacing w:line="276" w:lineRule="auto"/>
        <w:ind w:firstLine="0"/>
        <w:textAlignment w:val="baseline"/>
        <w:rPr>
          <w:rFonts w:ascii="Tahoma" w:eastAsia="Times New Roman" w:hAnsi="Tahoma" w:cs="Tahoma"/>
          <w:sz w:val="24"/>
          <w:szCs w:val="24"/>
          <w:lang w:val="es-CO" w:eastAsia="es-ES_tradnl"/>
        </w:rPr>
      </w:pPr>
      <w:r w:rsidRPr="00CB2431">
        <w:rPr>
          <w:rFonts w:ascii="Tahoma" w:eastAsia="Times New Roman" w:hAnsi="Tahoma" w:cs="Tahoma"/>
          <w:sz w:val="24"/>
          <w:szCs w:val="24"/>
          <w:lang w:val="es-CO" w:eastAsia="es-ES_tradnl"/>
        </w:rPr>
        <w:t> </w:t>
      </w:r>
    </w:p>
    <w:p w14:paraId="3732FCB0" w14:textId="77777777" w:rsidR="00CB2431" w:rsidRPr="00755FC5" w:rsidRDefault="00CB2431" w:rsidP="00CB2431">
      <w:pPr>
        <w:widowControl w:val="0"/>
        <w:autoSpaceDE w:val="0"/>
        <w:autoSpaceDN w:val="0"/>
        <w:adjustRightInd w:val="0"/>
        <w:spacing w:line="276" w:lineRule="auto"/>
        <w:ind w:firstLine="0"/>
        <w:rPr>
          <w:rFonts w:ascii="Tahoma" w:eastAsia="Times New Roman" w:hAnsi="Tahoma" w:cs="Tahoma"/>
          <w:sz w:val="24"/>
          <w:szCs w:val="24"/>
          <w:lang w:eastAsia="es-ES"/>
        </w:rPr>
      </w:pPr>
      <w:bookmarkStart w:id="4" w:name="_Hlk87360677"/>
      <w:r w:rsidRPr="00755FC5">
        <w:rPr>
          <w:rFonts w:ascii="Tahoma" w:eastAsia="Times New Roman" w:hAnsi="Tahoma" w:cs="Tahoma"/>
          <w:sz w:val="24"/>
          <w:szCs w:val="24"/>
          <w:lang w:eastAsia="es-ES"/>
        </w:rPr>
        <w:tab/>
        <w:t>La Magistrada ponente,</w:t>
      </w:r>
    </w:p>
    <w:p w14:paraId="3A14AAE1" w14:textId="77777777" w:rsidR="00CB2431" w:rsidRPr="00755FC5" w:rsidRDefault="00CB2431" w:rsidP="00CB2431">
      <w:pPr>
        <w:spacing w:line="276" w:lineRule="auto"/>
        <w:ind w:firstLine="0"/>
        <w:jc w:val="left"/>
        <w:rPr>
          <w:rFonts w:ascii="Tahoma" w:eastAsia="Times New Roman" w:hAnsi="Tahoma" w:cs="Tahoma"/>
          <w:sz w:val="24"/>
          <w:szCs w:val="24"/>
          <w:lang w:eastAsia="es-ES"/>
        </w:rPr>
      </w:pPr>
    </w:p>
    <w:p w14:paraId="45EC4EDB" w14:textId="77777777" w:rsidR="00CB2431" w:rsidRPr="00755FC5" w:rsidRDefault="00CB2431" w:rsidP="00CB2431">
      <w:pPr>
        <w:spacing w:line="276" w:lineRule="auto"/>
        <w:ind w:firstLine="0"/>
        <w:jc w:val="left"/>
        <w:rPr>
          <w:rFonts w:ascii="Tahoma" w:eastAsia="Times New Roman" w:hAnsi="Tahoma" w:cs="Tahoma"/>
          <w:sz w:val="24"/>
          <w:szCs w:val="24"/>
          <w:lang w:eastAsia="es-ES"/>
        </w:rPr>
      </w:pPr>
    </w:p>
    <w:p w14:paraId="159A0E97" w14:textId="77777777" w:rsidR="00CB2431" w:rsidRPr="00755FC5" w:rsidRDefault="00CB2431" w:rsidP="00CB2431">
      <w:pPr>
        <w:spacing w:line="276" w:lineRule="auto"/>
        <w:ind w:firstLine="0"/>
        <w:jc w:val="left"/>
        <w:rPr>
          <w:rFonts w:ascii="Tahoma" w:eastAsia="Times New Roman" w:hAnsi="Tahoma" w:cs="Tahoma"/>
          <w:sz w:val="24"/>
          <w:szCs w:val="24"/>
          <w:lang w:eastAsia="es-ES"/>
        </w:rPr>
      </w:pPr>
    </w:p>
    <w:p w14:paraId="522E60F7" w14:textId="77777777" w:rsidR="00CB2431" w:rsidRPr="00755FC5" w:rsidRDefault="00CB2431" w:rsidP="00CB2431">
      <w:pPr>
        <w:keepNext/>
        <w:spacing w:line="276" w:lineRule="auto"/>
        <w:ind w:firstLine="0"/>
        <w:jc w:val="center"/>
        <w:outlineLvl w:val="2"/>
        <w:rPr>
          <w:rFonts w:ascii="Tahoma" w:eastAsia="Times New Roman" w:hAnsi="Tahoma" w:cs="Tahoma"/>
          <w:b/>
          <w:bCs/>
          <w:sz w:val="24"/>
          <w:szCs w:val="24"/>
          <w:lang w:eastAsia="es-ES"/>
        </w:rPr>
      </w:pPr>
      <w:r w:rsidRPr="00755FC5">
        <w:rPr>
          <w:rFonts w:ascii="Tahoma" w:eastAsia="Times New Roman" w:hAnsi="Tahoma" w:cs="Tahoma"/>
          <w:b/>
          <w:bCs/>
          <w:sz w:val="24"/>
          <w:szCs w:val="24"/>
          <w:lang w:eastAsia="es-ES"/>
        </w:rPr>
        <w:t>ANA LUCÍA CAICEDO CALDERÓN</w:t>
      </w:r>
    </w:p>
    <w:p w14:paraId="584AC0B7" w14:textId="77777777" w:rsidR="00CB2431" w:rsidRPr="00755FC5" w:rsidRDefault="00CB2431" w:rsidP="00CB2431">
      <w:pPr>
        <w:spacing w:line="276" w:lineRule="auto"/>
        <w:ind w:firstLine="0"/>
        <w:jc w:val="left"/>
        <w:rPr>
          <w:rFonts w:ascii="Tahoma" w:eastAsia="Times New Roman" w:hAnsi="Tahoma" w:cs="Tahoma"/>
          <w:sz w:val="24"/>
          <w:szCs w:val="24"/>
          <w:lang w:eastAsia="es-ES"/>
        </w:rPr>
      </w:pPr>
    </w:p>
    <w:p w14:paraId="46D01647" w14:textId="77777777" w:rsidR="00CB2431" w:rsidRPr="00755FC5" w:rsidRDefault="00CB2431" w:rsidP="00CB2431">
      <w:pPr>
        <w:spacing w:line="276" w:lineRule="auto"/>
        <w:ind w:firstLine="708"/>
        <w:jc w:val="left"/>
        <w:rPr>
          <w:rFonts w:ascii="Tahoma" w:eastAsia="Times New Roman" w:hAnsi="Tahoma" w:cs="Tahoma"/>
          <w:sz w:val="24"/>
          <w:szCs w:val="24"/>
          <w:lang w:eastAsia="es-ES"/>
        </w:rPr>
      </w:pPr>
      <w:bookmarkStart w:id="5" w:name="_Hlk62478330"/>
      <w:r w:rsidRPr="00755FC5">
        <w:rPr>
          <w:rFonts w:ascii="Tahoma" w:eastAsia="Times New Roman" w:hAnsi="Tahoma" w:cs="Tahoma"/>
          <w:sz w:val="24"/>
          <w:szCs w:val="24"/>
          <w:lang w:eastAsia="es-ES"/>
        </w:rPr>
        <w:t>La Magistrada y el Magistrado,</w:t>
      </w:r>
    </w:p>
    <w:p w14:paraId="37F38DEA" w14:textId="77777777" w:rsidR="00CB2431" w:rsidRPr="00755FC5" w:rsidRDefault="00CB2431" w:rsidP="00CB2431">
      <w:pPr>
        <w:spacing w:line="276" w:lineRule="auto"/>
        <w:ind w:firstLine="0"/>
        <w:jc w:val="left"/>
        <w:rPr>
          <w:rFonts w:ascii="Tahoma" w:eastAsia="Times New Roman" w:hAnsi="Tahoma" w:cs="Tahoma"/>
          <w:sz w:val="24"/>
          <w:szCs w:val="24"/>
          <w:lang w:eastAsia="es-ES"/>
        </w:rPr>
      </w:pPr>
    </w:p>
    <w:p w14:paraId="159827F9" w14:textId="77777777" w:rsidR="00CB2431" w:rsidRPr="00755FC5" w:rsidRDefault="00CB2431" w:rsidP="00CB2431">
      <w:pPr>
        <w:spacing w:line="276" w:lineRule="auto"/>
        <w:ind w:firstLine="0"/>
        <w:jc w:val="left"/>
        <w:rPr>
          <w:rFonts w:ascii="Tahoma" w:eastAsia="Times New Roman" w:hAnsi="Tahoma" w:cs="Tahoma"/>
          <w:sz w:val="24"/>
          <w:szCs w:val="24"/>
          <w:lang w:eastAsia="es-ES"/>
        </w:rPr>
      </w:pPr>
    </w:p>
    <w:p w14:paraId="09422665" w14:textId="77777777" w:rsidR="00CB2431" w:rsidRPr="00755FC5" w:rsidRDefault="00CB2431" w:rsidP="00CB2431">
      <w:pPr>
        <w:spacing w:line="276" w:lineRule="auto"/>
        <w:ind w:firstLine="0"/>
        <w:jc w:val="left"/>
        <w:rPr>
          <w:rFonts w:ascii="Tahoma" w:eastAsia="Times New Roman" w:hAnsi="Tahoma" w:cs="Tahoma"/>
          <w:sz w:val="24"/>
          <w:szCs w:val="24"/>
          <w:lang w:eastAsia="es-ES"/>
        </w:rPr>
      </w:pPr>
    </w:p>
    <w:p w14:paraId="2DF9830F" w14:textId="0B67B1FE" w:rsidR="00CE5BB7" w:rsidRPr="00CB2431" w:rsidRDefault="00CB2431" w:rsidP="00CB2431">
      <w:pPr>
        <w:spacing w:line="276" w:lineRule="auto"/>
        <w:ind w:firstLine="0"/>
        <w:rPr>
          <w:rFonts w:ascii="Tahoma" w:eastAsia="Times New Roman" w:hAnsi="Tahoma" w:cs="Tahoma"/>
          <w:b/>
          <w:bCs/>
          <w:sz w:val="24"/>
          <w:szCs w:val="24"/>
          <w:lang w:eastAsia="es-ES"/>
        </w:rPr>
      </w:pPr>
      <w:r w:rsidRPr="00755FC5">
        <w:rPr>
          <w:rFonts w:ascii="Tahoma" w:eastAsia="Times New Roman" w:hAnsi="Tahoma" w:cs="Tahoma"/>
          <w:b/>
          <w:bCs/>
          <w:sz w:val="24"/>
          <w:szCs w:val="24"/>
          <w:lang w:eastAsia="es-ES"/>
        </w:rPr>
        <w:t>OLGA LUCÍA HOYOS SEPÚLVEDA</w:t>
      </w:r>
      <w:r w:rsidRPr="00755FC5">
        <w:rPr>
          <w:rFonts w:ascii="Tahoma" w:eastAsia="Times New Roman" w:hAnsi="Tahoma" w:cs="Tahoma"/>
          <w:b/>
          <w:bCs/>
          <w:sz w:val="24"/>
          <w:szCs w:val="24"/>
          <w:lang w:eastAsia="es-ES"/>
        </w:rPr>
        <w:tab/>
      </w:r>
      <w:r w:rsidRPr="00755FC5">
        <w:rPr>
          <w:rFonts w:ascii="Tahoma" w:eastAsia="Times New Roman" w:hAnsi="Tahoma" w:cs="Tahoma"/>
          <w:b/>
          <w:bCs/>
          <w:sz w:val="24"/>
          <w:szCs w:val="24"/>
          <w:lang w:eastAsia="es-ES"/>
        </w:rPr>
        <w:tab/>
        <w:t>GERMÁN DARÍO GÓEZ VINASCO</w:t>
      </w:r>
      <w:bookmarkEnd w:id="4"/>
      <w:bookmarkEnd w:id="5"/>
    </w:p>
    <w:sectPr w:rsidR="00CE5BB7" w:rsidRPr="00CB2431" w:rsidSect="00CB2431">
      <w:headerReference w:type="default" r:id="rId11"/>
      <w:footerReference w:type="default" r:id="rId12"/>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FFB1FF1" w16cex:dateUtc="2021-10-04T12:37:02.566Z"/>
  <w16cex:commentExtensible w16cex:durableId="470A0C39" w16cex:dateUtc="2021-10-07T18:11:06.558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06EEB5" w14:textId="77777777" w:rsidR="00326747" w:rsidRDefault="00326747" w:rsidP="001C5C55">
      <w:pPr>
        <w:spacing w:line="240" w:lineRule="auto"/>
      </w:pPr>
      <w:r>
        <w:separator/>
      </w:r>
    </w:p>
  </w:endnote>
  <w:endnote w:type="continuationSeparator" w:id="0">
    <w:p w14:paraId="45D6D42B" w14:textId="77777777" w:rsidR="00326747" w:rsidRDefault="00326747" w:rsidP="001C5C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3337871"/>
      <w:docPartObj>
        <w:docPartGallery w:val="Page Numbers (Bottom of Page)"/>
        <w:docPartUnique/>
      </w:docPartObj>
    </w:sdtPr>
    <w:sdtEndPr>
      <w:rPr>
        <w:rFonts w:ascii="Arial" w:eastAsia="Times New Roman" w:hAnsi="Arial" w:cs="Arial"/>
        <w:sz w:val="14"/>
        <w:szCs w:val="18"/>
        <w:lang w:eastAsia="es-ES"/>
      </w:rPr>
    </w:sdtEndPr>
    <w:sdtContent>
      <w:p w14:paraId="1E705D51" w14:textId="77777777" w:rsidR="00BF4D5B" w:rsidRPr="006E1E1B" w:rsidRDefault="006C1CA4">
        <w:pPr>
          <w:pStyle w:val="Piedepgina"/>
          <w:jc w:val="right"/>
          <w:rPr>
            <w:rFonts w:ascii="Arial" w:hAnsi="Arial" w:cs="Arial"/>
            <w:sz w:val="18"/>
          </w:rPr>
        </w:pPr>
        <w:r w:rsidRPr="006E1E1B">
          <w:rPr>
            <w:rFonts w:ascii="Arial" w:hAnsi="Arial" w:cs="Arial"/>
            <w:sz w:val="18"/>
          </w:rPr>
          <w:fldChar w:fldCharType="begin"/>
        </w:r>
        <w:r w:rsidRPr="006E1E1B">
          <w:rPr>
            <w:rFonts w:ascii="Arial" w:hAnsi="Arial" w:cs="Arial"/>
            <w:sz w:val="18"/>
          </w:rPr>
          <w:instrText>PAGE   \* MERGEFORMAT</w:instrText>
        </w:r>
        <w:r w:rsidRPr="006E1E1B">
          <w:rPr>
            <w:rFonts w:ascii="Arial" w:hAnsi="Arial" w:cs="Arial"/>
            <w:sz w:val="18"/>
          </w:rPr>
          <w:fldChar w:fldCharType="separate"/>
        </w:r>
        <w:r w:rsidRPr="006E1E1B">
          <w:rPr>
            <w:rFonts w:ascii="Arial" w:hAnsi="Arial" w:cs="Arial"/>
            <w:noProof/>
            <w:sz w:val="18"/>
          </w:rPr>
          <w:t>3</w:t>
        </w:r>
        <w:r w:rsidRPr="006E1E1B">
          <w:rPr>
            <w:rFonts w:ascii="Arial" w:hAnsi="Arial" w:cs="Arial"/>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122665" w14:textId="77777777" w:rsidR="00326747" w:rsidRDefault="00326747" w:rsidP="001C5C55">
      <w:pPr>
        <w:spacing w:line="240" w:lineRule="auto"/>
      </w:pPr>
      <w:r>
        <w:separator/>
      </w:r>
    </w:p>
  </w:footnote>
  <w:footnote w:type="continuationSeparator" w:id="0">
    <w:p w14:paraId="2976ED3F" w14:textId="77777777" w:rsidR="00326747" w:rsidRDefault="00326747" w:rsidP="001C5C55">
      <w:pPr>
        <w:spacing w:line="240" w:lineRule="auto"/>
      </w:pPr>
      <w:r>
        <w:continuationSeparator/>
      </w:r>
    </w:p>
  </w:footnote>
  <w:footnote w:id="1">
    <w:p w14:paraId="15EE73B1" w14:textId="77777777" w:rsidR="00EA7E9A" w:rsidRPr="00FB4729" w:rsidRDefault="00EA7E9A" w:rsidP="006E1E1B">
      <w:pPr>
        <w:pStyle w:val="Textonotapie"/>
        <w:ind w:firstLine="0"/>
        <w:rPr>
          <w:rFonts w:ascii="Arial" w:hAnsi="Arial" w:cs="Arial"/>
          <w:sz w:val="18"/>
        </w:rPr>
      </w:pPr>
      <w:r w:rsidRPr="00FB4729">
        <w:rPr>
          <w:rStyle w:val="Refdenotaalpie"/>
          <w:rFonts w:ascii="Arial" w:hAnsi="Arial" w:cs="Arial"/>
          <w:sz w:val="18"/>
        </w:rPr>
        <w:footnoteRef/>
      </w:r>
      <w:r w:rsidRPr="00FB4729">
        <w:rPr>
          <w:rFonts w:ascii="Arial" w:hAnsi="Arial" w:cs="Arial"/>
          <w:sz w:val="18"/>
        </w:rPr>
        <w:t xml:space="preserve"> Sentencia SL del 2 de marzo de 1999,</w:t>
      </w:r>
      <w:r w:rsidRPr="00FB4729">
        <w:rPr>
          <w:rFonts w:ascii="Arial" w:hAnsi="Arial" w:cs="Arial"/>
          <w:sz w:val="24"/>
          <w:szCs w:val="28"/>
        </w:rPr>
        <w:t xml:space="preserve"> </w:t>
      </w:r>
      <w:r w:rsidRPr="00FB4729">
        <w:rPr>
          <w:rFonts w:ascii="Arial" w:hAnsi="Arial" w:cs="Arial"/>
          <w:sz w:val="18"/>
        </w:rPr>
        <w:t>radicado 11245 y SL del 14 de junio de 2011, radicado 31605.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42A9E" w14:textId="7538CF97" w:rsidR="00046542" w:rsidRPr="006E1E1B" w:rsidRDefault="00046542" w:rsidP="006E1E1B">
    <w:pPr>
      <w:pStyle w:val="NormalWeb"/>
      <w:spacing w:before="0" w:beforeAutospacing="0" w:after="0" w:afterAutospacing="0"/>
      <w:jc w:val="both"/>
      <w:rPr>
        <w:rFonts w:ascii="Arial" w:hAnsi="Arial" w:cs="Arial"/>
        <w:sz w:val="18"/>
        <w:szCs w:val="18"/>
      </w:rPr>
    </w:pPr>
    <w:r w:rsidRPr="006E1E1B">
      <w:rPr>
        <w:rFonts w:ascii="Arial" w:hAnsi="Arial" w:cs="Arial"/>
        <w:sz w:val="18"/>
        <w:szCs w:val="18"/>
      </w:rPr>
      <w:t>Radicación No.: 66001-31-05-003-2019-00436-01</w:t>
    </w:r>
  </w:p>
  <w:p w14:paraId="315A49A2" w14:textId="283AE47A" w:rsidR="00046542" w:rsidRPr="006E1E1B" w:rsidRDefault="00046542" w:rsidP="006E1E1B">
    <w:pPr>
      <w:pStyle w:val="NormalWeb"/>
      <w:spacing w:before="0" w:beforeAutospacing="0" w:after="0" w:afterAutospacing="0"/>
      <w:jc w:val="both"/>
      <w:rPr>
        <w:rFonts w:ascii="Arial" w:hAnsi="Arial" w:cs="Arial"/>
        <w:sz w:val="18"/>
        <w:szCs w:val="18"/>
      </w:rPr>
    </w:pPr>
    <w:r w:rsidRPr="006E1E1B">
      <w:rPr>
        <w:rFonts w:ascii="Arial" w:hAnsi="Arial" w:cs="Arial"/>
        <w:sz w:val="18"/>
        <w:szCs w:val="18"/>
      </w:rPr>
      <w:t xml:space="preserve">Demandante: Claudia Carmenza Acosta </w:t>
    </w:r>
    <w:proofErr w:type="spellStart"/>
    <w:r w:rsidRPr="006E1E1B">
      <w:rPr>
        <w:rFonts w:ascii="Arial" w:hAnsi="Arial" w:cs="Arial"/>
        <w:sz w:val="18"/>
        <w:szCs w:val="18"/>
      </w:rPr>
      <w:t>Aranzazu</w:t>
    </w:r>
    <w:proofErr w:type="spellEnd"/>
    <w:r w:rsidRPr="006E1E1B">
      <w:rPr>
        <w:rFonts w:ascii="Arial" w:hAnsi="Arial" w:cs="Arial"/>
        <w:sz w:val="18"/>
        <w:szCs w:val="18"/>
      </w:rPr>
      <w:t xml:space="preserve"> </w:t>
    </w:r>
  </w:p>
  <w:p w14:paraId="6611EFB4" w14:textId="2D2BEDAC" w:rsidR="00544E08" w:rsidRPr="006E1E1B" w:rsidRDefault="00046542" w:rsidP="006E1E1B">
    <w:pPr>
      <w:pStyle w:val="NormalWeb"/>
      <w:spacing w:before="0" w:beforeAutospacing="0" w:after="0" w:afterAutospacing="0"/>
      <w:jc w:val="both"/>
      <w:rPr>
        <w:rFonts w:ascii="Arial" w:hAnsi="Arial" w:cs="Arial"/>
        <w:sz w:val="18"/>
        <w:szCs w:val="18"/>
      </w:rPr>
    </w:pPr>
    <w:r w:rsidRPr="006E1E1B">
      <w:rPr>
        <w:rFonts w:ascii="Arial" w:hAnsi="Arial" w:cs="Arial"/>
        <w:sz w:val="18"/>
        <w:szCs w:val="18"/>
      </w:rPr>
      <w:t>Demandado: Protección S.A.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97297"/>
    <w:multiLevelType w:val="multilevel"/>
    <w:tmpl w:val="C39823BA"/>
    <w:lvl w:ilvl="0">
      <w:start w:val="2"/>
      <w:numFmt w:val="decimal"/>
      <w:lvlText w:val="%1."/>
      <w:lvlJc w:val="left"/>
      <w:pPr>
        <w:ind w:left="450" w:hanging="450"/>
      </w:pPr>
      <w:rPr>
        <w:b/>
      </w:rPr>
    </w:lvl>
    <w:lvl w:ilvl="1">
      <w:start w:val="1"/>
      <w:numFmt w:val="decimal"/>
      <w:lvlText w:val="%1.%2."/>
      <w:lvlJc w:val="left"/>
      <w:pPr>
        <w:ind w:left="1425" w:hanging="720"/>
      </w:pPr>
      <w:rPr>
        <w:b/>
      </w:rPr>
    </w:lvl>
    <w:lvl w:ilvl="2">
      <w:start w:val="1"/>
      <w:numFmt w:val="decimal"/>
      <w:lvlText w:val="%1.%2.%3."/>
      <w:lvlJc w:val="left"/>
      <w:pPr>
        <w:ind w:left="2130" w:hanging="720"/>
      </w:pPr>
      <w:rPr>
        <w:b/>
      </w:rPr>
    </w:lvl>
    <w:lvl w:ilvl="3">
      <w:start w:val="1"/>
      <w:numFmt w:val="decimal"/>
      <w:lvlText w:val="%1.%2.%3.%4."/>
      <w:lvlJc w:val="left"/>
      <w:pPr>
        <w:ind w:left="3195" w:hanging="1080"/>
      </w:pPr>
      <w:rPr>
        <w:b/>
      </w:rPr>
    </w:lvl>
    <w:lvl w:ilvl="4">
      <w:start w:val="1"/>
      <w:numFmt w:val="decimal"/>
      <w:lvlText w:val="%1.%2.%3.%4.%5."/>
      <w:lvlJc w:val="left"/>
      <w:pPr>
        <w:ind w:left="4260" w:hanging="1440"/>
      </w:pPr>
      <w:rPr>
        <w:b/>
      </w:rPr>
    </w:lvl>
    <w:lvl w:ilvl="5">
      <w:start w:val="1"/>
      <w:numFmt w:val="decimal"/>
      <w:lvlText w:val="%1.%2.%3.%4.%5.%6."/>
      <w:lvlJc w:val="left"/>
      <w:pPr>
        <w:ind w:left="4965" w:hanging="1440"/>
      </w:pPr>
      <w:rPr>
        <w:b/>
      </w:rPr>
    </w:lvl>
    <w:lvl w:ilvl="6">
      <w:start w:val="1"/>
      <w:numFmt w:val="decimal"/>
      <w:lvlText w:val="%1.%2.%3.%4.%5.%6.%7."/>
      <w:lvlJc w:val="left"/>
      <w:pPr>
        <w:ind w:left="6030" w:hanging="1800"/>
      </w:pPr>
      <w:rPr>
        <w:b/>
      </w:rPr>
    </w:lvl>
    <w:lvl w:ilvl="7">
      <w:start w:val="1"/>
      <w:numFmt w:val="decimal"/>
      <w:lvlText w:val="%1.%2.%3.%4.%5.%6.%7.%8."/>
      <w:lvlJc w:val="left"/>
      <w:pPr>
        <w:ind w:left="7095" w:hanging="2160"/>
      </w:pPr>
      <w:rPr>
        <w:b/>
      </w:rPr>
    </w:lvl>
    <w:lvl w:ilvl="8">
      <w:start w:val="1"/>
      <w:numFmt w:val="decimal"/>
      <w:lvlText w:val="%1.%2.%3.%4.%5.%6.%7.%8.%9."/>
      <w:lvlJc w:val="left"/>
      <w:pPr>
        <w:ind w:left="7800" w:hanging="2160"/>
      </w:pPr>
      <w:rPr>
        <w:b/>
      </w:rPr>
    </w:lvl>
  </w:abstractNum>
  <w:abstractNum w:abstractNumId="1" w15:restartNumberingAfterBreak="0">
    <w:nsid w:val="10A42889"/>
    <w:multiLevelType w:val="multilevel"/>
    <w:tmpl w:val="1046B73A"/>
    <w:lvl w:ilvl="0">
      <w:start w:val="1"/>
      <w:numFmt w:val="decimal"/>
      <w:lvlText w:val="%1."/>
      <w:lvlJc w:val="left"/>
      <w:pPr>
        <w:ind w:left="1069" w:hanging="360"/>
      </w:pPr>
      <w:rPr>
        <w:b/>
        <w:sz w:val="22"/>
      </w:rPr>
    </w:lvl>
    <w:lvl w:ilvl="1">
      <w:start w:val="1"/>
      <w:numFmt w:val="decimal"/>
      <w:isLgl/>
      <w:lvlText w:val="%1.%2."/>
      <w:lvlJc w:val="left"/>
      <w:pPr>
        <w:ind w:left="1800" w:hanging="720"/>
      </w:pPr>
    </w:lvl>
    <w:lvl w:ilvl="2">
      <w:start w:val="1"/>
      <w:numFmt w:val="decimal"/>
      <w:isLgl/>
      <w:lvlText w:val="%1.%2.%3."/>
      <w:lvlJc w:val="left"/>
      <w:pPr>
        <w:ind w:left="2531" w:hanging="1080"/>
      </w:pPr>
    </w:lvl>
    <w:lvl w:ilvl="3">
      <w:start w:val="1"/>
      <w:numFmt w:val="decimal"/>
      <w:isLgl/>
      <w:lvlText w:val="%1.%2.%3.%4."/>
      <w:lvlJc w:val="left"/>
      <w:pPr>
        <w:ind w:left="2902" w:hanging="1080"/>
      </w:pPr>
    </w:lvl>
    <w:lvl w:ilvl="4">
      <w:start w:val="1"/>
      <w:numFmt w:val="decimal"/>
      <w:isLgl/>
      <w:lvlText w:val="%1.%2.%3.%4.%5."/>
      <w:lvlJc w:val="left"/>
      <w:pPr>
        <w:ind w:left="3633" w:hanging="1440"/>
      </w:pPr>
    </w:lvl>
    <w:lvl w:ilvl="5">
      <w:start w:val="1"/>
      <w:numFmt w:val="decimal"/>
      <w:isLgl/>
      <w:lvlText w:val="%1.%2.%3.%4.%5.%6."/>
      <w:lvlJc w:val="left"/>
      <w:pPr>
        <w:ind w:left="4364" w:hanging="1800"/>
      </w:pPr>
    </w:lvl>
    <w:lvl w:ilvl="6">
      <w:start w:val="1"/>
      <w:numFmt w:val="decimal"/>
      <w:isLgl/>
      <w:lvlText w:val="%1.%2.%3.%4.%5.%6.%7."/>
      <w:lvlJc w:val="left"/>
      <w:pPr>
        <w:ind w:left="4735" w:hanging="1800"/>
      </w:pPr>
    </w:lvl>
    <w:lvl w:ilvl="7">
      <w:start w:val="1"/>
      <w:numFmt w:val="decimal"/>
      <w:isLgl/>
      <w:lvlText w:val="%1.%2.%3.%4.%5.%6.%7.%8."/>
      <w:lvlJc w:val="left"/>
      <w:pPr>
        <w:ind w:left="5466" w:hanging="2160"/>
      </w:pPr>
    </w:lvl>
    <w:lvl w:ilvl="8">
      <w:start w:val="1"/>
      <w:numFmt w:val="decimal"/>
      <w:isLgl/>
      <w:lvlText w:val="%1.%2.%3.%4.%5.%6.%7.%8.%9."/>
      <w:lvlJc w:val="left"/>
      <w:pPr>
        <w:ind w:left="6197" w:hanging="2520"/>
      </w:pPr>
    </w:lvl>
  </w:abstractNum>
  <w:abstractNum w:abstractNumId="2" w15:restartNumberingAfterBreak="0">
    <w:nsid w:val="1DBF6E8D"/>
    <w:multiLevelType w:val="hybridMultilevel"/>
    <w:tmpl w:val="AC7A350C"/>
    <w:lvl w:ilvl="0" w:tplc="E7ECF222">
      <w:start w:val="6"/>
      <w:numFmt w:val="bullet"/>
      <w:lvlText w:val="-"/>
      <w:lvlJc w:val="left"/>
      <w:pPr>
        <w:ind w:left="1068" w:hanging="360"/>
      </w:pPr>
      <w:rPr>
        <w:rFonts w:ascii="Tahoma" w:eastAsia="Times New Roman" w:hAnsi="Tahoma" w:cs="Tahoma"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3" w15:restartNumberingAfterBreak="0">
    <w:nsid w:val="486C20FD"/>
    <w:multiLevelType w:val="hybridMultilevel"/>
    <w:tmpl w:val="4A50665A"/>
    <w:lvl w:ilvl="0" w:tplc="0890D552">
      <w:start w:val="1"/>
      <w:numFmt w:val="lowerRoman"/>
      <w:lvlText w:val="%1)"/>
      <w:lvlJc w:val="left"/>
      <w:pPr>
        <w:ind w:left="1080" w:hanging="720"/>
      </w:pPr>
      <w:rPr>
        <w:rFonts w:hint="default"/>
        <w:b w:val="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499E7E94"/>
    <w:multiLevelType w:val="hybridMultilevel"/>
    <w:tmpl w:val="15D83D2E"/>
    <w:lvl w:ilvl="0" w:tplc="23FE39C2">
      <w:start w:val="1"/>
      <w:numFmt w:val="decimal"/>
      <w:lvlText w:val="%1."/>
      <w:lvlJc w:val="left"/>
      <w:pPr>
        <w:ind w:left="360" w:hanging="360"/>
      </w:pPr>
      <w:rPr>
        <w:rFonts w:hint="default"/>
        <w:b/>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15:restartNumberingAfterBreak="0">
    <w:nsid w:val="59124E87"/>
    <w:multiLevelType w:val="hybridMultilevel"/>
    <w:tmpl w:val="113A52A2"/>
    <w:lvl w:ilvl="0" w:tplc="C38EA5E6">
      <w:start w:val="1"/>
      <w:numFmt w:val="lowerRoman"/>
      <w:lvlText w:val="%1)"/>
      <w:lvlJc w:val="left"/>
      <w:pPr>
        <w:ind w:left="1428" w:hanging="720"/>
      </w:pPr>
    </w:lvl>
    <w:lvl w:ilvl="1" w:tplc="0C0A0019">
      <w:start w:val="1"/>
      <w:numFmt w:val="lowerLetter"/>
      <w:lvlText w:val="%2."/>
      <w:lvlJc w:val="left"/>
      <w:pPr>
        <w:ind w:left="1788" w:hanging="360"/>
      </w:pPr>
    </w:lvl>
    <w:lvl w:ilvl="2" w:tplc="0C0A001B">
      <w:start w:val="1"/>
      <w:numFmt w:val="lowerRoman"/>
      <w:lvlText w:val="%3."/>
      <w:lvlJc w:val="right"/>
      <w:pPr>
        <w:ind w:left="2508" w:hanging="180"/>
      </w:pPr>
    </w:lvl>
    <w:lvl w:ilvl="3" w:tplc="0C0A000F">
      <w:start w:val="1"/>
      <w:numFmt w:val="decimal"/>
      <w:lvlText w:val="%4."/>
      <w:lvlJc w:val="left"/>
      <w:pPr>
        <w:ind w:left="3228" w:hanging="360"/>
      </w:pPr>
    </w:lvl>
    <w:lvl w:ilvl="4" w:tplc="0C0A0019">
      <w:start w:val="1"/>
      <w:numFmt w:val="lowerLetter"/>
      <w:lvlText w:val="%5."/>
      <w:lvlJc w:val="left"/>
      <w:pPr>
        <w:ind w:left="3948" w:hanging="360"/>
      </w:pPr>
    </w:lvl>
    <w:lvl w:ilvl="5" w:tplc="0C0A001B">
      <w:start w:val="1"/>
      <w:numFmt w:val="lowerRoman"/>
      <w:lvlText w:val="%6."/>
      <w:lvlJc w:val="right"/>
      <w:pPr>
        <w:ind w:left="4668" w:hanging="180"/>
      </w:pPr>
    </w:lvl>
    <w:lvl w:ilvl="6" w:tplc="0C0A000F">
      <w:start w:val="1"/>
      <w:numFmt w:val="decimal"/>
      <w:lvlText w:val="%7."/>
      <w:lvlJc w:val="left"/>
      <w:pPr>
        <w:ind w:left="5388" w:hanging="360"/>
      </w:pPr>
    </w:lvl>
    <w:lvl w:ilvl="7" w:tplc="0C0A0019">
      <w:start w:val="1"/>
      <w:numFmt w:val="lowerLetter"/>
      <w:lvlText w:val="%8."/>
      <w:lvlJc w:val="left"/>
      <w:pPr>
        <w:ind w:left="6108" w:hanging="360"/>
      </w:pPr>
    </w:lvl>
    <w:lvl w:ilvl="8" w:tplc="0C0A001B">
      <w:start w:val="1"/>
      <w:numFmt w:val="lowerRoman"/>
      <w:lvlText w:val="%9."/>
      <w:lvlJc w:val="right"/>
      <w:pPr>
        <w:ind w:left="6828" w:hanging="180"/>
      </w:pPr>
    </w:lvl>
  </w:abstractNum>
  <w:abstractNum w:abstractNumId="6" w15:restartNumberingAfterBreak="0">
    <w:nsid w:val="6A300A2D"/>
    <w:multiLevelType w:val="multilevel"/>
    <w:tmpl w:val="3940B4F0"/>
    <w:lvl w:ilvl="0">
      <w:start w:val="4"/>
      <w:numFmt w:val="decimal"/>
      <w:lvlText w:val="%1"/>
      <w:lvlJc w:val="left"/>
      <w:pPr>
        <w:ind w:left="380" w:hanging="380"/>
      </w:pPr>
      <w:rPr>
        <w:rFonts w:hint="default"/>
        <w:b/>
        <w:sz w:val="24"/>
      </w:rPr>
    </w:lvl>
    <w:lvl w:ilvl="1">
      <w:start w:val="1"/>
      <w:numFmt w:val="decimal"/>
      <w:lvlText w:val="%1.%2"/>
      <w:lvlJc w:val="left"/>
      <w:pPr>
        <w:ind w:left="1800" w:hanging="720"/>
      </w:pPr>
      <w:rPr>
        <w:rFonts w:hint="default"/>
        <w:b/>
        <w:sz w:val="24"/>
      </w:rPr>
    </w:lvl>
    <w:lvl w:ilvl="2">
      <w:start w:val="1"/>
      <w:numFmt w:val="decimal"/>
      <w:lvlText w:val="%1.%2.%3"/>
      <w:lvlJc w:val="left"/>
      <w:pPr>
        <w:ind w:left="2880" w:hanging="720"/>
      </w:pPr>
      <w:rPr>
        <w:rFonts w:hint="default"/>
        <w:b/>
        <w:sz w:val="24"/>
      </w:rPr>
    </w:lvl>
    <w:lvl w:ilvl="3">
      <w:start w:val="1"/>
      <w:numFmt w:val="decimal"/>
      <w:lvlText w:val="%1.%2.%3.%4"/>
      <w:lvlJc w:val="left"/>
      <w:pPr>
        <w:ind w:left="4320" w:hanging="1080"/>
      </w:pPr>
      <w:rPr>
        <w:rFonts w:hint="default"/>
        <w:b/>
        <w:sz w:val="24"/>
      </w:rPr>
    </w:lvl>
    <w:lvl w:ilvl="4">
      <w:start w:val="1"/>
      <w:numFmt w:val="decimal"/>
      <w:lvlText w:val="%1.%2.%3.%4.%5"/>
      <w:lvlJc w:val="left"/>
      <w:pPr>
        <w:ind w:left="5400" w:hanging="1080"/>
      </w:pPr>
      <w:rPr>
        <w:rFonts w:hint="default"/>
        <w:b/>
        <w:sz w:val="24"/>
      </w:rPr>
    </w:lvl>
    <w:lvl w:ilvl="5">
      <w:start w:val="1"/>
      <w:numFmt w:val="decimal"/>
      <w:lvlText w:val="%1.%2.%3.%4.%5.%6"/>
      <w:lvlJc w:val="left"/>
      <w:pPr>
        <w:ind w:left="6840" w:hanging="1440"/>
      </w:pPr>
      <w:rPr>
        <w:rFonts w:hint="default"/>
        <w:b/>
        <w:sz w:val="24"/>
      </w:rPr>
    </w:lvl>
    <w:lvl w:ilvl="6">
      <w:start w:val="1"/>
      <w:numFmt w:val="decimal"/>
      <w:lvlText w:val="%1.%2.%3.%4.%5.%6.%7"/>
      <w:lvlJc w:val="left"/>
      <w:pPr>
        <w:ind w:left="8280" w:hanging="1800"/>
      </w:pPr>
      <w:rPr>
        <w:rFonts w:hint="default"/>
        <w:b/>
        <w:sz w:val="24"/>
      </w:rPr>
    </w:lvl>
    <w:lvl w:ilvl="7">
      <w:start w:val="1"/>
      <w:numFmt w:val="decimal"/>
      <w:lvlText w:val="%1.%2.%3.%4.%5.%6.%7.%8"/>
      <w:lvlJc w:val="left"/>
      <w:pPr>
        <w:ind w:left="9360" w:hanging="1800"/>
      </w:pPr>
      <w:rPr>
        <w:rFonts w:hint="default"/>
        <w:b/>
        <w:sz w:val="24"/>
      </w:rPr>
    </w:lvl>
    <w:lvl w:ilvl="8">
      <w:start w:val="1"/>
      <w:numFmt w:val="decimal"/>
      <w:lvlText w:val="%1.%2.%3.%4.%5.%6.%7.%8.%9"/>
      <w:lvlJc w:val="left"/>
      <w:pPr>
        <w:ind w:left="10800" w:hanging="2160"/>
      </w:pPr>
      <w:rPr>
        <w:rFonts w:hint="default"/>
        <w:b/>
        <w:sz w:val="24"/>
      </w:rPr>
    </w:lvl>
  </w:abstractNum>
  <w:abstractNum w:abstractNumId="7" w15:restartNumberingAfterBreak="0">
    <w:nsid w:val="6C42761D"/>
    <w:multiLevelType w:val="multilevel"/>
    <w:tmpl w:val="87F2DC14"/>
    <w:lvl w:ilvl="0">
      <w:start w:val="6"/>
      <w:numFmt w:val="decimal"/>
      <w:lvlText w:val="%1."/>
      <w:lvlJc w:val="left"/>
      <w:pPr>
        <w:ind w:left="450" w:hanging="450"/>
      </w:pPr>
      <w:rPr>
        <w:rFonts w:hint="default"/>
      </w:rPr>
    </w:lvl>
    <w:lvl w:ilvl="1">
      <w:start w:val="1"/>
      <w:numFmt w:val="decimal"/>
      <w:lvlText w:val="%1.%2."/>
      <w:lvlJc w:val="left"/>
      <w:pPr>
        <w:ind w:left="1429" w:hanging="720"/>
      </w:pPr>
      <w:rPr>
        <w:rFonts w:ascii="Tahoma" w:hAnsi="Tahoma" w:cs="Tahoma" w:hint="default"/>
        <w:b/>
        <w:i w:val="0"/>
        <w:sz w:val="24"/>
        <w:szCs w:val="24"/>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8" w15:restartNumberingAfterBreak="0">
    <w:nsid w:val="764B647B"/>
    <w:multiLevelType w:val="multilevel"/>
    <w:tmpl w:val="D28869B6"/>
    <w:lvl w:ilvl="0">
      <w:start w:val="1"/>
      <w:numFmt w:val="decimal"/>
      <w:lvlText w:val="%1."/>
      <w:lvlJc w:val="left"/>
      <w:pPr>
        <w:ind w:left="720" w:hanging="360"/>
      </w:pPr>
    </w:lvl>
    <w:lvl w:ilvl="1">
      <w:start w:val="1"/>
      <w:numFmt w:val="decimal"/>
      <w:isLgl/>
      <w:lvlText w:val="%1.%2"/>
      <w:lvlJc w:val="left"/>
      <w:pPr>
        <w:ind w:left="1428" w:hanging="720"/>
      </w:pPr>
      <w:rPr>
        <w:rFonts w:hint="default"/>
      </w:rPr>
    </w:lvl>
    <w:lvl w:ilvl="2">
      <w:start w:val="1"/>
      <w:numFmt w:val="decimal"/>
      <w:isLgl/>
      <w:lvlText w:val="%1.%2.%3"/>
      <w:lvlJc w:val="left"/>
      <w:pPr>
        <w:ind w:left="2136" w:hanging="108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3192" w:hanging="1440"/>
      </w:pPr>
      <w:rPr>
        <w:rFonts w:hint="default"/>
      </w:rPr>
    </w:lvl>
    <w:lvl w:ilvl="5">
      <w:start w:val="1"/>
      <w:numFmt w:val="decimal"/>
      <w:isLgl/>
      <w:lvlText w:val="%1.%2.%3.%4.%5.%6"/>
      <w:lvlJc w:val="left"/>
      <w:pPr>
        <w:ind w:left="3900" w:hanging="1800"/>
      </w:pPr>
      <w:rPr>
        <w:rFonts w:hint="default"/>
      </w:rPr>
    </w:lvl>
    <w:lvl w:ilvl="6">
      <w:start w:val="1"/>
      <w:numFmt w:val="decimal"/>
      <w:isLgl/>
      <w:lvlText w:val="%1.%2.%3.%4.%5.%6.%7"/>
      <w:lvlJc w:val="left"/>
      <w:pPr>
        <w:ind w:left="4608" w:hanging="2160"/>
      </w:pPr>
      <w:rPr>
        <w:rFonts w:hint="default"/>
      </w:rPr>
    </w:lvl>
    <w:lvl w:ilvl="7">
      <w:start w:val="1"/>
      <w:numFmt w:val="decimal"/>
      <w:isLgl/>
      <w:lvlText w:val="%1.%2.%3.%4.%5.%6.%7.%8"/>
      <w:lvlJc w:val="left"/>
      <w:pPr>
        <w:ind w:left="4956" w:hanging="2160"/>
      </w:pPr>
      <w:rPr>
        <w:rFonts w:hint="default"/>
      </w:rPr>
    </w:lvl>
    <w:lvl w:ilvl="8">
      <w:start w:val="1"/>
      <w:numFmt w:val="decimal"/>
      <w:isLgl/>
      <w:lvlText w:val="%1.%2.%3.%4.%5.%6.%7.%8.%9"/>
      <w:lvlJc w:val="left"/>
      <w:pPr>
        <w:ind w:left="5664" w:hanging="2520"/>
      </w:pPr>
      <w:rPr>
        <w:rFonts w:hint="default"/>
      </w:rPr>
    </w:lvl>
  </w:abstractNum>
  <w:num w:numId="1">
    <w:abstractNumId w:val="4"/>
  </w:num>
  <w:num w:numId="2">
    <w:abstractNumId w:val="8"/>
  </w:num>
  <w:num w:numId="3">
    <w:abstractNumId w:val="3"/>
  </w:num>
  <w:num w:numId="4">
    <w:abstractNumId w:val="7"/>
  </w:num>
  <w:num w:numId="5">
    <w:abstractNumId w:val="8"/>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C55"/>
    <w:rsid w:val="00003C73"/>
    <w:rsid w:val="00005A8C"/>
    <w:rsid w:val="00005D87"/>
    <w:rsid w:val="000075D3"/>
    <w:rsid w:val="0001123B"/>
    <w:rsid w:val="00011A6B"/>
    <w:rsid w:val="000224A2"/>
    <w:rsid w:val="000277FA"/>
    <w:rsid w:val="00036566"/>
    <w:rsid w:val="00036A4A"/>
    <w:rsid w:val="0003735F"/>
    <w:rsid w:val="000439EB"/>
    <w:rsid w:val="00046542"/>
    <w:rsid w:val="00047BED"/>
    <w:rsid w:val="00062A9C"/>
    <w:rsid w:val="00063924"/>
    <w:rsid w:val="00065018"/>
    <w:rsid w:val="00075D82"/>
    <w:rsid w:val="00083AA6"/>
    <w:rsid w:val="000974A7"/>
    <w:rsid w:val="000B0BA2"/>
    <w:rsid w:val="000B7630"/>
    <w:rsid w:val="000C29B4"/>
    <w:rsid w:val="000C3829"/>
    <w:rsid w:val="000C41A1"/>
    <w:rsid w:val="000C47E3"/>
    <w:rsid w:val="000C5099"/>
    <w:rsid w:val="000D0DC7"/>
    <w:rsid w:val="000D4AFA"/>
    <w:rsid w:val="000D76AA"/>
    <w:rsid w:val="000E02D9"/>
    <w:rsid w:val="000E4759"/>
    <w:rsid w:val="000F4167"/>
    <w:rsid w:val="000F53E9"/>
    <w:rsid w:val="000F7327"/>
    <w:rsid w:val="00111A98"/>
    <w:rsid w:val="00116069"/>
    <w:rsid w:val="00122A22"/>
    <w:rsid w:val="0012560F"/>
    <w:rsid w:val="0013340A"/>
    <w:rsid w:val="001364A3"/>
    <w:rsid w:val="00145D2E"/>
    <w:rsid w:val="00157CF9"/>
    <w:rsid w:val="00164C30"/>
    <w:rsid w:val="001754FB"/>
    <w:rsid w:val="00183876"/>
    <w:rsid w:val="00184BE9"/>
    <w:rsid w:val="001856B6"/>
    <w:rsid w:val="0019535E"/>
    <w:rsid w:val="00196DDD"/>
    <w:rsid w:val="001A39D6"/>
    <w:rsid w:val="001B2D19"/>
    <w:rsid w:val="001B4362"/>
    <w:rsid w:val="001C1297"/>
    <w:rsid w:val="001C3BB7"/>
    <w:rsid w:val="001C5C55"/>
    <w:rsid w:val="001C789C"/>
    <w:rsid w:val="001D10AD"/>
    <w:rsid w:val="001D3C29"/>
    <w:rsid w:val="001E1C03"/>
    <w:rsid w:val="001E41AA"/>
    <w:rsid w:val="001F6738"/>
    <w:rsid w:val="00204621"/>
    <w:rsid w:val="00210641"/>
    <w:rsid w:val="002110C9"/>
    <w:rsid w:val="002208CB"/>
    <w:rsid w:val="00246C58"/>
    <w:rsid w:val="00251EEC"/>
    <w:rsid w:val="00257723"/>
    <w:rsid w:val="0026352C"/>
    <w:rsid w:val="00270192"/>
    <w:rsid w:val="0027769A"/>
    <w:rsid w:val="002830A1"/>
    <w:rsid w:val="00287405"/>
    <w:rsid w:val="002A3355"/>
    <w:rsid w:val="002A5771"/>
    <w:rsid w:val="002B0215"/>
    <w:rsid w:val="002C3EFA"/>
    <w:rsid w:val="002C5830"/>
    <w:rsid w:val="002D4D75"/>
    <w:rsid w:val="002D68FD"/>
    <w:rsid w:val="002E43B1"/>
    <w:rsid w:val="002E7149"/>
    <w:rsid w:val="002F2E9B"/>
    <w:rsid w:val="002F4390"/>
    <w:rsid w:val="002F4948"/>
    <w:rsid w:val="0030061A"/>
    <w:rsid w:val="0030550E"/>
    <w:rsid w:val="00314B3C"/>
    <w:rsid w:val="003166F5"/>
    <w:rsid w:val="003179D5"/>
    <w:rsid w:val="003228DF"/>
    <w:rsid w:val="00323328"/>
    <w:rsid w:val="00324DDD"/>
    <w:rsid w:val="0032533C"/>
    <w:rsid w:val="0032634B"/>
    <w:rsid w:val="00326747"/>
    <w:rsid w:val="00345B5A"/>
    <w:rsid w:val="00350AF8"/>
    <w:rsid w:val="00351197"/>
    <w:rsid w:val="00356284"/>
    <w:rsid w:val="003616D4"/>
    <w:rsid w:val="00361D8A"/>
    <w:rsid w:val="00367CF8"/>
    <w:rsid w:val="003743BA"/>
    <w:rsid w:val="0038167C"/>
    <w:rsid w:val="00385DFE"/>
    <w:rsid w:val="00387A6C"/>
    <w:rsid w:val="00390068"/>
    <w:rsid w:val="00390792"/>
    <w:rsid w:val="00391C11"/>
    <w:rsid w:val="003A0CDB"/>
    <w:rsid w:val="003A3C61"/>
    <w:rsid w:val="003A4D34"/>
    <w:rsid w:val="003B3515"/>
    <w:rsid w:val="003C1D58"/>
    <w:rsid w:val="003C279F"/>
    <w:rsid w:val="003C2E4C"/>
    <w:rsid w:val="003C2E6E"/>
    <w:rsid w:val="003C3A38"/>
    <w:rsid w:val="003C4B26"/>
    <w:rsid w:val="003D04BE"/>
    <w:rsid w:val="003D4E64"/>
    <w:rsid w:val="003E228C"/>
    <w:rsid w:val="003F3B61"/>
    <w:rsid w:val="00404E45"/>
    <w:rsid w:val="00405CE8"/>
    <w:rsid w:val="00417207"/>
    <w:rsid w:val="004277EA"/>
    <w:rsid w:val="00435828"/>
    <w:rsid w:val="00436A8B"/>
    <w:rsid w:val="0044364A"/>
    <w:rsid w:val="0044439D"/>
    <w:rsid w:val="004456F1"/>
    <w:rsid w:val="0044579D"/>
    <w:rsid w:val="004477F3"/>
    <w:rsid w:val="00450CAB"/>
    <w:rsid w:val="00452DAE"/>
    <w:rsid w:val="00464B56"/>
    <w:rsid w:val="00465688"/>
    <w:rsid w:val="004662C3"/>
    <w:rsid w:val="00470C75"/>
    <w:rsid w:val="0047197E"/>
    <w:rsid w:val="00474B14"/>
    <w:rsid w:val="00475006"/>
    <w:rsid w:val="00476C27"/>
    <w:rsid w:val="00477541"/>
    <w:rsid w:val="00484FFB"/>
    <w:rsid w:val="004922F9"/>
    <w:rsid w:val="004A23C1"/>
    <w:rsid w:val="004A6EC3"/>
    <w:rsid w:val="004B594A"/>
    <w:rsid w:val="004C2076"/>
    <w:rsid w:val="004C620A"/>
    <w:rsid w:val="004D0AEA"/>
    <w:rsid w:val="004D41D5"/>
    <w:rsid w:val="004E03F2"/>
    <w:rsid w:val="004E1066"/>
    <w:rsid w:val="004E6432"/>
    <w:rsid w:val="00501E4E"/>
    <w:rsid w:val="0050274B"/>
    <w:rsid w:val="00502F6C"/>
    <w:rsid w:val="00511128"/>
    <w:rsid w:val="00517B6E"/>
    <w:rsid w:val="00522087"/>
    <w:rsid w:val="0052421D"/>
    <w:rsid w:val="00531F87"/>
    <w:rsid w:val="00535CB8"/>
    <w:rsid w:val="00535EDC"/>
    <w:rsid w:val="00537FD3"/>
    <w:rsid w:val="00544E08"/>
    <w:rsid w:val="00557579"/>
    <w:rsid w:val="0057707E"/>
    <w:rsid w:val="005942E7"/>
    <w:rsid w:val="005A4F60"/>
    <w:rsid w:val="005B00AE"/>
    <w:rsid w:val="005B1FE6"/>
    <w:rsid w:val="005B2EAC"/>
    <w:rsid w:val="005B4337"/>
    <w:rsid w:val="005B5980"/>
    <w:rsid w:val="005B788F"/>
    <w:rsid w:val="005B7A03"/>
    <w:rsid w:val="005C01F3"/>
    <w:rsid w:val="005C1484"/>
    <w:rsid w:val="005C6145"/>
    <w:rsid w:val="005D63D2"/>
    <w:rsid w:val="005F23A6"/>
    <w:rsid w:val="005F4AA0"/>
    <w:rsid w:val="005F4EE1"/>
    <w:rsid w:val="006150A1"/>
    <w:rsid w:val="00615AA7"/>
    <w:rsid w:val="00625F92"/>
    <w:rsid w:val="00626C30"/>
    <w:rsid w:val="006332EC"/>
    <w:rsid w:val="00634CA0"/>
    <w:rsid w:val="00640254"/>
    <w:rsid w:val="00641CF1"/>
    <w:rsid w:val="006614D4"/>
    <w:rsid w:val="00662E3D"/>
    <w:rsid w:val="00664440"/>
    <w:rsid w:val="006674C3"/>
    <w:rsid w:val="00674338"/>
    <w:rsid w:val="0067720F"/>
    <w:rsid w:val="006872B2"/>
    <w:rsid w:val="00687DE4"/>
    <w:rsid w:val="00696EF5"/>
    <w:rsid w:val="006A33FC"/>
    <w:rsid w:val="006A620D"/>
    <w:rsid w:val="006B2CF7"/>
    <w:rsid w:val="006C1C69"/>
    <w:rsid w:val="006C1CA4"/>
    <w:rsid w:val="006C2F1A"/>
    <w:rsid w:val="006C420C"/>
    <w:rsid w:val="006C45BE"/>
    <w:rsid w:val="006C53DE"/>
    <w:rsid w:val="006D126D"/>
    <w:rsid w:val="006D59FC"/>
    <w:rsid w:val="006E1E1B"/>
    <w:rsid w:val="006E4354"/>
    <w:rsid w:val="00703932"/>
    <w:rsid w:val="00714427"/>
    <w:rsid w:val="007230D8"/>
    <w:rsid w:val="007266D3"/>
    <w:rsid w:val="00732B40"/>
    <w:rsid w:val="007345A0"/>
    <w:rsid w:val="0074061C"/>
    <w:rsid w:val="0074537E"/>
    <w:rsid w:val="0075190B"/>
    <w:rsid w:val="00752CB7"/>
    <w:rsid w:val="00754227"/>
    <w:rsid w:val="00754A65"/>
    <w:rsid w:val="00757410"/>
    <w:rsid w:val="007629BB"/>
    <w:rsid w:val="007665E1"/>
    <w:rsid w:val="007733DA"/>
    <w:rsid w:val="00777A87"/>
    <w:rsid w:val="00786ED8"/>
    <w:rsid w:val="0079404A"/>
    <w:rsid w:val="007B2B3C"/>
    <w:rsid w:val="007B2F62"/>
    <w:rsid w:val="007B555E"/>
    <w:rsid w:val="007B6843"/>
    <w:rsid w:val="007C5D72"/>
    <w:rsid w:val="007D15EF"/>
    <w:rsid w:val="007D16FA"/>
    <w:rsid w:val="007D1E43"/>
    <w:rsid w:val="007D2122"/>
    <w:rsid w:val="007D4116"/>
    <w:rsid w:val="007D4770"/>
    <w:rsid w:val="007D4D80"/>
    <w:rsid w:val="007F533D"/>
    <w:rsid w:val="00803C37"/>
    <w:rsid w:val="00804329"/>
    <w:rsid w:val="008043E4"/>
    <w:rsid w:val="00811C4C"/>
    <w:rsid w:val="008172B5"/>
    <w:rsid w:val="00817801"/>
    <w:rsid w:val="00832E72"/>
    <w:rsid w:val="008479F3"/>
    <w:rsid w:val="00850576"/>
    <w:rsid w:val="00862801"/>
    <w:rsid w:val="00872605"/>
    <w:rsid w:val="00876DBE"/>
    <w:rsid w:val="00880CEA"/>
    <w:rsid w:val="00887DAA"/>
    <w:rsid w:val="008950F6"/>
    <w:rsid w:val="008B1221"/>
    <w:rsid w:val="008B535E"/>
    <w:rsid w:val="008B720E"/>
    <w:rsid w:val="008C2C67"/>
    <w:rsid w:val="008D1D44"/>
    <w:rsid w:val="008E26FD"/>
    <w:rsid w:val="009134E4"/>
    <w:rsid w:val="0091658D"/>
    <w:rsid w:val="00921E59"/>
    <w:rsid w:val="009222FC"/>
    <w:rsid w:val="0092308E"/>
    <w:rsid w:val="00926BCA"/>
    <w:rsid w:val="00932D2D"/>
    <w:rsid w:val="009374D2"/>
    <w:rsid w:val="00937F70"/>
    <w:rsid w:val="00940225"/>
    <w:rsid w:val="0094370E"/>
    <w:rsid w:val="009443F3"/>
    <w:rsid w:val="009449C2"/>
    <w:rsid w:val="009570F7"/>
    <w:rsid w:val="009736BB"/>
    <w:rsid w:val="00981055"/>
    <w:rsid w:val="009832EE"/>
    <w:rsid w:val="00986B39"/>
    <w:rsid w:val="0099177D"/>
    <w:rsid w:val="00997C3E"/>
    <w:rsid w:val="009A3DD0"/>
    <w:rsid w:val="009A429D"/>
    <w:rsid w:val="009B15F5"/>
    <w:rsid w:val="009B2618"/>
    <w:rsid w:val="009D2A71"/>
    <w:rsid w:val="009D3462"/>
    <w:rsid w:val="009D4314"/>
    <w:rsid w:val="009E1D22"/>
    <w:rsid w:val="009E2A5F"/>
    <w:rsid w:val="009E61B9"/>
    <w:rsid w:val="009E7547"/>
    <w:rsid w:val="009F36AF"/>
    <w:rsid w:val="009F7B32"/>
    <w:rsid w:val="00A01180"/>
    <w:rsid w:val="00A109A7"/>
    <w:rsid w:val="00A12A9C"/>
    <w:rsid w:val="00A25DF6"/>
    <w:rsid w:val="00A25EF4"/>
    <w:rsid w:val="00A31306"/>
    <w:rsid w:val="00A31755"/>
    <w:rsid w:val="00A3186B"/>
    <w:rsid w:val="00A31CFA"/>
    <w:rsid w:val="00A32E4C"/>
    <w:rsid w:val="00A330F5"/>
    <w:rsid w:val="00A4332A"/>
    <w:rsid w:val="00A457BA"/>
    <w:rsid w:val="00A606EB"/>
    <w:rsid w:val="00A65CC9"/>
    <w:rsid w:val="00A7223B"/>
    <w:rsid w:val="00A83E8E"/>
    <w:rsid w:val="00A9173F"/>
    <w:rsid w:val="00A970CD"/>
    <w:rsid w:val="00A976B2"/>
    <w:rsid w:val="00AA0DFE"/>
    <w:rsid w:val="00AA49A9"/>
    <w:rsid w:val="00AB12BB"/>
    <w:rsid w:val="00AB4EB0"/>
    <w:rsid w:val="00AB577D"/>
    <w:rsid w:val="00AC14FE"/>
    <w:rsid w:val="00AC6326"/>
    <w:rsid w:val="00AD6905"/>
    <w:rsid w:val="00AE031D"/>
    <w:rsid w:val="00AE218E"/>
    <w:rsid w:val="00AE618E"/>
    <w:rsid w:val="00AF0DFB"/>
    <w:rsid w:val="00AF232B"/>
    <w:rsid w:val="00AF281E"/>
    <w:rsid w:val="00B026C8"/>
    <w:rsid w:val="00B14360"/>
    <w:rsid w:val="00B21822"/>
    <w:rsid w:val="00B234FB"/>
    <w:rsid w:val="00B311B3"/>
    <w:rsid w:val="00B31E68"/>
    <w:rsid w:val="00B34C40"/>
    <w:rsid w:val="00B37DAE"/>
    <w:rsid w:val="00B40B63"/>
    <w:rsid w:val="00B4550B"/>
    <w:rsid w:val="00B4585E"/>
    <w:rsid w:val="00B52029"/>
    <w:rsid w:val="00B52127"/>
    <w:rsid w:val="00B5237A"/>
    <w:rsid w:val="00B54CAE"/>
    <w:rsid w:val="00B57054"/>
    <w:rsid w:val="00B658A1"/>
    <w:rsid w:val="00B7529D"/>
    <w:rsid w:val="00B77D37"/>
    <w:rsid w:val="00B84779"/>
    <w:rsid w:val="00B92B88"/>
    <w:rsid w:val="00BA5CFD"/>
    <w:rsid w:val="00BB2946"/>
    <w:rsid w:val="00BC017A"/>
    <w:rsid w:val="00BE2297"/>
    <w:rsid w:val="00BE4F08"/>
    <w:rsid w:val="00BE61B8"/>
    <w:rsid w:val="00BF4D5B"/>
    <w:rsid w:val="00C025AF"/>
    <w:rsid w:val="00C026E9"/>
    <w:rsid w:val="00C15147"/>
    <w:rsid w:val="00C25AFB"/>
    <w:rsid w:val="00C348CA"/>
    <w:rsid w:val="00C35899"/>
    <w:rsid w:val="00C4033B"/>
    <w:rsid w:val="00C40A84"/>
    <w:rsid w:val="00C41561"/>
    <w:rsid w:val="00C44332"/>
    <w:rsid w:val="00C4759C"/>
    <w:rsid w:val="00C52FEE"/>
    <w:rsid w:val="00C62C5A"/>
    <w:rsid w:val="00C63887"/>
    <w:rsid w:val="00C63E78"/>
    <w:rsid w:val="00C70A6C"/>
    <w:rsid w:val="00C801DB"/>
    <w:rsid w:val="00C83682"/>
    <w:rsid w:val="00C86915"/>
    <w:rsid w:val="00C86EE6"/>
    <w:rsid w:val="00C87262"/>
    <w:rsid w:val="00C931FB"/>
    <w:rsid w:val="00C951DD"/>
    <w:rsid w:val="00CA2E30"/>
    <w:rsid w:val="00CB2431"/>
    <w:rsid w:val="00CC3B5D"/>
    <w:rsid w:val="00CC58FC"/>
    <w:rsid w:val="00CD27AB"/>
    <w:rsid w:val="00CD4331"/>
    <w:rsid w:val="00CD4D64"/>
    <w:rsid w:val="00CE0D4F"/>
    <w:rsid w:val="00CE2FDA"/>
    <w:rsid w:val="00CE5BB7"/>
    <w:rsid w:val="00CF022D"/>
    <w:rsid w:val="00CF3177"/>
    <w:rsid w:val="00D001F3"/>
    <w:rsid w:val="00D1065A"/>
    <w:rsid w:val="00D178CD"/>
    <w:rsid w:val="00D204BC"/>
    <w:rsid w:val="00D21902"/>
    <w:rsid w:val="00D27F60"/>
    <w:rsid w:val="00D31830"/>
    <w:rsid w:val="00D36D7A"/>
    <w:rsid w:val="00D43E3D"/>
    <w:rsid w:val="00D457BA"/>
    <w:rsid w:val="00D6575B"/>
    <w:rsid w:val="00D71AB9"/>
    <w:rsid w:val="00D77E17"/>
    <w:rsid w:val="00D81B9E"/>
    <w:rsid w:val="00D83308"/>
    <w:rsid w:val="00D83D8A"/>
    <w:rsid w:val="00D9364E"/>
    <w:rsid w:val="00D93AA7"/>
    <w:rsid w:val="00DA074A"/>
    <w:rsid w:val="00DA3BB8"/>
    <w:rsid w:val="00DB0A15"/>
    <w:rsid w:val="00DB7E85"/>
    <w:rsid w:val="00DC2437"/>
    <w:rsid w:val="00DC4A83"/>
    <w:rsid w:val="00DD1D92"/>
    <w:rsid w:val="00DE0E0B"/>
    <w:rsid w:val="00DE10F5"/>
    <w:rsid w:val="00DE278E"/>
    <w:rsid w:val="00DE59C4"/>
    <w:rsid w:val="00DE778B"/>
    <w:rsid w:val="00DF31C0"/>
    <w:rsid w:val="00DF5161"/>
    <w:rsid w:val="00DF54EA"/>
    <w:rsid w:val="00DF6AC7"/>
    <w:rsid w:val="00E11E21"/>
    <w:rsid w:val="00E23402"/>
    <w:rsid w:val="00E40468"/>
    <w:rsid w:val="00E45061"/>
    <w:rsid w:val="00E46EA8"/>
    <w:rsid w:val="00E54DE2"/>
    <w:rsid w:val="00E62322"/>
    <w:rsid w:val="00E72ECB"/>
    <w:rsid w:val="00E9549D"/>
    <w:rsid w:val="00EA3958"/>
    <w:rsid w:val="00EA5E3B"/>
    <w:rsid w:val="00EA7E9A"/>
    <w:rsid w:val="00EB096A"/>
    <w:rsid w:val="00EB2616"/>
    <w:rsid w:val="00EB5F74"/>
    <w:rsid w:val="00EB6C33"/>
    <w:rsid w:val="00EC0CF9"/>
    <w:rsid w:val="00EC69D8"/>
    <w:rsid w:val="00ED0F19"/>
    <w:rsid w:val="00ED1C2D"/>
    <w:rsid w:val="00ED2F05"/>
    <w:rsid w:val="00ED51BB"/>
    <w:rsid w:val="00EE1913"/>
    <w:rsid w:val="00EE3123"/>
    <w:rsid w:val="00EF08E6"/>
    <w:rsid w:val="00EF3A89"/>
    <w:rsid w:val="00EF7863"/>
    <w:rsid w:val="00F00FCD"/>
    <w:rsid w:val="00F01696"/>
    <w:rsid w:val="00F13207"/>
    <w:rsid w:val="00F21BF5"/>
    <w:rsid w:val="00F22EF7"/>
    <w:rsid w:val="00F25B72"/>
    <w:rsid w:val="00F26650"/>
    <w:rsid w:val="00F278BC"/>
    <w:rsid w:val="00F345C4"/>
    <w:rsid w:val="00F40EAE"/>
    <w:rsid w:val="00F41FAB"/>
    <w:rsid w:val="00F4561E"/>
    <w:rsid w:val="00F45640"/>
    <w:rsid w:val="00F57790"/>
    <w:rsid w:val="00F615DC"/>
    <w:rsid w:val="00F62803"/>
    <w:rsid w:val="00F64F82"/>
    <w:rsid w:val="00F71F34"/>
    <w:rsid w:val="00F7367C"/>
    <w:rsid w:val="00F7733C"/>
    <w:rsid w:val="00F77EFF"/>
    <w:rsid w:val="00F8390A"/>
    <w:rsid w:val="00F9407A"/>
    <w:rsid w:val="00F95604"/>
    <w:rsid w:val="00FA2295"/>
    <w:rsid w:val="00FB25CB"/>
    <w:rsid w:val="00FC39BA"/>
    <w:rsid w:val="00FD0597"/>
    <w:rsid w:val="00FE6B56"/>
    <w:rsid w:val="00FF5527"/>
    <w:rsid w:val="00FF5BDF"/>
    <w:rsid w:val="02FDE7C2"/>
    <w:rsid w:val="031CF41D"/>
    <w:rsid w:val="03361C7A"/>
    <w:rsid w:val="06F80FC1"/>
    <w:rsid w:val="0C34F152"/>
    <w:rsid w:val="0DE693A3"/>
    <w:rsid w:val="10969FDA"/>
    <w:rsid w:val="1188C906"/>
    <w:rsid w:val="135A2F3B"/>
    <w:rsid w:val="144FFAF1"/>
    <w:rsid w:val="15593ACD"/>
    <w:rsid w:val="161064D8"/>
    <w:rsid w:val="1654B0BD"/>
    <w:rsid w:val="1898C915"/>
    <w:rsid w:val="198A91C5"/>
    <w:rsid w:val="1ACB3B95"/>
    <w:rsid w:val="1CBC3F44"/>
    <w:rsid w:val="1D2FBBEE"/>
    <w:rsid w:val="1DB7F450"/>
    <w:rsid w:val="1F3D2ACB"/>
    <w:rsid w:val="208CDDAC"/>
    <w:rsid w:val="223CE8D4"/>
    <w:rsid w:val="225D0E76"/>
    <w:rsid w:val="2471AA82"/>
    <w:rsid w:val="255E23C0"/>
    <w:rsid w:val="26213B6F"/>
    <w:rsid w:val="28D7710C"/>
    <w:rsid w:val="2947EA85"/>
    <w:rsid w:val="2BCD6544"/>
    <w:rsid w:val="2BF56697"/>
    <w:rsid w:val="2C039FB1"/>
    <w:rsid w:val="2DA1263E"/>
    <w:rsid w:val="2EBE7B80"/>
    <w:rsid w:val="2F05A844"/>
    <w:rsid w:val="32A61736"/>
    <w:rsid w:val="338FDD74"/>
    <w:rsid w:val="3391ECA3"/>
    <w:rsid w:val="3428BF3A"/>
    <w:rsid w:val="3753DFEA"/>
    <w:rsid w:val="37C88159"/>
    <w:rsid w:val="37FEEB53"/>
    <w:rsid w:val="38C2935F"/>
    <w:rsid w:val="392B7732"/>
    <w:rsid w:val="3C1EDDAA"/>
    <w:rsid w:val="4050B748"/>
    <w:rsid w:val="41D40531"/>
    <w:rsid w:val="432D6528"/>
    <w:rsid w:val="44802B85"/>
    <w:rsid w:val="4589FAD5"/>
    <w:rsid w:val="45E2A0EB"/>
    <w:rsid w:val="469108F4"/>
    <w:rsid w:val="486A46B9"/>
    <w:rsid w:val="48B264D6"/>
    <w:rsid w:val="4C0E20F9"/>
    <w:rsid w:val="4CFED11A"/>
    <w:rsid w:val="4D2FFFE5"/>
    <w:rsid w:val="4FA9B100"/>
    <w:rsid w:val="509C8CD2"/>
    <w:rsid w:val="50C32CD9"/>
    <w:rsid w:val="51149D6F"/>
    <w:rsid w:val="5429B914"/>
    <w:rsid w:val="552B4311"/>
    <w:rsid w:val="5595D951"/>
    <w:rsid w:val="5683173A"/>
    <w:rsid w:val="56C939DC"/>
    <w:rsid w:val="56CDDFCE"/>
    <w:rsid w:val="57E178AE"/>
    <w:rsid w:val="599858D8"/>
    <w:rsid w:val="5D032EEE"/>
    <w:rsid w:val="5D05D3ED"/>
    <w:rsid w:val="5E5F8A3C"/>
    <w:rsid w:val="5F1CDC5A"/>
    <w:rsid w:val="5FD452D9"/>
    <w:rsid w:val="607A4191"/>
    <w:rsid w:val="61575EBB"/>
    <w:rsid w:val="631DCEDE"/>
    <w:rsid w:val="63AF4391"/>
    <w:rsid w:val="64F6525D"/>
    <w:rsid w:val="654DB2B4"/>
    <w:rsid w:val="6675842C"/>
    <w:rsid w:val="6A105A67"/>
    <w:rsid w:val="6B0CF944"/>
    <w:rsid w:val="6BD1E5BF"/>
    <w:rsid w:val="6C6DBFF1"/>
    <w:rsid w:val="701F9FDA"/>
    <w:rsid w:val="724E23F5"/>
    <w:rsid w:val="743B49EB"/>
    <w:rsid w:val="745258A2"/>
    <w:rsid w:val="74DEA54E"/>
    <w:rsid w:val="75D72BB5"/>
    <w:rsid w:val="76696FE1"/>
    <w:rsid w:val="76B60BB5"/>
    <w:rsid w:val="775F38C5"/>
    <w:rsid w:val="798200E1"/>
    <w:rsid w:val="7AC19A26"/>
    <w:rsid w:val="7BE0E8FE"/>
    <w:rsid w:val="7CADB298"/>
    <w:rsid w:val="7CD00645"/>
    <w:rsid w:val="7E8507FC"/>
    <w:rsid w:val="7F8310A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E7B1BB"/>
  <w15:chartTrackingRefBased/>
  <w15:docId w15:val="{2FA8D748-2723-4C35-AE84-FCBDCFCF4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5C55"/>
    <w:pPr>
      <w:spacing w:after="0"/>
      <w:ind w:firstLine="709"/>
      <w:jc w:val="both"/>
    </w:pPr>
    <w:rPr>
      <w:lang w:val="es-ES"/>
    </w:rPr>
  </w:style>
  <w:style w:type="paragraph" w:styleId="Ttulo4">
    <w:name w:val="heading 4"/>
    <w:basedOn w:val="Normal"/>
    <w:next w:val="Normal"/>
    <w:link w:val="Ttulo4Car"/>
    <w:unhideWhenUsed/>
    <w:qFormat/>
    <w:rsid w:val="001C5C55"/>
    <w:pPr>
      <w:keepNext/>
      <w:tabs>
        <w:tab w:val="left" w:pos="0"/>
      </w:tabs>
      <w:overflowPunct w:val="0"/>
      <w:autoSpaceDE w:val="0"/>
      <w:autoSpaceDN w:val="0"/>
      <w:adjustRightInd w:val="0"/>
      <w:spacing w:line="240" w:lineRule="auto"/>
      <w:ind w:firstLine="0"/>
      <w:jc w:val="center"/>
      <w:outlineLvl w:val="3"/>
    </w:pPr>
    <w:rPr>
      <w:rFonts w:ascii="Times New Roman" w:eastAsia="Times New Roman" w:hAnsi="Times New Roman" w:cs="Times New Roman"/>
      <w:b/>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1C5C55"/>
    <w:rPr>
      <w:rFonts w:ascii="Times New Roman" w:eastAsia="Times New Roman" w:hAnsi="Times New Roman" w:cs="Times New Roman"/>
      <w:b/>
      <w:sz w:val="24"/>
      <w:szCs w:val="20"/>
      <w:lang w:val="es-ES" w:eastAsia="es-ES"/>
    </w:rPr>
  </w:style>
  <w:style w:type="paragraph" w:styleId="NormalWeb">
    <w:name w:val="Normal (Web)"/>
    <w:basedOn w:val="Normal"/>
    <w:uiPriority w:val="99"/>
    <w:unhideWhenUsed/>
    <w:rsid w:val="001C5C55"/>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paragraph" w:customStyle="1" w:styleId="Poromisin">
    <w:name w:val="Por omisión"/>
    <w:rsid w:val="001C5C55"/>
    <w:pPr>
      <w:pBdr>
        <w:top w:val="nil"/>
        <w:left w:val="nil"/>
        <w:bottom w:val="nil"/>
        <w:right w:val="nil"/>
        <w:between w:val="nil"/>
        <w:bar w:val="nil"/>
      </w:pBdr>
      <w:spacing w:after="0" w:line="276" w:lineRule="auto"/>
      <w:ind w:firstLine="709"/>
      <w:jc w:val="both"/>
    </w:pPr>
    <w:rPr>
      <w:rFonts w:ascii="Tahoma" w:eastAsia="Arial Unicode MS" w:hAnsi="Tahoma" w:cs="Arial Unicode MS"/>
      <w:color w:val="000000"/>
      <w:bdr w:val="nil"/>
      <w:lang w:val="es-ES_tradnl" w:eastAsia="es-ES"/>
    </w:rPr>
  </w:style>
  <w:style w:type="paragraph" w:styleId="Piedepgina">
    <w:name w:val="footer"/>
    <w:basedOn w:val="Normal"/>
    <w:link w:val="PiedepginaCar"/>
    <w:uiPriority w:val="99"/>
    <w:unhideWhenUsed/>
    <w:rsid w:val="001C5C55"/>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1C5C55"/>
    <w:rPr>
      <w:lang w:val="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FA Fu Car1,Ca"/>
    <w:basedOn w:val="Normal"/>
    <w:link w:val="TextonotapieCar"/>
    <w:unhideWhenUsed/>
    <w:qFormat/>
    <w:rsid w:val="001C5C55"/>
    <w:pPr>
      <w:spacing w:line="240" w:lineRule="auto"/>
    </w:pPr>
    <w:rPr>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Car"/>
    <w:basedOn w:val="Fuentedeprrafopredeter"/>
    <w:link w:val="Textonotapie"/>
    <w:rsid w:val="001C5C55"/>
    <w:rPr>
      <w:sz w:val="20"/>
      <w:szCs w:val="20"/>
      <w:lang w:val="es-ES"/>
    </w:rPr>
  </w:style>
  <w:style w:type="character" w:styleId="Refdenotaalpie">
    <w:name w:val="footnote reference"/>
    <w:aliases w:val="Texto nota pie Car2,Texto nota pie Car Car1,Footnote Text Char Char Char Char Char Car2,Footnote Text Char Char Char Char Car2,Ref. de nota al pie1 Car1,FA Fu Car2,Footnote Text Char Char Char Car1,Footnote Text Char Car2,FC,Ref,f"/>
    <w:basedOn w:val="Fuentedeprrafopredeter"/>
    <w:unhideWhenUsed/>
    <w:qFormat/>
    <w:rsid w:val="001C5C55"/>
    <w:rPr>
      <w:vertAlign w:val="superscript"/>
    </w:rPr>
  </w:style>
  <w:style w:type="character" w:customStyle="1" w:styleId="SinespaciadoCar">
    <w:name w:val="Sin espaciado Car"/>
    <w:link w:val="Sinespaciado"/>
    <w:uiPriority w:val="1"/>
    <w:locked/>
    <w:rsid w:val="001C5C55"/>
    <w:rPr>
      <w:sz w:val="24"/>
      <w:szCs w:val="24"/>
    </w:rPr>
  </w:style>
  <w:style w:type="paragraph" w:styleId="Sinespaciado">
    <w:name w:val="No Spacing"/>
    <w:link w:val="SinespaciadoCar"/>
    <w:uiPriority w:val="1"/>
    <w:qFormat/>
    <w:rsid w:val="001C5C55"/>
    <w:pPr>
      <w:spacing w:after="0" w:line="240" w:lineRule="auto"/>
    </w:pPr>
    <w:rPr>
      <w:sz w:val="24"/>
      <w:szCs w:val="24"/>
    </w:rPr>
  </w:style>
  <w:style w:type="paragraph" w:styleId="Textoindependiente">
    <w:name w:val="Body Text"/>
    <w:basedOn w:val="Normal"/>
    <w:link w:val="TextoindependienteCar"/>
    <w:uiPriority w:val="99"/>
    <w:semiHidden/>
    <w:unhideWhenUsed/>
    <w:rsid w:val="001C5C55"/>
    <w:pPr>
      <w:spacing w:after="120"/>
    </w:pPr>
  </w:style>
  <w:style w:type="character" w:customStyle="1" w:styleId="TextoindependienteCar">
    <w:name w:val="Texto independiente Car"/>
    <w:basedOn w:val="Fuentedeprrafopredeter"/>
    <w:link w:val="Textoindependiente"/>
    <w:uiPriority w:val="99"/>
    <w:semiHidden/>
    <w:rsid w:val="001C5C55"/>
    <w:rPr>
      <w:lang w:val="es-ES"/>
    </w:rPr>
  </w:style>
  <w:style w:type="paragraph" w:styleId="Prrafodelista">
    <w:name w:val="List Paragraph"/>
    <w:basedOn w:val="Normal"/>
    <w:uiPriority w:val="34"/>
    <w:qFormat/>
    <w:rsid w:val="001C5C55"/>
    <w:pPr>
      <w:spacing w:line="240" w:lineRule="auto"/>
      <w:ind w:left="720" w:firstLine="0"/>
      <w:contextualSpacing/>
      <w:jc w:val="left"/>
    </w:pPr>
    <w:rPr>
      <w:rFonts w:ascii="Times New Roman" w:eastAsia="Times New Roman" w:hAnsi="Times New Roman" w:cs="Times New Roman"/>
      <w:sz w:val="24"/>
      <w:szCs w:val="24"/>
      <w:lang w:eastAsia="es-ES"/>
    </w:rPr>
  </w:style>
  <w:style w:type="paragraph" w:customStyle="1" w:styleId="Prrafodelista2">
    <w:name w:val="Párrafo de lista2"/>
    <w:basedOn w:val="Normal"/>
    <w:rsid w:val="001C5C55"/>
    <w:pPr>
      <w:spacing w:after="200" w:line="276" w:lineRule="auto"/>
      <w:ind w:left="720" w:firstLine="0"/>
      <w:contextualSpacing/>
      <w:jc w:val="left"/>
    </w:pPr>
    <w:rPr>
      <w:rFonts w:ascii="Calibri" w:eastAsia="Times New Roman" w:hAnsi="Calibri" w:cs="Times New Roman"/>
      <w:lang w:val="es-CO"/>
    </w:rPr>
  </w:style>
  <w:style w:type="paragraph" w:customStyle="1" w:styleId="paragraph">
    <w:name w:val="paragraph"/>
    <w:basedOn w:val="Normal"/>
    <w:rsid w:val="00A31306"/>
    <w:pPr>
      <w:spacing w:before="100" w:beforeAutospacing="1" w:after="100" w:afterAutospacing="1" w:line="240" w:lineRule="auto"/>
      <w:ind w:firstLine="0"/>
      <w:jc w:val="left"/>
    </w:pPr>
    <w:rPr>
      <w:rFonts w:ascii="Times New Roman" w:eastAsia="Times New Roman" w:hAnsi="Times New Roman" w:cs="Times New Roman"/>
      <w:sz w:val="24"/>
      <w:szCs w:val="24"/>
      <w:lang w:val="es-CO" w:eastAsia="es-ES_tradnl"/>
    </w:rPr>
  </w:style>
  <w:style w:type="character" w:customStyle="1" w:styleId="normaltextrun">
    <w:name w:val="normaltextrun"/>
    <w:basedOn w:val="Fuentedeprrafopredeter"/>
    <w:rsid w:val="00A31306"/>
  </w:style>
  <w:style w:type="character" w:customStyle="1" w:styleId="eop">
    <w:name w:val="eop"/>
    <w:basedOn w:val="Fuentedeprrafopredeter"/>
    <w:rsid w:val="00A31306"/>
  </w:style>
  <w:style w:type="paragraph" w:customStyle="1" w:styleId="xmsonormal">
    <w:name w:val="x_msonormal"/>
    <w:basedOn w:val="Normal"/>
    <w:rsid w:val="00A31306"/>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table" w:styleId="Tablaconcuadrcula">
    <w:name w:val="Table Grid"/>
    <w:basedOn w:val="Tablanormal"/>
    <w:rsid w:val="00A31306"/>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324DDD"/>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324DDD"/>
    <w:rPr>
      <w:lang w:val="es-ES"/>
    </w:rPr>
  </w:style>
  <w:style w:type="paragraph" w:styleId="Textodeglobo">
    <w:name w:val="Balloon Text"/>
    <w:basedOn w:val="Normal"/>
    <w:link w:val="TextodegloboCar"/>
    <w:uiPriority w:val="99"/>
    <w:semiHidden/>
    <w:unhideWhenUsed/>
    <w:rsid w:val="005F4AA0"/>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4AA0"/>
    <w:rPr>
      <w:rFonts w:ascii="Segoe UI" w:hAnsi="Segoe UI" w:cs="Segoe UI"/>
      <w:sz w:val="18"/>
      <w:szCs w:val="18"/>
      <w:lang w:val="es-ES"/>
    </w:rPr>
  </w:style>
  <w:style w:type="character" w:styleId="Refdecomentario">
    <w:name w:val="annotation reference"/>
    <w:basedOn w:val="Fuentedeprrafopredeter"/>
    <w:uiPriority w:val="99"/>
    <w:semiHidden/>
    <w:unhideWhenUsed/>
    <w:rsid w:val="00257723"/>
    <w:rPr>
      <w:sz w:val="16"/>
      <w:szCs w:val="16"/>
    </w:rPr>
  </w:style>
  <w:style w:type="paragraph" w:styleId="Textocomentario">
    <w:name w:val="annotation text"/>
    <w:basedOn w:val="Normal"/>
    <w:link w:val="TextocomentarioCar"/>
    <w:uiPriority w:val="99"/>
    <w:semiHidden/>
    <w:unhideWhenUsed/>
    <w:rsid w:val="0025772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57723"/>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257723"/>
    <w:rPr>
      <w:b/>
      <w:bCs/>
    </w:rPr>
  </w:style>
  <w:style w:type="character" w:customStyle="1" w:styleId="AsuntodelcomentarioCar">
    <w:name w:val="Asunto del comentario Car"/>
    <w:basedOn w:val="TextocomentarioCar"/>
    <w:link w:val="Asuntodelcomentario"/>
    <w:uiPriority w:val="99"/>
    <w:semiHidden/>
    <w:rsid w:val="00257723"/>
    <w:rPr>
      <w:b/>
      <w:bCs/>
      <w:sz w:val="20"/>
      <w:szCs w:val="20"/>
      <w:lang w:val="es-ES"/>
    </w:rPr>
  </w:style>
  <w:style w:type="paragraph" w:customStyle="1" w:styleId="Default">
    <w:name w:val="Default"/>
    <w:rsid w:val="00D81B9E"/>
    <w:pPr>
      <w:autoSpaceDE w:val="0"/>
      <w:autoSpaceDN w:val="0"/>
      <w:adjustRightInd w:val="0"/>
      <w:spacing w:after="0" w:line="240" w:lineRule="auto"/>
    </w:pPr>
    <w:rPr>
      <w:rFonts w:ascii="Bookman Old Style" w:hAnsi="Bookman Old Style" w:cs="Bookman Old Styl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297262">
      <w:bodyDiv w:val="1"/>
      <w:marLeft w:val="0"/>
      <w:marRight w:val="0"/>
      <w:marTop w:val="0"/>
      <w:marBottom w:val="0"/>
      <w:divBdr>
        <w:top w:val="none" w:sz="0" w:space="0" w:color="auto"/>
        <w:left w:val="none" w:sz="0" w:space="0" w:color="auto"/>
        <w:bottom w:val="none" w:sz="0" w:space="0" w:color="auto"/>
        <w:right w:val="none" w:sz="0" w:space="0" w:color="auto"/>
      </w:divBdr>
    </w:div>
    <w:div w:id="868492101">
      <w:bodyDiv w:val="1"/>
      <w:marLeft w:val="0"/>
      <w:marRight w:val="0"/>
      <w:marTop w:val="0"/>
      <w:marBottom w:val="0"/>
      <w:divBdr>
        <w:top w:val="none" w:sz="0" w:space="0" w:color="auto"/>
        <w:left w:val="none" w:sz="0" w:space="0" w:color="auto"/>
        <w:bottom w:val="none" w:sz="0" w:space="0" w:color="auto"/>
        <w:right w:val="none" w:sz="0" w:space="0" w:color="auto"/>
      </w:divBdr>
    </w:div>
    <w:div w:id="871921713">
      <w:bodyDiv w:val="1"/>
      <w:marLeft w:val="0"/>
      <w:marRight w:val="0"/>
      <w:marTop w:val="0"/>
      <w:marBottom w:val="0"/>
      <w:divBdr>
        <w:top w:val="none" w:sz="0" w:space="0" w:color="auto"/>
        <w:left w:val="none" w:sz="0" w:space="0" w:color="auto"/>
        <w:bottom w:val="none" w:sz="0" w:space="0" w:color="auto"/>
        <w:right w:val="none" w:sz="0" w:space="0" w:color="auto"/>
      </w:divBdr>
    </w:div>
    <w:div w:id="949706824">
      <w:bodyDiv w:val="1"/>
      <w:marLeft w:val="0"/>
      <w:marRight w:val="0"/>
      <w:marTop w:val="0"/>
      <w:marBottom w:val="0"/>
      <w:divBdr>
        <w:top w:val="none" w:sz="0" w:space="0" w:color="auto"/>
        <w:left w:val="none" w:sz="0" w:space="0" w:color="auto"/>
        <w:bottom w:val="none" w:sz="0" w:space="0" w:color="auto"/>
        <w:right w:val="none" w:sz="0" w:space="0" w:color="auto"/>
      </w:divBdr>
      <w:divsChild>
        <w:div w:id="503858225">
          <w:marLeft w:val="0"/>
          <w:marRight w:val="0"/>
          <w:marTop w:val="0"/>
          <w:marBottom w:val="0"/>
          <w:divBdr>
            <w:top w:val="none" w:sz="0" w:space="0" w:color="auto"/>
            <w:left w:val="none" w:sz="0" w:space="0" w:color="auto"/>
            <w:bottom w:val="none" w:sz="0" w:space="0" w:color="auto"/>
            <w:right w:val="none" w:sz="0" w:space="0" w:color="auto"/>
          </w:divBdr>
        </w:div>
      </w:divsChild>
    </w:div>
    <w:div w:id="1017805008">
      <w:bodyDiv w:val="1"/>
      <w:marLeft w:val="0"/>
      <w:marRight w:val="0"/>
      <w:marTop w:val="0"/>
      <w:marBottom w:val="0"/>
      <w:divBdr>
        <w:top w:val="none" w:sz="0" w:space="0" w:color="auto"/>
        <w:left w:val="none" w:sz="0" w:space="0" w:color="auto"/>
        <w:bottom w:val="none" w:sz="0" w:space="0" w:color="auto"/>
        <w:right w:val="none" w:sz="0" w:space="0" w:color="auto"/>
      </w:divBdr>
    </w:div>
    <w:div w:id="1268153117">
      <w:bodyDiv w:val="1"/>
      <w:marLeft w:val="0"/>
      <w:marRight w:val="0"/>
      <w:marTop w:val="0"/>
      <w:marBottom w:val="0"/>
      <w:divBdr>
        <w:top w:val="none" w:sz="0" w:space="0" w:color="auto"/>
        <w:left w:val="none" w:sz="0" w:space="0" w:color="auto"/>
        <w:bottom w:val="none" w:sz="0" w:space="0" w:color="auto"/>
        <w:right w:val="none" w:sz="0" w:space="0" w:color="auto"/>
      </w:divBdr>
    </w:div>
    <w:div w:id="1394935672">
      <w:bodyDiv w:val="1"/>
      <w:marLeft w:val="0"/>
      <w:marRight w:val="0"/>
      <w:marTop w:val="0"/>
      <w:marBottom w:val="0"/>
      <w:divBdr>
        <w:top w:val="none" w:sz="0" w:space="0" w:color="auto"/>
        <w:left w:val="none" w:sz="0" w:space="0" w:color="auto"/>
        <w:bottom w:val="none" w:sz="0" w:space="0" w:color="auto"/>
        <w:right w:val="none" w:sz="0" w:space="0" w:color="auto"/>
      </w:divBdr>
    </w:div>
    <w:div w:id="1538350607">
      <w:bodyDiv w:val="1"/>
      <w:marLeft w:val="0"/>
      <w:marRight w:val="0"/>
      <w:marTop w:val="0"/>
      <w:marBottom w:val="0"/>
      <w:divBdr>
        <w:top w:val="none" w:sz="0" w:space="0" w:color="auto"/>
        <w:left w:val="none" w:sz="0" w:space="0" w:color="auto"/>
        <w:bottom w:val="none" w:sz="0" w:space="0" w:color="auto"/>
        <w:right w:val="none" w:sz="0" w:space="0" w:color="auto"/>
      </w:divBdr>
    </w:div>
    <w:div w:id="1601059370">
      <w:bodyDiv w:val="1"/>
      <w:marLeft w:val="0"/>
      <w:marRight w:val="0"/>
      <w:marTop w:val="0"/>
      <w:marBottom w:val="0"/>
      <w:divBdr>
        <w:top w:val="none" w:sz="0" w:space="0" w:color="auto"/>
        <w:left w:val="none" w:sz="0" w:space="0" w:color="auto"/>
        <w:bottom w:val="none" w:sz="0" w:space="0" w:color="auto"/>
        <w:right w:val="none" w:sz="0" w:space="0" w:color="auto"/>
      </w:divBdr>
    </w:div>
    <w:div w:id="1646815448">
      <w:bodyDiv w:val="1"/>
      <w:marLeft w:val="0"/>
      <w:marRight w:val="0"/>
      <w:marTop w:val="0"/>
      <w:marBottom w:val="0"/>
      <w:divBdr>
        <w:top w:val="none" w:sz="0" w:space="0" w:color="auto"/>
        <w:left w:val="none" w:sz="0" w:space="0" w:color="auto"/>
        <w:bottom w:val="none" w:sz="0" w:space="0" w:color="auto"/>
        <w:right w:val="none" w:sz="0" w:space="0" w:color="auto"/>
      </w:divBdr>
    </w:div>
    <w:div w:id="1682506419">
      <w:bodyDiv w:val="1"/>
      <w:marLeft w:val="0"/>
      <w:marRight w:val="0"/>
      <w:marTop w:val="0"/>
      <w:marBottom w:val="0"/>
      <w:divBdr>
        <w:top w:val="none" w:sz="0" w:space="0" w:color="auto"/>
        <w:left w:val="none" w:sz="0" w:space="0" w:color="auto"/>
        <w:bottom w:val="none" w:sz="0" w:space="0" w:color="auto"/>
        <w:right w:val="none" w:sz="0" w:space="0" w:color="auto"/>
      </w:divBdr>
    </w:div>
    <w:div w:id="1858543520">
      <w:bodyDiv w:val="1"/>
      <w:marLeft w:val="0"/>
      <w:marRight w:val="0"/>
      <w:marTop w:val="0"/>
      <w:marBottom w:val="0"/>
      <w:divBdr>
        <w:top w:val="none" w:sz="0" w:space="0" w:color="auto"/>
        <w:left w:val="none" w:sz="0" w:space="0" w:color="auto"/>
        <w:bottom w:val="none" w:sz="0" w:space="0" w:color="auto"/>
        <w:right w:val="none" w:sz="0" w:space="0" w:color="auto"/>
      </w:divBdr>
    </w:div>
    <w:div w:id="1913196296">
      <w:bodyDiv w:val="1"/>
      <w:marLeft w:val="0"/>
      <w:marRight w:val="0"/>
      <w:marTop w:val="0"/>
      <w:marBottom w:val="0"/>
      <w:divBdr>
        <w:top w:val="none" w:sz="0" w:space="0" w:color="auto"/>
        <w:left w:val="none" w:sz="0" w:space="0" w:color="auto"/>
        <w:bottom w:val="none" w:sz="0" w:space="0" w:color="auto"/>
        <w:right w:val="none" w:sz="0" w:space="0" w:color="auto"/>
      </w:divBdr>
    </w:div>
    <w:div w:id="2021852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304a3d0e493f4c88"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0" ma:contentTypeDescription="Crear nuevo documento." ma:contentTypeScope="" ma:versionID="bc247b6369a3ba194a62665bc471e57f">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df4874d33f1b471045ea7a4edc53b7c0"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A62AB2-D9D6-497B-929F-1FF404A975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644E07-C041-4450-B064-75DEB5C2D3BB}">
  <ds:schemaRefs>
    <ds:schemaRef ds:uri="http://schemas.microsoft.com/sharepoint/v3/contenttype/forms"/>
  </ds:schemaRefs>
</ds:datastoreItem>
</file>

<file path=customXml/itemProps3.xml><?xml version="1.0" encoding="utf-8"?>
<ds:datastoreItem xmlns:ds="http://schemas.openxmlformats.org/officeDocument/2006/customXml" ds:itemID="{7EB13CA9-0491-4F72-A2F9-33F7107292F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40BFB7E-FFE3-444A-8F9E-C1B08A610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6</Pages>
  <Words>2430</Words>
  <Characters>13369</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Rama Judicial</Company>
  <LinksUpToDate>false</LinksUpToDate>
  <CharactersWithSpaces>15768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Despacho 01 Sala Laboral Tribunal Superior - Risaralda - Pereira</dc:creator>
  <cp:keywords/>
  <dc:description/>
  <cp:lastModifiedBy>Hermides Alonso Gaviria Ocampo</cp:lastModifiedBy>
  <cp:revision>7</cp:revision>
  <dcterms:created xsi:type="dcterms:W3CDTF">2021-10-01T12:36:00Z</dcterms:created>
  <dcterms:modified xsi:type="dcterms:W3CDTF">2021-11-10T20:21:00Z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