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943952" w:rsidRPr="00943952" w:rsidRDefault="00943952" w:rsidP="00943952">
      <w:pPr>
        <w:pBdr>
          <w:top w:val="single" w:sz="4" w:space="0" w:color="auto"/>
          <w:left w:val="single" w:sz="4" w:space="4" w:color="auto"/>
          <w:bottom w:val="single" w:sz="4" w:space="1" w:color="auto"/>
          <w:right w:val="single" w:sz="4" w:space="4" w:color="auto"/>
        </w:pBdr>
        <w:shd w:val="clear" w:color="auto" w:fill="FFFFFF"/>
        <w:spacing w:after="0" w:line="240" w:lineRule="auto"/>
        <w:jc w:val="both"/>
        <w:rPr>
          <w:rFonts w:ascii="Arial" w:eastAsia="Times New Roman" w:hAnsi="Arial" w:cs="Arial"/>
          <w:color w:val="FF0000"/>
          <w:spacing w:val="-2"/>
          <w:sz w:val="18"/>
          <w:szCs w:val="18"/>
          <w:lang w:val="es-419" w:eastAsia="fr-FR"/>
        </w:rPr>
      </w:pPr>
      <w:bookmarkStart w:id="0" w:name="_GoBack"/>
      <w:bookmarkEnd w:id="0"/>
      <w:r w:rsidRPr="00943952">
        <w:rPr>
          <w:rFonts w:ascii="Arial" w:eastAsia="Times New Roman" w:hAnsi="Arial" w:cs="Arial"/>
          <w:color w:val="FF0000"/>
          <w:spacing w:val="-2"/>
          <w:sz w:val="18"/>
          <w:szCs w:val="18"/>
          <w:lang w:val="es-419" w:eastAsia="fr-FR"/>
        </w:rPr>
        <w:t>El siguiente es el documento presentado por el Magistrado Ponente que sirvió de base para proferir la providencia dentro del presente proceso.  El contenido total y fiel de la decisión debe ser verificado en la respectiva Secretaría.</w:t>
      </w:r>
    </w:p>
    <w:p w:rsidR="00943952" w:rsidRPr="00943952" w:rsidRDefault="00943952" w:rsidP="00943952">
      <w:pPr>
        <w:spacing w:after="0" w:line="240" w:lineRule="auto"/>
        <w:jc w:val="both"/>
        <w:rPr>
          <w:rFonts w:ascii="Arial" w:eastAsia="Times New Roman" w:hAnsi="Arial" w:cs="Arial"/>
          <w:sz w:val="20"/>
          <w:szCs w:val="20"/>
          <w:lang w:val="es-419" w:eastAsia="es-ES"/>
        </w:rPr>
      </w:pPr>
    </w:p>
    <w:p w:rsidR="00943952" w:rsidRPr="00943952" w:rsidRDefault="00943952" w:rsidP="00943952">
      <w:pPr>
        <w:spacing w:after="0" w:line="240" w:lineRule="auto"/>
        <w:jc w:val="both"/>
        <w:rPr>
          <w:rFonts w:ascii="Arial" w:eastAsia="Times New Roman" w:hAnsi="Arial" w:cs="Arial"/>
          <w:b/>
          <w:bCs/>
          <w:iCs/>
          <w:sz w:val="20"/>
          <w:szCs w:val="20"/>
          <w:lang w:val="es-419" w:eastAsia="fr-FR"/>
        </w:rPr>
      </w:pPr>
      <w:r w:rsidRPr="00943952">
        <w:rPr>
          <w:rFonts w:ascii="Arial" w:eastAsia="Times New Roman" w:hAnsi="Arial" w:cs="Arial"/>
          <w:b/>
          <w:bCs/>
          <w:iCs/>
          <w:sz w:val="20"/>
          <w:szCs w:val="20"/>
          <w:u w:val="single"/>
          <w:lang w:val="es-419" w:eastAsia="fr-FR"/>
        </w:rPr>
        <w:t>TEMAS:</w:t>
      </w:r>
      <w:r w:rsidRPr="00943952">
        <w:rPr>
          <w:rFonts w:ascii="Arial" w:eastAsia="Times New Roman" w:hAnsi="Arial" w:cs="Arial"/>
          <w:b/>
          <w:bCs/>
          <w:iCs/>
          <w:sz w:val="20"/>
          <w:szCs w:val="20"/>
          <w:lang w:val="es-419" w:eastAsia="fr-FR"/>
        </w:rPr>
        <w:tab/>
      </w:r>
      <w:r w:rsidR="006938F0">
        <w:rPr>
          <w:rFonts w:ascii="Arial" w:eastAsia="Times New Roman" w:hAnsi="Arial" w:cs="Arial"/>
          <w:b/>
          <w:bCs/>
          <w:iCs/>
          <w:sz w:val="20"/>
          <w:szCs w:val="20"/>
          <w:lang w:val="es-419" w:eastAsia="fr-FR"/>
        </w:rPr>
        <w:t xml:space="preserve">CONTRATO DE TRABAJO / IGUALDAD SALARIAL / </w:t>
      </w:r>
      <w:r w:rsidR="006938F0">
        <w:rPr>
          <w:rFonts w:ascii="Arial" w:eastAsia="Times New Roman" w:hAnsi="Arial" w:cs="Arial"/>
          <w:b/>
          <w:sz w:val="20"/>
          <w:szCs w:val="20"/>
          <w:lang w:val="es-419" w:eastAsia="es-ES"/>
        </w:rPr>
        <w:t>MISMAS FUNCIONES, PERO TAMBIÉN MISMA EFICIENCIA, INTENSIDAD, CALIDAD Y RESPONSABILIDAD / CARGA PROBATORIA / CORRESPONDE AL TRABAJADOR / LIBERTAD CONTRACTUAL / PARA DETERMINAR PAGOS NO CONSTITUTIVOS DE SALARIO.</w:t>
      </w:r>
    </w:p>
    <w:p w:rsidR="00943952" w:rsidRPr="00943952" w:rsidRDefault="00943952" w:rsidP="00943952">
      <w:pPr>
        <w:spacing w:after="0" w:line="240" w:lineRule="auto"/>
        <w:jc w:val="both"/>
        <w:rPr>
          <w:rFonts w:ascii="Arial" w:eastAsia="Times New Roman" w:hAnsi="Arial" w:cs="Arial"/>
          <w:sz w:val="20"/>
          <w:szCs w:val="20"/>
          <w:lang w:val="es-419" w:eastAsia="es-ES"/>
        </w:rPr>
      </w:pPr>
    </w:p>
    <w:p w:rsidR="006F527A" w:rsidRPr="006F527A" w:rsidRDefault="006F527A" w:rsidP="006F527A">
      <w:pPr>
        <w:spacing w:after="0" w:line="240" w:lineRule="auto"/>
        <w:jc w:val="both"/>
        <w:rPr>
          <w:rFonts w:ascii="Arial" w:eastAsia="Times New Roman" w:hAnsi="Arial" w:cs="Arial"/>
          <w:sz w:val="20"/>
          <w:szCs w:val="20"/>
          <w:lang w:val="es-419" w:eastAsia="es-ES"/>
        </w:rPr>
      </w:pPr>
      <w:r w:rsidRPr="006F527A">
        <w:rPr>
          <w:rFonts w:ascii="Arial" w:eastAsia="Times New Roman" w:hAnsi="Arial" w:cs="Arial"/>
          <w:sz w:val="20"/>
          <w:szCs w:val="20"/>
          <w:lang w:val="es-419" w:eastAsia="es-ES"/>
        </w:rPr>
        <w:t>Sostiene el artículo 143 del C.S.T. que a trabajo igual desempeñado en puesto, jornada y condiciones de eficiencia también iguales, debe corresponder salario igual, comprendiendo en este todos los elementos a que se refiere el artículo 127, y que bajo esos parámetros no pueden establecerse diferencias salariales por razones de edad, género, sexo, nacionalidad, raza, religión, opinión política o actividades sindicales; motivo por el que en principio se presumirá como injustificado cualquier trato diferenciado en materia de salario, hasta tanto el empleador demuestre factores objetivos de esa diferenciación.</w:t>
      </w:r>
    </w:p>
    <w:p w:rsidR="006F527A" w:rsidRPr="006F527A" w:rsidRDefault="006F527A" w:rsidP="006F527A">
      <w:pPr>
        <w:spacing w:after="0" w:line="240" w:lineRule="auto"/>
        <w:jc w:val="both"/>
        <w:rPr>
          <w:rFonts w:ascii="Arial" w:eastAsia="Times New Roman" w:hAnsi="Arial" w:cs="Arial"/>
          <w:sz w:val="20"/>
          <w:szCs w:val="20"/>
          <w:lang w:val="es-419" w:eastAsia="es-ES"/>
        </w:rPr>
      </w:pPr>
    </w:p>
    <w:p w:rsidR="00943952" w:rsidRPr="00943952" w:rsidRDefault="006F527A" w:rsidP="006F527A">
      <w:pPr>
        <w:spacing w:after="0" w:line="240" w:lineRule="auto"/>
        <w:jc w:val="both"/>
        <w:rPr>
          <w:rFonts w:ascii="Arial" w:eastAsia="Times New Roman" w:hAnsi="Arial" w:cs="Arial"/>
          <w:sz w:val="20"/>
          <w:szCs w:val="20"/>
          <w:lang w:val="es-419" w:eastAsia="es-ES"/>
        </w:rPr>
      </w:pPr>
      <w:r w:rsidRPr="006F527A">
        <w:rPr>
          <w:rFonts w:ascii="Arial" w:eastAsia="Times New Roman" w:hAnsi="Arial" w:cs="Arial"/>
          <w:sz w:val="20"/>
          <w:szCs w:val="20"/>
          <w:lang w:val="es-419" w:eastAsia="es-ES"/>
        </w:rPr>
        <w:t>En ese último aspecto, esto es, para que se presuma un trato diferenciado por parte del empleador frente al trabajador que reclama la nivelación salarial, ha definido la Sala de Casación Laboral de la Corte Suprema de Justicia que le corresponde a este último, es decir, al trabajador, la carga de la prueba de acreditar el cargo que desempeñó, la existencia de otro u otros trabajadores que lo hayan ejercido devengando un salario superior y que las funciones realizadas las hizo en las mismas condiciones de eficiencia, intensidad, calidad y responsabilidad; postura que fue recordada en sentencia SL3688 de 19 de agosto de 2020</w:t>
      </w:r>
      <w:r>
        <w:rPr>
          <w:rFonts w:ascii="Arial" w:eastAsia="Times New Roman" w:hAnsi="Arial" w:cs="Arial"/>
          <w:sz w:val="20"/>
          <w:szCs w:val="20"/>
          <w:lang w:val="es-419" w:eastAsia="es-ES"/>
        </w:rPr>
        <w:t>…</w:t>
      </w:r>
    </w:p>
    <w:p w:rsidR="00943952" w:rsidRPr="00943952" w:rsidRDefault="00943952" w:rsidP="00943952">
      <w:pPr>
        <w:spacing w:after="0" w:line="240" w:lineRule="auto"/>
        <w:jc w:val="both"/>
        <w:rPr>
          <w:rFonts w:ascii="Arial" w:eastAsia="Times New Roman" w:hAnsi="Arial" w:cs="Arial"/>
          <w:sz w:val="20"/>
          <w:szCs w:val="20"/>
          <w:lang w:val="es-419" w:eastAsia="es-ES"/>
        </w:rPr>
      </w:pPr>
    </w:p>
    <w:p w:rsidR="00943952" w:rsidRPr="00943952" w:rsidRDefault="006938F0" w:rsidP="00943952">
      <w:pPr>
        <w:spacing w:after="0" w:line="240" w:lineRule="auto"/>
        <w:jc w:val="both"/>
        <w:rPr>
          <w:rFonts w:ascii="Arial" w:eastAsia="Times New Roman" w:hAnsi="Arial" w:cs="Arial"/>
          <w:sz w:val="20"/>
          <w:szCs w:val="20"/>
          <w:lang w:val="es-419" w:eastAsia="es-ES"/>
        </w:rPr>
      </w:pPr>
      <w:r w:rsidRPr="006938F0">
        <w:rPr>
          <w:rFonts w:ascii="Arial" w:eastAsia="Times New Roman" w:hAnsi="Arial" w:cs="Arial"/>
          <w:sz w:val="20"/>
          <w:szCs w:val="20"/>
          <w:lang w:val="es-419" w:eastAsia="es-ES"/>
        </w:rPr>
        <w:t>De conformidad con el artículo 128 del C.S.T. las partes de común acuerdo pueden expresamente establecer que beneficios o auxilios habituales u ocasionales que otorga el empleador, no constituyan salario en dinero o en especie.</w:t>
      </w:r>
      <w:r>
        <w:rPr>
          <w:rFonts w:ascii="Arial" w:eastAsia="Times New Roman" w:hAnsi="Arial" w:cs="Arial"/>
          <w:sz w:val="20"/>
          <w:szCs w:val="20"/>
          <w:lang w:val="es-419" w:eastAsia="es-ES"/>
        </w:rPr>
        <w:t xml:space="preserve"> (…)</w:t>
      </w:r>
    </w:p>
    <w:p w:rsidR="00943952" w:rsidRPr="00943952" w:rsidRDefault="00943952" w:rsidP="00943952">
      <w:pPr>
        <w:spacing w:after="0" w:line="240" w:lineRule="auto"/>
        <w:jc w:val="both"/>
        <w:rPr>
          <w:rFonts w:ascii="Arial" w:eastAsia="Times New Roman" w:hAnsi="Arial" w:cs="Arial"/>
          <w:sz w:val="20"/>
          <w:szCs w:val="20"/>
          <w:lang w:val="es-419" w:eastAsia="es-ES"/>
        </w:rPr>
      </w:pPr>
    </w:p>
    <w:p w:rsidR="00943952" w:rsidRPr="00943952" w:rsidRDefault="00943952" w:rsidP="00943952">
      <w:pPr>
        <w:spacing w:after="0" w:line="240" w:lineRule="auto"/>
        <w:jc w:val="both"/>
        <w:rPr>
          <w:rFonts w:ascii="Arial" w:eastAsia="Times New Roman" w:hAnsi="Arial" w:cs="Arial"/>
          <w:sz w:val="20"/>
          <w:szCs w:val="20"/>
          <w:lang w:val="es-419" w:eastAsia="es-ES"/>
        </w:rPr>
      </w:pPr>
    </w:p>
    <w:p w:rsidR="00943952" w:rsidRPr="00943952" w:rsidRDefault="00943952" w:rsidP="00943952">
      <w:pPr>
        <w:spacing w:after="0" w:line="240" w:lineRule="auto"/>
        <w:jc w:val="both"/>
        <w:rPr>
          <w:rFonts w:ascii="Arial" w:eastAsia="Times New Roman" w:hAnsi="Arial" w:cs="Arial"/>
          <w:sz w:val="20"/>
          <w:szCs w:val="20"/>
          <w:lang w:val="es-ES" w:eastAsia="es-ES"/>
        </w:rPr>
      </w:pPr>
    </w:p>
    <w:p w:rsidR="00595EEE" w:rsidRPr="00943952" w:rsidRDefault="00595EEE" w:rsidP="00943952">
      <w:pPr>
        <w:spacing w:after="0" w:line="276" w:lineRule="auto"/>
        <w:jc w:val="center"/>
        <w:textAlignment w:val="baseline"/>
        <w:rPr>
          <w:rFonts w:ascii="Arial" w:eastAsia="Times New Roman" w:hAnsi="Arial" w:cs="Arial"/>
          <w:sz w:val="24"/>
          <w:szCs w:val="24"/>
          <w:lang w:eastAsia="es-CO"/>
        </w:rPr>
      </w:pPr>
      <w:r w:rsidRPr="00943952">
        <w:rPr>
          <w:rFonts w:ascii="Arial" w:eastAsia="Times New Roman" w:hAnsi="Arial" w:cs="Arial"/>
          <w:b/>
          <w:bCs/>
          <w:sz w:val="24"/>
          <w:szCs w:val="24"/>
          <w:lang w:eastAsia="es-CO"/>
        </w:rPr>
        <w:t>TRIBUNAL SUPERIOR DEL DISTRITO JUDICIAL</w:t>
      </w:r>
      <w:r w:rsidRPr="00943952">
        <w:rPr>
          <w:rFonts w:ascii="Arial" w:eastAsia="Times New Roman" w:hAnsi="Arial" w:cs="Arial"/>
          <w:sz w:val="24"/>
          <w:szCs w:val="24"/>
          <w:lang w:eastAsia="es-CO"/>
        </w:rPr>
        <w:t>    </w:t>
      </w:r>
    </w:p>
    <w:p w:rsidR="00595EEE" w:rsidRPr="00943952" w:rsidRDefault="00595EEE" w:rsidP="00943952">
      <w:pPr>
        <w:spacing w:after="0" w:line="276" w:lineRule="auto"/>
        <w:jc w:val="center"/>
        <w:textAlignment w:val="baseline"/>
        <w:rPr>
          <w:rFonts w:ascii="Arial" w:eastAsia="Times New Roman" w:hAnsi="Arial" w:cs="Arial"/>
          <w:sz w:val="24"/>
          <w:szCs w:val="24"/>
          <w:lang w:eastAsia="es-CO"/>
        </w:rPr>
      </w:pPr>
      <w:r w:rsidRPr="00943952">
        <w:rPr>
          <w:rFonts w:ascii="Arial" w:eastAsia="Times New Roman" w:hAnsi="Arial" w:cs="Arial"/>
          <w:b/>
          <w:bCs/>
          <w:sz w:val="24"/>
          <w:szCs w:val="24"/>
          <w:lang w:eastAsia="es-CO"/>
        </w:rPr>
        <w:t>SALA DE DECISIÓN LABORAL</w:t>
      </w:r>
    </w:p>
    <w:p w:rsidR="00595EEE" w:rsidRPr="00943952" w:rsidRDefault="00595EEE" w:rsidP="00943952">
      <w:pPr>
        <w:spacing w:after="0" w:line="276" w:lineRule="auto"/>
        <w:jc w:val="center"/>
        <w:textAlignment w:val="baseline"/>
        <w:rPr>
          <w:rFonts w:ascii="Arial" w:eastAsia="Times New Roman" w:hAnsi="Arial" w:cs="Arial"/>
          <w:sz w:val="24"/>
          <w:szCs w:val="24"/>
          <w:lang w:eastAsia="es-CO"/>
        </w:rPr>
      </w:pPr>
      <w:r w:rsidRPr="00943952">
        <w:rPr>
          <w:rFonts w:ascii="Arial" w:eastAsia="Times New Roman" w:hAnsi="Arial" w:cs="Arial"/>
          <w:b/>
          <w:bCs/>
          <w:sz w:val="24"/>
          <w:szCs w:val="24"/>
          <w:lang w:eastAsia="es-CO"/>
        </w:rPr>
        <w:t>MAGISTRADO PONENTE: JULIO CÉSAR SALAZAR MUÑOZ</w:t>
      </w:r>
    </w:p>
    <w:p w:rsidR="00943952" w:rsidRDefault="00943952" w:rsidP="00943952">
      <w:pPr>
        <w:spacing w:after="0" w:line="276" w:lineRule="auto"/>
        <w:jc w:val="center"/>
        <w:textAlignment w:val="baseline"/>
        <w:rPr>
          <w:rFonts w:ascii="Arial" w:eastAsia="Times New Roman" w:hAnsi="Arial" w:cs="Arial"/>
          <w:bCs/>
          <w:sz w:val="24"/>
          <w:szCs w:val="24"/>
          <w:lang w:eastAsia="es-CO"/>
        </w:rPr>
      </w:pPr>
    </w:p>
    <w:p w:rsidR="002C4962" w:rsidRPr="00943952" w:rsidRDefault="00943952" w:rsidP="00943952">
      <w:pPr>
        <w:spacing w:after="0" w:line="276" w:lineRule="auto"/>
        <w:jc w:val="center"/>
        <w:textAlignment w:val="baseline"/>
        <w:rPr>
          <w:rFonts w:ascii="Arial" w:eastAsia="Times New Roman" w:hAnsi="Arial" w:cs="Arial"/>
          <w:bCs/>
          <w:sz w:val="24"/>
          <w:szCs w:val="24"/>
          <w:lang w:eastAsia="es-CO"/>
        </w:rPr>
      </w:pPr>
      <w:r w:rsidRPr="00943952">
        <w:rPr>
          <w:rFonts w:ascii="Arial" w:eastAsia="Times New Roman" w:hAnsi="Arial" w:cs="Arial"/>
          <w:bCs/>
          <w:sz w:val="24"/>
          <w:szCs w:val="24"/>
          <w:lang w:eastAsia="es-CO"/>
        </w:rPr>
        <w:t>Pereira, diecisiete de marzo de dos mil veintiuno</w:t>
      </w:r>
    </w:p>
    <w:p w:rsidR="00595EEE" w:rsidRPr="00943952" w:rsidRDefault="002C4962" w:rsidP="00943952">
      <w:pPr>
        <w:spacing w:after="0" w:line="276" w:lineRule="auto"/>
        <w:jc w:val="center"/>
        <w:textAlignment w:val="baseline"/>
        <w:rPr>
          <w:rFonts w:ascii="Arial" w:eastAsia="Times New Roman" w:hAnsi="Arial" w:cs="Arial"/>
          <w:sz w:val="24"/>
          <w:szCs w:val="24"/>
          <w:lang w:eastAsia="es-CO"/>
        </w:rPr>
      </w:pPr>
      <w:r w:rsidRPr="00943952">
        <w:rPr>
          <w:rFonts w:ascii="Arial" w:eastAsia="Times New Roman" w:hAnsi="Arial" w:cs="Arial"/>
          <w:bCs/>
          <w:sz w:val="24"/>
          <w:szCs w:val="24"/>
          <w:lang w:eastAsia="es-CO"/>
        </w:rPr>
        <w:t>Acta de Sala de Discusión No 39 de 15 de marzo de 2021</w:t>
      </w:r>
      <w:r w:rsidR="00595EEE" w:rsidRPr="00943952">
        <w:rPr>
          <w:rFonts w:ascii="Arial" w:eastAsia="Times New Roman" w:hAnsi="Arial" w:cs="Arial"/>
          <w:sz w:val="24"/>
          <w:szCs w:val="24"/>
          <w:lang w:eastAsia="es-CO"/>
        </w:rPr>
        <w:t>    </w:t>
      </w: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xml:space="preserve">Se resuelven los recursos de apelación interpuestos por la totalidad de los intervinientes en contra de la sentencia proferida por el Juzgado Laboral del Circuito de Dosquebradas el 8 de septiembre de 2020, dentro del proceso promovido por la señora </w:t>
      </w:r>
      <w:r w:rsidRPr="00943952">
        <w:rPr>
          <w:rFonts w:ascii="Arial" w:eastAsia="Times New Roman" w:hAnsi="Arial" w:cs="Arial"/>
          <w:b/>
          <w:sz w:val="24"/>
          <w:szCs w:val="24"/>
          <w:lang w:eastAsia="es-CO"/>
        </w:rPr>
        <w:t>YULIETH ALEXANDRA LÓPEZ VERA</w:t>
      </w:r>
      <w:r w:rsidRPr="00943952">
        <w:rPr>
          <w:rFonts w:ascii="Arial" w:eastAsia="Times New Roman" w:hAnsi="Arial" w:cs="Arial"/>
          <w:sz w:val="24"/>
          <w:szCs w:val="24"/>
          <w:lang w:eastAsia="es-CO"/>
        </w:rPr>
        <w:t xml:space="preserve"> en contra de las sociedades </w:t>
      </w:r>
      <w:r w:rsidRPr="00943952">
        <w:rPr>
          <w:rFonts w:ascii="Arial" w:eastAsia="Times New Roman" w:hAnsi="Arial" w:cs="Arial"/>
          <w:b/>
          <w:sz w:val="24"/>
          <w:szCs w:val="24"/>
          <w:lang w:eastAsia="es-CO"/>
        </w:rPr>
        <w:t>SERVIENTREGA S.A.</w:t>
      </w:r>
      <w:r w:rsidRPr="00943952">
        <w:rPr>
          <w:rFonts w:ascii="Arial" w:eastAsia="Times New Roman" w:hAnsi="Arial" w:cs="Arial"/>
          <w:sz w:val="24"/>
          <w:szCs w:val="24"/>
          <w:lang w:eastAsia="es-CO"/>
        </w:rPr>
        <w:t xml:space="preserve"> y </w:t>
      </w:r>
      <w:r w:rsidRPr="00943952">
        <w:rPr>
          <w:rFonts w:ascii="Arial" w:eastAsia="Times New Roman" w:hAnsi="Arial" w:cs="Arial"/>
          <w:b/>
          <w:sz w:val="24"/>
          <w:szCs w:val="24"/>
          <w:lang w:eastAsia="es-CO"/>
        </w:rPr>
        <w:t>DAR AYUDA TEMPORAL S.A.,</w:t>
      </w:r>
      <w:r w:rsidRPr="00943952">
        <w:rPr>
          <w:rFonts w:ascii="Arial" w:eastAsia="Times New Roman" w:hAnsi="Arial" w:cs="Arial"/>
          <w:sz w:val="24"/>
          <w:szCs w:val="24"/>
          <w:lang w:eastAsia="es-CO"/>
        </w:rPr>
        <w:t xml:space="preserve"> cuya radicación corresponde al N°</w:t>
      </w:r>
      <w:r w:rsidR="00943952">
        <w:rPr>
          <w:rFonts w:ascii="Arial" w:eastAsia="Times New Roman" w:hAnsi="Arial" w:cs="Arial"/>
          <w:sz w:val="24"/>
          <w:szCs w:val="24"/>
          <w:lang w:eastAsia="es-CO"/>
        </w:rPr>
        <w:t xml:space="preserve"> </w:t>
      </w:r>
      <w:r w:rsidRPr="00943952">
        <w:rPr>
          <w:rFonts w:ascii="Arial" w:eastAsia="Times New Roman" w:hAnsi="Arial" w:cs="Arial"/>
          <w:sz w:val="24"/>
          <w:szCs w:val="24"/>
          <w:lang w:eastAsia="es-CO"/>
        </w:rPr>
        <w:t>66</w:t>
      </w:r>
      <w:r w:rsidR="56CF81E4" w:rsidRPr="00943952">
        <w:rPr>
          <w:rFonts w:ascii="Arial" w:eastAsia="Times New Roman" w:hAnsi="Arial" w:cs="Arial"/>
          <w:sz w:val="24"/>
          <w:szCs w:val="24"/>
          <w:lang w:eastAsia="es-CO"/>
        </w:rPr>
        <w:t>170</w:t>
      </w:r>
      <w:r w:rsidRPr="00943952">
        <w:rPr>
          <w:rFonts w:ascii="Arial" w:eastAsia="Times New Roman" w:hAnsi="Arial" w:cs="Arial"/>
          <w:sz w:val="24"/>
          <w:szCs w:val="24"/>
          <w:lang w:eastAsia="es-CO"/>
        </w:rPr>
        <w:t>310500120180034701.</w:t>
      </w: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w:t>
      </w:r>
    </w:p>
    <w:p w:rsidR="00595EEE" w:rsidRPr="00943952" w:rsidRDefault="00595EEE" w:rsidP="00943952">
      <w:pPr>
        <w:spacing w:after="0" w:line="276" w:lineRule="auto"/>
        <w:jc w:val="center"/>
        <w:textAlignment w:val="baseline"/>
        <w:rPr>
          <w:rFonts w:ascii="Arial" w:eastAsia="Times New Roman" w:hAnsi="Arial" w:cs="Arial"/>
          <w:sz w:val="24"/>
          <w:szCs w:val="24"/>
          <w:lang w:eastAsia="es-CO"/>
        </w:rPr>
      </w:pPr>
      <w:r w:rsidRPr="00943952">
        <w:rPr>
          <w:rFonts w:ascii="Arial" w:eastAsia="Times New Roman" w:hAnsi="Arial" w:cs="Arial"/>
          <w:b/>
          <w:bCs/>
          <w:sz w:val="24"/>
          <w:szCs w:val="24"/>
          <w:lang w:val="es-ES" w:eastAsia="es-CO"/>
        </w:rPr>
        <w:t>ANTECEDENTES</w:t>
      </w:r>
      <w:r w:rsidRPr="00943952">
        <w:rPr>
          <w:rFonts w:ascii="Arial" w:eastAsia="Times New Roman" w:hAnsi="Arial" w:cs="Arial"/>
          <w:sz w:val="24"/>
          <w:szCs w:val="24"/>
          <w:lang w:eastAsia="es-CO"/>
        </w:rPr>
        <w:t>  </w:t>
      </w: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w:t>
      </w:r>
    </w:p>
    <w:p w:rsidR="0099443B" w:rsidRPr="00943952" w:rsidRDefault="00595EEE"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val="es-ES" w:eastAsia="es-CO"/>
        </w:rPr>
        <w:t>Pretende la señora Yulieth Alexandra López Vera que la justicia laboral declare que</w:t>
      </w:r>
      <w:r w:rsidR="0099443B" w:rsidRPr="00943952">
        <w:rPr>
          <w:rFonts w:ascii="Arial" w:eastAsia="Times New Roman" w:hAnsi="Arial" w:cs="Arial"/>
          <w:sz w:val="24"/>
          <w:szCs w:val="24"/>
          <w:lang w:val="es-ES" w:eastAsia="es-CO"/>
        </w:rPr>
        <w:t xml:space="preserve">: </w:t>
      </w:r>
      <w:r w:rsidR="0099443B" w:rsidRPr="00943952">
        <w:rPr>
          <w:rFonts w:ascii="Arial" w:eastAsia="Times New Roman" w:hAnsi="Arial" w:cs="Arial"/>
          <w:i/>
          <w:sz w:val="24"/>
          <w:szCs w:val="24"/>
          <w:lang w:val="es-ES" w:eastAsia="es-CO"/>
        </w:rPr>
        <w:t>i)</w:t>
      </w:r>
      <w:r w:rsidRPr="00943952">
        <w:rPr>
          <w:rFonts w:ascii="Arial" w:eastAsia="Times New Roman" w:hAnsi="Arial" w:cs="Arial"/>
          <w:sz w:val="24"/>
          <w:szCs w:val="24"/>
          <w:lang w:val="es-ES" w:eastAsia="es-CO"/>
        </w:rPr>
        <w:t xml:space="preserve"> entre ella y la sociedad Servientrega S.A. existió un contrato de trabajo a término indefinido entre el 16 de diciembre de 2015 y el 7 de octubre de 2017, </w:t>
      </w:r>
      <w:proofErr w:type="spellStart"/>
      <w:r w:rsidR="0099443B" w:rsidRPr="00943952">
        <w:rPr>
          <w:rFonts w:ascii="Arial" w:eastAsia="Times New Roman" w:hAnsi="Arial" w:cs="Arial"/>
          <w:i/>
          <w:sz w:val="24"/>
          <w:szCs w:val="24"/>
          <w:lang w:val="es-ES" w:eastAsia="es-CO"/>
        </w:rPr>
        <w:t>ii</w:t>
      </w:r>
      <w:proofErr w:type="spellEnd"/>
      <w:r w:rsidR="0099443B" w:rsidRPr="00943952">
        <w:rPr>
          <w:rFonts w:ascii="Arial" w:eastAsia="Times New Roman" w:hAnsi="Arial" w:cs="Arial"/>
          <w:i/>
          <w:sz w:val="24"/>
          <w:szCs w:val="24"/>
          <w:lang w:val="es-ES" w:eastAsia="es-CO"/>
        </w:rPr>
        <w:t>)</w:t>
      </w:r>
      <w:r w:rsidR="0099443B" w:rsidRPr="00943952">
        <w:rPr>
          <w:rFonts w:ascii="Arial" w:eastAsia="Times New Roman" w:hAnsi="Arial" w:cs="Arial"/>
          <w:sz w:val="24"/>
          <w:szCs w:val="24"/>
          <w:lang w:val="es-ES" w:eastAsia="es-CO"/>
        </w:rPr>
        <w:t xml:space="preserve"> la sociedad Dar Ayuda Temporal S.A. actuó como simple intermediaria, y, </w:t>
      </w:r>
      <w:proofErr w:type="spellStart"/>
      <w:r w:rsidR="0099443B" w:rsidRPr="00943952">
        <w:rPr>
          <w:rFonts w:ascii="Arial" w:eastAsia="Times New Roman" w:hAnsi="Arial" w:cs="Arial"/>
          <w:i/>
          <w:sz w:val="24"/>
          <w:szCs w:val="24"/>
          <w:lang w:val="es-ES" w:eastAsia="es-CO"/>
        </w:rPr>
        <w:t>iii</w:t>
      </w:r>
      <w:proofErr w:type="spellEnd"/>
      <w:r w:rsidR="0099443B" w:rsidRPr="00943952">
        <w:rPr>
          <w:rFonts w:ascii="Arial" w:eastAsia="Times New Roman" w:hAnsi="Arial" w:cs="Arial"/>
          <w:i/>
          <w:sz w:val="24"/>
          <w:szCs w:val="24"/>
          <w:lang w:val="es-ES" w:eastAsia="es-CO"/>
        </w:rPr>
        <w:t>)</w:t>
      </w:r>
      <w:r w:rsidR="0099443B" w:rsidRPr="00943952">
        <w:rPr>
          <w:rFonts w:ascii="Arial" w:eastAsia="Times New Roman" w:hAnsi="Arial" w:cs="Arial"/>
          <w:sz w:val="24"/>
          <w:szCs w:val="24"/>
          <w:lang w:val="es-ES" w:eastAsia="es-CO"/>
        </w:rPr>
        <w:t xml:space="preserve"> el bono de servicio y </w:t>
      </w:r>
      <w:r w:rsidR="00FB0028" w:rsidRPr="00943952">
        <w:rPr>
          <w:rFonts w:ascii="Arial" w:eastAsia="Times New Roman" w:hAnsi="Arial" w:cs="Arial"/>
          <w:sz w:val="24"/>
          <w:szCs w:val="24"/>
          <w:lang w:val="es-ES" w:eastAsia="es-CO"/>
        </w:rPr>
        <w:t xml:space="preserve">el </w:t>
      </w:r>
      <w:r w:rsidR="0099443B" w:rsidRPr="00943952">
        <w:rPr>
          <w:rFonts w:ascii="Arial" w:eastAsia="Times New Roman" w:hAnsi="Arial" w:cs="Arial"/>
          <w:sz w:val="24"/>
          <w:szCs w:val="24"/>
          <w:lang w:val="es-ES" w:eastAsia="es-CO"/>
        </w:rPr>
        <w:t>auxilio de formación cancelado</w:t>
      </w:r>
      <w:r w:rsidR="00FB0028" w:rsidRPr="00943952">
        <w:rPr>
          <w:rFonts w:ascii="Arial" w:eastAsia="Times New Roman" w:hAnsi="Arial" w:cs="Arial"/>
          <w:sz w:val="24"/>
          <w:szCs w:val="24"/>
          <w:lang w:val="es-ES" w:eastAsia="es-CO"/>
        </w:rPr>
        <w:t>s</w:t>
      </w:r>
      <w:r w:rsidR="0099443B" w:rsidRPr="00943952">
        <w:rPr>
          <w:rFonts w:ascii="Arial" w:eastAsia="Times New Roman" w:hAnsi="Arial" w:cs="Arial"/>
          <w:sz w:val="24"/>
          <w:szCs w:val="24"/>
          <w:lang w:val="es-ES" w:eastAsia="es-CO"/>
        </w:rPr>
        <w:t xml:space="preserve"> a su favor constituye</w:t>
      </w:r>
      <w:r w:rsidR="00FB0028" w:rsidRPr="00943952">
        <w:rPr>
          <w:rFonts w:ascii="Arial" w:eastAsia="Times New Roman" w:hAnsi="Arial" w:cs="Arial"/>
          <w:sz w:val="24"/>
          <w:szCs w:val="24"/>
          <w:lang w:val="es-ES" w:eastAsia="es-CO"/>
        </w:rPr>
        <w:t>n</w:t>
      </w:r>
      <w:r w:rsidR="0099443B" w:rsidRPr="00943952">
        <w:rPr>
          <w:rFonts w:ascii="Arial" w:eastAsia="Times New Roman" w:hAnsi="Arial" w:cs="Arial"/>
          <w:sz w:val="24"/>
          <w:szCs w:val="24"/>
          <w:lang w:val="es-ES" w:eastAsia="es-CO"/>
        </w:rPr>
        <w:t xml:space="preserve"> factor salarial.</w:t>
      </w:r>
    </w:p>
    <w:p w:rsidR="00595EEE" w:rsidRPr="00943952" w:rsidRDefault="00595EEE" w:rsidP="00943952">
      <w:pPr>
        <w:spacing w:after="0" w:line="276" w:lineRule="auto"/>
        <w:jc w:val="both"/>
        <w:textAlignment w:val="baseline"/>
        <w:rPr>
          <w:rFonts w:ascii="Arial" w:eastAsia="Times New Roman" w:hAnsi="Arial" w:cs="Arial"/>
          <w:sz w:val="24"/>
          <w:szCs w:val="24"/>
          <w:lang w:val="es-ES" w:eastAsia="es-CO"/>
        </w:rPr>
      </w:pPr>
    </w:p>
    <w:p w:rsidR="00595EEE" w:rsidRPr="00943952" w:rsidRDefault="00595EEE"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val="es-ES" w:eastAsia="es-CO"/>
        </w:rPr>
        <w:t xml:space="preserve">Con base en </w:t>
      </w:r>
      <w:r w:rsidR="0099443B" w:rsidRPr="00943952">
        <w:rPr>
          <w:rFonts w:ascii="Arial" w:eastAsia="Times New Roman" w:hAnsi="Arial" w:cs="Arial"/>
          <w:sz w:val="24"/>
          <w:szCs w:val="24"/>
          <w:lang w:val="es-ES" w:eastAsia="es-CO"/>
        </w:rPr>
        <w:t xml:space="preserve">esas declaraciones, aspira que se condene a Servientrega S.A. en su calidad de empleador y solidariamente a Dar Ayuda Temporal S.A. como simple intermediaria, a reconocer y pagar el reajuste de las prestaciones sociales, vacaciones, aportes a la seguridad social en pensiones, las sanciones moratorias </w:t>
      </w:r>
      <w:r w:rsidR="0099443B" w:rsidRPr="00943952">
        <w:rPr>
          <w:rFonts w:ascii="Arial" w:eastAsia="Times New Roman" w:hAnsi="Arial" w:cs="Arial"/>
          <w:sz w:val="24"/>
          <w:szCs w:val="24"/>
          <w:lang w:val="es-ES" w:eastAsia="es-CO"/>
        </w:rPr>
        <w:lastRenderedPageBreak/>
        <w:t>previstas en los artículos 99 de la Ley 50 de 1990, 65 del CST, la indemnización por despido sin justa causa</w:t>
      </w:r>
      <w:r w:rsidR="00DA5F83" w:rsidRPr="00943952">
        <w:rPr>
          <w:rFonts w:ascii="Arial" w:eastAsia="Times New Roman" w:hAnsi="Arial" w:cs="Arial"/>
          <w:sz w:val="24"/>
          <w:szCs w:val="24"/>
          <w:lang w:val="es-ES" w:eastAsia="es-CO"/>
        </w:rPr>
        <w:t xml:space="preserve">, lo que resulte probado extra y ultra </w:t>
      </w:r>
      <w:proofErr w:type="spellStart"/>
      <w:r w:rsidR="00DA5F83" w:rsidRPr="00943952">
        <w:rPr>
          <w:rFonts w:ascii="Arial" w:eastAsia="Times New Roman" w:hAnsi="Arial" w:cs="Arial"/>
          <w:sz w:val="24"/>
          <w:szCs w:val="24"/>
          <w:lang w:val="es-ES" w:eastAsia="es-CO"/>
        </w:rPr>
        <w:t>petita</w:t>
      </w:r>
      <w:proofErr w:type="spellEnd"/>
      <w:r w:rsidR="00DA5F83" w:rsidRPr="00943952">
        <w:rPr>
          <w:rFonts w:ascii="Arial" w:eastAsia="Times New Roman" w:hAnsi="Arial" w:cs="Arial"/>
          <w:sz w:val="24"/>
          <w:szCs w:val="24"/>
          <w:lang w:val="es-ES" w:eastAsia="es-CO"/>
        </w:rPr>
        <w:t xml:space="preserve"> y las costas procesales a su favor; así mismo solicita que</w:t>
      </w:r>
      <w:r w:rsidR="00F86056" w:rsidRPr="00943952">
        <w:rPr>
          <w:rFonts w:ascii="Arial" w:eastAsia="Times New Roman" w:hAnsi="Arial" w:cs="Arial"/>
          <w:sz w:val="24"/>
          <w:szCs w:val="24"/>
          <w:lang w:val="es-ES" w:eastAsia="es-CO"/>
        </w:rPr>
        <w:t xml:space="preserve"> en caso de probarse que los trabajadores de planta de Servientrega S.A. devengan un salario superior al que se le cancelaba a ella, se ordene el reajuste salarial con todas las consecuencias económicas que ello acarrea; además de que se </w:t>
      </w:r>
      <w:r w:rsidR="00DA5F83" w:rsidRPr="00943952">
        <w:rPr>
          <w:rFonts w:ascii="Arial" w:eastAsia="Times New Roman" w:hAnsi="Arial" w:cs="Arial"/>
          <w:sz w:val="24"/>
          <w:szCs w:val="24"/>
          <w:lang w:val="es-ES" w:eastAsia="es-CO"/>
        </w:rPr>
        <w:t>oficie al Ministerio de Trabajo dando aplicación a lo previsto en los numerales 3 y 4 del artículo 20 del Decreto 4369 de 2006.</w:t>
      </w:r>
    </w:p>
    <w:p w:rsidR="00595EEE" w:rsidRPr="00943952" w:rsidRDefault="00595EEE" w:rsidP="00943952">
      <w:pPr>
        <w:spacing w:after="0" w:line="276" w:lineRule="auto"/>
        <w:jc w:val="both"/>
        <w:textAlignment w:val="baseline"/>
        <w:rPr>
          <w:rFonts w:ascii="Arial" w:eastAsia="Times New Roman" w:hAnsi="Arial" w:cs="Arial"/>
          <w:sz w:val="24"/>
          <w:szCs w:val="24"/>
          <w:lang w:val="es-ES" w:eastAsia="es-CO"/>
        </w:rPr>
      </w:pPr>
    </w:p>
    <w:p w:rsidR="00595EEE" w:rsidRPr="00943952" w:rsidRDefault="00DA5F83"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val="es-ES" w:eastAsia="es-CO"/>
        </w:rPr>
        <w:t>Refiere que: sostuvo un contrato de trabajo con la sociedad Servientrega S.A. entre las calendas reseñadas anteriormente, la cual estuvo enmascarada dentro de varias relaciones laborales con la intermediaria Dar Ayuda Temporal S.A., quien fue la entidad encargada de contratarla y remitirla en misión</w:t>
      </w:r>
      <w:r w:rsidR="00FB0028" w:rsidRPr="00943952">
        <w:rPr>
          <w:rFonts w:ascii="Arial" w:eastAsia="Times New Roman" w:hAnsi="Arial" w:cs="Arial"/>
          <w:sz w:val="24"/>
          <w:szCs w:val="24"/>
          <w:lang w:val="es-ES" w:eastAsia="es-CO"/>
        </w:rPr>
        <w:t xml:space="preserve"> a la verdadera empleadora; el cargo que desempeñó durante todo ese periodo fue el de auxiliar </w:t>
      </w:r>
      <w:proofErr w:type="spellStart"/>
      <w:r w:rsidR="00FB0028" w:rsidRPr="00943952">
        <w:rPr>
          <w:rFonts w:ascii="Arial" w:eastAsia="Times New Roman" w:hAnsi="Arial" w:cs="Arial"/>
          <w:sz w:val="24"/>
          <w:szCs w:val="24"/>
          <w:lang w:val="es-ES" w:eastAsia="es-CO"/>
        </w:rPr>
        <w:t>cross</w:t>
      </w:r>
      <w:proofErr w:type="spellEnd"/>
      <w:r w:rsidR="00FB0028" w:rsidRPr="00943952">
        <w:rPr>
          <w:rFonts w:ascii="Arial" w:eastAsia="Times New Roman" w:hAnsi="Arial" w:cs="Arial"/>
          <w:sz w:val="24"/>
          <w:szCs w:val="24"/>
          <w:lang w:val="es-ES" w:eastAsia="es-CO"/>
        </w:rPr>
        <w:t xml:space="preserve"> </w:t>
      </w:r>
      <w:proofErr w:type="spellStart"/>
      <w:r w:rsidR="00FB0028" w:rsidRPr="00943952">
        <w:rPr>
          <w:rFonts w:ascii="Arial" w:eastAsia="Times New Roman" w:hAnsi="Arial" w:cs="Arial"/>
          <w:sz w:val="24"/>
          <w:szCs w:val="24"/>
          <w:lang w:val="es-ES" w:eastAsia="es-CO"/>
        </w:rPr>
        <w:t>docking</w:t>
      </w:r>
      <w:proofErr w:type="spellEnd"/>
      <w:r w:rsidR="00FB0028" w:rsidRPr="00943952">
        <w:rPr>
          <w:rFonts w:ascii="Arial" w:eastAsia="Times New Roman" w:hAnsi="Arial" w:cs="Arial"/>
          <w:sz w:val="24"/>
          <w:szCs w:val="24"/>
          <w:lang w:val="es-ES" w:eastAsia="es-CO"/>
        </w:rPr>
        <w:t xml:space="preserve"> en Dosquebradas, devengando el salario mínimo legal mensual vigente; no obstante, durante la relación contractual se le pagó habitualmente un bono de servicio y un auxilio de formación, que realmente remuneraban sus servicios; en suma, al terminar el contrato de trabajo, su salario no era el mínimo legal mensual vigente, sino $807.717; conforme con ello, se le deben reajustar las prestaciones sociales, vacaciones y aportes a la seguridad social; el 7 de octubre de 2017 la empresa demandada a través de su intermediaria, decidió dar por terminado el contrato de trabajo sin justificación alguna.</w:t>
      </w:r>
    </w:p>
    <w:p w:rsidR="00595EEE" w:rsidRPr="00943952" w:rsidRDefault="00595EEE" w:rsidP="00943952">
      <w:pPr>
        <w:spacing w:after="0" w:line="276" w:lineRule="auto"/>
        <w:jc w:val="both"/>
        <w:textAlignment w:val="baseline"/>
        <w:rPr>
          <w:rFonts w:ascii="Arial" w:eastAsia="Times New Roman" w:hAnsi="Arial" w:cs="Arial"/>
          <w:sz w:val="24"/>
          <w:szCs w:val="24"/>
          <w:lang w:val="es-ES" w:eastAsia="es-CO"/>
        </w:rPr>
      </w:pPr>
    </w:p>
    <w:p w:rsidR="00FD7571" w:rsidRPr="00943952" w:rsidRDefault="00595EEE"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val="es-ES" w:eastAsia="es-CO"/>
        </w:rPr>
        <w:t>Al dar respuesta a la acción -fls.</w:t>
      </w:r>
      <w:r w:rsidR="00F86056" w:rsidRPr="00943952">
        <w:rPr>
          <w:rFonts w:ascii="Arial" w:eastAsia="Times New Roman" w:hAnsi="Arial" w:cs="Arial"/>
          <w:sz w:val="24"/>
          <w:szCs w:val="24"/>
          <w:lang w:val="es-ES" w:eastAsia="es-CO"/>
        </w:rPr>
        <w:t xml:space="preserve">120 a </w:t>
      </w:r>
      <w:r w:rsidR="00FD7571" w:rsidRPr="00943952">
        <w:rPr>
          <w:rFonts w:ascii="Arial" w:eastAsia="Times New Roman" w:hAnsi="Arial" w:cs="Arial"/>
          <w:sz w:val="24"/>
          <w:szCs w:val="24"/>
          <w:lang w:val="es-ES" w:eastAsia="es-CO"/>
        </w:rPr>
        <w:t>127 y 200</w:t>
      </w:r>
      <w:r w:rsidRPr="00943952">
        <w:rPr>
          <w:rFonts w:ascii="Arial" w:eastAsia="Times New Roman" w:hAnsi="Arial" w:cs="Arial"/>
          <w:sz w:val="24"/>
          <w:szCs w:val="24"/>
          <w:lang w:val="es-ES" w:eastAsia="es-CO"/>
        </w:rPr>
        <w:t xml:space="preserve">- la sociedad </w:t>
      </w:r>
      <w:r w:rsidR="00FD7571" w:rsidRPr="00943952">
        <w:rPr>
          <w:rFonts w:ascii="Arial" w:eastAsia="Times New Roman" w:hAnsi="Arial" w:cs="Arial"/>
          <w:sz w:val="24"/>
          <w:szCs w:val="24"/>
          <w:lang w:val="es-ES" w:eastAsia="es-CO"/>
        </w:rPr>
        <w:t>Dar Ayuda Temporal S.A. se opuso a la totalidad de las pretensiones de la demanda, explicando que la señora Yulieth Alexandra López Vera fue contratada por esa entidad en tres oportunidades (16 de diciembre de 2015 a 22 de octubre de 2016, 15 de noviembre de 2016 a 7 de octubre de 2017 y 30 de octubre de 2017 a 8 de octubre de 2018), pero bajo el amparo de la Ley 50 de 1990, remitiéndola en misión en esas tres oportunidades a la sociedad Servientrega S.A., quien tenía una serie de necesidades temporales, sin que se configurara una relación contractual directa con la empresa usuaria. Así mismo refirió que, el salario pactado fue el mínimo legal mensual vigente, más un bono de servicio que hace parte de la remuneración mensual y un auxilio de formación no prestacional</w:t>
      </w:r>
      <w:r w:rsidR="00780046" w:rsidRPr="00943952">
        <w:rPr>
          <w:rFonts w:ascii="Arial" w:eastAsia="Times New Roman" w:hAnsi="Arial" w:cs="Arial"/>
          <w:sz w:val="24"/>
          <w:szCs w:val="24"/>
          <w:lang w:val="es-ES" w:eastAsia="es-CO"/>
        </w:rPr>
        <w:t>, el cual no retribuía el esfuerzo de la trabajadora. Formuló las excepciones de mérito que denominó “</w:t>
      </w:r>
      <w:r w:rsidR="00780046" w:rsidRPr="00943952">
        <w:rPr>
          <w:rFonts w:ascii="Arial" w:eastAsia="Times New Roman" w:hAnsi="Arial" w:cs="Arial"/>
          <w:i/>
          <w:sz w:val="24"/>
          <w:szCs w:val="24"/>
          <w:lang w:val="es-ES" w:eastAsia="es-CO"/>
        </w:rPr>
        <w:t>Mala fe del demandante”, “Pago total de salarios y prestaciones sociales”, “Buena fe del empleador”</w:t>
      </w:r>
      <w:r w:rsidR="00780046" w:rsidRPr="00943952">
        <w:rPr>
          <w:rFonts w:ascii="Arial" w:eastAsia="Times New Roman" w:hAnsi="Arial" w:cs="Arial"/>
          <w:sz w:val="24"/>
          <w:szCs w:val="24"/>
          <w:lang w:val="es-ES" w:eastAsia="es-CO"/>
        </w:rPr>
        <w:t xml:space="preserve"> y “</w:t>
      </w:r>
      <w:r w:rsidR="00780046" w:rsidRPr="00943952">
        <w:rPr>
          <w:rFonts w:ascii="Arial" w:eastAsia="Times New Roman" w:hAnsi="Arial" w:cs="Arial"/>
          <w:i/>
          <w:sz w:val="24"/>
          <w:szCs w:val="24"/>
          <w:lang w:val="es-ES" w:eastAsia="es-CO"/>
        </w:rPr>
        <w:t>Prescripción</w:t>
      </w:r>
      <w:r w:rsidR="00780046" w:rsidRPr="00943952">
        <w:rPr>
          <w:rFonts w:ascii="Arial" w:eastAsia="Times New Roman" w:hAnsi="Arial" w:cs="Arial"/>
          <w:sz w:val="24"/>
          <w:szCs w:val="24"/>
          <w:lang w:val="es-ES" w:eastAsia="es-CO"/>
        </w:rPr>
        <w:t>”.</w:t>
      </w:r>
    </w:p>
    <w:p w:rsidR="00780046" w:rsidRPr="00943952" w:rsidRDefault="00780046" w:rsidP="00943952">
      <w:pPr>
        <w:spacing w:after="0" w:line="276" w:lineRule="auto"/>
        <w:jc w:val="both"/>
        <w:textAlignment w:val="baseline"/>
        <w:rPr>
          <w:rFonts w:ascii="Arial" w:eastAsia="Times New Roman" w:hAnsi="Arial" w:cs="Arial"/>
          <w:sz w:val="24"/>
          <w:szCs w:val="24"/>
          <w:lang w:val="es-ES" w:eastAsia="es-CO"/>
        </w:rPr>
      </w:pPr>
    </w:p>
    <w:p w:rsidR="00780046" w:rsidRPr="00943952" w:rsidRDefault="00780046"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val="es-ES" w:eastAsia="es-CO"/>
        </w:rPr>
        <w:t xml:space="preserve">Por su parte, Servientrega S.A. dio respuesta a la demanda -fls.163 a 174- oponiéndose a la totalidad de las pretensiones, argumentando que el vínculo laboral sostenido por la accionante no fue con esa entidad, sino con Dar Ayuda Temporal S.A., </w:t>
      </w:r>
      <w:r w:rsidR="00A86E44" w:rsidRPr="00943952">
        <w:rPr>
          <w:rFonts w:ascii="Arial" w:eastAsia="Times New Roman" w:hAnsi="Arial" w:cs="Arial"/>
          <w:sz w:val="24"/>
          <w:szCs w:val="24"/>
          <w:lang w:val="es-ES" w:eastAsia="es-CO"/>
        </w:rPr>
        <w:t>quien,</w:t>
      </w:r>
      <w:r w:rsidRPr="00943952">
        <w:rPr>
          <w:rFonts w:ascii="Arial" w:eastAsia="Times New Roman" w:hAnsi="Arial" w:cs="Arial"/>
          <w:sz w:val="24"/>
          <w:szCs w:val="24"/>
          <w:lang w:val="es-ES" w:eastAsia="es-CO"/>
        </w:rPr>
        <w:t xml:space="preserve"> de acuerdo con unas necesidades puntuales de la </w:t>
      </w:r>
      <w:r w:rsidR="00A86E44" w:rsidRPr="00943952">
        <w:rPr>
          <w:rFonts w:ascii="Arial" w:eastAsia="Times New Roman" w:hAnsi="Arial" w:cs="Arial"/>
          <w:sz w:val="24"/>
          <w:szCs w:val="24"/>
          <w:lang w:val="es-ES" w:eastAsia="es-CO"/>
        </w:rPr>
        <w:t>sociedad, remitió en misión a su trabajadora, sin que ello signifique la configuración de un contrato de trabajo entre Servientrega S.A. y la señora Yulieth Alexandra López Vera. Planteó las excepciones de fondo de “</w:t>
      </w:r>
      <w:r w:rsidR="00A86E44" w:rsidRPr="00943952">
        <w:rPr>
          <w:rFonts w:ascii="Arial" w:eastAsia="Times New Roman" w:hAnsi="Arial" w:cs="Arial"/>
          <w:i/>
          <w:sz w:val="24"/>
          <w:szCs w:val="24"/>
          <w:lang w:val="es-ES" w:eastAsia="es-CO"/>
        </w:rPr>
        <w:t>Cobro de lo no debido”, “Buena fe”, “Compensación o pago</w:t>
      </w:r>
      <w:r w:rsidR="00A86E44" w:rsidRPr="00943952">
        <w:rPr>
          <w:rFonts w:ascii="Arial" w:eastAsia="Times New Roman" w:hAnsi="Arial" w:cs="Arial"/>
          <w:sz w:val="24"/>
          <w:szCs w:val="24"/>
          <w:lang w:val="es-ES" w:eastAsia="es-CO"/>
        </w:rPr>
        <w:t>” y “</w:t>
      </w:r>
      <w:r w:rsidR="00A86E44" w:rsidRPr="00943952">
        <w:rPr>
          <w:rFonts w:ascii="Arial" w:eastAsia="Times New Roman" w:hAnsi="Arial" w:cs="Arial"/>
          <w:i/>
          <w:sz w:val="24"/>
          <w:szCs w:val="24"/>
          <w:lang w:val="es-ES" w:eastAsia="es-CO"/>
        </w:rPr>
        <w:t>Prescripción</w:t>
      </w:r>
      <w:r w:rsidR="00A86E44" w:rsidRPr="00943952">
        <w:rPr>
          <w:rFonts w:ascii="Arial" w:eastAsia="Times New Roman" w:hAnsi="Arial" w:cs="Arial"/>
          <w:sz w:val="24"/>
          <w:szCs w:val="24"/>
          <w:lang w:val="es-ES" w:eastAsia="es-CO"/>
        </w:rPr>
        <w:t>”.</w:t>
      </w:r>
    </w:p>
    <w:p w:rsidR="00FD7571" w:rsidRPr="00943952" w:rsidRDefault="00FD7571" w:rsidP="00943952">
      <w:pPr>
        <w:spacing w:after="0" w:line="276" w:lineRule="auto"/>
        <w:jc w:val="both"/>
        <w:textAlignment w:val="baseline"/>
        <w:rPr>
          <w:rFonts w:ascii="Arial" w:eastAsia="Times New Roman" w:hAnsi="Arial" w:cs="Arial"/>
          <w:sz w:val="24"/>
          <w:szCs w:val="24"/>
          <w:lang w:val="es-ES" w:eastAsia="es-CO"/>
        </w:rPr>
      </w:pPr>
    </w:p>
    <w:p w:rsidR="00A13FBC" w:rsidRPr="00943952" w:rsidRDefault="00A13FBC"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xml:space="preserve">En sentencia de 8 de septiembre de 2020, la funcionaria de primer grado declaró que entre la señora Yulieth Alexandra López Vera y la sociedad Servientrega S.A. </w:t>
      </w:r>
      <w:r w:rsidRPr="00943952">
        <w:rPr>
          <w:rFonts w:ascii="Arial" w:eastAsia="Times New Roman" w:hAnsi="Arial" w:cs="Arial"/>
          <w:sz w:val="24"/>
          <w:szCs w:val="24"/>
          <w:lang w:eastAsia="es-CO"/>
        </w:rPr>
        <w:lastRenderedPageBreak/>
        <w:t xml:space="preserve">existió un contrato de trabajo </w:t>
      </w:r>
      <w:r w:rsidR="001F0F5D" w:rsidRPr="00943952">
        <w:rPr>
          <w:rFonts w:ascii="Arial" w:eastAsia="Times New Roman" w:hAnsi="Arial" w:cs="Arial"/>
          <w:sz w:val="24"/>
          <w:szCs w:val="24"/>
          <w:lang w:eastAsia="es-CO"/>
        </w:rPr>
        <w:t xml:space="preserve">entre el 16 de diciembre de 2015 y el 8 de octubre de 2018, </w:t>
      </w:r>
      <w:r w:rsidRPr="00943952">
        <w:rPr>
          <w:rFonts w:ascii="Arial" w:eastAsia="Times New Roman" w:hAnsi="Arial" w:cs="Arial"/>
          <w:sz w:val="24"/>
          <w:szCs w:val="24"/>
          <w:lang w:eastAsia="es-CO"/>
        </w:rPr>
        <w:t xml:space="preserve">en el que la empresa Dar Ayuda Temporal S.A. actuó como simple intermediaria, en razón a que no se demostró en el plenario que la remisión de la trabajadora a Servientrega S.A. como supuesta trabajadora en misión, obedeciera a una necesidad temporal de esa entidad como lo prevé </w:t>
      </w:r>
      <w:r w:rsidR="004D2425" w:rsidRPr="00943952">
        <w:rPr>
          <w:rFonts w:ascii="Arial" w:eastAsia="Times New Roman" w:hAnsi="Arial" w:cs="Arial"/>
          <w:sz w:val="24"/>
          <w:szCs w:val="24"/>
          <w:lang w:eastAsia="es-CO"/>
        </w:rPr>
        <w:t>la ley</w:t>
      </w:r>
      <w:r w:rsidRPr="00943952">
        <w:rPr>
          <w:rFonts w:ascii="Arial" w:eastAsia="Times New Roman" w:hAnsi="Arial" w:cs="Arial"/>
          <w:sz w:val="24"/>
          <w:szCs w:val="24"/>
          <w:lang w:eastAsia="es-CO"/>
        </w:rPr>
        <w:t xml:space="preserve">, pues lo que quedó acreditado es que su ubicación como auxiliar de </w:t>
      </w:r>
      <w:proofErr w:type="spellStart"/>
      <w:r w:rsidRPr="00943952">
        <w:rPr>
          <w:rFonts w:ascii="Arial" w:eastAsia="Times New Roman" w:hAnsi="Arial" w:cs="Arial"/>
          <w:sz w:val="24"/>
          <w:szCs w:val="24"/>
          <w:lang w:eastAsia="es-CO"/>
        </w:rPr>
        <w:t>cross</w:t>
      </w:r>
      <w:proofErr w:type="spellEnd"/>
      <w:r w:rsidRPr="00943952">
        <w:rPr>
          <w:rFonts w:ascii="Arial" w:eastAsia="Times New Roman" w:hAnsi="Arial" w:cs="Arial"/>
          <w:sz w:val="24"/>
          <w:szCs w:val="24"/>
          <w:lang w:eastAsia="es-CO"/>
        </w:rPr>
        <w:t xml:space="preserve"> </w:t>
      </w:r>
      <w:proofErr w:type="spellStart"/>
      <w:r w:rsidRPr="00943952">
        <w:rPr>
          <w:rFonts w:ascii="Arial" w:eastAsia="Times New Roman" w:hAnsi="Arial" w:cs="Arial"/>
          <w:sz w:val="24"/>
          <w:szCs w:val="24"/>
          <w:lang w:eastAsia="es-CO"/>
        </w:rPr>
        <w:t>docking</w:t>
      </w:r>
      <w:proofErr w:type="spellEnd"/>
      <w:r w:rsidRPr="00943952">
        <w:rPr>
          <w:rFonts w:ascii="Arial" w:eastAsia="Times New Roman" w:hAnsi="Arial" w:cs="Arial"/>
          <w:sz w:val="24"/>
          <w:szCs w:val="24"/>
          <w:lang w:eastAsia="es-CO"/>
        </w:rPr>
        <w:t xml:space="preserve"> se presentó para llenar una vacante permanente de la verdadera empleadora, vinculación que no era dable hacer en la forma determinada por las demandadas.</w:t>
      </w:r>
    </w:p>
    <w:p w:rsidR="008177FC" w:rsidRPr="00943952" w:rsidRDefault="008177FC" w:rsidP="00943952">
      <w:pPr>
        <w:spacing w:after="0" w:line="276" w:lineRule="auto"/>
        <w:jc w:val="both"/>
        <w:textAlignment w:val="baseline"/>
        <w:rPr>
          <w:rFonts w:ascii="Arial" w:eastAsia="Times New Roman" w:hAnsi="Arial" w:cs="Arial"/>
          <w:sz w:val="24"/>
          <w:szCs w:val="24"/>
          <w:lang w:eastAsia="es-CO"/>
        </w:rPr>
      </w:pPr>
    </w:p>
    <w:p w:rsidR="00A13FBC" w:rsidRPr="00943952" w:rsidRDefault="00A13FBC"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Posteriormente sostuvo que la simple intermediaria</w:t>
      </w:r>
      <w:r w:rsidR="008177FC" w:rsidRPr="00943952">
        <w:rPr>
          <w:rFonts w:ascii="Arial" w:eastAsia="Times New Roman" w:hAnsi="Arial" w:cs="Arial"/>
          <w:sz w:val="24"/>
          <w:szCs w:val="24"/>
          <w:lang w:eastAsia="es-CO"/>
        </w:rPr>
        <w:t>,</w:t>
      </w:r>
      <w:r w:rsidRPr="00943952">
        <w:rPr>
          <w:rFonts w:ascii="Arial" w:eastAsia="Times New Roman" w:hAnsi="Arial" w:cs="Arial"/>
          <w:sz w:val="24"/>
          <w:szCs w:val="24"/>
          <w:lang w:eastAsia="es-CO"/>
        </w:rPr>
        <w:t xml:space="preserve"> en representación de la verdadera empleadora, al dar respuesta a la demanda, confesó que el bono de servicio constituía factor salarial, acompañando esa confesión con la reliquidación que de las prestaciones sociales y vacaciones hizo en su momento esa entidad a favor de la señora López Vera, razón por la que no era necesario hacer un pronunciamiento frente a ese aspecto. </w:t>
      </w:r>
    </w:p>
    <w:p w:rsidR="00A13FBC" w:rsidRPr="00943952" w:rsidRDefault="00A13FBC" w:rsidP="00943952">
      <w:pPr>
        <w:spacing w:after="0" w:line="276" w:lineRule="auto"/>
        <w:jc w:val="both"/>
        <w:textAlignment w:val="baseline"/>
        <w:rPr>
          <w:rFonts w:ascii="Arial" w:eastAsia="Times New Roman" w:hAnsi="Arial" w:cs="Arial"/>
          <w:sz w:val="24"/>
          <w:szCs w:val="24"/>
          <w:lang w:eastAsia="es-CO"/>
        </w:rPr>
      </w:pPr>
    </w:p>
    <w:p w:rsidR="001F0F5D" w:rsidRPr="00943952" w:rsidRDefault="008177FC"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xml:space="preserve">A continuación, abordó el tema del auxilio de formación, manifestando que esa era una remuneración habitual que se le entregaba a la totalidad de los trabajadores de Servientrega S.A., incluida la demandante, destinada supuestamente a la formación académica de sus trabajadores, no obstante, según las pruebas allegadas al proceso, ese auxilio, además de no haber sido excluido por las partes como factor salarial, la verdad es que no tenía el objeto que su nombre indica, por cuanto la sociedad empleadora lo cancelaba junto con el salario sin que sus trabajadores tuvieran que demostrar que se encontraban estudiando o que se habían inscrito en algún curso de formación; por lo que al no cumplir realmente con la supuesta finalidad que tenía ese auxilio, </w:t>
      </w:r>
      <w:r w:rsidR="001F0F5D" w:rsidRPr="00943952">
        <w:rPr>
          <w:rFonts w:ascii="Arial" w:eastAsia="Times New Roman" w:hAnsi="Arial" w:cs="Arial"/>
          <w:sz w:val="24"/>
          <w:szCs w:val="24"/>
          <w:lang w:eastAsia="es-CO"/>
        </w:rPr>
        <w:t xml:space="preserve">concluyó que el mismo retribuía realmente el servicio que como auxiliar </w:t>
      </w:r>
      <w:proofErr w:type="spellStart"/>
      <w:r w:rsidR="001F0F5D" w:rsidRPr="00943952">
        <w:rPr>
          <w:rFonts w:ascii="Arial" w:eastAsia="Times New Roman" w:hAnsi="Arial" w:cs="Arial"/>
          <w:sz w:val="24"/>
          <w:szCs w:val="24"/>
          <w:lang w:eastAsia="es-CO"/>
        </w:rPr>
        <w:t>cross</w:t>
      </w:r>
      <w:proofErr w:type="spellEnd"/>
      <w:r w:rsidR="001F0F5D" w:rsidRPr="00943952">
        <w:rPr>
          <w:rFonts w:ascii="Arial" w:eastAsia="Times New Roman" w:hAnsi="Arial" w:cs="Arial"/>
          <w:sz w:val="24"/>
          <w:szCs w:val="24"/>
          <w:lang w:eastAsia="es-CO"/>
        </w:rPr>
        <w:t xml:space="preserve"> </w:t>
      </w:r>
      <w:proofErr w:type="spellStart"/>
      <w:r w:rsidR="001F0F5D" w:rsidRPr="00943952">
        <w:rPr>
          <w:rFonts w:ascii="Arial" w:eastAsia="Times New Roman" w:hAnsi="Arial" w:cs="Arial"/>
          <w:sz w:val="24"/>
          <w:szCs w:val="24"/>
          <w:lang w:eastAsia="es-CO"/>
        </w:rPr>
        <w:t>docking</w:t>
      </w:r>
      <w:proofErr w:type="spellEnd"/>
      <w:r w:rsidR="001F0F5D" w:rsidRPr="00943952">
        <w:rPr>
          <w:rFonts w:ascii="Arial" w:eastAsia="Times New Roman" w:hAnsi="Arial" w:cs="Arial"/>
          <w:sz w:val="24"/>
          <w:szCs w:val="24"/>
          <w:lang w:eastAsia="es-CO"/>
        </w:rPr>
        <w:t xml:space="preserve"> desempeñaba la demandante.</w:t>
      </w:r>
    </w:p>
    <w:p w:rsidR="001F0F5D" w:rsidRPr="00943952" w:rsidRDefault="001F0F5D" w:rsidP="00943952">
      <w:pPr>
        <w:spacing w:after="0" w:line="276" w:lineRule="auto"/>
        <w:jc w:val="both"/>
        <w:textAlignment w:val="baseline"/>
        <w:rPr>
          <w:rFonts w:ascii="Arial" w:eastAsia="Times New Roman" w:hAnsi="Arial" w:cs="Arial"/>
          <w:sz w:val="24"/>
          <w:szCs w:val="24"/>
          <w:lang w:eastAsia="es-CO"/>
        </w:rPr>
      </w:pPr>
    </w:p>
    <w:p w:rsidR="008177FC" w:rsidRPr="00943952" w:rsidRDefault="001F0F5D"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Conforme con lo expuesto, condenó a Servientrega S.A. a reconocer y pagar la suma de $239.296 por concepto de reajuste de cesantías y prima de servicios, explicando que, de acuerdo con los cálculos hechos por el despacho, no se encontró diferencia a favor de la actora por concepto de vacaciones e intereses a las cesantías.</w:t>
      </w:r>
      <w:r w:rsidR="008177FC" w:rsidRPr="00943952">
        <w:rPr>
          <w:rFonts w:ascii="Arial" w:eastAsia="Times New Roman" w:hAnsi="Arial" w:cs="Arial"/>
          <w:sz w:val="24"/>
          <w:szCs w:val="24"/>
          <w:lang w:eastAsia="es-CO"/>
        </w:rPr>
        <w:t xml:space="preserve"> </w:t>
      </w:r>
      <w:r w:rsidR="00CA17BF" w:rsidRPr="00943952">
        <w:rPr>
          <w:rFonts w:ascii="Arial" w:eastAsia="Times New Roman" w:hAnsi="Arial" w:cs="Arial"/>
          <w:sz w:val="24"/>
          <w:szCs w:val="24"/>
          <w:lang w:eastAsia="es-CO"/>
        </w:rPr>
        <w:t xml:space="preserve">De la misma manera condenó a la entidad empleadora a reajustar los aportes </w:t>
      </w:r>
      <w:r w:rsidR="00EB72D9" w:rsidRPr="00943952">
        <w:rPr>
          <w:rFonts w:ascii="Arial" w:eastAsia="Times New Roman" w:hAnsi="Arial" w:cs="Arial"/>
          <w:sz w:val="24"/>
          <w:szCs w:val="24"/>
          <w:lang w:eastAsia="es-CO"/>
        </w:rPr>
        <w:t>al sistema general de pensiones con destino al fondo pensional al que se encuentre afiliada la accionante, teniendo en cuenta los salarios reseñados en el ordinal quinto de la providencia.</w:t>
      </w:r>
    </w:p>
    <w:p w:rsidR="001F0F5D" w:rsidRPr="00943952" w:rsidRDefault="001F0F5D" w:rsidP="00943952">
      <w:pPr>
        <w:spacing w:after="0" w:line="276" w:lineRule="auto"/>
        <w:jc w:val="both"/>
        <w:textAlignment w:val="baseline"/>
        <w:rPr>
          <w:rFonts w:ascii="Arial" w:eastAsia="Times New Roman" w:hAnsi="Arial" w:cs="Arial"/>
          <w:sz w:val="24"/>
          <w:szCs w:val="24"/>
          <w:lang w:eastAsia="es-CO"/>
        </w:rPr>
      </w:pPr>
    </w:p>
    <w:p w:rsidR="001F0F5D" w:rsidRPr="00943952" w:rsidRDefault="001F0F5D"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xml:space="preserve">En cuanto a la pretensión dirigida a que se reajustara también el salario de la señora Yulieth Alexandra López Vera en caso de que se demostrara en el proceso que uno de los trabajadores de Servientrega S.A. que desempeñara el mismo cargo de la actora devengaba una suma superior a ella, señaló que las pretensiones deben estar fundamentadas en los supuestos fácticos incorporados en la demanda, sin embargo, en este caso ello no acontece, ya que la demandante </w:t>
      </w:r>
      <w:r w:rsidR="00CA17BF" w:rsidRPr="00943952">
        <w:rPr>
          <w:rFonts w:ascii="Arial" w:eastAsia="Times New Roman" w:hAnsi="Arial" w:cs="Arial"/>
          <w:sz w:val="24"/>
          <w:szCs w:val="24"/>
          <w:lang w:eastAsia="es-CO"/>
        </w:rPr>
        <w:t xml:space="preserve">no se preocupó por narrar los hechos que fundamentaban esa pretensión, agregando que en todo caso no se demostró en el plenario que la accionante prestará los servicios como auxiliar </w:t>
      </w:r>
      <w:proofErr w:type="spellStart"/>
      <w:r w:rsidR="00CA17BF" w:rsidRPr="00943952">
        <w:rPr>
          <w:rFonts w:ascii="Arial" w:eastAsia="Times New Roman" w:hAnsi="Arial" w:cs="Arial"/>
          <w:sz w:val="24"/>
          <w:szCs w:val="24"/>
          <w:lang w:eastAsia="es-CO"/>
        </w:rPr>
        <w:t>cross</w:t>
      </w:r>
      <w:proofErr w:type="spellEnd"/>
      <w:r w:rsidR="00CA17BF" w:rsidRPr="00943952">
        <w:rPr>
          <w:rFonts w:ascii="Arial" w:eastAsia="Times New Roman" w:hAnsi="Arial" w:cs="Arial"/>
          <w:sz w:val="24"/>
          <w:szCs w:val="24"/>
          <w:lang w:eastAsia="es-CO"/>
        </w:rPr>
        <w:t xml:space="preserve"> </w:t>
      </w:r>
      <w:proofErr w:type="spellStart"/>
      <w:r w:rsidR="00CA17BF" w:rsidRPr="00943952">
        <w:rPr>
          <w:rFonts w:ascii="Arial" w:eastAsia="Times New Roman" w:hAnsi="Arial" w:cs="Arial"/>
          <w:sz w:val="24"/>
          <w:szCs w:val="24"/>
          <w:lang w:eastAsia="es-CO"/>
        </w:rPr>
        <w:t>docking</w:t>
      </w:r>
      <w:proofErr w:type="spellEnd"/>
      <w:r w:rsidR="00CA17BF" w:rsidRPr="00943952">
        <w:rPr>
          <w:rFonts w:ascii="Arial" w:eastAsia="Times New Roman" w:hAnsi="Arial" w:cs="Arial"/>
          <w:sz w:val="24"/>
          <w:szCs w:val="24"/>
          <w:lang w:eastAsia="es-CO"/>
        </w:rPr>
        <w:t xml:space="preserve"> en las mismas condiciones de eficiencia y responsabilidad frente a otro u otros trabajadores que ostentaran idéntico cargo; razón por la que no accedió a esa pretensión elevada por la parte actora.</w:t>
      </w:r>
    </w:p>
    <w:p w:rsidR="008177FC" w:rsidRPr="00943952" w:rsidRDefault="008177FC" w:rsidP="00943952">
      <w:pPr>
        <w:spacing w:after="0" w:line="276" w:lineRule="auto"/>
        <w:jc w:val="both"/>
        <w:textAlignment w:val="baseline"/>
        <w:rPr>
          <w:rFonts w:ascii="Arial" w:eastAsia="Times New Roman" w:hAnsi="Arial" w:cs="Arial"/>
          <w:sz w:val="24"/>
          <w:szCs w:val="24"/>
          <w:lang w:eastAsia="es-CO"/>
        </w:rPr>
      </w:pPr>
    </w:p>
    <w:p w:rsidR="00A86E44" w:rsidRPr="00943952" w:rsidRDefault="00EB72D9"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lastRenderedPageBreak/>
        <w:t>Seguidamente determinó que la entidad empleadora, a través de la simple intermediaria, dio por finalizado el contrato de trabajo de la demandante unilateralmente y sin justa causa, tal y como se ve en la liquidación final del contrato de trabajo en el que se le reconoció la correspondiente indemnización, sin embargo, al reajustarse el salario devengado por la trabajadora de acuerdo con el auxilio de formación, condenó a la entidad empleadora a reajustar esa indemnización y por lo tanto fulminó condena en ese aspecto por la suma de $1.000.336.</w:t>
      </w:r>
    </w:p>
    <w:p w:rsidR="00EB72D9" w:rsidRPr="00943952" w:rsidRDefault="00EB72D9" w:rsidP="00943952">
      <w:pPr>
        <w:spacing w:after="0" w:line="276" w:lineRule="auto"/>
        <w:jc w:val="both"/>
        <w:textAlignment w:val="baseline"/>
        <w:rPr>
          <w:rFonts w:ascii="Arial" w:eastAsia="Times New Roman" w:hAnsi="Arial" w:cs="Arial"/>
          <w:sz w:val="24"/>
          <w:szCs w:val="24"/>
          <w:lang w:eastAsia="es-CO"/>
        </w:rPr>
      </w:pPr>
    </w:p>
    <w:p w:rsidR="007C4711" w:rsidRPr="00943952" w:rsidRDefault="00EB72D9"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En lo concerniente a las sanciones moratori</w:t>
      </w:r>
      <w:r w:rsidR="00102BA5" w:rsidRPr="00943952">
        <w:rPr>
          <w:rFonts w:ascii="Arial" w:eastAsia="Times New Roman" w:hAnsi="Arial" w:cs="Arial"/>
          <w:sz w:val="24"/>
          <w:szCs w:val="24"/>
          <w:lang w:eastAsia="es-CO"/>
        </w:rPr>
        <w:t>a</w:t>
      </w:r>
      <w:r w:rsidRPr="00943952">
        <w:rPr>
          <w:rFonts w:ascii="Arial" w:eastAsia="Times New Roman" w:hAnsi="Arial" w:cs="Arial"/>
          <w:sz w:val="24"/>
          <w:szCs w:val="24"/>
          <w:lang w:eastAsia="es-CO"/>
        </w:rPr>
        <w:t xml:space="preserve">s, sostuvo que la verdadera empleadora no demostró que su omisión en el reconocimiento y pago del auxilio de formación como factor salarial, con sus consecuencias en la liquidación de las prestaciones sociales y en el monto que debía consignarse por concepto de cesantías, se hubiere presentado por un accionar que pudiere ubicarse en el plano de la buena fe; razón por la que </w:t>
      </w:r>
      <w:r w:rsidR="007C4711" w:rsidRPr="00943952">
        <w:rPr>
          <w:rFonts w:ascii="Arial" w:eastAsia="Times New Roman" w:hAnsi="Arial" w:cs="Arial"/>
          <w:sz w:val="24"/>
          <w:szCs w:val="24"/>
          <w:lang w:eastAsia="es-CO"/>
        </w:rPr>
        <w:t>condenó a la sociedad Servientrega S.A. a reconocer y pagar las sanciones previstas en los artículos 99 de la Ley 50 de 1990 y 65 del CST, en la forma dispuesta en los ordinales sexto y séptimo de la sentencia.</w:t>
      </w:r>
    </w:p>
    <w:p w:rsidR="007C4711" w:rsidRPr="00943952" w:rsidRDefault="007C4711" w:rsidP="00943952">
      <w:pPr>
        <w:spacing w:after="0" w:line="276" w:lineRule="auto"/>
        <w:jc w:val="both"/>
        <w:textAlignment w:val="baseline"/>
        <w:rPr>
          <w:rFonts w:ascii="Arial" w:eastAsia="Times New Roman" w:hAnsi="Arial" w:cs="Arial"/>
          <w:sz w:val="24"/>
          <w:szCs w:val="24"/>
          <w:lang w:eastAsia="es-CO"/>
        </w:rPr>
      </w:pPr>
    </w:p>
    <w:p w:rsidR="007C4711" w:rsidRPr="00943952" w:rsidRDefault="007C4711"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Al demostrarse que la sociedad Dar Ayuda Temporal S.A. actuó como una simple intermediaria entre la señora Yulieth Alexandra López Vera y la empresa Servientrega S.A., la condenó a responder solidariamente frente a todas y cada una de las condenas impuestas en contra de la entidad empleadora.</w:t>
      </w:r>
    </w:p>
    <w:p w:rsidR="007C4711" w:rsidRPr="00943952" w:rsidRDefault="007C4711" w:rsidP="00943952">
      <w:pPr>
        <w:spacing w:after="0" w:line="276" w:lineRule="auto"/>
        <w:jc w:val="both"/>
        <w:textAlignment w:val="baseline"/>
        <w:rPr>
          <w:rFonts w:ascii="Arial" w:eastAsia="Times New Roman" w:hAnsi="Arial" w:cs="Arial"/>
          <w:sz w:val="24"/>
          <w:szCs w:val="24"/>
          <w:lang w:eastAsia="es-CO"/>
        </w:rPr>
      </w:pPr>
    </w:p>
    <w:p w:rsidR="00EB72D9" w:rsidRPr="00943952" w:rsidRDefault="007C4711"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eastAsia="es-CO"/>
        </w:rPr>
        <w:t>Finalmente condenó en costas procesales a las entidades demandadas en un 80% a favor de la demandante.</w:t>
      </w:r>
      <w:r w:rsidR="00EB72D9" w:rsidRPr="00943952">
        <w:rPr>
          <w:rFonts w:ascii="Arial" w:eastAsia="Times New Roman" w:hAnsi="Arial" w:cs="Arial"/>
          <w:sz w:val="24"/>
          <w:szCs w:val="24"/>
          <w:lang w:eastAsia="es-CO"/>
        </w:rPr>
        <w:t xml:space="preserve"> </w:t>
      </w:r>
    </w:p>
    <w:p w:rsidR="00595EEE" w:rsidRPr="00943952" w:rsidRDefault="00595EEE" w:rsidP="00943952">
      <w:pPr>
        <w:spacing w:after="0" w:line="276" w:lineRule="auto"/>
        <w:jc w:val="both"/>
        <w:textAlignment w:val="baseline"/>
        <w:rPr>
          <w:rFonts w:ascii="Arial" w:eastAsia="Times New Roman" w:hAnsi="Arial" w:cs="Arial"/>
          <w:sz w:val="24"/>
          <w:szCs w:val="24"/>
          <w:lang w:val="es-ES" w:eastAsia="es-CO"/>
        </w:rPr>
      </w:pPr>
    </w:p>
    <w:p w:rsidR="00595EEE" w:rsidRPr="00943952" w:rsidRDefault="00595EEE"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val="es-ES" w:eastAsia="es-CO"/>
        </w:rPr>
        <w:t xml:space="preserve">Inconformes parcialmente con la decisión, </w:t>
      </w:r>
      <w:r w:rsidR="007C4711" w:rsidRPr="00943952">
        <w:rPr>
          <w:rFonts w:ascii="Arial" w:eastAsia="Times New Roman" w:hAnsi="Arial" w:cs="Arial"/>
          <w:sz w:val="24"/>
          <w:szCs w:val="24"/>
          <w:lang w:val="es-ES" w:eastAsia="es-CO"/>
        </w:rPr>
        <w:t>la totalidad de los intervinientes</w:t>
      </w:r>
      <w:r w:rsidRPr="00943952">
        <w:rPr>
          <w:rFonts w:ascii="Arial" w:eastAsia="Times New Roman" w:hAnsi="Arial" w:cs="Arial"/>
          <w:sz w:val="24"/>
          <w:szCs w:val="24"/>
          <w:lang w:val="es-ES" w:eastAsia="es-CO"/>
        </w:rPr>
        <w:t xml:space="preserve"> interpusieron recurso de apelación en los siguientes términos:</w:t>
      </w:r>
    </w:p>
    <w:p w:rsidR="007C4711" w:rsidRPr="00943952" w:rsidRDefault="007C4711" w:rsidP="00943952">
      <w:pPr>
        <w:spacing w:after="0" w:line="276" w:lineRule="auto"/>
        <w:jc w:val="both"/>
        <w:textAlignment w:val="baseline"/>
        <w:rPr>
          <w:rFonts w:ascii="Arial" w:eastAsia="Times New Roman" w:hAnsi="Arial" w:cs="Arial"/>
          <w:sz w:val="24"/>
          <w:szCs w:val="24"/>
          <w:lang w:val="es-ES" w:eastAsia="es-CO"/>
        </w:rPr>
      </w:pPr>
    </w:p>
    <w:p w:rsidR="007C4711" w:rsidRPr="00943952" w:rsidRDefault="007C4711"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val="es-ES" w:eastAsia="es-CO"/>
        </w:rPr>
        <w:t xml:space="preserve">El apoderado judicial de la parte actora argumentó que, contrario a lo afirmado por la </w:t>
      </w:r>
      <w:r w:rsidRPr="00943952">
        <w:rPr>
          <w:rFonts w:ascii="Arial" w:eastAsia="Times New Roman" w:hAnsi="Arial" w:cs="Arial"/>
          <w:i/>
          <w:iCs/>
          <w:sz w:val="24"/>
          <w:szCs w:val="24"/>
          <w:lang w:val="es-ES" w:eastAsia="es-CO"/>
        </w:rPr>
        <w:t>a quo</w:t>
      </w:r>
      <w:r w:rsidRPr="00943952">
        <w:rPr>
          <w:rFonts w:ascii="Arial" w:eastAsia="Times New Roman" w:hAnsi="Arial" w:cs="Arial"/>
          <w:sz w:val="24"/>
          <w:szCs w:val="24"/>
          <w:lang w:val="es-ES" w:eastAsia="es-CO"/>
        </w:rPr>
        <w:t xml:space="preserve">, en el proceso se demostró fehacientemente que en la sociedad Servientrega S.A. existían otros trabajadores que desempeñaban el mismo cargo de la señora Yulieth Alexandra López Vera, esto es, el de auxiliar </w:t>
      </w:r>
      <w:proofErr w:type="spellStart"/>
      <w:r w:rsidRPr="00943952">
        <w:rPr>
          <w:rFonts w:ascii="Arial" w:eastAsia="Times New Roman" w:hAnsi="Arial" w:cs="Arial"/>
          <w:sz w:val="24"/>
          <w:szCs w:val="24"/>
          <w:lang w:val="es-ES" w:eastAsia="es-CO"/>
        </w:rPr>
        <w:t>cross</w:t>
      </w:r>
      <w:proofErr w:type="spellEnd"/>
      <w:r w:rsidRPr="00943952">
        <w:rPr>
          <w:rFonts w:ascii="Arial" w:eastAsia="Times New Roman" w:hAnsi="Arial" w:cs="Arial"/>
          <w:sz w:val="24"/>
          <w:szCs w:val="24"/>
          <w:lang w:val="es-ES" w:eastAsia="es-CO"/>
        </w:rPr>
        <w:t xml:space="preserve"> </w:t>
      </w:r>
      <w:proofErr w:type="spellStart"/>
      <w:r w:rsidRPr="00943952">
        <w:rPr>
          <w:rFonts w:ascii="Arial" w:eastAsia="Times New Roman" w:hAnsi="Arial" w:cs="Arial"/>
          <w:sz w:val="24"/>
          <w:szCs w:val="24"/>
          <w:lang w:val="es-ES" w:eastAsia="es-CO"/>
        </w:rPr>
        <w:t>docking</w:t>
      </w:r>
      <w:proofErr w:type="spellEnd"/>
      <w:r w:rsidRPr="00943952">
        <w:rPr>
          <w:rFonts w:ascii="Arial" w:eastAsia="Times New Roman" w:hAnsi="Arial" w:cs="Arial"/>
          <w:sz w:val="24"/>
          <w:szCs w:val="24"/>
          <w:lang w:val="es-ES" w:eastAsia="es-CO"/>
        </w:rPr>
        <w:t>, y que devengaban un salario superior al que ella percibía, razón por la que solicita que se acceda al reajuste salarial solicitado con base en esos argumentos y con las consecuencias económicas que ello trae.</w:t>
      </w:r>
    </w:p>
    <w:p w:rsidR="007C4711" w:rsidRPr="00943952" w:rsidRDefault="007C4711" w:rsidP="00943952">
      <w:pPr>
        <w:spacing w:after="0" w:line="276" w:lineRule="auto"/>
        <w:jc w:val="both"/>
        <w:textAlignment w:val="baseline"/>
        <w:rPr>
          <w:rFonts w:ascii="Arial" w:eastAsia="Times New Roman" w:hAnsi="Arial" w:cs="Arial"/>
          <w:sz w:val="24"/>
          <w:szCs w:val="24"/>
          <w:lang w:val="es-ES" w:eastAsia="es-CO"/>
        </w:rPr>
      </w:pPr>
    </w:p>
    <w:p w:rsidR="007C4711" w:rsidRPr="00943952" w:rsidRDefault="007C4711"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val="es-ES" w:eastAsia="es-CO"/>
        </w:rPr>
        <w:t xml:space="preserve">La sociedad Dar Ayuda Temporal S.A. sostiene que el auxilio de formación que se le canceló a la señora </w:t>
      </w:r>
      <w:r w:rsidR="00D82A22" w:rsidRPr="00943952">
        <w:rPr>
          <w:rFonts w:ascii="Arial" w:eastAsia="Times New Roman" w:hAnsi="Arial" w:cs="Arial"/>
          <w:sz w:val="24"/>
          <w:szCs w:val="24"/>
          <w:lang w:val="es-ES" w:eastAsia="es-CO"/>
        </w:rPr>
        <w:t xml:space="preserve">Yulieth Alexandra López Vera no constituye factor salarial como equivocadamente lo concluyó la falladora de primera instancia, ya que en el proceso no quedó demostrado que su otorgamiento se hubiere dado como producto del esfuerzo laboral de la accionante como auxiliar </w:t>
      </w:r>
      <w:proofErr w:type="spellStart"/>
      <w:r w:rsidR="00D82A22" w:rsidRPr="00943952">
        <w:rPr>
          <w:rFonts w:ascii="Arial" w:eastAsia="Times New Roman" w:hAnsi="Arial" w:cs="Arial"/>
          <w:sz w:val="24"/>
          <w:szCs w:val="24"/>
          <w:lang w:val="es-ES" w:eastAsia="es-CO"/>
        </w:rPr>
        <w:t>cross</w:t>
      </w:r>
      <w:proofErr w:type="spellEnd"/>
      <w:r w:rsidR="00D82A22" w:rsidRPr="00943952">
        <w:rPr>
          <w:rFonts w:ascii="Arial" w:eastAsia="Times New Roman" w:hAnsi="Arial" w:cs="Arial"/>
          <w:sz w:val="24"/>
          <w:szCs w:val="24"/>
          <w:lang w:val="es-ES" w:eastAsia="es-CO"/>
        </w:rPr>
        <w:t xml:space="preserve"> </w:t>
      </w:r>
      <w:proofErr w:type="spellStart"/>
      <w:r w:rsidR="00D82A22" w:rsidRPr="00943952">
        <w:rPr>
          <w:rFonts w:ascii="Arial" w:eastAsia="Times New Roman" w:hAnsi="Arial" w:cs="Arial"/>
          <w:sz w:val="24"/>
          <w:szCs w:val="24"/>
          <w:lang w:val="es-ES" w:eastAsia="es-CO"/>
        </w:rPr>
        <w:t>docking</w:t>
      </w:r>
      <w:proofErr w:type="spellEnd"/>
      <w:r w:rsidR="00D82A22" w:rsidRPr="00943952">
        <w:rPr>
          <w:rFonts w:ascii="Arial" w:eastAsia="Times New Roman" w:hAnsi="Arial" w:cs="Arial"/>
          <w:sz w:val="24"/>
          <w:szCs w:val="24"/>
          <w:lang w:val="es-ES" w:eastAsia="es-CO"/>
        </w:rPr>
        <w:t>, en otras palabras, el auxilio de formación nunca estuvo destinado a retribuir el servicio de la trabajadora, sino que se entregó para fomentar su formación.</w:t>
      </w:r>
    </w:p>
    <w:p w:rsidR="00D82A22" w:rsidRPr="00943952" w:rsidRDefault="00D82A22" w:rsidP="00943952">
      <w:pPr>
        <w:spacing w:after="0" w:line="276" w:lineRule="auto"/>
        <w:jc w:val="both"/>
        <w:textAlignment w:val="baseline"/>
        <w:rPr>
          <w:rFonts w:ascii="Arial" w:eastAsia="Times New Roman" w:hAnsi="Arial" w:cs="Arial"/>
          <w:sz w:val="24"/>
          <w:szCs w:val="24"/>
          <w:lang w:val="es-ES" w:eastAsia="es-CO"/>
        </w:rPr>
      </w:pPr>
    </w:p>
    <w:p w:rsidR="00D82A22" w:rsidRPr="00943952" w:rsidRDefault="00D82A22"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val="es-ES" w:eastAsia="es-CO"/>
        </w:rPr>
        <w:t xml:space="preserve">Por su parte, el apoderado judicial de la sociedad Servientrega S.A. asegura que con las pruebas allegadas al proceso, más precisamente los contratos de trabajo suscritos con la demandante, se demostró que entre las partes se pactó que el auxilio de formación era no constitutivo de salario, advirtiendo que la suma de dinero que se entregaba mensualmente por ese concepto nunca estuvo dirigida a retribuir </w:t>
      </w:r>
      <w:r w:rsidRPr="00943952">
        <w:rPr>
          <w:rFonts w:ascii="Arial" w:eastAsia="Times New Roman" w:hAnsi="Arial" w:cs="Arial"/>
          <w:sz w:val="24"/>
          <w:szCs w:val="24"/>
          <w:lang w:val="es-ES" w:eastAsia="es-CO"/>
        </w:rPr>
        <w:lastRenderedPageBreak/>
        <w:t>el servicio de la demandante</w:t>
      </w:r>
      <w:r w:rsidR="00B75098" w:rsidRPr="00943952">
        <w:rPr>
          <w:rFonts w:ascii="Arial" w:eastAsia="Times New Roman" w:hAnsi="Arial" w:cs="Arial"/>
          <w:sz w:val="24"/>
          <w:szCs w:val="24"/>
          <w:lang w:val="es-ES" w:eastAsia="es-CO"/>
        </w:rPr>
        <w:t xml:space="preserve">, dando cumplimiento estricto a lo previsto en el artículo 128 del CST. </w:t>
      </w:r>
    </w:p>
    <w:p w:rsidR="00B75098" w:rsidRPr="00943952" w:rsidRDefault="00B75098" w:rsidP="00943952">
      <w:pPr>
        <w:spacing w:after="0" w:line="276" w:lineRule="auto"/>
        <w:jc w:val="both"/>
        <w:textAlignment w:val="baseline"/>
        <w:rPr>
          <w:rFonts w:ascii="Arial" w:eastAsia="Times New Roman" w:hAnsi="Arial" w:cs="Arial"/>
          <w:sz w:val="24"/>
          <w:szCs w:val="24"/>
          <w:lang w:val="es-ES" w:eastAsia="es-CO"/>
        </w:rPr>
      </w:pPr>
    </w:p>
    <w:p w:rsidR="00B75098" w:rsidRPr="00943952" w:rsidRDefault="00B75098"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val="es-ES" w:eastAsia="es-CO"/>
        </w:rPr>
        <w:t xml:space="preserve">En todo caso, de advertirse por parte del superior que ese emolumento constituía factor salarial, estima que no es dable fulminar condena en contra de esa entidad por concepto de sanciones moratorias, por cuanto </w:t>
      </w:r>
      <w:r w:rsidR="0004329B" w:rsidRPr="00943952">
        <w:rPr>
          <w:rFonts w:ascii="Arial" w:eastAsia="Times New Roman" w:hAnsi="Arial" w:cs="Arial"/>
          <w:sz w:val="24"/>
          <w:szCs w:val="24"/>
          <w:lang w:val="es-ES" w:eastAsia="es-CO"/>
        </w:rPr>
        <w:t>Servientrega S.A.</w:t>
      </w:r>
      <w:r w:rsidRPr="00943952">
        <w:rPr>
          <w:rFonts w:ascii="Arial" w:eastAsia="Times New Roman" w:hAnsi="Arial" w:cs="Arial"/>
          <w:sz w:val="24"/>
          <w:szCs w:val="24"/>
          <w:lang w:val="es-ES" w:eastAsia="es-CO"/>
        </w:rPr>
        <w:t xml:space="preserve"> siempre ha actuado bajo el principio de la buena fe, debiéndose ponderar el hecho de que el referido auxilio, si bien en su concepción jurídica y en el de la empresa que representa, no constituía salario, la verdad es que al ser algo tan discutible, no puede atribuírsele un comportamiento que este por fuera de la órbita de la buena fe.</w:t>
      </w:r>
    </w:p>
    <w:p w:rsidR="00595EEE" w:rsidRPr="00943952" w:rsidRDefault="00595EEE"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eastAsia="es-CO"/>
        </w:rPr>
        <w:t>  </w:t>
      </w:r>
    </w:p>
    <w:p w:rsidR="00595EEE" w:rsidRPr="00943952" w:rsidRDefault="00595EEE" w:rsidP="00943952">
      <w:pPr>
        <w:spacing w:after="0" w:line="276" w:lineRule="auto"/>
        <w:jc w:val="center"/>
        <w:textAlignment w:val="baseline"/>
        <w:rPr>
          <w:rFonts w:ascii="Arial" w:eastAsia="Times New Roman" w:hAnsi="Arial" w:cs="Arial"/>
          <w:sz w:val="24"/>
          <w:szCs w:val="24"/>
          <w:lang w:eastAsia="es-CO"/>
        </w:rPr>
      </w:pPr>
      <w:r w:rsidRPr="00943952">
        <w:rPr>
          <w:rFonts w:ascii="Arial" w:eastAsia="Times New Roman" w:hAnsi="Arial" w:cs="Arial"/>
          <w:b/>
          <w:bCs/>
          <w:sz w:val="24"/>
          <w:szCs w:val="24"/>
          <w:lang w:val="es-ES" w:eastAsia="es-CO"/>
        </w:rPr>
        <w:t>ALEGATOS DE CONCLUSIÓN </w:t>
      </w:r>
      <w:r w:rsidRPr="00943952">
        <w:rPr>
          <w:rFonts w:ascii="Arial" w:eastAsia="Times New Roman" w:hAnsi="Arial" w:cs="Arial"/>
          <w:sz w:val="24"/>
          <w:szCs w:val="24"/>
          <w:lang w:val="es-ES" w:eastAsia="es-CO"/>
        </w:rPr>
        <w:t> </w:t>
      </w:r>
      <w:r w:rsidRPr="00943952">
        <w:rPr>
          <w:rFonts w:ascii="Arial" w:eastAsia="Times New Roman" w:hAnsi="Arial" w:cs="Arial"/>
          <w:sz w:val="24"/>
          <w:szCs w:val="24"/>
          <w:lang w:eastAsia="es-CO"/>
        </w:rPr>
        <w:t>   </w:t>
      </w:r>
    </w:p>
    <w:p w:rsidR="00595EEE" w:rsidRPr="00943952" w:rsidRDefault="00595EEE" w:rsidP="00943952">
      <w:pPr>
        <w:spacing w:after="0" w:line="276" w:lineRule="auto"/>
        <w:jc w:val="center"/>
        <w:textAlignment w:val="baseline"/>
        <w:rPr>
          <w:rFonts w:ascii="Arial" w:eastAsia="Times New Roman" w:hAnsi="Arial" w:cs="Arial"/>
          <w:sz w:val="24"/>
          <w:szCs w:val="24"/>
          <w:lang w:eastAsia="es-CO"/>
        </w:rPr>
      </w:pPr>
      <w:r w:rsidRPr="00943952">
        <w:rPr>
          <w:rFonts w:ascii="Arial" w:eastAsia="Times New Roman" w:hAnsi="Arial" w:cs="Arial"/>
          <w:sz w:val="24"/>
          <w:szCs w:val="24"/>
          <w:lang w:val="es-MX" w:eastAsia="es-CO"/>
        </w:rPr>
        <w:t> </w:t>
      </w:r>
      <w:r w:rsidRPr="00943952">
        <w:rPr>
          <w:rFonts w:ascii="Arial" w:eastAsia="Times New Roman" w:hAnsi="Arial" w:cs="Arial"/>
          <w:sz w:val="24"/>
          <w:szCs w:val="24"/>
          <w:lang w:eastAsia="es-CO"/>
        </w:rPr>
        <w:t>  </w:t>
      </w:r>
    </w:p>
    <w:p w:rsidR="00595EEE" w:rsidRPr="00943952" w:rsidRDefault="00595EEE"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val="es-ES" w:eastAsia="es-CO"/>
        </w:rPr>
        <w:t>Conforme se dejó plasmado en la constancia emitida por la Secretaría de la Corporación,</w:t>
      </w:r>
      <w:r w:rsidR="001B27E6" w:rsidRPr="00943952">
        <w:rPr>
          <w:rFonts w:ascii="Arial" w:eastAsia="Times New Roman" w:hAnsi="Arial" w:cs="Arial"/>
          <w:sz w:val="24"/>
          <w:szCs w:val="24"/>
          <w:lang w:val="es-ES" w:eastAsia="es-CO"/>
        </w:rPr>
        <w:t xml:space="preserve"> la totalidad de los intervinientes hicieron uso del derecho a prese</w:t>
      </w:r>
      <w:r w:rsidR="00797B45" w:rsidRPr="00943952">
        <w:rPr>
          <w:rFonts w:ascii="Arial" w:eastAsia="Times New Roman" w:hAnsi="Arial" w:cs="Arial"/>
          <w:sz w:val="24"/>
          <w:szCs w:val="24"/>
          <w:lang w:val="es-ES" w:eastAsia="es-CO"/>
        </w:rPr>
        <w:t>ntar alegatos de conclusión en término</w:t>
      </w:r>
      <w:r w:rsidR="00907EF3" w:rsidRPr="00943952">
        <w:rPr>
          <w:rFonts w:ascii="Arial" w:eastAsia="Times New Roman" w:hAnsi="Arial" w:cs="Arial"/>
          <w:sz w:val="24"/>
          <w:szCs w:val="24"/>
          <w:lang w:val="es-ES" w:eastAsia="es-CO"/>
        </w:rPr>
        <w:t>.</w:t>
      </w:r>
    </w:p>
    <w:p w:rsidR="009A6BBA" w:rsidRPr="00943952" w:rsidRDefault="009A6BBA" w:rsidP="00943952">
      <w:pPr>
        <w:spacing w:after="0" w:line="276" w:lineRule="auto"/>
        <w:jc w:val="both"/>
        <w:textAlignment w:val="baseline"/>
        <w:rPr>
          <w:rFonts w:ascii="Arial" w:eastAsia="Times New Roman" w:hAnsi="Arial" w:cs="Arial"/>
          <w:sz w:val="24"/>
          <w:szCs w:val="24"/>
          <w:lang w:val="es-ES" w:eastAsia="es-CO"/>
        </w:rPr>
      </w:pPr>
    </w:p>
    <w:p w:rsidR="00907EF3" w:rsidRPr="00943952" w:rsidRDefault="009A6BBA" w:rsidP="00943952">
      <w:pPr>
        <w:pStyle w:val="paragraph"/>
        <w:spacing w:before="0" w:beforeAutospacing="0" w:after="0" w:afterAutospacing="0" w:line="276" w:lineRule="auto"/>
        <w:jc w:val="both"/>
        <w:textAlignment w:val="baseline"/>
        <w:rPr>
          <w:rStyle w:val="normaltextrun"/>
          <w:rFonts w:ascii="Arial" w:hAnsi="Arial" w:cs="Arial"/>
        </w:rPr>
      </w:pPr>
      <w:r w:rsidRPr="00943952">
        <w:rPr>
          <w:rStyle w:val="normaltextrun"/>
          <w:rFonts w:ascii="Arial" w:hAnsi="Arial" w:cs="Arial"/>
        </w:rPr>
        <w:t>En cuanto a</w:t>
      </w:r>
      <w:r w:rsidR="00907EF3" w:rsidRPr="00943952">
        <w:rPr>
          <w:rStyle w:val="normaltextrun"/>
          <w:rFonts w:ascii="Arial" w:hAnsi="Arial" w:cs="Arial"/>
        </w:rPr>
        <w:t xml:space="preserve"> su</w:t>
      </w:r>
      <w:r w:rsidRPr="00943952">
        <w:rPr>
          <w:rStyle w:val="normaltextrun"/>
          <w:rFonts w:ascii="Arial" w:hAnsi="Arial" w:cs="Arial"/>
        </w:rPr>
        <w:t xml:space="preserve"> contenido, teniendo en cuenta que el artículo 279 del CGP dispone que </w:t>
      </w:r>
      <w:r w:rsidRPr="00943952">
        <w:rPr>
          <w:rStyle w:val="normaltextrun"/>
          <w:rFonts w:ascii="Arial" w:hAnsi="Arial" w:cs="Arial"/>
          <w:i/>
          <w:iCs/>
        </w:rPr>
        <w:t>“No se podrá hacer transcripciones o reproducciones de actas, decisiones o conceptos que obren en el expediente.”, </w:t>
      </w:r>
      <w:r w:rsidRPr="00943952">
        <w:rPr>
          <w:rStyle w:val="normaltextrun"/>
          <w:rFonts w:ascii="Arial" w:hAnsi="Arial" w:cs="Arial"/>
        </w:rPr>
        <w:t xml:space="preserve">baste decir que, los argumentos expuestos por </w:t>
      </w:r>
      <w:r w:rsidR="00907EF3" w:rsidRPr="00943952">
        <w:rPr>
          <w:rStyle w:val="normaltextrun"/>
          <w:rFonts w:ascii="Arial" w:hAnsi="Arial" w:cs="Arial"/>
        </w:rPr>
        <w:t>cada uno de ellos coincide</w:t>
      </w:r>
      <w:r w:rsidR="0061556D" w:rsidRPr="00943952">
        <w:rPr>
          <w:rStyle w:val="normaltextrun"/>
          <w:rFonts w:ascii="Arial" w:hAnsi="Arial" w:cs="Arial"/>
        </w:rPr>
        <w:t>n</w:t>
      </w:r>
      <w:r w:rsidR="00907EF3" w:rsidRPr="00943952">
        <w:rPr>
          <w:rStyle w:val="normaltextrun"/>
          <w:rFonts w:ascii="Arial" w:hAnsi="Arial" w:cs="Arial"/>
        </w:rPr>
        <w:t xml:space="preserve"> con los </w:t>
      </w:r>
      <w:r w:rsidR="0061556D" w:rsidRPr="00943952">
        <w:rPr>
          <w:rStyle w:val="normaltextrun"/>
          <w:rFonts w:ascii="Arial" w:hAnsi="Arial" w:cs="Arial"/>
        </w:rPr>
        <w:t>emitidos en las sustentaciones de los correspondientes recursos de apelación.</w:t>
      </w: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val="es-ES" w:eastAsia="es-CO"/>
        </w:rPr>
        <w:t>Atendidas las argumentaciones, a esta Sala de Decisión le corresponde resolver los siguientes:</w:t>
      </w:r>
      <w:r w:rsidRPr="00943952">
        <w:rPr>
          <w:rFonts w:ascii="Arial" w:eastAsia="Times New Roman" w:hAnsi="Arial" w:cs="Arial"/>
          <w:sz w:val="24"/>
          <w:szCs w:val="24"/>
          <w:lang w:eastAsia="es-CO"/>
        </w:rPr>
        <w:t>   </w:t>
      </w: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w:t>
      </w:r>
    </w:p>
    <w:p w:rsidR="00595EEE" w:rsidRPr="00943952" w:rsidRDefault="00595EEE" w:rsidP="00943952">
      <w:pPr>
        <w:spacing w:after="0" w:line="276" w:lineRule="auto"/>
        <w:jc w:val="center"/>
        <w:textAlignment w:val="baseline"/>
        <w:rPr>
          <w:rFonts w:ascii="Arial" w:eastAsia="Times New Roman" w:hAnsi="Arial" w:cs="Arial"/>
          <w:sz w:val="24"/>
          <w:szCs w:val="24"/>
          <w:lang w:eastAsia="es-CO"/>
        </w:rPr>
      </w:pPr>
      <w:r w:rsidRPr="00943952">
        <w:rPr>
          <w:rFonts w:ascii="Arial" w:eastAsia="Times New Roman" w:hAnsi="Arial" w:cs="Arial"/>
          <w:b/>
          <w:bCs/>
          <w:sz w:val="24"/>
          <w:szCs w:val="24"/>
          <w:lang w:val="es-ES" w:eastAsia="es-CO"/>
        </w:rPr>
        <w:t>PROBLEMAS JURÍDICOS</w:t>
      </w:r>
      <w:r w:rsidRPr="00943952">
        <w:rPr>
          <w:rFonts w:ascii="Arial" w:eastAsia="Times New Roman" w:hAnsi="Arial" w:cs="Arial"/>
          <w:sz w:val="24"/>
          <w:szCs w:val="24"/>
          <w:lang w:eastAsia="es-CO"/>
        </w:rPr>
        <w:t>  </w:t>
      </w:r>
    </w:p>
    <w:p w:rsidR="00595EEE" w:rsidRPr="00943952" w:rsidRDefault="00595EEE" w:rsidP="00943952">
      <w:pPr>
        <w:spacing w:after="0" w:line="276" w:lineRule="auto"/>
        <w:ind w:right="615"/>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w:t>
      </w:r>
    </w:p>
    <w:p w:rsidR="00595EEE" w:rsidRPr="00943952" w:rsidRDefault="00595EEE" w:rsidP="00943952">
      <w:pPr>
        <w:spacing w:after="0" w:line="276" w:lineRule="auto"/>
        <w:ind w:left="555" w:right="555"/>
        <w:jc w:val="both"/>
        <w:textAlignment w:val="baseline"/>
        <w:rPr>
          <w:rFonts w:ascii="Arial" w:eastAsia="Times New Roman" w:hAnsi="Arial" w:cs="Arial"/>
          <w:b/>
          <w:bCs/>
          <w:i/>
          <w:sz w:val="24"/>
          <w:szCs w:val="24"/>
          <w:lang w:val="es-ES" w:eastAsia="es-CO"/>
        </w:rPr>
      </w:pPr>
      <w:r w:rsidRPr="00943952">
        <w:rPr>
          <w:rFonts w:ascii="Arial" w:eastAsia="Times New Roman" w:hAnsi="Arial" w:cs="Arial"/>
          <w:b/>
          <w:bCs/>
          <w:i/>
          <w:sz w:val="24"/>
          <w:szCs w:val="24"/>
          <w:lang w:val="es-ES" w:eastAsia="es-CO"/>
        </w:rPr>
        <w:t>¿</w:t>
      </w:r>
      <w:r w:rsidR="004C471C" w:rsidRPr="00943952">
        <w:rPr>
          <w:rFonts w:ascii="Arial" w:eastAsia="Times New Roman" w:hAnsi="Arial" w:cs="Arial"/>
          <w:b/>
          <w:bCs/>
          <w:i/>
          <w:sz w:val="24"/>
          <w:szCs w:val="24"/>
          <w:lang w:val="es-ES" w:eastAsia="es-CO"/>
        </w:rPr>
        <w:t>Qued</w:t>
      </w:r>
      <w:r w:rsidR="006550DB" w:rsidRPr="00943952">
        <w:rPr>
          <w:rFonts w:ascii="Arial" w:eastAsia="Times New Roman" w:hAnsi="Arial" w:cs="Arial"/>
          <w:b/>
          <w:bCs/>
          <w:i/>
          <w:sz w:val="24"/>
          <w:szCs w:val="24"/>
          <w:lang w:val="es-ES" w:eastAsia="es-CO"/>
        </w:rPr>
        <w:t xml:space="preserve">ó acreditado en el proceso que la señora Yulieth Alexandra López Vera, en su calidad de auxiliar </w:t>
      </w:r>
      <w:proofErr w:type="spellStart"/>
      <w:r w:rsidR="006550DB" w:rsidRPr="00943952">
        <w:rPr>
          <w:rFonts w:ascii="Arial" w:eastAsia="Times New Roman" w:hAnsi="Arial" w:cs="Arial"/>
          <w:b/>
          <w:bCs/>
          <w:i/>
          <w:sz w:val="24"/>
          <w:szCs w:val="24"/>
          <w:lang w:val="es-ES" w:eastAsia="es-CO"/>
        </w:rPr>
        <w:t>cross</w:t>
      </w:r>
      <w:proofErr w:type="spellEnd"/>
      <w:r w:rsidR="006550DB" w:rsidRPr="00943952">
        <w:rPr>
          <w:rFonts w:ascii="Arial" w:eastAsia="Times New Roman" w:hAnsi="Arial" w:cs="Arial"/>
          <w:b/>
          <w:bCs/>
          <w:i/>
          <w:sz w:val="24"/>
          <w:szCs w:val="24"/>
          <w:lang w:val="es-ES" w:eastAsia="es-CO"/>
        </w:rPr>
        <w:t xml:space="preserve"> </w:t>
      </w:r>
      <w:proofErr w:type="spellStart"/>
      <w:r w:rsidR="006550DB" w:rsidRPr="00943952">
        <w:rPr>
          <w:rFonts w:ascii="Arial" w:eastAsia="Times New Roman" w:hAnsi="Arial" w:cs="Arial"/>
          <w:b/>
          <w:bCs/>
          <w:i/>
          <w:sz w:val="24"/>
          <w:szCs w:val="24"/>
          <w:lang w:val="es-ES" w:eastAsia="es-CO"/>
        </w:rPr>
        <w:t>docking</w:t>
      </w:r>
      <w:proofErr w:type="spellEnd"/>
      <w:r w:rsidR="00DC3E35" w:rsidRPr="00943952">
        <w:rPr>
          <w:rFonts w:ascii="Arial" w:eastAsia="Times New Roman" w:hAnsi="Arial" w:cs="Arial"/>
          <w:b/>
          <w:bCs/>
          <w:i/>
          <w:sz w:val="24"/>
          <w:szCs w:val="24"/>
          <w:lang w:val="es-ES" w:eastAsia="es-CO"/>
        </w:rPr>
        <w:t>, ejecutó las funciones correspondientes a ese cargo en las mismas condiciones de eficiencia y responsabilidad</w:t>
      </w:r>
      <w:r w:rsidR="00161C8D" w:rsidRPr="00943952">
        <w:rPr>
          <w:rFonts w:ascii="Arial" w:eastAsia="Times New Roman" w:hAnsi="Arial" w:cs="Arial"/>
          <w:b/>
          <w:bCs/>
          <w:i/>
          <w:sz w:val="24"/>
          <w:szCs w:val="24"/>
          <w:lang w:val="es-ES" w:eastAsia="es-CO"/>
        </w:rPr>
        <w:t xml:space="preserve"> respecto de otro u otros trabajadores que desempeñaron el mismo cargo</w:t>
      </w:r>
      <w:r w:rsidRPr="00943952">
        <w:rPr>
          <w:rFonts w:ascii="Arial" w:eastAsia="Times New Roman" w:hAnsi="Arial" w:cs="Arial"/>
          <w:b/>
          <w:bCs/>
          <w:i/>
          <w:sz w:val="24"/>
          <w:szCs w:val="24"/>
          <w:lang w:val="es-ES" w:eastAsia="es-CO"/>
        </w:rPr>
        <w:t>?</w:t>
      </w:r>
    </w:p>
    <w:p w:rsidR="00595EEE" w:rsidRPr="00943952" w:rsidRDefault="00595EEE" w:rsidP="00943952">
      <w:pPr>
        <w:spacing w:after="0" w:line="276" w:lineRule="auto"/>
        <w:ind w:right="555"/>
        <w:jc w:val="both"/>
        <w:textAlignment w:val="baseline"/>
        <w:rPr>
          <w:rFonts w:ascii="Arial" w:eastAsia="Times New Roman" w:hAnsi="Arial" w:cs="Arial"/>
          <w:b/>
          <w:bCs/>
          <w:i/>
          <w:sz w:val="24"/>
          <w:szCs w:val="24"/>
          <w:lang w:val="es-ES" w:eastAsia="es-CO"/>
        </w:rPr>
      </w:pPr>
    </w:p>
    <w:p w:rsidR="00595EEE" w:rsidRPr="00943952" w:rsidRDefault="00595EEE" w:rsidP="00943952">
      <w:pPr>
        <w:spacing w:after="0" w:line="276" w:lineRule="auto"/>
        <w:ind w:left="555" w:right="555"/>
        <w:jc w:val="both"/>
        <w:textAlignment w:val="baseline"/>
        <w:rPr>
          <w:rFonts w:ascii="Arial" w:eastAsia="Times New Roman" w:hAnsi="Arial" w:cs="Arial"/>
          <w:b/>
          <w:bCs/>
          <w:i/>
          <w:sz w:val="24"/>
          <w:szCs w:val="24"/>
          <w:lang w:val="es-ES" w:eastAsia="es-CO"/>
        </w:rPr>
      </w:pPr>
      <w:r w:rsidRPr="00943952">
        <w:rPr>
          <w:rFonts w:ascii="Arial" w:eastAsia="Times New Roman" w:hAnsi="Arial" w:cs="Arial"/>
          <w:b/>
          <w:bCs/>
          <w:i/>
          <w:sz w:val="24"/>
          <w:szCs w:val="24"/>
          <w:lang w:val="es-ES" w:eastAsia="es-CO"/>
        </w:rPr>
        <w:t>¿</w:t>
      </w:r>
      <w:r w:rsidR="00161C8D" w:rsidRPr="00943952">
        <w:rPr>
          <w:rFonts w:ascii="Arial" w:eastAsia="Times New Roman" w:hAnsi="Arial" w:cs="Arial"/>
          <w:b/>
          <w:bCs/>
          <w:i/>
          <w:sz w:val="24"/>
          <w:szCs w:val="24"/>
          <w:lang w:val="es-ES" w:eastAsia="es-CO"/>
        </w:rPr>
        <w:t xml:space="preserve">Está demostrado en el proceso que </w:t>
      </w:r>
      <w:r w:rsidR="00085427" w:rsidRPr="00943952">
        <w:rPr>
          <w:rFonts w:ascii="Arial" w:eastAsia="Times New Roman" w:hAnsi="Arial" w:cs="Arial"/>
          <w:b/>
          <w:bCs/>
          <w:i/>
          <w:sz w:val="24"/>
          <w:szCs w:val="24"/>
          <w:lang w:val="es-ES" w:eastAsia="es-CO"/>
        </w:rPr>
        <w:t>el auxilio de formación que se le cancelaba a la accionante constituía factor salarial</w:t>
      </w:r>
      <w:r w:rsidRPr="00943952">
        <w:rPr>
          <w:rFonts w:ascii="Arial" w:eastAsia="Times New Roman" w:hAnsi="Arial" w:cs="Arial"/>
          <w:b/>
          <w:bCs/>
          <w:i/>
          <w:sz w:val="24"/>
          <w:szCs w:val="24"/>
          <w:lang w:val="es-ES" w:eastAsia="es-CO"/>
        </w:rPr>
        <w:t>?</w:t>
      </w:r>
    </w:p>
    <w:p w:rsidR="00085427" w:rsidRPr="00943952" w:rsidRDefault="00085427" w:rsidP="00943952">
      <w:pPr>
        <w:spacing w:after="0" w:line="276" w:lineRule="auto"/>
        <w:ind w:left="555" w:right="555"/>
        <w:jc w:val="both"/>
        <w:textAlignment w:val="baseline"/>
        <w:rPr>
          <w:rFonts w:ascii="Arial" w:eastAsia="Times New Roman" w:hAnsi="Arial" w:cs="Arial"/>
          <w:b/>
          <w:bCs/>
          <w:i/>
          <w:sz w:val="24"/>
          <w:szCs w:val="24"/>
          <w:lang w:val="es-ES" w:eastAsia="es-CO"/>
        </w:rPr>
      </w:pPr>
    </w:p>
    <w:p w:rsidR="00085427" w:rsidRPr="00943952" w:rsidRDefault="00085427" w:rsidP="00943952">
      <w:pPr>
        <w:spacing w:after="0" w:line="276" w:lineRule="auto"/>
        <w:ind w:left="555" w:right="555"/>
        <w:jc w:val="both"/>
        <w:textAlignment w:val="baseline"/>
        <w:rPr>
          <w:rFonts w:ascii="Arial" w:eastAsia="Times New Roman" w:hAnsi="Arial" w:cs="Arial"/>
          <w:b/>
          <w:bCs/>
          <w:i/>
          <w:sz w:val="24"/>
          <w:szCs w:val="24"/>
          <w:lang w:val="es-ES" w:eastAsia="es-CO"/>
        </w:rPr>
      </w:pPr>
      <w:r w:rsidRPr="00943952">
        <w:rPr>
          <w:rFonts w:ascii="Arial" w:eastAsia="Times New Roman" w:hAnsi="Arial" w:cs="Arial"/>
          <w:b/>
          <w:bCs/>
          <w:i/>
          <w:sz w:val="24"/>
          <w:szCs w:val="24"/>
          <w:lang w:val="es-ES" w:eastAsia="es-CO"/>
        </w:rPr>
        <w:t xml:space="preserve">¿Hay lugar a absolver a la </w:t>
      </w:r>
      <w:r w:rsidR="00D14500" w:rsidRPr="00943952">
        <w:rPr>
          <w:rFonts w:ascii="Arial" w:eastAsia="Times New Roman" w:hAnsi="Arial" w:cs="Arial"/>
          <w:b/>
          <w:bCs/>
          <w:i/>
          <w:sz w:val="24"/>
          <w:szCs w:val="24"/>
          <w:lang w:val="es-ES" w:eastAsia="es-CO"/>
        </w:rPr>
        <w:t>sociedad Servientrega S.A. de las condenas emitidas por concepto de sanciones moratorias de los artículos 99 de la Ley 50 de 1990 y 65 del CST?</w:t>
      </w:r>
    </w:p>
    <w:p w:rsidR="00595EEE" w:rsidRPr="00943952" w:rsidRDefault="00595EEE" w:rsidP="00943952">
      <w:pPr>
        <w:spacing w:after="0" w:line="276" w:lineRule="auto"/>
        <w:ind w:right="555"/>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w:t>
      </w: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val="es-ES" w:eastAsia="es-CO"/>
        </w:rPr>
        <w:t>Antes de resolver la instancia, se considera necesario precisar, los</w:t>
      </w:r>
      <w:r w:rsidR="00943952">
        <w:rPr>
          <w:rFonts w:ascii="Arial" w:eastAsia="Times New Roman" w:hAnsi="Arial" w:cs="Arial"/>
          <w:sz w:val="24"/>
          <w:szCs w:val="24"/>
          <w:lang w:val="es-ES" w:eastAsia="es-CO"/>
        </w:rPr>
        <w:t xml:space="preserve"> </w:t>
      </w:r>
      <w:r w:rsidRPr="00943952">
        <w:rPr>
          <w:rFonts w:ascii="Arial" w:eastAsia="Times New Roman" w:hAnsi="Arial" w:cs="Arial"/>
          <w:sz w:val="24"/>
          <w:szCs w:val="24"/>
          <w:lang w:val="es-ES" w:eastAsia="es-CO"/>
        </w:rPr>
        <w:t>siguientes</w:t>
      </w:r>
      <w:r w:rsidR="00943952">
        <w:rPr>
          <w:rFonts w:ascii="Arial" w:eastAsia="Times New Roman" w:hAnsi="Arial" w:cs="Arial"/>
          <w:sz w:val="24"/>
          <w:szCs w:val="24"/>
          <w:lang w:val="es-ES" w:eastAsia="es-CO"/>
        </w:rPr>
        <w:t xml:space="preserve"> </w:t>
      </w:r>
      <w:r w:rsidRPr="00943952">
        <w:rPr>
          <w:rFonts w:ascii="Arial" w:eastAsia="Times New Roman" w:hAnsi="Arial" w:cs="Arial"/>
          <w:sz w:val="24"/>
          <w:szCs w:val="24"/>
          <w:lang w:val="es-ES" w:eastAsia="es-CO"/>
        </w:rPr>
        <w:t>aspectos:</w:t>
      </w: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p>
    <w:p w:rsidR="00C114F9" w:rsidRPr="00943952" w:rsidRDefault="00C212F4" w:rsidP="00943952">
      <w:pPr>
        <w:pStyle w:val="NormalWeb"/>
        <w:spacing w:before="0" w:beforeAutospacing="0" w:after="0" w:afterAutospacing="0" w:line="276" w:lineRule="auto"/>
        <w:jc w:val="both"/>
        <w:rPr>
          <w:rFonts w:ascii="Arial" w:hAnsi="Arial" w:cs="Arial"/>
          <w:b/>
          <w:bCs/>
          <w:color w:val="000000"/>
        </w:rPr>
      </w:pPr>
      <w:r w:rsidRPr="00943952">
        <w:rPr>
          <w:rFonts w:ascii="Arial" w:hAnsi="Arial" w:cs="Arial"/>
          <w:b/>
          <w:bCs/>
          <w:color w:val="000000"/>
        </w:rPr>
        <w:t xml:space="preserve">1. </w:t>
      </w:r>
      <w:r w:rsidR="00C114F9" w:rsidRPr="00943952">
        <w:rPr>
          <w:rFonts w:ascii="Arial" w:hAnsi="Arial" w:cs="Arial"/>
          <w:b/>
          <w:bCs/>
          <w:color w:val="000000"/>
        </w:rPr>
        <w:t>DIFERENCIA DE SALARIO PARA TRABAJADORES QUE OSTENTAN EL MISMO CARGO.</w:t>
      </w:r>
    </w:p>
    <w:p w:rsidR="00C114F9" w:rsidRPr="00943952" w:rsidRDefault="00C114F9" w:rsidP="00943952">
      <w:pPr>
        <w:pStyle w:val="NormalWeb"/>
        <w:spacing w:before="0" w:beforeAutospacing="0" w:after="0" w:afterAutospacing="0" w:line="276" w:lineRule="auto"/>
        <w:jc w:val="both"/>
        <w:rPr>
          <w:rFonts w:ascii="Arial" w:hAnsi="Arial" w:cs="Arial"/>
          <w:b/>
          <w:bCs/>
          <w:color w:val="000000"/>
        </w:rPr>
      </w:pPr>
    </w:p>
    <w:p w:rsidR="00C114F9" w:rsidRPr="00943952" w:rsidRDefault="00C114F9" w:rsidP="00943952">
      <w:pPr>
        <w:pStyle w:val="NormalWeb"/>
        <w:spacing w:before="0" w:beforeAutospacing="0" w:after="0" w:afterAutospacing="0" w:line="276" w:lineRule="auto"/>
        <w:jc w:val="both"/>
        <w:rPr>
          <w:rFonts w:ascii="Arial" w:hAnsi="Arial" w:cs="Arial"/>
          <w:color w:val="000000"/>
        </w:rPr>
      </w:pPr>
      <w:r w:rsidRPr="00943952">
        <w:rPr>
          <w:rFonts w:ascii="Arial" w:hAnsi="Arial" w:cs="Arial"/>
          <w:color w:val="000000"/>
        </w:rPr>
        <w:t xml:space="preserve">Sostiene el artículo 143 del C.S.T. que a trabajo igual desempeñado en puesto, jornada y condiciones de eficiencia también iguales, debe corresponder salario igual, </w:t>
      </w:r>
      <w:r w:rsidRPr="00943952">
        <w:rPr>
          <w:rFonts w:ascii="Arial" w:hAnsi="Arial" w:cs="Arial"/>
          <w:color w:val="000000"/>
        </w:rPr>
        <w:lastRenderedPageBreak/>
        <w:t>comprendiendo en este todos los elementos a que se refiere el artículo 127, y que bajo esos parámetros no pueden establecerse diferencias salariales por razones de edad, género, sexo, nacionalidad, raza, religión, opinión política o actividades sindicales; motivo por el que en principio se presumirá como injustificado cualquier trato diferenciado en materia de salario, hasta tanto el empleador demuestre factores objetivos de esa diferenciación.</w:t>
      </w:r>
    </w:p>
    <w:p w:rsidR="00DD0999" w:rsidRPr="00943952" w:rsidRDefault="00DD0999" w:rsidP="00943952">
      <w:pPr>
        <w:pStyle w:val="NormalWeb"/>
        <w:spacing w:before="0" w:beforeAutospacing="0" w:after="0" w:afterAutospacing="0" w:line="276" w:lineRule="auto"/>
        <w:jc w:val="both"/>
        <w:rPr>
          <w:rFonts w:ascii="Arial" w:hAnsi="Arial" w:cs="Arial"/>
          <w:color w:val="000000"/>
        </w:rPr>
      </w:pPr>
    </w:p>
    <w:p w:rsidR="00DD0999" w:rsidRPr="00943952" w:rsidRDefault="00DD0999" w:rsidP="00943952">
      <w:pPr>
        <w:pStyle w:val="NormalWeb"/>
        <w:spacing w:before="0" w:beforeAutospacing="0" w:after="0" w:afterAutospacing="0" w:line="276" w:lineRule="auto"/>
        <w:jc w:val="both"/>
        <w:rPr>
          <w:rFonts w:ascii="Arial" w:hAnsi="Arial" w:cs="Arial"/>
          <w:color w:val="000000"/>
        </w:rPr>
      </w:pPr>
      <w:r w:rsidRPr="00943952">
        <w:rPr>
          <w:rFonts w:ascii="Arial" w:hAnsi="Arial" w:cs="Arial"/>
          <w:color w:val="000000"/>
        </w:rPr>
        <w:t xml:space="preserve">En ese último aspecto, esto es, para que se presuma </w:t>
      </w:r>
      <w:r w:rsidR="006721AC" w:rsidRPr="00943952">
        <w:rPr>
          <w:rFonts w:ascii="Arial" w:hAnsi="Arial" w:cs="Arial"/>
          <w:color w:val="000000"/>
        </w:rPr>
        <w:t>un trato diferenciado por parte del empleador</w:t>
      </w:r>
      <w:r w:rsidR="00E9687E" w:rsidRPr="00943952">
        <w:rPr>
          <w:rFonts w:ascii="Arial" w:hAnsi="Arial" w:cs="Arial"/>
          <w:color w:val="000000"/>
        </w:rPr>
        <w:t xml:space="preserve"> frente al trabajador que reclama la </w:t>
      </w:r>
      <w:r w:rsidR="00267BDB" w:rsidRPr="00943952">
        <w:rPr>
          <w:rFonts w:ascii="Arial" w:hAnsi="Arial" w:cs="Arial"/>
          <w:color w:val="000000"/>
        </w:rPr>
        <w:t xml:space="preserve">nivelación salarial, ha definido la Sala de Casación Laboral de la Corte Suprema de Justicia </w:t>
      </w:r>
      <w:r w:rsidR="00EC4CBA" w:rsidRPr="00943952">
        <w:rPr>
          <w:rFonts w:ascii="Arial" w:hAnsi="Arial" w:cs="Arial"/>
          <w:color w:val="000000"/>
        </w:rPr>
        <w:t xml:space="preserve">que </w:t>
      </w:r>
      <w:r w:rsidR="004A060D" w:rsidRPr="00943952">
        <w:rPr>
          <w:rFonts w:ascii="Arial" w:hAnsi="Arial" w:cs="Arial"/>
          <w:color w:val="000000"/>
        </w:rPr>
        <w:t xml:space="preserve">le corresponde a </w:t>
      </w:r>
      <w:r w:rsidR="0073279F" w:rsidRPr="00943952">
        <w:rPr>
          <w:rFonts w:ascii="Arial" w:hAnsi="Arial" w:cs="Arial"/>
          <w:color w:val="000000"/>
        </w:rPr>
        <w:t>este</w:t>
      </w:r>
      <w:r w:rsidR="004A060D" w:rsidRPr="00943952">
        <w:rPr>
          <w:rFonts w:ascii="Arial" w:hAnsi="Arial" w:cs="Arial"/>
          <w:color w:val="000000"/>
        </w:rPr>
        <w:t xml:space="preserve"> último, es decir, al trabajador, la carga de la prueba de acreditar </w:t>
      </w:r>
      <w:r w:rsidR="0073279F" w:rsidRPr="00943952">
        <w:rPr>
          <w:rFonts w:ascii="Arial" w:hAnsi="Arial" w:cs="Arial"/>
          <w:color w:val="000000"/>
        </w:rPr>
        <w:t xml:space="preserve">el cargo que desempeñó, la existencia </w:t>
      </w:r>
      <w:r w:rsidR="002477EB" w:rsidRPr="00943952">
        <w:rPr>
          <w:rFonts w:ascii="Arial" w:hAnsi="Arial" w:cs="Arial"/>
          <w:color w:val="000000"/>
        </w:rPr>
        <w:t xml:space="preserve">de otro u otros trabajadores que lo hayan ejercido devengando un salario superior y que las funciones realizadas las </w:t>
      </w:r>
      <w:r w:rsidR="00A23B5F" w:rsidRPr="00943952">
        <w:rPr>
          <w:rFonts w:ascii="Arial" w:hAnsi="Arial" w:cs="Arial"/>
          <w:color w:val="000000"/>
        </w:rPr>
        <w:t xml:space="preserve">hizo en las </w:t>
      </w:r>
      <w:r w:rsidR="00A23B5F" w:rsidRPr="00943952">
        <w:rPr>
          <w:rFonts w:ascii="Arial" w:hAnsi="Arial" w:cs="Arial"/>
          <w:b/>
          <w:bCs/>
          <w:color w:val="000000"/>
        </w:rPr>
        <w:t xml:space="preserve">mismas condiciones de eficiencia, </w:t>
      </w:r>
      <w:r w:rsidR="0081013F" w:rsidRPr="00943952">
        <w:rPr>
          <w:rFonts w:ascii="Arial" w:hAnsi="Arial" w:cs="Arial"/>
          <w:b/>
          <w:bCs/>
          <w:color w:val="000000"/>
        </w:rPr>
        <w:t>intensidad, calidad y responsabilidad</w:t>
      </w:r>
      <w:r w:rsidR="0081013F" w:rsidRPr="00943952">
        <w:rPr>
          <w:rFonts w:ascii="Arial" w:hAnsi="Arial" w:cs="Arial"/>
          <w:color w:val="000000"/>
        </w:rPr>
        <w:t xml:space="preserve">; postura que </w:t>
      </w:r>
      <w:r w:rsidR="00D31AEB" w:rsidRPr="00943952">
        <w:rPr>
          <w:rFonts w:ascii="Arial" w:hAnsi="Arial" w:cs="Arial"/>
          <w:color w:val="000000"/>
        </w:rPr>
        <w:t>fue recordada en sentencia SL</w:t>
      </w:r>
      <w:r w:rsidR="008522E1" w:rsidRPr="00943952">
        <w:rPr>
          <w:rFonts w:ascii="Arial" w:hAnsi="Arial" w:cs="Arial"/>
          <w:color w:val="000000"/>
        </w:rPr>
        <w:t>3688 de 19 de agosto de 2020</w:t>
      </w:r>
      <w:r w:rsidR="00E875AD" w:rsidRPr="00943952">
        <w:rPr>
          <w:rFonts w:ascii="Arial" w:hAnsi="Arial" w:cs="Arial"/>
          <w:color w:val="000000"/>
        </w:rPr>
        <w:t xml:space="preserve">, en los siguientes términos: </w:t>
      </w:r>
    </w:p>
    <w:p w:rsidR="00E875AD" w:rsidRPr="00943952" w:rsidRDefault="00E875AD" w:rsidP="00943952">
      <w:pPr>
        <w:pStyle w:val="NormalWeb"/>
        <w:spacing w:before="0" w:beforeAutospacing="0" w:after="0" w:afterAutospacing="0" w:line="276" w:lineRule="auto"/>
        <w:jc w:val="both"/>
        <w:rPr>
          <w:rFonts w:ascii="Arial" w:hAnsi="Arial" w:cs="Arial"/>
          <w:color w:val="000000"/>
        </w:rPr>
      </w:pPr>
    </w:p>
    <w:p w:rsidR="00B21C13" w:rsidRPr="00943952" w:rsidRDefault="004A2A3B" w:rsidP="00943952">
      <w:pPr>
        <w:spacing w:after="0" w:line="240" w:lineRule="auto"/>
        <w:ind w:left="426" w:right="420"/>
        <w:jc w:val="both"/>
        <w:rPr>
          <w:rFonts w:ascii="Arial" w:eastAsia="Dotum" w:hAnsi="Arial" w:cs="Arial"/>
          <w:i/>
          <w:iCs/>
          <w:color w:val="000000"/>
          <w:szCs w:val="24"/>
        </w:rPr>
      </w:pPr>
      <w:r w:rsidRPr="00943952">
        <w:rPr>
          <w:rFonts w:ascii="Arial" w:eastAsia="Dotum" w:hAnsi="Arial" w:cs="Arial"/>
          <w:b/>
          <w:i/>
          <w:color w:val="000000"/>
          <w:szCs w:val="24"/>
        </w:rPr>
        <w:t>“Sobre el tema de la carga de la prueba, la Sala tiene adoctrinado que el trabajador que pretenda una nivelación salarial por aplicación del principio «a trabajo igual salario igual», tiene por carga probatoria demostrar el «puesto» que desempeña y la existencia de otro trabajador que desempeña o desempeñó el mismo puesto o cargo con similares funciones y eficiencia</w:t>
      </w:r>
      <w:r w:rsidRPr="00943952">
        <w:rPr>
          <w:rFonts w:ascii="Arial" w:eastAsia="Dotum" w:hAnsi="Arial" w:cs="Arial"/>
          <w:i/>
          <w:color w:val="000000"/>
          <w:szCs w:val="24"/>
        </w:rPr>
        <w:t xml:space="preserve">. Sobre el particular son ilustrativas las sentencias CSJ, SL 5 feb. 2014, Rad. 39858, y SL 20 oct. 2006, Rad. 28441, donde reiteró lo dicho en las de 10 de jun. 2005 y 24 de </w:t>
      </w:r>
      <w:proofErr w:type="spellStart"/>
      <w:r w:rsidRPr="00943952">
        <w:rPr>
          <w:rFonts w:ascii="Arial" w:eastAsia="Dotum" w:hAnsi="Arial" w:cs="Arial"/>
          <w:i/>
          <w:color w:val="000000"/>
          <w:szCs w:val="24"/>
        </w:rPr>
        <w:t>may</w:t>
      </w:r>
      <w:proofErr w:type="spellEnd"/>
      <w:r w:rsidRPr="00943952">
        <w:rPr>
          <w:rFonts w:ascii="Arial" w:eastAsia="Dotum" w:hAnsi="Arial" w:cs="Arial"/>
          <w:i/>
          <w:color w:val="000000"/>
          <w:szCs w:val="24"/>
        </w:rPr>
        <w:t xml:space="preserve">. 2005, Rads. 24272 y 23148, respectivamente. Criterio adoctrinado anteriormente, en la sentencia CSJ SL, 25 sept. 1997, Rad. 9255, reiterada en la del 16 de nov. 2005, Rad. 24575. </w:t>
      </w:r>
      <w:r w:rsidRPr="00943952">
        <w:rPr>
          <w:rFonts w:ascii="Arial" w:eastAsia="Dotum" w:hAnsi="Arial" w:cs="Arial"/>
          <w:color w:val="000000"/>
          <w:szCs w:val="24"/>
        </w:rPr>
        <w:t>(Negrillas fuera del texto original).</w:t>
      </w:r>
      <w:r w:rsidRPr="00943952">
        <w:rPr>
          <w:rFonts w:ascii="Arial" w:eastAsia="Dotum" w:hAnsi="Arial" w:cs="Arial"/>
          <w:i/>
          <w:iCs/>
          <w:color w:val="000000"/>
          <w:szCs w:val="24"/>
        </w:rPr>
        <w:t>”.</w:t>
      </w:r>
    </w:p>
    <w:p w:rsidR="00B21C13" w:rsidRPr="00943952" w:rsidRDefault="00B21C13" w:rsidP="00943952">
      <w:pPr>
        <w:spacing w:after="0" w:line="276" w:lineRule="auto"/>
        <w:jc w:val="both"/>
        <w:rPr>
          <w:rFonts w:ascii="Arial" w:eastAsia="Dotum" w:hAnsi="Arial" w:cs="Arial"/>
          <w:i/>
          <w:iCs/>
          <w:color w:val="000000"/>
          <w:sz w:val="24"/>
          <w:szCs w:val="24"/>
        </w:rPr>
      </w:pPr>
    </w:p>
    <w:p w:rsidR="000E1C2C" w:rsidRPr="00943952" w:rsidRDefault="00B21C13" w:rsidP="00943952">
      <w:pPr>
        <w:spacing w:after="0" w:line="276" w:lineRule="auto"/>
        <w:jc w:val="both"/>
        <w:rPr>
          <w:rFonts w:ascii="Arial" w:eastAsia="Dotum" w:hAnsi="Arial" w:cs="Arial"/>
          <w:color w:val="000000"/>
          <w:sz w:val="24"/>
          <w:szCs w:val="24"/>
        </w:rPr>
      </w:pPr>
      <w:r w:rsidRPr="00943952">
        <w:rPr>
          <w:rFonts w:ascii="Arial" w:eastAsia="Dotum" w:hAnsi="Arial" w:cs="Arial"/>
          <w:color w:val="000000"/>
          <w:sz w:val="24"/>
          <w:szCs w:val="24"/>
        </w:rPr>
        <w:t>Agregando más adelant</w:t>
      </w:r>
      <w:r w:rsidR="00315689" w:rsidRPr="00943952">
        <w:rPr>
          <w:rFonts w:ascii="Arial" w:eastAsia="Dotum" w:hAnsi="Arial" w:cs="Arial"/>
          <w:color w:val="000000"/>
          <w:sz w:val="24"/>
          <w:szCs w:val="24"/>
        </w:rPr>
        <w:t>e</w:t>
      </w:r>
      <w:r w:rsidRPr="00943952">
        <w:rPr>
          <w:rFonts w:ascii="Arial" w:eastAsia="Dotum" w:hAnsi="Arial" w:cs="Arial"/>
          <w:color w:val="000000"/>
          <w:sz w:val="24"/>
          <w:szCs w:val="24"/>
        </w:rPr>
        <w:t xml:space="preserve"> respecto al caso que se estudiaba</w:t>
      </w:r>
      <w:r w:rsidR="000E1C2C" w:rsidRPr="00943952">
        <w:rPr>
          <w:rFonts w:ascii="Arial" w:eastAsia="Dotum" w:hAnsi="Arial" w:cs="Arial"/>
          <w:color w:val="000000"/>
          <w:sz w:val="24"/>
          <w:szCs w:val="24"/>
        </w:rPr>
        <w:t xml:space="preserve">, que: </w:t>
      </w:r>
    </w:p>
    <w:p w:rsidR="000E1C2C" w:rsidRPr="00943952" w:rsidRDefault="000E1C2C" w:rsidP="00943952">
      <w:pPr>
        <w:spacing w:after="0" w:line="276" w:lineRule="auto"/>
        <w:jc w:val="both"/>
        <w:rPr>
          <w:rFonts w:ascii="Arial" w:eastAsia="Dotum" w:hAnsi="Arial" w:cs="Arial"/>
          <w:color w:val="000000"/>
          <w:sz w:val="24"/>
          <w:szCs w:val="24"/>
        </w:rPr>
      </w:pPr>
    </w:p>
    <w:p w:rsidR="00315689" w:rsidRPr="00943952" w:rsidRDefault="00627463" w:rsidP="00943952">
      <w:pPr>
        <w:spacing w:after="0" w:line="240" w:lineRule="auto"/>
        <w:ind w:left="426" w:right="420"/>
        <w:jc w:val="both"/>
        <w:rPr>
          <w:rFonts w:ascii="Arial" w:hAnsi="Arial" w:cs="Arial"/>
          <w:b/>
          <w:bCs/>
          <w:i/>
          <w:iCs/>
          <w:kern w:val="28"/>
          <w:szCs w:val="24"/>
        </w:rPr>
      </w:pPr>
      <w:r w:rsidRPr="00943952">
        <w:rPr>
          <w:rFonts w:ascii="Arial" w:hAnsi="Arial" w:cs="Arial"/>
          <w:i/>
          <w:iCs/>
          <w:kern w:val="28"/>
          <w:szCs w:val="24"/>
        </w:rPr>
        <w:t>“</w:t>
      </w:r>
      <w:r w:rsidR="00315689" w:rsidRPr="00943952">
        <w:rPr>
          <w:rFonts w:ascii="Arial" w:hAnsi="Arial" w:cs="Arial"/>
          <w:i/>
          <w:iCs/>
          <w:kern w:val="28"/>
          <w:szCs w:val="24"/>
        </w:rPr>
        <w:t xml:space="preserve">En este orden, y acorde con las pruebas a las que alude el recurrente y que han sido objeto de estudio en precedencia, de ellas no se colige el trato discriminatorio en que funda el demandante su reclamación, </w:t>
      </w:r>
      <w:r w:rsidR="00315689" w:rsidRPr="00943952">
        <w:rPr>
          <w:rFonts w:ascii="Arial" w:hAnsi="Arial" w:cs="Arial"/>
          <w:b/>
          <w:bCs/>
          <w:i/>
          <w:iCs/>
          <w:kern w:val="28"/>
          <w:szCs w:val="24"/>
        </w:rPr>
        <w:t>pues solo se limitó a afirmar la existencia de otras personas que se ejecutaban iguales tareas del actor, sin que ello quedara acreditado en el juicio y que permitiera presumir un trato diferenciado por parte de la empleadora.</w:t>
      </w:r>
    </w:p>
    <w:p w:rsidR="00315689" w:rsidRPr="00943952" w:rsidRDefault="00315689" w:rsidP="00943952">
      <w:pPr>
        <w:spacing w:after="0" w:line="240" w:lineRule="auto"/>
        <w:ind w:left="426" w:right="420"/>
        <w:jc w:val="both"/>
        <w:rPr>
          <w:rFonts w:ascii="Arial" w:hAnsi="Arial" w:cs="Arial"/>
          <w:i/>
          <w:iCs/>
          <w:kern w:val="28"/>
          <w:szCs w:val="24"/>
        </w:rPr>
      </w:pPr>
    </w:p>
    <w:p w:rsidR="00C212F4" w:rsidRPr="00943952" w:rsidRDefault="00627463" w:rsidP="00943952">
      <w:pPr>
        <w:spacing w:after="0" w:line="240" w:lineRule="auto"/>
        <w:ind w:left="426" w:right="420"/>
        <w:jc w:val="both"/>
        <w:rPr>
          <w:rFonts w:ascii="Arial" w:hAnsi="Arial" w:cs="Arial"/>
          <w:szCs w:val="24"/>
        </w:rPr>
      </w:pPr>
      <w:r w:rsidRPr="00943952">
        <w:rPr>
          <w:rFonts w:ascii="Arial" w:hAnsi="Arial" w:cs="Arial"/>
          <w:i/>
          <w:iCs/>
          <w:kern w:val="28"/>
          <w:szCs w:val="24"/>
        </w:rPr>
        <w:t xml:space="preserve">Debe recordarse, que este fue también un argumento del Tribunal al hacer suyos los fundamentos del a quo, frente a que </w:t>
      </w:r>
      <w:r w:rsidRPr="00943952">
        <w:rPr>
          <w:rFonts w:ascii="Arial" w:hAnsi="Arial" w:cs="Arial"/>
          <w:bCs/>
          <w:i/>
          <w:iCs/>
          <w:szCs w:val="24"/>
        </w:rPr>
        <w:t>«</w:t>
      </w:r>
      <w:r w:rsidRPr="00943952">
        <w:rPr>
          <w:rFonts w:ascii="Arial" w:hAnsi="Arial" w:cs="Arial"/>
          <w:b/>
          <w:bCs/>
          <w:i/>
          <w:iCs/>
          <w:szCs w:val="24"/>
        </w:rPr>
        <w:t>no se indicó el nombre de un trabajador que estuviera en las mismas condiciones del accionante y que recibiera un salario mayor</w:t>
      </w:r>
      <w:r w:rsidRPr="00943952">
        <w:rPr>
          <w:rFonts w:ascii="Arial" w:hAnsi="Arial" w:cs="Arial"/>
          <w:i/>
          <w:iCs/>
          <w:szCs w:val="24"/>
        </w:rPr>
        <w:t xml:space="preserve">», lo que de igual forma resultaba acertado por cuanto como quedó dicho dentro del análisis jurisprudencial, </w:t>
      </w:r>
      <w:r w:rsidRPr="00943952">
        <w:rPr>
          <w:rFonts w:ascii="Arial" w:hAnsi="Arial" w:cs="Arial"/>
          <w:bCs/>
          <w:i/>
          <w:iCs/>
          <w:szCs w:val="24"/>
        </w:rPr>
        <w:t>«</w:t>
      </w:r>
      <w:r w:rsidRPr="00943952">
        <w:rPr>
          <w:rFonts w:ascii="Arial" w:hAnsi="Arial" w:cs="Arial"/>
          <w:b/>
          <w:bCs/>
          <w:i/>
          <w:iCs/>
          <w:szCs w:val="24"/>
        </w:rPr>
        <w:t>uno de los elementos para materializar el principio de "igualdad salarial" es que exista una discriminación en la remuneración respecto de otro u otros empleados que están realizando la misma actividad, en idénticas condiciones de eficiencia, intensidad y calidad</w:t>
      </w:r>
      <w:r w:rsidRPr="00943952">
        <w:rPr>
          <w:rFonts w:ascii="Arial" w:hAnsi="Arial" w:cs="Arial"/>
          <w:i/>
          <w:iCs/>
          <w:szCs w:val="24"/>
        </w:rPr>
        <w:t>».</w:t>
      </w:r>
      <w:r w:rsidR="00C212F4" w:rsidRPr="00943952">
        <w:rPr>
          <w:rFonts w:ascii="Arial" w:hAnsi="Arial" w:cs="Arial"/>
          <w:i/>
          <w:iCs/>
          <w:szCs w:val="24"/>
        </w:rPr>
        <w:t xml:space="preserve">” </w:t>
      </w:r>
      <w:r w:rsidR="00C212F4" w:rsidRPr="00943952">
        <w:rPr>
          <w:rFonts w:ascii="Arial" w:hAnsi="Arial" w:cs="Arial"/>
          <w:szCs w:val="24"/>
        </w:rPr>
        <w:t>(Negrillas por fuera de texto.</w:t>
      </w:r>
    </w:p>
    <w:p w:rsidR="004A2A3B" w:rsidRPr="00943952" w:rsidRDefault="004A2A3B" w:rsidP="00943952">
      <w:pPr>
        <w:spacing w:after="0" w:line="276" w:lineRule="auto"/>
        <w:jc w:val="both"/>
        <w:textAlignment w:val="baseline"/>
        <w:rPr>
          <w:rFonts w:ascii="Arial" w:eastAsia="Times New Roman" w:hAnsi="Arial" w:cs="Arial"/>
          <w:sz w:val="24"/>
          <w:szCs w:val="24"/>
          <w:lang w:eastAsia="es-CO"/>
        </w:rPr>
      </w:pPr>
    </w:p>
    <w:p w:rsidR="005550EC" w:rsidRPr="00943952" w:rsidRDefault="00483FA3" w:rsidP="00943952">
      <w:pPr>
        <w:pStyle w:val="NormalWeb"/>
        <w:spacing w:before="0" w:beforeAutospacing="0" w:after="0" w:afterAutospacing="0" w:line="276" w:lineRule="auto"/>
        <w:jc w:val="both"/>
        <w:rPr>
          <w:rFonts w:ascii="Arial" w:hAnsi="Arial" w:cs="Arial"/>
          <w:b/>
          <w:bCs/>
          <w:color w:val="000000"/>
        </w:rPr>
      </w:pPr>
      <w:r w:rsidRPr="00943952">
        <w:rPr>
          <w:rFonts w:ascii="Arial" w:hAnsi="Arial" w:cs="Arial"/>
          <w:b/>
          <w:bCs/>
          <w:color w:val="000000"/>
        </w:rPr>
        <w:t xml:space="preserve">2. </w:t>
      </w:r>
      <w:r w:rsidR="005550EC" w:rsidRPr="00943952">
        <w:rPr>
          <w:rFonts w:ascii="Arial" w:hAnsi="Arial" w:cs="Arial"/>
          <w:b/>
          <w:bCs/>
          <w:color w:val="000000"/>
        </w:rPr>
        <w:t>LIBERTAD CONTRACTUAL Y PAGOS NO CONSTITUTIVOS DE SALARIO.</w:t>
      </w:r>
    </w:p>
    <w:p w:rsidR="005550EC" w:rsidRPr="00943952" w:rsidRDefault="005550EC" w:rsidP="00943952">
      <w:pPr>
        <w:spacing w:after="0" w:line="276" w:lineRule="auto"/>
        <w:jc w:val="both"/>
        <w:textAlignment w:val="baseline"/>
        <w:rPr>
          <w:rFonts w:ascii="Arial" w:eastAsia="Times New Roman" w:hAnsi="Arial" w:cs="Arial"/>
          <w:sz w:val="24"/>
          <w:szCs w:val="24"/>
          <w:lang w:eastAsia="es-CO"/>
        </w:rPr>
      </w:pPr>
    </w:p>
    <w:p w:rsidR="005550EC" w:rsidRPr="00943952" w:rsidRDefault="005550EC" w:rsidP="00943952">
      <w:pPr>
        <w:pStyle w:val="NormalWeb"/>
        <w:spacing w:before="0" w:beforeAutospacing="0" w:after="0" w:afterAutospacing="0" w:line="276" w:lineRule="auto"/>
        <w:jc w:val="both"/>
        <w:rPr>
          <w:rFonts w:ascii="Arial" w:hAnsi="Arial" w:cs="Arial"/>
          <w:color w:val="000000"/>
        </w:rPr>
      </w:pPr>
      <w:bookmarkStart w:id="1" w:name="_Hlk69201624"/>
      <w:r w:rsidRPr="00943952">
        <w:rPr>
          <w:rFonts w:ascii="Arial" w:hAnsi="Arial" w:cs="Arial"/>
          <w:color w:val="000000"/>
        </w:rPr>
        <w:t xml:space="preserve">De conformidad con el artículo 128 del C.S.T. las partes de común </w:t>
      </w:r>
      <w:r w:rsidR="00264F4C" w:rsidRPr="00943952">
        <w:rPr>
          <w:rFonts w:ascii="Arial" w:hAnsi="Arial" w:cs="Arial"/>
          <w:color w:val="000000"/>
        </w:rPr>
        <w:t>acuerdo</w:t>
      </w:r>
      <w:r w:rsidRPr="00943952">
        <w:rPr>
          <w:rFonts w:ascii="Arial" w:hAnsi="Arial" w:cs="Arial"/>
          <w:color w:val="000000"/>
        </w:rPr>
        <w:t xml:space="preserve"> pueden expresamente establecer que beneficios o auxilios habituales u ocasionales que otorga el empleador, no constituyan salario en dinero o en especie.</w:t>
      </w:r>
    </w:p>
    <w:bookmarkEnd w:id="1"/>
    <w:p w:rsidR="005550EC" w:rsidRPr="00943952" w:rsidRDefault="005550EC" w:rsidP="00943952">
      <w:pPr>
        <w:pStyle w:val="NormalWeb"/>
        <w:spacing w:before="0" w:beforeAutospacing="0" w:after="0" w:afterAutospacing="0" w:line="276" w:lineRule="auto"/>
        <w:jc w:val="both"/>
        <w:rPr>
          <w:rFonts w:ascii="Arial" w:hAnsi="Arial" w:cs="Arial"/>
          <w:color w:val="000000"/>
        </w:rPr>
      </w:pPr>
    </w:p>
    <w:p w:rsidR="005550EC" w:rsidRPr="00943952" w:rsidRDefault="005550EC" w:rsidP="00943952">
      <w:pPr>
        <w:pStyle w:val="NormalWeb"/>
        <w:spacing w:before="0" w:beforeAutospacing="0" w:after="0" w:afterAutospacing="0" w:line="276" w:lineRule="auto"/>
        <w:jc w:val="both"/>
        <w:rPr>
          <w:rFonts w:ascii="Arial" w:hAnsi="Arial" w:cs="Arial"/>
          <w:color w:val="000000"/>
        </w:rPr>
      </w:pPr>
      <w:r w:rsidRPr="00943952">
        <w:rPr>
          <w:rFonts w:ascii="Arial" w:hAnsi="Arial" w:cs="Arial"/>
          <w:color w:val="000000"/>
        </w:rPr>
        <w:lastRenderedPageBreak/>
        <w:t>Al respecto, en decisión que se sigue citando hasta la fecha, la Sección Segunda de la Sala de Casación Laboral de la Corte con ponencia del doctor Hugo Suescún Pujols en sentencia de 12 de febrero de 1993, radicación 5481, explicó:</w:t>
      </w:r>
    </w:p>
    <w:p w:rsidR="005550EC" w:rsidRPr="00943952" w:rsidRDefault="005550EC" w:rsidP="00943952">
      <w:pPr>
        <w:pStyle w:val="NormalWeb"/>
        <w:spacing w:before="0" w:beforeAutospacing="0" w:after="0" w:afterAutospacing="0" w:line="276" w:lineRule="auto"/>
        <w:jc w:val="both"/>
        <w:rPr>
          <w:rFonts w:ascii="Arial" w:hAnsi="Arial" w:cs="Arial"/>
          <w:color w:val="000000"/>
        </w:rPr>
      </w:pPr>
    </w:p>
    <w:p w:rsidR="005550EC" w:rsidRPr="00943952" w:rsidRDefault="005550EC" w:rsidP="00943952">
      <w:pPr>
        <w:spacing w:after="0" w:line="240" w:lineRule="auto"/>
        <w:ind w:left="426" w:right="420"/>
        <w:jc w:val="both"/>
        <w:rPr>
          <w:rFonts w:ascii="Arial" w:hAnsi="Arial" w:cs="Arial"/>
          <w:i/>
          <w:iCs/>
          <w:kern w:val="28"/>
          <w:szCs w:val="24"/>
        </w:rPr>
      </w:pPr>
      <w:r w:rsidRPr="00943952">
        <w:rPr>
          <w:rFonts w:ascii="Arial" w:hAnsi="Arial" w:cs="Arial"/>
          <w:i/>
          <w:iCs/>
          <w:kern w:val="28"/>
          <w:szCs w:val="24"/>
        </w:rPr>
        <w:t>“Estas normas, en lo esencial, siguen diciendo lo mismo bajo la nueva redacción de los artículos 14 y 15 de la Ley 50 de 1.990, puesto que dichos preceptos no disponen, como pareciera darlo a entender una lectura superficial de sus textos, que un pago que realmente remunera el servicio, y por tanto constituye salario, ya no lo sea en virtud de disposición unilateral del empleador o por convenio individual o colectivo con sus trabajadores. En efecto, ni siquiera al legislador le está permitido contrariar la naturaleza de las cosas, y por lo mismo no podría disponer que un pago que retribuye la actividad del trabajador ya no sea salario. Lo que verdaderamente quiere decir la última parte del artículo 15 de la Ley 50 de 1.990, aunque debe reconocerse que su redacción no es la más afortunada, es que a partir de su vigencia pagos que son "salario" pueden no obstante excluirse de la base de cómputo para la liquidación de otros beneficios laborales (prestaciones sociales, indemnizaciones etc.).</w:t>
      </w:r>
    </w:p>
    <w:p w:rsidR="005550EC" w:rsidRPr="00943952" w:rsidRDefault="005550EC" w:rsidP="00943952">
      <w:pPr>
        <w:spacing w:after="0" w:line="240" w:lineRule="auto"/>
        <w:ind w:left="426" w:right="420"/>
        <w:jc w:val="both"/>
        <w:rPr>
          <w:rFonts w:ascii="Arial" w:hAnsi="Arial" w:cs="Arial"/>
          <w:i/>
          <w:iCs/>
          <w:kern w:val="28"/>
          <w:szCs w:val="24"/>
        </w:rPr>
      </w:pPr>
    </w:p>
    <w:p w:rsidR="005550EC" w:rsidRPr="00943952" w:rsidRDefault="005550EC" w:rsidP="00943952">
      <w:pPr>
        <w:spacing w:after="0" w:line="240" w:lineRule="auto"/>
        <w:ind w:left="426" w:right="420"/>
        <w:jc w:val="both"/>
        <w:rPr>
          <w:rFonts w:ascii="Arial" w:hAnsi="Arial" w:cs="Arial"/>
          <w:i/>
          <w:iCs/>
          <w:kern w:val="28"/>
          <w:szCs w:val="24"/>
        </w:rPr>
      </w:pPr>
      <w:r w:rsidRPr="00943952">
        <w:rPr>
          <w:rFonts w:ascii="Arial" w:hAnsi="Arial" w:cs="Arial"/>
          <w:i/>
          <w:iCs/>
          <w:kern w:val="28"/>
          <w:szCs w:val="24"/>
        </w:rPr>
        <w:t>Este entendimiento de la norma es el único que racionalmente cabe hacer, ya que aun cuando habitualmente se ha tomado el salario como la medida para calcular las prestaciones sociales y las indemnizaciones que legalmente se establecen en favor del trabajador, no existe ningún motivo fundado en los preceptos constitucionales que rigen la materia o en la recta razón, que impida al legislador disponer que una determinada prestación social o indemnización se liquide sin consideración al monto total del salario del trabajador, esto es, que se excluyan determinados factores no obstante su naturaleza salarial, y sin que pierdan por ello tal carácter. El legislador puede entonces también --y es estrictamente lo que ha hecho-- autorizar a las partes celebrantes de un contrato individual de trabajo, o de una convención colectiva de trabajo o de un pacto colectivo, para disponer expresamente que determinado beneficio o auxilio extralegal, a pesar de su carácter retributivo del trabajo, no tenga incidencia en la liquidación y pago de otras prestaciones o indemnizaciones. Lo que no puede lógicamente hacerse, ni por el legislador ni por quienes celebran un convenio individual o colectivo de trabajo, es disponer que aquello que por esencia es salario, deje de serlo.”.</w:t>
      </w:r>
    </w:p>
    <w:p w:rsidR="005550EC" w:rsidRPr="00943952" w:rsidRDefault="005550EC" w:rsidP="00943952">
      <w:pPr>
        <w:pStyle w:val="NormalWeb"/>
        <w:spacing w:before="0" w:beforeAutospacing="0" w:after="0" w:afterAutospacing="0" w:line="276" w:lineRule="auto"/>
        <w:jc w:val="both"/>
        <w:rPr>
          <w:rFonts w:ascii="Arial" w:hAnsi="Arial" w:cs="Arial"/>
          <w:color w:val="000000"/>
        </w:rPr>
      </w:pPr>
    </w:p>
    <w:p w:rsidR="005550EC" w:rsidRPr="00943952" w:rsidRDefault="005550EC" w:rsidP="00943952">
      <w:pPr>
        <w:pStyle w:val="NormalWeb"/>
        <w:spacing w:before="0" w:beforeAutospacing="0" w:after="0" w:afterAutospacing="0" w:line="276" w:lineRule="auto"/>
        <w:jc w:val="both"/>
        <w:rPr>
          <w:rFonts w:ascii="Arial" w:hAnsi="Arial" w:cs="Arial"/>
          <w:color w:val="000000"/>
        </w:rPr>
      </w:pPr>
      <w:r w:rsidRPr="00943952">
        <w:rPr>
          <w:rFonts w:ascii="Arial" w:hAnsi="Arial" w:cs="Arial"/>
          <w:color w:val="000000"/>
        </w:rPr>
        <w:t xml:space="preserve">Precisamente, basada en esta decisión y citándola expresamente la Corte Constitucional en la sentencia C-521 de 1995, declaró la </w:t>
      </w:r>
      <w:proofErr w:type="spellStart"/>
      <w:r w:rsidRPr="00943952">
        <w:rPr>
          <w:rFonts w:ascii="Arial" w:hAnsi="Arial" w:cs="Arial"/>
          <w:color w:val="000000"/>
        </w:rPr>
        <w:t>exequibilidad</w:t>
      </w:r>
      <w:proofErr w:type="spellEnd"/>
      <w:r w:rsidRPr="00943952">
        <w:rPr>
          <w:rFonts w:ascii="Arial" w:hAnsi="Arial" w:cs="Arial"/>
          <w:color w:val="000000"/>
        </w:rPr>
        <w:t xml:space="preserve"> del aparte del artículo 128 del C.S.T. relativo a que no son salario “</w:t>
      </w:r>
      <w:r w:rsidRPr="006938F0">
        <w:rPr>
          <w:rFonts w:ascii="Arial" w:hAnsi="Arial" w:cs="Arial"/>
          <w:i/>
          <w:color w:val="000000"/>
          <w:sz w:val="22"/>
        </w:rPr>
        <w:t>los beneficios o auxilios habituales u ocasionales acordados convencional o contractualmente u otorgados en forma extralegal por el empleador, cuando las partes hayan dispuesto expresamente que no constituyen salario en dinero o en especie, tales como la alimentación, habitación o vestuario, las primas extralegales, de vacaciones, de servicios o de navidad</w:t>
      </w:r>
      <w:r w:rsidRPr="006938F0">
        <w:rPr>
          <w:rFonts w:ascii="Arial" w:hAnsi="Arial" w:cs="Arial"/>
          <w:i/>
          <w:color w:val="000000"/>
        </w:rPr>
        <w:t>”</w:t>
      </w:r>
      <w:r w:rsidR="006938F0">
        <w:rPr>
          <w:rFonts w:ascii="Arial" w:hAnsi="Arial" w:cs="Arial"/>
          <w:i/>
          <w:color w:val="000000"/>
        </w:rPr>
        <w:t>.</w:t>
      </w:r>
    </w:p>
    <w:p w:rsidR="005550EC" w:rsidRPr="00943952" w:rsidRDefault="005550EC" w:rsidP="00943952">
      <w:pPr>
        <w:pStyle w:val="NormalWeb"/>
        <w:spacing w:before="0" w:beforeAutospacing="0" w:after="0" w:afterAutospacing="0" w:line="276" w:lineRule="auto"/>
        <w:jc w:val="both"/>
        <w:rPr>
          <w:rFonts w:ascii="Arial" w:hAnsi="Arial" w:cs="Arial"/>
          <w:color w:val="000000"/>
        </w:rPr>
      </w:pPr>
    </w:p>
    <w:p w:rsidR="005550EC" w:rsidRPr="00943952" w:rsidRDefault="005550EC" w:rsidP="00943952">
      <w:pPr>
        <w:pStyle w:val="NormalWeb"/>
        <w:spacing w:before="0" w:beforeAutospacing="0" w:after="0" w:afterAutospacing="0" w:line="276" w:lineRule="auto"/>
        <w:jc w:val="both"/>
        <w:rPr>
          <w:rFonts w:ascii="Arial" w:hAnsi="Arial" w:cs="Arial"/>
          <w:color w:val="000000"/>
        </w:rPr>
      </w:pPr>
      <w:r w:rsidRPr="00943952">
        <w:rPr>
          <w:rFonts w:ascii="Arial" w:hAnsi="Arial" w:cs="Arial"/>
          <w:color w:val="000000"/>
        </w:rPr>
        <w:t>Desde entonces, es dable afirmar que tal facultad sólo está limitada por el respeto a los derechos mínimos consagrados en la ley laboral de conformidad con el artículo 13 del C.S.T. y, al decir de la Sala de Casación Laboral de la Corte Suprema de Justicia, por la naturaleza salarial que la ley atribuye directamente a</w:t>
      </w:r>
      <w:r w:rsidR="00F71E73" w:rsidRPr="00943952">
        <w:rPr>
          <w:rFonts w:ascii="Arial" w:hAnsi="Arial" w:cs="Arial"/>
          <w:color w:val="000000"/>
        </w:rPr>
        <w:t xml:space="preserve"> </w:t>
      </w:r>
      <w:r w:rsidRPr="00943952">
        <w:rPr>
          <w:rFonts w:ascii="Arial" w:hAnsi="Arial" w:cs="Arial"/>
          <w:color w:val="000000"/>
        </w:rPr>
        <w:t>ciertos pagos que no pueden ser desconocidos como salario. Así se puede extractar de sentencias tales como la 30547 de 27 de enero de 2009, en la que se lee:</w:t>
      </w:r>
    </w:p>
    <w:p w:rsidR="005550EC" w:rsidRPr="00943952" w:rsidRDefault="005550EC" w:rsidP="00943952">
      <w:pPr>
        <w:pStyle w:val="NormalWeb"/>
        <w:spacing w:before="0" w:beforeAutospacing="0" w:after="0" w:afterAutospacing="0" w:line="276" w:lineRule="auto"/>
        <w:jc w:val="both"/>
        <w:rPr>
          <w:rFonts w:ascii="Arial" w:hAnsi="Arial" w:cs="Arial"/>
          <w:color w:val="000000"/>
        </w:rPr>
      </w:pPr>
    </w:p>
    <w:p w:rsidR="005550EC" w:rsidRPr="00943952" w:rsidRDefault="005550EC" w:rsidP="00943952">
      <w:pPr>
        <w:spacing w:after="0" w:line="240" w:lineRule="auto"/>
        <w:ind w:left="426" w:right="420"/>
        <w:jc w:val="both"/>
        <w:rPr>
          <w:rFonts w:ascii="Arial" w:hAnsi="Arial" w:cs="Arial"/>
          <w:i/>
          <w:iCs/>
          <w:kern w:val="28"/>
          <w:szCs w:val="24"/>
        </w:rPr>
      </w:pPr>
      <w:r w:rsidRPr="00943952">
        <w:rPr>
          <w:rFonts w:ascii="Arial" w:hAnsi="Arial" w:cs="Arial"/>
          <w:i/>
          <w:iCs/>
          <w:kern w:val="28"/>
          <w:szCs w:val="24"/>
        </w:rPr>
        <w:t>“...</w:t>
      </w:r>
      <w:r w:rsidR="00943952">
        <w:rPr>
          <w:rFonts w:ascii="Arial" w:hAnsi="Arial" w:cs="Arial"/>
          <w:i/>
          <w:iCs/>
          <w:kern w:val="28"/>
          <w:szCs w:val="24"/>
        </w:rPr>
        <w:t xml:space="preserve"> </w:t>
      </w:r>
      <w:r w:rsidRPr="00943952">
        <w:rPr>
          <w:rFonts w:ascii="Arial" w:hAnsi="Arial" w:cs="Arial"/>
          <w:i/>
          <w:iCs/>
          <w:kern w:val="28"/>
          <w:szCs w:val="24"/>
        </w:rPr>
        <w:t>así que cuando el pago que recibe el asalariado tiene como causa inmediata el servicio que este presta, o sea su actividad en la labor desempeñada, será salario sin que las partes puedan convenir en sentido contrario, como ocurre, por ejemplo, cuando se trata de trabajo suplementario, horas extras, trabajo en días de descanso obligatorio, o en las ventas realizadas por el trabajador”</w:t>
      </w:r>
      <w:r w:rsidR="00943952">
        <w:rPr>
          <w:rFonts w:ascii="Arial" w:hAnsi="Arial" w:cs="Arial"/>
          <w:i/>
          <w:iCs/>
          <w:kern w:val="28"/>
          <w:szCs w:val="24"/>
        </w:rPr>
        <w:t>.</w:t>
      </w:r>
    </w:p>
    <w:p w:rsidR="005550EC" w:rsidRPr="00943952" w:rsidRDefault="005550EC" w:rsidP="00943952">
      <w:pPr>
        <w:pStyle w:val="NormalWeb"/>
        <w:spacing w:before="0" w:beforeAutospacing="0" w:after="0" w:afterAutospacing="0" w:line="276" w:lineRule="auto"/>
        <w:jc w:val="both"/>
        <w:rPr>
          <w:rFonts w:ascii="Arial" w:hAnsi="Arial" w:cs="Arial"/>
          <w:color w:val="000000"/>
        </w:rPr>
      </w:pPr>
    </w:p>
    <w:p w:rsidR="005550EC" w:rsidRPr="00943952" w:rsidRDefault="005550EC" w:rsidP="00943952">
      <w:pPr>
        <w:pStyle w:val="NormalWeb"/>
        <w:spacing w:before="0" w:beforeAutospacing="0" w:after="0" w:afterAutospacing="0" w:line="276" w:lineRule="auto"/>
        <w:jc w:val="both"/>
        <w:rPr>
          <w:rFonts w:ascii="Arial" w:hAnsi="Arial" w:cs="Arial"/>
          <w:color w:val="000000"/>
        </w:rPr>
      </w:pPr>
      <w:r w:rsidRPr="00943952">
        <w:rPr>
          <w:rFonts w:ascii="Arial" w:hAnsi="Arial" w:cs="Arial"/>
          <w:color w:val="000000"/>
        </w:rPr>
        <w:lastRenderedPageBreak/>
        <w:t>O en la 22069 de 13 de septiembre de 2004, 21941 de 26 de abril de 2004, en lo referente a la exclusión salarial de las comisiones:</w:t>
      </w:r>
    </w:p>
    <w:p w:rsidR="005550EC" w:rsidRPr="00943952" w:rsidRDefault="005550EC" w:rsidP="00943952">
      <w:pPr>
        <w:pStyle w:val="NormalWeb"/>
        <w:spacing w:before="0" w:beforeAutospacing="0" w:after="0" w:afterAutospacing="0" w:line="276" w:lineRule="auto"/>
        <w:jc w:val="both"/>
        <w:rPr>
          <w:rFonts w:ascii="Arial" w:hAnsi="Arial" w:cs="Arial"/>
          <w:color w:val="000000"/>
        </w:rPr>
      </w:pPr>
    </w:p>
    <w:p w:rsidR="005550EC" w:rsidRPr="00943952" w:rsidRDefault="005550EC" w:rsidP="00943952">
      <w:pPr>
        <w:spacing w:after="0" w:line="240" w:lineRule="auto"/>
        <w:ind w:left="426" w:right="420"/>
        <w:jc w:val="both"/>
        <w:rPr>
          <w:rFonts w:ascii="Arial" w:hAnsi="Arial" w:cs="Arial"/>
          <w:i/>
          <w:iCs/>
          <w:kern w:val="28"/>
          <w:szCs w:val="24"/>
        </w:rPr>
      </w:pPr>
      <w:r w:rsidRPr="00943952">
        <w:rPr>
          <w:rFonts w:ascii="Arial" w:hAnsi="Arial" w:cs="Arial"/>
          <w:i/>
          <w:iCs/>
          <w:kern w:val="28"/>
          <w:szCs w:val="24"/>
        </w:rPr>
        <w:t>“...</w:t>
      </w:r>
      <w:r w:rsidR="00943952" w:rsidRPr="00943952">
        <w:rPr>
          <w:rFonts w:ascii="Arial" w:hAnsi="Arial" w:cs="Arial"/>
          <w:i/>
          <w:iCs/>
          <w:kern w:val="28"/>
          <w:szCs w:val="24"/>
        </w:rPr>
        <w:t xml:space="preserve"> </w:t>
      </w:r>
      <w:r w:rsidRPr="00943952">
        <w:rPr>
          <w:rFonts w:ascii="Arial" w:hAnsi="Arial" w:cs="Arial"/>
          <w:i/>
          <w:iCs/>
          <w:kern w:val="28"/>
          <w:szCs w:val="24"/>
        </w:rPr>
        <w:t xml:space="preserve">Pero en modo alguno puede aceptarse que esa última normatividad incluya todos los conceptos o rubros, como las comisiones, </w:t>
      </w:r>
      <w:proofErr w:type="gramStart"/>
      <w:r w:rsidRPr="00943952">
        <w:rPr>
          <w:rFonts w:ascii="Arial" w:hAnsi="Arial" w:cs="Arial"/>
          <w:i/>
          <w:iCs/>
          <w:kern w:val="28"/>
          <w:szCs w:val="24"/>
        </w:rPr>
        <w:t>que</w:t>
      </w:r>
      <w:proofErr w:type="gramEnd"/>
      <w:r w:rsidRPr="00943952">
        <w:rPr>
          <w:rFonts w:ascii="Arial" w:hAnsi="Arial" w:cs="Arial"/>
          <w:i/>
          <w:iCs/>
          <w:kern w:val="28"/>
          <w:szCs w:val="24"/>
        </w:rPr>
        <w:t xml:space="preserve"> por su origen, quedan por fuera de la posibilidad que ofrece el mencionado artículo 128, de negar la incidencia laboral de determinados pagos en la liquidación de prestaciones sociales o de otras acreencias laborales.”</w:t>
      </w:r>
    </w:p>
    <w:p w:rsidR="005550EC" w:rsidRPr="00943952" w:rsidRDefault="005550EC" w:rsidP="00943952">
      <w:pPr>
        <w:pStyle w:val="NormalWeb"/>
        <w:spacing w:before="0" w:beforeAutospacing="0" w:after="0" w:afterAutospacing="0" w:line="276" w:lineRule="auto"/>
        <w:jc w:val="both"/>
        <w:rPr>
          <w:rFonts w:ascii="Arial" w:hAnsi="Arial" w:cs="Arial"/>
          <w:color w:val="000000"/>
        </w:rPr>
      </w:pPr>
    </w:p>
    <w:p w:rsidR="00E875AD" w:rsidRPr="00943952" w:rsidRDefault="005550EC" w:rsidP="00943952">
      <w:pPr>
        <w:pStyle w:val="NormalWeb"/>
        <w:spacing w:before="0" w:beforeAutospacing="0" w:after="0" w:afterAutospacing="0" w:line="276" w:lineRule="auto"/>
        <w:jc w:val="both"/>
        <w:rPr>
          <w:rFonts w:ascii="Arial" w:hAnsi="Arial" w:cs="Arial"/>
          <w:color w:val="000000"/>
        </w:rPr>
      </w:pPr>
      <w:r w:rsidRPr="00943952">
        <w:rPr>
          <w:rFonts w:ascii="Arial" w:hAnsi="Arial" w:cs="Arial"/>
          <w:color w:val="000000"/>
        </w:rPr>
        <w:t>Pero, como puede verse, el entendimiento dado por la Sala de casación Laboral de la Corte, no llega hasta privar de contenido a la autorización otorgada en el artículo 128 para que las partes dispongan expresamente que no constituyen salario en dinero o en especie, ciertos beneficios o auxilios habituales u ocasionales otorgados en forma extralegal, tales como alimentación, habitación o vestuario; sino que excluye el pacto en los eventos de factores que literalmente están citados como salario por el artículo 127 del C.S.T., como lo son las comisiones y el trabajo suplementario.</w:t>
      </w: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w:t>
      </w:r>
    </w:p>
    <w:p w:rsidR="00595EEE" w:rsidRPr="00943952" w:rsidRDefault="00595EEE" w:rsidP="00943952">
      <w:pPr>
        <w:spacing w:after="0" w:line="276" w:lineRule="auto"/>
        <w:ind w:right="270"/>
        <w:jc w:val="both"/>
        <w:textAlignment w:val="baseline"/>
        <w:rPr>
          <w:rFonts w:ascii="Arial" w:eastAsia="Times New Roman" w:hAnsi="Arial" w:cs="Arial"/>
          <w:sz w:val="24"/>
          <w:szCs w:val="24"/>
          <w:lang w:eastAsia="es-CO"/>
        </w:rPr>
      </w:pPr>
      <w:r w:rsidRPr="00943952">
        <w:rPr>
          <w:rFonts w:ascii="Arial" w:eastAsia="Times New Roman" w:hAnsi="Arial" w:cs="Arial"/>
          <w:b/>
          <w:bCs/>
          <w:sz w:val="24"/>
          <w:szCs w:val="24"/>
          <w:lang w:eastAsia="es-CO"/>
        </w:rPr>
        <w:t>EL CASO CONCRETO</w:t>
      </w:r>
      <w:r w:rsidRPr="00943952">
        <w:rPr>
          <w:rFonts w:ascii="Arial" w:eastAsia="Times New Roman" w:hAnsi="Arial" w:cs="Arial"/>
          <w:sz w:val="24"/>
          <w:szCs w:val="24"/>
          <w:lang w:eastAsia="es-CO"/>
        </w:rPr>
        <w:t>  </w:t>
      </w:r>
    </w:p>
    <w:p w:rsidR="00595EEE" w:rsidRPr="00943952" w:rsidRDefault="00595EEE" w:rsidP="00943952">
      <w:pPr>
        <w:spacing w:after="0" w:line="276" w:lineRule="auto"/>
        <w:ind w:right="270"/>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w:t>
      </w:r>
    </w:p>
    <w:p w:rsidR="00595EEE" w:rsidRPr="00943952" w:rsidRDefault="00595EEE" w:rsidP="00943952">
      <w:pPr>
        <w:spacing w:after="0" w:line="276" w:lineRule="auto"/>
        <w:jc w:val="both"/>
        <w:textAlignment w:val="baseline"/>
        <w:rPr>
          <w:rFonts w:ascii="Arial" w:eastAsia="Times New Roman" w:hAnsi="Arial" w:cs="Arial"/>
          <w:b/>
          <w:bCs/>
          <w:sz w:val="24"/>
          <w:szCs w:val="24"/>
          <w:lang w:eastAsia="es-CO"/>
        </w:rPr>
      </w:pPr>
      <w:r w:rsidRPr="00943952">
        <w:rPr>
          <w:rFonts w:ascii="Arial" w:eastAsia="Times New Roman" w:hAnsi="Arial" w:cs="Arial"/>
          <w:b/>
          <w:bCs/>
          <w:sz w:val="24"/>
          <w:szCs w:val="24"/>
          <w:lang w:eastAsia="es-CO"/>
        </w:rPr>
        <w:t>Resolución del recurso de apelación interpuesto por la parte actora.</w:t>
      </w:r>
    </w:p>
    <w:p w:rsidR="00C631D2" w:rsidRPr="00943952" w:rsidRDefault="00C631D2" w:rsidP="00943952">
      <w:pPr>
        <w:spacing w:after="0" w:line="276" w:lineRule="auto"/>
        <w:jc w:val="both"/>
        <w:textAlignment w:val="baseline"/>
        <w:rPr>
          <w:rFonts w:ascii="Arial" w:eastAsia="Times New Roman" w:hAnsi="Arial" w:cs="Arial"/>
          <w:b/>
          <w:bCs/>
          <w:sz w:val="24"/>
          <w:szCs w:val="24"/>
          <w:lang w:eastAsia="es-CO"/>
        </w:rPr>
      </w:pPr>
    </w:p>
    <w:p w:rsidR="000035ED" w:rsidRPr="00943952" w:rsidRDefault="00BD090A"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Con la reforma de la demanda -fls.207 a 210-</w:t>
      </w:r>
      <w:r w:rsidR="007B1820" w:rsidRPr="00943952">
        <w:rPr>
          <w:rFonts w:ascii="Arial" w:eastAsia="Times New Roman" w:hAnsi="Arial" w:cs="Arial"/>
          <w:sz w:val="24"/>
          <w:szCs w:val="24"/>
          <w:lang w:eastAsia="es-CO"/>
        </w:rPr>
        <w:t xml:space="preserve"> la señora Yulieth Alexandra López Vera solicitó en la pretensión octava de la acci</w:t>
      </w:r>
      <w:r w:rsidR="001C5B51" w:rsidRPr="00943952">
        <w:rPr>
          <w:rFonts w:ascii="Arial" w:eastAsia="Times New Roman" w:hAnsi="Arial" w:cs="Arial"/>
          <w:sz w:val="24"/>
          <w:szCs w:val="24"/>
          <w:lang w:eastAsia="es-CO"/>
        </w:rPr>
        <w:t xml:space="preserve">ón que </w:t>
      </w:r>
      <w:r w:rsidR="001C5B51" w:rsidRPr="00943952">
        <w:rPr>
          <w:rFonts w:ascii="Arial" w:eastAsia="Times New Roman" w:hAnsi="Arial" w:cs="Arial"/>
          <w:i/>
          <w:iCs/>
          <w:sz w:val="24"/>
          <w:szCs w:val="24"/>
          <w:lang w:eastAsia="es-CO"/>
        </w:rPr>
        <w:t>“</w:t>
      </w:r>
      <w:r w:rsidR="001C5B51" w:rsidRPr="00943952">
        <w:rPr>
          <w:rFonts w:ascii="Arial" w:eastAsia="Times New Roman" w:hAnsi="Arial" w:cs="Arial"/>
          <w:i/>
          <w:iCs/>
          <w:szCs w:val="24"/>
          <w:lang w:eastAsia="es-CO"/>
        </w:rPr>
        <w:t xml:space="preserve">De llegarse a probar que los trabajadores </w:t>
      </w:r>
      <w:r w:rsidR="00722BA3" w:rsidRPr="00943952">
        <w:rPr>
          <w:rFonts w:ascii="Arial" w:eastAsia="Times New Roman" w:hAnsi="Arial" w:cs="Arial"/>
          <w:i/>
          <w:iCs/>
          <w:szCs w:val="24"/>
          <w:lang w:eastAsia="es-CO"/>
        </w:rPr>
        <w:t>directos de SERVIENTREGA S.A. que ocuparon y/u ocupan los mismo</w:t>
      </w:r>
      <w:r w:rsidR="000035ED" w:rsidRPr="00943952">
        <w:rPr>
          <w:rFonts w:ascii="Arial" w:eastAsia="Times New Roman" w:hAnsi="Arial" w:cs="Arial"/>
          <w:i/>
          <w:iCs/>
          <w:szCs w:val="24"/>
          <w:lang w:eastAsia="es-CO"/>
        </w:rPr>
        <w:t>s</w:t>
      </w:r>
      <w:r w:rsidR="00722BA3" w:rsidRPr="00943952">
        <w:rPr>
          <w:rFonts w:ascii="Arial" w:eastAsia="Times New Roman" w:hAnsi="Arial" w:cs="Arial"/>
          <w:i/>
          <w:iCs/>
          <w:szCs w:val="24"/>
          <w:lang w:eastAsia="es-CO"/>
        </w:rPr>
        <w:t xml:space="preserve"> cargos que ocupó mi representada</w:t>
      </w:r>
      <w:r w:rsidR="007109D3" w:rsidRPr="00943952">
        <w:rPr>
          <w:rFonts w:ascii="Arial" w:eastAsia="Times New Roman" w:hAnsi="Arial" w:cs="Arial"/>
          <w:i/>
          <w:iCs/>
          <w:szCs w:val="24"/>
          <w:lang w:eastAsia="es-CO"/>
        </w:rPr>
        <w:t xml:space="preserve"> devengaban un salario superior</w:t>
      </w:r>
      <w:r w:rsidR="000035ED" w:rsidRPr="00943952">
        <w:rPr>
          <w:rFonts w:ascii="Arial" w:eastAsia="Times New Roman" w:hAnsi="Arial" w:cs="Arial"/>
          <w:i/>
          <w:iCs/>
          <w:szCs w:val="24"/>
          <w:lang w:eastAsia="es-CO"/>
        </w:rPr>
        <w:t>, condenar a las demandadas a pagar los reajustes correspondientes. A trabajo igual salario igual</w:t>
      </w:r>
      <w:r w:rsidR="000035ED" w:rsidRPr="00943952">
        <w:rPr>
          <w:rFonts w:ascii="Arial" w:eastAsia="Times New Roman" w:hAnsi="Arial" w:cs="Arial"/>
          <w:i/>
          <w:iCs/>
          <w:sz w:val="24"/>
          <w:szCs w:val="24"/>
          <w:lang w:eastAsia="es-CO"/>
        </w:rPr>
        <w:t>”.</w:t>
      </w:r>
    </w:p>
    <w:p w:rsidR="000035ED" w:rsidRPr="00943952" w:rsidRDefault="000035ED" w:rsidP="00943952">
      <w:pPr>
        <w:spacing w:after="0" w:line="276" w:lineRule="auto"/>
        <w:jc w:val="both"/>
        <w:textAlignment w:val="baseline"/>
        <w:rPr>
          <w:rFonts w:ascii="Arial" w:eastAsia="Times New Roman" w:hAnsi="Arial" w:cs="Arial"/>
          <w:sz w:val="24"/>
          <w:szCs w:val="24"/>
          <w:lang w:eastAsia="es-CO"/>
        </w:rPr>
      </w:pPr>
    </w:p>
    <w:p w:rsidR="007E7D5F" w:rsidRPr="00943952" w:rsidRDefault="00B1475E" w:rsidP="00943952">
      <w:pPr>
        <w:spacing w:after="0" w:line="276" w:lineRule="auto"/>
        <w:jc w:val="both"/>
        <w:textAlignment w:val="baseline"/>
        <w:rPr>
          <w:rFonts w:ascii="Arial" w:eastAsia="Times New Roman" w:hAnsi="Arial" w:cs="Arial"/>
          <w:i/>
          <w:iCs/>
          <w:sz w:val="24"/>
          <w:szCs w:val="24"/>
          <w:lang w:eastAsia="es-CO"/>
        </w:rPr>
      </w:pPr>
      <w:r w:rsidRPr="00943952">
        <w:rPr>
          <w:rFonts w:ascii="Arial" w:eastAsia="Times New Roman" w:hAnsi="Arial" w:cs="Arial"/>
          <w:sz w:val="24"/>
          <w:szCs w:val="24"/>
          <w:lang w:eastAsia="es-CO"/>
        </w:rPr>
        <w:t xml:space="preserve">Para soportar esa pretensión, la parte actora únicamente </w:t>
      </w:r>
      <w:r w:rsidR="00B813FF" w:rsidRPr="00943952">
        <w:rPr>
          <w:rFonts w:ascii="Arial" w:eastAsia="Times New Roman" w:hAnsi="Arial" w:cs="Arial"/>
          <w:sz w:val="24"/>
          <w:szCs w:val="24"/>
          <w:lang w:eastAsia="es-CO"/>
        </w:rPr>
        <w:t>adicionó el hecho octavo, incorporado en la referida reforma de la demanda</w:t>
      </w:r>
      <w:r w:rsidR="00EE4B75" w:rsidRPr="00943952">
        <w:rPr>
          <w:rFonts w:ascii="Arial" w:eastAsia="Times New Roman" w:hAnsi="Arial" w:cs="Arial"/>
          <w:sz w:val="24"/>
          <w:szCs w:val="24"/>
          <w:lang w:eastAsia="es-CO"/>
        </w:rPr>
        <w:t xml:space="preserve">, en la que narra que </w:t>
      </w:r>
      <w:r w:rsidR="00EE4B75" w:rsidRPr="00943952">
        <w:rPr>
          <w:rFonts w:ascii="Arial" w:eastAsia="Times New Roman" w:hAnsi="Arial" w:cs="Arial"/>
          <w:i/>
          <w:iCs/>
          <w:sz w:val="24"/>
          <w:szCs w:val="24"/>
          <w:lang w:eastAsia="es-CO"/>
        </w:rPr>
        <w:t>“</w:t>
      </w:r>
      <w:r w:rsidR="00EE4B75" w:rsidRPr="00943952">
        <w:rPr>
          <w:rFonts w:ascii="Arial" w:eastAsia="Times New Roman" w:hAnsi="Arial" w:cs="Arial"/>
          <w:i/>
          <w:iCs/>
          <w:szCs w:val="24"/>
          <w:lang w:eastAsia="es-CO"/>
        </w:rPr>
        <w:t>Durante el tiempo que duró la relación laboral, SERVIENTREGA S.A. tuvo trabajadores en el mismo ca</w:t>
      </w:r>
      <w:r w:rsidR="00831309" w:rsidRPr="00943952">
        <w:rPr>
          <w:rFonts w:ascii="Arial" w:eastAsia="Times New Roman" w:hAnsi="Arial" w:cs="Arial"/>
          <w:i/>
          <w:iCs/>
          <w:szCs w:val="24"/>
          <w:lang w:eastAsia="es-CO"/>
        </w:rPr>
        <w:t>rgo y ejerciendo las mismas actividades de mi representadas, directamente y por intermedio de empresas de servicios temporales</w:t>
      </w:r>
      <w:r w:rsidR="007E7D5F" w:rsidRPr="00943952">
        <w:rPr>
          <w:rFonts w:ascii="Arial" w:eastAsia="Times New Roman" w:hAnsi="Arial" w:cs="Arial"/>
          <w:i/>
          <w:iCs/>
          <w:szCs w:val="24"/>
          <w:lang w:eastAsia="es-CO"/>
        </w:rPr>
        <w:t>, pero con salarios superiores</w:t>
      </w:r>
      <w:r w:rsidR="007E7D5F" w:rsidRPr="00943952">
        <w:rPr>
          <w:rFonts w:ascii="Arial" w:eastAsia="Times New Roman" w:hAnsi="Arial" w:cs="Arial"/>
          <w:i/>
          <w:iCs/>
          <w:sz w:val="24"/>
          <w:szCs w:val="24"/>
          <w:lang w:eastAsia="es-CO"/>
        </w:rPr>
        <w:t>”.</w:t>
      </w:r>
    </w:p>
    <w:p w:rsidR="007E7D5F" w:rsidRPr="00943952" w:rsidRDefault="007E7D5F" w:rsidP="00943952">
      <w:pPr>
        <w:spacing w:after="0" w:line="276" w:lineRule="auto"/>
        <w:jc w:val="both"/>
        <w:textAlignment w:val="baseline"/>
        <w:rPr>
          <w:rFonts w:ascii="Arial" w:eastAsia="Times New Roman" w:hAnsi="Arial" w:cs="Arial"/>
          <w:i/>
          <w:iCs/>
          <w:sz w:val="24"/>
          <w:szCs w:val="24"/>
          <w:lang w:eastAsia="es-CO"/>
        </w:rPr>
      </w:pPr>
    </w:p>
    <w:p w:rsidR="00595EEE" w:rsidRPr="00943952" w:rsidRDefault="00680420"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xml:space="preserve">Obsérvese como la parte actora desde el </w:t>
      </w:r>
      <w:r w:rsidR="00287D78" w:rsidRPr="00943952">
        <w:rPr>
          <w:rFonts w:ascii="Arial" w:eastAsia="Times New Roman" w:hAnsi="Arial" w:cs="Arial"/>
          <w:sz w:val="24"/>
          <w:szCs w:val="24"/>
          <w:lang w:eastAsia="es-CO"/>
        </w:rPr>
        <w:t xml:space="preserve">momento en el que solicita la nivelación salarial, omite </w:t>
      </w:r>
      <w:r w:rsidR="00370F43" w:rsidRPr="00943952">
        <w:rPr>
          <w:rFonts w:ascii="Arial" w:eastAsia="Times New Roman" w:hAnsi="Arial" w:cs="Arial"/>
          <w:sz w:val="24"/>
          <w:szCs w:val="24"/>
          <w:lang w:eastAsia="es-CO"/>
        </w:rPr>
        <w:t xml:space="preserve">poner en conocimiento del proceso los parámetros mínimos de comparación para poder </w:t>
      </w:r>
      <w:r w:rsidR="000B4EA9" w:rsidRPr="00943952">
        <w:rPr>
          <w:rFonts w:ascii="Arial" w:eastAsia="Times New Roman" w:hAnsi="Arial" w:cs="Arial"/>
          <w:sz w:val="24"/>
          <w:szCs w:val="24"/>
          <w:lang w:eastAsia="es-CO"/>
        </w:rPr>
        <w:t xml:space="preserve">analizar la viabilidad de su pretensión, ya que con la reforma al libelo introductorio simplemente se limita </w:t>
      </w:r>
      <w:r w:rsidR="00F07CE9" w:rsidRPr="00943952">
        <w:rPr>
          <w:rFonts w:ascii="Arial" w:eastAsia="Times New Roman" w:hAnsi="Arial" w:cs="Arial"/>
          <w:sz w:val="24"/>
          <w:szCs w:val="24"/>
          <w:lang w:eastAsia="es-CO"/>
        </w:rPr>
        <w:t xml:space="preserve">a </w:t>
      </w:r>
      <w:r w:rsidR="00E110DE" w:rsidRPr="00943952">
        <w:rPr>
          <w:rFonts w:ascii="Arial" w:eastAsia="Times New Roman" w:hAnsi="Arial" w:cs="Arial"/>
          <w:sz w:val="24"/>
          <w:szCs w:val="24"/>
          <w:lang w:eastAsia="es-CO"/>
        </w:rPr>
        <w:t>anunciar que</w:t>
      </w:r>
      <w:r w:rsidR="00E662F9" w:rsidRPr="00943952">
        <w:rPr>
          <w:rFonts w:ascii="Arial" w:eastAsia="Times New Roman" w:hAnsi="Arial" w:cs="Arial"/>
          <w:sz w:val="24"/>
          <w:szCs w:val="24"/>
          <w:lang w:eastAsia="es-CO"/>
        </w:rPr>
        <w:t xml:space="preserve"> durante el tiempo que prestó sus servicios a favor de Servientrega S.A., existían </w:t>
      </w:r>
      <w:r w:rsidR="00A93999" w:rsidRPr="00943952">
        <w:rPr>
          <w:rFonts w:ascii="Arial" w:eastAsia="Times New Roman" w:hAnsi="Arial" w:cs="Arial"/>
          <w:sz w:val="24"/>
          <w:szCs w:val="24"/>
          <w:lang w:eastAsia="es-CO"/>
        </w:rPr>
        <w:t xml:space="preserve">otros trabajadores que </w:t>
      </w:r>
      <w:r w:rsidR="00402E18" w:rsidRPr="00943952">
        <w:rPr>
          <w:rFonts w:ascii="Arial" w:eastAsia="Times New Roman" w:hAnsi="Arial" w:cs="Arial"/>
          <w:sz w:val="24"/>
          <w:szCs w:val="24"/>
          <w:lang w:eastAsia="es-CO"/>
        </w:rPr>
        <w:t xml:space="preserve">ostentaban el mismo cargo (auxiliar </w:t>
      </w:r>
      <w:proofErr w:type="spellStart"/>
      <w:r w:rsidR="00402E18" w:rsidRPr="00943952">
        <w:rPr>
          <w:rFonts w:ascii="Arial" w:eastAsia="Times New Roman" w:hAnsi="Arial" w:cs="Arial"/>
          <w:sz w:val="24"/>
          <w:szCs w:val="24"/>
          <w:lang w:eastAsia="es-CO"/>
        </w:rPr>
        <w:t>cross</w:t>
      </w:r>
      <w:proofErr w:type="spellEnd"/>
      <w:r w:rsidR="00402E18" w:rsidRPr="00943952">
        <w:rPr>
          <w:rFonts w:ascii="Arial" w:eastAsia="Times New Roman" w:hAnsi="Arial" w:cs="Arial"/>
          <w:sz w:val="24"/>
          <w:szCs w:val="24"/>
          <w:lang w:eastAsia="es-CO"/>
        </w:rPr>
        <w:t xml:space="preserve"> </w:t>
      </w:r>
      <w:proofErr w:type="spellStart"/>
      <w:r w:rsidR="00402E18" w:rsidRPr="00943952">
        <w:rPr>
          <w:rFonts w:ascii="Arial" w:eastAsia="Times New Roman" w:hAnsi="Arial" w:cs="Arial"/>
          <w:sz w:val="24"/>
          <w:szCs w:val="24"/>
          <w:lang w:eastAsia="es-CO"/>
        </w:rPr>
        <w:t>do</w:t>
      </w:r>
      <w:r w:rsidR="00BB5398" w:rsidRPr="00943952">
        <w:rPr>
          <w:rFonts w:ascii="Arial" w:eastAsia="Times New Roman" w:hAnsi="Arial" w:cs="Arial"/>
          <w:sz w:val="24"/>
          <w:szCs w:val="24"/>
          <w:lang w:eastAsia="es-CO"/>
        </w:rPr>
        <w:t>cking</w:t>
      </w:r>
      <w:proofErr w:type="spellEnd"/>
      <w:r w:rsidR="00BB5398" w:rsidRPr="00943952">
        <w:rPr>
          <w:rFonts w:ascii="Arial" w:eastAsia="Times New Roman" w:hAnsi="Arial" w:cs="Arial"/>
          <w:sz w:val="24"/>
          <w:szCs w:val="24"/>
          <w:lang w:eastAsia="es-CO"/>
        </w:rPr>
        <w:t>) y que devengaban un salario superior, sin siquiera poner de presente</w:t>
      </w:r>
      <w:r w:rsidR="009843C7" w:rsidRPr="00943952">
        <w:rPr>
          <w:rFonts w:ascii="Arial" w:eastAsia="Times New Roman" w:hAnsi="Arial" w:cs="Arial"/>
          <w:sz w:val="24"/>
          <w:szCs w:val="24"/>
          <w:lang w:eastAsia="es-CO"/>
        </w:rPr>
        <w:t xml:space="preserve">: </w:t>
      </w:r>
      <w:r w:rsidR="009843C7" w:rsidRPr="00943952">
        <w:rPr>
          <w:rFonts w:ascii="Arial" w:eastAsia="Times New Roman" w:hAnsi="Arial" w:cs="Arial"/>
          <w:i/>
          <w:sz w:val="24"/>
          <w:szCs w:val="24"/>
          <w:lang w:eastAsia="es-CO"/>
        </w:rPr>
        <w:t>i)</w:t>
      </w:r>
      <w:r w:rsidR="009843C7" w:rsidRPr="00943952">
        <w:rPr>
          <w:rFonts w:ascii="Arial" w:eastAsia="Times New Roman" w:hAnsi="Arial" w:cs="Arial"/>
          <w:sz w:val="24"/>
          <w:szCs w:val="24"/>
          <w:lang w:eastAsia="es-CO"/>
        </w:rPr>
        <w:t xml:space="preserve"> los nombres de los trabajadores con los que pretendía compararse</w:t>
      </w:r>
      <w:r w:rsidR="00700BEF" w:rsidRPr="00943952">
        <w:rPr>
          <w:rFonts w:ascii="Arial" w:eastAsia="Times New Roman" w:hAnsi="Arial" w:cs="Arial"/>
          <w:sz w:val="24"/>
          <w:szCs w:val="24"/>
          <w:lang w:eastAsia="es-CO"/>
        </w:rPr>
        <w:t xml:space="preserve">; </w:t>
      </w:r>
      <w:proofErr w:type="spellStart"/>
      <w:r w:rsidR="00700BEF" w:rsidRPr="00943952">
        <w:rPr>
          <w:rFonts w:ascii="Arial" w:eastAsia="Times New Roman" w:hAnsi="Arial" w:cs="Arial"/>
          <w:i/>
          <w:sz w:val="24"/>
          <w:szCs w:val="24"/>
          <w:lang w:eastAsia="es-CO"/>
        </w:rPr>
        <w:t>ii</w:t>
      </w:r>
      <w:proofErr w:type="spellEnd"/>
      <w:r w:rsidR="00700BEF" w:rsidRPr="00943952">
        <w:rPr>
          <w:rFonts w:ascii="Arial" w:eastAsia="Times New Roman" w:hAnsi="Arial" w:cs="Arial"/>
          <w:i/>
          <w:sz w:val="24"/>
          <w:szCs w:val="24"/>
          <w:lang w:eastAsia="es-CO"/>
        </w:rPr>
        <w:t>)</w:t>
      </w:r>
      <w:r w:rsidR="00700BEF" w:rsidRPr="00943952">
        <w:rPr>
          <w:rFonts w:ascii="Arial" w:eastAsia="Times New Roman" w:hAnsi="Arial" w:cs="Arial"/>
          <w:sz w:val="24"/>
          <w:szCs w:val="24"/>
          <w:lang w:eastAsia="es-CO"/>
        </w:rPr>
        <w:t xml:space="preserve"> el valor de los salarios devengados por ellos</w:t>
      </w:r>
      <w:r w:rsidR="00826933" w:rsidRPr="00943952">
        <w:rPr>
          <w:rFonts w:ascii="Arial" w:eastAsia="Times New Roman" w:hAnsi="Arial" w:cs="Arial"/>
          <w:sz w:val="24"/>
          <w:szCs w:val="24"/>
          <w:lang w:eastAsia="es-CO"/>
        </w:rPr>
        <w:t xml:space="preserve">; y sobre todo, </w:t>
      </w:r>
      <w:r w:rsidR="002C4962" w:rsidRPr="00943952">
        <w:rPr>
          <w:rFonts w:ascii="Arial" w:eastAsia="Times New Roman" w:hAnsi="Arial" w:cs="Arial"/>
          <w:i/>
          <w:sz w:val="24"/>
          <w:szCs w:val="24"/>
          <w:lang w:eastAsia="es-CO"/>
        </w:rPr>
        <w:t>-</w:t>
      </w:r>
      <w:r w:rsidR="00826933" w:rsidRPr="00943952">
        <w:rPr>
          <w:rFonts w:ascii="Arial" w:eastAsia="Times New Roman" w:hAnsi="Arial" w:cs="Arial"/>
          <w:sz w:val="24"/>
          <w:szCs w:val="24"/>
          <w:lang w:eastAsia="es-CO"/>
        </w:rPr>
        <w:t xml:space="preserve"> cuales eran las labores que </w:t>
      </w:r>
      <w:r w:rsidR="00595254" w:rsidRPr="00943952">
        <w:rPr>
          <w:rFonts w:ascii="Arial" w:eastAsia="Times New Roman" w:hAnsi="Arial" w:cs="Arial"/>
          <w:sz w:val="24"/>
          <w:szCs w:val="24"/>
          <w:lang w:eastAsia="es-CO"/>
        </w:rPr>
        <w:t xml:space="preserve">desempeñaban </w:t>
      </w:r>
      <w:r w:rsidR="00C86004" w:rsidRPr="00943952">
        <w:rPr>
          <w:rFonts w:ascii="Arial" w:eastAsia="Times New Roman" w:hAnsi="Arial" w:cs="Arial"/>
          <w:sz w:val="24"/>
          <w:szCs w:val="24"/>
          <w:lang w:eastAsia="es-CO"/>
        </w:rPr>
        <w:t xml:space="preserve">los auxiliares </w:t>
      </w:r>
      <w:proofErr w:type="spellStart"/>
      <w:r w:rsidR="00C86004" w:rsidRPr="00943952">
        <w:rPr>
          <w:rFonts w:ascii="Arial" w:eastAsia="Times New Roman" w:hAnsi="Arial" w:cs="Arial"/>
          <w:sz w:val="24"/>
          <w:szCs w:val="24"/>
          <w:lang w:eastAsia="es-CO"/>
        </w:rPr>
        <w:t>cross</w:t>
      </w:r>
      <w:proofErr w:type="spellEnd"/>
      <w:r w:rsidR="00C86004" w:rsidRPr="00943952">
        <w:rPr>
          <w:rFonts w:ascii="Arial" w:eastAsia="Times New Roman" w:hAnsi="Arial" w:cs="Arial"/>
          <w:sz w:val="24"/>
          <w:szCs w:val="24"/>
          <w:lang w:eastAsia="es-CO"/>
        </w:rPr>
        <w:t xml:space="preserve"> </w:t>
      </w:r>
      <w:proofErr w:type="spellStart"/>
      <w:r w:rsidR="00C86004" w:rsidRPr="00943952">
        <w:rPr>
          <w:rFonts w:ascii="Arial" w:eastAsia="Times New Roman" w:hAnsi="Arial" w:cs="Arial"/>
          <w:sz w:val="24"/>
          <w:szCs w:val="24"/>
          <w:lang w:eastAsia="es-CO"/>
        </w:rPr>
        <w:t>docking</w:t>
      </w:r>
      <w:proofErr w:type="spellEnd"/>
      <w:r w:rsidR="00C86004" w:rsidRPr="00943952">
        <w:rPr>
          <w:rFonts w:ascii="Arial" w:eastAsia="Times New Roman" w:hAnsi="Arial" w:cs="Arial"/>
          <w:sz w:val="24"/>
          <w:szCs w:val="24"/>
          <w:lang w:eastAsia="es-CO"/>
        </w:rPr>
        <w:t>, incluida ella, en igualdad de condiciones</w:t>
      </w:r>
      <w:r w:rsidR="00664DAB" w:rsidRPr="00943952">
        <w:rPr>
          <w:rFonts w:ascii="Arial" w:eastAsia="Times New Roman" w:hAnsi="Arial" w:cs="Arial"/>
          <w:sz w:val="24"/>
          <w:szCs w:val="24"/>
          <w:lang w:eastAsia="es-CO"/>
        </w:rPr>
        <w:t xml:space="preserve"> de eficiencia, intensidad, calidad y responsabilidad.</w:t>
      </w:r>
    </w:p>
    <w:p w:rsidR="005825CC" w:rsidRPr="00943952" w:rsidRDefault="005825CC" w:rsidP="00943952">
      <w:pPr>
        <w:spacing w:after="0" w:line="276" w:lineRule="auto"/>
        <w:jc w:val="both"/>
        <w:textAlignment w:val="baseline"/>
        <w:rPr>
          <w:rFonts w:ascii="Arial" w:eastAsia="Times New Roman" w:hAnsi="Arial" w:cs="Arial"/>
          <w:sz w:val="24"/>
          <w:szCs w:val="24"/>
          <w:lang w:eastAsia="es-CO"/>
        </w:rPr>
      </w:pPr>
    </w:p>
    <w:p w:rsidR="00F761E8" w:rsidRPr="00943952" w:rsidRDefault="005825CC"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xml:space="preserve">Tales omisiones no fueron evidentes únicamente en la parte enunciativa de la acción, sino también en el </w:t>
      </w:r>
      <w:r w:rsidR="00FC5267" w:rsidRPr="00943952">
        <w:rPr>
          <w:rFonts w:ascii="Arial" w:eastAsia="Times New Roman" w:hAnsi="Arial" w:cs="Arial"/>
          <w:sz w:val="24"/>
          <w:szCs w:val="24"/>
          <w:lang w:eastAsia="es-CO"/>
        </w:rPr>
        <w:t xml:space="preserve">accionar probatorio, </w:t>
      </w:r>
      <w:r w:rsidR="00B65E2C" w:rsidRPr="00943952">
        <w:rPr>
          <w:rFonts w:ascii="Arial" w:eastAsia="Times New Roman" w:hAnsi="Arial" w:cs="Arial"/>
          <w:sz w:val="24"/>
          <w:szCs w:val="24"/>
          <w:lang w:eastAsia="es-CO"/>
        </w:rPr>
        <w:t xml:space="preserve">pues </w:t>
      </w:r>
      <w:r w:rsidR="00537F8F" w:rsidRPr="00943952">
        <w:rPr>
          <w:rFonts w:ascii="Arial" w:eastAsia="Times New Roman" w:hAnsi="Arial" w:cs="Arial"/>
          <w:sz w:val="24"/>
          <w:szCs w:val="24"/>
          <w:lang w:eastAsia="es-CO"/>
        </w:rPr>
        <w:t>al revisar la totalidad</w:t>
      </w:r>
      <w:r w:rsidR="00F57968" w:rsidRPr="00943952">
        <w:rPr>
          <w:rFonts w:ascii="Arial" w:eastAsia="Times New Roman" w:hAnsi="Arial" w:cs="Arial"/>
          <w:sz w:val="24"/>
          <w:szCs w:val="24"/>
          <w:lang w:eastAsia="es-CO"/>
        </w:rPr>
        <w:t xml:space="preserve"> de los documentos aportados al expediente, no obra </w:t>
      </w:r>
      <w:r w:rsidR="00694332" w:rsidRPr="00943952">
        <w:rPr>
          <w:rFonts w:ascii="Arial" w:eastAsia="Times New Roman" w:hAnsi="Arial" w:cs="Arial"/>
          <w:sz w:val="24"/>
          <w:szCs w:val="24"/>
          <w:lang w:eastAsia="es-CO"/>
        </w:rPr>
        <w:t>uno</w:t>
      </w:r>
      <w:r w:rsidR="00AB65FD" w:rsidRPr="00943952">
        <w:rPr>
          <w:rFonts w:ascii="Arial" w:eastAsia="Times New Roman" w:hAnsi="Arial" w:cs="Arial"/>
          <w:sz w:val="24"/>
          <w:szCs w:val="24"/>
          <w:lang w:eastAsia="es-CO"/>
        </w:rPr>
        <w:t xml:space="preserve"> solo</w:t>
      </w:r>
      <w:r w:rsidR="00F57968" w:rsidRPr="00943952">
        <w:rPr>
          <w:rFonts w:ascii="Arial" w:eastAsia="Times New Roman" w:hAnsi="Arial" w:cs="Arial"/>
          <w:sz w:val="24"/>
          <w:szCs w:val="24"/>
          <w:lang w:eastAsia="es-CO"/>
        </w:rPr>
        <w:t xml:space="preserve"> </w:t>
      </w:r>
      <w:r w:rsidR="00027D7B" w:rsidRPr="00943952">
        <w:rPr>
          <w:rFonts w:ascii="Arial" w:eastAsia="Times New Roman" w:hAnsi="Arial" w:cs="Arial"/>
          <w:sz w:val="24"/>
          <w:szCs w:val="24"/>
          <w:lang w:eastAsia="es-CO"/>
        </w:rPr>
        <w:t xml:space="preserve">con el que se acredite </w:t>
      </w:r>
      <w:r w:rsidR="00B36C25" w:rsidRPr="00943952">
        <w:rPr>
          <w:rFonts w:ascii="Arial" w:eastAsia="Times New Roman" w:hAnsi="Arial" w:cs="Arial"/>
          <w:sz w:val="24"/>
          <w:szCs w:val="24"/>
          <w:lang w:eastAsia="es-CO"/>
        </w:rPr>
        <w:t xml:space="preserve">que durante </w:t>
      </w:r>
      <w:r w:rsidR="0053790D" w:rsidRPr="00943952">
        <w:rPr>
          <w:rFonts w:ascii="Arial" w:eastAsia="Times New Roman" w:hAnsi="Arial" w:cs="Arial"/>
          <w:sz w:val="24"/>
          <w:szCs w:val="24"/>
          <w:lang w:eastAsia="es-CO"/>
        </w:rPr>
        <w:t>el tiempo en el que la actora estuvo vinculada a Servientrega S.A., existían</w:t>
      </w:r>
      <w:r w:rsidR="002F25E1" w:rsidRPr="00943952">
        <w:rPr>
          <w:rFonts w:ascii="Arial" w:eastAsia="Times New Roman" w:hAnsi="Arial" w:cs="Arial"/>
          <w:sz w:val="24"/>
          <w:szCs w:val="24"/>
          <w:lang w:eastAsia="es-CO"/>
        </w:rPr>
        <w:t xml:space="preserve"> </w:t>
      </w:r>
      <w:r w:rsidR="002F25E1" w:rsidRPr="00943952">
        <w:rPr>
          <w:rFonts w:ascii="Arial" w:eastAsia="Times New Roman" w:hAnsi="Arial" w:cs="Arial"/>
          <w:sz w:val="24"/>
          <w:szCs w:val="24"/>
          <w:lang w:eastAsia="es-CO"/>
        </w:rPr>
        <w:lastRenderedPageBreak/>
        <w:t xml:space="preserve">otros trabajadores </w:t>
      </w:r>
      <w:r w:rsidR="009E1AEC" w:rsidRPr="00943952">
        <w:rPr>
          <w:rFonts w:ascii="Arial" w:eastAsia="Times New Roman" w:hAnsi="Arial" w:cs="Arial"/>
          <w:sz w:val="24"/>
          <w:szCs w:val="24"/>
          <w:lang w:eastAsia="es-CO"/>
        </w:rPr>
        <w:t xml:space="preserve">que como auxiliares </w:t>
      </w:r>
      <w:proofErr w:type="spellStart"/>
      <w:r w:rsidR="009E1AEC" w:rsidRPr="00943952">
        <w:rPr>
          <w:rFonts w:ascii="Arial" w:eastAsia="Times New Roman" w:hAnsi="Arial" w:cs="Arial"/>
          <w:sz w:val="24"/>
          <w:szCs w:val="24"/>
          <w:lang w:eastAsia="es-CO"/>
        </w:rPr>
        <w:t>cross</w:t>
      </w:r>
      <w:proofErr w:type="spellEnd"/>
      <w:r w:rsidR="009E1AEC" w:rsidRPr="00943952">
        <w:rPr>
          <w:rFonts w:ascii="Arial" w:eastAsia="Times New Roman" w:hAnsi="Arial" w:cs="Arial"/>
          <w:sz w:val="24"/>
          <w:szCs w:val="24"/>
          <w:lang w:eastAsia="es-CO"/>
        </w:rPr>
        <w:t xml:space="preserve"> </w:t>
      </w:r>
      <w:proofErr w:type="spellStart"/>
      <w:r w:rsidR="009E1AEC" w:rsidRPr="00943952">
        <w:rPr>
          <w:rFonts w:ascii="Arial" w:eastAsia="Times New Roman" w:hAnsi="Arial" w:cs="Arial"/>
          <w:sz w:val="24"/>
          <w:szCs w:val="24"/>
          <w:lang w:eastAsia="es-CO"/>
        </w:rPr>
        <w:t>docking</w:t>
      </w:r>
      <w:proofErr w:type="spellEnd"/>
      <w:r w:rsidR="009E1AEC" w:rsidRPr="00943952">
        <w:rPr>
          <w:rFonts w:ascii="Arial" w:eastAsia="Times New Roman" w:hAnsi="Arial" w:cs="Arial"/>
          <w:sz w:val="24"/>
          <w:szCs w:val="24"/>
          <w:lang w:eastAsia="es-CO"/>
        </w:rPr>
        <w:t xml:space="preserve"> devengaban un salario superior al percibido por ella; siendo del caso poner de presente que el documento adosado por </w:t>
      </w:r>
      <w:r w:rsidR="00AF42C9" w:rsidRPr="00943952">
        <w:rPr>
          <w:rFonts w:ascii="Arial" w:eastAsia="Times New Roman" w:hAnsi="Arial" w:cs="Arial"/>
          <w:sz w:val="24"/>
          <w:szCs w:val="24"/>
          <w:lang w:eastAsia="es-CO"/>
        </w:rPr>
        <w:t>el apoderado judicial de la entidad empleadora</w:t>
      </w:r>
      <w:r w:rsidR="00344A75" w:rsidRPr="00943952">
        <w:rPr>
          <w:rFonts w:ascii="Arial" w:eastAsia="Times New Roman" w:hAnsi="Arial" w:cs="Arial"/>
          <w:sz w:val="24"/>
          <w:szCs w:val="24"/>
          <w:lang w:eastAsia="es-CO"/>
        </w:rPr>
        <w:t xml:space="preserve">, inmerso dentro del archivo relacionado como </w:t>
      </w:r>
      <w:r w:rsidR="00344A75" w:rsidRPr="00943952">
        <w:rPr>
          <w:rFonts w:ascii="Arial" w:eastAsia="Times New Roman" w:hAnsi="Arial" w:cs="Arial"/>
          <w:i/>
          <w:iCs/>
          <w:sz w:val="24"/>
          <w:szCs w:val="24"/>
          <w:lang w:eastAsia="es-CO"/>
        </w:rPr>
        <w:t>“</w:t>
      </w:r>
      <w:r w:rsidR="002D7110" w:rsidRPr="00943952">
        <w:rPr>
          <w:rFonts w:ascii="Arial" w:eastAsia="Times New Roman" w:hAnsi="Arial" w:cs="Arial"/>
          <w:i/>
          <w:iCs/>
          <w:sz w:val="24"/>
          <w:szCs w:val="24"/>
          <w:lang w:eastAsia="es-CO"/>
        </w:rPr>
        <w:t xml:space="preserve">28MemorialesVariosRecibidos.pdf” </w:t>
      </w:r>
      <w:r w:rsidR="002D7110" w:rsidRPr="00943952">
        <w:rPr>
          <w:rFonts w:ascii="Arial" w:eastAsia="Times New Roman" w:hAnsi="Arial" w:cs="Arial"/>
          <w:sz w:val="24"/>
          <w:szCs w:val="24"/>
          <w:lang w:eastAsia="es-CO"/>
        </w:rPr>
        <w:t xml:space="preserve">que obra en la carpeta de primera instancia del expediente digitalizado, no contiene la información esperada por la accionante, como parece entenderlo su apoderado judicial, ya que </w:t>
      </w:r>
      <w:r w:rsidR="00337204" w:rsidRPr="00943952">
        <w:rPr>
          <w:rFonts w:ascii="Arial" w:eastAsia="Times New Roman" w:hAnsi="Arial" w:cs="Arial"/>
          <w:sz w:val="24"/>
          <w:szCs w:val="24"/>
          <w:lang w:eastAsia="es-CO"/>
        </w:rPr>
        <w:t xml:space="preserve">en él únicamente se expone que </w:t>
      </w:r>
      <w:r w:rsidR="00B6388A" w:rsidRPr="00943952">
        <w:rPr>
          <w:rFonts w:ascii="Arial" w:eastAsia="Times New Roman" w:hAnsi="Arial" w:cs="Arial"/>
          <w:sz w:val="24"/>
          <w:szCs w:val="24"/>
          <w:lang w:eastAsia="es-CO"/>
        </w:rPr>
        <w:t xml:space="preserve">los auxiliares </w:t>
      </w:r>
      <w:proofErr w:type="spellStart"/>
      <w:r w:rsidR="00B6388A" w:rsidRPr="00943952">
        <w:rPr>
          <w:rFonts w:ascii="Arial" w:eastAsia="Times New Roman" w:hAnsi="Arial" w:cs="Arial"/>
          <w:sz w:val="24"/>
          <w:szCs w:val="24"/>
          <w:lang w:eastAsia="es-CO"/>
        </w:rPr>
        <w:t>cross</w:t>
      </w:r>
      <w:proofErr w:type="spellEnd"/>
      <w:r w:rsidR="00B6388A" w:rsidRPr="00943952">
        <w:rPr>
          <w:rFonts w:ascii="Arial" w:eastAsia="Times New Roman" w:hAnsi="Arial" w:cs="Arial"/>
          <w:sz w:val="24"/>
          <w:szCs w:val="24"/>
          <w:lang w:eastAsia="es-CO"/>
        </w:rPr>
        <w:t xml:space="preserve"> </w:t>
      </w:r>
      <w:proofErr w:type="spellStart"/>
      <w:r w:rsidR="00B6388A" w:rsidRPr="00943952">
        <w:rPr>
          <w:rFonts w:ascii="Arial" w:eastAsia="Times New Roman" w:hAnsi="Arial" w:cs="Arial"/>
          <w:sz w:val="24"/>
          <w:szCs w:val="24"/>
          <w:lang w:eastAsia="es-CO"/>
        </w:rPr>
        <w:t>docking</w:t>
      </w:r>
      <w:proofErr w:type="spellEnd"/>
      <w:r w:rsidR="00B6388A" w:rsidRPr="00943952">
        <w:rPr>
          <w:rFonts w:ascii="Arial" w:eastAsia="Times New Roman" w:hAnsi="Arial" w:cs="Arial"/>
          <w:sz w:val="24"/>
          <w:szCs w:val="24"/>
          <w:lang w:eastAsia="es-CO"/>
        </w:rPr>
        <w:t xml:space="preserve"> en el </w:t>
      </w:r>
      <w:r w:rsidR="00800FE8" w:rsidRPr="00943952">
        <w:rPr>
          <w:rFonts w:ascii="Arial" w:eastAsia="Times New Roman" w:hAnsi="Arial" w:cs="Arial"/>
          <w:sz w:val="24"/>
          <w:szCs w:val="24"/>
          <w:lang w:eastAsia="es-CO"/>
        </w:rPr>
        <w:t>municipio de Dosquebradas tiene</w:t>
      </w:r>
      <w:r w:rsidR="00824B02" w:rsidRPr="00943952">
        <w:rPr>
          <w:rFonts w:ascii="Arial" w:eastAsia="Times New Roman" w:hAnsi="Arial" w:cs="Arial"/>
          <w:sz w:val="24"/>
          <w:szCs w:val="24"/>
          <w:lang w:eastAsia="es-CO"/>
        </w:rPr>
        <w:t>n</w:t>
      </w:r>
      <w:r w:rsidR="00800FE8" w:rsidRPr="00943952">
        <w:rPr>
          <w:rFonts w:ascii="Arial" w:eastAsia="Times New Roman" w:hAnsi="Arial" w:cs="Arial"/>
          <w:sz w:val="24"/>
          <w:szCs w:val="24"/>
          <w:lang w:eastAsia="es-CO"/>
        </w:rPr>
        <w:t xml:space="preserve"> una compensación salarial para el año 2020 que la </w:t>
      </w:r>
      <w:r w:rsidR="00AD4CBD" w:rsidRPr="00943952">
        <w:rPr>
          <w:rFonts w:ascii="Arial" w:eastAsia="Times New Roman" w:hAnsi="Arial" w:cs="Arial"/>
          <w:sz w:val="24"/>
          <w:szCs w:val="24"/>
          <w:lang w:eastAsia="es-CO"/>
        </w:rPr>
        <w:t>componen</w:t>
      </w:r>
      <w:r w:rsidR="00375195" w:rsidRPr="00943952">
        <w:rPr>
          <w:rFonts w:ascii="Arial" w:eastAsia="Times New Roman" w:hAnsi="Arial" w:cs="Arial"/>
          <w:sz w:val="24"/>
          <w:szCs w:val="24"/>
          <w:lang w:eastAsia="es-CO"/>
        </w:rPr>
        <w:t xml:space="preserve"> un salario básico de $8</w:t>
      </w:r>
      <w:r w:rsidR="00F761E8" w:rsidRPr="00943952">
        <w:rPr>
          <w:rFonts w:ascii="Arial" w:eastAsia="Times New Roman" w:hAnsi="Arial" w:cs="Arial"/>
          <w:sz w:val="24"/>
          <w:szCs w:val="24"/>
          <w:lang w:eastAsia="es-CO"/>
        </w:rPr>
        <w:t>8</w:t>
      </w:r>
      <w:r w:rsidR="00375195" w:rsidRPr="00943952">
        <w:rPr>
          <w:rFonts w:ascii="Arial" w:eastAsia="Times New Roman" w:hAnsi="Arial" w:cs="Arial"/>
          <w:sz w:val="24"/>
          <w:szCs w:val="24"/>
          <w:lang w:eastAsia="es-CO"/>
        </w:rPr>
        <w:t>0.000, un auxilio de formación de $40.000 y un bono de servicio de $30.000</w:t>
      </w:r>
      <w:r w:rsidR="00AD4CBD" w:rsidRPr="00943952">
        <w:rPr>
          <w:rFonts w:ascii="Arial" w:eastAsia="Times New Roman" w:hAnsi="Arial" w:cs="Arial"/>
          <w:sz w:val="24"/>
          <w:szCs w:val="24"/>
          <w:lang w:eastAsia="es-CO"/>
        </w:rPr>
        <w:t xml:space="preserve">; es decir, </w:t>
      </w:r>
      <w:r w:rsidR="00053007" w:rsidRPr="00943952">
        <w:rPr>
          <w:rFonts w:ascii="Arial" w:eastAsia="Times New Roman" w:hAnsi="Arial" w:cs="Arial"/>
          <w:sz w:val="24"/>
          <w:szCs w:val="24"/>
          <w:lang w:eastAsia="es-CO"/>
        </w:rPr>
        <w:t>como ya se advirtió, no existe una sola prueba</w:t>
      </w:r>
      <w:r w:rsidR="003528C1" w:rsidRPr="00943952">
        <w:rPr>
          <w:rFonts w:ascii="Arial" w:eastAsia="Times New Roman" w:hAnsi="Arial" w:cs="Arial"/>
          <w:sz w:val="24"/>
          <w:szCs w:val="24"/>
          <w:lang w:eastAsia="es-CO"/>
        </w:rPr>
        <w:t xml:space="preserve"> documental</w:t>
      </w:r>
      <w:r w:rsidR="00053007" w:rsidRPr="00943952">
        <w:rPr>
          <w:rFonts w:ascii="Arial" w:eastAsia="Times New Roman" w:hAnsi="Arial" w:cs="Arial"/>
          <w:sz w:val="24"/>
          <w:szCs w:val="24"/>
          <w:lang w:eastAsia="es-CO"/>
        </w:rPr>
        <w:t xml:space="preserve"> que demuestre </w:t>
      </w:r>
      <w:r w:rsidR="008F4C71" w:rsidRPr="00943952">
        <w:rPr>
          <w:rFonts w:ascii="Arial" w:eastAsia="Times New Roman" w:hAnsi="Arial" w:cs="Arial"/>
          <w:sz w:val="24"/>
          <w:szCs w:val="24"/>
          <w:lang w:eastAsia="es-CO"/>
        </w:rPr>
        <w:t xml:space="preserve">que otros auxiliares </w:t>
      </w:r>
      <w:proofErr w:type="spellStart"/>
      <w:r w:rsidR="008F4C71" w:rsidRPr="00943952">
        <w:rPr>
          <w:rFonts w:ascii="Arial" w:eastAsia="Times New Roman" w:hAnsi="Arial" w:cs="Arial"/>
          <w:sz w:val="24"/>
          <w:szCs w:val="24"/>
          <w:lang w:eastAsia="es-CO"/>
        </w:rPr>
        <w:t>cross</w:t>
      </w:r>
      <w:proofErr w:type="spellEnd"/>
      <w:r w:rsidR="008F4C71" w:rsidRPr="00943952">
        <w:rPr>
          <w:rFonts w:ascii="Arial" w:eastAsia="Times New Roman" w:hAnsi="Arial" w:cs="Arial"/>
          <w:sz w:val="24"/>
          <w:szCs w:val="24"/>
          <w:lang w:eastAsia="es-CO"/>
        </w:rPr>
        <w:t xml:space="preserve"> </w:t>
      </w:r>
      <w:proofErr w:type="spellStart"/>
      <w:r w:rsidR="008F4C71" w:rsidRPr="00943952">
        <w:rPr>
          <w:rFonts w:ascii="Arial" w:eastAsia="Times New Roman" w:hAnsi="Arial" w:cs="Arial"/>
          <w:sz w:val="24"/>
          <w:szCs w:val="24"/>
          <w:lang w:eastAsia="es-CO"/>
        </w:rPr>
        <w:t>docking</w:t>
      </w:r>
      <w:proofErr w:type="spellEnd"/>
      <w:r w:rsidR="008F4C71" w:rsidRPr="00943952">
        <w:rPr>
          <w:rFonts w:ascii="Arial" w:eastAsia="Times New Roman" w:hAnsi="Arial" w:cs="Arial"/>
          <w:sz w:val="24"/>
          <w:szCs w:val="24"/>
          <w:lang w:eastAsia="es-CO"/>
        </w:rPr>
        <w:t xml:space="preserve"> al servicio de Servientrega S.A. devengaban un salario superior al que </w:t>
      </w:r>
      <w:r w:rsidR="00385121" w:rsidRPr="00943952">
        <w:rPr>
          <w:rFonts w:ascii="Arial" w:eastAsia="Times New Roman" w:hAnsi="Arial" w:cs="Arial"/>
          <w:sz w:val="24"/>
          <w:szCs w:val="24"/>
          <w:lang w:eastAsia="es-CO"/>
        </w:rPr>
        <w:t>percibía la señora López Vera</w:t>
      </w:r>
      <w:r w:rsidR="006641AE" w:rsidRPr="00943952">
        <w:rPr>
          <w:rFonts w:ascii="Arial" w:eastAsia="Times New Roman" w:hAnsi="Arial" w:cs="Arial"/>
          <w:sz w:val="24"/>
          <w:szCs w:val="24"/>
          <w:lang w:eastAsia="es-CO"/>
        </w:rPr>
        <w:t>.</w:t>
      </w:r>
    </w:p>
    <w:p w:rsidR="006641AE" w:rsidRPr="00943952" w:rsidRDefault="006641AE" w:rsidP="00943952">
      <w:pPr>
        <w:spacing w:after="0" w:line="276" w:lineRule="auto"/>
        <w:jc w:val="both"/>
        <w:textAlignment w:val="baseline"/>
        <w:rPr>
          <w:rFonts w:ascii="Arial" w:eastAsia="Times New Roman" w:hAnsi="Arial" w:cs="Arial"/>
          <w:sz w:val="24"/>
          <w:szCs w:val="24"/>
          <w:lang w:eastAsia="es-CO"/>
        </w:rPr>
      </w:pPr>
    </w:p>
    <w:p w:rsidR="00EE3DAE" w:rsidRPr="00943952" w:rsidRDefault="00917013"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xml:space="preserve">En cuanto a los interrogatorios de parte </w:t>
      </w:r>
      <w:r w:rsidR="003670C7" w:rsidRPr="00943952">
        <w:rPr>
          <w:rFonts w:ascii="Arial" w:eastAsia="Times New Roman" w:hAnsi="Arial" w:cs="Arial"/>
          <w:sz w:val="24"/>
          <w:szCs w:val="24"/>
          <w:lang w:eastAsia="es-CO"/>
        </w:rPr>
        <w:t>absueltos por los representantes legales de las entidades accionadas y los testimonios de Diana Carolina Mejía Hernández</w:t>
      </w:r>
      <w:r w:rsidR="00FB0B62" w:rsidRPr="00943952">
        <w:rPr>
          <w:rFonts w:ascii="Arial" w:eastAsia="Times New Roman" w:hAnsi="Arial" w:cs="Arial"/>
          <w:sz w:val="24"/>
          <w:szCs w:val="24"/>
          <w:lang w:eastAsia="es-CO"/>
        </w:rPr>
        <w:t xml:space="preserve"> y </w:t>
      </w:r>
      <w:proofErr w:type="spellStart"/>
      <w:r w:rsidR="00FB0B62" w:rsidRPr="00943952">
        <w:rPr>
          <w:rFonts w:ascii="Arial" w:eastAsia="Times New Roman" w:hAnsi="Arial" w:cs="Arial"/>
          <w:sz w:val="24"/>
          <w:szCs w:val="24"/>
          <w:lang w:eastAsia="es-CO"/>
        </w:rPr>
        <w:t>Dicinton</w:t>
      </w:r>
      <w:proofErr w:type="spellEnd"/>
      <w:r w:rsidR="00FB0B62" w:rsidRPr="00943952">
        <w:rPr>
          <w:rFonts w:ascii="Arial" w:eastAsia="Times New Roman" w:hAnsi="Arial" w:cs="Arial"/>
          <w:sz w:val="24"/>
          <w:szCs w:val="24"/>
          <w:lang w:eastAsia="es-CO"/>
        </w:rPr>
        <w:t xml:space="preserve"> Carvajal Duque (escuchados por petición de Dar Ayuda Temporal S.A.)</w:t>
      </w:r>
      <w:r w:rsidRPr="00943952">
        <w:rPr>
          <w:rFonts w:ascii="Arial" w:eastAsia="Times New Roman" w:hAnsi="Arial" w:cs="Arial"/>
          <w:sz w:val="24"/>
          <w:szCs w:val="24"/>
          <w:lang w:eastAsia="es-CO"/>
        </w:rPr>
        <w:t>, pertinente es manifestar que</w:t>
      </w:r>
      <w:r w:rsidR="00EE3DAE" w:rsidRPr="00943952">
        <w:rPr>
          <w:rFonts w:ascii="Arial" w:eastAsia="Times New Roman" w:hAnsi="Arial" w:cs="Arial"/>
          <w:sz w:val="24"/>
          <w:szCs w:val="24"/>
          <w:lang w:eastAsia="es-CO"/>
        </w:rPr>
        <w:t>, si bien todos expresaron que en la empresa existían varios trabajadores que ostentaban el mismo cargo de la señora Yulieth Alexandra López Vera</w:t>
      </w:r>
      <w:r w:rsidR="00880CF2" w:rsidRPr="00943952">
        <w:rPr>
          <w:rFonts w:ascii="Arial" w:eastAsia="Times New Roman" w:hAnsi="Arial" w:cs="Arial"/>
          <w:sz w:val="24"/>
          <w:szCs w:val="24"/>
          <w:lang w:eastAsia="es-CO"/>
        </w:rPr>
        <w:t xml:space="preserve">, la verdad es que no solamente no quedó acreditado que devengaran un salario superior al que ella percibió entre el </w:t>
      </w:r>
      <w:r w:rsidR="005D2980" w:rsidRPr="00943952">
        <w:rPr>
          <w:rFonts w:ascii="Arial" w:eastAsia="Times New Roman" w:hAnsi="Arial" w:cs="Arial"/>
          <w:sz w:val="24"/>
          <w:szCs w:val="24"/>
          <w:lang w:eastAsia="es-CO"/>
        </w:rPr>
        <w:t xml:space="preserve">16 de diciembre de 2015 y el 8 de octubre de 2018, sino que no hubo una sola explicación frente a las funciones o actividades que le correspondía </w:t>
      </w:r>
      <w:r w:rsidR="007C1F6A" w:rsidRPr="00943952">
        <w:rPr>
          <w:rFonts w:ascii="Arial" w:eastAsia="Times New Roman" w:hAnsi="Arial" w:cs="Arial"/>
          <w:sz w:val="24"/>
          <w:szCs w:val="24"/>
          <w:lang w:eastAsia="es-CO"/>
        </w:rPr>
        <w:t xml:space="preserve">ejecutar a la demandante y mucho menos que las desempeñara en igualdad de condiciones </w:t>
      </w:r>
      <w:r w:rsidR="00483FA3" w:rsidRPr="00943952">
        <w:rPr>
          <w:rFonts w:ascii="Arial" w:eastAsia="Times New Roman" w:hAnsi="Arial" w:cs="Arial"/>
          <w:sz w:val="24"/>
          <w:szCs w:val="24"/>
          <w:lang w:eastAsia="es-CO"/>
        </w:rPr>
        <w:t>de eficiencia, intensidad</w:t>
      </w:r>
      <w:r w:rsidR="00532916" w:rsidRPr="00943952">
        <w:rPr>
          <w:rFonts w:ascii="Arial" w:eastAsia="Times New Roman" w:hAnsi="Arial" w:cs="Arial"/>
          <w:sz w:val="24"/>
          <w:szCs w:val="24"/>
          <w:lang w:eastAsia="es-CO"/>
        </w:rPr>
        <w:t xml:space="preserve">, calidad y responsabilidad que los demás auxiliares </w:t>
      </w:r>
      <w:proofErr w:type="spellStart"/>
      <w:r w:rsidR="00532916" w:rsidRPr="00943952">
        <w:rPr>
          <w:rFonts w:ascii="Arial" w:eastAsia="Times New Roman" w:hAnsi="Arial" w:cs="Arial"/>
          <w:sz w:val="24"/>
          <w:szCs w:val="24"/>
          <w:lang w:eastAsia="es-CO"/>
        </w:rPr>
        <w:t>cross</w:t>
      </w:r>
      <w:proofErr w:type="spellEnd"/>
      <w:r w:rsidR="00532916" w:rsidRPr="00943952">
        <w:rPr>
          <w:rFonts w:ascii="Arial" w:eastAsia="Times New Roman" w:hAnsi="Arial" w:cs="Arial"/>
          <w:sz w:val="24"/>
          <w:szCs w:val="24"/>
          <w:lang w:eastAsia="es-CO"/>
        </w:rPr>
        <w:t xml:space="preserve"> </w:t>
      </w:r>
      <w:proofErr w:type="spellStart"/>
      <w:r w:rsidR="00532916" w:rsidRPr="00943952">
        <w:rPr>
          <w:rFonts w:ascii="Arial" w:eastAsia="Times New Roman" w:hAnsi="Arial" w:cs="Arial"/>
          <w:sz w:val="24"/>
          <w:szCs w:val="24"/>
          <w:lang w:eastAsia="es-CO"/>
        </w:rPr>
        <w:t>docking</w:t>
      </w:r>
      <w:proofErr w:type="spellEnd"/>
      <w:r w:rsidR="004D442A" w:rsidRPr="00943952">
        <w:rPr>
          <w:rFonts w:ascii="Arial" w:eastAsia="Times New Roman" w:hAnsi="Arial" w:cs="Arial"/>
          <w:sz w:val="24"/>
          <w:szCs w:val="24"/>
          <w:lang w:eastAsia="es-CO"/>
        </w:rPr>
        <w:t>.</w:t>
      </w:r>
    </w:p>
    <w:p w:rsidR="004D442A" w:rsidRPr="00943952" w:rsidRDefault="004D442A" w:rsidP="00943952">
      <w:pPr>
        <w:spacing w:after="0" w:line="276" w:lineRule="auto"/>
        <w:jc w:val="both"/>
        <w:textAlignment w:val="baseline"/>
        <w:rPr>
          <w:rFonts w:ascii="Arial" w:eastAsia="Times New Roman" w:hAnsi="Arial" w:cs="Arial"/>
          <w:sz w:val="24"/>
          <w:szCs w:val="24"/>
          <w:lang w:eastAsia="es-CO"/>
        </w:rPr>
      </w:pPr>
    </w:p>
    <w:p w:rsidR="004D442A" w:rsidRPr="00943952" w:rsidRDefault="004D442A"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xml:space="preserve">Por lo expuesto, no hay lugar a </w:t>
      </w:r>
      <w:r w:rsidR="00305EC0" w:rsidRPr="00943952">
        <w:rPr>
          <w:rFonts w:ascii="Arial" w:eastAsia="Times New Roman" w:hAnsi="Arial" w:cs="Arial"/>
          <w:sz w:val="24"/>
          <w:szCs w:val="24"/>
          <w:lang w:eastAsia="es-CO"/>
        </w:rPr>
        <w:t>acceder a la nivelación salarial solicitada por la parte actora,</w:t>
      </w:r>
      <w:r w:rsidR="00667923" w:rsidRPr="00943952">
        <w:rPr>
          <w:rFonts w:ascii="Arial" w:eastAsia="Times New Roman" w:hAnsi="Arial" w:cs="Arial"/>
          <w:sz w:val="24"/>
          <w:szCs w:val="24"/>
          <w:lang w:eastAsia="es-CO"/>
        </w:rPr>
        <w:t xml:space="preserve"> como acertadamente lo determinó el juzgado de conocimiento.</w:t>
      </w:r>
    </w:p>
    <w:p w:rsidR="00667923" w:rsidRPr="00943952" w:rsidRDefault="00667923" w:rsidP="00943952">
      <w:pPr>
        <w:spacing w:after="0" w:line="276" w:lineRule="auto"/>
        <w:jc w:val="both"/>
        <w:textAlignment w:val="baseline"/>
        <w:rPr>
          <w:rFonts w:ascii="Arial" w:eastAsia="Times New Roman" w:hAnsi="Arial" w:cs="Arial"/>
          <w:sz w:val="24"/>
          <w:szCs w:val="24"/>
          <w:lang w:eastAsia="es-CO"/>
        </w:rPr>
      </w:pPr>
    </w:p>
    <w:p w:rsidR="00667923" w:rsidRPr="00943952" w:rsidRDefault="008B3B60" w:rsidP="00943952">
      <w:pPr>
        <w:spacing w:after="0" w:line="276" w:lineRule="auto"/>
        <w:jc w:val="both"/>
        <w:textAlignment w:val="baseline"/>
        <w:rPr>
          <w:rFonts w:ascii="Arial" w:eastAsia="Times New Roman" w:hAnsi="Arial" w:cs="Arial"/>
          <w:b/>
          <w:bCs/>
          <w:sz w:val="24"/>
          <w:szCs w:val="24"/>
          <w:lang w:eastAsia="es-CO"/>
        </w:rPr>
      </w:pPr>
      <w:r w:rsidRPr="00943952">
        <w:rPr>
          <w:rFonts w:ascii="Arial" w:eastAsia="Times New Roman" w:hAnsi="Arial" w:cs="Arial"/>
          <w:b/>
          <w:bCs/>
          <w:sz w:val="24"/>
          <w:szCs w:val="24"/>
          <w:lang w:eastAsia="es-CO"/>
        </w:rPr>
        <w:t>Sobre la connotación del auxilio de formación.</w:t>
      </w:r>
    </w:p>
    <w:p w:rsidR="008B3B60" w:rsidRPr="00943952" w:rsidRDefault="008B3B60" w:rsidP="00943952">
      <w:pPr>
        <w:spacing w:after="0" w:line="276" w:lineRule="auto"/>
        <w:jc w:val="both"/>
        <w:textAlignment w:val="baseline"/>
        <w:rPr>
          <w:rFonts w:ascii="Arial" w:eastAsia="Times New Roman" w:hAnsi="Arial" w:cs="Arial"/>
          <w:b/>
          <w:bCs/>
          <w:sz w:val="24"/>
          <w:szCs w:val="24"/>
          <w:lang w:eastAsia="es-CO"/>
        </w:rPr>
      </w:pPr>
    </w:p>
    <w:p w:rsidR="008B3B60" w:rsidRPr="00943952" w:rsidRDefault="00C82F0D"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xml:space="preserve">Aseguran en términos generales </w:t>
      </w:r>
      <w:r w:rsidR="00661243" w:rsidRPr="00943952">
        <w:rPr>
          <w:rFonts w:ascii="Arial" w:eastAsia="Times New Roman" w:hAnsi="Arial" w:cs="Arial"/>
          <w:sz w:val="24"/>
          <w:szCs w:val="24"/>
          <w:lang w:eastAsia="es-CO"/>
        </w:rPr>
        <w:t xml:space="preserve">los apoderados </w:t>
      </w:r>
      <w:r w:rsidR="0090094F" w:rsidRPr="00943952">
        <w:rPr>
          <w:rFonts w:ascii="Arial" w:eastAsia="Times New Roman" w:hAnsi="Arial" w:cs="Arial"/>
          <w:sz w:val="24"/>
          <w:szCs w:val="24"/>
          <w:lang w:eastAsia="es-CO"/>
        </w:rPr>
        <w:t xml:space="preserve">judiciales </w:t>
      </w:r>
      <w:r w:rsidR="00661243" w:rsidRPr="00943952">
        <w:rPr>
          <w:rFonts w:ascii="Arial" w:eastAsia="Times New Roman" w:hAnsi="Arial" w:cs="Arial"/>
          <w:sz w:val="24"/>
          <w:szCs w:val="24"/>
          <w:lang w:eastAsia="es-CO"/>
        </w:rPr>
        <w:t>de las entidades demandadas</w:t>
      </w:r>
      <w:r w:rsidR="0090094F" w:rsidRPr="00943952">
        <w:rPr>
          <w:rFonts w:ascii="Arial" w:eastAsia="Times New Roman" w:hAnsi="Arial" w:cs="Arial"/>
          <w:sz w:val="24"/>
          <w:szCs w:val="24"/>
          <w:lang w:eastAsia="es-CO"/>
        </w:rPr>
        <w:t xml:space="preserve"> en la sustentación de los recursos de apelación</w:t>
      </w:r>
      <w:r w:rsidR="00661243" w:rsidRPr="00943952">
        <w:rPr>
          <w:rFonts w:ascii="Arial" w:eastAsia="Times New Roman" w:hAnsi="Arial" w:cs="Arial"/>
          <w:sz w:val="24"/>
          <w:szCs w:val="24"/>
          <w:lang w:eastAsia="es-CO"/>
        </w:rPr>
        <w:t xml:space="preserve">, que no resulta dable reconocer que el auxilio de formación </w:t>
      </w:r>
      <w:r w:rsidR="003D2185" w:rsidRPr="00943952">
        <w:rPr>
          <w:rFonts w:ascii="Arial" w:eastAsia="Times New Roman" w:hAnsi="Arial" w:cs="Arial"/>
          <w:sz w:val="24"/>
          <w:szCs w:val="24"/>
          <w:lang w:eastAsia="es-CO"/>
        </w:rPr>
        <w:t xml:space="preserve">que se le cancelaba mensualmente a la señora Yulieth Alexandra </w:t>
      </w:r>
      <w:r w:rsidR="0090094F" w:rsidRPr="00943952">
        <w:rPr>
          <w:rFonts w:ascii="Arial" w:eastAsia="Times New Roman" w:hAnsi="Arial" w:cs="Arial"/>
          <w:sz w:val="24"/>
          <w:szCs w:val="24"/>
          <w:lang w:eastAsia="es-CO"/>
        </w:rPr>
        <w:t xml:space="preserve">López Vera </w:t>
      </w:r>
      <w:r w:rsidR="00E75322" w:rsidRPr="00943952">
        <w:rPr>
          <w:rFonts w:ascii="Arial" w:eastAsia="Times New Roman" w:hAnsi="Arial" w:cs="Arial"/>
          <w:sz w:val="24"/>
          <w:szCs w:val="24"/>
          <w:lang w:eastAsia="es-CO"/>
        </w:rPr>
        <w:t>tenía connotación salarial, pues además de haber sido debidamente pactado durante toda la relación laboral que se prolongó entre el 16 de diciembre de 2015 y el 8 de octubre de 2018</w:t>
      </w:r>
      <w:r w:rsidR="00A240BF" w:rsidRPr="00943952">
        <w:rPr>
          <w:rFonts w:ascii="Arial" w:eastAsia="Times New Roman" w:hAnsi="Arial" w:cs="Arial"/>
          <w:sz w:val="24"/>
          <w:szCs w:val="24"/>
          <w:lang w:eastAsia="es-CO"/>
        </w:rPr>
        <w:t xml:space="preserve">, la verdad es que no estaba destinado a retribuir los servicios prestados por ella como auxiliar </w:t>
      </w:r>
      <w:proofErr w:type="spellStart"/>
      <w:r w:rsidR="00A240BF" w:rsidRPr="00943952">
        <w:rPr>
          <w:rFonts w:ascii="Arial" w:eastAsia="Times New Roman" w:hAnsi="Arial" w:cs="Arial"/>
          <w:sz w:val="24"/>
          <w:szCs w:val="24"/>
          <w:lang w:eastAsia="es-CO"/>
        </w:rPr>
        <w:t>cross</w:t>
      </w:r>
      <w:proofErr w:type="spellEnd"/>
      <w:r w:rsidR="00A240BF" w:rsidRPr="00943952">
        <w:rPr>
          <w:rFonts w:ascii="Arial" w:eastAsia="Times New Roman" w:hAnsi="Arial" w:cs="Arial"/>
          <w:sz w:val="24"/>
          <w:szCs w:val="24"/>
          <w:lang w:eastAsia="es-CO"/>
        </w:rPr>
        <w:t xml:space="preserve"> </w:t>
      </w:r>
      <w:proofErr w:type="spellStart"/>
      <w:r w:rsidR="00A240BF" w:rsidRPr="00943952">
        <w:rPr>
          <w:rFonts w:ascii="Arial" w:eastAsia="Times New Roman" w:hAnsi="Arial" w:cs="Arial"/>
          <w:sz w:val="24"/>
          <w:szCs w:val="24"/>
          <w:lang w:eastAsia="es-CO"/>
        </w:rPr>
        <w:t>docking</w:t>
      </w:r>
      <w:proofErr w:type="spellEnd"/>
      <w:r w:rsidR="00A240BF" w:rsidRPr="00943952">
        <w:rPr>
          <w:rFonts w:ascii="Arial" w:eastAsia="Times New Roman" w:hAnsi="Arial" w:cs="Arial"/>
          <w:sz w:val="24"/>
          <w:szCs w:val="24"/>
          <w:lang w:eastAsia="es-CO"/>
        </w:rPr>
        <w:t>.</w:t>
      </w:r>
    </w:p>
    <w:p w:rsidR="00A240BF" w:rsidRPr="00943952" w:rsidRDefault="00A240BF" w:rsidP="00943952">
      <w:pPr>
        <w:spacing w:after="0" w:line="276" w:lineRule="auto"/>
        <w:jc w:val="both"/>
        <w:textAlignment w:val="baseline"/>
        <w:rPr>
          <w:rFonts w:ascii="Arial" w:eastAsia="Times New Roman" w:hAnsi="Arial" w:cs="Arial"/>
          <w:sz w:val="24"/>
          <w:szCs w:val="24"/>
          <w:lang w:eastAsia="es-CO"/>
        </w:rPr>
      </w:pPr>
    </w:p>
    <w:p w:rsidR="00A240BF" w:rsidRPr="00943952" w:rsidRDefault="00A240BF"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Frente a esas afirmaciones</w:t>
      </w:r>
      <w:r w:rsidR="00424181" w:rsidRPr="00943952">
        <w:rPr>
          <w:rFonts w:ascii="Arial" w:eastAsia="Times New Roman" w:hAnsi="Arial" w:cs="Arial"/>
          <w:sz w:val="24"/>
          <w:szCs w:val="24"/>
          <w:lang w:eastAsia="es-CO"/>
        </w:rPr>
        <w:t xml:space="preserve">, </w:t>
      </w:r>
      <w:r w:rsidR="18A5837F" w:rsidRPr="00943952">
        <w:rPr>
          <w:rFonts w:ascii="Arial" w:eastAsia="Times New Roman" w:hAnsi="Arial" w:cs="Arial"/>
          <w:sz w:val="24"/>
          <w:szCs w:val="24"/>
          <w:lang w:eastAsia="es-CO"/>
        </w:rPr>
        <w:t>corresponde</w:t>
      </w:r>
      <w:r w:rsidR="00424181" w:rsidRPr="00943952">
        <w:rPr>
          <w:rFonts w:ascii="Arial" w:eastAsia="Times New Roman" w:hAnsi="Arial" w:cs="Arial"/>
          <w:sz w:val="24"/>
          <w:szCs w:val="24"/>
          <w:lang w:eastAsia="es-CO"/>
        </w:rPr>
        <w:t xml:space="preserve"> revisar los </w:t>
      </w:r>
      <w:r w:rsidR="003104D6" w:rsidRPr="00943952">
        <w:rPr>
          <w:rFonts w:ascii="Arial" w:eastAsia="Times New Roman" w:hAnsi="Arial" w:cs="Arial"/>
          <w:sz w:val="24"/>
          <w:szCs w:val="24"/>
          <w:lang w:eastAsia="es-CO"/>
        </w:rPr>
        <w:t xml:space="preserve">tres </w:t>
      </w:r>
      <w:r w:rsidR="00424181" w:rsidRPr="00943952">
        <w:rPr>
          <w:rFonts w:ascii="Arial" w:eastAsia="Times New Roman" w:hAnsi="Arial" w:cs="Arial"/>
          <w:sz w:val="24"/>
          <w:szCs w:val="24"/>
          <w:lang w:eastAsia="es-CO"/>
        </w:rPr>
        <w:t xml:space="preserve">contratos de trabajo que obran a folios </w:t>
      </w:r>
      <w:r w:rsidR="003104D6" w:rsidRPr="00943952">
        <w:rPr>
          <w:rFonts w:ascii="Arial" w:eastAsia="Times New Roman" w:hAnsi="Arial" w:cs="Arial"/>
          <w:sz w:val="24"/>
          <w:szCs w:val="24"/>
          <w:lang w:eastAsia="es-CO"/>
        </w:rPr>
        <w:t xml:space="preserve">132 a 135, </w:t>
      </w:r>
      <w:r w:rsidR="009F3C24" w:rsidRPr="00943952">
        <w:rPr>
          <w:rFonts w:ascii="Arial" w:eastAsia="Times New Roman" w:hAnsi="Arial" w:cs="Arial"/>
          <w:sz w:val="24"/>
          <w:szCs w:val="24"/>
          <w:lang w:eastAsia="es-CO"/>
        </w:rPr>
        <w:t xml:space="preserve">139 a 141 y 144 a 147, </w:t>
      </w:r>
      <w:r w:rsidR="008C4CC1" w:rsidRPr="00943952">
        <w:rPr>
          <w:rFonts w:ascii="Arial" w:eastAsia="Times New Roman" w:hAnsi="Arial" w:cs="Arial"/>
          <w:sz w:val="24"/>
          <w:szCs w:val="24"/>
          <w:lang w:eastAsia="es-CO"/>
        </w:rPr>
        <w:t>de los que se desprende que al iniciar la relación contractual el 16 de diciembre de 2015</w:t>
      </w:r>
      <w:r w:rsidR="00BD0342" w:rsidRPr="00943952">
        <w:rPr>
          <w:rFonts w:ascii="Arial" w:eastAsia="Times New Roman" w:hAnsi="Arial" w:cs="Arial"/>
          <w:sz w:val="24"/>
          <w:szCs w:val="24"/>
          <w:lang w:eastAsia="es-CO"/>
        </w:rPr>
        <w:t>, la</w:t>
      </w:r>
      <w:r w:rsidR="00380906" w:rsidRPr="00943952">
        <w:rPr>
          <w:rFonts w:ascii="Arial" w:eastAsia="Times New Roman" w:hAnsi="Arial" w:cs="Arial"/>
          <w:sz w:val="24"/>
          <w:szCs w:val="24"/>
          <w:lang w:eastAsia="es-CO"/>
        </w:rPr>
        <w:t xml:space="preserve">s partes no </w:t>
      </w:r>
      <w:r w:rsidR="00A1237B" w:rsidRPr="00943952">
        <w:rPr>
          <w:rFonts w:ascii="Arial" w:eastAsia="Times New Roman" w:hAnsi="Arial" w:cs="Arial"/>
          <w:sz w:val="24"/>
          <w:szCs w:val="24"/>
          <w:lang w:eastAsia="es-CO"/>
        </w:rPr>
        <w:t xml:space="preserve">pactaron la exclusión del auxilio de formación </w:t>
      </w:r>
      <w:r w:rsidR="00932DAE" w:rsidRPr="00943952">
        <w:rPr>
          <w:rFonts w:ascii="Arial" w:eastAsia="Times New Roman" w:hAnsi="Arial" w:cs="Arial"/>
          <w:sz w:val="24"/>
          <w:szCs w:val="24"/>
          <w:lang w:eastAsia="es-CO"/>
        </w:rPr>
        <w:t>como factor salarial, pues como puede verse en su texto -fl</w:t>
      </w:r>
      <w:r w:rsidR="00B26C39" w:rsidRPr="00943952">
        <w:rPr>
          <w:rFonts w:ascii="Arial" w:eastAsia="Times New Roman" w:hAnsi="Arial" w:cs="Arial"/>
          <w:sz w:val="24"/>
          <w:szCs w:val="24"/>
          <w:lang w:eastAsia="es-CO"/>
        </w:rPr>
        <w:t xml:space="preserve">s.139 a 141-, lo que hicieron las partes en el parágrafo 3° de la cláusula </w:t>
      </w:r>
      <w:r w:rsidR="00B95925" w:rsidRPr="00943952">
        <w:rPr>
          <w:rFonts w:ascii="Arial" w:eastAsia="Times New Roman" w:hAnsi="Arial" w:cs="Arial"/>
          <w:sz w:val="24"/>
          <w:szCs w:val="24"/>
          <w:lang w:eastAsia="es-CO"/>
        </w:rPr>
        <w:t>quinta fue transcribir integralmente el artículo 15 de la Ley 50 de 1990, sin que en él se definiera</w:t>
      </w:r>
      <w:r w:rsidR="002C40B2" w:rsidRPr="00943952">
        <w:rPr>
          <w:rFonts w:ascii="Arial" w:eastAsia="Times New Roman" w:hAnsi="Arial" w:cs="Arial"/>
          <w:sz w:val="24"/>
          <w:szCs w:val="24"/>
          <w:lang w:eastAsia="es-CO"/>
        </w:rPr>
        <w:t xml:space="preserve"> de manera expresa cuales expresamente los rubros que se le iban a pagar a la señora Yulieth Alexandra López Vera </w:t>
      </w:r>
      <w:r w:rsidR="00CB43A4" w:rsidRPr="00943952">
        <w:rPr>
          <w:rFonts w:ascii="Arial" w:eastAsia="Times New Roman" w:hAnsi="Arial" w:cs="Arial"/>
          <w:sz w:val="24"/>
          <w:szCs w:val="24"/>
          <w:lang w:eastAsia="es-CO"/>
        </w:rPr>
        <w:t xml:space="preserve">no </w:t>
      </w:r>
      <w:r w:rsidR="021830AB" w:rsidRPr="00943952">
        <w:rPr>
          <w:rFonts w:ascii="Arial" w:eastAsia="Times New Roman" w:hAnsi="Arial" w:cs="Arial"/>
          <w:sz w:val="24"/>
          <w:szCs w:val="24"/>
          <w:lang w:eastAsia="es-CO"/>
        </w:rPr>
        <w:t xml:space="preserve">eran </w:t>
      </w:r>
      <w:r w:rsidR="00CB43A4" w:rsidRPr="00943952">
        <w:rPr>
          <w:rFonts w:ascii="Arial" w:eastAsia="Times New Roman" w:hAnsi="Arial" w:cs="Arial"/>
          <w:sz w:val="24"/>
          <w:szCs w:val="24"/>
          <w:lang w:eastAsia="es-CO"/>
        </w:rPr>
        <w:t xml:space="preserve">constitutivos de salario; omisión que volvió a presentarse en el </w:t>
      </w:r>
      <w:r w:rsidR="002620B9" w:rsidRPr="00943952">
        <w:rPr>
          <w:rFonts w:ascii="Arial" w:eastAsia="Times New Roman" w:hAnsi="Arial" w:cs="Arial"/>
          <w:sz w:val="24"/>
          <w:szCs w:val="24"/>
          <w:lang w:eastAsia="es-CO"/>
        </w:rPr>
        <w:t xml:space="preserve">contrato de trabajo suscrito el 15 de </w:t>
      </w:r>
      <w:r w:rsidR="002620B9" w:rsidRPr="00943952">
        <w:rPr>
          <w:rFonts w:ascii="Arial" w:eastAsia="Times New Roman" w:hAnsi="Arial" w:cs="Arial"/>
          <w:sz w:val="24"/>
          <w:szCs w:val="24"/>
          <w:lang w:eastAsia="es-CO"/>
        </w:rPr>
        <w:lastRenderedPageBreak/>
        <w:t>noviembre de 2016 -fls.</w:t>
      </w:r>
      <w:r w:rsidR="00305B0C" w:rsidRPr="00943952">
        <w:rPr>
          <w:rFonts w:ascii="Arial" w:eastAsia="Times New Roman" w:hAnsi="Arial" w:cs="Arial"/>
          <w:sz w:val="24"/>
          <w:szCs w:val="24"/>
          <w:lang w:eastAsia="es-CO"/>
        </w:rPr>
        <w:t>144 a 147-; por lo que, a</w:t>
      </w:r>
      <w:r w:rsidR="004C32C5" w:rsidRPr="00943952">
        <w:rPr>
          <w:rFonts w:ascii="Arial" w:eastAsia="Times New Roman" w:hAnsi="Arial" w:cs="Arial"/>
          <w:sz w:val="24"/>
          <w:szCs w:val="24"/>
          <w:lang w:eastAsia="es-CO"/>
        </w:rPr>
        <w:t xml:space="preserve">l </w:t>
      </w:r>
      <w:r w:rsidR="00073C48" w:rsidRPr="00943952">
        <w:rPr>
          <w:rFonts w:ascii="Arial" w:eastAsia="Times New Roman" w:hAnsi="Arial" w:cs="Arial"/>
          <w:sz w:val="24"/>
          <w:szCs w:val="24"/>
          <w:lang w:eastAsia="es-CO"/>
        </w:rPr>
        <w:t>no haberse pactado expresamente como no constitutivo de salario</w:t>
      </w:r>
      <w:r w:rsidR="0079071F" w:rsidRPr="00943952">
        <w:rPr>
          <w:rFonts w:ascii="Arial" w:eastAsia="Times New Roman" w:hAnsi="Arial" w:cs="Arial"/>
          <w:sz w:val="24"/>
          <w:szCs w:val="24"/>
          <w:lang w:eastAsia="es-CO"/>
        </w:rPr>
        <w:t xml:space="preserve"> y cancelarse de manera habitual, no puede des</w:t>
      </w:r>
      <w:r w:rsidR="009C7412" w:rsidRPr="00943952">
        <w:rPr>
          <w:rFonts w:ascii="Arial" w:eastAsia="Times New Roman" w:hAnsi="Arial" w:cs="Arial"/>
          <w:sz w:val="24"/>
          <w:szCs w:val="24"/>
          <w:lang w:eastAsia="es-CO"/>
        </w:rPr>
        <w:t xml:space="preserve">conocerse que constituyó salario, por lo menos hasta el </w:t>
      </w:r>
      <w:r w:rsidR="00365857" w:rsidRPr="00943952">
        <w:rPr>
          <w:rFonts w:ascii="Arial" w:eastAsia="Times New Roman" w:hAnsi="Arial" w:cs="Arial"/>
          <w:sz w:val="24"/>
          <w:szCs w:val="24"/>
          <w:lang w:eastAsia="es-CO"/>
        </w:rPr>
        <w:t xml:space="preserve">29 de octubre de 2017; puesto que el 30 de octubre de </w:t>
      </w:r>
      <w:r w:rsidR="00967F37" w:rsidRPr="00943952">
        <w:rPr>
          <w:rFonts w:ascii="Arial" w:eastAsia="Times New Roman" w:hAnsi="Arial" w:cs="Arial"/>
          <w:sz w:val="24"/>
          <w:szCs w:val="24"/>
          <w:lang w:eastAsia="es-CO"/>
        </w:rPr>
        <w:t xml:space="preserve">2017, las partes al suscribir un nuevo contrato de trabajo -fls.132 a 135- deciden </w:t>
      </w:r>
      <w:r w:rsidR="007C5075" w:rsidRPr="00943952">
        <w:rPr>
          <w:rFonts w:ascii="Arial" w:eastAsia="Times New Roman" w:hAnsi="Arial" w:cs="Arial"/>
          <w:sz w:val="24"/>
          <w:szCs w:val="24"/>
          <w:lang w:eastAsia="es-CO"/>
        </w:rPr>
        <w:t xml:space="preserve">pactar que los $40.000 </w:t>
      </w:r>
      <w:r w:rsidR="006A4505" w:rsidRPr="00943952">
        <w:rPr>
          <w:rFonts w:ascii="Arial" w:eastAsia="Times New Roman" w:hAnsi="Arial" w:cs="Arial"/>
          <w:sz w:val="24"/>
          <w:szCs w:val="24"/>
          <w:lang w:eastAsia="es-CO"/>
        </w:rPr>
        <w:t xml:space="preserve">mensuales </w:t>
      </w:r>
      <w:r w:rsidR="00476D14" w:rsidRPr="00943952">
        <w:rPr>
          <w:rFonts w:ascii="Arial" w:eastAsia="Times New Roman" w:hAnsi="Arial" w:cs="Arial"/>
          <w:sz w:val="24"/>
          <w:szCs w:val="24"/>
          <w:lang w:eastAsia="es-CO"/>
        </w:rPr>
        <w:t xml:space="preserve">por concepto de auxilio de formación no tenía </w:t>
      </w:r>
      <w:r w:rsidR="00801838" w:rsidRPr="00943952">
        <w:rPr>
          <w:rFonts w:ascii="Arial" w:eastAsia="Times New Roman" w:hAnsi="Arial" w:cs="Arial"/>
          <w:sz w:val="24"/>
          <w:szCs w:val="24"/>
          <w:lang w:eastAsia="es-CO"/>
        </w:rPr>
        <w:t>carácter salarial y prestacional; por lo que</w:t>
      </w:r>
      <w:r w:rsidR="00AA6659" w:rsidRPr="00943952">
        <w:rPr>
          <w:rFonts w:ascii="Arial" w:eastAsia="Times New Roman" w:hAnsi="Arial" w:cs="Arial"/>
          <w:sz w:val="24"/>
          <w:szCs w:val="24"/>
          <w:lang w:eastAsia="es-CO"/>
        </w:rPr>
        <w:t xml:space="preserve"> en principio, al haberse pactado de esa manera</w:t>
      </w:r>
      <w:r w:rsidR="00CE10C9" w:rsidRPr="00943952">
        <w:rPr>
          <w:rFonts w:ascii="Arial" w:eastAsia="Times New Roman" w:hAnsi="Arial" w:cs="Arial"/>
          <w:sz w:val="24"/>
          <w:szCs w:val="24"/>
          <w:lang w:eastAsia="es-CO"/>
        </w:rPr>
        <w:t xml:space="preserve">, </w:t>
      </w:r>
      <w:r w:rsidR="00E46618" w:rsidRPr="00943952">
        <w:rPr>
          <w:rFonts w:ascii="Arial" w:eastAsia="Times New Roman" w:hAnsi="Arial" w:cs="Arial"/>
          <w:sz w:val="24"/>
          <w:szCs w:val="24"/>
          <w:lang w:eastAsia="es-CO"/>
        </w:rPr>
        <w:t>se debe entender que el mismo no remuneraba los servicios prestados por la accionante</w:t>
      </w:r>
      <w:r w:rsidR="00EE129C" w:rsidRPr="00943952">
        <w:rPr>
          <w:rFonts w:ascii="Arial" w:eastAsia="Times New Roman" w:hAnsi="Arial" w:cs="Arial"/>
          <w:sz w:val="24"/>
          <w:szCs w:val="24"/>
          <w:lang w:eastAsia="es-CO"/>
        </w:rPr>
        <w:t>, sino que estaban destinados a la formación educativa de la señora López Vera.</w:t>
      </w:r>
    </w:p>
    <w:p w:rsidR="00EE129C" w:rsidRPr="00943952" w:rsidRDefault="00EE129C" w:rsidP="00943952">
      <w:pPr>
        <w:spacing w:after="0" w:line="276" w:lineRule="auto"/>
        <w:jc w:val="both"/>
        <w:textAlignment w:val="baseline"/>
        <w:rPr>
          <w:rFonts w:ascii="Arial" w:eastAsia="Times New Roman" w:hAnsi="Arial" w:cs="Arial"/>
          <w:sz w:val="24"/>
          <w:szCs w:val="24"/>
          <w:lang w:eastAsia="es-CO"/>
        </w:rPr>
      </w:pPr>
    </w:p>
    <w:p w:rsidR="00EE129C" w:rsidRPr="00943952" w:rsidRDefault="00EE129C"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xml:space="preserve">Con el fin de dar luces sobre </w:t>
      </w:r>
      <w:r w:rsidR="00A77434" w:rsidRPr="00943952">
        <w:rPr>
          <w:rFonts w:ascii="Arial" w:eastAsia="Times New Roman" w:hAnsi="Arial" w:cs="Arial"/>
          <w:sz w:val="24"/>
          <w:szCs w:val="24"/>
          <w:lang w:eastAsia="es-CO"/>
        </w:rPr>
        <w:t xml:space="preserve">ese preciso aspecto, como ya se dijo líneas atrás, fueron escuchados los interrogatorios de parte de los representantes legales de las entidades accionadas, así como los testimonios de Diana </w:t>
      </w:r>
      <w:r w:rsidR="00AE1340" w:rsidRPr="00943952">
        <w:rPr>
          <w:rFonts w:ascii="Arial" w:eastAsia="Times New Roman" w:hAnsi="Arial" w:cs="Arial"/>
          <w:sz w:val="24"/>
          <w:szCs w:val="24"/>
          <w:lang w:eastAsia="es-CO"/>
        </w:rPr>
        <w:t xml:space="preserve">Carolina Mejía Hernández y </w:t>
      </w:r>
      <w:proofErr w:type="spellStart"/>
      <w:r w:rsidR="00AE1340" w:rsidRPr="00943952">
        <w:rPr>
          <w:rFonts w:ascii="Arial" w:eastAsia="Times New Roman" w:hAnsi="Arial" w:cs="Arial"/>
          <w:sz w:val="24"/>
          <w:szCs w:val="24"/>
          <w:lang w:eastAsia="es-CO"/>
        </w:rPr>
        <w:t>Dicinton</w:t>
      </w:r>
      <w:proofErr w:type="spellEnd"/>
      <w:r w:rsidR="00AE1340" w:rsidRPr="00943952">
        <w:rPr>
          <w:rFonts w:ascii="Arial" w:eastAsia="Times New Roman" w:hAnsi="Arial" w:cs="Arial"/>
          <w:sz w:val="24"/>
          <w:szCs w:val="24"/>
          <w:lang w:eastAsia="es-CO"/>
        </w:rPr>
        <w:t xml:space="preserve"> Carvajal Duque.</w:t>
      </w:r>
    </w:p>
    <w:p w:rsidR="00AE1340" w:rsidRPr="00943952" w:rsidRDefault="00AE1340" w:rsidP="00943952">
      <w:pPr>
        <w:spacing w:after="0" w:line="276" w:lineRule="auto"/>
        <w:jc w:val="both"/>
        <w:textAlignment w:val="baseline"/>
        <w:rPr>
          <w:rFonts w:ascii="Arial" w:eastAsia="Times New Roman" w:hAnsi="Arial" w:cs="Arial"/>
          <w:sz w:val="24"/>
          <w:szCs w:val="24"/>
          <w:lang w:eastAsia="es-CO"/>
        </w:rPr>
      </w:pPr>
    </w:p>
    <w:p w:rsidR="00AE1340" w:rsidRPr="00943952" w:rsidRDefault="00AE1340"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De manera unánime</w:t>
      </w:r>
      <w:r w:rsidR="00DD4BD8" w:rsidRPr="00943952">
        <w:rPr>
          <w:rFonts w:ascii="Arial" w:eastAsia="Times New Roman" w:hAnsi="Arial" w:cs="Arial"/>
          <w:sz w:val="24"/>
          <w:szCs w:val="24"/>
          <w:lang w:eastAsia="es-CO"/>
        </w:rPr>
        <w:t xml:space="preserve">, tanto los representantes legales de Servientrega S.A. y Dar Ayuda Temporal S.A., como los dos testigos oídos por petición de </w:t>
      </w:r>
      <w:r w:rsidR="003C48B6" w:rsidRPr="00943952">
        <w:rPr>
          <w:rFonts w:ascii="Arial" w:eastAsia="Times New Roman" w:hAnsi="Arial" w:cs="Arial"/>
          <w:sz w:val="24"/>
          <w:szCs w:val="24"/>
          <w:lang w:eastAsia="es-CO"/>
        </w:rPr>
        <w:t>la sociedad intermediaria, informaron que ese auxilio se le cancelaba a la totalidad de los trabajadores (directos e indirectos) que prestaban sus servicios a favor de Servientrega S.A.</w:t>
      </w:r>
      <w:r w:rsidR="002D04C4" w:rsidRPr="00943952">
        <w:rPr>
          <w:rFonts w:ascii="Arial" w:eastAsia="Times New Roman" w:hAnsi="Arial" w:cs="Arial"/>
          <w:sz w:val="24"/>
          <w:szCs w:val="24"/>
          <w:lang w:eastAsia="es-CO"/>
        </w:rPr>
        <w:t xml:space="preserve"> y que si bien su denominación llevaba a que ese dinero fuera </w:t>
      </w:r>
      <w:r w:rsidR="00FD151D" w:rsidRPr="00943952">
        <w:rPr>
          <w:rFonts w:ascii="Arial" w:eastAsia="Times New Roman" w:hAnsi="Arial" w:cs="Arial"/>
          <w:sz w:val="24"/>
          <w:szCs w:val="24"/>
          <w:lang w:eastAsia="es-CO"/>
        </w:rPr>
        <w:t xml:space="preserve">destinado a procesos de formación académica o física, la verdad es que esas entidades no exigían a sus trabajadores </w:t>
      </w:r>
      <w:r w:rsidR="00C0701C" w:rsidRPr="00943952">
        <w:rPr>
          <w:rFonts w:ascii="Arial" w:eastAsia="Times New Roman" w:hAnsi="Arial" w:cs="Arial"/>
          <w:sz w:val="24"/>
          <w:szCs w:val="24"/>
          <w:lang w:eastAsia="es-CO"/>
        </w:rPr>
        <w:t xml:space="preserve">la demostración de estudios o inscripción en procesos de formación, ya que realmente se les entregaban esos dineros para que ellos los destinaran </w:t>
      </w:r>
      <w:r w:rsidR="00A7297E" w:rsidRPr="00943952">
        <w:rPr>
          <w:rFonts w:ascii="Arial" w:eastAsia="Times New Roman" w:hAnsi="Arial" w:cs="Arial"/>
          <w:sz w:val="24"/>
          <w:szCs w:val="24"/>
          <w:lang w:eastAsia="es-CO"/>
        </w:rPr>
        <w:t>en lo que quisieran, puntualizando por ejemplo la señora Diana Carolina Mejía Hernández</w:t>
      </w:r>
      <w:r w:rsidR="00FB5AC4" w:rsidRPr="00943952">
        <w:rPr>
          <w:rFonts w:ascii="Arial" w:eastAsia="Times New Roman" w:hAnsi="Arial" w:cs="Arial"/>
          <w:sz w:val="24"/>
          <w:szCs w:val="24"/>
          <w:lang w:eastAsia="es-CO"/>
        </w:rPr>
        <w:t xml:space="preserve"> (Directora Regional de Dar Ayuda Temporal S.A.) que realmente nunca se les hacía a los trabajadores ningún tipo de exigencia para reconocer y pagar el auxilio de </w:t>
      </w:r>
      <w:r w:rsidR="00133289" w:rsidRPr="00943952">
        <w:rPr>
          <w:rFonts w:ascii="Arial" w:eastAsia="Times New Roman" w:hAnsi="Arial" w:cs="Arial"/>
          <w:sz w:val="24"/>
          <w:szCs w:val="24"/>
          <w:lang w:eastAsia="es-CO"/>
        </w:rPr>
        <w:t>formación y mucho menos demostrar que eran utilizados para procesos de formación</w:t>
      </w:r>
      <w:r w:rsidR="004E2838" w:rsidRPr="00943952">
        <w:rPr>
          <w:rFonts w:ascii="Arial" w:eastAsia="Times New Roman" w:hAnsi="Arial" w:cs="Arial"/>
          <w:sz w:val="24"/>
          <w:szCs w:val="24"/>
          <w:lang w:eastAsia="es-CO"/>
        </w:rPr>
        <w:t>, ya que ellos lo podían destinar a lo cubrir los gastos que ellos determinaran</w:t>
      </w:r>
      <w:r w:rsidR="00254B45" w:rsidRPr="00943952">
        <w:rPr>
          <w:rFonts w:ascii="Arial" w:eastAsia="Times New Roman" w:hAnsi="Arial" w:cs="Arial"/>
          <w:sz w:val="24"/>
          <w:szCs w:val="24"/>
          <w:lang w:eastAsia="es-CO"/>
        </w:rPr>
        <w:t xml:space="preserve">; como claramente lo expuso el representante legal de esa misma entidad, quien confesó que ese dinero se pagaba sin mirar para que era utilizado, ya que los trabajadores lo podían destinar para lo que </w:t>
      </w:r>
      <w:r w:rsidR="004A169B" w:rsidRPr="00943952">
        <w:rPr>
          <w:rFonts w:ascii="Arial" w:eastAsia="Times New Roman" w:hAnsi="Arial" w:cs="Arial"/>
          <w:sz w:val="24"/>
          <w:szCs w:val="24"/>
          <w:lang w:eastAsia="es-CO"/>
        </w:rPr>
        <w:t>a bien tuvieran, ejemplarizando que podían destinarlo a cursos de formación acad</w:t>
      </w:r>
      <w:r w:rsidR="00E07E66" w:rsidRPr="00943952">
        <w:rPr>
          <w:rFonts w:ascii="Arial" w:eastAsia="Times New Roman" w:hAnsi="Arial" w:cs="Arial"/>
          <w:sz w:val="24"/>
          <w:szCs w:val="24"/>
          <w:lang w:eastAsia="es-CO"/>
        </w:rPr>
        <w:t xml:space="preserve">émica, física, la lonchera de los hijos y en términos generales, lo que </w:t>
      </w:r>
      <w:r w:rsidR="00484FE5" w:rsidRPr="00943952">
        <w:rPr>
          <w:rFonts w:ascii="Arial" w:eastAsia="Times New Roman" w:hAnsi="Arial" w:cs="Arial"/>
          <w:sz w:val="24"/>
          <w:szCs w:val="24"/>
          <w:lang w:eastAsia="es-CO"/>
        </w:rPr>
        <w:t>cada uno quisiera</w:t>
      </w:r>
      <w:r w:rsidR="002076AE" w:rsidRPr="00943952">
        <w:rPr>
          <w:rFonts w:ascii="Arial" w:eastAsia="Times New Roman" w:hAnsi="Arial" w:cs="Arial"/>
          <w:sz w:val="24"/>
          <w:szCs w:val="24"/>
          <w:lang w:eastAsia="es-CO"/>
        </w:rPr>
        <w:t>.</w:t>
      </w:r>
    </w:p>
    <w:p w:rsidR="00B46C0A" w:rsidRPr="00943952" w:rsidRDefault="00B46C0A" w:rsidP="00943952">
      <w:pPr>
        <w:spacing w:after="0" w:line="276" w:lineRule="auto"/>
        <w:jc w:val="both"/>
        <w:textAlignment w:val="baseline"/>
        <w:rPr>
          <w:rFonts w:ascii="Arial" w:eastAsia="Times New Roman" w:hAnsi="Arial" w:cs="Arial"/>
          <w:sz w:val="24"/>
          <w:szCs w:val="24"/>
          <w:lang w:eastAsia="es-CO"/>
        </w:rPr>
      </w:pPr>
    </w:p>
    <w:p w:rsidR="00B46C0A" w:rsidRPr="00943952" w:rsidRDefault="00B46C0A"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xml:space="preserve">De acuerdo con lo expuesto, no cabe duda </w:t>
      </w:r>
      <w:r w:rsidR="002076AE" w:rsidRPr="00943952">
        <w:rPr>
          <w:rFonts w:ascii="Arial" w:eastAsia="Times New Roman" w:hAnsi="Arial" w:cs="Arial"/>
          <w:sz w:val="24"/>
          <w:szCs w:val="24"/>
          <w:lang w:eastAsia="es-CO"/>
        </w:rPr>
        <w:t>de que</w:t>
      </w:r>
      <w:r w:rsidRPr="00943952">
        <w:rPr>
          <w:rFonts w:ascii="Arial" w:eastAsia="Times New Roman" w:hAnsi="Arial" w:cs="Arial"/>
          <w:sz w:val="24"/>
          <w:szCs w:val="24"/>
          <w:lang w:eastAsia="es-CO"/>
        </w:rPr>
        <w:t xml:space="preserve"> el “</w:t>
      </w:r>
      <w:r w:rsidRPr="00943952">
        <w:rPr>
          <w:rFonts w:ascii="Arial" w:eastAsia="Times New Roman" w:hAnsi="Arial" w:cs="Arial"/>
          <w:i/>
          <w:sz w:val="24"/>
          <w:szCs w:val="24"/>
          <w:lang w:eastAsia="es-CO"/>
        </w:rPr>
        <w:t xml:space="preserve">auxilio de </w:t>
      </w:r>
      <w:r w:rsidR="00A11BB0" w:rsidRPr="00943952">
        <w:rPr>
          <w:rFonts w:ascii="Arial" w:eastAsia="Times New Roman" w:hAnsi="Arial" w:cs="Arial"/>
          <w:i/>
          <w:sz w:val="24"/>
          <w:szCs w:val="24"/>
          <w:lang w:eastAsia="es-CO"/>
        </w:rPr>
        <w:t>formación</w:t>
      </w:r>
      <w:r w:rsidR="00A11BB0" w:rsidRPr="00943952">
        <w:rPr>
          <w:rFonts w:ascii="Arial" w:eastAsia="Times New Roman" w:hAnsi="Arial" w:cs="Arial"/>
          <w:sz w:val="24"/>
          <w:szCs w:val="24"/>
          <w:lang w:eastAsia="es-CO"/>
        </w:rPr>
        <w:t>”, no tenía la destinación real que su nombre</w:t>
      </w:r>
      <w:r w:rsidR="002076AE" w:rsidRPr="00943952">
        <w:rPr>
          <w:rFonts w:ascii="Arial" w:eastAsia="Times New Roman" w:hAnsi="Arial" w:cs="Arial"/>
          <w:sz w:val="24"/>
          <w:szCs w:val="24"/>
          <w:lang w:eastAsia="es-CO"/>
        </w:rPr>
        <w:t xml:space="preserve"> o etiqueta quería otorgarle, ya que la sociedad empleadora lo reconocía y cancelaba</w:t>
      </w:r>
      <w:r w:rsidR="00144CC5" w:rsidRPr="00943952">
        <w:rPr>
          <w:rFonts w:ascii="Arial" w:eastAsia="Times New Roman" w:hAnsi="Arial" w:cs="Arial"/>
          <w:sz w:val="24"/>
          <w:szCs w:val="24"/>
          <w:lang w:eastAsia="es-CO"/>
        </w:rPr>
        <w:t xml:space="preserve"> sin necesidad de que sus trabajadores demostraran </w:t>
      </w:r>
      <w:r w:rsidR="008E1BF6" w:rsidRPr="00943952">
        <w:rPr>
          <w:rFonts w:ascii="Arial" w:eastAsia="Times New Roman" w:hAnsi="Arial" w:cs="Arial"/>
          <w:sz w:val="24"/>
          <w:szCs w:val="24"/>
          <w:lang w:eastAsia="es-CO"/>
        </w:rPr>
        <w:t xml:space="preserve">su utilización en verdaderos procesos de formación, </w:t>
      </w:r>
      <w:r w:rsidR="007A2DCC" w:rsidRPr="00943952">
        <w:rPr>
          <w:rFonts w:ascii="Arial" w:eastAsia="Times New Roman" w:hAnsi="Arial" w:cs="Arial"/>
          <w:sz w:val="24"/>
          <w:szCs w:val="24"/>
          <w:lang w:eastAsia="es-CO"/>
        </w:rPr>
        <w:t xml:space="preserve">quedando acreditado en el proceso que esos emolumentos podían destinarse para cubrir cualquier tipo de </w:t>
      </w:r>
      <w:r w:rsidR="00F41565" w:rsidRPr="00943952">
        <w:rPr>
          <w:rFonts w:ascii="Arial" w:eastAsia="Times New Roman" w:hAnsi="Arial" w:cs="Arial"/>
          <w:sz w:val="24"/>
          <w:szCs w:val="24"/>
          <w:lang w:eastAsia="es-CO"/>
        </w:rPr>
        <w:t xml:space="preserve">necesidad del trabajador, lo que lleva a concluir que esos rubros tenían </w:t>
      </w:r>
      <w:r w:rsidR="00F65021" w:rsidRPr="00943952">
        <w:rPr>
          <w:rFonts w:ascii="Arial" w:eastAsia="Times New Roman" w:hAnsi="Arial" w:cs="Arial"/>
          <w:sz w:val="24"/>
          <w:szCs w:val="24"/>
          <w:lang w:eastAsia="es-CO"/>
        </w:rPr>
        <w:t>la connotación de retribuir el servicio de la trabajadora y por consiguiente constituirse como factor salarial.</w:t>
      </w:r>
    </w:p>
    <w:p w:rsidR="00F65021" w:rsidRPr="00943952" w:rsidRDefault="00F65021" w:rsidP="00943952">
      <w:pPr>
        <w:spacing w:after="0" w:line="276" w:lineRule="auto"/>
        <w:jc w:val="both"/>
        <w:textAlignment w:val="baseline"/>
        <w:rPr>
          <w:rFonts w:ascii="Arial" w:eastAsia="Times New Roman" w:hAnsi="Arial" w:cs="Arial"/>
          <w:sz w:val="24"/>
          <w:szCs w:val="24"/>
          <w:lang w:eastAsia="es-CO"/>
        </w:rPr>
      </w:pPr>
    </w:p>
    <w:p w:rsidR="00F65021" w:rsidRPr="00943952" w:rsidRDefault="00F65021"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Es que</w:t>
      </w:r>
      <w:r w:rsidR="004B1FF7" w:rsidRPr="00943952">
        <w:rPr>
          <w:rFonts w:ascii="Arial" w:eastAsia="Times New Roman" w:hAnsi="Arial" w:cs="Arial"/>
          <w:sz w:val="24"/>
          <w:szCs w:val="24"/>
          <w:lang w:eastAsia="es-CO"/>
        </w:rPr>
        <w:t>,</w:t>
      </w:r>
      <w:r w:rsidRPr="00943952">
        <w:rPr>
          <w:rFonts w:ascii="Arial" w:eastAsia="Times New Roman" w:hAnsi="Arial" w:cs="Arial"/>
          <w:sz w:val="24"/>
          <w:szCs w:val="24"/>
          <w:lang w:eastAsia="es-CO"/>
        </w:rPr>
        <w:t xml:space="preserve"> en un caso </w:t>
      </w:r>
      <w:r w:rsidR="0023116B" w:rsidRPr="00943952">
        <w:rPr>
          <w:rFonts w:ascii="Arial" w:eastAsia="Times New Roman" w:hAnsi="Arial" w:cs="Arial"/>
          <w:sz w:val="24"/>
          <w:szCs w:val="24"/>
          <w:lang w:eastAsia="es-CO"/>
        </w:rPr>
        <w:t xml:space="preserve">de similares connotaciones, </w:t>
      </w:r>
      <w:r w:rsidR="00257DA9" w:rsidRPr="00943952">
        <w:rPr>
          <w:rFonts w:ascii="Arial" w:eastAsia="Times New Roman" w:hAnsi="Arial" w:cs="Arial"/>
          <w:sz w:val="24"/>
          <w:szCs w:val="24"/>
          <w:lang w:eastAsia="es-CO"/>
        </w:rPr>
        <w:t xml:space="preserve">la Sala de Casación Laboral en sentencia SL5159 de 14 de noviembre </w:t>
      </w:r>
      <w:r w:rsidR="00283603" w:rsidRPr="00943952">
        <w:rPr>
          <w:rFonts w:ascii="Arial" w:eastAsia="Times New Roman" w:hAnsi="Arial" w:cs="Arial"/>
          <w:sz w:val="24"/>
          <w:szCs w:val="24"/>
          <w:lang w:eastAsia="es-CO"/>
        </w:rPr>
        <w:t>2018, llegó a la misma conclusión</w:t>
      </w:r>
      <w:r w:rsidR="008531B1" w:rsidRPr="00943952">
        <w:rPr>
          <w:rFonts w:ascii="Arial" w:eastAsia="Times New Roman" w:hAnsi="Arial" w:cs="Arial"/>
          <w:sz w:val="24"/>
          <w:szCs w:val="24"/>
          <w:lang w:eastAsia="es-CO"/>
        </w:rPr>
        <w:t xml:space="preserve">, </w:t>
      </w:r>
      <w:r w:rsidR="00827C66" w:rsidRPr="00943952">
        <w:rPr>
          <w:rFonts w:ascii="Arial" w:eastAsia="Times New Roman" w:hAnsi="Arial" w:cs="Arial"/>
          <w:sz w:val="24"/>
          <w:szCs w:val="24"/>
          <w:lang w:eastAsia="es-CO"/>
        </w:rPr>
        <w:t xml:space="preserve">en los siguientes términos: </w:t>
      </w:r>
    </w:p>
    <w:p w:rsidR="00703313" w:rsidRPr="00943952" w:rsidRDefault="00703313" w:rsidP="00943952">
      <w:pPr>
        <w:spacing w:after="0" w:line="276" w:lineRule="auto"/>
        <w:jc w:val="both"/>
        <w:textAlignment w:val="baseline"/>
        <w:rPr>
          <w:rFonts w:ascii="Arial" w:eastAsia="Times New Roman" w:hAnsi="Arial" w:cs="Arial"/>
          <w:sz w:val="24"/>
          <w:szCs w:val="24"/>
          <w:lang w:eastAsia="es-CO"/>
        </w:rPr>
      </w:pPr>
    </w:p>
    <w:p w:rsidR="00703313" w:rsidRPr="00943952" w:rsidRDefault="00703313" w:rsidP="00943952">
      <w:pPr>
        <w:spacing w:after="0" w:line="240" w:lineRule="auto"/>
        <w:ind w:left="426" w:right="420"/>
        <w:jc w:val="both"/>
        <w:rPr>
          <w:rFonts w:ascii="Arial" w:hAnsi="Arial" w:cs="Arial"/>
          <w:i/>
          <w:iCs/>
          <w:kern w:val="28"/>
          <w:szCs w:val="24"/>
        </w:rPr>
      </w:pPr>
      <w:r w:rsidRPr="00943952">
        <w:rPr>
          <w:rFonts w:ascii="Arial" w:hAnsi="Arial" w:cs="Arial"/>
          <w:i/>
          <w:iCs/>
          <w:kern w:val="28"/>
          <w:szCs w:val="24"/>
        </w:rPr>
        <w:t xml:space="preserve">“En primer lugar, tanto el auxilio de gastos médicos y la pensión voluntaria eran entregados en dinero a la trabajadora para que ella dispusiera inmediatamente de </w:t>
      </w:r>
      <w:r w:rsidRPr="00943952">
        <w:rPr>
          <w:rFonts w:ascii="Arial" w:hAnsi="Arial" w:cs="Arial"/>
          <w:i/>
          <w:iCs/>
          <w:kern w:val="28"/>
          <w:szCs w:val="24"/>
        </w:rPr>
        <w:lastRenderedPageBreak/>
        <w:t>esos recursos. Por esta vía, la demandante podía emplear esos dineros en la satisfacción de las necesidades que usualmente se colman mediante el salario, tales como vivienda, salud, educación, alimentación, recreación, entre otros. Es decir, la supuesta destinación específica alegada por la empresa se derrumba con el hecho de que esos auxilios eran traducidos en dinero para que la trabajadora dispusiera de ellos como a bien tuviera.”</w:t>
      </w:r>
    </w:p>
    <w:p w:rsidR="00703313" w:rsidRPr="00943952" w:rsidRDefault="00703313" w:rsidP="00943952">
      <w:pPr>
        <w:spacing w:after="0" w:line="276" w:lineRule="auto"/>
        <w:jc w:val="both"/>
        <w:textAlignment w:val="baseline"/>
        <w:rPr>
          <w:rFonts w:ascii="Arial" w:hAnsi="Arial" w:cs="Arial"/>
          <w:i/>
          <w:iCs/>
          <w:sz w:val="24"/>
          <w:szCs w:val="24"/>
        </w:rPr>
      </w:pPr>
    </w:p>
    <w:p w:rsidR="00703313" w:rsidRPr="00943952" w:rsidRDefault="004D0750" w:rsidP="00943952">
      <w:pPr>
        <w:spacing w:after="0" w:line="276" w:lineRule="auto"/>
        <w:jc w:val="both"/>
        <w:textAlignment w:val="baseline"/>
        <w:rPr>
          <w:rFonts w:ascii="Arial" w:eastAsia="Times New Roman" w:hAnsi="Arial" w:cs="Arial"/>
          <w:sz w:val="24"/>
          <w:szCs w:val="24"/>
          <w:lang w:eastAsia="es-CO"/>
        </w:rPr>
      </w:pPr>
      <w:r w:rsidRPr="00943952">
        <w:rPr>
          <w:rFonts w:ascii="Arial" w:hAnsi="Arial" w:cs="Arial"/>
          <w:sz w:val="24"/>
          <w:szCs w:val="24"/>
        </w:rPr>
        <w:t>Y a continuación puntualizó:</w:t>
      </w:r>
    </w:p>
    <w:p w:rsidR="00A11BB0" w:rsidRPr="00943952" w:rsidRDefault="00A11BB0" w:rsidP="00943952">
      <w:pPr>
        <w:spacing w:after="0" w:line="276" w:lineRule="auto"/>
        <w:jc w:val="both"/>
        <w:textAlignment w:val="baseline"/>
        <w:rPr>
          <w:rFonts w:ascii="Arial" w:eastAsia="Times New Roman" w:hAnsi="Arial" w:cs="Arial"/>
          <w:sz w:val="24"/>
          <w:szCs w:val="24"/>
          <w:lang w:eastAsia="es-CO"/>
        </w:rPr>
      </w:pPr>
    </w:p>
    <w:p w:rsidR="00A11BB0" w:rsidRPr="00943952" w:rsidRDefault="004B1FF7" w:rsidP="00943952">
      <w:pPr>
        <w:spacing w:after="0" w:line="240" w:lineRule="auto"/>
        <w:ind w:left="426" w:right="420"/>
        <w:jc w:val="both"/>
        <w:rPr>
          <w:rFonts w:ascii="Arial" w:hAnsi="Arial" w:cs="Arial"/>
          <w:i/>
          <w:iCs/>
          <w:kern w:val="28"/>
          <w:szCs w:val="24"/>
        </w:rPr>
      </w:pPr>
      <w:r w:rsidRPr="00943952">
        <w:rPr>
          <w:rFonts w:ascii="Arial" w:hAnsi="Arial" w:cs="Arial"/>
          <w:i/>
          <w:iCs/>
          <w:kern w:val="28"/>
          <w:szCs w:val="24"/>
        </w:rPr>
        <w:t>“</w:t>
      </w:r>
      <w:r w:rsidR="00A11BB0" w:rsidRPr="00943952">
        <w:rPr>
          <w:rFonts w:ascii="Arial" w:hAnsi="Arial" w:cs="Arial"/>
          <w:i/>
          <w:iCs/>
          <w:kern w:val="28"/>
          <w:szCs w:val="24"/>
        </w:rPr>
        <w:t>En segundo lugar, la compañía tampoco corroboró que esos recursos fuesen empleados en la construcción de una pensión voluntaria o en gastos médicos. No hacían parte de un plan consolidado de formación de una pensión voluntaria, sujeto a restricciones o condiciones de retiro razonable de los recursos, o de la financiación de un plan de salud empresarial. Simple y llanamente eran unos dineros que se entregaban bajo la etiqueta de «pensión voluntaria» y «auxilio gastos médicos», sin que exista una prueba de su destinación específica o sujeción al fin para el que fueron creados. En este punto, debe insistir la Corte en que no basta tomar un porcentaje de la totalidad de los ingresos y asignarle el nombre de beneficio, auxilio, ayuda, aporte, etc. para diluir su incidencia salarial. Su destinación debe ser real.</w:t>
      </w:r>
      <w:r w:rsidRPr="00943952">
        <w:rPr>
          <w:rFonts w:ascii="Arial" w:hAnsi="Arial" w:cs="Arial"/>
          <w:i/>
          <w:iCs/>
          <w:kern w:val="28"/>
          <w:szCs w:val="24"/>
        </w:rPr>
        <w:t>”.</w:t>
      </w:r>
    </w:p>
    <w:p w:rsidR="00EE3DAE" w:rsidRPr="00943952" w:rsidRDefault="00EE3DAE" w:rsidP="00943952">
      <w:pPr>
        <w:spacing w:after="0" w:line="276" w:lineRule="auto"/>
        <w:jc w:val="both"/>
        <w:textAlignment w:val="baseline"/>
        <w:rPr>
          <w:rFonts w:ascii="Arial" w:eastAsia="Times New Roman" w:hAnsi="Arial" w:cs="Arial"/>
          <w:sz w:val="24"/>
          <w:szCs w:val="24"/>
          <w:lang w:eastAsia="es-CO"/>
        </w:rPr>
      </w:pPr>
    </w:p>
    <w:p w:rsidR="00697E0C" w:rsidRPr="00943952" w:rsidRDefault="00697E0C"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xml:space="preserve">Conforme con lo expuesto, acertada fue la decisión de la falladora de primer grado consistente en </w:t>
      </w:r>
      <w:r w:rsidR="00533699" w:rsidRPr="00943952">
        <w:rPr>
          <w:rFonts w:ascii="Arial" w:eastAsia="Times New Roman" w:hAnsi="Arial" w:cs="Arial"/>
          <w:sz w:val="24"/>
          <w:szCs w:val="24"/>
          <w:lang w:eastAsia="es-CO"/>
        </w:rPr>
        <w:t xml:space="preserve">declarar que el auxilio de formación </w:t>
      </w:r>
      <w:r w:rsidR="0096177C" w:rsidRPr="00943952">
        <w:rPr>
          <w:rFonts w:ascii="Arial" w:eastAsia="Times New Roman" w:hAnsi="Arial" w:cs="Arial"/>
          <w:sz w:val="24"/>
          <w:szCs w:val="24"/>
          <w:lang w:eastAsia="es-CO"/>
        </w:rPr>
        <w:t xml:space="preserve">cancelado a favor de la demandante </w:t>
      </w:r>
      <w:r w:rsidR="00C66515" w:rsidRPr="00943952">
        <w:rPr>
          <w:rFonts w:ascii="Arial" w:eastAsia="Times New Roman" w:hAnsi="Arial" w:cs="Arial"/>
          <w:sz w:val="24"/>
          <w:szCs w:val="24"/>
          <w:lang w:eastAsia="es-CO"/>
        </w:rPr>
        <w:t>constituye</w:t>
      </w:r>
      <w:r w:rsidR="0096177C" w:rsidRPr="00943952">
        <w:rPr>
          <w:rFonts w:ascii="Arial" w:eastAsia="Times New Roman" w:hAnsi="Arial" w:cs="Arial"/>
          <w:sz w:val="24"/>
          <w:szCs w:val="24"/>
          <w:lang w:eastAsia="es-CO"/>
        </w:rPr>
        <w:t xml:space="preserve"> fac</w:t>
      </w:r>
      <w:r w:rsidR="00BE71FC" w:rsidRPr="00943952">
        <w:rPr>
          <w:rFonts w:ascii="Arial" w:eastAsia="Times New Roman" w:hAnsi="Arial" w:cs="Arial"/>
          <w:sz w:val="24"/>
          <w:szCs w:val="24"/>
          <w:lang w:eastAsia="es-CO"/>
        </w:rPr>
        <w:t>tor salarial.</w:t>
      </w:r>
    </w:p>
    <w:p w:rsidR="00BE71FC" w:rsidRPr="00943952" w:rsidRDefault="00BE71FC" w:rsidP="00943952">
      <w:pPr>
        <w:spacing w:after="0" w:line="276" w:lineRule="auto"/>
        <w:jc w:val="both"/>
        <w:textAlignment w:val="baseline"/>
        <w:rPr>
          <w:rFonts w:ascii="Arial" w:eastAsia="Times New Roman" w:hAnsi="Arial" w:cs="Arial"/>
          <w:sz w:val="24"/>
          <w:szCs w:val="24"/>
          <w:lang w:eastAsia="es-CO"/>
        </w:rPr>
      </w:pPr>
    </w:p>
    <w:p w:rsidR="00BE71FC" w:rsidRPr="00943952" w:rsidRDefault="00BE71FC" w:rsidP="00943952">
      <w:pPr>
        <w:spacing w:after="0" w:line="276" w:lineRule="auto"/>
        <w:jc w:val="both"/>
        <w:textAlignment w:val="baseline"/>
        <w:rPr>
          <w:rFonts w:ascii="Arial" w:eastAsia="Times New Roman" w:hAnsi="Arial" w:cs="Arial"/>
          <w:b/>
          <w:bCs/>
          <w:sz w:val="24"/>
          <w:szCs w:val="24"/>
          <w:lang w:eastAsia="es-CO"/>
        </w:rPr>
      </w:pPr>
      <w:r w:rsidRPr="00943952">
        <w:rPr>
          <w:rFonts w:ascii="Arial" w:eastAsia="Times New Roman" w:hAnsi="Arial" w:cs="Arial"/>
          <w:b/>
          <w:bCs/>
          <w:sz w:val="24"/>
          <w:szCs w:val="24"/>
          <w:lang w:eastAsia="es-CO"/>
        </w:rPr>
        <w:t>De las sanciones moratorias.</w:t>
      </w:r>
    </w:p>
    <w:p w:rsidR="00BE71FC" w:rsidRPr="00943952" w:rsidRDefault="00BE71FC" w:rsidP="00943952">
      <w:pPr>
        <w:spacing w:after="0" w:line="276" w:lineRule="auto"/>
        <w:jc w:val="both"/>
        <w:textAlignment w:val="baseline"/>
        <w:rPr>
          <w:rFonts w:ascii="Arial" w:eastAsia="Times New Roman" w:hAnsi="Arial" w:cs="Arial"/>
          <w:b/>
          <w:bCs/>
          <w:sz w:val="24"/>
          <w:szCs w:val="24"/>
          <w:lang w:eastAsia="es-CO"/>
        </w:rPr>
      </w:pPr>
    </w:p>
    <w:p w:rsidR="00AB55FD" w:rsidRPr="00943952" w:rsidRDefault="00AB55FD"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Ha sostenido de manera uniforme la Sala de Casación Laboral, que las sanciones moratorias que se generan por la falta de pago de los salarios, prestaciones sociales, así como las que se causan por la falta de consignación de las cesantías,  no operan de manera automática, ya que en cada caso en concreto se debe adelantar un análisis del comportamiento que asumió el empleador moroso, para verificar si existen razones serias y atendibles que justifiquen su conducta y lo ubiquen en el terreno de la buena fe.</w:t>
      </w:r>
    </w:p>
    <w:p w:rsidR="00AB55FD" w:rsidRPr="00943952" w:rsidRDefault="00AB55FD" w:rsidP="00943952">
      <w:pPr>
        <w:spacing w:after="0" w:line="276" w:lineRule="auto"/>
        <w:jc w:val="both"/>
        <w:textAlignment w:val="baseline"/>
        <w:rPr>
          <w:rFonts w:ascii="Arial" w:eastAsia="Times New Roman" w:hAnsi="Arial" w:cs="Arial"/>
          <w:sz w:val="24"/>
          <w:szCs w:val="24"/>
          <w:lang w:eastAsia="es-CO"/>
        </w:rPr>
      </w:pPr>
    </w:p>
    <w:p w:rsidR="00AB55FD" w:rsidRPr="00943952" w:rsidRDefault="00AB55FD"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Dicha posición fue reiterada en las sentencias CSJ SL14651-2014 y SL 6119 de 26 de abril de 2017 radicación Nº50514 ésta última con ponencia de la Magistrada Clara Cecilia Dueñas Quevedo, en la que recordó:</w:t>
      </w:r>
    </w:p>
    <w:p w:rsidR="00AB55FD" w:rsidRPr="00943952" w:rsidRDefault="00AB55FD" w:rsidP="00943952">
      <w:pPr>
        <w:spacing w:after="0" w:line="276" w:lineRule="auto"/>
        <w:jc w:val="both"/>
        <w:textAlignment w:val="baseline"/>
        <w:rPr>
          <w:rFonts w:ascii="Arial" w:eastAsia="Times New Roman" w:hAnsi="Arial" w:cs="Arial"/>
          <w:sz w:val="24"/>
          <w:szCs w:val="24"/>
          <w:lang w:eastAsia="es-CO"/>
        </w:rPr>
      </w:pPr>
    </w:p>
    <w:p w:rsidR="00AB55FD" w:rsidRPr="00943952" w:rsidRDefault="00AB55FD" w:rsidP="00943952">
      <w:pPr>
        <w:spacing w:after="0" w:line="240" w:lineRule="auto"/>
        <w:ind w:left="426" w:right="420"/>
        <w:jc w:val="both"/>
        <w:rPr>
          <w:rFonts w:ascii="Arial" w:hAnsi="Arial" w:cs="Arial"/>
          <w:i/>
          <w:iCs/>
          <w:kern w:val="28"/>
          <w:szCs w:val="24"/>
        </w:rPr>
      </w:pPr>
      <w:r w:rsidRPr="00943952">
        <w:rPr>
          <w:rFonts w:ascii="Arial" w:hAnsi="Arial" w:cs="Arial"/>
          <w:i/>
          <w:iCs/>
          <w:kern w:val="28"/>
          <w:szCs w:val="24"/>
        </w:rPr>
        <w:t>“Sólo como fruto de esa labor de exploración de tal comportamiento, le es dable al juez fulminar o no condena contra el empleador. Si tal análisis demuestra que éste tuvo razones serias y atendibles, que le generaron el convencimiento sincero y honesto de no deber, o que justifiquen su incumplimiento, el administrador de justicia lo exonerará de la carga moratoria, desde luego que la buena fe no puede merecer una sanción, en tanto que, como paradigma de la vida en sociedad, informa y guía el obrar de los hombres.</w:t>
      </w:r>
    </w:p>
    <w:p w:rsidR="00AB55FD" w:rsidRPr="00943952" w:rsidRDefault="00AB55FD" w:rsidP="00943952">
      <w:pPr>
        <w:spacing w:after="0" w:line="240" w:lineRule="auto"/>
        <w:ind w:left="426" w:right="420"/>
        <w:jc w:val="both"/>
        <w:rPr>
          <w:rFonts w:ascii="Arial" w:hAnsi="Arial" w:cs="Arial"/>
          <w:i/>
          <w:iCs/>
          <w:kern w:val="28"/>
          <w:szCs w:val="24"/>
        </w:rPr>
      </w:pPr>
    </w:p>
    <w:p w:rsidR="00AB55FD" w:rsidRPr="00943952" w:rsidRDefault="00AB55FD" w:rsidP="00943952">
      <w:pPr>
        <w:spacing w:after="0" w:line="240" w:lineRule="auto"/>
        <w:ind w:left="426" w:right="420"/>
        <w:jc w:val="both"/>
        <w:rPr>
          <w:rFonts w:ascii="Arial" w:hAnsi="Arial" w:cs="Arial"/>
          <w:i/>
          <w:iCs/>
          <w:kern w:val="28"/>
          <w:szCs w:val="24"/>
        </w:rPr>
      </w:pPr>
      <w:r w:rsidRPr="00943952">
        <w:rPr>
          <w:rFonts w:ascii="Arial" w:hAnsi="Arial" w:cs="Arial"/>
          <w:i/>
          <w:iCs/>
          <w:kern w:val="28"/>
          <w:szCs w:val="24"/>
        </w:rPr>
        <w:t>De suerte que la indemnización moratoria procede cuando, después del examen del material probatorio, el juez concluye que el empleador no estuvo asistido de buena fe.”</w:t>
      </w: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p>
    <w:p w:rsidR="00AB55FD" w:rsidRPr="00943952" w:rsidRDefault="00AB55FD"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xml:space="preserve">Al aplicar dicha postura al caso en concreto, </w:t>
      </w:r>
      <w:r w:rsidR="00B1348B" w:rsidRPr="00943952">
        <w:rPr>
          <w:rFonts w:ascii="Arial" w:eastAsia="Times New Roman" w:hAnsi="Arial" w:cs="Arial"/>
          <w:sz w:val="24"/>
          <w:szCs w:val="24"/>
          <w:lang w:eastAsia="es-CO"/>
        </w:rPr>
        <w:t>considera esta Corporación que la sociedad Servientrega S.A. no trajo pruebas que permitieran concluir que su omisión en el pago de</w:t>
      </w:r>
      <w:r w:rsidR="0068222A" w:rsidRPr="00943952">
        <w:rPr>
          <w:rFonts w:ascii="Arial" w:eastAsia="Times New Roman" w:hAnsi="Arial" w:cs="Arial"/>
          <w:sz w:val="24"/>
          <w:szCs w:val="24"/>
          <w:lang w:eastAsia="es-CO"/>
        </w:rPr>
        <w:t xml:space="preserve">l auxilio de formación como factor salarial, estuviese precedido de un </w:t>
      </w:r>
      <w:r w:rsidR="0068222A" w:rsidRPr="00943952">
        <w:rPr>
          <w:rFonts w:ascii="Arial" w:eastAsia="Times New Roman" w:hAnsi="Arial" w:cs="Arial"/>
          <w:sz w:val="24"/>
          <w:szCs w:val="24"/>
          <w:lang w:eastAsia="es-CO"/>
        </w:rPr>
        <w:lastRenderedPageBreak/>
        <w:t xml:space="preserve">comportamiento que pueda </w:t>
      </w:r>
      <w:r w:rsidR="00B50F0F" w:rsidRPr="00943952">
        <w:rPr>
          <w:rFonts w:ascii="Arial" w:eastAsia="Times New Roman" w:hAnsi="Arial" w:cs="Arial"/>
          <w:sz w:val="24"/>
          <w:szCs w:val="24"/>
          <w:lang w:eastAsia="es-CO"/>
        </w:rPr>
        <w:t xml:space="preserve">ubicarse en el plano de la buena fe, pues lo que mostró el caudal probatorio recaudado a lo largo del proceso, incluidos los interrogatorios de parte de los representantes legales de las entidades accionadas, </w:t>
      </w:r>
      <w:r w:rsidR="00103E75" w:rsidRPr="00943952">
        <w:rPr>
          <w:rFonts w:ascii="Arial" w:eastAsia="Times New Roman" w:hAnsi="Arial" w:cs="Arial"/>
          <w:sz w:val="24"/>
          <w:szCs w:val="24"/>
          <w:lang w:eastAsia="es-CO"/>
        </w:rPr>
        <w:t>es que el r</w:t>
      </w:r>
      <w:r w:rsidR="00240B9D" w:rsidRPr="00943952">
        <w:rPr>
          <w:rFonts w:ascii="Arial" w:eastAsia="Times New Roman" w:hAnsi="Arial" w:cs="Arial"/>
          <w:sz w:val="24"/>
          <w:szCs w:val="24"/>
          <w:lang w:eastAsia="es-CO"/>
        </w:rPr>
        <w:t>ó</w:t>
      </w:r>
      <w:r w:rsidR="00103E75" w:rsidRPr="00943952">
        <w:rPr>
          <w:rFonts w:ascii="Arial" w:eastAsia="Times New Roman" w:hAnsi="Arial" w:cs="Arial"/>
          <w:sz w:val="24"/>
          <w:szCs w:val="24"/>
          <w:lang w:eastAsia="es-CO"/>
        </w:rPr>
        <w:t>tulo que se le otorgó a</w:t>
      </w:r>
      <w:r w:rsidR="00AD238B" w:rsidRPr="00943952">
        <w:rPr>
          <w:rFonts w:ascii="Arial" w:eastAsia="Times New Roman" w:hAnsi="Arial" w:cs="Arial"/>
          <w:sz w:val="24"/>
          <w:szCs w:val="24"/>
          <w:lang w:eastAsia="es-CO"/>
        </w:rPr>
        <w:t xml:space="preserve"> esa prestación económica realmente no estaba dirigida a apoyar a su trabajadora en procesos de formación</w:t>
      </w:r>
      <w:r w:rsidR="00DA5FC8" w:rsidRPr="00943952">
        <w:rPr>
          <w:rFonts w:ascii="Arial" w:eastAsia="Times New Roman" w:hAnsi="Arial" w:cs="Arial"/>
          <w:sz w:val="24"/>
          <w:szCs w:val="24"/>
          <w:lang w:eastAsia="es-CO"/>
        </w:rPr>
        <w:t>, puesto que ella tenía la facultad de destinarla a cubrir cualquier tipo de gasto</w:t>
      </w:r>
      <w:r w:rsidR="00F8634F" w:rsidRPr="00943952">
        <w:rPr>
          <w:rFonts w:ascii="Arial" w:eastAsia="Times New Roman" w:hAnsi="Arial" w:cs="Arial"/>
          <w:sz w:val="24"/>
          <w:szCs w:val="24"/>
          <w:lang w:eastAsia="es-CO"/>
        </w:rPr>
        <w:t xml:space="preserve">, </w:t>
      </w:r>
      <w:r w:rsidR="00722F44" w:rsidRPr="00943952">
        <w:rPr>
          <w:rFonts w:ascii="Arial" w:eastAsia="Times New Roman" w:hAnsi="Arial" w:cs="Arial"/>
          <w:sz w:val="24"/>
          <w:szCs w:val="24"/>
          <w:lang w:eastAsia="es-CO"/>
        </w:rPr>
        <w:t xml:space="preserve">como se expuso precedentemente, y por el contrario, lo que hizo </w:t>
      </w:r>
      <w:r w:rsidR="001B4465" w:rsidRPr="00943952">
        <w:rPr>
          <w:rFonts w:ascii="Arial" w:eastAsia="Times New Roman" w:hAnsi="Arial" w:cs="Arial"/>
          <w:sz w:val="24"/>
          <w:szCs w:val="24"/>
          <w:lang w:eastAsia="es-CO"/>
        </w:rPr>
        <w:t xml:space="preserve">realmente fue socavar los derechos mínimos de la trabajadora, al tratar de enmascarar </w:t>
      </w:r>
      <w:r w:rsidR="00A76322" w:rsidRPr="00943952">
        <w:rPr>
          <w:rFonts w:ascii="Arial" w:eastAsia="Times New Roman" w:hAnsi="Arial" w:cs="Arial"/>
          <w:sz w:val="24"/>
          <w:szCs w:val="24"/>
          <w:lang w:eastAsia="es-CO"/>
        </w:rPr>
        <w:t xml:space="preserve">un rubro que realmente lo que hacía era retribuir los servicios de la señora Yulieth Alexandra </w:t>
      </w:r>
      <w:r w:rsidR="000A5B85" w:rsidRPr="00943952">
        <w:rPr>
          <w:rFonts w:ascii="Arial" w:eastAsia="Times New Roman" w:hAnsi="Arial" w:cs="Arial"/>
          <w:sz w:val="24"/>
          <w:szCs w:val="24"/>
          <w:lang w:eastAsia="es-CO"/>
        </w:rPr>
        <w:t>López Vera</w:t>
      </w:r>
      <w:r w:rsidR="00524680" w:rsidRPr="00943952">
        <w:rPr>
          <w:rFonts w:ascii="Arial" w:eastAsia="Times New Roman" w:hAnsi="Arial" w:cs="Arial"/>
          <w:sz w:val="24"/>
          <w:szCs w:val="24"/>
          <w:lang w:eastAsia="es-CO"/>
        </w:rPr>
        <w:t>, con el único fin de no tenerlo como factor salarial y así disminuir la carga prestacional que estaba a su cargo.</w:t>
      </w:r>
    </w:p>
    <w:p w:rsidR="00F94AC1" w:rsidRPr="00943952" w:rsidRDefault="00F94AC1" w:rsidP="00943952">
      <w:pPr>
        <w:spacing w:after="0" w:line="276" w:lineRule="auto"/>
        <w:jc w:val="both"/>
        <w:textAlignment w:val="baseline"/>
        <w:rPr>
          <w:rFonts w:ascii="Arial" w:eastAsia="Times New Roman" w:hAnsi="Arial" w:cs="Arial"/>
          <w:sz w:val="24"/>
          <w:szCs w:val="24"/>
          <w:lang w:eastAsia="es-CO"/>
        </w:rPr>
      </w:pPr>
    </w:p>
    <w:p w:rsidR="00F94AC1" w:rsidRPr="00943952" w:rsidRDefault="00F94AC1"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Así las cosas, al no haber demostrado que su accionar estuvo enmarcad</w:t>
      </w:r>
      <w:r w:rsidR="00F90559" w:rsidRPr="00943952">
        <w:rPr>
          <w:rFonts w:ascii="Arial" w:eastAsia="Times New Roman" w:hAnsi="Arial" w:cs="Arial"/>
          <w:sz w:val="24"/>
          <w:szCs w:val="24"/>
          <w:lang w:eastAsia="es-CO"/>
        </w:rPr>
        <w:t>o</w:t>
      </w:r>
      <w:r w:rsidRPr="00943952">
        <w:rPr>
          <w:rFonts w:ascii="Arial" w:eastAsia="Times New Roman" w:hAnsi="Arial" w:cs="Arial"/>
          <w:sz w:val="24"/>
          <w:szCs w:val="24"/>
          <w:lang w:eastAsia="es-CO"/>
        </w:rPr>
        <w:t xml:space="preserve"> dentro de la órbita de la buena fe, no queda otro camino que confirmar las condenas imp</w:t>
      </w:r>
      <w:r w:rsidR="00141C26" w:rsidRPr="00943952">
        <w:rPr>
          <w:rFonts w:ascii="Arial" w:eastAsia="Times New Roman" w:hAnsi="Arial" w:cs="Arial"/>
          <w:sz w:val="24"/>
          <w:szCs w:val="24"/>
          <w:lang w:eastAsia="es-CO"/>
        </w:rPr>
        <w:t xml:space="preserve">uestas por concepto de sanciones moratorias </w:t>
      </w:r>
      <w:r w:rsidR="00FC6EB1" w:rsidRPr="00943952">
        <w:rPr>
          <w:rFonts w:ascii="Arial" w:eastAsia="Times New Roman" w:hAnsi="Arial" w:cs="Arial"/>
          <w:sz w:val="24"/>
          <w:szCs w:val="24"/>
          <w:lang w:eastAsia="es-CO"/>
        </w:rPr>
        <w:t>fulminadas por la funcionaria de primera instancia.</w:t>
      </w:r>
    </w:p>
    <w:p w:rsidR="00FC6EB1" w:rsidRPr="00943952" w:rsidRDefault="00FC6EB1" w:rsidP="00943952">
      <w:pPr>
        <w:spacing w:after="0" w:line="276" w:lineRule="auto"/>
        <w:jc w:val="both"/>
        <w:textAlignment w:val="baseline"/>
        <w:rPr>
          <w:rFonts w:ascii="Arial" w:eastAsia="Times New Roman" w:hAnsi="Arial" w:cs="Arial"/>
          <w:sz w:val="24"/>
          <w:szCs w:val="24"/>
          <w:lang w:eastAsia="es-CO"/>
        </w:rPr>
      </w:pPr>
    </w:p>
    <w:p w:rsidR="00FC6EB1" w:rsidRPr="00943952" w:rsidRDefault="00FC6EB1"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De esta manera quedan resueltos también los recursos de apelación interpuestos por las entidades accionadas.</w:t>
      </w:r>
    </w:p>
    <w:p w:rsidR="00AB55FD" w:rsidRPr="00943952" w:rsidRDefault="00AB55FD" w:rsidP="00943952">
      <w:pPr>
        <w:spacing w:after="0" w:line="276" w:lineRule="auto"/>
        <w:jc w:val="both"/>
        <w:textAlignment w:val="baseline"/>
        <w:rPr>
          <w:rFonts w:ascii="Arial" w:eastAsia="Times New Roman" w:hAnsi="Arial" w:cs="Arial"/>
          <w:sz w:val="24"/>
          <w:szCs w:val="24"/>
          <w:lang w:eastAsia="es-CO"/>
        </w:rPr>
      </w:pP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Al no salir avante los recursos de apelación formulados por la</w:t>
      </w:r>
      <w:r w:rsidR="00FC6EB1" w:rsidRPr="00943952">
        <w:rPr>
          <w:rFonts w:ascii="Arial" w:eastAsia="Times New Roman" w:hAnsi="Arial" w:cs="Arial"/>
          <w:sz w:val="24"/>
          <w:szCs w:val="24"/>
          <w:lang w:eastAsia="es-CO"/>
        </w:rPr>
        <w:t xml:space="preserve"> totalidad de los intervinientes</w:t>
      </w:r>
      <w:r w:rsidRPr="00943952">
        <w:rPr>
          <w:rFonts w:ascii="Arial" w:eastAsia="Times New Roman" w:hAnsi="Arial" w:cs="Arial"/>
          <w:sz w:val="24"/>
          <w:szCs w:val="24"/>
          <w:lang w:eastAsia="es-CO"/>
        </w:rPr>
        <w:t>, no hay lugar a imponer costas procesales en esta sede.</w:t>
      </w: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w:t>
      </w: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val="es-ES" w:eastAsia="es-CO"/>
        </w:rPr>
        <w:t xml:space="preserve">En mérito de lo </w:t>
      </w:r>
      <w:r w:rsidR="00943952" w:rsidRPr="00943952">
        <w:rPr>
          <w:rFonts w:ascii="Arial" w:eastAsia="Times New Roman" w:hAnsi="Arial" w:cs="Arial"/>
          <w:sz w:val="24"/>
          <w:szCs w:val="24"/>
          <w:lang w:val="es-ES" w:eastAsia="es-CO"/>
        </w:rPr>
        <w:t>expuesto, la</w:t>
      </w:r>
      <w:r w:rsidRPr="00943952">
        <w:rPr>
          <w:rFonts w:ascii="Arial" w:eastAsia="Times New Roman" w:hAnsi="Arial" w:cs="Arial"/>
          <w:sz w:val="24"/>
          <w:szCs w:val="24"/>
          <w:lang w:val="es-ES" w:eastAsia="es-CO"/>
        </w:rPr>
        <w:t> </w:t>
      </w:r>
      <w:r w:rsidRPr="00943952">
        <w:rPr>
          <w:rFonts w:ascii="Arial" w:eastAsia="Times New Roman" w:hAnsi="Arial" w:cs="Arial"/>
          <w:b/>
          <w:bCs/>
          <w:sz w:val="24"/>
          <w:szCs w:val="24"/>
          <w:lang w:val="es-ES" w:eastAsia="es-CO"/>
        </w:rPr>
        <w:t>Sala de Decisión Laboral del Tribunal Superior de Pereira</w:t>
      </w:r>
      <w:r w:rsidRPr="00943952">
        <w:rPr>
          <w:rFonts w:ascii="Arial" w:eastAsia="Times New Roman" w:hAnsi="Arial" w:cs="Arial"/>
          <w:sz w:val="24"/>
          <w:szCs w:val="24"/>
          <w:lang w:val="es-ES" w:eastAsia="es-CO"/>
        </w:rPr>
        <w:t>, administrando justicia en nombre de la República y por autoridad de la ley, </w:t>
      </w:r>
      <w:r w:rsidRPr="00943952">
        <w:rPr>
          <w:rFonts w:ascii="Arial" w:eastAsia="Times New Roman" w:hAnsi="Arial" w:cs="Arial"/>
          <w:sz w:val="24"/>
          <w:szCs w:val="24"/>
          <w:lang w:eastAsia="es-CO"/>
        </w:rPr>
        <w:t>  </w:t>
      </w:r>
    </w:p>
    <w:p w:rsidR="00595EEE" w:rsidRPr="00943952" w:rsidRDefault="00595EEE" w:rsidP="00943952">
      <w:pPr>
        <w:spacing w:after="0" w:line="276" w:lineRule="auto"/>
        <w:jc w:val="both"/>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w:t>
      </w:r>
    </w:p>
    <w:p w:rsidR="00595EEE" w:rsidRPr="00943952" w:rsidRDefault="00595EEE" w:rsidP="00943952">
      <w:pPr>
        <w:spacing w:after="0" w:line="276" w:lineRule="auto"/>
        <w:jc w:val="center"/>
        <w:textAlignment w:val="baseline"/>
        <w:rPr>
          <w:rFonts w:ascii="Arial" w:eastAsia="Times New Roman" w:hAnsi="Arial" w:cs="Arial"/>
          <w:sz w:val="24"/>
          <w:szCs w:val="24"/>
          <w:lang w:eastAsia="es-CO"/>
        </w:rPr>
      </w:pPr>
      <w:r w:rsidRPr="00943952">
        <w:rPr>
          <w:rFonts w:ascii="Arial" w:eastAsia="Times New Roman" w:hAnsi="Arial" w:cs="Arial"/>
          <w:b/>
          <w:bCs/>
          <w:sz w:val="24"/>
          <w:szCs w:val="24"/>
          <w:lang w:val="es-ES" w:eastAsia="es-CO"/>
        </w:rPr>
        <w:t>RESUELVE</w:t>
      </w:r>
      <w:r w:rsidRPr="00943952">
        <w:rPr>
          <w:rFonts w:ascii="Arial" w:eastAsia="Times New Roman" w:hAnsi="Arial" w:cs="Arial"/>
          <w:sz w:val="24"/>
          <w:szCs w:val="24"/>
          <w:lang w:eastAsia="es-CO"/>
        </w:rPr>
        <w:t>  </w:t>
      </w:r>
    </w:p>
    <w:p w:rsidR="00595EEE" w:rsidRPr="00943952" w:rsidRDefault="00595EEE" w:rsidP="00943952">
      <w:pPr>
        <w:spacing w:after="0" w:line="276" w:lineRule="auto"/>
        <w:jc w:val="center"/>
        <w:textAlignment w:val="baseline"/>
        <w:rPr>
          <w:rFonts w:ascii="Arial" w:eastAsia="Times New Roman" w:hAnsi="Arial" w:cs="Arial"/>
          <w:sz w:val="24"/>
          <w:szCs w:val="24"/>
          <w:lang w:eastAsia="es-CO"/>
        </w:rPr>
      </w:pPr>
      <w:r w:rsidRPr="00943952">
        <w:rPr>
          <w:rFonts w:ascii="Arial" w:eastAsia="Times New Roman" w:hAnsi="Arial" w:cs="Arial"/>
          <w:sz w:val="24"/>
          <w:szCs w:val="24"/>
          <w:lang w:eastAsia="es-CO"/>
        </w:rPr>
        <w:t>  </w:t>
      </w:r>
    </w:p>
    <w:p w:rsidR="00595EEE" w:rsidRPr="00943952" w:rsidRDefault="00595EEE"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b/>
          <w:bCs/>
          <w:sz w:val="24"/>
          <w:szCs w:val="24"/>
          <w:lang w:val="es-ES" w:eastAsia="es-CO"/>
        </w:rPr>
        <w:t xml:space="preserve">CONFIRMAR </w:t>
      </w:r>
      <w:r w:rsidRPr="00943952">
        <w:rPr>
          <w:rFonts w:ascii="Arial" w:eastAsia="Times New Roman" w:hAnsi="Arial" w:cs="Arial"/>
          <w:sz w:val="24"/>
          <w:szCs w:val="24"/>
          <w:lang w:val="es-ES" w:eastAsia="es-CO"/>
        </w:rPr>
        <w:t>en su integridad la sentencia proferida por el Juzgado Laboral del Circuito</w:t>
      </w:r>
      <w:r w:rsidR="00FC6EB1" w:rsidRPr="00943952">
        <w:rPr>
          <w:rFonts w:ascii="Arial" w:eastAsia="Times New Roman" w:hAnsi="Arial" w:cs="Arial"/>
          <w:sz w:val="24"/>
          <w:szCs w:val="24"/>
          <w:lang w:val="es-ES" w:eastAsia="es-CO"/>
        </w:rPr>
        <w:t xml:space="preserve"> de Dosquebradas</w:t>
      </w:r>
      <w:r w:rsidRPr="00943952">
        <w:rPr>
          <w:rFonts w:ascii="Arial" w:eastAsia="Times New Roman" w:hAnsi="Arial" w:cs="Arial"/>
          <w:sz w:val="24"/>
          <w:szCs w:val="24"/>
          <w:lang w:val="es-ES" w:eastAsia="es-CO"/>
        </w:rPr>
        <w:t xml:space="preserve"> el </w:t>
      </w:r>
      <w:r w:rsidR="00FC6EB1" w:rsidRPr="00943952">
        <w:rPr>
          <w:rFonts w:ascii="Arial" w:eastAsia="Times New Roman" w:hAnsi="Arial" w:cs="Arial"/>
          <w:sz w:val="24"/>
          <w:szCs w:val="24"/>
          <w:lang w:val="es-ES" w:eastAsia="es-CO"/>
        </w:rPr>
        <w:t>8 de septiembre</w:t>
      </w:r>
      <w:r w:rsidRPr="00943952">
        <w:rPr>
          <w:rFonts w:ascii="Arial" w:eastAsia="Times New Roman" w:hAnsi="Arial" w:cs="Arial"/>
          <w:sz w:val="24"/>
          <w:szCs w:val="24"/>
          <w:lang w:val="es-ES" w:eastAsia="es-CO"/>
        </w:rPr>
        <w:t xml:space="preserve"> de 2020.</w:t>
      </w:r>
    </w:p>
    <w:p w:rsidR="00595EEE" w:rsidRPr="00943952" w:rsidRDefault="00595EEE" w:rsidP="00943952">
      <w:pPr>
        <w:spacing w:after="0" w:line="276" w:lineRule="auto"/>
        <w:jc w:val="both"/>
        <w:textAlignment w:val="baseline"/>
        <w:rPr>
          <w:rFonts w:ascii="Arial" w:eastAsia="Times New Roman" w:hAnsi="Arial" w:cs="Arial"/>
          <w:sz w:val="24"/>
          <w:szCs w:val="24"/>
          <w:lang w:val="es-ES" w:eastAsia="es-CO"/>
        </w:rPr>
      </w:pPr>
    </w:p>
    <w:p w:rsidR="00595EEE" w:rsidRPr="00943952" w:rsidRDefault="00595EEE"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val="es-ES" w:eastAsia="es-CO"/>
        </w:rPr>
        <w:t>Sin costas en esta sede.</w:t>
      </w:r>
    </w:p>
    <w:p w:rsidR="00943952" w:rsidRDefault="00943952" w:rsidP="00943952">
      <w:pPr>
        <w:spacing w:after="0" w:line="276" w:lineRule="auto"/>
        <w:jc w:val="both"/>
        <w:textAlignment w:val="baseline"/>
        <w:rPr>
          <w:rFonts w:ascii="Arial" w:eastAsia="Times New Roman" w:hAnsi="Arial" w:cs="Arial"/>
          <w:sz w:val="24"/>
          <w:szCs w:val="24"/>
          <w:lang w:val="es-ES" w:eastAsia="es-CO"/>
        </w:rPr>
      </w:pPr>
    </w:p>
    <w:p w:rsidR="002C4962" w:rsidRPr="00943952" w:rsidRDefault="002C4962" w:rsidP="00943952">
      <w:pPr>
        <w:spacing w:after="0" w:line="276" w:lineRule="auto"/>
        <w:jc w:val="both"/>
        <w:textAlignment w:val="baseline"/>
        <w:rPr>
          <w:rFonts w:ascii="Arial" w:eastAsia="Times New Roman" w:hAnsi="Arial" w:cs="Arial"/>
          <w:sz w:val="24"/>
          <w:szCs w:val="24"/>
          <w:lang w:val="es-ES" w:eastAsia="es-CO"/>
        </w:rPr>
      </w:pPr>
      <w:r w:rsidRPr="00943952">
        <w:rPr>
          <w:rFonts w:ascii="Arial" w:eastAsia="Times New Roman" w:hAnsi="Arial" w:cs="Arial"/>
          <w:sz w:val="24"/>
          <w:szCs w:val="24"/>
          <w:lang w:val="es-ES" w:eastAsia="es-CO"/>
        </w:rPr>
        <w:t>Notifíquese por estado y a los correos electrónicos de los apoderados de las partes. </w:t>
      </w:r>
    </w:p>
    <w:p w:rsidR="002C4962" w:rsidRPr="00943952" w:rsidRDefault="002C4962" w:rsidP="00943952">
      <w:pPr>
        <w:spacing w:after="0" w:line="276" w:lineRule="auto"/>
        <w:jc w:val="both"/>
        <w:textAlignment w:val="baseline"/>
        <w:rPr>
          <w:rFonts w:ascii="Arial" w:eastAsia="Times New Roman" w:hAnsi="Arial" w:cs="Arial"/>
          <w:sz w:val="24"/>
          <w:szCs w:val="24"/>
          <w:lang w:eastAsia="es-CO"/>
        </w:rPr>
      </w:pPr>
    </w:p>
    <w:p w:rsidR="00943952" w:rsidRPr="008135D0" w:rsidRDefault="00943952" w:rsidP="00943952">
      <w:pPr>
        <w:spacing w:after="0" w:line="276" w:lineRule="auto"/>
        <w:jc w:val="both"/>
        <w:textAlignment w:val="baseline"/>
        <w:rPr>
          <w:rFonts w:ascii="Arial" w:eastAsia="Times New Roman" w:hAnsi="Arial" w:cs="Arial"/>
          <w:sz w:val="24"/>
          <w:szCs w:val="24"/>
          <w:lang w:eastAsia="es-CO"/>
        </w:rPr>
      </w:pPr>
      <w:r w:rsidRPr="008135D0">
        <w:rPr>
          <w:rFonts w:ascii="Arial" w:eastAsia="Times New Roman" w:hAnsi="Arial" w:cs="Arial"/>
          <w:sz w:val="24"/>
          <w:szCs w:val="24"/>
          <w:lang w:eastAsia="es-CO"/>
        </w:rPr>
        <w:t>Quienes Integran la Sala,</w:t>
      </w:r>
    </w:p>
    <w:p w:rsidR="00943952" w:rsidRPr="008135D0" w:rsidRDefault="00943952" w:rsidP="00943952">
      <w:pPr>
        <w:spacing w:after="0" w:line="276" w:lineRule="auto"/>
        <w:textAlignment w:val="baseline"/>
        <w:rPr>
          <w:rFonts w:ascii="Times New Roman" w:eastAsia="Times New Roman" w:hAnsi="Times New Roman" w:cs="Times New Roman"/>
          <w:sz w:val="24"/>
          <w:szCs w:val="24"/>
          <w:lang w:eastAsia="es-CO"/>
        </w:rPr>
      </w:pPr>
    </w:p>
    <w:p w:rsidR="00943952" w:rsidRPr="008135D0" w:rsidRDefault="00943952" w:rsidP="00943952">
      <w:pPr>
        <w:spacing w:after="0" w:line="276" w:lineRule="auto"/>
        <w:jc w:val="both"/>
        <w:textAlignment w:val="baseline"/>
        <w:rPr>
          <w:rFonts w:ascii="Calibri" w:eastAsia="Times New Roman" w:hAnsi="Calibri" w:cs="Times New Roman"/>
          <w:sz w:val="24"/>
          <w:szCs w:val="24"/>
          <w:lang w:eastAsia="es-CO"/>
        </w:rPr>
      </w:pPr>
    </w:p>
    <w:p w:rsidR="00943952" w:rsidRPr="008135D0" w:rsidRDefault="00943952" w:rsidP="00943952">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b/>
          <w:bCs/>
          <w:sz w:val="24"/>
          <w:szCs w:val="24"/>
          <w:lang w:val="es-ES" w:eastAsia="es-CO"/>
        </w:rPr>
        <w:t>JULIO CÉSAR SALAZAR MUÑOZ</w:t>
      </w:r>
    </w:p>
    <w:p w:rsidR="00943952" w:rsidRPr="008135D0" w:rsidRDefault="00943952" w:rsidP="00943952">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sz w:val="24"/>
          <w:szCs w:val="24"/>
          <w:lang w:val="es-ES" w:eastAsia="es-CO"/>
        </w:rPr>
        <w:t>Magistrado Ponente</w:t>
      </w:r>
    </w:p>
    <w:p w:rsidR="00943952" w:rsidRPr="008135D0" w:rsidRDefault="00943952" w:rsidP="00943952">
      <w:pPr>
        <w:spacing w:after="0" w:line="276" w:lineRule="auto"/>
        <w:textAlignment w:val="baseline"/>
        <w:rPr>
          <w:rFonts w:ascii="Arial" w:eastAsia="Times New Roman" w:hAnsi="Arial" w:cs="Arial"/>
          <w:sz w:val="24"/>
          <w:szCs w:val="24"/>
          <w:lang w:eastAsia="es-CO"/>
        </w:rPr>
      </w:pPr>
    </w:p>
    <w:p w:rsidR="00943952" w:rsidRPr="008135D0" w:rsidRDefault="00943952" w:rsidP="00943952">
      <w:pPr>
        <w:spacing w:after="0" w:line="276" w:lineRule="auto"/>
        <w:textAlignment w:val="baseline"/>
        <w:rPr>
          <w:rFonts w:ascii="Arial" w:eastAsia="Times New Roman" w:hAnsi="Arial" w:cs="Arial"/>
          <w:sz w:val="24"/>
          <w:szCs w:val="24"/>
          <w:lang w:eastAsia="es-CO"/>
        </w:rPr>
      </w:pPr>
    </w:p>
    <w:p w:rsidR="00943952" w:rsidRPr="008135D0" w:rsidRDefault="00943952" w:rsidP="00943952">
      <w:pPr>
        <w:spacing w:after="0" w:line="276" w:lineRule="auto"/>
        <w:jc w:val="center"/>
        <w:textAlignment w:val="baseline"/>
        <w:rPr>
          <w:rFonts w:ascii="Arial" w:eastAsia="Times New Roman" w:hAnsi="Arial" w:cs="Arial"/>
          <w:sz w:val="24"/>
          <w:szCs w:val="24"/>
          <w:lang w:eastAsia="es-CO"/>
        </w:rPr>
      </w:pPr>
      <w:r w:rsidRPr="008135D0">
        <w:rPr>
          <w:rFonts w:ascii="Arial" w:eastAsia="Times New Roman" w:hAnsi="Arial" w:cs="Arial"/>
          <w:b/>
          <w:bCs/>
          <w:sz w:val="24"/>
          <w:szCs w:val="24"/>
          <w:lang w:val="es-ES" w:eastAsia="es-CO"/>
        </w:rPr>
        <w:t>ANA LUCÍA CAICEDO CALDERÓN</w:t>
      </w:r>
      <w:r w:rsidRPr="008135D0">
        <w:rPr>
          <w:rFonts w:ascii="Arial" w:eastAsia="Times New Roman" w:hAnsi="Arial" w:cs="Arial"/>
          <w:sz w:val="24"/>
          <w:szCs w:val="24"/>
          <w:lang w:eastAsia="es-CO"/>
        </w:rPr>
        <w:t>  </w:t>
      </w:r>
    </w:p>
    <w:p w:rsidR="00943952" w:rsidRPr="008135D0" w:rsidRDefault="00943952" w:rsidP="00943952">
      <w:pPr>
        <w:spacing w:after="0" w:line="276" w:lineRule="auto"/>
        <w:jc w:val="center"/>
        <w:textAlignment w:val="baseline"/>
        <w:rPr>
          <w:rFonts w:ascii="Arial" w:eastAsia="Calibri" w:hAnsi="Arial" w:cs="Arial"/>
          <w:sz w:val="24"/>
          <w:szCs w:val="24"/>
        </w:rPr>
      </w:pPr>
      <w:r w:rsidRPr="008135D0">
        <w:rPr>
          <w:rFonts w:ascii="Arial" w:eastAsia="Times New Roman" w:hAnsi="Arial" w:cs="Arial"/>
          <w:sz w:val="24"/>
          <w:szCs w:val="24"/>
          <w:lang w:val="es-ES" w:eastAsia="es-CO"/>
        </w:rPr>
        <w:t>Magistrada</w:t>
      </w:r>
    </w:p>
    <w:p w:rsidR="00943952" w:rsidRPr="008135D0" w:rsidRDefault="00943952" w:rsidP="00943952">
      <w:pPr>
        <w:spacing w:after="0" w:line="276" w:lineRule="auto"/>
        <w:textAlignment w:val="baseline"/>
        <w:rPr>
          <w:rFonts w:ascii="Arial" w:eastAsia="Times New Roman" w:hAnsi="Arial" w:cs="Arial"/>
          <w:sz w:val="24"/>
          <w:szCs w:val="24"/>
          <w:lang w:eastAsia="es-CO"/>
        </w:rPr>
      </w:pPr>
    </w:p>
    <w:p w:rsidR="00943952" w:rsidRPr="008135D0" w:rsidRDefault="00943952" w:rsidP="00943952">
      <w:pPr>
        <w:spacing w:after="0" w:line="276" w:lineRule="auto"/>
        <w:textAlignment w:val="baseline"/>
        <w:rPr>
          <w:rFonts w:ascii="Arial" w:eastAsia="Calibri" w:hAnsi="Arial" w:cs="Arial"/>
          <w:sz w:val="24"/>
          <w:szCs w:val="24"/>
        </w:rPr>
      </w:pPr>
    </w:p>
    <w:p w:rsidR="00943952" w:rsidRPr="008135D0" w:rsidRDefault="00943952" w:rsidP="00943952">
      <w:pPr>
        <w:spacing w:after="0" w:line="276" w:lineRule="auto"/>
        <w:jc w:val="center"/>
        <w:textAlignment w:val="baseline"/>
        <w:rPr>
          <w:rFonts w:ascii="Arial" w:eastAsia="Times New Roman" w:hAnsi="Arial" w:cs="Arial"/>
          <w:b/>
          <w:bCs/>
          <w:sz w:val="24"/>
          <w:szCs w:val="24"/>
          <w:lang w:eastAsia="es-CO"/>
        </w:rPr>
      </w:pPr>
      <w:r w:rsidRPr="008135D0">
        <w:rPr>
          <w:rFonts w:ascii="Arial" w:eastAsia="Times New Roman" w:hAnsi="Arial" w:cs="Arial"/>
          <w:b/>
          <w:bCs/>
          <w:sz w:val="24"/>
          <w:szCs w:val="24"/>
          <w:lang w:eastAsia="es-CO"/>
        </w:rPr>
        <w:t>GERMÁN DARÍO GÓEZ VINASCO</w:t>
      </w:r>
    </w:p>
    <w:p w:rsidR="00595EEE" w:rsidRPr="006938F0" w:rsidRDefault="00943952" w:rsidP="006938F0">
      <w:pPr>
        <w:spacing w:after="0" w:line="276" w:lineRule="auto"/>
        <w:jc w:val="center"/>
        <w:textAlignment w:val="baseline"/>
        <w:rPr>
          <w:rFonts w:ascii="Arial" w:eastAsia="Calibri" w:hAnsi="Arial" w:cs="Arial"/>
          <w:sz w:val="24"/>
          <w:szCs w:val="24"/>
        </w:rPr>
      </w:pPr>
      <w:r w:rsidRPr="008135D0">
        <w:rPr>
          <w:rFonts w:ascii="Arial" w:eastAsia="Times New Roman" w:hAnsi="Arial" w:cs="Arial"/>
          <w:sz w:val="24"/>
          <w:szCs w:val="24"/>
          <w:lang w:val="es-ES" w:eastAsia="es-CO"/>
        </w:rPr>
        <w:t>Magistrado</w:t>
      </w:r>
    </w:p>
    <w:sectPr w:rsidR="00595EEE" w:rsidRPr="006938F0" w:rsidSect="00943952">
      <w:headerReference w:type="default" r:id="rId9"/>
      <w:footerReference w:type="default" r:id="rId10"/>
      <w:pgSz w:w="12242" w:h="18722" w:code="258"/>
      <w:pgMar w:top="1871" w:right="1304" w:bottom="1304" w:left="1871" w:header="567" w:footer="567" w:gutter="0"/>
      <w:cols w:space="708"/>
      <w:titlePg/>
      <w:docGrid w:linePitch="360"/>
    </w:sectPr>
  </w:body>
</w:document>
</file>

<file path=word/commentsExtensible.xml><?xml version="1.0" encoding="utf-8"?>
<w16cex:commentsExtensible xmlns:w16="http://schemas.microsoft.com/office/word/2018/wordml" xmlns:w16cex="http://schemas.microsoft.com/office/word/2018/wordml/cex" xmlns:mc="http://schemas.openxmlformats.org/markup-compatibility/2006" mc:Ignorable="w16 w16cex">
  <w16cex:commentExtensible w16cex:durableId="284DF621" w16cex:dateUtc="2021-03-10T20:13:19.284Z"/>
  <w16cex:commentExtensible w16cex:durableId="138F96DC" w16cex:dateUtc="2021-03-16T13:24:39.132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8504F" w:rsidRDefault="0018504F" w:rsidP="002C4962">
      <w:pPr>
        <w:spacing w:after="0" w:line="240" w:lineRule="auto"/>
      </w:pPr>
      <w:r>
        <w:separator/>
      </w:r>
    </w:p>
  </w:endnote>
  <w:endnote w:type="continuationSeparator" w:id="0">
    <w:p w:rsidR="0018504F" w:rsidRDefault="0018504F" w:rsidP="002C496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Dotum">
    <w:altName w:val="돋움"/>
    <w:panose1 w:val="020B0600000101010101"/>
    <w:charset w:val="81"/>
    <w:family w:val="swiss"/>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1880567"/>
      <w:docPartObj>
        <w:docPartGallery w:val="Page Numbers (Bottom of Page)"/>
        <w:docPartUnique/>
      </w:docPartObj>
    </w:sdtPr>
    <w:sdtEndPr>
      <w:rPr>
        <w:rFonts w:ascii="Arial" w:hAnsi="Arial" w:cs="Arial"/>
        <w:sz w:val="16"/>
        <w:szCs w:val="16"/>
      </w:rPr>
    </w:sdtEndPr>
    <w:sdtContent>
      <w:p w:rsidR="005A0B60" w:rsidRPr="005A0B60" w:rsidRDefault="005A0B60">
        <w:pPr>
          <w:pStyle w:val="Piedepgina"/>
          <w:jc w:val="right"/>
          <w:rPr>
            <w:rFonts w:ascii="Arial" w:hAnsi="Arial" w:cs="Arial"/>
            <w:sz w:val="16"/>
            <w:szCs w:val="16"/>
          </w:rPr>
        </w:pPr>
        <w:r w:rsidRPr="00943952">
          <w:rPr>
            <w:rFonts w:ascii="Arial" w:eastAsia="Times New Roman" w:hAnsi="Arial" w:cs="Arial"/>
            <w:sz w:val="18"/>
            <w:szCs w:val="14"/>
            <w:lang w:eastAsia="es-CO"/>
          </w:rPr>
          <w:fldChar w:fldCharType="begin"/>
        </w:r>
        <w:r w:rsidRPr="00943952">
          <w:rPr>
            <w:rFonts w:ascii="Arial" w:eastAsia="Times New Roman" w:hAnsi="Arial" w:cs="Arial"/>
            <w:sz w:val="18"/>
            <w:szCs w:val="14"/>
            <w:lang w:eastAsia="es-CO"/>
          </w:rPr>
          <w:instrText xml:space="preserve"> PAGE   \* MERGEFORMAT </w:instrText>
        </w:r>
        <w:r w:rsidRPr="00943952">
          <w:rPr>
            <w:rFonts w:ascii="Arial" w:eastAsia="Times New Roman" w:hAnsi="Arial" w:cs="Arial"/>
            <w:sz w:val="18"/>
            <w:szCs w:val="14"/>
            <w:lang w:eastAsia="es-CO"/>
          </w:rPr>
          <w:fldChar w:fldCharType="separate"/>
        </w:r>
        <w:r w:rsidRPr="00943952">
          <w:rPr>
            <w:rFonts w:ascii="Arial" w:eastAsia="Times New Roman" w:hAnsi="Arial" w:cs="Arial"/>
            <w:sz w:val="18"/>
            <w:szCs w:val="14"/>
            <w:lang w:eastAsia="es-CO"/>
          </w:rPr>
          <w:t>18</w:t>
        </w:r>
        <w:r w:rsidRPr="00943952">
          <w:rPr>
            <w:rFonts w:ascii="Arial" w:eastAsia="Times New Roman" w:hAnsi="Arial" w:cs="Arial"/>
            <w:sz w:val="18"/>
            <w:szCs w:val="14"/>
            <w:lang w:eastAsia="es-CO"/>
          </w:rPr>
          <w:fldChar w:fldCharType="end"/>
        </w:r>
      </w:p>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8504F" w:rsidRDefault="0018504F" w:rsidP="002C4962">
      <w:pPr>
        <w:spacing w:after="0" w:line="240" w:lineRule="auto"/>
      </w:pPr>
      <w:r>
        <w:separator/>
      </w:r>
    </w:p>
  </w:footnote>
  <w:footnote w:type="continuationSeparator" w:id="0">
    <w:p w:rsidR="0018504F" w:rsidRDefault="0018504F" w:rsidP="002C496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43952" w:rsidRPr="00943952" w:rsidRDefault="002C4962" w:rsidP="00943952">
    <w:pPr>
      <w:spacing w:after="0" w:line="240" w:lineRule="auto"/>
      <w:jc w:val="center"/>
      <w:textAlignment w:val="baseline"/>
      <w:rPr>
        <w:rFonts w:ascii="Arial" w:eastAsia="Times New Roman" w:hAnsi="Arial" w:cs="Arial"/>
        <w:sz w:val="18"/>
        <w:szCs w:val="14"/>
        <w:lang w:eastAsia="es-CO"/>
      </w:rPr>
    </w:pPr>
    <w:r w:rsidRPr="00943952">
      <w:rPr>
        <w:rFonts w:ascii="Arial" w:eastAsia="Times New Roman" w:hAnsi="Arial" w:cs="Arial"/>
        <w:sz w:val="18"/>
        <w:szCs w:val="14"/>
        <w:lang w:eastAsia="es-CO"/>
      </w:rPr>
      <w:t>Yulieth Alexandra López Vera Vs Servientrega S.A. y otra</w:t>
    </w:r>
  </w:p>
  <w:p w:rsidR="002C4962" w:rsidRPr="00943952" w:rsidRDefault="002C4962" w:rsidP="00943952">
    <w:pPr>
      <w:spacing w:after="0" w:line="240" w:lineRule="auto"/>
      <w:jc w:val="center"/>
      <w:textAlignment w:val="baseline"/>
      <w:rPr>
        <w:rFonts w:ascii="Arial" w:eastAsia="Times New Roman" w:hAnsi="Arial" w:cs="Arial"/>
        <w:sz w:val="18"/>
        <w:szCs w:val="14"/>
        <w:lang w:eastAsia="es-CO"/>
      </w:rPr>
    </w:pPr>
    <w:r w:rsidRPr="00943952">
      <w:rPr>
        <w:rFonts w:ascii="Arial" w:eastAsia="Times New Roman" w:hAnsi="Arial" w:cs="Arial"/>
        <w:sz w:val="18"/>
        <w:szCs w:val="14"/>
        <w:lang w:eastAsia="es-CO"/>
      </w:rPr>
      <w:t>Rad. 66170310500120180034701</w: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1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595EEE"/>
    <w:rsid w:val="000035ED"/>
    <w:rsid w:val="000127EE"/>
    <w:rsid w:val="00027D7B"/>
    <w:rsid w:val="0004329B"/>
    <w:rsid w:val="00053007"/>
    <w:rsid w:val="00053BF8"/>
    <w:rsid w:val="00073C48"/>
    <w:rsid w:val="00085427"/>
    <w:rsid w:val="000A5B85"/>
    <w:rsid w:val="000A5D3F"/>
    <w:rsid w:val="000A7CA8"/>
    <w:rsid w:val="000B4EA9"/>
    <w:rsid w:val="000E1C2C"/>
    <w:rsid w:val="000E5F10"/>
    <w:rsid w:val="00102BA5"/>
    <w:rsid w:val="00103E75"/>
    <w:rsid w:val="00130688"/>
    <w:rsid w:val="00133289"/>
    <w:rsid w:val="00134EAD"/>
    <w:rsid w:val="00141C26"/>
    <w:rsid w:val="00144CC5"/>
    <w:rsid w:val="00146E6C"/>
    <w:rsid w:val="00161C8D"/>
    <w:rsid w:val="001837EB"/>
    <w:rsid w:val="0018504F"/>
    <w:rsid w:val="001B27E6"/>
    <w:rsid w:val="001B4465"/>
    <w:rsid w:val="001C5B51"/>
    <w:rsid w:val="001D501E"/>
    <w:rsid w:val="001F0F5D"/>
    <w:rsid w:val="002076AE"/>
    <w:rsid w:val="00230FA5"/>
    <w:rsid w:val="00231075"/>
    <w:rsid w:val="0023116B"/>
    <w:rsid w:val="00240B9D"/>
    <w:rsid w:val="002477EB"/>
    <w:rsid w:val="00250C41"/>
    <w:rsid w:val="00254B45"/>
    <w:rsid w:val="00257DA9"/>
    <w:rsid w:val="002620B9"/>
    <w:rsid w:val="00264F4C"/>
    <w:rsid w:val="00267BDB"/>
    <w:rsid w:val="00283603"/>
    <w:rsid w:val="00287D78"/>
    <w:rsid w:val="002C40B2"/>
    <w:rsid w:val="002C4962"/>
    <w:rsid w:val="002D04C4"/>
    <w:rsid w:val="002D7110"/>
    <w:rsid w:val="002F19B7"/>
    <w:rsid w:val="002F25E1"/>
    <w:rsid w:val="00305B0C"/>
    <w:rsid w:val="00305EC0"/>
    <w:rsid w:val="003104D6"/>
    <w:rsid w:val="00315689"/>
    <w:rsid w:val="00337204"/>
    <w:rsid w:val="00344A75"/>
    <w:rsid w:val="003528C1"/>
    <w:rsid w:val="00365857"/>
    <w:rsid w:val="003670C7"/>
    <w:rsid w:val="00370F43"/>
    <w:rsid w:val="00375195"/>
    <w:rsid w:val="00380906"/>
    <w:rsid w:val="00385121"/>
    <w:rsid w:val="003A32DB"/>
    <w:rsid w:val="003C48B6"/>
    <w:rsid w:val="003D2185"/>
    <w:rsid w:val="003D772E"/>
    <w:rsid w:val="00402E18"/>
    <w:rsid w:val="00423B0A"/>
    <w:rsid w:val="00424181"/>
    <w:rsid w:val="00434FFB"/>
    <w:rsid w:val="0046789C"/>
    <w:rsid w:val="00476D14"/>
    <w:rsid w:val="00483B15"/>
    <w:rsid w:val="00483FA3"/>
    <w:rsid w:val="00484FE5"/>
    <w:rsid w:val="00490E42"/>
    <w:rsid w:val="004A060D"/>
    <w:rsid w:val="004A169B"/>
    <w:rsid w:val="004A2A3B"/>
    <w:rsid w:val="004B1FF7"/>
    <w:rsid w:val="004C32C5"/>
    <w:rsid w:val="004C471C"/>
    <w:rsid w:val="004D0750"/>
    <w:rsid w:val="004D2425"/>
    <w:rsid w:val="004D442A"/>
    <w:rsid w:val="004E2838"/>
    <w:rsid w:val="00524680"/>
    <w:rsid w:val="00532916"/>
    <w:rsid w:val="00533205"/>
    <w:rsid w:val="00533699"/>
    <w:rsid w:val="0053479A"/>
    <w:rsid w:val="0053790D"/>
    <w:rsid w:val="00537F8F"/>
    <w:rsid w:val="00543C75"/>
    <w:rsid w:val="005550EC"/>
    <w:rsid w:val="00555717"/>
    <w:rsid w:val="005755D3"/>
    <w:rsid w:val="005825CC"/>
    <w:rsid w:val="0058300F"/>
    <w:rsid w:val="00595254"/>
    <w:rsid w:val="00595EEE"/>
    <w:rsid w:val="005A0B60"/>
    <w:rsid w:val="005A5B82"/>
    <w:rsid w:val="005B209A"/>
    <w:rsid w:val="005D2980"/>
    <w:rsid w:val="005D39AD"/>
    <w:rsid w:val="0061556D"/>
    <w:rsid w:val="00616802"/>
    <w:rsid w:val="00627463"/>
    <w:rsid w:val="006550DB"/>
    <w:rsid w:val="00661243"/>
    <w:rsid w:val="006641AE"/>
    <w:rsid w:val="00664DAB"/>
    <w:rsid w:val="00667923"/>
    <w:rsid w:val="00670E29"/>
    <w:rsid w:val="006721AC"/>
    <w:rsid w:val="00680420"/>
    <w:rsid w:val="0068222A"/>
    <w:rsid w:val="006938F0"/>
    <w:rsid w:val="00694332"/>
    <w:rsid w:val="00697E0C"/>
    <w:rsid w:val="006A1ACF"/>
    <w:rsid w:val="006A4505"/>
    <w:rsid w:val="006F527A"/>
    <w:rsid w:val="00700BEF"/>
    <w:rsid w:val="00703313"/>
    <w:rsid w:val="007109D3"/>
    <w:rsid w:val="00721317"/>
    <w:rsid w:val="00722BA3"/>
    <w:rsid w:val="00722F44"/>
    <w:rsid w:val="0073279F"/>
    <w:rsid w:val="0073495A"/>
    <w:rsid w:val="007627C5"/>
    <w:rsid w:val="00764C8B"/>
    <w:rsid w:val="00780046"/>
    <w:rsid w:val="0079071F"/>
    <w:rsid w:val="00790EEA"/>
    <w:rsid w:val="00797B45"/>
    <w:rsid w:val="007A2DCC"/>
    <w:rsid w:val="007B1820"/>
    <w:rsid w:val="007C1F6A"/>
    <w:rsid w:val="007C4711"/>
    <w:rsid w:val="007C5075"/>
    <w:rsid w:val="007E7D5F"/>
    <w:rsid w:val="00800FE8"/>
    <w:rsid w:val="00801838"/>
    <w:rsid w:val="0081013F"/>
    <w:rsid w:val="008177FC"/>
    <w:rsid w:val="00824B02"/>
    <w:rsid w:val="00826933"/>
    <w:rsid w:val="00827C66"/>
    <w:rsid w:val="00831309"/>
    <w:rsid w:val="008522E1"/>
    <w:rsid w:val="008531B1"/>
    <w:rsid w:val="00857932"/>
    <w:rsid w:val="00857D6F"/>
    <w:rsid w:val="00864D3B"/>
    <w:rsid w:val="00880CF2"/>
    <w:rsid w:val="008B3B60"/>
    <w:rsid w:val="008C4CC1"/>
    <w:rsid w:val="008E1BF6"/>
    <w:rsid w:val="008F1CF8"/>
    <w:rsid w:val="008F4C71"/>
    <w:rsid w:val="0090094F"/>
    <w:rsid w:val="00907EF3"/>
    <w:rsid w:val="00917013"/>
    <w:rsid w:val="00932DAE"/>
    <w:rsid w:val="00943952"/>
    <w:rsid w:val="009557D4"/>
    <w:rsid w:val="0096177C"/>
    <w:rsid w:val="00967F37"/>
    <w:rsid w:val="009843C7"/>
    <w:rsid w:val="0099443B"/>
    <w:rsid w:val="009A6BBA"/>
    <w:rsid w:val="009C7412"/>
    <w:rsid w:val="009E1AEC"/>
    <w:rsid w:val="009F3C24"/>
    <w:rsid w:val="00A11BB0"/>
    <w:rsid w:val="00A1237B"/>
    <w:rsid w:val="00A13FBC"/>
    <w:rsid w:val="00A23B5F"/>
    <w:rsid w:val="00A240BF"/>
    <w:rsid w:val="00A31EBB"/>
    <w:rsid w:val="00A57853"/>
    <w:rsid w:val="00A64F20"/>
    <w:rsid w:val="00A7297E"/>
    <w:rsid w:val="00A76322"/>
    <w:rsid w:val="00A77434"/>
    <w:rsid w:val="00A86E44"/>
    <w:rsid w:val="00A93999"/>
    <w:rsid w:val="00A97241"/>
    <w:rsid w:val="00AA6659"/>
    <w:rsid w:val="00AB55FD"/>
    <w:rsid w:val="00AB65FD"/>
    <w:rsid w:val="00AD238B"/>
    <w:rsid w:val="00AD4CBD"/>
    <w:rsid w:val="00AE1340"/>
    <w:rsid w:val="00AF42C9"/>
    <w:rsid w:val="00B1348B"/>
    <w:rsid w:val="00B1475E"/>
    <w:rsid w:val="00B21C13"/>
    <w:rsid w:val="00B26C39"/>
    <w:rsid w:val="00B36C25"/>
    <w:rsid w:val="00B46C0A"/>
    <w:rsid w:val="00B50F0F"/>
    <w:rsid w:val="00B6388A"/>
    <w:rsid w:val="00B65E2C"/>
    <w:rsid w:val="00B75098"/>
    <w:rsid w:val="00B813FF"/>
    <w:rsid w:val="00B95925"/>
    <w:rsid w:val="00BB5398"/>
    <w:rsid w:val="00BD0342"/>
    <w:rsid w:val="00BD090A"/>
    <w:rsid w:val="00BE71FC"/>
    <w:rsid w:val="00BE7830"/>
    <w:rsid w:val="00C0701C"/>
    <w:rsid w:val="00C114F9"/>
    <w:rsid w:val="00C212F4"/>
    <w:rsid w:val="00C631D2"/>
    <w:rsid w:val="00C66515"/>
    <w:rsid w:val="00C82F0D"/>
    <w:rsid w:val="00C86004"/>
    <w:rsid w:val="00CA17BF"/>
    <w:rsid w:val="00CA3410"/>
    <w:rsid w:val="00CA4EF9"/>
    <w:rsid w:val="00CB43A4"/>
    <w:rsid w:val="00CD6382"/>
    <w:rsid w:val="00CE10C9"/>
    <w:rsid w:val="00CE5EBD"/>
    <w:rsid w:val="00D14500"/>
    <w:rsid w:val="00D31AEB"/>
    <w:rsid w:val="00D4230C"/>
    <w:rsid w:val="00D45A33"/>
    <w:rsid w:val="00D64D07"/>
    <w:rsid w:val="00D82A22"/>
    <w:rsid w:val="00DA5F83"/>
    <w:rsid w:val="00DA5FC8"/>
    <w:rsid w:val="00DB5898"/>
    <w:rsid w:val="00DC3E35"/>
    <w:rsid w:val="00DD0999"/>
    <w:rsid w:val="00DD4BD8"/>
    <w:rsid w:val="00E07E66"/>
    <w:rsid w:val="00E110DE"/>
    <w:rsid w:val="00E4081C"/>
    <w:rsid w:val="00E46618"/>
    <w:rsid w:val="00E479C8"/>
    <w:rsid w:val="00E577F2"/>
    <w:rsid w:val="00E662F9"/>
    <w:rsid w:val="00E7093F"/>
    <w:rsid w:val="00E75322"/>
    <w:rsid w:val="00E875AD"/>
    <w:rsid w:val="00E961E7"/>
    <w:rsid w:val="00E9687E"/>
    <w:rsid w:val="00EB72D9"/>
    <w:rsid w:val="00EC4CBA"/>
    <w:rsid w:val="00EC4D72"/>
    <w:rsid w:val="00EE129C"/>
    <w:rsid w:val="00EE3DAE"/>
    <w:rsid w:val="00EE4B75"/>
    <w:rsid w:val="00EE56D0"/>
    <w:rsid w:val="00F05D77"/>
    <w:rsid w:val="00F07CE9"/>
    <w:rsid w:val="00F30E33"/>
    <w:rsid w:val="00F41565"/>
    <w:rsid w:val="00F57968"/>
    <w:rsid w:val="00F65021"/>
    <w:rsid w:val="00F71E73"/>
    <w:rsid w:val="00F761E8"/>
    <w:rsid w:val="00F86056"/>
    <w:rsid w:val="00F8634F"/>
    <w:rsid w:val="00F90559"/>
    <w:rsid w:val="00F94AC1"/>
    <w:rsid w:val="00FB0028"/>
    <w:rsid w:val="00FB0B62"/>
    <w:rsid w:val="00FB5AC4"/>
    <w:rsid w:val="00FC5267"/>
    <w:rsid w:val="00FC6EB1"/>
    <w:rsid w:val="00FD151D"/>
    <w:rsid w:val="00FD3771"/>
    <w:rsid w:val="00FD7571"/>
    <w:rsid w:val="021830AB"/>
    <w:rsid w:val="18A5837F"/>
    <w:rsid w:val="23FBAF3B"/>
    <w:rsid w:val="2AA76E94"/>
    <w:rsid w:val="358AD731"/>
    <w:rsid w:val="569CC2BB"/>
    <w:rsid w:val="56CF81E4"/>
    <w:rsid w:val="63A998A8"/>
    <w:rsid w:val="6F95FCFD"/>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7D3E07B"/>
  <w15:docId w15:val="{44B2DA63-AE26-4D1A-AC83-EF56572D75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s-CO"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595EEE"/>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39"/>
    <w:rsid w:val="00595EEE"/>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rsid w:val="009A6BBA"/>
    <w:pPr>
      <w:spacing w:before="100" w:beforeAutospacing="1" w:after="100" w:afterAutospacing="1" w:line="240" w:lineRule="auto"/>
    </w:pPr>
    <w:rPr>
      <w:rFonts w:ascii="Times New Roman" w:eastAsia="Times New Roman" w:hAnsi="Times New Roman" w:cs="Times New Roman"/>
      <w:sz w:val="24"/>
      <w:szCs w:val="24"/>
      <w:lang w:eastAsia="es-CO"/>
    </w:rPr>
  </w:style>
  <w:style w:type="character" w:customStyle="1" w:styleId="normaltextrun">
    <w:name w:val="normaltextrun"/>
    <w:basedOn w:val="Fuentedeprrafopredeter"/>
    <w:rsid w:val="009A6BBA"/>
  </w:style>
  <w:style w:type="character" w:customStyle="1" w:styleId="eop">
    <w:name w:val="eop"/>
    <w:basedOn w:val="Fuentedeprrafopredeter"/>
    <w:rsid w:val="009A6BBA"/>
  </w:style>
  <w:style w:type="paragraph" w:styleId="NormalWeb">
    <w:name w:val="Normal (Web)"/>
    <w:basedOn w:val="Normal"/>
    <w:uiPriority w:val="99"/>
    <w:semiHidden/>
    <w:unhideWhenUsed/>
    <w:rsid w:val="00C114F9"/>
    <w:pPr>
      <w:spacing w:before="100" w:beforeAutospacing="1" w:after="100" w:afterAutospacing="1" w:line="240" w:lineRule="auto"/>
    </w:pPr>
    <w:rPr>
      <w:rFonts w:ascii="Times New Roman" w:eastAsia="Times New Roman" w:hAnsi="Times New Roman" w:cs="Times New Roman"/>
      <w:sz w:val="24"/>
      <w:szCs w:val="24"/>
      <w:lang w:eastAsia="es-CO"/>
    </w:rPr>
  </w:style>
  <w:style w:type="paragraph" w:styleId="Textocomentario">
    <w:name w:val="annotation text"/>
    <w:basedOn w:val="Normal"/>
    <w:link w:val="TextocomentarioCar"/>
    <w:uiPriority w:val="99"/>
    <w:semiHidden/>
    <w:unhideWhenUsed/>
    <w:rsid w:val="00857932"/>
    <w:pPr>
      <w:spacing w:line="240" w:lineRule="auto"/>
    </w:pPr>
    <w:rPr>
      <w:sz w:val="20"/>
      <w:szCs w:val="20"/>
    </w:rPr>
  </w:style>
  <w:style w:type="character" w:customStyle="1" w:styleId="TextocomentarioCar">
    <w:name w:val="Texto comentario Car"/>
    <w:basedOn w:val="Fuentedeprrafopredeter"/>
    <w:link w:val="Textocomentario"/>
    <w:uiPriority w:val="99"/>
    <w:semiHidden/>
    <w:rsid w:val="00857932"/>
    <w:rPr>
      <w:sz w:val="20"/>
      <w:szCs w:val="20"/>
    </w:rPr>
  </w:style>
  <w:style w:type="character" w:styleId="Refdecomentario">
    <w:name w:val="annotation reference"/>
    <w:basedOn w:val="Fuentedeprrafopredeter"/>
    <w:uiPriority w:val="99"/>
    <w:semiHidden/>
    <w:unhideWhenUsed/>
    <w:rsid w:val="00857932"/>
    <w:rPr>
      <w:sz w:val="16"/>
      <w:szCs w:val="16"/>
    </w:rPr>
  </w:style>
  <w:style w:type="paragraph" w:styleId="Textodeglobo">
    <w:name w:val="Balloon Text"/>
    <w:basedOn w:val="Normal"/>
    <w:link w:val="TextodegloboCar"/>
    <w:uiPriority w:val="99"/>
    <w:semiHidden/>
    <w:unhideWhenUsed/>
    <w:rsid w:val="00490E42"/>
    <w:pPr>
      <w:spacing w:after="0" w:line="240" w:lineRule="auto"/>
    </w:pPr>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490E42"/>
    <w:rPr>
      <w:rFonts w:ascii="Segoe UI" w:hAnsi="Segoe UI" w:cs="Segoe UI"/>
      <w:sz w:val="18"/>
      <w:szCs w:val="18"/>
    </w:rPr>
  </w:style>
  <w:style w:type="paragraph" w:styleId="Encabezado">
    <w:name w:val="header"/>
    <w:basedOn w:val="Normal"/>
    <w:link w:val="EncabezadoCar"/>
    <w:uiPriority w:val="99"/>
    <w:unhideWhenUsed/>
    <w:rsid w:val="002C4962"/>
    <w:pPr>
      <w:tabs>
        <w:tab w:val="center" w:pos="4252"/>
        <w:tab w:val="right" w:pos="8504"/>
      </w:tabs>
      <w:spacing w:after="0" w:line="240" w:lineRule="auto"/>
    </w:pPr>
  </w:style>
  <w:style w:type="character" w:customStyle="1" w:styleId="EncabezadoCar">
    <w:name w:val="Encabezado Car"/>
    <w:basedOn w:val="Fuentedeprrafopredeter"/>
    <w:link w:val="Encabezado"/>
    <w:uiPriority w:val="99"/>
    <w:rsid w:val="002C4962"/>
  </w:style>
  <w:style w:type="paragraph" w:styleId="Piedepgina">
    <w:name w:val="footer"/>
    <w:basedOn w:val="Normal"/>
    <w:link w:val="PiedepginaCar"/>
    <w:uiPriority w:val="99"/>
    <w:unhideWhenUsed/>
    <w:rsid w:val="002C4962"/>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rsid w:val="002C4962"/>
  </w:style>
  <w:style w:type="paragraph" w:styleId="Textoindependiente">
    <w:name w:val="Body Text"/>
    <w:basedOn w:val="Normal"/>
    <w:link w:val="TextoindependienteCar"/>
    <w:rsid w:val="002C4962"/>
    <w:pPr>
      <w:spacing w:after="0" w:line="360" w:lineRule="auto"/>
      <w:jc w:val="both"/>
    </w:pPr>
    <w:rPr>
      <w:rFonts w:ascii="Arial" w:eastAsia="Times New Roman" w:hAnsi="Arial" w:cs="Times New Roman"/>
      <w:sz w:val="26"/>
      <w:szCs w:val="20"/>
      <w:lang w:val="es-ES_tradnl" w:eastAsia="es-ES"/>
    </w:rPr>
  </w:style>
  <w:style w:type="character" w:customStyle="1" w:styleId="TextoindependienteCar">
    <w:name w:val="Texto independiente Car"/>
    <w:basedOn w:val="Fuentedeprrafopredeter"/>
    <w:link w:val="Textoindependiente"/>
    <w:rsid w:val="002C4962"/>
    <w:rPr>
      <w:rFonts w:ascii="Arial" w:eastAsia="Times New Roman" w:hAnsi="Arial" w:cs="Times New Roman"/>
      <w:sz w:val="26"/>
      <w:szCs w:val="20"/>
      <w:lang w:val="es-ES_tradnl" w:eastAsia="es-E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396054822">
      <w:bodyDiv w:val="1"/>
      <w:marLeft w:val="0"/>
      <w:marRight w:val="0"/>
      <w:marTop w:val="0"/>
      <w:marBottom w:val="0"/>
      <w:divBdr>
        <w:top w:val="none" w:sz="0" w:space="0" w:color="auto"/>
        <w:left w:val="none" w:sz="0" w:space="0" w:color="auto"/>
        <w:bottom w:val="none" w:sz="0" w:space="0" w:color="auto"/>
        <w:right w:val="none" w:sz="0" w:space="0" w:color="auto"/>
      </w:divBdr>
    </w:div>
    <w:div w:id="827526064">
      <w:bodyDiv w:val="1"/>
      <w:marLeft w:val="0"/>
      <w:marRight w:val="0"/>
      <w:marTop w:val="0"/>
      <w:marBottom w:val="0"/>
      <w:divBdr>
        <w:top w:val="none" w:sz="0" w:space="0" w:color="auto"/>
        <w:left w:val="none" w:sz="0" w:space="0" w:color="auto"/>
        <w:bottom w:val="none" w:sz="0" w:space="0" w:color="auto"/>
        <w:right w:val="none" w:sz="0" w:space="0" w:color="auto"/>
      </w:divBdr>
    </w:div>
    <w:div w:id="1051853516">
      <w:bodyDiv w:val="1"/>
      <w:marLeft w:val="0"/>
      <w:marRight w:val="0"/>
      <w:marTop w:val="0"/>
      <w:marBottom w:val="0"/>
      <w:divBdr>
        <w:top w:val="none" w:sz="0" w:space="0" w:color="auto"/>
        <w:left w:val="none" w:sz="0" w:space="0" w:color="auto"/>
        <w:bottom w:val="none" w:sz="0" w:space="0" w:color="auto"/>
        <w:right w:val="none" w:sz="0" w:space="0" w:color="auto"/>
      </w:divBdr>
    </w:div>
    <w:div w:id="1328553632">
      <w:bodyDiv w:val="1"/>
      <w:marLeft w:val="0"/>
      <w:marRight w:val="0"/>
      <w:marTop w:val="0"/>
      <w:marBottom w:val="0"/>
      <w:divBdr>
        <w:top w:val="none" w:sz="0" w:space="0" w:color="auto"/>
        <w:left w:val="none" w:sz="0" w:space="0" w:color="auto"/>
        <w:bottom w:val="none" w:sz="0" w:space="0" w:color="auto"/>
        <w:right w:val="none" w:sz="0" w:space="0" w:color="auto"/>
      </w:divBdr>
    </w:div>
    <w:div w:id="2145735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footer" Target="footer1.xml"/><Relationship Id="rId4" Type="http://schemas.openxmlformats.org/officeDocument/2006/relationships/styles" Target="styles.xml"/><Relationship Id="rId9" Type="http://schemas.openxmlformats.org/officeDocument/2006/relationships/header" Target="header1.xml"/><Relationship Id="R73f22f766311432c" Type="http://schemas.microsoft.com/office/2018/08/relationships/commentsExtensible" Target="commentsExtensible.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o" ma:contentTypeID="0x0101000960E13D9074E745A60DDE426959B826" ma:contentTypeVersion="10" ma:contentTypeDescription="Crear nuevo documento." ma:contentTypeScope="" ma:versionID="06a9e4adc91f5b5788613acb54e9f451">
  <xsd:schema xmlns:xsd="http://www.w3.org/2001/XMLSchema" xmlns:xs="http://www.w3.org/2001/XMLSchema" xmlns:p="http://schemas.microsoft.com/office/2006/metadata/properties" xmlns:ns2="dded84e4-001b-470d-a0e6-15ddd3924142" xmlns:ns3="b157412b-f7d0-435c-8dc3-c57cc9ba3390" targetNamespace="http://schemas.microsoft.com/office/2006/metadata/properties" ma:root="true" ma:fieldsID="2dbb4738cee6191ca3f895a3a147a93c" ns2:_="" ns3:_="">
    <xsd:import namespace="dded84e4-001b-470d-a0e6-15ddd3924142"/>
    <xsd:import namespace="b157412b-f7d0-435c-8dc3-c57cc9ba3390"/>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ded84e4-001b-470d-a0e6-15ddd3924142"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b157412b-f7d0-435c-8dc3-c57cc9ba3390" elementFormDefault="qualified">
    <xsd:import namespace="http://schemas.microsoft.com/office/2006/documentManagement/types"/>
    <xsd:import namespace="http://schemas.microsoft.com/office/infopath/2007/PartnerControls"/>
    <xsd:element name="SharedWithUsers" ma:index="16" nillable="true" ma:displayName="Compartido c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Detalles de uso compartido"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Tipo de contenido"/>
        <xsd:element ref="dc:title" minOccurs="0" maxOccurs="1" ma:index="4" ma:displayName="Título"/>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b157412b-f7d0-435c-8dc3-c57cc9ba3390">
      <UserInfo>
        <DisplayName>German Dario Goez Vinasco</DisplayName>
        <AccountId>206</AccountId>
        <AccountType/>
      </UserInfo>
      <UserInfo>
        <DisplayName>Ana Lucia Caicedo Calderon</DisplayName>
        <AccountId>20</AccountId>
        <AccountType/>
      </UserInfo>
    </SharedWithUsers>
  </documentManagement>
</p:properties>
</file>

<file path=customXml/itemProps1.xml><?xml version="1.0" encoding="utf-8"?>
<ds:datastoreItem xmlns:ds="http://schemas.openxmlformats.org/officeDocument/2006/customXml" ds:itemID="{76EBC727-EE58-45E5-9321-1EBCB67385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ded84e4-001b-470d-a0e6-15ddd3924142"/>
    <ds:schemaRef ds:uri="b157412b-f7d0-435c-8dc3-c57cc9ba339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F5B942EB-9ECE-4615-AC6D-67849158F7D4}">
  <ds:schemaRefs>
    <ds:schemaRef ds:uri="http://schemas.microsoft.com/sharepoint/v3/contenttype/forms"/>
  </ds:schemaRefs>
</ds:datastoreItem>
</file>

<file path=customXml/itemProps3.xml><?xml version="1.0" encoding="utf-8"?>
<ds:datastoreItem xmlns:ds="http://schemas.openxmlformats.org/officeDocument/2006/customXml" ds:itemID="{24BDD96E-CFA8-47E0-8FF4-98CB632E91B9}">
  <ds:schemaRefs>
    <ds:schemaRef ds:uri="http://schemas.microsoft.com/office/2006/metadata/properties"/>
    <ds:schemaRef ds:uri="http://schemas.microsoft.com/office/infopath/2007/PartnerControls"/>
    <ds:schemaRef ds:uri="b157412b-f7d0-435c-8dc3-c57cc9ba3390"/>
  </ds:schemaRefs>
</ds:datastoreItem>
</file>

<file path=docProps/app.xml><?xml version="1.0" encoding="utf-8"?>
<Properties xmlns="http://schemas.openxmlformats.org/officeDocument/2006/extended-properties" xmlns:vt="http://schemas.openxmlformats.org/officeDocument/2006/docPropsVTypes">
  <Template>Normal</Template>
  <TotalTime>50</TotalTime>
  <Pages>1</Pages>
  <Words>5823</Words>
  <Characters>32030</Characters>
  <Application>Microsoft Office Word</Application>
  <DocSecurity>0</DocSecurity>
  <Lines>266</Lines>
  <Paragraphs>75</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37778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cesar augusto quintero piedrahita</dc:creator>
  <cp:keywords/>
  <dc:description/>
  <cp:lastModifiedBy>Hermides Alonso Gaviria Ocampo</cp:lastModifiedBy>
  <cp:revision>260</cp:revision>
  <dcterms:created xsi:type="dcterms:W3CDTF">2021-03-04T14:07:00Z</dcterms:created>
  <dcterms:modified xsi:type="dcterms:W3CDTF">2021-04-13T15:25:00Z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0x0101000960E13D9074E745A60DDE426959B826</vt:lpwstr>
  </property>
</Properties>
</file>