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AFC" w:rsidRPr="008D1AFC" w:rsidRDefault="008D1AFC" w:rsidP="008D1AF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D1AF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D1AFC" w:rsidRPr="008D1AFC" w:rsidRDefault="008D1AFC" w:rsidP="008D1AFC">
      <w:pPr>
        <w:jc w:val="both"/>
        <w:rPr>
          <w:rFonts w:ascii="Arial" w:hAnsi="Arial" w:cs="Arial"/>
          <w:lang w:val="es-419"/>
        </w:rPr>
      </w:pPr>
    </w:p>
    <w:p w:rsidR="008D1AFC" w:rsidRPr="008D1AFC" w:rsidRDefault="008D1AFC" w:rsidP="008D1AFC">
      <w:pPr>
        <w:jc w:val="both"/>
        <w:rPr>
          <w:rFonts w:ascii="Arial" w:hAnsi="Arial" w:cs="Arial"/>
          <w:lang w:val="es-419"/>
        </w:rPr>
      </w:pPr>
      <w:r w:rsidRPr="008D1AFC">
        <w:rPr>
          <w:rFonts w:ascii="Arial" w:hAnsi="Arial" w:cs="Arial"/>
          <w:lang w:val="es-419"/>
        </w:rPr>
        <w:t>Providencia:</w:t>
      </w:r>
      <w:r>
        <w:rPr>
          <w:rFonts w:ascii="Arial" w:hAnsi="Arial" w:cs="Arial"/>
          <w:lang w:val="es-419"/>
        </w:rPr>
        <w:tab/>
      </w:r>
      <w:r w:rsidRPr="008D1AFC">
        <w:rPr>
          <w:rFonts w:ascii="Arial" w:hAnsi="Arial" w:cs="Arial"/>
          <w:lang w:val="es-419"/>
        </w:rPr>
        <w:tab/>
        <w:t>Auto de 4 de agosto de 2021</w:t>
      </w:r>
    </w:p>
    <w:p w:rsidR="008D1AFC" w:rsidRPr="008D1AFC" w:rsidRDefault="008D1AFC" w:rsidP="008D1AFC">
      <w:pPr>
        <w:jc w:val="both"/>
        <w:rPr>
          <w:rFonts w:ascii="Arial" w:hAnsi="Arial" w:cs="Arial"/>
          <w:lang w:val="es-419"/>
        </w:rPr>
      </w:pPr>
      <w:r w:rsidRPr="008D1AFC">
        <w:rPr>
          <w:rFonts w:ascii="Arial" w:hAnsi="Arial" w:cs="Arial"/>
          <w:lang w:val="es-419"/>
        </w:rPr>
        <w:t>Radicación Nro.:</w:t>
      </w:r>
      <w:r w:rsidRPr="008D1AFC">
        <w:rPr>
          <w:rFonts w:ascii="Arial" w:hAnsi="Arial" w:cs="Arial"/>
          <w:lang w:val="es-419"/>
        </w:rPr>
        <w:tab/>
        <w:t>66001310500320160002802</w:t>
      </w:r>
    </w:p>
    <w:p w:rsidR="008D1AFC" w:rsidRPr="008D1AFC" w:rsidRDefault="008D1AFC" w:rsidP="008D1AFC">
      <w:pPr>
        <w:jc w:val="both"/>
        <w:rPr>
          <w:rFonts w:ascii="Arial" w:hAnsi="Arial" w:cs="Arial"/>
          <w:lang w:val="es-419"/>
        </w:rPr>
      </w:pPr>
      <w:r w:rsidRPr="008D1AFC">
        <w:rPr>
          <w:rFonts w:ascii="Arial" w:hAnsi="Arial" w:cs="Arial"/>
          <w:lang w:val="es-419"/>
        </w:rPr>
        <w:t>Proceso:</w:t>
      </w:r>
      <w:r w:rsidRPr="008D1AFC">
        <w:rPr>
          <w:rFonts w:ascii="Arial" w:hAnsi="Arial" w:cs="Arial"/>
          <w:lang w:val="es-419"/>
        </w:rPr>
        <w:tab/>
      </w:r>
      <w:r w:rsidRPr="008D1AFC">
        <w:rPr>
          <w:rFonts w:ascii="Arial" w:hAnsi="Arial" w:cs="Arial"/>
          <w:lang w:val="es-419"/>
        </w:rPr>
        <w:tab/>
        <w:t xml:space="preserve">Ejecutivo Laboral  </w:t>
      </w:r>
    </w:p>
    <w:p w:rsidR="008D1AFC" w:rsidRPr="008D1AFC" w:rsidRDefault="008D1AFC" w:rsidP="008D1AFC">
      <w:pPr>
        <w:jc w:val="both"/>
        <w:rPr>
          <w:rFonts w:ascii="Arial" w:hAnsi="Arial" w:cs="Arial"/>
          <w:lang w:val="es-419"/>
        </w:rPr>
      </w:pPr>
      <w:r w:rsidRPr="008D1AFC">
        <w:rPr>
          <w:rFonts w:ascii="Arial" w:hAnsi="Arial" w:cs="Arial"/>
          <w:lang w:val="es-419"/>
        </w:rPr>
        <w:t>Demandante:</w:t>
      </w:r>
      <w:r w:rsidRPr="008D1AFC">
        <w:rPr>
          <w:rFonts w:ascii="Arial" w:hAnsi="Arial" w:cs="Arial"/>
          <w:lang w:val="es-419"/>
        </w:rPr>
        <w:tab/>
      </w:r>
      <w:r w:rsidRPr="008D1AFC">
        <w:rPr>
          <w:rFonts w:ascii="Arial" w:hAnsi="Arial" w:cs="Arial"/>
          <w:lang w:val="es-419"/>
        </w:rPr>
        <w:tab/>
        <w:t xml:space="preserve">Sandro Mauricio </w:t>
      </w:r>
      <w:r w:rsidR="00DF2C43" w:rsidRPr="008D1AFC">
        <w:rPr>
          <w:rFonts w:ascii="Arial" w:hAnsi="Arial" w:cs="Arial"/>
          <w:lang w:val="es-419"/>
        </w:rPr>
        <w:t>Ortiz</w:t>
      </w:r>
      <w:r w:rsidRPr="008D1AFC">
        <w:rPr>
          <w:rFonts w:ascii="Arial" w:hAnsi="Arial" w:cs="Arial"/>
          <w:lang w:val="es-419"/>
        </w:rPr>
        <w:t xml:space="preserve"> López y otros</w:t>
      </w:r>
    </w:p>
    <w:p w:rsidR="008D1AFC" w:rsidRPr="008D1AFC" w:rsidRDefault="008D1AFC" w:rsidP="008D1AFC">
      <w:pPr>
        <w:jc w:val="both"/>
        <w:rPr>
          <w:rFonts w:ascii="Arial" w:hAnsi="Arial" w:cs="Arial"/>
          <w:lang w:val="es-419"/>
        </w:rPr>
      </w:pPr>
      <w:r w:rsidRPr="008D1AFC">
        <w:rPr>
          <w:rFonts w:ascii="Arial" w:hAnsi="Arial" w:cs="Arial"/>
          <w:lang w:val="es-419"/>
        </w:rPr>
        <w:t>Demandado:</w:t>
      </w:r>
      <w:r>
        <w:rPr>
          <w:rFonts w:ascii="Arial" w:hAnsi="Arial" w:cs="Arial"/>
          <w:lang w:val="es-419"/>
        </w:rPr>
        <w:tab/>
      </w:r>
      <w:r w:rsidRPr="008D1AFC">
        <w:rPr>
          <w:rFonts w:ascii="Arial" w:hAnsi="Arial" w:cs="Arial"/>
          <w:lang w:val="es-419"/>
        </w:rPr>
        <w:tab/>
        <w:t>Megabus y otros</w:t>
      </w:r>
    </w:p>
    <w:p w:rsidR="008D1AFC" w:rsidRPr="008D1AFC" w:rsidRDefault="008D1AFC" w:rsidP="008D1AFC">
      <w:pPr>
        <w:jc w:val="both"/>
        <w:rPr>
          <w:rFonts w:ascii="Arial" w:hAnsi="Arial" w:cs="Arial"/>
          <w:lang w:val="es-419"/>
        </w:rPr>
      </w:pPr>
      <w:r w:rsidRPr="008D1AFC">
        <w:rPr>
          <w:rFonts w:ascii="Arial" w:hAnsi="Arial" w:cs="Arial"/>
          <w:lang w:val="es-419"/>
        </w:rPr>
        <w:t>Juzgado de origen:</w:t>
      </w:r>
      <w:r w:rsidRPr="008D1AFC">
        <w:rPr>
          <w:rFonts w:ascii="Arial" w:hAnsi="Arial" w:cs="Arial"/>
          <w:lang w:val="es-419"/>
        </w:rPr>
        <w:tab/>
        <w:t>Juzgado Tercero Laboral del Circuito</w:t>
      </w:r>
    </w:p>
    <w:p w:rsidR="008D1AFC" w:rsidRPr="008D1AFC" w:rsidRDefault="008D1AFC" w:rsidP="008D1AFC">
      <w:pPr>
        <w:jc w:val="both"/>
        <w:rPr>
          <w:rFonts w:ascii="Arial" w:hAnsi="Arial" w:cs="Arial"/>
          <w:lang w:val="es-419"/>
        </w:rPr>
      </w:pPr>
      <w:r w:rsidRPr="008D1AFC">
        <w:rPr>
          <w:rFonts w:ascii="Arial" w:hAnsi="Arial" w:cs="Arial"/>
          <w:lang w:val="es-419"/>
        </w:rPr>
        <w:t>Magistrado Ponente:</w:t>
      </w:r>
      <w:r w:rsidRPr="008D1AFC">
        <w:rPr>
          <w:rFonts w:ascii="Arial" w:hAnsi="Arial" w:cs="Arial"/>
          <w:lang w:val="es-419"/>
        </w:rPr>
        <w:tab/>
        <w:t>Julio César Salazar Muñoz</w:t>
      </w:r>
    </w:p>
    <w:p w:rsidR="008D1AFC" w:rsidRPr="008D1AFC" w:rsidRDefault="008D1AFC" w:rsidP="008D1AFC">
      <w:pPr>
        <w:jc w:val="both"/>
        <w:rPr>
          <w:rFonts w:ascii="Arial" w:hAnsi="Arial" w:cs="Arial"/>
          <w:lang w:val="es-419"/>
        </w:rPr>
      </w:pPr>
    </w:p>
    <w:p w:rsidR="008D1AFC" w:rsidRPr="008D1AFC" w:rsidRDefault="00DF2C43" w:rsidP="008D1AFC">
      <w:pPr>
        <w:jc w:val="both"/>
        <w:rPr>
          <w:rFonts w:ascii="Arial" w:hAnsi="Arial" w:cs="Arial"/>
          <w:b/>
          <w:bCs/>
          <w:iCs/>
          <w:lang w:val="es-419" w:eastAsia="fr-FR"/>
        </w:rPr>
      </w:pPr>
      <w:r w:rsidRPr="008D1AFC">
        <w:rPr>
          <w:rFonts w:ascii="Arial" w:hAnsi="Arial" w:cs="Arial"/>
          <w:b/>
          <w:bCs/>
          <w:iCs/>
          <w:u w:val="single"/>
          <w:lang w:val="es-419" w:eastAsia="fr-FR"/>
        </w:rPr>
        <w:t>TEMAS:</w:t>
      </w:r>
      <w:r w:rsidRPr="008D1AFC">
        <w:rPr>
          <w:rFonts w:ascii="Arial" w:hAnsi="Arial" w:cs="Arial"/>
          <w:b/>
          <w:bCs/>
          <w:iCs/>
          <w:lang w:val="es-419" w:eastAsia="fr-FR"/>
        </w:rPr>
        <w:tab/>
      </w:r>
      <w:r>
        <w:rPr>
          <w:rFonts w:ascii="Arial" w:hAnsi="Arial" w:cs="Arial"/>
          <w:b/>
          <w:bCs/>
          <w:iCs/>
          <w:lang w:val="es-419" w:eastAsia="fr-FR"/>
        </w:rPr>
        <w:t xml:space="preserve">PROCESO EJECUTIVO / CONTROL DE LEGALIDAD / MEDIDA CAUTELAR / BIENES </w:t>
      </w:r>
      <w:r>
        <w:rPr>
          <w:rFonts w:ascii="Arial" w:hAnsi="Arial" w:cs="Arial"/>
          <w:b/>
          <w:lang w:val="es-419"/>
        </w:rPr>
        <w:t>INEMBARGABLES / LOS DESTINADOS A UN SERVICIO PÚBLICO / EL TRANSPORTE LO ES / NO LO SON LAS UTILIDADES POR ACTIVIDADES EN CONCESIONES.</w:t>
      </w:r>
    </w:p>
    <w:p w:rsidR="008D1AFC" w:rsidRPr="008D1AFC" w:rsidRDefault="008D1AFC" w:rsidP="008D1AFC">
      <w:pPr>
        <w:jc w:val="both"/>
        <w:rPr>
          <w:rFonts w:ascii="Arial" w:hAnsi="Arial" w:cs="Arial"/>
          <w:lang w:val="es-419"/>
        </w:rPr>
      </w:pPr>
    </w:p>
    <w:p w:rsidR="008D1AFC" w:rsidRPr="008D1AFC" w:rsidRDefault="00792359" w:rsidP="008D1AFC">
      <w:pPr>
        <w:jc w:val="both"/>
        <w:rPr>
          <w:rFonts w:ascii="Arial" w:hAnsi="Arial" w:cs="Arial"/>
          <w:lang w:val="es-419"/>
        </w:rPr>
      </w:pPr>
      <w:r w:rsidRPr="00792359">
        <w:rPr>
          <w:rFonts w:ascii="Arial" w:hAnsi="Arial" w:cs="Arial"/>
          <w:lang w:val="es-419"/>
        </w:rPr>
        <w:t>El título III del Código General del Proceso consagra los deberes de los jueces, dentro de los que se cuenta, de manera especial y para lo que interesa a la definición del presente asunto, la obligación que le asiste de realizar el control de legalidad de la actuación procesal una vez evacuada cada fase del trámite</w:t>
      </w:r>
      <w:r>
        <w:rPr>
          <w:rFonts w:ascii="Arial" w:hAnsi="Arial" w:cs="Arial"/>
          <w:lang w:val="es-419"/>
        </w:rPr>
        <w:t>…</w:t>
      </w:r>
    </w:p>
    <w:p w:rsidR="008D1AFC" w:rsidRPr="008D1AFC" w:rsidRDefault="008D1AFC" w:rsidP="008D1AFC">
      <w:pPr>
        <w:jc w:val="both"/>
        <w:rPr>
          <w:rFonts w:ascii="Arial" w:hAnsi="Arial" w:cs="Arial"/>
          <w:lang w:val="es-419"/>
        </w:rPr>
      </w:pPr>
    </w:p>
    <w:p w:rsidR="002C08E8" w:rsidRPr="002C08E8" w:rsidRDefault="002C08E8" w:rsidP="002C08E8">
      <w:pPr>
        <w:jc w:val="both"/>
        <w:rPr>
          <w:rFonts w:ascii="Arial" w:hAnsi="Arial" w:cs="Arial"/>
          <w:lang w:val="es-419"/>
        </w:rPr>
      </w:pPr>
      <w:r w:rsidRPr="002C08E8">
        <w:rPr>
          <w:rFonts w:ascii="Arial" w:hAnsi="Arial" w:cs="Arial"/>
          <w:lang w:val="es-419"/>
        </w:rPr>
        <w:t>Dispone el artículo 594 del Código General del Proceso, que tienen tal calidad, “Los bienes destinados a un servicio público cuando éste se presente directamente por una entidad descentralizada de cualquier orden, o por medio de un concesionario de éstas”; no obstante ello, la misma norma señala la posibilidad embargar hasta la tercera parte de los ingresos brutos del respectivo servicio.</w:t>
      </w:r>
    </w:p>
    <w:p w:rsidR="002C08E8" w:rsidRPr="002C08E8" w:rsidRDefault="002C08E8" w:rsidP="002C08E8">
      <w:pPr>
        <w:jc w:val="both"/>
        <w:rPr>
          <w:rFonts w:ascii="Arial" w:hAnsi="Arial" w:cs="Arial"/>
          <w:lang w:val="es-419"/>
        </w:rPr>
      </w:pPr>
    </w:p>
    <w:p w:rsidR="008D1AFC" w:rsidRPr="008D1AFC" w:rsidRDefault="002C08E8" w:rsidP="002C08E8">
      <w:pPr>
        <w:jc w:val="both"/>
        <w:rPr>
          <w:rFonts w:ascii="Arial" w:hAnsi="Arial" w:cs="Arial"/>
          <w:lang w:val="es-419"/>
        </w:rPr>
      </w:pPr>
      <w:r w:rsidRPr="002C08E8">
        <w:rPr>
          <w:rFonts w:ascii="Arial" w:hAnsi="Arial" w:cs="Arial"/>
          <w:lang w:val="es-419"/>
        </w:rPr>
        <w:t>Es así entonces que quien persiga en acción ejecutiva a una entidad descentralizada que presta de manera directa un servicio público o a uno de sus concesionarios, debe especificar que los recursos o bienes perseguidos son producto o corresponden a la utilidad bruta del servicio público que presta la parte ejecutada</w:t>
      </w:r>
      <w:r>
        <w:rPr>
          <w:rFonts w:ascii="Arial" w:hAnsi="Arial" w:cs="Arial"/>
          <w:lang w:val="es-419"/>
        </w:rPr>
        <w:t>…</w:t>
      </w:r>
    </w:p>
    <w:p w:rsidR="008D1AFC" w:rsidRPr="008D1AFC" w:rsidRDefault="008D1AFC" w:rsidP="008D1AFC">
      <w:pPr>
        <w:jc w:val="both"/>
        <w:rPr>
          <w:rFonts w:ascii="Arial" w:hAnsi="Arial" w:cs="Arial"/>
          <w:lang w:val="es-419"/>
        </w:rPr>
      </w:pPr>
    </w:p>
    <w:p w:rsidR="008D1AFC" w:rsidRPr="008D1AFC" w:rsidRDefault="00B3576D" w:rsidP="008D1AFC">
      <w:pPr>
        <w:jc w:val="both"/>
        <w:rPr>
          <w:rFonts w:ascii="Arial" w:hAnsi="Arial" w:cs="Arial"/>
          <w:lang w:val="es-419"/>
        </w:rPr>
      </w:pPr>
      <w:r>
        <w:rPr>
          <w:rFonts w:ascii="Arial" w:hAnsi="Arial" w:cs="Arial"/>
          <w:lang w:val="es-419"/>
        </w:rPr>
        <w:t xml:space="preserve">… </w:t>
      </w:r>
      <w:r w:rsidRPr="00B3576D">
        <w:rPr>
          <w:rFonts w:ascii="Arial" w:hAnsi="Arial" w:cs="Arial"/>
          <w:lang w:val="es-419"/>
        </w:rPr>
        <w:t>cabe señalar que ningún reproche merece la actuación de la funcionaria de primer grado, pues resulta evidente que en cumplimiento de su deber, hizo el control de legalidad que le correspondía en la etapa procesal oportuna, siendo claro que el análisis de la procedencia de terminación del proceso por pago total de la obligación ameritaba el estudio juicioso del origen de los dineros aprisionados por cuenta de la prosperidad de la medida cautelar decretada</w:t>
      </w:r>
      <w:r>
        <w:rPr>
          <w:rFonts w:ascii="Arial" w:hAnsi="Arial" w:cs="Arial"/>
          <w:lang w:val="es-419"/>
        </w:rPr>
        <w:t>…</w:t>
      </w:r>
    </w:p>
    <w:p w:rsidR="008D1AFC" w:rsidRPr="008D1AFC" w:rsidRDefault="008D1AFC" w:rsidP="008D1AFC">
      <w:pPr>
        <w:jc w:val="both"/>
        <w:rPr>
          <w:rFonts w:ascii="Arial" w:hAnsi="Arial" w:cs="Arial"/>
          <w:lang w:val="es-ES"/>
        </w:rPr>
      </w:pPr>
    </w:p>
    <w:p w:rsidR="008D1AFC" w:rsidRDefault="00B4764F" w:rsidP="008D1AFC">
      <w:pPr>
        <w:jc w:val="both"/>
        <w:rPr>
          <w:rFonts w:ascii="Arial" w:hAnsi="Arial" w:cs="Arial"/>
          <w:lang w:val="es-ES"/>
        </w:rPr>
      </w:pPr>
      <w:r>
        <w:rPr>
          <w:rFonts w:ascii="Arial" w:hAnsi="Arial" w:cs="Arial"/>
          <w:lang w:val="es-ES"/>
        </w:rPr>
        <w:t xml:space="preserve">… </w:t>
      </w:r>
      <w:r w:rsidRPr="00B4764F">
        <w:rPr>
          <w:rFonts w:ascii="Arial" w:hAnsi="Arial" w:cs="Arial"/>
          <w:lang w:val="es-ES"/>
        </w:rPr>
        <w:t>ninguna discusión ofrece la calidad de servicio público que ostenta el transporte, de allí que no vea la Sala en la necesidad de determinar si se trata de un servicio esencial o no, como tampoco de establecer si los recursos aprisionados tienen origen en la prestación de dicho servicio, pues tanto el juzgado como el quejoso coinciden de manera positiva en ese punto específico.</w:t>
      </w:r>
      <w:r w:rsidR="0081489C">
        <w:rPr>
          <w:rFonts w:ascii="Arial" w:hAnsi="Arial" w:cs="Arial"/>
          <w:lang w:val="es-ES"/>
        </w:rPr>
        <w:t xml:space="preserve"> (…)</w:t>
      </w:r>
    </w:p>
    <w:p w:rsidR="0081489C" w:rsidRDefault="0081489C" w:rsidP="008D1AFC">
      <w:pPr>
        <w:jc w:val="both"/>
        <w:rPr>
          <w:rFonts w:ascii="Arial" w:hAnsi="Arial" w:cs="Arial"/>
          <w:lang w:val="es-ES"/>
        </w:rPr>
      </w:pPr>
    </w:p>
    <w:p w:rsidR="0081489C" w:rsidRDefault="0081489C" w:rsidP="008D1AFC">
      <w:pPr>
        <w:jc w:val="both"/>
        <w:rPr>
          <w:rFonts w:ascii="Arial" w:hAnsi="Arial" w:cs="Arial"/>
          <w:lang w:val="es-ES"/>
        </w:rPr>
      </w:pPr>
      <w:r>
        <w:rPr>
          <w:rFonts w:ascii="Arial" w:hAnsi="Arial" w:cs="Arial"/>
          <w:lang w:val="es-ES"/>
        </w:rPr>
        <w:t xml:space="preserve">… </w:t>
      </w:r>
      <w:r w:rsidRPr="0081489C">
        <w:rPr>
          <w:rFonts w:ascii="Arial" w:hAnsi="Arial" w:cs="Arial"/>
          <w:lang w:val="es-ES"/>
        </w:rPr>
        <w:t>los dineros puestos a disposición del juzgado no corresponden a bienes o ingresos propios del servicio público de transporte masivo -que es lo que prohíbe la norma embargar-, sino a las utilidades o participaciones que por su actividad en la concesión tenía la ejecutada en el contrato de fiducia establecido para la administración de los ingresos del sistema. De manera tal que con su embargo no se afecta el servicio público de interés general que protege la ley sino que va dirigido a los beneficios netos del concesionario.</w:t>
      </w:r>
    </w:p>
    <w:p w:rsidR="00B4764F" w:rsidRDefault="0081489C" w:rsidP="008D1AFC">
      <w:pPr>
        <w:jc w:val="both"/>
        <w:rPr>
          <w:rFonts w:ascii="Arial" w:hAnsi="Arial" w:cs="Arial"/>
          <w:lang w:val="es-ES"/>
        </w:rPr>
      </w:pPr>
      <w:r>
        <w:rPr>
          <w:rFonts w:ascii="Arial" w:hAnsi="Arial" w:cs="Arial"/>
          <w:lang w:val="es-ES"/>
        </w:rPr>
        <w:t xml:space="preserve">  </w:t>
      </w:r>
    </w:p>
    <w:p w:rsidR="00B4764F" w:rsidRPr="008D1AFC" w:rsidRDefault="00B4764F" w:rsidP="008D1AFC">
      <w:pPr>
        <w:jc w:val="both"/>
        <w:rPr>
          <w:rFonts w:ascii="Arial" w:hAnsi="Arial" w:cs="Arial"/>
          <w:lang w:val="es-ES"/>
        </w:rPr>
      </w:pPr>
    </w:p>
    <w:p w:rsidR="008D1AFC" w:rsidRPr="008D1AFC" w:rsidRDefault="008D1AFC" w:rsidP="008D1AFC">
      <w:pPr>
        <w:jc w:val="both"/>
        <w:rPr>
          <w:rFonts w:ascii="Arial" w:hAnsi="Arial" w:cs="Arial"/>
          <w:lang w:val="es-ES"/>
        </w:rPr>
      </w:pPr>
    </w:p>
    <w:bookmarkEnd w:id="0"/>
    <w:p w:rsidR="00BD4A65" w:rsidRPr="008D1AFC" w:rsidRDefault="00BD4A65" w:rsidP="008D1AFC">
      <w:pPr>
        <w:pStyle w:val="Ttulo2"/>
        <w:spacing w:line="276" w:lineRule="auto"/>
        <w:jc w:val="center"/>
        <w:rPr>
          <w:rFonts w:cs="Arial"/>
          <w:szCs w:val="24"/>
        </w:rPr>
      </w:pPr>
      <w:r w:rsidRPr="008D1AFC">
        <w:rPr>
          <w:rFonts w:cs="Arial"/>
          <w:szCs w:val="24"/>
        </w:rPr>
        <w:t>TRIBUNAL SUPERIOR DEL DISTRITO JUDICIAL</w:t>
      </w:r>
    </w:p>
    <w:p w:rsidR="00BD4A65" w:rsidRPr="008D1AFC" w:rsidRDefault="00BD4A65" w:rsidP="008D1AFC">
      <w:pPr>
        <w:spacing w:line="276" w:lineRule="auto"/>
        <w:jc w:val="center"/>
        <w:rPr>
          <w:rFonts w:ascii="Arial" w:hAnsi="Arial" w:cs="Arial"/>
          <w:b/>
          <w:sz w:val="24"/>
          <w:szCs w:val="24"/>
        </w:rPr>
      </w:pPr>
      <w:r w:rsidRPr="008D1AFC">
        <w:rPr>
          <w:rFonts w:ascii="Arial" w:hAnsi="Arial" w:cs="Arial"/>
          <w:b/>
          <w:sz w:val="24"/>
          <w:szCs w:val="24"/>
        </w:rPr>
        <w:t>SALA LABORAL</w:t>
      </w:r>
    </w:p>
    <w:p w:rsidR="00BD4A65" w:rsidRPr="008D1AFC" w:rsidRDefault="00BD4A65" w:rsidP="008D1AFC">
      <w:pPr>
        <w:spacing w:line="276" w:lineRule="auto"/>
        <w:jc w:val="center"/>
        <w:rPr>
          <w:rFonts w:ascii="Arial" w:hAnsi="Arial" w:cs="Arial"/>
          <w:b/>
          <w:sz w:val="24"/>
          <w:szCs w:val="24"/>
        </w:rPr>
      </w:pPr>
      <w:r w:rsidRPr="008D1AFC">
        <w:rPr>
          <w:rFonts w:ascii="Arial" w:hAnsi="Arial" w:cs="Arial"/>
          <w:b/>
          <w:sz w:val="24"/>
          <w:szCs w:val="24"/>
        </w:rPr>
        <w:t>MAGISTRADO PONENTE: JULIO CÉSAR SALAZAR MUÑOZ</w:t>
      </w:r>
    </w:p>
    <w:p w:rsidR="00BD4A65" w:rsidRPr="008D1AFC" w:rsidRDefault="00BD4A65" w:rsidP="008D1AFC">
      <w:pPr>
        <w:spacing w:line="276" w:lineRule="auto"/>
        <w:jc w:val="center"/>
        <w:rPr>
          <w:rFonts w:ascii="Arial" w:hAnsi="Arial" w:cs="Arial"/>
          <w:b/>
          <w:sz w:val="24"/>
          <w:szCs w:val="24"/>
        </w:rPr>
      </w:pPr>
    </w:p>
    <w:p w:rsidR="00BD4A65" w:rsidRPr="008D1AFC" w:rsidRDefault="00BD4A65" w:rsidP="008D1AFC">
      <w:pPr>
        <w:spacing w:line="276" w:lineRule="auto"/>
        <w:jc w:val="center"/>
        <w:rPr>
          <w:rFonts w:ascii="Arial" w:hAnsi="Arial" w:cs="Arial"/>
          <w:sz w:val="24"/>
          <w:szCs w:val="24"/>
        </w:rPr>
      </w:pPr>
      <w:r w:rsidRPr="008D1AFC">
        <w:rPr>
          <w:rFonts w:ascii="Arial" w:hAnsi="Arial" w:cs="Arial"/>
          <w:sz w:val="24"/>
          <w:szCs w:val="24"/>
        </w:rPr>
        <w:t xml:space="preserve">Pereira, </w:t>
      </w:r>
      <w:r w:rsidR="284D053E" w:rsidRPr="008D1AFC">
        <w:rPr>
          <w:rFonts w:ascii="Arial" w:hAnsi="Arial" w:cs="Arial"/>
          <w:sz w:val="24"/>
          <w:szCs w:val="24"/>
        </w:rPr>
        <w:t>cuatro de agosto</w:t>
      </w:r>
      <w:r w:rsidRPr="008D1AFC">
        <w:rPr>
          <w:rFonts w:ascii="Arial" w:hAnsi="Arial" w:cs="Arial"/>
          <w:sz w:val="24"/>
          <w:szCs w:val="24"/>
        </w:rPr>
        <w:t xml:space="preserve"> de dos mil veintiuno </w:t>
      </w:r>
    </w:p>
    <w:p w:rsidR="00BD4A65" w:rsidRPr="008D1AFC" w:rsidRDefault="00BD4A65" w:rsidP="008D1AFC">
      <w:pPr>
        <w:tabs>
          <w:tab w:val="center" w:pos="4420"/>
          <w:tab w:val="left" w:pos="7873"/>
        </w:tabs>
        <w:spacing w:line="276" w:lineRule="auto"/>
        <w:jc w:val="center"/>
        <w:rPr>
          <w:rFonts w:ascii="Arial" w:hAnsi="Arial" w:cs="Arial"/>
          <w:sz w:val="24"/>
          <w:szCs w:val="24"/>
        </w:rPr>
      </w:pPr>
      <w:r w:rsidRPr="008D1AFC">
        <w:rPr>
          <w:rFonts w:ascii="Arial" w:hAnsi="Arial" w:cs="Arial"/>
          <w:sz w:val="24"/>
          <w:szCs w:val="24"/>
        </w:rPr>
        <w:t xml:space="preserve">Acta </w:t>
      </w:r>
      <w:r w:rsidR="008D1AFC" w:rsidRPr="008D1AFC">
        <w:rPr>
          <w:rFonts w:ascii="Arial" w:hAnsi="Arial" w:cs="Arial"/>
          <w:sz w:val="24"/>
          <w:szCs w:val="24"/>
        </w:rPr>
        <w:t>número 122</w:t>
      </w:r>
      <w:r w:rsidRPr="008D1AFC">
        <w:rPr>
          <w:rFonts w:ascii="Arial" w:hAnsi="Arial" w:cs="Arial"/>
          <w:sz w:val="24"/>
          <w:szCs w:val="24"/>
        </w:rPr>
        <w:t xml:space="preserve"> de</w:t>
      </w:r>
      <w:r w:rsidR="252864EA" w:rsidRPr="008D1AFC">
        <w:rPr>
          <w:rFonts w:ascii="Arial" w:hAnsi="Arial" w:cs="Arial"/>
          <w:sz w:val="24"/>
          <w:szCs w:val="24"/>
        </w:rPr>
        <w:t xml:space="preserve"> 2</w:t>
      </w:r>
      <w:r w:rsidRPr="008D1AFC">
        <w:rPr>
          <w:rFonts w:ascii="Arial" w:hAnsi="Arial" w:cs="Arial"/>
          <w:sz w:val="24"/>
          <w:szCs w:val="24"/>
        </w:rPr>
        <w:t xml:space="preserve"> de </w:t>
      </w:r>
      <w:r w:rsidR="4CB53240" w:rsidRPr="008D1AFC">
        <w:rPr>
          <w:rFonts w:ascii="Arial" w:hAnsi="Arial" w:cs="Arial"/>
          <w:sz w:val="24"/>
          <w:szCs w:val="24"/>
        </w:rPr>
        <w:t>ag</w:t>
      </w:r>
      <w:r w:rsidRPr="008D1AFC">
        <w:rPr>
          <w:rFonts w:ascii="Arial" w:hAnsi="Arial" w:cs="Arial"/>
          <w:sz w:val="24"/>
          <w:szCs w:val="24"/>
        </w:rPr>
        <w:t>o</w:t>
      </w:r>
      <w:r w:rsidR="4CB53240" w:rsidRPr="008D1AFC">
        <w:rPr>
          <w:rFonts w:ascii="Arial" w:hAnsi="Arial" w:cs="Arial"/>
          <w:sz w:val="24"/>
          <w:szCs w:val="24"/>
        </w:rPr>
        <w:t>sto</w:t>
      </w:r>
      <w:r w:rsidRPr="008D1AFC">
        <w:rPr>
          <w:rFonts w:ascii="Arial" w:hAnsi="Arial" w:cs="Arial"/>
          <w:sz w:val="24"/>
          <w:szCs w:val="24"/>
        </w:rPr>
        <w:t xml:space="preserve"> de 2021</w:t>
      </w:r>
    </w:p>
    <w:p w:rsidR="00BD4A65" w:rsidRPr="008D1AFC" w:rsidRDefault="00BD4A65" w:rsidP="008D1AFC">
      <w:pPr>
        <w:spacing w:line="276" w:lineRule="auto"/>
        <w:jc w:val="both"/>
        <w:rPr>
          <w:rFonts w:ascii="Arial" w:hAnsi="Arial" w:cs="Arial"/>
          <w:sz w:val="24"/>
          <w:szCs w:val="24"/>
        </w:rPr>
      </w:pPr>
    </w:p>
    <w:p w:rsidR="00BD4A65" w:rsidRPr="008D1AFC" w:rsidRDefault="00BD4A65" w:rsidP="008D1AFC">
      <w:pPr>
        <w:spacing w:line="276" w:lineRule="auto"/>
        <w:jc w:val="both"/>
        <w:rPr>
          <w:rFonts w:ascii="Arial" w:hAnsi="Arial" w:cs="Arial"/>
          <w:sz w:val="24"/>
          <w:szCs w:val="24"/>
        </w:rPr>
      </w:pPr>
      <w:r w:rsidRPr="008D1AFC">
        <w:rPr>
          <w:rFonts w:ascii="Arial" w:hAnsi="Arial" w:cs="Arial"/>
          <w:sz w:val="24"/>
          <w:szCs w:val="24"/>
        </w:rPr>
        <w:t xml:space="preserve">Procede la Sala de Decisión Laboral del Tribunal Superior del Distrito Judicial de Pereira a desatar el recurso de apelación presentado por </w:t>
      </w:r>
      <w:r w:rsidR="55557372" w:rsidRPr="008D1AFC">
        <w:rPr>
          <w:rFonts w:ascii="Arial" w:hAnsi="Arial" w:cs="Arial"/>
          <w:sz w:val="24"/>
          <w:szCs w:val="24"/>
        </w:rPr>
        <w:t>los</w:t>
      </w:r>
      <w:r w:rsidRPr="008D1AFC">
        <w:rPr>
          <w:rFonts w:ascii="Arial" w:hAnsi="Arial" w:cs="Arial"/>
          <w:sz w:val="24"/>
          <w:szCs w:val="24"/>
        </w:rPr>
        <w:t xml:space="preserve"> señor</w:t>
      </w:r>
      <w:r w:rsidR="291D8622" w:rsidRPr="008D1AFC">
        <w:rPr>
          <w:rFonts w:ascii="Arial" w:hAnsi="Arial" w:cs="Arial"/>
          <w:sz w:val="24"/>
          <w:szCs w:val="24"/>
        </w:rPr>
        <w:t>es</w:t>
      </w:r>
      <w:r w:rsidRPr="008D1AFC">
        <w:rPr>
          <w:rFonts w:ascii="Arial" w:hAnsi="Arial" w:cs="Arial"/>
          <w:sz w:val="24"/>
          <w:szCs w:val="24"/>
        </w:rPr>
        <w:t xml:space="preserve"> </w:t>
      </w:r>
      <w:r w:rsidR="00DF2C43" w:rsidRPr="008D1AFC">
        <w:rPr>
          <w:rFonts w:ascii="Arial" w:hAnsi="Arial" w:cs="Arial"/>
          <w:b/>
          <w:bCs/>
          <w:sz w:val="24"/>
          <w:szCs w:val="24"/>
        </w:rPr>
        <w:t xml:space="preserve">SANDRO MAURICIO ORTÍZ LÓPEZ, JORGE ALEJANDRO DUQUE TORO, MAURICIO VALDERRAMA MARTÍNEZ, FERNANDO ARIAS RICO, ÁLVARO DE JESÚS </w:t>
      </w:r>
      <w:r w:rsidR="00DF2C43" w:rsidRPr="008D1AFC">
        <w:rPr>
          <w:rFonts w:ascii="Arial" w:hAnsi="Arial" w:cs="Arial"/>
          <w:b/>
          <w:bCs/>
          <w:sz w:val="24"/>
          <w:szCs w:val="24"/>
        </w:rPr>
        <w:lastRenderedPageBreak/>
        <w:t xml:space="preserve">CANO TOBÓN, LUIS FERNANDO PELÁEZ MURILLO, NORBEY LÓPEZ OSPINA, JULIO CÉSAR RESTREPO PACHECO, JHON FREDY SEPÚLVEDA LONDOÑO, YHON CÉSAR TORO GÓMEZ, FRANCISCO JAVIER FRANCO MURILLO, LUIS RICARDO MARÍN RESTREPO, </w:t>
      </w:r>
      <w:r w:rsidR="00DA6C90" w:rsidRPr="008D1AFC">
        <w:rPr>
          <w:rFonts w:ascii="Arial" w:hAnsi="Arial" w:cs="Arial"/>
          <w:b/>
          <w:bCs/>
          <w:sz w:val="24"/>
          <w:szCs w:val="24"/>
        </w:rPr>
        <w:t xml:space="preserve">DIEGO ALEJANDRO AGUDELO </w:t>
      </w:r>
      <w:r w:rsidR="00DF2C43" w:rsidRPr="008D1AFC">
        <w:rPr>
          <w:rFonts w:ascii="Arial" w:hAnsi="Arial" w:cs="Arial"/>
          <w:b/>
          <w:bCs/>
          <w:sz w:val="24"/>
          <w:szCs w:val="24"/>
        </w:rPr>
        <w:t xml:space="preserve">y </w:t>
      </w:r>
      <w:r w:rsidR="00DA6C90" w:rsidRPr="008D1AFC">
        <w:rPr>
          <w:rFonts w:ascii="Arial" w:hAnsi="Arial" w:cs="Arial"/>
          <w:b/>
          <w:bCs/>
          <w:sz w:val="24"/>
          <w:szCs w:val="24"/>
        </w:rPr>
        <w:t>RICHARD CASTILLO SERNA</w:t>
      </w:r>
      <w:r w:rsidR="00DA6C90" w:rsidRPr="008D1AFC">
        <w:rPr>
          <w:rFonts w:ascii="Arial" w:hAnsi="Arial" w:cs="Arial"/>
          <w:sz w:val="24"/>
          <w:szCs w:val="24"/>
        </w:rPr>
        <w:t xml:space="preserve"> </w:t>
      </w:r>
      <w:r w:rsidRPr="008D1AFC">
        <w:rPr>
          <w:rFonts w:ascii="Arial" w:hAnsi="Arial" w:cs="Arial"/>
          <w:sz w:val="24"/>
          <w:szCs w:val="24"/>
        </w:rPr>
        <w:t>contra el auto proferido por el Juzgado Tercero Laboral del Circuito el día 5 de febrero de 2020 dentro del proceso ejecutivo que adelanta en contra de Megabus S.A. y la Sociedad Sistema Integrado de Transporte S.A - SI 99.</w:t>
      </w:r>
    </w:p>
    <w:p w:rsidR="00BD4A65" w:rsidRPr="008D1AFC" w:rsidRDefault="00BD4A65" w:rsidP="008D1AFC">
      <w:pPr>
        <w:tabs>
          <w:tab w:val="left" w:pos="-720"/>
        </w:tabs>
        <w:suppressAutoHyphens/>
        <w:spacing w:line="276" w:lineRule="auto"/>
        <w:jc w:val="both"/>
        <w:rPr>
          <w:rFonts w:ascii="Arial" w:hAnsi="Arial" w:cs="Arial"/>
          <w:sz w:val="24"/>
          <w:szCs w:val="24"/>
        </w:rPr>
      </w:pPr>
    </w:p>
    <w:p w:rsidR="00BD4A65" w:rsidRPr="008D1AFC" w:rsidRDefault="00BD4A65" w:rsidP="008D1AFC">
      <w:pPr>
        <w:tabs>
          <w:tab w:val="left" w:pos="-720"/>
        </w:tabs>
        <w:suppressAutoHyphens/>
        <w:spacing w:line="276" w:lineRule="auto"/>
        <w:jc w:val="both"/>
        <w:rPr>
          <w:rFonts w:ascii="Arial" w:hAnsi="Arial" w:cs="Arial"/>
          <w:sz w:val="24"/>
          <w:szCs w:val="24"/>
        </w:rPr>
      </w:pPr>
      <w:r w:rsidRPr="008D1AFC">
        <w:rPr>
          <w:rFonts w:ascii="Arial" w:hAnsi="Arial" w:cs="Arial"/>
          <w:sz w:val="24"/>
          <w:szCs w:val="24"/>
        </w:rPr>
        <w:t>Previamente se revisó, discutió y aprobó el proyecto elaborado por el Magistrado ponente que corresponde a los siguientes,</w:t>
      </w:r>
    </w:p>
    <w:p w:rsidR="00BD4A65" w:rsidRPr="008D1AFC" w:rsidRDefault="00BD4A65" w:rsidP="008D1AFC">
      <w:pPr>
        <w:pStyle w:val="Ttulo4"/>
        <w:tabs>
          <w:tab w:val="left" w:pos="3315"/>
        </w:tabs>
        <w:spacing w:line="276" w:lineRule="auto"/>
        <w:jc w:val="left"/>
        <w:rPr>
          <w:rFonts w:cs="Arial"/>
          <w:b/>
          <w:sz w:val="24"/>
          <w:szCs w:val="24"/>
        </w:rPr>
      </w:pPr>
      <w:r w:rsidRPr="008D1AFC">
        <w:rPr>
          <w:rFonts w:cs="Arial"/>
          <w:b/>
          <w:sz w:val="24"/>
          <w:szCs w:val="24"/>
        </w:rPr>
        <w:tab/>
      </w:r>
    </w:p>
    <w:p w:rsidR="00BD4A65" w:rsidRPr="008D1AFC" w:rsidRDefault="00BD4A65" w:rsidP="008D1AFC">
      <w:pPr>
        <w:pStyle w:val="Ttulo4"/>
        <w:spacing w:line="276" w:lineRule="auto"/>
        <w:rPr>
          <w:rFonts w:cs="Arial"/>
          <w:b/>
          <w:sz w:val="24"/>
          <w:szCs w:val="24"/>
        </w:rPr>
      </w:pPr>
      <w:r w:rsidRPr="008D1AFC">
        <w:rPr>
          <w:rFonts w:cs="Arial"/>
          <w:b/>
          <w:sz w:val="24"/>
          <w:szCs w:val="24"/>
        </w:rPr>
        <w:t>ANTECEDENTES</w:t>
      </w:r>
    </w:p>
    <w:p w:rsidR="00BD4A65" w:rsidRPr="008D1AFC" w:rsidRDefault="00BD4A65" w:rsidP="008D1AFC">
      <w:pPr>
        <w:spacing w:line="276" w:lineRule="auto"/>
        <w:jc w:val="both"/>
        <w:rPr>
          <w:rFonts w:ascii="Arial" w:hAnsi="Arial" w:cs="Arial"/>
          <w:bCs/>
          <w:sz w:val="24"/>
          <w:szCs w:val="24"/>
        </w:rPr>
      </w:pPr>
    </w:p>
    <w:p w:rsidR="00BD4A65" w:rsidRPr="008D1AFC" w:rsidRDefault="00BD4A65" w:rsidP="008D1AFC">
      <w:pPr>
        <w:spacing w:line="276" w:lineRule="auto"/>
        <w:ind w:right="51"/>
        <w:jc w:val="both"/>
        <w:rPr>
          <w:rFonts w:ascii="Arial" w:hAnsi="Arial" w:cs="Arial"/>
          <w:sz w:val="24"/>
          <w:szCs w:val="24"/>
        </w:rPr>
      </w:pPr>
      <w:r w:rsidRPr="008D1AFC">
        <w:rPr>
          <w:rFonts w:ascii="Arial" w:hAnsi="Arial" w:cs="Arial"/>
          <w:sz w:val="24"/>
          <w:szCs w:val="24"/>
        </w:rPr>
        <w:t xml:space="preserve">Luego de obtener sentencia favorable a sus intereses, los arriba demandantes iniciaron acción ejecutiva en contra de Megabus S.A. Liberty Seguros S.A. y López Bedoya &amp; </w:t>
      </w:r>
      <w:r w:rsidR="008D1AFC" w:rsidRPr="008D1AFC">
        <w:rPr>
          <w:rFonts w:ascii="Arial" w:hAnsi="Arial" w:cs="Arial"/>
          <w:sz w:val="24"/>
          <w:szCs w:val="24"/>
        </w:rPr>
        <w:t>Cía.</w:t>
      </w:r>
      <w:r w:rsidRPr="008D1AFC">
        <w:rPr>
          <w:rFonts w:ascii="Arial" w:hAnsi="Arial" w:cs="Arial"/>
          <w:sz w:val="24"/>
          <w:szCs w:val="24"/>
        </w:rPr>
        <w:t xml:space="preserve"> S. en C., para obtener el pago de la totalidad de las condenas impuesta a su favor mediante sentencia de fecha 15 de mayo de 2017, modificada en segunda instancia e</w:t>
      </w:r>
      <w:r w:rsidR="37C42B03" w:rsidRPr="008D1AFC">
        <w:rPr>
          <w:rFonts w:ascii="Arial" w:hAnsi="Arial" w:cs="Arial"/>
          <w:sz w:val="24"/>
          <w:szCs w:val="24"/>
        </w:rPr>
        <w:t>l</w:t>
      </w:r>
      <w:r w:rsidRPr="008D1AFC">
        <w:rPr>
          <w:rFonts w:ascii="Arial" w:hAnsi="Arial" w:cs="Arial"/>
          <w:sz w:val="24"/>
          <w:szCs w:val="24"/>
        </w:rPr>
        <w:t xml:space="preserve"> 28 de febrero de 2018.</w:t>
      </w:r>
    </w:p>
    <w:p w:rsidR="00BD4A65" w:rsidRPr="008D1AFC" w:rsidRDefault="00BD4A65" w:rsidP="008D1AFC">
      <w:pPr>
        <w:spacing w:line="276" w:lineRule="auto"/>
        <w:ind w:right="51"/>
        <w:jc w:val="both"/>
        <w:rPr>
          <w:rFonts w:ascii="Arial" w:hAnsi="Arial" w:cs="Arial"/>
          <w:sz w:val="24"/>
          <w:szCs w:val="24"/>
        </w:rPr>
      </w:pPr>
    </w:p>
    <w:p w:rsidR="00BD4A65" w:rsidRPr="008D1AFC" w:rsidRDefault="00BD4A65" w:rsidP="008D1AFC">
      <w:pPr>
        <w:spacing w:line="276" w:lineRule="auto"/>
        <w:ind w:right="51"/>
        <w:jc w:val="both"/>
        <w:rPr>
          <w:rFonts w:ascii="Arial" w:hAnsi="Arial" w:cs="Arial"/>
          <w:sz w:val="24"/>
          <w:szCs w:val="24"/>
        </w:rPr>
      </w:pPr>
      <w:r w:rsidRPr="008D1AFC">
        <w:rPr>
          <w:rFonts w:ascii="Arial" w:hAnsi="Arial" w:cs="Arial"/>
          <w:sz w:val="24"/>
          <w:szCs w:val="24"/>
        </w:rPr>
        <w:t xml:space="preserve">En providencia de fecha 21 de enero de 2019 el Juzgado Tercero Laboral del Circuito de Pereira, libró mandamiento de pago a favor de los trabajadores y en contra de Megabus S.A., López Bedoya Asociados &amp; </w:t>
      </w:r>
      <w:r w:rsidR="006E6B9D" w:rsidRPr="008D1AFC">
        <w:rPr>
          <w:rFonts w:ascii="Arial" w:hAnsi="Arial" w:cs="Arial"/>
          <w:sz w:val="24"/>
          <w:szCs w:val="24"/>
        </w:rPr>
        <w:t>Cía.</w:t>
      </w:r>
      <w:r w:rsidRPr="008D1AFC">
        <w:rPr>
          <w:rFonts w:ascii="Arial" w:hAnsi="Arial" w:cs="Arial"/>
          <w:sz w:val="24"/>
          <w:szCs w:val="24"/>
        </w:rPr>
        <w:t xml:space="preserve"> S. en C., SI 99 S.A. y Liberty Seguros S.A. y decretó como medida cautelar el embargo de remanentes dentro del proceso ejecutivo laboral de Luis Germán Palacios contra Megabus S.A.</w:t>
      </w:r>
    </w:p>
    <w:p w:rsidR="00BD4A65" w:rsidRPr="008D1AFC" w:rsidRDefault="00BD4A65" w:rsidP="008D1AFC">
      <w:pPr>
        <w:spacing w:line="276" w:lineRule="auto"/>
        <w:ind w:right="51"/>
        <w:jc w:val="both"/>
        <w:rPr>
          <w:rFonts w:ascii="Arial" w:hAnsi="Arial" w:cs="Arial"/>
          <w:sz w:val="24"/>
          <w:szCs w:val="24"/>
        </w:rPr>
      </w:pPr>
    </w:p>
    <w:p w:rsidR="00BD4A65" w:rsidRPr="008D1AFC" w:rsidRDefault="00BD4A65" w:rsidP="008D1AFC">
      <w:pPr>
        <w:spacing w:line="276" w:lineRule="auto"/>
        <w:ind w:right="51"/>
        <w:jc w:val="both"/>
        <w:rPr>
          <w:rFonts w:ascii="Arial" w:hAnsi="Arial" w:cs="Arial"/>
          <w:sz w:val="24"/>
          <w:szCs w:val="24"/>
        </w:rPr>
      </w:pPr>
      <w:r w:rsidRPr="008D1AFC">
        <w:rPr>
          <w:rFonts w:ascii="Arial" w:hAnsi="Arial" w:cs="Arial"/>
          <w:sz w:val="24"/>
          <w:szCs w:val="24"/>
        </w:rPr>
        <w:t>Posteriormente, la parte ejecutante solicitó el embargo de los dineros que le corresponda</w:t>
      </w:r>
      <w:r w:rsidR="52FE1CD2" w:rsidRPr="008D1AFC">
        <w:rPr>
          <w:rFonts w:ascii="Arial" w:hAnsi="Arial" w:cs="Arial"/>
          <w:sz w:val="24"/>
          <w:szCs w:val="24"/>
        </w:rPr>
        <w:t>n</w:t>
      </w:r>
      <w:r w:rsidRPr="008D1AFC">
        <w:rPr>
          <w:rFonts w:ascii="Arial" w:hAnsi="Arial" w:cs="Arial"/>
          <w:sz w:val="24"/>
          <w:szCs w:val="24"/>
        </w:rPr>
        <w:t xml:space="preserve"> a la Sociedad SI 99 S.A. por concepto de la ejecución del contrato 001 de 2000 firmado entre dicha sociedad y Transmilenio S.A.  y el embargo de los dineros o derechos económicos que tenga la misma ejecutada en calidad de Fideicomitente y/o beneficiaria del fideicomiso en la sociedad Fiduciaria </w:t>
      </w:r>
      <w:proofErr w:type="spellStart"/>
      <w:r w:rsidRPr="008D1AFC">
        <w:rPr>
          <w:rFonts w:ascii="Arial" w:hAnsi="Arial" w:cs="Arial"/>
          <w:sz w:val="24"/>
          <w:szCs w:val="24"/>
        </w:rPr>
        <w:t>Servitrus</w:t>
      </w:r>
      <w:proofErr w:type="spellEnd"/>
      <w:r w:rsidRPr="008D1AFC">
        <w:rPr>
          <w:rFonts w:ascii="Arial" w:hAnsi="Arial" w:cs="Arial"/>
          <w:sz w:val="24"/>
          <w:szCs w:val="24"/>
        </w:rPr>
        <w:t xml:space="preserve"> GNB Sudameris S.A.; peticiones ambas que fueron atendidas de manera favorable mediante auto de fecha 30 de abril de 2019.</w:t>
      </w:r>
    </w:p>
    <w:p w:rsidR="00BD4A65" w:rsidRPr="008D1AFC" w:rsidRDefault="00BD4A65" w:rsidP="008D1AFC">
      <w:pPr>
        <w:spacing w:line="276" w:lineRule="auto"/>
        <w:ind w:right="51"/>
        <w:jc w:val="both"/>
        <w:rPr>
          <w:rFonts w:ascii="Arial" w:hAnsi="Arial" w:cs="Arial"/>
          <w:sz w:val="24"/>
          <w:szCs w:val="24"/>
        </w:rPr>
      </w:pPr>
    </w:p>
    <w:p w:rsidR="00BD4A65" w:rsidRPr="008D1AFC" w:rsidRDefault="00BD4A65" w:rsidP="008D1AFC">
      <w:pPr>
        <w:spacing w:line="276" w:lineRule="auto"/>
        <w:ind w:right="51"/>
        <w:jc w:val="both"/>
        <w:rPr>
          <w:rFonts w:ascii="Arial" w:hAnsi="Arial" w:cs="Arial"/>
          <w:sz w:val="24"/>
          <w:szCs w:val="24"/>
        </w:rPr>
      </w:pPr>
      <w:r w:rsidRPr="008D1AFC">
        <w:rPr>
          <w:rFonts w:ascii="Arial" w:hAnsi="Arial" w:cs="Arial"/>
          <w:sz w:val="24"/>
          <w:szCs w:val="24"/>
        </w:rPr>
        <w:t>En providencia adiada 4 de junio de 2019, fue desvinculad</w:t>
      </w:r>
      <w:r w:rsidR="1F7C31E8" w:rsidRPr="008D1AFC">
        <w:rPr>
          <w:rFonts w:ascii="Arial" w:hAnsi="Arial" w:cs="Arial"/>
          <w:sz w:val="24"/>
          <w:szCs w:val="24"/>
        </w:rPr>
        <w:t>a</w:t>
      </w:r>
      <w:r w:rsidRPr="008D1AFC">
        <w:rPr>
          <w:rFonts w:ascii="Arial" w:hAnsi="Arial" w:cs="Arial"/>
          <w:sz w:val="24"/>
          <w:szCs w:val="24"/>
        </w:rPr>
        <w:t xml:space="preserve"> de la litis Liberty Seguros S.A., al </w:t>
      </w:r>
      <w:r w:rsidR="25E2C84C" w:rsidRPr="008D1AFC">
        <w:rPr>
          <w:rFonts w:ascii="Arial" w:hAnsi="Arial" w:cs="Arial"/>
          <w:sz w:val="24"/>
          <w:szCs w:val="24"/>
        </w:rPr>
        <w:t>concluir por</w:t>
      </w:r>
      <w:r w:rsidRPr="008D1AFC">
        <w:rPr>
          <w:rFonts w:ascii="Arial" w:hAnsi="Arial" w:cs="Arial"/>
          <w:sz w:val="24"/>
          <w:szCs w:val="24"/>
        </w:rPr>
        <w:t xml:space="preserve"> el </w:t>
      </w:r>
      <w:r w:rsidR="6A6A11BF" w:rsidRPr="008D1AFC">
        <w:rPr>
          <w:rFonts w:ascii="Arial" w:hAnsi="Arial" w:cs="Arial"/>
          <w:sz w:val="24"/>
          <w:szCs w:val="24"/>
        </w:rPr>
        <w:t xml:space="preserve">análisis del </w:t>
      </w:r>
      <w:r w:rsidRPr="008D1AFC">
        <w:rPr>
          <w:rFonts w:ascii="Arial" w:hAnsi="Arial" w:cs="Arial"/>
          <w:sz w:val="24"/>
          <w:szCs w:val="24"/>
        </w:rPr>
        <w:t xml:space="preserve">recurso de reposición formulado contra el auto que libró mandamiento de pago, que ninguna obligación le fue impuesta </w:t>
      </w:r>
      <w:r w:rsidR="008D1AFC" w:rsidRPr="008D1AFC">
        <w:rPr>
          <w:rFonts w:ascii="Arial" w:hAnsi="Arial" w:cs="Arial"/>
          <w:sz w:val="24"/>
          <w:szCs w:val="24"/>
        </w:rPr>
        <w:t>a dicha</w:t>
      </w:r>
      <w:r w:rsidRPr="008D1AFC">
        <w:rPr>
          <w:rFonts w:ascii="Arial" w:hAnsi="Arial" w:cs="Arial"/>
          <w:sz w:val="24"/>
          <w:szCs w:val="24"/>
        </w:rPr>
        <w:t xml:space="preserve"> sociedad a favor de los demandantes en la sentencia que sirve de título de recaudo.</w:t>
      </w:r>
    </w:p>
    <w:p w:rsidR="00BD4A65" w:rsidRPr="008D1AFC" w:rsidRDefault="00BD4A65" w:rsidP="008D1AFC">
      <w:pPr>
        <w:spacing w:line="276" w:lineRule="auto"/>
        <w:ind w:right="51"/>
        <w:jc w:val="both"/>
        <w:rPr>
          <w:rFonts w:ascii="Arial" w:hAnsi="Arial" w:cs="Arial"/>
          <w:sz w:val="24"/>
          <w:szCs w:val="24"/>
        </w:rPr>
      </w:pPr>
    </w:p>
    <w:p w:rsidR="00BD4A65" w:rsidRPr="008D1AFC" w:rsidRDefault="00BD4A65" w:rsidP="008D1AFC">
      <w:pPr>
        <w:spacing w:line="276" w:lineRule="auto"/>
        <w:ind w:right="51"/>
        <w:jc w:val="both"/>
        <w:rPr>
          <w:rFonts w:ascii="Arial" w:hAnsi="Arial" w:cs="Arial"/>
          <w:sz w:val="24"/>
          <w:szCs w:val="24"/>
        </w:rPr>
      </w:pPr>
      <w:r w:rsidRPr="008D1AFC">
        <w:rPr>
          <w:rFonts w:ascii="Arial" w:hAnsi="Arial" w:cs="Arial"/>
          <w:sz w:val="24"/>
          <w:szCs w:val="24"/>
        </w:rPr>
        <w:t xml:space="preserve">Trabada la litis con las demás ejecutadas, en auto de fecha 28 de noviembre de 2019 se dispuso dar continuidad al trámite pertinente, en consideración a que los llamados a juicio no formularon </w:t>
      </w:r>
      <w:r w:rsidR="43DA2016" w:rsidRPr="008D1AFC">
        <w:rPr>
          <w:rFonts w:ascii="Arial" w:hAnsi="Arial" w:cs="Arial"/>
          <w:sz w:val="24"/>
          <w:szCs w:val="24"/>
        </w:rPr>
        <w:t xml:space="preserve">ninguna de las </w:t>
      </w:r>
      <w:r w:rsidRPr="008D1AFC">
        <w:rPr>
          <w:rFonts w:ascii="Arial" w:hAnsi="Arial" w:cs="Arial"/>
          <w:sz w:val="24"/>
          <w:szCs w:val="24"/>
        </w:rPr>
        <w:t xml:space="preserve">excepciones a las que se refiere el artículo 442 del Código General del Proceso aplicable por analogía al procedimiento laboral. </w:t>
      </w:r>
    </w:p>
    <w:p w:rsidR="00BD4A65" w:rsidRPr="008D1AFC" w:rsidRDefault="00BD4A65" w:rsidP="008D1AFC">
      <w:pPr>
        <w:spacing w:line="276" w:lineRule="auto"/>
        <w:ind w:right="51"/>
        <w:jc w:val="both"/>
        <w:rPr>
          <w:rFonts w:ascii="Arial" w:hAnsi="Arial" w:cs="Arial"/>
          <w:sz w:val="24"/>
          <w:szCs w:val="24"/>
        </w:rPr>
      </w:pPr>
    </w:p>
    <w:p w:rsidR="00BD4A65" w:rsidRPr="008D1AFC" w:rsidRDefault="232C92AF" w:rsidP="008D1AFC">
      <w:pPr>
        <w:spacing w:line="276" w:lineRule="auto"/>
        <w:ind w:right="51"/>
        <w:jc w:val="both"/>
        <w:rPr>
          <w:rFonts w:ascii="Arial" w:hAnsi="Arial" w:cs="Arial"/>
          <w:sz w:val="24"/>
          <w:szCs w:val="24"/>
        </w:rPr>
      </w:pPr>
      <w:r w:rsidRPr="008D1AFC">
        <w:rPr>
          <w:rFonts w:ascii="Arial" w:hAnsi="Arial" w:cs="Arial"/>
          <w:sz w:val="24"/>
          <w:szCs w:val="24"/>
        </w:rPr>
        <w:lastRenderedPageBreak/>
        <w:t>Posteriormente, l</w:t>
      </w:r>
      <w:r w:rsidR="00BD4A65" w:rsidRPr="008D1AFC">
        <w:rPr>
          <w:rFonts w:ascii="Arial" w:hAnsi="Arial" w:cs="Arial"/>
          <w:sz w:val="24"/>
          <w:szCs w:val="24"/>
        </w:rPr>
        <w:t>a liquidación del crédito fue presentada por la parte actora, sin embargo, a través de providencia fechada 29 de enero de 2020, fue modificada y aprobada en la suma de $386.908.626.56.</w:t>
      </w:r>
    </w:p>
    <w:p w:rsidR="00BD4A65" w:rsidRPr="008D1AFC" w:rsidRDefault="00BD4A65" w:rsidP="008D1AFC">
      <w:pPr>
        <w:spacing w:line="276" w:lineRule="auto"/>
        <w:ind w:right="51"/>
        <w:jc w:val="both"/>
        <w:rPr>
          <w:rFonts w:ascii="Arial" w:hAnsi="Arial" w:cs="Arial"/>
          <w:sz w:val="24"/>
          <w:szCs w:val="24"/>
        </w:rPr>
      </w:pPr>
    </w:p>
    <w:p w:rsidR="00BD4A65" w:rsidRPr="008D1AFC" w:rsidRDefault="262A4785" w:rsidP="008D1AFC">
      <w:pPr>
        <w:spacing w:line="276" w:lineRule="auto"/>
        <w:ind w:right="51"/>
        <w:jc w:val="both"/>
        <w:rPr>
          <w:rFonts w:ascii="Arial" w:hAnsi="Arial" w:cs="Arial"/>
          <w:sz w:val="24"/>
          <w:szCs w:val="24"/>
        </w:rPr>
      </w:pPr>
      <w:r w:rsidRPr="008D1AFC">
        <w:rPr>
          <w:rFonts w:ascii="Arial" w:hAnsi="Arial" w:cs="Arial"/>
          <w:sz w:val="24"/>
          <w:szCs w:val="24"/>
        </w:rPr>
        <w:t>Una vez verificada la existencia de un título judicial, por cuenta de la prosperidad de la medida cautelar decretada sobre el fideicomi</w:t>
      </w:r>
      <w:r w:rsidR="3C9EE7FC" w:rsidRPr="008D1AFC">
        <w:rPr>
          <w:rFonts w:ascii="Arial" w:hAnsi="Arial" w:cs="Arial"/>
          <w:sz w:val="24"/>
          <w:szCs w:val="24"/>
        </w:rPr>
        <w:t xml:space="preserve">so custodiado por la Sociedad Fiduciaria </w:t>
      </w:r>
      <w:proofErr w:type="spellStart"/>
      <w:r w:rsidR="3C9EE7FC" w:rsidRPr="008D1AFC">
        <w:rPr>
          <w:rFonts w:ascii="Arial" w:hAnsi="Arial" w:cs="Arial"/>
          <w:sz w:val="24"/>
          <w:szCs w:val="24"/>
        </w:rPr>
        <w:t>Servitrust</w:t>
      </w:r>
      <w:proofErr w:type="spellEnd"/>
      <w:r w:rsidR="3C9EE7FC" w:rsidRPr="008D1AFC">
        <w:rPr>
          <w:rFonts w:ascii="Arial" w:hAnsi="Arial" w:cs="Arial"/>
          <w:sz w:val="24"/>
          <w:szCs w:val="24"/>
        </w:rPr>
        <w:t xml:space="preserve"> GNV Sudameris S.A., </w:t>
      </w:r>
      <w:r w:rsidR="2C8BB0D3" w:rsidRPr="008D1AFC">
        <w:rPr>
          <w:rFonts w:ascii="Arial" w:hAnsi="Arial" w:cs="Arial"/>
          <w:sz w:val="24"/>
          <w:szCs w:val="24"/>
        </w:rPr>
        <w:t xml:space="preserve">la </w:t>
      </w:r>
      <w:r w:rsidR="2C8BB0D3" w:rsidRPr="008D1AFC">
        <w:rPr>
          <w:rFonts w:ascii="Arial" w:hAnsi="Arial" w:cs="Arial"/>
          <w:i/>
          <w:iCs/>
          <w:sz w:val="24"/>
          <w:szCs w:val="24"/>
        </w:rPr>
        <w:t xml:space="preserve"> a quo </w:t>
      </w:r>
      <w:r w:rsidR="2C8BB0D3" w:rsidRPr="008D1AFC">
        <w:rPr>
          <w:rFonts w:ascii="Arial" w:hAnsi="Arial" w:cs="Arial"/>
          <w:sz w:val="24"/>
          <w:szCs w:val="24"/>
        </w:rPr>
        <w:t xml:space="preserve">pretendió terminar el proceso </w:t>
      </w:r>
      <w:r w:rsidR="49C40779" w:rsidRPr="008D1AFC">
        <w:rPr>
          <w:rFonts w:ascii="Arial" w:hAnsi="Arial" w:cs="Arial"/>
          <w:sz w:val="24"/>
          <w:szCs w:val="24"/>
        </w:rPr>
        <w:t xml:space="preserve"> por pago total de la obligación, </w:t>
      </w:r>
      <w:r w:rsidR="7251E617" w:rsidRPr="008D1AFC">
        <w:rPr>
          <w:rFonts w:ascii="Arial" w:hAnsi="Arial" w:cs="Arial"/>
          <w:sz w:val="24"/>
          <w:szCs w:val="24"/>
        </w:rPr>
        <w:t>al verificar que la suma aprisionada cubr</w:t>
      </w:r>
      <w:r w:rsidR="1D328509" w:rsidRPr="008D1AFC">
        <w:rPr>
          <w:rFonts w:ascii="Arial" w:hAnsi="Arial" w:cs="Arial"/>
          <w:sz w:val="24"/>
          <w:szCs w:val="24"/>
        </w:rPr>
        <w:t xml:space="preserve">ía la totalidad de la </w:t>
      </w:r>
      <w:r w:rsidR="008D1AFC" w:rsidRPr="008D1AFC">
        <w:rPr>
          <w:rFonts w:ascii="Arial" w:hAnsi="Arial" w:cs="Arial"/>
          <w:sz w:val="24"/>
          <w:szCs w:val="24"/>
        </w:rPr>
        <w:t>obligación</w:t>
      </w:r>
      <w:r w:rsidR="1D328509" w:rsidRPr="008D1AFC">
        <w:rPr>
          <w:rFonts w:ascii="Arial" w:hAnsi="Arial" w:cs="Arial"/>
          <w:sz w:val="24"/>
          <w:szCs w:val="24"/>
        </w:rPr>
        <w:t xml:space="preserve">; sin embargo, analizada la </w:t>
      </w:r>
      <w:r w:rsidR="008D1AFC" w:rsidRPr="008D1AFC">
        <w:rPr>
          <w:rFonts w:ascii="Arial" w:hAnsi="Arial" w:cs="Arial"/>
          <w:sz w:val="24"/>
          <w:szCs w:val="24"/>
        </w:rPr>
        <w:t>referida</w:t>
      </w:r>
      <w:r w:rsidR="1D328509" w:rsidRPr="008D1AFC">
        <w:rPr>
          <w:rFonts w:ascii="Arial" w:hAnsi="Arial" w:cs="Arial"/>
          <w:sz w:val="24"/>
          <w:szCs w:val="24"/>
        </w:rPr>
        <w:t xml:space="preserve"> medida</w:t>
      </w:r>
      <w:r w:rsidR="49C40779" w:rsidRPr="008D1AFC">
        <w:rPr>
          <w:rFonts w:ascii="Arial" w:hAnsi="Arial" w:cs="Arial"/>
          <w:sz w:val="24"/>
          <w:szCs w:val="24"/>
        </w:rPr>
        <w:t xml:space="preserve"> </w:t>
      </w:r>
      <w:r w:rsidR="6882F001" w:rsidRPr="008D1AFC">
        <w:rPr>
          <w:rFonts w:ascii="Arial" w:hAnsi="Arial" w:cs="Arial"/>
          <w:sz w:val="24"/>
          <w:szCs w:val="24"/>
        </w:rPr>
        <w:t xml:space="preserve">decidió </w:t>
      </w:r>
      <w:r w:rsidR="49C40779" w:rsidRPr="008D1AFC">
        <w:rPr>
          <w:rFonts w:ascii="Arial" w:hAnsi="Arial" w:cs="Arial"/>
          <w:sz w:val="24"/>
          <w:szCs w:val="24"/>
        </w:rPr>
        <w:t>levant</w:t>
      </w:r>
      <w:r w:rsidR="3FCAEE52" w:rsidRPr="008D1AFC">
        <w:rPr>
          <w:rFonts w:ascii="Arial" w:hAnsi="Arial" w:cs="Arial"/>
          <w:sz w:val="24"/>
          <w:szCs w:val="24"/>
        </w:rPr>
        <w:t>ar</w:t>
      </w:r>
      <w:r w:rsidR="73B21587" w:rsidRPr="008D1AFC">
        <w:rPr>
          <w:rFonts w:ascii="Arial" w:hAnsi="Arial" w:cs="Arial"/>
          <w:sz w:val="24"/>
          <w:szCs w:val="24"/>
        </w:rPr>
        <w:t>la</w:t>
      </w:r>
      <w:r w:rsidR="49C40779" w:rsidRPr="008D1AFC">
        <w:rPr>
          <w:rFonts w:ascii="Arial" w:hAnsi="Arial" w:cs="Arial"/>
          <w:sz w:val="24"/>
          <w:szCs w:val="24"/>
        </w:rPr>
        <w:t xml:space="preserve"> </w:t>
      </w:r>
      <w:r w:rsidR="7A069538" w:rsidRPr="008D1AFC">
        <w:rPr>
          <w:rFonts w:ascii="Arial" w:hAnsi="Arial" w:cs="Arial"/>
          <w:sz w:val="24"/>
          <w:szCs w:val="24"/>
        </w:rPr>
        <w:t xml:space="preserve">por considerar </w:t>
      </w:r>
      <w:r w:rsidR="49C40779" w:rsidRPr="008D1AFC">
        <w:rPr>
          <w:rFonts w:ascii="Arial" w:hAnsi="Arial" w:cs="Arial"/>
          <w:sz w:val="24"/>
          <w:szCs w:val="24"/>
        </w:rPr>
        <w:t>que los dineros aprisionados</w:t>
      </w:r>
      <w:r w:rsidR="52FAA7BA" w:rsidRPr="008D1AFC">
        <w:rPr>
          <w:rFonts w:ascii="Arial" w:hAnsi="Arial" w:cs="Arial"/>
          <w:sz w:val="24"/>
          <w:szCs w:val="24"/>
        </w:rPr>
        <w:t xml:space="preserve">, </w:t>
      </w:r>
      <w:r w:rsidR="46C0597D" w:rsidRPr="008D1AFC">
        <w:rPr>
          <w:rFonts w:ascii="Arial" w:hAnsi="Arial" w:cs="Arial"/>
          <w:sz w:val="24"/>
          <w:szCs w:val="24"/>
        </w:rPr>
        <w:t xml:space="preserve">en realidad </w:t>
      </w:r>
      <w:r w:rsidR="49C40779" w:rsidRPr="008D1AFC">
        <w:rPr>
          <w:rFonts w:ascii="Arial" w:hAnsi="Arial" w:cs="Arial"/>
          <w:sz w:val="24"/>
          <w:szCs w:val="24"/>
        </w:rPr>
        <w:t xml:space="preserve">son recursos destinados a la prestación del servicio público de transporte masivo de la ciudad de Bogotá, por lo </w:t>
      </w:r>
      <w:r w:rsidR="673C7573" w:rsidRPr="008D1AFC">
        <w:rPr>
          <w:rFonts w:ascii="Arial" w:hAnsi="Arial" w:cs="Arial"/>
          <w:sz w:val="24"/>
          <w:szCs w:val="24"/>
        </w:rPr>
        <w:t>que</w:t>
      </w:r>
      <w:r w:rsidR="49C40779" w:rsidRPr="008D1AFC">
        <w:rPr>
          <w:rFonts w:ascii="Arial" w:hAnsi="Arial" w:cs="Arial"/>
          <w:sz w:val="24"/>
          <w:szCs w:val="24"/>
        </w:rPr>
        <w:t xml:space="preserve"> tienen la naturaleza de inembargables.</w:t>
      </w:r>
    </w:p>
    <w:p w:rsidR="00BD4A65" w:rsidRPr="008D1AFC" w:rsidRDefault="00BD4A65" w:rsidP="008D1AFC">
      <w:pPr>
        <w:spacing w:line="276" w:lineRule="auto"/>
        <w:ind w:right="51"/>
        <w:jc w:val="both"/>
        <w:rPr>
          <w:rFonts w:ascii="Arial" w:hAnsi="Arial" w:cs="Arial"/>
          <w:sz w:val="24"/>
          <w:szCs w:val="24"/>
        </w:rPr>
      </w:pPr>
    </w:p>
    <w:p w:rsidR="00BD4A65" w:rsidRPr="008D1AFC" w:rsidRDefault="00BD4A65" w:rsidP="008D1AFC">
      <w:pPr>
        <w:spacing w:line="276" w:lineRule="auto"/>
        <w:ind w:right="51"/>
        <w:jc w:val="both"/>
        <w:rPr>
          <w:rFonts w:ascii="Arial" w:hAnsi="Arial" w:cs="Arial"/>
          <w:sz w:val="24"/>
          <w:szCs w:val="24"/>
        </w:rPr>
      </w:pPr>
      <w:r w:rsidRPr="008D1AFC">
        <w:rPr>
          <w:rFonts w:ascii="Arial" w:hAnsi="Arial" w:cs="Arial"/>
          <w:sz w:val="24"/>
          <w:szCs w:val="24"/>
        </w:rPr>
        <w:t>El fundamento de tal decisión descansó en la jurisprudencia de la Corte Constitucional vertida en la sentencia C-043-</w:t>
      </w:r>
      <w:r w:rsidR="008D1AFC" w:rsidRPr="008D1AFC">
        <w:rPr>
          <w:rFonts w:ascii="Arial" w:hAnsi="Arial" w:cs="Arial"/>
          <w:sz w:val="24"/>
          <w:szCs w:val="24"/>
        </w:rPr>
        <w:t>1998, en</w:t>
      </w:r>
      <w:r w:rsidRPr="008D1AFC">
        <w:rPr>
          <w:rFonts w:ascii="Arial" w:hAnsi="Arial" w:cs="Arial"/>
          <w:sz w:val="24"/>
          <w:szCs w:val="24"/>
        </w:rPr>
        <w:t xml:space="preserve"> las Leyes 336 de 1996 </w:t>
      </w:r>
      <w:r w:rsidR="746B9F72" w:rsidRPr="008D1AFC">
        <w:rPr>
          <w:rFonts w:ascii="Arial" w:hAnsi="Arial" w:cs="Arial"/>
          <w:sz w:val="24"/>
          <w:szCs w:val="24"/>
        </w:rPr>
        <w:t xml:space="preserve">y </w:t>
      </w:r>
      <w:r w:rsidRPr="008D1AFC">
        <w:rPr>
          <w:rFonts w:ascii="Arial" w:hAnsi="Arial" w:cs="Arial"/>
          <w:sz w:val="24"/>
          <w:szCs w:val="24"/>
        </w:rPr>
        <w:t xml:space="preserve">105 de 1993 que otorgan el carácter de servicio público esencial al servicio de transporte, así como en el hecho de que SI 99 S.A. y </w:t>
      </w:r>
      <w:proofErr w:type="spellStart"/>
      <w:r w:rsidR="000F3C39" w:rsidRPr="008D1AFC">
        <w:rPr>
          <w:rFonts w:ascii="Arial" w:hAnsi="Arial" w:cs="Arial"/>
          <w:sz w:val="24"/>
          <w:szCs w:val="24"/>
        </w:rPr>
        <w:t>TransMilenio</w:t>
      </w:r>
      <w:proofErr w:type="spellEnd"/>
      <w:r w:rsidR="000F3C39" w:rsidRPr="008D1AFC">
        <w:rPr>
          <w:rFonts w:ascii="Arial" w:hAnsi="Arial" w:cs="Arial"/>
          <w:sz w:val="24"/>
          <w:szCs w:val="24"/>
        </w:rPr>
        <w:t xml:space="preserve"> suscribieron</w:t>
      </w:r>
      <w:r w:rsidRPr="008D1AFC">
        <w:rPr>
          <w:rFonts w:ascii="Arial" w:hAnsi="Arial" w:cs="Arial"/>
          <w:sz w:val="24"/>
          <w:szCs w:val="24"/>
        </w:rPr>
        <w:t xml:space="preserve"> un contrato de concesión administrado a través del contrato fiduciario que se firmó con </w:t>
      </w:r>
      <w:proofErr w:type="spellStart"/>
      <w:r w:rsidRPr="008D1AFC">
        <w:rPr>
          <w:rFonts w:ascii="Arial" w:hAnsi="Arial" w:cs="Arial"/>
          <w:sz w:val="24"/>
          <w:szCs w:val="24"/>
        </w:rPr>
        <w:t>Servitrus</w:t>
      </w:r>
      <w:r w:rsidR="76F6B761" w:rsidRPr="008D1AFC">
        <w:rPr>
          <w:rFonts w:ascii="Arial" w:hAnsi="Arial" w:cs="Arial"/>
          <w:sz w:val="24"/>
          <w:szCs w:val="24"/>
        </w:rPr>
        <w:t>t</w:t>
      </w:r>
      <w:proofErr w:type="spellEnd"/>
      <w:r w:rsidRPr="008D1AFC">
        <w:rPr>
          <w:rFonts w:ascii="Arial" w:hAnsi="Arial" w:cs="Arial"/>
          <w:sz w:val="24"/>
          <w:szCs w:val="24"/>
        </w:rPr>
        <w:t xml:space="preserve"> GNB Sudameris.</w:t>
      </w:r>
    </w:p>
    <w:p w:rsidR="00BD4A65" w:rsidRPr="008D1AFC" w:rsidRDefault="00BD4A65" w:rsidP="008D1AFC">
      <w:pPr>
        <w:spacing w:line="276" w:lineRule="auto"/>
        <w:ind w:right="51"/>
        <w:jc w:val="both"/>
        <w:rPr>
          <w:rFonts w:ascii="Arial" w:hAnsi="Arial" w:cs="Arial"/>
          <w:sz w:val="24"/>
          <w:szCs w:val="24"/>
        </w:rPr>
      </w:pPr>
    </w:p>
    <w:p w:rsidR="00BD4A65" w:rsidRPr="008D1AFC" w:rsidRDefault="00BD4A65" w:rsidP="008D1AFC">
      <w:pPr>
        <w:spacing w:line="276" w:lineRule="auto"/>
        <w:ind w:right="51"/>
        <w:jc w:val="both"/>
        <w:rPr>
          <w:rFonts w:ascii="Arial" w:hAnsi="Arial" w:cs="Arial"/>
          <w:sz w:val="24"/>
          <w:szCs w:val="24"/>
        </w:rPr>
      </w:pPr>
      <w:r w:rsidRPr="008D1AFC">
        <w:rPr>
          <w:rFonts w:ascii="Arial" w:hAnsi="Arial" w:cs="Arial"/>
          <w:sz w:val="24"/>
          <w:szCs w:val="24"/>
        </w:rPr>
        <w:t>Frente a la inembargabilidad de los referidos recursos, invocó lo dispuesto en numeral 3º del artículo 594 del Código General del Proceso, para disponer únicamente la medida sobre la tercera parte de los ingresos brutos del respectivo servicio, por tratarse el título ejecutivo de una sentencia que reconoce derechos y obligaciones de origen laboral.</w:t>
      </w:r>
    </w:p>
    <w:p w:rsidR="00BD4A65" w:rsidRPr="008D1AFC" w:rsidRDefault="00BD4A65" w:rsidP="008D1AFC">
      <w:pPr>
        <w:spacing w:line="276" w:lineRule="auto"/>
        <w:ind w:right="51"/>
        <w:jc w:val="both"/>
        <w:rPr>
          <w:rFonts w:ascii="Arial" w:hAnsi="Arial" w:cs="Arial"/>
          <w:sz w:val="24"/>
          <w:szCs w:val="24"/>
        </w:rPr>
      </w:pPr>
    </w:p>
    <w:p w:rsidR="00BD4A65" w:rsidRPr="008D1AFC" w:rsidRDefault="00BD4A65" w:rsidP="008D1AFC">
      <w:pPr>
        <w:spacing w:line="276" w:lineRule="auto"/>
        <w:ind w:right="51"/>
        <w:jc w:val="both"/>
        <w:rPr>
          <w:rFonts w:ascii="Arial" w:hAnsi="Arial" w:cs="Arial"/>
          <w:sz w:val="24"/>
          <w:szCs w:val="24"/>
        </w:rPr>
      </w:pPr>
      <w:r w:rsidRPr="008D1AFC">
        <w:rPr>
          <w:rFonts w:ascii="Arial" w:hAnsi="Arial" w:cs="Arial"/>
          <w:sz w:val="24"/>
          <w:szCs w:val="24"/>
        </w:rPr>
        <w:t>Inconforme con la decisión, la parte ejecutante formuló los recursos de reposición y en subsidio el de apelación precisando que SI 99 S.A. en momento alguno hizo oposición a la medida; la misma fue decretada para que recayera sobre los dineros que le correspondan a dicha sociedad por su gestión contractual, esto es las utilidades que busca al desarrollar su objeto societario, con el cual firma y aporta toda su infraestructura logística, empresarial y financiera, por lo que estima que no debe partirse del supuesto de que la fiduciaria, como producto del embargo, envió al juzgado la totalidad del recaudo del servicio público de transporte o de los ingresos brutos que le corresponden a  SI 99 S.A.</w:t>
      </w:r>
    </w:p>
    <w:p w:rsidR="00BD4A65" w:rsidRPr="008D1AFC" w:rsidRDefault="00BD4A65" w:rsidP="008D1AFC">
      <w:pPr>
        <w:spacing w:line="276" w:lineRule="auto"/>
        <w:ind w:right="51"/>
        <w:jc w:val="both"/>
        <w:rPr>
          <w:rFonts w:ascii="Arial" w:hAnsi="Arial" w:cs="Arial"/>
          <w:sz w:val="24"/>
          <w:szCs w:val="24"/>
        </w:rPr>
      </w:pPr>
    </w:p>
    <w:p w:rsidR="00BD4A65" w:rsidRPr="008D1AFC" w:rsidRDefault="00BD4A65" w:rsidP="008D1AFC">
      <w:pPr>
        <w:spacing w:line="276" w:lineRule="auto"/>
        <w:ind w:right="51"/>
        <w:jc w:val="both"/>
        <w:rPr>
          <w:rFonts w:ascii="Arial" w:hAnsi="Arial" w:cs="Arial"/>
          <w:sz w:val="24"/>
          <w:szCs w:val="24"/>
        </w:rPr>
      </w:pPr>
      <w:r w:rsidRPr="008D1AFC">
        <w:rPr>
          <w:rFonts w:ascii="Arial" w:hAnsi="Arial" w:cs="Arial"/>
          <w:sz w:val="24"/>
          <w:szCs w:val="24"/>
        </w:rPr>
        <w:t>A más de lo anterior precisa que no hay claridad sobre qué dineros recae la medida de embargo consistente en la tercera parte de los ingresos brutos del respectivo servicio; si ello corresponde a todo el servicio público de transporte en Bogotá, a la parte del servicio que desarrolla la ejecutada, a los ingresos brutos que tiene destinado la concesionaria al servicio público concesionado</w:t>
      </w:r>
      <w:r w:rsidR="001E32D2" w:rsidRPr="008D1AFC">
        <w:rPr>
          <w:rFonts w:ascii="Arial" w:hAnsi="Arial" w:cs="Arial"/>
          <w:sz w:val="24"/>
          <w:szCs w:val="24"/>
        </w:rPr>
        <w:t xml:space="preserve"> o a </w:t>
      </w:r>
      <w:r w:rsidRPr="008D1AFC">
        <w:rPr>
          <w:rFonts w:ascii="Arial" w:hAnsi="Arial" w:cs="Arial"/>
          <w:sz w:val="24"/>
          <w:szCs w:val="24"/>
        </w:rPr>
        <w:t>las utilidades brutas y netas que obtiene en el contrato de participación del servicio público de trasporte.</w:t>
      </w:r>
    </w:p>
    <w:p w:rsidR="00BD4A65" w:rsidRPr="008D1AFC" w:rsidRDefault="00BD4A65" w:rsidP="008D1AFC">
      <w:pPr>
        <w:spacing w:line="276" w:lineRule="auto"/>
        <w:ind w:right="51"/>
        <w:jc w:val="both"/>
        <w:rPr>
          <w:rFonts w:ascii="Arial" w:hAnsi="Arial" w:cs="Arial"/>
          <w:sz w:val="24"/>
          <w:szCs w:val="24"/>
        </w:rPr>
      </w:pPr>
    </w:p>
    <w:p w:rsidR="00BD4A65" w:rsidRPr="008D1AFC" w:rsidRDefault="00BD4A65" w:rsidP="008D1AFC">
      <w:pPr>
        <w:spacing w:line="276" w:lineRule="auto"/>
        <w:ind w:right="51"/>
        <w:jc w:val="both"/>
        <w:rPr>
          <w:rFonts w:ascii="Arial" w:hAnsi="Arial" w:cs="Arial"/>
          <w:sz w:val="24"/>
          <w:szCs w:val="24"/>
        </w:rPr>
      </w:pPr>
      <w:r w:rsidRPr="008D1AFC">
        <w:rPr>
          <w:rFonts w:ascii="Arial" w:hAnsi="Arial" w:cs="Arial"/>
          <w:sz w:val="24"/>
          <w:szCs w:val="24"/>
        </w:rPr>
        <w:t>Indica que limitar la medida como lo hizo la funcionaria de primer grado es permitir  la evasión de las obligaciones labora</w:t>
      </w:r>
      <w:r w:rsidR="1E4AD09F" w:rsidRPr="008D1AFC">
        <w:rPr>
          <w:rFonts w:ascii="Arial" w:hAnsi="Arial" w:cs="Arial"/>
          <w:sz w:val="24"/>
          <w:szCs w:val="24"/>
        </w:rPr>
        <w:t>l</w:t>
      </w:r>
      <w:r w:rsidRPr="008D1AFC">
        <w:rPr>
          <w:rFonts w:ascii="Arial" w:hAnsi="Arial" w:cs="Arial"/>
          <w:sz w:val="24"/>
          <w:szCs w:val="24"/>
        </w:rPr>
        <w:t>es contenidas en las sentencias que sirven de título de recaudo; ello sin perder de vista que también los derecho</w:t>
      </w:r>
      <w:r w:rsidR="001E32D2" w:rsidRPr="008D1AFC">
        <w:rPr>
          <w:rFonts w:ascii="Arial" w:hAnsi="Arial" w:cs="Arial"/>
          <w:sz w:val="24"/>
          <w:szCs w:val="24"/>
        </w:rPr>
        <w:t>s</w:t>
      </w:r>
      <w:r w:rsidRPr="008D1AFC">
        <w:rPr>
          <w:rFonts w:ascii="Arial" w:hAnsi="Arial" w:cs="Arial"/>
          <w:sz w:val="24"/>
          <w:szCs w:val="24"/>
        </w:rPr>
        <w:t xml:space="preserve"> reclamados por los trabajadores se originaron en la prestación del servicio público de trasporte </w:t>
      </w:r>
      <w:r w:rsidRPr="008D1AFC">
        <w:rPr>
          <w:rFonts w:ascii="Arial" w:hAnsi="Arial" w:cs="Arial"/>
          <w:sz w:val="24"/>
          <w:szCs w:val="24"/>
        </w:rPr>
        <w:lastRenderedPageBreak/>
        <w:t xml:space="preserve">masivo, como operadores del mismo; que las disposiciones laborales son de orden </w:t>
      </w:r>
      <w:r w:rsidR="001E32D2" w:rsidRPr="008D1AFC">
        <w:rPr>
          <w:rFonts w:ascii="Arial" w:hAnsi="Arial" w:cs="Arial"/>
          <w:sz w:val="24"/>
          <w:szCs w:val="24"/>
        </w:rPr>
        <w:t xml:space="preserve">público </w:t>
      </w:r>
      <w:r w:rsidRPr="008D1AFC">
        <w:rPr>
          <w:rFonts w:ascii="Arial" w:hAnsi="Arial" w:cs="Arial"/>
          <w:sz w:val="24"/>
          <w:szCs w:val="24"/>
        </w:rPr>
        <w:t>y que el fin primordial de la justicia laboral es el reconocimiento y pago efectivo de los derecho laborales.</w:t>
      </w:r>
    </w:p>
    <w:p w:rsidR="00BD4A65" w:rsidRPr="008D1AFC" w:rsidRDefault="00BD4A65" w:rsidP="008D1AFC">
      <w:pPr>
        <w:spacing w:line="276" w:lineRule="auto"/>
        <w:ind w:right="51"/>
        <w:jc w:val="both"/>
        <w:rPr>
          <w:rFonts w:ascii="Arial" w:hAnsi="Arial" w:cs="Arial"/>
          <w:sz w:val="24"/>
          <w:szCs w:val="24"/>
        </w:rPr>
      </w:pPr>
    </w:p>
    <w:p w:rsidR="00BD4A65" w:rsidRPr="008D1AFC" w:rsidRDefault="00BD4A65" w:rsidP="008D1AFC">
      <w:pPr>
        <w:spacing w:line="276" w:lineRule="auto"/>
        <w:ind w:right="51"/>
        <w:jc w:val="both"/>
        <w:rPr>
          <w:rFonts w:ascii="Arial" w:hAnsi="Arial" w:cs="Arial"/>
          <w:sz w:val="24"/>
          <w:szCs w:val="24"/>
        </w:rPr>
      </w:pPr>
      <w:r w:rsidRPr="008D1AFC">
        <w:rPr>
          <w:rFonts w:ascii="Arial" w:hAnsi="Arial" w:cs="Arial"/>
          <w:sz w:val="24"/>
          <w:szCs w:val="24"/>
        </w:rPr>
        <w:t>La decisión se mantuvo tal como fue adoptada, dando paso a la definición del recurso de apelación por parte de esta Corporación.</w:t>
      </w:r>
    </w:p>
    <w:p w:rsidR="2BC417DA" w:rsidRPr="008D1AFC" w:rsidRDefault="2BC417DA" w:rsidP="008D1AFC">
      <w:pPr>
        <w:spacing w:line="276" w:lineRule="auto"/>
        <w:ind w:right="51"/>
        <w:jc w:val="both"/>
        <w:rPr>
          <w:rFonts w:ascii="Arial" w:hAnsi="Arial" w:cs="Arial"/>
          <w:sz w:val="24"/>
          <w:szCs w:val="24"/>
        </w:rPr>
      </w:pPr>
    </w:p>
    <w:p w:rsidR="6457E683" w:rsidRPr="008D1AFC" w:rsidRDefault="3D371AE8" w:rsidP="008D1AFC">
      <w:pPr>
        <w:spacing w:line="276" w:lineRule="auto"/>
        <w:ind w:right="51"/>
        <w:jc w:val="both"/>
        <w:rPr>
          <w:rFonts w:ascii="Arial" w:hAnsi="Arial" w:cs="Arial"/>
          <w:sz w:val="24"/>
          <w:szCs w:val="24"/>
        </w:rPr>
      </w:pPr>
      <w:r w:rsidRPr="008D1AFC">
        <w:rPr>
          <w:rFonts w:ascii="Arial" w:hAnsi="Arial" w:cs="Arial"/>
          <w:sz w:val="24"/>
          <w:szCs w:val="24"/>
        </w:rPr>
        <w:t>Mediante auto de fecha 9 de julio de corriente año, se ordenó oficia</w:t>
      </w:r>
      <w:r w:rsidR="6A25665B" w:rsidRPr="008D1AFC">
        <w:rPr>
          <w:rFonts w:ascii="Arial" w:hAnsi="Arial" w:cs="Arial"/>
          <w:sz w:val="24"/>
          <w:szCs w:val="24"/>
        </w:rPr>
        <w:t>r</w:t>
      </w:r>
      <w:r w:rsidRPr="008D1AFC">
        <w:rPr>
          <w:rFonts w:ascii="Arial" w:hAnsi="Arial" w:cs="Arial"/>
          <w:sz w:val="24"/>
          <w:szCs w:val="24"/>
        </w:rPr>
        <w:t xml:space="preserve"> a la Fiduciaria </w:t>
      </w:r>
      <w:proofErr w:type="spellStart"/>
      <w:r w:rsidRPr="008D1AFC">
        <w:rPr>
          <w:rFonts w:ascii="Arial" w:hAnsi="Arial" w:cs="Arial"/>
          <w:sz w:val="24"/>
          <w:szCs w:val="24"/>
        </w:rPr>
        <w:t>Servitrust</w:t>
      </w:r>
      <w:proofErr w:type="spellEnd"/>
      <w:r w:rsidR="7CB3453F" w:rsidRPr="008D1AFC">
        <w:rPr>
          <w:rFonts w:ascii="Arial" w:hAnsi="Arial" w:cs="Arial"/>
          <w:sz w:val="24"/>
          <w:szCs w:val="24"/>
        </w:rPr>
        <w:t xml:space="preserve"> GNB Sudameris, para que informara sobre qué partidas o conceptos </w:t>
      </w:r>
      <w:r w:rsidR="2D270110" w:rsidRPr="008D1AFC">
        <w:rPr>
          <w:rFonts w:ascii="Arial" w:hAnsi="Arial" w:cs="Arial"/>
          <w:sz w:val="24"/>
          <w:szCs w:val="24"/>
        </w:rPr>
        <w:t>aplicó</w:t>
      </w:r>
      <w:r w:rsidR="7CB3453F" w:rsidRPr="008D1AFC">
        <w:rPr>
          <w:rFonts w:ascii="Arial" w:hAnsi="Arial" w:cs="Arial"/>
          <w:sz w:val="24"/>
          <w:szCs w:val="24"/>
        </w:rPr>
        <w:t xml:space="preserve"> el embargo dispuesto por </w:t>
      </w:r>
      <w:proofErr w:type="gramStart"/>
      <w:r w:rsidR="7CB3453F" w:rsidRPr="008D1AFC">
        <w:rPr>
          <w:rFonts w:ascii="Arial" w:hAnsi="Arial" w:cs="Arial"/>
          <w:sz w:val="24"/>
          <w:szCs w:val="24"/>
        </w:rPr>
        <w:t xml:space="preserve">la </w:t>
      </w:r>
      <w:r w:rsidR="7CB3453F" w:rsidRPr="008D1AFC">
        <w:rPr>
          <w:rFonts w:ascii="Arial" w:hAnsi="Arial" w:cs="Arial"/>
          <w:i/>
          <w:iCs/>
          <w:sz w:val="24"/>
          <w:szCs w:val="24"/>
        </w:rPr>
        <w:t xml:space="preserve"> a</w:t>
      </w:r>
      <w:proofErr w:type="gramEnd"/>
      <w:r w:rsidR="7CB3453F" w:rsidRPr="008D1AFC">
        <w:rPr>
          <w:rFonts w:ascii="Arial" w:hAnsi="Arial" w:cs="Arial"/>
          <w:i/>
          <w:iCs/>
          <w:sz w:val="24"/>
          <w:szCs w:val="24"/>
        </w:rPr>
        <w:t xml:space="preserve"> quo, </w:t>
      </w:r>
      <w:r w:rsidR="7CB3453F" w:rsidRPr="008D1AFC">
        <w:rPr>
          <w:rFonts w:ascii="Arial" w:hAnsi="Arial" w:cs="Arial"/>
          <w:sz w:val="24"/>
          <w:szCs w:val="24"/>
        </w:rPr>
        <w:t xml:space="preserve"> a lo cual contestó la </w:t>
      </w:r>
      <w:r w:rsidR="65A74282" w:rsidRPr="008D1AFC">
        <w:rPr>
          <w:rFonts w:ascii="Arial" w:hAnsi="Arial" w:cs="Arial"/>
          <w:sz w:val="24"/>
          <w:szCs w:val="24"/>
        </w:rPr>
        <w:t xml:space="preserve">sociedad que </w:t>
      </w:r>
      <w:r w:rsidR="73843637" w:rsidRPr="008D1AFC">
        <w:rPr>
          <w:rFonts w:ascii="Arial" w:hAnsi="Arial" w:cs="Arial"/>
          <w:sz w:val="24"/>
          <w:szCs w:val="24"/>
        </w:rPr>
        <w:t>lo hizo</w:t>
      </w:r>
      <w:r w:rsidR="65A74282" w:rsidRPr="008D1AFC">
        <w:rPr>
          <w:rFonts w:ascii="Arial" w:hAnsi="Arial" w:cs="Arial"/>
          <w:sz w:val="24"/>
          <w:szCs w:val="24"/>
        </w:rPr>
        <w:t xml:space="preserve"> sobre los recurso de la distribución de p</w:t>
      </w:r>
      <w:r w:rsidR="00E05CDD" w:rsidRPr="008D1AFC">
        <w:rPr>
          <w:rFonts w:ascii="Arial" w:hAnsi="Arial" w:cs="Arial"/>
          <w:sz w:val="24"/>
          <w:szCs w:val="24"/>
        </w:rPr>
        <w:t>articipaciones a las que tuvo d</w:t>
      </w:r>
      <w:r w:rsidR="65A74282" w:rsidRPr="008D1AFC">
        <w:rPr>
          <w:rFonts w:ascii="Arial" w:hAnsi="Arial" w:cs="Arial"/>
          <w:sz w:val="24"/>
          <w:szCs w:val="24"/>
        </w:rPr>
        <w:t xml:space="preserve">erecho la Sociedad SI 99 S.A., por </w:t>
      </w:r>
      <w:r w:rsidR="6B41EFDB" w:rsidRPr="008D1AFC">
        <w:rPr>
          <w:rFonts w:ascii="Arial" w:hAnsi="Arial" w:cs="Arial"/>
          <w:sz w:val="24"/>
          <w:szCs w:val="24"/>
        </w:rPr>
        <w:t>su gestión</w:t>
      </w:r>
      <w:r w:rsidR="65A74282" w:rsidRPr="008D1AFC">
        <w:rPr>
          <w:rFonts w:ascii="Arial" w:hAnsi="Arial" w:cs="Arial"/>
          <w:sz w:val="24"/>
          <w:szCs w:val="24"/>
        </w:rPr>
        <w:t xml:space="preserve"> en el Sistema Transmilenio</w:t>
      </w:r>
      <w:r w:rsidR="3017C911" w:rsidRPr="008D1AFC">
        <w:rPr>
          <w:rFonts w:ascii="Arial" w:hAnsi="Arial" w:cs="Arial"/>
          <w:sz w:val="24"/>
          <w:szCs w:val="24"/>
        </w:rPr>
        <w:t>.</w:t>
      </w:r>
    </w:p>
    <w:p w:rsidR="00BD4A65" w:rsidRPr="008D1AFC" w:rsidRDefault="00BD4A65" w:rsidP="008D1AFC">
      <w:pPr>
        <w:spacing w:line="276" w:lineRule="auto"/>
        <w:ind w:right="51"/>
        <w:jc w:val="both"/>
        <w:rPr>
          <w:rFonts w:ascii="Arial" w:hAnsi="Arial" w:cs="Arial"/>
          <w:sz w:val="24"/>
          <w:szCs w:val="24"/>
        </w:rPr>
      </w:pPr>
    </w:p>
    <w:p w:rsidR="00BD4A65" w:rsidRPr="008D1AFC" w:rsidRDefault="00BD4A65" w:rsidP="008D1AFC">
      <w:pPr>
        <w:spacing w:line="276" w:lineRule="auto"/>
        <w:ind w:right="51"/>
        <w:jc w:val="center"/>
        <w:rPr>
          <w:rFonts w:ascii="Arial" w:hAnsi="Arial" w:cs="Arial"/>
          <w:b/>
          <w:sz w:val="24"/>
          <w:szCs w:val="24"/>
        </w:rPr>
      </w:pPr>
      <w:r w:rsidRPr="008D1AFC">
        <w:rPr>
          <w:rFonts w:ascii="Arial" w:hAnsi="Arial" w:cs="Arial"/>
          <w:b/>
          <w:sz w:val="24"/>
          <w:szCs w:val="24"/>
        </w:rPr>
        <w:t>ALEGATOS</w:t>
      </w:r>
    </w:p>
    <w:p w:rsidR="00BD4A65" w:rsidRPr="008D1AFC" w:rsidRDefault="00BD4A65" w:rsidP="008D1AFC">
      <w:pPr>
        <w:spacing w:line="276" w:lineRule="auto"/>
        <w:ind w:right="51"/>
        <w:jc w:val="both"/>
        <w:rPr>
          <w:rFonts w:ascii="Arial" w:hAnsi="Arial" w:cs="Arial"/>
          <w:sz w:val="24"/>
          <w:szCs w:val="24"/>
        </w:rPr>
      </w:pPr>
    </w:p>
    <w:p w:rsidR="00BD4A65" w:rsidRPr="008D1AFC" w:rsidRDefault="00BD4A65" w:rsidP="008D1AFC">
      <w:pPr>
        <w:spacing w:line="276" w:lineRule="auto"/>
        <w:ind w:right="51"/>
        <w:jc w:val="both"/>
        <w:rPr>
          <w:rFonts w:ascii="Arial" w:hAnsi="Arial" w:cs="Arial"/>
          <w:sz w:val="24"/>
          <w:szCs w:val="24"/>
        </w:rPr>
      </w:pPr>
      <w:r w:rsidRPr="008D1AFC">
        <w:rPr>
          <w:rFonts w:ascii="Arial" w:hAnsi="Arial" w:cs="Arial"/>
          <w:sz w:val="24"/>
          <w:szCs w:val="24"/>
        </w:rPr>
        <w:t>Dentro del término conferido a las partes, ninguna hizo uso de la oportunidad de la que disponían para formular alegatos de conclusión.</w:t>
      </w:r>
    </w:p>
    <w:p w:rsidR="00BD4A65" w:rsidRPr="008D1AFC" w:rsidRDefault="00BD4A65" w:rsidP="008D1AFC">
      <w:pPr>
        <w:spacing w:line="276" w:lineRule="auto"/>
        <w:ind w:right="51"/>
        <w:jc w:val="both"/>
        <w:rPr>
          <w:rFonts w:ascii="Arial" w:hAnsi="Arial" w:cs="Arial"/>
          <w:sz w:val="24"/>
          <w:szCs w:val="24"/>
        </w:rPr>
      </w:pPr>
    </w:p>
    <w:p w:rsidR="00BD4A65" w:rsidRPr="008D1AFC" w:rsidRDefault="00BD4A65" w:rsidP="008D1AFC">
      <w:pPr>
        <w:spacing w:line="276" w:lineRule="auto"/>
        <w:ind w:right="51"/>
        <w:jc w:val="both"/>
        <w:rPr>
          <w:rFonts w:ascii="Arial" w:hAnsi="Arial" w:cs="Arial"/>
          <w:sz w:val="24"/>
          <w:szCs w:val="24"/>
        </w:rPr>
      </w:pPr>
      <w:r w:rsidRPr="008D1AFC">
        <w:rPr>
          <w:rFonts w:ascii="Arial" w:hAnsi="Arial" w:cs="Arial"/>
          <w:sz w:val="24"/>
          <w:szCs w:val="24"/>
        </w:rPr>
        <w:t xml:space="preserve">Procede entonces la Sala a resolver lo que es materia de debate y para ello deben tenerse en cuenta las siguientes </w:t>
      </w:r>
    </w:p>
    <w:p w:rsidR="00BD4A65" w:rsidRPr="008D1AFC" w:rsidRDefault="00BD4A65" w:rsidP="008D1AFC">
      <w:pPr>
        <w:spacing w:line="276" w:lineRule="auto"/>
        <w:ind w:right="51"/>
        <w:jc w:val="both"/>
        <w:rPr>
          <w:rFonts w:ascii="Arial" w:hAnsi="Arial" w:cs="Arial"/>
          <w:sz w:val="24"/>
          <w:szCs w:val="24"/>
        </w:rPr>
      </w:pPr>
    </w:p>
    <w:p w:rsidR="00BD4A65" w:rsidRPr="008D1AFC" w:rsidRDefault="00BD4A65" w:rsidP="008D1AFC">
      <w:pPr>
        <w:spacing w:line="276" w:lineRule="auto"/>
        <w:ind w:right="51"/>
        <w:jc w:val="center"/>
        <w:rPr>
          <w:rFonts w:ascii="Arial" w:hAnsi="Arial" w:cs="Arial"/>
          <w:b/>
          <w:sz w:val="24"/>
          <w:szCs w:val="24"/>
        </w:rPr>
      </w:pPr>
      <w:r w:rsidRPr="008D1AFC">
        <w:rPr>
          <w:rFonts w:ascii="Arial" w:hAnsi="Arial" w:cs="Arial"/>
          <w:b/>
          <w:sz w:val="24"/>
          <w:szCs w:val="24"/>
        </w:rPr>
        <w:t>CONSIDERACIONES</w:t>
      </w:r>
    </w:p>
    <w:p w:rsidR="00BD4A65" w:rsidRPr="008D1AFC" w:rsidRDefault="00BD4A65" w:rsidP="008D1AFC">
      <w:pPr>
        <w:spacing w:line="276" w:lineRule="auto"/>
        <w:ind w:right="51"/>
        <w:jc w:val="both"/>
        <w:rPr>
          <w:rFonts w:ascii="Arial" w:hAnsi="Arial" w:cs="Arial"/>
          <w:sz w:val="24"/>
          <w:szCs w:val="24"/>
        </w:rPr>
      </w:pPr>
    </w:p>
    <w:p w:rsidR="00BD4A65" w:rsidRPr="008D1AFC" w:rsidRDefault="00BD4A65" w:rsidP="008D1AFC">
      <w:pPr>
        <w:spacing w:line="276" w:lineRule="auto"/>
        <w:ind w:right="51"/>
        <w:jc w:val="both"/>
        <w:rPr>
          <w:rFonts w:ascii="Arial" w:hAnsi="Arial" w:cs="Arial"/>
          <w:sz w:val="24"/>
          <w:szCs w:val="24"/>
        </w:rPr>
      </w:pPr>
      <w:r w:rsidRPr="008D1AFC">
        <w:rPr>
          <w:rFonts w:ascii="Arial" w:hAnsi="Arial" w:cs="Arial"/>
          <w:sz w:val="24"/>
          <w:szCs w:val="24"/>
        </w:rPr>
        <w:t xml:space="preserve">El presente asunto, plantea a la Sala </w:t>
      </w:r>
      <w:r w:rsidR="001E32D2" w:rsidRPr="008D1AFC">
        <w:rPr>
          <w:rFonts w:ascii="Arial" w:hAnsi="Arial" w:cs="Arial"/>
          <w:sz w:val="24"/>
          <w:szCs w:val="24"/>
        </w:rPr>
        <w:t>e</w:t>
      </w:r>
      <w:r w:rsidRPr="008D1AFC">
        <w:rPr>
          <w:rFonts w:ascii="Arial" w:hAnsi="Arial" w:cs="Arial"/>
          <w:sz w:val="24"/>
          <w:szCs w:val="24"/>
        </w:rPr>
        <w:t>l siguiente problema jurídico:</w:t>
      </w:r>
    </w:p>
    <w:p w:rsidR="001E32D2" w:rsidRPr="008D1AFC" w:rsidRDefault="001E32D2" w:rsidP="008D1AFC">
      <w:pPr>
        <w:spacing w:line="276" w:lineRule="auto"/>
        <w:ind w:right="51"/>
        <w:jc w:val="both"/>
        <w:rPr>
          <w:rFonts w:ascii="Arial" w:hAnsi="Arial" w:cs="Arial"/>
          <w:sz w:val="24"/>
          <w:szCs w:val="24"/>
        </w:rPr>
      </w:pPr>
    </w:p>
    <w:p w:rsidR="001E32D2" w:rsidRPr="008D1AFC" w:rsidRDefault="001E32D2" w:rsidP="008D1AFC">
      <w:pPr>
        <w:spacing w:line="276" w:lineRule="auto"/>
        <w:ind w:left="567" w:right="616"/>
        <w:jc w:val="both"/>
        <w:rPr>
          <w:rFonts w:ascii="Arial" w:hAnsi="Arial" w:cs="Arial"/>
          <w:b/>
          <w:i/>
          <w:sz w:val="24"/>
          <w:szCs w:val="24"/>
        </w:rPr>
      </w:pPr>
      <w:r w:rsidRPr="008D1AFC">
        <w:rPr>
          <w:rFonts w:ascii="Arial" w:hAnsi="Arial" w:cs="Arial"/>
          <w:b/>
          <w:i/>
          <w:sz w:val="24"/>
          <w:szCs w:val="24"/>
        </w:rPr>
        <w:t>¿Tiene la calidad de inembargables los dineros embargados en este proceso ejecutivo?</w:t>
      </w:r>
    </w:p>
    <w:p w:rsidR="00BD4A65" w:rsidRPr="008D1AFC" w:rsidRDefault="00BD4A65" w:rsidP="008D1AFC">
      <w:pPr>
        <w:spacing w:line="276" w:lineRule="auto"/>
        <w:ind w:right="731"/>
        <w:jc w:val="both"/>
        <w:rPr>
          <w:rFonts w:ascii="Arial" w:hAnsi="Arial" w:cs="Arial"/>
          <w:b/>
          <w:i/>
          <w:sz w:val="24"/>
          <w:szCs w:val="24"/>
        </w:rPr>
      </w:pPr>
    </w:p>
    <w:p w:rsidR="001E32D2" w:rsidRPr="008D1AFC" w:rsidRDefault="001E32D2" w:rsidP="008D1AFC">
      <w:pPr>
        <w:pStyle w:val="Textoindependiente"/>
        <w:spacing w:line="276" w:lineRule="auto"/>
        <w:rPr>
          <w:rFonts w:cs="Arial"/>
          <w:sz w:val="24"/>
          <w:szCs w:val="24"/>
        </w:rPr>
      </w:pPr>
    </w:p>
    <w:p w:rsidR="00BD4A65" w:rsidRPr="008D1AFC" w:rsidRDefault="00BD4A65" w:rsidP="008D1AFC">
      <w:pPr>
        <w:pStyle w:val="Textoindependiente"/>
        <w:spacing w:line="276" w:lineRule="auto"/>
        <w:rPr>
          <w:rFonts w:cs="Arial"/>
          <w:sz w:val="24"/>
          <w:szCs w:val="24"/>
        </w:rPr>
      </w:pPr>
      <w:r w:rsidRPr="008D1AFC">
        <w:rPr>
          <w:rFonts w:cs="Arial"/>
          <w:sz w:val="24"/>
          <w:szCs w:val="24"/>
        </w:rPr>
        <w:t>Para resolver el interrogante planteado en el caso concreto, la Sala estima pertinente hacer las siguientes precisiones:</w:t>
      </w:r>
    </w:p>
    <w:p w:rsidR="00BD4A65" w:rsidRPr="008D1AFC" w:rsidRDefault="00BD4A65" w:rsidP="008D1AFC">
      <w:pPr>
        <w:tabs>
          <w:tab w:val="left" w:pos="851"/>
        </w:tabs>
        <w:spacing w:line="276" w:lineRule="auto"/>
        <w:ind w:left="709" w:right="729" w:hanging="709"/>
        <w:jc w:val="both"/>
        <w:rPr>
          <w:rFonts w:ascii="Arial" w:hAnsi="Arial" w:cs="Arial"/>
          <w:i/>
          <w:sz w:val="24"/>
          <w:szCs w:val="24"/>
          <w:lang w:eastAsia="es-CO"/>
        </w:rPr>
      </w:pPr>
    </w:p>
    <w:p w:rsidR="00BD4A65" w:rsidRPr="008D1AFC" w:rsidRDefault="00BD4A65" w:rsidP="008D1AFC">
      <w:pPr>
        <w:numPr>
          <w:ilvl w:val="0"/>
          <w:numId w:val="1"/>
        </w:numPr>
        <w:spacing w:line="276" w:lineRule="auto"/>
        <w:ind w:left="567" w:right="51" w:hanging="567"/>
        <w:jc w:val="both"/>
        <w:rPr>
          <w:rFonts w:ascii="Arial" w:hAnsi="Arial" w:cs="Arial"/>
          <w:b/>
          <w:sz w:val="24"/>
          <w:szCs w:val="24"/>
        </w:rPr>
      </w:pPr>
      <w:r w:rsidRPr="008D1AFC">
        <w:rPr>
          <w:rFonts w:ascii="Arial" w:hAnsi="Arial" w:cs="Arial"/>
          <w:b/>
          <w:sz w:val="24"/>
          <w:szCs w:val="24"/>
        </w:rPr>
        <w:t>DEL CONTROL OFICIOSO DE LEGALIDAD</w:t>
      </w:r>
    </w:p>
    <w:p w:rsidR="00BD4A65" w:rsidRPr="008D1AFC" w:rsidRDefault="00BD4A65" w:rsidP="008D1AFC">
      <w:pPr>
        <w:spacing w:line="276" w:lineRule="auto"/>
        <w:ind w:right="51"/>
        <w:jc w:val="both"/>
        <w:rPr>
          <w:rFonts w:ascii="Arial" w:hAnsi="Arial" w:cs="Arial"/>
          <w:b/>
          <w:sz w:val="24"/>
          <w:szCs w:val="24"/>
        </w:rPr>
      </w:pPr>
    </w:p>
    <w:p w:rsidR="00BD4A65" w:rsidRPr="008D1AFC" w:rsidRDefault="00BD4A65" w:rsidP="008D1AFC">
      <w:pPr>
        <w:spacing w:line="276" w:lineRule="auto"/>
        <w:ind w:right="51"/>
        <w:jc w:val="both"/>
        <w:rPr>
          <w:rFonts w:ascii="Arial" w:hAnsi="Arial" w:cs="Arial"/>
          <w:sz w:val="24"/>
          <w:szCs w:val="24"/>
        </w:rPr>
      </w:pPr>
      <w:r w:rsidRPr="008D1AFC">
        <w:rPr>
          <w:rFonts w:ascii="Arial" w:hAnsi="Arial" w:cs="Arial"/>
          <w:sz w:val="24"/>
          <w:szCs w:val="24"/>
        </w:rPr>
        <w:t xml:space="preserve">El título III del Código General del Proceso consagra los deberes de los jueces, dentro de los que se cuenta, de manera especial y para lo que interesa a la definición del presente asunto, la obligación que le asiste de realizar el control de legalidad de la actuación procesal una vez evacuada cada fase del trámite </w:t>
      </w:r>
      <w:r w:rsidR="00792359">
        <w:rPr>
          <w:rFonts w:ascii="Arial" w:hAnsi="Arial" w:cs="Arial"/>
          <w:sz w:val="24"/>
          <w:szCs w:val="24"/>
        </w:rPr>
        <w:t>-</w:t>
      </w:r>
      <w:r w:rsidRPr="008D1AFC">
        <w:rPr>
          <w:rFonts w:ascii="Arial" w:hAnsi="Arial" w:cs="Arial"/>
          <w:sz w:val="24"/>
          <w:szCs w:val="24"/>
        </w:rPr>
        <w:t>numeral 12 artículo 42-.  Dich</w:t>
      </w:r>
      <w:r w:rsidR="320382F8" w:rsidRPr="008D1AFC">
        <w:rPr>
          <w:rFonts w:ascii="Arial" w:hAnsi="Arial" w:cs="Arial"/>
          <w:sz w:val="24"/>
          <w:szCs w:val="24"/>
        </w:rPr>
        <w:t>a</w:t>
      </w:r>
      <w:r w:rsidRPr="008D1AFC">
        <w:rPr>
          <w:rFonts w:ascii="Arial" w:hAnsi="Arial" w:cs="Arial"/>
          <w:sz w:val="24"/>
          <w:szCs w:val="24"/>
        </w:rPr>
        <w:t xml:space="preserve"> carga la define el artículo 132 de la misma disposición como el deber que le asiste de corregir o sanear los vicios que configuren nulidades u otras irregularidades del proceso.</w:t>
      </w:r>
    </w:p>
    <w:p w:rsidR="00BD4A65" w:rsidRPr="008D1AFC" w:rsidRDefault="00BD4A65" w:rsidP="008D1AFC">
      <w:pPr>
        <w:spacing w:line="276" w:lineRule="auto"/>
        <w:ind w:right="51"/>
        <w:jc w:val="both"/>
        <w:rPr>
          <w:rFonts w:ascii="Arial" w:hAnsi="Arial" w:cs="Arial"/>
          <w:sz w:val="24"/>
          <w:szCs w:val="24"/>
        </w:rPr>
      </w:pPr>
    </w:p>
    <w:p w:rsidR="00BD4A65" w:rsidRPr="008D1AFC" w:rsidRDefault="00BD4A65" w:rsidP="008D1AFC">
      <w:pPr>
        <w:pStyle w:val="Textoindependiente2"/>
        <w:spacing w:after="0" w:line="276" w:lineRule="auto"/>
        <w:jc w:val="both"/>
        <w:rPr>
          <w:rFonts w:ascii="Arial" w:hAnsi="Arial" w:cs="Arial"/>
          <w:sz w:val="24"/>
          <w:szCs w:val="24"/>
        </w:rPr>
      </w:pPr>
      <w:r w:rsidRPr="008D1AFC">
        <w:rPr>
          <w:rFonts w:ascii="Arial" w:hAnsi="Arial" w:cs="Arial"/>
          <w:sz w:val="24"/>
          <w:szCs w:val="24"/>
        </w:rPr>
        <w:t>Frente a tal deber la Sala de Casación Civil y Agraria, en la Sentencia STC919-2020 preciso:</w:t>
      </w:r>
    </w:p>
    <w:p w:rsidR="00BD4A65" w:rsidRPr="008D1AFC" w:rsidRDefault="00BD4A65" w:rsidP="008D1AFC">
      <w:pPr>
        <w:pStyle w:val="Textoindependiente2"/>
        <w:spacing w:after="0" w:line="276" w:lineRule="auto"/>
        <w:ind w:firstLine="709"/>
        <w:jc w:val="both"/>
        <w:rPr>
          <w:rFonts w:ascii="Arial" w:hAnsi="Arial" w:cs="Arial"/>
          <w:sz w:val="24"/>
          <w:szCs w:val="24"/>
        </w:rPr>
      </w:pPr>
    </w:p>
    <w:p w:rsidR="00BD4A65" w:rsidRPr="000F3C39" w:rsidRDefault="00BD4A65" w:rsidP="000F3C39">
      <w:pPr>
        <w:pStyle w:val="Textoindependiente2"/>
        <w:spacing w:after="0" w:line="240" w:lineRule="auto"/>
        <w:ind w:left="426" w:right="418"/>
        <w:jc w:val="both"/>
        <w:rPr>
          <w:rFonts w:ascii="Arial" w:hAnsi="Arial" w:cs="Arial"/>
          <w:sz w:val="22"/>
          <w:szCs w:val="24"/>
        </w:rPr>
      </w:pPr>
      <w:r w:rsidRPr="000F3C39">
        <w:rPr>
          <w:rFonts w:ascii="Arial" w:hAnsi="Arial" w:cs="Arial"/>
          <w:sz w:val="22"/>
          <w:szCs w:val="24"/>
        </w:rPr>
        <w:t xml:space="preserve">“Ahora, el artículo 132 del C.G.P. le impone al servidor el deber de examinar el trámite al acaecimiento de cada etapa del litigio para descartar posibles </w:t>
      </w:r>
      <w:r w:rsidRPr="000F3C39">
        <w:rPr>
          <w:rFonts w:ascii="Arial" w:hAnsi="Arial" w:cs="Arial"/>
          <w:i/>
          <w:sz w:val="22"/>
          <w:szCs w:val="24"/>
        </w:rPr>
        <w:t>«dislates procesales»</w:t>
      </w:r>
      <w:r w:rsidRPr="000F3C39">
        <w:rPr>
          <w:rFonts w:ascii="Arial" w:hAnsi="Arial" w:cs="Arial"/>
          <w:sz w:val="22"/>
          <w:szCs w:val="24"/>
        </w:rPr>
        <w:t xml:space="preserve"> o para aplicar la correctivos necesarios frente a las irregularidades que observe en aras de </w:t>
      </w:r>
      <w:r w:rsidRPr="000F3C39">
        <w:rPr>
          <w:rFonts w:ascii="Arial" w:hAnsi="Arial" w:cs="Arial"/>
          <w:i/>
          <w:sz w:val="22"/>
          <w:szCs w:val="24"/>
        </w:rPr>
        <w:t xml:space="preserve">«evitar que contaminen la actuación posterior, o para </w:t>
      </w:r>
      <w:r w:rsidRPr="000F3C39">
        <w:rPr>
          <w:rFonts w:ascii="Arial" w:hAnsi="Arial" w:cs="Arial"/>
          <w:i/>
          <w:sz w:val="22"/>
          <w:szCs w:val="24"/>
        </w:rPr>
        <w:lastRenderedPageBreak/>
        <w:t xml:space="preserve">enderezar el rumbo del proceso cuando haya sido desviado por medio de decisiones arbitrarias» </w:t>
      </w:r>
      <w:r w:rsidRPr="000F3C39">
        <w:rPr>
          <w:rFonts w:ascii="Arial" w:hAnsi="Arial" w:cs="Arial"/>
          <w:sz w:val="22"/>
          <w:szCs w:val="24"/>
        </w:rPr>
        <w:t xml:space="preserve">(CSJ STC6560-2016, 19 </w:t>
      </w:r>
      <w:proofErr w:type="spellStart"/>
      <w:r w:rsidRPr="000F3C39">
        <w:rPr>
          <w:rFonts w:ascii="Arial" w:hAnsi="Arial" w:cs="Arial"/>
          <w:sz w:val="22"/>
          <w:szCs w:val="24"/>
        </w:rPr>
        <w:t>may</w:t>
      </w:r>
      <w:proofErr w:type="spellEnd"/>
      <w:r w:rsidRPr="000F3C39">
        <w:rPr>
          <w:rFonts w:ascii="Arial" w:hAnsi="Arial" w:cs="Arial"/>
          <w:sz w:val="22"/>
          <w:szCs w:val="24"/>
        </w:rPr>
        <w:t xml:space="preserve">.) y de esa manera cerrar la oportunidad de cuestionar la validez del pleito por anomalías ocurridas en fases remotas. </w:t>
      </w:r>
    </w:p>
    <w:p w:rsidR="00BD4A65" w:rsidRPr="000F3C39" w:rsidRDefault="00BD4A65" w:rsidP="000F3C39">
      <w:pPr>
        <w:pStyle w:val="Textoindependiente2"/>
        <w:spacing w:after="0" w:line="240" w:lineRule="auto"/>
        <w:ind w:left="426" w:right="418" w:firstLine="142"/>
        <w:jc w:val="both"/>
        <w:rPr>
          <w:rFonts w:ascii="Arial" w:hAnsi="Arial" w:cs="Arial"/>
          <w:sz w:val="22"/>
          <w:szCs w:val="24"/>
        </w:rPr>
      </w:pPr>
    </w:p>
    <w:p w:rsidR="00BD4A65" w:rsidRPr="000F3C39" w:rsidRDefault="00BD4A65" w:rsidP="000F3C39">
      <w:pPr>
        <w:ind w:left="426" w:right="418" w:firstLine="142"/>
        <w:jc w:val="both"/>
        <w:rPr>
          <w:rFonts w:ascii="Arial" w:hAnsi="Arial" w:cs="Arial"/>
          <w:snapToGrid w:val="0"/>
          <w:sz w:val="22"/>
          <w:szCs w:val="24"/>
        </w:rPr>
      </w:pPr>
      <w:r w:rsidRPr="000F3C39">
        <w:rPr>
          <w:rFonts w:ascii="Arial" w:hAnsi="Arial" w:cs="Arial"/>
          <w:sz w:val="22"/>
          <w:szCs w:val="24"/>
        </w:rPr>
        <w:t>Lo anterior, en armonía con lo que esta Corte viene afirmado en relación con la competencia de la judicatura para realizar «</w:t>
      </w:r>
      <w:r w:rsidRPr="000F3C39">
        <w:rPr>
          <w:rFonts w:ascii="Arial" w:hAnsi="Arial" w:cs="Arial"/>
          <w:i/>
          <w:sz w:val="22"/>
          <w:szCs w:val="24"/>
        </w:rPr>
        <w:t>control de legalidad»</w:t>
      </w:r>
      <w:r w:rsidRPr="000F3C39">
        <w:rPr>
          <w:rFonts w:ascii="Arial" w:hAnsi="Arial" w:cs="Arial"/>
          <w:sz w:val="22"/>
          <w:szCs w:val="24"/>
        </w:rPr>
        <w:t>, esto es, que «</w:t>
      </w:r>
      <w:r w:rsidRPr="000F3C39">
        <w:rPr>
          <w:rFonts w:ascii="Arial" w:hAnsi="Arial" w:cs="Arial"/>
          <w:i/>
          <w:snapToGrid w:val="0"/>
          <w:sz w:val="22"/>
          <w:szCs w:val="24"/>
        </w:rPr>
        <w:t xml:space="preserve">tal examen se circunscribe al procedimiento surtido, mas no al estudio de los temas sustanciales que han de resolverse en la sentencia o en el pronunciamiento definitorio de la litis» </w:t>
      </w:r>
      <w:r w:rsidRPr="000F3C39">
        <w:rPr>
          <w:rFonts w:ascii="Arial" w:hAnsi="Arial" w:cs="Arial"/>
          <w:snapToGrid w:val="0"/>
          <w:sz w:val="22"/>
          <w:szCs w:val="24"/>
        </w:rPr>
        <w:t xml:space="preserve">(sentencia de tutela de 23 de octubre de 2012, </w:t>
      </w:r>
      <w:proofErr w:type="spellStart"/>
      <w:r w:rsidRPr="000F3C39">
        <w:rPr>
          <w:rFonts w:ascii="Arial" w:hAnsi="Arial" w:cs="Arial"/>
          <w:snapToGrid w:val="0"/>
          <w:sz w:val="22"/>
          <w:szCs w:val="24"/>
        </w:rPr>
        <w:t>exp</w:t>
      </w:r>
      <w:proofErr w:type="spellEnd"/>
      <w:r w:rsidRPr="000F3C39">
        <w:rPr>
          <w:rFonts w:ascii="Arial" w:hAnsi="Arial" w:cs="Arial"/>
          <w:snapToGrid w:val="0"/>
          <w:sz w:val="22"/>
          <w:szCs w:val="24"/>
        </w:rPr>
        <w:t xml:space="preserve">. 000143-01, citada el 22 de agosto de 2013, </w:t>
      </w:r>
      <w:proofErr w:type="spellStart"/>
      <w:r w:rsidRPr="000F3C39">
        <w:rPr>
          <w:rFonts w:ascii="Arial" w:hAnsi="Arial" w:cs="Arial"/>
          <w:snapToGrid w:val="0"/>
          <w:sz w:val="22"/>
          <w:szCs w:val="24"/>
        </w:rPr>
        <w:t>exp</w:t>
      </w:r>
      <w:proofErr w:type="spellEnd"/>
      <w:r w:rsidRPr="000F3C39">
        <w:rPr>
          <w:rFonts w:ascii="Arial" w:hAnsi="Arial" w:cs="Arial"/>
          <w:snapToGrid w:val="0"/>
          <w:sz w:val="22"/>
          <w:szCs w:val="24"/>
        </w:rPr>
        <w:t>. 01273-01 entre otras)”.</w:t>
      </w:r>
    </w:p>
    <w:p w:rsidR="00BD4A65" w:rsidRPr="008D1AFC" w:rsidRDefault="00BD4A65" w:rsidP="008D1AFC">
      <w:pPr>
        <w:spacing w:line="276" w:lineRule="auto"/>
        <w:ind w:right="51"/>
        <w:jc w:val="both"/>
        <w:rPr>
          <w:rFonts w:ascii="Arial" w:hAnsi="Arial" w:cs="Arial"/>
          <w:sz w:val="24"/>
          <w:szCs w:val="24"/>
        </w:rPr>
      </w:pPr>
    </w:p>
    <w:p w:rsidR="00BD4A65" w:rsidRPr="008D1AFC" w:rsidRDefault="00BD4A65" w:rsidP="008D1AFC">
      <w:pPr>
        <w:numPr>
          <w:ilvl w:val="0"/>
          <w:numId w:val="1"/>
        </w:numPr>
        <w:spacing w:line="276" w:lineRule="auto"/>
        <w:ind w:left="567" w:right="51" w:hanging="567"/>
        <w:jc w:val="both"/>
        <w:rPr>
          <w:rFonts w:ascii="Arial" w:hAnsi="Arial" w:cs="Arial"/>
          <w:b/>
          <w:sz w:val="24"/>
          <w:szCs w:val="24"/>
        </w:rPr>
      </w:pPr>
      <w:r w:rsidRPr="008D1AFC">
        <w:rPr>
          <w:rFonts w:ascii="Arial" w:hAnsi="Arial" w:cs="Arial"/>
          <w:b/>
          <w:sz w:val="24"/>
          <w:szCs w:val="24"/>
        </w:rPr>
        <w:t>DE LOS BIENES INEMBARGABLES.</w:t>
      </w:r>
    </w:p>
    <w:p w:rsidR="00BD4A65" w:rsidRPr="008D1AFC" w:rsidRDefault="00BD4A65" w:rsidP="008D1AFC">
      <w:pPr>
        <w:spacing w:line="276" w:lineRule="auto"/>
        <w:ind w:right="51"/>
        <w:jc w:val="both"/>
        <w:rPr>
          <w:rFonts w:ascii="Arial" w:hAnsi="Arial" w:cs="Arial"/>
          <w:b/>
          <w:sz w:val="24"/>
          <w:szCs w:val="24"/>
        </w:rPr>
      </w:pPr>
    </w:p>
    <w:p w:rsidR="00BD4A65" w:rsidRPr="008D1AFC" w:rsidRDefault="00BD4A65" w:rsidP="008D1AFC">
      <w:pPr>
        <w:spacing w:line="276" w:lineRule="auto"/>
        <w:ind w:right="51"/>
        <w:jc w:val="both"/>
        <w:rPr>
          <w:rFonts w:ascii="Arial" w:hAnsi="Arial" w:cs="Arial"/>
          <w:sz w:val="24"/>
          <w:szCs w:val="24"/>
        </w:rPr>
      </w:pPr>
      <w:r w:rsidRPr="008D1AFC">
        <w:rPr>
          <w:rFonts w:ascii="Arial" w:hAnsi="Arial" w:cs="Arial"/>
          <w:sz w:val="24"/>
          <w:szCs w:val="24"/>
        </w:rPr>
        <w:t>Dispone el artículo 594 del Código General del Proceso, que tienen tal calidad, “</w:t>
      </w:r>
      <w:r w:rsidRPr="000F3C39">
        <w:rPr>
          <w:rFonts w:ascii="Arial" w:hAnsi="Arial" w:cs="Arial"/>
          <w:i/>
          <w:sz w:val="22"/>
          <w:szCs w:val="24"/>
        </w:rPr>
        <w:t>Los bienes destinados a un servicio público cuando éste se presente directamente por una entidad descentralizada de cualquier orden, o por medio de un concesionario de éstas</w:t>
      </w:r>
      <w:r w:rsidRPr="008D1AFC">
        <w:rPr>
          <w:rFonts w:ascii="Arial" w:hAnsi="Arial" w:cs="Arial"/>
          <w:sz w:val="24"/>
          <w:szCs w:val="24"/>
        </w:rPr>
        <w:t>”; no obstante ello, la misma norma señala la posibilidad embargar hasta la tercera parte de los ingresos brutos del respectivo servicio.</w:t>
      </w:r>
    </w:p>
    <w:p w:rsidR="00BD4A65" w:rsidRPr="008D1AFC" w:rsidRDefault="00BD4A65" w:rsidP="008D1AFC">
      <w:pPr>
        <w:spacing w:line="276" w:lineRule="auto"/>
        <w:ind w:right="51"/>
        <w:jc w:val="both"/>
        <w:rPr>
          <w:rFonts w:ascii="Arial" w:hAnsi="Arial" w:cs="Arial"/>
          <w:sz w:val="24"/>
          <w:szCs w:val="24"/>
        </w:rPr>
      </w:pPr>
    </w:p>
    <w:p w:rsidR="00BD4A65" w:rsidRPr="008D1AFC" w:rsidRDefault="00BD4A65" w:rsidP="008D1AFC">
      <w:pPr>
        <w:spacing w:line="276" w:lineRule="auto"/>
        <w:ind w:right="51"/>
        <w:jc w:val="both"/>
        <w:rPr>
          <w:rFonts w:ascii="Arial" w:hAnsi="Arial" w:cs="Arial"/>
          <w:sz w:val="24"/>
          <w:szCs w:val="24"/>
        </w:rPr>
      </w:pPr>
      <w:r w:rsidRPr="008D1AFC">
        <w:rPr>
          <w:rFonts w:ascii="Arial" w:hAnsi="Arial" w:cs="Arial"/>
          <w:sz w:val="24"/>
          <w:szCs w:val="24"/>
        </w:rPr>
        <w:t>Es así entonces que quien persiga en acción ejecutiva a una entidad descentralizada que presta de manera directa un servicio público o a uno de sus concesionarios, debe especificar que los recursos o bienes perseguidos son producto o corresponden a la utilidad bruta del servicio público que presta la parte ejecutada, pues la norma que regula el tema puntal en el procedimiento civil, aplicable por analogía a estas materias, prevé la necesidad de diferenciar tales rubros con el fin de que se proceda a decretar el embargo.</w:t>
      </w:r>
    </w:p>
    <w:p w:rsidR="00BD4A65" w:rsidRPr="008D1AFC" w:rsidRDefault="00BD4A65" w:rsidP="008D1AFC">
      <w:pPr>
        <w:pStyle w:val="Textoindependiente"/>
        <w:spacing w:line="276" w:lineRule="auto"/>
        <w:ind w:right="51"/>
        <w:rPr>
          <w:rFonts w:cs="Arial"/>
          <w:sz w:val="24"/>
          <w:szCs w:val="24"/>
        </w:rPr>
      </w:pPr>
    </w:p>
    <w:p w:rsidR="00BD4A65" w:rsidRPr="008D1AFC" w:rsidRDefault="00BD4A65" w:rsidP="008D1AFC">
      <w:pPr>
        <w:pStyle w:val="Textoindependiente"/>
        <w:numPr>
          <w:ilvl w:val="0"/>
          <w:numId w:val="1"/>
        </w:numPr>
        <w:spacing w:line="276" w:lineRule="auto"/>
        <w:ind w:left="426" w:right="284" w:hanging="426"/>
        <w:rPr>
          <w:rFonts w:cs="Arial"/>
          <w:b/>
          <w:sz w:val="24"/>
          <w:szCs w:val="24"/>
          <w:lang w:val="es-CO"/>
        </w:rPr>
      </w:pPr>
      <w:r w:rsidRPr="008D1AFC">
        <w:rPr>
          <w:rFonts w:cs="Arial"/>
          <w:b/>
          <w:sz w:val="24"/>
          <w:szCs w:val="24"/>
          <w:lang w:val="es-CO"/>
        </w:rPr>
        <w:t>CASO CONCRETO</w:t>
      </w:r>
    </w:p>
    <w:p w:rsidR="00BD4A65" w:rsidRPr="008D1AFC" w:rsidRDefault="00BD4A65" w:rsidP="008D1AFC">
      <w:pPr>
        <w:pStyle w:val="Textoindependiente"/>
        <w:spacing w:line="276" w:lineRule="auto"/>
        <w:ind w:right="284"/>
        <w:rPr>
          <w:rFonts w:cs="Arial"/>
          <w:b/>
          <w:sz w:val="24"/>
          <w:szCs w:val="24"/>
          <w:lang w:val="es-CO"/>
        </w:rPr>
      </w:pPr>
    </w:p>
    <w:p w:rsidR="00BD4A65" w:rsidRPr="008D1AFC" w:rsidRDefault="0647CC90" w:rsidP="008D1AFC">
      <w:pPr>
        <w:pStyle w:val="Textoindependiente"/>
        <w:spacing w:line="276" w:lineRule="auto"/>
        <w:ind w:right="51"/>
        <w:rPr>
          <w:rFonts w:cs="Arial"/>
          <w:sz w:val="24"/>
          <w:szCs w:val="24"/>
        </w:rPr>
      </w:pPr>
      <w:r w:rsidRPr="008D1AFC">
        <w:rPr>
          <w:rFonts w:cs="Arial"/>
          <w:sz w:val="24"/>
          <w:szCs w:val="24"/>
        </w:rPr>
        <w:t>Para abordar</w:t>
      </w:r>
      <w:r w:rsidR="49C40779" w:rsidRPr="008D1AFC">
        <w:rPr>
          <w:rFonts w:cs="Arial"/>
          <w:sz w:val="24"/>
          <w:szCs w:val="24"/>
        </w:rPr>
        <w:t xml:space="preserve"> los motivos de</w:t>
      </w:r>
      <w:r w:rsidR="302476C4" w:rsidRPr="008D1AFC">
        <w:rPr>
          <w:rFonts w:cs="Arial"/>
          <w:sz w:val="24"/>
          <w:szCs w:val="24"/>
        </w:rPr>
        <w:t xml:space="preserve"> descuerdo</w:t>
      </w:r>
      <w:r w:rsidR="49C40779" w:rsidRPr="008D1AFC">
        <w:rPr>
          <w:rFonts w:cs="Arial"/>
          <w:sz w:val="24"/>
          <w:szCs w:val="24"/>
        </w:rPr>
        <w:t xml:space="preserve"> del recurrente, cabe señalar que ningún reproche merece la actuación de la funcionaria de primer grado, pues resulta evidente que en cumplimiento de su deber, hizo el control de legalidad que le correspondía en la etapa procesal oportuna, s</w:t>
      </w:r>
      <w:r w:rsidR="540A8454" w:rsidRPr="008D1AFC">
        <w:rPr>
          <w:rFonts w:cs="Arial"/>
          <w:sz w:val="24"/>
          <w:szCs w:val="24"/>
        </w:rPr>
        <w:t>iendo</w:t>
      </w:r>
      <w:r w:rsidR="49C40779" w:rsidRPr="008D1AFC">
        <w:rPr>
          <w:rFonts w:cs="Arial"/>
          <w:sz w:val="24"/>
          <w:szCs w:val="24"/>
        </w:rPr>
        <w:t xml:space="preserve"> claro que el análisis de la procedencia de terminación del proceso por pago total de la obligación ameritaba el estudio juicioso del origen de los dineros aprisionados por cuenta de la prosperidad de la medida cautelar decretada, carga que le correspondía, máxime que tenía conocimiento que en otros procesos de la misma naturaleza y conformado por la misma parte pasiva, tal discusión se había presentado.</w:t>
      </w:r>
    </w:p>
    <w:p w:rsidR="00BD4A65" w:rsidRPr="008D1AFC" w:rsidRDefault="00BD4A65" w:rsidP="008D1AFC">
      <w:pPr>
        <w:pStyle w:val="Textoindependiente"/>
        <w:spacing w:line="276" w:lineRule="auto"/>
        <w:ind w:right="51"/>
        <w:rPr>
          <w:rFonts w:cs="Arial"/>
          <w:sz w:val="24"/>
          <w:szCs w:val="24"/>
        </w:rPr>
      </w:pPr>
    </w:p>
    <w:p w:rsidR="00BD4A65" w:rsidRPr="008D1AFC" w:rsidRDefault="00BD4A65" w:rsidP="008D1AFC">
      <w:pPr>
        <w:pStyle w:val="Textoindependiente"/>
        <w:spacing w:line="276" w:lineRule="auto"/>
        <w:ind w:right="51"/>
        <w:rPr>
          <w:rFonts w:cs="Arial"/>
          <w:sz w:val="24"/>
          <w:szCs w:val="24"/>
        </w:rPr>
      </w:pPr>
      <w:r w:rsidRPr="008D1AFC">
        <w:rPr>
          <w:rFonts w:cs="Arial"/>
          <w:sz w:val="24"/>
          <w:szCs w:val="24"/>
        </w:rPr>
        <w:t xml:space="preserve">De manera pues que el hecho que la titular de los bienes embargados no se haya opuesto o no se haya pronunciado en torno al embargo de sus recursos, no es óbice para que el juez analice la legalidad de la medida que pone a disposición el proceso una suma con la que se busca cubrir la obligación pretendida. </w:t>
      </w:r>
    </w:p>
    <w:p w:rsidR="00BD4A65" w:rsidRPr="008D1AFC" w:rsidRDefault="00BD4A65" w:rsidP="008D1AFC">
      <w:pPr>
        <w:pStyle w:val="Textoindependiente"/>
        <w:spacing w:line="276" w:lineRule="auto"/>
        <w:ind w:right="51"/>
        <w:rPr>
          <w:rFonts w:cs="Arial"/>
          <w:sz w:val="24"/>
          <w:szCs w:val="24"/>
        </w:rPr>
      </w:pPr>
    </w:p>
    <w:p w:rsidR="00BD4A65" w:rsidRDefault="49C40779" w:rsidP="008D1AFC">
      <w:pPr>
        <w:pStyle w:val="Textoindependiente"/>
        <w:spacing w:line="276" w:lineRule="auto"/>
        <w:ind w:right="51"/>
        <w:rPr>
          <w:rFonts w:cs="Arial"/>
          <w:sz w:val="24"/>
          <w:szCs w:val="24"/>
        </w:rPr>
      </w:pPr>
      <w:r w:rsidRPr="008D1AFC">
        <w:rPr>
          <w:rFonts w:cs="Arial"/>
          <w:sz w:val="24"/>
          <w:szCs w:val="24"/>
        </w:rPr>
        <w:t xml:space="preserve">Dicho lo anterior, baste decir que </w:t>
      </w:r>
      <w:bookmarkStart w:id="1" w:name="_Hlk81928408"/>
      <w:r w:rsidRPr="008D1AFC">
        <w:rPr>
          <w:rFonts w:cs="Arial"/>
          <w:sz w:val="24"/>
          <w:szCs w:val="24"/>
        </w:rPr>
        <w:t xml:space="preserve">ninguna discusión ofrece </w:t>
      </w:r>
      <w:r w:rsidR="22B25D38" w:rsidRPr="008D1AFC">
        <w:rPr>
          <w:rFonts w:cs="Arial"/>
          <w:sz w:val="24"/>
          <w:szCs w:val="24"/>
        </w:rPr>
        <w:t xml:space="preserve">la </w:t>
      </w:r>
      <w:r w:rsidRPr="008D1AFC">
        <w:rPr>
          <w:rFonts w:cs="Arial"/>
          <w:sz w:val="24"/>
          <w:szCs w:val="24"/>
        </w:rPr>
        <w:t>calidad de servicio público que ostenta el transporte, de allí que no vea la Sala en la necesidad de determinar si se trata de un servicio esencial o no, como tampoco de establecer si los recursos aprisionados tienen origen en la prestación de dicho servicio, pues tanto el juzgado como el quejoso coinciden de manera positiva en ese punto específico.</w:t>
      </w:r>
    </w:p>
    <w:bookmarkEnd w:id="1"/>
    <w:p w:rsidR="000F3C39" w:rsidRPr="008D1AFC" w:rsidRDefault="000F3C39" w:rsidP="008D1AFC">
      <w:pPr>
        <w:pStyle w:val="Textoindependiente"/>
        <w:spacing w:line="276" w:lineRule="auto"/>
        <w:ind w:right="51"/>
        <w:rPr>
          <w:rFonts w:cs="Arial"/>
          <w:sz w:val="24"/>
          <w:szCs w:val="24"/>
        </w:rPr>
      </w:pPr>
    </w:p>
    <w:p w:rsidR="00BD4A65" w:rsidRPr="008D1AFC" w:rsidRDefault="49C40779" w:rsidP="008D1AFC">
      <w:pPr>
        <w:pStyle w:val="Textoindependiente"/>
        <w:spacing w:line="276" w:lineRule="auto"/>
        <w:ind w:right="51"/>
        <w:rPr>
          <w:rFonts w:cs="Arial"/>
          <w:sz w:val="24"/>
          <w:szCs w:val="24"/>
        </w:rPr>
      </w:pPr>
      <w:r w:rsidRPr="008D1AFC">
        <w:rPr>
          <w:rFonts w:cs="Arial"/>
          <w:sz w:val="24"/>
          <w:szCs w:val="24"/>
        </w:rPr>
        <w:t>Ahora bien, los ejecutantes ponen en entre dicho que los recursos aprisionados no sean los que le corresponden a la Sociedad SI 99 S.A. a título de utilidades como resultado del cumplimiento de su objeto contractual, pues fue en ese sentido que se encaus</w:t>
      </w:r>
      <w:r w:rsidR="2FB6BFA0" w:rsidRPr="008D1AFC">
        <w:rPr>
          <w:rFonts w:eastAsia="Arial" w:cs="Arial"/>
          <w:sz w:val="24"/>
          <w:szCs w:val="24"/>
        </w:rPr>
        <w:t>ó</w:t>
      </w:r>
      <w:r w:rsidRPr="008D1AFC">
        <w:rPr>
          <w:rFonts w:cs="Arial"/>
          <w:sz w:val="24"/>
          <w:szCs w:val="24"/>
        </w:rPr>
        <w:t xml:space="preserve"> la medida cautelar decretada, no siendo dable, según los recurrentes</w:t>
      </w:r>
      <w:r w:rsidR="22B25D38" w:rsidRPr="008D1AFC">
        <w:rPr>
          <w:rFonts w:cs="Arial"/>
          <w:sz w:val="24"/>
          <w:szCs w:val="24"/>
        </w:rPr>
        <w:t>,</w:t>
      </w:r>
      <w:r w:rsidRPr="008D1AFC">
        <w:rPr>
          <w:rFonts w:cs="Arial"/>
          <w:sz w:val="24"/>
          <w:szCs w:val="24"/>
        </w:rPr>
        <w:t xml:space="preserve"> que se presuma que la entidad que inscribió el embargo desconociera las previsiones del numeral 3º del artículo 594 del Código General del Proceso.</w:t>
      </w:r>
    </w:p>
    <w:p w:rsidR="00BD4A65" w:rsidRPr="008D1AFC" w:rsidRDefault="00BD4A65" w:rsidP="008D1AFC">
      <w:pPr>
        <w:pStyle w:val="Textoindependiente"/>
        <w:spacing w:line="276" w:lineRule="auto"/>
        <w:ind w:right="51"/>
        <w:rPr>
          <w:rFonts w:cs="Arial"/>
          <w:sz w:val="24"/>
          <w:szCs w:val="24"/>
        </w:rPr>
      </w:pPr>
    </w:p>
    <w:p w:rsidR="00BD4A65" w:rsidRPr="008D1AFC" w:rsidRDefault="49C40779" w:rsidP="008D1AFC">
      <w:pPr>
        <w:pStyle w:val="Textoindependiente"/>
        <w:spacing w:line="276" w:lineRule="auto"/>
        <w:ind w:right="51"/>
        <w:rPr>
          <w:rFonts w:cs="Arial"/>
          <w:sz w:val="24"/>
          <w:szCs w:val="24"/>
        </w:rPr>
      </w:pPr>
      <w:r w:rsidRPr="008D1AFC">
        <w:rPr>
          <w:rFonts w:cs="Arial"/>
          <w:sz w:val="24"/>
          <w:szCs w:val="24"/>
        </w:rPr>
        <w:t>Para definir esta controversia, es del caso señalar que la norma en cita es clara en señalar que son inembargables los bienes “</w:t>
      </w:r>
      <w:r w:rsidRPr="000F3C39">
        <w:rPr>
          <w:rFonts w:cs="Arial"/>
          <w:i/>
          <w:iCs/>
          <w:sz w:val="22"/>
          <w:szCs w:val="24"/>
        </w:rPr>
        <w:t>destinados a un servicio público cuando ese se preste directamente por una entidad descentralizada de cualquier orden, o por medio de un concesionario</w:t>
      </w:r>
      <w:r w:rsidR="4902BFE8" w:rsidRPr="000F3C39">
        <w:rPr>
          <w:rFonts w:cs="Arial"/>
          <w:i/>
          <w:iCs/>
          <w:sz w:val="22"/>
          <w:szCs w:val="24"/>
        </w:rPr>
        <w:t xml:space="preserve">; </w:t>
      </w:r>
      <w:r w:rsidR="4902BFE8" w:rsidRPr="000F3C39">
        <w:rPr>
          <w:rFonts w:eastAsia="Arial" w:cs="Arial"/>
          <w:i/>
          <w:iCs/>
          <w:sz w:val="22"/>
          <w:szCs w:val="24"/>
          <w:lang w:val="es-ES"/>
        </w:rPr>
        <w:t>pero es embargable hasta la tercera parte de los ingresos brutos del respectivo servicio, sin que el total de embargos que se decreten exceda de dicho porcentaje</w:t>
      </w:r>
      <w:r w:rsidRPr="008D1AFC">
        <w:rPr>
          <w:rFonts w:cs="Arial"/>
          <w:i/>
          <w:iCs/>
          <w:sz w:val="24"/>
          <w:szCs w:val="24"/>
        </w:rPr>
        <w:t>”</w:t>
      </w:r>
      <w:r w:rsidR="6293633C" w:rsidRPr="008D1AFC">
        <w:rPr>
          <w:rFonts w:cs="Arial"/>
          <w:i/>
          <w:iCs/>
          <w:sz w:val="24"/>
          <w:szCs w:val="24"/>
        </w:rPr>
        <w:t>.</w:t>
      </w:r>
      <w:r w:rsidRPr="008D1AFC">
        <w:rPr>
          <w:rFonts w:cs="Arial"/>
          <w:sz w:val="24"/>
          <w:szCs w:val="24"/>
        </w:rPr>
        <w:t xml:space="preserve"> </w:t>
      </w:r>
    </w:p>
    <w:p w:rsidR="00BD4A65" w:rsidRPr="008D1AFC" w:rsidRDefault="00BD4A65" w:rsidP="008D1AFC">
      <w:pPr>
        <w:pStyle w:val="Textoindependiente"/>
        <w:spacing w:line="276" w:lineRule="auto"/>
        <w:ind w:right="51"/>
        <w:rPr>
          <w:rFonts w:eastAsia="Arial" w:cs="Arial"/>
          <w:sz w:val="24"/>
          <w:szCs w:val="24"/>
        </w:rPr>
      </w:pPr>
    </w:p>
    <w:p w:rsidR="00BD4A65" w:rsidRPr="008D1AFC" w:rsidRDefault="3383E3B0" w:rsidP="008D1AFC">
      <w:pPr>
        <w:pStyle w:val="Textoindependiente"/>
        <w:spacing w:line="276" w:lineRule="auto"/>
        <w:ind w:right="51"/>
        <w:rPr>
          <w:rFonts w:cs="Arial"/>
          <w:sz w:val="24"/>
          <w:szCs w:val="24"/>
        </w:rPr>
      </w:pPr>
      <w:r w:rsidRPr="008D1AFC">
        <w:rPr>
          <w:rFonts w:eastAsia="Arial" w:cs="Arial"/>
          <w:sz w:val="24"/>
          <w:szCs w:val="24"/>
        </w:rPr>
        <w:t>En este</w:t>
      </w:r>
      <w:r w:rsidR="49C40779" w:rsidRPr="008D1AFC">
        <w:rPr>
          <w:rFonts w:eastAsia="Arial" w:cs="Arial"/>
          <w:sz w:val="24"/>
          <w:szCs w:val="24"/>
        </w:rPr>
        <w:t xml:space="preserve"> caso</w:t>
      </w:r>
      <w:r w:rsidR="61358DBC" w:rsidRPr="008D1AFC">
        <w:rPr>
          <w:rFonts w:eastAsia="Arial" w:cs="Arial"/>
          <w:sz w:val="24"/>
          <w:szCs w:val="24"/>
        </w:rPr>
        <w:t>, ocurre el supuesto de la norma</w:t>
      </w:r>
      <w:r w:rsidR="49C40779" w:rsidRPr="008D1AFC">
        <w:rPr>
          <w:rFonts w:eastAsia="Arial" w:cs="Arial"/>
          <w:sz w:val="24"/>
          <w:szCs w:val="24"/>
        </w:rPr>
        <w:t xml:space="preserve">, conforme se extrae del Contrato de Concesión </w:t>
      </w:r>
      <w:r w:rsidR="49C40779" w:rsidRPr="008D1AFC">
        <w:rPr>
          <w:rFonts w:cs="Arial"/>
          <w:sz w:val="24"/>
          <w:szCs w:val="24"/>
        </w:rPr>
        <w:t>N</w:t>
      </w:r>
      <w:r w:rsidR="22B25D38" w:rsidRPr="008D1AFC">
        <w:rPr>
          <w:rFonts w:cs="Arial"/>
          <w:sz w:val="24"/>
          <w:szCs w:val="24"/>
        </w:rPr>
        <w:t>o 001 de 19 de abril de 2000</w:t>
      </w:r>
      <w:r w:rsidR="49C40779" w:rsidRPr="008D1AFC">
        <w:rPr>
          <w:rFonts w:cs="Arial"/>
          <w:sz w:val="24"/>
          <w:szCs w:val="24"/>
        </w:rPr>
        <w:t xml:space="preserve"> suscrito para la Prestación del Servicio Público de Trasporte Terrestre Masivo Urbano de Pasajeros del Sistema Transmilenio, entre las sociedades Empresa de Transporte del Tercer Milenio –Transmilenio S.A. y Sistema Integrado de Transporte S.A. –SI 99- que obra en la carpeta denominada “</w:t>
      </w:r>
      <w:r w:rsidR="49C40779" w:rsidRPr="008D1AFC">
        <w:rPr>
          <w:rFonts w:cs="Arial"/>
          <w:i/>
          <w:iCs/>
          <w:sz w:val="24"/>
          <w:szCs w:val="24"/>
        </w:rPr>
        <w:t>Contrato de concesión –SI 99-”</w:t>
      </w:r>
      <w:r w:rsidR="49C40779" w:rsidRPr="008D1AFC">
        <w:rPr>
          <w:rFonts w:cs="Arial"/>
          <w:sz w:val="24"/>
          <w:szCs w:val="24"/>
        </w:rPr>
        <w:t xml:space="preserve"> del cuaderno digital de primera instancia. </w:t>
      </w:r>
    </w:p>
    <w:p w:rsidR="00BD4A65" w:rsidRPr="008D1AFC" w:rsidRDefault="00BD4A65" w:rsidP="008D1AFC">
      <w:pPr>
        <w:pStyle w:val="Textoindependiente"/>
        <w:spacing w:line="276" w:lineRule="auto"/>
        <w:ind w:right="51"/>
        <w:rPr>
          <w:rFonts w:cs="Arial"/>
          <w:sz w:val="24"/>
          <w:szCs w:val="24"/>
        </w:rPr>
      </w:pPr>
    </w:p>
    <w:p w:rsidR="00BD4A65" w:rsidRPr="008D1AFC" w:rsidRDefault="00BD4A65" w:rsidP="008D1AFC">
      <w:pPr>
        <w:pStyle w:val="Textoindependiente"/>
        <w:spacing w:line="276" w:lineRule="auto"/>
        <w:ind w:right="51"/>
        <w:rPr>
          <w:rFonts w:cs="Arial"/>
          <w:sz w:val="24"/>
          <w:szCs w:val="24"/>
        </w:rPr>
      </w:pPr>
      <w:r w:rsidRPr="008D1AFC">
        <w:rPr>
          <w:rFonts w:cs="Arial"/>
          <w:sz w:val="24"/>
          <w:szCs w:val="24"/>
        </w:rPr>
        <w:t>En dicho convenio, en la cláusula 72 se consagró la disposición y destinación especifica de los recursos generados por el sistema así:</w:t>
      </w:r>
    </w:p>
    <w:p w:rsidR="00BD4A65" w:rsidRPr="008D1AFC" w:rsidRDefault="00BD4A65" w:rsidP="008D1AFC">
      <w:pPr>
        <w:pStyle w:val="Textoindependiente"/>
        <w:spacing w:line="276" w:lineRule="auto"/>
        <w:ind w:right="51"/>
        <w:rPr>
          <w:rFonts w:cs="Arial"/>
          <w:sz w:val="24"/>
          <w:szCs w:val="24"/>
        </w:rPr>
      </w:pPr>
    </w:p>
    <w:p w:rsidR="00BD4A65" w:rsidRPr="000F3C39" w:rsidRDefault="49C40779" w:rsidP="000F3C39">
      <w:pPr>
        <w:pStyle w:val="Textoindependiente"/>
        <w:spacing w:line="240" w:lineRule="auto"/>
        <w:ind w:left="426" w:right="418"/>
        <w:rPr>
          <w:rFonts w:cs="Arial"/>
          <w:i/>
          <w:iCs/>
          <w:sz w:val="22"/>
          <w:szCs w:val="24"/>
        </w:rPr>
      </w:pPr>
      <w:r w:rsidRPr="000F3C39">
        <w:rPr>
          <w:rFonts w:cs="Arial"/>
          <w:sz w:val="22"/>
          <w:szCs w:val="24"/>
        </w:rPr>
        <w:t>“</w:t>
      </w:r>
      <w:r w:rsidRPr="000F3C39">
        <w:rPr>
          <w:rFonts w:cs="Arial"/>
          <w:i/>
          <w:iCs/>
          <w:sz w:val="22"/>
          <w:szCs w:val="24"/>
        </w:rPr>
        <w:t xml:space="preserve">Los ingresos totales producidos por la explotación de la actividad de transporte masivo de pasajeros en el Sistema </w:t>
      </w:r>
      <w:proofErr w:type="spellStart"/>
      <w:r w:rsidRPr="000F3C39">
        <w:rPr>
          <w:rFonts w:cs="Arial"/>
          <w:i/>
          <w:iCs/>
          <w:sz w:val="22"/>
          <w:szCs w:val="24"/>
        </w:rPr>
        <w:t>TransMilenio</w:t>
      </w:r>
      <w:proofErr w:type="spellEnd"/>
      <w:r w:rsidRPr="000F3C39">
        <w:rPr>
          <w:rFonts w:cs="Arial"/>
          <w:i/>
          <w:iCs/>
          <w:sz w:val="22"/>
          <w:szCs w:val="24"/>
        </w:rPr>
        <w:t>, serán utilizados para los siguientes fines:</w:t>
      </w:r>
    </w:p>
    <w:p w:rsidR="00BD4A65" w:rsidRPr="000F3C39" w:rsidRDefault="00BD4A65" w:rsidP="000F3C39">
      <w:pPr>
        <w:pStyle w:val="Textoindependiente"/>
        <w:spacing w:line="240" w:lineRule="auto"/>
        <w:ind w:left="426" w:right="418"/>
        <w:rPr>
          <w:rFonts w:cs="Arial"/>
          <w:i/>
          <w:iCs/>
          <w:sz w:val="22"/>
          <w:szCs w:val="24"/>
        </w:rPr>
      </w:pPr>
    </w:p>
    <w:p w:rsidR="00BD4A65" w:rsidRPr="000F3C39" w:rsidRDefault="49C40779" w:rsidP="000F3C39">
      <w:pPr>
        <w:pStyle w:val="Textoindependiente"/>
        <w:spacing w:line="240" w:lineRule="auto"/>
        <w:ind w:left="426" w:right="418"/>
        <w:rPr>
          <w:rFonts w:cs="Arial"/>
          <w:sz w:val="22"/>
          <w:szCs w:val="24"/>
        </w:rPr>
      </w:pPr>
      <w:r w:rsidRPr="000F3C39">
        <w:rPr>
          <w:rFonts w:cs="Arial"/>
          <w:i/>
          <w:iCs/>
          <w:sz w:val="22"/>
          <w:szCs w:val="24"/>
        </w:rPr>
        <w:t xml:space="preserve">72.1 La conformación de un fondo que se denominará “Fondo Principal”, cuya finalidad será (i) la distribución de las participaciones a las que tiene derecho tanto el CONCESIONARIO como los demás concesionarios coexistentes y operadores de la alimentación troncal, por participación en el Sistema </w:t>
      </w:r>
      <w:proofErr w:type="spellStart"/>
      <w:r w:rsidRPr="000F3C39">
        <w:rPr>
          <w:rFonts w:cs="Arial"/>
          <w:i/>
          <w:iCs/>
          <w:sz w:val="22"/>
          <w:szCs w:val="24"/>
        </w:rPr>
        <w:t>TransMilenio</w:t>
      </w:r>
      <w:proofErr w:type="spellEnd"/>
      <w:r w:rsidRPr="000F3C39">
        <w:rPr>
          <w:rFonts w:cs="Arial"/>
          <w:i/>
          <w:iCs/>
          <w:sz w:val="22"/>
          <w:szCs w:val="24"/>
        </w:rPr>
        <w:t>. (ii) La cancelación del valor de la remuneración que el CONCESIONARIO se encuentre obligado a pagar periódicamente al Gestor por los derechos que le confiere la concesión, en los términos previsto en la cláusula 14 del presente contrato, y (</w:t>
      </w:r>
      <w:proofErr w:type="spellStart"/>
      <w:r w:rsidRPr="000F3C39">
        <w:rPr>
          <w:rFonts w:cs="Arial"/>
          <w:i/>
          <w:iCs/>
          <w:sz w:val="22"/>
          <w:szCs w:val="24"/>
        </w:rPr>
        <w:t>iii</w:t>
      </w:r>
      <w:proofErr w:type="spellEnd"/>
      <w:r w:rsidRPr="000F3C39">
        <w:rPr>
          <w:rFonts w:cs="Arial"/>
          <w:i/>
          <w:iCs/>
          <w:sz w:val="22"/>
          <w:szCs w:val="24"/>
        </w:rPr>
        <w:t>) la cancelación de la comisión causada por la administración fiduciaria de los recursos que ingresen al Fondo Principal, en los términos y  condiciones previstos en el contrato de fiducia mercantil que forma parte del presente contrato, suscrito por el CONCESIONARIO para los efectos previstos en el presente contrato. Este fondo se conformará de manera permanente y continua, con la parte de los ingresos producidos por la aplicación del valor de la tarifa técnica al número de pasajeros pagos del Sistema</w:t>
      </w:r>
      <w:r w:rsidR="00E05CDD" w:rsidRPr="000F3C39">
        <w:rPr>
          <w:rFonts w:cs="Arial"/>
          <w:i/>
          <w:iCs/>
          <w:sz w:val="22"/>
          <w:szCs w:val="24"/>
        </w:rPr>
        <w:t>”</w:t>
      </w:r>
      <w:r w:rsidRPr="000F3C39">
        <w:rPr>
          <w:rFonts w:cs="Arial"/>
          <w:sz w:val="22"/>
          <w:szCs w:val="24"/>
        </w:rPr>
        <w:t>.</w:t>
      </w:r>
    </w:p>
    <w:p w:rsidR="00BD4A65" w:rsidRPr="008D1AFC" w:rsidRDefault="00BD4A65" w:rsidP="008D1AFC">
      <w:pPr>
        <w:pStyle w:val="Textoindependiente"/>
        <w:spacing w:line="276" w:lineRule="auto"/>
        <w:ind w:right="51"/>
        <w:rPr>
          <w:rFonts w:cs="Arial"/>
          <w:sz w:val="24"/>
          <w:szCs w:val="24"/>
        </w:rPr>
      </w:pPr>
    </w:p>
    <w:p w:rsidR="00BD4A65" w:rsidRPr="008D1AFC" w:rsidRDefault="00BD4A65" w:rsidP="008D1AFC">
      <w:pPr>
        <w:pStyle w:val="Textoindependiente"/>
        <w:spacing w:line="276" w:lineRule="auto"/>
        <w:ind w:right="51"/>
        <w:rPr>
          <w:rFonts w:cs="Arial"/>
          <w:sz w:val="24"/>
          <w:szCs w:val="24"/>
        </w:rPr>
      </w:pPr>
      <w:r w:rsidRPr="008D1AFC">
        <w:rPr>
          <w:rFonts w:cs="Arial"/>
          <w:sz w:val="24"/>
          <w:szCs w:val="24"/>
        </w:rPr>
        <w:t xml:space="preserve">Así mismo, en la cláusula 75 se indica que los recursos producidos por la prestación del servicio de transporte del Sistema </w:t>
      </w:r>
      <w:proofErr w:type="spellStart"/>
      <w:r w:rsidRPr="008D1AFC">
        <w:rPr>
          <w:rFonts w:cs="Arial"/>
          <w:sz w:val="24"/>
          <w:szCs w:val="24"/>
        </w:rPr>
        <w:t>Trans</w:t>
      </w:r>
      <w:r w:rsidR="003471A9" w:rsidRPr="008D1AFC">
        <w:rPr>
          <w:rFonts w:cs="Arial"/>
          <w:sz w:val="24"/>
          <w:szCs w:val="24"/>
        </w:rPr>
        <w:t>M</w:t>
      </w:r>
      <w:r w:rsidRPr="008D1AFC">
        <w:rPr>
          <w:rFonts w:cs="Arial"/>
          <w:sz w:val="24"/>
          <w:szCs w:val="24"/>
        </w:rPr>
        <w:t>ilenio</w:t>
      </w:r>
      <w:proofErr w:type="spellEnd"/>
      <w:r w:rsidRPr="008D1AFC">
        <w:rPr>
          <w:rFonts w:cs="Arial"/>
          <w:sz w:val="24"/>
          <w:szCs w:val="24"/>
        </w:rPr>
        <w:t xml:space="preserve">, serán recibidos y administrados por un patrimonio autónomo, precisando que el CONCESIONARIO trasferirá de manera irrevocable sus derechos patrimoniales sobre la parte proporcional de los flujos futuros del Sistema </w:t>
      </w:r>
      <w:proofErr w:type="spellStart"/>
      <w:r w:rsidRPr="008D1AFC">
        <w:rPr>
          <w:rFonts w:cs="Arial"/>
          <w:sz w:val="24"/>
          <w:szCs w:val="24"/>
        </w:rPr>
        <w:t>Tra</w:t>
      </w:r>
      <w:r w:rsidR="1CF79587" w:rsidRPr="008D1AFC">
        <w:rPr>
          <w:rFonts w:cs="Arial"/>
          <w:sz w:val="24"/>
          <w:szCs w:val="24"/>
        </w:rPr>
        <w:t>n</w:t>
      </w:r>
      <w:r w:rsidRPr="008D1AFC">
        <w:rPr>
          <w:rFonts w:cs="Arial"/>
          <w:sz w:val="24"/>
          <w:szCs w:val="24"/>
        </w:rPr>
        <w:t>sMilenio</w:t>
      </w:r>
      <w:proofErr w:type="spellEnd"/>
      <w:r w:rsidRPr="008D1AFC">
        <w:rPr>
          <w:rFonts w:cs="Arial"/>
          <w:sz w:val="24"/>
          <w:szCs w:val="24"/>
        </w:rPr>
        <w:t xml:space="preserve">, al patrimonio autónomo conformado para la administración centralizada de los recursos del Sistema, </w:t>
      </w:r>
      <w:r w:rsidRPr="008D1AFC">
        <w:rPr>
          <w:rFonts w:cs="Arial"/>
          <w:sz w:val="24"/>
          <w:szCs w:val="24"/>
        </w:rPr>
        <w:lastRenderedPageBreak/>
        <w:t xml:space="preserve">quedando comprometido hasta el final del contrato al mecanismo de administración fiduciaria de los recurso del Sistema </w:t>
      </w:r>
      <w:proofErr w:type="spellStart"/>
      <w:r w:rsidRPr="008D1AFC">
        <w:rPr>
          <w:rFonts w:cs="Arial"/>
          <w:sz w:val="24"/>
          <w:szCs w:val="24"/>
        </w:rPr>
        <w:t>TransMilenio</w:t>
      </w:r>
      <w:proofErr w:type="spellEnd"/>
      <w:r w:rsidRPr="008D1AFC">
        <w:rPr>
          <w:rFonts w:cs="Arial"/>
          <w:sz w:val="24"/>
          <w:szCs w:val="24"/>
        </w:rPr>
        <w:t>.</w:t>
      </w:r>
    </w:p>
    <w:p w:rsidR="00BD4A65" w:rsidRPr="008D1AFC" w:rsidRDefault="00BD4A65" w:rsidP="008D1AFC">
      <w:pPr>
        <w:pStyle w:val="Textoindependiente"/>
        <w:spacing w:line="276" w:lineRule="auto"/>
        <w:ind w:right="51"/>
        <w:rPr>
          <w:rFonts w:cs="Arial"/>
          <w:sz w:val="24"/>
          <w:szCs w:val="24"/>
        </w:rPr>
      </w:pPr>
    </w:p>
    <w:p w:rsidR="00BD4A65" w:rsidRPr="008D1AFC" w:rsidRDefault="49C40779" w:rsidP="008D1AFC">
      <w:pPr>
        <w:pStyle w:val="Textoindependiente"/>
        <w:spacing w:line="276" w:lineRule="auto"/>
        <w:ind w:right="51"/>
        <w:rPr>
          <w:rFonts w:cs="Arial"/>
          <w:sz w:val="24"/>
          <w:szCs w:val="24"/>
        </w:rPr>
      </w:pPr>
      <w:r w:rsidRPr="008D1AFC">
        <w:rPr>
          <w:rFonts w:cs="Arial"/>
          <w:sz w:val="24"/>
          <w:szCs w:val="24"/>
        </w:rPr>
        <w:t xml:space="preserve">En el anexo 3 se precisa, en la cláusula 2º que los concesionarios, entre otros titulares de derechos de participación de los recursos del Sistema </w:t>
      </w:r>
      <w:proofErr w:type="spellStart"/>
      <w:r w:rsidRPr="008D1AFC">
        <w:rPr>
          <w:rFonts w:cs="Arial"/>
          <w:sz w:val="24"/>
          <w:szCs w:val="24"/>
        </w:rPr>
        <w:t>Tra</w:t>
      </w:r>
      <w:r w:rsidR="119EC7F5" w:rsidRPr="008D1AFC">
        <w:rPr>
          <w:rFonts w:cs="Arial"/>
          <w:sz w:val="24"/>
          <w:szCs w:val="24"/>
        </w:rPr>
        <w:t>n</w:t>
      </w:r>
      <w:r w:rsidRPr="008D1AFC">
        <w:rPr>
          <w:rFonts w:cs="Arial"/>
          <w:sz w:val="24"/>
          <w:szCs w:val="24"/>
        </w:rPr>
        <w:t>sMilenio</w:t>
      </w:r>
      <w:proofErr w:type="spellEnd"/>
      <w:r w:rsidRPr="008D1AFC">
        <w:rPr>
          <w:rFonts w:cs="Arial"/>
          <w:sz w:val="24"/>
          <w:szCs w:val="24"/>
        </w:rPr>
        <w:t xml:space="preserve">, cuya actividad se encuentre vinculada directamente o por conexidad a la prestación del servicio público de pasajeros a través del sistema </w:t>
      </w:r>
      <w:proofErr w:type="spellStart"/>
      <w:r w:rsidRPr="008D1AFC">
        <w:rPr>
          <w:rFonts w:cs="Arial"/>
          <w:sz w:val="24"/>
          <w:szCs w:val="24"/>
        </w:rPr>
        <w:t>Tra</w:t>
      </w:r>
      <w:r w:rsidR="546D8C6A" w:rsidRPr="008D1AFC">
        <w:rPr>
          <w:rFonts w:cs="Arial"/>
          <w:sz w:val="24"/>
          <w:szCs w:val="24"/>
        </w:rPr>
        <w:t>ns</w:t>
      </w:r>
      <w:r w:rsidRPr="008D1AFC">
        <w:rPr>
          <w:rFonts w:cs="Arial"/>
          <w:sz w:val="24"/>
          <w:szCs w:val="24"/>
        </w:rPr>
        <w:t>Milenio</w:t>
      </w:r>
      <w:proofErr w:type="spellEnd"/>
      <w:r w:rsidRPr="008D1AFC">
        <w:rPr>
          <w:rFonts w:cs="Arial"/>
          <w:sz w:val="24"/>
          <w:szCs w:val="24"/>
        </w:rPr>
        <w:t>, constituirán un patrimonio autónomo a través de la celebración de un único contrato de fiducia mercantil, mediante el cual entregaran conjuntamente en la fiducia los derechos de participación que a cada uno de ellos les confiere el benefici</w:t>
      </w:r>
      <w:r w:rsidR="299F29D6" w:rsidRPr="008D1AFC">
        <w:rPr>
          <w:rFonts w:cs="Arial"/>
          <w:sz w:val="24"/>
          <w:szCs w:val="24"/>
        </w:rPr>
        <w:t>o</w:t>
      </w:r>
      <w:r w:rsidRPr="008D1AFC">
        <w:rPr>
          <w:rFonts w:cs="Arial"/>
          <w:sz w:val="24"/>
          <w:szCs w:val="24"/>
        </w:rPr>
        <w:t xml:space="preserve"> de percibir los flujos futuros derivados de la venta de pasajes.</w:t>
      </w:r>
    </w:p>
    <w:p w:rsidR="00BD4A65" w:rsidRPr="008D1AFC" w:rsidRDefault="00BD4A65" w:rsidP="008D1AFC">
      <w:pPr>
        <w:pStyle w:val="Textoindependiente"/>
        <w:spacing w:line="276" w:lineRule="auto"/>
        <w:ind w:right="51"/>
        <w:rPr>
          <w:rFonts w:cs="Arial"/>
          <w:sz w:val="24"/>
          <w:szCs w:val="24"/>
        </w:rPr>
      </w:pPr>
    </w:p>
    <w:p w:rsidR="00BD4A65" w:rsidRPr="008D1AFC" w:rsidRDefault="00BD4A65" w:rsidP="008D1AFC">
      <w:pPr>
        <w:pStyle w:val="Textoindependiente"/>
        <w:spacing w:line="276" w:lineRule="auto"/>
        <w:ind w:right="51"/>
        <w:rPr>
          <w:rFonts w:cs="Arial"/>
          <w:sz w:val="24"/>
          <w:szCs w:val="24"/>
        </w:rPr>
      </w:pPr>
      <w:r w:rsidRPr="008D1AFC">
        <w:rPr>
          <w:rFonts w:cs="Arial"/>
          <w:sz w:val="24"/>
          <w:szCs w:val="24"/>
        </w:rPr>
        <w:t xml:space="preserve">Y, en la cláusula 21 se establece que el objeto de la fiducia es el manejo de la totalidad de los flujos que se vincularán de manera directa al desarrollo y funcionalidad del Sistema </w:t>
      </w:r>
      <w:proofErr w:type="spellStart"/>
      <w:r w:rsidRPr="008D1AFC">
        <w:rPr>
          <w:rFonts w:cs="Arial"/>
          <w:sz w:val="24"/>
          <w:szCs w:val="24"/>
        </w:rPr>
        <w:t>TraMilenio</w:t>
      </w:r>
      <w:proofErr w:type="spellEnd"/>
      <w:r w:rsidRPr="008D1AFC">
        <w:rPr>
          <w:rFonts w:cs="Arial"/>
          <w:sz w:val="24"/>
          <w:szCs w:val="24"/>
        </w:rPr>
        <w:t xml:space="preserve"> para su operación. </w:t>
      </w:r>
    </w:p>
    <w:p w:rsidR="00BD4A65" w:rsidRPr="008D1AFC" w:rsidRDefault="00BD4A65" w:rsidP="008D1AFC">
      <w:pPr>
        <w:pStyle w:val="Textoindependiente"/>
        <w:spacing w:line="276" w:lineRule="auto"/>
        <w:ind w:right="51"/>
        <w:rPr>
          <w:rFonts w:cs="Arial"/>
          <w:sz w:val="24"/>
          <w:szCs w:val="24"/>
        </w:rPr>
      </w:pPr>
    </w:p>
    <w:p w:rsidR="00BD4A65" w:rsidRPr="008D1AFC" w:rsidRDefault="49C40779" w:rsidP="008D1AFC">
      <w:pPr>
        <w:pStyle w:val="Textoindependiente"/>
        <w:spacing w:line="276" w:lineRule="auto"/>
        <w:ind w:right="51"/>
        <w:rPr>
          <w:rFonts w:eastAsia="Arial" w:cs="Arial"/>
          <w:sz w:val="24"/>
          <w:szCs w:val="24"/>
        </w:rPr>
      </w:pPr>
      <w:r w:rsidRPr="008D1AFC">
        <w:rPr>
          <w:rFonts w:cs="Arial"/>
          <w:sz w:val="24"/>
          <w:szCs w:val="24"/>
        </w:rPr>
        <w:t xml:space="preserve">Como puede observase, en la fiducia de administración y pagos a cargo de </w:t>
      </w:r>
      <w:proofErr w:type="spellStart"/>
      <w:r w:rsidRPr="008D1AFC">
        <w:rPr>
          <w:rFonts w:cs="Arial"/>
          <w:sz w:val="24"/>
          <w:szCs w:val="24"/>
        </w:rPr>
        <w:t>Servitrust</w:t>
      </w:r>
      <w:proofErr w:type="spellEnd"/>
      <w:r w:rsidRPr="008D1AFC">
        <w:rPr>
          <w:rFonts w:cs="Arial"/>
          <w:sz w:val="24"/>
          <w:szCs w:val="24"/>
        </w:rPr>
        <w:t xml:space="preserve"> GNB Sudameris, se encuentran depositados todos los recursos de operación del sistema </w:t>
      </w:r>
      <w:proofErr w:type="spellStart"/>
      <w:r w:rsidR="00923220" w:rsidRPr="008D1AFC">
        <w:rPr>
          <w:rFonts w:cs="Arial"/>
          <w:sz w:val="24"/>
          <w:szCs w:val="24"/>
        </w:rPr>
        <w:t>TransMilenio</w:t>
      </w:r>
      <w:proofErr w:type="spellEnd"/>
      <w:r w:rsidR="00923220" w:rsidRPr="008D1AFC">
        <w:rPr>
          <w:rFonts w:cs="Arial"/>
          <w:sz w:val="24"/>
          <w:szCs w:val="24"/>
        </w:rPr>
        <w:t>, incluidos</w:t>
      </w:r>
      <w:r w:rsidRPr="008D1AFC">
        <w:rPr>
          <w:rFonts w:cs="Arial"/>
          <w:sz w:val="24"/>
          <w:szCs w:val="24"/>
        </w:rPr>
        <w:t xml:space="preserve"> los destinados a la participación y </w:t>
      </w:r>
      <w:r w:rsidRPr="008D1AFC">
        <w:rPr>
          <w:rFonts w:eastAsia="Arial" w:cs="Arial"/>
          <w:sz w:val="24"/>
          <w:szCs w:val="24"/>
        </w:rPr>
        <w:t>remuneraci</w:t>
      </w:r>
      <w:r w:rsidR="351A60FB" w:rsidRPr="008D1AFC">
        <w:rPr>
          <w:rFonts w:eastAsia="Arial" w:cs="Arial"/>
          <w:sz w:val="24"/>
          <w:szCs w:val="24"/>
        </w:rPr>
        <w:t xml:space="preserve">ón de los concesionarios que hacen parte de esta ecuación contractual y </w:t>
      </w:r>
      <w:r w:rsidR="00923220" w:rsidRPr="008D1AFC">
        <w:rPr>
          <w:rFonts w:eastAsia="Arial" w:cs="Arial"/>
          <w:sz w:val="24"/>
          <w:szCs w:val="24"/>
        </w:rPr>
        <w:t>que también</w:t>
      </w:r>
      <w:r w:rsidR="351A60FB" w:rsidRPr="008D1AFC">
        <w:rPr>
          <w:rFonts w:eastAsia="Arial" w:cs="Arial"/>
          <w:sz w:val="24"/>
          <w:szCs w:val="24"/>
        </w:rPr>
        <w:t xml:space="preserve"> prestan el mismo</w:t>
      </w:r>
      <w:r w:rsidRPr="008D1AFC">
        <w:rPr>
          <w:rFonts w:eastAsia="Arial" w:cs="Arial"/>
          <w:sz w:val="24"/>
          <w:szCs w:val="24"/>
        </w:rPr>
        <w:t xml:space="preserve"> servicio.</w:t>
      </w:r>
    </w:p>
    <w:p w:rsidR="00BD4A65" w:rsidRPr="008D1AFC" w:rsidRDefault="00BD4A65" w:rsidP="008D1AFC">
      <w:pPr>
        <w:pStyle w:val="Textoindependiente"/>
        <w:spacing w:line="276" w:lineRule="auto"/>
        <w:ind w:right="51"/>
        <w:rPr>
          <w:rFonts w:cs="Arial"/>
          <w:sz w:val="24"/>
          <w:szCs w:val="24"/>
        </w:rPr>
      </w:pPr>
    </w:p>
    <w:p w:rsidR="00BD4A65" w:rsidRPr="008D1AFC" w:rsidRDefault="49C40779" w:rsidP="008D1AFC">
      <w:pPr>
        <w:pStyle w:val="Textoindependiente"/>
        <w:spacing w:line="276" w:lineRule="auto"/>
        <w:ind w:right="51"/>
        <w:rPr>
          <w:rFonts w:cs="Arial"/>
          <w:sz w:val="24"/>
          <w:szCs w:val="24"/>
        </w:rPr>
      </w:pPr>
      <w:r w:rsidRPr="008D1AFC">
        <w:rPr>
          <w:rFonts w:cs="Arial"/>
          <w:sz w:val="24"/>
          <w:szCs w:val="24"/>
        </w:rPr>
        <w:t>Ahora, al momento de solicitar la medida, la parte ejecutante precisó que el embargo recaía sobre los dineros o derechos económicos que tenga la Sociedad SI-99 S.A. en calidad de FIDEICOMITENTE y/o beneficiario del Fideicomiso en la referida fiduciaria y así lo decret</w:t>
      </w:r>
      <w:r w:rsidR="1A51DCD0" w:rsidRPr="008D1AFC">
        <w:rPr>
          <w:rFonts w:eastAsia="Arial" w:cs="Arial"/>
          <w:sz w:val="24"/>
          <w:szCs w:val="24"/>
        </w:rPr>
        <w:t>ó</w:t>
      </w:r>
      <w:r w:rsidRPr="008D1AFC">
        <w:rPr>
          <w:rFonts w:cs="Arial"/>
          <w:sz w:val="24"/>
          <w:szCs w:val="24"/>
        </w:rPr>
        <w:t xml:space="preserve"> el juzgado de conocimiento en auto de fecha 30 de abril de 2019,</w:t>
      </w:r>
      <w:r w:rsidR="4C583981" w:rsidRPr="008D1AFC">
        <w:rPr>
          <w:rFonts w:cs="Arial"/>
          <w:sz w:val="24"/>
          <w:szCs w:val="24"/>
        </w:rPr>
        <w:t xml:space="preserve"> lo que de suyo trae la duda de sobre qué recursos recayó la medida; sin embargo, en esta Sede, para dilucidar ese aspecto, se procedi</w:t>
      </w:r>
      <w:r w:rsidR="736390B4" w:rsidRPr="008D1AFC">
        <w:rPr>
          <w:rFonts w:cs="Arial"/>
          <w:sz w:val="24"/>
          <w:szCs w:val="24"/>
        </w:rPr>
        <w:t>ó</w:t>
      </w:r>
      <w:r w:rsidR="4C583981" w:rsidRPr="008D1AFC">
        <w:rPr>
          <w:rFonts w:cs="Arial"/>
          <w:sz w:val="24"/>
          <w:szCs w:val="24"/>
        </w:rPr>
        <w:t xml:space="preserve"> a  oficiar a la referida Fi</w:t>
      </w:r>
      <w:r w:rsidR="2F611DF5" w:rsidRPr="008D1AFC">
        <w:rPr>
          <w:rFonts w:cs="Arial"/>
          <w:sz w:val="24"/>
          <w:szCs w:val="24"/>
        </w:rPr>
        <w:t>duciaria</w:t>
      </w:r>
      <w:r w:rsidR="6D5B54C2" w:rsidRPr="008D1AFC">
        <w:rPr>
          <w:rFonts w:cs="Arial"/>
          <w:sz w:val="24"/>
          <w:szCs w:val="24"/>
        </w:rPr>
        <w:t xml:space="preserve">, </w:t>
      </w:r>
      <w:r w:rsidR="2F611DF5" w:rsidRPr="008D1AFC">
        <w:rPr>
          <w:rFonts w:cs="Arial"/>
          <w:sz w:val="24"/>
          <w:szCs w:val="24"/>
        </w:rPr>
        <w:t>aclara</w:t>
      </w:r>
      <w:r w:rsidR="394582C2" w:rsidRPr="008D1AFC">
        <w:rPr>
          <w:rFonts w:cs="Arial"/>
          <w:sz w:val="24"/>
          <w:szCs w:val="24"/>
        </w:rPr>
        <w:t>n</w:t>
      </w:r>
      <w:r w:rsidR="2F611DF5" w:rsidRPr="008D1AFC">
        <w:rPr>
          <w:rFonts w:cs="Arial"/>
          <w:sz w:val="24"/>
          <w:szCs w:val="24"/>
        </w:rPr>
        <w:t xml:space="preserve">do ésta que el embargo </w:t>
      </w:r>
      <w:r w:rsidR="2F611DF5" w:rsidRPr="008D1AFC">
        <w:rPr>
          <w:rFonts w:eastAsia="Arial" w:cs="Arial"/>
          <w:i/>
          <w:iCs/>
          <w:sz w:val="24"/>
          <w:szCs w:val="24"/>
        </w:rPr>
        <w:t>recay</w:t>
      </w:r>
      <w:r w:rsidR="686D6A50" w:rsidRPr="008D1AFC">
        <w:rPr>
          <w:rFonts w:eastAsia="Arial" w:cs="Arial"/>
          <w:i/>
          <w:iCs/>
          <w:sz w:val="24"/>
          <w:szCs w:val="24"/>
        </w:rPr>
        <w:t>ó sobre las participaciones a las que tuvo derecho la Sociedad Sistema Integrado de Transporte S</w:t>
      </w:r>
      <w:r w:rsidR="6C279925" w:rsidRPr="008D1AFC">
        <w:rPr>
          <w:rFonts w:eastAsia="Arial" w:cs="Arial"/>
          <w:i/>
          <w:iCs/>
          <w:sz w:val="24"/>
          <w:szCs w:val="24"/>
        </w:rPr>
        <w:t>.A.</w:t>
      </w:r>
      <w:r w:rsidR="6C279925" w:rsidRPr="008D1AFC">
        <w:rPr>
          <w:rFonts w:cs="Arial"/>
          <w:sz w:val="24"/>
          <w:szCs w:val="24"/>
        </w:rPr>
        <w:t xml:space="preserve"> por participación en el Sistema </w:t>
      </w:r>
      <w:proofErr w:type="spellStart"/>
      <w:r w:rsidR="6C279925" w:rsidRPr="008D1AFC">
        <w:rPr>
          <w:rFonts w:cs="Arial"/>
          <w:sz w:val="24"/>
          <w:szCs w:val="24"/>
        </w:rPr>
        <w:t>TransMilenio</w:t>
      </w:r>
      <w:proofErr w:type="spellEnd"/>
      <w:r w:rsidR="6C279925" w:rsidRPr="008D1AFC">
        <w:rPr>
          <w:rFonts w:cs="Arial"/>
          <w:sz w:val="24"/>
          <w:szCs w:val="24"/>
        </w:rPr>
        <w:t>.</w:t>
      </w:r>
    </w:p>
    <w:p w:rsidR="6EE97828" w:rsidRPr="008D1AFC" w:rsidRDefault="6EE97828" w:rsidP="008D1AFC">
      <w:pPr>
        <w:pStyle w:val="Textoindependiente"/>
        <w:spacing w:line="276" w:lineRule="auto"/>
        <w:ind w:right="51"/>
        <w:rPr>
          <w:rFonts w:cs="Arial"/>
          <w:sz w:val="24"/>
          <w:szCs w:val="24"/>
        </w:rPr>
      </w:pPr>
    </w:p>
    <w:p w:rsidR="3849349A" w:rsidRPr="008D1AFC" w:rsidRDefault="3849349A" w:rsidP="008D1AFC">
      <w:pPr>
        <w:pStyle w:val="Textoindependiente"/>
        <w:spacing w:line="276" w:lineRule="auto"/>
        <w:ind w:right="51"/>
        <w:rPr>
          <w:rFonts w:cs="Arial"/>
          <w:sz w:val="24"/>
          <w:szCs w:val="24"/>
        </w:rPr>
      </w:pPr>
      <w:r w:rsidRPr="008D1AFC">
        <w:rPr>
          <w:rFonts w:cs="Arial"/>
          <w:sz w:val="24"/>
          <w:szCs w:val="24"/>
        </w:rPr>
        <w:t xml:space="preserve">Nótese entonces, que tal respuesta permite asegurar, sin la menor duda, que los dineros puestos a disposición del juzgado no corresponden a </w:t>
      </w:r>
      <w:r w:rsidR="5C22F0A6" w:rsidRPr="008D1AFC">
        <w:rPr>
          <w:rFonts w:cs="Arial"/>
          <w:sz w:val="24"/>
          <w:szCs w:val="24"/>
        </w:rPr>
        <w:t>bienes o ingresos propios del servicio público de transporte masivo</w:t>
      </w:r>
      <w:r w:rsidR="188EA1FF" w:rsidRPr="008D1AFC">
        <w:rPr>
          <w:rFonts w:cs="Arial"/>
          <w:sz w:val="24"/>
          <w:szCs w:val="24"/>
        </w:rPr>
        <w:t xml:space="preserve"> -que es lo que </w:t>
      </w:r>
      <w:r w:rsidR="00E05CDD" w:rsidRPr="008D1AFC">
        <w:rPr>
          <w:rFonts w:cs="Arial"/>
          <w:sz w:val="24"/>
          <w:szCs w:val="24"/>
        </w:rPr>
        <w:t>prohíbe</w:t>
      </w:r>
      <w:r w:rsidR="188EA1FF" w:rsidRPr="008D1AFC">
        <w:rPr>
          <w:rFonts w:cs="Arial"/>
          <w:sz w:val="24"/>
          <w:szCs w:val="24"/>
        </w:rPr>
        <w:t xml:space="preserve"> la norma</w:t>
      </w:r>
      <w:r w:rsidR="7437E42E" w:rsidRPr="008D1AFC">
        <w:rPr>
          <w:rFonts w:cs="Arial"/>
          <w:sz w:val="24"/>
          <w:szCs w:val="24"/>
        </w:rPr>
        <w:t xml:space="preserve"> embargar</w:t>
      </w:r>
      <w:r w:rsidR="188EA1FF" w:rsidRPr="008D1AFC">
        <w:rPr>
          <w:rFonts w:cs="Arial"/>
          <w:sz w:val="24"/>
          <w:szCs w:val="24"/>
        </w:rPr>
        <w:t xml:space="preserve">-, sino a las utilidades o participaciones que por su </w:t>
      </w:r>
      <w:r w:rsidR="48429007" w:rsidRPr="008D1AFC">
        <w:rPr>
          <w:rFonts w:cs="Arial"/>
          <w:sz w:val="24"/>
          <w:szCs w:val="24"/>
        </w:rPr>
        <w:t>actividad en la concesión</w:t>
      </w:r>
      <w:r w:rsidR="22F22235" w:rsidRPr="008D1AFC">
        <w:rPr>
          <w:rFonts w:cs="Arial"/>
          <w:sz w:val="24"/>
          <w:szCs w:val="24"/>
        </w:rPr>
        <w:t xml:space="preserve"> tenía la ejecutada en el contrato de fiducia establecido para la administrac</w:t>
      </w:r>
      <w:r w:rsidR="3F25C406" w:rsidRPr="008D1AFC">
        <w:rPr>
          <w:rFonts w:cs="Arial"/>
          <w:sz w:val="24"/>
          <w:szCs w:val="24"/>
        </w:rPr>
        <w:t xml:space="preserve">ión de los ingresos del sistema. De manera tal que con su embargo no se afecta </w:t>
      </w:r>
      <w:r w:rsidR="50D4212A" w:rsidRPr="008D1AFC">
        <w:rPr>
          <w:rFonts w:cs="Arial"/>
          <w:sz w:val="24"/>
          <w:szCs w:val="24"/>
        </w:rPr>
        <w:t>el servicio público de interés general que protege la ley sino que va dirigido a los beneficios netos de</w:t>
      </w:r>
      <w:r w:rsidR="6383B234" w:rsidRPr="008D1AFC">
        <w:rPr>
          <w:rFonts w:cs="Arial"/>
          <w:sz w:val="24"/>
          <w:szCs w:val="24"/>
        </w:rPr>
        <w:t>l concesionario.</w:t>
      </w:r>
      <w:r w:rsidR="48429007" w:rsidRPr="008D1AFC">
        <w:rPr>
          <w:rFonts w:cs="Arial"/>
          <w:sz w:val="24"/>
          <w:szCs w:val="24"/>
        </w:rPr>
        <w:t xml:space="preserve"> </w:t>
      </w:r>
    </w:p>
    <w:p w:rsidR="00BD4A65" w:rsidRPr="008D1AFC" w:rsidRDefault="00BD4A65" w:rsidP="008D1AFC">
      <w:pPr>
        <w:pStyle w:val="Textoindependiente"/>
        <w:spacing w:line="276" w:lineRule="auto"/>
        <w:ind w:right="51"/>
        <w:rPr>
          <w:rFonts w:cs="Arial"/>
          <w:sz w:val="24"/>
          <w:szCs w:val="24"/>
        </w:rPr>
      </w:pPr>
    </w:p>
    <w:p w:rsidR="00BD4A65" w:rsidRPr="008D1AFC" w:rsidRDefault="6C279925" w:rsidP="008D1AFC">
      <w:pPr>
        <w:pStyle w:val="Textoindependiente"/>
        <w:spacing w:line="276" w:lineRule="auto"/>
        <w:ind w:right="51"/>
        <w:rPr>
          <w:rFonts w:cs="Arial"/>
          <w:sz w:val="24"/>
          <w:szCs w:val="24"/>
        </w:rPr>
      </w:pPr>
      <w:r w:rsidRPr="008D1AFC">
        <w:rPr>
          <w:rFonts w:cs="Arial"/>
          <w:sz w:val="24"/>
          <w:szCs w:val="24"/>
        </w:rPr>
        <w:t xml:space="preserve">En el anterior orden de cosas, como no se trata de </w:t>
      </w:r>
      <w:r w:rsidR="54004FCF" w:rsidRPr="008D1AFC">
        <w:rPr>
          <w:rFonts w:cs="Arial"/>
          <w:sz w:val="24"/>
          <w:szCs w:val="24"/>
        </w:rPr>
        <w:t>bienes destinados a un servicio público, ni de la tercera parte de los ingresos brutos que produ</w:t>
      </w:r>
      <w:r w:rsidR="2425C5A3" w:rsidRPr="008D1AFC">
        <w:rPr>
          <w:rFonts w:cs="Arial"/>
          <w:sz w:val="24"/>
          <w:szCs w:val="24"/>
        </w:rPr>
        <w:t>ce</w:t>
      </w:r>
      <w:r w:rsidR="54004FCF" w:rsidRPr="008D1AFC">
        <w:rPr>
          <w:rFonts w:cs="Arial"/>
          <w:sz w:val="24"/>
          <w:szCs w:val="24"/>
        </w:rPr>
        <w:t xml:space="preserve"> el mismo, el embargo decretado y perfeccionado </w:t>
      </w:r>
      <w:r w:rsidR="1023C6F1" w:rsidRPr="008D1AFC">
        <w:rPr>
          <w:rFonts w:cs="Arial"/>
          <w:sz w:val="24"/>
          <w:szCs w:val="24"/>
        </w:rPr>
        <w:t>es legal, en tanto recayó sobre las utilidades de la sociedad ejecutada</w:t>
      </w:r>
      <w:r w:rsidR="724E87B9" w:rsidRPr="008D1AFC">
        <w:rPr>
          <w:rFonts w:cs="Arial"/>
          <w:sz w:val="24"/>
          <w:szCs w:val="24"/>
        </w:rPr>
        <w:t xml:space="preserve"> y en ese sentido</w:t>
      </w:r>
      <w:r w:rsidR="32E3E815" w:rsidRPr="008D1AFC">
        <w:rPr>
          <w:rFonts w:cs="Arial"/>
          <w:sz w:val="24"/>
          <w:szCs w:val="24"/>
        </w:rPr>
        <w:t xml:space="preserve">, </w:t>
      </w:r>
      <w:r w:rsidR="5A66E633" w:rsidRPr="008D1AFC">
        <w:rPr>
          <w:rFonts w:cs="Arial"/>
          <w:sz w:val="24"/>
          <w:szCs w:val="24"/>
        </w:rPr>
        <w:t>estos</w:t>
      </w:r>
      <w:r w:rsidR="32E3E815" w:rsidRPr="008D1AFC">
        <w:rPr>
          <w:rFonts w:cs="Arial"/>
          <w:sz w:val="24"/>
          <w:szCs w:val="24"/>
        </w:rPr>
        <w:t xml:space="preserve"> no tienen la calidad de inembargables, conforme se analizó en precedencia, siendo del caso, en este punto</w:t>
      </w:r>
      <w:r w:rsidR="168516FD" w:rsidRPr="008D1AFC">
        <w:rPr>
          <w:rFonts w:cs="Arial"/>
          <w:sz w:val="24"/>
          <w:szCs w:val="24"/>
        </w:rPr>
        <w:t xml:space="preserve"> –</w:t>
      </w:r>
      <w:r w:rsidR="168516FD" w:rsidRPr="008D1AFC">
        <w:rPr>
          <w:rFonts w:cs="Arial"/>
          <w:i/>
          <w:sz w:val="24"/>
          <w:szCs w:val="24"/>
        </w:rPr>
        <w:t>como correctamente se adelant</w:t>
      </w:r>
      <w:r w:rsidR="00940B3B" w:rsidRPr="008D1AFC">
        <w:rPr>
          <w:rFonts w:cs="Arial"/>
          <w:i/>
          <w:sz w:val="24"/>
          <w:szCs w:val="24"/>
        </w:rPr>
        <w:t>ó</w:t>
      </w:r>
      <w:r w:rsidR="168516FD" w:rsidRPr="008D1AFC">
        <w:rPr>
          <w:rFonts w:cs="Arial"/>
          <w:sz w:val="24"/>
          <w:szCs w:val="24"/>
        </w:rPr>
        <w:t xml:space="preserve">- </w:t>
      </w:r>
      <w:r w:rsidR="1EEE2FA7" w:rsidRPr="008D1AFC">
        <w:rPr>
          <w:rFonts w:cs="Arial"/>
          <w:sz w:val="24"/>
          <w:szCs w:val="24"/>
        </w:rPr>
        <w:t>el proceder</w:t>
      </w:r>
      <w:r w:rsidR="32E3E815" w:rsidRPr="008D1AFC">
        <w:rPr>
          <w:rFonts w:cs="Arial"/>
          <w:sz w:val="24"/>
          <w:szCs w:val="24"/>
        </w:rPr>
        <w:t xml:space="preserve"> previsto por</w:t>
      </w:r>
      <w:r w:rsidR="724E87B9" w:rsidRPr="008D1AFC">
        <w:rPr>
          <w:rFonts w:cs="Arial"/>
          <w:sz w:val="24"/>
          <w:szCs w:val="24"/>
        </w:rPr>
        <w:t xml:space="preserve"> el inciso </w:t>
      </w:r>
      <w:r w:rsidR="3A9F32F2" w:rsidRPr="008D1AFC">
        <w:rPr>
          <w:rFonts w:cs="Arial"/>
          <w:sz w:val="24"/>
          <w:szCs w:val="24"/>
        </w:rPr>
        <w:t>3</w:t>
      </w:r>
      <w:r w:rsidR="724E87B9" w:rsidRPr="008D1AFC">
        <w:rPr>
          <w:rFonts w:cs="Arial"/>
          <w:sz w:val="24"/>
          <w:szCs w:val="24"/>
        </w:rPr>
        <w:t>º del numeral 6º de artículo 593, que establece:</w:t>
      </w:r>
    </w:p>
    <w:p w:rsidR="00BD4A65" w:rsidRPr="008D1AFC" w:rsidRDefault="00BD4A65" w:rsidP="008D1AFC">
      <w:pPr>
        <w:pStyle w:val="Textoindependiente"/>
        <w:spacing w:line="276" w:lineRule="auto"/>
        <w:ind w:right="51"/>
        <w:rPr>
          <w:rFonts w:cs="Arial"/>
          <w:sz w:val="24"/>
          <w:szCs w:val="24"/>
        </w:rPr>
      </w:pPr>
    </w:p>
    <w:p w:rsidR="00BD4A65" w:rsidRPr="00923220" w:rsidRDefault="591B79DA" w:rsidP="00923220">
      <w:pPr>
        <w:pStyle w:val="Textoindependiente"/>
        <w:spacing w:line="240" w:lineRule="auto"/>
        <w:ind w:left="426" w:right="418"/>
        <w:rPr>
          <w:rFonts w:cs="Arial"/>
          <w:i/>
          <w:iCs/>
          <w:sz w:val="22"/>
          <w:szCs w:val="24"/>
        </w:rPr>
      </w:pPr>
      <w:r w:rsidRPr="00923220">
        <w:rPr>
          <w:rFonts w:cs="Arial"/>
          <w:i/>
          <w:iCs/>
          <w:sz w:val="22"/>
          <w:szCs w:val="24"/>
        </w:rPr>
        <w:t>“Para efectuar embargos se procederá así:</w:t>
      </w:r>
    </w:p>
    <w:p w:rsidR="00BD4A65" w:rsidRPr="00923220" w:rsidRDefault="00BD4A65" w:rsidP="00923220">
      <w:pPr>
        <w:pStyle w:val="Textoindependiente"/>
        <w:spacing w:line="240" w:lineRule="auto"/>
        <w:ind w:left="426" w:right="418"/>
        <w:rPr>
          <w:rFonts w:cs="Arial"/>
          <w:i/>
          <w:iCs/>
          <w:sz w:val="22"/>
          <w:szCs w:val="24"/>
        </w:rPr>
      </w:pPr>
    </w:p>
    <w:p w:rsidR="00BD4A65" w:rsidRPr="00923220" w:rsidRDefault="591B79DA" w:rsidP="00923220">
      <w:pPr>
        <w:pStyle w:val="Textoindependiente"/>
        <w:spacing w:line="240" w:lineRule="auto"/>
        <w:ind w:left="426" w:right="418"/>
        <w:rPr>
          <w:rFonts w:cs="Arial"/>
          <w:i/>
          <w:iCs/>
          <w:sz w:val="22"/>
          <w:szCs w:val="24"/>
        </w:rPr>
      </w:pPr>
      <w:r w:rsidRPr="00923220">
        <w:rPr>
          <w:rFonts w:cs="Arial"/>
          <w:i/>
          <w:iCs/>
          <w:sz w:val="22"/>
          <w:szCs w:val="24"/>
        </w:rPr>
        <w:t>6. (…)</w:t>
      </w:r>
    </w:p>
    <w:p w:rsidR="00BD4A65" w:rsidRPr="00923220" w:rsidRDefault="00BD4A65" w:rsidP="00923220">
      <w:pPr>
        <w:pStyle w:val="Textoindependiente"/>
        <w:spacing w:line="240" w:lineRule="auto"/>
        <w:ind w:left="426" w:right="418"/>
        <w:rPr>
          <w:rFonts w:cs="Arial"/>
          <w:i/>
          <w:iCs/>
          <w:sz w:val="22"/>
          <w:szCs w:val="24"/>
        </w:rPr>
      </w:pPr>
    </w:p>
    <w:p w:rsidR="00BD4A65" w:rsidRPr="00923220" w:rsidRDefault="7EC11F48" w:rsidP="00923220">
      <w:pPr>
        <w:pStyle w:val="Textoindependiente"/>
        <w:spacing w:line="240" w:lineRule="auto"/>
        <w:ind w:left="709" w:right="418"/>
        <w:rPr>
          <w:rFonts w:cs="Arial"/>
          <w:i/>
          <w:iCs/>
          <w:sz w:val="22"/>
          <w:szCs w:val="24"/>
        </w:rPr>
      </w:pPr>
      <w:r w:rsidRPr="00923220">
        <w:rPr>
          <w:rFonts w:cs="Arial"/>
          <w:i/>
          <w:iCs/>
          <w:sz w:val="22"/>
          <w:szCs w:val="24"/>
        </w:rPr>
        <w:t>Los embargos previstos en este numeral se extienden a los</w:t>
      </w:r>
      <w:r w:rsidR="16B0C478" w:rsidRPr="00923220">
        <w:rPr>
          <w:rFonts w:cs="Arial"/>
          <w:i/>
          <w:iCs/>
          <w:sz w:val="22"/>
          <w:szCs w:val="24"/>
        </w:rPr>
        <w:t xml:space="preserve"> </w:t>
      </w:r>
      <w:r w:rsidRPr="00923220">
        <w:rPr>
          <w:rFonts w:cs="Arial"/>
          <w:i/>
          <w:iCs/>
          <w:sz w:val="22"/>
          <w:szCs w:val="24"/>
        </w:rPr>
        <w:t>dividendos, utilidades, intereses, y demás beneficios que al derecho embargado correspondan, con los cuales deberá constituirse certificado de dep</w:t>
      </w:r>
      <w:r w:rsidR="5FC701DB" w:rsidRPr="00923220">
        <w:rPr>
          <w:rFonts w:cs="Arial"/>
          <w:i/>
          <w:iCs/>
          <w:sz w:val="22"/>
          <w:szCs w:val="24"/>
        </w:rPr>
        <w:t>ósito a órdenes del juzgado, so pena de hacerse responsable de dichos valores.</w:t>
      </w:r>
      <w:r w:rsidR="280EA3C7" w:rsidRPr="00923220">
        <w:rPr>
          <w:rFonts w:cs="Arial"/>
          <w:i/>
          <w:iCs/>
          <w:sz w:val="22"/>
          <w:szCs w:val="24"/>
        </w:rPr>
        <w:t xml:space="preserve">”  </w:t>
      </w:r>
    </w:p>
    <w:p w:rsidR="00BD4A65" w:rsidRPr="008D1AFC" w:rsidRDefault="00BD4A65" w:rsidP="008D1AFC">
      <w:pPr>
        <w:pStyle w:val="Textoindependiente"/>
        <w:spacing w:line="276" w:lineRule="auto"/>
        <w:ind w:right="51"/>
        <w:rPr>
          <w:rFonts w:cs="Arial"/>
          <w:sz w:val="24"/>
          <w:szCs w:val="24"/>
        </w:rPr>
      </w:pPr>
    </w:p>
    <w:p w:rsidR="6539F8A0" w:rsidRPr="008D1AFC" w:rsidRDefault="6539F8A0" w:rsidP="008D1AFC">
      <w:pPr>
        <w:pStyle w:val="Textoindependiente"/>
        <w:spacing w:line="276" w:lineRule="auto"/>
        <w:ind w:right="51"/>
        <w:rPr>
          <w:rFonts w:cs="Arial"/>
          <w:sz w:val="24"/>
          <w:szCs w:val="24"/>
        </w:rPr>
      </w:pPr>
      <w:r w:rsidRPr="008D1AFC">
        <w:rPr>
          <w:rFonts w:cs="Arial"/>
          <w:sz w:val="24"/>
          <w:szCs w:val="24"/>
        </w:rPr>
        <w:t xml:space="preserve">De acuerdo con lo expuesto, la decisión de primer grado será revocada, para en su lugar mantener la medida decretada </w:t>
      </w:r>
      <w:r w:rsidR="45A1BD8D" w:rsidRPr="008D1AFC">
        <w:rPr>
          <w:rFonts w:cs="Arial"/>
          <w:sz w:val="24"/>
          <w:szCs w:val="24"/>
        </w:rPr>
        <w:t xml:space="preserve">mediante auto </w:t>
      </w:r>
      <w:r w:rsidR="4F9BC4CB" w:rsidRPr="008D1AFC">
        <w:rPr>
          <w:rFonts w:cs="Arial"/>
          <w:sz w:val="24"/>
          <w:szCs w:val="24"/>
        </w:rPr>
        <w:t>de fecha treinta (30) de a</w:t>
      </w:r>
      <w:r w:rsidR="00A640E8" w:rsidRPr="008D1AFC">
        <w:rPr>
          <w:rFonts w:cs="Arial"/>
          <w:sz w:val="24"/>
          <w:szCs w:val="24"/>
        </w:rPr>
        <w:t>b</w:t>
      </w:r>
      <w:r w:rsidR="4F9BC4CB" w:rsidRPr="008D1AFC">
        <w:rPr>
          <w:rFonts w:cs="Arial"/>
          <w:sz w:val="24"/>
          <w:szCs w:val="24"/>
        </w:rPr>
        <w:t>ril de 2019</w:t>
      </w:r>
    </w:p>
    <w:p w:rsidR="0624D750" w:rsidRPr="008D1AFC" w:rsidRDefault="0624D750" w:rsidP="008D1AFC">
      <w:pPr>
        <w:pStyle w:val="Textoindependiente"/>
        <w:spacing w:line="276" w:lineRule="auto"/>
        <w:ind w:right="51"/>
        <w:rPr>
          <w:rFonts w:cs="Arial"/>
          <w:sz w:val="24"/>
          <w:szCs w:val="24"/>
        </w:rPr>
      </w:pPr>
    </w:p>
    <w:p w:rsidR="25D16B63" w:rsidRPr="008D1AFC" w:rsidRDefault="25D16B63" w:rsidP="008D1AFC">
      <w:pPr>
        <w:pStyle w:val="Textoindependiente"/>
        <w:spacing w:line="276" w:lineRule="auto"/>
        <w:ind w:right="51"/>
        <w:rPr>
          <w:rFonts w:cs="Arial"/>
          <w:sz w:val="24"/>
          <w:szCs w:val="24"/>
        </w:rPr>
      </w:pPr>
      <w:r w:rsidRPr="008D1AFC">
        <w:rPr>
          <w:rFonts w:cs="Arial"/>
          <w:sz w:val="24"/>
          <w:szCs w:val="24"/>
        </w:rPr>
        <w:t>Costas en esta in</w:t>
      </w:r>
      <w:r w:rsidR="00A640E8" w:rsidRPr="008D1AFC">
        <w:rPr>
          <w:rFonts w:cs="Arial"/>
          <w:sz w:val="24"/>
          <w:szCs w:val="24"/>
        </w:rPr>
        <w:t>s</w:t>
      </w:r>
      <w:r w:rsidRPr="008D1AFC">
        <w:rPr>
          <w:rFonts w:cs="Arial"/>
          <w:sz w:val="24"/>
          <w:szCs w:val="24"/>
        </w:rPr>
        <w:t>tancia no se causaron.</w:t>
      </w:r>
    </w:p>
    <w:p w:rsidR="00BD4A65" w:rsidRPr="008D1AFC" w:rsidRDefault="00BD4A65" w:rsidP="008D1AFC">
      <w:pPr>
        <w:pStyle w:val="Textoindependiente"/>
        <w:spacing w:line="276" w:lineRule="auto"/>
        <w:ind w:right="51"/>
        <w:rPr>
          <w:rFonts w:cs="Arial"/>
          <w:sz w:val="24"/>
          <w:szCs w:val="24"/>
        </w:rPr>
      </w:pPr>
    </w:p>
    <w:p w:rsidR="00BD4A65" w:rsidRPr="008D1AFC" w:rsidRDefault="00BD4A65" w:rsidP="008D1AFC">
      <w:pPr>
        <w:pStyle w:val="Textoindependiente"/>
        <w:spacing w:line="276" w:lineRule="auto"/>
        <w:rPr>
          <w:rFonts w:cs="Arial"/>
          <w:sz w:val="24"/>
          <w:szCs w:val="24"/>
        </w:rPr>
      </w:pPr>
      <w:r w:rsidRPr="008D1AFC">
        <w:rPr>
          <w:rFonts w:cs="Arial"/>
          <w:sz w:val="24"/>
          <w:szCs w:val="24"/>
        </w:rPr>
        <w:t xml:space="preserve">En mérito de lo expuesto, la </w:t>
      </w:r>
      <w:r w:rsidRPr="008D1AFC">
        <w:rPr>
          <w:rFonts w:cs="Arial"/>
          <w:b/>
          <w:bCs/>
          <w:sz w:val="24"/>
          <w:szCs w:val="24"/>
        </w:rPr>
        <w:t>Sala de Decisión Laboral del Tribunal Superior del Distrito Judicial de Pereira</w:t>
      </w:r>
      <w:r w:rsidRPr="008D1AFC">
        <w:rPr>
          <w:rFonts w:cs="Arial"/>
          <w:sz w:val="24"/>
          <w:szCs w:val="24"/>
        </w:rPr>
        <w:t xml:space="preserve">, </w:t>
      </w:r>
    </w:p>
    <w:p w:rsidR="00BD4A65" w:rsidRPr="008D1AFC" w:rsidRDefault="00BD4A65" w:rsidP="008D1AFC">
      <w:pPr>
        <w:pStyle w:val="Textoindependiente"/>
        <w:spacing w:line="276" w:lineRule="auto"/>
        <w:rPr>
          <w:rFonts w:cs="Arial"/>
          <w:sz w:val="24"/>
          <w:szCs w:val="24"/>
        </w:rPr>
      </w:pPr>
    </w:p>
    <w:p w:rsidR="00BD4A65" w:rsidRPr="008D1AFC" w:rsidRDefault="00BD4A65" w:rsidP="008D1AFC">
      <w:pPr>
        <w:pStyle w:val="Textoindependiente"/>
        <w:spacing w:line="276" w:lineRule="auto"/>
        <w:jc w:val="center"/>
        <w:rPr>
          <w:rFonts w:cs="Arial"/>
          <w:b/>
          <w:sz w:val="24"/>
          <w:szCs w:val="24"/>
        </w:rPr>
      </w:pPr>
      <w:r w:rsidRPr="008D1AFC">
        <w:rPr>
          <w:rFonts w:cs="Arial"/>
          <w:b/>
          <w:sz w:val="24"/>
          <w:szCs w:val="24"/>
        </w:rPr>
        <w:t>RESUELVE</w:t>
      </w:r>
    </w:p>
    <w:p w:rsidR="00BD4A65" w:rsidRPr="008D1AFC" w:rsidRDefault="00BD4A65" w:rsidP="008D1AFC">
      <w:pPr>
        <w:pStyle w:val="Textoindependiente"/>
        <w:spacing w:line="276" w:lineRule="auto"/>
        <w:rPr>
          <w:rFonts w:cs="Arial"/>
          <w:sz w:val="24"/>
          <w:szCs w:val="24"/>
        </w:rPr>
      </w:pPr>
    </w:p>
    <w:p w:rsidR="00BD4A65" w:rsidRPr="008D1AFC" w:rsidRDefault="00BD4A65" w:rsidP="008D1AFC">
      <w:pPr>
        <w:pStyle w:val="Textoindependiente21"/>
        <w:spacing w:line="276" w:lineRule="auto"/>
        <w:ind w:right="20"/>
        <w:rPr>
          <w:rFonts w:cs="Arial"/>
          <w:b w:val="0"/>
          <w:sz w:val="24"/>
          <w:szCs w:val="24"/>
        </w:rPr>
      </w:pPr>
      <w:r w:rsidRPr="008D1AFC">
        <w:rPr>
          <w:rFonts w:cs="Arial"/>
          <w:sz w:val="24"/>
          <w:szCs w:val="24"/>
        </w:rPr>
        <w:t xml:space="preserve">PRIMERO. </w:t>
      </w:r>
      <w:r w:rsidR="3F603893" w:rsidRPr="008D1AFC">
        <w:rPr>
          <w:rFonts w:cs="Arial"/>
          <w:sz w:val="24"/>
          <w:szCs w:val="24"/>
        </w:rPr>
        <w:t xml:space="preserve">REVOCAR </w:t>
      </w:r>
      <w:r w:rsidR="3F603893" w:rsidRPr="008D1AFC">
        <w:rPr>
          <w:rFonts w:cs="Arial"/>
          <w:b w:val="0"/>
          <w:sz w:val="24"/>
          <w:szCs w:val="24"/>
        </w:rPr>
        <w:t>el auto proferido por el Juzgado Tercero Laboral del Circuito el 5 de febrero de 2020</w:t>
      </w:r>
      <w:r w:rsidR="1A89A4A3" w:rsidRPr="008D1AFC">
        <w:rPr>
          <w:rFonts w:cs="Arial"/>
          <w:b w:val="0"/>
          <w:sz w:val="24"/>
          <w:szCs w:val="24"/>
        </w:rPr>
        <w:t>, para en su lugar mantener la medida decretada en providencia de fecha 30 de abril de 2019</w:t>
      </w:r>
    </w:p>
    <w:p w:rsidR="0624D750" w:rsidRPr="008D1AFC" w:rsidRDefault="0624D750" w:rsidP="008D1AFC">
      <w:pPr>
        <w:pStyle w:val="Textoindependiente21"/>
        <w:spacing w:line="276" w:lineRule="auto"/>
        <w:ind w:right="20"/>
        <w:rPr>
          <w:rFonts w:cs="Arial"/>
          <w:bCs/>
          <w:sz w:val="24"/>
          <w:szCs w:val="24"/>
        </w:rPr>
      </w:pPr>
    </w:p>
    <w:p w:rsidR="1A89A4A3" w:rsidRPr="008D1AFC" w:rsidRDefault="1A89A4A3" w:rsidP="008D1AFC">
      <w:pPr>
        <w:pStyle w:val="Textoindependiente21"/>
        <w:spacing w:line="276" w:lineRule="auto"/>
        <w:ind w:right="20"/>
        <w:rPr>
          <w:rFonts w:cs="Arial"/>
          <w:bCs/>
          <w:sz w:val="24"/>
          <w:szCs w:val="24"/>
        </w:rPr>
      </w:pPr>
      <w:r w:rsidRPr="008D1AFC">
        <w:rPr>
          <w:rFonts w:cs="Arial"/>
          <w:bCs/>
          <w:sz w:val="24"/>
          <w:szCs w:val="24"/>
        </w:rPr>
        <w:t>SEGUNDO: REMITIR</w:t>
      </w:r>
      <w:r w:rsidRPr="008D1AFC">
        <w:rPr>
          <w:rFonts w:cs="Arial"/>
          <w:b w:val="0"/>
          <w:sz w:val="24"/>
          <w:szCs w:val="24"/>
        </w:rPr>
        <w:t xml:space="preserve"> el expediente al Juzgado de origen para que </w:t>
      </w:r>
      <w:r w:rsidR="00E05CDD" w:rsidRPr="008D1AFC">
        <w:rPr>
          <w:rFonts w:cs="Arial"/>
          <w:b w:val="0"/>
          <w:sz w:val="24"/>
          <w:szCs w:val="24"/>
        </w:rPr>
        <w:t>continúe</w:t>
      </w:r>
      <w:r w:rsidRPr="008D1AFC">
        <w:rPr>
          <w:rFonts w:cs="Arial"/>
          <w:b w:val="0"/>
          <w:sz w:val="24"/>
          <w:szCs w:val="24"/>
        </w:rPr>
        <w:t xml:space="preserve"> con el trámite siguiente.</w:t>
      </w:r>
    </w:p>
    <w:p w:rsidR="0624D750" w:rsidRPr="008D1AFC" w:rsidRDefault="0624D750" w:rsidP="008D1AFC">
      <w:pPr>
        <w:pStyle w:val="Textoindependiente21"/>
        <w:spacing w:line="276" w:lineRule="auto"/>
        <w:ind w:right="20"/>
        <w:rPr>
          <w:rFonts w:cs="Arial"/>
          <w:bCs/>
          <w:sz w:val="24"/>
          <w:szCs w:val="24"/>
        </w:rPr>
      </w:pPr>
    </w:p>
    <w:p w:rsidR="1A89A4A3" w:rsidRPr="008D1AFC" w:rsidRDefault="1A89A4A3" w:rsidP="008D1AFC">
      <w:pPr>
        <w:pStyle w:val="Textoindependiente21"/>
        <w:spacing w:line="276" w:lineRule="auto"/>
        <w:ind w:right="20"/>
        <w:rPr>
          <w:rFonts w:cs="Arial"/>
          <w:b w:val="0"/>
          <w:sz w:val="24"/>
          <w:szCs w:val="24"/>
        </w:rPr>
      </w:pPr>
      <w:r w:rsidRPr="008D1AFC">
        <w:rPr>
          <w:rFonts w:cs="Arial"/>
          <w:b w:val="0"/>
          <w:sz w:val="24"/>
          <w:szCs w:val="24"/>
        </w:rPr>
        <w:t>Sin costas en esta Sede.</w:t>
      </w:r>
    </w:p>
    <w:p w:rsidR="0624D750" w:rsidRPr="008D1AFC" w:rsidRDefault="0624D750" w:rsidP="008D1AFC">
      <w:pPr>
        <w:pStyle w:val="Textoindependiente21"/>
        <w:spacing w:line="276" w:lineRule="auto"/>
        <w:ind w:right="20"/>
        <w:rPr>
          <w:rFonts w:cs="Arial"/>
          <w:bCs/>
          <w:sz w:val="24"/>
          <w:szCs w:val="24"/>
        </w:rPr>
      </w:pPr>
    </w:p>
    <w:p w:rsidR="00BD4A65" w:rsidRPr="008D1AFC" w:rsidRDefault="003471A9" w:rsidP="008D1AFC">
      <w:pPr>
        <w:widowControl w:val="0"/>
        <w:autoSpaceDE w:val="0"/>
        <w:autoSpaceDN w:val="0"/>
        <w:adjustRightInd w:val="0"/>
        <w:spacing w:line="276" w:lineRule="auto"/>
        <w:jc w:val="both"/>
        <w:rPr>
          <w:rStyle w:val="normaltextrun"/>
          <w:rFonts w:ascii="Arial" w:hAnsi="Arial" w:cs="Arial"/>
          <w:sz w:val="24"/>
          <w:szCs w:val="24"/>
        </w:rPr>
      </w:pPr>
      <w:r w:rsidRPr="008D1AFC">
        <w:rPr>
          <w:rStyle w:val="normaltextrun"/>
          <w:rFonts w:ascii="Arial" w:hAnsi="Arial" w:cs="Arial"/>
          <w:sz w:val="24"/>
          <w:szCs w:val="24"/>
        </w:rPr>
        <w:t>Notifíquese por estado y a los correos electrónicos de los apoderados de las partes.</w:t>
      </w:r>
    </w:p>
    <w:p w:rsidR="003471A9" w:rsidRPr="008D1AFC" w:rsidRDefault="003471A9" w:rsidP="008D1AFC">
      <w:pPr>
        <w:widowControl w:val="0"/>
        <w:autoSpaceDE w:val="0"/>
        <w:autoSpaceDN w:val="0"/>
        <w:adjustRightInd w:val="0"/>
        <w:spacing w:line="276" w:lineRule="auto"/>
        <w:jc w:val="both"/>
        <w:rPr>
          <w:rFonts w:ascii="Arial" w:hAnsi="Arial" w:cs="Arial"/>
          <w:sz w:val="24"/>
          <w:szCs w:val="24"/>
        </w:rPr>
      </w:pPr>
    </w:p>
    <w:p w:rsidR="008D1AFC" w:rsidRPr="008D1AFC" w:rsidRDefault="008D1AFC" w:rsidP="008D1AFC">
      <w:pPr>
        <w:spacing w:line="276" w:lineRule="auto"/>
        <w:jc w:val="both"/>
        <w:textAlignment w:val="baseline"/>
        <w:rPr>
          <w:rFonts w:ascii="Arial" w:hAnsi="Arial" w:cs="Arial"/>
          <w:sz w:val="24"/>
          <w:szCs w:val="24"/>
          <w:lang w:val="es-CO" w:eastAsia="es-CO"/>
        </w:rPr>
      </w:pPr>
      <w:r w:rsidRPr="008D1AFC">
        <w:rPr>
          <w:rFonts w:ascii="Arial" w:hAnsi="Arial" w:cs="Arial"/>
          <w:sz w:val="24"/>
          <w:szCs w:val="24"/>
          <w:lang w:val="es-CO" w:eastAsia="es-CO"/>
        </w:rPr>
        <w:t>Quienes Integran la Sala,</w:t>
      </w:r>
    </w:p>
    <w:p w:rsidR="008D1AFC" w:rsidRPr="008D1AFC" w:rsidRDefault="008D1AFC" w:rsidP="008D1AFC">
      <w:pPr>
        <w:spacing w:line="276" w:lineRule="auto"/>
        <w:textAlignment w:val="baseline"/>
        <w:rPr>
          <w:rFonts w:ascii="Arial" w:hAnsi="Arial" w:cs="Arial"/>
          <w:sz w:val="24"/>
          <w:szCs w:val="24"/>
          <w:lang w:val="es-CO" w:eastAsia="es-CO"/>
        </w:rPr>
      </w:pPr>
    </w:p>
    <w:p w:rsidR="008D1AFC" w:rsidRPr="008D1AFC" w:rsidRDefault="008D1AFC" w:rsidP="008D1AFC">
      <w:pPr>
        <w:spacing w:line="276" w:lineRule="auto"/>
        <w:jc w:val="both"/>
        <w:textAlignment w:val="baseline"/>
        <w:rPr>
          <w:rFonts w:ascii="Arial" w:hAnsi="Arial" w:cs="Arial"/>
          <w:sz w:val="24"/>
          <w:szCs w:val="24"/>
          <w:lang w:val="es-CO" w:eastAsia="es-CO"/>
        </w:rPr>
      </w:pPr>
    </w:p>
    <w:p w:rsidR="008D1AFC" w:rsidRPr="008D1AFC" w:rsidRDefault="008D1AFC" w:rsidP="008D1AFC">
      <w:pPr>
        <w:spacing w:line="276" w:lineRule="auto"/>
        <w:jc w:val="both"/>
        <w:textAlignment w:val="baseline"/>
        <w:rPr>
          <w:rFonts w:ascii="Arial" w:hAnsi="Arial" w:cs="Arial"/>
          <w:sz w:val="24"/>
          <w:szCs w:val="24"/>
          <w:lang w:val="es-CO" w:eastAsia="es-CO"/>
        </w:rPr>
      </w:pPr>
    </w:p>
    <w:p w:rsidR="008D1AFC" w:rsidRPr="008D1AFC" w:rsidRDefault="008D1AFC" w:rsidP="008D1AFC">
      <w:pPr>
        <w:spacing w:line="276" w:lineRule="auto"/>
        <w:jc w:val="center"/>
        <w:textAlignment w:val="baseline"/>
        <w:rPr>
          <w:rFonts w:ascii="Arial" w:hAnsi="Arial" w:cs="Arial"/>
          <w:sz w:val="24"/>
          <w:szCs w:val="24"/>
          <w:lang w:val="es-CO" w:eastAsia="es-CO"/>
        </w:rPr>
      </w:pPr>
      <w:r w:rsidRPr="008D1AFC">
        <w:rPr>
          <w:rFonts w:ascii="Arial" w:hAnsi="Arial" w:cs="Arial"/>
          <w:b/>
          <w:bCs/>
          <w:sz w:val="24"/>
          <w:szCs w:val="24"/>
          <w:lang w:val="es-ES" w:eastAsia="es-CO"/>
        </w:rPr>
        <w:t>JULIO CÉSAR SALAZAR MUÑOZ</w:t>
      </w:r>
    </w:p>
    <w:p w:rsidR="008D1AFC" w:rsidRPr="008D1AFC" w:rsidRDefault="008D1AFC" w:rsidP="008D1AFC">
      <w:pPr>
        <w:spacing w:line="276" w:lineRule="auto"/>
        <w:jc w:val="center"/>
        <w:textAlignment w:val="baseline"/>
        <w:rPr>
          <w:rFonts w:ascii="Arial" w:hAnsi="Arial" w:cs="Arial"/>
          <w:sz w:val="24"/>
          <w:szCs w:val="24"/>
          <w:lang w:val="es-CO" w:eastAsia="es-CO"/>
        </w:rPr>
      </w:pPr>
      <w:r w:rsidRPr="008D1AFC">
        <w:rPr>
          <w:rFonts w:ascii="Arial" w:hAnsi="Arial" w:cs="Arial"/>
          <w:sz w:val="24"/>
          <w:szCs w:val="24"/>
          <w:lang w:val="es-ES" w:eastAsia="es-CO"/>
        </w:rPr>
        <w:t>Magistrado Ponente</w:t>
      </w:r>
    </w:p>
    <w:p w:rsidR="008D1AFC" w:rsidRPr="008D1AFC" w:rsidRDefault="008D1AFC" w:rsidP="008D1AFC">
      <w:pPr>
        <w:spacing w:line="276" w:lineRule="auto"/>
        <w:textAlignment w:val="baseline"/>
        <w:rPr>
          <w:rFonts w:ascii="Arial" w:hAnsi="Arial" w:cs="Arial"/>
          <w:sz w:val="24"/>
          <w:szCs w:val="24"/>
          <w:lang w:val="es-CO" w:eastAsia="es-CO"/>
        </w:rPr>
      </w:pPr>
    </w:p>
    <w:p w:rsidR="008D1AFC" w:rsidRPr="008D1AFC" w:rsidRDefault="008D1AFC" w:rsidP="008D1AFC">
      <w:pPr>
        <w:spacing w:line="276" w:lineRule="auto"/>
        <w:textAlignment w:val="baseline"/>
        <w:rPr>
          <w:rFonts w:ascii="Arial" w:hAnsi="Arial" w:cs="Arial"/>
          <w:sz w:val="24"/>
          <w:szCs w:val="24"/>
          <w:lang w:val="es-CO" w:eastAsia="es-CO"/>
        </w:rPr>
      </w:pPr>
    </w:p>
    <w:p w:rsidR="008D1AFC" w:rsidRPr="008D1AFC" w:rsidRDefault="008D1AFC" w:rsidP="008D1AFC">
      <w:pPr>
        <w:spacing w:line="276" w:lineRule="auto"/>
        <w:textAlignment w:val="baseline"/>
        <w:rPr>
          <w:rFonts w:ascii="Arial" w:hAnsi="Arial" w:cs="Arial"/>
          <w:sz w:val="24"/>
          <w:szCs w:val="24"/>
          <w:lang w:val="es-CO" w:eastAsia="es-CO"/>
        </w:rPr>
      </w:pPr>
    </w:p>
    <w:p w:rsidR="008D1AFC" w:rsidRPr="008D1AFC" w:rsidRDefault="008D1AFC" w:rsidP="008D1AFC">
      <w:pPr>
        <w:spacing w:line="276" w:lineRule="auto"/>
        <w:textAlignment w:val="baseline"/>
        <w:rPr>
          <w:rFonts w:ascii="Arial" w:hAnsi="Arial" w:cs="Arial"/>
          <w:sz w:val="24"/>
          <w:szCs w:val="24"/>
          <w:lang w:val="es-CO" w:eastAsia="es-CO"/>
        </w:rPr>
      </w:pPr>
      <w:r w:rsidRPr="008D1AFC">
        <w:rPr>
          <w:rFonts w:ascii="Arial" w:hAnsi="Arial" w:cs="Arial"/>
          <w:b/>
          <w:bCs/>
          <w:sz w:val="24"/>
          <w:szCs w:val="24"/>
          <w:lang w:val="es-ES" w:eastAsia="es-CO"/>
        </w:rPr>
        <w:t>ANA LUCÍA CAICEDO CALDERÓN</w:t>
      </w:r>
      <w:r w:rsidRPr="008D1AFC">
        <w:rPr>
          <w:rFonts w:ascii="Arial" w:hAnsi="Arial" w:cs="Arial"/>
          <w:sz w:val="24"/>
          <w:szCs w:val="24"/>
          <w:lang w:val="es-CO" w:eastAsia="es-CO"/>
        </w:rPr>
        <w:t> </w:t>
      </w:r>
      <w:r w:rsidRPr="008D1AFC">
        <w:rPr>
          <w:rFonts w:ascii="Arial" w:hAnsi="Arial" w:cs="Arial"/>
          <w:sz w:val="24"/>
          <w:szCs w:val="24"/>
          <w:lang w:val="es-CO" w:eastAsia="es-CO"/>
        </w:rPr>
        <w:tab/>
      </w:r>
      <w:r w:rsidRPr="008D1AFC">
        <w:rPr>
          <w:rFonts w:ascii="Arial" w:hAnsi="Arial" w:cs="Arial"/>
          <w:sz w:val="24"/>
          <w:szCs w:val="24"/>
          <w:lang w:val="es-CO" w:eastAsia="es-CO"/>
        </w:rPr>
        <w:tab/>
      </w:r>
      <w:r w:rsidRPr="008D1AFC">
        <w:rPr>
          <w:rFonts w:ascii="Arial" w:hAnsi="Arial" w:cs="Arial"/>
          <w:b/>
          <w:bCs/>
          <w:sz w:val="24"/>
          <w:szCs w:val="24"/>
          <w:lang w:val="es-CO" w:eastAsia="es-CO"/>
        </w:rPr>
        <w:t>GERMÁN DARÍO GÓEZ VINASCO</w:t>
      </w:r>
    </w:p>
    <w:p w:rsidR="008D1AFC" w:rsidRPr="008D1AFC" w:rsidRDefault="008D1AFC" w:rsidP="008D1AFC">
      <w:pPr>
        <w:spacing w:line="276" w:lineRule="auto"/>
        <w:jc w:val="both"/>
        <w:textAlignment w:val="baseline"/>
        <w:rPr>
          <w:rFonts w:ascii="Arial" w:eastAsia="Calibri" w:hAnsi="Arial" w:cs="Arial"/>
          <w:sz w:val="24"/>
          <w:szCs w:val="24"/>
          <w:lang w:val="es-CO" w:eastAsia="en-US"/>
        </w:rPr>
      </w:pPr>
      <w:r w:rsidRPr="008D1AFC">
        <w:rPr>
          <w:rFonts w:ascii="Arial" w:hAnsi="Arial" w:cs="Arial"/>
          <w:sz w:val="24"/>
          <w:szCs w:val="24"/>
          <w:lang w:val="es-ES" w:eastAsia="es-CO"/>
        </w:rPr>
        <w:t>Magistrada</w:t>
      </w:r>
      <w:r w:rsidRPr="008D1AFC">
        <w:rPr>
          <w:rFonts w:ascii="Arial" w:hAnsi="Arial" w:cs="Arial"/>
          <w:sz w:val="24"/>
          <w:szCs w:val="24"/>
          <w:lang w:val="es-ES" w:eastAsia="es-CO"/>
        </w:rPr>
        <w:tab/>
      </w:r>
      <w:r w:rsidRPr="008D1AFC">
        <w:rPr>
          <w:rFonts w:ascii="Arial" w:hAnsi="Arial" w:cs="Arial"/>
          <w:sz w:val="24"/>
          <w:szCs w:val="24"/>
          <w:lang w:val="es-ES" w:eastAsia="es-CO"/>
        </w:rPr>
        <w:tab/>
      </w:r>
      <w:r w:rsidRPr="008D1AFC">
        <w:rPr>
          <w:rFonts w:ascii="Arial" w:hAnsi="Arial" w:cs="Arial"/>
          <w:sz w:val="24"/>
          <w:szCs w:val="24"/>
          <w:lang w:val="es-ES" w:eastAsia="es-CO"/>
        </w:rPr>
        <w:tab/>
      </w:r>
      <w:r w:rsidRPr="008D1AFC">
        <w:rPr>
          <w:rFonts w:ascii="Arial" w:hAnsi="Arial" w:cs="Arial"/>
          <w:sz w:val="24"/>
          <w:szCs w:val="24"/>
          <w:lang w:val="es-ES" w:eastAsia="es-CO"/>
        </w:rPr>
        <w:tab/>
      </w:r>
      <w:r w:rsidRPr="008D1AFC">
        <w:rPr>
          <w:rFonts w:ascii="Arial" w:hAnsi="Arial" w:cs="Arial"/>
          <w:sz w:val="24"/>
          <w:szCs w:val="24"/>
          <w:lang w:val="es-ES" w:eastAsia="es-CO"/>
        </w:rPr>
        <w:tab/>
      </w:r>
      <w:r w:rsidRPr="008D1AFC">
        <w:rPr>
          <w:rFonts w:ascii="Arial" w:hAnsi="Arial" w:cs="Arial"/>
          <w:sz w:val="24"/>
          <w:szCs w:val="24"/>
          <w:lang w:val="es-ES" w:eastAsia="es-CO"/>
        </w:rPr>
        <w:tab/>
        <w:t>Magistrado</w:t>
      </w:r>
    </w:p>
    <w:p w:rsidR="003C68FE" w:rsidRPr="008D1AFC" w:rsidRDefault="008D1AFC" w:rsidP="008D1AFC">
      <w:pPr>
        <w:widowControl w:val="0"/>
        <w:autoSpaceDE w:val="0"/>
        <w:autoSpaceDN w:val="0"/>
        <w:adjustRightInd w:val="0"/>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Ausencia justificada</w:t>
      </w:r>
      <w:bookmarkStart w:id="2" w:name="_GoBack"/>
      <w:bookmarkEnd w:id="2"/>
    </w:p>
    <w:sectPr w:rsidR="003C68FE" w:rsidRPr="008D1AFC" w:rsidSect="00B4764F">
      <w:headerReference w:type="default" r:id="rId10"/>
      <w:footerReference w:type="default" r:id="rId11"/>
      <w:headerReference w:type="first" r:id="rId12"/>
      <w:footerReference w:type="first" r:id="rId13"/>
      <w:pgSz w:w="12240" w:h="18720"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2FBD601" w16cex:dateUtc="2021-07-27T15:38:20.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0C5" w:rsidRDefault="006870C5" w:rsidP="00BD4A65">
      <w:r>
        <w:separator/>
      </w:r>
    </w:p>
  </w:endnote>
  <w:endnote w:type="continuationSeparator" w:id="0">
    <w:p w:rsidR="006870C5" w:rsidRDefault="006870C5" w:rsidP="00BD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E1F" w:rsidRPr="000F3C39" w:rsidRDefault="004B0A8E" w:rsidP="000F3C39">
    <w:pPr>
      <w:pStyle w:val="Encabezado"/>
      <w:jc w:val="right"/>
      <w:rPr>
        <w:rFonts w:ascii="Arial" w:hAnsi="Arial" w:cs="Arial"/>
        <w:sz w:val="18"/>
        <w:szCs w:val="16"/>
      </w:rPr>
    </w:pPr>
    <w:r w:rsidRPr="000F3C39">
      <w:rPr>
        <w:rFonts w:ascii="Arial" w:hAnsi="Arial" w:cs="Arial"/>
        <w:sz w:val="18"/>
        <w:szCs w:val="16"/>
      </w:rPr>
      <w:fldChar w:fldCharType="begin"/>
    </w:r>
    <w:r w:rsidR="00EE1590" w:rsidRPr="000F3C39">
      <w:rPr>
        <w:rFonts w:ascii="Arial" w:hAnsi="Arial" w:cs="Arial"/>
        <w:sz w:val="18"/>
        <w:szCs w:val="16"/>
      </w:rPr>
      <w:instrText>PAGE   \* MERGEFORMAT</w:instrText>
    </w:r>
    <w:r w:rsidRPr="000F3C39">
      <w:rPr>
        <w:rFonts w:ascii="Arial" w:hAnsi="Arial" w:cs="Arial"/>
        <w:sz w:val="18"/>
        <w:szCs w:val="16"/>
      </w:rPr>
      <w:fldChar w:fldCharType="separate"/>
    </w:r>
    <w:r w:rsidR="00A15565" w:rsidRPr="000F3C39">
      <w:rPr>
        <w:rFonts w:ascii="Arial" w:hAnsi="Arial" w:cs="Arial"/>
        <w:sz w:val="18"/>
        <w:szCs w:val="16"/>
      </w:rPr>
      <w:t>3</w:t>
    </w:r>
    <w:r w:rsidRPr="000F3C39">
      <w:rPr>
        <w:rFonts w:ascii="Arial" w:hAnsi="Arial" w:cs="Arial"/>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8223"/>
      <w:docPartObj>
        <w:docPartGallery w:val="Page Numbers (Bottom of Page)"/>
        <w:docPartUnique/>
      </w:docPartObj>
    </w:sdtPr>
    <w:sdtEndPr/>
    <w:sdtContent>
      <w:p w:rsidR="00E05CDD" w:rsidRDefault="00115D25">
        <w:pPr>
          <w:pStyle w:val="Piedepgina"/>
          <w:jc w:val="right"/>
        </w:pPr>
        <w:r>
          <w:rPr>
            <w:noProof/>
          </w:rPr>
          <w:fldChar w:fldCharType="begin"/>
        </w:r>
        <w:r>
          <w:rPr>
            <w:noProof/>
          </w:rPr>
          <w:instrText xml:space="preserve"> PAGE   \* MERGEFORMAT </w:instrText>
        </w:r>
        <w:r>
          <w:rPr>
            <w:noProof/>
          </w:rPr>
          <w:fldChar w:fldCharType="separate"/>
        </w:r>
        <w:r w:rsidR="00A15565">
          <w:rPr>
            <w:noProof/>
          </w:rPr>
          <w:t>1</w:t>
        </w:r>
        <w:r>
          <w:rPr>
            <w:noProof/>
          </w:rPr>
          <w:fldChar w:fldCharType="end"/>
        </w:r>
      </w:p>
    </w:sdtContent>
  </w:sdt>
  <w:p w:rsidR="00E05CDD" w:rsidRDefault="00E05C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0C5" w:rsidRDefault="006870C5" w:rsidP="00BD4A65">
      <w:r>
        <w:separator/>
      </w:r>
    </w:p>
  </w:footnote>
  <w:footnote w:type="continuationSeparator" w:id="0">
    <w:p w:rsidR="006870C5" w:rsidRDefault="006870C5" w:rsidP="00BD4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C39" w:rsidRDefault="00BD4A65" w:rsidP="000F3C39">
    <w:pPr>
      <w:pStyle w:val="Encabezado"/>
      <w:jc w:val="center"/>
      <w:rPr>
        <w:rFonts w:ascii="Arial" w:hAnsi="Arial" w:cs="Arial"/>
        <w:sz w:val="18"/>
        <w:szCs w:val="16"/>
      </w:rPr>
    </w:pPr>
    <w:r w:rsidRPr="000F3C39">
      <w:rPr>
        <w:rFonts w:ascii="Arial" w:hAnsi="Arial" w:cs="Arial"/>
        <w:sz w:val="18"/>
        <w:szCs w:val="16"/>
      </w:rPr>
      <w:t xml:space="preserve">Sandro Mauricio Ortiz </w:t>
    </w:r>
    <w:r w:rsidR="000F3C39" w:rsidRPr="000F3C39">
      <w:rPr>
        <w:rFonts w:ascii="Arial" w:hAnsi="Arial" w:cs="Arial"/>
        <w:sz w:val="18"/>
        <w:szCs w:val="16"/>
      </w:rPr>
      <w:t>López y</w:t>
    </w:r>
    <w:r w:rsidRPr="000F3C39">
      <w:rPr>
        <w:rFonts w:ascii="Arial" w:hAnsi="Arial" w:cs="Arial"/>
        <w:sz w:val="18"/>
        <w:szCs w:val="16"/>
      </w:rPr>
      <w:t xml:space="preserve"> otros</w:t>
    </w:r>
    <w:r w:rsidR="00EE1590" w:rsidRPr="000F3C39">
      <w:rPr>
        <w:rFonts w:ascii="Arial" w:hAnsi="Arial" w:cs="Arial"/>
        <w:sz w:val="18"/>
        <w:szCs w:val="16"/>
      </w:rPr>
      <w:t xml:space="preserve"> Vs Colpensiones</w:t>
    </w:r>
  </w:p>
  <w:p w:rsidR="00A72E1F" w:rsidRPr="000F3C39" w:rsidRDefault="00EE1590" w:rsidP="000F3C39">
    <w:pPr>
      <w:pStyle w:val="Encabezado"/>
      <w:jc w:val="center"/>
      <w:rPr>
        <w:rFonts w:ascii="Arial" w:hAnsi="Arial" w:cs="Arial"/>
        <w:sz w:val="18"/>
        <w:szCs w:val="16"/>
      </w:rPr>
    </w:pPr>
    <w:r w:rsidRPr="000F3C39">
      <w:rPr>
        <w:rFonts w:ascii="Arial" w:hAnsi="Arial" w:cs="Arial"/>
        <w:sz w:val="18"/>
        <w:szCs w:val="16"/>
      </w:rPr>
      <w:t xml:space="preserve">Rad. </w:t>
    </w:r>
    <w:r w:rsidRPr="000F3C39">
      <w:rPr>
        <w:rFonts w:ascii="Arial" w:hAnsi="Arial" w:cs="Arial"/>
        <w:bCs/>
        <w:spacing w:val="2"/>
        <w:sz w:val="18"/>
        <w:szCs w:val="16"/>
      </w:rPr>
      <w:t>66001-31-05-00</w:t>
    </w:r>
    <w:r w:rsidR="00BD4A65" w:rsidRPr="000F3C39">
      <w:rPr>
        <w:rFonts w:ascii="Arial" w:hAnsi="Arial" w:cs="Arial"/>
        <w:bCs/>
        <w:spacing w:val="2"/>
        <w:sz w:val="18"/>
        <w:szCs w:val="16"/>
      </w:rPr>
      <w:t>3</w:t>
    </w:r>
    <w:r w:rsidRPr="000F3C39">
      <w:rPr>
        <w:rFonts w:ascii="Arial" w:hAnsi="Arial" w:cs="Arial"/>
        <w:bCs/>
        <w:spacing w:val="2"/>
        <w:sz w:val="18"/>
        <w:szCs w:val="16"/>
      </w:rPr>
      <w:t>-201</w:t>
    </w:r>
    <w:r w:rsidR="00BD4A65" w:rsidRPr="000F3C39">
      <w:rPr>
        <w:rFonts w:ascii="Arial" w:hAnsi="Arial" w:cs="Arial"/>
        <w:bCs/>
        <w:spacing w:val="2"/>
        <w:sz w:val="18"/>
        <w:szCs w:val="16"/>
      </w:rPr>
      <w:t>6</w:t>
    </w:r>
    <w:r w:rsidRPr="000F3C39">
      <w:rPr>
        <w:rFonts w:ascii="Arial" w:hAnsi="Arial" w:cs="Arial"/>
        <w:bCs/>
        <w:spacing w:val="2"/>
        <w:sz w:val="18"/>
        <w:szCs w:val="16"/>
      </w:rPr>
      <w:t>-00</w:t>
    </w:r>
    <w:r w:rsidR="00BD4A65" w:rsidRPr="000F3C39">
      <w:rPr>
        <w:rFonts w:ascii="Arial" w:hAnsi="Arial" w:cs="Arial"/>
        <w:bCs/>
        <w:spacing w:val="2"/>
        <w:sz w:val="18"/>
        <w:szCs w:val="16"/>
      </w:rPr>
      <w:t>028</w:t>
    </w:r>
    <w:r w:rsidRPr="000F3C39">
      <w:rPr>
        <w:rFonts w:ascii="Arial" w:hAnsi="Arial" w:cs="Arial"/>
        <w:bCs/>
        <w:spacing w:val="2"/>
        <w:sz w:val="18"/>
        <w:szCs w:val="16"/>
      </w:rPr>
      <w:t>-0</w:t>
    </w:r>
    <w:r w:rsidR="00BD4A65" w:rsidRPr="000F3C39">
      <w:rPr>
        <w:rFonts w:ascii="Arial" w:hAnsi="Arial" w:cs="Arial"/>
        <w:bCs/>
        <w:spacing w:val="2"/>
        <w:sz w:val="18"/>
        <w:szCs w:val="16"/>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CDD" w:rsidRDefault="00E05CDD">
    <w:pPr>
      <w:pStyle w:val="Encabezado"/>
      <w:jc w:val="right"/>
    </w:pPr>
  </w:p>
  <w:p w:rsidR="00E05CDD" w:rsidRDefault="00E05C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5735D"/>
    <w:multiLevelType w:val="hybridMultilevel"/>
    <w:tmpl w:val="EB628B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4A65"/>
    <w:rsid w:val="000F3C39"/>
    <w:rsid w:val="00115D25"/>
    <w:rsid w:val="001E32D2"/>
    <w:rsid w:val="001F2D78"/>
    <w:rsid w:val="002A54D7"/>
    <w:rsid w:val="002C08E8"/>
    <w:rsid w:val="003471A9"/>
    <w:rsid w:val="003C68FE"/>
    <w:rsid w:val="004B0A8E"/>
    <w:rsid w:val="00672D42"/>
    <w:rsid w:val="006870C5"/>
    <w:rsid w:val="006E6B9D"/>
    <w:rsid w:val="00792359"/>
    <w:rsid w:val="00801246"/>
    <w:rsid w:val="0081489C"/>
    <w:rsid w:val="008D1AFC"/>
    <w:rsid w:val="00923220"/>
    <w:rsid w:val="00940B3B"/>
    <w:rsid w:val="009E4C7B"/>
    <w:rsid w:val="00A15565"/>
    <w:rsid w:val="00A640E8"/>
    <w:rsid w:val="00B3576D"/>
    <w:rsid w:val="00B4764F"/>
    <w:rsid w:val="00BD4A65"/>
    <w:rsid w:val="00BEC799"/>
    <w:rsid w:val="00DA6C90"/>
    <w:rsid w:val="00DF2C43"/>
    <w:rsid w:val="00E05CDD"/>
    <w:rsid w:val="00E41BC3"/>
    <w:rsid w:val="00EE1590"/>
    <w:rsid w:val="0205D383"/>
    <w:rsid w:val="02CB0230"/>
    <w:rsid w:val="033DA5DD"/>
    <w:rsid w:val="0366CF70"/>
    <w:rsid w:val="054DA056"/>
    <w:rsid w:val="05BFDD3C"/>
    <w:rsid w:val="0624D750"/>
    <w:rsid w:val="0647CC90"/>
    <w:rsid w:val="067D3425"/>
    <w:rsid w:val="07F4E4FD"/>
    <w:rsid w:val="08190486"/>
    <w:rsid w:val="0A192356"/>
    <w:rsid w:val="0A290701"/>
    <w:rsid w:val="0A8E8D9B"/>
    <w:rsid w:val="0AC47970"/>
    <w:rsid w:val="0EEC9479"/>
    <w:rsid w:val="1023C6F1"/>
    <w:rsid w:val="119EC7F5"/>
    <w:rsid w:val="13221A52"/>
    <w:rsid w:val="14BDEAB3"/>
    <w:rsid w:val="14C17791"/>
    <w:rsid w:val="15CA349E"/>
    <w:rsid w:val="168516FD"/>
    <w:rsid w:val="16B0C478"/>
    <w:rsid w:val="16BC8182"/>
    <w:rsid w:val="17C316E7"/>
    <w:rsid w:val="17F91853"/>
    <w:rsid w:val="17FB6187"/>
    <w:rsid w:val="188EA1FF"/>
    <w:rsid w:val="189B6445"/>
    <w:rsid w:val="1925A47C"/>
    <w:rsid w:val="19F7EDE0"/>
    <w:rsid w:val="1A3734A6"/>
    <w:rsid w:val="1A51DCD0"/>
    <w:rsid w:val="1A89A4A3"/>
    <w:rsid w:val="1C142109"/>
    <w:rsid w:val="1C529E7F"/>
    <w:rsid w:val="1C618709"/>
    <w:rsid w:val="1CA30214"/>
    <w:rsid w:val="1CF79587"/>
    <w:rsid w:val="1D328509"/>
    <w:rsid w:val="1DDD3409"/>
    <w:rsid w:val="1E4AD09F"/>
    <w:rsid w:val="1EEE2FA7"/>
    <w:rsid w:val="1F7C31E8"/>
    <w:rsid w:val="1FB68ABB"/>
    <w:rsid w:val="210CE745"/>
    <w:rsid w:val="21622780"/>
    <w:rsid w:val="221CD0ED"/>
    <w:rsid w:val="2263C1B2"/>
    <w:rsid w:val="22A8B7A6"/>
    <w:rsid w:val="22B0A52C"/>
    <w:rsid w:val="22B25D38"/>
    <w:rsid w:val="22F22235"/>
    <w:rsid w:val="232BF76F"/>
    <w:rsid w:val="232C92AF"/>
    <w:rsid w:val="2425C5A3"/>
    <w:rsid w:val="248D8BD4"/>
    <w:rsid w:val="24DD2B01"/>
    <w:rsid w:val="252864EA"/>
    <w:rsid w:val="252D9BE8"/>
    <w:rsid w:val="25D16B63"/>
    <w:rsid w:val="25E2C84C"/>
    <w:rsid w:val="262A4785"/>
    <w:rsid w:val="26F04210"/>
    <w:rsid w:val="2771AAF0"/>
    <w:rsid w:val="2784164F"/>
    <w:rsid w:val="280EA3C7"/>
    <w:rsid w:val="284D053E"/>
    <w:rsid w:val="2885E23A"/>
    <w:rsid w:val="28895979"/>
    <w:rsid w:val="28AE617E"/>
    <w:rsid w:val="291D8622"/>
    <w:rsid w:val="2988F0DF"/>
    <w:rsid w:val="299F29D6"/>
    <w:rsid w:val="29A5B046"/>
    <w:rsid w:val="2B24C140"/>
    <w:rsid w:val="2BC417DA"/>
    <w:rsid w:val="2C578772"/>
    <w:rsid w:val="2C8BB0D3"/>
    <w:rsid w:val="2CCF1489"/>
    <w:rsid w:val="2D270110"/>
    <w:rsid w:val="2D8E3D6A"/>
    <w:rsid w:val="2DAF98D4"/>
    <w:rsid w:val="2E4A5D4F"/>
    <w:rsid w:val="2E5C6202"/>
    <w:rsid w:val="2E5F93C8"/>
    <w:rsid w:val="2E9F569F"/>
    <w:rsid w:val="2F611DF5"/>
    <w:rsid w:val="2FB6BFA0"/>
    <w:rsid w:val="3017C911"/>
    <w:rsid w:val="302476C4"/>
    <w:rsid w:val="304E9797"/>
    <w:rsid w:val="3077CBC2"/>
    <w:rsid w:val="320382F8"/>
    <w:rsid w:val="32C6C8F6"/>
    <w:rsid w:val="32E3E815"/>
    <w:rsid w:val="3383E3B0"/>
    <w:rsid w:val="34629957"/>
    <w:rsid w:val="348EE259"/>
    <w:rsid w:val="34C4D183"/>
    <w:rsid w:val="34FC6BDE"/>
    <w:rsid w:val="351A60FB"/>
    <w:rsid w:val="354B3CE5"/>
    <w:rsid w:val="35C859BB"/>
    <w:rsid w:val="36E70D46"/>
    <w:rsid w:val="37672950"/>
    <w:rsid w:val="37C42B03"/>
    <w:rsid w:val="37FCB55D"/>
    <w:rsid w:val="380AEE77"/>
    <w:rsid w:val="3849349A"/>
    <w:rsid w:val="38708BE7"/>
    <w:rsid w:val="38FD1666"/>
    <w:rsid w:val="394582C2"/>
    <w:rsid w:val="39C3C196"/>
    <w:rsid w:val="39F3BD70"/>
    <w:rsid w:val="3A9F32F2"/>
    <w:rsid w:val="3BC4F830"/>
    <w:rsid w:val="3C1E4D3A"/>
    <w:rsid w:val="3C9EE7FC"/>
    <w:rsid w:val="3CA58D79"/>
    <w:rsid w:val="3D371AE8"/>
    <w:rsid w:val="3F25C406"/>
    <w:rsid w:val="3F4C4D00"/>
    <w:rsid w:val="3F603893"/>
    <w:rsid w:val="3F6A3022"/>
    <w:rsid w:val="3FCAEE52"/>
    <w:rsid w:val="40654828"/>
    <w:rsid w:val="41942FF7"/>
    <w:rsid w:val="432D5758"/>
    <w:rsid w:val="43517B7F"/>
    <w:rsid w:val="4356DFC9"/>
    <w:rsid w:val="43581DAB"/>
    <w:rsid w:val="43DA2016"/>
    <w:rsid w:val="444A9AAA"/>
    <w:rsid w:val="448A6832"/>
    <w:rsid w:val="457726D3"/>
    <w:rsid w:val="45A1BD8D"/>
    <w:rsid w:val="46C0597D"/>
    <w:rsid w:val="46EF2818"/>
    <w:rsid w:val="47DF7E5E"/>
    <w:rsid w:val="48429007"/>
    <w:rsid w:val="488AF879"/>
    <w:rsid w:val="4902BFE8"/>
    <w:rsid w:val="491E0BCD"/>
    <w:rsid w:val="49C40779"/>
    <w:rsid w:val="4A9D26F3"/>
    <w:rsid w:val="4BA1B9C7"/>
    <w:rsid w:val="4BBE63EF"/>
    <w:rsid w:val="4C583981"/>
    <w:rsid w:val="4CB16D00"/>
    <w:rsid w:val="4CB53240"/>
    <w:rsid w:val="4DE07340"/>
    <w:rsid w:val="4E27D46B"/>
    <w:rsid w:val="4E4614C2"/>
    <w:rsid w:val="4E4DD30E"/>
    <w:rsid w:val="4EA3FD86"/>
    <w:rsid w:val="4F451A88"/>
    <w:rsid w:val="4F9BC4CB"/>
    <w:rsid w:val="4FBA266B"/>
    <w:rsid w:val="5082DFFB"/>
    <w:rsid w:val="50D4212A"/>
    <w:rsid w:val="50F3401A"/>
    <w:rsid w:val="51C84313"/>
    <w:rsid w:val="52FAA7BA"/>
    <w:rsid w:val="52FE1CD2"/>
    <w:rsid w:val="53641374"/>
    <w:rsid w:val="53C2D782"/>
    <w:rsid w:val="53CDAB20"/>
    <w:rsid w:val="54004FCF"/>
    <w:rsid w:val="540A8454"/>
    <w:rsid w:val="542AE0DC"/>
    <w:rsid w:val="5439E715"/>
    <w:rsid w:val="544709A4"/>
    <w:rsid w:val="546D8C6A"/>
    <w:rsid w:val="54B6BF01"/>
    <w:rsid w:val="55557372"/>
    <w:rsid w:val="55DCE862"/>
    <w:rsid w:val="56441617"/>
    <w:rsid w:val="5762E0C3"/>
    <w:rsid w:val="57EE5FC3"/>
    <w:rsid w:val="58AA42C4"/>
    <w:rsid w:val="591B79DA"/>
    <w:rsid w:val="5A66E633"/>
    <w:rsid w:val="5C22F0A6"/>
    <w:rsid w:val="5CC94E19"/>
    <w:rsid w:val="5CCF7E50"/>
    <w:rsid w:val="5D658063"/>
    <w:rsid w:val="5E6B4EB1"/>
    <w:rsid w:val="5EF14623"/>
    <w:rsid w:val="5FC701DB"/>
    <w:rsid w:val="607E0BB1"/>
    <w:rsid w:val="61358DBC"/>
    <w:rsid w:val="617C19AC"/>
    <w:rsid w:val="62648B7D"/>
    <w:rsid w:val="6293633C"/>
    <w:rsid w:val="63324E1F"/>
    <w:rsid w:val="633EBFD4"/>
    <w:rsid w:val="6383B234"/>
    <w:rsid w:val="6400429E"/>
    <w:rsid w:val="64472235"/>
    <w:rsid w:val="6457E683"/>
    <w:rsid w:val="6539F8A0"/>
    <w:rsid w:val="65A74282"/>
    <w:rsid w:val="65DAA069"/>
    <w:rsid w:val="6603FD6A"/>
    <w:rsid w:val="673C7573"/>
    <w:rsid w:val="678092EE"/>
    <w:rsid w:val="67B6C752"/>
    <w:rsid w:val="686D6A50"/>
    <w:rsid w:val="687EB80B"/>
    <w:rsid w:val="6882F001"/>
    <w:rsid w:val="68E9CD35"/>
    <w:rsid w:val="6912412B"/>
    <w:rsid w:val="69B5BBB9"/>
    <w:rsid w:val="6A060E23"/>
    <w:rsid w:val="6A25665B"/>
    <w:rsid w:val="6A4073F7"/>
    <w:rsid w:val="6A6A11BF"/>
    <w:rsid w:val="6B1BD062"/>
    <w:rsid w:val="6B41EFDB"/>
    <w:rsid w:val="6B99E6F9"/>
    <w:rsid w:val="6BAB2F68"/>
    <w:rsid w:val="6C279925"/>
    <w:rsid w:val="6CD168EB"/>
    <w:rsid w:val="6CF7B0C0"/>
    <w:rsid w:val="6D4075E2"/>
    <w:rsid w:val="6D5B54C2"/>
    <w:rsid w:val="6DDC1D53"/>
    <w:rsid w:val="6DFBB41A"/>
    <w:rsid w:val="6EE97828"/>
    <w:rsid w:val="7023DF65"/>
    <w:rsid w:val="713B6533"/>
    <w:rsid w:val="724E87B9"/>
    <w:rsid w:val="7251E617"/>
    <w:rsid w:val="72B8C062"/>
    <w:rsid w:val="736390B4"/>
    <w:rsid w:val="73843637"/>
    <w:rsid w:val="7395F2A5"/>
    <w:rsid w:val="73B21587"/>
    <w:rsid w:val="7437E42E"/>
    <w:rsid w:val="7448A691"/>
    <w:rsid w:val="746B9F72"/>
    <w:rsid w:val="74D6066B"/>
    <w:rsid w:val="755407E7"/>
    <w:rsid w:val="75A478CE"/>
    <w:rsid w:val="760C0E81"/>
    <w:rsid w:val="76123F5A"/>
    <w:rsid w:val="76AFD3A8"/>
    <w:rsid w:val="76F6B761"/>
    <w:rsid w:val="76FF094D"/>
    <w:rsid w:val="7712D1A4"/>
    <w:rsid w:val="78FCBF20"/>
    <w:rsid w:val="7A069538"/>
    <w:rsid w:val="7CB3453F"/>
    <w:rsid w:val="7D815F3C"/>
    <w:rsid w:val="7DD6607A"/>
    <w:rsid w:val="7EC11F48"/>
    <w:rsid w:val="7F1AD0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6F75"/>
  <w15:docId w15:val="{B7DECE92-A1B5-47D2-92B0-5FD6326D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A65"/>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BD4A65"/>
    <w:pPr>
      <w:keepNext/>
      <w:spacing w:line="360" w:lineRule="auto"/>
      <w:ind w:right="284"/>
      <w:jc w:val="both"/>
      <w:outlineLvl w:val="1"/>
    </w:pPr>
    <w:rPr>
      <w:rFonts w:ascii="Arial" w:hAnsi="Arial"/>
      <w:b/>
      <w:sz w:val="24"/>
    </w:rPr>
  </w:style>
  <w:style w:type="paragraph" w:styleId="Ttulo4">
    <w:name w:val="heading 4"/>
    <w:basedOn w:val="Normal"/>
    <w:next w:val="Normal"/>
    <w:link w:val="Ttulo4Car"/>
    <w:qFormat/>
    <w:rsid w:val="00BD4A65"/>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D4A65"/>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BD4A65"/>
    <w:rPr>
      <w:rFonts w:ascii="Arial" w:eastAsia="Times New Roman" w:hAnsi="Arial" w:cs="Times New Roman"/>
      <w:spacing w:val="-3"/>
      <w:sz w:val="36"/>
      <w:szCs w:val="20"/>
      <w:lang w:val="es-ES_tradnl" w:eastAsia="es-ES"/>
    </w:rPr>
  </w:style>
  <w:style w:type="paragraph" w:styleId="Ttulo">
    <w:name w:val="Title"/>
    <w:basedOn w:val="Normal"/>
    <w:link w:val="TtuloCar"/>
    <w:qFormat/>
    <w:rsid w:val="00BD4A65"/>
    <w:pPr>
      <w:widowControl w:val="0"/>
      <w:autoSpaceDE w:val="0"/>
      <w:autoSpaceDN w:val="0"/>
      <w:adjustRightInd w:val="0"/>
      <w:jc w:val="center"/>
    </w:pPr>
    <w:rPr>
      <w:rFonts w:ascii="Roman 12cpi" w:hAnsi="Roman 12cpi"/>
      <w:b/>
      <w:bCs/>
      <w:lang w:val="es-ES"/>
    </w:rPr>
  </w:style>
  <w:style w:type="character" w:customStyle="1" w:styleId="TtuloCar">
    <w:name w:val="Título Car"/>
    <w:basedOn w:val="Fuentedeprrafopredeter"/>
    <w:link w:val="Ttulo"/>
    <w:rsid w:val="00BD4A65"/>
    <w:rPr>
      <w:rFonts w:ascii="Roman 12cpi" w:eastAsia="Times New Roman" w:hAnsi="Roman 12cpi" w:cs="Times New Roman"/>
      <w:b/>
      <w:bCs/>
      <w:sz w:val="20"/>
      <w:szCs w:val="20"/>
      <w:lang w:eastAsia="es-ES"/>
    </w:rPr>
  </w:style>
  <w:style w:type="paragraph" w:styleId="Textoindependiente">
    <w:name w:val="Body Text"/>
    <w:basedOn w:val="Normal"/>
    <w:link w:val="TextoindependienteCar"/>
    <w:rsid w:val="00BD4A65"/>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BD4A65"/>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BD4A65"/>
    <w:pPr>
      <w:tabs>
        <w:tab w:val="center" w:pos="4419"/>
        <w:tab w:val="right" w:pos="8838"/>
      </w:tabs>
    </w:pPr>
  </w:style>
  <w:style w:type="character" w:customStyle="1" w:styleId="EncabezadoCar">
    <w:name w:val="Encabezado Car"/>
    <w:basedOn w:val="Fuentedeprrafopredeter"/>
    <w:link w:val="Encabezado"/>
    <w:uiPriority w:val="99"/>
    <w:rsid w:val="00BD4A6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BD4A65"/>
    <w:pPr>
      <w:tabs>
        <w:tab w:val="center" w:pos="4419"/>
        <w:tab w:val="right" w:pos="8838"/>
      </w:tabs>
    </w:pPr>
  </w:style>
  <w:style w:type="character" w:customStyle="1" w:styleId="PiedepginaCar">
    <w:name w:val="Pie de página Car"/>
    <w:basedOn w:val="Fuentedeprrafopredeter"/>
    <w:link w:val="Piedepgina"/>
    <w:uiPriority w:val="99"/>
    <w:rsid w:val="00BD4A65"/>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semiHidden/>
    <w:unhideWhenUsed/>
    <w:rsid w:val="00BD4A65"/>
    <w:pPr>
      <w:spacing w:after="120" w:line="480" w:lineRule="auto"/>
    </w:pPr>
  </w:style>
  <w:style w:type="character" w:customStyle="1" w:styleId="Textoindependiente2Car">
    <w:name w:val="Texto independiente 2 Car"/>
    <w:basedOn w:val="Fuentedeprrafopredeter"/>
    <w:link w:val="Textoindependiente2"/>
    <w:semiHidden/>
    <w:rsid w:val="00BD4A65"/>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BD4A65"/>
    <w:pPr>
      <w:spacing w:line="360" w:lineRule="auto"/>
      <w:jc w:val="both"/>
    </w:pPr>
    <w:rPr>
      <w:rFonts w:ascii="Arial" w:hAnsi="Arial"/>
      <w:b/>
      <w:sz w:val="28"/>
    </w:rPr>
  </w:style>
  <w:style w:type="character" w:customStyle="1" w:styleId="normaltextrun">
    <w:name w:val="normaltextrun"/>
    <w:rsid w:val="003471A9"/>
  </w:style>
  <w:style w:type="paragraph" w:styleId="Textocomentario">
    <w:name w:val="annotation text"/>
    <w:basedOn w:val="Normal"/>
    <w:link w:val="TextocomentarioCar"/>
    <w:uiPriority w:val="99"/>
    <w:semiHidden/>
    <w:unhideWhenUsed/>
    <w:rsid w:val="004B0A8E"/>
  </w:style>
  <w:style w:type="character" w:customStyle="1" w:styleId="TextocomentarioCar">
    <w:name w:val="Texto comentario Car"/>
    <w:basedOn w:val="Fuentedeprrafopredeter"/>
    <w:link w:val="Textocomentario"/>
    <w:uiPriority w:val="99"/>
    <w:semiHidden/>
    <w:rsid w:val="004B0A8E"/>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4B0A8E"/>
    <w:rPr>
      <w:sz w:val="16"/>
      <w:szCs w:val="16"/>
    </w:rPr>
  </w:style>
  <w:style w:type="paragraph" w:styleId="Textodeglobo">
    <w:name w:val="Balloon Text"/>
    <w:basedOn w:val="Normal"/>
    <w:link w:val="TextodegloboCar"/>
    <w:uiPriority w:val="99"/>
    <w:semiHidden/>
    <w:unhideWhenUsed/>
    <w:rsid w:val="00940B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0B3B"/>
    <w:rPr>
      <w:rFonts w:ascii="Segoe UI" w:eastAsia="Times New Roman"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A640E8"/>
    <w:rPr>
      <w:b/>
      <w:bCs/>
    </w:rPr>
  </w:style>
  <w:style w:type="character" w:customStyle="1" w:styleId="AsuntodelcomentarioCar">
    <w:name w:val="Asunto del comentario Car"/>
    <w:basedOn w:val="TextocomentarioCar"/>
    <w:link w:val="Asuntodelcomentario"/>
    <w:uiPriority w:val="99"/>
    <w:semiHidden/>
    <w:rsid w:val="00A640E8"/>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 Id="Rc8d3ac6af50644c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5CEA4640-6F15-4CB6-B831-B70FCB7FE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D5383C-6140-4983-BC65-AEE7098DFB97}">
  <ds:schemaRefs>
    <ds:schemaRef ds:uri="http://schemas.microsoft.com/sharepoint/v3/contenttype/forms"/>
  </ds:schemaRefs>
</ds:datastoreItem>
</file>

<file path=customXml/itemProps3.xml><?xml version="1.0" encoding="utf-8"?>
<ds:datastoreItem xmlns:ds="http://schemas.openxmlformats.org/officeDocument/2006/customXml" ds:itemID="{BEBAC384-2FF8-4E31-A5C3-3047E587FABA}">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3438</Words>
  <Characters>18911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14</cp:revision>
  <dcterms:created xsi:type="dcterms:W3CDTF">2021-07-01T00:05:00Z</dcterms:created>
  <dcterms:modified xsi:type="dcterms:W3CDTF">2021-09-07T22:41:00Z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