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8C062A" w14:textId="77777777" w:rsidR="006808FE" w:rsidRPr="006808FE" w:rsidRDefault="006808FE" w:rsidP="006808F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6808F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D563CE" w14:textId="77777777" w:rsidR="006808FE" w:rsidRPr="006808FE" w:rsidRDefault="006808FE" w:rsidP="006808FE">
      <w:pPr>
        <w:jc w:val="both"/>
        <w:rPr>
          <w:rFonts w:ascii="Arial" w:hAnsi="Arial" w:cs="Arial"/>
          <w:sz w:val="20"/>
          <w:szCs w:val="20"/>
          <w:lang w:val="es-419"/>
        </w:rPr>
      </w:pPr>
    </w:p>
    <w:p w14:paraId="1B62BAEB" w14:textId="78A23DBB" w:rsidR="006808FE" w:rsidRPr="006808FE" w:rsidRDefault="006808FE" w:rsidP="006808FE">
      <w:pPr>
        <w:jc w:val="both"/>
        <w:rPr>
          <w:rFonts w:ascii="Arial" w:hAnsi="Arial" w:cs="Arial"/>
          <w:b/>
          <w:bCs/>
          <w:iCs/>
          <w:sz w:val="20"/>
          <w:szCs w:val="20"/>
          <w:lang w:val="es-419" w:eastAsia="fr-FR"/>
        </w:rPr>
      </w:pPr>
      <w:bookmarkStart w:id="1" w:name="_GoBack"/>
      <w:r w:rsidRPr="006808FE">
        <w:rPr>
          <w:rFonts w:ascii="Arial" w:hAnsi="Arial" w:cs="Arial"/>
          <w:b/>
          <w:bCs/>
          <w:iCs/>
          <w:sz w:val="20"/>
          <w:szCs w:val="20"/>
          <w:u w:val="single"/>
          <w:lang w:val="es-419" w:eastAsia="fr-FR"/>
        </w:rPr>
        <w:t>TEMAS:</w:t>
      </w:r>
      <w:r w:rsidRPr="006808FE">
        <w:rPr>
          <w:rFonts w:ascii="Arial" w:hAnsi="Arial" w:cs="Arial"/>
          <w:b/>
          <w:bCs/>
          <w:iCs/>
          <w:sz w:val="20"/>
          <w:szCs w:val="20"/>
          <w:lang w:val="es-419" w:eastAsia="fr-FR"/>
        </w:rPr>
        <w:tab/>
      </w:r>
      <w:r w:rsidR="00FA57E8">
        <w:rPr>
          <w:rFonts w:ascii="Arial" w:hAnsi="Arial" w:cs="Arial"/>
          <w:b/>
          <w:bCs/>
          <w:iCs/>
          <w:sz w:val="20"/>
          <w:szCs w:val="20"/>
          <w:lang w:val="es-419" w:eastAsia="fr-FR"/>
        </w:rPr>
        <w:t xml:space="preserve">DEBIDO PROCESO / TUTELA CONTRA DECISIÓN JUDICIAL / REQUISITOS DE PROCEDIBILIDAD / DESCONOCIMIENTO DEL PRECEDENTE / DEFECTO SUSTANTIVO / SOLICITUD DE LIBERTAD CONDICIONAL </w:t>
      </w:r>
      <w:r w:rsidR="00454A52">
        <w:rPr>
          <w:rFonts w:ascii="Arial" w:hAnsi="Arial" w:cs="Arial"/>
          <w:b/>
          <w:bCs/>
          <w:iCs/>
          <w:sz w:val="20"/>
          <w:szCs w:val="20"/>
          <w:lang w:val="es-419" w:eastAsia="fr-FR"/>
        </w:rPr>
        <w:t>/ OBLIGACIÓN DE INCLUIR EN EL ANÁLISIS LA GRAVEDAD DE LA CONDUCTA.</w:t>
      </w:r>
    </w:p>
    <w:bookmarkEnd w:id="1"/>
    <w:p w14:paraId="35A97E1F" w14:textId="77777777" w:rsidR="006808FE" w:rsidRPr="006808FE" w:rsidRDefault="006808FE" w:rsidP="006808FE">
      <w:pPr>
        <w:jc w:val="both"/>
        <w:rPr>
          <w:rFonts w:ascii="Arial" w:hAnsi="Arial" w:cs="Arial"/>
          <w:sz w:val="20"/>
          <w:szCs w:val="20"/>
          <w:lang w:val="es-419"/>
        </w:rPr>
      </w:pPr>
    </w:p>
    <w:p w14:paraId="4258404E" w14:textId="20BE6D08" w:rsidR="006808FE" w:rsidRPr="006808FE" w:rsidRDefault="00C467EE" w:rsidP="006808FE">
      <w:pPr>
        <w:jc w:val="both"/>
        <w:rPr>
          <w:rFonts w:ascii="Arial" w:hAnsi="Arial" w:cs="Arial"/>
          <w:sz w:val="20"/>
          <w:szCs w:val="20"/>
          <w:lang w:val="es-419"/>
        </w:rPr>
      </w:pPr>
      <w:r>
        <w:rPr>
          <w:rFonts w:ascii="Arial" w:hAnsi="Arial" w:cs="Arial"/>
          <w:sz w:val="20"/>
          <w:szCs w:val="20"/>
          <w:lang w:val="es-419"/>
        </w:rPr>
        <w:t xml:space="preserve">… </w:t>
      </w:r>
      <w:r w:rsidRPr="00C467EE">
        <w:rPr>
          <w:rFonts w:ascii="Arial" w:hAnsi="Arial" w:cs="Arial"/>
          <w:sz w:val="20"/>
          <w:szCs w:val="20"/>
          <w:lang w:val="es-419"/>
        </w:rPr>
        <w:t>es pertinente mencionar que el inciso 3º del artículo 86 de nuestra Constitución, en concordancia con los artículos 6º y 8º del aludido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ad portas de sufrir un perjuicio irremediable.</w:t>
      </w:r>
    </w:p>
    <w:p w14:paraId="4EA7D065" w14:textId="77777777" w:rsidR="006808FE" w:rsidRPr="006808FE" w:rsidRDefault="006808FE" w:rsidP="006808FE">
      <w:pPr>
        <w:jc w:val="both"/>
        <w:rPr>
          <w:rFonts w:ascii="Arial" w:hAnsi="Arial" w:cs="Arial"/>
          <w:sz w:val="20"/>
          <w:szCs w:val="20"/>
          <w:lang w:val="es-419"/>
        </w:rPr>
      </w:pPr>
    </w:p>
    <w:p w14:paraId="16F2874A" w14:textId="47E3CEA4" w:rsidR="006808FE" w:rsidRPr="006808FE" w:rsidRDefault="00241192" w:rsidP="006808FE">
      <w:pPr>
        <w:jc w:val="both"/>
        <w:rPr>
          <w:rFonts w:ascii="Arial" w:hAnsi="Arial" w:cs="Arial"/>
          <w:sz w:val="20"/>
          <w:szCs w:val="20"/>
          <w:lang w:val="es-419"/>
        </w:rPr>
      </w:pPr>
      <w:r w:rsidRPr="00241192">
        <w:rPr>
          <w:rFonts w:ascii="Arial" w:hAnsi="Arial" w:cs="Arial"/>
          <w:sz w:val="20"/>
          <w:szCs w:val="20"/>
          <w:lang w:val="es-419"/>
        </w:rPr>
        <w:t>Este requisito se hace más exigente cuando se pretende atacar pronunciamientos judiciales por vía de tutela, pues se supone que el primer escenario con el que cuentan los sujetos pasivos de un proceso, o en este caso las personas en contra de quienes se ha proferido una sentencia condenatoria y la misma se encuentra ejecutoriada, es ante el Juez que vigila la ejecución de su pena, ello en garantía de la preservación del principio de seguridad jurídica</w:t>
      </w:r>
      <w:r>
        <w:rPr>
          <w:rFonts w:ascii="Arial" w:hAnsi="Arial" w:cs="Arial"/>
          <w:sz w:val="20"/>
          <w:szCs w:val="20"/>
          <w:lang w:val="es-419"/>
        </w:rPr>
        <w:t xml:space="preserve">… </w:t>
      </w:r>
    </w:p>
    <w:p w14:paraId="713CD821" w14:textId="77777777" w:rsidR="006808FE" w:rsidRPr="006808FE" w:rsidRDefault="006808FE" w:rsidP="006808FE">
      <w:pPr>
        <w:jc w:val="both"/>
        <w:rPr>
          <w:rFonts w:ascii="Arial" w:hAnsi="Arial" w:cs="Arial"/>
          <w:sz w:val="20"/>
          <w:szCs w:val="20"/>
          <w:lang w:val="es-419"/>
        </w:rPr>
      </w:pPr>
    </w:p>
    <w:p w14:paraId="463C574F" w14:textId="63A519C7" w:rsidR="006808FE" w:rsidRDefault="00514144" w:rsidP="006808FE">
      <w:pPr>
        <w:jc w:val="both"/>
        <w:rPr>
          <w:rFonts w:ascii="Arial" w:hAnsi="Arial" w:cs="Arial"/>
          <w:sz w:val="20"/>
          <w:szCs w:val="20"/>
          <w:lang w:val="es-419"/>
        </w:rPr>
      </w:pPr>
      <w:r w:rsidRPr="00514144">
        <w:rPr>
          <w:rFonts w:ascii="Arial" w:hAnsi="Arial" w:cs="Arial"/>
          <w:sz w:val="20"/>
          <w:szCs w:val="20"/>
          <w:lang w:val="es-419"/>
        </w:rPr>
        <w:t>En ese orden de ideas, como quiera que el problema jurídico del presente asunto gira en torno a controvertir el contenido y la legalidad de una providencia judicial, debe iniciar la Colegiatura por dilucidar si en el caso bajo estudio están dados los presupuestos de procedibilidad de la acción de tutela, de manera tal que se justifique la intervención del juez Constitucional y pueda ser utilizada como un instrumento para dejar sin efectos lo resuelto en el escenario ordinario por el juez natural</w:t>
      </w:r>
      <w:r>
        <w:rPr>
          <w:rFonts w:ascii="Arial" w:hAnsi="Arial" w:cs="Arial"/>
          <w:sz w:val="20"/>
          <w:szCs w:val="20"/>
          <w:lang w:val="es-419"/>
        </w:rPr>
        <w:t>…</w:t>
      </w:r>
    </w:p>
    <w:p w14:paraId="4FDAD224" w14:textId="18BC89AB" w:rsidR="00514144" w:rsidRDefault="00514144" w:rsidP="006808FE">
      <w:pPr>
        <w:jc w:val="both"/>
        <w:rPr>
          <w:rFonts w:ascii="Arial" w:hAnsi="Arial" w:cs="Arial"/>
          <w:sz w:val="20"/>
          <w:szCs w:val="20"/>
          <w:lang w:val="es-419"/>
        </w:rPr>
      </w:pPr>
    </w:p>
    <w:p w14:paraId="13FA2FC1" w14:textId="662E908C" w:rsidR="00514144" w:rsidRDefault="005F6D2D" w:rsidP="006808FE">
      <w:pPr>
        <w:jc w:val="both"/>
        <w:rPr>
          <w:rFonts w:ascii="Arial" w:hAnsi="Arial" w:cs="Arial"/>
          <w:sz w:val="20"/>
          <w:szCs w:val="20"/>
          <w:lang w:val="es-419"/>
        </w:rPr>
      </w:pPr>
      <w:r w:rsidRPr="005F6D2D">
        <w:rPr>
          <w:rFonts w:ascii="Arial" w:hAnsi="Arial" w:cs="Arial"/>
          <w:sz w:val="20"/>
          <w:szCs w:val="20"/>
          <w:lang w:val="es-419"/>
        </w:rPr>
        <w:t>Teniendo claro cuándo de manera genérica procede la acción constitucional, se hace necesario entrar a aclarar su procedencia para atacar decisiones judiciales; para ello, la jurisprudencia ha establecido una serie de requisitos conocidos como causales de procedibilidad especiales</w:t>
      </w:r>
      <w:r>
        <w:rPr>
          <w:rFonts w:ascii="Arial" w:hAnsi="Arial" w:cs="Arial"/>
          <w:sz w:val="20"/>
          <w:szCs w:val="20"/>
          <w:lang w:val="es-419"/>
        </w:rPr>
        <w:t>…</w:t>
      </w:r>
    </w:p>
    <w:p w14:paraId="236C3542" w14:textId="0943FC1F" w:rsidR="005F6D2D" w:rsidRDefault="005F6D2D" w:rsidP="006808FE">
      <w:pPr>
        <w:jc w:val="both"/>
        <w:rPr>
          <w:rFonts w:ascii="Arial" w:hAnsi="Arial" w:cs="Arial"/>
          <w:sz w:val="20"/>
          <w:szCs w:val="20"/>
          <w:lang w:val="es-419"/>
        </w:rPr>
      </w:pPr>
    </w:p>
    <w:p w14:paraId="1A608B67" w14:textId="5062D54C" w:rsidR="007E29B5" w:rsidRPr="007E29B5" w:rsidRDefault="007E29B5" w:rsidP="007E29B5">
      <w:pPr>
        <w:jc w:val="both"/>
        <w:rPr>
          <w:rFonts w:ascii="Arial" w:hAnsi="Arial" w:cs="Arial"/>
          <w:sz w:val="20"/>
          <w:szCs w:val="20"/>
          <w:lang w:val="es-419"/>
        </w:rPr>
      </w:pPr>
      <w:r w:rsidRPr="007E29B5">
        <w:rPr>
          <w:rFonts w:ascii="Arial" w:hAnsi="Arial" w:cs="Arial"/>
          <w:sz w:val="20"/>
          <w:szCs w:val="20"/>
          <w:lang w:val="es-419"/>
        </w:rPr>
        <w:t xml:space="preserve">En el caso que ocupa la atención de la Sala, la parte accionante invocó los cargos de desconocimiento del precedente y defecto sustantivo.  </w:t>
      </w:r>
    </w:p>
    <w:p w14:paraId="04D0A485" w14:textId="77777777" w:rsidR="007E29B5" w:rsidRPr="007E29B5" w:rsidRDefault="007E29B5" w:rsidP="007E29B5">
      <w:pPr>
        <w:jc w:val="both"/>
        <w:rPr>
          <w:rFonts w:ascii="Arial" w:hAnsi="Arial" w:cs="Arial"/>
          <w:sz w:val="20"/>
          <w:szCs w:val="20"/>
          <w:lang w:val="es-419"/>
        </w:rPr>
      </w:pPr>
    </w:p>
    <w:p w14:paraId="102BEE42" w14:textId="19425644" w:rsidR="005F6D2D" w:rsidRPr="006808FE" w:rsidRDefault="007E29B5" w:rsidP="007E29B5">
      <w:pPr>
        <w:jc w:val="both"/>
        <w:rPr>
          <w:rFonts w:ascii="Arial" w:hAnsi="Arial" w:cs="Arial"/>
          <w:sz w:val="20"/>
          <w:szCs w:val="20"/>
          <w:lang w:val="es-419"/>
        </w:rPr>
      </w:pPr>
      <w:r w:rsidRPr="007E29B5">
        <w:rPr>
          <w:rFonts w:ascii="Arial" w:hAnsi="Arial" w:cs="Arial"/>
          <w:sz w:val="20"/>
          <w:szCs w:val="20"/>
          <w:lang w:val="es-419"/>
        </w:rPr>
        <w:t>Partiendo de lo anterior, y para determinar si nos encontramos ante alguna de las causales mencionadas en precedencia, debe aclararse en primer lugar que el análisis que debe llevar a cabo el Juez de Ejecución de Penas y Medidas de Seguridad, para establecer si un condenado puede o no ser favorecido con el subrogado de la libertad condicional, está reglamentado por el artículo 64 del Código Penal, modificado por la Ley 1709 de 2014</w:t>
      </w:r>
      <w:r w:rsidR="00D94836">
        <w:rPr>
          <w:rFonts w:ascii="Arial" w:hAnsi="Arial" w:cs="Arial"/>
          <w:sz w:val="20"/>
          <w:szCs w:val="20"/>
          <w:lang w:val="es-419"/>
        </w:rPr>
        <w:t>…</w:t>
      </w:r>
    </w:p>
    <w:p w14:paraId="13EE4C24" w14:textId="77777777" w:rsidR="006808FE" w:rsidRPr="006808FE" w:rsidRDefault="006808FE" w:rsidP="006808FE">
      <w:pPr>
        <w:jc w:val="both"/>
        <w:rPr>
          <w:rFonts w:ascii="Arial" w:hAnsi="Arial" w:cs="Arial"/>
          <w:sz w:val="20"/>
          <w:szCs w:val="20"/>
          <w:lang w:val="es-ES"/>
        </w:rPr>
      </w:pPr>
    </w:p>
    <w:p w14:paraId="37EBBDC5" w14:textId="0F42F0EB" w:rsidR="006808FE" w:rsidRPr="006808FE" w:rsidRDefault="00D94836" w:rsidP="006808FE">
      <w:pPr>
        <w:jc w:val="both"/>
        <w:rPr>
          <w:rFonts w:ascii="Arial" w:hAnsi="Arial" w:cs="Arial"/>
          <w:sz w:val="20"/>
          <w:szCs w:val="20"/>
          <w:lang w:val="es-ES"/>
        </w:rPr>
      </w:pPr>
      <w:r>
        <w:rPr>
          <w:rFonts w:ascii="Arial" w:hAnsi="Arial" w:cs="Arial"/>
          <w:sz w:val="20"/>
          <w:szCs w:val="20"/>
          <w:lang w:val="es-ES"/>
        </w:rPr>
        <w:t xml:space="preserve">… </w:t>
      </w:r>
      <w:r w:rsidRPr="00D94836">
        <w:rPr>
          <w:rFonts w:ascii="Arial" w:hAnsi="Arial" w:cs="Arial"/>
          <w:sz w:val="20"/>
          <w:szCs w:val="20"/>
          <w:lang w:val="es-ES"/>
        </w:rPr>
        <w:t>al momento de validar el cumplimiento de los requisitos para la concesión de subrogados penales, y específicamente en el que nos concita, el Juez que vigila la pena bajo ninguna circunstancia se encuentra exonerado de realizar dicho análisis, pues se insiste, el artículo 64 Penal le obliga a incluir en su estudio los parámetros relacionados con la gravedad de la conducta; y, desde ese punto de vista, no le queda al ejecutor una alternativa diferente que acudir a los aspectos consignados en la sentencia, que sirvieron de base para proferir una sentencia condenatoria</w:t>
      </w:r>
      <w:r>
        <w:rPr>
          <w:rFonts w:ascii="Arial" w:hAnsi="Arial" w:cs="Arial"/>
          <w:sz w:val="20"/>
          <w:szCs w:val="20"/>
          <w:lang w:val="es-ES"/>
        </w:rPr>
        <w:t>…</w:t>
      </w:r>
    </w:p>
    <w:p w14:paraId="69DC0D59" w14:textId="16211D79" w:rsidR="006808FE" w:rsidRDefault="006808FE" w:rsidP="006808FE">
      <w:pPr>
        <w:jc w:val="both"/>
        <w:rPr>
          <w:rFonts w:ascii="Arial" w:hAnsi="Arial" w:cs="Arial"/>
          <w:sz w:val="20"/>
          <w:szCs w:val="20"/>
          <w:lang w:val="es-ES"/>
        </w:rPr>
      </w:pPr>
    </w:p>
    <w:p w14:paraId="0F7463FB" w14:textId="0AC5FADA" w:rsidR="00D94836" w:rsidRDefault="00D94836" w:rsidP="006808FE">
      <w:pPr>
        <w:jc w:val="both"/>
        <w:rPr>
          <w:rFonts w:ascii="Arial" w:hAnsi="Arial" w:cs="Arial"/>
          <w:sz w:val="20"/>
          <w:szCs w:val="20"/>
          <w:lang w:val="es-ES"/>
        </w:rPr>
      </w:pPr>
    </w:p>
    <w:p w14:paraId="6835317E" w14:textId="77777777" w:rsidR="00D94836" w:rsidRPr="006808FE" w:rsidRDefault="00D94836" w:rsidP="006808FE">
      <w:pPr>
        <w:jc w:val="both"/>
        <w:rPr>
          <w:rFonts w:ascii="Arial" w:hAnsi="Arial" w:cs="Arial"/>
          <w:sz w:val="20"/>
          <w:szCs w:val="20"/>
          <w:lang w:val="es-ES"/>
        </w:rPr>
      </w:pPr>
    </w:p>
    <w:bookmarkEnd w:id="0"/>
    <w:p w14:paraId="7CD3E9D7" w14:textId="77777777" w:rsidR="00C869D4" w:rsidRPr="006808FE" w:rsidRDefault="00C869D4" w:rsidP="006808FE">
      <w:pPr>
        <w:spacing w:line="276" w:lineRule="auto"/>
        <w:jc w:val="center"/>
        <w:rPr>
          <w:rFonts w:ascii="Tahoma" w:hAnsi="Tahoma" w:cs="Tahoma"/>
          <w:b/>
          <w:lang w:eastAsia="en-US"/>
        </w:rPr>
      </w:pPr>
      <w:r w:rsidRPr="006808FE">
        <w:rPr>
          <w:rFonts w:ascii="Tahoma" w:hAnsi="Tahoma" w:cs="Tahoma"/>
          <w:b/>
          <w:lang w:eastAsia="en-US"/>
        </w:rPr>
        <w:t>REPÚBLICA DE COLOMBIA</w:t>
      </w:r>
    </w:p>
    <w:p w14:paraId="68BECA6C" w14:textId="77777777" w:rsidR="00C869D4" w:rsidRPr="006808FE" w:rsidRDefault="00C869D4" w:rsidP="006808FE">
      <w:pPr>
        <w:spacing w:line="276" w:lineRule="auto"/>
        <w:jc w:val="center"/>
        <w:rPr>
          <w:rFonts w:ascii="Tahoma" w:hAnsi="Tahoma" w:cs="Tahoma"/>
          <w:b/>
          <w:lang w:eastAsia="en-US"/>
        </w:rPr>
      </w:pPr>
      <w:r w:rsidRPr="006808FE">
        <w:rPr>
          <w:rFonts w:ascii="Tahoma" w:hAnsi="Tahoma" w:cs="Tahoma"/>
          <w:b/>
          <w:lang w:eastAsia="en-US"/>
        </w:rPr>
        <w:t>RAMA JUDICIAL DEL PODER PÚBLICO</w:t>
      </w:r>
    </w:p>
    <w:p w14:paraId="7A689208" w14:textId="35A34A9B" w:rsidR="00C869D4" w:rsidRPr="006808FE" w:rsidRDefault="001653DE" w:rsidP="006808FE">
      <w:pPr>
        <w:spacing w:line="276" w:lineRule="auto"/>
        <w:jc w:val="center"/>
        <w:rPr>
          <w:rFonts w:ascii="Tahoma" w:hAnsi="Tahoma" w:cs="Tahoma"/>
          <w:b/>
          <w:lang w:eastAsia="en-US"/>
        </w:rPr>
      </w:pPr>
      <w:r w:rsidRPr="006808FE">
        <w:rPr>
          <w:rFonts w:ascii="Tahoma" w:hAnsi="Tahoma" w:cs="Tahoma"/>
          <w:b/>
          <w:noProof/>
          <w:lang w:val="es-ES"/>
        </w:rPr>
        <w:drawing>
          <wp:inline distT="0" distB="0" distL="0" distR="0" wp14:anchorId="02371C98" wp14:editId="1D0721AA">
            <wp:extent cx="742950" cy="74295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18B74654" w14:textId="77777777" w:rsidR="00C869D4" w:rsidRPr="006808FE" w:rsidRDefault="00C869D4" w:rsidP="006808FE">
      <w:pPr>
        <w:spacing w:line="276" w:lineRule="auto"/>
        <w:jc w:val="center"/>
        <w:rPr>
          <w:rFonts w:ascii="Tahoma" w:hAnsi="Tahoma" w:cs="Tahoma"/>
          <w:b/>
          <w:lang w:eastAsia="en-US"/>
        </w:rPr>
      </w:pPr>
      <w:r w:rsidRPr="006808FE">
        <w:rPr>
          <w:rFonts w:ascii="Tahoma" w:hAnsi="Tahoma" w:cs="Tahoma"/>
          <w:b/>
          <w:lang w:eastAsia="en-US"/>
        </w:rPr>
        <w:t>TRIBUNAL SUPERIOR DEL DISTRITO JUDICIAL DE PEREIRA</w:t>
      </w:r>
    </w:p>
    <w:p w14:paraId="4A11BD16" w14:textId="77777777" w:rsidR="00C869D4" w:rsidRPr="006808FE" w:rsidRDefault="00C869D4" w:rsidP="006808FE">
      <w:pPr>
        <w:spacing w:line="276" w:lineRule="auto"/>
        <w:jc w:val="center"/>
        <w:rPr>
          <w:rFonts w:ascii="Tahoma" w:hAnsi="Tahoma" w:cs="Tahoma"/>
          <w:b/>
          <w:lang w:eastAsia="en-US"/>
        </w:rPr>
      </w:pPr>
      <w:r w:rsidRPr="006808FE">
        <w:rPr>
          <w:rFonts w:ascii="Tahoma" w:hAnsi="Tahoma" w:cs="Tahoma"/>
          <w:b/>
          <w:lang w:eastAsia="en-US"/>
        </w:rPr>
        <w:t>SALA DE DECISIÓN PENAL</w:t>
      </w:r>
    </w:p>
    <w:p w14:paraId="258FD427" w14:textId="77777777" w:rsidR="00C869D4" w:rsidRPr="006808FE" w:rsidRDefault="00C869D4" w:rsidP="006808FE">
      <w:pPr>
        <w:spacing w:line="276" w:lineRule="auto"/>
        <w:jc w:val="center"/>
        <w:rPr>
          <w:rFonts w:ascii="Tahoma" w:hAnsi="Tahoma" w:cs="Tahoma"/>
          <w:b/>
          <w:lang w:eastAsia="en-US"/>
        </w:rPr>
      </w:pPr>
    </w:p>
    <w:p w14:paraId="19CAA9DF" w14:textId="77777777" w:rsidR="00C869D4" w:rsidRPr="006808FE" w:rsidRDefault="00C869D4" w:rsidP="006808FE">
      <w:pPr>
        <w:spacing w:line="276" w:lineRule="auto"/>
        <w:jc w:val="center"/>
        <w:rPr>
          <w:rFonts w:ascii="Tahoma" w:hAnsi="Tahoma" w:cs="Tahoma"/>
          <w:lang w:eastAsia="en-US"/>
        </w:rPr>
      </w:pPr>
      <w:r w:rsidRPr="006808FE">
        <w:rPr>
          <w:rFonts w:ascii="Tahoma" w:hAnsi="Tahoma" w:cs="Tahoma"/>
          <w:lang w:eastAsia="en-US"/>
        </w:rPr>
        <w:t>Magistrado Ponente</w:t>
      </w:r>
    </w:p>
    <w:p w14:paraId="0EE3915A" w14:textId="77777777" w:rsidR="00C869D4" w:rsidRPr="006808FE" w:rsidRDefault="00C869D4" w:rsidP="006808FE">
      <w:pPr>
        <w:spacing w:line="276" w:lineRule="auto"/>
        <w:jc w:val="center"/>
        <w:rPr>
          <w:rFonts w:ascii="Tahoma" w:hAnsi="Tahoma" w:cs="Tahoma"/>
          <w:b/>
          <w:lang w:eastAsia="en-US"/>
        </w:rPr>
      </w:pPr>
      <w:r w:rsidRPr="006808FE">
        <w:rPr>
          <w:rFonts w:ascii="Tahoma" w:hAnsi="Tahoma" w:cs="Tahoma"/>
          <w:b/>
          <w:lang w:eastAsia="en-US"/>
        </w:rPr>
        <w:t>MANUEL YARZAGARAY BANDERA</w:t>
      </w:r>
    </w:p>
    <w:p w14:paraId="4B4BEC28" w14:textId="77777777" w:rsidR="00C869D4" w:rsidRPr="006808FE" w:rsidRDefault="00C869D4" w:rsidP="006808FE">
      <w:pPr>
        <w:spacing w:line="276" w:lineRule="auto"/>
        <w:jc w:val="center"/>
        <w:rPr>
          <w:rFonts w:ascii="Tahoma" w:hAnsi="Tahoma" w:cs="Tahoma"/>
          <w:b/>
          <w:bCs/>
          <w:lang w:eastAsia="en-US"/>
        </w:rPr>
      </w:pPr>
    </w:p>
    <w:p w14:paraId="3AAF98CB" w14:textId="77777777" w:rsidR="00C869D4" w:rsidRPr="006808FE" w:rsidRDefault="00C869D4" w:rsidP="006808FE">
      <w:pPr>
        <w:suppressAutoHyphens/>
        <w:spacing w:line="276" w:lineRule="auto"/>
        <w:jc w:val="center"/>
        <w:rPr>
          <w:rFonts w:ascii="Tahoma" w:hAnsi="Tahoma" w:cs="Tahoma"/>
          <w:b/>
          <w:bCs/>
          <w:spacing w:val="-4"/>
        </w:rPr>
      </w:pPr>
      <w:r w:rsidRPr="006808FE">
        <w:rPr>
          <w:rFonts w:ascii="Tahoma" w:hAnsi="Tahoma" w:cs="Tahoma"/>
          <w:b/>
          <w:bCs/>
          <w:spacing w:val="-4"/>
        </w:rPr>
        <w:t>SENTENCIA DE TUTELA DE PRIMERA INSTANCIA</w:t>
      </w:r>
    </w:p>
    <w:p w14:paraId="7D856A8D" w14:textId="77777777" w:rsidR="00C869D4" w:rsidRPr="006808FE" w:rsidRDefault="00C869D4" w:rsidP="006808FE">
      <w:pPr>
        <w:spacing w:line="276" w:lineRule="auto"/>
        <w:jc w:val="center"/>
        <w:rPr>
          <w:rFonts w:ascii="Tahoma" w:hAnsi="Tahoma" w:cs="Tahoma"/>
          <w:spacing w:val="-3"/>
          <w:lang w:eastAsia="en-US"/>
        </w:rPr>
      </w:pPr>
    </w:p>
    <w:p w14:paraId="02559604" w14:textId="1AE470C9" w:rsidR="00FF0096" w:rsidRPr="006808FE" w:rsidRDefault="00FF0096" w:rsidP="006808FE">
      <w:pPr>
        <w:widowControl w:val="0"/>
        <w:autoSpaceDE w:val="0"/>
        <w:autoSpaceDN w:val="0"/>
        <w:adjustRightInd w:val="0"/>
        <w:spacing w:line="276" w:lineRule="auto"/>
        <w:jc w:val="both"/>
        <w:rPr>
          <w:rFonts w:ascii="Tahoma" w:hAnsi="Tahoma" w:cs="Tahoma"/>
        </w:rPr>
      </w:pPr>
      <w:r w:rsidRPr="006808FE">
        <w:rPr>
          <w:rFonts w:ascii="Tahoma" w:hAnsi="Tahoma" w:cs="Tahoma"/>
        </w:rPr>
        <w:t>Pereira, dieci</w:t>
      </w:r>
      <w:r w:rsidR="000C0DE4" w:rsidRPr="006808FE">
        <w:rPr>
          <w:rFonts w:ascii="Tahoma" w:hAnsi="Tahoma" w:cs="Tahoma"/>
        </w:rPr>
        <w:t>ocho</w:t>
      </w:r>
      <w:r w:rsidRPr="006808FE">
        <w:rPr>
          <w:rFonts w:ascii="Tahoma" w:hAnsi="Tahoma" w:cs="Tahoma"/>
        </w:rPr>
        <w:t xml:space="preserve"> (1</w:t>
      </w:r>
      <w:r w:rsidR="000C0DE4" w:rsidRPr="006808FE">
        <w:rPr>
          <w:rFonts w:ascii="Tahoma" w:hAnsi="Tahoma" w:cs="Tahoma"/>
        </w:rPr>
        <w:t>8</w:t>
      </w:r>
      <w:r w:rsidRPr="006808FE">
        <w:rPr>
          <w:rFonts w:ascii="Tahoma" w:hAnsi="Tahoma" w:cs="Tahoma"/>
        </w:rPr>
        <w:t xml:space="preserve">) de </w:t>
      </w:r>
      <w:r w:rsidR="000C0DE4" w:rsidRPr="006808FE">
        <w:rPr>
          <w:rFonts w:ascii="Tahoma" w:hAnsi="Tahoma" w:cs="Tahoma"/>
        </w:rPr>
        <w:t>agosto</w:t>
      </w:r>
      <w:r w:rsidRPr="006808FE">
        <w:rPr>
          <w:rFonts w:ascii="Tahoma" w:hAnsi="Tahoma" w:cs="Tahoma"/>
        </w:rPr>
        <w:t xml:space="preserve"> de dos mil veintiuno (2021)</w:t>
      </w:r>
    </w:p>
    <w:p w14:paraId="2868D56C" w14:textId="302D87E2" w:rsidR="00FF0096" w:rsidRPr="006808FE" w:rsidRDefault="00FF0096" w:rsidP="006808FE">
      <w:pPr>
        <w:widowControl w:val="0"/>
        <w:autoSpaceDE w:val="0"/>
        <w:autoSpaceDN w:val="0"/>
        <w:adjustRightInd w:val="0"/>
        <w:spacing w:line="276" w:lineRule="auto"/>
        <w:jc w:val="both"/>
        <w:rPr>
          <w:rFonts w:ascii="Tahoma" w:hAnsi="Tahoma" w:cs="Tahoma"/>
        </w:rPr>
      </w:pPr>
      <w:r w:rsidRPr="006808FE">
        <w:rPr>
          <w:rFonts w:ascii="Tahoma" w:hAnsi="Tahoma" w:cs="Tahoma"/>
        </w:rPr>
        <w:t xml:space="preserve">Hora: </w:t>
      </w:r>
      <w:r w:rsidR="000C0DE4" w:rsidRPr="006808FE">
        <w:rPr>
          <w:rFonts w:ascii="Tahoma" w:hAnsi="Tahoma" w:cs="Tahoma"/>
        </w:rPr>
        <w:t>3:10 p.m.</w:t>
      </w:r>
    </w:p>
    <w:p w14:paraId="58D04C07" w14:textId="32AFAF05" w:rsidR="00B82776" w:rsidRPr="006808FE" w:rsidRDefault="00FF0096" w:rsidP="006808FE">
      <w:pPr>
        <w:widowControl w:val="0"/>
        <w:autoSpaceDE w:val="0"/>
        <w:autoSpaceDN w:val="0"/>
        <w:adjustRightInd w:val="0"/>
        <w:spacing w:line="276" w:lineRule="auto"/>
        <w:jc w:val="both"/>
        <w:rPr>
          <w:rFonts w:ascii="Tahoma" w:hAnsi="Tahoma" w:cs="Tahoma"/>
        </w:rPr>
      </w:pPr>
      <w:r w:rsidRPr="006808FE">
        <w:rPr>
          <w:rFonts w:ascii="Tahoma" w:hAnsi="Tahoma" w:cs="Tahoma"/>
        </w:rPr>
        <w:t xml:space="preserve">Aprobado por Acta No. </w:t>
      </w:r>
      <w:r w:rsidR="000C0DE4" w:rsidRPr="006808FE">
        <w:rPr>
          <w:rFonts w:ascii="Tahoma" w:hAnsi="Tahoma" w:cs="Tahoma"/>
        </w:rPr>
        <w:t>637</w:t>
      </w:r>
    </w:p>
    <w:p w14:paraId="4A019770" w14:textId="77777777" w:rsidR="00FF0096" w:rsidRPr="006808FE" w:rsidRDefault="00FF0096" w:rsidP="006808FE">
      <w:pPr>
        <w:widowControl w:val="0"/>
        <w:autoSpaceDE w:val="0"/>
        <w:autoSpaceDN w:val="0"/>
        <w:adjustRightInd w:val="0"/>
        <w:spacing w:line="276" w:lineRule="auto"/>
        <w:jc w:val="both"/>
        <w:rPr>
          <w:rFonts w:ascii="Tahoma" w:hAnsi="Tahoma" w:cs="Tahoma"/>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7025"/>
      </w:tblGrid>
      <w:tr w:rsidR="00B82776" w:rsidRPr="006808FE" w14:paraId="239B607E" w14:textId="77777777" w:rsidTr="000C0DE4">
        <w:trPr>
          <w:trHeight w:val="271"/>
          <w:jc w:val="center"/>
        </w:trPr>
        <w:tc>
          <w:tcPr>
            <w:tcW w:w="1617" w:type="dxa"/>
            <w:shd w:val="clear" w:color="auto" w:fill="auto"/>
            <w:vAlign w:val="center"/>
          </w:tcPr>
          <w:p w14:paraId="3A1B76EF" w14:textId="77777777" w:rsidR="00B82776" w:rsidRPr="006808FE" w:rsidRDefault="00B82776" w:rsidP="006808FE">
            <w:pPr>
              <w:widowControl w:val="0"/>
              <w:autoSpaceDE w:val="0"/>
              <w:autoSpaceDN w:val="0"/>
              <w:adjustRightInd w:val="0"/>
              <w:ind w:left="26" w:right="51"/>
              <w:rPr>
                <w:rFonts w:ascii="Tahoma" w:hAnsi="Tahoma" w:cs="Tahoma"/>
                <w:b/>
                <w:bCs/>
                <w:sz w:val="22"/>
              </w:rPr>
            </w:pPr>
            <w:r w:rsidRPr="006808FE">
              <w:rPr>
                <w:rFonts w:ascii="Tahoma" w:hAnsi="Tahoma" w:cs="Tahoma"/>
                <w:b/>
                <w:bCs/>
                <w:sz w:val="22"/>
              </w:rPr>
              <w:t>Radicación:</w:t>
            </w:r>
          </w:p>
        </w:tc>
        <w:tc>
          <w:tcPr>
            <w:tcW w:w="7025" w:type="dxa"/>
            <w:shd w:val="clear" w:color="auto" w:fill="auto"/>
            <w:vAlign w:val="center"/>
          </w:tcPr>
          <w:p w14:paraId="4AAE8118" w14:textId="0FAEB5F0" w:rsidR="00B82776" w:rsidRPr="006808FE" w:rsidRDefault="00974572" w:rsidP="006808FE">
            <w:pPr>
              <w:widowControl w:val="0"/>
              <w:autoSpaceDE w:val="0"/>
              <w:autoSpaceDN w:val="0"/>
              <w:adjustRightInd w:val="0"/>
              <w:ind w:left="175" w:right="51"/>
              <w:rPr>
                <w:rFonts w:ascii="Tahoma" w:hAnsi="Tahoma" w:cs="Tahoma"/>
                <w:bCs/>
                <w:sz w:val="22"/>
              </w:rPr>
            </w:pPr>
            <w:r w:rsidRPr="006808FE">
              <w:rPr>
                <w:rFonts w:ascii="Tahoma" w:hAnsi="Tahoma" w:cs="Tahoma"/>
                <w:bCs/>
                <w:sz w:val="22"/>
              </w:rPr>
              <w:t>66001-22-04-000-2021-00146-00</w:t>
            </w:r>
          </w:p>
        </w:tc>
      </w:tr>
      <w:tr w:rsidR="00B82776" w:rsidRPr="006808FE" w14:paraId="0E994F39" w14:textId="77777777" w:rsidTr="000C0DE4">
        <w:trPr>
          <w:trHeight w:val="270"/>
          <w:jc w:val="center"/>
        </w:trPr>
        <w:tc>
          <w:tcPr>
            <w:tcW w:w="1617" w:type="dxa"/>
            <w:shd w:val="clear" w:color="auto" w:fill="auto"/>
            <w:vAlign w:val="center"/>
          </w:tcPr>
          <w:p w14:paraId="1AD19565" w14:textId="77777777" w:rsidR="00B82776" w:rsidRPr="006808FE" w:rsidRDefault="00B82776" w:rsidP="006808FE">
            <w:pPr>
              <w:widowControl w:val="0"/>
              <w:autoSpaceDE w:val="0"/>
              <w:autoSpaceDN w:val="0"/>
              <w:adjustRightInd w:val="0"/>
              <w:ind w:left="26" w:right="51"/>
              <w:rPr>
                <w:rFonts w:ascii="Tahoma" w:hAnsi="Tahoma" w:cs="Tahoma"/>
                <w:b/>
                <w:bCs/>
                <w:sz w:val="22"/>
              </w:rPr>
            </w:pPr>
            <w:r w:rsidRPr="006808FE">
              <w:rPr>
                <w:rFonts w:ascii="Tahoma" w:hAnsi="Tahoma" w:cs="Tahoma"/>
                <w:b/>
                <w:bCs/>
                <w:sz w:val="22"/>
              </w:rPr>
              <w:t>Accionante:</w:t>
            </w:r>
          </w:p>
        </w:tc>
        <w:tc>
          <w:tcPr>
            <w:tcW w:w="7025" w:type="dxa"/>
            <w:shd w:val="clear" w:color="auto" w:fill="auto"/>
            <w:vAlign w:val="center"/>
          </w:tcPr>
          <w:p w14:paraId="755D1270" w14:textId="6C447006" w:rsidR="00B82776" w:rsidRPr="006808FE" w:rsidRDefault="00636189" w:rsidP="006808FE">
            <w:pPr>
              <w:widowControl w:val="0"/>
              <w:autoSpaceDE w:val="0"/>
              <w:autoSpaceDN w:val="0"/>
              <w:adjustRightInd w:val="0"/>
              <w:ind w:left="175" w:right="51"/>
              <w:rPr>
                <w:rFonts w:ascii="Tahoma" w:hAnsi="Tahoma" w:cs="Tahoma"/>
                <w:bCs/>
                <w:sz w:val="22"/>
              </w:rPr>
            </w:pPr>
            <w:r w:rsidRPr="006808FE">
              <w:rPr>
                <w:rFonts w:ascii="Tahoma" w:hAnsi="Tahoma" w:cs="Tahoma"/>
                <w:bCs/>
                <w:sz w:val="22"/>
              </w:rPr>
              <w:t>Carlos David García González</w:t>
            </w:r>
          </w:p>
        </w:tc>
      </w:tr>
      <w:tr w:rsidR="00B82776" w:rsidRPr="006808FE" w14:paraId="24CB73E7" w14:textId="77777777" w:rsidTr="000C0DE4">
        <w:trPr>
          <w:trHeight w:val="270"/>
          <w:jc w:val="center"/>
        </w:trPr>
        <w:tc>
          <w:tcPr>
            <w:tcW w:w="1617" w:type="dxa"/>
            <w:shd w:val="clear" w:color="auto" w:fill="auto"/>
            <w:vAlign w:val="center"/>
          </w:tcPr>
          <w:p w14:paraId="2A80ECFD" w14:textId="77777777" w:rsidR="00B82776" w:rsidRPr="006808FE" w:rsidRDefault="00B82776" w:rsidP="006808FE">
            <w:pPr>
              <w:widowControl w:val="0"/>
              <w:autoSpaceDE w:val="0"/>
              <w:autoSpaceDN w:val="0"/>
              <w:adjustRightInd w:val="0"/>
              <w:ind w:left="26" w:right="51"/>
              <w:rPr>
                <w:rFonts w:ascii="Tahoma" w:hAnsi="Tahoma" w:cs="Tahoma"/>
                <w:b/>
                <w:bCs/>
                <w:sz w:val="22"/>
              </w:rPr>
            </w:pPr>
            <w:r w:rsidRPr="006808FE">
              <w:rPr>
                <w:rFonts w:ascii="Tahoma" w:hAnsi="Tahoma" w:cs="Tahoma"/>
                <w:b/>
                <w:bCs/>
                <w:sz w:val="22"/>
              </w:rPr>
              <w:t xml:space="preserve">Apoderado: </w:t>
            </w:r>
          </w:p>
        </w:tc>
        <w:tc>
          <w:tcPr>
            <w:tcW w:w="7025" w:type="dxa"/>
            <w:shd w:val="clear" w:color="auto" w:fill="auto"/>
            <w:vAlign w:val="center"/>
          </w:tcPr>
          <w:p w14:paraId="2F1070FD" w14:textId="77777777" w:rsidR="00B82776" w:rsidRPr="006808FE" w:rsidRDefault="00B82776" w:rsidP="006808FE">
            <w:pPr>
              <w:widowControl w:val="0"/>
              <w:autoSpaceDE w:val="0"/>
              <w:autoSpaceDN w:val="0"/>
              <w:adjustRightInd w:val="0"/>
              <w:ind w:left="175" w:right="51"/>
              <w:rPr>
                <w:rFonts w:ascii="Tahoma" w:hAnsi="Tahoma" w:cs="Tahoma"/>
                <w:bCs/>
                <w:sz w:val="22"/>
              </w:rPr>
            </w:pPr>
            <w:r w:rsidRPr="006808FE">
              <w:rPr>
                <w:rFonts w:ascii="Tahoma" w:hAnsi="Tahoma" w:cs="Tahoma"/>
                <w:bCs/>
                <w:sz w:val="22"/>
              </w:rPr>
              <w:t xml:space="preserve">Dr. Carlos Andrés Bustamante Bolívar </w:t>
            </w:r>
          </w:p>
        </w:tc>
      </w:tr>
      <w:tr w:rsidR="00B82776" w:rsidRPr="006808FE" w14:paraId="6E6D1EC1" w14:textId="77777777" w:rsidTr="000C0DE4">
        <w:trPr>
          <w:trHeight w:val="253"/>
          <w:jc w:val="center"/>
        </w:trPr>
        <w:tc>
          <w:tcPr>
            <w:tcW w:w="1617" w:type="dxa"/>
            <w:shd w:val="clear" w:color="auto" w:fill="auto"/>
            <w:vAlign w:val="center"/>
          </w:tcPr>
          <w:p w14:paraId="2C2A1E2A" w14:textId="77777777" w:rsidR="00B82776" w:rsidRPr="006808FE" w:rsidRDefault="00B82776" w:rsidP="006808FE">
            <w:pPr>
              <w:widowControl w:val="0"/>
              <w:autoSpaceDE w:val="0"/>
              <w:autoSpaceDN w:val="0"/>
              <w:adjustRightInd w:val="0"/>
              <w:ind w:left="26" w:right="51"/>
              <w:rPr>
                <w:rFonts w:ascii="Tahoma" w:hAnsi="Tahoma" w:cs="Tahoma"/>
                <w:b/>
                <w:bCs/>
                <w:sz w:val="22"/>
              </w:rPr>
            </w:pPr>
            <w:r w:rsidRPr="006808FE">
              <w:rPr>
                <w:rFonts w:ascii="Tahoma" w:hAnsi="Tahoma" w:cs="Tahoma"/>
                <w:b/>
                <w:bCs/>
                <w:sz w:val="22"/>
              </w:rPr>
              <w:t>Accionado:</w:t>
            </w:r>
          </w:p>
        </w:tc>
        <w:tc>
          <w:tcPr>
            <w:tcW w:w="7025" w:type="dxa"/>
            <w:shd w:val="clear" w:color="auto" w:fill="auto"/>
            <w:vAlign w:val="center"/>
          </w:tcPr>
          <w:p w14:paraId="66D40267" w14:textId="036D92F4" w:rsidR="00B82776" w:rsidRPr="006808FE" w:rsidRDefault="00B82776" w:rsidP="006808FE">
            <w:pPr>
              <w:widowControl w:val="0"/>
              <w:autoSpaceDE w:val="0"/>
              <w:autoSpaceDN w:val="0"/>
              <w:adjustRightInd w:val="0"/>
              <w:ind w:left="175" w:right="51"/>
              <w:rPr>
                <w:rFonts w:ascii="Tahoma" w:hAnsi="Tahoma" w:cs="Tahoma"/>
                <w:bCs/>
                <w:sz w:val="22"/>
              </w:rPr>
            </w:pPr>
            <w:r w:rsidRPr="006808FE">
              <w:rPr>
                <w:rFonts w:ascii="Tahoma" w:hAnsi="Tahoma" w:cs="Tahoma"/>
                <w:bCs/>
                <w:sz w:val="22"/>
              </w:rPr>
              <w:t xml:space="preserve">Juzgado </w:t>
            </w:r>
            <w:r w:rsidR="00974572" w:rsidRPr="006808FE">
              <w:rPr>
                <w:rFonts w:ascii="Tahoma" w:hAnsi="Tahoma" w:cs="Tahoma"/>
                <w:bCs/>
                <w:sz w:val="22"/>
              </w:rPr>
              <w:t>1</w:t>
            </w:r>
            <w:r w:rsidRPr="006808FE">
              <w:rPr>
                <w:rFonts w:ascii="Tahoma" w:hAnsi="Tahoma" w:cs="Tahoma"/>
                <w:bCs/>
                <w:sz w:val="22"/>
              </w:rPr>
              <w:t xml:space="preserve">º de Ejecución de Penas y Medidas de Seguridad y Juzgado 1º Penal del Circuito Especializado de Pereira     </w:t>
            </w:r>
          </w:p>
        </w:tc>
      </w:tr>
      <w:tr w:rsidR="00B82776" w:rsidRPr="006808FE" w14:paraId="2AA9B640" w14:textId="77777777" w:rsidTr="000C0DE4">
        <w:trPr>
          <w:trHeight w:val="151"/>
          <w:jc w:val="center"/>
        </w:trPr>
        <w:tc>
          <w:tcPr>
            <w:tcW w:w="1617" w:type="dxa"/>
            <w:shd w:val="clear" w:color="auto" w:fill="auto"/>
            <w:vAlign w:val="center"/>
          </w:tcPr>
          <w:p w14:paraId="6B41BD2F" w14:textId="77777777" w:rsidR="00B82776" w:rsidRPr="006808FE" w:rsidRDefault="00B82776" w:rsidP="006808FE">
            <w:pPr>
              <w:widowControl w:val="0"/>
              <w:autoSpaceDE w:val="0"/>
              <w:autoSpaceDN w:val="0"/>
              <w:adjustRightInd w:val="0"/>
              <w:ind w:left="26" w:right="51"/>
              <w:rPr>
                <w:rFonts w:ascii="Tahoma" w:hAnsi="Tahoma" w:cs="Tahoma"/>
                <w:b/>
                <w:bCs/>
                <w:sz w:val="22"/>
              </w:rPr>
            </w:pPr>
            <w:r w:rsidRPr="006808FE">
              <w:rPr>
                <w:rFonts w:ascii="Tahoma" w:hAnsi="Tahoma" w:cs="Tahoma"/>
                <w:b/>
                <w:bCs/>
                <w:sz w:val="22"/>
              </w:rPr>
              <w:t>Asunto:</w:t>
            </w:r>
          </w:p>
        </w:tc>
        <w:tc>
          <w:tcPr>
            <w:tcW w:w="7025" w:type="dxa"/>
            <w:shd w:val="clear" w:color="auto" w:fill="auto"/>
            <w:vAlign w:val="center"/>
          </w:tcPr>
          <w:p w14:paraId="5403A3A4" w14:textId="77777777" w:rsidR="00B82776" w:rsidRPr="006808FE" w:rsidRDefault="00B82776" w:rsidP="006808FE">
            <w:pPr>
              <w:widowControl w:val="0"/>
              <w:autoSpaceDE w:val="0"/>
              <w:autoSpaceDN w:val="0"/>
              <w:adjustRightInd w:val="0"/>
              <w:ind w:left="175" w:right="51"/>
              <w:rPr>
                <w:rFonts w:ascii="Tahoma" w:hAnsi="Tahoma" w:cs="Tahoma"/>
                <w:bCs/>
                <w:sz w:val="22"/>
              </w:rPr>
            </w:pPr>
            <w:r w:rsidRPr="006808FE">
              <w:rPr>
                <w:rFonts w:ascii="Tahoma" w:hAnsi="Tahoma" w:cs="Tahoma"/>
                <w:bCs/>
                <w:sz w:val="22"/>
              </w:rPr>
              <w:t>Niega</w:t>
            </w:r>
          </w:p>
        </w:tc>
      </w:tr>
    </w:tbl>
    <w:p w14:paraId="4BC18FC3" w14:textId="77777777" w:rsidR="00C869D4" w:rsidRPr="006808FE" w:rsidRDefault="00C869D4" w:rsidP="006808FE">
      <w:pPr>
        <w:tabs>
          <w:tab w:val="left" w:pos="2266"/>
          <w:tab w:val="left" w:pos="2549"/>
        </w:tabs>
        <w:suppressAutoHyphens/>
        <w:spacing w:line="276" w:lineRule="auto"/>
        <w:jc w:val="both"/>
        <w:rPr>
          <w:rFonts w:ascii="Tahoma" w:hAnsi="Tahoma" w:cs="Tahoma"/>
          <w:b/>
        </w:rPr>
      </w:pPr>
    </w:p>
    <w:p w14:paraId="5BB515DD" w14:textId="77777777" w:rsidR="007B2D82" w:rsidRPr="006808FE" w:rsidRDefault="007B2D82" w:rsidP="006808FE">
      <w:pPr>
        <w:widowControl w:val="0"/>
        <w:autoSpaceDE w:val="0"/>
        <w:autoSpaceDN w:val="0"/>
        <w:adjustRightInd w:val="0"/>
        <w:spacing w:line="276" w:lineRule="auto"/>
        <w:jc w:val="center"/>
        <w:rPr>
          <w:rFonts w:ascii="Tahoma" w:hAnsi="Tahoma" w:cs="Tahoma"/>
          <w:i/>
          <w:iCs/>
        </w:rPr>
      </w:pPr>
      <w:r w:rsidRPr="006808FE">
        <w:rPr>
          <w:rFonts w:ascii="Tahoma" w:hAnsi="Tahoma" w:cs="Tahoma"/>
          <w:b/>
          <w:bCs/>
        </w:rPr>
        <w:t>ASUNTO:</w:t>
      </w:r>
    </w:p>
    <w:p w14:paraId="4D1499F3" w14:textId="77777777" w:rsidR="007B2D82" w:rsidRPr="006808FE" w:rsidRDefault="007B2D82" w:rsidP="006808FE">
      <w:pPr>
        <w:widowControl w:val="0"/>
        <w:tabs>
          <w:tab w:val="left" w:pos="561"/>
        </w:tabs>
        <w:autoSpaceDE w:val="0"/>
        <w:autoSpaceDN w:val="0"/>
        <w:adjustRightInd w:val="0"/>
        <w:spacing w:line="276" w:lineRule="auto"/>
        <w:jc w:val="both"/>
        <w:rPr>
          <w:rFonts w:ascii="Tahoma" w:hAnsi="Tahoma" w:cs="Tahoma"/>
          <w:b/>
          <w:bCs/>
        </w:rPr>
      </w:pPr>
    </w:p>
    <w:p w14:paraId="2A62D0E0" w14:textId="500A8FBE" w:rsidR="007B2D82" w:rsidRPr="006808FE" w:rsidRDefault="007B2D82" w:rsidP="006808FE">
      <w:pPr>
        <w:widowControl w:val="0"/>
        <w:autoSpaceDE w:val="0"/>
        <w:autoSpaceDN w:val="0"/>
        <w:adjustRightInd w:val="0"/>
        <w:spacing w:line="276" w:lineRule="auto"/>
        <w:jc w:val="both"/>
        <w:rPr>
          <w:rFonts w:ascii="Tahoma" w:hAnsi="Tahoma" w:cs="Tahoma"/>
        </w:rPr>
      </w:pPr>
      <w:r w:rsidRPr="006808FE">
        <w:rPr>
          <w:rFonts w:ascii="Tahoma" w:hAnsi="Tahoma" w:cs="Tahoma"/>
        </w:rPr>
        <w:t>Procede la Colegiatura a resolver lo que en derecho corresponda, con ocasión de la a</w:t>
      </w:r>
      <w:r w:rsidR="003706D6" w:rsidRPr="006808FE">
        <w:rPr>
          <w:rFonts w:ascii="Tahoma" w:hAnsi="Tahoma" w:cs="Tahoma"/>
        </w:rPr>
        <w:t>cción de tutela promovida por</w:t>
      </w:r>
      <w:r w:rsidR="00595F7A" w:rsidRPr="006808FE">
        <w:rPr>
          <w:rFonts w:ascii="Tahoma" w:hAnsi="Tahoma" w:cs="Tahoma"/>
        </w:rPr>
        <w:t xml:space="preserve"> </w:t>
      </w:r>
      <w:r w:rsidR="00E51787" w:rsidRPr="006808FE">
        <w:rPr>
          <w:rFonts w:ascii="Tahoma" w:hAnsi="Tahoma" w:cs="Tahoma"/>
        </w:rPr>
        <w:t>el</w:t>
      </w:r>
      <w:r w:rsidR="00595F7A" w:rsidRPr="006808FE">
        <w:rPr>
          <w:rFonts w:ascii="Tahoma" w:hAnsi="Tahoma" w:cs="Tahoma"/>
        </w:rPr>
        <w:t xml:space="preserve"> profesional del derecho </w:t>
      </w:r>
      <w:r w:rsidR="002304CC" w:rsidRPr="006808FE">
        <w:rPr>
          <w:rFonts w:ascii="Tahoma" w:hAnsi="Tahoma" w:cs="Tahoma"/>
        </w:rPr>
        <w:t>Carlos Andrés Bustamante Bolívar</w:t>
      </w:r>
      <w:r w:rsidR="00595F7A" w:rsidRPr="006808FE">
        <w:rPr>
          <w:rFonts w:ascii="Tahoma" w:hAnsi="Tahoma" w:cs="Tahoma"/>
        </w:rPr>
        <w:t>, quien actúa en este asunto como apoderad</w:t>
      </w:r>
      <w:r w:rsidR="002304CC" w:rsidRPr="006808FE">
        <w:rPr>
          <w:rFonts w:ascii="Tahoma" w:hAnsi="Tahoma" w:cs="Tahoma"/>
        </w:rPr>
        <w:t>o</w:t>
      </w:r>
      <w:r w:rsidR="00595F7A" w:rsidRPr="006808FE">
        <w:rPr>
          <w:rFonts w:ascii="Tahoma" w:hAnsi="Tahoma" w:cs="Tahoma"/>
        </w:rPr>
        <w:t xml:space="preserve"> del señor </w:t>
      </w:r>
      <w:r w:rsidR="00974572" w:rsidRPr="006808FE">
        <w:rPr>
          <w:rFonts w:ascii="Tahoma" w:hAnsi="Tahoma" w:cs="Tahoma"/>
          <w:b/>
        </w:rPr>
        <w:t>CARLOS</w:t>
      </w:r>
      <w:r w:rsidR="002304CC" w:rsidRPr="006808FE">
        <w:rPr>
          <w:rFonts w:ascii="Tahoma" w:hAnsi="Tahoma" w:cs="Tahoma"/>
          <w:b/>
        </w:rPr>
        <w:t xml:space="preserve"> </w:t>
      </w:r>
      <w:r w:rsidR="00974572" w:rsidRPr="006808FE">
        <w:rPr>
          <w:rFonts w:ascii="Tahoma" w:hAnsi="Tahoma" w:cs="Tahoma"/>
          <w:b/>
        </w:rPr>
        <w:t>DAVID</w:t>
      </w:r>
      <w:r w:rsidR="002304CC" w:rsidRPr="006808FE">
        <w:rPr>
          <w:rFonts w:ascii="Tahoma" w:hAnsi="Tahoma" w:cs="Tahoma"/>
          <w:b/>
        </w:rPr>
        <w:t xml:space="preserve"> </w:t>
      </w:r>
      <w:r w:rsidR="00974572" w:rsidRPr="006808FE">
        <w:rPr>
          <w:rFonts w:ascii="Tahoma" w:hAnsi="Tahoma" w:cs="Tahoma"/>
          <w:b/>
        </w:rPr>
        <w:t>GARCÍA GONZÁLEZ</w:t>
      </w:r>
      <w:r w:rsidRPr="006808FE">
        <w:rPr>
          <w:rFonts w:ascii="Tahoma" w:hAnsi="Tahoma" w:cs="Tahoma"/>
        </w:rPr>
        <w:t xml:space="preserve"> en contra del </w:t>
      </w:r>
      <w:r w:rsidRPr="006808FE">
        <w:rPr>
          <w:rFonts w:ascii="Tahoma" w:hAnsi="Tahoma" w:cs="Tahoma"/>
          <w:b/>
        </w:rPr>
        <w:t xml:space="preserve">JUZGADO </w:t>
      </w:r>
      <w:r w:rsidR="00974572" w:rsidRPr="006808FE">
        <w:rPr>
          <w:rFonts w:ascii="Tahoma" w:hAnsi="Tahoma" w:cs="Tahoma"/>
          <w:b/>
        </w:rPr>
        <w:t>1</w:t>
      </w:r>
      <w:r w:rsidR="00526775" w:rsidRPr="006808FE">
        <w:rPr>
          <w:rFonts w:ascii="Tahoma" w:hAnsi="Tahoma" w:cs="Tahoma"/>
          <w:b/>
        </w:rPr>
        <w:t>º</w:t>
      </w:r>
      <w:r w:rsidRPr="006808FE">
        <w:rPr>
          <w:rFonts w:ascii="Tahoma" w:hAnsi="Tahoma" w:cs="Tahoma"/>
          <w:b/>
        </w:rPr>
        <w:t xml:space="preserve"> DE EJECUCIÓN DE PENAS Y MEDIDAS DE SEGURIDAD</w:t>
      </w:r>
      <w:r w:rsidRPr="006808FE">
        <w:rPr>
          <w:rFonts w:ascii="Tahoma" w:hAnsi="Tahoma" w:cs="Tahoma"/>
        </w:rPr>
        <w:t xml:space="preserve"> </w:t>
      </w:r>
      <w:r w:rsidR="00526775" w:rsidRPr="006808FE">
        <w:rPr>
          <w:rFonts w:ascii="Tahoma" w:hAnsi="Tahoma" w:cs="Tahoma"/>
        </w:rPr>
        <w:t xml:space="preserve">y el </w:t>
      </w:r>
      <w:r w:rsidR="00526775" w:rsidRPr="006808FE">
        <w:rPr>
          <w:rFonts w:ascii="Tahoma" w:hAnsi="Tahoma" w:cs="Tahoma"/>
          <w:b/>
        </w:rPr>
        <w:t xml:space="preserve">JUZGADO </w:t>
      </w:r>
      <w:r w:rsidR="002304CC" w:rsidRPr="006808FE">
        <w:rPr>
          <w:rFonts w:ascii="Tahoma" w:hAnsi="Tahoma" w:cs="Tahoma"/>
          <w:b/>
        </w:rPr>
        <w:t>1</w:t>
      </w:r>
      <w:r w:rsidR="00526775" w:rsidRPr="006808FE">
        <w:rPr>
          <w:rFonts w:ascii="Tahoma" w:hAnsi="Tahoma" w:cs="Tahoma"/>
          <w:b/>
        </w:rPr>
        <w:t xml:space="preserve">º </w:t>
      </w:r>
      <w:r w:rsidR="004562E3" w:rsidRPr="006808FE">
        <w:rPr>
          <w:rFonts w:ascii="Tahoma" w:hAnsi="Tahoma" w:cs="Tahoma"/>
          <w:b/>
        </w:rPr>
        <w:t>PENAL DEL CIRCUITO ESPECIALIZADO,</w:t>
      </w:r>
      <w:r w:rsidR="004562E3" w:rsidRPr="006808FE">
        <w:rPr>
          <w:rFonts w:ascii="Tahoma" w:hAnsi="Tahoma" w:cs="Tahoma"/>
        </w:rPr>
        <w:t xml:space="preserve"> ambos de Pereira</w:t>
      </w:r>
      <w:r w:rsidR="00526775" w:rsidRPr="006808FE">
        <w:rPr>
          <w:rFonts w:ascii="Tahoma" w:hAnsi="Tahoma" w:cs="Tahoma"/>
        </w:rPr>
        <w:t xml:space="preserve">. </w:t>
      </w:r>
    </w:p>
    <w:p w14:paraId="2BF3F3CC" w14:textId="77777777" w:rsidR="007B2D82" w:rsidRPr="006808FE" w:rsidRDefault="007B2D82" w:rsidP="006808FE">
      <w:pPr>
        <w:tabs>
          <w:tab w:val="left" w:pos="2429"/>
        </w:tabs>
        <w:autoSpaceDE w:val="0"/>
        <w:autoSpaceDN w:val="0"/>
        <w:adjustRightInd w:val="0"/>
        <w:spacing w:line="276" w:lineRule="auto"/>
        <w:jc w:val="both"/>
        <w:rPr>
          <w:rFonts w:ascii="Tahoma" w:hAnsi="Tahoma" w:cs="Tahoma"/>
        </w:rPr>
      </w:pPr>
    </w:p>
    <w:p w14:paraId="48DCAB75" w14:textId="77777777" w:rsidR="007B2D82" w:rsidRPr="006808FE" w:rsidRDefault="007B2D82" w:rsidP="006808FE">
      <w:pPr>
        <w:autoSpaceDE w:val="0"/>
        <w:autoSpaceDN w:val="0"/>
        <w:adjustRightInd w:val="0"/>
        <w:spacing w:line="276" w:lineRule="auto"/>
        <w:jc w:val="center"/>
        <w:rPr>
          <w:rFonts w:ascii="Tahoma" w:hAnsi="Tahoma" w:cs="Tahoma"/>
          <w:b/>
          <w:bCs/>
        </w:rPr>
      </w:pPr>
      <w:r w:rsidRPr="006808FE">
        <w:rPr>
          <w:rFonts w:ascii="Tahoma" w:hAnsi="Tahoma" w:cs="Tahoma"/>
          <w:b/>
          <w:bCs/>
        </w:rPr>
        <w:t>ANTECEDENTES:</w:t>
      </w:r>
    </w:p>
    <w:p w14:paraId="54AA72E1" w14:textId="77777777" w:rsidR="00483FFA" w:rsidRPr="006808FE" w:rsidRDefault="00483FFA" w:rsidP="006808FE">
      <w:pPr>
        <w:autoSpaceDE w:val="0"/>
        <w:autoSpaceDN w:val="0"/>
        <w:adjustRightInd w:val="0"/>
        <w:spacing w:line="276" w:lineRule="auto"/>
        <w:jc w:val="both"/>
        <w:rPr>
          <w:rFonts w:ascii="Tahoma" w:hAnsi="Tahoma" w:cs="Tahoma"/>
        </w:rPr>
      </w:pPr>
    </w:p>
    <w:p w14:paraId="2A06179A" w14:textId="0203F9F7" w:rsidR="00912C25" w:rsidRPr="006808FE" w:rsidRDefault="00483FFA" w:rsidP="006808FE">
      <w:pPr>
        <w:autoSpaceDE w:val="0"/>
        <w:autoSpaceDN w:val="0"/>
        <w:adjustRightInd w:val="0"/>
        <w:spacing w:line="276" w:lineRule="auto"/>
        <w:jc w:val="both"/>
        <w:rPr>
          <w:rFonts w:ascii="Tahoma" w:hAnsi="Tahoma" w:cs="Tahoma"/>
        </w:rPr>
      </w:pPr>
      <w:r w:rsidRPr="006808FE">
        <w:rPr>
          <w:rFonts w:ascii="Tahoma" w:hAnsi="Tahoma" w:cs="Tahoma"/>
        </w:rPr>
        <w:t xml:space="preserve">De lo consignado por </w:t>
      </w:r>
      <w:r w:rsidR="006D710F" w:rsidRPr="006808FE">
        <w:rPr>
          <w:rFonts w:ascii="Tahoma" w:hAnsi="Tahoma" w:cs="Tahoma"/>
        </w:rPr>
        <w:t>el</w:t>
      </w:r>
      <w:r w:rsidR="00183289" w:rsidRPr="006808FE">
        <w:rPr>
          <w:rFonts w:ascii="Tahoma" w:hAnsi="Tahoma" w:cs="Tahoma"/>
        </w:rPr>
        <w:t xml:space="preserve"> apoderad</w:t>
      </w:r>
      <w:r w:rsidR="006D710F" w:rsidRPr="006808FE">
        <w:rPr>
          <w:rFonts w:ascii="Tahoma" w:hAnsi="Tahoma" w:cs="Tahoma"/>
        </w:rPr>
        <w:t>o</w:t>
      </w:r>
      <w:r w:rsidR="00183289" w:rsidRPr="006808FE">
        <w:rPr>
          <w:rFonts w:ascii="Tahoma" w:hAnsi="Tahoma" w:cs="Tahoma"/>
        </w:rPr>
        <w:t xml:space="preserve"> judicial del señor </w:t>
      </w:r>
      <w:r w:rsidR="00974572" w:rsidRPr="006808FE">
        <w:rPr>
          <w:rFonts w:ascii="Tahoma" w:hAnsi="Tahoma" w:cs="Tahoma"/>
        </w:rPr>
        <w:t>CARLOS</w:t>
      </w:r>
      <w:r w:rsidR="006D710F" w:rsidRPr="006808FE">
        <w:rPr>
          <w:rFonts w:ascii="Tahoma" w:hAnsi="Tahoma" w:cs="Tahoma"/>
        </w:rPr>
        <w:t xml:space="preserve"> </w:t>
      </w:r>
      <w:r w:rsidR="00974572" w:rsidRPr="006808FE">
        <w:rPr>
          <w:rFonts w:ascii="Tahoma" w:hAnsi="Tahoma" w:cs="Tahoma"/>
        </w:rPr>
        <w:t>DAVID</w:t>
      </w:r>
      <w:r w:rsidR="006D710F" w:rsidRPr="006808FE">
        <w:rPr>
          <w:rFonts w:ascii="Tahoma" w:hAnsi="Tahoma" w:cs="Tahoma"/>
        </w:rPr>
        <w:t xml:space="preserve"> </w:t>
      </w:r>
      <w:r w:rsidR="00974572" w:rsidRPr="006808FE">
        <w:rPr>
          <w:rFonts w:ascii="Tahoma" w:hAnsi="Tahoma" w:cs="Tahoma"/>
        </w:rPr>
        <w:t>GARCÍA GONZÁLEZ</w:t>
      </w:r>
      <w:r w:rsidRPr="006808FE">
        <w:rPr>
          <w:rFonts w:ascii="Tahoma" w:hAnsi="Tahoma" w:cs="Tahoma"/>
        </w:rPr>
        <w:t>, se extrae como relevante que él</w:t>
      </w:r>
      <w:r w:rsidR="00183289" w:rsidRPr="006808FE">
        <w:rPr>
          <w:rFonts w:ascii="Tahoma" w:hAnsi="Tahoma" w:cs="Tahoma"/>
        </w:rPr>
        <w:t>, por su intermedio,</w:t>
      </w:r>
      <w:r w:rsidR="00921F1E" w:rsidRPr="006808FE">
        <w:rPr>
          <w:rFonts w:ascii="Tahoma" w:hAnsi="Tahoma" w:cs="Tahoma"/>
        </w:rPr>
        <w:t xml:space="preserve"> impetró ante el Juzgado </w:t>
      </w:r>
      <w:r w:rsidR="00974572" w:rsidRPr="006808FE">
        <w:rPr>
          <w:rFonts w:ascii="Tahoma" w:hAnsi="Tahoma" w:cs="Tahoma"/>
        </w:rPr>
        <w:t>1</w:t>
      </w:r>
      <w:r w:rsidRPr="006808FE">
        <w:rPr>
          <w:rFonts w:ascii="Tahoma" w:hAnsi="Tahoma" w:cs="Tahoma"/>
        </w:rPr>
        <w:t>º</w:t>
      </w:r>
      <w:r w:rsidR="00921F1E" w:rsidRPr="006808FE">
        <w:rPr>
          <w:rFonts w:ascii="Tahoma" w:hAnsi="Tahoma" w:cs="Tahoma"/>
        </w:rPr>
        <w:t xml:space="preserve"> de Ejecución de Penas y Medidas de Seguridad de Pereira una solicitud de libertad condicional, al considerar que cumple con todos los requisitos</w:t>
      </w:r>
      <w:r w:rsidR="009913F7" w:rsidRPr="006808FE">
        <w:rPr>
          <w:rFonts w:ascii="Tahoma" w:hAnsi="Tahoma" w:cs="Tahoma"/>
        </w:rPr>
        <w:t xml:space="preserve"> de ley. </w:t>
      </w:r>
      <w:r w:rsidR="006D305D" w:rsidRPr="006808FE">
        <w:rPr>
          <w:rFonts w:ascii="Tahoma" w:hAnsi="Tahoma" w:cs="Tahoma"/>
        </w:rPr>
        <w:t xml:space="preserve">El Juzgado de marras </w:t>
      </w:r>
      <w:r w:rsidR="00A67F7A" w:rsidRPr="006808FE">
        <w:rPr>
          <w:rFonts w:ascii="Tahoma" w:hAnsi="Tahoma" w:cs="Tahoma"/>
        </w:rPr>
        <w:t>negó</w:t>
      </w:r>
      <w:r w:rsidR="00B64D54" w:rsidRPr="006808FE">
        <w:rPr>
          <w:rFonts w:ascii="Tahoma" w:hAnsi="Tahoma" w:cs="Tahoma"/>
        </w:rPr>
        <w:t xml:space="preserve"> su pedimento</w:t>
      </w:r>
      <w:r w:rsidR="00E91EA1" w:rsidRPr="006808FE">
        <w:rPr>
          <w:rFonts w:ascii="Tahoma" w:hAnsi="Tahoma" w:cs="Tahoma"/>
        </w:rPr>
        <w:t xml:space="preserve"> </w:t>
      </w:r>
      <w:r w:rsidR="003C152C" w:rsidRPr="006808FE">
        <w:rPr>
          <w:rFonts w:ascii="Tahoma" w:hAnsi="Tahoma" w:cs="Tahoma"/>
        </w:rPr>
        <w:t xml:space="preserve">en las calendas del </w:t>
      </w:r>
      <w:r w:rsidR="00974572" w:rsidRPr="006808FE">
        <w:rPr>
          <w:rFonts w:ascii="Tahoma" w:hAnsi="Tahoma" w:cs="Tahoma"/>
          <w:color w:val="000000"/>
        </w:rPr>
        <w:t>21</w:t>
      </w:r>
      <w:r w:rsidR="006D710F" w:rsidRPr="006808FE">
        <w:rPr>
          <w:rFonts w:ascii="Tahoma" w:hAnsi="Tahoma" w:cs="Tahoma"/>
          <w:color w:val="000000"/>
        </w:rPr>
        <w:t xml:space="preserve"> de </w:t>
      </w:r>
      <w:r w:rsidR="00974572" w:rsidRPr="006808FE">
        <w:rPr>
          <w:rFonts w:ascii="Tahoma" w:hAnsi="Tahoma" w:cs="Tahoma"/>
          <w:color w:val="000000"/>
        </w:rPr>
        <w:t>mayo</w:t>
      </w:r>
      <w:r w:rsidR="006D710F" w:rsidRPr="006808FE">
        <w:rPr>
          <w:rFonts w:ascii="Tahoma" w:hAnsi="Tahoma" w:cs="Tahoma"/>
          <w:color w:val="000000"/>
        </w:rPr>
        <w:t xml:space="preserve"> de 2021</w:t>
      </w:r>
      <w:r w:rsidR="00E91EA1" w:rsidRPr="006808FE">
        <w:rPr>
          <w:rFonts w:ascii="Tahoma" w:hAnsi="Tahoma" w:cs="Tahoma"/>
        </w:rPr>
        <w:t>.</w:t>
      </w:r>
    </w:p>
    <w:p w14:paraId="46C43E12" w14:textId="77777777" w:rsidR="00912C25" w:rsidRPr="006808FE" w:rsidRDefault="00912C25" w:rsidP="006808FE">
      <w:pPr>
        <w:autoSpaceDE w:val="0"/>
        <w:autoSpaceDN w:val="0"/>
        <w:adjustRightInd w:val="0"/>
        <w:spacing w:line="276" w:lineRule="auto"/>
        <w:jc w:val="both"/>
        <w:rPr>
          <w:rFonts w:ascii="Tahoma" w:hAnsi="Tahoma" w:cs="Tahoma"/>
        </w:rPr>
      </w:pPr>
    </w:p>
    <w:p w14:paraId="718E0B2F" w14:textId="5E3CC6BC" w:rsidR="0096607D" w:rsidRPr="006808FE" w:rsidRDefault="00D61E68" w:rsidP="006808FE">
      <w:pPr>
        <w:autoSpaceDE w:val="0"/>
        <w:autoSpaceDN w:val="0"/>
        <w:adjustRightInd w:val="0"/>
        <w:spacing w:line="276" w:lineRule="auto"/>
        <w:jc w:val="both"/>
        <w:rPr>
          <w:rFonts w:ascii="Tahoma" w:hAnsi="Tahoma" w:cs="Tahoma"/>
        </w:rPr>
      </w:pPr>
      <w:r w:rsidRPr="006808FE">
        <w:rPr>
          <w:rFonts w:ascii="Tahoma" w:hAnsi="Tahoma" w:cs="Tahoma"/>
        </w:rPr>
        <w:t xml:space="preserve">Inconforme con esa decisión, </w:t>
      </w:r>
      <w:r w:rsidR="006D710F" w:rsidRPr="006808FE">
        <w:rPr>
          <w:rFonts w:ascii="Tahoma" w:hAnsi="Tahoma" w:cs="Tahoma"/>
        </w:rPr>
        <w:t>el</w:t>
      </w:r>
      <w:r w:rsidR="00183289" w:rsidRPr="006808FE">
        <w:rPr>
          <w:rFonts w:ascii="Tahoma" w:hAnsi="Tahoma" w:cs="Tahoma"/>
        </w:rPr>
        <w:t xml:space="preserve"> abogad</w:t>
      </w:r>
      <w:r w:rsidR="006D710F" w:rsidRPr="006808FE">
        <w:rPr>
          <w:rFonts w:ascii="Tahoma" w:hAnsi="Tahoma" w:cs="Tahoma"/>
        </w:rPr>
        <w:t>o</w:t>
      </w:r>
      <w:r w:rsidR="00183289" w:rsidRPr="006808FE">
        <w:rPr>
          <w:rFonts w:ascii="Tahoma" w:hAnsi="Tahoma" w:cs="Tahoma"/>
        </w:rPr>
        <w:t xml:space="preserve"> ahora accionante</w:t>
      </w:r>
      <w:r w:rsidRPr="006808FE">
        <w:rPr>
          <w:rFonts w:ascii="Tahoma" w:hAnsi="Tahoma" w:cs="Tahoma"/>
        </w:rPr>
        <w:t xml:space="preserve"> promovió oportunamente recurso de apelación, que fue dirimido por el Juzgado </w:t>
      </w:r>
      <w:r w:rsidR="006D710F" w:rsidRPr="006808FE">
        <w:rPr>
          <w:rFonts w:ascii="Tahoma" w:hAnsi="Tahoma" w:cs="Tahoma"/>
        </w:rPr>
        <w:t>1</w:t>
      </w:r>
      <w:r w:rsidRPr="006808FE">
        <w:rPr>
          <w:rFonts w:ascii="Tahoma" w:hAnsi="Tahoma" w:cs="Tahoma"/>
        </w:rPr>
        <w:t>º Penal del Circuito Especializado</w:t>
      </w:r>
      <w:r w:rsidR="006D710F" w:rsidRPr="006808FE">
        <w:rPr>
          <w:rFonts w:ascii="Tahoma" w:hAnsi="Tahoma" w:cs="Tahoma"/>
        </w:rPr>
        <w:t xml:space="preserve"> de Pereira</w:t>
      </w:r>
      <w:r w:rsidR="00FA04CD" w:rsidRPr="006808FE">
        <w:rPr>
          <w:rFonts w:ascii="Tahoma" w:hAnsi="Tahoma" w:cs="Tahoma"/>
        </w:rPr>
        <w:t>, Despacho qu</w:t>
      </w:r>
      <w:r w:rsidR="002A65DC" w:rsidRPr="006808FE">
        <w:rPr>
          <w:rFonts w:ascii="Tahoma" w:hAnsi="Tahoma" w:cs="Tahoma"/>
        </w:rPr>
        <w:t xml:space="preserve">e ratificó la postura del A Quo mediante auto del </w:t>
      </w:r>
      <w:r w:rsidR="00974572" w:rsidRPr="006808FE">
        <w:rPr>
          <w:rFonts w:ascii="Tahoma" w:hAnsi="Tahoma" w:cs="Tahoma"/>
        </w:rPr>
        <w:t>22 de julio</w:t>
      </w:r>
      <w:r w:rsidR="006D710F" w:rsidRPr="006808FE">
        <w:rPr>
          <w:rFonts w:ascii="Tahoma" w:hAnsi="Tahoma" w:cs="Tahoma"/>
        </w:rPr>
        <w:t xml:space="preserve"> de 2021</w:t>
      </w:r>
      <w:r w:rsidR="0039316D" w:rsidRPr="006808FE">
        <w:rPr>
          <w:rFonts w:ascii="Tahoma" w:hAnsi="Tahoma" w:cs="Tahoma"/>
        </w:rPr>
        <w:t xml:space="preserve">, el que ahora es reprochado por </w:t>
      </w:r>
      <w:r w:rsidR="006D710F" w:rsidRPr="006808FE">
        <w:rPr>
          <w:rFonts w:ascii="Tahoma" w:hAnsi="Tahoma" w:cs="Tahoma"/>
        </w:rPr>
        <w:t>él</w:t>
      </w:r>
      <w:r w:rsidR="007C21B5" w:rsidRPr="006808FE">
        <w:rPr>
          <w:rFonts w:ascii="Tahoma" w:hAnsi="Tahoma" w:cs="Tahoma"/>
        </w:rPr>
        <w:t xml:space="preserve">, pues considera que </w:t>
      </w:r>
      <w:r w:rsidR="006D710F" w:rsidRPr="006808FE">
        <w:rPr>
          <w:rFonts w:ascii="Tahoma" w:hAnsi="Tahoma" w:cs="Tahoma"/>
        </w:rPr>
        <w:t>ambas instancias incurrieron en “vía</w:t>
      </w:r>
      <w:r w:rsidR="0009162F" w:rsidRPr="006808FE">
        <w:rPr>
          <w:rFonts w:ascii="Tahoma" w:hAnsi="Tahoma" w:cs="Tahoma"/>
        </w:rPr>
        <w:t>s</w:t>
      </w:r>
      <w:r w:rsidR="006D710F" w:rsidRPr="006808FE">
        <w:rPr>
          <w:rFonts w:ascii="Tahoma" w:hAnsi="Tahoma" w:cs="Tahoma"/>
        </w:rPr>
        <w:t xml:space="preserve"> de hecho” al desatender el precedente jurisprudencial que se ha edificado en materia de libertad condicional y sobre el fin resocializador de la pena</w:t>
      </w:r>
      <w:r w:rsidR="0009162F" w:rsidRPr="006808FE">
        <w:rPr>
          <w:rFonts w:ascii="Tahoma" w:hAnsi="Tahoma" w:cs="Tahoma"/>
        </w:rPr>
        <w:t xml:space="preserve"> y defecto sustantivo</w:t>
      </w:r>
      <w:r w:rsidR="00FB58F3" w:rsidRPr="006808FE">
        <w:rPr>
          <w:rFonts w:ascii="Tahoma" w:hAnsi="Tahoma" w:cs="Tahoma"/>
        </w:rPr>
        <w:t xml:space="preserve">, pues ambos se fundamentaron en el presunto incumplimiento del presupuesto sustancial ligado a la valoración de la gravedad del delito. </w:t>
      </w:r>
      <w:r w:rsidR="0096607D" w:rsidRPr="006808FE">
        <w:rPr>
          <w:rFonts w:ascii="Tahoma" w:hAnsi="Tahoma" w:cs="Tahoma"/>
        </w:rPr>
        <w:t xml:space="preserve"> </w:t>
      </w:r>
    </w:p>
    <w:p w14:paraId="714FF153" w14:textId="77777777" w:rsidR="00F94527" w:rsidRPr="006808FE" w:rsidRDefault="00F94527" w:rsidP="006808FE">
      <w:pPr>
        <w:autoSpaceDE w:val="0"/>
        <w:autoSpaceDN w:val="0"/>
        <w:adjustRightInd w:val="0"/>
        <w:spacing w:line="276" w:lineRule="auto"/>
        <w:jc w:val="both"/>
        <w:rPr>
          <w:rFonts w:ascii="Tahoma" w:hAnsi="Tahoma" w:cs="Tahoma"/>
        </w:rPr>
      </w:pPr>
    </w:p>
    <w:p w14:paraId="22E9E2AF" w14:textId="77777777" w:rsidR="00F94527" w:rsidRPr="006808FE" w:rsidRDefault="00F94527" w:rsidP="006808FE">
      <w:pPr>
        <w:autoSpaceDE w:val="0"/>
        <w:autoSpaceDN w:val="0"/>
        <w:adjustRightInd w:val="0"/>
        <w:spacing w:line="276" w:lineRule="auto"/>
        <w:jc w:val="both"/>
        <w:rPr>
          <w:rFonts w:ascii="Tahoma" w:hAnsi="Tahoma" w:cs="Tahoma"/>
        </w:rPr>
      </w:pPr>
      <w:r w:rsidRPr="006808FE">
        <w:rPr>
          <w:rFonts w:ascii="Tahoma" w:hAnsi="Tahoma" w:cs="Tahoma"/>
        </w:rPr>
        <w:t>Sostuvo que la pena cumple una función resocializadora,</w:t>
      </w:r>
      <w:r w:rsidR="00C464D7" w:rsidRPr="006808FE">
        <w:rPr>
          <w:rFonts w:ascii="Tahoma" w:hAnsi="Tahoma" w:cs="Tahoma"/>
        </w:rPr>
        <w:t xml:space="preserve"> y en esa medida, en el caso de su representado,</w:t>
      </w:r>
      <w:r w:rsidRPr="006808FE">
        <w:rPr>
          <w:rFonts w:ascii="Tahoma" w:hAnsi="Tahoma" w:cs="Tahoma"/>
        </w:rPr>
        <w:t xml:space="preserve"> luego de contar con certificación por parte del INPEC que da</w:t>
      </w:r>
      <w:r w:rsidR="00C464D7" w:rsidRPr="006808FE">
        <w:rPr>
          <w:rFonts w:ascii="Tahoma" w:hAnsi="Tahoma" w:cs="Tahoma"/>
        </w:rPr>
        <w:t>n</w:t>
      </w:r>
      <w:r w:rsidRPr="006808FE">
        <w:rPr>
          <w:rFonts w:ascii="Tahoma" w:hAnsi="Tahoma" w:cs="Tahoma"/>
        </w:rPr>
        <w:t xml:space="preserve"> cuenta del comportamiento “BUENO” y “EJEMPLAR”, la decisión congruente con el marco Constitucional impone a que sea ese presupuesto el que priorice el estudio del subrogado penal y no, la denominada “gravedad de la conducta punible”.</w:t>
      </w:r>
      <w:r w:rsidR="000F4A4D" w:rsidRPr="006808FE">
        <w:rPr>
          <w:rFonts w:ascii="Tahoma" w:hAnsi="Tahoma" w:cs="Tahoma"/>
        </w:rPr>
        <w:t xml:space="preserve"> </w:t>
      </w:r>
    </w:p>
    <w:p w14:paraId="01AA0BD9" w14:textId="77777777" w:rsidR="00DF52C9" w:rsidRPr="006808FE" w:rsidRDefault="00DF52C9" w:rsidP="006808FE">
      <w:pPr>
        <w:autoSpaceDE w:val="0"/>
        <w:autoSpaceDN w:val="0"/>
        <w:adjustRightInd w:val="0"/>
        <w:spacing w:line="276" w:lineRule="auto"/>
        <w:jc w:val="both"/>
        <w:rPr>
          <w:rFonts w:ascii="Tahoma" w:hAnsi="Tahoma" w:cs="Tahoma"/>
        </w:rPr>
      </w:pPr>
    </w:p>
    <w:p w14:paraId="7395471D" w14:textId="73C0FBCB" w:rsidR="00DF52C9" w:rsidRPr="006808FE" w:rsidRDefault="00DF52C9" w:rsidP="006808FE">
      <w:pPr>
        <w:autoSpaceDE w:val="0"/>
        <w:autoSpaceDN w:val="0"/>
        <w:adjustRightInd w:val="0"/>
        <w:spacing w:line="276" w:lineRule="auto"/>
        <w:jc w:val="both"/>
        <w:rPr>
          <w:rFonts w:ascii="Tahoma" w:hAnsi="Tahoma" w:cs="Tahoma"/>
        </w:rPr>
      </w:pPr>
      <w:r w:rsidRPr="006808FE">
        <w:rPr>
          <w:rFonts w:ascii="Tahoma" w:hAnsi="Tahoma" w:cs="Tahoma"/>
        </w:rPr>
        <w:t xml:space="preserve">Según el libelista, ambas instancias elevaron juicios argumentativos </w:t>
      </w:r>
      <w:r w:rsidR="00FB58F3" w:rsidRPr="006808FE">
        <w:rPr>
          <w:rFonts w:ascii="Tahoma" w:hAnsi="Tahoma" w:cs="Tahoma"/>
        </w:rPr>
        <w:t xml:space="preserve">genéricos </w:t>
      </w:r>
      <w:r w:rsidRPr="006808FE">
        <w:rPr>
          <w:rFonts w:ascii="Tahoma" w:hAnsi="Tahoma" w:cs="Tahoma"/>
        </w:rPr>
        <w:t xml:space="preserve">relacionados con la lesividad social de las conductas de concierto para delinquir </w:t>
      </w:r>
      <w:r w:rsidRPr="006808FE">
        <w:rPr>
          <w:rFonts w:ascii="Tahoma" w:hAnsi="Tahoma" w:cs="Tahoma"/>
        </w:rPr>
        <w:lastRenderedPageBreak/>
        <w:t>agravado y de tráfico de estupefacientes, pero el criterio orientador y preferente para efectos de estudiar el otorgamiento de la libertad condicional no es la gravedad del delito, sino el marco de la resocialización</w:t>
      </w:r>
    </w:p>
    <w:p w14:paraId="2F0DAEE2" w14:textId="1F507831" w:rsidR="009A2C4D" w:rsidRPr="006808FE" w:rsidRDefault="009A2C4D" w:rsidP="006808FE">
      <w:pPr>
        <w:autoSpaceDE w:val="0"/>
        <w:autoSpaceDN w:val="0"/>
        <w:adjustRightInd w:val="0"/>
        <w:spacing w:line="276" w:lineRule="auto"/>
        <w:jc w:val="both"/>
        <w:rPr>
          <w:rFonts w:ascii="Tahoma" w:hAnsi="Tahoma" w:cs="Tahoma"/>
          <w:color w:val="000000"/>
        </w:rPr>
      </w:pPr>
    </w:p>
    <w:p w14:paraId="3AFADF41" w14:textId="77777777" w:rsidR="007B2D82" w:rsidRPr="006808FE" w:rsidRDefault="007B2D82" w:rsidP="006808FE">
      <w:pPr>
        <w:autoSpaceDE w:val="0"/>
        <w:autoSpaceDN w:val="0"/>
        <w:adjustRightInd w:val="0"/>
        <w:spacing w:line="276" w:lineRule="auto"/>
        <w:jc w:val="center"/>
        <w:rPr>
          <w:rFonts w:ascii="Tahoma" w:hAnsi="Tahoma" w:cs="Tahoma"/>
        </w:rPr>
      </w:pPr>
      <w:r w:rsidRPr="006808FE">
        <w:rPr>
          <w:rFonts w:ascii="Tahoma" w:hAnsi="Tahoma" w:cs="Tahoma"/>
          <w:b/>
          <w:bCs/>
        </w:rPr>
        <w:t>PRETENSIONES:</w:t>
      </w:r>
    </w:p>
    <w:p w14:paraId="4553A192" w14:textId="77777777" w:rsidR="007B2D82" w:rsidRPr="006808FE" w:rsidRDefault="007B2D82" w:rsidP="006808FE">
      <w:pPr>
        <w:autoSpaceDE w:val="0"/>
        <w:autoSpaceDN w:val="0"/>
        <w:adjustRightInd w:val="0"/>
        <w:spacing w:line="276" w:lineRule="auto"/>
        <w:jc w:val="both"/>
        <w:rPr>
          <w:rFonts w:ascii="Tahoma" w:hAnsi="Tahoma" w:cs="Tahoma"/>
        </w:rPr>
      </w:pPr>
    </w:p>
    <w:p w14:paraId="346A3987" w14:textId="4C506C66" w:rsidR="007B2D82" w:rsidRPr="006808FE" w:rsidRDefault="00526976" w:rsidP="006808FE">
      <w:pPr>
        <w:autoSpaceDE w:val="0"/>
        <w:autoSpaceDN w:val="0"/>
        <w:adjustRightInd w:val="0"/>
        <w:spacing w:line="276" w:lineRule="auto"/>
        <w:jc w:val="both"/>
        <w:rPr>
          <w:rFonts w:ascii="Tahoma" w:hAnsi="Tahoma" w:cs="Tahoma"/>
          <w:color w:val="000000"/>
        </w:rPr>
      </w:pPr>
      <w:r w:rsidRPr="006808FE">
        <w:rPr>
          <w:rFonts w:ascii="Tahoma" w:hAnsi="Tahoma" w:cs="Tahoma"/>
        </w:rPr>
        <w:t xml:space="preserve">Con fundamento en los anteriores hechos, </w:t>
      </w:r>
      <w:r w:rsidR="002A2454" w:rsidRPr="006808FE">
        <w:rPr>
          <w:rFonts w:ascii="Tahoma" w:hAnsi="Tahoma" w:cs="Tahoma"/>
        </w:rPr>
        <w:t xml:space="preserve">la parte accionante pidió </w:t>
      </w:r>
      <w:r w:rsidR="00DB656F" w:rsidRPr="006808FE">
        <w:rPr>
          <w:rFonts w:ascii="Tahoma" w:hAnsi="Tahoma" w:cs="Tahoma"/>
        </w:rPr>
        <w:t xml:space="preserve">que se dejen sin efecto las decisiones </w:t>
      </w:r>
      <w:r w:rsidR="00DB656F" w:rsidRPr="006808FE">
        <w:rPr>
          <w:rFonts w:ascii="Tahoma" w:hAnsi="Tahoma" w:cs="Tahoma"/>
          <w:color w:val="000000"/>
        </w:rPr>
        <w:t>adoptadas el 2</w:t>
      </w:r>
      <w:r w:rsidR="00FB58F3" w:rsidRPr="006808FE">
        <w:rPr>
          <w:rFonts w:ascii="Tahoma" w:hAnsi="Tahoma" w:cs="Tahoma"/>
          <w:color w:val="000000"/>
        </w:rPr>
        <w:t>1</w:t>
      </w:r>
      <w:r w:rsidR="00DB656F" w:rsidRPr="006808FE">
        <w:rPr>
          <w:rFonts w:ascii="Tahoma" w:hAnsi="Tahoma" w:cs="Tahoma"/>
          <w:color w:val="000000"/>
        </w:rPr>
        <w:t xml:space="preserve"> de </w:t>
      </w:r>
      <w:r w:rsidR="00FB58F3" w:rsidRPr="006808FE">
        <w:rPr>
          <w:rFonts w:ascii="Tahoma" w:hAnsi="Tahoma" w:cs="Tahoma"/>
          <w:color w:val="000000"/>
        </w:rPr>
        <w:t>mayo</w:t>
      </w:r>
      <w:r w:rsidR="00DB656F" w:rsidRPr="006808FE">
        <w:rPr>
          <w:rFonts w:ascii="Tahoma" w:hAnsi="Tahoma" w:cs="Tahoma"/>
          <w:color w:val="000000"/>
        </w:rPr>
        <w:t xml:space="preserve"> de 2021 y 2</w:t>
      </w:r>
      <w:r w:rsidR="00FB58F3" w:rsidRPr="006808FE">
        <w:rPr>
          <w:rFonts w:ascii="Tahoma" w:hAnsi="Tahoma" w:cs="Tahoma"/>
          <w:color w:val="000000"/>
        </w:rPr>
        <w:t>2</w:t>
      </w:r>
      <w:r w:rsidR="00DB656F" w:rsidRPr="006808FE">
        <w:rPr>
          <w:rFonts w:ascii="Tahoma" w:hAnsi="Tahoma" w:cs="Tahoma"/>
          <w:color w:val="000000"/>
        </w:rPr>
        <w:t xml:space="preserve"> de </w:t>
      </w:r>
      <w:r w:rsidR="00FB58F3" w:rsidRPr="006808FE">
        <w:rPr>
          <w:rFonts w:ascii="Tahoma" w:hAnsi="Tahoma" w:cs="Tahoma"/>
          <w:color w:val="000000"/>
        </w:rPr>
        <w:t>julio</w:t>
      </w:r>
      <w:r w:rsidR="00DB656F" w:rsidRPr="006808FE">
        <w:rPr>
          <w:rFonts w:ascii="Tahoma" w:hAnsi="Tahoma" w:cs="Tahoma"/>
          <w:color w:val="000000"/>
        </w:rPr>
        <w:t xml:space="preserve"> de 2021 por los Despachos accionados, y como consecuencia de ello se ordene efectuar el estudio </w:t>
      </w:r>
      <w:r w:rsidR="00E75D46" w:rsidRPr="006808FE">
        <w:rPr>
          <w:rFonts w:ascii="Tahoma" w:hAnsi="Tahoma" w:cs="Tahoma"/>
          <w:color w:val="000000"/>
        </w:rPr>
        <w:t xml:space="preserve">de lo solicitado </w:t>
      </w:r>
      <w:r w:rsidR="00DB656F" w:rsidRPr="006808FE">
        <w:rPr>
          <w:rFonts w:ascii="Tahoma" w:hAnsi="Tahoma" w:cs="Tahoma"/>
          <w:color w:val="000000"/>
        </w:rPr>
        <w:t>conforme al precedente Constitucional en la materia, reconocido por la Corte Constitucional y</w:t>
      </w:r>
      <w:r w:rsidR="00E75D46" w:rsidRPr="006808FE">
        <w:rPr>
          <w:rFonts w:ascii="Tahoma" w:hAnsi="Tahoma" w:cs="Tahoma"/>
          <w:color w:val="000000"/>
        </w:rPr>
        <w:t xml:space="preserve"> la</w:t>
      </w:r>
      <w:r w:rsidR="00DB656F" w:rsidRPr="006808FE">
        <w:rPr>
          <w:rFonts w:ascii="Tahoma" w:hAnsi="Tahoma" w:cs="Tahoma"/>
          <w:color w:val="000000"/>
        </w:rPr>
        <w:t xml:space="preserve"> Corte Suprema de Justicia en sede de tutela.</w:t>
      </w:r>
    </w:p>
    <w:p w14:paraId="0B2EDF4E" w14:textId="77777777" w:rsidR="00FB58F3" w:rsidRPr="006808FE" w:rsidRDefault="00FB58F3" w:rsidP="006808FE">
      <w:pPr>
        <w:autoSpaceDE w:val="0"/>
        <w:autoSpaceDN w:val="0"/>
        <w:adjustRightInd w:val="0"/>
        <w:spacing w:line="276" w:lineRule="auto"/>
        <w:jc w:val="both"/>
        <w:rPr>
          <w:rFonts w:ascii="Tahoma" w:hAnsi="Tahoma" w:cs="Tahoma"/>
          <w:color w:val="000000"/>
        </w:rPr>
      </w:pPr>
    </w:p>
    <w:p w14:paraId="6A2DC190" w14:textId="77777777" w:rsidR="007B2D82" w:rsidRPr="006808FE" w:rsidRDefault="007B2D82" w:rsidP="006808FE">
      <w:pPr>
        <w:autoSpaceDE w:val="0"/>
        <w:autoSpaceDN w:val="0"/>
        <w:adjustRightInd w:val="0"/>
        <w:spacing w:line="276" w:lineRule="auto"/>
        <w:jc w:val="center"/>
        <w:rPr>
          <w:rFonts w:ascii="Tahoma" w:hAnsi="Tahoma" w:cs="Tahoma"/>
          <w:b/>
          <w:bCs/>
        </w:rPr>
      </w:pPr>
      <w:r w:rsidRPr="006808FE">
        <w:rPr>
          <w:rFonts w:ascii="Tahoma" w:hAnsi="Tahoma" w:cs="Tahoma"/>
          <w:b/>
          <w:bCs/>
        </w:rPr>
        <w:t>TRÁMITE PROCESAL:</w:t>
      </w:r>
    </w:p>
    <w:p w14:paraId="7867A320" w14:textId="77777777" w:rsidR="007B2D82" w:rsidRPr="006808FE" w:rsidRDefault="007B2D82" w:rsidP="006808FE">
      <w:pPr>
        <w:autoSpaceDE w:val="0"/>
        <w:autoSpaceDN w:val="0"/>
        <w:adjustRightInd w:val="0"/>
        <w:spacing w:line="276" w:lineRule="auto"/>
        <w:jc w:val="center"/>
        <w:rPr>
          <w:rFonts w:ascii="Tahoma" w:hAnsi="Tahoma" w:cs="Tahoma"/>
          <w:b/>
          <w:bCs/>
        </w:rPr>
      </w:pPr>
    </w:p>
    <w:p w14:paraId="3AE9FF75" w14:textId="0BC97127" w:rsidR="00BD0FD6" w:rsidRPr="006808FE" w:rsidRDefault="00D71FF0" w:rsidP="006808FE">
      <w:pPr>
        <w:widowControl w:val="0"/>
        <w:tabs>
          <w:tab w:val="left" w:pos="561"/>
        </w:tabs>
        <w:autoSpaceDE w:val="0"/>
        <w:autoSpaceDN w:val="0"/>
        <w:adjustRightInd w:val="0"/>
        <w:spacing w:line="276" w:lineRule="auto"/>
        <w:jc w:val="both"/>
        <w:rPr>
          <w:rFonts w:ascii="Tahoma" w:hAnsi="Tahoma" w:cs="Tahoma"/>
          <w:bCs/>
        </w:rPr>
      </w:pPr>
      <w:r w:rsidRPr="006808FE">
        <w:rPr>
          <w:rFonts w:ascii="Tahoma" w:hAnsi="Tahoma" w:cs="Tahoma"/>
          <w:bCs/>
        </w:rPr>
        <w:t xml:space="preserve">El </w:t>
      </w:r>
      <w:r w:rsidR="00BD0FD6" w:rsidRPr="006808FE">
        <w:rPr>
          <w:rFonts w:ascii="Tahoma" w:hAnsi="Tahoma" w:cs="Tahoma"/>
          <w:bCs/>
        </w:rPr>
        <w:t xml:space="preserve">Despacho sustanciador admitió la acción mediante auto del </w:t>
      </w:r>
      <w:r w:rsidR="00FB58F3" w:rsidRPr="006808FE">
        <w:rPr>
          <w:rFonts w:ascii="Tahoma" w:hAnsi="Tahoma" w:cs="Tahoma"/>
          <w:bCs/>
        </w:rPr>
        <w:t>4</w:t>
      </w:r>
      <w:r w:rsidR="000E4A99" w:rsidRPr="006808FE">
        <w:rPr>
          <w:rFonts w:ascii="Tahoma" w:hAnsi="Tahoma" w:cs="Tahoma"/>
          <w:bCs/>
        </w:rPr>
        <w:t xml:space="preserve"> de </w:t>
      </w:r>
      <w:r w:rsidR="00FB58F3" w:rsidRPr="006808FE">
        <w:rPr>
          <w:rFonts w:ascii="Tahoma" w:hAnsi="Tahoma" w:cs="Tahoma"/>
          <w:bCs/>
        </w:rPr>
        <w:t>agosto</w:t>
      </w:r>
      <w:r w:rsidR="000E4A99" w:rsidRPr="006808FE">
        <w:rPr>
          <w:rFonts w:ascii="Tahoma" w:hAnsi="Tahoma" w:cs="Tahoma"/>
          <w:bCs/>
        </w:rPr>
        <w:t xml:space="preserve"> de 2021</w:t>
      </w:r>
      <w:r w:rsidR="00BD0FD6" w:rsidRPr="006808FE">
        <w:rPr>
          <w:rFonts w:ascii="Tahoma" w:hAnsi="Tahoma" w:cs="Tahoma"/>
          <w:bCs/>
        </w:rPr>
        <w:t>, por medio del cual ordenó correr traslado del escrito de tutela y sus anexos a las autori</w:t>
      </w:r>
      <w:r w:rsidR="00853757" w:rsidRPr="006808FE">
        <w:rPr>
          <w:rFonts w:ascii="Tahoma" w:hAnsi="Tahoma" w:cs="Tahoma"/>
          <w:bCs/>
        </w:rPr>
        <w:t>dades judiciales aludidas por la parte</w:t>
      </w:r>
      <w:r w:rsidR="00BD0FD6" w:rsidRPr="006808FE">
        <w:rPr>
          <w:rFonts w:ascii="Tahoma" w:hAnsi="Tahoma" w:cs="Tahoma"/>
          <w:bCs/>
        </w:rPr>
        <w:t xml:space="preserve"> accionante, además se ordenó la vinculación oficiosa del Representante del Ministerio Público</w:t>
      </w:r>
      <w:r w:rsidR="00D70BE8" w:rsidRPr="006808FE">
        <w:rPr>
          <w:rFonts w:ascii="Tahoma" w:hAnsi="Tahoma" w:cs="Tahoma"/>
          <w:bCs/>
        </w:rPr>
        <w:t>.</w:t>
      </w:r>
      <w:r w:rsidR="00BF79A0" w:rsidRPr="006808FE">
        <w:rPr>
          <w:rFonts w:ascii="Tahoma" w:hAnsi="Tahoma" w:cs="Tahoma"/>
          <w:bCs/>
        </w:rPr>
        <w:t xml:space="preserve"> </w:t>
      </w:r>
    </w:p>
    <w:p w14:paraId="3DF9F6A8" w14:textId="77777777" w:rsidR="007B2D82" w:rsidRPr="006808FE" w:rsidRDefault="007B2D82" w:rsidP="006808FE">
      <w:pPr>
        <w:widowControl w:val="0"/>
        <w:tabs>
          <w:tab w:val="left" w:pos="561"/>
        </w:tabs>
        <w:autoSpaceDE w:val="0"/>
        <w:autoSpaceDN w:val="0"/>
        <w:adjustRightInd w:val="0"/>
        <w:spacing w:line="276" w:lineRule="auto"/>
        <w:jc w:val="both"/>
        <w:rPr>
          <w:rFonts w:ascii="Tahoma" w:hAnsi="Tahoma" w:cs="Tahoma"/>
          <w:bCs/>
        </w:rPr>
      </w:pPr>
    </w:p>
    <w:p w14:paraId="39786BFD" w14:textId="77777777" w:rsidR="007B2D82" w:rsidRPr="006808FE" w:rsidRDefault="00C40071" w:rsidP="006808FE">
      <w:pPr>
        <w:autoSpaceDE w:val="0"/>
        <w:autoSpaceDN w:val="0"/>
        <w:adjustRightInd w:val="0"/>
        <w:spacing w:line="276" w:lineRule="auto"/>
        <w:jc w:val="center"/>
        <w:rPr>
          <w:rFonts w:ascii="Tahoma" w:hAnsi="Tahoma" w:cs="Tahoma"/>
          <w:b/>
          <w:bCs/>
        </w:rPr>
      </w:pPr>
      <w:r w:rsidRPr="006808FE">
        <w:rPr>
          <w:rFonts w:ascii="Tahoma" w:hAnsi="Tahoma" w:cs="Tahoma"/>
          <w:b/>
          <w:bCs/>
        </w:rPr>
        <w:t>INTERVENCIONES</w:t>
      </w:r>
      <w:r w:rsidR="007B2D82" w:rsidRPr="006808FE">
        <w:rPr>
          <w:rFonts w:ascii="Tahoma" w:hAnsi="Tahoma" w:cs="Tahoma"/>
          <w:b/>
          <w:bCs/>
        </w:rPr>
        <w:t>:</w:t>
      </w:r>
    </w:p>
    <w:p w14:paraId="5BD3A465" w14:textId="77777777" w:rsidR="007B2D82" w:rsidRPr="006808FE" w:rsidRDefault="007B2D82" w:rsidP="006808FE">
      <w:pPr>
        <w:autoSpaceDE w:val="0"/>
        <w:autoSpaceDN w:val="0"/>
        <w:adjustRightInd w:val="0"/>
        <w:spacing w:line="276" w:lineRule="auto"/>
        <w:jc w:val="center"/>
        <w:rPr>
          <w:rFonts w:ascii="Tahoma" w:hAnsi="Tahoma" w:cs="Tahoma"/>
          <w:b/>
          <w:bCs/>
        </w:rPr>
      </w:pPr>
    </w:p>
    <w:p w14:paraId="4E0E5157" w14:textId="4AF3F643" w:rsidR="00FB58F3" w:rsidRPr="006808FE" w:rsidRDefault="007B2D82" w:rsidP="006808FE">
      <w:pPr>
        <w:autoSpaceDE w:val="0"/>
        <w:autoSpaceDN w:val="0"/>
        <w:adjustRightInd w:val="0"/>
        <w:spacing w:line="276" w:lineRule="auto"/>
        <w:jc w:val="both"/>
        <w:rPr>
          <w:rFonts w:ascii="Tahoma" w:hAnsi="Tahoma" w:cs="Tahoma"/>
        </w:rPr>
      </w:pPr>
      <w:r w:rsidRPr="006808FE">
        <w:rPr>
          <w:rFonts w:ascii="Tahoma" w:hAnsi="Tahoma" w:cs="Tahoma"/>
          <w:b/>
        </w:rPr>
        <w:t xml:space="preserve">JUZGADO </w:t>
      </w:r>
      <w:r w:rsidR="00FB58F3" w:rsidRPr="006808FE">
        <w:rPr>
          <w:rFonts w:ascii="Tahoma" w:hAnsi="Tahoma" w:cs="Tahoma"/>
          <w:b/>
        </w:rPr>
        <w:t>1°</w:t>
      </w:r>
      <w:r w:rsidRPr="006808FE">
        <w:rPr>
          <w:rFonts w:ascii="Tahoma" w:hAnsi="Tahoma" w:cs="Tahoma"/>
          <w:b/>
        </w:rPr>
        <w:t xml:space="preserve"> DE EJECUCIÓN DE PENAS Y MEDIDAS DE SEGURIDAD: </w:t>
      </w:r>
      <w:r w:rsidR="000E4A99" w:rsidRPr="006808FE">
        <w:rPr>
          <w:rFonts w:ascii="Tahoma" w:hAnsi="Tahoma" w:cs="Tahoma"/>
        </w:rPr>
        <w:t>el titular del Despacho, Dr</w:t>
      </w:r>
      <w:r w:rsidR="00781121" w:rsidRPr="006808FE">
        <w:rPr>
          <w:rFonts w:ascii="Tahoma" w:hAnsi="Tahoma" w:cs="Tahoma"/>
        </w:rPr>
        <w:t xml:space="preserve">. </w:t>
      </w:r>
      <w:r w:rsidR="000E4A99" w:rsidRPr="006808FE">
        <w:rPr>
          <w:rFonts w:ascii="Tahoma" w:hAnsi="Tahoma" w:cs="Tahoma"/>
        </w:rPr>
        <w:t xml:space="preserve">Carlos </w:t>
      </w:r>
      <w:r w:rsidR="00FB58F3" w:rsidRPr="006808FE">
        <w:rPr>
          <w:rFonts w:ascii="Tahoma" w:hAnsi="Tahoma" w:cs="Tahoma"/>
        </w:rPr>
        <w:t>Mario Castrillón Cardona</w:t>
      </w:r>
      <w:r w:rsidR="00656CD0" w:rsidRPr="006808FE">
        <w:rPr>
          <w:rFonts w:ascii="Tahoma" w:hAnsi="Tahoma" w:cs="Tahoma"/>
        </w:rPr>
        <w:t>,</w:t>
      </w:r>
      <w:r w:rsidR="00DE663F" w:rsidRPr="006808FE">
        <w:rPr>
          <w:rFonts w:ascii="Tahoma" w:hAnsi="Tahoma" w:cs="Tahoma"/>
        </w:rPr>
        <w:t xml:space="preserve"> </w:t>
      </w:r>
      <w:r w:rsidR="00656CD0" w:rsidRPr="006808FE">
        <w:rPr>
          <w:rFonts w:ascii="Tahoma" w:hAnsi="Tahoma" w:cs="Tahoma"/>
        </w:rPr>
        <w:t xml:space="preserve">se pronunció frente a los </w:t>
      </w:r>
      <w:r w:rsidR="000E4A99" w:rsidRPr="006808FE">
        <w:rPr>
          <w:rFonts w:ascii="Tahoma" w:hAnsi="Tahoma" w:cs="Tahoma"/>
        </w:rPr>
        <w:t xml:space="preserve">hechos consignados en el libelo argumentando que </w:t>
      </w:r>
      <w:r w:rsidR="00FB58F3" w:rsidRPr="006808FE">
        <w:rPr>
          <w:rFonts w:ascii="Tahoma" w:hAnsi="Tahoma" w:cs="Tahoma"/>
        </w:rPr>
        <w:t xml:space="preserve">la acción de amparo que nos concita no cumple con el requisito de subsidiariedad de la tutela, dado que ese tipo de debates deben darse en el escenario ordinario y no en tutela. </w:t>
      </w:r>
    </w:p>
    <w:p w14:paraId="0C3B336C" w14:textId="563069DC" w:rsidR="00B74438" w:rsidRPr="006808FE" w:rsidRDefault="00B74438" w:rsidP="006808FE">
      <w:pPr>
        <w:autoSpaceDE w:val="0"/>
        <w:autoSpaceDN w:val="0"/>
        <w:adjustRightInd w:val="0"/>
        <w:spacing w:line="276" w:lineRule="auto"/>
        <w:jc w:val="both"/>
        <w:rPr>
          <w:rFonts w:ascii="Tahoma" w:hAnsi="Tahoma" w:cs="Tahoma"/>
        </w:rPr>
      </w:pPr>
    </w:p>
    <w:p w14:paraId="1A59FC88" w14:textId="47DF51AD" w:rsidR="00B74438" w:rsidRPr="006808FE" w:rsidRDefault="00B74438" w:rsidP="006808FE">
      <w:pPr>
        <w:autoSpaceDE w:val="0"/>
        <w:autoSpaceDN w:val="0"/>
        <w:adjustRightInd w:val="0"/>
        <w:spacing w:line="276" w:lineRule="auto"/>
        <w:jc w:val="both"/>
        <w:rPr>
          <w:rFonts w:ascii="Tahoma" w:hAnsi="Tahoma" w:cs="Tahoma"/>
        </w:rPr>
      </w:pPr>
      <w:r w:rsidRPr="006808FE">
        <w:rPr>
          <w:rFonts w:ascii="Tahoma" w:hAnsi="Tahoma" w:cs="Tahoma"/>
        </w:rPr>
        <w:t xml:space="preserve">Señaló que la acción de tutela no puede ser utilizada como una tercera instancia, toda vez que goza de doble presunción de acierto y veracidad. </w:t>
      </w:r>
    </w:p>
    <w:p w14:paraId="55742F38" w14:textId="77777777" w:rsidR="00E053B1" w:rsidRPr="006808FE" w:rsidRDefault="00E053B1" w:rsidP="006808FE">
      <w:pPr>
        <w:autoSpaceDE w:val="0"/>
        <w:autoSpaceDN w:val="0"/>
        <w:adjustRightInd w:val="0"/>
        <w:spacing w:line="276" w:lineRule="auto"/>
        <w:jc w:val="both"/>
        <w:rPr>
          <w:rFonts w:ascii="Tahoma" w:hAnsi="Tahoma" w:cs="Tahoma"/>
          <w:bCs/>
        </w:rPr>
      </w:pPr>
    </w:p>
    <w:p w14:paraId="44DEA377" w14:textId="1612A31A" w:rsidR="007415F7" w:rsidRPr="006808FE" w:rsidRDefault="007B2D82" w:rsidP="006808FE">
      <w:pPr>
        <w:autoSpaceDE w:val="0"/>
        <w:autoSpaceDN w:val="0"/>
        <w:adjustRightInd w:val="0"/>
        <w:spacing w:line="276" w:lineRule="auto"/>
        <w:jc w:val="both"/>
        <w:rPr>
          <w:rFonts w:ascii="Tahoma" w:hAnsi="Tahoma" w:cs="Tahoma"/>
          <w:bCs/>
        </w:rPr>
      </w:pPr>
      <w:r w:rsidRPr="006808FE">
        <w:rPr>
          <w:rFonts w:ascii="Tahoma" w:hAnsi="Tahoma" w:cs="Tahoma"/>
          <w:b/>
          <w:bCs/>
        </w:rPr>
        <w:t>JUZGADO</w:t>
      </w:r>
      <w:r w:rsidR="007415F7" w:rsidRPr="006808FE">
        <w:rPr>
          <w:rFonts w:ascii="Tahoma" w:hAnsi="Tahoma" w:cs="Tahoma"/>
          <w:b/>
          <w:bCs/>
        </w:rPr>
        <w:t xml:space="preserve"> </w:t>
      </w:r>
      <w:r w:rsidR="00266C0C" w:rsidRPr="006808FE">
        <w:rPr>
          <w:rFonts w:ascii="Tahoma" w:hAnsi="Tahoma" w:cs="Tahoma"/>
          <w:b/>
          <w:bCs/>
        </w:rPr>
        <w:t>PRIMERO</w:t>
      </w:r>
      <w:r w:rsidR="00ED2720" w:rsidRPr="006808FE">
        <w:rPr>
          <w:rFonts w:ascii="Tahoma" w:hAnsi="Tahoma" w:cs="Tahoma"/>
          <w:b/>
          <w:bCs/>
        </w:rPr>
        <w:t xml:space="preserve"> </w:t>
      </w:r>
      <w:r w:rsidR="004A4B19" w:rsidRPr="006808FE">
        <w:rPr>
          <w:rFonts w:ascii="Tahoma" w:hAnsi="Tahoma" w:cs="Tahoma"/>
          <w:b/>
          <w:bCs/>
        </w:rPr>
        <w:t xml:space="preserve">PENAL DEL CIRCUITO ESPECIALIZADO DE </w:t>
      </w:r>
      <w:r w:rsidR="005C0667" w:rsidRPr="006808FE">
        <w:rPr>
          <w:rFonts w:ascii="Tahoma" w:hAnsi="Tahoma" w:cs="Tahoma"/>
          <w:b/>
          <w:bCs/>
        </w:rPr>
        <w:t>PEREIRA</w:t>
      </w:r>
      <w:r w:rsidRPr="006808FE">
        <w:rPr>
          <w:rFonts w:ascii="Tahoma" w:hAnsi="Tahoma" w:cs="Tahoma"/>
          <w:b/>
          <w:bCs/>
        </w:rPr>
        <w:t>:</w:t>
      </w:r>
      <w:r w:rsidR="00403242" w:rsidRPr="006808FE">
        <w:rPr>
          <w:rFonts w:ascii="Tahoma" w:hAnsi="Tahoma" w:cs="Tahoma"/>
          <w:b/>
          <w:bCs/>
        </w:rPr>
        <w:t xml:space="preserve"> </w:t>
      </w:r>
      <w:r w:rsidR="007415F7" w:rsidRPr="006808FE">
        <w:rPr>
          <w:rFonts w:ascii="Tahoma" w:hAnsi="Tahoma" w:cs="Tahoma"/>
          <w:bCs/>
        </w:rPr>
        <w:t xml:space="preserve">la Dra. </w:t>
      </w:r>
      <w:r w:rsidR="00CC10A6" w:rsidRPr="006808FE">
        <w:rPr>
          <w:rFonts w:ascii="Tahoma" w:hAnsi="Tahoma" w:cs="Tahoma"/>
          <w:bCs/>
        </w:rPr>
        <w:t>Luz Stella Ramírez Gutiérrez</w:t>
      </w:r>
      <w:r w:rsidR="007415F7" w:rsidRPr="006808FE">
        <w:rPr>
          <w:rFonts w:ascii="Tahoma" w:hAnsi="Tahoma" w:cs="Tahoma"/>
          <w:bCs/>
        </w:rPr>
        <w:t xml:space="preserve">, titular del Despacho, descorrió el traslado de la acción argumentando que allí se desató </w:t>
      </w:r>
      <w:r w:rsidR="00BB7FBD" w:rsidRPr="006808FE">
        <w:rPr>
          <w:rFonts w:ascii="Tahoma" w:hAnsi="Tahoma" w:cs="Tahoma"/>
          <w:bCs/>
        </w:rPr>
        <w:t xml:space="preserve">en las calendas del </w:t>
      </w:r>
      <w:r w:rsidR="00B74438" w:rsidRPr="006808FE">
        <w:rPr>
          <w:rFonts w:ascii="Tahoma" w:hAnsi="Tahoma" w:cs="Tahoma"/>
          <w:bCs/>
        </w:rPr>
        <w:t>22 de julio</w:t>
      </w:r>
      <w:r w:rsidR="00CC10A6" w:rsidRPr="006808FE">
        <w:rPr>
          <w:rFonts w:ascii="Tahoma" w:hAnsi="Tahoma" w:cs="Tahoma"/>
          <w:bCs/>
        </w:rPr>
        <w:t xml:space="preserve"> de 2021</w:t>
      </w:r>
      <w:r w:rsidR="00BB7FBD" w:rsidRPr="006808FE">
        <w:rPr>
          <w:rFonts w:ascii="Tahoma" w:hAnsi="Tahoma" w:cs="Tahoma"/>
          <w:bCs/>
        </w:rPr>
        <w:t xml:space="preserve">, </w:t>
      </w:r>
      <w:r w:rsidR="007415F7" w:rsidRPr="006808FE">
        <w:rPr>
          <w:rFonts w:ascii="Tahoma" w:hAnsi="Tahoma" w:cs="Tahoma"/>
          <w:bCs/>
        </w:rPr>
        <w:t>el recurso promovido</w:t>
      </w:r>
      <w:r w:rsidR="00CC10A6" w:rsidRPr="006808FE">
        <w:rPr>
          <w:rFonts w:ascii="Tahoma" w:hAnsi="Tahoma" w:cs="Tahoma"/>
          <w:bCs/>
        </w:rPr>
        <w:t xml:space="preserve"> por el accionante</w:t>
      </w:r>
      <w:r w:rsidR="007415F7" w:rsidRPr="006808FE">
        <w:rPr>
          <w:rFonts w:ascii="Tahoma" w:hAnsi="Tahoma" w:cs="Tahoma"/>
          <w:bCs/>
        </w:rPr>
        <w:t xml:space="preserve"> en contra del auto por medio del cual el Juzgado </w:t>
      </w:r>
      <w:r w:rsidR="00B74438" w:rsidRPr="006808FE">
        <w:rPr>
          <w:rFonts w:ascii="Tahoma" w:hAnsi="Tahoma" w:cs="Tahoma"/>
          <w:bCs/>
        </w:rPr>
        <w:t>1°</w:t>
      </w:r>
      <w:r w:rsidR="007415F7" w:rsidRPr="006808FE">
        <w:rPr>
          <w:rFonts w:ascii="Tahoma" w:hAnsi="Tahoma" w:cs="Tahoma"/>
          <w:bCs/>
        </w:rPr>
        <w:t xml:space="preserve"> de Ejecución de Penas y Medidas de Seguridad de Pereira le negó al privado de la libertad</w:t>
      </w:r>
      <w:r w:rsidR="00BB7FBD" w:rsidRPr="006808FE">
        <w:rPr>
          <w:rFonts w:ascii="Tahoma" w:hAnsi="Tahoma" w:cs="Tahoma"/>
          <w:bCs/>
        </w:rPr>
        <w:t xml:space="preserve"> </w:t>
      </w:r>
      <w:r w:rsidR="00974572" w:rsidRPr="006808FE">
        <w:rPr>
          <w:rFonts w:ascii="Tahoma" w:hAnsi="Tahoma" w:cs="Tahoma"/>
          <w:bCs/>
        </w:rPr>
        <w:t>GARCÍA GONZÁLEZ</w:t>
      </w:r>
      <w:r w:rsidR="007415F7" w:rsidRPr="006808FE">
        <w:rPr>
          <w:rFonts w:ascii="Tahoma" w:hAnsi="Tahoma" w:cs="Tahoma"/>
          <w:bCs/>
        </w:rPr>
        <w:t xml:space="preserve"> el subrogado de la libertad condicional</w:t>
      </w:r>
      <w:r w:rsidR="00EB09A4" w:rsidRPr="006808FE">
        <w:rPr>
          <w:rFonts w:ascii="Tahoma" w:hAnsi="Tahoma" w:cs="Tahoma"/>
          <w:bCs/>
        </w:rPr>
        <w:t>, decisión que fue confirmada en esa oportunidad</w:t>
      </w:r>
      <w:r w:rsidR="00AE2574" w:rsidRPr="006808FE">
        <w:rPr>
          <w:rFonts w:ascii="Tahoma" w:hAnsi="Tahoma" w:cs="Tahoma"/>
          <w:bCs/>
        </w:rPr>
        <w:t xml:space="preserve">, al </w:t>
      </w:r>
      <w:r w:rsidR="00BE6B51" w:rsidRPr="006808FE">
        <w:rPr>
          <w:rFonts w:ascii="Tahoma" w:hAnsi="Tahoma" w:cs="Tahoma"/>
          <w:bCs/>
        </w:rPr>
        <w:t>hallarla</w:t>
      </w:r>
      <w:r w:rsidR="00AE2574" w:rsidRPr="006808FE">
        <w:rPr>
          <w:rFonts w:ascii="Tahoma" w:hAnsi="Tahoma" w:cs="Tahoma"/>
          <w:bCs/>
        </w:rPr>
        <w:t xml:space="preserve"> ajustada a derecho</w:t>
      </w:r>
      <w:r w:rsidR="007415F7" w:rsidRPr="006808FE">
        <w:rPr>
          <w:rFonts w:ascii="Tahoma" w:hAnsi="Tahoma" w:cs="Tahoma"/>
          <w:bCs/>
        </w:rPr>
        <w:t xml:space="preserve">. </w:t>
      </w:r>
    </w:p>
    <w:p w14:paraId="2C31DEBA" w14:textId="77777777" w:rsidR="007415F7" w:rsidRPr="006808FE" w:rsidRDefault="007415F7" w:rsidP="006808FE">
      <w:pPr>
        <w:autoSpaceDE w:val="0"/>
        <w:autoSpaceDN w:val="0"/>
        <w:adjustRightInd w:val="0"/>
        <w:spacing w:line="276" w:lineRule="auto"/>
        <w:jc w:val="both"/>
        <w:rPr>
          <w:rFonts w:ascii="Tahoma" w:hAnsi="Tahoma" w:cs="Tahoma"/>
          <w:bCs/>
        </w:rPr>
      </w:pPr>
    </w:p>
    <w:p w14:paraId="103A5EE3" w14:textId="77777777" w:rsidR="007B2D82" w:rsidRPr="006808FE" w:rsidRDefault="00475345" w:rsidP="006808FE">
      <w:pPr>
        <w:autoSpaceDE w:val="0"/>
        <w:autoSpaceDN w:val="0"/>
        <w:adjustRightInd w:val="0"/>
        <w:spacing w:line="276" w:lineRule="auto"/>
        <w:jc w:val="both"/>
        <w:rPr>
          <w:rFonts w:ascii="Tahoma" w:hAnsi="Tahoma" w:cs="Tahoma"/>
        </w:rPr>
      </w:pPr>
      <w:r w:rsidRPr="006808FE">
        <w:rPr>
          <w:rFonts w:ascii="Tahoma" w:hAnsi="Tahoma" w:cs="Tahoma"/>
          <w:bCs/>
        </w:rPr>
        <w:t>Argumentó que</w:t>
      </w:r>
      <w:r w:rsidR="00077376" w:rsidRPr="006808FE">
        <w:rPr>
          <w:rFonts w:ascii="Tahoma" w:hAnsi="Tahoma" w:cs="Tahoma"/>
          <w:bCs/>
        </w:rPr>
        <w:t xml:space="preserve"> </w:t>
      </w:r>
      <w:r w:rsidR="00A16371" w:rsidRPr="006808FE">
        <w:rPr>
          <w:rFonts w:ascii="Tahoma" w:hAnsi="Tahoma" w:cs="Tahoma"/>
        </w:rPr>
        <w:t xml:space="preserve">no ha vulnerado los derechos fundamentales </w:t>
      </w:r>
      <w:r w:rsidR="001805C3" w:rsidRPr="006808FE">
        <w:rPr>
          <w:rFonts w:ascii="Tahoma" w:hAnsi="Tahoma" w:cs="Tahoma"/>
        </w:rPr>
        <w:t xml:space="preserve">reclamados por </w:t>
      </w:r>
      <w:r w:rsidR="00526A3B" w:rsidRPr="006808FE">
        <w:rPr>
          <w:rFonts w:ascii="Tahoma" w:hAnsi="Tahoma" w:cs="Tahoma"/>
        </w:rPr>
        <w:t>la parte</w:t>
      </w:r>
      <w:r w:rsidR="001805C3" w:rsidRPr="006808FE">
        <w:rPr>
          <w:rFonts w:ascii="Tahoma" w:hAnsi="Tahoma" w:cs="Tahoma"/>
        </w:rPr>
        <w:t xml:space="preserve"> accionante</w:t>
      </w:r>
      <w:r w:rsidR="00526A3B" w:rsidRPr="006808FE">
        <w:rPr>
          <w:rFonts w:ascii="Tahoma" w:hAnsi="Tahoma" w:cs="Tahoma"/>
        </w:rPr>
        <w:t xml:space="preserve">. </w:t>
      </w:r>
    </w:p>
    <w:p w14:paraId="2A56F1B9" w14:textId="77777777" w:rsidR="00DC480E" w:rsidRPr="006808FE" w:rsidRDefault="00DC480E" w:rsidP="006808FE">
      <w:pPr>
        <w:autoSpaceDE w:val="0"/>
        <w:autoSpaceDN w:val="0"/>
        <w:adjustRightInd w:val="0"/>
        <w:spacing w:line="276" w:lineRule="auto"/>
        <w:jc w:val="both"/>
        <w:rPr>
          <w:rFonts w:ascii="Tahoma" w:hAnsi="Tahoma" w:cs="Tahoma"/>
        </w:rPr>
      </w:pPr>
    </w:p>
    <w:p w14:paraId="64841614" w14:textId="77777777" w:rsidR="007B2D82" w:rsidRPr="006808FE" w:rsidRDefault="007B2D82" w:rsidP="006808FE">
      <w:pPr>
        <w:autoSpaceDE w:val="0"/>
        <w:autoSpaceDN w:val="0"/>
        <w:adjustRightInd w:val="0"/>
        <w:spacing w:line="276" w:lineRule="auto"/>
        <w:jc w:val="center"/>
        <w:rPr>
          <w:rFonts w:ascii="Tahoma" w:hAnsi="Tahoma" w:cs="Tahoma"/>
          <w:b/>
          <w:bCs/>
        </w:rPr>
      </w:pPr>
      <w:r w:rsidRPr="006808FE">
        <w:rPr>
          <w:rFonts w:ascii="Tahoma" w:hAnsi="Tahoma" w:cs="Tahoma"/>
          <w:b/>
          <w:bCs/>
        </w:rPr>
        <w:t>CONSIDERACIONES DE LA SALA:</w:t>
      </w:r>
    </w:p>
    <w:p w14:paraId="3A4FEF3B" w14:textId="77777777" w:rsidR="007B2D82" w:rsidRPr="006808FE" w:rsidRDefault="007B2D82" w:rsidP="006808FE">
      <w:pPr>
        <w:spacing w:line="276" w:lineRule="auto"/>
        <w:jc w:val="both"/>
        <w:rPr>
          <w:rFonts w:ascii="Tahoma" w:hAnsi="Tahoma" w:cs="Tahoma"/>
        </w:rPr>
      </w:pPr>
    </w:p>
    <w:p w14:paraId="27998ED7" w14:textId="77777777" w:rsidR="00A72D12" w:rsidRPr="006808FE" w:rsidRDefault="00A72D12" w:rsidP="006808FE">
      <w:pPr>
        <w:numPr>
          <w:ilvl w:val="0"/>
          <w:numId w:val="9"/>
        </w:numPr>
        <w:spacing w:line="276" w:lineRule="auto"/>
        <w:jc w:val="both"/>
        <w:rPr>
          <w:rFonts w:ascii="Tahoma" w:hAnsi="Tahoma" w:cs="Tahoma"/>
          <w:b/>
        </w:rPr>
      </w:pPr>
      <w:r w:rsidRPr="006808FE">
        <w:rPr>
          <w:rFonts w:ascii="Tahoma" w:hAnsi="Tahoma" w:cs="Tahoma"/>
          <w:b/>
        </w:rPr>
        <w:t xml:space="preserve">Competencia: </w:t>
      </w:r>
    </w:p>
    <w:p w14:paraId="490990DE" w14:textId="77777777" w:rsidR="00A72D12" w:rsidRPr="006808FE" w:rsidRDefault="00A72D12" w:rsidP="006808FE">
      <w:pPr>
        <w:spacing w:line="276" w:lineRule="auto"/>
        <w:jc w:val="both"/>
        <w:rPr>
          <w:rFonts w:ascii="Tahoma" w:hAnsi="Tahoma" w:cs="Tahoma"/>
        </w:rPr>
      </w:pPr>
    </w:p>
    <w:p w14:paraId="0F07686C" w14:textId="77777777" w:rsidR="00BB6DA1" w:rsidRPr="006808FE" w:rsidRDefault="00BB6DA1" w:rsidP="006808FE">
      <w:pPr>
        <w:widowControl w:val="0"/>
        <w:tabs>
          <w:tab w:val="left" w:pos="561"/>
        </w:tabs>
        <w:autoSpaceDE w:val="0"/>
        <w:autoSpaceDN w:val="0"/>
        <w:adjustRightInd w:val="0"/>
        <w:spacing w:line="276" w:lineRule="auto"/>
        <w:jc w:val="both"/>
        <w:rPr>
          <w:rFonts w:ascii="Tahoma" w:hAnsi="Tahoma" w:cs="Tahoma"/>
        </w:rPr>
      </w:pPr>
      <w:r w:rsidRPr="006808FE">
        <w:rPr>
          <w:rFonts w:ascii="Tahoma" w:hAnsi="Tahoma" w:cs="Tahoma"/>
        </w:rPr>
        <w:t xml:space="preserve">La Colegiatura se encuentra funcionalmente habilitada para decidir en primera </w:t>
      </w:r>
      <w:r w:rsidRPr="006808FE">
        <w:rPr>
          <w:rFonts w:ascii="Tahoma" w:hAnsi="Tahoma" w:cs="Tahoma"/>
        </w:rPr>
        <w:lastRenderedPageBreak/>
        <w:t>instancia la presente acción, de conformidad con los artículos 86 de la Constitución Política, 32 del Decreto 2591 de 1991 y 2.2.3.1.2.1 del Decreto 1069 de 2015, modificado por el artíc</w:t>
      </w:r>
      <w:r w:rsidR="00266C0C" w:rsidRPr="006808FE">
        <w:rPr>
          <w:rFonts w:ascii="Tahoma" w:hAnsi="Tahoma" w:cs="Tahoma"/>
        </w:rPr>
        <w:t>ulo 1º del Decreto 1983 de 2017 y posteriormente por el Decreto 333 de 2021.</w:t>
      </w:r>
    </w:p>
    <w:p w14:paraId="2A3DAD8F" w14:textId="77777777" w:rsidR="007B2D82" w:rsidRPr="006808FE" w:rsidRDefault="007B2D82" w:rsidP="006808FE">
      <w:pPr>
        <w:spacing w:line="276" w:lineRule="auto"/>
        <w:jc w:val="both"/>
        <w:rPr>
          <w:rFonts w:ascii="Tahoma" w:hAnsi="Tahoma" w:cs="Tahoma"/>
        </w:rPr>
      </w:pPr>
    </w:p>
    <w:p w14:paraId="1B3814E1" w14:textId="77777777" w:rsidR="00A72D12" w:rsidRPr="006808FE" w:rsidRDefault="00A72D12" w:rsidP="006808FE">
      <w:pPr>
        <w:numPr>
          <w:ilvl w:val="0"/>
          <w:numId w:val="9"/>
        </w:numPr>
        <w:spacing w:line="276" w:lineRule="auto"/>
        <w:jc w:val="both"/>
        <w:rPr>
          <w:rFonts w:ascii="Tahoma" w:hAnsi="Tahoma" w:cs="Tahoma"/>
          <w:b/>
        </w:rPr>
      </w:pPr>
      <w:r w:rsidRPr="006808FE">
        <w:rPr>
          <w:rFonts w:ascii="Tahoma" w:hAnsi="Tahoma" w:cs="Tahoma"/>
          <w:b/>
        </w:rPr>
        <w:t xml:space="preserve">Problema jurídico: </w:t>
      </w:r>
    </w:p>
    <w:p w14:paraId="5185AB9E" w14:textId="77777777" w:rsidR="00A72D12" w:rsidRPr="006808FE" w:rsidRDefault="00A72D12" w:rsidP="006808FE">
      <w:pPr>
        <w:spacing w:line="276" w:lineRule="auto"/>
        <w:jc w:val="both"/>
        <w:rPr>
          <w:rFonts w:ascii="Tahoma" w:hAnsi="Tahoma" w:cs="Tahoma"/>
        </w:rPr>
      </w:pPr>
    </w:p>
    <w:p w14:paraId="1015A8DD" w14:textId="27F6B7B2" w:rsidR="007B2D82" w:rsidRPr="006808FE" w:rsidRDefault="007B2D82" w:rsidP="006808FE">
      <w:pPr>
        <w:autoSpaceDE w:val="0"/>
        <w:autoSpaceDN w:val="0"/>
        <w:adjustRightInd w:val="0"/>
        <w:spacing w:line="276" w:lineRule="auto"/>
        <w:jc w:val="both"/>
        <w:rPr>
          <w:rFonts w:ascii="Tahoma" w:hAnsi="Tahoma" w:cs="Tahoma"/>
        </w:rPr>
      </w:pPr>
      <w:r w:rsidRPr="006808FE">
        <w:rPr>
          <w:rFonts w:ascii="Tahoma" w:hAnsi="Tahoma" w:cs="Tahoma"/>
        </w:rPr>
        <w:t>El proble</w:t>
      </w:r>
      <w:r w:rsidR="00D53CB1" w:rsidRPr="006808FE">
        <w:rPr>
          <w:rFonts w:ascii="Tahoma" w:hAnsi="Tahoma" w:cs="Tahoma"/>
        </w:rPr>
        <w:t>ma jurídico del presente asunto</w:t>
      </w:r>
      <w:r w:rsidRPr="006808FE">
        <w:rPr>
          <w:rFonts w:ascii="Tahoma" w:hAnsi="Tahoma" w:cs="Tahoma"/>
        </w:rPr>
        <w:t xml:space="preserve"> gira en torno a establecer si en las actuaciones adelantadas por pa</w:t>
      </w:r>
      <w:r w:rsidR="001D57EB" w:rsidRPr="006808FE">
        <w:rPr>
          <w:rFonts w:ascii="Tahoma" w:hAnsi="Tahoma" w:cs="Tahoma"/>
        </w:rPr>
        <w:t>rte de los Despachos accionados</w:t>
      </w:r>
      <w:r w:rsidRPr="006808FE">
        <w:rPr>
          <w:rFonts w:ascii="Tahoma" w:hAnsi="Tahoma" w:cs="Tahoma"/>
        </w:rPr>
        <w:t xml:space="preserve"> </w:t>
      </w:r>
      <w:r w:rsidR="001D57EB" w:rsidRPr="006808FE">
        <w:rPr>
          <w:rFonts w:ascii="Tahoma" w:hAnsi="Tahoma" w:cs="Tahoma"/>
        </w:rPr>
        <w:t>al</w:t>
      </w:r>
      <w:r w:rsidRPr="006808FE">
        <w:rPr>
          <w:rFonts w:ascii="Tahoma" w:hAnsi="Tahoma" w:cs="Tahoma"/>
        </w:rPr>
        <w:t xml:space="preserve"> momento de resolver la solicitud de libertad condicional impetrada por </w:t>
      </w:r>
      <w:r w:rsidR="00A32B83" w:rsidRPr="006808FE">
        <w:rPr>
          <w:rFonts w:ascii="Tahoma" w:hAnsi="Tahoma" w:cs="Tahoma"/>
        </w:rPr>
        <w:t>el</w:t>
      </w:r>
      <w:r w:rsidRPr="006808FE">
        <w:rPr>
          <w:rFonts w:ascii="Tahoma" w:hAnsi="Tahoma" w:cs="Tahoma"/>
        </w:rPr>
        <w:t xml:space="preserve"> señor </w:t>
      </w:r>
      <w:r w:rsidR="00974572" w:rsidRPr="006808FE">
        <w:rPr>
          <w:rFonts w:ascii="Tahoma" w:hAnsi="Tahoma" w:cs="Tahoma"/>
        </w:rPr>
        <w:t>CARLOS</w:t>
      </w:r>
      <w:r w:rsidR="00266C0C" w:rsidRPr="006808FE">
        <w:rPr>
          <w:rFonts w:ascii="Tahoma" w:hAnsi="Tahoma" w:cs="Tahoma"/>
        </w:rPr>
        <w:t xml:space="preserve"> </w:t>
      </w:r>
      <w:r w:rsidR="00974572" w:rsidRPr="006808FE">
        <w:rPr>
          <w:rFonts w:ascii="Tahoma" w:hAnsi="Tahoma" w:cs="Tahoma"/>
        </w:rPr>
        <w:t>DAVID</w:t>
      </w:r>
      <w:r w:rsidR="00266C0C" w:rsidRPr="006808FE">
        <w:rPr>
          <w:rFonts w:ascii="Tahoma" w:hAnsi="Tahoma" w:cs="Tahoma"/>
        </w:rPr>
        <w:t xml:space="preserve"> </w:t>
      </w:r>
      <w:r w:rsidR="00974572" w:rsidRPr="006808FE">
        <w:rPr>
          <w:rFonts w:ascii="Tahoma" w:hAnsi="Tahoma" w:cs="Tahoma"/>
        </w:rPr>
        <w:t>GARCÍA GONZÁLEZ</w:t>
      </w:r>
      <w:r w:rsidR="00266C0C" w:rsidRPr="006808FE">
        <w:rPr>
          <w:rFonts w:ascii="Tahoma" w:hAnsi="Tahoma" w:cs="Tahoma"/>
        </w:rPr>
        <w:t>, por intermedio de su apoderado</w:t>
      </w:r>
      <w:r w:rsidRPr="006808FE">
        <w:rPr>
          <w:rFonts w:ascii="Tahoma" w:hAnsi="Tahoma" w:cs="Tahoma"/>
        </w:rPr>
        <w:t xml:space="preserve">, se </w:t>
      </w:r>
      <w:r w:rsidR="009D4372" w:rsidRPr="006808FE">
        <w:rPr>
          <w:rFonts w:ascii="Tahoma" w:hAnsi="Tahoma" w:cs="Tahoma"/>
        </w:rPr>
        <w:t>incurrieron en vías de hecho que viab</w:t>
      </w:r>
      <w:r w:rsidR="00A32B83" w:rsidRPr="006808FE">
        <w:rPr>
          <w:rFonts w:ascii="Tahoma" w:hAnsi="Tahoma" w:cs="Tahoma"/>
        </w:rPr>
        <w:t>ilicen la intervención de este J</w:t>
      </w:r>
      <w:r w:rsidR="009D4372" w:rsidRPr="006808FE">
        <w:rPr>
          <w:rFonts w:ascii="Tahoma" w:hAnsi="Tahoma" w:cs="Tahoma"/>
        </w:rPr>
        <w:t xml:space="preserve">uez </w:t>
      </w:r>
      <w:r w:rsidR="00A32B83" w:rsidRPr="006808FE">
        <w:rPr>
          <w:rFonts w:ascii="Tahoma" w:hAnsi="Tahoma" w:cs="Tahoma"/>
        </w:rPr>
        <w:t>C</w:t>
      </w:r>
      <w:r w:rsidR="009D4372" w:rsidRPr="006808FE">
        <w:rPr>
          <w:rFonts w:ascii="Tahoma" w:hAnsi="Tahoma" w:cs="Tahoma"/>
        </w:rPr>
        <w:t>onstitucional para conjurar el menoscabo que con aquellas determinaciones se hubiese podido causar e</w:t>
      </w:r>
      <w:r w:rsidR="00D53CB1" w:rsidRPr="006808FE">
        <w:rPr>
          <w:rFonts w:ascii="Tahoma" w:hAnsi="Tahoma" w:cs="Tahoma"/>
        </w:rPr>
        <w:t>n detrimento de los derechos del</w:t>
      </w:r>
      <w:r w:rsidR="009D4372" w:rsidRPr="006808FE">
        <w:rPr>
          <w:rFonts w:ascii="Tahoma" w:hAnsi="Tahoma" w:cs="Tahoma"/>
        </w:rPr>
        <w:t xml:space="preserve"> accionante. </w:t>
      </w:r>
    </w:p>
    <w:p w14:paraId="29FBDF4F" w14:textId="77777777" w:rsidR="00DE780B" w:rsidRPr="006808FE" w:rsidRDefault="00DE780B" w:rsidP="006808FE">
      <w:pPr>
        <w:autoSpaceDE w:val="0"/>
        <w:autoSpaceDN w:val="0"/>
        <w:adjustRightInd w:val="0"/>
        <w:spacing w:line="276" w:lineRule="auto"/>
        <w:jc w:val="both"/>
        <w:rPr>
          <w:rFonts w:ascii="Tahoma" w:hAnsi="Tahoma" w:cs="Tahoma"/>
        </w:rPr>
      </w:pPr>
    </w:p>
    <w:p w14:paraId="3EB295F1" w14:textId="77777777" w:rsidR="00DE780B" w:rsidRPr="006808FE" w:rsidRDefault="00DE780B" w:rsidP="006808FE">
      <w:pPr>
        <w:numPr>
          <w:ilvl w:val="0"/>
          <w:numId w:val="9"/>
        </w:numPr>
        <w:autoSpaceDE w:val="0"/>
        <w:autoSpaceDN w:val="0"/>
        <w:adjustRightInd w:val="0"/>
        <w:spacing w:line="276" w:lineRule="auto"/>
        <w:jc w:val="both"/>
        <w:rPr>
          <w:rFonts w:ascii="Tahoma" w:hAnsi="Tahoma" w:cs="Tahoma"/>
          <w:b/>
        </w:rPr>
      </w:pPr>
      <w:r w:rsidRPr="006808FE">
        <w:rPr>
          <w:rFonts w:ascii="Tahoma" w:hAnsi="Tahoma" w:cs="Tahoma"/>
          <w:b/>
        </w:rPr>
        <w:t>Soluci</w:t>
      </w:r>
      <w:r w:rsidR="00B63D26" w:rsidRPr="006808FE">
        <w:rPr>
          <w:rFonts w:ascii="Tahoma" w:hAnsi="Tahoma" w:cs="Tahoma"/>
          <w:b/>
        </w:rPr>
        <w:t>ón:</w:t>
      </w:r>
      <w:r w:rsidRPr="006808FE">
        <w:rPr>
          <w:rFonts w:ascii="Tahoma" w:hAnsi="Tahoma" w:cs="Tahoma"/>
          <w:b/>
        </w:rPr>
        <w:t xml:space="preserve"> </w:t>
      </w:r>
    </w:p>
    <w:p w14:paraId="642F19E3" w14:textId="77777777" w:rsidR="007B2D82" w:rsidRPr="006808FE" w:rsidRDefault="007B2D82" w:rsidP="006808FE">
      <w:pPr>
        <w:tabs>
          <w:tab w:val="left" w:pos="6150"/>
        </w:tabs>
        <w:spacing w:line="276" w:lineRule="auto"/>
        <w:jc w:val="both"/>
        <w:rPr>
          <w:rFonts w:ascii="Tahoma" w:hAnsi="Tahoma" w:cs="Tahoma"/>
        </w:rPr>
      </w:pPr>
    </w:p>
    <w:p w14:paraId="7E010369" w14:textId="77777777" w:rsidR="00A37DAC" w:rsidRPr="006808FE" w:rsidRDefault="00A37DAC" w:rsidP="006808FE">
      <w:pPr>
        <w:spacing w:line="276" w:lineRule="auto"/>
        <w:jc w:val="both"/>
        <w:rPr>
          <w:rFonts w:ascii="Tahoma" w:hAnsi="Tahoma" w:cs="Tahoma"/>
        </w:rPr>
      </w:pPr>
      <w:r w:rsidRPr="006808FE">
        <w:rPr>
          <w:rFonts w:ascii="Tahoma" w:hAnsi="Tahoma" w:cs="Tahoma"/>
        </w:rPr>
        <w:t xml:space="preserve">La acción de tutela consagrada en el artículo 86 Superior, reglamentada por el Decreto Ley 2591 de 1991, es el mecanismo judicial desarrollado por el legislador para brindar a los ciudadanos colombianos la posibilidad de acudir sin mayores requerimientos a la protección directa e inmediata de los derechos fundamentales transgredidos por la acción </w:t>
      </w:r>
      <w:r w:rsidR="005D32D2" w:rsidRPr="006808FE">
        <w:rPr>
          <w:rFonts w:ascii="Tahoma" w:hAnsi="Tahoma" w:cs="Tahoma"/>
        </w:rPr>
        <w:t>u</w:t>
      </w:r>
      <w:r w:rsidRPr="006808FE">
        <w:rPr>
          <w:rFonts w:ascii="Tahoma" w:hAnsi="Tahoma" w:cs="Tahoma"/>
        </w:rPr>
        <w:t xml:space="preserve"> omisión de las autoridades públicas, o de los particulares en los casos expresamente previstos en la ley, lográndose así que se cumpla uno de los fines del Estado, cual es garantizar la efectividad de los principios, derechos y deberes consagrados en la Constitución.</w:t>
      </w:r>
    </w:p>
    <w:p w14:paraId="07ECCD35" w14:textId="77777777" w:rsidR="00BC0BC1" w:rsidRPr="006808FE" w:rsidRDefault="00BC0BC1" w:rsidP="006808FE">
      <w:pPr>
        <w:spacing w:line="276" w:lineRule="auto"/>
        <w:jc w:val="both"/>
        <w:rPr>
          <w:rFonts w:ascii="Tahoma" w:hAnsi="Tahoma" w:cs="Tahoma"/>
        </w:rPr>
      </w:pPr>
    </w:p>
    <w:p w14:paraId="228919B0" w14:textId="77777777" w:rsidR="00BC0BC1" w:rsidRPr="006808FE" w:rsidRDefault="00BC0BC1" w:rsidP="006808FE">
      <w:pPr>
        <w:spacing w:line="276" w:lineRule="auto"/>
        <w:jc w:val="both"/>
        <w:rPr>
          <w:rFonts w:ascii="Tahoma" w:hAnsi="Tahoma" w:cs="Tahoma"/>
        </w:rPr>
      </w:pPr>
      <w:r w:rsidRPr="006808FE">
        <w:rPr>
          <w:rFonts w:ascii="Tahoma" w:hAnsi="Tahoma" w:cs="Tahoma"/>
        </w:rPr>
        <w:t>Sin embargo, es pertinente mencionar que el inciso 3º del artículo 86 de nuestra Constitución, en concordancia con los artículos 6º y 8º del aludido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ad portas de sufrir un perjuicio irremediable.</w:t>
      </w:r>
    </w:p>
    <w:p w14:paraId="00AB2798" w14:textId="77777777" w:rsidR="00BC0BC1" w:rsidRPr="006808FE" w:rsidRDefault="00BC0BC1" w:rsidP="006808FE">
      <w:pPr>
        <w:tabs>
          <w:tab w:val="left" w:pos="9101"/>
        </w:tabs>
        <w:spacing w:line="276" w:lineRule="auto"/>
        <w:jc w:val="both"/>
        <w:rPr>
          <w:rFonts w:ascii="Tahoma" w:hAnsi="Tahoma" w:cs="Tahoma"/>
        </w:rPr>
      </w:pPr>
    </w:p>
    <w:p w14:paraId="411A9D9A" w14:textId="77777777" w:rsidR="00BC0BC1" w:rsidRPr="006808FE" w:rsidRDefault="00BC0BC1" w:rsidP="006808FE">
      <w:pPr>
        <w:autoSpaceDE w:val="0"/>
        <w:autoSpaceDN w:val="0"/>
        <w:adjustRightInd w:val="0"/>
        <w:spacing w:line="276" w:lineRule="auto"/>
        <w:jc w:val="both"/>
        <w:rPr>
          <w:rFonts w:ascii="Tahoma" w:hAnsi="Tahoma" w:cs="Tahoma"/>
        </w:rPr>
      </w:pPr>
      <w:r w:rsidRPr="006808FE">
        <w:rPr>
          <w:rFonts w:ascii="Tahoma" w:hAnsi="Tahoma" w:cs="Tahoma"/>
        </w:rPr>
        <w:t xml:space="preserve">Este requisito se hace más exigente cuando se pretende atacar pronunciamientos judiciales por vía de tutela, pues se supone que el primer escenario con el que cuentan los sujetos pasivos de un proceso, o en este caso las personas en contra de quienes se ha proferido una sentencia condenatoria y la misma se encuentra ejecutoriada, es ante el Juez que vigila la ejecución de su pena, ello en garantía de la preservación del principio de seguridad jurídica, porque es claro que las distintas autoridades judiciales han sido revestidas de una serie de competencias asignadas por la ley, sobre las cuales sólo de manera excepcionalísima habría lugar a la intervención del Juez Constitucional, además, la gran mayoría de procesos y trámites de índole judicial se caracterizan por gozar del principio de la doble instancia, lo que quiere decir que el legislador ha previsto para la mayoría de los trámites jurisdiccionales la posibilidad de activar el mecanismo de la apelación o impugnación de las decisiones, con el fin de que un Juez </w:t>
      </w:r>
      <w:r w:rsidRPr="006808FE">
        <w:rPr>
          <w:rFonts w:ascii="Tahoma" w:hAnsi="Tahoma" w:cs="Tahoma"/>
        </w:rPr>
        <w:lastRenderedPageBreak/>
        <w:t xml:space="preserve">distinto a aquel que dictó el pronunciamiento frente al cual se presenta el desacuerdo, pueda verificar su legalidad e incluso establecer si con la decisión opugnada se vulneró algún derecho fundamental o se desconocieron los lineamientos del debido proceso. </w:t>
      </w:r>
    </w:p>
    <w:p w14:paraId="351CFD4E" w14:textId="77777777" w:rsidR="00BC0BC1" w:rsidRPr="006808FE" w:rsidRDefault="00BC0BC1" w:rsidP="006808FE">
      <w:pPr>
        <w:spacing w:line="276" w:lineRule="auto"/>
        <w:jc w:val="both"/>
        <w:rPr>
          <w:rFonts w:ascii="Tahoma" w:hAnsi="Tahoma" w:cs="Tahoma"/>
        </w:rPr>
      </w:pPr>
    </w:p>
    <w:p w14:paraId="342E6EE8" w14:textId="77777777" w:rsidR="00BC0BC1" w:rsidRPr="006808FE" w:rsidRDefault="00BC0BC1" w:rsidP="006808FE">
      <w:pPr>
        <w:spacing w:line="276" w:lineRule="auto"/>
        <w:jc w:val="both"/>
        <w:rPr>
          <w:rFonts w:ascii="Tahoma" w:hAnsi="Tahoma" w:cs="Tahoma"/>
        </w:rPr>
      </w:pPr>
      <w:r w:rsidRPr="006808FE">
        <w:rPr>
          <w:rFonts w:ascii="Tahoma" w:hAnsi="Tahoma" w:cs="Tahoma"/>
        </w:rPr>
        <w:t xml:space="preserve">De este modo se materializa el carácter subsidiario y residual de esta acción, ya que no en todos los casos es el Juez de tutela el llamado a proteger o pronunciarse sobre la presunta vulneración de los derechos fundamentales, toda vez que este tipo de asuntos pueden y deben ser ventilados ante la justicia ordinaria, donde por especialidades están en la capacidad de resolver con más precisión el conflicto propuesto. </w:t>
      </w:r>
    </w:p>
    <w:p w14:paraId="74617E63" w14:textId="77777777" w:rsidR="00BC0BC1" w:rsidRPr="006808FE" w:rsidRDefault="00BC0BC1" w:rsidP="006808FE">
      <w:pPr>
        <w:tabs>
          <w:tab w:val="left" w:pos="9101"/>
        </w:tabs>
        <w:spacing w:line="276" w:lineRule="auto"/>
        <w:jc w:val="both"/>
        <w:rPr>
          <w:rFonts w:ascii="Tahoma" w:hAnsi="Tahoma" w:cs="Tahoma"/>
        </w:rPr>
      </w:pPr>
    </w:p>
    <w:p w14:paraId="5B3AA070" w14:textId="61E9294C" w:rsidR="007B2D82" w:rsidRPr="006808FE" w:rsidRDefault="00BC0BC1" w:rsidP="006808FE">
      <w:pPr>
        <w:autoSpaceDE w:val="0"/>
        <w:autoSpaceDN w:val="0"/>
        <w:adjustRightInd w:val="0"/>
        <w:spacing w:line="276" w:lineRule="auto"/>
        <w:jc w:val="both"/>
        <w:rPr>
          <w:rFonts w:ascii="Tahoma" w:hAnsi="Tahoma" w:cs="Tahoma"/>
        </w:rPr>
      </w:pPr>
      <w:bookmarkStart w:id="2" w:name="_Hlk82511124"/>
      <w:r w:rsidRPr="006808FE">
        <w:rPr>
          <w:rFonts w:ascii="Tahoma" w:hAnsi="Tahoma" w:cs="Tahoma"/>
        </w:rPr>
        <w:t>En ese orden de ideas, como quiera que el problema jurídico del presente asunto gira en torno a controvertir el contenido y la legalidad de una providencia judicial, debe iniciar la Colegiatura por dilucidar si en el caso bajo estudio están dados los presupuestos de procedibilidad de la acción de tutela, de manera tal que se justifique la intervención del juez Constitucional y pueda ser utilizada como un instrumento para dejar sin efectos lo resuelto en el escenario ordinario por el juez natural</w:t>
      </w:r>
      <w:bookmarkEnd w:id="2"/>
      <w:r w:rsidRPr="006808FE">
        <w:rPr>
          <w:rFonts w:ascii="Tahoma" w:hAnsi="Tahoma" w:cs="Tahoma"/>
        </w:rPr>
        <w:t xml:space="preserve">, en relación con la solicitud de libertad condicional deprecada por el señor </w:t>
      </w:r>
      <w:r w:rsidR="00974572" w:rsidRPr="006808FE">
        <w:rPr>
          <w:rFonts w:ascii="Tahoma" w:hAnsi="Tahoma" w:cs="Tahoma"/>
        </w:rPr>
        <w:t>CARLOS</w:t>
      </w:r>
      <w:r w:rsidRPr="006808FE">
        <w:rPr>
          <w:rFonts w:ascii="Tahoma" w:hAnsi="Tahoma" w:cs="Tahoma"/>
        </w:rPr>
        <w:t xml:space="preserve"> </w:t>
      </w:r>
      <w:r w:rsidR="00974572" w:rsidRPr="006808FE">
        <w:rPr>
          <w:rFonts w:ascii="Tahoma" w:hAnsi="Tahoma" w:cs="Tahoma"/>
        </w:rPr>
        <w:t>DAVID</w:t>
      </w:r>
      <w:r w:rsidRPr="006808FE">
        <w:rPr>
          <w:rFonts w:ascii="Tahoma" w:hAnsi="Tahoma" w:cs="Tahoma"/>
        </w:rPr>
        <w:t xml:space="preserve"> </w:t>
      </w:r>
      <w:r w:rsidR="00974572" w:rsidRPr="006808FE">
        <w:rPr>
          <w:rFonts w:ascii="Tahoma" w:hAnsi="Tahoma" w:cs="Tahoma"/>
        </w:rPr>
        <w:t>GARCÍA GONZÁLEZ</w:t>
      </w:r>
      <w:r w:rsidRPr="006808FE">
        <w:rPr>
          <w:rFonts w:ascii="Tahoma" w:hAnsi="Tahoma" w:cs="Tahoma"/>
        </w:rPr>
        <w:t xml:space="preserve">, </w:t>
      </w:r>
      <w:r w:rsidR="00AC526F" w:rsidRPr="006808FE">
        <w:rPr>
          <w:rFonts w:ascii="Tahoma" w:hAnsi="Tahoma" w:cs="Tahoma"/>
        </w:rPr>
        <w:t xml:space="preserve">subrogado que, como viene de verse, fue </w:t>
      </w:r>
      <w:r w:rsidR="000F0F62" w:rsidRPr="006808FE">
        <w:rPr>
          <w:rFonts w:ascii="Tahoma" w:hAnsi="Tahoma" w:cs="Tahoma"/>
        </w:rPr>
        <w:t>negado en primera y segunda instancia</w:t>
      </w:r>
      <w:r w:rsidR="007B2D82" w:rsidRPr="006808FE">
        <w:rPr>
          <w:rFonts w:ascii="Tahoma" w:hAnsi="Tahoma" w:cs="Tahoma"/>
        </w:rPr>
        <w:t xml:space="preserve">, por </w:t>
      </w:r>
      <w:r w:rsidR="001D57EB" w:rsidRPr="006808FE">
        <w:rPr>
          <w:rFonts w:ascii="Tahoma" w:hAnsi="Tahoma" w:cs="Tahoma"/>
        </w:rPr>
        <w:t>coincidir ambas células judiciales en</w:t>
      </w:r>
      <w:r w:rsidR="007B2D82" w:rsidRPr="006808FE">
        <w:rPr>
          <w:rFonts w:ascii="Tahoma" w:hAnsi="Tahoma" w:cs="Tahoma"/>
        </w:rPr>
        <w:t xml:space="preserve"> </w:t>
      </w:r>
      <w:r w:rsidR="001D57EB" w:rsidRPr="006808FE">
        <w:rPr>
          <w:rFonts w:ascii="Tahoma" w:hAnsi="Tahoma" w:cs="Tahoma"/>
        </w:rPr>
        <w:t xml:space="preserve">considerar </w:t>
      </w:r>
      <w:r w:rsidR="007B2D82" w:rsidRPr="006808FE">
        <w:rPr>
          <w:rFonts w:ascii="Tahoma" w:hAnsi="Tahoma" w:cs="Tahoma"/>
        </w:rPr>
        <w:t>que la conducta delictual cometida</w:t>
      </w:r>
      <w:r w:rsidR="001D57EB" w:rsidRPr="006808FE">
        <w:rPr>
          <w:rFonts w:ascii="Tahoma" w:hAnsi="Tahoma" w:cs="Tahoma"/>
        </w:rPr>
        <w:t xml:space="preserve"> por </w:t>
      </w:r>
      <w:r w:rsidR="00DA6857" w:rsidRPr="006808FE">
        <w:rPr>
          <w:rFonts w:ascii="Tahoma" w:hAnsi="Tahoma" w:cs="Tahoma"/>
        </w:rPr>
        <w:t>el</w:t>
      </w:r>
      <w:r w:rsidR="00F446DA" w:rsidRPr="006808FE">
        <w:rPr>
          <w:rFonts w:ascii="Tahoma" w:hAnsi="Tahoma" w:cs="Tahoma"/>
        </w:rPr>
        <w:t xml:space="preserve"> condenado</w:t>
      </w:r>
      <w:r w:rsidR="007B2D82" w:rsidRPr="006808FE">
        <w:rPr>
          <w:rFonts w:ascii="Tahoma" w:hAnsi="Tahoma" w:cs="Tahoma"/>
        </w:rPr>
        <w:t xml:space="preserve"> es grave y amerita mantener la sanción penal en un establecimiento de reclusión. </w:t>
      </w:r>
    </w:p>
    <w:p w14:paraId="7329C7EB" w14:textId="77777777" w:rsidR="007B2D82" w:rsidRPr="006808FE" w:rsidRDefault="007B2D82" w:rsidP="006808FE">
      <w:pPr>
        <w:tabs>
          <w:tab w:val="left" w:pos="9101"/>
        </w:tabs>
        <w:spacing w:line="276" w:lineRule="auto"/>
        <w:jc w:val="both"/>
        <w:rPr>
          <w:rFonts w:ascii="Tahoma" w:hAnsi="Tahoma" w:cs="Tahoma"/>
        </w:rPr>
      </w:pPr>
    </w:p>
    <w:p w14:paraId="24E77D68" w14:textId="77777777" w:rsidR="00A712A4" w:rsidRPr="006808FE" w:rsidRDefault="00A712A4" w:rsidP="006808FE">
      <w:pPr>
        <w:tabs>
          <w:tab w:val="left" w:pos="9101"/>
        </w:tabs>
        <w:spacing w:line="276" w:lineRule="auto"/>
        <w:jc w:val="both"/>
        <w:rPr>
          <w:rFonts w:ascii="Tahoma" w:hAnsi="Tahoma" w:cs="Tahoma"/>
        </w:rPr>
      </w:pPr>
      <w:bookmarkStart w:id="3" w:name="_Hlk82511329"/>
      <w:r w:rsidRPr="006808FE">
        <w:rPr>
          <w:rFonts w:ascii="Tahoma" w:hAnsi="Tahoma" w:cs="Tahoma"/>
        </w:rPr>
        <w:t>Teniendo claro cuándo de manera genérica procede la acción constitucional, se hace necesario entrar a aclarar su procedencia para atacar decisiones judiciales; para ello, la jurisprudencia ha establecido una serie de requisitos conocidos como causales de procedibilidad especiales</w:t>
      </w:r>
      <w:bookmarkEnd w:id="3"/>
      <w:r w:rsidRPr="006808FE">
        <w:rPr>
          <w:rFonts w:ascii="Tahoma" w:hAnsi="Tahoma" w:cs="Tahoma"/>
        </w:rPr>
        <w:t xml:space="preserve">, los cuales constituyen un condicionamiento para poder proceder con el estudio de fondo que se pretende en esta acción: </w:t>
      </w:r>
    </w:p>
    <w:p w14:paraId="5FC2BC25" w14:textId="77777777" w:rsidR="005D32D2" w:rsidRPr="006808FE" w:rsidRDefault="005D32D2" w:rsidP="006808FE">
      <w:pPr>
        <w:tabs>
          <w:tab w:val="left" w:pos="9101"/>
        </w:tabs>
        <w:spacing w:line="276" w:lineRule="auto"/>
        <w:jc w:val="both"/>
        <w:rPr>
          <w:rFonts w:ascii="Tahoma" w:hAnsi="Tahoma" w:cs="Tahoma"/>
        </w:rPr>
      </w:pPr>
    </w:p>
    <w:p w14:paraId="4CB8CE94" w14:textId="77777777" w:rsidR="005D32D2" w:rsidRPr="005B141E" w:rsidRDefault="005D32D2" w:rsidP="005B141E">
      <w:pPr>
        <w:tabs>
          <w:tab w:val="left" w:pos="9101"/>
        </w:tabs>
        <w:ind w:left="426" w:right="418"/>
        <w:jc w:val="both"/>
        <w:rPr>
          <w:rFonts w:ascii="Tahoma" w:hAnsi="Tahoma" w:cs="Tahoma"/>
          <w:i/>
          <w:iCs/>
          <w:sz w:val="22"/>
          <w:lang w:val="es-ES"/>
        </w:rPr>
      </w:pPr>
      <w:r w:rsidRPr="005B141E">
        <w:rPr>
          <w:rFonts w:ascii="Tahoma" w:hAnsi="Tahoma" w:cs="Tahoma"/>
          <w:i/>
          <w:sz w:val="22"/>
          <w:lang w:val="es-ES"/>
        </w:rPr>
        <w:t xml:space="preserve">“(…) </w:t>
      </w:r>
      <w:r w:rsidRPr="005B141E">
        <w:rPr>
          <w:rFonts w:ascii="Tahoma" w:hAnsi="Tahoma" w:cs="Tahoma"/>
          <w:i/>
          <w:iCs/>
          <w:sz w:val="22"/>
          <w:lang w:val="es-ES"/>
        </w:rPr>
        <w:t>todo pronunciamiento de fondo por parte del juez de tutela respecto de la eventual afectación de los derechos fundamentales con ocasión de la actividad jurisdiccional (afectación de derechos fundamentales por providencias judiciales) es constitucionalmente admisible, solamente, cuando el juez haya determinado de manera previa la configuración de una de las causales de procedibilidad; es decir, una vez haya constatado la existencia de alguno de los seis eventos suficientemente reconocidos por la jurisprudencia:</w:t>
      </w:r>
      <w:r w:rsidRPr="005B141E">
        <w:rPr>
          <w:rFonts w:ascii="Tahoma" w:hAnsi="Tahoma" w:cs="Tahoma"/>
          <w:b/>
          <w:bCs/>
          <w:i/>
          <w:iCs/>
          <w:sz w:val="22"/>
          <w:lang w:val="es-ES"/>
        </w:rPr>
        <w:t xml:space="preserve"> </w:t>
      </w:r>
      <w:r w:rsidRPr="005B141E">
        <w:rPr>
          <w:rFonts w:ascii="Tahoma" w:hAnsi="Tahoma" w:cs="Tahoma"/>
          <w:bCs/>
          <w:i/>
          <w:iCs/>
          <w:sz w:val="22"/>
          <w:lang w:val="es-ES"/>
        </w:rPr>
        <w:t>(i)</w:t>
      </w:r>
      <w:r w:rsidRPr="005B141E">
        <w:rPr>
          <w:rFonts w:ascii="Tahoma" w:hAnsi="Tahoma" w:cs="Tahoma"/>
          <w:i/>
          <w:iCs/>
          <w:sz w:val="22"/>
          <w:lang w:val="es-ES"/>
        </w:rPr>
        <w:t xml:space="preserve"> defecto sustantivo, orgánico o procedimental;</w:t>
      </w:r>
      <w:r w:rsidRPr="005B141E">
        <w:rPr>
          <w:rFonts w:ascii="Tahoma" w:hAnsi="Tahoma" w:cs="Tahoma"/>
          <w:bCs/>
          <w:i/>
          <w:iCs/>
          <w:sz w:val="22"/>
          <w:lang w:val="es-ES"/>
        </w:rPr>
        <w:t xml:space="preserve"> (ii)</w:t>
      </w:r>
      <w:r w:rsidRPr="005B141E">
        <w:rPr>
          <w:rFonts w:ascii="Tahoma" w:hAnsi="Tahoma" w:cs="Tahoma"/>
          <w:i/>
          <w:iCs/>
          <w:sz w:val="22"/>
          <w:lang w:val="es-ES"/>
        </w:rPr>
        <w:t xml:space="preserve"> defecto fáctico; </w:t>
      </w:r>
      <w:r w:rsidRPr="005B141E">
        <w:rPr>
          <w:rFonts w:ascii="Tahoma" w:hAnsi="Tahoma" w:cs="Tahoma"/>
          <w:bCs/>
          <w:i/>
          <w:iCs/>
          <w:sz w:val="22"/>
          <w:lang w:val="es-ES"/>
        </w:rPr>
        <w:t>(iii)</w:t>
      </w:r>
      <w:r w:rsidRPr="005B141E">
        <w:rPr>
          <w:rFonts w:ascii="Tahoma" w:hAnsi="Tahoma" w:cs="Tahoma"/>
          <w:i/>
          <w:iCs/>
          <w:sz w:val="22"/>
          <w:lang w:val="es-ES"/>
        </w:rPr>
        <w:t xml:space="preserve"> error inducido; </w:t>
      </w:r>
      <w:r w:rsidRPr="005B141E">
        <w:rPr>
          <w:rFonts w:ascii="Tahoma" w:hAnsi="Tahoma" w:cs="Tahoma"/>
          <w:bCs/>
          <w:i/>
          <w:iCs/>
          <w:sz w:val="22"/>
          <w:lang w:val="es-ES"/>
        </w:rPr>
        <w:t>(iv)</w:t>
      </w:r>
      <w:r w:rsidRPr="005B141E">
        <w:rPr>
          <w:rFonts w:ascii="Tahoma" w:hAnsi="Tahoma" w:cs="Tahoma"/>
          <w:i/>
          <w:iCs/>
          <w:sz w:val="22"/>
          <w:lang w:val="es-ES"/>
        </w:rPr>
        <w:t xml:space="preserve"> decisión sin motivación, </w:t>
      </w:r>
      <w:r w:rsidRPr="005B141E">
        <w:rPr>
          <w:rFonts w:ascii="Tahoma" w:hAnsi="Tahoma" w:cs="Tahoma"/>
          <w:bCs/>
          <w:i/>
          <w:iCs/>
          <w:sz w:val="22"/>
          <w:lang w:val="es-ES"/>
        </w:rPr>
        <w:t>(v)</w:t>
      </w:r>
      <w:r w:rsidRPr="005B141E">
        <w:rPr>
          <w:rFonts w:ascii="Tahoma" w:hAnsi="Tahoma" w:cs="Tahoma"/>
          <w:i/>
          <w:iCs/>
          <w:sz w:val="22"/>
          <w:lang w:val="es-ES"/>
        </w:rPr>
        <w:t xml:space="preserve"> desconocimiento del precedente y </w:t>
      </w:r>
      <w:r w:rsidRPr="005B141E">
        <w:rPr>
          <w:rFonts w:ascii="Tahoma" w:hAnsi="Tahoma" w:cs="Tahoma"/>
          <w:bCs/>
          <w:i/>
          <w:iCs/>
          <w:sz w:val="22"/>
          <w:lang w:val="es-ES"/>
        </w:rPr>
        <w:t>(vi)</w:t>
      </w:r>
      <w:r w:rsidRPr="005B141E">
        <w:rPr>
          <w:rFonts w:ascii="Tahoma" w:hAnsi="Tahoma" w:cs="Tahoma"/>
          <w:i/>
          <w:iCs/>
          <w:sz w:val="22"/>
          <w:lang w:val="es-ES"/>
        </w:rPr>
        <w:t xml:space="preserve"> violación directa de la Constitución.”</w:t>
      </w:r>
      <w:r w:rsidRPr="005B141E">
        <w:rPr>
          <w:rFonts w:ascii="Tahoma" w:hAnsi="Tahoma" w:cs="Tahoma"/>
          <w:i/>
          <w:sz w:val="22"/>
          <w:lang w:val="es-ES"/>
        </w:rPr>
        <w:t xml:space="preserve"> </w:t>
      </w:r>
    </w:p>
    <w:p w14:paraId="68D9D642" w14:textId="77777777" w:rsidR="005D32D2" w:rsidRPr="005B141E" w:rsidRDefault="005D32D2" w:rsidP="005B141E">
      <w:pPr>
        <w:tabs>
          <w:tab w:val="left" w:pos="9101"/>
        </w:tabs>
        <w:ind w:left="426" w:right="418"/>
        <w:jc w:val="both"/>
        <w:rPr>
          <w:rFonts w:ascii="Tahoma" w:hAnsi="Tahoma" w:cs="Tahoma"/>
          <w:i/>
          <w:sz w:val="22"/>
          <w:lang w:val="es-ES"/>
        </w:rPr>
      </w:pPr>
    </w:p>
    <w:p w14:paraId="07FDA1A8" w14:textId="77777777" w:rsidR="005D32D2" w:rsidRPr="005B141E" w:rsidRDefault="005D32D2" w:rsidP="005B141E">
      <w:pPr>
        <w:tabs>
          <w:tab w:val="left" w:pos="9101"/>
        </w:tabs>
        <w:ind w:left="426" w:right="418"/>
        <w:jc w:val="both"/>
        <w:rPr>
          <w:rFonts w:ascii="Tahoma" w:hAnsi="Tahoma" w:cs="Tahoma"/>
          <w:i/>
          <w:sz w:val="22"/>
        </w:rPr>
      </w:pPr>
      <w:r w:rsidRPr="005B141E">
        <w:rPr>
          <w:rFonts w:ascii="Tahoma" w:hAnsi="Tahoma" w:cs="Tahoma"/>
          <w:i/>
          <w:sz w:val="22"/>
          <w:lang w:val="es-ES"/>
        </w:rPr>
        <w:t xml:space="preserve">Con todo, y aun cuando la acción de tutela puede servir como mecanismo judicial excepcional para enderezar las actuaciones judiciales equivocadas, es necesario que las causales específicas de procedibilidad que se hubieren alegado en cada caso, se aprecien de manera que permita que la presunta juridicidad del pronunciamiento judicial objeto de cuestionamiento, sea fácilmente </w:t>
      </w:r>
      <w:proofErr w:type="spellStart"/>
      <w:r w:rsidRPr="005B141E">
        <w:rPr>
          <w:rFonts w:ascii="Tahoma" w:hAnsi="Tahoma" w:cs="Tahoma"/>
          <w:i/>
          <w:sz w:val="22"/>
          <w:lang w:val="es-ES"/>
        </w:rPr>
        <w:t>desvirtuable</w:t>
      </w:r>
      <w:proofErr w:type="spellEnd"/>
      <w:r w:rsidRPr="005B141E">
        <w:rPr>
          <w:rFonts w:ascii="Tahoma" w:hAnsi="Tahoma" w:cs="Tahoma"/>
          <w:i/>
          <w:sz w:val="22"/>
          <w:lang w:val="es-ES"/>
        </w:rPr>
        <w:t>. Así, puede concluirse que no toda irregularidad procesal o diferencia interpretativa configura una vía de hecho.”</w:t>
      </w:r>
      <w:r w:rsidRPr="005B141E">
        <w:rPr>
          <w:rFonts w:ascii="Tahoma" w:hAnsi="Tahoma" w:cs="Tahoma"/>
          <w:i/>
          <w:sz w:val="22"/>
          <w:vertAlign w:val="superscript"/>
          <w:lang w:val="es-ES"/>
        </w:rPr>
        <w:footnoteReference w:id="1"/>
      </w:r>
      <w:r w:rsidRPr="005B141E">
        <w:rPr>
          <w:rFonts w:ascii="Tahoma" w:hAnsi="Tahoma" w:cs="Tahoma"/>
          <w:i/>
          <w:sz w:val="22"/>
        </w:rPr>
        <w:t xml:space="preserve"> </w:t>
      </w:r>
    </w:p>
    <w:p w14:paraId="282F714A" w14:textId="77777777" w:rsidR="007B2D82" w:rsidRPr="006808FE" w:rsidRDefault="007B2D82" w:rsidP="006808FE">
      <w:pPr>
        <w:tabs>
          <w:tab w:val="left" w:pos="9101"/>
        </w:tabs>
        <w:spacing w:line="276" w:lineRule="auto"/>
        <w:jc w:val="both"/>
        <w:rPr>
          <w:rFonts w:ascii="Tahoma" w:hAnsi="Tahoma" w:cs="Tahoma"/>
        </w:rPr>
      </w:pPr>
    </w:p>
    <w:p w14:paraId="3F19F3C2" w14:textId="37575488" w:rsidR="00A712A4" w:rsidRPr="006808FE" w:rsidRDefault="00A712A4" w:rsidP="006808FE">
      <w:pPr>
        <w:spacing w:line="276" w:lineRule="auto"/>
        <w:jc w:val="both"/>
        <w:rPr>
          <w:rFonts w:ascii="Tahoma" w:hAnsi="Tahoma" w:cs="Tahoma"/>
        </w:rPr>
      </w:pPr>
      <w:r w:rsidRPr="006808FE">
        <w:rPr>
          <w:rFonts w:ascii="Tahoma" w:hAnsi="Tahoma" w:cs="Tahoma"/>
        </w:rPr>
        <w:lastRenderedPageBreak/>
        <w:t xml:space="preserve">En el caso que ocupa la atención de la Sala, </w:t>
      </w:r>
      <w:r w:rsidR="005D32D2" w:rsidRPr="006808FE">
        <w:rPr>
          <w:rFonts w:ascii="Tahoma" w:hAnsi="Tahoma" w:cs="Tahoma"/>
        </w:rPr>
        <w:t>la</w:t>
      </w:r>
      <w:r w:rsidRPr="006808FE">
        <w:rPr>
          <w:rFonts w:ascii="Tahoma" w:hAnsi="Tahoma" w:cs="Tahoma"/>
        </w:rPr>
        <w:t xml:space="preserve"> </w:t>
      </w:r>
      <w:r w:rsidR="00BC0BC1" w:rsidRPr="006808FE">
        <w:rPr>
          <w:rFonts w:ascii="Tahoma" w:hAnsi="Tahoma" w:cs="Tahoma"/>
        </w:rPr>
        <w:t xml:space="preserve">parte </w:t>
      </w:r>
      <w:r w:rsidRPr="006808FE">
        <w:rPr>
          <w:rFonts w:ascii="Tahoma" w:hAnsi="Tahoma" w:cs="Tahoma"/>
        </w:rPr>
        <w:t xml:space="preserve">accionante </w:t>
      </w:r>
      <w:r w:rsidR="005D32D2" w:rsidRPr="006808FE">
        <w:rPr>
          <w:rFonts w:ascii="Tahoma" w:hAnsi="Tahoma" w:cs="Tahoma"/>
        </w:rPr>
        <w:t>invoc</w:t>
      </w:r>
      <w:r w:rsidR="00BC543D" w:rsidRPr="006808FE">
        <w:rPr>
          <w:rFonts w:ascii="Tahoma" w:hAnsi="Tahoma" w:cs="Tahoma"/>
        </w:rPr>
        <w:t xml:space="preserve">ó </w:t>
      </w:r>
      <w:r w:rsidR="00BC0BC1" w:rsidRPr="006808FE">
        <w:rPr>
          <w:rFonts w:ascii="Tahoma" w:hAnsi="Tahoma" w:cs="Tahoma"/>
        </w:rPr>
        <w:t>los</w:t>
      </w:r>
      <w:r w:rsidR="00BC543D" w:rsidRPr="006808FE">
        <w:rPr>
          <w:rFonts w:ascii="Tahoma" w:hAnsi="Tahoma" w:cs="Tahoma"/>
        </w:rPr>
        <w:t xml:space="preserve"> carg</w:t>
      </w:r>
      <w:r w:rsidR="005D32D2" w:rsidRPr="006808FE">
        <w:rPr>
          <w:rFonts w:ascii="Tahoma" w:hAnsi="Tahoma" w:cs="Tahoma"/>
        </w:rPr>
        <w:t>o</w:t>
      </w:r>
      <w:r w:rsidR="00BC0BC1" w:rsidRPr="006808FE">
        <w:rPr>
          <w:rFonts w:ascii="Tahoma" w:hAnsi="Tahoma" w:cs="Tahoma"/>
        </w:rPr>
        <w:t>s</w:t>
      </w:r>
      <w:r w:rsidR="005D32D2" w:rsidRPr="006808FE">
        <w:rPr>
          <w:rFonts w:ascii="Tahoma" w:hAnsi="Tahoma" w:cs="Tahoma"/>
        </w:rPr>
        <w:t xml:space="preserve"> de</w:t>
      </w:r>
      <w:r w:rsidR="00BC0BC1" w:rsidRPr="006808FE">
        <w:rPr>
          <w:rFonts w:ascii="Tahoma" w:hAnsi="Tahoma" w:cs="Tahoma"/>
        </w:rPr>
        <w:t xml:space="preserve"> desconocimiento del precedente</w:t>
      </w:r>
      <w:r w:rsidR="00912467" w:rsidRPr="006808FE">
        <w:rPr>
          <w:rStyle w:val="Refdenotaalpie"/>
          <w:rFonts w:ascii="Tahoma" w:hAnsi="Tahoma" w:cs="Tahoma"/>
        </w:rPr>
        <w:footnoteReference w:id="2"/>
      </w:r>
      <w:r w:rsidR="00912467" w:rsidRPr="006808FE">
        <w:rPr>
          <w:rFonts w:ascii="Tahoma" w:hAnsi="Tahoma" w:cs="Tahoma"/>
          <w:lang w:eastAsia="es-CO"/>
        </w:rPr>
        <w:t xml:space="preserve"> </w:t>
      </w:r>
      <w:r w:rsidR="00BC0BC1" w:rsidRPr="006808FE">
        <w:rPr>
          <w:rFonts w:ascii="Tahoma" w:hAnsi="Tahoma" w:cs="Tahoma"/>
        </w:rPr>
        <w:t>y defecto sustantivo</w:t>
      </w:r>
      <w:r w:rsidR="00912467" w:rsidRPr="006808FE">
        <w:rPr>
          <w:rStyle w:val="Refdenotaalpie"/>
          <w:rFonts w:ascii="Tahoma" w:hAnsi="Tahoma" w:cs="Tahoma"/>
        </w:rPr>
        <w:footnoteReference w:id="3"/>
      </w:r>
      <w:r w:rsidR="00BC0BC1" w:rsidRPr="006808FE">
        <w:rPr>
          <w:rFonts w:ascii="Tahoma" w:hAnsi="Tahoma" w:cs="Tahoma"/>
        </w:rPr>
        <w:t>.</w:t>
      </w:r>
      <w:r w:rsidR="00BC543D" w:rsidRPr="006808FE">
        <w:rPr>
          <w:rFonts w:ascii="Tahoma" w:hAnsi="Tahoma" w:cs="Tahoma"/>
        </w:rPr>
        <w:t xml:space="preserve">  </w:t>
      </w:r>
    </w:p>
    <w:p w14:paraId="61A92514" w14:textId="77777777" w:rsidR="00912467" w:rsidRPr="006808FE" w:rsidRDefault="00912467" w:rsidP="006808FE">
      <w:pPr>
        <w:spacing w:line="276" w:lineRule="auto"/>
        <w:rPr>
          <w:rFonts w:ascii="Tahoma" w:hAnsi="Tahoma" w:cs="Tahoma"/>
        </w:rPr>
      </w:pPr>
    </w:p>
    <w:p w14:paraId="310054AC" w14:textId="77777777" w:rsidR="00912467" w:rsidRPr="006808FE" w:rsidRDefault="00912467" w:rsidP="006808FE">
      <w:pPr>
        <w:spacing w:line="276" w:lineRule="auto"/>
        <w:jc w:val="both"/>
        <w:rPr>
          <w:rFonts w:ascii="Tahoma" w:hAnsi="Tahoma" w:cs="Tahoma"/>
        </w:rPr>
      </w:pPr>
      <w:r w:rsidRPr="006808FE">
        <w:rPr>
          <w:rFonts w:ascii="Tahoma" w:hAnsi="Tahoma" w:cs="Tahoma"/>
        </w:rPr>
        <w:t xml:space="preserve">Partiendo de lo anterior, y para determinar si nos encontramos ante alguna de las causales mencionadas en precedencia, debe aclararse en primer lugar que el análisis que debe llevar a cabo el Juez de Ejecución de Penas y Medidas de Seguridad, para establecer si un condenado puede o no ser favorecido con el subrogado de la libertad condicional, está reglamentado por el artículo 64 del Código Penal, modificado por la Ley 1709 de 2014, según el cual: </w:t>
      </w:r>
    </w:p>
    <w:p w14:paraId="74BD0D3E" w14:textId="77777777" w:rsidR="00912467" w:rsidRPr="006808FE" w:rsidRDefault="00912467" w:rsidP="006808FE">
      <w:pPr>
        <w:spacing w:line="276" w:lineRule="auto"/>
        <w:jc w:val="both"/>
        <w:rPr>
          <w:rFonts w:ascii="Tahoma" w:hAnsi="Tahoma" w:cs="Tahoma"/>
          <w:color w:val="000000"/>
        </w:rPr>
      </w:pPr>
    </w:p>
    <w:p w14:paraId="13B1FDA9" w14:textId="77777777" w:rsidR="00912467" w:rsidRPr="005B141E" w:rsidRDefault="00912467" w:rsidP="005B141E">
      <w:pPr>
        <w:pStyle w:val="NormalWeb"/>
        <w:spacing w:before="0" w:beforeAutospacing="0" w:after="0" w:afterAutospacing="0"/>
        <w:ind w:left="426" w:right="418"/>
        <w:jc w:val="both"/>
        <w:rPr>
          <w:rFonts w:ascii="Tahoma" w:hAnsi="Tahoma" w:cs="Tahoma"/>
          <w:i/>
          <w:sz w:val="22"/>
        </w:rPr>
      </w:pPr>
      <w:r w:rsidRPr="005B141E">
        <w:rPr>
          <w:rFonts w:ascii="Tahoma" w:hAnsi="Tahoma" w:cs="Tahoma"/>
          <w:bCs/>
          <w:i/>
          <w:sz w:val="22"/>
        </w:rPr>
        <w:t>“</w:t>
      </w:r>
      <w:r w:rsidRPr="005B141E">
        <w:rPr>
          <w:rFonts w:ascii="Tahoma" w:hAnsi="Tahoma" w:cs="Tahoma"/>
          <w:i/>
          <w:sz w:val="22"/>
        </w:rPr>
        <w:t>El juez, </w:t>
      </w:r>
      <w:r w:rsidRPr="005B141E">
        <w:rPr>
          <w:rFonts w:ascii="Tahoma" w:hAnsi="Tahoma" w:cs="Tahoma"/>
          <w:b/>
          <w:i/>
          <w:sz w:val="22"/>
          <w:u w:val="single"/>
        </w:rPr>
        <w:t>previa valoración de la conducta punible</w:t>
      </w:r>
      <w:r w:rsidRPr="005B141E">
        <w:rPr>
          <w:rFonts w:ascii="Tahoma" w:hAnsi="Tahoma" w:cs="Tahoma"/>
          <w:i/>
          <w:sz w:val="22"/>
        </w:rPr>
        <w:t>, concederá la libertad condicional a la persona condenada a pena privativa de la libertad cuando haya cumplido con los siguientes requisitos:</w:t>
      </w:r>
    </w:p>
    <w:p w14:paraId="2E5CF2DE" w14:textId="77777777" w:rsidR="00912467" w:rsidRPr="005B141E" w:rsidRDefault="00912467" w:rsidP="005B141E">
      <w:pPr>
        <w:pStyle w:val="NormalWeb"/>
        <w:spacing w:before="0" w:beforeAutospacing="0" w:after="0" w:afterAutospacing="0"/>
        <w:ind w:left="426" w:right="418"/>
        <w:jc w:val="both"/>
        <w:rPr>
          <w:rFonts w:ascii="Tahoma" w:hAnsi="Tahoma" w:cs="Tahoma"/>
          <w:i/>
          <w:sz w:val="22"/>
        </w:rPr>
      </w:pPr>
    </w:p>
    <w:p w14:paraId="3EDE0A83" w14:textId="77777777" w:rsidR="00912467" w:rsidRPr="005B141E" w:rsidRDefault="00912467" w:rsidP="005B141E">
      <w:pPr>
        <w:pStyle w:val="NormalWeb"/>
        <w:spacing w:before="0" w:beforeAutospacing="0" w:after="0" w:afterAutospacing="0"/>
        <w:ind w:left="426" w:right="418"/>
        <w:jc w:val="both"/>
        <w:rPr>
          <w:rFonts w:ascii="Tahoma" w:hAnsi="Tahoma" w:cs="Tahoma"/>
          <w:i/>
          <w:sz w:val="22"/>
        </w:rPr>
      </w:pPr>
      <w:r w:rsidRPr="005B141E">
        <w:rPr>
          <w:rFonts w:ascii="Tahoma" w:hAnsi="Tahoma" w:cs="Tahoma"/>
          <w:i/>
          <w:sz w:val="22"/>
        </w:rPr>
        <w:t>1. Que la persona haya cumplido las tres quintas (3/5) partes de la pena.</w:t>
      </w:r>
    </w:p>
    <w:p w14:paraId="67461197" w14:textId="77777777" w:rsidR="00912467" w:rsidRPr="005B141E" w:rsidRDefault="00912467" w:rsidP="005B141E">
      <w:pPr>
        <w:pStyle w:val="NormalWeb"/>
        <w:spacing w:before="0" w:beforeAutospacing="0" w:after="0" w:afterAutospacing="0"/>
        <w:ind w:left="426" w:right="418"/>
        <w:jc w:val="both"/>
        <w:rPr>
          <w:rFonts w:ascii="Tahoma" w:hAnsi="Tahoma" w:cs="Tahoma"/>
          <w:i/>
          <w:sz w:val="22"/>
        </w:rPr>
      </w:pPr>
    </w:p>
    <w:p w14:paraId="061DAB12" w14:textId="77777777" w:rsidR="00912467" w:rsidRPr="005B141E" w:rsidRDefault="00912467" w:rsidP="005B141E">
      <w:pPr>
        <w:pStyle w:val="NormalWeb"/>
        <w:spacing w:before="0" w:beforeAutospacing="0" w:after="0" w:afterAutospacing="0"/>
        <w:ind w:left="426" w:right="418"/>
        <w:jc w:val="both"/>
        <w:rPr>
          <w:rFonts w:ascii="Tahoma" w:hAnsi="Tahoma" w:cs="Tahoma"/>
          <w:i/>
          <w:sz w:val="22"/>
        </w:rPr>
      </w:pPr>
      <w:r w:rsidRPr="005B141E">
        <w:rPr>
          <w:rFonts w:ascii="Tahoma" w:hAnsi="Tahoma" w:cs="Tahoma"/>
          <w:i/>
          <w:sz w:val="22"/>
        </w:rPr>
        <w:t>2. Que su adecuado desempeño y comportamiento durante el tratamiento penitenciario en el centro de reclusión permita suponer fundadamente que no existe necesidad de continuar la ejecución de la pena.</w:t>
      </w:r>
    </w:p>
    <w:p w14:paraId="3B388384" w14:textId="77777777" w:rsidR="00912467" w:rsidRPr="005B141E" w:rsidRDefault="00912467" w:rsidP="005B141E">
      <w:pPr>
        <w:pStyle w:val="NormalWeb"/>
        <w:spacing w:before="0" w:beforeAutospacing="0" w:after="0" w:afterAutospacing="0"/>
        <w:ind w:left="426" w:right="418"/>
        <w:jc w:val="both"/>
        <w:rPr>
          <w:rFonts w:ascii="Tahoma" w:hAnsi="Tahoma" w:cs="Tahoma"/>
          <w:i/>
          <w:sz w:val="22"/>
        </w:rPr>
      </w:pPr>
    </w:p>
    <w:p w14:paraId="021A3EB7" w14:textId="77777777" w:rsidR="00912467" w:rsidRPr="005B141E" w:rsidRDefault="00912467" w:rsidP="005B141E">
      <w:pPr>
        <w:pStyle w:val="NormalWeb"/>
        <w:spacing w:before="0" w:beforeAutospacing="0" w:after="0" w:afterAutospacing="0"/>
        <w:ind w:left="426" w:right="418"/>
        <w:jc w:val="both"/>
        <w:rPr>
          <w:rFonts w:ascii="Tahoma" w:hAnsi="Tahoma" w:cs="Tahoma"/>
          <w:i/>
          <w:sz w:val="22"/>
        </w:rPr>
      </w:pPr>
      <w:r w:rsidRPr="005B141E">
        <w:rPr>
          <w:rFonts w:ascii="Tahoma" w:hAnsi="Tahoma" w:cs="Tahoma"/>
          <w:i/>
          <w:sz w:val="22"/>
        </w:rPr>
        <w:t>3. Que demuestre arraigo familiar y social. (…)”</w:t>
      </w:r>
    </w:p>
    <w:p w14:paraId="43E4AB34" w14:textId="77777777" w:rsidR="00912467" w:rsidRPr="006808FE" w:rsidRDefault="00912467" w:rsidP="006808FE">
      <w:pPr>
        <w:spacing w:line="276" w:lineRule="auto"/>
        <w:jc w:val="both"/>
        <w:rPr>
          <w:rFonts w:ascii="Tahoma" w:hAnsi="Tahoma" w:cs="Tahoma"/>
          <w:color w:val="000000"/>
        </w:rPr>
      </w:pPr>
    </w:p>
    <w:p w14:paraId="3688B0A0" w14:textId="364DBABA" w:rsidR="00912467" w:rsidRPr="006808FE" w:rsidRDefault="00912467" w:rsidP="006808FE">
      <w:pPr>
        <w:spacing w:line="276" w:lineRule="auto"/>
        <w:jc w:val="both"/>
        <w:rPr>
          <w:rFonts w:ascii="Tahoma" w:hAnsi="Tahoma" w:cs="Tahoma"/>
        </w:rPr>
      </w:pPr>
      <w:r w:rsidRPr="006808FE">
        <w:rPr>
          <w:rFonts w:ascii="Tahoma" w:hAnsi="Tahoma" w:cs="Tahoma"/>
        </w:rPr>
        <w:t xml:space="preserve">De allí se desprende que los mencionados requisitos no son excluyentes, sino que por el contrario deben concurrir cada uno de ellos para poder hacerse merecedor del beneficio de marras. Por otra parte, en lo que al análisis de la “gravedad de la conducta” concierne, es menester aclarar que el citado artículo 64 ha sufrido diversas modificaciones, entre ellas, la que trajo consigo la Ley 890 de 2004, siendo objeto de una demanda de inconstitucionalidad resuelta por la Corte Constitucional mediante Sentencia </w:t>
      </w:r>
      <w:r w:rsidRPr="006808FE">
        <w:rPr>
          <w:rFonts w:ascii="Tahoma" w:hAnsi="Tahoma" w:cs="Tahoma"/>
          <w:lang w:val="es-MX"/>
        </w:rPr>
        <w:t>C-194 de 2005</w:t>
      </w:r>
      <w:r w:rsidRPr="006808FE">
        <w:rPr>
          <w:rFonts w:ascii="Tahoma" w:hAnsi="Tahoma" w:cs="Tahoma"/>
        </w:rPr>
        <w:t xml:space="preserve">; en aquella oportunidad el Alto Tribunal declaró la exequibilidad condicional de ese artículo, disponiendo en la parte resolutiva de aquel proveído:  </w:t>
      </w:r>
    </w:p>
    <w:p w14:paraId="34ECC696" w14:textId="77777777" w:rsidR="00912467" w:rsidRPr="006808FE" w:rsidRDefault="00912467" w:rsidP="006808FE">
      <w:pPr>
        <w:spacing w:line="276" w:lineRule="auto"/>
        <w:jc w:val="both"/>
        <w:rPr>
          <w:rFonts w:ascii="Tahoma" w:hAnsi="Tahoma" w:cs="Tahoma"/>
        </w:rPr>
      </w:pPr>
    </w:p>
    <w:p w14:paraId="7A8B47DF" w14:textId="5DC90C75" w:rsidR="00912467" w:rsidRPr="005B141E" w:rsidRDefault="00912467" w:rsidP="005B141E">
      <w:pPr>
        <w:pStyle w:val="NormalWeb"/>
        <w:spacing w:before="0" w:beforeAutospacing="0" w:after="0" w:afterAutospacing="0"/>
        <w:ind w:left="426" w:right="418"/>
        <w:jc w:val="both"/>
        <w:rPr>
          <w:rFonts w:ascii="Tahoma" w:hAnsi="Tahoma" w:cs="Tahoma"/>
          <w:bCs/>
          <w:i/>
          <w:sz w:val="22"/>
        </w:rPr>
      </w:pPr>
      <w:r w:rsidRPr="005B141E">
        <w:rPr>
          <w:rFonts w:ascii="Tahoma" w:hAnsi="Tahoma" w:cs="Tahoma"/>
          <w:bCs/>
          <w:i/>
          <w:sz w:val="22"/>
        </w:rPr>
        <w:t>“</w:t>
      </w:r>
      <w:r w:rsidR="005B141E" w:rsidRPr="005B141E">
        <w:rPr>
          <w:rFonts w:ascii="Tahoma" w:hAnsi="Tahoma" w:cs="Tahoma"/>
          <w:bCs/>
          <w:i/>
          <w:sz w:val="22"/>
        </w:rPr>
        <w:t>TERCERO. -</w:t>
      </w:r>
      <w:r w:rsidRPr="005B141E">
        <w:rPr>
          <w:rFonts w:ascii="Tahoma" w:hAnsi="Tahoma" w:cs="Tahoma"/>
          <w:bCs/>
          <w:i/>
          <w:sz w:val="22"/>
        </w:rPr>
        <w:t xml:space="preserve"> Por los cargos analizados en esta providencia, declarar EXEQUIBLE la expresión “previa valoración de la gravedad de la conducta punible” contenida en el artículo 5º de la Ley 890 de 2004, que modificó el artículo 64 del Código Penal, en el entendido de que dicha valoración deberá atenerse a los términos en que fue evaluada la gravedad de la conducta en la sentencia condenatoria por parte del juez de la causa.” </w:t>
      </w:r>
    </w:p>
    <w:p w14:paraId="4C513EFB" w14:textId="77777777" w:rsidR="00912467" w:rsidRPr="006808FE" w:rsidRDefault="00912467" w:rsidP="006808FE">
      <w:pPr>
        <w:spacing w:line="276" w:lineRule="auto"/>
        <w:jc w:val="both"/>
        <w:rPr>
          <w:rFonts w:ascii="Tahoma" w:hAnsi="Tahoma" w:cs="Tahoma"/>
        </w:rPr>
      </w:pPr>
    </w:p>
    <w:p w14:paraId="63E9FE85" w14:textId="77777777" w:rsidR="00912467" w:rsidRPr="006808FE" w:rsidRDefault="00912467" w:rsidP="006808FE">
      <w:pPr>
        <w:spacing w:line="276" w:lineRule="auto"/>
        <w:jc w:val="both"/>
        <w:rPr>
          <w:rFonts w:ascii="Tahoma" w:hAnsi="Tahoma" w:cs="Tahoma"/>
        </w:rPr>
      </w:pPr>
      <w:r w:rsidRPr="006808FE">
        <w:rPr>
          <w:rFonts w:ascii="Tahoma" w:hAnsi="Tahoma" w:cs="Tahoma"/>
        </w:rPr>
        <w:t xml:space="preserve">Como se puede ver, a través de dicho pronunciamiento se supeditó el análisis que debía efectuar el Juez de Ejecución de Penas y Medidas de Seguridad al momento de valorar la conducta del condenado que pretendiera la concesión de la libertad condicional, ciñéndose a lo contemplado en la sentencia condenatoria proferida por el Juez fallador. </w:t>
      </w:r>
    </w:p>
    <w:p w14:paraId="22D61E44" w14:textId="77777777" w:rsidR="00912467" w:rsidRPr="006808FE" w:rsidRDefault="00912467" w:rsidP="006808FE">
      <w:pPr>
        <w:spacing w:line="276" w:lineRule="auto"/>
        <w:jc w:val="both"/>
        <w:rPr>
          <w:rFonts w:ascii="Tahoma" w:hAnsi="Tahoma" w:cs="Tahoma"/>
        </w:rPr>
      </w:pPr>
    </w:p>
    <w:p w14:paraId="0B53EA67" w14:textId="77777777" w:rsidR="00912467" w:rsidRPr="006808FE" w:rsidRDefault="00912467" w:rsidP="006808FE">
      <w:pPr>
        <w:spacing w:line="276" w:lineRule="auto"/>
        <w:jc w:val="both"/>
        <w:rPr>
          <w:rFonts w:ascii="Tahoma" w:hAnsi="Tahoma" w:cs="Tahoma"/>
          <w:lang w:val="es-MX"/>
        </w:rPr>
      </w:pPr>
      <w:r w:rsidRPr="006808FE">
        <w:rPr>
          <w:rFonts w:ascii="Tahoma" w:hAnsi="Tahoma" w:cs="Tahoma"/>
        </w:rPr>
        <w:t xml:space="preserve">En forma posterior se dispuso por parte del legislador una nueva modificación a la norma que nos concita, esta vez a través del </w:t>
      </w:r>
      <w:r w:rsidRPr="006808FE">
        <w:rPr>
          <w:rFonts w:ascii="Tahoma" w:hAnsi="Tahoma" w:cs="Tahoma"/>
          <w:lang w:val="es-MX"/>
        </w:rPr>
        <w:t xml:space="preserve">artículo 30 de la Ley 1709 de 2014, que igualmente fue objeto de estudio por parte del Órgano de Cierre Constitucional a través de la Sentencia C-757 de 2014, en esta última oportunidad la Corte Constitucional cuestionó que a pesar de haberse efectuado un pronunciamiento previo por parte de ese Órgano, acerca del condicionamiento a la exequibilidad del artículo 5º de la Ley 890 de 2004, el legislador no hubiera contemplado esos lineamientos en la nueva reforma; </w:t>
      </w:r>
      <w:r w:rsidRPr="006808FE">
        <w:rPr>
          <w:rFonts w:ascii="Tahoma" w:hAnsi="Tahoma" w:cs="Tahoma"/>
        </w:rPr>
        <w:t>así las cosas, la Corte se vio en la imperiosa necesidad de volverse a pronunciar sobre al asunto, manteniendo la postura que inicialmente había planteado, según la cual el Juez que estudie la solicitud de libertad condicional impetrada por el condenado, debe valorar la conducta delictual desde lo que haya sido contemplado por el fallador en su sentencia, así lo explicó en esta última oportunidad el Máximo Tribunal Constitucional a través de la Sentencia C-757 de 2014, insistiendo en lo ya dicho en la Sentencia C-194 de 2005</w:t>
      </w:r>
      <w:r w:rsidRPr="006808FE">
        <w:rPr>
          <w:rFonts w:ascii="Tahoma" w:hAnsi="Tahoma" w:cs="Tahoma"/>
          <w:lang w:val="es-MX"/>
        </w:rPr>
        <w:t xml:space="preserve">, pero en todo caso puntualizó que: </w:t>
      </w:r>
      <w:r w:rsidRPr="006808FE">
        <w:rPr>
          <w:rFonts w:ascii="Tahoma" w:hAnsi="Tahoma" w:cs="Tahoma"/>
          <w:i/>
          <w:lang w:val="es-MX"/>
        </w:rPr>
        <w:t>“</w:t>
      </w:r>
      <w:r w:rsidRPr="00C67770">
        <w:rPr>
          <w:rFonts w:ascii="Tahoma" w:hAnsi="Tahoma" w:cs="Tahoma"/>
          <w:i/>
          <w:sz w:val="22"/>
          <w:lang w:val="es-MX"/>
        </w:rPr>
        <w:t>la facultad de los jueces de ejecución de penas para conceder la libertad condicional con fundamento en la gravedad de la conducta punible no vulnera el non bis in ídem ni los fines de resocialización y la prevención especial de la pena</w:t>
      </w:r>
      <w:r w:rsidRPr="006808FE">
        <w:rPr>
          <w:rFonts w:ascii="Tahoma" w:hAnsi="Tahoma" w:cs="Tahoma"/>
          <w:i/>
          <w:lang w:val="es-MX"/>
        </w:rPr>
        <w:t>.</w:t>
      </w:r>
      <w:r w:rsidRPr="006808FE">
        <w:rPr>
          <w:rFonts w:ascii="Tahoma" w:hAnsi="Tahoma" w:cs="Tahoma"/>
          <w:i/>
        </w:rPr>
        <w:t>”</w:t>
      </w:r>
    </w:p>
    <w:p w14:paraId="2D5420C6" w14:textId="77777777" w:rsidR="00912467" w:rsidRPr="006808FE" w:rsidRDefault="00912467" w:rsidP="006808FE">
      <w:pPr>
        <w:autoSpaceDE w:val="0"/>
        <w:autoSpaceDN w:val="0"/>
        <w:adjustRightInd w:val="0"/>
        <w:spacing w:line="276" w:lineRule="auto"/>
        <w:jc w:val="both"/>
        <w:rPr>
          <w:rFonts w:ascii="Tahoma" w:hAnsi="Tahoma" w:cs="Tahoma"/>
          <w:color w:val="000000"/>
          <w:lang w:val="es-ES_tradnl"/>
        </w:rPr>
      </w:pPr>
    </w:p>
    <w:p w14:paraId="0F7A1DFB" w14:textId="77777777" w:rsidR="00912467" w:rsidRPr="006808FE" w:rsidRDefault="00912467" w:rsidP="006808FE">
      <w:pPr>
        <w:autoSpaceDE w:val="0"/>
        <w:autoSpaceDN w:val="0"/>
        <w:adjustRightInd w:val="0"/>
        <w:spacing w:line="276" w:lineRule="auto"/>
        <w:jc w:val="both"/>
        <w:rPr>
          <w:rFonts w:ascii="Tahoma" w:hAnsi="Tahoma" w:cs="Tahoma"/>
          <w:lang w:val="es-ES_tradnl"/>
        </w:rPr>
      </w:pPr>
      <w:r w:rsidRPr="006808FE">
        <w:rPr>
          <w:rFonts w:ascii="Tahoma" w:hAnsi="Tahoma" w:cs="Tahoma"/>
          <w:lang w:val="es-ES_tradnl"/>
        </w:rPr>
        <w:t xml:space="preserve">A lo anterior, debe agregarse que </w:t>
      </w:r>
      <w:bookmarkStart w:id="4" w:name="_Hlk82511900"/>
      <w:r w:rsidRPr="006808FE">
        <w:rPr>
          <w:rFonts w:ascii="Tahoma" w:hAnsi="Tahoma" w:cs="Tahoma"/>
          <w:lang w:val="es-ES_tradnl"/>
        </w:rPr>
        <w:t>al momento de validar el cumplimiento de los requisitos para la concesión de subrogados penales, y específicamente en el que nos concita, el Juez que vigila la pena bajo ninguna circunstancia se encuentra exonerado de realizar dicho análisis, pues se insiste, el artículo 64 Penal le obliga a incluir en su estudio los parámetros relacionados con la gravedad de la conducta; y, desde ese punto de vista, no le queda al ejecutor una alternativa diferente que acudir a los aspectos consignados en la sentencia, que sirvieron de base para proferir una sentencia condenatoria</w:t>
      </w:r>
      <w:bookmarkEnd w:id="4"/>
      <w:r w:rsidRPr="006808FE">
        <w:rPr>
          <w:rFonts w:ascii="Tahoma" w:hAnsi="Tahoma" w:cs="Tahoma"/>
          <w:lang w:val="es-ES_tradnl"/>
        </w:rPr>
        <w:t xml:space="preserve">, y partir de allí para fundamentar su propio análisis. </w:t>
      </w:r>
    </w:p>
    <w:p w14:paraId="5ADCD5B0" w14:textId="77777777" w:rsidR="00912467" w:rsidRPr="006808FE" w:rsidRDefault="00912467" w:rsidP="006808FE">
      <w:pPr>
        <w:autoSpaceDE w:val="0"/>
        <w:autoSpaceDN w:val="0"/>
        <w:adjustRightInd w:val="0"/>
        <w:spacing w:line="276" w:lineRule="auto"/>
        <w:jc w:val="both"/>
        <w:rPr>
          <w:rFonts w:ascii="Tahoma" w:hAnsi="Tahoma" w:cs="Tahoma"/>
          <w:lang w:val="es-ES_tradnl"/>
        </w:rPr>
      </w:pPr>
    </w:p>
    <w:p w14:paraId="64FEA0EB" w14:textId="72347548" w:rsidR="001F533A" w:rsidRPr="006808FE" w:rsidRDefault="00912467" w:rsidP="006808FE">
      <w:pPr>
        <w:autoSpaceDE w:val="0"/>
        <w:autoSpaceDN w:val="0"/>
        <w:adjustRightInd w:val="0"/>
        <w:spacing w:line="276" w:lineRule="auto"/>
        <w:jc w:val="both"/>
        <w:rPr>
          <w:rFonts w:ascii="Tahoma" w:hAnsi="Tahoma" w:cs="Tahoma"/>
          <w:lang w:val="es-ES_tradnl"/>
        </w:rPr>
      </w:pPr>
      <w:r w:rsidRPr="006808FE">
        <w:rPr>
          <w:rFonts w:ascii="Tahoma" w:hAnsi="Tahoma" w:cs="Tahoma"/>
          <w:lang w:val="es-ES_tradnl"/>
        </w:rPr>
        <w:t xml:space="preserve">Al respecto, la Sala de Decisión de Tutelas de la Corte Suprema de Justicia, en la Sentencia </w:t>
      </w:r>
      <w:r w:rsidR="001F533A" w:rsidRPr="006808FE">
        <w:rPr>
          <w:rFonts w:ascii="Tahoma" w:hAnsi="Tahoma" w:cs="Tahoma"/>
          <w:lang w:val="es-ES_tradnl"/>
        </w:rPr>
        <w:t>STP4835-2021</w:t>
      </w:r>
      <w:r w:rsidRPr="006808FE">
        <w:rPr>
          <w:rFonts w:ascii="Tahoma" w:hAnsi="Tahoma" w:cs="Tahoma"/>
          <w:lang w:val="es-ES_tradnl"/>
        </w:rPr>
        <w:t xml:space="preserve"> </w:t>
      </w:r>
      <w:r w:rsidR="001F533A" w:rsidRPr="006808FE">
        <w:rPr>
          <w:rFonts w:ascii="Tahoma" w:hAnsi="Tahoma" w:cs="Tahoma"/>
          <w:lang w:val="es-ES_tradnl"/>
        </w:rPr>
        <w:t>del 4 de mayo de 2021</w:t>
      </w:r>
      <w:r w:rsidRPr="006808FE">
        <w:rPr>
          <w:rFonts w:ascii="Tahoma" w:hAnsi="Tahoma" w:cs="Tahoma"/>
          <w:lang w:val="es-ES_tradnl"/>
        </w:rPr>
        <w:t xml:space="preserve">, rad. </w:t>
      </w:r>
      <w:r w:rsidR="001F533A" w:rsidRPr="006808FE">
        <w:rPr>
          <w:rFonts w:ascii="Tahoma" w:hAnsi="Tahoma" w:cs="Tahoma"/>
          <w:lang w:val="es-ES_tradnl"/>
        </w:rPr>
        <w:t>115923</w:t>
      </w:r>
      <w:r w:rsidRPr="006808FE">
        <w:rPr>
          <w:rFonts w:ascii="Tahoma" w:hAnsi="Tahoma" w:cs="Tahoma"/>
          <w:lang w:val="es-ES_tradnl"/>
        </w:rPr>
        <w:t xml:space="preserve">, </w:t>
      </w:r>
      <w:r w:rsidR="001F533A" w:rsidRPr="006808FE">
        <w:rPr>
          <w:rFonts w:ascii="Tahoma" w:hAnsi="Tahoma" w:cs="Tahoma"/>
          <w:lang w:val="es-ES_tradnl"/>
        </w:rPr>
        <w:t xml:space="preserve">con ponencia del Magistrado </w:t>
      </w:r>
      <w:r w:rsidR="00974572" w:rsidRPr="006808FE">
        <w:rPr>
          <w:rFonts w:ascii="Tahoma" w:hAnsi="Tahoma" w:cs="Tahoma"/>
          <w:lang w:val="es-ES_tradnl"/>
        </w:rPr>
        <w:t>C</w:t>
      </w:r>
      <w:r w:rsidR="005351DA" w:rsidRPr="006808FE">
        <w:rPr>
          <w:rFonts w:ascii="Tahoma" w:hAnsi="Tahoma" w:cs="Tahoma"/>
          <w:lang w:val="es-ES_tradnl"/>
        </w:rPr>
        <w:t>arlos</w:t>
      </w:r>
      <w:r w:rsidR="001F533A" w:rsidRPr="006808FE">
        <w:rPr>
          <w:rFonts w:ascii="Tahoma" w:hAnsi="Tahoma" w:cs="Tahoma"/>
          <w:lang w:val="es-ES_tradnl"/>
        </w:rPr>
        <w:t xml:space="preserve"> Francisco Acuña Vizcaya, </w:t>
      </w:r>
      <w:r w:rsidRPr="006808FE">
        <w:rPr>
          <w:rFonts w:ascii="Tahoma" w:hAnsi="Tahoma" w:cs="Tahoma"/>
          <w:lang w:val="es-ES_tradnl"/>
        </w:rPr>
        <w:t xml:space="preserve">dijo: </w:t>
      </w:r>
    </w:p>
    <w:p w14:paraId="17704B5D" w14:textId="77777777" w:rsidR="00912467" w:rsidRPr="006808FE" w:rsidRDefault="00912467" w:rsidP="006808FE">
      <w:pPr>
        <w:autoSpaceDE w:val="0"/>
        <w:autoSpaceDN w:val="0"/>
        <w:adjustRightInd w:val="0"/>
        <w:spacing w:line="276" w:lineRule="auto"/>
        <w:jc w:val="both"/>
        <w:rPr>
          <w:rFonts w:ascii="Tahoma" w:hAnsi="Tahoma" w:cs="Tahoma"/>
          <w:lang w:val="es-ES_tradnl"/>
        </w:rPr>
      </w:pPr>
    </w:p>
    <w:p w14:paraId="4A07E927" w14:textId="77777777" w:rsidR="001F533A" w:rsidRPr="00C67770" w:rsidRDefault="00912467" w:rsidP="00C67770">
      <w:pPr>
        <w:ind w:left="426" w:right="454"/>
        <w:jc w:val="both"/>
        <w:rPr>
          <w:rFonts w:ascii="Tahoma" w:hAnsi="Tahoma" w:cs="Tahoma"/>
          <w:i/>
          <w:color w:val="000000"/>
          <w:sz w:val="22"/>
          <w:lang w:val="es-ES_tradnl" w:eastAsia="en-US"/>
        </w:rPr>
      </w:pPr>
      <w:r w:rsidRPr="00C67770">
        <w:rPr>
          <w:rFonts w:ascii="Tahoma" w:hAnsi="Tahoma" w:cs="Tahoma"/>
          <w:i/>
          <w:sz w:val="22"/>
          <w:lang w:val="es-ES_tradnl"/>
        </w:rPr>
        <w:t xml:space="preserve">“(…) </w:t>
      </w:r>
      <w:r w:rsidR="001F533A" w:rsidRPr="00C67770">
        <w:rPr>
          <w:rFonts w:ascii="Tahoma" w:hAnsi="Tahoma" w:cs="Tahoma"/>
          <w:i/>
          <w:color w:val="000000"/>
          <w:sz w:val="22"/>
          <w:lang w:val="es-ES_tradnl"/>
        </w:rPr>
        <w:t xml:space="preserve">La impugnación se centra en un punto específico: determinar si la solicitud de amparo interpuesta por CAMILO JURADO PEÑALOZA, contra la negativa de los juzgados accionados de conceder el subrogado de libertad condicional, cumple con alguno de los requisitos específicos de procedibilidad de la acción de tutela contra providencias judiciales. </w:t>
      </w:r>
    </w:p>
    <w:p w14:paraId="2C886A1D" w14:textId="77777777" w:rsidR="001F533A" w:rsidRPr="00C67770" w:rsidRDefault="001F533A" w:rsidP="00C67770">
      <w:pPr>
        <w:ind w:left="426" w:right="454" w:firstLine="709"/>
        <w:jc w:val="both"/>
        <w:rPr>
          <w:rFonts w:ascii="Tahoma" w:hAnsi="Tahoma" w:cs="Tahoma"/>
          <w:i/>
          <w:color w:val="000000"/>
          <w:sz w:val="22"/>
          <w:lang w:val="es-ES_tradnl"/>
        </w:rPr>
      </w:pPr>
    </w:p>
    <w:p w14:paraId="085BB86D" w14:textId="77777777" w:rsidR="001F533A" w:rsidRPr="00C67770" w:rsidRDefault="001F533A" w:rsidP="00C67770">
      <w:pPr>
        <w:ind w:left="426" w:right="454"/>
        <w:jc w:val="both"/>
        <w:rPr>
          <w:rFonts w:ascii="Tahoma" w:hAnsi="Tahoma" w:cs="Tahoma"/>
          <w:i/>
          <w:color w:val="000000"/>
          <w:sz w:val="22"/>
          <w:lang w:val="es-ES_tradnl"/>
        </w:rPr>
      </w:pPr>
      <w:r w:rsidRPr="00C67770">
        <w:rPr>
          <w:rFonts w:ascii="Tahoma" w:hAnsi="Tahoma" w:cs="Tahoma"/>
          <w:i/>
          <w:color w:val="000000"/>
          <w:sz w:val="22"/>
          <w:lang w:val="es-ES_tradnl"/>
        </w:rPr>
        <w:t xml:space="preserve">Al examinar las pruebas obrantes y el marco jurídico aplicable, la Sala advierte que lo pertinente es confirmar el fallo de tutela impugnado, comoquiera que las decisiones censuradas no incurren en alguna vía de hecho, por el contrario, </w:t>
      </w:r>
      <w:r w:rsidRPr="00C67770">
        <w:rPr>
          <w:rFonts w:ascii="Tahoma" w:hAnsi="Tahoma" w:cs="Tahoma"/>
          <w:b/>
          <w:i/>
          <w:color w:val="000000"/>
          <w:sz w:val="22"/>
          <w:lang w:val="es-ES_tradnl"/>
        </w:rPr>
        <w:t>son fruto de autonomía e independencia propia de las autoridades judiciales, acorde con la normativa y jurisprudencia aplicable al asunto, puesto a su conocimiento</w:t>
      </w:r>
      <w:r w:rsidRPr="00C67770">
        <w:rPr>
          <w:rFonts w:ascii="Tahoma" w:hAnsi="Tahoma" w:cs="Tahoma"/>
          <w:i/>
          <w:color w:val="000000"/>
          <w:sz w:val="22"/>
          <w:lang w:val="es-ES_tradnl"/>
        </w:rPr>
        <w:t>.</w:t>
      </w:r>
    </w:p>
    <w:p w14:paraId="41BED190" w14:textId="77777777" w:rsidR="001F533A" w:rsidRPr="00C67770" w:rsidRDefault="001F533A" w:rsidP="00C67770">
      <w:pPr>
        <w:ind w:left="426" w:right="454" w:firstLine="709"/>
        <w:jc w:val="both"/>
        <w:rPr>
          <w:rFonts w:ascii="Tahoma" w:hAnsi="Tahoma" w:cs="Tahoma"/>
          <w:i/>
          <w:color w:val="000000"/>
          <w:sz w:val="22"/>
          <w:lang w:val="es-ES_tradnl"/>
        </w:rPr>
      </w:pPr>
    </w:p>
    <w:p w14:paraId="507A6258" w14:textId="77777777" w:rsidR="001F533A" w:rsidRPr="00C67770" w:rsidRDefault="001F533A" w:rsidP="00C67770">
      <w:pPr>
        <w:ind w:left="426" w:right="454"/>
        <w:jc w:val="both"/>
        <w:rPr>
          <w:rFonts w:ascii="Tahoma" w:hAnsi="Tahoma" w:cs="Tahoma"/>
          <w:i/>
          <w:color w:val="000000"/>
          <w:sz w:val="22"/>
          <w:lang w:val="es-ES_tradnl"/>
        </w:rPr>
      </w:pPr>
      <w:r w:rsidRPr="00C67770">
        <w:rPr>
          <w:rFonts w:ascii="Tahoma" w:hAnsi="Tahoma" w:cs="Tahoma"/>
          <w:i/>
          <w:color w:val="000000"/>
          <w:sz w:val="22"/>
          <w:lang w:val="es-ES_tradnl"/>
        </w:rPr>
        <w:t xml:space="preserve">A diferencia de lo establecido por el accionante, esta Corporación evidencia que la razón principal por la cual fue denegada su solicitud de libertad condicional consistió en el análisis de requisitos establecido en el artículo 64 del Código Penal, junto con su ponderación frente a la valoración de la conducta punible realizada por el </w:t>
      </w:r>
      <w:r w:rsidRPr="00C67770">
        <w:rPr>
          <w:rFonts w:ascii="Tahoma" w:hAnsi="Tahoma" w:cs="Tahoma"/>
          <w:i/>
          <w:color w:val="000000"/>
          <w:sz w:val="22"/>
          <w:lang w:val="es-ES_tradnl"/>
        </w:rPr>
        <w:lastRenderedPageBreak/>
        <w:t>sentenciado, observaciones tales, que impidieron la concesión de beneficio de libertad condicional de CAMILO JURADO PEÑALOZA</w:t>
      </w:r>
      <w:r w:rsidRPr="00C67770">
        <w:rPr>
          <w:rFonts w:ascii="Tahoma" w:hAnsi="Tahoma" w:cs="Tahoma"/>
          <w:bCs/>
          <w:i/>
          <w:color w:val="000000"/>
          <w:sz w:val="22"/>
          <w:lang w:val="es-ES_tradnl"/>
        </w:rPr>
        <w:t>.</w:t>
      </w:r>
    </w:p>
    <w:p w14:paraId="021BAC6E" w14:textId="77777777" w:rsidR="001F533A" w:rsidRPr="00C67770" w:rsidRDefault="001F533A" w:rsidP="00C67770">
      <w:pPr>
        <w:ind w:left="426" w:right="454" w:firstLine="709"/>
        <w:jc w:val="both"/>
        <w:rPr>
          <w:rFonts w:ascii="Tahoma" w:hAnsi="Tahoma" w:cs="Tahoma"/>
          <w:i/>
          <w:color w:val="000000"/>
          <w:sz w:val="22"/>
          <w:lang w:val="es-ES_tradnl"/>
        </w:rPr>
      </w:pPr>
    </w:p>
    <w:p w14:paraId="7AB29EFF" w14:textId="77777777" w:rsidR="001F533A" w:rsidRPr="00C67770" w:rsidRDefault="001F533A" w:rsidP="00C67770">
      <w:pPr>
        <w:ind w:left="426" w:right="454"/>
        <w:jc w:val="both"/>
        <w:rPr>
          <w:rFonts w:ascii="Tahoma" w:hAnsi="Tahoma" w:cs="Tahoma"/>
          <w:b/>
          <w:i/>
          <w:color w:val="000000"/>
          <w:sz w:val="22"/>
          <w:lang w:val="es-ES_tradnl"/>
        </w:rPr>
      </w:pPr>
      <w:r w:rsidRPr="00C67770">
        <w:rPr>
          <w:rFonts w:ascii="Tahoma" w:hAnsi="Tahoma" w:cs="Tahoma"/>
          <w:i/>
          <w:color w:val="000000"/>
          <w:sz w:val="22"/>
          <w:lang w:val="es-ES_tradnl"/>
        </w:rPr>
        <w:t xml:space="preserve">Este criterio es propio de la autonomía e independencia que gozan las autoridades judiciales, además es adecuado, de acuerdo con lo dispuesto en el artículo 64 de la Ley 599 de 2000 y la jurisprudencia aplicable. </w:t>
      </w:r>
      <w:r w:rsidRPr="00C67770">
        <w:rPr>
          <w:rFonts w:ascii="Tahoma" w:hAnsi="Tahoma" w:cs="Tahoma"/>
          <w:b/>
          <w:i/>
          <w:color w:val="000000"/>
          <w:sz w:val="22"/>
          <w:lang w:val="es-ES_tradnl"/>
        </w:rPr>
        <w:t>En el presente caso, por parte de los jueces ordinarios, se tuvieron como fundamento, hechos que fueron objeto de estudio en la sentencia, por lo cual, la Sala denota que la valoración de la conducta no se apartó de la misma decisión.</w:t>
      </w:r>
    </w:p>
    <w:p w14:paraId="318A8ED5" w14:textId="77777777" w:rsidR="001F533A" w:rsidRPr="00C67770" w:rsidRDefault="001F533A" w:rsidP="00C67770">
      <w:pPr>
        <w:ind w:left="426" w:right="454" w:firstLine="709"/>
        <w:jc w:val="both"/>
        <w:rPr>
          <w:rFonts w:ascii="Tahoma" w:hAnsi="Tahoma" w:cs="Tahoma"/>
          <w:i/>
          <w:color w:val="000000"/>
          <w:sz w:val="22"/>
          <w:lang w:val="es-ES_tradnl"/>
        </w:rPr>
      </w:pPr>
    </w:p>
    <w:p w14:paraId="2B96450A" w14:textId="77777777" w:rsidR="001F533A" w:rsidRPr="00C67770" w:rsidRDefault="001F533A" w:rsidP="00C67770">
      <w:pPr>
        <w:ind w:left="426" w:right="454"/>
        <w:jc w:val="both"/>
        <w:rPr>
          <w:rFonts w:ascii="Tahoma" w:hAnsi="Tahoma" w:cs="Tahoma"/>
          <w:b/>
          <w:i/>
          <w:color w:val="000000"/>
          <w:sz w:val="22"/>
          <w:lang w:val="es-ES_tradnl"/>
        </w:rPr>
      </w:pPr>
      <w:r w:rsidRPr="00C67770">
        <w:rPr>
          <w:rFonts w:ascii="Tahoma" w:hAnsi="Tahoma" w:cs="Tahoma"/>
          <w:b/>
          <w:i/>
          <w:color w:val="000000"/>
          <w:sz w:val="22"/>
          <w:lang w:val="es-ES_tradnl"/>
        </w:rPr>
        <w:t>Es importante aclarar que, el hecho de reportar una buena conducta y cumplir con el mínimo establecido de pena ejecutada, no es suficientes para que se otorgue la libertad condicional como mecanismo sustitutivo de la pena privativa de la libertad, pues es insoslayable cumplir a cabalidad con los requisitos establecidos en la precitada norma.</w:t>
      </w:r>
    </w:p>
    <w:p w14:paraId="3EE36B4C" w14:textId="77777777" w:rsidR="001F533A" w:rsidRPr="00C67770" w:rsidRDefault="001F533A" w:rsidP="00C67770">
      <w:pPr>
        <w:ind w:left="426" w:right="454" w:firstLine="709"/>
        <w:jc w:val="both"/>
        <w:rPr>
          <w:rFonts w:ascii="Tahoma" w:hAnsi="Tahoma" w:cs="Tahoma"/>
          <w:i/>
          <w:color w:val="000000"/>
          <w:sz w:val="22"/>
          <w:lang w:val="es-ES_tradnl"/>
        </w:rPr>
      </w:pPr>
    </w:p>
    <w:p w14:paraId="35981435" w14:textId="77777777" w:rsidR="001F533A" w:rsidRPr="00C67770" w:rsidRDefault="001F533A" w:rsidP="00C67770">
      <w:pPr>
        <w:ind w:left="426" w:right="454"/>
        <w:jc w:val="both"/>
        <w:rPr>
          <w:rFonts w:ascii="Tahoma" w:hAnsi="Tahoma" w:cs="Tahoma"/>
          <w:b/>
          <w:i/>
          <w:color w:val="000000"/>
          <w:sz w:val="22"/>
          <w:lang w:val="es-ES_tradnl"/>
        </w:rPr>
      </w:pPr>
      <w:r w:rsidRPr="00C67770">
        <w:rPr>
          <w:rFonts w:ascii="Tahoma" w:hAnsi="Tahoma" w:cs="Tahoma"/>
          <w:b/>
          <w:i/>
          <w:color w:val="000000"/>
          <w:sz w:val="22"/>
          <w:lang w:val="es-ES_tradnl"/>
        </w:rPr>
        <w:t>Como se ha sido indicado en otras oportunidades, es función del Juez de Ejecución de Penas y Medidas de Seguridad, analizar los requisitos para la procedencia de la libertad condicional, previa valoración de la conducta punible. Esa facultad no excluye la evaluación de la gravedad de las acciones u omisiones materializadas por el condenado, tal y como quedó registrado en el fallo condenatorio</w:t>
      </w:r>
      <w:r w:rsidRPr="00C67770">
        <w:rPr>
          <w:rFonts w:ascii="Tahoma" w:hAnsi="Tahoma" w:cs="Tahoma"/>
          <w:b/>
          <w:i/>
          <w:color w:val="000000"/>
          <w:sz w:val="22"/>
          <w:vertAlign w:val="superscript"/>
          <w:lang w:val="es-ES_tradnl"/>
        </w:rPr>
        <w:footnoteReference w:id="4"/>
      </w:r>
      <w:r w:rsidRPr="00C67770">
        <w:rPr>
          <w:rFonts w:ascii="Tahoma" w:hAnsi="Tahoma" w:cs="Tahoma"/>
          <w:b/>
          <w:i/>
          <w:color w:val="000000"/>
          <w:sz w:val="22"/>
          <w:lang w:val="es-ES_tradnl"/>
        </w:rPr>
        <w:t>.</w:t>
      </w:r>
    </w:p>
    <w:p w14:paraId="264C07AD" w14:textId="77777777" w:rsidR="001F533A" w:rsidRPr="00C67770" w:rsidRDefault="001F533A" w:rsidP="00C67770">
      <w:pPr>
        <w:ind w:left="426" w:right="454" w:firstLine="709"/>
        <w:jc w:val="both"/>
        <w:rPr>
          <w:rFonts w:ascii="Tahoma" w:hAnsi="Tahoma" w:cs="Tahoma"/>
          <w:i/>
          <w:color w:val="000000"/>
          <w:sz w:val="22"/>
          <w:lang w:val="es-ES_tradnl"/>
        </w:rPr>
      </w:pPr>
    </w:p>
    <w:p w14:paraId="4DCF4A31" w14:textId="77777777" w:rsidR="001F533A" w:rsidRPr="00C67770" w:rsidRDefault="001F533A" w:rsidP="00C67770">
      <w:pPr>
        <w:ind w:left="426" w:right="454"/>
        <w:jc w:val="both"/>
        <w:rPr>
          <w:rFonts w:ascii="Tahoma" w:hAnsi="Tahoma" w:cs="Tahoma"/>
          <w:b/>
          <w:i/>
          <w:color w:val="000000"/>
          <w:sz w:val="22"/>
          <w:lang w:val="es-ES_tradnl"/>
        </w:rPr>
      </w:pPr>
      <w:r w:rsidRPr="00C67770">
        <w:rPr>
          <w:rFonts w:ascii="Tahoma" w:hAnsi="Tahoma" w:cs="Tahoma"/>
          <w:b/>
          <w:i/>
          <w:color w:val="000000"/>
          <w:sz w:val="22"/>
          <w:lang w:val="es-ES_tradnl"/>
        </w:rPr>
        <w:t>Así fue determinado por la Corte Constitucional mediante las sentencias C-194 de 2005 y C-757 de 2014, en las que dejó claro que el artículo 64 de la Ley 599 de 2000, con sus posteriores modificaciones, conlleva valorar la conducta a la luz de la sentencia condenatoria, sin que ello implique violar el non bis in ídem.</w:t>
      </w:r>
    </w:p>
    <w:p w14:paraId="245E2B8B" w14:textId="77777777" w:rsidR="001F533A" w:rsidRPr="00C67770" w:rsidRDefault="001F533A" w:rsidP="00C67770">
      <w:pPr>
        <w:ind w:left="426" w:right="454" w:firstLine="709"/>
        <w:jc w:val="both"/>
        <w:rPr>
          <w:rFonts w:ascii="Tahoma" w:hAnsi="Tahoma" w:cs="Tahoma"/>
          <w:b/>
          <w:i/>
          <w:color w:val="000000"/>
          <w:sz w:val="22"/>
          <w:lang w:val="es-ES_tradnl"/>
        </w:rPr>
      </w:pPr>
    </w:p>
    <w:p w14:paraId="4BB942FF" w14:textId="77777777" w:rsidR="001F533A" w:rsidRPr="00C67770" w:rsidRDefault="001F533A" w:rsidP="00C67770">
      <w:pPr>
        <w:ind w:left="426" w:right="454"/>
        <w:jc w:val="both"/>
        <w:rPr>
          <w:rFonts w:ascii="Tahoma" w:hAnsi="Tahoma" w:cs="Tahoma"/>
          <w:i/>
          <w:color w:val="000000"/>
          <w:sz w:val="22"/>
          <w:lang w:val="es-ES_tradnl"/>
        </w:rPr>
      </w:pPr>
      <w:r w:rsidRPr="00C67770">
        <w:rPr>
          <w:rFonts w:ascii="Tahoma" w:hAnsi="Tahoma" w:cs="Tahoma"/>
          <w:i/>
          <w:color w:val="000000"/>
          <w:sz w:val="22"/>
          <w:lang w:val="es-ES_tradnl"/>
        </w:rPr>
        <w:t>(…)</w:t>
      </w:r>
    </w:p>
    <w:p w14:paraId="1D4BFFC3" w14:textId="77777777" w:rsidR="001F533A" w:rsidRPr="00C67770" w:rsidRDefault="001F533A" w:rsidP="00C67770">
      <w:pPr>
        <w:ind w:left="426" w:right="454" w:firstLine="709"/>
        <w:jc w:val="both"/>
        <w:rPr>
          <w:rFonts w:ascii="Tahoma" w:hAnsi="Tahoma" w:cs="Tahoma"/>
          <w:i/>
          <w:color w:val="000000"/>
          <w:sz w:val="22"/>
          <w:lang w:val="es-ES_tradnl"/>
        </w:rPr>
      </w:pPr>
    </w:p>
    <w:p w14:paraId="079FAE7D" w14:textId="77777777" w:rsidR="00912467" w:rsidRPr="00C67770" w:rsidRDefault="001F533A" w:rsidP="00C67770">
      <w:pPr>
        <w:ind w:left="426" w:right="454"/>
        <w:jc w:val="both"/>
        <w:rPr>
          <w:rFonts w:ascii="Tahoma" w:hAnsi="Tahoma" w:cs="Tahoma"/>
          <w:i/>
          <w:color w:val="000000"/>
          <w:sz w:val="22"/>
          <w:lang w:val="es-ES_tradnl"/>
        </w:rPr>
      </w:pPr>
      <w:r w:rsidRPr="00C67770">
        <w:rPr>
          <w:rFonts w:ascii="Tahoma" w:hAnsi="Tahoma" w:cs="Tahoma"/>
          <w:i/>
          <w:color w:val="000000"/>
          <w:sz w:val="22"/>
          <w:lang w:val="es-ES_tradnl"/>
        </w:rPr>
        <w:t>Es competencia del Juez de Ejecución de Penas y Medidas de Seguridad realizar la valoración previa de la conducta, al momento de pronunciarse sobre la solicitud de libertad condicional, lo cual es una manifestación de la actividad judicial, que está amparada por los principios de autonomía e independencia, por lo que, por regla general, el Juez Constitucional no puede inmiscuirse en esta valoración.</w:t>
      </w:r>
      <w:r w:rsidR="00912467" w:rsidRPr="00C67770">
        <w:rPr>
          <w:rFonts w:ascii="Tahoma" w:hAnsi="Tahoma" w:cs="Tahoma"/>
          <w:i/>
          <w:sz w:val="22"/>
          <w:lang w:val="es-ES_tradnl"/>
        </w:rPr>
        <w:t>”</w:t>
      </w:r>
    </w:p>
    <w:p w14:paraId="13F5B24D" w14:textId="77777777" w:rsidR="001F533A" w:rsidRPr="006808FE" w:rsidRDefault="001F533A" w:rsidP="006808FE">
      <w:pPr>
        <w:autoSpaceDE w:val="0"/>
        <w:autoSpaceDN w:val="0"/>
        <w:adjustRightInd w:val="0"/>
        <w:spacing w:line="276" w:lineRule="auto"/>
        <w:jc w:val="both"/>
        <w:rPr>
          <w:rFonts w:ascii="Tahoma" w:hAnsi="Tahoma" w:cs="Tahoma"/>
          <w:lang w:val="es-ES_tradnl"/>
        </w:rPr>
      </w:pPr>
    </w:p>
    <w:p w14:paraId="53C5F2FD" w14:textId="2B4097E4" w:rsidR="00912467" w:rsidRPr="006808FE" w:rsidRDefault="00912467" w:rsidP="006808FE">
      <w:pPr>
        <w:autoSpaceDE w:val="0"/>
        <w:autoSpaceDN w:val="0"/>
        <w:adjustRightInd w:val="0"/>
        <w:spacing w:line="276" w:lineRule="auto"/>
        <w:jc w:val="both"/>
        <w:rPr>
          <w:rFonts w:ascii="Tahoma" w:hAnsi="Tahoma" w:cs="Tahoma"/>
        </w:rPr>
      </w:pPr>
      <w:r w:rsidRPr="006808FE">
        <w:rPr>
          <w:rFonts w:ascii="Tahoma" w:hAnsi="Tahoma" w:cs="Tahoma"/>
          <w:lang w:val="es-ES_tradnl"/>
        </w:rPr>
        <w:t xml:space="preserve">Así las cosas, a la luz de lo dicho por la Máxima Guardiana Constitucional y por el Órgano de Cierre en materia Penal, es factible afirmar que al resolver sendas solicitudes de libertad deprecadas por </w:t>
      </w:r>
      <w:r w:rsidR="001F533A" w:rsidRPr="006808FE">
        <w:rPr>
          <w:rFonts w:ascii="Tahoma" w:hAnsi="Tahoma" w:cs="Tahoma"/>
          <w:lang w:val="es-ES_tradnl"/>
        </w:rPr>
        <w:t>el</w:t>
      </w:r>
      <w:r w:rsidRPr="006808FE">
        <w:rPr>
          <w:rFonts w:ascii="Tahoma" w:hAnsi="Tahoma" w:cs="Tahoma"/>
          <w:lang w:val="es-ES_tradnl"/>
        </w:rPr>
        <w:t xml:space="preserve"> señor </w:t>
      </w:r>
      <w:r w:rsidR="00974572" w:rsidRPr="006808FE">
        <w:rPr>
          <w:rFonts w:ascii="Tahoma" w:hAnsi="Tahoma" w:cs="Tahoma"/>
          <w:lang w:val="es-ES_tradnl"/>
        </w:rPr>
        <w:t>CARLOS</w:t>
      </w:r>
      <w:r w:rsidR="001F533A" w:rsidRPr="006808FE">
        <w:rPr>
          <w:rFonts w:ascii="Tahoma" w:hAnsi="Tahoma" w:cs="Tahoma"/>
          <w:lang w:val="es-ES_tradnl"/>
        </w:rPr>
        <w:t xml:space="preserve"> </w:t>
      </w:r>
      <w:r w:rsidR="00974572" w:rsidRPr="006808FE">
        <w:rPr>
          <w:rFonts w:ascii="Tahoma" w:hAnsi="Tahoma" w:cs="Tahoma"/>
          <w:lang w:val="es-ES_tradnl"/>
        </w:rPr>
        <w:t>DAVID</w:t>
      </w:r>
      <w:r w:rsidR="001F533A" w:rsidRPr="006808FE">
        <w:rPr>
          <w:rFonts w:ascii="Tahoma" w:hAnsi="Tahoma" w:cs="Tahoma"/>
          <w:lang w:val="es-ES_tradnl"/>
        </w:rPr>
        <w:t xml:space="preserve"> </w:t>
      </w:r>
      <w:r w:rsidR="00974572" w:rsidRPr="006808FE">
        <w:rPr>
          <w:rFonts w:ascii="Tahoma" w:hAnsi="Tahoma" w:cs="Tahoma"/>
          <w:lang w:val="es-ES_tradnl"/>
        </w:rPr>
        <w:t>GARCÍA GONZÁLEZ</w:t>
      </w:r>
      <w:r w:rsidRPr="006808FE">
        <w:rPr>
          <w:rFonts w:ascii="Tahoma" w:hAnsi="Tahoma" w:cs="Tahoma"/>
          <w:lang w:val="es-ES_tradnl"/>
        </w:rPr>
        <w:t xml:space="preserve">, el Juzgado </w:t>
      </w:r>
      <w:r w:rsidR="005351DA" w:rsidRPr="006808FE">
        <w:rPr>
          <w:rFonts w:ascii="Tahoma" w:hAnsi="Tahoma" w:cs="Tahoma"/>
          <w:lang w:val="es-ES_tradnl"/>
        </w:rPr>
        <w:t>1</w:t>
      </w:r>
      <w:r w:rsidRPr="006808FE">
        <w:rPr>
          <w:rFonts w:ascii="Tahoma" w:hAnsi="Tahoma" w:cs="Tahoma"/>
          <w:lang w:val="es-ES_tradnl"/>
        </w:rPr>
        <w:t xml:space="preserve">º de Ejecución de Penas y Medidas de Seguridad se ciñó a las consideraciones plasmadas por </w:t>
      </w:r>
      <w:r w:rsidR="001F533A" w:rsidRPr="006808FE">
        <w:rPr>
          <w:rFonts w:ascii="Tahoma" w:hAnsi="Tahoma" w:cs="Tahoma"/>
          <w:lang w:val="es-ES_tradnl"/>
        </w:rPr>
        <w:t>el</w:t>
      </w:r>
      <w:r w:rsidRPr="006808FE">
        <w:rPr>
          <w:rFonts w:ascii="Tahoma" w:hAnsi="Tahoma" w:cs="Tahoma"/>
          <w:lang w:val="es-ES_tradnl"/>
        </w:rPr>
        <w:t xml:space="preserve"> </w:t>
      </w:r>
      <w:r w:rsidR="005351DA" w:rsidRPr="006808FE">
        <w:rPr>
          <w:rFonts w:ascii="Tahoma" w:hAnsi="Tahoma" w:cs="Tahoma"/>
          <w:lang w:val="es-ES_tradnl"/>
        </w:rPr>
        <w:t>Juzgado</w:t>
      </w:r>
      <w:r w:rsidRPr="006808FE">
        <w:rPr>
          <w:rFonts w:ascii="Tahoma" w:hAnsi="Tahoma" w:cs="Tahoma"/>
          <w:lang w:val="es-ES_tradnl"/>
        </w:rPr>
        <w:t xml:space="preserve"> fallador al momento de proferir la s</w:t>
      </w:r>
      <w:r w:rsidR="001F533A" w:rsidRPr="006808FE">
        <w:rPr>
          <w:rFonts w:ascii="Tahoma" w:hAnsi="Tahoma" w:cs="Tahoma"/>
          <w:lang w:val="es-ES_tradnl"/>
        </w:rPr>
        <w:t>entencia condenatoria, proveído</w:t>
      </w:r>
      <w:r w:rsidRPr="006808FE">
        <w:rPr>
          <w:rFonts w:ascii="Tahoma" w:hAnsi="Tahoma" w:cs="Tahoma"/>
          <w:lang w:val="es-ES_tradnl"/>
        </w:rPr>
        <w:t xml:space="preserve"> en </w:t>
      </w:r>
      <w:r w:rsidR="001F533A" w:rsidRPr="006808FE">
        <w:rPr>
          <w:rFonts w:ascii="Tahoma" w:hAnsi="Tahoma" w:cs="Tahoma"/>
          <w:lang w:val="es-ES_tradnl"/>
        </w:rPr>
        <w:t>el</w:t>
      </w:r>
      <w:r w:rsidRPr="006808FE">
        <w:rPr>
          <w:rFonts w:ascii="Tahoma" w:hAnsi="Tahoma" w:cs="Tahoma"/>
          <w:lang w:val="es-ES_tradnl"/>
        </w:rPr>
        <w:t xml:space="preserve"> cual se resaltó que las co</w:t>
      </w:r>
      <w:r w:rsidR="001F533A" w:rsidRPr="006808FE">
        <w:rPr>
          <w:rFonts w:ascii="Tahoma" w:hAnsi="Tahoma" w:cs="Tahoma"/>
          <w:lang w:val="es-ES_tradnl"/>
        </w:rPr>
        <w:t>nductas delictivas en que dicho penado había participado resultaba</w:t>
      </w:r>
      <w:r w:rsidR="005351DA" w:rsidRPr="006808FE">
        <w:rPr>
          <w:rFonts w:ascii="Tahoma" w:hAnsi="Tahoma" w:cs="Tahoma"/>
          <w:lang w:val="es-ES_tradnl"/>
        </w:rPr>
        <w:t>n</w:t>
      </w:r>
      <w:r w:rsidRPr="006808FE">
        <w:rPr>
          <w:rFonts w:ascii="Tahoma" w:hAnsi="Tahoma" w:cs="Tahoma"/>
          <w:lang w:val="es-ES_tradnl"/>
        </w:rPr>
        <w:t xml:space="preserve"> ser de suma gravedad</w:t>
      </w:r>
      <w:r w:rsidR="001F533A" w:rsidRPr="006808FE">
        <w:rPr>
          <w:rFonts w:ascii="Tahoma" w:hAnsi="Tahoma" w:cs="Tahoma"/>
          <w:lang w:val="es-ES_tradnl"/>
        </w:rPr>
        <w:t>,</w:t>
      </w:r>
      <w:r w:rsidRPr="006808FE">
        <w:rPr>
          <w:rFonts w:ascii="Tahoma" w:hAnsi="Tahoma" w:cs="Tahoma"/>
        </w:rPr>
        <w:t xml:space="preserve"> por ello la Sala discurre que </w:t>
      </w:r>
      <w:r w:rsidR="001F533A" w:rsidRPr="006808FE">
        <w:rPr>
          <w:rFonts w:ascii="Tahoma" w:hAnsi="Tahoma" w:cs="Tahoma"/>
        </w:rPr>
        <w:t xml:space="preserve">los Despachos accionados </w:t>
      </w:r>
      <w:r w:rsidRPr="006808FE">
        <w:rPr>
          <w:rFonts w:ascii="Tahoma" w:hAnsi="Tahoma" w:cs="Tahoma"/>
        </w:rPr>
        <w:t>no incurri</w:t>
      </w:r>
      <w:r w:rsidR="001F533A" w:rsidRPr="006808FE">
        <w:rPr>
          <w:rFonts w:ascii="Tahoma" w:hAnsi="Tahoma" w:cs="Tahoma"/>
        </w:rPr>
        <w:t>eron</w:t>
      </w:r>
      <w:r w:rsidRPr="006808FE">
        <w:rPr>
          <w:rFonts w:ascii="Tahoma" w:hAnsi="Tahoma" w:cs="Tahoma"/>
        </w:rPr>
        <w:t xml:space="preserve"> en un desbordamiento de su rol </w:t>
      </w:r>
      <w:r w:rsidR="009D12EF" w:rsidRPr="006808FE">
        <w:rPr>
          <w:rFonts w:ascii="Tahoma" w:hAnsi="Tahoma" w:cs="Tahoma"/>
        </w:rPr>
        <w:t>como jueces</w:t>
      </w:r>
      <w:r w:rsidRPr="006808FE">
        <w:rPr>
          <w:rFonts w:ascii="Tahoma" w:hAnsi="Tahoma" w:cs="Tahoma"/>
        </w:rPr>
        <w:t>, si</w:t>
      </w:r>
      <w:r w:rsidR="009D12EF" w:rsidRPr="006808FE">
        <w:rPr>
          <w:rFonts w:ascii="Tahoma" w:hAnsi="Tahoma" w:cs="Tahoma"/>
        </w:rPr>
        <w:t>no que por el contrario, cumplieron</w:t>
      </w:r>
      <w:r w:rsidRPr="006808FE">
        <w:rPr>
          <w:rFonts w:ascii="Tahoma" w:hAnsi="Tahoma" w:cs="Tahoma"/>
        </w:rPr>
        <w:t xml:space="preserve"> con su deber legal de analizar la gravedad de la conducta punible, antes de conceder el subrogado reclamado. </w:t>
      </w:r>
    </w:p>
    <w:p w14:paraId="6C07A488" w14:textId="77777777" w:rsidR="00912467" w:rsidRPr="006808FE" w:rsidRDefault="00912467" w:rsidP="006808FE">
      <w:pPr>
        <w:autoSpaceDE w:val="0"/>
        <w:autoSpaceDN w:val="0"/>
        <w:adjustRightInd w:val="0"/>
        <w:spacing w:line="276" w:lineRule="auto"/>
        <w:jc w:val="both"/>
        <w:rPr>
          <w:rFonts w:ascii="Tahoma" w:hAnsi="Tahoma" w:cs="Tahoma"/>
        </w:rPr>
      </w:pPr>
    </w:p>
    <w:p w14:paraId="7C3FE053" w14:textId="680FC331" w:rsidR="00912467" w:rsidRPr="006808FE" w:rsidRDefault="00912467" w:rsidP="006808FE">
      <w:pPr>
        <w:autoSpaceDE w:val="0"/>
        <w:autoSpaceDN w:val="0"/>
        <w:adjustRightInd w:val="0"/>
        <w:spacing w:line="276" w:lineRule="auto"/>
        <w:jc w:val="both"/>
        <w:rPr>
          <w:rFonts w:ascii="Tahoma" w:hAnsi="Tahoma" w:cs="Tahoma"/>
          <w:lang w:val="es-ES"/>
        </w:rPr>
      </w:pPr>
      <w:r w:rsidRPr="006808FE">
        <w:rPr>
          <w:rFonts w:ascii="Tahoma" w:hAnsi="Tahoma" w:cs="Tahoma"/>
        </w:rPr>
        <w:t>En ese orden de ideas, es claro que no les asiste razón a</w:t>
      </w:r>
      <w:r w:rsidR="009D12EF" w:rsidRPr="006808FE">
        <w:rPr>
          <w:rFonts w:ascii="Tahoma" w:hAnsi="Tahoma" w:cs="Tahoma"/>
        </w:rPr>
        <w:t>l</w:t>
      </w:r>
      <w:r w:rsidRPr="006808FE">
        <w:rPr>
          <w:rFonts w:ascii="Tahoma" w:hAnsi="Tahoma" w:cs="Tahoma"/>
        </w:rPr>
        <w:t xml:space="preserve"> libelista, toda vez que </w:t>
      </w:r>
      <w:r w:rsidR="009D12EF" w:rsidRPr="006808FE">
        <w:rPr>
          <w:rFonts w:ascii="Tahoma" w:hAnsi="Tahoma" w:cs="Tahoma"/>
        </w:rPr>
        <w:t>los Despachos involucrados</w:t>
      </w:r>
      <w:r w:rsidRPr="006808FE">
        <w:rPr>
          <w:rFonts w:ascii="Tahoma" w:hAnsi="Tahoma" w:cs="Tahoma"/>
        </w:rPr>
        <w:t xml:space="preserve"> acudi</w:t>
      </w:r>
      <w:r w:rsidR="009D12EF" w:rsidRPr="006808FE">
        <w:rPr>
          <w:rFonts w:ascii="Tahoma" w:hAnsi="Tahoma" w:cs="Tahoma"/>
        </w:rPr>
        <w:t>eron</w:t>
      </w:r>
      <w:r w:rsidRPr="006808FE">
        <w:rPr>
          <w:rFonts w:ascii="Tahoma" w:hAnsi="Tahoma" w:cs="Tahoma"/>
        </w:rPr>
        <w:t xml:space="preserve"> a los parámetros que ordena el precedente jurisprudencial antes aludido, argumentación que sirvió de base para negar sus </w:t>
      </w:r>
      <w:r w:rsidRPr="006808FE">
        <w:rPr>
          <w:rFonts w:ascii="Tahoma" w:hAnsi="Tahoma" w:cs="Tahoma"/>
        </w:rPr>
        <w:lastRenderedPageBreak/>
        <w:t xml:space="preserve">solicitudes; y es que no puede pasarse por alto que </w:t>
      </w:r>
      <w:r w:rsidRPr="006808FE">
        <w:rPr>
          <w:rFonts w:ascii="Tahoma" w:hAnsi="Tahoma" w:cs="Tahoma"/>
          <w:lang w:val="es-ES_tradnl"/>
        </w:rPr>
        <w:t>a los Jueces de Ejecución de Penas les asiste el deber de validar el cumplimiento de los requisitos para la concesión de subrogados penales, de allí que cuando lo que se reclama es la libertad condicional, bajo ninguna circunstancia se encuentra exonerado de realizar un análisis frente a la valoración de la gravedad de la conducta, pues se insiste, el artículo 64 Penal le obliga a incluir en su estudio los parámetros relacionados con dicho aspecto</w:t>
      </w:r>
      <w:r w:rsidR="009D12EF" w:rsidRPr="006808FE">
        <w:rPr>
          <w:rFonts w:ascii="Tahoma" w:hAnsi="Tahoma" w:cs="Tahoma"/>
          <w:lang w:val="es-ES_tradnl"/>
        </w:rPr>
        <w:t>.</w:t>
      </w:r>
    </w:p>
    <w:p w14:paraId="398DD826" w14:textId="77777777" w:rsidR="00912467" w:rsidRPr="006808FE" w:rsidRDefault="00912467" w:rsidP="006808FE">
      <w:pPr>
        <w:tabs>
          <w:tab w:val="left" w:pos="1037"/>
        </w:tabs>
        <w:autoSpaceDE w:val="0"/>
        <w:autoSpaceDN w:val="0"/>
        <w:adjustRightInd w:val="0"/>
        <w:spacing w:line="276" w:lineRule="auto"/>
        <w:jc w:val="both"/>
        <w:rPr>
          <w:rFonts w:ascii="Tahoma" w:hAnsi="Tahoma" w:cs="Tahoma"/>
        </w:rPr>
      </w:pPr>
      <w:r w:rsidRPr="006808FE">
        <w:rPr>
          <w:rFonts w:ascii="Tahoma" w:hAnsi="Tahoma" w:cs="Tahoma"/>
        </w:rPr>
        <w:tab/>
      </w:r>
    </w:p>
    <w:p w14:paraId="11A9F75C" w14:textId="77777777" w:rsidR="00912467" w:rsidRPr="006808FE" w:rsidRDefault="00912467" w:rsidP="006808FE">
      <w:pPr>
        <w:autoSpaceDE w:val="0"/>
        <w:autoSpaceDN w:val="0"/>
        <w:adjustRightInd w:val="0"/>
        <w:spacing w:line="276" w:lineRule="auto"/>
        <w:jc w:val="both"/>
        <w:rPr>
          <w:rFonts w:ascii="Tahoma" w:hAnsi="Tahoma" w:cs="Tahoma"/>
        </w:rPr>
      </w:pPr>
      <w:r w:rsidRPr="006808FE">
        <w:rPr>
          <w:rFonts w:ascii="Tahoma" w:hAnsi="Tahoma" w:cs="Tahoma"/>
        </w:rPr>
        <w:t xml:space="preserve">De conformidad con lo dicho en precedencia, la solicitud de amparo constitucional reclamada se habrá de negar, al no advertirse en las decisiones judiciales atacadas ninguna vía de hecho que se deba subsanar.  </w:t>
      </w:r>
    </w:p>
    <w:p w14:paraId="408337D3" w14:textId="77777777" w:rsidR="00912467" w:rsidRPr="006808FE" w:rsidRDefault="00912467" w:rsidP="006808FE">
      <w:pPr>
        <w:suppressAutoHyphens/>
        <w:autoSpaceDE w:val="0"/>
        <w:autoSpaceDN w:val="0"/>
        <w:adjustRightInd w:val="0"/>
        <w:spacing w:line="276" w:lineRule="auto"/>
        <w:jc w:val="both"/>
        <w:rPr>
          <w:rFonts w:ascii="Tahoma" w:hAnsi="Tahoma" w:cs="Tahoma"/>
          <w:color w:val="000000"/>
        </w:rPr>
      </w:pPr>
    </w:p>
    <w:p w14:paraId="0501645C" w14:textId="77777777" w:rsidR="00912467" w:rsidRPr="006808FE" w:rsidRDefault="00912467" w:rsidP="006808FE">
      <w:pPr>
        <w:suppressAutoHyphens/>
        <w:autoSpaceDE w:val="0"/>
        <w:autoSpaceDN w:val="0"/>
        <w:adjustRightInd w:val="0"/>
        <w:spacing w:line="276" w:lineRule="auto"/>
        <w:jc w:val="both"/>
        <w:rPr>
          <w:rFonts w:ascii="Tahoma" w:hAnsi="Tahoma" w:cs="Tahoma"/>
          <w:lang w:val="es-ES"/>
        </w:rPr>
      </w:pPr>
      <w:r w:rsidRPr="006808FE">
        <w:rPr>
          <w:rFonts w:ascii="Tahoma" w:hAnsi="Tahoma" w:cs="Tahoma"/>
        </w:rPr>
        <w:t>Por lo expuesto, el Tribunal Superior del Distrito Judicial de Pereira, en Sala de Decisión Penal, administrando justicia en nombre de la República y por la autoridad conferida en la ley,</w:t>
      </w:r>
    </w:p>
    <w:p w14:paraId="2173D492" w14:textId="77777777" w:rsidR="007B2D82" w:rsidRPr="006808FE" w:rsidRDefault="007B2D82" w:rsidP="006808FE">
      <w:pPr>
        <w:suppressAutoHyphens/>
        <w:autoSpaceDE w:val="0"/>
        <w:autoSpaceDN w:val="0"/>
        <w:adjustRightInd w:val="0"/>
        <w:spacing w:line="276" w:lineRule="auto"/>
        <w:jc w:val="both"/>
        <w:rPr>
          <w:rFonts w:ascii="Tahoma" w:hAnsi="Tahoma" w:cs="Tahoma"/>
        </w:rPr>
      </w:pPr>
    </w:p>
    <w:p w14:paraId="73AEB2E3" w14:textId="77777777" w:rsidR="007B2D82" w:rsidRPr="006808FE" w:rsidRDefault="007B2D82" w:rsidP="006808FE">
      <w:pPr>
        <w:suppressAutoHyphens/>
        <w:autoSpaceDE w:val="0"/>
        <w:autoSpaceDN w:val="0"/>
        <w:adjustRightInd w:val="0"/>
        <w:spacing w:line="276" w:lineRule="auto"/>
        <w:jc w:val="center"/>
        <w:rPr>
          <w:rFonts w:ascii="Tahoma" w:hAnsi="Tahoma" w:cs="Tahoma"/>
          <w:b/>
          <w:bCs/>
        </w:rPr>
      </w:pPr>
      <w:r w:rsidRPr="006808FE">
        <w:rPr>
          <w:rFonts w:ascii="Tahoma" w:hAnsi="Tahoma" w:cs="Tahoma"/>
          <w:b/>
          <w:bCs/>
        </w:rPr>
        <w:t>RESUELVE:</w:t>
      </w:r>
    </w:p>
    <w:p w14:paraId="1011A41B" w14:textId="77777777" w:rsidR="007B2D82" w:rsidRPr="006808FE" w:rsidRDefault="007B2D82" w:rsidP="006808FE">
      <w:pPr>
        <w:suppressAutoHyphens/>
        <w:autoSpaceDE w:val="0"/>
        <w:autoSpaceDN w:val="0"/>
        <w:adjustRightInd w:val="0"/>
        <w:spacing w:line="276" w:lineRule="auto"/>
        <w:jc w:val="both"/>
        <w:rPr>
          <w:rFonts w:ascii="Tahoma" w:hAnsi="Tahoma" w:cs="Tahoma"/>
          <w:b/>
          <w:bCs/>
        </w:rPr>
      </w:pPr>
    </w:p>
    <w:p w14:paraId="0FD15A2E" w14:textId="0E8BC4C1" w:rsidR="007B2D82" w:rsidRPr="006808FE" w:rsidRDefault="007B2D82" w:rsidP="006808FE">
      <w:pPr>
        <w:autoSpaceDE w:val="0"/>
        <w:autoSpaceDN w:val="0"/>
        <w:adjustRightInd w:val="0"/>
        <w:spacing w:line="276" w:lineRule="auto"/>
        <w:jc w:val="both"/>
        <w:rPr>
          <w:rFonts w:ascii="Tahoma" w:hAnsi="Tahoma" w:cs="Tahoma"/>
        </w:rPr>
      </w:pPr>
      <w:r w:rsidRPr="006808FE">
        <w:rPr>
          <w:rFonts w:ascii="Tahoma" w:hAnsi="Tahoma" w:cs="Tahoma"/>
          <w:b/>
          <w:bCs/>
        </w:rPr>
        <w:t xml:space="preserve">PRIMERO: </w:t>
      </w:r>
      <w:r w:rsidR="009D12EF" w:rsidRPr="006808FE">
        <w:rPr>
          <w:rFonts w:ascii="Tahoma" w:hAnsi="Tahoma" w:cs="Tahoma"/>
          <w:b/>
        </w:rPr>
        <w:t>NEGAR</w:t>
      </w:r>
      <w:r w:rsidRPr="006808FE">
        <w:rPr>
          <w:rFonts w:ascii="Tahoma" w:hAnsi="Tahoma" w:cs="Tahoma"/>
          <w:b/>
        </w:rPr>
        <w:t xml:space="preserve"> LA SOLICITUD DE AMPARO INVOCADA </w:t>
      </w:r>
      <w:r w:rsidRPr="006808FE">
        <w:rPr>
          <w:rFonts w:ascii="Tahoma" w:hAnsi="Tahoma" w:cs="Tahoma"/>
        </w:rPr>
        <w:t xml:space="preserve">por </w:t>
      </w:r>
      <w:r w:rsidR="003157BB" w:rsidRPr="006808FE">
        <w:rPr>
          <w:rFonts w:ascii="Tahoma" w:hAnsi="Tahoma" w:cs="Tahoma"/>
        </w:rPr>
        <w:t>el</w:t>
      </w:r>
      <w:r w:rsidRPr="006808FE">
        <w:rPr>
          <w:rFonts w:ascii="Tahoma" w:hAnsi="Tahoma" w:cs="Tahoma"/>
        </w:rPr>
        <w:t xml:space="preserve"> señor </w:t>
      </w:r>
      <w:r w:rsidR="00974572" w:rsidRPr="006808FE">
        <w:rPr>
          <w:rFonts w:ascii="Tahoma" w:hAnsi="Tahoma" w:cs="Tahoma"/>
          <w:b/>
        </w:rPr>
        <w:t>CARLOS</w:t>
      </w:r>
      <w:r w:rsidR="009D12EF" w:rsidRPr="006808FE">
        <w:rPr>
          <w:rFonts w:ascii="Tahoma" w:hAnsi="Tahoma" w:cs="Tahoma"/>
          <w:b/>
        </w:rPr>
        <w:t xml:space="preserve"> </w:t>
      </w:r>
      <w:r w:rsidR="00974572" w:rsidRPr="006808FE">
        <w:rPr>
          <w:rFonts w:ascii="Tahoma" w:hAnsi="Tahoma" w:cs="Tahoma"/>
          <w:b/>
        </w:rPr>
        <w:t>DAVID</w:t>
      </w:r>
      <w:r w:rsidR="009D12EF" w:rsidRPr="006808FE">
        <w:rPr>
          <w:rFonts w:ascii="Tahoma" w:hAnsi="Tahoma" w:cs="Tahoma"/>
          <w:b/>
        </w:rPr>
        <w:t xml:space="preserve"> </w:t>
      </w:r>
      <w:r w:rsidR="00974572" w:rsidRPr="006808FE">
        <w:rPr>
          <w:rFonts w:ascii="Tahoma" w:hAnsi="Tahoma" w:cs="Tahoma"/>
          <w:b/>
        </w:rPr>
        <w:t>GARCÍA GONZÁLEZ</w:t>
      </w:r>
      <w:r w:rsidRPr="006808FE">
        <w:rPr>
          <w:rFonts w:ascii="Tahoma" w:hAnsi="Tahoma" w:cs="Tahoma"/>
        </w:rPr>
        <w:t>,</w:t>
      </w:r>
      <w:r w:rsidR="009D12EF" w:rsidRPr="006808FE">
        <w:rPr>
          <w:rFonts w:ascii="Tahoma" w:hAnsi="Tahoma" w:cs="Tahoma"/>
        </w:rPr>
        <w:t xml:space="preserve"> por intermedio de apoderado</w:t>
      </w:r>
      <w:r w:rsidR="002F64EE" w:rsidRPr="006808FE">
        <w:rPr>
          <w:rFonts w:ascii="Tahoma" w:hAnsi="Tahoma" w:cs="Tahoma"/>
        </w:rPr>
        <w:t>,</w:t>
      </w:r>
      <w:r w:rsidRPr="006808FE">
        <w:rPr>
          <w:rFonts w:ascii="Tahoma" w:hAnsi="Tahoma" w:cs="Tahoma"/>
        </w:rPr>
        <w:t xml:space="preserve"> con base en la argumentación expuesta en la parte motiva de esta decisión.</w:t>
      </w:r>
      <w:r w:rsidRPr="006808FE">
        <w:rPr>
          <w:rFonts w:ascii="Tahoma" w:hAnsi="Tahoma" w:cs="Tahoma"/>
          <w:b/>
        </w:rPr>
        <w:t xml:space="preserve"> </w:t>
      </w:r>
    </w:p>
    <w:p w14:paraId="6D7D5D4A" w14:textId="77777777" w:rsidR="007B2D82" w:rsidRPr="006808FE" w:rsidRDefault="007B2D82" w:rsidP="006808FE">
      <w:pPr>
        <w:autoSpaceDE w:val="0"/>
        <w:autoSpaceDN w:val="0"/>
        <w:adjustRightInd w:val="0"/>
        <w:spacing w:line="276" w:lineRule="auto"/>
        <w:jc w:val="both"/>
        <w:rPr>
          <w:rFonts w:ascii="Tahoma" w:hAnsi="Tahoma" w:cs="Tahoma"/>
        </w:rPr>
      </w:pPr>
    </w:p>
    <w:p w14:paraId="7D70E421" w14:textId="77777777" w:rsidR="007B2D82" w:rsidRPr="006808FE" w:rsidRDefault="007B2D82" w:rsidP="006808FE">
      <w:pPr>
        <w:autoSpaceDE w:val="0"/>
        <w:autoSpaceDN w:val="0"/>
        <w:adjustRightInd w:val="0"/>
        <w:spacing w:line="276" w:lineRule="auto"/>
        <w:jc w:val="both"/>
        <w:rPr>
          <w:rFonts w:ascii="Tahoma" w:hAnsi="Tahoma" w:cs="Tahoma"/>
          <w:b/>
        </w:rPr>
      </w:pPr>
      <w:r w:rsidRPr="006808FE">
        <w:rPr>
          <w:rFonts w:ascii="Tahoma" w:hAnsi="Tahoma" w:cs="Tahoma"/>
          <w:b/>
          <w:bCs/>
        </w:rPr>
        <w:t>SEGUNDO:</w:t>
      </w:r>
      <w:r w:rsidRPr="006808FE">
        <w:rPr>
          <w:rFonts w:ascii="Tahoma" w:hAnsi="Tahoma" w:cs="Tahoma"/>
        </w:rPr>
        <w:t xml:space="preserve"> </w:t>
      </w:r>
      <w:r w:rsidRPr="006808FE">
        <w:rPr>
          <w:rFonts w:ascii="Tahoma" w:hAnsi="Tahoma" w:cs="Tahoma"/>
          <w:b/>
        </w:rPr>
        <w:t>SE ORDENA</w:t>
      </w:r>
      <w:r w:rsidRPr="006808FE">
        <w:rPr>
          <w:rFonts w:ascii="Tahoma" w:hAnsi="Tahoma" w:cs="Tahoma"/>
          <w:lang w:val="es-ES_tradnl"/>
        </w:rPr>
        <w:t xml:space="preserve"> notificar esta </w:t>
      </w:r>
      <w:r w:rsidRPr="006808FE">
        <w:rPr>
          <w:rFonts w:ascii="Tahoma" w:hAnsi="Tahoma" w:cs="Tahoma"/>
        </w:rPr>
        <w:t>providencia a las partes por el medio más expedito posible, de conformidad con el artículo 30 del Decreto 2591 de 1991.</w:t>
      </w:r>
      <w:r w:rsidR="002F64EE" w:rsidRPr="006808FE">
        <w:rPr>
          <w:rFonts w:ascii="Tahoma" w:hAnsi="Tahoma" w:cs="Tahoma"/>
          <w:b/>
        </w:rPr>
        <w:t xml:space="preserve"> </w:t>
      </w:r>
      <w:r w:rsidRPr="006808FE">
        <w:rPr>
          <w:rFonts w:ascii="Tahoma" w:hAnsi="Tahoma" w:cs="Tahoma"/>
        </w:rPr>
        <w:t>En caso de no ser objeto de recurso</w:t>
      </w:r>
      <w:r w:rsidRPr="006808FE">
        <w:rPr>
          <w:rFonts w:ascii="Tahoma" w:hAnsi="Tahoma" w:cs="Tahoma"/>
          <w:b/>
          <w:bCs/>
        </w:rPr>
        <w:t xml:space="preserve"> </w:t>
      </w:r>
      <w:r w:rsidRPr="006808FE">
        <w:rPr>
          <w:rFonts w:ascii="Tahoma" w:hAnsi="Tahoma" w:cs="Tahoma"/>
          <w:bCs/>
        </w:rPr>
        <w:t xml:space="preserve">se ordena remitir </w:t>
      </w:r>
      <w:r w:rsidRPr="006808FE">
        <w:rPr>
          <w:rFonts w:ascii="Tahoma" w:hAnsi="Tahoma" w:cs="Tahoma"/>
        </w:rPr>
        <w:t>la actuación a la Honorable Corte Constitucional, para su eventual revisión.</w:t>
      </w:r>
    </w:p>
    <w:p w14:paraId="6EECB6C1" w14:textId="77777777" w:rsidR="007B2D82" w:rsidRPr="006808FE" w:rsidRDefault="007B2D82" w:rsidP="006808FE">
      <w:pPr>
        <w:autoSpaceDE w:val="0"/>
        <w:autoSpaceDN w:val="0"/>
        <w:adjustRightInd w:val="0"/>
        <w:spacing w:line="276" w:lineRule="auto"/>
        <w:jc w:val="both"/>
        <w:rPr>
          <w:rFonts w:ascii="Tahoma" w:hAnsi="Tahoma" w:cs="Tahoma"/>
        </w:rPr>
      </w:pPr>
      <w:r w:rsidRPr="006808FE">
        <w:rPr>
          <w:rFonts w:ascii="Tahoma" w:hAnsi="Tahoma" w:cs="Tahoma"/>
          <w:b/>
          <w:bCs/>
        </w:rPr>
        <w:t xml:space="preserve"> </w:t>
      </w:r>
    </w:p>
    <w:p w14:paraId="0290E56B" w14:textId="77777777" w:rsidR="006808FE" w:rsidRPr="006808FE" w:rsidRDefault="006808FE" w:rsidP="006808FE">
      <w:pPr>
        <w:keepNext/>
        <w:spacing w:line="276" w:lineRule="auto"/>
        <w:jc w:val="center"/>
        <w:outlineLvl w:val="0"/>
        <w:rPr>
          <w:rFonts w:ascii="Tahoma" w:hAnsi="Tahoma" w:cs="Tahoma"/>
          <w:b/>
          <w:bCs/>
          <w:lang w:val="es-ES_tradnl"/>
        </w:rPr>
      </w:pPr>
      <w:r w:rsidRPr="006808FE">
        <w:rPr>
          <w:rFonts w:ascii="Tahoma" w:hAnsi="Tahoma" w:cs="Tahoma"/>
          <w:b/>
          <w:bCs/>
          <w:lang w:val="es-ES_tradnl"/>
        </w:rPr>
        <w:t>CÓPIESE, NOTIFÍQUESE Y CÚMPLASE.</w:t>
      </w:r>
    </w:p>
    <w:p w14:paraId="0BBDECD3" w14:textId="77777777" w:rsidR="006808FE" w:rsidRPr="006808FE" w:rsidRDefault="006808FE" w:rsidP="006808FE">
      <w:pPr>
        <w:spacing w:line="276" w:lineRule="auto"/>
        <w:rPr>
          <w:rFonts w:ascii="Tahoma" w:hAnsi="Tahoma" w:cs="Tahoma"/>
          <w:lang w:val="es-ES_tradnl"/>
        </w:rPr>
      </w:pPr>
    </w:p>
    <w:p w14:paraId="103321EA" w14:textId="77777777" w:rsidR="006808FE" w:rsidRPr="006808FE" w:rsidRDefault="006808FE" w:rsidP="006808FE">
      <w:pPr>
        <w:spacing w:line="276" w:lineRule="auto"/>
        <w:rPr>
          <w:rFonts w:ascii="Tahoma" w:hAnsi="Tahoma" w:cs="Tahoma"/>
          <w:lang w:val="es-ES_tradnl"/>
        </w:rPr>
      </w:pPr>
    </w:p>
    <w:p w14:paraId="14A8CE84" w14:textId="77777777" w:rsidR="006808FE" w:rsidRPr="006808FE" w:rsidRDefault="006808FE" w:rsidP="006808FE">
      <w:pPr>
        <w:spacing w:line="276" w:lineRule="auto"/>
        <w:rPr>
          <w:rFonts w:ascii="Tahoma" w:hAnsi="Tahoma" w:cs="Tahoma"/>
          <w:lang w:val="es-ES_tradnl"/>
        </w:rPr>
      </w:pPr>
    </w:p>
    <w:p w14:paraId="2B07513E" w14:textId="77777777" w:rsidR="006808FE" w:rsidRPr="006808FE" w:rsidRDefault="006808FE" w:rsidP="006808FE">
      <w:pPr>
        <w:spacing w:line="276" w:lineRule="auto"/>
        <w:jc w:val="center"/>
        <w:rPr>
          <w:rFonts w:ascii="Tahoma" w:hAnsi="Tahoma" w:cs="Tahoma"/>
          <w:b/>
          <w:lang w:val="es-ES"/>
        </w:rPr>
      </w:pPr>
      <w:r w:rsidRPr="006808FE">
        <w:rPr>
          <w:rFonts w:ascii="Tahoma" w:hAnsi="Tahoma" w:cs="Tahoma"/>
          <w:b/>
          <w:lang w:val="es-ES"/>
        </w:rPr>
        <w:t>MANUEL YARZAGARAY BANDERA</w:t>
      </w:r>
    </w:p>
    <w:p w14:paraId="52C48AF5" w14:textId="77777777" w:rsidR="006808FE" w:rsidRPr="006808FE" w:rsidRDefault="006808FE" w:rsidP="006808FE">
      <w:pPr>
        <w:spacing w:line="276" w:lineRule="auto"/>
        <w:jc w:val="center"/>
        <w:rPr>
          <w:rFonts w:ascii="Tahoma" w:hAnsi="Tahoma" w:cs="Tahoma"/>
          <w:lang w:val="es-ES"/>
        </w:rPr>
      </w:pPr>
      <w:r w:rsidRPr="006808FE">
        <w:rPr>
          <w:rFonts w:ascii="Tahoma" w:hAnsi="Tahoma" w:cs="Tahoma"/>
          <w:lang w:val="es-ES"/>
        </w:rPr>
        <w:t>Magistrado</w:t>
      </w:r>
    </w:p>
    <w:p w14:paraId="5913A983" w14:textId="77777777" w:rsidR="006808FE" w:rsidRPr="006808FE" w:rsidRDefault="006808FE" w:rsidP="006808FE">
      <w:pPr>
        <w:spacing w:line="276" w:lineRule="auto"/>
        <w:jc w:val="center"/>
        <w:rPr>
          <w:rFonts w:ascii="Tahoma" w:hAnsi="Tahoma" w:cs="Tahoma"/>
          <w:b/>
          <w:lang w:val="es-ES"/>
        </w:rPr>
      </w:pPr>
    </w:p>
    <w:p w14:paraId="625AFA47" w14:textId="77777777" w:rsidR="006808FE" w:rsidRPr="006808FE" w:rsidRDefault="006808FE" w:rsidP="006808FE">
      <w:pPr>
        <w:spacing w:line="276" w:lineRule="auto"/>
        <w:jc w:val="center"/>
        <w:rPr>
          <w:rFonts w:ascii="Tahoma" w:hAnsi="Tahoma" w:cs="Tahoma"/>
          <w:b/>
          <w:lang w:val="es-ES"/>
        </w:rPr>
      </w:pPr>
    </w:p>
    <w:p w14:paraId="57406104" w14:textId="77777777" w:rsidR="006808FE" w:rsidRPr="006808FE" w:rsidRDefault="006808FE" w:rsidP="006808FE">
      <w:pPr>
        <w:spacing w:line="276" w:lineRule="auto"/>
        <w:jc w:val="center"/>
        <w:rPr>
          <w:rFonts w:ascii="Tahoma" w:hAnsi="Tahoma" w:cs="Tahoma"/>
          <w:b/>
          <w:lang w:val="es-ES"/>
        </w:rPr>
      </w:pPr>
    </w:p>
    <w:p w14:paraId="5BD6AD85" w14:textId="77777777" w:rsidR="006808FE" w:rsidRPr="006808FE" w:rsidRDefault="006808FE" w:rsidP="006808FE">
      <w:pPr>
        <w:spacing w:line="276" w:lineRule="auto"/>
        <w:jc w:val="center"/>
        <w:rPr>
          <w:rFonts w:ascii="Tahoma" w:hAnsi="Tahoma" w:cs="Tahoma"/>
          <w:b/>
          <w:bCs/>
          <w:lang w:val="es-ES"/>
        </w:rPr>
      </w:pPr>
      <w:r w:rsidRPr="006808FE">
        <w:rPr>
          <w:rFonts w:ascii="Tahoma" w:hAnsi="Tahoma" w:cs="Tahoma"/>
          <w:b/>
          <w:bCs/>
          <w:lang w:val="es-ES"/>
        </w:rPr>
        <w:t>JORGE ARTURO CASTAÑO DUQUE</w:t>
      </w:r>
    </w:p>
    <w:p w14:paraId="55CBA3B4" w14:textId="77777777" w:rsidR="006808FE" w:rsidRPr="006808FE" w:rsidRDefault="006808FE" w:rsidP="006808FE">
      <w:pPr>
        <w:spacing w:line="276" w:lineRule="auto"/>
        <w:jc w:val="center"/>
        <w:rPr>
          <w:rFonts w:ascii="Tahoma" w:hAnsi="Tahoma" w:cs="Tahoma"/>
          <w:lang w:val="es-ES"/>
        </w:rPr>
      </w:pPr>
      <w:r w:rsidRPr="006808FE">
        <w:rPr>
          <w:rFonts w:ascii="Tahoma" w:hAnsi="Tahoma" w:cs="Tahoma"/>
          <w:lang w:val="es-ES"/>
        </w:rPr>
        <w:t>Magistrado</w:t>
      </w:r>
    </w:p>
    <w:p w14:paraId="005408CF" w14:textId="77777777" w:rsidR="006808FE" w:rsidRPr="006808FE" w:rsidRDefault="006808FE" w:rsidP="006808FE">
      <w:pPr>
        <w:spacing w:line="276" w:lineRule="auto"/>
        <w:jc w:val="center"/>
        <w:rPr>
          <w:rFonts w:ascii="Tahoma" w:hAnsi="Tahoma" w:cs="Tahoma"/>
          <w:b/>
          <w:lang w:val="es-ES"/>
        </w:rPr>
      </w:pPr>
    </w:p>
    <w:p w14:paraId="32E2AD90" w14:textId="77777777" w:rsidR="006808FE" w:rsidRPr="006808FE" w:rsidRDefault="006808FE" w:rsidP="006808FE">
      <w:pPr>
        <w:spacing w:line="276" w:lineRule="auto"/>
        <w:jc w:val="center"/>
        <w:rPr>
          <w:rFonts w:ascii="Tahoma" w:hAnsi="Tahoma" w:cs="Tahoma"/>
          <w:b/>
          <w:lang w:val="es-ES"/>
        </w:rPr>
      </w:pPr>
    </w:p>
    <w:p w14:paraId="3D294847" w14:textId="77777777" w:rsidR="006808FE" w:rsidRPr="006808FE" w:rsidRDefault="006808FE" w:rsidP="006808FE">
      <w:pPr>
        <w:spacing w:line="276" w:lineRule="auto"/>
        <w:jc w:val="center"/>
        <w:rPr>
          <w:rFonts w:ascii="Tahoma" w:hAnsi="Tahoma" w:cs="Tahoma"/>
          <w:b/>
          <w:lang w:val="es-ES"/>
        </w:rPr>
      </w:pPr>
    </w:p>
    <w:p w14:paraId="73C6A149" w14:textId="77777777" w:rsidR="006808FE" w:rsidRPr="006808FE" w:rsidRDefault="006808FE" w:rsidP="006808FE">
      <w:pPr>
        <w:spacing w:line="276" w:lineRule="auto"/>
        <w:jc w:val="center"/>
        <w:rPr>
          <w:rFonts w:ascii="Tahoma" w:hAnsi="Tahoma" w:cs="Tahoma"/>
          <w:b/>
          <w:lang w:val="es-ES"/>
        </w:rPr>
      </w:pPr>
      <w:r w:rsidRPr="006808FE">
        <w:rPr>
          <w:rFonts w:ascii="Tahoma" w:hAnsi="Tahoma" w:cs="Tahoma"/>
          <w:b/>
          <w:lang w:val="es-ES"/>
        </w:rPr>
        <w:t>JULIÁN RIVERA LOAIZA</w:t>
      </w:r>
    </w:p>
    <w:p w14:paraId="55358B8A" w14:textId="26FF356A" w:rsidR="00560075" w:rsidRPr="006808FE" w:rsidRDefault="006808FE" w:rsidP="006808FE">
      <w:pPr>
        <w:spacing w:line="276" w:lineRule="auto"/>
        <w:jc w:val="center"/>
        <w:rPr>
          <w:rFonts w:ascii="Tahoma" w:hAnsi="Tahoma" w:cs="Tahoma"/>
          <w:lang w:val="es-ES"/>
        </w:rPr>
      </w:pPr>
      <w:r w:rsidRPr="006808FE">
        <w:rPr>
          <w:rFonts w:ascii="Tahoma" w:hAnsi="Tahoma" w:cs="Tahoma"/>
          <w:lang w:val="es-ES"/>
        </w:rPr>
        <w:t>Magistrado</w:t>
      </w:r>
    </w:p>
    <w:sectPr w:rsidR="00560075" w:rsidRPr="006808FE" w:rsidSect="009862EF">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9D36" w14:textId="77777777" w:rsidR="00E33D20" w:rsidRDefault="00E33D20" w:rsidP="00C869D4">
      <w:r>
        <w:separator/>
      </w:r>
    </w:p>
  </w:endnote>
  <w:endnote w:type="continuationSeparator" w:id="0">
    <w:p w14:paraId="7CDB9601" w14:textId="77777777" w:rsidR="00E33D20" w:rsidRDefault="00E33D20" w:rsidP="00C8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77C3" w14:textId="77777777" w:rsidR="00630473" w:rsidRPr="005B141E" w:rsidRDefault="00630473" w:rsidP="005B141E">
    <w:pPr>
      <w:pStyle w:val="Encabezado"/>
      <w:jc w:val="right"/>
      <w:rPr>
        <w:rFonts w:ascii="Arial" w:hAnsi="Arial" w:cs="Arial"/>
        <w:sz w:val="18"/>
      </w:rPr>
    </w:pPr>
    <w:r w:rsidRPr="001C65C6">
      <w:rPr>
        <w:rStyle w:val="Nmerodepgina"/>
        <w:rFonts w:ascii="Corbel" w:hAnsi="Corbel"/>
      </w:rPr>
      <w:t xml:space="preserve"> </w:t>
    </w:r>
    <w:r w:rsidRPr="005B141E">
      <w:rPr>
        <w:rFonts w:ascii="Arial" w:hAnsi="Arial" w:cs="Arial"/>
        <w:sz w:val="18"/>
      </w:rPr>
      <w:t xml:space="preserve">Página </w:t>
    </w:r>
    <w:r w:rsidRPr="005B141E">
      <w:rPr>
        <w:rFonts w:ascii="Arial" w:hAnsi="Arial" w:cs="Arial"/>
        <w:sz w:val="18"/>
      </w:rPr>
      <w:fldChar w:fldCharType="begin"/>
    </w:r>
    <w:r w:rsidRPr="005B141E">
      <w:rPr>
        <w:rFonts w:ascii="Arial" w:hAnsi="Arial" w:cs="Arial"/>
        <w:sz w:val="18"/>
      </w:rPr>
      <w:instrText xml:space="preserve"> PAGE </w:instrText>
    </w:r>
    <w:r w:rsidRPr="005B141E">
      <w:rPr>
        <w:rFonts w:ascii="Arial" w:hAnsi="Arial" w:cs="Arial"/>
        <w:sz w:val="18"/>
      </w:rPr>
      <w:fldChar w:fldCharType="separate"/>
    </w:r>
    <w:r w:rsidR="009D12EF" w:rsidRPr="005B141E">
      <w:rPr>
        <w:rFonts w:ascii="Arial" w:hAnsi="Arial" w:cs="Arial"/>
        <w:sz w:val="18"/>
      </w:rPr>
      <w:t>12</w:t>
    </w:r>
    <w:r w:rsidRPr="005B141E">
      <w:rPr>
        <w:rFonts w:ascii="Arial" w:hAnsi="Arial" w:cs="Arial"/>
        <w:sz w:val="18"/>
      </w:rPr>
      <w:fldChar w:fldCharType="end"/>
    </w:r>
    <w:r w:rsidRPr="005B141E">
      <w:rPr>
        <w:rFonts w:ascii="Arial" w:hAnsi="Arial" w:cs="Arial"/>
        <w:sz w:val="18"/>
      </w:rPr>
      <w:t xml:space="preserve"> de </w:t>
    </w:r>
    <w:r w:rsidRPr="005B141E">
      <w:rPr>
        <w:rFonts w:ascii="Arial" w:hAnsi="Arial" w:cs="Arial"/>
        <w:sz w:val="18"/>
      </w:rPr>
      <w:fldChar w:fldCharType="begin"/>
    </w:r>
    <w:r w:rsidRPr="005B141E">
      <w:rPr>
        <w:rFonts w:ascii="Arial" w:hAnsi="Arial" w:cs="Arial"/>
        <w:sz w:val="18"/>
      </w:rPr>
      <w:instrText xml:space="preserve"> NUMPAGES </w:instrText>
    </w:r>
    <w:r w:rsidRPr="005B141E">
      <w:rPr>
        <w:rFonts w:ascii="Arial" w:hAnsi="Arial" w:cs="Arial"/>
        <w:sz w:val="18"/>
      </w:rPr>
      <w:fldChar w:fldCharType="separate"/>
    </w:r>
    <w:r w:rsidR="009D12EF" w:rsidRPr="005B141E">
      <w:rPr>
        <w:rFonts w:ascii="Arial" w:hAnsi="Arial" w:cs="Arial"/>
        <w:sz w:val="18"/>
      </w:rPr>
      <w:t>12</w:t>
    </w:r>
    <w:r w:rsidRPr="005B141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4A2F" w14:textId="77777777" w:rsidR="00E33D20" w:rsidRDefault="00E33D20" w:rsidP="00C869D4">
      <w:r>
        <w:separator/>
      </w:r>
    </w:p>
  </w:footnote>
  <w:footnote w:type="continuationSeparator" w:id="0">
    <w:p w14:paraId="0881B2AE" w14:textId="77777777" w:rsidR="00E33D20" w:rsidRDefault="00E33D20" w:rsidP="00C869D4">
      <w:r>
        <w:continuationSeparator/>
      </w:r>
    </w:p>
  </w:footnote>
  <w:footnote w:id="1">
    <w:p w14:paraId="4193AA0B" w14:textId="7072823D" w:rsidR="005D32D2" w:rsidRPr="005B141E" w:rsidRDefault="005D32D2" w:rsidP="005B141E">
      <w:pPr>
        <w:pStyle w:val="Textonotapie"/>
        <w:jc w:val="both"/>
        <w:rPr>
          <w:rFonts w:ascii="Arial" w:hAnsi="Arial" w:cs="Arial"/>
          <w:sz w:val="18"/>
          <w:szCs w:val="18"/>
        </w:rPr>
      </w:pPr>
      <w:r w:rsidRPr="005B141E">
        <w:rPr>
          <w:rStyle w:val="Refdenotaalpie"/>
          <w:rFonts w:ascii="Arial" w:hAnsi="Arial" w:cs="Arial"/>
          <w:sz w:val="18"/>
          <w:szCs w:val="18"/>
        </w:rPr>
        <w:footnoteRef/>
      </w:r>
      <w:r w:rsidR="005B141E" w:rsidRPr="005B141E">
        <w:rPr>
          <w:rFonts w:ascii="Arial" w:hAnsi="Arial" w:cs="Arial"/>
          <w:sz w:val="18"/>
          <w:szCs w:val="18"/>
        </w:rPr>
        <w:t xml:space="preserve"> </w:t>
      </w:r>
      <w:r w:rsidRPr="005B141E">
        <w:rPr>
          <w:rFonts w:ascii="Arial" w:hAnsi="Arial" w:cs="Arial"/>
          <w:sz w:val="18"/>
          <w:szCs w:val="18"/>
        </w:rPr>
        <w:t xml:space="preserve">Corte Constitucional, sentencia T-103 de </w:t>
      </w:r>
      <w:smartTag w:uri="urn:schemas-microsoft-com:office:smarttags" w:element="metricconverter">
        <w:smartTagPr>
          <w:attr w:name="ProductID" w:val="2010, M"/>
        </w:smartTagPr>
        <w:r w:rsidRPr="005B141E">
          <w:rPr>
            <w:rFonts w:ascii="Arial" w:hAnsi="Arial" w:cs="Arial"/>
            <w:sz w:val="18"/>
            <w:szCs w:val="18"/>
          </w:rPr>
          <w:t>2010, M</w:t>
        </w:r>
      </w:smartTag>
      <w:r w:rsidRPr="005B141E">
        <w:rPr>
          <w:rFonts w:ascii="Arial" w:hAnsi="Arial" w:cs="Arial"/>
          <w:sz w:val="18"/>
          <w:szCs w:val="18"/>
        </w:rPr>
        <w:t xml:space="preserve">.P. Dr. Jorge Iván Palacio </w:t>
      </w:r>
      <w:proofErr w:type="spellStart"/>
      <w:r w:rsidRPr="005B141E">
        <w:rPr>
          <w:rFonts w:ascii="Arial" w:hAnsi="Arial" w:cs="Arial"/>
          <w:sz w:val="18"/>
          <w:szCs w:val="18"/>
        </w:rPr>
        <w:t>Palacio</w:t>
      </w:r>
      <w:proofErr w:type="spellEnd"/>
      <w:r w:rsidRPr="005B141E">
        <w:rPr>
          <w:rFonts w:ascii="Arial" w:hAnsi="Arial" w:cs="Arial"/>
          <w:sz w:val="18"/>
          <w:szCs w:val="18"/>
        </w:rPr>
        <w:t>.</w:t>
      </w:r>
    </w:p>
  </w:footnote>
  <w:footnote w:id="2">
    <w:p w14:paraId="58EF36E5" w14:textId="73FB51EC" w:rsidR="00912467" w:rsidRPr="005B141E" w:rsidRDefault="00912467" w:rsidP="005B141E">
      <w:pPr>
        <w:pStyle w:val="Textonotapie"/>
        <w:jc w:val="both"/>
        <w:rPr>
          <w:rFonts w:ascii="Arial" w:hAnsi="Arial" w:cs="Arial"/>
          <w:sz w:val="18"/>
          <w:szCs w:val="18"/>
          <w:lang w:val="es-ES"/>
        </w:rPr>
      </w:pPr>
      <w:r w:rsidRPr="005B141E">
        <w:rPr>
          <w:rStyle w:val="Refdenotaalpie"/>
          <w:rFonts w:ascii="Arial" w:hAnsi="Arial" w:cs="Arial"/>
          <w:sz w:val="18"/>
          <w:szCs w:val="18"/>
        </w:rPr>
        <w:footnoteRef/>
      </w:r>
      <w:r w:rsidR="005B141E" w:rsidRPr="005B141E">
        <w:rPr>
          <w:rFonts w:ascii="Arial" w:hAnsi="Arial" w:cs="Arial"/>
          <w:sz w:val="18"/>
          <w:szCs w:val="18"/>
        </w:rPr>
        <w:t xml:space="preserve"> </w:t>
      </w:r>
      <w:r w:rsidRPr="005B141E">
        <w:rPr>
          <w:rFonts w:ascii="Arial" w:hAnsi="Arial" w:cs="Arial"/>
          <w:sz w:val="18"/>
          <w:szCs w:val="18"/>
        </w:rPr>
        <w:t>Desconocimiento del precedente, que se origina cuando el juez ordinario, por ejemplo, desconoce o limita el alcance dado por esta Corte a un derecho fundamental, apartándose del contenido constitucionalmente vinculante del derecho fundamental vulnerado, también cuando se aparta del precedente sentado por los órganos de cierre de su respectiva jurisdicción o de su propio precedente. (Sentencia T-117 de 2013).</w:t>
      </w:r>
    </w:p>
  </w:footnote>
  <w:footnote w:id="3">
    <w:p w14:paraId="6C19D34B" w14:textId="0B82BD01" w:rsidR="00912467" w:rsidRPr="005B141E" w:rsidRDefault="00912467" w:rsidP="005B141E">
      <w:pPr>
        <w:pStyle w:val="Textonotapie"/>
        <w:jc w:val="both"/>
        <w:rPr>
          <w:rFonts w:ascii="Arial" w:hAnsi="Arial" w:cs="Arial"/>
          <w:sz w:val="18"/>
          <w:szCs w:val="18"/>
          <w:lang w:val="es-ES"/>
        </w:rPr>
      </w:pPr>
      <w:r w:rsidRPr="005B141E">
        <w:rPr>
          <w:rStyle w:val="Refdenotaalpie"/>
          <w:rFonts w:ascii="Arial" w:hAnsi="Arial" w:cs="Arial"/>
          <w:sz w:val="18"/>
          <w:szCs w:val="18"/>
        </w:rPr>
        <w:footnoteRef/>
      </w:r>
      <w:r w:rsidR="005B141E" w:rsidRPr="005B141E">
        <w:rPr>
          <w:rFonts w:ascii="Arial" w:hAnsi="Arial" w:cs="Arial"/>
          <w:sz w:val="18"/>
          <w:szCs w:val="18"/>
        </w:rPr>
        <w:t xml:space="preserve"> </w:t>
      </w:r>
      <w:r w:rsidRPr="005B141E">
        <w:rPr>
          <w:rFonts w:ascii="Arial" w:hAnsi="Arial" w:cs="Arial"/>
          <w:sz w:val="18"/>
          <w:szCs w:val="18"/>
        </w:rPr>
        <w:t>Defecto material o sustantivo, que se origina cuando las decisiones son proferidas con fundamento en normas inexistentes o inconstitucionales, o que presentan una evidente contradicción entre los fundamentos y la decisión. (Sentencia T-117 de 2013).</w:t>
      </w:r>
    </w:p>
  </w:footnote>
  <w:footnote w:id="4">
    <w:p w14:paraId="35CBD7DD" w14:textId="77777777" w:rsidR="001F533A" w:rsidRPr="005B141E" w:rsidRDefault="001F533A" w:rsidP="005B141E">
      <w:pPr>
        <w:pStyle w:val="Textonotapie"/>
        <w:jc w:val="both"/>
        <w:rPr>
          <w:rFonts w:ascii="Arial" w:hAnsi="Arial" w:cs="Arial"/>
          <w:sz w:val="18"/>
          <w:szCs w:val="18"/>
        </w:rPr>
      </w:pPr>
      <w:r w:rsidRPr="005B141E">
        <w:rPr>
          <w:rStyle w:val="Refdenotaalpie"/>
          <w:rFonts w:ascii="Arial" w:hAnsi="Arial" w:cs="Arial"/>
          <w:sz w:val="18"/>
          <w:szCs w:val="18"/>
        </w:rPr>
        <w:footnoteRef/>
      </w:r>
      <w:r w:rsidRPr="005B141E">
        <w:rPr>
          <w:rFonts w:ascii="Arial" w:hAnsi="Arial" w:cs="Arial"/>
          <w:sz w:val="18"/>
          <w:szCs w:val="18"/>
        </w:rPr>
        <w:t xml:space="preserve"> </w:t>
      </w:r>
      <w:r w:rsidRPr="005B141E">
        <w:rPr>
          <w:rFonts w:ascii="Arial" w:hAnsi="Arial" w:cs="Arial"/>
          <w:i/>
          <w:sz w:val="18"/>
          <w:szCs w:val="18"/>
        </w:rPr>
        <w:t xml:space="preserve">Cfr. </w:t>
      </w:r>
      <w:r w:rsidRPr="005B141E">
        <w:rPr>
          <w:rFonts w:ascii="Arial" w:hAnsi="Arial" w:cs="Arial"/>
          <w:sz w:val="18"/>
          <w:szCs w:val="18"/>
        </w:rPr>
        <w:t>CSJ SCP STP12042-2017, 08 ago. 2017, rad. 93030; STP3428-2018, 06 Mar 2018, rad. 96992; STP8174-2018, 19 jun 2018, rad. 98756; STP953-2019, 29 ene 2019, rad. 102040;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4CD8" w14:textId="1A047B77" w:rsidR="00974572" w:rsidRPr="005B141E" w:rsidRDefault="00974572" w:rsidP="005B141E">
    <w:pPr>
      <w:pStyle w:val="Encabezado"/>
      <w:jc w:val="right"/>
      <w:rPr>
        <w:rFonts w:ascii="Arial" w:hAnsi="Arial" w:cs="Arial"/>
        <w:sz w:val="18"/>
        <w:szCs w:val="21"/>
      </w:rPr>
    </w:pPr>
    <w:r w:rsidRPr="005B141E">
      <w:rPr>
        <w:rFonts w:ascii="Arial" w:hAnsi="Arial" w:cs="Arial"/>
        <w:sz w:val="18"/>
        <w:szCs w:val="21"/>
      </w:rPr>
      <w:t>Radicación: 66001-22-04-000-2021-00146-00</w:t>
    </w:r>
  </w:p>
  <w:p w14:paraId="0A32D2BD" w14:textId="382DA0C6" w:rsidR="00974572" w:rsidRPr="005B141E" w:rsidRDefault="00974572" w:rsidP="005B141E">
    <w:pPr>
      <w:pStyle w:val="Encabezado"/>
      <w:jc w:val="right"/>
      <w:rPr>
        <w:rFonts w:ascii="Arial" w:hAnsi="Arial" w:cs="Arial"/>
        <w:sz w:val="18"/>
        <w:szCs w:val="21"/>
      </w:rPr>
    </w:pPr>
    <w:r w:rsidRPr="005B141E">
      <w:rPr>
        <w:rFonts w:ascii="Arial" w:hAnsi="Arial" w:cs="Arial"/>
        <w:sz w:val="18"/>
        <w:szCs w:val="21"/>
      </w:rPr>
      <w:t xml:space="preserve">Accionante: </w:t>
    </w:r>
    <w:r w:rsidR="00636189" w:rsidRPr="005B141E">
      <w:rPr>
        <w:rFonts w:ascii="Arial" w:hAnsi="Arial" w:cs="Arial"/>
        <w:sz w:val="18"/>
        <w:szCs w:val="21"/>
      </w:rPr>
      <w:t>Carlos David García González</w:t>
    </w:r>
  </w:p>
  <w:p w14:paraId="44A5E233" w14:textId="6244D4ED" w:rsidR="00974572" w:rsidRPr="005B141E" w:rsidRDefault="00974572" w:rsidP="005B141E">
    <w:pPr>
      <w:pStyle w:val="Encabezado"/>
      <w:jc w:val="right"/>
      <w:rPr>
        <w:rFonts w:ascii="Arial" w:hAnsi="Arial" w:cs="Arial"/>
        <w:sz w:val="18"/>
        <w:szCs w:val="21"/>
      </w:rPr>
    </w:pPr>
    <w:r w:rsidRPr="005B141E">
      <w:rPr>
        <w:rFonts w:ascii="Arial" w:hAnsi="Arial" w:cs="Arial"/>
        <w:sz w:val="18"/>
        <w:szCs w:val="21"/>
      </w:rPr>
      <w:t>Accionado: Juzgado 1º de Ejecución de Penas y Medidas de Seguridad y otro</w:t>
    </w:r>
  </w:p>
  <w:p w14:paraId="0EA3091C" w14:textId="0168AA3E" w:rsidR="00974572" w:rsidRPr="005B141E" w:rsidRDefault="00974572" w:rsidP="005B141E">
    <w:pPr>
      <w:pStyle w:val="Encabezado"/>
      <w:jc w:val="right"/>
      <w:rPr>
        <w:rFonts w:ascii="Arial" w:hAnsi="Arial" w:cs="Arial"/>
        <w:sz w:val="18"/>
        <w:szCs w:val="21"/>
      </w:rPr>
    </w:pPr>
    <w:r w:rsidRPr="005B141E">
      <w:rPr>
        <w:rFonts w:ascii="Arial" w:hAnsi="Arial" w:cs="Arial"/>
        <w:sz w:val="18"/>
        <w:szCs w:val="21"/>
      </w:rPr>
      <w:t>Asunto: Niega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E78FF"/>
    <w:multiLevelType w:val="hybridMultilevel"/>
    <w:tmpl w:val="66842F86"/>
    <w:lvl w:ilvl="0" w:tplc="7DE07BCA">
      <w:start w:val="2"/>
      <w:numFmt w:val="bullet"/>
      <w:lvlText w:val="-"/>
      <w:lvlJc w:val="left"/>
      <w:pPr>
        <w:ind w:left="436" w:hanging="360"/>
      </w:pPr>
      <w:rPr>
        <w:rFonts w:ascii="Tahoma" w:eastAsia="Times New Roman" w:hAnsi="Tahoma" w:cs="Tahoma" w:hint="default"/>
        <w:i/>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 w15:restartNumberingAfterBreak="0">
    <w:nsid w:val="18EE198E"/>
    <w:multiLevelType w:val="hybridMultilevel"/>
    <w:tmpl w:val="CCF8CB3A"/>
    <w:lvl w:ilvl="0" w:tplc="8BEA30F0">
      <w:numFmt w:val="bullet"/>
      <w:lvlText w:val="-"/>
      <w:lvlJc w:val="left"/>
      <w:pPr>
        <w:ind w:left="720" w:hanging="360"/>
      </w:pPr>
      <w:rPr>
        <w:rFonts w:ascii="Verdana" w:eastAsia="Times New Roman" w:hAnsi="Verdan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3F202E"/>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5F1915"/>
    <w:multiLevelType w:val="hybridMultilevel"/>
    <w:tmpl w:val="7D548ABC"/>
    <w:lvl w:ilvl="0" w:tplc="DFFEBB0E">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6" w15:restartNumberingAfterBreak="0">
    <w:nsid w:val="663A0254"/>
    <w:multiLevelType w:val="hybridMultilevel"/>
    <w:tmpl w:val="EACE9E10"/>
    <w:lvl w:ilvl="0" w:tplc="34BEEF96">
      <w:numFmt w:val="bullet"/>
      <w:lvlText w:val="-"/>
      <w:lvlJc w:val="left"/>
      <w:pPr>
        <w:ind w:left="720" w:hanging="360"/>
      </w:pPr>
      <w:rPr>
        <w:rFonts w:ascii="Verdana" w:eastAsia="Times New Roman" w:hAnsi="Verdana" w:cs="Tahoma"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7B72658"/>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A84DF6"/>
    <w:multiLevelType w:val="hybridMultilevel"/>
    <w:tmpl w:val="313C14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D4"/>
    <w:rsid w:val="0000344A"/>
    <w:rsid w:val="00011C53"/>
    <w:rsid w:val="00013057"/>
    <w:rsid w:val="00014640"/>
    <w:rsid w:val="00015B7E"/>
    <w:rsid w:val="0001737F"/>
    <w:rsid w:val="00042DD8"/>
    <w:rsid w:val="00047B05"/>
    <w:rsid w:val="00053C2B"/>
    <w:rsid w:val="000607C7"/>
    <w:rsid w:val="000615CE"/>
    <w:rsid w:val="00066E98"/>
    <w:rsid w:val="000720EB"/>
    <w:rsid w:val="000740AE"/>
    <w:rsid w:val="00074FD1"/>
    <w:rsid w:val="00076B4C"/>
    <w:rsid w:val="00077376"/>
    <w:rsid w:val="00077C32"/>
    <w:rsid w:val="0008784E"/>
    <w:rsid w:val="000900DF"/>
    <w:rsid w:val="00090C78"/>
    <w:rsid w:val="00090F5A"/>
    <w:rsid w:val="0009162F"/>
    <w:rsid w:val="00093599"/>
    <w:rsid w:val="000A017E"/>
    <w:rsid w:val="000A042B"/>
    <w:rsid w:val="000A1D1B"/>
    <w:rsid w:val="000A1F23"/>
    <w:rsid w:val="000A30A3"/>
    <w:rsid w:val="000A6AFE"/>
    <w:rsid w:val="000B308D"/>
    <w:rsid w:val="000B50B8"/>
    <w:rsid w:val="000C0DE4"/>
    <w:rsid w:val="000C2FF5"/>
    <w:rsid w:val="000C7DF5"/>
    <w:rsid w:val="000D0F8F"/>
    <w:rsid w:val="000D1762"/>
    <w:rsid w:val="000D2F4D"/>
    <w:rsid w:val="000E044E"/>
    <w:rsid w:val="000E4A99"/>
    <w:rsid w:val="000E5B9D"/>
    <w:rsid w:val="000E7C54"/>
    <w:rsid w:val="000F0F62"/>
    <w:rsid w:val="000F4A4D"/>
    <w:rsid w:val="0010248D"/>
    <w:rsid w:val="00102651"/>
    <w:rsid w:val="00105050"/>
    <w:rsid w:val="001058E0"/>
    <w:rsid w:val="00105F4D"/>
    <w:rsid w:val="0011235A"/>
    <w:rsid w:val="00114C17"/>
    <w:rsid w:val="00121787"/>
    <w:rsid w:val="00122049"/>
    <w:rsid w:val="00122116"/>
    <w:rsid w:val="0012638E"/>
    <w:rsid w:val="001379AB"/>
    <w:rsid w:val="00143BCE"/>
    <w:rsid w:val="001471DD"/>
    <w:rsid w:val="00150047"/>
    <w:rsid w:val="00154317"/>
    <w:rsid w:val="001653DE"/>
    <w:rsid w:val="00166A59"/>
    <w:rsid w:val="001671EB"/>
    <w:rsid w:val="001805C3"/>
    <w:rsid w:val="00183289"/>
    <w:rsid w:val="00186618"/>
    <w:rsid w:val="00190051"/>
    <w:rsid w:val="00191A44"/>
    <w:rsid w:val="001B2430"/>
    <w:rsid w:val="001B2BC5"/>
    <w:rsid w:val="001B2EA4"/>
    <w:rsid w:val="001B3647"/>
    <w:rsid w:val="001B4DBD"/>
    <w:rsid w:val="001C04EB"/>
    <w:rsid w:val="001C0565"/>
    <w:rsid w:val="001C1AEC"/>
    <w:rsid w:val="001C34C0"/>
    <w:rsid w:val="001C44AF"/>
    <w:rsid w:val="001C65C6"/>
    <w:rsid w:val="001C7440"/>
    <w:rsid w:val="001D12EB"/>
    <w:rsid w:val="001D2EE6"/>
    <w:rsid w:val="001D57EB"/>
    <w:rsid w:val="001E4DF4"/>
    <w:rsid w:val="001E67D2"/>
    <w:rsid w:val="001E6F9C"/>
    <w:rsid w:val="001F2FBF"/>
    <w:rsid w:val="001F3176"/>
    <w:rsid w:val="001F52E5"/>
    <w:rsid w:val="001F533A"/>
    <w:rsid w:val="001F5B93"/>
    <w:rsid w:val="001F5D3E"/>
    <w:rsid w:val="001F6537"/>
    <w:rsid w:val="00200E88"/>
    <w:rsid w:val="002061A5"/>
    <w:rsid w:val="00206E0B"/>
    <w:rsid w:val="002139A8"/>
    <w:rsid w:val="00214671"/>
    <w:rsid w:val="002176F7"/>
    <w:rsid w:val="0022438E"/>
    <w:rsid w:val="002246B0"/>
    <w:rsid w:val="0022737C"/>
    <w:rsid w:val="002304CC"/>
    <w:rsid w:val="00232882"/>
    <w:rsid w:val="00241192"/>
    <w:rsid w:val="00245C3F"/>
    <w:rsid w:val="0024638E"/>
    <w:rsid w:val="00247F4A"/>
    <w:rsid w:val="0025755B"/>
    <w:rsid w:val="00260ED5"/>
    <w:rsid w:val="0026293A"/>
    <w:rsid w:val="00266C0C"/>
    <w:rsid w:val="00270D47"/>
    <w:rsid w:val="00280750"/>
    <w:rsid w:val="002828B3"/>
    <w:rsid w:val="0028699E"/>
    <w:rsid w:val="00290A72"/>
    <w:rsid w:val="00291F32"/>
    <w:rsid w:val="00293284"/>
    <w:rsid w:val="00294F11"/>
    <w:rsid w:val="002A14E4"/>
    <w:rsid w:val="002A2454"/>
    <w:rsid w:val="002A3F57"/>
    <w:rsid w:val="002A5D31"/>
    <w:rsid w:val="002A65DC"/>
    <w:rsid w:val="002B5495"/>
    <w:rsid w:val="002B6DD6"/>
    <w:rsid w:val="002C060B"/>
    <w:rsid w:val="002C507A"/>
    <w:rsid w:val="002C6D3D"/>
    <w:rsid w:val="002C739C"/>
    <w:rsid w:val="002C7C10"/>
    <w:rsid w:val="002D25B7"/>
    <w:rsid w:val="002D463E"/>
    <w:rsid w:val="002D7267"/>
    <w:rsid w:val="002E2AB1"/>
    <w:rsid w:val="002F5A73"/>
    <w:rsid w:val="002F64EE"/>
    <w:rsid w:val="002F74B0"/>
    <w:rsid w:val="0030744F"/>
    <w:rsid w:val="00307991"/>
    <w:rsid w:val="003157BB"/>
    <w:rsid w:val="003276BB"/>
    <w:rsid w:val="0034390B"/>
    <w:rsid w:val="00346542"/>
    <w:rsid w:val="00352189"/>
    <w:rsid w:val="003547CF"/>
    <w:rsid w:val="00355E0D"/>
    <w:rsid w:val="003613A5"/>
    <w:rsid w:val="00362345"/>
    <w:rsid w:val="00362B36"/>
    <w:rsid w:val="003633D6"/>
    <w:rsid w:val="00366A81"/>
    <w:rsid w:val="003706D6"/>
    <w:rsid w:val="00374BE2"/>
    <w:rsid w:val="003827AA"/>
    <w:rsid w:val="0039316D"/>
    <w:rsid w:val="003A62A8"/>
    <w:rsid w:val="003B1B23"/>
    <w:rsid w:val="003B1B3C"/>
    <w:rsid w:val="003B33F2"/>
    <w:rsid w:val="003B474D"/>
    <w:rsid w:val="003C152C"/>
    <w:rsid w:val="003C1B47"/>
    <w:rsid w:val="003C41F1"/>
    <w:rsid w:val="003D2DB6"/>
    <w:rsid w:val="003D32A5"/>
    <w:rsid w:val="003E0B9E"/>
    <w:rsid w:val="003E14CD"/>
    <w:rsid w:val="003E52CB"/>
    <w:rsid w:val="003E5E9F"/>
    <w:rsid w:val="003F2020"/>
    <w:rsid w:val="003F71C6"/>
    <w:rsid w:val="00402B6F"/>
    <w:rsid w:val="00402D05"/>
    <w:rsid w:val="00403242"/>
    <w:rsid w:val="00403E5B"/>
    <w:rsid w:val="0041192B"/>
    <w:rsid w:val="004214D5"/>
    <w:rsid w:val="00423206"/>
    <w:rsid w:val="00426D8F"/>
    <w:rsid w:val="00442997"/>
    <w:rsid w:val="004467DB"/>
    <w:rsid w:val="004504E7"/>
    <w:rsid w:val="00454A52"/>
    <w:rsid w:val="00454D5D"/>
    <w:rsid w:val="004555D2"/>
    <w:rsid w:val="004562E3"/>
    <w:rsid w:val="00457DAF"/>
    <w:rsid w:val="0046134F"/>
    <w:rsid w:val="00461963"/>
    <w:rsid w:val="00462545"/>
    <w:rsid w:val="00462C86"/>
    <w:rsid w:val="004637C6"/>
    <w:rsid w:val="00465517"/>
    <w:rsid w:val="00473A25"/>
    <w:rsid w:val="004741A8"/>
    <w:rsid w:val="004751F2"/>
    <w:rsid w:val="00475345"/>
    <w:rsid w:val="00477EC7"/>
    <w:rsid w:val="00482571"/>
    <w:rsid w:val="00483FFA"/>
    <w:rsid w:val="00484B7D"/>
    <w:rsid w:val="00490CB3"/>
    <w:rsid w:val="00495419"/>
    <w:rsid w:val="00496592"/>
    <w:rsid w:val="00496D44"/>
    <w:rsid w:val="004A2240"/>
    <w:rsid w:val="004A4B19"/>
    <w:rsid w:val="004B0081"/>
    <w:rsid w:val="004B3674"/>
    <w:rsid w:val="004B3F2B"/>
    <w:rsid w:val="004B40B7"/>
    <w:rsid w:val="004C55EE"/>
    <w:rsid w:val="004C7189"/>
    <w:rsid w:val="004D0ED5"/>
    <w:rsid w:val="004F42FA"/>
    <w:rsid w:val="004F7434"/>
    <w:rsid w:val="004F787B"/>
    <w:rsid w:val="00505527"/>
    <w:rsid w:val="00506C15"/>
    <w:rsid w:val="00507EC2"/>
    <w:rsid w:val="00514144"/>
    <w:rsid w:val="00515C1B"/>
    <w:rsid w:val="00517990"/>
    <w:rsid w:val="00521DEC"/>
    <w:rsid w:val="005243FB"/>
    <w:rsid w:val="00526775"/>
    <w:rsid w:val="00526976"/>
    <w:rsid w:val="00526A3B"/>
    <w:rsid w:val="00530BC8"/>
    <w:rsid w:val="005351DA"/>
    <w:rsid w:val="005447F7"/>
    <w:rsid w:val="005464E8"/>
    <w:rsid w:val="00547258"/>
    <w:rsid w:val="00551AC1"/>
    <w:rsid w:val="00553F20"/>
    <w:rsid w:val="00557218"/>
    <w:rsid w:val="00560075"/>
    <w:rsid w:val="00560B1B"/>
    <w:rsid w:val="00565EB7"/>
    <w:rsid w:val="0057108C"/>
    <w:rsid w:val="00573638"/>
    <w:rsid w:val="00580E6B"/>
    <w:rsid w:val="00586947"/>
    <w:rsid w:val="005935A1"/>
    <w:rsid w:val="00594245"/>
    <w:rsid w:val="00595F7A"/>
    <w:rsid w:val="005A023A"/>
    <w:rsid w:val="005A3446"/>
    <w:rsid w:val="005A4067"/>
    <w:rsid w:val="005B141E"/>
    <w:rsid w:val="005B5BBA"/>
    <w:rsid w:val="005B5F1F"/>
    <w:rsid w:val="005C0667"/>
    <w:rsid w:val="005C25AF"/>
    <w:rsid w:val="005C342C"/>
    <w:rsid w:val="005D064C"/>
    <w:rsid w:val="005D20F0"/>
    <w:rsid w:val="005D24B5"/>
    <w:rsid w:val="005D2EEE"/>
    <w:rsid w:val="005D32D2"/>
    <w:rsid w:val="005D3E33"/>
    <w:rsid w:val="005D56E8"/>
    <w:rsid w:val="005E38C6"/>
    <w:rsid w:val="005E405C"/>
    <w:rsid w:val="005F2756"/>
    <w:rsid w:val="005F6D2D"/>
    <w:rsid w:val="006025AA"/>
    <w:rsid w:val="006065FB"/>
    <w:rsid w:val="0061422B"/>
    <w:rsid w:val="00616B84"/>
    <w:rsid w:val="00616F58"/>
    <w:rsid w:val="00630473"/>
    <w:rsid w:val="00630F39"/>
    <w:rsid w:val="006316BA"/>
    <w:rsid w:val="00631A6D"/>
    <w:rsid w:val="00633428"/>
    <w:rsid w:val="00634A1D"/>
    <w:rsid w:val="00636189"/>
    <w:rsid w:val="00646AFD"/>
    <w:rsid w:val="0065013E"/>
    <w:rsid w:val="00656CD0"/>
    <w:rsid w:val="00657FC8"/>
    <w:rsid w:val="00660291"/>
    <w:rsid w:val="00661560"/>
    <w:rsid w:val="00663E6C"/>
    <w:rsid w:val="00664D71"/>
    <w:rsid w:val="00670A56"/>
    <w:rsid w:val="00672686"/>
    <w:rsid w:val="006739C6"/>
    <w:rsid w:val="00673BD0"/>
    <w:rsid w:val="0067426A"/>
    <w:rsid w:val="006808FE"/>
    <w:rsid w:val="006832FE"/>
    <w:rsid w:val="006837C0"/>
    <w:rsid w:val="00685DD4"/>
    <w:rsid w:val="00692904"/>
    <w:rsid w:val="00693627"/>
    <w:rsid w:val="00694553"/>
    <w:rsid w:val="006A050E"/>
    <w:rsid w:val="006A22BC"/>
    <w:rsid w:val="006A6368"/>
    <w:rsid w:val="006A70BF"/>
    <w:rsid w:val="006B2B1A"/>
    <w:rsid w:val="006B5340"/>
    <w:rsid w:val="006C5BC7"/>
    <w:rsid w:val="006C5E1D"/>
    <w:rsid w:val="006D034E"/>
    <w:rsid w:val="006D17AD"/>
    <w:rsid w:val="006D305D"/>
    <w:rsid w:val="006D3B7F"/>
    <w:rsid w:val="006D6321"/>
    <w:rsid w:val="006D6F31"/>
    <w:rsid w:val="006D710F"/>
    <w:rsid w:val="006E01C6"/>
    <w:rsid w:val="006E2A52"/>
    <w:rsid w:val="006E4EDF"/>
    <w:rsid w:val="006F537A"/>
    <w:rsid w:val="006F7F39"/>
    <w:rsid w:val="00702358"/>
    <w:rsid w:val="007106A1"/>
    <w:rsid w:val="0071524C"/>
    <w:rsid w:val="007262E2"/>
    <w:rsid w:val="007415F7"/>
    <w:rsid w:val="00742FF7"/>
    <w:rsid w:val="007508A6"/>
    <w:rsid w:val="00751467"/>
    <w:rsid w:val="00751EF5"/>
    <w:rsid w:val="007554A0"/>
    <w:rsid w:val="00756AB4"/>
    <w:rsid w:val="007651B5"/>
    <w:rsid w:val="00766D6D"/>
    <w:rsid w:val="00770A1A"/>
    <w:rsid w:val="00776F3D"/>
    <w:rsid w:val="00781121"/>
    <w:rsid w:val="00785984"/>
    <w:rsid w:val="00793A67"/>
    <w:rsid w:val="00796E5D"/>
    <w:rsid w:val="00796EC8"/>
    <w:rsid w:val="00797497"/>
    <w:rsid w:val="007A06AD"/>
    <w:rsid w:val="007A6628"/>
    <w:rsid w:val="007A6FBD"/>
    <w:rsid w:val="007B1D30"/>
    <w:rsid w:val="007B2D82"/>
    <w:rsid w:val="007B6602"/>
    <w:rsid w:val="007B674E"/>
    <w:rsid w:val="007C21B5"/>
    <w:rsid w:val="007C6FF7"/>
    <w:rsid w:val="007D2B13"/>
    <w:rsid w:val="007E29B5"/>
    <w:rsid w:val="007E60F4"/>
    <w:rsid w:val="007F0C9F"/>
    <w:rsid w:val="007F0DC2"/>
    <w:rsid w:val="007F3AA9"/>
    <w:rsid w:val="007F3D89"/>
    <w:rsid w:val="007F6336"/>
    <w:rsid w:val="007F6478"/>
    <w:rsid w:val="00802D25"/>
    <w:rsid w:val="00805993"/>
    <w:rsid w:val="0081008F"/>
    <w:rsid w:val="008149DE"/>
    <w:rsid w:val="0081531B"/>
    <w:rsid w:val="00815B52"/>
    <w:rsid w:val="00815FD0"/>
    <w:rsid w:val="00826639"/>
    <w:rsid w:val="00830F36"/>
    <w:rsid w:val="008312F6"/>
    <w:rsid w:val="0083148F"/>
    <w:rsid w:val="00844167"/>
    <w:rsid w:val="00846BBA"/>
    <w:rsid w:val="0084785F"/>
    <w:rsid w:val="00853554"/>
    <w:rsid w:val="00853757"/>
    <w:rsid w:val="008567E9"/>
    <w:rsid w:val="00863BF9"/>
    <w:rsid w:val="00875294"/>
    <w:rsid w:val="008818F5"/>
    <w:rsid w:val="0088400D"/>
    <w:rsid w:val="00886E4A"/>
    <w:rsid w:val="00895194"/>
    <w:rsid w:val="00895AC9"/>
    <w:rsid w:val="008969B2"/>
    <w:rsid w:val="008A10E3"/>
    <w:rsid w:val="008A1C71"/>
    <w:rsid w:val="008A6E3A"/>
    <w:rsid w:val="008B61F5"/>
    <w:rsid w:val="008C1EF7"/>
    <w:rsid w:val="008C2E41"/>
    <w:rsid w:val="008C3992"/>
    <w:rsid w:val="008C4866"/>
    <w:rsid w:val="008C699B"/>
    <w:rsid w:val="008C69F5"/>
    <w:rsid w:val="008C6AA3"/>
    <w:rsid w:val="008C6D84"/>
    <w:rsid w:val="008C7A0B"/>
    <w:rsid w:val="008C7E12"/>
    <w:rsid w:val="008D0C28"/>
    <w:rsid w:val="008D2892"/>
    <w:rsid w:val="008D2E35"/>
    <w:rsid w:val="008E1C95"/>
    <w:rsid w:val="008F0C29"/>
    <w:rsid w:val="008F6A50"/>
    <w:rsid w:val="00900848"/>
    <w:rsid w:val="0090287C"/>
    <w:rsid w:val="00912467"/>
    <w:rsid w:val="00912C25"/>
    <w:rsid w:val="009132D7"/>
    <w:rsid w:val="00915869"/>
    <w:rsid w:val="00921F1E"/>
    <w:rsid w:val="00923D8C"/>
    <w:rsid w:val="00927A5F"/>
    <w:rsid w:val="00930C29"/>
    <w:rsid w:val="0093166A"/>
    <w:rsid w:val="00931B52"/>
    <w:rsid w:val="009349B5"/>
    <w:rsid w:val="00942B3A"/>
    <w:rsid w:val="0094301F"/>
    <w:rsid w:val="0095072D"/>
    <w:rsid w:val="009516DB"/>
    <w:rsid w:val="009578A2"/>
    <w:rsid w:val="00961D03"/>
    <w:rsid w:val="00964709"/>
    <w:rsid w:val="0096607D"/>
    <w:rsid w:val="0097203C"/>
    <w:rsid w:val="00974572"/>
    <w:rsid w:val="00975134"/>
    <w:rsid w:val="0097657D"/>
    <w:rsid w:val="0098189B"/>
    <w:rsid w:val="009837A5"/>
    <w:rsid w:val="0098470A"/>
    <w:rsid w:val="00985431"/>
    <w:rsid w:val="009862EF"/>
    <w:rsid w:val="00987EA9"/>
    <w:rsid w:val="009913F7"/>
    <w:rsid w:val="009922C5"/>
    <w:rsid w:val="00992460"/>
    <w:rsid w:val="009931B2"/>
    <w:rsid w:val="00994BB0"/>
    <w:rsid w:val="009A080D"/>
    <w:rsid w:val="009A2C4D"/>
    <w:rsid w:val="009A313C"/>
    <w:rsid w:val="009A370A"/>
    <w:rsid w:val="009A5ED4"/>
    <w:rsid w:val="009B05A6"/>
    <w:rsid w:val="009B2933"/>
    <w:rsid w:val="009C5D40"/>
    <w:rsid w:val="009C7C35"/>
    <w:rsid w:val="009D12EF"/>
    <w:rsid w:val="009D1599"/>
    <w:rsid w:val="009D4372"/>
    <w:rsid w:val="009D565D"/>
    <w:rsid w:val="009E11D9"/>
    <w:rsid w:val="009E37BE"/>
    <w:rsid w:val="009E4D0F"/>
    <w:rsid w:val="00A06902"/>
    <w:rsid w:val="00A10876"/>
    <w:rsid w:val="00A12F3B"/>
    <w:rsid w:val="00A13724"/>
    <w:rsid w:val="00A15F4E"/>
    <w:rsid w:val="00A16371"/>
    <w:rsid w:val="00A216AB"/>
    <w:rsid w:val="00A225D3"/>
    <w:rsid w:val="00A245CD"/>
    <w:rsid w:val="00A2463C"/>
    <w:rsid w:val="00A2669C"/>
    <w:rsid w:val="00A26DC3"/>
    <w:rsid w:val="00A31942"/>
    <w:rsid w:val="00A32B83"/>
    <w:rsid w:val="00A37DAC"/>
    <w:rsid w:val="00A45E34"/>
    <w:rsid w:val="00A529A5"/>
    <w:rsid w:val="00A61E39"/>
    <w:rsid w:val="00A62543"/>
    <w:rsid w:val="00A659EF"/>
    <w:rsid w:val="00A674AA"/>
    <w:rsid w:val="00A67F7A"/>
    <w:rsid w:val="00A70A9F"/>
    <w:rsid w:val="00A712A4"/>
    <w:rsid w:val="00A72D12"/>
    <w:rsid w:val="00A72FF8"/>
    <w:rsid w:val="00A7496D"/>
    <w:rsid w:val="00A77615"/>
    <w:rsid w:val="00A916BB"/>
    <w:rsid w:val="00AA0793"/>
    <w:rsid w:val="00AA2006"/>
    <w:rsid w:val="00AA51F8"/>
    <w:rsid w:val="00AB0AF0"/>
    <w:rsid w:val="00AB129E"/>
    <w:rsid w:val="00AB5915"/>
    <w:rsid w:val="00AC0320"/>
    <w:rsid w:val="00AC0C42"/>
    <w:rsid w:val="00AC331F"/>
    <w:rsid w:val="00AC3DF7"/>
    <w:rsid w:val="00AC43C4"/>
    <w:rsid w:val="00AC526F"/>
    <w:rsid w:val="00AC7843"/>
    <w:rsid w:val="00AD1CD6"/>
    <w:rsid w:val="00AD21AA"/>
    <w:rsid w:val="00AD71AA"/>
    <w:rsid w:val="00AE08E4"/>
    <w:rsid w:val="00AE0D93"/>
    <w:rsid w:val="00AE212B"/>
    <w:rsid w:val="00AE2574"/>
    <w:rsid w:val="00AE5BFA"/>
    <w:rsid w:val="00AE5FA6"/>
    <w:rsid w:val="00AF14E6"/>
    <w:rsid w:val="00AF20DD"/>
    <w:rsid w:val="00AF7895"/>
    <w:rsid w:val="00AF7930"/>
    <w:rsid w:val="00B04AE1"/>
    <w:rsid w:val="00B111BA"/>
    <w:rsid w:val="00B12347"/>
    <w:rsid w:val="00B146AA"/>
    <w:rsid w:val="00B208BB"/>
    <w:rsid w:val="00B21365"/>
    <w:rsid w:val="00B23108"/>
    <w:rsid w:val="00B24CB4"/>
    <w:rsid w:val="00B24D49"/>
    <w:rsid w:val="00B30567"/>
    <w:rsid w:val="00B32530"/>
    <w:rsid w:val="00B35A7B"/>
    <w:rsid w:val="00B46390"/>
    <w:rsid w:val="00B521C9"/>
    <w:rsid w:val="00B53F58"/>
    <w:rsid w:val="00B5671A"/>
    <w:rsid w:val="00B62346"/>
    <w:rsid w:val="00B62449"/>
    <w:rsid w:val="00B63AAC"/>
    <w:rsid w:val="00B63D26"/>
    <w:rsid w:val="00B64D54"/>
    <w:rsid w:val="00B73A15"/>
    <w:rsid w:val="00B73BD8"/>
    <w:rsid w:val="00B74438"/>
    <w:rsid w:val="00B7502E"/>
    <w:rsid w:val="00B764E0"/>
    <w:rsid w:val="00B76E75"/>
    <w:rsid w:val="00B77930"/>
    <w:rsid w:val="00B80161"/>
    <w:rsid w:val="00B81C41"/>
    <w:rsid w:val="00B81E8E"/>
    <w:rsid w:val="00B82776"/>
    <w:rsid w:val="00B86594"/>
    <w:rsid w:val="00B866F6"/>
    <w:rsid w:val="00B915C3"/>
    <w:rsid w:val="00B918C1"/>
    <w:rsid w:val="00B92E4D"/>
    <w:rsid w:val="00BA06B5"/>
    <w:rsid w:val="00BA55A8"/>
    <w:rsid w:val="00BB6920"/>
    <w:rsid w:val="00BB6DA1"/>
    <w:rsid w:val="00BB7FBD"/>
    <w:rsid w:val="00BC0533"/>
    <w:rsid w:val="00BC0BC1"/>
    <w:rsid w:val="00BC10A8"/>
    <w:rsid w:val="00BC543D"/>
    <w:rsid w:val="00BD011D"/>
    <w:rsid w:val="00BD0FC2"/>
    <w:rsid w:val="00BD0FD6"/>
    <w:rsid w:val="00BD270F"/>
    <w:rsid w:val="00BD2D57"/>
    <w:rsid w:val="00BD7FC3"/>
    <w:rsid w:val="00BE1236"/>
    <w:rsid w:val="00BE200A"/>
    <w:rsid w:val="00BE6B51"/>
    <w:rsid w:val="00BF1A87"/>
    <w:rsid w:val="00BF2C7A"/>
    <w:rsid w:val="00BF36A4"/>
    <w:rsid w:val="00BF54FB"/>
    <w:rsid w:val="00BF5B77"/>
    <w:rsid w:val="00BF66B8"/>
    <w:rsid w:val="00BF67C4"/>
    <w:rsid w:val="00BF74F1"/>
    <w:rsid w:val="00BF79A0"/>
    <w:rsid w:val="00BF7E09"/>
    <w:rsid w:val="00C00692"/>
    <w:rsid w:val="00C013BD"/>
    <w:rsid w:val="00C01F82"/>
    <w:rsid w:val="00C029DF"/>
    <w:rsid w:val="00C07AF2"/>
    <w:rsid w:val="00C12767"/>
    <w:rsid w:val="00C1291F"/>
    <w:rsid w:val="00C2159F"/>
    <w:rsid w:val="00C24275"/>
    <w:rsid w:val="00C251CC"/>
    <w:rsid w:val="00C261AB"/>
    <w:rsid w:val="00C3294C"/>
    <w:rsid w:val="00C35037"/>
    <w:rsid w:val="00C3738D"/>
    <w:rsid w:val="00C37E7F"/>
    <w:rsid w:val="00C40071"/>
    <w:rsid w:val="00C413D4"/>
    <w:rsid w:val="00C415F4"/>
    <w:rsid w:val="00C423AC"/>
    <w:rsid w:val="00C44580"/>
    <w:rsid w:val="00C464D7"/>
    <w:rsid w:val="00C4654B"/>
    <w:rsid w:val="00C467EE"/>
    <w:rsid w:val="00C46D62"/>
    <w:rsid w:val="00C57698"/>
    <w:rsid w:val="00C60038"/>
    <w:rsid w:val="00C61053"/>
    <w:rsid w:val="00C64844"/>
    <w:rsid w:val="00C65206"/>
    <w:rsid w:val="00C67770"/>
    <w:rsid w:val="00C67B79"/>
    <w:rsid w:val="00C67BFF"/>
    <w:rsid w:val="00C74134"/>
    <w:rsid w:val="00C74DF9"/>
    <w:rsid w:val="00C77E6D"/>
    <w:rsid w:val="00C869D4"/>
    <w:rsid w:val="00C87EA5"/>
    <w:rsid w:val="00C9211E"/>
    <w:rsid w:val="00C93546"/>
    <w:rsid w:val="00CA0035"/>
    <w:rsid w:val="00CA15E4"/>
    <w:rsid w:val="00CA456B"/>
    <w:rsid w:val="00CA53B6"/>
    <w:rsid w:val="00CA6370"/>
    <w:rsid w:val="00CA6C01"/>
    <w:rsid w:val="00CB0D62"/>
    <w:rsid w:val="00CB569A"/>
    <w:rsid w:val="00CB6A72"/>
    <w:rsid w:val="00CC0432"/>
    <w:rsid w:val="00CC10A6"/>
    <w:rsid w:val="00CC3E65"/>
    <w:rsid w:val="00CC434C"/>
    <w:rsid w:val="00CC6232"/>
    <w:rsid w:val="00CD4490"/>
    <w:rsid w:val="00CD54D9"/>
    <w:rsid w:val="00CD5910"/>
    <w:rsid w:val="00CE3348"/>
    <w:rsid w:val="00CF210C"/>
    <w:rsid w:val="00CF7D11"/>
    <w:rsid w:val="00D01F8B"/>
    <w:rsid w:val="00D1048E"/>
    <w:rsid w:val="00D14CFA"/>
    <w:rsid w:val="00D153AC"/>
    <w:rsid w:val="00D16FA5"/>
    <w:rsid w:val="00D26093"/>
    <w:rsid w:val="00D26958"/>
    <w:rsid w:val="00D30CA9"/>
    <w:rsid w:val="00D30F07"/>
    <w:rsid w:val="00D359A9"/>
    <w:rsid w:val="00D43924"/>
    <w:rsid w:val="00D43B15"/>
    <w:rsid w:val="00D47D74"/>
    <w:rsid w:val="00D47D8E"/>
    <w:rsid w:val="00D5013C"/>
    <w:rsid w:val="00D524A4"/>
    <w:rsid w:val="00D52A17"/>
    <w:rsid w:val="00D53CB1"/>
    <w:rsid w:val="00D60251"/>
    <w:rsid w:val="00D61E68"/>
    <w:rsid w:val="00D63043"/>
    <w:rsid w:val="00D63694"/>
    <w:rsid w:val="00D636E7"/>
    <w:rsid w:val="00D64CF0"/>
    <w:rsid w:val="00D661CB"/>
    <w:rsid w:val="00D70BE8"/>
    <w:rsid w:val="00D70DD2"/>
    <w:rsid w:val="00D71FF0"/>
    <w:rsid w:val="00D75CA4"/>
    <w:rsid w:val="00D77082"/>
    <w:rsid w:val="00D80784"/>
    <w:rsid w:val="00D80F2B"/>
    <w:rsid w:val="00D82AC2"/>
    <w:rsid w:val="00D90A15"/>
    <w:rsid w:val="00D93F4C"/>
    <w:rsid w:val="00D94836"/>
    <w:rsid w:val="00D949BC"/>
    <w:rsid w:val="00DA0E18"/>
    <w:rsid w:val="00DA6857"/>
    <w:rsid w:val="00DA6B87"/>
    <w:rsid w:val="00DB426B"/>
    <w:rsid w:val="00DB656F"/>
    <w:rsid w:val="00DC2AD6"/>
    <w:rsid w:val="00DC3DC3"/>
    <w:rsid w:val="00DC3EF7"/>
    <w:rsid w:val="00DC480E"/>
    <w:rsid w:val="00DC56DA"/>
    <w:rsid w:val="00DD2B06"/>
    <w:rsid w:val="00DD35CF"/>
    <w:rsid w:val="00DD7A60"/>
    <w:rsid w:val="00DE2BCF"/>
    <w:rsid w:val="00DE3933"/>
    <w:rsid w:val="00DE4450"/>
    <w:rsid w:val="00DE656A"/>
    <w:rsid w:val="00DE663F"/>
    <w:rsid w:val="00DE780B"/>
    <w:rsid w:val="00DF02A1"/>
    <w:rsid w:val="00DF147B"/>
    <w:rsid w:val="00DF1F44"/>
    <w:rsid w:val="00DF52C9"/>
    <w:rsid w:val="00DF750C"/>
    <w:rsid w:val="00E03311"/>
    <w:rsid w:val="00E036DE"/>
    <w:rsid w:val="00E03E4D"/>
    <w:rsid w:val="00E053B1"/>
    <w:rsid w:val="00E0670B"/>
    <w:rsid w:val="00E10B00"/>
    <w:rsid w:val="00E23621"/>
    <w:rsid w:val="00E26F03"/>
    <w:rsid w:val="00E273EC"/>
    <w:rsid w:val="00E27F00"/>
    <w:rsid w:val="00E302B3"/>
    <w:rsid w:val="00E30AE0"/>
    <w:rsid w:val="00E3129F"/>
    <w:rsid w:val="00E33D20"/>
    <w:rsid w:val="00E44B6C"/>
    <w:rsid w:val="00E44D6D"/>
    <w:rsid w:val="00E51787"/>
    <w:rsid w:val="00E52532"/>
    <w:rsid w:val="00E52E87"/>
    <w:rsid w:val="00E549E9"/>
    <w:rsid w:val="00E6355E"/>
    <w:rsid w:val="00E66AE6"/>
    <w:rsid w:val="00E66E55"/>
    <w:rsid w:val="00E75D46"/>
    <w:rsid w:val="00E91A6B"/>
    <w:rsid w:val="00E91EA1"/>
    <w:rsid w:val="00E92CBC"/>
    <w:rsid w:val="00E94519"/>
    <w:rsid w:val="00E94B77"/>
    <w:rsid w:val="00EA17A1"/>
    <w:rsid w:val="00EA6090"/>
    <w:rsid w:val="00EB09A4"/>
    <w:rsid w:val="00EB474A"/>
    <w:rsid w:val="00EB5A0F"/>
    <w:rsid w:val="00EB757B"/>
    <w:rsid w:val="00EC1BC3"/>
    <w:rsid w:val="00EC5098"/>
    <w:rsid w:val="00EC5734"/>
    <w:rsid w:val="00ED2720"/>
    <w:rsid w:val="00ED7CBA"/>
    <w:rsid w:val="00EE02EC"/>
    <w:rsid w:val="00EE1929"/>
    <w:rsid w:val="00EE378F"/>
    <w:rsid w:val="00EE5331"/>
    <w:rsid w:val="00EE66CB"/>
    <w:rsid w:val="00EF097C"/>
    <w:rsid w:val="00EF4CD7"/>
    <w:rsid w:val="00EF53E2"/>
    <w:rsid w:val="00F06489"/>
    <w:rsid w:val="00F14D08"/>
    <w:rsid w:val="00F22C78"/>
    <w:rsid w:val="00F25205"/>
    <w:rsid w:val="00F336DF"/>
    <w:rsid w:val="00F40426"/>
    <w:rsid w:val="00F409AD"/>
    <w:rsid w:val="00F446DA"/>
    <w:rsid w:val="00F45C0A"/>
    <w:rsid w:val="00F464D1"/>
    <w:rsid w:val="00F51973"/>
    <w:rsid w:val="00F5711B"/>
    <w:rsid w:val="00F64FC9"/>
    <w:rsid w:val="00F70C3B"/>
    <w:rsid w:val="00F7665F"/>
    <w:rsid w:val="00F76C13"/>
    <w:rsid w:val="00F87493"/>
    <w:rsid w:val="00F877CE"/>
    <w:rsid w:val="00F9238E"/>
    <w:rsid w:val="00F924CB"/>
    <w:rsid w:val="00F94527"/>
    <w:rsid w:val="00F951A2"/>
    <w:rsid w:val="00F95873"/>
    <w:rsid w:val="00FA04CD"/>
    <w:rsid w:val="00FA28FF"/>
    <w:rsid w:val="00FA4760"/>
    <w:rsid w:val="00FA549F"/>
    <w:rsid w:val="00FA57E8"/>
    <w:rsid w:val="00FA72F1"/>
    <w:rsid w:val="00FB58F3"/>
    <w:rsid w:val="00FB7CA8"/>
    <w:rsid w:val="00FC30A9"/>
    <w:rsid w:val="00FC4BF6"/>
    <w:rsid w:val="00FC4E26"/>
    <w:rsid w:val="00FC51AC"/>
    <w:rsid w:val="00FC6492"/>
    <w:rsid w:val="00FC7FFC"/>
    <w:rsid w:val="00FE1FB8"/>
    <w:rsid w:val="00FE7595"/>
    <w:rsid w:val="00FE7668"/>
    <w:rsid w:val="00FF0096"/>
    <w:rsid w:val="00FF72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9D51AD"/>
  <w15:chartTrackingRefBased/>
  <w15:docId w15:val="{B4CAEFBB-6E7D-4BBD-8830-2F0F869B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9D4"/>
    <w:rPr>
      <w:rFonts w:ascii="Times New Roman" w:eastAsia="Times New Roman" w:hAnsi="Times New Roman"/>
      <w:sz w:val="24"/>
      <w:szCs w:val="24"/>
      <w:lang w:eastAsia="es-ES"/>
    </w:rPr>
  </w:style>
  <w:style w:type="paragraph" w:styleId="Ttulo1">
    <w:name w:val="heading 1"/>
    <w:basedOn w:val="Normal"/>
    <w:next w:val="Normal"/>
    <w:link w:val="Ttulo1Car"/>
    <w:qFormat/>
    <w:rsid w:val="00402D05"/>
    <w:pPr>
      <w:keepNext/>
      <w:spacing w:line="360" w:lineRule="auto"/>
      <w:jc w:val="center"/>
      <w:outlineLvl w:val="0"/>
    </w:pPr>
    <w:rPr>
      <w:i/>
      <w:sz w:val="3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Texto nota pie Car Car Car,texto de nota al p,Footnote,f,ft"/>
    <w:basedOn w:val="Normal"/>
    <w:link w:val="TextonotapieCar1"/>
    <w:qFormat/>
    <w:rsid w:val="00C869D4"/>
    <w:pPr>
      <w:widowControl w:val="0"/>
      <w:tabs>
        <w:tab w:val="left" w:pos="-720"/>
      </w:tabs>
      <w:suppressAutoHyphens/>
    </w:pPr>
    <w:rPr>
      <w:sz w:val="20"/>
      <w:szCs w:val="20"/>
      <w:lang w:val="es-ES_tradnl"/>
    </w:rPr>
  </w:style>
  <w:style w:type="character" w:customStyle="1" w:styleId="TextonotapieCar">
    <w:name w:val="Texto nota pie Car"/>
    <w:aliases w:val="Footnote Text Char Char Char Car1,Footnote Text Char Char Char Car Car Car Car,Footnote Text Char Char Char Car Car"/>
    <w:rsid w:val="00C869D4"/>
    <w:rPr>
      <w:rFonts w:ascii="Times New Roman" w:eastAsia="Times New Roman" w:hAnsi="Times New Roman" w:cs="Times New Roman"/>
      <w:sz w:val="20"/>
      <w:szCs w:val="20"/>
      <w:lang w:val="es-CO" w:eastAsia="es-ES"/>
    </w:rPr>
  </w:style>
  <w:style w:type="character" w:styleId="Nmerodepgina">
    <w:name w:val="page number"/>
    <w:rsid w:val="00C869D4"/>
  </w:style>
  <w:style w:type="paragraph" w:styleId="Piedepgina">
    <w:name w:val="footer"/>
    <w:basedOn w:val="Normal"/>
    <w:link w:val="PiedepginaCar"/>
    <w:rsid w:val="00C869D4"/>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link w:val="Piedepgina"/>
    <w:rsid w:val="00C869D4"/>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ootnote Car"/>
    <w:link w:val="Textonotapie"/>
    <w:locked/>
    <w:rsid w:val="00C869D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Pie de Página,FC,Nota de pie"/>
    <w:uiPriority w:val="99"/>
    <w:qFormat/>
    <w:rsid w:val="00C869D4"/>
    <w:rPr>
      <w:vertAlign w:val="superscript"/>
    </w:rPr>
  </w:style>
  <w:style w:type="paragraph" w:styleId="Encabezado">
    <w:name w:val="header"/>
    <w:basedOn w:val="Normal"/>
    <w:link w:val="EncabezadoCar"/>
    <w:rsid w:val="00C869D4"/>
    <w:pPr>
      <w:tabs>
        <w:tab w:val="center" w:pos="4252"/>
        <w:tab w:val="right" w:pos="8504"/>
      </w:tabs>
    </w:pPr>
  </w:style>
  <w:style w:type="character" w:customStyle="1" w:styleId="EncabezadoCar">
    <w:name w:val="Encabezado Car"/>
    <w:link w:val="Encabezado"/>
    <w:rsid w:val="00C869D4"/>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C869D4"/>
    <w:pPr>
      <w:ind w:left="708"/>
    </w:pPr>
  </w:style>
  <w:style w:type="paragraph" w:customStyle="1" w:styleId="Textoindependiente21">
    <w:name w:val="Texto independiente 21"/>
    <w:basedOn w:val="Normal"/>
    <w:rsid w:val="00C869D4"/>
    <w:pPr>
      <w:suppressAutoHyphens/>
      <w:spacing w:after="120" w:line="480" w:lineRule="auto"/>
    </w:pPr>
    <w:rPr>
      <w:lang w:val="es-ES" w:eastAsia="ar-SA"/>
    </w:rPr>
  </w:style>
  <w:style w:type="paragraph" w:customStyle="1" w:styleId="pa8">
    <w:name w:val="pa8"/>
    <w:basedOn w:val="Normal"/>
    <w:rsid w:val="00C869D4"/>
    <w:pPr>
      <w:spacing w:before="100" w:beforeAutospacing="1" w:after="100" w:afterAutospacing="1"/>
    </w:pPr>
    <w:rPr>
      <w:lang w:val="es-ES"/>
    </w:rPr>
  </w:style>
  <w:style w:type="character" w:customStyle="1" w:styleId="a0">
    <w:name w:val="a0"/>
    <w:rsid w:val="00C869D4"/>
  </w:style>
  <w:style w:type="paragraph" w:customStyle="1" w:styleId="default">
    <w:name w:val="default"/>
    <w:basedOn w:val="Normal"/>
    <w:rsid w:val="00C869D4"/>
    <w:pPr>
      <w:spacing w:before="100" w:beforeAutospacing="1" w:after="100" w:afterAutospacing="1"/>
    </w:pPr>
    <w:rPr>
      <w:lang w:val="es-ES"/>
    </w:rPr>
  </w:style>
  <w:style w:type="character" w:styleId="Hipervnculo">
    <w:name w:val="Hyperlink"/>
    <w:uiPriority w:val="99"/>
    <w:unhideWhenUsed/>
    <w:rsid w:val="00C869D4"/>
    <w:rPr>
      <w:color w:val="0563C1"/>
      <w:u w:val="single"/>
    </w:rPr>
  </w:style>
  <w:style w:type="paragraph" w:styleId="Textoindependiente">
    <w:name w:val="Body Text"/>
    <w:basedOn w:val="Normal"/>
    <w:link w:val="TextoindependienteCar"/>
    <w:semiHidden/>
    <w:rsid w:val="00CA53B6"/>
    <w:pPr>
      <w:jc w:val="both"/>
    </w:pPr>
    <w:rPr>
      <w:rFonts w:ascii="Verdana" w:hAnsi="Verdana"/>
      <w:szCs w:val="20"/>
      <w:lang w:val="x-none" w:eastAsia="x-none"/>
    </w:rPr>
  </w:style>
  <w:style w:type="character" w:customStyle="1" w:styleId="TextoindependienteCar">
    <w:name w:val="Texto independiente Car"/>
    <w:link w:val="Textoindependiente"/>
    <w:semiHidden/>
    <w:rsid w:val="00CA53B6"/>
    <w:rPr>
      <w:rFonts w:ascii="Verdana" w:eastAsia="Times New Roman" w:hAnsi="Verdana"/>
      <w:sz w:val="24"/>
      <w:lang w:val="x-none" w:eastAsia="x-none"/>
    </w:rPr>
  </w:style>
  <w:style w:type="paragraph" w:customStyle="1" w:styleId="Sinespaciado1">
    <w:name w:val="Sin espaciado1"/>
    <w:rsid w:val="00CA53B6"/>
    <w:rPr>
      <w:rFonts w:ascii="Verdana" w:eastAsia="Times New Roman" w:hAnsi="Verdana"/>
      <w:sz w:val="28"/>
      <w:szCs w:val="22"/>
      <w:lang w:val="es-ES" w:eastAsia="en-US"/>
    </w:rPr>
  </w:style>
  <w:style w:type="paragraph" w:customStyle="1" w:styleId="BodyText21">
    <w:name w:val="Body Text 21"/>
    <w:basedOn w:val="Normal"/>
    <w:rsid w:val="003C1B47"/>
    <w:pPr>
      <w:ind w:right="51"/>
      <w:jc w:val="both"/>
    </w:pPr>
    <w:rPr>
      <w:rFonts w:eastAsia="Batang"/>
      <w:sz w:val="28"/>
      <w:szCs w:val="28"/>
      <w:lang w:val="es-ES"/>
    </w:rPr>
  </w:style>
  <w:style w:type="paragraph" w:styleId="Textodeglobo">
    <w:name w:val="Balloon Text"/>
    <w:basedOn w:val="Normal"/>
    <w:link w:val="TextodegloboCar"/>
    <w:uiPriority w:val="99"/>
    <w:semiHidden/>
    <w:unhideWhenUsed/>
    <w:rsid w:val="002D7267"/>
    <w:rPr>
      <w:rFonts w:ascii="Segoe UI" w:hAnsi="Segoe UI" w:cs="Segoe UI"/>
      <w:sz w:val="18"/>
      <w:szCs w:val="18"/>
    </w:rPr>
  </w:style>
  <w:style w:type="character" w:customStyle="1" w:styleId="TextodegloboCar">
    <w:name w:val="Texto de globo Car"/>
    <w:link w:val="Textodeglobo"/>
    <w:uiPriority w:val="99"/>
    <w:semiHidden/>
    <w:rsid w:val="002D7267"/>
    <w:rPr>
      <w:rFonts w:ascii="Segoe UI" w:eastAsia="Times New Roman" w:hAnsi="Segoe UI" w:cs="Segoe UI"/>
      <w:sz w:val="18"/>
      <w:szCs w:val="18"/>
      <w:lang w:val="es-CO"/>
    </w:rPr>
  </w:style>
  <w:style w:type="character" w:customStyle="1" w:styleId="CuerpodeltextoNegrita">
    <w:name w:val="Cuerpo del texto + Negrita"/>
    <w:rsid w:val="007B2D82"/>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7B2D82"/>
    <w:pPr>
      <w:spacing w:before="100" w:beforeAutospacing="1" w:after="100" w:afterAutospacing="1"/>
    </w:pPr>
    <w:rPr>
      <w:lang w:val="es-ES"/>
    </w:rPr>
  </w:style>
  <w:style w:type="character" w:customStyle="1" w:styleId="Ttulo1Car">
    <w:name w:val="Título 1 Car"/>
    <w:link w:val="Ttulo1"/>
    <w:rsid w:val="00402D05"/>
    <w:rPr>
      <w:rFonts w:ascii="Times New Roman" w:eastAsia="Times New Roman" w:hAnsi="Times New Roman"/>
      <w:i/>
      <w:sz w:val="30"/>
      <w:lang w:val="es-ES" w:eastAsia="es-ES"/>
    </w:rPr>
  </w:style>
  <w:style w:type="paragraph" w:customStyle="1" w:styleId="CuerpoA">
    <w:name w:val="Cuerpo A"/>
    <w:rsid w:val="00047B05"/>
    <w:pPr>
      <w:pBdr>
        <w:top w:val="nil"/>
        <w:left w:val="nil"/>
        <w:bottom w:val="nil"/>
        <w:right w:val="nil"/>
        <w:between w:val="nil"/>
        <w:bar w:val="nil"/>
      </w:pBdr>
      <w:spacing w:after="160" w:line="259" w:lineRule="auto"/>
    </w:pPr>
    <w:rPr>
      <w:rFonts w:cs="Calibri"/>
      <w:color w:val="000000"/>
      <w:sz w:val="22"/>
      <w:szCs w:val="22"/>
      <w:u w:color="000000"/>
      <w:bdr w:val="nil"/>
      <w:lang w:val="es-ES_tradnl"/>
    </w:rPr>
  </w:style>
  <w:style w:type="paragraph" w:styleId="Textoindependiente2">
    <w:name w:val="Body Text 2"/>
    <w:basedOn w:val="Normal"/>
    <w:link w:val="Textoindependiente2Car"/>
    <w:uiPriority w:val="99"/>
    <w:unhideWhenUsed/>
    <w:rsid w:val="00C67BFF"/>
    <w:pPr>
      <w:spacing w:after="120" w:line="480" w:lineRule="auto"/>
    </w:pPr>
    <w:rPr>
      <w:rFonts w:ascii="Calibri" w:eastAsia="Calibri" w:hAnsi="Calibri"/>
      <w:sz w:val="22"/>
      <w:szCs w:val="22"/>
      <w:lang w:val="es-ES" w:eastAsia="en-US"/>
    </w:rPr>
  </w:style>
  <w:style w:type="character" w:customStyle="1" w:styleId="Textoindependiente2Car">
    <w:name w:val="Texto independiente 2 Car"/>
    <w:link w:val="Textoindependiente2"/>
    <w:uiPriority w:val="99"/>
    <w:rsid w:val="00C67BFF"/>
    <w:rPr>
      <w:sz w:val="22"/>
      <w:szCs w:val="22"/>
      <w:lang w:val="es-ES" w:eastAsia="en-US"/>
    </w:rPr>
  </w:style>
  <w:style w:type="paragraph" w:styleId="Sinespaciado">
    <w:name w:val="No Spacing"/>
    <w:qFormat/>
    <w:rsid w:val="001F533A"/>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7271">
      <w:bodyDiv w:val="1"/>
      <w:marLeft w:val="0"/>
      <w:marRight w:val="0"/>
      <w:marTop w:val="0"/>
      <w:marBottom w:val="0"/>
      <w:divBdr>
        <w:top w:val="none" w:sz="0" w:space="0" w:color="auto"/>
        <w:left w:val="none" w:sz="0" w:space="0" w:color="auto"/>
        <w:bottom w:val="none" w:sz="0" w:space="0" w:color="auto"/>
        <w:right w:val="none" w:sz="0" w:space="0" w:color="auto"/>
      </w:divBdr>
    </w:div>
    <w:div w:id="511645097">
      <w:bodyDiv w:val="1"/>
      <w:marLeft w:val="0"/>
      <w:marRight w:val="0"/>
      <w:marTop w:val="0"/>
      <w:marBottom w:val="0"/>
      <w:divBdr>
        <w:top w:val="none" w:sz="0" w:space="0" w:color="auto"/>
        <w:left w:val="none" w:sz="0" w:space="0" w:color="auto"/>
        <w:bottom w:val="none" w:sz="0" w:space="0" w:color="auto"/>
        <w:right w:val="none" w:sz="0" w:space="0" w:color="auto"/>
      </w:divBdr>
    </w:div>
    <w:div w:id="534847538">
      <w:bodyDiv w:val="1"/>
      <w:marLeft w:val="0"/>
      <w:marRight w:val="0"/>
      <w:marTop w:val="0"/>
      <w:marBottom w:val="0"/>
      <w:divBdr>
        <w:top w:val="none" w:sz="0" w:space="0" w:color="auto"/>
        <w:left w:val="none" w:sz="0" w:space="0" w:color="auto"/>
        <w:bottom w:val="none" w:sz="0" w:space="0" w:color="auto"/>
        <w:right w:val="none" w:sz="0" w:space="0" w:color="auto"/>
      </w:divBdr>
    </w:div>
    <w:div w:id="888612126">
      <w:bodyDiv w:val="1"/>
      <w:marLeft w:val="0"/>
      <w:marRight w:val="0"/>
      <w:marTop w:val="0"/>
      <w:marBottom w:val="0"/>
      <w:divBdr>
        <w:top w:val="none" w:sz="0" w:space="0" w:color="auto"/>
        <w:left w:val="none" w:sz="0" w:space="0" w:color="auto"/>
        <w:bottom w:val="none" w:sz="0" w:space="0" w:color="auto"/>
        <w:right w:val="none" w:sz="0" w:space="0" w:color="auto"/>
      </w:divBdr>
    </w:div>
    <w:div w:id="1112549354">
      <w:bodyDiv w:val="1"/>
      <w:marLeft w:val="0"/>
      <w:marRight w:val="0"/>
      <w:marTop w:val="0"/>
      <w:marBottom w:val="0"/>
      <w:divBdr>
        <w:top w:val="none" w:sz="0" w:space="0" w:color="auto"/>
        <w:left w:val="none" w:sz="0" w:space="0" w:color="auto"/>
        <w:bottom w:val="none" w:sz="0" w:space="0" w:color="auto"/>
        <w:right w:val="none" w:sz="0" w:space="0" w:color="auto"/>
      </w:divBdr>
    </w:div>
    <w:div w:id="1117022780">
      <w:bodyDiv w:val="1"/>
      <w:marLeft w:val="0"/>
      <w:marRight w:val="0"/>
      <w:marTop w:val="0"/>
      <w:marBottom w:val="0"/>
      <w:divBdr>
        <w:top w:val="none" w:sz="0" w:space="0" w:color="auto"/>
        <w:left w:val="none" w:sz="0" w:space="0" w:color="auto"/>
        <w:bottom w:val="none" w:sz="0" w:space="0" w:color="auto"/>
        <w:right w:val="none" w:sz="0" w:space="0" w:color="auto"/>
      </w:divBdr>
    </w:div>
    <w:div w:id="1315336501">
      <w:bodyDiv w:val="1"/>
      <w:marLeft w:val="0"/>
      <w:marRight w:val="0"/>
      <w:marTop w:val="0"/>
      <w:marBottom w:val="0"/>
      <w:divBdr>
        <w:top w:val="none" w:sz="0" w:space="0" w:color="auto"/>
        <w:left w:val="none" w:sz="0" w:space="0" w:color="auto"/>
        <w:bottom w:val="none" w:sz="0" w:space="0" w:color="auto"/>
        <w:right w:val="none" w:sz="0" w:space="0" w:color="auto"/>
      </w:divBdr>
    </w:div>
    <w:div w:id="1478377946">
      <w:bodyDiv w:val="1"/>
      <w:marLeft w:val="0"/>
      <w:marRight w:val="0"/>
      <w:marTop w:val="0"/>
      <w:marBottom w:val="0"/>
      <w:divBdr>
        <w:top w:val="none" w:sz="0" w:space="0" w:color="auto"/>
        <w:left w:val="none" w:sz="0" w:space="0" w:color="auto"/>
        <w:bottom w:val="none" w:sz="0" w:space="0" w:color="auto"/>
        <w:right w:val="none" w:sz="0" w:space="0" w:color="auto"/>
      </w:divBdr>
    </w:div>
    <w:div w:id="1605652214">
      <w:bodyDiv w:val="1"/>
      <w:marLeft w:val="0"/>
      <w:marRight w:val="0"/>
      <w:marTop w:val="0"/>
      <w:marBottom w:val="0"/>
      <w:divBdr>
        <w:top w:val="none" w:sz="0" w:space="0" w:color="auto"/>
        <w:left w:val="none" w:sz="0" w:space="0" w:color="auto"/>
        <w:bottom w:val="none" w:sz="0" w:space="0" w:color="auto"/>
        <w:right w:val="none" w:sz="0" w:space="0" w:color="auto"/>
      </w:divBdr>
    </w:div>
    <w:div w:id="1794205573">
      <w:bodyDiv w:val="1"/>
      <w:marLeft w:val="0"/>
      <w:marRight w:val="0"/>
      <w:marTop w:val="0"/>
      <w:marBottom w:val="0"/>
      <w:divBdr>
        <w:top w:val="none" w:sz="0" w:space="0" w:color="auto"/>
        <w:left w:val="none" w:sz="0" w:space="0" w:color="auto"/>
        <w:bottom w:val="none" w:sz="0" w:space="0" w:color="auto"/>
        <w:right w:val="none" w:sz="0" w:space="0" w:color="auto"/>
      </w:divBdr>
    </w:div>
    <w:div w:id="1848398429">
      <w:bodyDiv w:val="1"/>
      <w:marLeft w:val="0"/>
      <w:marRight w:val="0"/>
      <w:marTop w:val="0"/>
      <w:marBottom w:val="0"/>
      <w:divBdr>
        <w:top w:val="none" w:sz="0" w:space="0" w:color="auto"/>
        <w:left w:val="none" w:sz="0" w:space="0" w:color="auto"/>
        <w:bottom w:val="none" w:sz="0" w:space="0" w:color="auto"/>
        <w:right w:val="none" w:sz="0" w:space="0" w:color="auto"/>
      </w:divBdr>
    </w:div>
    <w:div w:id="2005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0" ma:contentTypeDescription="Crear nuevo documento." ma:contentTypeScope="" ma:versionID="3515660f0d724950698e2b392b6c8cc0">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6bf40b23b7735a3035e1216a6b2e3d8f"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F47E3-6041-4B6B-8302-72B8F4BE8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B903D9-379D-4F3A-A016-D4648D88DC6F}">
  <ds:schemaRefs>
    <ds:schemaRef ds:uri="http://schemas.microsoft.com/sharepoint/v3/contenttype/forms"/>
  </ds:schemaRefs>
</ds:datastoreItem>
</file>

<file path=customXml/itemProps3.xml><?xml version="1.0" encoding="utf-8"?>
<ds:datastoreItem xmlns:ds="http://schemas.openxmlformats.org/officeDocument/2006/customXml" ds:itemID="{34523569-766B-4AAC-8B98-D59E3E076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0EB0F-EFB4-43ED-9F01-125443F5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3873</Words>
  <Characters>21305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Hermides Alonso Gaviria Ocampo</cp:lastModifiedBy>
  <cp:revision>6</cp:revision>
  <cp:lastPrinted>2019-03-28T19:11:00Z</cp:lastPrinted>
  <dcterms:created xsi:type="dcterms:W3CDTF">2021-08-18T20:15:00Z</dcterms:created>
  <dcterms:modified xsi:type="dcterms:W3CDTF">2021-09-14T16:40:00Z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