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4D028" w14:textId="77777777" w:rsidR="009325EF" w:rsidRPr="009325EF" w:rsidRDefault="009325EF" w:rsidP="009325E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9325EF">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42502A" w14:textId="77777777" w:rsidR="009325EF" w:rsidRPr="009325EF" w:rsidRDefault="009325EF" w:rsidP="009325EF">
      <w:pPr>
        <w:overflowPunct/>
        <w:autoSpaceDE/>
        <w:autoSpaceDN/>
        <w:adjustRightInd/>
        <w:jc w:val="both"/>
        <w:rPr>
          <w:rFonts w:ascii="Arial" w:eastAsia="Times New Roman" w:hAnsi="Arial" w:cs="Arial"/>
          <w:lang w:val="es-419"/>
        </w:rPr>
      </w:pPr>
    </w:p>
    <w:p w14:paraId="5D0A5FF4" w14:textId="2E70934A" w:rsidR="009325EF" w:rsidRPr="009325EF" w:rsidRDefault="00B8716A" w:rsidP="009325EF">
      <w:pPr>
        <w:overflowPunct/>
        <w:autoSpaceDE/>
        <w:autoSpaceDN/>
        <w:adjustRightInd/>
        <w:jc w:val="both"/>
        <w:rPr>
          <w:rFonts w:ascii="Arial" w:eastAsia="Times New Roman" w:hAnsi="Arial" w:cs="Arial"/>
          <w:b/>
          <w:bCs/>
          <w:iCs/>
          <w:lang w:val="es-419" w:eastAsia="fr-FR"/>
        </w:rPr>
      </w:pPr>
      <w:r w:rsidRPr="009325EF">
        <w:rPr>
          <w:rFonts w:ascii="Arial" w:eastAsia="Times New Roman" w:hAnsi="Arial" w:cs="Arial"/>
          <w:b/>
          <w:bCs/>
          <w:iCs/>
          <w:u w:val="single"/>
          <w:lang w:val="es-419" w:eastAsia="fr-FR"/>
        </w:rPr>
        <w:t>TEMAS:</w:t>
      </w:r>
      <w:r w:rsidRPr="009325EF">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LEGITIMACIÓN EN LA CAUSA / LA TIENE COMO ACCIONANTE QUIEN HAYA INTERVENIDO EN EL PROCESO, COMO PARTE O COMO TERCERO INTERVINIENTE.</w:t>
      </w:r>
    </w:p>
    <w:p w14:paraId="721007DA" w14:textId="77777777" w:rsidR="009325EF" w:rsidRPr="009325EF" w:rsidRDefault="009325EF" w:rsidP="009325EF">
      <w:pPr>
        <w:overflowPunct/>
        <w:autoSpaceDE/>
        <w:autoSpaceDN/>
        <w:adjustRightInd/>
        <w:jc w:val="both"/>
        <w:rPr>
          <w:rFonts w:ascii="Arial" w:eastAsia="Times New Roman" w:hAnsi="Arial" w:cs="Arial"/>
          <w:lang w:val="es-419"/>
        </w:rPr>
      </w:pPr>
    </w:p>
    <w:p w14:paraId="6C0A2BD5" w14:textId="36D5D0FF" w:rsidR="009325EF" w:rsidRPr="009325EF" w:rsidRDefault="00FF677F" w:rsidP="009325EF">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FF677F">
        <w:rPr>
          <w:rFonts w:ascii="Arial" w:eastAsia="Times New Roman" w:hAnsi="Arial" w:cs="Arial"/>
          <w:lang w:val="es-419"/>
        </w:rPr>
        <w:t>de las piezas procesales que del proceso de resolución de contrato de compraventa</w:t>
      </w:r>
      <w:r>
        <w:rPr>
          <w:rFonts w:ascii="Arial" w:eastAsia="Times New Roman" w:hAnsi="Arial" w:cs="Arial"/>
          <w:lang w:val="es-419"/>
        </w:rPr>
        <w:t xml:space="preserve">… </w:t>
      </w:r>
      <w:r w:rsidRPr="00FF677F">
        <w:rPr>
          <w:rFonts w:ascii="Arial" w:eastAsia="Times New Roman" w:hAnsi="Arial" w:cs="Arial"/>
          <w:lang w:val="es-419"/>
        </w:rPr>
        <w:t>fueron incorporadas al expediente, se logra evidenciar que, tal como se expuso en las contestaciones de la tutela, el promotor del amparo Wilmar López Vásquez no hace parte de la citada causa</w:t>
      </w:r>
      <w:r>
        <w:rPr>
          <w:rFonts w:ascii="Arial" w:eastAsia="Times New Roman" w:hAnsi="Arial" w:cs="Arial"/>
          <w:lang w:val="es-419"/>
        </w:rPr>
        <w:t>…</w:t>
      </w:r>
    </w:p>
    <w:p w14:paraId="5D406B1C" w14:textId="77777777" w:rsidR="009325EF" w:rsidRPr="009325EF" w:rsidRDefault="009325EF" w:rsidP="009325EF">
      <w:pPr>
        <w:overflowPunct/>
        <w:autoSpaceDE/>
        <w:autoSpaceDN/>
        <w:adjustRightInd/>
        <w:jc w:val="both"/>
        <w:rPr>
          <w:rFonts w:ascii="Arial" w:eastAsia="Times New Roman" w:hAnsi="Arial" w:cs="Arial"/>
          <w:lang w:val="es-419"/>
        </w:rPr>
      </w:pPr>
    </w:p>
    <w:p w14:paraId="2BB5A820" w14:textId="4BB48FE6" w:rsidR="00C304B2" w:rsidRPr="00C304B2" w:rsidRDefault="00C304B2" w:rsidP="00C304B2">
      <w:pPr>
        <w:overflowPunct/>
        <w:autoSpaceDE/>
        <w:autoSpaceDN/>
        <w:adjustRightInd/>
        <w:jc w:val="both"/>
        <w:rPr>
          <w:rFonts w:ascii="Arial" w:eastAsia="Times New Roman" w:hAnsi="Arial" w:cs="Arial"/>
          <w:lang w:val="es-419"/>
        </w:rPr>
      </w:pPr>
      <w:r w:rsidRPr="00C304B2">
        <w:rPr>
          <w:rFonts w:ascii="Arial" w:eastAsia="Times New Roman" w:hAnsi="Arial" w:cs="Arial"/>
          <w:lang w:val="es-419"/>
        </w:rPr>
        <w:t xml:space="preserve">Se deduce de lo anterior que, si el tutelante no ha comparecido como parte ni como tercero en el mencionado proceso, las decisiones adoptadas en su interior no lo podrían afectar, pues tal como lo ha expresado la Corte Constitucional: “Una persona que no ha intervenido dentro de un proceso judicial, y que no actúa como agente oficioso o como apoderado de quien sí lo ha hecho, no podría alegar una vulneración de sus derechos fundamentales como consecuencia de la decisión tomada por la autoridad judicial…”. </w:t>
      </w:r>
    </w:p>
    <w:p w14:paraId="72FFB089" w14:textId="77777777" w:rsidR="00C304B2" w:rsidRPr="00C304B2" w:rsidRDefault="00C304B2" w:rsidP="00C304B2">
      <w:pPr>
        <w:overflowPunct/>
        <w:autoSpaceDE/>
        <w:autoSpaceDN/>
        <w:adjustRightInd/>
        <w:jc w:val="both"/>
        <w:rPr>
          <w:rFonts w:ascii="Arial" w:eastAsia="Times New Roman" w:hAnsi="Arial" w:cs="Arial"/>
          <w:lang w:val="es-419"/>
        </w:rPr>
      </w:pPr>
    </w:p>
    <w:p w14:paraId="0B59FE32" w14:textId="5101F78A" w:rsidR="009325EF" w:rsidRPr="009325EF" w:rsidRDefault="00C304B2" w:rsidP="00C304B2">
      <w:pPr>
        <w:overflowPunct/>
        <w:autoSpaceDE/>
        <w:autoSpaceDN/>
        <w:adjustRightInd/>
        <w:jc w:val="both"/>
        <w:rPr>
          <w:rFonts w:ascii="Arial" w:eastAsia="Times New Roman" w:hAnsi="Arial" w:cs="Arial"/>
          <w:lang w:val="es-419"/>
        </w:rPr>
      </w:pPr>
      <w:r w:rsidRPr="00C304B2">
        <w:rPr>
          <w:rFonts w:ascii="Arial" w:eastAsia="Times New Roman" w:hAnsi="Arial" w:cs="Arial"/>
          <w:lang w:val="es-419"/>
        </w:rPr>
        <w:t>Esa misma línea de pensamiento la sigue la Corte Suprema de Justicia, que al respecto y en un caso similar al actual, indicó: “1. Sólo está facultado para promover el resguardo constitucional quien le vulneren o amenacen sus derechos fundamentales, tal como lo prevé el artículo 10 del Decreto 2591 de 1991. Así, entonces, cuando se censuran decisiones de los jueces, es claro que están legitimados para pedir protección únicamente los contendientes en la litis cuestionada o terceros que hayan intervenido, pero circunscrito a los aspectos de dicha participación…</w:t>
      </w:r>
      <w:r>
        <w:rPr>
          <w:rFonts w:ascii="Arial" w:eastAsia="Times New Roman" w:hAnsi="Arial" w:cs="Arial"/>
          <w:lang w:val="es-419"/>
        </w:rPr>
        <w:t>”</w:t>
      </w:r>
    </w:p>
    <w:p w14:paraId="167982A8" w14:textId="77777777" w:rsidR="009325EF" w:rsidRPr="009325EF" w:rsidRDefault="009325EF" w:rsidP="009325EF">
      <w:pPr>
        <w:overflowPunct/>
        <w:autoSpaceDE/>
        <w:autoSpaceDN/>
        <w:adjustRightInd/>
        <w:jc w:val="both"/>
        <w:rPr>
          <w:rFonts w:ascii="Arial" w:eastAsia="Times New Roman" w:hAnsi="Arial" w:cs="Arial"/>
          <w:lang w:val="es-419"/>
        </w:rPr>
      </w:pPr>
    </w:p>
    <w:p w14:paraId="4E962D3D" w14:textId="479522D6" w:rsidR="009325EF" w:rsidRPr="009325EF" w:rsidRDefault="00C304B2" w:rsidP="009325EF">
      <w:pPr>
        <w:overflowPunct/>
        <w:autoSpaceDE/>
        <w:autoSpaceDN/>
        <w:adjustRightInd/>
        <w:jc w:val="both"/>
        <w:rPr>
          <w:rFonts w:ascii="Arial" w:eastAsia="Times New Roman" w:hAnsi="Arial" w:cs="Arial"/>
          <w:lang w:val="es-419"/>
        </w:rPr>
      </w:pPr>
      <w:r w:rsidRPr="00C304B2">
        <w:rPr>
          <w:rFonts w:ascii="Arial" w:eastAsia="Times New Roman" w:hAnsi="Arial" w:cs="Arial"/>
          <w:lang w:val="es-419"/>
        </w:rPr>
        <w:t>Puede entonces concluirse que el accionante carece de legitimación en la causa para controvertir decisiones adoptadas en el proceso en el que no ha intervenido como parte, ni ha sido reconocido como tercero con interés</w:t>
      </w:r>
      <w:r>
        <w:rPr>
          <w:rFonts w:ascii="Arial" w:eastAsia="Times New Roman" w:hAnsi="Arial" w:cs="Arial"/>
          <w:lang w:val="es-419"/>
        </w:rPr>
        <w:t>…</w:t>
      </w:r>
    </w:p>
    <w:p w14:paraId="72525E90" w14:textId="77777777" w:rsidR="009325EF" w:rsidRPr="009325EF" w:rsidRDefault="009325EF" w:rsidP="009325EF">
      <w:pPr>
        <w:overflowPunct/>
        <w:autoSpaceDE/>
        <w:autoSpaceDN/>
        <w:adjustRightInd/>
        <w:jc w:val="both"/>
        <w:rPr>
          <w:rFonts w:ascii="Arial" w:eastAsia="Times New Roman" w:hAnsi="Arial" w:cs="Arial"/>
          <w:lang w:val="es-ES"/>
        </w:rPr>
      </w:pPr>
    </w:p>
    <w:p w14:paraId="5D02BF9C" w14:textId="77777777" w:rsidR="009325EF" w:rsidRPr="009325EF" w:rsidRDefault="009325EF" w:rsidP="009325EF">
      <w:pPr>
        <w:overflowPunct/>
        <w:autoSpaceDE/>
        <w:autoSpaceDN/>
        <w:adjustRightInd/>
        <w:jc w:val="both"/>
        <w:rPr>
          <w:rFonts w:ascii="Arial" w:eastAsia="Times New Roman" w:hAnsi="Arial" w:cs="Arial"/>
          <w:lang w:val="es-ES"/>
        </w:rPr>
      </w:pPr>
    </w:p>
    <w:p w14:paraId="4D7DA2E8" w14:textId="77777777" w:rsidR="009325EF" w:rsidRPr="009325EF" w:rsidRDefault="009325EF" w:rsidP="009325EF">
      <w:pPr>
        <w:overflowPunct/>
        <w:autoSpaceDE/>
        <w:autoSpaceDN/>
        <w:adjustRightInd/>
        <w:jc w:val="both"/>
        <w:rPr>
          <w:rFonts w:ascii="Arial" w:eastAsia="Times New Roman" w:hAnsi="Arial" w:cs="Arial"/>
          <w:lang w:val="es-ES"/>
        </w:rPr>
      </w:pPr>
    </w:p>
    <w:bookmarkEnd w:id="0"/>
    <w:p w14:paraId="6B7FF0E1" w14:textId="77777777" w:rsidR="00E20047" w:rsidRPr="009325EF" w:rsidRDefault="00E20047" w:rsidP="009325EF">
      <w:pPr>
        <w:spacing w:line="276" w:lineRule="auto"/>
        <w:jc w:val="center"/>
        <w:rPr>
          <w:rFonts w:ascii="Arial Narrow" w:hAnsi="Arial Narrow"/>
          <w:b/>
          <w:sz w:val="26"/>
          <w:szCs w:val="26"/>
        </w:rPr>
      </w:pPr>
      <w:r w:rsidRPr="009325EF">
        <w:rPr>
          <w:rFonts w:ascii="Arial Narrow" w:hAnsi="Arial Narrow"/>
          <w:b/>
          <w:sz w:val="26"/>
          <w:szCs w:val="26"/>
        </w:rPr>
        <w:t>REPÚBLICA DE COLOMBIA</w:t>
      </w:r>
    </w:p>
    <w:p w14:paraId="5DAB6C7B" w14:textId="77777777" w:rsidR="00E20047" w:rsidRPr="009325EF" w:rsidRDefault="00E20047" w:rsidP="009325EF">
      <w:pPr>
        <w:spacing w:line="276" w:lineRule="auto"/>
        <w:jc w:val="center"/>
        <w:rPr>
          <w:rFonts w:ascii="Arial Narrow" w:hAnsi="Arial Narrow"/>
          <w:b/>
          <w:sz w:val="26"/>
          <w:szCs w:val="26"/>
        </w:rPr>
      </w:pPr>
      <w:r w:rsidRPr="009325EF">
        <w:rPr>
          <w:rFonts w:ascii="Arial Narrow" w:hAnsi="Arial Narrow"/>
          <w:noProof/>
          <w:sz w:val="26"/>
          <w:szCs w:val="26"/>
          <w:lang w:val="es-CO" w:eastAsia="es-CO"/>
        </w:rPr>
        <w:drawing>
          <wp:inline distT="0" distB="0" distL="0" distR="0" wp14:anchorId="45A0FB22"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E20047" w:rsidRPr="009325EF" w:rsidRDefault="00E20047" w:rsidP="009325EF">
      <w:pPr>
        <w:spacing w:line="276" w:lineRule="auto"/>
        <w:jc w:val="center"/>
        <w:rPr>
          <w:rFonts w:ascii="Arial Narrow" w:hAnsi="Arial Narrow"/>
          <w:b/>
          <w:sz w:val="26"/>
          <w:szCs w:val="26"/>
        </w:rPr>
      </w:pPr>
      <w:r w:rsidRPr="009325EF">
        <w:rPr>
          <w:rFonts w:ascii="Arial Narrow" w:hAnsi="Arial Narrow"/>
          <w:b/>
          <w:sz w:val="26"/>
          <w:szCs w:val="26"/>
        </w:rPr>
        <w:t>TRIBUNAL SUPERIOR DE PEREIRA</w:t>
      </w:r>
    </w:p>
    <w:p w14:paraId="6939F362" w14:textId="77777777" w:rsidR="00E20047" w:rsidRPr="009325EF" w:rsidRDefault="00E20047" w:rsidP="009325EF">
      <w:pPr>
        <w:spacing w:line="276" w:lineRule="auto"/>
        <w:jc w:val="center"/>
        <w:rPr>
          <w:rFonts w:ascii="Arial Narrow" w:hAnsi="Arial Narrow"/>
          <w:b/>
          <w:sz w:val="26"/>
          <w:szCs w:val="26"/>
        </w:rPr>
      </w:pPr>
      <w:r w:rsidRPr="009325EF">
        <w:rPr>
          <w:rFonts w:ascii="Arial Narrow" w:hAnsi="Arial Narrow"/>
          <w:b/>
          <w:sz w:val="26"/>
          <w:szCs w:val="26"/>
        </w:rPr>
        <w:t xml:space="preserve">SALA CIVIL – FAMILIA </w:t>
      </w:r>
    </w:p>
    <w:p w14:paraId="02EB378F" w14:textId="77777777" w:rsidR="00E20047" w:rsidRPr="009325EF" w:rsidRDefault="00E20047" w:rsidP="009325EF">
      <w:pPr>
        <w:pStyle w:val="Sinespaciado"/>
        <w:spacing w:line="276" w:lineRule="auto"/>
        <w:rPr>
          <w:rFonts w:ascii="Arial Narrow" w:hAnsi="Arial Narrow"/>
          <w:b/>
          <w:sz w:val="26"/>
          <w:szCs w:val="26"/>
          <w:lang w:val="es-ES_tradnl"/>
        </w:rPr>
      </w:pPr>
    </w:p>
    <w:p w14:paraId="68E41E93" w14:textId="4BF0DF5C" w:rsidR="00E20047" w:rsidRPr="009325EF" w:rsidRDefault="009325EF" w:rsidP="009325EF">
      <w:pPr>
        <w:pStyle w:val="Sinespaciado"/>
        <w:spacing w:line="276" w:lineRule="auto"/>
        <w:jc w:val="center"/>
        <w:rPr>
          <w:rFonts w:ascii="Arial Narrow" w:hAnsi="Arial Narrow"/>
          <w:bCs/>
          <w:sz w:val="26"/>
          <w:szCs w:val="26"/>
        </w:rPr>
      </w:pPr>
      <w:r w:rsidRPr="009325EF">
        <w:rPr>
          <w:rFonts w:ascii="Arial Narrow" w:hAnsi="Arial Narrow"/>
          <w:bCs/>
          <w:sz w:val="26"/>
          <w:szCs w:val="26"/>
        </w:rPr>
        <w:t>Magistrado Ponente: Carlos Mauricio García Barajas</w:t>
      </w:r>
    </w:p>
    <w:p w14:paraId="6A05A809" w14:textId="77777777" w:rsidR="00E20047" w:rsidRPr="009325EF" w:rsidRDefault="00E20047" w:rsidP="009325EF">
      <w:pPr>
        <w:pStyle w:val="Sinespaciado"/>
        <w:spacing w:line="276" w:lineRule="auto"/>
        <w:jc w:val="center"/>
        <w:rPr>
          <w:rFonts w:ascii="Arial Narrow" w:hAnsi="Arial Narrow"/>
          <w:bCs/>
          <w:color w:val="FF0000"/>
          <w:sz w:val="26"/>
          <w:szCs w:val="26"/>
        </w:rPr>
      </w:pPr>
      <w:bookmarkStart w:id="1" w:name="_Hlk111633986"/>
    </w:p>
    <w:p w14:paraId="3CB5856E" w14:textId="72B58274" w:rsidR="00B41198" w:rsidRPr="009325EF" w:rsidRDefault="00B41198" w:rsidP="009325EF">
      <w:pPr>
        <w:pStyle w:val="Sinespaciado"/>
        <w:spacing w:line="276" w:lineRule="auto"/>
        <w:jc w:val="center"/>
        <w:rPr>
          <w:rFonts w:ascii="Arial Narrow" w:hAnsi="Arial Narrow"/>
          <w:bCs/>
          <w:sz w:val="26"/>
          <w:szCs w:val="26"/>
        </w:rPr>
      </w:pPr>
      <w:r w:rsidRPr="009325EF">
        <w:rPr>
          <w:rFonts w:ascii="Arial Narrow" w:hAnsi="Arial Narrow"/>
          <w:bCs/>
          <w:sz w:val="26"/>
          <w:szCs w:val="26"/>
        </w:rPr>
        <w:t xml:space="preserve">Pereira, </w:t>
      </w:r>
      <w:r w:rsidR="0027343F" w:rsidRPr="009325EF">
        <w:rPr>
          <w:rFonts w:ascii="Arial Narrow" w:hAnsi="Arial Narrow"/>
          <w:bCs/>
          <w:sz w:val="26"/>
          <w:szCs w:val="26"/>
        </w:rPr>
        <w:t xml:space="preserve">diecisiete </w:t>
      </w:r>
      <w:r w:rsidRPr="009325EF">
        <w:rPr>
          <w:rFonts w:ascii="Arial Narrow" w:hAnsi="Arial Narrow"/>
          <w:bCs/>
          <w:sz w:val="26"/>
          <w:szCs w:val="26"/>
        </w:rPr>
        <w:t>(</w:t>
      </w:r>
      <w:r w:rsidR="0027343F" w:rsidRPr="009325EF">
        <w:rPr>
          <w:rFonts w:ascii="Arial Narrow" w:hAnsi="Arial Narrow"/>
          <w:bCs/>
          <w:sz w:val="26"/>
          <w:szCs w:val="26"/>
        </w:rPr>
        <w:t>17</w:t>
      </w:r>
      <w:r w:rsidRPr="009325EF">
        <w:rPr>
          <w:rFonts w:ascii="Arial Narrow" w:hAnsi="Arial Narrow"/>
          <w:bCs/>
          <w:sz w:val="26"/>
          <w:szCs w:val="26"/>
        </w:rPr>
        <w:t xml:space="preserve">) de </w:t>
      </w:r>
      <w:r w:rsidR="0027343F" w:rsidRPr="009325EF">
        <w:rPr>
          <w:rFonts w:ascii="Arial Narrow" w:hAnsi="Arial Narrow"/>
          <w:bCs/>
          <w:sz w:val="26"/>
          <w:szCs w:val="26"/>
        </w:rPr>
        <w:t>agosto</w:t>
      </w:r>
      <w:r w:rsidRPr="009325EF">
        <w:rPr>
          <w:rFonts w:ascii="Arial Narrow" w:hAnsi="Arial Narrow"/>
          <w:bCs/>
          <w:sz w:val="26"/>
          <w:szCs w:val="26"/>
        </w:rPr>
        <w:t xml:space="preserve"> de dos mil veintidós (2022)</w:t>
      </w:r>
    </w:p>
    <w:p w14:paraId="72A3D3EC" w14:textId="77777777" w:rsidR="00B41198" w:rsidRPr="009325EF" w:rsidRDefault="00B41198" w:rsidP="009325EF">
      <w:pPr>
        <w:pStyle w:val="Sinespaciado"/>
        <w:spacing w:line="276" w:lineRule="auto"/>
        <w:rPr>
          <w:rFonts w:ascii="Arial Narrow" w:hAnsi="Arial Narrow"/>
          <w:sz w:val="26"/>
          <w:szCs w:val="26"/>
        </w:rPr>
      </w:pPr>
    </w:p>
    <w:p w14:paraId="1BB5FCA6" w14:textId="72B5AAFB" w:rsidR="00B41198" w:rsidRPr="009325EF" w:rsidRDefault="00B41198" w:rsidP="009325EF">
      <w:pPr>
        <w:pStyle w:val="Sinespaciado"/>
        <w:spacing w:line="276" w:lineRule="auto"/>
        <w:rPr>
          <w:rFonts w:ascii="Arial Narrow" w:hAnsi="Arial Narrow"/>
          <w:sz w:val="24"/>
          <w:szCs w:val="26"/>
          <w:lang w:val="pt-BR"/>
        </w:rPr>
      </w:pPr>
      <w:r w:rsidRPr="009325EF">
        <w:rPr>
          <w:rFonts w:ascii="Arial Narrow" w:hAnsi="Arial Narrow"/>
          <w:sz w:val="24"/>
          <w:szCs w:val="26"/>
          <w:lang w:val="pt-BR"/>
        </w:rPr>
        <w:t>Acta N°</w:t>
      </w:r>
      <w:r w:rsidR="0027343F" w:rsidRPr="009325EF">
        <w:rPr>
          <w:rFonts w:ascii="Arial Narrow" w:hAnsi="Arial Narrow"/>
          <w:sz w:val="24"/>
          <w:szCs w:val="26"/>
          <w:lang w:val="pt-BR"/>
        </w:rPr>
        <w:t xml:space="preserve"> 387</w:t>
      </w:r>
      <w:r w:rsidRPr="009325EF">
        <w:rPr>
          <w:rFonts w:ascii="Arial Narrow" w:hAnsi="Arial Narrow"/>
          <w:sz w:val="24"/>
          <w:szCs w:val="26"/>
          <w:lang w:val="pt-BR"/>
        </w:rPr>
        <w:t xml:space="preserve"> de </w:t>
      </w:r>
      <w:r w:rsidR="0027343F" w:rsidRPr="009325EF">
        <w:rPr>
          <w:rFonts w:ascii="Arial Narrow" w:hAnsi="Arial Narrow"/>
          <w:sz w:val="24"/>
          <w:szCs w:val="26"/>
          <w:lang w:val="pt-BR"/>
        </w:rPr>
        <w:t>17-08</w:t>
      </w:r>
      <w:r w:rsidRPr="009325EF">
        <w:rPr>
          <w:rFonts w:ascii="Arial Narrow" w:hAnsi="Arial Narrow"/>
          <w:sz w:val="24"/>
          <w:szCs w:val="26"/>
          <w:lang w:val="pt-BR"/>
        </w:rPr>
        <w:t>-2022</w:t>
      </w:r>
    </w:p>
    <w:p w14:paraId="18C8858F" w14:textId="4A1B7789" w:rsidR="005109EF" w:rsidRPr="009325EF" w:rsidRDefault="00B41198" w:rsidP="009325EF">
      <w:pPr>
        <w:pStyle w:val="Sinespaciado"/>
        <w:spacing w:line="276" w:lineRule="auto"/>
        <w:rPr>
          <w:rFonts w:ascii="Arial Narrow" w:hAnsi="Arial Narrow"/>
          <w:bCs/>
          <w:sz w:val="24"/>
          <w:szCs w:val="26"/>
          <w:u w:val="single"/>
        </w:rPr>
      </w:pPr>
      <w:r w:rsidRPr="009325EF">
        <w:rPr>
          <w:rFonts w:ascii="Arial Narrow" w:hAnsi="Arial Narrow"/>
          <w:bCs/>
          <w:sz w:val="24"/>
          <w:szCs w:val="26"/>
          <w:lang w:val="pt-BR"/>
        </w:rPr>
        <w:t xml:space="preserve">Sentencia: </w:t>
      </w:r>
      <w:r w:rsidRPr="009325EF">
        <w:rPr>
          <w:rFonts w:ascii="Arial Narrow" w:hAnsi="Arial Narrow"/>
          <w:bCs/>
          <w:sz w:val="24"/>
          <w:szCs w:val="26"/>
        </w:rPr>
        <w:t>ST1-0</w:t>
      </w:r>
      <w:r w:rsidR="0027343F" w:rsidRPr="009325EF">
        <w:rPr>
          <w:rFonts w:ascii="Arial Narrow" w:hAnsi="Arial Narrow"/>
          <w:bCs/>
          <w:sz w:val="24"/>
          <w:szCs w:val="26"/>
        </w:rPr>
        <w:t>192</w:t>
      </w:r>
      <w:r w:rsidRPr="009325EF">
        <w:rPr>
          <w:rFonts w:ascii="Arial Narrow" w:hAnsi="Arial Narrow"/>
          <w:bCs/>
          <w:sz w:val="24"/>
          <w:szCs w:val="26"/>
        </w:rPr>
        <w:t>-2022</w:t>
      </w:r>
      <w:bookmarkStart w:id="2" w:name="_GoBack"/>
      <w:bookmarkEnd w:id="2"/>
    </w:p>
    <w:bookmarkEnd w:id="1"/>
    <w:p w14:paraId="47216392" w14:textId="269AB844" w:rsidR="291191AB" w:rsidRPr="009325EF" w:rsidRDefault="291191AB" w:rsidP="009325EF">
      <w:pPr>
        <w:pStyle w:val="Sinespaciado"/>
        <w:spacing w:line="276" w:lineRule="auto"/>
        <w:jc w:val="center"/>
        <w:rPr>
          <w:rFonts w:ascii="Arial Narrow" w:hAnsi="Arial Narrow"/>
          <w:b/>
          <w:bCs/>
          <w:sz w:val="26"/>
          <w:szCs w:val="26"/>
        </w:rPr>
      </w:pPr>
    </w:p>
    <w:p w14:paraId="198A3D48" w14:textId="77777777" w:rsidR="00E20047" w:rsidRPr="009325EF" w:rsidRDefault="00E20047" w:rsidP="009325EF">
      <w:pPr>
        <w:pStyle w:val="Sinespaciado"/>
        <w:spacing w:line="276" w:lineRule="auto"/>
        <w:jc w:val="center"/>
        <w:rPr>
          <w:rFonts w:ascii="Arial Narrow" w:hAnsi="Arial Narrow"/>
          <w:sz w:val="26"/>
          <w:szCs w:val="26"/>
        </w:rPr>
      </w:pPr>
      <w:r w:rsidRPr="009325EF">
        <w:rPr>
          <w:rFonts w:ascii="Arial Narrow" w:hAnsi="Arial Narrow"/>
          <w:b/>
          <w:bCs/>
          <w:sz w:val="26"/>
          <w:szCs w:val="26"/>
        </w:rPr>
        <w:t>ASUNTO</w:t>
      </w:r>
    </w:p>
    <w:p w14:paraId="0D0B940D" w14:textId="77777777" w:rsidR="00E20047" w:rsidRPr="009325EF" w:rsidRDefault="00E20047" w:rsidP="009325EF">
      <w:pPr>
        <w:pStyle w:val="Sinespaciado"/>
        <w:spacing w:line="276" w:lineRule="auto"/>
        <w:jc w:val="center"/>
        <w:rPr>
          <w:rFonts w:ascii="Arial Narrow" w:hAnsi="Arial Narrow"/>
          <w:sz w:val="26"/>
          <w:szCs w:val="26"/>
        </w:rPr>
      </w:pPr>
    </w:p>
    <w:p w14:paraId="65A50BA8" w14:textId="77777777" w:rsidR="00A217EF" w:rsidRPr="009325EF" w:rsidRDefault="00434ACF" w:rsidP="009325EF">
      <w:pPr>
        <w:pStyle w:val="Sinespaciado"/>
        <w:spacing w:line="276" w:lineRule="auto"/>
        <w:jc w:val="both"/>
        <w:rPr>
          <w:rFonts w:ascii="Arial Narrow" w:hAnsi="Arial Narrow"/>
          <w:sz w:val="26"/>
          <w:szCs w:val="26"/>
        </w:rPr>
      </w:pPr>
      <w:r w:rsidRPr="009325EF">
        <w:rPr>
          <w:rFonts w:ascii="Arial Narrow" w:hAnsi="Arial Narrow"/>
          <w:sz w:val="26"/>
          <w:szCs w:val="26"/>
        </w:rPr>
        <w:t>Se</w:t>
      </w:r>
      <w:r w:rsidR="00E20047" w:rsidRPr="009325EF">
        <w:rPr>
          <w:rFonts w:ascii="Arial Narrow" w:hAnsi="Arial Narrow"/>
          <w:sz w:val="26"/>
          <w:szCs w:val="26"/>
        </w:rPr>
        <w:t xml:space="preserve"> res</w:t>
      </w:r>
      <w:r w:rsidRPr="009325EF">
        <w:rPr>
          <w:rFonts w:ascii="Arial Narrow" w:hAnsi="Arial Narrow"/>
          <w:sz w:val="26"/>
          <w:szCs w:val="26"/>
        </w:rPr>
        <w:t xml:space="preserve">uelve </w:t>
      </w:r>
      <w:r w:rsidR="00E20047" w:rsidRPr="009325EF">
        <w:rPr>
          <w:rFonts w:ascii="Arial Narrow" w:hAnsi="Arial Narrow"/>
          <w:sz w:val="26"/>
          <w:szCs w:val="26"/>
        </w:rPr>
        <w:t xml:space="preserve">la acción de tutela interpuesta por </w:t>
      </w:r>
      <w:r w:rsidR="00445689" w:rsidRPr="009325EF">
        <w:rPr>
          <w:rFonts w:ascii="Arial Narrow" w:hAnsi="Arial Narrow"/>
          <w:sz w:val="26"/>
          <w:szCs w:val="26"/>
        </w:rPr>
        <w:t xml:space="preserve">Wilmar López Vásquez contra el Juzgado Segundo Civil del Circuito y la Inspección 18 Municipal de Policía de Pereira, trámite al que fueron vinculados los señores Alexandra Bahamón, Cristian Alejandro Bahamón, </w:t>
      </w:r>
      <w:proofErr w:type="spellStart"/>
      <w:r w:rsidR="00445689" w:rsidRPr="009325EF">
        <w:rPr>
          <w:rFonts w:ascii="Arial Narrow" w:hAnsi="Arial Narrow"/>
          <w:sz w:val="26"/>
          <w:szCs w:val="26"/>
        </w:rPr>
        <w:t>Jhon</w:t>
      </w:r>
      <w:proofErr w:type="spellEnd"/>
      <w:r w:rsidR="00445689" w:rsidRPr="009325EF">
        <w:rPr>
          <w:rFonts w:ascii="Arial Narrow" w:hAnsi="Arial Narrow"/>
          <w:sz w:val="26"/>
          <w:szCs w:val="26"/>
        </w:rPr>
        <w:t xml:space="preserve"> Fredy Villa Ramírez, Luis Fernando Cardona Monsalve y Francisco José Durán Palacio.</w:t>
      </w:r>
    </w:p>
    <w:p w14:paraId="0E27B00A" w14:textId="77777777" w:rsidR="00445689" w:rsidRPr="009325EF" w:rsidRDefault="00445689" w:rsidP="009325EF">
      <w:pPr>
        <w:pStyle w:val="Sinespaciado"/>
        <w:spacing w:line="276" w:lineRule="auto"/>
        <w:jc w:val="both"/>
        <w:rPr>
          <w:rFonts w:ascii="Arial Narrow" w:hAnsi="Arial Narrow"/>
          <w:sz w:val="26"/>
          <w:szCs w:val="26"/>
        </w:rPr>
      </w:pPr>
    </w:p>
    <w:p w14:paraId="0F10BAA5" w14:textId="77777777" w:rsidR="00E20047" w:rsidRPr="009325EF" w:rsidRDefault="00E20047" w:rsidP="009325EF">
      <w:pPr>
        <w:pStyle w:val="Sinespaciado"/>
        <w:spacing w:line="276" w:lineRule="auto"/>
        <w:jc w:val="center"/>
        <w:rPr>
          <w:rFonts w:ascii="Arial Narrow" w:hAnsi="Arial Narrow"/>
          <w:sz w:val="26"/>
          <w:szCs w:val="26"/>
        </w:rPr>
      </w:pPr>
      <w:r w:rsidRPr="009325EF">
        <w:rPr>
          <w:rFonts w:ascii="Arial Narrow" w:hAnsi="Arial Narrow"/>
          <w:b/>
          <w:bCs/>
          <w:sz w:val="26"/>
          <w:szCs w:val="26"/>
        </w:rPr>
        <w:t>ANTECEDENTES</w:t>
      </w:r>
    </w:p>
    <w:p w14:paraId="60061E4C" w14:textId="77777777" w:rsidR="00E20047" w:rsidRPr="009325EF" w:rsidRDefault="00E20047" w:rsidP="009325EF">
      <w:pPr>
        <w:pStyle w:val="Sinespaciado"/>
        <w:spacing w:line="276" w:lineRule="auto"/>
        <w:jc w:val="both"/>
        <w:rPr>
          <w:rFonts w:ascii="Arial Narrow" w:hAnsi="Arial Narrow"/>
          <w:sz w:val="26"/>
          <w:szCs w:val="26"/>
        </w:rPr>
      </w:pPr>
    </w:p>
    <w:p w14:paraId="6EBE182F" w14:textId="1C9759F9" w:rsidR="00445689" w:rsidRPr="009325EF" w:rsidRDefault="00E20047" w:rsidP="009325EF">
      <w:pPr>
        <w:pStyle w:val="Sinespaciado"/>
        <w:spacing w:line="276" w:lineRule="auto"/>
        <w:jc w:val="both"/>
        <w:rPr>
          <w:rFonts w:ascii="Arial Narrow" w:hAnsi="Arial Narrow"/>
          <w:sz w:val="26"/>
          <w:szCs w:val="26"/>
        </w:rPr>
      </w:pPr>
      <w:r w:rsidRPr="009325EF">
        <w:rPr>
          <w:rFonts w:ascii="Arial Narrow" w:hAnsi="Arial Narrow"/>
          <w:b/>
          <w:bCs/>
          <w:sz w:val="26"/>
          <w:szCs w:val="26"/>
        </w:rPr>
        <w:t>1.</w:t>
      </w:r>
      <w:r w:rsidR="005109EF" w:rsidRPr="009325EF">
        <w:rPr>
          <w:rFonts w:ascii="Arial Narrow" w:hAnsi="Arial Narrow"/>
          <w:b/>
          <w:bCs/>
          <w:sz w:val="26"/>
          <w:szCs w:val="26"/>
        </w:rPr>
        <w:t xml:space="preserve"> </w:t>
      </w:r>
      <w:r w:rsidR="00445689" w:rsidRPr="009325EF">
        <w:rPr>
          <w:rFonts w:ascii="Arial Narrow" w:hAnsi="Arial Narrow"/>
          <w:sz w:val="26"/>
          <w:szCs w:val="26"/>
        </w:rPr>
        <w:t xml:space="preserve">Se narró en la demanda que el señor Wilmar López Vásquez </w:t>
      </w:r>
      <w:r w:rsidR="0027343F" w:rsidRPr="009325EF">
        <w:rPr>
          <w:rFonts w:ascii="Arial Narrow" w:hAnsi="Arial Narrow"/>
          <w:sz w:val="26"/>
          <w:szCs w:val="26"/>
        </w:rPr>
        <w:t>tiene</w:t>
      </w:r>
      <w:r w:rsidR="00445689" w:rsidRPr="009325EF">
        <w:rPr>
          <w:rFonts w:ascii="Arial Narrow" w:hAnsi="Arial Narrow"/>
          <w:sz w:val="26"/>
          <w:szCs w:val="26"/>
        </w:rPr>
        <w:t xml:space="preserve"> la calidad de arrendatario </w:t>
      </w:r>
      <w:r w:rsidR="00445689" w:rsidRPr="009325EF">
        <w:rPr>
          <w:rFonts w:ascii="Arial Narrow" w:hAnsi="Arial Narrow"/>
          <w:sz w:val="26"/>
          <w:szCs w:val="26"/>
        </w:rPr>
        <w:lastRenderedPageBreak/>
        <w:t>del predio ubicado en la calle 22 entre carreras 12 y 13 con números 12-42 y 12-44, de Pereira, desde hace más de siete años. En ese inmueble ejerce la actividad económica de servicio de parqueadero. El 10 de octubre de 2014, el señor Luis Fernando Cardona Monsalve adquirió dicho bien y desde ese momento “se estableció con la posesión material ejerciendo ánimo de señor y dueño, así como con el justo título del lote”.</w:t>
      </w:r>
    </w:p>
    <w:p w14:paraId="44EAFD9C" w14:textId="77777777" w:rsidR="00445689" w:rsidRPr="009325EF" w:rsidRDefault="00445689" w:rsidP="009325EF">
      <w:pPr>
        <w:pStyle w:val="Sinespaciado"/>
        <w:spacing w:line="276" w:lineRule="auto"/>
        <w:jc w:val="both"/>
        <w:rPr>
          <w:rFonts w:ascii="Arial Narrow" w:hAnsi="Arial Narrow"/>
          <w:sz w:val="26"/>
          <w:szCs w:val="26"/>
        </w:rPr>
      </w:pPr>
    </w:p>
    <w:p w14:paraId="7D33A02E" w14:textId="6DD79E0A" w:rsidR="00E1610B" w:rsidRPr="009325EF" w:rsidRDefault="00445689" w:rsidP="009325EF">
      <w:pPr>
        <w:pStyle w:val="Sinespaciado"/>
        <w:spacing w:line="276" w:lineRule="auto"/>
        <w:jc w:val="both"/>
        <w:rPr>
          <w:rFonts w:ascii="Arial Narrow" w:hAnsi="Arial Narrow"/>
          <w:sz w:val="26"/>
          <w:szCs w:val="26"/>
        </w:rPr>
      </w:pPr>
      <w:r w:rsidRPr="009325EF">
        <w:rPr>
          <w:rFonts w:ascii="Arial Narrow" w:hAnsi="Arial Narrow"/>
          <w:sz w:val="26"/>
          <w:szCs w:val="26"/>
        </w:rPr>
        <w:t>Al conocimiento del Juzgado S</w:t>
      </w:r>
      <w:r w:rsidR="003A3A6D" w:rsidRPr="009325EF">
        <w:rPr>
          <w:rFonts w:ascii="Arial Narrow" w:hAnsi="Arial Narrow"/>
          <w:sz w:val="26"/>
          <w:szCs w:val="26"/>
        </w:rPr>
        <w:t>egundo Civil del C</w:t>
      </w:r>
      <w:r w:rsidRPr="009325EF">
        <w:rPr>
          <w:rFonts w:ascii="Arial Narrow" w:hAnsi="Arial Narrow"/>
          <w:sz w:val="26"/>
          <w:szCs w:val="26"/>
        </w:rPr>
        <w:t>ircuito de Pereira</w:t>
      </w:r>
      <w:r w:rsidR="003A3A6D" w:rsidRPr="009325EF">
        <w:rPr>
          <w:rFonts w:ascii="Arial Narrow" w:hAnsi="Arial Narrow"/>
          <w:sz w:val="26"/>
          <w:szCs w:val="26"/>
        </w:rPr>
        <w:t xml:space="preserve"> se encuentra proceso</w:t>
      </w:r>
      <w:r w:rsidRPr="009325EF">
        <w:rPr>
          <w:rFonts w:ascii="Arial Narrow" w:hAnsi="Arial Narrow"/>
          <w:sz w:val="26"/>
          <w:szCs w:val="26"/>
        </w:rPr>
        <w:t xml:space="preserve"> de resolución de contrato de compraventa, </w:t>
      </w:r>
      <w:r w:rsidR="003A3A6D" w:rsidRPr="009325EF">
        <w:rPr>
          <w:rFonts w:ascii="Arial Narrow" w:hAnsi="Arial Narrow"/>
          <w:sz w:val="26"/>
          <w:szCs w:val="26"/>
        </w:rPr>
        <w:t xml:space="preserve">promovido contra el señor </w:t>
      </w:r>
      <w:proofErr w:type="spellStart"/>
      <w:r w:rsidR="003A3A6D" w:rsidRPr="009325EF">
        <w:rPr>
          <w:rFonts w:ascii="Arial Narrow" w:hAnsi="Arial Narrow"/>
          <w:sz w:val="26"/>
          <w:szCs w:val="26"/>
        </w:rPr>
        <w:t>Jhon</w:t>
      </w:r>
      <w:proofErr w:type="spellEnd"/>
      <w:r w:rsidR="003A3A6D" w:rsidRPr="009325EF">
        <w:rPr>
          <w:rFonts w:ascii="Arial Narrow" w:hAnsi="Arial Narrow"/>
          <w:sz w:val="26"/>
          <w:szCs w:val="26"/>
        </w:rPr>
        <w:t xml:space="preserve"> Fredy Villa Ramírez, antiguo propietario del citado predio,</w:t>
      </w:r>
      <w:r w:rsidRPr="009325EF">
        <w:rPr>
          <w:rFonts w:ascii="Arial Narrow" w:hAnsi="Arial Narrow"/>
          <w:sz w:val="26"/>
          <w:szCs w:val="26"/>
        </w:rPr>
        <w:t xml:space="preserve"> acción </w:t>
      </w:r>
      <w:r w:rsidR="003A3A6D" w:rsidRPr="009325EF">
        <w:rPr>
          <w:rFonts w:ascii="Arial Narrow" w:hAnsi="Arial Narrow"/>
          <w:sz w:val="26"/>
          <w:szCs w:val="26"/>
        </w:rPr>
        <w:t>interpuesta tres</w:t>
      </w:r>
      <w:r w:rsidRPr="009325EF">
        <w:rPr>
          <w:rFonts w:ascii="Arial Narrow" w:hAnsi="Arial Narrow"/>
          <w:sz w:val="26"/>
          <w:szCs w:val="26"/>
        </w:rPr>
        <w:t xml:space="preserve"> años después de que el señor Cardona Monsalve obtuviera la posesión del inmueble.</w:t>
      </w:r>
      <w:r w:rsidR="003A3A6D" w:rsidRPr="009325EF">
        <w:rPr>
          <w:rFonts w:ascii="Arial Narrow" w:hAnsi="Arial Narrow"/>
          <w:sz w:val="26"/>
          <w:szCs w:val="26"/>
        </w:rPr>
        <w:t xml:space="preserve"> A pesar de lo anterior, en ese trámite se ordenó a la Inspección 18 de P</w:t>
      </w:r>
      <w:r w:rsidRPr="009325EF">
        <w:rPr>
          <w:rFonts w:ascii="Arial Narrow" w:hAnsi="Arial Narrow"/>
          <w:sz w:val="26"/>
          <w:szCs w:val="26"/>
        </w:rPr>
        <w:t xml:space="preserve">olicía de Pereira </w:t>
      </w:r>
      <w:r w:rsidR="003A3A6D" w:rsidRPr="009325EF">
        <w:rPr>
          <w:rFonts w:ascii="Arial Narrow" w:hAnsi="Arial Narrow"/>
          <w:sz w:val="26"/>
          <w:szCs w:val="26"/>
        </w:rPr>
        <w:t>adelantar diligencia de entrega del bien</w:t>
      </w:r>
      <w:r w:rsidR="00E1610B" w:rsidRPr="009325EF">
        <w:rPr>
          <w:rFonts w:ascii="Arial Narrow" w:hAnsi="Arial Narrow"/>
          <w:sz w:val="26"/>
          <w:szCs w:val="26"/>
        </w:rPr>
        <w:t>.</w:t>
      </w:r>
    </w:p>
    <w:p w14:paraId="4B94D5A5" w14:textId="77777777" w:rsidR="00E1610B" w:rsidRPr="009325EF" w:rsidRDefault="00E1610B" w:rsidP="009325EF">
      <w:pPr>
        <w:pStyle w:val="Sinespaciado"/>
        <w:spacing w:line="276" w:lineRule="auto"/>
        <w:jc w:val="both"/>
        <w:rPr>
          <w:rFonts w:ascii="Arial Narrow" w:hAnsi="Arial Narrow"/>
          <w:sz w:val="26"/>
          <w:szCs w:val="26"/>
        </w:rPr>
      </w:pPr>
    </w:p>
    <w:p w14:paraId="7D465EB2" w14:textId="69F53386" w:rsidR="003A3A6D" w:rsidRPr="009325EF" w:rsidRDefault="003A3A6D" w:rsidP="009325EF">
      <w:pPr>
        <w:pStyle w:val="Sinespaciado"/>
        <w:spacing w:line="276" w:lineRule="auto"/>
        <w:jc w:val="both"/>
        <w:rPr>
          <w:rFonts w:ascii="Arial Narrow" w:hAnsi="Arial Narrow"/>
          <w:sz w:val="26"/>
          <w:szCs w:val="26"/>
        </w:rPr>
      </w:pPr>
      <w:r w:rsidRPr="009325EF">
        <w:rPr>
          <w:rFonts w:ascii="Arial Narrow" w:hAnsi="Arial Narrow"/>
          <w:sz w:val="26"/>
          <w:szCs w:val="26"/>
        </w:rPr>
        <w:t xml:space="preserve">Como de aquella actividad comercial el actor extrae su sustento, se vería perjudicado patrimonialmente con la orden de entrega. Además, lo adecuado sería suspender la entrega hasta tanto se defina el proceso de </w:t>
      </w:r>
      <w:r w:rsidR="00445689" w:rsidRPr="009325EF">
        <w:rPr>
          <w:rFonts w:ascii="Arial Narrow" w:hAnsi="Arial Narrow"/>
          <w:sz w:val="26"/>
          <w:szCs w:val="26"/>
        </w:rPr>
        <w:t xml:space="preserve">prescripción adquisitiva de dominio </w:t>
      </w:r>
      <w:r w:rsidRPr="009325EF">
        <w:rPr>
          <w:rFonts w:ascii="Arial Narrow" w:hAnsi="Arial Narrow"/>
          <w:sz w:val="26"/>
          <w:szCs w:val="26"/>
        </w:rPr>
        <w:t xml:space="preserve">que en este momento adelanta el </w:t>
      </w:r>
      <w:r w:rsidR="00445689" w:rsidRPr="009325EF">
        <w:rPr>
          <w:rFonts w:ascii="Arial Narrow" w:hAnsi="Arial Narrow"/>
          <w:sz w:val="26"/>
          <w:szCs w:val="26"/>
        </w:rPr>
        <w:t>poseedor material del inmueble</w:t>
      </w:r>
      <w:r w:rsidRPr="009325EF">
        <w:rPr>
          <w:rFonts w:ascii="Arial Narrow" w:hAnsi="Arial Narrow"/>
          <w:sz w:val="26"/>
          <w:szCs w:val="26"/>
        </w:rPr>
        <w:t>, es decir Luis Fernando Cardona Monsalve.</w:t>
      </w:r>
    </w:p>
    <w:p w14:paraId="0DFAE634" w14:textId="77777777" w:rsidR="00445689" w:rsidRPr="009325EF" w:rsidRDefault="003A3A6D" w:rsidP="009325EF">
      <w:pPr>
        <w:pStyle w:val="Sinespaciado"/>
        <w:spacing w:line="276" w:lineRule="auto"/>
        <w:jc w:val="both"/>
        <w:rPr>
          <w:rFonts w:ascii="Arial Narrow" w:hAnsi="Arial Narrow"/>
          <w:sz w:val="26"/>
          <w:szCs w:val="26"/>
        </w:rPr>
      </w:pPr>
      <w:r w:rsidRPr="009325EF">
        <w:rPr>
          <w:rFonts w:ascii="Arial Narrow" w:hAnsi="Arial Narrow"/>
          <w:sz w:val="26"/>
          <w:szCs w:val="26"/>
        </w:rPr>
        <w:t xml:space="preserve"> </w:t>
      </w:r>
      <w:r w:rsidR="00445689" w:rsidRPr="009325EF">
        <w:rPr>
          <w:rFonts w:ascii="Arial Narrow" w:hAnsi="Arial Narrow"/>
          <w:sz w:val="26"/>
          <w:szCs w:val="26"/>
        </w:rPr>
        <w:t xml:space="preserve"> </w:t>
      </w:r>
    </w:p>
    <w:p w14:paraId="1F391F95" w14:textId="77777777" w:rsidR="005F452C" w:rsidRPr="009325EF" w:rsidRDefault="003A3A6D" w:rsidP="009325EF">
      <w:pPr>
        <w:pStyle w:val="Sinespaciado"/>
        <w:spacing w:line="276" w:lineRule="auto"/>
        <w:jc w:val="both"/>
        <w:rPr>
          <w:rFonts w:ascii="Arial Narrow" w:hAnsi="Arial Narrow"/>
          <w:sz w:val="26"/>
          <w:szCs w:val="26"/>
        </w:rPr>
      </w:pPr>
      <w:r w:rsidRPr="009325EF">
        <w:rPr>
          <w:rFonts w:ascii="Arial Narrow" w:hAnsi="Arial Narrow"/>
          <w:sz w:val="26"/>
          <w:szCs w:val="26"/>
        </w:rPr>
        <w:t>Para obtener la protección de los derechos a la vida digna, el trabajo y al debido proceso, se solicita ordenar a los demandados suspender la aludida diligencia de</w:t>
      </w:r>
      <w:r w:rsidR="00445689" w:rsidRPr="009325EF">
        <w:rPr>
          <w:rFonts w:ascii="Arial Narrow" w:hAnsi="Arial Narrow"/>
          <w:sz w:val="26"/>
          <w:szCs w:val="26"/>
        </w:rPr>
        <w:t xml:space="preserve"> entrega </w:t>
      </w:r>
      <w:r w:rsidRPr="009325EF">
        <w:rPr>
          <w:rFonts w:ascii="Arial Narrow" w:hAnsi="Arial Narrow"/>
          <w:sz w:val="26"/>
          <w:szCs w:val="26"/>
        </w:rPr>
        <w:t>programada para</w:t>
      </w:r>
      <w:r w:rsidR="00445689" w:rsidRPr="009325EF">
        <w:rPr>
          <w:rFonts w:ascii="Arial Narrow" w:hAnsi="Arial Narrow"/>
          <w:sz w:val="26"/>
          <w:szCs w:val="26"/>
        </w:rPr>
        <w:t xml:space="preserve"> 10 de agosto de 2022, </w:t>
      </w:r>
      <w:r w:rsidRPr="009325EF">
        <w:rPr>
          <w:rFonts w:ascii="Arial Narrow" w:hAnsi="Arial Narrow"/>
          <w:sz w:val="26"/>
          <w:szCs w:val="26"/>
        </w:rPr>
        <w:t>“</w:t>
      </w:r>
      <w:r w:rsidR="00445689" w:rsidRPr="009325EF">
        <w:rPr>
          <w:rFonts w:ascii="Arial Narrow" w:hAnsi="Arial Narrow"/>
          <w:sz w:val="26"/>
          <w:szCs w:val="26"/>
        </w:rPr>
        <w:t>h</w:t>
      </w:r>
      <w:r w:rsidR="00445689" w:rsidRPr="009325EF">
        <w:rPr>
          <w:rFonts w:ascii="Arial Narrow" w:hAnsi="Arial Narrow"/>
          <w:sz w:val="24"/>
          <w:szCs w:val="26"/>
        </w:rPr>
        <w:t>asta el día que se falle con sentencia en firme el proceso de prescripción adquisitiva de dominio</w:t>
      </w:r>
      <w:r w:rsidRPr="009325EF">
        <w:rPr>
          <w:rFonts w:ascii="Arial Narrow" w:hAnsi="Arial Narrow"/>
          <w:sz w:val="26"/>
          <w:szCs w:val="26"/>
        </w:rPr>
        <w:t>”</w:t>
      </w:r>
      <w:r w:rsidR="002D640B" w:rsidRPr="009325EF">
        <w:rPr>
          <w:rStyle w:val="Refdenotaalpie"/>
          <w:rFonts w:ascii="Arial Narrow" w:hAnsi="Arial Narrow"/>
          <w:sz w:val="26"/>
          <w:szCs w:val="26"/>
          <w:lang w:val="es-CO"/>
        </w:rPr>
        <w:footnoteReference w:id="1"/>
      </w:r>
      <w:r w:rsidR="002D640B" w:rsidRPr="009325EF">
        <w:rPr>
          <w:rFonts w:ascii="Arial Narrow" w:hAnsi="Arial Narrow"/>
          <w:sz w:val="26"/>
          <w:szCs w:val="26"/>
          <w:lang w:val="es-CO"/>
        </w:rPr>
        <w:t>.</w:t>
      </w:r>
    </w:p>
    <w:p w14:paraId="3DEEC669" w14:textId="77777777" w:rsidR="00812F97" w:rsidRPr="009325EF" w:rsidRDefault="00812F97" w:rsidP="009325EF">
      <w:pPr>
        <w:pStyle w:val="Sinespaciado"/>
        <w:spacing w:line="276" w:lineRule="auto"/>
        <w:jc w:val="both"/>
        <w:rPr>
          <w:rFonts w:ascii="Arial Narrow" w:hAnsi="Arial Narrow"/>
          <w:sz w:val="26"/>
          <w:szCs w:val="26"/>
        </w:rPr>
      </w:pPr>
    </w:p>
    <w:p w14:paraId="270BBBE3" w14:textId="77777777" w:rsidR="001E5A79" w:rsidRPr="009325EF" w:rsidRDefault="00E20047" w:rsidP="009325EF">
      <w:pPr>
        <w:pStyle w:val="Sinespaciado"/>
        <w:spacing w:line="276" w:lineRule="auto"/>
        <w:jc w:val="both"/>
        <w:rPr>
          <w:rFonts w:ascii="Arial Narrow" w:hAnsi="Arial Narrow"/>
          <w:sz w:val="26"/>
          <w:szCs w:val="26"/>
        </w:rPr>
      </w:pPr>
      <w:r w:rsidRPr="009325EF">
        <w:rPr>
          <w:rFonts w:ascii="Arial Narrow" w:hAnsi="Arial Narrow"/>
          <w:b/>
          <w:bCs/>
          <w:sz w:val="26"/>
          <w:szCs w:val="26"/>
        </w:rPr>
        <w:t xml:space="preserve">2. Trámite: </w:t>
      </w:r>
      <w:r w:rsidR="00542647" w:rsidRPr="009325EF">
        <w:rPr>
          <w:rFonts w:ascii="Arial Narrow" w:hAnsi="Arial Narrow"/>
          <w:sz w:val="26"/>
          <w:szCs w:val="26"/>
        </w:rPr>
        <w:t>Por au</w:t>
      </w:r>
      <w:r w:rsidR="003A3A6D" w:rsidRPr="009325EF">
        <w:rPr>
          <w:rFonts w:ascii="Arial Narrow" w:hAnsi="Arial Narrow"/>
          <w:sz w:val="26"/>
          <w:szCs w:val="26"/>
        </w:rPr>
        <w:t>to del 03</w:t>
      </w:r>
      <w:r w:rsidR="00542647" w:rsidRPr="009325EF">
        <w:rPr>
          <w:rFonts w:ascii="Arial Narrow" w:hAnsi="Arial Narrow"/>
          <w:sz w:val="26"/>
          <w:szCs w:val="26"/>
        </w:rPr>
        <w:t xml:space="preserve"> de agosto de este año, este Tribunal admitió la acción de tutela.</w:t>
      </w:r>
    </w:p>
    <w:p w14:paraId="3656B9AB" w14:textId="77777777" w:rsidR="002D640B" w:rsidRPr="009325EF" w:rsidRDefault="002D640B" w:rsidP="009325EF">
      <w:pPr>
        <w:pStyle w:val="Sinespaciado"/>
        <w:spacing w:line="276" w:lineRule="auto"/>
        <w:jc w:val="both"/>
        <w:rPr>
          <w:rFonts w:ascii="Arial Narrow" w:hAnsi="Arial Narrow"/>
          <w:sz w:val="26"/>
          <w:szCs w:val="26"/>
        </w:rPr>
      </w:pPr>
    </w:p>
    <w:p w14:paraId="377C03C1" w14:textId="77777777" w:rsidR="002D640B" w:rsidRPr="009325EF" w:rsidRDefault="003A3A6D" w:rsidP="009325EF">
      <w:pPr>
        <w:pStyle w:val="Sinespaciado"/>
        <w:spacing w:line="276" w:lineRule="auto"/>
        <w:jc w:val="both"/>
        <w:rPr>
          <w:rFonts w:ascii="Arial Narrow" w:hAnsi="Arial Narrow"/>
          <w:sz w:val="26"/>
          <w:szCs w:val="26"/>
          <w:lang w:val="es-CO"/>
        </w:rPr>
      </w:pPr>
      <w:r w:rsidRPr="009325EF">
        <w:rPr>
          <w:rFonts w:ascii="Arial Narrow" w:hAnsi="Arial Narrow"/>
          <w:sz w:val="26"/>
          <w:szCs w:val="26"/>
          <w:lang w:val="es-CO"/>
        </w:rPr>
        <w:t xml:space="preserve">El juzgado accionado, luego de brindar informe sobre la actuación procesal criticada, señaló que </w:t>
      </w:r>
      <w:r w:rsidR="007B39CA" w:rsidRPr="009325EF">
        <w:rPr>
          <w:rFonts w:ascii="Arial Narrow" w:hAnsi="Arial Narrow"/>
          <w:sz w:val="26"/>
          <w:szCs w:val="26"/>
          <w:lang w:val="es-CO"/>
        </w:rPr>
        <w:t xml:space="preserve">ninguna lesión a derechos fundamentales se ha podido generar allí en contra del </w:t>
      </w:r>
      <w:r w:rsidRPr="009325EF">
        <w:rPr>
          <w:rFonts w:ascii="Arial Narrow" w:hAnsi="Arial Narrow"/>
          <w:sz w:val="26"/>
          <w:szCs w:val="26"/>
          <w:lang w:val="es-CO"/>
        </w:rPr>
        <w:t>accionante</w:t>
      </w:r>
      <w:r w:rsidR="00E1610B" w:rsidRPr="009325EF">
        <w:rPr>
          <w:rFonts w:ascii="Arial Narrow" w:hAnsi="Arial Narrow"/>
          <w:sz w:val="26"/>
          <w:szCs w:val="26"/>
          <w:lang w:val="es-CO"/>
        </w:rPr>
        <w:t>,</w:t>
      </w:r>
      <w:r w:rsidRPr="009325EF">
        <w:rPr>
          <w:rFonts w:ascii="Arial Narrow" w:hAnsi="Arial Narrow"/>
          <w:sz w:val="26"/>
          <w:szCs w:val="26"/>
          <w:lang w:val="es-CO"/>
        </w:rPr>
        <w:t xml:space="preserve"> </w:t>
      </w:r>
      <w:r w:rsidR="007B39CA" w:rsidRPr="009325EF">
        <w:rPr>
          <w:rFonts w:ascii="Arial Narrow" w:hAnsi="Arial Narrow"/>
          <w:sz w:val="26"/>
          <w:szCs w:val="26"/>
          <w:lang w:val="es-CO"/>
        </w:rPr>
        <w:t>pues este no</w:t>
      </w:r>
      <w:r w:rsidRPr="009325EF">
        <w:rPr>
          <w:rFonts w:ascii="Arial Narrow" w:hAnsi="Arial Narrow"/>
          <w:sz w:val="26"/>
          <w:szCs w:val="26"/>
          <w:lang w:val="es-CO"/>
        </w:rPr>
        <w:t xml:space="preserve"> ha sido parte del proceso </w:t>
      </w:r>
      <w:r w:rsidR="007B39CA" w:rsidRPr="009325EF">
        <w:rPr>
          <w:rFonts w:ascii="Arial Narrow" w:hAnsi="Arial Narrow"/>
          <w:sz w:val="26"/>
          <w:szCs w:val="26"/>
          <w:lang w:val="es-CO"/>
        </w:rPr>
        <w:t>ni ha intervenido como</w:t>
      </w:r>
      <w:r w:rsidRPr="009325EF">
        <w:rPr>
          <w:rFonts w:ascii="Arial Narrow" w:hAnsi="Arial Narrow"/>
          <w:sz w:val="26"/>
          <w:szCs w:val="26"/>
          <w:lang w:val="es-CO"/>
        </w:rPr>
        <w:t xml:space="preserve"> opositor a la diligencia de entrega</w:t>
      </w:r>
      <w:r w:rsidR="002D640B" w:rsidRPr="009325EF">
        <w:rPr>
          <w:rStyle w:val="Refdenotaalpie"/>
          <w:rFonts w:ascii="Arial Narrow" w:hAnsi="Arial Narrow"/>
          <w:sz w:val="26"/>
          <w:szCs w:val="26"/>
        </w:rPr>
        <w:footnoteReference w:id="2"/>
      </w:r>
      <w:r w:rsidR="002D640B" w:rsidRPr="009325EF">
        <w:rPr>
          <w:rFonts w:ascii="Arial Narrow" w:hAnsi="Arial Narrow"/>
          <w:sz w:val="26"/>
          <w:szCs w:val="26"/>
          <w:lang w:val="es-CO"/>
        </w:rPr>
        <w:t>.</w:t>
      </w:r>
    </w:p>
    <w:p w14:paraId="45FB0818" w14:textId="77777777" w:rsidR="007B39CA" w:rsidRPr="009325EF" w:rsidRDefault="007B39CA" w:rsidP="009325EF">
      <w:pPr>
        <w:pStyle w:val="Sinespaciado"/>
        <w:spacing w:line="276" w:lineRule="auto"/>
        <w:jc w:val="both"/>
        <w:rPr>
          <w:rFonts w:ascii="Arial Narrow" w:hAnsi="Arial Narrow"/>
          <w:sz w:val="26"/>
          <w:szCs w:val="26"/>
          <w:lang w:val="es-CO"/>
        </w:rPr>
      </w:pPr>
    </w:p>
    <w:p w14:paraId="3F3C306D" w14:textId="77777777" w:rsidR="007B39CA" w:rsidRPr="009325EF" w:rsidRDefault="007B39CA" w:rsidP="009325EF">
      <w:pPr>
        <w:pStyle w:val="Sinespaciado"/>
        <w:spacing w:line="276" w:lineRule="auto"/>
        <w:jc w:val="both"/>
        <w:rPr>
          <w:rFonts w:ascii="Arial Narrow" w:hAnsi="Arial Narrow"/>
          <w:sz w:val="26"/>
          <w:szCs w:val="26"/>
          <w:lang w:val="es-CO"/>
        </w:rPr>
      </w:pPr>
      <w:r w:rsidRPr="009325EF">
        <w:rPr>
          <w:rFonts w:ascii="Arial Narrow" w:hAnsi="Arial Narrow"/>
          <w:sz w:val="26"/>
          <w:szCs w:val="26"/>
          <w:lang w:val="es-CO"/>
        </w:rPr>
        <w:t xml:space="preserve">Los vinculados </w:t>
      </w:r>
      <w:r w:rsidRPr="009325EF">
        <w:rPr>
          <w:rFonts w:ascii="Arial Narrow" w:hAnsi="Arial Narrow"/>
          <w:sz w:val="26"/>
          <w:szCs w:val="26"/>
        </w:rPr>
        <w:t>Alexandra Bahamón y Cristian Alejandro Bahamón se pronunciaron, por intermedio de apoderado, para manifestar que el tutelante nunca ha intervenido en el proceso objeto del amparo y solo “</w:t>
      </w:r>
      <w:r w:rsidRPr="009325EF">
        <w:rPr>
          <w:rFonts w:ascii="Arial Narrow" w:hAnsi="Arial Narrow"/>
          <w:sz w:val="24"/>
          <w:szCs w:val="26"/>
        </w:rPr>
        <w:t>viene a aparecer hasta ahora, pese a indicar que lleva muchos años como arrendatario, generándose con ello abuso del derecho</w:t>
      </w:r>
      <w:r w:rsidRPr="009325EF">
        <w:rPr>
          <w:rFonts w:ascii="Arial Narrow" w:hAnsi="Arial Narrow"/>
          <w:sz w:val="26"/>
          <w:szCs w:val="26"/>
        </w:rPr>
        <w:t>”</w:t>
      </w:r>
      <w:r w:rsidRPr="009325EF">
        <w:rPr>
          <w:rStyle w:val="Refdenotaalpie"/>
          <w:rFonts w:ascii="Arial Narrow" w:hAnsi="Arial Narrow"/>
          <w:sz w:val="26"/>
          <w:szCs w:val="26"/>
        </w:rPr>
        <w:footnoteReference w:id="3"/>
      </w:r>
      <w:r w:rsidRPr="009325EF">
        <w:rPr>
          <w:rFonts w:ascii="Arial Narrow" w:hAnsi="Arial Narrow"/>
          <w:sz w:val="26"/>
          <w:szCs w:val="26"/>
          <w:lang w:val="es-CO"/>
        </w:rPr>
        <w:t>.</w:t>
      </w:r>
    </w:p>
    <w:p w14:paraId="049F31CB" w14:textId="77777777" w:rsidR="007B39CA" w:rsidRPr="009325EF" w:rsidRDefault="007B39CA" w:rsidP="009325EF">
      <w:pPr>
        <w:pStyle w:val="Sinespaciado"/>
        <w:spacing w:line="276" w:lineRule="auto"/>
        <w:jc w:val="both"/>
        <w:rPr>
          <w:rFonts w:ascii="Arial Narrow" w:hAnsi="Arial Narrow"/>
          <w:sz w:val="26"/>
          <w:szCs w:val="26"/>
          <w:lang w:val="es-CO"/>
        </w:rPr>
      </w:pPr>
    </w:p>
    <w:p w14:paraId="10152217" w14:textId="77777777" w:rsidR="007B39CA" w:rsidRPr="009325EF" w:rsidRDefault="007B39CA" w:rsidP="009325EF">
      <w:pPr>
        <w:pStyle w:val="Sinespaciado"/>
        <w:spacing w:line="276" w:lineRule="auto"/>
        <w:jc w:val="both"/>
        <w:rPr>
          <w:rFonts w:ascii="Arial Narrow" w:hAnsi="Arial Narrow"/>
          <w:sz w:val="26"/>
          <w:szCs w:val="26"/>
          <w:lang w:val="es-CO"/>
        </w:rPr>
      </w:pPr>
      <w:r w:rsidRPr="009325EF">
        <w:rPr>
          <w:rFonts w:ascii="Arial Narrow" w:hAnsi="Arial Narrow"/>
          <w:sz w:val="26"/>
          <w:szCs w:val="26"/>
          <w:lang w:val="es-CO"/>
        </w:rPr>
        <w:t xml:space="preserve">La </w:t>
      </w:r>
      <w:r w:rsidRPr="009325EF">
        <w:rPr>
          <w:rFonts w:ascii="Arial Narrow" w:hAnsi="Arial Narrow"/>
          <w:sz w:val="26"/>
          <w:szCs w:val="26"/>
        </w:rPr>
        <w:t xml:space="preserve">Inspectora 18 Municipal de Policía de Pereira solicitó declarar improcedente la acción constitucional </w:t>
      </w:r>
      <w:r w:rsidR="00E1610B" w:rsidRPr="009325EF">
        <w:rPr>
          <w:rFonts w:ascii="Arial Narrow" w:hAnsi="Arial Narrow"/>
          <w:sz w:val="26"/>
          <w:szCs w:val="26"/>
        </w:rPr>
        <w:t>con sustento en</w:t>
      </w:r>
      <w:r w:rsidR="0000200A" w:rsidRPr="009325EF">
        <w:rPr>
          <w:rFonts w:ascii="Arial Narrow" w:hAnsi="Arial Narrow"/>
          <w:sz w:val="26"/>
          <w:szCs w:val="26"/>
        </w:rPr>
        <w:t xml:space="preserve"> que no ha lesionado derecho alguno en este caso, al contrario su proceder se ajusta a las órdenes emitidas por el juzgado de conocimiento</w:t>
      </w:r>
      <w:r w:rsidR="0000200A" w:rsidRPr="009325EF">
        <w:rPr>
          <w:rStyle w:val="Refdenotaalpie"/>
          <w:rFonts w:ascii="Arial Narrow" w:hAnsi="Arial Narrow"/>
          <w:sz w:val="26"/>
          <w:szCs w:val="26"/>
        </w:rPr>
        <w:footnoteReference w:id="4"/>
      </w:r>
      <w:r w:rsidR="0000200A" w:rsidRPr="009325EF">
        <w:rPr>
          <w:rFonts w:ascii="Arial Narrow" w:hAnsi="Arial Narrow"/>
          <w:sz w:val="26"/>
          <w:szCs w:val="26"/>
          <w:lang w:val="es-CO"/>
        </w:rPr>
        <w:t>.</w:t>
      </w:r>
    </w:p>
    <w:p w14:paraId="53128261" w14:textId="77777777" w:rsidR="00F80A00" w:rsidRPr="009325EF" w:rsidRDefault="00F80A00" w:rsidP="009325EF">
      <w:pPr>
        <w:pStyle w:val="Sinespaciado"/>
        <w:spacing w:line="276" w:lineRule="auto"/>
        <w:jc w:val="both"/>
        <w:rPr>
          <w:rFonts w:ascii="Arial Narrow" w:hAnsi="Arial Narrow"/>
          <w:sz w:val="26"/>
          <w:szCs w:val="26"/>
        </w:rPr>
      </w:pPr>
    </w:p>
    <w:p w14:paraId="2E0A79F2" w14:textId="77777777" w:rsidR="00E20047" w:rsidRPr="009325EF" w:rsidRDefault="00E20047" w:rsidP="009325EF">
      <w:pPr>
        <w:pStyle w:val="Sinespaciado"/>
        <w:spacing w:line="276" w:lineRule="auto"/>
        <w:jc w:val="center"/>
        <w:rPr>
          <w:rFonts w:ascii="Arial Narrow" w:hAnsi="Arial Narrow"/>
          <w:sz w:val="26"/>
          <w:szCs w:val="26"/>
          <w:lang w:val="pt-BR"/>
        </w:rPr>
      </w:pPr>
      <w:r w:rsidRPr="009325EF">
        <w:rPr>
          <w:rFonts w:ascii="Arial Narrow" w:hAnsi="Arial Narrow"/>
          <w:b/>
          <w:bCs/>
          <w:sz w:val="26"/>
          <w:szCs w:val="26"/>
          <w:lang w:val="pt-BR"/>
        </w:rPr>
        <w:t>CONSIDERACIONES</w:t>
      </w:r>
    </w:p>
    <w:p w14:paraId="62486C05" w14:textId="77777777" w:rsidR="2F5A15EB" w:rsidRPr="009325EF" w:rsidRDefault="2F5A15EB" w:rsidP="009325EF">
      <w:pPr>
        <w:spacing w:line="276" w:lineRule="auto"/>
        <w:jc w:val="both"/>
        <w:rPr>
          <w:rFonts w:ascii="Arial Narrow" w:eastAsia="Arial Narrow" w:hAnsi="Arial Narrow" w:cs="Arial Narrow"/>
          <w:color w:val="000000" w:themeColor="text1"/>
          <w:sz w:val="26"/>
          <w:szCs w:val="26"/>
          <w:lang w:val="es-ES"/>
        </w:rPr>
      </w:pPr>
    </w:p>
    <w:p w14:paraId="7A4BD1EC" w14:textId="77777777" w:rsidR="0000200A" w:rsidRPr="009325EF" w:rsidRDefault="0000200A" w:rsidP="009325EF">
      <w:pPr>
        <w:pStyle w:val="Sinespaciado"/>
        <w:spacing w:line="276" w:lineRule="auto"/>
        <w:jc w:val="both"/>
        <w:rPr>
          <w:rFonts w:ascii="Arial Narrow" w:hAnsi="Arial Narrow"/>
          <w:sz w:val="26"/>
          <w:szCs w:val="26"/>
        </w:rPr>
      </w:pPr>
      <w:r w:rsidRPr="009325EF">
        <w:rPr>
          <w:rFonts w:ascii="Arial Narrow" w:hAnsi="Arial Narrow"/>
          <w:b/>
          <w:sz w:val="26"/>
          <w:szCs w:val="26"/>
        </w:rPr>
        <w:t xml:space="preserve">1. </w:t>
      </w:r>
      <w:r w:rsidRPr="009325EF">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w:t>
      </w:r>
      <w:r w:rsidRPr="009325EF">
        <w:rPr>
          <w:rFonts w:ascii="Arial Narrow" w:hAnsi="Arial Narrow"/>
          <w:sz w:val="26"/>
          <w:szCs w:val="26"/>
        </w:rPr>
        <w:lastRenderedPageBreak/>
        <w:t xml:space="preserve">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101652C" w14:textId="77777777" w:rsidR="0000200A" w:rsidRPr="009325EF" w:rsidRDefault="0000200A" w:rsidP="009325EF">
      <w:pPr>
        <w:pStyle w:val="Sinespaciado"/>
        <w:spacing w:line="276" w:lineRule="auto"/>
        <w:jc w:val="both"/>
        <w:rPr>
          <w:rFonts w:ascii="Arial Narrow" w:hAnsi="Arial Narrow"/>
          <w:sz w:val="26"/>
          <w:szCs w:val="26"/>
        </w:rPr>
      </w:pPr>
    </w:p>
    <w:p w14:paraId="24365CD2" w14:textId="3AA51415" w:rsidR="0000200A" w:rsidRPr="009325EF" w:rsidRDefault="0000200A" w:rsidP="009325EF">
      <w:pPr>
        <w:pStyle w:val="Sinespaciado"/>
        <w:spacing w:line="276" w:lineRule="auto"/>
        <w:jc w:val="both"/>
        <w:rPr>
          <w:rFonts w:ascii="Arial Narrow" w:hAnsi="Arial Narrow"/>
          <w:sz w:val="26"/>
          <w:szCs w:val="26"/>
        </w:rPr>
      </w:pPr>
      <w:r w:rsidRPr="009325EF">
        <w:rPr>
          <w:rFonts w:ascii="Arial Narrow" w:hAnsi="Arial Narrow"/>
          <w:b/>
          <w:bCs/>
          <w:sz w:val="26"/>
          <w:szCs w:val="26"/>
        </w:rPr>
        <w:t>2.</w:t>
      </w:r>
      <w:r w:rsidRPr="009325EF">
        <w:rPr>
          <w:rFonts w:ascii="Arial Narrow" w:hAnsi="Arial Narrow"/>
          <w:sz w:val="26"/>
          <w:szCs w:val="26"/>
        </w:rPr>
        <w:t xml:space="preserve"> Correspondería a esta Sala definir sobre la procedencia de la acción de tutela y, en caso afirmativo, si las entidades demandadas incurrieron en irregularidad frente al decreto y práctica de la diligencia de entrega del bien objeto del proceso reprochado, </w:t>
      </w:r>
      <w:r w:rsidR="00E1610B" w:rsidRPr="009325EF">
        <w:rPr>
          <w:rFonts w:ascii="Arial Narrow" w:hAnsi="Arial Narrow"/>
          <w:sz w:val="26"/>
          <w:szCs w:val="26"/>
        </w:rPr>
        <w:t>de no ser porque existe una carencia</w:t>
      </w:r>
      <w:r w:rsidRPr="009325EF">
        <w:rPr>
          <w:rFonts w:ascii="Arial Narrow" w:hAnsi="Arial Narrow"/>
          <w:sz w:val="26"/>
          <w:szCs w:val="26"/>
        </w:rPr>
        <w:t xml:space="preserve"> de legitimación en la causa</w:t>
      </w:r>
      <w:r w:rsidR="00E1610B" w:rsidRPr="009325EF">
        <w:rPr>
          <w:rFonts w:ascii="Arial Narrow" w:hAnsi="Arial Narrow"/>
          <w:sz w:val="26"/>
          <w:szCs w:val="26"/>
        </w:rPr>
        <w:t xml:space="preserve"> por activa que hace improcedente el ruego</w:t>
      </w:r>
      <w:r w:rsidRPr="009325EF">
        <w:rPr>
          <w:rFonts w:ascii="Arial Narrow" w:hAnsi="Arial Narrow"/>
          <w:sz w:val="26"/>
          <w:szCs w:val="26"/>
        </w:rPr>
        <w:t>.</w:t>
      </w:r>
    </w:p>
    <w:p w14:paraId="4B99056E" w14:textId="77777777" w:rsidR="0000200A" w:rsidRPr="009325EF" w:rsidRDefault="0000200A" w:rsidP="009325EF">
      <w:pPr>
        <w:pStyle w:val="Sinespaciado"/>
        <w:spacing w:line="276" w:lineRule="auto"/>
        <w:jc w:val="both"/>
        <w:rPr>
          <w:rFonts w:ascii="Arial Narrow" w:hAnsi="Arial Narrow"/>
          <w:sz w:val="26"/>
          <w:szCs w:val="26"/>
        </w:rPr>
      </w:pPr>
    </w:p>
    <w:p w14:paraId="265715EB" w14:textId="5561ECF4" w:rsidR="0000200A" w:rsidRPr="009325EF" w:rsidRDefault="0000200A" w:rsidP="009325EF">
      <w:pPr>
        <w:pStyle w:val="Sinespaciado"/>
        <w:spacing w:line="276" w:lineRule="auto"/>
        <w:jc w:val="both"/>
        <w:rPr>
          <w:rFonts w:ascii="Arial Narrow" w:hAnsi="Arial Narrow"/>
          <w:sz w:val="26"/>
          <w:szCs w:val="26"/>
        </w:rPr>
      </w:pPr>
      <w:r w:rsidRPr="009325EF">
        <w:rPr>
          <w:rFonts w:ascii="Arial Narrow" w:hAnsi="Arial Narrow"/>
          <w:b/>
          <w:bCs/>
          <w:sz w:val="26"/>
          <w:szCs w:val="26"/>
        </w:rPr>
        <w:t>3.</w:t>
      </w:r>
      <w:r w:rsidRPr="009325EF">
        <w:rPr>
          <w:rFonts w:ascii="Arial Narrow" w:hAnsi="Arial Narrow"/>
          <w:sz w:val="26"/>
          <w:szCs w:val="26"/>
        </w:rPr>
        <w:t xml:space="preserve"> En efecto, de las piezas procesales que del </w:t>
      </w:r>
      <w:r w:rsidR="00714BBA" w:rsidRPr="009325EF">
        <w:rPr>
          <w:rFonts w:ascii="Arial Narrow" w:hAnsi="Arial Narrow"/>
          <w:sz w:val="26"/>
          <w:szCs w:val="26"/>
        </w:rPr>
        <w:t>proceso de resolución de contrato de compraventa, radicado bajo el número 2017-00262</w:t>
      </w:r>
      <w:r w:rsidRPr="009325EF">
        <w:rPr>
          <w:rFonts w:ascii="Arial Narrow" w:hAnsi="Arial Narrow"/>
          <w:sz w:val="26"/>
          <w:szCs w:val="26"/>
        </w:rPr>
        <w:t xml:space="preserve"> fueron incorporadas al expediente, se logra evidenciar que, tal como </w:t>
      </w:r>
      <w:r w:rsidR="00714BBA" w:rsidRPr="009325EF">
        <w:rPr>
          <w:rFonts w:ascii="Arial Narrow" w:hAnsi="Arial Narrow"/>
          <w:sz w:val="26"/>
          <w:szCs w:val="26"/>
        </w:rPr>
        <w:t>se expuso en las contestaciones de la tutela</w:t>
      </w:r>
      <w:r w:rsidRPr="009325EF">
        <w:rPr>
          <w:rFonts w:ascii="Arial Narrow" w:hAnsi="Arial Narrow"/>
          <w:sz w:val="26"/>
          <w:szCs w:val="26"/>
        </w:rPr>
        <w:t xml:space="preserve">, </w:t>
      </w:r>
      <w:r w:rsidR="00714BBA" w:rsidRPr="009325EF">
        <w:rPr>
          <w:rFonts w:ascii="Arial Narrow" w:hAnsi="Arial Narrow"/>
          <w:sz w:val="26"/>
          <w:szCs w:val="26"/>
        </w:rPr>
        <w:t>el</w:t>
      </w:r>
      <w:r w:rsidR="00E1610B" w:rsidRPr="009325EF">
        <w:rPr>
          <w:rFonts w:ascii="Arial Narrow" w:hAnsi="Arial Narrow"/>
          <w:sz w:val="26"/>
          <w:szCs w:val="26"/>
        </w:rPr>
        <w:t xml:space="preserve"> promotor del amparo</w:t>
      </w:r>
      <w:r w:rsidR="00714BBA" w:rsidRPr="009325EF">
        <w:rPr>
          <w:rFonts w:ascii="Arial Narrow" w:hAnsi="Arial Narrow"/>
          <w:sz w:val="26"/>
          <w:szCs w:val="26"/>
        </w:rPr>
        <w:t xml:space="preserve"> Wilmar López Vásquez </w:t>
      </w:r>
      <w:r w:rsidR="00714BBA" w:rsidRPr="009325EF">
        <w:rPr>
          <w:rFonts w:ascii="Arial Narrow" w:eastAsia="Cambria Math" w:hAnsi="Arial Narrow"/>
          <w:color w:val="000000"/>
          <w:sz w:val="26"/>
          <w:szCs w:val="26"/>
          <w:lang w:val="es-CO" w:eastAsia="es-CO"/>
        </w:rPr>
        <w:t>no hace</w:t>
      </w:r>
      <w:r w:rsidRPr="009325EF">
        <w:rPr>
          <w:rFonts w:ascii="Arial Narrow" w:eastAsia="Cambria Math" w:hAnsi="Arial Narrow"/>
          <w:color w:val="000000"/>
          <w:sz w:val="26"/>
          <w:szCs w:val="26"/>
          <w:lang w:val="es-CO" w:eastAsia="es-CO"/>
        </w:rPr>
        <w:t xml:space="preserve"> parte de la citada causa, pues </w:t>
      </w:r>
      <w:r w:rsidR="00714BBA" w:rsidRPr="009325EF">
        <w:rPr>
          <w:rFonts w:ascii="Arial Narrow" w:eastAsia="Cambria Math" w:hAnsi="Arial Narrow"/>
          <w:color w:val="000000"/>
          <w:sz w:val="26"/>
          <w:szCs w:val="26"/>
          <w:lang w:val="es-CO" w:eastAsia="es-CO"/>
        </w:rPr>
        <w:t xml:space="preserve">la demanda se promueve por </w:t>
      </w:r>
      <w:r w:rsidR="00714BBA" w:rsidRPr="009325EF">
        <w:rPr>
          <w:rFonts w:ascii="Arial Narrow" w:hAnsi="Arial Narrow"/>
          <w:sz w:val="26"/>
          <w:szCs w:val="26"/>
        </w:rPr>
        <w:t xml:space="preserve">Alexandra Bahamón y Cristian Alejandro Bahamón contra </w:t>
      </w:r>
      <w:proofErr w:type="spellStart"/>
      <w:r w:rsidR="00714BBA" w:rsidRPr="009325EF">
        <w:rPr>
          <w:rFonts w:ascii="Arial Narrow" w:hAnsi="Arial Narrow"/>
          <w:sz w:val="26"/>
          <w:szCs w:val="26"/>
        </w:rPr>
        <w:t>Jhon</w:t>
      </w:r>
      <w:proofErr w:type="spellEnd"/>
      <w:r w:rsidR="00714BBA" w:rsidRPr="009325EF">
        <w:rPr>
          <w:rFonts w:ascii="Arial Narrow" w:hAnsi="Arial Narrow"/>
          <w:sz w:val="26"/>
          <w:szCs w:val="26"/>
        </w:rPr>
        <w:t xml:space="preserve"> Fredy Villa Ramírez y fue reconocido como cesionario parcial de los derechos de aquellos Francisco José Durán Palacio</w:t>
      </w:r>
      <w:r w:rsidR="005A5AA8" w:rsidRPr="009325EF">
        <w:rPr>
          <w:rFonts w:ascii="Arial Narrow" w:hAnsi="Arial Narrow"/>
          <w:sz w:val="26"/>
          <w:szCs w:val="26"/>
        </w:rPr>
        <w:t>,</w:t>
      </w:r>
      <w:r w:rsidR="00714BBA" w:rsidRPr="009325EF">
        <w:rPr>
          <w:rFonts w:ascii="Arial Narrow" w:hAnsi="Arial Narrow"/>
          <w:sz w:val="26"/>
          <w:szCs w:val="26"/>
        </w:rPr>
        <w:t xml:space="preserve"> mientras que Luis Fernando Cardona Monsalve</w:t>
      </w:r>
      <w:r w:rsidRPr="009325EF">
        <w:rPr>
          <w:rFonts w:ascii="Arial Narrow" w:eastAsia="Cambria Math" w:hAnsi="Arial Narrow"/>
          <w:color w:val="000000"/>
          <w:sz w:val="26"/>
          <w:szCs w:val="26"/>
          <w:lang w:val="es-CO" w:eastAsia="es-CO"/>
        </w:rPr>
        <w:t xml:space="preserve"> </w:t>
      </w:r>
      <w:r w:rsidR="00714BBA" w:rsidRPr="009325EF">
        <w:rPr>
          <w:rFonts w:ascii="Arial Narrow" w:eastAsia="Cambria Math" w:hAnsi="Arial Narrow"/>
          <w:color w:val="000000"/>
          <w:sz w:val="26"/>
          <w:szCs w:val="26"/>
          <w:lang w:val="es-CO" w:eastAsia="es-CO"/>
        </w:rPr>
        <w:t xml:space="preserve">fue el único opositor </w:t>
      </w:r>
      <w:r w:rsidR="005A5AA8" w:rsidRPr="009325EF">
        <w:rPr>
          <w:rFonts w:ascii="Arial Narrow" w:eastAsia="Cambria Math" w:hAnsi="Arial Narrow"/>
          <w:color w:val="000000"/>
          <w:sz w:val="26"/>
          <w:szCs w:val="26"/>
          <w:lang w:val="es-CO" w:eastAsia="es-CO"/>
        </w:rPr>
        <w:t>a la entrega</w:t>
      </w:r>
      <w:r w:rsidR="00E1610B" w:rsidRPr="009325EF">
        <w:rPr>
          <w:rFonts w:ascii="Arial Narrow" w:eastAsia="Cambria Math" w:hAnsi="Arial Narrow"/>
          <w:color w:val="000000"/>
          <w:sz w:val="26"/>
          <w:szCs w:val="26"/>
          <w:lang w:val="es-CO" w:eastAsia="es-CO"/>
        </w:rPr>
        <w:t xml:space="preserve"> del bien que en su momento se</w:t>
      </w:r>
      <w:r w:rsidR="005A5AA8" w:rsidRPr="009325EF">
        <w:rPr>
          <w:rFonts w:ascii="Arial Narrow" w:eastAsia="Cambria Math" w:hAnsi="Arial Narrow"/>
          <w:color w:val="000000"/>
          <w:sz w:val="26"/>
          <w:szCs w:val="26"/>
          <w:lang w:val="es-CO" w:eastAsia="es-CO"/>
        </w:rPr>
        <w:t xml:space="preserve"> realizó el 18 de diciembre de 2019</w:t>
      </w:r>
      <w:r w:rsidR="00E1610B" w:rsidRPr="009325EF">
        <w:rPr>
          <w:rFonts w:ascii="Arial Narrow" w:eastAsia="Cambria Math" w:hAnsi="Arial Narrow"/>
          <w:color w:val="000000"/>
          <w:sz w:val="26"/>
          <w:szCs w:val="26"/>
          <w:lang w:val="es-CO" w:eastAsia="es-CO"/>
        </w:rPr>
        <w:t>, lo que generó la suspensión de esa diligencia</w:t>
      </w:r>
      <w:r w:rsidRPr="009325EF">
        <w:rPr>
          <w:rFonts w:ascii="Arial Narrow" w:hAnsi="Arial Narrow"/>
          <w:sz w:val="26"/>
          <w:szCs w:val="26"/>
          <w:vertAlign w:val="superscript"/>
          <w:lang w:val="es-CO"/>
        </w:rPr>
        <w:footnoteReference w:id="5"/>
      </w:r>
      <w:r w:rsidRPr="009325EF">
        <w:rPr>
          <w:rFonts w:ascii="Arial Narrow" w:hAnsi="Arial Narrow"/>
          <w:sz w:val="26"/>
          <w:szCs w:val="26"/>
        </w:rPr>
        <w:t>. A la fecha, conforme a decisión adoptada por este Tribunal el 23 de julio de 2021</w:t>
      </w:r>
      <w:r w:rsidRPr="009325EF">
        <w:rPr>
          <w:rFonts w:ascii="Arial Narrow" w:hAnsi="Arial Narrow"/>
          <w:sz w:val="26"/>
          <w:szCs w:val="26"/>
          <w:vertAlign w:val="superscript"/>
        </w:rPr>
        <w:footnoteReference w:id="6"/>
      </w:r>
      <w:r w:rsidRPr="009325EF">
        <w:rPr>
          <w:rFonts w:ascii="Arial Narrow" w:hAnsi="Arial Narrow"/>
          <w:sz w:val="26"/>
          <w:szCs w:val="26"/>
        </w:rPr>
        <w:t>, se encuentre pendiente de continuar la diligencia de entrega.</w:t>
      </w:r>
    </w:p>
    <w:p w14:paraId="1299C43A" w14:textId="77777777" w:rsidR="0000200A" w:rsidRPr="009325EF" w:rsidRDefault="0000200A" w:rsidP="009325EF">
      <w:pPr>
        <w:pStyle w:val="Sinespaciado"/>
        <w:spacing w:line="276" w:lineRule="auto"/>
        <w:jc w:val="both"/>
        <w:rPr>
          <w:rFonts w:ascii="Arial Narrow" w:hAnsi="Arial Narrow"/>
          <w:sz w:val="26"/>
          <w:szCs w:val="26"/>
        </w:rPr>
      </w:pPr>
    </w:p>
    <w:p w14:paraId="0BD8FD4B" w14:textId="77777777" w:rsidR="0000200A" w:rsidRPr="009325EF" w:rsidRDefault="0000200A" w:rsidP="009325EF">
      <w:pPr>
        <w:pStyle w:val="Sinespaciado"/>
        <w:spacing w:line="276" w:lineRule="auto"/>
        <w:jc w:val="both"/>
        <w:rPr>
          <w:rFonts w:ascii="Arial Narrow" w:hAnsi="Arial Narrow"/>
          <w:sz w:val="26"/>
          <w:szCs w:val="26"/>
        </w:rPr>
      </w:pPr>
      <w:r w:rsidRPr="009325EF">
        <w:rPr>
          <w:rFonts w:ascii="Arial Narrow" w:hAnsi="Arial Narrow"/>
          <w:b/>
          <w:bCs/>
          <w:sz w:val="26"/>
          <w:szCs w:val="26"/>
        </w:rPr>
        <w:t>4.</w:t>
      </w:r>
      <w:r w:rsidRPr="009325EF">
        <w:rPr>
          <w:rFonts w:ascii="Arial Narrow" w:hAnsi="Arial Narrow"/>
          <w:sz w:val="26"/>
          <w:szCs w:val="26"/>
        </w:rPr>
        <w:t xml:space="preserve"> Se </w:t>
      </w:r>
      <w:r w:rsidR="005A5AA8" w:rsidRPr="009325EF">
        <w:rPr>
          <w:rFonts w:ascii="Arial Narrow" w:hAnsi="Arial Narrow"/>
          <w:sz w:val="26"/>
          <w:szCs w:val="26"/>
        </w:rPr>
        <w:t>deduce de lo anterior que, si el tutelante</w:t>
      </w:r>
      <w:r w:rsidRPr="009325EF">
        <w:rPr>
          <w:rFonts w:ascii="Arial Narrow" w:hAnsi="Arial Narrow"/>
          <w:sz w:val="26"/>
          <w:szCs w:val="26"/>
        </w:rPr>
        <w:t xml:space="preserve"> no</w:t>
      </w:r>
      <w:r w:rsidR="005A5AA8" w:rsidRPr="009325EF">
        <w:rPr>
          <w:rFonts w:ascii="Arial Narrow" w:hAnsi="Arial Narrow"/>
          <w:sz w:val="26"/>
          <w:szCs w:val="26"/>
        </w:rPr>
        <w:t xml:space="preserve"> ha comparecido</w:t>
      </w:r>
      <w:r w:rsidRPr="009325EF">
        <w:rPr>
          <w:rFonts w:ascii="Arial Narrow" w:hAnsi="Arial Narrow"/>
          <w:sz w:val="26"/>
          <w:szCs w:val="26"/>
        </w:rPr>
        <w:t xml:space="preserve"> como parte ni como tercero en el mencionado proceso, las decisiones adoptadas en su </w:t>
      </w:r>
      <w:r w:rsidR="005A5AA8" w:rsidRPr="009325EF">
        <w:rPr>
          <w:rFonts w:ascii="Arial Narrow" w:hAnsi="Arial Narrow"/>
          <w:sz w:val="26"/>
          <w:szCs w:val="26"/>
        </w:rPr>
        <w:t>interior no lo</w:t>
      </w:r>
      <w:r w:rsidRPr="009325EF">
        <w:rPr>
          <w:rFonts w:ascii="Arial Narrow" w:hAnsi="Arial Narrow"/>
          <w:sz w:val="26"/>
          <w:szCs w:val="26"/>
        </w:rPr>
        <w:t xml:space="preserve"> podrían afectar, pues tal como lo ha expresado la Corte Constitucional: “</w:t>
      </w:r>
      <w:r w:rsidRPr="009325EF">
        <w:rPr>
          <w:rFonts w:ascii="Arial Narrow" w:hAnsi="Arial Narrow"/>
          <w:i/>
          <w:iCs/>
          <w:sz w:val="24"/>
          <w:szCs w:val="26"/>
          <w:lang w:val="es-CO"/>
        </w:rPr>
        <w:t>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9325EF">
        <w:rPr>
          <w:rFonts w:ascii="Arial Narrow" w:hAnsi="Arial Narrow"/>
          <w:i/>
          <w:iCs/>
          <w:sz w:val="26"/>
          <w:szCs w:val="26"/>
          <w:lang w:val="es-CO"/>
        </w:rPr>
        <w:t>”</w:t>
      </w:r>
      <w:r w:rsidRPr="009325EF">
        <w:rPr>
          <w:rFonts w:ascii="Arial Narrow" w:hAnsi="Arial Narrow"/>
          <w:i/>
          <w:iCs/>
          <w:sz w:val="26"/>
          <w:szCs w:val="26"/>
          <w:vertAlign w:val="superscript"/>
          <w:lang w:val="es-CO"/>
        </w:rPr>
        <w:footnoteReference w:id="7"/>
      </w:r>
      <w:r w:rsidRPr="009325EF">
        <w:rPr>
          <w:rFonts w:ascii="Arial Narrow" w:hAnsi="Arial Narrow"/>
          <w:i/>
          <w:iCs/>
          <w:sz w:val="26"/>
          <w:szCs w:val="26"/>
          <w:lang w:val="es-CO"/>
        </w:rPr>
        <w:t>.</w:t>
      </w:r>
      <w:r w:rsidRPr="009325EF">
        <w:rPr>
          <w:rFonts w:ascii="Arial Narrow" w:hAnsi="Arial Narrow"/>
          <w:i/>
          <w:iCs/>
          <w:sz w:val="26"/>
          <w:szCs w:val="26"/>
        </w:rPr>
        <w:t xml:space="preserve"> </w:t>
      </w:r>
    </w:p>
    <w:p w14:paraId="4DDBEF00" w14:textId="77777777" w:rsidR="0000200A" w:rsidRPr="009325EF" w:rsidRDefault="0000200A" w:rsidP="009325EF">
      <w:pPr>
        <w:tabs>
          <w:tab w:val="left" w:pos="-720"/>
          <w:tab w:val="left" w:pos="0"/>
        </w:tabs>
        <w:suppressAutoHyphens/>
        <w:spacing w:line="276" w:lineRule="auto"/>
        <w:jc w:val="both"/>
        <w:rPr>
          <w:rFonts w:ascii="Arial Narrow" w:hAnsi="Arial Narrow"/>
          <w:sz w:val="26"/>
          <w:szCs w:val="26"/>
        </w:rPr>
      </w:pPr>
    </w:p>
    <w:p w14:paraId="39120346" w14:textId="77777777" w:rsidR="005A5AA8" w:rsidRPr="009325EF" w:rsidRDefault="0000200A" w:rsidP="009325EF">
      <w:pPr>
        <w:suppressAutoHyphens/>
        <w:spacing w:line="276" w:lineRule="auto"/>
        <w:jc w:val="both"/>
        <w:rPr>
          <w:rFonts w:ascii="Arial Narrow" w:hAnsi="Arial Narrow"/>
          <w:i/>
          <w:iCs/>
          <w:sz w:val="26"/>
          <w:szCs w:val="26"/>
        </w:rPr>
      </w:pPr>
      <w:r w:rsidRPr="009325EF">
        <w:rPr>
          <w:rFonts w:ascii="Arial Narrow" w:hAnsi="Arial Narrow"/>
          <w:sz w:val="26"/>
          <w:szCs w:val="26"/>
        </w:rPr>
        <w:t xml:space="preserve">Esa misma línea de pensamiento la sigue la Corte Suprema de Justicia, que al respecto </w:t>
      </w:r>
      <w:r w:rsidR="005A5AA8" w:rsidRPr="009325EF">
        <w:rPr>
          <w:rFonts w:ascii="Arial Narrow" w:hAnsi="Arial Narrow"/>
          <w:sz w:val="26"/>
          <w:szCs w:val="26"/>
        </w:rPr>
        <w:t>y en un caso similar al actual</w:t>
      </w:r>
      <w:r w:rsidR="00E1610B" w:rsidRPr="009325EF">
        <w:rPr>
          <w:rFonts w:ascii="Arial Narrow" w:hAnsi="Arial Narrow"/>
          <w:sz w:val="26"/>
          <w:szCs w:val="26"/>
        </w:rPr>
        <w:t>,</w:t>
      </w:r>
      <w:r w:rsidR="005A5AA8" w:rsidRPr="009325EF">
        <w:rPr>
          <w:rFonts w:ascii="Arial Narrow" w:hAnsi="Arial Narrow"/>
          <w:sz w:val="26"/>
          <w:szCs w:val="26"/>
        </w:rPr>
        <w:t xml:space="preserve"> </w:t>
      </w:r>
      <w:r w:rsidRPr="009325EF">
        <w:rPr>
          <w:rFonts w:ascii="Arial Narrow" w:hAnsi="Arial Narrow"/>
          <w:sz w:val="26"/>
          <w:szCs w:val="26"/>
        </w:rPr>
        <w:t xml:space="preserve">indicó: </w:t>
      </w:r>
      <w:r w:rsidRPr="009325EF">
        <w:rPr>
          <w:rFonts w:ascii="Arial Narrow" w:hAnsi="Arial Narrow"/>
          <w:i/>
          <w:iCs/>
          <w:sz w:val="26"/>
          <w:szCs w:val="26"/>
        </w:rPr>
        <w:t>“</w:t>
      </w:r>
      <w:r w:rsidR="005A5AA8" w:rsidRPr="009325EF">
        <w:rPr>
          <w:rFonts w:ascii="Arial Narrow" w:hAnsi="Arial Narrow"/>
          <w:i/>
          <w:iCs/>
          <w:sz w:val="24"/>
          <w:szCs w:val="26"/>
        </w:rPr>
        <w:t xml:space="preserve">1. Sólo está facultado para promover el resguardo constitucional quien le vulneren o amenacen sus derechos fundamentales, tal como lo prevé el artículo 10 del Decreto 2591 de 1991. Así, entonces, cuando se censuran decisiones de los jueces, es claro que están legitimados para pedir protección únicamente los contendientes en la litis cuestionada o terceros que hayan intervenido, pero circunscrito a los aspectos de dicha participación… En el </w:t>
      </w:r>
      <w:proofErr w:type="spellStart"/>
      <w:r w:rsidR="005A5AA8" w:rsidRPr="009325EF">
        <w:rPr>
          <w:rFonts w:ascii="Arial Narrow" w:hAnsi="Arial Narrow"/>
          <w:i/>
          <w:iCs/>
          <w:sz w:val="24"/>
          <w:szCs w:val="26"/>
        </w:rPr>
        <w:t>sub-lite</w:t>
      </w:r>
      <w:proofErr w:type="spellEnd"/>
      <w:r w:rsidR="005A5AA8" w:rsidRPr="009325EF">
        <w:rPr>
          <w:rFonts w:ascii="Arial Narrow" w:hAnsi="Arial Narrow"/>
          <w:i/>
          <w:iCs/>
          <w:sz w:val="24"/>
          <w:szCs w:val="26"/>
        </w:rPr>
        <w:t xml:space="preserve">, Rubén Darío </w:t>
      </w:r>
      <w:proofErr w:type="spellStart"/>
      <w:r w:rsidR="005A5AA8" w:rsidRPr="009325EF">
        <w:rPr>
          <w:rFonts w:ascii="Arial Narrow" w:hAnsi="Arial Narrow"/>
          <w:i/>
          <w:iCs/>
          <w:sz w:val="24"/>
          <w:szCs w:val="26"/>
        </w:rPr>
        <w:t>Unirrago</w:t>
      </w:r>
      <w:proofErr w:type="spellEnd"/>
      <w:r w:rsidR="005A5AA8" w:rsidRPr="009325EF">
        <w:rPr>
          <w:rFonts w:ascii="Arial Narrow" w:hAnsi="Arial Narrow"/>
          <w:i/>
          <w:iCs/>
          <w:sz w:val="24"/>
          <w:szCs w:val="26"/>
        </w:rPr>
        <w:t xml:space="preserve"> Rivera no posee la condición de parte o tercero que le permita, de un lado, discutir en sede de tutela que no fue vinculado al proceso, y además, solicitar la suspensión de la inspección judicial que estaba prevista para el 10 de julio pasado y la que se aplazó para el próximo 28 de este mes y año. La mera circunstancia de ser ocupante del bien disputado, no le confiere ninguna calidad especial que le dé la facultad de controvertir aquí aspectos que no le conciernen</w:t>
      </w:r>
      <w:r w:rsidR="005A5AA8" w:rsidRPr="009325EF">
        <w:rPr>
          <w:rFonts w:ascii="Arial Narrow" w:hAnsi="Arial Narrow"/>
          <w:i/>
          <w:iCs/>
          <w:sz w:val="26"/>
          <w:szCs w:val="26"/>
        </w:rPr>
        <w:t>.”</w:t>
      </w:r>
      <w:r w:rsidR="005A5AA8" w:rsidRPr="009325EF">
        <w:rPr>
          <w:rFonts w:ascii="Arial Narrow" w:hAnsi="Arial Narrow"/>
          <w:i/>
          <w:iCs/>
          <w:sz w:val="26"/>
          <w:szCs w:val="26"/>
          <w:vertAlign w:val="superscript"/>
        </w:rPr>
        <w:footnoteReference w:id="8"/>
      </w:r>
    </w:p>
    <w:p w14:paraId="6E7BEAA2" w14:textId="77777777" w:rsidR="0000200A" w:rsidRPr="009325EF" w:rsidRDefault="0000200A" w:rsidP="009325EF">
      <w:pPr>
        <w:tabs>
          <w:tab w:val="left" w:pos="-720"/>
          <w:tab w:val="left" w:pos="0"/>
          <w:tab w:val="left" w:pos="142"/>
        </w:tabs>
        <w:suppressAutoHyphens/>
        <w:spacing w:line="276" w:lineRule="auto"/>
        <w:jc w:val="both"/>
        <w:rPr>
          <w:rFonts w:ascii="Arial Narrow" w:hAnsi="Arial Narrow"/>
          <w:sz w:val="26"/>
          <w:szCs w:val="26"/>
          <w:lang w:val="es-CO"/>
        </w:rPr>
      </w:pPr>
      <w:r w:rsidRPr="009325EF">
        <w:rPr>
          <w:rFonts w:ascii="Arial Narrow" w:hAnsi="Arial Narrow"/>
          <w:bCs/>
          <w:sz w:val="26"/>
          <w:szCs w:val="26"/>
          <w:lang w:val="es-CO"/>
        </w:rPr>
        <w:t> </w:t>
      </w:r>
    </w:p>
    <w:p w14:paraId="1998593B" w14:textId="7634EE79" w:rsidR="0000200A" w:rsidRPr="009325EF" w:rsidRDefault="005A5AA8" w:rsidP="009325EF">
      <w:pPr>
        <w:widowControl w:val="0"/>
        <w:suppressAutoHyphens/>
        <w:spacing w:line="276" w:lineRule="auto"/>
        <w:jc w:val="both"/>
        <w:rPr>
          <w:rFonts w:ascii="Arial Narrow" w:hAnsi="Arial Narrow"/>
          <w:sz w:val="26"/>
          <w:szCs w:val="26"/>
        </w:rPr>
      </w:pPr>
      <w:r w:rsidRPr="009325EF">
        <w:rPr>
          <w:rFonts w:ascii="Arial Narrow" w:hAnsi="Arial Narrow"/>
          <w:b/>
          <w:bCs/>
          <w:sz w:val="26"/>
          <w:szCs w:val="26"/>
        </w:rPr>
        <w:t>5</w:t>
      </w:r>
      <w:r w:rsidR="0000200A" w:rsidRPr="009325EF">
        <w:rPr>
          <w:rFonts w:ascii="Arial Narrow" w:hAnsi="Arial Narrow"/>
          <w:b/>
          <w:bCs/>
          <w:sz w:val="26"/>
          <w:szCs w:val="26"/>
        </w:rPr>
        <w:t>.</w:t>
      </w:r>
      <w:r w:rsidR="0000200A" w:rsidRPr="009325EF">
        <w:rPr>
          <w:rFonts w:ascii="Arial Narrow" w:hAnsi="Arial Narrow"/>
          <w:sz w:val="26"/>
          <w:szCs w:val="26"/>
        </w:rPr>
        <w:t xml:space="preserve"> Puede entonces concluirse que </w:t>
      </w:r>
      <w:r w:rsidRPr="009325EF">
        <w:rPr>
          <w:rFonts w:ascii="Arial Narrow" w:hAnsi="Arial Narrow"/>
          <w:sz w:val="26"/>
          <w:szCs w:val="26"/>
        </w:rPr>
        <w:t>el accionante</w:t>
      </w:r>
      <w:r w:rsidR="0000200A" w:rsidRPr="009325EF">
        <w:rPr>
          <w:rFonts w:ascii="Arial Narrow" w:hAnsi="Arial Narrow"/>
          <w:sz w:val="26"/>
          <w:szCs w:val="26"/>
        </w:rPr>
        <w:t xml:space="preserve"> carece de legitimación en la causa para </w:t>
      </w:r>
      <w:r w:rsidR="0000200A" w:rsidRPr="009325EF">
        <w:rPr>
          <w:rFonts w:ascii="Arial Narrow" w:hAnsi="Arial Narrow"/>
          <w:sz w:val="26"/>
          <w:szCs w:val="26"/>
        </w:rPr>
        <w:lastRenderedPageBreak/>
        <w:t>controvertir decisiones adoptadas en el proceso en el que no ha intervenido</w:t>
      </w:r>
      <w:r w:rsidRPr="009325EF">
        <w:rPr>
          <w:rFonts w:ascii="Arial Narrow" w:hAnsi="Arial Narrow"/>
          <w:sz w:val="26"/>
          <w:szCs w:val="26"/>
        </w:rPr>
        <w:t xml:space="preserve"> como parte, ni ha</w:t>
      </w:r>
      <w:r w:rsidR="0000200A" w:rsidRPr="009325EF">
        <w:rPr>
          <w:rFonts w:ascii="Arial Narrow" w:hAnsi="Arial Narrow"/>
          <w:sz w:val="26"/>
          <w:szCs w:val="26"/>
        </w:rPr>
        <w:t xml:space="preserve"> sido </w:t>
      </w:r>
      <w:r w:rsidRPr="009325EF">
        <w:rPr>
          <w:rFonts w:ascii="Arial Narrow" w:hAnsi="Arial Narrow"/>
          <w:sz w:val="26"/>
          <w:szCs w:val="26"/>
        </w:rPr>
        <w:t>reconocido como tercero</w:t>
      </w:r>
      <w:r w:rsidR="0000200A" w:rsidRPr="009325EF">
        <w:rPr>
          <w:rFonts w:ascii="Arial Narrow" w:hAnsi="Arial Narrow"/>
          <w:sz w:val="26"/>
          <w:szCs w:val="26"/>
        </w:rPr>
        <w:t xml:space="preserve"> con interés, y por tal razón la tutela resulta improcedente.</w:t>
      </w:r>
    </w:p>
    <w:p w14:paraId="3461D779" w14:textId="77777777" w:rsidR="0000200A" w:rsidRPr="009325EF" w:rsidRDefault="0000200A" w:rsidP="009325EF">
      <w:pPr>
        <w:pStyle w:val="Sinespaciado"/>
        <w:spacing w:line="276" w:lineRule="auto"/>
        <w:jc w:val="both"/>
        <w:rPr>
          <w:rFonts w:ascii="Arial Narrow" w:hAnsi="Arial Narrow"/>
          <w:sz w:val="26"/>
          <w:szCs w:val="26"/>
          <w:lang w:val="es-ES_tradnl"/>
        </w:rPr>
      </w:pPr>
    </w:p>
    <w:p w14:paraId="5EC27850" w14:textId="77777777" w:rsidR="0000200A" w:rsidRPr="009325EF" w:rsidRDefault="0000200A" w:rsidP="009325EF">
      <w:pPr>
        <w:pStyle w:val="Sinespaciado"/>
        <w:spacing w:line="276" w:lineRule="auto"/>
        <w:jc w:val="both"/>
        <w:rPr>
          <w:rFonts w:ascii="Arial Narrow" w:hAnsi="Arial Narrow"/>
          <w:sz w:val="26"/>
          <w:szCs w:val="26"/>
          <w:lang w:val="es-CO"/>
        </w:rPr>
      </w:pPr>
      <w:r w:rsidRPr="009325EF">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3CF2D8B6" w14:textId="77777777" w:rsidR="0000200A" w:rsidRPr="009325EF" w:rsidRDefault="0000200A" w:rsidP="009325EF">
      <w:pPr>
        <w:pStyle w:val="Sinespaciado"/>
        <w:spacing w:line="276" w:lineRule="auto"/>
        <w:jc w:val="both"/>
        <w:rPr>
          <w:rFonts w:ascii="Arial Narrow" w:hAnsi="Arial Narrow"/>
          <w:sz w:val="26"/>
          <w:szCs w:val="26"/>
          <w:lang w:val="es-CO"/>
        </w:rPr>
      </w:pPr>
    </w:p>
    <w:p w14:paraId="68A3624F" w14:textId="77777777" w:rsidR="0000200A" w:rsidRPr="009325EF" w:rsidRDefault="0000200A" w:rsidP="009325EF">
      <w:pPr>
        <w:pStyle w:val="Sinespaciado"/>
        <w:spacing w:line="276" w:lineRule="auto"/>
        <w:jc w:val="center"/>
        <w:rPr>
          <w:rFonts w:ascii="Arial Narrow" w:hAnsi="Arial Narrow"/>
          <w:b/>
          <w:bCs/>
          <w:sz w:val="26"/>
          <w:szCs w:val="26"/>
          <w:lang w:val="es-CO"/>
        </w:rPr>
      </w:pPr>
      <w:r w:rsidRPr="009325EF">
        <w:rPr>
          <w:rFonts w:ascii="Arial Narrow" w:hAnsi="Arial Narrow"/>
          <w:b/>
          <w:bCs/>
          <w:sz w:val="26"/>
          <w:szCs w:val="26"/>
          <w:lang w:val="es-CO"/>
        </w:rPr>
        <w:t>RESUELVE</w:t>
      </w:r>
    </w:p>
    <w:p w14:paraId="0FB78278" w14:textId="77777777" w:rsidR="0000200A" w:rsidRPr="009325EF" w:rsidRDefault="0000200A" w:rsidP="009325EF">
      <w:pPr>
        <w:pStyle w:val="Sinespaciado"/>
        <w:spacing w:line="276" w:lineRule="auto"/>
        <w:jc w:val="both"/>
        <w:rPr>
          <w:rFonts w:ascii="Arial Narrow" w:hAnsi="Arial Narrow"/>
          <w:sz w:val="26"/>
          <w:szCs w:val="26"/>
          <w:lang w:val="es-CO"/>
        </w:rPr>
      </w:pPr>
    </w:p>
    <w:p w14:paraId="159F6F80" w14:textId="77777777" w:rsidR="0000200A" w:rsidRPr="009325EF" w:rsidRDefault="0000200A" w:rsidP="009325EF">
      <w:pPr>
        <w:pStyle w:val="Sinespaciado"/>
        <w:spacing w:line="276" w:lineRule="auto"/>
        <w:jc w:val="both"/>
        <w:rPr>
          <w:rFonts w:ascii="Arial Narrow" w:hAnsi="Arial Narrow"/>
          <w:sz w:val="26"/>
          <w:szCs w:val="26"/>
          <w:lang w:val="es-CO"/>
        </w:rPr>
      </w:pPr>
      <w:r w:rsidRPr="009325EF">
        <w:rPr>
          <w:rFonts w:ascii="Arial Narrow" w:hAnsi="Arial Narrow"/>
          <w:b/>
          <w:bCs/>
          <w:sz w:val="26"/>
          <w:szCs w:val="26"/>
          <w:lang w:val="es-CO"/>
        </w:rPr>
        <w:t xml:space="preserve">PRIMERO: </w:t>
      </w:r>
      <w:r w:rsidR="00E1610B" w:rsidRPr="009325EF">
        <w:rPr>
          <w:rFonts w:ascii="Arial Narrow" w:hAnsi="Arial Narrow"/>
          <w:b/>
          <w:bCs/>
          <w:sz w:val="26"/>
          <w:szCs w:val="26"/>
          <w:lang w:val="es-CO"/>
        </w:rPr>
        <w:t xml:space="preserve">DECLARAR </w:t>
      </w:r>
      <w:r w:rsidRPr="009325EF">
        <w:rPr>
          <w:rFonts w:ascii="Arial Narrow" w:hAnsi="Arial Narrow"/>
          <w:bCs/>
          <w:sz w:val="26"/>
          <w:szCs w:val="26"/>
          <w:lang w:val="es-CO"/>
        </w:rPr>
        <w:t>improcedente</w:t>
      </w:r>
      <w:r w:rsidRPr="009325EF">
        <w:rPr>
          <w:rFonts w:ascii="Arial Narrow" w:hAnsi="Arial Narrow"/>
          <w:b/>
          <w:bCs/>
          <w:sz w:val="26"/>
          <w:szCs w:val="26"/>
          <w:lang w:val="es-CO"/>
        </w:rPr>
        <w:t xml:space="preserve"> </w:t>
      </w:r>
      <w:r w:rsidRPr="009325EF">
        <w:rPr>
          <w:rFonts w:ascii="Arial Narrow" w:hAnsi="Arial Narrow"/>
          <w:sz w:val="26"/>
          <w:szCs w:val="26"/>
          <w:lang w:val="es-CO"/>
        </w:rPr>
        <w:t>el amparo invocado.</w:t>
      </w:r>
    </w:p>
    <w:p w14:paraId="1FC39945" w14:textId="77777777" w:rsidR="2F5A15EB" w:rsidRPr="009325EF" w:rsidRDefault="2F5A15EB" w:rsidP="009325EF">
      <w:pPr>
        <w:spacing w:line="276" w:lineRule="auto"/>
        <w:jc w:val="both"/>
        <w:rPr>
          <w:rFonts w:ascii="Arial Narrow" w:eastAsia="Arial Narrow" w:hAnsi="Arial Narrow" w:cs="Arial Narrow"/>
          <w:color w:val="000000" w:themeColor="text1"/>
          <w:sz w:val="26"/>
          <w:szCs w:val="26"/>
          <w:lang w:val="es-CO"/>
        </w:rPr>
      </w:pPr>
    </w:p>
    <w:p w14:paraId="5EA861CC" w14:textId="77777777" w:rsidR="2F5A15EB" w:rsidRPr="009325EF" w:rsidRDefault="2F5A15EB" w:rsidP="009325EF">
      <w:pPr>
        <w:pStyle w:val="Sinespaciado"/>
        <w:spacing w:line="276" w:lineRule="auto"/>
        <w:jc w:val="both"/>
        <w:rPr>
          <w:rFonts w:ascii="Arial Narrow" w:eastAsia="Arial Narrow" w:hAnsi="Arial Narrow" w:cs="Arial Narrow"/>
          <w:color w:val="000000" w:themeColor="text1"/>
          <w:sz w:val="26"/>
          <w:szCs w:val="26"/>
        </w:rPr>
      </w:pPr>
      <w:r w:rsidRPr="009325EF">
        <w:rPr>
          <w:rFonts w:ascii="Arial Narrow" w:eastAsia="Arial Narrow" w:hAnsi="Arial Narrow" w:cs="Arial Narrow"/>
          <w:b/>
          <w:bCs/>
          <w:color w:val="000000" w:themeColor="text1"/>
          <w:sz w:val="26"/>
          <w:szCs w:val="26"/>
        </w:rPr>
        <w:t>SEGUNDO</w:t>
      </w:r>
      <w:r w:rsidRPr="009325EF">
        <w:rPr>
          <w:rFonts w:ascii="Arial Narrow" w:eastAsia="Arial Narrow" w:hAnsi="Arial Narrow" w:cs="Arial Narrow"/>
          <w:color w:val="000000" w:themeColor="text1"/>
          <w:sz w:val="26"/>
          <w:szCs w:val="26"/>
        </w:rPr>
        <w:t xml:space="preserve">: </w:t>
      </w:r>
      <w:r w:rsidRPr="009325EF">
        <w:rPr>
          <w:rFonts w:ascii="Arial Narrow" w:eastAsia="Arial Narrow" w:hAnsi="Arial Narrow" w:cs="Arial Narrow"/>
          <w:b/>
          <w:bCs/>
          <w:color w:val="000000" w:themeColor="text1"/>
          <w:sz w:val="26"/>
          <w:szCs w:val="26"/>
          <w:lang w:val="es-MX"/>
        </w:rPr>
        <w:t>NOTIFICAR</w:t>
      </w:r>
      <w:r w:rsidRPr="009325EF">
        <w:rPr>
          <w:rFonts w:ascii="Arial Narrow" w:eastAsia="Arial Narrow" w:hAnsi="Arial Narrow" w:cs="Arial Narrow"/>
          <w:color w:val="000000" w:themeColor="text1"/>
          <w:sz w:val="26"/>
          <w:szCs w:val="26"/>
          <w:lang w:val="es-MX"/>
        </w:rPr>
        <w:t xml:space="preserve"> a las partes lo aquí resuelto en la forma más expedita y eficaz posible.</w:t>
      </w:r>
    </w:p>
    <w:p w14:paraId="0562CB0E" w14:textId="77777777" w:rsidR="2F5A15EB" w:rsidRPr="009325EF" w:rsidRDefault="2F5A15EB" w:rsidP="009325EF">
      <w:pPr>
        <w:spacing w:line="276" w:lineRule="auto"/>
        <w:jc w:val="both"/>
        <w:rPr>
          <w:rFonts w:ascii="Arial Narrow" w:eastAsia="Arial Narrow" w:hAnsi="Arial Narrow" w:cs="Arial Narrow"/>
          <w:color w:val="000000" w:themeColor="text1"/>
          <w:sz w:val="26"/>
          <w:szCs w:val="26"/>
          <w:lang w:val="es-ES"/>
        </w:rPr>
      </w:pPr>
    </w:p>
    <w:p w14:paraId="6E931801" w14:textId="77777777" w:rsidR="2F5A15EB" w:rsidRPr="009325EF" w:rsidRDefault="2F5A15EB" w:rsidP="009325EF">
      <w:pPr>
        <w:pStyle w:val="Sinespaciado"/>
        <w:spacing w:line="276" w:lineRule="auto"/>
        <w:jc w:val="both"/>
        <w:rPr>
          <w:rFonts w:ascii="Arial Narrow" w:eastAsia="Arial Narrow" w:hAnsi="Arial Narrow" w:cs="Arial Narrow"/>
          <w:color w:val="000000" w:themeColor="text1"/>
          <w:sz w:val="26"/>
          <w:szCs w:val="26"/>
        </w:rPr>
      </w:pPr>
      <w:r w:rsidRPr="009325EF">
        <w:rPr>
          <w:rFonts w:ascii="Arial Narrow" w:eastAsia="Arial Narrow" w:hAnsi="Arial Narrow" w:cs="Arial Narrow"/>
          <w:b/>
          <w:bCs/>
          <w:color w:val="000000" w:themeColor="text1"/>
          <w:sz w:val="26"/>
          <w:szCs w:val="26"/>
          <w:lang w:val="es-MX"/>
        </w:rPr>
        <w:t>TERCERO: ENVIAR</w:t>
      </w:r>
      <w:r w:rsidRPr="009325EF">
        <w:rPr>
          <w:rFonts w:ascii="Arial Narrow" w:eastAsia="Arial Narrow" w:hAnsi="Arial Narrow" w:cs="Arial Narrow"/>
          <w:color w:val="000000" w:themeColor="text1"/>
          <w:sz w:val="26"/>
          <w:szCs w:val="26"/>
          <w:lang w:val="es-MX"/>
        </w:rPr>
        <w:t xml:space="preserve"> oportunamente el presente expediente a la Honorable Corte Constitucional para su eventual revisión</w:t>
      </w:r>
      <w:r w:rsidRPr="009325EF">
        <w:rPr>
          <w:rFonts w:ascii="Arial Narrow" w:eastAsia="Arial Narrow" w:hAnsi="Arial Narrow" w:cs="Arial Narrow"/>
          <w:color w:val="000000" w:themeColor="text1"/>
          <w:sz w:val="26"/>
          <w:szCs w:val="26"/>
        </w:rPr>
        <w:t>.</w:t>
      </w:r>
    </w:p>
    <w:p w14:paraId="34CE0A41" w14:textId="77777777" w:rsidR="2F5A15EB" w:rsidRPr="009325EF" w:rsidRDefault="2F5A15EB" w:rsidP="009325EF">
      <w:pPr>
        <w:spacing w:line="276" w:lineRule="auto"/>
        <w:jc w:val="both"/>
        <w:rPr>
          <w:rFonts w:ascii="Arial Narrow" w:eastAsia="Arial Narrow" w:hAnsi="Arial Narrow" w:cs="Arial Narrow"/>
          <w:color w:val="000000" w:themeColor="text1"/>
          <w:sz w:val="26"/>
          <w:szCs w:val="26"/>
          <w:lang w:val="es-ES"/>
        </w:rPr>
      </w:pPr>
    </w:p>
    <w:p w14:paraId="2378B9E3" w14:textId="77777777" w:rsidR="2F5A15EB" w:rsidRPr="009325EF" w:rsidRDefault="2F5A15EB" w:rsidP="009325EF">
      <w:pPr>
        <w:pStyle w:val="Sinespaciado"/>
        <w:spacing w:line="276" w:lineRule="auto"/>
        <w:jc w:val="both"/>
        <w:rPr>
          <w:rFonts w:ascii="Arial Narrow" w:eastAsia="Arial Narrow" w:hAnsi="Arial Narrow" w:cs="Arial Narrow"/>
          <w:color w:val="000000" w:themeColor="text1"/>
          <w:sz w:val="26"/>
          <w:szCs w:val="26"/>
        </w:rPr>
      </w:pPr>
      <w:r w:rsidRPr="009325EF">
        <w:rPr>
          <w:rFonts w:ascii="Arial Narrow" w:eastAsia="Arial Narrow" w:hAnsi="Arial Narrow" w:cs="Arial Narrow"/>
          <w:b/>
          <w:bCs/>
          <w:color w:val="000000" w:themeColor="text1"/>
          <w:sz w:val="26"/>
          <w:szCs w:val="26"/>
        </w:rPr>
        <w:t>CUARTO</w:t>
      </w:r>
      <w:r w:rsidRPr="009325EF">
        <w:rPr>
          <w:rFonts w:ascii="Arial Narrow" w:eastAsia="Arial Narrow" w:hAnsi="Arial Narrow" w:cs="Arial Narrow"/>
          <w:b/>
          <w:bCs/>
          <w:color w:val="000000" w:themeColor="text1"/>
          <w:sz w:val="26"/>
          <w:szCs w:val="26"/>
          <w:lang w:val="es-MX"/>
        </w:rPr>
        <w:t xml:space="preserve">: ARCHIVAR </w:t>
      </w:r>
      <w:r w:rsidRPr="009325EF">
        <w:rPr>
          <w:rFonts w:ascii="Arial Narrow" w:eastAsia="Arial Narrow" w:hAnsi="Arial Narrow" w:cs="Arial Narrow"/>
          <w:color w:val="000000" w:themeColor="text1"/>
          <w:sz w:val="26"/>
          <w:szCs w:val="26"/>
          <w:lang w:val="es-MX"/>
        </w:rPr>
        <w:t xml:space="preserve">el expediente, previa anotación en los libros </w:t>
      </w:r>
      <w:proofErr w:type="spellStart"/>
      <w:r w:rsidRPr="009325EF">
        <w:rPr>
          <w:rFonts w:ascii="Arial Narrow" w:eastAsia="Arial Narrow" w:hAnsi="Arial Narrow" w:cs="Arial Narrow"/>
          <w:color w:val="000000" w:themeColor="text1"/>
          <w:sz w:val="26"/>
          <w:szCs w:val="26"/>
          <w:lang w:val="es-MX"/>
        </w:rPr>
        <w:t>radicadores</w:t>
      </w:r>
      <w:proofErr w:type="spellEnd"/>
      <w:r w:rsidRPr="009325EF">
        <w:rPr>
          <w:rFonts w:ascii="Arial Narrow" w:eastAsia="Arial Narrow" w:hAnsi="Arial Narrow" w:cs="Arial Narrow"/>
          <w:color w:val="000000" w:themeColor="text1"/>
          <w:sz w:val="26"/>
          <w:szCs w:val="26"/>
          <w:lang w:val="es-MX"/>
        </w:rPr>
        <w:t>, una vez agotado el trámite ante la Corte Constitucional, siempre y cuando no exista actuación pendiente alguna</w:t>
      </w:r>
    </w:p>
    <w:p w14:paraId="62EBF3C5" w14:textId="77777777" w:rsidR="2F5A15EB" w:rsidRPr="009325EF" w:rsidRDefault="2F5A15EB" w:rsidP="009325EF">
      <w:pPr>
        <w:spacing w:line="276" w:lineRule="auto"/>
        <w:jc w:val="both"/>
        <w:rPr>
          <w:rFonts w:ascii="Arial Narrow" w:eastAsia="Arial Narrow" w:hAnsi="Arial Narrow" w:cs="Arial Narrow"/>
          <w:color w:val="000000" w:themeColor="text1"/>
          <w:sz w:val="26"/>
          <w:szCs w:val="26"/>
          <w:lang w:val="es-ES"/>
        </w:rPr>
      </w:pPr>
    </w:p>
    <w:p w14:paraId="32C7584C" w14:textId="77777777" w:rsidR="009325EF" w:rsidRPr="00A0615E" w:rsidRDefault="009325EF" w:rsidP="009325EF">
      <w:pPr>
        <w:spacing w:line="276" w:lineRule="auto"/>
        <w:ind w:right="49"/>
        <w:jc w:val="center"/>
        <w:rPr>
          <w:rFonts w:ascii="Arial Narrow" w:hAnsi="Arial Narrow"/>
          <w:b/>
          <w:iCs/>
          <w:sz w:val="26"/>
          <w:szCs w:val="26"/>
        </w:rPr>
      </w:pPr>
      <w:r w:rsidRPr="00A0615E">
        <w:rPr>
          <w:rFonts w:ascii="Arial Narrow" w:hAnsi="Arial Narrow"/>
          <w:b/>
          <w:iCs/>
          <w:sz w:val="26"/>
          <w:szCs w:val="26"/>
        </w:rPr>
        <w:t>NOTIFÍQUESE Y CÚMPLASE</w:t>
      </w:r>
    </w:p>
    <w:p w14:paraId="24932438" w14:textId="77777777" w:rsidR="009325EF" w:rsidRPr="00A0615E" w:rsidRDefault="009325EF" w:rsidP="009325EF">
      <w:pPr>
        <w:spacing w:line="276" w:lineRule="auto"/>
        <w:ind w:right="49"/>
        <w:jc w:val="center"/>
        <w:rPr>
          <w:rFonts w:ascii="Arial Narrow" w:hAnsi="Arial Narrow"/>
          <w:b/>
          <w:bCs/>
          <w:sz w:val="26"/>
          <w:szCs w:val="26"/>
        </w:rPr>
      </w:pPr>
    </w:p>
    <w:p w14:paraId="3BE12C32" w14:textId="77777777" w:rsidR="009325EF" w:rsidRPr="00A0615E" w:rsidRDefault="009325EF" w:rsidP="009325EF">
      <w:pPr>
        <w:spacing w:line="276" w:lineRule="auto"/>
        <w:ind w:right="49"/>
        <w:rPr>
          <w:rFonts w:ascii="Arial Narrow" w:hAnsi="Arial Narrow"/>
          <w:bCs/>
          <w:sz w:val="26"/>
          <w:szCs w:val="26"/>
        </w:rPr>
      </w:pPr>
      <w:r w:rsidRPr="00A0615E">
        <w:rPr>
          <w:rFonts w:ascii="Arial Narrow" w:hAnsi="Arial Narrow"/>
          <w:bCs/>
          <w:sz w:val="26"/>
          <w:szCs w:val="26"/>
        </w:rPr>
        <w:t>Los Magistrados,</w:t>
      </w:r>
    </w:p>
    <w:p w14:paraId="48694850" w14:textId="77777777" w:rsidR="009325EF" w:rsidRPr="00A0615E" w:rsidRDefault="009325EF" w:rsidP="009325EF">
      <w:pPr>
        <w:spacing w:line="276" w:lineRule="auto"/>
        <w:ind w:right="49"/>
        <w:jc w:val="center"/>
        <w:rPr>
          <w:rFonts w:ascii="Arial Narrow" w:hAnsi="Arial Narrow"/>
          <w:b/>
          <w:bCs/>
          <w:sz w:val="26"/>
          <w:szCs w:val="26"/>
        </w:rPr>
      </w:pPr>
    </w:p>
    <w:p w14:paraId="0A081037" w14:textId="77777777" w:rsidR="009325EF" w:rsidRPr="00A0615E" w:rsidRDefault="009325EF" w:rsidP="009325EF">
      <w:pPr>
        <w:spacing w:line="276" w:lineRule="auto"/>
        <w:ind w:right="49"/>
        <w:jc w:val="center"/>
        <w:rPr>
          <w:rFonts w:ascii="Arial Narrow" w:hAnsi="Arial Narrow"/>
          <w:b/>
          <w:bCs/>
          <w:sz w:val="26"/>
          <w:szCs w:val="26"/>
        </w:rPr>
      </w:pPr>
    </w:p>
    <w:p w14:paraId="7262B7B6" w14:textId="77777777" w:rsidR="009325EF" w:rsidRPr="00A0615E" w:rsidRDefault="009325EF" w:rsidP="009325EF">
      <w:pPr>
        <w:spacing w:line="276" w:lineRule="auto"/>
        <w:jc w:val="center"/>
        <w:rPr>
          <w:rFonts w:ascii="Arial Narrow" w:hAnsi="Arial Narrow" w:cs="Arial"/>
          <w:b/>
          <w:bCs/>
          <w:sz w:val="26"/>
          <w:szCs w:val="26"/>
        </w:rPr>
      </w:pPr>
      <w:r w:rsidRPr="00A0615E">
        <w:rPr>
          <w:rFonts w:ascii="Arial Narrow" w:hAnsi="Arial Narrow" w:cs="Arial"/>
          <w:b/>
          <w:bCs/>
          <w:sz w:val="26"/>
          <w:szCs w:val="26"/>
        </w:rPr>
        <w:t>CARLOS MAURICIO GARCÍA BARAJAS</w:t>
      </w:r>
    </w:p>
    <w:p w14:paraId="502EC7FD" w14:textId="77777777" w:rsidR="009325EF" w:rsidRPr="00A0615E" w:rsidRDefault="009325EF" w:rsidP="009325EF">
      <w:pPr>
        <w:spacing w:line="276" w:lineRule="auto"/>
        <w:jc w:val="center"/>
        <w:rPr>
          <w:rFonts w:ascii="Arial Narrow" w:hAnsi="Arial Narrow" w:cs="Arial"/>
          <w:b/>
          <w:bCs/>
          <w:sz w:val="26"/>
          <w:szCs w:val="26"/>
        </w:rPr>
      </w:pPr>
    </w:p>
    <w:p w14:paraId="2DBB0CF4" w14:textId="77777777" w:rsidR="009325EF" w:rsidRPr="00A0615E" w:rsidRDefault="009325EF" w:rsidP="009325EF">
      <w:pPr>
        <w:spacing w:line="276" w:lineRule="auto"/>
        <w:jc w:val="center"/>
        <w:rPr>
          <w:rFonts w:ascii="Arial Narrow" w:hAnsi="Arial Narrow" w:cs="Arial"/>
          <w:b/>
          <w:bCs/>
          <w:sz w:val="26"/>
          <w:szCs w:val="26"/>
        </w:rPr>
      </w:pPr>
    </w:p>
    <w:p w14:paraId="7BECB086" w14:textId="77777777" w:rsidR="009325EF" w:rsidRPr="00A0615E" w:rsidRDefault="009325EF" w:rsidP="009325EF">
      <w:pPr>
        <w:spacing w:line="276" w:lineRule="auto"/>
        <w:jc w:val="center"/>
        <w:rPr>
          <w:rFonts w:ascii="Arial Narrow" w:hAnsi="Arial Narrow" w:cs="Arial"/>
          <w:b/>
          <w:bCs/>
          <w:sz w:val="26"/>
          <w:szCs w:val="26"/>
        </w:rPr>
      </w:pPr>
      <w:r w:rsidRPr="00A0615E">
        <w:rPr>
          <w:rFonts w:ascii="Arial Narrow" w:hAnsi="Arial Narrow" w:cs="Arial"/>
          <w:b/>
          <w:bCs/>
          <w:sz w:val="26"/>
          <w:szCs w:val="26"/>
        </w:rPr>
        <w:t>DUBERNEY GRISALES HERRERA</w:t>
      </w:r>
    </w:p>
    <w:p w14:paraId="423CF440" w14:textId="77777777" w:rsidR="009325EF" w:rsidRPr="00A0615E" w:rsidRDefault="009325EF" w:rsidP="009325EF">
      <w:pPr>
        <w:spacing w:line="276" w:lineRule="auto"/>
        <w:jc w:val="center"/>
        <w:rPr>
          <w:rFonts w:ascii="Arial Narrow" w:hAnsi="Arial Narrow" w:cs="Arial"/>
          <w:b/>
          <w:bCs/>
          <w:sz w:val="26"/>
          <w:szCs w:val="26"/>
        </w:rPr>
      </w:pPr>
    </w:p>
    <w:p w14:paraId="3773008F" w14:textId="77777777" w:rsidR="009325EF" w:rsidRPr="00A0615E" w:rsidRDefault="009325EF" w:rsidP="009325EF">
      <w:pPr>
        <w:spacing w:line="276" w:lineRule="auto"/>
        <w:jc w:val="center"/>
        <w:rPr>
          <w:rFonts w:ascii="Arial Narrow" w:hAnsi="Arial Narrow" w:cs="Arial"/>
          <w:b/>
          <w:bCs/>
          <w:sz w:val="26"/>
          <w:szCs w:val="26"/>
        </w:rPr>
      </w:pPr>
    </w:p>
    <w:p w14:paraId="543A4C82" w14:textId="77777777" w:rsidR="009325EF" w:rsidRDefault="009325EF" w:rsidP="009325EF">
      <w:pPr>
        <w:spacing w:line="276" w:lineRule="auto"/>
        <w:jc w:val="center"/>
        <w:rPr>
          <w:rFonts w:ascii="Arial Narrow" w:hAnsi="Arial Narrow" w:cs="Arial"/>
          <w:b/>
          <w:bCs/>
          <w:sz w:val="26"/>
          <w:szCs w:val="26"/>
        </w:rPr>
      </w:pPr>
      <w:r w:rsidRPr="00A0615E">
        <w:rPr>
          <w:rFonts w:ascii="Arial Narrow" w:hAnsi="Arial Narrow" w:cs="Arial"/>
          <w:b/>
          <w:bCs/>
          <w:sz w:val="26"/>
          <w:szCs w:val="26"/>
        </w:rPr>
        <w:t>EDDER JIMMY SÁNCHEZ CALAMBÁS</w:t>
      </w:r>
    </w:p>
    <w:p w14:paraId="17B13C41" w14:textId="02986264" w:rsidR="0027343F" w:rsidRPr="0079138F" w:rsidRDefault="0027343F" w:rsidP="0079138F">
      <w:pPr>
        <w:spacing w:line="276" w:lineRule="auto"/>
        <w:jc w:val="center"/>
        <w:rPr>
          <w:rFonts w:ascii="Arial Narrow" w:hAnsi="Arial Narrow" w:cs="Arial"/>
          <w:sz w:val="26"/>
          <w:szCs w:val="26"/>
          <w:lang w:val="en-US"/>
        </w:rPr>
      </w:pPr>
      <w:r w:rsidRPr="009325EF">
        <w:rPr>
          <w:rFonts w:ascii="Arial Narrow" w:hAnsi="Arial Narrow" w:cs="Arial"/>
          <w:bCs/>
          <w:sz w:val="26"/>
          <w:szCs w:val="26"/>
        </w:rPr>
        <w:t>Ausente</w:t>
      </w:r>
      <w:r w:rsidRPr="009325EF">
        <w:rPr>
          <w:rFonts w:ascii="Arial Narrow" w:hAnsi="Arial Narrow" w:cs="Arial"/>
          <w:bCs/>
          <w:sz w:val="26"/>
          <w:szCs w:val="26"/>
          <w:lang w:val="en-US"/>
        </w:rPr>
        <w:t xml:space="preserve"> con causa </w:t>
      </w:r>
      <w:r w:rsidRPr="009325EF">
        <w:rPr>
          <w:rFonts w:ascii="Arial Narrow" w:hAnsi="Arial Narrow" w:cs="Arial"/>
          <w:bCs/>
          <w:sz w:val="26"/>
          <w:szCs w:val="26"/>
          <w:lang w:val="es-CO"/>
        </w:rPr>
        <w:t>justificada</w:t>
      </w:r>
    </w:p>
    <w:sectPr w:rsidR="0027343F" w:rsidRPr="0079138F" w:rsidSect="009325EF">
      <w:headerReference w:type="default" r:id="rId11"/>
      <w:footerReference w:type="default" r:id="rId12"/>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C1845AC" w16cex:dateUtc="2022-08-17T13:06:01.903Z"/>
  <w16cex:commentExtensible w16cex:durableId="6B5203C0" w16cex:dateUtc="2022-08-17T13:10:11.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35E0" w14:textId="77777777" w:rsidR="003F1CEE" w:rsidRDefault="003F1CEE" w:rsidP="00E20047">
      <w:r>
        <w:separator/>
      </w:r>
    </w:p>
  </w:endnote>
  <w:endnote w:type="continuationSeparator" w:id="0">
    <w:p w14:paraId="11A3D00D" w14:textId="77777777" w:rsidR="003F1CEE" w:rsidRDefault="003F1CEE"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7CDBBF10" w14:paraId="08CE6F91" w14:textId="77777777" w:rsidTr="7CDBBF10">
      <w:tc>
        <w:tcPr>
          <w:tcW w:w="2945" w:type="dxa"/>
        </w:tcPr>
        <w:p w14:paraId="61CDCEAD" w14:textId="77777777" w:rsidR="7CDBBF10" w:rsidRDefault="7CDBBF10" w:rsidP="7CDBBF10">
          <w:pPr>
            <w:pStyle w:val="Encabezado"/>
            <w:ind w:left="-115"/>
          </w:pPr>
        </w:p>
      </w:tc>
      <w:tc>
        <w:tcPr>
          <w:tcW w:w="2945" w:type="dxa"/>
        </w:tcPr>
        <w:p w14:paraId="6BB9E253" w14:textId="77777777" w:rsidR="7CDBBF10" w:rsidRDefault="7CDBBF10" w:rsidP="7CDBBF10">
          <w:pPr>
            <w:pStyle w:val="Encabezado"/>
            <w:jc w:val="center"/>
          </w:pPr>
        </w:p>
      </w:tc>
      <w:tc>
        <w:tcPr>
          <w:tcW w:w="2945" w:type="dxa"/>
        </w:tcPr>
        <w:p w14:paraId="23DE523C" w14:textId="77777777" w:rsidR="7CDBBF10" w:rsidRDefault="7CDBBF10" w:rsidP="7CDBBF10">
          <w:pPr>
            <w:pStyle w:val="Encabezado"/>
            <w:ind w:right="-115"/>
            <w:jc w:val="right"/>
          </w:pPr>
        </w:p>
      </w:tc>
    </w:tr>
  </w:tbl>
  <w:p w14:paraId="52E56223" w14:textId="77777777" w:rsidR="7CDBBF10" w:rsidRDefault="7CDBBF10" w:rsidP="7CDBBF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EF710" w14:textId="77777777" w:rsidR="003F1CEE" w:rsidRDefault="003F1CEE" w:rsidP="00E20047">
      <w:r>
        <w:separator/>
      </w:r>
    </w:p>
  </w:footnote>
  <w:footnote w:type="continuationSeparator" w:id="0">
    <w:p w14:paraId="22B3BDE3" w14:textId="77777777" w:rsidR="003F1CEE" w:rsidRDefault="003F1CEE" w:rsidP="00E20047">
      <w:r>
        <w:continuationSeparator/>
      </w:r>
    </w:p>
  </w:footnote>
  <w:footnote w:id="1">
    <w:p w14:paraId="75903BFD" w14:textId="77777777" w:rsidR="002D640B" w:rsidRPr="005A5AA8" w:rsidRDefault="002D640B" w:rsidP="005A5AA8">
      <w:pPr>
        <w:pStyle w:val="Textonotapie"/>
        <w:jc w:val="both"/>
        <w:rPr>
          <w:rFonts w:ascii="Arial Narrow" w:hAnsi="Arial Narrow" w:cs="Arial"/>
          <w:sz w:val="16"/>
          <w:szCs w:val="16"/>
        </w:rPr>
      </w:pPr>
      <w:r w:rsidRPr="005A5AA8">
        <w:rPr>
          <w:rStyle w:val="Refdenotaalpie"/>
          <w:rFonts w:ascii="Arial Narrow" w:eastAsia="Arial Narrow" w:hAnsi="Arial Narrow" w:cs="Arial Narrow"/>
          <w:sz w:val="16"/>
          <w:szCs w:val="16"/>
        </w:rPr>
        <w:footnoteRef/>
      </w:r>
      <w:r w:rsidRPr="005A5AA8">
        <w:rPr>
          <w:rFonts w:ascii="Arial Narrow" w:eastAsia="Arial Narrow" w:hAnsi="Arial Narrow" w:cs="Arial Narrow"/>
          <w:sz w:val="16"/>
          <w:szCs w:val="16"/>
        </w:rPr>
        <w:t xml:space="preserve"> Archivo 02 de este cuaderno</w:t>
      </w:r>
    </w:p>
  </w:footnote>
  <w:footnote w:id="2">
    <w:p w14:paraId="45E0E0A3" w14:textId="77777777" w:rsidR="002D640B" w:rsidRPr="005A5AA8" w:rsidRDefault="002D640B" w:rsidP="005A5AA8">
      <w:pPr>
        <w:pStyle w:val="Textonotapie"/>
        <w:jc w:val="both"/>
        <w:rPr>
          <w:rFonts w:ascii="Arial Narrow" w:hAnsi="Arial Narrow" w:cs="Arial"/>
          <w:sz w:val="16"/>
          <w:szCs w:val="16"/>
        </w:rPr>
      </w:pPr>
      <w:r w:rsidRPr="005A5AA8">
        <w:rPr>
          <w:rStyle w:val="Refdenotaalpie"/>
          <w:rFonts w:ascii="Arial Narrow" w:eastAsia="Arial Narrow" w:hAnsi="Arial Narrow" w:cs="Arial Narrow"/>
          <w:sz w:val="16"/>
          <w:szCs w:val="16"/>
        </w:rPr>
        <w:footnoteRef/>
      </w:r>
      <w:r w:rsidRPr="005A5AA8">
        <w:rPr>
          <w:rFonts w:ascii="Arial Narrow" w:eastAsia="Arial Narrow" w:hAnsi="Arial Narrow" w:cs="Arial Narrow"/>
          <w:sz w:val="16"/>
          <w:szCs w:val="16"/>
        </w:rPr>
        <w:t xml:space="preserve"> Archivo 1</w:t>
      </w:r>
      <w:r w:rsidR="007B39CA" w:rsidRPr="005A5AA8">
        <w:rPr>
          <w:rFonts w:ascii="Arial Narrow" w:eastAsia="Arial Narrow" w:hAnsi="Arial Narrow" w:cs="Arial Narrow"/>
          <w:sz w:val="16"/>
          <w:szCs w:val="16"/>
        </w:rPr>
        <w:t>2</w:t>
      </w:r>
      <w:r w:rsidRPr="005A5AA8">
        <w:rPr>
          <w:rFonts w:ascii="Arial Narrow" w:eastAsia="Arial Narrow" w:hAnsi="Arial Narrow" w:cs="Arial Narrow"/>
          <w:sz w:val="16"/>
          <w:szCs w:val="16"/>
        </w:rPr>
        <w:t xml:space="preserve"> de este cuaderno</w:t>
      </w:r>
    </w:p>
  </w:footnote>
  <w:footnote w:id="3">
    <w:p w14:paraId="74E2AF12" w14:textId="77777777" w:rsidR="007B39CA" w:rsidRPr="005A5AA8" w:rsidRDefault="007B39CA" w:rsidP="005A5AA8">
      <w:pPr>
        <w:pStyle w:val="Textonotapie"/>
        <w:jc w:val="both"/>
        <w:rPr>
          <w:rFonts w:ascii="Arial Narrow" w:hAnsi="Arial Narrow" w:cs="Arial"/>
          <w:sz w:val="16"/>
          <w:szCs w:val="16"/>
        </w:rPr>
      </w:pPr>
      <w:r w:rsidRPr="005A5AA8">
        <w:rPr>
          <w:rStyle w:val="Refdenotaalpie"/>
          <w:rFonts w:ascii="Arial Narrow" w:eastAsia="Arial Narrow" w:hAnsi="Arial Narrow" w:cs="Arial Narrow"/>
          <w:sz w:val="16"/>
          <w:szCs w:val="16"/>
        </w:rPr>
        <w:footnoteRef/>
      </w:r>
      <w:r w:rsidRPr="005A5AA8">
        <w:rPr>
          <w:rFonts w:ascii="Arial Narrow" w:eastAsia="Arial Narrow" w:hAnsi="Arial Narrow" w:cs="Arial Narrow"/>
          <w:sz w:val="16"/>
          <w:szCs w:val="16"/>
        </w:rPr>
        <w:t xml:space="preserve"> Archivo 15 de este cuaderno</w:t>
      </w:r>
    </w:p>
  </w:footnote>
  <w:footnote w:id="4">
    <w:p w14:paraId="002BF5AD" w14:textId="77777777" w:rsidR="0000200A" w:rsidRPr="005A5AA8" w:rsidRDefault="0000200A" w:rsidP="005A5AA8">
      <w:pPr>
        <w:pStyle w:val="Textonotapie"/>
        <w:jc w:val="both"/>
        <w:rPr>
          <w:rFonts w:ascii="Arial Narrow" w:hAnsi="Arial Narrow" w:cs="Arial"/>
          <w:sz w:val="16"/>
          <w:szCs w:val="16"/>
        </w:rPr>
      </w:pPr>
      <w:r w:rsidRPr="005A5AA8">
        <w:rPr>
          <w:rStyle w:val="Refdenotaalpie"/>
          <w:rFonts w:ascii="Arial Narrow" w:eastAsia="Arial Narrow" w:hAnsi="Arial Narrow" w:cs="Arial Narrow"/>
          <w:sz w:val="16"/>
          <w:szCs w:val="16"/>
        </w:rPr>
        <w:footnoteRef/>
      </w:r>
      <w:r w:rsidRPr="005A5AA8">
        <w:rPr>
          <w:rFonts w:ascii="Arial Narrow" w:eastAsia="Arial Narrow" w:hAnsi="Arial Narrow" w:cs="Arial Narrow"/>
          <w:sz w:val="16"/>
          <w:szCs w:val="16"/>
        </w:rPr>
        <w:t xml:space="preserve"> Archivo 17 de este cuaderno</w:t>
      </w:r>
    </w:p>
  </w:footnote>
  <w:footnote w:id="5">
    <w:p w14:paraId="58D38B8C" w14:textId="77777777" w:rsidR="0000200A" w:rsidRPr="005A5AA8" w:rsidRDefault="0000200A" w:rsidP="005A5AA8">
      <w:pPr>
        <w:pStyle w:val="Textonotapie"/>
        <w:jc w:val="both"/>
        <w:rPr>
          <w:rFonts w:ascii="Arial Narrow" w:hAnsi="Arial Narrow"/>
          <w:sz w:val="16"/>
          <w:szCs w:val="16"/>
        </w:rPr>
      </w:pPr>
      <w:r w:rsidRPr="005A5AA8">
        <w:rPr>
          <w:rStyle w:val="Refdenotaalpie"/>
          <w:rFonts w:ascii="Arial Narrow" w:hAnsi="Arial Narrow"/>
          <w:sz w:val="16"/>
          <w:szCs w:val="16"/>
        </w:rPr>
        <w:footnoteRef/>
      </w:r>
      <w:r w:rsidR="005A5AA8">
        <w:rPr>
          <w:rFonts w:ascii="Arial Narrow" w:hAnsi="Arial Narrow"/>
          <w:sz w:val="16"/>
          <w:szCs w:val="16"/>
        </w:rPr>
        <w:t xml:space="preserve"> Folios 179 a 181 del archivo 01 del expediente al que </w:t>
      </w:r>
      <w:r w:rsidRPr="005A5AA8">
        <w:rPr>
          <w:rFonts w:ascii="Arial Narrow" w:hAnsi="Arial Narrow"/>
          <w:sz w:val="16"/>
          <w:szCs w:val="16"/>
        </w:rPr>
        <w:t>se puede acceder desde el</w:t>
      </w:r>
      <w:r w:rsidR="005A5AA8">
        <w:rPr>
          <w:rFonts w:ascii="Arial Narrow" w:hAnsi="Arial Narrow"/>
          <w:sz w:val="16"/>
          <w:szCs w:val="16"/>
        </w:rPr>
        <w:t xml:space="preserve"> enlace visible en el archivo 11</w:t>
      </w:r>
      <w:r w:rsidRPr="005A5AA8">
        <w:rPr>
          <w:rFonts w:ascii="Arial Narrow" w:hAnsi="Arial Narrow"/>
          <w:sz w:val="16"/>
          <w:szCs w:val="16"/>
        </w:rPr>
        <w:t xml:space="preserve"> de este cuaderno</w:t>
      </w:r>
    </w:p>
  </w:footnote>
  <w:footnote w:id="6">
    <w:p w14:paraId="12D8EB21" w14:textId="6D2E0530" w:rsidR="291191AB" w:rsidRDefault="291191AB" w:rsidP="291191AB">
      <w:r w:rsidRPr="291191AB">
        <w:rPr>
          <w:vertAlign w:val="superscript"/>
        </w:rPr>
        <w:footnoteRef/>
      </w:r>
      <w:r>
        <w:t xml:space="preserve"> </w:t>
      </w:r>
      <w:r w:rsidRPr="291191AB">
        <w:rPr>
          <w:rFonts w:ascii="Arial Narrow" w:hAnsi="Arial Narrow"/>
          <w:sz w:val="16"/>
          <w:szCs w:val="16"/>
        </w:rPr>
        <w:t>Archivo 06 carpeta 03Segundainstancia, del expediente al que se puede acceder desde el enlace visible en el archivo 11 de este cuaderno</w:t>
      </w:r>
    </w:p>
  </w:footnote>
  <w:footnote w:id="7">
    <w:p w14:paraId="4475116D" w14:textId="77777777" w:rsidR="0000200A" w:rsidRPr="005A5AA8" w:rsidRDefault="0000200A" w:rsidP="005A5AA8">
      <w:pPr>
        <w:pStyle w:val="Textonotapie"/>
        <w:jc w:val="both"/>
        <w:rPr>
          <w:rFonts w:ascii="Arial Narrow" w:hAnsi="Arial Narrow"/>
          <w:sz w:val="16"/>
          <w:szCs w:val="16"/>
          <w:lang w:val="fr-FR"/>
        </w:rPr>
      </w:pPr>
      <w:r w:rsidRPr="005A5AA8">
        <w:rPr>
          <w:rStyle w:val="Refdenotaalpie"/>
          <w:rFonts w:ascii="Arial Narrow" w:hAnsi="Arial Narrow"/>
          <w:sz w:val="16"/>
          <w:szCs w:val="16"/>
        </w:rPr>
        <w:footnoteRef/>
      </w:r>
      <w:r w:rsidRPr="005A5AA8">
        <w:rPr>
          <w:rFonts w:ascii="Arial Narrow" w:hAnsi="Arial Narrow"/>
          <w:sz w:val="16"/>
          <w:szCs w:val="16"/>
          <w:lang w:val="fr-FR"/>
        </w:rPr>
        <w:t xml:space="preserve"> Sentencia T-1232 de 2004, reiterada en la T-510 de 2006.</w:t>
      </w:r>
    </w:p>
  </w:footnote>
  <w:footnote w:id="8">
    <w:p w14:paraId="260201F5" w14:textId="77777777" w:rsidR="005A5AA8" w:rsidRPr="005A5AA8" w:rsidRDefault="005A5AA8" w:rsidP="005A5AA8">
      <w:pPr>
        <w:pStyle w:val="Textonotapie"/>
        <w:jc w:val="both"/>
        <w:rPr>
          <w:rFonts w:ascii="Arial Narrow" w:hAnsi="Arial Narrow"/>
          <w:sz w:val="16"/>
          <w:szCs w:val="16"/>
          <w:lang w:val="es-CO"/>
        </w:rPr>
      </w:pPr>
      <w:r w:rsidRPr="005A5AA8">
        <w:rPr>
          <w:rStyle w:val="Refdenotaalpie"/>
          <w:rFonts w:ascii="Arial Narrow" w:hAnsi="Arial Narrow"/>
          <w:sz w:val="16"/>
          <w:szCs w:val="16"/>
        </w:rPr>
        <w:footnoteRef/>
      </w:r>
      <w:r w:rsidRPr="005A5AA8">
        <w:rPr>
          <w:rFonts w:ascii="Arial Narrow" w:hAnsi="Arial Narrow"/>
          <w:sz w:val="16"/>
          <w:szCs w:val="16"/>
        </w:rPr>
        <w:t xml:space="preserve"> Sala de Casación Civil. Magistrado Ponente: Dr. Fernando Giraldo Gutiérrez, sentencia </w:t>
      </w:r>
      <w:proofErr w:type="gramStart"/>
      <w:r w:rsidRPr="005A5AA8">
        <w:rPr>
          <w:rFonts w:ascii="Arial Narrow" w:hAnsi="Arial Narrow"/>
          <w:sz w:val="16"/>
          <w:szCs w:val="16"/>
        </w:rPr>
        <w:t>del  28</w:t>
      </w:r>
      <w:proofErr w:type="gramEnd"/>
      <w:r w:rsidRPr="005A5AA8">
        <w:rPr>
          <w:rFonts w:ascii="Arial Narrow" w:hAnsi="Arial Narrow"/>
          <w:sz w:val="16"/>
          <w:szCs w:val="16"/>
        </w:rPr>
        <w:t xml:space="preserve"> de agosto de 2014, radicación No. 11001-22-03-000-2014-01289-01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3C78FF" w:rsidRPr="009325EF" w:rsidRDefault="003C78FF" w:rsidP="009325EF">
    <w:pPr>
      <w:pStyle w:val="Encabezado"/>
      <w:jc w:val="both"/>
      <w:rPr>
        <w:rFonts w:ascii="Arial" w:eastAsia="Calibri" w:hAnsi="Arial" w:cs="Arial"/>
        <w:bCs/>
        <w:sz w:val="18"/>
        <w:szCs w:val="18"/>
        <w:lang w:val="es-CO" w:eastAsia="en-US"/>
      </w:rPr>
    </w:pPr>
    <w:r w:rsidRPr="009325EF">
      <w:rPr>
        <w:rFonts w:ascii="Arial" w:hAnsi="Arial" w:cs="Arial"/>
        <w:sz w:val="18"/>
        <w:szCs w:val="18"/>
      </w:rPr>
      <w:t>ACCIÓN DE TUTELA</w:t>
    </w:r>
    <w:r w:rsidRPr="009325EF">
      <w:rPr>
        <w:rFonts w:ascii="Arial" w:hAnsi="Arial" w:cs="Arial"/>
        <w:bCs/>
        <w:sz w:val="18"/>
        <w:szCs w:val="18"/>
      </w:rPr>
      <w:t xml:space="preserve"> </w:t>
    </w:r>
  </w:p>
  <w:p w14:paraId="5043CB0F" w14:textId="72526B6B" w:rsidR="003C78FF" w:rsidRPr="009325EF" w:rsidRDefault="291191AB" w:rsidP="009325EF">
    <w:pPr>
      <w:pStyle w:val="Encabezado"/>
      <w:jc w:val="both"/>
      <w:rPr>
        <w:rFonts w:ascii="Arial" w:hAnsi="Arial" w:cs="Arial"/>
        <w:sz w:val="18"/>
        <w:szCs w:val="18"/>
      </w:rPr>
    </w:pPr>
    <w:r w:rsidRPr="009325EF">
      <w:rPr>
        <w:rFonts w:ascii="Arial" w:hAnsi="Arial" w:cs="Arial"/>
        <w:sz w:val="18"/>
        <w:szCs w:val="18"/>
      </w:rPr>
      <w:t>Radicado: 66001221300020220022500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047"/>
    <w:rsid w:val="00000026"/>
    <w:rsid w:val="0000200A"/>
    <w:rsid w:val="0002202E"/>
    <w:rsid w:val="00025D76"/>
    <w:rsid w:val="00026B3B"/>
    <w:rsid w:val="00084F22"/>
    <w:rsid w:val="000A1C66"/>
    <w:rsid w:val="000A2BA3"/>
    <w:rsid w:val="000A3B4F"/>
    <w:rsid w:val="000B0773"/>
    <w:rsid w:val="000B3EDE"/>
    <w:rsid w:val="000D058C"/>
    <w:rsid w:val="000D5B0D"/>
    <w:rsid w:val="000E1012"/>
    <w:rsid w:val="000E1229"/>
    <w:rsid w:val="000E1F91"/>
    <w:rsid w:val="000F3635"/>
    <w:rsid w:val="00114592"/>
    <w:rsid w:val="00127D60"/>
    <w:rsid w:val="00130824"/>
    <w:rsid w:val="001568A5"/>
    <w:rsid w:val="00167A06"/>
    <w:rsid w:val="00186C87"/>
    <w:rsid w:val="00197F90"/>
    <w:rsid w:val="001A13DE"/>
    <w:rsid w:val="001A3969"/>
    <w:rsid w:val="001B78A3"/>
    <w:rsid w:val="001E5A79"/>
    <w:rsid w:val="001F3926"/>
    <w:rsid w:val="001F4026"/>
    <w:rsid w:val="00201C9E"/>
    <w:rsid w:val="002042B9"/>
    <w:rsid w:val="00211F54"/>
    <w:rsid w:val="002128A0"/>
    <w:rsid w:val="00213F45"/>
    <w:rsid w:val="00220218"/>
    <w:rsid w:val="00246279"/>
    <w:rsid w:val="0027343F"/>
    <w:rsid w:val="00283706"/>
    <w:rsid w:val="00296CF8"/>
    <w:rsid w:val="002B0305"/>
    <w:rsid w:val="002B1D44"/>
    <w:rsid w:val="002C772A"/>
    <w:rsid w:val="002D640B"/>
    <w:rsid w:val="003124B4"/>
    <w:rsid w:val="003253ED"/>
    <w:rsid w:val="00340C70"/>
    <w:rsid w:val="00350EAA"/>
    <w:rsid w:val="00357B82"/>
    <w:rsid w:val="003A3A6D"/>
    <w:rsid w:val="003C563E"/>
    <w:rsid w:val="003C78FF"/>
    <w:rsid w:val="003D162F"/>
    <w:rsid w:val="003D4A77"/>
    <w:rsid w:val="003F1CEE"/>
    <w:rsid w:val="003F4AA1"/>
    <w:rsid w:val="0040101B"/>
    <w:rsid w:val="00401A1B"/>
    <w:rsid w:val="00415929"/>
    <w:rsid w:val="0042574F"/>
    <w:rsid w:val="00425E05"/>
    <w:rsid w:val="00432710"/>
    <w:rsid w:val="00434ACF"/>
    <w:rsid w:val="00445689"/>
    <w:rsid w:val="0048037C"/>
    <w:rsid w:val="00487A02"/>
    <w:rsid w:val="00494205"/>
    <w:rsid w:val="004A48C0"/>
    <w:rsid w:val="004A4CD1"/>
    <w:rsid w:val="004A7FE6"/>
    <w:rsid w:val="004B143C"/>
    <w:rsid w:val="004B37FD"/>
    <w:rsid w:val="004D2EA6"/>
    <w:rsid w:val="004D2EDA"/>
    <w:rsid w:val="004E6B0F"/>
    <w:rsid w:val="005066C1"/>
    <w:rsid w:val="005109EF"/>
    <w:rsid w:val="005251BC"/>
    <w:rsid w:val="00541973"/>
    <w:rsid w:val="00542647"/>
    <w:rsid w:val="0054440A"/>
    <w:rsid w:val="005753A0"/>
    <w:rsid w:val="005A5AA8"/>
    <w:rsid w:val="005B463F"/>
    <w:rsid w:val="005B488E"/>
    <w:rsid w:val="005C4E3F"/>
    <w:rsid w:val="005D107F"/>
    <w:rsid w:val="005D1FEA"/>
    <w:rsid w:val="005F313A"/>
    <w:rsid w:val="005F452C"/>
    <w:rsid w:val="006149E9"/>
    <w:rsid w:val="00629B65"/>
    <w:rsid w:val="006431F7"/>
    <w:rsid w:val="00687A52"/>
    <w:rsid w:val="00690461"/>
    <w:rsid w:val="006908E5"/>
    <w:rsid w:val="00697BDA"/>
    <w:rsid w:val="006A75E7"/>
    <w:rsid w:val="006B0A3C"/>
    <w:rsid w:val="006B3961"/>
    <w:rsid w:val="006E6F6F"/>
    <w:rsid w:val="00713D1F"/>
    <w:rsid w:val="00714BBA"/>
    <w:rsid w:val="00734D96"/>
    <w:rsid w:val="00747F2F"/>
    <w:rsid w:val="007612F0"/>
    <w:rsid w:val="00771897"/>
    <w:rsid w:val="00784111"/>
    <w:rsid w:val="0079138F"/>
    <w:rsid w:val="00794A07"/>
    <w:rsid w:val="007B39CA"/>
    <w:rsid w:val="007E6B18"/>
    <w:rsid w:val="007F4150"/>
    <w:rsid w:val="007F6132"/>
    <w:rsid w:val="00812F97"/>
    <w:rsid w:val="00815070"/>
    <w:rsid w:val="00837ADA"/>
    <w:rsid w:val="00842014"/>
    <w:rsid w:val="008629C4"/>
    <w:rsid w:val="00871F66"/>
    <w:rsid w:val="00872812"/>
    <w:rsid w:val="00873C3D"/>
    <w:rsid w:val="00880468"/>
    <w:rsid w:val="0088620D"/>
    <w:rsid w:val="00895E0A"/>
    <w:rsid w:val="008975AA"/>
    <w:rsid w:val="008A7B6C"/>
    <w:rsid w:val="008B0A47"/>
    <w:rsid w:val="008D21FF"/>
    <w:rsid w:val="008F27E5"/>
    <w:rsid w:val="00905982"/>
    <w:rsid w:val="00917656"/>
    <w:rsid w:val="00931D5F"/>
    <w:rsid w:val="009325EF"/>
    <w:rsid w:val="00952B58"/>
    <w:rsid w:val="009571B2"/>
    <w:rsid w:val="00960548"/>
    <w:rsid w:val="00962244"/>
    <w:rsid w:val="0096263F"/>
    <w:rsid w:val="00973C48"/>
    <w:rsid w:val="00984E4C"/>
    <w:rsid w:val="009857A7"/>
    <w:rsid w:val="009924B5"/>
    <w:rsid w:val="009936FC"/>
    <w:rsid w:val="00997428"/>
    <w:rsid w:val="009A0473"/>
    <w:rsid w:val="009A0E66"/>
    <w:rsid w:val="009B2920"/>
    <w:rsid w:val="009B40B3"/>
    <w:rsid w:val="009C5402"/>
    <w:rsid w:val="009E3F4C"/>
    <w:rsid w:val="009F0519"/>
    <w:rsid w:val="009F7F53"/>
    <w:rsid w:val="00A00E6B"/>
    <w:rsid w:val="00A13835"/>
    <w:rsid w:val="00A2070B"/>
    <w:rsid w:val="00A217EF"/>
    <w:rsid w:val="00A22F58"/>
    <w:rsid w:val="00A31BFF"/>
    <w:rsid w:val="00A42C84"/>
    <w:rsid w:val="00A4358C"/>
    <w:rsid w:val="00A90428"/>
    <w:rsid w:val="00A91F96"/>
    <w:rsid w:val="00AA4B42"/>
    <w:rsid w:val="00AA6C99"/>
    <w:rsid w:val="00AE1EDE"/>
    <w:rsid w:val="00B31923"/>
    <w:rsid w:val="00B41198"/>
    <w:rsid w:val="00B44490"/>
    <w:rsid w:val="00B75BA7"/>
    <w:rsid w:val="00B8716A"/>
    <w:rsid w:val="00B901B5"/>
    <w:rsid w:val="00B90ABF"/>
    <w:rsid w:val="00B91316"/>
    <w:rsid w:val="00B91B55"/>
    <w:rsid w:val="00B93483"/>
    <w:rsid w:val="00B938B5"/>
    <w:rsid w:val="00BA59E7"/>
    <w:rsid w:val="00BB2383"/>
    <w:rsid w:val="00C05ACB"/>
    <w:rsid w:val="00C1059F"/>
    <w:rsid w:val="00C12340"/>
    <w:rsid w:val="00C15AB0"/>
    <w:rsid w:val="00C304B2"/>
    <w:rsid w:val="00C32D8A"/>
    <w:rsid w:val="00C35B2B"/>
    <w:rsid w:val="00C601DD"/>
    <w:rsid w:val="00C73CEC"/>
    <w:rsid w:val="00CA153C"/>
    <w:rsid w:val="00CC12F9"/>
    <w:rsid w:val="00CC1BAE"/>
    <w:rsid w:val="00CC5256"/>
    <w:rsid w:val="00CE5BB5"/>
    <w:rsid w:val="00CF502A"/>
    <w:rsid w:val="00D11E54"/>
    <w:rsid w:val="00D1429C"/>
    <w:rsid w:val="00D21D63"/>
    <w:rsid w:val="00D44486"/>
    <w:rsid w:val="00D44890"/>
    <w:rsid w:val="00D53A62"/>
    <w:rsid w:val="00D66CFC"/>
    <w:rsid w:val="00D74FBE"/>
    <w:rsid w:val="00D762CC"/>
    <w:rsid w:val="00D94D50"/>
    <w:rsid w:val="00DC7BD2"/>
    <w:rsid w:val="00DE3717"/>
    <w:rsid w:val="00DF07BF"/>
    <w:rsid w:val="00E1610B"/>
    <w:rsid w:val="00E1C016"/>
    <w:rsid w:val="00E20047"/>
    <w:rsid w:val="00E20B95"/>
    <w:rsid w:val="00E22989"/>
    <w:rsid w:val="00E32A1E"/>
    <w:rsid w:val="00E43A02"/>
    <w:rsid w:val="00E46B73"/>
    <w:rsid w:val="00E5237F"/>
    <w:rsid w:val="00E545E1"/>
    <w:rsid w:val="00E7149A"/>
    <w:rsid w:val="00E7572C"/>
    <w:rsid w:val="00E761E6"/>
    <w:rsid w:val="00E935E0"/>
    <w:rsid w:val="00EA2720"/>
    <w:rsid w:val="00EA70BC"/>
    <w:rsid w:val="00EB0604"/>
    <w:rsid w:val="00EB554B"/>
    <w:rsid w:val="00EB6BDE"/>
    <w:rsid w:val="00ED745A"/>
    <w:rsid w:val="00F2124A"/>
    <w:rsid w:val="00F31F46"/>
    <w:rsid w:val="00F4037D"/>
    <w:rsid w:val="00F63119"/>
    <w:rsid w:val="00F651F0"/>
    <w:rsid w:val="00F74EEA"/>
    <w:rsid w:val="00F75620"/>
    <w:rsid w:val="00F80A00"/>
    <w:rsid w:val="00F925B9"/>
    <w:rsid w:val="00F93EE2"/>
    <w:rsid w:val="00F9413F"/>
    <w:rsid w:val="00FD35BF"/>
    <w:rsid w:val="00FD6499"/>
    <w:rsid w:val="00FE440D"/>
    <w:rsid w:val="00FF677F"/>
    <w:rsid w:val="017C8424"/>
    <w:rsid w:val="01FE6BC6"/>
    <w:rsid w:val="0240E35F"/>
    <w:rsid w:val="0294DF52"/>
    <w:rsid w:val="03C38B63"/>
    <w:rsid w:val="04488113"/>
    <w:rsid w:val="05019782"/>
    <w:rsid w:val="055F5BC4"/>
    <w:rsid w:val="0921E11A"/>
    <w:rsid w:val="092D2232"/>
    <w:rsid w:val="0A5F5B2A"/>
    <w:rsid w:val="0BFB2B8B"/>
    <w:rsid w:val="0C45F1E7"/>
    <w:rsid w:val="0D96FBEC"/>
    <w:rsid w:val="0E46F6E0"/>
    <w:rsid w:val="10142579"/>
    <w:rsid w:val="11B095A8"/>
    <w:rsid w:val="13525EF6"/>
    <w:rsid w:val="143BBEF5"/>
    <w:rsid w:val="14450779"/>
    <w:rsid w:val="183BEBD9"/>
    <w:rsid w:val="18ADF2EF"/>
    <w:rsid w:val="207DDF7D"/>
    <w:rsid w:val="21E5037D"/>
    <w:rsid w:val="22989D34"/>
    <w:rsid w:val="25A6F6C4"/>
    <w:rsid w:val="25B08279"/>
    <w:rsid w:val="26014B94"/>
    <w:rsid w:val="263BDE13"/>
    <w:rsid w:val="2775C14A"/>
    <w:rsid w:val="278BB3D5"/>
    <w:rsid w:val="27973283"/>
    <w:rsid w:val="291191AB"/>
    <w:rsid w:val="2993C716"/>
    <w:rsid w:val="2B573824"/>
    <w:rsid w:val="2B5AC4F4"/>
    <w:rsid w:val="2CF69555"/>
    <w:rsid w:val="2E9265B6"/>
    <w:rsid w:val="2F5A15EB"/>
    <w:rsid w:val="31C679A8"/>
    <w:rsid w:val="31CA0678"/>
    <w:rsid w:val="31DD6C5E"/>
    <w:rsid w:val="367C62E0"/>
    <w:rsid w:val="3806235C"/>
    <w:rsid w:val="390C5ADB"/>
    <w:rsid w:val="39450361"/>
    <w:rsid w:val="3B48458E"/>
    <w:rsid w:val="3B6B2647"/>
    <w:rsid w:val="3D303DDA"/>
    <w:rsid w:val="3EBBEF66"/>
    <w:rsid w:val="4089BDCD"/>
    <w:rsid w:val="4213C07F"/>
    <w:rsid w:val="422ED329"/>
    <w:rsid w:val="4514B899"/>
    <w:rsid w:val="45EB4AB3"/>
    <w:rsid w:val="4707E1E3"/>
    <w:rsid w:val="4910DDFF"/>
    <w:rsid w:val="4E49BE18"/>
    <w:rsid w:val="4E4B7F25"/>
    <w:rsid w:val="4E79A5FB"/>
    <w:rsid w:val="4FACADC6"/>
    <w:rsid w:val="5127F365"/>
    <w:rsid w:val="52331ADB"/>
    <w:rsid w:val="52390F28"/>
    <w:rsid w:val="53D4DF89"/>
    <w:rsid w:val="5411048D"/>
    <w:rsid w:val="55ACE96E"/>
    <w:rsid w:val="5748A54F"/>
    <w:rsid w:val="57A20C48"/>
    <w:rsid w:val="57B65DEA"/>
    <w:rsid w:val="58075FE4"/>
    <w:rsid w:val="5AE05B3D"/>
    <w:rsid w:val="5BAB9842"/>
    <w:rsid w:val="5D2B8F1A"/>
    <w:rsid w:val="5E3E3AEB"/>
    <w:rsid w:val="61457994"/>
    <w:rsid w:val="620100D1"/>
    <w:rsid w:val="63DAC389"/>
    <w:rsid w:val="63ECD384"/>
    <w:rsid w:val="64D8D1F9"/>
    <w:rsid w:val="67A5B5E8"/>
    <w:rsid w:val="67BCA89E"/>
    <w:rsid w:val="67FD3EAB"/>
    <w:rsid w:val="69418649"/>
    <w:rsid w:val="69B0E06C"/>
    <w:rsid w:val="6AEF314F"/>
    <w:rsid w:val="6BE4DA61"/>
    <w:rsid w:val="6C79270B"/>
    <w:rsid w:val="6CC313E6"/>
    <w:rsid w:val="6DA1979D"/>
    <w:rsid w:val="6DFF5BDF"/>
    <w:rsid w:val="6EA8A533"/>
    <w:rsid w:val="6F71C884"/>
    <w:rsid w:val="711716D6"/>
    <w:rsid w:val="7130B0A3"/>
    <w:rsid w:val="757B2B7D"/>
    <w:rsid w:val="75FAF2F1"/>
    <w:rsid w:val="7796C352"/>
    <w:rsid w:val="787D9695"/>
    <w:rsid w:val="79AD66D2"/>
    <w:rsid w:val="7A209E70"/>
    <w:rsid w:val="7A9D017C"/>
    <w:rsid w:val="7B52F0BD"/>
    <w:rsid w:val="7CDBBF10"/>
    <w:rsid w:val="7DB0BF52"/>
    <w:rsid w:val="7FEB00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D824"/>
  <w15:docId w15:val="{16F05214-BE4C-4F95-930E-9CF70F73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qFormat/>
    <w:rsid w:val="0000200A"/>
    <w:pPr>
      <w:keepNext/>
      <w:overflowPunct/>
      <w:autoSpaceDE/>
      <w:autoSpaceDN/>
      <w:adjustRightInd/>
      <w:spacing w:line="360" w:lineRule="auto"/>
      <w:jc w:val="center"/>
      <w:outlineLvl w:val="0"/>
    </w:pPr>
    <w:rPr>
      <w:rFonts w:ascii="Arial" w:eastAsia="Times New Roman" w:hAnsi="Arial" w:cs="Times New Roman"/>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00200A"/>
    <w:rPr>
      <w:rFonts w:ascii="Arial" w:eastAsia="Times New Roman" w:hAnsi="Arial" w:cs="Times New Roman"/>
      <w:b/>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21541a45ef0447c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C278123A-9D52-4193-8982-F7FF6311E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7303A641-F780-4E2B-BD99-88FB7F80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1504</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13</cp:revision>
  <dcterms:created xsi:type="dcterms:W3CDTF">2022-08-11T14:28:00Z</dcterms:created>
  <dcterms:modified xsi:type="dcterms:W3CDTF">2022-10-27T21:28:00Z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