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3529" w14:textId="77777777" w:rsidR="00BC0913" w:rsidRPr="00BC0913" w:rsidRDefault="00BC0913" w:rsidP="00BC091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BC09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CF687F" w14:textId="77777777" w:rsidR="00BC0913" w:rsidRPr="00BC0913" w:rsidRDefault="00BC0913" w:rsidP="00BC0913">
      <w:pPr>
        <w:widowControl/>
        <w:autoSpaceDE/>
        <w:autoSpaceDN/>
        <w:adjustRightInd/>
        <w:jc w:val="both"/>
        <w:rPr>
          <w:rFonts w:ascii="Arial" w:hAnsi="Arial" w:cs="Arial"/>
          <w:sz w:val="20"/>
          <w:szCs w:val="20"/>
          <w:lang w:val="es-419"/>
        </w:rPr>
      </w:pPr>
    </w:p>
    <w:p w14:paraId="49FC49C3" w14:textId="037BFF86"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Asunto</w:t>
      </w:r>
      <w:r w:rsidRPr="00BC0913">
        <w:rPr>
          <w:rFonts w:ascii="Arial" w:hAnsi="Arial" w:cs="Arial"/>
          <w:sz w:val="20"/>
          <w:szCs w:val="20"/>
          <w:lang w:val="es-419"/>
        </w:rPr>
        <w:tab/>
      </w:r>
      <w:r w:rsidRPr="00BC0913">
        <w:rPr>
          <w:rFonts w:ascii="Arial" w:hAnsi="Arial" w:cs="Arial"/>
          <w:sz w:val="20"/>
          <w:szCs w:val="20"/>
          <w:lang w:val="es-419"/>
        </w:rPr>
        <w:tab/>
        <w:t>: Sentencia de tutela en primera instancia</w:t>
      </w:r>
    </w:p>
    <w:p w14:paraId="6EA689AA" w14:textId="4706792B"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 xml:space="preserve">Accionante </w:t>
      </w:r>
      <w:r w:rsidRPr="00BC0913">
        <w:rPr>
          <w:rFonts w:ascii="Arial" w:hAnsi="Arial" w:cs="Arial"/>
          <w:sz w:val="20"/>
          <w:szCs w:val="20"/>
          <w:lang w:val="es-419"/>
        </w:rPr>
        <w:tab/>
        <w:t>: Luis Javier Arango Berrio</w:t>
      </w:r>
    </w:p>
    <w:p w14:paraId="37FFC103" w14:textId="29814677"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 xml:space="preserve">Accionado </w:t>
      </w:r>
      <w:r w:rsidRPr="00BC0913">
        <w:rPr>
          <w:rFonts w:ascii="Arial" w:hAnsi="Arial" w:cs="Arial"/>
          <w:sz w:val="20"/>
          <w:szCs w:val="20"/>
          <w:lang w:val="es-419"/>
        </w:rPr>
        <w:tab/>
        <w:t>: Juzgado 2º Penal del Circuito para Adolescentes con función de conocimiento</w:t>
      </w:r>
    </w:p>
    <w:p w14:paraId="699C6BF3" w14:textId="7593C240"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 xml:space="preserve">Terceros </w:t>
      </w:r>
      <w:r w:rsidRPr="00BC0913">
        <w:rPr>
          <w:rFonts w:ascii="Arial" w:hAnsi="Arial" w:cs="Arial"/>
          <w:sz w:val="20"/>
          <w:szCs w:val="20"/>
          <w:lang w:val="es-419"/>
        </w:rPr>
        <w:tab/>
        <w:t>: Fabián Alberto Orozco Franco y otros</w:t>
      </w:r>
    </w:p>
    <w:p w14:paraId="30E63DA4" w14:textId="3A4B4B47"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Radicación</w:t>
      </w:r>
      <w:r w:rsidRPr="00BC0913">
        <w:rPr>
          <w:rFonts w:ascii="Arial" w:hAnsi="Arial" w:cs="Arial"/>
          <w:sz w:val="20"/>
          <w:szCs w:val="20"/>
          <w:lang w:val="es-419"/>
        </w:rPr>
        <w:tab/>
        <w:t>: 66001-22-13-000-2022-00041-00</w:t>
      </w:r>
    </w:p>
    <w:p w14:paraId="6933B2B9" w14:textId="18456BF5"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 xml:space="preserve">Mg. Ponente </w:t>
      </w:r>
      <w:r w:rsidRPr="00BC0913">
        <w:rPr>
          <w:rFonts w:ascii="Arial" w:hAnsi="Arial" w:cs="Arial"/>
          <w:sz w:val="20"/>
          <w:szCs w:val="20"/>
          <w:lang w:val="es-419"/>
        </w:rPr>
        <w:tab/>
        <w:t>: DUBERNEY GRISALES HERRERA</w:t>
      </w:r>
    </w:p>
    <w:p w14:paraId="42E89AB1" w14:textId="7F5C42F6" w:rsidR="00BC0913" w:rsidRPr="00BC0913" w:rsidRDefault="00BC0913" w:rsidP="00BC0913">
      <w:pPr>
        <w:widowControl/>
        <w:autoSpaceDE/>
        <w:autoSpaceDN/>
        <w:adjustRightInd/>
        <w:jc w:val="both"/>
        <w:rPr>
          <w:rFonts w:ascii="Arial" w:hAnsi="Arial" w:cs="Arial"/>
          <w:sz w:val="20"/>
          <w:szCs w:val="20"/>
          <w:lang w:val="es-419"/>
        </w:rPr>
      </w:pPr>
      <w:r w:rsidRPr="00BC0913">
        <w:rPr>
          <w:rFonts w:ascii="Arial" w:hAnsi="Arial" w:cs="Arial"/>
          <w:sz w:val="20"/>
          <w:szCs w:val="20"/>
          <w:lang w:val="es-419"/>
        </w:rPr>
        <w:t>Acta número</w:t>
      </w:r>
      <w:r w:rsidRPr="00BC0913">
        <w:rPr>
          <w:rFonts w:ascii="Arial" w:hAnsi="Arial" w:cs="Arial"/>
          <w:sz w:val="20"/>
          <w:szCs w:val="20"/>
          <w:lang w:val="es-419"/>
        </w:rPr>
        <w:tab/>
        <w:t>: 93 de 11-03-2022</w:t>
      </w:r>
    </w:p>
    <w:p w14:paraId="708347DF" w14:textId="77777777" w:rsidR="00BC0913" w:rsidRPr="00BC0913" w:rsidRDefault="00BC0913" w:rsidP="00BC0913">
      <w:pPr>
        <w:widowControl/>
        <w:autoSpaceDE/>
        <w:autoSpaceDN/>
        <w:adjustRightInd/>
        <w:jc w:val="both"/>
        <w:rPr>
          <w:rFonts w:ascii="Arial" w:hAnsi="Arial" w:cs="Arial"/>
          <w:sz w:val="20"/>
          <w:szCs w:val="20"/>
          <w:lang w:val="es-419"/>
        </w:rPr>
      </w:pPr>
    </w:p>
    <w:p w14:paraId="77693277" w14:textId="45B0F957" w:rsidR="00BC0913" w:rsidRPr="00BC0913" w:rsidRDefault="00390C94" w:rsidP="00BC0913">
      <w:pPr>
        <w:widowControl/>
        <w:autoSpaceDE/>
        <w:autoSpaceDN/>
        <w:adjustRightInd/>
        <w:jc w:val="both"/>
        <w:rPr>
          <w:rFonts w:ascii="Arial" w:hAnsi="Arial" w:cs="Arial"/>
          <w:b/>
          <w:bCs/>
          <w:iCs/>
          <w:sz w:val="20"/>
          <w:szCs w:val="20"/>
          <w:lang w:val="es-419" w:eastAsia="fr-FR"/>
        </w:rPr>
      </w:pPr>
      <w:r w:rsidRPr="00BC0913">
        <w:rPr>
          <w:rFonts w:ascii="Arial" w:hAnsi="Arial" w:cs="Arial"/>
          <w:b/>
          <w:bCs/>
          <w:iCs/>
          <w:sz w:val="20"/>
          <w:szCs w:val="20"/>
          <w:u w:val="single"/>
          <w:lang w:val="es-419" w:eastAsia="fr-FR"/>
        </w:rPr>
        <w:t>TEMAS:</w:t>
      </w:r>
      <w:r w:rsidRPr="00BC0913">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DECISIONES TOMADAS EN ACCIÓN DE TUTELA / LEGITIMACIÓN POR ACTIVA / LA TIENEN LAS PARTES Y DEMÁS INTERVINIENTES / PROCEDENCIA DE LA TUTELA CONTRA DECISIONES ANTERIORES AL FALLO / DEBEN CUMPLIRSE LOS REQUISITOS GENERALES DE PROCEDIBILIDAD / SUBSIDIARIEDAD.</w:t>
      </w:r>
    </w:p>
    <w:p w14:paraId="19C1F432" w14:textId="77777777" w:rsidR="00BC0913" w:rsidRPr="00BC0913" w:rsidRDefault="00BC0913" w:rsidP="00BC0913">
      <w:pPr>
        <w:widowControl/>
        <w:autoSpaceDE/>
        <w:autoSpaceDN/>
        <w:adjustRightInd/>
        <w:jc w:val="both"/>
        <w:rPr>
          <w:rFonts w:ascii="Arial" w:hAnsi="Arial" w:cs="Arial"/>
          <w:sz w:val="20"/>
          <w:szCs w:val="20"/>
          <w:lang w:val="es-419"/>
        </w:rPr>
      </w:pPr>
    </w:p>
    <w:p w14:paraId="40C1EA78" w14:textId="66035BC6" w:rsidR="00BC0913" w:rsidRPr="00BC0913" w:rsidRDefault="00D173AD" w:rsidP="00BC0913">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D173AD">
        <w:rPr>
          <w:rFonts w:ascii="Arial" w:hAnsi="Arial" w:cs="Arial"/>
          <w:sz w:val="20"/>
          <w:szCs w:val="20"/>
          <w:lang w:val="es-419"/>
        </w:rPr>
        <w:t>en lo atinente a la tutela contra actuaciones judiciales la CSJ (2018) destaca que: “(…) E]n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p>
    <w:p w14:paraId="6A4CE24C" w14:textId="77777777" w:rsidR="00BC0913" w:rsidRPr="00BC0913" w:rsidRDefault="00BC0913" w:rsidP="00BC0913">
      <w:pPr>
        <w:widowControl/>
        <w:autoSpaceDE/>
        <w:autoSpaceDN/>
        <w:adjustRightInd/>
        <w:jc w:val="both"/>
        <w:rPr>
          <w:rFonts w:ascii="Arial" w:hAnsi="Arial" w:cs="Arial"/>
          <w:sz w:val="20"/>
          <w:szCs w:val="20"/>
          <w:lang w:val="es-419"/>
        </w:rPr>
      </w:pPr>
    </w:p>
    <w:p w14:paraId="22925C3F" w14:textId="53252A31" w:rsidR="00BC0913" w:rsidRPr="00BC0913" w:rsidRDefault="00FD3203" w:rsidP="00BC0913">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FD3203">
        <w:rPr>
          <w:rFonts w:ascii="Arial" w:hAnsi="Arial" w:cs="Arial"/>
          <w:sz w:val="20"/>
          <w:szCs w:val="20"/>
          <w:lang w:val="es-419"/>
        </w:rPr>
        <w:t>las decisiones judiciales solo pueden ser atacadas por quienes intervinieron en el proceso, es decir, las partes, litisconsortes, otras partes, terceros y otros terceros (Arts.53, 60-64. 67 y 71, CGP), únicos facultados para controvertirlas, siempre que tengan interés (Les cause agravio), y por contera para formular la acción de tutela en el entendido de que se lesionaron o amenazaron sus derechos fundamentales.</w:t>
      </w:r>
    </w:p>
    <w:p w14:paraId="63E9A02C" w14:textId="77777777" w:rsidR="00BC0913" w:rsidRPr="00BC0913" w:rsidRDefault="00BC0913" w:rsidP="00BC0913">
      <w:pPr>
        <w:widowControl/>
        <w:autoSpaceDE/>
        <w:autoSpaceDN/>
        <w:adjustRightInd/>
        <w:jc w:val="both"/>
        <w:rPr>
          <w:rFonts w:ascii="Arial" w:hAnsi="Arial" w:cs="Arial"/>
          <w:sz w:val="20"/>
          <w:szCs w:val="20"/>
          <w:lang w:val="es-419"/>
        </w:rPr>
      </w:pPr>
    </w:p>
    <w:p w14:paraId="14B2962C" w14:textId="390AE3F0" w:rsidR="00BC0913" w:rsidRPr="00BC0913" w:rsidRDefault="00BE4F98" w:rsidP="00BC0913">
      <w:pPr>
        <w:widowControl/>
        <w:autoSpaceDE/>
        <w:autoSpaceDN/>
        <w:adjustRightInd/>
        <w:jc w:val="both"/>
        <w:rPr>
          <w:rFonts w:ascii="Arial" w:hAnsi="Arial" w:cs="Arial"/>
          <w:sz w:val="20"/>
          <w:szCs w:val="20"/>
          <w:lang w:val="es-419"/>
        </w:rPr>
      </w:pPr>
      <w:r w:rsidRPr="00BE4F98">
        <w:rPr>
          <w:rFonts w:ascii="Arial" w:hAnsi="Arial" w:cs="Arial"/>
          <w:sz w:val="20"/>
          <w:szCs w:val="20"/>
          <w:lang w:val="es-419"/>
        </w:rPr>
        <w:t>De tiempo atrás la CC en sede de unificación señaló que el amparo contra actuaciones de jueces de tutela anteriores a la sentencia, cuando: “(…) consiste en la omisión del juez de cumplir con su deber de informar, notificar o vincular a los terceros que serían afectados por la demanda de tutela, y se cumplen los requisitos generales de procedibilidad de la acción de tutela, la acción de tutela sí procede</w:t>
      </w:r>
      <w:r>
        <w:rPr>
          <w:rFonts w:ascii="Arial" w:hAnsi="Arial" w:cs="Arial"/>
          <w:sz w:val="20"/>
          <w:szCs w:val="20"/>
          <w:lang w:val="es-419"/>
        </w:rPr>
        <w:t>…”</w:t>
      </w:r>
    </w:p>
    <w:p w14:paraId="2237D5D3" w14:textId="77777777" w:rsidR="00BC0913" w:rsidRPr="00BC0913" w:rsidRDefault="00BC0913" w:rsidP="00BC0913">
      <w:pPr>
        <w:widowControl/>
        <w:autoSpaceDE/>
        <w:autoSpaceDN/>
        <w:adjustRightInd/>
        <w:jc w:val="both"/>
        <w:rPr>
          <w:rFonts w:ascii="Arial" w:hAnsi="Arial" w:cs="Arial"/>
          <w:sz w:val="20"/>
          <w:szCs w:val="20"/>
        </w:rPr>
      </w:pPr>
    </w:p>
    <w:p w14:paraId="5312D033" w14:textId="3B16D035" w:rsidR="00BC0913" w:rsidRDefault="00C0561F" w:rsidP="00BC0913">
      <w:pPr>
        <w:widowControl/>
        <w:autoSpaceDE/>
        <w:autoSpaceDN/>
        <w:adjustRightInd/>
        <w:jc w:val="both"/>
        <w:rPr>
          <w:rFonts w:ascii="Arial" w:hAnsi="Arial" w:cs="Arial"/>
          <w:sz w:val="20"/>
          <w:szCs w:val="20"/>
        </w:rPr>
      </w:pPr>
      <w:r w:rsidRPr="00C0561F">
        <w:rPr>
          <w:rFonts w:ascii="Arial" w:hAnsi="Arial" w:cs="Arial"/>
          <w:sz w:val="20"/>
          <w:szCs w:val="20"/>
        </w:rPr>
        <w:t>De bulto reluce la falta de atribución del actor para controvertir las actuaciones judiciales por intermedio de este mecanismo constitucional, como quiera que no actúa como sujeto procesal en el asunto reprochado. Ni siquiera presentó escrito alguno tendiente a que se admitiera su intervención, contexto suficiente para concluir que carece de legitimación en la causa para reprochar las decisiones de los accionados en la tutela</w:t>
      </w:r>
      <w:r>
        <w:rPr>
          <w:rFonts w:ascii="Arial" w:hAnsi="Arial" w:cs="Arial"/>
          <w:sz w:val="20"/>
          <w:szCs w:val="20"/>
        </w:rPr>
        <w:t>…</w:t>
      </w:r>
    </w:p>
    <w:p w14:paraId="6240D423" w14:textId="77777777" w:rsidR="00C0561F" w:rsidRPr="00BC0913" w:rsidRDefault="00C0561F" w:rsidP="00BC0913">
      <w:pPr>
        <w:widowControl/>
        <w:autoSpaceDE/>
        <w:autoSpaceDN/>
        <w:adjustRightInd/>
        <w:jc w:val="both"/>
        <w:rPr>
          <w:rFonts w:ascii="Arial" w:hAnsi="Arial" w:cs="Arial"/>
          <w:sz w:val="20"/>
          <w:szCs w:val="20"/>
        </w:rPr>
      </w:pPr>
    </w:p>
    <w:p w14:paraId="13CA187C" w14:textId="753E65A8" w:rsidR="00BC0913" w:rsidRDefault="00BC0913" w:rsidP="00BC0913">
      <w:pPr>
        <w:widowControl/>
        <w:autoSpaceDE/>
        <w:autoSpaceDN/>
        <w:adjustRightInd/>
        <w:jc w:val="both"/>
        <w:rPr>
          <w:rFonts w:ascii="Arial" w:hAnsi="Arial" w:cs="Arial"/>
          <w:sz w:val="20"/>
          <w:szCs w:val="20"/>
        </w:rPr>
      </w:pPr>
    </w:p>
    <w:p w14:paraId="75CEC727" w14:textId="77777777" w:rsidR="00C0561F" w:rsidRPr="00BC0913" w:rsidRDefault="00C0561F" w:rsidP="00BC0913">
      <w:pPr>
        <w:widowControl/>
        <w:autoSpaceDE/>
        <w:autoSpaceDN/>
        <w:adjustRightInd/>
        <w:jc w:val="both"/>
        <w:rPr>
          <w:rFonts w:ascii="Arial" w:hAnsi="Arial" w:cs="Arial"/>
          <w:sz w:val="20"/>
          <w:szCs w:val="20"/>
        </w:rPr>
      </w:pPr>
    </w:p>
    <w:bookmarkEnd w:id="0"/>
    <w:bookmarkEnd w:id="1"/>
    <w:p w14:paraId="664C8AE9" w14:textId="77777777" w:rsidR="00BC0913" w:rsidRPr="00DA576B" w:rsidRDefault="00BC0913" w:rsidP="00BC0913">
      <w:pPr>
        <w:widowControl/>
        <w:tabs>
          <w:tab w:val="left" w:pos="3579"/>
        </w:tabs>
        <w:autoSpaceDE/>
        <w:autoSpaceDN/>
        <w:adjustRightInd/>
        <w:spacing w:line="360" w:lineRule="auto"/>
        <w:jc w:val="center"/>
        <w:rPr>
          <w:rFonts w:ascii="Calibri" w:hAnsi="Calibri" w:cs="Times New Roman"/>
          <w:w w:val="140"/>
          <w:sz w:val="22"/>
          <w:szCs w:val="22"/>
          <w:lang w:val="es-CO"/>
        </w:rPr>
      </w:pPr>
      <w:r w:rsidRPr="00DA576B">
        <w:rPr>
          <w:rFonts w:ascii="Calibri" w:hAnsi="Calibri" w:cs="Times New Roman"/>
          <w:noProof/>
          <w:sz w:val="22"/>
          <w:szCs w:val="22"/>
        </w:rPr>
        <w:drawing>
          <wp:inline distT="0" distB="0" distL="0" distR="0" wp14:anchorId="0AD95A6C" wp14:editId="4F6E99A8">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2179EE47" w14:textId="77777777" w:rsidR="00BC0913" w:rsidRPr="00DA576B" w:rsidRDefault="00BC0913" w:rsidP="00BC0913">
      <w:pPr>
        <w:widowControl/>
        <w:tabs>
          <w:tab w:val="left" w:pos="3579"/>
        </w:tabs>
        <w:autoSpaceDE/>
        <w:autoSpaceDN/>
        <w:adjustRightInd/>
        <w:spacing w:line="360" w:lineRule="auto"/>
        <w:jc w:val="center"/>
        <w:rPr>
          <w:rFonts w:ascii="Georgia" w:hAnsi="Georgia" w:cs="Arial"/>
          <w:w w:val="140"/>
          <w:sz w:val="14"/>
          <w:szCs w:val="22"/>
          <w:lang w:val="es-CO"/>
        </w:rPr>
      </w:pPr>
      <w:bookmarkStart w:id="2" w:name="_Hlk62825177"/>
      <w:r w:rsidRPr="00DA576B">
        <w:rPr>
          <w:rFonts w:ascii="Georgia" w:hAnsi="Georgia" w:cs="Arial"/>
          <w:w w:val="140"/>
          <w:sz w:val="14"/>
          <w:szCs w:val="22"/>
          <w:lang w:val="es-CO"/>
        </w:rPr>
        <w:t>REPÚBLICA DE COLOMBIA</w:t>
      </w:r>
    </w:p>
    <w:p w14:paraId="5DB6E744" w14:textId="77777777" w:rsidR="00BC0913" w:rsidRPr="00DA576B" w:rsidRDefault="00BC0913" w:rsidP="00BC0913">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DA576B">
        <w:rPr>
          <w:rFonts w:ascii="Georgia" w:hAnsi="Georgia" w:cs="Arial"/>
          <w:w w:val="140"/>
          <w:sz w:val="14"/>
          <w:szCs w:val="22"/>
          <w:lang w:val="es-CO"/>
        </w:rPr>
        <w:t>RAMA JUDICIAL DEL PODER PÚBLICO</w:t>
      </w:r>
    </w:p>
    <w:p w14:paraId="4CD314DD" w14:textId="77777777" w:rsidR="00BC0913" w:rsidRPr="00DA576B" w:rsidRDefault="00BC0913" w:rsidP="00BC0913">
      <w:pPr>
        <w:widowControl/>
        <w:autoSpaceDE/>
        <w:autoSpaceDN/>
        <w:adjustRightInd/>
        <w:spacing w:line="360" w:lineRule="auto"/>
        <w:jc w:val="center"/>
        <w:rPr>
          <w:rFonts w:ascii="Georgia" w:hAnsi="Georgia" w:cs="Arial"/>
          <w:b/>
          <w:bCs/>
          <w:w w:val="140"/>
          <w:sz w:val="16"/>
          <w:szCs w:val="22"/>
          <w:lang w:val="es-CO"/>
        </w:rPr>
      </w:pPr>
      <w:r w:rsidRPr="00DA576B">
        <w:rPr>
          <w:rFonts w:ascii="Georgia" w:hAnsi="Georgia" w:cs="Arial"/>
          <w:b/>
          <w:bCs/>
          <w:w w:val="140"/>
          <w:sz w:val="18"/>
          <w:szCs w:val="22"/>
          <w:lang w:val="es-CO"/>
        </w:rPr>
        <w:t>T</w:t>
      </w:r>
      <w:r w:rsidRPr="00DA576B">
        <w:rPr>
          <w:rFonts w:ascii="Georgia" w:hAnsi="Georgia" w:cs="Arial"/>
          <w:b/>
          <w:bCs/>
          <w:w w:val="140"/>
          <w:sz w:val="16"/>
          <w:szCs w:val="22"/>
          <w:lang w:val="es-CO"/>
        </w:rPr>
        <w:t>RIBUNAL</w:t>
      </w:r>
      <w:r w:rsidRPr="00DA576B">
        <w:rPr>
          <w:rFonts w:ascii="Georgia" w:hAnsi="Georgia" w:cs="Arial"/>
          <w:b/>
          <w:bCs/>
          <w:w w:val="140"/>
          <w:sz w:val="18"/>
          <w:szCs w:val="22"/>
          <w:lang w:val="es-CO"/>
        </w:rPr>
        <w:t xml:space="preserve"> S</w:t>
      </w:r>
      <w:r w:rsidRPr="00DA576B">
        <w:rPr>
          <w:rFonts w:ascii="Georgia" w:hAnsi="Georgia" w:cs="Arial"/>
          <w:b/>
          <w:bCs/>
          <w:w w:val="140"/>
          <w:sz w:val="16"/>
          <w:szCs w:val="22"/>
          <w:lang w:val="es-CO"/>
        </w:rPr>
        <w:t xml:space="preserve">UPERIOR DEL </w:t>
      </w:r>
      <w:r w:rsidRPr="00DA576B">
        <w:rPr>
          <w:rFonts w:ascii="Georgia" w:hAnsi="Georgia" w:cs="Arial"/>
          <w:b/>
          <w:bCs/>
          <w:w w:val="140"/>
          <w:sz w:val="18"/>
          <w:szCs w:val="22"/>
          <w:lang w:val="es-CO"/>
        </w:rPr>
        <w:t>D</w:t>
      </w:r>
      <w:r w:rsidRPr="00DA576B">
        <w:rPr>
          <w:rFonts w:ascii="Georgia" w:hAnsi="Georgia" w:cs="Arial"/>
          <w:b/>
          <w:bCs/>
          <w:w w:val="140"/>
          <w:sz w:val="16"/>
          <w:szCs w:val="22"/>
          <w:lang w:val="es-CO"/>
        </w:rPr>
        <w:t>ISTRITO</w:t>
      </w:r>
      <w:r w:rsidRPr="00DA576B">
        <w:rPr>
          <w:rFonts w:ascii="Georgia" w:hAnsi="Georgia" w:cs="Arial"/>
          <w:b/>
          <w:bCs/>
          <w:w w:val="140"/>
          <w:sz w:val="18"/>
          <w:szCs w:val="22"/>
          <w:lang w:val="es-CO"/>
        </w:rPr>
        <w:t xml:space="preserve"> J</w:t>
      </w:r>
      <w:r w:rsidRPr="00DA576B">
        <w:rPr>
          <w:rFonts w:ascii="Georgia" w:hAnsi="Georgia" w:cs="Arial"/>
          <w:b/>
          <w:bCs/>
          <w:w w:val="140"/>
          <w:sz w:val="16"/>
          <w:szCs w:val="22"/>
          <w:lang w:val="es-CO"/>
        </w:rPr>
        <w:t>UDICIAL</w:t>
      </w:r>
    </w:p>
    <w:p w14:paraId="58D4311C" w14:textId="77777777" w:rsidR="00BC0913" w:rsidRPr="00DA576B" w:rsidRDefault="00BC0913" w:rsidP="00BC0913">
      <w:pPr>
        <w:widowControl/>
        <w:autoSpaceDE/>
        <w:autoSpaceDN/>
        <w:adjustRightInd/>
        <w:spacing w:line="360" w:lineRule="auto"/>
        <w:jc w:val="center"/>
        <w:rPr>
          <w:rFonts w:ascii="Georgia" w:hAnsi="Georgia" w:cs="Arial"/>
          <w:w w:val="140"/>
          <w:sz w:val="18"/>
          <w:szCs w:val="18"/>
          <w:lang w:val="es-CO"/>
        </w:rPr>
      </w:pPr>
      <w:r w:rsidRPr="00DA576B">
        <w:rPr>
          <w:rFonts w:ascii="Georgia" w:hAnsi="Georgia" w:cs="Arial"/>
          <w:w w:val="140"/>
          <w:sz w:val="18"/>
          <w:szCs w:val="18"/>
          <w:lang w:val="es-CO"/>
        </w:rPr>
        <w:t>S</w:t>
      </w:r>
      <w:r w:rsidRPr="00DA576B">
        <w:rPr>
          <w:rFonts w:ascii="Georgia" w:hAnsi="Georgia" w:cs="Arial"/>
          <w:w w:val="140"/>
          <w:sz w:val="16"/>
          <w:szCs w:val="18"/>
          <w:lang w:val="es-CO"/>
        </w:rPr>
        <w:t>ALA</w:t>
      </w:r>
      <w:r w:rsidRPr="00DA576B">
        <w:rPr>
          <w:rFonts w:ascii="Georgia" w:hAnsi="Georgia" w:cs="Arial"/>
          <w:w w:val="140"/>
          <w:sz w:val="14"/>
          <w:szCs w:val="18"/>
          <w:lang w:val="es-CO"/>
        </w:rPr>
        <w:t xml:space="preserve"> </w:t>
      </w:r>
      <w:r w:rsidRPr="00DA576B">
        <w:rPr>
          <w:rFonts w:ascii="Georgia" w:hAnsi="Georgia" w:cs="Arial"/>
          <w:w w:val="140"/>
          <w:sz w:val="16"/>
          <w:szCs w:val="18"/>
          <w:lang w:val="es-CO"/>
        </w:rPr>
        <w:t xml:space="preserve">DE </w:t>
      </w:r>
      <w:r w:rsidRPr="00DA576B">
        <w:rPr>
          <w:rFonts w:ascii="Georgia" w:hAnsi="Georgia" w:cs="Arial"/>
          <w:w w:val="140"/>
          <w:sz w:val="18"/>
          <w:szCs w:val="18"/>
          <w:lang w:val="es-CO"/>
        </w:rPr>
        <w:t>D</w:t>
      </w:r>
      <w:r w:rsidRPr="00DA576B">
        <w:rPr>
          <w:rFonts w:ascii="Georgia" w:hAnsi="Georgia" w:cs="Arial"/>
          <w:w w:val="140"/>
          <w:sz w:val="16"/>
          <w:szCs w:val="18"/>
          <w:lang w:val="es-CO"/>
        </w:rPr>
        <w:t>ECISIÓN</w:t>
      </w:r>
      <w:r w:rsidRPr="00DA576B">
        <w:rPr>
          <w:rFonts w:ascii="Georgia" w:hAnsi="Georgia" w:cs="Arial"/>
          <w:w w:val="140"/>
          <w:sz w:val="14"/>
          <w:szCs w:val="18"/>
          <w:lang w:val="es-CO"/>
        </w:rPr>
        <w:t xml:space="preserve"> </w:t>
      </w:r>
      <w:r w:rsidRPr="00DA576B">
        <w:rPr>
          <w:rFonts w:ascii="Georgia" w:hAnsi="Georgia" w:cs="Arial"/>
          <w:w w:val="140"/>
          <w:sz w:val="18"/>
          <w:szCs w:val="18"/>
          <w:lang w:val="es-CO"/>
        </w:rPr>
        <w:t>C</w:t>
      </w:r>
      <w:r w:rsidRPr="00DA576B">
        <w:rPr>
          <w:rFonts w:ascii="Georgia" w:hAnsi="Georgia" w:cs="Arial"/>
          <w:w w:val="140"/>
          <w:sz w:val="16"/>
          <w:szCs w:val="18"/>
          <w:lang w:val="es-CO"/>
        </w:rPr>
        <w:t xml:space="preserve">IVIL – </w:t>
      </w:r>
      <w:r w:rsidRPr="00DA576B">
        <w:rPr>
          <w:rFonts w:ascii="Georgia" w:hAnsi="Georgia" w:cs="Arial"/>
          <w:w w:val="140"/>
          <w:sz w:val="18"/>
          <w:szCs w:val="18"/>
          <w:lang w:val="es-CO"/>
        </w:rPr>
        <w:t>F</w:t>
      </w:r>
      <w:r w:rsidRPr="00DA576B">
        <w:rPr>
          <w:rFonts w:ascii="Georgia" w:hAnsi="Georgia" w:cs="Arial"/>
          <w:w w:val="140"/>
          <w:sz w:val="16"/>
          <w:szCs w:val="18"/>
          <w:lang w:val="es-CO"/>
        </w:rPr>
        <w:t xml:space="preserve">AMILIA – </w:t>
      </w:r>
      <w:r w:rsidRPr="00DA576B">
        <w:rPr>
          <w:rFonts w:ascii="Georgia" w:hAnsi="Georgia" w:cs="Arial"/>
          <w:w w:val="140"/>
          <w:sz w:val="18"/>
          <w:szCs w:val="18"/>
          <w:lang w:val="es-CO"/>
        </w:rPr>
        <w:t>D</w:t>
      </w:r>
      <w:r w:rsidRPr="00DA576B">
        <w:rPr>
          <w:rFonts w:ascii="Georgia" w:hAnsi="Georgia" w:cs="Arial"/>
          <w:w w:val="140"/>
          <w:sz w:val="16"/>
          <w:szCs w:val="18"/>
          <w:lang w:val="es-CO"/>
        </w:rPr>
        <w:t>ISTRITO</w:t>
      </w:r>
      <w:r w:rsidRPr="00DA576B">
        <w:rPr>
          <w:rFonts w:ascii="Georgia" w:hAnsi="Georgia" w:cs="Arial"/>
          <w:w w:val="140"/>
          <w:sz w:val="18"/>
          <w:szCs w:val="18"/>
          <w:lang w:val="es-CO"/>
        </w:rPr>
        <w:t xml:space="preserve"> D</w:t>
      </w:r>
      <w:r w:rsidRPr="00DA576B">
        <w:rPr>
          <w:rFonts w:ascii="Georgia" w:hAnsi="Georgia" w:cs="Arial"/>
          <w:w w:val="140"/>
          <w:sz w:val="16"/>
          <w:szCs w:val="18"/>
          <w:lang w:val="es-CO"/>
        </w:rPr>
        <w:t>E</w:t>
      </w:r>
      <w:r w:rsidRPr="00DA576B">
        <w:rPr>
          <w:rFonts w:ascii="Georgia" w:hAnsi="Georgia" w:cs="Arial"/>
          <w:w w:val="140"/>
          <w:sz w:val="18"/>
          <w:szCs w:val="18"/>
          <w:lang w:val="es-CO"/>
        </w:rPr>
        <w:t xml:space="preserve"> P</w:t>
      </w:r>
      <w:r w:rsidRPr="00DA576B">
        <w:rPr>
          <w:rFonts w:ascii="Georgia" w:hAnsi="Georgia" w:cs="Arial"/>
          <w:w w:val="140"/>
          <w:sz w:val="16"/>
          <w:szCs w:val="18"/>
          <w:lang w:val="es-CO"/>
        </w:rPr>
        <w:t>EREIRA</w:t>
      </w:r>
      <w:r w:rsidRPr="00DA576B">
        <w:rPr>
          <w:rFonts w:ascii="Georgia" w:hAnsi="Georgia" w:cs="Arial"/>
          <w:w w:val="140"/>
          <w:sz w:val="18"/>
          <w:szCs w:val="18"/>
          <w:lang w:val="es-CO"/>
        </w:rPr>
        <w:t xml:space="preserve"> </w:t>
      </w:r>
    </w:p>
    <w:p w14:paraId="5F6CDC4E" w14:textId="77777777" w:rsidR="00BC0913" w:rsidRPr="00DA576B" w:rsidRDefault="00BC0913" w:rsidP="00BC0913">
      <w:pPr>
        <w:pStyle w:val="Sinespaciado"/>
        <w:spacing w:line="360" w:lineRule="auto"/>
        <w:jc w:val="center"/>
        <w:rPr>
          <w:rFonts w:ascii="Georgia" w:hAnsi="Georgia" w:cs="Arial"/>
          <w:w w:val="140"/>
          <w:sz w:val="16"/>
          <w:szCs w:val="18"/>
          <w:lang w:val="es-CO"/>
        </w:rPr>
      </w:pPr>
      <w:r w:rsidRPr="00DA576B">
        <w:rPr>
          <w:rFonts w:ascii="Georgia" w:hAnsi="Georgia" w:cs="Arial"/>
          <w:w w:val="140"/>
          <w:sz w:val="18"/>
          <w:szCs w:val="18"/>
          <w:lang w:val="es-CO"/>
        </w:rPr>
        <w:t>D</w:t>
      </w:r>
      <w:r w:rsidRPr="00DA576B">
        <w:rPr>
          <w:rFonts w:ascii="Georgia" w:hAnsi="Georgia" w:cs="Arial"/>
          <w:w w:val="140"/>
          <w:sz w:val="16"/>
          <w:szCs w:val="18"/>
          <w:lang w:val="es-CO"/>
        </w:rPr>
        <w:t xml:space="preserve">EPARTAMENTO </w:t>
      </w:r>
      <w:r w:rsidRPr="00DA576B">
        <w:rPr>
          <w:rFonts w:ascii="Georgia" w:hAnsi="Georgia" w:cs="Arial"/>
          <w:w w:val="140"/>
          <w:sz w:val="18"/>
          <w:szCs w:val="18"/>
          <w:lang w:val="es-CO"/>
        </w:rPr>
        <w:t>D</w:t>
      </w:r>
      <w:r w:rsidRPr="00DA576B">
        <w:rPr>
          <w:rFonts w:ascii="Georgia" w:hAnsi="Georgia" w:cs="Arial"/>
          <w:w w:val="140"/>
          <w:sz w:val="16"/>
          <w:szCs w:val="18"/>
          <w:lang w:val="es-CO"/>
        </w:rPr>
        <w:t xml:space="preserve">EL </w:t>
      </w:r>
      <w:r w:rsidRPr="00DA576B">
        <w:rPr>
          <w:rFonts w:ascii="Georgia" w:hAnsi="Georgia" w:cs="Arial"/>
          <w:w w:val="140"/>
          <w:sz w:val="18"/>
          <w:szCs w:val="18"/>
          <w:lang w:val="es-CO"/>
        </w:rPr>
        <w:t>R</w:t>
      </w:r>
      <w:r w:rsidRPr="00DA576B">
        <w:rPr>
          <w:rFonts w:ascii="Georgia" w:hAnsi="Georgia" w:cs="Arial"/>
          <w:w w:val="140"/>
          <w:sz w:val="16"/>
          <w:szCs w:val="18"/>
          <w:lang w:val="es-CO"/>
        </w:rPr>
        <w:t>ISARALDA</w:t>
      </w:r>
      <w:bookmarkEnd w:id="2"/>
    </w:p>
    <w:p w14:paraId="6E4C9412" w14:textId="77777777" w:rsidR="00BC0913" w:rsidRPr="00DA576B" w:rsidRDefault="00BC0913" w:rsidP="00BC0913">
      <w:pPr>
        <w:widowControl/>
        <w:autoSpaceDE/>
        <w:autoSpaceDN/>
        <w:adjustRightInd/>
        <w:spacing w:line="276" w:lineRule="auto"/>
        <w:jc w:val="center"/>
        <w:rPr>
          <w:rFonts w:ascii="Georgia" w:hAnsi="Georgia" w:cs="Arial"/>
          <w:bCs/>
          <w:lang w:val="es-CO"/>
        </w:rPr>
      </w:pPr>
    </w:p>
    <w:p w14:paraId="484BDF4C" w14:textId="0EC5DDC2" w:rsidR="006170B3" w:rsidRPr="00E1090D" w:rsidRDefault="006170B3" w:rsidP="00E1090D">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E1090D">
        <w:rPr>
          <w:rFonts w:ascii="Georgia" w:hAnsi="Georgia" w:cs="Arial"/>
          <w:b/>
          <w:bCs/>
          <w:szCs w:val="24"/>
        </w:rPr>
        <w:t>ST1-</w:t>
      </w:r>
      <w:r w:rsidR="008B6E73" w:rsidRPr="00E1090D">
        <w:rPr>
          <w:rFonts w:ascii="Georgia" w:hAnsi="Georgia" w:cs="Arial"/>
          <w:b/>
          <w:bCs/>
          <w:szCs w:val="24"/>
        </w:rPr>
        <w:t>0040</w:t>
      </w:r>
      <w:r w:rsidRPr="00E1090D">
        <w:rPr>
          <w:rFonts w:ascii="Georgia" w:hAnsi="Georgia" w:cs="Arial"/>
          <w:b/>
          <w:bCs/>
          <w:szCs w:val="24"/>
        </w:rPr>
        <w:t>-</w:t>
      </w:r>
      <w:r w:rsidR="00C124EB" w:rsidRPr="00E1090D">
        <w:rPr>
          <w:rFonts w:ascii="Georgia" w:hAnsi="Georgia" w:cs="Arial"/>
          <w:b/>
          <w:bCs/>
          <w:szCs w:val="24"/>
        </w:rPr>
        <w:t>2022</w:t>
      </w:r>
    </w:p>
    <w:p w14:paraId="478E3187" w14:textId="77777777" w:rsidR="002060F5" w:rsidRPr="00E1090D" w:rsidRDefault="002060F5" w:rsidP="00E1090D">
      <w:pPr>
        <w:pBdr>
          <w:bottom w:val="double" w:sz="6" w:space="1" w:color="auto"/>
        </w:pBdr>
        <w:spacing w:line="276" w:lineRule="auto"/>
        <w:jc w:val="center"/>
        <w:rPr>
          <w:rFonts w:ascii="Georgia" w:hAnsi="Georgia" w:cs="Arial"/>
          <w:b/>
          <w:bCs/>
        </w:rPr>
      </w:pPr>
    </w:p>
    <w:p w14:paraId="350EE9E6" w14:textId="77777777" w:rsidR="00D809D6" w:rsidRPr="00E1090D" w:rsidRDefault="00D809D6" w:rsidP="00E1090D">
      <w:pPr>
        <w:spacing w:line="276" w:lineRule="auto"/>
        <w:jc w:val="center"/>
        <w:rPr>
          <w:rFonts w:ascii="Georgia" w:hAnsi="Georgia" w:cs="Arial"/>
          <w:b/>
          <w:bCs/>
        </w:rPr>
      </w:pPr>
    </w:p>
    <w:p w14:paraId="182FFEF0" w14:textId="182920BE" w:rsidR="00026BFF" w:rsidRPr="00E1090D" w:rsidRDefault="008B6E73" w:rsidP="00E1090D">
      <w:pPr>
        <w:spacing w:line="276" w:lineRule="auto"/>
        <w:jc w:val="center"/>
        <w:rPr>
          <w:rFonts w:ascii="Georgia" w:hAnsi="Georgia" w:cs="Arial"/>
          <w:b/>
          <w:bCs/>
          <w:i/>
          <w:smallCaps/>
          <w:lang w:val="es-CO"/>
        </w:rPr>
      </w:pPr>
      <w:r w:rsidRPr="00E1090D">
        <w:rPr>
          <w:rFonts w:ascii="Georgia" w:hAnsi="Georgia" w:cs="Arial"/>
          <w:b/>
          <w:bCs/>
          <w:i/>
          <w:smallCaps/>
          <w:lang w:val="es-CO"/>
        </w:rPr>
        <w:t xml:space="preserve">Once </w:t>
      </w:r>
      <w:r w:rsidR="0013401E" w:rsidRPr="00E1090D">
        <w:rPr>
          <w:rFonts w:ascii="Georgia" w:hAnsi="Georgia" w:cs="Arial"/>
          <w:b/>
          <w:bCs/>
          <w:i/>
          <w:smallCaps/>
          <w:lang w:val="es-CO"/>
        </w:rPr>
        <w:t>(</w:t>
      </w:r>
      <w:r w:rsidRPr="00E1090D">
        <w:rPr>
          <w:rFonts w:ascii="Georgia" w:hAnsi="Georgia" w:cs="Arial"/>
          <w:b/>
          <w:bCs/>
          <w:i/>
          <w:smallCaps/>
          <w:lang w:val="es-CO"/>
        </w:rPr>
        <w:t>11</w:t>
      </w:r>
      <w:r w:rsidR="0013401E" w:rsidRPr="00E1090D">
        <w:rPr>
          <w:rFonts w:ascii="Georgia" w:hAnsi="Georgia" w:cs="Arial"/>
          <w:b/>
          <w:bCs/>
          <w:i/>
          <w:smallCaps/>
          <w:lang w:val="es-CO"/>
        </w:rPr>
        <w:t xml:space="preserve">) de </w:t>
      </w:r>
      <w:r w:rsidR="009976CC" w:rsidRPr="00E1090D">
        <w:rPr>
          <w:rFonts w:ascii="Georgia" w:hAnsi="Georgia" w:cs="Arial"/>
          <w:b/>
          <w:bCs/>
          <w:i/>
          <w:smallCaps/>
          <w:lang w:val="es-CO"/>
        </w:rPr>
        <w:t xml:space="preserve">marzo </w:t>
      </w:r>
      <w:r w:rsidR="0013401E" w:rsidRPr="00E1090D">
        <w:rPr>
          <w:rFonts w:ascii="Georgia" w:hAnsi="Georgia" w:cs="Arial"/>
          <w:b/>
          <w:bCs/>
          <w:i/>
          <w:smallCaps/>
          <w:lang w:val="es-CO"/>
        </w:rPr>
        <w:t xml:space="preserve">de dos mil </w:t>
      </w:r>
      <w:r w:rsidR="00C124EB" w:rsidRPr="00E1090D">
        <w:rPr>
          <w:rFonts w:ascii="Georgia" w:hAnsi="Georgia" w:cs="Arial"/>
          <w:b/>
          <w:bCs/>
          <w:i/>
          <w:smallCaps/>
          <w:lang w:val="es-CO"/>
        </w:rPr>
        <w:t xml:space="preserve">veintidós </w:t>
      </w:r>
      <w:r w:rsidR="0013401E" w:rsidRPr="00E1090D">
        <w:rPr>
          <w:rFonts w:ascii="Georgia" w:hAnsi="Georgia" w:cs="Arial"/>
          <w:b/>
          <w:bCs/>
          <w:i/>
          <w:smallCaps/>
          <w:lang w:val="es-CO"/>
        </w:rPr>
        <w:t>(</w:t>
      </w:r>
      <w:r w:rsidR="00C124EB" w:rsidRPr="00E1090D">
        <w:rPr>
          <w:rFonts w:ascii="Georgia" w:hAnsi="Georgia" w:cs="Arial"/>
          <w:b/>
          <w:bCs/>
          <w:i/>
          <w:smallCaps/>
          <w:lang w:val="es-CO"/>
        </w:rPr>
        <w:t>2022</w:t>
      </w:r>
      <w:r w:rsidR="0013401E" w:rsidRPr="00E1090D">
        <w:rPr>
          <w:rFonts w:ascii="Georgia" w:hAnsi="Georgia" w:cs="Arial"/>
          <w:b/>
          <w:bCs/>
          <w:i/>
          <w:smallCaps/>
          <w:lang w:val="es-CO"/>
        </w:rPr>
        <w:t>)</w:t>
      </w:r>
      <w:r w:rsidR="0013401E" w:rsidRPr="00E1090D">
        <w:rPr>
          <w:rFonts w:ascii="Georgia" w:hAnsi="Georgia" w:cs="Arial"/>
          <w:b/>
          <w:bCs/>
          <w:i/>
          <w:lang w:val="es-CO"/>
        </w:rPr>
        <w:t>.</w:t>
      </w:r>
    </w:p>
    <w:p w14:paraId="045403A0" w14:textId="0E4074D3" w:rsidR="000147A2" w:rsidRPr="00E1090D" w:rsidRDefault="000147A2" w:rsidP="00E1090D">
      <w:pPr>
        <w:spacing w:line="276" w:lineRule="auto"/>
        <w:jc w:val="center"/>
        <w:rPr>
          <w:rFonts w:ascii="Georgia" w:hAnsi="Georgia" w:cs="Arial"/>
          <w:b/>
          <w:bCs/>
          <w:lang w:val="es-CO"/>
        </w:rPr>
      </w:pPr>
    </w:p>
    <w:p w14:paraId="261BBAB6" w14:textId="77777777" w:rsidR="00CB272A" w:rsidRPr="00E1090D" w:rsidRDefault="00040EA1" w:rsidP="00E1090D">
      <w:pPr>
        <w:pStyle w:val="Textoindependiente"/>
        <w:numPr>
          <w:ilvl w:val="0"/>
          <w:numId w:val="1"/>
        </w:numPr>
        <w:spacing w:line="276" w:lineRule="auto"/>
        <w:rPr>
          <w:rFonts w:ascii="Georgia" w:hAnsi="Georgia" w:cs="Arial"/>
          <w:b/>
          <w:bCs/>
          <w:smallCaps/>
          <w:szCs w:val="24"/>
        </w:rPr>
      </w:pPr>
      <w:r w:rsidRPr="00E1090D">
        <w:rPr>
          <w:rFonts w:ascii="Georgia" w:hAnsi="Georgia" w:cs="Arial"/>
          <w:b/>
          <w:bCs/>
          <w:smallCaps/>
          <w:szCs w:val="24"/>
        </w:rPr>
        <w:t>El asunto por decidir</w:t>
      </w:r>
    </w:p>
    <w:p w14:paraId="10D6AAB1" w14:textId="77777777" w:rsidR="00CB272A" w:rsidRPr="00E1090D" w:rsidRDefault="00CB272A" w:rsidP="00E1090D">
      <w:pPr>
        <w:pStyle w:val="Textoindependiente"/>
        <w:spacing w:line="276" w:lineRule="auto"/>
        <w:rPr>
          <w:rFonts w:ascii="Georgia" w:hAnsi="Georgia" w:cs="Arial"/>
          <w:szCs w:val="24"/>
        </w:rPr>
      </w:pPr>
    </w:p>
    <w:p w14:paraId="165F0239" w14:textId="0A3E067E" w:rsidR="00CB272A" w:rsidRPr="00E1090D" w:rsidRDefault="00CB272A" w:rsidP="00E1090D">
      <w:pPr>
        <w:pStyle w:val="Textoindependiente"/>
        <w:spacing w:line="276" w:lineRule="auto"/>
        <w:rPr>
          <w:rFonts w:ascii="Georgia" w:hAnsi="Georgia" w:cs="Arial"/>
          <w:szCs w:val="24"/>
        </w:rPr>
      </w:pPr>
      <w:r w:rsidRPr="00E1090D">
        <w:rPr>
          <w:rFonts w:ascii="Georgia" w:hAnsi="Georgia" w:cs="Arial"/>
          <w:szCs w:val="24"/>
        </w:rPr>
        <w:t xml:space="preserve">La </w:t>
      </w:r>
      <w:r w:rsidR="00E54925" w:rsidRPr="00E1090D">
        <w:rPr>
          <w:rFonts w:ascii="Georgia" w:hAnsi="Georgia" w:cs="Arial"/>
          <w:szCs w:val="24"/>
        </w:rPr>
        <w:t>acción</w:t>
      </w:r>
      <w:r w:rsidRPr="00E1090D">
        <w:rPr>
          <w:rFonts w:ascii="Georgia" w:hAnsi="Georgia" w:cs="Arial"/>
          <w:szCs w:val="24"/>
        </w:rPr>
        <w:t xml:space="preserve"> constitucional </w:t>
      </w:r>
      <w:r w:rsidR="00D11143" w:rsidRPr="00E1090D">
        <w:rPr>
          <w:rFonts w:ascii="Georgia" w:hAnsi="Georgia" w:cs="Arial"/>
          <w:szCs w:val="24"/>
        </w:rPr>
        <w:t>referenciada</w:t>
      </w:r>
      <w:r w:rsidRPr="00E1090D">
        <w:rPr>
          <w:rFonts w:ascii="Georgia" w:hAnsi="Georgia" w:cs="Arial"/>
          <w:szCs w:val="24"/>
        </w:rPr>
        <w:t xml:space="preserve">, </w:t>
      </w:r>
      <w:r w:rsidR="6B768175" w:rsidRPr="00E1090D">
        <w:rPr>
          <w:rFonts w:ascii="Georgia" w:hAnsi="Georgia" w:cs="Arial"/>
          <w:szCs w:val="24"/>
        </w:rPr>
        <w:t>agotad</w:t>
      </w:r>
      <w:r w:rsidR="5AC98B14" w:rsidRPr="00E1090D">
        <w:rPr>
          <w:rFonts w:ascii="Georgia" w:hAnsi="Georgia" w:cs="Arial"/>
          <w:szCs w:val="24"/>
        </w:rPr>
        <w:t>o</w:t>
      </w:r>
      <w:r w:rsidR="6B768175" w:rsidRPr="00E1090D">
        <w:rPr>
          <w:rFonts w:ascii="Georgia" w:hAnsi="Georgia" w:cs="Arial"/>
          <w:szCs w:val="24"/>
        </w:rPr>
        <w:t xml:space="preserve"> </w:t>
      </w:r>
      <w:r w:rsidR="5946BBA4" w:rsidRPr="00E1090D">
        <w:rPr>
          <w:rFonts w:ascii="Georgia" w:hAnsi="Georgia" w:cs="Arial"/>
          <w:szCs w:val="24"/>
        </w:rPr>
        <w:t xml:space="preserve">el </w:t>
      </w:r>
      <w:r w:rsidRPr="00E1090D">
        <w:rPr>
          <w:rFonts w:ascii="Georgia" w:hAnsi="Georgia" w:cs="Arial"/>
          <w:szCs w:val="24"/>
        </w:rPr>
        <w:t xml:space="preserve">trámite preferente y sumario, sin </w:t>
      </w:r>
      <w:r w:rsidR="3950A692" w:rsidRPr="00E1090D">
        <w:rPr>
          <w:rFonts w:ascii="Georgia" w:hAnsi="Georgia" w:cs="Arial"/>
          <w:szCs w:val="24"/>
        </w:rPr>
        <w:t xml:space="preserve">advertir </w:t>
      </w:r>
      <w:r w:rsidRPr="00E1090D">
        <w:rPr>
          <w:rFonts w:ascii="Georgia" w:hAnsi="Georgia" w:cs="Arial"/>
          <w:szCs w:val="24"/>
        </w:rPr>
        <w:t>nulidad</w:t>
      </w:r>
      <w:r w:rsidR="37F096A1" w:rsidRPr="00E1090D">
        <w:rPr>
          <w:rFonts w:ascii="Georgia" w:hAnsi="Georgia" w:cs="Arial"/>
          <w:szCs w:val="24"/>
        </w:rPr>
        <w:t>es</w:t>
      </w:r>
      <w:r w:rsidR="4635619A" w:rsidRPr="00E1090D">
        <w:rPr>
          <w:rFonts w:ascii="Georgia" w:hAnsi="Georgia" w:cs="Arial"/>
          <w:szCs w:val="24"/>
        </w:rPr>
        <w:t xml:space="preserve"> que afecten la actuación</w:t>
      </w:r>
      <w:r w:rsidRPr="00E1090D">
        <w:rPr>
          <w:rFonts w:ascii="Georgia" w:hAnsi="Georgia" w:cs="Arial"/>
          <w:szCs w:val="24"/>
        </w:rPr>
        <w:t>.</w:t>
      </w:r>
    </w:p>
    <w:p w14:paraId="2532EC16" w14:textId="77777777" w:rsidR="006170B3" w:rsidRPr="00E1090D" w:rsidRDefault="006170B3" w:rsidP="00E1090D">
      <w:pPr>
        <w:pStyle w:val="Textoindependiente"/>
        <w:spacing w:line="276" w:lineRule="auto"/>
        <w:rPr>
          <w:rFonts w:ascii="Georgia" w:hAnsi="Georgia" w:cs="Arial"/>
          <w:szCs w:val="24"/>
        </w:rPr>
      </w:pPr>
    </w:p>
    <w:p w14:paraId="4E6AB9B7" w14:textId="14F5849F" w:rsidR="00CB272A" w:rsidRPr="00E1090D" w:rsidRDefault="00040EA1" w:rsidP="00E1090D">
      <w:pPr>
        <w:pStyle w:val="Textoindependiente"/>
        <w:numPr>
          <w:ilvl w:val="0"/>
          <w:numId w:val="1"/>
        </w:numPr>
        <w:spacing w:line="276" w:lineRule="auto"/>
        <w:rPr>
          <w:rFonts w:ascii="Georgia" w:hAnsi="Georgia" w:cs="Arial"/>
          <w:b/>
          <w:bCs/>
          <w:smallCaps/>
          <w:szCs w:val="24"/>
        </w:rPr>
      </w:pPr>
      <w:r w:rsidRPr="00E1090D">
        <w:rPr>
          <w:rFonts w:ascii="Georgia" w:hAnsi="Georgia" w:cs="Arial"/>
          <w:b/>
          <w:bCs/>
          <w:smallCaps/>
          <w:szCs w:val="24"/>
        </w:rPr>
        <w:t>La síntesis fáctic</w:t>
      </w:r>
      <w:r w:rsidR="0013401E" w:rsidRPr="00E1090D">
        <w:rPr>
          <w:rFonts w:ascii="Georgia" w:hAnsi="Georgia" w:cs="Arial"/>
          <w:b/>
          <w:bCs/>
          <w:smallCaps/>
          <w:szCs w:val="24"/>
        </w:rPr>
        <w:t>a</w:t>
      </w:r>
      <w:r w:rsidRPr="00E1090D">
        <w:rPr>
          <w:rFonts w:ascii="Georgia" w:hAnsi="Georgia" w:cs="Arial"/>
          <w:b/>
          <w:bCs/>
          <w:smallCaps/>
          <w:szCs w:val="24"/>
        </w:rPr>
        <w:t xml:space="preserve"> relevante</w:t>
      </w:r>
    </w:p>
    <w:p w14:paraId="6F638FEC" w14:textId="77777777" w:rsidR="00CB272A" w:rsidRPr="00E1090D" w:rsidRDefault="00CB272A" w:rsidP="00E1090D">
      <w:pPr>
        <w:pStyle w:val="Textoindependiente"/>
        <w:spacing w:line="276" w:lineRule="auto"/>
        <w:rPr>
          <w:rFonts w:ascii="Georgia" w:hAnsi="Georgia" w:cs="Arial"/>
          <w:szCs w:val="24"/>
          <w:lang w:val="es-CO"/>
        </w:rPr>
      </w:pPr>
    </w:p>
    <w:p w14:paraId="37EDE8F6" w14:textId="223748C8" w:rsidR="009976CC" w:rsidRPr="00E1090D" w:rsidRDefault="009976CC" w:rsidP="00E1090D">
      <w:pPr>
        <w:spacing w:line="276" w:lineRule="auto"/>
        <w:jc w:val="both"/>
        <w:rPr>
          <w:rFonts w:ascii="Georgia" w:hAnsi="Georgia" w:cs="Arial"/>
          <w:lang w:val="es-CO"/>
        </w:rPr>
      </w:pPr>
      <w:r w:rsidRPr="00E1090D">
        <w:rPr>
          <w:rFonts w:ascii="Georgia" w:hAnsi="Georgia" w:cs="Arial"/>
          <w:lang w:val="es-CO"/>
        </w:rPr>
        <w:lastRenderedPageBreak/>
        <w:t xml:space="preserve">Menciona </w:t>
      </w:r>
      <w:r w:rsidR="00266D83" w:rsidRPr="00E1090D">
        <w:rPr>
          <w:rFonts w:ascii="Georgia" w:hAnsi="Georgia" w:cs="Arial"/>
          <w:lang w:val="es-CO"/>
        </w:rPr>
        <w:t xml:space="preserve">el actor </w:t>
      </w:r>
      <w:r w:rsidRPr="00E1090D">
        <w:rPr>
          <w:rFonts w:ascii="Georgia" w:hAnsi="Georgia" w:cs="Arial"/>
          <w:lang w:val="es-CO"/>
        </w:rPr>
        <w:t xml:space="preserve">que formuló querella policiva contra los señores Fabián Alberto Orozco F. y Melissa Holguín A. ante la Corregiduría de Puerto Caldas de Pereira y culminó con fallo que protegió los derechos del querellante. </w:t>
      </w:r>
    </w:p>
    <w:p w14:paraId="7F95D1A2" w14:textId="77777777" w:rsidR="009976CC" w:rsidRPr="00E1090D" w:rsidRDefault="009976CC" w:rsidP="00E1090D">
      <w:pPr>
        <w:spacing w:line="276" w:lineRule="auto"/>
        <w:jc w:val="both"/>
        <w:rPr>
          <w:rFonts w:ascii="Georgia" w:hAnsi="Georgia" w:cs="Arial"/>
          <w:lang w:val="es-CO"/>
        </w:rPr>
      </w:pPr>
    </w:p>
    <w:p w14:paraId="743CF242" w14:textId="7CD9E30D" w:rsidR="0074258E" w:rsidRPr="00E1090D" w:rsidRDefault="009976CC" w:rsidP="00E1090D">
      <w:pPr>
        <w:spacing w:line="276" w:lineRule="auto"/>
        <w:jc w:val="both"/>
        <w:rPr>
          <w:rFonts w:ascii="Georgia" w:hAnsi="Georgia" w:cs="Arial"/>
          <w:lang w:val="es-CO"/>
        </w:rPr>
      </w:pPr>
      <w:r w:rsidRPr="00E1090D">
        <w:rPr>
          <w:rFonts w:ascii="Georgia" w:hAnsi="Georgia" w:cs="Arial"/>
          <w:lang w:val="es-CO"/>
        </w:rPr>
        <w:t>A continuación los querellados presentaron tutela que conocieron los Juzgados 2º Municipal para Adolescentes con función de control de garantías y 2º Penal del Circuito para Adolescentes con función de conocimiento de Pereira y</w:t>
      </w:r>
      <w:r w:rsidR="0084633C" w:rsidRPr="00E1090D">
        <w:rPr>
          <w:rFonts w:ascii="Georgia" w:hAnsi="Georgia" w:cs="Arial"/>
          <w:lang w:val="es-CO"/>
        </w:rPr>
        <w:t>,</w:t>
      </w:r>
      <w:r w:rsidRPr="00E1090D">
        <w:rPr>
          <w:rFonts w:ascii="Georgia" w:hAnsi="Georgia" w:cs="Arial"/>
          <w:lang w:val="es-CO"/>
        </w:rPr>
        <w:t xml:space="preserve"> en segunda instancia</w:t>
      </w:r>
      <w:r w:rsidR="0084633C" w:rsidRPr="00E1090D">
        <w:rPr>
          <w:rFonts w:ascii="Georgia" w:hAnsi="Georgia" w:cs="Arial"/>
          <w:lang w:val="es-CO"/>
        </w:rPr>
        <w:t>,</w:t>
      </w:r>
      <w:r w:rsidRPr="00E1090D">
        <w:rPr>
          <w:rFonts w:ascii="Georgia" w:hAnsi="Georgia" w:cs="Arial"/>
          <w:lang w:val="es-CO"/>
        </w:rPr>
        <w:t xml:space="preserve"> se revocó la sentencia de primera y se declaró la nulidad de la audiencia realizada en el proceso verbal antes mencionado</w:t>
      </w:r>
      <w:r w:rsidR="00E73E78" w:rsidRPr="00E1090D">
        <w:rPr>
          <w:rFonts w:ascii="Georgia" w:hAnsi="Georgia" w:cs="Arial"/>
          <w:lang w:val="es-CO"/>
        </w:rPr>
        <w:t xml:space="preserve">, sin vincular al </w:t>
      </w:r>
      <w:r w:rsidRPr="00E1090D">
        <w:rPr>
          <w:rFonts w:ascii="Georgia" w:hAnsi="Georgia" w:cs="Arial"/>
          <w:lang w:val="es-CO"/>
        </w:rPr>
        <w:t>señor Luis Javier Arango B.</w:t>
      </w:r>
      <w:r w:rsidR="00E73E78" w:rsidRPr="00E1090D">
        <w:rPr>
          <w:rFonts w:ascii="Georgia" w:hAnsi="Georgia" w:cs="Arial"/>
          <w:lang w:val="es-CO"/>
        </w:rPr>
        <w:t xml:space="preserve">, pese a que </w:t>
      </w:r>
      <w:r w:rsidR="0084633C" w:rsidRPr="00E1090D">
        <w:rPr>
          <w:rFonts w:ascii="Georgia" w:hAnsi="Georgia" w:cs="Arial"/>
          <w:lang w:val="es-CO"/>
        </w:rPr>
        <w:t>tenía interés por participar</w:t>
      </w:r>
      <w:r w:rsidR="00E73E78" w:rsidRPr="00E1090D">
        <w:rPr>
          <w:rFonts w:ascii="Georgia" w:hAnsi="Georgia" w:cs="Arial"/>
          <w:lang w:val="es-CO"/>
        </w:rPr>
        <w:t xml:space="preserve"> en el trámite policial</w:t>
      </w:r>
      <w:r w:rsidR="00C124EB" w:rsidRPr="00E1090D">
        <w:rPr>
          <w:rFonts w:ascii="Georgia" w:hAnsi="Georgia" w:cs="Arial"/>
          <w:lang w:val="es-CO"/>
        </w:rPr>
        <w:t xml:space="preserve"> </w:t>
      </w:r>
      <w:r w:rsidR="0084633C" w:rsidRPr="00E1090D">
        <w:rPr>
          <w:rFonts w:ascii="Georgia" w:hAnsi="Georgia" w:cs="Arial"/>
          <w:lang w:val="es-CO"/>
        </w:rPr>
        <w:t xml:space="preserve">reprochado </w:t>
      </w:r>
      <w:r w:rsidR="0074258E" w:rsidRPr="00E1090D">
        <w:rPr>
          <w:rFonts w:ascii="Georgia" w:hAnsi="Georgia" w:cs="Arial"/>
        </w:rPr>
        <w:t>(Cuaderno</w:t>
      </w:r>
      <w:r w:rsidR="00E732B7" w:rsidRPr="00E1090D">
        <w:rPr>
          <w:rFonts w:ascii="Georgia" w:hAnsi="Georgia" w:cs="Arial"/>
        </w:rPr>
        <w:t xml:space="preserve"> </w:t>
      </w:r>
      <w:r w:rsidR="0074258E" w:rsidRPr="00E1090D">
        <w:rPr>
          <w:rFonts w:ascii="Georgia" w:hAnsi="Georgia" w:cs="Arial"/>
        </w:rPr>
        <w:t xml:space="preserve">No.1, </w:t>
      </w:r>
      <w:r w:rsidR="00C124EB" w:rsidRPr="00E1090D">
        <w:rPr>
          <w:rFonts w:ascii="Georgia" w:hAnsi="Georgia" w:cs="Arial"/>
        </w:rPr>
        <w:t>pdf. No.</w:t>
      </w:r>
      <w:r w:rsidR="00B50CA2" w:rsidRPr="00E1090D">
        <w:rPr>
          <w:rFonts w:ascii="Georgia" w:hAnsi="Georgia" w:cs="Arial"/>
        </w:rPr>
        <w:t>02</w:t>
      </w:r>
      <w:r w:rsidR="0074258E" w:rsidRPr="00E1090D">
        <w:rPr>
          <w:rFonts w:ascii="Georgia" w:hAnsi="Georgia" w:cs="Arial"/>
        </w:rPr>
        <w:t xml:space="preserve">). </w:t>
      </w:r>
    </w:p>
    <w:p w14:paraId="35440B1F" w14:textId="77777777" w:rsidR="006170B3" w:rsidRPr="00E1090D" w:rsidRDefault="006170B3" w:rsidP="00E1090D">
      <w:pPr>
        <w:spacing w:line="276" w:lineRule="auto"/>
        <w:jc w:val="both"/>
        <w:rPr>
          <w:rFonts w:ascii="Georgia" w:hAnsi="Georgia" w:cs="Arial"/>
          <w:lang w:val="es-CO"/>
        </w:rPr>
      </w:pPr>
    </w:p>
    <w:p w14:paraId="4309BBD5" w14:textId="14ADFE05" w:rsidR="0099045D" w:rsidRPr="00E1090D" w:rsidRDefault="00E732B7" w:rsidP="00E1090D">
      <w:pPr>
        <w:pStyle w:val="Textoindependiente"/>
        <w:numPr>
          <w:ilvl w:val="0"/>
          <w:numId w:val="1"/>
        </w:numPr>
        <w:spacing w:line="276" w:lineRule="auto"/>
        <w:rPr>
          <w:rFonts w:ascii="Georgia" w:hAnsi="Georgia" w:cs="Arial"/>
          <w:b/>
          <w:bCs/>
          <w:smallCaps/>
          <w:szCs w:val="24"/>
        </w:rPr>
      </w:pPr>
      <w:r w:rsidRPr="00E1090D">
        <w:rPr>
          <w:rFonts w:ascii="Georgia" w:hAnsi="Georgia" w:cs="Arial"/>
          <w:b/>
          <w:bCs/>
          <w:smallCaps/>
          <w:szCs w:val="24"/>
        </w:rPr>
        <w:t xml:space="preserve">Los </w:t>
      </w:r>
      <w:r w:rsidR="00040EA1" w:rsidRPr="00E1090D">
        <w:rPr>
          <w:rFonts w:ascii="Georgia" w:hAnsi="Georgia" w:cs="Arial"/>
          <w:b/>
          <w:bCs/>
          <w:smallCaps/>
          <w:szCs w:val="24"/>
        </w:rPr>
        <w:t>derecho</w:t>
      </w:r>
      <w:r w:rsidRPr="00E1090D">
        <w:rPr>
          <w:rFonts w:ascii="Georgia" w:hAnsi="Georgia" w:cs="Arial"/>
          <w:b/>
          <w:bCs/>
          <w:smallCaps/>
          <w:szCs w:val="24"/>
        </w:rPr>
        <w:t>s</w:t>
      </w:r>
      <w:r w:rsidR="00040EA1" w:rsidRPr="00E1090D">
        <w:rPr>
          <w:rFonts w:ascii="Georgia" w:hAnsi="Georgia" w:cs="Arial"/>
          <w:b/>
          <w:bCs/>
          <w:smallCaps/>
          <w:szCs w:val="24"/>
        </w:rPr>
        <w:t xml:space="preserve"> invocado</w:t>
      </w:r>
      <w:r w:rsidRPr="00E1090D">
        <w:rPr>
          <w:rFonts w:ascii="Georgia" w:hAnsi="Georgia" w:cs="Arial"/>
          <w:b/>
          <w:bCs/>
          <w:smallCaps/>
          <w:szCs w:val="24"/>
        </w:rPr>
        <w:t>s</w:t>
      </w:r>
      <w:r w:rsidR="00686CE3" w:rsidRPr="00E1090D">
        <w:rPr>
          <w:rFonts w:ascii="Georgia" w:hAnsi="Georgia" w:cs="Arial"/>
          <w:b/>
          <w:bCs/>
          <w:smallCaps/>
          <w:szCs w:val="24"/>
        </w:rPr>
        <w:t xml:space="preserve"> y la petición de protección </w:t>
      </w:r>
    </w:p>
    <w:p w14:paraId="57FC8ACD" w14:textId="77777777" w:rsidR="00E73E78" w:rsidRPr="00E1090D" w:rsidRDefault="00E73E78" w:rsidP="00E109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6F70BED6" w14:textId="2443FD4A" w:rsidR="00C862CD" w:rsidRPr="00E1090D" w:rsidRDefault="00A3225A" w:rsidP="00E10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E1090D">
        <w:rPr>
          <w:rFonts w:ascii="Georgia" w:hAnsi="Georgia" w:cs="Arial"/>
          <w:spacing w:val="-3"/>
        </w:rPr>
        <w:t>El debido proceso</w:t>
      </w:r>
      <w:r w:rsidR="00E732B7" w:rsidRPr="00E1090D">
        <w:rPr>
          <w:rFonts w:ascii="Georgia" w:hAnsi="Georgia" w:cs="Arial"/>
          <w:spacing w:val="-3"/>
        </w:rPr>
        <w:t xml:space="preserve"> y acceso a la administración de justicia</w:t>
      </w:r>
      <w:r w:rsidRPr="00E1090D">
        <w:rPr>
          <w:rFonts w:ascii="Georgia" w:hAnsi="Georgia" w:cs="Arial"/>
        </w:rPr>
        <w:t>. Pidió</w:t>
      </w:r>
      <w:r w:rsidR="00E73E78" w:rsidRPr="00E1090D">
        <w:rPr>
          <w:rFonts w:ascii="Georgia" w:hAnsi="Georgia" w:cs="Arial"/>
        </w:rPr>
        <w:t>:</w:t>
      </w:r>
      <w:r w:rsidRPr="00E1090D">
        <w:rPr>
          <w:rFonts w:ascii="Georgia" w:hAnsi="Georgia" w:cs="Arial"/>
        </w:rPr>
        <w:t xml:space="preserve"> </w:t>
      </w:r>
      <w:r w:rsidR="00E73E78" w:rsidRPr="00E1090D">
        <w:rPr>
          <w:rFonts w:ascii="Georgia" w:hAnsi="Georgia" w:cs="Arial"/>
          <w:b/>
          <w:bCs/>
        </w:rPr>
        <w:t>(i)</w:t>
      </w:r>
      <w:r w:rsidR="00E73E78" w:rsidRPr="00E1090D">
        <w:rPr>
          <w:rFonts w:ascii="Georgia" w:hAnsi="Georgia" w:cs="Arial"/>
        </w:rPr>
        <w:t xml:space="preserve"> O</w:t>
      </w:r>
      <w:r w:rsidRPr="00E1090D">
        <w:rPr>
          <w:rFonts w:ascii="Georgia" w:hAnsi="Georgia" w:cs="Arial"/>
        </w:rPr>
        <w:t xml:space="preserve">rdenar </w:t>
      </w:r>
      <w:r w:rsidR="00E73E78" w:rsidRPr="00E1090D">
        <w:rPr>
          <w:rFonts w:ascii="Georgia" w:hAnsi="Georgia" w:cs="Arial"/>
        </w:rPr>
        <w:t xml:space="preserve">a los accionados vincular al actor a la acción de tutela; y, </w:t>
      </w:r>
      <w:r w:rsidR="00E73E78" w:rsidRPr="00E1090D">
        <w:rPr>
          <w:rFonts w:ascii="Georgia" w:hAnsi="Georgia" w:cs="Arial"/>
          <w:b/>
          <w:bCs/>
        </w:rPr>
        <w:t xml:space="preserve">(ii) </w:t>
      </w:r>
      <w:r w:rsidR="00E73E78" w:rsidRPr="00E1090D">
        <w:rPr>
          <w:rFonts w:ascii="Georgia" w:hAnsi="Georgia" w:cs="Arial"/>
        </w:rPr>
        <w:t xml:space="preserve">Disponer que se </w:t>
      </w:r>
      <w:r w:rsidR="0084633C" w:rsidRPr="00E1090D">
        <w:rPr>
          <w:rFonts w:ascii="Georgia" w:hAnsi="Georgia" w:cs="Arial"/>
        </w:rPr>
        <w:t xml:space="preserve">someta </w:t>
      </w:r>
      <w:r w:rsidR="00E73E78" w:rsidRPr="00E1090D">
        <w:rPr>
          <w:rFonts w:ascii="Georgia" w:hAnsi="Georgia" w:cs="Arial"/>
        </w:rPr>
        <w:t xml:space="preserve">nuevamente a reparto entre jueces </w:t>
      </w:r>
      <w:r w:rsidR="0084633C" w:rsidRPr="00E1090D">
        <w:rPr>
          <w:rFonts w:ascii="Georgia" w:hAnsi="Georgia" w:cs="Arial"/>
        </w:rPr>
        <w:t xml:space="preserve">diferentes </w:t>
      </w:r>
      <w:r w:rsidR="00EB1F71" w:rsidRPr="00E1090D">
        <w:rPr>
          <w:rFonts w:ascii="Georgia" w:hAnsi="Georgia" w:cs="Arial"/>
        </w:rPr>
        <w:t xml:space="preserve">(Cuaderno No.1, </w:t>
      </w:r>
      <w:r w:rsidR="00B50CA2" w:rsidRPr="00E1090D">
        <w:rPr>
          <w:rFonts w:ascii="Georgia" w:hAnsi="Georgia" w:cs="Arial"/>
        </w:rPr>
        <w:t>pdf No.02</w:t>
      </w:r>
      <w:r w:rsidR="00EB1F71" w:rsidRPr="00E1090D">
        <w:rPr>
          <w:rFonts w:ascii="Georgia" w:hAnsi="Georgia" w:cs="Arial"/>
        </w:rPr>
        <w:t xml:space="preserve">). </w:t>
      </w:r>
    </w:p>
    <w:p w14:paraId="5ACD8E9D" w14:textId="77777777" w:rsidR="00E732B7" w:rsidRPr="00E1090D" w:rsidRDefault="00E732B7" w:rsidP="00E109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E1090D" w:rsidRDefault="00040EA1" w:rsidP="00E1090D">
      <w:pPr>
        <w:pStyle w:val="Sinespaciado"/>
        <w:numPr>
          <w:ilvl w:val="0"/>
          <w:numId w:val="1"/>
        </w:numPr>
        <w:spacing w:line="276" w:lineRule="auto"/>
        <w:jc w:val="both"/>
        <w:rPr>
          <w:rFonts w:ascii="Georgia" w:hAnsi="Georgia" w:cs="Arial"/>
          <w:b/>
          <w:bCs/>
          <w:smallCaps/>
          <w:szCs w:val="24"/>
        </w:rPr>
      </w:pPr>
      <w:r w:rsidRPr="00E1090D">
        <w:rPr>
          <w:rFonts w:ascii="Georgia" w:hAnsi="Georgia" w:cs="Arial"/>
          <w:b/>
          <w:bCs/>
          <w:smallCaps/>
          <w:szCs w:val="24"/>
        </w:rPr>
        <w:t>La síntesis de la crónica procesal</w:t>
      </w:r>
    </w:p>
    <w:p w14:paraId="51F4A9EA" w14:textId="77777777" w:rsidR="00E96F4A" w:rsidRPr="00E1090D" w:rsidRDefault="00E96F4A" w:rsidP="00E1090D">
      <w:pPr>
        <w:pStyle w:val="Prrafodelista"/>
        <w:spacing w:line="276" w:lineRule="auto"/>
        <w:ind w:left="0"/>
        <w:jc w:val="both"/>
        <w:rPr>
          <w:rFonts w:ascii="Georgia" w:hAnsi="Georgia"/>
        </w:rPr>
      </w:pPr>
    </w:p>
    <w:p w14:paraId="74BB1EB0" w14:textId="5D0D4F9C" w:rsidR="00493E80" w:rsidRPr="00E1090D" w:rsidRDefault="00DC59B8" w:rsidP="00E1090D">
      <w:pPr>
        <w:pStyle w:val="Prrafodelista"/>
        <w:spacing w:line="276" w:lineRule="auto"/>
        <w:ind w:left="0"/>
        <w:jc w:val="both"/>
        <w:rPr>
          <w:rFonts w:ascii="Georgia" w:hAnsi="Georgia" w:cs="Arial"/>
        </w:rPr>
      </w:pPr>
      <w:r w:rsidRPr="00E1090D">
        <w:rPr>
          <w:rFonts w:ascii="Georgia" w:hAnsi="Georgia"/>
        </w:rPr>
        <w:t xml:space="preserve">El </w:t>
      </w:r>
      <w:r w:rsidR="00E73E78" w:rsidRPr="00E1090D">
        <w:rPr>
          <w:rFonts w:ascii="Georgia" w:hAnsi="Georgia"/>
        </w:rPr>
        <w:t>28</w:t>
      </w:r>
      <w:r w:rsidR="00EB1F71" w:rsidRPr="00E1090D">
        <w:rPr>
          <w:rFonts w:ascii="Georgia" w:hAnsi="Georgia"/>
        </w:rPr>
        <w:t>-</w:t>
      </w:r>
      <w:r w:rsidR="00E73E78" w:rsidRPr="00E1090D">
        <w:rPr>
          <w:rFonts w:ascii="Georgia" w:hAnsi="Georgia"/>
        </w:rPr>
        <w:t>02</w:t>
      </w:r>
      <w:r w:rsidR="00EB1F71" w:rsidRPr="00E1090D">
        <w:rPr>
          <w:rFonts w:ascii="Georgia" w:hAnsi="Georgia"/>
        </w:rPr>
        <w:t>-</w:t>
      </w:r>
      <w:r w:rsidR="00E73E78" w:rsidRPr="00E1090D">
        <w:rPr>
          <w:rFonts w:ascii="Georgia" w:hAnsi="Georgia"/>
        </w:rPr>
        <w:t xml:space="preserve">2022 </w:t>
      </w:r>
      <w:r w:rsidRPr="00E1090D">
        <w:rPr>
          <w:rFonts w:ascii="Georgia" w:hAnsi="Georgia" w:cs="Arial"/>
        </w:rPr>
        <w:t xml:space="preserve">se admitió </w:t>
      </w:r>
      <w:r w:rsidRPr="00E1090D">
        <w:rPr>
          <w:rFonts w:ascii="Georgia" w:hAnsi="Georgia"/>
        </w:rPr>
        <w:t xml:space="preserve">(Cuaderno No.1, </w:t>
      </w:r>
      <w:r w:rsidR="00517CBB" w:rsidRPr="00E1090D">
        <w:rPr>
          <w:rFonts w:ascii="Georgia" w:hAnsi="Georgia"/>
        </w:rPr>
        <w:t xml:space="preserve">pdf </w:t>
      </w:r>
      <w:r w:rsidRPr="00E1090D">
        <w:rPr>
          <w:rFonts w:ascii="Georgia" w:hAnsi="Georgia"/>
        </w:rPr>
        <w:t>No.</w:t>
      </w:r>
      <w:r w:rsidR="00E73E78" w:rsidRPr="00E1090D">
        <w:rPr>
          <w:rFonts w:ascii="Georgia" w:hAnsi="Georgia"/>
        </w:rPr>
        <w:t>07</w:t>
      </w:r>
      <w:r w:rsidR="006170B3" w:rsidRPr="00E1090D">
        <w:rPr>
          <w:rFonts w:ascii="Georgia" w:hAnsi="Georgia"/>
        </w:rPr>
        <w:t>)</w:t>
      </w:r>
      <w:r w:rsidR="00DF1192" w:rsidRPr="00E1090D">
        <w:rPr>
          <w:rFonts w:ascii="Georgia" w:hAnsi="Georgia"/>
        </w:rPr>
        <w:t>, s</w:t>
      </w:r>
      <w:r w:rsidR="7A787B2D" w:rsidRPr="00E1090D">
        <w:rPr>
          <w:rFonts w:ascii="Georgia" w:hAnsi="Georgia"/>
        </w:rPr>
        <w:t xml:space="preserve">e </w:t>
      </w:r>
      <w:r w:rsidRPr="00E1090D">
        <w:rPr>
          <w:rFonts w:ascii="Georgia" w:hAnsi="Georgia" w:cs="Arial"/>
        </w:rPr>
        <w:t>entera</w:t>
      </w:r>
      <w:r w:rsidR="0414A2E5" w:rsidRPr="00E1090D">
        <w:rPr>
          <w:rFonts w:ascii="Georgia" w:hAnsi="Georgia" w:cs="Arial"/>
        </w:rPr>
        <w:t xml:space="preserve">ron </w:t>
      </w:r>
      <w:r w:rsidR="00AC42E2" w:rsidRPr="00E1090D">
        <w:rPr>
          <w:rFonts w:ascii="Georgia" w:hAnsi="Georgia" w:cs="Arial"/>
        </w:rPr>
        <w:t xml:space="preserve">las partes </w:t>
      </w:r>
      <w:r w:rsidRPr="00E1090D">
        <w:rPr>
          <w:rFonts w:ascii="Georgia" w:hAnsi="Georgia" w:cs="Arial"/>
        </w:rPr>
        <w:t>(</w:t>
      </w:r>
      <w:r w:rsidR="00517CBB" w:rsidRPr="00E1090D">
        <w:rPr>
          <w:rFonts w:ascii="Georgia" w:hAnsi="Georgia" w:cs="Arial"/>
        </w:rPr>
        <w:t>Ibidem</w:t>
      </w:r>
      <w:r w:rsidRPr="00E1090D">
        <w:rPr>
          <w:rFonts w:ascii="Georgia" w:hAnsi="Georgia" w:cs="Arial"/>
        </w:rPr>
        <w:t xml:space="preserve">, </w:t>
      </w:r>
      <w:r w:rsidR="00517CBB" w:rsidRPr="00E1090D">
        <w:rPr>
          <w:rFonts w:ascii="Georgia" w:hAnsi="Georgia" w:cs="Arial"/>
        </w:rPr>
        <w:t xml:space="preserve">pdf </w:t>
      </w:r>
      <w:r w:rsidRPr="00E1090D">
        <w:rPr>
          <w:rFonts w:ascii="Georgia" w:hAnsi="Georgia" w:cs="Arial"/>
        </w:rPr>
        <w:t>No.</w:t>
      </w:r>
      <w:r w:rsidR="00E73E78" w:rsidRPr="00E1090D">
        <w:rPr>
          <w:rFonts w:ascii="Georgia" w:hAnsi="Georgia" w:cs="Arial"/>
        </w:rPr>
        <w:t>08 y 23</w:t>
      </w:r>
      <w:r w:rsidRPr="00E1090D">
        <w:rPr>
          <w:rFonts w:ascii="Georgia" w:hAnsi="Georgia" w:cs="Arial"/>
        </w:rPr>
        <w:t>)</w:t>
      </w:r>
      <w:r w:rsidR="0029032F" w:rsidRPr="00E1090D">
        <w:rPr>
          <w:rFonts w:ascii="Georgia" w:hAnsi="Georgia" w:cs="Arial"/>
        </w:rPr>
        <w:t xml:space="preserve">, </w:t>
      </w:r>
      <w:r w:rsidR="00E732B7" w:rsidRPr="00E1090D">
        <w:rPr>
          <w:rFonts w:ascii="Georgia" w:hAnsi="Georgia" w:cs="Arial"/>
        </w:rPr>
        <w:t xml:space="preserve">contestaron </w:t>
      </w:r>
      <w:r w:rsidR="00E73E78" w:rsidRPr="00E1090D">
        <w:rPr>
          <w:rFonts w:ascii="Georgia" w:hAnsi="Georgia" w:cs="Arial"/>
        </w:rPr>
        <w:t>los Juzgados</w:t>
      </w:r>
      <w:r w:rsidR="0029032F" w:rsidRPr="00E1090D">
        <w:rPr>
          <w:rFonts w:ascii="Georgia" w:hAnsi="Georgia" w:cs="Arial"/>
        </w:rPr>
        <w:t xml:space="preserve">, </w:t>
      </w:r>
      <w:r w:rsidR="00E73E78" w:rsidRPr="00E1090D">
        <w:rPr>
          <w:rFonts w:ascii="Georgia" w:hAnsi="Georgia" w:cs="Arial"/>
        </w:rPr>
        <w:t xml:space="preserve">la Corregiduría, los señores Melisa Holguín A. y Fabián A. Orozco F. y el actor atendió requerimiento de la Sala </w:t>
      </w:r>
      <w:r w:rsidR="00A3225A" w:rsidRPr="00E1090D">
        <w:rPr>
          <w:rFonts w:ascii="Georgia" w:hAnsi="Georgia" w:cs="Arial"/>
        </w:rPr>
        <w:t>(</w:t>
      </w:r>
      <w:r w:rsidR="00517CBB" w:rsidRPr="00E1090D">
        <w:rPr>
          <w:rFonts w:ascii="Georgia" w:hAnsi="Georgia" w:cs="Arial"/>
        </w:rPr>
        <w:t>Ibidem</w:t>
      </w:r>
      <w:r w:rsidR="00A3225A" w:rsidRPr="00E1090D">
        <w:rPr>
          <w:rFonts w:ascii="Georgia" w:hAnsi="Georgia" w:cs="Arial"/>
        </w:rPr>
        <w:t xml:space="preserve">, </w:t>
      </w:r>
      <w:r w:rsidR="00517CBB" w:rsidRPr="00E1090D">
        <w:rPr>
          <w:rFonts w:ascii="Georgia" w:hAnsi="Georgia" w:cs="Arial"/>
        </w:rPr>
        <w:t xml:space="preserve">pdf. </w:t>
      </w:r>
      <w:r w:rsidR="00A3225A" w:rsidRPr="00E1090D">
        <w:rPr>
          <w:rFonts w:ascii="Georgia" w:hAnsi="Georgia" w:cs="Arial"/>
        </w:rPr>
        <w:t>No.</w:t>
      </w:r>
      <w:r w:rsidR="00E73E78" w:rsidRPr="00E1090D">
        <w:rPr>
          <w:rFonts w:ascii="Georgia" w:hAnsi="Georgia" w:cs="Arial"/>
        </w:rPr>
        <w:t>12,14, 16, 18, 20 y 22</w:t>
      </w:r>
      <w:r w:rsidR="00A3225A" w:rsidRPr="00E1090D">
        <w:rPr>
          <w:rFonts w:ascii="Georgia" w:hAnsi="Georgia" w:cs="Arial"/>
        </w:rPr>
        <w:t>)</w:t>
      </w:r>
      <w:r w:rsidR="0029032F" w:rsidRPr="00E1090D">
        <w:rPr>
          <w:rFonts w:ascii="Georgia" w:hAnsi="Georgia" w:cs="Arial"/>
        </w:rPr>
        <w:t>.</w:t>
      </w:r>
    </w:p>
    <w:p w14:paraId="33103FE1" w14:textId="2CDAF90F" w:rsidR="00B220D6" w:rsidRPr="00E1090D" w:rsidRDefault="00B220D6" w:rsidP="00E1090D">
      <w:pPr>
        <w:spacing w:line="276" w:lineRule="auto"/>
        <w:jc w:val="both"/>
        <w:rPr>
          <w:rFonts w:ascii="Georgia" w:hAnsi="Georgia" w:cs="Arial"/>
        </w:rPr>
      </w:pPr>
    </w:p>
    <w:p w14:paraId="6791794E" w14:textId="7ABE4C83" w:rsidR="00E732B7" w:rsidRPr="00E1090D" w:rsidRDefault="00E73E78" w:rsidP="00E1090D">
      <w:pPr>
        <w:spacing w:line="276" w:lineRule="auto"/>
        <w:jc w:val="both"/>
        <w:rPr>
          <w:rFonts w:ascii="Georgia" w:hAnsi="Georgia" w:cs="Arial"/>
        </w:rPr>
      </w:pPr>
      <w:r w:rsidRPr="00E1090D">
        <w:rPr>
          <w:rFonts w:ascii="Georgia" w:hAnsi="Georgia" w:cs="Arial"/>
        </w:rPr>
        <w:t xml:space="preserve">Los funcionarios </w:t>
      </w:r>
      <w:r w:rsidR="00E732B7" w:rsidRPr="00E1090D">
        <w:rPr>
          <w:rFonts w:ascii="Georgia" w:hAnsi="Georgia" w:cs="Arial"/>
        </w:rPr>
        <w:t>relat</w:t>
      </w:r>
      <w:r w:rsidRPr="00E1090D">
        <w:rPr>
          <w:rFonts w:ascii="Georgia" w:hAnsi="Georgia" w:cs="Arial"/>
        </w:rPr>
        <w:t>aron</w:t>
      </w:r>
      <w:r w:rsidR="00E732B7" w:rsidRPr="00E1090D">
        <w:rPr>
          <w:rFonts w:ascii="Georgia" w:hAnsi="Georgia" w:cs="Arial"/>
        </w:rPr>
        <w:t xml:space="preserve"> el trámite judicial, </w:t>
      </w:r>
      <w:r w:rsidRPr="00E1090D">
        <w:rPr>
          <w:rFonts w:ascii="Georgia" w:hAnsi="Georgia" w:cs="Arial"/>
        </w:rPr>
        <w:t xml:space="preserve">informaron que el accionante no les hizo peticiones afines con el amparo y que está pendiente la remisión del expediente a la CC para su eventual revisión </w:t>
      </w:r>
      <w:r w:rsidR="00E07E5E" w:rsidRPr="00E1090D">
        <w:rPr>
          <w:rFonts w:ascii="Georgia" w:hAnsi="Georgia" w:cs="Arial"/>
        </w:rPr>
        <w:t>(Ibidem, pdf. No.</w:t>
      </w:r>
      <w:r w:rsidRPr="00E1090D">
        <w:rPr>
          <w:rFonts w:ascii="Georgia" w:hAnsi="Georgia" w:cs="Arial"/>
        </w:rPr>
        <w:t>12, 18 y 20</w:t>
      </w:r>
      <w:r w:rsidR="00E07E5E" w:rsidRPr="00E1090D">
        <w:rPr>
          <w:rFonts w:ascii="Georgia" w:hAnsi="Georgia" w:cs="Arial"/>
        </w:rPr>
        <w:t>). El c</w:t>
      </w:r>
      <w:r w:rsidRPr="00E1090D">
        <w:rPr>
          <w:rFonts w:ascii="Georgia" w:hAnsi="Georgia" w:cs="Arial"/>
        </w:rPr>
        <w:t xml:space="preserve">orregidor solicitó declarar improcedente la tutela en su contra porque no se le imputa amenaza o trasgresión </w:t>
      </w:r>
      <w:r w:rsidR="0084633C" w:rsidRPr="00E1090D">
        <w:rPr>
          <w:rFonts w:ascii="Georgia" w:hAnsi="Georgia" w:cs="Arial"/>
        </w:rPr>
        <w:t xml:space="preserve">alguna </w:t>
      </w:r>
      <w:r w:rsidRPr="00E1090D">
        <w:rPr>
          <w:rFonts w:ascii="Georgia" w:hAnsi="Georgia" w:cs="Arial"/>
        </w:rPr>
        <w:t xml:space="preserve">de los derechos (Ib., pdf. No.16). Y, los señores Holguín A. y Orozco F. pidieron negar las pretensiones </w:t>
      </w:r>
      <w:r w:rsidR="0084633C" w:rsidRPr="00E1090D">
        <w:rPr>
          <w:rFonts w:ascii="Georgia" w:hAnsi="Georgia" w:cs="Arial"/>
        </w:rPr>
        <w:t xml:space="preserve">porque </w:t>
      </w:r>
      <w:r w:rsidR="009D2010" w:rsidRPr="00E1090D">
        <w:rPr>
          <w:rFonts w:ascii="Georgia" w:hAnsi="Georgia" w:cs="Arial"/>
        </w:rPr>
        <w:t xml:space="preserve">presentaron la acción </w:t>
      </w:r>
      <w:r w:rsidR="0084633C" w:rsidRPr="00E1090D">
        <w:rPr>
          <w:rFonts w:ascii="Georgia" w:hAnsi="Georgia" w:cs="Arial"/>
        </w:rPr>
        <w:t xml:space="preserve">exclusivamente frente a la </w:t>
      </w:r>
      <w:r w:rsidR="009D2010" w:rsidRPr="00E1090D">
        <w:rPr>
          <w:rFonts w:ascii="Georgia" w:hAnsi="Georgia" w:cs="Arial"/>
        </w:rPr>
        <w:t xml:space="preserve">Corregiduría </w:t>
      </w:r>
      <w:r w:rsidR="00E07E5E" w:rsidRPr="00E1090D">
        <w:rPr>
          <w:rFonts w:ascii="Georgia" w:hAnsi="Georgia" w:cs="Arial"/>
        </w:rPr>
        <w:t>(Ib., pdf. No.</w:t>
      </w:r>
      <w:r w:rsidR="009D2010" w:rsidRPr="00E1090D">
        <w:rPr>
          <w:rFonts w:ascii="Georgia" w:hAnsi="Georgia" w:cs="Arial"/>
        </w:rPr>
        <w:t>22</w:t>
      </w:r>
      <w:r w:rsidR="00E07E5E" w:rsidRPr="00E1090D">
        <w:rPr>
          <w:rFonts w:ascii="Georgia" w:hAnsi="Georgia" w:cs="Arial"/>
        </w:rPr>
        <w:t>).</w:t>
      </w:r>
    </w:p>
    <w:p w14:paraId="006A2C16" w14:textId="0429F39B" w:rsidR="009D2010" w:rsidRPr="00E1090D" w:rsidRDefault="009D2010" w:rsidP="00E1090D">
      <w:pPr>
        <w:spacing w:line="276" w:lineRule="auto"/>
        <w:jc w:val="both"/>
        <w:rPr>
          <w:rFonts w:ascii="Georgia" w:hAnsi="Georgia" w:cs="Arial"/>
        </w:rPr>
      </w:pPr>
    </w:p>
    <w:p w14:paraId="58733558" w14:textId="1140D11F" w:rsidR="009D2010" w:rsidRPr="00E1090D" w:rsidRDefault="009D2010" w:rsidP="00E1090D">
      <w:pPr>
        <w:spacing w:line="276" w:lineRule="auto"/>
        <w:jc w:val="both"/>
        <w:rPr>
          <w:rFonts w:ascii="Georgia" w:hAnsi="Georgia" w:cs="Arial"/>
        </w:rPr>
      </w:pPr>
      <w:r w:rsidRPr="00E1090D">
        <w:rPr>
          <w:rFonts w:ascii="Georgia" w:hAnsi="Georgia" w:cs="Arial"/>
        </w:rPr>
        <w:t xml:space="preserve">El interesado informó que no presentó </w:t>
      </w:r>
      <w:r w:rsidR="0084633C" w:rsidRPr="00E1090D">
        <w:rPr>
          <w:rFonts w:ascii="Georgia" w:hAnsi="Georgia" w:cs="Arial"/>
        </w:rPr>
        <w:t xml:space="preserve">peticiones </w:t>
      </w:r>
      <w:r w:rsidRPr="00E1090D">
        <w:rPr>
          <w:rFonts w:ascii="Georgia" w:hAnsi="Georgia" w:cs="Arial"/>
        </w:rPr>
        <w:t>ante los despachos judiciales porque desconocía que estaban tramitando la acción constitucional (Ib., pdf No.14).</w:t>
      </w:r>
    </w:p>
    <w:p w14:paraId="49814507" w14:textId="4DE8553F" w:rsidR="006170B3" w:rsidRPr="00E1090D" w:rsidRDefault="006170B3" w:rsidP="00E1090D">
      <w:pPr>
        <w:spacing w:line="276" w:lineRule="auto"/>
        <w:jc w:val="both"/>
        <w:rPr>
          <w:rFonts w:ascii="Georgia" w:hAnsi="Georgia" w:cs="Arial"/>
        </w:rPr>
      </w:pPr>
    </w:p>
    <w:p w14:paraId="50C2DF7D" w14:textId="6CFE2376" w:rsidR="0006400C" w:rsidRDefault="0006400C" w:rsidP="00E1090D">
      <w:pPr>
        <w:pStyle w:val="Prrafodelista"/>
        <w:numPr>
          <w:ilvl w:val="0"/>
          <w:numId w:val="18"/>
        </w:numPr>
        <w:spacing w:line="276" w:lineRule="auto"/>
        <w:jc w:val="both"/>
        <w:rPr>
          <w:rFonts w:ascii="Georgia" w:hAnsi="Georgia"/>
          <w:b/>
          <w:bCs/>
          <w:smallCaps/>
        </w:rPr>
      </w:pPr>
      <w:r w:rsidRPr="00E1090D">
        <w:rPr>
          <w:rFonts w:ascii="Georgia" w:hAnsi="Georgia"/>
          <w:b/>
          <w:bCs/>
          <w:smallCaps/>
        </w:rPr>
        <w:t>La fundamentación jurídica para decidir</w:t>
      </w:r>
    </w:p>
    <w:p w14:paraId="6CA35715" w14:textId="77777777" w:rsidR="001B26D4" w:rsidRPr="00E1090D" w:rsidRDefault="001B26D4" w:rsidP="001B26D4">
      <w:pPr>
        <w:pStyle w:val="Prrafodelista"/>
        <w:spacing w:line="276" w:lineRule="auto"/>
        <w:ind w:left="400"/>
        <w:jc w:val="both"/>
        <w:rPr>
          <w:rFonts w:ascii="Georgia" w:hAnsi="Georgia"/>
          <w:b/>
          <w:bCs/>
          <w:smallCaps/>
        </w:rPr>
      </w:pPr>
    </w:p>
    <w:p w14:paraId="61F773B9" w14:textId="34515139" w:rsidR="002F4D2C" w:rsidRPr="00E1090D" w:rsidRDefault="0006400C" w:rsidP="00E1090D">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E1090D">
        <w:rPr>
          <w:rFonts w:ascii="Georgia" w:hAnsi="Georgia" w:cs="Arial"/>
          <w:smallCaps/>
          <w:szCs w:val="24"/>
        </w:rPr>
        <w:t>La competencia funcional</w:t>
      </w:r>
      <w:r w:rsidR="002F4D2C" w:rsidRPr="00E1090D">
        <w:rPr>
          <w:rFonts w:ascii="Georgia" w:hAnsi="Georgia" w:cs="Arial"/>
          <w:smallCaps/>
          <w:szCs w:val="24"/>
        </w:rPr>
        <w:t>.</w:t>
      </w:r>
      <w:r w:rsidR="002F4D2C" w:rsidRPr="00E1090D">
        <w:rPr>
          <w:rFonts w:ascii="Georgia" w:hAnsi="Georgia"/>
          <w:smallCaps/>
          <w:szCs w:val="24"/>
        </w:rPr>
        <w:t xml:space="preserve"> </w:t>
      </w:r>
      <w:r w:rsidR="002F4D2C" w:rsidRPr="00E1090D">
        <w:rPr>
          <w:rFonts w:ascii="Georgia" w:hAnsi="Georgia" w:cs="Arial"/>
          <w:szCs w:val="24"/>
        </w:rPr>
        <w:t xml:space="preserve">Se tiene en esta Sala, en razón a ser la superiora jerárquica </w:t>
      </w:r>
      <w:r w:rsidR="009D2010" w:rsidRPr="00E1090D">
        <w:rPr>
          <w:rFonts w:ascii="Georgia" w:hAnsi="Georgia" w:cs="Arial"/>
          <w:szCs w:val="24"/>
        </w:rPr>
        <w:t xml:space="preserve">del Juzgado 2º </w:t>
      </w:r>
      <w:r w:rsidR="009D2010" w:rsidRPr="00E1090D">
        <w:rPr>
          <w:rFonts w:ascii="Georgia" w:hAnsi="Georgia" w:cs="Arial"/>
          <w:szCs w:val="24"/>
          <w:lang w:val="es-CO"/>
        </w:rPr>
        <w:t>Penal del Circuito para Adolescentes con función de conocimiento de Pereira</w:t>
      </w:r>
      <w:r w:rsidR="009D2010" w:rsidRPr="00E1090D">
        <w:rPr>
          <w:rFonts w:ascii="Georgia" w:hAnsi="Georgia" w:cs="Arial"/>
          <w:szCs w:val="24"/>
        </w:rPr>
        <w:t xml:space="preserve"> </w:t>
      </w:r>
      <w:r w:rsidR="002F4D2C" w:rsidRPr="00E1090D">
        <w:rPr>
          <w:rFonts w:ascii="Georgia" w:eastAsia="Georgia" w:hAnsi="Georgia" w:cs="Georgia"/>
          <w:szCs w:val="24"/>
        </w:rPr>
        <w:t>(Arts.37, D.2591/1991 y 2.2.3.1.2.1-5º, D.1069/2015, modificado por el 1º, D.333-2021).</w:t>
      </w:r>
    </w:p>
    <w:p w14:paraId="4516AE70" w14:textId="77777777" w:rsidR="004B5243" w:rsidRPr="00E1090D" w:rsidRDefault="004B5243" w:rsidP="00E1090D">
      <w:pPr>
        <w:pStyle w:val="Textoindependiente"/>
        <w:spacing w:line="276" w:lineRule="auto"/>
        <w:ind w:left="720"/>
        <w:rPr>
          <w:rFonts w:ascii="Georgia" w:hAnsi="Georgia" w:cs="Arial"/>
          <w:szCs w:val="24"/>
        </w:rPr>
      </w:pPr>
    </w:p>
    <w:p w14:paraId="0832875B" w14:textId="1A148820" w:rsidR="0006400C" w:rsidRPr="00E1090D" w:rsidRDefault="0006400C" w:rsidP="00E1090D">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E1090D">
        <w:rPr>
          <w:rFonts w:ascii="Georgia" w:hAnsi="Georgia" w:cs="Arial"/>
          <w:smallCaps/>
          <w:szCs w:val="24"/>
        </w:rPr>
        <w:t>El problema jurídico a resolver</w:t>
      </w:r>
      <w:r w:rsidR="002F4D2C" w:rsidRPr="00E1090D">
        <w:rPr>
          <w:rFonts w:ascii="Georgia" w:hAnsi="Georgia" w:cs="Arial"/>
          <w:smallCaps/>
          <w:szCs w:val="24"/>
        </w:rPr>
        <w:t>.</w:t>
      </w:r>
      <w:r w:rsidRPr="00E1090D">
        <w:rPr>
          <w:rFonts w:ascii="Georgia" w:hAnsi="Georgia"/>
          <w:smallCaps/>
          <w:szCs w:val="24"/>
        </w:rPr>
        <w:t xml:space="preserve"> </w:t>
      </w:r>
      <w:r w:rsidRPr="00E1090D">
        <w:rPr>
          <w:rFonts w:ascii="Georgia" w:hAnsi="Georgia" w:cs="Arial"/>
          <w:szCs w:val="24"/>
        </w:rPr>
        <w:t>¿</w:t>
      </w:r>
      <w:r w:rsidR="00B73E1D" w:rsidRPr="00E1090D">
        <w:rPr>
          <w:rFonts w:ascii="Georgia" w:hAnsi="Georgia" w:cs="Arial"/>
          <w:szCs w:val="24"/>
        </w:rPr>
        <w:t>Se</w:t>
      </w:r>
      <w:r w:rsidRPr="00E1090D">
        <w:rPr>
          <w:rFonts w:ascii="Georgia" w:hAnsi="Georgia" w:cs="Arial"/>
          <w:szCs w:val="24"/>
        </w:rPr>
        <w:t xml:space="preserve"> ha</w:t>
      </w:r>
      <w:r w:rsidR="00B73E1D" w:rsidRPr="00E1090D">
        <w:rPr>
          <w:rFonts w:ascii="Georgia" w:hAnsi="Georgia" w:cs="Arial"/>
          <w:szCs w:val="24"/>
        </w:rPr>
        <w:t>n</w:t>
      </w:r>
      <w:r w:rsidRPr="00E1090D">
        <w:rPr>
          <w:rFonts w:ascii="Georgia" w:hAnsi="Georgia" w:cs="Arial"/>
          <w:szCs w:val="24"/>
        </w:rPr>
        <w:t xml:space="preserve"> vulnerado o amenazado los derechos fundamentales </w:t>
      </w:r>
      <w:r w:rsidR="6C10AE98" w:rsidRPr="00E1090D">
        <w:rPr>
          <w:rFonts w:ascii="Georgia" w:hAnsi="Georgia" w:cs="Arial"/>
          <w:szCs w:val="24"/>
        </w:rPr>
        <w:t xml:space="preserve">alegados por </w:t>
      </w:r>
      <w:r w:rsidRPr="00E1090D">
        <w:rPr>
          <w:rFonts w:ascii="Georgia" w:hAnsi="Georgia" w:cs="Arial"/>
          <w:szCs w:val="24"/>
        </w:rPr>
        <w:t xml:space="preserve">el </w:t>
      </w:r>
      <w:r w:rsidR="00AC42E2" w:rsidRPr="00E1090D">
        <w:rPr>
          <w:rFonts w:ascii="Georgia" w:hAnsi="Georgia" w:cs="Arial"/>
          <w:szCs w:val="24"/>
        </w:rPr>
        <w:t>promotor</w:t>
      </w:r>
      <w:r w:rsidR="5971D690" w:rsidRPr="00E1090D">
        <w:rPr>
          <w:rFonts w:ascii="Georgia" w:hAnsi="Georgia" w:cs="Arial"/>
          <w:szCs w:val="24"/>
        </w:rPr>
        <w:t>,</w:t>
      </w:r>
      <w:r w:rsidRPr="00E1090D">
        <w:rPr>
          <w:rFonts w:ascii="Georgia" w:hAnsi="Georgia" w:cs="Arial"/>
          <w:szCs w:val="24"/>
        </w:rPr>
        <w:t xml:space="preserve"> </w:t>
      </w:r>
      <w:r w:rsidR="320A55DD" w:rsidRPr="00E1090D">
        <w:rPr>
          <w:rFonts w:ascii="Georgia" w:hAnsi="Georgia" w:cs="Arial"/>
          <w:szCs w:val="24"/>
        </w:rPr>
        <w:t xml:space="preserve">en </w:t>
      </w:r>
      <w:r w:rsidR="00E07E5E" w:rsidRPr="00E1090D">
        <w:rPr>
          <w:rFonts w:ascii="Georgia" w:hAnsi="Georgia" w:cs="Arial"/>
          <w:szCs w:val="24"/>
        </w:rPr>
        <w:t xml:space="preserve">el proceso </w:t>
      </w:r>
      <w:r w:rsidR="009D2010" w:rsidRPr="00E1090D">
        <w:rPr>
          <w:rFonts w:ascii="Georgia" w:hAnsi="Georgia" w:cs="Arial"/>
          <w:szCs w:val="24"/>
        </w:rPr>
        <w:t>la tutela radicada al No</w:t>
      </w:r>
      <w:r w:rsidR="00E07E5E" w:rsidRPr="00E1090D">
        <w:rPr>
          <w:rFonts w:ascii="Georgia" w:hAnsi="Georgia" w:cs="Arial"/>
          <w:szCs w:val="24"/>
        </w:rPr>
        <w:t>.</w:t>
      </w:r>
      <w:r w:rsidR="009D2010" w:rsidRPr="00E1090D">
        <w:rPr>
          <w:rFonts w:ascii="Georgia" w:hAnsi="Georgia" w:cs="Arial"/>
          <w:szCs w:val="24"/>
        </w:rPr>
        <w:t>2021-00276</w:t>
      </w:r>
      <w:r w:rsidRPr="00E1090D">
        <w:rPr>
          <w:rFonts w:ascii="Georgia" w:hAnsi="Georgia" w:cs="Arial"/>
          <w:szCs w:val="24"/>
        </w:rPr>
        <w:t xml:space="preserve">, según el escrito de tutela? </w:t>
      </w:r>
    </w:p>
    <w:p w14:paraId="4ED7B180" w14:textId="77777777" w:rsidR="00FF100E" w:rsidRPr="00E1090D" w:rsidRDefault="00FF100E" w:rsidP="00E1090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E1090D" w:rsidRDefault="0006400C" w:rsidP="00E1090D">
      <w:pPr>
        <w:pStyle w:val="Prrafodelista"/>
        <w:numPr>
          <w:ilvl w:val="1"/>
          <w:numId w:val="18"/>
        </w:numPr>
        <w:spacing w:line="276" w:lineRule="auto"/>
        <w:rPr>
          <w:rFonts w:ascii="Georgia" w:eastAsia="Georgia" w:hAnsi="Georgia" w:cs="Georgia"/>
        </w:rPr>
      </w:pPr>
      <w:r w:rsidRPr="00E1090D">
        <w:rPr>
          <w:rFonts w:ascii="Georgia" w:hAnsi="Georgia" w:cs="Arial"/>
          <w:smallCaps/>
        </w:rPr>
        <w:t>Los presupuestos generales de procedencia</w:t>
      </w:r>
    </w:p>
    <w:p w14:paraId="41152495" w14:textId="41A1B066" w:rsidR="0006400C" w:rsidRPr="00E1090D" w:rsidRDefault="0006400C" w:rsidP="00E1090D">
      <w:pPr>
        <w:spacing w:line="276" w:lineRule="auto"/>
        <w:rPr>
          <w:rFonts w:ascii="Georgia" w:hAnsi="Georgia"/>
          <w:smallCaps/>
        </w:rPr>
      </w:pPr>
    </w:p>
    <w:p w14:paraId="7825D3DE" w14:textId="2B7E24C5" w:rsidR="009D2010" w:rsidRPr="00E1090D" w:rsidRDefault="00327EFE" w:rsidP="00E1090D">
      <w:pPr>
        <w:pStyle w:val="Textoindependiente"/>
        <w:tabs>
          <w:tab w:val="clear" w:pos="708"/>
          <w:tab w:val="clear" w:pos="1416"/>
          <w:tab w:val="left" w:pos="709"/>
        </w:tabs>
        <w:spacing w:line="276" w:lineRule="auto"/>
        <w:rPr>
          <w:rFonts w:ascii="Georgia" w:hAnsi="Georgia" w:cs="Arial"/>
          <w:szCs w:val="24"/>
        </w:rPr>
      </w:pPr>
      <w:r w:rsidRPr="00E1090D">
        <w:rPr>
          <w:rFonts w:ascii="Georgia" w:hAnsi="Georgia"/>
          <w:smallCaps/>
          <w:szCs w:val="24"/>
        </w:rPr>
        <w:lastRenderedPageBreak/>
        <w:t xml:space="preserve">5.3.1. </w:t>
      </w:r>
      <w:r w:rsidR="0006400C" w:rsidRPr="00E1090D">
        <w:rPr>
          <w:rFonts w:ascii="Georgia" w:hAnsi="Georgia"/>
          <w:smallCaps/>
          <w:szCs w:val="24"/>
        </w:rPr>
        <w:t>La legitimación en la causa</w:t>
      </w:r>
      <w:r w:rsidR="002F4D2C" w:rsidRPr="00E1090D">
        <w:rPr>
          <w:rFonts w:ascii="Georgia" w:hAnsi="Georgia"/>
          <w:smallCaps/>
          <w:szCs w:val="24"/>
        </w:rPr>
        <w:t>.</w:t>
      </w:r>
      <w:r w:rsidR="0006400C" w:rsidRPr="00E1090D">
        <w:rPr>
          <w:rFonts w:ascii="Georgia" w:hAnsi="Georgia"/>
          <w:smallCaps/>
          <w:szCs w:val="24"/>
        </w:rPr>
        <w:t xml:space="preserve"> </w:t>
      </w:r>
      <w:r w:rsidR="009D2010" w:rsidRPr="00E1090D">
        <w:rPr>
          <w:rFonts w:ascii="Georgia" w:hAnsi="Georgia" w:cs="Arial"/>
          <w:szCs w:val="24"/>
          <w:lang w:val="es-CO"/>
        </w:rPr>
        <w:t>Sobre este presupuesto,</w:t>
      </w:r>
      <w:r w:rsidR="009D2010" w:rsidRPr="00E1090D">
        <w:rPr>
          <w:rFonts w:ascii="Georgia" w:hAnsi="Georgia"/>
          <w:szCs w:val="24"/>
        </w:rPr>
        <w:t xml:space="preserve"> </w:t>
      </w:r>
      <w:r w:rsidR="009D2010" w:rsidRPr="00E1090D">
        <w:rPr>
          <w:rFonts w:ascii="Georgia" w:hAnsi="Georgia" w:cs="Arial"/>
          <w:szCs w:val="24"/>
        </w:rPr>
        <w:t>la autorizada doctrina de la CC, constitutiva de precedente vertical, expresa, respecto a la legitimación por activa, que</w:t>
      </w:r>
      <w:r w:rsidR="009D2010" w:rsidRPr="00E1090D">
        <w:rPr>
          <w:rStyle w:val="Refdenotaalpie"/>
          <w:rFonts w:ascii="Georgia" w:hAnsi="Georgia"/>
          <w:szCs w:val="24"/>
        </w:rPr>
        <w:footnoteReference w:id="1"/>
      </w:r>
      <w:r w:rsidR="009D2010" w:rsidRPr="00E1090D">
        <w:rPr>
          <w:rFonts w:ascii="Georgia" w:hAnsi="Georgia" w:cs="Arial"/>
          <w:szCs w:val="24"/>
        </w:rPr>
        <w:t>: “</w:t>
      </w:r>
      <w:r w:rsidR="009D2010" w:rsidRPr="00851EB1">
        <w:rPr>
          <w:rFonts w:ascii="Georgia" w:hAnsi="Georgia" w:cs="Arial"/>
          <w:i/>
          <w:iCs/>
          <w:sz w:val="22"/>
          <w:szCs w:val="24"/>
        </w:rPr>
        <w:t>(…)</w:t>
      </w:r>
      <w:r w:rsidR="009D2010" w:rsidRPr="00851EB1">
        <w:rPr>
          <w:rFonts w:ascii="Georgia" w:hAnsi="Georgia" w:cs="Arial"/>
          <w:sz w:val="22"/>
          <w:szCs w:val="24"/>
        </w:rPr>
        <w:t xml:space="preserve"> </w:t>
      </w:r>
      <w:r w:rsidR="009D2010" w:rsidRPr="00851EB1">
        <w:rPr>
          <w:rFonts w:ascii="Georgia" w:hAnsi="Georgia"/>
          <w:i/>
          <w:iCs/>
          <w:sz w:val="22"/>
          <w:szCs w:val="24"/>
        </w:rPr>
        <w:t xml:space="preserve">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w:t>
      </w:r>
      <w:r w:rsidR="009D2010" w:rsidRPr="00851EB1">
        <w:rPr>
          <w:rFonts w:ascii="Georgia" w:hAnsi="Georgia"/>
          <w:b/>
          <w:bCs/>
          <w:i/>
          <w:iCs/>
          <w:sz w:val="22"/>
          <w:szCs w:val="24"/>
        </w:rPr>
        <w:t>sus derechos fundamentales</w:t>
      </w:r>
      <w:r w:rsidR="009D2010" w:rsidRPr="00851EB1">
        <w:rPr>
          <w:rFonts w:ascii="Georgia" w:hAnsi="Georgia"/>
          <w:i/>
          <w:iCs/>
          <w:sz w:val="22"/>
          <w:szCs w:val="24"/>
        </w:rPr>
        <w:t xml:space="preserve">. (…) </w:t>
      </w:r>
      <w:r w:rsidR="009D2010" w:rsidRPr="00851EB1">
        <w:rPr>
          <w:rFonts w:ascii="Georgia" w:hAnsi="Georgia"/>
          <w:b/>
          <w:bCs/>
          <w:i/>
          <w:iCs/>
          <w:sz w:val="22"/>
          <w:szCs w:val="24"/>
        </w:rPr>
        <w:t>exige que el derecho cuya protección se invoca sea un derecho fundamental propio y no, en principio, de otra persona</w:t>
      </w:r>
      <w:r w:rsidR="009D2010" w:rsidRPr="00851EB1">
        <w:rPr>
          <w:rStyle w:val="Refdenotaalpie"/>
          <w:rFonts w:ascii="Georgia" w:hAnsi="Georgia"/>
          <w:i/>
          <w:iCs/>
          <w:sz w:val="22"/>
          <w:szCs w:val="24"/>
        </w:rPr>
        <w:footnoteReference w:id="2"/>
      </w:r>
      <w:r w:rsidR="009D2010" w:rsidRPr="00851EB1">
        <w:rPr>
          <w:rFonts w:ascii="Georgia" w:hAnsi="Georgia"/>
          <w:i/>
          <w:iCs/>
          <w:sz w:val="22"/>
          <w:szCs w:val="24"/>
        </w:rPr>
        <w:t xml:space="preserve"> (…)</w:t>
      </w:r>
      <w:r w:rsidR="009D2010" w:rsidRPr="00E1090D">
        <w:rPr>
          <w:rFonts w:ascii="Georgia" w:hAnsi="Georgia"/>
          <w:i/>
          <w:iCs/>
          <w:szCs w:val="24"/>
        </w:rPr>
        <w:t xml:space="preserve">” </w:t>
      </w:r>
      <w:r w:rsidR="009D2010" w:rsidRPr="00E1090D">
        <w:rPr>
          <w:rFonts w:ascii="Georgia" w:hAnsi="Georgia"/>
          <w:szCs w:val="24"/>
        </w:rPr>
        <w:t xml:space="preserve">(Negrilla a propósito). </w:t>
      </w:r>
      <w:r w:rsidR="009D2010" w:rsidRPr="00E1090D">
        <w:rPr>
          <w:rFonts w:ascii="Georgia" w:hAnsi="Georgia" w:cs="Arial"/>
          <w:szCs w:val="24"/>
        </w:rPr>
        <w:t>Esta doctrina la comparte la CSJ (2019)</w:t>
      </w:r>
      <w:r w:rsidR="009D2010" w:rsidRPr="00E1090D">
        <w:rPr>
          <w:rStyle w:val="Refdenotaalpie"/>
          <w:rFonts w:ascii="Georgia" w:hAnsi="Georgia"/>
          <w:szCs w:val="24"/>
        </w:rPr>
        <w:footnoteReference w:id="3"/>
      </w:r>
      <w:r w:rsidR="009D2010" w:rsidRPr="00E1090D">
        <w:rPr>
          <w:rFonts w:ascii="Georgia" w:hAnsi="Georgia" w:cs="Arial"/>
          <w:szCs w:val="24"/>
        </w:rPr>
        <w:t xml:space="preserve">. </w:t>
      </w:r>
    </w:p>
    <w:p w14:paraId="5E3DDE4A" w14:textId="77777777" w:rsidR="009D2010" w:rsidRPr="00E1090D" w:rsidRDefault="009D2010" w:rsidP="00E1090D">
      <w:pPr>
        <w:pStyle w:val="Textoindependiente"/>
        <w:spacing w:line="276" w:lineRule="auto"/>
        <w:ind w:left="720"/>
        <w:rPr>
          <w:rFonts w:ascii="Georgia" w:hAnsi="Georgia" w:cs="Arial"/>
          <w:szCs w:val="24"/>
        </w:rPr>
      </w:pPr>
    </w:p>
    <w:p w14:paraId="0685936E" w14:textId="77777777" w:rsidR="009D2010" w:rsidRPr="00E1090D" w:rsidRDefault="009D2010" w:rsidP="00E1090D">
      <w:pPr>
        <w:pStyle w:val="Textoindependiente"/>
        <w:spacing w:line="276" w:lineRule="auto"/>
        <w:rPr>
          <w:rFonts w:ascii="Georgia" w:hAnsi="Georgia" w:cs="Arial"/>
          <w:szCs w:val="24"/>
          <w:lang w:val="es-ES"/>
        </w:rPr>
      </w:pPr>
      <w:r w:rsidRPr="00E1090D">
        <w:rPr>
          <w:rFonts w:ascii="Georgia" w:hAnsi="Georgia" w:cs="Arial"/>
          <w:szCs w:val="24"/>
          <w:lang w:val="es-CO"/>
        </w:rPr>
        <w:t>Asimismo, en lo que respecta a la legitimación para representar instituyó las siguientes subreglas jurisprudenciales</w:t>
      </w:r>
      <w:r w:rsidRPr="00E1090D">
        <w:rPr>
          <w:rFonts w:ascii="Georgia" w:hAnsi="Georgia" w:cs="Arial"/>
          <w:szCs w:val="24"/>
          <w:vertAlign w:val="superscript"/>
          <w:lang w:val="es-CO"/>
        </w:rPr>
        <w:footnoteReference w:id="4"/>
      </w:r>
      <w:r w:rsidRPr="00E1090D">
        <w:rPr>
          <w:rFonts w:ascii="Georgia" w:hAnsi="Georgia" w:cs="Arial"/>
          <w:szCs w:val="24"/>
          <w:lang w:val="es-CO"/>
        </w:rPr>
        <w:t xml:space="preserve">: </w:t>
      </w:r>
      <w:r w:rsidRPr="00E1090D">
        <w:rPr>
          <w:rFonts w:ascii="Georgia" w:hAnsi="Georgia" w:cs="Arial"/>
          <w:i/>
          <w:iCs/>
          <w:szCs w:val="24"/>
          <w:lang w:val="es-CO"/>
        </w:rPr>
        <w:t>“</w:t>
      </w:r>
      <w:r w:rsidRPr="00851EB1">
        <w:rPr>
          <w:rFonts w:ascii="Georgia" w:hAnsi="Georgia" w:cs="Arial"/>
          <w:i/>
          <w:iCs/>
          <w:sz w:val="22"/>
          <w:szCs w:val="24"/>
          <w:lang w:val="es-CO"/>
        </w:rPr>
        <w:t xml:space="preserve">(…) </w:t>
      </w:r>
      <w:r w:rsidRPr="00851EB1">
        <w:rPr>
          <w:rFonts w:ascii="Georgia" w:hAnsi="Georgia" w:cs="Arial"/>
          <w:i/>
          <w:iCs/>
          <w:sz w:val="22"/>
          <w:szCs w:val="24"/>
          <w:lang w:val="es-ES"/>
        </w:rPr>
        <w:t>(i)  l</w:t>
      </w:r>
      <w:r w:rsidRPr="00851EB1">
        <w:rPr>
          <w:rFonts w:ascii="Georgia" w:hAnsi="Georgia" w:cs="Arial"/>
          <w:i/>
          <w:iCs/>
          <w:sz w:val="22"/>
          <w:szCs w:val="24"/>
          <w:lang w:val="es-CO"/>
        </w:rPr>
        <w:t>a tutela es un medio de defensa de derechos fundamentales, que toda persona puede instaurar </w:t>
      </w:r>
      <w:r w:rsidRPr="00851EB1">
        <w:rPr>
          <w:rFonts w:ascii="Georgia" w:hAnsi="Georgia" w:cs="Arial"/>
          <w:i/>
          <w:iCs/>
          <w:sz w:val="22"/>
          <w:szCs w:val="24"/>
          <w:u w:val="single"/>
          <w:lang w:val="es-CO"/>
        </w:rPr>
        <w:t>“</w:t>
      </w:r>
      <w:r w:rsidRPr="00851EB1">
        <w:rPr>
          <w:rFonts w:ascii="Georgia" w:hAnsi="Georgia" w:cs="Arial"/>
          <w:i/>
          <w:iCs/>
          <w:sz w:val="22"/>
          <w:szCs w:val="24"/>
          <w:u w:val="single"/>
          <w:lang w:val="es-ES"/>
        </w:rPr>
        <w:t xml:space="preserve">por si misma o </w:t>
      </w:r>
      <w:r w:rsidRPr="00851EB1">
        <w:rPr>
          <w:rFonts w:ascii="Georgia" w:hAnsi="Georgia" w:cs="Arial"/>
          <w:b/>
          <w:bCs/>
          <w:i/>
          <w:iCs/>
          <w:sz w:val="22"/>
          <w:szCs w:val="24"/>
          <w:u w:val="single"/>
          <w:lang w:val="es-ES"/>
        </w:rPr>
        <w:t>por quien actúe a su nombre</w:t>
      </w:r>
      <w:r w:rsidRPr="00851EB1">
        <w:rPr>
          <w:rFonts w:ascii="Georgia" w:hAnsi="Georgia" w:cs="Arial"/>
          <w:i/>
          <w:iCs/>
          <w:sz w:val="22"/>
          <w:szCs w:val="24"/>
          <w:u w:val="single"/>
          <w:lang w:val="es-ES"/>
        </w:rPr>
        <w:t>”</w:t>
      </w:r>
      <w:r w:rsidRPr="00851EB1">
        <w:rPr>
          <w:rFonts w:ascii="Georgia" w:hAnsi="Georgia" w:cs="Arial"/>
          <w:i/>
          <w:iCs/>
          <w:sz w:val="22"/>
          <w:szCs w:val="24"/>
          <w:lang w:val="es-ES"/>
        </w:rPr>
        <w:t xml:space="preserve">; (ii) no es necesario, que el titular de los derechos interponga directamente el amparo, pues </w:t>
      </w:r>
      <w:r w:rsidRPr="00851EB1">
        <w:rPr>
          <w:rFonts w:ascii="Georgia" w:hAnsi="Georgia" w:cs="Arial"/>
          <w:i/>
          <w:iCs/>
          <w:sz w:val="22"/>
          <w:szCs w:val="24"/>
          <w:u w:val="single"/>
          <w:lang w:val="es-ES"/>
        </w:rPr>
        <w:t>un tercero puede hacerlo a su nombre</w:t>
      </w:r>
      <w:r w:rsidRPr="00851EB1">
        <w:rPr>
          <w:rFonts w:ascii="Georgia" w:hAnsi="Georgia" w:cs="Arial"/>
          <w:i/>
          <w:iCs/>
          <w:sz w:val="22"/>
          <w:szCs w:val="24"/>
          <w:lang w:val="es-ES"/>
        </w:rPr>
        <w:t xml:space="preserve">; y </w:t>
      </w:r>
      <w:r w:rsidRPr="00851EB1">
        <w:rPr>
          <w:rFonts w:ascii="Georgia" w:hAnsi="Georgia" w:cs="Arial"/>
          <w:i/>
          <w:iCs/>
          <w:sz w:val="22"/>
          <w:szCs w:val="24"/>
          <w:u w:val="single"/>
          <w:lang w:val="es-ES"/>
        </w:rPr>
        <w:t>(iii) ese tercero debe, sin embargo, tener una de las siguientes calidades</w:t>
      </w:r>
      <w:r w:rsidRPr="00851EB1">
        <w:rPr>
          <w:rFonts w:ascii="Georgia" w:hAnsi="Georgia" w:cs="Arial"/>
          <w:i/>
          <w:iCs/>
          <w:sz w:val="22"/>
          <w:szCs w:val="24"/>
          <w:lang w:val="es-ES"/>
        </w:rPr>
        <w:t>: a) representante del titular de los derechos, b) agente oficioso, o c) Defensor del Pueblo o Personero Municipal (…)</w:t>
      </w:r>
      <w:r w:rsidRPr="00E1090D">
        <w:rPr>
          <w:rFonts w:ascii="Georgia" w:hAnsi="Georgia" w:cs="Arial"/>
          <w:i/>
          <w:iCs/>
          <w:szCs w:val="24"/>
          <w:lang w:val="es-ES"/>
        </w:rPr>
        <w:t>”</w:t>
      </w:r>
      <w:r w:rsidRPr="00E1090D">
        <w:rPr>
          <w:rFonts w:ascii="Georgia" w:hAnsi="Georgia" w:cs="Arial"/>
          <w:szCs w:val="24"/>
          <w:lang w:val="es-ES"/>
        </w:rPr>
        <w:t xml:space="preserve">. (Sublínea y negrilla de la Sala). </w:t>
      </w:r>
    </w:p>
    <w:p w14:paraId="4D758E92" w14:textId="77777777" w:rsidR="009D2010" w:rsidRPr="00E1090D" w:rsidRDefault="009D2010" w:rsidP="00E1090D">
      <w:pPr>
        <w:pStyle w:val="Textoindependiente"/>
        <w:spacing w:line="276" w:lineRule="auto"/>
        <w:rPr>
          <w:rFonts w:ascii="Georgia" w:hAnsi="Georgia" w:cs="Arial"/>
          <w:szCs w:val="24"/>
          <w:lang w:val="es-ES"/>
        </w:rPr>
      </w:pPr>
    </w:p>
    <w:p w14:paraId="31EB45F1" w14:textId="77777777" w:rsidR="009D2010" w:rsidRPr="00E1090D" w:rsidRDefault="009D2010" w:rsidP="00E1090D">
      <w:pPr>
        <w:pStyle w:val="Textoindependiente"/>
        <w:spacing w:line="276" w:lineRule="auto"/>
        <w:rPr>
          <w:rFonts w:ascii="Georgia" w:hAnsi="Georgia" w:cs="Arial"/>
          <w:szCs w:val="24"/>
          <w:lang w:val="es-ES"/>
        </w:rPr>
      </w:pPr>
      <w:r w:rsidRPr="00E1090D">
        <w:rPr>
          <w:rFonts w:ascii="Georgia" w:hAnsi="Georgia" w:cs="Arial"/>
          <w:szCs w:val="24"/>
          <w:lang w:val="es-ES"/>
        </w:rPr>
        <w:t xml:space="preserve">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 </w:t>
      </w:r>
    </w:p>
    <w:p w14:paraId="29E6EC4B" w14:textId="77777777" w:rsidR="009D2010" w:rsidRPr="00E1090D" w:rsidRDefault="009D2010" w:rsidP="00E1090D">
      <w:pPr>
        <w:pStyle w:val="Textoindependiente"/>
        <w:spacing w:line="276" w:lineRule="auto"/>
        <w:rPr>
          <w:rFonts w:ascii="Georgia" w:hAnsi="Georgia" w:cs="Arial"/>
          <w:szCs w:val="24"/>
          <w:lang w:val="es-ES"/>
        </w:rPr>
      </w:pPr>
    </w:p>
    <w:p w14:paraId="53CC8CB4" w14:textId="77777777" w:rsidR="00D91830" w:rsidRPr="00D173AD" w:rsidRDefault="009D2010" w:rsidP="00E1090D">
      <w:pPr>
        <w:pStyle w:val="Textoindependiente"/>
        <w:spacing w:line="276" w:lineRule="auto"/>
        <w:rPr>
          <w:rFonts w:ascii="Georgia" w:hAnsi="Georgia" w:cs="Arial"/>
          <w:i/>
          <w:iCs/>
          <w:spacing w:val="0"/>
          <w:szCs w:val="24"/>
          <w:lang w:val="es-ES"/>
        </w:rPr>
      </w:pPr>
      <w:r w:rsidRPr="00D173AD">
        <w:rPr>
          <w:rFonts w:ascii="Georgia" w:hAnsi="Georgia" w:cs="Arial"/>
          <w:spacing w:val="0"/>
          <w:szCs w:val="24"/>
        </w:rPr>
        <w:t>De otro lado, en lo atinente a la tutela contra actuaciones judiciales la CSJ (2018)</w:t>
      </w:r>
      <w:r w:rsidRPr="00D173AD">
        <w:rPr>
          <w:rStyle w:val="Refdenotaalpie"/>
          <w:rFonts w:ascii="Georgia" w:hAnsi="Georgia"/>
          <w:spacing w:val="0"/>
          <w:szCs w:val="24"/>
        </w:rPr>
        <w:footnoteReference w:id="5"/>
      </w:r>
      <w:r w:rsidRPr="00D173AD">
        <w:rPr>
          <w:rFonts w:ascii="Georgia" w:hAnsi="Georgia" w:cs="Arial"/>
          <w:spacing w:val="0"/>
          <w:szCs w:val="24"/>
        </w:rPr>
        <w:t xml:space="preserve"> destaca que: “</w:t>
      </w:r>
      <w:r w:rsidRPr="00D173AD">
        <w:rPr>
          <w:rFonts w:ascii="Georgia" w:hAnsi="Georgia" w:cs="Arial"/>
          <w:i/>
          <w:iCs/>
          <w:spacing w:val="0"/>
          <w:sz w:val="22"/>
          <w:szCs w:val="24"/>
        </w:rPr>
        <w:t xml:space="preserve">(…) </w:t>
      </w:r>
      <w:r w:rsidRPr="00D173AD">
        <w:rPr>
          <w:rFonts w:ascii="Georgia" w:hAnsi="Georgia" w:cs="Arial"/>
          <w:i/>
          <w:iCs/>
          <w:spacing w:val="0"/>
          <w:sz w:val="22"/>
          <w:szCs w:val="24"/>
          <w:lang w:val="es-CO"/>
        </w:rPr>
        <w:t>E]n el promotor del amparo debe existir un interés que legitime su intervención, el cual, tratándose de violaciones derivadas de actuaciones judiciales, radica en cabeza de quienes conforman alguno de los extremos de la litis o fueron tenidos o reconocidos como intervinientes</w:t>
      </w:r>
      <w:r w:rsidRPr="00D173AD">
        <w:rPr>
          <w:rFonts w:ascii="Georgia" w:hAnsi="Georgia" w:cs="Arial"/>
          <w:i/>
          <w:iCs/>
          <w:spacing w:val="0"/>
          <w:szCs w:val="24"/>
          <w:lang w:val="es-ES"/>
        </w:rPr>
        <w:t xml:space="preserve">”. </w:t>
      </w:r>
    </w:p>
    <w:p w14:paraId="279B3C2A" w14:textId="77777777" w:rsidR="00D91830" w:rsidRPr="00E1090D" w:rsidRDefault="00D91830" w:rsidP="00E1090D">
      <w:pPr>
        <w:pStyle w:val="Textoindependiente"/>
        <w:spacing w:line="276" w:lineRule="auto"/>
        <w:rPr>
          <w:rFonts w:ascii="Georgia" w:hAnsi="Georgia" w:cs="Arial"/>
          <w:szCs w:val="24"/>
          <w:lang w:val="es-ES"/>
        </w:rPr>
      </w:pPr>
    </w:p>
    <w:p w14:paraId="1B03C680" w14:textId="710BB95D" w:rsidR="009D2010" w:rsidRPr="00E1090D" w:rsidRDefault="009D2010" w:rsidP="00E1090D">
      <w:pPr>
        <w:pStyle w:val="Textoindependiente"/>
        <w:spacing w:line="276" w:lineRule="auto"/>
        <w:rPr>
          <w:rFonts w:ascii="Georgia" w:hAnsi="Georgia" w:cs="Arial"/>
          <w:szCs w:val="24"/>
          <w:lang w:val="es-ES"/>
        </w:rPr>
      </w:pPr>
      <w:r w:rsidRPr="00E1090D">
        <w:rPr>
          <w:rFonts w:ascii="Georgia" w:hAnsi="Georgia" w:cs="Arial"/>
          <w:szCs w:val="24"/>
          <w:lang w:val="es-ES"/>
        </w:rPr>
        <w:t>Tesis reiterada y consistente, según reciente decisión (</w:t>
      </w:r>
      <w:r w:rsidR="00D91830" w:rsidRPr="00E1090D">
        <w:rPr>
          <w:rFonts w:ascii="Georgia" w:hAnsi="Georgia" w:cs="Arial"/>
          <w:szCs w:val="24"/>
          <w:lang w:val="es-ES"/>
        </w:rPr>
        <w:t>2022</w:t>
      </w:r>
      <w:r w:rsidRPr="00E1090D">
        <w:rPr>
          <w:rFonts w:ascii="Georgia" w:hAnsi="Georgia" w:cs="Arial"/>
          <w:szCs w:val="24"/>
          <w:lang w:val="es-ES"/>
        </w:rPr>
        <w:t>)</w:t>
      </w:r>
      <w:r w:rsidRPr="00E1090D">
        <w:rPr>
          <w:rStyle w:val="Refdenotaalpie"/>
          <w:rFonts w:ascii="Georgia" w:hAnsi="Georgia"/>
          <w:szCs w:val="24"/>
        </w:rPr>
        <w:footnoteReference w:id="6"/>
      </w:r>
      <w:r w:rsidRPr="00E1090D">
        <w:rPr>
          <w:rFonts w:ascii="Georgia" w:hAnsi="Georgia" w:cs="Arial"/>
          <w:szCs w:val="24"/>
          <w:lang w:val="es-ES"/>
        </w:rPr>
        <w:t xml:space="preserve">: </w:t>
      </w:r>
      <w:r w:rsidRPr="00E1090D">
        <w:rPr>
          <w:rFonts w:ascii="Georgia" w:hAnsi="Georgia" w:cs="Arial"/>
          <w:i/>
          <w:iCs/>
          <w:szCs w:val="24"/>
          <w:lang w:val="es-ES"/>
        </w:rPr>
        <w:t>“</w:t>
      </w:r>
      <w:r w:rsidRPr="00851EB1">
        <w:rPr>
          <w:rFonts w:ascii="Georgia" w:hAnsi="Georgia" w:cs="Arial"/>
          <w:i/>
          <w:iCs/>
          <w:sz w:val="22"/>
          <w:szCs w:val="24"/>
          <w:lang w:val="es-ES"/>
        </w:rPr>
        <w:t xml:space="preserve">(…) </w:t>
      </w:r>
      <w:r w:rsidR="00D91830" w:rsidRPr="00851EB1">
        <w:rPr>
          <w:rFonts w:ascii="Georgia" w:hAnsi="Georgia" w:cs="Arial"/>
          <w:bCs/>
          <w:i/>
          <w:sz w:val="22"/>
          <w:szCs w:val="24"/>
        </w:rPr>
        <w:t xml:space="preserve">cualquier actuación, sin importar el sentido y el alcance de la misma, derivada de aquel trámite procesal, </w:t>
      </w:r>
      <w:r w:rsidR="00D91830" w:rsidRPr="00851EB1">
        <w:rPr>
          <w:rFonts w:ascii="Georgia" w:hAnsi="Georgia" w:cs="Arial"/>
          <w:b/>
          <w:bCs/>
          <w:i/>
          <w:sz w:val="22"/>
          <w:szCs w:val="24"/>
        </w:rPr>
        <w:t>cuando se someta a examen en el escenario de la tutela</w:t>
      </w:r>
      <w:r w:rsidR="00D91830" w:rsidRPr="00851EB1">
        <w:rPr>
          <w:rFonts w:ascii="Georgia" w:hAnsi="Georgia" w:cs="Arial"/>
          <w:bCs/>
          <w:i/>
          <w:sz w:val="22"/>
          <w:szCs w:val="24"/>
        </w:rPr>
        <w:t xml:space="preserve"> por considerar que se vulneró algún derecho fundamental, </w:t>
      </w:r>
      <w:r w:rsidR="00D91830" w:rsidRPr="00851EB1">
        <w:rPr>
          <w:rFonts w:ascii="Georgia" w:hAnsi="Georgia" w:cs="Arial"/>
          <w:b/>
          <w:bCs/>
          <w:i/>
          <w:sz w:val="22"/>
          <w:szCs w:val="24"/>
        </w:rPr>
        <w:t>debe ser impetrada por quienes allí participaron como partes</w:t>
      </w:r>
      <w:r w:rsidR="00D91830" w:rsidRPr="00851EB1">
        <w:rPr>
          <w:rFonts w:ascii="Georgia" w:hAnsi="Georgia" w:cs="Arial"/>
          <w:bCs/>
          <w:i/>
          <w:sz w:val="22"/>
          <w:szCs w:val="24"/>
        </w:rPr>
        <w:t xml:space="preserve">; contrario sensu, </w:t>
      </w:r>
      <w:r w:rsidR="00D91830" w:rsidRPr="00851EB1">
        <w:rPr>
          <w:rFonts w:ascii="Georgia" w:hAnsi="Georgia" w:cs="Arial"/>
          <w:b/>
          <w:bCs/>
          <w:i/>
          <w:sz w:val="22"/>
          <w:szCs w:val="24"/>
        </w:rPr>
        <w:t>carece de atribución para adelantar por este medio la defensa de los derechos esenciales de cara a determinada actuación judicial, quien allí no tuvo la calidad de sujeto procesal</w:t>
      </w:r>
      <w:r w:rsidR="00D91830" w:rsidRPr="00851EB1">
        <w:rPr>
          <w:rFonts w:ascii="Georgia" w:hAnsi="Georgia" w:cs="Arial"/>
          <w:bCs/>
          <w:sz w:val="22"/>
          <w:szCs w:val="24"/>
        </w:rPr>
        <w:t xml:space="preserve"> </w:t>
      </w:r>
      <w:r w:rsidRPr="00851EB1">
        <w:rPr>
          <w:rFonts w:ascii="Georgia" w:hAnsi="Georgia" w:cs="Arial"/>
          <w:i/>
          <w:iCs/>
          <w:sz w:val="22"/>
          <w:szCs w:val="24"/>
          <w:lang w:val="es-ES"/>
        </w:rPr>
        <w:t>(…)</w:t>
      </w:r>
      <w:r w:rsidRPr="00E1090D">
        <w:rPr>
          <w:rFonts w:ascii="Georgia" w:hAnsi="Georgia" w:cs="Arial"/>
          <w:i/>
          <w:iCs/>
          <w:szCs w:val="24"/>
          <w:lang w:val="es-ES"/>
        </w:rPr>
        <w:t>”</w:t>
      </w:r>
      <w:r w:rsidR="00D91830" w:rsidRPr="00E1090D">
        <w:rPr>
          <w:rFonts w:ascii="Georgia" w:hAnsi="Georgia" w:cs="Arial"/>
          <w:szCs w:val="24"/>
          <w:lang w:val="es-ES"/>
        </w:rPr>
        <w:t xml:space="preserve"> (Negrilla original).</w:t>
      </w:r>
    </w:p>
    <w:p w14:paraId="7AE2DA63" w14:textId="77777777" w:rsidR="009D2010" w:rsidRPr="00E1090D" w:rsidRDefault="009D2010" w:rsidP="00E1090D">
      <w:pPr>
        <w:pStyle w:val="Textoindependiente"/>
        <w:spacing w:line="276" w:lineRule="auto"/>
        <w:ind w:left="720"/>
        <w:rPr>
          <w:rFonts w:ascii="Georgia" w:hAnsi="Georgia" w:cs="Arial"/>
          <w:szCs w:val="24"/>
          <w:lang w:val="es-ES"/>
        </w:rPr>
      </w:pPr>
    </w:p>
    <w:p w14:paraId="6BE10983" w14:textId="328D7C2C" w:rsidR="009D2010" w:rsidRPr="00E1090D" w:rsidRDefault="009D2010" w:rsidP="00E1090D">
      <w:pPr>
        <w:pStyle w:val="Textoindependiente"/>
        <w:tabs>
          <w:tab w:val="clear" w:pos="708"/>
          <w:tab w:val="left" w:pos="993"/>
        </w:tabs>
        <w:suppressAutoHyphens w:val="0"/>
        <w:overflowPunct/>
        <w:autoSpaceDE/>
        <w:adjustRightInd/>
        <w:spacing w:line="276" w:lineRule="auto"/>
        <w:rPr>
          <w:rFonts w:ascii="Georgia" w:hAnsi="Georgia" w:cs="Verdana"/>
          <w:spacing w:val="0"/>
          <w:szCs w:val="24"/>
          <w:lang w:val="es-ES"/>
        </w:rPr>
      </w:pPr>
      <w:r w:rsidRPr="00E1090D">
        <w:rPr>
          <w:rFonts w:ascii="Georgia" w:hAnsi="Georgia" w:cs="Verdana"/>
          <w:spacing w:val="0"/>
          <w:szCs w:val="24"/>
          <w:lang w:val="es-ES"/>
        </w:rPr>
        <w:t xml:space="preserve">Así las cosas, las decisiones judiciales </w:t>
      </w:r>
      <w:r w:rsidRPr="00E1090D">
        <w:rPr>
          <w:rFonts w:ascii="Georgia" w:hAnsi="Georgia" w:cs="Verdana"/>
          <w:i/>
          <w:iCs/>
          <w:spacing w:val="0"/>
          <w:szCs w:val="24"/>
          <w:lang w:val="es-ES"/>
        </w:rPr>
        <w:t>solo pueden ser atacadas por quienes intervinieron en el proceso</w:t>
      </w:r>
      <w:r w:rsidRPr="00E1090D">
        <w:rPr>
          <w:rFonts w:ascii="Georgia" w:hAnsi="Georgia" w:cs="Verdana"/>
          <w:spacing w:val="0"/>
          <w:szCs w:val="24"/>
          <w:lang w:val="es-ES"/>
        </w:rPr>
        <w:t>, es decir, las partes</w:t>
      </w:r>
      <w:r w:rsidR="00D91830" w:rsidRPr="00E1090D">
        <w:rPr>
          <w:rFonts w:ascii="Georgia" w:hAnsi="Georgia" w:cs="Verdana"/>
          <w:spacing w:val="0"/>
          <w:szCs w:val="24"/>
          <w:lang w:val="es-ES"/>
        </w:rPr>
        <w:t xml:space="preserve">, litisconsortes, </w:t>
      </w:r>
      <w:r w:rsidRPr="00E1090D">
        <w:rPr>
          <w:rFonts w:ascii="Georgia" w:hAnsi="Georgia" w:cs="Verdana"/>
          <w:spacing w:val="0"/>
          <w:szCs w:val="24"/>
          <w:lang w:val="es-ES"/>
        </w:rPr>
        <w:t>otras partes, terceros y otros terceros (Arts.53, 60-64. 67 y 71, CGP)</w:t>
      </w:r>
      <w:r w:rsidRPr="00E1090D">
        <w:rPr>
          <w:rStyle w:val="Refdenotaalpie"/>
          <w:rFonts w:ascii="Georgia" w:hAnsi="Georgia"/>
          <w:szCs w:val="24"/>
        </w:rPr>
        <w:t xml:space="preserve"> </w:t>
      </w:r>
      <w:r w:rsidRPr="00E1090D">
        <w:rPr>
          <w:rStyle w:val="Refdenotaalpie"/>
          <w:rFonts w:ascii="Georgia" w:hAnsi="Georgia"/>
          <w:szCs w:val="24"/>
        </w:rPr>
        <w:footnoteReference w:id="7"/>
      </w:r>
      <w:r w:rsidRPr="00E1090D">
        <w:rPr>
          <w:rFonts w:ascii="Georgia" w:hAnsi="Georgia"/>
          <w:szCs w:val="24"/>
          <w:vertAlign w:val="superscript"/>
        </w:rPr>
        <w:t>-</w:t>
      </w:r>
      <w:r w:rsidRPr="00E1090D">
        <w:rPr>
          <w:rStyle w:val="Refdenotaalpie"/>
          <w:rFonts w:ascii="Georgia" w:hAnsi="Georgia"/>
          <w:szCs w:val="24"/>
        </w:rPr>
        <w:footnoteReference w:id="8"/>
      </w:r>
      <w:r w:rsidRPr="00E1090D">
        <w:rPr>
          <w:rFonts w:ascii="Georgia" w:hAnsi="Georgia"/>
          <w:szCs w:val="24"/>
          <w:vertAlign w:val="superscript"/>
        </w:rPr>
        <w:t>-</w:t>
      </w:r>
      <w:r w:rsidRPr="00E1090D">
        <w:rPr>
          <w:rStyle w:val="Refdenotaalpie"/>
          <w:rFonts w:ascii="Georgia" w:hAnsi="Georgia"/>
          <w:szCs w:val="24"/>
        </w:rPr>
        <w:footnoteReference w:id="9"/>
      </w:r>
      <w:r w:rsidRPr="00E1090D">
        <w:rPr>
          <w:rFonts w:ascii="Georgia" w:hAnsi="Georgia"/>
          <w:szCs w:val="24"/>
          <w:vertAlign w:val="superscript"/>
        </w:rPr>
        <w:t>-</w:t>
      </w:r>
      <w:r w:rsidRPr="00E1090D">
        <w:rPr>
          <w:rStyle w:val="Refdenotaalpie"/>
          <w:rFonts w:ascii="Georgia" w:hAnsi="Georgia"/>
          <w:szCs w:val="24"/>
        </w:rPr>
        <w:footnoteReference w:id="10"/>
      </w:r>
      <w:r w:rsidRPr="00E1090D">
        <w:rPr>
          <w:rFonts w:ascii="Georgia" w:hAnsi="Georgia" w:cs="Verdana"/>
          <w:spacing w:val="0"/>
          <w:szCs w:val="24"/>
          <w:lang w:val="es-ES"/>
        </w:rPr>
        <w:t xml:space="preserve">, únicos facultados para </w:t>
      </w:r>
      <w:r w:rsidRPr="00E1090D">
        <w:rPr>
          <w:rFonts w:ascii="Georgia" w:hAnsi="Georgia" w:cs="Verdana"/>
          <w:spacing w:val="0"/>
          <w:szCs w:val="24"/>
          <w:lang w:val="es-ES"/>
        </w:rPr>
        <w:lastRenderedPageBreak/>
        <w:t xml:space="preserve">controvertirlas, </w:t>
      </w:r>
      <w:r w:rsidRPr="00E1090D">
        <w:rPr>
          <w:rFonts w:ascii="Georgia" w:hAnsi="Georgia" w:cs="Verdana"/>
          <w:i/>
          <w:iCs/>
          <w:spacing w:val="0"/>
          <w:szCs w:val="24"/>
          <w:lang w:val="es-ES"/>
        </w:rPr>
        <w:t>siempre que tengan interés</w:t>
      </w:r>
      <w:r w:rsidRPr="00E1090D">
        <w:rPr>
          <w:rFonts w:ascii="Georgia" w:hAnsi="Georgia" w:cs="Verdana"/>
          <w:spacing w:val="0"/>
          <w:szCs w:val="24"/>
          <w:lang w:val="es-ES"/>
        </w:rPr>
        <w:t xml:space="preserve"> (Les cause agravio), y por contera para formular la acción de tutela en el entendido de que se lesionaron o amenazaron sus derechos fundamentales.</w:t>
      </w:r>
    </w:p>
    <w:p w14:paraId="78E16FBC" w14:textId="77777777" w:rsidR="003D0795" w:rsidRPr="00E1090D" w:rsidRDefault="003D0795" w:rsidP="00E1090D">
      <w:pPr>
        <w:pStyle w:val="Textoindependiente"/>
        <w:tabs>
          <w:tab w:val="clear" w:pos="708"/>
          <w:tab w:val="left" w:pos="993"/>
        </w:tabs>
        <w:suppressAutoHyphens w:val="0"/>
        <w:overflowPunct/>
        <w:autoSpaceDE/>
        <w:adjustRightInd/>
        <w:spacing w:line="276" w:lineRule="auto"/>
        <w:rPr>
          <w:rFonts w:ascii="Georgia" w:hAnsi="Georgia" w:cs="Verdana"/>
          <w:spacing w:val="0"/>
          <w:szCs w:val="24"/>
          <w:lang w:val="es-ES"/>
        </w:rPr>
      </w:pPr>
    </w:p>
    <w:p w14:paraId="7FE5C67B" w14:textId="14925CC9" w:rsidR="007F6050" w:rsidRPr="00E1090D" w:rsidRDefault="00327EFE" w:rsidP="00E1090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spacing w:val="-3"/>
        </w:rPr>
      </w:pPr>
      <w:r w:rsidRPr="00E1090D">
        <w:rPr>
          <w:rFonts w:ascii="Georgia" w:hAnsi="Georgia" w:cs="Arial"/>
          <w:smallCaps/>
        </w:rPr>
        <w:t xml:space="preserve">5.3.2. </w:t>
      </w:r>
      <w:r w:rsidR="006F7327" w:rsidRPr="00E1090D">
        <w:rPr>
          <w:rFonts w:ascii="Georgia" w:hAnsi="Georgia" w:cs="Arial"/>
          <w:smallCaps/>
        </w:rPr>
        <w:t xml:space="preserve">La </w:t>
      </w:r>
      <w:r w:rsidR="00AA3881" w:rsidRPr="00E1090D">
        <w:rPr>
          <w:rFonts w:ascii="Georgia" w:hAnsi="Georgia" w:cs="Arial"/>
          <w:smallCaps/>
        </w:rPr>
        <w:t>procedencia contra actuaciones diferentes al fallo de tutela</w:t>
      </w:r>
      <w:r w:rsidR="002F4D2C" w:rsidRPr="00E1090D">
        <w:rPr>
          <w:rFonts w:ascii="Georgia" w:hAnsi="Georgia" w:cs="Arial"/>
          <w:smallCaps/>
        </w:rPr>
        <w:t xml:space="preserve">. </w:t>
      </w:r>
      <w:r w:rsidR="0027151E" w:rsidRPr="00E1090D">
        <w:rPr>
          <w:rFonts w:ascii="Georgia" w:hAnsi="Georgia" w:cs="Arial"/>
          <w:spacing w:val="-3"/>
          <w:lang w:val="es-ES_tradnl"/>
        </w:rPr>
        <w:t>De tiempo atrás la CC</w:t>
      </w:r>
      <w:r w:rsidR="0027151E" w:rsidRPr="00E1090D">
        <w:rPr>
          <w:rStyle w:val="Refdenotaalpie"/>
          <w:rFonts w:ascii="Georgia" w:hAnsi="Georgia"/>
          <w:i/>
          <w:spacing w:val="-3"/>
          <w:lang w:val="es-ES_tradnl"/>
        </w:rPr>
        <w:footnoteReference w:id="11"/>
      </w:r>
      <w:r w:rsidR="0027151E" w:rsidRPr="00E1090D">
        <w:rPr>
          <w:rFonts w:ascii="Georgia" w:hAnsi="Georgia" w:cs="Arial"/>
          <w:spacing w:val="-3"/>
          <w:lang w:val="es-ES_tradnl"/>
        </w:rPr>
        <w:t xml:space="preserve"> </w:t>
      </w:r>
      <w:r w:rsidR="00E90054" w:rsidRPr="00E1090D">
        <w:rPr>
          <w:rFonts w:ascii="Georgia" w:hAnsi="Georgia" w:cs="Arial"/>
          <w:spacing w:val="-3"/>
          <w:lang w:val="es-ES_tradnl"/>
        </w:rPr>
        <w:t xml:space="preserve">en sede de unificación señaló </w:t>
      </w:r>
      <w:r w:rsidR="0027151E" w:rsidRPr="00E1090D">
        <w:rPr>
          <w:rFonts w:ascii="Georgia" w:hAnsi="Georgia" w:cs="Arial"/>
          <w:spacing w:val="-3"/>
          <w:lang w:val="es-ES_tradnl"/>
        </w:rPr>
        <w:t xml:space="preserve">que </w:t>
      </w:r>
      <w:r w:rsidR="000D28B2" w:rsidRPr="00E1090D">
        <w:rPr>
          <w:rFonts w:ascii="Georgia" w:hAnsi="Georgia" w:cs="Arial"/>
          <w:spacing w:val="-3"/>
          <w:lang w:val="es-ES_tradnl"/>
        </w:rPr>
        <w:t xml:space="preserve">el amparo </w:t>
      </w:r>
      <w:r w:rsidR="00AA3881" w:rsidRPr="00E1090D">
        <w:rPr>
          <w:rFonts w:ascii="Georgia" w:hAnsi="Georgia" w:cs="Arial"/>
          <w:spacing w:val="-3"/>
          <w:lang w:val="es-ES_tradnl"/>
        </w:rPr>
        <w:t xml:space="preserve">contra actuaciones de jueces de tutela </w:t>
      </w:r>
      <w:r w:rsidR="00AA3881" w:rsidRPr="00E1090D">
        <w:rPr>
          <w:rFonts w:ascii="Georgia" w:hAnsi="Georgia" w:cs="Arial"/>
          <w:spacing w:val="-3"/>
          <w:u w:val="single"/>
          <w:lang w:val="es-ES_tradnl"/>
        </w:rPr>
        <w:t>anteriores a la sentencia</w:t>
      </w:r>
      <w:r w:rsidR="000D28B2" w:rsidRPr="00E1090D">
        <w:rPr>
          <w:rFonts w:ascii="Georgia" w:hAnsi="Georgia" w:cs="Arial"/>
          <w:spacing w:val="-3"/>
          <w:lang w:val="es-ES_tradnl"/>
        </w:rPr>
        <w:t>,</w:t>
      </w:r>
      <w:r w:rsidR="00AA3881" w:rsidRPr="00E1090D">
        <w:rPr>
          <w:rFonts w:ascii="Georgia" w:hAnsi="Georgia" w:cs="Arial"/>
          <w:spacing w:val="-3"/>
          <w:lang w:val="es-ES_tradnl"/>
        </w:rPr>
        <w:t xml:space="preserve"> </w:t>
      </w:r>
      <w:r w:rsidR="000D28B2" w:rsidRPr="00E1090D">
        <w:rPr>
          <w:rFonts w:ascii="Georgia" w:hAnsi="Georgia" w:cs="Arial"/>
          <w:spacing w:val="-3"/>
          <w:lang w:val="es-ES_tradnl"/>
        </w:rPr>
        <w:t xml:space="preserve">cuando: </w:t>
      </w:r>
      <w:r w:rsidR="00D45EC4" w:rsidRPr="00E1090D">
        <w:rPr>
          <w:rFonts w:ascii="Georgia" w:hAnsi="Georgia" w:cs="Arial"/>
          <w:i/>
          <w:spacing w:val="-3"/>
          <w:lang w:val="es-ES_tradnl"/>
        </w:rPr>
        <w:t>“</w:t>
      </w:r>
      <w:r w:rsidR="00D45EC4" w:rsidRPr="00851EB1">
        <w:rPr>
          <w:rFonts w:ascii="Georgia" w:hAnsi="Georgia" w:cs="Arial"/>
          <w:i/>
          <w:spacing w:val="-3"/>
          <w:sz w:val="22"/>
          <w:lang w:val="es-ES_tradnl"/>
        </w:rPr>
        <w:t xml:space="preserve">(…) </w:t>
      </w:r>
      <w:r w:rsidR="00D45EC4" w:rsidRPr="00851EB1">
        <w:rPr>
          <w:rFonts w:ascii="Georgia" w:hAnsi="Georgia" w:cs="Arial"/>
          <w:i/>
          <w:spacing w:val="-3"/>
          <w:sz w:val="22"/>
        </w:rPr>
        <w:t>consiste en la omisión del juez de cumplir con su deber de informar, notificar o vincular a los terceros que serían afectados por la demanda de tutela,</w:t>
      </w:r>
      <w:r w:rsidR="00D45EC4" w:rsidRPr="00851EB1">
        <w:rPr>
          <w:rFonts w:ascii="Georgia" w:hAnsi="Georgia" w:cs="Arial"/>
          <w:b/>
          <w:i/>
          <w:spacing w:val="-3"/>
          <w:sz w:val="22"/>
        </w:rPr>
        <w:t xml:space="preserve"> y se cumplen los requisitos generales de procedibilidad de la acción de tutela</w:t>
      </w:r>
      <w:r w:rsidR="00D45EC4" w:rsidRPr="00851EB1">
        <w:rPr>
          <w:rFonts w:ascii="Georgia" w:hAnsi="Georgia" w:cs="Arial"/>
          <w:i/>
          <w:spacing w:val="-3"/>
          <w:sz w:val="22"/>
        </w:rPr>
        <w:t xml:space="preserve">, la acción de tutela </w:t>
      </w:r>
      <w:r w:rsidR="00D45EC4" w:rsidRPr="00851EB1">
        <w:rPr>
          <w:rFonts w:ascii="Georgia" w:hAnsi="Georgia" w:cs="Arial"/>
          <w:b/>
          <w:i/>
          <w:spacing w:val="-3"/>
          <w:sz w:val="22"/>
        </w:rPr>
        <w:t>sí procede</w:t>
      </w:r>
      <w:r w:rsidR="00D45EC4" w:rsidRPr="00851EB1">
        <w:rPr>
          <w:rFonts w:ascii="Georgia" w:hAnsi="Georgia" w:cs="Arial"/>
          <w:i/>
          <w:spacing w:val="-3"/>
          <w:sz w:val="22"/>
        </w:rPr>
        <w:t>, incluso si la Corte Constitucional no ha seleccionado el asunto para su revisión (…)</w:t>
      </w:r>
      <w:r w:rsidR="00D45EC4" w:rsidRPr="00E1090D">
        <w:rPr>
          <w:rFonts w:ascii="Georgia" w:hAnsi="Georgia" w:cs="Arial"/>
          <w:i/>
          <w:spacing w:val="-3"/>
        </w:rPr>
        <w:t>”</w:t>
      </w:r>
      <w:r w:rsidR="008D43EE" w:rsidRPr="00E1090D">
        <w:rPr>
          <w:rFonts w:ascii="Georgia" w:hAnsi="Georgia" w:cs="Arial"/>
          <w:i/>
          <w:spacing w:val="-3"/>
        </w:rPr>
        <w:t xml:space="preserve"> </w:t>
      </w:r>
      <w:r w:rsidR="008D43EE" w:rsidRPr="00E1090D">
        <w:rPr>
          <w:rFonts w:ascii="Georgia" w:hAnsi="Georgia" w:cs="Arial"/>
          <w:spacing w:val="-3"/>
        </w:rPr>
        <w:t>(Resaltado a propósito)</w:t>
      </w:r>
      <w:r w:rsidR="00D45EC4" w:rsidRPr="00E1090D">
        <w:rPr>
          <w:rFonts w:ascii="Georgia" w:hAnsi="Georgia" w:cs="Arial"/>
          <w:i/>
          <w:spacing w:val="-3"/>
        </w:rPr>
        <w:t>.</w:t>
      </w:r>
    </w:p>
    <w:p w14:paraId="68ACDB52" w14:textId="4A66C343" w:rsidR="00D45EC4" w:rsidRPr="00E1090D" w:rsidRDefault="00D45EC4" w:rsidP="00E1090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rPr>
      </w:pPr>
    </w:p>
    <w:p w14:paraId="635DBF73" w14:textId="41456D9C" w:rsidR="00D45EC4" w:rsidRPr="00E1090D" w:rsidRDefault="00D45EC4" w:rsidP="00E1090D">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E1090D">
        <w:rPr>
          <w:rFonts w:ascii="Georgia" w:hAnsi="Georgia" w:cs="Arial"/>
          <w:szCs w:val="24"/>
        </w:rPr>
        <w:t>Por ende, no basta que se alegue la falta de notificación, pues, como se trata de actuaciones judiciales, indispensable es que se cumplan los requisitos generales de procedencia, a saber (2022)</w:t>
      </w:r>
      <w:r w:rsidRPr="00E1090D">
        <w:rPr>
          <w:rFonts w:ascii="Georgia" w:hAnsi="Georgia" w:cs="Arial"/>
          <w:szCs w:val="24"/>
          <w:vertAlign w:val="superscript"/>
        </w:rPr>
        <w:footnoteReference w:id="12"/>
      </w:r>
      <w:r w:rsidRPr="00E1090D">
        <w:rPr>
          <w:rFonts w:ascii="Georgia" w:hAnsi="Georgia" w:cs="Arial"/>
          <w:szCs w:val="24"/>
        </w:rPr>
        <w:t xml:space="preserve">: (i) Que el asunto sea de relevancia constitucional; (ii) </w:t>
      </w:r>
      <w:r w:rsidRPr="00E1090D">
        <w:rPr>
          <w:rFonts w:ascii="Georgia" w:hAnsi="Georgia" w:cs="Arial"/>
          <w:szCs w:val="24"/>
          <w:u w:val="single"/>
        </w:rPr>
        <w:t>Que se hayan agotado los medios ordinarios y extraordinarios de defensa judicial al alcance del afectado</w:t>
      </w:r>
      <w:r w:rsidRPr="00E1090D">
        <w:rPr>
          <w:rFonts w:ascii="Georgia" w:hAnsi="Georgia" w:cs="Arial"/>
          <w:szCs w:val="24"/>
        </w:rPr>
        <w:t xml:space="preserve">; (iii) Que se cumpla con el requisito de inmediatez; (iv) Que la irregularidad procesal tenga un efecto directo y determinante sobre la decisión atacada; (v) Que el actor identifique los hechos generadores de la vulneración y que; (vi) </w:t>
      </w:r>
      <w:r w:rsidRPr="00E1090D">
        <w:rPr>
          <w:rFonts w:ascii="Georgia" w:hAnsi="Georgia" w:cs="Arial"/>
          <w:szCs w:val="24"/>
          <w:u w:val="single"/>
        </w:rPr>
        <w:t xml:space="preserve"> De  ser  posible,  los  hubiere  alegado  en  el  proceso  judicial  en  las oportunidades debidas</w:t>
      </w:r>
      <w:r w:rsidRPr="00E1090D">
        <w:rPr>
          <w:rFonts w:ascii="Georgia" w:hAnsi="Georgia" w:cs="Arial"/>
          <w:szCs w:val="24"/>
        </w:rPr>
        <w:t>; (vii) Que no se trate de tutela contra sentencia de tutela</w:t>
      </w:r>
      <w:r w:rsidRPr="00E1090D">
        <w:rPr>
          <w:rFonts w:ascii="Georgia" w:hAnsi="Georgia"/>
          <w:szCs w:val="24"/>
          <w:vertAlign w:val="superscript"/>
        </w:rPr>
        <w:footnoteReference w:id="13"/>
      </w:r>
      <w:r w:rsidRPr="00E1090D">
        <w:rPr>
          <w:rFonts w:ascii="Georgia" w:hAnsi="Georgia" w:cs="Arial"/>
          <w:szCs w:val="24"/>
        </w:rPr>
        <w:t>.</w:t>
      </w:r>
    </w:p>
    <w:p w14:paraId="4DA9F843" w14:textId="77777777" w:rsidR="00D45EC4" w:rsidRPr="00E1090D" w:rsidRDefault="00D45EC4" w:rsidP="00E1090D">
      <w:pPr>
        <w:pStyle w:val="Prrafodelista"/>
        <w:widowControl/>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rPr>
      </w:pPr>
    </w:p>
    <w:p w14:paraId="2315ECC6" w14:textId="7DB6FC08" w:rsidR="00324408" w:rsidRPr="00E1090D" w:rsidRDefault="00324408" w:rsidP="00E1090D">
      <w:pPr>
        <w:pStyle w:val="Prrafodelista"/>
        <w:numPr>
          <w:ilvl w:val="0"/>
          <w:numId w:val="18"/>
        </w:numPr>
        <w:spacing w:line="276" w:lineRule="auto"/>
        <w:rPr>
          <w:rFonts w:ascii="Georgia" w:hAnsi="Georgia" w:cs="Arial"/>
          <w:b/>
          <w:bCs/>
          <w:smallCaps/>
          <w:lang w:val="es-CO"/>
        </w:rPr>
      </w:pPr>
      <w:r w:rsidRPr="00E1090D">
        <w:rPr>
          <w:rFonts w:ascii="Georgia" w:hAnsi="Georgia" w:cs="Arial"/>
          <w:b/>
          <w:bCs/>
          <w:smallCaps/>
          <w:lang w:val="es-CO"/>
        </w:rPr>
        <w:t>El caso concreto analizado</w:t>
      </w:r>
    </w:p>
    <w:p w14:paraId="7996A34A" w14:textId="77777777" w:rsidR="00D45EC4" w:rsidRPr="00E1090D" w:rsidRDefault="00D45EC4" w:rsidP="00E1090D">
      <w:pPr>
        <w:pStyle w:val="Textoindependiente"/>
        <w:spacing w:line="276" w:lineRule="auto"/>
        <w:textAlignment w:val="auto"/>
        <w:rPr>
          <w:rFonts w:ascii="Georgia" w:hAnsi="Georgia"/>
          <w:szCs w:val="24"/>
        </w:rPr>
      </w:pPr>
    </w:p>
    <w:p w14:paraId="5B205763" w14:textId="16EC2607" w:rsidR="005712F4" w:rsidRPr="00E1090D" w:rsidRDefault="006F7327" w:rsidP="00E1090D">
      <w:pPr>
        <w:pStyle w:val="Textoindependiente"/>
        <w:spacing w:line="276" w:lineRule="auto"/>
        <w:textAlignment w:val="auto"/>
        <w:rPr>
          <w:rFonts w:ascii="Georgia" w:hAnsi="Georgia" w:cs="Arial"/>
          <w:szCs w:val="24"/>
        </w:rPr>
      </w:pPr>
      <w:r w:rsidRPr="00E1090D">
        <w:rPr>
          <w:rFonts w:ascii="Georgia" w:hAnsi="Georgia"/>
          <w:szCs w:val="24"/>
        </w:rPr>
        <w:t>L</w:t>
      </w:r>
      <w:r w:rsidRPr="00E1090D">
        <w:rPr>
          <w:rFonts w:ascii="Georgia" w:hAnsi="Georgia" w:cs="Arial"/>
          <w:szCs w:val="24"/>
        </w:rPr>
        <w:t xml:space="preserve">os </w:t>
      </w:r>
      <w:r w:rsidR="00D45EC4" w:rsidRPr="00E1090D">
        <w:rPr>
          <w:rFonts w:ascii="Georgia" w:hAnsi="Georgia" w:cs="Arial"/>
          <w:szCs w:val="24"/>
        </w:rPr>
        <w:t xml:space="preserve">presupuestos de </w:t>
      </w:r>
      <w:r w:rsidRPr="00E1090D">
        <w:rPr>
          <w:rFonts w:ascii="Georgia" w:hAnsi="Georgia" w:cs="Arial"/>
          <w:szCs w:val="24"/>
        </w:rPr>
        <w:t xml:space="preserve">procedibilidad son concurrentes, incumplido uno, </w:t>
      </w:r>
      <w:r w:rsidR="1ED6695C" w:rsidRPr="00E1090D">
        <w:rPr>
          <w:rFonts w:ascii="Georgia" w:hAnsi="Georgia" w:cs="Arial"/>
          <w:szCs w:val="24"/>
        </w:rPr>
        <w:t xml:space="preserve">fútil revisar </w:t>
      </w:r>
      <w:r w:rsidRPr="00E1090D">
        <w:rPr>
          <w:rFonts w:ascii="Georgia" w:hAnsi="Georgia" w:cs="Arial"/>
          <w:szCs w:val="24"/>
        </w:rPr>
        <w:t xml:space="preserve">los demás, </w:t>
      </w:r>
      <w:r w:rsidR="4ACBBD83" w:rsidRPr="00E1090D">
        <w:rPr>
          <w:rFonts w:ascii="Georgia" w:hAnsi="Georgia" w:cs="Arial"/>
          <w:szCs w:val="24"/>
        </w:rPr>
        <w:t xml:space="preserve">ni siquiera </w:t>
      </w:r>
      <w:r w:rsidRPr="00E1090D">
        <w:rPr>
          <w:rFonts w:ascii="Georgia" w:hAnsi="Georgia" w:cs="Arial"/>
          <w:szCs w:val="24"/>
        </w:rPr>
        <w:t>los especiales</w:t>
      </w:r>
      <w:r w:rsidR="00D91830" w:rsidRPr="00E1090D">
        <w:rPr>
          <w:rFonts w:ascii="Georgia" w:hAnsi="Georgia" w:cs="Arial"/>
          <w:szCs w:val="24"/>
        </w:rPr>
        <w:t xml:space="preserve"> de acciones de tutela contra providencias judiciales</w:t>
      </w:r>
      <w:r w:rsidR="7B0D7003" w:rsidRPr="00E1090D">
        <w:rPr>
          <w:rFonts w:ascii="Georgia" w:hAnsi="Georgia" w:cs="Arial"/>
          <w:szCs w:val="24"/>
        </w:rPr>
        <w:t>.</w:t>
      </w:r>
      <w:r w:rsidRPr="00E1090D">
        <w:rPr>
          <w:rFonts w:ascii="Georgia" w:hAnsi="Georgia" w:cs="Arial"/>
          <w:szCs w:val="24"/>
        </w:rPr>
        <w:t xml:space="preserve"> </w:t>
      </w:r>
      <w:r w:rsidR="2ACD8C01" w:rsidRPr="00E1090D">
        <w:rPr>
          <w:rFonts w:ascii="Georgia" w:hAnsi="Georgia" w:cs="Arial"/>
          <w:szCs w:val="24"/>
        </w:rPr>
        <w:t>E</w:t>
      </w:r>
      <w:r w:rsidRPr="00E1090D">
        <w:rPr>
          <w:rFonts w:ascii="Georgia" w:hAnsi="Georgia" w:cs="Arial"/>
          <w:szCs w:val="24"/>
        </w:rPr>
        <w:t xml:space="preserve">l análisis </w:t>
      </w:r>
      <w:r w:rsidR="7A639182" w:rsidRPr="00E1090D">
        <w:rPr>
          <w:rFonts w:ascii="Georgia" w:hAnsi="Georgia" w:cs="Arial"/>
          <w:szCs w:val="24"/>
        </w:rPr>
        <w:t xml:space="preserve">siguiente será sobre </w:t>
      </w:r>
      <w:r w:rsidRPr="00E1090D">
        <w:rPr>
          <w:rFonts w:ascii="Georgia" w:hAnsi="Georgia" w:cs="Arial"/>
          <w:szCs w:val="24"/>
        </w:rPr>
        <w:t xml:space="preserve">la </w:t>
      </w:r>
      <w:r w:rsidR="00D91830" w:rsidRPr="00E1090D">
        <w:rPr>
          <w:rFonts w:ascii="Georgia" w:hAnsi="Georgia" w:cs="Arial"/>
          <w:szCs w:val="24"/>
        </w:rPr>
        <w:t xml:space="preserve">legitimación y la </w:t>
      </w:r>
      <w:r w:rsidRPr="00E1090D">
        <w:rPr>
          <w:rFonts w:ascii="Georgia" w:hAnsi="Georgia" w:cs="Arial"/>
          <w:szCs w:val="24"/>
        </w:rPr>
        <w:t xml:space="preserve">subsidiariedad, porque </w:t>
      </w:r>
      <w:r w:rsidR="00D91830" w:rsidRPr="00E1090D">
        <w:rPr>
          <w:rFonts w:ascii="Georgia" w:hAnsi="Georgia" w:cs="Arial"/>
          <w:szCs w:val="24"/>
        </w:rPr>
        <w:t xml:space="preserve">se echan </w:t>
      </w:r>
      <w:r w:rsidRPr="00E1090D">
        <w:rPr>
          <w:rFonts w:ascii="Georgia" w:hAnsi="Georgia" w:cs="Arial"/>
          <w:szCs w:val="24"/>
        </w:rPr>
        <w:t xml:space="preserve">de menos y </w:t>
      </w:r>
      <w:r w:rsidR="00D91830" w:rsidRPr="00E1090D">
        <w:rPr>
          <w:rFonts w:ascii="Georgia" w:hAnsi="Georgia" w:cs="Arial"/>
          <w:szCs w:val="24"/>
        </w:rPr>
        <w:t xml:space="preserve">son </w:t>
      </w:r>
      <w:r w:rsidRPr="00E1090D">
        <w:rPr>
          <w:rFonts w:ascii="Georgia" w:hAnsi="Georgia" w:cs="Arial"/>
          <w:szCs w:val="24"/>
        </w:rPr>
        <w:t>suficiente</w:t>
      </w:r>
      <w:r w:rsidR="00D91830" w:rsidRPr="00E1090D">
        <w:rPr>
          <w:rFonts w:ascii="Georgia" w:hAnsi="Georgia" w:cs="Arial"/>
          <w:szCs w:val="24"/>
        </w:rPr>
        <w:t>s</w:t>
      </w:r>
      <w:r w:rsidRPr="00E1090D">
        <w:rPr>
          <w:rFonts w:ascii="Georgia" w:hAnsi="Georgia" w:cs="Arial"/>
          <w:szCs w:val="24"/>
        </w:rPr>
        <w:t xml:space="preserve"> para desestimar el amparo</w:t>
      </w:r>
      <w:r w:rsidRPr="00E1090D">
        <w:rPr>
          <w:rFonts w:ascii="Georgia" w:hAnsi="Georgia" w:cs="Arial"/>
          <w:szCs w:val="24"/>
          <w:lang w:val="es-ES"/>
        </w:rPr>
        <w:t>.</w:t>
      </w:r>
    </w:p>
    <w:p w14:paraId="7BFE450B" w14:textId="666D6817" w:rsidR="00AC42E2" w:rsidRPr="00E1090D" w:rsidRDefault="00AC42E2" w:rsidP="00E1090D">
      <w:pPr>
        <w:pStyle w:val="Textoindependiente"/>
        <w:spacing w:line="276" w:lineRule="auto"/>
        <w:textAlignment w:val="auto"/>
        <w:rPr>
          <w:rFonts w:ascii="Georgia" w:hAnsi="Georgia" w:cs="Arial"/>
          <w:szCs w:val="24"/>
          <w:lang w:val="es-ES"/>
        </w:rPr>
      </w:pPr>
    </w:p>
    <w:p w14:paraId="75CA544E" w14:textId="00A6B545" w:rsidR="00582C5D" w:rsidRDefault="00582C5D" w:rsidP="00E1090D">
      <w:pPr>
        <w:pStyle w:val="Textoindependiente"/>
        <w:spacing w:line="276" w:lineRule="auto"/>
        <w:rPr>
          <w:rFonts w:ascii="Georgia" w:hAnsi="Georgia"/>
          <w:szCs w:val="24"/>
        </w:rPr>
      </w:pPr>
      <w:bookmarkStart w:id="3" w:name="_Hlk102118900"/>
      <w:r w:rsidRPr="00E1090D">
        <w:rPr>
          <w:rFonts w:ascii="Georgia" w:hAnsi="Georgia"/>
          <w:szCs w:val="24"/>
        </w:rPr>
        <w:t xml:space="preserve">De bulto reluce la </w:t>
      </w:r>
      <w:r w:rsidR="00D45EC4" w:rsidRPr="00E1090D">
        <w:rPr>
          <w:rFonts w:ascii="Georgia" w:hAnsi="Georgia"/>
          <w:szCs w:val="24"/>
        </w:rPr>
        <w:t xml:space="preserve">falta </w:t>
      </w:r>
      <w:r w:rsidRPr="00E1090D">
        <w:rPr>
          <w:rFonts w:ascii="Georgia" w:hAnsi="Georgia"/>
          <w:szCs w:val="24"/>
        </w:rPr>
        <w:t xml:space="preserve">de atribución del actor para controvertir </w:t>
      </w:r>
      <w:r w:rsidR="00D45EC4" w:rsidRPr="00E1090D">
        <w:rPr>
          <w:rFonts w:ascii="Georgia" w:hAnsi="Georgia"/>
          <w:szCs w:val="24"/>
        </w:rPr>
        <w:t xml:space="preserve">las </w:t>
      </w:r>
      <w:r w:rsidRPr="00E1090D">
        <w:rPr>
          <w:rFonts w:ascii="Georgia" w:hAnsi="Georgia"/>
          <w:szCs w:val="24"/>
        </w:rPr>
        <w:t xml:space="preserve">actuaciones judiciales por intermedio de este mecanismo constitucional, </w:t>
      </w:r>
      <w:r w:rsidR="00D45EC4" w:rsidRPr="00E1090D">
        <w:rPr>
          <w:rFonts w:ascii="Georgia" w:hAnsi="Georgia"/>
          <w:szCs w:val="24"/>
        </w:rPr>
        <w:t xml:space="preserve">como quiera que </w:t>
      </w:r>
      <w:r w:rsidRPr="00E1090D">
        <w:rPr>
          <w:rFonts w:ascii="Georgia" w:hAnsi="Georgia"/>
          <w:szCs w:val="24"/>
        </w:rPr>
        <w:t xml:space="preserve">no actúa como sujeto procesal en el asunto reprochado. Ni siquiera presentó escrito alguno tendiente a que se admitiera su intervención, contexto suficiente para concluir que carece de legitimación en la causa para reprochar las </w:t>
      </w:r>
      <w:r w:rsidR="00D45EC4" w:rsidRPr="00E1090D">
        <w:rPr>
          <w:rFonts w:ascii="Georgia" w:hAnsi="Georgia"/>
          <w:szCs w:val="24"/>
        </w:rPr>
        <w:t xml:space="preserve">decisiones de los accionados en </w:t>
      </w:r>
      <w:r w:rsidR="00D91830" w:rsidRPr="00E1090D">
        <w:rPr>
          <w:rFonts w:ascii="Georgia" w:hAnsi="Georgia"/>
          <w:szCs w:val="24"/>
        </w:rPr>
        <w:t xml:space="preserve">la tutela </w:t>
      </w:r>
      <w:bookmarkEnd w:id="3"/>
      <w:r w:rsidR="00327EFE" w:rsidRPr="00E1090D">
        <w:rPr>
          <w:rFonts w:ascii="Georgia" w:hAnsi="Georgia"/>
          <w:szCs w:val="24"/>
        </w:rPr>
        <w:t xml:space="preserve">radicada </w:t>
      </w:r>
      <w:r w:rsidR="00D91830" w:rsidRPr="00E1090D">
        <w:rPr>
          <w:rFonts w:ascii="Georgia" w:hAnsi="Georgia"/>
          <w:szCs w:val="24"/>
        </w:rPr>
        <w:t>al No.</w:t>
      </w:r>
      <w:r w:rsidR="00BE4F98">
        <w:rPr>
          <w:rFonts w:ascii="Georgia" w:hAnsi="Georgia"/>
          <w:szCs w:val="24"/>
        </w:rPr>
        <w:t xml:space="preserve"> </w:t>
      </w:r>
      <w:r w:rsidR="00D91830" w:rsidRPr="00E1090D">
        <w:rPr>
          <w:rFonts w:ascii="Georgia" w:hAnsi="Georgia"/>
          <w:szCs w:val="24"/>
        </w:rPr>
        <w:t>2021-00276</w:t>
      </w:r>
      <w:r w:rsidRPr="00E1090D">
        <w:rPr>
          <w:rFonts w:ascii="Georgia" w:hAnsi="Georgia"/>
          <w:szCs w:val="24"/>
        </w:rPr>
        <w:t>.</w:t>
      </w:r>
    </w:p>
    <w:p w14:paraId="695518D6" w14:textId="77777777" w:rsidR="00BE4F98" w:rsidRPr="00E1090D" w:rsidRDefault="00BE4F98" w:rsidP="00E1090D">
      <w:pPr>
        <w:pStyle w:val="Textoindependiente"/>
        <w:spacing w:line="276" w:lineRule="auto"/>
        <w:rPr>
          <w:rFonts w:ascii="Georgia" w:hAnsi="Georgia"/>
          <w:szCs w:val="24"/>
        </w:rPr>
      </w:pPr>
    </w:p>
    <w:p w14:paraId="4BC4961F" w14:textId="55C7D952" w:rsidR="00D45EC4" w:rsidRPr="00E1090D" w:rsidRDefault="00092F1E" w:rsidP="00E1090D">
      <w:pPr>
        <w:pStyle w:val="Textoindependiente"/>
        <w:spacing w:line="276" w:lineRule="auto"/>
        <w:rPr>
          <w:rFonts w:ascii="Georgia" w:hAnsi="Georgia"/>
          <w:szCs w:val="24"/>
        </w:rPr>
      </w:pPr>
      <w:r w:rsidRPr="00E1090D">
        <w:rPr>
          <w:rFonts w:ascii="Georgia" w:hAnsi="Georgia"/>
          <w:szCs w:val="24"/>
        </w:rPr>
        <w:t>En todo caso, s</w:t>
      </w:r>
      <w:r w:rsidR="00582C5D" w:rsidRPr="00E1090D">
        <w:rPr>
          <w:rFonts w:ascii="Georgia" w:hAnsi="Georgia"/>
          <w:szCs w:val="24"/>
        </w:rPr>
        <w:t xml:space="preserve">i se superase el presupuesto con fundamento en que de la omisión de vinculación </w:t>
      </w:r>
      <w:r w:rsidRPr="00E1090D">
        <w:rPr>
          <w:rFonts w:ascii="Georgia" w:hAnsi="Georgia"/>
          <w:szCs w:val="24"/>
        </w:rPr>
        <w:t xml:space="preserve">emerge </w:t>
      </w:r>
      <w:r w:rsidR="00582C5D" w:rsidRPr="00E1090D">
        <w:rPr>
          <w:rFonts w:ascii="Georgia" w:hAnsi="Georgia"/>
          <w:szCs w:val="24"/>
        </w:rPr>
        <w:t xml:space="preserve">la amenaza o agravio </w:t>
      </w:r>
      <w:r w:rsidR="00D45EC4" w:rsidRPr="00E1090D">
        <w:rPr>
          <w:rFonts w:ascii="Georgia" w:hAnsi="Georgia"/>
          <w:szCs w:val="24"/>
        </w:rPr>
        <w:t>endilgados</w:t>
      </w:r>
      <w:r w:rsidR="00582C5D" w:rsidRPr="00E1090D">
        <w:rPr>
          <w:rFonts w:ascii="Georgia" w:hAnsi="Georgia"/>
          <w:szCs w:val="24"/>
        </w:rPr>
        <w:t>, también fracasa por faltar la subsidiariedad</w:t>
      </w:r>
      <w:r w:rsidRPr="00E1090D">
        <w:rPr>
          <w:rFonts w:ascii="Georgia" w:hAnsi="Georgia"/>
          <w:szCs w:val="24"/>
        </w:rPr>
        <w:t xml:space="preserve">, en razón a que se radicó </w:t>
      </w:r>
      <w:r w:rsidR="00D45EC4" w:rsidRPr="00E1090D">
        <w:rPr>
          <w:rFonts w:ascii="Georgia" w:hAnsi="Georgia"/>
          <w:szCs w:val="24"/>
        </w:rPr>
        <w:t>sin previamente ventilar el problema jurídico ante los encausados</w:t>
      </w:r>
      <w:r w:rsidR="0062171A" w:rsidRPr="00E1090D">
        <w:rPr>
          <w:rFonts w:ascii="Georgia" w:hAnsi="Georgia"/>
          <w:szCs w:val="24"/>
        </w:rPr>
        <w:t xml:space="preserve"> (Ib., pdf No.12 y 14)</w:t>
      </w:r>
      <w:r w:rsidR="00D45EC4" w:rsidRPr="00E1090D">
        <w:rPr>
          <w:rFonts w:ascii="Georgia" w:hAnsi="Georgia"/>
          <w:szCs w:val="24"/>
        </w:rPr>
        <w:t>. E</w:t>
      </w:r>
      <w:r w:rsidRPr="00E1090D">
        <w:rPr>
          <w:rFonts w:ascii="Georgia" w:hAnsi="Georgia"/>
          <w:szCs w:val="24"/>
        </w:rPr>
        <w:t xml:space="preserve">l fundamento de la </w:t>
      </w:r>
      <w:r w:rsidR="00327EFE" w:rsidRPr="00E1090D">
        <w:rPr>
          <w:rFonts w:ascii="Georgia" w:hAnsi="Georgia"/>
          <w:szCs w:val="24"/>
        </w:rPr>
        <w:t xml:space="preserve">queja </w:t>
      </w:r>
      <w:r w:rsidR="00582C5D" w:rsidRPr="00E1090D">
        <w:rPr>
          <w:rFonts w:ascii="Georgia" w:hAnsi="Georgia" w:cs="Arial"/>
          <w:szCs w:val="24"/>
          <w:shd w:val="clear" w:color="auto" w:fill="FFFFFF"/>
        </w:rPr>
        <w:t xml:space="preserve">se concreta en la causal </w:t>
      </w:r>
      <w:r w:rsidRPr="00E1090D">
        <w:rPr>
          <w:rFonts w:ascii="Georgia" w:hAnsi="Georgia" w:cs="Arial"/>
          <w:szCs w:val="24"/>
          <w:shd w:val="clear" w:color="auto" w:fill="FFFFFF"/>
        </w:rPr>
        <w:t xml:space="preserve">de nulidad del </w:t>
      </w:r>
      <w:r w:rsidR="00582C5D" w:rsidRPr="00E1090D">
        <w:rPr>
          <w:rFonts w:ascii="Georgia" w:hAnsi="Georgia" w:cs="Arial"/>
          <w:szCs w:val="24"/>
        </w:rPr>
        <w:t>artículo 133-8º del CGP</w:t>
      </w:r>
      <w:r w:rsidRPr="00E1090D">
        <w:rPr>
          <w:rFonts w:ascii="Georgia" w:hAnsi="Georgia" w:cs="Arial"/>
          <w:szCs w:val="24"/>
        </w:rPr>
        <w:t xml:space="preserve"> y es</w:t>
      </w:r>
      <w:r w:rsidR="00D40CBB" w:rsidRPr="00E1090D">
        <w:rPr>
          <w:rFonts w:ascii="Georgia" w:hAnsi="Georgia" w:cs="Arial"/>
          <w:szCs w:val="24"/>
          <w:shd w:val="clear" w:color="auto" w:fill="FFFFFF"/>
        </w:rPr>
        <w:t xml:space="preserve"> </w:t>
      </w:r>
      <w:r w:rsidRPr="00E1090D">
        <w:rPr>
          <w:rFonts w:ascii="Georgia" w:hAnsi="Georgia" w:cs="Arial"/>
          <w:szCs w:val="24"/>
          <w:shd w:val="clear" w:color="auto" w:fill="FFFFFF"/>
        </w:rPr>
        <w:t xml:space="preserve">una </w:t>
      </w:r>
      <w:r w:rsidR="00D40CBB" w:rsidRPr="00E1090D">
        <w:rPr>
          <w:rFonts w:ascii="Georgia" w:hAnsi="Georgia" w:cs="Arial"/>
          <w:szCs w:val="24"/>
          <w:shd w:val="clear" w:color="auto" w:fill="FFFFFF"/>
        </w:rPr>
        <w:t xml:space="preserve">anomalía que </w:t>
      </w:r>
      <w:r w:rsidR="0021260C" w:rsidRPr="00E1090D">
        <w:rPr>
          <w:rFonts w:ascii="Georgia" w:hAnsi="Georgia" w:cs="Arial"/>
          <w:szCs w:val="24"/>
          <w:shd w:val="clear" w:color="auto" w:fill="FFFFFF"/>
        </w:rPr>
        <w:t xml:space="preserve">el actor </w:t>
      </w:r>
      <w:r w:rsidR="00D45EC4" w:rsidRPr="00E1090D">
        <w:rPr>
          <w:rFonts w:ascii="Georgia" w:hAnsi="Georgia" w:cs="Arial"/>
          <w:szCs w:val="24"/>
          <w:shd w:val="clear" w:color="auto" w:fill="FFFFFF"/>
        </w:rPr>
        <w:t xml:space="preserve">podía </w:t>
      </w:r>
      <w:r w:rsidR="00D40CBB" w:rsidRPr="00E1090D">
        <w:rPr>
          <w:rFonts w:ascii="Georgia" w:hAnsi="Georgia" w:cs="Arial"/>
          <w:szCs w:val="24"/>
          <w:shd w:val="clear" w:color="auto" w:fill="FFFFFF"/>
        </w:rPr>
        <w:t xml:space="preserve">invocar </w:t>
      </w:r>
      <w:r w:rsidR="00D45EC4" w:rsidRPr="00E1090D">
        <w:rPr>
          <w:rFonts w:ascii="Georgia" w:hAnsi="Georgia" w:cs="Arial"/>
          <w:szCs w:val="24"/>
          <w:shd w:val="clear" w:color="auto" w:fill="FFFFFF"/>
        </w:rPr>
        <w:t>antes de ejercitar esta herramienta residual.</w:t>
      </w:r>
      <w:r w:rsidR="0021260C" w:rsidRPr="00E1090D">
        <w:rPr>
          <w:rFonts w:ascii="Georgia" w:hAnsi="Georgia"/>
          <w:szCs w:val="24"/>
        </w:rPr>
        <w:t xml:space="preserve"> Pretirió que los jueces pudiesen proveer sobre su cuestionamiento.</w:t>
      </w:r>
    </w:p>
    <w:p w14:paraId="16BBF952" w14:textId="77777777" w:rsidR="00D45EC4" w:rsidRPr="00E1090D" w:rsidRDefault="00D45EC4" w:rsidP="00E1090D">
      <w:pPr>
        <w:pStyle w:val="Textoindependiente"/>
        <w:spacing w:line="276" w:lineRule="auto"/>
        <w:rPr>
          <w:rFonts w:ascii="Georgia" w:hAnsi="Georgia" w:cs="Arial"/>
          <w:szCs w:val="24"/>
          <w:shd w:val="clear" w:color="auto" w:fill="FFFFFF"/>
        </w:rPr>
      </w:pPr>
    </w:p>
    <w:p w14:paraId="234E9326" w14:textId="4C7DFFF4" w:rsidR="008D43EE" w:rsidRPr="00E1090D" w:rsidRDefault="0062171A" w:rsidP="00E1090D">
      <w:pPr>
        <w:pStyle w:val="Textoindependiente"/>
        <w:spacing w:line="276" w:lineRule="auto"/>
        <w:rPr>
          <w:rFonts w:ascii="Georgia" w:hAnsi="Georgia" w:cs="Arial"/>
          <w:szCs w:val="24"/>
          <w:shd w:val="clear" w:color="auto" w:fill="FFFFFF"/>
          <w:lang w:val="es-ES"/>
        </w:rPr>
      </w:pPr>
      <w:r w:rsidRPr="00E1090D">
        <w:rPr>
          <w:rFonts w:ascii="Georgia" w:hAnsi="Georgia" w:cs="Arial"/>
          <w:szCs w:val="24"/>
          <w:shd w:val="clear" w:color="auto" w:fill="FFFFFF"/>
        </w:rPr>
        <w:lastRenderedPageBreak/>
        <w:t xml:space="preserve">A más de los expuesto, válido es resaltar que </w:t>
      </w:r>
      <w:r w:rsidR="0021260C" w:rsidRPr="00E1090D">
        <w:rPr>
          <w:rFonts w:ascii="Georgia" w:hAnsi="Georgia" w:cs="Arial"/>
          <w:szCs w:val="24"/>
          <w:shd w:val="clear" w:color="auto" w:fill="FFFFFF"/>
        </w:rPr>
        <w:t xml:space="preserve">todavía puede solicitar la selección de la tutela para su revisión (Art.53, literal “b”, Acuerdo 02/2015) y simultáneamente formular </w:t>
      </w:r>
      <w:r w:rsidRPr="00E1090D">
        <w:rPr>
          <w:rFonts w:ascii="Georgia" w:hAnsi="Georgia" w:cs="Arial"/>
          <w:szCs w:val="24"/>
          <w:shd w:val="clear" w:color="auto" w:fill="FFFFFF"/>
        </w:rPr>
        <w:t xml:space="preserve">la irregularidad procesal ante la Alta </w:t>
      </w:r>
      <w:r w:rsidR="00327EFE" w:rsidRPr="00E1090D">
        <w:rPr>
          <w:rFonts w:ascii="Georgia" w:hAnsi="Georgia" w:cs="Arial"/>
          <w:szCs w:val="24"/>
          <w:shd w:val="clear" w:color="auto" w:fill="FFFFFF"/>
        </w:rPr>
        <w:t>Magistratura Constitucional</w:t>
      </w:r>
      <w:r w:rsidR="0027151E" w:rsidRPr="00E1090D">
        <w:rPr>
          <w:rFonts w:ascii="Georgia" w:hAnsi="Georgia" w:cs="Arial"/>
          <w:szCs w:val="24"/>
          <w:shd w:val="clear" w:color="auto" w:fill="FFFFFF"/>
          <w:lang w:val="es-ES"/>
        </w:rPr>
        <w:t xml:space="preserve">. Al respecto la </w:t>
      </w:r>
      <w:r w:rsidR="00D40CBB" w:rsidRPr="00E1090D">
        <w:rPr>
          <w:rFonts w:ascii="Georgia" w:hAnsi="Georgia" w:cs="Arial"/>
          <w:szCs w:val="24"/>
          <w:shd w:val="clear" w:color="auto" w:fill="FFFFFF"/>
          <w:lang w:val="es-ES"/>
        </w:rPr>
        <w:t>CC</w:t>
      </w:r>
      <w:r w:rsidR="008D43EE" w:rsidRPr="00E1090D">
        <w:rPr>
          <w:rStyle w:val="Refdenotaalpie"/>
          <w:rFonts w:ascii="Georgia" w:hAnsi="Georgia"/>
          <w:szCs w:val="24"/>
          <w:shd w:val="clear" w:color="auto" w:fill="FFFFFF"/>
          <w:lang w:val="es-ES"/>
        </w:rPr>
        <w:footnoteReference w:id="14"/>
      </w:r>
      <w:r w:rsidR="0027151E" w:rsidRPr="00E1090D">
        <w:rPr>
          <w:rFonts w:ascii="Georgia" w:hAnsi="Georgia" w:cs="Arial"/>
          <w:szCs w:val="24"/>
          <w:shd w:val="clear" w:color="auto" w:fill="FFFFFF"/>
          <w:lang w:val="es-ES"/>
        </w:rPr>
        <w:t xml:space="preserve"> explica</w:t>
      </w:r>
      <w:r w:rsidR="00D40CBB" w:rsidRPr="00E1090D">
        <w:rPr>
          <w:rFonts w:ascii="Georgia" w:hAnsi="Georgia" w:cs="Arial"/>
          <w:szCs w:val="24"/>
          <w:shd w:val="clear" w:color="auto" w:fill="FFFFFF"/>
          <w:lang w:val="es-ES"/>
        </w:rPr>
        <w:t xml:space="preserve">: </w:t>
      </w:r>
    </w:p>
    <w:p w14:paraId="15A90490" w14:textId="77777777" w:rsidR="008D43EE" w:rsidRPr="00E1090D" w:rsidRDefault="008D43EE" w:rsidP="00E1090D">
      <w:pPr>
        <w:pStyle w:val="Textoindependiente"/>
        <w:spacing w:line="276" w:lineRule="auto"/>
        <w:rPr>
          <w:rFonts w:ascii="Georgia" w:hAnsi="Georgia" w:cs="Arial"/>
          <w:i/>
          <w:szCs w:val="24"/>
          <w:shd w:val="clear" w:color="auto" w:fill="FFFFFF"/>
          <w:lang w:val="es-ES"/>
        </w:rPr>
      </w:pPr>
    </w:p>
    <w:p w14:paraId="5F9385D9" w14:textId="2CE8A2B6" w:rsidR="008D43EE" w:rsidRPr="001B26D4" w:rsidRDefault="008D43EE" w:rsidP="001B26D4">
      <w:pPr>
        <w:pStyle w:val="Textoindependiente"/>
        <w:tabs>
          <w:tab w:val="clear" w:pos="0"/>
          <w:tab w:val="clear" w:pos="708"/>
        </w:tabs>
        <w:spacing w:line="240" w:lineRule="auto"/>
        <w:ind w:left="426" w:right="420"/>
        <w:rPr>
          <w:rFonts w:ascii="Georgia" w:hAnsi="Georgia" w:cs="Arial"/>
          <w:sz w:val="22"/>
          <w:szCs w:val="24"/>
          <w:shd w:val="clear" w:color="auto" w:fill="FFFFFF"/>
          <w:lang w:val="es-ES"/>
        </w:rPr>
      </w:pPr>
      <w:r w:rsidRPr="001B26D4">
        <w:rPr>
          <w:rFonts w:ascii="Georgia" w:hAnsi="Georgia" w:cs="Arial"/>
          <w:sz w:val="22"/>
          <w:szCs w:val="24"/>
          <w:shd w:val="clear" w:color="auto" w:fill="FFFFFF"/>
          <w:lang w:val="es-ES"/>
        </w:rPr>
        <w:t xml:space="preserve">… </w:t>
      </w:r>
      <w:r w:rsidR="0027151E" w:rsidRPr="001B26D4">
        <w:rPr>
          <w:rFonts w:ascii="Georgia" w:hAnsi="Georgia" w:cs="Arial"/>
          <w:sz w:val="22"/>
          <w:szCs w:val="24"/>
          <w:shd w:val="clear" w:color="auto" w:fill="FFFFFF"/>
          <w:lang w:val="es-ES"/>
        </w:rPr>
        <w:t xml:space="preserve">al no existir una norma que consagre cuál es el régimen de nulidad que se aplica en el proceso de tutela, </w:t>
      </w:r>
      <w:r w:rsidR="0027151E" w:rsidRPr="001B26D4">
        <w:rPr>
          <w:rFonts w:ascii="Georgia" w:hAnsi="Georgia" w:cs="Arial"/>
          <w:sz w:val="22"/>
          <w:szCs w:val="24"/>
          <w:u w:val="single"/>
          <w:shd w:val="clear" w:color="auto" w:fill="FFFFFF"/>
          <w:lang w:val="es-ES"/>
        </w:rPr>
        <w:t>con ocasión de las actuaciones que se desarrollan por los jueces de instancia</w:t>
      </w:r>
      <w:r w:rsidR="0027151E" w:rsidRPr="001B26D4">
        <w:rPr>
          <w:rFonts w:ascii="Georgia" w:hAnsi="Georgia" w:cs="Arial"/>
          <w:sz w:val="22"/>
          <w:szCs w:val="24"/>
          <w:shd w:val="clear" w:color="auto" w:fill="FFFFFF"/>
          <w:lang w:val="es-ES"/>
        </w:rPr>
        <w:t>, la Corte ha decidido acoger –por vía analógica– las causales que se consagran en el sistema procesal general, que hoy en día se encuentran previstas en el artículo 133 del Código General del Proceso…</w:t>
      </w:r>
    </w:p>
    <w:p w14:paraId="73B6EA5E" w14:textId="77777777" w:rsidR="008D43EE" w:rsidRPr="001B26D4" w:rsidRDefault="008D43EE" w:rsidP="001B26D4">
      <w:pPr>
        <w:pStyle w:val="Textoindependiente"/>
        <w:tabs>
          <w:tab w:val="clear" w:pos="0"/>
          <w:tab w:val="clear" w:pos="708"/>
        </w:tabs>
        <w:spacing w:line="240" w:lineRule="auto"/>
        <w:ind w:left="426" w:right="420"/>
        <w:rPr>
          <w:rFonts w:ascii="Georgia" w:hAnsi="Georgia" w:cs="Arial"/>
          <w:sz w:val="22"/>
          <w:szCs w:val="24"/>
          <w:shd w:val="clear" w:color="auto" w:fill="FFFFFF"/>
          <w:lang w:val="es-ES"/>
        </w:rPr>
      </w:pPr>
    </w:p>
    <w:p w14:paraId="65946B6A" w14:textId="13869401" w:rsidR="008D43EE" w:rsidRPr="001B26D4" w:rsidRDefault="008D43EE" w:rsidP="001B26D4">
      <w:pPr>
        <w:pStyle w:val="Textoindependiente"/>
        <w:tabs>
          <w:tab w:val="clear" w:pos="0"/>
          <w:tab w:val="clear" w:pos="708"/>
        </w:tabs>
        <w:spacing w:line="240" w:lineRule="auto"/>
        <w:ind w:left="426" w:right="420"/>
        <w:rPr>
          <w:rFonts w:ascii="Georgia" w:hAnsi="Georgia" w:cs="Arial"/>
          <w:sz w:val="22"/>
          <w:szCs w:val="24"/>
          <w:shd w:val="clear" w:color="auto" w:fill="FFFFFF"/>
          <w:lang w:val="es-ES"/>
        </w:rPr>
      </w:pPr>
      <w:r w:rsidRPr="001B26D4">
        <w:rPr>
          <w:rFonts w:ascii="Georgia" w:hAnsi="Georgia" w:cs="Arial"/>
          <w:sz w:val="22"/>
          <w:szCs w:val="24"/>
          <w:shd w:val="clear" w:color="auto" w:fill="FFFFFF"/>
          <w:lang w:val="es-ES"/>
        </w:rPr>
        <w:t>(…)</w:t>
      </w:r>
    </w:p>
    <w:p w14:paraId="749DA620" w14:textId="77777777" w:rsidR="008D43EE" w:rsidRPr="001B26D4" w:rsidRDefault="008D43EE" w:rsidP="001B26D4">
      <w:pPr>
        <w:pStyle w:val="Textoindependiente"/>
        <w:tabs>
          <w:tab w:val="clear" w:pos="0"/>
          <w:tab w:val="clear" w:pos="708"/>
        </w:tabs>
        <w:spacing w:line="240" w:lineRule="auto"/>
        <w:ind w:left="426" w:right="420"/>
        <w:rPr>
          <w:rFonts w:ascii="Georgia" w:hAnsi="Georgia" w:cs="Arial"/>
          <w:sz w:val="22"/>
          <w:szCs w:val="24"/>
          <w:shd w:val="clear" w:color="auto" w:fill="FFFFFF"/>
          <w:lang w:val="es-ES"/>
        </w:rPr>
      </w:pPr>
    </w:p>
    <w:p w14:paraId="351979B4" w14:textId="4A40AC23" w:rsidR="00D40CBB" w:rsidRPr="001B26D4" w:rsidRDefault="008D43EE" w:rsidP="001B26D4">
      <w:pPr>
        <w:pStyle w:val="Textoindependiente"/>
        <w:tabs>
          <w:tab w:val="clear" w:pos="0"/>
          <w:tab w:val="clear" w:pos="708"/>
        </w:tabs>
        <w:spacing w:line="240" w:lineRule="auto"/>
        <w:ind w:left="426" w:right="420"/>
        <w:rPr>
          <w:rFonts w:ascii="Georgia" w:hAnsi="Georgia" w:cs="Arial"/>
          <w:sz w:val="22"/>
          <w:szCs w:val="24"/>
          <w:shd w:val="clear" w:color="auto" w:fill="FFFFFF"/>
          <w:lang w:val="es-ES"/>
        </w:rPr>
      </w:pPr>
      <w:r w:rsidRPr="001B26D4">
        <w:rPr>
          <w:rFonts w:ascii="Georgia" w:hAnsi="Georgia" w:cs="Arial"/>
          <w:sz w:val="22"/>
          <w:szCs w:val="24"/>
          <w:shd w:val="clear" w:color="auto" w:fill="FFFFFF"/>
          <w:lang w:val="es-ES"/>
        </w:rPr>
        <w:t xml:space="preserve">… </w:t>
      </w:r>
      <w:r w:rsidRPr="001B26D4">
        <w:rPr>
          <w:rFonts w:ascii="Georgia" w:hAnsi="Georgia" w:cs="Arial"/>
          <w:sz w:val="22"/>
          <w:szCs w:val="24"/>
          <w:u w:val="single"/>
          <w:shd w:val="clear" w:color="auto" w:fill="FFFFFF"/>
          <w:lang w:val="es-ES"/>
        </w:rPr>
        <w:t>la Corte ha decretado la nulidad de lo actuado en múltiples procesos de tutela, con ocasión de la configuración de diversas causales de nulidad previstas en el artículo 133 del Código en mención, entre las cuales se encuentran, a manera de ejemplo, (i) la indebida notificación de las partes</w:t>
      </w:r>
      <w:r w:rsidRPr="001B26D4">
        <w:rPr>
          <w:rFonts w:ascii="Georgia" w:hAnsi="Georgia" w:cs="Arial"/>
          <w:sz w:val="22"/>
          <w:szCs w:val="24"/>
          <w:shd w:val="clear" w:color="auto" w:fill="FFFFFF"/>
          <w:lang w:val="es-ES"/>
        </w:rPr>
        <w:t>…</w:t>
      </w:r>
      <w:r w:rsidR="0021260C" w:rsidRPr="001B26D4">
        <w:rPr>
          <w:rFonts w:ascii="Georgia" w:hAnsi="Georgia" w:cs="Arial"/>
          <w:sz w:val="22"/>
          <w:szCs w:val="24"/>
          <w:shd w:val="clear" w:color="auto" w:fill="FFFFFF"/>
          <w:lang w:val="es-ES"/>
        </w:rPr>
        <w:t xml:space="preserve"> (Línea a propósito).</w:t>
      </w:r>
    </w:p>
    <w:p w14:paraId="40377E9F" w14:textId="56AA43EF" w:rsidR="00092F1E" w:rsidRPr="00E1090D" w:rsidRDefault="00092F1E" w:rsidP="00E1090D">
      <w:pPr>
        <w:spacing w:line="276" w:lineRule="auto"/>
        <w:jc w:val="both"/>
        <w:rPr>
          <w:rFonts w:ascii="Georgia" w:hAnsi="Georgia"/>
          <w:lang w:val="es-CO"/>
        </w:rPr>
      </w:pPr>
    </w:p>
    <w:p w14:paraId="19CF8CEA" w14:textId="1D728F6D" w:rsidR="006F7327" w:rsidRPr="00E1090D" w:rsidRDefault="006F7327" w:rsidP="00E1090D">
      <w:pPr>
        <w:spacing w:line="276" w:lineRule="auto"/>
        <w:jc w:val="both"/>
        <w:rPr>
          <w:rFonts w:ascii="Georgia" w:hAnsi="Georgia" w:cs="Arial"/>
        </w:rPr>
      </w:pPr>
      <w:r w:rsidRPr="00E1090D">
        <w:rPr>
          <w:rFonts w:ascii="Georgia" w:hAnsi="Georgia"/>
        </w:rPr>
        <w:t>Es rigurosa la comprobación del presupuesto, puesto que es inexistente alegato o prueba de circunstancia especial que la flexibilice</w:t>
      </w:r>
      <w:r w:rsidR="0029032F" w:rsidRPr="00E1090D">
        <w:rPr>
          <w:rFonts w:ascii="Georgia" w:hAnsi="Georgia"/>
        </w:rPr>
        <w:t>.</w:t>
      </w:r>
      <w:r w:rsidRPr="00E1090D">
        <w:rPr>
          <w:rFonts w:ascii="Georgia" w:hAnsi="Georgia"/>
        </w:rPr>
        <w:t xml:space="preserve"> No es </w:t>
      </w:r>
      <w:r w:rsidRPr="00E1090D">
        <w:rPr>
          <w:rFonts w:ascii="Georgia" w:hAnsi="Georgia" w:cs="Arial"/>
          <w:lang w:val="es-CO"/>
        </w:rPr>
        <w:t>una persona necesitada de protección reforzada</w:t>
      </w:r>
      <w:r w:rsidRPr="00E1090D">
        <w:rPr>
          <w:rStyle w:val="Refdenotaalpie"/>
          <w:rFonts w:ascii="Georgia" w:hAnsi="Georgia"/>
          <w:lang w:val="es-CO"/>
        </w:rPr>
        <w:footnoteReference w:id="15"/>
      </w:r>
      <w:r w:rsidR="0029032F" w:rsidRPr="00E1090D">
        <w:rPr>
          <w:rFonts w:ascii="Georgia" w:hAnsi="Georgia" w:cs="Arial"/>
          <w:lang w:val="es-CO"/>
        </w:rPr>
        <w:t>;</w:t>
      </w:r>
      <w:r w:rsidR="00D63926" w:rsidRPr="00E1090D">
        <w:rPr>
          <w:rFonts w:ascii="Georgia" w:hAnsi="Georgia" w:cs="Arial"/>
          <w:lang w:val="es-CO"/>
        </w:rPr>
        <w:t xml:space="preserve"> </w:t>
      </w:r>
      <w:r w:rsidRPr="00E1090D">
        <w:rPr>
          <w:rFonts w:ascii="Georgia" w:hAnsi="Georgia" w:cs="Arial"/>
          <w:lang w:val="es-CO"/>
        </w:rPr>
        <w:t>tampoco es inminente un perjuicio irremediable</w:t>
      </w:r>
      <w:r w:rsidRPr="00E1090D">
        <w:rPr>
          <w:rStyle w:val="Refdenotaalpie"/>
          <w:rFonts w:ascii="Georgia" w:hAnsi="Georgia"/>
          <w:lang w:val="es-CO"/>
        </w:rPr>
        <w:footnoteReference w:id="16"/>
      </w:r>
      <w:r w:rsidR="0062171A" w:rsidRPr="00E1090D">
        <w:rPr>
          <w:rFonts w:ascii="Georgia" w:hAnsi="Georgia" w:cs="Arial"/>
          <w:lang w:val="es-CO"/>
        </w:rPr>
        <w:t>; y, cuenta con la asesoría de profesional del derecho</w:t>
      </w:r>
      <w:r w:rsidRPr="00E1090D">
        <w:rPr>
          <w:rFonts w:ascii="Georgia" w:hAnsi="Georgia"/>
        </w:rPr>
        <w:t>. Corolario se declarará improcedente el amparo.</w:t>
      </w:r>
    </w:p>
    <w:p w14:paraId="339FBB58" w14:textId="5D319E7B" w:rsidR="009E5C52" w:rsidRPr="00E1090D" w:rsidRDefault="009E5C52" w:rsidP="00E1090D">
      <w:pPr>
        <w:pStyle w:val="Textoindependiente"/>
        <w:spacing w:line="276" w:lineRule="auto"/>
        <w:rPr>
          <w:rFonts w:ascii="Georgia" w:hAnsi="Georgia" w:cs="Arial"/>
          <w:szCs w:val="24"/>
          <w:shd w:val="clear" w:color="auto" w:fill="FAF9F8"/>
          <w:lang w:val="es-CO"/>
        </w:rPr>
      </w:pPr>
    </w:p>
    <w:p w14:paraId="61DAFC24" w14:textId="77777777" w:rsidR="009D2010" w:rsidRPr="00E1090D" w:rsidRDefault="009D2010" w:rsidP="00E1090D">
      <w:pPr>
        <w:spacing w:line="276" w:lineRule="auto"/>
        <w:ind w:right="51"/>
        <w:jc w:val="both"/>
        <w:rPr>
          <w:rFonts w:ascii="Georgia" w:hAnsi="Georgia" w:cs="Arial"/>
        </w:rPr>
      </w:pPr>
      <w:r w:rsidRPr="00E1090D">
        <w:rPr>
          <w:rFonts w:ascii="Georgia" w:hAnsi="Georgia" w:cs="Arial"/>
        </w:rPr>
        <w:t xml:space="preserve">En mérito de los razonamientos jurídicos hechos, el </w:t>
      </w:r>
      <w:r w:rsidRPr="00E1090D">
        <w:rPr>
          <w:rFonts w:ascii="Georgia" w:hAnsi="Georgia" w:cs="Arial"/>
          <w:smallCaps/>
          <w:lang w:val="es-419"/>
        </w:rPr>
        <w:t>Tribunal Superior del Distrito Judicial de Pereira, Sala 3ª de Asuntos Penales para Adolescentes</w:t>
      </w:r>
      <w:r w:rsidRPr="00E1090D">
        <w:rPr>
          <w:rFonts w:ascii="Georgia" w:hAnsi="Georgia" w:cs="Arial"/>
        </w:rPr>
        <w:t>, administrando Justicia, en nombre de la República de Colombia y por autoridad de la Ley,</w:t>
      </w:r>
    </w:p>
    <w:p w14:paraId="30841054" w14:textId="77777777" w:rsidR="00EB2A2C" w:rsidRPr="00E1090D" w:rsidRDefault="00EB2A2C" w:rsidP="00E1090D">
      <w:pPr>
        <w:pStyle w:val="Textoindependiente"/>
        <w:spacing w:line="276" w:lineRule="auto"/>
        <w:jc w:val="center"/>
        <w:rPr>
          <w:rFonts w:ascii="Georgia" w:hAnsi="Georgia" w:cs="Arial"/>
          <w:bCs/>
          <w:smallCaps/>
          <w:szCs w:val="24"/>
        </w:rPr>
      </w:pPr>
    </w:p>
    <w:p w14:paraId="67CBDF2C" w14:textId="4AD6E10A" w:rsidR="006E3281" w:rsidRPr="00E1090D" w:rsidRDefault="006E3281" w:rsidP="00E1090D">
      <w:pPr>
        <w:pStyle w:val="Textoindependiente"/>
        <w:spacing w:line="276" w:lineRule="auto"/>
        <w:jc w:val="center"/>
        <w:rPr>
          <w:rFonts w:ascii="Georgia" w:hAnsi="Georgia" w:cs="Arial"/>
          <w:bCs/>
          <w:smallCaps/>
          <w:szCs w:val="24"/>
        </w:rPr>
      </w:pPr>
      <w:r w:rsidRPr="00E1090D">
        <w:rPr>
          <w:rFonts w:ascii="Georgia" w:hAnsi="Georgia" w:cs="Arial"/>
          <w:bCs/>
          <w:smallCaps/>
          <w:szCs w:val="24"/>
        </w:rPr>
        <w:t xml:space="preserve">F A L </w:t>
      </w:r>
      <w:proofErr w:type="spellStart"/>
      <w:r w:rsidRPr="00E1090D">
        <w:rPr>
          <w:rFonts w:ascii="Georgia" w:hAnsi="Georgia" w:cs="Arial"/>
          <w:bCs/>
          <w:smallCaps/>
          <w:szCs w:val="24"/>
        </w:rPr>
        <w:t>L</w:t>
      </w:r>
      <w:proofErr w:type="spellEnd"/>
      <w:r w:rsidRPr="00E1090D">
        <w:rPr>
          <w:rFonts w:ascii="Georgia" w:hAnsi="Georgia" w:cs="Arial"/>
          <w:bCs/>
          <w:smallCaps/>
          <w:szCs w:val="24"/>
        </w:rPr>
        <w:t xml:space="preserve"> A,</w:t>
      </w:r>
    </w:p>
    <w:p w14:paraId="2E8C832D" w14:textId="77777777" w:rsidR="00647FE1" w:rsidRPr="00E1090D" w:rsidRDefault="00647FE1" w:rsidP="00E1090D">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59E59AC" w14:textId="5C6F6701" w:rsidR="008A7662" w:rsidRPr="00E1090D" w:rsidRDefault="00BF72EF" w:rsidP="00E1090D">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E1090D">
        <w:rPr>
          <w:rFonts w:ascii="Georgia" w:hAnsi="Georgia" w:cs="Arial"/>
        </w:rPr>
        <w:t xml:space="preserve">DECLARAR improcedente la tutela propuesta por el señor </w:t>
      </w:r>
      <w:r w:rsidR="008D43EE" w:rsidRPr="00E1090D">
        <w:rPr>
          <w:rFonts w:ascii="Georgia" w:hAnsi="Georgia" w:cs="Arial"/>
        </w:rPr>
        <w:t xml:space="preserve">Luis Javier Arango Berrio </w:t>
      </w:r>
      <w:r w:rsidR="00494523" w:rsidRPr="00E1090D">
        <w:rPr>
          <w:rFonts w:ascii="Georgia" w:hAnsi="Georgia" w:cs="Arial"/>
        </w:rPr>
        <w:t xml:space="preserve">contra </w:t>
      </w:r>
      <w:r w:rsidR="008D43EE" w:rsidRPr="00E1090D">
        <w:rPr>
          <w:rFonts w:ascii="Georgia" w:hAnsi="Georgia" w:cs="Arial"/>
        </w:rPr>
        <w:t xml:space="preserve">los </w:t>
      </w:r>
      <w:r w:rsidR="008E65AC" w:rsidRPr="00E1090D">
        <w:rPr>
          <w:rFonts w:ascii="Georgia" w:hAnsi="Georgia" w:cs="Arial"/>
        </w:rPr>
        <w:t>Juzgado</w:t>
      </w:r>
      <w:r w:rsidR="008D43EE" w:rsidRPr="00E1090D">
        <w:rPr>
          <w:rFonts w:ascii="Georgia" w:hAnsi="Georgia" w:cs="Arial"/>
        </w:rPr>
        <w:t>s</w:t>
      </w:r>
      <w:r w:rsidR="008E65AC" w:rsidRPr="00E1090D">
        <w:rPr>
          <w:rFonts w:ascii="Georgia" w:hAnsi="Georgia" w:cs="Arial"/>
        </w:rPr>
        <w:t xml:space="preserve"> </w:t>
      </w:r>
      <w:r w:rsidR="008D43EE" w:rsidRPr="00E1090D">
        <w:rPr>
          <w:rFonts w:ascii="Georgia" w:hAnsi="Georgia" w:cs="Arial"/>
          <w:lang w:val="es-CO"/>
        </w:rPr>
        <w:t>2º Municipal para Adolescentes con función de control de garantías y 2º Penal del Circuito para Adolescentes con función de conocimiento de Pereira</w:t>
      </w:r>
      <w:r w:rsidR="000A5E3F" w:rsidRPr="00E1090D">
        <w:rPr>
          <w:rFonts w:ascii="Georgia" w:hAnsi="Georgia" w:cs="Arial"/>
        </w:rPr>
        <w:t>.</w:t>
      </w:r>
    </w:p>
    <w:p w14:paraId="0A141B2E" w14:textId="77777777" w:rsidR="007F6050" w:rsidRPr="00E1090D" w:rsidRDefault="007F6050" w:rsidP="00E1090D">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2C7B8D9" w14:textId="3688B267" w:rsidR="008A7662" w:rsidRPr="00E1090D" w:rsidRDefault="006E3281" w:rsidP="00E1090D">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E1090D">
        <w:rPr>
          <w:rFonts w:ascii="Georgia" w:hAnsi="Georgia" w:cs="Arial"/>
          <w:spacing w:val="-3"/>
          <w:lang w:val="es-ES_tradnl"/>
        </w:rPr>
        <w:t xml:space="preserve">REMITIR este expediente, a la </w:t>
      </w:r>
      <w:r w:rsidR="00730B2F" w:rsidRPr="00E1090D">
        <w:rPr>
          <w:rFonts w:ascii="Georgia" w:hAnsi="Georgia" w:cs="Arial"/>
          <w:spacing w:val="-3"/>
          <w:lang w:val="es-ES_tradnl"/>
        </w:rPr>
        <w:t>CC</w:t>
      </w:r>
      <w:r w:rsidRPr="00E1090D">
        <w:rPr>
          <w:rFonts w:ascii="Georgia" w:hAnsi="Georgia" w:cs="Arial"/>
          <w:spacing w:val="-3"/>
          <w:lang w:val="es-ES_tradnl"/>
        </w:rPr>
        <w:t xml:space="preserve"> para su eventual revisión.</w:t>
      </w:r>
    </w:p>
    <w:p w14:paraId="3530E9E4" w14:textId="77777777" w:rsidR="001878AA" w:rsidRPr="00E1090D" w:rsidRDefault="001878AA" w:rsidP="00E1090D">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4E361BBD" w14:textId="7CF23427" w:rsidR="001F4C1B" w:rsidRPr="00E1090D" w:rsidRDefault="001F4C1B" w:rsidP="00E1090D">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E1090D">
        <w:rPr>
          <w:rFonts w:ascii="Georgia" w:hAnsi="Georgia" w:cs="Arial"/>
          <w:spacing w:val="-3"/>
          <w:lang w:val="es-ES_tradnl"/>
        </w:rPr>
        <w:t>ORDENAR el archivo del expediente, surtidos los trámites anteriores.</w:t>
      </w:r>
    </w:p>
    <w:p w14:paraId="279C574D" w14:textId="77777777" w:rsidR="00D63926" w:rsidRPr="00E1090D" w:rsidRDefault="00D63926" w:rsidP="00E1090D">
      <w:pPr>
        <w:pStyle w:val="Textoindependiente"/>
        <w:spacing w:line="276" w:lineRule="auto"/>
        <w:jc w:val="center"/>
        <w:rPr>
          <w:rFonts w:ascii="Georgia" w:hAnsi="Georgia" w:cs="Arial"/>
          <w:smallCaps/>
          <w:szCs w:val="24"/>
          <w:lang w:val="es-CO"/>
        </w:rPr>
      </w:pPr>
    </w:p>
    <w:p w14:paraId="69D865C5" w14:textId="77777777" w:rsidR="00E1090D" w:rsidRPr="00E1090D" w:rsidRDefault="00E1090D" w:rsidP="00E1090D">
      <w:pPr>
        <w:overflowPunct w:val="0"/>
        <w:spacing w:line="276" w:lineRule="auto"/>
        <w:jc w:val="center"/>
        <w:rPr>
          <w:rFonts w:ascii="Georgia" w:hAnsi="Georgia" w:cs="Arial"/>
          <w:bCs/>
          <w:smallCaps/>
          <w:kern w:val="28"/>
        </w:rPr>
      </w:pPr>
      <w:r w:rsidRPr="00E1090D">
        <w:rPr>
          <w:rFonts w:ascii="Georgia" w:hAnsi="Georgia" w:cs="Arial"/>
          <w:bCs/>
          <w:smallCaps/>
          <w:kern w:val="28"/>
        </w:rPr>
        <w:t>Notifíquese,</w:t>
      </w:r>
    </w:p>
    <w:p w14:paraId="2DC52CBB" w14:textId="77777777" w:rsidR="00E1090D" w:rsidRPr="00E1090D" w:rsidRDefault="00E1090D" w:rsidP="00E1090D">
      <w:pPr>
        <w:widowControl/>
        <w:overflowPunct w:val="0"/>
        <w:spacing w:line="276" w:lineRule="auto"/>
        <w:jc w:val="center"/>
        <w:textAlignment w:val="baseline"/>
        <w:rPr>
          <w:rFonts w:ascii="Georgia" w:hAnsi="Georgia" w:cs="Arial"/>
          <w:bCs/>
          <w:caps/>
          <w:w w:val="150"/>
          <w:szCs w:val="18"/>
          <w:lang w:val="es-MX"/>
        </w:rPr>
      </w:pPr>
      <w:bookmarkStart w:id="4" w:name="_Hlk76974190"/>
    </w:p>
    <w:p w14:paraId="0051C692" w14:textId="77777777" w:rsidR="00E1090D" w:rsidRPr="00E1090D" w:rsidRDefault="00E1090D" w:rsidP="00E1090D">
      <w:pPr>
        <w:widowControl/>
        <w:overflowPunct w:val="0"/>
        <w:spacing w:line="276" w:lineRule="auto"/>
        <w:jc w:val="center"/>
        <w:textAlignment w:val="baseline"/>
        <w:rPr>
          <w:rFonts w:ascii="Georgia" w:hAnsi="Georgia" w:cs="Arial"/>
          <w:bCs/>
          <w:caps/>
          <w:w w:val="150"/>
          <w:szCs w:val="18"/>
          <w:lang w:val="es-MX"/>
        </w:rPr>
      </w:pPr>
    </w:p>
    <w:p w14:paraId="743E3A47" w14:textId="77777777" w:rsidR="00E1090D" w:rsidRPr="00E1090D" w:rsidRDefault="00E1090D" w:rsidP="00E1090D">
      <w:pPr>
        <w:widowControl/>
        <w:overflowPunct w:val="0"/>
        <w:spacing w:line="276" w:lineRule="auto"/>
        <w:jc w:val="center"/>
        <w:textAlignment w:val="baseline"/>
        <w:rPr>
          <w:rFonts w:ascii="Georgia" w:hAnsi="Georgia" w:cs="Arial"/>
          <w:b/>
          <w:bCs/>
          <w:caps/>
          <w:spacing w:val="20"/>
          <w:w w:val="150"/>
          <w:sz w:val="22"/>
          <w:szCs w:val="18"/>
          <w:lang w:val="es-MX"/>
        </w:rPr>
      </w:pPr>
      <w:r w:rsidRPr="00E1090D">
        <w:rPr>
          <w:rFonts w:ascii="Georgia" w:hAnsi="Georgia" w:cs="Arial"/>
          <w:b/>
          <w:bCs/>
          <w:caps/>
          <w:spacing w:val="20"/>
          <w:w w:val="150"/>
          <w:szCs w:val="18"/>
          <w:lang w:val="es-MX"/>
        </w:rPr>
        <w:t>D</w:t>
      </w:r>
      <w:r w:rsidRPr="00E1090D">
        <w:rPr>
          <w:rFonts w:ascii="Georgia" w:hAnsi="Georgia" w:cs="Arial"/>
          <w:b/>
          <w:bCs/>
          <w:caps/>
          <w:spacing w:val="20"/>
          <w:w w:val="150"/>
          <w:sz w:val="16"/>
          <w:szCs w:val="18"/>
          <w:lang w:val="es-MX"/>
        </w:rPr>
        <w:t>UBERNEY</w:t>
      </w:r>
      <w:r w:rsidRPr="00E1090D">
        <w:rPr>
          <w:rFonts w:ascii="Georgia" w:hAnsi="Georgia" w:cs="Arial"/>
          <w:b/>
          <w:bCs/>
          <w:caps/>
          <w:spacing w:val="20"/>
          <w:w w:val="150"/>
          <w:sz w:val="20"/>
          <w:szCs w:val="18"/>
          <w:lang w:val="es-MX"/>
        </w:rPr>
        <w:t xml:space="preserve"> </w:t>
      </w:r>
      <w:r w:rsidRPr="00E1090D">
        <w:rPr>
          <w:rFonts w:ascii="Georgia" w:hAnsi="Georgia" w:cs="Arial"/>
          <w:b/>
          <w:bCs/>
          <w:caps/>
          <w:spacing w:val="20"/>
          <w:w w:val="150"/>
          <w:szCs w:val="18"/>
          <w:lang w:val="es-MX"/>
        </w:rPr>
        <w:t>G</w:t>
      </w:r>
      <w:r w:rsidRPr="00E1090D">
        <w:rPr>
          <w:rFonts w:ascii="Georgia" w:hAnsi="Georgia" w:cs="Arial"/>
          <w:b/>
          <w:bCs/>
          <w:caps/>
          <w:spacing w:val="20"/>
          <w:w w:val="150"/>
          <w:sz w:val="16"/>
          <w:szCs w:val="18"/>
          <w:lang w:val="es-MX"/>
        </w:rPr>
        <w:t>RISALES</w:t>
      </w:r>
      <w:r w:rsidRPr="00E1090D">
        <w:rPr>
          <w:rFonts w:ascii="Georgia" w:hAnsi="Georgia" w:cs="Arial"/>
          <w:b/>
          <w:bCs/>
          <w:caps/>
          <w:spacing w:val="20"/>
          <w:w w:val="150"/>
          <w:sz w:val="20"/>
          <w:szCs w:val="18"/>
          <w:lang w:val="es-MX"/>
        </w:rPr>
        <w:t xml:space="preserve"> </w:t>
      </w:r>
      <w:r w:rsidRPr="00E1090D">
        <w:rPr>
          <w:rFonts w:ascii="Georgia" w:hAnsi="Georgia" w:cs="Arial"/>
          <w:b/>
          <w:bCs/>
          <w:caps/>
          <w:spacing w:val="20"/>
          <w:w w:val="150"/>
          <w:szCs w:val="18"/>
          <w:lang w:val="es-MX"/>
        </w:rPr>
        <w:t>H</w:t>
      </w:r>
      <w:r w:rsidRPr="00E1090D">
        <w:rPr>
          <w:rFonts w:ascii="Georgia" w:hAnsi="Georgia" w:cs="Arial"/>
          <w:b/>
          <w:bCs/>
          <w:caps/>
          <w:spacing w:val="20"/>
          <w:w w:val="150"/>
          <w:sz w:val="16"/>
          <w:szCs w:val="18"/>
          <w:lang w:val="es-MX"/>
        </w:rPr>
        <w:t>ERRERA</w:t>
      </w:r>
    </w:p>
    <w:p w14:paraId="124E9B79" w14:textId="77777777" w:rsidR="00E1090D" w:rsidRPr="00E1090D" w:rsidRDefault="00E1090D" w:rsidP="00E1090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E1090D">
        <w:rPr>
          <w:rFonts w:ascii="Georgia" w:hAnsi="Georgia" w:cs="Arial"/>
          <w:bCs/>
          <w:caps/>
          <w:spacing w:val="20"/>
          <w:w w:val="150"/>
          <w:kern w:val="28"/>
          <w:sz w:val="28"/>
          <w:szCs w:val="22"/>
        </w:rPr>
        <w:t>M</w:t>
      </w:r>
      <w:r w:rsidRPr="00E1090D">
        <w:rPr>
          <w:rFonts w:ascii="Georgia" w:hAnsi="Georgia" w:cs="Arial"/>
          <w:bCs/>
          <w:caps/>
          <w:spacing w:val="20"/>
          <w:w w:val="150"/>
          <w:kern w:val="28"/>
          <w:sz w:val="18"/>
          <w:szCs w:val="18"/>
        </w:rPr>
        <w:t>agistrado</w:t>
      </w:r>
    </w:p>
    <w:p w14:paraId="6CAF372A" w14:textId="77777777" w:rsidR="00E1090D" w:rsidRPr="00E1090D" w:rsidRDefault="00E1090D" w:rsidP="00E1090D">
      <w:pPr>
        <w:widowControl/>
        <w:overflowPunct w:val="0"/>
        <w:spacing w:line="276" w:lineRule="auto"/>
        <w:textAlignment w:val="baseline"/>
        <w:rPr>
          <w:rFonts w:ascii="Georgia" w:hAnsi="Georgia" w:cs="Arial"/>
          <w:caps/>
          <w:spacing w:val="20"/>
          <w:w w:val="150"/>
          <w:szCs w:val="28"/>
          <w:lang w:val="es-MX"/>
        </w:rPr>
      </w:pPr>
    </w:p>
    <w:p w14:paraId="03D283B2" w14:textId="77777777" w:rsidR="00E1090D" w:rsidRPr="00E1090D" w:rsidRDefault="00E1090D" w:rsidP="00E1090D">
      <w:pPr>
        <w:widowControl/>
        <w:overflowPunct w:val="0"/>
        <w:spacing w:line="276" w:lineRule="auto"/>
        <w:textAlignment w:val="baseline"/>
        <w:rPr>
          <w:rFonts w:ascii="Georgia" w:hAnsi="Georgia" w:cs="Arial"/>
          <w:caps/>
          <w:spacing w:val="20"/>
          <w:w w:val="150"/>
          <w:szCs w:val="28"/>
          <w:lang w:val="es-MX"/>
        </w:rPr>
      </w:pPr>
    </w:p>
    <w:p w14:paraId="3E12FC76" w14:textId="7294C00A" w:rsidR="00E1090D" w:rsidRPr="00E1090D" w:rsidRDefault="00E1090D" w:rsidP="00E1090D">
      <w:pPr>
        <w:widowControl/>
        <w:overflowPunct w:val="0"/>
        <w:spacing w:line="276" w:lineRule="auto"/>
        <w:textAlignment w:val="baseline"/>
        <w:rPr>
          <w:rFonts w:ascii="Georgia" w:hAnsi="Georgia" w:cs="Arial"/>
          <w:b/>
          <w:caps/>
          <w:spacing w:val="20"/>
          <w:w w:val="150"/>
          <w:sz w:val="16"/>
          <w:szCs w:val="18"/>
          <w:lang w:val="es-MX"/>
        </w:rPr>
      </w:pPr>
      <w:r>
        <w:rPr>
          <w:rFonts w:ascii="Georgia" w:hAnsi="Georgia" w:cs="Arial"/>
          <w:b/>
          <w:caps/>
          <w:spacing w:val="20"/>
          <w:w w:val="150"/>
          <w:szCs w:val="28"/>
          <w:lang w:val="es-MX"/>
        </w:rPr>
        <w:t>J</w:t>
      </w:r>
      <w:r w:rsidRPr="00E1090D">
        <w:rPr>
          <w:rFonts w:ascii="Georgia" w:hAnsi="Georgia" w:cs="Arial"/>
          <w:b/>
          <w:caps/>
          <w:spacing w:val="20"/>
          <w:w w:val="150"/>
          <w:sz w:val="16"/>
          <w:szCs w:val="18"/>
          <w:lang w:val="es-MX"/>
        </w:rPr>
        <w:t>orge</w:t>
      </w:r>
      <w:r>
        <w:rPr>
          <w:rFonts w:ascii="Georgia" w:hAnsi="Georgia" w:cs="Arial"/>
          <w:b/>
          <w:caps/>
          <w:spacing w:val="20"/>
          <w:w w:val="150"/>
          <w:szCs w:val="28"/>
          <w:lang w:val="es-MX"/>
        </w:rPr>
        <w:t xml:space="preserve"> A</w:t>
      </w:r>
      <w:r w:rsidR="001B26D4">
        <w:rPr>
          <w:rFonts w:ascii="Georgia" w:hAnsi="Georgia" w:cs="Arial"/>
          <w:b/>
          <w:caps/>
          <w:spacing w:val="20"/>
          <w:w w:val="150"/>
          <w:szCs w:val="28"/>
          <w:lang w:val="es-MX"/>
        </w:rPr>
        <w:t>.</w:t>
      </w:r>
      <w:r>
        <w:rPr>
          <w:rFonts w:ascii="Georgia" w:hAnsi="Georgia" w:cs="Arial"/>
          <w:b/>
          <w:caps/>
          <w:spacing w:val="20"/>
          <w:w w:val="150"/>
          <w:szCs w:val="28"/>
          <w:lang w:val="es-MX"/>
        </w:rPr>
        <w:t xml:space="preserve"> C</w:t>
      </w:r>
      <w:r w:rsidRPr="00E1090D">
        <w:rPr>
          <w:rFonts w:ascii="Georgia" w:hAnsi="Georgia" w:cs="Arial"/>
          <w:b/>
          <w:caps/>
          <w:spacing w:val="20"/>
          <w:w w:val="150"/>
          <w:sz w:val="16"/>
          <w:szCs w:val="18"/>
          <w:lang w:val="es-MX"/>
        </w:rPr>
        <w:t>astaño</w:t>
      </w:r>
      <w:r>
        <w:rPr>
          <w:rFonts w:ascii="Georgia" w:hAnsi="Georgia" w:cs="Arial"/>
          <w:b/>
          <w:caps/>
          <w:spacing w:val="20"/>
          <w:w w:val="150"/>
          <w:szCs w:val="28"/>
          <w:lang w:val="es-MX"/>
        </w:rPr>
        <w:t xml:space="preserve"> D</w:t>
      </w:r>
      <w:r w:rsidR="001B26D4" w:rsidRPr="001B26D4">
        <w:rPr>
          <w:rFonts w:ascii="Georgia" w:hAnsi="Georgia" w:cs="Arial"/>
          <w:b/>
          <w:bCs/>
          <w:caps/>
          <w:spacing w:val="20"/>
          <w:w w:val="150"/>
          <w:sz w:val="16"/>
          <w:szCs w:val="18"/>
          <w:lang w:val="es-MX"/>
        </w:rPr>
        <w:t>uque</w:t>
      </w:r>
      <w:r w:rsidRPr="00E1090D">
        <w:rPr>
          <w:rFonts w:ascii="Georgia" w:hAnsi="Georgia" w:cs="Arial"/>
          <w:b/>
          <w:bCs/>
          <w:caps/>
          <w:spacing w:val="20"/>
          <w:w w:val="150"/>
          <w:sz w:val="16"/>
          <w:szCs w:val="10"/>
          <w:lang w:val="es-MX"/>
        </w:rPr>
        <w:tab/>
      </w:r>
      <w:r w:rsidRPr="00E1090D">
        <w:rPr>
          <w:rFonts w:ascii="Georgia" w:hAnsi="Georgia" w:cs="Arial"/>
          <w:b/>
          <w:caps/>
          <w:spacing w:val="20"/>
          <w:w w:val="150"/>
          <w:szCs w:val="28"/>
          <w:lang w:val="es-MX"/>
        </w:rPr>
        <w:t>J</w:t>
      </w:r>
      <w:r w:rsidRPr="00E1090D">
        <w:rPr>
          <w:rFonts w:ascii="Georgia" w:hAnsi="Georgia" w:cs="Arial"/>
          <w:b/>
          <w:caps/>
          <w:spacing w:val="20"/>
          <w:w w:val="150"/>
          <w:sz w:val="16"/>
          <w:szCs w:val="18"/>
          <w:lang w:val="es-MX"/>
        </w:rPr>
        <w:t xml:space="preserve">AIME </w:t>
      </w:r>
      <w:r w:rsidRPr="00E1090D">
        <w:rPr>
          <w:rFonts w:ascii="Georgia" w:hAnsi="Georgia" w:cs="Arial"/>
          <w:b/>
          <w:caps/>
          <w:spacing w:val="20"/>
          <w:w w:val="150"/>
          <w:szCs w:val="28"/>
          <w:lang w:val="es-MX"/>
        </w:rPr>
        <w:t>A</w:t>
      </w:r>
      <w:r w:rsidRPr="00E1090D">
        <w:rPr>
          <w:rFonts w:ascii="Georgia" w:hAnsi="Georgia" w:cs="Arial"/>
          <w:b/>
          <w:caps/>
          <w:spacing w:val="20"/>
          <w:w w:val="150"/>
          <w:sz w:val="16"/>
          <w:szCs w:val="18"/>
          <w:lang w:val="es-MX"/>
        </w:rPr>
        <w:t xml:space="preserve">. </w:t>
      </w:r>
      <w:r w:rsidRPr="00E1090D">
        <w:rPr>
          <w:rFonts w:ascii="Georgia" w:hAnsi="Georgia" w:cs="Arial"/>
          <w:b/>
          <w:caps/>
          <w:spacing w:val="20"/>
          <w:w w:val="150"/>
          <w:szCs w:val="28"/>
          <w:lang w:val="es-MX"/>
        </w:rPr>
        <w:t>S</w:t>
      </w:r>
      <w:r w:rsidRPr="00E1090D">
        <w:rPr>
          <w:rFonts w:ascii="Georgia" w:hAnsi="Georgia" w:cs="Arial"/>
          <w:b/>
          <w:caps/>
          <w:spacing w:val="20"/>
          <w:w w:val="150"/>
          <w:sz w:val="16"/>
          <w:szCs w:val="18"/>
          <w:lang w:val="es-MX"/>
        </w:rPr>
        <w:t xml:space="preserve">ARAZA </w:t>
      </w:r>
      <w:r w:rsidRPr="00E1090D">
        <w:rPr>
          <w:rFonts w:ascii="Georgia" w:hAnsi="Georgia" w:cs="Arial"/>
          <w:b/>
          <w:caps/>
          <w:spacing w:val="20"/>
          <w:w w:val="150"/>
          <w:szCs w:val="28"/>
          <w:lang w:val="es-MX"/>
        </w:rPr>
        <w:t>N</w:t>
      </w:r>
      <w:r w:rsidR="001B26D4">
        <w:rPr>
          <w:rFonts w:ascii="Georgia" w:hAnsi="Georgia" w:cs="Arial"/>
          <w:b/>
          <w:caps/>
          <w:spacing w:val="20"/>
          <w:w w:val="150"/>
          <w:szCs w:val="28"/>
          <w:lang w:val="es-MX"/>
        </w:rPr>
        <w:t>.</w:t>
      </w:r>
    </w:p>
    <w:p w14:paraId="72F7278D" w14:textId="2B9EE989" w:rsidR="00CF645F" w:rsidRPr="00E1090D" w:rsidRDefault="00E1090D" w:rsidP="00E1090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E1090D">
        <w:rPr>
          <w:rFonts w:ascii="Georgia" w:hAnsi="Georgia" w:cs="Arial"/>
          <w:bCs/>
          <w:caps/>
          <w:spacing w:val="20"/>
          <w:w w:val="150"/>
          <w:sz w:val="18"/>
          <w:szCs w:val="10"/>
          <w:lang w:val="en-US"/>
        </w:rPr>
        <w:t xml:space="preserve">M A G I S T R A D O </w:t>
      </w:r>
      <w:r w:rsidRPr="00E1090D">
        <w:rPr>
          <w:rFonts w:ascii="Georgia" w:hAnsi="Georgia" w:cs="Arial"/>
          <w:bCs/>
          <w:caps/>
          <w:spacing w:val="20"/>
          <w:w w:val="150"/>
          <w:sz w:val="18"/>
          <w:szCs w:val="10"/>
          <w:lang w:val="en-US"/>
        </w:rPr>
        <w:tab/>
      </w:r>
      <w:r w:rsidR="001B26D4">
        <w:rPr>
          <w:rFonts w:ascii="Georgia" w:hAnsi="Georgia" w:cs="Arial"/>
          <w:bCs/>
          <w:caps/>
          <w:spacing w:val="20"/>
          <w:w w:val="150"/>
          <w:sz w:val="18"/>
          <w:szCs w:val="10"/>
          <w:lang w:val="en-US"/>
        </w:rPr>
        <w:tab/>
      </w:r>
      <w:r w:rsidR="001B26D4">
        <w:rPr>
          <w:rFonts w:ascii="Georgia" w:hAnsi="Georgia" w:cs="Arial"/>
          <w:bCs/>
          <w:caps/>
          <w:spacing w:val="20"/>
          <w:w w:val="150"/>
          <w:sz w:val="18"/>
          <w:szCs w:val="10"/>
          <w:lang w:val="en-US"/>
        </w:rPr>
        <w:tab/>
      </w:r>
      <w:r w:rsidRPr="00E1090D">
        <w:rPr>
          <w:rFonts w:ascii="Georgia" w:hAnsi="Georgia" w:cs="Arial"/>
          <w:bCs/>
          <w:caps/>
          <w:spacing w:val="20"/>
          <w:w w:val="150"/>
          <w:sz w:val="18"/>
          <w:szCs w:val="10"/>
          <w:lang w:val="en-US"/>
        </w:rPr>
        <w:t>M A G I S T R A D O</w:t>
      </w:r>
      <w:bookmarkStart w:id="5" w:name="_GoBack"/>
      <w:bookmarkEnd w:id="4"/>
      <w:bookmarkEnd w:id="5"/>
    </w:p>
    <w:sectPr w:rsidR="00CF645F" w:rsidRPr="00E1090D" w:rsidSect="00390C94">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D6C140" w16cex:dateUtc="2022-03-09T16:53:51.8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A576" w14:textId="77777777" w:rsidR="00B64461" w:rsidRDefault="00B64461" w:rsidP="0099045D">
      <w:r>
        <w:separator/>
      </w:r>
    </w:p>
  </w:endnote>
  <w:endnote w:type="continuationSeparator" w:id="0">
    <w:p w14:paraId="50288415" w14:textId="77777777" w:rsidR="00B64461" w:rsidRDefault="00B6446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D403" w14:textId="77777777" w:rsidR="00B64461" w:rsidRDefault="00B64461" w:rsidP="0099045D">
      <w:r>
        <w:separator/>
      </w:r>
    </w:p>
  </w:footnote>
  <w:footnote w:type="continuationSeparator" w:id="0">
    <w:p w14:paraId="5CE7076B" w14:textId="77777777" w:rsidR="00B64461" w:rsidRDefault="00B64461" w:rsidP="0099045D">
      <w:r>
        <w:continuationSeparator/>
      </w:r>
    </w:p>
  </w:footnote>
  <w:footnote w:id="1">
    <w:p w14:paraId="3336E90B" w14:textId="77777777" w:rsidR="009D2010" w:rsidRPr="001B26D4" w:rsidRDefault="009D2010" w:rsidP="001B26D4">
      <w:pPr>
        <w:pStyle w:val="Textonotapie"/>
        <w:jc w:val="both"/>
        <w:rPr>
          <w:rFonts w:ascii="Century" w:hAnsi="Century"/>
          <w:sz w:val="18"/>
          <w:lang w:val="es-CO"/>
        </w:rPr>
      </w:pPr>
      <w:r w:rsidRPr="001B26D4">
        <w:rPr>
          <w:rStyle w:val="Refdenotaalpie"/>
          <w:rFonts w:ascii="Century" w:hAnsi="Century" w:cs="Arial"/>
          <w:sz w:val="18"/>
        </w:rPr>
        <w:footnoteRef/>
      </w:r>
      <w:r w:rsidRPr="001B26D4">
        <w:rPr>
          <w:rFonts w:ascii="Century" w:hAnsi="Century" w:cs="Arial"/>
          <w:sz w:val="18"/>
          <w:lang w:val="es-CO"/>
        </w:rPr>
        <w:t xml:space="preserve"> CC. T-382 de 2016.</w:t>
      </w:r>
    </w:p>
  </w:footnote>
  <w:footnote w:id="2">
    <w:p w14:paraId="5C97079D" w14:textId="77777777" w:rsidR="009D2010" w:rsidRPr="001B26D4" w:rsidRDefault="009D2010" w:rsidP="001B26D4">
      <w:pPr>
        <w:pStyle w:val="Textonotapie"/>
        <w:jc w:val="both"/>
        <w:rPr>
          <w:rFonts w:ascii="Century" w:hAnsi="Century"/>
          <w:sz w:val="18"/>
          <w:lang w:val="es-CO"/>
        </w:rPr>
      </w:pPr>
      <w:r w:rsidRPr="001B26D4">
        <w:rPr>
          <w:rStyle w:val="Refdenotaalpie"/>
          <w:rFonts w:ascii="Century" w:hAnsi="Century" w:cs="Arial"/>
          <w:sz w:val="18"/>
        </w:rPr>
        <w:footnoteRef/>
      </w:r>
      <w:r w:rsidRPr="001B26D4">
        <w:rPr>
          <w:rFonts w:ascii="Century" w:hAnsi="Century" w:cs="Arial"/>
          <w:sz w:val="18"/>
          <w:lang w:val="es-CO"/>
        </w:rPr>
        <w:t xml:space="preserve"> CC. T-1191 de 2004, también pueden consultarse las </w:t>
      </w:r>
      <w:r w:rsidRPr="001B26D4">
        <w:rPr>
          <w:rFonts w:ascii="Century" w:hAnsi="Century"/>
          <w:sz w:val="18"/>
          <w:lang w:val="es-CO"/>
        </w:rPr>
        <w:t>T-928 de 2012 y T-464 de 2013.</w:t>
      </w:r>
      <w:r w:rsidRPr="001B26D4">
        <w:rPr>
          <w:rFonts w:ascii="Century" w:hAnsi="Century" w:cs="Arial"/>
          <w:sz w:val="18"/>
          <w:lang w:val="es-CO"/>
        </w:rPr>
        <w:t> </w:t>
      </w:r>
    </w:p>
  </w:footnote>
  <w:footnote w:id="3">
    <w:p w14:paraId="290BE9DA" w14:textId="77777777" w:rsidR="009D2010" w:rsidRPr="001B26D4" w:rsidRDefault="009D2010" w:rsidP="001B26D4">
      <w:pPr>
        <w:pStyle w:val="Textonotapie"/>
        <w:jc w:val="both"/>
        <w:rPr>
          <w:rFonts w:ascii="Century" w:hAnsi="Century"/>
          <w:sz w:val="18"/>
          <w:lang w:val="es-CO"/>
        </w:rPr>
      </w:pPr>
      <w:r w:rsidRPr="001B26D4">
        <w:rPr>
          <w:rStyle w:val="Refdenotaalpie"/>
          <w:rFonts w:ascii="Century" w:hAnsi="Century"/>
          <w:sz w:val="18"/>
          <w:lang w:val="es-CO"/>
        </w:rPr>
        <w:footnoteRef/>
      </w:r>
      <w:r w:rsidRPr="001B26D4">
        <w:rPr>
          <w:rFonts w:ascii="Century" w:hAnsi="Century"/>
          <w:sz w:val="18"/>
          <w:lang w:val="es-CO"/>
        </w:rPr>
        <w:t xml:space="preserve"> CSJ, STC del 13-12-2011, radicado No.00284-02; reiterada en las STC5313-2015, STC5520-2015, STC2344-2016, STC4769-2018, STC1086-2019 y </w:t>
      </w:r>
      <w:r w:rsidRPr="001B26D4">
        <w:rPr>
          <w:rFonts w:ascii="Century" w:hAnsi="Century"/>
          <w:sz w:val="18"/>
          <w:lang w:val="es-ES_tradnl"/>
        </w:rPr>
        <w:t>STC944-2019.</w:t>
      </w:r>
    </w:p>
  </w:footnote>
  <w:footnote w:id="4">
    <w:p w14:paraId="4917258A" w14:textId="77777777" w:rsidR="009D2010" w:rsidRPr="001B26D4" w:rsidRDefault="009D2010" w:rsidP="001B26D4">
      <w:pPr>
        <w:pStyle w:val="Textonotapie"/>
        <w:jc w:val="both"/>
        <w:rPr>
          <w:rFonts w:ascii="Century" w:hAnsi="Century"/>
          <w:sz w:val="18"/>
          <w:lang w:val="es-CO"/>
        </w:rPr>
      </w:pPr>
      <w:r w:rsidRPr="001B26D4">
        <w:rPr>
          <w:rStyle w:val="Refdenotaalpie"/>
          <w:rFonts w:ascii="Century" w:hAnsi="Century"/>
          <w:sz w:val="18"/>
          <w:lang w:val="es-CO"/>
        </w:rPr>
        <w:footnoteRef/>
      </w:r>
      <w:r w:rsidRPr="001B26D4">
        <w:rPr>
          <w:rFonts w:ascii="Century" w:hAnsi="Century"/>
          <w:sz w:val="18"/>
          <w:lang w:val="es-CO"/>
        </w:rPr>
        <w:t xml:space="preserve"> CC. SU-377 de 2014, reiterada en la T-083 de 2016.</w:t>
      </w:r>
    </w:p>
  </w:footnote>
  <w:footnote w:id="5">
    <w:p w14:paraId="1807F4B4" w14:textId="77777777" w:rsidR="009D2010" w:rsidRPr="001B26D4" w:rsidRDefault="009D2010" w:rsidP="001B26D4">
      <w:pPr>
        <w:pStyle w:val="Textonotapie"/>
        <w:jc w:val="both"/>
        <w:rPr>
          <w:sz w:val="18"/>
        </w:rPr>
      </w:pPr>
      <w:r w:rsidRPr="001B26D4">
        <w:rPr>
          <w:rStyle w:val="Refdenotaalpie"/>
          <w:rFonts w:ascii="Century" w:hAnsi="Century"/>
          <w:sz w:val="18"/>
        </w:rPr>
        <w:footnoteRef/>
      </w:r>
      <w:r w:rsidRPr="001B26D4">
        <w:rPr>
          <w:rFonts w:ascii="Century" w:hAnsi="Century"/>
          <w:sz w:val="18"/>
        </w:rPr>
        <w:t xml:space="preserve"> </w:t>
      </w:r>
      <w:r w:rsidRPr="001B26D4">
        <w:rPr>
          <w:rFonts w:ascii="Century" w:hAnsi="Century"/>
          <w:sz w:val="18"/>
          <w:lang w:val="es-CO"/>
        </w:rPr>
        <w:t>CSJ. STC4769-2018.</w:t>
      </w:r>
    </w:p>
  </w:footnote>
  <w:footnote w:id="6">
    <w:p w14:paraId="04436181" w14:textId="77979D00" w:rsidR="009D2010" w:rsidRPr="001B26D4" w:rsidRDefault="009D2010" w:rsidP="001B26D4">
      <w:pPr>
        <w:pStyle w:val="Textonotapie"/>
        <w:jc w:val="both"/>
        <w:rPr>
          <w:sz w:val="18"/>
        </w:rPr>
      </w:pPr>
      <w:r w:rsidRPr="001B26D4">
        <w:rPr>
          <w:rStyle w:val="Refdenotaalpie"/>
          <w:rFonts w:ascii="Century" w:hAnsi="Century"/>
          <w:sz w:val="18"/>
        </w:rPr>
        <w:footnoteRef/>
      </w:r>
      <w:r w:rsidRPr="001B26D4">
        <w:rPr>
          <w:rFonts w:ascii="Century" w:hAnsi="Century"/>
          <w:sz w:val="18"/>
          <w:lang w:val="es-CO"/>
        </w:rPr>
        <w:t xml:space="preserve"> CSJ. </w:t>
      </w:r>
      <w:r w:rsidR="00D91830" w:rsidRPr="001B26D4">
        <w:rPr>
          <w:rFonts w:ascii="Century" w:hAnsi="Century"/>
          <w:sz w:val="18"/>
          <w:lang w:val="es-CO"/>
        </w:rPr>
        <w:t xml:space="preserve">STC1973-2022 que reitera la STC9841-2021. También pueden consultarse las </w:t>
      </w:r>
      <w:r w:rsidRPr="001B26D4">
        <w:rPr>
          <w:rFonts w:ascii="Century" w:hAnsi="Century"/>
          <w:sz w:val="18"/>
          <w:lang w:val="es-CO"/>
        </w:rPr>
        <w:t>STC-829-2021 STC-1013-2021 y STC-644-2019, entre muchas.</w:t>
      </w:r>
    </w:p>
  </w:footnote>
  <w:footnote w:id="7">
    <w:p w14:paraId="2800499D" w14:textId="77777777" w:rsidR="009D2010" w:rsidRPr="001B26D4" w:rsidRDefault="009D2010" w:rsidP="001B26D4">
      <w:pPr>
        <w:pStyle w:val="Textonotapie"/>
        <w:jc w:val="both"/>
        <w:rPr>
          <w:rFonts w:ascii="Century" w:hAnsi="Century"/>
          <w:sz w:val="18"/>
          <w:lang w:val="es-CO"/>
        </w:rPr>
      </w:pPr>
      <w:r w:rsidRPr="001B26D4">
        <w:rPr>
          <w:rStyle w:val="Refdenotaalpie"/>
          <w:rFonts w:ascii="Century" w:hAnsi="Century"/>
          <w:sz w:val="18"/>
        </w:rPr>
        <w:footnoteRef/>
      </w:r>
      <w:r w:rsidRPr="001B26D4">
        <w:rPr>
          <w:rFonts w:ascii="Century" w:hAnsi="Century"/>
          <w:sz w:val="18"/>
        </w:rPr>
        <w:t xml:space="preserve"> LÓPEZ B., Hernán F. Código General del Proceso, Dupré editores, Bogotá DC, 2019, p.342 ss.</w:t>
      </w:r>
    </w:p>
  </w:footnote>
  <w:footnote w:id="8">
    <w:p w14:paraId="2E14C4E8" w14:textId="77777777" w:rsidR="009D2010" w:rsidRPr="001B26D4" w:rsidRDefault="009D2010" w:rsidP="001B26D4">
      <w:pPr>
        <w:jc w:val="both"/>
        <w:rPr>
          <w:rFonts w:ascii="Century" w:hAnsi="Century"/>
          <w:sz w:val="18"/>
          <w:szCs w:val="20"/>
        </w:rPr>
      </w:pPr>
      <w:r w:rsidRPr="001B26D4">
        <w:rPr>
          <w:rStyle w:val="Refdenotaalpie"/>
          <w:rFonts w:ascii="Century" w:hAnsi="Century"/>
          <w:sz w:val="18"/>
          <w:szCs w:val="20"/>
        </w:rPr>
        <w:footnoteRef/>
      </w:r>
      <w:r w:rsidRPr="001B26D4">
        <w:rPr>
          <w:rFonts w:ascii="Century" w:hAnsi="Century"/>
          <w:sz w:val="18"/>
          <w:szCs w:val="20"/>
        </w:rPr>
        <w:t xml:space="preserve"> ROJAS G., Miguel E. Lecciones de derecho procesal, tomo II, procedimiento civil, 6ª edición, editorial ESAJU, Bogotá DC, 2017, p.77.</w:t>
      </w:r>
    </w:p>
  </w:footnote>
  <w:footnote w:id="9">
    <w:p w14:paraId="6DD2CCF3" w14:textId="77777777" w:rsidR="009D2010" w:rsidRPr="001B26D4" w:rsidRDefault="009D2010" w:rsidP="001B26D4">
      <w:pPr>
        <w:pStyle w:val="Textonotapie"/>
        <w:jc w:val="both"/>
        <w:rPr>
          <w:rFonts w:ascii="Century" w:hAnsi="Century"/>
          <w:sz w:val="18"/>
        </w:rPr>
      </w:pPr>
      <w:r w:rsidRPr="001B26D4">
        <w:rPr>
          <w:rStyle w:val="Refdenotaalpie"/>
          <w:rFonts w:ascii="Century" w:hAnsi="Century"/>
          <w:sz w:val="18"/>
        </w:rPr>
        <w:footnoteRef/>
      </w:r>
      <w:r w:rsidRPr="001B26D4">
        <w:rPr>
          <w:rFonts w:ascii="Century" w:hAnsi="Century"/>
          <w:sz w:val="18"/>
        </w:rPr>
        <w:t xml:space="preserve"> GIRALDO C., </w:t>
      </w:r>
      <w:proofErr w:type="spellStart"/>
      <w:r w:rsidRPr="001B26D4">
        <w:rPr>
          <w:rFonts w:ascii="Century" w:hAnsi="Century"/>
          <w:sz w:val="18"/>
        </w:rPr>
        <w:t>Jesael</w:t>
      </w:r>
      <w:proofErr w:type="spellEnd"/>
      <w:r w:rsidRPr="001B26D4">
        <w:rPr>
          <w:rFonts w:ascii="Century" w:hAnsi="Century"/>
          <w:sz w:val="18"/>
        </w:rPr>
        <w:t xml:space="preserve"> A. Sujetos procesales especiales en el proceso de familia y en especial de la capacidad para ser parte del </w:t>
      </w:r>
      <w:r w:rsidRPr="001B26D4">
        <w:rPr>
          <w:rFonts w:ascii="Century" w:hAnsi="Century"/>
          <w:i/>
          <w:iCs/>
          <w:sz w:val="18"/>
        </w:rPr>
        <w:t>nasciturus</w:t>
      </w:r>
      <w:r w:rsidRPr="001B26D4">
        <w:rPr>
          <w:rFonts w:ascii="Century" w:hAnsi="Century"/>
          <w:sz w:val="18"/>
        </w:rPr>
        <w:t xml:space="preserve"> en el CGP, XXXVI Congreso colombiano de derecho procesal, Instituto Colombiano de Derecho Procesal y Universidad Libre, Pereira, 2015, p.483-509.</w:t>
      </w:r>
    </w:p>
  </w:footnote>
  <w:footnote w:id="10">
    <w:p w14:paraId="4B0D69DB" w14:textId="77777777" w:rsidR="009D2010" w:rsidRPr="001B26D4" w:rsidRDefault="009D2010" w:rsidP="001B26D4">
      <w:pPr>
        <w:pStyle w:val="Textonotapie"/>
        <w:jc w:val="both"/>
        <w:rPr>
          <w:sz w:val="18"/>
          <w:lang w:val="es-CO"/>
        </w:rPr>
      </w:pPr>
      <w:r w:rsidRPr="001B26D4">
        <w:rPr>
          <w:rStyle w:val="Refdenotaalpie"/>
          <w:rFonts w:ascii="Century" w:hAnsi="Century"/>
          <w:sz w:val="18"/>
        </w:rPr>
        <w:footnoteRef/>
      </w:r>
      <w:r w:rsidRPr="001B26D4">
        <w:rPr>
          <w:rFonts w:ascii="Century" w:hAnsi="Century"/>
          <w:sz w:val="18"/>
        </w:rPr>
        <w:t xml:space="preserve"> PARRA B., Jorge. Derecho procesal civil, 2ª edición puesta al día, Bogotá DC, Temis, 2021, p.125.</w:t>
      </w:r>
    </w:p>
  </w:footnote>
  <w:footnote w:id="11">
    <w:p w14:paraId="7BE7FF2C" w14:textId="77777777" w:rsidR="0027151E" w:rsidRPr="001B26D4" w:rsidRDefault="0027151E" w:rsidP="001B26D4">
      <w:pPr>
        <w:pStyle w:val="Textonotapie"/>
        <w:jc w:val="both"/>
        <w:rPr>
          <w:rFonts w:ascii="Century" w:hAnsi="Century"/>
          <w:sz w:val="18"/>
          <w:lang w:val="es-CO"/>
        </w:rPr>
      </w:pPr>
      <w:r w:rsidRPr="001B26D4">
        <w:rPr>
          <w:rStyle w:val="Refdenotaalpie"/>
          <w:rFonts w:ascii="Century" w:hAnsi="Century"/>
          <w:sz w:val="18"/>
        </w:rPr>
        <w:footnoteRef/>
      </w:r>
      <w:r w:rsidRPr="001B26D4">
        <w:rPr>
          <w:rFonts w:ascii="Century" w:hAnsi="Century"/>
          <w:sz w:val="18"/>
        </w:rPr>
        <w:t xml:space="preserve"> </w:t>
      </w:r>
      <w:r w:rsidRPr="001B26D4">
        <w:rPr>
          <w:rFonts w:ascii="Century" w:hAnsi="Century"/>
          <w:sz w:val="18"/>
          <w:lang w:val="es-CO"/>
        </w:rPr>
        <w:t xml:space="preserve">CC. </w:t>
      </w:r>
      <w:r w:rsidRPr="001B26D4">
        <w:rPr>
          <w:rFonts w:ascii="Century" w:hAnsi="Century"/>
          <w:sz w:val="18"/>
          <w:lang w:val="es-ES_tradnl"/>
        </w:rPr>
        <w:t>SU-627 de 2015.</w:t>
      </w:r>
    </w:p>
  </w:footnote>
  <w:footnote w:id="12">
    <w:p w14:paraId="1F8AC37B" w14:textId="77777777" w:rsidR="00D45EC4" w:rsidRPr="001B26D4" w:rsidRDefault="00D45EC4" w:rsidP="001B26D4">
      <w:pPr>
        <w:pStyle w:val="Textonotapie"/>
        <w:jc w:val="both"/>
        <w:rPr>
          <w:rFonts w:ascii="Century" w:hAnsi="Century"/>
          <w:sz w:val="18"/>
          <w:lang w:val="es-CO"/>
        </w:rPr>
      </w:pPr>
      <w:r w:rsidRPr="001B26D4">
        <w:rPr>
          <w:rStyle w:val="Refdenotaalpie"/>
          <w:rFonts w:ascii="Century" w:hAnsi="Century"/>
          <w:sz w:val="18"/>
        </w:rPr>
        <w:footnoteRef/>
      </w:r>
      <w:r w:rsidRPr="001B26D4">
        <w:rPr>
          <w:rFonts w:ascii="Century" w:hAnsi="Century"/>
          <w:sz w:val="18"/>
        </w:rPr>
        <w:t xml:space="preserve"> CC. T-008-2022, T-019 de 2021, T-019 de 2020, SU-037 de 2019, SU-056 de 2018, </w:t>
      </w:r>
      <w:hyperlink r:id="rId1" w:history="1">
        <w:r w:rsidRPr="001B26D4">
          <w:rPr>
            <w:rStyle w:val="Hipervnculo"/>
            <w:rFonts w:ascii="Century" w:hAnsi="Century"/>
            <w:color w:val="000000"/>
            <w:sz w:val="18"/>
          </w:rPr>
          <w:t>SU-336 de 2017</w:t>
        </w:r>
      </w:hyperlink>
      <w:r w:rsidRPr="001B26D4">
        <w:rPr>
          <w:rFonts w:ascii="Century" w:hAnsi="Century"/>
          <w:color w:val="000000"/>
          <w:sz w:val="18"/>
        </w:rPr>
        <w:t>, </w:t>
      </w:r>
      <w:hyperlink r:id="rId2" w:history="1">
        <w:r w:rsidRPr="001B26D4">
          <w:rPr>
            <w:rStyle w:val="Hipervnculo"/>
            <w:rFonts w:ascii="Century" w:hAnsi="Century"/>
            <w:color w:val="000000"/>
            <w:sz w:val="18"/>
          </w:rPr>
          <w:t>SU-354 de 2017</w:t>
        </w:r>
      </w:hyperlink>
      <w:r w:rsidRPr="001B26D4">
        <w:rPr>
          <w:rFonts w:ascii="Century" w:hAnsi="Century"/>
          <w:color w:val="000000"/>
          <w:sz w:val="18"/>
        </w:rPr>
        <w:t xml:space="preserve">, </w:t>
      </w:r>
      <w:r w:rsidRPr="001B26D4">
        <w:rPr>
          <w:rFonts w:ascii="Century" w:hAnsi="Century"/>
          <w:sz w:val="18"/>
        </w:rPr>
        <w:t>T-137 de 2017 y SU-222 de 2016, entre muchas.</w:t>
      </w:r>
    </w:p>
  </w:footnote>
  <w:footnote w:id="13">
    <w:p w14:paraId="31A0CED6" w14:textId="77777777" w:rsidR="00D45EC4" w:rsidRPr="001B26D4" w:rsidRDefault="00D45EC4" w:rsidP="001B26D4">
      <w:pPr>
        <w:pStyle w:val="Textonotapie"/>
        <w:jc w:val="both"/>
        <w:rPr>
          <w:rFonts w:ascii="Century" w:hAnsi="Century"/>
          <w:sz w:val="18"/>
          <w:lang w:val="es-CO"/>
        </w:rPr>
      </w:pPr>
      <w:r w:rsidRPr="001B26D4">
        <w:rPr>
          <w:rStyle w:val="Refdenotaalpie"/>
          <w:rFonts w:ascii="Century" w:hAnsi="Century"/>
          <w:sz w:val="18"/>
        </w:rPr>
        <w:footnoteRef/>
      </w:r>
      <w:r w:rsidRPr="001B26D4">
        <w:rPr>
          <w:rFonts w:ascii="Century" w:hAnsi="Century"/>
          <w:sz w:val="18"/>
        </w:rPr>
        <w:t xml:space="preserve"> CC. T-019 de 2021 y T-307 de 2015.</w:t>
      </w:r>
    </w:p>
  </w:footnote>
  <w:footnote w:id="14">
    <w:p w14:paraId="1BAAC3B3" w14:textId="7F275767" w:rsidR="008D43EE" w:rsidRPr="001B26D4" w:rsidRDefault="008D43EE" w:rsidP="001B26D4">
      <w:pPr>
        <w:pStyle w:val="Textonotapie"/>
        <w:jc w:val="both"/>
        <w:rPr>
          <w:rFonts w:ascii="Century" w:hAnsi="Century"/>
          <w:sz w:val="18"/>
          <w:lang w:val="es-CO"/>
        </w:rPr>
      </w:pPr>
      <w:r w:rsidRPr="001B26D4">
        <w:rPr>
          <w:rStyle w:val="Refdenotaalpie"/>
          <w:rFonts w:ascii="Century" w:hAnsi="Century"/>
          <w:sz w:val="18"/>
        </w:rPr>
        <w:footnoteRef/>
      </w:r>
      <w:r w:rsidRPr="001B26D4">
        <w:rPr>
          <w:rFonts w:ascii="Century" w:hAnsi="Century"/>
          <w:sz w:val="18"/>
        </w:rPr>
        <w:t xml:space="preserve"> </w:t>
      </w:r>
      <w:r w:rsidRPr="001B26D4">
        <w:rPr>
          <w:rFonts w:ascii="Century" w:hAnsi="Century"/>
          <w:sz w:val="18"/>
          <w:lang w:val="es-CO"/>
        </w:rPr>
        <w:t>CC. A159 de 2018.</w:t>
      </w:r>
    </w:p>
  </w:footnote>
  <w:footnote w:id="15">
    <w:p w14:paraId="4A5DB264" w14:textId="77777777" w:rsidR="006F7327" w:rsidRPr="001B26D4" w:rsidRDefault="006F7327" w:rsidP="001B26D4">
      <w:pPr>
        <w:pStyle w:val="Textonotapie"/>
        <w:jc w:val="both"/>
        <w:rPr>
          <w:rFonts w:ascii="Century" w:hAnsi="Century"/>
          <w:sz w:val="18"/>
        </w:rPr>
      </w:pPr>
      <w:r w:rsidRPr="001B26D4">
        <w:rPr>
          <w:rStyle w:val="Refdenotaalpie"/>
          <w:rFonts w:ascii="Century" w:hAnsi="Century"/>
          <w:sz w:val="18"/>
        </w:rPr>
        <w:footnoteRef/>
      </w:r>
      <w:r w:rsidRPr="001B26D4">
        <w:rPr>
          <w:rFonts w:ascii="Century" w:hAnsi="Century"/>
          <w:sz w:val="18"/>
          <w:lang w:val="es-CO"/>
        </w:rPr>
        <w:t xml:space="preserve"> CC. T-089 de 2018, SU-210 de 2017 y T-717 de 2011.</w:t>
      </w:r>
    </w:p>
  </w:footnote>
  <w:footnote w:id="16">
    <w:p w14:paraId="079187D0" w14:textId="77777777" w:rsidR="006F7327" w:rsidRPr="001B26D4" w:rsidRDefault="006F7327" w:rsidP="001B26D4">
      <w:pPr>
        <w:pStyle w:val="Textonotapie"/>
        <w:jc w:val="both"/>
        <w:rPr>
          <w:sz w:val="18"/>
        </w:rPr>
      </w:pPr>
      <w:r w:rsidRPr="001B26D4">
        <w:rPr>
          <w:rStyle w:val="Refdenotaalpie"/>
          <w:rFonts w:ascii="Century" w:hAnsi="Century"/>
          <w:sz w:val="18"/>
        </w:rPr>
        <w:footnoteRef/>
      </w:r>
      <w:r w:rsidRPr="001B26D4">
        <w:rPr>
          <w:rFonts w:ascii="Century" w:hAnsi="Century"/>
          <w:sz w:val="18"/>
          <w:lang w:val="es-CO"/>
        </w:rPr>
        <w:t xml:space="preserve"> CC. T-180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851EB1" w:rsidRDefault="009D0A9F" w:rsidP="003876D0">
    <w:pPr>
      <w:pStyle w:val="Encabezado"/>
      <w:pBdr>
        <w:bottom w:val="single" w:sz="4" w:space="2" w:color="D9D9D9"/>
      </w:pBdr>
      <w:jc w:val="right"/>
      <w:rPr>
        <w:rFonts w:ascii="Georgia" w:hAnsi="Georgia" w:cs="Calibri"/>
        <w:i/>
        <w:sz w:val="20"/>
      </w:rPr>
    </w:pPr>
    <w:r w:rsidRPr="00851EB1">
      <w:rPr>
        <w:rFonts w:ascii="Arial" w:hAnsi="Arial" w:cs="Arial"/>
        <w:i/>
        <w:sz w:val="18"/>
        <w:szCs w:val="18"/>
      </w:rPr>
      <w:tab/>
    </w:r>
    <w:r w:rsidRPr="00851EB1">
      <w:rPr>
        <w:rFonts w:ascii="Georgia" w:hAnsi="Georgia" w:cs="Arial"/>
        <w:i/>
        <w:sz w:val="18"/>
        <w:szCs w:val="18"/>
      </w:rPr>
      <w:tab/>
    </w:r>
    <w:r w:rsidRPr="00851EB1">
      <w:rPr>
        <w:rFonts w:ascii="Georgia" w:hAnsi="Georgia" w:cs="Calibri"/>
        <w:i/>
        <w:spacing w:val="60"/>
        <w:sz w:val="20"/>
      </w:rPr>
      <w:t>Página</w:t>
    </w:r>
    <w:r w:rsidRPr="00851EB1">
      <w:rPr>
        <w:rFonts w:ascii="Georgia" w:hAnsi="Georgia" w:cs="Calibri"/>
        <w:i/>
        <w:sz w:val="20"/>
      </w:rPr>
      <w:t xml:space="preserve"> | </w:t>
    </w:r>
    <w:r w:rsidRPr="00851EB1">
      <w:rPr>
        <w:rFonts w:ascii="Georgia" w:hAnsi="Georgia" w:cs="Calibri"/>
        <w:i/>
        <w:sz w:val="20"/>
      </w:rPr>
      <w:fldChar w:fldCharType="begin"/>
    </w:r>
    <w:r w:rsidRPr="00851EB1">
      <w:rPr>
        <w:rFonts w:ascii="Georgia" w:hAnsi="Georgia" w:cs="Calibri"/>
        <w:i/>
        <w:sz w:val="20"/>
      </w:rPr>
      <w:instrText xml:space="preserve"> PAGE   \* MERGEFORMAT </w:instrText>
    </w:r>
    <w:r w:rsidRPr="00851EB1">
      <w:rPr>
        <w:rFonts w:ascii="Georgia" w:hAnsi="Georgia" w:cs="Calibri"/>
        <w:i/>
        <w:sz w:val="20"/>
      </w:rPr>
      <w:fldChar w:fldCharType="separate"/>
    </w:r>
    <w:r w:rsidRPr="00851EB1">
      <w:rPr>
        <w:rFonts w:ascii="Georgia" w:hAnsi="Georgia" w:cs="Calibri"/>
        <w:i/>
        <w:noProof/>
        <w:sz w:val="20"/>
      </w:rPr>
      <w:t>5</w:t>
    </w:r>
    <w:r w:rsidRPr="00851EB1">
      <w:rPr>
        <w:rFonts w:ascii="Georgia" w:hAnsi="Georgia" w:cs="Calibri"/>
        <w:i/>
        <w:sz w:val="20"/>
      </w:rPr>
      <w:fldChar w:fldCharType="end"/>
    </w:r>
  </w:p>
  <w:p w14:paraId="6F7CC890" w14:textId="1B3D8119" w:rsidR="009D0A9F" w:rsidRPr="00851EB1" w:rsidRDefault="009D0A9F">
    <w:pPr>
      <w:pStyle w:val="Encabezado"/>
      <w:rPr>
        <w:rFonts w:ascii="Georgia" w:hAnsi="Georgia" w:cs="Arial"/>
        <w:i/>
        <w:sz w:val="20"/>
        <w:szCs w:val="20"/>
      </w:rPr>
    </w:pPr>
    <w:r w:rsidRPr="00851EB1">
      <w:rPr>
        <w:rFonts w:ascii="Georgia" w:hAnsi="Georgia" w:cs="Arial"/>
        <w:i/>
        <w:sz w:val="20"/>
        <w:szCs w:val="20"/>
      </w:rPr>
      <w:t>EXPEDIENTE No.</w:t>
    </w:r>
    <w:r w:rsidR="00851EB1" w:rsidRPr="00851EB1">
      <w:rPr>
        <w:rFonts w:ascii="Georgia" w:hAnsi="Georgia" w:cs="Arial"/>
        <w:i/>
        <w:sz w:val="20"/>
        <w:szCs w:val="20"/>
      </w:rPr>
      <w:t xml:space="preserve"> </w:t>
    </w:r>
    <w:r w:rsidR="00C7135E" w:rsidRPr="00851EB1">
      <w:rPr>
        <w:rFonts w:ascii="Georgia" w:hAnsi="Georgia" w:cs="Arial"/>
        <w:i/>
        <w:sz w:val="20"/>
        <w:szCs w:val="20"/>
      </w:rPr>
      <w:t>2022-</w:t>
    </w:r>
    <w:r w:rsidR="009976CC" w:rsidRPr="00851EB1">
      <w:rPr>
        <w:rFonts w:ascii="Georgia" w:hAnsi="Georgia" w:cs="Arial"/>
        <w:i/>
        <w:sz w:val="20"/>
        <w:szCs w:val="20"/>
      </w:rPr>
      <w:t>00041</w:t>
    </w:r>
    <w:r w:rsidR="00C7135E" w:rsidRPr="00851EB1">
      <w:rPr>
        <w:rFonts w:ascii="Georgia" w:hAnsi="Georgia" w:cs="Arial"/>
        <w:i/>
        <w:sz w:val="20"/>
        <w:szCs w:val="20"/>
      </w:rPr>
      <w:t>-00</w:t>
    </w:r>
  </w:p>
</w:hdr>
</file>

<file path=word/intelligence2.xml><?xml version="1.0" encoding="utf-8"?>
<int2:intelligence xmlns:int2="http://schemas.microsoft.com/office/intelligence/2020/intelligence">
  <int2:observations>
    <int2:textHash int2:hashCode="K8RmfbGBJefp/j" int2:id="vzCTgbX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3344385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A2A03DD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5"/>
  </w:num>
  <w:num w:numId="4">
    <w:abstractNumId w:val="4"/>
  </w:num>
  <w:num w:numId="5">
    <w:abstractNumId w:val="28"/>
  </w:num>
  <w:num w:numId="6">
    <w:abstractNumId w:val="1"/>
  </w:num>
  <w:num w:numId="7">
    <w:abstractNumId w:val="22"/>
  </w:num>
  <w:num w:numId="8">
    <w:abstractNumId w:val="3"/>
  </w:num>
  <w:num w:numId="9">
    <w:abstractNumId w:val="29"/>
  </w:num>
  <w:num w:numId="10">
    <w:abstractNumId w:val="23"/>
  </w:num>
  <w:num w:numId="11">
    <w:abstractNumId w:val="19"/>
  </w:num>
  <w:num w:numId="12">
    <w:abstractNumId w:val="27"/>
  </w:num>
  <w:num w:numId="13">
    <w:abstractNumId w:val="11"/>
  </w:num>
  <w:num w:numId="14">
    <w:abstractNumId w:val="12"/>
  </w:num>
  <w:num w:numId="15">
    <w:abstractNumId w:val="17"/>
  </w:num>
  <w:num w:numId="16">
    <w:abstractNumId w:val="6"/>
  </w:num>
  <w:num w:numId="17">
    <w:abstractNumId w:val="18"/>
  </w:num>
  <w:num w:numId="18">
    <w:abstractNumId w:val="9"/>
  </w:num>
  <w:num w:numId="19">
    <w:abstractNumId w:val="7"/>
  </w:num>
  <w:num w:numId="20">
    <w:abstractNumId w:val="13"/>
  </w:num>
  <w:num w:numId="21">
    <w:abstractNumId w:val="20"/>
  </w:num>
  <w:num w:numId="22">
    <w:abstractNumId w:val="26"/>
  </w:num>
  <w:num w:numId="23">
    <w:abstractNumId w:val="8"/>
  </w:num>
  <w:num w:numId="24">
    <w:abstractNumId w:val="24"/>
  </w:num>
  <w:num w:numId="25">
    <w:abstractNumId w:val="5"/>
  </w:num>
  <w:num w:numId="26">
    <w:abstractNumId w:val="14"/>
  </w:num>
  <w:num w:numId="27">
    <w:abstractNumId w:val="25"/>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4DB"/>
    <w:rsid w:val="000827E2"/>
    <w:rsid w:val="00082813"/>
    <w:rsid w:val="00082A59"/>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2F1E"/>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5052"/>
    <w:rsid w:val="000C5128"/>
    <w:rsid w:val="000C585F"/>
    <w:rsid w:val="000C5EA2"/>
    <w:rsid w:val="000C69DD"/>
    <w:rsid w:val="000C6EEB"/>
    <w:rsid w:val="000C71EA"/>
    <w:rsid w:val="000C74DD"/>
    <w:rsid w:val="000D1189"/>
    <w:rsid w:val="000D152C"/>
    <w:rsid w:val="000D1769"/>
    <w:rsid w:val="000D28B2"/>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07E09"/>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606"/>
    <w:rsid w:val="001367D9"/>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26D4"/>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260C"/>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575E4"/>
    <w:rsid w:val="00260362"/>
    <w:rsid w:val="00261879"/>
    <w:rsid w:val="00261943"/>
    <w:rsid w:val="00262566"/>
    <w:rsid w:val="00262FDA"/>
    <w:rsid w:val="002630B8"/>
    <w:rsid w:val="00263B6A"/>
    <w:rsid w:val="00263BB5"/>
    <w:rsid w:val="00263E7E"/>
    <w:rsid w:val="00264672"/>
    <w:rsid w:val="00264BB7"/>
    <w:rsid w:val="002654A8"/>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51E"/>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32F"/>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4D2C"/>
    <w:rsid w:val="002F55D1"/>
    <w:rsid w:val="002F5CFC"/>
    <w:rsid w:val="002F6CFE"/>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A51"/>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27EFE"/>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8A7"/>
    <w:rsid w:val="00386A62"/>
    <w:rsid w:val="0038712D"/>
    <w:rsid w:val="003876D0"/>
    <w:rsid w:val="00390C94"/>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B7F01"/>
    <w:rsid w:val="003C0F58"/>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795"/>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BE6"/>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9D1"/>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82A"/>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2C5D"/>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97EA8"/>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3E2"/>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0B3"/>
    <w:rsid w:val="006178DE"/>
    <w:rsid w:val="00617DA7"/>
    <w:rsid w:val="0062000C"/>
    <w:rsid w:val="00620B29"/>
    <w:rsid w:val="0062171A"/>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431"/>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9FD"/>
    <w:rsid w:val="00780C46"/>
    <w:rsid w:val="00781A90"/>
    <w:rsid w:val="007829A5"/>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AC"/>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3C"/>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1EB1"/>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18C"/>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6E73"/>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3EE"/>
    <w:rsid w:val="008D49E9"/>
    <w:rsid w:val="008D53F1"/>
    <w:rsid w:val="008D6458"/>
    <w:rsid w:val="008E20DE"/>
    <w:rsid w:val="008E263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146"/>
    <w:rsid w:val="008F375B"/>
    <w:rsid w:val="008F3A7B"/>
    <w:rsid w:val="008F4157"/>
    <w:rsid w:val="008F42D9"/>
    <w:rsid w:val="008F4FC8"/>
    <w:rsid w:val="008F59AB"/>
    <w:rsid w:val="008F5D8D"/>
    <w:rsid w:val="008F60E9"/>
    <w:rsid w:val="008F6968"/>
    <w:rsid w:val="008F699B"/>
    <w:rsid w:val="008F73B5"/>
    <w:rsid w:val="008F7558"/>
    <w:rsid w:val="008F7A19"/>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0DF1"/>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0BA"/>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6CC"/>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2DF"/>
    <w:rsid w:val="009C56B0"/>
    <w:rsid w:val="009C670F"/>
    <w:rsid w:val="009C6852"/>
    <w:rsid w:val="009C7990"/>
    <w:rsid w:val="009C7E68"/>
    <w:rsid w:val="009D00E1"/>
    <w:rsid w:val="009D0139"/>
    <w:rsid w:val="009D0A9F"/>
    <w:rsid w:val="009D13FF"/>
    <w:rsid w:val="009D1ACD"/>
    <w:rsid w:val="009D1B83"/>
    <w:rsid w:val="009D2010"/>
    <w:rsid w:val="009D25B1"/>
    <w:rsid w:val="009D261B"/>
    <w:rsid w:val="009D2EE9"/>
    <w:rsid w:val="009D366A"/>
    <w:rsid w:val="009D37DE"/>
    <w:rsid w:val="009D43C5"/>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77"/>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776AA"/>
    <w:rsid w:val="00A80BA0"/>
    <w:rsid w:val="00A815B1"/>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3881"/>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461"/>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7F1"/>
    <w:rsid w:val="00B7741B"/>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13"/>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4F98"/>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61F"/>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35E"/>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173AD"/>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0CBB"/>
    <w:rsid w:val="00D41030"/>
    <w:rsid w:val="00D41AAE"/>
    <w:rsid w:val="00D41AEB"/>
    <w:rsid w:val="00D42F93"/>
    <w:rsid w:val="00D42FDC"/>
    <w:rsid w:val="00D44255"/>
    <w:rsid w:val="00D446E3"/>
    <w:rsid w:val="00D45822"/>
    <w:rsid w:val="00D45E7D"/>
    <w:rsid w:val="00D45EC4"/>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3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4BF"/>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192"/>
    <w:rsid w:val="00DF13D4"/>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A9A"/>
    <w:rsid w:val="00E07CFE"/>
    <w:rsid w:val="00E07E5E"/>
    <w:rsid w:val="00E10170"/>
    <w:rsid w:val="00E105E7"/>
    <w:rsid w:val="00E10900"/>
    <w:rsid w:val="00E1090D"/>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1316"/>
    <w:rsid w:val="00E62C1E"/>
    <w:rsid w:val="00E62F1F"/>
    <w:rsid w:val="00E63652"/>
    <w:rsid w:val="00E6647B"/>
    <w:rsid w:val="00E66778"/>
    <w:rsid w:val="00E6739C"/>
    <w:rsid w:val="00E67583"/>
    <w:rsid w:val="00E67640"/>
    <w:rsid w:val="00E67681"/>
    <w:rsid w:val="00E67AE1"/>
    <w:rsid w:val="00E67F45"/>
    <w:rsid w:val="00E706C8"/>
    <w:rsid w:val="00E714B2"/>
    <w:rsid w:val="00E732B7"/>
    <w:rsid w:val="00E73692"/>
    <w:rsid w:val="00E736B7"/>
    <w:rsid w:val="00E73E78"/>
    <w:rsid w:val="00E740C1"/>
    <w:rsid w:val="00E74199"/>
    <w:rsid w:val="00E74353"/>
    <w:rsid w:val="00E74E32"/>
    <w:rsid w:val="00E750A8"/>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05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203"/>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69D"/>
    <w:rsid w:val="01FAE8CA"/>
    <w:rsid w:val="02DFB4FF"/>
    <w:rsid w:val="0414A2E5"/>
    <w:rsid w:val="04CCA685"/>
    <w:rsid w:val="055E2728"/>
    <w:rsid w:val="056FD82C"/>
    <w:rsid w:val="058368B9"/>
    <w:rsid w:val="07700F5D"/>
    <w:rsid w:val="0A1DBC4C"/>
    <w:rsid w:val="0B995035"/>
    <w:rsid w:val="0C1EE475"/>
    <w:rsid w:val="10668972"/>
    <w:rsid w:val="108FA48F"/>
    <w:rsid w:val="109AA066"/>
    <w:rsid w:val="1370D9C0"/>
    <w:rsid w:val="185CCA5C"/>
    <w:rsid w:val="192DCE00"/>
    <w:rsid w:val="193DE2D9"/>
    <w:rsid w:val="1944FE34"/>
    <w:rsid w:val="198BD2A8"/>
    <w:rsid w:val="19E37325"/>
    <w:rsid w:val="1A38E027"/>
    <w:rsid w:val="1C2FF19D"/>
    <w:rsid w:val="1CE4DE5E"/>
    <w:rsid w:val="1D3745D1"/>
    <w:rsid w:val="1ED6695C"/>
    <w:rsid w:val="1F8EB292"/>
    <w:rsid w:val="21A7E3D3"/>
    <w:rsid w:val="256C1408"/>
    <w:rsid w:val="25FEEA61"/>
    <w:rsid w:val="28F75E1A"/>
    <w:rsid w:val="29749277"/>
    <w:rsid w:val="2A3DA05E"/>
    <w:rsid w:val="2A929DDE"/>
    <w:rsid w:val="2ACD8C01"/>
    <w:rsid w:val="2C41D062"/>
    <w:rsid w:val="2F107FE1"/>
    <w:rsid w:val="3126DFB0"/>
    <w:rsid w:val="31AFA97F"/>
    <w:rsid w:val="320A55DD"/>
    <w:rsid w:val="32F97BC7"/>
    <w:rsid w:val="3453C48F"/>
    <w:rsid w:val="34A24633"/>
    <w:rsid w:val="34C09AD2"/>
    <w:rsid w:val="35AF8AEF"/>
    <w:rsid w:val="37F096A1"/>
    <w:rsid w:val="3950A692"/>
    <w:rsid w:val="3A4D4C52"/>
    <w:rsid w:val="3AC009A6"/>
    <w:rsid w:val="3AE5BF6A"/>
    <w:rsid w:val="3B3D6368"/>
    <w:rsid w:val="3BC599CA"/>
    <w:rsid w:val="3CDBACB7"/>
    <w:rsid w:val="3E0CC9D5"/>
    <w:rsid w:val="3E31615E"/>
    <w:rsid w:val="3E6CC927"/>
    <w:rsid w:val="4010D48B"/>
    <w:rsid w:val="40CBC354"/>
    <w:rsid w:val="411EB3A7"/>
    <w:rsid w:val="4226B9C5"/>
    <w:rsid w:val="4348754D"/>
    <w:rsid w:val="4366EF9E"/>
    <w:rsid w:val="44197C82"/>
    <w:rsid w:val="4635619A"/>
    <w:rsid w:val="4ACBBD83"/>
    <w:rsid w:val="4B58DCD6"/>
    <w:rsid w:val="4EB74C76"/>
    <w:rsid w:val="51657F70"/>
    <w:rsid w:val="53E3BFEA"/>
    <w:rsid w:val="543E800B"/>
    <w:rsid w:val="54FB383A"/>
    <w:rsid w:val="55651BBA"/>
    <w:rsid w:val="569E275F"/>
    <w:rsid w:val="56B3DD6D"/>
    <w:rsid w:val="575E0998"/>
    <w:rsid w:val="5946BBA4"/>
    <w:rsid w:val="5971D690"/>
    <w:rsid w:val="5AC98B14"/>
    <w:rsid w:val="5BB3B7DD"/>
    <w:rsid w:val="5D0C771C"/>
    <w:rsid w:val="5D65CB3A"/>
    <w:rsid w:val="5D7B4E8D"/>
    <w:rsid w:val="623ACAF5"/>
    <w:rsid w:val="6281A8F6"/>
    <w:rsid w:val="665CA63B"/>
    <w:rsid w:val="66C715D6"/>
    <w:rsid w:val="67035EDA"/>
    <w:rsid w:val="6786AD86"/>
    <w:rsid w:val="678EE5BF"/>
    <w:rsid w:val="68051D8A"/>
    <w:rsid w:val="6A21C4DC"/>
    <w:rsid w:val="6B768175"/>
    <w:rsid w:val="6C10AE98"/>
    <w:rsid w:val="6FAA69F6"/>
    <w:rsid w:val="713534A8"/>
    <w:rsid w:val="725862C0"/>
    <w:rsid w:val="7429544B"/>
    <w:rsid w:val="76A107DE"/>
    <w:rsid w:val="76B5757E"/>
    <w:rsid w:val="7860EAE4"/>
    <w:rsid w:val="79584058"/>
    <w:rsid w:val="795AA103"/>
    <w:rsid w:val="79D9CAC4"/>
    <w:rsid w:val="7A639182"/>
    <w:rsid w:val="7A787B2D"/>
    <w:rsid w:val="7B0D7003"/>
    <w:rsid w:val="7B9EE4B6"/>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41007876">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21768300">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659646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369258103">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debc2762bc024b3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DF4B-4CD0-4305-A72F-CB87C9B2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BA515674-6530-41F3-B589-91E18675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77</cp:revision>
  <cp:lastPrinted>2018-01-25T14:22:00Z</cp:lastPrinted>
  <dcterms:created xsi:type="dcterms:W3CDTF">2020-09-25T20:24:00Z</dcterms:created>
  <dcterms:modified xsi:type="dcterms:W3CDTF">2022-04-29T15:06:00Z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