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18C5D2" w14:textId="77777777" w:rsidR="005F6A08" w:rsidRPr="00EF0EDE" w:rsidRDefault="005F6A08" w:rsidP="005F6A0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F0E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69D5A4" w14:textId="77777777" w:rsidR="005F6A08" w:rsidRPr="00EF0EDE" w:rsidRDefault="005F6A08" w:rsidP="005F6A08">
      <w:pPr>
        <w:jc w:val="both"/>
        <w:rPr>
          <w:rFonts w:ascii="Arial" w:hAnsi="Arial" w:cs="Arial"/>
          <w:sz w:val="20"/>
          <w:szCs w:val="20"/>
          <w:lang w:val="es-419"/>
        </w:rPr>
      </w:pPr>
    </w:p>
    <w:p w14:paraId="7E71686D" w14:textId="2E0D8804" w:rsidR="005F6A08" w:rsidRPr="005F6A08" w:rsidRDefault="005F6A08" w:rsidP="005F6A08">
      <w:pPr>
        <w:jc w:val="both"/>
        <w:rPr>
          <w:rFonts w:ascii="Arial" w:hAnsi="Arial" w:cs="Arial"/>
          <w:sz w:val="20"/>
          <w:szCs w:val="20"/>
          <w:lang w:val="es-419"/>
        </w:rPr>
      </w:pPr>
      <w:r w:rsidRPr="005F6A08">
        <w:rPr>
          <w:rFonts w:ascii="Arial" w:hAnsi="Arial" w:cs="Arial"/>
          <w:sz w:val="20"/>
          <w:szCs w:val="20"/>
          <w:lang w:val="es-419"/>
        </w:rPr>
        <w:t>Asunto</w:t>
      </w:r>
      <w:r w:rsidRPr="005F6A08">
        <w:rPr>
          <w:rFonts w:ascii="Arial" w:hAnsi="Arial" w:cs="Arial"/>
          <w:sz w:val="20"/>
          <w:szCs w:val="20"/>
          <w:lang w:val="es-419"/>
        </w:rPr>
        <w:tab/>
      </w:r>
      <w:r w:rsidRPr="005F6A08">
        <w:rPr>
          <w:rFonts w:ascii="Arial" w:hAnsi="Arial" w:cs="Arial"/>
          <w:sz w:val="20"/>
          <w:szCs w:val="20"/>
          <w:lang w:val="es-419"/>
        </w:rPr>
        <w:tab/>
      </w:r>
      <w:r w:rsidRPr="005F6A08">
        <w:rPr>
          <w:rFonts w:ascii="Arial" w:hAnsi="Arial" w:cs="Arial"/>
          <w:sz w:val="20"/>
          <w:szCs w:val="20"/>
          <w:lang w:val="es-419"/>
        </w:rPr>
        <w:tab/>
        <w:t>: Sentencia de tutela en segunda instancia</w:t>
      </w:r>
    </w:p>
    <w:p w14:paraId="5FC00F90" w14:textId="462178E1" w:rsidR="005F6A08" w:rsidRPr="005F6A08" w:rsidRDefault="005F6A08" w:rsidP="005F6A08">
      <w:pPr>
        <w:jc w:val="both"/>
        <w:rPr>
          <w:rFonts w:ascii="Arial" w:hAnsi="Arial" w:cs="Arial"/>
          <w:sz w:val="20"/>
          <w:szCs w:val="20"/>
          <w:lang w:val="es-419"/>
        </w:rPr>
      </w:pPr>
      <w:r w:rsidRPr="005F6A08">
        <w:rPr>
          <w:rFonts w:ascii="Arial" w:hAnsi="Arial" w:cs="Arial"/>
          <w:sz w:val="20"/>
          <w:szCs w:val="20"/>
          <w:lang w:val="es-419"/>
        </w:rPr>
        <w:t>Accionantes</w:t>
      </w:r>
      <w:r w:rsidRPr="005F6A08">
        <w:rPr>
          <w:rFonts w:ascii="Arial" w:hAnsi="Arial" w:cs="Arial"/>
          <w:sz w:val="20"/>
          <w:szCs w:val="20"/>
          <w:lang w:val="es-419"/>
        </w:rPr>
        <w:tab/>
      </w:r>
      <w:r w:rsidRPr="005F6A08">
        <w:rPr>
          <w:rFonts w:ascii="Arial" w:hAnsi="Arial" w:cs="Arial"/>
          <w:sz w:val="20"/>
          <w:szCs w:val="20"/>
          <w:lang w:val="es-419"/>
        </w:rPr>
        <w:tab/>
        <w:t>: Danilo Mejía Duque</w:t>
      </w:r>
    </w:p>
    <w:p w14:paraId="6621EBCA" w14:textId="44B09A6F" w:rsidR="005F6A08" w:rsidRPr="005F6A08" w:rsidRDefault="005F6A08" w:rsidP="005F6A08">
      <w:pPr>
        <w:jc w:val="both"/>
        <w:rPr>
          <w:rFonts w:ascii="Arial" w:hAnsi="Arial" w:cs="Arial"/>
          <w:sz w:val="20"/>
          <w:szCs w:val="20"/>
          <w:lang w:val="es-419"/>
        </w:rPr>
      </w:pPr>
      <w:r w:rsidRPr="005F6A08">
        <w:rPr>
          <w:rFonts w:ascii="Arial" w:hAnsi="Arial" w:cs="Arial"/>
          <w:sz w:val="20"/>
          <w:szCs w:val="20"/>
          <w:lang w:val="es-419"/>
        </w:rPr>
        <w:t>Accionado</w:t>
      </w:r>
      <w:r w:rsidRPr="005F6A08">
        <w:rPr>
          <w:rFonts w:ascii="Arial" w:hAnsi="Arial" w:cs="Arial"/>
          <w:sz w:val="20"/>
          <w:szCs w:val="20"/>
          <w:lang w:val="es-419"/>
        </w:rPr>
        <w:tab/>
      </w:r>
      <w:r w:rsidRPr="005F6A08">
        <w:rPr>
          <w:rFonts w:ascii="Arial" w:hAnsi="Arial" w:cs="Arial"/>
          <w:sz w:val="20"/>
          <w:szCs w:val="20"/>
          <w:lang w:val="es-419"/>
        </w:rPr>
        <w:tab/>
        <w:t>: Juzgado 1º Civil Municipal de Pereira</w:t>
      </w:r>
    </w:p>
    <w:p w14:paraId="3E5F947A" w14:textId="61DBB4B6" w:rsidR="005F6A08" w:rsidRPr="005F6A08" w:rsidRDefault="005F6A08" w:rsidP="005F6A08">
      <w:pPr>
        <w:jc w:val="both"/>
        <w:rPr>
          <w:rFonts w:ascii="Arial" w:hAnsi="Arial" w:cs="Arial"/>
          <w:sz w:val="20"/>
          <w:szCs w:val="20"/>
          <w:lang w:val="es-419"/>
        </w:rPr>
      </w:pPr>
      <w:r w:rsidRPr="005F6A08">
        <w:rPr>
          <w:rFonts w:ascii="Arial" w:hAnsi="Arial" w:cs="Arial"/>
          <w:sz w:val="20"/>
          <w:szCs w:val="20"/>
          <w:lang w:val="es-419"/>
        </w:rPr>
        <w:t>Vinculados</w:t>
      </w:r>
      <w:r w:rsidRPr="005F6A08">
        <w:rPr>
          <w:rFonts w:ascii="Arial" w:hAnsi="Arial" w:cs="Arial"/>
          <w:sz w:val="20"/>
          <w:szCs w:val="20"/>
          <w:lang w:val="es-419"/>
        </w:rPr>
        <w:tab/>
      </w:r>
      <w:r w:rsidRPr="005F6A08">
        <w:rPr>
          <w:rFonts w:ascii="Arial" w:hAnsi="Arial" w:cs="Arial"/>
          <w:sz w:val="20"/>
          <w:szCs w:val="20"/>
          <w:lang w:val="es-419"/>
        </w:rPr>
        <w:tab/>
        <w:t xml:space="preserve">: Bernardo Antonio Gómez </w:t>
      </w:r>
      <w:proofErr w:type="spellStart"/>
      <w:r w:rsidRPr="005F6A08">
        <w:rPr>
          <w:rFonts w:ascii="Arial" w:hAnsi="Arial" w:cs="Arial"/>
          <w:sz w:val="20"/>
          <w:szCs w:val="20"/>
          <w:lang w:val="es-419"/>
        </w:rPr>
        <w:t>Gómez</w:t>
      </w:r>
      <w:proofErr w:type="spellEnd"/>
      <w:r w:rsidRPr="005F6A08">
        <w:rPr>
          <w:rFonts w:ascii="Arial" w:hAnsi="Arial" w:cs="Arial"/>
          <w:sz w:val="20"/>
          <w:szCs w:val="20"/>
          <w:lang w:val="es-419"/>
        </w:rPr>
        <w:t xml:space="preserve"> y otros</w:t>
      </w:r>
    </w:p>
    <w:p w14:paraId="73CFDBF7" w14:textId="2FEAE83A" w:rsidR="005F6A08" w:rsidRPr="005F6A08" w:rsidRDefault="005F6A08" w:rsidP="005F6A08">
      <w:pPr>
        <w:jc w:val="both"/>
        <w:rPr>
          <w:rFonts w:ascii="Arial" w:hAnsi="Arial" w:cs="Arial"/>
          <w:sz w:val="20"/>
          <w:szCs w:val="20"/>
          <w:lang w:val="es-419"/>
        </w:rPr>
      </w:pPr>
      <w:r w:rsidRPr="005F6A08">
        <w:rPr>
          <w:rFonts w:ascii="Arial" w:hAnsi="Arial" w:cs="Arial"/>
          <w:sz w:val="20"/>
          <w:szCs w:val="20"/>
          <w:lang w:val="es-419"/>
        </w:rPr>
        <w:t>Radicación</w:t>
      </w:r>
      <w:r w:rsidRPr="005F6A08">
        <w:rPr>
          <w:rFonts w:ascii="Arial" w:hAnsi="Arial" w:cs="Arial"/>
          <w:sz w:val="20"/>
          <w:szCs w:val="20"/>
          <w:lang w:val="es-419"/>
        </w:rPr>
        <w:tab/>
      </w:r>
      <w:r w:rsidRPr="005F6A08">
        <w:rPr>
          <w:rFonts w:ascii="Arial" w:hAnsi="Arial" w:cs="Arial"/>
          <w:sz w:val="20"/>
          <w:szCs w:val="20"/>
          <w:lang w:val="es-419"/>
        </w:rPr>
        <w:tab/>
        <w:t>: 66001-31-03-003-2021-00276-02</w:t>
      </w:r>
    </w:p>
    <w:p w14:paraId="312B4716" w14:textId="4D7B1AFF" w:rsidR="005F6A08" w:rsidRPr="005F6A08" w:rsidRDefault="005F6A08" w:rsidP="005F6A08">
      <w:pPr>
        <w:jc w:val="both"/>
        <w:rPr>
          <w:rFonts w:ascii="Arial" w:hAnsi="Arial" w:cs="Arial"/>
          <w:sz w:val="20"/>
          <w:szCs w:val="20"/>
          <w:lang w:val="es-419"/>
        </w:rPr>
      </w:pPr>
      <w:r>
        <w:rPr>
          <w:rFonts w:ascii="Arial" w:hAnsi="Arial" w:cs="Arial"/>
          <w:sz w:val="20"/>
          <w:szCs w:val="20"/>
          <w:lang w:val="es-419"/>
        </w:rPr>
        <w:t>Procedencia</w:t>
      </w:r>
      <w:r w:rsidRPr="005F6A08">
        <w:rPr>
          <w:rFonts w:ascii="Arial" w:hAnsi="Arial" w:cs="Arial"/>
          <w:sz w:val="20"/>
          <w:szCs w:val="20"/>
          <w:lang w:val="es-419"/>
        </w:rPr>
        <w:tab/>
      </w:r>
      <w:r w:rsidRPr="005F6A08">
        <w:rPr>
          <w:rFonts w:ascii="Arial" w:hAnsi="Arial" w:cs="Arial"/>
          <w:sz w:val="20"/>
          <w:szCs w:val="20"/>
          <w:lang w:val="es-419"/>
        </w:rPr>
        <w:tab/>
        <w:t xml:space="preserve">: Juzgado 3º Civil del Circuito de Pereira </w:t>
      </w:r>
    </w:p>
    <w:p w14:paraId="6452E690" w14:textId="23424FE4" w:rsidR="005F6A08" w:rsidRPr="005F6A08" w:rsidRDefault="005F6A08" w:rsidP="005F6A08">
      <w:pPr>
        <w:jc w:val="both"/>
        <w:rPr>
          <w:rFonts w:ascii="Arial" w:hAnsi="Arial" w:cs="Arial"/>
          <w:sz w:val="20"/>
          <w:szCs w:val="20"/>
          <w:lang w:val="es-419"/>
        </w:rPr>
      </w:pPr>
      <w:proofErr w:type="spellStart"/>
      <w:r w:rsidRPr="005F6A08">
        <w:rPr>
          <w:rFonts w:ascii="Arial" w:hAnsi="Arial" w:cs="Arial"/>
          <w:sz w:val="20"/>
          <w:szCs w:val="20"/>
          <w:lang w:val="es-419"/>
        </w:rPr>
        <w:t>Mag</w:t>
      </w:r>
      <w:proofErr w:type="spellEnd"/>
      <w:r w:rsidRPr="005F6A08">
        <w:rPr>
          <w:rFonts w:ascii="Arial" w:hAnsi="Arial" w:cs="Arial"/>
          <w:sz w:val="20"/>
          <w:szCs w:val="20"/>
          <w:lang w:val="es-419"/>
        </w:rPr>
        <w:t xml:space="preserve"> Ponente</w:t>
      </w:r>
      <w:r w:rsidRPr="005F6A08">
        <w:rPr>
          <w:rFonts w:ascii="Arial" w:hAnsi="Arial" w:cs="Arial"/>
          <w:sz w:val="20"/>
          <w:szCs w:val="20"/>
          <w:lang w:val="es-419"/>
        </w:rPr>
        <w:tab/>
      </w:r>
      <w:r w:rsidRPr="005F6A08">
        <w:rPr>
          <w:rFonts w:ascii="Arial" w:hAnsi="Arial" w:cs="Arial"/>
          <w:sz w:val="20"/>
          <w:szCs w:val="20"/>
          <w:lang w:val="es-419"/>
        </w:rPr>
        <w:tab/>
        <w:t>: DUBERNEY GRISALES HERRERA</w:t>
      </w:r>
    </w:p>
    <w:p w14:paraId="79E96CBE" w14:textId="06C7894C" w:rsidR="005F6A08" w:rsidRDefault="005F6A08" w:rsidP="005F6A08">
      <w:pPr>
        <w:jc w:val="both"/>
        <w:rPr>
          <w:rFonts w:ascii="Arial" w:hAnsi="Arial" w:cs="Arial"/>
          <w:sz w:val="20"/>
          <w:szCs w:val="20"/>
          <w:lang w:val="es-419"/>
        </w:rPr>
      </w:pPr>
      <w:r w:rsidRPr="005F6A08">
        <w:rPr>
          <w:rFonts w:ascii="Arial" w:hAnsi="Arial" w:cs="Arial"/>
          <w:sz w:val="20"/>
          <w:szCs w:val="20"/>
          <w:lang w:val="es-419"/>
        </w:rPr>
        <w:t>Acta número</w:t>
      </w:r>
      <w:r w:rsidRPr="005F6A08">
        <w:rPr>
          <w:rFonts w:ascii="Arial" w:hAnsi="Arial" w:cs="Arial"/>
          <w:sz w:val="20"/>
          <w:szCs w:val="20"/>
          <w:lang w:val="es-419"/>
        </w:rPr>
        <w:tab/>
      </w:r>
      <w:r w:rsidRPr="005F6A08">
        <w:rPr>
          <w:rFonts w:ascii="Arial" w:hAnsi="Arial" w:cs="Arial"/>
          <w:sz w:val="20"/>
          <w:szCs w:val="20"/>
          <w:lang w:val="es-419"/>
        </w:rPr>
        <w:tab/>
        <w:t>: 135 de 06-04-2022</w:t>
      </w:r>
    </w:p>
    <w:p w14:paraId="4FAA6BFB" w14:textId="77777777" w:rsidR="005F6A08" w:rsidRPr="00EF0EDE" w:rsidRDefault="005F6A08" w:rsidP="005F6A08">
      <w:pPr>
        <w:jc w:val="both"/>
        <w:rPr>
          <w:rFonts w:ascii="Arial" w:hAnsi="Arial" w:cs="Arial"/>
          <w:sz w:val="20"/>
          <w:szCs w:val="20"/>
          <w:lang w:val="es-419"/>
        </w:rPr>
      </w:pPr>
    </w:p>
    <w:p w14:paraId="0AFDBD79" w14:textId="246414F0" w:rsidR="005F6A08" w:rsidRPr="00EF0EDE" w:rsidRDefault="00A41E07" w:rsidP="005F6A08">
      <w:pPr>
        <w:jc w:val="both"/>
        <w:rPr>
          <w:rFonts w:ascii="Arial" w:hAnsi="Arial" w:cs="Arial"/>
          <w:bCs/>
          <w:iCs/>
          <w:sz w:val="20"/>
          <w:szCs w:val="20"/>
          <w:lang w:val="es-419" w:eastAsia="fr-FR"/>
        </w:rPr>
      </w:pPr>
      <w:r w:rsidRPr="00EF0EDE">
        <w:rPr>
          <w:rFonts w:ascii="Arial" w:hAnsi="Arial" w:cs="Arial"/>
          <w:b/>
          <w:bCs/>
          <w:iCs/>
          <w:sz w:val="20"/>
          <w:szCs w:val="20"/>
          <w:u w:val="single"/>
          <w:lang w:val="es-419" w:eastAsia="fr-FR"/>
        </w:rPr>
        <w:t>TEMAS:</w:t>
      </w:r>
      <w:r w:rsidRPr="00EF0EDE">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PROCEDIBILIDAD / SUBSIDIARIEDAD / EXIGE TAMBIÉN EXPONER ANTE EL JUEZ ORDINARIO LOS ARGUMENTOS PLANTEADOS EN LA ACCIÓN CONSTITUCIONAL.</w:t>
      </w:r>
    </w:p>
    <w:p w14:paraId="435A7597" w14:textId="77777777" w:rsidR="005F6A08" w:rsidRDefault="005F6A08" w:rsidP="005F6A08">
      <w:pPr>
        <w:jc w:val="both"/>
        <w:rPr>
          <w:rFonts w:ascii="Arial" w:hAnsi="Arial" w:cs="Arial"/>
          <w:bCs/>
          <w:iCs/>
          <w:sz w:val="20"/>
          <w:szCs w:val="20"/>
          <w:lang w:val="es-419" w:eastAsia="fr-FR"/>
        </w:rPr>
      </w:pPr>
      <w:bookmarkStart w:id="0" w:name="_GoBack"/>
      <w:bookmarkEnd w:id="0"/>
    </w:p>
    <w:p w14:paraId="005E0943" w14:textId="452AF37A" w:rsidR="005F6A08" w:rsidRDefault="00E2157D" w:rsidP="005F6A08">
      <w:pPr>
        <w:jc w:val="both"/>
        <w:rPr>
          <w:rFonts w:ascii="Arial" w:hAnsi="Arial" w:cs="Arial"/>
          <w:bCs/>
          <w:iCs/>
          <w:sz w:val="20"/>
          <w:szCs w:val="20"/>
          <w:lang w:val="es-419" w:eastAsia="fr-FR"/>
        </w:rPr>
      </w:pPr>
      <w:r w:rsidRPr="00E2157D">
        <w:rPr>
          <w:rFonts w:ascii="Arial" w:hAnsi="Arial" w:cs="Arial"/>
          <w:bCs/>
          <w:iCs/>
          <w:sz w:val="20"/>
          <w:szCs w:val="20"/>
          <w:lang w:val="es-419" w:eastAsia="fr-FR"/>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E2157D">
        <w:rPr>
          <w:rFonts w:ascii="Arial" w:hAnsi="Arial" w:cs="Arial"/>
          <w:bCs/>
          <w:iCs/>
          <w:sz w:val="20"/>
          <w:szCs w:val="20"/>
          <w:lang w:val="es-419" w:eastAsia="fr-FR"/>
        </w:rPr>
        <w:t>re-definición</w:t>
      </w:r>
      <w:proofErr w:type="spellEnd"/>
      <w:r w:rsidRPr="00E2157D">
        <w:rPr>
          <w:rFonts w:ascii="Arial" w:hAnsi="Arial" w:cs="Arial"/>
          <w:bCs/>
          <w:iCs/>
          <w:sz w:val="20"/>
          <w:szCs w:val="20"/>
          <w:lang w:val="es-419" w:eastAsia="fr-FR"/>
        </w:rPr>
        <w:t xml:space="preserve"> dogmática entre 2003 y 2005, básicamente sustituyó la expresión “vías de hecho” por la de “causales genéricas de </w:t>
      </w:r>
      <w:r w:rsidR="00B06FDD" w:rsidRPr="00E2157D">
        <w:rPr>
          <w:rFonts w:ascii="Arial" w:hAnsi="Arial" w:cs="Arial"/>
          <w:bCs/>
          <w:iCs/>
          <w:sz w:val="20"/>
          <w:szCs w:val="20"/>
          <w:lang w:val="es-419" w:eastAsia="fr-FR"/>
        </w:rPr>
        <w:t>procedibilidad” y ensanchó las causales especiales</w:t>
      </w:r>
      <w:r>
        <w:rPr>
          <w:rFonts w:ascii="Arial" w:hAnsi="Arial" w:cs="Arial"/>
          <w:bCs/>
          <w:iCs/>
          <w:sz w:val="20"/>
          <w:szCs w:val="20"/>
          <w:lang w:val="es-419" w:eastAsia="fr-FR"/>
        </w:rPr>
        <w:t>…</w:t>
      </w:r>
    </w:p>
    <w:p w14:paraId="3295F5EE" w14:textId="77777777" w:rsidR="005F6A08" w:rsidRDefault="005F6A08" w:rsidP="005F6A08">
      <w:pPr>
        <w:jc w:val="both"/>
        <w:rPr>
          <w:rFonts w:ascii="Arial" w:hAnsi="Arial" w:cs="Arial"/>
          <w:bCs/>
          <w:iCs/>
          <w:sz w:val="20"/>
          <w:szCs w:val="20"/>
          <w:lang w:val="es-419" w:eastAsia="fr-FR"/>
        </w:rPr>
      </w:pPr>
    </w:p>
    <w:p w14:paraId="3E0873D8" w14:textId="7315552E" w:rsidR="005F6A08" w:rsidRDefault="002E04BA" w:rsidP="005F6A08">
      <w:pPr>
        <w:jc w:val="both"/>
        <w:rPr>
          <w:rFonts w:ascii="Arial" w:hAnsi="Arial" w:cs="Arial"/>
          <w:bCs/>
          <w:iCs/>
          <w:sz w:val="20"/>
          <w:szCs w:val="20"/>
          <w:lang w:val="es-419" w:eastAsia="fr-FR"/>
        </w:rPr>
      </w:pPr>
      <w:r w:rsidRPr="002E04BA">
        <w:rPr>
          <w:rFonts w:ascii="Arial" w:hAnsi="Arial" w:cs="Arial"/>
          <w:bCs/>
          <w:iCs/>
          <w:sz w:val="20"/>
          <w:szCs w:val="20"/>
          <w:lang w:val="es-419" w:eastAsia="fr-FR"/>
        </w:rPr>
        <w:t>Los requisitos generales de procedibilidad, explicados en amplitud en la sentencia C-590 de 2005 y reiterados en la consolidada línea jurisprudencial (2022) son: (i) Que el asunto sea de relevancia constitucional; (ii) Que se hayan agotado los medios ordinarios y extraordinarios de defensa judicial al alcance del afectado; (iii) Que se cumpla con el requisito de inmediatez</w:t>
      </w:r>
      <w:r>
        <w:rPr>
          <w:rFonts w:ascii="Arial" w:hAnsi="Arial" w:cs="Arial"/>
          <w:bCs/>
          <w:iCs/>
          <w:sz w:val="20"/>
          <w:szCs w:val="20"/>
          <w:lang w:val="es-419" w:eastAsia="fr-FR"/>
        </w:rPr>
        <w:t>…</w:t>
      </w:r>
    </w:p>
    <w:p w14:paraId="6550F929" w14:textId="77777777" w:rsidR="005F6A08" w:rsidRDefault="005F6A08" w:rsidP="005F6A08">
      <w:pPr>
        <w:jc w:val="both"/>
        <w:rPr>
          <w:rFonts w:ascii="Arial" w:hAnsi="Arial" w:cs="Arial"/>
          <w:bCs/>
          <w:iCs/>
          <w:sz w:val="20"/>
          <w:szCs w:val="20"/>
          <w:lang w:val="es-419" w:eastAsia="fr-FR"/>
        </w:rPr>
      </w:pPr>
    </w:p>
    <w:p w14:paraId="6E7395F9" w14:textId="09C2C509" w:rsidR="005F6A08" w:rsidRDefault="00CB686D" w:rsidP="005F6A08">
      <w:pPr>
        <w:jc w:val="both"/>
        <w:rPr>
          <w:rFonts w:ascii="Arial" w:hAnsi="Arial" w:cs="Arial"/>
          <w:bCs/>
          <w:iCs/>
          <w:sz w:val="20"/>
          <w:szCs w:val="20"/>
          <w:lang w:val="es-419" w:eastAsia="fr-FR"/>
        </w:rPr>
      </w:pPr>
      <w:r w:rsidRPr="00CB686D">
        <w:rPr>
          <w:rFonts w:ascii="Arial" w:hAnsi="Arial" w:cs="Arial"/>
          <w:bCs/>
          <w:iCs/>
          <w:sz w:val="20"/>
          <w:szCs w:val="20"/>
          <w:lang w:val="es-419" w:eastAsia="fr-FR"/>
        </w:rPr>
        <w:t>LA SUBSIDIARIEDAD: Procede la acción siempre que el afectado carezca de otro instrumento defensivo judicial (2021). Empero, hay dos (2) excepciones que guardan en común la existencia del medio ordinario: (i) La tutela transitoria para evitar un perjuicio irremediable; y (ii) La ineficacia de la herramienta regular para salvaguardar los derechos.</w:t>
      </w:r>
    </w:p>
    <w:p w14:paraId="634D69DD" w14:textId="77777777" w:rsidR="005F6A08" w:rsidRDefault="005F6A08" w:rsidP="005F6A08">
      <w:pPr>
        <w:jc w:val="both"/>
        <w:rPr>
          <w:rFonts w:ascii="Arial" w:hAnsi="Arial" w:cs="Arial"/>
          <w:bCs/>
          <w:iCs/>
          <w:sz w:val="20"/>
          <w:szCs w:val="20"/>
          <w:lang w:val="es-419" w:eastAsia="fr-FR"/>
        </w:rPr>
      </w:pPr>
    </w:p>
    <w:p w14:paraId="2BE33F98" w14:textId="20D209CF" w:rsidR="005F6A08" w:rsidRDefault="00117BAE" w:rsidP="005F6A08">
      <w:pPr>
        <w:jc w:val="both"/>
        <w:rPr>
          <w:rFonts w:ascii="Arial" w:hAnsi="Arial" w:cs="Arial"/>
          <w:bCs/>
          <w:iCs/>
          <w:sz w:val="20"/>
          <w:szCs w:val="20"/>
          <w:lang w:val="es-419" w:eastAsia="fr-FR"/>
        </w:rPr>
      </w:pPr>
      <w:r w:rsidRPr="00117BAE">
        <w:rPr>
          <w:rFonts w:ascii="Arial" w:hAnsi="Arial" w:cs="Arial"/>
          <w:bCs/>
          <w:iCs/>
          <w:sz w:val="20"/>
          <w:szCs w:val="20"/>
          <w:lang w:val="es-419" w:eastAsia="fr-FR"/>
        </w:rPr>
        <w:t>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w:t>
      </w:r>
      <w:r>
        <w:rPr>
          <w:rFonts w:ascii="Arial" w:hAnsi="Arial" w:cs="Arial"/>
          <w:bCs/>
          <w:iCs/>
          <w:sz w:val="20"/>
          <w:szCs w:val="20"/>
          <w:lang w:val="es-419" w:eastAsia="fr-FR"/>
        </w:rPr>
        <w:t>…</w:t>
      </w:r>
    </w:p>
    <w:p w14:paraId="34CF083E" w14:textId="057BF54A" w:rsidR="00117BAE" w:rsidRDefault="00117BAE" w:rsidP="005F6A08">
      <w:pPr>
        <w:jc w:val="both"/>
        <w:rPr>
          <w:rFonts w:ascii="Arial" w:hAnsi="Arial" w:cs="Arial"/>
          <w:bCs/>
          <w:iCs/>
          <w:sz w:val="20"/>
          <w:szCs w:val="20"/>
          <w:lang w:val="es-419" w:eastAsia="fr-FR"/>
        </w:rPr>
      </w:pPr>
    </w:p>
    <w:p w14:paraId="7F7DC549" w14:textId="2AA97FA4" w:rsidR="00117BAE" w:rsidRDefault="00117BAE" w:rsidP="005F6A08">
      <w:pPr>
        <w:jc w:val="both"/>
        <w:rPr>
          <w:rFonts w:ascii="Arial" w:hAnsi="Arial" w:cs="Arial"/>
          <w:bCs/>
          <w:iCs/>
          <w:sz w:val="20"/>
          <w:szCs w:val="20"/>
          <w:lang w:val="es-419" w:eastAsia="fr-FR"/>
        </w:rPr>
      </w:pPr>
      <w:r w:rsidRPr="00117BAE">
        <w:rPr>
          <w:rFonts w:ascii="Arial" w:hAnsi="Arial" w:cs="Arial"/>
          <w:bCs/>
          <w:iCs/>
          <w:sz w:val="20"/>
          <w:szCs w:val="20"/>
          <w:lang w:val="es-419" w:eastAsia="fr-FR"/>
        </w:rPr>
        <w:t>Asimismo, importa reseñar que el ejercicio de las herramientas judiciales, por sí mismo, no implica el acato del presupuesto de la subsidiariedad, cuando se advierte que se agotó de forma irregular, en tanto impidió que en el trámite ordinario se desatara el problema jurídico por el juez</w:t>
      </w:r>
      <w:r>
        <w:rPr>
          <w:rFonts w:ascii="Arial" w:hAnsi="Arial" w:cs="Arial"/>
          <w:bCs/>
          <w:iCs/>
          <w:sz w:val="20"/>
          <w:szCs w:val="20"/>
          <w:lang w:val="es-419" w:eastAsia="fr-FR"/>
        </w:rPr>
        <w:t>.</w:t>
      </w:r>
    </w:p>
    <w:p w14:paraId="7018A309" w14:textId="77777777" w:rsidR="00117BAE" w:rsidRPr="00EF0EDE" w:rsidRDefault="00117BAE" w:rsidP="005F6A08">
      <w:pPr>
        <w:jc w:val="both"/>
        <w:rPr>
          <w:rFonts w:ascii="Arial" w:hAnsi="Arial" w:cs="Arial"/>
          <w:bCs/>
          <w:iCs/>
          <w:sz w:val="20"/>
          <w:szCs w:val="20"/>
          <w:lang w:val="es-419" w:eastAsia="fr-FR"/>
        </w:rPr>
      </w:pPr>
    </w:p>
    <w:p w14:paraId="480B6ACF" w14:textId="77777777" w:rsidR="005F6A08" w:rsidRPr="00EF0EDE" w:rsidRDefault="005F6A08" w:rsidP="005F6A08">
      <w:pPr>
        <w:jc w:val="both"/>
        <w:rPr>
          <w:rFonts w:ascii="Arial" w:hAnsi="Arial" w:cs="Arial"/>
          <w:bCs/>
          <w:iCs/>
          <w:sz w:val="20"/>
          <w:szCs w:val="20"/>
          <w:lang w:val="es-419" w:eastAsia="fr-FR"/>
        </w:rPr>
      </w:pPr>
    </w:p>
    <w:p w14:paraId="790D50B3" w14:textId="77777777" w:rsidR="005F6A08" w:rsidRPr="00EF0EDE" w:rsidRDefault="005F6A08" w:rsidP="005F6A08">
      <w:pPr>
        <w:jc w:val="both"/>
        <w:rPr>
          <w:rFonts w:ascii="Arial" w:hAnsi="Arial" w:cs="Arial"/>
          <w:bCs/>
          <w:iCs/>
          <w:sz w:val="20"/>
          <w:szCs w:val="20"/>
          <w:lang w:val="es-419" w:eastAsia="fr-FR"/>
        </w:rPr>
      </w:pPr>
    </w:p>
    <w:p w14:paraId="0EDDEA80" w14:textId="77777777" w:rsidR="005F6A08" w:rsidRPr="00BB7E33" w:rsidRDefault="005F6A08" w:rsidP="005F6A08">
      <w:pPr>
        <w:spacing w:line="360" w:lineRule="auto"/>
        <w:jc w:val="center"/>
        <w:rPr>
          <w:rFonts w:ascii="Georgia" w:hAnsi="Georgia" w:cs="Arial"/>
          <w:w w:val="140"/>
          <w:sz w:val="14"/>
          <w:szCs w:val="14"/>
          <w:lang w:val="es-CO"/>
        </w:rPr>
      </w:pPr>
      <w:r w:rsidRPr="00BB7E33">
        <w:rPr>
          <w:rFonts w:cs="Courier New"/>
          <w:noProof/>
          <w:lang w:val="es-CO"/>
        </w:rPr>
        <w:drawing>
          <wp:inline distT="0" distB="0" distL="0" distR="0" wp14:anchorId="19F53A87" wp14:editId="6FD30CBB">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7279F38F" w14:textId="77777777" w:rsidR="005F6A08" w:rsidRPr="00BB7E33" w:rsidRDefault="005F6A08" w:rsidP="005F6A08">
      <w:pPr>
        <w:spacing w:line="360" w:lineRule="auto"/>
        <w:jc w:val="center"/>
        <w:rPr>
          <w:rFonts w:ascii="Georgia" w:hAnsi="Georgia" w:cs="Arial"/>
          <w:w w:val="140"/>
          <w:sz w:val="14"/>
          <w:szCs w:val="14"/>
          <w:lang w:val="es-CO"/>
        </w:rPr>
      </w:pPr>
      <w:r w:rsidRPr="00BB7E33">
        <w:rPr>
          <w:rFonts w:ascii="Georgia" w:hAnsi="Georgia" w:cs="Arial"/>
          <w:w w:val="140"/>
          <w:sz w:val="14"/>
          <w:szCs w:val="14"/>
          <w:lang w:val="es-CO"/>
        </w:rPr>
        <w:t>REPUBLICA DE COLOMBIA</w:t>
      </w:r>
    </w:p>
    <w:p w14:paraId="4B81A498" w14:textId="77777777" w:rsidR="005F6A08" w:rsidRPr="00BB7E33" w:rsidRDefault="005F6A08" w:rsidP="005F6A08">
      <w:pPr>
        <w:tabs>
          <w:tab w:val="center" w:pos="4987"/>
          <w:tab w:val="left" w:pos="8449"/>
        </w:tabs>
        <w:spacing w:line="360" w:lineRule="auto"/>
        <w:jc w:val="center"/>
        <w:rPr>
          <w:rFonts w:ascii="Georgia" w:hAnsi="Georgia" w:cs="Arial"/>
          <w:w w:val="140"/>
          <w:lang w:val="es-CO"/>
        </w:rPr>
      </w:pPr>
      <w:r w:rsidRPr="00BB7E33">
        <w:rPr>
          <w:rFonts w:ascii="Georgia" w:hAnsi="Georgia" w:cs="Arial"/>
          <w:w w:val="140"/>
          <w:sz w:val="14"/>
          <w:szCs w:val="14"/>
          <w:lang w:val="es-CO"/>
        </w:rPr>
        <w:t>RAMA JUDICIAL DEL PODER PÚBLICO</w:t>
      </w:r>
    </w:p>
    <w:p w14:paraId="47942792" w14:textId="77777777" w:rsidR="005F6A08" w:rsidRPr="00BB7E33" w:rsidRDefault="005F6A08" w:rsidP="005F6A08">
      <w:pPr>
        <w:spacing w:line="360" w:lineRule="auto"/>
        <w:jc w:val="center"/>
        <w:rPr>
          <w:rFonts w:ascii="Georgia" w:hAnsi="Georgia" w:cs="Arial"/>
          <w:b/>
          <w:w w:val="140"/>
          <w:sz w:val="16"/>
          <w:szCs w:val="16"/>
          <w:lang w:val="es-CO"/>
        </w:rPr>
      </w:pPr>
      <w:r w:rsidRPr="00BB7E33">
        <w:rPr>
          <w:rFonts w:ascii="Georgia" w:hAnsi="Georgia" w:cs="Arial"/>
          <w:b/>
          <w:w w:val="140"/>
          <w:sz w:val="18"/>
          <w:szCs w:val="18"/>
          <w:lang w:val="es-CO"/>
        </w:rPr>
        <w:t>T</w:t>
      </w:r>
      <w:r w:rsidRPr="00BB7E33">
        <w:rPr>
          <w:rFonts w:ascii="Georgia" w:hAnsi="Georgia" w:cs="Arial"/>
          <w:b/>
          <w:w w:val="140"/>
          <w:sz w:val="16"/>
          <w:szCs w:val="16"/>
          <w:lang w:val="es-CO"/>
        </w:rPr>
        <w:t>RIBUNAL</w:t>
      </w:r>
      <w:r w:rsidRPr="00BB7E33">
        <w:rPr>
          <w:rFonts w:ascii="Georgia" w:hAnsi="Georgia" w:cs="Arial"/>
          <w:b/>
          <w:w w:val="140"/>
          <w:sz w:val="18"/>
          <w:szCs w:val="18"/>
          <w:lang w:val="es-CO"/>
        </w:rPr>
        <w:t xml:space="preserve"> S</w:t>
      </w:r>
      <w:r w:rsidRPr="00BB7E33">
        <w:rPr>
          <w:rFonts w:ascii="Georgia" w:hAnsi="Georgia" w:cs="Arial"/>
          <w:b/>
          <w:w w:val="140"/>
          <w:sz w:val="16"/>
          <w:szCs w:val="16"/>
          <w:lang w:val="es-CO"/>
        </w:rPr>
        <w:t xml:space="preserve">UPERIOR DEL </w:t>
      </w:r>
      <w:r w:rsidRPr="00BB7E33">
        <w:rPr>
          <w:rFonts w:ascii="Georgia" w:hAnsi="Georgia" w:cs="Arial"/>
          <w:b/>
          <w:w w:val="140"/>
          <w:sz w:val="18"/>
          <w:szCs w:val="18"/>
          <w:lang w:val="es-CO"/>
        </w:rPr>
        <w:t>D</w:t>
      </w:r>
      <w:r w:rsidRPr="00BB7E33">
        <w:rPr>
          <w:rFonts w:ascii="Georgia" w:hAnsi="Georgia" w:cs="Arial"/>
          <w:b/>
          <w:w w:val="140"/>
          <w:sz w:val="16"/>
          <w:szCs w:val="16"/>
          <w:lang w:val="es-CO"/>
        </w:rPr>
        <w:t>ISTRITO</w:t>
      </w:r>
      <w:r w:rsidRPr="00BB7E33">
        <w:rPr>
          <w:rFonts w:ascii="Georgia" w:hAnsi="Georgia" w:cs="Arial"/>
          <w:b/>
          <w:w w:val="140"/>
          <w:sz w:val="18"/>
          <w:szCs w:val="18"/>
          <w:lang w:val="es-CO"/>
        </w:rPr>
        <w:t xml:space="preserve"> J</w:t>
      </w:r>
      <w:r w:rsidRPr="00BB7E33">
        <w:rPr>
          <w:rFonts w:ascii="Georgia" w:hAnsi="Georgia" w:cs="Arial"/>
          <w:b/>
          <w:w w:val="140"/>
          <w:sz w:val="16"/>
          <w:szCs w:val="16"/>
          <w:lang w:val="es-CO"/>
        </w:rPr>
        <w:t xml:space="preserve">UDICIAL </w:t>
      </w:r>
    </w:p>
    <w:p w14:paraId="19BEE967" w14:textId="77777777" w:rsidR="005F6A08" w:rsidRPr="00BB7E33" w:rsidRDefault="005F6A08" w:rsidP="005F6A08">
      <w:pPr>
        <w:spacing w:line="360" w:lineRule="auto"/>
        <w:jc w:val="center"/>
        <w:rPr>
          <w:rFonts w:ascii="Georgia" w:hAnsi="Georgia" w:cs="Arial"/>
          <w:w w:val="140"/>
          <w:sz w:val="18"/>
          <w:szCs w:val="18"/>
          <w:lang w:val="es-CO"/>
        </w:rPr>
      </w:pPr>
      <w:r w:rsidRPr="00BB7E33">
        <w:rPr>
          <w:rFonts w:ascii="Georgia" w:hAnsi="Georgia" w:cs="Arial"/>
          <w:w w:val="140"/>
          <w:sz w:val="18"/>
          <w:szCs w:val="18"/>
          <w:lang w:val="es-CO"/>
        </w:rPr>
        <w:t>S</w:t>
      </w:r>
      <w:r w:rsidRPr="00BB7E33">
        <w:rPr>
          <w:rFonts w:ascii="Georgia" w:hAnsi="Georgia" w:cs="Arial"/>
          <w:w w:val="140"/>
          <w:sz w:val="16"/>
          <w:szCs w:val="16"/>
          <w:lang w:val="es-CO"/>
        </w:rPr>
        <w:t xml:space="preserve">ALA </w:t>
      </w:r>
      <w:r w:rsidRPr="00BB7E33">
        <w:rPr>
          <w:rFonts w:ascii="Georgia" w:hAnsi="Georgia" w:cs="Arial"/>
          <w:w w:val="140"/>
          <w:sz w:val="18"/>
          <w:szCs w:val="18"/>
          <w:lang w:val="es-CO"/>
        </w:rPr>
        <w:t>U</w:t>
      </w:r>
      <w:r w:rsidRPr="00BB7E33">
        <w:rPr>
          <w:rFonts w:ascii="Georgia" w:hAnsi="Georgia" w:cs="Arial"/>
          <w:w w:val="140"/>
          <w:sz w:val="16"/>
          <w:szCs w:val="16"/>
          <w:lang w:val="es-CO"/>
        </w:rPr>
        <w:t xml:space="preserve">NITARIA </w:t>
      </w:r>
      <w:r w:rsidRPr="00BB7E33">
        <w:rPr>
          <w:rFonts w:ascii="Georgia" w:hAnsi="Georgia" w:cs="Arial"/>
          <w:w w:val="140"/>
          <w:sz w:val="18"/>
          <w:szCs w:val="18"/>
          <w:lang w:val="es-CO"/>
        </w:rPr>
        <w:t>C</w:t>
      </w:r>
      <w:r w:rsidRPr="00BB7E33">
        <w:rPr>
          <w:rFonts w:ascii="Georgia" w:hAnsi="Georgia" w:cs="Arial"/>
          <w:w w:val="140"/>
          <w:sz w:val="16"/>
          <w:szCs w:val="16"/>
          <w:lang w:val="es-CO"/>
        </w:rPr>
        <w:t xml:space="preserve">IVIL </w:t>
      </w:r>
      <w:r w:rsidRPr="00BB7E33">
        <w:rPr>
          <w:rFonts w:ascii="Georgia" w:hAnsi="Georgia" w:cs="Arial"/>
          <w:w w:val="140"/>
          <w:sz w:val="18"/>
          <w:szCs w:val="18"/>
          <w:lang w:val="es-CO"/>
        </w:rPr>
        <w:t xml:space="preserve">- </w:t>
      </w:r>
      <w:r w:rsidRPr="00BB7E33">
        <w:rPr>
          <w:rFonts w:ascii="Georgia" w:hAnsi="Georgia" w:cs="Arial"/>
          <w:w w:val="140"/>
          <w:sz w:val="16"/>
          <w:szCs w:val="16"/>
          <w:lang w:val="es-CO"/>
        </w:rPr>
        <w:t>FAMILIA -</w:t>
      </w:r>
      <w:r w:rsidRPr="00BB7E33">
        <w:rPr>
          <w:rFonts w:ascii="Georgia" w:hAnsi="Georgia" w:cs="Arial"/>
          <w:w w:val="140"/>
          <w:sz w:val="18"/>
          <w:szCs w:val="18"/>
          <w:lang w:val="es-CO"/>
        </w:rPr>
        <w:t xml:space="preserve"> D</w:t>
      </w:r>
      <w:r w:rsidRPr="00BB7E33">
        <w:rPr>
          <w:rFonts w:ascii="Georgia" w:hAnsi="Georgia" w:cs="Arial"/>
          <w:w w:val="140"/>
          <w:sz w:val="16"/>
          <w:szCs w:val="16"/>
          <w:lang w:val="es-CO"/>
        </w:rPr>
        <w:t xml:space="preserve">ISTRITO DE </w:t>
      </w:r>
      <w:r w:rsidRPr="00BB7E33">
        <w:rPr>
          <w:rFonts w:ascii="Georgia" w:hAnsi="Georgia" w:cs="Arial"/>
          <w:w w:val="140"/>
          <w:sz w:val="18"/>
          <w:szCs w:val="18"/>
          <w:lang w:val="es-CO"/>
        </w:rPr>
        <w:t>P</w:t>
      </w:r>
      <w:r w:rsidRPr="00BB7E33">
        <w:rPr>
          <w:rFonts w:ascii="Georgia" w:hAnsi="Georgia" w:cs="Arial"/>
          <w:w w:val="140"/>
          <w:sz w:val="16"/>
          <w:szCs w:val="16"/>
          <w:lang w:val="es-CO"/>
        </w:rPr>
        <w:t>EREIRA</w:t>
      </w:r>
    </w:p>
    <w:p w14:paraId="4C0CD455" w14:textId="77777777" w:rsidR="005F6A08" w:rsidRPr="00BB7E33" w:rsidRDefault="005F6A08" w:rsidP="005F6A08">
      <w:pPr>
        <w:spacing w:line="360" w:lineRule="auto"/>
        <w:jc w:val="center"/>
        <w:rPr>
          <w:rFonts w:ascii="Georgia" w:hAnsi="Georgia" w:cs="Arial"/>
          <w:w w:val="140"/>
          <w:sz w:val="16"/>
          <w:szCs w:val="16"/>
          <w:lang w:val="es-CO"/>
        </w:rPr>
      </w:pPr>
      <w:r w:rsidRPr="00BB7E33">
        <w:rPr>
          <w:rFonts w:ascii="Georgia" w:hAnsi="Georgia" w:cs="Arial"/>
          <w:w w:val="140"/>
          <w:sz w:val="18"/>
          <w:szCs w:val="18"/>
          <w:lang w:val="es-CO"/>
        </w:rPr>
        <w:t>D</w:t>
      </w:r>
      <w:r w:rsidRPr="00BB7E33">
        <w:rPr>
          <w:rFonts w:ascii="Georgia" w:hAnsi="Georgia" w:cs="Arial"/>
          <w:w w:val="140"/>
          <w:sz w:val="16"/>
          <w:szCs w:val="16"/>
          <w:lang w:val="es-CO"/>
        </w:rPr>
        <w:t xml:space="preserve">EPARTAMENTO </w:t>
      </w:r>
      <w:r w:rsidRPr="00BB7E33">
        <w:rPr>
          <w:rFonts w:ascii="Georgia" w:hAnsi="Georgia" w:cs="Arial"/>
          <w:w w:val="140"/>
          <w:sz w:val="18"/>
          <w:szCs w:val="18"/>
          <w:lang w:val="es-CO"/>
        </w:rPr>
        <w:t>D</w:t>
      </w:r>
      <w:r w:rsidRPr="00BB7E33">
        <w:rPr>
          <w:rFonts w:ascii="Georgia" w:hAnsi="Georgia" w:cs="Arial"/>
          <w:w w:val="140"/>
          <w:sz w:val="16"/>
          <w:szCs w:val="16"/>
          <w:lang w:val="es-CO"/>
        </w:rPr>
        <w:t xml:space="preserve">EL </w:t>
      </w:r>
      <w:r w:rsidRPr="00BB7E33">
        <w:rPr>
          <w:rFonts w:ascii="Georgia" w:hAnsi="Georgia" w:cs="Arial"/>
          <w:w w:val="140"/>
          <w:sz w:val="18"/>
          <w:szCs w:val="18"/>
          <w:lang w:val="es-CO"/>
        </w:rPr>
        <w:t>R</w:t>
      </w:r>
      <w:r w:rsidRPr="00BB7E33">
        <w:rPr>
          <w:rFonts w:ascii="Georgia" w:hAnsi="Georgia" w:cs="Arial"/>
          <w:w w:val="140"/>
          <w:sz w:val="16"/>
          <w:szCs w:val="16"/>
          <w:lang w:val="es-CO"/>
        </w:rPr>
        <w:t>ISARALDA</w:t>
      </w:r>
    </w:p>
    <w:p w14:paraId="233A9866" w14:textId="77777777" w:rsidR="005F6A08" w:rsidRPr="00BB7E33" w:rsidRDefault="005F6A08" w:rsidP="00381244">
      <w:pPr>
        <w:spacing w:line="276" w:lineRule="auto"/>
        <w:jc w:val="center"/>
        <w:rPr>
          <w:rFonts w:ascii="Georgia" w:hAnsi="Georgia" w:cs="Arial"/>
          <w:lang w:val="es-CO"/>
        </w:rPr>
      </w:pPr>
    </w:p>
    <w:p w14:paraId="5BBDF9D7" w14:textId="02DA8369" w:rsidR="00AE0F8C" w:rsidRPr="00381244" w:rsidRDefault="00AE0F8C" w:rsidP="0038124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381244">
        <w:rPr>
          <w:rFonts w:ascii="Georgia" w:hAnsi="Georgia" w:cs="Arial"/>
          <w:b/>
          <w:bCs/>
          <w:szCs w:val="24"/>
        </w:rPr>
        <w:t>ST2-</w:t>
      </w:r>
      <w:r w:rsidR="0097412C" w:rsidRPr="00381244">
        <w:rPr>
          <w:rFonts w:ascii="Georgia" w:hAnsi="Georgia" w:cs="Arial"/>
          <w:b/>
          <w:bCs/>
          <w:szCs w:val="24"/>
        </w:rPr>
        <w:t>0087</w:t>
      </w:r>
      <w:r w:rsidRPr="00381244">
        <w:rPr>
          <w:rFonts w:ascii="Georgia" w:hAnsi="Georgia" w:cs="Arial"/>
          <w:b/>
          <w:bCs/>
          <w:szCs w:val="24"/>
        </w:rPr>
        <w:t>-</w:t>
      </w:r>
      <w:r w:rsidR="0095346D" w:rsidRPr="00381244">
        <w:rPr>
          <w:rFonts w:ascii="Georgia" w:hAnsi="Georgia" w:cs="Arial"/>
          <w:b/>
          <w:bCs/>
          <w:szCs w:val="24"/>
        </w:rPr>
        <w:t>2022</w:t>
      </w:r>
    </w:p>
    <w:p w14:paraId="0BF8176B" w14:textId="77777777" w:rsidR="008558CD" w:rsidRPr="00381244" w:rsidRDefault="008558CD" w:rsidP="00381244">
      <w:pPr>
        <w:pBdr>
          <w:bottom w:val="double" w:sz="6" w:space="1" w:color="auto"/>
        </w:pBdr>
        <w:spacing w:line="276" w:lineRule="auto"/>
        <w:jc w:val="center"/>
        <w:rPr>
          <w:rFonts w:ascii="Georgia" w:hAnsi="Georgia"/>
          <w:b/>
          <w:bCs/>
          <w:lang w:val="es-419"/>
        </w:rPr>
      </w:pPr>
    </w:p>
    <w:p w14:paraId="47A728BB" w14:textId="77777777" w:rsidR="008558CD" w:rsidRPr="00381244" w:rsidRDefault="008558CD" w:rsidP="00381244">
      <w:pPr>
        <w:spacing w:line="276" w:lineRule="auto"/>
        <w:jc w:val="center"/>
        <w:rPr>
          <w:rFonts w:ascii="Georgia" w:hAnsi="Georgia"/>
          <w:b/>
          <w:bCs/>
          <w:lang w:val="es-419"/>
        </w:rPr>
      </w:pPr>
    </w:p>
    <w:p w14:paraId="72D264FF" w14:textId="4FD1A505" w:rsidR="00AE0F8C" w:rsidRPr="00381244" w:rsidRDefault="0097412C" w:rsidP="00381244">
      <w:pPr>
        <w:spacing w:line="276" w:lineRule="auto"/>
        <w:jc w:val="center"/>
        <w:rPr>
          <w:rFonts w:ascii="Georgia" w:hAnsi="Georgia" w:cs="Arial"/>
          <w:b/>
          <w:bCs/>
          <w:iCs/>
          <w:lang w:val="es-CO"/>
        </w:rPr>
      </w:pPr>
      <w:r w:rsidRPr="00381244">
        <w:rPr>
          <w:rFonts w:ascii="Georgia" w:hAnsi="Georgia" w:cs="Arial"/>
          <w:b/>
          <w:bCs/>
          <w:iCs/>
          <w:smallCaps/>
          <w:lang w:val="es-CO"/>
        </w:rPr>
        <w:t xml:space="preserve">Seis </w:t>
      </w:r>
      <w:r w:rsidR="00AE0F8C" w:rsidRPr="00381244">
        <w:rPr>
          <w:rFonts w:ascii="Georgia" w:hAnsi="Georgia" w:cs="Arial"/>
          <w:b/>
          <w:bCs/>
          <w:iCs/>
          <w:smallCaps/>
          <w:lang w:val="es-CO"/>
        </w:rPr>
        <w:t>(</w:t>
      </w:r>
      <w:r w:rsidRPr="00381244">
        <w:rPr>
          <w:rFonts w:ascii="Georgia" w:hAnsi="Georgia" w:cs="Arial"/>
          <w:b/>
          <w:bCs/>
          <w:iCs/>
          <w:smallCaps/>
          <w:lang w:val="es-CO"/>
        </w:rPr>
        <w:t>6</w:t>
      </w:r>
      <w:r w:rsidR="00AE0F8C" w:rsidRPr="00381244">
        <w:rPr>
          <w:rFonts w:ascii="Georgia" w:hAnsi="Georgia" w:cs="Arial"/>
          <w:b/>
          <w:bCs/>
          <w:iCs/>
          <w:smallCaps/>
          <w:lang w:val="es-CO"/>
        </w:rPr>
        <w:t xml:space="preserve">) de </w:t>
      </w:r>
      <w:r w:rsidR="001103E3" w:rsidRPr="00381244">
        <w:rPr>
          <w:rFonts w:ascii="Georgia" w:hAnsi="Georgia" w:cs="Arial"/>
          <w:b/>
          <w:bCs/>
          <w:iCs/>
          <w:smallCaps/>
          <w:lang w:val="es-CO"/>
        </w:rPr>
        <w:t>abril</w:t>
      </w:r>
      <w:r w:rsidR="00AE0F8C" w:rsidRPr="00381244">
        <w:rPr>
          <w:rFonts w:ascii="Georgia" w:hAnsi="Georgia" w:cs="Arial"/>
          <w:b/>
          <w:bCs/>
          <w:iCs/>
          <w:smallCaps/>
          <w:lang w:val="es-CO"/>
        </w:rPr>
        <w:t xml:space="preserve"> de dos mil </w:t>
      </w:r>
      <w:r w:rsidR="00C36F24" w:rsidRPr="00381244">
        <w:rPr>
          <w:rFonts w:ascii="Georgia" w:hAnsi="Georgia" w:cs="Arial"/>
          <w:b/>
          <w:bCs/>
          <w:iCs/>
          <w:smallCaps/>
          <w:lang w:val="es-CO"/>
        </w:rPr>
        <w:t xml:space="preserve">veintidós </w:t>
      </w:r>
      <w:r w:rsidR="00AE0F8C" w:rsidRPr="00381244">
        <w:rPr>
          <w:rFonts w:ascii="Georgia" w:hAnsi="Georgia" w:cs="Arial"/>
          <w:b/>
          <w:bCs/>
          <w:iCs/>
          <w:smallCaps/>
          <w:lang w:val="es-CO"/>
        </w:rPr>
        <w:t>(</w:t>
      </w:r>
      <w:r w:rsidR="00C36F24" w:rsidRPr="00381244">
        <w:rPr>
          <w:rFonts w:ascii="Georgia" w:hAnsi="Georgia" w:cs="Arial"/>
          <w:b/>
          <w:bCs/>
          <w:iCs/>
          <w:smallCaps/>
          <w:lang w:val="es-CO"/>
        </w:rPr>
        <w:t>2022</w:t>
      </w:r>
      <w:r w:rsidR="00AE0F8C" w:rsidRPr="00381244">
        <w:rPr>
          <w:rFonts w:ascii="Georgia" w:hAnsi="Georgia" w:cs="Arial"/>
          <w:b/>
          <w:bCs/>
          <w:iCs/>
          <w:smallCaps/>
          <w:lang w:val="es-CO"/>
        </w:rPr>
        <w:t>)</w:t>
      </w:r>
      <w:r w:rsidR="00AE0F8C" w:rsidRPr="00381244">
        <w:rPr>
          <w:rFonts w:ascii="Georgia" w:hAnsi="Georgia" w:cs="Arial"/>
          <w:b/>
          <w:bCs/>
          <w:iCs/>
          <w:lang w:val="es-CO"/>
        </w:rPr>
        <w:t>.</w:t>
      </w:r>
    </w:p>
    <w:p w14:paraId="0C798D64" w14:textId="77777777" w:rsidR="00785FA3" w:rsidRPr="00381244" w:rsidRDefault="00785FA3" w:rsidP="00381244">
      <w:pPr>
        <w:pStyle w:val="Textoindependiente"/>
        <w:spacing w:line="276" w:lineRule="auto"/>
        <w:rPr>
          <w:rFonts w:ascii="Georgia" w:hAnsi="Georgia"/>
          <w:szCs w:val="24"/>
          <w:lang w:val="es-CO"/>
        </w:rPr>
      </w:pPr>
    </w:p>
    <w:p w14:paraId="2E31E775" w14:textId="77777777" w:rsidR="00D639BD" w:rsidRPr="00381244" w:rsidRDefault="00D639BD" w:rsidP="00381244">
      <w:pPr>
        <w:pStyle w:val="Textoindependiente"/>
        <w:spacing w:line="276" w:lineRule="auto"/>
        <w:rPr>
          <w:rFonts w:ascii="Georgia" w:hAnsi="Georgia"/>
          <w:szCs w:val="24"/>
          <w:lang w:val="es-CO"/>
        </w:rPr>
      </w:pPr>
    </w:p>
    <w:p w14:paraId="4B893AD6" w14:textId="77777777" w:rsidR="008C1A0E" w:rsidRPr="00381244" w:rsidRDefault="008C1A0E" w:rsidP="00381244">
      <w:pPr>
        <w:pStyle w:val="Textoindependiente"/>
        <w:numPr>
          <w:ilvl w:val="0"/>
          <w:numId w:val="46"/>
        </w:numPr>
        <w:spacing w:line="276" w:lineRule="auto"/>
        <w:textAlignment w:val="auto"/>
        <w:rPr>
          <w:rFonts w:ascii="Georgia" w:hAnsi="Georgia"/>
          <w:b/>
          <w:bCs/>
          <w:smallCaps/>
          <w:szCs w:val="24"/>
          <w:lang w:val="es-419"/>
        </w:rPr>
      </w:pPr>
      <w:r w:rsidRPr="00381244">
        <w:rPr>
          <w:rFonts w:ascii="Georgia" w:hAnsi="Georgia"/>
          <w:b/>
          <w:bCs/>
          <w:smallCaps/>
          <w:szCs w:val="24"/>
          <w:lang w:val="es-419"/>
        </w:rPr>
        <w:t>El asunto a decidir</w:t>
      </w:r>
    </w:p>
    <w:p w14:paraId="6AA2FA95" w14:textId="77777777" w:rsidR="00785FA3" w:rsidRPr="00381244" w:rsidRDefault="00785FA3" w:rsidP="00381244">
      <w:pPr>
        <w:pStyle w:val="Textoindependiente"/>
        <w:spacing w:line="276" w:lineRule="auto"/>
        <w:rPr>
          <w:rFonts w:ascii="Georgia" w:hAnsi="Georgia"/>
          <w:szCs w:val="24"/>
          <w:lang w:val="es-419"/>
        </w:rPr>
      </w:pPr>
    </w:p>
    <w:p w14:paraId="097413FA" w14:textId="77777777" w:rsidR="00785FA3" w:rsidRPr="00381244" w:rsidRDefault="00785FA3" w:rsidP="00381244">
      <w:pPr>
        <w:pStyle w:val="Textoindependiente"/>
        <w:spacing w:line="276" w:lineRule="auto"/>
        <w:rPr>
          <w:rFonts w:ascii="Georgia" w:hAnsi="Georgia"/>
          <w:szCs w:val="24"/>
          <w:lang w:val="es-419"/>
        </w:rPr>
      </w:pPr>
      <w:r w:rsidRPr="00381244">
        <w:rPr>
          <w:rFonts w:ascii="Georgia" w:hAnsi="Georgia"/>
          <w:szCs w:val="24"/>
          <w:lang w:val="es-419"/>
        </w:rPr>
        <w:lastRenderedPageBreak/>
        <w:t>La impugnación suscitada en el trámite constitucional ya referido, una vez se ha cumplido la actuación de primera instancia.</w:t>
      </w:r>
    </w:p>
    <w:p w14:paraId="452F1C3C" w14:textId="77777777" w:rsidR="00785FA3" w:rsidRPr="00381244" w:rsidRDefault="00785FA3" w:rsidP="00381244">
      <w:pPr>
        <w:pStyle w:val="Textoindependiente"/>
        <w:spacing w:line="276" w:lineRule="auto"/>
        <w:rPr>
          <w:rFonts w:ascii="Georgia" w:hAnsi="Georgia"/>
          <w:szCs w:val="24"/>
          <w:lang w:val="es-419"/>
        </w:rPr>
      </w:pPr>
    </w:p>
    <w:p w14:paraId="3B5B0F66" w14:textId="77777777" w:rsidR="00D639BD" w:rsidRPr="00381244" w:rsidRDefault="00D639BD" w:rsidP="00381244">
      <w:pPr>
        <w:pStyle w:val="Textoindependiente"/>
        <w:spacing w:line="276" w:lineRule="auto"/>
        <w:rPr>
          <w:rFonts w:ascii="Georgia" w:hAnsi="Georgia"/>
          <w:szCs w:val="24"/>
          <w:lang w:val="es-419"/>
        </w:rPr>
      </w:pPr>
    </w:p>
    <w:p w14:paraId="2F6AA195" w14:textId="77777777" w:rsidR="008C1A0E" w:rsidRPr="00381244" w:rsidRDefault="008C1A0E" w:rsidP="00381244">
      <w:pPr>
        <w:pStyle w:val="Textoindependiente"/>
        <w:numPr>
          <w:ilvl w:val="0"/>
          <w:numId w:val="46"/>
        </w:numPr>
        <w:spacing w:line="276" w:lineRule="auto"/>
        <w:textAlignment w:val="auto"/>
        <w:rPr>
          <w:rFonts w:ascii="Georgia" w:hAnsi="Georgia"/>
          <w:b/>
          <w:bCs/>
          <w:smallCaps/>
          <w:szCs w:val="24"/>
          <w:lang w:val="es-419"/>
        </w:rPr>
      </w:pPr>
      <w:r w:rsidRPr="00381244">
        <w:rPr>
          <w:rFonts w:ascii="Georgia" w:hAnsi="Georgia"/>
          <w:b/>
          <w:bCs/>
          <w:smallCaps/>
          <w:szCs w:val="24"/>
          <w:lang w:val="es-419"/>
        </w:rPr>
        <w:t>La síntesis fáctica relevante</w:t>
      </w:r>
    </w:p>
    <w:p w14:paraId="28C5AFB1" w14:textId="77777777" w:rsidR="00785FA3" w:rsidRPr="00381244" w:rsidRDefault="00785FA3" w:rsidP="00381244">
      <w:pPr>
        <w:pStyle w:val="Textoindependiente"/>
        <w:spacing w:line="276" w:lineRule="auto"/>
        <w:rPr>
          <w:rFonts w:ascii="Georgia" w:hAnsi="Georgia"/>
          <w:szCs w:val="24"/>
          <w:lang w:val="es-419"/>
        </w:rPr>
      </w:pPr>
    </w:p>
    <w:p w14:paraId="42F1D59E" w14:textId="266530CB" w:rsidR="00AE0F8C" w:rsidRDefault="007E139E" w:rsidP="00381244">
      <w:pPr>
        <w:pStyle w:val="Textoindependiente"/>
        <w:spacing w:line="276" w:lineRule="auto"/>
        <w:rPr>
          <w:rFonts w:ascii="Georgia" w:hAnsi="Georgia"/>
          <w:szCs w:val="24"/>
          <w:lang w:val="es-CO"/>
        </w:rPr>
      </w:pPr>
      <w:r w:rsidRPr="00381244">
        <w:rPr>
          <w:rFonts w:ascii="Georgia" w:hAnsi="Georgia"/>
          <w:szCs w:val="24"/>
          <w:lang w:val="es-419"/>
        </w:rPr>
        <w:t>I</w:t>
      </w:r>
      <w:r w:rsidR="001103E3" w:rsidRPr="00381244">
        <w:rPr>
          <w:rFonts w:ascii="Georgia" w:hAnsi="Georgia"/>
          <w:szCs w:val="24"/>
          <w:lang w:val="es-419"/>
        </w:rPr>
        <w:t xml:space="preserve">nformó </w:t>
      </w:r>
      <w:r w:rsidRPr="00381244">
        <w:rPr>
          <w:rFonts w:ascii="Georgia" w:hAnsi="Georgia"/>
          <w:szCs w:val="24"/>
          <w:lang w:val="es-419"/>
        </w:rPr>
        <w:t xml:space="preserve">el actor que </w:t>
      </w:r>
      <w:r w:rsidR="00C36F24" w:rsidRPr="00381244">
        <w:rPr>
          <w:rFonts w:ascii="Georgia" w:hAnsi="Georgia"/>
          <w:szCs w:val="24"/>
          <w:lang w:val="es-CO"/>
        </w:rPr>
        <w:t>promovió el proceso ejecutivo radicado al No.</w:t>
      </w:r>
      <w:r w:rsidR="00E2157D">
        <w:rPr>
          <w:rFonts w:ascii="Georgia" w:hAnsi="Georgia"/>
          <w:szCs w:val="24"/>
          <w:lang w:val="es-CO"/>
        </w:rPr>
        <w:t xml:space="preserve"> </w:t>
      </w:r>
      <w:r w:rsidR="00C36F24" w:rsidRPr="00381244">
        <w:rPr>
          <w:rFonts w:ascii="Georgia" w:hAnsi="Georgia"/>
          <w:szCs w:val="24"/>
          <w:lang w:val="es-CO"/>
        </w:rPr>
        <w:t xml:space="preserve">2019-00265-00 y solicitó el secuestro </w:t>
      </w:r>
      <w:r w:rsidR="00686A97" w:rsidRPr="00381244">
        <w:rPr>
          <w:rFonts w:ascii="Georgia" w:hAnsi="Georgia"/>
          <w:szCs w:val="24"/>
          <w:lang w:val="es-CO"/>
        </w:rPr>
        <w:t xml:space="preserve">del </w:t>
      </w:r>
      <w:r w:rsidR="00C36F24" w:rsidRPr="00381244">
        <w:rPr>
          <w:rFonts w:ascii="Georgia" w:hAnsi="Georgia"/>
          <w:szCs w:val="24"/>
          <w:lang w:val="es-CO"/>
        </w:rPr>
        <w:t>vehículo de placas DRK-140. Se agotaron los trámites de la medida y el funcionario con auto del 05-08-2020, previo relevo del secuestr</w:t>
      </w:r>
      <w:r w:rsidR="00686A97" w:rsidRPr="00381244">
        <w:rPr>
          <w:rFonts w:ascii="Georgia" w:hAnsi="Georgia"/>
          <w:szCs w:val="24"/>
          <w:lang w:val="es-CO"/>
        </w:rPr>
        <w:t>e</w:t>
      </w:r>
      <w:r w:rsidR="00C36F24" w:rsidRPr="00381244">
        <w:rPr>
          <w:rFonts w:ascii="Georgia" w:hAnsi="Georgia"/>
          <w:szCs w:val="24"/>
          <w:lang w:val="es-CO"/>
        </w:rPr>
        <w:t xml:space="preserve">, ordenó </w:t>
      </w:r>
      <w:r w:rsidR="00686A97" w:rsidRPr="00381244">
        <w:rPr>
          <w:rFonts w:ascii="Georgia" w:hAnsi="Georgia"/>
          <w:szCs w:val="24"/>
          <w:lang w:val="es-CO"/>
        </w:rPr>
        <w:t xml:space="preserve">pagar las expensas necesarias para entregar </w:t>
      </w:r>
      <w:r w:rsidR="00C36F24" w:rsidRPr="00381244">
        <w:rPr>
          <w:rFonts w:ascii="Georgia" w:hAnsi="Georgia"/>
          <w:szCs w:val="24"/>
          <w:lang w:val="es-CO"/>
        </w:rPr>
        <w:t>el bien a la nueva auxiliar designada. Ens</w:t>
      </w:r>
      <w:r w:rsidR="00686A97" w:rsidRPr="00381244">
        <w:rPr>
          <w:rFonts w:ascii="Georgia" w:hAnsi="Georgia"/>
          <w:szCs w:val="24"/>
          <w:lang w:val="es-CO"/>
        </w:rPr>
        <w:t xml:space="preserve">eguida pidió </w:t>
      </w:r>
      <w:r w:rsidR="00C36F24" w:rsidRPr="00381244">
        <w:rPr>
          <w:rFonts w:ascii="Georgia" w:hAnsi="Georgia"/>
          <w:szCs w:val="24"/>
          <w:lang w:val="es-CO"/>
        </w:rPr>
        <w:t>amparo de pobreza y</w:t>
      </w:r>
      <w:r w:rsidR="00686A97" w:rsidRPr="00381244">
        <w:rPr>
          <w:rFonts w:ascii="Georgia" w:hAnsi="Georgia"/>
          <w:szCs w:val="24"/>
          <w:lang w:val="es-CO"/>
        </w:rPr>
        <w:t xml:space="preserve">, pese a que con </w:t>
      </w:r>
      <w:r w:rsidR="00C36F24" w:rsidRPr="00381244">
        <w:rPr>
          <w:rFonts w:ascii="Georgia" w:hAnsi="Georgia"/>
          <w:szCs w:val="24"/>
          <w:lang w:val="es-CO"/>
        </w:rPr>
        <w:t xml:space="preserve">auto del 09-09-2020 </w:t>
      </w:r>
      <w:r w:rsidR="00686A97" w:rsidRPr="00381244">
        <w:rPr>
          <w:rFonts w:ascii="Georgia" w:hAnsi="Georgia"/>
          <w:szCs w:val="24"/>
          <w:lang w:val="es-CO"/>
        </w:rPr>
        <w:t>fue concedido</w:t>
      </w:r>
      <w:r w:rsidR="00C36F24" w:rsidRPr="00381244">
        <w:rPr>
          <w:rFonts w:ascii="Georgia" w:hAnsi="Georgia"/>
          <w:szCs w:val="24"/>
          <w:lang w:val="es-CO"/>
        </w:rPr>
        <w:t xml:space="preserve">, el accionado con auto del 29-09-2021 </w:t>
      </w:r>
      <w:r w:rsidR="00686A97" w:rsidRPr="00381244">
        <w:rPr>
          <w:rFonts w:ascii="Georgia" w:hAnsi="Georgia"/>
          <w:szCs w:val="24"/>
          <w:lang w:val="es-CO"/>
        </w:rPr>
        <w:t xml:space="preserve">desestimó la reposición y </w:t>
      </w:r>
      <w:r w:rsidR="00C36F24" w:rsidRPr="00381244">
        <w:rPr>
          <w:rFonts w:ascii="Georgia" w:hAnsi="Georgia"/>
          <w:szCs w:val="24"/>
          <w:lang w:val="es-CO"/>
        </w:rPr>
        <w:t>requirió nuevamente que asumiera la carga pecuniaria</w:t>
      </w:r>
      <w:r w:rsidR="009F63B5" w:rsidRPr="00381244">
        <w:rPr>
          <w:rFonts w:ascii="Georgia" w:hAnsi="Georgia"/>
          <w:szCs w:val="24"/>
          <w:lang w:val="es-CO"/>
        </w:rPr>
        <w:t xml:space="preserve"> </w:t>
      </w:r>
      <w:r w:rsidR="008C1A0E" w:rsidRPr="00381244">
        <w:rPr>
          <w:rFonts w:ascii="Georgia" w:hAnsi="Georgia"/>
          <w:szCs w:val="24"/>
          <w:lang w:val="es-CO"/>
        </w:rPr>
        <w:t>(</w:t>
      </w:r>
      <w:r w:rsidR="009F63B5" w:rsidRPr="00381244">
        <w:rPr>
          <w:rFonts w:ascii="Georgia" w:hAnsi="Georgia"/>
          <w:szCs w:val="24"/>
          <w:lang w:val="es-CO"/>
        </w:rPr>
        <w:t>Cuaderno No.1</w:t>
      </w:r>
      <w:r w:rsidR="008C1A0E" w:rsidRPr="00381244">
        <w:rPr>
          <w:rFonts w:ascii="Georgia" w:hAnsi="Georgia"/>
          <w:szCs w:val="24"/>
          <w:lang w:val="es-CO"/>
        </w:rPr>
        <w:t xml:space="preserve">, </w:t>
      </w:r>
      <w:proofErr w:type="spellStart"/>
      <w:r w:rsidR="00686A97" w:rsidRPr="00381244">
        <w:rPr>
          <w:rFonts w:ascii="Georgia" w:hAnsi="Georgia"/>
          <w:szCs w:val="24"/>
          <w:lang w:val="es-CO"/>
        </w:rPr>
        <w:t>pdf</w:t>
      </w:r>
      <w:proofErr w:type="spellEnd"/>
      <w:r w:rsidR="00686A97" w:rsidRPr="00381244">
        <w:rPr>
          <w:rFonts w:ascii="Georgia" w:hAnsi="Georgia"/>
          <w:szCs w:val="24"/>
          <w:lang w:val="es-CO"/>
        </w:rPr>
        <w:t xml:space="preserve"> </w:t>
      </w:r>
      <w:r w:rsidR="008C1A0E" w:rsidRPr="00381244">
        <w:rPr>
          <w:rFonts w:ascii="Georgia" w:hAnsi="Georgia"/>
          <w:szCs w:val="24"/>
          <w:lang w:val="es-CO"/>
        </w:rPr>
        <w:t>No.</w:t>
      </w:r>
      <w:r w:rsidR="00686A97" w:rsidRPr="00381244">
        <w:rPr>
          <w:rFonts w:ascii="Georgia" w:hAnsi="Georgia"/>
          <w:szCs w:val="24"/>
          <w:lang w:val="es-CO"/>
        </w:rPr>
        <w:t>01</w:t>
      </w:r>
      <w:r w:rsidR="008C1A0E" w:rsidRPr="00381244">
        <w:rPr>
          <w:rFonts w:ascii="Georgia" w:hAnsi="Georgia"/>
          <w:szCs w:val="24"/>
          <w:lang w:val="es-CO"/>
        </w:rPr>
        <w:t>).</w:t>
      </w:r>
    </w:p>
    <w:p w14:paraId="75C13BD9" w14:textId="1121E3DA" w:rsidR="00B33524" w:rsidRDefault="00B33524" w:rsidP="00381244">
      <w:pPr>
        <w:pStyle w:val="Textoindependiente"/>
        <w:spacing w:line="276" w:lineRule="auto"/>
        <w:rPr>
          <w:rFonts w:ascii="Georgia" w:hAnsi="Georgia"/>
          <w:szCs w:val="24"/>
          <w:lang w:val="es-CO"/>
        </w:rPr>
      </w:pPr>
    </w:p>
    <w:p w14:paraId="5C2EEAF3" w14:textId="77777777" w:rsidR="00B33524" w:rsidRPr="00381244" w:rsidRDefault="00B33524" w:rsidP="00381244">
      <w:pPr>
        <w:pStyle w:val="Textoindependiente"/>
        <w:spacing w:line="276" w:lineRule="auto"/>
        <w:rPr>
          <w:rFonts w:ascii="Georgia" w:hAnsi="Georgia"/>
          <w:szCs w:val="24"/>
          <w:lang w:val="es-CO"/>
        </w:rPr>
      </w:pPr>
    </w:p>
    <w:p w14:paraId="529CF0B4" w14:textId="2D41191F" w:rsidR="008C1A0E" w:rsidRPr="00381244" w:rsidRDefault="009F63B5" w:rsidP="00381244">
      <w:pPr>
        <w:pStyle w:val="Textoindependiente"/>
        <w:numPr>
          <w:ilvl w:val="0"/>
          <w:numId w:val="46"/>
        </w:numPr>
        <w:spacing w:line="276" w:lineRule="auto"/>
        <w:textAlignment w:val="auto"/>
        <w:rPr>
          <w:rFonts w:ascii="Georgia" w:hAnsi="Georgia"/>
          <w:b/>
          <w:bCs/>
          <w:smallCaps/>
          <w:szCs w:val="24"/>
          <w:lang w:val="es-419"/>
        </w:rPr>
      </w:pPr>
      <w:r w:rsidRPr="00381244">
        <w:rPr>
          <w:rFonts w:ascii="Georgia" w:hAnsi="Georgia"/>
          <w:b/>
          <w:bCs/>
          <w:smallCaps/>
          <w:szCs w:val="24"/>
          <w:lang w:val="es-CO"/>
        </w:rPr>
        <w:t>Los</w:t>
      </w:r>
      <w:r w:rsidR="008C1A0E" w:rsidRPr="00381244">
        <w:rPr>
          <w:rFonts w:ascii="Georgia" w:hAnsi="Georgia"/>
          <w:b/>
          <w:bCs/>
          <w:smallCaps/>
          <w:szCs w:val="24"/>
          <w:lang w:val="es-CO"/>
        </w:rPr>
        <w:t xml:space="preserve"> </w:t>
      </w:r>
      <w:r w:rsidR="008C1A0E" w:rsidRPr="00381244">
        <w:rPr>
          <w:rFonts w:ascii="Georgia" w:hAnsi="Georgia"/>
          <w:b/>
          <w:bCs/>
          <w:smallCaps/>
          <w:szCs w:val="24"/>
          <w:lang w:val="es-419"/>
        </w:rPr>
        <w:t>derecho</w:t>
      </w:r>
      <w:r w:rsidRPr="00381244">
        <w:rPr>
          <w:rFonts w:ascii="Georgia" w:hAnsi="Georgia"/>
          <w:b/>
          <w:bCs/>
          <w:smallCaps/>
          <w:szCs w:val="24"/>
          <w:lang w:val="es-419"/>
        </w:rPr>
        <w:t>s</w:t>
      </w:r>
      <w:r w:rsidR="008C1A0E" w:rsidRPr="00381244">
        <w:rPr>
          <w:rFonts w:ascii="Georgia" w:hAnsi="Georgia"/>
          <w:b/>
          <w:bCs/>
          <w:smallCaps/>
          <w:szCs w:val="24"/>
          <w:lang w:val="es-419"/>
        </w:rPr>
        <w:t xml:space="preserve"> invocado</w:t>
      </w:r>
      <w:r w:rsidRPr="00381244">
        <w:rPr>
          <w:rFonts w:ascii="Georgia" w:hAnsi="Georgia"/>
          <w:b/>
          <w:bCs/>
          <w:smallCaps/>
          <w:szCs w:val="24"/>
          <w:lang w:val="es-419"/>
        </w:rPr>
        <w:t>s</w:t>
      </w:r>
      <w:r w:rsidR="008C1A0E" w:rsidRPr="00381244">
        <w:rPr>
          <w:rFonts w:ascii="Georgia" w:hAnsi="Georgia"/>
          <w:b/>
          <w:bCs/>
          <w:smallCaps/>
          <w:szCs w:val="24"/>
          <w:lang w:val="es-CO"/>
        </w:rPr>
        <w:t xml:space="preserve"> y su</w:t>
      </w:r>
      <w:r w:rsidR="008C1A0E" w:rsidRPr="00381244">
        <w:rPr>
          <w:rFonts w:ascii="Georgia" w:hAnsi="Georgia"/>
          <w:b/>
          <w:bCs/>
          <w:smallCaps/>
          <w:szCs w:val="24"/>
          <w:lang w:val="es-419"/>
        </w:rPr>
        <w:t xml:space="preserve"> protección</w:t>
      </w:r>
    </w:p>
    <w:p w14:paraId="69CB0F37" w14:textId="77777777" w:rsidR="00785FA3" w:rsidRPr="00381244" w:rsidRDefault="00785FA3" w:rsidP="00381244">
      <w:pPr>
        <w:pStyle w:val="Textoindependiente"/>
        <w:spacing w:line="276" w:lineRule="auto"/>
        <w:rPr>
          <w:rFonts w:ascii="Georgia" w:hAnsi="Georgia"/>
          <w:szCs w:val="24"/>
          <w:lang w:val="es-419"/>
        </w:rPr>
      </w:pPr>
    </w:p>
    <w:p w14:paraId="2E13AB6A" w14:textId="68F383BA" w:rsidR="00785FA3" w:rsidRPr="00381244" w:rsidRDefault="00686A97" w:rsidP="00381244">
      <w:pPr>
        <w:pStyle w:val="Textoindependiente"/>
        <w:widowControl w:val="0"/>
        <w:spacing w:line="276" w:lineRule="auto"/>
        <w:rPr>
          <w:rFonts w:ascii="Georgia" w:hAnsi="Georgia"/>
          <w:szCs w:val="24"/>
          <w:lang w:val="es-CO"/>
        </w:rPr>
      </w:pPr>
      <w:r w:rsidRPr="00381244">
        <w:rPr>
          <w:rFonts w:ascii="Georgia" w:hAnsi="Georgia"/>
          <w:szCs w:val="24"/>
          <w:lang w:val="es-CO"/>
        </w:rPr>
        <w:t>El debido proceso, el acceso a la administración de justicia y el buen nombre</w:t>
      </w:r>
      <w:r w:rsidR="008C1A0E" w:rsidRPr="00381244">
        <w:rPr>
          <w:rFonts w:ascii="Georgia" w:hAnsi="Georgia"/>
          <w:szCs w:val="24"/>
          <w:lang w:val="es-CO"/>
        </w:rPr>
        <w:t xml:space="preserve">. </w:t>
      </w:r>
      <w:r w:rsidR="008C1A0E" w:rsidRPr="00381244">
        <w:rPr>
          <w:rFonts w:ascii="Georgia" w:hAnsi="Georgia"/>
          <w:szCs w:val="24"/>
          <w:lang w:val="es-419"/>
        </w:rPr>
        <w:t xml:space="preserve">Pidió </w:t>
      </w:r>
      <w:r w:rsidR="00AA5EE8" w:rsidRPr="00381244">
        <w:rPr>
          <w:rFonts w:ascii="Georgia" w:hAnsi="Georgia"/>
          <w:szCs w:val="24"/>
          <w:lang w:val="es-419"/>
        </w:rPr>
        <w:t>ordenar al despacho judicial d</w:t>
      </w:r>
      <w:r w:rsidRPr="00381244">
        <w:rPr>
          <w:rFonts w:ascii="Georgia" w:hAnsi="Georgia"/>
          <w:szCs w:val="24"/>
          <w:lang w:val="es-419"/>
        </w:rPr>
        <w:t>ejar sin efectos el auto del 29-09-2021</w:t>
      </w:r>
      <w:r w:rsidR="00AA5EE8" w:rsidRPr="00381244">
        <w:rPr>
          <w:rFonts w:ascii="Georgia" w:hAnsi="Georgia"/>
          <w:szCs w:val="24"/>
          <w:lang w:val="es-419"/>
        </w:rPr>
        <w:t xml:space="preserve"> </w:t>
      </w:r>
      <w:r w:rsidR="00785FA3" w:rsidRPr="00381244">
        <w:rPr>
          <w:rFonts w:ascii="Georgia" w:hAnsi="Georgia"/>
          <w:szCs w:val="24"/>
          <w:lang w:val="es-CO"/>
        </w:rPr>
        <w:t>(</w:t>
      </w:r>
      <w:r w:rsidR="00AA5EE8" w:rsidRPr="00381244">
        <w:rPr>
          <w:rFonts w:ascii="Georgia" w:hAnsi="Georgia"/>
          <w:szCs w:val="24"/>
          <w:lang w:val="es-CO"/>
        </w:rPr>
        <w:t>Cuaderno No.1</w:t>
      </w:r>
      <w:r w:rsidR="008C1A0E" w:rsidRPr="00381244">
        <w:rPr>
          <w:rFonts w:ascii="Georgia" w:hAnsi="Georgia"/>
          <w:szCs w:val="24"/>
          <w:lang w:val="es-CO"/>
        </w:rPr>
        <w:t xml:space="preserve">, </w:t>
      </w:r>
      <w:r w:rsidRPr="00381244">
        <w:rPr>
          <w:rFonts w:ascii="Georgia" w:hAnsi="Georgia"/>
          <w:szCs w:val="24"/>
          <w:lang w:val="es-CO"/>
        </w:rPr>
        <w:t xml:space="preserve">pdf </w:t>
      </w:r>
      <w:r w:rsidR="008C1A0E" w:rsidRPr="00381244">
        <w:rPr>
          <w:rFonts w:ascii="Georgia" w:hAnsi="Georgia"/>
          <w:szCs w:val="24"/>
          <w:lang w:val="es-CO"/>
        </w:rPr>
        <w:t>No.</w:t>
      </w:r>
      <w:r w:rsidRPr="00381244">
        <w:rPr>
          <w:rFonts w:ascii="Georgia" w:hAnsi="Georgia"/>
          <w:szCs w:val="24"/>
          <w:lang w:val="es-CO"/>
        </w:rPr>
        <w:t>01</w:t>
      </w:r>
      <w:r w:rsidR="00785FA3" w:rsidRPr="00381244">
        <w:rPr>
          <w:rFonts w:ascii="Georgia" w:hAnsi="Georgia"/>
          <w:szCs w:val="24"/>
          <w:lang w:val="es-CO"/>
        </w:rPr>
        <w:t>).</w:t>
      </w:r>
    </w:p>
    <w:p w14:paraId="43A3D3B4" w14:textId="77777777" w:rsidR="00704666" w:rsidRPr="00381244" w:rsidRDefault="00704666" w:rsidP="00381244">
      <w:pPr>
        <w:pStyle w:val="Sinespaciado"/>
        <w:spacing w:line="276" w:lineRule="auto"/>
        <w:jc w:val="both"/>
        <w:rPr>
          <w:rFonts w:ascii="Georgia" w:hAnsi="Georgia"/>
          <w:szCs w:val="24"/>
          <w:lang w:val="es-CO"/>
        </w:rPr>
      </w:pPr>
    </w:p>
    <w:p w14:paraId="7EFD8431" w14:textId="77777777" w:rsidR="00D639BD" w:rsidRPr="00381244" w:rsidRDefault="00D639BD" w:rsidP="00381244">
      <w:pPr>
        <w:pStyle w:val="Sinespaciado"/>
        <w:spacing w:line="276" w:lineRule="auto"/>
        <w:jc w:val="both"/>
        <w:rPr>
          <w:rFonts w:ascii="Georgia" w:hAnsi="Georgia"/>
          <w:szCs w:val="24"/>
          <w:lang w:val="es-CO"/>
        </w:rPr>
      </w:pPr>
    </w:p>
    <w:p w14:paraId="5EC549E7" w14:textId="77777777" w:rsidR="008C1A0E" w:rsidRPr="00381244" w:rsidRDefault="008C1A0E" w:rsidP="00381244">
      <w:pPr>
        <w:pStyle w:val="Textoindependiente"/>
        <w:widowControl w:val="0"/>
        <w:numPr>
          <w:ilvl w:val="0"/>
          <w:numId w:val="46"/>
        </w:numPr>
        <w:spacing w:line="276" w:lineRule="auto"/>
        <w:textAlignment w:val="auto"/>
        <w:rPr>
          <w:rFonts w:ascii="Georgia" w:hAnsi="Georgia"/>
          <w:b/>
          <w:bCs/>
          <w:smallCaps/>
          <w:szCs w:val="24"/>
          <w:lang w:val="es-419"/>
        </w:rPr>
      </w:pPr>
      <w:r w:rsidRPr="00381244">
        <w:rPr>
          <w:rFonts w:ascii="Georgia" w:hAnsi="Georgia"/>
          <w:b/>
          <w:bCs/>
          <w:smallCaps/>
          <w:szCs w:val="24"/>
          <w:lang w:val="es-419"/>
        </w:rPr>
        <w:t>La sinopsis de la crónica procesal</w:t>
      </w:r>
    </w:p>
    <w:p w14:paraId="51B117BB" w14:textId="77777777" w:rsidR="000A73D7" w:rsidRPr="00381244" w:rsidRDefault="000A73D7" w:rsidP="00381244">
      <w:pPr>
        <w:pStyle w:val="Textoindependiente"/>
        <w:widowControl w:val="0"/>
        <w:spacing w:line="276" w:lineRule="auto"/>
        <w:ind w:left="360"/>
        <w:rPr>
          <w:rFonts w:ascii="Georgia" w:hAnsi="Georgia"/>
          <w:smallCaps/>
          <w:szCs w:val="24"/>
          <w:lang w:val="es-419"/>
        </w:rPr>
      </w:pPr>
    </w:p>
    <w:p w14:paraId="31AE8E99" w14:textId="0606E806" w:rsidR="00686A97" w:rsidRPr="00381244" w:rsidRDefault="00686A97" w:rsidP="00381244">
      <w:pPr>
        <w:spacing w:line="276" w:lineRule="auto"/>
        <w:jc w:val="both"/>
        <w:rPr>
          <w:rFonts w:ascii="Georgia" w:hAnsi="Georgia" w:cs="Arial"/>
          <w:lang w:val="es-CO"/>
        </w:rPr>
      </w:pPr>
      <w:r w:rsidRPr="00381244">
        <w:rPr>
          <w:rFonts w:ascii="Georgia" w:hAnsi="Georgia"/>
          <w:lang w:val="es-CO"/>
        </w:rPr>
        <w:t xml:space="preserve">El 26-11-2021 se admitió la acción (Cuaderno No.1, pdf No.06); el 10-12-2021 se </w:t>
      </w:r>
      <w:r w:rsidRPr="00381244">
        <w:rPr>
          <w:rFonts w:ascii="Georgia" w:hAnsi="Georgia" w:cs="Arial"/>
          <w:lang w:val="es-CO"/>
        </w:rPr>
        <w:t>falló (Ibidem, pdf No.09</w:t>
      </w:r>
      <w:r w:rsidRPr="00381244">
        <w:rPr>
          <w:rFonts w:ascii="Georgia" w:hAnsi="Georgia"/>
          <w:lang w:val="es-CO"/>
        </w:rPr>
        <w:t xml:space="preserve">); </w:t>
      </w:r>
      <w:r w:rsidRPr="00381244">
        <w:rPr>
          <w:rFonts w:ascii="Georgia" w:hAnsi="Georgia" w:cs="Arial"/>
          <w:lang w:val="es-CO"/>
        </w:rPr>
        <w:t xml:space="preserve">y, el 12-01-2022 se concedió la impugnación (Ibidem, pdf No.12). Esta Sala con auto del 11-02-2022 anuló lo actuado y retornó el expediente (Cuaderno No.2, carpeta No.1, pdf No.05). El 15-02-2022 se rehízo el trámite (Cuaderno No.1, pdf No.18); el 24-02-2022 se sentenció de nuevo (Ibidem, pdf No.20); y, el 04-03-2022 se concedió la impugnación (Ib., pdf No.24). </w:t>
      </w:r>
    </w:p>
    <w:p w14:paraId="162923D6" w14:textId="77777777" w:rsidR="00785FA3" w:rsidRPr="00381244" w:rsidRDefault="00785FA3" w:rsidP="00381244">
      <w:pPr>
        <w:pStyle w:val="Textoindependiente"/>
        <w:widowControl w:val="0"/>
        <w:spacing w:line="276" w:lineRule="auto"/>
        <w:rPr>
          <w:rFonts w:ascii="Georgia" w:hAnsi="Georgia"/>
          <w:szCs w:val="24"/>
          <w:lang w:val="es-CO"/>
        </w:rPr>
      </w:pPr>
    </w:p>
    <w:p w14:paraId="416A3D3E" w14:textId="31CF7B99" w:rsidR="00D378EB" w:rsidRPr="00381244" w:rsidRDefault="00785FA3" w:rsidP="00381244">
      <w:pPr>
        <w:pStyle w:val="Textoindependiente"/>
        <w:widowControl w:val="0"/>
        <w:spacing w:line="276" w:lineRule="auto"/>
        <w:rPr>
          <w:rFonts w:ascii="Georgia" w:hAnsi="Georgia"/>
          <w:szCs w:val="24"/>
          <w:lang w:val="es-CO"/>
        </w:rPr>
      </w:pPr>
      <w:r w:rsidRPr="00381244">
        <w:rPr>
          <w:rFonts w:ascii="Georgia" w:hAnsi="Georgia"/>
          <w:szCs w:val="24"/>
          <w:lang w:val="es-419"/>
        </w:rPr>
        <w:t xml:space="preserve">El fallo </w:t>
      </w:r>
      <w:r w:rsidR="00686A97" w:rsidRPr="00381244">
        <w:rPr>
          <w:rFonts w:ascii="Georgia" w:hAnsi="Georgia"/>
          <w:szCs w:val="24"/>
          <w:lang w:val="es-419"/>
        </w:rPr>
        <w:t>negó el amparo</w:t>
      </w:r>
      <w:r w:rsidR="00D378EB" w:rsidRPr="00381244">
        <w:rPr>
          <w:rFonts w:ascii="Georgia" w:hAnsi="Georgia"/>
          <w:szCs w:val="24"/>
          <w:lang w:val="es-419"/>
        </w:rPr>
        <w:t xml:space="preserve"> porque el accionante está cobijado por el amparo de pobreza y el juzgado tampoco lo sancionó con base en el artículo 44, CGP; además, la entrega del vehículo le compete a la secuestre y es objeto de estudio diverso que el accionado deberá resolver </w:t>
      </w:r>
      <w:r w:rsidR="00FC5C46" w:rsidRPr="00381244">
        <w:rPr>
          <w:rFonts w:ascii="Georgia" w:hAnsi="Georgia"/>
          <w:szCs w:val="24"/>
          <w:lang w:val="es-CO"/>
        </w:rPr>
        <w:t>(</w:t>
      </w:r>
      <w:r w:rsidR="00D378EB" w:rsidRPr="00381244">
        <w:rPr>
          <w:rFonts w:ascii="Georgia" w:hAnsi="Georgia"/>
          <w:szCs w:val="24"/>
          <w:lang w:val="es-CO"/>
        </w:rPr>
        <w:t>Ib.</w:t>
      </w:r>
      <w:r w:rsidR="00FC5C46" w:rsidRPr="00381244">
        <w:rPr>
          <w:rFonts w:ascii="Georgia" w:hAnsi="Georgia"/>
          <w:szCs w:val="24"/>
          <w:lang w:val="es-CO"/>
        </w:rPr>
        <w:t xml:space="preserve">, </w:t>
      </w:r>
      <w:r w:rsidR="00D378EB" w:rsidRPr="00381244">
        <w:rPr>
          <w:rFonts w:ascii="Georgia" w:hAnsi="Georgia"/>
          <w:szCs w:val="24"/>
          <w:lang w:val="es-CO"/>
        </w:rPr>
        <w:t xml:space="preserve">pdf </w:t>
      </w:r>
      <w:r w:rsidR="00FC5C46" w:rsidRPr="00381244">
        <w:rPr>
          <w:rFonts w:ascii="Georgia" w:hAnsi="Georgia"/>
          <w:szCs w:val="24"/>
          <w:lang w:val="es-CO"/>
        </w:rPr>
        <w:t>No.</w:t>
      </w:r>
      <w:r w:rsidR="00D378EB" w:rsidRPr="00381244">
        <w:rPr>
          <w:rFonts w:ascii="Georgia" w:hAnsi="Georgia"/>
          <w:szCs w:val="24"/>
          <w:lang w:val="es-CO"/>
        </w:rPr>
        <w:t>20</w:t>
      </w:r>
      <w:r w:rsidR="00FC5C46" w:rsidRPr="00381244">
        <w:rPr>
          <w:rFonts w:ascii="Georgia" w:hAnsi="Georgia"/>
          <w:szCs w:val="24"/>
          <w:lang w:val="es-CO"/>
        </w:rPr>
        <w:t>)</w:t>
      </w:r>
      <w:r w:rsidR="00F4313E" w:rsidRPr="00381244">
        <w:rPr>
          <w:rFonts w:ascii="Georgia" w:hAnsi="Georgia"/>
          <w:szCs w:val="24"/>
          <w:lang w:val="es-CO"/>
        </w:rPr>
        <w:t>.</w:t>
      </w:r>
      <w:r w:rsidR="00D378EB" w:rsidRPr="00381244">
        <w:rPr>
          <w:rFonts w:ascii="Georgia" w:hAnsi="Georgia"/>
          <w:szCs w:val="24"/>
          <w:lang w:val="es-CO"/>
        </w:rPr>
        <w:t xml:space="preserve"> El accionante impugnó, sin sustentar (Ib., pdf No.22).</w:t>
      </w:r>
    </w:p>
    <w:p w14:paraId="71718ECC" w14:textId="77777777" w:rsidR="00FC5C46" w:rsidRPr="00381244" w:rsidRDefault="00FC5C46" w:rsidP="00381244">
      <w:pPr>
        <w:pStyle w:val="Textoindependiente"/>
        <w:widowControl w:val="0"/>
        <w:spacing w:line="276" w:lineRule="auto"/>
        <w:rPr>
          <w:rFonts w:ascii="Georgia" w:hAnsi="Georgia"/>
          <w:szCs w:val="24"/>
          <w:lang w:val="es-CO"/>
        </w:rPr>
      </w:pPr>
    </w:p>
    <w:p w14:paraId="2C800AA4" w14:textId="77777777" w:rsidR="00D639BD" w:rsidRPr="00381244" w:rsidRDefault="00D639BD" w:rsidP="00381244">
      <w:pPr>
        <w:pStyle w:val="Textoindependiente"/>
        <w:widowControl w:val="0"/>
        <w:spacing w:line="276" w:lineRule="auto"/>
        <w:rPr>
          <w:rFonts w:ascii="Georgia" w:hAnsi="Georgia"/>
          <w:szCs w:val="24"/>
          <w:lang w:val="es-CO"/>
        </w:rPr>
      </w:pPr>
    </w:p>
    <w:p w14:paraId="47250A06" w14:textId="77777777" w:rsidR="00D639BD" w:rsidRPr="00381244" w:rsidRDefault="00D639BD" w:rsidP="00381244">
      <w:pPr>
        <w:pStyle w:val="Textoindependiente"/>
        <w:widowControl w:val="0"/>
        <w:numPr>
          <w:ilvl w:val="0"/>
          <w:numId w:val="46"/>
        </w:numPr>
        <w:spacing w:line="276" w:lineRule="auto"/>
        <w:ind w:left="708" w:hanging="708"/>
        <w:textAlignment w:val="auto"/>
        <w:rPr>
          <w:rFonts w:ascii="Georgia" w:hAnsi="Georgia"/>
          <w:b/>
          <w:bCs/>
          <w:smallCaps/>
          <w:szCs w:val="24"/>
          <w:lang w:val="es-419"/>
        </w:rPr>
      </w:pPr>
      <w:r w:rsidRPr="00381244">
        <w:rPr>
          <w:rFonts w:ascii="Georgia" w:hAnsi="Georgia"/>
          <w:b/>
          <w:bCs/>
          <w:smallCaps/>
          <w:szCs w:val="24"/>
          <w:lang w:val="es-419"/>
        </w:rPr>
        <w:t>La fundamentación jurídica para resolver</w:t>
      </w:r>
    </w:p>
    <w:p w14:paraId="72FE56DA" w14:textId="77777777" w:rsidR="00D639BD" w:rsidRPr="00381244" w:rsidRDefault="00D639BD" w:rsidP="00381244">
      <w:pPr>
        <w:pStyle w:val="Textoindependiente"/>
        <w:widowControl w:val="0"/>
        <w:spacing w:line="276" w:lineRule="auto"/>
        <w:rPr>
          <w:rFonts w:ascii="Georgia" w:hAnsi="Georgia"/>
          <w:smallCaps/>
          <w:szCs w:val="24"/>
          <w:lang w:val="es-419"/>
        </w:rPr>
      </w:pPr>
    </w:p>
    <w:p w14:paraId="52124C39" w14:textId="77777777" w:rsidR="00D378EB" w:rsidRPr="00381244" w:rsidRDefault="00D378EB" w:rsidP="00381244">
      <w:pPr>
        <w:pStyle w:val="Textoindependiente"/>
        <w:widowControl w:val="0"/>
        <w:numPr>
          <w:ilvl w:val="1"/>
          <w:numId w:val="47"/>
        </w:numPr>
        <w:tabs>
          <w:tab w:val="clear" w:pos="0"/>
        </w:tabs>
        <w:spacing w:line="276" w:lineRule="auto"/>
        <w:ind w:left="0" w:firstLine="0"/>
        <w:textAlignment w:val="auto"/>
        <w:rPr>
          <w:rFonts w:ascii="Georgia" w:hAnsi="Georgia"/>
          <w:szCs w:val="24"/>
          <w:lang w:val="es-419"/>
        </w:rPr>
      </w:pPr>
      <w:r w:rsidRPr="00381244">
        <w:rPr>
          <w:rFonts w:ascii="Georgia" w:hAnsi="Georgia"/>
          <w:smallCaps/>
          <w:szCs w:val="24"/>
          <w:lang w:val="es-419"/>
        </w:rPr>
        <w:t>La competencia funcional</w:t>
      </w:r>
      <w:r w:rsidRPr="00381244">
        <w:rPr>
          <w:rFonts w:ascii="Georgia" w:hAnsi="Georgia"/>
          <w:i/>
          <w:iCs/>
          <w:smallCaps/>
          <w:szCs w:val="24"/>
          <w:lang w:val="es-419"/>
        </w:rPr>
        <w:t>.</w:t>
      </w:r>
      <w:r w:rsidRPr="00381244">
        <w:rPr>
          <w:rFonts w:ascii="Georgia" w:hAnsi="Georgia"/>
          <w:smallCaps/>
          <w:szCs w:val="24"/>
          <w:lang w:val="es-419"/>
        </w:rPr>
        <w:t xml:space="preserve"> </w:t>
      </w:r>
      <w:r w:rsidRPr="00381244">
        <w:rPr>
          <w:rFonts w:ascii="Georgia" w:hAnsi="Georgia" w:cs="Arial"/>
          <w:szCs w:val="24"/>
          <w:lang w:val="es-CO"/>
        </w:rPr>
        <w:t xml:space="preserve">La tiene esta Sala, por ser la superiora jerárquica del Despacho cognoscente </w:t>
      </w:r>
      <w:r w:rsidRPr="00381244">
        <w:rPr>
          <w:rFonts w:ascii="Georgia" w:hAnsi="Georgia"/>
          <w:szCs w:val="24"/>
        </w:rPr>
        <w:t>(Art. 32, D.2591/1991)</w:t>
      </w:r>
      <w:r w:rsidRPr="00381244">
        <w:rPr>
          <w:rFonts w:ascii="Georgia" w:hAnsi="Georgia" w:cs="Arial"/>
          <w:szCs w:val="24"/>
          <w:lang w:val="es-CO"/>
        </w:rPr>
        <w:t>.</w:t>
      </w:r>
    </w:p>
    <w:p w14:paraId="79AC922A" w14:textId="77777777" w:rsidR="00D639BD" w:rsidRPr="00381244" w:rsidRDefault="00D639BD" w:rsidP="00381244">
      <w:pPr>
        <w:pStyle w:val="Textoindependiente"/>
        <w:widowControl w:val="0"/>
        <w:tabs>
          <w:tab w:val="clear" w:pos="0"/>
        </w:tabs>
        <w:spacing w:line="276" w:lineRule="auto"/>
        <w:ind w:left="709"/>
        <w:rPr>
          <w:rFonts w:ascii="Georgia" w:hAnsi="Georgia"/>
          <w:szCs w:val="24"/>
          <w:lang w:val="es-419"/>
        </w:rPr>
      </w:pPr>
    </w:p>
    <w:p w14:paraId="730CBCF9" w14:textId="11B2BA60" w:rsidR="00D378EB" w:rsidRPr="00381244" w:rsidRDefault="00D378EB" w:rsidP="00381244">
      <w:pPr>
        <w:pStyle w:val="Textoindependiente"/>
        <w:widowControl w:val="0"/>
        <w:numPr>
          <w:ilvl w:val="1"/>
          <w:numId w:val="47"/>
        </w:numPr>
        <w:spacing w:line="276" w:lineRule="auto"/>
        <w:ind w:left="0" w:firstLine="0"/>
        <w:textAlignment w:val="auto"/>
        <w:rPr>
          <w:rFonts w:ascii="Georgia" w:hAnsi="Georgia"/>
          <w:szCs w:val="24"/>
          <w:lang w:val="es-419"/>
        </w:rPr>
      </w:pPr>
      <w:r w:rsidRPr="00381244">
        <w:rPr>
          <w:rFonts w:ascii="Georgia" w:hAnsi="Georgia"/>
          <w:smallCaps/>
          <w:szCs w:val="24"/>
          <w:lang w:val="es-419"/>
        </w:rPr>
        <w:t xml:space="preserve">El problema jurídico a resolver. </w:t>
      </w:r>
      <w:r w:rsidRPr="00381244">
        <w:rPr>
          <w:rFonts w:ascii="Georgia" w:hAnsi="Georgia"/>
          <w:szCs w:val="24"/>
          <w:lang w:val="es-419"/>
        </w:rPr>
        <w:t xml:space="preserve">¿Se debe confirmar, modificar o revocar la sentencia proferida por el Juzgado Tercero Civil del Circuito Pereira, según la impugnación? </w:t>
      </w:r>
    </w:p>
    <w:p w14:paraId="72832D2E" w14:textId="77777777" w:rsidR="00D378EB" w:rsidRPr="00381244" w:rsidRDefault="00D378EB" w:rsidP="00381244">
      <w:pPr>
        <w:spacing w:line="276" w:lineRule="auto"/>
        <w:jc w:val="both"/>
        <w:rPr>
          <w:rFonts w:ascii="Georgia" w:hAnsi="Georgia" w:cs="Arial"/>
          <w:lang w:val="es-MX"/>
        </w:rPr>
      </w:pPr>
    </w:p>
    <w:p w14:paraId="2D6935D3" w14:textId="77777777" w:rsidR="00D378EB" w:rsidRPr="00381244" w:rsidRDefault="00D378EB" w:rsidP="00381244">
      <w:pPr>
        <w:pStyle w:val="Textoindependiente"/>
        <w:widowControl w:val="0"/>
        <w:numPr>
          <w:ilvl w:val="1"/>
          <w:numId w:val="47"/>
        </w:numPr>
        <w:spacing w:line="276" w:lineRule="auto"/>
        <w:ind w:left="0" w:firstLine="0"/>
        <w:textAlignment w:val="auto"/>
        <w:rPr>
          <w:rFonts w:ascii="Georgia" w:hAnsi="Georgia"/>
          <w:szCs w:val="24"/>
          <w:lang w:val="es-419"/>
        </w:rPr>
      </w:pPr>
      <w:r w:rsidRPr="00381244">
        <w:rPr>
          <w:rFonts w:ascii="Georgia" w:hAnsi="Georgia"/>
          <w:smallCaps/>
          <w:szCs w:val="24"/>
          <w:lang w:val="es-419"/>
        </w:rPr>
        <w:t>Los presupuestos generales de procedencia</w:t>
      </w:r>
    </w:p>
    <w:p w14:paraId="384299B9" w14:textId="77777777" w:rsidR="00D378EB" w:rsidRPr="00381244" w:rsidRDefault="00D378EB" w:rsidP="00381244">
      <w:pPr>
        <w:pStyle w:val="Textoindependiente"/>
        <w:widowControl w:val="0"/>
        <w:spacing w:line="276" w:lineRule="auto"/>
        <w:ind w:left="720"/>
        <w:rPr>
          <w:rFonts w:ascii="Georgia" w:hAnsi="Georgia"/>
          <w:szCs w:val="24"/>
          <w:lang w:val="es-419"/>
        </w:rPr>
      </w:pPr>
    </w:p>
    <w:p w14:paraId="1F1ACA13" w14:textId="0EB772F8" w:rsidR="00D639BD" w:rsidRPr="00381244" w:rsidRDefault="00D378EB" w:rsidP="00381244">
      <w:pPr>
        <w:pStyle w:val="Textoindependiente"/>
        <w:numPr>
          <w:ilvl w:val="2"/>
          <w:numId w:val="47"/>
        </w:numPr>
        <w:tabs>
          <w:tab w:val="clear" w:pos="708"/>
          <w:tab w:val="left" w:pos="709"/>
        </w:tabs>
        <w:spacing w:line="276" w:lineRule="auto"/>
        <w:ind w:left="0" w:firstLine="0"/>
        <w:textAlignment w:val="auto"/>
        <w:rPr>
          <w:rFonts w:ascii="Georgia" w:hAnsi="Georgia" w:cs="Arial"/>
          <w:szCs w:val="24"/>
        </w:rPr>
      </w:pPr>
      <w:r w:rsidRPr="00381244">
        <w:rPr>
          <w:rFonts w:ascii="Georgia" w:hAnsi="Georgia"/>
          <w:iCs/>
          <w:smallCaps/>
          <w:szCs w:val="24"/>
          <w:lang w:val="es-419"/>
        </w:rPr>
        <w:lastRenderedPageBreak/>
        <w:t>La legitimación en la causa</w:t>
      </w:r>
      <w:r w:rsidRPr="00381244">
        <w:rPr>
          <w:rFonts w:ascii="Georgia" w:hAnsi="Georgia"/>
          <w:smallCaps/>
          <w:szCs w:val="24"/>
          <w:lang w:val="es-419"/>
        </w:rPr>
        <w:t xml:space="preserve">. </w:t>
      </w:r>
      <w:r w:rsidR="00D639BD" w:rsidRPr="00381244">
        <w:rPr>
          <w:rFonts w:ascii="Georgia" w:hAnsi="Georgia"/>
          <w:szCs w:val="24"/>
        </w:rPr>
        <w:t xml:space="preserve">Por activa, </w:t>
      </w:r>
      <w:r w:rsidR="00F322F1" w:rsidRPr="00381244">
        <w:rPr>
          <w:rFonts w:ascii="Georgia" w:hAnsi="Georgia"/>
          <w:szCs w:val="24"/>
        </w:rPr>
        <w:t>el</w:t>
      </w:r>
      <w:r w:rsidR="00D639BD" w:rsidRPr="00381244">
        <w:rPr>
          <w:rFonts w:ascii="Georgia" w:hAnsi="Georgia"/>
          <w:szCs w:val="24"/>
        </w:rPr>
        <w:t xml:space="preserve"> actor porque </w:t>
      </w:r>
      <w:r w:rsidR="00F322F1" w:rsidRPr="00381244">
        <w:rPr>
          <w:rFonts w:ascii="Georgia" w:hAnsi="Georgia"/>
          <w:szCs w:val="24"/>
        </w:rPr>
        <w:t xml:space="preserve">promovió </w:t>
      </w:r>
      <w:r w:rsidR="00B36415" w:rsidRPr="00381244">
        <w:rPr>
          <w:rFonts w:ascii="Georgia" w:hAnsi="Georgia"/>
          <w:szCs w:val="24"/>
        </w:rPr>
        <w:t xml:space="preserve">la ejecución </w:t>
      </w:r>
      <w:r w:rsidR="00F322F1" w:rsidRPr="00381244">
        <w:rPr>
          <w:rFonts w:ascii="Georgia" w:hAnsi="Georgia"/>
          <w:szCs w:val="24"/>
        </w:rPr>
        <w:t>reprochada</w:t>
      </w:r>
      <w:r w:rsidR="00D639BD" w:rsidRPr="00381244">
        <w:rPr>
          <w:rFonts w:ascii="Georgia" w:hAnsi="Georgia"/>
          <w:szCs w:val="24"/>
          <w:lang w:val="es-CO"/>
        </w:rPr>
        <w:t xml:space="preserve">. En el extremo </w:t>
      </w:r>
      <w:r w:rsidR="00D639BD" w:rsidRPr="00381244">
        <w:rPr>
          <w:rFonts w:ascii="Georgia" w:hAnsi="Georgia"/>
          <w:szCs w:val="24"/>
          <w:lang w:val="es-419"/>
        </w:rPr>
        <w:t xml:space="preserve">pasivo, el juzgado por conocer el juicio y proferir la decisión rebatida </w:t>
      </w:r>
      <w:r w:rsidR="00F322F1" w:rsidRPr="00381244">
        <w:rPr>
          <w:rFonts w:ascii="Georgia" w:hAnsi="Georgia"/>
          <w:szCs w:val="24"/>
        </w:rPr>
        <w:t>(Ib., carpeta expediente digitalizado</w:t>
      </w:r>
      <w:r w:rsidR="00F322F1" w:rsidRPr="00381244">
        <w:rPr>
          <w:rFonts w:ascii="Georgia" w:hAnsi="Georgia"/>
          <w:szCs w:val="24"/>
          <w:lang w:val="es-CO"/>
        </w:rPr>
        <w:t>)</w:t>
      </w:r>
      <w:r w:rsidR="00D639BD" w:rsidRPr="00381244">
        <w:rPr>
          <w:rFonts w:ascii="Georgia" w:hAnsi="Georgia"/>
          <w:szCs w:val="24"/>
          <w:lang w:val="es-CO"/>
        </w:rPr>
        <w:t>.</w:t>
      </w:r>
    </w:p>
    <w:p w14:paraId="61C6F20C" w14:textId="77777777" w:rsidR="00D639BD" w:rsidRPr="00381244" w:rsidRDefault="00D639BD" w:rsidP="00381244">
      <w:pPr>
        <w:pStyle w:val="Textoindependiente"/>
        <w:spacing w:line="276" w:lineRule="auto"/>
        <w:ind w:left="708"/>
        <w:textAlignment w:val="auto"/>
        <w:rPr>
          <w:rFonts w:ascii="Georgia" w:hAnsi="Georgia" w:cs="Arial"/>
          <w:szCs w:val="24"/>
        </w:rPr>
      </w:pPr>
    </w:p>
    <w:p w14:paraId="6C39ABF6" w14:textId="1A4AEB56" w:rsidR="00F322F1" w:rsidRPr="00381244" w:rsidRDefault="00F322F1" w:rsidP="00381244">
      <w:pPr>
        <w:pStyle w:val="Textoindependiente"/>
        <w:shd w:val="clear" w:color="auto" w:fill="FFFFFF" w:themeFill="background1"/>
        <w:autoSpaceDE/>
        <w:adjustRightInd/>
        <w:spacing w:line="276" w:lineRule="auto"/>
        <w:textAlignment w:val="auto"/>
        <w:rPr>
          <w:rFonts w:ascii="Georgia" w:hAnsi="Georgia" w:cs="Arial"/>
          <w:szCs w:val="24"/>
        </w:rPr>
      </w:pPr>
      <w:r w:rsidRPr="00381244">
        <w:rPr>
          <w:rFonts w:ascii="Georgia" w:hAnsi="Georgia" w:cs="Arial"/>
          <w:smallCaps/>
          <w:szCs w:val="24"/>
        </w:rPr>
        <w:t xml:space="preserve">5.3.2. Las subreglas de procedibilidad para decisiones judiciales. </w:t>
      </w:r>
      <w:r w:rsidRPr="00381244">
        <w:rPr>
          <w:rFonts w:ascii="Georgia" w:hAnsi="Georgia" w:cs="Arial"/>
          <w:szCs w:val="24"/>
        </w:rPr>
        <w:t xml:space="preserve">Desde la sentencia C-543 </w:t>
      </w:r>
      <w:r w:rsidRPr="00381244">
        <w:rPr>
          <w:rFonts w:ascii="Georgia" w:hAnsi="Georgia"/>
          <w:szCs w:val="24"/>
        </w:rPr>
        <w:t>de</w:t>
      </w:r>
      <w:r w:rsidRPr="00381244">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381244">
        <w:rPr>
          <w:rFonts w:ascii="Georgia" w:hAnsi="Georgia" w:cs="Arial"/>
          <w:szCs w:val="24"/>
        </w:rPr>
        <w:t>re-definición</w:t>
      </w:r>
      <w:proofErr w:type="spellEnd"/>
      <w:r w:rsidRPr="00381244">
        <w:rPr>
          <w:rFonts w:ascii="Georgia" w:hAnsi="Georgia" w:cs="Arial"/>
          <w:szCs w:val="24"/>
        </w:rPr>
        <w:t xml:space="preserve"> dogmática entre 2003 y 2005</w:t>
      </w:r>
      <w:r w:rsidRPr="00381244">
        <w:rPr>
          <w:rFonts w:ascii="Georgia" w:hAnsi="Georgia" w:cs="Arial"/>
          <w:szCs w:val="24"/>
          <w:vertAlign w:val="superscript"/>
        </w:rPr>
        <w:footnoteReference w:id="1"/>
      </w:r>
      <w:r w:rsidRPr="00381244">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381244">
        <w:rPr>
          <w:rFonts w:ascii="Georgia" w:hAnsi="Georgia"/>
          <w:szCs w:val="24"/>
          <w:vertAlign w:val="superscript"/>
        </w:rPr>
        <w:footnoteReference w:id="2"/>
      </w:r>
      <w:r w:rsidRPr="00381244">
        <w:rPr>
          <w:rFonts w:ascii="Georgia" w:hAnsi="Georgia" w:cs="Arial"/>
          <w:szCs w:val="24"/>
        </w:rPr>
        <w:t>.</w:t>
      </w:r>
    </w:p>
    <w:p w14:paraId="7B86E7D0" w14:textId="77777777" w:rsidR="00F322F1" w:rsidRPr="00381244" w:rsidRDefault="00F322F1" w:rsidP="00381244">
      <w:pPr>
        <w:pStyle w:val="Textoindependiente"/>
        <w:shd w:val="clear" w:color="auto" w:fill="FFFFFF" w:themeFill="background1"/>
        <w:autoSpaceDE/>
        <w:adjustRightInd/>
        <w:spacing w:line="276" w:lineRule="auto"/>
        <w:textAlignment w:val="auto"/>
        <w:rPr>
          <w:rFonts w:ascii="Georgia" w:hAnsi="Georgia" w:cs="Arial"/>
          <w:szCs w:val="24"/>
        </w:rPr>
      </w:pPr>
    </w:p>
    <w:p w14:paraId="740BD19B" w14:textId="47330202" w:rsidR="00F322F1" w:rsidRPr="00381244" w:rsidRDefault="00F322F1" w:rsidP="0038124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381244">
        <w:rPr>
          <w:rFonts w:ascii="Georgia" w:hAnsi="Georgia" w:cs="Arial"/>
          <w:szCs w:val="24"/>
        </w:rPr>
        <w:t xml:space="preserve">Ahora, en frente del examen que se reclama en sede constitucional, resulta de mayúscula trascendencia, precisar que </w:t>
      </w:r>
      <w:r w:rsidRPr="00381244">
        <w:rPr>
          <w:rFonts w:ascii="Georgia" w:hAnsi="Georgia" w:cs="Arial"/>
          <w:szCs w:val="24"/>
          <w:u w:val="single"/>
        </w:rPr>
        <w:t>se trata de un juicio de validez y no de corrección</w:t>
      </w:r>
      <w:r w:rsidRPr="00381244">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(2022)</w:t>
      </w:r>
      <w:r w:rsidRPr="00381244">
        <w:rPr>
          <w:rFonts w:ascii="Georgia" w:hAnsi="Georgia"/>
          <w:szCs w:val="24"/>
          <w:vertAlign w:val="superscript"/>
        </w:rPr>
        <w:footnoteReference w:id="3"/>
      </w:r>
      <w:r w:rsidRPr="00381244">
        <w:rPr>
          <w:rFonts w:ascii="Georgia" w:hAnsi="Georgia" w:cs="Arial"/>
          <w:szCs w:val="24"/>
        </w:rPr>
        <w:t>.</w:t>
      </w:r>
    </w:p>
    <w:p w14:paraId="047525F1" w14:textId="77777777" w:rsidR="00F322F1" w:rsidRPr="00381244" w:rsidRDefault="00F322F1" w:rsidP="0038124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1D3D4C85" w14:textId="314493FF" w:rsidR="00F322F1" w:rsidRPr="00381244" w:rsidRDefault="00F322F1" w:rsidP="0038124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381244">
        <w:rPr>
          <w:rFonts w:ascii="Georgia" w:hAnsi="Georgia" w:cs="Arial"/>
          <w:szCs w:val="24"/>
        </w:rPr>
        <w:t>Los requisitos generales de procedibilidad, explicados en amplitud en la sentencia C-590 de 2005 y reiterados en la consolidada línea jurisprudencial (2022)</w:t>
      </w:r>
      <w:r w:rsidRPr="00381244">
        <w:rPr>
          <w:rFonts w:ascii="Georgia" w:hAnsi="Georgia" w:cs="Arial"/>
          <w:szCs w:val="24"/>
          <w:vertAlign w:val="superscript"/>
        </w:rPr>
        <w:footnoteReference w:id="4"/>
      </w:r>
      <w:r w:rsidRPr="00381244">
        <w:rPr>
          <w:rFonts w:ascii="Georgia" w:hAnsi="Georgia" w:cs="Arial"/>
          <w:szCs w:val="24"/>
        </w:rPr>
        <w:t xml:space="preserve"> son: </w:t>
      </w:r>
      <w:r w:rsidRPr="00381244">
        <w:rPr>
          <w:rFonts w:ascii="Georgia" w:hAnsi="Georgia" w:cs="Arial"/>
          <w:szCs w:val="24"/>
          <w:u w:val="single"/>
        </w:rPr>
        <w:t>(i) Que el asunto sea de relevancia constitucional</w:t>
      </w:r>
      <w:r w:rsidRPr="00381244">
        <w:rPr>
          <w:rFonts w:ascii="Georgia" w:hAnsi="Georgia" w:cs="Arial"/>
          <w:szCs w:val="24"/>
        </w:rPr>
        <w:t>;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381244">
        <w:rPr>
          <w:rFonts w:ascii="Georgia" w:hAnsi="Georgia"/>
          <w:szCs w:val="24"/>
          <w:vertAlign w:val="superscript"/>
        </w:rPr>
        <w:footnoteReference w:id="5"/>
      </w:r>
      <w:r w:rsidRPr="00381244">
        <w:rPr>
          <w:rFonts w:ascii="Georgia" w:hAnsi="Georgia" w:cs="Arial"/>
          <w:szCs w:val="24"/>
        </w:rPr>
        <w:t>.</w:t>
      </w:r>
    </w:p>
    <w:p w14:paraId="53AD461C" w14:textId="77777777" w:rsidR="00F322F1" w:rsidRPr="00381244" w:rsidRDefault="00F322F1" w:rsidP="00381244">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313DCF13" w14:textId="50915015" w:rsidR="00F322F1" w:rsidRPr="00381244" w:rsidRDefault="00F322F1" w:rsidP="00381244">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381244">
        <w:rPr>
          <w:rFonts w:ascii="Georgia" w:hAnsi="Georgia" w:cs="Arial"/>
          <w:szCs w:val="24"/>
        </w:rPr>
        <w:t xml:space="preserve">De otra parte, como causales especiales de </w:t>
      </w:r>
      <w:r w:rsidR="00B33524" w:rsidRPr="00381244">
        <w:rPr>
          <w:rFonts w:ascii="Georgia" w:hAnsi="Georgia" w:cs="Arial"/>
          <w:szCs w:val="24"/>
        </w:rPr>
        <w:t>procedibilidad, se han definido los</w:t>
      </w:r>
      <w:r w:rsidRPr="00381244">
        <w:rPr>
          <w:rFonts w:ascii="Georgia" w:hAnsi="Georgia" w:cs="Arial"/>
          <w:szCs w:val="24"/>
        </w:rPr>
        <w:t xml:space="preserve"> siguientes: (i) Defecto orgánico, (ii) Defecto procedimental absoluto, (iii) Defecto fáctico, (iv) Error inducido, (v) Decisión sin motivación, (vi) Defecto material o sustantivo; (vii) Desconocimiento del precedente; y, por último, (</w:t>
      </w:r>
      <w:proofErr w:type="spellStart"/>
      <w:r w:rsidRPr="00381244">
        <w:rPr>
          <w:rFonts w:ascii="Georgia" w:hAnsi="Georgia" w:cs="Arial"/>
          <w:szCs w:val="24"/>
        </w:rPr>
        <w:t>viii</w:t>
      </w:r>
      <w:proofErr w:type="spellEnd"/>
      <w:r w:rsidRPr="00381244">
        <w:rPr>
          <w:rFonts w:ascii="Georgia" w:hAnsi="Georgia" w:cs="Arial"/>
          <w:szCs w:val="24"/>
        </w:rPr>
        <w:t xml:space="preserve">) violación directa de la Carta.  Un sistemático recuento puede leerse </w:t>
      </w:r>
      <w:r w:rsidRPr="00381244">
        <w:rPr>
          <w:rFonts w:ascii="Georgia" w:hAnsi="Georgia"/>
          <w:szCs w:val="24"/>
        </w:rPr>
        <w:t>en</w:t>
      </w:r>
      <w:r w:rsidRPr="00381244">
        <w:rPr>
          <w:rFonts w:ascii="Georgia" w:hAnsi="Georgia" w:cs="Arial"/>
          <w:szCs w:val="24"/>
        </w:rPr>
        <w:t xml:space="preserve"> la obra de los doctores Catalina Botero Marino</w:t>
      </w:r>
      <w:r w:rsidRPr="00381244">
        <w:rPr>
          <w:rFonts w:ascii="Georgia" w:hAnsi="Georgia" w:cs="Arial"/>
          <w:szCs w:val="24"/>
          <w:vertAlign w:val="superscript"/>
        </w:rPr>
        <w:footnoteReference w:id="6"/>
      </w:r>
      <w:r w:rsidRPr="00381244">
        <w:rPr>
          <w:rFonts w:ascii="Georgia" w:hAnsi="Georgia" w:cs="Arial"/>
          <w:szCs w:val="24"/>
        </w:rPr>
        <w:t xml:space="preserve"> y Quinche Ramírez</w:t>
      </w:r>
      <w:r w:rsidRPr="00381244">
        <w:rPr>
          <w:rFonts w:ascii="Georgia" w:hAnsi="Georgia" w:cs="Arial"/>
          <w:szCs w:val="24"/>
          <w:vertAlign w:val="superscript"/>
        </w:rPr>
        <w:footnoteReference w:id="7"/>
      </w:r>
      <w:r w:rsidRPr="00381244">
        <w:rPr>
          <w:rFonts w:ascii="Georgia" w:hAnsi="Georgia" w:cs="Arial"/>
          <w:szCs w:val="24"/>
        </w:rPr>
        <w:t>.</w:t>
      </w:r>
    </w:p>
    <w:p w14:paraId="0DCF4344" w14:textId="2EEF2AF1" w:rsidR="00CB1AA6" w:rsidRPr="00381244" w:rsidRDefault="00CB1AA6" w:rsidP="00381244">
      <w:pPr>
        <w:pStyle w:val="Textoindependiente"/>
        <w:spacing w:line="276" w:lineRule="auto"/>
        <w:rPr>
          <w:rFonts w:ascii="Georgia" w:hAnsi="Georgia" w:cs="Arial"/>
          <w:szCs w:val="24"/>
        </w:rPr>
      </w:pPr>
    </w:p>
    <w:p w14:paraId="7DF8756F" w14:textId="4BB2CF3C" w:rsidR="00FC43D5" w:rsidRPr="00381244" w:rsidRDefault="0097412C" w:rsidP="00381244">
      <w:pPr>
        <w:widowControl/>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381244">
        <w:rPr>
          <w:rFonts w:ascii="Georgia" w:hAnsi="Georgia" w:cs="Arial"/>
          <w:smallCaps/>
        </w:rPr>
        <w:t xml:space="preserve">5.3.3. </w:t>
      </w:r>
      <w:r w:rsidR="00FC43D5" w:rsidRPr="00381244">
        <w:rPr>
          <w:rFonts w:ascii="Georgia" w:hAnsi="Georgia" w:cs="Arial"/>
          <w:smallCaps/>
        </w:rPr>
        <w:t xml:space="preserve">La subsidiariedad: </w:t>
      </w:r>
      <w:r w:rsidR="00FC43D5" w:rsidRPr="00381244">
        <w:rPr>
          <w:rFonts w:ascii="Georgia" w:hAnsi="Georgia" w:cs="Arial"/>
        </w:rPr>
        <w:t xml:space="preserve">Procede la acción siempre que el afectado carezca de otro instrumento defensivo </w:t>
      </w:r>
      <w:r w:rsidR="00FC43D5" w:rsidRPr="00381244">
        <w:rPr>
          <w:rFonts w:ascii="Georgia" w:hAnsi="Georgia" w:cs="Arial"/>
          <w:b/>
        </w:rPr>
        <w:t>judicial</w:t>
      </w:r>
      <w:r w:rsidR="00FC43D5" w:rsidRPr="00381244">
        <w:rPr>
          <w:rFonts w:ascii="Georgia" w:hAnsi="Georgia" w:cs="Arial"/>
        </w:rPr>
        <w:t xml:space="preserve"> (2021)</w:t>
      </w:r>
      <w:r w:rsidR="00FC43D5" w:rsidRPr="00381244">
        <w:rPr>
          <w:rFonts w:ascii="Georgia" w:hAnsi="Georgia"/>
          <w:vertAlign w:val="superscript"/>
        </w:rPr>
        <w:footnoteReference w:id="8"/>
      </w:r>
      <w:r w:rsidR="00FC43D5" w:rsidRPr="00381244">
        <w:rPr>
          <w:rFonts w:ascii="Georgia" w:hAnsi="Georgia" w:cs="Arial"/>
        </w:rPr>
        <w:t xml:space="preserve">. Empero, hay dos </w:t>
      </w:r>
      <w:r w:rsidR="00FC43D5" w:rsidRPr="00381244">
        <w:rPr>
          <w:rFonts w:ascii="Georgia" w:hAnsi="Georgia"/>
        </w:rPr>
        <w:t>(</w:t>
      </w:r>
      <w:r w:rsidR="00FC43D5" w:rsidRPr="00381244">
        <w:rPr>
          <w:rFonts w:ascii="Georgia" w:hAnsi="Georgia" w:cs="Arial"/>
        </w:rPr>
        <w:t xml:space="preserve">2) excepciones que guardan en común la existencia del medio ordinario: </w:t>
      </w:r>
      <w:r w:rsidR="00FC43D5" w:rsidRPr="00381244">
        <w:rPr>
          <w:rFonts w:ascii="Georgia" w:hAnsi="Georgia" w:cs="Arial"/>
          <w:b/>
          <w:bCs/>
        </w:rPr>
        <w:t>(i)</w:t>
      </w:r>
      <w:r w:rsidR="00FC43D5" w:rsidRPr="00381244">
        <w:rPr>
          <w:rFonts w:ascii="Georgia" w:hAnsi="Georgia" w:cs="Arial"/>
        </w:rPr>
        <w:t xml:space="preserve"> La tutela transitoria para evitar un </w:t>
      </w:r>
      <w:r w:rsidR="00FC43D5" w:rsidRPr="00381244">
        <w:rPr>
          <w:rFonts w:ascii="Georgia" w:hAnsi="Georgia" w:cs="Arial"/>
        </w:rPr>
        <w:lastRenderedPageBreak/>
        <w:t xml:space="preserve">perjuicio irremediable; y </w:t>
      </w:r>
      <w:r w:rsidR="00FC43D5" w:rsidRPr="00381244">
        <w:rPr>
          <w:rFonts w:ascii="Georgia" w:hAnsi="Georgia" w:cs="Arial"/>
          <w:b/>
          <w:bCs/>
        </w:rPr>
        <w:t>(ii)</w:t>
      </w:r>
      <w:r w:rsidR="00FC43D5" w:rsidRPr="00381244">
        <w:rPr>
          <w:rFonts w:ascii="Georgia" w:hAnsi="Georgia" w:cs="Arial"/>
        </w:rPr>
        <w:t xml:space="preserve"> La ineficacia de la herramienta regular para salvaguardar los derechos.</w:t>
      </w:r>
    </w:p>
    <w:p w14:paraId="3FBE1F08" w14:textId="77777777" w:rsidR="00FC43D5" w:rsidRPr="00381244" w:rsidRDefault="00FC43D5" w:rsidP="00381244">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lang w:val="es-419"/>
        </w:rPr>
      </w:pPr>
    </w:p>
    <w:p w14:paraId="7BB94B8C" w14:textId="77777777" w:rsidR="00FC43D5" w:rsidRPr="00381244" w:rsidRDefault="00FC43D5" w:rsidP="00381244">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rPr>
      </w:pPr>
      <w:r w:rsidRPr="00381244">
        <w:rPr>
          <w:rFonts w:ascii="Georgia" w:hAnsi="Georgia" w:cs="Arial"/>
        </w:rPr>
        <w:t>Al respecto la Corte</w:t>
      </w:r>
      <w:r w:rsidRPr="00381244">
        <w:rPr>
          <w:rStyle w:val="Refdenotaalpie"/>
          <w:rFonts w:ascii="Georgia" w:hAnsi="Georgia" w:cs="Arial"/>
          <w:i/>
          <w:iCs/>
        </w:rPr>
        <w:footnoteReference w:id="9"/>
      </w:r>
      <w:r w:rsidRPr="00381244">
        <w:rPr>
          <w:rFonts w:ascii="Georgia" w:hAnsi="Georgia" w:cs="Arial"/>
        </w:rPr>
        <w:t xml:space="preserve"> ha señalado</w:t>
      </w:r>
      <w:r w:rsidRPr="00381244">
        <w:rPr>
          <w:rFonts w:ascii="Georgia" w:hAnsi="Georgia" w:cs="Arial"/>
          <w:i/>
          <w:iCs/>
        </w:rPr>
        <w:t>: “</w:t>
      </w:r>
      <w:r w:rsidRPr="006C76E6">
        <w:rPr>
          <w:rFonts w:ascii="Georgia" w:hAnsi="Georgia" w:cs="Arial"/>
          <w:i/>
          <w:iCs/>
          <w:sz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381244">
        <w:rPr>
          <w:rFonts w:ascii="Georgia" w:hAnsi="Georgia" w:cs="Arial"/>
          <w:i/>
          <w:iCs/>
        </w:rPr>
        <w:t>”.</w:t>
      </w:r>
    </w:p>
    <w:p w14:paraId="0E942B4E" w14:textId="77777777" w:rsidR="00FC43D5" w:rsidRPr="00381244" w:rsidRDefault="00FC43D5" w:rsidP="00381244">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p>
    <w:p w14:paraId="654E031C" w14:textId="77777777" w:rsidR="00FC43D5" w:rsidRPr="00381244" w:rsidRDefault="00FC43D5" w:rsidP="00381244">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381244">
        <w:rPr>
          <w:rFonts w:ascii="Georgia" w:hAnsi="Georgia" w:cs="Arial"/>
        </w:rPr>
        <w:t xml:space="preserve">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 </w:t>
      </w:r>
      <w:r w:rsidRPr="00381244">
        <w:rPr>
          <w:rFonts w:ascii="Georgia" w:hAnsi="Georgia" w:cs="Arial"/>
          <w:i/>
          <w:iCs/>
        </w:rPr>
        <w:t>“</w:t>
      </w:r>
      <w:r w:rsidRPr="006C76E6">
        <w:rPr>
          <w:rFonts w:ascii="Georgia" w:hAnsi="Georgia" w:cs="Arial"/>
          <w:i/>
          <w:iCs/>
          <w:sz w:val="22"/>
        </w:rPr>
        <w:t>(…) la acción de tutela es improcedente cuando con ella se pretenden sustituir mecanismos ordinarios de defensa que, por negligencia, descuido o incuria de quien solicita el amparo constitucional, no fueron utilizados a su debido tiempo</w:t>
      </w:r>
      <w:r w:rsidRPr="00381244">
        <w:rPr>
          <w:rFonts w:ascii="Georgia" w:hAnsi="Georgia" w:cs="Arial"/>
          <w:i/>
          <w:iCs/>
        </w:rPr>
        <w:t>”</w:t>
      </w:r>
      <w:r w:rsidRPr="00381244">
        <w:rPr>
          <w:rStyle w:val="Refdenotaalpie"/>
          <w:rFonts w:ascii="Georgia" w:hAnsi="Georgia" w:cs="Arial"/>
        </w:rPr>
        <w:footnoteReference w:id="10"/>
      </w:r>
      <w:r w:rsidRPr="00381244">
        <w:rPr>
          <w:rFonts w:ascii="Georgia" w:hAnsi="Georgia" w:cs="Arial"/>
        </w:rPr>
        <w:t>. Criterio reiterado por la CC</w:t>
      </w:r>
      <w:r w:rsidRPr="00381244">
        <w:rPr>
          <w:rStyle w:val="Refdenotaalpie"/>
          <w:rFonts w:ascii="Georgia" w:hAnsi="Georgia" w:cs="Arial"/>
        </w:rPr>
        <w:footnoteReference w:id="11"/>
      </w:r>
      <w:r w:rsidRPr="00381244">
        <w:rPr>
          <w:rFonts w:ascii="Georgia" w:hAnsi="Georgia" w:cs="Arial"/>
        </w:rPr>
        <w:t xml:space="preserve"> y acogido por la CSJ</w:t>
      </w:r>
      <w:r w:rsidRPr="00381244">
        <w:rPr>
          <w:rStyle w:val="Refdenotaalpie"/>
          <w:rFonts w:ascii="Georgia" w:hAnsi="Georgia" w:cs="Arial"/>
        </w:rPr>
        <w:footnoteReference w:id="12"/>
      </w:r>
      <w:r w:rsidRPr="00381244">
        <w:rPr>
          <w:rFonts w:ascii="Georgia" w:hAnsi="Georgia" w:cs="Arial"/>
        </w:rPr>
        <w:t>.</w:t>
      </w:r>
    </w:p>
    <w:p w14:paraId="7CDA36B7" w14:textId="77777777" w:rsidR="00FC43D5" w:rsidRPr="00381244" w:rsidRDefault="00FC43D5" w:rsidP="00381244">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5A71F9BF" w14:textId="77777777" w:rsidR="00FC43D5" w:rsidRPr="00381244" w:rsidRDefault="00FC43D5" w:rsidP="00381244">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bookmarkStart w:id="1" w:name="_Hlk103672994"/>
      <w:r w:rsidRPr="00381244">
        <w:rPr>
          <w:rFonts w:ascii="Georgia" w:hAnsi="Georgia" w:cs="Arial"/>
        </w:rPr>
        <w:t>Asimismo, importa reseñar que el ejercicio de las herramientas judiciales, por sí mismo, no implica el acato del presupuesto de la subsidiariedad, cuando se advierte que se agotó de forma irregular, en tanto impidió que en el trámite ordinario se desatara el problema jurídico por el juez</w:t>
      </w:r>
      <w:bookmarkEnd w:id="1"/>
      <w:r w:rsidRPr="00381244">
        <w:rPr>
          <w:rFonts w:ascii="Georgia" w:hAnsi="Georgia" w:cs="Arial"/>
        </w:rPr>
        <w:t>. Al respecto la CSJ</w:t>
      </w:r>
      <w:r w:rsidRPr="00381244">
        <w:rPr>
          <w:rStyle w:val="Refdenotaalpie"/>
          <w:rFonts w:ascii="Georgia" w:hAnsi="Georgia"/>
        </w:rPr>
        <w:footnoteReference w:id="13"/>
      </w:r>
      <w:r w:rsidRPr="00381244">
        <w:rPr>
          <w:rFonts w:ascii="Georgia" w:hAnsi="Georgia" w:cs="Arial"/>
        </w:rPr>
        <w:t xml:space="preserve"> ha expuesto en su jurisprudencia: </w:t>
      </w:r>
    </w:p>
    <w:p w14:paraId="61870A8C" w14:textId="77777777" w:rsidR="00FC43D5" w:rsidRPr="00381244" w:rsidRDefault="00FC43D5" w:rsidP="00381244">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14AC87DC" w14:textId="77777777" w:rsidR="00FC43D5" w:rsidRPr="00381244" w:rsidRDefault="00FC43D5" w:rsidP="00B33524">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426" w:right="420"/>
        <w:jc w:val="both"/>
        <w:textAlignment w:val="baseline"/>
        <w:rPr>
          <w:rFonts w:ascii="Georgia" w:hAnsi="Georgia"/>
          <w:spacing w:val="-12"/>
          <w:lang w:val="es-CO"/>
        </w:rPr>
      </w:pPr>
      <w:r w:rsidRPr="00381244">
        <w:rPr>
          <w:rFonts w:ascii="Georgia" w:hAnsi="Georgia" w:cs="Arial"/>
        </w:rPr>
        <w:t xml:space="preserve">… </w:t>
      </w:r>
      <w:r w:rsidRPr="00381244">
        <w:rPr>
          <w:rFonts w:ascii="Georgia" w:hAnsi="Georgia"/>
          <w:spacing w:val="-12"/>
        </w:rPr>
        <w:t>como no obró sustentación (…)</w:t>
      </w:r>
      <w:r w:rsidRPr="00381244">
        <w:rPr>
          <w:rFonts w:ascii="Georgia" w:hAnsi="Georgia"/>
          <w:spacing w:val="-12"/>
          <w:lang w:val="es-CO"/>
        </w:rPr>
        <w:t xml:space="preserve">, tal </w:t>
      </w:r>
      <w:r w:rsidRPr="00381244">
        <w:rPr>
          <w:rFonts w:ascii="Georgia" w:hAnsi="Georgia"/>
          <w:spacing w:val="-12"/>
        </w:rPr>
        <w:t xml:space="preserve">desidia impone predicar la inobservancia al postulado de la subsidiariedad de que trata el numeral 1º, del artículo 6º, del Decreto 2591 de 1991, acaeciendo que </w:t>
      </w:r>
      <w:r w:rsidRPr="00381244">
        <w:rPr>
          <w:rFonts w:ascii="Georgia" w:hAnsi="Georgia" w:cs="Arial"/>
          <w:spacing w:val="-12"/>
          <w:lang w:val="es-CO"/>
        </w:rPr>
        <w:t>insistentemente ha expresado la Sala que la acción tutelar «</w:t>
      </w:r>
      <w:r w:rsidRPr="00381244">
        <w:rPr>
          <w:rFonts w:ascii="Georgia" w:hAnsi="Georgia"/>
          <w:spacing w:val="-12"/>
          <w:lang w:val="es-CO"/>
        </w:rPr>
        <w:t>no es de recibo cuando quien reclama el resguardo de sus prerrogativas tuvo a su alcance mecanismos ordinarios de defensa que le permitían controvertir dentro del proceso los hechos en que soporta su reclamo, habida cuenta que la presente acción ius fundamental es de naturaleza eminentemente subsidiaria (numeral 1º, artículo 6º, del Decreto 2591 de 1991)»...</w:t>
      </w:r>
    </w:p>
    <w:p w14:paraId="39E4C516" w14:textId="77777777" w:rsidR="00FC43D5" w:rsidRPr="00381244" w:rsidRDefault="00FC43D5" w:rsidP="00381244">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18699F62" w14:textId="77777777" w:rsidR="00FC43D5" w:rsidRPr="00381244" w:rsidRDefault="00FC43D5" w:rsidP="00381244">
      <w:pPr>
        <w:widowControl/>
        <w:spacing w:line="276" w:lineRule="auto"/>
        <w:jc w:val="both"/>
        <w:rPr>
          <w:rFonts w:ascii="Georgia" w:hAnsi="Georgia"/>
          <w:iCs/>
          <w:spacing w:val="-12"/>
          <w:lang w:val="es-CO"/>
        </w:rPr>
      </w:pPr>
      <w:r w:rsidRPr="00381244">
        <w:rPr>
          <w:rFonts w:ascii="Georgia" w:hAnsi="Georgia"/>
          <w:iCs/>
          <w:spacing w:val="-12"/>
          <w:lang w:val="es-CO"/>
        </w:rPr>
        <w:t>Y, en decisión reciente (2021)</w:t>
      </w:r>
      <w:r w:rsidRPr="00381244">
        <w:rPr>
          <w:rStyle w:val="Refdenotaalpie"/>
          <w:rFonts w:ascii="Georgia" w:hAnsi="Georgia"/>
          <w:iCs/>
          <w:spacing w:val="-12"/>
          <w:lang w:val="es-CO"/>
        </w:rPr>
        <w:footnoteReference w:id="14"/>
      </w:r>
      <w:r w:rsidRPr="00381244">
        <w:rPr>
          <w:rFonts w:ascii="Georgia" w:hAnsi="Georgia"/>
          <w:iCs/>
          <w:spacing w:val="-12"/>
          <w:lang w:val="es-CO"/>
        </w:rPr>
        <w:t xml:space="preserve">, explicó: </w:t>
      </w:r>
      <w:r w:rsidRPr="00381244">
        <w:rPr>
          <w:rFonts w:ascii="Georgia" w:hAnsi="Georgia"/>
          <w:i/>
          <w:iCs/>
          <w:spacing w:val="-12"/>
          <w:lang w:val="es-CO"/>
        </w:rPr>
        <w:t>“</w:t>
      </w:r>
      <w:r w:rsidRPr="006C76E6">
        <w:rPr>
          <w:rFonts w:ascii="Georgia" w:hAnsi="Georgia"/>
          <w:i/>
          <w:iCs/>
          <w:spacing w:val="-12"/>
          <w:sz w:val="22"/>
          <w:lang w:val="es-CO"/>
        </w:rPr>
        <w:t xml:space="preserve">(…) </w:t>
      </w:r>
      <w:r w:rsidRPr="006C76E6">
        <w:rPr>
          <w:rFonts w:ascii="Georgia" w:hAnsi="Georgia" w:cs="BookmanOldStyle"/>
          <w:i/>
          <w:sz w:val="22"/>
          <w:lang w:val="es-CO"/>
        </w:rPr>
        <w:t xml:space="preserve">a pesar de haber hecho uso del medio de impugnación ordinario previsto para refutar la decisión que le fue desfavorable, los temas referidos no fueron puestos en consideración (…), de ahí que no puedan hacerse extensivos dichos reclamos al juez constitucional, en tanto no estaría llamado a auscultar planteamientos que no hicieron parte del juicio cuestionado (…) </w:t>
      </w:r>
      <w:r w:rsidRPr="006C76E6">
        <w:rPr>
          <w:rFonts w:ascii="Georgia" w:hAnsi="Georgia" w:cs="BookmanOldStyle-BoldItalic"/>
          <w:b/>
          <w:bCs/>
          <w:i/>
          <w:iCs/>
          <w:sz w:val="22"/>
          <w:lang w:val="es-CO"/>
        </w:rPr>
        <w:t xml:space="preserve">el desaprovechamiento de los mismos se refleja no sólo en que se deje de hacer uso de ellos, sino en el de omitir los fundados argumentos </w:t>
      </w:r>
      <w:r w:rsidRPr="006C76E6">
        <w:rPr>
          <w:rFonts w:ascii="Georgia" w:hAnsi="Georgia" w:cs="BookmanOldStyle-BoldItalic"/>
          <w:bCs/>
          <w:i/>
          <w:iCs/>
          <w:sz w:val="22"/>
          <w:lang w:val="es-CO"/>
        </w:rPr>
        <w:t>(…)</w:t>
      </w:r>
      <w:r w:rsidRPr="00381244">
        <w:rPr>
          <w:rFonts w:ascii="Georgia" w:hAnsi="Georgia" w:cs="BookmanOldStyle-BoldItalic"/>
          <w:bCs/>
          <w:i/>
          <w:iCs/>
          <w:lang w:val="es-CO"/>
        </w:rPr>
        <w:t>”</w:t>
      </w:r>
      <w:r w:rsidRPr="00381244">
        <w:rPr>
          <w:rFonts w:ascii="Georgia" w:hAnsi="Georgia" w:cs="BookmanOldStyle-BoldItalic"/>
          <w:b/>
          <w:bCs/>
          <w:i/>
          <w:iCs/>
          <w:lang w:val="es-CO"/>
        </w:rPr>
        <w:t xml:space="preserve"> </w:t>
      </w:r>
      <w:r w:rsidRPr="00381244">
        <w:rPr>
          <w:rFonts w:ascii="Georgia" w:hAnsi="Georgia" w:cs="BookmanOldStyle-BoldItalic"/>
          <w:bCs/>
          <w:iCs/>
          <w:lang w:val="es-CO"/>
        </w:rPr>
        <w:t>(Negrilla original)</w:t>
      </w:r>
      <w:r w:rsidRPr="00381244">
        <w:rPr>
          <w:rFonts w:ascii="Georgia" w:hAnsi="Georgia" w:cs="BookmanOldStyle-BoldItalic"/>
          <w:b/>
          <w:bCs/>
          <w:i/>
          <w:iCs/>
          <w:lang w:val="es-CO"/>
        </w:rPr>
        <w:t xml:space="preserve">. </w:t>
      </w:r>
      <w:r w:rsidRPr="00381244">
        <w:rPr>
          <w:rFonts w:ascii="Georgia" w:hAnsi="Georgia"/>
          <w:iCs/>
          <w:spacing w:val="-12"/>
          <w:lang w:val="es-CO"/>
        </w:rPr>
        <w:t>Tesis que comparte esta Sala de la Corporación</w:t>
      </w:r>
      <w:r w:rsidRPr="00381244">
        <w:rPr>
          <w:rStyle w:val="Refdenotaalpie"/>
          <w:rFonts w:ascii="Georgia" w:hAnsi="Georgia"/>
          <w:iCs/>
          <w:spacing w:val="-12"/>
          <w:lang w:val="es-CO"/>
        </w:rPr>
        <w:footnoteReference w:id="15"/>
      </w:r>
      <w:r w:rsidRPr="00381244">
        <w:rPr>
          <w:rFonts w:ascii="Georgia" w:hAnsi="Georgia"/>
          <w:iCs/>
          <w:spacing w:val="-12"/>
          <w:lang w:val="es-CO"/>
        </w:rPr>
        <w:t xml:space="preserve">. </w:t>
      </w:r>
    </w:p>
    <w:p w14:paraId="506FC2C0" w14:textId="77777777" w:rsidR="006552F6" w:rsidRPr="00381244" w:rsidRDefault="006552F6" w:rsidP="00381244">
      <w:pPr>
        <w:pStyle w:val="Textoindependiente"/>
        <w:spacing w:line="276" w:lineRule="auto"/>
        <w:rPr>
          <w:rFonts w:ascii="Georgia" w:hAnsi="Georgia" w:cs="Arial"/>
          <w:szCs w:val="24"/>
        </w:rPr>
      </w:pPr>
    </w:p>
    <w:p w14:paraId="6A8F1AA3" w14:textId="77777777" w:rsidR="00FF78B0" w:rsidRPr="00381244" w:rsidRDefault="00FF78B0" w:rsidP="00381244">
      <w:pPr>
        <w:pStyle w:val="Textoindependiente"/>
        <w:spacing w:line="276" w:lineRule="auto"/>
        <w:rPr>
          <w:rFonts w:ascii="Georgia" w:hAnsi="Georgia" w:cs="Arial"/>
          <w:szCs w:val="24"/>
        </w:rPr>
      </w:pPr>
    </w:p>
    <w:p w14:paraId="0EFDC5B8" w14:textId="77777777" w:rsidR="00FF78B0" w:rsidRPr="00381244" w:rsidRDefault="00FF78B0" w:rsidP="00381244">
      <w:pPr>
        <w:pStyle w:val="Textoindependiente"/>
        <w:numPr>
          <w:ilvl w:val="0"/>
          <w:numId w:val="47"/>
        </w:numPr>
        <w:tabs>
          <w:tab w:val="clear" w:pos="0"/>
        </w:tabs>
        <w:spacing w:line="276" w:lineRule="auto"/>
        <w:ind w:left="426"/>
        <w:rPr>
          <w:rFonts w:ascii="Georgia" w:hAnsi="Georgia"/>
          <w:b/>
          <w:bCs/>
          <w:smallCaps/>
          <w:szCs w:val="24"/>
        </w:rPr>
      </w:pPr>
      <w:r w:rsidRPr="00381244">
        <w:rPr>
          <w:rFonts w:ascii="Georgia" w:hAnsi="Georgia"/>
          <w:b/>
          <w:bCs/>
          <w:smallCaps/>
          <w:szCs w:val="24"/>
        </w:rPr>
        <w:lastRenderedPageBreak/>
        <w:t>El caso concreto que se analiza</w:t>
      </w:r>
    </w:p>
    <w:p w14:paraId="3896E9E7" w14:textId="77777777" w:rsidR="0062472B" w:rsidRPr="00381244" w:rsidRDefault="0062472B" w:rsidP="00381244">
      <w:pPr>
        <w:pStyle w:val="Textoindependiente"/>
        <w:widowControl w:val="0"/>
        <w:spacing w:line="276" w:lineRule="auto"/>
        <w:rPr>
          <w:rFonts w:ascii="Georgia" w:hAnsi="Georgia" w:cs="Arial"/>
          <w:szCs w:val="24"/>
        </w:rPr>
      </w:pPr>
    </w:p>
    <w:p w14:paraId="10981664" w14:textId="76E08BA6" w:rsidR="00FF78B0" w:rsidRDefault="00C11FFB" w:rsidP="0038124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lang w:val="es-ES_tradnl"/>
        </w:rPr>
      </w:pPr>
      <w:r w:rsidRPr="00381244">
        <w:rPr>
          <w:rFonts w:ascii="Georgia" w:hAnsi="Georgia"/>
          <w:lang w:val="es-ES_tradnl"/>
        </w:rPr>
        <w:t>Se modificará la sentencia rebatida para declarar improcedente la tutela, porque es palmario que incumple el presupuesto general de la subsidiariedad</w:t>
      </w:r>
      <w:r w:rsidR="00FF78B0" w:rsidRPr="00381244">
        <w:rPr>
          <w:rFonts w:ascii="Georgia" w:hAnsi="Georgia"/>
          <w:lang w:val="es-ES_tradnl"/>
        </w:rPr>
        <w:t xml:space="preserve">. </w:t>
      </w:r>
    </w:p>
    <w:p w14:paraId="1F5A4669" w14:textId="77777777" w:rsidR="00257E5A" w:rsidRPr="00381244" w:rsidRDefault="00257E5A" w:rsidP="0038124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lang w:val="es-ES_tradnl"/>
        </w:rPr>
      </w:pPr>
    </w:p>
    <w:p w14:paraId="63541D92" w14:textId="7C0A47B4" w:rsidR="00C11FFB" w:rsidRPr="00381244" w:rsidRDefault="00C11FFB" w:rsidP="00381244">
      <w:pPr>
        <w:widowControl/>
        <w:spacing w:line="276" w:lineRule="auto"/>
        <w:jc w:val="both"/>
        <w:rPr>
          <w:rFonts w:ascii="Georgia" w:hAnsi="Georgia" w:cs="Arial"/>
        </w:rPr>
      </w:pPr>
      <w:r w:rsidRPr="00381244">
        <w:rPr>
          <w:rFonts w:ascii="Georgia" w:hAnsi="Georgia"/>
        </w:rPr>
        <w:t xml:space="preserve">El actor se duele de la carga económica impuesta por la jueza de conocimiento, pese al amparo de pobreza; </w:t>
      </w:r>
      <w:r w:rsidRPr="00381244">
        <w:rPr>
          <w:rFonts w:ascii="Georgia" w:hAnsi="Georgia" w:cs="Arial"/>
        </w:rPr>
        <w:t xml:space="preserve">alegó que al </w:t>
      </w:r>
      <w:r w:rsidRPr="00381244">
        <w:rPr>
          <w:rFonts w:ascii="Georgia" w:hAnsi="Georgia"/>
        </w:rPr>
        <w:t>resolver la reposición</w:t>
      </w:r>
      <w:r w:rsidR="009928FB" w:rsidRPr="00381244">
        <w:rPr>
          <w:rFonts w:ascii="Georgia" w:hAnsi="Georgia"/>
        </w:rPr>
        <w:t xml:space="preserve"> hubo </w:t>
      </w:r>
      <w:r w:rsidRPr="00381244">
        <w:rPr>
          <w:rFonts w:ascii="Georgia" w:hAnsi="Georgia" w:cs="Arial"/>
        </w:rPr>
        <w:t>defecto procedimental y</w:t>
      </w:r>
      <w:r w:rsidR="001F5A01" w:rsidRPr="00381244">
        <w:rPr>
          <w:rFonts w:ascii="Georgia" w:hAnsi="Georgia" w:cs="Arial"/>
        </w:rPr>
        <w:t xml:space="preserve"> </w:t>
      </w:r>
      <w:r w:rsidRPr="00381244">
        <w:rPr>
          <w:rFonts w:ascii="Georgia" w:hAnsi="Georgia" w:cs="Arial"/>
        </w:rPr>
        <w:t>falta de motivación por dejar de fundamentar la inaplicación de los artículos 151, 152 y 154, CGP.</w:t>
      </w:r>
    </w:p>
    <w:p w14:paraId="13062EB3" w14:textId="6F3A3ED3" w:rsidR="00C11FFB" w:rsidRPr="00381244" w:rsidRDefault="00C11FFB" w:rsidP="00381244">
      <w:pPr>
        <w:widowControl/>
        <w:spacing w:line="276" w:lineRule="auto"/>
        <w:jc w:val="both"/>
        <w:rPr>
          <w:rFonts w:ascii="Georgia" w:hAnsi="Georgia" w:cs="Arial"/>
        </w:rPr>
      </w:pPr>
    </w:p>
    <w:p w14:paraId="4C067197" w14:textId="15D6121C" w:rsidR="0070786A" w:rsidRPr="00381244" w:rsidRDefault="001F5A01" w:rsidP="00381244">
      <w:pPr>
        <w:widowControl/>
        <w:spacing w:line="276" w:lineRule="auto"/>
        <w:jc w:val="both"/>
        <w:rPr>
          <w:rFonts w:ascii="Georgia" w:hAnsi="Georgia" w:cs="Arial"/>
        </w:rPr>
      </w:pPr>
      <w:r w:rsidRPr="00381244">
        <w:rPr>
          <w:rFonts w:ascii="Georgia" w:hAnsi="Georgia" w:cs="Arial"/>
        </w:rPr>
        <w:t>R</w:t>
      </w:r>
      <w:r w:rsidR="00C11FFB" w:rsidRPr="00381244">
        <w:rPr>
          <w:rFonts w:ascii="Georgia" w:hAnsi="Georgia" w:cs="Arial"/>
        </w:rPr>
        <w:t>evisado el acontecer fáctico</w:t>
      </w:r>
      <w:r w:rsidR="009928FB" w:rsidRPr="00381244">
        <w:rPr>
          <w:rFonts w:ascii="Georgia" w:hAnsi="Georgia" w:cs="Arial"/>
        </w:rPr>
        <w:t xml:space="preserve"> para la Sala es palmario el incumplimiento de la </w:t>
      </w:r>
      <w:proofErr w:type="spellStart"/>
      <w:r w:rsidR="009928FB" w:rsidRPr="00381244">
        <w:rPr>
          <w:rFonts w:ascii="Georgia" w:hAnsi="Georgia" w:cs="Arial"/>
        </w:rPr>
        <w:t>residualidad</w:t>
      </w:r>
      <w:proofErr w:type="spellEnd"/>
      <w:r w:rsidR="009928FB" w:rsidRPr="00381244">
        <w:rPr>
          <w:rFonts w:ascii="Georgia" w:hAnsi="Georgia" w:cs="Arial"/>
        </w:rPr>
        <w:t>. E</w:t>
      </w:r>
      <w:r w:rsidR="00C11FFB" w:rsidRPr="00381244">
        <w:rPr>
          <w:rFonts w:ascii="Georgia" w:hAnsi="Georgia" w:cs="Arial"/>
        </w:rPr>
        <w:t xml:space="preserve">n primer lugar, se advierte que </w:t>
      </w:r>
      <w:r w:rsidRPr="00381244">
        <w:rPr>
          <w:rFonts w:ascii="Georgia" w:hAnsi="Georgia" w:cs="Arial"/>
        </w:rPr>
        <w:t xml:space="preserve">se trata de una </w:t>
      </w:r>
      <w:r w:rsidR="00C11FFB" w:rsidRPr="00381244">
        <w:rPr>
          <w:rFonts w:ascii="Georgia" w:hAnsi="Georgia" w:cs="Arial"/>
        </w:rPr>
        <w:t xml:space="preserve">carga económica </w:t>
      </w:r>
      <w:r w:rsidRPr="00381244">
        <w:rPr>
          <w:rFonts w:ascii="Georgia" w:hAnsi="Georgia" w:cs="Arial"/>
        </w:rPr>
        <w:t xml:space="preserve">añeja, originada en el secuestro del bien, y reiterada </w:t>
      </w:r>
      <w:r w:rsidR="0070786A" w:rsidRPr="00381244">
        <w:rPr>
          <w:rFonts w:ascii="Georgia" w:hAnsi="Georgia" w:cs="Arial"/>
        </w:rPr>
        <w:t>con sendos autos del 06-05-2019, 02-07-2019, 16-08-2019 y 20-01-2020</w:t>
      </w:r>
      <w:r w:rsidR="009928FB" w:rsidRPr="00381244">
        <w:rPr>
          <w:rFonts w:ascii="Georgia" w:hAnsi="Georgia" w:cs="Arial"/>
        </w:rPr>
        <w:t xml:space="preserve">, </w:t>
      </w:r>
      <w:r w:rsidR="009928FB" w:rsidRPr="00381244">
        <w:rPr>
          <w:rFonts w:ascii="Georgia" w:hAnsi="Georgia" w:cs="Arial"/>
          <w:i/>
          <w:iCs/>
          <w:u w:val="single"/>
        </w:rPr>
        <w:t>ejecutoriados, sin recursos</w:t>
      </w:r>
      <w:r w:rsidRPr="00381244">
        <w:rPr>
          <w:rFonts w:ascii="Georgia" w:hAnsi="Georgia" w:cs="Arial"/>
        </w:rPr>
        <w:t xml:space="preserve"> (Cuaderno No.1, carpeta expediente digitalizado, cuaderno No.2, pdf No.01, folios 42-44, 52 y 63 y cuaderno No.3, pdf No.01, folio 114)</w:t>
      </w:r>
      <w:r w:rsidR="0070786A" w:rsidRPr="00381244">
        <w:rPr>
          <w:rFonts w:ascii="Georgia" w:hAnsi="Georgia" w:cs="Arial"/>
        </w:rPr>
        <w:t xml:space="preserve">; y, en segundo término, aun cuando </w:t>
      </w:r>
      <w:r w:rsidR="009928FB" w:rsidRPr="00381244">
        <w:rPr>
          <w:rFonts w:ascii="Georgia" w:hAnsi="Georgia" w:cs="Arial"/>
        </w:rPr>
        <w:t xml:space="preserve">el actor </w:t>
      </w:r>
      <w:r w:rsidR="0070786A" w:rsidRPr="00381244">
        <w:rPr>
          <w:rFonts w:ascii="Georgia" w:hAnsi="Georgia" w:cs="Arial"/>
        </w:rPr>
        <w:t xml:space="preserve">recurrió en reposición el </w:t>
      </w:r>
      <w:r w:rsidR="0070205D" w:rsidRPr="00381244">
        <w:rPr>
          <w:rFonts w:ascii="Georgia" w:hAnsi="Georgia" w:cs="Arial"/>
        </w:rPr>
        <w:t xml:space="preserve">último </w:t>
      </w:r>
      <w:r w:rsidR="0070786A" w:rsidRPr="00381244">
        <w:rPr>
          <w:rFonts w:ascii="Georgia" w:hAnsi="Georgia" w:cs="Arial"/>
        </w:rPr>
        <w:t xml:space="preserve">auto </w:t>
      </w:r>
      <w:r w:rsidR="0070205D" w:rsidRPr="00381244">
        <w:rPr>
          <w:rFonts w:ascii="Georgia" w:hAnsi="Georgia" w:cs="Arial"/>
        </w:rPr>
        <w:t xml:space="preserve">afín, </w:t>
      </w:r>
      <w:r w:rsidR="0070786A" w:rsidRPr="00381244">
        <w:rPr>
          <w:rFonts w:ascii="Georgia" w:hAnsi="Georgia" w:cs="Arial"/>
        </w:rPr>
        <w:t xml:space="preserve">del 05-08-2020, </w:t>
      </w:r>
      <w:r w:rsidR="009928FB" w:rsidRPr="00381244">
        <w:rPr>
          <w:rFonts w:ascii="Georgia" w:hAnsi="Georgia" w:cs="Arial"/>
        </w:rPr>
        <w:t xml:space="preserve">desatado </w:t>
      </w:r>
      <w:r w:rsidR="0070786A" w:rsidRPr="00381244">
        <w:rPr>
          <w:rFonts w:ascii="Georgia" w:hAnsi="Georgia" w:cs="Arial"/>
        </w:rPr>
        <w:t xml:space="preserve">con auto del 29-09-2021, </w:t>
      </w:r>
      <w:r w:rsidR="009928FB" w:rsidRPr="00381244">
        <w:rPr>
          <w:rFonts w:ascii="Georgia" w:hAnsi="Georgia" w:cs="Arial"/>
        </w:rPr>
        <w:t xml:space="preserve">es claro que </w:t>
      </w:r>
      <w:r w:rsidR="0070205D" w:rsidRPr="00381244">
        <w:rPr>
          <w:rFonts w:ascii="Georgia" w:hAnsi="Georgia" w:cs="Arial"/>
        </w:rPr>
        <w:t xml:space="preserve">el problema jurídico planteado se fundó en aspectos disímiles </w:t>
      </w:r>
      <w:r w:rsidR="00A96273" w:rsidRPr="00381244">
        <w:rPr>
          <w:rFonts w:ascii="Georgia" w:hAnsi="Georgia" w:cs="Arial"/>
        </w:rPr>
        <w:t xml:space="preserve">a los beneficios que le asisten como </w:t>
      </w:r>
      <w:r w:rsidR="0070786A" w:rsidRPr="00381244">
        <w:rPr>
          <w:rFonts w:ascii="Georgia" w:hAnsi="Georgia" w:cs="Arial"/>
        </w:rPr>
        <w:t>amparado por pobre</w:t>
      </w:r>
      <w:r w:rsidR="00A96273" w:rsidRPr="00381244">
        <w:rPr>
          <w:rFonts w:ascii="Georgia" w:hAnsi="Georgia" w:cs="Arial"/>
        </w:rPr>
        <w:t>,</w:t>
      </w:r>
      <w:r w:rsidR="0070786A" w:rsidRPr="00381244">
        <w:rPr>
          <w:rFonts w:ascii="Georgia" w:hAnsi="Georgia" w:cs="Arial"/>
        </w:rPr>
        <w:t xml:space="preserve"> precisamente el motivo de la queja tutelar. </w:t>
      </w:r>
    </w:p>
    <w:p w14:paraId="7B4F5898" w14:textId="5C04D66D" w:rsidR="0070786A" w:rsidRPr="00381244" w:rsidRDefault="0070786A" w:rsidP="00381244">
      <w:pPr>
        <w:widowControl/>
        <w:spacing w:line="276" w:lineRule="auto"/>
        <w:jc w:val="both"/>
        <w:rPr>
          <w:rFonts w:ascii="Georgia" w:hAnsi="Georgia" w:cs="Arial"/>
        </w:rPr>
      </w:pPr>
    </w:p>
    <w:p w14:paraId="40A2F6E1" w14:textId="334DD049" w:rsidR="0070786A" w:rsidRPr="00381244" w:rsidRDefault="0070205D" w:rsidP="00381244">
      <w:pPr>
        <w:widowControl/>
        <w:spacing w:line="276" w:lineRule="auto"/>
        <w:jc w:val="both"/>
        <w:rPr>
          <w:rFonts w:ascii="Georgia" w:hAnsi="Georgia" w:cs="Arial"/>
        </w:rPr>
      </w:pPr>
      <w:r w:rsidRPr="00381244">
        <w:rPr>
          <w:rFonts w:ascii="Georgia" w:hAnsi="Georgia" w:cs="Arial"/>
        </w:rPr>
        <w:t>L</w:t>
      </w:r>
      <w:r w:rsidR="0070786A" w:rsidRPr="00381244">
        <w:rPr>
          <w:rFonts w:ascii="Georgia" w:hAnsi="Georgia" w:cs="Arial"/>
        </w:rPr>
        <w:t xml:space="preserve">a reposición se fundamentó en tres (3) cuestionamientos: </w:t>
      </w:r>
      <w:r w:rsidR="0070786A" w:rsidRPr="00381244">
        <w:rPr>
          <w:rFonts w:ascii="Georgia" w:hAnsi="Georgia" w:cs="Arial"/>
          <w:b/>
          <w:bCs/>
        </w:rPr>
        <w:t>(i)</w:t>
      </w:r>
      <w:r w:rsidR="0070786A" w:rsidRPr="00381244">
        <w:rPr>
          <w:rFonts w:ascii="Georgia" w:hAnsi="Georgia" w:cs="Arial"/>
        </w:rPr>
        <w:t xml:space="preserve"> No existe norma alguna que imponga el deber de pagar </w:t>
      </w:r>
      <w:r w:rsidR="001F5A01" w:rsidRPr="00381244">
        <w:rPr>
          <w:rFonts w:ascii="Georgia" w:hAnsi="Georgia" w:cs="Arial"/>
        </w:rPr>
        <w:t xml:space="preserve">el parqueadero </w:t>
      </w:r>
      <w:r w:rsidR="0070786A" w:rsidRPr="00381244">
        <w:rPr>
          <w:rFonts w:ascii="Georgia" w:hAnsi="Georgia" w:cs="Arial"/>
          <w:i/>
          <w:iCs/>
        </w:rPr>
        <w:t>“</w:t>
      </w:r>
      <w:r w:rsidR="0070786A" w:rsidRPr="006C76E6">
        <w:rPr>
          <w:rFonts w:ascii="Georgia" w:hAnsi="Georgia" w:cs="Arial"/>
          <w:i/>
          <w:iCs/>
          <w:sz w:val="22"/>
        </w:rPr>
        <w:t>(…) al no reunirse los presupuestos y etapas procesales del artículo 4º de la Ley 1564 (…); al no existir una condena en costas (…) se debe garantizar el principio de gratuidad (…)</w:t>
      </w:r>
      <w:r w:rsidR="0070786A" w:rsidRPr="00381244">
        <w:rPr>
          <w:rFonts w:ascii="Georgia" w:hAnsi="Georgia" w:cs="Arial"/>
          <w:i/>
          <w:iCs/>
        </w:rPr>
        <w:t>”</w:t>
      </w:r>
      <w:r w:rsidR="0070786A" w:rsidRPr="00381244">
        <w:rPr>
          <w:rFonts w:ascii="Georgia" w:hAnsi="Georgia" w:cs="Arial"/>
        </w:rPr>
        <w:t xml:space="preserve">; </w:t>
      </w:r>
      <w:r w:rsidR="0070786A" w:rsidRPr="00381244">
        <w:rPr>
          <w:rFonts w:ascii="Georgia" w:hAnsi="Georgia" w:cs="Arial"/>
          <w:b/>
          <w:bCs/>
        </w:rPr>
        <w:t>(ii)</w:t>
      </w:r>
      <w:r w:rsidR="0070786A" w:rsidRPr="00381244">
        <w:rPr>
          <w:rFonts w:ascii="Georgia" w:hAnsi="Georgia" w:cs="Arial"/>
        </w:rPr>
        <w:t xml:space="preserve"> Las autoridades de tránsito no pueden retener vehículos </w:t>
      </w:r>
      <w:r w:rsidRPr="00381244">
        <w:rPr>
          <w:rFonts w:ascii="Georgia" w:hAnsi="Georgia" w:cs="Arial"/>
        </w:rPr>
        <w:t xml:space="preserve">y menos los particulares que prestan el servicio de parqueadero (C-1408/2000); y, </w:t>
      </w:r>
      <w:r w:rsidRPr="00381244">
        <w:rPr>
          <w:rFonts w:ascii="Georgia" w:hAnsi="Georgia" w:cs="Arial"/>
          <w:b/>
          <w:bCs/>
        </w:rPr>
        <w:t>(iii)</w:t>
      </w:r>
      <w:r w:rsidRPr="00381244">
        <w:rPr>
          <w:rFonts w:ascii="Georgia" w:hAnsi="Georgia" w:cs="Arial"/>
        </w:rPr>
        <w:t xml:space="preserve"> El actor no puede pagar porque </w:t>
      </w:r>
      <w:r w:rsidRPr="00381244">
        <w:rPr>
          <w:rFonts w:ascii="Georgia" w:hAnsi="Georgia" w:cs="Arial"/>
          <w:i/>
          <w:iCs/>
        </w:rPr>
        <w:t>“</w:t>
      </w:r>
      <w:r w:rsidRPr="006C76E6">
        <w:rPr>
          <w:rFonts w:ascii="Georgia" w:hAnsi="Georgia" w:cs="Arial"/>
          <w:i/>
          <w:iCs/>
          <w:sz w:val="22"/>
        </w:rPr>
        <w:t>(…) la emergencia sanitaria derivada del COVID 19 le ha impedido la consecución de recursos económicos (…)</w:t>
      </w:r>
      <w:r w:rsidRPr="00381244">
        <w:rPr>
          <w:rFonts w:ascii="Georgia" w:hAnsi="Georgia" w:cs="Arial"/>
          <w:i/>
          <w:iCs/>
        </w:rPr>
        <w:t>”</w:t>
      </w:r>
      <w:r w:rsidRPr="00381244">
        <w:rPr>
          <w:rFonts w:ascii="Georgia" w:hAnsi="Georgia" w:cs="Arial"/>
        </w:rPr>
        <w:t xml:space="preserve"> (Cuaderno No.1, carpeta expediente digitalizado, cuaderno No.3, pdf No.</w:t>
      </w:r>
      <w:r w:rsidR="002724E6" w:rsidRPr="00381244">
        <w:rPr>
          <w:rFonts w:ascii="Georgia" w:hAnsi="Georgia" w:cs="Arial"/>
        </w:rPr>
        <w:t>0</w:t>
      </w:r>
      <w:r w:rsidRPr="00381244">
        <w:rPr>
          <w:rFonts w:ascii="Georgia" w:hAnsi="Georgia" w:cs="Arial"/>
        </w:rPr>
        <w:t>3).</w:t>
      </w:r>
    </w:p>
    <w:p w14:paraId="013EE7C1" w14:textId="654D7E03" w:rsidR="0070205D" w:rsidRPr="00381244" w:rsidRDefault="0070205D" w:rsidP="00381244">
      <w:pPr>
        <w:widowControl/>
        <w:spacing w:line="276" w:lineRule="auto"/>
        <w:jc w:val="both"/>
        <w:rPr>
          <w:rFonts w:ascii="Georgia" w:hAnsi="Georgia" w:cs="Arial"/>
        </w:rPr>
      </w:pPr>
    </w:p>
    <w:p w14:paraId="20D8FDA4" w14:textId="77777777" w:rsidR="0097412C" w:rsidRPr="00381244" w:rsidRDefault="0070205D" w:rsidP="00381244">
      <w:pPr>
        <w:widowControl/>
        <w:spacing w:line="276" w:lineRule="auto"/>
        <w:jc w:val="both"/>
        <w:rPr>
          <w:rFonts w:ascii="Georgia" w:hAnsi="Georgia" w:cs="Arial"/>
        </w:rPr>
      </w:pPr>
      <w:r w:rsidRPr="00381244">
        <w:rPr>
          <w:rFonts w:ascii="Georgia" w:hAnsi="Georgia" w:cs="Arial"/>
        </w:rPr>
        <w:t xml:space="preserve">La funcionaria </w:t>
      </w:r>
      <w:r w:rsidR="00A96273" w:rsidRPr="00381244">
        <w:rPr>
          <w:rFonts w:ascii="Georgia" w:hAnsi="Georgia" w:cs="Arial"/>
        </w:rPr>
        <w:t>resolvió</w:t>
      </w:r>
      <w:r w:rsidRPr="00381244">
        <w:rPr>
          <w:rFonts w:ascii="Georgia" w:hAnsi="Georgia" w:cs="Arial"/>
        </w:rPr>
        <w:t xml:space="preserve"> el recurso y mantuvo incólume su decisión porque es falso que el demandado no esté en la obligación de asumir el pago de los gastos de parqueadero, según los artículos 167, Ley 769 y 5º, Acuerdo No.2586/2004 del CSJ; y, </w:t>
      </w:r>
      <w:r w:rsidRPr="00381244">
        <w:rPr>
          <w:rFonts w:ascii="Georgia" w:hAnsi="Georgia" w:cs="Arial"/>
          <w:u w:val="single"/>
        </w:rPr>
        <w:t>es una carga antigua, impuesta con reiterados autos</w:t>
      </w:r>
      <w:r w:rsidR="002724E6" w:rsidRPr="00381244">
        <w:rPr>
          <w:rFonts w:ascii="Georgia" w:hAnsi="Georgia" w:cs="Arial"/>
        </w:rPr>
        <w:t xml:space="preserve"> (Cuaderno No.1, carpeta expediente digitalizado, cuaderno No.3, pdf No.07)</w:t>
      </w:r>
      <w:r w:rsidRPr="00381244">
        <w:rPr>
          <w:rFonts w:ascii="Georgia" w:hAnsi="Georgia" w:cs="Arial"/>
        </w:rPr>
        <w:t xml:space="preserve">. </w:t>
      </w:r>
      <w:r w:rsidR="009928FB" w:rsidRPr="00381244">
        <w:rPr>
          <w:rFonts w:ascii="Georgia" w:hAnsi="Georgia" w:cs="Arial"/>
        </w:rPr>
        <w:t>Cierto es que n</w:t>
      </w:r>
      <w:r w:rsidRPr="00381244">
        <w:rPr>
          <w:rFonts w:ascii="Georgia" w:hAnsi="Georgia" w:cs="Arial"/>
        </w:rPr>
        <w:t xml:space="preserve">ingún pronunciamiento </w:t>
      </w:r>
      <w:r w:rsidR="001F5A01" w:rsidRPr="00381244">
        <w:rPr>
          <w:rFonts w:ascii="Georgia" w:hAnsi="Georgia" w:cs="Arial"/>
        </w:rPr>
        <w:t xml:space="preserve">realizó sobre </w:t>
      </w:r>
      <w:r w:rsidRPr="00381244">
        <w:rPr>
          <w:rFonts w:ascii="Georgia" w:hAnsi="Georgia" w:cs="Arial"/>
        </w:rPr>
        <w:t>el amparo de pobreza</w:t>
      </w:r>
      <w:r w:rsidR="009928FB" w:rsidRPr="00381244">
        <w:rPr>
          <w:rFonts w:ascii="Georgia" w:hAnsi="Georgia" w:cs="Arial"/>
        </w:rPr>
        <w:t xml:space="preserve">; </w:t>
      </w:r>
      <w:r w:rsidRPr="00381244">
        <w:rPr>
          <w:rFonts w:ascii="Georgia" w:hAnsi="Georgia" w:cs="Arial"/>
        </w:rPr>
        <w:t xml:space="preserve">sin embargo, </w:t>
      </w:r>
      <w:r w:rsidR="009928FB" w:rsidRPr="00381244">
        <w:rPr>
          <w:rFonts w:ascii="Georgia" w:hAnsi="Georgia" w:cs="Arial"/>
        </w:rPr>
        <w:t xml:space="preserve">inviable es </w:t>
      </w:r>
      <w:r w:rsidRPr="00381244">
        <w:rPr>
          <w:rFonts w:ascii="Georgia" w:hAnsi="Georgia" w:cs="Arial"/>
        </w:rPr>
        <w:t>censurar el silencio</w:t>
      </w:r>
      <w:r w:rsidR="009928FB" w:rsidRPr="00381244">
        <w:rPr>
          <w:rFonts w:ascii="Georgia" w:hAnsi="Georgia" w:cs="Arial"/>
        </w:rPr>
        <w:t xml:space="preserve">, habida cuenta de que devino de </w:t>
      </w:r>
      <w:r w:rsidRPr="00381244">
        <w:rPr>
          <w:rFonts w:ascii="Georgia" w:hAnsi="Georgia" w:cs="Arial"/>
        </w:rPr>
        <w:t xml:space="preserve">la </w:t>
      </w:r>
      <w:r w:rsidR="009928FB" w:rsidRPr="00381244">
        <w:rPr>
          <w:rFonts w:ascii="Georgia" w:hAnsi="Georgia" w:cs="Arial"/>
        </w:rPr>
        <w:t xml:space="preserve">ausencia del alegato </w:t>
      </w:r>
      <w:r w:rsidRPr="00381244">
        <w:rPr>
          <w:rFonts w:ascii="Georgia" w:hAnsi="Georgia" w:cs="Arial"/>
        </w:rPr>
        <w:t>del recurrente</w:t>
      </w:r>
      <w:r w:rsidR="00A96273" w:rsidRPr="00381244">
        <w:rPr>
          <w:rFonts w:ascii="Georgia" w:hAnsi="Georgia" w:cs="Arial"/>
        </w:rPr>
        <w:t>, desconocía los motivos de la controversia que ahora ventila en sede de tutela</w:t>
      </w:r>
      <w:r w:rsidRPr="00381244">
        <w:rPr>
          <w:rFonts w:ascii="Georgia" w:hAnsi="Georgia" w:cs="Arial"/>
        </w:rPr>
        <w:t xml:space="preserve">. </w:t>
      </w:r>
    </w:p>
    <w:p w14:paraId="41177193" w14:textId="36A7CFB4" w:rsidR="0097412C" w:rsidRPr="00381244" w:rsidRDefault="0097412C" w:rsidP="00381244">
      <w:pPr>
        <w:widowControl/>
        <w:spacing w:line="276" w:lineRule="auto"/>
        <w:jc w:val="both"/>
        <w:rPr>
          <w:rFonts w:ascii="Georgia" w:hAnsi="Georgia" w:cs="Arial"/>
        </w:rPr>
      </w:pPr>
    </w:p>
    <w:p w14:paraId="1CFE7EF1" w14:textId="77777777" w:rsidR="0097412C" w:rsidRPr="00381244" w:rsidRDefault="0097412C" w:rsidP="00381244">
      <w:pPr>
        <w:pStyle w:val="Textoindependiente"/>
        <w:spacing w:line="276" w:lineRule="auto"/>
        <w:rPr>
          <w:rFonts w:ascii="Georgia" w:hAnsi="Georgia"/>
          <w:szCs w:val="24"/>
          <w:lang w:val="es-ES"/>
        </w:rPr>
      </w:pPr>
      <w:r w:rsidRPr="00381244">
        <w:rPr>
          <w:rFonts w:ascii="Georgia" w:hAnsi="Georgia"/>
          <w:szCs w:val="24"/>
          <w:lang w:val="es-ES"/>
        </w:rPr>
        <w:t>Como</w:t>
      </w:r>
      <w:r w:rsidRPr="00381244">
        <w:rPr>
          <w:rFonts w:ascii="Georgia" w:hAnsi="Georgia"/>
          <w:szCs w:val="24"/>
          <w:lang w:val="es-CO"/>
        </w:rPr>
        <w:t xml:space="preserve">: </w:t>
      </w:r>
      <w:r w:rsidRPr="00381244">
        <w:rPr>
          <w:rFonts w:ascii="Georgia" w:hAnsi="Georgia"/>
          <w:i/>
          <w:iCs/>
          <w:szCs w:val="24"/>
          <w:lang w:val="es-CO"/>
        </w:rPr>
        <w:t>“</w:t>
      </w:r>
      <w:r w:rsidRPr="006C76E6">
        <w:rPr>
          <w:rFonts w:ascii="Georgia" w:hAnsi="Georgia"/>
          <w:i/>
          <w:iCs/>
          <w:sz w:val="22"/>
          <w:szCs w:val="24"/>
          <w:lang w:val="es-CO"/>
        </w:rPr>
        <w:t>(…) los temas referidos no fueron puestos en consideración (…), de ahí que no puedan hacerse extensivos dichos reclamos al juez constitucional (…)</w:t>
      </w:r>
      <w:r w:rsidRPr="00381244">
        <w:rPr>
          <w:rFonts w:ascii="Georgia" w:hAnsi="Georgia"/>
          <w:i/>
          <w:iCs/>
          <w:szCs w:val="24"/>
          <w:lang w:val="es-CO"/>
        </w:rPr>
        <w:t xml:space="preserve">” </w:t>
      </w:r>
      <w:r w:rsidRPr="00381244">
        <w:rPr>
          <w:rFonts w:ascii="Georgia" w:hAnsi="Georgia"/>
          <w:szCs w:val="24"/>
          <w:lang w:val="es-CO"/>
        </w:rPr>
        <w:t>(2021)</w:t>
      </w:r>
      <w:r w:rsidRPr="00381244">
        <w:rPr>
          <w:rFonts w:ascii="Georgia" w:hAnsi="Georgia"/>
          <w:szCs w:val="24"/>
          <w:vertAlign w:val="superscript"/>
          <w:lang w:val="es-CO"/>
        </w:rPr>
        <w:footnoteReference w:id="16"/>
      </w:r>
      <w:r w:rsidRPr="00381244">
        <w:rPr>
          <w:rFonts w:ascii="Georgia" w:hAnsi="Georgia"/>
          <w:szCs w:val="24"/>
          <w:lang w:val="es-CO"/>
        </w:rPr>
        <w:t>. Imposible que el juez constitucional se inmiscuya en asuntos de competencia exclusiva de la funcionaria accionada, tampoco que realice un juicio de validez sobre decisiones añejas, en firme</w:t>
      </w:r>
      <w:r w:rsidRPr="00381244">
        <w:rPr>
          <w:rFonts w:ascii="Georgia" w:hAnsi="Georgia"/>
          <w:szCs w:val="24"/>
          <w:u w:val="single"/>
          <w:lang w:val="es-CO"/>
        </w:rPr>
        <w:t>, y menos respecto de reciente providencia en la que era imposible para la jueza resolver el problema jurídico aquí planteado ante la inexistencia de cuestionamiento semejante propuesto por el interesado</w:t>
      </w:r>
      <w:r w:rsidRPr="00381244">
        <w:rPr>
          <w:rFonts w:ascii="Georgia" w:hAnsi="Georgia"/>
          <w:szCs w:val="24"/>
          <w:lang w:val="es-CO"/>
        </w:rPr>
        <w:t xml:space="preserve">. </w:t>
      </w:r>
    </w:p>
    <w:p w14:paraId="1BDC928B" w14:textId="464B207B" w:rsidR="0070205D" w:rsidRPr="00381244" w:rsidRDefault="0070205D" w:rsidP="00381244">
      <w:pPr>
        <w:widowControl/>
        <w:spacing w:line="276" w:lineRule="auto"/>
        <w:jc w:val="both"/>
        <w:rPr>
          <w:rFonts w:ascii="Georgia" w:hAnsi="Georgia" w:cs="Arial"/>
        </w:rPr>
      </w:pPr>
    </w:p>
    <w:p w14:paraId="1FFF5DEF" w14:textId="7705DACD" w:rsidR="0097412C" w:rsidRPr="00381244" w:rsidRDefault="002724E6" w:rsidP="00381244">
      <w:pPr>
        <w:pStyle w:val="Textoindependiente"/>
        <w:spacing w:line="276" w:lineRule="auto"/>
        <w:rPr>
          <w:rFonts w:ascii="Georgia" w:hAnsi="Georgia"/>
          <w:szCs w:val="24"/>
          <w:lang w:val="es-ES"/>
        </w:rPr>
      </w:pPr>
      <w:r w:rsidRPr="00381244">
        <w:rPr>
          <w:rFonts w:ascii="Georgia" w:hAnsi="Georgia"/>
          <w:szCs w:val="24"/>
        </w:rPr>
        <w:lastRenderedPageBreak/>
        <w:t xml:space="preserve">Es rigurosa la comprobación del presupuesto, puesto que es inexistente alegato o prueba de circunstancia especial alguna que la flexibilice. No es </w:t>
      </w:r>
      <w:r w:rsidRPr="00381244">
        <w:rPr>
          <w:rFonts w:ascii="Georgia" w:hAnsi="Georgia" w:cs="Arial"/>
          <w:szCs w:val="24"/>
          <w:lang w:val="es-CO"/>
        </w:rPr>
        <w:t>una persona necesitada de protección reforzada</w:t>
      </w:r>
      <w:r w:rsidRPr="00381244">
        <w:rPr>
          <w:rStyle w:val="Refdenotaalpie"/>
          <w:rFonts w:ascii="Georgia" w:hAnsi="Georgia"/>
          <w:szCs w:val="24"/>
          <w:lang w:val="es-CO"/>
        </w:rPr>
        <w:footnoteReference w:id="17"/>
      </w:r>
      <w:r w:rsidRPr="00381244">
        <w:rPr>
          <w:rFonts w:ascii="Georgia" w:hAnsi="Georgia" w:cs="Arial"/>
          <w:szCs w:val="24"/>
          <w:lang w:val="es-CO"/>
        </w:rPr>
        <w:t xml:space="preserve">; los instrumentos referidos eran eficaces e idóneos para </w:t>
      </w:r>
      <w:r w:rsidRPr="00381244">
        <w:rPr>
          <w:rFonts w:ascii="Georgia" w:hAnsi="Georgia"/>
          <w:szCs w:val="24"/>
        </w:rPr>
        <w:t>zanjar</w:t>
      </w:r>
      <w:r w:rsidRPr="00381244">
        <w:rPr>
          <w:rFonts w:ascii="Georgia" w:hAnsi="Georgia" w:cs="Arial"/>
          <w:szCs w:val="24"/>
          <w:lang w:val="es-CO"/>
        </w:rPr>
        <w:t xml:space="preserve"> la controversia</w:t>
      </w:r>
      <w:r w:rsidR="009928FB" w:rsidRPr="00381244">
        <w:rPr>
          <w:rFonts w:ascii="Georgia" w:hAnsi="Georgia" w:cs="Arial"/>
          <w:szCs w:val="24"/>
          <w:lang w:val="es-CO"/>
        </w:rPr>
        <w:t xml:space="preserve"> y </w:t>
      </w:r>
      <w:r w:rsidR="009928FB" w:rsidRPr="00381244">
        <w:rPr>
          <w:rFonts w:ascii="Georgia" w:hAnsi="Georgia" w:cs="Arial"/>
          <w:szCs w:val="24"/>
          <w:u w:val="single"/>
          <w:lang w:val="es-CO"/>
        </w:rPr>
        <w:t xml:space="preserve">aún puede </w:t>
      </w:r>
      <w:r w:rsidR="00A96273" w:rsidRPr="00381244">
        <w:rPr>
          <w:rFonts w:ascii="Georgia" w:hAnsi="Georgia" w:cs="Arial"/>
          <w:szCs w:val="24"/>
          <w:u w:val="single"/>
          <w:lang w:val="es-CO"/>
        </w:rPr>
        <w:t>solicitar a la jueza que lo exima del pago de las expensas como amparado por pobre</w:t>
      </w:r>
      <w:r w:rsidRPr="00381244">
        <w:rPr>
          <w:rFonts w:ascii="Georgia" w:hAnsi="Georgia" w:cs="Arial"/>
          <w:szCs w:val="24"/>
          <w:lang w:val="es-CO"/>
        </w:rPr>
        <w:t>; tampoco probó que fuera inminente la ocurrencia de un perjuicio irremediable</w:t>
      </w:r>
      <w:r w:rsidRPr="00381244">
        <w:rPr>
          <w:rStyle w:val="Refdenotaalpie"/>
          <w:rFonts w:ascii="Georgia" w:hAnsi="Georgia"/>
          <w:szCs w:val="24"/>
          <w:lang w:val="es-CO"/>
        </w:rPr>
        <w:footnoteReference w:id="18"/>
      </w:r>
      <w:r w:rsidRPr="00381244">
        <w:rPr>
          <w:rFonts w:ascii="Georgia" w:hAnsi="Georgia" w:cs="Arial"/>
          <w:szCs w:val="24"/>
          <w:lang w:val="es-CO"/>
        </w:rPr>
        <w:t xml:space="preserve">; y, cuenta con la asistencia del profesional del derecho designado por el juzgado. </w:t>
      </w:r>
      <w:r w:rsidRPr="00381244">
        <w:rPr>
          <w:rFonts w:ascii="Georgia" w:hAnsi="Georgia"/>
          <w:szCs w:val="24"/>
        </w:rPr>
        <w:t xml:space="preserve"> Se declarará improcedente el amparo.</w:t>
      </w:r>
      <w:r w:rsidR="0097412C" w:rsidRPr="00381244">
        <w:rPr>
          <w:rFonts w:ascii="Georgia" w:hAnsi="Georgia"/>
          <w:szCs w:val="24"/>
        </w:rPr>
        <w:t xml:space="preserve"> </w:t>
      </w:r>
    </w:p>
    <w:p w14:paraId="2846ED91" w14:textId="4DDE5116" w:rsidR="002724E6" w:rsidRPr="00381244" w:rsidRDefault="002724E6" w:rsidP="00381244">
      <w:pPr>
        <w:pStyle w:val="Textoindependiente"/>
        <w:spacing w:line="276" w:lineRule="auto"/>
        <w:rPr>
          <w:rFonts w:ascii="Georgia" w:hAnsi="Georgia" w:cs="Arial"/>
          <w:szCs w:val="24"/>
          <w:lang w:val="es-ES"/>
        </w:rPr>
      </w:pPr>
    </w:p>
    <w:p w14:paraId="40C05ACE" w14:textId="77777777" w:rsidR="0091345B" w:rsidRPr="00381244" w:rsidRDefault="0091345B" w:rsidP="00381244">
      <w:pPr>
        <w:spacing w:line="276" w:lineRule="auto"/>
        <w:jc w:val="both"/>
        <w:rPr>
          <w:rFonts w:ascii="Georgia" w:hAnsi="Georgia" w:cs="Arial"/>
        </w:rPr>
      </w:pPr>
      <w:r w:rsidRPr="00381244">
        <w:rPr>
          <w:rFonts w:ascii="Georgia" w:hAnsi="Georgia" w:cs="Arial"/>
        </w:rPr>
        <w:t>En</w:t>
      </w:r>
      <w:r w:rsidR="00C27377" w:rsidRPr="00381244">
        <w:rPr>
          <w:rFonts w:ascii="Georgia" w:hAnsi="Georgia" w:cs="Arial"/>
        </w:rPr>
        <w:t xml:space="preserve"> </w:t>
      </w:r>
      <w:r w:rsidRPr="00381244">
        <w:rPr>
          <w:rFonts w:ascii="Georgia" w:hAnsi="Georgia" w:cs="Arial"/>
        </w:rPr>
        <w:t xml:space="preserve">mérito de lo expuesto, el </w:t>
      </w:r>
      <w:r w:rsidRPr="00381244">
        <w:rPr>
          <w:rFonts w:ascii="Georgia" w:hAnsi="Georgia" w:cs="Arial"/>
          <w:bCs/>
          <w:smallCaps/>
        </w:rPr>
        <w:t>Tribunal Superior del Distrito Judicial de Pereira, Sala de Decisión Civil -Familia</w:t>
      </w:r>
      <w:r w:rsidRPr="00381244">
        <w:rPr>
          <w:rFonts w:ascii="Georgia" w:hAnsi="Georgia" w:cs="Arial"/>
        </w:rPr>
        <w:t>, administrando Justicia en nombre de la República de Colombia y por autoridad de la Ley,</w:t>
      </w:r>
    </w:p>
    <w:p w14:paraId="2E68643C" w14:textId="77777777" w:rsidR="00B25148" w:rsidRPr="00381244" w:rsidRDefault="00B25148" w:rsidP="00381244">
      <w:pPr>
        <w:pStyle w:val="Textoindependiente"/>
        <w:tabs>
          <w:tab w:val="left" w:pos="3155"/>
          <w:tab w:val="center" w:pos="4703"/>
        </w:tabs>
        <w:spacing w:line="276" w:lineRule="auto"/>
        <w:jc w:val="center"/>
        <w:rPr>
          <w:rFonts w:ascii="Georgia" w:hAnsi="Georgia" w:cs="Arial"/>
          <w:bCs/>
          <w:smallCaps/>
          <w:szCs w:val="24"/>
        </w:rPr>
      </w:pPr>
    </w:p>
    <w:p w14:paraId="75DA0BA3" w14:textId="77777777" w:rsidR="00853A03" w:rsidRPr="00381244" w:rsidRDefault="00853A03" w:rsidP="00381244">
      <w:pPr>
        <w:pStyle w:val="Textoindependiente"/>
        <w:tabs>
          <w:tab w:val="left" w:pos="3155"/>
          <w:tab w:val="center" w:pos="4703"/>
        </w:tabs>
        <w:spacing w:line="276" w:lineRule="auto"/>
        <w:jc w:val="center"/>
        <w:rPr>
          <w:rFonts w:ascii="Georgia" w:hAnsi="Georgia" w:cs="Arial"/>
          <w:bCs/>
          <w:smallCaps/>
          <w:szCs w:val="24"/>
        </w:rPr>
      </w:pPr>
      <w:r w:rsidRPr="00381244">
        <w:rPr>
          <w:rFonts w:ascii="Georgia" w:hAnsi="Georgia" w:cs="Arial"/>
          <w:bCs/>
          <w:smallCaps/>
          <w:szCs w:val="24"/>
        </w:rPr>
        <w:t xml:space="preserve">F A L </w:t>
      </w:r>
      <w:proofErr w:type="spellStart"/>
      <w:r w:rsidRPr="00381244">
        <w:rPr>
          <w:rFonts w:ascii="Georgia" w:hAnsi="Georgia" w:cs="Arial"/>
          <w:bCs/>
          <w:smallCaps/>
          <w:szCs w:val="24"/>
        </w:rPr>
        <w:t>L</w:t>
      </w:r>
      <w:proofErr w:type="spellEnd"/>
      <w:r w:rsidRPr="00381244">
        <w:rPr>
          <w:rFonts w:ascii="Georgia" w:hAnsi="Georgia" w:cs="Arial"/>
          <w:bCs/>
          <w:smallCaps/>
          <w:szCs w:val="24"/>
        </w:rPr>
        <w:t xml:space="preserve"> A</w:t>
      </w:r>
    </w:p>
    <w:p w14:paraId="48FD751C" w14:textId="77777777" w:rsidR="00785FA3" w:rsidRPr="00381244" w:rsidRDefault="00785FA3" w:rsidP="00381244">
      <w:pPr>
        <w:pStyle w:val="Textoindependiente"/>
        <w:spacing w:line="276" w:lineRule="auto"/>
        <w:jc w:val="center"/>
        <w:rPr>
          <w:rFonts w:ascii="Georgia" w:hAnsi="Georgia"/>
          <w:bCs/>
          <w:smallCaps/>
          <w:szCs w:val="24"/>
          <w:lang w:val="es-419"/>
        </w:rPr>
      </w:pPr>
    </w:p>
    <w:p w14:paraId="431DB1AD" w14:textId="3AAC6123" w:rsidR="003F69BC" w:rsidRPr="00381244" w:rsidRDefault="002724E6" w:rsidP="00381244">
      <w:pPr>
        <w:pStyle w:val="Textoindependiente"/>
        <w:numPr>
          <w:ilvl w:val="0"/>
          <w:numId w:val="6"/>
        </w:numPr>
        <w:tabs>
          <w:tab w:val="clear" w:pos="720"/>
        </w:tabs>
        <w:spacing w:line="276" w:lineRule="auto"/>
        <w:ind w:left="426" w:hanging="426"/>
        <w:rPr>
          <w:rFonts w:ascii="Georgia" w:hAnsi="Georgia" w:cs="Arial"/>
          <w:szCs w:val="24"/>
        </w:rPr>
      </w:pPr>
      <w:r w:rsidRPr="00381244">
        <w:rPr>
          <w:rFonts w:ascii="Georgia" w:hAnsi="Georgia" w:cs="Arial"/>
          <w:szCs w:val="24"/>
        </w:rPr>
        <w:t>MODIFICAR</w:t>
      </w:r>
      <w:r w:rsidR="00F030E3" w:rsidRPr="00381244">
        <w:rPr>
          <w:rFonts w:ascii="Georgia" w:hAnsi="Georgia" w:cs="Arial"/>
          <w:szCs w:val="24"/>
        </w:rPr>
        <w:t xml:space="preserve"> </w:t>
      </w:r>
      <w:r w:rsidR="00785FA3" w:rsidRPr="00381244">
        <w:rPr>
          <w:rFonts w:ascii="Georgia" w:hAnsi="Georgia" w:cs="Arial"/>
          <w:szCs w:val="24"/>
        </w:rPr>
        <w:t>la sentencia proferida por el</w:t>
      </w:r>
      <w:r w:rsidR="00B25148" w:rsidRPr="00381244">
        <w:rPr>
          <w:rFonts w:ascii="Georgia" w:hAnsi="Georgia" w:cs="Arial"/>
          <w:szCs w:val="24"/>
        </w:rPr>
        <w:t xml:space="preserve"> </w:t>
      </w:r>
      <w:r w:rsidR="00F030E3" w:rsidRPr="00381244">
        <w:rPr>
          <w:rFonts w:ascii="Georgia" w:hAnsi="Georgia" w:cs="Arial"/>
          <w:szCs w:val="24"/>
        </w:rPr>
        <w:t xml:space="preserve">Juzgado </w:t>
      </w:r>
      <w:r w:rsidRPr="00381244">
        <w:rPr>
          <w:rFonts w:ascii="Georgia" w:hAnsi="Georgia" w:cs="Arial"/>
          <w:szCs w:val="24"/>
        </w:rPr>
        <w:t xml:space="preserve">3º </w:t>
      </w:r>
      <w:r w:rsidR="00F030E3" w:rsidRPr="00381244">
        <w:rPr>
          <w:rFonts w:ascii="Georgia" w:hAnsi="Georgia" w:cs="Arial"/>
          <w:szCs w:val="24"/>
        </w:rPr>
        <w:t>Civil del Circuito de Pereira</w:t>
      </w:r>
      <w:r w:rsidRPr="00381244">
        <w:rPr>
          <w:rFonts w:ascii="Georgia" w:hAnsi="Georgia" w:cs="Arial"/>
          <w:szCs w:val="24"/>
        </w:rPr>
        <w:t xml:space="preserve">, para DECLARAR improcedente el amparo presentado por el señor </w:t>
      </w:r>
      <w:r w:rsidRPr="00381244">
        <w:rPr>
          <w:rFonts w:ascii="Georgia" w:hAnsi="Georgia" w:cs="Arial"/>
          <w:szCs w:val="24"/>
          <w:lang w:val="es-ES"/>
        </w:rPr>
        <w:t>Danilo Mejía Duque contra el Juzgado 1º Civil Municipal local, por carecer de subsidiariedad</w:t>
      </w:r>
      <w:r w:rsidR="00F030E3" w:rsidRPr="00381244">
        <w:rPr>
          <w:rFonts w:ascii="Georgia" w:hAnsi="Georgia" w:cs="Arial"/>
          <w:szCs w:val="24"/>
        </w:rPr>
        <w:t>.</w:t>
      </w:r>
    </w:p>
    <w:p w14:paraId="672252A9" w14:textId="77777777" w:rsidR="003F69BC" w:rsidRPr="00381244" w:rsidRDefault="003F69BC" w:rsidP="00381244">
      <w:pPr>
        <w:pStyle w:val="Textoindependiente"/>
        <w:tabs>
          <w:tab w:val="clear" w:pos="708"/>
        </w:tabs>
        <w:spacing w:line="276" w:lineRule="auto"/>
        <w:ind w:left="426"/>
        <w:rPr>
          <w:rFonts w:ascii="Georgia" w:hAnsi="Georgia" w:cs="Arial"/>
          <w:szCs w:val="24"/>
        </w:rPr>
      </w:pPr>
    </w:p>
    <w:p w14:paraId="625F0C69" w14:textId="77777777" w:rsidR="00381244" w:rsidRPr="00381244" w:rsidRDefault="00785FA3" w:rsidP="00381244">
      <w:pPr>
        <w:pStyle w:val="Textoindependiente"/>
        <w:numPr>
          <w:ilvl w:val="0"/>
          <w:numId w:val="6"/>
        </w:numPr>
        <w:tabs>
          <w:tab w:val="clear" w:pos="720"/>
        </w:tabs>
        <w:spacing w:line="276" w:lineRule="auto"/>
        <w:ind w:left="426" w:hanging="426"/>
        <w:rPr>
          <w:rFonts w:ascii="Georgia" w:hAnsi="Georgia" w:cs="Arial"/>
          <w:szCs w:val="24"/>
        </w:rPr>
      </w:pPr>
      <w:r w:rsidRPr="00381244">
        <w:rPr>
          <w:rFonts w:ascii="Georgia" w:hAnsi="Georgia"/>
          <w:szCs w:val="24"/>
          <w:lang w:val="es-419"/>
        </w:rPr>
        <w:t>REMITIR este expediente, a la CC para su eventual revisión.</w:t>
      </w:r>
    </w:p>
    <w:p w14:paraId="736BF9B3" w14:textId="77777777" w:rsidR="00381244" w:rsidRDefault="00381244" w:rsidP="00381244">
      <w:pPr>
        <w:pStyle w:val="Prrafodelista"/>
        <w:rPr>
          <w:rFonts w:ascii="Georgia" w:hAnsi="Georgia"/>
          <w:w w:val="150"/>
          <w:lang w:val="es-419"/>
        </w:rPr>
      </w:pPr>
    </w:p>
    <w:p w14:paraId="0CDFB31B" w14:textId="1E5FF5A2" w:rsidR="00785FA3" w:rsidRPr="00381244" w:rsidRDefault="00EB29A8" w:rsidP="00381244">
      <w:pPr>
        <w:pStyle w:val="Textoindependiente"/>
        <w:tabs>
          <w:tab w:val="clear" w:pos="708"/>
        </w:tabs>
        <w:spacing w:line="276" w:lineRule="auto"/>
        <w:rPr>
          <w:rFonts w:ascii="Georgia" w:hAnsi="Georgia" w:cs="Arial"/>
          <w:szCs w:val="24"/>
        </w:rPr>
      </w:pPr>
      <w:r w:rsidRPr="00381244">
        <w:rPr>
          <w:rFonts w:ascii="Georgia" w:hAnsi="Georgia"/>
          <w:w w:val="150"/>
          <w:szCs w:val="24"/>
          <w:lang w:val="es-419"/>
        </w:rPr>
        <w:t xml:space="preserve"> </w:t>
      </w:r>
    </w:p>
    <w:p w14:paraId="105734E7" w14:textId="77777777" w:rsidR="00381244" w:rsidRPr="007D01FC" w:rsidRDefault="00381244" w:rsidP="00381244">
      <w:pPr>
        <w:overflowPunct w:val="0"/>
        <w:spacing w:line="276" w:lineRule="auto"/>
        <w:jc w:val="center"/>
        <w:rPr>
          <w:rFonts w:ascii="Georgia" w:hAnsi="Georgia" w:cs="Arial"/>
          <w:bCs/>
          <w:smallCaps/>
          <w:kern w:val="28"/>
        </w:rPr>
      </w:pPr>
      <w:r w:rsidRPr="007D01FC">
        <w:rPr>
          <w:rFonts w:ascii="Georgia" w:hAnsi="Georgia" w:cs="Arial"/>
          <w:bCs/>
          <w:smallCaps/>
          <w:kern w:val="28"/>
        </w:rPr>
        <w:t>Notifíquese,</w:t>
      </w:r>
    </w:p>
    <w:p w14:paraId="7C95328B" w14:textId="77777777" w:rsidR="00381244" w:rsidRPr="007D01FC" w:rsidRDefault="00381244" w:rsidP="00381244">
      <w:pPr>
        <w:widowControl/>
        <w:overflowPunct w:val="0"/>
        <w:spacing w:line="276" w:lineRule="auto"/>
        <w:jc w:val="center"/>
        <w:textAlignment w:val="baseline"/>
        <w:rPr>
          <w:rFonts w:ascii="Georgia" w:hAnsi="Georgia" w:cs="Arial"/>
          <w:bCs/>
          <w:caps/>
          <w:w w:val="150"/>
          <w:szCs w:val="18"/>
          <w:lang w:val="es-MX"/>
        </w:rPr>
      </w:pPr>
      <w:bookmarkStart w:id="2" w:name="_Hlk76974190"/>
    </w:p>
    <w:p w14:paraId="02C0FA48" w14:textId="77777777" w:rsidR="00381244" w:rsidRPr="007D01FC" w:rsidRDefault="00381244" w:rsidP="00381244">
      <w:pPr>
        <w:widowControl/>
        <w:overflowPunct w:val="0"/>
        <w:spacing w:line="276" w:lineRule="auto"/>
        <w:jc w:val="center"/>
        <w:textAlignment w:val="baseline"/>
        <w:rPr>
          <w:rFonts w:ascii="Georgia" w:hAnsi="Georgia" w:cs="Arial"/>
          <w:bCs/>
          <w:caps/>
          <w:w w:val="150"/>
          <w:szCs w:val="18"/>
          <w:lang w:val="es-MX"/>
        </w:rPr>
      </w:pPr>
    </w:p>
    <w:p w14:paraId="404E5254" w14:textId="77777777" w:rsidR="00381244" w:rsidRPr="007D01FC" w:rsidRDefault="00381244" w:rsidP="00381244">
      <w:pPr>
        <w:widowControl/>
        <w:overflowPunct w:val="0"/>
        <w:spacing w:line="276" w:lineRule="auto"/>
        <w:jc w:val="center"/>
        <w:textAlignment w:val="baseline"/>
        <w:rPr>
          <w:rFonts w:ascii="Georgia" w:hAnsi="Georgia" w:cs="Arial"/>
          <w:bCs/>
          <w:caps/>
          <w:w w:val="150"/>
          <w:szCs w:val="18"/>
          <w:lang w:val="es-MX"/>
        </w:rPr>
      </w:pPr>
    </w:p>
    <w:p w14:paraId="17B946DF" w14:textId="77777777" w:rsidR="00381244" w:rsidRPr="007D01FC" w:rsidRDefault="00381244" w:rsidP="00381244">
      <w:pPr>
        <w:widowControl/>
        <w:overflowPunct w:val="0"/>
        <w:spacing w:line="276" w:lineRule="auto"/>
        <w:jc w:val="center"/>
        <w:textAlignment w:val="baseline"/>
        <w:rPr>
          <w:rFonts w:ascii="Georgia" w:hAnsi="Georgia" w:cs="Arial"/>
          <w:b/>
          <w:bCs/>
          <w:caps/>
          <w:spacing w:val="20"/>
          <w:w w:val="150"/>
          <w:sz w:val="22"/>
          <w:szCs w:val="18"/>
          <w:lang w:val="es-MX"/>
        </w:rPr>
      </w:pPr>
      <w:r w:rsidRPr="007D01FC">
        <w:rPr>
          <w:rFonts w:ascii="Georgia" w:hAnsi="Georgia" w:cs="Arial"/>
          <w:b/>
          <w:bCs/>
          <w:caps/>
          <w:spacing w:val="20"/>
          <w:w w:val="150"/>
          <w:szCs w:val="18"/>
          <w:lang w:val="es-MX"/>
        </w:rPr>
        <w:t>D</w:t>
      </w:r>
      <w:r w:rsidRPr="007D01FC">
        <w:rPr>
          <w:rFonts w:ascii="Georgia" w:hAnsi="Georgia" w:cs="Arial"/>
          <w:b/>
          <w:bCs/>
          <w:caps/>
          <w:spacing w:val="20"/>
          <w:w w:val="150"/>
          <w:sz w:val="16"/>
          <w:szCs w:val="18"/>
          <w:lang w:val="es-MX"/>
        </w:rPr>
        <w:t>UBERNEY</w:t>
      </w:r>
      <w:r w:rsidRPr="007D01FC">
        <w:rPr>
          <w:rFonts w:ascii="Georgia" w:hAnsi="Georgia" w:cs="Arial"/>
          <w:b/>
          <w:bCs/>
          <w:caps/>
          <w:spacing w:val="20"/>
          <w:w w:val="150"/>
          <w:sz w:val="20"/>
          <w:szCs w:val="18"/>
          <w:lang w:val="es-MX"/>
        </w:rPr>
        <w:t xml:space="preserve"> </w:t>
      </w:r>
      <w:r w:rsidRPr="007D01FC">
        <w:rPr>
          <w:rFonts w:ascii="Georgia" w:hAnsi="Georgia" w:cs="Arial"/>
          <w:b/>
          <w:bCs/>
          <w:caps/>
          <w:spacing w:val="20"/>
          <w:w w:val="150"/>
          <w:szCs w:val="18"/>
          <w:lang w:val="es-MX"/>
        </w:rPr>
        <w:t>G</w:t>
      </w:r>
      <w:r w:rsidRPr="007D01FC">
        <w:rPr>
          <w:rFonts w:ascii="Georgia" w:hAnsi="Georgia" w:cs="Arial"/>
          <w:b/>
          <w:bCs/>
          <w:caps/>
          <w:spacing w:val="20"/>
          <w:w w:val="150"/>
          <w:sz w:val="16"/>
          <w:szCs w:val="18"/>
          <w:lang w:val="es-MX"/>
        </w:rPr>
        <w:t>RISALES</w:t>
      </w:r>
      <w:r w:rsidRPr="007D01FC">
        <w:rPr>
          <w:rFonts w:ascii="Georgia" w:hAnsi="Georgia" w:cs="Arial"/>
          <w:b/>
          <w:bCs/>
          <w:caps/>
          <w:spacing w:val="20"/>
          <w:w w:val="150"/>
          <w:sz w:val="20"/>
          <w:szCs w:val="18"/>
          <w:lang w:val="es-MX"/>
        </w:rPr>
        <w:t xml:space="preserve"> </w:t>
      </w:r>
      <w:r w:rsidRPr="007D01FC">
        <w:rPr>
          <w:rFonts w:ascii="Georgia" w:hAnsi="Georgia" w:cs="Arial"/>
          <w:b/>
          <w:bCs/>
          <w:caps/>
          <w:spacing w:val="20"/>
          <w:w w:val="150"/>
          <w:szCs w:val="18"/>
          <w:lang w:val="es-MX"/>
        </w:rPr>
        <w:t>H</w:t>
      </w:r>
      <w:r w:rsidRPr="007D01FC">
        <w:rPr>
          <w:rFonts w:ascii="Georgia" w:hAnsi="Georgia" w:cs="Arial"/>
          <w:b/>
          <w:bCs/>
          <w:caps/>
          <w:spacing w:val="20"/>
          <w:w w:val="150"/>
          <w:sz w:val="16"/>
          <w:szCs w:val="18"/>
          <w:lang w:val="es-MX"/>
        </w:rPr>
        <w:t>ERRERA</w:t>
      </w:r>
    </w:p>
    <w:p w14:paraId="39E0A823" w14:textId="77777777" w:rsidR="00381244" w:rsidRPr="007D01FC" w:rsidRDefault="00381244" w:rsidP="0038124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7D01FC">
        <w:rPr>
          <w:rFonts w:ascii="Georgia" w:hAnsi="Georgia" w:cs="Arial"/>
          <w:bCs/>
          <w:caps/>
          <w:spacing w:val="20"/>
          <w:w w:val="150"/>
          <w:kern w:val="28"/>
          <w:sz w:val="28"/>
          <w:szCs w:val="22"/>
        </w:rPr>
        <w:t>M</w:t>
      </w:r>
      <w:r w:rsidRPr="007D01FC">
        <w:rPr>
          <w:rFonts w:ascii="Georgia" w:hAnsi="Georgia" w:cs="Arial"/>
          <w:bCs/>
          <w:caps/>
          <w:spacing w:val="20"/>
          <w:w w:val="150"/>
          <w:kern w:val="28"/>
          <w:sz w:val="18"/>
          <w:szCs w:val="18"/>
        </w:rPr>
        <w:t>agistrado</w:t>
      </w:r>
    </w:p>
    <w:p w14:paraId="7A9F195C" w14:textId="77777777" w:rsidR="00381244" w:rsidRPr="007D01FC" w:rsidRDefault="00381244" w:rsidP="00381244">
      <w:pPr>
        <w:widowControl/>
        <w:overflowPunct w:val="0"/>
        <w:spacing w:line="276" w:lineRule="auto"/>
        <w:textAlignment w:val="baseline"/>
        <w:rPr>
          <w:rFonts w:ascii="Georgia" w:hAnsi="Georgia" w:cs="Arial"/>
          <w:caps/>
          <w:spacing w:val="20"/>
          <w:w w:val="150"/>
          <w:szCs w:val="28"/>
          <w:lang w:val="es-MX"/>
        </w:rPr>
      </w:pPr>
    </w:p>
    <w:p w14:paraId="449CC5AC" w14:textId="77777777" w:rsidR="00381244" w:rsidRPr="007D01FC" w:rsidRDefault="00381244" w:rsidP="00381244">
      <w:pPr>
        <w:widowControl/>
        <w:overflowPunct w:val="0"/>
        <w:spacing w:line="276" w:lineRule="auto"/>
        <w:textAlignment w:val="baseline"/>
        <w:rPr>
          <w:rFonts w:ascii="Georgia" w:hAnsi="Georgia" w:cs="Arial"/>
          <w:caps/>
          <w:spacing w:val="20"/>
          <w:w w:val="150"/>
          <w:szCs w:val="28"/>
          <w:lang w:val="es-MX"/>
        </w:rPr>
      </w:pPr>
    </w:p>
    <w:p w14:paraId="4D583D03" w14:textId="77777777" w:rsidR="00381244" w:rsidRPr="007D01FC" w:rsidRDefault="00381244" w:rsidP="00381244">
      <w:pPr>
        <w:widowControl/>
        <w:overflowPunct w:val="0"/>
        <w:spacing w:line="276" w:lineRule="auto"/>
        <w:textAlignment w:val="baseline"/>
        <w:rPr>
          <w:rFonts w:ascii="Georgia" w:hAnsi="Georgia" w:cs="Arial"/>
          <w:caps/>
          <w:spacing w:val="20"/>
          <w:w w:val="150"/>
          <w:szCs w:val="28"/>
          <w:lang w:val="es-MX"/>
        </w:rPr>
      </w:pPr>
    </w:p>
    <w:p w14:paraId="4D297AA6" w14:textId="77777777" w:rsidR="00381244" w:rsidRPr="007D01FC" w:rsidRDefault="00381244" w:rsidP="00381244">
      <w:pPr>
        <w:widowControl/>
        <w:overflowPunct w:val="0"/>
        <w:spacing w:line="276" w:lineRule="auto"/>
        <w:textAlignment w:val="baseline"/>
        <w:rPr>
          <w:rFonts w:ascii="Georgia" w:hAnsi="Georgia" w:cs="Arial"/>
          <w:b/>
          <w:caps/>
          <w:spacing w:val="20"/>
          <w:w w:val="150"/>
          <w:sz w:val="16"/>
          <w:szCs w:val="18"/>
          <w:lang w:val="es-MX"/>
        </w:rPr>
      </w:pPr>
      <w:r w:rsidRPr="007D01FC">
        <w:rPr>
          <w:rFonts w:ascii="Georgia" w:hAnsi="Georgia" w:cs="Arial"/>
          <w:b/>
          <w:caps/>
          <w:spacing w:val="20"/>
          <w:w w:val="150"/>
          <w:szCs w:val="28"/>
          <w:lang w:val="es-MX"/>
        </w:rPr>
        <w:t>E</w:t>
      </w:r>
      <w:r w:rsidRPr="007D01FC">
        <w:rPr>
          <w:rFonts w:ascii="Georgia" w:hAnsi="Georgia" w:cs="Arial"/>
          <w:b/>
          <w:caps/>
          <w:spacing w:val="20"/>
          <w:w w:val="150"/>
          <w:sz w:val="16"/>
          <w:szCs w:val="18"/>
          <w:lang w:val="es-MX"/>
        </w:rPr>
        <w:t xml:space="preserve">DDER </w:t>
      </w:r>
      <w:r w:rsidRPr="007D01FC">
        <w:rPr>
          <w:rFonts w:ascii="Georgia" w:hAnsi="Georgia" w:cs="Arial"/>
          <w:b/>
          <w:caps/>
          <w:spacing w:val="20"/>
          <w:w w:val="150"/>
          <w:szCs w:val="28"/>
          <w:lang w:val="es-MX"/>
        </w:rPr>
        <w:t>J</w:t>
      </w:r>
      <w:r w:rsidRPr="007D01FC">
        <w:rPr>
          <w:rFonts w:ascii="Georgia" w:hAnsi="Georgia" w:cs="Arial"/>
          <w:b/>
          <w:caps/>
          <w:spacing w:val="20"/>
          <w:w w:val="150"/>
          <w:sz w:val="16"/>
          <w:szCs w:val="18"/>
          <w:lang w:val="es-MX"/>
        </w:rPr>
        <w:t xml:space="preserve">. </w:t>
      </w:r>
      <w:r w:rsidRPr="007D01FC">
        <w:rPr>
          <w:rFonts w:ascii="Georgia" w:hAnsi="Georgia" w:cs="Arial"/>
          <w:b/>
          <w:caps/>
          <w:spacing w:val="20"/>
          <w:w w:val="150"/>
          <w:szCs w:val="28"/>
          <w:lang w:val="es-MX"/>
        </w:rPr>
        <w:t>S</w:t>
      </w:r>
      <w:r w:rsidRPr="007D01FC">
        <w:rPr>
          <w:rFonts w:ascii="Georgia" w:hAnsi="Georgia" w:cs="Arial"/>
          <w:b/>
          <w:caps/>
          <w:spacing w:val="20"/>
          <w:w w:val="150"/>
          <w:sz w:val="16"/>
          <w:szCs w:val="18"/>
          <w:lang w:val="es-MX"/>
        </w:rPr>
        <w:t xml:space="preserve">ÁNCHEZ </w:t>
      </w:r>
      <w:r w:rsidRPr="007D01FC">
        <w:rPr>
          <w:rFonts w:ascii="Georgia" w:hAnsi="Georgia" w:cs="Arial"/>
          <w:b/>
          <w:caps/>
          <w:spacing w:val="20"/>
          <w:w w:val="150"/>
          <w:szCs w:val="28"/>
          <w:lang w:val="es-MX"/>
        </w:rPr>
        <w:t>C</w:t>
      </w:r>
      <w:r w:rsidRPr="007D01FC">
        <w:rPr>
          <w:rFonts w:ascii="Georgia" w:hAnsi="Georgia" w:cs="Arial"/>
          <w:b/>
          <w:caps/>
          <w:spacing w:val="20"/>
          <w:w w:val="150"/>
          <w:sz w:val="16"/>
          <w:szCs w:val="18"/>
          <w:lang w:val="es-MX"/>
        </w:rPr>
        <w:t>.</w:t>
      </w:r>
      <w:r w:rsidRPr="007D01FC">
        <w:rPr>
          <w:rFonts w:ascii="Georgia" w:hAnsi="Georgia" w:cs="Arial"/>
          <w:b/>
          <w:bCs/>
          <w:caps/>
          <w:spacing w:val="20"/>
          <w:w w:val="150"/>
          <w:sz w:val="16"/>
          <w:szCs w:val="10"/>
          <w:lang w:val="es-MX"/>
        </w:rPr>
        <w:tab/>
      </w:r>
      <w:r w:rsidRPr="007D01FC">
        <w:rPr>
          <w:rFonts w:ascii="Georgia" w:hAnsi="Georgia" w:cs="Arial"/>
          <w:b/>
          <w:caps/>
          <w:spacing w:val="20"/>
          <w:w w:val="150"/>
          <w:szCs w:val="28"/>
          <w:lang w:val="es-MX"/>
        </w:rPr>
        <w:t>J</w:t>
      </w:r>
      <w:r w:rsidRPr="007D01FC">
        <w:rPr>
          <w:rFonts w:ascii="Georgia" w:hAnsi="Georgia" w:cs="Arial"/>
          <w:b/>
          <w:caps/>
          <w:spacing w:val="20"/>
          <w:w w:val="150"/>
          <w:sz w:val="16"/>
          <w:szCs w:val="18"/>
          <w:lang w:val="es-MX"/>
        </w:rPr>
        <w:t xml:space="preserve">AIME </w:t>
      </w:r>
      <w:r w:rsidRPr="007D01FC">
        <w:rPr>
          <w:rFonts w:ascii="Georgia" w:hAnsi="Georgia" w:cs="Arial"/>
          <w:b/>
          <w:caps/>
          <w:spacing w:val="20"/>
          <w:w w:val="150"/>
          <w:szCs w:val="28"/>
          <w:lang w:val="es-MX"/>
        </w:rPr>
        <w:t>A</w:t>
      </w:r>
      <w:r w:rsidRPr="007D01FC">
        <w:rPr>
          <w:rFonts w:ascii="Georgia" w:hAnsi="Georgia" w:cs="Arial"/>
          <w:b/>
          <w:caps/>
          <w:spacing w:val="20"/>
          <w:w w:val="150"/>
          <w:sz w:val="16"/>
          <w:szCs w:val="18"/>
          <w:lang w:val="es-MX"/>
        </w:rPr>
        <w:t xml:space="preserve">. </w:t>
      </w:r>
      <w:r w:rsidRPr="007D01FC">
        <w:rPr>
          <w:rFonts w:ascii="Georgia" w:hAnsi="Georgia" w:cs="Arial"/>
          <w:b/>
          <w:caps/>
          <w:spacing w:val="20"/>
          <w:w w:val="150"/>
          <w:szCs w:val="28"/>
          <w:lang w:val="es-MX"/>
        </w:rPr>
        <w:t>S</w:t>
      </w:r>
      <w:r w:rsidRPr="007D01FC">
        <w:rPr>
          <w:rFonts w:ascii="Georgia" w:hAnsi="Georgia" w:cs="Arial"/>
          <w:b/>
          <w:caps/>
          <w:spacing w:val="20"/>
          <w:w w:val="150"/>
          <w:sz w:val="16"/>
          <w:szCs w:val="18"/>
          <w:lang w:val="es-MX"/>
        </w:rPr>
        <w:t xml:space="preserve">ARAZA </w:t>
      </w:r>
      <w:r w:rsidRPr="007D01FC">
        <w:rPr>
          <w:rFonts w:ascii="Georgia" w:hAnsi="Georgia" w:cs="Arial"/>
          <w:b/>
          <w:caps/>
          <w:spacing w:val="20"/>
          <w:w w:val="150"/>
          <w:szCs w:val="28"/>
          <w:lang w:val="es-MX"/>
        </w:rPr>
        <w:t>N</w:t>
      </w:r>
      <w:r w:rsidRPr="007D01FC">
        <w:rPr>
          <w:rFonts w:ascii="Georgia" w:hAnsi="Georgia" w:cs="Arial"/>
          <w:b/>
          <w:caps/>
          <w:spacing w:val="20"/>
          <w:w w:val="150"/>
          <w:sz w:val="16"/>
          <w:szCs w:val="18"/>
          <w:lang w:val="es-MX"/>
        </w:rPr>
        <w:t>aranjo</w:t>
      </w:r>
    </w:p>
    <w:p w14:paraId="47A719FB" w14:textId="4D58E9DA" w:rsidR="0097412C" w:rsidRPr="00381244" w:rsidRDefault="00381244" w:rsidP="0038124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7D01FC">
        <w:rPr>
          <w:rFonts w:ascii="Georgia" w:hAnsi="Georgia" w:cs="Arial"/>
          <w:bCs/>
          <w:caps/>
          <w:spacing w:val="20"/>
          <w:w w:val="150"/>
          <w:sz w:val="18"/>
          <w:szCs w:val="10"/>
          <w:lang w:val="en-US"/>
        </w:rPr>
        <w:t xml:space="preserve">M A G I S T R A D O </w:t>
      </w:r>
      <w:r w:rsidRPr="007D01FC">
        <w:rPr>
          <w:rFonts w:ascii="Georgia" w:hAnsi="Georgia" w:cs="Arial"/>
          <w:bCs/>
          <w:caps/>
          <w:spacing w:val="20"/>
          <w:w w:val="150"/>
          <w:sz w:val="18"/>
          <w:szCs w:val="10"/>
          <w:lang w:val="en-US"/>
        </w:rPr>
        <w:tab/>
      </w:r>
      <w:r w:rsidRPr="007D01FC">
        <w:rPr>
          <w:rFonts w:ascii="Georgia" w:hAnsi="Georgia" w:cs="Arial"/>
          <w:bCs/>
          <w:caps/>
          <w:spacing w:val="20"/>
          <w:w w:val="150"/>
          <w:sz w:val="18"/>
          <w:szCs w:val="10"/>
          <w:lang w:val="en-US"/>
        </w:rPr>
        <w:tab/>
        <w:t>M A G I S T R A D O</w:t>
      </w:r>
      <w:bookmarkEnd w:id="2"/>
    </w:p>
    <w:sectPr w:rsidR="0097412C" w:rsidRPr="00381244" w:rsidSect="0038124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B5439" w16cex:dateUtc="2022-04-05T15:10:24.4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8365" w14:textId="77777777" w:rsidR="00B035AB" w:rsidRDefault="00B035AB" w:rsidP="0099045D">
      <w:r>
        <w:separator/>
      </w:r>
    </w:p>
  </w:endnote>
  <w:endnote w:type="continuationSeparator" w:id="0">
    <w:p w14:paraId="206B91A2" w14:textId="77777777" w:rsidR="00B035AB" w:rsidRDefault="00B035A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OldStyle">
    <w:altName w:val="Calibri"/>
    <w:panose1 w:val="00000000000000000000"/>
    <w:charset w:val="00"/>
    <w:family w:val="swiss"/>
    <w:notTrueType/>
    <w:pitch w:val="default"/>
    <w:sig w:usb0="00000003" w:usb1="00000000" w:usb2="00000000" w:usb3="00000000" w:csb0="00000001" w:csb1="00000000"/>
  </w:font>
  <w:font w:name="BookmanOldStyle-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A12F" w14:textId="77777777" w:rsidR="0070205D" w:rsidRPr="007C23E2" w:rsidRDefault="0070205D"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636E6668" w14:textId="77777777" w:rsidR="0070205D" w:rsidRPr="007C23E2" w:rsidRDefault="0070205D" w:rsidP="0013771A">
    <w:pPr>
      <w:pStyle w:val="Piedepgina"/>
      <w:spacing w:line="360" w:lineRule="auto"/>
      <w:jc w:val="right"/>
      <w:rPr>
        <w:rFonts w:ascii="Georgia" w:hAnsi="Georgia" w:cs="Arial"/>
        <w:spacing w:val="20"/>
        <w:w w:val="200"/>
        <w:sz w:val="14"/>
        <w:szCs w:val="10"/>
        <w:lang w:val="es-CO"/>
      </w:rPr>
    </w:pPr>
  </w:p>
  <w:p w14:paraId="1D5B97EC" w14:textId="77777777" w:rsidR="0070205D" w:rsidRPr="007C23E2" w:rsidRDefault="0070205D"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5DE0010A" w14:textId="77777777" w:rsidR="0070205D" w:rsidRPr="007C23E2" w:rsidRDefault="0070205D"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F648" w14:textId="77777777" w:rsidR="00B035AB" w:rsidRDefault="00B035AB" w:rsidP="0099045D">
      <w:r>
        <w:separator/>
      </w:r>
    </w:p>
  </w:footnote>
  <w:footnote w:type="continuationSeparator" w:id="0">
    <w:p w14:paraId="6D2DCBE7" w14:textId="77777777" w:rsidR="00B035AB" w:rsidRDefault="00B035AB" w:rsidP="0099045D">
      <w:r>
        <w:continuationSeparator/>
      </w:r>
    </w:p>
  </w:footnote>
  <w:footnote w:id="1">
    <w:p w14:paraId="2B3DD063" w14:textId="77777777" w:rsidR="0070205D" w:rsidRPr="00B33524" w:rsidRDefault="0070205D"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QUINCHE R., Manuel F. Vías de hecho, acción de tutela contra providencias, Temis SA, Bogotá, 2013, p.103.</w:t>
      </w:r>
    </w:p>
  </w:footnote>
  <w:footnote w:id="2">
    <w:p w14:paraId="7D70408D" w14:textId="77777777" w:rsidR="0070205D" w:rsidRPr="00B33524" w:rsidRDefault="0070205D"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QUIROGA N., Édgar A. Tutela contra decisiones judiciales, Universidad Santo Tomás y editorial Ibáñez, Bogotá DC, 2014, p.83.</w:t>
      </w:r>
    </w:p>
  </w:footnote>
  <w:footnote w:id="3">
    <w:p w14:paraId="56695237" w14:textId="77777777" w:rsidR="0070205D" w:rsidRPr="00B33524" w:rsidRDefault="0070205D"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CC. T-001-2022, T-019 de 2021, T-019 de 2020, SU-037 de 2019, SU-056 de 2018, </w:t>
      </w:r>
      <w:hyperlink r:id="rId1" w:history="1">
        <w:r w:rsidRPr="00B33524">
          <w:rPr>
            <w:rStyle w:val="Hipervnculo"/>
            <w:rFonts w:ascii="Century" w:hAnsi="Century"/>
            <w:color w:val="000000" w:themeColor="text1"/>
            <w:sz w:val="18"/>
            <w:szCs w:val="18"/>
          </w:rPr>
          <w:t>SU-336 de 2017</w:t>
        </w:r>
      </w:hyperlink>
      <w:r w:rsidRPr="00B33524">
        <w:rPr>
          <w:rFonts w:ascii="Century" w:hAnsi="Century"/>
          <w:color w:val="000000" w:themeColor="text1"/>
          <w:sz w:val="18"/>
          <w:szCs w:val="18"/>
        </w:rPr>
        <w:t>, </w:t>
      </w:r>
      <w:hyperlink r:id="rId2" w:history="1">
        <w:r w:rsidRPr="00B33524">
          <w:rPr>
            <w:rStyle w:val="Hipervnculo"/>
            <w:rFonts w:ascii="Century" w:hAnsi="Century"/>
            <w:color w:val="000000" w:themeColor="text1"/>
            <w:sz w:val="18"/>
            <w:szCs w:val="18"/>
          </w:rPr>
          <w:t>SU-354 de 2017</w:t>
        </w:r>
      </w:hyperlink>
      <w:r w:rsidRPr="00B33524">
        <w:rPr>
          <w:rFonts w:ascii="Century" w:hAnsi="Century"/>
          <w:color w:val="000000" w:themeColor="text1"/>
          <w:sz w:val="18"/>
          <w:szCs w:val="18"/>
        </w:rPr>
        <w:t xml:space="preserve">, </w:t>
      </w:r>
      <w:r w:rsidRPr="00B33524">
        <w:rPr>
          <w:rFonts w:ascii="Century" w:hAnsi="Century"/>
          <w:sz w:val="18"/>
          <w:szCs w:val="18"/>
        </w:rPr>
        <w:t>T-137 de 2017, SU-222 de 2016 y T-917 de 2011.</w:t>
      </w:r>
    </w:p>
  </w:footnote>
  <w:footnote w:id="4">
    <w:p w14:paraId="2183DE86" w14:textId="77777777" w:rsidR="0070205D" w:rsidRPr="00B33524" w:rsidRDefault="0070205D"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CC. T-008-2022, T-019 de 2021, T-019 de 2020, SU-037 de 2019, SU-056 de 2018, </w:t>
      </w:r>
      <w:hyperlink r:id="rId3" w:history="1">
        <w:r w:rsidRPr="00B33524">
          <w:rPr>
            <w:rStyle w:val="Hipervnculo"/>
            <w:rFonts w:ascii="Century" w:hAnsi="Century"/>
            <w:color w:val="000000"/>
            <w:sz w:val="18"/>
            <w:szCs w:val="18"/>
          </w:rPr>
          <w:t>SU-336 de 2017</w:t>
        </w:r>
      </w:hyperlink>
      <w:r w:rsidRPr="00B33524">
        <w:rPr>
          <w:rFonts w:ascii="Century" w:hAnsi="Century"/>
          <w:color w:val="000000"/>
          <w:sz w:val="18"/>
          <w:szCs w:val="18"/>
        </w:rPr>
        <w:t>, </w:t>
      </w:r>
      <w:hyperlink r:id="rId4" w:history="1">
        <w:r w:rsidRPr="00B33524">
          <w:rPr>
            <w:rStyle w:val="Hipervnculo"/>
            <w:rFonts w:ascii="Century" w:hAnsi="Century"/>
            <w:color w:val="000000"/>
            <w:sz w:val="18"/>
            <w:szCs w:val="18"/>
          </w:rPr>
          <w:t>SU-354 de 2017</w:t>
        </w:r>
      </w:hyperlink>
      <w:r w:rsidRPr="00B33524">
        <w:rPr>
          <w:rFonts w:ascii="Century" w:hAnsi="Century"/>
          <w:color w:val="000000"/>
          <w:sz w:val="18"/>
          <w:szCs w:val="18"/>
        </w:rPr>
        <w:t xml:space="preserve">, </w:t>
      </w:r>
      <w:r w:rsidRPr="00B33524">
        <w:rPr>
          <w:rFonts w:ascii="Century" w:hAnsi="Century"/>
          <w:sz w:val="18"/>
          <w:szCs w:val="18"/>
        </w:rPr>
        <w:t>T-137 de 2017 y SU-222 de 2016, entre muchas.</w:t>
      </w:r>
    </w:p>
  </w:footnote>
  <w:footnote w:id="5">
    <w:p w14:paraId="5AFC8CA6" w14:textId="77777777" w:rsidR="0070205D" w:rsidRPr="00B33524" w:rsidRDefault="0070205D"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CC. T-019 de 2021 y T-307 de 2015.</w:t>
      </w:r>
    </w:p>
  </w:footnote>
  <w:footnote w:id="6">
    <w:p w14:paraId="25ACB192" w14:textId="77777777" w:rsidR="0070205D" w:rsidRPr="00B33524" w:rsidRDefault="0070205D" w:rsidP="00B33524">
      <w:pPr>
        <w:pStyle w:val="Textonotapie"/>
        <w:jc w:val="both"/>
        <w:rPr>
          <w:rFonts w:ascii="Century" w:hAnsi="Century"/>
          <w:sz w:val="18"/>
          <w:szCs w:val="18"/>
          <w:lang w:val="es-CO"/>
        </w:rPr>
      </w:pPr>
      <w:r w:rsidRPr="00B33524">
        <w:rPr>
          <w:rFonts w:ascii="Century" w:hAnsi="Century"/>
          <w:sz w:val="18"/>
          <w:szCs w:val="18"/>
          <w:vertAlign w:val="superscript"/>
        </w:rPr>
        <w:footnoteRef/>
      </w:r>
      <w:r w:rsidRPr="00B33524">
        <w:rPr>
          <w:rFonts w:ascii="Century" w:hAnsi="Century"/>
          <w:sz w:val="18"/>
          <w:szCs w:val="18"/>
        </w:rPr>
        <w:t xml:space="preserve"> ESCUELA JUDICIAL RODRIGO LARA BONILLA. La acción de tutela en el ordenamiento constitucional colombiano, Universidad Nacional de Colombia, Catalina Botero Marino, </w:t>
      </w:r>
      <w:proofErr w:type="spellStart"/>
      <w:r w:rsidRPr="00B33524">
        <w:rPr>
          <w:rFonts w:ascii="Century" w:hAnsi="Century"/>
          <w:sz w:val="18"/>
          <w:szCs w:val="18"/>
        </w:rPr>
        <w:t>Ediprime</w:t>
      </w:r>
      <w:proofErr w:type="spellEnd"/>
      <w:r w:rsidRPr="00B33524">
        <w:rPr>
          <w:rFonts w:ascii="Century" w:hAnsi="Century"/>
          <w:sz w:val="18"/>
          <w:szCs w:val="18"/>
        </w:rPr>
        <w:t xml:space="preserve"> Ltda., 2006, p.61-75.</w:t>
      </w:r>
    </w:p>
  </w:footnote>
  <w:footnote w:id="7">
    <w:p w14:paraId="6D24EBC7" w14:textId="77777777" w:rsidR="0070205D" w:rsidRPr="00B33524" w:rsidRDefault="0070205D" w:rsidP="00B33524">
      <w:pPr>
        <w:pStyle w:val="Textonotapie"/>
        <w:jc w:val="both"/>
        <w:rPr>
          <w:rFonts w:ascii="Century" w:hAnsi="Century"/>
          <w:color w:val="000000" w:themeColor="text1"/>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QUINCHE R., </w:t>
      </w:r>
      <w:r w:rsidRPr="00B33524">
        <w:rPr>
          <w:rFonts w:ascii="Century" w:hAnsi="Century"/>
          <w:color w:val="000000" w:themeColor="text1"/>
          <w:sz w:val="18"/>
          <w:szCs w:val="18"/>
        </w:rPr>
        <w:t>Manuel F. La acción de tutela, el amparo en Colombia, Bogotá DC, 2011, p.233-285.</w:t>
      </w:r>
    </w:p>
  </w:footnote>
  <w:footnote w:id="8">
    <w:p w14:paraId="27142388" w14:textId="77777777" w:rsidR="0070205D" w:rsidRPr="00B33524" w:rsidRDefault="0070205D" w:rsidP="00B33524">
      <w:pPr>
        <w:pStyle w:val="Textonotapie"/>
        <w:jc w:val="both"/>
        <w:rPr>
          <w:rFonts w:ascii="Century" w:hAnsi="Century"/>
          <w:sz w:val="18"/>
          <w:szCs w:val="18"/>
        </w:rPr>
      </w:pPr>
      <w:r w:rsidRPr="00B33524">
        <w:rPr>
          <w:rStyle w:val="Refdenotaalpie"/>
          <w:rFonts w:ascii="Century" w:hAnsi="Century" w:cs="Calibri Light"/>
          <w:color w:val="000000" w:themeColor="text1"/>
          <w:sz w:val="18"/>
          <w:szCs w:val="18"/>
        </w:rPr>
        <w:footnoteRef/>
      </w:r>
      <w:r w:rsidRPr="00B33524">
        <w:rPr>
          <w:rFonts w:ascii="Century" w:hAnsi="Century" w:cs="Calibri Light"/>
          <w:color w:val="000000" w:themeColor="text1"/>
          <w:sz w:val="18"/>
          <w:szCs w:val="18"/>
        </w:rPr>
        <w:t xml:space="preserve"> CC. T-034-2021, </w:t>
      </w:r>
      <w:hyperlink r:id="rId5" w:history="1">
        <w:r w:rsidRPr="00B33524">
          <w:rPr>
            <w:rStyle w:val="Hipervnculo"/>
            <w:rFonts w:ascii="Century" w:hAnsi="Century" w:cs="Calibri Light"/>
            <w:color w:val="000000" w:themeColor="text1"/>
            <w:sz w:val="18"/>
            <w:szCs w:val="18"/>
            <w:u w:val="none"/>
          </w:rPr>
          <w:t>T-053 de 2020</w:t>
        </w:r>
      </w:hyperlink>
      <w:r w:rsidRPr="00B33524">
        <w:rPr>
          <w:rFonts w:ascii="Century" w:hAnsi="Century" w:cs="Calibri Light"/>
          <w:color w:val="000000" w:themeColor="text1"/>
          <w:sz w:val="18"/>
          <w:szCs w:val="18"/>
        </w:rPr>
        <w:t xml:space="preserve">, T-422 de 2019, T-359 de 2019, </w:t>
      </w:r>
      <w:r w:rsidRPr="00B33524">
        <w:rPr>
          <w:rFonts w:ascii="Century" w:hAnsi="Century"/>
          <w:color w:val="000000" w:themeColor="text1"/>
          <w:sz w:val="18"/>
          <w:szCs w:val="18"/>
        </w:rPr>
        <w:t xml:space="preserve">C-132 de 2018, </w:t>
      </w:r>
      <w:r w:rsidRPr="00B33524">
        <w:rPr>
          <w:rFonts w:ascii="Century" w:hAnsi="Century" w:cs="Calibri Light"/>
          <w:color w:val="000000" w:themeColor="text1"/>
          <w:sz w:val="18"/>
          <w:szCs w:val="18"/>
        </w:rPr>
        <w:t>T-015 de 2016, T-162 de 2010 y T-099 de 2008.</w:t>
      </w:r>
    </w:p>
  </w:footnote>
  <w:footnote w:id="9">
    <w:p w14:paraId="4AA3E356" w14:textId="77777777" w:rsidR="0070205D" w:rsidRPr="00B33524" w:rsidRDefault="0070205D" w:rsidP="00B33524">
      <w:pPr>
        <w:pStyle w:val="Textonotapie"/>
        <w:jc w:val="both"/>
        <w:rPr>
          <w:rFonts w:ascii="Century" w:hAnsi="Century"/>
          <w:sz w:val="18"/>
          <w:szCs w:val="18"/>
        </w:rPr>
      </w:pPr>
      <w:r w:rsidRPr="00B33524">
        <w:rPr>
          <w:rStyle w:val="Refdenotaalpie"/>
          <w:rFonts w:ascii="Century" w:hAnsi="Century"/>
          <w:sz w:val="18"/>
          <w:szCs w:val="18"/>
        </w:rPr>
        <w:footnoteRef/>
      </w:r>
      <w:r w:rsidRPr="00B33524">
        <w:rPr>
          <w:rFonts w:ascii="Century" w:hAnsi="Century"/>
          <w:sz w:val="18"/>
          <w:szCs w:val="18"/>
        </w:rPr>
        <w:t xml:space="preserve"> CC.  T-134 de 1994. </w:t>
      </w:r>
    </w:p>
  </w:footnote>
  <w:footnote w:id="10">
    <w:p w14:paraId="0C55264C" w14:textId="77777777" w:rsidR="0070205D" w:rsidRPr="00B33524" w:rsidRDefault="0070205D" w:rsidP="00B33524">
      <w:pPr>
        <w:pStyle w:val="Textonotapie"/>
        <w:jc w:val="both"/>
        <w:rPr>
          <w:rFonts w:ascii="Century" w:hAnsi="Century"/>
          <w:sz w:val="18"/>
          <w:szCs w:val="18"/>
        </w:rPr>
      </w:pPr>
      <w:r w:rsidRPr="00B33524">
        <w:rPr>
          <w:rStyle w:val="Refdenotaalpie"/>
          <w:rFonts w:ascii="Century" w:hAnsi="Century"/>
          <w:sz w:val="18"/>
          <w:szCs w:val="18"/>
        </w:rPr>
        <w:footnoteRef/>
      </w:r>
      <w:r w:rsidRPr="00B33524">
        <w:rPr>
          <w:rFonts w:ascii="Century" w:hAnsi="Century"/>
          <w:sz w:val="18"/>
          <w:szCs w:val="18"/>
        </w:rPr>
        <w:t xml:space="preserve"> CC. T-567 de 1998.</w:t>
      </w:r>
    </w:p>
  </w:footnote>
  <w:footnote w:id="11">
    <w:p w14:paraId="39AAF319" w14:textId="77777777" w:rsidR="0070205D" w:rsidRPr="00B33524" w:rsidRDefault="0070205D" w:rsidP="00B33524">
      <w:pPr>
        <w:pStyle w:val="Textonotapie"/>
        <w:jc w:val="both"/>
        <w:rPr>
          <w:rFonts w:ascii="Century" w:hAnsi="Century"/>
          <w:sz w:val="18"/>
          <w:szCs w:val="18"/>
        </w:rPr>
      </w:pPr>
      <w:r w:rsidRPr="00B33524">
        <w:rPr>
          <w:rStyle w:val="Refdenotaalpie"/>
          <w:rFonts w:ascii="Century" w:hAnsi="Century"/>
          <w:sz w:val="18"/>
          <w:szCs w:val="18"/>
        </w:rPr>
        <w:footnoteRef/>
      </w:r>
      <w:r w:rsidRPr="00B33524">
        <w:rPr>
          <w:rFonts w:ascii="Century" w:hAnsi="Century"/>
          <w:sz w:val="18"/>
          <w:szCs w:val="18"/>
        </w:rPr>
        <w:t xml:space="preserve"> CC</w:t>
      </w:r>
      <w:r w:rsidRPr="00B33524">
        <w:rPr>
          <w:rFonts w:ascii="Century" w:hAnsi="Century" w:cstheme="majorHAnsi"/>
          <w:sz w:val="18"/>
          <w:szCs w:val="18"/>
        </w:rPr>
        <w:t xml:space="preserve">. </w:t>
      </w:r>
      <w:hyperlink r:id="rId6" w:history="1">
        <w:r w:rsidRPr="00B33524">
          <w:rPr>
            <w:rStyle w:val="Hipervnculo"/>
            <w:rFonts w:ascii="Century" w:hAnsi="Century" w:cstheme="majorHAnsi"/>
            <w:color w:val="auto"/>
            <w:sz w:val="18"/>
            <w:szCs w:val="18"/>
            <w:u w:val="none"/>
          </w:rPr>
          <w:t>T-053 de 2020</w:t>
        </w:r>
      </w:hyperlink>
      <w:r w:rsidRPr="00B33524">
        <w:rPr>
          <w:rFonts w:ascii="Century" w:hAnsi="Century" w:cstheme="majorHAnsi"/>
          <w:sz w:val="18"/>
          <w:szCs w:val="18"/>
        </w:rPr>
        <w:t>, T-422 de 2019, T-359 de 2019, C-132 de 2018, T-037 de 2016, T-120 de 2016 y T-662 de 2013.</w:t>
      </w:r>
      <w:r w:rsidRPr="00B33524">
        <w:rPr>
          <w:rFonts w:ascii="Century" w:hAnsi="Century"/>
          <w:b/>
          <w:bCs/>
          <w:sz w:val="18"/>
          <w:szCs w:val="18"/>
          <w:bdr w:val="none" w:sz="0" w:space="0" w:color="auto" w:frame="1"/>
          <w:shd w:val="clear" w:color="auto" w:fill="FFFFFF"/>
        </w:rPr>
        <w:t xml:space="preserve"> </w:t>
      </w:r>
    </w:p>
  </w:footnote>
  <w:footnote w:id="12">
    <w:p w14:paraId="6E3CD67A" w14:textId="77777777" w:rsidR="0070205D" w:rsidRPr="00B33524" w:rsidRDefault="0070205D"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w:t>
      </w:r>
      <w:r w:rsidRPr="00B33524">
        <w:rPr>
          <w:rFonts w:ascii="Century" w:hAnsi="Century"/>
          <w:sz w:val="18"/>
          <w:szCs w:val="18"/>
          <w:lang w:val="es-CO"/>
        </w:rPr>
        <w:t>CSJ</w:t>
      </w:r>
      <w:r w:rsidRPr="00B33524">
        <w:rPr>
          <w:rFonts w:ascii="Century" w:hAnsi="Century"/>
          <w:sz w:val="18"/>
          <w:szCs w:val="18"/>
        </w:rPr>
        <w:t xml:space="preserve">.STC5531-2020, STC147-2020, </w:t>
      </w:r>
      <w:r w:rsidRPr="00B33524">
        <w:rPr>
          <w:rFonts w:ascii="Century" w:hAnsi="Century"/>
          <w:sz w:val="18"/>
          <w:szCs w:val="18"/>
          <w:lang w:val="es-CO"/>
        </w:rPr>
        <w:t xml:space="preserve">STC3931-2016 y </w:t>
      </w:r>
      <w:r w:rsidRPr="00B33524">
        <w:rPr>
          <w:rFonts w:ascii="Century" w:hAnsi="Century"/>
          <w:sz w:val="18"/>
          <w:szCs w:val="18"/>
        </w:rPr>
        <w:t>STC6121-2015.</w:t>
      </w:r>
    </w:p>
  </w:footnote>
  <w:footnote w:id="13">
    <w:p w14:paraId="2EFD02B4" w14:textId="77777777" w:rsidR="0070205D" w:rsidRPr="00B33524" w:rsidRDefault="0070205D" w:rsidP="00B33524">
      <w:pPr>
        <w:pStyle w:val="Textonotapie"/>
        <w:jc w:val="both"/>
        <w:rPr>
          <w:rFonts w:ascii="Century" w:hAnsi="Century"/>
          <w:b/>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w:t>
      </w:r>
      <w:r w:rsidRPr="00B33524">
        <w:rPr>
          <w:rFonts w:ascii="Century" w:hAnsi="Century"/>
          <w:sz w:val="18"/>
          <w:szCs w:val="18"/>
          <w:lang w:val="es-CO"/>
        </w:rPr>
        <w:t>CSJ. STC4769-2018.</w:t>
      </w:r>
    </w:p>
  </w:footnote>
  <w:footnote w:id="14">
    <w:p w14:paraId="3B5D7AF3" w14:textId="77777777" w:rsidR="0070205D" w:rsidRPr="00B33524" w:rsidRDefault="0070205D"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w:t>
      </w:r>
      <w:r w:rsidRPr="00B33524">
        <w:rPr>
          <w:rFonts w:ascii="Century" w:hAnsi="Century"/>
          <w:sz w:val="18"/>
          <w:szCs w:val="18"/>
          <w:lang w:val="es-CO"/>
        </w:rPr>
        <w:t>CSJ. STC15454-2021.</w:t>
      </w:r>
    </w:p>
  </w:footnote>
  <w:footnote w:id="15">
    <w:p w14:paraId="0C4281AA" w14:textId="77777777" w:rsidR="0070205D" w:rsidRPr="00B33524" w:rsidRDefault="0070205D" w:rsidP="00B33524">
      <w:pPr>
        <w:pStyle w:val="Textonotapie"/>
        <w:jc w:val="both"/>
        <w:rPr>
          <w:sz w:val="18"/>
          <w:szCs w:val="18"/>
        </w:rPr>
      </w:pPr>
      <w:r w:rsidRPr="00B33524">
        <w:rPr>
          <w:rStyle w:val="Refdenotaalpie"/>
          <w:rFonts w:ascii="Century" w:hAnsi="Century"/>
          <w:sz w:val="18"/>
          <w:szCs w:val="18"/>
        </w:rPr>
        <w:footnoteRef/>
      </w:r>
      <w:r w:rsidRPr="00B33524">
        <w:rPr>
          <w:rFonts w:ascii="Century" w:hAnsi="Century"/>
          <w:sz w:val="18"/>
          <w:szCs w:val="18"/>
        </w:rPr>
        <w:t xml:space="preserve"> TSP, Sala Civil – Familia. Sentencia del 16-07-2019, MP: Grisales H., No.2019-00476-00 y ST1-0028-2021.</w:t>
      </w:r>
    </w:p>
  </w:footnote>
  <w:footnote w:id="16">
    <w:p w14:paraId="6A5899DF" w14:textId="77777777" w:rsidR="0097412C" w:rsidRPr="00B33524" w:rsidRDefault="0097412C" w:rsidP="00B33524">
      <w:pPr>
        <w:pStyle w:val="Textonotapie"/>
        <w:jc w:val="both"/>
        <w:rPr>
          <w:rFonts w:ascii="Century" w:hAnsi="Century"/>
          <w:sz w:val="18"/>
          <w:szCs w:val="18"/>
          <w:lang w:val="es-CO"/>
        </w:rPr>
      </w:pPr>
      <w:r w:rsidRPr="00B33524">
        <w:rPr>
          <w:rStyle w:val="Refdenotaalpie"/>
          <w:rFonts w:ascii="Century" w:hAnsi="Century"/>
          <w:sz w:val="18"/>
          <w:szCs w:val="18"/>
        </w:rPr>
        <w:footnoteRef/>
      </w:r>
      <w:r w:rsidRPr="00B33524">
        <w:rPr>
          <w:rFonts w:ascii="Century" w:hAnsi="Century"/>
          <w:sz w:val="18"/>
          <w:szCs w:val="18"/>
        </w:rPr>
        <w:t xml:space="preserve"> </w:t>
      </w:r>
      <w:r w:rsidRPr="00B33524">
        <w:rPr>
          <w:rFonts w:ascii="Century" w:hAnsi="Century"/>
          <w:sz w:val="18"/>
          <w:szCs w:val="18"/>
          <w:lang w:val="es-CO"/>
        </w:rPr>
        <w:t>CSJ. STC15454-2021.</w:t>
      </w:r>
    </w:p>
  </w:footnote>
  <w:footnote w:id="17">
    <w:p w14:paraId="44148979" w14:textId="77777777" w:rsidR="002724E6" w:rsidRPr="00B33524" w:rsidRDefault="002724E6" w:rsidP="00B33524">
      <w:pPr>
        <w:pStyle w:val="Textonotapie"/>
        <w:jc w:val="both"/>
        <w:rPr>
          <w:rFonts w:ascii="Century" w:hAnsi="Century"/>
          <w:sz w:val="18"/>
          <w:szCs w:val="18"/>
        </w:rPr>
      </w:pPr>
      <w:r w:rsidRPr="00B33524">
        <w:rPr>
          <w:rStyle w:val="Refdenotaalpie"/>
          <w:rFonts w:ascii="Century" w:hAnsi="Century"/>
          <w:sz w:val="18"/>
          <w:szCs w:val="18"/>
        </w:rPr>
        <w:footnoteRef/>
      </w:r>
      <w:r w:rsidRPr="00B33524">
        <w:rPr>
          <w:rFonts w:ascii="Century" w:hAnsi="Century"/>
          <w:sz w:val="18"/>
          <w:szCs w:val="18"/>
          <w:lang w:val="es-CO"/>
        </w:rPr>
        <w:t xml:space="preserve"> CC. T-089 de 2018, SU-210 de 2017 y T-717 de 2011.</w:t>
      </w:r>
    </w:p>
  </w:footnote>
  <w:footnote w:id="18">
    <w:p w14:paraId="62EAD0D4" w14:textId="77777777" w:rsidR="002724E6" w:rsidRPr="00B33524" w:rsidRDefault="002724E6" w:rsidP="00B33524">
      <w:pPr>
        <w:pStyle w:val="Textonotapie"/>
        <w:jc w:val="both"/>
        <w:rPr>
          <w:rFonts w:ascii="Century" w:hAnsi="Century"/>
          <w:sz w:val="18"/>
          <w:szCs w:val="18"/>
        </w:rPr>
      </w:pPr>
      <w:r w:rsidRPr="00B33524">
        <w:rPr>
          <w:rStyle w:val="Refdenotaalpie"/>
          <w:rFonts w:ascii="Century" w:hAnsi="Century"/>
          <w:sz w:val="18"/>
          <w:szCs w:val="18"/>
        </w:rPr>
        <w:footnoteRef/>
      </w:r>
      <w:r w:rsidRPr="00B33524">
        <w:rPr>
          <w:rFonts w:ascii="Century" w:hAnsi="Century"/>
          <w:sz w:val="18"/>
          <w:szCs w:val="18"/>
          <w:lang w:val="es-CO"/>
        </w:rPr>
        <w:t xml:space="preserve"> CC. T-180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A2DB" w14:textId="77777777" w:rsidR="0070205D" w:rsidRPr="00B33524" w:rsidRDefault="0070205D">
    <w:pPr>
      <w:pStyle w:val="Encabezado"/>
      <w:pBdr>
        <w:bottom w:val="single" w:sz="4" w:space="1" w:color="D9D9D9"/>
      </w:pBdr>
      <w:jc w:val="right"/>
      <w:rPr>
        <w:rFonts w:ascii="Georgia" w:hAnsi="Georgia" w:cs="Calibri"/>
        <w:i/>
        <w:sz w:val="18"/>
        <w:szCs w:val="18"/>
      </w:rPr>
    </w:pPr>
    <w:r w:rsidRPr="00B33524">
      <w:rPr>
        <w:rFonts w:ascii="Georgia" w:hAnsi="Georgia" w:cs="Calibri"/>
        <w:i/>
        <w:spacing w:val="60"/>
        <w:sz w:val="18"/>
        <w:szCs w:val="18"/>
      </w:rPr>
      <w:t>Página</w:t>
    </w:r>
    <w:r w:rsidRPr="00B33524">
      <w:rPr>
        <w:rFonts w:ascii="Georgia" w:hAnsi="Georgia" w:cs="Calibri"/>
        <w:i/>
        <w:sz w:val="18"/>
        <w:szCs w:val="18"/>
      </w:rPr>
      <w:t xml:space="preserve"> | </w:t>
    </w:r>
    <w:r w:rsidRPr="00B33524">
      <w:rPr>
        <w:rFonts w:ascii="Georgia" w:hAnsi="Georgia" w:cs="Calibri"/>
        <w:i/>
        <w:sz w:val="18"/>
        <w:szCs w:val="18"/>
      </w:rPr>
      <w:fldChar w:fldCharType="begin"/>
    </w:r>
    <w:r w:rsidRPr="00B33524">
      <w:rPr>
        <w:rFonts w:ascii="Georgia" w:hAnsi="Georgia" w:cs="Calibri"/>
        <w:i/>
        <w:sz w:val="18"/>
        <w:szCs w:val="18"/>
      </w:rPr>
      <w:instrText xml:space="preserve"> PAGE   \* MERGEFORMAT </w:instrText>
    </w:r>
    <w:r w:rsidRPr="00B33524">
      <w:rPr>
        <w:rFonts w:ascii="Georgia" w:hAnsi="Georgia" w:cs="Calibri"/>
        <w:i/>
        <w:sz w:val="18"/>
        <w:szCs w:val="18"/>
      </w:rPr>
      <w:fldChar w:fldCharType="separate"/>
    </w:r>
    <w:r w:rsidRPr="00B33524">
      <w:rPr>
        <w:rFonts w:ascii="Georgia" w:hAnsi="Georgia" w:cs="Calibri"/>
        <w:i/>
        <w:noProof/>
        <w:sz w:val="18"/>
        <w:szCs w:val="18"/>
      </w:rPr>
      <w:t>11</w:t>
    </w:r>
    <w:r w:rsidRPr="00B33524">
      <w:rPr>
        <w:rFonts w:ascii="Georgia" w:hAnsi="Georgia" w:cs="Calibri"/>
        <w:i/>
        <w:sz w:val="18"/>
        <w:szCs w:val="18"/>
      </w:rPr>
      <w:fldChar w:fldCharType="end"/>
    </w:r>
  </w:p>
  <w:p w14:paraId="61564D0D" w14:textId="13D876FE" w:rsidR="0070205D" w:rsidRPr="00B33524" w:rsidRDefault="0070205D" w:rsidP="009C568C">
    <w:pPr>
      <w:pStyle w:val="Encabezado"/>
      <w:ind w:right="360"/>
      <w:jc w:val="both"/>
      <w:rPr>
        <w:rFonts w:ascii="Georgia" w:hAnsi="Georgia" w:cs="Calibri"/>
        <w:i/>
        <w:sz w:val="18"/>
        <w:szCs w:val="18"/>
      </w:rPr>
    </w:pPr>
    <w:r w:rsidRPr="00B33524">
      <w:rPr>
        <w:rFonts w:ascii="Georgia" w:hAnsi="Georgia" w:cs="Calibri"/>
        <w:i/>
        <w:sz w:val="18"/>
        <w:szCs w:val="18"/>
      </w:rPr>
      <w:t>EXPEDIENTE No.</w:t>
    </w:r>
    <w:r w:rsidR="00B33524">
      <w:rPr>
        <w:rFonts w:ascii="Georgia" w:hAnsi="Georgia" w:cs="Calibri"/>
        <w:i/>
        <w:sz w:val="18"/>
        <w:szCs w:val="18"/>
      </w:rPr>
      <w:t xml:space="preserve"> </w:t>
    </w:r>
    <w:r w:rsidRPr="00B33524">
      <w:rPr>
        <w:rFonts w:ascii="Georgia" w:hAnsi="Georgia" w:cs="Calibri"/>
        <w:i/>
        <w:sz w:val="18"/>
        <w:szCs w:val="18"/>
      </w:rPr>
      <w:t>2021-00276-02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836A04"/>
    <w:multiLevelType w:val="hybridMultilevel"/>
    <w:tmpl w:val="95EC0F98"/>
    <w:lvl w:ilvl="0" w:tplc="AF34D22C">
      <w:start w:val="1"/>
      <w:numFmt w:val="decimal"/>
      <w:lvlText w:val="%1."/>
      <w:lvlJc w:val="left"/>
      <w:pPr>
        <w:tabs>
          <w:tab w:val="num" w:pos="720"/>
        </w:tabs>
        <w:ind w:left="720" w:hanging="360"/>
      </w:pPr>
      <w:rPr>
        <w:rFonts w:ascii="Georgia" w:hAnsi="Georgia" w:cs="Times New Roman" w:hint="default"/>
        <w:b w:val="0"/>
        <w:bCs w:val="0"/>
        <w:i w:val="0"/>
        <w:iCs/>
        <w:sz w:val="28"/>
        <w:szCs w:val="28"/>
        <w:lang w:val="es-ES_tradn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749F8"/>
    <w:multiLevelType w:val="multilevel"/>
    <w:tmpl w:val="1EE480EE"/>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color w:val="auto"/>
      </w:rPr>
    </w:lvl>
    <w:lvl w:ilvl="2">
      <w:start w:val="1"/>
      <w:numFmt w:val="decimal"/>
      <w:lvlText w:val="%1.%2.%3."/>
      <w:lvlJc w:val="left"/>
      <w:pPr>
        <w:ind w:left="720" w:hanging="720"/>
      </w:pPr>
      <w:rPr>
        <w:rFonts w:cs="Times New Roman"/>
        <w:i w:val="0"/>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15:restartNumberingAfterBreak="0">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9459AB"/>
    <w:multiLevelType w:val="multilevel"/>
    <w:tmpl w:val="84BA5C3C"/>
    <w:lvl w:ilvl="0">
      <w:start w:val="6"/>
      <w:numFmt w:val="decimal"/>
      <w:lvlText w:val="%1."/>
      <w:lvlJc w:val="left"/>
      <w:pPr>
        <w:ind w:left="480" w:hanging="48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15:restartNumberingAfterBreak="0">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11" w15:restartNumberingAfterBreak="0">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2"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4"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5" w15:restartNumberingAfterBreak="0">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9" w15:restartNumberingAfterBreak="0">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3"/>
  </w:num>
  <w:num w:numId="2">
    <w:abstractNumId w:val="27"/>
  </w:num>
  <w:num w:numId="3">
    <w:abstractNumId w:val="24"/>
  </w:num>
  <w:num w:numId="4">
    <w:abstractNumId w:val="8"/>
  </w:num>
  <w:num w:numId="5">
    <w:abstractNumId w:val="40"/>
  </w:num>
  <w:num w:numId="6">
    <w:abstractNumId w:val="1"/>
  </w:num>
  <w:num w:numId="7">
    <w:abstractNumId w:val="34"/>
  </w:num>
  <w:num w:numId="8">
    <w:abstractNumId w:val="3"/>
  </w:num>
  <w:num w:numId="9">
    <w:abstractNumId w:val="41"/>
  </w:num>
  <w:num w:numId="10">
    <w:abstractNumId w:val="35"/>
  </w:num>
  <w:num w:numId="11">
    <w:abstractNumId w:val="30"/>
  </w:num>
  <w:num w:numId="12">
    <w:abstractNumId w:val="37"/>
  </w:num>
  <w:num w:numId="13">
    <w:abstractNumId w:val="18"/>
  </w:num>
  <w:num w:numId="14">
    <w:abstractNumId w:val="21"/>
  </w:num>
  <w:num w:numId="15">
    <w:abstractNumId w:val="28"/>
  </w:num>
  <w:num w:numId="16">
    <w:abstractNumId w:val="12"/>
  </w:num>
  <w:num w:numId="17">
    <w:abstractNumId w:val="29"/>
  </w:num>
  <w:num w:numId="18">
    <w:abstractNumId w:val="16"/>
  </w:num>
  <w:num w:numId="19">
    <w:abstractNumId w:val="13"/>
  </w:num>
  <w:num w:numId="20">
    <w:abstractNumId w:val="22"/>
  </w:num>
  <w:num w:numId="21">
    <w:abstractNumId w:val="32"/>
  </w:num>
  <w:num w:numId="22">
    <w:abstractNumId w:val="36"/>
  </w:num>
  <w:num w:numId="23">
    <w:abstractNumId w:val="15"/>
  </w:num>
  <w:num w:numId="24">
    <w:abstractNumId w:val="20"/>
  </w:num>
  <w:num w:numId="25">
    <w:abstractNumId w:val="16"/>
  </w:num>
  <w:num w:numId="26">
    <w:abstractNumId w:val="5"/>
  </w:num>
  <w:num w:numId="27">
    <w:abstractNumId w:val="42"/>
  </w:num>
  <w:num w:numId="28">
    <w:abstractNumId w:val="14"/>
  </w:num>
  <w:num w:numId="29">
    <w:abstractNumId w:val="38"/>
  </w:num>
  <w:num w:numId="30">
    <w:abstractNumId w:val="19"/>
  </w:num>
  <w:num w:numId="31">
    <w:abstractNumId w:val="25"/>
  </w:num>
  <w:num w:numId="32">
    <w:abstractNumId w:val="17"/>
  </w:num>
  <w:num w:numId="33">
    <w:abstractNumId w:val="33"/>
  </w:num>
  <w:num w:numId="34">
    <w:abstractNumId w:val="7"/>
  </w:num>
  <w:num w:numId="35">
    <w:abstractNumId w:val="39"/>
  </w:num>
  <w:num w:numId="36">
    <w:abstractNumId w:val="31"/>
  </w:num>
  <w:num w:numId="37">
    <w:abstractNumId w:val="26"/>
  </w:num>
  <w:num w:numId="38">
    <w:abstractNumId w:val="16"/>
  </w:num>
  <w:num w:numId="39">
    <w:abstractNumId w:val="11"/>
  </w:num>
  <w:num w:numId="40">
    <w:abstractNumId w:val="0"/>
  </w:num>
  <w:num w:numId="41">
    <w:abstractNumId w:val="4"/>
  </w:num>
  <w:num w:numId="42">
    <w:abstractNumId w:val="9"/>
  </w:num>
  <w:num w:numId="43">
    <w:abstractNumId w:val="10"/>
  </w:num>
  <w:num w:numId="44">
    <w:abstractNumId w:val="23"/>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02B"/>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688"/>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686"/>
    <w:rsid w:val="000311D1"/>
    <w:rsid w:val="00031AE4"/>
    <w:rsid w:val="00032C42"/>
    <w:rsid w:val="00033A58"/>
    <w:rsid w:val="0003401F"/>
    <w:rsid w:val="000341E2"/>
    <w:rsid w:val="00034A23"/>
    <w:rsid w:val="00035AC1"/>
    <w:rsid w:val="00035E46"/>
    <w:rsid w:val="00035F00"/>
    <w:rsid w:val="00036B5B"/>
    <w:rsid w:val="00036D33"/>
    <w:rsid w:val="00037093"/>
    <w:rsid w:val="0003761B"/>
    <w:rsid w:val="00040CFF"/>
    <w:rsid w:val="00040D5C"/>
    <w:rsid w:val="00040F01"/>
    <w:rsid w:val="0004100F"/>
    <w:rsid w:val="00041210"/>
    <w:rsid w:val="00042D53"/>
    <w:rsid w:val="00043741"/>
    <w:rsid w:val="00043ADF"/>
    <w:rsid w:val="00043BB5"/>
    <w:rsid w:val="000449B2"/>
    <w:rsid w:val="000454FB"/>
    <w:rsid w:val="00045578"/>
    <w:rsid w:val="000456B5"/>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3A5"/>
    <w:rsid w:val="00080DED"/>
    <w:rsid w:val="000812BB"/>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902"/>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EC9"/>
    <w:rsid w:val="000D152C"/>
    <w:rsid w:val="000D1769"/>
    <w:rsid w:val="000D27BC"/>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9FD"/>
    <w:rsid w:val="000F3C5A"/>
    <w:rsid w:val="000F3CF5"/>
    <w:rsid w:val="000F4326"/>
    <w:rsid w:val="000F4709"/>
    <w:rsid w:val="000F5F08"/>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3E3"/>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17BAE"/>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3A5"/>
    <w:rsid w:val="00146C00"/>
    <w:rsid w:val="0014712D"/>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3A02"/>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77B54"/>
    <w:rsid w:val="00180B3C"/>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55"/>
    <w:rsid w:val="001A6BD6"/>
    <w:rsid w:val="001A7270"/>
    <w:rsid w:val="001B024F"/>
    <w:rsid w:val="001B0E0F"/>
    <w:rsid w:val="001B1B9D"/>
    <w:rsid w:val="001B20E8"/>
    <w:rsid w:val="001B2927"/>
    <w:rsid w:val="001B3C41"/>
    <w:rsid w:val="001B4781"/>
    <w:rsid w:val="001B5303"/>
    <w:rsid w:val="001B549A"/>
    <w:rsid w:val="001B5697"/>
    <w:rsid w:val="001B59F9"/>
    <w:rsid w:val="001B59FB"/>
    <w:rsid w:val="001B62E6"/>
    <w:rsid w:val="001B6EE3"/>
    <w:rsid w:val="001B7C59"/>
    <w:rsid w:val="001B7FDA"/>
    <w:rsid w:val="001C08BC"/>
    <w:rsid w:val="001C0981"/>
    <w:rsid w:val="001C1220"/>
    <w:rsid w:val="001C197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5DB"/>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84A"/>
    <w:rsid w:val="001F1E16"/>
    <w:rsid w:val="001F25C3"/>
    <w:rsid w:val="001F347A"/>
    <w:rsid w:val="001F3588"/>
    <w:rsid w:val="001F36C2"/>
    <w:rsid w:val="001F3884"/>
    <w:rsid w:val="001F39A6"/>
    <w:rsid w:val="001F4433"/>
    <w:rsid w:val="001F4532"/>
    <w:rsid w:val="001F464C"/>
    <w:rsid w:val="001F4656"/>
    <w:rsid w:val="001F4AEC"/>
    <w:rsid w:val="001F4D67"/>
    <w:rsid w:val="001F5358"/>
    <w:rsid w:val="001F574D"/>
    <w:rsid w:val="001F579E"/>
    <w:rsid w:val="001F5A01"/>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4F"/>
    <w:rsid w:val="002468E0"/>
    <w:rsid w:val="002470CC"/>
    <w:rsid w:val="00247994"/>
    <w:rsid w:val="00250539"/>
    <w:rsid w:val="002508B1"/>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57E5A"/>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4E6"/>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A56"/>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3FB9"/>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19FC"/>
    <w:rsid w:val="002C2622"/>
    <w:rsid w:val="002C3B48"/>
    <w:rsid w:val="002C3E10"/>
    <w:rsid w:val="002C45F8"/>
    <w:rsid w:val="002C4684"/>
    <w:rsid w:val="002C4983"/>
    <w:rsid w:val="002C4AC0"/>
    <w:rsid w:val="002C4C30"/>
    <w:rsid w:val="002C5039"/>
    <w:rsid w:val="002C5090"/>
    <w:rsid w:val="002C50BB"/>
    <w:rsid w:val="002C5523"/>
    <w:rsid w:val="002C5591"/>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1C6"/>
    <w:rsid w:val="002D771B"/>
    <w:rsid w:val="002D77A5"/>
    <w:rsid w:val="002D786F"/>
    <w:rsid w:val="002D7F39"/>
    <w:rsid w:val="002E000E"/>
    <w:rsid w:val="002E04BA"/>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BA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8D3"/>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B10"/>
    <w:rsid w:val="00314D8D"/>
    <w:rsid w:val="00316088"/>
    <w:rsid w:val="00316ABE"/>
    <w:rsid w:val="00316CAE"/>
    <w:rsid w:val="0031797D"/>
    <w:rsid w:val="0032018C"/>
    <w:rsid w:val="00320355"/>
    <w:rsid w:val="00320C23"/>
    <w:rsid w:val="00321190"/>
    <w:rsid w:val="00321495"/>
    <w:rsid w:val="003222EF"/>
    <w:rsid w:val="0032256F"/>
    <w:rsid w:val="00322B07"/>
    <w:rsid w:val="003232B0"/>
    <w:rsid w:val="00323772"/>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15A"/>
    <w:rsid w:val="00346FBC"/>
    <w:rsid w:val="00347373"/>
    <w:rsid w:val="00347381"/>
    <w:rsid w:val="003473C6"/>
    <w:rsid w:val="003476C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A92"/>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D1D"/>
    <w:rsid w:val="0037217E"/>
    <w:rsid w:val="003722A2"/>
    <w:rsid w:val="00372BC7"/>
    <w:rsid w:val="003733E2"/>
    <w:rsid w:val="0037348A"/>
    <w:rsid w:val="003739B4"/>
    <w:rsid w:val="0037437B"/>
    <w:rsid w:val="00374B7E"/>
    <w:rsid w:val="003750F7"/>
    <w:rsid w:val="0037599F"/>
    <w:rsid w:val="00375AAF"/>
    <w:rsid w:val="00375F7E"/>
    <w:rsid w:val="003767EE"/>
    <w:rsid w:val="00376E1F"/>
    <w:rsid w:val="00376F2B"/>
    <w:rsid w:val="00376F61"/>
    <w:rsid w:val="00376F80"/>
    <w:rsid w:val="00377B0C"/>
    <w:rsid w:val="00377FFD"/>
    <w:rsid w:val="00380193"/>
    <w:rsid w:val="003802BA"/>
    <w:rsid w:val="0038072C"/>
    <w:rsid w:val="00380A4B"/>
    <w:rsid w:val="00380A7B"/>
    <w:rsid w:val="00381244"/>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CBA"/>
    <w:rsid w:val="00391FA3"/>
    <w:rsid w:val="003928A7"/>
    <w:rsid w:val="00392B62"/>
    <w:rsid w:val="00392B8A"/>
    <w:rsid w:val="00392F23"/>
    <w:rsid w:val="003931C4"/>
    <w:rsid w:val="003931D4"/>
    <w:rsid w:val="0039383D"/>
    <w:rsid w:val="003938A6"/>
    <w:rsid w:val="00395005"/>
    <w:rsid w:val="00395650"/>
    <w:rsid w:val="00396862"/>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EC7"/>
    <w:rsid w:val="003B3673"/>
    <w:rsid w:val="003B37F0"/>
    <w:rsid w:val="003B3C05"/>
    <w:rsid w:val="003B4005"/>
    <w:rsid w:val="003B4BAB"/>
    <w:rsid w:val="003B4FF8"/>
    <w:rsid w:val="003B50F3"/>
    <w:rsid w:val="003B5178"/>
    <w:rsid w:val="003B68FE"/>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3FDD"/>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350"/>
    <w:rsid w:val="003F3BCD"/>
    <w:rsid w:val="003F4197"/>
    <w:rsid w:val="003F47F1"/>
    <w:rsid w:val="003F4809"/>
    <w:rsid w:val="003F4D8C"/>
    <w:rsid w:val="003F4ED8"/>
    <w:rsid w:val="003F5323"/>
    <w:rsid w:val="003F5684"/>
    <w:rsid w:val="003F5842"/>
    <w:rsid w:val="003F6424"/>
    <w:rsid w:val="003F6778"/>
    <w:rsid w:val="003F68F3"/>
    <w:rsid w:val="003F69BC"/>
    <w:rsid w:val="003F6B07"/>
    <w:rsid w:val="003F6BB0"/>
    <w:rsid w:val="003F6C16"/>
    <w:rsid w:val="003F6CF1"/>
    <w:rsid w:val="003F7396"/>
    <w:rsid w:val="003F750E"/>
    <w:rsid w:val="003F767C"/>
    <w:rsid w:val="0040007F"/>
    <w:rsid w:val="004003FD"/>
    <w:rsid w:val="0040064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4CE6"/>
    <w:rsid w:val="00415E42"/>
    <w:rsid w:val="00416EC4"/>
    <w:rsid w:val="0041717F"/>
    <w:rsid w:val="00417C2D"/>
    <w:rsid w:val="00417DA5"/>
    <w:rsid w:val="004201F5"/>
    <w:rsid w:val="004207C6"/>
    <w:rsid w:val="00420BC3"/>
    <w:rsid w:val="00420CC5"/>
    <w:rsid w:val="00420E3F"/>
    <w:rsid w:val="00420E76"/>
    <w:rsid w:val="0042110C"/>
    <w:rsid w:val="00421150"/>
    <w:rsid w:val="00421AB7"/>
    <w:rsid w:val="00421D71"/>
    <w:rsid w:val="0042210D"/>
    <w:rsid w:val="00422212"/>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6D3F"/>
    <w:rsid w:val="00437116"/>
    <w:rsid w:val="00437198"/>
    <w:rsid w:val="0043790A"/>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5DEC"/>
    <w:rsid w:val="00446423"/>
    <w:rsid w:val="004465F5"/>
    <w:rsid w:val="00446A16"/>
    <w:rsid w:val="00446AD7"/>
    <w:rsid w:val="004471D7"/>
    <w:rsid w:val="00447A55"/>
    <w:rsid w:val="0045077D"/>
    <w:rsid w:val="00450A8F"/>
    <w:rsid w:val="00450F26"/>
    <w:rsid w:val="004513F3"/>
    <w:rsid w:val="00451431"/>
    <w:rsid w:val="00451F8A"/>
    <w:rsid w:val="0045270F"/>
    <w:rsid w:val="004529FD"/>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1640"/>
    <w:rsid w:val="004A20A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9EA"/>
    <w:rsid w:val="004C1BA7"/>
    <w:rsid w:val="004C2241"/>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30B"/>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3E2"/>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B84"/>
    <w:rsid w:val="004E2C23"/>
    <w:rsid w:val="004E362E"/>
    <w:rsid w:val="004E3D12"/>
    <w:rsid w:val="004E42BD"/>
    <w:rsid w:val="004E4D09"/>
    <w:rsid w:val="004E509C"/>
    <w:rsid w:val="004E5306"/>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746E"/>
    <w:rsid w:val="005075CB"/>
    <w:rsid w:val="00507B34"/>
    <w:rsid w:val="00507EC2"/>
    <w:rsid w:val="0051016F"/>
    <w:rsid w:val="005109D6"/>
    <w:rsid w:val="00510D72"/>
    <w:rsid w:val="005111AD"/>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4AF"/>
    <w:rsid w:val="005206C5"/>
    <w:rsid w:val="005208C0"/>
    <w:rsid w:val="00520ADF"/>
    <w:rsid w:val="00520E55"/>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63AE"/>
    <w:rsid w:val="00536E5D"/>
    <w:rsid w:val="00537086"/>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FD1"/>
    <w:rsid w:val="005556AD"/>
    <w:rsid w:val="00555BC2"/>
    <w:rsid w:val="005561DB"/>
    <w:rsid w:val="00556508"/>
    <w:rsid w:val="0055788B"/>
    <w:rsid w:val="0055798C"/>
    <w:rsid w:val="00557A1B"/>
    <w:rsid w:val="00557CDA"/>
    <w:rsid w:val="0056065A"/>
    <w:rsid w:val="00560D55"/>
    <w:rsid w:val="00561182"/>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19E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9B7"/>
    <w:rsid w:val="005A0B75"/>
    <w:rsid w:val="005A0DF6"/>
    <w:rsid w:val="005A1B17"/>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136"/>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3E68"/>
    <w:rsid w:val="005F473C"/>
    <w:rsid w:val="005F474C"/>
    <w:rsid w:val="005F47CB"/>
    <w:rsid w:val="005F4905"/>
    <w:rsid w:val="005F4B0C"/>
    <w:rsid w:val="005F546E"/>
    <w:rsid w:val="005F555E"/>
    <w:rsid w:val="005F5A85"/>
    <w:rsid w:val="005F65BD"/>
    <w:rsid w:val="005F6A08"/>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1E5"/>
    <w:rsid w:val="006372C3"/>
    <w:rsid w:val="006372ED"/>
    <w:rsid w:val="006377D0"/>
    <w:rsid w:val="00637FA1"/>
    <w:rsid w:val="0064084F"/>
    <w:rsid w:val="006413D0"/>
    <w:rsid w:val="006414E0"/>
    <w:rsid w:val="006414F7"/>
    <w:rsid w:val="00641577"/>
    <w:rsid w:val="00641BBB"/>
    <w:rsid w:val="006425C8"/>
    <w:rsid w:val="00642852"/>
    <w:rsid w:val="00642B14"/>
    <w:rsid w:val="00642F16"/>
    <w:rsid w:val="0064304B"/>
    <w:rsid w:val="00643167"/>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3C7"/>
    <w:rsid w:val="006605EB"/>
    <w:rsid w:val="00660EA3"/>
    <w:rsid w:val="006617DD"/>
    <w:rsid w:val="0066271D"/>
    <w:rsid w:val="00662C36"/>
    <w:rsid w:val="00662CC5"/>
    <w:rsid w:val="00662FFD"/>
    <w:rsid w:val="006633D7"/>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6A97"/>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6476"/>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6"/>
    <w:rsid w:val="006C76EA"/>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4DA"/>
    <w:rsid w:val="006E5F93"/>
    <w:rsid w:val="006E69BE"/>
    <w:rsid w:val="006E6BD7"/>
    <w:rsid w:val="006E6C8E"/>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05D"/>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86A"/>
    <w:rsid w:val="00707B0A"/>
    <w:rsid w:val="007106FD"/>
    <w:rsid w:val="00710928"/>
    <w:rsid w:val="00710A01"/>
    <w:rsid w:val="00711177"/>
    <w:rsid w:val="00711260"/>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9EC"/>
    <w:rsid w:val="00762B3A"/>
    <w:rsid w:val="0076340A"/>
    <w:rsid w:val="0076379F"/>
    <w:rsid w:val="0076398E"/>
    <w:rsid w:val="00763A60"/>
    <w:rsid w:val="00763BE3"/>
    <w:rsid w:val="00763DE1"/>
    <w:rsid w:val="00764542"/>
    <w:rsid w:val="007645E0"/>
    <w:rsid w:val="00764C2F"/>
    <w:rsid w:val="00764D72"/>
    <w:rsid w:val="00766077"/>
    <w:rsid w:val="007664C8"/>
    <w:rsid w:val="007669B9"/>
    <w:rsid w:val="007669CC"/>
    <w:rsid w:val="00766B56"/>
    <w:rsid w:val="00767694"/>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A18"/>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117"/>
    <w:rsid w:val="007A79E5"/>
    <w:rsid w:val="007A7B79"/>
    <w:rsid w:val="007A7C6F"/>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E78"/>
    <w:rsid w:val="007D4C9C"/>
    <w:rsid w:val="007D5761"/>
    <w:rsid w:val="007D59C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39E"/>
    <w:rsid w:val="007E1A99"/>
    <w:rsid w:val="007E1F07"/>
    <w:rsid w:val="007E247C"/>
    <w:rsid w:val="007E25A8"/>
    <w:rsid w:val="007E2877"/>
    <w:rsid w:val="007E293D"/>
    <w:rsid w:val="007E2E20"/>
    <w:rsid w:val="007E3709"/>
    <w:rsid w:val="007E3F84"/>
    <w:rsid w:val="007E45CF"/>
    <w:rsid w:val="007E5573"/>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57B0"/>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FC"/>
    <w:rsid w:val="00841F94"/>
    <w:rsid w:val="008420D6"/>
    <w:rsid w:val="00842BB2"/>
    <w:rsid w:val="00843758"/>
    <w:rsid w:val="00843A8E"/>
    <w:rsid w:val="00844007"/>
    <w:rsid w:val="008441D6"/>
    <w:rsid w:val="00844297"/>
    <w:rsid w:val="00844562"/>
    <w:rsid w:val="00844860"/>
    <w:rsid w:val="00844BA4"/>
    <w:rsid w:val="00844EB6"/>
    <w:rsid w:val="0084526F"/>
    <w:rsid w:val="00845DED"/>
    <w:rsid w:val="008460FB"/>
    <w:rsid w:val="008463EA"/>
    <w:rsid w:val="008464FB"/>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643"/>
    <w:rsid w:val="00862AB2"/>
    <w:rsid w:val="008634F9"/>
    <w:rsid w:val="00863700"/>
    <w:rsid w:val="00863716"/>
    <w:rsid w:val="00863926"/>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2D8"/>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9D7"/>
    <w:rsid w:val="008A0C58"/>
    <w:rsid w:val="008A119F"/>
    <w:rsid w:val="008A1472"/>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5EB"/>
    <w:rsid w:val="008B77FC"/>
    <w:rsid w:val="008B7B2B"/>
    <w:rsid w:val="008C049F"/>
    <w:rsid w:val="008C192F"/>
    <w:rsid w:val="008C197B"/>
    <w:rsid w:val="008C1A0E"/>
    <w:rsid w:val="008C25A0"/>
    <w:rsid w:val="008C2FCA"/>
    <w:rsid w:val="008C3547"/>
    <w:rsid w:val="008C3CB1"/>
    <w:rsid w:val="008C40D5"/>
    <w:rsid w:val="008C4C86"/>
    <w:rsid w:val="008C4E89"/>
    <w:rsid w:val="008C5895"/>
    <w:rsid w:val="008C5A78"/>
    <w:rsid w:val="008C66BD"/>
    <w:rsid w:val="008C6F1D"/>
    <w:rsid w:val="008C70B4"/>
    <w:rsid w:val="008C7644"/>
    <w:rsid w:val="008C7B37"/>
    <w:rsid w:val="008D0250"/>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2851"/>
    <w:rsid w:val="008E36DB"/>
    <w:rsid w:val="008E3A2C"/>
    <w:rsid w:val="008E412D"/>
    <w:rsid w:val="008E50E4"/>
    <w:rsid w:val="008E5334"/>
    <w:rsid w:val="008E5A62"/>
    <w:rsid w:val="008E638B"/>
    <w:rsid w:val="008E6592"/>
    <w:rsid w:val="008E69E7"/>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602"/>
    <w:rsid w:val="00923780"/>
    <w:rsid w:val="0092381F"/>
    <w:rsid w:val="00924A60"/>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CCF"/>
    <w:rsid w:val="009363CF"/>
    <w:rsid w:val="00936538"/>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5B5"/>
    <w:rsid w:val="00951206"/>
    <w:rsid w:val="00951517"/>
    <w:rsid w:val="00951BD7"/>
    <w:rsid w:val="00951E5A"/>
    <w:rsid w:val="00951F1E"/>
    <w:rsid w:val="00952362"/>
    <w:rsid w:val="00952410"/>
    <w:rsid w:val="00952597"/>
    <w:rsid w:val="00952762"/>
    <w:rsid w:val="00952B71"/>
    <w:rsid w:val="009530AF"/>
    <w:rsid w:val="0095346D"/>
    <w:rsid w:val="00953805"/>
    <w:rsid w:val="00953F2B"/>
    <w:rsid w:val="009541DB"/>
    <w:rsid w:val="009543FD"/>
    <w:rsid w:val="009546BD"/>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73"/>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412C"/>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8FB"/>
    <w:rsid w:val="00992EF5"/>
    <w:rsid w:val="00992F8C"/>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53D"/>
    <w:rsid w:val="009D366A"/>
    <w:rsid w:val="009D37B7"/>
    <w:rsid w:val="009D37DE"/>
    <w:rsid w:val="009D5A25"/>
    <w:rsid w:val="009D5CFB"/>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3B5"/>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CFA"/>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BB4"/>
    <w:rsid w:val="00A41E07"/>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47A79"/>
    <w:rsid w:val="00A50109"/>
    <w:rsid w:val="00A502CD"/>
    <w:rsid w:val="00A50667"/>
    <w:rsid w:val="00A50B34"/>
    <w:rsid w:val="00A51D53"/>
    <w:rsid w:val="00A51F23"/>
    <w:rsid w:val="00A53040"/>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5DF"/>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4A3"/>
    <w:rsid w:val="00A80BA0"/>
    <w:rsid w:val="00A80CAE"/>
    <w:rsid w:val="00A81679"/>
    <w:rsid w:val="00A81BC6"/>
    <w:rsid w:val="00A81C28"/>
    <w:rsid w:val="00A829CA"/>
    <w:rsid w:val="00A82D34"/>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72D1"/>
    <w:rsid w:val="00A87737"/>
    <w:rsid w:val="00A90334"/>
    <w:rsid w:val="00A90382"/>
    <w:rsid w:val="00A913FC"/>
    <w:rsid w:val="00A917D3"/>
    <w:rsid w:val="00A91BAB"/>
    <w:rsid w:val="00A91CA9"/>
    <w:rsid w:val="00A92317"/>
    <w:rsid w:val="00A92AB1"/>
    <w:rsid w:val="00A92EC8"/>
    <w:rsid w:val="00A934BC"/>
    <w:rsid w:val="00A93951"/>
    <w:rsid w:val="00A93CD3"/>
    <w:rsid w:val="00A93DEA"/>
    <w:rsid w:val="00A94908"/>
    <w:rsid w:val="00A95191"/>
    <w:rsid w:val="00A955B1"/>
    <w:rsid w:val="00A95CC6"/>
    <w:rsid w:val="00A96273"/>
    <w:rsid w:val="00A96603"/>
    <w:rsid w:val="00A9698C"/>
    <w:rsid w:val="00A97B18"/>
    <w:rsid w:val="00A97C13"/>
    <w:rsid w:val="00AA08BE"/>
    <w:rsid w:val="00AA0CBE"/>
    <w:rsid w:val="00AA0E3C"/>
    <w:rsid w:val="00AA1A97"/>
    <w:rsid w:val="00AA1C66"/>
    <w:rsid w:val="00AA2028"/>
    <w:rsid w:val="00AA2F19"/>
    <w:rsid w:val="00AA507B"/>
    <w:rsid w:val="00AA5EE8"/>
    <w:rsid w:val="00AA63D8"/>
    <w:rsid w:val="00AA69DA"/>
    <w:rsid w:val="00AA6AB1"/>
    <w:rsid w:val="00AA6BE0"/>
    <w:rsid w:val="00AA6EFE"/>
    <w:rsid w:val="00AA73BC"/>
    <w:rsid w:val="00AA750F"/>
    <w:rsid w:val="00AA7A3B"/>
    <w:rsid w:val="00AA7D43"/>
    <w:rsid w:val="00AB0E65"/>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322"/>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0F8"/>
    <w:rsid w:val="00AD6598"/>
    <w:rsid w:val="00AD66EE"/>
    <w:rsid w:val="00AD705D"/>
    <w:rsid w:val="00AD71F5"/>
    <w:rsid w:val="00AD7767"/>
    <w:rsid w:val="00AD7A69"/>
    <w:rsid w:val="00AD7B0C"/>
    <w:rsid w:val="00AE05F7"/>
    <w:rsid w:val="00AE0F8C"/>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3FD"/>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716"/>
    <w:rsid w:val="00B02C05"/>
    <w:rsid w:val="00B03045"/>
    <w:rsid w:val="00B035AB"/>
    <w:rsid w:val="00B04848"/>
    <w:rsid w:val="00B05CA6"/>
    <w:rsid w:val="00B05F38"/>
    <w:rsid w:val="00B06A13"/>
    <w:rsid w:val="00B06BAF"/>
    <w:rsid w:val="00B06FDD"/>
    <w:rsid w:val="00B0777E"/>
    <w:rsid w:val="00B07948"/>
    <w:rsid w:val="00B07E5C"/>
    <w:rsid w:val="00B105E3"/>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0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750"/>
    <w:rsid w:val="00B23AF4"/>
    <w:rsid w:val="00B23D95"/>
    <w:rsid w:val="00B23EE8"/>
    <w:rsid w:val="00B245E5"/>
    <w:rsid w:val="00B245FA"/>
    <w:rsid w:val="00B25148"/>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524"/>
    <w:rsid w:val="00B338A6"/>
    <w:rsid w:val="00B33A0F"/>
    <w:rsid w:val="00B33C85"/>
    <w:rsid w:val="00B33E9D"/>
    <w:rsid w:val="00B34747"/>
    <w:rsid w:val="00B34E78"/>
    <w:rsid w:val="00B35009"/>
    <w:rsid w:val="00B3584F"/>
    <w:rsid w:val="00B3607B"/>
    <w:rsid w:val="00B36415"/>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61B"/>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2FD"/>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B0030"/>
    <w:rsid w:val="00BB1333"/>
    <w:rsid w:val="00BB2BA3"/>
    <w:rsid w:val="00BB30AC"/>
    <w:rsid w:val="00BB338A"/>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B7EB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8D7"/>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B31"/>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499"/>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AD6"/>
    <w:rsid w:val="00C06085"/>
    <w:rsid w:val="00C0637C"/>
    <w:rsid w:val="00C063C4"/>
    <w:rsid w:val="00C067F0"/>
    <w:rsid w:val="00C078A6"/>
    <w:rsid w:val="00C07B2B"/>
    <w:rsid w:val="00C10144"/>
    <w:rsid w:val="00C107EC"/>
    <w:rsid w:val="00C10B04"/>
    <w:rsid w:val="00C10CF9"/>
    <w:rsid w:val="00C10F53"/>
    <w:rsid w:val="00C11BD4"/>
    <w:rsid w:val="00C11FFB"/>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642E"/>
    <w:rsid w:val="00C1731E"/>
    <w:rsid w:val="00C17D60"/>
    <w:rsid w:val="00C17FA2"/>
    <w:rsid w:val="00C21F05"/>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377"/>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6F24"/>
    <w:rsid w:val="00C37681"/>
    <w:rsid w:val="00C3771D"/>
    <w:rsid w:val="00C378ED"/>
    <w:rsid w:val="00C37E2A"/>
    <w:rsid w:val="00C40E9C"/>
    <w:rsid w:val="00C40FF8"/>
    <w:rsid w:val="00C41BBC"/>
    <w:rsid w:val="00C41D0E"/>
    <w:rsid w:val="00C426F3"/>
    <w:rsid w:val="00C429BC"/>
    <w:rsid w:val="00C42B6D"/>
    <w:rsid w:val="00C42D37"/>
    <w:rsid w:val="00C431B3"/>
    <w:rsid w:val="00C43A90"/>
    <w:rsid w:val="00C43D20"/>
    <w:rsid w:val="00C44194"/>
    <w:rsid w:val="00C449AF"/>
    <w:rsid w:val="00C45196"/>
    <w:rsid w:val="00C45A37"/>
    <w:rsid w:val="00C45D1C"/>
    <w:rsid w:val="00C45F3C"/>
    <w:rsid w:val="00C47C36"/>
    <w:rsid w:val="00C47E58"/>
    <w:rsid w:val="00C50150"/>
    <w:rsid w:val="00C51210"/>
    <w:rsid w:val="00C5168A"/>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3948"/>
    <w:rsid w:val="00C63D8B"/>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1AA6"/>
    <w:rsid w:val="00CB291D"/>
    <w:rsid w:val="00CB2FD7"/>
    <w:rsid w:val="00CB3126"/>
    <w:rsid w:val="00CB37FA"/>
    <w:rsid w:val="00CB3B98"/>
    <w:rsid w:val="00CB4807"/>
    <w:rsid w:val="00CB569A"/>
    <w:rsid w:val="00CB5BE1"/>
    <w:rsid w:val="00CB611E"/>
    <w:rsid w:val="00CB686D"/>
    <w:rsid w:val="00CB6B86"/>
    <w:rsid w:val="00CB6B9D"/>
    <w:rsid w:val="00CB707C"/>
    <w:rsid w:val="00CB759E"/>
    <w:rsid w:val="00CB7B5E"/>
    <w:rsid w:val="00CB7C08"/>
    <w:rsid w:val="00CC020C"/>
    <w:rsid w:val="00CC08F2"/>
    <w:rsid w:val="00CC18AC"/>
    <w:rsid w:val="00CC1A42"/>
    <w:rsid w:val="00CC2232"/>
    <w:rsid w:val="00CC2A00"/>
    <w:rsid w:val="00CC378E"/>
    <w:rsid w:val="00CC3FCF"/>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1F55"/>
    <w:rsid w:val="00CF2497"/>
    <w:rsid w:val="00CF27DE"/>
    <w:rsid w:val="00CF2FB2"/>
    <w:rsid w:val="00CF3081"/>
    <w:rsid w:val="00CF3206"/>
    <w:rsid w:val="00CF37FE"/>
    <w:rsid w:val="00CF39B9"/>
    <w:rsid w:val="00CF3B13"/>
    <w:rsid w:val="00CF3B75"/>
    <w:rsid w:val="00CF429F"/>
    <w:rsid w:val="00CF4B66"/>
    <w:rsid w:val="00CF6D7C"/>
    <w:rsid w:val="00CF78C7"/>
    <w:rsid w:val="00CF7C1A"/>
    <w:rsid w:val="00CF7D61"/>
    <w:rsid w:val="00CF7EEE"/>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665"/>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AC7"/>
    <w:rsid w:val="00D27E97"/>
    <w:rsid w:val="00D31025"/>
    <w:rsid w:val="00D311F2"/>
    <w:rsid w:val="00D31463"/>
    <w:rsid w:val="00D32190"/>
    <w:rsid w:val="00D32275"/>
    <w:rsid w:val="00D322BB"/>
    <w:rsid w:val="00D325D8"/>
    <w:rsid w:val="00D33789"/>
    <w:rsid w:val="00D33C09"/>
    <w:rsid w:val="00D33CC1"/>
    <w:rsid w:val="00D33E7B"/>
    <w:rsid w:val="00D34C8C"/>
    <w:rsid w:val="00D3531C"/>
    <w:rsid w:val="00D36179"/>
    <w:rsid w:val="00D3719C"/>
    <w:rsid w:val="00D37435"/>
    <w:rsid w:val="00D3750C"/>
    <w:rsid w:val="00D378EB"/>
    <w:rsid w:val="00D37AB2"/>
    <w:rsid w:val="00D37AB8"/>
    <w:rsid w:val="00D37E51"/>
    <w:rsid w:val="00D40128"/>
    <w:rsid w:val="00D40175"/>
    <w:rsid w:val="00D4072D"/>
    <w:rsid w:val="00D41030"/>
    <w:rsid w:val="00D4145B"/>
    <w:rsid w:val="00D41AAE"/>
    <w:rsid w:val="00D4214A"/>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D7C"/>
    <w:rsid w:val="00D62E59"/>
    <w:rsid w:val="00D6333D"/>
    <w:rsid w:val="00D633E5"/>
    <w:rsid w:val="00D639BD"/>
    <w:rsid w:val="00D63C40"/>
    <w:rsid w:val="00D6524E"/>
    <w:rsid w:val="00D65A53"/>
    <w:rsid w:val="00D65D95"/>
    <w:rsid w:val="00D65FBA"/>
    <w:rsid w:val="00D66276"/>
    <w:rsid w:val="00D669DC"/>
    <w:rsid w:val="00D66B49"/>
    <w:rsid w:val="00D67665"/>
    <w:rsid w:val="00D67902"/>
    <w:rsid w:val="00D67B7B"/>
    <w:rsid w:val="00D7070D"/>
    <w:rsid w:val="00D7080B"/>
    <w:rsid w:val="00D70A1B"/>
    <w:rsid w:val="00D70CBD"/>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0EC4"/>
    <w:rsid w:val="00DA1514"/>
    <w:rsid w:val="00DA15C1"/>
    <w:rsid w:val="00DA22FB"/>
    <w:rsid w:val="00DA3326"/>
    <w:rsid w:val="00DA37F5"/>
    <w:rsid w:val="00DA3DFC"/>
    <w:rsid w:val="00DA4AEC"/>
    <w:rsid w:val="00DA569C"/>
    <w:rsid w:val="00DA59FF"/>
    <w:rsid w:val="00DA5B56"/>
    <w:rsid w:val="00DA6B15"/>
    <w:rsid w:val="00DA6FAB"/>
    <w:rsid w:val="00DA72AF"/>
    <w:rsid w:val="00DA7790"/>
    <w:rsid w:val="00DA7AF6"/>
    <w:rsid w:val="00DB02C2"/>
    <w:rsid w:val="00DB0F88"/>
    <w:rsid w:val="00DB12FC"/>
    <w:rsid w:val="00DB22A9"/>
    <w:rsid w:val="00DB2703"/>
    <w:rsid w:val="00DB2792"/>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2B83"/>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200"/>
    <w:rsid w:val="00DE6264"/>
    <w:rsid w:val="00DE6847"/>
    <w:rsid w:val="00DE68FE"/>
    <w:rsid w:val="00DE7EFF"/>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5E7"/>
    <w:rsid w:val="00DF7973"/>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57D"/>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27FC5"/>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955"/>
    <w:rsid w:val="00E50CCF"/>
    <w:rsid w:val="00E50EE6"/>
    <w:rsid w:val="00E51143"/>
    <w:rsid w:val="00E511D6"/>
    <w:rsid w:val="00E5171F"/>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11"/>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4D82"/>
    <w:rsid w:val="00EA5069"/>
    <w:rsid w:val="00EA614B"/>
    <w:rsid w:val="00EA6363"/>
    <w:rsid w:val="00EA73E5"/>
    <w:rsid w:val="00EA756D"/>
    <w:rsid w:val="00EA7889"/>
    <w:rsid w:val="00EA7EBD"/>
    <w:rsid w:val="00EB04B0"/>
    <w:rsid w:val="00EB10C7"/>
    <w:rsid w:val="00EB1579"/>
    <w:rsid w:val="00EB165D"/>
    <w:rsid w:val="00EB1DC2"/>
    <w:rsid w:val="00EB2529"/>
    <w:rsid w:val="00EB29A8"/>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3BA"/>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406"/>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E14"/>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614"/>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2F1"/>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E5B"/>
    <w:rsid w:val="00F4148A"/>
    <w:rsid w:val="00F41DC1"/>
    <w:rsid w:val="00F41E9A"/>
    <w:rsid w:val="00F41FF0"/>
    <w:rsid w:val="00F427DE"/>
    <w:rsid w:val="00F4313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75A"/>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FC5"/>
    <w:rsid w:val="00FC43D5"/>
    <w:rsid w:val="00FC4973"/>
    <w:rsid w:val="00FC4AA8"/>
    <w:rsid w:val="00FC5379"/>
    <w:rsid w:val="00FC566E"/>
    <w:rsid w:val="00FC5C46"/>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16D"/>
    <w:rsid w:val="00FE4A33"/>
    <w:rsid w:val="00FE4ABF"/>
    <w:rsid w:val="00FE50AC"/>
    <w:rsid w:val="00FE55BD"/>
    <w:rsid w:val="00FE5BB7"/>
    <w:rsid w:val="00FE5E8D"/>
    <w:rsid w:val="00FE6049"/>
    <w:rsid w:val="00FE68B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 w:val="00FF78B0"/>
    <w:rsid w:val="01ED9447"/>
    <w:rsid w:val="020E73DB"/>
    <w:rsid w:val="02960106"/>
    <w:rsid w:val="02AB144F"/>
    <w:rsid w:val="02DDE41A"/>
    <w:rsid w:val="02DFB4FF"/>
    <w:rsid w:val="04262851"/>
    <w:rsid w:val="0555C5BD"/>
    <w:rsid w:val="057985F5"/>
    <w:rsid w:val="063DDAD5"/>
    <w:rsid w:val="075DC913"/>
    <w:rsid w:val="07DA6FF3"/>
    <w:rsid w:val="0812F880"/>
    <w:rsid w:val="08499E80"/>
    <w:rsid w:val="08A26432"/>
    <w:rsid w:val="092B1FDC"/>
    <w:rsid w:val="09917B81"/>
    <w:rsid w:val="0BE723DB"/>
    <w:rsid w:val="0CD3B5E3"/>
    <w:rsid w:val="0CFA80D7"/>
    <w:rsid w:val="0D26E531"/>
    <w:rsid w:val="0E2409E1"/>
    <w:rsid w:val="0EB0BA2D"/>
    <w:rsid w:val="0F66E1BF"/>
    <w:rsid w:val="0F95CF8B"/>
    <w:rsid w:val="0FE4E95E"/>
    <w:rsid w:val="1248FEBD"/>
    <w:rsid w:val="1257355E"/>
    <w:rsid w:val="1462007E"/>
    <w:rsid w:val="14FC2280"/>
    <w:rsid w:val="163AF836"/>
    <w:rsid w:val="17482186"/>
    <w:rsid w:val="1833C342"/>
    <w:rsid w:val="19641478"/>
    <w:rsid w:val="1BEE9954"/>
    <w:rsid w:val="1CA18237"/>
    <w:rsid w:val="1CEAA5A8"/>
    <w:rsid w:val="1D0A5DE8"/>
    <w:rsid w:val="1D352FE1"/>
    <w:rsid w:val="1D54AD8C"/>
    <w:rsid w:val="1F1CB3EC"/>
    <w:rsid w:val="21F973FC"/>
    <w:rsid w:val="245C58E4"/>
    <w:rsid w:val="2513E21E"/>
    <w:rsid w:val="25BF9C89"/>
    <w:rsid w:val="26C1AB0E"/>
    <w:rsid w:val="271CC72B"/>
    <w:rsid w:val="276B5689"/>
    <w:rsid w:val="27B20AB2"/>
    <w:rsid w:val="27B85F2E"/>
    <w:rsid w:val="281FADD3"/>
    <w:rsid w:val="2CCBCEAF"/>
    <w:rsid w:val="2D8F4211"/>
    <w:rsid w:val="2FC97306"/>
    <w:rsid w:val="2FD6AF04"/>
    <w:rsid w:val="314A57B8"/>
    <w:rsid w:val="3481F87A"/>
    <w:rsid w:val="34FAEE59"/>
    <w:rsid w:val="3696BEBA"/>
    <w:rsid w:val="36CDC3CF"/>
    <w:rsid w:val="393B6D5A"/>
    <w:rsid w:val="3A09E0FD"/>
    <w:rsid w:val="3B870A67"/>
    <w:rsid w:val="3D13B81A"/>
    <w:rsid w:val="4030DE16"/>
    <w:rsid w:val="443B41C5"/>
    <w:rsid w:val="451E29AD"/>
    <w:rsid w:val="452E3C91"/>
    <w:rsid w:val="45AEC8AC"/>
    <w:rsid w:val="47BCE65B"/>
    <w:rsid w:val="47D9A708"/>
    <w:rsid w:val="49514EC7"/>
    <w:rsid w:val="4A7287A5"/>
    <w:rsid w:val="4B8E15FD"/>
    <w:rsid w:val="4C5AEE3D"/>
    <w:rsid w:val="4DFD013D"/>
    <w:rsid w:val="4E2DC3B3"/>
    <w:rsid w:val="4FE2BC71"/>
    <w:rsid w:val="50F85D9A"/>
    <w:rsid w:val="510BF8E4"/>
    <w:rsid w:val="51710D8B"/>
    <w:rsid w:val="517E8CD2"/>
    <w:rsid w:val="5205FC6C"/>
    <w:rsid w:val="521D3BC5"/>
    <w:rsid w:val="527DF8DB"/>
    <w:rsid w:val="52C2C9AC"/>
    <w:rsid w:val="53E57BFD"/>
    <w:rsid w:val="55206750"/>
    <w:rsid w:val="5528F475"/>
    <w:rsid w:val="57A6D6D2"/>
    <w:rsid w:val="58CF0911"/>
    <w:rsid w:val="59194118"/>
    <w:rsid w:val="5B065639"/>
    <w:rsid w:val="5B084D71"/>
    <w:rsid w:val="5C3497CE"/>
    <w:rsid w:val="5C56719D"/>
    <w:rsid w:val="5CBEFDF7"/>
    <w:rsid w:val="5D2EEDD3"/>
    <w:rsid w:val="5D722A88"/>
    <w:rsid w:val="6003F8C9"/>
    <w:rsid w:val="602CD481"/>
    <w:rsid w:val="60BADC14"/>
    <w:rsid w:val="611C3F63"/>
    <w:rsid w:val="613AECC1"/>
    <w:rsid w:val="6168B194"/>
    <w:rsid w:val="61DA924E"/>
    <w:rsid w:val="626B0C91"/>
    <w:rsid w:val="63D72F05"/>
    <w:rsid w:val="63FE0619"/>
    <w:rsid w:val="6416C4A9"/>
    <w:rsid w:val="661FE1D3"/>
    <w:rsid w:val="66511E35"/>
    <w:rsid w:val="66D68CCF"/>
    <w:rsid w:val="67CC52A3"/>
    <w:rsid w:val="688533C2"/>
    <w:rsid w:val="6B47AD52"/>
    <w:rsid w:val="6B903111"/>
    <w:rsid w:val="6CE49CE2"/>
    <w:rsid w:val="6D19D0BF"/>
    <w:rsid w:val="6E662ABD"/>
    <w:rsid w:val="6EC6F053"/>
    <w:rsid w:val="70D65AF4"/>
    <w:rsid w:val="735A98AC"/>
    <w:rsid w:val="73EAB35B"/>
    <w:rsid w:val="75B886CF"/>
    <w:rsid w:val="762253A7"/>
    <w:rsid w:val="78F370D4"/>
    <w:rsid w:val="79DAF42C"/>
    <w:rsid w:val="79E87373"/>
    <w:rsid w:val="7B335785"/>
    <w:rsid w:val="7B7BEF62"/>
    <w:rsid w:val="7BC21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2D5E2"/>
  <w14:defaultImageDpi w14:val="0"/>
  <w15:docId w15:val="{CC80F267-5128-4761-9416-EA6F4637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21225">
      <w:bodyDiv w:val="1"/>
      <w:marLeft w:val="0"/>
      <w:marRight w:val="0"/>
      <w:marTop w:val="0"/>
      <w:marBottom w:val="0"/>
      <w:divBdr>
        <w:top w:val="none" w:sz="0" w:space="0" w:color="auto"/>
        <w:left w:val="none" w:sz="0" w:space="0" w:color="auto"/>
        <w:bottom w:val="none" w:sz="0" w:space="0" w:color="auto"/>
        <w:right w:val="none" w:sz="0" w:space="0" w:color="auto"/>
      </w:divBdr>
    </w:div>
    <w:div w:id="584875446">
      <w:bodyDiv w:val="1"/>
      <w:marLeft w:val="0"/>
      <w:marRight w:val="0"/>
      <w:marTop w:val="0"/>
      <w:marBottom w:val="0"/>
      <w:divBdr>
        <w:top w:val="none" w:sz="0" w:space="0" w:color="auto"/>
        <w:left w:val="none" w:sz="0" w:space="0" w:color="auto"/>
        <w:bottom w:val="none" w:sz="0" w:space="0" w:color="auto"/>
        <w:right w:val="none" w:sz="0" w:space="0" w:color="auto"/>
      </w:divBdr>
    </w:div>
    <w:div w:id="925728401">
      <w:bodyDiv w:val="1"/>
      <w:marLeft w:val="0"/>
      <w:marRight w:val="0"/>
      <w:marTop w:val="0"/>
      <w:marBottom w:val="0"/>
      <w:divBdr>
        <w:top w:val="none" w:sz="0" w:space="0" w:color="auto"/>
        <w:left w:val="none" w:sz="0" w:space="0" w:color="auto"/>
        <w:bottom w:val="none" w:sz="0" w:space="0" w:color="auto"/>
        <w:right w:val="none" w:sz="0" w:space="0" w:color="auto"/>
      </w:divBdr>
    </w:div>
    <w:div w:id="1595477924">
      <w:bodyDiv w:val="1"/>
      <w:marLeft w:val="0"/>
      <w:marRight w:val="0"/>
      <w:marTop w:val="0"/>
      <w:marBottom w:val="0"/>
      <w:divBdr>
        <w:top w:val="none" w:sz="0" w:space="0" w:color="auto"/>
        <w:left w:val="none" w:sz="0" w:space="0" w:color="auto"/>
        <w:bottom w:val="none" w:sz="0" w:space="0" w:color="auto"/>
        <w:right w:val="none" w:sz="0" w:space="0" w:color="auto"/>
      </w:divBdr>
    </w:div>
    <w:div w:id="1805390548">
      <w:marLeft w:val="0"/>
      <w:marRight w:val="0"/>
      <w:marTop w:val="0"/>
      <w:marBottom w:val="0"/>
      <w:divBdr>
        <w:top w:val="none" w:sz="0" w:space="0" w:color="auto"/>
        <w:left w:val="none" w:sz="0" w:space="0" w:color="auto"/>
        <w:bottom w:val="none" w:sz="0" w:space="0" w:color="auto"/>
        <w:right w:val="none" w:sz="0" w:space="0" w:color="auto"/>
      </w:divBdr>
    </w:div>
    <w:div w:id="1805390549">
      <w:marLeft w:val="0"/>
      <w:marRight w:val="0"/>
      <w:marTop w:val="0"/>
      <w:marBottom w:val="0"/>
      <w:divBdr>
        <w:top w:val="none" w:sz="0" w:space="0" w:color="auto"/>
        <w:left w:val="none" w:sz="0" w:space="0" w:color="auto"/>
        <w:bottom w:val="none" w:sz="0" w:space="0" w:color="auto"/>
        <w:right w:val="none" w:sz="0" w:space="0" w:color="auto"/>
      </w:divBdr>
    </w:div>
    <w:div w:id="1805390550">
      <w:marLeft w:val="0"/>
      <w:marRight w:val="0"/>
      <w:marTop w:val="0"/>
      <w:marBottom w:val="0"/>
      <w:divBdr>
        <w:top w:val="none" w:sz="0" w:space="0" w:color="auto"/>
        <w:left w:val="none" w:sz="0" w:space="0" w:color="auto"/>
        <w:bottom w:val="none" w:sz="0" w:space="0" w:color="auto"/>
        <w:right w:val="none" w:sz="0" w:space="0" w:color="auto"/>
      </w:divBdr>
    </w:div>
    <w:div w:id="1805390551">
      <w:marLeft w:val="0"/>
      <w:marRight w:val="0"/>
      <w:marTop w:val="0"/>
      <w:marBottom w:val="0"/>
      <w:divBdr>
        <w:top w:val="none" w:sz="0" w:space="0" w:color="auto"/>
        <w:left w:val="none" w:sz="0" w:space="0" w:color="auto"/>
        <w:bottom w:val="none" w:sz="0" w:space="0" w:color="auto"/>
        <w:right w:val="none" w:sz="0" w:space="0" w:color="auto"/>
      </w:divBdr>
    </w:div>
    <w:div w:id="1805390552">
      <w:marLeft w:val="0"/>
      <w:marRight w:val="0"/>
      <w:marTop w:val="0"/>
      <w:marBottom w:val="0"/>
      <w:divBdr>
        <w:top w:val="none" w:sz="0" w:space="0" w:color="auto"/>
        <w:left w:val="none" w:sz="0" w:space="0" w:color="auto"/>
        <w:bottom w:val="none" w:sz="0" w:space="0" w:color="auto"/>
        <w:right w:val="none" w:sz="0" w:space="0" w:color="auto"/>
      </w:divBdr>
    </w:div>
    <w:div w:id="1805390553">
      <w:marLeft w:val="0"/>
      <w:marRight w:val="0"/>
      <w:marTop w:val="0"/>
      <w:marBottom w:val="0"/>
      <w:divBdr>
        <w:top w:val="none" w:sz="0" w:space="0" w:color="auto"/>
        <w:left w:val="none" w:sz="0" w:space="0" w:color="auto"/>
        <w:bottom w:val="none" w:sz="0" w:space="0" w:color="auto"/>
        <w:right w:val="none" w:sz="0" w:space="0" w:color="auto"/>
      </w:divBdr>
    </w:div>
    <w:div w:id="1805390554">
      <w:marLeft w:val="0"/>
      <w:marRight w:val="0"/>
      <w:marTop w:val="0"/>
      <w:marBottom w:val="0"/>
      <w:divBdr>
        <w:top w:val="none" w:sz="0" w:space="0" w:color="auto"/>
        <w:left w:val="none" w:sz="0" w:space="0" w:color="auto"/>
        <w:bottom w:val="none" w:sz="0" w:space="0" w:color="auto"/>
        <w:right w:val="none" w:sz="0" w:space="0" w:color="auto"/>
      </w:divBdr>
    </w:div>
    <w:div w:id="1805390555">
      <w:marLeft w:val="0"/>
      <w:marRight w:val="0"/>
      <w:marTop w:val="0"/>
      <w:marBottom w:val="0"/>
      <w:divBdr>
        <w:top w:val="none" w:sz="0" w:space="0" w:color="auto"/>
        <w:left w:val="none" w:sz="0" w:space="0" w:color="auto"/>
        <w:bottom w:val="none" w:sz="0" w:space="0" w:color="auto"/>
        <w:right w:val="none" w:sz="0" w:space="0" w:color="auto"/>
      </w:divBdr>
    </w:div>
    <w:div w:id="1805390556">
      <w:marLeft w:val="0"/>
      <w:marRight w:val="0"/>
      <w:marTop w:val="0"/>
      <w:marBottom w:val="0"/>
      <w:divBdr>
        <w:top w:val="none" w:sz="0" w:space="0" w:color="auto"/>
        <w:left w:val="none" w:sz="0" w:space="0" w:color="auto"/>
        <w:bottom w:val="none" w:sz="0" w:space="0" w:color="auto"/>
        <w:right w:val="none" w:sz="0" w:space="0" w:color="auto"/>
      </w:divBdr>
    </w:div>
    <w:div w:id="1805390557">
      <w:marLeft w:val="0"/>
      <w:marRight w:val="0"/>
      <w:marTop w:val="0"/>
      <w:marBottom w:val="0"/>
      <w:divBdr>
        <w:top w:val="none" w:sz="0" w:space="0" w:color="auto"/>
        <w:left w:val="none" w:sz="0" w:space="0" w:color="auto"/>
        <w:bottom w:val="none" w:sz="0" w:space="0" w:color="auto"/>
        <w:right w:val="none" w:sz="0" w:space="0" w:color="auto"/>
      </w:divBdr>
    </w:div>
    <w:div w:id="1805390558">
      <w:marLeft w:val="0"/>
      <w:marRight w:val="0"/>
      <w:marTop w:val="0"/>
      <w:marBottom w:val="0"/>
      <w:divBdr>
        <w:top w:val="none" w:sz="0" w:space="0" w:color="auto"/>
        <w:left w:val="none" w:sz="0" w:space="0" w:color="auto"/>
        <w:bottom w:val="none" w:sz="0" w:space="0" w:color="auto"/>
        <w:right w:val="none" w:sz="0" w:space="0" w:color="auto"/>
      </w:divBdr>
    </w:div>
    <w:div w:id="1805390559">
      <w:marLeft w:val="0"/>
      <w:marRight w:val="0"/>
      <w:marTop w:val="0"/>
      <w:marBottom w:val="0"/>
      <w:divBdr>
        <w:top w:val="none" w:sz="0" w:space="0" w:color="auto"/>
        <w:left w:val="none" w:sz="0" w:space="0" w:color="auto"/>
        <w:bottom w:val="none" w:sz="0" w:space="0" w:color="auto"/>
        <w:right w:val="none" w:sz="0" w:space="0" w:color="auto"/>
      </w:divBdr>
    </w:div>
    <w:div w:id="1805390560">
      <w:marLeft w:val="0"/>
      <w:marRight w:val="0"/>
      <w:marTop w:val="0"/>
      <w:marBottom w:val="0"/>
      <w:divBdr>
        <w:top w:val="none" w:sz="0" w:space="0" w:color="auto"/>
        <w:left w:val="none" w:sz="0" w:space="0" w:color="auto"/>
        <w:bottom w:val="none" w:sz="0" w:space="0" w:color="auto"/>
        <w:right w:val="none" w:sz="0" w:space="0" w:color="auto"/>
      </w:divBdr>
    </w:div>
    <w:div w:id="1805390561">
      <w:marLeft w:val="0"/>
      <w:marRight w:val="0"/>
      <w:marTop w:val="0"/>
      <w:marBottom w:val="0"/>
      <w:divBdr>
        <w:top w:val="none" w:sz="0" w:space="0" w:color="auto"/>
        <w:left w:val="none" w:sz="0" w:space="0" w:color="auto"/>
        <w:bottom w:val="none" w:sz="0" w:space="0" w:color="auto"/>
        <w:right w:val="none" w:sz="0" w:space="0" w:color="auto"/>
      </w:divBdr>
    </w:div>
    <w:div w:id="1805390562">
      <w:marLeft w:val="0"/>
      <w:marRight w:val="0"/>
      <w:marTop w:val="0"/>
      <w:marBottom w:val="0"/>
      <w:divBdr>
        <w:top w:val="none" w:sz="0" w:space="0" w:color="auto"/>
        <w:left w:val="none" w:sz="0" w:space="0" w:color="auto"/>
        <w:bottom w:val="none" w:sz="0" w:space="0" w:color="auto"/>
        <w:right w:val="none" w:sz="0" w:space="0" w:color="auto"/>
      </w:divBdr>
    </w:div>
    <w:div w:id="1805390563">
      <w:marLeft w:val="0"/>
      <w:marRight w:val="0"/>
      <w:marTop w:val="0"/>
      <w:marBottom w:val="0"/>
      <w:divBdr>
        <w:top w:val="none" w:sz="0" w:space="0" w:color="auto"/>
        <w:left w:val="none" w:sz="0" w:space="0" w:color="auto"/>
        <w:bottom w:val="none" w:sz="0" w:space="0" w:color="auto"/>
        <w:right w:val="none" w:sz="0" w:space="0" w:color="auto"/>
      </w:divBdr>
    </w:div>
    <w:div w:id="1805390564">
      <w:marLeft w:val="0"/>
      <w:marRight w:val="0"/>
      <w:marTop w:val="0"/>
      <w:marBottom w:val="0"/>
      <w:divBdr>
        <w:top w:val="none" w:sz="0" w:space="0" w:color="auto"/>
        <w:left w:val="none" w:sz="0" w:space="0" w:color="auto"/>
        <w:bottom w:val="none" w:sz="0" w:space="0" w:color="auto"/>
        <w:right w:val="none" w:sz="0" w:space="0" w:color="auto"/>
      </w:divBdr>
    </w:div>
    <w:div w:id="1805390565">
      <w:marLeft w:val="0"/>
      <w:marRight w:val="0"/>
      <w:marTop w:val="0"/>
      <w:marBottom w:val="0"/>
      <w:divBdr>
        <w:top w:val="none" w:sz="0" w:space="0" w:color="auto"/>
        <w:left w:val="none" w:sz="0" w:space="0" w:color="auto"/>
        <w:bottom w:val="none" w:sz="0" w:space="0" w:color="auto"/>
        <w:right w:val="none" w:sz="0" w:space="0" w:color="auto"/>
      </w:divBdr>
    </w:div>
    <w:div w:id="1805390568">
      <w:marLeft w:val="0"/>
      <w:marRight w:val="0"/>
      <w:marTop w:val="0"/>
      <w:marBottom w:val="0"/>
      <w:divBdr>
        <w:top w:val="none" w:sz="0" w:space="0" w:color="auto"/>
        <w:left w:val="none" w:sz="0" w:space="0" w:color="auto"/>
        <w:bottom w:val="none" w:sz="0" w:space="0" w:color="auto"/>
        <w:right w:val="none" w:sz="0" w:space="0" w:color="auto"/>
      </w:divBdr>
      <w:divsChild>
        <w:div w:id="1805390566">
          <w:marLeft w:val="0"/>
          <w:marRight w:val="0"/>
          <w:marTop w:val="0"/>
          <w:marBottom w:val="0"/>
          <w:divBdr>
            <w:top w:val="none" w:sz="0" w:space="0" w:color="auto"/>
            <w:left w:val="none" w:sz="0" w:space="0" w:color="auto"/>
            <w:bottom w:val="none" w:sz="0" w:space="0" w:color="auto"/>
            <w:right w:val="none" w:sz="0" w:space="0" w:color="auto"/>
          </w:divBdr>
        </w:div>
        <w:div w:id="1805390567">
          <w:marLeft w:val="0"/>
          <w:marRight w:val="0"/>
          <w:marTop w:val="0"/>
          <w:marBottom w:val="0"/>
          <w:divBdr>
            <w:top w:val="none" w:sz="0" w:space="0" w:color="auto"/>
            <w:left w:val="none" w:sz="0" w:space="0" w:color="auto"/>
            <w:bottom w:val="none" w:sz="0" w:space="0" w:color="auto"/>
            <w:right w:val="none" w:sz="0" w:space="0" w:color="auto"/>
          </w:divBdr>
        </w:div>
        <w:div w:id="1805390569">
          <w:marLeft w:val="0"/>
          <w:marRight w:val="0"/>
          <w:marTop w:val="0"/>
          <w:marBottom w:val="0"/>
          <w:divBdr>
            <w:top w:val="none" w:sz="0" w:space="0" w:color="auto"/>
            <w:left w:val="none" w:sz="0" w:space="0" w:color="auto"/>
            <w:bottom w:val="none" w:sz="0" w:space="0" w:color="auto"/>
            <w:right w:val="none" w:sz="0" w:space="0" w:color="auto"/>
          </w:divBdr>
        </w:div>
        <w:div w:id="1805390570">
          <w:marLeft w:val="0"/>
          <w:marRight w:val="0"/>
          <w:marTop w:val="0"/>
          <w:marBottom w:val="0"/>
          <w:divBdr>
            <w:top w:val="none" w:sz="0" w:space="0" w:color="auto"/>
            <w:left w:val="none" w:sz="0" w:space="0" w:color="auto"/>
            <w:bottom w:val="none" w:sz="0" w:space="0" w:color="auto"/>
            <w:right w:val="none" w:sz="0" w:space="0" w:color="auto"/>
          </w:divBdr>
        </w:div>
        <w:div w:id="1805390571">
          <w:marLeft w:val="0"/>
          <w:marRight w:val="0"/>
          <w:marTop w:val="0"/>
          <w:marBottom w:val="0"/>
          <w:divBdr>
            <w:top w:val="none" w:sz="0" w:space="0" w:color="auto"/>
            <w:left w:val="none" w:sz="0" w:space="0" w:color="auto"/>
            <w:bottom w:val="none" w:sz="0" w:space="0" w:color="auto"/>
            <w:right w:val="none" w:sz="0" w:space="0" w:color="auto"/>
          </w:divBdr>
        </w:div>
        <w:div w:id="1805390572">
          <w:marLeft w:val="0"/>
          <w:marRight w:val="0"/>
          <w:marTop w:val="0"/>
          <w:marBottom w:val="0"/>
          <w:divBdr>
            <w:top w:val="none" w:sz="0" w:space="0" w:color="auto"/>
            <w:left w:val="none" w:sz="0" w:space="0" w:color="auto"/>
            <w:bottom w:val="none" w:sz="0" w:space="0" w:color="auto"/>
            <w:right w:val="none" w:sz="0" w:space="0" w:color="auto"/>
          </w:divBdr>
        </w:div>
        <w:div w:id="1805390575">
          <w:marLeft w:val="0"/>
          <w:marRight w:val="0"/>
          <w:marTop w:val="0"/>
          <w:marBottom w:val="0"/>
          <w:divBdr>
            <w:top w:val="none" w:sz="0" w:space="0" w:color="auto"/>
            <w:left w:val="none" w:sz="0" w:space="0" w:color="auto"/>
            <w:bottom w:val="none" w:sz="0" w:space="0" w:color="auto"/>
            <w:right w:val="none" w:sz="0" w:space="0" w:color="auto"/>
          </w:divBdr>
        </w:div>
        <w:div w:id="1805390577">
          <w:marLeft w:val="0"/>
          <w:marRight w:val="0"/>
          <w:marTop w:val="0"/>
          <w:marBottom w:val="0"/>
          <w:divBdr>
            <w:top w:val="none" w:sz="0" w:space="0" w:color="auto"/>
            <w:left w:val="none" w:sz="0" w:space="0" w:color="auto"/>
            <w:bottom w:val="none" w:sz="0" w:space="0" w:color="auto"/>
            <w:right w:val="none" w:sz="0" w:space="0" w:color="auto"/>
          </w:divBdr>
        </w:div>
        <w:div w:id="1805390578">
          <w:marLeft w:val="0"/>
          <w:marRight w:val="0"/>
          <w:marTop w:val="0"/>
          <w:marBottom w:val="0"/>
          <w:divBdr>
            <w:top w:val="none" w:sz="0" w:space="0" w:color="auto"/>
            <w:left w:val="none" w:sz="0" w:space="0" w:color="auto"/>
            <w:bottom w:val="none" w:sz="0" w:space="0" w:color="auto"/>
            <w:right w:val="none" w:sz="0" w:space="0" w:color="auto"/>
          </w:divBdr>
        </w:div>
        <w:div w:id="1805390579">
          <w:marLeft w:val="0"/>
          <w:marRight w:val="0"/>
          <w:marTop w:val="0"/>
          <w:marBottom w:val="0"/>
          <w:divBdr>
            <w:top w:val="none" w:sz="0" w:space="0" w:color="auto"/>
            <w:left w:val="none" w:sz="0" w:space="0" w:color="auto"/>
            <w:bottom w:val="none" w:sz="0" w:space="0" w:color="auto"/>
            <w:right w:val="none" w:sz="0" w:space="0" w:color="auto"/>
          </w:divBdr>
        </w:div>
        <w:div w:id="1805390580">
          <w:marLeft w:val="0"/>
          <w:marRight w:val="0"/>
          <w:marTop w:val="0"/>
          <w:marBottom w:val="0"/>
          <w:divBdr>
            <w:top w:val="none" w:sz="0" w:space="0" w:color="auto"/>
            <w:left w:val="none" w:sz="0" w:space="0" w:color="auto"/>
            <w:bottom w:val="none" w:sz="0" w:space="0" w:color="auto"/>
            <w:right w:val="none" w:sz="0" w:space="0" w:color="auto"/>
          </w:divBdr>
        </w:div>
        <w:div w:id="1805390581">
          <w:marLeft w:val="0"/>
          <w:marRight w:val="0"/>
          <w:marTop w:val="0"/>
          <w:marBottom w:val="0"/>
          <w:divBdr>
            <w:top w:val="none" w:sz="0" w:space="0" w:color="auto"/>
            <w:left w:val="none" w:sz="0" w:space="0" w:color="auto"/>
            <w:bottom w:val="none" w:sz="0" w:space="0" w:color="auto"/>
            <w:right w:val="none" w:sz="0" w:space="0" w:color="auto"/>
          </w:divBdr>
        </w:div>
        <w:div w:id="1805390582">
          <w:marLeft w:val="0"/>
          <w:marRight w:val="0"/>
          <w:marTop w:val="0"/>
          <w:marBottom w:val="0"/>
          <w:divBdr>
            <w:top w:val="none" w:sz="0" w:space="0" w:color="auto"/>
            <w:left w:val="none" w:sz="0" w:space="0" w:color="auto"/>
            <w:bottom w:val="none" w:sz="0" w:space="0" w:color="auto"/>
            <w:right w:val="none" w:sz="0" w:space="0" w:color="auto"/>
          </w:divBdr>
        </w:div>
        <w:div w:id="1805390583">
          <w:marLeft w:val="0"/>
          <w:marRight w:val="0"/>
          <w:marTop w:val="0"/>
          <w:marBottom w:val="0"/>
          <w:divBdr>
            <w:top w:val="none" w:sz="0" w:space="0" w:color="auto"/>
            <w:left w:val="none" w:sz="0" w:space="0" w:color="auto"/>
            <w:bottom w:val="none" w:sz="0" w:space="0" w:color="auto"/>
            <w:right w:val="none" w:sz="0" w:space="0" w:color="auto"/>
          </w:divBdr>
        </w:div>
        <w:div w:id="1805390584">
          <w:marLeft w:val="0"/>
          <w:marRight w:val="0"/>
          <w:marTop w:val="0"/>
          <w:marBottom w:val="0"/>
          <w:divBdr>
            <w:top w:val="none" w:sz="0" w:space="0" w:color="auto"/>
            <w:left w:val="none" w:sz="0" w:space="0" w:color="auto"/>
            <w:bottom w:val="none" w:sz="0" w:space="0" w:color="auto"/>
            <w:right w:val="none" w:sz="0" w:space="0" w:color="auto"/>
          </w:divBdr>
        </w:div>
        <w:div w:id="1805390585">
          <w:marLeft w:val="0"/>
          <w:marRight w:val="0"/>
          <w:marTop w:val="0"/>
          <w:marBottom w:val="0"/>
          <w:divBdr>
            <w:top w:val="none" w:sz="0" w:space="0" w:color="auto"/>
            <w:left w:val="none" w:sz="0" w:space="0" w:color="auto"/>
            <w:bottom w:val="none" w:sz="0" w:space="0" w:color="auto"/>
            <w:right w:val="none" w:sz="0" w:space="0" w:color="auto"/>
          </w:divBdr>
        </w:div>
        <w:div w:id="1805390586">
          <w:marLeft w:val="0"/>
          <w:marRight w:val="0"/>
          <w:marTop w:val="0"/>
          <w:marBottom w:val="0"/>
          <w:divBdr>
            <w:top w:val="none" w:sz="0" w:space="0" w:color="auto"/>
            <w:left w:val="none" w:sz="0" w:space="0" w:color="auto"/>
            <w:bottom w:val="none" w:sz="0" w:space="0" w:color="auto"/>
            <w:right w:val="none" w:sz="0" w:space="0" w:color="auto"/>
          </w:divBdr>
        </w:div>
        <w:div w:id="1805390587">
          <w:marLeft w:val="0"/>
          <w:marRight w:val="0"/>
          <w:marTop w:val="0"/>
          <w:marBottom w:val="0"/>
          <w:divBdr>
            <w:top w:val="none" w:sz="0" w:space="0" w:color="auto"/>
            <w:left w:val="none" w:sz="0" w:space="0" w:color="auto"/>
            <w:bottom w:val="none" w:sz="0" w:space="0" w:color="auto"/>
            <w:right w:val="none" w:sz="0" w:space="0" w:color="auto"/>
          </w:divBdr>
        </w:div>
        <w:div w:id="1805390588">
          <w:marLeft w:val="0"/>
          <w:marRight w:val="0"/>
          <w:marTop w:val="0"/>
          <w:marBottom w:val="0"/>
          <w:divBdr>
            <w:top w:val="none" w:sz="0" w:space="0" w:color="auto"/>
            <w:left w:val="none" w:sz="0" w:space="0" w:color="auto"/>
            <w:bottom w:val="none" w:sz="0" w:space="0" w:color="auto"/>
            <w:right w:val="none" w:sz="0" w:space="0" w:color="auto"/>
          </w:divBdr>
        </w:div>
        <w:div w:id="1805390590">
          <w:marLeft w:val="0"/>
          <w:marRight w:val="0"/>
          <w:marTop w:val="0"/>
          <w:marBottom w:val="0"/>
          <w:divBdr>
            <w:top w:val="none" w:sz="0" w:space="0" w:color="auto"/>
            <w:left w:val="none" w:sz="0" w:space="0" w:color="auto"/>
            <w:bottom w:val="none" w:sz="0" w:space="0" w:color="auto"/>
            <w:right w:val="none" w:sz="0" w:space="0" w:color="auto"/>
          </w:divBdr>
        </w:div>
        <w:div w:id="1805390591">
          <w:marLeft w:val="0"/>
          <w:marRight w:val="0"/>
          <w:marTop w:val="0"/>
          <w:marBottom w:val="0"/>
          <w:divBdr>
            <w:top w:val="none" w:sz="0" w:space="0" w:color="auto"/>
            <w:left w:val="none" w:sz="0" w:space="0" w:color="auto"/>
            <w:bottom w:val="none" w:sz="0" w:space="0" w:color="auto"/>
            <w:right w:val="none" w:sz="0" w:space="0" w:color="auto"/>
          </w:divBdr>
        </w:div>
        <w:div w:id="1805390592">
          <w:marLeft w:val="0"/>
          <w:marRight w:val="0"/>
          <w:marTop w:val="0"/>
          <w:marBottom w:val="0"/>
          <w:divBdr>
            <w:top w:val="none" w:sz="0" w:space="0" w:color="auto"/>
            <w:left w:val="none" w:sz="0" w:space="0" w:color="auto"/>
            <w:bottom w:val="none" w:sz="0" w:space="0" w:color="auto"/>
            <w:right w:val="none" w:sz="0" w:space="0" w:color="auto"/>
          </w:divBdr>
        </w:div>
        <w:div w:id="1805390593">
          <w:marLeft w:val="0"/>
          <w:marRight w:val="0"/>
          <w:marTop w:val="0"/>
          <w:marBottom w:val="0"/>
          <w:divBdr>
            <w:top w:val="none" w:sz="0" w:space="0" w:color="auto"/>
            <w:left w:val="none" w:sz="0" w:space="0" w:color="auto"/>
            <w:bottom w:val="none" w:sz="0" w:space="0" w:color="auto"/>
            <w:right w:val="none" w:sz="0" w:space="0" w:color="auto"/>
          </w:divBdr>
        </w:div>
        <w:div w:id="1805390594">
          <w:marLeft w:val="0"/>
          <w:marRight w:val="0"/>
          <w:marTop w:val="0"/>
          <w:marBottom w:val="0"/>
          <w:divBdr>
            <w:top w:val="none" w:sz="0" w:space="0" w:color="auto"/>
            <w:left w:val="none" w:sz="0" w:space="0" w:color="auto"/>
            <w:bottom w:val="none" w:sz="0" w:space="0" w:color="auto"/>
            <w:right w:val="none" w:sz="0" w:space="0" w:color="auto"/>
          </w:divBdr>
        </w:div>
        <w:div w:id="1805390595">
          <w:marLeft w:val="0"/>
          <w:marRight w:val="0"/>
          <w:marTop w:val="0"/>
          <w:marBottom w:val="0"/>
          <w:divBdr>
            <w:top w:val="none" w:sz="0" w:space="0" w:color="auto"/>
            <w:left w:val="none" w:sz="0" w:space="0" w:color="auto"/>
            <w:bottom w:val="none" w:sz="0" w:space="0" w:color="auto"/>
            <w:right w:val="none" w:sz="0" w:space="0" w:color="auto"/>
          </w:divBdr>
        </w:div>
      </w:divsChild>
    </w:div>
    <w:div w:id="1805390573">
      <w:marLeft w:val="0"/>
      <w:marRight w:val="0"/>
      <w:marTop w:val="0"/>
      <w:marBottom w:val="0"/>
      <w:divBdr>
        <w:top w:val="none" w:sz="0" w:space="0" w:color="auto"/>
        <w:left w:val="none" w:sz="0" w:space="0" w:color="auto"/>
        <w:bottom w:val="none" w:sz="0" w:space="0" w:color="auto"/>
        <w:right w:val="none" w:sz="0" w:space="0" w:color="auto"/>
      </w:divBdr>
    </w:div>
    <w:div w:id="1805390576">
      <w:marLeft w:val="0"/>
      <w:marRight w:val="0"/>
      <w:marTop w:val="0"/>
      <w:marBottom w:val="0"/>
      <w:divBdr>
        <w:top w:val="none" w:sz="0" w:space="0" w:color="auto"/>
        <w:left w:val="none" w:sz="0" w:space="0" w:color="auto"/>
        <w:bottom w:val="none" w:sz="0" w:space="0" w:color="auto"/>
        <w:right w:val="none" w:sz="0" w:space="0" w:color="auto"/>
      </w:divBdr>
      <w:divsChild>
        <w:div w:id="1805390574">
          <w:marLeft w:val="0"/>
          <w:marRight w:val="0"/>
          <w:marTop w:val="0"/>
          <w:marBottom w:val="0"/>
          <w:divBdr>
            <w:top w:val="none" w:sz="0" w:space="0" w:color="auto"/>
            <w:left w:val="none" w:sz="0" w:space="0" w:color="auto"/>
            <w:bottom w:val="none" w:sz="0" w:space="0" w:color="auto"/>
            <w:right w:val="none" w:sz="0" w:space="0" w:color="auto"/>
          </w:divBdr>
        </w:div>
        <w:div w:id="1805390589">
          <w:marLeft w:val="0"/>
          <w:marRight w:val="0"/>
          <w:marTop w:val="0"/>
          <w:marBottom w:val="0"/>
          <w:divBdr>
            <w:top w:val="none" w:sz="0" w:space="0" w:color="auto"/>
            <w:left w:val="none" w:sz="0" w:space="0" w:color="auto"/>
            <w:bottom w:val="none" w:sz="0" w:space="0" w:color="auto"/>
            <w:right w:val="none" w:sz="0" w:space="0" w:color="auto"/>
          </w:divBdr>
        </w:div>
      </w:divsChild>
    </w:div>
    <w:div w:id="1805390597">
      <w:marLeft w:val="0"/>
      <w:marRight w:val="0"/>
      <w:marTop w:val="0"/>
      <w:marBottom w:val="0"/>
      <w:divBdr>
        <w:top w:val="none" w:sz="0" w:space="0" w:color="auto"/>
        <w:left w:val="none" w:sz="0" w:space="0" w:color="auto"/>
        <w:bottom w:val="none" w:sz="0" w:space="0" w:color="auto"/>
        <w:right w:val="none" w:sz="0" w:space="0" w:color="auto"/>
      </w:divBdr>
    </w:div>
    <w:div w:id="1805390598">
      <w:marLeft w:val="0"/>
      <w:marRight w:val="0"/>
      <w:marTop w:val="0"/>
      <w:marBottom w:val="0"/>
      <w:divBdr>
        <w:top w:val="none" w:sz="0" w:space="0" w:color="auto"/>
        <w:left w:val="none" w:sz="0" w:space="0" w:color="auto"/>
        <w:bottom w:val="none" w:sz="0" w:space="0" w:color="auto"/>
        <w:right w:val="none" w:sz="0" w:space="0" w:color="auto"/>
      </w:divBdr>
      <w:divsChild>
        <w:div w:id="1805390599">
          <w:marLeft w:val="0"/>
          <w:marRight w:val="0"/>
          <w:marTop w:val="0"/>
          <w:marBottom w:val="0"/>
          <w:divBdr>
            <w:top w:val="none" w:sz="0" w:space="0" w:color="auto"/>
            <w:left w:val="none" w:sz="0" w:space="0" w:color="auto"/>
            <w:bottom w:val="none" w:sz="0" w:space="0" w:color="auto"/>
            <w:right w:val="none" w:sz="0" w:space="0" w:color="auto"/>
          </w:divBdr>
          <w:divsChild>
            <w:div w:id="1805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0600">
      <w:marLeft w:val="0"/>
      <w:marRight w:val="0"/>
      <w:marTop w:val="0"/>
      <w:marBottom w:val="0"/>
      <w:divBdr>
        <w:top w:val="none" w:sz="0" w:space="0" w:color="auto"/>
        <w:left w:val="none" w:sz="0" w:space="0" w:color="auto"/>
        <w:bottom w:val="none" w:sz="0" w:space="0" w:color="auto"/>
        <w:right w:val="none" w:sz="0" w:space="0" w:color="auto"/>
      </w:divBdr>
    </w:div>
    <w:div w:id="1805390601">
      <w:marLeft w:val="0"/>
      <w:marRight w:val="0"/>
      <w:marTop w:val="0"/>
      <w:marBottom w:val="0"/>
      <w:divBdr>
        <w:top w:val="none" w:sz="0" w:space="0" w:color="auto"/>
        <w:left w:val="none" w:sz="0" w:space="0" w:color="auto"/>
        <w:bottom w:val="none" w:sz="0" w:space="0" w:color="auto"/>
        <w:right w:val="none" w:sz="0" w:space="0" w:color="auto"/>
      </w:divBdr>
    </w:div>
    <w:div w:id="1805390602">
      <w:marLeft w:val="0"/>
      <w:marRight w:val="0"/>
      <w:marTop w:val="0"/>
      <w:marBottom w:val="0"/>
      <w:divBdr>
        <w:top w:val="none" w:sz="0" w:space="0" w:color="auto"/>
        <w:left w:val="none" w:sz="0" w:space="0" w:color="auto"/>
        <w:bottom w:val="none" w:sz="0" w:space="0" w:color="auto"/>
        <w:right w:val="none" w:sz="0" w:space="0" w:color="auto"/>
      </w:divBdr>
    </w:div>
    <w:div w:id="1805390603">
      <w:marLeft w:val="0"/>
      <w:marRight w:val="0"/>
      <w:marTop w:val="0"/>
      <w:marBottom w:val="0"/>
      <w:divBdr>
        <w:top w:val="none" w:sz="0" w:space="0" w:color="auto"/>
        <w:left w:val="none" w:sz="0" w:space="0" w:color="auto"/>
        <w:bottom w:val="none" w:sz="0" w:space="0" w:color="auto"/>
        <w:right w:val="none" w:sz="0" w:space="0" w:color="auto"/>
      </w:divBdr>
    </w:div>
    <w:div w:id="1805390604">
      <w:marLeft w:val="0"/>
      <w:marRight w:val="0"/>
      <w:marTop w:val="0"/>
      <w:marBottom w:val="0"/>
      <w:divBdr>
        <w:top w:val="none" w:sz="0" w:space="0" w:color="auto"/>
        <w:left w:val="none" w:sz="0" w:space="0" w:color="auto"/>
        <w:bottom w:val="none" w:sz="0" w:space="0" w:color="auto"/>
        <w:right w:val="none" w:sz="0" w:space="0" w:color="auto"/>
      </w:divBdr>
    </w:div>
    <w:div w:id="1805390605">
      <w:marLeft w:val="0"/>
      <w:marRight w:val="0"/>
      <w:marTop w:val="0"/>
      <w:marBottom w:val="0"/>
      <w:divBdr>
        <w:top w:val="none" w:sz="0" w:space="0" w:color="auto"/>
        <w:left w:val="none" w:sz="0" w:space="0" w:color="auto"/>
        <w:bottom w:val="none" w:sz="0" w:space="0" w:color="auto"/>
        <w:right w:val="none" w:sz="0" w:space="0" w:color="auto"/>
      </w:divBdr>
    </w:div>
    <w:div w:id="1805390606">
      <w:marLeft w:val="0"/>
      <w:marRight w:val="0"/>
      <w:marTop w:val="0"/>
      <w:marBottom w:val="0"/>
      <w:divBdr>
        <w:top w:val="none" w:sz="0" w:space="0" w:color="auto"/>
        <w:left w:val="none" w:sz="0" w:space="0" w:color="auto"/>
        <w:bottom w:val="none" w:sz="0" w:space="0" w:color="auto"/>
        <w:right w:val="none" w:sz="0" w:space="0" w:color="auto"/>
      </w:divBdr>
    </w:div>
    <w:div w:id="1805390607">
      <w:marLeft w:val="0"/>
      <w:marRight w:val="0"/>
      <w:marTop w:val="0"/>
      <w:marBottom w:val="0"/>
      <w:divBdr>
        <w:top w:val="none" w:sz="0" w:space="0" w:color="auto"/>
        <w:left w:val="none" w:sz="0" w:space="0" w:color="auto"/>
        <w:bottom w:val="none" w:sz="0" w:space="0" w:color="auto"/>
        <w:right w:val="none" w:sz="0" w:space="0" w:color="auto"/>
      </w:divBdr>
    </w:div>
    <w:div w:id="1805390608">
      <w:marLeft w:val="0"/>
      <w:marRight w:val="0"/>
      <w:marTop w:val="0"/>
      <w:marBottom w:val="0"/>
      <w:divBdr>
        <w:top w:val="none" w:sz="0" w:space="0" w:color="auto"/>
        <w:left w:val="none" w:sz="0" w:space="0" w:color="auto"/>
        <w:bottom w:val="none" w:sz="0" w:space="0" w:color="auto"/>
        <w:right w:val="none" w:sz="0" w:space="0" w:color="auto"/>
      </w:divBdr>
    </w:div>
    <w:div w:id="1805390609">
      <w:marLeft w:val="0"/>
      <w:marRight w:val="0"/>
      <w:marTop w:val="0"/>
      <w:marBottom w:val="0"/>
      <w:divBdr>
        <w:top w:val="none" w:sz="0" w:space="0" w:color="auto"/>
        <w:left w:val="none" w:sz="0" w:space="0" w:color="auto"/>
        <w:bottom w:val="none" w:sz="0" w:space="0" w:color="auto"/>
        <w:right w:val="none" w:sz="0" w:space="0" w:color="auto"/>
      </w:divBdr>
    </w:div>
    <w:div w:id="1805390610">
      <w:marLeft w:val="0"/>
      <w:marRight w:val="0"/>
      <w:marTop w:val="0"/>
      <w:marBottom w:val="0"/>
      <w:divBdr>
        <w:top w:val="none" w:sz="0" w:space="0" w:color="auto"/>
        <w:left w:val="none" w:sz="0" w:space="0" w:color="auto"/>
        <w:bottom w:val="none" w:sz="0" w:space="0" w:color="auto"/>
        <w:right w:val="none" w:sz="0" w:space="0" w:color="auto"/>
      </w:divBdr>
    </w:div>
    <w:div w:id="1805390611">
      <w:marLeft w:val="0"/>
      <w:marRight w:val="0"/>
      <w:marTop w:val="0"/>
      <w:marBottom w:val="0"/>
      <w:divBdr>
        <w:top w:val="none" w:sz="0" w:space="0" w:color="auto"/>
        <w:left w:val="none" w:sz="0" w:space="0" w:color="auto"/>
        <w:bottom w:val="none" w:sz="0" w:space="0" w:color="auto"/>
        <w:right w:val="none" w:sz="0" w:space="0" w:color="auto"/>
      </w:divBdr>
    </w:div>
    <w:div w:id="1805390612">
      <w:marLeft w:val="0"/>
      <w:marRight w:val="0"/>
      <w:marTop w:val="0"/>
      <w:marBottom w:val="0"/>
      <w:divBdr>
        <w:top w:val="none" w:sz="0" w:space="0" w:color="auto"/>
        <w:left w:val="none" w:sz="0" w:space="0" w:color="auto"/>
        <w:bottom w:val="none" w:sz="0" w:space="0" w:color="auto"/>
        <w:right w:val="none" w:sz="0" w:space="0" w:color="auto"/>
      </w:divBdr>
    </w:div>
    <w:div w:id="20164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e5f18c23a98447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s://www.corteconstitucional.gov.co/relatoria/2020/T-053-20.htm" TargetMode="External"/><Relationship Id="rId5" Type="http://schemas.openxmlformats.org/officeDocument/2006/relationships/hyperlink" Target="https://www.corteconstitucional.gov.co/relatoria/2020/T-053-20.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3AB8-3168-4519-94AC-31A2F138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29BB0-C837-4B05-8806-200A4B56938F}">
  <ds:schemaRefs>
    <ds:schemaRef ds:uri="http://schemas.microsoft.com/sharepoint/v3/contenttype/forms"/>
  </ds:schemaRefs>
</ds:datastoreItem>
</file>

<file path=customXml/itemProps3.xml><?xml version="1.0" encoding="utf-8"?>
<ds:datastoreItem xmlns:ds="http://schemas.openxmlformats.org/officeDocument/2006/customXml" ds:itemID="{44513BAF-23C3-4ECF-9E5F-2244AAC6008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5122ABA0-3E3A-4A63-942A-ABC783BA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2311</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14</cp:revision>
  <cp:lastPrinted>2019-06-06T14:44:00Z</cp:lastPrinted>
  <dcterms:created xsi:type="dcterms:W3CDTF">2021-04-27T14:30:00Z</dcterms:created>
  <dcterms:modified xsi:type="dcterms:W3CDTF">2022-05-17T14:48:00Z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