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4D6F" w14:textId="77777777" w:rsidR="00176C8F" w:rsidRPr="00176C8F" w:rsidRDefault="00176C8F" w:rsidP="00176C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176C8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2F9143" w14:textId="77777777" w:rsidR="00176C8F" w:rsidRPr="00176C8F" w:rsidRDefault="00176C8F" w:rsidP="00176C8F">
      <w:pPr>
        <w:jc w:val="both"/>
        <w:rPr>
          <w:rFonts w:ascii="Arial" w:hAnsi="Arial" w:cs="Arial"/>
          <w:lang w:val="es-419"/>
        </w:rPr>
      </w:pPr>
    </w:p>
    <w:p w14:paraId="3FE48D95" w14:textId="112A103C" w:rsidR="00176C8F" w:rsidRPr="00176C8F" w:rsidRDefault="00176C8F" w:rsidP="00176C8F">
      <w:pPr>
        <w:overflowPunct/>
        <w:autoSpaceDE/>
        <w:autoSpaceDN/>
        <w:adjustRightInd/>
        <w:jc w:val="both"/>
        <w:textAlignment w:val="auto"/>
        <w:rPr>
          <w:rFonts w:ascii="Arial" w:hAnsi="Arial" w:cs="Arial"/>
          <w:b/>
          <w:bCs/>
          <w:iCs/>
          <w:lang w:val="es-419" w:eastAsia="fr-FR"/>
        </w:rPr>
      </w:pPr>
      <w:bookmarkStart w:id="1" w:name="_GoBack"/>
      <w:r w:rsidRPr="00176C8F">
        <w:rPr>
          <w:rFonts w:ascii="Arial" w:hAnsi="Arial" w:cs="Arial"/>
          <w:b/>
          <w:bCs/>
          <w:iCs/>
          <w:u w:val="single"/>
          <w:lang w:val="es-419" w:eastAsia="fr-FR"/>
        </w:rPr>
        <w:t>TEMAS:</w:t>
      </w:r>
      <w:r w:rsidRPr="00176C8F">
        <w:rPr>
          <w:rFonts w:ascii="Arial" w:hAnsi="Arial" w:cs="Arial"/>
          <w:b/>
          <w:bCs/>
          <w:iCs/>
          <w:lang w:val="es-419" w:eastAsia="fr-FR"/>
        </w:rPr>
        <w:tab/>
      </w:r>
      <w:r w:rsidR="009D4D0C">
        <w:rPr>
          <w:rFonts w:ascii="Arial" w:hAnsi="Arial" w:cs="Arial"/>
          <w:b/>
          <w:bCs/>
          <w:iCs/>
          <w:lang w:val="es-419" w:eastAsia="fr-FR"/>
        </w:rPr>
        <w:t>DERECHO DE PETICIÓN /</w:t>
      </w:r>
      <w:r w:rsidR="00B034E9">
        <w:rPr>
          <w:rFonts w:ascii="Arial" w:hAnsi="Arial" w:cs="Arial"/>
          <w:b/>
          <w:bCs/>
          <w:iCs/>
          <w:lang w:val="es-419" w:eastAsia="fr-FR"/>
        </w:rPr>
        <w:t xml:space="preserve"> REQUISITOS DE LA RESPUESTA / CLARA, CONGRUENTE, DE FONDO, OPORTUNA Y NOTIFICADA / </w:t>
      </w:r>
      <w:r w:rsidR="00051008">
        <w:rPr>
          <w:rFonts w:ascii="Arial" w:hAnsi="Arial" w:cs="Arial"/>
          <w:b/>
          <w:bCs/>
          <w:iCs/>
          <w:lang w:val="es-419" w:eastAsia="fr-FR"/>
        </w:rPr>
        <w:t>INDEMNIZACIÓN ADMINISTRATIVA / UARIV</w:t>
      </w:r>
      <w:r w:rsidR="00B034E9">
        <w:rPr>
          <w:rFonts w:ascii="Arial" w:hAnsi="Arial" w:cs="Arial"/>
          <w:b/>
          <w:bCs/>
          <w:iCs/>
          <w:lang w:val="es-419" w:eastAsia="fr-FR"/>
        </w:rPr>
        <w:t xml:space="preserve"> / </w:t>
      </w:r>
      <w:r w:rsidR="00373E3A">
        <w:rPr>
          <w:rFonts w:ascii="Arial" w:hAnsi="Arial" w:cs="Arial"/>
          <w:b/>
          <w:bCs/>
          <w:iCs/>
          <w:lang w:val="es-419" w:eastAsia="fr-FR"/>
        </w:rPr>
        <w:t xml:space="preserve">MÉTODO TÉCNICO DE </w:t>
      </w:r>
      <w:r w:rsidR="00B034E9">
        <w:rPr>
          <w:rFonts w:ascii="Arial" w:hAnsi="Arial" w:cs="Arial"/>
          <w:b/>
          <w:bCs/>
          <w:iCs/>
          <w:lang w:val="es-419" w:eastAsia="fr-FR"/>
        </w:rPr>
        <w:t>PRIORIZACIÓN / HECHO SUPERADO.</w:t>
      </w:r>
    </w:p>
    <w:bookmarkEnd w:id="1"/>
    <w:p w14:paraId="3E186997" w14:textId="77777777" w:rsidR="00176C8F" w:rsidRPr="00176C8F" w:rsidRDefault="00176C8F" w:rsidP="00176C8F">
      <w:pPr>
        <w:jc w:val="both"/>
        <w:rPr>
          <w:rFonts w:ascii="Arial" w:hAnsi="Arial" w:cs="Arial"/>
          <w:lang w:val="es-419"/>
        </w:rPr>
      </w:pPr>
    </w:p>
    <w:p w14:paraId="4997A53D" w14:textId="707DC5A2" w:rsidR="00176C8F" w:rsidRPr="00176C8F" w:rsidRDefault="003940E1" w:rsidP="00176C8F">
      <w:pPr>
        <w:jc w:val="both"/>
        <w:rPr>
          <w:rFonts w:ascii="Arial" w:hAnsi="Arial" w:cs="Arial"/>
          <w:lang w:val="es-419"/>
        </w:rPr>
      </w:pPr>
      <w:r>
        <w:rPr>
          <w:rFonts w:ascii="Arial" w:hAnsi="Arial" w:cs="Arial"/>
          <w:lang w:val="es-419"/>
        </w:rPr>
        <w:t xml:space="preserve">… </w:t>
      </w:r>
      <w:r w:rsidRPr="003940E1">
        <w:rPr>
          <w:rFonts w:ascii="Arial" w:hAnsi="Arial" w:cs="Arial"/>
          <w:lang w:val="es-419"/>
        </w:rPr>
        <w:t>acude ante el juez constitucional la señora Quintero Acosta, por la inconformidad que le causa la tardanza de la UARIV para entregarle la indemnización administrativa que le fue reconocida en el pasado, por ser víctima del conflicto armado.</w:t>
      </w:r>
    </w:p>
    <w:p w14:paraId="59AAF7C4" w14:textId="77777777" w:rsidR="00176C8F" w:rsidRPr="00176C8F" w:rsidRDefault="00176C8F" w:rsidP="00176C8F">
      <w:pPr>
        <w:jc w:val="both"/>
        <w:rPr>
          <w:rFonts w:ascii="Arial" w:hAnsi="Arial" w:cs="Arial"/>
          <w:lang w:val="es-419"/>
        </w:rPr>
      </w:pPr>
    </w:p>
    <w:p w14:paraId="0EEFF58B" w14:textId="776736A8" w:rsidR="00176C8F" w:rsidRPr="00176C8F" w:rsidRDefault="0086072D" w:rsidP="00176C8F">
      <w:pPr>
        <w:jc w:val="both"/>
        <w:rPr>
          <w:rFonts w:ascii="Arial" w:hAnsi="Arial" w:cs="Arial"/>
          <w:lang w:val="es-419"/>
        </w:rPr>
      </w:pPr>
      <w:r>
        <w:rPr>
          <w:rFonts w:ascii="Arial" w:hAnsi="Arial" w:cs="Arial"/>
          <w:lang w:val="es-419"/>
        </w:rPr>
        <w:t xml:space="preserve">… </w:t>
      </w:r>
      <w:r w:rsidRPr="0086072D">
        <w:rPr>
          <w:rFonts w:ascii="Arial" w:hAnsi="Arial" w:cs="Arial"/>
          <w:lang w:val="es-419"/>
        </w:rPr>
        <w:t>se sabe que el derecho fundamental de petición se garantiza con la posibilidad de presentar solicitudes escritas o verbales, con la obligación correlativa del requerido de ofrecer una respuesta clara, congruente, de fondo y oportuna; esto es, una contestación que carezca de contenido abstracto o evasivo, que solucione dentro de los límites de lo posible la situación o inquietud del peticionario, que respete los términos de tiempo que la ley ha fijado para emitir un pronunciamiento y, por último, que se le ponga en conocimiento al solicitante</w:t>
      </w:r>
      <w:r>
        <w:rPr>
          <w:rFonts w:ascii="Arial" w:hAnsi="Arial" w:cs="Arial"/>
          <w:lang w:val="es-419"/>
        </w:rPr>
        <w:t>…</w:t>
      </w:r>
    </w:p>
    <w:p w14:paraId="26AB9915" w14:textId="4DA8B248" w:rsidR="00176C8F" w:rsidRDefault="00176C8F" w:rsidP="00176C8F">
      <w:pPr>
        <w:jc w:val="both"/>
        <w:rPr>
          <w:rFonts w:ascii="Arial" w:hAnsi="Arial" w:cs="Arial"/>
          <w:lang w:val="es-419"/>
        </w:rPr>
      </w:pPr>
    </w:p>
    <w:p w14:paraId="5BCC59AF" w14:textId="7ACD5205" w:rsidR="0086072D" w:rsidRPr="00176C8F" w:rsidRDefault="00D7122E" w:rsidP="00176C8F">
      <w:pPr>
        <w:jc w:val="both"/>
        <w:rPr>
          <w:rFonts w:ascii="Arial" w:hAnsi="Arial" w:cs="Arial"/>
          <w:lang w:val="es-419"/>
        </w:rPr>
      </w:pPr>
      <w:r w:rsidRPr="00D7122E">
        <w:rPr>
          <w:rFonts w:ascii="Arial" w:hAnsi="Arial" w:cs="Arial"/>
          <w:lang w:val="es-419"/>
        </w:rPr>
        <w:t>El recuento que acaba de hacerse, revela la vulneración al derecho de petición de la accionante, porque hasta el pasado 15 de diciembre, no se le había notificado una respuesta de fondo a su petición, una en la que se le indicara, de manera concreta, si durante la vigencia fiscal del 2021, iba a ser posible, o no, el desembolso de la indemnización administrativa de la que es acreedora.</w:t>
      </w:r>
    </w:p>
    <w:p w14:paraId="201C8E53" w14:textId="77777777" w:rsidR="00176C8F" w:rsidRPr="00176C8F" w:rsidRDefault="00176C8F" w:rsidP="00176C8F">
      <w:pPr>
        <w:jc w:val="both"/>
        <w:rPr>
          <w:rFonts w:ascii="Arial" w:hAnsi="Arial" w:cs="Arial"/>
          <w:lang w:val="es-419"/>
        </w:rPr>
      </w:pPr>
    </w:p>
    <w:p w14:paraId="028CDBE0" w14:textId="26AA62FE" w:rsidR="00176C8F" w:rsidRDefault="00444153" w:rsidP="00176C8F">
      <w:pPr>
        <w:jc w:val="both"/>
        <w:rPr>
          <w:rFonts w:ascii="Arial" w:hAnsi="Arial" w:cs="Arial"/>
        </w:rPr>
      </w:pPr>
      <w:r w:rsidRPr="00444153">
        <w:rPr>
          <w:rFonts w:ascii="Arial" w:hAnsi="Arial" w:cs="Arial"/>
        </w:rPr>
        <w:t>Así las cosas, y para proteger ese derecho, lo que se debió hacer en primera instancia, fue propiciar la notificación del oficio emitido el 8 de noviembre de 2021, en el que se exponían los resultados de la aplicación de dicho método en el caso de la accionante, antes que determinar el sentido de la respuesta</w:t>
      </w:r>
      <w:r w:rsidR="009D4D0C">
        <w:rPr>
          <w:rFonts w:ascii="Arial" w:hAnsi="Arial" w:cs="Arial"/>
        </w:rPr>
        <w:t>…</w:t>
      </w:r>
    </w:p>
    <w:p w14:paraId="71A466F6" w14:textId="4B0EF084" w:rsidR="009D4D0C" w:rsidRDefault="009D4D0C" w:rsidP="00176C8F">
      <w:pPr>
        <w:jc w:val="both"/>
        <w:rPr>
          <w:rFonts w:ascii="Arial" w:hAnsi="Arial" w:cs="Arial"/>
        </w:rPr>
      </w:pPr>
    </w:p>
    <w:p w14:paraId="172DC941" w14:textId="095F02A9" w:rsidR="009D4D0C" w:rsidRPr="00176C8F" w:rsidRDefault="009D4D0C" w:rsidP="00176C8F">
      <w:pPr>
        <w:jc w:val="both"/>
        <w:rPr>
          <w:rFonts w:ascii="Arial" w:hAnsi="Arial" w:cs="Arial"/>
        </w:rPr>
      </w:pPr>
      <w:r>
        <w:rPr>
          <w:rFonts w:ascii="Arial" w:hAnsi="Arial" w:cs="Arial"/>
        </w:rPr>
        <w:t xml:space="preserve">… </w:t>
      </w:r>
      <w:r w:rsidRPr="009D4D0C">
        <w:rPr>
          <w:rFonts w:ascii="Arial" w:hAnsi="Arial" w:cs="Arial"/>
        </w:rPr>
        <w:t>embargo, y comoquiera que ya hay certeza de que fue resuelta la solicitud de la accionante y que ello fue notificado, es criterio de la Sala que debe declararse la carencia actual de objeto por hecho superado.</w:t>
      </w:r>
    </w:p>
    <w:p w14:paraId="70DBCC0E" w14:textId="77777777" w:rsidR="00176C8F" w:rsidRPr="00176C8F" w:rsidRDefault="00176C8F" w:rsidP="00176C8F">
      <w:pPr>
        <w:jc w:val="both"/>
        <w:rPr>
          <w:rFonts w:ascii="Arial" w:hAnsi="Arial" w:cs="Arial"/>
        </w:rPr>
      </w:pPr>
    </w:p>
    <w:p w14:paraId="3B303152" w14:textId="1CF5D4A7" w:rsidR="00176C8F" w:rsidRDefault="00176C8F" w:rsidP="00176C8F">
      <w:pPr>
        <w:jc w:val="both"/>
        <w:rPr>
          <w:rFonts w:ascii="Arial" w:hAnsi="Arial" w:cs="Arial"/>
        </w:rPr>
      </w:pPr>
    </w:p>
    <w:p w14:paraId="1DEBDA8B" w14:textId="77777777" w:rsidR="009D4D0C" w:rsidRPr="00176C8F" w:rsidRDefault="009D4D0C" w:rsidP="00176C8F">
      <w:pPr>
        <w:jc w:val="both"/>
        <w:rPr>
          <w:rFonts w:ascii="Arial" w:hAnsi="Arial" w:cs="Arial"/>
        </w:rPr>
      </w:pPr>
    </w:p>
    <w:bookmarkEnd w:id="0"/>
    <w:p w14:paraId="4AB3A0A8" w14:textId="28A0C066" w:rsidR="00067B68" w:rsidRPr="00176C8F" w:rsidRDefault="00067B68" w:rsidP="00176C8F">
      <w:pPr>
        <w:keepNext/>
        <w:overflowPunct/>
        <w:spacing w:line="276" w:lineRule="auto"/>
        <w:ind w:left="1416" w:firstLine="708"/>
        <w:jc w:val="center"/>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176C8F">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68272944" w14:textId="064A53E3" w:rsidR="00067B68" w:rsidRPr="00176C8F" w:rsidRDefault="00067B68" w:rsidP="00176C8F">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176C8F">
        <w:rPr>
          <w:rFonts w:ascii="Gadugi" w:hAnsi="Gadugi"/>
          <w:b/>
          <w:sz w:val="24"/>
          <w:szCs w:val="24"/>
          <w14:shadow w14:blurRad="50800" w14:dist="38100" w14:dir="2700000" w14:sx="100000" w14:sy="100000" w14:kx="0" w14:ky="0" w14:algn="tl">
            <w14:srgbClr w14:val="000000">
              <w14:alpha w14:val="60000"/>
            </w14:srgbClr>
          </w14:shadow>
        </w:rPr>
        <w:t xml:space="preserve"> </w:t>
      </w:r>
      <w:r w:rsidR="00DE503A">
        <w:rPr>
          <w:rFonts w:ascii="Gadugi" w:hAnsi="Gadugi"/>
          <w:b/>
          <w:sz w:val="24"/>
          <w:szCs w:val="24"/>
          <w14:shadow w14:blurRad="50800" w14:dist="38100" w14:dir="2700000" w14:sx="100000" w14:sy="100000" w14:kx="0" w14:ky="0" w14:algn="tl">
            <w14:srgbClr w14:val="000000">
              <w14:alpha w14:val="60000"/>
            </w14:srgbClr>
          </w14:shadow>
        </w:rPr>
        <w:t xml:space="preserve">  </w:t>
      </w:r>
      <w:r w:rsidRPr="00176C8F">
        <w:rPr>
          <w:rFonts w:ascii="Gadugi" w:hAnsi="Gadugi"/>
          <w:b/>
          <w:sz w:val="24"/>
          <w:szCs w:val="24"/>
          <w14:shadow w14:blurRad="50800" w14:dist="38100" w14:dir="2700000" w14:sx="100000" w14:sy="100000" w14:kx="0" w14:ky="0" w14:algn="tl">
            <w14:srgbClr w14:val="000000">
              <w14:alpha w14:val="60000"/>
            </w14:srgbClr>
          </w14:shadow>
        </w:rPr>
        <w:t xml:space="preserve">     </w:t>
      </w:r>
      <w:r w:rsidRPr="00176C8F">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004B1A52" w:rsidRPr="00176C8F">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Pr="00176C8F">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SALA DE DECISIÓN CIVIL- FAMILIA </w:t>
      </w:r>
    </w:p>
    <w:p w14:paraId="4167068C" w14:textId="77777777" w:rsidR="00067B68" w:rsidRPr="00176C8F" w:rsidRDefault="00067B68" w:rsidP="00176C8F">
      <w:pPr>
        <w:keepNext/>
        <w:overflowPunct/>
        <w:spacing w:line="276" w:lineRule="auto"/>
        <w:ind w:left="2124"/>
        <w:jc w:val="both"/>
        <w:textAlignment w:val="auto"/>
        <w:rPr>
          <w:rFonts w:ascii="Gadugi" w:hAnsi="Gadugi" w:cs="Arial Narrow"/>
          <w:bCs/>
          <w:sz w:val="24"/>
          <w:szCs w:val="24"/>
        </w:rPr>
      </w:pPr>
    </w:p>
    <w:p w14:paraId="2872F177" w14:textId="64BAC9A3" w:rsidR="00067B68" w:rsidRPr="00176C8F" w:rsidRDefault="00F155E7" w:rsidP="00176C8F">
      <w:pPr>
        <w:overflowPunct/>
        <w:spacing w:line="276" w:lineRule="auto"/>
        <w:ind w:firstLine="2835"/>
        <w:textAlignment w:val="auto"/>
        <w:rPr>
          <w:rFonts w:ascii="Gadugi" w:hAnsi="Gadugi" w:cs="Century Gothic"/>
          <w:sz w:val="24"/>
          <w:szCs w:val="24"/>
        </w:rPr>
      </w:pPr>
      <w:r w:rsidRPr="00176C8F">
        <w:rPr>
          <w:rFonts w:ascii="Gadugi" w:hAnsi="Gadugi" w:cs="Century Gothic"/>
          <w:sz w:val="24"/>
          <w:szCs w:val="24"/>
        </w:rPr>
        <w:t xml:space="preserve"> </w:t>
      </w:r>
    </w:p>
    <w:p w14:paraId="5CA63C71" w14:textId="77777777" w:rsidR="00067B68" w:rsidRPr="00176C8F" w:rsidRDefault="00067B68" w:rsidP="00176C8F">
      <w:pPr>
        <w:overflowPunct/>
        <w:spacing w:line="276" w:lineRule="auto"/>
        <w:ind w:firstLine="2835"/>
        <w:textAlignment w:val="auto"/>
        <w:rPr>
          <w:rFonts w:ascii="Gadugi" w:hAnsi="Gadugi" w:cs="Century Gothic"/>
          <w:sz w:val="24"/>
          <w:szCs w:val="24"/>
        </w:rPr>
      </w:pPr>
      <w:r w:rsidRPr="00176C8F">
        <w:rPr>
          <w:rFonts w:ascii="Gadugi" w:hAnsi="Gadugi" w:cs="Century Gothic"/>
          <w:sz w:val="24"/>
          <w:szCs w:val="24"/>
        </w:rPr>
        <w:t xml:space="preserve">Magistrado: Jaime Alberto Saraza Naranjo  </w:t>
      </w:r>
    </w:p>
    <w:p w14:paraId="7069AF90" w14:textId="0FC506CD" w:rsidR="00067B68" w:rsidRPr="00176C8F" w:rsidRDefault="00067B68" w:rsidP="00176C8F">
      <w:pPr>
        <w:overflowPunct/>
        <w:spacing w:line="276" w:lineRule="auto"/>
        <w:ind w:firstLine="2835"/>
        <w:textAlignment w:val="auto"/>
        <w:rPr>
          <w:rFonts w:ascii="Gadugi" w:hAnsi="Gadugi" w:cs="Century Gothic"/>
          <w:sz w:val="24"/>
          <w:szCs w:val="24"/>
          <w:lang w:val="es-419"/>
        </w:rPr>
      </w:pPr>
      <w:r w:rsidRPr="00176C8F">
        <w:rPr>
          <w:rFonts w:ascii="Gadugi" w:hAnsi="Gadugi" w:cs="Century Gothic"/>
          <w:sz w:val="24"/>
          <w:szCs w:val="24"/>
        </w:rPr>
        <w:t>Pereira,</w:t>
      </w:r>
      <w:r w:rsidR="00354725" w:rsidRPr="00176C8F">
        <w:rPr>
          <w:rFonts w:ascii="Gadugi" w:hAnsi="Gadugi" w:cs="Century Gothic"/>
          <w:sz w:val="24"/>
          <w:szCs w:val="24"/>
        </w:rPr>
        <w:t xml:space="preserve"> </w:t>
      </w:r>
      <w:r w:rsidR="0062385A" w:rsidRPr="00176C8F">
        <w:rPr>
          <w:rFonts w:ascii="Gadugi" w:hAnsi="Gadugi" w:cs="Century Gothic"/>
          <w:sz w:val="24"/>
          <w:szCs w:val="24"/>
        </w:rPr>
        <w:t xml:space="preserve">febrero once de dos mil veintidós </w:t>
      </w:r>
      <w:r w:rsidR="00C55AA2" w:rsidRPr="00176C8F">
        <w:rPr>
          <w:rFonts w:ascii="Gadugi" w:hAnsi="Gadugi" w:cs="Century Gothic"/>
          <w:sz w:val="24"/>
          <w:szCs w:val="24"/>
        </w:rPr>
        <w:t xml:space="preserve"> </w:t>
      </w:r>
      <w:r w:rsidR="00413E19" w:rsidRPr="00176C8F">
        <w:rPr>
          <w:rFonts w:ascii="Gadugi" w:hAnsi="Gadugi" w:cs="Century Gothic"/>
          <w:sz w:val="24"/>
          <w:szCs w:val="24"/>
        </w:rPr>
        <w:t xml:space="preserve"> </w:t>
      </w:r>
      <w:r w:rsidR="00C55AA2" w:rsidRPr="00176C8F">
        <w:rPr>
          <w:rFonts w:ascii="Gadugi" w:hAnsi="Gadugi" w:cs="Century Gothic"/>
          <w:sz w:val="24"/>
          <w:szCs w:val="24"/>
        </w:rPr>
        <w:t xml:space="preserve"> </w:t>
      </w:r>
      <w:r w:rsidR="00734455" w:rsidRPr="00176C8F">
        <w:rPr>
          <w:rFonts w:ascii="Gadugi" w:hAnsi="Gadugi" w:cs="Century Gothic"/>
          <w:sz w:val="24"/>
          <w:szCs w:val="24"/>
        </w:rPr>
        <w:t xml:space="preserve"> </w:t>
      </w:r>
      <w:r w:rsidR="00181EB9" w:rsidRPr="00176C8F">
        <w:rPr>
          <w:rFonts w:ascii="Gadugi" w:hAnsi="Gadugi" w:cs="Century Gothic"/>
          <w:sz w:val="24"/>
          <w:szCs w:val="24"/>
        </w:rPr>
        <w:t xml:space="preserve"> </w:t>
      </w:r>
      <w:r w:rsidR="00734455" w:rsidRPr="00176C8F">
        <w:rPr>
          <w:rFonts w:ascii="Gadugi" w:hAnsi="Gadugi" w:cs="Century Gothic"/>
          <w:sz w:val="24"/>
          <w:szCs w:val="24"/>
        </w:rPr>
        <w:t xml:space="preserve"> </w:t>
      </w:r>
      <w:r w:rsidR="00750356" w:rsidRPr="00176C8F">
        <w:rPr>
          <w:rFonts w:ascii="Gadugi" w:hAnsi="Gadugi" w:cs="Century Gothic"/>
          <w:sz w:val="24"/>
          <w:szCs w:val="24"/>
        </w:rPr>
        <w:t xml:space="preserve"> </w:t>
      </w:r>
      <w:r w:rsidR="005E1640" w:rsidRPr="00176C8F">
        <w:rPr>
          <w:rFonts w:ascii="Gadugi" w:hAnsi="Gadugi" w:cs="Century Gothic"/>
          <w:sz w:val="24"/>
          <w:szCs w:val="24"/>
        </w:rPr>
        <w:t xml:space="preserve"> </w:t>
      </w:r>
      <w:r w:rsidR="00F155E7" w:rsidRPr="00176C8F">
        <w:rPr>
          <w:rFonts w:ascii="Gadugi" w:hAnsi="Gadugi" w:cs="Century Gothic"/>
          <w:sz w:val="24"/>
          <w:szCs w:val="24"/>
        </w:rPr>
        <w:t xml:space="preserve"> </w:t>
      </w:r>
      <w:r w:rsidR="00CB2A9F" w:rsidRPr="00176C8F">
        <w:rPr>
          <w:rFonts w:ascii="Gadugi" w:hAnsi="Gadugi" w:cs="Century Gothic"/>
          <w:sz w:val="24"/>
          <w:szCs w:val="24"/>
        </w:rPr>
        <w:t xml:space="preserve"> </w:t>
      </w:r>
      <w:r w:rsidR="00750356" w:rsidRPr="00176C8F">
        <w:rPr>
          <w:rFonts w:ascii="Gadugi" w:hAnsi="Gadugi" w:cs="Century Gothic"/>
          <w:sz w:val="24"/>
          <w:szCs w:val="24"/>
        </w:rPr>
        <w:t xml:space="preserve"> </w:t>
      </w:r>
      <w:r w:rsidR="00BA2AF5" w:rsidRPr="00176C8F">
        <w:rPr>
          <w:rFonts w:ascii="Gadugi" w:hAnsi="Gadugi" w:cs="Century Gothic"/>
          <w:sz w:val="24"/>
          <w:szCs w:val="24"/>
        </w:rPr>
        <w:t xml:space="preserve"> </w:t>
      </w:r>
      <w:r w:rsidR="00CB6FFE" w:rsidRPr="00176C8F">
        <w:rPr>
          <w:rFonts w:ascii="Gadugi" w:hAnsi="Gadugi" w:cs="Century Gothic"/>
          <w:sz w:val="24"/>
          <w:szCs w:val="24"/>
        </w:rPr>
        <w:t xml:space="preserve"> </w:t>
      </w:r>
      <w:r w:rsidR="00E814C5" w:rsidRPr="00176C8F">
        <w:rPr>
          <w:rFonts w:ascii="Gadugi" w:hAnsi="Gadugi" w:cs="Century Gothic"/>
          <w:sz w:val="24"/>
          <w:szCs w:val="24"/>
        </w:rPr>
        <w:t xml:space="preserve"> </w:t>
      </w:r>
      <w:r w:rsidRPr="00176C8F">
        <w:rPr>
          <w:rFonts w:ascii="Gadugi" w:hAnsi="Gadugi" w:cs="Century Gothic"/>
          <w:sz w:val="24"/>
          <w:szCs w:val="24"/>
        </w:rPr>
        <w:t xml:space="preserve"> </w:t>
      </w:r>
      <w:r w:rsidR="001C1CA0" w:rsidRPr="00176C8F">
        <w:rPr>
          <w:rFonts w:ascii="Gadugi" w:hAnsi="Gadugi" w:cs="Century Gothic"/>
          <w:sz w:val="24"/>
          <w:szCs w:val="24"/>
          <w:lang w:val="es-419"/>
        </w:rPr>
        <w:t xml:space="preserve"> </w:t>
      </w:r>
    </w:p>
    <w:p w14:paraId="21811276" w14:textId="32693B00" w:rsidR="00067B68" w:rsidRPr="00176C8F" w:rsidRDefault="00881D78" w:rsidP="00176C8F">
      <w:pPr>
        <w:overflowPunct/>
        <w:spacing w:line="276" w:lineRule="auto"/>
        <w:ind w:firstLine="2835"/>
        <w:textAlignment w:val="auto"/>
        <w:rPr>
          <w:rFonts w:ascii="Gadugi" w:hAnsi="Gadugi" w:cs="Century Gothic"/>
          <w:sz w:val="24"/>
          <w:szCs w:val="24"/>
          <w:lang w:val="es-419"/>
        </w:rPr>
      </w:pPr>
      <w:r w:rsidRPr="00176C8F">
        <w:rPr>
          <w:rFonts w:ascii="Gadugi" w:hAnsi="Gadugi" w:cs="Century Gothic"/>
          <w:sz w:val="24"/>
          <w:szCs w:val="24"/>
        </w:rPr>
        <w:t>Expediente</w:t>
      </w:r>
      <w:r w:rsidR="001C1CA0" w:rsidRPr="00176C8F">
        <w:rPr>
          <w:rFonts w:ascii="Gadugi" w:hAnsi="Gadugi" w:cs="Century Gothic"/>
          <w:sz w:val="24"/>
          <w:szCs w:val="24"/>
        </w:rPr>
        <w:t>:</w:t>
      </w:r>
      <w:r w:rsidRPr="00176C8F">
        <w:rPr>
          <w:rFonts w:ascii="Gadugi" w:hAnsi="Gadugi" w:cs="Century Gothic"/>
          <w:sz w:val="24"/>
          <w:szCs w:val="24"/>
        </w:rPr>
        <w:t xml:space="preserve"> </w:t>
      </w:r>
      <w:r w:rsidR="00413E19" w:rsidRPr="00176C8F">
        <w:rPr>
          <w:rFonts w:ascii="Gadugi" w:hAnsi="Gadugi" w:cs="Century Gothic"/>
          <w:sz w:val="24"/>
          <w:szCs w:val="24"/>
          <w:lang w:val="es-419"/>
        </w:rPr>
        <w:t>66682310300120210042401</w:t>
      </w:r>
    </w:p>
    <w:p w14:paraId="6FAE091D" w14:textId="426A3515" w:rsidR="00067B68" w:rsidRPr="00176C8F" w:rsidRDefault="00067B68" w:rsidP="00176C8F">
      <w:pPr>
        <w:overflowPunct/>
        <w:spacing w:line="276" w:lineRule="auto"/>
        <w:ind w:firstLine="2835"/>
        <w:jc w:val="both"/>
        <w:textAlignment w:val="auto"/>
        <w:rPr>
          <w:rFonts w:ascii="Gadugi" w:hAnsi="Gadugi" w:cs="Century Gothic"/>
          <w:sz w:val="24"/>
          <w:szCs w:val="24"/>
          <w:lang w:val="es-419"/>
        </w:rPr>
      </w:pPr>
      <w:r w:rsidRPr="00176C8F">
        <w:rPr>
          <w:rFonts w:ascii="Gadugi" w:hAnsi="Gadugi" w:cs="Century Gothic"/>
          <w:sz w:val="24"/>
          <w:szCs w:val="24"/>
        </w:rPr>
        <w:t>Acta</w:t>
      </w:r>
      <w:r w:rsidR="00181EB9" w:rsidRPr="00176C8F">
        <w:rPr>
          <w:rFonts w:ascii="Gadugi" w:hAnsi="Gadugi" w:cs="Century Gothic"/>
          <w:sz w:val="24"/>
          <w:szCs w:val="24"/>
        </w:rPr>
        <w:t>:</w:t>
      </w:r>
      <w:r w:rsidR="0062385A" w:rsidRPr="00176C8F">
        <w:rPr>
          <w:rFonts w:ascii="Gadugi" w:hAnsi="Gadugi" w:cs="Century Gothic"/>
          <w:sz w:val="24"/>
          <w:szCs w:val="24"/>
        </w:rPr>
        <w:t xml:space="preserve"> 56 del 11 de febrero de 2022 </w:t>
      </w:r>
      <w:r w:rsidR="00750356" w:rsidRPr="00176C8F">
        <w:rPr>
          <w:rFonts w:ascii="Gadugi" w:hAnsi="Gadugi" w:cs="Century Gothic"/>
          <w:sz w:val="24"/>
          <w:szCs w:val="24"/>
        </w:rPr>
        <w:t xml:space="preserve"> </w:t>
      </w:r>
      <w:r w:rsidR="00413E19" w:rsidRPr="00176C8F">
        <w:rPr>
          <w:rFonts w:ascii="Gadugi" w:hAnsi="Gadugi" w:cs="Century Gothic"/>
          <w:sz w:val="24"/>
          <w:szCs w:val="24"/>
        </w:rPr>
        <w:t xml:space="preserve"> </w:t>
      </w:r>
      <w:r w:rsidR="00181EB9" w:rsidRPr="00176C8F">
        <w:rPr>
          <w:rFonts w:ascii="Gadugi" w:hAnsi="Gadugi" w:cs="Century Gothic"/>
          <w:sz w:val="24"/>
          <w:szCs w:val="24"/>
        </w:rPr>
        <w:t xml:space="preserve"> </w:t>
      </w:r>
      <w:r w:rsidR="005E1640" w:rsidRPr="00176C8F">
        <w:rPr>
          <w:rFonts w:ascii="Gadugi" w:hAnsi="Gadugi" w:cs="Century Gothic"/>
          <w:sz w:val="24"/>
          <w:szCs w:val="24"/>
        </w:rPr>
        <w:t xml:space="preserve"> </w:t>
      </w:r>
      <w:r w:rsidR="00CB2A9F" w:rsidRPr="00176C8F">
        <w:rPr>
          <w:rFonts w:ascii="Gadugi" w:hAnsi="Gadugi" w:cs="Century Gothic"/>
          <w:sz w:val="24"/>
          <w:szCs w:val="24"/>
        </w:rPr>
        <w:t xml:space="preserve"> </w:t>
      </w:r>
      <w:r w:rsidR="00ED0CB6" w:rsidRPr="00176C8F">
        <w:rPr>
          <w:rFonts w:ascii="Gadugi" w:hAnsi="Gadugi" w:cs="Century Gothic"/>
          <w:sz w:val="24"/>
          <w:szCs w:val="24"/>
        </w:rPr>
        <w:t xml:space="preserve"> </w:t>
      </w:r>
      <w:r w:rsidR="00CB6FFE" w:rsidRPr="00176C8F">
        <w:rPr>
          <w:rFonts w:ascii="Gadugi" w:hAnsi="Gadugi" w:cs="Century Gothic"/>
          <w:sz w:val="24"/>
          <w:szCs w:val="24"/>
        </w:rPr>
        <w:t xml:space="preserve"> </w:t>
      </w:r>
      <w:r w:rsidRPr="00176C8F">
        <w:rPr>
          <w:rFonts w:ascii="Gadugi" w:hAnsi="Gadugi" w:cs="Century Gothic"/>
          <w:sz w:val="24"/>
          <w:szCs w:val="24"/>
        </w:rPr>
        <w:t xml:space="preserve"> </w:t>
      </w:r>
      <w:r w:rsidR="00E814C5" w:rsidRPr="00176C8F">
        <w:rPr>
          <w:rFonts w:ascii="Gadugi" w:hAnsi="Gadugi" w:cs="Century Gothic"/>
          <w:sz w:val="24"/>
          <w:szCs w:val="24"/>
        </w:rPr>
        <w:t xml:space="preserve"> </w:t>
      </w:r>
      <w:r w:rsidR="001C1CA0" w:rsidRPr="00176C8F">
        <w:rPr>
          <w:rFonts w:ascii="Gadugi" w:hAnsi="Gadugi" w:cs="Century Gothic"/>
          <w:sz w:val="24"/>
          <w:szCs w:val="24"/>
          <w:lang w:val="es-419"/>
        </w:rPr>
        <w:t xml:space="preserve"> </w:t>
      </w:r>
    </w:p>
    <w:p w14:paraId="02A08BFC" w14:textId="17DD79B0" w:rsidR="002D5939" w:rsidRPr="00176C8F" w:rsidRDefault="00CB6FFE" w:rsidP="00176C8F">
      <w:pPr>
        <w:overflowPunct/>
        <w:spacing w:line="276" w:lineRule="auto"/>
        <w:ind w:firstLine="2835"/>
        <w:jc w:val="both"/>
        <w:textAlignment w:val="auto"/>
        <w:rPr>
          <w:rFonts w:ascii="Gadugi" w:hAnsi="Gadugi" w:cs="Century Gothic"/>
          <w:sz w:val="24"/>
          <w:szCs w:val="24"/>
        </w:rPr>
      </w:pPr>
      <w:r w:rsidRPr="00176C8F">
        <w:rPr>
          <w:rFonts w:ascii="Gadugi" w:hAnsi="Gadugi" w:cs="Century Gothic"/>
          <w:sz w:val="24"/>
          <w:szCs w:val="24"/>
        </w:rPr>
        <w:t>Sentencia</w:t>
      </w:r>
      <w:r w:rsidR="00181EB9" w:rsidRPr="00176C8F">
        <w:rPr>
          <w:rFonts w:ascii="Gadugi" w:hAnsi="Gadugi" w:cs="Century Gothic"/>
          <w:sz w:val="24"/>
          <w:szCs w:val="24"/>
        </w:rPr>
        <w:t>:</w:t>
      </w:r>
      <w:r w:rsidR="0062385A" w:rsidRPr="00176C8F">
        <w:rPr>
          <w:rFonts w:ascii="Gadugi" w:hAnsi="Gadugi" w:cs="Century Gothic"/>
          <w:sz w:val="24"/>
          <w:szCs w:val="24"/>
        </w:rPr>
        <w:t xml:space="preserve"> ST2-0047-2022</w:t>
      </w:r>
      <w:r w:rsidRPr="00176C8F">
        <w:rPr>
          <w:rFonts w:ascii="Gadugi" w:hAnsi="Gadugi" w:cs="Century Gothic"/>
          <w:sz w:val="24"/>
          <w:szCs w:val="24"/>
        </w:rPr>
        <w:t xml:space="preserve"> </w:t>
      </w:r>
      <w:r w:rsidR="00413E19" w:rsidRPr="00176C8F">
        <w:rPr>
          <w:rFonts w:ascii="Gadugi" w:hAnsi="Gadugi" w:cs="Century Gothic"/>
          <w:sz w:val="24"/>
          <w:szCs w:val="24"/>
        </w:rPr>
        <w:t xml:space="preserve"> </w:t>
      </w:r>
    </w:p>
    <w:p w14:paraId="6426EC21" w14:textId="77DFF371" w:rsidR="00067B68" w:rsidRPr="00176C8F" w:rsidRDefault="00067B68" w:rsidP="00176C8F">
      <w:pPr>
        <w:overflowPunct/>
        <w:spacing w:line="276" w:lineRule="auto"/>
        <w:ind w:firstLine="2835"/>
        <w:jc w:val="both"/>
        <w:textAlignment w:val="auto"/>
        <w:rPr>
          <w:rFonts w:ascii="Gadugi" w:hAnsi="Gadugi" w:cs="Century Gothic"/>
          <w:sz w:val="24"/>
          <w:szCs w:val="24"/>
        </w:rPr>
      </w:pPr>
    </w:p>
    <w:p w14:paraId="658B2C49" w14:textId="77777777" w:rsidR="00CB6FFE" w:rsidRPr="00176C8F" w:rsidRDefault="00CB6FFE" w:rsidP="00176C8F">
      <w:pPr>
        <w:overflowPunct/>
        <w:spacing w:line="276" w:lineRule="auto"/>
        <w:ind w:firstLine="2835"/>
        <w:jc w:val="both"/>
        <w:textAlignment w:val="auto"/>
        <w:rPr>
          <w:rFonts w:ascii="Gadugi" w:hAnsi="Gadugi" w:cs="Century Gothic"/>
          <w:sz w:val="24"/>
          <w:szCs w:val="24"/>
        </w:rPr>
      </w:pPr>
    </w:p>
    <w:p w14:paraId="443DA6ED" w14:textId="637CB0DF" w:rsidR="00E73D7F" w:rsidRPr="00176C8F" w:rsidRDefault="00820839" w:rsidP="00176C8F">
      <w:pPr>
        <w:spacing w:line="276" w:lineRule="auto"/>
        <w:jc w:val="both"/>
        <w:rPr>
          <w:rFonts w:ascii="Gadugi" w:hAnsi="Gadugi"/>
          <w:sz w:val="24"/>
          <w:szCs w:val="24"/>
          <w:lang w:val="es-419"/>
        </w:rPr>
      </w:pPr>
      <w:r w:rsidRPr="00176C8F">
        <w:rPr>
          <w:rFonts w:ascii="Gadugi" w:hAnsi="Gadugi" w:cs="Arial"/>
          <w:sz w:val="24"/>
          <w:szCs w:val="24"/>
        </w:rPr>
        <w:t xml:space="preserve">  </w:t>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00D228C8" w:rsidRPr="00176C8F">
        <w:rPr>
          <w:rFonts w:ascii="Gadugi" w:hAnsi="Gadugi" w:cs="Arial"/>
          <w:sz w:val="24"/>
          <w:szCs w:val="24"/>
        </w:rPr>
        <w:t xml:space="preserve">Procede la Sala a decidir la </w:t>
      </w:r>
      <w:r w:rsidR="002014C3" w:rsidRPr="00176C8F">
        <w:rPr>
          <w:rFonts w:ascii="Gadugi" w:hAnsi="Gadugi" w:cs="Arial"/>
          <w:sz w:val="24"/>
          <w:szCs w:val="24"/>
          <w:lang w:val="es-419"/>
        </w:rPr>
        <w:t xml:space="preserve">impugnación propuesta por la </w:t>
      </w:r>
      <w:r w:rsidR="0033012D" w:rsidRPr="00176C8F">
        <w:rPr>
          <w:rFonts w:ascii="Gadugi" w:hAnsi="Gadugi" w:cs="Arial"/>
          <w:sz w:val="24"/>
          <w:szCs w:val="24"/>
          <w:lang w:val="es-CO"/>
        </w:rPr>
        <w:t xml:space="preserve">parte </w:t>
      </w:r>
      <w:r w:rsidR="00E814C5" w:rsidRPr="00176C8F">
        <w:rPr>
          <w:rFonts w:ascii="Gadugi" w:hAnsi="Gadugi" w:cs="Arial"/>
          <w:sz w:val="24"/>
          <w:szCs w:val="24"/>
          <w:lang w:val="es-419"/>
        </w:rPr>
        <w:t>demandada</w:t>
      </w:r>
      <w:r w:rsidR="00D243D2" w:rsidRPr="00176C8F">
        <w:rPr>
          <w:rFonts w:ascii="Gadugi" w:hAnsi="Gadugi" w:cs="Arial"/>
          <w:sz w:val="24"/>
          <w:szCs w:val="24"/>
          <w:lang w:val="es-419"/>
        </w:rPr>
        <w:t xml:space="preserve"> cont</w:t>
      </w:r>
      <w:r w:rsidR="00E814C5" w:rsidRPr="00176C8F">
        <w:rPr>
          <w:rFonts w:ascii="Gadugi" w:hAnsi="Gadugi" w:cs="Arial"/>
          <w:sz w:val="24"/>
          <w:szCs w:val="24"/>
          <w:lang w:val="es-419"/>
        </w:rPr>
        <w:t xml:space="preserve">ra la sentencia del </w:t>
      </w:r>
      <w:r w:rsidR="00413E19" w:rsidRPr="00176C8F">
        <w:rPr>
          <w:rFonts w:ascii="Gadugi" w:hAnsi="Gadugi" w:cs="Arial"/>
          <w:sz w:val="24"/>
          <w:szCs w:val="24"/>
          <w:lang w:val="es-419"/>
        </w:rPr>
        <w:t>13</w:t>
      </w:r>
      <w:r w:rsidR="002874D8" w:rsidRPr="00176C8F">
        <w:rPr>
          <w:rFonts w:ascii="Gadugi" w:hAnsi="Gadugi" w:cs="Arial"/>
          <w:sz w:val="24"/>
          <w:szCs w:val="24"/>
          <w:lang w:val="es-419"/>
        </w:rPr>
        <w:t xml:space="preserve"> de </w:t>
      </w:r>
      <w:r w:rsidR="00413E19" w:rsidRPr="00176C8F">
        <w:rPr>
          <w:rFonts w:ascii="Gadugi" w:hAnsi="Gadugi" w:cs="Arial"/>
          <w:sz w:val="24"/>
          <w:szCs w:val="24"/>
          <w:lang w:val="es-419"/>
        </w:rPr>
        <w:t>diciembre</w:t>
      </w:r>
      <w:r w:rsidR="00E814C5" w:rsidRPr="00176C8F">
        <w:rPr>
          <w:rFonts w:ascii="Gadugi" w:hAnsi="Gadugi" w:cs="Arial"/>
          <w:sz w:val="24"/>
          <w:szCs w:val="24"/>
          <w:lang w:val="es-419"/>
        </w:rPr>
        <w:t xml:space="preserve"> </w:t>
      </w:r>
      <w:r w:rsidR="001C1CA0" w:rsidRPr="00176C8F">
        <w:rPr>
          <w:rFonts w:ascii="Gadugi" w:hAnsi="Gadugi" w:cs="Arial"/>
          <w:sz w:val="24"/>
          <w:szCs w:val="24"/>
          <w:lang w:val="es-419"/>
        </w:rPr>
        <w:t>de 20</w:t>
      </w:r>
      <w:r w:rsidR="00714154" w:rsidRPr="00176C8F">
        <w:rPr>
          <w:rFonts w:ascii="Gadugi" w:hAnsi="Gadugi" w:cs="Arial"/>
          <w:sz w:val="24"/>
          <w:szCs w:val="24"/>
          <w:lang w:val="es-419"/>
        </w:rPr>
        <w:t>21</w:t>
      </w:r>
      <w:r w:rsidR="00810DA0" w:rsidRPr="00176C8F">
        <w:rPr>
          <w:rFonts w:ascii="Gadugi" w:hAnsi="Gadugi" w:cs="Arial"/>
          <w:sz w:val="24"/>
          <w:szCs w:val="24"/>
          <w:lang w:val="es-419"/>
        </w:rPr>
        <w:t xml:space="preserve">, proferida por el Juzgado </w:t>
      </w:r>
      <w:r w:rsidR="00181EB9" w:rsidRPr="00176C8F">
        <w:rPr>
          <w:rFonts w:ascii="Gadugi" w:hAnsi="Gadugi" w:cs="Arial"/>
          <w:sz w:val="24"/>
          <w:szCs w:val="24"/>
          <w:lang w:val="es-419"/>
        </w:rPr>
        <w:t>Civil del Circuito</w:t>
      </w:r>
      <w:r w:rsidR="005E1640" w:rsidRPr="00176C8F">
        <w:rPr>
          <w:rFonts w:ascii="Gadugi" w:hAnsi="Gadugi" w:cs="Arial"/>
          <w:sz w:val="24"/>
          <w:szCs w:val="24"/>
          <w:lang w:val="es-419"/>
        </w:rPr>
        <w:t xml:space="preserve"> </w:t>
      </w:r>
      <w:r w:rsidR="00413E19" w:rsidRPr="00176C8F">
        <w:rPr>
          <w:rFonts w:ascii="Gadugi" w:hAnsi="Gadugi" w:cs="Arial"/>
          <w:sz w:val="24"/>
          <w:szCs w:val="24"/>
          <w:lang w:val="es-419"/>
        </w:rPr>
        <w:t>de Santa Rosa de Cabal</w:t>
      </w:r>
      <w:r w:rsidR="00810DA0" w:rsidRPr="00176C8F">
        <w:rPr>
          <w:rFonts w:ascii="Gadugi" w:hAnsi="Gadugi" w:cs="Arial"/>
          <w:sz w:val="24"/>
          <w:szCs w:val="24"/>
          <w:lang w:val="es-419"/>
        </w:rPr>
        <w:t>,</w:t>
      </w:r>
      <w:r w:rsidR="002014C3" w:rsidRPr="00176C8F">
        <w:rPr>
          <w:rFonts w:ascii="Gadugi" w:hAnsi="Gadugi" w:cs="Arial"/>
          <w:sz w:val="24"/>
          <w:szCs w:val="24"/>
          <w:lang w:val="es-419"/>
        </w:rPr>
        <w:t xml:space="preserve"> en esta </w:t>
      </w:r>
      <w:r w:rsidR="005E2073" w:rsidRPr="00176C8F">
        <w:rPr>
          <w:rFonts w:ascii="Gadugi" w:hAnsi="Gadugi" w:cs="Arial"/>
          <w:sz w:val="24"/>
          <w:szCs w:val="24"/>
        </w:rPr>
        <w:t xml:space="preserve">acción de tutela </w:t>
      </w:r>
      <w:r w:rsidR="00D50D8A" w:rsidRPr="00176C8F">
        <w:rPr>
          <w:rFonts w:ascii="Gadugi" w:hAnsi="Gadugi" w:cs="Arial"/>
          <w:sz w:val="24"/>
          <w:szCs w:val="24"/>
        </w:rPr>
        <w:t>iniciada por</w:t>
      </w:r>
      <w:r w:rsidR="00E814C5" w:rsidRPr="00176C8F">
        <w:rPr>
          <w:rFonts w:ascii="Gadugi" w:hAnsi="Gadugi" w:cs="Arial"/>
          <w:b/>
          <w:sz w:val="24"/>
          <w:szCs w:val="24"/>
        </w:rPr>
        <w:t xml:space="preserve"> </w:t>
      </w:r>
      <w:r w:rsidR="00413E19" w:rsidRPr="00176C8F">
        <w:rPr>
          <w:rFonts w:ascii="Gadugi" w:hAnsi="Gadugi" w:cs="Arial"/>
          <w:b/>
          <w:sz w:val="24"/>
          <w:szCs w:val="24"/>
        </w:rPr>
        <w:t xml:space="preserve">Marta Lina Quintero Acosta </w:t>
      </w:r>
      <w:r w:rsidR="002F3E2B" w:rsidRPr="00176C8F">
        <w:rPr>
          <w:rFonts w:ascii="Gadugi" w:hAnsi="Gadugi" w:cs="Arial"/>
          <w:sz w:val="24"/>
          <w:szCs w:val="24"/>
        </w:rPr>
        <w:t>contra</w:t>
      </w:r>
      <w:r w:rsidR="00FD5354" w:rsidRPr="00176C8F">
        <w:rPr>
          <w:rFonts w:ascii="Gadugi" w:hAnsi="Gadugi" w:cs="Arial"/>
          <w:sz w:val="24"/>
          <w:szCs w:val="24"/>
        </w:rPr>
        <w:t xml:space="preserve"> la</w:t>
      </w:r>
      <w:r w:rsidR="00D243D2" w:rsidRPr="00176C8F">
        <w:rPr>
          <w:rFonts w:ascii="Gadugi" w:hAnsi="Gadugi" w:cs="Arial"/>
          <w:b/>
          <w:sz w:val="24"/>
          <w:szCs w:val="24"/>
        </w:rPr>
        <w:t xml:space="preserve"> Unidad Administrativa Especial de Atención y Reparación Integral a las Víctimas</w:t>
      </w:r>
      <w:r w:rsidR="00E814C5" w:rsidRPr="00176C8F">
        <w:rPr>
          <w:rFonts w:ascii="Gadugi" w:hAnsi="Gadugi" w:cs="Arial"/>
          <w:sz w:val="24"/>
          <w:szCs w:val="24"/>
        </w:rPr>
        <w:t xml:space="preserve"> –</w:t>
      </w:r>
      <w:r w:rsidR="00E814C5" w:rsidRPr="00176C8F">
        <w:rPr>
          <w:rFonts w:ascii="Gadugi" w:hAnsi="Gadugi" w:cs="Arial"/>
          <w:b/>
          <w:sz w:val="24"/>
          <w:szCs w:val="24"/>
        </w:rPr>
        <w:t>UARIV</w:t>
      </w:r>
      <w:r w:rsidR="00E814C5" w:rsidRPr="00176C8F">
        <w:rPr>
          <w:rFonts w:ascii="Gadugi" w:hAnsi="Gadugi" w:cs="Arial"/>
          <w:sz w:val="24"/>
          <w:szCs w:val="24"/>
        </w:rPr>
        <w:t>-</w:t>
      </w:r>
      <w:r w:rsidR="00181EB9" w:rsidRPr="00176C8F">
        <w:rPr>
          <w:rFonts w:ascii="Gadugi" w:hAnsi="Gadugi" w:cs="Arial"/>
          <w:sz w:val="24"/>
          <w:szCs w:val="24"/>
        </w:rPr>
        <w:t>.</w:t>
      </w:r>
      <w:r w:rsidR="00887DDB" w:rsidRPr="00176C8F">
        <w:rPr>
          <w:rFonts w:ascii="Gadugi" w:hAnsi="Gadugi" w:cs="Arial"/>
          <w:sz w:val="24"/>
          <w:szCs w:val="24"/>
        </w:rPr>
        <w:t xml:space="preserve"> </w:t>
      </w:r>
    </w:p>
    <w:p w14:paraId="0C39A306" w14:textId="2663DB4F" w:rsidR="002C3209" w:rsidRPr="00176C8F" w:rsidRDefault="00F90FEA" w:rsidP="00176C8F">
      <w:pPr>
        <w:spacing w:line="276" w:lineRule="auto"/>
        <w:jc w:val="both"/>
        <w:rPr>
          <w:rFonts w:ascii="Gadugi" w:hAnsi="Gadugi"/>
          <w:sz w:val="24"/>
          <w:szCs w:val="24"/>
          <w:lang w:val="es-CO"/>
        </w:rPr>
      </w:pPr>
      <w:r w:rsidRPr="00176C8F">
        <w:rPr>
          <w:rFonts w:ascii="Gadugi" w:hAnsi="Gadugi"/>
          <w:sz w:val="24"/>
          <w:szCs w:val="24"/>
          <w:lang w:val="es-CO"/>
        </w:rPr>
        <w:t xml:space="preserve"> </w:t>
      </w:r>
      <w:r w:rsidR="00714154" w:rsidRPr="00176C8F">
        <w:rPr>
          <w:rFonts w:ascii="Gadugi" w:hAnsi="Gadugi"/>
          <w:sz w:val="24"/>
          <w:szCs w:val="24"/>
          <w:lang w:val="es-CO"/>
        </w:rPr>
        <w:tab/>
      </w:r>
      <w:r w:rsidR="00714154" w:rsidRPr="00176C8F">
        <w:rPr>
          <w:rFonts w:ascii="Gadugi" w:hAnsi="Gadugi"/>
          <w:sz w:val="24"/>
          <w:szCs w:val="24"/>
          <w:lang w:val="es-CO"/>
        </w:rPr>
        <w:tab/>
      </w:r>
      <w:r w:rsidR="00714154" w:rsidRPr="00176C8F">
        <w:rPr>
          <w:rFonts w:ascii="Gadugi" w:hAnsi="Gadugi"/>
          <w:sz w:val="24"/>
          <w:szCs w:val="24"/>
          <w:lang w:val="es-CO"/>
        </w:rPr>
        <w:tab/>
      </w:r>
      <w:r w:rsidR="00714154" w:rsidRPr="00176C8F">
        <w:rPr>
          <w:rFonts w:ascii="Gadugi" w:hAnsi="Gadugi"/>
          <w:sz w:val="24"/>
          <w:szCs w:val="24"/>
          <w:lang w:val="es-CO"/>
        </w:rPr>
        <w:tab/>
      </w:r>
    </w:p>
    <w:p w14:paraId="1A2FD740" w14:textId="75EAF0D2" w:rsidR="00F90FEA" w:rsidRPr="00176C8F" w:rsidRDefault="00714154" w:rsidP="00176C8F">
      <w:pPr>
        <w:spacing w:line="276" w:lineRule="auto"/>
        <w:jc w:val="both"/>
        <w:rPr>
          <w:rFonts w:ascii="Gadugi" w:hAnsi="Gadugi"/>
          <w:sz w:val="24"/>
          <w:szCs w:val="24"/>
          <w:lang w:val="es-CO"/>
        </w:rPr>
      </w:pPr>
      <w:r w:rsidRPr="00176C8F">
        <w:rPr>
          <w:rFonts w:ascii="Gadugi" w:hAnsi="Gadugi"/>
          <w:sz w:val="24"/>
          <w:szCs w:val="24"/>
          <w:lang w:val="es-CO"/>
        </w:rPr>
        <w:tab/>
      </w:r>
      <w:r w:rsidRPr="00176C8F">
        <w:rPr>
          <w:rFonts w:ascii="Gadugi" w:hAnsi="Gadugi"/>
          <w:sz w:val="24"/>
          <w:szCs w:val="24"/>
          <w:lang w:val="es-CO"/>
        </w:rPr>
        <w:tab/>
      </w:r>
      <w:r w:rsidRPr="00176C8F">
        <w:rPr>
          <w:rFonts w:ascii="Gadugi" w:hAnsi="Gadugi"/>
          <w:sz w:val="24"/>
          <w:szCs w:val="24"/>
          <w:lang w:val="es-CO"/>
        </w:rPr>
        <w:tab/>
      </w:r>
      <w:r w:rsidRPr="00176C8F">
        <w:rPr>
          <w:rFonts w:ascii="Gadugi" w:hAnsi="Gadugi"/>
          <w:sz w:val="24"/>
          <w:szCs w:val="24"/>
          <w:lang w:val="es-CO"/>
        </w:rPr>
        <w:tab/>
      </w:r>
    </w:p>
    <w:p w14:paraId="38618353" w14:textId="77777777" w:rsidR="00F90FEA" w:rsidRPr="00176C8F" w:rsidRDefault="00F90FEA" w:rsidP="00176C8F">
      <w:pPr>
        <w:spacing w:line="276" w:lineRule="auto"/>
        <w:rPr>
          <w:rFonts w:ascii="Gadugi" w:hAnsi="Gadugi" w:cs="Arial"/>
          <w:b/>
          <w:sz w:val="24"/>
          <w:szCs w:val="24"/>
        </w:rPr>
      </w:pPr>
      <w:r w:rsidRPr="00176C8F">
        <w:rPr>
          <w:rFonts w:ascii="Gadugi" w:hAnsi="Gadugi" w:cs="Arial"/>
          <w:bCs/>
          <w:sz w:val="24"/>
          <w:szCs w:val="24"/>
        </w:rPr>
        <w:tab/>
        <w:t xml:space="preserve">  </w:t>
      </w:r>
      <w:r w:rsidRPr="00176C8F">
        <w:rPr>
          <w:rFonts w:ascii="Gadugi" w:hAnsi="Gadugi" w:cs="Arial"/>
          <w:bCs/>
          <w:sz w:val="24"/>
          <w:szCs w:val="24"/>
        </w:rPr>
        <w:tab/>
      </w:r>
      <w:r w:rsidRPr="00176C8F">
        <w:rPr>
          <w:rFonts w:ascii="Gadugi" w:hAnsi="Gadugi" w:cs="Arial"/>
          <w:bCs/>
          <w:sz w:val="24"/>
          <w:szCs w:val="24"/>
        </w:rPr>
        <w:tab/>
      </w:r>
      <w:r w:rsidRPr="00176C8F">
        <w:rPr>
          <w:rFonts w:ascii="Gadugi" w:hAnsi="Gadugi" w:cs="Arial"/>
          <w:bCs/>
          <w:sz w:val="24"/>
          <w:szCs w:val="24"/>
        </w:rPr>
        <w:tab/>
      </w:r>
      <w:r w:rsidRPr="00176C8F">
        <w:rPr>
          <w:rFonts w:ascii="Gadugi" w:hAnsi="Gadugi" w:cs="Arial"/>
          <w:b/>
          <w:bCs/>
          <w:sz w:val="24"/>
          <w:szCs w:val="24"/>
        </w:rPr>
        <w:t>ANTECEDENTES</w:t>
      </w:r>
    </w:p>
    <w:p w14:paraId="0FF7CF29" w14:textId="652D3677" w:rsidR="0065678A" w:rsidRPr="00176C8F" w:rsidRDefault="00F155E7" w:rsidP="00176C8F">
      <w:pPr>
        <w:spacing w:line="276" w:lineRule="auto"/>
        <w:jc w:val="both"/>
        <w:rPr>
          <w:rFonts w:ascii="Gadugi" w:hAnsi="Gadugi" w:cs="Arial"/>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p>
    <w:p w14:paraId="30D320BA" w14:textId="34EF1840" w:rsidR="00E814C5" w:rsidRPr="00176C8F" w:rsidRDefault="00F155E7" w:rsidP="00176C8F">
      <w:pPr>
        <w:spacing w:line="276" w:lineRule="auto"/>
        <w:jc w:val="both"/>
        <w:rPr>
          <w:rFonts w:ascii="Gadugi" w:hAnsi="Gadugi" w:cs="Arial"/>
          <w:sz w:val="24"/>
          <w:szCs w:val="24"/>
        </w:rPr>
      </w:pPr>
      <w:r w:rsidRPr="00176C8F">
        <w:rPr>
          <w:rFonts w:ascii="Gadugi" w:hAnsi="Gadugi" w:cs="Arial"/>
          <w:sz w:val="24"/>
          <w:szCs w:val="24"/>
        </w:rPr>
        <w:lastRenderedPageBreak/>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p>
    <w:p w14:paraId="55A7ECD2" w14:textId="43B0DD99" w:rsidR="00413E19" w:rsidRPr="00176C8F" w:rsidRDefault="00C5320A" w:rsidP="00176C8F">
      <w:pPr>
        <w:spacing w:line="276" w:lineRule="auto"/>
        <w:jc w:val="both"/>
        <w:rPr>
          <w:rFonts w:ascii="Gadugi" w:hAnsi="Gadugi" w:cs="Arial"/>
          <w:sz w:val="24"/>
          <w:szCs w:val="24"/>
        </w:rPr>
      </w:pPr>
      <w:r w:rsidRPr="00176C8F">
        <w:rPr>
          <w:rFonts w:ascii="Gadugi" w:hAnsi="Gadugi" w:cs="Arial"/>
          <w:sz w:val="24"/>
          <w:szCs w:val="24"/>
        </w:rPr>
        <w:t xml:space="preserve"> </w:t>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00887DDB" w:rsidRPr="00176C8F">
        <w:rPr>
          <w:rFonts w:ascii="Gadugi" w:hAnsi="Gadugi" w:cs="Arial"/>
          <w:sz w:val="24"/>
          <w:szCs w:val="24"/>
        </w:rPr>
        <w:t xml:space="preserve">Narró </w:t>
      </w:r>
      <w:r w:rsidR="00413E19" w:rsidRPr="00176C8F">
        <w:rPr>
          <w:rFonts w:ascii="Gadugi" w:hAnsi="Gadugi" w:cs="Arial"/>
          <w:sz w:val="24"/>
          <w:szCs w:val="24"/>
        </w:rPr>
        <w:t>la demandante que</w:t>
      </w:r>
      <w:r w:rsidR="006D0B3F" w:rsidRPr="00176C8F">
        <w:rPr>
          <w:rFonts w:ascii="Gadugi" w:hAnsi="Gadugi" w:cs="Arial"/>
          <w:sz w:val="24"/>
          <w:szCs w:val="24"/>
        </w:rPr>
        <w:t xml:space="preserve"> </w:t>
      </w:r>
      <w:r w:rsidR="003A2209" w:rsidRPr="00176C8F">
        <w:rPr>
          <w:rFonts w:ascii="Gadugi" w:hAnsi="Gadugi" w:cs="Arial"/>
          <w:sz w:val="24"/>
          <w:szCs w:val="24"/>
        </w:rPr>
        <w:t xml:space="preserve">es víctima del conflicto armado por hechos ocurridos hace más de 20 años, que el 8 de julio de 2019 radicó una solicitud de indemnización administrativa, la cual fue reconocida mediante Resolución Nro. 04102019-601891 del 8 de mayo de 2020, sin embargo, hasta el día de hoy sigue sin recibir el pago correspondiente. </w:t>
      </w:r>
    </w:p>
    <w:p w14:paraId="472B868D" w14:textId="6BD5998D" w:rsidR="003A2209" w:rsidRPr="00176C8F" w:rsidRDefault="003A2209" w:rsidP="00176C8F">
      <w:pPr>
        <w:spacing w:line="276" w:lineRule="auto"/>
        <w:jc w:val="both"/>
        <w:rPr>
          <w:rFonts w:ascii="Gadugi" w:hAnsi="Gadugi" w:cs="Arial"/>
          <w:sz w:val="24"/>
          <w:szCs w:val="24"/>
        </w:rPr>
      </w:pPr>
    </w:p>
    <w:p w14:paraId="7C709740" w14:textId="307C9B60" w:rsidR="003A2209" w:rsidRPr="00176C8F" w:rsidRDefault="003A2209" w:rsidP="00176C8F">
      <w:pPr>
        <w:spacing w:line="276" w:lineRule="auto"/>
        <w:jc w:val="both"/>
        <w:rPr>
          <w:rFonts w:ascii="Gadugi" w:hAnsi="Gadugi" w:cs="Arial"/>
          <w:i/>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 xml:space="preserve">Agregó que </w:t>
      </w:r>
      <w:r w:rsidRPr="00176C8F">
        <w:rPr>
          <w:rFonts w:ascii="Gadugi" w:hAnsi="Gadugi" w:cs="Arial"/>
          <w:i/>
          <w:sz w:val="24"/>
          <w:szCs w:val="24"/>
        </w:rPr>
        <w:t>“</w:t>
      </w:r>
      <w:r w:rsidRPr="00733344">
        <w:rPr>
          <w:rFonts w:ascii="Gadugi" w:hAnsi="Gadugi" w:cs="Arial"/>
          <w:i/>
          <w:sz w:val="22"/>
          <w:szCs w:val="24"/>
        </w:rPr>
        <w:t>(…) Enfrento actualmente una delicada situación de vulnerabilidad a nivel económico, social y psicológico debido a los hechos victimizantes y mi contexto monetario actual, la gravedad de est</w:t>
      </w:r>
      <w:r w:rsidR="00FB1900" w:rsidRPr="00733344">
        <w:rPr>
          <w:rFonts w:ascii="Gadugi" w:hAnsi="Gadugi" w:cs="Arial"/>
          <w:i/>
          <w:sz w:val="22"/>
          <w:szCs w:val="24"/>
        </w:rPr>
        <w:t>a</w:t>
      </w:r>
      <w:r w:rsidRPr="00733344">
        <w:rPr>
          <w:rFonts w:ascii="Gadugi" w:hAnsi="Gadugi" w:cs="Arial"/>
          <w:i/>
          <w:sz w:val="22"/>
          <w:szCs w:val="24"/>
        </w:rPr>
        <w:t xml:space="preserve"> situación va en evidente ascenso, mientras no me sea entregada efectivamente la indemnización administrativa, no tendré posibilidades reales de gozar cabalmente de mis derechos y facultades</w:t>
      </w:r>
      <w:r w:rsidRPr="00176C8F">
        <w:rPr>
          <w:rFonts w:ascii="Gadugi" w:hAnsi="Gadugi" w:cs="Arial"/>
          <w:i/>
          <w:sz w:val="24"/>
          <w:szCs w:val="24"/>
        </w:rPr>
        <w:t>”.</w:t>
      </w:r>
    </w:p>
    <w:p w14:paraId="33804F52" w14:textId="5C6FDA73" w:rsidR="003A2209" w:rsidRPr="00176C8F" w:rsidRDefault="003A2209" w:rsidP="00176C8F">
      <w:pPr>
        <w:spacing w:line="276" w:lineRule="auto"/>
        <w:jc w:val="both"/>
        <w:rPr>
          <w:rFonts w:ascii="Gadugi" w:hAnsi="Gadugi" w:cs="Arial"/>
          <w:i/>
          <w:sz w:val="24"/>
          <w:szCs w:val="24"/>
        </w:rPr>
      </w:pPr>
    </w:p>
    <w:p w14:paraId="4A1C4990" w14:textId="5B8640A4" w:rsidR="003A2209" w:rsidRPr="00176C8F" w:rsidRDefault="003A2209" w:rsidP="00176C8F">
      <w:pPr>
        <w:spacing w:line="276" w:lineRule="auto"/>
        <w:jc w:val="both"/>
        <w:rPr>
          <w:rFonts w:ascii="Gadugi" w:hAnsi="Gadugi" w:cs="Arial"/>
          <w:sz w:val="24"/>
          <w:szCs w:val="24"/>
        </w:rPr>
      </w:pP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sz w:val="24"/>
          <w:szCs w:val="24"/>
        </w:rPr>
        <w:t>Pidió, entonces, ordenarle a la autoridad accionada, realizar de inmediato el pago de la indemnización administrativa.</w:t>
      </w:r>
      <w:r w:rsidR="00862831" w:rsidRPr="00176C8F">
        <w:rPr>
          <w:rStyle w:val="Refdenotaalpie"/>
          <w:rFonts w:ascii="Gadugi" w:hAnsi="Gadugi" w:cs="Arial"/>
          <w:sz w:val="24"/>
          <w:szCs w:val="24"/>
        </w:rPr>
        <w:footnoteReference w:id="1"/>
      </w:r>
      <w:r w:rsidRPr="00176C8F">
        <w:rPr>
          <w:rFonts w:ascii="Gadugi" w:hAnsi="Gadugi" w:cs="Arial"/>
          <w:sz w:val="24"/>
          <w:szCs w:val="24"/>
        </w:rPr>
        <w:t xml:space="preserve">  </w:t>
      </w:r>
    </w:p>
    <w:p w14:paraId="29646A16" w14:textId="6F6E1D48" w:rsidR="00181EB9" w:rsidRPr="00176C8F" w:rsidRDefault="00181EB9" w:rsidP="00176C8F">
      <w:pPr>
        <w:spacing w:line="276" w:lineRule="auto"/>
        <w:jc w:val="both"/>
        <w:rPr>
          <w:rFonts w:ascii="Gadugi" w:hAnsi="Gadugi" w:cs="Arial"/>
          <w:sz w:val="24"/>
          <w:szCs w:val="24"/>
        </w:rPr>
      </w:pPr>
    </w:p>
    <w:p w14:paraId="7A9C802A" w14:textId="7D97F2C7" w:rsidR="00647E5A" w:rsidRPr="00176C8F" w:rsidRDefault="00415CD7" w:rsidP="00176C8F">
      <w:pPr>
        <w:spacing w:line="276" w:lineRule="auto"/>
        <w:jc w:val="both"/>
        <w:rPr>
          <w:rFonts w:ascii="Gadugi" w:hAnsi="Gadugi" w:cs="Arial"/>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00F90FEA" w:rsidRPr="00176C8F">
        <w:rPr>
          <w:rFonts w:ascii="Gadugi" w:hAnsi="Gadugi" w:cs="Arial"/>
          <w:sz w:val="24"/>
          <w:szCs w:val="24"/>
        </w:rPr>
        <w:t xml:space="preserve">El Juzgado de primer grado admitió </w:t>
      </w:r>
      <w:r w:rsidR="00991294" w:rsidRPr="00176C8F">
        <w:rPr>
          <w:rFonts w:ascii="Gadugi" w:hAnsi="Gadugi" w:cs="Arial"/>
          <w:sz w:val="24"/>
          <w:szCs w:val="24"/>
        </w:rPr>
        <w:t xml:space="preserve">la </w:t>
      </w:r>
      <w:r w:rsidR="00265FAD" w:rsidRPr="00176C8F">
        <w:rPr>
          <w:rFonts w:ascii="Gadugi" w:hAnsi="Gadugi" w:cs="Arial"/>
          <w:sz w:val="24"/>
          <w:szCs w:val="24"/>
        </w:rPr>
        <w:t xml:space="preserve">demanda </w:t>
      </w:r>
      <w:r w:rsidR="003A2209" w:rsidRPr="00176C8F">
        <w:rPr>
          <w:rFonts w:ascii="Gadugi" w:hAnsi="Gadugi" w:cs="Arial"/>
          <w:sz w:val="24"/>
          <w:szCs w:val="24"/>
        </w:rPr>
        <w:t>con</w:t>
      </w:r>
      <w:r w:rsidR="007B22A5" w:rsidRPr="00176C8F">
        <w:rPr>
          <w:rFonts w:ascii="Gadugi" w:hAnsi="Gadugi" w:cs="Arial"/>
          <w:sz w:val="24"/>
          <w:szCs w:val="24"/>
        </w:rPr>
        <w:t xml:space="preserve"> auto del </w:t>
      </w:r>
      <w:r w:rsidR="003A2209" w:rsidRPr="00176C8F">
        <w:rPr>
          <w:rFonts w:ascii="Gadugi" w:hAnsi="Gadugi" w:cs="Arial"/>
          <w:sz w:val="24"/>
          <w:szCs w:val="24"/>
        </w:rPr>
        <w:t>29</w:t>
      </w:r>
      <w:r w:rsidR="0034478C" w:rsidRPr="00176C8F">
        <w:rPr>
          <w:rFonts w:ascii="Gadugi" w:hAnsi="Gadugi" w:cs="Arial"/>
          <w:sz w:val="24"/>
          <w:szCs w:val="24"/>
        </w:rPr>
        <w:t xml:space="preserve"> de </w:t>
      </w:r>
      <w:r w:rsidR="003A2209" w:rsidRPr="00176C8F">
        <w:rPr>
          <w:rFonts w:ascii="Gadugi" w:hAnsi="Gadugi" w:cs="Arial"/>
          <w:sz w:val="24"/>
          <w:szCs w:val="24"/>
        </w:rPr>
        <w:t>noviembre</w:t>
      </w:r>
      <w:r w:rsidR="007B22A5" w:rsidRPr="00176C8F">
        <w:rPr>
          <w:rFonts w:ascii="Gadugi" w:hAnsi="Gadugi" w:cs="Arial"/>
          <w:sz w:val="24"/>
          <w:szCs w:val="24"/>
        </w:rPr>
        <w:t xml:space="preserve"> de 2021</w:t>
      </w:r>
      <w:r w:rsidRPr="00176C8F">
        <w:rPr>
          <w:rFonts w:ascii="Gadugi" w:hAnsi="Gadugi" w:cs="Arial"/>
          <w:sz w:val="24"/>
          <w:szCs w:val="24"/>
        </w:rPr>
        <w:t>, con la citación de</w:t>
      </w:r>
      <w:r w:rsidR="00647E5A" w:rsidRPr="00176C8F">
        <w:rPr>
          <w:rFonts w:ascii="Gadugi" w:hAnsi="Gadugi" w:cs="Arial"/>
          <w:sz w:val="24"/>
          <w:szCs w:val="24"/>
        </w:rPr>
        <w:t xml:space="preserve"> varias dependencias de la UARIV, entre ellas la Dirección Técnica de Reparaciones.</w:t>
      </w:r>
      <w:r w:rsidR="00862831" w:rsidRPr="00176C8F">
        <w:rPr>
          <w:rStyle w:val="Refdenotaalpie"/>
          <w:rFonts w:ascii="Gadugi" w:hAnsi="Gadugi" w:cs="Arial"/>
          <w:sz w:val="24"/>
          <w:szCs w:val="24"/>
        </w:rPr>
        <w:footnoteReference w:id="2"/>
      </w:r>
      <w:r w:rsidR="00647E5A" w:rsidRPr="00176C8F">
        <w:rPr>
          <w:rFonts w:ascii="Gadugi" w:hAnsi="Gadugi" w:cs="Arial"/>
          <w:sz w:val="24"/>
          <w:szCs w:val="24"/>
        </w:rPr>
        <w:t xml:space="preserve"> </w:t>
      </w:r>
    </w:p>
    <w:p w14:paraId="0BC86E2B" w14:textId="14E7E078" w:rsidR="00415CD7" w:rsidRPr="00176C8F" w:rsidRDefault="00647E5A" w:rsidP="00176C8F">
      <w:pPr>
        <w:spacing w:line="276" w:lineRule="auto"/>
        <w:jc w:val="both"/>
        <w:rPr>
          <w:rFonts w:ascii="Gadugi" w:hAnsi="Gadugi" w:cs="Arial"/>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p>
    <w:p w14:paraId="0C209AE9" w14:textId="37617323" w:rsidR="00F072A0" w:rsidRPr="00176C8F" w:rsidRDefault="00415CD7" w:rsidP="00176C8F">
      <w:pPr>
        <w:spacing w:line="276" w:lineRule="auto"/>
        <w:jc w:val="both"/>
        <w:rPr>
          <w:rFonts w:ascii="Gadugi" w:hAnsi="Gadugi" w:cs="Arial"/>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 xml:space="preserve">Compareció la </w:t>
      </w:r>
      <w:r w:rsidR="00782EFB" w:rsidRPr="00176C8F">
        <w:rPr>
          <w:rFonts w:ascii="Gadugi" w:hAnsi="Gadugi" w:cs="Arial"/>
          <w:sz w:val="24"/>
          <w:szCs w:val="24"/>
        </w:rPr>
        <w:t>accionada para explicar que</w:t>
      </w:r>
      <w:r w:rsidR="00F072A0" w:rsidRPr="00176C8F">
        <w:rPr>
          <w:rFonts w:ascii="Gadugi" w:hAnsi="Gadugi" w:cs="Arial"/>
          <w:sz w:val="24"/>
          <w:szCs w:val="24"/>
        </w:rPr>
        <w:t xml:space="preserve"> </w:t>
      </w:r>
      <w:r w:rsidR="00F072A0" w:rsidRPr="00176C8F">
        <w:rPr>
          <w:rFonts w:ascii="Gadugi" w:hAnsi="Gadugi" w:cs="Arial"/>
          <w:i/>
          <w:sz w:val="24"/>
          <w:szCs w:val="24"/>
        </w:rPr>
        <w:t>“</w:t>
      </w:r>
      <w:r w:rsidR="00F072A0" w:rsidRPr="00733344">
        <w:rPr>
          <w:rFonts w:ascii="Gadugi" w:hAnsi="Gadugi" w:cs="Arial"/>
          <w:i/>
          <w:sz w:val="22"/>
          <w:szCs w:val="24"/>
        </w:rPr>
        <w:t>La unidad para las víctimas dio respuesta a la solicitud de la accionante, mediante comunicación bajo radicado de salida 202172037647551 de fecha 30 de noviembre de 2021, la cual le fue enviada a la accionante a la dirección de notificaciones electrónica indicada en el escrito de tutela</w:t>
      </w:r>
      <w:r w:rsidR="00F072A0" w:rsidRPr="00176C8F">
        <w:rPr>
          <w:rFonts w:ascii="Gadugi" w:hAnsi="Gadugi" w:cs="Arial"/>
          <w:i/>
          <w:sz w:val="24"/>
          <w:szCs w:val="24"/>
        </w:rPr>
        <w:t>”.</w:t>
      </w:r>
      <w:r w:rsidR="00F072A0" w:rsidRPr="00176C8F">
        <w:rPr>
          <w:rFonts w:ascii="Gadugi" w:hAnsi="Gadugi" w:cs="Arial"/>
          <w:sz w:val="24"/>
          <w:szCs w:val="24"/>
        </w:rPr>
        <w:t xml:space="preserve"> Por ello pidió negar el amparo.</w:t>
      </w:r>
      <w:r w:rsidR="00862831" w:rsidRPr="00176C8F">
        <w:rPr>
          <w:rStyle w:val="Refdenotaalpie"/>
          <w:rFonts w:ascii="Gadugi" w:hAnsi="Gadugi" w:cs="Arial"/>
          <w:sz w:val="24"/>
          <w:szCs w:val="24"/>
        </w:rPr>
        <w:footnoteReference w:id="3"/>
      </w:r>
      <w:r w:rsidR="00F072A0" w:rsidRPr="00176C8F">
        <w:rPr>
          <w:rFonts w:ascii="Gadugi" w:hAnsi="Gadugi" w:cs="Arial"/>
          <w:sz w:val="24"/>
          <w:szCs w:val="24"/>
        </w:rPr>
        <w:t xml:space="preserve"> </w:t>
      </w:r>
    </w:p>
    <w:p w14:paraId="231621B1" w14:textId="40D0C5DF" w:rsidR="00574E70" w:rsidRPr="00176C8F" w:rsidRDefault="00574E70" w:rsidP="00176C8F">
      <w:pPr>
        <w:spacing w:line="276" w:lineRule="auto"/>
        <w:jc w:val="both"/>
        <w:rPr>
          <w:rFonts w:ascii="Gadugi" w:hAnsi="Gadugi" w:cs="Arial"/>
          <w:sz w:val="24"/>
          <w:szCs w:val="24"/>
        </w:rPr>
      </w:pPr>
    </w:p>
    <w:p w14:paraId="2443CD50" w14:textId="5BE2AE6B" w:rsidR="00F072A0" w:rsidRPr="00176C8F" w:rsidRDefault="00F072A0" w:rsidP="00176C8F">
      <w:pPr>
        <w:spacing w:line="276" w:lineRule="auto"/>
        <w:jc w:val="both"/>
        <w:rPr>
          <w:rFonts w:ascii="Gadugi" w:hAnsi="Gadugi" w:cs="Arial"/>
          <w:i/>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 xml:space="preserve">Sobrevino la sentencia en la que se consideró vaga la respuesta </w:t>
      </w:r>
      <w:r w:rsidR="009D189A" w:rsidRPr="00176C8F">
        <w:rPr>
          <w:rFonts w:ascii="Gadugi" w:hAnsi="Gadugi" w:cs="Arial"/>
          <w:sz w:val="24"/>
          <w:szCs w:val="24"/>
        </w:rPr>
        <w:t>ofrecida</w:t>
      </w:r>
      <w:r w:rsidRPr="00176C8F">
        <w:rPr>
          <w:rFonts w:ascii="Gadugi" w:hAnsi="Gadugi" w:cs="Arial"/>
          <w:sz w:val="24"/>
          <w:szCs w:val="24"/>
        </w:rPr>
        <w:t xml:space="preserve"> a la actora, y en ese entendido</w:t>
      </w:r>
      <w:r w:rsidR="009D189A" w:rsidRPr="00176C8F">
        <w:rPr>
          <w:rFonts w:ascii="Gadugi" w:hAnsi="Gadugi" w:cs="Arial"/>
          <w:sz w:val="24"/>
          <w:szCs w:val="24"/>
        </w:rPr>
        <w:t>,</w:t>
      </w:r>
      <w:r w:rsidRPr="00176C8F">
        <w:rPr>
          <w:rFonts w:ascii="Gadugi" w:hAnsi="Gadugi" w:cs="Arial"/>
          <w:sz w:val="24"/>
          <w:szCs w:val="24"/>
        </w:rPr>
        <w:t xml:space="preserve"> </w:t>
      </w:r>
      <w:r w:rsidR="009D189A" w:rsidRPr="00176C8F">
        <w:rPr>
          <w:rFonts w:ascii="Gadugi" w:hAnsi="Gadugi" w:cs="Arial"/>
          <w:sz w:val="24"/>
          <w:szCs w:val="24"/>
        </w:rPr>
        <w:t xml:space="preserve">se </w:t>
      </w:r>
      <w:r w:rsidRPr="00176C8F">
        <w:rPr>
          <w:rFonts w:ascii="Gadugi" w:hAnsi="Gadugi" w:cs="Arial"/>
          <w:sz w:val="24"/>
          <w:szCs w:val="24"/>
        </w:rPr>
        <w:t xml:space="preserve">le ordenó a la entidad </w:t>
      </w:r>
      <w:r w:rsidR="009D189A" w:rsidRPr="00176C8F">
        <w:rPr>
          <w:rFonts w:ascii="Gadugi" w:hAnsi="Gadugi" w:cs="Arial"/>
          <w:i/>
          <w:iCs/>
          <w:sz w:val="24"/>
          <w:szCs w:val="24"/>
        </w:rPr>
        <w:t>“</w:t>
      </w:r>
      <w:r w:rsidR="009D189A" w:rsidRPr="00733344">
        <w:rPr>
          <w:rFonts w:ascii="Gadugi" w:hAnsi="Gadugi" w:cs="Arial"/>
          <w:i/>
          <w:iCs/>
          <w:sz w:val="22"/>
          <w:szCs w:val="24"/>
        </w:rPr>
        <w:t>(…) que en el término de 48 horas siguientes a la notificación del presente proveído indique a la accionante el plazo aproximado y el orden en que accederá a los recursos correspondientes a la</w:t>
      </w:r>
      <w:r w:rsidR="00E3489E" w:rsidRPr="00733344">
        <w:rPr>
          <w:rFonts w:ascii="Gadugi" w:hAnsi="Gadugi" w:cs="Arial"/>
          <w:i/>
          <w:iCs/>
          <w:sz w:val="22"/>
          <w:szCs w:val="24"/>
        </w:rPr>
        <w:t xml:space="preserve"> </w:t>
      </w:r>
      <w:r w:rsidR="009D189A" w:rsidRPr="00733344">
        <w:rPr>
          <w:rFonts w:ascii="Gadugi" w:hAnsi="Gadugi" w:cs="Arial"/>
          <w:i/>
          <w:sz w:val="22"/>
          <w:szCs w:val="24"/>
        </w:rPr>
        <w:t>indemnización administrativa reconocida mediante Resolución No. 04102019-601891 del 08 de mayo de 2020</w:t>
      </w:r>
      <w:r w:rsidR="009D189A" w:rsidRPr="00176C8F">
        <w:rPr>
          <w:rFonts w:ascii="Gadugi" w:hAnsi="Gadugi" w:cs="Arial"/>
          <w:i/>
          <w:sz w:val="24"/>
          <w:szCs w:val="24"/>
        </w:rPr>
        <w:t>”</w:t>
      </w:r>
      <w:r w:rsidR="00733344">
        <w:rPr>
          <w:rFonts w:ascii="Gadugi" w:hAnsi="Gadugi" w:cs="Arial"/>
          <w:i/>
          <w:sz w:val="24"/>
          <w:szCs w:val="24"/>
        </w:rPr>
        <w:t>.</w:t>
      </w:r>
      <w:r w:rsidR="00862831" w:rsidRPr="00176C8F">
        <w:rPr>
          <w:rStyle w:val="Refdenotaalpie"/>
          <w:rFonts w:ascii="Gadugi" w:hAnsi="Gadugi" w:cs="Arial"/>
          <w:i/>
          <w:sz w:val="24"/>
          <w:szCs w:val="24"/>
        </w:rPr>
        <w:footnoteReference w:id="4"/>
      </w:r>
      <w:r w:rsidR="009D189A" w:rsidRPr="00176C8F">
        <w:rPr>
          <w:rFonts w:ascii="Gadugi" w:hAnsi="Gadugi" w:cs="Arial"/>
          <w:i/>
          <w:sz w:val="24"/>
          <w:szCs w:val="24"/>
        </w:rPr>
        <w:cr/>
      </w:r>
    </w:p>
    <w:p w14:paraId="598E97A6" w14:textId="7F80FB68" w:rsidR="009D189A" w:rsidRPr="00176C8F" w:rsidRDefault="009D189A" w:rsidP="00176C8F">
      <w:pPr>
        <w:spacing w:line="276" w:lineRule="auto"/>
        <w:jc w:val="both"/>
        <w:rPr>
          <w:rFonts w:ascii="Gadugi" w:hAnsi="Gadugi" w:cs="Arial"/>
          <w:sz w:val="24"/>
          <w:szCs w:val="24"/>
        </w:rPr>
      </w:pP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i/>
          <w:sz w:val="24"/>
          <w:szCs w:val="24"/>
        </w:rPr>
        <w:tab/>
      </w:r>
      <w:r w:rsidRPr="00176C8F">
        <w:rPr>
          <w:rFonts w:ascii="Gadugi" w:hAnsi="Gadugi" w:cs="Arial"/>
          <w:sz w:val="24"/>
          <w:szCs w:val="24"/>
        </w:rPr>
        <w:t xml:space="preserve">Impugnó al UARIV, para informar que </w:t>
      </w:r>
      <w:r w:rsidRPr="00176C8F">
        <w:rPr>
          <w:rFonts w:ascii="Gadugi" w:hAnsi="Gadugi" w:cs="Arial"/>
          <w:i/>
          <w:sz w:val="24"/>
          <w:szCs w:val="24"/>
        </w:rPr>
        <w:t>“</w:t>
      </w:r>
      <w:r w:rsidRPr="00733344">
        <w:rPr>
          <w:rFonts w:ascii="Gadugi" w:hAnsi="Gadugi" w:cs="Arial"/>
          <w:i/>
          <w:sz w:val="22"/>
          <w:szCs w:val="24"/>
        </w:rPr>
        <w:t>(…) teniendo en cuenta que a posterioridad de la comunicación anteriormente referenciada se consolidó el resultado del método técnico de priorización aplicado a MARTA LINA QUINTERO ACOSTA, esta Entidad procedió a emitir una nueva comunicación informándole el resultado obtenido. Comunicación identificada bajo el radicado 202172038971271 del 15 de diciembre de 2021 (…)</w:t>
      </w:r>
      <w:r w:rsidRPr="00176C8F">
        <w:rPr>
          <w:rFonts w:ascii="Gadugi" w:hAnsi="Gadugi" w:cs="Arial"/>
          <w:i/>
          <w:sz w:val="24"/>
          <w:szCs w:val="24"/>
        </w:rPr>
        <w:t>”.</w:t>
      </w:r>
      <w:r w:rsidR="00862831" w:rsidRPr="00176C8F">
        <w:rPr>
          <w:rStyle w:val="Refdenotaalpie"/>
          <w:rFonts w:ascii="Gadugi" w:hAnsi="Gadugi" w:cs="Arial"/>
          <w:i/>
          <w:sz w:val="24"/>
          <w:szCs w:val="24"/>
        </w:rPr>
        <w:footnoteReference w:id="5"/>
      </w:r>
      <w:r w:rsidRPr="00176C8F">
        <w:rPr>
          <w:rFonts w:ascii="Gadugi" w:hAnsi="Gadugi" w:cs="Arial"/>
          <w:sz w:val="24"/>
          <w:szCs w:val="24"/>
        </w:rPr>
        <w:t xml:space="preserve"> </w:t>
      </w:r>
    </w:p>
    <w:p w14:paraId="11DEEDBB" w14:textId="59C65472" w:rsidR="00B07F29" w:rsidRPr="00176C8F" w:rsidRDefault="00B07F29" w:rsidP="00176C8F">
      <w:pPr>
        <w:spacing w:line="276" w:lineRule="auto"/>
        <w:ind w:firstLine="2835"/>
        <w:jc w:val="both"/>
        <w:rPr>
          <w:rFonts w:ascii="Gadugi" w:hAnsi="Gadugi" w:cs="Arial"/>
          <w:b/>
          <w:sz w:val="24"/>
          <w:szCs w:val="24"/>
        </w:rPr>
      </w:pPr>
    </w:p>
    <w:p w14:paraId="28A2725B" w14:textId="77777777" w:rsidR="00FB1900" w:rsidRPr="00176C8F" w:rsidRDefault="00FB1900" w:rsidP="00176C8F">
      <w:pPr>
        <w:spacing w:line="276" w:lineRule="auto"/>
        <w:ind w:firstLine="2835"/>
        <w:jc w:val="both"/>
        <w:rPr>
          <w:rFonts w:ascii="Gadugi" w:hAnsi="Gadugi" w:cs="Arial"/>
          <w:b/>
          <w:sz w:val="24"/>
          <w:szCs w:val="24"/>
        </w:rPr>
      </w:pPr>
    </w:p>
    <w:p w14:paraId="4AA455C2" w14:textId="6A9C8674" w:rsidR="00F90FEA" w:rsidRPr="00176C8F" w:rsidRDefault="00F90FEA" w:rsidP="00176C8F">
      <w:pPr>
        <w:spacing w:line="276" w:lineRule="auto"/>
        <w:ind w:firstLine="2835"/>
        <w:jc w:val="both"/>
        <w:rPr>
          <w:rFonts w:ascii="Gadugi" w:hAnsi="Gadugi" w:cs="Arial"/>
          <w:b/>
          <w:sz w:val="24"/>
          <w:szCs w:val="24"/>
        </w:rPr>
      </w:pPr>
      <w:r w:rsidRPr="00176C8F">
        <w:rPr>
          <w:rFonts w:ascii="Gadugi" w:hAnsi="Gadugi" w:cs="Arial"/>
          <w:b/>
          <w:sz w:val="24"/>
          <w:szCs w:val="24"/>
        </w:rPr>
        <w:t>CONSIDERACIONES</w:t>
      </w:r>
    </w:p>
    <w:p w14:paraId="1D7ADC27" w14:textId="7B3BDB15" w:rsidR="00F90FEA" w:rsidRPr="00176C8F" w:rsidRDefault="00755CF9" w:rsidP="00176C8F">
      <w:pPr>
        <w:spacing w:line="276" w:lineRule="auto"/>
        <w:jc w:val="both"/>
        <w:rPr>
          <w:rFonts w:ascii="Gadugi" w:hAnsi="Gadugi" w:cs="Arial"/>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p>
    <w:p w14:paraId="0D5C947F" w14:textId="77777777" w:rsidR="00F90FEA" w:rsidRPr="00176C8F" w:rsidRDefault="00F90FEA" w:rsidP="00176C8F">
      <w:pPr>
        <w:spacing w:line="276" w:lineRule="auto"/>
        <w:ind w:firstLine="2835"/>
        <w:jc w:val="both"/>
        <w:rPr>
          <w:rFonts w:ascii="Gadugi" w:hAnsi="Gadugi" w:cs="Arial"/>
          <w:sz w:val="24"/>
          <w:szCs w:val="24"/>
        </w:rPr>
      </w:pPr>
    </w:p>
    <w:p w14:paraId="33B974D3" w14:textId="77777777" w:rsidR="00F90FEA" w:rsidRPr="00176C8F" w:rsidRDefault="00F90FEA" w:rsidP="00176C8F">
      <w:pPr>
        <w:spacing w:line="276" w:lineRule="auto"/>
        <w:ind w:firstLine="2835"/>
        <w:jc w:val="both"/>
        <w:rPr>
          <w:rFonts w:ascii="Gadugi" w:hAnsi="Gadugi" w:cs="Arial"/>
          <w:sz w:val="24"/>
          <w:szCs w:val="24"/>
        </w:rPr>
      </w:pPr>
      <w:r w:rsidRPr="00176C8F">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77777777" w:rsidR="00F90FEA" w:rsidRPr="00176C8F" w:rsidRDefault="00F90FEA" w:rsidP="00176C8F">
      <w:pPr>
        <w:spacing w:line="276" w:lineRule="auto"/>
        <w:ind w:firstLine="2835"/>
        <w:jc w:val="both"/>
        <w:rPr>
          <w:rFonts w:ascii="Gadugi" w:hAnsi="Gadugi" w:cs="Arial"/>
          <w:sz w:val="24"/>
          <w:szCs w:val="24"/>
        </w:rPr>
      </w:pPr>
      <w:r w:rsidRPr="00176C8F">
        <w:rPr>
          <w:rFonts w:ascii="Gadugi" w:hAnsi="Gadugi" w:cs="Arial"/>
          <w:bCs/>
          <w:sz w:val="24"/>
          <w:szCs w:val="24"/>
        </w:rPr>
        <w:tab/>
      </w:r>
      <w:r w:rsidRPr="00176C8F">
        <w:rPr>
          <w:rFonts w:ascii="Gadugi" w:hAnsi="Gadugi" w:cs="Arial"/>
          <w:bCs/>
          <w:sz w:val="24"/>
          <w:szCs w:val="24"/>
        </w:rPr>
        <w:tab/>
      </w:r>
      <w:r w:rsidRPr="00176C8F">
        <w:rPr>
          <w:rFonts w:ascii="Gadugi" w:hAnsi="Gadugi" w:cs="Arial"/>
          <w:bCs/>
          <w:sz w:val="24"/>
          <w:szCs w:val="24"/>
        </w:rPr>
        <w:tab/>
      </w:r>
      <w:r w:rsidRPr="00176C8F">
        <w:rPr>
          <w:rFonts w:ascii="Gadugi" w:hAnsi="Gadugi" w:cs="Arial"/>
          <w:bCs/>
          <w:sz w:val="24"/>
          <w:szCs w:val="24"/>
        </w:rPr>
        <w:tab/>
      </w:r>
    </w:p>
    <w:p w14:paraId="24D532D9" w14:textId="214BEE8C" w:rsidR="005B1843" w:rsidRPr="00176C8F" w:rsidRDefault="0094692F" w:rsidP="00176C8F">
      <w:pPr>
        <w:spacing w:line="276" w:lineRule="auto"/>
        <w:ind w:firstLine="2835"/>
        <w:jc w:val="both"/>
        <w:rPr>
          <w:rFonts w:ascii="Gadugi" w:hAnsi="Gadugi" w:cs="Arial"/>
          <w:sz w:val="24"/>
          <w:szCs w:val="24"/>
        </w:rPr>
      </w:pPr>
      <w:r w:rsidRPr="00176C8F">
        <w:rPr>
          <w:rFonts w:ascii="Gadugi" w:hAnsi="Gadugi" w:cs="Arial"/>
          <w:sz w:val="24"/>
          <w:szCs w:val="24"/>
        </w:rPr>
        <w:t xml:space="preserve">Como viene de verse, acude ante el juez constitucional </w:t>
      </w:r>
      <w:r w:rsidR="000A6772" w:rsidRPr="00176C8F">
        <w:rPr>
          <w:rFonts w:ascii="Gadugi" w:hAnsi="Gadugi" w:cs="Arial"/>
          <w:sz w:val="24"/>
          <w:szCs w:val="24"/>
        </w:rPr>
        <w:t>la</w:t>
      </w:r>
      <w:r w:rsidR="005B1843" w:rsidRPr="00176C8F">
        <w:rPr>
          <w:rFonts w:ascii="Gadugi" w:hAnsi="Gadugi" w:cs="Arial"/>
          <w:sz w:val="24"/>
          <w:szCs w:val="24"/>
        </w:rPr>
        <w:t xml:space="preserve"> señor</w:t>
      </w:r>
      <w:r w:rsidR="000A6772" w:rsidRPr="00176C8F">
        <w:rPr>
          <w:rFonts w:ascii="Gadugi" w:hAnsi="Gadugi" w:cs="Arial"/>
          <w:sz w:val="24"/>
          <w:szCs w:val="24"/>
        </w:rPr>
        <w:t>a</w:t>
      </w:r>
      <w:r w:rsidR="005B1843" w:rsidRPr="00176C8F">
        <w:rPr>
          <w:rFonts w:ascii="Gadugi" w:hAnsi="Gadugi" w:cs="Arial"/>
          <w:sz w:val="24"/>
          <w:szCs w:val="24"/>
        </w:rPr>
        <w:t xml:space="preserve"> </w:t>
      </w:r>
      <w:r w:rsidR="000A6772" w:rsidRPr="00176C8F">
        <w:rPr>
          <w:rFonts w:ascii="Gadugi" w:hAnsi="Gadugi" w:cs="Arial"/>
          <w:sz w:val="24"/>
          <w:szCs w:val="24"/>
        </w:rPr>
        <w:t>Quintero Acosta</w:t>
      </w:r>
      <w:r w:rsidRPr="00176C8F">
        <w:rPr>
          <w:rFonts w:ascii="Gadugi" w:hAnsi="Gadugi" w:cs="Arial"/>
          <w:sz w:val="24"/>
          <w:szCs w:val="24"/>
        </w:rPr>
        <w:t xml:space="preserve">, </w:t>
      </w:r>
      <w:r w:rsidR="007F5EC9" w:rsidRPr="00176C8F">
        <w:rPr>
          <w:rFonts w:ascii="Gadugi" w:hAnsi="Gadugi" w:cs="Arial"/>
          <w:sz w:val="24"/>
          <w:szCs w:val="24"/>
        </w:rPr>
        <w:t xml:space="preserve">por la inconformidad que le causa la tardanza de la UARIV </w:t>
      </w:r>
      <w:r w:rsidR="005B1843" w:rsidRPr="00176C8F">
        <w:rPr>
          <w:rFonts w:ascii="Gadugi" w:hAnsi="Gadugi" w:cs="Arial"/>
          <w:sz w:val="24"/>
          <w:szCs w:val="24"/>
        </w:rPr>
        <w:t xml:space="preserve">para entregarle la indemnización administrativa que le fue reconocida en el pasado, por ser víctima del conflicto armado. </w:t>
      </w:r>
    </w:p>
    <w:p w14:paraId="3ED8E509" w14:textId="77777777" w:rsidR="007F5EC9" w:rsidRPr="00176C8F" w:rsidRDefault="007F5EC9" w:rsidP="00176C8F">
      <w:pPr>
        <w:spacing w:line="276" w:lineRule="auto"/>
        <w:ind w:firstLine="2835"/>
        <w:jc w:val="both"/>
        <w:rPr>
          <w:rFonts w:ascii="Gadugi" w:hAnsi="Gadugi" w:cs="Arial"/>
          <w:sz w:val="24"/>
          <w:szCs w:val="24"/>
        </w:rPr>
      </w:pPr>
    </w:p>
    <w:p w14:paraId="3CC7639C" w14:textId="20965D9E" w:rsidR="00AA460A" w:rsidRPr="00176C8F" w:rsidRDefault="00EC7C18" w:rsidP="00176C8F">
      <w:pPr>
        <w:spacing w:line="276" w:lineRule="auto"/>
        <w:ind w:firstLine="2835"/>
        <w:jc w:val="both"/>
        <w:rPr>
          <w:rFonts w:ascii="Gadugi" w:hAnsi="Gadugi" w:cs="Arial"/>
          <w:sz w:val="24"/>
          <w:szCs w:val="24"/>
        </w:rPr>
      </w:pPr>
      <w:r w:rsidRPr="00176C8F">
        <w:rPr>
          <w:rFonts w:ascii="Gadugi" w:hAnsi="Gadugi" w:cs="Arial"/>
          <w:sz w:val="24"/>
          <w:szCs w:val="24"/>
          <w:lang w:val="es-419"/>
        </w:rPr>
        <w:t>E</w:t>
      </w:r>
      <w:r w:rsidR="003726B6" w:rsidRPr="00176C8F">
        <w:rPr>
          <w:rFonts w:ascii="Gadugi" w:hAnsi="Gadugi" w:cs="Arial"/>
          <w:sz w:val="24"/>
          <w:szCs w:val="24"/>
          <w:lang w:val="es-419"/>
        </w:rPr>
        <w:t>n lo que se refiere a l</w:t>
      </w:r>
      <w:r w:rsidR="0094692F" w:rsidRPr="00176C8F">
        <w:rPr>
          <w:rFonts w:ascii="Gadugi" w:hAnsi="Gadugi" w:cs="Arial"/>
          <w:sz w:val="24"/>
          <w:szCs w:val="24"/>
        </w:rPr>
        <w:t xml:space="preserve">a legitimación por activa </w:t>
      </w:r>
      <w:r w:rsidRPr="00176C8F">
        <w:rPr>
          <w:rFonts w:ascii="Gadugi" w:hAnsi="Gadugi" w:cs="Arial"/>
          <w:sz w:val="24"/>
          <w:szCs w:val="24"/>
        </w:rPr>
        <w:t>se cumple pues</w:t>
      </w:r>
      <w:r w:rsidR="0051072B" w:rsidRPr="00176C8F">
        <w:rPr>
          <w:rFonts w:ascii="Gadugi" w:hAnsi="Gadugi" w:cs="Arial"/>
          <w:sz w:val="24"/>
          <w:szCs w:val="24"/>
        </w:rPr>
        <w:t xml:space="preserve"> </w:t>
      </w:r>
      <w:r w:rsidR="000A6772" w:rsidRPr="00176C8F">
        <w:rPr>
          <w:rFonts w:ascii="Gadugi" w:hAnsi="Gadugi" w:cs="Arial"/>
          <w:sz w:val="24"/>
          <w:szCs w:val="24"/>
        </w:rPr>
        <w:t>la</w:t>
      </w:r>
      <w:r w:rsidR="0051072B" w:rsidRPr="00176C8F">
        <w:rPr>
          <w:rFonts w:ascii="Gadugi" w:hAnsi="Gadugi" w:cs="Arial"/>
          <w:sz w:val="24"/>
          <w:szCs w:val="24"/>
        </w:rPr>
        <w:t xml:space="preserve"> accionante </w:t>
      </w:r>
      <w:r w:rsidR="009667C7" w:rsidRPr="00176C8F">
        <w:rPr>
          <w:rFonts w:ascii="Gadugi" w:hAnsi="Gadugi" w:cs="Arial"/>
          <w:sz w:val="24"/>
          <w:szCs w:val="24"/>
        </w:rPr>
        <w:t xml:space="preserve">es </w:t>
      </w:r>
      <w:r w:rsidR="000A6772" w:rsidRPr="00176C8F">
        <w:rPr>
          <w:rFonts w:ascii="Gadugi" w:hAnsi="Gadugi" w:cs="Arial"/>
          <w:sz w:val="24"/>
          <w:szCs w:val="24"/>
        </w:rPr>
        <w:t>la beneficiaria de la indemnización administrativa cuyo desembolso se ruega</w:t>
      </w:r>
      <w:r w:rsidR="0051072B" w:rsidRPr="00176C8F">
        <w:rPr>
          <w:rFonts w:ascii="Gadugi" w:hAnsi="Gadugi" w:cs="Arial"/>
          <w:sz w:val="24"/>
          <w:szCs w:val="24"/>
        </w:rPr>
        <w:t>.</w:t>
      </w:r>
      <w:r w:rsidR="00FE1E3F" w:rsidRPr="00176C8F">
        <w:rPr>
          <w:rFonts w:ascii="Gadugi" w:hAnsi="Gadugi" w:cs="Arial"/>
          <w:sz w:val="24"/>
          <w:szCs w:val="24"/>
        </w:rPr>
        <w:t xml:space="preserve"> P</w:t>
      </w:r>
      <w:r w:rsidR="00AA460A" w:rsidRPr="00176C8F">
        <w:rPr>
          <w:rFonts w:ascii="Gadugi" w:hAnsi="Gadugi" w:cs="Arial"/>
          <w:sz w:val="24"/>
          <w:szCs w:val="24"/>
        </w:rPr>
        <w:t>or pasiva</w:t>
      </w:r>
      <w:r w:rsidR="00A24A2F" w:rsidRPr="00176C8F">
        <w:rPr>
          <w:rFonts w:ascii="Gadugi" w:hAnsi="Gadugi" w:cs="Arial"/>
          <w:sz w:val="24"/>
          <w:szCs w:val="24"/>
        </w:rPr>
        <w:t xml:space="preserve"> </w:t>
      </w:r>
      <w:r w:rsidR="00AA460A" w:rsidRPr="00176C8F">
        <w:rPr>
          <w:rFonts w:ascii="Gadugi" w:hAnsi="Gadugi" w:cs="Arial"/>
          <w:sz w:val="24"/>
          <w:szCs w:val="24"/>
        </w:rPr>
        <w:t xml:space="preserve">solo </w:t>
      </w:r>
      <w:r w:rsidR="00DB34A1" w:rsidRPr="00176C8F">
        <w:rPr>
          <w:rFonts w:ascii="Gadugi" w:hAnsi="Gadugi" w:cs="Arial"/>
          <w:sz w:val="24"/>
          <w:szCs w:val="24"/>
        </w:rPr>
        <w:t xml:space="preserve">se </w:t>
      </w:r>
      <w:r w:rsidR="009D3798" w:rsidRPr="00176C8F">
        <w:rPr>
          <w:rFonts w:ascii="Gadugi" w:hAnsi="Gadugi" w:cs="Arial"/>
          <w:sz w:val="24"/>
          <w:szCs w:val="24"/>
        </w:rPr>
        <w:t>supera</w:t>
      </w:r>
      <w:r w:rsidR="00DB34A1" w:rsidRPr="00176C8F">
        <w:rPr>
          <w:rFonts w:ascii="Gadugi" w:hAnsi="Gadugi" w:cs="Arial"/>
          <w:sz w:val="24"/>
          <w:szCs w:val="24"/>
        </w:rPr>
        <w:t xml:space="preserve"> </w:t>
      </w:r>
      <w:r w:rsidR="00AA460A" w:rsidRPr="00176C8F">
        <w:rPr>
          <w:rFonts w:ascii="Gadugi" w:hAnsi="Gadugi" w:cs="Arial"/>
          <w:sz w:val="24"/>
          <w:szCs w:val="24"/>
        </w:rPr>
        <w:t xml:space="preserve">respecto de la Dirección Técnica de Reparaciones de la UARIV, por ser la dependencia que </w:t>
      </w:r>
      <w:r w:rsidR="000A6772" w:rsidRPr="00176C8F">
        <w:rPr>
          <w:rFonts w:ascii="Gadugi" w:hAnsi="Gadugi" w:cs="Arial"/>
          <w:sz w:val="24"/>
          <w:szCs w:val="24"/>
        </w:rPr>
        <w:t xml:space="preserve">reconoció tal prestación, y además ha sido la que ha </w:t>
      </w:r>
      <w:r w:rsidR="00E94AAB" w:rsidRPr="00176C8F">
        <w:rPr>
          <w:rFonts w:ascii="Gadugi" w:hAnsi="Gadugi" w:cs="Arial"/>
          <w:sz w:val="24"/>
          <w:szCs w:val="24"/>
        </w:rPr>
        <w:t>dado</w:t>
      </w:r>
      <w:r w:rsidR="00AA460A" w:rsidRPr="00176C8F">
        <w:rPr>
          <w:rFonts w:ascii="Gadugi" w:hAnsi="Gadugi" w:cs="Arial"/>
          <w:sz w:val="24"/>
          <w:szCs w:val="24"/>
        </w:rPr>
        <w:t xml:space="preserve"> contestación a la</w:t>
      </w:r>
      <w:r w:rsidR="00E94AAB" w:rsidRPr="00176C8F">
        <w:rPr>
          <w:rFonts w:ascii="Gadugi" w:hAnsi="Gadugi" w:cs="Arial"/>
          <w:sz w:val="24"/>
          <w:szCs w:val="24"/>
        </w:rPr>
        <w:t xml:space="preserve">s </w:t>
      </w:r>
      <w:r w:rsidR="000A6772" w:rsidRPr="00176C8F">
        <w:rPr>
          <w:rFonts w:ascii="Gadugi" w:hAnsi="Gadugi" w:cs="Arial"/>
          <w:sz w:val="24"/>
          <w:szCs w:val="24"/>
        </w:rPr>
        <w:t>solicitudes</w:t>
      </w:r>
      <w:r w:rsidR="00AA460A" w:rsidRPr="00176C8F">
        <w:rPr>
          <w:rFonts w:ascii="Gadugi" w:hAnsi="Gadugi" w:cs="Arial"/>
          <w:sz w:val="24"/>
          <w:szCs w:val="24"/>
        </w:rPr>
        <w:t xml:space="preserve"> </w:t>
      </w:r>
      <w:r w:rsidR="00E94AAB" w:rsidRPr="00176C8F">
        <w:rPr>
          <w:rFonts w:ascii="Gadugi" w:hAnsi="Gadugi" w:cs="Arial"/>
          <w:sz w:val="24"/>
          <w:szCs w:val="24"/>
        </w:rPr>
        <w:t>de</w:t>
      </w:r>
      <w:r w:rsidR="000A6772" w:rsidRPr="00176C8F">
        <w:rPr>
          <w:rFonts w:ascii="Gadugi" w:hAnsi="Gadugi" w:cs="Arial"/>
          <w:sz w:val="24"/>
          <w:szCs w:val="24"/>
        </w:rPr>
        <w:t xml:space="preserve"> </w:t>
      </w:r>
      <w:r w:rsidR="00E94AAB" w:rsidRPr="00176C8F">
        <w:rPr>
          <w:rFonts w:ascii="Gadugi" w:hAnsi="Gadugi" w:cs="Arial"/>
          <w:sz w:val="24"/>
          <w:szCs w:val="24"/>
        </w:rPr>
        <w:t>l</w:t>
      </w:r>
      <w:r w:rsidR="000A6772" w:rsidRPr="00176C8F">
        <w:rPr>
          <w:rFonts w:ascii="Gadugi" w:hAnsi="Gadugi" w:cs="Arial"/>
          <w:sz w:val="24"/>
          <w:szCs w:val="24"/>
        </w:rPr>
        <w:t>a</w:t>
      </w:r>
      <w:r w:rsidR="00E94AAB" w:rsidRPr="00176C8F">
        <w:rPr>
          <w:rFonts w:ascii="Gadugi" w:hAnsi="Gadugi" w:cs="Arial"/>
          <w:sz w:val="24"/>
          <w:szCs w:val="24"/>
        </w:rPr>
        <w:t xml:space="preserve"> </w:t>
      </w:r>
      <w:r w:rsidR="000A6772" w:rsidRPr="00176C8F">
        <w:rPr>
          <w:rFonts w:ascii="Gadugi" w:hAnsi="Gadugi" w:cs="Arial"/>
          <w:sz w:val="24"/>
          <w:szCs w:val="24"/>
        </w:rPr>
        <w:t>a</w:t>
      </w:r>
      <w:r w:rsidR="00E94AAB" w:rsidRPr="00176C8F">
        <w:rPr>
          <w:rFonts w:ascii="Gadugi" w:hAnsi="Gadugi" w:cs="Arial"/>
          <w:sz w:val="24"/>
          <w:szCs w:val="24"/>
        </w:rPr>
        <w:t>ctor</w:t>
      </w:r>
      <w:r w:rsidR="000A6772" w:rsidRPr="00176C8F">
        <w:rPr>
          <w:rFonts w:ascii="Gadugi" w:hAnsi="Gadugi" w:cs="Arial"/>
          <w:sz w:val="24"/>
          <w:szCs w:val="24"/>
        </w:rPr>
        <w:t>a</w:t>
      </w:r>
      <w:r w:rsidR="005B1843" w:rsidRPr="00176C8F">
        <w:rPr>
          <w:rFonts w:ascii="Gadugi" w:hAnsi="Gadugi" w:cs="Arial"/>
          <w:sz w:val="24"/>
          <w:szCs w:val="24"/>
        </w:rPr>
        <w:t xml:space="preserve">. </w:t>
      </w:r>
      <w:r w:rsidR="009667C7" w:rsidRPr="00176C8F">
        <w:rPr>
          <w:rFonts w:ascii="Gadugi" w:hAnsi="Gadugi" w:cs="Arial"/>
          <w:sz w:val="24"/>
          <w:szCs w:val="24"/>
        </w:rPr>
        <w:t xml:space="preserve">De ahí el acierto del fallo impugnado, en cuyo numeral cuarto, se declaró improcedente la acción de tutela respecto de las demás dependencias de la UARIV vinculadas a este asunto, que carecen de legitimación en la causa por pasiva. </w:t>
      </w:r>
    </w:p>
    <w:p w14:paraId="48452CB7" w14:textId="77777777" w:rsidR="003726B6" w:rsidRPr="00176C8F" w:rsidRDefault="003726B6" w:rsidP="00176C8F">
      <w:pPr>
        <w:spacing w:line="276" w:lineRule="auto"/>
        <w:ind w:firstLine="2835"/>
        <w:jc w:val="both"/>
        <w:rPr>
          <w:rFonts w:ascii="Gadugi" w:hAnsi="Gadugi" w:cs="Arial"/>
          <w:sz w:val="24"/>
          <w:szCs w:val="24"/>
        </w:rPr>
      </w:pPr>
    </w:p>
    <w:p w14:paraId="004AF1E1" w14:textId="2C99ED2A" w:rsidR="008204AC" w:rsidRPr="00176C8F" w:rsidRDefault="0051072B" w:rsidP="00176C8F">
      <w:pPr>
        <w:spacing w:line="276" w:lineRule="auto"/>
        <w:ind w:firstLine="2835"/>
        <w:jc w:val="both"/>
        <w:rPr>
          <w:rFonts w:ascii="Gadugi" w:hAnsi="Gadugi"/>
          <w:sz w:val="24"/>
          <w:szCs w:val="24"/>
        </w:rPr>
      </w:pPr>
      <w:r w:rsidRPr="00176C8F">
        <w:rPr>
          <w:rFonts w:ascii="Gadugi" w:hAnsi="Gadugi"/>
          <w:sz w:val="24"/>
          <w:szCs w:val="24"/>
        </w:rPr>
        <w:t xml:space="preserve">La inmediatez también se cumple, porque </w:t>
      </w:r>
      <w:r w:rsidR="008204AC" w:rsidRPr="00176C8F">
        <w:rPr>
          <w:rFonts w:ascii="Gadugi" w:hAnsi="Gadugi"/>
          <w:sz w:val="24"/>
          <w:szCs w:val="24"/>
        </w:rPr>
        <w:t xml:space="preserve">según se advierte en el expediente, la demandante ha elevado de manera reciente peticiones ante la UARIV, con el propósito de que le sea desembolsada la indemnización administrativa, por ejemplo, en una de las contestaciones de la entidad se lee </w:t>
      </w:r>
      <w:r w:rsidR="008204AC" w:rsidRPr="00176C8F">
        <w:rPr>
          <w:rFonts w:ascii="Gadugi" w:hAnsi="Gadugi"/>
          <w:i/>
          <w:sz w:val="24"/>
          <w:szCs w:val="24"/>
        </w:rPr>
        <w:t>“</w:t>
      </w:r>
      <w:r w:rsidR="008204AC" w:rsidRPr="00733344">
        <w:rPr>
          <w:rFonts w:ascii="Gadugi" w:hAnsi="Gadugi"/>
          <w:i/>
          <w:sz w:val="22"/>
          <w:szCs w:val="24"/>
        </w:rPr>
        <w:t>Respondiendo a su solicitud radicada con fecha 22 de Julio de 2021 (…)</w:t>
      </w:r>
      <w:r w:rsidR="008204AC" w:rsidRPr="00176C8F">
        <w:rPr>
          <w:rFonts w:ascii="Gadugi" w:hAnsi="Gadugi"/>
          <w:i/>
          <w:sz w:val="24"/>
          <w:szCs w:val="24"/>
        </w:rPr>
        <w:t>”</w:t>
      </w:r>
      <w:r w:rsidR="00733344">
        <w:rPr>
          <w:rFonts w:ascii="Gadugi" w:hAnsi="Gadugi"/>
          <w:i/>
          <w:sz w:val="24"/>
          <w:szCs w:val="24"/>
        </w:rPr>
        <w:t xml:space="preserve"> </w:t>
      </w:r>
      <w:r w:rsidR="00FC4375" w:rsidRPr="00176C8F">
        <w:rPr>
          <w:rStyle w:val="Refdenotaalpie"/>
          <w:rFonts w:ascii="Gadugi" w:hAnsi="Gadugi"/>
          <w:i/>
          <w:sz w:val="24"/>
          <w:szCs w:val="24"/>
        </w:rPr>
        <w:footnoteReference w:id="6"/>
      </w:r>
      <w:r w:rsidR="008204AC" w:rsidRPr="00176C8F">
        <w:rPr>
          <w:rFonts w:ascii="Gadugi" w:hAnsi="Gadugi"/>
          <w:i/>
          <w:sz w:val="24"/>
          <w:szCs w:val="24"/>
        </w:rPr>
        <w:t>;</w:t>
      </w:r>
      <w:r w:rsidR="008204AC" w:rsidRPr="00176C8F">
        <w:rPr>
          <w:rFonts w:ascii="Gadugi" w:hAnsi="Gadugi"/>
          <w:sz w:val="24"/>
          <w:szCs w:val="24"/>
        </w:rPr>
        <w:t xml:space="preserve"> así las cosas, y como esta demanda se radicó desde el 29 de noviembre de 2021</w:t>
      </w:r>
      <w:r w:rsidR="00FC4375" w:rsidRPr="00176C8F">
        <w:rPr>
          <w:rStyle w:val="Refdenotaalpie"/>
          <w:rFonts w:ascii="Gadugi" w:hAnsi="Gadugi"/>
          <w:sz w:val="24"/>
          <w:szCs w:val="24"/>
        </w:rPr>
        <w:footnoteReference w:id="7"/>
      </w:r>
      <w:r w:rsidR="008204AC" w:rsidRPr="00176C8F">
        <w:rPr>
          <w:rFonts w:ascii="Gadugi" w:hAnsi="Gadugi"/>
          <w:sz w:val="24"/>
          <w:szCs w:val="24"/>
        </w:rPr>
        <w:t xml:space="preserve">, se concluye que al amparo se acudió dentro del término de 6 meses que la jurisprudencia ha considerado como razonable. </w:t>
      </w:r>
    </w:p>
    <w:p w14:paraId="4E968F45" w14:textId="77777777" w:rsidR="000A6772" w:rsidRPr="00176C8F" w:rsidRDefault="000A6772" w:rsidP="00176C8F">
      <w:pPr>
        <w:spacing w:line="276" w:lineRule="auto"/>
        <w:ind w:firstLine="2835"/>
        <w:jc w:val="both"/>
        <w:rPr>
          <w:rFonts w:ascii="Gadugi" w:hAnsi="Gadugi"/>
          <w:sz w:val="24"/>
          <w:szCs w:val="24"/>
        </w:rPr>
      </w:pPr>
    </w:p>
    <w:p w14:paraId="7225D629" w14:textId="77777777" w:rsidR="004A5B32" w:rsidRPr="00176C8F" w:rsidRDefault="004A5B32" w:rsidP="00176C8F">
      <w:pPr>
        <w:spacing w:line="276" w:lineRule="auto"/>
        <w:ind w:firstLine="2835"/>
        <w:jc w:val="both"/>
        <w:rPr>
          <w:rFonts w:ascii="Gadugi" w:hAnsi="Gadugi"/>
          <w:sz w:val="24"/>
          <w:szCs w:val="24"/>
        </w:rPr>
      </w:pPr>
      <w:r w:rsidRPr="00176C8F">
        <w:rPr>
          <w:rFonts w:ascii="Gadugi" w:hAnsi="Gadugi"/>
          <w:sz w:val="24"/>
          <w:szCs w:val="24"/>
        </w:rPr>
        <w:t xml:space="preserve">También se supera la subsidiaridad porque para la protección del derecho fundamental de petición, es inexistente otro medio judicial distinto a la acción de tutela.  </w:t>
      </w:r>
    </w:p>
    <w:p w14:paraId="1987F42F" w14:textId="77777777" w:rsidR="009F127B" w:rsidRPr="00176C8F" w:rsidRDefault="009F127B" w:rsidP="00176C8F">
      <w:pPr>
        <w:spacing w:line="276" w:lineRule="auto"/>
        <w:jc w:val="both"/>
        <w:rPr>
          <w:rFonts w:ascii="Gadugi" w:hAnsi="Gadugi" w:cs="Arial"/>
          <w:sz w:val="24"/>
          <w:szCs w:val="24"/>
        </w:rPr>
      </w:pPr>
    </w:p>
    <w:p w14:paraId="55B9DD32" w14:textId="7F3C522D" w:rsidR="009F127B" w:rsidRPr="00176C8F" w:rsidRDefault="009F127B" w:rsidP="00176C8F">
      <w:pPr>
        <w:spacing w:line="276" w:lineRule="auto"/>
        <w:jc w:val="both"/>
        <w:rPr>
          <w:rFonts w:ascii="Gadugi" w:hAnsi="Gadugi" w:cs="Arial"/>
          <w:sz w:val="24"/>
          <w:szCs w:val="24"/>
          <w:lang w:val="es-419"/>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Ahora bien, se sabe que el derecho fundamental de petición</w:t>
      </w:r>
      <w:r w:rsidRPr="00176C8F">
        <w:rPr>
          <w:rFonts w:ascii="Gadugi" w:hAnsi="Gadugi" w:cs="Courier New"/>
          <w:sz w:val="24"/>
          <w:szCs w:val="24"/>
          <w:lang w:val="es-419"/>
        </w:rPr>
        <w:t xml:space="preserve"> se</w:t>
      </w:r>
      <w:r w:rsidRPr="00176C8F">
        <w:rPr>
          <w:rFonts w:ascii="Gadugi" w:hAnsi="Gadugi" w:cs="Courier New"/>
          <w:sz w:val="24"/>
          <w:szCs w:val="24"/>
        </w:rPr>
        <w:t xml:space="preserve"> garantiza con la posibilidad </w:t>
      </w:r>
      <w:r w:rsidRPr="00176C8F">
        <w:rPr>
          <w:rFonts w:ascii="Gadugi" w:hAnsi="Gadugi"/>
          <w:iCs/>
          <w:sz w:val="24"/>
          <w:szCs w:val="24"/>
          <w:shd w:val="clear" w:color="auto" w:fill="FFFFFF"/>
        </w:rPr>
        <w:t xml:space="preserve">de presentar solicitudes escritas o verbales, </w:t>
      </w:r>
      <w:r w:rsidRPr="00176C8F">
        <w:rPr>
          <w:rFonts w:ascii="Gadugi" w:hAnsi="Gadugi"/>
          <w:iCs/>
          <w:sz w:val="24"/>
          <w:szCs w:val="24"/>
          <w:shd w:val="clear" w:color="auto" w:fill="FFFFFF"/>
          <w:lang w:val="es-419"/>
        </w:rPr>
        <w:t xml:space="preserve">con la </w:t>
      </w:r>
      <w:r w:rsidRPr="00176C8F">
        <w:rPr>
          <w:rFonts w:ascii="Gadugi" w:hAnsi="Gadugi"/>
          <w:iCs/>
          <w:sz w:val="24"/>
          <w:szCs w:val="24"/>
          <w:shd w:val="clear" w:color="auto" w:fill="FFFFFF"/>
        </w:rPr>
        <w:t xml:space="preserve">obligación correlativa del requerido de ofrecer una respuesta clara, congruente, de </w:t>
      </w:r>
      <w:r w:rsidRPr="00176C8F">
        <w:rPr>
          <w:rFonts w:ascii="Gadugi" w:hAnsi="Gadugi"/>
          <w:iCs/>
          <w:sz w:val="24"/>
          <w:szCs w:val="24"/>
          <w:shd w:val="clear" w:color="auto" w:fill="FFFFFF"/>
        </w:rPr>
        <w:lastRenderedPageBreak/>
        <w:t xml:space="preserve">fondo y oportuna; esto es, una </w:t>
      </w:r>
      <w:r w:rsidR="00DC7F3C" w:rsidRPr="00176C8F">
        <w:rPr>
          <w:rFonts w:ascii="Gadugi" w:hAnsi="Gadugi"/>
          <w:iCs/>
          <w:sz w:val="24"/>
          <w:szCs w:val="24"/>
          <w:shd w:val="clear" w:color="auto" w:fill="FFFFFF"/>
        </w:rPr>
        <w:t>contestación</w:t>
      </w:r>
      <w:r w:rsidRPr="00176C8F">
        <w:rPr>
          <w:rFonts w:ascii="Gadugi" w:hAnsi="Gadugi"/>
          <w:iCs/>
          <w:sz w:val="24"/>
          <w:szCs w:val="24"/>
          <w:shd w:val="clear" w:color="auto" w:fill="FFFFFF"/>
        </w:rPr>
        <w:t xml:space="preserve"> que carezca de contenido abstracto o evasivo, que solucione dentro de los límites de lo posible la situación o inquietud del peticionario</w:t>
      </w:r>
      <w:r w:rsidRPr="00176C8F">
        <w:rPr>
          <w:rFonts w:ascii="Gadugi" w:hAnsi="Gadugi"/>
          <w:iCs/>
          <w:sz w:val="24"/>
          <w:szCs w:val="24"/>
          <w:shd w:val="clear" w:color="auto" w:fill="FFFFFF"/>
          <w:lang w:val="es-419"/>
        </w:rPr>
        <w:t xml:space="preserve">, que respete </w:t>
      </w:r>
      <w:r w:rsidRPr="00176C8F">
        <w:rPr>
          <w:rFonts w:ascii="Gadugi" w:hAnsi="Gadugi"/>
          <w:iCs/>
          <w:sz w:val="24"/>
          <w:szCs w:val="24"/>
          <w:shd w:val="clear" w:color="auto" w:fill="FFFFFF"/>
        </w:rPr>
        <w:t xml:space="preserve">los </w:t>
      </w:r>
      <w:r w:rsidR="00DC7F3C" w:rsidRPr="00176C8F">
        <w:rPr>
          <w:rFonts w:ascii="Gadugi" w:hAnsi="Gadugi"/>
          <w:iCs/>
          <w:sz w:val="24"/>
          <w:szCs w:val="24"/>
          <w:shd w:val="clear" w:color="auto" w:fill="FFFFFF"/>
        </w:rPr>
        <w:t>términos de tiempo</w:t>
      </w:r>
      <w:r w:rsidRPr="00176C8F">
        <w:rPr>
          <w:rFonts w:ascii="Gadugi" w:hAnsi="Gadugi"/>
          <w:iCs/>
          <w:sz w:val="24"/>
          <w:szCs w:val="24"/>
          <w:shd w:val="clear" w:color="auto" w:fill="FFFFFF"/>
        </w:rPr>
        <w:t xml:space="preserve"> que </w:t>
      </w:r>
      <w:r w:rsidRPr="00176C8F">
        <w:rPr>
          <w:rFonts w:ascii="Gadugi" w:hAnsi="Gadugi"/>
          <w:iCs/>
          <w:sz w:val="24"/>
          <w:szCs w:val="24"/>
          <w:shd w:val="clear" w:color="auto" w:fill="FFFFFF"/>
          <w:lang w:val="es-419"/>
        </w:rPr>
        <w:t xml:space="preserve">la ley ha </w:t>
      </w:r>
      <w:r w:rsidRPr="00176C8F">
        <w:rPr>
          <w:rFonts w:ascii="Gadugi" w:hAnsi="Gadugi"/>
          <w:iCs/>
          <w:sz w:val="24"/>
          <w:szCs w:val="24"/>
          <w:shd w:val="clear" w:color="auto" w:fill="FFFFFF"/>
        </w:rPr>
        <w:t xml:space="preserve">fijado para </w:t>
      </w:r>
      <w:r w:rsidRPr="00176C8F">
        <w:rPr>
          <w:rFonts w:ascii="Gadugi" w:hAnsi="Gadugi"/>
          <w:iCs/>
          <w:sz w:val="24"/>
          <w:szCs w:val="24"/>
          <w:shd w:val="clear" w:color="auto" w:fill="FFFFFF"/>
          <w:lang w:val="es-419"/>
        </w:rPr>
        <w:t xml:space="preserve">emitir un pronunciamiento y, por </w:t>
      </w:r>
      <w:r w:rsidRPr="00176C8F">
        <w:rPr>
          <w:rFonts w:ascii="Gadugi" w:hAnsi="Gadugi"/>
          <w:iCs/>
          <w:sz w:val="24"/>
          <w:szCs w:val="24"/>
          <w:shd w:val="clear" w:color="auto" w:fill="FFFFFF"/>
          <w:lang w:val="es-CO"/>
        </w:rPr>
        <w:t xml:space="preserve">último, </w:t>
      </w:r>
      <w:r w:rsidRPr="00176C8F">
        <w:rPr>
          <w:rFonts w:ascii="Gadugi" w:hAnsi="Gadugi" w:cs="Arial"/>
          <w:sz w:val="24"/>
          <w:szCs w:val="24"/>
        </w:rPr>
        <w:t xml:space="preserve">que </w:t>
      </w:r>
      <w:r w:rsidRPr="00176C8F">
        <w:rPr>
          <w:rFonts w:ascii="Gadugi" w:hAnsi="Gadugi" w:cs="Arial"/>
          <w:sz w:val="24"/>
          <w:szCs w:val="24"/>
          <w:lang w:val="es-419"/>
        </w:rPr>
        <w:t xml:space="preserve">se le ponga en conocimiento al </w:t>
      </w:r>
      <w:r w:rsidRPr="00176C8F">
        <w:rPr>
          <w:rFonts w:ascii="Gadugi" w:hAnsi="Gadugi" w:cs="Arial"/>
          <w:sz w:val="24"/>
          <w:szCs w:val="24"/>
        </w:rPr>
        <w:t>solicitante</w:t>
      </w:r>
      <w:r w:rsidRPr="00176C8F">
        <w:rPr>
          <w:rFonts w:ascii="Gadugi" w:hAnsi="Gadugi" w:cs="Arial"/>
          <w:sz w:val="24"/>
          <w:szCs w:val="24"/>
          <w:lang w:val="es-419"/>
        </w:rPr>
        <w:t xml:space="preserve">, </w:t>
      </w:r>
      <w:r w:rsidRPr="00176C8F">
        <w:rPr>
          <w:rFonts w:ascii="Gadugi" w:hAnsi="Gadugi" w:cs="Arial"/>
          <w:sz w:val="24"/>
          <w:szCs w:val="24"/>
        </w:rPr>
        <w:t>pues de lo contrario</w:t>
      </w:r>
      <w:r w:rsidR="00DC7F3C" w:rsidRPr="00176C8F">
        <w:rPr>
          <w:rFonts w:ascii="Gadugi" w:hAnsi="Gadugi" w:cs="Arial"/>
          <w:sz w:val="24"/>
          <w:szCs w:val="24"/>
        </w:rPr>
        <w:t>,</w:t>
      </w:r>
      <w:r w:rsidRPr="00176C8F">
        <w:rPr>
          <w:rFonts w:ascii="Gadugi" w:hAnsi="Gadugi" w:cs="Arial"/>
          <w:sz w:val="24"/>
          <w:szCs w:val="24"/>
        </w:rPr>
        <w:t xml:space="preserve"> ningún efecto produciría</w:t>
      </w:r>
      <w:r w:rsidR="00DC7F3C" w:rsidRPr="00176C8F">
        <w:rPr>
          <w:rFonts w:ascii="Gadugi" w:hAnsi="Gadugi" w:cs="Arial"/>
          <w:sz w:val="24"/>
          <w:szCs w:val="24"/>
        </w:rPr>
        <w:t>. Todo ello,</w:t>
      </w:r>
      <w:r w:rsidRPr="00176C8F">
        <w:rPr>
          <w:rFonts w:ascii="Gadugi" w:hAnsi="Gadugi" w:cs="Arial"/>
          <w:sz w:val="24"/>
          <w:szCs w:val="24"/>
          <w:lang w:val="es-419"/>
        </w:rPr>
        <w:t xml:space="preserve"> al </w:t>
      </w:r>
      <w:r w:rsidRPr="00176C8F">
        <w:rPr>
          <w:rFonts w:ascii="Gadugi" w:hAnsi="Gadugi" w:cs="Arial"/>
          <w:sz w:val="24"/>
          <w:szCs w:val="24"/>
        </w:rPr>
        <w:t>margen del sentido de la respuesta,</w:t>
      </w:r>
      <w:r w:rsidRPr="00176C8F">
        <w:rPr>
          <w:rFonts w:ascii="Gadugi" w:hAnsi="Gadugi" w:cs="Arial"/>
          <w:sz w:val="24"/>
          <w:szCs w:val="24"/>
          <w:lang w:val="es-419"/>
        </w:rPr>
        <w:t xml:space="preserve"> esto es, que </w:t>
      </w:r>
      <w:r w:rsidR="00DC7F3C" w:rsidRPr="00176C8F">
        <w:rPr>
          <w:rFonts w:ascii="Gadugi" w:hAnsi="Gadugi" w:cs="Arial"/>
          <w:sz w:val="24"/>
          <w:szCs w:val="24"/>
          <w:lang w:val="es-419"/>
        </w:rPr>
        <w:t xml:space="preserve">en todo caso, puede ser </w:t>
      </w:r>
      <w:r w:rsidRPr="00176C8F">
        <w:rPr>
          <w:rFonts w:ascii="Gadugi" w:hAnsi="Gadugi" w:cs="Arial"/>
          <w:sz w:val="24"/>
          <w:szCs w:val="24"/>
          <w:lang w:val="es-419"/>
        </w:rPr>
        <w:t>favorable o desfavorable</w:t>
      </w:r>
      <w:r w:rsidRPr="00176C8F">
        <w:rPr>
          <w:rStyle w:val="Refdenotaalpie"/>
          <w:rFonts w:ascii="Gadugi" w:hAnsi="Gadugi"/>
          <w:sz w:val="24"/>
          <w:szCs w:val="24"/>
          <w:lang w:val="es-419"/>
        </w:rPr>
        <w:footnoteReference w:id="8"/>
      </w:r>
      <w:r w:rsidRPr="00176C8F">
        <w:rPr>
          <w:rFonts w:ascii="Gadugi" w:hAnsi="Gadugi" w:cs="Arial"/>
          <w:sz w:val="24"/>
          <w:szCs w:val="24"/>
          <w:lang w:val="es-419"/>
        </w:rPr>
        <w:t>.</w:t>
      </w:r>
    </w:p>
    <w:p w14:paraId="516DA04C" w14:textId="7B240626" w:rsidR="00112E58" w:rsidRPr="00176C8F" w:rsidRDefault="00112E58" w:rsidP="00176C8F">
      <w:pPr>
        <w:spacing w:line="276" w:lineRule="auto"/>
        <w:jc w:val="both"/>
        <w:rPr>
          <w:rFonts w:ascii="Gadugi" w:hAnsi="Gadugi" w:cs="Courier New"/>
          <w:sz w:val="24"/>
          <w:szCs w:val="24"/>
        </w:rPr>
      </w:pPr>
    </w:p>
    <w:p w14:paraId="4F60329D" w14:textId="18B9D822" w:rsidR="004A5B32" w:rsidRPr="00176C8F" w:rsidRDefault="004A5B32"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009F127B" w:rsidRPr="00176C8F">
        <w:rPr>
          <w:rFonts w:ascii="Gadugi" w:hAnsi="Gadugi" w:cs="Courier New"/>
          <w:sz w:val="24"/>
          <w:szCs w:val="24"/>
        </w:rPr>
        <w:t>Con ello claro,</w:t>
      </w:r>
      <w:r w:rsidR="00112E58" w:rsidRPr="00176C8F">
        <w:rPr>
          <w:rFonts w:ascii="Gadugi" w:hAnsi="Gadugi" w:cs="Courier New"/>
          <w:sz w:val="24"/>
          <w:szCs w:val="24"/>
        </w:rPr>
        <w:t xml:space="preserve"> e</w:t>
      </w:r>
      <w:r w:rsidRPr="00176C8F">
        <w:rPr>
          <w:rFonts w:ascii="Gadugi" w:hAnsi="Gadugi" w:cs="Courier New"/>
          <w:sz w:val="24"/>
          <w:szCs w:val="24"/>
        </w:rPr>
        <w:t>n el caso concreto, está probado lo siguiente:</w:t>
      </w:r>
    </w:p>
    <w:p w14:paraId="3A89E223" w14:textId="56B534E0" w:rsidR="004A5B32" w:rsidRPr="00176C8F" w:rsidRDefault="004A5B32" w:rsidP="00176C8F">
      <w:pPr>
        <w:spacing w:line="276" w:lineRule="auto"/>
        <w:jc w:val="both"/>
        <w:rPr>
          <w:rFonts w:ascii="Gadugi" w:hAnsi="Gadugi" w:cs="Courier New"/>
          <w:sz w:val="24"/>
          <w:szCs w:val="24"/>
        </w:rPr>
      </w:pPr>
    </w:p>
    <w:p w14:paraId="6F162799" w14:textId="04F59AD8" w:rsidR="009167F6" w:rsidRPr="00176C8F" w:rsidRDefault="004A5B32"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(i) </w:t>
      </w:r>
      <w:r w:rsidR="009D472B" w:rsidRPr="00176C8F">
        <w:rPr>
          <w:rFonts w:ascii="Gadugi" w:hAnsi="Gadugi" w:cs="Courier New"/>
          <w:sz w:val="24"/>
          <w:szCs w:val="24"/>
        </w:rPr>
        <w:t>Aunque no aparece</w:t>
      </w:r>
      <w:r w:rsidR="0085537C" w:rsidRPr="00176C8F">
        <w:rPr>
          <w:rFonts w:ascii="Gadugi" w:hAnsi="Gadugi" w:cs="Courier New"/>
          <w:sz w:val="24"/>
          <w:szCs w:val="24"/>
        </w:rPr>
        <w:t>n constancias de radicación de las solicitudes que la demandante le ha elevado a la UARIV, debido a las contestaciones que hay en expediente, hay certeza de que ella ha acudido ante esa entidad solicitando el desembolso de la indemnización administrativa que le fue reconocida mediante la Resolución Nº. 04102019-601891 del 8 de mayo de 2020</w:t>
      </w:r>
      <w:r w:rsidR="009F69F7" w:rsidRPr="00176C8F">
        <w:rPr>
          <w:rFonts w:ascii="Gadugi" w:hAnsi="Gadugi" w:cs="Courier New"/>
          <w:sz w:val="24"/>
          <w:szCs w:val="24"/>
        </w:rPr>
        <w:t>.</w:t>
      </w:r>
    </w:p>
    <w:p w14:paraId="366AFAA4" w14:textId="5DB8A28D" w:rsidR="0085537C" w:rsidRPr="00176C8F" w:rsidRDefault="0085537C" w:rsidP="00176C8F">
      <w:pPr>
        <w:spacing w:line="276" w:lineRule="auto"/>
        <w:jc w:val="both"/>
        <w:rPr>
          <w:rFonts w:ascii="Gadugi" w:hAnsi="Gadugi" w:cs="Courier New"/>
          <w:sz w:val="24"/>
          <w:szCs w:val="24"/>
        </w:rPr>
      </w:pPr>
    </w:p>
    <w:p w14:paraId="0F40D810" w14:textId="58910F08" w:rsidR="0085537C" w:rsidRPr="00176C8F" w:rsidRDefault="0085537C"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00F84067" w:rsidRPr="00176C8F">
        <w:rPr>
          <w:rFonts w:ascii="Gadugi" w:hAnsi="Gadugi" w:cs="Courier New"/>
          <w:sz w:val="24"/>
          <w:szCs w:val="24"/>
        </w:rPr>
        <w:t xml:space="preserve">(ii) </w:t>
      </w:r>
      <w:r w:rsidRPr="00176C8F">
        <w:rPr>
          <w:rFonts w:ascii="Gadugi" w:hAnsi="Gadugi" w:cs="Courier New"/>
          <w:sz w:val="24"/>
          <w:szCs w:val="24"/>
        </w:rPr>
        <w:t xml:space="preserve">La primera </w:t>
      </w:r>
      <w:r w:rsidR="00F84067" w:rsidRPr="00176C8F">
        <w:rPr>
          <w:rFonts w:ascii="Gadugi" w:hAnsi="Gadugi" w:cs="Courier New"/>
          <w:sz w:val="24"/>
          <w:szCs w:val="24"/>
        </w:rPr>
        <w:t>respuesta</w:t>
      </w:r>
      <w:r w:rsidRPr="00176C8F">
        <w:rPr>
          <w:rFonts w:ascii="Gadugi" w:hAnsi="Gadugi" w:cs="Courier New"/>
          <w:sz w:val="24"/>
          <w:szCs w:val="24"/>
        </w:rPr>
        <w:t xml:space="preserve"> de la UARIV</w:t>
      </w:r>
      <w:r w:rsidR="00F84067" w:rsidRPr="00176C8F">
        <w:rPr>
          <w:rFonts w:ascii="Gadugi" w:hAnsi="Gadugi" w:cs="Courier New"/>
          <w:sz w:val="24"/>
          <w:szCs w:val="24"/>
        </w:rPr>
        <w:t>, aportada por la accionante,</w:t>
      </w:r>
      <w:r w:rsidRPr="00176C8F">
        <w:rPr>
          <w:rFonts w:ascii="Gadugi" w:hAnsi="Gadugi" w:cs="Courier New"/>
          <w:sz w:val="24"/>
          <w:szCs w:val="24"/>
        </w:rPr>
        <w:t xml:space="preserve"> data del 29 de julio de 2021 y allí se le informó que: </w:t>
      </w:r>
    </w:p>
    <w:p w14:paraId="793F4135" w14:textId="5912DB41" w:rsidR="009167F6" w:rsidRPr="00176C8F" w:rsidRDefault="009167F6" w:rsidP="00176C8F">
      <w:pPr>
        <w:spacing w:line="276" w:lineRule="auto"/>
        <w:jc w:val="both"/>
        <w:rPr>
          <w:rFonts w:ascii="Gadugi" w:hAnsi="Gadugi" w:cs="Courier New"/>
          <w:sz w:val="24"/>
          <w:szCs w:val="24"/>
        </w:rPr>
      </w:pPr>
    </w:p>
    <w:p w14:paraId="437221F5" w14:textId="43CFAD9E" w:rsidR="0085537C" w:rsidRPr="00812865" w:rsidRDefault="0085537C" w:rsidP="00812865">
      <w:pPr>
        <w:ind w:left="426" w:right="420"/>
        <w:jc w:val="both"/>
        <w:rPr>
          <w:rFonts w:ascii="Gadugi" w:hAnsi="Gadugi" w:cs="Courier New"/>
          <w:sz w:val="22"/>
          <w:szCs w:val="24"/>
        </w:rPr>
      </w:pP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t>“(…) el Método Técnico de Priorización en su caso particular, se aplicará en el 30 de julio del año 2021, y la Unidad para las Víctimas le informará su resultado. Si dicho resultado le permite acceder a la entrega de la indemnización administrativa en el año 2021, será citado(a) para efectos de materializar la entrega de los recursos económicos por concepto de la indemnización. Ahora bien, sí conforme a los resultados de la aplicación del Método no resulta viable el acceso a la medida de indemnización en 2021, la Unidad le informará las razones por las cuales no fue priorizado y la necesidad de aplicar nuevamente el Método para el año siguiente.”</w:t>
      </w:r>
      <w:r w:rsidR="00FC4375" w:rsidRPr="00812865">
        <w:rPr>
          <w:rStyle w:val="Refdenotaalpie"/>
          <w:rFonts w:ascii="Gadugi" w:hAnsi="Gadugi" w:cs="Courier New"/>
          <w:sz w:val="22"/>
          <w:szCs w:val="24"/>
        </w:rPr>
        <w:footnoteReference w:id="9"/>
      </w:r>
    </w:p>
    <w:p w14:paraId="723B0F6B" w14:textId="1664744B" w:rsidR="009167F6" w:rsidRPr="00176C8F" w:rsidRDefault="009167F6" w:rsidP="00176C8F">
      <w:pPr>
        <w:spacing w:line="276" w:lineRule="auto"/>
        <w:jc w:val="both"/>
        <w:rPr>
          <w:rFonts w:ascii="Gadugi" w:hAnsi="Gadugi" w:cs="Courier New"/>
          <w:sz w:val="24"/>
          <w:szCs w:val="24"/>
        </w:rPr>
      </w:pPr>
    </w:p>
    <w:p w14:paraId="26CE1027" w14:textId="6E638182" w:rsidR="0065658F" w:rsidRPr="00176C8F" w:rsidRDefault="0065658F"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Aunque no hay evidencia de que esa respuesta se hubiera notificado, se sabe que la demandante la conoce</w:t>
      </w:r>
      <w:r w:rsidR="00FB1900" w:rsidRPr="00176C8F">
        <w:rPr>
          <w:rFonts w:ascii="Gadugi" w:hAnsi="Gadugi" w:cs="Courier New"/>
          <w:sz w:val="24"/>
          <w:szCs w:val="24"/>
        </w:rPr>
        <w:t>,</w:t>
      </w:r>
      <w:r w:rsidRPr="00176C8F">
        <w:rPr>
          <w:rFonts w:ascii="Gadugi" w:hAnsi="Gadugi" w:cs="Courier New"/>
          <w:sz w:val="24"/>
          <w:szCs w:val="24"/>
        </w:rPr>
        <w:t xml:space="preserve"> porque fue ella quien la aportó a este expediente. </w:t>
      </w:r>
    </w:p>
    <w:p w14:paraId="4B1C43DE" w14:textId="77777777" w:rsidR="0065658F" w:rsidRPr="00176C8F" w:rsidRDefault="0065658F" w:rsidP="00176C8F">
      <w:pPr>
        <w:spacing w:line="276" w:lineRule="auto"/>
        <w:jc w:val="both"/>
        <w:rPr>
          <w:rFonts w:ascii="Gadugi" w:hAnsi="Gadugi" w:cs="Courier New"/>
          <w:sz w:val="24"/>
          <w:szCs w:val="24"/>
        </w:rPr>
      </w:pPr>
    </w:p>
    <w:p w14:paraId="689904DE" w14:textId="0AE6598A" w:rsidR="0085537C" w:rsidRPr="00176C8F" w:rsidRDefault="0085537C"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00F84067" w:rsidRPr="00176C8F">
        <w:rPr>
          <w:rFonts w:ascii="Gadugi" w:hAnsi="Gadugi" w:cs="Courier New"/>
          <w:sz w:val="24"/>
          <w:szCs w:val="24"/>
        </w:rPr>
        <w:t>(iii) La segunda, que se aportó con la contestación de la demanda, es del 30 de noviembre de 2021, en esta oportunidad se explicó que</w:t>
      </w:r>
      <w:r w:rsidR="00FC4375" w:rsidRPr="00176C8F">
        <w:rPr>
          <w:rStyle w:val="Refdenotaalpie"/>
          <w:rFonts w:ascii="Gadugi" w:hAnsi="Gadugi" w:cs="Courier New"/>
          <w:sz w:val="24"/>
          <w:szCs w:val="24"/>
        </w:rPr>
        <w:footnoteReference w:id="10"/>
      </w:r>
      <w:r w:rsidR="00F84067" w:rsidRPr="00176C8F">
        <w:rPr>
          <w:rFonts w:ascii="Gadugi" w:hAnsi="Gadugi" w:cs="Courier New"/>
          <w:sz w:val="24"/>
          <w:szCs w:val="24"/>
        </w:rPr>
        <w:t xml:space="preserve">: </w:t>
      </w:r>
    </w:p>
    <w:p w14:paraId="3D16713D" w14:textId="7D4CB2F1" w:rsidR="009167F6" w:rsidRPr="00176C8F" w:rsidRDefault="009167F6" w:rsidP="00176C8F">
      <w:pPr>
        <w:spacing w:line="276" w:lineRule="auto"/>
        <w:jc w:val="both"/>
        <w:rPr>
          <w:rFonts w:ascii="Gadugi" w:hAnsi="Gadugi" w:cs="Courier New"/>
          <w:sz w:val="24"/>
          <w:szCs w:val="24"/>
        </w:rPr>
      </w:pPr>
    </w:p>
    <w:p w14:paraId="59978B73" w14:textId="2DEC5733" w:rsidR="00F84067" w:rsidRPr="00812865" w:rsidRDefault="00F84067" w:rsidP="00812865">
      <w:pPr>
        <w:ind w:left="426" w:right="420"/>
        <w:jc w:val="both"/>
        <w:rPr>
          <w:rFonts w:ascii="Gadugi" w:hAnsi="Gadugi" w:cs="Courier New"/>
          <w:sz w:val="22"/>
          <w:szCs w:val="24"/>
        </w:rPr>
      </w:pP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t>“(…) el 30 de julio de 2021 se ejecutó la aplicación del Método Técnico de Priorización, por lo que actualmente la Unidad para las Víctimas se encuentra realizando la consolidación de los puntajes para poder informarle a las víctimas el resultado obtenido y si procede o no el pago de la indemnizadas administrativa para la presente vigencia fiscal; información que será entregada en los próximos días y se comunicará a través de los canales autorizados.</w:t>
      </w:r>
    </w:p>
    <w:p w14:paraId="5A7468B2" w14:textId="3EE149EF" w:rsidR="00F84067" w:rsidRPr="00812865" w:rsidRDefault="00F84067" w:rsidP="00812865">
      <w:pPr>
        <w:ind w:left="426" w:right="420"/>
        <w:jc w:val="both"/>
        <w:rPr>
          <w:rFonts w:ascii="Gadugi" w:hAnsi="Gadugi" w:cs="Courier New"/>
          <w:sz w:val="22"/>
          <w:szCs w:val="24"/>
        </w:rPr>
      </w:pPr>
    </w:p>
    <w:p w14:paraId="0279D458" w14:textId="277DAE11" w:rsidR="00F84067" w:rsidRPr="00812865" w:rsidRDefault="00F84067" w:rsidP="00812865">
      <w:pPr>
        <w:ind w:left="426" w:right="420"/>
        <w:jc w:val="both"/>
        <w:rPr>
          <w:rFonts w:ascii="Gadugi" w:hAnsi="Gadugi" w:cs="Courier New"/>
          <w:sz w:val="22"/>
          <w:szCs w:val="24"/>
        </w:rPr>
      </w:pPr>
      <w:r w:rsidRPr="00812865">
        <w:rPr>
          <w:rFonts w:ascii="Gadugi" w:hAnsi="Gadugi" w:cs="Courier New"/>
          <w:sz w:val="22"/>
          <w:szCs w:val="24"/>
        </w:rPr>
        <w:lastRenderedPageBreak/>
        <w:tab/>
      </w: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t>Teniendo en cuenta lo informado anteriormente, no es procedente brindarle una fecha exacta o probable para el pago de la indemnización toda vez que nos encontramos agotando el debido proceso, respecto a la aplicación del método técnico de priorización, en el cual nos encontramos actualmente realizando la consolidación de los puntajes para poder informarle su resultado y si será indemnizada o no en la presente</w:t>
      </w:r>
      <w:r w:rsidR="00FB1900" w:rsidRPr="00812865">
        <w:rPr>
          <w:rFonts w:ascii="Gadugi" w:hAnsi="Gadugi" w:cs="Courier New"/>
          <w:sz w:val="22"/>
          <w:szCs w:val="24"/>
        </w:rPr>
        <w:t xml:space="preserve"> </w:t>
      </w:r>
      <w:r w:rsidRPr="00812865">
        <w:rPr>
          <w:rFonts w:ascii="Gadugi" w:hAnsi="Gadugi" w:cs="Courier New"/>
          <w:sz w:val="22"/>
          <w:szCs w:val="24"/>
        </w:rPr>
        <w:t>vigencia fiscal.”</w:t>
      </w:r>
    </w:p>
    <w:p w14:paraId="092F1A30" w14:textId="33A7739A" w:rsidR="009167F6" w:rsidRPr="00176C8F" w:rsidRDefault="009F69F7"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p>
    <w:p w14:paraId="3A0AA56D" w14:textId="7B0D3860" w:rsidR="009F69F7" w:rsidRPr="00176C8F" w:rsidRDefault="009F69F7"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Ello fue notificado el 30 de noviembre de 2021, al correo electrónico </w:t>
      </w:r>
      <w:hyperlink r:id="rId11" w:history="1">
        <w:r w:rsidRPr="00176C8F">
          <w:rPr>
            <w:rStyle w:val="Hipervnculo"/>
            <w:rFonts w:ascii="Gadugi" w:hAnsi="Gadugi" w:cs="Courier New"/>
            <w:color w:val="auto"/>
            <w:sz w:val="24"/>
            <w:szCs w:val="24"/>
          </w:rPr>
          <w:t>tutelaspersoneriasantarosa@gmail.com</w:t>
        </w:r>
      </w:hyperlink>
      <w:r w:rsidR="00FC4375" w:rsidRPr="00176C8F">
        <w:rPr>
          <w:rStyle w:val="Refdenotaalpie"/>
          <w:rFonts w:ascii="Gadugi" w:hAnsi="Gadugi" w:cs="Courier New"/>
          <w:sz w:val="24"/>
          <w:szCs w:val="24"/>
        </w:rPr>
        <w:footnoteReference w:id="11"/>
      </w:r>
      <w:r w:rsidRPr="00176C8F">
        <w:rPr>
          <w:rFonts w:ascii="Gadugi" w:hAnsi="Gadugi" w:cs="Courier New"/>
          <w:sz w:val="24"/>
          <w:szCs w:val="24"/>
        </w:rPr>
        <w:t>, debido a que la accionante autorizó ser notificada por conducto de esa entidad</w:t>
      </w:r>
      <w:r w:rsidR="00FC4375" w:rsidRPr="00176C8F">
        <w:rPr>
          <w:rStyle w:val="Refdenotaalpie"/>
          <w:rFonts w:ascii="Gadugi" w:hAnsi="Gadugi" w:cs="Courier New"/>
          <w:sz w:val="24"/>
          <w:szCs w:val="24"/>
        </w:rPr>
        <w:footnoteReference w:id="12"/>
      </w:r>
      <w:r w:rsidRPr="00176C8F">
        <w:rPr>
          <w:rFonts w:ascii="Gadugi" w:hAnsi="Gadugi" w:cs="Courier New"/>
          <w:sz w:val="24"/>
          <w:szCs w:val="24"/>
        </w:rPr>
        <w:t xml:space="preserve">. </w:t>
      </w:r>
    </w:p>
    <w:p w14:paraId="48EEA8F7" w14:textId="77777777" w:rsidR="009F69F7" w:rsidRPr="00176C8F" w:rsidRDefault="009F69F7" w:rsidP="00176C8F">
      <w:pPr>
        <w:spacing w:line="276" w:lineRule="auto"/>
        <w:jc w:val="both"/>
        <w:rPr>
          <w:rFonts w:ascii="Gadugi" w:hAnsi="Gadugi" w:cs="Courier New"/>
          <w:sz w:val="24"/>
          <w:szCs w:val="24"/>
        </w:rPr>
      </w:pPr>
    </w:p>
    <w:p w14:paraId="47B43F69" w14:textId="0DDCBB37" w:rsidR="009F69F7" w:rsidRPr="00176C8F" w:rsidRDefault="00F84067"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(iii) </w:t>
      </w:r>
      <w:r w:rsidR="0074293F" w:rsidRPr="00176C8F">
        <w:rPr>
          <w:rFonts w:ascii="Gadugi" w:hAnsi="Gadugi" w:cs="Courier New"/>
          <w:sz w:val="24"/>
          <w:szCs w:val="24"/>
        </w:rPr>
        <w:t>D</w:t>
      </w:r>
      <w:r w:rsidRPr="00176C8F">
        <w:rPr>
          <w:rFonts w:ascii="Gadugi" w:hAnsi="Gadugi" w:cs="Courier New"/>
          <w:sz w:val="24"/>
          <w:szCs w:val="24"/>
        </w:rPr>
        <w:t xml:space="preserve">espués está </w:t>
      </w:r>
      <w:r w:rsidR="009F69F7" w:rsidRPr="00176C8F">
        <w:rPr>
          <w:rFonts w:ascii="Gadugi" w:hAnsi="Gadugi" w:cs="Courier New"/>
          <w:sz w:val="24"/>
          <w:szCs w:val="24"/>
        </w:rPr>
        <w:t>la respuesta del 15 de diciembre de 2021</w:t>
      </w:r>
      <w:r w:rsidR="00FC4375" w:rsidRPr="00176C8F">
        <w:rPr>
          <w:rStyle w:val="Refdenotaalpie"/>
          <w:rFonts w:ascii="Gadugi" w:hAnsi="Gadugi" w:cs="Courier New"/>
          <w:sz w:val="24"/>
          <w:szCs w:val="24"/>
        </w:rPr>
        <w:footnoteReference w:id="13"/>
      </w:r>
      <w:r w:rsidR="009F69F7" w:rsidRPr="00176C8F">
        <w:rPr>
          <w:rFonts w:ascii="Gadugi" w:hAnsi="Gadugi" w:cs="Courier New"/>
          <w:sz w:val="24"/>
          <w:szCs w:val="24"/>
        </w:rPr>
        <w:t xml:space="preserve">, que se anexó a la </w:t>
      </w:r>
      <w:r w:rsidR="0074293F" w:rsidRPr="00176C8F">
        <w:rPr>
          <w:rFonts w:ascii="Gadugi" w:hAnsi="Gadugi" w:cs="Courier New"/>
          <w:sz w:val="24"/>
          <w:szCs w:val="24"/>
        </w:rPr>
        <w:t>impugnación, y que se notificó junto con un informe emitido el 8 de noviembre, informe en el cual se explicó que</w:t>
      </w:r>
      <w:r w:rsidR="001936F3" w:rsidRPr="00176C8F">
        <w:rPr>
          <w:rStyle w:val="Refdenotaalpie"/>
          <w:rFonts w:ascii="Gadugi" w:hAnsi="Gadugi" w:cs="Courier New"/>
          <w:sz w:val="24"/>
          <w:szCs w:val="24"/>
        </w:rPr>
        <w:footnoteReference w:id="14"/>
      </w:r>
      <w:r w:rsidR="0074293F" w:rsidRPr="00176C8F">
        <w:rPr>
          <w:rFonts w:ascii="Gadugi" w:hAnsi="Gadugi" w:cs="Courier New"/>
          <w:sz w:val="24"/>
          <w:szCs w:val="24"/>
        </w:rPr>
        <w:t>:</w:t>
      </w:r>
      <w:r w:rsidR="009F69F7" w:rsidRPr="00176C8F">
        <w:rPr>
          <w:rFonts w:ascii="Gadugi" w:hAnsi="Gadugi" w:cs="Courier New"/>
          <w:sz w:val="24"/>
          <w:szCs w:val="24"/>
        </w:rPr>
        <w:t xml:space="preserve"> </w:t>
      </w:r>
    </w:p>
    <w:p w14:paraId="6A9CDE55" w14:textId="1F0A4C28" w:rsidR="00F84067" w:rsidRPr="00176C8F" w:rsidRDefault="00F84067" w:rsidP="00176C8F">
      <w:pPr>
        <w:spacing w:line="276" w:lineRule="auto"/>
        <w:jc w:val="both"/>
        <w:rPr>
          <w:rFonts w:ascii="Gadugi" w:hAnsi="Gadugi" w:cs="Courier New"/>
          <w:sz w:val="24"/>
          <w:szCs w:val="24"/>
        </w:rPr>
      </w:pPr>
    </w:p>
    <w:p w14:paraId="691855DF" w14:textId="204A6FA6" w:rsidR="00F84067" w:rsidRPr="00812865" w:rsidRDefault="00F84067" w:rsidP="00812865">
      <w:pPr>
        <w:ind w:left="426" w:right="420"/>
        <w:jc w:val="both"/>
        <w:rPr>
          <w:rFonts w:ascii="Gadugi" w:hAnsi="Gadugi" w:cs="Courier New"/>
          <w:sz w:val="22"/>
          <w:szCs w:val="24"/>
        </w:rPr>
      </w:pP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t xml:space="preserve">“(…) luego de haber efectuado este proceso técnico, se concluyó que, en atención a la disponibilidad presupuestal con la que cuenta la Unidad y al orden definido por la ponderación de cada una de las variables descritas, NO es procedente materializar la entrega de la medida indemnizatoria respecto de (de los) integrante(s) relacionado(s) en la solicitud con radicado 146427-714056, por el hecho </w:t>
      </w:r>
      <w:proofErr w:type="spellStart"/>
      <w:r w:rsidRPr="00812865">
        <w:rPr>
          <w:rFonts w:ascii="Gadugi" w:hAnsi="Gadugi" w:cs="Courier New"/>
          <w:sz w:val="22"/>
          <w:szCs w:val="24"/>
        </w:rPr>
        <w:t>victimizante</w:t>
      </w:r>
      <w:proofErr w:type="spellEnd"/>
      <w:r w:rsidRPr="00812865">
        <w:rPr>
          <w:rFonts w:ascii="Gadugi" w:hAnsi="Gadugi" w:cs="Courier New"/>
          <w:sz w:val="22"/>
          <w:szCs w:val="24"/>
        </w:rPr>
        <w:t xml:space="preserve"> de DESPLAZAMIENTO FORZADO.</w:t>
      </w:r>
    </w:p>
    <w:p w14:paraId="0DBACCAF" w14:textId="62A9E8F4" w:rsidR="00F84067" w:rsidRPr="00812865" w:rsidRDefault="00F84067" w:rsidP="00812865">
      <w:pPr>
        <w:ind w:left="426" w:right="420"/>
        <w:jc w:val="both"/>
        <w:rPr>
          <w:rFonts w:ascii="Gadugi" w:hAnsi="Gadugi" w:cs="Courier New"/>
          <w:sz w:val="22"/>
          <w:szCs w:val="24"/>
        </w:rPr>
      </w:pPr>
    </w:p>
    <w:p w14:paraId="2B5AB494" w14:textId="5564F8DB" w:rsidR="00F84067" w:rsidRPr="00812865" w:rsidRDefault="00F84067" w:rsidP="00812865">
      <w:pPr>
        <w:ind w:left="426" w:right="420"/>
        <w:jc w:val="both"/>
        <w:rPr>
          <w:rFonts w:ascii="Gadugi" w:hAnsi="Gadugi" w:cs="Courier New"/>
          <w:sz w:val="22"/>
          <w:szCs w:val="24"/>
        </w:rPr>
      </w:pP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r>
      <w:r w:rsidRPr="00812865">
        <w:rPr>
          <w:rFonts w:ascii="Gadugi" w:hAnsi="Gadugi" w:cs="Courier New"/>
          <w:sz w:val="22"/>
          <w:szCs w:val="24"/>
        </w:rPr>
        <w:tab/>
        <w:t>Lo anterior, debido a que la ponderación de los componentes arrojo como resultado el valor de 11.5753 como se muestra a continuación, y el puntaje mínimo para acceder a la medida indemnizatoria fue de 48.8001:</w:t>
      </w:r>
    </w:p>
    <w:p w14:paraId="1DABBD7B" w14:textId="52780343" w:rsidR="0065658F" w:rsidRPr="00E873EC" w:rsidRDefault="0065658F" w:rsidP="00E873EC">
      <w:pPr>
        <w:ind w:left="426" w:right="420"/>
        <w:jc w:val="both"/>
        <w:rPr>
          <w:rFonts w:ascii="Gadugi" w:hAnsi="Gadugi" w:cs="Courier New"/>
          <w:sz w:val="22"/>
          <w:szCs w:val="24"/>
        </w:rPr>
      </w:pPr>
    </w:p>
    <w:tbl>
      <w:tblPr>
        <w:tblStyle w:val="Tablaconcuadrcula"/>
        <w:tblpPr w:leftFromText="141" w:rightFromText="141" w:vertAnchor="text" w:horzAnchor="margin" w:tblpY="188"/>
        <w:tblW w:w="9110" w:type="dxa"/>
        <w:tblLook w:val="04A0" w:firstRow="1" w:lastRow="0" w:firstColumn="1" w:lastColumn="0" w:noHBand="0" w:noVBand="1"/>
      </w:tblPr>
      <w:tblGrid>
        <w:gridCol w:w="960"/>
        <w:gridCol w:w="1076"/>
        <w:gridCol w:w="1076"/>
        <w:gridCol w:w="1208"/>
        <w:gridCol w:w="1288"/>
        <w:gridCol w:w="1128"/>
        <w:gridCol w:w="1084"/>
        <w:gridCol w:w="858"/>
        <w:gridCol w:w="814"/>
      </w:tblGrid>
      <w:tr w:rsidR="00E873EC" w:rsidRPr="009667C7" w14:paraId="263C028B" w14:textId="77777777" w:rsidTr="00861701">
        <w:tc>
          <w:tcPr>
            <w:tcW w:w="960" w:type="dxa"/>
          </w:tcPr>
          <w:p w14:paraId="44577E7A"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NOMBRES Y APELLIDOS</w:t>
            </w:r>
          </w:p>
        </w:tc>
        <w:tc>
          <w:tcPr>
            <w:tcW w:w="1076" w:type="dxa"/>
          </w:tcPr>
          <w:p w14:paraId="6B9BDBC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TIPO DE</w:t>
            </w:r>
          </w:p>
          <w:p w14:paraId="554BF3E7"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DOCUMENTO</w:t>
            </w:r>
          </w:p>
        </w:tc>
        <w:tc>
          <w:tcPr>
            <w:tcW w:w="1076" w:type="dxa"/>
          </w:tcPr>
          <w:p w14:paraId="5DD8DA2E"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 xml:space="preserve">NÚMERO </w:t>
            </w:r>
          </w:p>
          <w:p w14:paraId="6336FAD0"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DE</w:t>
            </w:r>
          </w:p>
          <w:p w14:paraId="4F40F12D"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DOCUMENTO</w:t>
            </w:r>
          </w:p>
        </w:tc>
        <w:tc>
          <w:tcPr>
            <w:tcW w:w="1208" w:type="dxa"/>
          </w:tcPr>
          <w:p w14:paraId="09712F9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DEMOGRÁFICO</w:t>
            </w:r>
          </w:p>
        </w:tc>
        <w:tc>
          <w:tcPr>
            <w:tcW w:w="1314" w:type="dxa"/>
          </w:tcPr>
          <w:p w14:paraId="563C0222"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ESTABILIZACION</w:t>
            </w:r>
          </w:p>
          <w:p w14:paraId="572AAE5D"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SOCIO</w:t>
            </w:r>
          </w:p>
          <w:p w14:paraId="1B7001BA"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ECONÓMICA</w:t>
            </w:r>
          </w:p>
        </w:tc>
        <w:tc>
          <w:tcPr>
            <w:tcW w:w="1139" w:type="dxa"/>
          </w:tcPr>
          <w:p w14:paraId="32FEEB2D"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HECHO</w:t>
            </w:r>
          </w:p>
          <w:p w14:paraId="7890F66F"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VICTIMIZANTE</w:t>
            </w:r>
          </w:p>
        </w:tc>
        <w:tc>
          <w:tcPr>
            <w:tcW w:w="1084" w:type="dxa"/>
          </w:tcPr>
          <w:p w14:paraId="6C4AFF66"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AVANCE EN</w:t>
            </w:r>
          </w:p>
          <w:p w14:paraId="1434EEA8"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RUTA DE</w:t>
            </w:r>
          </w:p>
          <w:p w14:paraId="4DB46D96"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RAPARACIÓN</w:t>
            </w:r>
          </w:p>
        </w:tc>
        <w:tc>
          <w:tcPr>
            <w:tcW w:w="1017" w:type="dxa"/>
          </w:tcPr>
          <w:p w14:paraId="1DDCE312"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PUNTAJE</w:t>
            </w:r>
          </w:p>
          <w:p w14:paraId="3DFFD945"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PERSONA</w:t>
            </w:r>
          </w:p>
        </w:tc>
        <w:tc>
          <w:tcPr>
            <w:tcW w:w="236" w:type="dxa"/>
          </w:tcPr>
          <w:p w14:paraId="1B3EFA98"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PUNTAJE</w:t>
            </w:r>
          </w:p>
          <w:p w14:paraId="5A205A7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MEDIO</w:t>
            </w:r>
          </w:p>
        </w:tc>
      </w:tr>
      <w:tr w:rsidR="00E873EC" w:rsidRPr="009667C7" w14:paraId="01A23B86" w14:textId="77777777" w:rsidTr="00861701">
        <w:tc>
          <w:tcPr>
            <w:tcW w:w="960" w:type="dxa"/>
          </w:tcPr>
          <w:p w14:paraId="673A4A83"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SANTIAGO</w:t>
            </w:r>
          </w:p>
          <w:p w14:paraId="42497063"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CIFUENTES</w:t>
            </w:r>
          </w:p>
          <w:p w14:paraId="166955E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QUINTERO</w:t>
            </w:r>
          </w:p>
        </w:tc>
        <w:tc>
          <w:tcPr>
            <w:tcW w:w="1076" w:type="dxa"/>
          </w:tcPr>
          <w:p w14:paraId="6211C494"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CEDULA DE</w:t>
            </w:r>
          </w:p>
          <w:p w14:paraId="5EAF420C"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CIUDADANIA</w:t>
            </w:r>
          </w:p>
        </w:tc>
        <w:tc>
          <w:tcPr>
            <w:tcW w:w="1076" w:type="dxa"/>
          </w:tcPr>
          <w:p w14:paraId="0485AFDD"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1093229621</w:t>
            </w:r>
          </w:p>
        </w:tc>
        <w:tc>
          <w:tcPr>
            <w:tcW w:w="1208" w:type="dxa"/>
          </w:tcPr>
          <w:p w14:paraId="17B85B2C"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1.4176</w:t>
            </w:r>
          </w:p>
        </w:tc>
        <w:tc>
          <w:tcPr>
            <w:tcW w:w="1314" w:type="dxa"/>
          </w:tcPr>
          <w:p w14:paraId="168E6F11"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0</w:t>
            </w:r>
          </w:p>
        </w:tc>
        <w:tc>
          <w:tcPr>
            <w:tcW w:w="1139" w:type="dxa"/>
          </w:tcPr>
          <w:p w14:paraId="7147AEF9"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6.749</w:t>
            </w:r>
          </w:p>
        </w:tc>
        <w:tc>
          <w:tcPr>
            <w:tcW w:w="1084" w:type="dxa"/>
          </w:tcPr>
          <w:p w14:paraId="66107174"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0</w:t>
            </w:r>
          </w:p>
        </w:tc>
        <w:tc>
          <w:tcPr>
            <w:tcW w:w="1017" w:type="dxa"/>
          </w:tcPr>
          <w:p w14:paraId="1FDD57A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8.1665</w:t>
            </w:r>
          </w:p>
        </w:tc>
        <w:tc>
          <w:tcPr>
            <w:tcW w:w="236" w:type="dxa"/>
          </w:tcPr>
          <w:p w14:paraId="0978FD83"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11.5753</w:t>
            </w:r>
          </w:p>
        </w:tc>
      </w:tr>
      <w:tr w:rsidR="00E873EC" w:rsidRPr="009667C7" w14:paraId="5F7382BB" w14:textId="77777777" w:rsidTr="00861701">
        <w:tc>
          <w:tcPr>
            <w:tcW w:w="960" w:type="dxa"/>
          </w:tcPr>
          <w:p w14:paraId="47D2283F"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MARTA LINA</w:t>
            </w:r>
          </w:p>
          <w:p w14:paraId="645EC4F0"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QUINTERO ACOSTA</w:t>
            </w:r>
          </w:p>
        </w:tc>
        <w:tc>
          <w:tcPr>
            <w:tcW w:w="1076" w:type="dxa"/>
          </w:tcPr>
          <w:p w14:paraId="22B61E81"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CEDULA DE</w:t>
            </w:r>
          </w:p>
          <w:p w14:paraId="3FBD033F"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CIUDADANIA</w:t>
            </w:r>
          </w:p>
        </w:tc>
        <w:tc>
          <w:tcPr>
            <w:tcW w:w="1076" w:type="dxa"/>
          </w:tcPr>
          <w:p w14:paraId="51324D32"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25165202</w:t>
            </w:r>
          </w:p>
        </w:tc>
        <w:tc>
          <w:tcPr>
            <w:tcW w:w="1208" w:type="dxa"/>
          </w:tcPr>
          <w:p w14:paraId="11C851AE"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3.0644</w:t>
            </w:r>
          </w:p>
        </w:tc>
        <w:tc>
          <w:tcPr>
            <w:tcW w:w="1314" w:type="dxa"/>
          </w:tcPr>
          <w:p w14:paraId="4CF243DF"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0</w:t>
            </w:r>
          </w:p>
        </w:tc>
        <w:tc>
          <w:tcPr>
            <w:tcW w:w="1139" w:type="dxa"/>
          </w:tcPr>
          <w:p w14:paraId="05229CAE"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6.749</w:t>
            </w:r>
          </w:p>
        </w:tc>
        <w:tc>
          <w:tcPr>
            <w:tcW w:w="1084" w:type="dxa"/>
          </w:tcPr>
          <w:p w14:paraId="1BE16A72"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0</w:t>
            </w:r>
          </w:p>
        </w:tc>
        <w:tc>
          <w:tcPr>
            <w:tcW w:w="1017" w:type="dxa"/>
          </w:tcPr>
          <w:p w14:paraId="31BD69D6"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9.8134</w:t>
            </w:r>
          </w:p>
        </w:tc>
        <w:tc>
          <w:tcPr>
            <w:tcW w:w="236" w:type="dxa"/>
          </w:tcPr>
          <w:p w14:paraId="4A920917"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11.5753</w:t>
            </w:r>
          </w:p>
        </w:tc>
      </w:tr>
      <w:tr w:rsidR="00E873EC" w:rsidRPr="009667C7" w14:paraId="69232C06" w14:textId="77777777" w:rsidTr="00861701">
        <w:tc>
          <w:tcPr>
            <w:tcW w:w="960" w:type="dxa"/>
          </w:tcPr>
          <w:p w14:paraId="6D6B35CB"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SEBASTIAN</w:t>
            </w:r>
          </w:p>
          <w:p w14:paraId="44FBA23C"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CIFUENTES</w:t>
            </w:r>
          </w:p>
          <w:p w14:paraId="048BAA72"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QUINTERO</w:t>
            </w:r>
          </w:p>
        </w:tc>
        <w:tc>
          <w:tcPr>
            <w:tcW w:w="1076" w:type="dxa"/>
          </w:tcPr>
          <w:p w14:paraId="7D16984C"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CEDULA DE</w:t>
            </w:r>
          </w:p>
          <w:p w14:paraId="66DDA759"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CIUDADANIA</w:t>
            </w:r>
          </w:p>
        </w:tc>
        <w:tc>
          <w:tcPr>
            <w:tcW w:w="1076" w:type="dxa"/>
          </w:tcPr>
          <w:p w14:paraId="6069F864"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1093224332</w:t>
            </w:r>
          </w:p>
        </w:tc>
        <w:tc>
          <w:tcPr>
            <w:tcW w:w="1208" w:type="dxa"/>
          </w:tcPr>
          <w:p w14:paraId="5C6B0638"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1.6619</w:t>
            </w:r>
          </w:p>
        </w:tc>
        <w:tc>
          <w:tcPr>
            <w:tcW w:w="1314" w:type="dxa"/>
          </w:tcPr>
          <w:p w14:paraId="10DA6FC8"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12.5</w:t>
            </w:r>
          </w:p>
        </w:tc>
        <w:tc>
          <w:tcPr>
            <w:tcW w:w="1139" w:type="dxa"/>
          </w:tcPr>
          <w:p w14:paraId="26FF128A"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2.584</w:t>
            </w:r>
          </w:p>
        </w:tc>
        <w:tc>
          <w:tcPr>
            <w:tcW w:w="1084" w:type="dxa"/>
          </w:tcPr>
          <w:p w14:paraId="22770B88"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0</w:t>
            </w:r>
          </w:p>
        </w:tc>
        <w:tc>
          <w:tcPr>
            <w:tcW w:w="1017" w:type="dxa"/>
          </w:tcPr>
          <w:p w14:paraId="4C021A40"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16.7458</w:t>
            </w:r>
          </w:p>
        </w:tc>
        <w:tc>
          <w:tcPr>
            <w:tcW w:w="236" w:type="dxa"/>
          </w:tcPr>
          <w:p w14:paraId="07B5EBC9" w14:textId="77777777" w:rsidR="00E873EC" w:rsidRPr="009667C7" w:rsidRDefault="00E873EC" w:rsidP="00861701">
            <w:pPr>
              <w:spacing w:line="276" w:lineRule="auto"/>
              <w:jc w:val="both"/>
              <w:rPr>
                <w:rFonts w:ascii="Arial Narrow" w:hAnsi="Arial Narrow" w:cs="Courier New"/>
                <w:sz w:val="16"/>
                <w:szCs w:val="16"/>
              </w:rPr>
            </w:pPr>
            <w:r w:rsidRPr="009667C7">
              <w:rPr>
                <w:rFonts w:ascii="Arial Narrow" w:hAnsi="Arial Narrow" w:cs="Courier New"/>
                <w:sz w:val="16"/>
                <w:szCs w:val="16"/>
              </w:rPr>
              <w:t>11.5753</w:t>
            </w:r>
          </w:p>
        </w:tc>
      </w:tr>
    </w:tbl>
    <w:p w14:paraId="15F22056" w14:textId="04CF4230" w:rsidR="00104B19" w:rsidRPr="00955773" w:rsidRDefault="00104B19" w:rsidP="00955773">
      <w:pPr>
        <w:ind w:left="426" w:right="420"/>
        <w:jc w:val="both"/>
        <w:rPr>
          <w:rFonts w:ascii="Gadugi" w:hAnsi="Gadugi" w:cs="Courier New"/>
          <w:sz w:val="22"/>
          <w:szCs w:val="24"/>
        </w:rPr>
      </w:pPr>
    </w:p>
    <w:p w14:paraId="2417245A" w14:textId="5D1B5890" w:rsidR="00F84067" w:rsidRPr="00955773" w:rsidRDefault="00104B19" w:rsidP="00955773">
      <w:pPr>
        <w:ind w:left="426" w:right="420"/>
        <w:jc w:val="both"/>
        <w:rPr>
          <w:rFonts w:ascii="Gadugi" w:hAnsi="Gadugi" w:cs="Courier New"/>
          <w:sz w:val="22"/>
          <w:szCs w:val="24"/>
        </w:rPr>
      </w:pP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t>Tenga en cuenta que muchas personas alcanzaron el puntaje mínimo, pero de acuerdo al presupuesto asignado no es posible realizar la entrega de la indemnización a todas ellas, por consiguiente, es importante indicar que el orden de las personas que obtuvieron el mismo puntaje se determinó teniendo en cuenta el tiempo de la radicación de la solicitud en el aplicativo indemniza.</w:t>
      </w:r>
      <w:r w:rsidRPr="00955773">
        <w:rPr>
          <w:rFonts w:ascii="Gadugi" w:hAnsi="Gadugi" w:cs="Courier New"/>
          <w:sz w:val="22"/>
          <w:szCs w:val="24"/>
        </w:rPr>
        <w:cr/>
      </w:r>
    </w:p>
    <w:p w14:paraId="798F802D" w14:textId="0DFB2FC5" w:rsidR="00104B19" w:rsidRPr="00955773" w:rsidRDefault="00104B19" w:rsidP="00955773">
      <w:pPr>
        <w:ind w:left="426" w:right="420"/>
        <w:jc w:val="both"/>
        <w:rPr>
          <w:rFonts w:ascii="Gadugi" w:hAnsi="Gadugi" w:cs="Courier New"/>
          <w:sz w:val="22"/>
          <w:szCs w:val="24"/>
        </w:rPr>
      </w:pP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t xml:space="preserve">Por lo anterior, al no ser posible realizar el desembolso de la medida de indemnización en la presente vigencia en razón al resultado del método </w:t>
      </w:r>
      <w:r w:rsidRPr="00955773">
        <w:rPr>
          <w:rFonts w:ascii="Gadugi" w:hAnsi="Gadugi" w:cs="Courier New"/>
          <w:sz w:val="22"/>
          <w:szCs w:val="24"/>
        </w:rPr>
        <w:lastRenderedPageBreak/>
        <w:t>técnico y la disponibilidad presupuestal, la Unidad procederá a aplicar cada año este proceso técnico hasta que el resultado permita el desembolso de su indemnización administrativa, puesto que, en ningún caso, el resultado obtenido es acumulado para el siguiente año.</w:t>
      </w:r>
    </w:p>
    <w:p w14:paraId="786446A5" w14:textId="39F71CFB" w:rsidR="00104B19" w:rsidRPr="00955773" w:rsidRDefault="00104B19" w:rsidP="00955773">
      <w:pPr>
        <w:ind w:left="426" w:right="420"/>
        <w:jc w:val="both"/>
        <w:rPr>
          <w:rFonts w:ascii="Gadugi" w:hAnsi="Gadugi" w:cs="Courier New"/>
          <w:sz w:val="22"/>
          <w:szCs w:val="24"/>
        </w:rPr>
      </w:pPr>
    </w:p>
    <w:p w14:paraId="7D2184DE" w14:textId="0FF6FCE1" w:rsidR="00104B19" w:rsidRPr="00955773" w:rsidRDefault="00104B19" w:rsidP="00955773">
      <w:pPr>
        <w:ind w:left="426" w:right="420"/>
        <w:jc w:val="both"/>
        <w:rPr>
          <w:rFonts w:ascii="Gadugi" w:hAnsi="Gadugi" w:cs="Courier New"/>
          <w:sz w:val="22"/>
          <w:szCs w:val="24"/>
        </w:rPr>
      </w:pP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r>
      <w:r w:rsidRPr="00955773">
        <w:rPr>
          <w:rFonts w:ascii="Gadugi" w:hAnsi="Gadugi" w:cs="Courier New"/>
          <w:sz w:val="22"/>
          <w:szCs w:val="24"/>
        </w:rPr>
        <w:tab/>
        <w:t>Cabe resaltar que, si se llegase a contar con uno de los tres criterios de urgencia manifiesta o extrema vulnerabilidad contenidos en los artículos 4 de la Resolución 1049 de 2019 y primero de la Resolución 582 de 26 de abril de 2021, podrá adjuntar en cualquier tiempo, la certificación y/o documentos necesarios con los requisitos establecidos, para priorizar la entrega de la medida.</w:t>
      </w:r>
    </w:p>
    <w:p w14:paraId="3FEDF663" w14:textId="77777777" w:rsidR="0074293F" w:rsidRPr="00176C8F" w:rsidRDefault="0074293F" w:rsidP="00176C8F">
      <w:pPr>
        <w:spacing w:line="276" w:lineRule="auto"/>
        <w:jc w:val="both"/>
        <w:rPr>
          <w:rFonts w:ascii="Gadugi" w:hAnsi="Gadugi" w:cs="Courier New"/>
          <w:sz w:val="24"/>
          <w:szCs w:val="24"/>
        </w:rPr>
      </w:pPr>
    </w:p>
    <w:p w14:paraId="7AB6C8DC" w14:textId="172ABD1C" w:rsidR="0074293F" w:rsidRPr="00176C8F" w:rsidRDefault="0074293F"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Lo anterior fue notificado el 15 de diciembre de 2021, al correo electrónico </w:t>
      </w:r>
      <w:hyperlink r:id="rId12" w:history="1">
        <w:r w:rsidRPr="00176C8F">
          <w:rPr>
            <w:rStyle w:val="Hipervnculo"/>
            <w:rFonts w:ascii="Gadugi" w:hAnsi="Gadugi" w:cs="Courier New"/>
            <w:color w:val="auto"/>
            <w:sz w:val="24"/>
            <w:szCs w:val="24"/>
          </w:rPr>
          <w:t>tutelaspersoneriasantarosa@gmail.com</w:t>
        </w:r>
      </w:hyperlink>
      <w:r w:rsidRPr="00176C8F">
        <w:rPr>
          <w:rFonts w:ascii="Gadugi" w:hAnsi="Gadugi" w:cs="Courier New"/>
          <w:sz w:val="24"/>
          <w:szCs w:val="24"/>
        </w:rPr>
        <w:t>.</w:t>
      </w:r>
      <w:r w:rsidR="001936F3" w:rsidRPr="00176C8F">
        <w:rPr>
          <w:rStyle w:val="Refdenotaalpie"/>
          <w:rFonts w:ascii="Gadugi" w:hAnsi="Gadugi" w:cs="Courier New"/>
          <w:sz w:val="24"/>
          <w:szCs w:val="24"/>
        </w:rPr>
        <w:footnoteReference w:id="15"/>
      </w:r>
      <w:r w:rsidRPr="00176C8F">
        <w:rPr>
          <w:rFonts w:ascii="Gadugi" w:hAnsi="Gadugi" w:cs="Courier New"/>
          <w:sz w:val="24"/>
          <w:szCs w:val="24"/>
        </w:rPr>
        <w:t xml:space="preserve"> </w:t>
      </w:r>
    </w:p>
    <w:p w14:paraId="4D9801C9" w14:textId="5266AE43" w:rsidR="0074293F" w:rsidRPr="00176C8F" w:rsidRDefault="0074293F" w:rsidP="00176C8F">
      <w:pPr>
        <w:spacing w:line="276" w:lineRule="auto"/>
        <w:jc w:val="both"/>
        <w:rPr>
          <w:rFonts w:ascii="Gadugi" w:hAnsi="Gadugi" w:cs="Courier New"/>
          <w:sz w:val="24"/>
          <w:szCs w:val="24"/>
        </w:rPr>
      </w:pPr>
    </w:p>
    <w:p w14:paraId="396057E8" w14:textId="465643A0" w:rsidR="0074293F" w:rsidRPr="00176C8F" w:rsidRDefault="0074293F"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bookmarkStart w:id="2" w:name="_Hlk100310061"/>
      <w:r w:rsidRPr="00176C8F">
        <w:rPr>
          <w:rFonts w:ascii="Gadugi" w:hAnsi="Gadugi" w:cs="Courier New"/>
          <w:sz w:val="24"/>
          <w:szCs w:val="24"/>
        </w:rPr>
        <w:t>El recuento que acaba de hacerse, revela la vulneración al derecho de petición de la accionante, porque hasta el pasado 15 de diciembre, no se le había notificado una respuesta de fondo a su petición, una en la que se le indicara, de manera concreta, si durante la vigencia fiscal del 2021</w:t>
      </w:r>
      <w:r w:rsidR="009E3900" w:rsidRPr="00176C8F">
        <w:rPr>
          <w:rFonts w:ascii="Gadugi" w:hAnsi="Gadugi" w:cs="Courier New"/>
          <w:sz w:val="24"/>
          <w:szCs w:val="24"/>
        </w:rPr>
        <w:t>,</w:t>
      </w:r>
      <w:r w:rsidRPr="00176C8F">
        <w:rPr>
          <w:rFonts w:ascii="Gadugi" w:hAnsi="Gadugi" w:cs="Courier New"/>
          <w:sz w:val="24"/>
          <w:szCs w:val="24"/>
        </w:rPr>
        <w:t xml:space="preserve"> iba a ser posible</w:t>
      </w:r>
      <w:r w:rsidR="001936F3" w:rsidRPr="00176C8F">
        <w:rPr>
          <w:rFonts w:ascii="Gadugi" w:hAnsi="Gadugi" w:cs="Courier New"/>
          <w:sz w:val="24"/>
          <w:szCs w:val="24"/>
        </w:rPr>
        <w:t>, o no,</w:t>
      </w:r>
      <w:r w:rsidRPr="00176C8F">
        <w:rPr>
          <w:rFonts w:ascii="Gadugi" w:hAnsi="Gadugi" w:cs="Courier New"/>
          <w:sz w:val="24"/>
          <w:szCs w:val="24"/>
        </w:rPr>
        <w:t xml:space="preserve"> el desembolso de la indemnización administrativa de la que es acreedora.</w:t>
      </w:r>
      <w:bookmarkEnd w:id="2"/>
    </w:p>
    <w:p w14:paraId="2E16A677" w14:textId="35FCE026" w:rsidR="00862831" w:rsidRPr="00176C8F" w:rsidRDefault="00862831" w:rsidP="00176C8F">
      <w:pPr>
        <w:spacing w:line="276" w:lineRule="auto"/>
        <w:jc w:val="both"/>
        <w:rPr>
          <w:rFonts w:ascii="Gadugi" w:hAnsi="Gadugi" w:cs="Courier New"/>
          <w:sz w:val="24"/>
          <w:szCs w:val="24"/>
        </w:rPr>
      </w:pPr>
    </w:p>
    <w:p w14:paraId="3A5E0324" w14:textId="4E853BC3" w:rsidR="00862831" w:rsidRPr="00176C8F" w:rsidRDefault="00862831" w:rsidP="00176C8F">
      <w:pPr>
        <w:spacing w:line="276" w:lineRule="auto"/>
        <w:jc w:val="both"/>
        <w:rPr>
          <w:rFonts w:ascii="Gadugi" w:eastAsia="Batang" w:hAnsi="Gadugi"/>
          <w:i/>
          <w:iCs/>
          <w:spacing w:val="-3"/>
          <w:sz w:val="24"/>
          <w:szCs w:val="24"/>
          <w:lang w:val="es-419"/>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Así las cosas, y para proteger e</w:t>
      </w:r>
      <w:r w:rsidR="00FB1900" w:rsidRPr="00176C8F">
        <w:rPr>
          <w:rFonts w:ascii="Gadugi" w:hAnsi="Gadugi" w:cs="Courier New"/>
          <w:sz w:val="24"/>
          <w:szCs w:val="24"/>
        </w:rPr>
        <w:t xml:space="preserve">se </w:t>
      </w:r>
      <w:r w:rsidRPr="00176C8F">
        <w:rPr>
          <w:rFonts w:ascii="Gadugi" w:hAnsi="Gadugi" w:cs="Courier New"/>
          <w:sz w:val="24"/>
          <w:szCs w:val="24"/>
        </w:rPr>
        <w:t>derecho</w:t>
      </w:r>
      <w:r w:rsidR="00FB1900" w:rsidRPr="00176C8F">
        <w:rPr>
          <w:rFonts w:ascii="Gadugi" w:hAnsi="Gadugi" w:cs="Courier New"/>
          <w:sz w:val="24"/>
          <w:szCs w:val="24"/>
        </w:rPr>
        <w:t>,</w:t>
      </w:r>
      <w:r w:rsidRPr="00176C8F">
        <w:rPr>
          <w:rFonts w:ascii="Gadugi" w:hAnsi="Gadugi" w:cs="Courier New"/>
          <w:sz w:val="24"/>
          <w:szCs w:val="24"/>
        </w:rPr>
        <w:t xml:space="preserve"> lo que se debió hacer en </w:t>
      </w:r>
      <w:r w:rsidR="009667C7" w:rsidRPr="00176C8F">
        <w:rPr>
          <w:rFonts w:ascii="Gadugi" w:hAnsi="Gadugi" w:cs="Courier New"/>
          <w:sz w:val="24"/>
          <w:szCs w:val="24"/>
        </w:rPr>
        <w:t>primera instancia</w:t>
      </w:r>
      <w:r w:rsidRPr="00176C8F">
        <w:rPr>
          <w:rFonts w:ascii="Gadugi" w:hAnsi="Gadugi" w:cs="Courier New"/>
          <w:sz w:val="24"/>
          <w:szCs w:val="24"/>
        </w:rPr>
        <w:t xml:space="preserve">, fue propiciar la notificación del oficio emitido el 8 de noviembre de 2021, en el que se exponían los resultados de la aplicación de dicho método en el caso de la accionante, antes que determinar el sentido de la respuesta, máxime porque en todo caso, allí se le informó que el método se volvería aplicar en la siguiente vigencia fiscal, esto es en julio del año 2022, debiéndose recordar que </w:t>
      </w:r>
      <w:r w:rsidRPr="00176C8F">
        <w:rPr>
          <w:rFonts w:ascii="Gadugi" w:eastAsia="Batang" w:hAnsi="Gadugi"/>
          <w:i/>
          <w:iCs/>
          <w:spacing w:val="-3"/>
          <w:sz w:val="24"/>
          <w:szCs w:val="24"/>
          <w:lang w:val="es-419"/>
        </w:rPr>
        <w:t>“</w:t>
      </w:r>
      <w:r w:rsidRPr="00955773">
        <w:rPr>
          <w:rFonts w:ascii="Gadugi" w:eastAsia="Batang" w:hAnsi="Gadugi"/>
          <w:i/>
          <w:iCs/>
          <w:spacing w:val="-3"/>
          <w:sz w:val="22"/>
          <w:szCs w:val="24"/>
          <w:lang w:val="es-419"/>
        </w:rPr>
        <w:t>Ese es precisamente el objeto del trámite pendiente de realizar y su resultado debe ponderarse conforme a la disponibilidad presupuestal y el cúmulo de beneficiarios pendientes del pago, para establecer si puede entregarse; por lo tanto, se revocará este aspecto del fallo rebatido</w:t>
      </w:r>
      <w:r w:rsidRPr="00176C8F">
        <w:rPr>
          <w:rFonts w:ascii="Gadugi" w:eastAsia="Batang" w:hAnsi="Gadugi"/>
          <w:i/>
          <w:iCs/>
          <w:spacing w:val="-3"/>
          <w:sz w:val="24"/>
          <w:szCs w:val="24"/>
          <w:lang w:val="es-419"/>
        </w:rPr>
        <w:t>”</w:t>
      </w:r>
      <w:r w:rsidRPr="00176C8F">
        <w:rPr>
          <w:rStyle w:val="Refdenotaalpie"/>
          <w:rFonts w:ascii="Gadugi" w:eastAsia="Batang" w:hAnsi="Gadugi"/>
          <w:i/>
          <w:iCs/>
          <w:spacing w:val="-3"/>
          <w:sz w:val="24"/>
          <w:szCs w:val="24"/>
          <w:lang w:val="es-419"/>
        </w:rPr>
        <w:footnoteReference w:id="16"/>
      </w:r>
      <w:r w:rsidRPr="00176C8F">
        <w:rPr>
          <w:rFonts w:ascii="Gadugi" w:eastAsia="Batang" w:hAnsi="Gadugi"/>
          <w:i/>
          <w:iCs/>
          <w:spacing w:val="-3"/>
          <w:sz w:val="24"/>
          <w:szCs w:val="24"/>
          <w:lang w:val="es-419"/>
        </w:rPr>
        <w:t xml:space="preserve">. </w:t>
      </w:r>
    </w:p>
    <w:p w14:paraId="2714D073" w14:textId="648D91AF" w:rsidR="001936F3" w:rsidRPr="00176C8F" w:rsidRDefault="001936F3" w:rsidP="00176C8F">
      <w:pPr>
        <w:spacing w:line="276" w:lineRule="auto"/>
        <w:jc w:val="both"/>
        <w:rPr>
          <w:rFonts w:ascii="Gadugi" w:eastAsia="Batang" w:hAnsi="Gadugi"/>
          <w:i/>
          <w:spacing w:val="-3"/>
          <w:sz w:val="24"/>
          <w:szCs w:val="24"/>
          <w:lang w:val="es-419"/>
        </w:rPr>
      </w:pPr>
    </w:p>
    <w:p w14:paraId="7FF350C9" w14:textId="505D9E2A" w:rsidR="001936F3" w:rsidRPr="00176C8F" w:rsidRDefault="001936F3" w:rsidP="00176C8F">
      <w:pPr>
        <w:spacing w:line="276" w:lineRule="auto"/>
        <w:jc w:val="both"/>
        <w:rPr>
          <w:rFonts w:ascii="Gadugi" w:hAnsi="Gadugi" w:cs="Courier New"/>
          <w:sz w:val="24"/>
          <w:szCs w:val="24"/>
        </w:rPr>
      </w:pPr>
      <w:r w:rsidRPr="00176C8F">
        <w:rPr>
          <w:rFonts w:ascii="Gadugi" w:eastAsia="Batang" w:hAnsi="Gadugi"/>
          <w:i/>
          <w:spacing w:val="-3"/>
          <w:sz w:val="24"/>
          <w:szCs w:val="24"/>
          <w:lang w:val="es-419"/>
        </w:rPr>
        <w:tab/>
      </w:r>
      <w:r w:rsidRPr="00176C8F">
        <w:rPr>
          <w:rFonts w:ascii="Gadugi" w:eastAsia="Batang" w:hAnsi="Gadugi"/>
          <w:i/>
          <w:spacing w:val="-3"/>
          <w:sz w:val="24"/>
          <w:szCs w:val="24"/>
          <w:lang w:val="es-419"/>
        </w:rPr>
        <w:tab/>
      </w:r>
      <w:r w:rsidRPr="00176C8F">
        <w:rPr>
          <w:rFonts w:ascii="Gadugi" w:eastAsia="Batang" w:hAnsi="Gadugi"/>
          <w:i/>
          <w:spacing w:val="-3"/>
          <w:sz w:val="24"/>
          <w:szCs w:val="24"/>
          <w:lang w:val="es-419"/>
        </w:rPr>
        <w:tab/>
      </w:r>
      <w:r w:rsidRPr="00176C8F">
        <w:rPr>
          <w:rFonts w:ascii="Gadugi" w:eastAsia="Batang" w:hAnsi="Gadugi"/>
          <w:i/>
          <w:spacing w:val="-3"/>
          <w:sz w:val="24"/>
          <w:szCs w:val="24"/>
          <w:lang w:val="es-419"/>
        </w:rPr>
        <w:tab/>
      </w:r>
      <w:r w:rsidR="00FB1900" w:rsidRPr="00176C8F">
        <w:rPr>
          <w:rFonts w:ascii="Gadugi" w:eastAsia="Batang" w:hAnsi="Gadugi"/>
          <w:spacing w:val="-3"/>
          <w:sz w:val="24"/>
          <w:szCs w:val="24"/>
          <w:lang w:val="es-419"/>
        </w:rPr>
        <w:t xml:space="preserve">Esto, </w:t>
      </w:r>
      <w:r w:rsidRPr="00176C8F">
        <w:rPr>
          <w:rFonts w:ascii="Gadugi" w:hAnsi="Gadugi" w:cs="Courier New"/>
          <w:sz w:val="24"/>
          <w:szCs w:val="24"/>
        </w:rPr>
        <w:t>porque según el reciente entendimiento de esta Corporación</w:t>
      </w:r>
      <w:r w:rsidRPr="00176C8F">
        <w:rPr>
          <w:rStyle w:val="Refdenotaalpie"/>
          <w:rFonts w:ascii="Gadugi" w:hAnsi="Gadugi" w:cs="Courier New"/>
          <w:sz w:val="24"/>
          <w:szCs w:val="24"/>
        </w:rPr>
        <w:footnoteReference w:id="17"/>
      </w:r>
      <w:r w:rsidRPr="00176C8F">
        <w:rPr>
          <w:rFonts w:ascii="Gadugi" w:hAnsi="Gadugi" w:cs="Courier New"/>
          <w:sz w:val="24"/>
          <w:szCs w:val="24"/>
        </w:rPr>
        <w:t xml:space="preserve">, que halla fundamento en lo que enseña el Auto 209/17, en este tipo de eventos, a la judicatura le compete, en principio y a menos que se demuestren situaciones de extrema vulnerabilidad, verificar que la UARIV les responda a los interesados de manera concreta y sin evasivas sobre la realización del Método Técnico de Priorización, y los resultados que en cada caso específico arrojen. </w:t>
      </w:r>
    </w:p>
    <w:p w14:paraId="581F0DB7" w14:textId="77777777" w:rsidR="00862831" w:rsidRPr="00176C8F" w:rsidRDefault="00862831" w:rsidP="00176C8F">
      <w:pPr>
        <w:spacing w:line="276" w:lineRule="auto"/>
        <w:jc w:val="both"/>
        <w:rPr>
          <w:rFonts w:ascii="Gadugi" w:hAnsi="Gadugi" w:cs="Courier New"/>
          <w:sz w:val="24"/>
          <w:szCs w:val="24"/>
        </w:rPr>
      </w:pPr>
    </w:p>
    <w:p w14:paraId="408DD63B" w14:textId="633FE244" w:rsidR="0074293F" w:rsidRPr="00176C8F" w:rsidRDefault="0074293F"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Sin embargo, y comoquiera que ya hay </w:t>
      </w:r>
      <w:r w:rsidR="009E3900" w:rsidRPr="00176C8F">
        <w:rPr>
          <w:rFonts w:ascii="Gadugi" w:hAnsi="Gadugi" w:cs="Courier New"/>
          <w:sz w:val="24"/>
          <w:szCs w:val="24"/>
        </w:rPr>
        <w:t xml:space="preserve">certeza </w:t>
      </w:r>
      <w:r w:rsidRPr="00176C8F">
        <w:rPr>
          <w:rFonts w:ascii="Gadugi" w:hAnsi="Gadugi" w:cs="Courier New"/>
          <w:sz w:val="24"/>
          <w:szCs w:val="24"/>
        </w:rPr>
        <w:t xml:space="preserve">de que fue resuelta la solicitud de la </w:t>
      </w:r>
      <w:r w:rsidR="009E3900" w:rsidRPr="00176C8F">
        <w:rPr>
          <w:rFonts w:ascii="Gadugi" w:hAnsi="Gadugi" w:cs="Courier New"/>
          <w:sz w:val="24"/>
          <w:szCs w:val="24"/>
        </w:rPr>
        <w:t xml:space="preserve">accionante y que ello fue notificado, es criterio de la Sala que debe declararse </w:t>
      </w:r>
      <w:bookmarkStart w:id="3" w:name="_Hlk95401591"/>
      <w:r w:rsidR="009E3900" w:rsidRPr="00176C8F">
        <w:rPr>
          <w:rFonts w:ascii="Gadugi" w:hAnsi="Gadugi" w:cs="Courier New"/>
          <w:sz w:val="24"/>
          <w:szCs w:val="24"/>
        </w:rPr>
        <w:t>la carencia actual de objeto por hecho superado.</w:t>
      </w:r>
    </w:p>
    <w:bookmarkEnd w:id="3"/>
    <w:p w14:paraId="24D83541" w14:textId="693E3D69" w:rsidR="001936F3" w:rsidRPr="00176C8F" w:rsidRDefault="001936F3" w:rsidP="00176C8F">
      <w:pPr>
        <w:spacing w:line="276" w:lineRule="auto"/>
        <w:jc w:val="both"/>
        <w:rPr>
          <w:rFonts w:ascii="Gadugi" w:hAnsi="Gadugi" w:cs="Courier New"/>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p>
    <w:p w14:paraId="542E5091" w14:textId="4D03AF2C" w:rsidR="001F55D3" w:rsidRPr="00176C8F" w:rsidRDefault="001936F3" w:rsidP="00176C8F">
      <w:pPr>
        <w:spacing w:line="276" w:lineRule="auto"/>
        <w:jc w:val="both"/>
        <w:rPr>
          <w:rFonts w:ascii="Gadugi" w:hAnsi="Gadugi" w:cs="Courier New"/>
          <w:sz w:val="24"/>
          <w:szCs w:val="24"/>
        </w:rPr>
      </w:pPr>
      <w:r w:rsidRPr="00176C8F">
        <w:rPr>
          <w:rFonts w:ascii="Gadugi" w:hAnsi="Gadugi" w:cs="Courier New"/>
          <w:sz w:val="24"/>
          <w:szCs w:val="24"/>
        </w:rPr>
        <w:lastRenderedPageBreak/>
        <w:tab/>
      </w: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t xml:space="preserve">En conclusión, </w:t>
      </w:r>
      <w:r w:rsidR="001F55D3" w:rsidRPr="00176C8F">
        <w:rPr>
          <w:rFonts w:ascii="Gadugi" w:hAnsi="Gadugi" w:cs="Courier New"/>
          <w:sz w:val="24"/>
          <w:szCs w:val="24"/>
        </w:rPr>
        <w:t xml:space="preserve">por las razones acá expuestas, </w:t>
      </w:r>
      <w:r w:rsidRPr="00176C8F">
        <w:rPr>
          <w:rFonts w:ascii="Gadugi" w:hAnsi="Gadugi" w:cs="Courier New"/>
          <w:sz w:val="24"/>
          <w:szCs w:val="24"/>
        </w:rPr>
        <w:t xml:space="preserve">se confirmará el </w:t>
      </w:r>
      <w:r w:rsidR="001F55D3" w:rsidRPr="00176C8F">
        <w:rPr>
          <w:rFonts w:ascii="Gadugi" w:hAnsi="Gadugi" w:cs="Courier New"/>
          <w:sz w:val="24"/>
          <w:szCs w:val="24"/>
        </w:rPr>
        <w:t>numeral primero del fallo impugnado, en tanto concedió la protección al derecho fundamental de petición</w:t>
      </w:r>
      <w:r w:rsidR="0025114B" w:rsidRPr="00176C8F">
        <w:rPr>
          <w:rFonts w:ascii="Gadugi" w:hAnsi="Gadugi" w:cs="Courier New"/>
          <w:sz w:val="24"/>
          <w:szCs w:val="24"/>
        </w:rPr>
        <w:t>;</w:t>
      </w:r>
      <w:r w:rsidR="001F55D3" w:rsidRPr="00176C8F">
        <w:rPr>
          <w:rFonts w:ascii="Gadugi" w:hAnsi="Gadugi" w:cs="Courier New"/>
          <w:sz w:val="24"/>
          <w:szCs w:val="24"/>
        </w:rPr>
        <w:t xml:space="preserve"> se revocará el numeral segundo que determinó el sentido de la respuesta porque</w:t>
      </w:r>
      <w:r w:rsidR="0025114B" w:rsidRPr="00176C8F">
        <w:rPr>
          <w:rFonts w:ascii="Gadugi" w:hAnsi="Gadugi" w:cs="Courier New"/>
          <w:sz w:val="24"/>
          <w:szCs w:val="24"/>
        </w:rPr>
        <w:t>,</w:t>
      </w:r>
      <w:r w:rsidR="001F55D3" w:rsidRPr="00176C8F">
        <w:rPr>
          <w:rFonts w:ascii="Gadugi" w:hAnsi="Gadugi" w:cs="Courier New"/>
          <w:sz w:val="24"/>
          <w:szCs w:val="24"/>
        </w:rPr>
        <w:t xml:space="preserve"> como quedó visto, lo pertinente era solo propiciar la debida notificación de la contestación. En todo caso, se declarará la carencia actual de objeto por hecho superado.</w:t>
      </w:r>
    </w:p>
    <w:p w14:paraId="3150046D" w14:textId="08F0CCDC" w:rsidR="00193CD5" w:rsidRPr="00176C8F" w:rsidRDefault="00726357" w:rsidP="00176C8F">
      <w:pPr>
        <w:spacing w:line="276" w:lineRule="auto"/>
        <w:jc w:val="both"/>
        <w:rPr>
          <w:rFonts w:ascii="Gadugi" w:hAnsi="Gadugi" w:cs="Century Gothic"/>
          <w:bCs/>
          <w:sz w:val="24"/>
          <w:szCs w:val="24"/>
        </w:rPr>
      </w:pPr>
      <w:r w:rsidRPr="00176C8F">
        <w:rPr>
          <w:rFonts w:ascii="Gadugi" w:hAnsi="Gadugi" w:cs="Courier New"/>
          <w:sz w:val="24"/>
          <w:szCs w:val="24"/>
        </w:rPr>
        <w:tab/>
      </w:r>
      <w:r w:rsidRPr="00176C8F">
        <w:rPr>
          <w:rFonts w:ascii="Gadugi" w:hAnsi="Gadugi" w:cs="Courier New"/>
          <w:sz w:val="24"/>
          <w:szCs w:val="24"/>
        </w:rPr>
        <w:tab/>
      </w:r>
      <w:r w:rsidRPr="00176C8F">
        <w:rPr>
          <w:rFonts w:ascii="Gadugi" w:hAnsi="Gadugi" w:cs="Courier New"/>
          <w:sz w:val="24"/>
          <w:szCs w:val="24"/>
        </w:rPr>
        <w:tab/>
      </w:r>
    </w:p>
    <w:p w14:paraId="3C896DD7" w14:textId="77777777" w:rsidR="00B951A4" w:rsidRPr="00176C8F" w:rsidRDefault="00B951A4" w:rsidP="00176C8F">
      <w:pPr>
        <w:spacing w:line="276" w:lineRule="auto"/>
        <w:ind w:firstLine="2835"/>
        <w:jc w:val="both"/>
        <w:rPr>
          <w:rFonts w:ascii="Gadugi" w:hAnsi="Gadugi" w:cs="Century Gothic"/>
          <w:b/>
          <w:bCs/>
          <w:sz w:val="24"/>
          <w:szCs w:val="24"/>
        </w:rPr>
      </w:pPr>
    </w:p>
    <w:p w14:paraId="2C79A4EF" w14:textId="77777777" w:rsidR="00546A86" w:rsidRPr="00176C8F" w:rsidRDefault="00546A86" w:rsidP="00176C8F">
      <w:pPr>
        <w:spacing w:line="276" w:lineRule="auto"/>
        <w:ind w:firstLine="2835"/>
        <w:jc w:val="both"/>
        <w:rPr>
          <w:rFonts w:ascii="Gadugi" w:hAnsi="Gadugi" w:cs="Century Gothic"/>
          <w:b/>
          <w:bCs/>
          <w:sz w:val="24"/>
          <w:szCs w:val="24"/>
        </w:rPr>
      </w:pPr>
      <w:r w:rsidRPr="00176C8F">
        <w:rPr>
          <w:rFonts w:ascii="Gadugi" w:hAnsi="Gadugi" w:cs="Century Gothic"/>
          <w:b/>
          <w:bCs/>
          <w:sz w:val="24"/>
          <w:szCs w:val="24"/>
        </w:rPr>
        <w:t>DECISIÓN</w:t>
      </w:r>
    </w:p>
    <w:p w14:paraId="51B93F56" w14:textId="77777777" w:rsidR="00546A86" w:rsidRPr="00176C8F" w:rsidRDefault="00546A86" w:rsidP="00176C8F">
      <w:pPr>
        <w:spacing w:line="276" w:lineRule="auto"/>
        <w:ind w:firstLine="2835"/>
        <w:jc w:val="both"/>
        <w:rPr>
          <w:rFonts w:ascii="Gadugi" w:hAnsi="Gadugi" w:cs="Century Gothic"/>
          <w:sz w:val="24"/>
          <w:szCs w:val="24"/>
        </w:rPr>
      </w:pPr>
    </w:p>
    <w:p w14:paraId="4ABFB044" w14:textId="77777777" w:rsidR="00546A86" w:rsidRPr="00176C8F" w:rsidRDefault="00546A86" w:rsidP="00176C8F">
      <w:pPr>
        <w:spacing w:line="276" w:lineRule="auto"/>
        <w:ind w:firstLine="2835"/>
        <w:jc w:val="both"/>
        <w:rPr>
          <w:rFonts w:ascii="Gadugi" w:hAnsi="Gadugi" w:cs="Century Gothic"/>
          <w:sz w:val="24"/>
          <w:szCs w:val="24"/>
        </w:rPr>
      </w:pPr>
    </w:p>
    <w:p w14:paraId="695EDACE" w14:textId="4A2E90D6" w:rsidR="00B951A4" w:rsidRPr="00176C8F" w:rsidRDefault="0075714C" w:rsidP="00176C8F">
      <w:pPr>
        <w:spacing w:line="276" w:lineRule="auto"/>
        <w:jc w:val="both"/>
        <w:rPr>
          <w:rFonts w:ascii="Gadugi" w:hAnsi="Gadugi" w:cs="Century Gothic"/>
          <w:sz w:val="24"/>
          <w:szCs w:val="24"/>
        </w:rPr>
      </w:pPr>
      <w:r w:rsidRPr="00176C8F">
        <w:rPr>
          <w:rFonts w:ascii="Gadugi" w:hAnsi="Gadugi" w:cs="Century Gothic"/>
          <w:sz w:val="24"/>
          <w:szCs w:val="24"/>
        </w:rPr>
        <w:t xml:space="preserve"> </w:t>
      </w: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r>
      <w:r w:rsidR="00546A86" w:rsidRPr="00176C8F">
        <w:rPr>
          <w:rFonts w:ascii="Gadugi" w:hAnsi="Gadugi" w:cs="Century Gothic"/>
          <w:sz w:val="24"/>
          <w:szCs w:val="24"/>
        </w:rPr>
        <w:t xml:space="preserve">Por lo expuesto, el </w:t>
      </w:r>
      <w:r w:rsidR="00546A86" w:rsidRPr="00176C8F">
        <w:rPr>
          <w:rFonts w:ascii="Gadugi" w:hAnsi="Gadugi" w:cs="Century Gothic"/>
          <w:b/>
          <w:bCs/>
          <w:sz w:val="24"/>
          <w:szCs w:val="24"/>
        </w:rPr>
        <w:t>Tribunal Superior del Distrito Judicial de Pereira</w:t>
      </w:r>
      <w:r w:rsidR="00546A86" w:rsidRPr="00176C8F">
        <w:rPr>
          <w:rFonts w:ascii="Gadugi" w:hAnsi="Gadugi" w:cs="Century Gothic"/>
          <w:sz w:val="24"/>
          <w:szCs w:val="24"/>
        </w:rPr>
        <w:t xml:space="preserve">, </w:t>
      </w:r>
      <w:r w:rsidR="00546A86" w:rsidRPr="00176C8F">
        <w:rPr>
          <w:rFonts w:ascii="Gadugi" w:hAnsi="Gadugi" w:cs="Century Gothic"/>
          <w:b/>
          <w:bCs/>
          <w:sz w:val="24"/>
          <w:szCs w:val="24"/>
        </w:rPr>
        <w:t>Sala de Decisión Civil Familia</w:t>
      </w:r>
      <w:r w:rsidR="00546A86" w:rsidRPr="00176C8F">
        <w:rPr>
          <w:rFonts w:ascii="Gadugi" w:hAnsi="Gadugi" w:cs="Century Gothic"/>
          <w:sz w:val="24"/>
          <w:szCs w:val="24"/>
        </w:rPr>
        <w:t>, administrando justicia en nombre de la República y por autoridad de la ley</w:t>
      </w:r>
      <w:r w:rsidR="00061D1E" w:rsidRPr="00176C8F">
        <w:rPr>
          <w:rFonts w:ascii="Gadugi" w:hAnsi="Gadugi" w:cs="Century Gothic"/>
          <w:sz w:val="24"/>
          <w:szCs w:val="24"/>
        </w:rPr>
        <w:t xml:space="preserve"> </w:t>
      </w:r>
      <w:r w:rsidR="001936F3" w:rsidRPr="00176C8F">
        <w:rPr>
          <w:rFonts w:ascii="Gadugi" w:hAnsi="Gadugi" w:cs="Century Gothic"/>
          <w:b/>
          <w:sz w:val="24"/>
          <w:szCs w:val="24"/>
        </w:rPr>
        <w:t>CONFIRMA</w:t>
      </w:r>
      <w:r w:rsidR="001F55D3" w:rsidRPr="00176C8F">
        <w:rPr>
          <w:rFonts w:ascii="Gadugi" w:hAnsi="Gadugi" w:cs="Century Gothic"/>
          <w:b/>
          <w:sz w:val="24"/>
          <w:szCs w:val="24"/>
        </w:rPr>
        <w:t xml:space="preserve"> PARCIALMENTE </w:t>
      </w:r>
      <w:r w:rsidR="00D54F93" w:rsidRPr="00176C8F">
        <w:rPr>
          <w:rFonts w:ascii="Gadugi" w:hAnsi="Gadugi" w:cs="Century Gothic"/>
          <w:sz w:val="24"/>
          <w:szCs w:val="24"/>
        </w:rPr>
        <w:t xml:space="preserve">la sentencia </w:t>
      </w:r>
      <w:r w:rsidR="00672A77" w:rsidRPr="00176C8F">
        <w:rPr>
          <w:rFonts w:ascii="Gadugi" w:hAnsi="Gadugi" w:cs="Century Gothic"/>
          <w:sz w:val="24"/>
          <w:szCs w:val="24"/>
        </w:rPr>
        <w:t>impugnada</w:t>
      </w:r>
      <w:r w:rsidR="001F55D3" w:rsidRPr="00176C8F">
        <w:rPr>
          <w:rFonts w:ascii="Gadugi" w:hAnsi="Gadugi" w:cs="Century Gothic"/>
          <w:sz w:val="24"/>
          <w:szCs w:val="24"/>
        </w:rPr>
        <w:t>.</w:t>
      </w:r>
    </w:p>
    <w:p w14:paraId="77774026" w14:textId="34E4ECEA" w:rsidR="001F55D3" w:rsidRPr="00176C8F" w:rsidRDefault="001F55D3" w:rsidP="00176C8F">
      <w:pPr>
        <w:spacing w:line="276" w:lineRule="auto"/>
        <w:jc w:val="both"/>
        <w:rPr>
          <w:rFonts w:ascii="Gadugi" w:hAnsi="Gadugi" w:cs="Century Gothic"/>
          <w:sz w:val="24"/>
          <w:szCs w:val="24"/>
        </w:rPr>
      </w:pPr>
    </w:p>
    <w:p w14:paraId="4D619144" w14:textId="0EBE54CA" w:rsidR="001F55D3" w:rsidRPr="00176C8F" w:rsidRDefault="001F55D3" w:rsidP="00176C8F">
      <w:pPr>
        <w:spacing w:line="276" w:lineRule="auto"/>
        <w:jc w:val="both"/>
        <w:rPr>
          <w:rFonts w:ascii="Gadugi" w:hAnsi="Gadugi" w:cs="Century Gothic"/>
          <w:sz w:val="24"/>
          <w:szCs w:val="24"/>
        </w:rPr>
      </w:pP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t xml:space="preserve">Por las razones expuestas en esta providencia, se </w:t>
      </w:r>
      <w:r w:rsidRPr="00176C8F">
        <w:rPr>
          <w:rFonts w:ascii="Gadugi" w:hAnsi="Gadugi" w:cs="Century Gothic"/>
          <w:b/>
          <w:sz w:val="24"/>
          <w:szCs w:val="24"/>
        </w:rPr>
        <w:t xml:space="preserve">CONFIRMA </w:t>
      </w:r>
      <w:r w:rsidRPr="00176C8F">
        <w:rPr>
          <w:rFonts w:ascii="Gadugi" w:hAnsi="Gadugi" w:cs="Century Gothic"/>
          <w:sz w:val="24"/>
          <w:szCs w:val="24"/>
        </w:rPr>
        <w:t>el numeral primero.</w:t>
      </w:r>
    </w:p>
    <w:p w14:paraId="36C774FE" w14:textId="1CE00EAD" w:rsidR="001F55D3" w:rsidRPr="00176C8F" w:rsidRDefault="001F55D3" w:rsidP="00176C8F">
      <w:pPr>
        <w:spacing w:line="276" w:lineRule="auto"/>
        <w:jc w:val="both"/>
        <w:rPr>
          <w:rFonts w:ascii="Gadugi" w:hAnsi="Gadugi" w:cs="Century Gothic"/>
          <w:sz w:val="24"/>
          <w:szCs w:val="24"/>
        </w:rPr>
      </w:pPr>
    </w:p>
    <w:p w14:paraId="5A9FCF46" w14:textId="3CB00BB5" w:rsidR="001F55D3" w:rsidRPr="00176C8F" w:rsidRDefault="001F55D3" w:rsidP="00176C8F">
      <w:pPr>
        <w:spacing w:line="276" w:lineRule="auto"/>
        <w:jc w:val="both"/>
        <w:rPr>
          <w:rFonts w:ascii="Gadugi" w:hAnsi="Gadugi" w:cs="Century Gothic"/>
          <w:sz w:val="24"/>
          <w:szCs w:val="24"/>
        </w:rPr>
      </w:pP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r>
      <w:r w:rsidRPr="00176C8F">
        <w:rPr>
          <w:rFonts w:ascii="Gadugi" w:hAnsi="Gadugi" w:cs="Century Gothic"/>
          <w:sz w:val="24"/>
          <w:szCs w:val="24"/>
        </w:rPr>
        <w:tab/>
        <w:t xml:space="preserve">Se </w:t>
      </w:r>
      <w:r w:rsidRPr="00176C8F">
        <w:rPr>
          <w:rFonts w:ascii="Gadugi" w:hAnsi="Gadugi" w:cs="Century Gothic"/>
          <w:b/>
          <w:sz w:val="24"/>
          <w:szCs w:val="24"/>
        </w:rPr>
        <w:t>REVOCA</w:t>
      </w:r>
      <w:r w:rsidRPr="00176C8F">
        <w:rPr>
          <w:rFonts w:ascii="Gadugi" w:hAnsi="Gadugi" w:cs="Century Gothic"/>
          <w:sz w:val="24"/>
          <w:szCs w:val="24"/>
        </w:rPr>
        <w:t xml:space="preserve"> el numeral segundo.</w:t>
      </w:r>
    </w:p>
    <w:p w14:paraId="65A5FCC0" w14:textId="77777777" w:rsidR="00B951A4" w:rsidRPr="00176C8F" w:rsidRDefault="00B951A4" w:rsidP="00176C8F">
      <w:pPr>
        <w:spacing w:line="276" w:lineRule="auto"/>
        <w:jc w:val="both"/>
        <w:rPr>
          <w:rFonts w:ascii="Gadugi" w:hAnsi="Gadugi" w:cs="Arial"/>
          <w:sz w:val="24"/>
          <w:szCs w:val="24"/>
        </w:rPr>
      </w:pPr>
    </w:p>
    <w:p w14:paraId="3EFA5A45" w14:textId="173D3B39" w:rsidR="00B951A4" w:rsidRPr="00176C8F" w:rsidRDefault="00B951A4" w:rsidP="00176C8F">
      <w:pPr>
        <w:spacing w:line="276" w:lineRule="auto"/>
        <w:jc w:val="both"/>
        <w:rPr>
          <w:rFonts w:ascii="Gadugi" w:hAnsi="Gadugi" w:cs="Century Gothic"/>
          <w:sz w:val="24"/>
          <w:szCs w:val="24"/>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 xml:space="preserve">Se </w:t>
      </w:r>
      <w:r w:rsidR="001936F3" w:rsidRPr="00176C8F">
        <w:rPr>
          <w:rFonts w:ascii="Gadugi" w:hAnsi="Gadugi" w:cs="Arial"/>
          <w:b/>
          <w:sz w:val="24"/>
          <w:szCs w:val="24"/>
        </w:rPr>
        <w:t>DECLARA LA CARENCIA ACTUAL DE OBJETO</w:t>
      </w:r>
      <w:r w:rsidR="001936F3" w:rsidRPr="00176C8F">
        <w:rPr>
          <w:rFonts w:ascii="Gadugi" w:hAnsi="Gadugi" w:cs="Arial"/>
          <w:sz w:val="24"/>
          <w:szCs w:val="24"/>
        </w:rPr>
        <w:t xml:space="preserve">, por hecho superado. </w:t>
      </w:r>
    </w:p>
    <w:p w14:paraId="47219DD7" w14:textId="4AFBBEF8" w:rsidR="009F127B" w:rsidRPr="00176C8F" w:rsidRDefault="009F127B" w:rsidP="00176C8F">
      <w:pPr>
        <w:tabs>
          <w:tab w:val="left" w:pos="2835"/>
        </w:tabs>
        <w:spacing w:line="276" w:lineRule="auto"/>
        <w:jc w:val="both"/>
        <w:rPr>
          <w:rFonts w:ascii="Gadugi" w:hAnsi="Gadugi" w:cs="Arial"/>
          <w:sz w:val="24"/>
          <w:szCs w:val="24"/>
          <w:lang w:val="es-419"/>
        </w:rPr>
      </w:pPr>
    </w:p>
    <w:p w14:paraId="1399D1EB" w14:textId="04F4C700" w:rsidR="00DE75CC" w:rsidRPr="00176C8F" w:rsidRDefault="00DE75CC" w:rsidP="00176C8F">
      <w:pPr>
        <w:spacing w:line="276" w:lineRule="auto"/>
        <w:jc w:val="both"/>
        <w:rPr>
          <w:rFonts w:ascii="Gadugi" w:hAnsi="Gadugi" w:cs="Arial"/>
          <w:sz w:val="24"/>
          <w:szCs w:val="24"/>
          <w:lang w:val="es-419"/>
        </w:rPr>
      </w:pP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Notifíquese la decisión a las partes en la forma prevista en el artículo 5° del Decreto 306 de 1992</w:t>
      </w:r>
      <w:r w:rsidRPr="00176C8F">
        <w:rPr>
          <w:rFonts w:ascii="Gadugi" w:hAnsi="Gadugi" w:cs="Arial"/>
          <w:sz w:val="24"/>
          <w:szCs w:val="24"/>
          <w:lang w:val="es-419"/>
        </w:rPr>
        <w:t xml:space="preserve">. </w:t>
      </w:r>
    </w:p>
    <w:p w14:paraId="0F16E8EF" w14:textId="7B0481B0" w:rsidR="00DE75CC" w:rsidRPr="00176C8F" w:rsidRDefault="00DE75CC" w:rsidP="00176C8F">
      <w:pPr>
        <w:spacing w:line="276" w:lineRule="auto"/>
        <w:jc w:val="both"/>
        <w:rPr>
          <w:rFonts w:ascii="Gadugi" w:hAnsi="Gadugi" w:cs="Arial"/>
          <w:sz w:val="24"/>
          <w:szCs w:val="24"/>
          <w:lang w:val="es-419"/>
        </w:rPr>
      </w:pPr>
    </w:p>
    <w:p w14:paraId="7CF2D404" w14:textId="77777777" w:rsidR="00DE75CC" w:rsidRPr="00176C8F" w:rsidRDefault="00DE75CC" w:rsidP="00176C8F">
      <w:pPr>
        <w:spacing w:line="276" w:lineRule="auto"/>
        <w:jc w:val="both"/>
        <w:rPr>
          <w:rFonts w:ascii="Gadugi" w:hAnsi="Gadugi" w:cs="Arial"/>
          <w:sz w:val="24"/>
          <w:szCs w:val="24"/>
        </w:rPr>
      </w:pPr>
      <w:r w:rsidRPr="00176C8F">
        <w:rPr>
          <w:rFonts w:ascii="Gadugi" w:hAnsi="Gadugi" w:cs="Arial"/>
          <w:sz w:val="24"/>
          <w:szCs w:val="24"/>
          <w:lang w:val="es-419"/>
        </w:rPr>
        <w:t xml:space="preserve">  </w:t>
      </w:r>
      <w:r w:rsidRPr="00176C8F">
        <w:rPr>
          <w:rFonts w:ascii="Gadugi" w:hAnsi="Gadugi" w:cs="Arial"/>
          <w:sz w:val="24"/>
          <w:szCs w:val="24"/>
          <w:lang w:val="es-419"/>
        </w:rPr>
        <w:tab/>
      </w:r>
      <w:r w:rsidRPr="00176C8F">
        <w:rPr>
          <w:rFonts w:ascii="Gadugi" w:hAnsi="Gadugi" w:cs="Arial"/>
          <w:sz w:val="24"/>
          <w:szCs w:val="24"/>
          <w:lang w:val="es-419"/>
        </w:rPr>
        <w:tab/>
      </w:r>
      <w:r w:rsidRPr="00176C8F">
        <w:rPr>
          <w:rFonts w:ascii="Gadugi" w:hAnsi="Gadugi" w:cs="Arial"/>
          <w:sz w:val="24"/>
          <w:szCs w:val="24"/>
          <w:lang w:val="es-419"/>
        </w:rPr>
        <w:tab/>
      </w:r>
      <w:r w:rsidRPr="00176C8F">
        <w:rPr>
          <w:rFonts w:ascii="Gadugi" w:hAnsi="Gadugi" w:cs="Arial"/>
          <w:sz w:val="24"/>
          <w:szCs w:val="24"/>
          <w:lang w:val="es-419"/>
        </w:rPr>
        <w:tab/>
        <w:t xml:space="preserve">Oportunamente, </w:t>
      </w:r>
      <w:r w:rsidRPr="00176C8F">
        <w:rPr>
          <w:rFonts w:ascii="Gadugi" w:hAnsi="Gadugi" w:cs="Arial"/>
          <w:sz w:val="24"/>
          <w:szCs w:val="24"/>
        </w:rPr>
        <w:t>remítase el expediente a la Corte Constitucional para su eventual revisión.</w:t>
      </w:r>
    </w:p>
    <w:p w14:paraId="0ABC8A54" w14:textId="185CC574" w:rsidR="00195701" w:rsidRPr="00176C8F" w:rsidRDefault="00195701" w:rsidP="00176C8F">
      <w:pPr>
        <w:spacing w:line="276" w:lineRule="auto"/>
        <w:jc w:val="both"/>
        <w:rPr>
          <w:rFonts w:ascii="Gadugi" w:hAnsi="Gadugi" w:cs="Arial"/>
          <w:sz w:val="24"/>
          <w:szCs w:val="24"/>
        </w:rPr>
      </w:pPr>
    </w:p>
    <w:p w14:paraId="7E136924" w14:textId="77777777" w:rsidR="00DE75CC" w:rsidRPr="00176C8F" w:rsidRDefault="00DE75CC" w:rsidP="00176C8F">
      <w:pPr>
        <w:spacing w:line="276" w:lineRule="auto"/>
        <w:jc w:val="both"/>
        <w:rPr>
          <w:rFonts w:ascii="Gadugi" w:hAnsi="Gadugi" w:cs="Arial"/>
          <w:sz w:val="24"/>
          <w:szCs w:val="24"/>
        </w:rPr>
      </w:pPr>
      <w:r w:rsidRPr="00176C8F">
        <w:rPr>
          <w:rFonts w:ascii="Gadugi" w:hAnsi="Gadugi" w:cs="Arial"/>
          <w:sz w:val="24"/>
          <w:szCs w:val="24"/>
        </w:rPr>
        <w:t xml:space="preserve"> </w:t>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t>Los Magistrados,</w:t>
      </w:r>
    </w:p>
    <w:p w14:paraId="65F2DFDB" w14:textId="76532588" w:rsidR="00DE75CC" w:rsidRDefault="00DE75CC" w:rsidP="00733344">
      <w:pPr>
        <w:spacing w:line="276" w:lineRule="auto"/>
        <w:rPr>
          <w:rFonts w:ascii="Gadugi" w:hAnsi="Gadugi" w:cs="Arial"/>
          <w:sz w:val="24"/>
          <w:szCs w:val="24"/>
        </w:rPr>
      </w:pPr>
    </w:p>
    <w:p w14:paraId="6ED3D24E" w14:textId="77777777" w:rsidR="00733344" w:rsidRPr="00176C8F" w:rsidRDefault="00733344" w:rsidP="00733344">
      <w:pPr>
        <w:spacing w:line="276" w:lineRule="auto"/>
        <w:rPr>
          <w:rFonts w:ascii="Gadugi" w:hAnsi="Gadugi" w:cs="Arial"/>
          <w:sz w:val="24"/>
          <w:szCs w:val="24"/>
        </w:rPr>
      </w:pPr>
    </w:p>
    <w:p w14:paraId="3182B30B" w14:textId="4B5DC33B" w:rsidR="00DE75CC" w:rsidRPr="00176C8F" w:rsidRDefault="00DE75CC" w:rsidP="00176C8F">
      <w:pPr>
        <w:spacing w:line="276" w:lineRule="auto"/>
        <w:jc w:val="both"/>
        <w:rPr>
          <w:rFonts w:ascii="Gadugi" w:hAnsi="Gadugi" w:cs="Arial"/>
          <w:b/>
          <w:bCs/>
          <w:sz w:val="24"/>
          <w:szCs w:val="24"/>
        </w:rPr>
      </w:pPr>
      <w:r w:rsidRPr="00176C8F">
        <w:rPr>
          <w:rFonts w:ascii="Gadugi" w:hAnsi="Gadugi" w:cs="Arial"/>
          <w:sz w:val="24"/>
          <w:szCs w:val="24"/>
        </w:rPr>
        <w:t xml:space="preserve">   </w:t>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sz w:val="24"/>
          <w:szCs w:val="24"/>
        </w:rPr>
        <w:tab/>
      </w:r>
      <w:r w:rsidRPr="00176C8F">
        <w:rPr>
          <w:rFonts w:ascii="Gadugi" w:hAnsi="Gadugi" w:cs="Arial"/>
          <w:b/>
          <w:bCs/>
          <w:sz w:val="24"/>
          <w:szCs w:val="24"/>
        </w:rPr>
        <w:t>JAIME ALBERTO SARAZA NARANJO</w:t>
      </w:r>
    </w:p>
    <w:p w14:paraId="67177FE1" w14:textId="4F37FCEF" w:rsidR="000A7467" w:rsidRDefault="000A7467" w:rsidP="00176C8F">
      <w:pPr>
        <w:spacing w:line="276" w:lineRule="auto"/>
        <w:jc w:val="both"/>
        <w:rPr>
          <w:rFonts w:ascii="Gadugi" w:hAnsi="Gadugi" w:cs="Arial"/>
          <w:b/>
          <w:bCs/>
          <w:sz w:val="24"/>
          <w:szCs w:val="24"/>
        </w:rPr>
      </w:pPr>
    </w:p>
    <w:p w14:paraId="31EF4DBE" w14:textId="77777777" w:rsidR="00733344" w:rsidRPr="00176C8F" w:rsidRDefault="00733344" w:rsidP="00176C8F">
      <w:pPr>
        <w:spacing w:line="276" w:lineRule="auto"/>
        <w:jc w:val="both"/>
        <w:rPr>
          <w:rFonts w:ascii="Gadugi" w:hAnsi="Gadugi" w:cs="Arial"/>
          <w:b/>
          <w:bCs/>
          <w:sz w:val="24"/>
          <w:szCs w:val="24"/>
        </w:rPr>
      </w:pPr>
    </w:p>
    <w:p w14:paraId="05E03E2F" w14:textId="0B91C597" w:rsidR="0092128A" w:rsidRPr="00176C8F" w:rsidRDefault="00DE75CC" w:rsidP="00176C8F">
      <w:pPr>
        <w:spacing w:line="276" w:lineRule="auto"/>
        <w:jc w:val="both"/>
        <w:rPr>
          <w:rFonts w:ascii="Gadugi" w:hAnsi="Gadugi" w:cs="Arial"/>
          <w:b/>
          <w:bCs/>
          <w:sz w:val="24"/>
          <w:szCs w:val="24"/>
          <w:lang w:val="es-CO"/>
        </w:rPr>
      </w:pPr>
      <w:r w:rsidRPr="00176C8F">
        <w:rPr>
          <w:rFonts w:ascii="Gadugi" w:hAnsi="Gadugi" w:cs="Arial"/>
          <w:b/>
          <w:bCs/>
          <w:sz w:val="24"/>
          <w:szCs w:val="24"/>
        </w:rPr>
        <w:t xml:space="preserve">       </w:t>
      </w:r>
      <w:r w:rsidRPr="00176C8F">
        <w:rPr>
          <w:rFonts w:ascii="Gadugi" w:hAnsi="Gadugi"/>
          <w:sz w:val="24"/>
          <w:szCs w:val="24"/>
        </w:rPr>
        <w:tab/>
      </w:r>
      <w:r w:rsidRPr="00176C8F">
        <w:rPr>
          <w:rFonts w:ascii="Gadugi" w:hAnsi="Gadugi"/>
          <w:sz w:val="24"/>
          <w:szCs w:val="24"/>
        </w:rPr>
        <w:tab/>
      </w:r>
      <w:r w:rsidRPr="00176C8F">
        <w:rPr>
          <w:rFonts w:ascii="Gadugi" w:hAnsi="Gadugi"/>
          <w:sz w:val="24"/>
          <w:szCs w:val="24"/>
        </w:rPr>
        <w:tab/>
      </w:r>
      <w:r w:rsidRPr="00176C8F">
        <w:rPr>
          <w:rFonts w:ascii="Gadugi" w:hAnsi="Gadugi"/>
          <w:sz w:val="24"/>
          <w:szCs w:val="24"/>
        </w:rPr>
        <w:tab/>
      </w:r>
      <w:r w:rsidR="00E55B24" w:rsidRPr="00176C8F">
        <w:rPr>
          <w:rFonts w:ascii="Gadugi" w:hAnsi="Gadugi" w:cs="Arial"/>
          <w:b/>
          <w:bCs/>
          <w:sz w:val="24"/>
          <w:szCs w:val="24"/>
        </w:rPr>
        <w:t>CARLOS MAURICIO GARCÍA BARAJAS</w:t>
      </w:r>
      <w:r w:rsidR="00ED0CB6" w:rsidRPr="00176C8F">
        <w:rPr>
          <w:rFonts w:ascii="Gadugi" w:hAnsi="Gadugi" w:cs="Arial"/>
          <w:b/>
          <w:bCs/>
          <w:sz w:val="24"/>
          <w:szCs w:val="24"/>
          <w:lang w:val="es-CO"/>
        </w:rPr>
        <w:t xml:space="preserve"> </w:t>
      </w:r>
      <w:r w:rsidRPr="00176C8F">
        <w:rPr>
          <w:rFonts w:ascii="Gadugi" w:hAnsi="Gadugi" w:cs="Arial"/>
          <w:b/>
          <w:bCs/>
          <w:sz w:val="24"/>
          <w:szCs w:val="24"/>
          <w:lang w:val="es-CO"/>
        </w:rPr>
        <w:t xml:space="preserve"> </w:t>
      </w:r>
      <w:r w:rsidR="00750356" w:rsidRPr="00176C8F">
        <w:rPr>
          <w:rFonts w:ascii="Gadugi" w:hAnsi="Gadugi" w:cs="Arial"/>
          <w:b/>
          <w:bCs/>
          <w:sz w:val="24"/>
          <w:szCs w:val="24"/>
          <w:lang w:val="es-CO"/>
        </w:rPr>
        <w:t xml:space="preserve"> </w:t>
      </w:r>
    </w:p>
    <w:p w14:paraId="7255E614" w14:textId="44864199" w:rsidR="000A7467" w:rsidRDefault="000A7467" w:rsidP="00176C8F">
      <w:pPr>
        <w:spacing w:line="276" w:lineRule="auto"/>
        <w:jc w:val="both"/>
        <w:rPr>
          <w:rFonts w:ascii="Gadugi" w:hAnsi="Gadugi" w:cs="Arial"/>
          <w:b/>
          <w:bCs/>
          <w:sz w:val="24"/>
          <w:szCs w:val="24"/>
          <w:lang w:val="es-CO"/>
        </w:rPr>
      </w:pPr>
    </w:p>
    <w:p w14:paraId="6D8F60AC" w14:textId="77777777" w:rsidR="00733344" w:rsidRPr="00176C8F" w:rsidRDefault="00733344" w:rsidP="00176C8F">
      <w:pPr>
        <w:spacing w:line="276" w:lineRule="auto"/>
        <w:jc w:val="both"/>
        <w:rPr>
          <w:rFonts w:ascii="Gadugi" w:hAnsi="Gadugi" w:cs="Arial"/>
          <w:b/>
          <w:bCs/>
          <w:sz w:val="24"/>
          <w:szCs w:val="24"/>
          <w:lang w:val="es-CO"/>
        </w:rPr>
      </w:pPr>
    </w:p>
    <w:p w14:paraId="2DBF5F40" w14:textId="172225C9" w:rsidR="00A6521F" w:rsidRPr="00176C8F" w:rsidRDefault="0092128A" w:rsidP="00176C8F">
      <w:pPr>
        <w:spacing w:line="276" w:lineRule="auto"/>
        <w:jc w:val="both"/>
        <w:rPr>
          <w:rFonts w:ascii="Gadugi" w:hAnsi="Gadugi" w:cs="Arial"/>
          <w:sz w:val="24"/>
          <w:szCs w:val="24"/>
          <w:lang w:val="es-419"/>
        </w:rPr>
      </w:pPr>
      <w:r w:rsidRPr="00176C8F">
        <w:rPr>
          <w:rFonts w:ascii="Gadugi" w:hAnsi="Gadugi" w:cs="Arial"/>
          <w:b/>
          <w:bCs/>
          <w:sz w:val="24"/>
          <w:szCs w:val="24"/>
          <w:lang w:val="es-CO"/>
        </w:rPr>
        <w:tab/>
      </w:r>
      <w:r w:rsidRPr="00176C8F">
        <w:rPr>
          <w:rFonts w:ascii="Gadugi" w:hAnsi="Gadugi" w:cs="Arial"/>
          <w:b/>
          <w:bCs/>
          <w:sz w:val="24"/>
          <w:szCs w:val="24"/>
          <w:lang w:val="es-CO"/>
        </w:rPr>
        <w:tab/>
      </w:r>
      <w:r w:rsidRPr="00176C8F">
        <w:rPr>
          <w:rFonts w:ascii="Gadugi" w:hAnsi="Gadugi" w:cs="Arial"/>
          <w:b/>
          <w:bCs/>
          <w:sz w:val="24"/>
          <w:szCs w:val="24"/>
          <w:lang w:val="es-CO"/>
        </w:rPr>
        <w:tab/>
      </w:r>
      <w:r w:rsidRPr="00176C8F">
        <w:rPr>
          <w:rFonts w:ascii="Gadugi" w:hAnsi="Gadugi" w:cs="Arial"/>
          <w:b/>
          <w:bCs/>
          <w:sz w:val="24"/>
          <w:szCs w:val="24"/>
          <w:lang w:val="es-CO"/>
        </w:rPr>
        <w:tab/>
      </w:r>
      <w:r w:rsidR="00DE75CC" w:rsidRPr="00176C8F">
        <w:rPr>
          <w:rFonts w:ascii="Gadugi" w:hAnsi="Gadugi" w:cs="Arial"/>
          <w:b/>
          <w:bCs/>
          <w:sz w:val="24"/>
          <w:szCs w:val="24"/>
          <w:lang w:val="es-CO"/>
        </w:rPr>
        <w:t xml:space="preserve">DUBERNEY GRISALES </w:t>
      </w:r>
      <w:r w:rsidR="00ED0CB6" w:rsidRPr="00176C8F">
        <w:rPr>
          <w:rFonts w:ascii="Gadugi" w:hAnsi="Gadugi" w:cs="Arial"/>
          <w:b/>
          <w:bCs/>
          <w:sz w:val="24"/>
          <w:szCs w:val="24"/>
          <w:lang w:val="es-CO"/>
        </w:rPr>
        <w:t>HERRERA</w:t>
      </w:r>
    </w:p>
    <w:sectPr w:rsidR="00A6521F" w:rsidRPr="00176C8F" w:rsidSect="00176C8F">
      <w:headerReference w:type="default" r:id="rId13"/>
      <w:footerReference w:type="default" r:id="rId14"/>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605" w16cex:dateUtc="2021-11-05T13:48:43.058Z"/>
  <w16cex:commentExtensible w16cex:durableId="4A598DD7" w16cex:dateUtc="2021-11-05T18:52:35.877Z"/>
  <w16cex:commentExtensible w16cex:durableId="2CF94369" w16cex:dateUtc="2022-02-11T15:40:25.371Z"/>
  <w16cex:commentExtensible w16cex:durableId="06C066DB" w16cex:dateUtc="2022-02-11T15:43:34.443Z"/>
  <w16cex:commentExtensible w16cex:durableId="5F1CC0A5" w16cex:dateUtc="2022-02-11T18:54:17.69Z"/>
  <w16cex:commentExtensible w16cex:durableId="24B0DBAE" w16cex:dateUtc="2022-02-11T18:54:27.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4AD8" w14:textId="77777777" w:rsidR="00863A7B" w:rsidRDefault="00863A7B">
      <w:r>
        <w:separator/>
      </w:r>
    </w:p>
  </w:endnote>
  <w:endnote w:type="continuationSeparator" w:id="0">
    <w:p w14:paraId="545B7BBC" w14:textId="77777777" w:rsidR="00863A7B" w:rsidRDefault="0086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82351F" w:rsidRPr="00733344" w:rsidRDefault="0082351F">
    <w:pPr>
      <w:pStyle w:val="Piedepgina"/>
      <w:jc w:val="right"/>
      <w:rPr>
        <w:rFonts w:ascii="Century" w:hAnsi="Century"/>
        <w:sz w:val="18"/>
      </w:rPr>
    </w:pPr>
    <w:r w:rsidRPr="00733344">
      <w:rPr>
        <w:rFonts w:ascii="Century" w:hAnsi="Century"/>
        <w:sz w:val="18"/>
      </w:rPr>
      <w:fldChar w:fldCharType="begin"/>
    </w:r>
    <w:r w:rsidRPr="00733344">
      <w:rPr>
        <w:rFonts w:ascii="Century" w:hAnsi="Century"/>
        <w:sz w:val="18"/>
      </w:rPr>
      <w:instrText>PAGE   \* MERGEFORMAT</w:instrText>
    </w:r>
    <w:r w:rsidRPr="00733344">
      <w:rPr>
        <w:rFonts w:ascii="Century" w:hAnsi="Century"/>
        <w:sz w:val="18"/>
      </w:rPr>
      <w:fldChar w:fldCharType="separate"/>
    </w:r>
    <w:r w:rsidR="00F155E7" w:rsidRPr="00733344">
      <w:rPr>
        <w:rFonts w:ascii="Century" w:hAnsi="Century"/>
        <w:noProof/>
        <w:sz w:val="18"/>
      </w:rPr>
      <w:t>7</w:t>
    </w:r>
    <w:r w:rsidRPr="00733344">
      <w:rPr>
        <w:rFonts w:ascii="Century" w:hAnsi="Centur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FF01" w14:textId="77777777" w:rsidR="00863A7B" w:rsidRDefault="00863A7B">
      <w:r>
        <w:separator/>
      </w:r>
    </w:p>
  </w:footnote>
  <w:footnote w:type="continuationSeparator" w:id="0">
    <w:p w14:paraId="484E7FA5" w14:textId="77777777" w:rsidR="00863A7B" w:rsidRDefault="00863A7B">
      <w:r>
        <w:continuationSeparator/>
      </w:r>
    </w:p>
  </w:footnote>
  <w:footnote w:id="1">
    <w:p w14:paraId="486AB236" w14:textId="1F4D8FF2" w:rsidR="00862831" w:rsidRPr="00733344" w:rsidRDefault="00862831"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Pr="00733344">
        <w:rPr>
          <w:rFonts w:ascii="Century" w:hAnsi="Century"/>
          <w:sz w:val="18"/>
          <w:szCs w:val="26"/>
          <w:lang w:val="es-CO"/>
        </w:rPr>
        <w:t>Documento 02., C. 1.</w:t>
      </w:r>
    </w:p>
  </w:footnote>
  <w:footnote w:id="2">
    <w:p w14:paraId="4949C184" w14:textId="266370D0" w:rsidR="00862831" w:rsidRPr="00733344" w:rsidRDefault="00862831"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Pr="00733344">
        <w:rPr>
          <w:rFonts w:ascii="Century" w:hAnsi="Century"/>
          <w:sz w:val="18"/>
          <w:szCs w:val="26"/>
          <w:lang w:val="es-CO"/>
        </w:rPr>
        <w:t>Documento 04., C. 1.</w:t>
      </w:r>
    </w:p>
  </w:footnote>
  <w:footnote w:id="3">
    <w:p w14:paraId="1C0BF699" w14:textId="1CD5B099" w:rsidR="00862831" w:rsidRPr="00733344" w:rsidRDefault="00862831"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Pr="00733344">
        <w:rPr>
          <w:rFonts w:ascii="Century" w:hAnsi="Century"/>
          <w:sz w:val="18"/>
          <w:szCs w:val="26"/>
          <w:lang w:val="es-CO"/>
        </w:rPr>
        <w:t>Documento 06., C. 1.</w:t>
      </w:r>
    </w:p>
  </w:footnote>
  <w:footnote w:id="4">
    <w:p w14:paraId="78D15048" w14:textId="2678B33D" w:rsidR="00862831" w:rsidRPr="00733344" w:rsidRDefault="00862831"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Pr="00733344">
        <w:rPr>
          <w:rFonts w:ascii="Century" w:hAnsi="Century"/>
          <w:sz w:val="18"/>
          <w:szCs w:val="26"/>
          <w:lang w:val="es-CO"/>
        </w:rPr>
        <w:t>Documento 07., C. 1.</w:t>
      </w:r>
    </w:p>
  </w:footnote>
  <w:footnote w:id="5">
    <w:p w14:paraId="1239B33B" w14:textId="0F5E2037" w:rsidR="00862831" w:rsidRPr="00733344" w:rsidRDefault="00862831"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Pr="00733344">
        <w:rPr>
          <w:rFonts w:ascii="Century" w:hAnsi="Century"/>
          <w:sz w:val="18"/>
          <w:szCs w:val="26"/>
          <w:lang w:val="es-CO"/>
        </w:rPr>
        <w:t>Documento 09., C. 1.</w:t>
      </w:r>
    </w:p>
  </w:footnote>
  <w:footnote w:id="6">
    <w:p w14:paraId="36E3739F" w14:textId="1D48657F"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Documento 08., C. 2.</w:t>
      </w:r>
    </w:p>
  </w:footnote>
  <w:footnote w:id="7">
    <w:p w14:paraId="792899EF" w14:textId="37404A16"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Documento 03., C.1.</w:t>
      </w:r>
    </w:p>
  </w:footnote>
  <w:footnote w:id="8">
    <w:p w14:paraId="5667AD5D" w14:textId="77777777" w:rsidR="009F127B" w:rsidRPr="00733344" w:rsidRDefault="009F127B" w:rsidP="00733344">
      <w:pPr>
        <w:pStyle w:val="Textonotapie"/>
        <w:jc w:val="both"/>
        <w:rPr>
          <w:rFonts w:ascii="Century" w:hAnsi="Century" w:cstheme="majorHAnsi"/>
          <w:sz w:val="18"/>
          <w:szCs w:val="26"/>
          <w:lang w:val="es-CO"/>
        </w:rPr>
      </w:pPr>
      <w:r w:rsidRPr="00733344">
        <w:rPr>
          <w:rStyle w:val="Refdenotaalpie"/>
          <w:rFonts w:ascii="Century" w:hAnsi="Century" w:cstheme="majorHAnsi"/>
          <w:sz w:val="18"/>
          <w:szCs w:val="26"/>
        </w:rPr>
        <w:footnoteRef/>
      </w:r>
      <w:r w:rsidRPr="00733344">
        <w:rPr>
          <w:rFonts w:ascii="Century" w:hAnsi="Century" w:cstheme="majorHAnsi"/>
          <w:sz w:val="18"/>
          <w:szCs w:val="26"/>
        </w:rPr>
        <w:t xml:space="preserve"> Sentencia T-192 de 2007, T-</w:t>
      </w:r>
      <w:r w:rsidRPr="00733344">
        <w:rPr>
          <w:rFonts w:ascii="Century" w:hAnsi="Century" w:cstheme="majorHAnsi"/>
          <w:sz w:val="18"/>
          <w:szCs w:val="26"/>
          <w:lang w:val="es-419"/>
        </w:rPr>
        <w:t xml:space="preserve">481 de 2016, T-274 de 2020, entre otras. </w:t>
      </w:r>
    </w:p>
  </w:footnote>
  <w:footnote w:id="9">
    <w:p w14:paraId="11446C74" w14:textId="01BB5631"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Documento 08., C. 2.</w:t>
      </w:r>
    </w:p>
  </w:footnote>
  <w:footnote w:id="10">
    <w:p w14:paraId="4205BE67" w14:textId="453BABB0"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Pág. 10, Documento 06., C. 1.</w:t>
      </w:r>
    </w:p>
  </w:footnote>
  <w:footnote w:id="11">
    <w:p w14:paraId="64EE8AA6" w14:textId="4B236301"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Pág. 11, Documento 06., C. 1.</w:t>
      </w:r>
    </w:p>
  </w:footnote>
  <w:footnote w:id="12">
    <w:p w14:paraId="4538BA2E" w14:textId="755268BD"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Así se lee en el </w:t>
      </w:r>
      <w:proofErr w:type="spellStart"/>
      <w:r w:rsidRPr="00733344">
        <w:rPr>
          <w:rFonts w:ascii="Century" w:hAnsi="Century"/>
          <w:sz w:val="18"/>
          <w:szCs w:val="26"/>
        </w:rPr>
        <w:t>el</w:t>
      </w:r>
      <w:proofErr w:type="spellEnd"/>
      <w:r w:rsidRPr="00733344">
        <w:rPr>
          <w:rFonts w:ascii="Century" w:hAnsi="Century"/>
          <w:sz w:val="18"/>
          <w:szCs w:val="26"/>
        </w:rPr>
        <w:t xml:space="preserve"> primer párrafo de la contestación visible en la pág. 15 del Documento 09, C. 1. </w:t>
      </w:r>
    </w:p>
  </w:footnote>
  <w:footnote w:id="13">
    <w:p w14:paraId="2662B2D9" w14:textId="48D0D088" w:rsidR="00FC4375" w:rsidRPr="00733344" w:rsidRDefault="00FC4375"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w:t>
      </w:r>
      <w:r w:rsidR="001936F3" w:rsidRPr="00733344">
        <w:rPr>
          <w:rFonts w:ascii="Century" w:hAnsi="Century"/>
          <w:sz w:val="18"/>
          <w:szCs w:val="26"/>
        </w:rPr>
        <w:t>Pág. 15 del Documento 09, C. 1.</w:t>
      </w:r>
    </w:p>
  </w:footnote>
  <w:footnote w:id="14">
    <w:p w14:paraId="6806DD3B" w14:textId="53E87058" w:rsidR="001936F3" w:rsidRPr="00733344" w:rsidRDefault="001936F3"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Pág. 15 del Documento 09, C. 1</w:t>
      </w:r>
    </w:p>
  </w:footnote>
  <w:footnote w:id="15">
    <w:p w14:paraId="5DA5862E" w14:textId="66A1A695" w:rsidR="001936F3" w:rsidRPr="00733344" w:rsidRDefault="001936F3"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Pág. 22 del Documento 09, C. 1</w:t>
      </w:r>
    </w:p>
  </w:footnote>
  <w:footnote w:id="16">
    <w:p w14:paraId="1F56A6AF" w14:textId="41AB76F3" w:rsidR="00862831" w:rsidRPr="00733344" w:rsidRDefault="00862831" w:rsidP="00733344">
      <w:pPr>
        <w:pStyle w:val="Textonotapie"/>
        <w:jc w:val="both"/>
        <w:rPr>
          <w:rFonts w:ascii="Century" w:hAnsi="Century" w:cstheme="majorHAnsi"/>
          <w:sz w:val="18"/>
          <w:szCs w:val="26"/>
          <w:lang w:val="es-CO"/>
        </w:rPr>
      </w:pPr>
      <w:r w:rsidRPr="00733344">
        <w:rPr>
          <w:rStyle w:val="Refdenotaalpie"/>
          <w:rFonts w:ascii="Century" w:hAnsi="Century" w:cstheme="majorHAnsi"/>
          <w:sz w:val="18"/>
          <w:szCs w:val="26"/>
        </w:rPr>
        <w:footnoteRef/>
      </w:r>
      <w:r w:rsidRPr="00733344">
        <w:rPr>
          <w:rFonts w:ascii="Century" w:hAnsi="Century" w:cstheme="majorHAnsi"/>
          <w:sz w:val="18"/>
          <w:szCs w:val="26"/>
        </w:rPr>
        <w:t xml:space="preserve"> </w:t>
      </w:r>
      <w:r w:rsidRPr="00733344">
        <w:rPr>
          <w:rFonts w:ascii="Century" w:hAnsi="Century" w:cstheme="majorHAnsi"/>
          <w:sz w:val="18"/>
          <w:szCs w:val="26"/>
          <w:lang w:val="es-CO"/>
        </w:rPr>
        <w:t xml:space="preserve">Sentencia </w:t>
      </w:r>
      <w:r w:rsidR="00771FB8" w:rsidRPr="00733344">
        <w:rPr>
          <w:rFonts w:ascii="Century" w:hAnsi="Century" w:cstheme="majorHAnsi"/>
          <w:sz w:val="18"/>
          <w:szCs w:val="26"/>
          <w:lang w:val="es-CO"/>
        </w:rPr>
        <w:t>TSP.</w:t>
      </w:r>
      <w:r w:rsidRPr="00733344">
        <w:rPr>
          <w:rFonts w:ascii="Century" w:hAnsi="Century" w:cstheme="majorHAnsi"/>
          <w:sz w:val="18"/>
          <w:szCs w:val="26"/>
          <w:lang w:val="es-CO"/>
        </w:rPr>
        <w:t xml:space="preserve">ST2-0218-2021 del 7 de julio de 2021. M.P. </w:t>
      </w:r>
      <w:proofErr w:type="spellStart"/>
      <w:r w:rsidRPr="00733344">
        <w:rPr>
          <w:rFonts w:ascii="Century" w:hAnsi="Century" w:cstheme="majorHAnsi"/>
          <w:sz w:val="18"/>
          <w:szCs w:val="26"/>
          <w:lang w:val="es-CO"/>
        </w:rPr>
        <w:t>Duberney</w:t>
      </w:r>
      <w:proofErr w:type="spellEnd"/>
      <w:r w:rsidRPr="00733344">
        <w:rPr>
          <w:rFonts w:ascii="Century" w:hAnsi="Century" w:cstheme="majorHAnsi"/>
          <w:sz w:val="18"/>
          <w:szCs w:val="26"/>
          <w:lang w:val="es-CO"/>
        </w:rPr>
        <w:t xml:space="preserve"> Grisales Herrera. </w:t>
      </w:r>
    </w:p>
  </w:footnote>
  <w:footnote w:id="17">
    <w:p w14:paraId="346F1E37" w14:textId="272FB6C1" w:rsidR="001936F3" w:rsidRPr="00733344" w:rsidRDefault="001936F3" w:rsidP="00733344">
      <w:pPr>
        <w:pStyle w:val="Textonotapie"/>
        <w:jc w:val="both"/>
        <w:rPr>
          <w:rFonts w:ascii="Century" w:hAnsi="Century"/>
          <w:sz w:val="18"/>
          <w:szCs w:val="26"/>
          <w:lang w:val="es-CO"/>
        </w:rPr>
      </w:pPr>
      <w:r w:rsidRPr="00733344">
        <w:rPr>
          <w:rStyle w:val="Refdenotaalpie"/>
          <w:rFonts w:ascii="Century" w:hAnsi="Century"/>
          <w:sz w:val="18"/>
          <w:szCs w:val="26"/>
        </w:rPr>
        <w:footnoteRef/>
      </w:r>
      <w:r w:rsidRPr="00733344">
        <w:rPr>
          <w:rFonts w:ascii="Century" w:hAnsi="Century"/>
          <w:sz w:val="18"/>
          <w:szCs w:val="26"/>
        </w:rPr>
        <w:t xml:space="preserve"> Sentencia TSP.ST2-0374-2021 del 5 de noviembre de 2021. </w:t>
      </w:r>
      <w:r w:rsidR="00A67D10" w:rsidRPr="00733344">
        <w:rPr>
          <w:rFonts w:ascii="Century" w:hAnsi="Century"/>
          <w:sz w:val="18"/>
          <w:szCs w:val="26"/>
        </w:rPr>
        <w:t xml:space="preserve">M.P. Jaime Alberto Saraza Naranjo. </w:t>
      </w:r>
      <w:r w:rsidRPr="00733344">
        <w:rPr>
          <w:rFonts w:ascii="Century" w:hAnsi="Century"/>
          <w:sz w:val="18"/>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9C4"/>
    <w:rsid w:val="00005AC5"/>
    <w:rsid w:val="00012798"/>
    <w:rsid w:val="0001650D"/>
    <w:rsid w:val="00016830"/>
    <w:rsid w:val="00016931"/>
    <w:rsid w:val="000175EA"/>
    <w:rsid w:val="00022465"/>
    <w:rsid w:val="000228F3"/>
    <w:rsid w:val="00023301"/>
    <w:rsid w:val="00023F72"/>
    <w:rsid w:val="00025E4C"/>
    <w:rsid w:val="0002639C"/>
    <w:rsid w:val="000265D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CBB"/>
    <w:rsid w:val="00051008"/>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7604"/>
    <w:rsid w:val="000805B9"/>
    <w:rsid w:val="0008267E"/>
    <w:rsid w:val="00083EE6"/>
    <w:rsid w:val="00085203"/>
    <w:rsid w:val="00085E48"/>
    <w:rsid w:val="00087089"/>
    <w:rsid w:val="00087511"/>
    <w:rsid w:val="000875B2"/>
    <w:rsid w:val="000876B7"/>
    <w:rsid w:val="00090F08"/>
    <w:rsid w:val="0009248D"/>
    <w:rsid w:val="00094007"/>
    <w:rsid w:val="000940F6"/>
    <w:rsid w:val="00095778"/>
    <w:rsid w:val="00095E3D"/>
    <w:rsid w:val="000961AE"/>
    <w:rsid w:val="0009699C"/>
    <w:rsid w:val="00097912"/>
    <w:rsid w:val="000A13B4"/>
    <w:rsid w:val="000A1EEC"/>
    <w:rsid w:val="000A27C6"/>
    <w:rsid w:val="000A2B20"/>
    <w:rsid w:val="000A4A29"/>
    <w:rsid w:val="000A5AFF"/>
    <w:rsid w:val="000A5F3D"/>
    <w:rsid w:val="000A6382"/>
    <w:rsid w:val="000A6772"/>
    <w:rsid w:val="000A7467"/>
    <w:rsid w:val="000B2918"/>
    <w:rsid w:val="000B3128"/>
    <w:rsid w:val="000B35B1"/>
    <w:rsid w:val="000B5EA2"/>
    <w:rsid w:val="000C1581"/>
    <w:rsid w:val="000C2210"/>
    <w:rsid w:val="000C2F25"/>
    <w:rsid w:val="000C473B"/>
    <w:rsid w:val="000C68F6"/>
    <w:rsid w:val="000C75AE"/>
    <w:rsid w:val="000C7FE4"/>
    <w:rsid w:val="000D1ACD"/>
    <w:rsid w:val="000D24BE"/>
    <w:rsid w:val="000D39D1"/>
    <w:rsid w:val="000D4537"/>
    <w:rsid w:val="000D593E"/>
    <w:rsid w:val="000D7C35"/>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0F74FE"/>
    <w:rsid w:val="00102E7D"/>
    <w:rsid w:val="00103DB6"/>
    <w:rsid w:val="00104B19"/>
    <w:rsid w:val="00104EFB"/>
    <w:rsid w:val="0010648B"/>
    <w:rsid w:val="001076D4"/>
    <w:rsid w:val="00107BF2"/>
    <w:rsid w:val="001117F7"/>
    <w:rsid w:val="00112C53"/>
    <w:rsid w:val="00112E58"/>
    <w:rsid w:val="001133D3"/>
    <w:rsid w:val="001136A4"/>
    <w:rsid w:val="0011429E"/>
    <w:rsid w:val="00114617"/>
    <w:rsid w:val="00114FF4"/>
    <w:rsid w:val="0011602C"/>
    <w:rsid w:val="00125C65"/>
    <w:rsid w:val="00126A40"/>
    <w:rsid w:val="00126C9C"/>
    <w:rsid w:val="001272B2"/>
    <w:rsid w:val="001309B8"/>
    <w:rsid w:val="0013100A"/>
    <w:rsid w:val="001318CB"/>
    <w:rsid w:val="001361AA"/>
    <w:rsid w:val="00141422"/>
    <w:rsid w:val="00141B74"/>
    <w:rsid w:val="00144929"/>
    <w:rsid w:val="00145E70"/>
    <w:rsid w:val="00150197"/>
    <w:rsid w:val="00151D2D"/>
    <w:rsid w:val="0015269B"/>
    <w:rsid w:val="0015306E"/>
    <w:rsid w:val="0015378A"/>
    <w:rsid w:val="001553F8"/>
    <w:rsid w:val="00156609"/>
    <w:rsid w:val="001577F1"/>
    <w:rsid w:val="001615E2"/>
    <w:rsid w:val="0016315C"/>
    <w:rsid w:val="0016334F"/>
    <w:rsid w:val="00164F89"/>
    <w:rsid w:val="001654C3"/>
    <w:rsid w:val="00166675"/>
    <w:rsid w:val="00166FB9"/>
    <w:rsid w:val="00167F69"/>
    <w:rsid w:val="001730FB"/>
    <w:rsid w:val="00173309"/>
    <w:rsid w:val="001758B6"/>
    <w:rsid w:val="00176378"/>
    <w:rsid w:val="00176C8F"/>
    <w:rsid w:val="00180557"/>
    <w:rsid w:val="00181EB9"/>
    <w:rsid w:val="001848E1"/>
    <w:rsid w:val="00185973"/>
    <w:rsid w:val="00186537"/>
    <w:rsid w:val="00186772"/>
    <w:rsid w:val="00186F40"/>
    <w:rsid w:val="00191A0D"/>
    <w:rsid w:val="00192E42"/>
    <w:rsid w:val="0019346D"/>
    <w:rsid w:val="001936F3"/>
    <w:rsid w:val="00193CD5"/>
    <w:rsid w:val="00194148"/>
    <w:rsid w:val="001942E8"/>
    <w:rsid w:val="0019443D"/>
    <w:rsid w:val="00195701"/>
    <w:rsid w:val="00195D01"/>
    <w:rsid w:val="001A1BE3"/>
    <w:rsid w:val="001A3DAE"/>
    <w:rsid w:val="001A3EAA"/>
    <w:rsid w:val="001A4E3C"/>
    <w:rsid w:val="001A53C4"/>
    <w:rsid w:val="001A5D2A"/>
    <w:rsid w:val="001A6E59"/>
    <w:rsid w:val="001B2A48"/>
    <w:rsid w:val="001B5577"/>
    <w:rsid w:val="001B75B8"/>
    <w:rsid w:val="001C001A"/>
    <w:rsid w:val="001C1CA0"/>
    <w:rsid w:val="001C2BB7"/>
    <w:rsid w:val="001C3EFC"/>
    <w:rsid w:val="001C5603"/>
    <w:rsid w:val="001C6BBA"/>
    <w:rsid w:val="001C7C97"/>
    <w:rsid w:val="001D1829"/>
    <w:rsid w:val="001D19EC"/>
    <w:rsid w:val="001D2A0B"/>
    <w:rsid w:val="001D592D"/>
    <w:rsid w:val="001D615A"/>
    <w:rsid w:val="001D635E"/>
    <w:rsid w:val="001D6DF1"/>
    <w:rsid w:val="001D71FB"/>
    <w:rsid w:val="001D77AC"/>
    <w:rsid w:val="001D794E"/>
    <w:rsid w:val="001E1AB9"/>
    <w:rsid w:val="001E4CAA"/>
    <w:rsid w:val="001E5237"/>
    <w:rsid w:val="001E7426"/>
    <w:rsid w:val="001E7E62"/>
    <w:rsid w:val="001F0FB8"/>
    <w:rsid w:val="001F3183"/>
    <w:rsid w:val="001F355F"/>
    <w:rsid w:val="001F36FB"/>
    <w:rsid w:val="001F55D3"/>
    <w:rsid w:val="001F5E9E"/>
    <w:rsid w:val="00200B41"/>
    <w:rsid w:val="002014C3"/>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62D8"/>
    <w:rsid w:val="00226693"/>
    <w:rsid w:val="002279DC"/>
    <w:rsid w:val="00227F6E"/>
    <w:rsid w:val="00231080"/>
    <w:rsid w:val="002359E9"/>
    <w:rsid w:val="00242412"/>
    <w:rsid w:val="00242AEC"/>
    <w:rsid w:val="0024659A"/>
    <w:rsid w:val="00246C1B"/>
    <w:rsid w:val="00247101"/>
    <w:rsid w:val="00247631"/>
    <w:rsid w:val="00247A2B"/>
    <w:rsid w:val="0025114B"/>
    <w:rsid w:val="00253AC0"/>
    <w:rsid w:val="002548C3"/>
    <w:rsid w:val="0026345D"/>
    <w:rsid w:val="002644E7"/>
    <w:rsid w:val="00265289"/>
    <w:rsid w:val="00265408"/>
    <w:rsid w:val="00265FAD"/>
    <w:rsid w:val="00266ABE"/>
    <w:rsid w:val="00266DDB"/>
    <w:rsid w:val="0026742B"/>
    <w:rsid w:val="00271537"/>
    <w:rsid w:val="00275A21"/>
    <w:rsid w:val="0027623E"/>
    <w:rsid w:val="00276A0E"/>
    <w:rsid w:val="00277EE7"/>
    <w:rsid w:val="00280E57"/>
    <w:rsid w:val="00281ADC"/>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214A"/>
    <w:rsid w:val="002D24E4"/>
    <w:rsid w:val="002D2D38"/>
    <w:rsid w:val="002D3B4C"/>
    <w:rsid w:val="002D459B"/>
    <w:rsid w:val="002D4C3E"/>
    <w:rsid w:val="002D5939"/>
    <w:rsid w:val="002D6983"/>
    <w:rsid w:val="002E0E6B"/>
    <w:rsid w:val="002E112E"/>
    <w:rsid w:val="002E22DB"/>
    <w:rsid w:val="002E46E8"/>
    <w:rsid w:val="002E50A8"/>
    <w:rsid w:val="002E62FC"/>
    <w:rsid w:val="002E6E26"/>
    <w:rsid w:val="002F03B6"/>
    <w:rsid w:val="002F1016"/>
    <w:rsid w:val="002F1B05"/>
    <w:rsid w:val="002F2516"/>
    <w:rsid w:val="002F2C43"/>
    <w:rsid w:val="002F32BC"/>
    <w:rsid w:val="002F3E2B"/>
    <w:rsid w:val="002F6764"/>
    <w:rsid w:val="002F6B7F"/>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6099"/>
    <w:rsid w:val="0033012D"/>
    <w:rsid w:val="00330348"/>
    <w:rsid w:val="00333BED"/>
    <w:rsid w:val="003352D5"/>
    <w:rsid w:val="00337B32"/>
    <w:rsid w:val="003438EC"/>
    <w:rsid w:val="0034478C"/>
    <w:rsid w:val="0034478D"/>
    <w:rsid w:val="00345292"/>
    <w:rsid w:val="0034716A"/>
    <w:rsid w:val="003471E5"/>
    <w:rsid w:val="003502FF"/>
    <w:rsid w:val="003505C1"/>
    <w:rsid w:val="003509E6"/>
    <w:rsid w:val="00352DAC"/>
    <w:rsid w:val="00353CD2"/>
    <w:rsid w:val="00353F0E"/>
    <w:rsid w:val="00354725"/>
    <w:rsid w:val="00354C26"/>
    <w:rsid w:val="00356163"/>
    <w:rsid w:val="003571DB"/>
    <w:rsid w:val="00360693"/>
    <w:rsid w:val="00360C97"/>
    <w:rsid w:val="003634A6"/>
    <w:rsid w:val="0036375A"/>
    <w:rsid w:val="00363FF8"/>
    <w:rsid w:val="00366C5E"/>
    <w:rsid w:val="00367796"/>
    <w:rsid w:val="003726B6"/>
    <w:rsid w:val="00373E3A"/>
    <w:rsid w:val="003747D4"/>
    <w:rsid w:val="00376266"/>
    <w:rsid w:val="00381277"/>
    <w:rsid w:val="00382230"/>
    <w:rsid w:val="00386D2A"/>
    <w:rsid w:val="003871C0"/>
    <w:rsid w:val="00393F8B"/>
    <w:rsid w:val="003940E1"/>
    <w:rsid w:val="00394E86"/>
    <w:rsid w:val="0039698F"/>
    <w:rsid w:val="003A1FC1"/>
    <w:rsid w:val="003A1FF9"/>
    <w:rsid w:val="003A220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7033"/>
    <w:rsid w:val="003C78DC"/>
    <w:rsid w:val="003C7A40"/>
    <w:rsid w:val="003C7FE0"/>
    <w:rsid w:val="003D1661"/>
    <w:rsid w:val="003D3003"/>
    <w:rsid w:val="003D59BF"/>
    <w:rsid w:val="003D5EAD"/>
    <w:rsid w:val="003E0536"/>
    <w:rsid w:val="003E2D39"/>
    <w:rsid w:val="003E4112"/>
    <w:rsid w:val="003E514C"/>
    <w:rsid w:val="003E6437"/>
    <w:rsid w:val="003F0784"/>
    <w:rsid w:val="003F55F6"/>
    <w:rsid w:val="003F70CB"/>
    <w:rsid w:val="004000C2"/>
    <w:rsid w:val="00400DF8"/>
    <w:rsid w:val="00401E5E"/>
    <w:rsid w:val="00402CE4"/>
    <w:rsid w:val="00404030"/>
    <w:rsid w:val="00404220"/>
    <w:rsid w:val="004045AF"/>
    <w:rsid w:val="00405AE5"/>
    <w:rsid w:val="004063BC"/>
    <w:rsid w:val="00410C93"/>
    <w:rsid w:val="00413984"/>
    <w:rsid w:val="00413E19"/>
    <w:rsid w:val="00414513"/>
    <w:rsid w:val="00414F25"/>
    <w:rsid w:val="00415CD7"/>
    <w:rsid w:val="004200C8"/>
    <w:rsid w:val="00420A24"/>
    <w:rsid w:val="00420A73"/>
    <w:rsid w:val="00424AB4"/>
    <w:rsid w:val="0042666A"/>
    <w:rsid w:val="00426E61"/>
    <w:rsid w:val="00433976"/>
    <w:rsid w:val="0043456B"/>
    <w:rsid w:val="00436F89"/>
    <w:rsid w:val="00443020"/>
    <w:rsid w:val="00443456"/>
    <w:rsid w:val="0044383A"/>
    <w:rsid w:val="00444153"/>
    <w:rsid w:val="00445045"/>
    <w:rsid w:val="0044657D"/>
    <w:rsid w:val="00446E41"/>
    <w:rsid w:val="004470BD"/>
    <w:rsid w:val="004472AF"/>
    <w:rsid w:val="00447947"/>
    <w:rsid w:val="0044797C"/>
    <w:rsid w:val="00451D76"/>
    <w:rsid w:val="00452BAB"/>
    <w:rsid w:val="0045736F"/>
    <w:rsid w:val="004606ED"/>
    <w:rsid w:val="00463C0A"/>
    <w:rsid w:val="00464395"/>
    <w:rsid w:val="0046501A"/>
    <w:rsid w:val="004748A8"/>
    <w:rsid w:val="00475650"/>
    <w:rsid w:val="004759BF"/>
    <w:rsid w:val="0048077E"/>
    <w:rsid w:val="0048260E"/>
    <w:rsid w:val="0048275F"/>
    <w:rsid w:val="00483B43"/>
    <w:rsid w:val="00484C5E"/>
    <w:rsid w:val="00486F80"/>
    <w:rsid w:val="004873C8"/>
    <w:rsid w:val="00487733"/>
    <w:rsid w:val="00491429"/>
    <w:rsid w:val="0049282E"/>
    <w:rsid w:val="0049708F"/>
    <w:rsid w:val="004A0070"/>
    <w:rsid w:val="004A10A2"/>
    <w:rsid w:val="004A19B7"/>
    <w:rsid w:val="004A1D23"/>
    <w:rsid w:val="004A1FF2"/>
    <w:rsid w:val="004A234C"/>
    <w:rsid w:val="004A236C"/>
    <w:rsid w:val="004A24A9"/>
    <w:rsid w:val="004A2861"/>
    <w:rsid w:val="004A53C2"/>
    <w:rsid w:val="004A5B3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321A"/>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27E7"/>
    <w:rsid w:val="005045AD"/>
    <w:rsid w:val="005061B0"/>
    <w:rsid w:val="00506BE5"/>
    <w:rsid w:val="00510306"/>
    <w:rsid w:val="0051072B"/>
    <w:rsid w:val="005115C8"/>
    <w:rsid w:val="00511F92"/>
    <w:rsid w:val="00512347"/>
    <w:rsid w:val="00512B0B"/>
    <w:rsid w:val="00513494"/>
    <w:rsid w:val="005141CD"/>
    <w:rsid w:val="00520564"/>
    <w:rsid w:val="00525FB6"/>
    <w:rsid w:val="005266CD"/>
    <w:rsid w:val="00526AB8"/>
    <w:rsid w:val="00527D5F"/>
    <w:rsid w:val="00530CDD"/>
    <w:rsid w:val="00530FF9"/>
    <w:rsid w:val="00531336"/>
    <w:rsid w:val="00534E94"/>
    <w:rsid w:val="00535424"/>
    <w:rsid w:val="005372D1"/>
    <w:rsid w:val="005406B9"/>
    <w:rsid w:val="00543329"/>
    <w:rsid w:val="0054614A"/>
    <w:rsid w:val="00546153"/>
    <w:rsid w:val="005466A3"/>
    <w:rsid w:val="00546A86"/>
    <w:rsid w:val="00550514"/>
    <w:rsid w:val="005506A1"/>
    <w:rsid w:val="005515E3"/>
    <w:rsid w:val="00551C10"/>
    <w:rsid w:val="00551D56"/>
    <w:rsid w:val="005541A7"/>
    <w:rsid w:val="005551EA"/>
    <w:rsid w:val="00557967"/>
    <w:rsid w:val="00562FAB"/>
    <w:rsid w:val="00564627"/>
    <w:rsid w:val="005679FC"/>
    <w:rsid w:val="00572185"/>
    <w:rsid w:val="00573031"/>
    <w:rsid w:val="0057308C"/>
    <w:rsid w:val="00573FA7"/>
    <w:rsid w:val="00574E70"/>
    <w:rsid w:val="00576ED0"/>
    <w:rsid w:val="00577FAE"/>
    <w:rsid w:val="00581AFF"/>
    <w:rsid w:val="00581C28"/>
    <w:rsid w:val="005835B8"/>
    <w:rsid w:val="005856B4"/>
    <w:rsid w:val="00585AF4"/>
    <w:rsid w:val="00585BB2"/>
    <w:rsid w:val="00585EB8"/>
    <w:rsid w:val="00586AEC"/>
    <w:rsid w:val="00586D1F"/>
    <w:rsid w:val="0058775E"/>
    <w:rsid w:val="005905C9"/>
    <w:rsid w:val="00590E9A"/>
    <w:rsid w:val="00593989"/>
    <w:rsid w:val="005971FC"/>
    <w:rsid w:val="005A2516"/>
    <w:rsid w:val="005A5A51"/>
    <w:rsid w:val="005A72A2"/>
    <w:rsid w:val="005B121F"/>
    <w:rsid w:val="005B1843"/>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7470"/>
    <w:rsid w:val="005C7EE9"/>
    <w:rsid w:val="005D1475"/>
    <w:rsid w:val="005D27D5"/>
    <w:rsid w:val="005D48B7"/>
    <w:rsid w:val="005D55C8"/>
    <w:rsid w:val="005D630A"/>
    <w:rsid w:val="005D69EA"/>
    <w:rsid w:val="005D6D34"/>
    <w:rsid w:val="005E0BAF"/>
    <w:rsid w:val="005E1640"/>
    <w:rsid w:val="005E2073"/>
    <w:rsid w:val="005E6913"/>
    <w:rsid w:val="005E6F6C"/>
    <w:rsid w:val="005E7BBC"/>
    <w:rsid w:val="005E7C22"/>
    <w:rsid w:val="005F1C2C"/>
    <w:rsid w:val="005F1C40"/>
    <w:rsid w:val="005F272E"/>
    <w:rsid w:val="005F29BE"/>
    <w:rsid w:val="005F3003"/>
    <w:rsid w:val="005F362F"/>
    <w:rsid w:val="005F59F4"/>
    <w:rsid w:val="0060000F"/>
    <w:rsid w:val="006006C1"/>
    <w:rsid w:val="006010D5"/>
    <w:rsid w:val="00603495"/>
    <w:rsid w:val="0060484B"/>
    <w:rsid w:val="00604CCD"/>
    <w:rsid w:val="00607DE6"/>
    <w:rsid w:val="00610734"/>
    <w:rsid w:val="00611B04"/>
    <w:rsid w:val="00612156"/>
    <w:rsid w:val="00614229"/>
    <w:rsid w:val="006172D6"/>
    <w:rsid w:val="00617883"/>
    <w:rsid w:val="006178BD"/>
    <w:rsid w:val="00617AFB"/>
    <w:rsid w:val="00617D56"/>
    <w:rsid w:val="00621360"/>
    <w:rsid w:val="006234F8"/>
    <w:rsid w:val="0062385A"/>
    <w:rsid w:val="006266BD"/>
    <w:rsid w:val="00626D44"/>
    <w:rsid w:val="006279B6"/>
    <w:rsid w:val="00627A10"/>
    <w:rsid w:val="00631FF5"/>
    <w:rsid w:val="006324E5"/>
    <w:rsid w:val="00635CDD"/>
    <w:rsid w:val="0063635D"/>
    <w:rsid w:val="0064036F"/>
    <w:rsid w:val="00641E01"/>
    <w:rsid w:val="006425E9"/>
    <w:rsid w:val="00643097"/>
    <w:rsid w:val="00644206"/>
    <w:rsid w:val="006478A8"/>
    <w:rsid w:val="00647E5A"/>
    <w:rsid w:val="00650219"/>
    <w:rsid w:val="0065103D"/>
    <w:rsid w:val="006518A4"/>
    <w:rsid w:val="0065658F"/>
    <w:rsid w:val="0065678A"/>
    <w:rsid w:val="00656972"/>
    <w:rsid w:val="0065707E"/>
    <w:rsid w:val="00660F2A"/>
    <w:rsid w:val="00661453"/>
    <w:rsid w:val="006616D4"/>
    <w:rsid w:val="00661D32"/>
    <w:rsid w:val="00663837"/>
    <w:rsid w:val="006639E8"/>
    <w:rsid w:val="0066669F"/>
    <w:rsid w:val="00666E87"/>
    <w:rsid w:val="00667359"/>
    <w:rsid w:val="00670784"/>
    <w:rsid w:val="0067094F"/>
    <w:rsid w:val="00671240"/>
    <w:rsid w:val="00672A77"/>
    <w:rsid w:val="00674023"/>
    <w:rsid w:val="006766AF"/>
    <w:rsid w:val="006774AA"/>
    <w:rsid w:val="00681CC5"/>
    <w:rsid w:val="00681F9D"/>
    <w:rsid w:val="00684F9E"/>
    <w:rsid w:val="0068595F"/>
    <w:rsid w:val="006864BE"/>
    <w:rsid w:val="00686B46"/>
    <w:rsid w:val="00686FD8"/>
    <w:rsid w:val="00693527"/>
    <w:rsid w:val="00696DB3"/>
    <w:rsid w:val="006A114F"/>
    <w:rsid w:val="006A1AB8"/>
    <w:rsid w:val="006A460E"/>
    <w:rsid w:val="006A6DC6"/>
    <w:rsid w:val="006A7FC0"/>
    <w:rsid w:val="006B1D2C"/>
    <w:rsid w:val="006B1F0B"/>
    <w:rsid w:val="006B6938"/>
    <w:rsid w:val="006B6EAE"/>
    <w:rsid w:val="006C1F4F"/>
    <w:rsid w:val="006C403D"/>
    <w:rsid w:val="006D0B3F"/>
    <w:rsid w:val="006D1200"/>
    <w:rsid w:val="006D1C50"/>
    <w:rsid w:val="006D4778"/>
    <w:rsid w:val="006D5732"/>
    <w:rsid w:val="006D607D"/>
    <w:rsid w:val="006E04F2"/>
    <w:rsid w:val="006E1FA2"/>
    <w:rsid w:val="006E262B"/>
    <w:rsid w:val="006E3198"/>
    <w:rsid w:val="006E6F88"/>
    <w:rsid w:val="006F08CD"/>
    <w:rsid w:val="006F182C"/>
    <w:rsid w:val="006F34C5"/>
    <w:rsid w:val="006F38EB"/>
    <w:rsid w:val="006F3F9C"/>
    <w:rsid w:val="006F4A89"/>
    <w:rsid w:val="006F53FD"/>
    <w:rsid w:val="006F5438"/>
    <w:rsid w:val="00700217"/>
    <w:rsid w:val="0070309E"/>
    <w:rsid w:val="00703B0E"/>
    <w:rsid w:val="00703E33"/>
    <w:rsid w:val="00706CA1"/>
    <w:rsid w:val="00711439"/>
    <w:rsid w:val="00714154"/>
    <w:rsid w:val="007169B9"/>
    <w:rsid w:val="00716EBF"/>
    <w:rsid w:val="00717E40"/>
    <w:rsid w:val="00720082"/>
    <w:rsid w:val="0072020C"/>
    <w:rsid w:val="00723FB1"/>
    <w:rsid w:val="00723FE0"/>
    <w:rsid w:val="00725D3B"/>
    <w:rsid w:val="00726357"/>
    <w:rsid w:val="0072707F"/>
    <w:rsid w:val="0072715F"/>
    <w:rsid w:val="00727D67"/>
    <w:rsid w:val="00732C95"/>
    <w:rsid w:val="00732FD4"/>
    <w:rsid w:val="00733344"/>
    <w:rsid w:val="0073360C"/>
    <w:rsid w:val="007337A6"/>
    <w:rsid w:val="0073424C"/>
    <w:rsid w:val="00734455"/>
    <w:rsid w:val="0073523D"/>
    <w:rsid w:val="0073590D"/>
    <w:rsid w:val="00736AD2"/>
    <w:rsid w:val="00737393"/>
    <w:rsid w:val="0074075E"/>
    <w:rsid w:val="007415DE"/>
    <w:rsid w:val="00741F81"/>
    <w:rsid w:val="0074201F"/>
    <w:rsid w:val="0074293F"/>
    <w:rsid w:val="00742984"/>
    <w:rsid w:val="00750356"/>
    <w:rsid w:val="00750446"/>
    <w:rsid w:val="00751E7F"/>
    <w:rsid w:val="007520D9"/>
    <w:rsid w:val="007525B2"/>
    <w:rsid w:val="00752770"/>
    <w:rsid w:val="0075418C"/>
    <w:rsid w:val="00755CF9"/>
    <w:rsid w:val="007561B5"/>
    <w:rsid w:val="0075714C"/>
    <w:rsid w:val="0075769A"/>
    <w:rsid w:val="007601E3"/>
    <w:rsid w:val="00760F1C"/>
    <w:rsid w:val="00763F8B"/>
    <w:rsid w:val="00763FB0"/>
    <w:rsid w:val="0076431A"/>
    <w:rsid w:val="007659D5"/>
    <w:rsid w:val="00770121"/>
    <w:rsid w:val="00771FB8"/>
    <w:rsid w:val="00772DF0"/>
    <w:rsid w:val="00772E16"/>
    <w:rsid w:val="0077415C"/>
    <w:rsid w:val="00774820"/>
    <w:rsid w:val="00777AD2"/>
    <w:rsid w:val="00777C3A"/>
    <w:rsid w:val="007817E6"/>
    <w:rsid w:val="00781C79"/>
    <w:rsid w:val="00781E88"/>
    <w:rsid w:val="00782EFB"/>
    <w:rsid w:val="00783F5F"/>
    <w:rsid w:val="007840FE"/>
    <w:rsid w:val="007853A2"/>
    <w:rsid w:val="00785C94"/>
    <w:rsid w:val="00790685"/>
    <w:rsid w:val="00792202"/>
    <w:rsid w:val="007955FF"/>
    <w:rsid w:val="00795C7D"/>
    <w:rsid w:val="00795F05"/>
    <w:rsid w:val="007972EE"/>
    <w:rsid w:val="007979F5"/>
    <w:rsid w:val="007A214A"/>
    <w:rsid w:val="007A229A"/>
    <w:rsid w:val="007A2470"/>
    <w:rsid w:val="007A32E0"/>
    <w:rsid w:val="007A3B16"/>
    <w:rsid w:val="007A404A"/>
    <w:rsid w:val="007A4F26"/>
    <w:rsid w:val="007A7CC0"/>
    <w:rsid w:val="007B0AB8"/>
    <w:rsid w:val="007B0D2F"/>
    <w:rsid w:val="007B1BB4"/>
    <w:rsid w:val="007B22A5"/>
    <w:rsid w:val="007B2991"/>
    <w:rsid w:val="007B364E"/>
    <w:rsid w:val="007B5E95"/>
    <w:rsid w:val="007B6AD0"/>
    <w:rsid w:val="007B6E37"/>
    <w:rsid w:val="007C0218"/>
    <w:rsid w:val="007C064A"/>
    <w:rsid w:val="007C370F"/>
    <w:rsid w:val="007C4CE4"/>
    <w:rsid w:val="007C72FA"/>
    <w:rsid w:val="007D55DE"/>
    <w:rsid w:val="007E0749"/>
    <w:rsid w:val="007E221D"/>
    <w:rsid w:val="007E24AC"/>
    <w:rsid w:val="007E3733"/>
    <w:rsid w:val="007E4CAF"/>
    <w:rsid w:val="007E5C1C"/>
    <w:rsid w:val="007E79DF"/>
    <w:rsid w:val="007E7FE7"/>
    <w:rsid w:val="007F312D"/>
    <w:rsid w:val="007F47D7"/>
    <w:rsid w:val="007F5EC9"/>
    <w:rsid w:val="007F7406"/>
    <w:rsid w:val="007F7B8C"/>
    <w:rsid w:val="00800FEC"/>
    <w:rsid w:val="0080142D"/>
    <w:rsid w:val="008018A4"/>
    <w:rsid w:val="0080512B"/>
    <w:rsid w:val="00805597"/>
    <w:rsid w:val="008058F9"/>
    <w:rsid w:val="00810DA0"/>
    <w:rsid w:val="00812865"/>
    <w:rsid w:val="008128EC"/>
    <w:rsid w:val="00814020"/>
    <w:rsid w:val="008204AC"/>
    <w:rsid w:val="00820839"/>
    <w:rsid w:val="00821BCD"/>
    <w:rsid w:val="008220FA"/>
    <w:rsid w:val="00822C03"/>
    <w:rsid w:val="0082351F"/>
    <w:rsid w:val="0082575B"/>
    <w:rsid w:val="008301AF"/>
    <w:rsid w:val="008309BE"/>
    <w:rsid w:val="00830A4B"/>
    <w:rsid w:val="00832B6C"/>
    <w:rsid w:val="008336D5"/>
    <w:rsid w:val="008350BC"/>
    <w:rsid w:val="008352D3"/>
    <w:rsid w:val="0083651F"/>
    <w:rsid w:val="008370A8"/>
    <w:rsid w:val="008403D6"/>
    <w:rsid w:val="008422DD"/>
    <w:rsid w:val="00842502"/>
    <w:rsid w:val="00842A79"/>
    <w:rsid w:val="00844A9F"/>
    <w:rsid w:val="00844E4E"/>
    <w:rsid w:val="00844F10"/>
    <w:rsid w:val="00844F3C"/>
    <w:rsid w:val="00845591"/>
    <w:rsid w:val="0084794D"/>
    <w:rsid w:val="00850CA1"/>
    <w:rsid w:val="00852B8E"/>
    <w:rsid w:val="008546B4"/>
    <w:rsid w:val="0085537C"/>
    <w:rsid w:val="00856AB8"/>
    <w:rsid w:val="0086072D"/>
    <w:rsid w:val="0086089B"/>
    <w:rsid w:val="00860B66"/>
    <w:rsid w:val="00860CB6"/>
    <w:rsid w:val="00860FC7"/>
    <w:rsid w:val="008615E2"/>
    <w:rsid w:val="00862831"/>
    <w:rsid w:val="008633B2"/>
    <w:rsid w:val="00863A7B"/>
    <w:rsid w:val="00864DA2"/>
    <w:rsid w:val="00866E84"/>
    <w:rsid w:val="008672E6"/>
    <w:rsid w:val="00867620"/>
    <w:rsid w:val="00870EE7"/>
    <w:rsid w:val="00870F8A"/>
    <w:rsid w:val="0087241F"/>
    <w:rsid w:val="00877AB1"/>
    <w:rsid w:val="00880125"/>
    <w:rsid w:val="00881A47"/>
    <w:rsid w:val="00881D78"/>
    <w:rsid w:val="0088395B"/>
    <w:rsid w:val="00887A55"/>
    <w:rsid w:val="00887DDB"/>
    <w:rsid w:val="00891CEE"/>
    <w:rsid w:val="00893852"/>
    <w:rsid w:val="00893F39"/>
    <w:rsid w:val="0089436C"/>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768"/>
    <w:rsid w:val="008B0C44"/>
    <w:rsid w:val="008B1EB5"/>
    <w:rsid w:val="008B3773"/>
    <w:rsid w:val="008B7090"/>
    <w:rsid w:val="008C0A7A"/>
    <w:rsid w:val="008C0D64"/>
    <w:rsid w:val="008C1E53"/>
    <w:rsid w:val="008C2176"/>
    <w:rsid w:val="008C2E79"/>
    <w:rsid w:val="008C3A3E"/>
    <w:rsid w:val="008C464A"/>
    <w:rsid w:val="008C488E"/>
    <w:rsid w:val="008C622C"/>
    <w:rsid w:val="008D0BF6"/>
    <w:rsid w:val="008D18F2"/>
    <w:rsid w:val="008D2032"/>
    <w:rsid w:val="008D216B"/>
    <w:rsid w:val="008D21E9"/>
    <w:rsid w:val="008D2C98"/>
    <w:rsid w:val="008D3BEA"/>
    <w:rsid w:val="008D3F86"/>
    <w:rsid w:val="008D6DA6"/>
    <w:rsid w:val="008E19DF"/>
    <w:rsid w:val="008E333A"/>
    <w:rsid w:val="008E336C"/>
    <w:rsid w:val="008E35AB"/>
    <w:rsid w:val="008E4CC5"/>
    <w:rsid w:val="008E6ECE"/>
    <w:rsid w:val="008E737F"/>
    <w:rsid w:val="008F0D19"/>
    <w:rsid w:val="008F0F88"/>
    <w:rsid w:val="008F3924"/>
    <w:rsid w:val="008F4DBC"/>
    <w:rsid w:val="008F5466"/>
    <w:rsid w:val="008F79DE"/>
    <w:rsid w:val="009006FD"/>
    <w:rsid w:val="009029EE"/>
    <w:rsid w:val="0090535F"/>
    <w:rsid w:val="00906604"/>
    <w:rsid w:val="00906DD4"/>
    <w:rsid w:val="00910253"/>
    <w:rsid w:val="009137DB"/>
    <w:rsid w:val="00913ED4"/>
    <w:rsid w:val="00914539"/>
    <w:rsid w:val="00914DCF"/>
    <w:rsid w:val="009155F5"/>
    <w:rsid w:val="009167F6"/>
    <w:rsid w:val="00916828"/>
    <w:rsid w:val="00916837"/>
    <w:rsid w:val="0092128A"/>
    <w:rsid w:val="009214E8"/>
    <w:rsid w:val="00922DDB"/>
    <w:rsid w:val="009233FE"/>
    <w:rsid w:val="0092387B"/>
    <w:rsid w:val="00925D50"/>
    <w:rsid w:val="0092614B"/>
    <w:rsid w:val="0093254D"/>
    <w:rsid w:val="00935B4C"/>
    <w:rsid w:val="0094061E"/>
    <w:rsid w:val="009426EA"/>
    <w:rsid w:val="00942D84"/>
    <w:rsid w:val="00943C31"/>
    <w:rsid w:val="009457C6"/>
    <w:rsid w:val="0094692F"/>
    <w:rsid w:val="0094792C"/>
    <w:rsid w:val="00947EFE"/>
    <w:rsid w:val="00951C7A"/>
    <w:rsid w:val="009540AC"/>
    <w:rsid w:val="00955773"/>
    <w:rsid w:val="00956D58"/>
    <w:rsid w:val="009601CA"/>
    <w:rsid w:val="00961621"/>
    <w:rsid w:val="0096254F"/>
    <w:rsid w:val="00963132"/>
    <w:rsid w:val="00964105"/>
    <w:rsid w:val="0096466A"/>
    <w:rsid w:val="009667C7"/>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B72C3"/>
    <w:rsid w:val="009C4AFA"/>
    <w:rsid w:val="009C6177"/>
    <w:rsid w:val="009C6649"/>
    <w:rsid w:val="009D0198"/>
    <w:rsid w:val="009D15D8"/>
    <w:rsid w:val="009D189A"/>
    <w:rsid w:val="009D195F"/>
    <w:rsid w:val="009D2227"/>
    <w:rsid w:val="009D246E"/>
    <w:rsid w:val="009D2956"/>
    <w:rsid w:val="009D3798"/>
    <w:rsid w:val="009D3C53"/>
    <w:rsid w:val="009D472B"/>
    <w:rsid w:val="009D4D0C"/>
    <w:rsid w:val="009D731E"/>
    <w:rsid w:val="009E1344"/>
    <w:rsid w:val="009E1B78"/>
    <w:rsid w:val="009E3900"/>
    <w:rsid w:val="009E525E"/>
    <w:rsid w:val="009E7D2F"/>
    <w:rsid w:val="009E7F90"/>
    <w:rsid w:val="009F127B"/>
    <w:rsid w:val="009F30DD"/>
    <w:rsid w:val="009F33D9"/>
    <w:rsid w:val="009F36F1"/>
    <w:rsid w:val="009F3D5B"/>
    <w:rsid w:val="009F451A"/>
    <w:rsid w:val="009F4CC4"/>
    <w:rsid w:val="009F5B73"/>
    <w:rsid w:val="009F69F7"/>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30E9"/>
    <w:rsid w:val="00A2360B"/>
    <w:rsid w:val="00A23881"/>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4A26"/>
    <w:rsid w:val="00A565E5"/>
    <w:rsid w:val="00A5764D"/>
    <w:rsid w:val="00A605C8"/>
    <w:rsid w:val="00A62181"/>
    <w:rsid w:val="00A6521F"/>
    <w:rsid w:val="00A667D2"/>
    <w:rsid w:val="00A67055"/>
    <w:rsid w:val="00A67D10"/>
    <w:rsid w:val="00A70C8D"/>
    <w:rsid w:val="00A71179"/>
    <w:rsid w:val="00A719E9"/>
    <w:rsid w:val="00A7204E"/>
    <w:rsid w:val="00A723AA"/>
    <w:rsid w:val="00A7652A"/>
    <w:rsid w:val="00A7732A"/>
    <w:rsid w:val="00A779AB"/>
    <w:rsid w:val="00A80081"/>
    <w:rsid w:val="00A80B8D"/>
    <w:rsid w:val="00A81390"/>
    <w:rsid w:val="00A81DFE"/>
    <w:rsid w:val="00A82DC1"/>
    <w:rsid w:val="00A83128"/>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1BF4"/>
    <w:rsid w:val="00AC3311"/>
    <w:rsid w:val="00AC4270"/>
    <w:rsid w:val="00AC68A4"/>
    <w:rsid w:val="00AC7414"/>
    <w:rsid w:val="00AC7DC7"/>
    <w:rsid w:val="00AD0543"/>
    <w:rsid w:val="00AD1CE0"/>
    <w:rsid w:val="00AD47EF"/>
    <w:rsid w:val="00AD5EEC"/>
    <w:rsid w:val="00AD7E8E"/>
    <w:rsid w:val="00AE1395"/>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34E9"/>
    <w:rsid w:val="00B04BF0"/>
    <w:rsid w:val="00B051FF"/>
    <w:rsid w:val="00B05D1C"/>
    <w:rsid w:val="00B06A06"/>
    <w:rsid w:val="00B06D76"/>
    <w:rsid w:val="00B07F29"/>
    <w:rsid w:val="00B135B4"/>
    <w:rsid w:val="00B204BB"/>
    <w:rsid w:val="00B207E6"/>
    <w:rsid w:val="00B228A9"/>
    <w:rsid w:val="00B22B3A"/>
    <w:rsid w:val="00B27206"/>
    <w:rsid w:val="00B34EFA"/>
    <w:rsid w:val="00B3588C"/>
    <w:rsid w:val="00B41853"/>
    <w:rsid w:val="00B41E31"/>
    <w:rsid w:val="00B4270F"/>
    <w:rsid w:val="00B47308"/>
    <w:rsid w:val="00B47E93"/>
    <w:rsid w:val="00B50171"/>
    <w:rsid w:val="00B5094F"/>
    <w:rsid w:val="00B5683A"/>
    <w:rsid w:val="00B57E73"/>
    <w:rsid w:val="00B602F9"/>
    <w:rsid w:val="00B64C1B"/>
    <w:rsid w:val="00B6684B"/>
    <w:rsid w:val="00B66A98"/>
    <w:rsid w:val="00B670CC"/>
    <w:rsid w:val="00B6729A"/>
    <w:rsid w:val="00B8151A"/>
    <w:rsid w:val="00B81620"/>
    <w:rsid w:val="00B81EF1"/>
    <w:rsid w:val="00B82570"/>
    <w:rsid w:val="00B83613"/>
    <w:rsid w:val="00B83A62"/>
    <w:rsid w:val="00B85BA1"/>
    <w:rsid w:val="00B85C70"/>
    <w:rsid w:val="00B86571"/>
    <w:rsid w:val="00B90169"/>
    <w:rsid w:val="00B9105F"/>
    <w:rsid w:val="00B951A4"/>
    <w:rsid w:val="00B951FB"/>
    <w:rsid w:val="00B96E02"/>
    <w:rsid w:val="00BA004C"/>
    <w:rsid w:val="00BA10F3"/>
    <w:rsid w:val="00BA1F2A"/>
    <w:rsid w:val="00BA21CC"/>
    <w:rsid w:val="00BA28A7"/>
    <w:rsid w:val="00BA2AF5"/>
    <w:rsid w:val="00BA2E50"/>
    <w:rsid w:val="00BA387C"/>
    <w:rsid w:val="00BA6A75"/>
    <w:rsid w:val="00BB01B7"/>
    <w:rsid w:val="00BB1A48"/>
    <w:rsid w:val="00BB2CDF"/>
    <w:rsid w:val="00BB3122"/>
    <w:rsid w:val="00BB45AD"/>
    <w:rsid w:val="00BB4F4D"/>
    <w:rsid w:val="00BB5811"/>
    <w:rsid w:val="00BB5A58"/>
    <w:rsid w:val="00BB6ED2"/>
    <w:rsid w:val="00BC2027"/>
    <w:rsid w:val="00BC38D2"/>
    <w:rsid w:val="00BC5F48"/>
    <w:rsid w:val="00BC7EDA"/>
    <w:rsid w:val="00BD465A"/>
    <w:rsid w:val="00BD5EB4"/>
    <w:rsid w:val="00BD6621"/>
    <w:rsid w:val="00BD71A5"/>
    <w:rsid w:val="00BE08E0"/>
    <w:rsid w:val="00BE1EAB"/>
    <w:rsid w:val="00BE4538"/>
    <w:rsid w:val="00BE6E61"/>
    <w:rsid w:val="00BF0ECD"/>
    <w:rsid w:val="00BF1A8E"/>
    <w:rsid w:val="00BF1B4A"/>
    <w:rsid w:val="00BF34E2"/>
    <w:rsid w:val="00BF3B8C"/>
    <w:rsid w:val="00BF4632"/>
    <w:rsid w:val="00BF4DF6"/>
    <w:rsid w:val="00BF639E"/>
    <w:rsid w:val="00BF724D"/>
    <w:rsid w:val="00BF7AC0"/>
    <w:rsid w:val="00C0037B"/>
    <w:rsid w:val="00C00810"/>
    <w:rsid w:val="00C00BBE"/>
    <w:rsid w:val="00C01123"/>
    <w:rsid w:val="00C0117C"/>
    <w:rsid w:val="00C01E5D"/>
    <w:rsid w:val="00C04A8C"/>
    <w:rsid w:val="00C04DCF"/>
    <w:rsid w:val="00C050E2"/>
    <w:rsid w:val="00C05619"/>
    <w:rsid w:val="00C06F9F"/>
    <w:rsid w:val="00C11097"/>
    <w:rsid w:val="00C11396"/>
    <w:rsid w:val="00C13171"/>
    <w:rsid w:val="00C1369B"/>
    <w:rsid w:val="00C172F8"/>
    <w:rsid w:val="00C17333"/>
    <w:rsid w:val="00C212AE"/>
    <w:rsid w:val="00C2157F"/>
    <w:rsid w:val="00C21AA2"/>
    <w:rsid w:val="00C226E3"/>
    <w:rsid w:val="00C24ACB"/>
    <w:rsid w:val="00C264B4"/>
    <w:rsid w:val="00C26918"/>
    <w:rsid w:val="00C26DE8"/>
    <w:rsid w:val="00C27DDB"/>
    <w:rsid w:val="00C32355"/>
    <w:rsid w:val="00C344E9"/>
    <w:rsid w:val="00C40C4E"/>
    <w:rsid w:val="00C47907"/>
    <w:rsid w:val="00C50C66"/>
    <w:rsid w:val="00C51BF4"/>
    <w:rsid w:val="00C52361"/>
    <w:rsid w:val="00C529EF"/>
    <w:rsid w:val="00C5320A"/>
    <w:rsid w:val="00C55491"/>
    <w:rsid w:val="00C55AA2"/>
    <w:rsid w:val="00C57AEB"/>
    <w:rsid w:val="00C61B2D"/>
    <w:rsid w:val="00C62882"/>
    <w:rsid w:val="00C6454F"/>
    <w:rsid w:val="00C67CC7"/>
    <w:rsid w:val="00C751AC"/>
    <w:rsid w:val="00C812E4"/>
    <w:rsid w:val="00C82CCA"/>
    <w:rsid w:val="00C83152"/>
    <w:rsid w:val="00C918CE"/>
    <w:rsid w:val="00C93459"/>
    <w:rsid w:val="00C93468"/>
    <w:rsid w:val="00C93799"/>
    <w:rsid w:val="00C95833"/>
    <w:rsid w:val="00C97017"/>
    <w:rsid w:val="00C97991"/>
    <w:rsid w:val="00C97998"/>
    <w:rsid w:val="00CA077A"/>
    <w:rsid w:val="00CA12DD"/>
    <w:rsid w:val="00CA142A"/>
    <w:rsid w:val="00CA54A0"/>
    <w:rsid w:val="00CA605C"/>
    <w:rsid w:val="00CB0132"/>
    <w:rsid w:val="00CB17BD"/>
    <w:rsid w:val="00CB2A9F"/>
    <w:rsid w:val="00CB34DF"/>
    <w:rsid w:val="00CB36C4"/>
    <w:rsid w:val="00CB5BE0"/>
    <w:rsid w:val="00CB6EF4"/>
    <w:rsid w:val="00CB6FFE"/>
    <w:rsid w:val="00CC11C2"/>
    <w:rsid w:val="00CC1868"/>
    <w:rsid w:val="00CC220F"/>
    <w:rsid w:val="00CC37E0"/>
    <w:rsid w:val="00CC3EAD"/>
    <w:rsid w:val="00CC5141"/>
    <w:rsid w:val="00CC71BD"/>
    <w:rsid w:val="00CC7240"/>
    <w:rsid w:val="00CD7F7B"/>
    <w:rsid w:val="00CE245A"/>
    <w:rsid w:val="00CE3628"/>
    <w:rsid w:val="00CE5507"/>
    <w:rsid w:val="00CF4ED1"/>
    <w:rsid w:val="00CF5FB9"/>
    <w:rsid w:val="00CF7AD6"/>
    <w:rsid w:val="00CF7C41"/>
    <w:rsid w:val="00D000B0"/>
    <w:rsid w:val="00D0030F"/>
    <w:rsid w:val="00D00781"/>
    <w:rsid w:val="00D05117"/>
    <w:rsid w:val="00D05147"/>
    <w:rsid w:val="00D05D0E"/>
    <w:rsid w:val="00D06243"/>
    <w:rsid w:val="00D066DC"/>
    <w:rsid w:val="00D069D1"/>
    <w:rsid w:val="00D0719C"/>
    <w:rsid w:val="00D118EC"/>
    <w:rsid w:val="00D12C65"/>
    <w:rsid w:val="00D13215"/>
    <w:rsid w:val="00D13E9E"/>
    <w:rsid w:val="00D14179"/>
    <w:rsid w:val="00D15AC9"/>
    <w:rsid w:val="00D16F5F"/>
    <w:rsid w:val="00D172FA"/>
    <w:rsid w:val="00D217ED"/>
    <w:rsid w:val="00D228C8"/>
    <w:rsid w:val="00D243D2"/>
    <w:rsid w:val="00D273A7"/>
    <w:rsid w:val="00D310BA"/>
    <w:rsid w:val="00D3188B"/>
    <w:rsid w:val="00D33ADE"/>
    <w:rsid w:val="00D356E7"/>
    <w:rsid w:val="00D35A06"/>
    <w:rsid w:val="00D35E11"/>
    <w:rsid w:val="00D36595"/>
    <w:rsid w:val="00D36B41"/>
    <w:rsid w:val="00D41069"/>
    <w:rsid w:val="00D42024"/>
    <w:rsid w:val="00D44D29"/>
    <w:rsid w:val="00D47D5F"/>
    <w:rsid w:val="00D50D8A"/>
    <w:rsid w:val="00D54F93"/>
    <w:rsid w:val="00D578CC"/>
    <w:rsid w:val="00D57AE2"/>
    <w:rsid w:val="00D60FCA"/>
    <w:rsid w:val="00D62BA4"/>
    <w:rsid w:val="00D62C36"/>
    <w:rsid w:val="00D63DA1"/>
    <w:rsid w:val="00D64075"/>
    <w:rsid w:val="00D65361"/>
    <w:rsid w:val="00D706AB"/>
    <w:rsid w:val="00D70AA5"/>
    <w:rsid w:val="00D7122E"/>
    <w:rsid w:val="00D75ACA"/>
    <w:rsid w:val="00D76103"/>
    <w:rsid w:val="00D76FE4"/>
    <w:rsid w:val="00D81FA1"/>
    <w:rsid w:val="00D85306"/>
    <w:rsid w:val="00D8718A"/>
    <w:rsid w:val="00D87F7E"/>
    <w:rsid w:val="00D908AB"/>
    <w:rsid w:val="00D93093"/>
    <w:rsid w:val="00D939F2"/>
    <w:rsid w:val="00D941E8"/>
    <w:rsid w:val="00D95784"/>
    <w:rsid w:val="00D964F0"/>
    <w:rsid w:val="00D96583"/>
    <w:rsid w:val="00D96BD6"/>
    <w:rsid w:val="00DA3178"/>
    <w:rsid w:val="00DA6620"/>
    <w:rsid w:val="00DB3015"/>
    <w:rsid w:val="00DB34A1"/>
    <w:rsid w:val="00DB49CD"/>
    <w:rsid w:val="00DB4C9A"/>
    <w:rsid w:val="00DC1FA1"/>
    <w:rsid w:val="00DC3B29"/>
    <w:rsid w:val="00DC4E02"/>
    <w:rsid w:val="00DC5C3D"/>
    <w:rsid w:val="00DC74F8"/>
    <w:rsid w:val="00DC7698"/>
    <w:rsid w:val="00DC7F3C"/>
    <w:rsid w:val="00DD0C01"/>
    <w:rsid w:val="00DD1E11"/>
    <w:rsid w:val="00DD546D"/>
    <w:rsid w:val="00DD6097"/>
    <w:rsid w:val="00DD7FCE"/>
    <w:rsid w:val="00DE0971"/>
    <w:rsid w:val="00DE0EA2"/>
    <w:rsid w:val="00DE20D4"/>
    <w:rsid w:val="00DE22A7"/>
    <w:rsid w:val="00DE3FA0"/>
    <w:rsid w:val="00DE4114"/>
    <w:rsid w:val="00DE43FD"/>
    <w:rsid w:val="00DE4DA3"/>
    <w:rsid w:val="00DE503A"/>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0063"/>
    <w:rsid w:val="00E11886"/>
    <w:rsid w:val="00E12A9F"/>
    <w:rsid w:val="00E14BE3"/>
    <w:rsid w:val="00E16D35"/>
    <w:rsid w:val="00E16FAC"/>
    <w:rsid w:val="00E17527"/>
    <w:rsid w:val="00E17C9E"/>
    <w:rsid w:val="00E17EDA"/>
    <w:rsid w:val="00E21715"/>
    <w:rsid w:val="00E2171E"/>
    <w:rsid w:val="00E21A10"/>
    <w:rsid w:val="00E230E8"/>
    <w:rsid w:val="00E232BF"/>
    <w:rsid w:val="00E24896"/>
    <w:rsid w:val="00E24CFB"/>
    <w:rsid w:val="00E27018"/>
    <w:rsid w:val="00E276E1"/>
    <w:rsid w:val="00E30781"/>
    <w:rsid w:val="00E31F37"/>
    <w:rsid w:val="00E32177"/>
    <w:rsid w:val="00E32376"/>
    <w:rsid w:val="00E326E6"/>
    <w:rsid w:val="00E32ECF"/>
    <w:rsid w:val="00E3489E"/>
    <w:rsid w:val="00E35BE2"/>
    <w:rsid w:val="00E40F1B"/>
    <w:rsid w:val="00E4162A"/>
    <w:rsid w:val="00E42425"/>
    <w:rsid w:val="00E440BA"/>
    <w:rsid w:val="00E46D1C"/>
    <w:rsid w:val="00E50AC8"/>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814C5"/>
    <w:rsid w:val="00E85858"/>
    <w:rsid w:val="00E861CB"/>
    <w:rsid w:val="00E873EC"/>
    <w:rsid w:val="00E90E7C"/>
    <w:rsid w:val="00E91284"/>
    <w:rsid w:val="00E92427"/>
    <w:rsid w:val="00E94AAB"/>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072A0"/>
    <w:rsid w:val="00F10004"/>
    <w:rsid w:val="00F11550"/>
    <w:rsid w:val="00F12070"/>
    <w:rsid w:val="00F12780"/>
    <w:rsid w:val="00F15377"/>
    <w:rsid w:val="00F155D6"/>
    <w:rsid w:val="00F155E7"/>
    <w:rsid w:val="00F16587"/>
    <w:rsid w:val="00F20260"/>
    <w:rsid w:val="00F205F4"/>
    <w:rsid w:val="00F225C6"/>
    <w:rsid w:val="00F2285C"/>
    <w:rsid w:val="00F2705A"/>
    <w:rsid w:val="00F32B11"/>
    <w:rsid w:val="00F32B41"/>
    <w:rsid w:val="00F43E5F"/>
    <w:rsid w:val="00F4405B"/>
    <w:rsid w:val="00F4411D"/>
    <w:rsid w:val="00F524FD"/>
    <w:rsid w:val="00F52C73"/>
    <w:rsid w:val="00F5489A"/>
    <w:rsid w:val="00F55909"/>
    <w:rsid w:val="00F569C4"/>
    <w:rsid w:val="00F57483"/>
    <w:rsid w:val="00F60121"/>
    <w:rsid w:val="00F6015B"/>
    <w:rsid w:val="00F6069E"/>
    <w:rsid w:val="00F60D3C"/>
    <w:rsid w:val="00F61DFB"/>
    <w:rsid w:val="00F63D86"/>
    <w:rsid w:val="00F66898"/>
    <w:rsid w:val="00F70DF4"/>
    <w:rsid w:val="00F711A4"/>
    <w:rsid w:val="00F714B9"/>
    <w:rsid w:val="00F71724"/>
    <w:rsid w:val="00F7311C"/>
    <w:rsid w:val="00F746CB"/>
    <w:rsid w:val="00F76DB0"/>
    <w:rsid w:val="00F77829"/>
    <w:rsid w:val="00F778A0"/>
    <w:rsid w:val="00F82339"/>
    <w:rsid w:val="00F8328E"/>
    <w:rsid w:val="00F836F1"/>
    <w:rsid w:val="00F84067"/>
    <w:rsid w:val="00F84095"/>
    <w:rsid w:val="00F84EF2"/>
    <w:rsid w:val="00F8739D"/>
    <w:rsid w:val="00F87C26"/>
    <w:rsid w:val="00F90FEA"/>
    <w:rsid w:val="00F95F1A"/>
    <w:rsid w:val="00FA1D30"/>
    <w:rsid w:val="00FA4466"/>
    <w:rsid w:val="00FA76CF"/>
    <w:rsid w:val="00FB03A9"/>
    <w:rsid w:val="00FB0893"/>
    <w:rsid w:val="00FB0A25"/>
    <w:rsid w:val="00FB1616"/>
    <w:rsid w:val="00FB1900"/>
    <w:rsid w:val="00FB5C2F"/>
    <w:rsid w:val="00FB5E29"/>
    <w:rsid w:val="00FB6100"/>
    <w:rsid w:val="00FC231A"/>
    <w:rsid w:val="00FC4375"/>
    <w:rsid w:val="00FC47C0"/>
    <w:rsid w:val="00FC60F8"/>
    <w:rsid w:val="00FC688F"/>
    <w:rsid w:val="00FC7714"/>
    <w:rsid w:val="00FD1BDD"/>
    <w:rsid w:val="00FD2473"/>
    <w:rsid w:val="00FD5354"/>
    <w:rsid w:val="00FD7E83"/>
    <w:rsid w:val="00FE1E3F"/>
    <w:rsid w:val="00FE2572"/>
    <w:rsid w:val="00FE267C"/>
    <w:rsid w:val="00FE2DE3"/>
    <w:rsid w:val="00FE3191"/>
    <w:rsid w:val="00FE4B90"/>
    <w:rsid w:val="00FE691E"/>
    <w:rsid w:val="00FE702D"/>
    <w:rsid w:val="00FF0AB0"/>
    <w:rsid w:val="00FF30D0"/>
    <w:rsid w:val="00FF3D9D"/>
    <w:rsid w:val="00FF3EE5"/>
    <w:rsid w:val="00FF522A"/>
    <w:rsid w:val="00FF6CEF"/>
    <w:rsid w:val="012501E2"/>
    <w:rsid w:val="0699F66D"/>
    <w:rsid w:val="0E3B4666"/>
    <w:rsid w:val="0E694689"/>
    <w:rsid w:val="107C9863"/>
    <w:rsid w:val="108A616A"/>
    <w:rsid w:val="17F0A77E"/>
    <w:rsid w:val="1A7F5C36"/>
    <w:rsid w:val="1ECCF674"/>
    <w:rsid w:val="293ED502"/>
    <w:rsid w:val="3CA550E9"/>
    <w:rsid w:val="3F560B49"/>
    <w:rsid w:val="409ED4E6"/>
    <w:rsid w:val="41010B36"/>
    <w:rsid w:val="420B49E5"/>
    <w:rsid w:val="4BD76E02"/>
    <w:rsid w:val="4C9C2949"/>
    <w:rsid w:val="4E3C96F7"/>
    <w:rsid w:val="526A7579"/>
    <w:rsid w:val="528E8F44"/>
    <w:rsid w:val="5421E921"/>
    <w:rsid w:val="555BE697"/>
    <w:rsid w:val="581B9608"/>
    <w:rsid w:val="618AF79E"/>
    <w:rsid w:val="671E8F0A"/>
    <w:rsid w:val="67EB708F"/>
    <w:rsid w:val="6D7D5D06"/>
    <w:rsid w:val="79305C0A"/>
    <w:rsid w:val="79D49BC1"/>
    <w:rsid w:val="7ADD8389"/>
    <w:rsid w:val="7D469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 w:type="table" w:styleId="Tablaconcuadrcula">
    <w:name w:val="Table Grid"/>
    <w:basedOn w:val="Tablanormal"/>
    <w:rsid w:val="0010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2d26cdcd1dd6486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tutelaspersoneriasantaros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telaspersoneriasantarosa@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3.xml><?xml version="1.0" encoding="utf-8"?>
<ds:datastoreItem xmlns:ds="http://schemas.openxmlformats.org/officeDocument/2006/customXml" ds:itemID="{BFA4FB08-9701-4852-997E-883E3775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12D1E-A1E4-4A82-B712-22478851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2019-10-30T13:09:00Z</cp:lastPrinted>
  <dcterms:created xsi:type="dcterms:W3CDTF">2022-02-11T19:40:00Z</dcterms:created>
  <dcterms:modified xsi:type="dcterms:W3CDTF">2022-04-08T16:45:00Z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