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115" w:rsidRPr="00F23115" w:rsidRDefault="00F23115" w:rsidP="00F2311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eastAsia="fr-FR"/>
        </w:rPr>
      </w:pPr>
      <w:bookmarkStart w:id="0" w:name="_Hlk76320119"/>
      <w:bookmarkStart w:id="1" w:name="_Hlk94773787"/>
      <w:r w:rsidRPr="00F23115">
        <w:rPr>
          <w:rFonts w:ascii="Arial" w:eastAsia="Times New Roman"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F23115" w:rsidRPr="00F23115" w:rsidRDefault="00F23115" w:rsidP="00F23115">
      <w:pPr>
        <w:spacing w:after="0" w:line="240" w:lineRule="auto"/>
        <w:jc w:val="both"/>
        <w:rPr>
          <w:rFonts w:ascii="Arial" w:eastAsia="Times New Roman" w:hAnsi="Arial" w:cs="Arial"/>
          <w:sz w:val="20"/>
          <w:szCs w:val="20"/>
          <w:lang w:eastAsia="es-ES"/>
        </w:rPr>
      </w:pPr>
    </w:p>
    <w:p w:rsidR="00AF4BF0" w:rsidRPr="00AF4BF0" w:rsidRDefault="00AF4BF0" w:rsidP="00AF4BF0">
      <w:pPr>
        <w:spacing w:after="0" w:line="240" w:lineRule="auto"/>
        <w:jc w:val="both"/>
        <w:rPr>
          <w:rFonts w:ascii="Arial" w:eastAsia="Times New Roman" w:hAnsi="Arial" w:cs="Arial"/>
          <w:sz w:val="20"/>
          <w:szCs w:val="20"/>
          <w:lang w:eastAsia="es-ES"/>
        </w:rPr>
      </w:pPr>
      <w:r w:rsidRPr="00AF4BF0">
        <w:rPr>
          <w:rFonts w:ascii="Arial" w:eastAsia="Times New Roman" w:hAnsi="Arial" w:cs="Arial"/>
          <w:sz w:val="20"/>
          <w:szCs w:val="20"/>
          <w:lang w:eastAsia="es-ES"/>
        </w:rPr>
        <w:t>Expediente: 66001310300320190009301</w:t>
      </w:r>
    </w:p>
    <w:p w:rsidR="00AF4BF0" w:rsidRPr="00AF4BF0" w:rsidRDefault="00AF4BF0" w:rsidP="00AF4BF0">
      <w:pPr>
        <w:spacing w:after="0" w:line="240" w:lineRule="auto"/>
        <w:jc w:val="both"/>
        <w:rPr>
          <w:rFonts w:ascii="Arial" w:eastAsia="Times New Roman" w:hAnsi="Arial" w:cs="Arial"/>
          <w:sz w:val="20"/>
          <w:szCs w:val="20"/>
          <w:lang w:eastAsia="es-ES"/>
        </w:rPr>
      </w:pPr>
      <w:r w:rsidRPr="00AF4BF0">
        <w:rPr>
          <w:rFonts w:ascii="Arial" w:eastAsia="Times New Roman" w:hAnsi="Arial" w:cs="Arial"/>
          <w:sz w:val="20"/>
          <w:szCs w:val="20"/>
          <w:lang w:eastAsia="es-ES"/>
        </w:rPr>
        <w:t>Proceso: Reorganización</w:t>
      </w:r>
    </w:p>
    <w:p w:rsidR="00AF4BF0" w:rsidRDefault="00AF4BF0" w:rsidP="00AF4BF0">
      <w:pPr>
        <w:spacing w:after="0" w:line="240" w:lineRule="auto"/>
        <w:jc w:val="both"/>
        <w:rPr>
          <w:rFonts w:ascii="Arial" w:eastAsia="Times New Roman" w:hAnsi="Arial" w:cs="Arial"/>
          <w:sz w:val="20"/>
          <w:szCs w:val="20"/>
          <w:lang w:eastAsia="es-ES"/>
        </w:rPr>
      </w:pPr>
      <w:r w:rsidRPr="00AF4BF0">
        <w:rPr>
          <w:rFonts w:ascii="Arial" w:eastAsia="Times New Roman" w:hAnsi="Arial" w:cs="Arial"/>
          <w:sz w:val="20"/>
          <w:szCs w:val="20"/>
          <w:lang w:eastAsia="es-ES"/>
        </w:rPr>
        <w:t>Asunto: Levantamiento de medida cautelar</w:t>
      </w:r>
    </w:p>
    <w:p w:rsidR="00F23115" w:rsidRPr="00F23115" w:rsidRDefault="00AF4BF0" w:rsidP="00AF4BF0">
      <w:pPr>
        <w:spacing w:after="0" w:line="240" w:lineRule="auto"/>
        <w:jc w:val="both"/>
        <w:rPr>
          <w:rFonts w:ascii="Arial" w:eastAsia="Times New Roman" w:hAnsi="Arial" w:cs="Arial"/>
          <w:sz w:val="20"/>
          <w:szCs w:val="20"/>
          <w:lang w:eastAsia="es-ES"/>
        </w:rPr>
      </w:pPr>
      <w:r w:rsidRPr="00AF4BF0">
        <w:rPr>
          <w:rFonts w:ascii="Arial" w:eastAsia="Times New Roman" w:hAnsi="Arial" w:cs="Arial"/>
          <w:sz w:val="20"/>
          <w:szCs w:val="20"/>
          <w:lang w:eastAsia="es-ES"/>
        </w:rPr>
        <w:t>Demandante: Jairo Amaya Serna</w:t>
      </w:r>
    </w:p>
    <w:p w:rsidR="00F23115" w:rsidRPr="00F23115" w:rsidRDefault="00F23115" w:rsidP="00F23115">
      <w:pPr>
        <w:spacing w:after="0" w:line="240" w:lineRule="auto"/>
        <w:jc w:val="both"/>
        <w:rPr>
          <w:rFonts w:ascii="Arial" w:eastAsia="Times New Roman" w:hAnsi="Arial" w:cs="Arial"/>
          <w:sz w:val="20"/>
          <w:szCs w:val="20"/>
          <w:lang w:eastAsia="es-ES"/>
        </w:rPr>
      </w:pPr>
    </w:p>
    <w:p w:rsidR="00F23115" w:rsidRPr="00F23115" w:rsidRDefault="008F2C94" w:rsidP="00F23115">
      <w:pPr>
        <w:spacing w:after="0" w:line="240" w:lineRule="auto"/>
        <w:jc w:val="both"/>
        <w:rPr>
          <w:rFonts w:ascii="Arial" w:eastAsia="Times New Roman" w:hAnsi="Arial" w:cs="Arial"/>
          <w:b/>
          <w:bCs/>
          <w:iCs/>
          <w:sz w:val="20"/>
          <w:szCs w:val="20"/>
          <w:lang w:eastAsia="fr-FR"/>
        </w:rPr>
      </w:pPr>
      <w:r w:rsidRPr="00F23115">
        <w:rPr>
          <w:rFonts w:ascii="Arial" w:eastAsia="Times New Roman" w:hAnsi="Arial" w:cs="Arial"/>
          <w:b/>
          <w:bCs/>
          <w:iCs/>
          <w:sz w:val="20"/>
          <w:szCs w:val="20"/>
          <w:u w:val="single"/>
          <w:lang w:eastAsia="fr-FR"/>
        </w:rPr>
        <w:t>TEMAS:</w:t>
      </w:r>
      <w:r w:rsidRPr="00F23115">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PROCESO DE REORGANIZACIÓN / MEDIDA CAUTELAR / RECURSO DE APELACIÓN / REQUISITOS / LEGITIMACIÓN, OPORTUNIDAD, SUSTENTACIÓN, PROCEDENCIA / REGULACIÓN ESPECIAL EN LA LEY 1116 DE 2016 / TAXATIVIDAD / APLICA EN ESTOS PROCESOS.</w:t>
      </w:r>
    </w:p>
    <w:p w:rsidR="00F23115" w:rsidRPr="00F23115" w:rsidRDefault="00F23115" w:rsidP="00F23115">
      <w:pPr>
        <w:spacing w:after="0" w:line="240" w:lineRule="auto"/>
        <w:jc w:val="both"/>
        <w:rPr>
          <w:rFonts w:ascii="Arial" w:eastAsia="Times New Roman" w:hAnsi="Arial" w:cs="Arial"/>
          <w:sz w:val="20"/>
          <w:szCs w:val="20"/>
          <w:lang w:eastAsia="es-ES"/>
        </w:rPr>
      </w:pPr>
    </w:p>
    <w:p w:rsidR="00F23115" w:rsidRPr="00F23115" w:rsidRDefault="00B8636F" w:rsidP="00F23115">
      <w:pPr>
        <w:spacing w:after="0" w:line="240" w:lineRule="auto"/>
        <w:jc w:val="both"/>
        <w:rPr>
          <w:rFonts w:ascii="Arial" w:eastAsia="Times New Roman" w:hAnsi="Arial" w:cs="Arial"/>
          <w:sz w:val="20"/>
          <w:szCs w:val="20"/>
          <w:lang w:eastAsia="es-ES"/>
        </w:rPr>
      </w:pPr>
      <w:r w:rsidRPr="00B8636F">
        <w:rPr>
          <w:rFonts w:ascii="Arial" w:eastAsia="Times New Roman" w:hAnsi="Arial" w:cs="Arial"/>
          <w:sz w:val="20"/>
          <w:szCs w:val="20"/>
          <w:lang w:eastAsia="es-ES"/>
        </w:rPr>
        <w:t>Corresponde a la Sala, primeramente, realizar el examen preliminar de que trata el artículo 325 del CGP, incluso si se trata de autos, ya que la norma no hace exclusión. Y en esa tarea debe verificar, entre otras cosas, que se cumplan los requisitos para la concesión del recurso, que se reducen, fundamentalmente a cuatro: (i) la legitimación; (ii) la oportunidad; (iii) el cumplimiento de cargas procesales; y (iv) la procedencia.</w:t>
      </w:r>
    </w:p>
    <w:p w:rsidR="00F23115" w:rsidRPr="00F23115" w:rsidRDefault="00F23115" w:rsidP="00F23115">
      <w:pPr>
        <w:spacing w:after="0" w:line="240" w:lineRule="auto"/>
        <w:jc w:val="both"/>
        <w:rPr>
          <w:rFonts w:ascii="Arial" w:eastAsia="Times New Roman" w:hAnsi="Arial" w:cs="Arial"/>
          <w:sz w:val="20"/>
          <w:szCs w:val="20"/>
          <w:lang w:eastAsia="es-ES"/>
        </w:rPr>
      </w:pPr>
    </w:p>
    <w:p w:rsidR="00B8636F" w:rsidRPr="00B8636F" w:rsidRDefault="00B8636F" w:rsidP="00B8636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B8636F">
        <w:rPr>
          <w:rFonts w:ascii="Arial" w:eastAsia="Times New Roman" w:hAnsi="Arial" w:cs="Arial"/>
          <w:sz w:val="20"/>
          <w:szCs w:val="20"/>
          <w:lang w:eastAsia="es-ES"/>
        </w:rPr>
        <w:t xml:space="preserve">para el caso que nos atañe la cuestión está al margen del Código General del Proceso, pues la regulación del trámite de la reorganización está prevista en la Ley 1116 de 2016, normativa que prevé, no solo la competencia, sino el régimen de los recursos. Concretamente, el artículo 6, enseña: </w:t>
      </w:r>
    </w:p>
    <w:p w:rsidR="00B8636F" w:rsidRPr="00B8636F" w:rsidRDefault="00B8636F" w:rsidP="00B8636F">
      <w:pPr>
        <w:spacing w:after="0" w:line="240" w:lineRule="auto"/>
        <w:jc w:val="both"/>
        <w:rPr>
          <w:rFonts w:ascii="Arial" w:eastAsia="Times New Roman" w:hAnsi="Arial" w:cs="Arial"/>
          <w:sz w:val="20"/>
          <w:szCs w:val="20"/>
          <w:lang w:eastAsia="es-ES"/>
        </w:rPr>
      </w:pPr>
    </w:p>
    <w:p w:rsidR="00B8636F" w:rsidRPr="00B8636F" w:rsidRDefault="00B8636F" w:rsidP="00B8636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B8636F">
        <w:rPr>
          <w:rFonts w:ascii="Arial" w:eastAsia="Times New Roman" w:hAnsi="Arial" w:cs="Arial"/>
          <w:sz w:val="20"/>
          <w:szCs w:val="20"/>
          <w:lang w:eastAsia="es-ES"/>
        </w:rPr>
        <w:t xml:space="preserve">Las providencias que profiera el juez civil del circuito dentro de los trámites previstos en esta ley, solo tendrán recurso de reposición, a excepción de las siguientes contra las cuales procede el recurso de apelación, en el efecto en que respecto de cada una de ellas se indica: </w:t>
      </w:r>
    </w:p>
    <w:p w:rsidR="00B8636F" w:rsidRPr="00B8636F" w:rsidRDefault="00B8636F" w:rsidP="00B8636F">
      <w:pPr>
        <w:spacing w:after="0" w:line="240" w:lineRule="auto"/>
        <w:jc w:val="both"/>
        <w:rPr>
          <w:rFonts w:ascii="Arial" w:eastAsia="Times New Roman" w:hAnsi="Arial" w:cs="Arial"/>
          <w:sz w:val="20"/>
          <w:szCs w:val="20"/>
          <w:lang w:eastAsia="es-ES"/>
        </w:rPr>
      </w:pPr>
    </w:p>
    <w:p w:rsidR="00B8636F" w:rsidRPr="00B8636F" w:rsidRDefault="00B8636F" w:rsidP="008D4437">
      <w:pPr>
        <w:spacing w:after="0" w:line="240" w:lineRule="auto"/>
        <w:jc w:val="both"/>
        <w:rPr>
          <w:rFonts w:ascii="Arial" w:eastAsia="Times New Roman" w:hAnsi="Arial" w:cs="Arial"/>
          <w:sz w:val="20"/>
          <w:szCs w:val="20"/>
          <w:lang w:eastAsia="es-ES"/>
        </w:rPr>
      </w:pPr>
      <w:r w:rsidRPr="00B8636F">
        <w:rPr>
          <w:rFonts w:ascii="Arial" w:eastAsia="Times New Roman" w:hAnsi="Arial" w:cs="Arial"/>
          <w:sz w:val="20"/>
          <w:szCs w:val="20"/>
          <w:lang w:eastAsia="es-ES"/>
        </w:rPr>
        <w:t xml:space="preserve">1. </w:t>
      </w:r>
      <w:r w:rsidRPr="00B8636F">
        <w:rPr>
          <w:rFonts w:ascii="Arial" w:eastAsia="Times New Roman" w:hAnsi="Arial" w:cs="Arial"/>
          <w:sz w:val="20"/>
          <w:szCs w:val="20"/>
          <w:lang w:eastAsia="es-ES"/>
        </w:rPr>
        <w:tab/>
      </w:r>
      <w:r w:rsidR="008D4437">
        <w:rPr>
          <w:rFonts w:ascii="Arial" w:eastAsia="Times New Roman" w:hAnsi="Arial" w:cs="Arial"/>
          <w:sz w:val="20"/>
          <w:szCs w:val="20"/>
          <w:lang w:eastAsia="es-ES"/>
        </w:rPr>
        <w:t>(…)</w:t>
      </w:r>
      <w:r w:rsidRPr="00B8636F">
        <w:rPr>
          <w:rFonts w:ascii="Arial" w:eastAsia="Times New Roman" w:hAnsi="Arial" w:cs="Arial"/>
          <w:sz w:val="20"/>
          <w:szCs w:val="20"/>
          <w:lang w:eastAsia="es-ES"/>
        </w:rPr>
        <w:t xml:space="preserve"> </w:t>
      </w:r>
    </w:p>
    <w:p w:rsidR="00F23115" w:rsidRPr="00F23115" w:rsidRDefault="00B8636F" w:rsidP="00B8636F">
      <w:pPr>
        <w:spacing w:after="0" w:line="240" w:lineRule="auto"/>
        <w:jc w:val="both"/>
        <w:rPr>
          <w:rFonts w:ascii="Arial" w:eastAsia="Times New Roman" w:hAnsi="Arial" w:cs="Arial"/>
          <w:sz w:val="20"/>
          <w:szCs w:val="20"/>
          <w:lang w:eastAsia="es-ES"/>
        </w:rPr>
      </w:pPr>
      <w:r w:rsidRPr="00B8636F">
        <w:rPr>
          <w:rFonts w:ascii="Arial" w:eastAsia="Times New Roman" w:hAnsi="Arial" w:cs="Arial"/>
          <w:sz w:val="20"/>
          <w:szCs w:val="20"/>
          <w:lang w:eastAsia="es-ES"/>
        </w:rPr>
        <w:t xml:space="preserve">5. </w:t>
      </w:r>
      <w:r w:rsidRPr="00B8636F">
        <w:rPr>
          <w:rFonts w:ascii="Arial" w:eastAsia="Times New Roman" w:hAnsi="Arial" w:cs="Arial"/>
          <w:sz w:val="20"/>
          <w:szCs w:val="20"/>
          <w:lang w:eastAsia="es-ES"/>
        </w:rPr>
        <w:tab/>
        <w:t>La que decrete o niegue medidas cautelares, en el efecto devolutivo.</w:t>
      </w:r>
      <w:r w:rsidR="008D4437">
        <w:rPr>
          <w:rFonts w:ascii="Arial" w:eastAsia="Times New Roman" w:hAnsi="Arial" w:cs="Arial"/>
          <w:sz w:val="20"/>
          <w:szCs w:val="20"/>
          <w:lang w:eastAsia="es-ES"/>
        </w:rPr>
        <w:t>”</w:t>
      </w:r>
    </w:p>
    <w:p w:rsidR="00F23115" w:rsidRPr="00F23115" w:rsidRDefault="00F23115" w:rsidP="00F23115">
      <w:pPr>
        <w:spacing w:after="0" w:line="240" w:lineRule="auto"/>
        <w:jc w:val="both"/>
        <w:rPr>
          <w:rFonts w:ascii="Arial" w:eastAsia="Times New Roman" w:hAnsi="Arial" w:cs="Arial"/>
          <w:sz w:val="20"/>
          <w:szCs w:val="20"/>
          <w:lang w:eastAsia="es-ES"/>
        </w:rPr>
      </w:pPr>
    </w:p>
    <w:p w:rsidR="00050FB9" w:rsidRPr="00050FB9" w:rsidRDefault="00050FB9" w:rsidP="00050FB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50FB9">
        <w:rPr>
          <w:rFonts w:ascii="Arial" w:eastAsia="Times New Roman" w:hAnsi="Arial" w:cs="Arial"/>
          <w:sz w:val="20"/>
          <w:szCs w:val="20"/>
          <w:lang w:eastAsia="es-ES"/>
        </w:rPr>
        <w:t xml:space="preserve">la medida cautelar fue dispuesta el 8 de junio de 2020, y esa, que era la providencia susceptible de apelación, quedó en firme, porque nadie la protestó. Luego, el mismo deudor, pidió su revocatoria, pasado más de un año, lo que ponía en entredicho su solicitud por la extemporaneidad, y esa hubiera sido una razón suficiente para negar su solicitud. </w:t>
      </w:r>
    </w:p>
    <w:p w:rsidR="00050FB9" w:rsidRPr="00050FB9" w:rsidRDefault="00050FB9" w:rsidP="00050FB9">
      <w:pPr>
        <w:spacing w:after="0" w:line="240" w:lineRule="auto"/>
        <w:jc w:val="both"/>
        <w:rPr>
          <w:rFonts w:ascii="Arial" w:eastAsia="Times New Roman" w:hAnsi="Arial" w:cs="Arial"/>
          <w:sz w:val="20"/>
          <w:szCs w:val="20"/>
          <w:lang w:eastAsia="es-ES"/>
        </w:rPr>
      </w:pPr>
    </w:p>
    <w:p w:rsidR="00F23115" w:rsidRPr="00F23115" w:rsidRDefault="00050FB9" w:rsidP="00050FB9">
      <w:pPr>
        <w:spacing w:after="0" w:line="240" w:lineRule="auto"/>
        <w:jc w:val="both"/>
        <w:rPr>
          <w:rFonts w:ascii="Arial" w:eastAsia="Times New Roman" w:hAnsi="Arial" w:cs="Arial"/>
          <w:sz w:val="20"/>
          <w:szCs w:val="20"/>
          <w:lang w:eastAsia="es-ES"/>
        </w:rPr>
      </w:pPr>
      <w:r w:rsidRPr="00050FB9">
        <w:rPr>
          <w:rFonts w:ascii="Arial" w:eastAsia="Times New Roman" w:hAnsi="Arial" w:cs="Arial"/>
          <w:sz w:val="20"/>
          <w:szCs w:val="20"/>
          <w:lang w:eastAsia="es-ES"/>
        </w:rPr>
        <w:t>El Juzgado, sin embargo, entendió que lo que reclamaba era el levantamiento de la misma y con esa perspectiva le dio el trámite; negó lo pedido y es esta la decisión que ahora se recurre en apelación que, como se ve, no es de aquellas que admitan, en el régimen de la Ley 1116, la doble instancia.</w:t>
      </w:r>
    </w:p>
    <w:p w:rsidR="00F23115" w:rsidRPr="00F23115" w:rsidRDefault="00F23115" w:rsidP="00F23115">
      <w:pPr>
        <w:spacing w:after="0" w:line="240" w:lineRule="auto"/>
        <w:jc w:val="both"/>
        <w:rPr>
          <w:rFonts w:ascii="Arial" w:eastAsia="Times New Roman" w:hAnsi="Arial" w:cs="Arial"/>
          <w:sz w:val="20"/>
          <w:szCs w:val="20"/>
          <w:lang w:val="es-ES" w:eastAsia="es-ES"/>
        </w:rPr>
      </w:pPr>
    </w:p>
    <w:p w:rsidR="00F23115" w:rsidRDefault="006A04EE" w:rsidP="00F23115">
      <w:pPr>
        <w:spacing w:after="0" w:line="240" w:lineRule="auto"/>
        <w:jc w:val="both"/>
        <w:rPr>
          <w:rFonts w:ascii="Arial" w:eastAsia="Times New Roman" w:hAnsi="Arial" w:cs="Arial"/>
          <w:sz w:val="20"/>
          <w:szCs w:val="20"/>
          <w:lang w:val="es-ES" w:eastAsia="es-ES"/>
        </w:rPr>
      </w:pPr>
      <w:r w:rsidRPr="006A04EE">
        <w:rPr>
          <w:rFonts w:ascii="Arial" w:eastAsia="Times New Roman" w:hAnsi="Arial" w:cs="Arial"/>
          <w:sz w:val="20"/>
          <w:szCs w:val="20"/>
          <w:lang w:val="es-ES" w:eastAsia="es-ES"/>
        </w:rPr>
        <w:t>Sobre este aspecto de la taxatividad en el proceso de reorganización, la posición de la Sala, ni es nueva, ni está aislada. Lo primero, porque de tiempo atrás así lo ha sostenido, como podría leerse en auto del 8 de junio de 2017, proferido en el radicado 66001-31-03-005-2013-00334-01. Y lo segundo, ya que, insistentemente ha sostenido la Sala de Casación Civil de la Corte Suprema, en decisiones de tutela que sirven como criterio auxiliar, sobre esa limitación</w:t>
      </w:r>
      <w:r w:rsidR="00682905">
        <w:rPr>
          <w:rFonts w:ascii="Arial" w:eastAsia="Times New Roman" w:hAnsi="Arial" w:cs="Arial"/>
          <w:sz w:val="20"/>
          <w:szCs w:val="20"/>
          <w:lang w:val="es-ES" w:eastAsia="es-ES"/>
        </w:rPr>
        <w:t>…</w:t>
      </w:r>
    </w:p>
    <w:p w:rsidR="00682905" w:rsidRPr="00F23115" w:rsidRDefault="00682905" w:rsidP="00F23115">
      <w:pPr>
        <w:spacing w:after="0" w:line="240" w:lineRule="auto"/>
        <w:jc w:val="both"/>
        <w:rPr>
          <w:rFonts w:ascii="Arial" w:eastAsia="Times New Roman" w:hAnsi="Arial" w:cs="Arial"/>
          <w:sz w:val="20"/>
          <w:szCs w:val="20"/>
          <w:lang w:val="es-ES" w:eastAsia="es-ES"/>
        </w:rPr>
      </w:pPr>
    </w:p>
    <w:p w:rsidR="00F23115" w:rsidRPr="00F23115" w:rsidRDefault="00F23115" w:rsidP="00F23115">
      <w:pPr>
        <w:spacing w:after="0" w:line="240" w:lineRule="auto"/>
        <w:jc w:val="both"/>
        <w:rPr>
          <w:rFonts w:ascii="Arial" w:eastAsia="Times New Roman" w:hAnsi="Arial" w:cs="Arial"/>
          <w:sz w:val="20"/>
          <w:szCs w:val="20"/>
          <w:lang w:val="es-ES" w:eastAsia="es-ES"/>
        </w:rPr>
      </w:pPr>
    </w:p>
    <w:bookmarkEnd w:id="0"/>
    <w:p w:rsidR="00F23115" w:rsidRPr="00F23115" w:rsidRDefault="00F23115" w:rsidP="00F23115">
      <w:pPr>
        <w:spacing w:after="0" w:line="240" w:lineRule="auto"/>
        <w:jc w:val="both"/>
        <w:rPr>
          <w:rFonts w:ascii="Arial" w:eastAsia="Times New Roman" w:hAnsi="Arial" w:cs="Arial"/>
          <w:sz w:val="20"/>
          <w:szCs w:val="20"/>
          <w:lang w:val="es-ES" w:eastAsia="es-ES"/>
        </w:rPr>
      </w:pPr>
    </w:p>
    <w:bookmarkEnd w:id="1"/>
    <w:p w:rsidR="0058568B" w:rsidRPr="00900DA8" w:rsidRDefault="0058568B" w:rsidP="00900DA8">
      <w:pPr>
        <w:tabs>
          <w:tab w:val="left" w:pos="-720"/>
        </w:tabs>
        <w:suppressAutoHyphens/>
        <w:spacing w:after="0" w:line="276" w:lineRule="auto"/>
        <w:ind w:left="1416"/>
        <w:contextualSpacing/>
        <w:jc w:val="both"/>
        <w:rPr>
          <w:rFonts w:ascii="Gadugi" w:eastAsia="Times New Roman" w:hAnsi="Gadugi"/>
          <w:b/>
          <w:spacing w:val="-3"/>
          <w:sz w:val="24"/>
          <w:szCs w:val="24"/>
          <w:lang w:val="es-ES_tradnl" w:eastAsia="es-ES"/>
        </w:rPr>
      </w:pPr>
      <w:r w:rsidRPr="00900DA8">
        <w:rPr>
          <w:rFonts w:ascii="Gadugi" w:eastAsia="Times New Roman" w:hAnsi="Gadugi"/>
          <w:b/>
          <w:spacing w:val="-3"/>
          <w:sz w:val="24"/>
          <w:szCs w:val="24"/>
          <w:lang w:val="es-ES_tradnl" w:eastAsia="es-ES"/>
        </w:rPr>
        <w:tab/>
      </w:r>
      <w:r w:rsidRPr="00900DA8">
        <w:rPr>
          <w:rFonts w:ascii="Gadugi" w:eastAsia="Times New Roman" w:hAnsi="Gadugi"/>
          <w:b/>
          <w:spacing w:val="-3"/>
          <w:sz w:val="24"/>
          <w:szCs w:val="24"/>
          <w:lang w:val="es-ES_tradnl" w:eastAsia="es-ES"/>
        </w:rPr>
        <w:tab/>
        <w:t>TRIBUNAL SUPERIOR DEL DISTRITO JUDICIAL</w:t>
      </w:r>
      <w:r w:rsidRPr="00900DA8">
        <w:rPr>
          <w:rFonts w:ascii="Gadugi" w:eastAsia="Times New Roman" w:hAnsi="Gadugi"/>
          <w:b/>
          <w:spacing w:val="-3"/>
          <w:sz w:val="24"/>
          <w:szCs w:val="24"/>
          <w:lang w:val="es-ES_tradnl" w:eastAsia="es-ES"/>
        </w:rPr>
        <w:tab/>
      </w:r>
      <w:r w:rsidRPr="00900DA8">
        <w:rPr>
          <w:rFonts w:ascii="Gadugi" w:eastAsia="Times New Roman" w:hAnsi="Gadugi"/>
          <w:b/>
          <w:spacing w:val="-3"/>
          <w:sz w:val="24"/>
          <w:szCs w:val="24"/>
          <w:lang w:val="es-ES_tradnl" w:eastAsia="es-ES"/>
        </w:rPr>
        <w:tab/>
      </w:r>
      <w:r w:rsidRPr="00900DA8">
        <w:rPr>
          <w:rFonts w:ascii="Gadugi" w:eastAsia="Times New Roman" w:hAnsi="Gadugi"/>
          <w:b/>
          <w:spacing w:val="-3"/>
          <w:sz w:val="24"/>
          <w:szCs w:val="24"/>
          <w:lang w:val="es-ES_tradnl" w:eastAsia="es-ES"/>
        </w:rPr>
        <w:tab/>
      </w:r>
      <w:r w:rsidRPr="00900DA8">
        <w:rPr>
          <w:rFonts w:ascii="Gadugi" w:eastAsia="Times New Roman" w:hAnsi="Gadugi"/>
          <w:b/>
          <w:spacing w:val="-3"/>
          <w:sz w:val="24"/>
          <w:szCs w:val="24"/>
          <w:lang w:eastAsia="es-ES"/>
        </w:rPr>
        <w:t xml:space="preserve">      </w:t>
      </w:r>
      <w:r w:rsidR="00900DA8" w:rsidRPr="00900DA8">
        <w:rPr>
          <w:rFonts w:ascii="Gadugi" w:eastAsia="Times New Roman" w:hAnsi="Gadugi"/>
          <w:b/>
          <w:spacing w:val="-3"/>
          <w:sz w:val="24"/>
          <w:szCs w:val="24"/>
          <w:lang w:val="es-ES_tradnl" w:eastAsia="es-ES"/>
        </w:rPr>
        <w:t>SALA UNITARIA</w:t>
      </w:r>
      <w:r w:rsidRPr="00900DA8">
        <w:rPr>
          <w:rFonts w:ascii="Gadugi" w:eastAsia="Times New Roman" w:hAnsi="Gadugi"/>
          <w:b/>
          <w:spacing w:val="-3"/>
          <w:sz w:val="24"/>
          <w:szCs w:val="24"/>
          <w:lang w:val="es-ES_tradnl" w:eastAsia="es-ES"/>
        </w:rPr>
        <w:t xml:space="preserve"> CIVIL FAMILIA</w:t>
      </w:r>
    </w:p>
    <w:p w:rsidR="0058568B" w:rsidRPr="00900DA8" w:rsidRDefault="0058568B" w:rsidP="00900DA8">
      <w:pPr>
        <w:tabs>
          <w:tab w:val="left" w:pos="-720"/>
        </w:tabs>
        <w:suppressAutoHyphens/>
        <w:spacing w:after="0" w:line="276" w:lineRule="auto"/>
        <w:contextualSpacing/>
        <w:jc w:val="both"/>
        <w:rPr>
          <w:rFonts w:ascii="Gadugi" w:eastAsia="Times New Roman" w:hAnsi="Gadugi"/>
          <w:b/>
          <w:spacing w:val="-3"/>
          <w:sz w:val="24"/>
          <w:szCs w:val="24"/>
          <w:lang w:val="es-ES_tradnl" w:eastAsia="es-ES"/>
        </w:rPr>
      </w:pPr>
    </w:p>
    <w:p w:rsidR="0058568B" w:rsidRPr="00900DA8" w:rsidRDefault="002B74A0" w:rsidP="00900DA8">
      <w:pPr>
        <w:tabs>
          <w:tab w:val="left" w:pos="-720"/>
        </w:tabs>
        <w:suppressAutoHyphens/>
        <w:spacing w:after="0" w:line="276" w:lineRule="auto"/>
        <w:contextualSpacing/>
        <w:jc w:val="both"/>
        <w:rPr>
          <w:rFonts w:ascii="Gadugi" w:eastAsia="Times New Roman" w:hAnsi="Gadugi"/>
          <w:b/>
          <w:spacing w:val="-3"/>
          <w:sz w:val="24"/>
          <w:szCs w:val="24"/>
          <w:lang w:val="es-ES_tradnl" w:eastAsia="es-ES"/>
        </w:rPr>
      </w:pPr>
      <w:r w:rsidRPr="00900DA8">
        <w:rPr>
          <w:rFonts w:ascii="Gadugi" w:eastAsia="Times New Roman" w:hAnsi="Gadugi"/>
          <w:b/>
          <w:spacing w:val="-3"/>
          <w:sz w:val="24"/>
          <w:szCs w:val="24"/>
          <w:lang w:val="es-ES_tradnl" w:eastAsia="es-ES"/>
        </w:rPr>
        <w:tab/>
      </w:r>
      <w:r w:rsidRPr="00900DA8">
        <w:rPr>
          <w:rFonts w:ascii="Gadugi" w:eastAsia="Times New Roman" w:hAnsi="Gadugi"/>
          <w:b/>
          <w:spacing w:val="-3"/>
          <w:sz w:val="24"/>
          <w:szCs w:val="24"/>
          <w:lang w:val="es-ES_tradnl" w:eastAsia="es-ES"/>
        </w:rPr>
        <w:tab/>
      </w:r>
      <w:r w:rsidRPr="00900DA8">
        <w:rPr>
          <w:rFonts w:ascii="Gadugi" w:eastAsia="Times New Roman" w:hAnsi="Gadugi"/>
          <w:b/>
          <w:spacing w:val="-3"/>
          <w:sz w:val="24"/>
          <w:szCs w:val="24"/>
          <w:lang w:val="es-ES_tradnl" w:eastAsia="es-ES"/>
        </w:rPr>
        <w:tab/>
      </w:r>
      <w:r w:rsidRPr="00900DA8">
        <w:rPr>
          <w:rFonts w:ascii="Gadugi" w:eastAsia="Times New Roman" w:hAnsi="Gadugi"/>
          <w:b/>
          <w:spacing w:val="-3"/>
          <w:sz w:val="24"/>
          <w:szCs w:val="24"/>
          <w:lang w:val="es-ES_tradnl" w:eastAsia="es-ES"/>
        </w:rPr>
        <w:tab/>
      </w:r>
    </w:p>
    <w:p w:rsidR="0058568B" w:rsidRPr="00900DA8" w:rsidRDefault="0058568B" w:rsidP="00900DA8">
      <w:pPr>
        <w:tabs>
          <w:tab w:val="left" w:pos="-720"/>
        </w:tabs>
        <w:suppressAutoHyphens/>
        <w:spacing w:after="0" w:line="276" w:lineRule="auto"/>
        <w:contextualSpacing/>
        <w:jc w:val="both"/>
        <w:rPr>
          <w:rFonts w:ascii="Gadugi" w:eastAsia="Times New Roman" w:hAnsi="Gadugi"/>
          <w:spacing w:val="-3"/>
          <w:sz w:val="24"/>
          <w:szCs w:val="24"/>
          <w:lang w:val="es-ES_tradnl" w:eastAsia="es-ES"/>
        </w:rPr>
      </w:pPr>
      <w:r w:rsidRPr="00900DA8">
        <w:rPr>
          <w:rFonts w:ascii="Gadugi" w:eastAsia="Times New Roman" w:hAnsi="Gadugi"/>
          <w:b/>
          <w:spacing w:val="-3"/>
          <w:sz w:val="24"/>
          <w:szCs w:val="24"/>
          <w:lang w:val="es-ES_tradnl" w:eastAsia="es-ES"/>
        </w:rPr>
        <w:tab/>
      </w:r>
      <w:r w:rsidRPr="00900DA8">
        <w:rPr>
          <w:rFonts w:ascii="Gadugi" w:eastAsia="Times New Roman" w:hAnsi="Gadugi"/>
          <w:b/>
          <w:spacing w:val="-3"/>
          <w:sz w:val="24"/>
          <w:szCs w:val="24"/>
          <w:lang w:val="es-ES_tradnl" w:eastAsia="es-ES"/>
        </w:rPr>
        <w:tab/>
      </w:r>
      <w:r w:rsidRPr="00900DA8">
        <w:rPr>
          <w:rFonts w:ascii="Gadugi" w:eastAsia="Times New Roman" w:hAnsi="Gadugi"/>
          <w:b/>
          <w:spacing w:val="-3"/>
          <w:sz w:val="24"/>
          <w:szCs w:val="24"/>
          <w:lang w:val="es-ES_tradnl" w:eastAsia="es-ES"/>
        </w:rPr>
        <w:tab/>
      </w:r>
      <w:r w:rsidRPr="00900DA8">
        <w:rPr>
          <w:rFonts w:ascii="Gadugi" w:eastAsia="Times New Roman" w:hAnsi="Gadugi"/>
          <w:b/>
          <w:spacing w:val="-3"/>
          <w:sz w:val="24"/>
          <w:szCs w:val="24"/>
          <w:lang w:val="es-ES_tradnl" w:eastAsia="es-ES"/>
        </w:rPr>
        <w:tab/>
      </w:r>
      <w:r w:rsidRPr="00900DA8">
        <w:rPr>
          <w:rFonts w:ascii="Gadugi" w:eastAsia="Times New Roman" w:hAnsi="Gadugi"/>
          <w:spacing w:val="-3"/>
          <w:sz w:val="24"/>
          <w:szCs w:val="24"/>
          <w:lang w:val="es-ES_tradnl" w:eastAsia="es-ES"/>
        </w:rPr>
        <w:t>Magistrado: Jaime Alberto Saraza Naranjo</w:t>
      </w:r>
    </w:p>
    <w:p w:rsidR="0058568B" w:rsidRPr="00900DA8" w:rsidRDefault="0058568B" w:rsidP="00900DA8">
      <w:pPr>
        <w:tabs>
          <w:tab w:val="left" w:pos="-720"/>
        </w:tabs>
        <w:suppressAutoHyphens/>
        <w:spacing w:after="0" w:line="276" w:lineRule="auto"/>
        <w:contextualSpacing/>
        <w:jc w:val="both"/>
        <w:rPr>
          <w:rFonts w:ascii="Gadugi" w:eastAsia="Times New Roman" w:hAnsi="Gadugi"/>
          <w:spacing w:val="-3"/>
          <w:sz w:val="24"/>
          <w:szCs w:val="24"/>
          <w:lang w:eastAsia="es-ES"/>
        </w:rPr>
      </w:pPr>
      <w:r w:rsidRPr="00900DA8">
        <w:rPr>
          <w:rFonts w:ascii="Gadugi" w:eastAsia="Times New Roman" w:hAnsi="Gadugi"/>
          <w:spacing w:val="-3"/>
          <w:sz w:val="24"/>
          <w:szCs w:val="24"/>
          <w:lang w:val="es-ES_tradnl" w:eastAsia="es-ES"/>
        </w:rPr>
        <w:tab/>
      </w:r>
      <w:r w:rsidRPr="00900DA8">
        <w:rPr>
          <w:rFonts w:ascii="Gadugi" w:eastAsia="Times New Roman" w:hAnsi="Gadugi"/>
          <w:spacing w:val="-3"/>
          <w:sz w:val="24"/>
          <w:szCs w:val="24"/>
          <w:lang w:val="es-ES_tradnl" w:eastAsia="es-ES"/>
        </w:rPr>
        <w:tab/>
      </w:r>
      <w:r w:rsidRPr="00900DA8">
        <w:rPr>
          <w:rFonts w:ascii="Gadugi" w:eastAsia="Times New Roman" w:hAnsi="Gadugi"/>
          <w:spacing w:val="-3"/>
          <w:sz w:val="24"/>
          <w:szCs w:val="24"/>
          <w:lang w:val="es-ES_tradnl" w:eastAsia="es-ES"/>
        </w:rPr>
        <w:tab/>
      </w:r>
      <w:r w:rsidRPr="00900DA8">
        <w:rPr>
          <w:rFonts w:ascii="Gadugi" w:eastAsia="Times New Roman" w:hAnsi="Gadugi"/>
          <w:spacing w:val="-3"/>
          <w:sz w:val="24"/>
          <w:szCs w:val="24"/>
          <w:lang w:val="es-ES_tradnl" w:eastAsia="es-ES"/>
        </w:rPr>
        <w:tab/>
        <w:t xml:space="preserve">Pereira, </w:t>
      </w:r>
      <w:r w:rsidR="00B564DE" w:rsidRPr="00900DA8">
        <w:rPr>
          <w:rFonts w:ascii="Gadugi" w:eastAsia="Times New Roman" w:hAnsi="Gadugi"/>
          <w:spacing w:val="-3"/>
          <w:sz w:val="24"/>
          <w:szCs w:val="24"/>
          <w:lang w:val="es-ES_tradnl" w:eastAsia="es-ES"/>
        </w:rPr>
        <w:t>marzo veintinueve de dos mil veintidós</w:t>
      </w:r>
    </w:p>
    <w:p w:rsidR="00B564DE" w:rsidRPr="00900DA8" w:rsidRDefault="00B564DE" w:rsidP="00900DA8">
      <w:pPr>
        <w:spacing w:after="0" w:line="276" w:lineRule="auto"/>
        <w:rPr>
          <w:rFonts w:ascii="Gadugi" w:hAnsi="Gadugi"/>
          <w:sz w:val="24"/>
          <w:szCs w:val="24"/>
          <w:lang w:val="es-ES" w:eastAsia="es-ES"/>
        </w:rPr>
      </w:pPr>
      <w:r w:rsidRPr="00900DA8">
        <w:rPr>
          <w:rFonts w:ascii="Gadugi" w:hAnsi="Gadugi"/>
          <w:sz w:val="24"/>
          <w:szCs w:val="24"/>
          <w:lang w:val="es-ES" w:eastAsia="es-ES"/>
        </w:rPr>
        <w:t xml:space="preserve">  </w:t>
      </w:r>
      <w:r w:rsidRPr="00900DA8">
        <w:rPr>
          <w:rFonts w:ascii="Gadugi" w:hAnsi="Gadugi"/>
          <w:sz w:val="24"/>
          <w:szCs w:val="24"/>
          <w:lang w:val="es-ES" w:eastAsia="es-ES"/>
        </w:rPr>
        <w:tab/>
      </w:r>
      <w:r w:rsidRPr="00900DA8">
        <w:rPr>
          <w:rFonts w:ascii="Gadugi" w:hAnsi="Gadugi"/>
          <w:sz w:val="24"/>
          <w:szCs w:val="24"/>
          <w:lang w:val="es-ES" w:eastAsia="es-ES"/>
        </w:rPr>
        <w:tab/>
      </w:r>
      <w:r w:rsidRPr="00900DA8">
        <w:rPr>
          <w:rFonts w:ascii="Gadugi" w:hAnsi="Gadugi"/>
          <w:sz w:val="24"/>
          <w:szCs w:val="24"/>
          <w:lang w:val="es-ES" w:eastAsia="es-ES"/>
        </w:rPr>
        <w:tab/>
      </w:r>
      <w:r w:rsidRPr="00900DA8">
        <w:rPr>
          <w:rFonts w:ascii="Gadugi" w:hAnsi="Gadugi"/>
          <w:sz w:val="24"/>
          <w:szCs w:val="24"/>
          <w:lang w:val="es-ES" w:eastAsia="es-ES"/>
        </w:rPr>
        <w:tab/>
        <w:t>Auto N</w:t>
      </w:r>
      <w:r w:rsidR="00901ADF" w:rsidRPr="00900DA8">
        <w:rPr>
          <w:rFonts w:ascii="Gadugi" w:hAnsi="Gadugi"/>
          <w:sz w:val="24"/>
          <w:szCs w:val="24"/>
          <w:lang w:val="es-ES" w:eastAsia="es-ES"/>
        </w:rPr>
        <w:t>r</w:t>
      </w:r>
      <w:r w:rsidRPr="00900DA8">
        <w:rPr>
          <w:rFonts w:ascii="Gadugi" w:hAnsi="Gadugi"/>
          <w:sz w:val="24"/>
          <w:szCs w:val="24"/>
          <w:lang w:val="es-ES" w:eastAsia="es-ES"/>
        </w:rPr>
        <w:t>o.</w:t>
      </w:r>
      <w:r w:rsidR="00901ADF" w:rsidRPr="00900DA8">
        <w:rPr>
          <w:rFonts w:ascii="Gadugi" w:hAnsi="Gadugi"/>
          <w:sz w:val="24"/>
          <w:szCs w:val="24"/>
          <w:lang w:val="es-ES" w:eastAsia="es-ES"/>
        </w:rPr>
        <w:t xml:space="preserve"> AC-0048-2022</w:t>
      </w:r>
      <w:r w:rsidRPr="00900DA8">
        <w:rPr>
          <w:rFonts w:ascii="Gadugi" w:hAnsi="Gadugi"/>
          <w:sz w:val="24"/>
          <w:szCs w:val="24"/>
          <w:lang w:val="es-ES" w:eastAsia="es-ES"/>
        </w:rPr>
        <w:t xml:space="preserve"> </w:t>
      </w:r>
    </w:p>
    <w:p w:rsidR="00B564DE" w:rsidRPr="00900DA8" w:rsidRDefault="002B74A0" w:rsidP="00900DA8">
      <w:pPr>
        <w:spacing w:after="0" w:line="276" w:lineRule="auto"/>
        <w:rPr>
          <w:rFonts w:ascii="Gadugi" w:hAnsi="Gadugi"/>
          <w:sz w:val="24"/>
          <w:szCs w:val="24"/>
          <w:lang w:val="es-ES" w:eastAsia="es-ES"/>
        </w:rPr>
      </w:pPr>
      <w:r w:rsidRPr="00900DA8">
        <w:rPr>
          <w:rFonts w:ascii="Gadugi" w:hAnsi="Gadugi"/>
          <w:sz w:val="24"/>
          <w:szCs w:val="24"/>
          <w:lang w:val="es-ES" w:eastAsia="es-ES"/>
        </w:rPr>
        <w:tab/>
      </w:r>
      <w:r w:rsidRPr="00900DA8">
        <w:rPr>
          <w:rFonts w:ascii="Gadugi" w:hAnsi="Gadugi"/>
          <w:sz w:val="24"/>
          <w:szCs w:val="24"/>
          <w:lang w:val="es-ES" w:eastAsia="es-ES"/>
        </w:rPr>
        <w:tab/>
      </w:r>
      <w:r w:rsidRPr="00900DA8">
        <w:rPr>
          <w:rFonts w:ascii="Gadugi" w:hAnsi="Gadugi"/>
          <w:sz w:val="24"/>
          <w:szCs w:val="24"/>
          <w:lang w:val="es-ES" w:eastAsia="es-ES"/>
        </w:rPr>
        <w:tab/>
      </w:r>
      <w:r w:rsidRPr="00900DA8">
        <w:rPr>
          <w:rFonts w:ascii="Gadugi" w:hAnsi="Gadugi"/>
          <w:sz w:val="24"/>
          <w:szCs w:val="24"/>
          <w:lang w:val="es-ES" w:eastAsia="es-ES"/>
        </w:rPr>
        <w:tab/>
      </w:r>
    </w:p>
    <w:p w:rsidR="00D82E89" w:rsidRPr="00900DA8" w:rsidRDefault="002B74A0" w:rsidP="00900DA8">
      <w:pPr>
        <w:spacing w:after="0" w:line="276" w:lineRule="auto"/>
        <w:rPr>
          <w:rFonts w:ascii="Gadugi" w:hAnsi="Gadugi"/>
          <w:sz w:val="24"/>
          <w:szCs w:val="24"/>
          <w:lang w:val="es-ES" w:eastAsia="es-ES"/>
        </w:rPr>
      </w:pPr>
      <w:r w:rsidRPr="00900DA8">
        <w:rPr>
          <w:rFonts w:ascii="Gadugi" w:hAnsi="Gadugi"/>
          <w:sz w:val="24"/>
          <w:szCs w:val="24"/>
          <w:lang w:val="es-ES" w:eastAsia="es-ES"/>
        </w:rPr>
        <w:tab/>
      </w:r>
      <w:r w:rsidRPr="00900DA8">
        <w:rPr>
          <w:rFonts w:ascii="Gadugi" w:hAnsi="Gadugi"/>
          <w:sz w:val="24"/>
          <w:szCs w:val="24"/>
          <w:lang w:val="es-ES" w:eastAsia="es-ES"/>
        </w:rPr>
        <w:tab/>
      </w:r>
      <w:r w:rsidRPr="00900DA8">
        <w:rPr>
          <w:rFonts w:ascii="Gadugi" w:hAnsi="Gadugi"/>
          <w:sz w:val="24"/>
          <w:szCs w:val="24"/>
          <w:lang w:val="es-ES" w:eastAsia="es-ES"/>
        </w:rPr>
        <w:tab/>
      </w:r>
      <w:r w:rsidRPr="00900DA8">
        <w:rPr>
          <w:rFonts w:ascii="Gadugi" w:hAnsi="Gadugi"/>
          <w:sz w:val="24"/>
          <w:szCs w:val="24"/>
          <w:lang w:val="es-ES" w:eastAsia="es-ES"/>
        </w:rPr>
        <w:tab/>
      </w:r>
    </w:p>
    <w:p w:rsidR="00D82E89" w:rsidRPr="00900DA8" w:rsidRDefault="0058568B" w:rsidP="00900DA8">
      <w:pPr>
        <w:spacing w:after="0" w:line="276" w:lineRule="auto"/>
        <w:ind w:firstLine="2835"/>
        <w:jc w:val="both"/>
        <w:rPr>
          <w:rFonts w:ascii="Gadugi" w:hAnsi="Gadugi"/>
          <w:sz w:val="24"/>
          <w:szCs w:val="24"/>
        </w:rPr>
      </w:pPr>
      <w:r w:rsidRPr="00900DA8">
        <w:rPr>
          <w:rFonts w:ascii="Gadugi" w:hAnsi="Gadugi"/>
          <w:sz w:val="24"/>
          <w:szCs w:val="24"/>
        </w:rPr>
        <w:t>Corresponde a la Sala decidir</w:t>
      </w:r>
      <w:r w:rsidR="00B564DE" w:rsidRPr="00900DA8">
        <w:rPr>
          <w:rFonts w:ascii="Gadugi" w:hAnsi="Gadugi"/>
          <w:sz w:val="24"/>
          <w:szCs w:val="24"/>
        </w:rPr>
        <w:t xml:space="preserve"> sobre la suerte del recurso de apelación propuesto por el señor Jairo Amaya Serna frente al auto del 18 de agosto </w:t>
      </w:r>
      <w:r w:rsidR="00B564DE" w:rsidRPr="00900DA8">
        <w:rPr>
          <w:rFonts w:ascii="Gadugi" w:hAnsi="Gadugi"/>
          <w:sz w:val="24"/>
          <w:szCs w:val="24"/>
        </w:rPr>
        <w:lastRenderedPageBreak/>
        <w:t xml:space="preserve">de 2021, </w:t>
      </w:r>
      <w:r w:rsidR="00D82E89" w:rsidRPr="00900DA8">
        <w:rPr>
          <w:rFonts w:ascii="Gadugi" w:hAnsi="Gadugi"/>
          <w:sz w:val="24"/>
          <w:szCs w:val="24"/>
        </w:rPr>
        <w:t xml:space="preserve">proferido por el Juzgado Tercero Civil del Circuito, en este trámite de reorganización que inició. </w:t>
      </w:r>
    </w:p>
    <w:p w:rsidR="00D82E89" w:rsidRPr="00900DA8" w:rsidRDefault="00D82E89" w:rsidP="00900DA8">
      <w:pPr>
        <w:spacing w:after="0" w:line="276" w:lineRule="auto"/>
        <w:ind w:firstLine="2835"/>
        <w:jc w:val="both"/>
        <w:rPr>
          <w:rFonts w:ascii="Gadugi" w:hAnsi="Gadugi"/>
          <w:sz w:val="24"/>
          <w:szCs w:val="24"/>
        </w:rPr>
      </w:pPr>
    </w:p>
    <w:p w:rsidR="00D82E89" w:rsidRPr="00900DA8" w:rsidRDefault="00D82E89" w:rsidP="00900DA8">
      <w:pPr>
        <w:spacing w:after="0" w:line="276" w:lineRule="auto"/>
        <w:ind w:firstLine="2835"/>
        <w:jc w:val="both"/>
        <w:rPr>
          <w:rFonts w:ascii="Gadugi" w:hAnsi="Gadugi"/>
          <w:sz w:val="24"/>
          <w:szCs w:val="24"/>
        </w:rPr>
      </w:pPr>
    </w:p>
    <w:p w:rsidR="007002BA" w:rsidRPr="00900DA8" w:rsidRDefault="007002BA" w:rsidP="00900DA8">
      <w:pPr>
        <w:spacing w:after="0" w:line="276" w:lineRule="auto"/>
        <w:ind w:firstLine="2835"/>
        <w:jc w:val="both"/>
        <w:rPr>
          <w:rFonts w:ascii="Gadugi" w:hAnsi="Gadugi"/>
          <w:b/>
          <w:sz w:val="24"/>
          <w:szCs w:val="24"/>
        </w:rPr>
      </w:pPr>
      <w:r w:rsidRPr="00900DA8">
        <w:rPr>
          <w:rFonts w:ascii="Gadugi" w:hAnsi="Gadugi"/>
          <w:b/>
          <w:sz w:val="24"/>
          <w:szCs w:val="24"/>
        </w:rPr>
        <w:t>ANTECEDENTES</w:t>
      </w:r>
    </w:p>
    <w:p w:rsidR="007002BA" w:rsidRPr="00900DA8" w:rsidRDefault="007002BA" w:rsidP="00900DA8">
      <w:pPr>
        <w:spacing w:after="0" w:line="276" w:lineRule="auto"/>
        <w:ind w:firstLine="2835"/>
        <w:jc w:val="both"/>
        <w:rPr>
          <w:rFonts w:ascii="Gadugi" w:hAnsi="Gadugi"/>
          <w:sz w:val="24"/>
          <w:szCs w:val="24"/>
        </w:rPr>
      </w:pPr>
    </w:p>
    <w:p w:rsidR="007002BA" w:rsidRPr="00900DA8" w:rsidRDefault="007002BA" w:rsidP="00900DA8">
      <w:pPr>
        <w:spacing w:after="0" w:line="276" w:lineRule="auto"/>
        <w:ind w:firstLine="2835"/>
        <w:jc w:val="both"/>
        <w:rPr>
          <w:rFonts w:ascii="Gadugi" w:hAnsi="Gadugi"/>
          <w:sz w:val="24"/>
          <w:szCs w:val="24"/>
        </w:rPr>
      </w:pPr>
    </w:p>
    <w:p w:rsidR="00471461" w:rsidRDefault="00471461" w:rsidP="00900DA8">
      <w:pPr>
        <w:spacing w:after="0" w:line="276" w:lineRule="auto"/>
        <w:ind w:firstLine="2835"/>
        <w:jc w:val="both"/>
        <w:rPr>
          <w:rFonts w:ascii="Gadugi" w:hAnsi="Gadugi"/>
          <w:sz w:val="24"/>
          <w:szCs w:val="24"/>
        </w:rPr>
      </w:pPr>
      <w:r w:rsidRPr="00900DA8">
        <w:rPr>
          <w:rFonts w:ascii="Gadugi" w:hAnsi="Gadugi"/>
          <w:sz w:val="24"/>
          <w:szCs w:val="24"/>
        </w:rPr>
        <w:t>En el referido trámite, instaurado por Jairo Amaya Serna, como controlante de la sociedad AYA Ltda., mediante auto del 8 de junio de 2020</w:t>
      </w:r>
      <w:r w:rsidRPr="00900DA8">
        <w:rPr>
          <w:rStyle w:val="Refdenotaalpie"/>
          <w:rFonts w:ascii="Gadugi" w:hAnsi="Gadugi"/>
          <w:sz w:val="24"/>
          <w:szCs w:val="24"/>
        </w:rPr>
        <w:footnoteReference w:id="1"/>
      </w:r>
      <w:r w:rsidRPr="00900DA8">
        <w:rPr>
          <w:rFonts w:ascii="Gadugi" w:hAnsi="Gadugi"/>
          <w:sz w:val="24"/>
          <w:szCs w:val="24"/>
        </w:rPr>
        <w:t>, el juzgado dispuso el levantamiento de unas medidas, negó el de otras y ordenó librar oficio a la Fiduciaria Bancolombia S.A., para que pusiera a su disposición los dineros derivados del contrato fiduciario celebrado con Jairo Amaya Serna y Leopoldo Orejuela Grajales sobre el bien ubicado en la Avenida de las Américas #82-97 de Pereira, en lo que respecta a los derechos de Amaya Serna.</w:t>
      </w:r>
    </w:p>
    <w:p w:rsidR="00900DA8" w:rsidRPr="00900DA8" w:rsidRDefault="00900DA8" w:rsidP="00900DA8">
      <w:pPr>
        <w:spacing w:after="0" w:line="276" w:lineRule="auto"/>
        <w:ind w:firstLine="2835"/>
        <w:jc w:val="both"/>
        <w:rPr>
          <w:rFonts w:ascii="Gadugi" w:hAnsi="Gadugi"/>
          <w:sz w:val="24"/>
          <w:szCs w:val="24"/>
        </w:rPr>
      </w:pPr>
    </w:p>
    <w:p w:rsidR="00471461" w:rsidRPr="00900DA8" w:rsidRDefault="00471461" w:rsidP="00900DA8">
      <w:pPr>
        <w:spacing w:after="0" w:line="276" w:lineRule="auto"/>
        <w:ind w:firstLine="2835"/>
        <w:jc w:val="both"/>
        <w:rPr>
          <w:rFonts w:ascii="Gadugi" w:hAnsi="Gadugi"/>
          <w:sz w:val="24"/>
          <w:szCs w:val="24"/>
        </w:rPr>
      </w:pPr>
      <w:r w:rsidRPr="00900DA8">
        <w:rPr>
          <w:rFonts w:ascii="Gadugi" w:hAnsi="Gadugi"/>
          <w:sz w:val="24"/>
          <w:szCs w:val="24"/>
        </w:rPr>
        <w:t>Tal providencia fue notificada el 9 de julio de 2020</w:t>
      </w:r>
      <w:r w:rsidR="00E62E6D" w:rsidRPr="00900DA8">
        <w:rPr>
          <w:rFonts w:ascii="Gadugi" w:hAnsi="Gadugi"/>
          <w:sz w:val="24"/>
          <w:szCs w:val="24"/>
        </w:rPr>
        <w:t xml:space="preserve"> sin que obre constancia alguna de que hubiera sido impugnado por los interesados. </w:t>
      </w:r>
    </w:p>
    <w:p w:rsidR="00E62E6D" w:rsidRPr="00900DA8" w:rsidRDefault="00E62E6D" w:rsidP="00900DA8">
      <w:pPr>
        <w:spacing w:after="0" w:line="276" w:lineRule="auto"/>
        <w:ind w:firstLine="2835"/>
        <w:jc w:val="both"/>
        <w:rPr>
          <w:rFonts w:ascii="Gadugi" w:hAnsi="Gadugi"/>
          <w:sz w:val="24"/>
          <w:szCs w:val="24"/>
        </w:rPr>
      </w:pPr>
    </w:p>
    <w:p w:rsidR="00EF2ED7" w:rsidRPr="00900DA8" w:rsidRDefault="00E62E6D" w:rsidP="00900DA8">
      <w:pPr>
        <w:spacing w:after="0" w:line="276" w:lineRule="auto"/>
        <w:ind w:firstLine="2835"/>
        <w:jc w:val="both"/>
        <w:rPr>
          <w:rFonts w:ascii="Gadugi" w:hAnsi="Gadugi"/>
          <w:sz w:val="24"/>
          <w:szCs w:val="24"/>
        </w:rPr>
      </w:pPr>
      <w:r w:rsidRPr="00900DA8">
        <w:rPr>
          <w:rFonts w:ascii="Gadugi" w:hAnsi="Gadugi"/>
          <w:sz w:val="24"/>
          <w:szCs w:val="24"/>
        </w:rPr>
        <w:t>El 26 de julio de 2021, el señor Amaya Serna solicitó que se revocara esa decisión final, a pesar de que se refirió a un auto del 8 de junio de 2021</w:t>
      </w:r>
      <w:r w:rsidRPr="00900DA8">
        <w:rPr>
          <w:rStyle w:val="Refdenotaalpie"/>
          <w:rFonts w:ascii="Gadugi" w:hAnsi="Gadugi"/>
          <w:sz w:val="24"/>
          <w:szCs w:val="24"/>
        </w:rPr>
        <w:footnoteReference w:id="2"/>
      </w:r>
      <w:r w:rsidR="00EF2ED7" w:rsidRPr="00900DA8">
        <w:rPr>
          <w:rFonts w:ascii="Gadugi" w:hAnsi="Gadugi"/>
          <w:sz w:val="24"/>
          <w:szCs w:val="24"/>
        </w:rPr>
        <w:t xml:space="preserve">. </w:t>
      </w:r>
    </w:p>
    <w:p w:rsidR="00EF2ED7" w:rsidRPr="00900DA8" w:rsidRDefault="00EF2ED7" w:rsidP="00900DA8">
      <w:pPr>
        <w:spacing w:after="0" w:line="276" w:lineRule="auto"/>
        <w:ind w:firstLine="2835"/>
        <w:jc w:val="both"/>
        <w:rPr>
          <w:rFonts w:ascii="Gadugi" w:hAnsi="Gadugi"/>
          <w:sz w:val="24"/>
          <w:szCs w:val="24"/>
        </w:rPr>
      </w:pPr>
    </w:p>
    <w:p w:rsidR="00471461" w:rsidRPr="00900DA8" w:rsidRDefault="00EF2ED7" w:rsidP="00900DA8">
      <w:pPr>
        <w:spacing w:after="0" w:line="276" w:lineRule="auto"/>
        <w:ind w:firstLine="2835"/>
        <w:jc w:val="both"/>
        <w:rPr>
          <w:rFonts w:ascii="Gadugi" w:hAnsi="Gadugi"/>
          <w:sz w:val="24"/>
          <w:szCs w:val="24"/>
        </w:rPr>
      </w:pPr>
      <w:r w:rsidRPr="00900DA8">
        <w:rPr>
          <w:rFonts w:ascii="Gadugi" w:hAnsi="Gadugi"/>
          <w:sz w:val="24"/>
          <w:szCs w:val="24"/>
        </w:rPr>
        <w:t>El despacho respondió, con auto del 18 de agosto</w:t>
      </w:r>
      <w:r w:rsidRPr="00900DA8">
        <w:rPr>
          <w:rStyle w:val="Refdenotaalpie"/>
          <w:rFonts w:ascii="Gadugi" w:hAnsi="Gadugi"/>
          <w:sz w:val="24"/>
          <w:szCs w:val="24"/>
        </w:rPr>
        <w:footnoteReference w:id="3"/>
      </w:r>
      <w:r w:rsidRPr="00900DA8">
        <w:rPr>
          <w:rFonts w:ascii="Gadugi" w:hAnsi="Gadugi"/>
          <w:sz w:val="24"/>
          <w:szCs w:val="24"/>
        </w:rPr>
        <w:t xml:space="preserve">, en el que negó el levantamiento de la medida, por cuanto </w:t>
      </w:r>
      <w:r w:rsidR="00471461" w:rsidRPr="00900DA8">
        <w:rPr>
          <w:rFonts w:ascii="Gadugi" w:hAnsi="Gadugi"/>
          <w:sz w:val="24"/>
          <w:szCs w:val="24"/>
        </w:rPr>
        <w:t>los rendimientos de los bienes derivados del contrato fiduciario</w:t>
      </w:r>
      <w:r w:rsidRPr="00900DA8">
        <w:rPr>
          <w:rFonts w:ascii="Gadugi" w:hAnsi="Gadugi"/>
          <w:sz w:val="24"/>
          <w:szCs w:val="24"/>
        </w:rPr>
        <w:t>,</w:t>
      </w:r>
      <w:r w:rsidR="00471461" w:rsidRPr="00900DA8">
        <w:rPr>
          <w:rFonts w:ascii="Gadugi" w:hAnsi="Gadugi"/>
          <w:sz w:val="24"/>
          <w:szCs w:val="24"/>
        </w:rPr>
        <w:t xml:space="preserve"> en la práctica</w:t>
      </w:r>
      <w:r w:rsidRPr="00900DA8">
        <w:rPr>
          <w:rFonts w:ascii="Gadugi" w:hAnsi="Gadugi"/>
          <w:sz w:val="24"/>
          <w:szCs w:val="24"/>
        </w:rPr>
        <w:t>,</w:t>
      </w:r>
      <w:r w:rsidR="00471461" w:rsidRPr="00900DA8">
        <w:rPr>
          <w:rFonts w:ascii="Gadugi" w:hAnsi="Gadugi"/>
          <w:sz w:val="24"/>
          <w:szCs w:val="24"/>
        </w:rPr>
        <w:t xml:space="preserve"> hacen parte de</w:t>
      </w:r>
      <w:r w:rsidRPr="00900DA8">
        <w:rPr>
          <w:rFonts w:ascii="Gadugi" w:hAnsi="Gadugi"/>
          <w:sz w:val="24"/>
          <w:szCs w:val="24"/>
        </w:rPr>
        <w:t xml:space="preserve"> </w:t>
      </w:r>
      <w:r w:rsidR="00471461" w:rsidRPr="00900DA8">
        <w:rPr>
          <w:rFonts w:ascii="Gadugi" w:hAnsi="Gadugi"/>
          <w:sz w:val="24"/>
          <w:szCs w:val="24"/>
        </w:rPr>
        <w:t>los activos del deudor y son objeto de aprisionamiento al tenor de lo normado por el artículo 18-7 de la Ley 1116.</w:t>
      </w:r>
    </w:p>
    <w:p w:rsidR="00EF2ED7" w:rsidRPr="00900DA8" w:rsidRDefault="00EF2ED7" w:rsidP="00900DA8">
      <w:pPr>
        <w:spacing w:after="0" w:line="276" w:lineRule="auto"/>
        <w:ind w:firstLine="2835"/>
        <w:jc w:val="both"/>
        <w:rPr>
          <w:rFonts w:ascii="Gadugi" w:hAnsi="Gadugi"/>
          <w:sz w:val="24"/>
          <w:szCs w:val="24"/>
        </w:rPr>
      </w:pPr>
    </w:p>
    <w:p w:rsidR="00EF2ED7" w:rsidRPr="00900DA8" w:rsidRDefault="00EF2ED7" w:rsidP="00900DA8">
      <w:pPr>
        <w:spacing w:after="0" w:line="276" w:lineRule="auto"/>
        <w:ind w:firstLine="2835"/>
        <w:jc w:val="both"/>
        <w:rPr>
          <w:rFonts w:ascii="Gadugi" w:hAnsi="Gadugi"/>
          <w:sz w:val="24"/>
          <w:szCs w:val="24"/>
        </w:rPr>
      </w:pPr>
      <w:r w:rsidRPr="00900DA8">
        <w:rPr>
          <w:rFonts w:ascii="Gadugi" w:hAnsi="Gadugi"/>
          <w:sz w:val="24"/>
          <w:szCs w:val="24"/>
        </w:rPr>
        <w:t>Contra lo resuelto, ahora la apoderada judicial del señor Amaya, interpuso</w:t>
      </w:r>
      <w:r w:rsidR="002D234E" w:rsidRPr="00900DA8">
        <w:rPr>
          <w:rFonts w:ascii="Gadugi" w:hAnsi="Gadugi"/>
          <w:sz w:val="24"/>
          <w:szCs w:val="24"/>
        </w:rPr>
        <w:t>,</w:t>
      </w:r>
      <w:r w:rsidRPr="00900DA8">
        <w:rPr>
          <w:rFonts w:ascii="Gadugi" w:hAnsi="Gadugi"/>
          <w:sz w:val="24"/>
          <w:szCs w:val="24"/>
        </w:rPr>
        <w:t xml:space="preserve"> </w:t>
      </w:r>
      <w:r w:rsidR="00663533" w:rsidRPr="00900DA8">
        <w:rPr>
          <w:rFonts w:ascii="Gadugi" w:hAnsi="Gadugi"/>
          <w:sz w:val="24"/>
          <w:szCs w:val="24"/>
        </w:rPr>
        <w:t>en tiempo</w:t>
      </w:r>
      <w:r w:rsidR="002D234E" w:rsidRPr="00900DA8">
        <w:rPr>
          <w:rFonts w:ascii="Gadugi" w:hAnsi="Gadugi"/>
          <w:sz w:val="24"/>
          <w:szCs w:val="24"/>
        </w:rPr>
        <w:t>,</w:t>
      </w:r>
      <w:r w:rsidR="00663533" w:rsidRPr="00900DA8">
        <w:rPr>
          <w:rFonts w:ascii="Gadugi" w:hAnsi="Gadugi"/>
          <w:sz w:val="24"/>
          <w:szCs w:val="24"/>
        </w:rPr>
        <w:t xml:space="preserve"> </w:t>
      </w:r>
      <w:r w:rsidRPr="00900DA8">
        <w:rPr>
          <w:rFonts w:ascii="Gadugi" w:hAnsi="Gadugi"/>
          <w:sz w:val="24"/>
          <w:szCs w:val="24"/>
        </w:rPr>
        <w:t>recursos de reposición y, en subsidio, apelación</w:t>
      </w:r>
      <w:r w:rsidRPr="00900DA8">
        <w:rPr>
          <w:rStyle w:val="Refdenotaalpie"/>
          <w:rFonts w:ascii="Gadugi" w:hAnsi="Gadugi"/>
          <w:sz w:val="24"/>
          <w:szCs w:val="24"/>
        </w:rPr>
        <w:footnoteReference w:id="4"/>
      </w:r>
      <w:r w:rsidRPr="00900DA8">
        <w:rPr>
          <w:rFonts w:ascii="Gadugi" w:hAnsi="Gadugi"/>
          <w:sz w:val="24"/>
          <w:szCs w:val="24"/>
        </w:rPr>
        <w:t xml:space="preserve">, sustentados, básicamente, en la necesidad del deudor de atender múltiples obligaciones. </w:t>
      </w:r>
    </w:p>
    <w:p w:rsidR="00EF2ED7" w:rsidRPr="00900DA8" w:rsidRDefault="00EF2ED7" w:rsidP="00900DA8">
      <w:pPr>
        <w:spacing w:after="0" w:line="276" w:lineRule="auto"/>
        <w:ind w:firstLine="2835"/>
        <w:jc w:val="both"/>
        <w:rPr>
          <w:rFonts w:ascii="Gadugi" w:hAnsi="Gadugi"/>
          <w:sz w:val="24"/>
          <w:szCs w:val="24"/>
        </w:rPr>
      </w:pPr>
    </w:p>
    <w:p w:rsidR="00471461" w:rsidRPr="00900DA8" w:rsidRDefault="00EF2ED7" w:rsidP="00900DA8">
      <w:pPr>
        <w:spacing w:after="0" w:line="276" w:lineRule="auto"/>
        <w:ind w:firstLine="2835"/>
        <w:jc w:val="both"/>
        <w:rPr>
          <w:rFonts w:ascii="Gadugi" w:hAnsi="Gadugi"/>
          <w:sz w:val="24"/>
          <w:szCs w:val="24"/>
        </w:rPr>
      </w:pPr>
      <w:r w:rsidRPr="00900DA8">
        <w:rPr>
          <w:rFonts w:ascii="Gadugi" w:hAnsi="Gadugi"/>
          <w:sz w:val="24"/>
          <w:szCs w:val="24"/>
        </w:rPr>
        <w:t>La decisión se mantuvo, según el auto del 27 de septiembre de 2021</w:t>
      </w:r>
      <w:r w:rsidRPr="00900DA8">
        <w:rPr>
          <w:rStyle w:val="Refdenotaalpie"/>
          <w:rFonts w:ascii="Gadugi" w:hAnsi="Gadugi"/>
          <w:sz w:val="24"/>
          <w:szCs w:val="24"/>
        </w:rPr>
        <w:footnoteReference w:id="5"/>
      </w:r>
      <w:r w:rsidRPr="00900DA8">
        <w:rPr>
          <w:rFonts w:ascii="Gadugi" w:hAnsi="Gadugi"/>
          <w:sz w:val="24"/>
          <w:szCs w:val="24"/>
        </w:rPr>
        <w:t xml:space="preserve"> y, sin explicación alguna, </w:t>
      </w:r>
      <w:r w:rsidR="00663533" w:rsidRPr="00900DA8">
        <w:rPr>
          <w:rFonts w:ascii="Gadugi" w:hAnsi="Gadugi"/>
          <w:sz w:val="24"/>
          <w:szCs w:val="24"/>
        </w:rPr>
        <w:t xml:space="preserve">se </w:t>
      </w:r>
      <w:r w:rsidRPr="00900DA8">
        <w:rPr>
          <w:rFonts w:ascii="Gadugi" w:hAnsi="Gadugi"/>
          <w:sz w:val="24"/>
          <w:szCs w:val="24"/>
        </w:rPr>
        <w:t xml:space="preserve">concedió la alzada.  </w:t>
      </w:r>
    </w:p>
    <w:p w:rsidR="00EF2ED7" w:rsidRPr="00900DA8" w:rsidRDefault="00EF2ED7" w:rsidP="00900DA8">
      <w:pPr>
        <w:spacing w:after="0" w:line="276" w:lineRule="auto"/>
        <w:ind w:firstLine="2835"/>
        <w:jc w:val="both"/>
        <w:rPr>
          <w:rFonts w:ascii="Gadugi" w:hAnsi="Gadugi"/>
          <w:sz w:val="24"/>
          <w:szCs w:val="24"/>
        </w:rPr>
      </w:pPr>
    </w:p>
    <w:p w:rsidR="00471461" w:rsidRPr="00900DA8" w:rsidRDefault="00471461" w:rsidP="00900DA8">
      <w:pPr>
        <w:spacing w:after="0" w:line="276" w:lineRule="auto"/>
        <w:rPr>
          <w:rFonts w:ascii="Gadugi" w:hAnsi="Gadugi"/>
          <w:sz w:val="24"/>
          <w:szCs w:val="24"/>
        </w:rPr>
      </w:pPr>
    </w:p>
    <w:p w:rsidR="00EF2ED7" w:rsidRPr="00900DA8" w:rsidRDefault="00EF2ED7" w:rsidP="00900DA8">
      <w:pPr>
        <w:spacing w:after="0" w:line="276" w:lineRule="auto"/>
        <w:rPr>
          <w:rFonts w:ascii="Gadugi" w:hAnsi="Gadugi"/>
          <w:b/>
          <w:sz w:val="24"/>
          <w:szCs w:val="24"/>
        </w:rPr>
      </w:pPr>
      <w:r w:rsidRPr="00900DA8">
        <w:rPr>
          <w:rFonts w:ascii="Gadugi" w:hAnsi="Gadugi"/>
          <w:sz w:val="24"/>
          <w:szCs w:val="24"/>
        </w:rPr>
        <w:t xml:space="preserve"> </w:t>
      </w:r>
      <w:r w:rsidRPr="00900DA8">
        <w:rPr>
          <w:rFonts w:ascii="Gadugi" w:hAnsi="Gadugi"/>
          <w:sz w:val="24"/>
          <w:szCs w:val="24"/>
        </w:rPr>
        <w:tab/>
      </w:r>
      <w:r w:rsidRPr="00900DA8">
        <w:rPr>
          <w:rFonts w:ascii="Gadugi" w:hAnsi="Gadugi"/>
          <w:sz w:val="24"/>
          <w:szCs w:val="24"/>
        </w:rPr>
        <w:tab/>
      </w:r>
      <w:r w:rsidRPr="00900DA8">
        <w:rPr>
          <w:rFonts w:ascii="Gadugi" w:hAnsi="Gadugi"/>
          <w:sz w:val="24"/>
          <w:szCs w:val="24"/>
        </w:rPr>
        <w:tab/>
      </w:r>
      <w:r w:rsidRPr="00900DA8">
        <w:rPr>
          <w:rFonts w:ascii="Gadugi" w:hAnsi="Gadugi"/>
          <w:sz w:val="24"/>
          <w:szCs w:val="24"/>
        </w:rPr>
        <w:tab/>
      </w:r>
      <w:r w:rsidRPr="00900DA8">
        <w:rPr>
          <w:rFonts w:ascii="Gadugi" w:hAnsi="Gadugi"/>
          <w:b/>
          <w:sz w:val="24"/>
          <w:szCs w:val="24"/>
        </w:rPr>
        <w:t>CONSIDERACIONES</w:t>
      </w:r>
    </w:p>
    <w:p w:rsidR="00471461" w:rsidRPr="00900DA8" w:rsidRDefault="00471461" w:rsidP="00900DA8">
      <w:pPr>
        <w:spacing w:after="0" w:line="276" w:lineRule="auto"/>
        <w:ind w:firstLine="2835"/>
        <w:jc w:val="both"/>
        <w:rPr>
          <w:rFonts w:ascii="Gadugi" w:hAnsi="Gadugi"/>
          <w:sz w:val="24"/>
          <w:szCs w:val="24"/>
        </w:rPr>
      </w:pPr>
    </w:p>
    <w:p w:rsidR="002D234E" w:rsidRPr="00900DA8" w:rsidRDefault="002D234E" w:rsidP="00900DA8">
      <w:pPr>
        <w:spacing w:after="0" w:line="276" w:lineRule="auto"/>
        <w:ind w:firstLine="2835"/>
        <w:jc w:val="both"/>
        <w:rPr>
          <w:rFonts w:ascii="Gadugi" w:hAnsi="Gadugi"/>
          <w:sz w:val="24"/>
          <w:szCs w:val="24"/>
        </w:rPr>
      </w:pPr>
    </w:p>
    <w:p w:rsidR="00EF2ED7" w:rsidRPr="00900DA8" w:rsidRDefault="00663533" w:rsidP="00900DA8">
      <w:pPr>
        <w:pStyle w:val="Prrafodelista"/>
        <w:numPr>
          <w:ilvl w:val="0"/>
          <w:numId w:val="2"/>
        </w:numPr>
        <w:tabs>
          <w:tab w:val="left" w:pos="3119"/>
        </w:tabs>
        <w:spacing w:after="0" w:line="276" w:lineRule="auto"/>
        <w:ind w:left="0" w:firstLine="2835"/>
        <w:jc w:val="both"/>
        <w:rPr>
          <w:rFonts w:ascii="Gadugi" w:hAnsi="Gadugi"/>
          <w:sz w:val="24"/>
          <w:szCs w:val="24"/>
        </w:rPr>
      </w:pPr>
      <w:r w:rsidRPr="00900DA8">
        <w:rPr>
          <w:rFonts w:ascii="Gadugi" w:hAnsi="Gadugi"/>
          <w:sz w:val="24"/>
          <w:szCs w:val="24"/>
        </w:rPr>
        <w:t xml:space="preserve">Corresponde a la Sala, primeramente, realizar el examen preliminar de que trata el artículo 325 del CGP, incluso si se trata de autos, ya que la norma no hace exclusión. Y en esa tarea debe verificar, entre otras cosas, que se cumplan los requisitos para la concesión del recurso, que se reducen, fundamentalmente a cuatro: (i) la legitimación; (ii) la oportunidad; (iii) el cumplimiento de cargas procesales; y (iv) la procedencia. </w:t>
      </w:r>
    </w:p>
    <w:p w:rsidR="00663533" w:rsidRPr="00900DA8" w:rsidRDefault="00663533" w:rsidP="00900DA8">
      <w:pPr>
        <w:spacing w:after="0" w:line="276" w:lineRule="auto"/>
        <w:ind w:firstLine="2835"/>
        <w:jc w:val="both"/>
        <w:rPr>
          <w:rFonts w:ascii="Gadugi" w:hAnsi="Gadugi"/>
          <w:sz w:val="24"/>
          <w:szCs w:val="24"/>
        </w:rPr>
      </w:pPr>
    </w:p>
    <w:p w:rsidR="00663533" w:rsidRPr="00900DA8" w:rsidRDefault="00663533" w:rsidP="00900DA8">
      <w:pPr>
        <w:tabs>
          <w:tab w:val="left" w:pos="2835"/>
        </w:tabs>
        <w:spacing w:after="0" w:line="276" w:lineRule="auto"/>
        <w:ind w:firstLine="2835"/>
        <w:jc w:val="both"/>
        <w:rPr>
          <w:rFonts w:ascii="Gadugi" w:hAnsi="Gadugi"/>
          <w:sz w:val="24"/>
          <w:szCs w:val="24"/>
        </w:rPr>
      </w:pPr>
      <w:r w:rsidRPr="00900DA8">
        <w:rPr>
          <w:rFonts w:ascii="Gadugi" w:hAnsi="Gadugi"/>
          <w:sz w:val="24"/>
          <w:szCs w:val="24"/>
        </w:rPr>
        <w:t xml:space="preserve">De estos requisitos, el que alude al acatamiento de ciertas cargas, apareja una consecuencia diferente en caso de que se incumplan, que es la deserción del recurso. Así ocurriría, por ejemplo, si no se sustenta la impugnación, como corresponde a todos los medios de protesta contra las providencias del juez. O cuando, más en el modelo de los expedientes físicos que en el actual de los digitales, no se cumplía el pago de las expensas para que se pudiera surtir la segunda instancia. </w:t>
      </w:r>
    </w:p>
    <w:p w:rsidR="00663533" w:rsidRPr="00900DA8" w:rsidRDefault="00663533" w:rsidP="00900DA8">
      <w:pPr>
        <w:spacing w:after="0" w:line="276" w:lineRule="auto"/>
        <w:jc w:val="both"/>
        <w:rPr>
          <w:rFonts w:ascii="Gadugi" w:hAnsi="Gadugi"/>
          <w:sz w:val="24"/>
          <w:szCs w:val="24"/>
        </w:rPr>
      </w:pPr>
    </w:p>
    <w:p w:rsidR="00663533" w:rsidRPr="00900DA8" w:rsidRDefault="00663533" w:rsidP="00900DA8">
      <w:pPr>
        <w:spacing w:after="0" w:line="276" w:lineRule="auto"/>
        <w:jc w:val="both"/>
        <w:rPr>
          <w:rFonts w:ascii="Gadugi" w:hAnsi="Gadugi"/>
          <w:sz w:val="24"/>
          <w:szCs w:val="24"/>
        </w:rPr>
      </w:pPr>
      <w:r w:rsidRPr="00900DA8">
        <w:rPr>
          <w:rFonts w:ascii="Gadugi" w:hAnsi="Gadugi"/>
          <w:sz w:val="24"/>
          <w:szCs w:val="24"/>
        </w:rPr>
        <w:t xml:space="preserve"> </w:t>
      </w:r>
      <w:r w:rsidRPr="00900DA8">
        <w:rPr>
          <w:rFonts w:ascii="Gadugi" w:hAnsi="Gadugi"/>
          <w:sz w:val="24"/>
          <w:szCs w:val="24"/>
        </w:rPr>
        <w:tab/>
      </w:r>
      <w:r w:rsidRPr="00900DA8">
        <w:rPr>
          <w:rFonts w:ascii="Gadugi" w:hAnsi="Gadugi"/>
          <w:sz w:val="24"/>
          <w:szCs w:val="24"/>
        </w:rPr>
        <w:tab/>
      </w:r>
      <w:r w:rsidRPr="00900DA8">
        <w:rPr>
          <w:rFonts w:ascii="Gadugi" w:hAnsi="Gadugi"/>
          <w:sz w:val="24"/>
          <w:szCs w:val="24"/>
        </w:rPr>
        <w:tab/>
      </w:r>
      <w:r w:rsidRPr="00900DA8">
        <w:rPr>
          <w:rFonts w:ascii="Gadugi" w:hAnsi="Gadugi"/>
          <w:sz w:val="24"/>
          <w:szCs w:val="24"/>
        </w:rPr>
        <w:tab/>
        <w:t>Los otros tres presupuestos conllevan una consecuencia distinta, en caso de que se incumplan, cual es la denegación del recurso en primera instancia</w:t>
      </w:r>
      <w:r w:rsidR="0018169C" w:rsidRPr="00900DA8">
        <w:rPr>
          <w:rFonts w:ascii="Gadugi" w:hAnsi="Gadugi"/>
          <w:sz w:val="24"/>
          <w:szCs w:val="24"/>
        </w:rPr>
        <w:t>;</w:t>
      </w:r>
      <w:r w:rsidRPr="00900DA8">
        <w:rPr>
          <w:rFonts w:ascii="Gadugi" w:hAnsi="Gadugi"/>
          <w:sz w:val="24"/>
          <w:szCs w:val="24"/>
        </w:rPr>
        <w:t xml:space="preserve"> y si tal análisis se omite, la inadmisión del mismo en segunda instancia.</w:t>
      </w:r>
    </w:p>
    <w:p w:rsidR="00663533" w:rsidRPr="00900DA8" w:rsidRDefault="00663533" w:rsidP="00900DA8">
      <w:pPr>
        <w:spacing w:after="0" w:line="276" w:lineRule="auto"/>
        <w:jc w:val="both"/>
        <w:rPr>
          <w:rFonts w:ascii="Gadugi" w:hAnsi="Gadugi"/>
          <w:sz w:val="24"/>
          <w:szCs w:val="24"/>
        </w:rPr>
      </w:pPr>
    </w:p>
    <w:p w:rsidR="002D234E" w:rsidRPr="00900DA8" w:rsidRDefault="00663533" w:rsidP="00900DA8">
      <w:pPr>
        <w:spacing w:after="0" w:line="276" w:lineRule="auto"/>
        <w:jc w:val="both"/>
        <w:rPr>
          <w:rFonts w:ascii="Gadugi" w:hAnsi="Gadugi"/>
          <w:sz w:val="24"/>
          <w:szCs w:val="24"/>
        </w:rPr>
      </w:pPr>
      <w:r w:rsidRPr="00900DA8">
        <w:rPr>
          <w:rFonts w:ascii="Gadugi" w:hAnsi="Gadugi"/>
          <w:sz w:val="24"/>
          <w:szCs w:val="24"/>
        </w:rPr>
        <w:t xml:space="preserve">  </w:t>
      </w:r>
      <w:r w:rsidRPr="00900DA8">
        <w:rPr>
          <w:rFonts w:ascii="Gadugi" w:hAnsi="Gadugi"/>
          <w:sz w:val="24"/>
          <w:szCs w:val="24"/>
        </w:rPr>
        <w:tab/>
      </w:r>
      <w:r w:rsidRPr="00900DA8">
        <w:rPr>
          <w:rFonts w:ascii="Gadugi" w:hAnsi="Gadugi"/>
          <w:sz w:val="24"/>
          <w:szCs w:val="24"/>
        </w:rPr>
        <w:tab/>
      </w:r>
      <w:r w:rsidRPr="00900DA8">
        <w:rPr>
          <w:rFonts w:ascii="Gadugi" w:hAnsi="Gadugi"/>
          <w:sz w:val="24"/>
          <w:szCs w:val="24"/>
        </w:rPr>
        <w:tab/>
      </w:r>
      <w:r w:rsidRPr="00900DA8">
        <w:rPr>
          <w:rFonts w:ascii="Gadugi" w:hAnsi="Gadugi"/>
          <w:sz w:val="24"/>
          <w:szCs w:val="24"/>
        </w:rPr>
        <w:tab/>
        <w:t xml:space="preserve">La legitimación, que corresponde a quien recibe una agravio con una decisión judicial, se cumple sin reparo en este caso, pues ante una solicitud elevada por el deudor de que se </w:t>
      </w:r>
      <w:r w:rsidRPr="00900DA8">
        <w:rPr>
          <w:rFonts w:ascii="Gadugi" w:hAnsi="Gadugi"/>
          <w:i/>
          <w:sz w:val="24"/>
          <w:szCs w:val="24"/>
        </w:rPr>
        <w:t xml:space="preserve">“revocara” </w:t>
      </w:r>
      <w:r w:rsidRPr="00900DA8">
        <w:rPr>
          <w:rFonts w:ascii="Gadugi" w:hAnsi="Gadugi"/>
          <w:sz w:val="24"/>
          <w:szCs w:val="24"/>
        </w:rPr>
        <w:t xml:space="preserve">una orden de retención de dineros como medida cautelar, se le respondió desfavorablemente. </w:t>
      </w:r>
    </w:p>
    <w:p w:rsidR="002D234E" w:rsidRPr="00900DA8" w:rsidRDefault="002D234E" w:rsidP="00900DA8">
      <w:pPr>
        <w:spacing w:after="0" w:line="276" w:lineRule="auto"/>
        <w:jc w:val="both"/>
        <w:rPr>
          <w:rFonts w:ascii="Gadugi" w:hAnsi="Gadugi"/>
          <w:sz w:val="24"/>
          <w:szCs w:val="24"/>
        </w:rPr>
      </w:pPr>
    </w:p>
    <w:p w:rsidR="00663533" w:rsidRPr="00900DA8" w:rsidRDefault="002D234E" w:rsidP="00900DA8">
      <w:pPr>
        <w:spacing w:after="0" w:line="276" w:lineRule="auto"/>
        <w:jc w:val="both"/>
        <w:rPr>
          <w:rFonts w:ascii="Gadugi" w:hAnsi="Gadugi"/>
          <w:sz w:val="24"/>
          <w:szCs w:val="24"/>
        </w:rPr>
      </w:pPr>
      <w:r w:rsidRPr="00900DA8">
        <w:rPr>
          <w:rFonts w:ascii="Gadugi" w:hAnsi="Gadugi"/>
          <w:sz w:val="24"/>
          <w:szCs w:val="24"/>
        </w:rPr>
        <w:t xml:space="preserve">  </w:t>
      </w:r>
      <w:r w:rsidRPr="00900DA8">
        <w:rPr>
          <w:rFonts w:ascii="Gadugi" w:hAnsi="Gadugi"/>
          <w:sz w:val="24"/>
          <w:szCs w:val="24"/>
        </w:rPr>
        <w:tab/>
      </w:r>
      <w:r w:rsidRPr="00900DA8">
        <w:rPr>
          <w:rFonts w:ascii="Gadugi" w:hAnsi="Gadugi"/>
          <w:sz w:val="24"/>
          <w:szCs w:val="24"/>
        </w:rPr>
        <w:tab/>
      </w:r>
      <w:r w:rsidRPr="00900DA8">
        <w:rPr>
          <w:rFonts w:ascii="Gadugi" w:hAnsi="Gadugi"/>
          <w:sz w:val="24"/>
          <w:szCs w:val="24"/>
        </w:rPr>
        <w:tab/>
      </w:r>
      <w:r w:rsidRPr="00900DA8">
        <w:rPr>
          <w:rFonts w:ascii="Gadugi" w:hAnsi="Gadugi"/>
          <w:sz w:val="24"/>
          <w:szCs w:val="24"/>
        </w:rPr>
        <w:tab/>
      </w:r>
      <w:r w:rsidR="00663533" w:rsidRPr="00900DA8">
        <w:rPr>
          <w:rFonts w:ascii="Gadugi" w:hAnsi="Gadugi"/>
          <w:sz w:val="24"/>
          <w:szCs w:val="24"/>
        </w:rPr>
        <w:t xml:space="preserve">La oportunidad, que es el término en el que debe proponerse la impugnación, también se satisface, en cuanto el auto recurrido fue proferido el </w:t>
      </w:r>
      <w:r w:rsidRPr="00900DA8">
        <w:rPr>
          <w:rFonts w:ascii="Gadugi" w:hAnsi="Gadugi"/>
          <w:sz w:val="24"/>
          <w:szCs w:val="24"/>
        </w:rPr>
        <w:t xml:space="preserve">18 de agosto de 2021, y la réplica se propuso el 23 siguiente, dentro de los tres días hábiles con que se contaba para ello. </w:t>
      </w:r>
    </w:p>
    <w:p w:rsidR="002D234E" w:rsidRPr="00900DA8" w:rsidRDefault="002D234E" w:rsidP="00900DA8">
      <w:pPr>
        <w:spacing w:after="0" w:line="276" w:lineRule="auto"/>
        <w:jc w:val="both"/>
        <w:rPr>
          <w:rFonts w:ascii="Gadugi" w:hAnsi="Gadugi"/>
          <w:sz w:val="24"/>
          <w:szCs w:val="24"/>
        </w:rPr>
      </w:pPr>
    </w:p>
    <w:p w:rsidR="002D234E" w:rsidRPr="00900DA8" w:rsidRDefault="002D234E" w:rsidP="00900DA8">
      <w:pPr>
        <w:spacing w:after="0" w:line="276" w:lineRule="auto"/>
        <w:jc w:val="both"/>
        <w:rPr>
          <w:rFonts w:ascii="Gadugi" w:hAnsi="Gadugi"/>
          <w:sz w:val="24"/>
          <w:szCs w:val="24"/>
        </w:rPr>
      </w:pPr>
      <w:r w:rsidRPr="00900DA8">
        <w:rPr>
          <w:rFonts w:ascii="Gadugi" w:hAnsi="Gadugi"/>
          <w:sz w:val="24"/>
          <w:szCs w:val="24"/>
        </w:rPr>
        <w:t xml:space="preserve">  </w:t>
      </w:r>
      <w:r w:rsidRPr="00900DA8">
        <w:rPr>
          <w:rFonts w:ascii="Gadugi" w:hAnsi="Gadugi"/>
          <w:sz w:val="24"/>
          <w:szCs w:val="24"/>
        </w:rPr>
        <w:tab/>
      </w:r>
      <w:r w:rsidRPr="00900DA8">
        <w:rPr>
          <w:rFonts w:ascii="Gadugi" w:hAnsi="Gadugi"/>
          <w:sz w:val="24"/>
          <w:szCs w:val="24"/>
        </w:rPr>
        <w:tab/>
      </w:r>
      <w:r w:rsidRPr="00900DA8">
        <w:rPr>
          <w:rFonts w:ascii="Gadugi" w:hAnsi="Gadugi"/>
          <w:sz w:val="24"/>
          <w:szCs w:val="24"/>
        </w:rPr>
        <w:tab/>
      </w:r>
      <w:r w:rsidRPr="00900DA8">
        <w:rPr>
          <w:rFonts w:ascii="Gadugi" w:hAnsi="Gadugi"/>
          <w:sz w:val="24"/>
          <w:szCs w:val="24"/>
        </w:rPr>
        <w:tab/>
        <w:t>No ocurre lo mismo con el último de los requisitos citados, esto es, la procedencia. Y es que, en cuestión de impugnaciones, salvo por la generalidad que tiene el recurso de reposición, todos los demás medios y</w:t>
      </w:r>
      <w:r w:rsidR="0018169C" w:rsidRPr="00900DA8">
        <w:rPr>
          <w:rFonts w:ascii="Gadugi" w:hAnsi="Gadugi"/>
          <w:sz w:val="24"/>
          <w:szCs w:val="24"/>
        </w:rPr>
        <w:t>,</w:t>
      </w:r>
      <w:r w:rsidRPr="00900DA8">
        <w:rPr>
          <w:rFonts w:ascii="Gadugi" w:hAnsi="Gadugi"/>
          <w:sz w:val="24"/>
          <w:szCs w:val="24"/>
        </w:rPr>
        <w:t xml:space="preserve"> de manera preponderante, el de apelación, están regidos por una clara regla que es la de la taxatividad, en virtud de la cual solo son pasibles de </w:t>
      </w:r>
      <w:r w:rsidR="001D2845" w:rsidRPr="00900DA8">
        <w:rPr>
          <w:rFonts w:ascii="Gadugi" w:hAnsi="Gadugi"/>
          <w:sz w:val="24"/>
          <w:szCs w:val="24"/>
        </w:rPr>
        <w:t>réplica aquellos asunto</w:t>
      </w:r>
      <w:r w:rsidR="0018169C" w:rsidRPr="00900DA8">
        <w:rPr>
          <w:rFonts w:ascii="Gadugi" w:hAnsi="Gadugi"/>
          <w:sz w:val="24"/>
          <w:szCs w:val="24"/>
        </w:rPr>
        <w:t>s</w:t>
      </w:r>
      <w:r w:rsidR="001D2845" w:rsidRPr="00900DA8">
        <w:rPr>
          <w:rFonts w:ascii="Gadugi" w:hAnsi="Gadugi"/>
          <w:sz w:val="24"/>
          <w:szCs w:val="24"/>
        </w:rPr>
        <w:t xml:space="preserve"> que expresamente consagre la ley. </w:t>
      </w:r>
    </w:p>
    <w:p w:rsidR="001D2845" w:rsidRPr="00900DA8" w:rsidRDefault="001D2845" w:rsidP="00900DA8">
      <w:pPr>
        <w:spacing w:after="0" w:line="276" w:lineRule="auto"/>
        <w:jc w:val="both"/>
        <w:rPr>
          <w:rFonts w:ascii="Gadugi" w:hAnsi="Gadugi"/>
          <w:sz w:val="24"/>
          <w:szCs w:val="24"/>
        </w:rPr>
      </w:pPr>
    </w:p>
    <w:p w:rsidR="001D2845" w:rsidRPr="00900DA8" w:rsidRDefault="001D2845" w:rsidP="00900DA8">
      <w:pPr>
        <w:pStyle w:val="Prrafodelista"/>
        <w:numPr>
          <w:ilvl w:val="0"/>
          <w:numId w:val="2"/>
        </w:numPr>
        <w:tabs>
          <w:tab w:val="left" w:pos="3119"/>
        </w:tabs>
        <w:spacing w:after="0" w:line="276" w:lineRule="auto"/>
        <w:ind w:left="0" w:firstLine="2835"/>
        <w:jc w:val="both"/>
        <w:rPr>
          <w:rFonts w:ascii="Gadugi" w:hAnsi="Gadugi"/>
          <w:sz w:val="24"/>
          <w:szCs w:val="24"/>
        </w:rPr>
      </w:pPr>
      <w:r w:rsidRPr="00900DA8">
        <w:rPr>
          <w:rFonts w:ascii="Gadugi" w:hAnsi="Gadugi"/>
          <w:sz w:val="24"/>
          <w:szCs w:val="24"/>
        </w:rPr>
        <w:t xml:space="preserve">Como ello es así, </w:t>
      </w:r>
      <w:bookmarkStart w:id="2" w:name="_Hlk101185025"/>
      <w:r w:rsidRPr="00900DA8">
        <w:rPr>
          <w:rFonts w:ascii="Gadugi" w:hAnsi="Gadugi"/>
          <w:sz w:val="24"/>
          <w:szCs w:val="24"/>
        </w:rPr>
        <w:t xml:space="preserve">para el caso que nos atañe la cuestión está al margen del Código </w:t>
      </w:r>
      <w:r w:rsidR="0052282E" w:rsidRPr="00900DA8">
        <w:rPr>
          <w:rFonts w:ascii="Gadugi" w:hAnsi="Gadugi"/>
          <w:sz w:val="24"/>
          <w:szCs w:val="24"/>
        </w:rPr>
        <w:t>G</w:t>
      </w:r>
      <w:r w:rsidRPr="00900DA8">
        <w:rPr>
          <w:rFonts w:ascii="Gadugi" w:hAnsi="Gadugi"/>
          <w:sz w:val="24"/>
          <w:szCs w:val="24"/>
        </w:rPr>
        <w:t xml:space="preserve">eneral del Proceso, pues la regulación del trámite de la reorganización está </w:t>
      </w:r>
      <w:r w:rsidR="00B86F74" w:rsidRPr="00900DA8">
        <w:rPr>
          <w:rFonts w:ascii="Gadugi" w:hAnsi="Gadugi"/>
          <w:sz w:val="24"/>
          <w:szCs w:val="24"/>
        </w:rPr>
        <w:t>prevista</w:t>
      </w:r>
      <w:r w:rsidRPr="00900DA8">
        <w:rPr>
          <w:rFonts w:ascii="Gadugi" w:hAnsi="Gadugi"/>
          <w:sz w:val="24"/>
          <w:szCs w:val="24"/>
        </w:rPr>
        <w:t xml:space="preserve"> en la Ley 1116 de 2016, normativa que prevé, no solo la competencia, sino el régimen de los recursos. Concretamente, el artículo 6, enseña: </w:t>
      </w:r>
    </w:p>
    <w:p w:rsidR="001D2845" w:rsidRPr="00900DA8" w:rsidRDefault="001D2845" w:rsidP="00900DA8">
      <w:pPr>
        <w:spacing w:after="0" w:line="276" w:lineRule="auto"/>
        <w:jc w:val="both"/>
        <w:rPr>
          <w:rFonts w:ascii="Gadugi" w:hAnsi="Gadugi"/>
          <w:sz w:val="24"/>
          <w:szCs w:val="24"/>
        </w:rPr>
      </w:pPr>
    </w:p>
    <w:p w:rsidR="001D2845" w:rsidRPr="00B86F74" w:rsidRDefault="001D2845" w:rsidP="00B86F74">
      <w:pPr>
        <w:spacing w:after="0" w:line="240" w:lineRule="auto"/>
        <w:ind w:left="426" w:right="420" w:firstLine="2268"/>
        <w:jc w:val="both"/>
        <w:rPr>
          <w:rFonts w:ascii="Gadugi" w:hAnsi="Gadugi"/>
          <w:szCs w:val="24"/>
        </w:rPr>
      </w:pPr>
      <w:r w:rsidRPr="00B86F74">
        <w:rPr>
          <w:rFonts w:ascii="Gadugi" w:hAnsi="Gadugi"/>
          <w:szCs w:val="24"/>
        </w:rPr>
        <w:t xml:space="preserve">ARTÍCULO 6o. COMPETENCIA. Conocerán del proceso de insolvencia, como jueces del concurso: La Superintendencia de Sociedades, en uso de facultades jurisdiccionales, de conformidad con lo dispuesto en el inciso 3o del artículo 116 de la Constitución Política, en el caso de todas las sociedades, empresas unipersonales y sucursales de sociedades extranjeras y, a prevención, tratándose de deudores personas naturales comerciantes. </w:t>
      </w:r>
    </w:p>
    <w:p w:rsidR="001D2845" w:rsidRPr="00B86F74" w:rsidRDefault="001D2845" w:rsidP="00B86F74">
      <w:pPr>
        <w:spacing w:after="0" w:line="240" w:lineRule="auto"/>
        <w:ind w:left="426" w:right="420" w:firstLine="2268"/>
        <w:jc w:val="both"/>
        <w:rPr>
          <w:rFonts w:ascii="Gadugi" w:hAnsi="Gadugi"/>
          <w:szCs w:val="24"/>
        </w:rPr>
      </w:pPr>
    </w:p>
    <w:p w:rsidR="001D2845" w:rsidRPr="00B86F74" w:rsidRDefault="001D2845" w:rsidP="00B86F74">
      <w:pPr>
        <w:spacing w:after="0" w:line="240" w:lineRule="auto"/>
        <w:ind w:left="426" w:right="420" w:firstLine="2268"/>
        <w:jc w:val="both"/>
        <w:rPr>
          <w:rFonts w:ascii="Gadugi" w:hAnsi="Gadugi"/>
          <w:szCs w:val="24"/>
        </w:rPr>
      </w:pPr>
      <w:r w:rsidRPr="00B86F74">
        <w:rPr>
          <w:rFonts w:ascii="Gadugi" w:hAnsi="Gadugi"/>
          <w:szCs w:val="24"/>
        </w:rPr>
        <w:t xml:space="preserve">El Juez Civil del Circuito del domicilio principal del deudor, en los demás casos, no excluidos del proceso. </w:t>
      </w:r>
    </w:p>
    <w:p w:rsidR="001D2845" w:rsidRPr="00B86F74" w:rsidRDefault="001D2845" w:rsidP="00B86F74">
      <w:pPr>
        <w:spacing w:after="0" w:line="240" w:lineRule="auto"/>
        <w:ind w:left="426" w:right="420" w:firstLine="2268"/>
        <w:jc w:val="both"/>
        <w:rPr>
          <w:rFonts w:ascii="Gadugi" w:hAnsi="Gadugi"/>
          <w:szCs w:val="24"/>
        </w:rPr>
      </w:pPr>
    </w:p>
    <w:p w:rsidR="001D2845" w:rsidRPr="00B86F74" w:rsidRDefault="001D2845" w:rsidP="00B86F74">
      <w:pPr>
        <w:spacing w:after="0" w:line="240" w:lineRule="auto"/>
        <w:ind w:left="426" w:right="420" w:firstLine="2268"/>
        <w:jc w:val="both"/>
        <w:rPr>
          <w:rFonts w:ascii="Gadugi" w:hAnsi="Gadugi"/>
          <w:szCs w:val="24"/>
        </w:rPr>
      </w:pPr>
      <w:r w:rsidRPr="00B86F74">
        <w:rPr>
          <w:rFonts w:ascii="Gadugi" w:hAnsi="Gadugi"/>
          <w:szCs w:val="24"/>
        </w:rPr>
        <w:t xml:space="preserve">PARÁGRAFO 1o. El proceso de insolvencia adelantado ante la Superintendencia de Sociedades </w:t>
      </w:r>
      <w:r w:rsidRPr="00B86F74">
        <w:rPr>
          <w:rFonts w:ascii="Gadugi" w:hAnsi="Gadugi"/>
          <w:b/>
          <w:szCs w:val="24"/>
        </w:rPr>
        <w:t>es de única instancia</w:t>
      </w:r>
      <w:r w:rsidRPr="00B86F74">
        <w:rPr>
          <w:rFonts w:ascii="Gadugi" w:hAnsi="Gadugi"/>
          <w:szCs w:val="24"/>
        </w:rPr>
        <w:t xml:space="preserve">. </w:t>
      </w:r>
    </w:p>
    <w:p w:rsidR="001D2845" w:rsidRPr="00B86F74" w:rsidRDefault="001D2845" w:rsidP="00B86F74">
      <w:pPr>
        <w:spacing w:after="0" w:line="240" w:lineRule="auto"/>
        <w:ind w:left="426" w:right="420" w:firstLine="2268"/>
        <w:jc w:val="both"/>
        <w:rPr>
          <w:rFonts w:ascii="Gadugi" w:hAnsi="Gadugi"/>
          <w:szCs w:val="24"/>
        </w:rPr>
      </w:pPr>
    </w:p>
    <w:p w:rsidR="001D2845" w:rsidRPr="00B86F74" w:rsidRDefault="001D2845" w:rsidP="00B86F74">
      <w:pPr>
        <w:spacing w:after="0" w:line="240" w:lineRule="auto"/>
        <w:ind w:left="426" w:right="420" w:firstLine="2268"/>
        <w:jc w:val="both"/>
        <w:rPr>
          <w:rFonts w:ascii="Gadugi" w:hAnsi="Gadugi"/>
          <w:szCs w:val="24"/>
        </w:rPr>
      </w:pPr>
      <w:r w:rsidRPr="00B86F74">
        <w:rPr>
          <w:rFonts w:ascii="Gadugi" w:hAnsi="Gadugi"/>
          <w:szCs w:val="24"/>
        </w:rPr>
        <w:t xml:space="preserve">Las providencias que profiera el juez civil del circuito dentro de los trámites previstos en esta ley, </w:t>
      </w:r>
      <w:r w:rsidRPr="00B86F74">
        <w:rPr>
          <w:rFonts w:ascii="Gadugi" w:hAnsi="Gadugi"/>
          <w:b/>
          <w:szCs w:val="24"/>
        </w:rPr>
        <w:t>solo tendrán recurso de reposición</w:t>
      </w:r>
      <w:r w:rsidRPr="00B86F74">
        <w:rPr>
          <w:rFonts w:ascii="Gadugi" w:hAnsi="Gadugi"/>
          <w:szCs w:val="24"/>
        </w:rPr>
        <w:t xml:space="preserve">, </w:t>
      </w:r>
      <w:r w:rsidRPr="00B86F74">
        <w:rPr>
          <w:rFonts w:ascii="Gadugi" w:hAnsi="Gadugi"/>
          <w:b/>
          <w:szCs w:val="24"/>
        </w:rPr>
        <w:t>a excepción de las siguientes</w:t>
      </w:r>
      <w:r w:rsidRPr="00B86F74">
        <w:rPr>
          <w:rFonts w:ascii="Gadugi" w:hAnsi="Gadugi"/>
          <w:szCs w:val="24"/>
        </w:rPr>
        <w:t xml:space="preserve"> </w:t>
      </w:r>
      <w:r w:rsidRPr="00B86F74">
        <w:rPr>
          <w:rFonts w:ascii="Gadugi" w:hAnsi="Gadugi"/>
          <w:b/>
          <w:szCs w:val="24"/>
        </w:rPr>
        <w:t>contra las cuales procede el recurso de apelación</w:t>
      </w:r>
      <w:r w:rsidRPr="00B86F74">
        <w:rPr>
          <w:rFonts w:ascii="Gadugi" w:hAnsi="Gadugi"/>
          <w:szCs w:val="24"/>
        </w:rPr>
        <w:t xml:space="preserve">, en el efecto en que respecto de cada una de ellas se indica: </w:t>
      </w:r>
    </w:p>
    <w:p w:rsidR="001D2845" w:rsidRPr="00B86F74" w:rsidRDefault="001D2845" w:rsidP="00B86F74">
      <w:pPr>
        <w:spacing w:after="0" w:line="240" w:lineRule="auto"/>
        <w:ind w:left="426" w:right="420" w:firstLine="2268"/>
        <w:jc w:val="both"/>
        <w:rPr>
          <w:rFonts w:ascii="Gadugi" w:hAnsi="Gadugi"/>
          <w:szCs w:val="24"/>
        </w:rPr>
      </w:pPr>
    </w:p>
    <w:p w:rsidR="001D2845" w:rsidRPr="008F2C94" w:rsidRDefault="001D2845" w:rsidP="008F2C94">
      <w:pPr>
        <w:pStyle w:val="Prrafodelista"/>
        <w:numPr>
          <w:ilvl w:val="0"/>
          <w:numId w:val="3"/>
        </w:numPr>
        <w:tabs>
          <w:tab w:val="left" w:pos="2977"/>
        </w:tabs>
        <w:spacing w:after="0" w:line="240" w:lineRule="auto"/>
        <w:ind w:right="420"/>
        <w:jc w:val="both"/>
        <w:rPr>
          <w:rFonts w:ascii="Gadugi" w:hAnsi="Gadugi"/>
          <w:szCs w:val="24"/>
        </w:rPr>
      </w:pPr>
      <w:r w:rsidRPr="008F2C94">
        <w:rPr>
          <w:rFonts w:ascii="Gadugi" w:hAnsi="Gadugi"/>
          <w:szCs w:val="24"/>
        </w:rPr>
        <w:t>La de apertura del trámite, en el devolutivo.</w:t>
      </w:r>
    </w:p>
    <w:p w:rsidR="008F2C94" w:rsidRPr="008F2C94" w:rsidRDefault="008F2C94" w:rsidP="008F2C94">
      <w:pPr>
        <w:pStyle w:val="Prrafodelista"/>
        <w:tabs>
          <w:tab w:val="left" w:pos="2977"/>
        </w:tabs>
        <w:spacing w:after="0" w:line="240" w:lineRule="auto"/>
        <w:ind w:left="2973" w:right="420"/>
        <w:jc w:val="both"/>
        <w:rPr>
          <w:rFonts w:ascii="Gadugi" w:hAnsi="Gadugi"/>
          <w:szCs w:val="24"/>
        </w:rPr>
      </w:pPr>
    </w:p>
    <w:p w:rsidR="001D2845" w:rsidRPr="008F2C94" w:rsidRDefault="001D2845" w:rsidP="008F2C94">
      <w:pPr>
        <w:pStyle w:val="Prrafodelista"/>
        <w:numPr>
          <w:ilvl w:val="0"/>
          <w:numId w:val="3"/>
        </w:numPr>
        <w:tabs>
          <w:tab w:val="left" w:pos="2977"/>
        </w:tabs>
        <w:spacing w:after="0" w:line="240" w:lineRule="auto"/>
        <w:ind w:right="420"/>
        <w:jc w:val="both"/>
        <w:rPr>
          <w:rFonts w:ascii="Gadugi" w:hAnsi="Gadugi"/>
          <w:szCs w:val="24"/>
        </w:rPr>
      </w:pPr>
      <w:r w:rsidRPr="008F2C94">
        <w:rPr>
          <w:rFonts w:ascii="Gadugi" w:hAnsi="Gadugi"/>
          <w:szCs w:val="24"/>
        </w:rPr>
        <w:t xml:space="preserve">La que apruebe la calificación y graduación de créditos, en el devolutivo. </w:t>
      </w:r>
    </w:p>
    <w:p w:rsidR="008F2C94" w:rsidRPr="008F2C94" w:rsidRDefault="008F2C94" w:rsidP="008F2C94">
      <w:pPr>
        <w:pStyle w:val="Prrafodelista"/>
        <w:tabs>
          <w:tab w:val="left" w:pos="2977"/>
        </w:tabs>
        <w:spacing w:after="0" w:line="240" w:lineRule="auto"/>
        <w:ind w:left="2973" w:right="420"/>
        <w:jc w:val="both"/>
        <w:rPr>
          <w:rFonts w:ascii="Gadugi" w:hAnsi="Gadugi"/>
          <w:szCs w:val="24"/>
        </w:rPr>
      </w:pPr>
    </w:p>
    <w:p w:rsidR="001D2845" w:rsidRPr="008F2C94" w:rsidRDefault="001D2845" w:rsidP="008F2C94">
      <w:pPr>
        <w:pStyle w:val="Prrafodelista"/>
        <w:numPr>
          <w:ilvl w:val="0"/>
          <w:numId w:val="3"/>
        </w:numPr>
        <w:tabs>
          <w:tab w:val="left" w:pos="2977"/>
        </w:tabs>
        <w:spacing w:after="0" w:line="240" w:lineRule="auto"/>
        <w:ind w:right="420"/>
        <w:jc w:val="both"/>
        <w:rPr>
          <w:rFonts w:ascii="Gadugi" w:hAnsi="Gadugi"/>
          <w:szCs w:val="24"/>
        </w:rPr>
      </w:pPr>
      <w:r w:rsidRPr="008F2C94">
        <w:rPr>
          <w:rFonts w:ascii="Gadugi" w:hAnsi="Gadugi"/>
          <w:szCs w:val="24"/>
        </w:rPr>
        <w:t xml:space="preserve">La que rechace pruebas, en el devolutivo. </w:t>
      </w:r>
    </w:p>
    <w:p w:rsidR="008F2C94" w:rsidRPr="008F2C94" w:rsidRDefault="008F2C94" w:rsidP="008F2C94">
      <w:pPr>
        <w:pStyle w:val="Prrafodelista"/>
        <w:tabs>
          <w:tab w:val="left" w:pos="2977"/>
        </w:tabs>
        <w:spacing w:after="0" w:line="240" w:lineRule="auto"/>
        <w:ind w:left="2973" w:right="420"/>
        <w:jc w:val="both"/>
        <w:rPr>
          <w:rFonts w:ascii="Gadugi" w:hAnsi="Gadugi"/>
          <w:szCs w:val="24"/>
        </w:rPr>
      </w:pPr>
    </w:p>
    <w:p w:rsidR="001D2845" w:rsidRPr="008F2C94" w:rsidRDefault="001D2845" w:rsidP="008F2C94">
      <w:pPr>
        <w:pStyle w:val="Prrafodelista"/>
        <w:numPr>
          <w:ilvl w:val="0"/>
          <w:numId w:val="3"/>
        </w:numPr>
        <w:tabs>
          <w:tab w:val="left" w:pos="2977"/>
        </w:tabs>
        <w:spacing w:after="0" w:line="240" w:lineRule="auto"/>
        <w:ind w:right="420"/>
        <w:jc w:val="both"/>
        <w:rPr>
          <w:rFonts w:ascii="Gadugi" w:hAnsi="Gadugi"/>
          <w:szCs w:val="24"/>
        </w:rPr>
      </w:pPr>
      <w:r w:rsidRPr="008F2C94">
        <w:rPr>
          <w:rFonts w:ascii="Gadugi" w:hAnsi="Gadugi"/>
          <w:szCs w:val="24"/>
        </w:rPr>
        <w:t xml:space="preserve">La que rechace la solicitud de nulidad, en el efecto devolutivo, y la que la decrete en el efecto suspensivo. </w:t>
      </w:r>
    </w:p>
    <w:p w:rsidR="008F2C94" w:rsidRPr="008F2C94" w:rsidRDefault="008F2C94" w:rsidP="008F2C94">
      <w:pPr>
        <w:pStyle w:val="Prrafodelista"/>
        <w:tabs>
          <w:tab w:val="left" w:pos="2977"/>
        </w:tabs>
        <w:spacing w:after="0" w:line="240" w:lineRule="auto"/>
        <w:ind w:left="2973" w:right="420"/>
        <w:jc w:val="both"/>
        <w:rPr>
          <w:rFonts w:ascii="Gadugi" w:hAnsi="Gadugi"/>
          <w:szCs w:val="24"/>
        </w:rPr>
      </w:pPr>
    </w:p>
    <w:p w:rsidR="001D2845" w:rsidRPr="008F2C94" w:rsidRDefault="001D2845" w:rsidP="008F2C94">
      <w:pPr>
        <w:pStyle w:val="Prrafodelista"/>
        <w:numPr>
          <w:ilvl w:val="0"/>
          <w:numId w:val="3"/>
        </w:numPr>
        <w:tabs>
          <w:tab w:val="left" w:pos="2977"/>
        </w:tabs>
        <w:spacing w:after="0" w:line="240" w:lineRule="auto"/>
        <w:ind w:right="420"/>
        <w:jc w:val="both"/>
        <w:rPr>
          <w:rFonts w:ascii="Gadugi" w:hAnsi="Gadugi"/>
          <w:b/>
          <w:szCs w:val="24"/>
        </w:rPr>
      </w:pPr>
      <w:r w:rsidRPr="008F2C94">
        <w:rPr>
          <w:rFonts w:ascii="Gadugi" w:hAnsi="Gadugi"/>
          <w:b/>
          <w:szCs w:val="24"/>
        </w:rPr>
        <w:t xml:space="preserve">La que decrete o niegue medidas cautelares, en el efecto devolutivo. </w:t>
      </w:r>
      <w:bookmarkEnd w:id="2"/>
    </w:p>
    <w:p w:rsidR="008F2C94" w:rsidRPr="008F2C94" w:rsidRDefault="008F2C94" w:rsidP="008F2C94">
      <w:pPr>
        <w:pStyle w:val="Prrafodelista"/>
        <w:tabs>
          <w:tab w:val="left" w:pos="2977"/>
        </w:tabs>
        <w:spacing w:after="0" w:line="240" w:lineRule="auto"/>
        <w:ind w:left="2973" w:right="420"/>
        <w:jc w:val="both"/>
        <w:rPr>
          <w:rFonts w:ascii="Gadugi" w:hAnsi="Gadugi"/>
          <w:b/>
          <w:szCs w:val="24"/>
        </w:rPr>
      </w:pPr>
    </w:p>
    <w:p w:rsidR="001D2845" w:rsidRPr="008F2C94" w:rsidRDefault="001D2845" w:rsidP="008F2C94">
      <w:pPr>
        <w:pStyle w:val="Prrafodelista"/>
        <w:numPr>
          <w:ilvl w:val="0"/>
          <w:numId w:val="3"/>
        </w:numPr>
        <w:tabs>
          <w:tab w:val="left" w:pos="2977"/>
        </w:tabs>
        <w:spacing w:after="0" w:line="240" w:lineRule="auto"/>
        <w:ind w:right="420"/>
        <w:jc w:val="both"/>
        <w:rPr>
          <w:rFonts w:ascii="Gadugi" w:hAnsi="Gadugi"/>
          <w:szCs w:val="24"/>
        </w:rPr>
      </w:pPr>
      <w:r w:rsidRPr="008F2C94">
        <w:rPr>
          <w:rFonts w:ascii="Gadugi" w:hAnsi="Gadugi"/>
          <w:szCs w:val="24"/>
        </w:rPr>
        <w:t xml:space="preserve">La que ordene la entrega de bienes, en el efecto suspensivo y la que la niegue, en el devolutivo. </w:t>
      </w:r>
    </w:p>
    <w:p w:rsidR="008F2C94" w:rsidRPr="008F2C94" w:rsidRDefault="008F2C94" w:rsidP="008F2C94">
      <w:pPr>
        <w:pStyle w:val="Prrafodelista"/>
        <w:tabs>
          <w:tab w:val="left" w:pos="2977"/>
        </w:tabs>
        <w:spacing w:after="0" w:line="240" w:lineRule="auto"/>
        <w:ind w:left="2973" w:right="420"/>
        <w:jc w:val="both"/>
        <w:rPr>
          <w:rFonts w:ascii="Gadugi" w:hAnsi="Gadugi"/>
          <w:szCs w:val="24"/>
        </w:rPr>
      </w:pPr>
    </w:p>
    <w:p w:rsidR="001D2845" w:rsidRPr="008F2C94" w:rsidRDefault="001D2845" w:rsidP="008F2C94">
      <w:pPr>
        <w:pStyle w:val="Prrafodelista"/>
        <w:numPr>
          <w:ilvl w:val="0"/>
          <w:numId w:val="3"/>
        </w:numPr>
        <w:tabs>
          <w:tab w:val="left" w:pos="2977"/>
        </w:tabs>
        <w:spacing w:after="0" w:line="240" w:lineRule="auto"/>
        <w:ind w:right="420"/>
        <w:jc w:val="both"/>
        <w:rPr>
          <w:rFonts w:ascii="Gadugi" w:hAnsi="Gadugi"/>
          <w:szCs w:val="24"/>
        </w:rPr>
      </w:pPr>
      <w:r w:rsidRPr="008F2C94">
        <w:rPr>
          <w:rFonts w:ascii="Gadugi" w:hAnsi="Gadugi"/>
          <w:szCs w:val="24"/>
        </w:rPr>
        <w:t xml:space="preserve">Las que impongan sanciones, en el devolutivo. </w:t>
      </w:r>
    </w:p>
    <w:p w:rsidR="008F2C94" w:rsidRPr="008F2C94" w:rsidRDefault="008F2C94" w:rsidP="008F2C94">
      <w:pPr>
        <w:pStyle w:val="Prrafodelista"/>
        <w:tabs>
          <w:tab w:val="left" w:pos="2977"/>
        </w:tabs>
        <w:spacing w:after="0" w:line="240" w:lineRule="auto"/>
        <w:ind w:left="2973" w:right="420"/>
        <w:jc w:val="both"/>
        <w:rPr>
          <w:rFonts w:ascii="Gadugi" w:hAnsi="Gadugi"/>
          <w:szCs w:val="24"/>
        </w:rPr>
      </w:pPr>
    </w:p>
    <w:p w:rsidR="001D2845" w:rsidRPr="00B86F74" w:rsidRDefault="001D2845" w:rsidP="00B86F74">
      <w:pPr>
        <w:tabs>
          <w:tab w:val="left" w:pos="2977"/>
          <w:tab w:val="left" w:pos="3261"/>
        </w:tabs>
        <w:spacing w:after="0" w:line="240" w:lineRule="auto"/>
        <w:ind w:left="426" w:right="420" w:firstLine="2127"/>
        <w:jc w:val="both"/>
        <w:rPr>
          <w:rFonts w:ascii="Gadugi" w:hAnsi="Gadugi"/>
          <w:szCs w:val="24"/>
        </w:rPr>
      </w:pPr>
      <w:r w:rsidRPr="00B86F74">
        <w:rPr>
          <w:rFonts w:ascii="Gadugi" w:hAnsi="Gadugi"/>
          <w:szCs w:val="24"/>
        </w:rPr>
        <w:t>8.</w:t>
      </w:r>
      <w:r w:rsidRPr="00B86F74">
        <w:rPr>
          <w:rFonts w:ascii="Gadugi" w:hAnsi="Gadugi"/>
          <w:szCs w:val="24"/>
        </w:rPr>
        <w:tab/>
        <w:t>La que declare cumplido el acuerdo de reorganización, en el efecto suspensivo y la que lo declare incumplido en el devolutivo</w:t>
      </w:r>
      <w:r w:rsidR="006A28E5" w:rsidRPr="00B86F74">
        <w:rPr>
          <w:rFonts w:ascii="Gadugi" w:hAnsi="Gadugi"/>
          <w:szCs w:val="24"/>
        </w:rPr>
        <w:t>… (lo resaltado fuera de texto).</w:t>
      </w:r>
    </w:p>
    <w:p w:rsidR="001D2845" w:rsidRPr="00900DA8" w:rsidRDefault="001D2845" w:rsidP="00900DA8">
      <w:pPr>
        <w:spacing w:after="0" w:line="276" w:lineRule="auto"/>
        <w:ind w:left="567" w:right="618" w:firstLine="2268"/>
        <w:jc w:val="both"/>
        <w:rPr>
          <w:rFonts w:ascii="Gadugi" w:hAnsi="Gadugi"/>
          <w:sz w:val="24"/>
          <w:szCs w:val="24"/>
        </w:rPr>
      </w:pPr>
    </w:p>
    <w:p w:rsidR="004373A2" w:rsidRPr="00900DA8" w:rsidRDefault="006A28E5" w:rsidP="00900DA8">
      <w:pPr>
        <w:pStyle w:val="Prrafodelista"/>
        <w:numPr>
          <w:ilvl w:val="0"/>
          <w:numId w:val="2"/>
        </w:numPr>
        <w:tabs>
          <w:tab w:val="left" w:pos="3119"/>
        </w:tabs>
        <w:spacing w:after="0" w:line="276" w:lineRule="auto"/>
        <w:ind w:left="0" w:firstLine="2835"/>
        <w:jc w:val="both"/>
        <w:rPr>
          <w:rFonts w:ascii="Gadugi" w:hAnsi="Gadugi"/>
          <w:sz w:val="24"/>
          <w:szCs w:val="24"/>
        </w:rPr>
      </w:pPr>
      <w:r w:rsidRPr="00900DA8">
        <w:rPr>
          <w:rFonts w:ascii="Gadugi" w:hAnsi="Gadugi"/>
          <w:sz w:val="24"/>
          <w:szCs w:val="24"/>
        </w:rPr>
        <w:t>Así que la norma es explícita. Los autos del juez de la reorganización, si es el ordinario, solo admiten reposición, salvo aquellos enlistados allí. Y entre ellos, en lo que concierne a las medidas cautelares, la posibilidad de apelar recae únicamente en los autos que las nieguen o las decreten, pero no frente a aquella providencia que decida desfavorablemente el levantamiento de una que ha sido decretada</w:t>
      </w:r>
      <w:r w:rsidR="004373A2" w:rsidRPr="00900DA8">
        <w:rPr>
          <w:rFonts w:ascii="Gadugi" w:hAnsi="Gadugi"/>
          <w:sz w:val="24"/>
          <w:szCs w:val="24"/>
        </w:rPr>
        <w:t>, que es lo que aquí se</w:t>
      </w:r>
      <w:r w:rsidR="00FC3616" w:rsidRPr="00900DA8">
        <w:rPr>
          <w:rFonts w:ascii="Gadugi" w:hAnsi="Gadugi"/>
          <w:sz w:val="24"/>
          <w:szCs w:val="24"/>
        </w:rPr>
        <w:t xml:space="preserve"> debate</w:t>
      </w:r>
      <w:r w:rsidR="004373A2" w:rsidRPr="00900DA8">
        <w:rPr>
          <w:rFonts w:ascii="Gadugi" w:hAnsi="Gadugi"/>
          <w:sz w:val="24"/>
          <w:szCs w:val="24"/>
        </w:rPr>
        <w:t xml:space="preserve">. </w:t>
      </w:r>
    </w:p>
    <w:p w:rsidR="004373A2" w:rsidRPr="00900DA8" w:rsidRDefault="004373A2" w:rsidP="00900DA8">
      <w:pPr>
        <w:spacing w:after="0" w:line="276" w:lineRule="auto"/>
        <w:ind w:firstLine="2835"/>
        <w:jc w:val="both"/>
        <w:rPr>
          <w:rFonts w:ascii="Gadugi" w:hAnsi="Gadugi"/>
          <w:sz w:val="24"/>
          <w:szCs w:val="24"/>
        </w:rPr>
      </w:pPr>
    </w:p>
    <w:p w:rsidR="004373A2" w:rsidRPr="00900DA8" w:rsidRDefault="004373A2" w:rsidP="00900DA8">
      <w:pPr>
        <w:spacing w:after="0" w:line="276" w:lineRule="auto"/>
        <w:ind w:firstLine="2835"/>
        <w:jc w:val="both"/>
        <w:rPr>
          <w:rFonts w:ascii="Gadugi" w:hAnsi="Gadugi"/>
          <w:sz w:val="24"/>
          <w:szCs w:val="24"/>
        </w:rPr>
      </w:pPr>
      <w:r w:rsidRPr="00900DA8">
        <w:rPr>
          <w:rFonts w:ascii="Gadugi" w:hAnsi="Gadugi"/>
          <w:sz w:val="24"/>
          <w:szCs w:val="24"/>
        </w:rPr>
        <w:lastRenderedPageBreak/>
        <w:t>En efecto, como quedó dicho en los antecedentes, la medida cautelar fue d</w:t>
      </w:r>
      <w:r w:rsidR="00677FA7" w:rsidRPr="00900DA8">
        <w:rPr>
          <w:rFonts w:ascii="Gadugi" w:hAnsi="Gadugi"/>
          <w:sz w:val="24"/>
          <w:szCs w:val="24"/>
        </w:rPr>
        <w:t>ispuesta</w:t>
      </w:r>
      <w:r w:rsidRPr="00900DA8">
        <w:rPr>
          <w:rFonts w:ascii="Gadugi" w:hAnsi="Gadugi"/>
          <w:sz w:val="24"/>
          <w:szCs w:val="24"/>
        </w:rPr>
        <w:t xml:space="preserve"> el 8 de junio de 2020, y esa, que era la providencia susceptible de apelación, quedó en firme, porque nadie la protestó. Luego, el mismo deudor, pidió su revocatoria, pasado más de un año, lo que ponía en entredicho su solicitud por la extemporaneidad, y esa hubiera sido una razón suficiente para negar su solicitud. </w:t>
      </w:r>
    </w:p>
    <w:p w:rsidR="004373A2" w:rsidRPr="00900DA8" w:rsidRDefault="004373A2" w:rsidP="00900DA8">
      <w:pPr>
        <w:spacing w:after="0" w:line="276" w:lineRule="auto"/>
        <w:ind w:firstLine="2835"/>
        <w:jc w:val="both"/>
        <w:rPr>
          <w:rFonts w:ascii="Gadugi" w:hAnsi="Gadugi"/>
          <w:sz w:val="24"/>
          <w:szCs w:val="24"/>
        </w:rPr>
      </w:pPr>
    </w:p>
    <w:p w:rsidR="006A28E5" w:rsidRPr="00900DA8" w:rsidRDefault="004373A2" w:rsidP="00900DA8">
      <w:pPr>
        <w:spacing w:after="0" w:line="276" w:lineRule="auto"/>
        <w:ind w:firstLine="2835"/>
        <w:jc w:val="both"/>
        <w:rPr>
          <w:rFonts w:ascii="Gadugi" w:hAnsi="Gadugi"/>
          <w:sz w:val="24"/>
          <w:szCs w:val="24"/>
        </w:rPr>
      </w:pPr>
      <w:r w:rsidRPr="00900DA8">
        <w:rPr>
          <w:rFonts w:ascii="Gadugi" w:hAnsi="Gadugi"/>
          <w:sz w:val="24"/>
          <w:szCs w:val="24"/>
        </w:rPr>
        <w:t>El Juzgado, sin embargo, entendió que lo que reclamaba era el levantamiento de la misma y con esa perspectiva le dio el trámite; negó lo pedido y es esta la decisión que ahora se recurre en apelación que, como se ve, no es de aquellas que admitan</w:t>
      </w:r>
      <w:r w:rsidR="00677FA7" w:rsidRPr="00900DA8">
        <w:rPr>
          <w:rFonts w:ascii="Gadugi" w:hAnsi="Gadugi"/>
          <w:sz w:val="24"/>
          <w:szCs w:val="24"/>
        </w:rPr>
        <w:t>,</w:t>
      </w:r>
      <w:r w:rsidRPr="00900DA8">
        <w:rPr>
          <w:rFonts w:ascii="Gadugi" w:hAnsi="Gadugi"/>
          <w:sz w:val="24"/>
          <w:szCs w:val="24"/>
        </w:rPr>
        <w:t xml:space="preserve"> en el régimen de la Ley 1116, la doble instancia. </w:t>
      </w:r>
    </w:p>
    <w:p w:rsidR="004373A2" w:rsidRPr="00900DA8" w:rsidRDefault="004373A2" w:rsidP="00900DA8">
      <w:pPr>
        <w:spacing w:after="0" w:line="276" w:lineRule="auto"/>
        <w:ind w:firstLine="2835"/>
        <w:jc w:val="both"/>
        <w:rPr>
          <w:rFonts w:ascii="Gadugi" w:hAnsi="Gadugi"/>
          <w:sz w:val="24"/>
          <w:szCs w:val="24"/>
        </w:rPr>
      </w:pPr>
    </w:p>
    <w:p w:rsidR="00FC5373" w:rsidRPr="00900DA8" w:rsidRDefault="004373A2" w:rsidP="00900DA8">
      <w:pPr>
        <w:pStyle w:val="Prrafodelista"/>
        <w:numPr>
          <w:ilvl w:val="0"/>
          <w:numId w:val="2"/>
        </w:numPr>
        <w:tabs>
          <w:tab w:val="left" w:pos="-720"/>
          <w:tab w:val="left" w:pos="3119"/>
        </w:tabs>
        <w:suppressAutoHyphens/>
        <w:spacing w:after="0" w:line="276" w:lineRule="auto"/>
        <w:ind w:left="0" w:firstLine="2835"/>
        <w:jc w:val="both"/>
        <w:rPr>
          <w:rFonts w:ascii="Gadugi" w:eastAsia="Times New Roman" w:hAnsi="Gadugi"/>
          <w:spacing w:val="-3"/>
          <w:sz w:val="24"/>
          <w:szCs w:val="24"/>
          <w:lang w:val="es-ES_tradnl" w:eastAsia="es-ES"/>
        </w:rPr>
      </w:pPr>
      <w:r w:rsidRPr="00900DA8">
        <w:rPr>
          <w:rFonts w:ascii="Gadugi" w:eastAsia="Times New Roman" w:hAnsi="Gadugi"/>
          <w:spacing w:val="-3"/>
          <w:sz w:val="24"/>
          <w:szCs w:val="24"/>
          <w:lang w:val="es-ES_tradnl" w:eastAsia="es-ES"/>
        </w:rPr>
        <w:t xml:space="preserve">Sobre este aspecto de la taxatividad en el proceso de reorganización, la posición de la Sala, ni es nueva, ni está aislada. Lo primero, porque de tiempo atrás así lo ha sostenido, como podría leerse en auto del 8 de junio de </w:t>
      </w:r>
      <w:r w:rsidR="00FC5373" w:rsidRPr="00900DA8">
        <w:rPr>
          <w:rFonts w:ascii="Gadugi" w:eastAsia="Times New Roman" w:hAnsi="Gadugi"/>
          <w:spacing w:val="-3"/>
          <w:sz w:val="24"/>
          <w:szCs w:val="24"/>
          <w:lang w:val="es-ES_tradnl" w:eastAsia="es-ES"/>
        </w:rPr>
        <w:t>2017, proferido en el radicado 66001-31-03-005-2013-00334-01</w:t>
      </w:r>
      <w:r w:rsidR="00677FA7" w:rsidRPr="00900DA8">
        <w:rPr>
          <w:rFonts w:ascii="Gadugi" w:eastAsia="Times New Roman" w:hAnsi="Gadugi"/>
          <w:spacing w:val="-3"/>
          <w:sz w:val="24"/>
          <w:szCs w:val="24"/>
          <w:lang w:val="es-ES_tradnl" w:eastAsia="es-ES"/>
        </w:rPr>
        <w:t>. Y lo segundo, ya que, insistentemente ha sostenido la Sala de Casación Civil de la Corte Suprema, en decisiones de tutela que sirven como criterio auxiliar, sobre esa limitación. De reciente data, en la que reiteró lo dicho en múltiples oportunidades, dijo</w:t>
      </w:r>
      <w:r w:rsidR="00677FA7" w:rsidRPr="00900DA8">
        <w:rPr>
          <w:rStyle w:val="Refdenotaalpie"/>
          <w:rFonts w:ascii="Gadugi" w:eastAsia="Times New Roman" w:hAnsi="Gadugi"/>
          <w:spacing w:val="-3"/>
          <w:sz w:val="24"/>
          <w:szCs w:val="24"/>
          <w:lang w:val="es-ES_tradnl" w:eastAsia="es-ES"/>
        </w:rPr>
        <w:footnoteReference w:id="6"/>
      </w:r>
      <w:r w:rsidR="00677FA7" w:rsidRPr="00900DA8">
        <w:rPr>
          <w:rFonts w:ascii="Gadugi" w:eastAsia="Times New Roman" w:hAnsi="Gadugi"/>
          <w:spacing w:val="-3"/>
          <w:sz w:val="24"/>
          <w:szCs w:val="24"/>
          <w:lang w:val="es-ES_tradnl" w:eastAsia="es-ES"/>
        </w:rPr>
        <w:t xml:space="preserve">: que: </w:t>
      </w:r>
    </w:p>
    <w:p w:rsidR="00B564DE" w:rsidRPr="00900DA8" w:rsidRDefault="00B564DE" w:rsidP="00900DA8">
      <w:pPr>
        <w:tabs>
          <w:tab w:val="left" w:pos="-720"/>
        </w:tabs>
        <w:suppressAutoHyphens/>
        <w:spacing w:after="0" w:line="276" w:lineRule="auto"/>
        <w:contextualSpacing/>
        <w:jc w:val="both"/>
        <w:rPr>
          <w:rFonts w:ascii="Gadugi" w:eastAsia="Times New Roman" w:hAnsi="Gadugi"/>
          <w:spacing w:val="-3"/>
          <w:sz w:val="24"/>
          <w:szCs w:val="24"/>
          <w:lang w:val="es-ES_tradnl" w:eastAsia="es-ES"/>
        </w:rPr>
      </w:pPr>
    </w:p>
    <w:p w:rsidR="00677FA7" w:rsidRPr="00107E9D" w:rsidRDefault="00677FA7" w:rsidP="00107E9D">
      <w:pPr>
        <w:spacing w:after="0" w:line="240" w:lineRule="auto"/>
        <w:ind w:left="426" w:right="420" w:firstLine="2268"/>
        <w:jc w:val="both"/>
        <w:rPr>
          <w:rFonts w:ascii="Gadugi" w:hAnsi="Gadugi" w:cs="Tahoma"/>
          <w:szCs w:val="24"/>
          <w:lang w:val="es-ES_tradnl"/>
        </w:rPr>
      </w:pPr>
      <w:r w:rsidRPr="00107E9D">
        <w:rPr>
          <w:rFonts w:ascii="Gadugi" w:hAnsi="Gadugi" w:cs="Tahoma"/>
          <w:szCs w:val="24"/>
        </w:rPr>
        <w:t>En otro asunto, donde un tribunal superior habilitó la segunda instancia en un proceso de insolvencia regido por la ley 1116, surtido ante un juez civil del circuito, la Sala advirtió necesario intervenir como fallador constitucional a fin de enmendar dicha tramitación, para lo cual explicitó:</w:t>
      </w:r>
    </w:p>
    <w:p w:rsidR="00677FA7" w:rsidRPr="00107E9D" w:rsidRDefault="00677FA7" w:rsidP="00107E9D">
      <w:pPr>
        <w:spacing w:after="0" w:line="240" w:lineRule="auto"/>
        <w:ind w:left="426" w:right="420" w:firstLine="2268"/>
        <w:jc w:val="both"/>
        <w:rPr>
          <w:rFonts w:ascii="Gadugi" w:hAnsi="Gadugi" w:cs="Tahoma"/>
          <w:szCs w:val="24"/>
        </w:rPr>
      </w:pPr>
    </w:p>
    <w:p w:rsidR="00677FA7" w:rsidRPr="00107E9D" w:rsidRDefault="00677FA7" w:rsidP="00107E9D">
      <w:pPr>
        <w:pStyle w:val="NormalWeb"/>
        <w:spacing w:before="0" w:beforeAutospacing="0" w:after="0" w:afterAutospacing="0"/>
        <w:ind w:left="851" w:right="845" w:firstLine="1843"/>
        <w:jc w:val="both"/>
        <w:rPr>
          <w:rFonts w:ascii="Gadugi" w:hAnsi="Gadugi" w:cs="Tahoma"/>
          <w:i/>
          <w:sz w:val="22"/>
          <w:lang w:val="es-ES_tradnl" w:eastAsia="es-CO"/>
        </w:rPr>
      </w:pPr>
      <w:r w:rsidRPr="00107E9D">
        <w:rPr>
          <w:rFonts w:ascii="Gadugi" w:hAnsi="Gadugi" w:cs="Tahoma"/>
          <w:sz w:val="22"/>
        </w:rPr>
        <w:t>«</w:t>
      </w:r>
      <w:r w:rsidRPr="00107E9D">
        <w:rPr>
          <w:rFonts w:ascii="Gadugi" w:hAnsi="Gadugi" w:cs="Tahoma"/>
          <w:i/>
          <w:sz w:val="22"/>
        </w:rPr>
        <w:t xml:space="preserve">(…) </w:t>
      </w:r>
      <w:r w:rsidRPr="00107E9D">
        <w:rPr>
          <w:rFonts w:ascii="Gadugi" w:hAnsi="Gadugi" w:cs="Tahoma"/>
          <w:i/>
          <w:sz w:val="22"/>
          <w:lang w:val="es-ES_tradnl" w:eastAsia="es-CO"/>
        </w:rPr>
        <w:t>La incorrección en que cayó la corporación accionada aconteció por cuanto pasó por alto que conforme al ordenamiento jurídico, según lo tiene dicho el derecho pretoriano, el auto denegatorio de la iniciación del proceso de reorganización -en este evento de persona natural comerciante- es inapelable, conforme así lo regula el artículo 18 de la Ley 1116 de 2006, «[p]</w:t>
      </w:r>
      <w:proofErr w:type="spellStart"/>
      <w:r w:rsidRPr="00107E9D">
        <w:rPr>
          <w:rFonts w:ascii="Gadugi" w:hAnsi="Gadugi" w:cs="Tahoma"/>
          <w:i/>
          <w:sz w:val="22"/>
          <w:lang w:val="es-ES_tradnl" w:eastAsia="es-CO"/>
        </w:rPr>
        <w:t>or</w:t>
      </w:r>
      <w:proofErr w:type="spellEnd"/>
      <w:r w:rsidRPr="00107E9D">
        <w:rPr>
          <w:rFonts w:ascii="Gadugi" w:hAnsi="Gadugi" w:cs="Tahoma"/>
          <w:i/>
          <w:sz w:val="22"/>
          <w:lang w:val="es-ES_tradnl" w:eastAsia="es-CO"/>
        </w:rPr>
        <w:t xml:space="preserve"> la cual se establece el régimen de insolvencia empresarial en la República de Colombia y se dictan otras disposiciones», mismo que establece que «[e]l proceso de reorganización comienza el día de expedición del auto de iniciación del proceso por parte del juez del concurso. La providencia que decrete la iniciación del proceso de reorganización no será susceptible de ningún recurso. La que lo niegue sólo será susceptible del recurso de reposición, que podrá ser interpuesto por el deudor o el acreedor o acreedores solicitantes. Lo anterior sin perjuicio de lo establecido en el parágrafo primero del artículo 6º de la presente ley» (se destacó).</w:t>
      </w:r>
    </w:p>
    <w:p w:rsidR="00677FA7" w:rsidRPr="00107E9D" w:rsidRDefault="00677FA7" w:rsidP="00107E9D">
      <w:pPr>
        <w:pStyle w:val="NormalWeb"/>
        <w:spacing w:before="0" w:beforeAutospacing="0" w:after="0" w:afterAutospacing="0"/>
        <w:ind w:left="851" w:right="845" w:firstLine="1843"/>
        <w:jc w:val="both"/>
        <w:rPr>
          <w:rFonts w:ascii="Gadugi" w:hAnsi="Gadugi" w:cs="Tahoma"/>
          <w:i/>
          <w:sz w:val="22"/>
          <w:lang w:val="es-ES_tradnl" w:eastAsia="es-CO"/>
        </w:rPr>
      </w:pPr>
    </w:p>
    <w:p w:rsidR="00677FA7" w:rsidRPr="00FE4802" w:rsidRDefault="00677FA7" w:rsidP="00FE4802">
      <w:pPr>
        <w:spacing w:after="0" w:line="240" w:lineRule="auto"/>
        <w:ind w:left="426" w:right="420" w:firstLine="2268"/>
        <w:jc w:val="both"/>
        <w:rPr>
          <w:rFonts w:ascii="Gadugi" w:hAnsi="Gadugi" w:cs="Tahoma"/>
          <w:szCs w:val="24"/>
        </w:rPr>
      </w:pPr>
      <w:r w:rsidRPr="00FE4802">
        <w:rPr>
          <w:rFonts w:ascii="Gadugi" w:hAnsi="Gadugi" w:cs="Tahoma"/>
          <w:szCs w:val="24"/>
        </w:rPr>
        <w:t xml:space="preserve"> Por ende, al haberse pronunciado como ad </w:t>
      </w:r>
      <w:proofErr w:type="spellStart"/>
      <w:r w:rsidRPr="00FE4802">
        <w:rPr>
          <w:rFonts w:ascii="Gadugi" w:hAnsi="Gadugi" w:cs="Tahoma"/>
          <w:szCs w:val="24"/>
        </w:rPr>
        <w:t>quem</w:t>
      </w:r>
      <w:proofErr w:type="spellEnd"/>
      <w:r w:rsidRPr="00FE4802">
        <w:rPr>
          <w:rFonts w:ascii="Gadugi" w:hAnsi="Gadugi" w:cs="Tahoma"/>
          <w:szCs w:val="24"/>
        </w:rPr>
        <w:t>, acerca del mentado proveído, se arrogó una atribución sin tener fundamento para lo propio en la ley, lo que depara un proceder caprichoso de su parte.</w:t>
      </w:r>
    </w:p>
    <w:p w:rsidR="00677FA7" w:rsidRPr="00FE4802" w:rsidRDefault="00677FA7" w:rsidP="00FE4802">
      <w:pPr>
        <w:spacing w:after="0" w:line="240" w:lineRule="auto"/>
        <w:ind w:left="426" w:right="420" w:firstLine="2268"/>
        <w:jc w:val="both"/>
        <w:rPr>
          <w:rFonts w:ascii="Gadugi" w:hAnsi="Gadugi" w:cs="Tahoma"/>
          <w:szCs w:val="24"/>
        </w:rPr>
      </w:pPr>
    </w:p>
    <w:p w:rsidR="00677FA7" w:rsidRPr="00FE4802" w:rsidRDefault="00677FA7" w:rsidP="00FE4802">
      <w:pPr>
        <w:spacing w:after="0" w:line="240" w:lineRule="auto"/>
        <w:ind w:left="426" w:right="420" w:firstLine="2268"/>
        <w:jc w:val="both"/>
        <w:rPr>
          <w:rFonts w:ascii="Gadugi" w:hAnsi="Gadugi" w:cs="Tahoma"/>
          <w:szCs w:val="24"/>
        </w:rPr>
      </w:pPr>
      <w:r w:rsidRPr="00FE4802">
        <w:rPr>
          <w:rFonts w:ascii="Gadugi" w:hAnsi="Gadugi" w:cs="Tahoma"/>
          <w:szCs w:val="24"/>
        </w:rPr>
        <w:lastRenderedPageBreak/>
        <w:t>(…) Acerca de la improcedencia del aludido medio impugnativo vertical en punto de la providencia de marras, esta Sala ha expresado:</w:t>
      </w:r>
    </w:p>
    <w:p w:rsidR="00677FA7" w:rsidRPr="00107E9D" w:rsidRDefault="00677FA7" w:rsidP="00107E9D">
      <w:pPr>
        <w:pStyle w:val="Sangradetextonormal"/>
        <w:tabs>
          <w:tab w:val="left" w:pos="0"/>
        </w:tabs>
        <w:overflowPunct/>
        <w:autoSpaceDE/>
        <w:adjustRightInd/>
        <w:spacing w:after="0"/>
        <w:ind w:left="851" w:right="845" w:firstLine="1843"/>
        <w:rPr>
          <w:rFonts w:ascii="Gadugi" w:hAnsi="Gadugi" w:cs="Tahoma"/>
          <w:i/>
          <w:sz w:val="22"/>
          <w:szCs w:val="24"/>
        </w:rPr>
      </w:pPr>
    </w:p>
    <w:p w:rsidR="00677FA7" w:rsidRPr="00107E9D" w:rsidRDefault="00677FA7" w:rsidP="00107E9D">
      <w:pPr>
        <w:spacing w:after="0" w:line="240" w:lineRule="auto"/>
        <w:ind w:left="851" w:right="845" w:firstLine="1843"/>
        <w:jc w:val="both"/>
        <w:rPr>
          <w:rFonts w:ascii="Gadugi" w:hAnsi="Gadugi" w:cs="Tahoma"/>
          <w:i/>
          <w:szCs w:val="24"/>
        </w:rPr>
      </w:pPr>
      <w:r w:rsidRPr="00107E9D">
        <w:rPr>
          <w:rFonts w:ascii="Gadugi" w:hAnsi="Gadugi" w:cs="Tahoma"/>
          <w:i/>
          <w:szCs w:val="24"/>
        </w:rPr>
        <w:t xml:space="preserve">En CSJ STC6883-2016, 26 </w:t>
      </w:r>
      <w:proofErr w:type="spellStart"/>
      <w:r w:rsidRPr="00107E9D">
        <w:rPr>
          <w:rFonts w:ascii="Gadugi" w:hAnsi="Gadugi" w:cs="Tahoma"/>
          <w:i/>
          <w:szCs w:val="24"/>
        </w:rPr>
        <w:t>may</w:t>
      </w:r>
      <w:proofErr w:type="spellEnd"/>
      <w:r w:rsidRPr="00107E9D">
        <w:rPr>
          <w:rFonts w:ascii="Gadugi" w:hAnsi="Gadugi" w:cs="Tahoma"/>
          <w:i/>
          <w:szCs w:val="24"/>
        </w:rPr>
        <w:t xml:space="preserve">. 2016, rad. 2016-00054-01, adujo que «[d]e manera liminar, debe precisarse que en el caso bajo estudio no procedía el recurso de apelación contra el proveído de rechazo del trámite de reorganización, como equivocadamente lo indicó el Tribunal constitucional de primera instancia, puesto que el inciso segundo del artículo 18 de la Ley 1116 de 2006, dispone que la providencia que niegue la iniciación del proceso de reorganización únicamente será susceptible de reposición». </w:t>
      </w:r>
    </w:p>
    <w:p w:rsidR="00677FA7" w:rsidRPr="00107E9D" w:rsidRDefault="00677FA7" w:rsidP="00107E9D">
      <w:pPr>
        <w:spacing w:after="0" w:line="240" w:lineRule="auto"/>
        <w:ind w:left="851" w:right="845" w:firstLine="1843"/>
        <w:jc w:val="both"/>
        <w:rPr>
          <w:rFonts w:ascii="Gadugi" w:hAnsi="Gadugi" w:cs="Tahoma"/>
          <w:i/>
          <w:szCs w:val="24"/>
        </w:rPr>
      </w:pPr>
    </w:p>
    <w:p w:rsidR="00677FA7" w:rsidRPr="00B63520" w:rsidRDefault="00677FA7" w:rsidP="00B63520">
      <w:pPr>
        <w:spacing w:after="0" w:line="240" w:lineRule="auto"/>
        <w:ind w:left="426" w:right="420" w:firstLine="2268"/>
        <w:jc w:val="both"/>
        <w:rPr>
          <w:rFonts w:ascii="Gadugi" w:hAnsi="Gadugi" w:cs="Tahoma"/>
          <w:szCs w:val="24"/>
        </w:rPr>
      </w:pPr>
      <w:r w:rsidRPr="00B63520">
        <w:rPr>
          <w:rFonts w:ascii="Gadugi" w:hAnsi="Gadugi" w:cs="Tahoma"/>
          <w:szCs w:val="24"/>
        </w:rPr>
        <w:t xml:space="preserve">A su vez, en CSJ STC7676-2016, 9 de jun. 2016, rad. 2016-00058-01, relevó: </w:t>
      </w:r>
    </w:p>
    <w:p w:rsidR="00677FA7" w:rsidRPr="00107E9D" w:rsidRDefault="00677FA7" w:rsidP="00107E9D">
      <w:pPr>
        <w:pStyle w:val="Sangradetextonormal"/>
        <w:tabs>
          <w:tab w:val="left" w:pos="0"/>
        </w:tabs>
        <w:overflowPunct/>
        <w:autoSpaceDE/>
        <w:adjustRightInd/>
        <w:spacing w:after="0"/>
        <w:ind w:left="851" w:right="845" w:firstLine="1843"/>
        <w:rPr>
          <w:rFonts w:ascii="Gadugi" w:hAnsi="Gadugi" w:cs="Tahoma"/>
          <w:i/>
          <w:sz w:val="22"/>
          <w:szCs w:val="24"/>
        </w:rPr>
      </w:pPr>
    </w:p>
    <w:p w:rsidR="00677FA7" w:rsidRPr="00107E9D" w:rsidRDefault="00677FA7" w:rsidP="00107E9D">
      <w:pPr>
        <w:spacing w:after="0" w:line="240" w:lineRule="auto"/>
        <w:ind w:left="851" w:right="845" w:firstLine="1843"/>
        <w:jc w:val="both"/>
        <w:rPr>
          <w:rFonts w:ascii="Gadugi" w:hAnsi="Gadugi" w:cs="Tahoma"/>
          <w:i/>
          <w:szCs w:val="24"/>
        </w:rPr>
      </w:pPr>
      <w:r w:rsidRPr="00107E9D">
        <w:rPr>
          <w:rFonts w:ascii="Gadugi" w:hAnsi="Gadugi" w:cs="Tahoma"/>
          <w:i/>
          <w:szCs w:val="24"/>
        </w:rPr>
        <w:t>“Preliminarmente, la Corte observa que el numeral 4° del parágrafo 1° del artículo 6° de la Ley 1116 de 2006, señala de manera taxativa como apelables,</w:t>
      </w:r>
    </w:p>
    <w:p w:rsidR="00677FA7" w:rsidRPr="00107E9D" w:rsidRDefault="00677FA7" w:rsidP="00107E9D">
      <w:pPr>
        <w:spacing w:after="0" w:line="240" w:lineRule="auto"/>
        <w:ind w:left="851" w:right="845" w:firstLine="1843"/>
        <w:jc w:val="both"/>
        <w:rPr>
          <w:rFonts w:ascii="Gadugi" w:hAnsi="Gadugi" w:cs="Tahoma"/>
          <w:i/>
          <w:szCs w:val="24"/>
        </w:rPr>
      </w:pPr>
    </w:p>
    <w:p w:rsidR="00677FA7" w:rsidRPr="00107E9D" w:rsidRDefault="00677FA7" w:rsidP="00107E9D">
      <w:pPr>
        <w:spacing w:after="0" w:line="240" w:lineRule="auto"/>
        <w:ind w:left="851" w:right="845" w:firstLine="1843"/>
        <w:jc w:val="both"/>
        <w:rPr>
          <w:rFonts w:ascii="Gadugi" w:hAnsi="Gadugi" w:cs="Tahoma"/>
          <w:i/>
          <w:szCs w:val="24"/>
        </w:rPr>
      </w:pPr>
      <w:r w:rsidRPr="00107E9D">
        <w:rPr>
          <w:rFonts w:ascii="Gadugi" w:hAnsi="Gadugi" w:cs="Tahoma"/>
          <w:i/>
          <w:szCs w:val="24"/>
        </w:rPr>
        <w:t>Las providencias que profiera el juez civil del circuito dentro de los trámites previstos en esta ley, solo tendrán recurso de reposición, a excepción de las siguientes contra las cuales procede el recurso de apelación, en el efecto en que respecto de cada una de ellas se indica: 1. La de apertura del trámite, en el devolutivo. 2. La que apruebe la calificación y graduación de créditos, en el devolutivo. 3. La que rechace pruebas, en el devolutivo. 4. La que rechace la solicitud de nulidad, en el efecto devolutivo, y la que la decrete en el efecto suspensivo. 5. La que decrete o niegue medidas cautelares, en el efecto devolutivo. 6. La que ordene la entrega de bienes, en el efecto suspensivo y la que la niegue, en el devolutivo. 7. Las que impongan sanciones, en el devolutivo. 8. La que declare cumplido el acuerdo de reorganización, en el efecto suspensivo y la que lo declare incumplido en el devolutivo.</w:t>
      </w:r>
    </w:p>
    <w:p w:rsidR="00677FA7" w:rsidRPr="00107E9D" w:rsidRDefault="00677FA7" w:rsidP="00107E9D">
      <w:pPr>
        <w:spacing w:after="0" w:line="240" w:lineRule="auto"/>
        <w:ind w:left="426" w:right="420" w:firstLine="2268"/>
        <w:jc w:val="both"/>
        <w:rPr>
          <w:rFonts w:ascii="Gadugi" w:hAnsi="Gadugi" w:cs="Tahoma"/>
          <w:i/>
          <w:szCs w:val="24"/>
        </w:rPr>
      </w:pPr>
    </w:p>
    <w:p w:rsidR="00677FA7" w:rsidRPr="00107E9D" w:rsidRDefault="00677FA7" w:rsidP="00B63520">
      <w:pPr>
        <w:spacing w:after="0" w:line="240" w:lineRule="auto"/>
        <w:ind w:left="851" w:right="845" w:firstLine="1843"/>
        <w:jc w:val="both"/>
        <w:rPr>
          <w:rFonts w:ascii="Gadugi" w:hAnsi="Gadugi" w:cs="Tahoma"/>
          <w:i/>
          <w:szCs w:val="24"/>
        </w:rPr>
      </w:pPr>
      <w:r w:rsidRPr="00107E9D">
        <w:rPr>
          <w:rFonts w:ascii="Gadugi" w:hAnsi="Gadugi" w:cs="Tahoma"/>
          <w:i/>
          <w:szCs w:val="24"/>
        </w:rPr>
        <w:t>Y, al tenor del canon 18 de la misma codificación.</w:t>
      </w:r>
    </w:p>
    <w:p w:rsidR="00677FA7" w:rsidRPr="00107E9D" w:rsidRDefault="00677FA7" w:rsidP="00B63520">
      <w:pPr>
        <w:spacing w:after="0" w:line="240" w:lineRule="auto"/>
        <w:ind w:left="851" w:right="845" w:firstLine="1843"/>
        <w:jc w:val="both"/>
        <w:rPr>
          <w:rFonts w:ascii="Gadugi" w:hAnsi="Gadugi" w:cs="Tahoma"/>
          <w:i/>
          <w:szCs w:val="24"/>
        </w:rPr>
      </w:pPr>
    </w:p>
    <w:p w:rsidR="00677FA7" w:rsidRPr="00107E9D" w:rsidRDefault="00677FA7" w:rsidP="00B63520">
      <w:pPr>
        <w:spacing w:after="0" w:line="240" w:lineRule="auto"/>
        <w:ind w:left="851" w:right="845" w:firstLine="1843"/>
        <w:jc w:val="both"/>
        <w:rPr>
          <w:rFonts w:ascii="Gadugi" w:hAnsi="Gadugi" w:cs="Tahoma"/>
          <w:i/>
          <w:szCs w:val="24"/>
        </w:rPr>
      </w:pPr>
      <w:r w:rsidRPr="00107E9D">
        <w:rPr>
          <w:rFonts w:ascii="Gadugi" w:hAnsi="Gadugi" w:cs="Tahoma"/>
          <w:i/>
          <w:szCs w:val="24"/>
        </w:rPr>
        <w:t>El proceso de reorganización comienza el día de expedición del auto de iniciación del proceso por parte del juez del concurso. La providencia que decrete la iniciación del proceso de reorganización no será susceptible de ningún recurso. La que lo niegue sólo será susceptible del recurso de reposición, que podrá ser interpuesto por el deudor o el acreedor o acreedores solicitantes. Lo anterior sin perjuicio de lo establecido en el parágrafo primero del artículo 6o de la presente ley.</w:t>
      </w:r>
    </w:p>
    <w:p w:rsidR="00677FA7" w:rsidRPr="00107E9D" w:rsidRDefault="00677FA7" w:rsidP="00B63520">
      <w:pPr>
        <w:spacing w:after="0" w:line="240" w:lineRule="auto"/>
        <w:ind w:left="851" w:right="845" w:firstLine="1843"/>
        <w:jc w:val="both"/>
        <w:rPr>
          <w:rFonts w:ascii="Gadugi" w:hAnsi="Gadugi" w:cs="Tahoma"/>
          <w:i/>
          <w:szCs w:val="24"/>
        </w:rPr>
      </w:pPr>
    </w:p>
    <w:p w:rsidR="00677FA7" w:rsidRPr="00107E9D" w:rsidRDefault="00677FA7" w:rsidP="00B63520">
      <w:pPr>
        <w:spacing w:after="0" w:line="240" w:lineRule="auto"/>
        <w:ind w:left="851" w:right="845" w:firstLine="1843"/>
        <w:jc w:val="both"/>
        <w:rPr>
          <w:rFonts w:ascii="Gadugi" w:hAnsi="Gadugi" w:cs="Tahoma"/>
          <w:i/>
          <w:szCs w:val="24"/>
        </w:rPr>
      </w:pPr>
      <w:r w:rsidRPr="00107E9D">
        <w:rPr>
          <w:rFonts w:ascii="Gadugi" w:hAnsi="Gadugi" w:cs="Tahoma"/>
          <w:i/>
          <w:szCs w:val="24"/>
        </w:rPr>
        <w:t>Así las cosas, en aplicación estricta de la mencionada normativa, no era viable la formulación del recurso de apelación […] (negrilla original).</w:t>
      </w:r>
    </w:p>
    <w:p w:rsidR="00677FA7" w:rsidRPr="00107E9D" w:rsidRDefault="00677FA7" w:rsidP="00107E9D">
      <w:pPr>
        <w:pStyle w:val="Textoindependiente2"/>
        <w:spacing w:after="0" w:line="240" w:lineRule="auto"/>
        <w:ind w:left="426" w:right="420" w:firstLine="2268"/>
        <w:rPr>
          <w:rFonts w:ascii="Gadugi" w:hAnsi="Gadugi" w:cs="Tahoma"/>
          <w:i/>
          <w:sz w:val="22"/>
          <w:szCs w:val="24"/>
          <w:lang w:eastAsia="es-CO"/>
        </w:rPr>
      </w:pPr>
    </w:p>
    <w:p w:rsidR="00677FA7" w:rsidRPr="00B63520" w:rsidRDefault="00677FA7" w:rsidP="00107E9D">
      <w:pPr>
        <w:pStyle w:val="Textoindependiente2"/>
        <w:spacing w:after="0" w:line="240" w:lineRule="auto"/>
        <w:ind w:left="426" w:right="420" w:firstLine="2268"/>
        <w:jc w:val="both"/>
        <w:rPr>
          <w:rFonts w:ascii="Gadugi" w:eastAsiaTheme="minorHAnsi" w:hAnsi="Gadugi" w:cs="Tahoma"/>
          <w:sz w:val="22"/>
          <w:szCs w:val="24"/>
          <w:lang w:val="es-419" w:eastAsia="en-US"/>
        </w:rPr>
      </w:pPr>
      <w:r w:rsidRPr="00107E9D">
        <w:rPr>
          <w:rFonts w:ascii="Gadugi" w:hAnsi="Gadugi" w:cs="Tahoma"/>
          <w:i/>
          <w:sz w:val="22"/>
          <w:szCs w:val="24"/>
          <w:lang w:eastAsia="es-CO"/>
        </w:rPr>
        <w:t xml:space="preserve"> Asimismo, en CSJ STC7781-2016, 13 jun. 2016, rad. 2016-</w:t>
      </w:r>
      <w:r w:rsidRPr="00B63520">
        <w:rPr>
          <w:rFonts w:ascii="Gadugi" w:eastAsiaTheme="minorHAnsi" w:hAnsi="Gadugi" w:cs="Tahoma"/>
          <w:sz w:val="22"/>
          <w:szCs w:val="24"/>
          <w:lang w:val="es-419" w:eastAsia="en-US"/>
        </w:rPr>
        <w:t>00057-01, manifestó que «[e]</w:t>
      </w:r>
      <w:proofErr w:type="spellStart"/>
      <w:r w:rsidRPr="00B63520">
        <w:rPr>
          <w:rFonts w:ascii="Gadugi" w:eastAsiaTheme="minorHAnsi" w:hAnsi="Gadugi" w:cs="Tahoma"/>
          <w:sz w:val="22"/>
          <w:szCs w:val="24"/>
          <w:lang w:val="es-419" w:eastAsia="en-US"/>
        </w:rPr>
        <w:t>stá</w:t>
      </w:r>
      <w:proofErr w:type="spellEnd"/>
      <w:r w:rsidRPr="00B63520">
        <w:rPr>
          <w:rFonts w:ascii="Gadugi" w:eastAsiaTheme="minorHAnsi" w:hAnsi="Gadugi" w:cs="Tahoma"/>
          <w:sz w:val="22"/>
          <w:szCs w:val="24"/>
          <w:lang w:val="es-419" w:eastAsia="en-US"/>
        </w:rPr>
        <w:t xml:space="preserve"> acreditado que la interesada agotó, previo a interponer este auxilio, las vías ordinarias de defensa a su disposición, pues incoó recurso de reposición frente al auto nugatorio de su petitorio. Ahora, no debe reprochársele, como lo hizo el Tribunal constitucional a quo, su omisión de formular </w:t>
      </w:r>
      <w:r w:rsidRPr="00B63520">
        <w:rPr>
          <w:rFonts w:ascii="Gadugi" w:eastAsiaTheme="minorHAnsi" w:hAnsi="Gadugi" w:cs="Tahoma"/>
          <w:sz w:val="22"/>
          <w:szCs w:val="24"/>
          <w:lang w:val="es-419" w:eastAsia="en-US"/>
        </w:rPr>
        <w:lastRenderedPageBreak/>
        <w:t>apelación contra tal determinación, por cuanto, el proveído que nie</w:t>
      </w:r>
      <w:bookmarkStart w:id="3" w:name="_GoBack"/>
      <w:bookmarkEnd w:id="3"/>
      <w:r w:rsidRPr="00B63520">
        <w:rPr>
          <w:rFonts w:ascii="Gadugi" w:eastAsiaTheme="minorHAnsi" w:hAnsi="Gadugi" w:cs="Tahoma"/>
          <w:sz w:val="22"/>
          <w:szCs w:val="24"/>
          <w:lang w:val="es-419" w:eastAsia="en-US"/>
        </w:rPr>
        <w:t>ga la apertura del citado juicio, según el artículo 6 de la Ley 1116 de 2006, no se halla enlistado como apelable» (STC11096-2016).</w:t>
      </w:r>
    </w:p>
    <w:p w:rsidR="00FC3616" w:rsidRPr="00900DA8" w:rsidRDefault="00FC3616" w:rsidP="00900DA8">
      <w:pPr>
        <w:pStyle w:val="Textoindependiente2"/>
        <w:spacing w:after="0" w:line="276" w:lineRule="auto"/>
        <w:ind w:left="567" w:right="335" w:firstLine="2268"/>
        <w:jc w:val="both"/>
        <w:rPr>
          <w:rFonts w:ascii="Gadugi" w:hAnsi="Gadugi" w:cs="Tahoma"/>
          <w:sz w:val="24"/>
          <w:szCs w:val="24"/>
          <w:lang w:eastAsia="es-CO"/>
        </w:rPr>
      </w:pPr>
    </w:p>
    <w:p w:rsidR="00FC3616" w:rsidRPr="00900DA8" w:rsidRDefault="00FC3616" w:rsidP="00900DA8">
      <w:pPr>
        <w:pStyle w:val="Textoindependiente2"/>
        <w:numPr>
          <w:ilvl w:val="0"/>
          <w:numId w:val="2"/>
        </w:numPr>
        <w:tabs>
          <w:tab w:val="left" w:pos="-720"/>
          <w:tab w:val="left" w:pos="3119"/>
        </w:tabs>
        <w:suppressAutoHyphens/>
        <w:spacing w:after="0" w:line="276" w:lineRule="auto"/>
        <w:ind w:left="0" w:right="51" w:firstLine="2835"/>
        <w:contextualSpacing/>
        <w:jc w:val="both"/>
        <w:rPr>
          <w:rFonts w:ascii="Gadugi" w:hAnsi="Gadugi"/>
          <w:b/>
          <w:spacing w:val="-3"/>
          <w:sz w:val="24"/>
          <w:szCs w:val="24"/>
          <w:lang w:eastAsia="es-ES"/>
        </w:rPr>
      </w:pPr>
      <w:r w:rsidRPr="00900DA8">
        <w:rPr>
          <w:rFonts w:ascii="Gadugi" w:hAnsi="Gadugi" w:cs="Tahoma"/>
          <w:sz w:val="24"/>
          <w:szCs w:val="24"/>
          <w:lang w:eastAsia="es-CO"/>
        </w:rPr>
        <w:t>Incumplido, entonces, el requisito de la procedencia, porque, se insiste, el auto que niega el levantamiento de una medida cautelar en el trámite de la reorganización es inapelable, no queda alternativa distinta a la de inadmitir el recurso concedido en primera instancia.</w:t>
      </w:r>
    </w:p>
    <w:p w:rsidR="00FC3616" w:rsidRPr="00900DA8" w:rsidRDefault="00FC3616" w:rsidP="00900DA8">
      <w:pPr>
        <w:pStyle w:val="Textoindependiente2"/>
        <w:tabs>
          <w:tab w:val="left" w:pos="-720"/>
          <w:tab w:val="left" w:pos="3119"/>
        </w:tabs>
        <w:suppressAutoHyphens/>
        <w:spacing w:after="0" w:line="276" w:lineRule="auto"/>
        <w:ind w:left="2835" w:right="51"/>
        <w:contextualSpacing/>
        <w:jc w:val="both"/>
        <w:rPr>
          <w:rFonts w:ascii="Gadugi" w:hAnsi="Gadugi"/>
          <w:b/>
          <w:spacing w:val="-3"/>
          <w:sz w:val="24"/>
          <w:szCs w:val="24"/>
          <w:lang w:eastAsia="es-ES"/>
        </w:rPr>
      </w:pPr>
    </w:p>
    <w:p w:rsidR="00FC3616" w:rsidRPr="00900DA8" w:rsidRDefault="00FC3616" w:rsidP="00900DA8">
      <w:pPr>
        <w:pStyle w:val="Textoindependiente2"/>
        <w:tabs>
          <w:tab w:val="left" w:pos="-720"/>
          <w:tab w:val="left" w:pos="3119"/>
        </w:tabs>
        <w:suppressAutoHyphens/>
        <w:spacing w:after="0" w:line="276" w:lineRule="auto"/>
        <w:ind w:left="2835" w:right="51"/>
        <w:contextualSpacing/>
        <w:jc w:val="both"/>
        <w:rPr>
          <w:rFonts w:ascii="Gadugi" w:hAnsi="Gadugi"/>
          <w:b/>
          <w:spacing w:val="-3"/>
          <w:sz w:val="24"/>
          <w:szCs w:val="24"/>
          <w:lang w:eastAsia="es-ES"/>
        </w:rPr>
      </w:pPr>
    </w:p>
    <w:p w:rsidR="00FC3616" w:rsidRPr="00900DA8" w:rsidRDefault="00FC3616" w:rsidP="00900DA8">
      <w:pPr>
        <w:pStyle w:val="Textoindependiente2"/>
        <w:tabs>
          <w:tab w:val="left" w:pos="-720"/>
          <w:tab w:val="left" w:pos="3119"/>
        </w:tabs>
        <w:suppressAutoHyphens/>
        <w:spacing w:after="0" w:line="276" w:lineRule="auto"/>
        <w:ind w:left="2835" w:right="51"/>
        <w:contextualSpacing/>
        <w:jc w:val="both"/>
        <w:rPr>
          <w:rFonts w:ascii="Gadugi" w:hAnsi="Gadugi"/>
          <w:b/>
          <w:spacing w:val="-3"/>
          <w:sz w:val="24"/>
          <w:szCs w:val="24"/>
          <w:lang w:eastAsia="es-ES"/>
        </w:rPr>
      </w:pPr>
      <w:r w:rsidRPr="00900DA8">
        <w:rPr>
          <w:rFonts w:ascii="Gadugi" w:hAnsi="Gadugi"/>
          <w:b/>
          <w:spacing w:val="-3"/>
          <w:sz w:val="24"/>
          <w:szCs w:val="24"/>
          <w:lang w:eastAsia="es-ES"/>
        </w:rPr>
        <w:t>3. DECISIÓN</w:t>
      </w:r>
    </w:p>
    <w:p w:rsidR="00FC3616" w:rsidRPr="00900DA8" w:rsidRDefault="00FC3616" w:rsidP="00900DA8">
      <w:pPr>
        <w:pStyle w:val="Textoindependiente2"/>
        <w:tabs>
          <w:tab w:val="left" w:pos="-720"/>
          <w:tab w:val="left" w:pos="3119"/>
        </w:tabs>
        <w:suppressAutoHyphens/>
        <w:spacing w:after="0" w:line="276" w:lineRule="auto"/>
        <w:ind w:left="2835" w:right="51"/>
        <w:contextualSpacing/>
        <w:jc w:val="both"/>
        <w:rPr>
          <w:rFonts w:ascii="Gadugi" w:hAnsi="Gadugi"/>
          <w:b/>
          <w:spacing w:val="-3"/>
          <w:sz w:val="24"/>
          <w:szCs w:val="24"/>
          <w:lang w:eastAsia="es-ES"/>
        </w:rPr>
      </w:pPr>
    </w:p>
    <w:p w:rsidR="00FC3616" w:rsidRPr="00900DA8" w:rsidRDefault="00FC3616" w:rsidP="00900DA8">
      <w:pPr>
        <w:pStyle w:val="Textoindependiente2"/>
        <w:tabs>
          <w:tab w:val="left" w:pos="-720"/>
          <w:tab w:val="left" w:pos="3119"/>
        </w:tabs>
        <w:suppressAutoHyphens/>
        <w:spacing w:after="0" w:line="276" w:lineRule="auto"/>
        <w:ind w:left="2835" w:right="51"/>
        <w:contextualSpacing/>
        <w:jc w:val="both"/>
        <w:rPr>
          <w:rFonts w:ascii="Gadugi" w:hAnsi="Gadugi"/>
          <w:b/>
          <w:spacing w:val="-3"/>
          <w:sz w:val="24"/>
          <w:szCs w:val="24"/>
          <w:lang w:eastAsia="es-ES"/>
        </w:rPr>
      </w:pPr>
    </w:p>
    <w:p w:rsidR="00FC3616" w:rsidRPr="00900DA8" w:rsidRDefault="00FC3616" w:rsidP="00900DA8">
      <w:pPr>
        <w:spacing w:after="0" w:line="276" w:lineRule="auto"/>
        <w:ind w:firstLine="2835"/>
        <w:jc w:val="both"/>
        <w:rPr>
          <w:rFonts w:ascii="Gadugi" w:hAnsi="Gadugi"/>
          <w:sz w:val="24"/>
          <w:szCs w:val="24"/>
        </w:rPr>
      </w:pPr>
      <w:r w:rsidRPr="00900DA8">
        <w:rPr>
          <w:rFonts w:ascii="Gadugi" w:hAnsi="Gadugi"/>
          <w:spacing w:val="-3"/>
          <w:sz w:val="24"/>
          <w:szCs w:val="24"/>
          <w:lang w:eastAsia="es-ES"/>
        </w:rPr>
        <w:t xml:space="preserve">En armonía con lo dicho, esta Sala Unitaria Civil-Familia del Tribunal Superior del Distrito Judicial de Pereira, </w:t>
      </w:r>
      <w:r w:rsidRPr="00900DA8">
        <w:rPr>
          <w:rFonts w:ascii="Gadugi" w:hAnsi="Gadugi"/>
          <w:b/>
          <w:spacing w:val="-3"/>
          <w:sz w:val="24"/>
          <w:szCs w:val="24"/>
          <w:lang w:eastAsia="es-ES"/>
        </w:rPr>
        <w:t xml:space="preserve">DECLARA INADMISIBLE </w:t>
      </w:r>
      <w:r w:rsidRPr="00900DA8">
        <w:rPr>
          <w:rFonts w:ascii="Gadugi" w:hAnsi="Gadugi"/>
          <w:sz w:val="24"/>
          <w:szCs w:val="24"/>
        </w:rPr>
        <w:t xml:space="preserve">el recurso de apelación propuesto por el señor Jairo Amaya Serna frente al auto del 18 de agosto de 2021, proferido por el Juzgado Tercero Civil del Circuito, en este trámite de reorganización que inició. </w:t>
      </w:r>
    </w:p>
    <w:p w:rsidR="00FC3616" w:rsidRPr="00900DA8" w:rsidRDefault="00FC3616" w:rsidP="00900DA8">
      <w:pPr>
        <w:pStyle w:val="Textoindependiente2"/>
        <w:tabs>
          <w:tab w:val="left" w:pos="-720"/>
          <w:tab w:val="left" w:pos="3119"/>
        </w:tabs>
        <w:suppressAutoHyphens/>
        <w:spacing w:after="0" w:line="276" w:lineRule="auto"/>
        <w:ind w:left="2835" w:right="51"/>
        <w:contextualSpacing/>
        <w:jc w:val="both"/>
        <w:rPr>
          <w:rFonts w:ascii="Gadugi" w:hAnsi="Gadugi"/>
          <w:spacing w:val="-3"/>
          <w:sz w:val="24"/>
          <w:szCs w:val="24"/>
          <w:lang w:eastAsia="es-ES"/>
        </w:rPr>
      </w:pPr>
    </w:p>
    <w:p w:rsidR="00FC3616" w:rsidRPr="00900DA8" w:rsidRDefault="00FC3616" w:rsidP="00900DA8">
      <w:pPr>
        <w:pStyle w:val="Textoindependiente2"/>
        <w:tabs>
          <w:tab w:val="left" w:pos="-720"/>
          <w:tab w:val="left" w:pos="3119"/>
        </w:tabs>
        <w:suppressAutoHyphens/>
        <w:spacing w:after="0" w:line="276" w:lineRule="auto"/>
        <w:ind w:left="2835" w:right="51"/>
        <w:contextualSpacing/>
        <w:jc w:val="both"/>
        <w:rPr>
          <w:rFonts w:ascii="Gadugi" w:hAnsi="Gadugi"/>
          <w:spacing w:val="-3"/>
          <w:sz w:val="24"/>
          <w:szCs w:val="24"/>
          <w:lang w:eastAsia="es-ES"/>
        </w:rPr>
      </w:pPr>
      <w:r w:rsidRPr="00900DA8">
        <w:rPr>
          <w:rFonts w:ascii="Gadugi" w:hAnsi="Gadugi"/>
          <w:spacing w:val="-3"/>
          <w:sz w:val="24"/>
          <w:szCs w:val="24"/>
          <w:lang w:eastAsia="es-ES"/>
        </w:rPr>
        <w:t xml:space="preserve">Notifíquese, </w:t>
      </w:r>
    </w:p>
    <w:p w:rsidR="00FC3616" w:rsidRPr="00900DA8" w:rsidRDefault="00FC3616" w:rsidP="00900DA8">
      <w:pPr>
        <w:pStyle w:val="Textoindependiente2"/>
        <w:tabs>
          <w:tab w:val="left" w:pos="-720"/>
          <w:tab w:val="left" w:pos="3119"/>
        </w:tabs>
        <w:suppressAutoHyphens/>
        <w:spacing w:after="0" w:line="276" w:lineRule="auto"/>
        <w:ind w:left="2835" w:right="51"/>
        <w:contextualSpacing/>
        <w:jc w:val="both"/>
        <w:rPr>
          <w:rFonts w:ascii="Gadugi" w:hAnsi="Gadugi"/>
          <w:spacing w:val="-3"/>
          <w:sz w:val="24"/>
          <w:szCs w:val="24"/>
          <w:lang w:eastAsia="es-ES"/>
        </w:rPr>
      </w:pPr>
    </w:p>
    <w:p w:rsidR="00FC3616" w:rsidRPr="00900DA8" w:rsidRDefault="00FC3616" w:rsidP="00900DA8">
      <w:pPr>
        <w:pStyle w:val="Textoindependiente2"/>
        <w:tabs>
          <w:tab w:val="left" w:pos="-720"/>
          <w:tab w:val="left" w:pos="3119"/>
        </w:tabs>
        <w:suppressAutoHyphens/>
        <w:spacing w:after="0" w:line="276" w:lineRule="auto"/>
        <w:ind w:left="2835" w:right="51"/>
        <w:contextualSpacing/>
        <w:jc w:val="both"/>
        <w:rPr>
          <w:rFonts w:ascii="Gadugi" w:hAnsi="Gadugi"/>
          <w:spacing w:val="-3"/>
          <w:sz w:val="24"/>
          <w:szCs w:val="24"/>
          <w:lang w:eastAsia="es-ES"/>
        </w:rPr>
      </w:pPr>
      <w:r w:rsidRPr="00900DA8">
        <w:rPr>
          <w:rFonts w:ascii="Gadugi" w:hAnsi="Gadugi"/>
          <w:spacing w:val="-3"/>
          <w:sz w:val="24"/>
          <w:szCs w:val="24"/>
          <w:lang w:eastAsia="es-ES"/>
        </w:rPr>
        <w:t xml:space="preserve">El Magistrado, </w:t>
      </w:r>
    </w:p>
    <w:p w:rsidR="00FC3616" w:rsidRDefault="00FC3616" w:rsidP="00900DA8">
      <w:pPr>
        <w:pStyle w:val="Textoindependiente2"/>
        <w:tabs>
          <w:tab w:val="left" w:pos="-720"/>
          <w:tab w:val="left" w:pos="3119"/>
        </w:tabs>
        <w:suppressAutoHyphens/>
        <w:spacing w:after="0" w:line="276" w:lineRule="auto"/>
        <w:ind w:left="2835" w:right="51"/>
        <w:contextualSpacing/>
        <w:jc w:val="both"/>
        <w:rPr>
          <w:rFonts w:ascii="Gadugi" w:hAnsi="Gadugi"/>
          <w:spacing w:val="-3"/>
          <w:sz w:val="24"/>
          <w:szCs w:val="24"/>
          <w:lang w:eastAsia="es-ES"/>
        </w:rPr>
      </w:pPr>
    </w:p>
    <w:p w:rsidR="00900DA8" w:rsidRPr="00900DA8" w:rsidRDefault="00900DA8" w:rsidP="00900DA8">
      <w:pPr>
        <w:pStyle w:val="Textoindependiente2"/>
        <w:tabs>
          <w:tab w:val="left" w:pos="-720"/>
          <w:tab w:val="left" w:pos="3119"/>
        </w:tabs>
        <w:suppressAutoHyphens/>
        <w:spacing w:after="0" w:line="276" w:lineRule="auto"/>
        <w:ind w:left="2835" w:right="51"/>
        <w:contextualSpacing/>
        <w:jc w:val="both"/>
        <w:rPr>
          <w:rFonts w:ascii="Gadugi" w:hAnsi="Gadugi"/>
          <w:spacing w:val="-3"/>
          <w:sz w:val="24"/>
          <w:szCs w:val="24"/>
          <w:lang w:eastAsia="es-ES"/>
        </w:rPr>
      </w:pPr>
    </w:p>
    <w:p w:rsidR="00FC3616" w:rsidRPr="00900DA8" w:rsidRDefault="00FC3616" w:rsidP="00900DA8">
      <w:pPr>
        <w:pStyle w:val="Textoindependiente2"/>
        <w:tabs>
          <w:tab w:val="left" w:pos="-720"/>
          <w:tab w:val="left" w:pos="3119"/>
        </w:tabs>
        <w:suppressAutoHyphens/>
        <w:spacing w:after="0" w:line="276" w:lineRule="auto"/>
        <w:ind w:left="2835" w:right="51"/>
        <w:contextualSpacing/>
        <w:jc w:val="both"/>
        <w:rPr>
          <w:rFonts w:ascii="Gadugi" w:hAnsi="Gadugi"/>
          <w:spacing w:val="-3"/>
          <w:sz w:val="24"/>
          <w:szCs w:val="24"/>
          <w:lang w:eastAsia="es-ES"/>
        </w:rPr>
      </w:pPr>
    </w:p>
    <w:p w:rsidR="00FC3616" w:rsidRPr="00900DA8" w:rsidRDefault="00FC3616" w:rsidP="00900DA8">
      <w:pPr>
        <w:pStyle w:val="Textoindependiente2"/>
        <w:tabs>
          <w:tab w:val="left" w:pos="-720"/>
          <w:tab w:val="left" w:pos="3119"/>
        </w:tabs>
        <w:suppressAutoHyphens/>
        <w:spacing w:after="0" w:line="276" w:lineRule="auto"/>
        <w:ind w:left="2835" w:right="51"/>
        <w:contextualSpacing/>
        <w:jc w:val="both"/>
        <w:rPr>
          <w:rFonts w:ascii="Gadugi" w:hAnsi="Gadugi"/>
          <w:b/>
          <w:spacing w:val="-3"/>
          <w:sz w:val="24"/>
          <w:szCs w:val="24"/>
          <w:lang w:eastAsia="es-ES"/>
        </w:rPr>
      </w:pPr>
      <w:r w:rsidRPr="00900DA8">
        <w:rPr>
          <w:rFonts w:ascii="Gadugi" w:hAnsi="Gadugi"/>
          <w:b/>
          <w:spacing w:val="-3"/>
          <w:sz w:val="24"/>
          <w:szCs w:val="24"/>
          <w:lang w:eastAsia="es-ES"/>
        </w:rPr>
        <w:t>JAIME ALBERTO SARAZA NARANJO</w:t>
      </w:r>
    </w:p>
    <w:sectPr w:rsidR="00FC3616" w:rsidRPr="00900DA8" w:rsidSect="00AD5069">
      <w:pgSz w:w="12242" w:h="18722" w:code="258"/>
      <w:pgMar w:top="1985" w:right="1361" w:bottom="1418" w:left="192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D28" w:rsidRDefault="00DA1D28" w:rsidP="0058568B">
      <w:pPr>
        <w:spacing w:after="0" w:line="240" w:lineRule="auto"/>
      </w:pPr>
      <w:r>
        <w:separator/>
      </w:r>
    </w:p>
  </w:endnote>
  <w:endnote w:type="continuationSeparator" w:id="0">
    <w:p w:rsidR="00DA1D28" w:rsidRDefault="00DA1D28" w:rsidP="0058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D28" w:rsidRDefault="00DA1D28" w:rsidP="0058568B">
      <w:pPr>
        <w:spacing w:after="0" w:line="240" w:lineRule="auto"/>
      </w:pPr>
      <w:r>
        <w:separator/>
      </w:r>
    </w:p>
  </w:footnote>
  <w:footnote w:type="continuationSeparator" w:id="0">
    <w:p w:rsidR="00DA1D28" w:rsidRDefault="00DA1D28" w:rsidP="0058568B">
      <w:pPr>
        <w:spacing w:after="0" w:line="240" w:lineRule="auto"/>
      </w:pPr>
      <w:r>
        <w:continuationSeparator/>
      </w:r>
    </w:p>
  </w:footnote>
  <w:footnote w:id="1">
    <w:p w:rsidR="00471461" w:rsidRPr="00900DA8" w:rsidRDefault="00471461" w:rsidP="00900DA8">
      <w:pPr>
        <w:pStyle w:val="Textonotapie"/>
        <w:rPr>
          <w:rFonts w:ascii="Century" w:hAnsi="Century"/>
          <w:sz w:val="18"/>
          <w:szCs w:val="24"/>
          <w:lang w:val="es-419"/>
        </w:rPr>
      </w:pPr>
      <w:r w:rsidRPr="00900DA8">
        <w:rPr>
          <w:rStyle w:val="Refdenotaalpie"/>
          <w:rFonts w:ascii="Century" w:hAnsi="Century"/>
          <w:sz w:val="18"/>
          <w:szCs w:val="24"/>
        </w:rPr>
        <w:footnoteRef/>
      </w:r>
      <w:r w:rsidRPr="00900DA8">
        <w:rPr>
          <w:rFonts w:ascii="Century" w:hAnsi="Century"/>
          <w:sz w:val="18"/>
          <w:szCs w:val="24"/>
        </w:rPr>
        <w:t xml:space="preserve"> </w:t>
      </w:r>
      <w:r w:rsidRPr="00900DA8">
        <w:rPr>
          <w:rFonts w:ascii="Century" w:hAnsi="Century"/>
          <w:sz w:val="18"/>
          <w:szCs w:val="24"/>
          <w:lang w:val="es-419"/>
        </w:rPr>
        <w:t xml:space="preserve">01PrimeraInstancia, REORGANIZACIÓN EMPRESARIAL, Cuaderno1TomoIV, Cuaderno4, </w:t>
      </w:r>
      <w:proofErr w:type="spellStart"/>
      <w:r w:rsidR="00EF2ED7" w:rsidRPr="00900DA8">
        <w:rPr>
          <w:rFonts w:ascii="Century" w:hAnsi="Century"/>
          <w:sz w:val="18"/>
          <w:szCs w:val="24"/>
          <w:lang w:val="es-419"/>
        </w:rPr>
        <w:t>arch</w:t>
      </w:r>
      <w:proofErr w:type="spellEnd"/>
      <w:r w:rsidR="00EF2ED7" w:rsidRPr="00900DA8">
        <w:rPr>
          <w:rFonts w:ascii="Century" w:hAnsi="Century"/>
          <w:sz w:val="18"/>
          <w:szCs w:val="24"/>
          <w:lang w:val="es-419"/>
        </w:rPr>
        <w:t xml:space="preserve">. </w:t>
      </w:r>
      <w:r w:rsidRPr="00900DA8">
        <w:rPr>
          <w:rFonts w:ascii="Century" w:hAnsi="Century"/>
          <w:sz w:val="18"/>
          <w:szCs w:val="24"/>
          <w:lang w:val="es-419"/>
        </w:rPr>
        <w:t>07</w:t>
      </w:r>
    </w:p>
  </w:footnote>
  <w:footnote w:id="2">
    <w:p w:rsidR="00E62E6D" w:rsidRPr="00900DA8" w:rsidRDefault="00E62E6D" w:rsidP="00900DA8">
      <w:pPr>
        <w:pStyle w:val="Textonotapie"/>
        <w:rPr>
          <w:rFonts w:ascii="Century" w:hAnsi="Century"/>
          <w:sz w:val="18"/>
          <w:szCs w:val="24"/>
          <w:lang w:val="es-419"/>
        </w:rPr>
      </w:pPr>
      <w:r w:rsidRPr="00900DA8">
        <w:rPr>
          <w:rStyle w:val="Refdenotaalpie"/>
          <w:rFonts w:ascii="Century" w:hAnsi="Century"/>
          <w:sz w:val="18"/>
          <w:szCs w:val="24"/>
        </w:rPr>
        <w:footnoteRef/>
      </w:r>
      <w:r w:rsidRPr="00900DA8">
        <w:rPr>
          <w:rFonts w:ascii="Century" w:hAnsi="Century"/>
          <w:sz w:val="18"/>
          <w:szCs w:val="24"/>
        </w:rPr>
        <w:t xml:space="preserve"> </w:t>
      </w:r>
      <w:r w:rsidRPr="00900DA8">
        <w:rPr>
          <w:rFonts w:ascii="Century" w:hAnsi="Century"/>
          <w:sz w:val="18"/>
          <w:szCs w:val="24"/>
          <w:lang w:val="es-419"/>
        </w:rPr>
        <w:t xml:space="preserve">Ib. </w:t>
      </w:r>
      <w:proofErr w:type="spellStart"/>
      <w:r w:rsidRPr="00900DA8">
        <w:rPr>
          <w:rFonts w:ascii="Century" w:hAnsi="Century"/>
          <w:sz w:val="18"/>
          <w:szCs w:val="24"/>
          <w:lang w:val="es-419"/>
        </w:rPr>
        <w:t>Arch</w:t>
      </w:r>
      <w:proofErr w:type="spellEnd"/>
      <w:r w:rsidRPr="00900DA8">
        <w:rPr>
          <w:rFonts w:ascii="Century" w:hAnsi="Century"/>
          <w:sz w:val="18"/>
          <w:szCs w:val="24"/>
          <w:lang w:val="es-419"/>
        </w:rPr>
        <w:t>. 35</w:t>
      </w:r>
    </w:p>
  </w:footnote>
  <w:footnote w:id="3">
    <w:p w:rsidR="00EF2ED7" w:rsidRPr="00900DA8" w:rsidRDefault="00EF2ED7" w:rsidP="00900DA8">
      <w:pPr>
        <w:pStyle w:val="Textonotapie"/>
        <w:rPr>
          <w:rFonts w:ascii="Century" w:hAnsi="Century"/>
          <w:sz w:val="18"/>
          <w:szCs w:val="24"/>
          <w:lang w:val="es-419"/>
        </w:rPr>
      </w:pPr>
      <w:r w:rsidRPr="00900DA8">
        <w:rPr>
          <w:rStyle w:val="Refdenotaalpie"/>
          <w:rFonts w:ascii="Century" w:hAnsi="Century"/>
          <w:sz w:val="18"/>
          <w:szCs w:val="24"/>
        </w:rPr>
        <w:footnoteRef/>
      </w:r>
      <w:r w:rsidRPr="00900DA8">
        <w:rPr>
          <w:rFonts w:ascii="Century" w:hAnsi="Century"/>
          <w:sz w:val="18"/>
          <w:szCs w:val="24"/>
        </w:rPr>
        <w:t xml:space="preserve"> </w:t>
      </w:r>
      <w:r w:rsidRPr="00900DA8">
        <w:rPr>
          <w:rFonts w:ascii="Century" w:hAnsi="Century"/>
          <w:sz w:val="18"/>
          <w:szCs w:val="24"/>
          <w:lang w:val="es-419"/>
        </w:rPr>
        <w:t xml:space="preserve">Ib. </w:t>
      </w:r>
      <w:proofErr w:type="spellStart"/>
      <w:r w:rsidRPr="00900DA8">
        <w:rPr>
          <w:rFonts w:ascii="Century" w:hAnsi="Century"/>
          <w:sz w:val="18"/>
          <w:szCs w:val="24"/>
          <w:lang w:val="es-419"/>
        </w:rPr>
        <w:t>Arch</w:t>
      </w:r>
      <w:proofErr w:type="spellEnd"/>
      <w:r w:rsidRPr="00900DA8">
        <w:rPr>
          <w:rFonts w:ascii="Century" w:hAnsi="Century"/>
          <w:sz w:val="18"/>
          <w:szCs w:val="24"/>
          <w:lang w:val="es-419"/>
        </w:rPr>
        <w:t>. 37</w:t>
      </w:r>
    </w:p>
  </w:footnote>
  <w:footnote w:id="4">
    <w:p w:rsidR="00EF2ED7" w:rsidRPr="00900DA8" w:rsidRDefault="00EF2ED7" w:rsidP="00900DA8">
      <w:pPr>
        <w:pStyle w:val="Textonotapie"/>
        <w:rPr>
          <w:rFonts w:ascii="Century" w:hAnsi="Century"/>
          <w:sz w:val="18"/>
          <w:szCs w:val="24"/>
          <w:lang w:val="es-419"/>
        </w:rPr>
      </w:pPr>
      <w:r w:rsidRPr="00900DA8">
        <w:rPr>
          <w:rStyle w:val="Refdenotaalpie"/>
          <w:rFonts w:ascii="Century" w:hAnsi="Century"/>
          <w:sz w:val="18"/>
          <w:szCs w:val="24"/>
        </w:rPr>
        <w:footnoteRef/>
      </w:r>
      <w:r w:rsidRPr="00900DA8">
        <w:rPr>
          <w:rFonts w:ascii="Century" w:hAnsi="Century"/>
          <w:sz w:val="18"/>
          <w:szCs w:val="24"/>
        </w:rPr>
        <w:t xml:space="preserve"> </w:t>
      </w:r>
      <w:r w:rsidRPr="00900DA8">
        <w:rPr>
          <w:rFonts w:ascii="Century" w:hAnsi="Century"/>
          <w:sz w:val="18"/>
          <w:szCs w:val="24"/>
          <w:lang w:val="es-419"/>
        </w:rPr>
        <w:t xml:space="preserve">Ib. </w:t>
      </w:r>
      <w:proofErr w:type="spellStart"/>
      <w:r w:rsidRPr="00900DA8">
        <w:rPr>
          <w:rFonts w:ascii="Century" w:hAnsi="Century"/>
          <w:sz w:val="18"/>
          <w:szCs w:val="24"/>
          <w:lang w:val="es-419"/>
        </w:rPr>
        <w:t>Arch</w:t>
      </w:r>
      <w:proofErr w:type="spellEnd"/>
      <w:r w:rsidRPr="00900DA8">
        <w:rPr>
          <w:rFonts w:ascii="Century" w:hAnsi="Century"/>
          <w:sz w:val="18"/>
          <w:szCs w:val="24"/>
          <w:lang w:val="es-419"/>
        </w:rPr>
        <w:t>. 39</w:t>
      </w:r>
    </w:p>
  </w:footnote>
  <w:footnote w:id="5">
    <w:p w:rsidR="00EF2ED7" w:rsidRPr="00900DA8" w:rsidRDefault="00EF2ED7" w:rsidP="00900DA8">
      <w:pPr>
        <w:pStyle w:val="Textonotapie"/>
        <w:rPr>
          <w:rFonts w:ascii="Century" w:hAnsi="Century"/>
          <w:sz w:val="18"/>
          <w:szCs w:val="24"/>
          <w:lang w:val="es-419"/>
        </w:rPr>
      </w:pPr>
      <w:r w:rsidRPr="00900DA8">
        <w:rPr>
          <w:rStyle w:val="Refdenotaalpie"/>
          <w:rFonts w:ascii="Century" w:hAnsi="Century"/>
          <w:sz w:val="18"/>
          <w:szCs w:val="24"/>
        </w:rPr>
        <w:footnoteRef/>
      </w:r>
      <w:r w:rsidRPr="00900DA8">
        <w:rPr>
          <w:rFonts w:ascii="Century" w:hAnsi="Century"/>
          <w:sz w:val="18"/>
          <w:szCs w:val="24"/>
        </w:rPr>
        <w:t xml:space="preserve"> </w:t>
      </w:r>
      <w:r w:rsidRPr="00900DA8">
        <w:rPr>
          <w:rFonts w:ascii="Century" w:hAnsi="Century"/>
          <w:sz w:val="18"/>
          <w:szCs w:val="24"/>
          <w:lang w:val="es-419"/>
        </w:rPr>
        <w:t xml:space="preserve">Ib. </w:t>
      </w:r>
      <w:proofErr w:type="spellStart"/>
      <w:r w:rsidRPr="00900DA8">
        <w:rPr>
          <w:rFonts w:ascii="Century" w:hAnsi="Century"/>
          <w:sz w:val="18"/>
          <w:szCs w:val="24"/>
          <w:lang w:val="es-419"/>
        </w:rPr>
        <w:t>Arch</w:t>
      </w:r>
      <w:proofErr w:type="spellEnd"/>
      <w:r w:rsidRPr="00900DA8">
        <w:rPr>
          <w:rFonts w:ascii="Century" w:hAnsi="Century"/>
          <w:sz w:val="18"/>
          <w:szCs w:val="24"/>
          <w:lang w:val="es-419"/>
        </w:rPr>
        <w:t>. 41</w:t>
      </w:r>
    </w:p>
  </w:footnote>
  <w:footnote w:id="6">
    <w:p w:rsidR="00677FA7" w:rsidRPr="00900DA8" w:rsidRDefault="00677FA7" w:rsidP="00900DA8">
      <w:pPr>
        <w:spacing w:after="0" w:line="240" w:lineRule="auto"/>
        <w:jc w:val="both"/>
        <w:rPr>
          <w:rFonts w:ascii="Century" w:hAnsi="Century" w:cs="Arial"/>
          <w:sz w:val="18"/>
          <w:szCs w:val="24"/>
          <w:lang w:val="es-ES" w:eastAsia="es-ES"/>
        </w:rPr>
      </w:pPr>
      <w:r w:rsidRPr="00900DA8">
        <w:rPr>
          <w:rStyle w:val="Refdenotaalpie"/>
          <w:rFonts w:ascii="Century" w:hAnsi="Century"/>
          <w:sz w:val="18"/>
          <w:szCs w:val="24"/>
        </w:rPr>
        <w:footnoteRef/>
      </w:r>
      <w:r w:rsidRPr="00900DA8">
        <w:rPr>
          <w:rFonts w:ascii="Century" w:hAnsi="Century"/>
          <w:sz w:val="18"/>
          <w:szCs w:val="24"/>
        </w:rPr>
        <w:t xml:space="preserve"> </w:t>
      </w:r>
      <w:r w:rsidRPr="00900DA8">
        <w:rPr>
          <w:rFonts w:ascii="Century" w:hAnsi="Century" w:cs="Arial"/>
          <w:sz w:val="18"/>
          <w:szCs w:val="24"/>
          <w:lang w:val="es-ES" w:eastAsia="es-ES"/>
        </w:rPr>
        <w:t>STC3668-202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5B70"/>
    <w:multiLevelType w:val="hybridMultilevel"/>
    <w:tmpl w:val="720A7BBA"/>
    <w:lvl w:ilvl="0" w:tplc="0270DF6A">
      <w:start w:val="1"/>
      <w:numFmt w:val="decimal"/>
      <w:lvlText w:val="%1."/>
      <w:lvlJc w:val="left"/>
      <w:pPr>
        <w:ind w:left="3195" w:hanging="360"/>
      </w:pPr>
      <w:rPr>
        <w:rFonts w:hint="default"/>
        <w:b w:val="0"/>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599A42BA"/>
    <w:multiLevelType w:val="hybridMultilevel"/>
    <w:tmpl w:val="A0964D54"/>
    <w:lvl w:ilvl="0" w:tplc="D088A6C0">
      <w:start w:val="1"/>
      <w:numFmt w:val="decimal"/>
      <w:lvlText w:val="%1."/>
      <w:lvlJc w:val="left"/>
      <w:pPr>
        <w:ind w:left="2973" w:hanging="420"/>
      </w:pPr>
      <w:rPr>
        <w:rFonts w:hint="default"/>
      </w:rPr>
    </w:lvl>
    <w:lvl w:ilvl="1" w:tplc="240A0019" w:tentative="1">
      <w:start w:val="1"/>
      <w:numFmt w:val="lowerLetter"/>
      <w:lvlText w:val="%2."/>
      <w:lvlJc w:val="left"/>
      <w:pPr>
        <w:ind w:left="3633" w:hanging="360"/>
      </w:pPr>
    </w:lvl>
    <w:lvl w:ilvl="2" w:tplc="240A001B" w:tentative="1">
      <w:start w:val="1"/>
      <w:numFmt w:val="lowerRoman"/>
      <w:lvlText w:val="%3."/>
      <w:lvlJc w:val="right"/>
      <w:pPr>
        <w:ind w:left="4353" w:hanging="180"/>
      </w:pPr>
    </w:lvl>
    <w:lvl w:ilvl="3" w:tplc="240A000F" w:tentative="1">
      <w:start w:val="1"/>
      <w:numFmt w:val="decimal"/>
      <w:lvlText w:val="%4."/>
      <w:lvlJc w:val="left"/>
      <w:pPr>
        <w:ind w:left="5073" w:hanging="360"/>
      </w:pPr>
    </w:lvl>
    <w:lvl w:ilvl="4" w:tplc="240A0019" w:tentative="1">
      <w:start w:val="1"/>
      <w:numFmt w:val="lowerLetter"/>
      <w:lvlText w:val="%5."/>
      <w:lvlJc w:val="left"/>
      <w:pPr>
        <w:ind w:left="5793" w:hanging="360"/>
      </w:pPr>
    </w:lvl>
    <w:lvl w:ilvl="5" w:tplc="240A001B" w:tentative="1">
      <w:start w:val="1"/>
      <w:numFmt w:val="lowerRoman"/>
      <w:lvlText w:val="%6."/>
      <w:lvlJc w:val="right"/>
      <w:pPr>
        <w:ind w:left="6513" w:hanging="180"/>
      </w:pPr>
    </w:lvl>
    <w:lvl w:ilvl="6" w:tplc="240A000F" w:tentative="1">
      <w:start w:val="1"/>
      <w:numFmt w:val="decimal"/>
      <w:lvlText w:val="%7."/>
      <w:lvlJc w:val="left"/>
      <w:pPr>
        <w:ind w:left="7233" w:hanging="360"/>
      </w:pPr>
    </w:lvl>
    <w:lvl w:ilvl="7" w:tplc="240A0019" w:tentative="1">
      <w:start w:val="1"/>
      <w:numFmt w:val="lowerLetter"/>
      <w:lvlText w:val="%8."/>
      <w:lvlJc w:val="left"/>
      <w:pPr>
        <w:ind w:left="7953" w:hanging="360"/>
      </w:pPr>
    </w:lvl>
    <w:lvl w:ilvl="8" w:tplc="240A001B" w:tentative="1">
      <w:start w:val="1"/>
      <w:numFmt w:val="lowerRoman"/>
      <w:lvlText w:val="%9."/>
      <w:lvlJc w:val="right"/>
      <w:pPr>
        <w:ind w:left="8673" w:hanging="180"/>
      </w:pPr>
    </w:lvl>
  </w:abstractNum>
  <w:abstractNum w:abstractNumId="2" w15:restartNumberingAfterBreak="0">
    <w:nsid w:val="756207DD"/>
    <w:multiLevelType w:val="hybridMultilevel"/>
    <w:tmpl w:val="99F278D8"/>
    <w:lvl w:ilvl="0" w:tplc="26C00E0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86"/>
    <w:rsid w:val="00050FB9"/>
    <w:rsid w:val="000D1101"/>
    <w:rsid w:val="00107E9D"/>
    <w:rsid w:val="00111A94"/>
    <w:rsid w:val="001407CA"/>
    <w:rsid w:val="0018169C"/>
    <w:rsid w:val="00184A1D"/>
    <w:rsid w:val="001D2845"/>
    <w:rsid w:val="002B74A0"/>
    <w:rsid w:val="002D234E"/>
    <w:rsid w:val="00320F36"/>
    <w:rsid w:val="003874FC"/>
    <w:rsid w:val="004373A2"/>
    <w:rsid w:val="00450029"/>
    <w:rsid w:val="0047018E"/>
    <w:rsid w:val="00471461"/>
    <w:rsid w:val="0052282E"/>
    <w:rsid w:val="0058568B"/>
    <w:rsid w:val="006420FA"/>
    <w:rsid w:val="006549FE"/>
    <w:rsid w:val="00663533"/>
    <w:rsid w:val="00677FA7"/>
    <w:rsid w:val="00682905"/>
    <w:rsid w:val="006A04EE"/>
    <w:rsid w:val="006A28E5"/>
    <w:rsid w:val="006A44C7"/>
    <w:rsid w:val="007002BA"/>
    <w:rsid w:val="007A2986"/>
    <w:rsid w:val="008D4437"/>
    <w:rsid w:val="008F2C94"/>
    <w:rsid w:val="00900DA8"/>
    <w:rsid w:val="00901ADF"/>
    <w:rsid w:val="00936F01"/>
    <w:rsid w:val="00AD5069"/>
    <w:rsid w:val="00AF4BF0"/>
    <w:rsid w:val="00B564DE"/>
    <w:rsid w:val="00B63520"/>
    <w:rsid w:val="00B8636F"/>
    <w:rsid w:val="00B86F74"/>
    <w:rsid w:val="00BE68C9"/>
    <w:rsid w:val="00CB2DDC"/>
    <w:rsid w:val="00D82E89"/>
    <w:rsid w:val="00DA1D28"/>
    <w:rsid w:val="00E44417"/>
    <w:rsid w:val="00E47CD3"/>
    <w:rsid w:val="00E62E6D"/>
    <w:rsid w:val="00EF2ED7"/>
    <w:rsid w:val="00F15492"/>
    <w:rsid w:val="00F23115"/>
    <w:rsid w:val="00FC3616"/>
    <w:rsid w:val="00FC5373"/>
    <w:rsid w:val="00FE48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DBC8"/>
  <w15:chartTrackingRefBased/>
  <w15:docId w15:val="{09478B06-8090-43AF-BC9B-2E9E1D7D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616"/>
    <w:rPr>
      <w:lang w:val="es-419"/>
    </w:rPr>
  </w:style>
  <w:style w:type="paragraph" w:styleId="Ttulo2">
    <w:name w:val="heading 2"/>
    <w:basedOn w:val="Normal"/>
    <w:next w:val="Normal"/>
    <w:link w:val="Ttulo2Car"/>
    <w:qFormat/>
    <w:rsid w:val="0058568B"/>
    <w:pPr>
      <w:keepNext/>
      <w:overflowPunct w:val="0"/>
      <w:autoSpaceDE w:val="0"/>
      <w:autoSpaceDN w:val="0"/>
      <w:adjustRightInd w:val="0"/>
      <w:spacing w:after="0" w:line="360" w:lineRule="auto"/>
      <w:jc w:val="both"/>
      <w:textAlignment w:val="baseline"/>
      <w:outlineLvl w:val="1"/>
    </w:pPr>
    <w:rPr>
      <w:rFonts w:ascii="Arial Narrow" w:eastAsia="Times New Roman" w:hAnsi="Arial Narrow"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44C7"/>
    <w:pPr>
      <w:ind w:left="720"/>
      <w:contextualSpacing/>
    </w:pPr>
  </w:style>
  <w:style w:type="character" w:customStyle="1" w:styleId="Ttulo2Car">
    <w:name w:val="Título 2 Car"/>
    <w:basedOn w:val="Fuentedeprrafopredeter"/>
    <w:link w:val="Ttulo2"/>
    <w:rsid w:val="0058568B"/>
    <w:rPr>
      <w:rFonts w:ascii="Arial Narrow" w:eastAsia="Times New Roman" w:hAnsi="Arial Narrow" w:cs="Times New Roman"/>
      <w:b/>
      <w:sz w:val="24"/>
      <w:szCs w:val="20"/>
      <w:lang w:val="es-ES" w:eastAsia="es-ES"/>
    </w:rPr>
  </w:style>
  <w:style w:type="paragraph" w:styleId="Textonotapie">
    <w:name w:val="footnote text"/>
    <w:basedOn w:val="Normal"/>
    <w:link w:val="TextonotapieCar"/>
    <w:semiHidden/>
    <w:unhideWhenUsed/>
    <w:rsid w:val="0058568B"/>
    <w:pPr>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basedOn w:val="Fuentedeprrafopredeter"/>
    <w:link w:val="Textonotapie"/>
    <w:semiHidden/>
    <w:rsid w:val="0058568B"/>
    <w:rPr>
      <w:rFonts w:ascii="Comic Sans MS" w:eastAsia="Times New Roman" w:hAnsi="Comic Sans MS" w:cs="Times New Roman"/>
      <w:sz w:val="20"/>
      <w:szCs w:val="20"/>
      <w:lang w:val="es-ES_tradnl" w:eastAsia="es-ES"/>
    </w:rPr>
  </w:style>
  <w:style w:type="character" w:styleId="Refdenotaalpie">
    <w:name w:val="footnote reference"/>
    <w:semiHidden/>
    <w:unhideWhenUsed/>
    <w:rsid w:val="0058568B"/>
    <w:rPr>
      <w:vertAlign w:val="superscript"/>
    </w:rPr>
  </w:style>
  <w:style w:type="paragraph" w:styleId="NormalWeb">
    <w:name w:val="Normal (Web)"/>
    <w:basedOn w:val="Normal"/>
    <w:uiPriority w:val="99"/>
    <w:unhideWhenUsed/>
    <w:rsid w:val="0058568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677FA7"/>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val="es-ES_tradnl" w:eastAsia="es-CO"/>
    </w:rPr>
  </w:style>
  <w:style w:type="character" w:customStyle="1" w:styleId="SangradetextonormalCar">
    <w:name w:val="Sangría de texto normal Car"/>
    <w:basedOn w:val="Fuentedeprrafopredeter"/>
    <w:link w:val="Sangradetextonormal"/>
    <w:uiPriority w:val="99"/>
    <w:semiHidden/>
    <w:rsid w:val="00677FA7"/>
    <w:rPr>
      <w:rFonts w:ascii="Times New Roman" w:eastAsia="Times New Roman" w:hAnsi="Times New Roman" w:cs="Times New Roman"/>
      <w:sz w:val="20"/>
      <w:szCs w:val="20"/>
      <w:lang w:val="es-ES_tradnl" w:eastAsia="es-CO"/>
    </w:rPr>
  </w:style>
  <w:style w:type="paragraph" w:styleId="Textoindependiente2">
    <w:name w:val="Body Text 2"/>
    <w:basedOn w:val="Normal"/>
    <w:link w:val="Textoindependiente2Car"/>
    <w:uiPriority w:val="99"/>
    <w:unhideWhenUsed/>
    <w:rsid w:val="00677FA7"/>
    <w:pPr>
      <w:overflowPunct w:val="0"/>
      <w:autoSpaceDE w:val="0"/>
      <w:autoSpaceDN w:val="0"/>
      <w:adjustRightInd w:val="0"/>
      <w:spacing w:after="120" w:line="480" w:lineRule="auto"/>
    </w:pPr>
    <w:rPr>
      <w:rFonts w:ascii="Times New Roman" w:eastAsia="Times New Roman" w:hAnsi="Times New Roman" w:cs="Times New Roman"/>
      <w:sz w:val="20"/>
      <w:szCs w:val="20"/>
      <w:lang w:val="es-ES_tradnl" w:eastAsia="x-none"/>
    </w:rPr>
  </w:style>
  <w:style w:type="character" w:customStyle="1" w:styleId="Textoindependiente2Car">
    <w:name w:val="Texto independiente 2 Car"/>
    <w:basedOn w:val="Fuentedeprrafopredeter"/>
    <w:link w:val="Textoindependiente2"/>
    <w:uiPriority w:val="99"/>
    <w:rsid w:val="00677FA7"/>
    <w:rPr>
      <w:rFonts w:ascii="Times New Roman" w:eastAsia="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451537">
      <w:bodyDiv w:val="1"/>
      <w:marLeft w:val="0"/>
      <w:marRight w:val="0"/>
      <w:marTop w:val="0"/>
      <w:marBottom w:val="0"/>
      <w:divBdr>
        <w:top w:val="none" w:sz="0" w:space="0" w:color="auto"/>
        <w:left w:val="none" w:sz="0" w:space="0" w:color="auto"/>
        <w:bottom w:val="none" w:sz="0" w:space="0" w:color="auto"/>
        <w:right w:val="none" w:sz="0" w:space="0" w:color="auto"/>
      </w:divBdr>
    </w:div>
    <w:div w:id="19644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E3CA4-E266-4420-9031-BE3B373E7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E3FE2-24AC-4BC2-90E7-99961BB5641D}">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3.xml><?xml version="1.0" encoding="utf-8"?>
<ds:datastoreItem xmlns:ds="http://schemas.openxmlformats.org/officeDocument/2006/customXml" ds:itemID="{17C5E8FB-2BDE-40EB-8011-531B7355CA07}">
  <ds:schemaRefs>
    <ds:schemaRef ds:uri="http://schemas.microsoft.com/sharepoint/v3/contenttype/forms"/>
  </ds:schemaRefs>
</ds:datastoreItem>
</file>

<file path=customXml/itemProps4.xml><?xml version="1.0" encoding="utf-8"?>
<ds:datastoreItem xmlns:ds="http://schemas.openxmlformats.org/officeDocument/2006/customXml" ds:itemID="{54315AA9-632A-4748-B675-2E2F55D2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2438</Words>
  <Characters>13410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Alberto Zaraza Naranjo</dc:creator>
  <cp:keywords/>
  <dc:description/>
  <cp:lastModifiedBy>Hermides Alonso Gaviria Ocampo</cp:lastModifiedBy>
  <cp:revision>7</cp:revision>
  <dcterms:created xsi:type="dcterms:W3CDTF">2022-03-29T16:53:00Z</dcterms:created>
  <dcterms:modified xsi:type="dcterms:W3CDTF">2022-04-18T19:59:00Z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ies>
</file>