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CF5C" w14:textId="77777777" w:rsidR="007C2744" w:rsidRPr="008A290B" w:rsidRDefault="007C2744" w:rsidP="007C274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9FDCDB" w14:textId="77777777" w:rsidR="007C2744" w:rsidRDefault="007C2744" w:rsidP="007C2744">
      <w:pPr>
        <w:jc w:val="both"/>
        <w:rPr>
          <w:rFonts w:ascii="Arial" w:hAnsi="Arial" w:cs="Arial"/>
          <w:lang w:val="es-419"/>
        </w:rPr>
      </w:pPr>
    </w:p>
    <w:p w14:paraId="4FE88EA1" w14:textId="26753188" w:rsidR="007C2744" w:rsidRPr="00E32969" w:rsidRDefault="00471335" w:rsidP="007C274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LAUDO ARBITRAL / REQUISITOS GENERALES Y ESPECÍFICOS DE PROCEDIBILIDAD / LEGITIMACIÓN EN LA CAUSA POR ACTIVA / EL ACCIONANTE DEBE SER PARTE O TERCERO RECONOCIDO EN LA ACTUACIÓN JUDICIAL / PRINCIPIO DE SUBSIDIARIEDAD / EXISTEN OTROS MEDIOS DE DEFENSA JUDICIAL.</w:t>
      </w:r>
    </w:p>
    <w:p w14:paraId="27B4A4DC" w14:textId="2B3138DF" w:rsidR="007C2744" w:rsidRDefault="007C2744" w:rsidP="007C2744">
      <w:pPr>
        <w:jc w:val="both"/>
        <w:rPr>
          <w:rFonts w:ascii="Arial" w:hAnsi="Arial" w:cs="Arial"/>
          <w:lang w:val="es-419"/>
        </w:rPr>
      </w:pPr>
    </w:p>
    <w:p w14:paraId="08F2A31F" w14:textId="77777777" w:rsidR="00503915" w:rsidRPr="00503915" w:rsidRDefault="00503915" w:rsidP="00503915">
      <w:pPr>
        <w:jc w:val="both"/>
        <w:rPr>
          <w:rFonts w:ascii="Arial" w:hAnsi="Arial" w:cs="Arial"/>
          <w:lang w:val="es-419"/>
        </w:rPr>
      </w:pPr>
      <w:r w:rsidRPr="00503915">
        <w:rPr>
          <w:rFonts w:ascii="Arial" w:hAnsi="Arial" w:cs="Arial"/>
          <w:lang w:val="es-419"/>
        </w:rPr>
        <w:t>acude la señora Correa García, por la inconformidad que le causa no haber sido vinculada a un trámite que se siguió ante el Tribunal de Arbitramento de la Cámara de Comercio de Pereira, en el que, según asegura, se vieron afectados sus derechos.</w:t>
      </w:r>
    </w:p>
    <w:p w14:paraId="5F688EFD" w14:textId="77777777" w:rsidR="00503915" w:rsidRPr="00503915" w:rsidRDefault="00503915" w:rsidP="00503915">
      <w:pPr>
        <w:jc w:val="both"/>
        <w:rPr>
          <w:rFonts w:ascii="Arial" w:hAnsi="Arial" w:cs="Arial"/>
          <w:lang w:val="es-419"/>
        </w:rPr>
      </w:pPr>
    </w:p>
    <w:p w14:paraId="1A5F84CD" w14:textId="0464CE68" w:rsidR="007C2744" w:rsidRDefault="00503915" w:rsidP="00503915">
      <w:pPr>
        <w:jc w:val="both"/>
        <w:rPr>
          <w:rFonts w:ascii="Arial" w:hAnsi="Arial" w:cs="Arial"/>
          <w:lang w:val="es-419"/>
        </w:rPr>
      </w:pPr>
      <w:r w:rsidRPr="00503915">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w:t>
      </w:r>
      <w:r w:rsidR="00432BE0">
        <w:rPr>
          <w:rFonts w:ascii="Arial" w:hAnsi="Arial" w:cs="Arial"/>
          <w:lang w:val="es-419"/>
        </w:rPr>
        <w:t>…</w:t>
      </w:r>
    </w:p>
    <w:p w14:paraId="240EDF23" w14:textId="69930AC5" w:rsidR="007C2744" w:rsidRDefault="007C2744" w:rsidP="007C2744">
      <w:pPr>
        <w:jc w:val="both"/>
        <w:rPr>
          <w:rFonts w:ascii="Arial" w:hAnsi="Arial" w:cs="Arial"/>
          <w:lang w:val="es-419"/>
        </w:rPr>
      </w:pPr>
    </w:p>
    <w:p w14:paraId="347046D2" w14:textId="4728926D" w:rsidR="00432BE0" w:rsidRPr="00432BE0" w:rsidRDefault="00432BE0" w:rsidP="00432BE0">
      <w:pPr>
        <w:jc w:val="both"/>
        <w:rPr>
          <w:rFonts w:ascii="Arial" w:hAnsi="Arial" w:cs="Arial"/>
          <w:lang w:val="es-419"/>
        </w:rPr>
      </w:pPr>
      <w:r>
        <w:rPr>
          <w:rFonts w:ascii="Arial" w:hAnsi="Arial" w:cs="Arial"/>
          <w:lang w:val="es-419"/>
        </w:rPr>
        <w:t xml:space="preserve">… </w:t>
      </w:r>
      <w:r w:rsidRPr="00432BE0">
        <w:rPr>
          <w:rFonts w:ascii="Arial" w:hAnsi="Arial" w:cs="Arial"/>
          <w:lang w:val="es-419"/>
        </w:rPr>
        <w:t>la Sala anuncia que, por varios motivos, se declarará improcedente la acción de tutela.</w:t>
      </w:r>
    </w:p>
    <w:p w14:paraId="5259A7ED" w14:textId="77777777" w:rsidR="00432BE0" w:rsidRPr="00432BE0" w:rsidRDefault="00432BE0" w:rsidP="00432BE0">
      <w:pPr>
        <w:jc w:val="both"/>
        <w:rPr>
          <w:rFonts w:ascii="Arial" w:hAnsi="Arial" w:cs="Arial"/>
          <w:lang w:val="es-419"/>
        </w:rPr>
      </w:pPr>
    </w:p>
    <w:p w14:paraId="4911053A" w14:textId="74A82993" w:rsidR="007C2744" w:rsidRDefault="00432BE0" w:rsidP="00432BE0">
      <w:pPr>
        <w:jc w:val="both"/>
        <w:rPr>
          <w:rFonts w:ascii="Arial" w:hAnsi="Arial" w:cs="Arial"/>
          <w:lang w:val="es-419"/>
        </w:rPr>
      </w:pPr>
      <w:r w:rsidRPr="00432BE0">
        <w:rPr>
          <w:rFonts w:ascii="Arial" w:hAnsi="Arial" w:cs="Arial"/>
          <w:lang w:val="es-419"/>
        </w:rPr>
        <w:t>El primero de ellos es que la accionante, en principio, carece de legitimación en la causa por activa. En efecto, se ha sostenido que, si se trata del derecho al debido proceso vulnerado o amenazado por una actuación judicial, lo propio es que, quien promueva el amparo debe ser parte del proceso que se cuestiona, o actuar como tercero reconocido dentro del mismo</w:t>
      </w:r>
      <w:r>
        <w:rPr>
          <w:rFonts w:ascii="Arial" w:hAnsi="Arial" w:cs="Arial"/>
          <w:lang w:val="es-419"/>
        </w:rPr>
        <w:t>…</w:t>
      </w:r>
    </w:p>
    <w:p w14:paraId="4ED787F4" w14:textId="3D877CF9" w:rsidR="007C2744" w:rsidRDefault="007C2744" w:rsidP="007C2744">
      <w:pPr>
        <w:jc w:val="both"/>
        <w:rPr>
          <w:rFonts w:ascii="Arial" w:hAnsi="Arial" w:cs="Arial"/>
          <w:lang w:val="es-419"/>
        </w:rPr>
      </w:pPr>
    </w:p>
    <w:p w14:paraId="11D2346D" w14:textId="79D4ED6C" w:rsidR="007C2744" w:rsidRDefault="00432BE0" w:rsidP="007C2744">
      <w:pPr>
        <w:jc w:val="both"/>
        <w:rPr>
          <w:rFonts w:ascii="Arial" w:hAnsi="Arial" w:cs="Arial"/>
          <w:lang w:val="es-419"/>
        </w:rPr>
      </w:pPr>
      <w:r>
        <w:rPr>
          <w:rFonts w:ascii="Arial" w:hAnsi="Arial" w:cs="Arial"/>
          <w:lang w:val="es-419"/>
        </w:rPr>
        <w:t xml:space="preserve">… </w:t>
      </w:r>
      <w:r w:rsidRPr="00432BE0">
        <w:rPr>
          <w:rFonts w:ascii="Arial" w:hAnsi="Arial" w:cs="Arial"/>
          <w:lang w:val="es-419"/>
        </w:rPr>
        <w:t>es claro que la accionante ni siquiera ha solicitado ser reconocida como parte en ese asunto, con lo cual es impertinente predicar la vulneración de sus derechos en dicho trámite.</w:t>
      </w:r>
    </w:p>
    <w:p w14:paraId="3FCAF348" w14:textId="2C683290" w:rsidR="007C2744" w:rsidRDefault="007C2744" w:rsidP="007C2744">
      <w:pPr>
        <w:jc w:val="both"/>
        <w:rPr>
          <w:rFonts w:ascii="Arial" w:hAnsi="Arial" w:cs="Arial"/>
          <w:lang w:val="es-419"/>
        </w:rPr>
      </w:pPr>
    </w:p>
    <w:p w14:paraId="7B8590E2" w14:textId="2E215A1A" w:rsidR="006E5F5D" w:rsidRDefault="006E5F5D" w:rsidP="007C2744">
      <w:pPr>
        <w:jc w:val="both"/>
        <w:rPr>
          <w:rFonts w:ascii="Arial" w:hAnsi="Arial" w:cs="Arial"/>
          <w:lang w:val="es-419"/>
        </w:rPr>
      </w:pPr>
      <w:r>
        <w:rPr>
          <w:rFonts w:ascii="Arial" w:hAnsi="Arial" w:cs="Arial"/>
          <w:lang w:val="es-419"/>
        </w:rPr>
        <w:t xml:space="preserve">… </w:t>
      </w:r>
      <w:r w:rsidRPr="006E5F5D">
        <w:rPr>
          <w:rFonts w:ascii="Arial" w:hAnsi="Arial" w:cs="Arial"/>
          <w:lang w:val="es-419"/>
        </w:rPr>
        <w:t>si en gracia de discusión se aceptara que con lo decidido en el laudo se están afectando sus derechos y eso es suficiente para concluir que está legitimada para invocar la protección constitucional, rápido tendría que decirse que su demanda se queda en el umbral de la subsidiariedad porque, por una parte, la señora Correa García nada le ha pedido al Tribunal de Arbitramento, con lo cual es imposible endilgarle alguna omisión a esa autoridad, y por otra parte, en todo caso cuenta con medios judiciales idóneos para propiciar el quiebre de la decisión de la que se duele, esto es, los recursos de anulación y revisión contra el laudo arbitral</w:t>
      </w:r>
      <w:r>
        <w:rPr>
          <w:rFonts w:ascii="Arial" w:hAnsi="Arial" w:cs="Arial"/>
          <w:lang w:val="es-419"/>
        </w:rPr>
        <w:t>…</w:t>
      </w:r>
    </w:p>
    <w:p w14:paraId="6B0EA8C2" w14:textId="2C6D00AE" w:rsidR="006E5F5D" w:rsidRDefault="006E5F5D" w:rsidP="007C2744">
      <w:pPr>
        <w:jc w:val="both"/>
        <w:rPr>
          <w:rFonts w:ascii="Arial" w:hAnsi="Arial" w:cs="Arial"/>
          <w:lang w:val="es-419"/>
        </w:rPr>
      </w:pPr>
    </w:p>
    <w:p w14:paraId="6CBFE3C2" w14:textId="77777777" w:rsidR="006E5F5D" w:rsidRDefault="006E5F5D" w:rsidP="007C2744">
      <w:pPr>
        <w:jc w:val="both"/>
        <w:rPr>
          <w:rFonts w:ascii="Arial" w:hAnsi="Arial" w:cs="Arial"/>
          <w:lang w:val="es-419"/>
        </w:rPr>
      </w:pPr>
    </w:p>
    <w:p w14:paraId="2A962E85" w14:textId="5E8380B4" w:rsidR="007C2744" w:rsidRDefault="007C2744" w:rsidP="007C2744">
      <w:pPr>
        <w:jc w:val="both"/>
        <w:rPr>
          <w:rFonts w:ascii="Arial" w:hAnsi="Arial" w:cs="Arial"/>
          <w:lang w:val="es-419"/>
        </w:rPr>
      </w:pPr>
    </w:p>
    <w:p w14:paraId="4B14FE4C" w14:textId="1EA43160" w:rsidR="00622EA3" w:rsidRPr="000C2E3B" w:rsidRDefault="00622EA3" w:rsidP="000C2E3B">
      <w:pPr>
        <w:spacing w:line="276" w:lineRule="auto"/>
        <w:ind w:firstLine="2835"/>
        <w:jc w:val="both"/>
        <w:rPr>
          <w:rFonts w:ascii="Gadugi" w:hAnsi="Gadugi"/>
          <w:b/>
          <w:bCs/>
          <w:sz w:val="24"/>
          <w:szCs w:val="24"/>
        </w:rPr>
      </w:pPr>
      <w:r w:rsidRPr="000C2E3B">
        <w:rPr>
          <w:rFonts w:ascii="Gadugi" w:hAnsi="Gadugi"/>
          <w:b/>
          <w:bCs/>
          <w:sz w:val="24"/>
          <w:szCs w:val="24"/>
        </w:rPr>
        <w:t xml:space="preserve">TRIBUNAL SUPERIOR DEL DISTRITO JUDICIAL </w:t>
      </w:r>
    </w:p>
    <w:p w14:paraId="7F6C7CB4" w14:textId="77777777" w:rsidR="00622EA3" w:rsidRPr="000C2E3B" w:rsidRDefault="00622EA3" w:rsidP="000C2E3B">
      <w:pPr>
        <w:spacing w:line="276" w:lineRule="auto"/>
        <w:ind w:firstLine="2835"/>
        <w:jc w:val="both"/>
        <w:rPr>
          <w:rFonts w:ascii="Gadugi" w:hAnsi="Gadugi"/>
          <w:b/>
          <w:sz w:val="24"/>
          <w:szCs w:val="24"/>
        </w:rPr>
      </w:pPr>
      <w:r w:rsidRPr="000C2E3B">
        <w:rPr>
          <w:rFonts w:ascii="Gadugi" w:hAnsi="Gadugi"/>
          <w:b/>
          <w:sz w:val="24"/>
          <w:szCs w:val="24"/>
        </w:rPr>
        <w:t xml:space="preserve">          SALA DE DECISIÓN CIVIL FAMILIA </w:t>
      </w:r>
    </w:p>
    <w:p w14:paraId="7FF8F016" w14:textId="77777777" w:rsidR="00622EA3" w:rsidRPr="000C2E3B" w:rsidRDefault="00622EA3" w:rsidP="000C2E3B">
      <w:pPr>
        <w:spacing w:line="276" w:lineRule="auto"/>
        <w:ind w:firstLine="2835"/>
        <w:jc w:val="both"/>
        <w:rPr>
          <w:rFonts w:ascii="Gadugi" w:hAnsi="Gadugi"/>
          <w:sz w:val="24"/>
          <w:szCs w:val="24"/>
        </w:rPr>
      </w:pPr>
    </w:p>
    <w:p w14:paraId="0C1F6F03" w14:textId="77777777" w:rsidR="00622EA3" w:rsidRPr="000C2E3B" w:rsidRDefault="00622EA3" w:rsidP="000C2E3B">
      <w:pPr>
        <w:spacing w:line="276" w:lineRule="auto"/>
        <w:ind w:firstLine="2835"/>
        <w:jc w:val="both"/>
        <w:rPr>
          <w:rFonts w:ascii="Gadugi" w:hAnsi="Gadugi"/>
          <w:sz w:val="24"/>
          <w:szCs w:val="24"/>
        </w:rPr>
      </w:pPr>
    </w:p>
    <w:p w14:paraId="2CF272AC" w14:textId="77777777" w:rsidR="00622EA3" w:rsidRPr="000C2E3B" w:rsidRDefault="00622EA3" w:rsidP="000C2E3B">
      <w:pPr>
        <w:spacing w:line="276" w:lineRule="auto"/>
        <w:ind w:firstLine="2835"/>
        <w:jc w:val="both"/>
        <w:rPr>
          <w:rFonts w:ascii="Gadugi" w:hAnsi="Gadugi"/>
          <w:sz w:val="24"/>
          <w:szCs w:val="24"/>
        </w:rPr>
      </w:pPr>
      <w:r w:rsidRPr="000C2E3B">
        <w:rPr>
          <w:rFonts w:ascii="Gadugi" w:hAnsi="Gadugi"/>
          <w:sz w:val="24"/>
          <w:szCs w:val="24"/>
        </w:rPr>
        <w:t>Magistrado: Jaime Alberto Saraza Naranjo</w:t>
      </w:r>
    </w:p>
    <w:p w14:paraId="6C260D3E" w14:textId="1A489027" w:rsidR="00622EA3" w:rsidRPr="000C2E3B" w:rsidRDefault="00622EA3" w:rsidP="000C2E3B">
      <w:pPr>
        <w:spacing w:line="276" w:lineRule="auto"/>
        <w:ind w:firstLine="2835"/>
        <w:jc w:val="both"/>
        <w:rPr>
          <w:rFonts w:ascii="Gadugi" w:hAnsi="Gadugi"/>
          <w:sz w:val="24"/>
          <w:szCs w:val="24"/>
          <w:lang w:val="es-419"/>
        </w:rPr>
      </w:pPr>
      <w:r w:rsidRPr="000C2E3B">
        <w:rPr>
          <w:rFonts w:ascii="Gadugi" w:hAnsi="Gadugi"/>
          <w:sz w:val="24"/>
          <w:szCs w:val="24"/>
        </w:rPr>
        <w:t>Pereira,</w:t>
      </w:r>
      <w:r w:rsidR="00C700B9" w:rsidRPr="000C2E3B">
        <w:rPr>
          <w:rFonts w:ascii="Gadugi" w:hAnsi="Gadugi"/>
          <w:sz w:val="24"/>
          <w:szCs w:val="24"/>
        </w:rPr>
        <w:t xml:space="preserve"> </w:t>
      </w:r>
      <w:r w:rsidR="00396FAF" w:rsidRPr="000C2E3B">
        <w:rPr>
          <w:rFonts w:ascii="Gadugi" w:hAnsi="Gadugi"/>
          <w:sz w:val="24"/>
          <w:szCs w:val="24"/>
        </w:rPr>
        <w:t>mayo diez de dos mil veintidós</w:t>
      </w:r>
    </w:p>
    <w:p w14:paraId="0F1B9678" w14:textId="77777777" w:rsidR="000C2E3B" w:rsidRPr="000C2E3B" w:rsidRDefault="00622EA3" w:rsidP="000C2E3B">
      <w:pPr>
        <w:spacing w:line="276" w:lineRule="auto"/>
        <w:ind w:firstLine="2835"/>
        <w:jc w:val="both"/>
        <w:rPr>
          <w:rFonts w:ascii="Gadugi" w:hAnsi="Gadugi"/>
          <w:sz w:val="24"/>
          <w:szCs w:val="24"/>
        </w:rPr>
      </w:pPr>
      <w:r w:rsidRPr="000C2E3B">
        <w:rPr>
          <w:rFonts w:ascii="Gadugi" w:hAnsi="Gadugi"/>
          <w:sz w:val="24"/>
          <w:szCs w:val="24"/>
        </w:rPr>
        <w:t>Expediente: 660012213000202</w:t>
      </w:r>
      <w:r w:rsidR="008E3460" w:rsidRPr="000C2E3B">
        <w:rPr>
          <w:rFonts w:ascii="Gadugi" w:hAnsi="Gadugi"/>
          <w:sz w:val="24"/>
          <w:szCs w:val="24"/>
        </w:rPr>
        <w:t>2</w:t>
      </w:r>
      <w:r w:rsidR="00AC613D" w:rsidRPr="000C2E3B">
        <w:rPr>
          <w:rFonts w:ascii="Gadugi" w:hAnsi="Gadugi"/>
          <w:sz w:val="24"/>
          <w:szCs w:val="24"/>
        </w:rPr>
        <w:t>000</w:t>
      </w:r>
      <w:r w:rsidR="006B737A" w:rsidRPr="000C2E3B">
        <w:rPr>
          <w:rFonts w:ascii="Gadugi" w:hAnsi="Gadugi"/>
          <w:sz w:val="24"/>
          <w:szCs w:val="24"/>
        </w:rPr>
        <w:t>75</w:t>
      </w:r>
      <w:r w:rsidRPr="000C2E3B">
        <w:rPr>
          <w:rFonts w:ascii="Gadugi" w:hAnsi="Gadugi"/>
          <w:sz w:val="24"/>
          <w:szCs w:val="24"/>
        </w:rPr>
        <w:t>00</w:t>
      </w:r>
    </w:p>
    <w:p w14:paraId="06A7D7BB" w14:textId="77777777" w:rsidR="000C2E3B" w:rsidRPr="000C2E3B" w:rsidRDefault="00622EA3" w:rsidP="000C2E3B">
      <w:pPr>
        <w:spacing w:line="276" w:lineRule="auto"/>
        <w:ind w:firstLine="2835"/>
        <w:jc w:val="both"/>
        <w:rPr>
          <w:rFonts w:ascii="Gadugi" w:hAnsi="Gadugi"/>
          <w:sz w:val="24"/>
          <w:szCs w:val="24"/>
        </w:rPr>
      </w:pPr>
      <w:r w:rsidRPr="000C2E3B">
        <w:rPr>
          <w:rFonts w:ascii="Gadugi" w:hAnsi="Gadugi"/>
          <w:sz w:val="24"/>
          <w:szCs w:val="24"/>
        </w:rPr>
        <w:t>Acta:</w:t>
      </w:r>
      <w:r w:rsidR="00C363A5" w:rsidRPr="000C2E3B">
        <w:rPr>
          <w:rFonts w:ascii="Gadugi" w:hAnsi="Gadugi"/>
          <w:sz w:val="24"/>
          <w:szCs w:val="24"/>
        </w:rPr>
        <w:t xml:space="preserve"> </w:t>
      </w:r>
      <w:r w:rsidR="00396FAF" w:rsidRPr="000C2E3B">
        <w:rPr>
          <w:rFonts w:ascii="Gadugi" w:hAnsi="Gadugi"/>
          <w:sz w:val="24"/>
          <w:szCs w:val="24"/>
        </w:rPr>
        <w:t>185 del 10 de mayo de 2022</w:t>
      </w:r>
      <w:r w:rsidRPr="000C2E3B">
        <w:rPr>
          <w:rFonts w:ascii="Gadugi" w:hAnsi="Gadugi"/>
          <w:sz w:val="24"/>
          <w:szCs w:val="24"/>
        </w:rPr>
        <w:t xml:space="preserve"> </w:t>
      </w:r>
    </w:p>
    <w:p w14:paraId="12085F01" w14:textId="71FD527B" w:rsidR="00622EA3" w:rsidRPr="000C2E3B" w:rsidRDefault="00622EA3" w:rsidP="000C2E3B">
      <w:pPr>
        <w:spacing w:line="276" w:lineRule="auto"/>
        <w:ind w:firstLine="2835"/>
        <w:jc w:val="both"/>
        <w:rPr>
          <w:rFonts w:ascii="Gadugi" w:hAnsi="Gadugi"/>
          <w:sz w:val="24"/>
          <w:szCs w:val="24"/>
        </w:rPr>
      </w:pPr>
      <w:r w:rsidRPr="000C2E3B">
        <w:rPr>
          <w:rFonts w:ascii="Gadugi" w:hAnsi="Gadugi"/>
          <w:sz w:val="24"/>
          <w:szCs w:val="24"/>
        </w:rPr>
        <w:t>Sentencia:</w:t>
      </w:r>
      <w:r w:rsidR="00396FAF" w:rsidRPr="000C2E3B">
        <w:rPr>
          <w:rFonts w:ascii="Gadugi" w:hAnsi="Gadugi"/>
          <w:sz w:val="24"/>
          <w:szCs w:val="24"/>
        </w:rPr>
        <w:t xml:space="preserve"> ST1-</w:t>
      </w:r>
      <w:r w:rsidR="00D65EB2">
        <w:rPr>
          <w:rFonts w:ascii="Gadugi" w:hAnsi="Gadugi"/>
          <w:sz w:val="24"/>
          <w:szCs w:val="24"/>
        </w:rPr>
        <w:t>0</w:t>
      </w:r>
      <w:bookmarkStart w:id="0" w:name="_GoBack"/>
      <w:bookmarkEnd w:id="0"/>
      <w:r w:rsidR="00396FAF" w:rsidRPr="000C2E3B">
        <w:rPr>
          <w:rFonts w:ascii="Gadugi" w:hAnsi="Gadugi"/>
          <w:sz w:val="24"/>
          <w:szCs w:val="24"/>
        </w:rPr>
        <w:t>060-2022</w:t>
      </w:r>
    </w:p>
    <w:p w14:paraId="66315ABD" w14:textId="77777777" w:rsidR="00622EA3" w:rsidRPr="000C2E3B" w:rsidRDefault="00622EA3" w:rsidP="000C2E3B">
      <w:pPr>
        <w:spacing w:line="276" w:lineRule="auto"/>
        <w:ind w:firstLine="2835"/>
        <w:jc w:val="both"/>
        <w:rPr>
          <w:rFonts w:ascii="Gadugi" w:hAnsi="Gadugi"/>
          <w:sz w:val="24"/>
          <w:szCs w:val="24"/>
        </w:rPr>
      </w:pPr>
    </w:p>
    <w:p w14:paraId="0E72F967" w14:textId="4C1E39C0" w:rsidR="00622EA3" w:rsidRPr="000C2E3B" w:rsidRDefault="00622EA3" w:rsidP="000C2E3B">
      <w:pPr>
        <w:spacing w:line="276" w:lineRule="auto"/>
        <w:ind w:firstLine="2835"/>
        <w:jc w:val="both"/>
        <w:rPr>
          <w:rFonts w:ascii="Gadugi" w:hAnsi="Gadugi"/>
          <w:sz w:val="24"/>
          <w:szCs w:val="24"/>
        </w:rPr>
      </w:pPr>
    </w:p>
    <w:p w14:paraId="779946A5" w14:textId="10C8F2D0" w:rsidR="006B737A" w:rsidRPr="000C2E3B" w:rsidRDefault="00622EA3" w:rsidP="000C2E3B">
      <w:pPr>
        <w:spacing w:line="276" w:lineRule="auto"/>
        <w:ind w:firstLine="2835"/>
        <w:jc w:val="both"/>
        <w:rPr>
          <w:rFonts w:ascii="Gadugi" w:hAnsi="Gadugi" w:cs="Century Gothic"/>
          <w:sz w:val="24"/>
          <w:szCs w:val="24"/>
        </w:rPr>
      </w:pPr>
      <w:r w:rsidRPr="000C2E3B">
        <w:rPr>
          <w:rFonts w:ascii="Gadugi" w:hAnsi="Gadugi" w:cs="Century Gothic"/>
          <w:sz w:val="24"/>
          <w:szCs w:val="24"/>
        </w:rPr>
        <w:t>Decide la Sala la acción de tutela promovida</w:t>
      </w:r>
      <w:r w:rsidR="00667A1A" w:rsidRPr="000C2E3B">
        <w:rPr>
          <w:rFonts w:ascii="Gadugi" w:hAnsi="Gadugi" w:cs="Century Gothic"/>
          <w:sz w:val="24"/>
          <w:szCs w:val="24"/>
        </w:rPr>
        <w:t xml:space="preserve"> </w:t>
      </w:r>
      <w:r w:rsidRPr="000C2E3B">
        <w:rPr>
          <w:rFonts w:ascii="Gadugi" w:hAnsi="Gadugi" w:cs="Century Gothic"/>
          <w:sz w:val="24"/>
          <w:szCs w:val="24"/>
        </w:rPr>
        <w:t xml:space="preserve">por </w:t>
      </w:r>
      <w:r w:rsidR="006B737A" w:rsidRPr="000C2E3B">
        <w:rPr>
          <w:rFonts w:ascii="Gadugi" w:hAnsi="Gadugi" w:cs="Century Gothic"/>
          <w:b/>
          <w:bCs/>
          <w:sz w:val="24"/>
          <w:szCs w:val="24"/>
        </w:rPr>
        <w:t>Margarita María Correa García</w:t>
      </w:r>
      <w:r w:rsidR="00601FE4" w:rsidRPr="000C2E3B">
        <w:rPr>
          <w:rFonts w:ascii="Gadugi" w:hAnsi="Gadugi" w:cs="Century Gothic"/>
          <w:sz w:val="24"/>
          <w:szCs w:val="24"/>
        </w:rPr>
        <w:t xml:space="preserve"> contra el</w:t>
      </w:r>
      <w:r w:rsidR="006B737A" w:rsidRPr="000C2E3B">
        <w:rPr>
          <w:rFonts w:ascii="Gadugi" w:hAnsi="Gadugi" w:cs="Century Gothic"/>
          <w:sz w:val="24"/>
          <w:szCs w:val="24"/>
        </w:rPr>
        <w:t xml:space="preserve"> </w:t>
      </w:r>
      <w:r w:rsidR="006B737A" w:rsidRPr="000C2E3B">
        <w:rPr>
          <w:rFonts w:ascii="Gadugi" w:hAnsi="Gadugi" w:cs="Century Gothic"/>
          <w:b/>
          <w:sz w:val="24"/>
          <w:szCs w:val="24"/>
        </w:rPr>
        <w:t>Centro de Conciliación de la Cámara de Comercio de Pereira</w:t>
      </w:r>
      <w:r w:rsidR="006B737A" w:rsidRPr="000C2E3B">
        <w:rPr>
          <w:rFonts w:ascii="Gadugi" w:hAnsi="Gadugi" w:cs="Century Gothic"/>
          <w:sz w:val="24"/>
          <w:szCs w:val="24"/>
        </w:rPr>
        <w:t xml:space="preserve"> y el </w:t>
      </w:r>
      <w:r w:rsidR="006B737A" w:rsidRPr="000C2E3B">
        <w:rPr>
          <w:rFonts w:ascii="Gadugi" w:hAnsi="Gadugi" w:cs="Century Gothic"/>
          <w:b/>
          <w:sz w:val="24"/>
          <w:szCs w:val="24"/>
        </w:rPr>
        <w:t>Tribunal de Arbitramento de la Cámara de Comercio de Pereira</w:t>
      </w:r>
      <w:r w:rsidR="006B737A" w:rsidRPr="000C2E3B">
        <w:rPr>
          <w:rFonts w:ascii="Gadugi" w:hAnsi="Gadugi" w:cs="Century Gothic"/>
          <w:sz w:val="24"/>
          <w:szCs w:val="24"/>
        </w:rPr>
        <w:t xml:space="preserve">, conformado por los árbitros, </w:t>
      </w:r>
      <w:r w:rsidR="006B737A" w:rsidRPr="000C2E3B">
        <w:rPr>
          <w:rFonts w:ascii="Gadugi" w:hAnsi="Gadugi" w:cs="Century Gothic"/>
          <w:b/>
          <w:sz w:val="24"/>
          <w:szCs w:val="24"/>
        </w:rPr>
        <w:t>Felipe Duque Palacio</w:t>
      </w:r>
      <w:r w:rsidR="006B737A" w:rsidRPr="000C2E3B">
        <w:rPr>
          <w:rFonts w:ascii="Gadugi" w:hAnsi="Gadugi" w:cs="Century Gothic"/>
          <w:sz w:val="24"/>
          <w:szCs w:val="24"/>
        </w:rPr>
        <w:t xml:space="preserve">, </w:t>
      </w:r>
      <w:r w:rsidR="006B737A" w:rsidRPr="000C2E3B">
        <w:rPr>
          <w:rFonts w:ascii="Gadugi" w:hAnsi="Gadugi" w:cs="Century Gothic"/>
          <w:b/>
          <w:sz w:val="24"/>
          <w:szCs w:val="24"/>
        </w:rPr>
        <w:t>Adolfo de Jesús Tous Salgado</w:t>
      </w:r>
      <w:r w:rsidR="006B737A" w:rsidRPr="000C2E3B">
        <w:rPr>
          <w:rFonts w:ascii="Gadugi" w:hAnsi="Gadugi" w:cs="Century Gothic"/>
          <w:sz w:val="24"/>
          <w:szCs w:val="24"/>
        </w:rPr>
        <w:t xml:space="preserve"> y </w:t>
      </w:r>
      <w:r w:rsidR="006B737A" w:rsidRPr="000C2E3B">
        <w:rPr>
          <w:rFonts w:ascii="Gadugi" w:hAnsi="Gadugi" w:cs="Century Gothic"/>
          <w:b/>
          <w:sz w:val="24"/>
          <w:szCs w:val="24"/>
        </w:rPr>
        <w:t xml:space="preserve">Germán Darío Serna Toro, </w:t>
      </w:r>
      <w:r w:rsidR="006B737A" w:rsidRPr="000C2E3B">
        <w:rPr>
          <w:rFonts w:ascii="Gadugi" w:hAnsi="Gadugi" w:cs="Century Gothic"/>
          <w:sz w:val="24"/>
          <w:szCs w:val="24"/>
        </w:rPr>
        <w:t xml:space="preserve">y a la que fueron vinculados </w:t>
      </w:r>
      <w:r w:rsidR="006B737A" w:rsidRPr="000C2E3B">
        <w:rPr>
          <w:rFonts w:ascii="Gadugi" w:hAnsi="Gadugi" w:cs="Century Gothic"/>
          <w:b/>
          <w:sz w:val="24"/>
          <w:szCs w:val="24"/>
        </w:rPr>
        <w:t>María Consuelo Ríos Rendón</w:t>
      </w:r>
      <w:r w:rsidR="006B737A" w:rsidRPr="000C2E3B">
        <w:rPr>
          <w:rFonts w:ascii="Gadugi" w:hAnsi="Gadugi" w:cs="Century Gothic"/>
          <w:sz w:val="24"/>
          <w:szCs w:val="24"/>
        </w:rPr>
        <w:t xml:space="preserve"> y </w:t>
      </w:r>
      <w:r w:rsidR="006B737A" w:rsidRPr="000C2E3B">
        <w:rPr>
          <w:rFonts w:ascii="Gadugi" w:hAnsi="Gadugi" w:cs="Century Gothic"/>
          <w:b/>
          <w:sz w:val="24"/>
          <w:szCs w:val="24"/>
        </w:rPr>
        <w:t>Juan Carlos Marulanda Loaiza.</w:t>
      </w:r>
    </w:p>
    <w:p w14:paraId="13B0947F" w14:textId="77777777" w:rsidR="006B737A" w:rsidRPr="000C2E3B" w:rsidRDefault="006B737A" w:rsidP="000C2E3B">
      <w:pPr>
        <w:spacing w:line="276" w:lineRule="auto"/>
        <w:rPr>
          <w:rFonts w:ascii="Gadugi" w:hAnsi="Gadugi"/>
          <w:sz w:val="24"/>
          <w:szCs w:val="24"/>
          <w:lang w:val="es-MX"/>
        </w:rPr>
      </w:pPr>
    </w:p>
    <w:p w14:paraId="4A19C3EA" w14:textId="40E1100A" w:rsidR="00DE2D75" w:rsidRPr="000C2E3B" w:rsidRDefault="00DE2D75" w:rsidP="000C2E3B">
      <w:pPr>
        <w:spacing w:line="276" w:lineRule="auto"/>
        <w:rPr>
          <w:rFonts w:ascii="Gadugi" w:hAnsi="Gadugi"/>
          <w:sz w:val="24"/>
          <w:szCs w:val="24"/>
          <w:lang w:val="es-MX"/>
        </w:rPr>
      </w:pPr>
    </w:p>
    <w:p w14:paraId="5FC40CE4" w14:textId="77777777" w:rsidR="00622EA3" w:rsidRPr="000C2E3B" w:rsidRDefault="00622EA3" w:rsidP="000C2E3B">
      <w:pPr>
        <w:pStyle w:val="Ttulo4"/>
        <w:spacing w:line="276" w:lineRule="auto"/>
        <w:rPr>
          <w:rFonts w:ascii="Gadugi" w:hAnsi="Gadugi"/>
          <w:b/>
          <w:sz w:val="24"/>
          <w:szCs w:val="24"/>
        </w:rPr>
      </w:pPr>
      <w:r w:rsidRPr="000C2E3B">
        <w:rPr>
          <w:rFonts w:ascii="Gadugi" w:hAnsi="Gadugi"/>
          <w:b/>
          <w:sz w:val="24"/>
          <w:szCs w:val="24"/>
        </w:rPr>
        <w:t>ANTECEDENTES</w:t>
      </w:r>
    </w:p>
    <w:p w14:paraId="7F2F7AAA" w14:textId="0DDA8083" w:rsidR="00622EA3" w:rsidRPr="000C2E3B" w:rsidRDefault="00622EA3" w:rsidP="000C2E3B">
      <w:pPr>
        <w:spacing w:line="276" w:lineRule="auto"/>
        <w:jc w:val="both"/>
        <w:rPr>
          <w:rFonts w:ascii="Gadugi" w:hAnsi="Gadugi" w:cs="Century Gothic"/>
          <w:sz w:val="24"/>
          <w:szCs w:val="24"/>
        </w:rPr>
      </w:pPr>
    </w:p>
    <w:p w14:paraId="5B81C4EA" w14:textId="3EFD6B23" w:rsidR="00622EA3" w:rsidRPr="000C2E3B" w:rsidRDefault="00622EA3" w:rsidP="000C2E3B">
      <w:pPr>
        <w:spacing w:line="276" w:lineRule="auto"/>
        <w:jc w:val="both"/>
        <w:rPr>
          <w:rFonts w:ascii="Gadugi" w:hAnsi="Gadugi" w:cs="Century Gothic"/>
          <w:sz w:val="24"/>
          <w:szCs w:val="24"/>
          <w:lang w:val="es-CO"/>
        </w:rPr>
      </w:pPr>
    </w:p>
    <w:p w14:paraId="6D1E5BA2" w14:textId="7939F487" w:rsidR="006B737A" w:rsidRPr="000C2E3B" w:rsidRDefault="00622EA3" w:rsidP="000C2E3B">
      <w:pPr>
        <w:spacing w:line="276" w:lineRule="auto"/>
        <w:jc w:val="both"/>
        <w:rPr>
          <w:rFonts w:ascii="Gadugi" w:hAnsi="Gadugi" w:cs="Century Gothic"/>
          <w:sz w:val="24"/>
          <w:szCs w:val="24"/>
          <w:lang w:val="es-CO"/>
        </w:rPr>
      </w:pPr>
      <w:r w:rsidRPr="000C2E3B">
        <w:rPr>
          <w:rFonts w:ascii="Gadugi" w:hAnsi="Gadugi" w:cs="Century Gothic"/>
          <w:sz w:val="24"/>
          <w:szCs w:val="24"/>
          <w:lang w:val="es-CO"/>
        </w:rPr>
        <w:t xml:space="preserve">  </w:t>
      </w:r>
      <w:r w:rsidRPr="000C2E3B">
        <w:rPr>
          <w:rFonts w:ascii="Gadugi" w:hAnsi="Gadugi"/>
          <w:sz w:val="24"/>
          <w:szCs w:val="24"/>
        </w:rPr>
        <w:tab/>
      </w:r>
      <w:r w:rsidRPr="000C2E3B">
        <w:rPr>
          <w:rFonts w:ascii="Gadugi" w:hAnsi="Gadugi"/>
          <w:sz w:val="24"/>
          <w:szCs w:val="24"/>
        </w:rPr>
        <w:tab/>
      </w:r>
      <w:r w:rsidRPr="000C2E3B">
        <w:rPr>
          <w:rFonts w:ascii="Gadugi" w:hAnsi="Gadugi"/>
          <w:sz w:val="24"/>
          <w:szCs w:val="24"/>
        </w:rPr>
        <w:tab/>
      </w:r>
      <w:r w:rsidRPr="000C2E3B">
        <w:rPr>
          <w:rFonts w:ascii="Gadugi" w:hAnsi="Gadugi"/>
          <w:sz w:val="24"/>
          <w:szCs w:val="24"/>
        </w:rPr>
        <w:tab/>
      </w:r>
      <w:r w:rsidRPr="000C2E3B">
        <w:rPr>
          <w:rFonts w:ascii="Gadugi" w:hAnsi="Gadugi" w:cs="Century Gothic"/>
          <w:sz w:val="24"/>
          <w:szCs w:val="24"/>
          <w:lang w:val="es-CO"/>
        </w:rPr>
        <w:t xml:space="preserve">Narró </w:t>
      </w:r>
      <w:r w:rsidR="006B737A" w:rsidRPr="000C2E3B">
        <w:rPr>
          <w:rFonts w:ascii="Gadugi" w:hAnsi="Gadugi" w:cs="Century Gothic"/>
          <w:sz w:val="24"/>
          <w:szCs w:val="24"/>
          <w:lang w:val="es-CO"/>
        </w:rPr>
        <w:t xml:space="preserve">la demandante que, el 11 de septiembre de 2018, compró el 50% de la nuda propiedad sobre un inmueble ubicado en la copropiedad horizontal “Los lagos”, al cual le corresponde la denominación “Lote Nro. 17”. </w:t>
      </w:r>
    </w:p>
    <w:p w14:paraId="3F66CC10" w14:textId="65AF66BD" w:rsidR="006B737A" w:rsidRPr="000C2E3B" w:rsidRDefault="006B737A" w:rsidP="000C2E3B">
      <w:pPr>
        <w:spacing w:line="276" w:lineRule="auto"/>
        <w:jc w:val="both"/>
        <w:rPr>
          <w:rFonts w:ascii="Gadugi" w:hAnsi="Gadugi" w:cs="Century Gothic"/>
          <w:sz w:val="24"/>
          <w:szCs w:val="24"/>
          <w:lang w:val="es-CO"/>
        </w:rPr>
      </w:pPr>
    </w:p>
    <w:p w14:paraId="15055434" w14:textId="1280CBB4" w:rsidR="006B737A" w:rsidRDefault="006B737A" w:rsidP="000C2E3B">
      <w:pPr>
        <w:spacing w:line="276" w:lineRule="auto"/>
        <w:jc w:val="both"/>
        <w:rPr>
          <w:rFonts w:ascii="Gadugi" w:hAnsi="Gadugi" w:cs="Century Gothic"/>
          <w:sz w:val="24"/>
          <w:szCs w:val="24"/>
          <w:lang w:val="es-CO"/>
        </w:rPr>
      </w:pP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t>Ese predio, junto con otros tres, contaba con una puerta de acceso que les brindaba seguridad, pero hace poco se enteró que, con ocasión de un laudo arbitral</w:t>
      </w:r>
      <w:r w:rsidR="00AE26B6" w:rsidRPr="000C2E3B">
        <w:rPr>
          <w:rFonts w:ascii="Gadugi" w:hAnsi="Gadugi" w:cs="Century Gothic"/>
          <w:sz w:val="24"/>
          <w:szCs w:val="24"/>
          <w:lang w:val="es-CO"/>
        </w:rPr>
        <w:t xml:space="preserve"> del 23 de julio de 2021</w:t>
      </w:r>
      <w:r w:rsidRPr="000C2E3B">
        <w:rPr>
          <w:rFonts w:ascii="Gadugi" w:hAnsi="Gadugi" w:cs="Century Gothic"/>
          <w:sz w:val="24"/>
          <w:szCs w:val="24"/>
          <w:lang w:val="es-CO"/>
        </w:rPr>
        <w:t xml:space="preserve">, se ordenó su </w:t>
      </w:r>
      <w:r w:rsidR="00AE26B6" w:rsidRPr="000C2E3B">
        <w:rPr>
          <w:rFonts w:ascii="Gadugi" w:hAnsi="Gadugi" w:cs="Century Gothic"/>
          <w:sz w:val="24"/>
          <w:szCs w:val="24"/>
          <w:lang w:val="es-CO"/>
        </w:rPr>
        <w:t>demolición</w:t>
      </w:r>
      <w:r w:rsidR="00271EB2" w:rsidRPr="000C2E3B">
        <w:rPr>
          <w:rFonts w:ascii="Gadugi" w:hAnsi="Gadugi" w:cs="Century Gothic"/>
          <w:sz w:val="24"/>
          <w:szCs w:val="24"/>
          <w:lang w:val="es-CO"/>
        </w:rPr>
        <w:t>; ese trámite fue incoado por María Consuelo Ríos Rendón contra Juan Carlos Marulanda Loaiza.</w:t>
      </w:r>
    </w:p>
    <w:p w14:paraId="72136F03" w14:textId="77777777" w:rsidR="000C2E3B" w:rsidRPr="000C2E3B" w:rsidRDefault="000C2E3B" w:rsidP="000C2E3B">
      <w:pPr>
        <w:spacing w:line="276" w:lineRule="auto"/>
        <w:jc w:val="both"/>
        <w:rPr>
          <w:rFonts w:ascii="Gadugi" w:hAnsi="Gadugi" w:cs="Century Gothic"/>
          <w:sz w:val="24"/>
          <w:szCs w:val="24"/>
          <w:lang w:val="es-CO"/>
        </w:rPr>
      </w:pPr>
    </w:p>
    <w:p w14:paraId="64B96948" w14:textId="4E9B979D" w:rsidR="006B737A" w:rsidRPr="000C2E3B" w:rsidRDefault="006B737A" w:rsidP="000C2E3B">
      <w:pPr>
        <w:spacing w:line="276" w:lineRule="auto"/>
        <w:jc w:val="both"/>
        <w:rPr>
          <w:rFonts w:ascii="Gadugi" w:hAnsi="Gadugi" w:cs="Century Gothic"/>
          <w:sz w:val="24"/>
          <w:szCs w:val="24"/>
          <w:lang w:val="es-CO"/>
        </w:rPr>
      </w:pP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t>Reprocha que</w:t>
      </w:r>
      <w:r w:rsidR="00AE26B6" w:rsidRPr="000C2E3B">
        <w:rPr>
          <w:rFonts w:ascii="Gadugi" w:hAnsi="Gadugi" w:cs="Century Gothic"/>
          <w:sz w:val="24"/>
          <w:szCs w:val="24"/>
          <w:lang w:val="es-CO"/>
        </w:rPr>
        <w:t xml:space="preserve"> no fue vinculada a ese proceso, a pesar de que en él se veían afectados sus derechos al ser copropietaria de uno de los inmuebles que integran la propiedad horizontal. </w:t>
      </w:r>
    </w:p>
    <w:p w14:paraId="6CE1CCB7" w14:textId="2D7775A7" w:rsidR="006B737A" w:rsidRPr="000C2E3B" w:rsidRDefault="006B737A" w:rsidP="000C2E3B">
      <w:pPr>
        <w:spacing w:line="276" w:lineRule="auto"/>
        <w:jc w:val="both"/>
        <w:rPr>
          <w:rFonts w:ascii="Gadugi" w:hAnsi="Gadugi" w:cs="Century Gothic"/>
          <w:sz w:val="24"/>
          <w:szCs w:val="24"/>
          <w:lang w:val="es-CO"/>
        </w:rPr>
      </w:pPr>
    </w:p>
    <w:p w14:paraId="5AE9542B" w14:textId="30145BD1" w:rsidR="006B737A" w:rsidRPr="000C2E3B" w:rsidRDefault="006B737A" w:rsidP="000C2E3B">
      <w:pPr>
        <w:spacing w:line="276" w:lineRule="auto"/>
        <w:jc w:val="both"/>
        <w:rPr>
          <w:rFonts w:ascii="Gadugi" w:hAnsi="Gadugi" w:cs="Century Gothic"/>
          <w:sz w:val="24"/>
          <w:szCs w:val="24"/>
          <w:lang w:val="es-CO"/>
        </w:rPr>
      </w:pP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008B74D3" w:rsidRPr="000C2E3B">
        <w:rPr>
          <w:rFonts w:ascii="Gadugi" w:hAnsi="Gadugi" w:cs="Century Gothic"/>
          <w:sz w:val="24"/>
          <w:szCs w:val="24"/>
          <w:lang w:val="es-CO"/>
        </w:rPr>
        <w:t>Pidió, en consecuencia, que se declare la nulidad de la actuación del Tribunal de Arbitramento accionado.</w:t>
      </w:r>
      <w:r w:rsidR="002E7F3E" w:rsidRPr="000C2E3B">
        <w:rPr>
          <w:rStyle w:val="Refdenotaalpie"/>
          <w:rFonts w:ascii="Gadugi" w:hAnsi="Gadugi"/>
          <w:sz w:val="24"/>
          <w:szCs w:val="24"/>
          <w:lang w:val="es-CO"/>
        </w:rPr>
        <w:footnoteReference w:id="1"/>
      </w:r>
    </w:p>
    <w:p w14:paraId="052D84B6" w14:textId="3EAC055F" w:rsidR="008B74D3" w:rsidRPr="000C2E3B" w:rsidRDefault="008B74D3" w:rsidP="000C2E3B">
      <w:pPr>
        <w:spacing w:line="276" w:lineRule="auto"/>
        <w:jc w:val="both"/>
        <w:rPr>
          <w:rFonts w:ascii="Gadugi" w:hAnsi="Gadugi" w:cs="Century Gothic"/>
          <w:sz w:val="24"/>
          <w:szCs w:val="24"/>
          <w:lang w:val="es-CO"/>
        </w:rPr>
      </w:pPr>
    </w:p>
    <w:p w14:paraId="6856DE0F" w14:textId="383D7101" w:rsidR="00271EB2" w:rsidRPr="000C2E3B" w:rsidRDefault="00271EB2" w:rsidP="000C2E3B">
      <w:pPr>
        <w:spacing w:line="276" w:lineRule="auto"/>
        <w:jc w:val="both"/>
        <w:rPr>
          <w:rFonts w:ascii="Gadugi" w:hAnsi="Gadugi" w:cs="Century Gothic"/>
          <w:sz w:val="24"/>
          <w:szCs w:val="24"/>
          <w:lang w:val="es-CO"/>
        </w:rPr>
      </w:pP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t xml:space="preserve">Luego de una remisión por competencia, en esta Sala se dio inicio al trámite con auto del 28 de abril de 2022, </w:t>
      </w:r>
      <w:r w:rsidR="007C3831" w:rsidRPr="000C2E3B">
        <w:rPr>
          <w:rFonts w:ascii="Gadugi" w:hAnsi="Gadugi" w:cs="Century Gothic"/>
          <w:sz w:val="24"/>
          <w:szCs w:val="24"/>
          <w:lang w:val="es-CO"/>
        </w:rPr>
        <w:t>con los convocados arriba mencionados.</w:t>
      </w:r>
      <w:r w:rsidR="001F1686" w:rsidRPr="000C2E3B">
        <w:rPr>
          <w:rStyle w:val="Refdenotaalpie"/>
          <w:rFonts w:ascii="Gadugi" w:hAnsi="Gadugi"/>
          <w:sz w:val="24"/>
          <w:szCs w:val="24"/>
          <w:lang w:val="es-CO"/>
        </w:rPr>
        <w:footnoteReference w:id="2"/>
      </w:r>
      <w:r w:rsidR="007C3831" w:rsidRPr="000C2E3B">
        <w:rPr>
          <w:rFonts w:ascii="Gadugi" w:hAnsi="Gadugi" w:cs="Century Gothic"/>
          <w:sz w:val="24"/>
          <w:szCs w:val="24"/>
          <w:lang w:val="es-CO"/>
        </w:rPr>
        <w:t xml:space="preserve"> </w:t>
      </w:r>
      <w:r w:rsidRPr="000C2E3B">
        <w:rPr>
          <w:rFonts w:ascii="Gadugi" w:hAnsi="Gadugi" w:cs="Century Gothic"/>
          <w:sz w:val="24"/>
          <w:szCs w:val="24"/>
          <w:lang w:val="es-CO"/>
        </w:rPr>
        <w:t xml:space="preserve"> </w:t>
      </w:r>
    </w:p>
    <w:p w14:paraId="4AFBF327" w14:textId="77777777" w:rsidR="00271EB2" w:rsidRPr="000C2E3B" w:rsidRDefault="00271EB2" w:rsidP="000C2E3B">
      <w:pPr>
        <w:spacing w:line="276" w:lineRule="auto"/>
        <w:jc w:val="both"/>
        <w:rPr>
          <w:rFonts w:ascii="Gadugi" w:hAnsi="Gadugi" w:cs="Century Gothic"/>
          <w:sz w:val="24"/>
          <w:szCs w:val="24"/>
          <w:lang w:val="es-CO"/>
        </w:rPr>
      </w:pPr>
    </w:p>
    <w:p w14:paraId="0CECC79F" w14:textId="4C38991B" w:rsidR="008B74D3" w:rsidRPr="000C2E3B" w:rsidRDefault="008B74D3" w:rsidP="000C2E3B">
      <w:pPr>
        <w:spacing w:line="276" w:lineRule="auto"/>
        <w:jc w:val="both"/>
        <w:rPr>
          <w:rFonts w:ascii="Gadugi" w:hAnsi="Gadugi" w:cs="Century Gothic"/>
          <w:sz w:val="24"/>
          <w:szCs w:val="24"/>
          <w:lang w:val="es-CO"/>
        </w:rPr>
      </w:pP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t xml:space="preserve">La Directora del Centro de Arbitraje, Conciliación y Amigable Composición de la Cámara de Comercio de Pereira informó que, hasta la fecha, no hay </w:t>
      </w:r>
      <w:r w:rsidRPr="000C2E3B">
        <w:rPr>
          <w:rFonts w:ascii="Gadugi" w:hAnsi="Gadugi" w:cs="Century Gothic"/>
          <w:i/>
          <w:sz w:val="24"/>
          <w:szCs w:val="24"/>
          <w:lang w:val="es-CO"/>
        </w:rPr>
        <w:t>“</w:t>
      </w:r>
      <w:r w:rsidRPr="00D615F0">
        <w:rPr>
          <w:rFonts w:ascii="Gadugi" w:hAnsi="Gadugi" w:cs="Century Gothic"/>
          <w:i/>
          <w:sz w:val="22"/>
          <w:szCs w:val="24"/>
          <w:lang w:val="es-CO"/>
        </w:rPr>
        <w:t>solicitud, reclamación, recurso o petición en contra del laudo arbitral del 23 de Julio de 2021</w:t>
      </w:r>
      <w:r w:rsidRPr="000C2E3B">
        <w:rPr>
          <w:rFonts w:ascii="Gadugi" w:hAnsi="Gadugi" w:cs="Century Gothic"/>
          <w:i/>
          <w:sz w:val="24"/>
          <w:szCs w:val="24"/>
          <w:lang w:val="es-CO"/>
        </w:rPr>
        <w:t xml:space="preserve">”, </w:t>
      </w:r>
      <w:r w:rsidRPr="000C2E3B">
        <w:rPr>
          <w:rFonts w:ascii="Gadugi" w:hAnsi="Gadugi" w:cs="Century Gothic"/>
          <w:sz w:val="24"/>
          <w:szCs w:val="24"/>
          <w:lang w:val="es-CO"/>
        </w:rPr>
        <w:t xml:space="preserve">presentada por parte de la accionante. Agregó que </w:t>
      </w:r>
      <w:r w:rsidRPr="000C2E3B">
        <w:rPr>
          <w:rFonts w:ascii="Gadugi" w:hAnsi="Gadugi" w:cs="Century Gothic"/>
          <w:i/>
          <w:sz w:val="24"/>
          <w:szCs w:val="24"/>
          <w:lang w:val="es-CO"/>
        </w:rPr>
        <w:t>“</w:t>
      </w:r>
      <w:r w:rsidRPr="00D615F0">
        <w:rPr>
          <w:rFonts w:ascii="Gadugi" w:hAnsi="Gadugi" w:cs="Century Gothic"/>
          <w:i/>
          <w:sz w:val="22"/>
          <w:szCs w:val="24"/>
          <w:lang w:val="es-CO"/>
        </w:rPr>
        <w:t xml:space="preserve">En desarrollo de la regla en el numeral 4 de la Sentencia SU-174 de 2007, la Corte ha reconocido que “el recurso extraordinario de anulación es el medio idóneo para que el juez verifique la adecuación del laudo a los parámetros constitucionales respecto a las causales que están enfocadas en la valoración del derecho al debido proceso por posibles errores in </w:t>
      </w:r>
      <w:proofErr w:type="spellStart"/>
      <w:r w:rsidRPr="00D615F0">
        <w:rPr>
          <w:rFonts w:ascii="Gadugi" w:hAnsi="Gadugi" w:cs="Century Gothic"/>
          <w:i/>
          <w:sz w:val="22"/>
          <w:szCs w:val="24"/>
          <w:lang w:val="es-CO"/>
        </w:rPr>
        <w:t>procedendo</w:t>
      </w:r>
      <w:proofErr w:type="spellEnd"/>
      <w:r w:rsidRPr="00D615F0">
        <w:rPr>
          <w:rFonts w:ascii="Gadugi" w:hAnsi="Gadugi" w:cs="Century Gothic"/>
          <w:i/>
          <w:sz w:val="22"/>
          <w:szCs w:val="24"/>
          <w:lang w:val="es-CO"/>
        </w:rPr>
        <w:t>” y, en esa medida, la regla general para estimar cumplido el requisito de subsidiariedad implica agotar el recurso de anulación</w:t>
      </w:r>
      <w:r w:rsidRPr="000C2E3B">
        <w:rPr>
          <w:rFonts w:ascii="Gadugi" w:hAnsi="Gadugi" w:cs="Century Gothic"/>
          <w:i/>
          <w:sz w:val="24"/>
          <w:szCs w:val="24"/>
          <w:lang w:val="es-CO"/>
        </w:rPr>
        <w:t>.”</w:t>
      </w:r>
      <w:r w:rsidR="00271EB2" w:rsidRPr="000C2E3B">
        <w:rPr>
          <w:rFonts w:ascii="Gadugi" w:hAnsi="Gadugi" w:cs="Century Gothic"/>
          <w:i/>
          <w:sz w:val="24"/>
          <w:szCs w:val="24"/>
          <w:lang w:val="es-CO"/>
        </w:rPr>
        <w:t xml:space="preserve"> </w:t>
      </w:r>
      <w:r w:rsidR="00271EB2" w:rsidRPr="000C2E3B">
        <w:rPr>
          <w:rFonts w:ascii="Gadugi" w:hAnsi="Gadugi" w:cs="Century Gothic"/>
          <w:sz w:val="24"/>
          <w:szCs w:val="24"/>
          <w:lang w:val="es-CO"/>
        </w:rPr>
        <w:t>Así las cosas, solicitó declarar improcedente la acción de tutela.</w:t>
      </w:r>
      <w:r w:rsidR="001F1686" w:rsidRPr="000C2E3B">
        <w:rPr>
          <w:rStyle w:val="Refdenotaalpie"/>
          <w:rFonts w:ascii="Gadugi" w:hAnsi="Gadugi"/>
          <w:sz w:val="24"/>
          <w:szCs w:val="24"/>
          <w:lang w:val="es-CO"/>
        </w:rPr>
        <w:footnoteReference w:id="3"/>
      </w:r>
      <w:r w:rsidR="00271EB2" w:rsidRPr="000C2E3B">
        <w:rPr>
          <w:rFonts w:ascii="Gadugi" w:hAnsi="Gadugi" w:cs="Century Gothic"/>
          <w:sz w:val="24"/>
          <w:szCs w:val="24"/>
          <w:lang w:val="es-CO"/>
        </w:rPr>
        <w:t xml:space="preserve"> </w:t>
      </w:r>
    </w:p>
    <w:p w14:paraId="7C56578C" w14:textId="1769892D" w:rsidR="00271EB2" w:rsidRPr="000C2E3B" w:rsidRDefault="00271EB2" w:rsidP="000C2E3B">
      <w:pPr>
        <w:spacing w:line="276" w:lineRule="auto"/>
        <w:jc w:val="both"/>
        <w:rPr>
          <w:rFonts w:ascii="Gadugi" w:hAnsi="Gadugi" w:cs="Century Gothic"/>
          <w:sz w:val="24"/>
          <w:szCs w:val="24"/>
          <w:lang w:val="es-CO"/>
        </w:rPr>
      </w:pPr>
    </w:p>
    <w:p w14:paraId="46C04BCE" w14:textId="32568391" w:rsidR="00271EB2" w:rsidRDefault="00271EB2" w:rsidP="000C2E3B">
      <w:pPr>
        <w:spacing w:line="276" w:lineRule="auto"/>
        <w:jc w:val="both"/>
        <w:rPr>
          <w:rFonts w:ascii="Gadugi" w:hAnsi="Gadugi" w:cs="Century Gothic"/>
          <w:i/>
          <w:sz w:val="24"/>
          <w:szCs w:val="24"/>
          <w:lang w:val="es-CO"/>
        </w:rPr>
      </w:pP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r>
      <w:r w:rsidRPr="000C2E3B">
        <w:rPr>
          <w:rFonts w:ascii="Gadugi" w:hAnsi="Gadugi" w:cs="Century Gothic"/>
          <w:sz w:val="24"/>
          <w:szCs w:val="24"/>
          <w:lang w:val="es-CO"/>
        </w:rPr>
        <w:tab/>
        <w:t xml:space="preserve">María Consuelo Ríos Rendón expuso que </w:t>
      </w:r>
      <w:r w:rsidRPr="000C2E3B">
        <w:rPr>
          <w:rFonts w:ascii="Gadugi" w:hAnsi="Gadugi" w:cs="Century Gothic"/>
          <w:i/>
          <w:sz w:val="24"/>
          <w:szCs w:val="24"/>
          <w:lang w:val="es-CO"/>
        </w:rPr>
        <w:t>“</w:t>
      </w:r>
      <w:r w:rsidRPr="00D615F0">
        <w:rPr>
          <w:rFonts w:ascii="Gadugi" w:hAnsi="Gadugi" w:cs="Century Gothic"/>
          <w:i/>
          <w:sz w:val="22"/>
          <w:szCs w:val="24"/>
          <w:lang w:val="es-CO"/>
        </w:rPr>
        <w:t xml:space="preserve">Sorprende la actuación de la accionante </w:t>
      </w:r>
      <w:r w:rsidR="007C3831" w:rsidRPr="00D615F0">
        <w:rPr>
          <w:rFonts w:ascii="Gadugi" w:hAnsi="Gadugi" w:cs="Century Gothic"/>
          <w:i/>
          <w:sz w:val="22"/>
          <w:szCs w:val="24"/>
          <w:lang w:val="es-CO"/>
        </w:rPr>
        <w:t>(…)</w:t>
      </w:r>
      <w:r w:rsidRPr="00D615F0">
        <w:rPr>
          <w:rFonts w:ascii="Gadugi" w:hAnsi="Gadugi" w:cs="Century Gothic"/>
          <w:i/>
          <w:sz w:val="22"/>
          <w:szCs w:val="24"/>
          <w:lang w:val="es-CO"/>
        </w:rPr>
        <w:t>, porque además de inoportuna o fuera de términos, carece de legitimación o interés jurídico; pues los hechos que fueron materia de debate y la decisión, interesan particular y directamente a las partes involucradas</w:t>
      </w:r>
      <w:r w:rsidRPr="000C2E3B">
        <w:rPr>
          <w:rFonts w:ascii="Gadugi" w:hAnsi="Gadugi" w:cs="Century Gothic"/>
          <w:i/>
          <w:sz w:val="24"/>
          <w:szCs w:val="24"/>
          <w:lang w:val="es-CO"/>
        </w:rPr>
        <w:t>”</w:t>
      </w:r>
      <w:r w:rsidR="007C3831" w:rsidRPr="000C2E3B">
        <w:rPr>
          <w:rFonts w:ascii="Gadugi" w:hAnsi="Gadugi" w:cs="Century Gothic"/>
          <w:i/>
          <w:sz w:val="24"/>
          <w:szCs w:val="24"/>
          <w:lang w:val="es-CO"/>
        </w:rPr>
        <w:t>.</w:t>
      </w:r>
      <w:r w:rsidR="001F1686" w:rsidRPr="000C2E3B">
        <w:rPr>
          <w:rStyle w:val="Refdenotaalpie"/>
          <w:rFonts w:ascii="Gadugi" w:hAnsi="Gadugi"/>
          <w:i/>
          <w:sz w:val="24"/>
          <w:szCs w:val="24"/>
          <w:lang w:val="es-CO"/>
        </w:rPr>
        <w:footnoteReference w:id="4"/>
      </w:r>
    </w:p>
    <w:p w14:paraId="25E68397" w14:textId="1752EF88" w:rsidR="000C2E3B" w:rsidRDefault="000C2E3B" w:rsidP="000C2E3B">
      <w:pPr>
        <w:spacing w:line="276" w:lineRule="auto"/>
        <w:jc w:val="both"/>
        <w:rPr>
          <w:rFonts w:ascii="Gadugi" w:hAnsi="Gadugi" w:cs="Century Gothic"/>
          <w:i/>
          <w:sz w:val="24"/>
          <w:szCs w:val="24"/>
          <w:lang w:val="es-CO"/>
        </w:rPr>
      </w:pPr>
    </w:p>
    <w:p w14:paraId="63BBE64F" w14:textId="77777777" w:rsidR="000C2E3B" w:rsidRPr="000C2E3B" w:rsidRDefault="000C2E3B" w:rsidP="000C2E3B">
      <w:pPr>
        <w:spacing w:line="276" w:lineRule="auto"/>
        <w:jc w:val="both"/>
        <w:rPr>
          <w:rFonts w:ascii="Gadugi" w:hAnsi="Gadugi" w:cs="Century Gothic"/>
          <w:i/>
          <w:sz w:val="24"/>
          <w:szCs w:val="24"/>
          <w:lang w:val="es-CO"/>
        </w:rPr>
      </w:pPr>
    </w:p>
    <w:p w14:paraId="44416D29" w14:textId="14112C53" w:rsidR="00622EA3" w:rsidRPr="000C2E3B" w:rsidRDefault="00312B3F" w:rsidP="000C2E3B">
      <w:pPr>
        <w:spacing w:line="276" w:lineRule="auto"/>
        <w:jc w:val="both"/>
        <w:rPr>
          <w:rFonts w:ascii="Gadugi" w:hAnsi="Gadugi" w:cs="Arial"/>
          <w:b/>
          <w:sz w:val="24"/>
          <w:szCs w:val="24"/>
        </w:rPr>
      </w:pPr>
      <w:r w:rsidRPr="000C2E3B">
        <w:rPr>
          <w:rFonts w:ascii="Gadugi" w:hAnsi="Gadugi" w:cs="Century Gothic"/>
          <w:sz w:val="24"/>
          <w:szCs w:val="24"/>
          <w:lang w:val="es-CO"/>
        </w:rPr>
        <w:tab/>
      </w:r>
      <w:r w:rsidRPr="000C2E3B">
        <w:rPr>
          <w:rFonts w:ascii="Gadugi" w:hAnsi="Gadugi" w:cs="Century Gothic"/>
          <w:sz w:val="24"/>
          <w:szCs w:val="24"/>
          <w:lang w:val="es-CO"/>
        </w:rPr>
        <w:tab/>
      </w:r>
      <w:r w:rsidR="0061791A" w:rsidRPr="000C2E3B">
        <w:rPr>
          <w:rFonts w:ascii="Gadugi" w:hAnsi="Gadugi" w:cs="Arial"/>
          <w:b/>
          <w:sz w:val="24"/>
          <w:szCs w:val="24"/>
          <w:lang w:val="es-CO"/>
        </w:rPr>
        <w:tab/>
      </w:r>
      <w:r w:rsidR="0061791A" w:rsidRPr="000C2E3B">
        <w:rPr>
          <w:rFonts w:ascii="Gadugi" w:hAnsi="Gadugi" w:cs="Arial"/>
          <w:b/>
          <w:sz w:val="24"/>
          <w:szCs w:val="24"/>
          <w:lang w:val="es-CO"/>
        </w:rPr>
        <w:tab/>
      </w:r>
      <w:r w:rsidR="00622EA3" w:rsidRPr="000C2E3B">
        <w:rPr>
          <w:rFonts w:ascii="Gadugi" w:hAnsi="Gadugi" w:cs="Arial"/>
          <w:b/>
          <w:sz w:val="24"/>
          <w:szCs w:val="24"/>
        </w:rPr>
        <w:t>CONSIDERACIONES</w:t>
      </w:r>
    </w:p>
    <w:p w14:paraId="1D058EF8" w14:textId="3916E175" w:rsidR="00622EA3" w:rsidRPr="000C2E3B" w:rsidRDefault="00622EA3" w:rsidP="000C2E3B">
      <w:pPr>
        <w:pStyle w:val="Textoindependiente22"/>
        <w:spacing w:line="276" w:lineRule="auto"/>
        <w:ind w:firstLine="0"/>
        <w:rPr>
          <w:rFonts w:ascii="Gadugi" w:hAnsi="Gadugi"/>
          <w:szCs w:val="24"/>
        </w:rPr>
      </w:pPr>
    </w:p>
    <w:p w14:paraId="794A8819" w14:textId="77777777" w:rsidR="00622EA3" w:rsidRPr="000C2E3B" w:rsidRDefault="00622EA3" w:rsidP="000C2E3B">
      <w:pPr>
        <w:pStyle w:val="Textoindependiente22"/>
        <w:spacing w:line="276" w:lineRule="auto"/>
        <w:rPr>
          <w:rFonts w:ascii="Gadugi" w:hAnsi="Gadugi"/>
          <w:szCs w:val="24"/>
        </w:rPr>
      </w:pPr>
    </w:p>
    <w:p w14:paraId="3B541647" w14:textId="050E94F7" w:rsidR="00622EA3" w:rsidRPr="000C2E3B" w:rsidRDefault="00622EA3" w:rsidP="000C2E3B">
      <w:pPr>
        <w:pStyle w:val="Textoindependiente22"/>
        <w:spacing w:line="276" w:lineRule="auto"/>
        <w:rPr>
          <w:rFonts w:ascii="Gadugi" w:hAnsi="Gadugi"/>
          <w:szCs w:val="24"/>
        </w:rPr>
      </w:pPr>
      <w:r w:rsidRPr="000C2E3B">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66B41CEA" w:rsidR="0092590C" w:rsidRPr="000C2E3B" w:rsidRDefault="0092590C" w:rsidP="000C2E3B">
      <w:pPr>
        <w:pStyle w:val="Textoindependiente22"/>
        <w:spacing w:line="276" w:lineRule="auto"/>
        <w:rPr>
          <w:rFonts w:ascii="Gadugi" w:hAnsi="Gadugi"/>
          <w:szCs w:val="24"/>
        </w:rPr>
      </w:pPr>
    </w:p>
    <w:p w14:paraId="26C622B0" w14:textId="287E98C6" w:rsidR="007C3831" w:rsidRPr="000C2E3B" w:rsidRDefault="007C3831" w:rsidP="000C2E3B">
      <w:pPr>
        <w:pStyle w:val="Textoindependiente22"/>
        <w:spacing w:line="276" w:lineRule="auto"/>
        <w:rPr>
          <w:rFonts w:ascii="Gadugi" w:hAnsi="Gadugi"/>
          <w:szCs w:val="24"/>
        </w:rPr>
      </w:pPr>
      <w:r w:rsidRPr="000C2E3B">
        <w:rPr>
          <w:rFonts w:ascii="Gadugi" w:hAnsi="Gadugi"/>
          <w:szCs w:val="24"/>
        </w:rPr>
        <w:t xml:space="preserve">En uso de tal prerrogativa, acude la señora Correa García, por la inconformidad que le causa no haber sido vinculada a un trámite que se siguió ante el Tribunal de Arbitramento de la Cámara de Comercio de Pereira, </w:t>
      </w:r>
      <w:r w:rsidR="00067800" w:rsidRPr="000C2E3B">
        <w:rPr>
          <w:rFonts w:ascii="Gadugi" w:hAnsi="Gadugi"/>
          <w:szCs w:val="24"/>
        </w:rPr>
        <w:t>en el que, según asegura, se vieron afectados sus derechos.</w:t>
      </w:r>
    </w:p>
    <w:p w14:paraId="77C93432" w14:textId="77777777" w:rsidR="002322EB" w:rsidRPr="000C2E3B" w:rsidRDefault="002322EB" w:rsidP="000C2E3B">
      <w:pPr>
        <w:spacing w:line="276" w:lineRule="auto"/>
        <w:jc w:val="both"/>
        <w:rPr>
          <w:rFonts w:ascii="Gadugi" w:hAnsi="Gadugi"/>
          <w:sz w:val="24"/>
          <w:szCs w:val="24"/>
        </w:rPr>
      </w:pPr>
    </w:p>
    <w:p w14:paraId="75C948C0" w14:textId="6D6657A2" w:rsidR="00254315" w:rsidRPr="000C2E3B" w:rsidRDefault="00AC524D" w:rsidP="000C2E3B">
      <w:pPr>
        <w:spacing w:line="276" w:lineRule="auto"/>
        <w:jc w:val="both"/>
        <w:rPr>
          <w:rFonts w:ascii="Gadugi" w:hAnsi="Gadugi"/>
          <w:sz w:val="24"/>
          <w:szCs w:val="24"/>
        </w:rPr>
      </w:pPr>
      <w:r w:rsidRPr="000C2E3B">
        <w:rPr>
          <w:rFonts w:ascii="Gadugi" w:hAnsi="Gadugi"/>
          <w:sz w:val="24"/>
          <w:szCs w:val="24"/>
        </w:rPr>
        <w:tab/>
      </w:r>
      <w:r w:rsidRPr="000C2E3B">
        <w:rPr>
          <w:rFonts w:ascii="Gadugi" w:hAnsi="Gadugi"/>
          <w:sz w:val="24"/>
          <w:szCs w:val="24"/>
        </w:rPr>
        <w:tab/>
      </w:r>
      <w:r w:rsidRPr="000C2E3B">
        <w:rPr>
          <w:rFonts w:ascii="Gadugi" w:hAnsi="Gadugi"/>
          <w:sz w:val="24"/>
          <w:szCs w:val="24"/>
        </w:rPr>
        <w:tab/>
      </w:r>
      <w:r w:rsidRPr="000C2E3B">
        <w:rPr>
          <w:rFonts w:ascii="Gadugi" w:hAnsi="Gadugi"/>
          <w:sz w:val="24"/>
          <w:szCs w:val="24"/>
        </w:rPr>
        <w:tab/>
        <w:t>R</w:t>
      </w:r>
      <w:r w:rsidR="003B57C8" w:rsidRPr="000C2E3B">
        <w:rPr>
          <w:rFonts w:ascii="Gadugi" w:hAnsi="Gadugi" w:cs="Arial"/>
          <w:sz w:val="24"/>
          <w:szCs w:val="24"/>
        </w:rPr>
        <w:t>eiteradamente</w:t>
      </w:r>
      <w:r w:rsidR="00254315" w:rsidRPr="000C2E3B">
        <w:rPr>
          <w:rFonts w:ascii="Gadugi" w:hAnsi="Gadugi" w:cs="Arial"/>
          <w:sz w:val="24"/>
          <w:szCs w:val="24"/>
        </w:rPr>
        <w:t xml:space="preserve"> se ha expuesto que </w:t>
      </w:r>
      <w:r w:rsidR="00254315" w:rsidRPr="000C2E3B">
        <w:rPr>
          <w:rFonts w:ascii="Gadugi" w:hAnsi="Gadugi"/>
          <w:sz w:val="24"/>
          <w:szCs w:val="24"/>
        </w:rPr>
        <w:t>a pesar de la inexequibilidad de las normas que en el Decreto 2591 de 1991 preveían la acción de tutela contra providencias judiciales</w:t>
      </w:r>
      <w:r w:rsidR="00254315" w:rsidRPr="000C2E3B">
        <w:rPr>
          <w:rStyle w:val="Refdenotaalpie"/>
          <w:rFonts w:ascii="Gadugi" w:hAnsi="Gadugi"/>
          <w:sz w:val="24"/>
          <w:szCs w:val="24"/>
        </w:rPr>
        <w:footnoteReference w:id="5"/>
      </w:r>
      <w:r w:rsidR="00254315" w:rsidRPr="000C2E3B">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254315" w:rsidRPr="000C2E3B">
        <w:rPr>
          <w:rFonts w:ascii="Gadugi" w:hAnsi="Gadugi" w:cs="Arial"/>
          <w:sz w:val="24"/>
          <w:szCs w:val="24"/>
        </w:rPr>
        <w:t xml:space="preserve"> en múltiples ocasiones. Sobre ellas, en las sentencias SU-222 de 2016, SU573 de 2017 y SU004 de 2018, </w:t>
      </w:r>
      <w:r w:rsidR="00254315" w:rsidRPr="000C2E3B">
        <w:rPr>
          <w:rFonts w:ascii="Gadugi" w:hAnsi="Gadugi" w:cs="Arial"/>
          <w:sz w:val="24"/>
          <w:szCs w:val="24"/>
          <w:lang w:val="es-419"/>
        </w:rPr>
        <w:t xml:space="preserve">reiteradas en las sentencias T-004-19, T-042-19, T-049-19 y T-075-19, </w:t>
      </w:r>
      <w:r w:rsidR="00254315" w:rsidRPr="000C2E3B">
        <w:rPr>
          <w:rFonts w:ascii="Gadugi" w:hAnsi="Gadugi" w:cs="Arial"/>
          <w:sz w:val="24"/>
          <w:szCs w:val="24"/>
        </w:rPr>
        <w:t xml:space="preserve">T-008-20, T-053-20, y más recientemente en la SU128-21, todas aludiendo a la C-590 de 2005, recordó que las primeras obedecen a </w:t>
      </w:r>
      <w:r w:rsidR="00254315" w:rsidRPr="000C2E3B">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254315" w:rsidRPr="000C2E3B">
        <w:rPr>
          <w:rFonts w:ascii="Gadugi" w:hAnsi="Gadugi"/>
          <w:sz w:val="24"/>
          <w:szCs w:val="24"/>
        </w:rPr>
        <w:t xml:space="preserve"> </w:t>
      </w:r>
      <w:r w:rsidR="00254315" w:rsidRPr="000C2E3B">
        <w:rPr>
          <w:rFonts w:ascii="Gadugi" w:hAnsi="Gadugi" w:cs="Arial"/>
          <w:sz w:val="24"/>
          <w:szCs w:val="24"/>
        </w:rPr>
        <w:t>Y en cuanto a las segundas, es decir, las causales específicas, se compendian en los defectos</w:t>
      </w:r>
      <w:r w:rsidR="00254315" w:rsidRPr="000C2E3B">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00254315" w:rsidRPr="000C2E3B">
        <w:rPr>
          <w:rFonts w:ascii="Gadugi" w:hAnsi="Gadugi"/>
          <w:sz w:val="24"/>
          <w:szCs w:val="24"/>
        </w:rPr>
        <w:t xml:space="preserve"> </w:t>
      </w:r>
    </w:p>
    <w:p w14:paraId="0A3CC9EE" w14:textId="591B6E79" w:rsidR="006503A5" w:rsidRPr="000C2E3B" w:rsidRDefault="006503A5" w:rsidP="000C2E3B">
      <w:pPr>
        <w:spacing w:line="276" w:lineRule="auto"/>
        <w:jc w:val="both"/>
        <w:rPr>
          <w:rFonts w:ascii="Gadugi" w:hAnsi="Gadugi"/>
          <w:sz w:val="24"/>
          <w:szCs w:val="24"/>
        </w:rPr>
      </w:pPr>
    </w:p>
    <w:p w14:paraId="3BF2F178" w14:textId="77777777" w:rsidR="006503A5" w:rsidRPr="000C2E3B" w:rsidRDefault="006503A5" w:rsidP="000C2E3B">
      <w:pPr>
        <w:spacing w:line="276" w:lineRule="auto"/>
        <w:jc w:val="both"/>
        <w:rPr>
          <w:rFonts w:ascii="Gadugi" w:hAnsi="Gadugi"/>
          <w:sz w:val="24"/>
          <w:szCs w:val="24"/>
        </w:rPr>
      </w:pPr>
      <w:r w:rsidRPr="000C2E3B">
        <w:rPr>
          <w:rFonts w:ascii="Gadugi" w:hAnsi="Gadugi"/>
          <w:sz w:val="24"/>
          <w:szCs w:val="24"/>
        </w:rPr>
        <w:lastRenderedPageBreak/>
        <w:tab/>
      </w:r>
      <w:r w:rsidRPr="000C2E3B">
        <w:rPr>
          <w:rFonts w:ascii="Gadugi" w:hAnsi="Gadugi"/>
          <w:sz w:val="24"/>
          <w:szCs w:val="24"/>
        </w:rPr>
        <w:tab/>
      </w:r>
      <w:r w:rsidRPr="000C2E3B">
        <w:rPr>
          <w:rFonts w:ascii="Gadugi" w:hAnsi="Gadugi"/>
          <w:sz w:val="24"/>
          <w:szCs w:val="24"/>
        </w:rPr>
        <w:tab/>
      </w:r>
      <w:r w:rsidRPr="000C2E3B">
        <w:rPr>
          <w:rFonts w:ascii="Gadugi" w:hAnsi="Gadugi"/>
          <w:sz w:val="24"/>
          <w:szCs w:val="24"/>
        </w:rPr>
        <w:tab/>
        <w:t>De entrada, la Sala anuncia que, por varios motivos, se declarará improcedente la acción de tutela.</w:t>
      </w:r>
    </w:p>
    <w:p w14:paraId="432B4A0F" w14:textId="77777777" w:rsidR="006503A5" w:rsidRPr="000C2E3B" w:rsidRDefault="006503A5" w:rsidP="000C2E3B">
      <w:pPr>
        <w:spacing w:line="276" w:lineRule="auto"/>
        <w:jc w:val="both"/>
        <w:rPr>
          <w:rFonts w:ascii="Gadugi" w:hAnsi="Gadugi"/>
          <w:sz w:val="24"/>
          <w:szCs w:val="24"/>
        </w:rPr>
      </w:pPr>
    </w:p>
    <w:p w14:paraId="3303FB9E" w14:textId="6D8BAA05" w:rsidR="008B14E8" w:rsidRPr="000C2E3B" w:rsidRDefault="006503A5" w:rsidP="000C2E3B">
      <w:pPr>
        <w:pStyle w:val="Sinespaciado6"/>
        <w:spacing w:line="276" w:lineRule="auto"/>
        <w:ind w:right="51" w:firstLine="2835"/>
        <w:jc w:val="both"/>
        <w:rPr>
          <w:rFonts w:ascii="Gadugi" w:hAnsi="Gadugi"/>
          <w:lang w:val="es-419"/>
        </w:rPr>
      </w:pPr>
      <w:r w:rsidRPr="000C2E3B">
        <w:rPr>
          <w:rFonts w:ascii="Gadugi" w:hAnsi="Gadugi"/>
        </w:rPr>
        <w:t>El primero de ellos es que la accionante, en principio, carece de legitimación en la causa por activa</w:t>
      </w:r>
      <w:r w:rsidR="00413F62" w:rsidRPr="000C2E3B">
        <w:rPr>
          <w:rFonts w:ascii="Gadugi" w:hAnsi="Gadugi"/>
        </w:rPr>
        <w:t>. E</w:t>
      </w:r>
      <w:r w:rsidR="008B14E8" w:rsidRPr="000C2E3B">
        <w:rPr>
          <w:rFonts w:ascii="Gadugi" w:hAnsi="Gadugi"/>
        </w:rPr>
        <w:t xml:space="preserve">n efecto, se ha sostenido que, </w:t>
      </w:r>
      <w:r w:rsidR="008B14E8" w:rsidRPr="000C2E3B">
        <w:rPr>
          <w:rFonts w:ascii="Gadugi" w:hAnsi="Gadugi"/>
          <w:lang w:val="es-419"/>
        </w:rPr>
        <w:t xml:space="preserve">si se trata del derecho al debido proceso vulnerado o amenazado por una actuación judicial, lo propio es que, quien promueva </w:t>
      </w:r>
      <w:r w:rsidR="001F1686" w:rsidRPr="000C2E3B">
        <w:rPr>
          <w:rFonts w:ascii="Gadugi" w:hAnsi="Gadugi"/>
          <w:lang w:val="es-419"/>
        </w:rPr>
        <w:t>el amparo</w:t>
      </w:r>
      <w:r w:rsidR="008B14E8" w:rsidRPr="000C2E3B">
        <w:rPr>
          <w:rFonts w:ascii="Gadugi" w:hAnsi="Gadugi"/>
          <w:lang w:val="es-419"/>
        </w:rPr>
        <w:t xml:space="preserve"> debe ser parte del proceso que se cuestiona, o actuar como tercero reconocido dentro del mismo, como en el caso de los incidentes. </w:t>
      </w:r>
    </w:p>
    <w:p w14:paraId="65B34C8A" w14:textId="2B80780C" w:rsidR="008B14E8" w:rsidRPr="000C2E3B" w:rsidRDefault="008B14E8" w:rsidP="000C2E3B">
      <w:pPr>
        <w:pStyle w:val="Sinespaciado6"/>
        <w:spacing w:line="276" w:lineRule="auto"/>
        <w:ind w:right="51"/>
        <w:jc w:val="both"/>
        <w:rPr>
          <w:rFonts w:ascii="Gadugi" w:hAnsi="Gadugi"/>
        </w:rPr>
      </w:pPr>
    </w:p>
    <w:p w14:paraId="12DB8314" w14:textId="746B5011" w:rsidR="008B14E8" w:rsidRPr="000C2E3B" w:rsidRDefault="008B14E8" w:rsidP="000C2E3B">
      <w:pPr>
        <w:pStyle w:val="Sinespaciado6"/>
        <w:spacing w:line="276" w:lineRule="auto"/>
        <w:ind w:right="51"/>
        <w:jc w:val="both"/>
        <w:rPr>
          <w:rFonts w:ascii="Gadugi" w:hAnsi="Gadugi"/>
          <w:lang w:val="es-CO"/>
        </w:rPr>
      </w:pPr>
      <w:r w:rsidRPr="000C2E3B">
        <w:rPr>
          <w:rFonts w:ascii="Gadugi" w:hAnsi="Gadugi"/>
        </w:rPr>
        <w:tab/>
      </w:r>
      <w:r w:rsidRPr="000C2E3B">
        <w:rPr>
          <w:rFonts w:ascii="Gadugi" w:hAnsi="Gadugi"/>
        </w:rPr>
        <w:tab/>
      </w:r>
      <w:r w:rsidRPr="000C2E3B">
        <w:rPr>
          <w:rFonts w:ascii="Gadugi" w:hAnsi="Gadugi"/>
        </w:rPr>
        <w:tab/>
      </w:r>
      <w:r w:rsidRPr="000C2E3B">
        <w:rPr>
          <w:rFonts w:ascii="Gadugi" w:hAnsi="Gadugi"/>
        </w:rPr>
        <w:tab/>
      </w:r>
      <w:r w:rsidRPr="000C2E3B">
        <w:rPr>
          <w:rFonts w:ascii="Gadugi" w:hAnsi="Gadugi"/>
          <w:lang w:val="es-CO"/>
        </w:rPr>
        <w:t>Sobre el particular ha dicho</w:t>
      </w:r>
      <w:r w:rsidR="00413F62" w:rsidRPr="000C2E3B">
        <w:rPr>
          <w:rFonts w:ascii="Gadugi" w:hAnsi="Gadugi"/>
          <w:lang w:val="es-CO"/>
        </w:rPr>
        <w:t xml:space="preserve"> la Corte Constitucional</w:t>
      </w:r>
      <w:r w:rsidRPr="000C2E3B">
        <w:rPr>
          <w:rFonts w:ascii="Gadugi" w:hAnsi="Gadugi"/>
          <w:lang w:val="es-419"/>
        </w:rPr>
        <w:t>, por ejemplo, que</w:t>
      </w:r>
      <w:r w:rsidRPr="000C2E3B">
        <w:rPr>
          <w:rFonts w:ascii="Gadugi" w:hAnsi="Gadugi"/>
          <w:bCs/>
          <w:vertAlign w:val="superscript"/>
          <w:lang w:val="es-CO"/>
        </w:rPr>
        <w:footnoteReference w:id="6"/>
      </w:r>
      <w:r w:rsidRPr="000C2E3B">
        <w:rPr>
          <w:rFonts w:ascii="Gadugi" w:hAnsi="Gadugi"/>
          <w:lang w:val="es-419"/>
        </w:rPr>
        <w:t xml:space="preserve">: </w:t>
      </w:r>
      <w:r w:rsidRPr="000C2E3B">
        <w:rPr>
          <w:rFonts w:ascii="Gadugi" w:hAnsi="Gadugi"/>
          <w:lang w:val="es-CO"/>
        </w:rPr>
        <w:t xml:space="preserve"> </w:t>
      </w:r>
    </w:p>
    <w:p w14:paraId="0A405CC7" w14:textId="77777777" w:rsidR="008B14E8" w:rsidRPr="000C2E3B" w:rsidRDefault="008B14E8" w:rsidP="000C2E3B">
      <w:pPr>
        <w:tabs>
          <w:tab w:val="left" w:pos="-720"/>
        </w:tabs>
        <w:suppressAutoHyphens/>
        <w:spacing w:line="276" w:lineRule="auto"/>
        <w:ind w:left="900" w:right="703" w:firstLine="1935"/>
        <w:jc w:val="both"/>
        <w:rPr>
          <w:rFonts w:ascii="Gadugi" w:hAnsi="Gadugi"/>
          <w:bCs/>
          <w:sz w:val="24"/>
          <w:szCs w:val="24"/>
          <w:lang w:val="es-CO"/>
        </w:rPr>
      </w:pPr>
    </w:p>
    <w:p w14:paraId="6233EED8" w14:textId="62C31AF1" w:rsidR="008B14E8" w:rsidRPr="008361D0" w:rsidRDefault="008B14E8" w:rsidP="008361D0">
      <w:pPr>
        <w:tabs>
          <w:tab w:val="left" w:pos="-720"/>
        </w:tabs>
        <w:suppressAutoHyphens/>
        <w:ind w:left="426" w:right="420" w:firstLine="1935"/>
        <w:jc w:val="both"/>
        <w:rPr>
          <w:rFonts w:ascii="Gadugi" w:hAnsi="Gadugi"/>
          <w:b/>
          <w:bCs/>
          <w:sz w:val="22"/>
          <w:szCs w:val="24"/>
        </w:rPr>
      </w:pPr>
      <w:r w:rsidRPr="008361D0">
        <w:rPr>
          <w:rFonts w:ascii="Gadugi" w:hAnsi="Gadugi"/>
          <w:bCs/>
          <w:sz w:val="22"/>
          <w:szCs w:val="24"/>
          <w:lang w:val="es-CO"/>
        </w:rPr>
        <w:t xml:space="preserve">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w:t>
      </w:r>
      <w:r w:rsidRPr="008361D0">
        <w:rPr>
          <w:rFonts w:ascii="Gadugi" w:hAnsi="Gadugi"/>
          <w:b/>
          <w:bCs/>
          <w:sz w:val="22"/>
          <w:szCs w:val="24"/>
          <w:lang w:val="es-CO"/>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8361D0">
        <w:rPr>
          <w:rFonts w:ascii="Gadugi" w:hAnsi="Gadugi"/>
          <w:b/>
          <w:bCs/>
          <w:sz w:val="22"/>
          <w:szCs w:val="24"/>
          <w:lang w:val="es-419"/>
        </w:rPr>
        <w:t>…</w:t>
      </w:r>
      <w:r w:rsidRPr="008361D0">
        <w:rPr>
          <w:rFonts w:ascii="Gadugi" w:hAnsi="Gadugi"/>
          <w:b/>
          <w:sz w:val="22"/>
          <w:szCs w:val="24"/>
        </w:rPr>
        <w:t xml:space="preserve"> </w:t>
      </w:r>
    </w:p>
    <w:p w14:paraId="7D5EC947" w14:textId="77777777" w:rsidR="008B14E8" w:rsidRPr="000C2E3B" w:rsidRDefault="008B14E8" w:rsidP="000C2E3B">
      <w:pPr>
        <w:tabs>
          <w:tab w:val="left" w:pos="-720"/>
        </w:tabs>
        <w:suppressAutoHyphens/>
        <w:spacing w:line="276" w:lineRule="auto"/>
        <w:jc w:val="both"/>
        <w:rPr>
          <w:rFonts w:ascii="Gadugi" w:hAnsi="Gadugi"/>
          <w:i/>
          <w:sz w:val="24"/>
          <w:szCs w:val="24"/>
        </w:rPr>
      </w:pPr>
    </w:p>
    <w:p w14:paraId="385CAFD1" w14:textId="77777777" w:rsidR="008B14E8" w:rsidRPr="000C2E3B" w:rsidRDefault="008B14E8" w:rsidP="000C2E3B">
      <w:pPr>
        <w:tabs>
          <w:tab w:val="left" w:pos="-720"/>
        </w:tabs>
        <w:suppressAutoHyphens/>
        <w:spacing w:line="276" w:lineRule="auto"/>
        <w:jc w:val="both"/>
        <w:rPr>
          <w:rFonts w:ascii="Gadugi" w:hAnsi="Gadugi"/>
          <w:sz w:val="24"/>
          <w:szCs w:val="24"/>
          <w:lang w:val="es-419"/>
        </w:rPr>
      </w:pPr>
      <w:r w:rsidRPr="000C2E3B">
        <w:rPr>
          <w:rFonts w:ascii="Gadugi" w:hAnsi="Gadugi"/>
          <w:i/>
          <w:sz w:val="24"/>
          <w:szCs w:val="24"/>
        </w:rPr>
        <w:t xml:space="preserve"> </w:t>
      </w:r>
      <w:r w:rsidRPr="000C2E3B">
        <w:rPr>
          <w:rFonts w:ascii="Gadugi" w:hAnsi="Gadugi"/>
          <w:i/>
          <w:sz w:val="24"/>
          <w:szCs w:val="24"/>
        </w:rPr>
        <w:tab/>
      </w:r>
      <w:r w:rsidRPr="000C2E3B">
        <w:rPr>
          <w:rFonts w:ascii="Gadugi" w:hAnsi="Gadugi"/>
          <w:i/>
          <w:sz w:val="24"/>
          <w:szCs w:val="24"/>
        </w:rPr>
        <w:tab/>
      </w:r>
      <w:r w:rsidRPr="000C2E3B">
        <w:rPr>
          <w:rFonts w:ascii="Gadugi" w:hAnsi="Gadugi"/>
          <w:sz w:val="24"/>
          <w:szCs w:val="24"/>
        </w:rPr>
        <w:tab/>
      </w:r>
      <w:r w:rsidRPr="000C2E3B">
        <w:rPr>
          <w:rFonts w:ascii="Gadugi" w:hAnsi="Gadugi"/>
          <w:sz w:val="24"/>
          <w:szCs w:val="24"/>
        </w:rPr>
        <w:tab/>
      </w:r>
      <w:r w:rsidRPr="000C2E3B">
        <w:rPr>
          <w:rFonts w:ascii="Gadugi" w:hAnsi="Gadugi"/>
          <w:sz w:val="24"/>
          <w:szCs w:val="24"/>
          <w:lang w:val="es-419"/>
        </w:rPr>
        <w:t>Más recientemente</w:t>
      </w:r>
      <w:r w:rsidRPr="000C2E3B">
        <w:rPr>
          <w:rStyle w:val="Refdenotaalpie"/>
          <w:rFonts w:ascii="Gadugi" w:hAnsi="Gadugi"/>
          <w:sz w:val="24"/>
          <w:szCs w:val="24"/>
          <w:lang w:val="es-419"/>
        </w:rPr>
        <w:footnoteReference w:id="7"/>
      </w:r>
      <w:r w:rsidRPr="000C2E3B">
        <w:rPr>
          <w:rFonts w:ascii="Gadugi" w:hAnsi="Gadugi"/>
          <w:sz w:val="24"/>
          <w:szCs w:val="24"/>
          <w:lang w:val="es-419"/>
        </w:rPr>
        <w:t xml:space="preserve"> señaló: </w:t>
      </w:r>
    </w:p>
    <w:p w14:paraId="56D1A4B0" w14:textId="77777777" w:rsidR="008B14E8" w:rsidRPr="000C2E3B" w:rsidRDefault="008B14E8" w:rsidP="000C2E3B">
      <w:pPr>
        <w:tabs>
          <w:tab w:val="left" w:pos="-720"/>
        </w:tabs>
        <w:suppressAutoHyphens/>
        <w:spacing w:line="276" w:lineRule="auto"/>
        <w:jc w:val="both"/>
        <w:rPr>
          <w:rFonts w:ascii="Gadugi" w:hAnsi="Gadugi"/>
          <w:sz w:val="24"/>
          <w:szCs w:val="24"/>
          <w:lang w:val="es-419"/>
        </w:rPr>
      </w:pPr>
    </w:p>
    <w:p w14:paraId="43A7E3E1" w14:textId="77777777" w:rsidR="008B14E8" w:rsidRPr="008361D0" w:rsidRDefault="008B14E8" w:rsidP="008361D0">
      <w:pPr>
        <w:widowControl w:val="0"/>
        <w:tabs>
          <w:tab w:val="left" w:pos="426"/>
        </w:tabs>
        <w:ind w:left="426" w:right="420" w:firstLine="1984"/>
        <w:jc w:val="both"/>
        <w:rPr>
          <w:rFonts w:ascii="Gadugi" w:hAnsi="Gadugi"/>
          <w:b/>
          <w:color w:val="000000"/>
          <w:sz w:val="22"/>
          <w:szCs w:val="24"/>
        </w:rPr>
      </w:pPr>
      <w:r w:rsidRPr="008361D0">
        <w:rPr>
          <w:rFonts w:ascii="Gadugi" w:hAnsi="Gadugi"/>
          <w:b/>
          <w:color w:val="000000"/>
          <w:sz w:val="22"/>
          <w:szCs w:val="24"/>
        </w:rPr>
        <w:t xml:space="preserve">Legitimación por activa como requisito de procedencia de la acción de tutela </w:t>
      </w:r>
    </w:p>
    <w:p w14:paraId="1ADE16D1" w14:textId="77777777" w:rsidR="008B14E8" w:rsidRPr="008361D0" w:rsidRDefault="008B14E8" w:rsidP="008361D0">
      <w:pPr>
        <w:tabs>
          <w:tab w:val="left" w:pos="284"/>
        </w:tabs>
        <w:ind w:left="426" w:right="420" w:firstLine="1984"/>
        <w:jc w:val="both"/>
        <w:rPr>
          <w:rFonts w:ascii="Gadugi" w:hAnsi="Gadugi"/>
          <w:color w:val="000000"/>
          <w:sz w:val="22"/>
          <w:szCs w:val="24"/>
        </w:rPr>
      </w:pPr>
    </w:p>
    <w:p w14:paraId="47D68D04" w14:textId="5E1BB74B" w:rsidR="008B14E8" w:rsidRPr="008361D0" w:rsidRDefault="008B14E8" w:rsidP="008361D0">
      <w:pPr>
        <w:tabs>
          <w:tab w:val="left" w:pos="284"/>
          <w:tab w:val="left" w:pos="3261"/>
        </w:tabs>
        <w:ind w:left="426" w:right="420" w:firstLine="1984"/>
        <w:jc w:val="both"/>
        <w:rPr>
          <w:rFonts w:ascii="Gadugi" w:hAnsi="Gadugi"/>
          <w:bCs/>
          <w:color w:val="000000"/>
          <w:sz w:val="22"/>
          <w:szCs w:val="24"/>
        </w:rPr>
      </w:pPr>
      <w:r w:rsidRPr="008361D0">
        <w:rPr>
          <w:rFonts w:ascii="Gadugi" w:hAnsi="Gadugi"/>
          <w:bCs/>
          <w:color w:val="000000"/>
          <w:sz w:val="22"/>
          <w:szCs w:val="24"/>
        </w:rPr>
        <w:t>(…)</w:t>
      </w:r>
    </w:p>
    <w:p w14:paraId="0CECB3CA" w14:textId="77777777" w:rsidR="008B14E8" w:rsidRPr="008361D0" w:rsidRDefault="008B14E8" w:rsidP="008361D0">
      <w:pPr>
        <w:shd w:val="clear" w:color="auto" w:fill="FFFFFF"/>
        <w:tabs>
          <w:tab w:val="left" w:pos="3261"/>
        </w:tabs>
        <w:ind w:left="426" w:right="420" w:firstLine="1984"/>
        <w:jc w:val="both"/>
        <w:rPr>
          <w:rFonts w:ascii="Gadugi" w:hAnsi="Gadugi"/>
          <w:color w:val="000000"/>
          <w:sz w:val="22"/>
          <w:szCs w:val="24"/>
          <w:lang w:eastAsia="es-CO"/>
        </w:rPr>
      </w:pPr>
    </w:p>
    <w:p w14:paraId="6FB9FDFC" w14:textId="77777777" w:rsidR="008B14E8" w:rsidRPr="008361D0" w:rsidRDefault="008B14E8" w:rsidP="008361D0">
      <w:pPr>
        <w:pStyle w:val="Prrafodelista"/>
        <w:numPr>
          <w:ilvl w:val="0"/>
          <w:numId w:val="3"/>
        </w:numPr>
        <w:tabs>
          <w:tab w:val="left" w:pos="284"/>
          <w:tab w:val="left" w:pos="3261"/>
        </w:tabs>
        <w:overflowPunct/>
        <w:autoSpaceDE/>
        <w:autoSpaceDN/>
        <w:adjustRightInd/>
        <w:ind w:left="426" w:right="420" w:firstLine="1984"/>
        <w:jc w:val="both"/>
        <w:textAlignment w:val="auto"/>
        <w:rPr>
          <w:rFonts w:ascii="Gadugi" w:hAnsi="Gadugi"/>
          <w:bCs/>
          <w:color w:val="000000"/>
          <w:sz w:val="22"/>
          <w:szCs w:val="24"/>
        </w:rPr>
      </w:pPr>
      <w:r w:rsidRPr="008361D0">
        <w:rPr>
          <w:rFonts w:ascii="Gadugi" w:hAnsi="Gadugi"/>
          <w:bCs/>
          <w:color w:val="000000"/>
          <w:sz w:val="22"/>
          <w:szCs w:val="24"/>
        </w:rPr>
        <w:t xml:space="preserve">En particular, sobre la legitimación por activa en los casos de tutelas contra providencias judiciales, la </w:t>
      </w:r>
      <w:r w:rsidRPr="008361D0">
        <w:rPr>
          <w:rFonts w:ascii="Gadugi" w:hAnsi="Gadugi"/>
          <w:b/>
          <w:bCs/>
          <w:color w:val="000000"/>
          <w:sz w:val="22"/>
          <w:szCs w:val="24"/>
        </w:rPr>
        <w:t>sentencia T-240 de 2004</w:t>
      </w:r>
      <w:r w:rsidRPr="008361D0">
        <w:rPr>
          <w:rStyle w:val="Refdenotaalpie"/>
          <w:rFonts w:ascii="Gadugi" w:hAnsi="Gadugi"/>
          <w:color w:val="000000"/>
          <w:sz w:val="22"/>
          <w:szCs w:val="24"/>
        </w:rPr>
        <w:footnoteReference w:id="8"/>
      </w:r>
      <w:r w:rsidRPr="008361D0">
        <w:rPr>
          <w:rFonts w:ascii="Gadugi" w:hAnsi="Gadugi"/>
          <w:bCs/>
          <w:color w:val="000000"/>
          <w:sz w:val="22"/>
          <w:szCs w:val="24"/>
        </w:rPr>
        <w:t xml:space="preserve">, indicó que, cuando se demuestra que una autoridad judicial incurre en una vía de hecho, vulnera el derecho fundamental al debido proceso de </w:t>
      </w:r>
      <w:r w:rsidRPr="008361D0">
        <w:rPr>
          <w:rFonts w:ascii="Gadugi" w:hAnsi="Gadugi"/>
          <w:b/>
          <w:bCs/>
          <w:color w:val="000000"/>
          <w:sz w:val="22"/>
          <w:szCs w:val="24"/>
        </w:rPr>
        <w:t>todas las personas que intervienen en dicho procedimiento</w:t>
      </w:r>
      <w:r w:rsidRPr="008361D0">
        <w:rPr>
          <w:rFonts w:ascii="Gadugi" w:hAnsi="Gadugi"/>
          <w:bCs/>
          <w:color w:val="000000"/>
          <w:sz w:val="22"/>
          <w:szCs w:val="24"/>
        </w:rPr>
        <w:t xml:space="preserve">. </w:t>
      </w:r>
    </w:p>
    <w:p w14:paraId="4D518FD4" w14:textId="77777777" w:rsidR="008B14E8" w:rsidRPr="008361D0" w:rsidRDefault="008B14E8" w:rsidP="008361D0">
      <w:pPr>
        <w:tabs>
          <w:tab w:val="left" w:pos="284"/>
          <w:tab w:val="left" w:pos="3261"/>
        </w:tabs>
        <w:ind w:left="426" w:right="420" w:firstLine="1984"/>
        <w:jc w:val="both"/>
        <w:rPr>
          <w:rFonts w:ascii="Gadugi" w:hAnsi="Gadugi"/>
          <w:bCs/>
          <w:color w:val="000000"/>
          <w:sz w:val="22"/>
          <w:szCs w:val="24"/>
        </w:rPr>
      </w:pPr>
    </w:p>
    <w:p w14:paraId="4D07856B" w14:textId="77777777" w:rsidR="008B14E8" w:rsidRPr="008361D0" w:rsidRDefault="008B14E8" w:rsidP="008361D0">
      <w:pPr>
        <w:pStyle w:val="Textodebloque1"/>
        <w:tabs>
          <w:tab w:val="left" w:pos="3261"/>
          <w:tab w:val="left" w:pos="9356"/>
          <w:tab w:val="left" w:pos="9498"/>
        </w:tabs>
        <w:ind w:left="426" w:right="420" w:firstLine="1984"/>
        <w:rPr>
          <w:rFonts w:ascii="Gadugi" w:hAnsi="Gadugi"/>
          <w:color w:val="000000"/>
          <w:sz w:val="22"/>
          <w:szCs w:val="24"/>
        </w:rPr>
      </w:pPr>
      <w:r w:rsidRPr="008361D0">
        <w:rPr>
          <w:rFonts w:ascii="Gadugi" w:hAnsi="Gadugi"/>
          <w:color w:val="000000"/>
          <w:sz w:val="22"/>
          <w:szCs w:val="24"/>
        </w:rPr>
        <w:t xml:space="preserve">Igualmente, en la </w:t>
      </w:r>
      <w:r w:rsidRPr="008361D0">
        <w:rPr>
          <w:rFonts w:ascii="Gadugi" w:hAnsi="Gadugi"/>
          <w:b/>
          <w:color w:val="000000"/>
          <w:sz w:val="22"/>
          <w:szCs w:val="24"/>
        </w:rPr>
        <w:t>sentencia T-019 de 2013</w:t>
      </w:r>
      <w:r w:rsidRPr="008361D0">
        <w:rPr>
          <w:rStyle w:val="Refdenotaalpie"/>
          <w:rFonts w:ascii="Gadugi" w:hAnsi="Gadugi"/>
          <w:color w:val="000000"/>
          <w:sz w:val="22"/>
          <w:szCs w:val="24"/>
        </w:rPr>
        <w:footnoteReference w:id="9"/>
      </w:r>
      <w:r w:rsidRPr="008361D0">
        <w:rPr>
          <w:rFonts w:ascii="Gadugi" w:hAnsi="Gadugi"/>
          <w:bCs/>
          <w:color w:val="000000"/>
          <w:sz w:val="22"/>
          <w:szCs w:val="24"/>
        </w:rPr>
        <w:t>,</w:t>
      </w:r>
      <w:r w:rsidRPr="008361D0">
        <w:rPr>
          <w:rFonts w:ascii="Gadugi" w:hAnsi="Gadugi"/>
          <w:color w:val="000000"/>
          <w:sz w:val="22"/>
          <w:szCs w:val="24"/>
        </w:rPr>
        <w:t xml:space="preserve"> la Corte estableció que la legitimación por activa en tutela contra providencias judiciales, se acredita cuando se </w:t>
      </w:r>
      <w:r w:rsidRPr="008361D0">
        <w:rPr>
          <w:rFonts w:ascii="Gadugi" w:hAnsi="Gadugi"/>
          <w:b/>
          <w:color w:val="000000"/>
          <w:sz w:val="22"/>
          <w:szCs w:val="24"/>
        </w:rPr>
        <w:t xml:space="preserve">demuestra un interés en el resultado del fallo </w:t>
      </w:r>
      <w:r w:rsidRPr="008361D0">
        <w:rPr>
          <w:rFonts w:ascii="Gadugi" w:hAnsi="Gadugi"/>
          <w:color w:val="000000"/>
          <w:sz w:val="22"/>
          <w:szCs w:val="24"/>
        </w:rPr>
        <w:t xml:space="preserve">que se revisa en sede constitucional. </w:t>
      </w:r>
    </w:p>
    <w:p w14:paraId="349625B3" w14:textId="77777777" w:rsidR="008B14E8" w:rsidRPr="000C2E3B" w:rsidRDefault="008B14E8" w:rsidP="000C2E3B">
      <w:pPr>
        <w:tabs>
          <w:tab w:val="left" w:pos="-720"/>
        </w:tabs>
        <w:suppressAutoHyphens/>
        <w:spacing w:line="276" w:lineRule="auto"/>
        <w:jc w:val="both"/>
        <w:rPr>
          <w:rFonts w:ascii="Gadugi" w:hAnsi="Gadugi"/>
          <w:sz w:val="24"/>
          <w:szCs w:val="24"/>
        </w:rPr>
      </w:pPr>
    </w:p>
    <w:p w14:paraId="7F3116F8" w14:textId="60A6CB0C" w:rsidR="008B14E8" w:rsidRPr="000C2E3B" w:rsidRDefault="008B14E8" w:rsidP="000C2E3B">
      <w:pPr>
        <w:tabs>
          <w:tab w:val="left" w:pos="-720"/>
        </w:tabs>
        <w:suppressAutoHyphens/>
        <w:spacing w:line="276" w:lineRule="auto"/>
        <w:jc w:val="both"/>
        <w:rPr>
          <w:rFonts w:ascii="Gadugi" w:hAnsi="Gadugi"/>
          <w:sz w:val="24"/>
          <w:szCs w:val="24"/>
        </w:rPr>
      </w:pPr>
      <w:r w:rsidRPr="000C2E3B">
        <w:rPr>
          <w:rFonts w:ascii="Gadugi" w:hAnsi="Gadugi"/>
          <w:sz w:val="24"/>
          <w:szCs w:val="24"/>
          <w:lang w:val="es-419"/>
        </w:rPr>
        <w:t xml:space="preserve">  </w:t>
      </w:r>
      <w:r w:rsidRPr="000C2E3B">
        <w:rPr>
          <w:rFonts w:ascii="Gadugi" w:hAnsi="Gadugi"/>
          <w:sz w:val="24"/>
          <w:szCs w:val="24"/>
          <w:lang w:val="es-419"/>
        </w:rPr>
        <w:tab/>
      </w:r>
      <w:r w:rsidRPr="000C2E3B">
        <w:rPr>
          <w:rFonts w:ascii="Gadugi" w:hAnsi="Gadugi"/>
          <w:sz w:val="24"/>
          <w:szCs w:val="24"/>
          <w:lang w:val="es-419"/>
        </w:rPr>
        <w:tab/>
      </w:r>
      <w:r w:rsidRPr="000C2E3B">
        <w:rPr>
          <w:rFonts w:ascii="Gadugi" w:hAnsi="Gadugi"/>
          <w:sz w:val="24"/>
          <w:szCs w:val="24"/>
          <w:lang w:val="es-419"/>
        </w:rPr>
        <w:tab/>
      </w:r>
      <w:r w:rsidRPr="000C2E3B">
        <w:rPr>
          <w:rFonts w:ascii="Gadugi" w:hAnsi="Gadugi"/>
          <w:sz w:val="24"/>
          <w:szCs w:val="24"/>
          <w:lang w:val="es-419"/>
        </w:rPr>
        <w:tab/>
      </w:r>
      <w:r w:rsidRPr="000C2E3B">
        <w:rPr>
          <w:rFonts w:ascii="Gadugi" w:hAnsi="Gadugi"/>
          <w:sz w:val="24"/>
          <w:szCs w:val="24"/>
        </w:rPr>
        <w:t>Y con igual perspectiva, la Corte Suprema de Justicia, ha expresado</w:t>
      </w:r>
      <w:r w:rsidRPr="000C2E3B">
        <w:rPr>
          <w:rStyle w:val="Refdenotaalpie"/>
          <w:rFonts w:ascii="Gadugi" w:hAnsi="Gadugi"/>
          <w:bCs/>
          <w:sz w:val="24"/>
          <w:szCs w:val="24"/>
          <w:lang w:val="es-CO"/>
        </w:rPr>
        <w:footnoteReference w:id="10"/>
      </w:r>
      <w:r w:rsidRPr="000C2E3B">
        <w:rPr>
          <w:rFonts w:ascii="Gadugi" w:hAnsi="Gadugi"/>
          <w:sz w:val="24"/>
          <w:szCs w:val="24"/>
        </w:rPr>
        <w:t>:</w:t>
      </w:r>
    </w:p>
    <w:p w14:paraId="194B2B39" w14:textId="77777777" w:rsidR="008B14E8" w:rsidRPr="000C2E3B" w:rsidRDefault="008B14E8" w:rsidP="000C2E3B">
      <w:pPr>
        <w:tabs>
          <w:tab w:val="left" w:pos="-720"/>
        </w:tabs>
        <w:suppressAutoHyphens/>
        <w:spacing w:line="276" w:lineRule="auto"/>
        <w:ind w:left="900" w:right="703" w:firstLine="1935"/>
        <w:jc w:val="both"/>
        <w:rPr>
          <w:rFonts w:ascii="Gadugi" w:hAnsi="Gadugi"/>
          <w:bCs/>
          <w:sz w:val="24"/>
          <w:szCs w:val="24"/>
        </w:rPr>
      </w:pPr>
    </w:p>
    <w:p w14:paraId="5EE6C988" w14:textId="3DD41C32" w:rsidR="008B14E8" w:rsidRPr="008361D0" w:rsidRDefault="003270D2" w:rsidP="008361D0">
      <w:pPr>
        <w:pStyle w:val="Sinespaciado6"/>
        <w:ind w:left="426" w:right="420" w:firstLine="2268"/>
        <w:jc w:val="both"/>
        <w:rPr>
          <w:rFonts w:ascii="Gadugi" w:hAnsi="Gadugi"/>
          <w:bCs/>
          <w:sz w:val="22"/>
        </w:rPr>
      </w:pPr>
      <w:r w:rsidRPr="008361D0">
        <w:rPr>
          <w:rFonts w:ascii="Gadugi" w:hAnsi="Gadugi"/>
          <w:bCs/>
          <w:sz w:val="22"/>
        </w:rPr>
        <w:t xml:space="preserve">Sobre lo expuesto, esta Sala, reiteradamente ha señalado que, </w:t>
      </w:r>
      <w:r w:rsidRPr="008361D0">
        <w:rPr>
          <w:rFonts w:ascii="Gadugi" w:hAnsi="Gadugi"/>
          <w:bCs/>
          <w:i/>
          <w:sz w:val="22"/>
        </w:rPr>
        <w:t xml:space="preserve">«cualquier actuación, sin importar el sentido y alcance de la misma, derivada de aquellas diligencias judiciales, cuando se someta a examen en el escenario de la tutela, por considerar que se vulneró algún derecho fundamental, </w:t>
      </w:r>
      <w:r w:rsidRPr="008361D0">
        <w:rPr>
          <w:rFonts w:ascii="Gadugi" w:hAnsi="Gadugi"/>
          <w:b/>
          <w:bCs/>
          <w:i/>
          <w:sz w:val="22"/>
        </w:rPr>
        <w:t>debe ser impetrada por quienes allí intervinieron como terceros reconocidos o participaron en calidad de parte; contrario sensu, carece de atribución para adelantar por este medio la defensa de los derechos esenciales de cara a determinada actuación judicial, quien allí no tuvo la calidad de sujeto procesal</w:t>
      </w:r>
      <w:r w:rsidRPr="008361D0">
        <w:rPr>
          <w:rFonts w:ascii="Gadugi" w:hAnsi="Gadugi"/>
          <w:bCs/>
          <w:i/>
          <w:sz w:val="22"/>
        </w:rPr>
        <w:t>»</w:t>
      </w:r>
      <w:r w:rsidRPr="008361D0">
        <w:rPr>
          <w:rFonts w:ascii="Gadugi" w:hAnsi="Gadugi"/>
          <w:bCs/>
          <w:sz w:val="22"/>
        </w:rPr>
        <w:t xml:space="preserve"> (CSJ. STC926-2018 y STC10191-2018, reiterada en STC318-2019).</w:t>
      </w:r>
      <w:r w:rsidR="001F1686" w:rsidRPr="008361D0">
        <w:rPr>
          <w:rFonts w:ascii="Gadugi" w:hAnsi="Gadugi"/>
          <w:bCs/>
          <w:sz w:val="22"/>
        </w:rPr>
        <w:t xml:space="preserve"> (Destaca la Sala)</w:t>
      </w:r>
    </w:p>
    <w:p w14:paraId="0D4A8A13" w14:textId="77777777" w:rsidR="000C2E3B" w:rsidRPr="000C2E3B" w:rsidRDefault="000C2E3B" w:rsidP="000C2E3B">
      <w:pPr>
        <w:pStyle w:val="Sinespaciado6"/>
        <w:spacing w:line="276" w:lineRule="auto"/>
        <w:ind w:left="567" w:right="902" w:firstLine="2268"/>
        <w:jc w:val="both"/>
        <w:rPr>
          <w:rFonts w:ascii="Gadugi" w:hAnsi="Gadugi"/>
          <w:bCs/>
        </w:rPr>
      </w:pPr>
    </w:p>
    <w:p w14:paraId="6FB3F9BA" w14:textId="77777777" w:rsidR="00413F62" w:rsidRPr="000C2E3B" w:rsidRDefault="008B14E8" w:rsidP="000C2E3B">
      <w:pPr>
        <w:spacing w:line="276" w:lineRule="auto"/>
        <w:ind w:firstLine="2835"/>
        <w:jc w:val="both"/>
        <w:rPr>
          <w:rFonts w:ascii="Gadugi" w:hAnsi="Gadugi" w:cs="Century Gothic"/>
          <w:sz w:val="24"/>
          <w:szCs w:val="24"/>
        </w:rPr>
      </w:pPr>
      <w:r w:rsidRPr="000C2E3B">
        <w:rPr>
          <w:rFonts w:ascii="Gadugi" w:hAnsi="Gadugi"/>
          <w:sz w:val="24"/>
          <w:szCs w:val="24"/>
        </w:rPr>
        <w:t xml:space="preserve">Según lo que acaba de repasarse, refulge la improcedencia de la demanda, dado que la accionante no es parte en el proceso que conoció el Tribunal </w:t>
      </w:r>
      <w:r w:rsidR="00AE385E" w:rsidRPr="000C2E3B">
        <w:rPr>
          <w:rFonts w:ascii="Gadugi" w:hAnsi="Gadugi"/>
          <w:sz w:val="24"/>
          <w:szCs w:val="24"/>
        </w:rPr>
        <w:t>Arbitral</w:t>
      </w:r>
      <w:r w:rsidRPr="000C2E3B">
        <w:rPr>
          <w:rFonts w:ascii="Gadugi" w:hAnsi="Gadugi"/>
          <w:sz w:val="24"/>
          <w:szCs w:val="24"/>
        </w:rPr>
        <w:t xml:space="preserve"> encausado, </w:t>
      </w:r>
      <w:r w:rsidR="00600D03" w:rsidRPr="000C2E3B">
        <w:rPr>
          <w:rFonts w:ascii="Gadugi" w:hAnsi="Gadugi"/>
          <w:sz w:val="24"/>
          <w:szCs w:val="24"/>
        </w:rPr>
        <w:t xml:space="preserve">en el que solo aparecen </w:t>
      </w:r>
      <w:r w:rsidR="00600D03" w:rsidRPr="000C2E3B">
        <w:rPr>
          <w:rFonts w:ascii="Gadugi" w:hAnsi="Gadugi" w:cs="Century Gothic"/>
          <w:sz w:val="24"/>
          <w:szCs w:val="24"/>
        </w:rPr>
        <w:t>María Consuelo Ríos Rendón como demandante y Juan Carlos Marulanda Loaiza</w:t>
      </w:r>
      <w:r w:rsidR="001F1686" w:rsidRPr="000C2E3B">
        <w:rPr>
          <w:rStyle w:val="Refdenotaalpie"/>
          <w:rFonts w:ascii="Gadugi" w:hAnsi="Gadugi"/>
          <w:sz w:val="24"/>
          <w:szCs w:val="24"/>
        </w:rPr>
        <w:footnoteReference w:id="11"/>
      </w:r>
      <w:r w:rsidR="00600D03" w:rsidRPr="000C2E3B">
        <w:rPr>
          <w:rFonts w:ascii="Gadugi" w:hAnsi="Gadugi" w:cs="Century Gothic"/>
          <w:sz w:val="24"/>
          <w:szCs w:val="24"/>
        </w:rPr>
        <w:t>, como demandado</w:t>
      </w:r>
      <w:r w:rsidR="00413F62" w:rsidRPr="000C2E3B">
        <w:rPr>
          <w:rFonts w:ascii="Gadugi" w:hAnsi="Gadugi" w:cs="Century Gothic"/>
          <w:sz w:val="24"/>
          <w:szCs w:val="24"/>
        </w:rPr>
        <w:t xml:space="preserve">. </w:t>
      </w:r>
    </w:p>
    <w:p w14:paraId="624CD82D" w14:textId="77777777" w:rsidR="00413F62" w:rsidRPr="000C2E3B" w:rsidRDefault="00413F62" w:rsidP="000C2E3B">
      <w:pPr>
        <w:spacing w:line="276" w:lineRule="auto"/>
        <w:ind w:firstLine="2835"/>
        <w:jc w:val="both"/>
        <w:rPr>
          <w:rFonts w:ascii="Gadugi" w:hAnsi="Gadugi" w:cs="Century Gothic"/>
          <w:sz w:val="24"/>
          <w:szCs w:val="24"/>
        </w:rPr>
      </w:pPr>
    </w:p>
    <w:p w14:paraId="6FC64193" w14:textId="790ADB2C" w:rsidR="008B14E8" w:rsidRPr="000C2E3B" w:rsidRDefault="00413F62" w:rsidP="000C2E3B">
      <w:pPr>
        <w:spacing w:line="276" w:lineRule="auto"/>
        <w:ind w:firstLine="2835"/>
        <w:jc w:val="both"/>
        <w:rPr>
          <w:rFonts w:ascii="Gadugi" w:hAnsi="Gadugi"/>
          <w:sz w:val="24"/>
          <w:szCs w:val="24"/>
        </w:rPr>
      </w:pPr>
      <w:r w:rsidRPr="000C2E3B">
        <w:rPr>
          <w:rFonts w:ascii="Gadugi" w:hAnsi="Gadugi" w:cs="Century Gothic"/>
          <w:sz w:val="24"/>
          <w:szCs w:val="24"/>
        </w:rPr>
        <w:t xml:space="preserve">Y más que </w:t>
      </w:r>
      <w:r w:rsidR="008B14E8" w:rsidRPr="000C2E3B">
        <w:rPr>
          <w:rFonts w:ascii="Gadugi" w:hAnsi="Gadugi"/>
          <w:sz w:val="24"/>
          <w:szCs w:val="24"/>
        </w:rPr>
        <w:t xml:space="preserve">eso, </w:t>
      </w:r>
      <w:r w:rsidRPr="000C2E3B">
        <w:rPr>
          <w:rFonts w:ascii="Gadugi" w:hAnsi="Gadugi"/>
          <w:sz w:val="24"/>
          <w:szCs w:val="24"/>
        </w:rPr>
        <w:t xml:space="preserve">es claro que </w:t>
      </w:r>
      <w:r w:rsidR="00600D03" w:rsidRPr="000C2E3B">
        <w:rPr>
          <w:rFonts w:ascii="Gadugi" w:hAnsi="Gadugi"/>
          <w:sz w:val="24"/>
          <w:szCs w:val="24"/>
        </w:rPr>
        <w:t xml:space="preserve">la accionante </w:t>
      </w:r>
      <w:r w:rsidR="008B14E8" w:rsidRPr="000C2E3B">
        <w:rPr>
          <w:rFonts w:ascii="Gadugi" w:hAnsi="Gadugi"/>
          <w:sz w:val="24"/>
          <w:szCs w:val="24"/>
        </w:rPr>
        <w:t xml:space="preserve">ni siquiera ha solicitado </w:t>
      </w:r>
      <w:r w:rsidR="003270D2" w:rsidRPr="000C2E3B">
        <w:rPr>
          <w:rFonts w:ascii="Gadugi" w:hAnsi="Gadugi"/>
          <w:sz w:val="24"/>
          <w:szCs w:val="24"/>
        </w:rPr>
        <w:t>ser reconocida como</w:t>
      </w:r>
      <w:r w:rsidR="008B14E8" w:rsidRPr="000C2E3B">
        <w:rPr>
          <w:rFonts w:ascii="Gadugi" w:hAnsi="Gadugi"/>
          <w:sz w:val="24"/>
          <w:szCs w:val="24"/>
        </w:rPr>
        <w:t xml:space="preserve"> parte en ese </w:t>
      </w:r>
      <w:r w:rsidRPr="000C2E3B">
        <w:rPr>
          <w:rFonts w:ascii="Gadugi" w:hAnsi="Gadugi"/>
          <w:sz w:val="24"/>
          <w:szCs w:val="24"/>
        </w:rPr>
        <w:t>asunto</w:t>
      </w:r>
      <w:r w:rsidR="008B14E8" w:rsidRPr="000C2E3B">
        <w:rPr>
          <w:rFonts w:ascii="Gadugi" w:hAnsi="Gadugi"/>
          <w:sz w:val="24"/>
          <w:szCs w:val="24"/>
        </w:rPr>
        <w:t xml:space="preserve">, con lo cual </w:t>
      </w:r>
      <w:r w:rsidR="004819D1" w:rsidRPr="000C2E3B">
        <w:rPr>
          <w:rFonts w:ascii="Gadugi" w:hAnsi="Gadugi"/>
          <w:sz w:val="24"/>
          <w:szCs w:val="24"/>
        </w:rPr>
        <w:t xml:space="preserve">es impertinente predicar la vulneración de sus derechos en </w:t>
      </w:r>
      <w:r w:rsidRPr="000C2E3B">
        <w:rPr>
          <w:rFonts w:ascii="Gadugi" w:hAnsi="Gadugi"/>
          <w:sz w:val="24"/>
          <w:szCs w:val="24"/>
        </w:rPr>
        <w:t>dicho</w:t>
      </w:r>
      <w:r w:rsidR="004819D1" w:rsidRPr="000C2E3B">
        <w:rPr>
          <w:rFonts w:ascii="Gadugi" w:hAnsi="Gadugi"/>
          <w:sz w:val="24"/>
          <w:szCs w:val="24"/>
        </w:rPr>
        <w:t xml:space="preserve"> </w:t>
      </w:r>
      <w:r w:rsidR="00600D03" w:rsidRPr="000C2E3B">
        <w:rPr>
          <w:rFonts w:ascii="Gadugi" w:hAnsi="Gadugi"/>
          <w:sz w:val="24"/>
          <w:szCs w:val="24"/>
        </w:rPr>
        <w:t>trámite</w:t>
      </w:r>
      <w:r w:rsidR="004819D1" w:rsidRPr="000C2E3B">
        <w:rPr>
          <w:rFonts w:ascii="Gadugi" w:hAnsi="Gadugi"/>
          <w:sz w:val="24"/>
          <w:szCs w:val="24"/>
        </w:rPr>
        <w:t>.</w:t>
      </w:r>
    </w:p>
    <w:p w14:paraId="782530C1" w14:textId="45CC4982" w:rsidR="004819D1" w:rsidRPr="000C2E3B" w:rsidRDefault="004819D1" w:rsidP="000C2E3B">
      <w:pPr>
        <w:pStyle w:val="Sinespaciado6"/>
        <w:spacing w:line="276" w:lineRule="auto"/>
        <w:ind w:right="51" w:firstLine="2835"/>
        <w:jc w:val="both"/>
        <w:rPr>
          <w:rFonts w:ascii="Gadugi" w:hAnsi="Gadugi"/>
        </w:rPr>
      </w:pPr>
    </w:p>
    <w:p w14:paraId="492CE18F" w14:textId="78BF2BD2" w:rsidR="004819D1" w:rsidRPr="000C2E3B" w:rsidRDefault="004819D1" w:rsidP="000C2E3B">
      <w:pPr>
        <w:pStyle w:val="Sinespaciado6"/>
        <w:spacing w:line="276" w:lineRule="auto"/>
        <w:ind w:right="51" w:firstLine="2835"/>
        <w:jc w:val="both"/>
        <w:rPr>
          <w:rFonts w:ascii="Gadugi" w:hAnsi="Gadugi"/>
        </w:rPr>
      </w:pPr>
      <w:r w:rsidRPr="000C2E3B">
        <w:rPr>
          <w:rFonts w:ascii="Gadugi" w:hAnsi="Gadugi"/>
        </w:rPr>
        <w:t>Ahora bien, si en gracia de discusión se aceptara que con lo decidido en el laudo se están afectando sus derechos y eso es suficiente para concluir que está legitimada para invocar la protección constitucional, rápido tendría que decirse que su demanda se queda en el umbral de la subsidiariedad porque</w:t>
      </w:r>
      <w:r w:rsidR="007B42E9" w:rsidRPr="000C2E3B">
        <w:rPr>
          <w:rFonts w:ascii="Gadugi" w:hAnsi="Gadugi"/>
        </w:rPr>
        <w:t xml:space="preserve">, por una parte, la </w:t>
      </w:r>
      <w:r w:rsidR="00AE385E" w:rsidRPr="000C2E3B">
        <w:rPr>
          <w:rFonts w:ascii="Gadugi" w:hAnsi="Gadugi"/>
        </w:rPr>
        <w:t>señora Correa García</w:t>
      </w:r>
      <w:r w:rsidR="007B42E9" w:rsidRPr="000C2E3B">
        <w:rPr>
          <w:rFonts w:ascii="Gadugi" w:hAnsi="Gadugi"/>
        </w:rPr>
        <w:t xml:space="preserve"> nada le ha pedido al Tribunal de Arbitramento</w:t>
      </w:r>
      <w:r w:rsidR="001F1686" w:rsidRPr="000C2E3B">
        <w:rPr>
          <w:rFonts w:ascii="Gadugi" w:hAnsi="Gadugi"/>
        </w:rPr>
        <w:t>, con lo cual es imposible endilgarle alguna omisión a esa autoridad</w:t>
      </w:r>
      <w:r w:rsidR="007B42E9" w:rsidRPr="000C2E3B">
        <w:rPr>
          <w:rFonts w:ascii="Gadugi" w:hAnsi="Gadugi"/>
        </w:rPr>
        <w:t xml:space="preserve">, y por otra parte, en todo caso </w:t>
      </w:r>
      <w:r w:rsidR="00600D03" w:rsidRPr="000C2E3B">
        <w:rPr>
          <w:rFonts w:ascii="Gadugi" w:hAnsi="Gadugi"/>
        </w:rPr>
        <w:t xml:space="preserve">cuenta con </w:t>
      </w:r>
      <w:r w:rsidR="00925F27" w:rsidRPr="000C2E3B">
        <w:rPr>
          <w:rFonts w:ascii="Gadugi" w:hAnsi="Gadugi"/>
        </w:rPr>
        <w:t>m</w:t>
      </w:r>
      <w:r w:rsidR="00600D03" w:rsidRPr="000C2E3B">
        <w:rPr>
          <w:rFonts w:ascii="Gadugi" w:hAnsi="Gadugi"/>
        </w:rPr>
        <w:t>edio</w:t>
      </w:r>
      <w:r w:rsidR="00925F27" w:rsidRPr="000C2E3B">
        <w:rPr>
          <w:rFonts w:ascii="Gadugi" w:hAnsi="Gadugi"/>
        </w:rPr>
        <w:t>s</w:t>
      </w:r>
      <w:r w:rsidR="00600D03" w:rsidRPr="000C2E3B">
        <w:rPr>
          <w:rFonts w:ascii="Gadugi" w:hAnsi="Gadugi"/>
        </w:rPr>
        <w:t xml:space="preserve"> judicial</w:t>
      </w:r>
      <w:r w:rsidR="00925F27" w:rsidRPr="000C2E3B">
        <w:rPr>
          <w:rFonts w:ascii="Gadugi" w:hAnsi="Gadugi"/>
        </w:rPr>
        <w:t>es</w:t>
      </w:r>
      <w:r w:rsidR="00600D03" w:rsidRPr="000C2E3B">
        <w:rPr>
          <w:rFonts w:ascii="Gadugi" w:hAnsi="Gadugi"/>
        </w:rPr>
        <w:t xml:space="preserve"> idóneo</w:t>
      </w:r>
      <w:r w:rsidR="00A11BAF" w:rsidRPr="000C2E3B">
        <w:rPr>
          <w:rFonts w:ascii="Gadugi" w:hAnsi="Gadugi"/>
        </w:rPr>
        <w:t>s</w:t>
      </w:r>
      <w:r w:rsidR="00600D03" w:rsidRPr="000C2E3B">
        <w:rPr>
          <w:rFonts w:ascii="Gadugi" w:hAnsi="Gadugi"/>
        </w:rPr>
        <w:t xml:space="preserve"> para propiciar el quiebre </w:t>
      </w:r>
      <w:r w:rsidR="00A11BAF" w:rsidRPr="000C2E3B">
        <w:rPr>
          <w:rFonts w:ascii="Gadugi" w:hAnsi="Gadugi"/>
        </w:rPr>
        <w:t xml:space="preserve">de la decisión de la que </w:t>
      </w:r>
      <w:r w:rsidR="00600D03" w:rsidRPr="000C2E3B">
        <w:rPr>
          <w:rFonts w:ascii="Gadugi" w:hAnsi="Gadugi"/>
        </w:rPr>
        <w:t xml:space="preserve">se duele, esto </w:t>
      </w:r>
      <w:r w:rsidR="00413F62" w:rsidRPr="000C2E3B">
        <w:rPr>
          <w:rFonts w:ascii="Gadugi" w:hAnsi="Gadugi"/>
        </w:rPr>
        <w:t>es</w:t>
      </w:r>
      <w:r w:rsidR="00A11BAF" w:rsidRPr="000C2E3B">
        <w:rPr>
          <w:rFonts w:ascii="Gadugi" w:hAnsi="Gadugi"/>
        </w:rPr>
        <w:t>, los recursos de anulación y revisión contra el laudo arbitral (Arts. 40 y 45, Ley 1563 de 2012).</w:t>
      </w:r>
    </w:p>
    <w:p w14:paraId="276C55BC" w14:textId="0221CCB1" w:rsidR="00A11BAF" w:rsidRPr="000C2E3B" w:rsidRDefault="00A11BAF" w:rsidP="000C2E3B">
      <w:pPr>
        <w:pStyle w:val="Sinespaciado6"/>
        <w:spacing w:line="276" w:lineRule="auto"/>
        <w:ind w:right="51" w:firstLine="2835"/>
        <w:jc w:val="both"/>
        <w:rPr>
          <w:rFonts w:ascii="Gadugi" w:hAnsi="Gadugi"/>
        </w:rPr>
      </w:pPr>
    </w:p>
    <w:p w14:paraId="65B64909" w14:textId="3C021496" w:rsidR="00A11BAF" w:rsidRPr="000C2E3B" w:rsidRDefault="00413F62" w:rsidP="000C2E3B">
      <w:pPr>
        <w:pStyle w:val="Sinespaciado6"/>
        <w:spacing w:line="276" w:lineRule="auto"/>
        <w:ind w:right="51" w:firstLine="2835"/>
        <w:jc w:val="both"/>
        <w:rPr>
          <w:rFonts w:ascii="Gadugi" w:hAnsi="Gadugi"/>
        </w:rPr>
      </w:pPr>
      <w:r w:rsidRPr="000C2E3B">
        <w:rPr>
          <w:rFonts w:ascii="Gadugi" w:hAnsi="Gadugi"/>
        </w:rPr>
        <w:t xml:space="preserve">Es </w:t>
      </w:r>
      <w:r w:rsidR="00A11BAF" w:rsidRPr="000C2E3B">
        <w:rPr>
          <w:rFonts w:ascii="Gadugi" w:hAnsi="Gadugi"/>
        </w:rPr>
        <w:t xml:space="preserve">pertinente recordar que la jurisprudencia enseña que </w:t>
      </w:r>
      <w:r w:rsidR="00A11BAF" w:rsidRPr="000C2E3B">
        <w:rPr>
          <w:rFonts w:ascii="Gadugi" w:hAnsi="Gadugi"/>
          <w:i/>
        </w:rPr>
        <w:t>“</w:t>
      </w:r>
      <w:r w:rsidR="00A11BAF" w:rsidRPr="00D615F0">
        <w:rPr>
          <w:rFonts w:ascii="Gadugi" w:hAnsi="Gadugi"/>
          <w:i/>
          <w:sz w:val="22"/>
        </w:rPr>
        <w:t>(…) el carácter subsidiario de la acción de tutela se manifiesta con especial claridad en estos casos</w:t>
      </w:r>
      <w:r w:rsidR="00A11BAF" w:rsidRPr="00D615F0">
        <w:rPr>
          <w:rFonts w:ascii="Gadugi" w:hAnsi="Gadugi"/>
          <w:b/>
          <w:i/>
          <w:sz w:val="22"/>
        </w:rPr>
        <w:t>, ya que sólo procede cuando se ha hecho uso de los recursos provistos por el ordenamiento jurídico para controlar los laudos</w:t>
      </w:r>
      <w:r w:rsidR="00A11BAF" w:rsidRPr="00D615F0">
        <w:rPr>
          <w:rFonts w:ascii="Gadugi" w:hAnsi="Gadugi"/>
          <w:i/>
          <w:sz w:val="22"/>
        </w:rPr>
        <w:t>, y a pesar de ello persiste la vía de mediante la cual se configura la vulneración de un derecho fundamental. (…)</w:t>
      </w:r>
      <w:r w:rsidR="00A11BAF" w:rsidRPr="000C2E3B">
        <w:rPr>
          <w:rFonts w:ascii="Gadugi" w:hAnsi="Gadugi"/>
          <w:i/>
        </w:rPr>
        <w:t>”</w:t>
      </w:r>
      <w:r w:rsidR="00D615F0">
        <w:rPr>
          <w:rFonts w:ascii="Gadugi" w:hAnsi="Gadugi"/>
          <w:i/>
        </w:rPr>
        <w:t xml:space="preserve"> </w:t>
      </w:r>
      <w:r w:rsidR="00A11BAF" w:rsidRPr="000C2E3B">
        <w:rPr>
          <w:rStyle w:val="Refdenotaalpie"/>
          <w:rFonts w:ascii="Gadugi" w:hAnsi="Gadugi"/>
          <w:iCs/>
        </w:rPr>
        <w:footnoteReference w:id="12"/>
      </w:r>
      <w:r w:rsidR="00A11BAF" w:rsidRPr="000C2E3B">
        <w:rPr>
          <w:rFonts w:ascii="Gadugi" w:hAnsi="Gadugi"/>
        </w:rPr>
        <w:t xml:space="preserve"> </w:t>
      </w:r>
    </w:p>
    <w:p w14:paraId="412F90EF" w14:textId="017C5C9D" w:rsidR="004819D1" w:rsidRPr="000C2E3B" w:rsidRDefault="004819D1" w:rsidP="000C2E3B">
      <w:pPr>
        <w:pStyle w:val="Sinespaciado6"/>
        <w:spacing w:line="276" w:lineRule="auto"/>
        <w:ind w:right="51"/>
        <w:jc w:val="both"/>
        <w:rPr>
          <w:rFonts w:ascii="Gadugi" w:hAnsi="Gadugi"/>
        </w:rPr>
      </w:pPr>
    </w:p>
    <w:p w14:paraId="1AF9A46A" w14:textId="7C4E112E" w:rsidR="00724914" w:rsidRPr="000C2E3B" w:rsidRDefault="00724914" w:rsidP="000C2E3B">
      <w:pPr>
        <w:pStyle w:val="Sinespaciado6"/>
        <w:spacing w:line="276" w:lineRule="auto"/>
        <w:ind w:right="51"/>
        <w:jc w:val="both"/>
        <w:rPr>
          <w:rFonts w:ascii="Gadugi" w:hAnsi="Gadugi"/>
        </w:rPr>
      </w:pPr>
      <w:r w:rsidRPr="000C2E3B">
        <w:rPr>
          <w:rFonts w:ascii="Gadugi" w:hAnsi="Gadugi"/>
        </w:rPr>
        <w:tab/>
      </w:r>
      <w:r w:rsidRPr="000C2E3B">
        <w:rPr>
          <w:rFonts w:ascii="Gadugi" w:hAnsi="Gadugi"/>
        </w:rPr>
        <w:tab/>
      </w:r>
      <w:r w:rsidRPr="000C2E3B">
        <w:rPr>
          <w:rFonts w:ascii="Gadugi" w:hAnsi="Gadugi"/>
        </w:rPr>
        <w:tab/>
      </w:r>
      <w:r w:rsidRPr="000C2E3B">
        <w:rPr>
          <w:rFonts w:ascii="Gadugi" w:hAnsi="Gadugi"/>
        </w:rPr>
        <w:tab/>
        <w:t xml:space="preserve">Y comoquiera que aquí la accionante alega una indebida integración del contradictorio, </w:t>
      </w:r>
      <w:r w:rsidR="00F266A0" w:rsidRPr="000C2E3B">
        <w:rPr>
          <w:rFonts w:ascii="Gadugi" w:hAnsi="Gadugi"/>
        </w:rPr>
        <w:t xml:space="preserve">se debe memorar también </w:t>
      </w:r>
      <w:r w:rsidRPr="000C2E3B">
        <w:rPr>
          <w:rFonts w:ascii="Gadugi" w:hAnsi="Gadugi"/>
        </w:rPr>
        <w:t>lo que sobre ese aspecto enseña la Sala de Casación Civil de la Corte Suprema de Justicia, cuando en sede de tutela, examinó la improcedencia del amparo contra un laudo arbitral</w:t>
      </w:r>
      <w:r w:rsidRPr="000C2E3B">
        <w:rPr>
          <w:rStyle w:val="Refdenotaalpie"/>
          <w:rFonts w:ascii="Gadugi" w:hAnsi="Gadugi"/>
        </w:rPr>
        <w:footnoteReference w:id="13"/>
      </w:r>
      <w:r w:rsidRPr="000C2E3B">
        <w:rPr>
          <w:rFonts w:ascii="Gadugi" w:hAnsi="Gadugi"/>
        </w:rPr>
        <w:t>:</w:t>
      </w:r>
    </w:p>
    <w:p w14:paraId="3B067326" w14:textId="77777777" w:rsidR="00724914" w:rsidRPr="000C2E3B" w:rsidRDefault="00724914" w:rsidP="000C2E3B">
      <w:pPr>
        <w:pStyle w:val="Sinespaciado6"/>
        <w:spacing w:line="276" w:lineRule="auto"/>
        <w:ind w:right="51"/>
        <w:jc w:val="both"/>
        <w:rPr>
          <w:rFonts w:ascii="Gadugi" w:hAnsi="Gadugi"/>
        </w:rPr>
      </w:pPr>
    </w:p>
    <w:p w14:paraId="1075E7BE" w14:textId="4E910ED7" w:rsidR="00724914" w:rsidRPr="00D615F0" w:rsidRDefault="00724914" w:rsidP="00D615F0">
      <w:pPr>
        <w:pStyle w:val="Sinespaciado6"/>
        <w:ind w:left="426" w:right="420"/>
        <w:jc w:val="both"/>
        <w:rPr>
          <w:rFonts w:ascii="Gadugi" w:hAnsi="Gadugi"/>
          <w:sz w:val="22"/>
        </w:rPr>
      </w:pPr>
      <w:r w:rsidRPr="000C2E3B">
        <w:rPr>
          <w:rFonts w:ascii="Gadugi" w:hAnsi="Gadugi"/>
        </w:rPr>
        <w:lastRenderedPageBreak/>
        <w:tab/>
      </w:r>
      <w:r w:rsidRPr="000C2E3B">
        <w:rPr>
          <w:rFonts w:ascii="Gadugi" w:hAnsi="Gadugi"/>
        </w:rPr>
        <w:tab/>
      </w:r>
      <w:r w:rsidRPr="000C2E3B">
        <w:rPr>
          <w:rFonts w:ascii="Gadugi" w:hAnsi="Gadugi"/>
        </w:rPr>
        <w:tab/>
      </w:r>
      <w:r w:rsidRPr="000C2E3B">
        <w:rPr>
          <w:rFonts w:ascii="Gadugi" w:hAnsi="Gadugi"/>
        </w:rPr>
        <w:tab/>
      </w:r>
      <w:r w:rsidRPr="00D615F0">
        <w:rPr>
          <w:rFonts w:ascii="Gadugi" w:hAnsi="Gadugi"/>
          <w:sz w:val="22"/>
        </w:rPr>
        <w:t xml:space="preserve">Con todo, el legislador definió que excepcionalmente el laudo es susceptible de control ante los jueces ordinarios, pero sólo dentro del contexto y con el alcance previsto para los recursos extraordinarios de anulación y revisión, cuyas causales taxativas se acotan a errores de procedimiento, de tal manera que la intervención de la autoridad judicial al momento de resolverlos se limita a examinar únicamente si las formas propias del juicio fueron o no respetadas por el tribunal arbitral (arts. 4 y ss. del estatuto arbitral -ley 1563-). </w:t>
      </w:r>
    </w:p>
    <w:p w14:paraId="2DF31BCF" w14:textId="71BE1A55" w:rsidR="00724914" w:rsidRPr="00D615F0" w:rsidRDefault="00724914" w:rsidP="00D615F0">
      <w:pPr>
        <w:pStyle w:val="Sinespaciado6"/>
        <w:ind w:left="426" w:right="420"/>
        <w:jc w:val="both"/>
        <w:rPr>
          <w:rFonts w:ascii="Gadugi" w:hAnsi="Gadugi"/>
          <w:sz w:val="22"/>
          <w:lang w:val="es-ES_tradnl"/>
        </w:rPr>
      </w:pPr>
    </w:p>
    <w:p w14:paraId="250528CA" w14:textId="31E18ABE" w:rsidR="00724914" w:rsidRPr="00D615F0" w:rsidRDefault="00724914" w:rsidP="00D615F0">
      <w:pPr>
        <w:pStyle w:val="Sinespaciado6"/>
        <w:ind w:left="426" w:right="420"/>
        <w:jc w:val="both"/>
        <w:rPr>
          <w:rFonts w:ascii="Gadugi" w:hAnsi="Gadugi"/>
          <w:sz w:val="22"/>
          <w:lang w:val="es-ES_tradnl"/>
        </w:rPr>
      </w:pPr>
      <w:r w:rsidRPr="00D615F0">
        <w:rPr>
          <w:rFonts w:ascii="Gadugi" w:hAnsi="Gadugi"/>
          <w:sz w:val="22"/>
          <w:lang w:val="es-ES_tradnl"/>
        </w:rPr>
        <w:tab/>
      </w:r>
      <w:r w:rsidRPr="00D615F0">
        <w:rPr>
          <w:rFonts w:ascii="Gadugi" w:hAnsi="Gadugi"/>
          <w:sz w:val="22"/>
          <w:lang w:val="es-ES_tradnl"/>
        </w:rPr>
        <w:tab/>
      </w:r>
      <w:r w:rsidRPr="00D615F0">
        <w:rPr>
          <w:rFonts w:ascii="Gadugi" w:hAnsi="Gadugi"/>
          <w:sz w:val="22"/>
          <w:lang w:val="es-ES_tradnl"/>
        </w:rPr>
        <w:tab/>
      </w:r>
      <w:r w:rsidRPr="00D615F0">
        <w:rPr>
          <w:rFonts w:ascii="Gadugi" w:hAnsi="Gadugi"/>
          <w:sz w:val="22"/>
          <w:lang w:val="es-ES_tradnl"/>
        </w:rPr>
        <w:tab/>
        <w:t>(…)</w:t>
      </w:r>
    </w:p>
    <w:p w14:paraId="4807E3E1" w14:textId="77777777" w:rsidR="00724914" w:rsidRPr="00D615F0" w:rsidRDefault="00724914" w:rsidP="00D615F0">
      <w:pPr>
        <w:pStyle w:val="Sinespaciado6"/>
        <w:ind w:left="426" w:right="420"/>
        <w:jc w:val="both"/>
        <w:rPr>
          <w:rFonts w:ascii="Gadugi" w:hAnsi="Gadugi"/>
          <w:sz w:val="22"/>
          <w:lang w:val="es-ES_tradnl"/>
        </w:rPr>
      </w:pPr>
    </w:p>
    <w:p w14:paraId="454DF1C4" w14:textId="4403A885" w:rsidR="00724914" w:rsidRPr="00D615F0" w:rsidRDefault="00724914" w:rsidP="00D615F0">
      <w:pPr>
        <w:pStyle w:val="Sinespaciado6"/>
        <w:ind w:left="426" w:right="420"/>
        <w:jc w:val="both"/>
        <w:rPr>
          <w:rFonts w:ascii="Gadugi" w:hAnsi="Gadugi"/>
          <w:sz w:val="22"/>
          <w:lang w:val="es-ES_tradnl"/>
        </w:rPr>
      </w:pPr>
      <w:r w:rsidRPr="00D615F0">
        <w:rPr>
          <w:rFonts w:ascii="Gadugi" w:hAnsi="Gadugi"/>
          <w:sz w:val="22"/>
          <w:lang w:val="es-ES_tradnl"/>
        </w:rPr>
        <w:tab/>
      </w:r>
      <w:r w:rsidRPr="00D615F0">
        <w:rPr>
          <w:rFonts w:ascii="Gadugi" w:hAnsi="Gadugi"/>
          <w:sz w:val="22"/>
          <w:lang w:val="es-ES_tradnl"/>
        </w:rPr>
        <w:tab/>
      </w:r>
      <w:r w:rsidRPr="00D615F0">
        <w:rPr>
          <w:rFonts w:ascii="Gadugi" w:hAnsi="Gadugi"/>
          <w:sz w:val="22"/>
          <w:lang w:val="es-ES_tradnl"/>
        </w:rPr>
        <w:tab/>
      </w:r>
      <w:r w:rsidRPr="00D615F0">
        <w:rPr>
          <w:rFonts w:ascii="Gadugi" w:hAnsi="Gadugi"/>
          <w:sz w:val="22"/>
          <w:lang w:val="es-ES_tradnl"/>
        </w:rPr>
        <w:tab/>
      </w:r>
      <w:r w:rsidRPr="00D615F0">
        <w:rPr>
          <w:rFonts w:ascii="Gadugi" w:hAnsi="Gadugi"/>
          <w:sz w:val="22"/>
        </w:rPr>
        <w:t xml:space="preserve">5.4. Para finalizar, únicamente resta por analizar el fundamento de la </w:t>
      </w:r>
      <w:r w:rsidRPr="00D615F0">
        <w:rPr>
          <w:rFonts w:ascii="Gadugi" w:hAnsi="Gadugi"/>
          <w:b/>
          <w:sz w:val="22"/>
        </w:rPr>
        <w:t>indebida integración del contradictorio</w:t>
      </w:r>
      <w:r w:rsidRPr="00D615F0">
        <w:rPr>
          <w:rFonts w:ascii="Gadugi" w:hAnsi="Gadugi"/>
          <w:sz w:val="22"/>
        </w:rPr>
        <w:t xml:space="preserve">, el cual fue expuesto por la actora en tutela en su escrito inaugural de forma agregada. </w:t>
      </w:r>
    </w:p>
    <w:p w14:paraId="5A40D16E" w14:textId="34946D72" w:rsidR="00724914" w:rsidRPr="00D615F0" w:rsidRDefault="00724914" w:rsidP="00D615F0">
      <w:pPr>
        <w:ind w:left="426" w:right="420" w:firstLine="708"/>
        <w:jc w:val="both"/>
        <w:rPr>
          <w:rFonts w:ascii="Gadugi" w:hAnsi="Gadugi"/>
          <w:sz w:val="22"/>
          <w:szCs w:val="24"/>
        </w:rPr>
      </w:pPr>
    </w:p>
    <w:p w14:paraId="03AF5204" w14:textId="1C4891DE" w:rsidR="00724914" w:rsidRPr="00D615F0" w:rsidRDefault="00724914" w:rsidP="00D615F0">
      <w:pPr>
        <w:ind w:left="426" w:right="420" w:firstLine="708"/>
        <w:jc w:val="both"/>
        <w:rPr>
          <w:rFonts w:ascii="Gadugi" w:hAnsi="Gadugi" w:cs="Arial"/>
          <w:sz w:val="22"/>
          <w:szCs w:val="24"/>
        </w:rPr>
      </w:pPr>
      <w:r w:rsidRPr="00D615F0">
        <w:rPr>
          <w:rFonts w:ascii="Gadugi" w:hAnsi="Gadugi"/>
          <w:sz w:val="22"/>
          <w:szCs w:val="24"/>
        </w:rPr>
        <w:tab/>
      </w:r>
      <w:r w:rsidRPr="00D615F0">
        <w:rPr>
          <w:rFonts w:ascii="Gadugi" w:hAnsi="Gadugi"/>
          <w:sz w:val="22"/>
          <w:szCs w:val="24"/>
        </w:rPr>
        <w:tab/>
      </w:r>
      <w:r w:rsidRPr="00D615F0">
        <w:rPr>
          <w:rFonts w:ascii="Gadugi" w:hAnsi="Gadugi"/>
          <w:sz w:val="22"/>
          <w:szCs w:val="24"/>
        </w:rPr>
        <w:tab/>
        <w:t>Al respecto, conviene señalar que la sociedad accionante cuenta con distintas herramientas procesales para lograr la anotada aspiración</w:t>
      </w:r>
      <w:r w:rsidRPr="00D615F0">
        <w:rPr>
          <w:rFonts w:ascii="Gadugi" w:hAnsi="Gadugi" w:cs="Arial"/>
          <w:sz w:val="22"/>
          <w:szCs w:val="24"/>
        </w:rPr>
        <w:t>, pues es bien sabido que al interior de los trámites jurisdiccionales se han estructurado diversos remedios ordinarios y extraordinarios para solventar situaciones como la descrita.</w:t>
      </w:r>
    </w:p>
    <w:p w14:paraId="77EA09E3" w14:textId="46A0F705" w:rsidR="00724914" w:rsidRPr="00D615F0" w:rsidRDefault="00724914" w:rsidP="00D615F0">
      <w:pPr>
        <w:ind w:left="426" w:right="420" w:firstLine="708"/>
        <w:jc w:val="both"/>
        <w:rPr>
          <w:rFonts w:ascii="Gadugi" w:hAnsi="Gadugi"/>
          <w:sz w:val="22"/>
          <w:szCs w:val="24"/>
          <w:lang w:val="es-CO" w:eastAsia="es-ES_tradnl"/>
        </w:rPr>
      </w:pPr>
      <w:r w:rsidRPr="00D615F0">
        <w:rPr>
          <w:rFonts w:ascii="Gadugi" w:hAnsi="Gadugi"/>
          <w:sz w:val="22"/>
          <w:szCs w:val="24"/>
          <w:lang w:val="es-CO" w:eastAsia="es-ES_tradnl"/>
        </w:rPr>
        <w:tab/>
      </w:r>
    </w:p>
    <w:p w14:paraId="688A50A2" w14:textId="56D4442C" w:rsidR="00724914" w:rsidRPr="00D615F0" w:rsidRDefault="00724914" w:rsidP="00D615F0">
      <w:pPr>
        <w:ind w:left="426" w:right="420" w:firstLine="708"/>
        <w:jc w:val="both"/>
        <w:rPr>
          <w:rFonts w:ascii="Gadugi" w:eastAsia="Cambria" w:hAnsi="Gadugi" w:cs="Arial"/>
          <w:sz w:val="22"/>
          <w:szCs w:val="24"/>
          <w:lang w:val="es-ES_tradnl"/>
        </w:rPr>
      </w:pPr>
      <w:r w:rsidRPr="00D615F0">
        <w:rPr>
          <w:rFonts w:ascii="Gadugi" w:hAnsi="Gadugi"/>
          <w:sz w:val="22"/>
          <w:szCs w:val="24"/>
          <w:lang w:val="es-CO" w:eastAsia="es-ES_tradnl"/>
        </w:rPr>
        <w:tab/>
      </w:r>
      <w:r w:rsidRPr="00D615F0">
        <w:rPr>
          <w:rFonts w:ascii="Gadugi" w:hAnsi="Gadugi"/>
          <w:sz w:val="22"/>
          <w:szCs w:val="24"/>
          <w:lang w:val="es-CO" w:eastAsia="es-ES_tradnl"/>
        </w:rPr>
        <w:tab/>
      </w:r>
      <w:r w:rsidRPr="00D615F0">
        <w:rPr>
          <w:rFonts w:ascii="Gadugi" w:hAnsi="Gadugi"/>
          <w:sz w:val="22"/>
          <w:szCs w:val="24"/>
          <w:lang w:val="es-CO" w:eastAsia="es-ES_tradnl"/>
        </w:rPr>
        <w:tab/>
      </w:r>
      <w:r w:rsidRPr="00D615F0">
        <w:rPr>
          <w:rFonts w:ascii="Gadugi" w:eastAsia="Cambria" w:hAnsi="Gadugi" w:cs="Arial"/>
          <w:sz w:val="22"/>
          <w:szCs w:val="24"/>
        </w:rPr>
        <w:t xml:space="preserve">De manera que, como para la prosperidad de la acción deben agotarse previamente todos los instrumentos de defensa a disposición de los interesados, dado su carácter eminentemente residual y subsidiario, so pena de cercenar los principios nodales que edifican este mecanismo, el resguardo invocado en el </w:t>
      </w:r>
      <w:r w:rsidRPr="00D615F0">
        <w:rPr>
          <w:rFonts w:ascii="Gadugi" w:eastAsia="Cambria" w:hAnsi="Gadugi" w:cs="Arial"/>
          <w:i/>
          <w:iCs/>
          <w:sz w:val="22"/>
          <w:szCs w:val="24"/>
        </w:rPr>
        <w:t xml:space="preserve">sub lite </w:t>
      </w:r>
      <w:r w:rsidRPr="00D615F0">
        <w:rPr>
          <w:rFonts w:ascii="Gadugi" w:eastAsia="Cambria" w:hAnsi="Gadugi" w:cs="Arial"/>
          <w:sz w:val="22"/>
          <w:szCs w:val="24"/>
        </w:rPr>
        <w:t>no puede prosperar.</w:t>
      </w:r>
    </w:p>
    <w:p w14:paraId="1D444AC5" w14:textId="28482F31" w:rsidR="00724914" w:rsidRPr="00D615F0" w:rsidRDefault="00724914" w:rsidP="00D615F0">
      <w:pPr>
        <w:ind w:left="426" w:right="420" w:firstLine="709"/>
        <w:jc w:val="both"/>
        <w:rPr>
          <w:rFonts w:ascii="Gadugi" w:hAnsi="Gadugi" w:cs="Arial"/>
          <w:spacing w:val="-3"/>
          <w:sz w:val="22"/>
          <w:szCs w:val="24"/>
        </w:rPr>
      </w:pPr>
    </w:p>
    <w:p w14:paraId="5FF51AF7" w14:textId="22D36C6F" w:rsidR="00724914" w:rsidRPr="00D615F0" w:rsidRDefault="00724914" w:rsidP="00D615F0">
      <w:pPr>
        <w:ind w:left="426" w:right="420" w:firstLine="709"/>
        <w:jc w:val="both"/>
        <w:rPr>
          <w:rFonts w:ascii="Gadugi" w:hAnsi="Gadugi" w:cs="Arial"/>
          <w:color w:val="000000"/>
          <w:sz w:val="22"/>
          <w:szCs w:val="24"/>
        </w:rPr>
      </w:pPr>
      <w:r w:rsidRPr="00D615F0">
        <w:rPr>
          <w:rFonts w:ascii="Gadugi" w:hAnsi="Gadugi" w:cs="Arial"/>
          <w:spacing w:val="-3"/>
          <w:sz w:val="22"/>
          <w:szCs w:val="24"/>
        </w:rPr>
        <w:tab/>
      </w:r>
      <w:r w:rsidRPr="00D615F0">
        <w:rPr>
          <w:rFonts w:ascii="Gadugi" w:hAnsi="Gadugi" w:cs="Arial"/>
          <w:spacing w:val="-3"/>
          <w:sz w:val="22"/>
          <w:szCs w:val="24"/>
        </w:rPr>
        <w:tab/>
      </w:r>
      <w:r w:rsidRPr="00D615F0">
        <w:rPr>
          <w:rFonts w:ascii="Gadugi" w:hAnsi="Gadugi" w:cs="Arial"/>
          <w:spacing w:val="-3"/>
          <w:sz w:val="22"/>
          <w:szCs w:val="24"/>
        </w:rPr>
        <w:tab/>
      </w:r>
      <w:r w:rsidRPr="00D615F0">
        <w:rPr>
          <w:rFonts w:ascii="Gadugi" w:hAnsi="Gadugi" w:cs="Arial"/>
          <w:color w:val="000000"/>
          <w:sz w:val="22"/>
          <w:szCs w:val="24"/>
        </w:rPr>
        <w:t xml:space="preserve">Sobre el particular, conviene recordar el pensamiento de la Sala sobre la materia: </w:t>
      </w:r>
    </w:p>
    <w:p w14:paraId="591866CC" w14:textId="23F39D91" w:rsidR="00724914" w:rsidRPr="00D615F0" w:rsidRDefault="00724914" w:rsidP="00D615F0">
      <w:pPr>
        <w:ind w:left="426" w:right="420"/>
        <w:jc w:val="both"/>
        <w:rPr>
          <w:rFonts w:ascii="Gadugi" w:hAnsi="Gadugi" w:cs="Arial"/>
          <w:i/>
          <w:sz w:val="22"/>
          <w:szCs w:val="24"/>
        </w:rPr>
      </w:pPr>
    </w:p>
    <w:p w14:paraId="182C7D9F" w14:textId="4B1A54EB" w:rsidR="00724914" w:rsidRPr="00D615F0" w:rsidRDefault="00724914" w:rsidP="00D615F0">
      <w:pPr>
        <w:ind w:left="851" w:right="845"/>
        <w:jc w:val="both"/>
        <w:rPr>
          <w:rFonts w:ascii="Gadugi" w:hAnsi="Gadugi" w:cs="Arial"/>
          <w:sz w:val="22"/>
          <w:szCs w:val="24"/>
        </w:rPr>
      </w:pPr>
      <w:r w:rsidRPr="00D615F0">
        <w:rPr>
          <w:rFonts w:ascii="Gadugi" w:hAnsi="Gadugi" w:cs="Arial"/>
          <w:i/>
          <w:sz w:val="22"/>
          <w:szCs w:val="24"/>
        </w:rPr>
        <w:tab/>
      </w:r>
      <w:r w:rsidRPr="00D615F0">
        <w:rPr>
          <w:rFonts w:ascii="Gadugi" w:hAnsi="Gadugi" w:cs="Arial"/>
          <w:i/>
          <w:sz w:val="22"/>
          <w:szCs w:val="24"/>
        </w:rPr>
        <w:tab/>
      </w:r>
      <w:r w:rsidRPr="00D615F0">
        <w:rPr>
          <w:rFonts w:ascii="Gadugi" w:hAnsi="Gadugi" w:cs="Arial"/>
          <w:i/>
          <w:sz w:val="22"/>
          <w:szCs w:val="24"/>
        </w:rPr>
        <w:tab/>
      </w:r>
      <w:r w:rsidR="00F266A0" w:rsidRPr="00D615F0">
        <w:rPr>
          <w:rFonts w:ascii="Gadugi" w:hAnsi="Gadugi" w:cs="Arial"/>
          <w:i/>
          <w:sz w:val="22"/>
          <w:szCs w:val="24"/>
        </w:rPr>
        <w:tab/>
      </w:r>
      <w:r w:rsidRPr="00D615F0">
        <w:rPr>
          <w:rFonts w:ascii="Gadugi" w:hAnsi="Gadugi" w:cs="Arial"/>
          <w:i/>
          <w:sz w:val="22"/>
          <w:szCs w:val="24"/>
        </w:rPr>
        <w:t>…</w:t>
      </w:r>
      <w:r w:rsidR="00D615F0">
        <w:rPr>
          <w:rFonts w:ascii="Gadugi" w:hAnsi="Gadugi" w:cs="Arial"/>
          <w:i/>
          <w:sz w:val="22"/>
          <w:szCs w:val="24"/>
        </w:rPr>
        <w:t xml:space="preserve"> </w:t>
      </w:r>
      <w:r w:rsidRPr="00D615F0">
        <w:rPr>
          <w:rFonts w:ascii="Gadugi" w:hAnsi="Gadugi" w:cs="Arial"/>
          <w:i/>
          <w:sz w:val="22"/>
          <w:szCs w:val="24"/>
        </w:rPr>
        <w:t xml:space="preserve">el amparo constitucional solicitado se torna improcedente, en virtud de que… en tratándose de instrumentos dirigidos a la preservación de los derechos, el medio judicial de protección es, por excelencia, el proceso y, por lo tanto, a nadie le es dable quejarse por la hipotética vulneración de sus derechos fundamentales, si gozó y aún cuenta con la oportunidad de controvertir las decisiones de las que hoy discrepa…. Por lo demás, es palmario que la tutela no es un mecanismo que se pueda activar, según la discrecionalidad del interesado, para tratar de rescatar las oportunidades perdidas, como tampoco para reclamar prematuramente un pronunciamiento del juez constitucional, que le está vedado, por cuanto no puede arrogarse anticipadamente facultades que no le corresponden, con miras a decidir lo que debe resolver el funcionario competente …para que de una manera rápida y eficaz se le proteja el derecho fundamental al debido proceso’, pues, reiterase, no es este un instrumento del que pueda hacer uso antojadizamente el interesado, ni mucho menos para eludir el que de manera específica señale la ley.» (CSJ STC 22 feb. 2010, rad. 00312-01, citado en STC 11. Jul. 2013, rad, 000183-01) </w:t>
      </w:r>
      <w:r w:rsidRPr="00D615F0">
        <w:rPr>
          <w:rFonts w:ascii="Gadugi" w:hAnsi="Gadugi" w:cs="Arial"/>
          <w:sz w:val="22"/>
          <w:szCs w:val="24"/>
        </w:rPr>
        <w:t>(CSJ STC3524-2016, 17 mar. 2016, rad. 2016-00525-00).</w:t>
      </w:r>
    </w:p>
    <w:p w14:paraId="26C7A1B3" w14:textId="77777777" w:rsidR="00724914" w:rsidRPr="000C2E3B" w:rsidRDefault="00724914" w:rsidP="000C2E3B">
      <w:pPr>
        <w:pStyle w:val="Sinespaciado6"/>
        <w:spacing w:line="276" w:lineRule="auto"/>
        <w:ind w:right="51" w:firstLine="2835"/>
        <w:jc w:val="both"/>
        <w:rPr>
          <w:rFonts w:ascii="Gadugi" w:hAnsi="Gadugi"/>
        </w:rPr>
      </w:pPr>
    </w:p>
    <w:p w14:paraId="707EA003" w14:textId="6A9BDEC9" w:rsidR="004819D1" w:rsidRPr="000C2E3B" w:rsidRDefault="003270D2" w:rsidP="000C2E3B">
      <w:pPr>
        <w:pStyle w:val="Sinespaciado6"/>
        <w:spacing w:line="276" w:lineRule="auto"/>
        <w:ind w:right="51" w:firstLine="2835"/>
        <w:jc w:val="both"/>
        <w:rPr>
          <w:rFonts w:ascii="Gadugi" w:hAnsi="Gadugi"/>
        </w:rPr>
      </w:pPr>
      <w:r w:rsidRPr="000C2E3B">
        <w:rPr>
          <w:rFonts w:ascii="Gadugi" w:hAnsi="Gadugi"/>
        </w:rPr>
        <w:t>Como se ve, p</w:t>
      </w:r>
      <w:r w:rsidR="004819D1" w:rsidRPr="000C2E3B">
        <w:rPr>
          <w:rFonts w:ascii="Gadugi" w:hAnsi="Gadugi"/>
        </w:rPr>
        <w:t>or una u otra razón</w:t>
      </w:r>
      <w:r w:rsidR="00F266A0" w:rsidRPr="000C2E3B">
        <w:rPr>
          <w:rFonts w:ascii="Gadugi" w:hAnsi="Gadugi"/>
        </w:rPr>
        <w:t>,</w:t>
      </w:r>
      <w:r w:rsidR="004819D1" w:rsidRPr="000C2E3B">
        <w:rPr>
          <w:rFonts w:ascii="Gadugi" w:hAnsi="Gadugi"/>
        </w:rPr>
        <w:t xml:space="preserve"> es improcedente la </w:t>
      </w:r>
      <w:r w:rsidR="00C34EFA" w:rsidRPr="000C2E3B">
        <w:rPr>
          <w:rFonts w:ascii="Gadugi" w:hAnsi="Gadugi"/>
        </w:rPr>
        <w:t>acción de tutela</w:t>
      </w:r>
      <w:r w:rsidR="004819D1" w:rsidRPr="000C2E3B">
        <w:rPr>
          <w:rFonts w:ascii="Gadugi" w:hAnsi="Gadugi"/>
        </w:rPr>
        <w:t>, y sin necesidad de más elucubraciones, así se declarará</w:t>
      </w:r>
      <w:r w:rsidR="00946C8D" w:rsidRPr="000C2E3B">
        <w:rPr>
          <w:rFonts w:ascii="Gadugi" w:hAnsi="Gadugi"/>
        </w:rPr>
        <w:t xml:space="preserve">, máxime porque </w:t>
      </w:r>
      <w:r w:rsidR="00724914" w:rsidRPr="000C2E3B">
        <w:rPr>
          <w:rFonts w:ascii="Gadugi" w:hAnsi="Gadugi"/>
        </w:rPr>
        <w:t xml:space="preserve">en </w:t>
      </w:r>
      <w:r w:rsidR="00C34EFA" w:rsidRPr="000C2E3B">
        <w:rPr>
          <w:rFonts w:ascii="Gadugi" w:hAnsi="Gadugi"/>
        </w:rPr>
        <w:t>el escrito introductorio</w:t>
      </w:r>
      <w:r w:rsidR="00724914" w:rsidRPr="000C2E3B">
        <w:rPr>
          <w:rFonts w:ascii="Gadugi" w:hAnsi="Gadugi"/>
        </w:rPr>
        <w:t xml:space="preserve"> no se aludió a</w:t>
      </w:r>
      <w:r w:rsidR="00946C8D" w:rsidRPr="000C2E3B">
        <w:rPr>
          <w:rFonts w:ascii="Gadugi" w:hAnsi="Gadugi"/>
        </w:rPr>
        <w:t xml:space="preserve"> perjuicio irremediable</w:t>
      </w:r>
      <w:r w:rsidR="00F266A0" w:rsidRPr="000C2E3B">
        <w:rPr>
          <w:rFonts w:ascii="Gadugi" w:hAnsi="Gadugi"/>
        </w:rPr>
        <w:t xml:space="preserve"> alguno. </w:t>
      </w:r>
      <w:r w:rsidR="00C34EFA" w:rsidRPr="000C2E3B">
        <w:rPr>
          <w:rFonts w:ascii="Gadugi" w:hAnsi="Gadugi"/>
        </w:rPr>
        <w:t xml:space="preserve"> </w:t>
      </w:r>
    </w:p>
    <w:p w14:paraId="3E03E191" w14:textId="77777777" w:rsidR="007B42E9" w:rsidRPr="000C2E3B" w:rsidRDefault="007B42E9" w:rsidP="000C2E3B">
      <w:pPr>
        <w:spacing w:line="276" w:lineRule="auto"/>
        <w:ind w:firstLine="2835"/>
        <w:jc w:val="both"/>
        <w:rPr>
          <w:rFonts w:ascii="Gadugi" w:hAnsi="Gadugi" w:cs="Arial"/>
          <w:b/>
          <w:sz w:val="24"/>
          <w:szCs w:val="24"/>
        </w:rPr>
      </w:pPr>
    </w:p>
    <w:p w14:paraId="042799C5" w14:textId="77777777" w:rsidR="007B42E9" w:rsidRPr="000C2E3B" w:rsidRDefault="007B42E9" w:rsidP="000C2E3B">
      <w:pPr>
        <w:spacing w:line="276" w:lineRule="auto"/>
        <w:ind w:firstLine="2835"/>
        <w:jc w:val="both"/>
        <w:rPr>
          <w:rFonts w:ascii="Gadugi" w:hAnsi="Gadugi" w:cs="Arial"/>
          <w:b/>
          <w:sz w:val="24"/>
          <w:szCs w:val="24"/>
        </w:rPr>
      </w:pPr>
    </w:p>
    <w:p w14:paraId="0EF677F5" w14:textId="35F1466D" w:rsidR="00622EA3" w:rsidRPr="000C2E3B" w:rsidRDefault="00622EA3" w:rsidP="000C2E3B">
      <w:pPr>
        <w:spacing w:line="276" w:lineRule="auto"/>
        <w:ind w:firstLine="2835"/>
        <w:jc w:val="both"/>
        <w:rPr>
          <w:rFonts w:ascii="Gadugi" w:hAnsi="Gadugi" w:cs="Arial"/>
          <w:b/>
          <w:sz w:val="24"/>
          <w:szCs w:val="24"/>
        </w:rPr>
      </w:pPr>
      <w:r w:rsidRPr="000C2E3B">
        <w:rPr>
          <w:rFonts w:ascii="Gadugi" w:hAnsi="Gadugi" w:cs="Arial"/>
          <w:b/>
          <w:sz w:val="24"/>
          <w:szCs w:val="24"/>
        </w:rPr>
        <w:t>DECISIÓN</w:t>
      </w:r>
    </w:p>
    <w:p w14:paraId="1202373A" w14:textId="7A0D6816" w:rsidR="007C2744" w:rsidRDefault="007C2744" w:rsidP="000C2E3B">
      <w:pPr>
        <w:spacing w:line="276" w:lineRule="auto"/>
        <w:jc w:val="both"/>
        <w:rPr>
          <w:rFonts w:ascii="Gadugi" w:hAnsi="Gadugi"/>
          <w:sz w:val="24"/>
          <w:szCs w:val="24"/>
        </w:rPr>
      </w:pPr>
    </w:p>
    <w:p w14:paraId="6F5F00C9" w14:textId="77777777" w:rsidR="007C2744" w:rsidRDefault="007C2744" w:rsidP="000C2E3B">
      <w:pPr>
        <w:spacing w:line="276" w:lineRule="auto"/>
        <w:jc w:val="both"/>
        <w:rPr>
          <w:rFonts w:ascii="Gadugi" w:hAnsi="Gadugi"/>
          <w:sz w:val="24"/>
          <w:szCs w:val="24"/>
        </w:rPr>
      </w:pPr>
    </w:p>
    <w:p w14:paraId="4DBE5FFF" w14:textId="799887B7" w:rsidR="00622EA3" w:rsidRDefault="00622EA3" w:rsidP="000C2E3B">
      <w:pPr>
        <w:spacing w:line="276" w:lineRule="auto"/>
        <w:ind w:firstLine="2835"/>
        <w:jc w:val="both"/>
        <w:rPr>
          <w:rFonts w:ascii="Gadugi" w:hAnsi="Gadugi" w:cs="Arial"/>
          <w:sz w:val="24"/>
          <w:szCs w:val="24"/>
          <w:lang w:val="es-CO"/>
        </w:rPr>
      </w:pPr>
      <w:r w:rsidRPr="000C2E3B">
        <w:rPr>
          <w:rFonts w:ascii="Gadugi" w:hAnsi="Gadugi" w:cs="Arial"/>
          <w:sz w:val="24"/>
          <w:szCs w:val="24"/>
        </w:rPr>
        <w:t>En armonía con lo dicho, la Sala Civil Familia del Tribunal Superior de Pereira, administrando justicia en nombre de la República y por autoridad de la Ley,</w:t>
      </w:r>
      <w:r w:rsidRPr="000C2E3B">
        <w:rPr>
          <w:rFonts w:ascii="Gadugi" w:hAnsi="Gadugi" w:cs="Arial"/>
          <w:sz w:val="24"/>
          <w:szCs w:val="24"/>
          <w:lang w:val="es-419"/>
        </w:rPr>
        <w:t xml:space="preserve"> </w:t>
      </w:r>
      <w:r w:rsidRPr="000C2E3B">
        <w:rPr>
          <w:rFonts w:ascii="Gadugi" w:hAnsi="Gadugi" w:cs="Arial"/>
          <w:sz w:val="24"/>
          <w:szCs w:val="24"/>
          <w:lang w:val="es-CO"/>
        </w:rPr>
        <w:t>declara</w:t>
      </w:r>
      <w:r w:rsidRPr="000C2E3B">
        <w:rPr>
          <w:rFonts w:ascii="Gadugi" w:hAnsi="Gadugi" w:cs="Arial"/>
          <w:b/>
          <w:sz w:val="24"/>
          <w:szCs w:val="24"/>
          <w:lang w:val="es-CO"/>
        </w:rPr>
        <w:t xml:space="preserve"> IMPROCEDENTE </w:t>
      </w:r>
      <w:r w:rsidRPr="000C2E3B">
        <w:rPr>
          <w:rFonts w:ascii="Gadugi" w:hAnsi="Gadugi" w:cs="Arial"/>
          <w:sz w:val="24"/>
          <w:szCs w:val="24"/>
          <w:lang w:val="es-CO"/>
        </w:rPr>
        <w:t xml:space="preserve">la presente acción de tutela. </w:t>
      </w:r>
    </w:p>
    <w:p w14:paraId="6B9B7103" w14:textId="77777777" w:rsidR="007C2744" w:rsidRPr="000C2E3B" w:rsidRDefault="007C2744" w:rsidP="000C2E3B">
      <w:pPr>
        <w:spacing w:line="276" w:lineRule="auto"/>
        <w:ind w:firstLine="2835"/>
        <w:jc w:val="both"/>
        <w:rPr>
          <w:rFonts w:ascii="Gadugi" w:hAnsi="Gadugi" w:cs="Century Gothic"/>
          <w:sz w:val="24"/>
          <w:szCs w:val="24"/>
        </w:rPr>
      </w:pPr>
    </w:p>
    <w:p w14:paraId="1B75A3D0" w14:textId="06ED58B9" w:rsidR="00622EA3" w:rsidRPr="000C2E3B" w:rsidRDefault="00622EA3" w:rsidP="000C2E3B">
      <w:pPr>
        <w:spacing w:line="276" w:lineRule="auto"/>
        <w:ind w:right="51"/>
        <w:jc w:val="both"/>
        <w:rPr>
          <w:rFonts w:ascii="Gadugi" w:hAnsi="Gadugi" w:cs="Arial"/>
          <w:sz w:val="24"/>
          <w:szCs w:val="24"/>
          <w:lang w:val="es-CO"/>
        </w:rPr>
      </w:pPr>
      <w:r w:rsidRPr="000C2E3B">
        <w:rPr>
          <w:rFonts w:ascii="Gadugi" w:hAnsi="Gadugi" w:cs="Arial"/>
          <w:sz w:val="24"/>
          <w:szCs w:val="24"/>
        </w:rPr>
        <w:t xml:space="preserve">  </w:t>
      </w:r>
      <w:r w:rsidRPr="000C2E3B">
        <w:rPr>
          <w:rFonts w:ascii="Gadugi" w:hAnsi="Gadugi" w:cs="Arial"/>
          <w:sz w:val="24"/>
          <w:szCs w:val="24"/>
        </w:rPr>
        <w:tab/>
      </w:r>
      <w:r w:rsidRPr="000C2E3B">
        <w:rPr>
          <w:rFonts w:ascii="Gadugi" w:hAnsi="Gadugi" w:cs="Arial"/>
          <w:sz w:val="24"/>
          <w:szCs w:val="24"/>
        </w:rPr>
        <w:tab/>
      </w:r>
      <w:r w:rsidRPr="000C2E3B">
        <w:rPr>
          <w:rFonts w:ascii="Gadugi" w:hAnsi="Gadugi" w:cs="Arial"/>
          <w:sz w:val="24"/>
          <w:szCs w:val="24"/>
        </w:rPr>
        <w:tab/>
      </w:r>
      <w:r w:rsidRPr="000C2E3B">
        <w:rPr>
          <w:rFonts w:ascii="Gadugi" w:hAnsi="Gadugi" w:cs="Arial"/>
          <w:sz w:val="24"/>
          <w:szCs w:val="24"/>
        </w:rPr>
        <w:tab/>
        <w:t>Notifíquese la decisión a las partes en la forma prevista en el artículo 5º del Decreto 306 de 1992</w:t>
      </w:r>
      <w:r w:rsidRPr="000C2E3B">
        <w:rPr>
          <w:rFonts w:ascii="Gadugi" w:hAnsi="Gadugi" w:cs="Arial"/>
          <w:sz w:val="24"/>
          <w:szCs w:val="24"/>
          <w:lang w:val="es-419"/>
        </w:rPr>
        <w:t xml:space="preserve">, y si no es impugnada </w:t>
      </w:r>
      <w:r w:rsidR="00C77960">
        <w:rPr>
          <w:rFonts w:ascii="Gadugi" w:hAnsi="Gadugi" w:cs="Arial"/>
          <w:sz w:val="24"/>
          <w:szCs w:val="24"/>
          <w:lang w:val="es-419"/>
        </w:rPr>
        <w:t>remítase</w:t>
      </w:r>
      <w:r w:rsidRPr="000C2E3B">
        <w:rPr>
          <w:rFonts w:ascii="Gadugi" w:hAnsi="Gadugi" w:cs="Arial"/>
          <w:sz w:val="24"/>
          <w:szCs w:val="24"/>
          <w:lang w:val="es-CO"/>
        </w:rPr>
        <w:t xml:space="preserve"> a la Corte Constitucional para su eventual revisión.</w:t>
      </w:r>
    </w:p>
    <w:p w14:paraId="0B1A24CD" w14:textId="77777777" w:rsidR="00622EA3" w:rsidRPr="000C2E3B" w:rsidRDefault="00622EA3" w:rsidP="000C2E3B">
      <w:pPr>
        <w:spacing w:line="276" w:lineRule="auto"/>
        <w:ind w:right="51"/>
        <w:jc w:val="both"/>
        <w:rPr>
          <w:rFonts w:ascii="Gadugi" w:hAnsi="Gadugi" w:cs="Arial"/>
          <w:sz w:val="24"/>
          <w:szCs w:val="24"/>
          <w:lang w:val="es-CO"/>
        </w:rPr>
      </w:pPr>
    </w:p>
    <w:p w14:paraId="050295D5" w14:textId="69623954" w:rsidR="00622EA3" w:rsidRPr="000C2E3B" w:rsidRDefault="00622EA3" w:rsidP="000C2E3B">
      <w:pPr>
        <w:spacing w:line="276" w:lineRule="auto"/>
        <w:ind w:firstLine="2835"/>
        <w:jc w:val="both"/>
        <w:rPr>
          <w:rFonts w:ascii="Gadugi" w:hAnsi="Gadugi" w:cs="Arial"/>
          <w:sz w:val="24"/>
          <w:szCs w:val="24"/>
          <w:lang w:val="es-CO"/>
        </w:rPr>
      </w:pPr>
      <w:r w:rsidRPr="000C2E3B">
        <w:rPr>
          <w:rFonts w:ascii="Gadugi" w:hAnsi="Gadugi" w:cs="Arial"/>
          <w:sz w:val="24"/>
          <w:szCs w:val="24"/>
          <w:lang w:val="es-CO"/>
        </w:rPr>
        <w:t>A su regreso, archívese el expediente</w:t>
      </w:r>
      <w:r w:rsidRPr="000C2E3B">
        <w:rPr>
          <w:rFonts w:ascii="Gadugi" w:hAnsi="Gadugi" w:cs="Arial"/>
          <w:sz w:val="24"/>
          <w:szCs w:val="24"/>
          <w:lang w:val="es-419"/>
        </w:rPr>
        <w:t>.</w:t>
      </w:r>
      <w:r w:rsidRPr="000C2E3B">
        <w:rPr>
          <w:rFonts w:ascii="Gadugi" w:hAnsi="Gadugi" w:cs="Arial"/>
          <w:sz w:val="24"/>
          <w:szCs w:val="24"/>
          <w:lang w:val="es-CO"/>
        </w:rPr>
        <w:t xml:space="preserve"> </w:t>
      </w:r>
    </w:p>
    <w:p w14:paraId="046AEFCE" w14:textId="7B93FCC4" w:rsidR="00CA22AE" w:rsidRPr="000C2E3B" w:rsidRDefault="00CA22AE" w:rsidP="000C2E3B">
      <w:pPr>
        <w:spacing w:line="276" w:lineRule="auto"/>
        <w:jc w:val="both"/>
        <w:rPr>
          <w:rFonts w:ascii="Gadugi" w:hAnsi="Gadugi" w:cs="Arial"/>
          <w:sz w:val="24"/>
          <w:szCs w:val="24"/>
          <w:lang w:val="es-CO"/>
        </w:rPr>
      </w:pPr>
    </w:p>
    <w:p w14:paraId="1ADF31BE" w14:textId="77777777" w:rsidR="00622EA3" w:rsidRPr="000C2E3B" w:rsidRDefault="00622EA3" w:rsidP="000C2E3B">
      <w:pPr>
        <w:spacing w:line="276" w:lineRule="auto"/>
        <w:ind w:firstLine="2835"/>
        <w:jc w:val="both"/>
        <w:rPr>
          <w:rFonts w:ascii="Gadugi" w:hAnsi="Gadugi" w:cs="Arial"/>
          <w:bCs/>
          <w:sz w:val="24"/>
          <w:szCs w:val="24"/>
        </w:rPr>
      </w:pPr>
      <w:r w:rsidRPr="000C2E3B">
        <w:rPr>
          <w:rFonts w:ascii="Gadugi" w:hAnsi="Gadugi" w:cs="Arial"/>
          <w:bCs/>
          <w:sz w:val="24"/>
          <w:szCs w:val="24"/>
        </w:rPr>
        <w:t>Los Magistrados,</w:t>
      </w:r>
    </w:p>
    <w:p w14:paraId="0D71DB09" w14:textId="2AAE1555" w:rsidR="002C1510" w:rsidRDefault="002C1510" w:rsidP="000C2E3B">
      <w:pPr>
        <w:spacing w:line="276" w:lineRule="auto"/>
        <w:jc w:val="both"/>
        <w:rPr>
          <w:rFonts w:ascii="Gadugi" w:hAnsi="Gadugi" w:cs="Arial"/>
          <w:b/>
          <w:sz w:val="24"/>
          <w:szCs w:val="24"/>
        </w:rPr>
      </w:pPr>
    </w:p>
    <w:p w14:paraId="73753086" w14:textId="77777777" w:rsidR="007C2744" w:rsidRPr="000C2E3B" w:rsidRDefault="007C2744" w:rsidP="000C2E3B">
      <w:pPr>
        <w:spacing w:line="276" w:lineRule="auto"/>
        <w:jc w:val="both"/>
        <w:rPr>
          <w:rFonts w:ascii="Gadugi" w:hAnsi="Gadugi" w:cs="Arial"/>
          <w:b/>
          <w:sz w:val="24"/>
          <w:szCs w:val="24"/>
        </w:rPr>
      </w:pPr>
    </w:p>
    <w:p w14:paraId="082F30D6" w14:textId="6F0EFE8A" w:rsidR="00622EA3" w:rsidRPr="000C2E3B" w:rsidRDefault="00622EA3" w:rsidP="000C2E3B">
      <w:pPr>
        <w:spacing w:line="276" w:lineRule="auto"/>
        <w:ind w:firstLine="2835"/>
        <w:jc w:val="both"/>
        <w:rPr>
          <w:rFonts w:ascii="Gadugi" w:hAnsi="Gadugi" w:cs="Arial"/>
          <w:b/>
          <w:sz w:val="24"/>
          <w:szCs w:val="24"/>
        </w:rPr>
      </w:pPr>
      <w:r w:rsidRPr="000C2E3B">
        <w:rPr>
          <w:rFonts w:ascii="Gadugi" w:hAnsi="Gadugi" w:cs="Arial"/>
          <w:b/>
          <w:sz w:val="24"/>
          <w:szCs w:val="24"/>
        </w:rPr>
        <w:t>JAIME ALBERTO SARAZA NARANJO</w:t>
      </w:r>
    </w:p>
    <w:p w14:paraId="5D00A67C" w14:textId="71D36BEE" w:rsidR="003A347D" w:rsidRDefault="003A347D" w:rsidP="000C2E3B">
      <w:pPr>
        <w:spacing w:line="276" w:lineRule="auto"/>
        <w:jc w:val="both"/>
        <w:rPr>
          <w:rFonts w:ascii="Gadugi" w:hAnsi="Gadugi" w:cs="Arial"/>
          <w:b/>
          <w:sz w:val="24"/>
          <w:szCs w:val="24"/>
        </w:rPr>
      </w:pPr>
    </w:p>
    <w:p w14:paraId="56E06EFD" w14:textId="77777777" w:rsidR="007C2744" w:rsidRPr="000C2E3B" w:rsidRDefault="007C2744" w:rsidP="000C2E3B">
      <w:pPr>
        <w:spacing w:line="276" w:lineRule="auto"/>
        <w:jc w:val="both"/>
        <w:rPr>
          <w:rFonts w:ascii="Gadugi" w:hAnsi="Gadugi" w:cs="Arial"/>
          <w:b/>
          <w:sz w:val="24"/>
          <w:szCs w:val="24"/>
        </w:rPr>
      </w:pPr>
    </w:p>
    <w:p w14:paraId="0C673954" w14:textId="15D07801" w:rsidR="00AE58D7" w:rsidRPr="007C2744" w:rsidRDefault="00622EA3" w:rsidP="007C2744">
      <w:pPr>
        <w:spacing w:line="276" w:lineRule="auto"/>
        <w:ind w:firstLine="2835"/>
        <w:jc w:val="both"/>
        <w:rPr>
          <w:rFonts w:ascii="Gadugi" w:hAnsi="Gadugi" w:cs="Arial"/>
          <w:b/>
          <w:sz w:val="24"/>
          <w:szCs w:val="24"/>
        </w:rPr>
      </w:pPr>
      <w:r w:rsidRPr="007C2744">
        <w:rPr>
          <w:rFonts w:ascii="Gadugi" w:hAnsi="Gadugi" w:cs="Arial"/>
          <w:b/>
          <w:sz w:val="24"/>
          <w:szCs w:val="24"/>
        </w:rPr>
        <w:t>CARLOS MAURICIO GARCÍA BARAJAS</w:t>
      </w:r>
    </w:p>
    <w:p w14:paraId="7A09A19E" w14:textId="7B0EBE8B" w:rsidR="003A347D" w:rsidRDefault="003A347D" w:rsidP="000C2E3B">
      <w:pPr>
        <w:spacing w:line="276" w:lineRule="auto"/>
        <w:jc w:val="both"/>
        <w:rPr>
          <w:rFonts w:ascii="Gadugi" w:hAnsi="Gadugi" w:cs="Arial"/>
          <w:b/>
          <w:bCs/>
          <w:sz w:val="24"/>
          <w:szCs w:val="24"/>
        </w:rPr>
      </w:pPr>
    </w:p>
    <w:p w14:paraId="7FB0C424" w14:textId="77777777" w:rsidR="007C2744" w:rsidRPr="000C2E3B" w:rsidRDefault="007C2744" w:rsidP="000C2E3B">
      <w:pPr>
        <w:spacing w:line="276" w:lineRule="auto"/>
        <w:jc w:val="both"/>
        <w:rPr>
          <w:rFonts w:ascii="Gadugi" w:hAnsi="Gadugi" w:cs="Arial"/>
          <w:b/>
          <w:bCs/>
          <w:sz w:val="24"/>
          <w:szCs w:val="24"/>
        </w:rPr>
      </w:pPr>
    </w:p>
    <w:p w14:paraId="1CECDC2D" w14:textId="48C94B19" w:rsidR="00AE58D7" w:rsidRPr="007C2744" w:rsidRDefault="00622EA3" w:rsidP="007C2744">
      <w:pPr>
        <w:spacing w:line="276" w:lineRule="auto"/>
        <w:ind w:firstLine="2835"/>
        <w:jc w:val="both"/>
        <w:rPr>
          <w:rFonts w:ascii="Gadugi" w:hAnsi="Gadugi" w:cs="Arial"/>
          <w:b/>
          <w:sz w:val="24"/>
          <w:szCs w:val="24"/>
        </w:rPr>
      </w:pPr>
      <w:r w:rsidRPr="007C2744">
        <w:rPr>
          <w:rFonts w:ascii="Gadugi" w:hAnsi="Gadugi" w:cs="Arial"/>
          <w:b/>
          <w:sz w:val="24"/>
          <w:szCs w:val="24"/>
        </w:rPr>
        <w:t>DUBERNEY GRISALES HERRERA</w:t>
      </w:r>
    </w:p>
    <w:sectPr w:rsidR="00AE58D7" w:rsidRPr="007C2744" w:rsidSect="00D55575">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179FC8" w16cex:dateUtc="2022-05-10T12:29:51.784Z"/>
  <w16cex:commentExtensible w16cex:durableId="6DCF1523" w16cex:dateUtc="2022-05-10T20:08:46.3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F498" w14:textId="77777777" w:rsidR="009F2F0F" w:rsidRDefault="009F2F0F" w:rsidP="00CD73E5">
      <w:r>
        <w:separator/>
      </w:r>
    </w:p>
  </w:endnote>
  <w:endnote w:type="continuationSeparator" w:id="0">
    <w:p w14:paraId="01ED2B8D" w14:textId="77777777" w:rsidR="009F2F0F" w:rsidRDefault="009F2F0F"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8361D0" w:rsidRDefault="00436A51">
    <w:pPr>
      <w:pStyle w:val="Piedepgina"/>
      <w:framePr w:wrap="auto" w:vAnchor="text" w:hAnchor="margin" w:xAlign="right" w:y="1"/>
      <w:rPr>
        <w:rStyle w:val="Nmerodepgina"/>
        <w:rFonts w:ascii="Agency FB" w:hAnsi="Agency FB"/>
      </w:rPr>
    </w:pPr>
    <w:r w:rsidRPr="008361D0">
      <w:rPr>
        <w:rStyle w:val="Nmerodepgina"/>
        <w:rFonts w:ascii="Agency FB" w:hAnsi="Agency FB"/>
      </w:rPr>
      <w:fldChar w:fldCharType="begin"/>
    </w:r>
    <w:r w:rsidRPr="008361D0">
      <w:rPr>
        <w:rStyle w:val="Nmerodepgina"/>
        <w:rFonts w:ascii="Agency FB" w:hAnsi="Agency FB"/>
      </w:rPr>
      <w:instrText xml:space="preserve">PAGE  </w:instrText>
    </w:r>
    <w:r w:rsidRPr="008361D0">
      <w:rPr>
        <w:rStyle w:val="Nmerodepgina"/>
        <w:rFonts w:ascii="Agency FB" w:hAnsi="Agency FB"/>
      </w:rPr>
      <w:fldChar w:fldCharType="separate"/>
    </w:r>
    <w:r w:rsidR="0044045C" w:rsidRPr="008361D0">
      <w:rPr>
        <w:rStyle w:val="Nmerodepgina"/>
        <w:rFonts w:ascii="Agency FB" w:hAnsi="Agency FB"/>
        <w:noProof/>
      </w:rPr>
      <w:t>5</w:t>
    </w:r>
    <w:r w:rsidRPr="008361D0">
      <w:rPr>
        <w:rStyle w:val="Nmerodepgina"/>
        <w:rFonts w:ascii="Agency FB" w:hAnsi="Agency FB"/>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A497" w14:textId="77777777" w:rsidR="009F2F0F" w:rsidRDefault="009F2F0F" w:rsidP="00CD73E5">
      <w:r>
        <w:separator/>
      </w:r>
    </w:p>
  </w:footnote>
  <w:footnote w:type="continuationSeparator" w:id="0">
    <w:p w14:paraId="4C327D76" w14:textId="77777777" w:rsidR="009F2F0F" w:rsidRDefault="009F2F0F" w:rsidP="00CD73E5">
      <w:r>
        <w:continuationSeparator/>
      </w:r>
    </w:p>
  </w:footnote>
  <w:footnote w:id="1">
    <w:p w14:paraId="181340E9" w14:textId="7C2F28CE" w:rsidR="002E7F3E" w:rsidRPr="00436521" w:rsidRDefault="002E7F3E" w:rsidP="00436521">
      <w:pPr>
        <w:pStyle w:val="Textonotapie"/>
        <w:jc w:val="both"/>
        <w:rPr>
          <w:rFonts w:ascii="Agency FB" w:hAnsi="Agency FB"/>
          <w:szCs w:val="18"/>
          <w:lang w:val="es-CO"/>
        </w:rPr>
      </w:pPr>
      <w:r w:rsidRPr="00436521">
        <w:rPr>
          <w:rStyle w:val="Refdenotaalpie"/>
          <w:rFonts w:ascii="Agency FB" w:hAnsi="Agency FB"/>
          <w:szCs w:val="18"/>
        </w:rPr>
        <w:footnoteRef/>
      </w:r>
      <w:r w:rsidRPr="00436521">
        <w:rPr>
          <w:rFonts w:ascii="Agency FB" w:hAnsi="Agency FB"/>
          <w:szCs w:val="18"/>
        </w:rPr>
        <w:t xml:space="preserve"> </w:t>
      </w:r>
      <w:r w:rsidRPr="00436521">
        <w:rPr>
          <w:rFonts w:ascii="Agency FB" w:hAnsi="Agency FB"/>
          <w:szCs w:val="18"/>
          <w:lang w:val="es-CO"/>
        </w:rPr>
        <w:t xml:space="preserve">Documento </w:t>
      </w:r>
      <w:r w:rsidR="001F1686" w:rsidRPr="00436521">
        <w:rPr>
          <w:rFonts w:ascii="Agency FB" w:hAnsi="Agency FB"/>
          <w:szCs w:val="18"/>
          <w:lang w:val="es-CO"/>
        </w:rPr>
        <w:t>denominado DEMANDA incorporado en la Carpeta 02.</w:t>
      </w:r>
    </w:p>
  </w:footnote>
  <w:footnote w:id="2">
    <w:p w14:paraId="28250B1B" w14:textId="77DC747E" w:rsidR="001F1686" w:rsidRPr="00436521" w:rsidRDefault="001F1686" w:rsidP="00436521">
      <w:pPr>
        <w:pStyle w:val="Textonotapie"/>
        <w:jc w:val="both"/>
        <w:rPr>
          <w:rFonts w:ascii="Agency FB" w:hAnsi="Agency FB"/>
          <w:szCs w:val="18"/>
          <w:lang w:val="es-CO"/>
        </w:rPr>
      </w:pPr>
      <w:r w:rsidRPr="00436521">
        <w:rPr>
          <w:rStyle w:val="Refdenotaalpie"/>
          <w:rFonts w:ascii="Agency FB" w:hAnsi="Agency FB"/>
          <w:szCs w:val="18"/>
        </w:rPr>
        <w:footnoteRef/>
      </w:r>
      <w:r w:rsidRPr="00436521">
        <w:rPr>
          <w:rFonts w:ascii="Agency FB" w:hAnsi="Agency FB"/>
          <w:szCs w:val="18"/>
        </w:rPr>
        <w:t xml:space="preserve"> </w:t>
      </w:r>
      <w:r w:rsidRPr="00436521">
        <w:rPr>
          <w:rFonts w:ascii="Agency FB" w:hAnsi="Agency FB"/>
          <w:szCs w:val="18"/>
          <w:lang w:val="es-CO"/>
        </w:rPr>
        <w:t>Documento 10, Carpeta 2.</w:t>
      </w:r>
    </w:p>
  </w:footnote>
  <w:footnote w:id="3">
    <w:p w14:paraId="18D45FCE" w14:textId="3607AD43" w:rsidR="001F1686" w:rsidRPr="00436521" w:rsidRDefault="001F1686" w:rsidP="00436521">
      <w:pPr>
        <w:pStyle w:val="Textonotapie"/>
        <w:jc w:val="both"/>
        <w:rPr>
          <w:rFonts w:ascii="Agency FB" w:hAnsi="Agency FB"/>
          <w:szCs w:val="18"/>
          <w:lang w:val="es-CO"/>
        </w:rPr>
      </w:pPr>
      <w:r w:rsidRPr="00436521">
        <w:rPr>
          <w:rStyle w:val="Refdenotaalpie"/>
          <w:rFonts w:ascii="Agency FB" w:hAnsi="Agency FB"/>
          <w:szCs w:val="18"/>
        </w:rPr>
        <w:footnoteRef/>
      </w:r>
      <w:r w:rsidRPr="00436521">
        <w:rPr>
          <w:rFonts w:ascii="Agency FB" w:hAnsi="Agency FB"/>
          <w:szCs w:val="18"/>
        </w:rPr>
        <w:t xml:space="preserve"> </w:t>
      </w:r>
      <w:r w:rsidRPr="00436521">
        <w:rPr>
          <w:rFonts w:ascii="Agency FB" w:hAnsi="Agency FB"/>
          <w:szCs w:val="18"/>
          <w:lang w:val="es-CO"/>
        </w:rPr>
        <w:t xml:space="preserve">Documento 11, C. Ppal. </w:t>
      </w:r>
    </w:p>
  </w:footnote>
  <w:footnote w:id="4">
    <w:p w14:paraId="018684B0" w14:textId="7E2F3E9C" w:rsidR="001F1686" w:rsidRPr="00436521" w:rsidRDefault="001F1686" w:rsidP="00436521">
      <w:pPr>
        <w:pStyle w:val="Textonotapie"/>
        <w:jc w:val="both"/>
        <w:rPr>
          <w:rFonts w:ascii="Agency FB" w:hAnsi="Agency FB"/>
          <w:szCs w:val="18"/>
          <w:lang w:val="es-CO"/>
        </w:rPr>
      </w:pPr>
      <w:r w:rsidRPr="00436521">
        <w:rPr>
          <w:rStyle w:val="Refdenotaalpie"/>
          <w:rFonts w:ascii="Agency FB" w:hAnsi="Agency FB"/>
          <w:szCs w:val="18"/>
        </w:rPr>
        <w:footnoteRef/>
      </w:r>
      <w:r w:rsidRPr="00436521">
        <w:rPr>
          <w:rFonts w:ascii="Agency FB" w:hAnsi="Agency FB"/>
          <w:szCs w:val="18"/>
        </w:rPr>
        <w:t xml:space="preserve"> </w:t>
      </w:r>
      <w:r w:rsidRPr="00436521">
        <w:rPr>
          <w:rFonts w:ascii="Agency FB" w:hAnsi="Agency FB"/>
          <w:szCs w:val="18"/>
          <w:lang w:val="es-CO"/>
        </w:rPr>
        <w:t>Documento 13. C. Ppal.</w:t>
      </w:r>
    </w:p>
  </w:footnote>
  <w:footnote w:id="5">
    <w:p w14:paraId="45F8E7CF" w14:textId="77777777" w:rsidR="00254315" w:rsidRPr="00436521" w:rsidRDefault="00254315" w:rsidP="00436521">
      <w:pPr>
        <w:pStyle w:val="Textonotapie"/>
        <w:tabs>
          <w:tab w:val="left" w:pos="426"/>
        </w:tabs>
        <w:jc w:val="both"/>
        <w:rPr>
          <w:rFonts w:ascii="Agency FB" w:hAnsi="Agency FB" w:cstheme="majorHAnsi"/>
          <w:szCs w:val="18"/>
          <w:lang w:val="es-CO"/>
        </w:rPr>
      </w:pPr>
      <w:r w:rsidRPr="00436521">
        <w:rPr>
          <w:rStyle w:val="Refdenotaalpie"/>
          <w:rFonts w:ascii="Agency FB" w:hAnsi="Agency FB" w:cstheme="majorHAnsi"/>
          <w:szCs w:val="18"/>
        </w:rPr>
        <w:footnoteRef/>
      </w:r>
      <w:r w:rsidRPr="00436521">
        <w:rPr>
          <w:rFonts w:ascii="Agency FB" w:hAnsi="Agency FB" w:cstheme="majorHAnsi"/>
          <w:szCs w:val="18"/>
          <w:vertAlign w:val="superscript"/>
        </w:rPr>
        <w:t xml:space="preserve"> </w:t>
      </w:r>
      <w:r w:rsidRPr="00436521">
        <w:rPr>
          <w:rFonts w:ascii="Agency FB" w:hAnsi="Agency FB" w:cstheme="majorHAnsi"/>
          <w:szCs w:val="18"/>
        </w:rPr>
        <w:t>Sentencia C-543-92</w:t>
      </w:r>
    </w:p>
  </w:footnote>
  <w:footnote w:id="6">
    <w:p w14:paraId="432AF9EF" w14:textId="2CD38F9D" w:rsidR="008B14E8" w:rsidRPr="00436521" w:rsidRDefault="008B14E8" w:rsidP="00436521">
      <w:pPr>
        <w:pStyle w:val="Textonotapie"/>
        <w:tabs>
          <w:tab w:val="left" w:pos="284"/>
        </w:tabs>
        <w:jc w:val="both"/>
        <w:rPr>
          <w:rFonts w:ascii="Agency FB" w:hAnsi="Agency FB"/>
          <w:szCs w:val="18"/>
          <w:lang w:val="fr-FR"/>
        </w:rPr>
      </w:pPr>
      <w:r w:rsidRPr="00436521">
        <w:rPr>
          <w:rStyle w:val="Refdenotaalpie"/>
          <w:rFonts w:ascii="Agency FB" w:hAnsi="Agency FB"/>
          <w:szCs w:val="18"/>
        </w:rPr>
        <w:footnoteRef/>
      </w:r>
      <w:r w:rsidRPr="00436521">
        <w:rPr>
          <w:rFonts w:ascii="Agency FB" w:hAnsi="Agency FB"/>
          <w:szCs w:val="18"/>
          <w:lang w:val="fr-FR"/>
        </w:rPr>
        <w:t xml:space="preserve"> Sentencias T-1232 de 2004 y T-510 de 2006.</w:t>
      </w:r>
    </w:p>
  </w:footnote>
  <w:footnote w:id="7">
    <w:p w14:paraId="1A92C73D" w14:textId="71C964BE" w:rsidR="008B14E8" w:rsidRPr="00436521" w:rsidRDefault="008B14E8" w:rsidP="00436521">
      <w:pPr>
        <w:pStyle w:val="Textonotapie"/>
        <w:tabs>
          <w:tab w:val="left" w:pos="284"/>
        </w:tabs>
        <w:jc w:val="both"/>
        <w:rPr>
          <w:rFonts w:ascii="Agency FB" w:hAnsi="Agency FB"/>
          <w:szCs w:val="18"/>
          <w:lang w:val="es-419"/>
        </w:rPr>
      </w:pPr>
      <w:r w:rsidRPr="00436521">
        <w:rPr>
          <w:rStyle w:val="Refdenotaalpie"/>
          <w:rFonts w:ascii="Agency FB" w:hAnsi="Agency FB"/>
          <w:szCs w:val="18"/>
        </w:rPr>
        <w:footnoteRef/>
      </w:r>
      <w:r w:rsidRPr="00436521">
        <w:rPr>
          <w:rFonts w:ascii="Agency FB" w:hAnsi="Agency FB"/>
          <w:szCs w:val="18"/>
        </w:rPr>
        <w:t xml:space="preserve"> </w:t>
      </w:r>
      <w:r w:rsidRPr="00436521">
        <w:rPr>
          <w:rFonts w:ascii="Agency FB" w:hAnsi="Agency FB"/>
          <w:szCs w:val="18"/>
          <w:lang w:val="es-419"/>
        </w:rPr>
        <w:t>Sentencia T-034 de 2017</w:t>
      </w:r>
    </w:p>
  </w:footnote>
  <w:footnote w:id="8">
    <w:p w14:paraId="635876B0" w14:textId="4B3956F2" w:rsidR="008B14E8" w:rsidRPr="00436521" w:rsidRDefault="008B14E8" w:rsidP="00436521">
      <w:pPr>
        <w:pStyle w:val="Textonotapie"/>
        <w:tabs>
          <w:tab w:val="left" w:pos="284"/>
        </w:tabs>
        <w:jc w:val="both"/>
        <w:rPr>
          <w:rFonts w:ascii="Agency FB" w:hAnsi="Agency FB"/>
          <w:szCs w:val="18"/>
        </w:rPr>
      </w:pPr>
      <w:r w:rsidRPr="00436521">
        <w:rPr>
          <w:rStyle w:val="Refdenotaalpie"/>
          <w:rFonts w:ascii="Agency FB" w:hAnsi="Agency FB"/>
          <w:szCs w:val="18"/>
        </w:rPr>
        <w:footnoteRef/>
      </w:r>
      <w:r w:rsidRPr="00436521">
        <w:rPr>
          <w:rFonts w:ascii="Agency FB" w:hAnsi="Agency FB"/>
          <w:szCs w:val="18"/>
          <w:vertAlign w:val="superscript"/>
        </w:rPr>
        <w:t xml:space="preserve"> </w:t>
      </w:r>
      <w:r w:rsidRPr="00436521">
        <w:rPr>
          <w:rFonts w:ascii="Agency FB" w:hAnsi="Agency FB"/>
          <w:szCs w:val="18"/>
        </w:rPr>
        <w:t>M.P. Jaime Córdoba Triviño.</w:t>
      </w:r>
    </w:p>
  </w:footnote>
  <w:footnote w:id="9">
    <w:p w14:paraId="53CE1DFF" w14:textId="52A4D660" w:rsidR="008B14E8" w:rsidRPr="00436521" w:rsidRDefault="008B14E8" w:rsidP="00436521">
      <w:pPr>
        <w:pStyle w:val="Textonotapie"/>
        <w:tabs>
          <w:tab w:val="left" w:pos="284"/>
        </w:tabs>
        <w:jc w:val="both"/>
        <w:rPr>
          <w:rFonts w:ascii="Agency FB" w:hAnsi="Agency FB"/>
          <w:szCs w:val="18"/>
        </w:rPr>
      </w:pPr>
      <w:r w:rsidRPr="00436521">
        <w:rPr>
          <w:rStyle w:val="Refdenotaalpie"/>
          <w:rFonts w:ascii="Agency FB" w:hAnsi="Agency FB"/>
          <w:szCs w:val="18"/>
        </w:rPr>
        <w:footnoteRef/>
      </w:r>
      <w:r w:rsidRPr="00436521">
        <w:rPr>
          <w:rFonts w:ascii="Agency FB" w:hAnsi="Agency FB"/>
          <w:szCs w:val="18"/>
          <w:vertAlign w:val="superscript"/>
        </w:rPr>
        <w:t xml:space="preserve"> </w:t>
      </w:r>
      <w:r w:rsidRPr="00436521">
        <w:rPr>
          <w:rFonts w:ascii="Agency FB" w:hAnsi="Agency FB"/>
          <w:szCs w:val="18"/>
        </w:rPr>
        <w:t>M.P. Luis Ernesto Vargas Silva.</w:t>
      </w:r>
    </w:p>
  </w:footnote>
  <w:footnote w:id="10">
    <w:p w14:paraId="79C88664" w14:textId="78AF3E3E" w:rsidR="008B14E8" w:rsidRPr="00436521" w:rsidRDefault="008B14E8" w:rsidP="00436521">
      <w:pPr>
        <w:pStyle w:val="Textonotapie"/>
        <w:tabs>
          <w:tab w:val="left" w:pos="284"/>
        </w:tabs>
        <w:jc w:val="both"/>
        <w:rPr>
          <w:rFonts w:ascii="Agency FB" w:hAnsi="Agency FB"/>
          <w:szCs w:val="18"/>
        </w:rPr>
      </w:pPr>
      <w:r w:rsidRPr="00436521">
        <w:rPr>
          <w:rStyle w:val="Refdenotaalpie"/>
          <w:rFonts w:ascii="Agency FB" w:hAnsi="Agency FB"/>
          <w:szCs w:val="18"/>
        </w:rPr>
        <w:footnoteRef/>
      </w:r>
      <w:r w:rsidR="003270D2" w:rsidRPr="00436521">
        <w:rPr>
          <w:rFonts w:ascii="Agency FB" w:hAnsi="Agency FB"/>
          <w:szCs w:val="18"/>
        </w:rPr>
        <w:t xml:space="preserve"> CSJ-STC-4982-2022</w:t>
      </w:r>
    </w:p>
  </w:footnote>
  <w:footnote w:id="11">
    <w:p w14:paraId="45E5F3B4" w14:textId="41A95054" w:rsidR="001F1686" w:rsidRPr="00436521" w:rsidRDefault="001F1686" w:rsidP="00436521">
      <w:pPr>
        <w:pStyle w:val="Textonotapie"/>
        <w:jc w:val="both"/>
        <w:rPr>
          <w:rFonts w:ascii="Agency FB" w:hAnsi="Agency FB"/>
          <w:szCs w:val="18"/>
          <w:lang w:val="es-CO"/>
        </w:rPr>
      </w:pPr>
      <w:r w:rsidRPr="00436521">
        <w:rPr>
          <w:rStyle w:val="Refdenotaalpie"/>
          <w:rFonts w:ascii="Agency FB" w:hAnsi="Agency FB"/>
          <w:szCs w:val="18"/>
        </w:rPr>
        <w:footnoteRef/>
      </w:r>
      <w:r w:rsidRPr="00436521">
        <w:rPr>
          <w:rFonts w:ascii="Agency FB" w:hAnsi="Agency FB"/>
          <w:szCs w:val="18"/>
        </w:rPr>
        <w:t xml:space="preserve"> </w:t>
      </w:r>
      <w:r w:rsidRPr="00436521">
        <w:rPr>
          <w:rFonts w:ascii="Agency FB" w:hAnsi="Agency FB"/>
          <w:szCs w:val="18"/>
          <w:lang w:val="es-CO"/>
        </w:rPr>
        <w:t>Documentos denominados “PRUEBA” Documento denominado DEMANDA incorporado en la Carpeta 02.</w:t>
      </w:r>
    </w:p>
  </w:footnote>
  <w:footnote w:id="12">
    <w:p w14:paraId="261E497A" w14:textId="1DB11085" w:rsidR="00A11BAF" w:rsidRPr="00436521" w:rsidRDefault="00A11BAF" w:rsidP="00436521">
      <w:pPr>
        <w:pStyle w:val="Textonotapie"/>
        <w:jc w:val="both"/>
        <w:rPr>
          <w:rFonts w:ascii="Bahnschrift Light Condensed" w:hAnsi="Bahnschrift Light Condensed"/>
          <w:szCs w:val="18"/>
          <w:lang w:val="es-CO"/>
        </w:rPr>
      </w:pPr>
      <w:r w:rsidRPr="00436521">
        <w:rPr>
          <w:rStyle w:val="Refdenotaalpie"/>
          <w:rFonts w:ascii="Agency FB" w:hAnsi="Agency FB"/>
          <w:szCs w:val="18"/>
        </w:rPr>
        <w:footnoteRef/>
      </w:r>
      <w:r w:rsidRPr="00436521">
        <w:rPr>
          <w:rFonts w:ascii="Agency FB" w:hAnsi="Agency FB"/>
          <w:szCs w:val="18"/>
        </w:rPr>
        <w:t xml:space="preserve"> </w:t>
      </w:r>
      <w:r w:rsidR="00946C8D" w:rsidRPr="00436521">
        <w:rPr>
          <w:rFonts w:ascii="Agency FB" w:hAnsi="Agency FB"/>
          <w:szCs w:val="18"/>
        </w:rPr>
        <w:t xml:space="preserve">CC. </w:t>
      </w:r>
      <w:r w:rsidRPr="00436521">
        <w:rPr>
          <w:rFonts w:ascii="Agency FB" w:hAnsi="Agency FB"/>
          <w:szCs w:val="18"/>
          <w:lang w:val="es-CO"/>
        </w:rPr>
        <w:t>Sentencia SU- 174 de 2007</w:t>
      </w:r>
      <w:r w:rsidR="00946C8D" w:rsidRPr="00436521">
        <w:rPr>
          <w:rFonts w:ascii="Agency FB" w:hAnsi="Agency FB"/>
          <w:szCs w:val="18"/>
          <w:lang w:val="es-CO"/>
        </w:rPr>
        <w:t>, reiterada en la SU-</w:t>
      </w:r>
      <w:r w:rsidR="00436521" w:rsidRPr="00436521">
        <w:rPr>
          <w:rFonts w:ascii="Agency FB" w:hAnsi="Agency FB"/>
          <w:szCs w:val="18"/>
          <w:lang w:val="es-CO"/>
        </w:rPr>
        <w:t>656 de</w:t>
      </w:r>
      <w:r w:rsidR="00946C8D" w:rsidRPr="00436521">
        <w:rPr>
          <w:rFonts w:ascii="Agency FB" w:hAnsi="Agency FB"/>
          <w:szCs w:val="18"/>
          <w:lang w:val="es-CO"/>
        </w:rPr>
        <w:t xml:space="preserve"> 2017, y en la CSJ.STC977-2021</w:t>
      </w:r>
    </w:p>
  </w:footnote>
  <w:footnote w:id="13">
    <w:p w14:paraId="606C684D" w14:textId="63EE2FD3" w:rsidR="00724914" w:rsidRPr="00436521" w:rsidRDefault="00724914" w:rsidP="00436521">
      <w:pPr>
        <w:pStyle w:val="Textonotapie"/>
        <w:jc w:val="both"/>
        <w:rPr>
          <w:rFonts w:ascii="Bahnschrift Light Condensed" w:hAnsi="Bahnschrift Light Condensed"/>
          <w:szCs w:val="18"/>
          <w:lang w:val="es-CO"/>
        </w:rPr>
      </w:pPr>
      <w:r w:rsidRPr="00436521">
        <w:rPr>
          <w:rStyle w:val="Refdenotaalpie"/>
          <w:szCs w:val="18"/>
        </w:rPr>
        <w:footnoteRef/>
      </w:r>
      <w:r w:rsidRPr="00436521">
        <w:rPr>
          <w:szCs w:val="18"/>
        </w:rPr>
        <w:t xml:space="preserve"> </w:t>
      </w:r>
      <w:r w:rsidRPr="00436521">
        <w:rPr>
          <w:rFonts w:ascii="Bahnschrift Light Condensed" w:hAnsi="Bahnschrift Light Condensed"/>
          <w:szCs w:val="18"/>
          <w:lang w:val="es-CO"/>
        </w:rPr>
        <w:t>CSJ.STC977-2021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318C7"/>
    <w:rsid w:val="000412C9"/>
    <w:rsid w:val="00041D47"/>
    <w:rsid w:val="00042088"/>
    <w:rsid w:val="00042BFD"/>
    <w:rsid w:val="000568A3"/>
    <w:rsid w:val="00061E67"/>
    <w:rsid w:val="00064E9E"/>
    <w:rsid w:val="00066D3E"/>
    <w:rsid w:val="00067800"/>
    <w:rsid w:val="00071B57"/>
    <w:rsid w:val="00091497"/>
    <w:rsid w:val="00094044"/>
    <w:rsid w:val="00095C04"/>
    <w:rsid w:val="000A02B8"/>
    <w:rsid w:val="000A46E9"/>
    <w:rsid w:val="000A6C3A"/>
    <w:rsid w:val="000C0169"/>
    <w:rsid w:val="000C1EAF"/>
    <w:rsid w:val="000C2E3B"/>
    <w:rsid w:val="000C499E"/>
    <w:rsid w:val="000D07BF"/>
    <w:rsid w:val="000D165B"/>
    <w:rsid w:val="000D1EAA"/>
    <w:rsid w:val="000D72C6"/>
    <w:rsid w:val="000E177B"/>
    <w:rsid w:val="000E4189"/>
    <w:rsid w:val="000E4D42"/>
    <w:rsid w:val="000E4F08"/>
    <w:rsid w:val="000F189F"/>
    <w:rsid w:val="000F4F93"/>
    <w:rsid w:val="00104F3A"/>
    <w:rsid w:val="0010676D"/>
    <w:rsid w:val="00112AC6"/>
    <w:rsid w:val="001173D2"/>
    <w:rsid w:val="001200C9"/>
    <w:rsid w:val="001215F1"/>
    <w:rsid w:val="001217B9"/>
    <w:rsid w:val="00123442"/>
    <w:rsid w:val="001242AD"/>
    <w:rsid w:val="001247B9"/>
    <w:rsid w:val="00125B46"/>
    <w:rsid w:val="001312D4"/>
    <w:rsid w:val="00132C6C"/>
    <w:rsid w:val="0013369B"/>
    <w:rsid w:val="001355B9"/>
    <w:rsid w:val="0013748A"/>
    <w:rsid w:val="00144607"/>
    <w:rsid w:val="00153968"/>
    <w:rsid w:val="001644BC"/>
    <w:rsid w:val="00167C1B"/>
    <w:rsid w:val="0017328F"/>
    <w:rsid w:val="00186126"/>
    <w:rsid w:val="001870A4"/>
    <w:rsid w:val="001920FD"/>
    <w:rsid w:val="001924A5"/>
    <w:rsid w:val="00193310"/>
    <w:rsid w:val="00197B6A"/>
    <w:rsid w:val="001A134E"/>
    <w:rsid w:val="001A2D41"/>
    <w:rsid w:val="001A46A3"/>
    <w:rsid w:val="001A6C2E"/>
    <w:rsid w:val="001A6E73"/>
    <w:rsid w:val="001B45CD"/>
    <w:rsid w:val="001C1144"/>
    <w:rsid w:val="001C1543"/>
    <w:rsid w:val="001C21AB"/>
    <w:rsid w:val="001C401E"/>
    <w:rsid w:val="001C4FAC"/>
    <w:rsid w:val="001C62C3"/>
    <w:rsid w:val="001D7EF0"/>
    <w:rsid w:val="001E0739"/>
    <w:rsid w:val="001E4638"/>
    <w:rsid w:val="001F1686"/>
    <w:rsid w:val="001F6C80"/>
    <w:rsid w:val="0020061A"/>
    <w:rsid w:val="00201343"/>
    <w:rsid w:val="002030E2"/>
    <w:rsid w:val="0020386E"/>
    <w:rsid w:val="00215882"/>
    <w:rsid w:val="0022315A"/>
    <w:rsid w:val="00224ED5"/>
    <w:rsid w:val="00224F77"/>
    <w:rsid w:val="00227E21"/>
    <w:rsid w:val="002322EB"/>
    <w:rsid w:val="0023262F"/>
    <w:rsid w:val="00232F65"/>
    <w:rsid w:val="00233DDD"/>
    <w:rsid w:val="00235AF5"/>
    <w:rsid w:val="002402C7"/>
    <w:rsid w:val="00240A24"/>
    <w:rsid w:val="002452B5"/>
    <w:rsid w:val="00245B9F"/>
    <w:rsid w:val="00253C0F"/>
    <w:rsid w:val="00254040"/>
    <w:rsid w:val="00254315"/>
    <w:rsid w:val="00254CA3"/>
    <w:rsid w:val="00254ECB"/>
    <w:rsid w:val="00260FD5"/>
    <w:rsid w:val="00271EB2"/>
    <w:rsid w:val="002722F9"/>
    <w:rsid w:val="00285265"/>
    <w:rsid w:val="00287908"/>
    <w:rsid w:val="002916DB"/>
    <w:rsid w:val="002A13BB"/>
    <w:rsid w:val="002A2B38"/>
    <w:rsid w:val="002A79BC"/>
    <w:rsid w:val="002B2D36"/>
    <w:rsid w:val="002B3DEE"/>
    <w:rsid w:val="002C1510"/>
    <w:rsid w:val="002C168E"/>
    <w:rsid w:val="002C2AD5"/>
    <w:rsid w:val="002C2D8D"/>
    <w:rsid w:val="002C4C8A"/>
    <w:rsid w:val="002C6530"/>
    <w:rsid w:val="002D1942"/>
    <w:rsid w:val="002D2A03"/>
    <w:rsid w:val="002D2DB6"/>
    <w:rsid w:val="002E0B7F"/>
    <w:rsid w:val="002E0E95"/>
    <w:rsid w:val="002E7F3E"/>
    <w:rsid w:val="002F4460"/>
    <w:rsid w:val="00300E4C"/>
    <w:rsid w:val="0030149B"/>
    <w:rsid w:val="0030320A"/>
    <w:rsid w:val="003049BB"/>
    <w:rsid w:val="00304D7B"/>
    <w:rsid w:val="00306C9C"/>
    <w:rsid w:val="0031224F"/>
    <w:rsid w:val="003127B8"/>
    <w:rsid w:val="00312B3F"/>
    <w:rsid w:val="00312F65"/>
    <w:rsid w:val="00322A90"/>
    <w:rsid w:val="00323452"/>
    <w:rsid w:val="003270D2"/>
    <w:rsid w:val="00332ABC"/>
    <w:rsid w:val="00334BA2"/>
    <w:rsid w:val="0034685F"/>
    <w:rsid w:val="00352AEF"/>
    <w:rsid w:val="003538FF"/>
    <w:rsid w:val="0036170A"/>
    <w:rsid w:val="003664F0"/>
    <w:rsid w:val="00367871"/>
    <w:rsid w:val="00372B17"/>
    <w:rsid w:val="003774F9"/>
    <w:rsid w:val="00384216"/>
    <w:rsid w:val="00387AE2"/>
    <w:rsid w:val="00392809"/>
    <w:rsid w:val="003954E8"/>
    <w:rsid w:val="003969EA"/>
    <w:rsid w:val="00396FAF"/>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E5B22"/>
    <w:rsid w:val="003E5C4B"/>
    <w:rsid w:val="003E6227"/>
    <w:rsid w:val="003F0EBB"/>
    <w:rsid w:val="003F45D8"/>
    <w:rsid w:val="003F5B8E"/>
    <w:rsid w:val="004041EC"/>
    <w:rsid w:val="00405635"/>
    <w:rsid w:val="0041227C"/>
    <w:rsid w:val="00412DDB"/>
    <w:rsid w:val="00413AD2"/>
    <w:rsid w:val="00413F62"/>
    <w:rsid w:val="004159C6"/>
    <w:rsid w:val="00421D19"/>
    <w:rsid w:val="00424BF8"/>
    <w:rsid w:val="00426B0C"/>
    <w:rsid w:val="004322F0"/>
    <w:rsid w:val="00432BE0"/>
    <w:rsid w:val="0043509E"/>
    <w:rsid w:val="00436521"/>
    <w:rsid w:val="00436A51"/>
    <w:rsid w:val="0044045C"/>
    <w:rsid w:val="00444E53"/>
    <w:rsid w:val="00451F7F"/>
    <w:rsid w:val="004526DA"/>
    <w:rsid w:val="00460E1E"/>
    <w:rsid w:val="00464776"/>
    <w:rsid w:val="004659D1"/>
    <w:rsid w:val="0047092A"/>
    <w:rsid w:val="00471335"/>
    <w:rsid w:val="0047610A"/>
    <w:rsid w:val="004819D1"/>
    <w:rsid w:val="00491B5E"/>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20D8"/>
    <w:rsid w:val="00503915"/>
    <w:rsid w:val="00511613"/>
    <w:rsid w:val="00511D1E"/>
    <w:rsid w:val="00526F23"/>
    <w:rsid w:val="00540152"/>
    <w:rsid w:val="00543A5E"/>
    <w:rsid w:val="005507E9"/>
    <w:rsid w:val="00552BB7"/>
    <w:rsid w:val="005559ED"/>
    <w:rsid w:val="00560147"/>
    <w:rsid w:val="00562E9C"/>
    <w:rsid w:val="00564DDB"/>
    <w:rsid w:val="00570FFC"/>
    <w:rsid w:val="005729AD"/>
    <w:rsid w:val="00574A34"/>
    <w:rsid w:val="005768F7"/>
    <w:rsid w:val="00584980"/>
    <w:rsid w:val="00585313"/>
    <w:rsid w:val="0059222F"/>
    <w:rsid w:val="005930DD"/>
    <w:rsid w:val="005A044B"/>
    <w:rsid w:val="005A079A"/>
    <w:rsid w:val="005A1133"/>
    <w:rsid w:val="005A7048"/>
    <w:rsid w:val="005A793D"/>
    <w:rsid w:val="005B227F"/>
    <w:rsid w:val="005B4AFA"/>
    <w:rsid w:val="005B55D5"/>
    <w:rsid w:val="005B5C51"/>
    <w:rsid w:val="005C668F"/>
    <w:rsid w:val="005D2439"/>
    <w:rsid w:val="005D5FC7"/>
    <w:rsid w:val="005D6060"/>
    <w:rsid w:val="005E7EEC"/>
    <w:rsid w:val="005F02D6"/>
    <w:rsid w:val="005F271D"/>
    <w:rsid w:val="005F7531"/>
    <w:rsid w:val="00600D03"/>
    <w:rsid w:val="00601F73"/>
    <w:rsid w:val="00601FE4"/>
    <w:rsid w:val="006039FA"/>
    <w:rsid w:val="00603CCC"/>
    <w:rsid w:val="00606AF6"/>
    <w:rsid w:val="0060733E"/>
    <w:rsid w:val="00614042"/>
    <w:rsid w:val="006143D6"/>
    <w:rsid w:val="0061791A"/>
    <w:rsid w:val="006207BC"/>
    <w:rsid w:val="00622276"/>
    <w:rsid w:val="00622EA3"/>
    <w:rsid w:val="006258CE"/>
    <w:rsid w:val="006264E5"/>
    <w:rsid w:val="00632258"/>
    <w:rsid w:val="00634223"/>
    <w:rsid w:val="00635E0B"/>
    <w:rsid w:val="006417A9"/>
    <w:rsid w:val="006430BD"/>
    <w:rsid w:val="00645BC9"/>
    <w:rsid w:val="006503A5"/>
    <w:rsid w:val="006577D7"/>
    <w:rsid w:val="0066132B"/>
    <w:rsid w:val="00667A1A"/>
    <w:rsid w:val="00671EB7"/>
    <w:rsid w:val="006733C8"/>
    <w:rsid w:val="0068071E"/>
    <w:rsid w:val="00682FC9"/>
    <w:rsid w:val="00685931"/>
    <w:rsid w:val="006A212D"/>
    <w:rsid w:val="006A73A1"/>
    <w:rsid w:val="006B16B9"/>
    <w:rsid w:val="006B3724"/>
    <w:rsid w:val="006B3A15"/>
    <w:rsid w:val="006B732F"/>
    <w:rsid w:val="006B737A"/>
    <w:rsid w:val="006D2FF0"/>
    <w:rsid w:val="006D7206"/>
    <w:rsid w:val="006E416D"/>
    <w:rsid w:val="006E5F5D"/>
    <w:rsid w:val="006F2100"/>
    <w:rsid w:val="006F55EB"/>
    <w:rsid w:val="006F7900"/>
    <w:rsid w:val="00713293"/>
    <w:rsid w:val="00713CBA"/>
    <w:rsid w:val="00721029"/>
    <w:rsid w:val="007227F4"/>
    <w:rsid w:val="00724914"/>
    <w:rsid w:val="00726A23"/>
    <w:rsid w:val="0073025A"/>
    <w:rsid w:val="0073799D"/>
    <w:rsid w:val="00737EA8"/>
    <w:rsid w:val="007462C9"/>
    <w:rsid w:val="0075284A"/>
    <w:rsid w:val="007556AD"/>
    <w:rsid w:val="0075606B"/>
    <w:rsid w:val="00763241"/>
    <w:rsid w:val="0076766B"/>
    <w:rsid w:val="007679BD"/>
    <w:rsid w:val="00772119"/>
    <w:rsid w:val="00772AAC"/>
    <w:rsid w:val="00772C38"/>
    <w:rsid w:val="00776793"/>
    <w:rsid w:val="00780B0B"/>
    <w:rsid w:val="00781014"/>
    <w:rsid w:val="00781027"/>
    <w:rsid w:val="007857F8"/>
    <w:rsid w:val="00785A72"/>
    <w:rsid w:val="0079179A"/>
    <w:rsid w:val="007926E7"/>
    <w:rsid w:val="00795F6C"/>
    <w:rsid w:val="00797787"/>
    <w:rsid w:val="007A1BFF"/>
    <w:rsid w:val="007A4F97"/>
    <w:rsid w:val="007A6015"/>
    <w:rsid w:val="007A6CD6"/>
    <w:rsid w:val="007A7C07"/>
    <w:rsid w:val="007B1F52"/>
    <w:rsid w:val="007B2477"/>
    <w:rsid w:val="007B42E9"/>
    <w:rsid w:val="007C2744"/>
    <w:rsid w:val="007C2B9B"/>
    <w:rsid w:val="007C3831"/>
    <w:rsid w:val="007C7130"/>
    <w:rsid w:val="007D0DB4"/>
    <w:rsid w:val="007E5244"/>
    <w:rsid w:val="007F21BE"/>
    <w:rsid w:val="00801030"/>
    <w:rsid w:val="008133EF"/>
    <w:rsid w:val="0083127D"/>
    <w:rsid w:val="0083178D"/>
    <w:rsid w:val="00831DA5"/>
    <w:rsid w:val="00833381"/>
    <w:rsid w:val="008361D0"/>
    <w:rsid w:val="008463A0"/>
    <w:rsid w:val="0084695B"/>
    <w:rsid w:val="00850350"/>
    <w:rsid w:val="00850B1A"/>
    <w:rsid w:val="0085355E"/>
    <w:rsid w:val="00864C42"/>
    <w:rsid w:val="00865CC7"/>
    <w:rsid w:val="008718AA"/>
    <w:rsid w:val="008762E3"/>
    <w:rsid w:val="00883511"/>
    <w:rsid w:val="00885088"/>
    <w:rsid w:val="00886098"/>
    <w:rsid w:val="0088614D"/>
    <w:rsid w:val="008905AF"/>
    <w:rsid w:val="0089318E"/>
    <w:rsid w:val="0089515D"/>
    <w:rsid w:val="0089683B"/>
    <w:rsid w:val="00896CBB"/>
    <w:rsid w:val="008A0096"/>
    <w:rsid w:val="008A3D69"/>
    <w:rsid w:val="008A700A"/>
    <w:rsid w:val="008B14E8"/>
    <w:rsid w:val="008B1C3E"/>
    <w:rsid w:val="008B237F"/>
    <w:rsid w:val="008B74D3"/>
    <w:rsid w:val="008C036D"/>
    <w:rsid w:val="008C0977"/>
    <w:rsid w:val="008C2D90"/>
    <w:rsid w:val="008C590D"/>
    <w:rsid w:val="008C7B94"/>
    <w:rsid w:val="008D25E4"/>
    <w:rsid w:val="008D38B4"/>
    <w:rsid w:val="008E1E32"/>
    <w:rsid w:val="008E3460"/>
    <w:rsid w:val="008E507B"/>
    <w:rsid w:val="008F1BED"/>
    <w:rsid w:val="008F1F32"/>
    <w:rsid w:val="008F3AA0"/>
    <w:rsid w:val="008F4959"/>
    <w:rsid w:val="008F5A0D"/>
    <w:rsid w:val="008F60B4"/>
    <w:rsid w:val="009022F5"/>
    <w:rsid w:val="00904820"/>
    <w:rsid w:val="009170CD"/>
    <w:rsid w:val="00924001"/>
    <w:rsid w:val="0092590C"/>
    <w:rsid w:val="00925F27"/>
    <w:rsid w:val="009426D1"/>
    <w:rsid w:val="00943FF1"/>
    <w:rsid w:val="00946C8D"/>
    <w:rsid w:val="00965768"/>
    <w:rsid w:val="00966586"/>
    <w:rsid w:val="00970A5F"/>
    <w:rsid w:val="00972F33"/>
    <w:rsid w:val="00974547"/>
    <w:rsid w:val="00987327"/>
    <w:rsid w:val="009878F9"/>
    <w:rsid w:val="00994430"/>
    <w:rsid w:val="00994E40"/>
    <w:rsid w:val="009A2618"/>
    <w:rsid w:val="009A30A9"/>
    <w:rsid w:val="009A60E5"/>
    <w:rsid w:val="009A633D"/>
    <w:rsid w:val="009B2FBD"/>
    <w:rsid w:val="009C3244"/>
    <w:rsid w:val="009C4207"/>
    <w:rsid w:val="009C6854"/>
    <w:rsid w:val="009C6B54"/>
    <w:rsid w:val="009D0F3B"/>
    <w:rsid w:val="009D4C7B"/>
    <w:rsid w:val="009D4F57"/>
    <w:rsid w:val="009D5349"/>
    <w:rsid w:val="009D67D9"/>
    <w:rsid w:val="009D6EA3"/>
    <w:rsid w:val="009E0FD8"/>
    <w:rsid w:val="009E4741"/>
    <w:rsid w:val="009E7C38"/>
    <w:rsid w:val="009F21F9"/>
    <w:rsid w:val="009F2F0F"/>
    <w:rsid w:val="009F3E84"/>
    <w:rsid w:val="009F65B9"/>
    <w:rsid w:val="00A006BB"/>
    <w:rsid w:val="00A0360C"/>
    <w:rsid w:val="00A11B7B"/>
    <w:rsid w:val="00A11BAF"/>
    <w:rsid w:val="00A12F74"/>
    <w:rsid w:val="00A133A5"/>
    <w:rsid w:val="00A135D1"/>
    <w:rsid w:val="00A1540A"/>
    <w:rsid w:val="00A16252"/>
    <w:rsid w:val="00A22663"/>
    <w:rsid w:val="00A27193"/>
    <w:rsid w:val="00A322C1"/>
    <w:rsid w:val="00A34B2C"/>
    <w:rsid w:val="00A35114"/>
    <w:rsid w:val="00A37894"/>
    <w:rsid w:val="00A4037B"/>
    <w:rsid w:val="00A42D85"/>
    <w:rsid w:val="00A43E9F"/>
    <w:rsid w:val="00A54986"/>
    <w:rsid w:val="00A573BD"/>
    <w:rsid w:val="00A6223C"/>
    <w:rsid w:val="00A633EE"/>
    <w:rsid w:val="00A659BB"/>
    <w:rsid w:val="00A66628"/>
    <w:rsid w:val="00A745F1"/>
    <w:rsid w:val="00A74732"/>
    <w:rsid w:val="00A75F16"/>
    <w:rsid w:val="00A777DB"/>
    <w:rsid w:val="00A806FE"/>
    <w:rsid w:val="00A80E17"/>
    <w:rsid w:val="00A80E46"/>
    <w:rsid w:val="00A81FE7"/>
    <w:rsid w:val="00A8218F"/>
    <w:rsid w:val="00A97ED4"/>
    <w:rsid w:val="00AA1030"/>
    <w:rsid w:val="00AA7448"/>
    <w:rsid w:val="00AC3596"/>
    <w:rsid w:val="00AC524D"/>
    <w:rsid w:val="00AC5562"/>
    <w:rsid w:val="00AC613D"/>
    <w:rsid w:val="00AC7344"/>
    <w:rsid w:val="00AD08D8"/>
    <w:rsid w:val="00AD4788"/>
    <w:rsid w:val="00AD5A79"/>
    <w:rsid w:val="00AD6088"/>
    <w:rsid w:val="00AE2260"/>
    <w:rsid w:val="00AE26B6"/>
    <w:rsid w:val="00AE385E"/>
    <w:rsid w:val="00AE58D7"/>
    <w:rsid w:val="00AE6090"/>
    <w:rsid w:val="00AE7954"/>
    <w:rsid w:val="00AF3B8C"/>
    <w:rsid w:val="00AF434C"/>
    <w:rsid w:val="00AF4AD3"/>
    <w:rsid w:val="00AF578D"/>
    <w:rsid w:val="00AF5B39"/>
    <w:rsid w:val="00AF711D"/>
    <w:rsid w:val="00AF7819"/>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F11"/>
    <w:rsid w:val="00B85916"/>
    <w:rsid w:val="00B87A7E"/>
    <w:rsid w:val="00B93B44"/>
    <w:rsid w:val="00B94A29"/>
    <w:rsid w:val="00BB225A"/>
    <w:rsid w:val="00BC4222"/>
    <w:rsid w:val="00BC4493"/>
    <w:rsid w:val="00BD49B7"/>
    <w:rsid w:val="00BD6634"/>
    <w:rsid w:val="00BE3D4C"/>
    <w:rsid w:val="00BF18C1"/>
    <w:rsid w:val="00BF426C"/>
    <w:rsid w:val="00C124BB"/>
    <w:rsid w:val="00C269C8"/>
    <w:rsid w:val="00C325B0"/>
    <w:rsid w:val="00C34EFA"/>
    <w:rsid w:val="00C363A5"/>
    <w:rsid w:val="00C36F68"/>
    <w:rsid w:val="00C4363F"/>
    <w:rsid w:val="00C47BB2"/>
    <w:rsid w:val="00C527D7"/>
    <w:rsid w:val="00C545D0"/>
    <w:rsid w:val="00C54BA0"/>
    <w:rsid w:val="00C56087"/>
    <w:rsid w:val="00C60402"/>
    <w:rsid w:val="00C60AAB"/>
    <w:rsid w:val="00C611C3"/>
    <w:rsid w:val="00C62B4F"/>
    <w:rsid w:val="00C67C66"/>
    <w:rsid w:val="00C700B9"/>
    <w:rsid w:val="00C71F28"/>
    <w:rsid w:val="00C77960"/>
    <w:rsid w:val="00C805F6"/>
    <w:rsid w:val="00C806F1"/>
    <w:rsid w:val="00C82097"/>
    <w:rsid w:val="00C83E82"/>
    <w:rsid w:val="00C8489D"/>
    <w:rsid w:val="00C9231A"/>
    <w:rsid w:val="00C938BB"/>
    <w:rsid w:val="00C9743B"/>
    <w:rsid w:val="00CA22AE"/>
    <w:rsid w:val="00CA4B60"/>
    <w:rsid w:val="00CA5BD1"/>
    <w:rsid w:val="00CB1463"/>
    <w:rsid w:val="00CB678B"/>
    <w:rsid w:val="00CB75FF"/>
    <w:rsid w:val="00CB761D"/>
    <w:rsid w:val="00CB7F71"/>
    <w:rsid w:val="00CD0F98"/>
    <w:rsid w:val="00CD34E9"/>
    <w:rsid w:val="00CD73E5"/>
    <w:rsid w:val="00CE21AC"/>
    <w:rsid w:val="00CE400D"/>
    <w:rsid w:val="00CE46E8"/>
    <w:rsid w:val="00CE5F63"/>
    <w:rsid w:val="00CE7353"/>
    <w:rsid w:val="00D17EE1"/>
    <w:rsid w:val="00D20A4B"/>
    <w:rsid w:val="00D22A74"/>
    <w:rsid w:val="00D33B86"/>
    <w:rsid w:val="00D33F47"/>
    <w:rsid w:val="00D412F5"/>
    <w:rsid w:val="00D45A2C"/>
    <w:rsid w:val="00D46456"/>
    <w:rsid w:val="00D475CE"/>
    <w:rsid w:val="00D51969"/>
    <w:rsid w:val="00D52BD4"/>
    <w:rsid w:val="00D55575"/>
    <w:rsid w:val="00D615F0"/>
    <w:rsid w:val="00D65EB2"/>
    <w:rsid w:val="00D7085A"/>
    <w:rsid w:val="00D728FC"/>
    <w:rsid w:val="00D758BF"/>
    <w:rsid w:val="00D75EE4"/>
    <w:rsid w:val="00D8186A"/>
    <w:rsid w:val="00DA007F"/>
    <w:rsid w:val="00DA1066"/>
    <w:rsid w:val="00DA4626"/>
    <w:rsid w:val="00DA5B0C"/>
    <w:rsid w:val="00DB2B97"/>
    <w:rsid w:val="00DB37D6"/>
    <w:rsid w:val="00DB68A5"/>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264C2"/>
    <w:rsid w:val="00E31BED"/>
    <w:rsid w:val="00E32527"/>
    <w:rsid w:val="00E37E1F"/>
    <w:rsid w:val="00E43D64"/>
    <w:rsid w:val="00E45B97"/>
    <w:rsid w:val="00E51237"/>
    <w:rsid w:val="00E523B1"/>
    <w:rsid w:val="00E54632"/>
    <w:rsid w:val="00E56441"/>
    <w:rsid w:val="00E6002C"/>
    <w:rsid w:val="00E60F1F"/>
    <w:rsid w:val="00E610DE"/>
    <w:rsid w:val="00E64FFE"/>
    <w:rsid w:val="00E76783"/>
    <w:rsid w:val="00E8047F"/>
    <w:rsid w:val="00EA359C"/>
    <w:rsid w:val="00EC12BC"/>
    <w:rsid w:val="00EC3881"/>
    <w:rsid w:val="00EC3BA3"/>
    <w:rsid w:val="00EC5E42"/>
    <w:rsid w:val="00EC7D99"/>
    <w:rsid w:val="00ED3C77"/>
    <w:rsid w:val="00ED3FEF"/>
    <w:rsid w:val="00ED4685"/>
    <w:rsid w:val="00ED7C4B"/>
    <w:rsid w:val="00EE4976"/>
    <w:rsid w:val="00F05BE1"/>
    <w:rsid w:val="00F111E5"/>
    <w:rsid w:val="00F139AB"/>
    <w:rsid w:val="00F1637D"/>
    <w:rsid w:val="00F20A47"/>
    <w:rsid w:val="00F20F4E"/>
    <w:rsid w:val="00F23445"/>
    <w:rsid w:val="00F23829"/>
    <w:rsid w:val="00F25E25"/>
    <w:rsid w:val="00F266A0"/>
    <w:rsid w:val="00F34452"/>
    <w:rsid w:val="00F52C02"/>
    <w:rsid w:val="00F56DE1"/>
    <w:rsid w:val="00F575BF"/>
    <w:rsid w:val="00F611DC"/>
    <w:rsid w:val="00F621CD"/>
    <w:rsid w:val="00F63AAA"/>
    <w:rsid w:val="00F65078"/>
    <w:rsid w:val="00F66464"/>
    <w:rsid w:val="00F70803"/>
    <w:rsid w:val="00F70A56"/>
    <w:rsid w:val="00F8047B"/>
    <w:rsid w:val="00F90CD5"/>
    <w:rsid w:val="00FA037D"/>
    <w:rsid w:val="00FA0411"/>
    <w:rsid w:val="00FB0D6F"/>
    <w:rsid w:val="00FB0E44"/>
    <w:rsid w:val="00FB2968"/>
    <w:rsid w:val="00FB4917"/>
    <w:rsid w:val="00FB7F2B"/>
    <w:rsid w:val="00FC513B"/>
    <w:rsid w:val="00FD6F14"/>
    <w:rsid w:val="00FE0A85"/>
    <w:rsid w:val="00FF0520"/>
    <w:rsid w:val="00FF2B3F"/>
    <w:rsid w:val="00FF4225"/>
    <w:rsid w:val="00FF608F"/>
    <w:rsid w:val="00FF6842"/>
    <w:rsid w:val="01B75FB3"/>
    <w:rsid w:val="02322B1C"/>
    <w:rsid w:val="078223BB"/>
    <w:rsid w:val="09A874F6"/>
    <w:rsid w:val="0AB818B9"/>
    <w:rsid w:val="0B4747FE"/>
    <w:rsid w:val="0B67BFD3"/>
    <w:rsid w:val="0CBC3DD9"/>
    <w:rsid w:val="0CFAE481"/>
    <w:rsid w:val="0D57E1A6"/>
    <w:rsid w:val="0DAE133F"/>
    <w:rsid w:val="0DB219A3"/>
    <w:rsid w:val="0E2DA76F"/>
    <w:rsid w:val="0E332C80"/>
    <w:rsid w:val="1124B92E"/>
    <w:rsid w:val="12E0FD8B"/>
    <w:rsid w:val="137C1B61"/>
    <w:rsid w:val="14819A2D"/>
    <w:rsid w:val="16B6D183"/>
    <w:rsid w:val="1745315C"/>
    <w:rsid w:val="18989E57"/>
    <w:rsid w:val="1C2AD919"/>
    <w:rsid w:val="1C72B9CD"/>
    <w:rsid w:val="1D53B946"/>
    <w:rsid w:val="1F9D6034"/>
    <w:rsid w:val="2174FB0A"/>
    <w:rsid w:val="21E40371"/>
    <w:rsid w:val="252413DD"/>
    <w:rsid w:val="255D9782"/>
    <w:rsid w:val="266E4100"/>
    <w:rsid w:val="26B26152"/>
    <w:rsid w:val="2765FA3D"/>
    <w:rsid w:val="2B173D59"/>
    <w:rsid w:val="2B923032"/>
    <w:rsid w:val="2D1D1E79"/>
    <w:rsid w:val="2DA8E53F"/>
    <w:rsid w:val="34FA0FA9"/>
    <w:rsid w:val="39361892"/>
    <w:rsid w:val="396B83AC"/>
    <w:rsid w:val="3A8EEA45"/>
    <w:rsid w:val="3B1CFE81"/>
    <w:rsid w:val="3DC0565C"/>
    <w:rsid w:val="400EF936"/>
    <w:rsid w:val="41EB90F0"/>
    <w:rsid w:val="45E4F599"/>
    <w:rsid w:val="4A70EEAC"/>
    <w:rsid w:val="4A894C17"/>
    <w:rsid w:val="4C0235DA"/>
    <w:rsid w:val="4DAF636A"/>
    <w:rsid w:val="4E88E081"/>
    <w:rsid w:val="4EFD54B4"/>
    <w:rsid w:val="4F7347DC"/>
    <w:rsid w:val="4FAE9B9B"/>
    <w:rsid w:val="50850B74"/>
    <w:rsid w:val="53E28AD8"/>
    <w:rsid w:val="54AE2057"/>
    <w:rsid w:val="57A1A001"/>
    <w:rsid w:val="590FC3D7"/>
    <w:rsid w:val="5A324E74"/>
    <w:rsid w:val="5ECC7C03"/>
    <w:rsid w:val="5FEDD0B3"/>
    <w:rsid w:val="607A5F2D"/>
    <w:rsid w:val="6297BA85"/>
    <w:rsid w:val="65BF2E58"/>
    <w:rsid w:val="66E34B09"/>
    <w:rsid w:val="6A1C3832"/>
    <w:rsid w:val="6B7D838D"/>
    <w:rsid w:val="6C8237AE"/>
    <w:rsid w:val="6E3C1272"/>
    <w:rsid w:val="70F44441"/>
    <w:rsid w:val="7223C854"/>
    <w:rsid w:val="72A4B8BD"/>
    <w:rsid w:val="72E37A1F"/>
    <w:rsid w:val="73CCD7C0"/>
    <w:rsid w:val="750D988E"/>
    <w:rsid w:val="793FA05F"/>
    <w:rsid w:val="79693D10"/>
    <w:rsid w:val="7B75C39E"/>
    <w:rsid w:val="7BD48A10"/>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qFormat/>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Textoindependiente">
    <w:name w:val="Body Text"/>
    <w:basedOn w:val="Normal"/>
    <w:link w:val="TextoindependienteCar"/>
    <w:uiPriority w:val="99"/>
    <w:unhideWhenUsed/>
    <w:rsid w:val="00125B46"/>
    <w:pPr>
      <w:spacing w:after="120"/>
    </w:pPr>
  </w:style>
  <w:style w:type="character" w:customStyle="1" w:styleId="TextoindependienteCar">
    <w:name w:val="Texto independiente Car"/>
    <w:basedOn w:val="Fuentedeprrafopredeter"/>
    <w:link w:val="Textoindependiente"/>
    <w:uiPriority w:val="99"/>
    <w:rsid w:val="00125B46"/>
    <w:rPr>
      <w:rFonts w:ascii="Times New Roman" w:eastAsia="Times New Roman" w:hAnsi="Times New Roman"/>
      <w:lang w:val="es-ES" w:eastAsia="es-ES"/>
    </w:rPr>
  </w:style>
  <w:style w:type="paragraph" w:customStyle="1" w:styleId="Sinespaciado6">
    <w:name w:val="Sin espaciado6"/>
    <w:rsid w:val="008B14E8"/>
    <w:rPr>
      <w:rFonts w:ascii="Times New Roman" w:eastAsia="Times New Roman" w:hAnsi="Times New Roman"/>
      <w:sz w:val="24"/>
      <w:szCs w:val="24"/>
      <w:lang w:val="es-ES" w:eastAsia="es-ES"/>
    </w:rPr>
  </w:style>
  <w:style w:type="paragraph" w:customStyle="1" w:styleId="Textodebloque1">
    <w:name w:val="Texto de bloque1"/>
    <w:basedOn w:val="Normal"/>
    <w:rsid w:val="008B14E8"/>
    <w:pPr>
      <w:ind w:left="561" w:right="561"/>
      <w:jc w:val="both"/>
    </w:pPr>
  </w:style>
  <w:style w:type="character" w:customStyle="1" w:styleId="PrrafodelistaCar">
    <w:name w:val="Párrafo de lista Car"/>
    <w:link w:val="Prrafodelista"/>
    <w:uiPriority w:val="34"/>
    <w:locked/>
    <w:rsid w:val="008B14E8"/>
    <w:rPr>
      <w:rFonts w:ascii="Times New Roman" w:eastAsia="Times New Roman" w:hAnsi="Times New Roman"/>
      <w:lang w:val="es-ES" w:eastAsia="es-ES"/>
    </w:rPr>
  </w:style>
  <w:style w:type="paragraph" w:styleId="Sinespaciado">
    <w:name w:val="No Spacing"/>
    <w:link w:val="SinespaciadoCar"/>
    <w:uiPriority w:val="1"/>
    <w:qFormat/>
    <w:rsid w:val="007C2744"/>
    <w:rPr>
      <w:rFonts w:eastAsia="Times New Roman"/>
      <w:sz w:val="22"/>
      <w:szCs w:val="22"/>
      <w:lang w:val="es-ES" w:eastAsia="es-ES"/>
    </w:rPr>
  </w:style>
  <w:style w:type="character" w:customStyle="1" w:styleId="SinespaciadoCar">
    <w:name w:val="Sin espaciado Car"/>
    <w:link w:val="Sinespaciado"/>
    <w:uiPriority w:val="1"/>
    <w:locked/>
    <w:rsid w:val="007C2744"/>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647710565">
      <w:bodyDiv w:val="1"/>
      <w:marLeft w:val="0"/>
      <w:marRight w:val="0"/>
      <w:marTop w:val="0"/>
      <w:marBottom w:val="0"/>
      <w:divBdr>
        <w:top w:val="none" w:sz="0" w:space="0" w:color="auto"/>
        <w:left w:val="none" w:sz="0" w:space="0" w:color="auto"/>
        <w:bottom w:val="none" w:sz="0" w:space="0" w:color="auto"/>
        <w:right w:val="none" w:sz="0" w:space="0" w:color="auto"/>
      </w:divBdr>
    </w:div>
    <w:div w:id="886841405">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13347150">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263830eab0df453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B507B87E-3951-444F-8A46-4DB61CBE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0B253BF-CACA-4D5F-8421-0A4E67F2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2447</Words>
  <Characters>13462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2019-08-13T19:36:00Z</cp:lastPrinted>
  <dcterms:created xsi:type="dcterms:W3CDTF">2022-05-10T20:21:00Z</dcterms:created>
  <dcterms:modified xsi:type="dcterms:W3CDTF">2022-07-22T16:06:00Z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