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BCAD" w14:textId="77777777" w:rsidR="001C38F0" w:rsidRPr="008A290B" w:rsidRDefault="001C38F0" w:rsidP="001C38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E2159B" w14:textId="77777777" w:rsidR="001C38F0" w:rsidRDefault="001C38F0" w:rsidP="001C38F0">
      <w:pPr>
        <w:jc w:val="both"/>
        <w:rPr>
          <w:rFonts w:ascii="Arial" w:hAnsi="Arial" w:cs="Arial"/>
          <w:lang w:val="es-419"/>
        </w:rPr>
      </w:pPr>
    </w:p>
    <w:p w14:paraId="2063D691" w14:textId="75B3F952" w:rsidR="001C38F0" w:rsidRPr="00E32969" w:rsidRDefault="004561BE" w:rsidP="001C38F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REQUISITOS DE PROCEDIBILIDAD DE LA TUTELA / MORA JUDICIAL / NO BASTA EL RETRASO, DEBE SER INJUSTIFICADO / DEBE ANALIZARSE CADA CASO EN CONCRETO.</w:t>
      </w:r>
    </w:p>
    <w:p w14:paraId="312B4AE0" w14:textId="06E10380" w:rsidR="001C38F0" w:rsidRDefault="001C38F0" w:rsidP="001C38F0">
      <w:pPr>
        <w:jc w:val="both"/>
        <w:rPr>
          <w:rFonts w:ascii="Arial" w:hAnsi="Arial" w:cs="Arial"/>
          <w:lang w:val="es-419"/>
        </w:rPr>
      </w:pPr>
    </w:p>
    <w:p w14:paraId="0B8B38CA" w14:textId="77777777" w:rsidR="00F72E4E" w:rsidRPr="00F72E4E" w:rsidRDefault="00F72E4E" w:rsidP="00F72E4E">
      <w:pPr>
        <w:jc w:val="both"/>
        <w:rPr>
          <w:rFonts w:ascii="Arial" w:hAnsi="Arial" w:cs="Arial"/>
          <w:lang w:val="es-419"/>
        </w:rPr>
      </w:pPr>
      <w:r w:rsidRPr="00F72E4E">
        <w:rPr>
          <w:rFonts w:ascii="Arial" w:hAnsi="Arial" w:cs="Arial"/>
          <w:lang w:val="es-419"/>
        </w:rPr>
        <w:t xml:space="preserve">Acude en esta oportunidad el señor Sebastián Ramírez, en procura de la protección de su derecho fundamental al debido proceso, por la inconformidad que le causa que el juzgado accionado se demore para proferir alguna decisión en relación con una acción popular que radicó el 4 de abril de 2022. </w:t>
      </w:r>
    </w:p>
    <w:p w14:paraId="770E6430" w14:textId="77777777" w:rsidR="00F72E4E" w:rsidRPr="00F72E4E" w:rsidRDefault="00F72E4E" w:rsidP="00F72E4E">
      <w:pPr>
        <w:jc w:val="both"/>
        <w:rPr>
          <w:rFonts w:ascii="Arial" w:hAnsi="Arial" w:cs="Arial"/>
          <w:lang w:val="es-419"/>
        </w:rPr>
      </w:pPr>
    </w:p>
    <w:p w14:paraId="014FF8D4" w14:textId="0CFA6EDB" w:rsidR="001C38F0" w:rsidRDefault="00F72E4E" w:rsidP="00F72E4E">
      <w:pPr>
        <w:jc w:val="both"/>
        <w:rPr>
          <w:rFonts w:ascii="Arial" w:hAnsi="Arial" w:cs="Arial"/>
          <w:lang w:val="es-419"/>
        </w:rPr>
      </w:pPr>
      <w:r w:rsidRPr="00F72E4E">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w:t>
      </w:r>
      <w:r w:rsidR="000E3129">
        <w:rPr>
          <w:rFonts w:ascii="Arial" w:hAnsi="Arial" w:cs="Arial"/>
          <w:lang w:val="es-419"/>
        </w:rPr>
        <w:t>…</w:t>
      </w:r>
    </w:p>
    <w:p w14:paraId="3068C762" w14:textId="3EB5D3B1" w:rsidR="001C38F0" w:rsidRDefault="001C38F0" w:rsidP="001C38F0">
      <w:pPr>
        <w:jc w:val="both"/>
        <w:rPr>
          <w:rFonts w:ascii="Arial" w:hAnsi="Arial" w:cs="Arial"/>
          <w:lang w:val="es-419"/>
        </w:rPr>
      </w:pPr>
    </w:p>
    <w:p w14:paraId="2BC111F9" w14:textId="6CC1D9AC" w:rsidR="000E3129" w:rsidRPr="000E3129" w:rsidRDefault="000E3129" w:rsidP="000E3129">
      <w:pPr>
        <w:jc w:val="both"/>
        <w:rPr>
          <w:rFonts w:ascii="Arial" w:hAnsi="Arial" w:cs="Arial"/>
          <w:lang w:val="es-419"/>
        </w:rPr>
      </w:pPr>
      <w:r>
        <w:rPr>
          <w:rFonts w:ascii="Arial" w:hAnsi="Arial" w:cs="Arial"/>
          <w:lang w:val="es-419"/>
        </w:rPr>
        <w:t xml:space="preserve">… </w:t>
      </w:r>
      <w:r w:rsidRPr="000E3129">
        <w:rPr>
          <w:rFonts w:ascii="Arial" w:hAnsi="Arial" w:cs="Arial"/>
          <w:lang w:val="es-419"/>
        </w:rPr>
        <w:t xml:space="preserve">el defecto procedimental por mora judicial se presenta: </w:t>
      </w:r>
    </w:p>
    <w:p w14:paraId="28DB4E75" w14:textId="77777777" w:rsidR="000E3129" w:rsidRPr="000E3129" w:rsidRDefault="000E3129" w:rsidP="000E3129">
      <w:pPr>
        <w:jc w:val="both"/>
        <w:rPr>
          <w:rFonts w:ascii="Arial" w:hAnsi="Arial" w:cs="Arial"/>
          <w:lang w:val="es-419"/>
        </w:rPr>
      </w:pPr>
    </w:p>
    <w:p w14:paraId="60870604" w14:textId="0934A6A7" w:rsidR="001C38F0" w:rsidRDefault="000E3129" w:rsidP="000E3129">
      <w:pPr>
        <w:jc w:val="both"/>
        <w:rPr>
          <w:rFonts w:ascii="Arial" w:hAnsi="Arial" w:cs="Arial"/>
          <w:lang w:val="es-419"/>
        </w:rPr>
      </w:pPr>
      <w:r w:rsidRPr="000E3129">
        <w:rPr>
          <w:rFonts w:ascii="Arial" w:hAnsi="Arial" w:cs="Arial"/>
          <w:lang w:val="es-419"/>
        </w:rPr>
        <w:t>“(…) cuando en el proceso se presenta una demora injustificada que impide la adopción de la decisión judicial definitiva. Esto no quiere decir que sea posible cuestionar mediante tutela cualquier retraso, alegando de forma general la existencia de una mora judicial, pues lo que se cuestiona en este supuesto es la propia vulneración del derecho a un trámite judicial ágil y sin dilaciones injustificadas.”</w:t>
      </w:r>
    </w:p>
    <w:p w14:paraId="61DA87C7" w14:textId="1797CC44" w:rsidR="001C38F0" w:rsidRDefault="001C38F0" w:rsidP="001C38F0">
      <w:pPr>
        <w:jc w:val="both"/>
        <w:rPr>
          <w:rFonts w:ascii="Arial" w:hAnsi="Arial" w:cs="Arial"/>
          <w:lang w:val="es-419"/>
        </w:rPr>
      </w:pPr>
    </w:p>
    <w:p w14:paraId="3584008E" w14:textId="2B5B6091" w:rsidR="001C38F0" w:rsidRDefault="00224CD5" w:rsidP="001C38F0">
      <w:pPr>
        <w:jc w:val="both"/>
        <w:rPr>
          <w:rFonts w:ascii="Arial" w:hAnsi="Arial" w:cs="Arial"/>
          <w:lang w:val="es-419"/>
        </w:rPr>
      </w:pPr>
      <w:r>
        <w:rPr>
          <w:rFonts w:ascii="Arial" w:hAnsi="Arial" w:cs="Arial"/>
          <w:lang w:val="es-419"/>
        </w:rPr>
        <w:t xml:space="preserve">… </w:t>
      </w:r>
      <w:r w:rsidRPr="00224CD5">
        <w:rPr>
          <w:rFonts w:ascii="Arial" w:hAnsi="Arial" w:cs="Arial"/>
          <w:lang w:val="es-419"/>
        </w:rPr>
        <w:t>hasta este punto, se concluye que es justificada la demora del juzgado para resolver sobre la admisibilidad de la demanda popular, en el entendido de que, viene recibiendo un muy elevado número de procesos, es así que desde el martes 29 de marzo hasta el lunes 25 de abril de 2022, recibió 46 procesos, de los cuales 34 son acciones populares, cada una de las cuales requiere de un examen exhaustivo para su iniciación</w:t>
      </w:r>
      <w:r>
        <w:rPr>
          <w:rFonts w:ascii="Arial" w:hAnsi="Arial" w:cs="Arial"/>
          <w:lang w:val="es-419"/>
        </w:rPr>
        <w:t>…</w:t>
      </w:r>
    </w:p>
    <w:p w14:paraId="7E4CB871" w14:textId="604CBD83" w:rsidR="001C38F0" w:rsidRDefault="001C38F0" w:rsidP="001C38F0">
      <w:pPr>
        <w:jc w:val="both"/>
        <w:rPr>
          <w:rFonts w:ascii="Arial" w:hAnsi="Arial" w:cs="Arial"/>
          <w:lang w:val="es-419"/>
        </w:rPr>
      </w:pPr>
    </w:p>
    <w:p w14:paraId="7B0F2B2B" w14:textId="5C3E4237" w:rsidR="001C38F0" w:rsidRDefault="00224CD5" w:rsidP="001C38F0">
      <w:pPr>
        <w:jc w:val="both"/>
        <w:rPr>
          <w:rFonts w:ascii="Arial" w:hAnsi="Arial" w:cs="Arial"/>
          <w:lang w:val="es-419"/>
        </w:rPr>
      </w:pPr>
      <w:r w:rsidRPr="00224CD5">
        <w:rPr>
          <w:rFonts w:ascii="Arial" w:hAnsi="Arial" w:cs="Arial"/>
          <w:lang w:val="es-419"/>
        </w:rPr>
        <w:t>En suma, si bien es cierto que se superó el término de tres días hábiles para decidir sobre la admisión del proceso de marras, también lo es que la demora no es desbordada, ni es producto de la desidia del despacho encartado, lo que hace inexistente la vulneración que se le endilga</w:t>
      </w:r>
      <w:r>
        <w:rPr>
          <w:rFonts w:ascii="Arial" w:hAnsi="Arial" w:cs="Arial"/>
          <w:lang w:val="es-419"/>
        </w:rPr>
        <w:t>…</w:t>
      </w:r>
    </w:p>
    <w:p w14:paraId="3B709767" w14:textId="696D13FF" w:rsidR="001C38F0" w:rsidRDefault="001C38F0" w:rsidP="001C38F0">
      <w:pPr>
        <w:jc w:val="both"/>
        <w:rPr>
          <w:rFonts w:ascii="Arial" w:hAnsi="Arial" w:cs="Arial"/>
          <w:lang w:val="es-419"/>
        </w:rPr>
      </w:pPr>
    </w:p>
    <w:p w14:paraId="18A505B7" w14:textId="0DD8FC6C" w:rsidR="001C38F0" w:rsidRDefault="001C38F0" w:rsidP="001C38F0">
      <w:pPr>
        <w:jc w:val="both"/>
        <w:rPr>
          <w:rFonts w:ascii="Arial" w:hAnsi="Arial" w:cs="Arial"/>
          <w:lang w:val="es-419"/>
        </w:rPr>
      </w:pPr>
    </w:p>
    <w:p w14:paraId="585884E3" w14:textId="77777777" w:rsidR="001C38F0" w:rsidRPr="00E32969" w:rsidRDefault="001C38F0" w:rsidP="001C38F0">
      <w:pPr>
        <w:jc w:val="both"/>
        <w:rPr>
          <w:rFonts w:ascii="Arial" w:hAnsi="Arial" w:cs="Arial"/>
          <w:lang w:val="es-419"/>
        </w:rPr>
      </w:pPr>
    </w:p>
    <w:p w14:paraId="4B14FE4C" w14:textId="1EA43160" w:rsidR="00622EA3" w:rsidRPr="00F2593F" w:rsidRDefault="00622EA3" w:rsidP="00F2593F">
      <w:pPr>
        <w:spacing w:line="276" w:lineRule="auto"/>
        <w:ind w:firstLine="2835"/>
        <w:jc w:val="both"/>
        <w:rPr>
          <w:rFonts w:ascii="Gadugi" w:hAnsi="Gadugi"/>
          <w:b/>
          <w:bCs/>
          <w:sz w:val="24"/>
          <w:szCs w:val="24"/>
        </w:rPr>
      </w:pPr>
      <w:r w:rsidRPr="00F2593F">
        <w:rPr>
          <w:rFonts w:ascii="Gadugi" w:hAnsi="Gadugi"/>
          <w:b/>
          <w:bCs/>
          <w:sz w:val="24"/>
          <w:szCs w:val="24"/>
        </w:rPr>
        <w:t xml:space="preserve">TRIBUNAL SUPERIOR DEL DISTRITO JUDICIAL </w:t>
      </w:r>
    </w:p>
    <w:p w14:paraId="7F6C7CB4" w14:textId="77777777" w:rsidR="00622EA3" w:rsidRPr="00F2593F" w:rsidRDefault="00622EA3" w:rsidP="00F2593F">
      <w:pPr>
        <w:spacing w:line="276" w:lineRule="auto"/>
        <w:ind w:firstLine="2835"/>
        <w:jc w:val="both"/>
        <w:rPr>
          <w:rFonts w:ascii="Gadugi" w:hAnsi="Gadugi"/>
          <w:b/>
          <w:sz w:val="24"/>
          <w:szCs w:val="24"/>
        </w:rPr>
      </w:pPr>
      <w:r w:rsidRPr="00F2593F">
        <w:rPr>
          <w:rFonts w:ascii="Gadugi" w:hAnsi="Gadugi"/>
          <w:b/>
          <w:sz w:val="24"/>
          <w:szCs w:val="24"/>
        </w:rPr>
        <w:t xml:space="preserve">          SALA DE DECISIÓN CIVIL FAMILIA </w:t>
      </w:r>
    </w:p>
    <w:p w14:paraId="7FF8F016" w14:textId="77777777" w:rsidR="00622EA3" w:rsidRPr="00F2593F" w:rsidRDefault="00622EA3" w:rsidP="00F2593F">
      <w:pPr>
        <w:spacing w:line="276" w:lineRule="auto"/>
        <w:ind w:firstLine="2835"/>
        <w:jc w:val="both"/>
        <w:rPr>
          <w:rFonts w:ascii="Gadugi" w:hAnsi="Gadugi"/>
          <w:sz w:val="24"/>
          <w:szCs w:val="24"/>
        </w:rPr>
      </w:pPr>
    </w:p>
    <w:p w14:paraId="2CF272AC" w14:textId="77777777" w:rsidR="00622EA3" w:rsidRPr="00F2593F" w:rsidRDefault="00622EA3" w:rsidP="00F2593F">
      <w:pPr>
        <w:spacing w:line="276" w:lineRule="auto"/>
        <w:ind w:firstLine="2835"/>
        <w:jc w:val="both"/>
        <w:rPr>
          <w:rFonts w:ascii="Gadugi" w:hAnsi="Gadugi"/>
          <w:sz w:val="24"/>
          <w:szCs w:val="24"/>
        </w:rPr>
      </w:pPr>
      <w:r w:rsidRPr="00F2593F">
        <w:rPr>
          <w:rFonts w:ascii="Gadugi" w:hAnsi="Gadugi"/>
          <w:sz w:val="24"/>
          <w:szCs w:val="24"/>
        </w:rPr>
        <w:t>Magistrado: Jaime Alberto Saraza Naranjo</w:t>
      </w:r>
    </w:p>
    <w:p w14:paraId="6C260D3E" w14:textId="13707EF2" w:rsidR="00622EA3" w:rsidRPr="00F2593F" w:rsidRDefault="00622EA3" w:rsidP="00F2593F">
      <w:pPr>
        <w:spacing w:line="276" w:lineRule="auto"/>
        <w:ind w:firstLine="2835"/>
        <w:jc w:val="both"/>
        <w:rPr>
          <w:rFonts w:ascii="Gadugi" w:hAnsi="Gadugi"/>
          <w:sz w:val="24"/>
          <w:szCs w:val="24"/>
          <w:lang w:val="es-419"/>
        </w:rPr>
      </w:pPr>
      <w:r w:rsidRPr="00F2593F">
        <w:rPr>
          <w:rFonts w:ascii="Gadugi" w:hAnsi="Gadugi"/>
          <w:sz w:val="24"/>
          <w:szCs w:val="24"/>
        </w:rPr>
        <w:t>Pereira,</w:t>
      </w:r>
      <w:r w:rsidR="008B1C3E" w:rsidRPr="00F2593F">
        <w:rPr>
          <w:rFonts w:ascii="Gadugi" w:hAnsi="Gadugi"/>
          <w:sz w:val="24"/>
          <w:szCs w:val="24"/>
        </w:rPr>
        <w:t xml:space="preserve"> </w:t>
      </w:r>
      <w:r w:rsidR="001A7E58" w:rsidRPr="00F2593F">
        <w:rPr>
          <w:rFonts w:ascii="Gadugi" w:hAnsi="Gadugi"/>
          <w:sz w:val="24"/>
          <w:szCs w:val="24"/>
        </w:rPr>
        <w:t>mayo diez de dos mil veintidós</w:t>
      </w:r>
    </w:p>
    <w:p w14:paraId="2BAF390D" w14:textId="77777777" w:rsidR="00F2593F" w:rsidRDefault="00622EA3" w:rsidP="00F2593F">
      <w:pPr>
        <w:spacing w:line="276" w:lineRule="auto"/>
        <w:ind w:firstLine="2835"/>
        <w:jc w:val="both"/>
        <w:rPr>
          <w:rFonts w:ascii="Gadugi" w:hAnsi="Gadugi"/>
          <w:sz w:val="24"/>
          <w:szCs w:val="24"/>
        </w:rPr>
      </w:pPr>
      <w:r w:rsidRPr="00F2593F">
        <w:rPr>
          <w:rFonts w:ascii="Gadugi" w:hAnsi="Gadugi"/>
          <w:sz w:val="24"/>
          <w:szCs w:val="24"/>
        </w:rPr>
        <w:t>Expediente: 660012213000202</w:t>
      </w:r>
      <w:r w:rsidR="008E3460" w:rsidRPr="00F2593F">
        <w:rPr>
          <w:rFonts w:ascii="Gadugi" w:hAnsi="Gadugi"/>
          <w:sz w:val="24"/>
          <w:szCs w:val="24"/>
        </w:rPr>
        <w:t>2</w:t>
      </w:r>
      <w:r w:rsidRPr="00F2593F">
        <w:rPr>
          <w:rFonts w:ascii="Gadugi" w:hAnsi="Gadugi"/>
          <w:sz w:val="24"/>
          <w:szCs w:val="24"/>
        </w:rPr>
        <w:t>00</w:t>
      </w:r>
      <w:r w:rsidR="008E3460" w:rsidRPr="00F2593F">
        <w:rPr>
          <w:rFonts w:ascii="Gadugi" w:hAnsi="Gadugi"/>
          <w:sz w:val="24"/>
          <w:szCs w:val="24"/>
        </w:rPr>
        <w:t>0</w:t>
      </w:r>
      <w:r w:rsidR="00752F21" w:rsidRPr="00F2593F">
        <w:rPr>
          <w:rFonts w:ascii="Gadugi" w:hAnsi="Gadugi"/>
          <w:sz w:val="24"/>
          <w:szCs w:val="24"/>
        </w:rPr>
        <w:t>84</w:t>
      </w:r>
      <w:r w:rsidRPr="00F2593F">
        <w:rPr>
          <w:rFonts w:ascii="Gadugi" w:hAnsi="Gadugi"/>
          <w:sz w:val="24"/>
          <w:szCs w:val="24"/>
        </w:rPr>
        <w:t>00</w:t>
      </w:r>
    </w:p>
    <w:p w14:paraId="6EA93A28" w14:textId="77777777" w:rsidR="00F2593F" w:rsidRDefault="00622EA3" w:rsidP="00F2593F">
      <w:pPr>
        <w:spacing w:line="276" w:lineRule="auto"/>
        <w:ind w:firstLine="2835"/>
        <w:jc w:val="both"/>
        <w:rPr>
          <w:rFonts w:ascii="Gadugi" w:hAnsi="Gadugi"/>
          <w:sz w:val="24"/>
          <w:szCs w:val="24"/>
        </w:rPr>
      </w:pPr>
      <w:r w:rsidRPr="00F2593F">
        <w:rPr>
          <w:rFonts w:ascii="Gadugi" w:hAnsi="Gadugi"/>
          <w:sz w:val="24"/>
          <w:szCs w:val="24"/>
        </w:rPr>
        <w:t>Acta:</w:t>
      </w:r>
      <w:r w:rsidR="001A7E58" w:rsidRPr="00F2593F">
        <w:rPr>
          <w:rFonts w:ascii="Gadugi" w:hAnsi="Gadugi"/>
          <w:sz w:val="24"/>
          <w:szCs w:val="24"/>
        </w:rPr>
        <w:t xml:space="preserve"> 185 del 10 de mayo de 2022</w:t>
      </w:r>
    </w:p>
    <w:p w14:paraId="12085F01" w14:textId="71401D84" w:rsidR="00622EA3" w:rsidRPr="00F2593F" w:rsidRDefault="00622EA3" w:rsidP="00F2593F">
      <w:pPr>
        <w:spacing w:line="276" w:lineRule="auto"/>
        <w:ind w:firstLine="2835"/>
        <w:jc w:val="both"/>
        <w:rPr>
          <w:rFonts w:ascii="Gadugi" w:hAnsi="Gadugi"/>
          <w:sz w:val="24"/>
          <w:szCs w:val="24"/>
        </w:rPr>
      </w:pPr>
      <w:r w:rsidRPr="00F2593F">
        <w:rPr>
          <w:rFonts w:ascii="Gadugi" w:hAnsi="Gadugi"/>
          <w:sz w:val="24"/>
          <w:szCs w:val="24"/>
        </w:rPr>
        <w:t>Sentencia:</w:t>
      </w:r>
      <w:r w:rsidR="008B1C3E" w:rsidRPr="00F2593F">
        <w:rPr>
          <w:rFonts w:ascii="Gadugi" w:hAnsi="Gadugi"/>
          <w:sz w:val="24"/>
          <w:szCs w:val="24"/>
        </w:rPr>
        <w:t xml:space="preserve"> </w:t>
      </w:r>
      <w:r w:rsidR="001A7E58" w:rsidRPr="00F2593F">
        <w:rPr>
          <w:rFonts w:ascii="Gadugi" w:hAnsi="Gadugi"/>
          <w:sz w:val="24"/>
          <w:szCs w:val="24"/>
        </w:rPr>
        <w:t>ST1-</w:t>
      </w:r>
      <w:r w:rsidR="00E64FD7">
        <w:rPr>
          <w:rFonts w:ascii="Gadugi" w:hAnsi="Gadugi"/>
          <w:sz w:val="24"/>
          <w:szCs w:val="24"/>
        </w:rPr>
        <w:t>00</w:t>
      </w:r>
      <w:bookmarkStart w:id="0" w:name="_GoBack"/>
      <w:bookmarkEnd w:id="0"/>
      <w:r w:rsidR="001A7E58" w:rsidRPr="00F2593F">
        <w:rPr>
          <w:rFonts w:ascii="Gadugi" w:hAnsi="Gadugi"/>
          <w:sz w:val="24"/>
          <w:szCs w:val="24"/>
        </w:rPr>
        <w:t>62-2022</w:t>
      </w:r>
      <w:r w:rsidR="00752F21" w:rsidRPr="00F2593F">
        <w:rPr>
          <w:rFonts w:ascii="Gadugi" w:hAnsi="Gadugi"/>
          <w:sz w:val="24"/>
          <w:szCs w:val="24"/>
        </w:rPr>
        <w:t xml:space="preserve"> </w:t>
      </w:r>
      <w:r w:rsidR="0031224F" w:rsidRPr="00F2593F">
        <w:rPr>
          <w:rFonts w:ascii="Gadugi" w:hAnsi="Gadugi"/>
          <w:sz w:val="24"/>
          <w:szCs w:val="24"/>
        </w:rPr>
        <w:t xml:space="preserve"> </w:t>
      </w:r>
      <w:r w:rsidR="008B1C3E" w:rsidRPr="00F2593F">
        <w:rPr>
          <w:rFonts w:ascii="Gadugi" w:hAnsi="Gadugi"/>
          <w:sz w:val="24"/>
          <w:szCs w:val="24"/>
        </w:rPr>
        <w:t xml:space="preserve"> </w:t>
      </w:r>
      <w:r w:rsidR="00E45B97" w:rsidRPr="00F2593F">
        <w:rPr>
          <w:rFonts w:ascii="Gadugi" w:hAnsi="Gadugi"/>
          <w:sz w:val="24"/>
          <w:szCs w:val="24"/>
        </w:rPr>
        <w:t xml:space="preserve"> </w:t>
      </w:r>
      <w:r w:rsidR="008E3460" w:rsidRPr="00F2593F">
        <w:rPr>
          <w:rFonts w:ascii="Gadugi" w:hAnsi="Gadugi"/>
          <w:sz w:val="24"/>
          <w:szCs w:val="24"/>
        </w:rPr>
        <w:t xml:space="preserve"> </w:t>
      </w:r>
    </w:p>
    <w:p w14:paraId="0E72F967" w14:textId="4C1E39C0" w:rsidR="00622EA3" w:rsidRPr="00F2593F" w:rsidRDefault="00622EA3" w:rsidP="00F2593F">
      <w:pPr>
        <w:spacing w:line="276" w:lineRule="auto"/>
        <w:ind w:firstLine="2835"/>
        <w:jc w:val="both"/>
        <w:rPr>
          <w:rFonts w:ascii="Gadugi" w:hAnsi="Gadugi"/>
          <w:sz w:val="24"/>
          <w:szCs w:val="24"/>
        </w:rPr>
      </w:pPr>
    </w:p>
    <w:p w14:paraId="67EC5AB5" w14:textId="561B42BD" w:rsidR="00575838" w:rsidRPr="00F2593F" w:rsidRDefault="00622EA3" w:rsidP="00F2593F">
      <w:pPr>
        <w:spacing w:line="276" w:lineRule="auto"/>
        <w:ind w:firstLine="2835"/>
        <w:jc w:val="both"/>
        <w:rPr>
          <w:rFonts w:ascii="Gadugi" w:hAnsi="Gadugi" w:cs="Century Gothic"/>
          <w:bCs/>
          <w:sz w:val="24"/>
          <w:szCs w:val="24"/>
        </w:rPr>
      </w:pPr>
      <w:r w:rsidRPr="00F2593F">
        <w:rPr>
          <w:rFonts w:ascii="Gadugi" w:hAnsi="Gadugi" w:cs="Century Gothic"/>
          <w:sz w:val="24"/>
          <w:szCs w:val="24"/>
        </w:rPr>
        <w:t>Decide la Sala la acción de tutela promovida</w:t>
      </w:r>
      <w:r w:rsidR="00667A1A" w:rsidRPr="00F2593F">
        <w:rPr>
          <w:rFonts w:ascii="Gadugi" w:hAnsi="Gadugi" w:cs="Century Gothic"/>
          <w:sz w:val="24"/>
          <w:szCs w:val="24"/>
        </w:rPr>
        <w:t xml:space="preserve"> </w:t>
      </w:r>
      <w:r w:rsidRPr="00F2593F">
        <w:rPr>
          <w:rFonts w:ascii="Gadugi" w:hAnsi="Gadugi" w:cs="Century Gothic"/>
          <w:sz w:val="24"/>
          <w:szCs w:val="24"/>
        </w:rPr>
        <w:t xml:space="preserve">por </w:t>
      </w:r>
      <w:r w:rsidR="00752F21" w:rsidRPr="00F2593F">
        <w:rPr>
          <w:rFonts w:ascii="Gadugi" w:hAnsi="Gadugi" w:cs="Century Gothic"/>
          <w:b/>
          <w:sz w:val="24"/>
          <w:szCs w:val="24"/>
        </w:rPr>
        <w:t>Sebastián Ramírez</w:t>
      </w:r>
      <w:r w:rsidR="00601FE4" w:rsidRPr="00F2593F">
        <w:rPr>
          <w:rFonts w:ascii="Gadugi" w:hAnsi="Gadugi" w:cs="Century Gothic"/>
          <w:sz w:val="24"/>
          <w:szCs w:val="24"/>
        </w:rPr>
        <w:t xml:space="preserve"> contra el </w:t>
      </w:r>
      <w:r w:rsidRPr="00F2593F">
        <w:rPr>
          <w:rFonts w:ascii="Gadugi" w:hAnsi="Gadugi" w:cs="Century Gothic"/>
          <w:b/>
          <w:bCs/>
          <w:sz w:val="24"/>
          <w:szCs w:val="24"/>
        </w:rPr>
        <w:t xml:space="preserve">Juzgado </w:t>
      </w:r>
      <w:r w:rsidR="00752F21" w:rsidRPr="00F2593F">
        <w:rPr>
          <w:rFonts w:ascii="Gadugi" w:hAnsi="Gadugi" w:cs="Century Gothic"/>
          <w:b/>
          <w:bCs/>
          <w:sz w:val="24"/>
          <w:szCs w:val="24"/>
        </w:rPr>
        <w:t>Quinto</w:t>
      </w:r>
      <w:r w:rsidR="00575838" w:rsidRPr="00F2593F">
        <w:rPr>
          <w:rFonts w:ascii="Gadugi" w:hAnsi="Gadugi" w:cs="Century Gothic"/>
          <w:b/>
          <w:bCs/>
          <w:sz w:val="24"/>
          <w:szCs w:val="24"/>
        </w:rPr>
        <w:t xml:space="preserve"> Civil del Circuito de Pereira y el “procurador delegado en acciones populares”</w:t>
      </w:r>
      <w:r w:rsidR="00575838" w:rsidRPr="00F2593F">
        <w:rPr>
          <w:rFonts w:ascii="Gadugi" w:hAnsi="Gadugi" w:cs="Century Gothic"/>
          <w:bCs/>
          <w:sz w:val="24"/>
          <w:szCs w:val="24"/>
        </w:rPr>
        <w:t>,</w:t>
      </w:r>
      <w:r w:rsidR="00575838" w:rsidRPr="00F2593F">
        <w:rPr>
          <w:rFonts w:ascii="Gadugi" w:hAnsi="Gadugi" w:cs="Century Gothic"/>
          <w:b/>
          <w:bCs/>
          <w:sz w:val="24"/>
          <w:szCs w:val="24"/>
        </w:rPr>
        <w:t xml:space="preserve"> </w:t>
      </w:r>
      <w:r w:rsidR="00575838" w:rsidRPr="00F2593F">
        <w:rPr>
          <w:rFonts w:ascii="Gadugi" w:hAnsi="Gadugi" w:cs="Century Gothic"/>
          <w:bCs/>
          <w:sz w:val="24"/>
          <w:szCs w:val="24"/>
        </w:rPr>
        <w:t xml:space="preserve">a la que fueron vinculados la </w:t>
      </w:r>
      <w:r w:rsidR="00575838" w:rsidRPr="00F2593F">
        <w:rPr>
          <w:rFonts w:ascii="Gadugi" w:hAnsi="Gadugi" w:cs="Century Gothic"/>
          <w:b/>
          <w:bCs/>
          <w:sz w:val="24"/>
          <w:szCs w:val="24"/>
        </w:rPr>
        <w:t>Alcaldía</w:t>
      </w:r>
      <w:r w:rsidR="00575838" w:rsidRPr="00F2593F">
        <w:rPr>
          <w:rFonts w:ascii="Gadugi" w:hAnsi="Gadugi" w:cs="Century Gothic"/>
          <w:bCs/>
          <w:sz w:val="24"/>
          <w:szCs w:val="24"/>
        </w:rPr>
        <w:t xml:space="preserve"> </w:t>
      </w:r>
      <w:r w:rsidR="00752F21" w:rsidRPr="00F2593F">
        <w:rPr>
          <w:rFonts w:ascii="Gadugi" w:hAnsi="Gadugi" w:cs="Century Gothic"/>
          <w:bCs/>
          <w:sz w:val="24"/>
          <w:szCs w:val="24"/>
        </w:rPr>
        <w:t xml:space="preserve">y la </w:t>
      </w:r>
      <w:r w:rsidR="00752F21" w:rsidRPr="00F2593F">
        <w:rPr>
          <w:rFonts w:ascii="Gadugi" w:hAnsi="Gadugi" w:cs="Century Gothic"/>
          <w:b/>
          <w:bCs/>
          <w:sz w:val="24"/>
          <w:szCs w:val="24"/>
        </w:rPr>
        <w:t>Personería</w:t>
      </w:r>
      <w:r w:rsidR="00752F21" w:rsidRPr="00F2593F">
        <w:rPr>
          <w:rFonts w:ascii="Gadugi" w:hAnsi="Gadugi" w:cs="Century Gothic"/>
          <w:bCs/>
          <w:sz w:val="24"/>
          <w:szCs w:val="24"/>
        </w:rPr>
        <w:t xml:space="preserve"> </w:t>
      </w:r>
      <w:r w:rsidR="00575838" w:rsidRPr="00F2593F">
        <w:rPr>
          <w:rFonts w:ascii="Gadugi" w:hAnsi="Gadugi" w:cs="Century Gothic"/>
          <w:bCs/>
          <w:sz w:val="24"/>
          <w:szCs w:val="24"/>
        </w:rPr>
        <w:t>de es</w:t>
      </w:r>
      <w:r w:rsidR="00175C27" w:rsidRPr="00F2593F">
        <w:rPr>
          <w:rFonts w:ascii="Gadugi" w:hAnsi="Gadugi" w:cs="Century Gothic"/>
          <w:bCs/>
          <w:sz w:val="24"/>
          <w:szCs w:val="24"/>
        </w:rPr>
        <w:t>t</w:t>
      </w:r>
      <w:r w:rsidR="00575838" w:rsidRPr="00F2593F">
        <w:rPr>
          <w:rFonts w:ascii="Gadugi" w:hAnsi="Gadugi" w:cs="Century Gothic"/>
          <w:bCs/>
          <w:sz w:val="24"/>
          <w:szCs w:val="24"/>
        </w:rPr>
        <w:t xml:space="preserve">e municipio, así como la </w:t>
      </w:r>
      <w:r w:rsidR="00575838" w:rsidRPr="00F2593F">
        <w:rPr>
          <w:rFonts w:ascii="Gadugi" w:hAnsi="Gadugi" w:cs="Century Gothic"/>
          <w:b/>
          <w:bCs/>
          <w:sz w:val="24"/>
          <w:szCs w:val="24"/>
        </w:rPr>
        <w:t>Procuraduría</w:t>
      </w:r>
      <w:r w:rsidR="00575838" w:rsidRPr="00F2593F">
        <w:rPr>
          <w:rFonts w:ascii="Gadugi" w:hAnsi="Gadugi" w:cs="Century Gothic"/>
          <w:bCs/>
          <w:sz w:val="24"/>
          <w:szCs w:val="24"/>
        </w:rPr>
        <w:t xml:space="preserve"> y a la </w:t>
      </w:r>
      <w:r w:rsidR="00575838" w:rsidRPr="00F2593F">
        <w:rPr>
          <w:rFonts w:ascii="Gadugi" w:hAnsi="Gadugi" w:cs="Century Gothic"/>
          <w:b/>
          <w:bCs/>
          <w:sz w:val="24"/>
          <w:szCs w:val="24"/>
        </w:rPr>
        <w:t>Defensoría del Pueblo de Risaralda.</w:t>
      </w:r>
    </w:p>
    <w:p w14:paraId="4A19C3EA" w14:textId="03C0D246" w:rsidR="00DE2D75" w:rsidRPr="00F2593F" w:rsidRDefault="00334BA2" w:rsidP="00F2593F">
      <w:pPr>
        <w:spacing w:line="276" w:lineRule="auto"/>
        <w:rPr>
          <w:rFonts w:ascii="Gadugi" w:hAnsi="Gadugi"/>
          <w:sz w:val="24"/>
          <w:szCs w:val="24"/>
          <w:lang w:val="es-MX"/>
        </w:rPr>
      </w:pPr>
      <w:r w:rsidRPr="00F2593F">
        <w:rPr>
          <w:rFonts w:ascii="Gadugi" w:hAnsi="Gadugi"/>
          <w:sz w:val="24"/>
          <w:szCs w:val="24"/>
          <w:lang w:val="es-MX"/>
        </w:rPr>
        <w:tab/>
      </w:r>
      <w:r w:rsidRPr="00F2593F">
        <w:rPr>
          <w:rFonts w:ascii="Gadugi" w:hAnsi="Gadugi"/>
          <w:sz w:val="24"/>
          <w:szCs w:val="24"/>
          <w:lang w:val="es-MX"/>
        </w:rPr>
        <w:tab/>
      </w:r>
      <w:r w:rsidRPr="00F2593F">
        <w:rPr>
          <w:rFonts w:ascii="Gadugi" w:hAnsi="Gadugi"/>
          <w:sz w:val="24"/>
          <w:szCs w:val="24"/>
          <w:lang w:val="es-MX"/>
        </w:rPr>
        <w:tab/>
      </w:r>
      <w:r w:rsidRPr="00F2593F">
        <w:rPr>
          <w:rFonts w:ascii="Gadugi" w:hAnsi="Gadugi"/>
          <w:sz w:val="24"/>
          <w:szCs w:val="24"/>
          <w:lang w:val="es-MX"/>
        </w:rPr>
        <w:tab/>
      </w:r>
    </w:p>
    <w:p w14:paraId="5FC40CE4" w14:textId="77777777" w:rsidR="00622EA3" w:rsidRPr="00F2593F" w:rsidRDefault="00622EA3" w:rsidP="00F2593F">
      <w:pPr>
        <w:pStyle w:val="Ttulo4"/>
        <w:spacing w:line="276" w:lineRule="auto"/>
        <w:rPr>
          <w:rFonts w:ascii="Gadugi" w:hAnsi="Gadugi"/>
          <w:b/>
          <w:sz w:val="24"/>
          <w:szCs w:val="24"/>
        </w:rPr>
      </w:pPr>
      <w:r w:rsidRPr="00F2593F">
        <w:rPr>
          <w:rFonts w:ascii="Gadugi" w:hAnsi="Gadugi"/>
          <w:b/>
          <w:sz w:val="24"/>
          <w:szCs w:val="24"/>
        </w:rPr>
        <w:t>ANTECEDENTES</w:t>
      </w:r>
    </w:p>
    <w:p w14:paraId="5B81C4EA" w14:textId="77777777" w:rsidR="00622EA3" w:rsidRPr="00F2593F" w:rsidRDefault="00622EA3"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p>
    <w:p w14:paraId="11041258" w14:textId="458D082E" w:rsidR="00E37491" w:rsidRPr="00F2593F" w:rsidRDefault="00622EA3"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 xml:space="preserve">  </w:t>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t xml:space="preserve">Narró el </w:t>
      </w:r>
      <w:r w:rsidR="00752F21" w:rsidRPr="00F2593F">
        <w:rPr>
          <w:rFonts w:ascii="Gadugi" w:hAnsi="Gadugi" w:cs="Century Gothic"/>
          <w:sz w:val="24"/>
          <w:szCs w:val="24"/>
          <w:lang w:val="es-CO"/>
        </w:rPr>
        <w:t>libelista</w:t>
      </w:r>
      <w:r w:rsidRPr="00F2593F">
        <w:rPr>
          <w:rFonts w:ascii="Gadugi" w:hAnsi="Gadugi" w:cs="Century Gothic"/>
          <w:sz w:val="24"/>
          <w:szCs w:val="24"/>
          <w:lang w:val="es-CO"/>
        </w:rPr>
        <w:t xml:space="preserve"> que</w:t>
      </w:r>
      <w:r w:rsidR="00575838" w:rsidRPr="00F2593F">
        <w:rPr>
          <w:rFonts w:ascii="Gadugi" w:hAnsi="Gadugi" w:cs="Century Gothic"/>
          <w:sz w:val="24"/>
          <w:szCs w:val="24"/>
          <w:lang w:val="es-CO"/>
        </w:rPr>
        <w:t xml:space="preserve"> presentó una acción popular a la que le correspondió el radicado </w:t>
      </w:r>
      <w:r w:rsidR="00575838" w:rsidRPr="00F2593F">
        <w:rPr>
          <w:rFonts w:ascii="Gadugi" w:hAnsi="Gadugi" w:cs="Century Gothic"/>
          <w:b/>
          <w:sz w:val="24"/>
          <w:szCs w:val="24"/>
          <w:lang w:val="es-CO"/>
        </w:rPr>
        <w:t>2022-00</w:t>
      </w:r>
      <w:r w:rsidR="00752F21" w:rsidRPr="00F2593F">
        <w:rPr>
          <w:rFonts w:ascii="Gadugi" w:hAnsi="Gadugi" w:cs="Century Gothic"/>
          <w:b/>
          <w:sz w:val="24"/>
          <w:szCs w:val="24"/>
          <w:lang w:val="es-CO"/>
        </w:rPr>
        <w:t>350</w:t>
      </w:r>
      <w:r w:rsidR="00575838" w:rsidRPr="00F2593F">
        <w:rPr>
          <w:rFonts w:ascii="Gadugi" w:hAnsi="Gadugi" w:cs="Century Gothic"/>
          <w:sz w:val="24"/>
          <w:szCs w:val="24"/>
          <w:lang w:val="es-CO"/>
        </w:rPr>
        <w:t xml:space="preserve">, </w:t>
      </w:r>
      <w:r w:rsidR="00E37491" w:rsidRPr="00F2593F">
        <w:rPr>
          <w:rFonts w:ascii="Gadugi" w:hAnsi="Gadugi" w:cs="Century Gothic"/>
          <w:sz w:val="24"/>
          <w:szCs w:val="24"/>
          <w:lang w:val="es-CO"/>
        </w:rPr>
        <w:t xml:space="preserve">y en la que se encuentran vencidos los términos para proferir algún pronunciamiento frente a la demanda. </w:t>
      </w:r>
    </w:p>
    <w:p w14:paraId="196E00AA" w14:textId="77777777" w:rsidR="00E37491" w:rsidRPr="00F2593F" w:rsidRDefault="00E37491" w:rsidP="00F2593F">
      <w:pPr>
        <w:spacing w:line="276" w:lineRule="auto"/>
        <w:jc w:val="both"/>
        <w:rPr>
          <w:rFonts w:ascii="Gadugi" w:hAnsi="Gadugi" w:cs="Century Gothic"/>
          <w:sz w:val="24"/>
          <w:szCs w:val="24"/>
          <w:lang w:val="es-CO"/>
        </w:rPr>
      </w:pPr>
    </w:p>
    <w:p w14:paraId="4BAFEEC9" w14:textId="4816B5BD" w:rsidR="00FF608F" w:rsidRPr="00F2593F" w:rsidRDefault="00E37491"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t>Solicitó, entonces, ordenarle al juzgado</w:t>
      </w:r>
      <w:r w:rsidR="00752F21" w:rsidRPr="00F2593F">
        <w:rPr>
          <w:rFonts w:ascii="Gadugi" w:hAnsi="Gadugi" w:cs="Century Gothic"/>
          <w:sz w:val="24"/>
          <w:szCs w:val="24"/>
          <w:lang w:val="es-CO"/>
        </w:rPr>
        <w:t xml:space="preserve"> cumplir con los términos consagrados en la Ley 472/98, esto es, admitiendo o inadmitiendo su demanda, y al Ministerio Público pidió ordenarle garantizarle su derecho al debido proceso.</w:t>
      </w:r>
      <w:r w:rsidR="009D2D46" w:rsidRPr="00F2593F">
        <w:rPr>
          <w:rStyle w:val="Refdenotaalpie"/>
          <w:rFonts w:ascii="Gadugi" w:hAnsi="Gadugi"/>
          <w:sz w:val="24"/>
          <w:szCs w:val="24"/>
          <w:lang w:val="es-CO"/>
        </w:rPr>
        <w:footnoteReference w:id="1"/>
      </w:r>
      <w:r w:rsidR="00752F21" w:rsidRPr="00F2593F">
        <w:rPr>
          <w:rFonts w:ascii="Gadugi" w:hAnsi="Gadugi" w:cs="Century Gothic"/>
          <w:sz w:val="24"/>
          <w:szCs w:val="24"/>
          <w:lang w:val="es-CO"/>
        </w:rPr>
        <w:t xml:space="preserve"> </w:t>
      </w:r>
    </w:p>
    <w:p w14:paraId="5B60D199" w14:textId="77777777" w:rsidR="00752F21" w:rsidRPr="00F2593F" w:rsidRDefault="00752F21" w:rsidP="00F2593F">
      <w:pPr>
        <w:spacing w:line="276" w:lineRule="auto"/>
        <w:jc w:val="both"/>
        <w:rPr>
          <w:rFonts w:ascii="Gadugi" w:hAnsi="Gadugi" w:cs="Century Gothic"/>
          <w:sz w:val="24"/>
          <w:szCs w:val="24"/>
          <w:lang w:val="es-CO"/>
        </w:rPr>
      </w:pPr>
    </w:p>
    <w:p w14:paraId="560BC58F" w14:textId="36044E9B" w:rsidR="00FF608F" w:rsidRPr="00F2593F" w:rsidRDefault="00FF608F"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t>Luego de una remisión por competencia</w:t>
      </w:r>
      <w:r w:rsidR="009D2D46" w:rsidRPr="00F2593F">
        <w:rPr>
          <w:rStyle w:val="Refdenotaalpie"/>
          <w:rFonts w:ascii="Gadugi" w:hAnsi="Gadugi"/>
          <w:sz w:val="24"/>
          <w:szCs w:val="24"/>
          <w:lang w:val="es-CO"/>
        </w:rPr>
        <w:footnoteReference w:id="2"/>
      </w:r>
      <w:r w:rsidRPr="00F2593F">
        <w:rPr>
          <w:rFonts w:ascii="Gadugi" w:hAnsi="Gadugi" w:cs="Century Gothic"/>
          <w:sz w:val="24"/>
          <w:szCs w:val="24"/>
          <w:lang w:val="es-CO"/>
        </w:rPr>
        <w:t xml:space="preserve">, en esta Sala se le dio impulso </w:t>
      </w:r>
      <w:r w:rsidR="009A60E5" w:rsidRPr="00F2593F">
        <w:rPr>
          <w:rFonts w:ascii="Gadugi" w:hAnsi="Gadugi" w:cs="Century Gothic"/>
          <w:sz w:val="24"/>
          <w:szCs w:val="24"/>
          <w:lang w:val="es-CO"/>
        </w:rPr>
        <w:t>a este trámite</w:t>
      </w:r>
      <w:r w:rsidRPr="00F2593F">
        <w:rPr>
          <w:rFonts w:ascii="Gadugi" w:hAnsi="Gadugi" w:cs="Century Gothic"/>
          <w:sz w:val="24"/>
          <w:szCs w:val="24"/>
          <w:lang w:val="es-CO"/>
        </w:rPr>
        <w:t xml:space="preserve"> con auto del </w:t>
      </w:r>
      <w:r w:rsidR="00752F21" w:rsidRPr="00F2593F">
        <w:rPr>
          <w:rFonts w:ascii="Gadugi" w:hAnsi="Gadugi" w:cs="Century Gothic"/>
          <w:sz w:val="24"/>
          <w:szCs w:val="24"/>
          <w:lang w:val="es-CO"/>
        </w:rPr>
        <w:t>29</w:t>
      </w:r>
      <w:r w:rsidRPr="00F2593F">
        <w:rPr>
          <w:rFonts w:ascii="Gadugi" w:hAnsi="Gadugi" w:cs="Century Gothic"/>
          <w:sz w:val="24"/>
          <w:szCs w:val="24"/>
          <w:lang w:val="es-CO"/>
        </w:rPr>
        <w:t xml:space="preserve"> de </w:t>
      </w:r>
      <w:r w:rsidR="00752F21" w:rsidRPr="00F2593F">
        <w:rPr>
          <w:rFonts w:ascii="Gadugi" w:hAnsi="Gadugi" w:cs="Century Gothic"/>
          <w:sz w:val="24"/>
          <w:szCs w:val="24"/>
          <w:lang w:val="es-CO"/>
        </w:rPr>
        <w:t>abril</w:t>
      </w:r>
      <w:r w:rsidRPr="00F2593F">
        <w:rPr>
          <w:rFonts w:ascii="Gadugi" w:hAnsi="Gadugi" w:cs="Century Gothic"/>
          <w:sz w:val="24"/>
          <w:szCs w:val="24"/>
          <w:lang w:val="es-CO"/>
        </w:rPr>
        <w:t>, con las vinculaciones arriba señaladas</w:t>
      </w:r>
      <w:r w:rsidR="00175C27" w:rsidRPr="00F2593F">
        <w:rPr>
          <w:rFonts w:ascii="Gadugi" w:hAnsi="Gadugi" w:cs="Century Gothic"/>
          <w:sz w:val="24"/>
          <w:szCs w:val="24"/>
          <w:lang w:val="es-CO"/>
        </w:rPr>
        <w:t>.</w:t>
      </w:r>
      <w:r w:rsidR="009D2D46" w:rsidRPr="00F2593F">
        <w:rPr>
          <w:rStyle w:val="Refdenotaalpie"/>
          <w:rFonts w:ascii="Gadugi" w:hAnsi="Gadugi"/>
          <w:sz w:val="24"/>
          <w:szCs w:val="24"/>
          <w:lang w:val="es-CO"/>
        </w:rPr>
        <w:footnoteReference w:id="3"/>
      </w:r>
      <w:r w:rsidR="00175C27" w:rsidRPr="00F2593F">
        <w:rPr>
          <w:rFonts w:ascii="Gadugi" w:hAnsi="Gadugi" w:cs="Century Gothic"/>
          <w:sz w:val="24"/>
          <w:szCs w:val="24"/>
          <w:lang w:val="es-CO"/>
        </w:rPr>
        <w:t xml:space="preserve"> </w:t>
      </w:r>
    </w:p>
    <w:p w14:paraId="6208E861" w14:textId="35DE2399" w:rsidR="00752F21" w:rsidRPr="00F2593F" w:rsidRDefault="00752F21" w:rsidP="00F2593F">
      <w:pPr>
        <w:spacing w:line="276" w:lineRule="auto"/>
        <w:jc w:val="both"/>
        <w:rPr>
          <w:rFonts w:ascii="Gadugi" w:hAnsi="Gadugi" w:cs="Century Gothic"/>
          <w:sz w:val="24"/>
          <w:szCs w:val="24"/>
          <w:lang w:val="es-CO"/>
        </w:rPr>
      </w:pPr>
    </w:p>
    <w:p w14:paraId="1099F128" w14:textId="2890BBFF" w:rsidR="00752F21" w:rsidRPr="00F2593F" w:rsidRDefault="00752F21"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t>La Defensoría del Pueblo de Risaralda adujo su falta de legitimación en la causa por pasiva y solicitó su desvinculación.</w:t>
      </w:r>
      <w:r w:rsidR="009D2D46" w:rsidRPr="00F2593F">
        <w:rPr>
          <w:rStyle w:val="Refdenotaalpie"/>
          <w:rFonts w:ascii="Gadugi" w:hAnsi="Gadugi"/>
          <w:sz w:val="24"/>
          <w:szCs w:val="24"/>
          <w:lang w:val="es-CO"/>
        </w:rPr>
        <w:footnoteReference w:id="4"/>
      </w:r>
    </w:p>
    <w:p w14:paraId="197D055A" w14:textId="77777777" w:rsidR="00752F21" w:rsidRPr="00F2593F" w:rsidRDefault="00752F21" w:rsidP="00F2593F">
      <w:pPr>
        <w:spacing w:line="276" w:lineRule="auto"/>
        <w:jc w:val="both"/>
        <w:rPr>
          <w:rFonts w:ascii="Gadugi" w:hAnsi="Gadugi" w:cs="Century Gothic"/>
          <w:sz w:val="24"/>
          <w:szCs w:val="24"/>
          <w:lang w:val="es-CO"/>
        </w:rPr>
      </w:pPr>
    </w:p>
    <w:p w14:paraId="2DA99A03" w14:textId="17082F7B" w:rsidR="00752F21" w:rsidRPr="00F2593F" w:rsidRDefault="00FF608F"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00322A90" w:rsidRPr="00F2593F">
        <w:rPr>
          <w:rFonts w:ascii="Gadugi" w:hAnsi="Gadugi" w:cs="Century Gothic"/>
          <w:sz w:val="24"/>
          <w:szCs w:val="24"/>
          <w:lang w:val="es-CO"/>
        </w:rPr>
        <w:t xml:space="preserve">El juzgado accionado remitió el enlace para acceder a la acción popular </w:t>
      </w:r>
      <w:r w:rsidR="009A60E5" w:rsidRPr="00F2593F">
        <w:rPr>
          <w:rFonts w:ascii="Gadugi" w:hAnsi="Gadugi" w:cs="Century Gothic"/>
          <w:sz w:val="24"/>
          <w:szCs w:val="24"/>
          <w:lang w:val="es-CO"/>
        </w:rPr>
        <w:t>e informó que</w:t>
      </w:r>
      <w:r w:rsidR="00752F21" w:rsidRPr="00F2593F">
        <w:rPr>
          <w:rFonts w:ascii="Gadugi" w:hAnsi="Gadugi" w:cs="Century Gothic"/>
          <w:sz w:val="24"/>
          <w:szCs w:val="24"/>
          <w:lang w:val="es-CO"/>
        </w:rPr>
        <w:t xml:space="preserve">, el 4 de abril de 2022 fue recibida la demanda a la que alude el accionante, y que con auto del 25 de abril se admitió. </w:t>
      </w:r>
      <w:r w:rsidR="002A3BCA" w:rsidRPr="00F2593F">
        <w:rPr>
          <w:rFonts w:ascii="Gadugi" w:hAnsi="Gadugi" w:cs="Century Gothic"/>
          <w:sz w:val="24"/>
          <w:szCs w:val="24"/>
          <w:lang w:val="es-CO"/>
        </w:rPr>
        <w:t>Expuso varios motivos para justificar la tardanza, sobre los cuales se ahondará en lo sucesivo, y pidió negar la protección.</w:t>
      </w:r>
      <w:r w:rsidR="009D2D46" w:rsidRPr="00F2593F">
        <w:rPr>
          <w:rStyle w:val="Refdenotaalpie"/>
          <w:rFonts w:ascii="Gadugi" w:hAnsi="Gadugi"/>
          <w:sz w:val="24"/>
          <w:szCs w:val="24"/>
          <w:lang w:val="es-CO"/>
        </w:rPr>
        <w:footnoteReference w:id="5"/>
      </w:r>
    </w:p>
    <w:p w14:paraId="4F2A6F39" w14:textId="6FC1B4E7" w:rsidR="00752F21" w:rsidRPr="00F2593F" w:rsidRDefault="00752F21"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p>
    <w:p w14:paraId="5A85D78B" w14:textId="3D22B1A8" w:rsidR="00752F21" w:rsidRPr="00F2593F" w:rsidRDefault="00752F21" w:rsidP="00F2593F">
      <w:pPr>
        <w:spacing w:line="276" w:lineRule="auto"/>
        <w:jc w:val="both"/>
        <w:rPr>
          <w:rFonts w:ascii="Gadugi" w:hAnsi="Gadugi" w:cs="Century Gothic"/>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t xml:space="preserve"> </w:t>
      </w:r>
      <w:r w:rsidRPr="00F2593F">
        <w:rPr>
          <w:rFonts w:ascii="Gadugi" w:hAnsi="Gadugi" w:cs="Century Gothic"/>
          <w:sz w:val="24"/>
          <w:szCs w:val="24"/>
          <w:lang w:val="es-CO"/>
        </w:rPr>
        <w:tab/>
      </w:r>
      <w:r w:rsidR="00CB4023" w:rsidRPr="00F2593F">
        <w:rPr>
          <w:rFonts w:ascii="Gadugi" w:hAnsi="Gadugi" w:cs="Century Gothic"/>
          <w:sz w:val="24"/>
          <w:szCs w:val="24"/>
          <w:lang w:val="es-CO"/>
        </w:rPr>
        <w:t>La Alcaldía de Pereira, se atuvo a lo probado en el trámite.</w:t>
      </w:r>
      <w:r w:rsidR="009D2D46" w:rsidRPr="00F2593F">
        <w:rPr>
          <w:rStyle w:val="Refdenotaalpie"/>
          <w:rFonts w:ascii="Gadugi" w:hAnsi="Gadugi"/>
          <w:sz w:val="24"/>
          <w:szCs w:val="24"/>
          <w:lang w:val="es-CO"/>
        </w:rPr>
        <w:footnoteReference w:id="6"/>
      </w:r>
      <w:r w:rsidR="00CB4023" w:rsidRPr="00F2593F">
        <w:rPr>
          <w:rFonts w:ascii="Gadugi" w:hAnsi="Gadugi" w:cs="Century Gothic"/>
          <w:sz w:val="24"/>
          <w:szCs w:val="24"/>
          <w:lang w:val="es-CO"/>
        </w:rPr>
        <w:t xml:space="preserve"> </w:t>
      </w:r>
    </w:p>
    <w:p w14:paraId="327DF8FB" w14:textId="5F060584" w:rsidR="004E4BF5" w:rsidRPr="00F2593F" w:rsidRDefault="0092590C" w:rsidP="00F2593F">
      <w:pPr>
        <w:spacing w:line="276" w:lineRule="auto"/>
        <w:jc w:val="both"/>
        <w:rPr>
          <w:rFonts w:ascii="Gadugi" w:hAnsi="Gadugi" w:cs="Arial"/>
          <w:b/>
          <w:sz w:val="24"/>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00312B3F" w:rsidRPr="00F2593F">
        <w:rPr>
          <w:rFonts w:ascii="Gadugi" w:hAnsi="Gadugi" w:cs="Century Gothic"/>
          <w:sz w:val="24"/>
          <w:szCs w:val="24"/>
          <w:lang w:val="es-CO"/>
        </w:rPr>
        <w:tab/>
      </w:r>
      <w:r w:rsidR="00312B3F" w:rsidRPr="00F2593F">
        <w:rPr>
          <w:rFonts w:ascii="Gadugi" w:hAnsi="Gadugi" w:cs="Century Gothic"/>
          <w:sz w:val="24"/>
          <w:szCs w:val="24"/>
          <w:lang w:val="es-CO"/>
        </w:rPr>
        <w:tab/>
      </w:r>
      <w:r w:rsidR="00312B3F" w:rsidRPr="00F2593F">
        <w:rPr>
          <w:rFonts w:ascii="Gadugi" w:hAnsi="Gadugi" w:cs="Century Gothic"/>
          <w:sz w:val="24"/>
          <w:szCs w:val="24"/>
          <w:lang w:val="es-CO"/>
        </w:rPr>
        <w:tab/>
      </w:r>
      <w:r w:rsidR="00312B3F" w:rsidRPr="00F2593F">
        <w:rPr>
          <w:rFonts w:ascii="Gadugi" w:hAnsi="Gadugi" w:cs="Century Gothic"/>
          <w:sz w:val="24"/>
          <w:szCs w:val="24"/>
          <w:lang w:val="es-CO"/>
        </w:rPr>
        <w:tab/>
      </w:r>
      <w:r w:rsidR="0061791A" w:rsidRPr="00F2593F">
        <w:rPr>
          <w:rFonts w:ascii="Gadugi" w:hAnsi="Gadugi" w:cs="Arial"/>
          <w:b/>
          <w:sz w:val="24"/>
          <w:szCs w:val="24"/>
          <w:lang w:val="es-CO"/>
        </w:rPr>
        <w:tab/>
      </w:r>
      <w:r w:rsidR="0061791A" w:rsidRPr="00F2593F">
        <w:rPr>
          <w:rFonts w:ascii="Gadugi" w:hAnsi="Gadugi" w:cs="Arial"/>
          <w:b/>
          <w:sz w:val="24"/>
          <w:szCs w:val="24"/>
          <w:lang w:val="es-CO"/>
        </w:rPr>
        <w:tab/>
      </w:r>
      <w:r w:rsidR="0061791A" w:rsidRPr="00F2593F">
        <w:rPr>
          <w:rFonts w:ascii="Gadugi" w:hAnsi="Gadugi" w:cs="Arial"/>
          <w:b/>
          <w:sz w:val="24"/>
          <w:szCs w:val="24"/>
          <w:lang w:val="es-CO"/>
        </w:rPr>
        <w:tab/>
      </w:r>
      <w:r w:rsidR="0061791A" w:rsidRPr="00F2593F">
        <w:rPr>
          <w:rFonts w:ascii="Gadugi" w:hAnsi="Gadugi" w:cs="Arial"/>
          <w:b/>
          <w:sz w:val="24"/>
          <w:szCs w:val="24"/>
          <w:lang w:val="es-CO"/>
        </w:rPr>
        <w:tab/>
      </w:r>
    </w:p>
    <w:p w14:paraId="44416D29" w14:textId="77777777" w:rsidR="00622EA3" w:rsidRPr="00F2593F" w:rsidRDefault="00622EA3" w:rsidP="00F2593F">
      <w:pPr>
        <w:pStyle w:val="Textoindependiente22"/>
        <w:spacing w:line="276" w:lineRule="auto"/>
        <w:ind w:firstLine="0"/>
        <w:rPr>
          <w:rFonts w:ascii="Gadugi" w:hAnsi="Gadugi" w:cs="Arial"/>
          <w:b/>
          <w:szCs w:val="24"/>
        </w:rPr>
      </w:pPr>
      <w:r w:rsidRPr="00F2593F">
        <w:rPr>
          <w:rFonts w:ascii="Gadugi" w:hAnsi="Gadugi" w:cs="Arial"/>
          <w:b/>
          <w:szCs w:val="24"/>
        </w:rPr>
        <w:t xml:space="preserve">  </w:t>
      </w:r>
      <w:r w:rsidRPr="00F2593F">
        <w:rPr>
          <w:rFonts w:ascii="Gadugi" w:hAnsi="Gadugi" w:cs="Arial"/>
          <w:b/>
          <w:szCs w:val="24"/>
        </w:rPr>
        <w:tab/>
      </w:r>
      <w:r w:rsidRPr="00F2593F">
        <w:rPr>
          <w:rFonts w:ascii="Gadugi" w:hAnsi="Gadugi" w:cs="Arial"/>
          <w:b/>
          <w:szCs w:val="24"/>
        </w:rPr>
        <w:tab/>
      </w:r>
      <w:r w:rsidRPr="00F2593F">
        <w:rPr>
          <w:rFonts w:ascii="Gadugi" w:hAnsi="Gadugi" w:cs="Arial"/>
          <w:b/>
          <w:szCs w:val="24"/>
        </w:rPr>
        <w:tab/>
      </w:r>
      <w:r w:rsidRPr="00F2593F">
        <w:rPr>
          <w:rFonts w:ascii="Gadugi" w:hAnsi="Gadugi" w:cs="Arial"/>
          <w:b/>
          <w:szCs w:val="24"/>
        </w:rPr>
        <w:tab/>
        <w:t>CONSIDERACIONES</w:t>
      </w:r>
    </w:p>
    <w:p w14:paraId="794A8819" w14:textId="77777777" w:rsidR="00622EA3" w:rsidRPr="00F2593F" w:rsidRDefault="00622EA3" w:rsidP="00F2593F">
      <w:pPr>
        <w:pStyle w:val="Textoindependiente22"/>
        <w:spacing w:line="276" w:lineRule="auto"/>
        <w:rPr>
          <w:rFonts w:ascii="Gadugi" w:hAnsi="Gadugi"/>
          <w:szCs w:val="24"/>
        </w:rPr>
      </w:pPr>
    </w:p>
    <w:p w14:paraId="3B541647" w14:textId="050E94F7" w:rsidR="00622EA3" w:rsidRPr="00F2593F" w:rsidRDefault="00622EA3" w:rsidP="00F2593F">
      <w:pPr>
        <w:pStyle w:val="Textoindependiente22"/>
        <w:spacing w:line="276" w:lineRule="auto"/>
        <w:rPr>
          <w:rFonts w:ascii="Gadugi" w:hAnsi="Gadugi"/>
          <w:szCs w:val="24"/>
        </w:rPr>
      </w:pPr>
      <w:r w:rsidRPr="00F2593F">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F2593F" w:rsidRDefault="0092590C" w:rsidP="00F2593F">
      <w:pPr>
        <w:pStyle w:val="Textoindependiente22"/>
        <w:spacing w:line="276" w:lineRule="auto"/>
        <w:rPr>
          <w:rFonts w:ascii="Gadugi" w:hAnsi="Gadugi"/>
          <w:szCs w:val="24"/>
        </w:rPr>
      </w:pPr>
    </w:p>
    <w:p w14:paraId="0C577E9A" w14:textId="66D481B7" w:rsidR="00093699" w:rsidRPr="00F2593F" w:rsidRDefault="00622EA3" w:rsidP="00F2593F">
      <w:pPr>
        <w:spacing w:line="276" w:lineRule="auto"/>
        <w:ind w:firstLine="2835"/>
        <w:jc w:val="both"/>
        <w:rPr>
          <w:rFonts w:ascii="Gadugi" w:hAnsi="Gadugi"/>
          <w:sz w:val="24"/>
          <w:szCs w:val="24"/>
        </w:rPr>
      </w:pPr>
      <w:r w:rsidRPr="00F2593F">
        <w:rPr>
          <w:rFonts w:ascii="Gadugi" w:hAnsi="Gadugi"/>
          <w:sz w:val="24"/>
          <w:szCs w:val="24"/>
        </w:rPr>
        <w:t xml:space="preserve">Acude en esta oportunidad el </w:t>
      </w:r>
      <w:r w:rsidR="00AC524D" w:rsidRPr="00F2593F">
        <w:rPr>
          <w:rFonts w:ascii="Gadugi" w:hAnsi="Gadugi"/>
          <w:sz w:val="24"/>
          <w:szCs w:val="24"/>
        </w:rPr>
        <w:t xml:space="preserve">señor </w:t>
      </w:r>
      <w:r w:rsidR="00CB4023" w:rsidRPr="00F2593F">
        <w:rPr>
          <w:rFonts w:ascii="Gadugi" w:hAnsi="Gadugi"/>
          <w:sz w:val="24"/>
          <w:szCs w:val="24"/>
        </w:rPr>
        <w:t>Sebastián Ramírez</w:t>
      </w:r>
      <w:r w:rsidRPr="00F2593F">
        <w:rPr>
          <w:rFonts w:ascii="Gadugi" w:hAnsi="Gadugi"/>
          <w:sz w:val="24"/>
          <w:szCs w:val="24"/>
        </w:rPr>
        <w:t>, en procura de la protección de su derecho fundamental al debido proceso</w:t>
      </w:r>
      <w:r w:rsidR="00254315" w:rsidRPr="00F2593F">
        <w:rPr>
          <w:rFonts w:ascii="Gadugi" w:hAnsi="Gadugi"/>
          <w:sz w:val="24"/>
          <w:szCs w:val="24"/>
        </w:rPr>
        <w:t>,</w:t>
      </w:r>
      <w:r w:rsidR="00233DDD" w:rsidRPr="00F2593F">
        <w:rPr>
          <w:rFonts w:ascii="Gadugi" w:hAnsi="Gadugi"/>
          <w:sz w:val="24"/>
          <w:szCs w:val="24"/>
        </w:rPr>
        <w:t xml:space="preserve"> </w:t>
      </w:r>
      <w:r w:rsidR="00254315" w:rsidRPr="00F2593F">
        <w:rPr>
          <w:rFonts w:ascii="Gadugi" w:hAnsi="Gadugi"/>
          <w:sz w:val="24"/>
          <w:szCs w:val="24"/>
        </w:rPr>
        <w:t>p</w:t>
      </w:r>
      <w:r w:rsidR="00233DDD" w:rsidRPr="00F2593F">
        <w:rPr>
          <w:rFonts w:ascii="Gadugi" w:hAnsi="Gadugi"/>
          <w:sz w:val="24"/>
          <w:szCs w:val="24"/>
        </w:rPr>
        <w:t xml:space="preserve">or la inconformidad que le causa </w:t>
      </w:r>
      <w:r w:rsidR="00AC524D" w:rsidRPr="00F2593F">
        <w:rPr>
          <w:rFonts w:ascii="Gadugi" w:hAnsi="Gadugi"/>
          <w:sz w:val="24"/>
          <w:szCs w:val="24"/>
        </w:rPr>
        <w:t xml:space="preserve">que el juzgado accionado </w:t>
      </w:r>
      <w:r w:rsidR="00093699" w:rsidRPr="00F2593F">
        <w:rPr>
          <w:rFonts w:ascii="Gadugi" w:hAnsi="Gadugi"/>
          <w:sz w:val="24"/>
          <w:szCs w:val="24"/>
        </w:rPr>
        <w:t xml:space="preserve">se demore para proferir alguna decisión en relación con una acción popular que radicó el </w:t>
      </w:r>
      <w:r w:rsidR="005B0752" w:rsidRPr="00F2593F">
        <w:rPr>
          <w:rFonts w:ascii="Gadugi" w:hAnsi="Gadugi"/>
          <w:sz w:val="24"/>
          <w:szCs w:val="24"/>
        </w:rPr>
        <w:t>4</w:t>
      </w:r>
      <w:r w:rsidR="00093699" w:rsidRPr="00F2593F">
        <w:rPr>
          <w:rFonts w:ascii="Gadugi" w:hAnsi="Gadugi"/>
          <w:sz w:val="24"/>
          <w:szCs w:val="24"/>
        </w:rPr>
        <w:t xml:space="preserve"> de </w:t>
      </w:r>
      <w:r w:rsidR="005B0752" w:rsidRPr="00F2593F">
        <w:rPr>
          <w:rFonts w:ascii="Gadugi" w:hAnsi="Gadugi"/>
          <w:sz w:val="24"/>
          <w:szCs w:val="24"/>
        </w:rPr>
        <w:t>abril</w:t>
      </w:r>
      <w:r w:rsidR="00093699" w:rsidRPr="00F2593F">
        <w:rPr>
          <w:rFonts w:ascii="Gadugi" w:hAnsi="Gadugi"/>
          <w:sz w:val="24"/>
          <w:szCs w:val="24"/>
        </w:rPr>
        <w:t xml:space="preserve"> de 2022. </w:t>
      </w:r>
    </w:p>
    <w:p w14:paraId="6C0FECB2" w14:textId="77777777" w:rsidR="00924001" w:rsidRPr="00F2593F" w:rsidRDefault="00924001" w:rsidP="00F2593F">
      <w:pPr>
        <w:spacing w:line="276" w:lineRule="auto"/>
        <w:ind w:firstLine="2835"/>
        <w:jc w:val="both"/>
        <w:rPr>
          <w:rFonts w:ascii="Gadugi" w:hAnsi="Gadugi"/>
          <w:sz w:val="24"/>
          <w:szCs w:val="24"/>
        </w:rPr>
      </w:pPr>
    </w:p>
    <w:p w14:paraId="75C948C0" w14:textId="5358B0D8" w:rsidR="00254315" w:rsidRPr="00F2593F" w:rsidRDefault="00AC524D" w:rsidP="00F2593F">
      <w:pPr>
        <w:spacing w:line="276" w:lineRule="auto"/>
        <w:jc w:val="both"/>
        <w:rPr>
          <w:rFonts w:ascii="Gadugi" w:hAnsi="Gadugi"/>
          <w:sz w:val="24"/>
          <w:szCs w:val="24"/>
        </w:rPr>
      </w:pP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t>R</w:t>
      </w:r>
      <w:r w:rsidR="003B57C8" w:rsidRPr="00F2593F">
        <w:rPr>
          <w:rFonts w:ascii="Gadugi" w:hAnsi="Gadugi" w:cs="Arial"/>
          <w:sz w:val="24"/>
          <w:szCs w:val="24"/>
        </w:rPr>
        <w:t>eiteradamente</w:t>
      </w:r>
      <w:r w:rsidR="00254315" w:rsidRPr="00F2593F">
        <w:rPr>
          <w:rFonts w:ascii="Gadugi" w:hAnsi="Gadugi" w:cs="Arial"/>
          <w:sz w:val="24"/>
          <w:szCs w:val="24"/>
        </w:rPr>
        <w:t xml:space="preserve"> se ha expuesto que </w:t>
      </w:r>
      <w:r w:rsidR="00254315" w:rsidRPr="00F2593F">
        <w:rPr>
          <w:rFonts w:ascii="Gadugi" w:hAnsi="Gadugi"/>
          <w:sz w:val="24"/>
          <w:szCs w:val="24"/>
        </w:rPr>
        <w:t>a pesar de la inexequibilidad de las normas que en el Decreto 2591 de 1991 preveían la acción de tutela contra providencias judiciales</w:t>
      </w:r>
      <w:r w:rsidR="00254315" w:rsidRPr="00F2593F">
        <w:rPr>
          <w:rStyle w:val="Refdenotaalpie"/>
          <w:rFonts w:ascii="Gadugi" w:hAnsi="Gadugi"/>
          <w:sz w:val="24"/>
          <w:szCs w:val="24"/>
        </w:rPr>
        <w:footnoteReference w:id="7"/>
      </w:r>
      <w:r w:rsidR="00254315" w:rsidRPr="00F2593F">
        <w:rPr>
          <w:rFonts w:ascii="Gadugi" w:hAnsi="Gadugi"/>
          <w:sz w:val="24"/>
          <w:szCs w:val="24"/>
        </w:rPr>
        <w:t xml:space="preserve">, tal mecanismo se abre paso en aquellos eventos </w:t>
      </w:r>
      <w:r w:rsidR="00254315" w:rsidRPr="00F2593F">
        <w:rPr>
          <w:rFonts w:ascii="Gadugi" w:hAnsi="Gadugi"/>
          <w:sz w:val="24"/>
          <w:szCs w:val="24"/>
        </w:rPr>
        <w:lastRenderedPageBreak/>
        <w:t>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254315" w:rsidRPr="00F2593F">
        <w:rPr>
          <w:rFonts w:ascii="Gadugi" w:hAnsi="Gadugi" w:cs="Arial"/>
          <w:sz w:val="24"/>
          <w:szCs w:val="24"/>
        </w:rPr>
        <w:t xml:space="preserve"> en múltiples ocasiones. Sobre ellas, en las sentencias SU-222 de 2016, SU573 de 2017 y SU004 de 2018, </w:t>
      </w:r>
      <w:r w:rsidR="00254315" w:rsidRPr="00F2593F">
        <w:rPr>
          <w:rFonts w:ascii="Gadugi" w:hAnsi="Gadugi" w:cs="Arial"/>
          <w:sz w:val="24"/>
          <w:szCs w:val="24"/>
          <w:lang w:val="es-419"/>
        </w:rPr>
        <w:t xml:space="preserve">reiteradas en las sentencias T-004-19, T-042-19, T-049-19 y T-075-19, </w:t>
      </w:r>
      <w:r w:rsidR="00254315" w:rsidRPr="00F2593F">
        <w:rPr>
          <w:rFonts w:ascii="Gadugi" w:hAnsi="Gadugi" w:cs="Arial"/>
          <w:sz w:val="24"/>
          <w:szCs w:val="24"/>
        </w:rPr>
        <w:t xml:space="preserve">T-008-20, T-053-20, y más recientemente en la SU128-21, todas aludiendo a la C-590 de 2005, recordó que las primeras obedecen a </w:t>
      </w:r>
      <w:r w:rsidR="00254315" w:rsidRPr="00F2593F">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254315" w:rsidRPr="00F2593F">
        <w:rPr>
          <w:rFonts w:ascii="Gadugi" w:hAnsi="Gadugi"/>
          <w:sz w:val="24"/>
          <w:szCs w:val="24"/>
        </w:rPr>
        <w:t xml:space="preserve"> </w:t>
      </w:r>
      <w:r w:rsidR="00254315" w:rsidRPr="00F2593F">
        <w:rPr>
          <w:rFonts w:ascii="Gadugi" w:hAnsi="Gadugi" w:cs="Arial"/>
          <w:sz w:val="24"/>
          <w:szCs w:val="24"/>
        </w:rPr>
        <w:t>Y en cuanto a las segundas, es decir, las causales específicas, se compendian en los defectos</w:t>
      </w:r>
      <w:r w:rsidR="00254315" w:rsidRPr="00F2593F">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254315" w:rsidRPr="00F2593F">
        <w:rPr>
          <w:rFonts w:ascii="Gadugi" w:hAnsi="Gadugi"/>
          <w:sz w:val="24"/>
          <w:szCs w:val="24"/>
        </w:rPr>
        <w:t xml:space="preserve"> </w:t>
      </w:r>
    </w:p>
    <w:p w14:paraId="616B5A07" w14:textId="77777777" w:rsidR="00AC524D" w:rsidRPr="00F2593F" w:rsidRDefault="00AC524D" w:rsidP="00F2593F">
      <w:pPr>
        <w:spacing w:line="276" w:lineRule="auto"/>
        <w:jc w:val="both"/>
        <w:rPr>
          <w:rFonts w:ascii="Gadugi" w:hAnsi="Gadugi"/>
          <w:sz w:val="24"/>
          <w:szCs w:val="24"/>
        </w:rPr>
      </w:pPr>
    </w:p>
    <w:p w14:paraId="3473C6FB" w14:textId="04F50C65" w:rsidR="00924001" w:rsidRPr="00F2593F" w:rsidRDefault="00AC524D" w:rsidP="00F2593F">
      <w:pPr>
        <w:spacing w:line="276" w:lineRule="auto"/>
        <w:jc w:val="both"/>
        <w:rPr>
          <w:rFonts w:ascii="Gadugi" w:hAnsi="Gadugi"/>
          <w:sz w:val="24"/>
          <w:szCs w:val="24"/>
        </w:rPr>
      </w:pP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t xml:space="preserve">En el presente asunto </w:t>
      </w:r>
      <w:r w:rsidR="00883511" w:rsidRPr="00F2593F">
        <w:rPr>
          <w:rFonts w:ascii="Gadugi" w:hAnsi="Gadugi"/>
          <w:sz w:val="24"/>
          <w:szCs w:val="24"/>
        </w:rPr>
        <w:t>se cumple con la legitimación en la causa por a</w:t>
      </w:r>
      <w:r w:rsidRPr="00F2593F">
        <w:rPr>
          <w:rFonts w:ascii="Gadugi" w:hAnsi="Gadugi"/>
          <w:sz w:val="24"/>
          <w:szCs w:val="24"/>
        </w:rPr>
        <w:t xml:space="preserve">ctiva, pues el accionante actúa como </w:t>
      </w:r>
      <w:r w:rsidR="00883511" w:rsidRPr="00F2593F">
        <w:rPr>
          <w:rFonts w:ascii="Gadugi" w:hAnsi="Gadugi"/>
          <w:sz w:val="24"/>
          <w:szCs w:val="24"/>
        </w:rPr>
        <w:t>demandante en la acción popular de marras</w:t>
      </w:r>
      <w:r w:rsidRPr="00F2593F">
        <w:rPr>
          <w:rFonts w:ascii="Gadugi" w:hAnsi="Gadugi"/>
          <w:sz w:val="24"/>
          <w:szCs w:val="24"/>
        </w:rPr>
        <w:t xml:space="preserve">; también se supera por pasiva, ya que </w:t>
      </w:r>
      <w:r w:rsidR="00883511" w:rsidRPr="00F2593F">
        <w:rPr>
          <w:rFonts w:ascii="Gadugi" w:hAnsi="Gadugi"/>
          <w:sz w:val="24"/>
          <w:szCs w:val="24"/>
        </w:rPr>
        <w:t>e</w:t>
      </w:r>
      <w:r w:rsidRPr="00F2593F">
        <w:rPr>
          <w:rFonts w:ascii="Gadugi" w:hAnsi="Gadugi"/>
          <w:sz w:val="24"/>
          <w:szCs w:val="24"/>
        </w:rPr>
        <w:t xml:space="preserve">l juzgado accionado </w:t>
      </w:r>
      <w:r w:rsidR="00883511" w:rsidRPr="00F2593F">
        <w:rPr>
          <w:rFonts w:ascii="Gadugi" w:hAnsi="Gadugi"/>
          <w:sz w:val="24"/>
          <w:szCs w:val="24"/>
        </w:rPr>
        <w:t>conoce de</w:t>
      </w:r>
      <w:r w:rsidRPr="00F2593F">
        <w:rPr>
          <w:rFonts w:ascii="Gadugi" w:hAnsi="Gadugi"/>
          <w:sz w:val="24"/>
          <w:szCs w:val="24"/>
        </w:rPr>
        <w:t xml:space="preserve"> ese juicio. Además, en calidad de terceros,</w:t>
      </w:r>
      <w:r w:rsidR="00924001" w:rsidRPr="00F2593F">
        <w:rPr>
          <w:rFonts w:ascii="Gadugi" w:hAnsi="Gadugi"/>
          <w:sz w:val="24"/>
          <w:szCs w:val="24"/>
        </w:rPr>
        <w:t xml:space="preserve"> pueden comparecer el municipio de </w:t>
      </w:r>
      <w:r w:rsidR="00093699" w:rsidRPr="00F2593F">
        <w:rPr>
          <w:rFonts w:ascii="Gadugi" w:hAnsi="Gadugi"/>
          <w:sz w:val="24"/>
          <w:szCs w:val="24"/>
        </w:rPr>
        <w:t>Pereira</w:t>
      </w:r>
      <w:r w:rsidR="00924001" w:rsidRPr="00F2593F">
        <w:rPr>
          <w:rFonts w:ascii="Gadugi" w:hAnsi="Gadugi"/>
          <w:sz w:val="24"/>
          <w:szCs w:val="24"/>
        </w:rPr>
        <w:t xml:space="preserve"> y el Ministerio público ya se trata de un litigio que atañe con derechos colectivos.  </w:t>
      </w:r>
    </w:p>
    <w:p w14:paraId="20DE1322" w14:textId="77777777" w:rsidR="00883511" w:rsidRPr="00F2593F" w:rsidRDefault="00883511" w:rsidP="00F2593F">
      <w:pPr>
        <w:spacing w:line="276" w:lineRule="auto"/>
        <w:jc w:val="both"/>
        <w:rPr>
          <w:rFonts w:ascii="Gadugi" w:hAnsi="Gadugi" w:cs="Arial"/>
          <w:sz w:val="24"/>
          <w:szCs w:val="24"/>
        </w:rPr>
      </w:pPr>
    </w:p>
    <w:p w14:paraId="5678E156" w14:textId="27E84C4B" w:rsidR="00093699" w:rsidRPr="00F2593F" w:rsidRDefault="006F55EB" w:rsidP="00F2593F">
      <w:pPr>
        <w:spacing w:line="276" w:lineRule="auto"/>
        <w:jc w:val="both"/>
        <w:rPr>
          <w:rFonts w:ascii="Gadugi" w:hAnsi="Gadugi" w:cs="Arial"/>
          <w:sz w:val="24"/>
          <w:szCs w:val="24"/>
        </w:rPr>
      </w:pP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00CA5BD1" w:rsidRPr="00F2593F">
        <w:rPr>
          <w:rFonts w:ascii="Gadugi" w:hAnsi="Gadugi" w:cs="Arial"/>
          <w:sz w:val="24"/>
          <w:szCs w:val="24"/>
        </w:rPr>
        <w:t>Encuentra la Sala que l</w:t>
      </w:r>
      <w:r w:rsidRPr="00F2593F">
        <w:rPr>
          <w:rFonts w:ascii="Gadugi" w:hAnsi="Gadugi" w:cs="Arial"/>
          <w:sz w:val="24"/>
          <w:szCs w:val="24"/>
        </w:rPr>
        <w:t>a inmediatez está satisfecha</w:t>
      </w:r>
      <w:r w:rsidR="00CA5BD1" w:rsidRPr="00F2593F">
        <w:rPr>
          <w:rFonts w:ascii="Gadugi" w:hAnsi="Gadugi" w:cs="Arial"/>
          <w:sz w:val="24"/>
          <w:szCs w:val="24"/>
        </w:rPr>
        <w:t>,</w:t>
      </w:r>
      <w:r w:rsidRPr="00F2593F">
        <w:rPr>
          <w:rFonts w:ascii="Gadugi" w:hAnsi="Gadugi" w:cs="Arial"/>
          <w:sz w:val="24"/>
          <w:szCs w:val="24"/>
        </w:rPr>
        <w:t xml:space="preserve"> comoquiera que </w:t>
      </w:r>
      <w:r w:rsidR="00093699" w:rsidRPr="00F2593F">
        <w:rPr>
          <w:rFonts w:ascii="Gadugi" w:hAnsi="Gadugi" w:cs="Arial"/>
          <w:sz w:val="24"/>
          <w:szCs w:val="24"/>
        </w:rPr>
        <w:t>la demanda</w:t>
      </w:r>
      <w:r w:rsidR="00EC6B21" w:rsidRPr="00F2593F">
        <w:rPr>
          <w:rFonts w:ascii="Gadugi" w:hAnsi="Gadugi" w:cs="Arial"/>
          <w:sz w:val="24"/>
          <w:szCs w:val="24"/>
        </w:rPr>
        <w:t xml:space="preserve"> popular fue </w:t>
      </w:r>
      <w:r w:rsidR="009D2D46" w:rsidRPr="00F2593F">
        <w:rPr>
          <w:rFonts w:ascii="Gadugi" w:hAnsi="Gadugi" w:cs="Arial"/>
          <w:sz w:val="24"/>
          <w:szCs w:val="24"/>
        </w:rPr>
        <w:t>presentada</w:t>
      </w:r>
      <w:r w:rsidR="00093699" w:rsidRPr="00F2593F">
        <w:rPr>
          <w:rFonts w:ascii="Gadugi" w:hAnsi="Gadugi" w:cs="Arial"/>
          <w:sz w:val="24"/>
          <w:szCs w:val="24"/>
        </w:rPr>
        <w:t xml:space="preserve"> el </w:t>
      </w:r>
      <w:r w:rsidR="009D2D46" w:rsidRPr="00F2593F">
        <w:rPr>
          <w:rFonts w:ascii="Gadugi" w:hAnsi="Gadugi" w:cs="Arial"/>
          <w:sz w:val="24"/>
          <w:szCs w:val="24"/>
        </w:rPr>
        <w:t>1°</w:t>
      </w:r>
      <w:r w:rsidR="00093699" w:rsidRPr="00F2593F">
        <w:rPr>
          <w:rFonts w:ascii="Gadugi" w:hAnsi="Gadugi" w:cs="Arial"/>
          <w:sz w:val="24"/>
          <w:szCs w:val="24"/>
        </w:rPr>
        <w:t xml:space="preserve"> de </w:t>
      </w:r>
      <w:r w:rsidR="000628B7" w:rsidRPr="00F2593F">
        <w:rPr>
          <w:rFonts w:ascii="Gadugi" w:hAnsi="Gadugi" w:cs="Arial"/>
          <w:sz w:val="24"/>
          <w:szCs w:val="24"/>
        </w:rPr>
        <w:t>abril</w:t>
      </w:r>
      <w:r w:rsidR="00093699" w:rsidRPr="00F2593F">
        <w:rPr>
          <w:rFonts w:ascii="Gadugi" w:hAnsi="Gadugi" w:cs="Arial"/>
          <w:sz w:val="24"/>
          <w:szCs w:val="24"/>
        </w:rPr>
        <w:t xml:space="preserve"> de 2022</w:t>
      </w:r>
      <w:r w:rsidR="009D2D46" w:rsidRPr="00F2593F">
        <w:rPr>
          <w:rStyle w:val="Refdenotaalpie"/>
          <w:rFonts w:ascii="Gadugi" w:hAnsi="Gadugi"/>
          <w:sz w:val="24"/>
          <w:szCs w:val="24"/>
        </w:rPr>
        <w:footnoteReference w:id="8"/>
      </w:r>
      <w:r w:rsidR="00093699" w:rsidRPr="00F2593F">
        <w:rPr>
          <w:rFonts w:ascii="Gadugi" w:hAnsi="Gadugi" w:cs="Arial"/>
          <w:sz w:val="24"/>
          <w:szCs w:val="24"/>
        </w:rPr>
        <w:t>, y al ver</w:t>
      </w:r>
      <w:r w:rsidR="00EC6B21" w:rsidRPr="00F2593F">
        <w:rPr>
          <w:rFonts w:ascii="Gadugi" w:hAnsi="Gadugi" w:cs="Arial"/>
          <w:sz w:val="24"/>
          <w:szCs w:val="24"/>
        </w:rPr>
        <w:t xml:space="preserve"> el actor</w:t>
      </w:r>
      <w:r w:rsidR="00093699" w:rsidRPr="00F2593F">
        <w:rPr>
          <w:rFonts w:ascii="Gadugi" w:hAnsi="Gadugi" w:cs="Arial"/>
          <w:sz w:val="24"/>
          <w:szCs w:val="24"/>
        </w:rPr>
        <w:t xml:space="preserve"> que</w:t>
      </w:r>
      <w:r w:rsidR="00EC6B21" w:rsidRPr="00F2593F">
        <w:rPr>
          <w:rFonts w:ascii="Gadugi" w:hAnsi="Gadugi" w:cs="Arial"/>
          <w:sz w:val="24"/>
          <w:szCs w:val="24"/>
        </w:rPr>
        <w:t>,</w:t>
      </w:r>
      <w:r w:rsidR="00093699" w:rsidRPr="00F2593F">
        <w:rPr>
          <w:rFonts w:ascii="Gadugi" w:hAnsi="Gadugi" w:cs="Arial"/>
          <w:sz w:val="24"/>
          <w:szCs w:val="24"/>
        </w:rPr>
        <w:t xml:space="preserve"> </w:t>
      </w:r>
      <w:r w:rsidR="00EC6B21" w:rsidRPr="00F2593F">
        <w:rPr>
          <w:rFonts w:ascii="Gadugi" w:hAnsi="Gadugi" w:cs="Arial"/>
          <w:sz w:val="24"/>
          <w:szCs w:val="24"/>
        </w:rPr>
        <w:t xml:space="preserve">transcurridos 3 días hábiles, </w:t>
      </w:r>
      <w:r w:rsidR="00093699" w:rsidRPr="00F2593F">
        <w:rPr>
          <w:rFonts w:ascii="Gadugi" w:hAnsi="Gadugi" w:cs="Arial"/>
          <w:sz w:val="24"/>
          <w:szCs w:val="24"/>
        </w:rPr>
        <w:t>no se había emitido ninguna decisión frente a ello</w:t>
      </w:r>
      <w:r w:rsidR="00EC6B21" w:rsidRPr="00F2593F">
        <w:rPr>
          <w:rFonts w:ascii="Gadugi" w:hAnsi="Gadugi" w:cs="Arial"/>
          <w:sz w:val="24"/>
          <w:szCs w:val="24"/>
        </w:rPr>
        <w:t>,</w:t>
      </w:r>
      <w:r w:rsidR="00093699" w:rsidRPr="00F2593F">
        <w:rPr>
          <w:rFonts w:ascii="Gadugi" w:hAnsi="Gadugi" w:cs="Arial"/>
          <w:sz w:val="24"/>
          <w:szCs w:val="24"/>
        </w:rPr>
        <w:t xml:space="preserve"> </w:t>
      </w:r>
      <w:r w:rsidR="00EC6B21" w:rsidRPr="00F2593F">
        <w:rPr>
          <w:rFonts w:ascii="Gadugi" w:hAnsi="Gadugi" w:cs="Arial"/>
          <w:sz w:val="24"/>
          <w:szCs w:val="24"/>
        </w:rPr>
        <w:t>decidió iniciar este trámite</w:t>
      </w:r>
      <w:r w:rsidR="00093699" w:rsidRPr="00F2593F">
        <w:rPr>
          <w:rFonts w:ascii="Gadugi" w:hAnsi="Gadugi" w:cs="Arial"/>
          <w:sz w:val="24"/>
          <w:szCs w:val="24"/>
        </w:rPr>
        <w:t xml:space="preserve">, de manera perentoria, el </w:t>
      </w:r>
      <w:r w:rsidR="000628B7" w:rsidRPr="00F2593F">
        <w:rPr>
          <w:rFonts w:ascii="Gadugi" w:hAnsi="Gadugi" w:cs="Arial"/>
          <w:sz w:val="24"/>
          <w:szCs w:val="24"/>
        </w:rPr>
        <w:t>22</w:t>
      </w:r>
      <w:r w:rsidR="00EC6B21" w:rsidRPr="00F2593F">
        <w:rPr>
          <w:rFonts w:ascii="Gadugi" w:hAnsi="Gadugi" w:cs="Arial"/>
          <w:sz w:val="24"/>
          <w:szCs w:val="24"/>
        </w:rPr>
        <w:t xml:space="preserve"> de </w:t>
      </w:r>
      <w:r w:rsidR="000628B7" w:rsidRPr="00F2593F">
        <w:rPr>
          <w:rFonts w:ascii="Gadugi" w:hAnsi="Gadugi" w:cs="Arial"/>
          <w:sz w:val="24"/>
          <w:szCs w:val="24"/>
        </w:rPr>
        <w:t xml:space="preserve">abril </w:t>
      </w:r>
      <w:r w:rsidR="00EC6B21" w:rsidRPr="00F2593F">
        <w:rPr>
          <w:rFonts w:ascii="Gadugi" w:hAnsi="Gadugi" w:cs="Arial"/>
          <w:sz w:val="24"/>
          <w:szCs w:val="24"/>
        </w:rPr>
        <w:t>siguiente</w:t>
      </w:r>
      <w:r w:rsidR="009D2D46" w:rsidRPr="00F2593F">
        <w:rPr>
          <w:rStyle w:val="Refdenotaalpie"/>
          <w:rFonts w:ascii="Gadugi" w:hAnsi="Gadugi"/>
          <w:sz w:val="24"/>
          <w:szCs w:val="24"/>
        </w:rPr>
        <w:footnoteReference w:id="9"/>
      </w:r>
      <w:r w:rsidR="00EC6B21" w:rsidRPr="00F2593F">
        <w:rPr>
          <w:rFonts w:ascii="Gadugi" w:hAnsi="Gadugi" w:cs="Arial"/>
          <w:sz w:val="24"/>
          <w:szCs w:val="24"/>
        </w:rPr>
        <w:t xml:space="preserve">. </w:t>
      </w:r>
    </w:p>
    <w:p w14:paraId="5E8F922D" w14:textId="7992F469" w:rsidR="00EC6B21" w:rsidRPr="00F2593F" w:rsidRDefault="00EC6B21" w:rsidP="00F2593F">
      <w:pPr>
        <w:spacing w:line="276" w:lineRule="auto"/>
        <w:jc w:val="both"/>
        <w:rPr>
          <w:rFonts w:ascii="Gadugi" w:hAnsi="Gadugi" w:cs="Arial"/>
          <w:sz w:val="24"/>
          <w:szCs w:val="24"/>
        </w:rPr>
      </w:pPr>
    </w:p>
    <w:p w14:paraId="64FC5B41" w14:textId="40818B2B" w:rsidR="00EC6B21" w:rsidRPr="00F2593F" w:rsidRDefault="00EC6B21" w:rsidP="00F2593F">
      <w:pPr>
        <w:spacing w:line="276" w:lineRule="auto"/>
        <w:jc w:val="both"/>
        <w:rPr>
          <w:rFonts w:ascii="Gadugi" w:hAnsi="Gadugi"/>
          <w:sz w:val="24"/>
          <w:szCs w:val="24"/>
          <w:lang w:val="es-419"/>
        </w:rPr>
      </w:pP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sz w:val="24"/>
          <w:szCs w:val="24"/>
        </w:rPr>
        <w:t xml:space="preserve">Y como el asunto atañe con la vulneración al debido proceso por mora judicial, </w:t>
      </w:r>
      <w:r w:rsidRPr="00F2593F">
        <w:rPr>
          <w:rFonts w:ascii="Gadugi" w:hAnsi="Gadugi"/>
          <w:sz w:val="24"/>
          <w:szCs w:val="24"/>
          <w:lang w:val="es-419"/>
        </w:rPr>
        <w:t>se supera la subsidiariedad, porque en estos casos la parte actora no tiene la obligación de presentar memoriales ante la autoridad accionada solicitando celeridad</w:t>
      </w:r>
      <w:r w:rsidRPr="00F2593F">
        <w:rPr>
          <w:rStyle w:val="Refdenotaalpie"/>
          <w:rFonts w:ascii="Gadugi" w:hAnsi="Gadugi"/>
          <w:sz w:val="24"/>
          <w:szCs w:val="24"/>
          <w:lang w:val="es-419"/>
        </w:rPr>
        <w:footnoteReference w:id="10"/>
      </w:r>
      <w:r w:rsidR="006210D7" w:rsidRPr="00F2593F">
        <w:rPr>
          <w:rFonts w:ascii="Gadugi" w:hAnsi="Gadugi"/>
          <w:sz w:val="24"/>
          <w:szCs w:val="24"/>
          <w:lang w:val="es-419"/>
        </w:rPr>
        <w:t>-</w:t>
      </w:r>
      <w:r w:rsidR="006210D7" w:rsidRPr="00F2593F">
        <w:rPr>
          <w:rStyle w:val="Refdenotaalpie"/>
          <w:rFonts w:ascii="Gadugi" w:hAnsi="Gadugi"/>
          <w:sz w:val="24"/>
          <w:szCs w:val="24"/>
          <w:lang w:val="es-419"/>
        </w:rPr>
        <w:footnoteReference w:id="11"/>
      </w:r>
      <w:r w:rsidRPr="00F2593F">
        <w:rPr>
          <w:rFonts w:ascii="Gadugi" w:hAnsi="Gadugi"/>
          <w:sz w:val="24"/>
          <w:szCs w:val="24"/>
          <w:lang w:val="es-419"/>
        </w:rPr>
        <w:t>.</w:t>
      </w:r>
    </w:p>
    <w:p w14:paraId="552052A8" w14:textId="3638A222" w:rsidR="00EC6B21" w:rsidRPr="00F2593F" w:rsidRDefault="00EC6B21" w:rsidP="00F2593F">
      <w:pPr>
        <w:spacing w:line="276" w:lineRule="auto"/>
        <w:jc w:val="both"/>
        <w:rPr>
          <w:rFonts w:ascii="Gadugi" w:hAnsi="Gadugi"/>
          <w:sz w:val="24"/>
          <w:szCs w:val="24"/>
          <w:lang w:val="es-419"/>
        </w:rPr>
      </w:pPr>
    </w:p>
    <w:p w14:paraId="7D8E42A1" w14:textId="5DD3C467" w:rsidR="00AA2FEF" w:rsidRPr="00F2593F" w:rsidRDefault="00EC6B21"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t>Ahora bien, el defecto procedimental por mora judicial se presenta</w:t>
      </w:r>
      <w:r w:rsidR="00AA2FEF" w:rsidRPr="00F2593F">
        <w:rPr>
          <w:rFonts w:ascii="Gadugi" w:hAnsi="Gadugi"/>
          <w:sz w:val="24"/>
          <w:szCs w:val="24"/>
          <w:lang w:val="es-419"/>
        </w:rPr>
        <w:t>:</w:t>
      </w:r>
      <w:r w:rsidRPr="00F2593F">
        <w:rPr>
          <w:rFonts w:ascii="Gadugi" w:hAnsi="Gadugi"/>
          <w:sz w:val="24"/>
          <w:szCs w:val="24"/>
          <w:lang w:val="es-419"/>
        </w:rPr>
        <w:t xml:space="preserve"> </w:t>
      </w:r>
    </w:p>
    <w:p w14:paraId="53AA6BCE" w14:textId="4BF68E02" w:rsidR="00AA2FEF" w:rsidRPr="00F2593F" w:rsidRDefault="00AA2FEF" w:rsidP="00F2593F">
      <w:pPr>
        <w:spacing w:line="276" w:lineRule="auto"/>
        <w:jc w:val="both"/>
        <w:rPr>
          <w:rFonts w:ascii="Gadugi" w:hAnsi="Gadugi"/>
          <w:i/>
          <w:sz w:val="24"/>
          <w:szCs w:val="24"/>
          <w:lang w:val="es-419"/>
        </w:rPr>
      </w:pPr>
    </w:p>
    <w:p w14:paraId="70A14B83" w14:textId="635CF3BA" w:rsidR="00EC6B21" w:rsidRPr="00F2593F" w:rsidRDefault="00AA2FEF" w:rsidP="00F2593F">
      <w:pPr>
        <w:ind w:left="426" w:right="420"/>
        <w:jc w:val="both"/>
        <w:rPr>
          <w:rFonts w:ascii="Gadugi" w:hAnsi="Gadugi"/>
          <w:sz w:val="22"/>
          <w:szCs w:val="24"/>
          <w:lang w:val="es-419"/>
        </w:rPr>
      </w:pPr>
      <w:r w:rsidRPr="00F2593F">
        <w:rPr>
          <w:rFonts w:ascii="Gadugi" w:hAnsi="Gadugi"/>
          <w:i/>
          <w:sz w:val="22"/>
          <w:szCs w:val="24"/>
          <w:lang w:val="es-419"/>
        </w:rPr>
        <w:tab/>
      </w:r>
      <w:r w:rsidRPr="00F2593F">
        <w:rPr>
          <w:rFonts w:ascii="Gadugi" w:hAnsi="Gadugi"/>
          <w:i/>
          <w:sz w:val="22"/>
          <w:szCs w:val="24"/>
          <w:lang w:val="es-419"/>
        </w:rPr>
        <w:tab/>
      </w:r>
      <w:r w:rsidRPr="00F2593F">
        <w:rPr>
          <w:rFonts w:ascii="Gadugi" w:hAnsi="Gadugi"/>
          <w:i/>
          <w:sz w:val="22"/>
          <w:szCs w:val="24"/>
          <w:lang w:val="es-419"/>
        </w:rPr>
        <w:tab/>
      </w:r>
      <w:r w:rsidRPr="00F2593F">
        <w:rPr>
          <w:rFonts w:ascii="Gadugi" w:hAnsi="Gadugi"/>
          <w:i/>
          <w:sz w:val="22"/>
          <w:szCs w:val="24"/>
          <w:lang w:val="es-419"/>
        </w:rPr>
        <w:tab/>
      </w:r>
      <w:r w:rsidR="00EC6B21" w:rsidRPr="00F2593F">
        <w:rPr>
          <w:rFonts w:ascii="Gadugi" w:hAnsi="Gadugi"/>
          <w:sz w:val="22"/>
          <w:szCs w:val="24"/>
          <w:lang w:val="es-419"/>
        </w:rPr>
        <w:t xml:space="preserve">“(…) </w:t>
      </w:r>
      <w:r w:rsidR="00EC6B21" w:rsidRPr="00F2593F">
        <w:rPr>
          <w:rFonts w:ascii="Gadugi" w:hAnsi="Gadugi"/>
          <w:b/>
          <w:sz w:val="22"/>
          <w:szCs w:val="24"/>
          <w:lang w:val="es-419"/>
        </w:rPr>
        <w:t>cuando en el proceso se presenta una demora injustificada que impide la adopción de la decisión judicial definitiva.</w:t>
      </w:r>
      <w:r w:rsidR="00EC6B21" w:rsidRPr="00F2593F">
        <w:rPr>
          <w:rFonts w:ascii="Gadugi" w:hAnsi="Gadugi"/>
          <w:sz w:val="22"/>
          <w:szCs w:val="24"/>
          <w:lang w:val="es-419"/>
        </w:rPr>
        <w:t xml:space="preserve"> Esto no quiere decir que sea posible cuestionar mediante tutela cualquier retraso, alegando de forma general la existencia de una mora judicial, </w:t>
      </w:r>
      <w:r w:rsidR="00EC6B21" w:rsidRPr="00F2593F">
        <w:rPr>
          <w:rFonts w:ascii="Gadugi" w:hAnsi="Gadugi"/>
          <w:b/>
          <w:sz w:val="22"/>
          <w:szCs w:val="24"/>
          <w:lang w:val="es-419"/>
        </w:rPr>
        <w:t>pues lo que se cuestiona en este supuesto es la propia vulneración del derecho a un trámite judicial ágil y sin dilaciones injustificadas.”</w:t>
      </w:r>
      <w:r w:rsidR="00EC6B21" w:rsidRPr="00F2593F">
        <w:rPr>
          <w:rStyle w:val="Refdenotaalpie"/>
          <w:rFonts w:ascii="Gadugi" w:hAnsi="Gadugi"/>
          <w:b/>
          <w:sz w:val="22"/>
          <w:szCs w:val="24"/>
          <w:lang w:val="es-419"/>
        </w:rPr>
        <w:footnoteReference w:id="12"/>
      </w:r>
      <w:r w:rsidRPr="00F2593F">
        <w:rPr>
          <w:rFonts w:ascii="Gadugi" w:hAnsi="Gadugi"/>
          <w:b/>
          <w:sz w:val="22"/>
          <w:szCs w:val="24"/>
          <w:lang w:val="es-419"/>
        </w:rPr>
        <w:t xml:space="preserve"> </w:t>
      </w:r>
      <w:r w:rsidRPr="00F2593F">
        <w:rPr>
          <w:rFonts w:ascii="Gadugi" w:hAnsi="Gadugi"/>
          <w:sz w:val="22"/>
          <w:szCs w:val="24"/>
          <w:lang w:val="es-419"/>
        </w:rPr>
        <w:t>(Destaca la sala)</w:t>
      </w:r>
    </w:p>
    <w:p w14:paraId="35B0D4E2" w14:textId="72D1E9CE" w:rsidR="00EC6B21" w:rsidRPr="00F2593F" w:rsidRDefault="00EC6B21" w:rsidP="00F2593F">
      <w:pPr>
        <w:spacing w:line="276" w:lineRule="auto"/>
        <w:jc w:val="both"/>
        <w:rPr>
          <w:rFonts w:ascii="Gadugi" w:hAnsi="Gadugi"/>
          <w:sz w:val="24"/>
          <w:szCs w:val="24"/>
          <w:lang w:val="es-419"/>
        </w:rPr>
      </w:pPr>
    </w:p>
    <w:p w14:paraId="30F066AA" w14:textId="77777777" w:rsidR="00AA2FEF" w:rsidRPr="00F2593F" w:rsidRDefault="00EC6B21"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00AA2FEF" w:rsidRPr="00F2593F">
        <w:rPr>
          <w:rFonts w:ascii="Gadugi" w:hAnsi="Gadugi"/>
          <w:sz w:val="24"/>
          <w:szCs w:val="24"/>
          <w:lang w:val="es-419"/>
        </w:rPr>
        <w:t>Para resolver este asunto debe recordarse que</w:t>
      </w:r>
      <w:r w:rsidR="00F44875" w:rsidRPr="00F2593F">
        <w:rPr>
          <w:rFonts w:ascii="Gadugi" w:hAnsi="Gadugi"/>
          <w:sz w:val="24"/>
          <w:szCs w:val="24"/>
          <w:lang w:val="es-419"/>
        </w:rPr>
        <w:t xml:space="preserve"> el artículo 20 de la Ley 472</w:t>
      </w:r>
      <w:r w:rsidR="00AA2FEF" w:rsidRPr="00F2593F">
        <w:rPr>
          <w:rFonts w:ascii="Gadugi" w:hAnsi="Gadugi"/>
          <w:sz w:val="24"/>
          <w:szCs w:val="24"/>
          <w:lang w:val="es-419"/>
        </w:rPr>
        <w:t xml:space="preserve"> de 1998, que regula el trámite de las acciones populares, establece:</w:t>
      </w:r>
    </w:p>
    <w:p w14:paraId="295648EE" w14:textId="71C51998" w:rsidR="00AA2FEF" w:rsidRPr="00F2593F" w:rsidRDefault="00AA2FEF" w:rsidP="00F2593F">
      <w:pPr>
        <w:spacing w:line="276" w:lineRule="auto"/>
        <w:jc w:val="both"/>
        <w:rPr>
          <w:rFonts w:ascii="Gadugi" w:hAnsi="Gadugi"/>
          <w:i/>
          <w:sz w:val="24"/>
          <w:szCs w:val="24"/>
          <w:lang w:val="es-419"/>
        </w:rPr>
      </w:pPr>
    </w:p>
    <w:p w14:paraId="246BACC5" w14:textId="18A3951E" w:rsidR="00F44875" w:rsidRPr="00F2593F" w:rsidRDefault="00AA2FEF" w:rsidP="00F2593F">
      <w:pPr>
        <w:ind w:left="426" w:right="420"/>
        <w:jc w:val="both"/>
        <w:rPr>
          <w:rFonts w:ascii="Gadugi" w:hAnsi="Gadugi"/>
          <w:sz w:val="22"/>
          <w:szCs w:val="24"/>
          <w:lang w:val="es-419"/>
        </w:rPr>
      </w:pPr>
      <w:r w:rsidRPr="00F2593F">
        <w:rPr>
          <w:rFonts w:ascii="Gadugi" w:hAnsi="Gadugi"/>
          <w:i/>
          <w:sz w:val="22"/>
          <w:szCs w:val="24"/>
          <w:lang w:val="es-419"/>
        </w:rPr>
        <w:tab/>
      </w:r>
      <w:r w:rsidRPr="00F2593F">
        <w:rPr>
          <w:rFonts w:ascii="Gadugi" w:hAnsi="Gadugi"/>
          <w:i/>
          <w:sz w:val="22"/>
          <w:szCs w:val="24"/>
          <w:lang w:val="es-419"/>
        </w:rPr>
        <w:tab/>
      </w:r>
      <w:r w:rsidRPr="00F2593F">
        <w:rPr>
          <w:rFonts w:ascii="Gadugi" w:hAnsi="Gadugi"/>
          <w:i/>
          <w:sz w:val="22"/>
          <w:szCs w:val="24"/>
          <w:lang w:val="es-419"/>
        </w:rPr>
        <w:tab/>
      </w:r>
      <w:r w:rsidRPr="00F2593F">
        <w:rPr>
          <w:rFonts w:ascii="Gadugi" w:hAnsi="Gadugi"/>
          <w:i/>
          <w:sz w:val="22"/>
          <w:szCs w:val="24"/>
          <w:lang w:val="es-419"/>
        </w:rPr>
        <w:tab/>
      </w:r>
      <w:r w:rsidRPr="00F2593F">
        <w:rPr>
          <w:rFonts w:ascii="Gadugi" w:hAnsi="Gadugi"/>
          <w:sz w:val="22"/>
          <w:szCs w:val="24"/>
          <w:lang w:val="es-419"/>
        </w:rPr>
        <w:t>“</w:t>
      </w:r>
      <w:r w:rsidR="00F44875" w:rsidRPr="00F2593F">
        <w:rPr>
          <w:rFonts w:ascii="Gadugi" w:hAnsi="Gadugi"/>
          <w:b/>
          <w:sz w:val="22"/>
          <w:szCs w:val="24"/>
          <w:lang w:val="es-419"/>
        </w:rPr>
        <w:t>Dentro de los tres (3) días hábiles siguientes a la presentación de la demanda</w:t>
      </w:r>
      <w:r w:rsidR="00F44875" w:rsidRPr="00F2593F">
        <w:rPr>
          <w:rFonts w:ascii="Gadugi" w:hAnsi="Gadugi"/>
          <w:sz w:val="22"/>
          <w:szCs w:val="24"/>
          <w:lang w:val="es-419"/>
        </w:rPr>
        <w:t xml:space="preserve"> o petición inicial, </w:t>
      </w:r>
      <w:r w:rsidR="00F44875" w:rsidRPr="00F2593F">
        <w:rPr>
          <w:rFonts w:ascii="Gadugi" w:hAnsi="Gadugi"/>
          <w:b/>
          <w:sz w:val="22"/>
          <w:szCs w:val="24"/>
          <w:lang w:val="es-419"/>
        </w:rPr>
        <w:t>el juez competente se pronunciará sobre su admisión</w:t>
      </w:r>
      <w:r w:rsidR="00F44875" w:rsidRPr="00F2593F">
        <w:rPr>
          <w:rFonts w:ascii="Gadugi" w:hAnsi="Gadugi"/>
          <w:sz w:val="22"/>
          <w:szCs w:val="24"/>
          <w:lang w:val="es-419"/>
        </w:rPr>
        <w:t>.</w:t>
      </w:r>
      <w:r w:rsidRPr="00F2593F">
        <w:rPr>
          <w:rFonts w:ascii="Gadugi" w:hAnsi="Gadugi"/>
          <w:sz w:val="22"/>
          <w:szCs w:val="24"/>
          <w:lang w:val="es-419"/>
        </w:rPr>
        <w:t>” (Destaca la Sala)</w:t>
      </w:r>
    </w:p>
    <w:p w14:paraId="2D9F9C46" w14:textId="77777777" w:rsidR="00F44875" w:rsidRPr="00F2593F" w:rsidRDefault="00F44875" w:rsidP="00F2593F">
      <w:pPr>
        <w:spacing w:line="276" w:lineRule="auto"/>
        <w:jc w:val="both"/>
        <w:rPr>
          <w:rFonts w:ascii="Gadugi" w:hAnsi="Gadugi"/>
          <w:sz w:val="24"/>
          <w:szCs w:val="24"/>
          <w:lang w:val="es-419"/>
        </w:rPr>
      </w:pPr>
    </w:p>
    <w:p w14:paraId="357F3576" w14:textId="3DD472F3" w:rsidR="00244FA9" w:rsidRPr="00F2593F" w:rsidRDefault="00AA2FEF"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003E7384" w:rsidRPr="00F2593F">
        <w:rPr>
          <w:rFonts w:ascii="Gadugi" w:hAnsi="Gadugi"/>
          <w:sz w:val="24"/>
          <w:szCs w:val="24"/>
          <w:lang w:val="es-419"/>
        </w:rPr>
        <w:t>Con ello claro, sigue el Tribu</w:t>
      </w:r>
      <w:r w:rsidR="00175C27" w:rsidRPr="00F2593F">
        <w:rPr>
          <w:rFonts w:ascii="Gadugi" w:hAnsi="Gadugi"/>
          <w:sz w:val="24"/>
          <w:szCs w:val="24"/>
          <w:lang w:val="es-419"/>
        </w:rPr>
        <w:t>n</w:t>
      </w:r>
      <w:r w:rsidR="003E7384" w:rsidRPr="00F2593F">
        <w:rPr>
          <w:rFonts w:ascii="Gadugi" w:hAnsi="Gadugi"/>
          <w:sz w:val="24"/>
          <w:szCs w:val="24"/>
          <w:lang w:val="es-419"/>
        </w:rPr>
        <w:t>a</w:t>
      </w:r>
      <w:r w:rsidR="00175C27" w:rsidRPr="00F2593F">
        <w:rPr>
          <w:rFonts w:ascii="Gadugi" w:hAnsi="Gadugi"/>
          <w:sz w:val="24"/>
          <w:szCs w:val="24"/>
          <w:lang w:val="es-419"/>
        </w:rPr>
        <w:t>l</w:t>
      </w:r>
      <w:r w:rsidR="003E7384" w:rsidRPr="00F2593F">
        <w:rPr>
          <w:rFonts w:ascii="Gadugi" w:hAnsi="Gadugi"/>
          <w:sz w:val="24"/>
          <w:szCs w:val="24"/>
          <w:lang w:val="es-419"/>
        </w:rPr>
        <w:t xml:space="preserve"> con el análisis del caso concreto, en el que se tiene lo siguiente: </w:t>
      </w:r>
    </w:p>
    <w:p w14:paraId="25851A91" w14:textId="7E58FC9F" w:rsidR="00244FA9" w:rsidRPr="00F2593F" w:rsidRDefault="00244FA9" w:rsidP="00F2593F">
      <w:pPr>
        <w:spacing w:line="276" w:lineRule="auto"/>
        <w:jc w:val="both"/>
        <w:rPr>
          <w:rFonts w:ascii="Gadugi" w:hAnsi="Gadugi"/>
          <w:sz w:val="24"/>
          <w:szCs w:val="24"/>
          <w:lang w:val="es-419"/>
        </w:rPr>
      </w:pPr>
    </w:p>
    <w:p w14:paraId="078D2251" w14:textId="06BC66B0" w:rsidR="000628B7" w:rsidRPr="00F2593F" w:rsidRDefault="00244FA9"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t xml:space="preserve">(i) El señor </w:t>
      </w:r>
      <w:r w:rsidR="000628B7" w:rsidRPr="00F2593F">
        <w:rPr>
          <w:rFonts w:ascii="Gadugi" w:hAnsi="Gadugi"/>
          <w:sz w:val="24"/>
          <w:szCs w:val="24"/>
          <w:lang w:val="es-419"/>
        </w:rPr>
        <w:t>Sebastián Ramírez</w:t>
      </w:r>
      <w:r w:rsidRPr="00F2593F">
        <w:rPr>
          <w:rFonts w:ascii="Gadugi" w:hAnsi="Gadugi"/>
          <w:sz w:val="24"/>
          <w:szCs w:val="24"/>
          <w:lang w:val="es-419"/>
        </w:rPr>
        <w:t xml:space="preserve"> presentó una acción popular el </w:t>
      </w:r>
      <w:r w:rsidR="000628B7" w:rsidRPr="00F2593F">
        <w:rPr>
          <w:rFonts w:ascii="Gadugi" w:hAnsi="Gadugi"/>
          <w:sz w:val="24"/>
          <w:szCs w:val="24"/>
          <w:lang w:val="es-419"/>
        </w:rPr>
        <w:t>1°</w:t>
      </w:r>
      <w:r w:rsidRPr="00F2593F">
        <w:rPr>
          <w:rFonts w:ascii="Gadugi" w:hAnsi="Gadugi"/>
          <w:sz w:val="24"/>
          <w:szCs w:val="24"/>
          <w:lang w:val="es-419"/>
        </w:rPr>
        <w:t xml:space="preserve"> de </w:t>
      </w:r>
      <w:r w:rsidR="000628B7" w:rsidRPr="00F2593F">
        <w:rPr>
          <w:rFonts w:ascii="Gadugi" w:hAnsi="Gadugi"/>
          <w:sz w:val="24"/>
          <w:szCs w:val="24"/>
          <w:lang w:val="es-419"/>
        </w:rPr>
        <w:t>abril d</w:t>
      </w:r>
      <w:r w:rsidRPr="00F2593F">
        <w:rPr>
          <w:rFonts w:ascii="Gadugi" w:hAnsi="Gadugi"/>
          <w:sz w:val="24"/>
          <w:szCs w:val="24"/>
          <w:lang w:val="es-419"/>
        </w:rPr>
        <w:t>e 2022</w:t>
      </w:r>
      <w:r w:rsidR="0048217E" w:rsidRPr="00F2593F">
        <w:rPr>
          <w:rStyle w:val="Refdenotaalpie"/>
          <w:rFonts w:ascii="Gadugi" w:hAnsi="Gadugi"/>
          <w:sz w:val="24"/>
          <w:szCs w:val="24"/>
          <w:lang w:val="es-419"/>
        </w:rPr>
        <w:footnoteReference w:id="13"/>
      </w:r>
      <w:r w:rsidRPr="00F2593F">
        <w:rPr>
          <w:rFonts w:ascii="Gadugi" w:hAnsi="Gadugi"/>
          <w:sz w:val="24"/>
          <w:szCs w:val="24"/>
          <w:lang w:val="es-419"/>
        </w:rPr>
        <w:t xml:space="preserve">, esa demanda </w:t>
      </w:r>
      <w:r w:rsidR="000628B7" w:rsidRPr="00F2593F">
        <w:rPr>
          <w:rFonts w:ascii="Gadugi" w:hAnsi="Gadugi"/>
          <w:sz w:val="24"/>
          <w:szCs w:val="24"/>
          <w:lang w:val="es-419"/>
        </w:rPr>
        <w:t xml:space="preserve">le </w:t>
      </w:r>
      <w:r w:rsidRPr="00F2593F">
        <w:rPr>
          <w:rFonts w:ascii="Gadugi" w:hAnsi="Gadugi"/>
          <w:sz w:val="24"/>
          <w:szCs w:val="24"/>
          <w:lang w:val="es-419"/>
        </w:rPr>
        <w:t>fue</w:t>
      </w:r>
      <w:r w:rsidR="000628B7" w:rsidRPr="00F2593F">
        <w:rPr>
          <w:rFonts w:ascii="Gadugi" w:hAnsi="Gadugi"/>
          <w:sz w:val="24"/>
          <w:szCs w:val="24"/>
          <w:lang w:val="es-419"/>
        </w:rPr>
        <w:t xml:space="preserve"> </w:t>
      </w:r>
      <w:r w:rsidR="0048217E" w:rsidRPr="00F2593F">
        <w:rPr>
          <w:rFonts w:ascii="Gadugi" w:hAnsi="Gadugi"/>
          <w:sz w:val="24"/>
          <w:szCs w:val="24"/>
          <w:lang w:val="es-419"/>
        </w:rPr>
        <w:t xml:space="preserve">repartida </w:t>
      </w:r>
      <w:r w:rsidR="000628B7" w:rsidRPr="00F2593F">
        <w:rPr>
          <w:rFonts w:ascii="Gadugi" w:hAnsi="Gadugi"/>
          <w:sz w:val="24"/>
          <w:szCs w:val="24"/>
          <w:lang w:val="es-419"/>
        </w:rPr>
        <w:t>al Juzgado Quinto Civil del Circuito al día hábil siguiente, esto es, el 4 de abril</w:t>
      </w:r>
      <w:r w:rsidR="0048217E" w:rsidRPr="00F2593F">
        <w:rPr>
          <w:rStyle w:val="Refdenotaalpie"/>
          <w:rFonts w:ascii="Gadugi" w:hAnsi="Gadugi"/>
          <w:sz w:val="24"/>
          <w:szCs w:val="24"/>
          <w:lang w:val="es-419"/>
        </w:rPr>
        <w:footnoteReference w:id="14"/>
      </w:r>
      <w:r w:rsidR="000628B7" w:rsidRPr="00F2593F">
        <w:rPr>
          <w:rFonts w:ascii="Gadugi" w:hAnsi="Gadugi"/>
          <w:sz w:val="24"/>
          <w:szCs w:val="24"/>
          <w:lang w:val="es-419"/>
        </w:rPr>
        <w:t xml:space="preserve">.  </w:t>
      </w:r>
    </w:p>
    <w:p w14:paraId="0ACEA875" w14:textId="77777777" w:rsidR="000628B7" w:rsidRPr="00F2593F" w:rsidRDefault="000628B7" w:rsidP="00F2593F">
      <w:pPr>
        <w:spacing w:line="276" w:lineRule="auto"/>
        <w:jc w:val="both"/>
        <w:rPr>
          <w:rFonts w:ascii="Gadugi" w:hAnsi="Gadugi"/>
          <w:sz w:val="24"/>
          <w:szCs w:val="24"/>
          <w:lang w:val="es-419"/>
        </w:rPr>
      </w:pPr>
    </w:p>
    <w:p w14:paraId="01F00328" w14:textId="754EAE8D" w:rsidR="00C062D1" w:rsidRPr="00F2593F" w:rsidRDefault="00C062D1"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t xml:space="preserve">(ii) El </w:t>
      </w:r>
      <w:r w:rsidR="000628B7" w:rsidRPr="00F2593F">
        <w:rPr>
          <w:rFonts w:ascii="Gadugi" w:hAnsi="Gadugi"/>
          <w:sz w:val="24"/>
          <w:szCs w:val="24"/>
          <w:lang w:val="es-419"/>
        </w:rPr>
        <w:t xml:space="preserve">22 </w:t>
      </w:r>
      <w:r w:rsidRPr="00F2593F">
        <w:rPr>
          <w:rFonts w:ascii="Gadugi" w:hAnsi="Gadugi"/>
          <w:sz w:val="24"/>
          <w:szCs w:val="24"/>
          <w:lang w:val="es-419"/>
        </w:rPr>
        <w:t xml:space="preserve">de </w:t>
      </w:r>
      <w:r w:rsidR="000628B7" w:rsidRPr="00F2593F">
        <w:rPr>
          <w:rFonts w:ascii="Gadugi" w:hAnsi="Gadugi"/>
          <w:sz w:val="24"/>
          <w:szCs w:val="24"/>
          <w:lang w:val="es-419"/>
        </w:rPr>
        <w:t>abril</w:t>
      </w:r>
      <w:r w:rsidRPr="00F2593F">
        <w:rPr>
          <w:rFonts w:ascii="Gadugi" w:hAnsi="Gadugi"/>
          <w:sz w:val="24"/>
          <w:szCs w:val="24"/>
          <w:lang w:val="es-419"/>
        </w:rPr>
        <w:t xml:space="preserve"> se formuló esta acción de tutela, pero como se envió a un correo electrónico de la Sala de Casación Civil de la Corte Suprema de Justicia</w:t>
      </w:r>
      <w:r w:rsidR="0048217E" w:rsidRPr="00F2593F">
        <w:rPr>
          <w:rStyle w:val="Refdenotaalpie"/>
          <w:rFonts w:ascii="Gadugi" w:hAnsi="Gadugi"/>
          <w:sz w:val="24"/>
          <w:szCs w:val="24"/>
          <w:lang w:val="es-419"/>
        </w:rPr>
        <w:footnoteReference w:id="15"/>
      </w:r>
      <w:r w:rsidRPr="00F2593F">
        <w:rPr>
          <w:rFonts w:ascii="Gadugi" w:hAnsi="Gadugi"/>
          <w:sz w:val="24"/>
          <w:szCs w:val="24"/>
          <w:lang w:val="es-419"/>
        </w:rPr>
        <w:t>, y desde allá tuvo que ser remitida a este distrito judicial</w:t>
      </w:r>
      <w:r w:rsidR="0048217E" w:rsidRPr="00F2593F">
        <w:rPr>
          <w:rStyle w:val="Refdenotaalpie"/>
          <w:rFonts w:ascii="Gadugi" w:hAnsi="Gadugi"/>
          <w:sz w:val="24"/>
          <w:szCs w:val="24"/>
          <w:lang w:val="es-419"/>
        </w:rPr>
        <w:footnoteReference w:id="16"/>
      </w:r>
      <w:r w:rsidRPr="00F2593F">
        <w:rPr>
          <w:rFonts w:ascii="Gadugi" w:hAnsi="Gadugi"/>
          <w:sz w:val="24"/>
          <w:szCs w:val="24"/>
          <w:lang w:val="es-419"/>
        </w:rPr>
        <w:t xml:space="preserve">, siendo repartida a esta Sala el </w:t>
      </w:r>
      <w:r w:rsidR="000628B7" w:rsidRPr="00F2593F">
        <w:rPr>
          <w:rFonts w:ascii="Gadugi" w:hAnsi="Gadugi"/>
          <w:sz w:val="24"/>
          <w:szCs w:val="24"/>
          <w:lang w:val="es-419"/>
        </w:rPr>
        <w:t>27</w:t>
      </w:r>
      <w:r w:rsidRPr="00F2593F">
        <w:rPr>
          <w:rFonts w:ascii="Gadugi" w:hAnsi="Gadugi"/>
          <w:sz w:val="24"/>
          <w:szCs w:val="24"/>
          <w:lang w:val="es-419"/>
        </w:rPr>
        <w:t xml:space="preserve"> de </w:t>
      </w:r>
      <w:r w:rsidR="000628B7" w:rsidRPr="00F2593F">
        <w:rPr>
          <w:rFonts w:ascii="Gadugi" w:hAnsi="Gadugi"/>
          <w:sz w:val="24"/>
          <w:szCs w:val="24"/>
          <w:lang w:val="es-419"/>
        </w:rPr>
        <w:t>abril</w:t>
      </w:r>
      <w:r w:rsidRPr="00F2593F">
        <w:rPr>
          <w:rFonts w:ascii="Gadugi" w:hAnsi="Gadugi"/>
          <w:sz w:val="24"/>
          <w:szCs w:val="24"/>
          <w:lang w:val="es-419"/>
        </w:rPr>
        <w:t xml:space="preserve"> a las 4:</w:t>
      </w:r>
      <w:r w:rsidR="000628B7" w:rsidRPr="00F2593F">
        <w:rPr>
          <w:rFonts w:ascii="Gadugi" w:hAnsi="Gadugi"/>
          <w:sz w:val="24"/>
          <w:szCs w:val="24"/>
          <w:lang w:val="es-419"/>
        </w:rPr>
        <w:t>05</w:t>
      </w:r>
      <w:r w:rsidRPr="00F2593F">
        <w:rPr>
          <w:rFonts w:ascii="Gadugi" w:hAnsi="Gadugi"/>
          <w:sz w:val="24"/>
          <w:szCs w:val="24"/>
          <w:lang w:val="es-419"/>
        </w:rPr>
        <w:t>pm</w:t>
      </w:r>
      <w:r w:rsidR="0048217E" w:rsidRPr="00F2593F">
        <w:rPr>
          <w:rStyle w:val="Refdenotaalpie"/>
          <w:rFonts w:ascii="Gadugi" w:hAnsi="Gadugi"/>
          <w:sz w:val="24"/>
          <w:szCs w:val="24"/>
          <w:lang w:val="es-419"/>
        </w:rPr>
        <w:footnoteReference w:id="17"/>
      </w:r>
      <w:r w:rsidRPr="00F2593F">
        <w:rPr>
          <w:rFonts w:ascii="Gadugi" w:hAnsi="Gadugi"/>
          <w:sz w:val="24"/>
          <w:szCs w:val="24"/>
          <w:lang w:val="es-419"/>
        </w:rPr>
        <w:t xml:space="preserve">, </w:t>
      </w:r>
      <w:r w:rsidR="00F44875" w:rsidRPr="00F2593F">
        <w:rPr>
          <w:rFonts w:ascii="Gadugi" w:hAnsi="Gadugi"/>
          <w:sz w:val="24"/>
          <w:szCs w:val="24"/>
          <w:lang w:val="es-419"/>
        </w:rPr>
        <w:t>solo</w:t>
      </w:r>
      <w:r w:rsidRPr="00F2593F">
        <w:rPr>
          <w:rFonts w:ascii="Gadugi" w:hAnsi="Gadugi"/>
          <w:sz w:val="24"/>
          <w:szCs w:val="24"/>
          <w:lang w:val="es-419"/>
        </w:rPr>
        <w:t xml:space="preserve"> pasó a despacho el </w:t>
      </w:r>
      <w:r w:rsidR="000628B7" w:rsidRPr="00F2593F">
        <w:rPr>
          <w:rFonts w:ascii="Gadugi" w:hAnsi="Gadugi"/>
          <w:sz w:val="24"/>
          <w:szCs w:val="24"/>
          <w:lang w:val="es-419"/>
        </w:rPr>
        <w:t>28</w:t>
      </w:r>
      <w:r w:rsidRPr="00F2593F">
        <w:rPr>
          <w:rFonts w:ascii="Gadugi" w:hAnsi="Gadugi"/>
          <w:sz w:val="24"/>
          <w:szCs w:val="24"/>
          <w:lang w:val="es-419"/>
        </w:rPr>
        <w:t xml:space="preserve"> de </w:t>
      </w:r>
      <w:r w:rsidR="000628B7" w:rsidRPr="00F2593F">
        <w:rPr>
          <w:rFonts w:ascii="Gadugi" w:hAnsi="Gadugi"/>
          <w:sz w:val="24"/>
          <w:szCs w:val="24"/>
          <w:lang w:val="es-419"/>
        </w:rPr>
        <w:t>abril</w:t>
      </w:r>
      <w:r w:rsidR="0048217E" w:rsidRPr="00F2593F">
        <w:rPr>
          <w:rStyle w:val="Refdenotaalpie"/>
          <w:rFonts w:ascii="Gadugi" w:hAnsi="Gadugi"/>
          <w:sz w:val="24"/>
          <w:szCs w:val="24"/>
          <w:lang w:val="es-419"/>
        </w:rPr>
        <w:footnoteReference w:id="18"/>
      </w:r>
      <w:r w:rsidR="00307092" w:rsidRPr="00F2593F">
        <w:rPr>
          <w:rFonts w:ascii="Gadugi" w:hAnsi="Gadugi"/>
          <w:sz w:val="24"/>
          <w:szCs w:val="24"/>
          <w:lang w:val="es-419"/>
        </w:rPr>
        <w:t>.</w:t>
      </w:r>
    </w:p>
    <w:p w14:paraId="52C663CC" w14:textId="1FEF6234" w:rsidR="00C062D1" w:rsidRPr="00F2593F" w:rsidRDefault="00C062D1" w:rsidP="00F2593F">
      <w:pPr>
        <w:spacing w:line="276" w:lineRule="auto"/>
        <w:jc w:val="both"/>
        <w:rPr>
          <w:rFonts w:ascii="Gadugi" w:hAnsi="Gadugi"/>
          <w:sz w:val="24"/>
          <w:szCs w:val="24"/>
          <w:lang w:val="es-419"/>
        </w:rPr>
      </w:pPr>
    </w:p>
    <w:p w14:paraId="3D97173E" w14:textId="06442D97" w:rsidR="00C062D1" w:rsidRPr="00F2593F" w:rsidRDefault="00C062D1"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t>(iv) El 2</w:t>
      </w:r>
      <w:r w:rsidR="00307092" w:rsidRPr="00F2593F">
        <w:rPr>
          <w:rFonts w:ascii="Gadugi" w:hAnsi="Gadugi"/>
          <w:sz w:val="24"/>
          <w:szCs w:val="24"/>
          <w:lang w:val="es-419"/>
        </w:rPr>
        <w:t>5</w:t>
      </w:r>
      <w:r w:rsidRPr="00F2593F">
        <w:rPr>
          <w:rFonts w:ascii="Gadugi" w:hAnsi="Gadugi"/>
          <w:sz w:val="24"/>
          <w:szCs w:val="24"/>
          <w:lang w:val="es-419"/>
        </w:rPr>
        <w:t xml:space="preserve"> de </w:t>
      </w:r>
      <w:r w:rsidR="00307092" w:rsidRPr="00F2593F">
        <w:rPr>
          <w:rFonts w:ascii="Gadugi" w:hAnsi="Gadugi"/>
          <w:sz w:val="24"/>
          <w:szCs w:val="24"/>
          <w:lang w:val="es-419"/>
        </w:rPr>
        <w:t xml:space="preserve">abril </w:t>
      </w:r>
      <w:r w:rsidRPr="00F2593F">
        <w:rPr>
          <w:rFonts w:ascii="Gadugi" w:hAnsi="Gadugi"/>
          <w:sz w:val="24"/>
          <w:szCs w:val="24"/>
          <w:lang w:val="es-419"/>
        </w:rPr>
        <w:t>de 2022</w:t>
      </w:r>
      <w:r w:rsidR="00F44875" w:rsidRPr="00F2593F">
        <w:rPr>
          <w:rFonts w:ascii="Gadugi" w:hAnsi="Gadugi"/>
          <w:sz w:val="24"/>
          <w:szCs w:val="24"/>
          <w:lang w:val="es-419"/>
        </w:rPr>
        <w:t xml:space="preserve"> </w:t>
      </w:r>
      <w:r w:rsidR="00307092" w:rsidRPr="00F2593F">
        <w:rPr>
          <w:rFonts w:ascii="Gadugi" w:hAnsi="Gadugi"/>
          <w:sz w:val="24"/>
          <w:szCs w:val="24"/>
          <w:lang w:val="es-419"/>
        </w:rPr>
        <w:t>el juzgado encausado</w:t>
      </w:r>
      <w:r w:rsidR="00F44875" w:rsidRPr="00F2593F">
        <w:rPr>
          <w:rFonts w:ascii="Gadugi" w:hAnsi="Gadugi"/>
          <w:sz w:val="24"/>
          <w:szCs w:val="24"/>
          <w:lang w:val="es-419"/>
        </w:rPr>
        <w:t xml:space="preserve"> admitió la demanda popular y esa decisión se notificó </w:t>
      </w:r>
      <w:r w:rsidR="002A3BCA" w:rsidRPr="00F2593F">
        <w:rPr>
          <w:rFonts w:ascii="Gadugi" w:hAnsi="Gadugi"/>
          <w:sz w:val="24"/>
          <w:szCs w:val="24"/>
          <w:lang w:val="es-419"/>
        </w:rPr>
        <w:t>al día siguiente</w:t>
      </w:r>
      <w:r w:rsidR="0048217E" w:rsidRPr="00F2593F">
        <w:rPr>
          <w:rStyle w:val="Refdenotaalpie"/>
          <w:rFonts w:ascii="Gadugi" w:hAnsi="Gadugi"/>
          <w:sz w:val="24"/>
          <w:szCs w:val="24"/>
          <w:lang w:val="es-419"/>
        </w:rPr>
        <w:footnoteReference w:id="19"/>
      </w:r>
      <w:r w:rsidR="002A3BCA" w:rsidRPr="00F2593F">
        <w:rPr>
          <w:rFonts w:ascii="Gadugi" w:hAnsi="Gadugi"/>
          <w:sz w:val="24"/>
          <w:szCs w:val="24"/>
          <w:lang w:val="es-419"/>
        </w:rPr>
        <w:t xml:space="preserve">. </w:t>
      </w:r>
    </w:p>
    <w:p w14:paraId="0C1DF917" w14:textId="74E9B14F" w:rsidR="00F44875" w:rsidRPr="00F2593F" w:rsidRDefault="00F44875" w:rsidP="00F2593F">
      <w:pPr>
        <w:spacing w:line="276" w:lineRule="auto"/>
        <w:jc w:val="both"/>
        <w:rPr>
          <w:rFonts w:ascii="Gadugi" w:hAnsi="Gadugi"/>
          <w:sz w:val="24"/>
          <w:szCs w:val="24"/>
          <w:lang w:val="es-419"/>
        </w:rPr>
      </w:pPr>
    </w:p>
    <w:p w14:paraId="041F911E" w14:textId="55E32128" w:rsidR="00AA2FEF" w:rsidRPr="00F2593F" w:rsidRDefault="00F44875" w:rsidP="00F2593F">
      <w:pPr>
        <w:spacing w:line="276" w:lineRule="auto"/>
        <w:jc w:val="both"/>
        <w:rPr>
          <w:rFonts w:ascii="Gadugi" w:hAnsi="Gadugi"/>
          <w:sz w:val="24"/>
          <w:szCs w:val="24"/>
          <w:lang w:val="es-419"/>
        </w:rPr>
      </w:pP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r>
      <w:r w:rsidRPr="00F2593F">
        <w:rPr>
          <w:rFonts w:ascii="Gadugi" w:hAnsi="Gadugi"/>
          <w:sz w:val="24"/>
          <w:szCs w:val="24"/>
          <w:lang w:val="es-419"/>
        </w:rPr>
        <w:tab/>
        <w:t>(v) Para justificar la tardanza</w:t>
      </w:r>
      <w:r w:rsidR="002A3BCA" w:rsidRPr="00F2593F">
        <w:rPr>
          <w:rFonts w:ascii="Gadugi" w:hAnsi="Gadugi"/>
          <w:sz w:val="24"/>
          <w:szCs w:val="24"/>
          <w:lang w:val="es-419"/>
        </w:rPr>
        <w:t>,</w:t>
      </w:r>
      <w:r w:rsidRPr="00F2593F">
        <w:rPr>
          <w:rFonts w:ascii="Gadugi" w:hAnsi="Gadugi"/>
          <w:sz w:val="24"/>
          <w:szCs w:val="24"/>
          <w:lang w:val="es-419"/>
        </w:rPr>
        <w:t xml:space="preserve"> la titular de ese despacho </w:t>
      </w:r>
      <w:r w:rsidR="00AA2FEF" w:rsidRPr="00F2593F">
        <w:rPr>
          <w:rFonts w:ascii="Gadugi" w:hAnsi="Gadugi"/>
          <w:sz w:val="24"/>
          <w:szCs w:val="24"/>
          <w:lang w:val="es-419"/>
        </w:rPr>
        <w:t>informó que</w:t>
      </w:r>
      <w:r w:rsidR="0048217E" w:rsidRPr="00F2593F">
        <w:rPr>
          <w:rStyle w:val="Refdenotaalpie"/>
          <w:rFonts w:ascii="Gadugi" w:hAnsi="Gadugi"/>
          <w:sz w:val="24"/>
          <w:szCs w:val="24"/>
          <w:lang w:val="es-419"/>
        </w:rPr>
        <w:footnoteReference w:id="20"/>
      </w:r>
      <w:r w:rsidR="00AA2FEF" w:rsidRPr="00F2593F">
        <w:rPr>
          <w:rFonts w:ascii="Gadugi" w:hAnsi="Gadugi"/>
          <w:sz w:val="24"/>
          <w:szCs w:val="24"/>
          <w:lang w:val="es-419"/>
        </w:rPr>
        <w:t>:</w:t>
      </w:r>
    </w:p>
    <w:p w14:paraId="6C8B93CA" w14:textId="77777777" w:rsidR="002A3BCA" w:rsidRPr="00F2593F" w:rsidRDefault="002A3BCA" w:rsidP="00F2593F">
      <w:pPr>
        <w:spacing w:line="276" w:lineRule="auto"/>
        <w:jc w:val="both"/>
        <w:rPr>
          <w:rFonts w:ascii="Gadugi" w:hAnsi="Gadugi" w:cs="Century Gothic"/>
          <w:sz w:val="24"/>
          <w:szCs w:val="24"/>
          <w:lang w:val="es-CO"/>
        </w:rPr>
      </w:pPr>
    </w:p>
    <w:p w14:paraId="41B1A864" w14:textId="77777777" w:rsidR="002A3BCA" w:rsidRPr="001C38F0" w:rsidRDefault="002A3BCA" w:rsidP="001C38F0">
      <w:pPr>
        <w:ind w:left="426" w:right="420"/>
        <w:jc w:val="both"/>
        <w:rPr>
          <w:rFonts w:ascii="Gadugi" w:hAnsi="Gadugi" w:cs="Century Gothic"/>
          <w:sz w:val="22"/>
          <w:szCs w:val="24"/>
          <w:lang w:val="es-CO"/>
        </w:rPr>
      </w:pP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F2593F">
        <w:rPr>
          <w:rFonts w:ascii="Gadugi" w:hAnsi="Gadugi" w:cs="Century Gothic"/>
          <w:sz w:val="24"/>
          <w:szCs w:val="24"/>
          <w:lang w:val="es-CO"/>
        </w:rPr>
        <w:tab/>
      </w:r>
      <w:r w:rsidRPr="001C38F0">
        <w:rPr>
          <w:rFonts w:ascii="Gadugi" w:hAnsi="Gadugi" w:cs="Century Gothic"/>
          <w:sz w:val="22"/>
          <w:szCs w:val="24"/>
          <w:lang w:val="es-CO"/>
        </w:rPr>
        <w:t xml:space="preserve">Se advierte que a esta célula judicial no le fue posible admitir la acción popular objeto de tutela, dentro de los tres (03) días siguientes a su asignación por reparto. Situación que obedece al amplio número designado de las mismas para efectuar su respectivo conocimiento, </w:t>
      </w:r>
      <w:r w:rsidRPr="001C38F0">
        <w:rPr>
          <w:rFonts w:ascii="Gadugi" w:hAnsi="Gadugi" w:cs="Century Gothic"/>
          <w:b/>
          <w:sz w:val="22"/>
          <w:szCs w:val="24"/>
          <w:lang w:val="es-CO"/>
        </w:rPr>
        <w:t xml:space="preserve">cifra que asciende a 296 solo en </w:t>
      </w:r>
      <w:r w:rsidRPr="001C38F0">
        <w:rPr>
          <w:rFonts w:ascii="Gadugi" w:hAnsi="Gadugi" w:cs="Century Gothic"/>
          <w:b/>
          <w:sz w:val="22"/>
          <w:szCs w:val="24"/>
          <w:lang w:val="es-CO"/>
        </w:rPr>
        <w:lastRenderedPageBreak/>
        <w:t>lo corrido de este año.</w:t>
      </w:r>
      <w:r w:rsidRPr="001C38F0">
        <w:rPr>
          <w:rFonts w:ascii="Gadugi" w:hAnsi="Gadugi" w:cs="Century Gothic"/>
          <w:sz w:val="22"/>
          <w:szCs w:val="24"/>
          <w:lang w:val="es-CO"/>
        </w:rPr>
        <w:t xml:space="preserve"> Lo anterior sumado a la vasta carga laboral adjudicada al presente despacho.</w:t>
      </w:r>
    </w:p>
    <w:p w14:paraId="5795CF7B" w14:textId="77777777" w:rsidR="002A3BCA" w:rsidRPr="001C38F0" w:rsidRDefault="002A3BCA" w:rsidP="001C38F0">
      <w:pPr>
        <w:ind w:left="426" w:right="420"/>
        <w:jc w:val="both"/>
        <w:rPr>
          <w:rFonts w:ascii="Gadugi" w:hAnsi="Gadugi" w:cs="Century Gothic"/>
          <w:sz w:val="22"/>
          <w:szCs w:val="24"/>
          <w:lang w:val="es-CO"/>
        </w:rPr>
      </w:pPr>
    </w:p>
    <w:p w14:paraId="294582A4" w14:textId="55831558" w:rsidR="002A3BCA" w:rsidRPr="001C38F0" w:rsidRDefault="002A3BCA" w:rsidP="001C38F0">
      <w:pPr>
        <w:ind w:left="426" w:right="420"/>
        <w:jc w:val="both"/>
        <w:rPr>
          <w:rFonts w:ascii="Gadugi" w:hAnsi="Gadugi" w:cs="Century Gothic"/>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 xml:space="preserve">Muestra de ello es que, </w:t>
      </w:r>
      <w:r w:rsidRPr="001C38F0">
        <w:rPr>
          <w:rFonts w:ascii="Gadugi" w:hAnsi="Gadugi" w:cs="Century Gothic"/>
          <w:b/>
          <w:sz w:val="22"/>
          <w:szCs w:val="24"/>
          <w:lang w:val="es-CO"/>
        </w:rPr>
        <w:t>en el mes de abril de 2022, fueron allegadas treinta y siete (37) acciones populares</w:t>
      </w:r>
      <w:r w:rsidRPr="001C38F0">
        <w:rPr>
          <w:rFonts w:ascii="Gadugi" w:hAnsi="Gadugi" w:cs="Century Gothic"/>
          <w:sz w:val="22"/>
          <w:szCs w:val="24"/>
          <w:lang w:val="es-CO"/>
        </w:rPr>
        <w:t xml:space="preserve">, </w:t>
      </w:r>
      <w:r w:rsidR="00A96FE0" w:rsidRPr="001C38F0">
        <w:rPr>
          <w:rFonts w:ascii="Gadugi" w:hAnsi="Gadugi" w:cs="Century Gothic"/>
          <w:sz w:val="22"/>
          <w:szCs w:val="24"/>
          <w:lang w:val="es-CO"/>
        </w:rPr>
        <w:t>(…)</w:t>
      </w:r>
      <w:r w:rsidRPr="001C38F0">
        <w:rPr>
          <w:rFonts w:ascii="Gadugi" w:hAnsi="Gadugi" w:cs="Century Gothic"/>
          <w:sz w:val="22"/>
          <w:szCs w:val="24"/>
          <w:lang w:val="es-CO"/>
        </w:rPr>
        <w:t>, 3 de ellas de manera simultánea a aquella objeto de controversia, es decir, el ocho (08) de abril del año en curso.</w:t>
      </w:r>
    </w:p>
    <w:p w14:paraId="6AB1A910" w14:textId="77777777" w:rsidR="002A3BCA" w:rsidRPr="001C38F0" w:rsidRDefault="002A3BCA" w:rsidP="001C38F0">
      <w:pPr>
        <w:ind w:left="426" w:right="420"/>
        <w:jc w:val="both"/>
        <w:rPr>
          <w:rFonts w:ascii="Gadugi" w:hAnsi="Gadugi" w:cs="Century Gothic"/>
          <w:sz w:val="22"/>
          <w:szCs w:val="24"/>
          <w:lang w:val="es-CO"/>
        </w:rPr>
      </w:pPr>
    </w:p>
    <w:p w14:paraId="3CAFC2B3" w14:textId="77777777" w:rsidR="002A3BCA" w:rsidRPr="001C38F0" w:rsidRDefault="002A3BCA" w:rsidP="001C38F0">
      <w:pPr>
        <w:ind w:left="426" w:right="420"/>
        <w:jc w:val="both"/>
        <w:rPr>
          <w:rFonts w:ascii="Gadugi" w:hAnsi="Gadugi" w:cs="Century Gothic"/>
          <w:b/>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 xml:space="preserve">Corolario a lo anterior, </w:t>
      </w:r>
      <w:r w:rsidRPr="001C38F0">
        <w:rPr>
          <w:rFonts w:ascii="Gadugi" w:hAnsi="Gadugi" w:cs="Century Gothic"/>
          <w:b/>
          <w:sz w:val="22"/>
          <w:szCs w:val="24"/>
          <w:lang w:val="es-CO"/>
        </w:rPr>
        <w:t>desde el martes 29 de marzo hasta el lunes 25 de abril de 2022, se repartieron cuarenta y seis (46) procesos, del radicado 2022-00327 al 2022-00380, de los cuales treinta y cuatro (34) son Acciones Populares.</w:t>
      </w:r>
    </w:p>
    <w:p w14:paraId="3DCD187B" w14:textId="77777777" w:rsidR="002A3BCA" w:rsidRPr="001C38F0" w:rsidRDefault="002A3BCA" w:rsidP="001C38F0">
      <w:pPr>
        <w:ind w:left="426" w:right="420"/>
        <w:jc w:val="both"/>
        <w:rPr>
          <w:rFonts w:ascii="Gadugi" w:hAnsi="Gadugi" w:cs="Century Gothic"/>
          <w:sz w:val="22"/>
          <w:szCs w:val="24"/>
          <w:lang w:val="es-CO"/>
        </w:rPr>
      </w:pPr>
    </w:p>
    <w:p w14:paraId="0030FD28" w14:textId="746FAE31" w:rsidR="002A3BCA" w:rsidRPr="001C38F0" w:rsidRDefault="002A3BCA" w:rsidP="001C38F0">
      <w:pPr>
        <w:ind w:left="426" w:right="420"/>
        <w:jc w:val="both"/>
        <w:rPr>
          <w:rFonts w:ascii="Gadugi" w:hAnsi="Gadugi" w:cs="Century Gothic"/>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 xml:space="preserve">Análogamente, </w:t>
      </w:r>
      <w:r w:rsidRPr="001C38F0">
        <w:rPr>
          <w:rFonts w:ascii="Gadugi" w:hAnsi="Gadugi" w:cs="Century Gothic"/>
          <w:b/>
          <w:sz w:val="22"/>
          <w:szCs w:val="24"/>
          <w:lang w:val="es-CO"/>
        </w:rPr>
        <w:t>entre 05 y el 25 de abril de 2022</w:t>
      </w:r>
      <w:r w:rsidRPr="001C38F0">
        <w:rPr>
          <w:rFonts w:ascii="Gadugi" w:hAnsi="Gadugi" w:cs="Century Gothic"/>
          <w:sz w:val="22"/>
          <w:szCs w:val="24"/>
          <w:lang w:val="es-CO"/>
        </w:rPr>
        <w:t xml:space="preserve">, se recibieron por reparto </w:t>
      </w:r>
      <w:r w:rsidRPr="001C38F0">
        <w:rPr>
          <w:rFonts w:ascii="Gadugi" w:hAnsi="Gadugi" w:cs="Century Gothic"/>
          <w:b/>
          <w:sz w:val="22"/>
          <w:szCs w:val="24"/>
          <w:lang w:val="es-CO"/>
        </w:rPr>
        <w:t>seis (6) Acciones de Tutela de Primera</w:t>
      </w:r>
      <w:r w:rsidRPr="001C38F0">
        <w:rPr>
          <w:rFonts w:ascii="Gadugi" w:hAnsi="Gadugi" w:cs="Century Gothic"/>
          <w:sz w:val="22"/>
          <w:szCs w:val="24"/>
          <w:lang w:val="es-CO"/>
        </w:rPr>
        <w:t xml:space="preserve"> </w:t>
      </w:r>
      <w:r w:rsidR="00043798" w:rsidRPr="001C38F0">
        <w:rPr>
          <w:rFonts w:ascii="Gadugi" w:hAnsi="Gadugi" w:cs="Century Gothic"/>
          <w:sz w:val="22"/>
          <w:szCs w:val="24"/>
          <w:lang w:val="es-CO"/>
        </w:rPr>
        <w:t>(…)</w:t>
      </w:r>
      <w:r w:rsidRPr="001C38F0">
        <w:rPr>
          <w:rFonts w:ascii="Gadugi" w:hAnsi="Gadugi" w:cs="Century Gothic"/>
          <w:sz w:val="22"/>
          <w:szCs w:val="24"/>
          <w:lang w:val="es-CO"/>
        </w:rPr>
        <w:t xml:space="preserve">, así como cuatro (04) de Segunda Instancia </w:t>
      </w:r>
      <w:r w:rsidR="00043798" w:rsidRPr="001C38F0">
        <w:rPr>
          <w:rFonts w:ascii="Gadugi" w:hAnsi="Gadugi" w:cs="Century Gothic"/>
          <w:sz w:val="22"/>
          <w:szCs w:val="24"/>
          <w:lang w:val="es-CO"/>
        </w:rPr>
        <w:t>(…).</w:t>
      </w:r>
    </w:p>
    <w:p w14:paraId="726C8C2B" w14:textId="77777777" w:rsidR="002A3BCA" w:rsidRPr="001C38F0" w:rsidRDefault="002A3BCA" w:rsidP="001C38F0">
      <w:pPr>
        <w:ind w:left="426" w:right="420"/>
        <w:jc w:val="both"/>
        <w:rPr>
          <w:rFonts w:ascii="Gadugi" w:hAnsi="Gadugi" w:cs="Century Gothic"/>
          <w:sz w:val="22"/>
          <w:szCs w:val="24"/>
          <w:lang w:val="es-CO"/>
        </w:rPr>
      </w:pPr>
    </w:p>
    <w:p w14:paraId="494A4702" w14:textId="77777777" w:rsidR="002A3BCA" w:rsidRPr="001C38F0" w:rsidRDefault="002A3BCA" w:rsidP="001C38F0">
      <w:pPr>
        <w:ind w:left="426" w:right="420"/>
        <w:jc w:val="both"/>
        <w:rPr>
          <w:rFonts w:ascii="Gadugi" w:hAnsi="Gadugi" w:cs="Century Gothic"/>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Por otro lado, en fechas 19 y 25 abril del año en curso, se profirieron autos dentro de los siguientes incidentes de desacato, mismos que se encuentran destinados a los radicados 2022-00242-00 y 2020-00079.</w:t>
      </w:r>
    </w:p>
    <w:p w14:paraId="4192E37B" w14:textId="77777777" w:rsidR="002A3BCA" w:rsidRPr="001C38F0" w:rsidRDefault="002A3BCA" w:rsidP="001C38F0">
      <w:pPr>
        <w:ind w:left="426" w:right="420"/>
        <w:jc w:val="both"/>
        <w:rPr>
          <w:rFonts w:ascii="Gadugi" w:hAnsi="Gadugi" w:cs="Century Gothic"/>
          <w:sz w:val="22"/>
          <w:szCs w:val="24"/>
          <w:lang w:val="es-CO"/>
        </w:rPr>
      </w:pPr>
    </w:p>
    <w:p w14:paraId="3B2DB1A9" w14:textId="77777777" w:rsidR="002A3BCA" w:rsidRPr="001C38F0" w:rsidRDefault="002A3BCA" w:rsidP="001C38F0">
      <w:pPr>
        <w:ind w:left="426" w:right="420"/>
        <w:jc w:val="both"/>
        <w:rPr>
          <w:rFonts w:ascii="Gadugi" w:hAnsi="Gadugi" w:cs="Century Gothic"/>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Asimismo, el 31 de marzo y 04 de abril de 2022 se recibieron en el trámite jurisdiccional de consulta los siguientes incidentes de desacato 66001-40-03-002-2017-00646-09 y 66001-40-03-008-2019-00513-03.</w:t>
      </w:r>
    </w:p>
    <w:p w14:paraId="63058146" w14:textId="77777777" w:rsidR="002A3BCA" w:rsidRPr="001C38F0" w:rsidRDefault="002A3BCA" w:rsidP="001C38F0">
      <w:pPr>
        <w:ind w:left="426" w:right="420"/>
        <w:jc w:val="both"/>
        <w:rPr>
          <w:rFonts w:ascii="Gadugi" w:hAnsi="Gadugi" w:cs="Century Gothic"/>
          <w:sz w:val="22"/>
          <w:szCs w:val="24"/>
          <w:lang w:val="es-CO"/>
        </w:rPr>
      </w:pPr>
    </w:p>
    <w:p w14:paraId="653D554F" w14:textId="77777777" w:rsidR="002A3BCA" w:rsidRPr="001C38F0" w:rsidRDefault="002A3BCA" w:rsidP="001C38F0">
      <w:pPr>
        <w:ind w:left="426" w:right="420"/>
        <w:jc w:val="both"/>
        <w:rPr>
          <w:rFonts w:ascii="Gadugi" w:hAnsi="Gadugi" w:cs="Century Gothic"/>
          <w:b/>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 xml:space="preserve">Adicionalmente, </w:t>
      </w:r>
      <w:r w:rsidRPr="001C38F0">
        <w:rPr>
          <w:rFonts w:ascii="Gadugi" w:hAnsi="Gadugi" w:cs="Century Gothic"/>
          <w:b/>
          <w:sz w:val="22"/>
          <w:szCs w:val="24"/>
          <w:lang w:val="es-CO"/>
        </w:rPr>
        <w:t>cabe destacar la celebración del periodo de vacancia judicial por concepto de Semana Santa, transcurrido del 09 y hasta 17 de abril del presente año.</w:t>
      </w:r>
    </w:p>
    <w:p w14:paraId="7CFEB3B4" w14:textId="77777777" w:rsidR="002A3BCA" w:rsidRPr="001C38F0" w:rsidRDefault="002A3BCA" w:rsidP="001C38F0">
      <w:pPr>
        <w:ind w:left="426" w:right="420"/>
        <w:jc w:val="both"/>
        <w:rPr>
          <w:rFonts w:ascii="Gadugi" w:hAnsi="Gadugi" w:cs="Century Gothic"/>
          <w:sz w:val="22"/>
          <w:szCs w:val="24"/>
          <w:lang w:val="es-CO"/>
        </w:rPr>
      </w:pPr>
    </w:p>
    <w:p w14:paraId="5240F1D5" w14:textId="77777777" w:rsidR="002A3BCA" w:rsidRPr="001C38F0" w:rsidRDefault="002A3BCA" w:rsidP="001C38F0">
      <w:pPr>
        <w:ind w:left="426" w:right="420"/>
        <w:jc w:val="both"/>
        <w:rPr>
          <w:rFonts w:ascii="Gadugi" w:hAnsi="Gadugi" w:cs="Century Gothic"/>
          <w:sz w:val="22"/>
          <w:szCs w:val="24"/>
          <w:lang w:val="es-CO"/>
        </w:rPr>
      </w:pP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r>
      <w:r w:rsidRPr="001C38F0">
        <w:rPr>
          <w:rFonts w:ascii="Gadugi" w:hAnsi="Gadugi" w:cs="Century Gothic"/>
          <w:sz w:val="22"/>
          <w:szCs w:val="24"/>
          <w:lang w:val="es-CO"/>
        </w:rPr>
        <w:tab/>
        <w:t>Por consiguiente y teniendo en cuenta el tiempo que demanda la revisión y organización de cada uno de los procesos en el aplicativo OneDrive de conformidad con los lineamientos expuestos en el Protocolo para la Gestión de Documentos Electrónicos, Digitalización y Conformación del Expediente, implementado mediante Acuerdo PCSJA20-11567 de 2020, mismo que fuera actualizado en fecha 18 de febrero de 2021, adicional al inmensurable flujo de trabajo esbozado a grandes rasgos, no fue posible para esta Servidora Judicial admitir las acción popular alegada por el accionante dentro de los tres (03) días siguientes de que trata la ley 472 de 1998.</w:t>
      </w:r>
    </w:p>
    <w:p w14:paraId="00311124" w14:textId="7545E545" w:rsidR="00EC6B21" w:rsidRPr="00F2593F" w:rsidRDefault="00EC6B21" w:rsidP="00F2593F">
      <w:pPr>
        <w:spacing w:line="276" w:lineRule="auto"/>
        <w:ind w:left="567" w:right="902"/>
        <w:jc w:val="both"/>
        <w:rPr>
          <w:rFonts w:ascii="Gadugi" w:hAnsi="Gadugi"/>
          <w:sz w:val="24"/>
          <w:szCs w:val="24"/>
          <w:lang w:val="es-419"/>
        </w:rPr>
      </w:pPr>
    </w:p>
    <w:p w14:paraId="0FE3FE48" w14:textId="750938E6" w:rsidR="00643785" w:rsidRPr="00F2593F" w:rsidRDefault="00026720" w:rsidP="00F2593F">
      <w:pPr>
        <w:spacing w:line="276" w:lineRule="auto"/>
        <w:jc w:val="both"/>
        <w:rPr>
          <w:rFonts w:ascii="Gadugi" w:hAnsi="Gadugi" w:cs="Arial"/>
          <w:sz w:val="24"/>
          <w:szCs w:val="24"/>
        </w:rPr>
      </w:pP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t xml:space="preserve">Con lo expuesto </w:t>
      </w:r>
      <w:bookmarkStart w:id="1" w:name="_Hlk109381208"/>
      <w:r w:rsidRPr="00F2593F">
        <w:rPr>
          <w:rFonts w:ascii="Gadugi" w:hAnsi="Gadugi" w:cs="Arial"/>
          <w:sz w:val="24"/>
          <w:szCs w:val="24"/>
        </w:rPr>
        <w:t xml:space="preserve">hasta este punto, </w:t>
      </w:r>
      <w:r w:rsidR="00527100" w:rsidRPr="00F2593F">
        <w:rPr>
          <w:rFonts w:ascii="Gadugi" w:hAnsi="Gadugi" w:cs="Arial"/>
          <w:sz w:val="24"/>
          <w:szCs w:val="24"/>
        </w:rPr>
        <w:t>se concluye</w:t>
      </w:r>
      <w:r w:rsidRPr="00F2593F">
        <w:rPr>
          <w:rFonts w:ascii="Gadugi" w:hAnsi="Gadugi" w:cs="Arial"/>
          <w:sz w:val="24"/>
          <w:szCs w:val="24"/>
        </w:rPr>
        <w:t xml:space="preserve"> que es justificada la demora del juzgado para resolver sobre la admisibilidad de la </w:t>
      </w:r>
      <w:r w:rsidR="00643785" w:rsidRPr="00F2593F">
        <w:rPr>
          <w:rFonts w:ascii="Gadugi" w:hAnsi="Gadugi" w:cs="Arial"/>
          <w:sz w:val="24"/>
          <w:szCs w:val="24"/>
        </w:rPr>
        <w:t>demanda</w:t>
      </w:r>
      <w:r w:rsidRPr="00F2593F">
        <w:rPr>
          <w:rFonts w:ascii="Gadugi" w:hAnsi="Gadugi" w:cs="Arial"/>
          <w:sz w:val="24"/>
          <w:szCs w:val="24"/>
        </w:rPr>
        <w:t xml:space="preserve"> popular</w:t>
      </w:r>
      <w:r w:rsidR="00643785" w:rsidRPr="00F2593F">
        <w:rPr>
          <w:rFonts w:ascii="Gadugi" w:hAnsi="Gadugi" w:cs="Arial"/>
          <w:sz w:val="24"/>
          <w:szCs w:val="24"/>
        </w:rPr>
        <w:t xml:space="preserve">, en el entendido de que, </w:t>
      </w:r>
      <w:r w:rsidR="0048217E" w:rsidRPr="00F2593F">
        <w:rPr>
          <w:rFonts w:ascii="Gadugi" w:hAnsi="Gadugi" w:cs="Arial"/>
          <w:sz w:val="24"/>
          <w:szCs w:val="24"/>
        </w:rPr>
        <w:t xml:space="preserve">viene </w:t>
      </w:r>
      <w:r w:rsidR="00043798" w:rsidRPr="00F2593F">
        <w:rPr>
          <w:rFonts w:ascii="Gadugi" w:hAnsi="Gadugi" w:cs="Arial"/>
          <w:sz w:val="24"/>
          <w:szCs w:val="24"/>
        </w:rPr>
        <w:t>recibi</w:t>
      </w:r>
      <w:r w:rsidR="0048217E" w:rsidRPr="00F2593F">
        <w:rPr>
          <w:rFonts w:ascii="Gadugi" w:hAnsi="Gadugi" w:cs="Arial"/>
          <w:sz w:val="24"/>
          <w:szCs w:val="24"/>
        </w:rPr>
        <w:t>endo</w:t>
      </w:r>
      <w:r w:rsidR="00043798" w:rsidRPr="00F2593F">
        <w:rPr>
          <w:rFonts w:ascii="Gadugi" w:hAnsi="Gadugi" w:cs="Arial"/>
          <w:sz w:val="24"/>
          <w:szCs w:val="24"/>
        </w:rPr>
        <w:t xml:space="preserve"> un muy elevado número de procesos, es así que desde el martes 29 de marzo hasta el lunes 25 de abril de 2022, recibió 46 procesos, de los cuales 34 son </w:t>
      </w:r>
      <w:r w:rsidR="0048217E" w:rsidRPr="00F2593F">
        <w:rPr>
          <w:rFonts w:ascii="Gadugi" w:hAnsi="Gadugi" w:cs="Arial"/>
          <w:sz w:val="24"/>
          <w:szCs w:val="24"/>
        </w:rPr>
        <w:t>a</w:t>
      </w:r>
      <w:r w:rsidR="00043798" w:rsidRPr="00F2593F">
        <w:rPr>
          <w:rFonts w:ascii="Gadugi" w:hAnsi="Gadugi" w:cs="Arial"/>
          <w:sz w:val="24"/>
          <w:szCs w:val="24"/>
        </w:rPr>
        <w:t xml:space="preserve">cciones </w:t>
      </w:r>
      <w:r w:rsidR="0048217E" w:rsidRPr="00F2593F">
        <w:rPr>
          <w:rFonts w:ascii="Gadugi" w:hAnsi="Gadugi" w:cs="Arial"/>
          <w:sz w:val="24"/>
          <w:szCs w:val="24"/>
        </w:rPr>
        <w:t>p</w:t>
      </w:r>
      <w:r w:rsidR="00043798" w:rsidRPr="00F2593F">
        <w:rPr>
          <w:rFonts w:ascii="Gadugi" w:hAnsi="Gadugi" w:cs="Arial"/>
          <w:sz w:val="24"/>
          <w:szCs w:val="24"/>
        </w:rPr>
        <w:t xml:space="preserve">opulares, </w:t>
      </w:r>
      <w:r w:rsidR="00643785" w:rsidRPr="00F2593F">
        <w:rPr>
          <w:rFonts w:ascii="Gadugi" w:hAnsi="Gadugi" w:cs="Arial"/>
          <w:sz w:val="24"/>
          <w:szCs w:val="24"/>
        </w:rPr>
        <w:t>cada una de las cuales requiere de un examen exhaustivo para su iniciación</w:t>
      </w:r>
      <w:bookmarkEnd w:id="1"/>
      <w:r w:rsidR="00643785" w:rsidRPr="00F2593F">
        <w:rPr>
          <w:rFonts w:ascii="Gadugi" w:hAnsi="Gadugi" w:cs="Arial"/>
          <w:sz w:val="24"/>
          <w:szCs w:val="24"/>
        </w:rPr>
        <w:t xml:space="preserve">; ello sin dejar de lado que esa acumulación demandas populares, todas iniciadas por la misma persona, no fue lo único que debió evacuar el juzgado durante ese lapso, pues según informó, también debía resolver otros asuntos constitucionales prioritarios. </w:t>
      </w:r>
    </w:p>
    <w:p w14:paraId="3C9BDCD8" w14:textId="68D2E417" w:rsidR="00643785" w:rsidRPr="00F2593F" w:rsidRDefault="00527100" w:rsidP="00F2593F">
      <w:pPr>
        <w:spacing w:line="276" w:lineRule="auto"/>
        <w:jc w:val="both"/>
        <w:rPr>
          <w:rFonts w:ascii="Gadugi" w:hAnsi="Gadugi" w:cs="Arial"/>
          <w:sz w:val="24"/>
          <w:szCs w:val="24"/>
        </w:rPr>
      </w:pPr>
      <w:r w:rsidRPr="00F2593F">
        <w:rPr>
          <w:rFonts w:ascii="Gadugi" w:hAnsi="Gadugi" w:cs="Arial"/>
          <w:sz w:val="24"/>
          <w:szCs w:val="24"/>
        </w:rPr>
        <w:t xml:space="preserve"> </w:t>
      </w:r>
    </w:p>
    <w:p w14:paraId="12F88F8C" w14:textId="67AB2494" w:rsidR="00026720" w:rsidRPr="00F2593F" w:rsidRDefault="00643785" w:rsidP="00F2593F">
      <w:pPr>
        <w:spacing w:line="276" w:lineRule="auto"/>
        <w:jc w:val="both"/>
        <w:rPr>
          <w:rFonts w:ascii="Gadugi" w:hAnsi="Gadugi" w:cs="Arial"/>
          <w:sz w:val="24"/>
          <w:szCs w:val="24"/>
        </w:rPr>
      </w:pPr>
      <w:r w:rsidRPr="00F2593F">
        <w:rPr>
          <w:rFonts w:ascii="Gadugi" w:hAnsi="Gadugi" w:cs="Arial"/>
          <w:sz w:val="24"/>
          <w:szCs w:val="24"/>
        </w:rPr>
        <w:lastRenderedPageBreak/>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00F667D6" w:rsidRPr="00F2593F">
        <w:rPr>
          <w:rFonts w:ascii="Gadugi" w:hAnsi="Gadugi" w:cs="Arial"/>
          <w:sz w:val="24"/>
          <w:szCs w:val="24"/>
        </w:rPr>
        <w:t xml:space="preserve">Además, </w:t>
      </w:r>
      <w:r w:rsidRPr="00F2593F">
        <w:rPr>
          <w:rFonts w:ascii="Gadugi" w:hAnsi="Gadugi" w:cs="Arial"/>
          <w:sz w:val="24"/>
          <w:szCs w:val="24"/>
        </w:rPr>
        <w:t xml:space="preserve">se advierte que la tardanza </w:t>
      </w:r>
      <w:r w:rsidR="00026720" w:rsidRPr="00F2593F">
        <w:rPr>
          <w:rFonts w:ascii="Gadugi" w:hAnsi="Gadugi" w:cs="Arial"/>
          <w:sz w:val="24"/>
          <w:szCs w:val="24"/>
        </w:rPr>
        <w:t xml:space="preserve">no es excesiva, si se tiene en cuenta que </w:t>
      </w:r>
      <w:r w:rsidR="00527100" w:rsidRPr="00F2593F">
        <w:rPr>
          <w:rFonts w:ascii="Gadugi" w:hAnsi="Gadugi" w:cs="Arial"/>
          <w:sz w:val="24"/>
          <w:szCs w:val="24"/>
        </w:rPr>
        <w:t xml:space="preserve">se </w:t>
      </w:r>
      <w:r w:rsidR="00026720" w:rsidRPr="00F2593F">
        <w:rPr>
          <w:rFonts w:ascii="Gadugi" w:hAnsi="Gadugi" w:cs="Arial"/>
          <w:sz w:val="24"/>
          <w:szCs w:val="24"/>
        </w:rPr>
        <w:t xml:space="preserve">emitió la decisión que </w:t>
      </w:r>
      <w:r w:rsidR="00527100" w:rsidRPr="00F2593F">
        <w:rPr>
          <w:rFonts w:ascii="Gadugi" w:hAnsi="Gadugi" w:cs="Arial"/>
          <w:sz w:val="24"/>
          <w:szCs w:val="24"/>
        </w:rPr>
        <w:t xml:space="preserve">se </w:t>
      </w:r>
      <w:r w:rsidR="00026720" w:rsidRPr="00F2593F">
        <w:rPr>
          <w:rFonts w:ascii="Gadugi" w:hAnsi="Gadugi" w:cs="Arial"/>
          <w:sz w:val="24"/>
          <w:szCs w:val="24"/>
        </w:rPr>
        <w:t xml:space="preserve">echaba de menos, al </w:t>
      </w:r>
      <w:r w:rsidR="00043798" w:rsidRPr="00F2593F">
        <w:rPr>
          <w:rFonts w:ascii="Gadugi" w:hAnsi="Gadugi" w:cs="Arial"/>
          <w:sz w:val="24"/>
          <w:szCs w:val="24"/>
        </w:rPr>
        <w:t>décimo</w:t>
      </w:r>
      <w:r w:rsidR="00026720" w:rsidRPr="00F2593F">
        <w:rPr>
          <w:rFonts w:ascii="Gadugi" w:hAnsi="Gadugi" w:cs="Arial"/>
          <w:sz w:val="24"/>
          <w:szCs w:val="24"/>
        </w:rPr>
        <w:t xml:space="preserve"> día hábil </w:t>
      </w:r>
      <w:r w:rsidR="00527100" w:rsidRPr="00F2593F">
        <w:rPr>
          <w:rFonts w:ascii="Gadugi" w:hAnsi="Gadugi" w:cs="Arial"/>
          <w:sz w:val="24"/>
          <w:szCs w:val="24"/>
        </w:rPr>
        <w:t xml:space="preserve">desde la radicación de la demanda popular. </w:t>
      </w:r>
      <w:r w:rsidR="00026720" w:rsidRPr="00F2593F">
        <w:rPr>
          <w:rFonts w:ascii="Gadugi" w:hAnsi="Gadugi" w:cs="Arial"/>
          <w:sz w:val="24"/>
          <w:szCs w:val="24"/>
        </w:rPr>
        <w:t xml:space="preserve">  </w:t>
      </w:r>
    </w:p>
    <w:p w14:paraId="4759492F" w14:textId="47597D65" w:rsidR="00643785" w:rsidRPr="00F2593F" w:rsidRDefault="00643785" w:rsidP="00F2593F">
      <w:pPr>
        <w:spacing w:line="276" w:lineRule="auto"/>
        <w:jc w:val="both"/>
        <w:rPr>
          <w:rFonts w:ascii="Gadugi" w:hAnsi="Gadugi" w:cs="Arial"/>
          <w:sz w:val="24"/>
          <w:szCs w:val="24"/>
        </w:rPr>
      </w:pPr>
    </w:p>
    <w:p w14:paraId="4F2C660E" w14:textId="2BA73528" w:rsidR="00643785" w:rsidRPr="00F2593F" w:rsidRDefault="00643785" w:rsidP="00F2593F">
      <w:pPr>
        <w:spacing w:line="276" w:lineRule="auto"/>
        <w:jc w:val="both"/>
        <w:rPr>
          <w:rFonts w:ascii="Gadugi" w:hAnsi="Gadugi" w:cs="Arial"/>
          <w:sz w:val="24"/>
          <w:szCs w:val="24"/>
        </w:rPr>
      </w:pP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t xml:space="preserve">En suma, si bien es cierto que se superó el término de tres días hábiles para decidir sobre la admisión del proceso de marras, también lo es que la demora </w:t>
      </w:r>
      <w:r w:rsidR="00527100" w:rsidRPr="00F2593F">
        <w:rPr>
          <w:rFonts w:ascii="Gadugi" w:hAnsi="Gadugi" w:cs="Arial"/>
          <w:sz w:val="24"/>
          <w:szCs w:val="24"/>
        </w:rPr>
        <w:t>no es desbordada</w:t>
      </w:r>
      <w:r w:rsidR="00043798" w:rsidRPr="00F2593F">
        <w:rPr>
          <w:rFonts w:ascii="Gadugi" w:hAnsi="Gadugi" w:cs="Arial"/>
          <w:sz w:val="24"/>
          <w:szCs w:val="24"/>
        </w:rPr>
        <w:t>,</w:t>
      </w:r>
      <w:r w:rsidR="00527100" w:rsidRPr="00F2593F">
        <w:rPr>
          <w:rFonts w:ascii="Gadugi" w:hAnsi="Gadugi" w:cs="Arial"/>
          <w:sz w:val="24"/>
          <w:szCs w:val="24"/>
        </w:rPr>
        <w:t xml:space="preserve"> ni es producto de la desidia del despacho encartado</w:t>
      </w:r>
      <w:r w:rsidRPr="00F2593F">
        <w:rPr>
          <w:rFonts w:ascii="Gadugi" w:hAnsi="Gadugi" w:cs="Arial"/>
          <w:sz w:val="24"/>
          <w:szCs w:val="24"/>
        </w:rPr>
        <w:t>, lo que hace inexistente la vulneración que se le endilga, y</w:t>
      </w:r>
      <w:r w:rsidR="00F667D6" w:rsidRPr="00F2593F">
        <w:rPr>
          <w:rFonts w:ascii="Gadugi" w:hAnsi="Gadugi" w:cs="Arial"/>
          <w:sz w:val="24"/>
          <w:szCs w:val="24"/>
        </w:rPr>
        <w:t>,</w:t>
      </w:r>
      <w:r w:rsidRPr="00F2593F">
        <w:rPr>
          <w:rFonts w:ascii="Gadugi" w:hAnsi="Gadugi" w:cs="Arial"/>
          <w:sz w:val="24"/>
          <w:szCs w:val="24"/>
        </w:rPr>
        <w:t xml:space="preserve"> en</w:t>
      </w:r>
      <w:r w:rsidR="00F667D6" w:rsidRPr="00F2593F">
        <w:rPr>
          <w:rFonts w:ascii="Gadugi" w:hAnsi="Gadugi" w:cs="Arial"/>
          <w:sz w:val="24"/>
          <w:szCs w:val="24"/>
        </w:rPr>
        <w:t xml:space="preserve"> consecuencia, se negará la protección invocada. Sin que sobre apuntar que, en todo caso, cualquier orden que se imparta sería inane si se tiene en cuenta que ya se profirió el auto mediante el cual se admite </w:t>
      </w:r>
      <w:r w:rsidR="00527100" w:rsidRPr="00F2593F">
        <w:rPr>
          <w:rFonts w:ascii="Gadugi" w:hAnsi="Gadugi" w:cs="Arial"/>
          <w:sz w:val="24"/>
          <w:szCs w:val="24"/>
        </w:rPr>
        <w:t>ese caso.</w:t>
      </w:r>
      <w:r w:rsidR="00F667D6" w:rsidRPr="00F2593F">
        <w:rPr>
          <w:rFonts w:ascii="Gadugi" w:hAnsi="Gadugi" w:cs="Arial"/>
          <w:sz w:val="24"/>
          <w:szCs w:val="24"/>
        </w:rPr>
        <w:t xml:space="preserve"> </w:t>
      </w:r>
    </w:p>
    <w:p w14:paraId="4DE1A191" w14:textId="77777777" w:rsidR="00F667D6" w:rsidRPr="00F2593F" w:rsidRDefault="00F667D6" w:rsidP="00F2593F">
      <w:pPr>
        <w:spacing w:line="276" w:lineRule="auto"/>
        <w:jc w:val="both"/>
        <w:rPr>
          <w:rFonts w:ascii="Gadugi" w:hAnsi="Gadugi"/>
          <w:sz w:val="24"/>
          <w:szCs w:val="24"/>
        </w:rPr>
      </w:pPr>
    </w:p>
    <w:p w14:paraId="059F05F2" w14:textId="6752B34E" w:rsidR="00F667D6" w:rsidRPr="00F2593F" w:rsidRDefault="00F667D6" w:rsidP="00F2593F">
      <w:pPr>
        <w:spacing w:line="276" w:lineRule="auto"/>
        <w:jc w:val="both"/>
        <w:rPr>
          <w:rFonts w:ascii="Gadugi" w:hAnsi="Gadugi"/>
          <w:sz w:val="24"/>
          <w:szCs w:val="24"/>
        </w:rPr>
      </w:pP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t xml:space="preserve">Son improcedentes las pretensiones que se dirigieron contra el Ministerio Público, porque no se demostró que se le hubiera elevado </w:t>
      </w:r>
      <w:r w:rsidR="00043798" w:rsidRPr="00F2593F">
        <w:rPr>
          <w:rFonts w:ascii="Gadugi" w:hAnsi="Gadugi"/>
          <w:sz w:val="24"/>
          <w:szCs w:val="24"/>
        </w:rPr>
        <w:t>alguna solicitud</w:t>
      </w:r>
      <w:r w:rsidRPr="00F2593F">
        <w:rPr>
          <w:rFonts w:ascii="Gadugi" w:hAnsi="Gadugi"/>
          <w:sz w:val="24"/>
          <w:szCs w:val="24"/>
        </w:rPr>
        <w:t xml:space="preserve"> como la que aquí se le exige resolver. </w:t>
      </w:r>
      <w:r w:rsidR="003B57C8" w:rsidRPr="00F2593F">
        <w:rPr>
          <w:rFonts w:ascii="Gadugi" w:hAnsi="Gadugi"/>
          <w:sz w:val="24"/>
          <w:szCs w:val="24"/>
        </w:rPr>
        <w:tab/>
      </w:r>
      <w:r w:rsidR="003B57C8" w:rsidRPr="00F2593F">
        <w:rPr>
          <w:rFonts w:ascii="Gadugi" w:hAnsi="Gadugi"/>
          <w:sz w:val="24"/>
          <w:szCs w:val="24"/>
        </w:rPr>
        <w:tab/>
      </w:r>
    </w:p>
    <w:p w14:paraId="7EDAB549" w14:textId="77777777" w:rsidR="00043798" w:rsidRPr="00F2593F" w:rsidRDefault="00043798" w:rsidP="00F2593F">
      <w:pPr>
        <w:spacing w:line="276" w:lineRule="auto"/>
        <w:jc w:val="both"/>
        <w:rPr>
          <w:rFonts w:ascii="Gadugi" w:hAnsi="Gadugi"/>
          <w:sz w:val="24"/>
          <w:szCs w:val="24"/>
        </w:rPr>
      </w:pPr>
    </w:p>
    <w:p w14:paraId="0EF677F5" w14:textId="3D2279FA" w:rsidR="00622EA3" w:rsidRPr="00F2593F" w:rsidRDefault="003B57C8" w:rsidP="00F2593F">
      <w:pPr>
        <w:spacing w:line="276" w:lineRule="auto"/>
        <w:jc w:val="both"/>
        <w:rPr>
          <w:rFonts w:ascii="Gadugi" w:hAnsi="Gadugi" w:cs="Arial"/>
          <w:b/>
          <w:sz w:val="24"/>
          <w:szCs w:val="24"/>
        </w:rPr>
      </w:pP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r>
      <w:r w:rsidRPr="00F2593F">
        <w:rPr>
          <w:rFonts w:ascii="Gadugi" w:hAnsi="Gadugi"/>
          <w:sz w:val="24"/>
          <w:szCs w:val="24"/>
        </w:rPr>
        <w:tab/>
      </w:r>
      <w:r w:rsidR="00622EA3" w:rsidRPr="00F2593F">
        <w:rPr>
          <w:rFonts w:ascii="Gadugi" w:hAnsi="Gadugi" w:cs="Arial"/>
          <w:b/>
          <w:sz w:val="24"/>
          <w:szCs w:val="24"/>
        </w:rPr>
        <w:t>DECISIÓN</w:t>
      </w:r>
    </w:p>
    <w:p w14:paraId="03201271" w14:textId="77777777" w:rsidR="004561BE" w:rsidRDefault="004561BE" w:rsidP="004561BE">
      <w:pPr>
        <w:spacing w:line="276" w:lineRule="auto"/>
        <w:jc w:val="both"/>
        <w:rPr>
          <w:rFonts w:ascii="Gadugi" w:hAnsi="Gadugi" w:cs="Arial"/>
          <w:sz w:val="24"/>
          <w:szCs w:val="24"/>
        </w:rPr>
      </w:pPr>
    </w:p>
    <w:p w14:paraId="1070AD8B" w14:textId="7AA410A9" w:rsidR="00622EA3" w:rsidRPr="00F2593F" w:rsidRDefault="00622EA3" w:rsidP="00F2593F">
      <w:pPr>
        <w:spacing w:line="276" w:lineRule="auto"/>
        <w:ind w:firstLine="2835"/>
        <w:jc w:val="both"/>
        <w:rPr>
          <w:rFonts w:ascii="Gadugi" w:hAnsi="Gadugi" w:cs="Arial"/>
          <w:sz w:val="24"/>
          <w:szCs w:val="24"/>
          <w:lang w:val="es-CO"/>
        </w:rPr>
      </w:pPr>
      <w:r w:rsidRPr="00F2593F">
        <w:rPr>
          <w:rFonts w:ascii="Gadugi" w:hAnsi="Gadugi" w:cs="Arial"/>
          <w:sz w:val="24"/>
          <w:szCs w:val="24"/>
        </w:rPr>
        <w:t>En armonía con lo dicho, la Sala Civil Familia del Tribunal Superior de Pereira, administrando justicia en nombre de la República y por autoridad de la Ley,</w:t>
      </w:r>
      <w:r w:rsidRPr="00F2593F">
        <w:rPr>
          <w:rFonts w:ascii="Gadugi" w:hAnsi="Gadugi" w:cs="Arial"/>
          <w:sz w:val="24"/>
          <w:szCs w:val="24"/>
          <w:lang w:val="es-419"/>
        </w:rPr>
        <w:t xml:space="preserve"> </w:t>
      </w:r>
      <w:r w:rsidR="00F667D6" w:rsidRPr="00F2593F">
        <w:rPr>
          <w:rFonts w:ascii="Gadugi" w:hAnsi="Gadugi" w:cs="Arial"/>
          <w:b/>
          <w:sz w:val="24"/>
          <w:szCs w:val="24"/>
          <w:lang w:val="es-CO"/>
        </w:rPr>
        <w:t>NIEGA</w:t>
      </w:r>
      <w:r w:rsidRPr="00F2593F">
        <w:rPr>
          <w:rFonts w:ascii="Gadugi" w:hAnsi="Gadugi" w:cs="Arial"/>
          <w:b/>
          <w:sz w:val="24"/>
          <w:szCs w:val="24"/>
          <w:lang w:val="es-CO"/>
        </w:rPr>
        <w:t xml:space="preserve"> </w:t>
      </w:r>
      <w:r w:rsidRPr="00F2593F">
        <w:rPr>
          <w:rFonts w:ascii="Gadugi" w:hAnsi="Gadugi" w:cs="Arial"/>
          <w:sz w:val="24"/>
          <w:szCs w:val="24"/>
          <w:lang w:val="es-CO"/>
        </w:rPr>
        <w:t>la presente acción de tutela</w:t>
      </w:r>
      <w:r w:rsidR="00F667D6" w:rsidRPr="00F2593F">
        <w:rPr>
          <w:rFonts w:ascii="Gadugi" w:hAnsi="Gadugi" w:cs="Arial"/>
          <w:sz w:val="24"/>
          <w:szCs w:val="24"/>
          <w:lang w:val="es-CO"/>
        </w:rPr>
        <w:t>, en relación con la pretensión tendiente a que se le ordene al juzgado resolver sobre la admisibilidad de la acción popular con radicado 2022-00</w:t>
      </w:r>
      <w:r w:rsidR="00043798" w:rsidRPr="00F2593F">
        <w:rPr>
          <w:rFonts w:ascii="Gadugi" w:hAnsi="Gadugi" w:cs="Arial"/>
          <w:sz w:val="24"/>
          <w:szCs w:val="24"/>
          <w:lang w:val="es-CO"/>
        </w:rPr>
        <w:t>350</w:t>
      </w:r>
      <w:r w:rsidR="00F667D6" w:rsidRPr="00F2593F">
        <w:rPr>
          <w:rFonts w:ascii="Gadugi" w:hAnsi="Gadugi" w:cs="Arial"/>
          <w:sz w:val="24"/>
          <w:szCs w:val="24"/>
          <w:lang w:val="es-CO"/>
        </w:rPr>
        <w:t>-00.</w:t>
      </w:r>
    </w:p>
    <w:p w14:paraId="26E33E1F" w14:textId="76D2EADF" w:rsidR="00F667D6" w:rsidRPr="00F2593F" w:rsidRDefault="00F667D6" w:rsidP="00F2593F">
      <w:pPr>
        <w:spacing w:line="276" w:lineRule="auto"/>
        <w:ind w:firstLine="2835"/>
        <w:jc w:val="both"/>
        <w:rPr>
          <w:rFonts w:ascii="Gadugi" w:hAnsi="Gadugi" w:cs="Century Gothic"/>
          <w:sz w:val="24"/>
          <w:szCs w:val="24"/>
        </w:rPr>
      </w:pPr>
    </w:p>
    <w:p w14:paraId="14897562" w14:textId="235B7233" w:rsidR="00F667D6" w:rsidRPr="00F2593F" w:rsidRDefault="00F667D6" w:rsidP="00F2593F">
      <w:pPr>
        <w:spacing w:line="276" w:lineRule="auto"/>
        <w:ind w:firstLine="2835"/>
        <w:jc w:val="both"/>
        <w:rPr>
          <w:rFonts w:ascii="Gadugi" w:hAnsi="Gadugi" w:cs="Century Gothic"/>
          <w:sz w:val="24"/>
          <w:szCs w:val="24"/>
        </w:rPr>
      </w:pPr>
      <w:r w:rsidRPr="00F2593F">
        <w:rPr>
          <w:rFonts w:ascii="Gadugi" w:hAnsi="Gadugi" w:cs="Century Gothic"/>
          <w:sz w:val="24"/>
          <w:szCs w:val="24"/>
        </w:rPr>
        <w:t xml:space="preserve">Se </w:t>
      </w:r>
      <w:r w:rsidRPr="00F2593F">
        <w:rPr>
          <w:rFonts w:ascii="Gadugi" w:hAnsi="Gadugi" w:cs="Century Gothic"/>
          <w:b/>
          <w:sz w:val="24"/>
          <w:szCs w:val="24"/>
        </w:rPr>
        <w:t>DECLARA IMPROCEDENTE</w:t>
      </w:r>
      <w:r w:rsidRPr="00F2593F">
        <w:rPr>
          <w:rFonts w:ascii="Gadugi" w:hAnsi="Gadugi" w:cs="Century Gothic"/>
          <w:sz w:val="24"/>
          <w:szCs w:val="24"/>
        </w:rPr>
        <w:t xml:space="preserve"> en lo demás. </w:t>
      </w:r>
    </w:p>
    <w:p w14:paraId="4DBE5FFF" w14:textId="77777777" w:rsidR="00622EA3" w:rsidRPr="00F2593F" w:rsidRDefault="00622EA3" w:rsidP="00F2593F">
      <w:pPr>
        <w:spacing w:line="276" w:lineRule="auto"/>
        <w:ind w:firstLine="2835"/>
        <w:jc w:val="both"/>
        <w:rPr>
          <w:rFonts w:ascii="Gadugi" w:hAnsi="Gadugi" w:cs="Arial"/>
          <w:sz w:val="24"/>
          <w:szCs w:val="24"/>
          <w:lang w:val="es-CO"/>
        </w:rPr>
      </w:pPr>
    </w:p>
    <w:p w14:paraId="1B75A3D0" w14:textId="77777777" w:rsidR="00622EA3" w:rsidRPr="00F2593F" w:rsidRDefault="00622EA3" w:rsidP="00F2593F">
      <w:pPr>
        <w:spacing w:line="276" w:lineRule="auto"/>
        <w:ind w:right="51"/>
        <w:jc w:val="both"/>
        <w:rPr>
          <w:rFonts w:ascii="Gadugi" w:hAnsi="Gadugi" w:cs="Arial"/>
          <w:sz w:val="24"/>
          <w:szCs w:val="24"/>
          <w:lang w:val="es-CO"/>
        </w:rPr>
      </w:pPr>
      <w:r w:rsidRPr="00F2593F">
        <w:rPr>
          <w:rFonts w:ascii="Gadugi" w:hAnsi="Gadugi" w:cs="Arial"/>
          <w:sz w:val="24"/>
          <w:szCs w:val="24"/>
        </w:rPr>
        <w:t xml:space="preserve">  </w:t>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r>
      <w:r w:rsidRPr="00F2593F">
        <w:rPr>
          <w:rFonts w:ascii="Gadugi" w:hAnsi="Gadugi" w:cs="Arial"/>
          <w:sz w:val="24"/>
          <w:szCs w:val="24"/>
        </w:rPr>
        <w:tab/>
        <w:t>Notifíquese la decisión a las partes en la forma prevista en el artículo 5º del Decreto 306 de 1992</w:t>
      </w:r>
      <w:r w:rsidRPr="00F2593F">
        <w:rPr>
          <w:rFonts w:ascii="Gadugi" w:hAnsi="Gadugi" w:cs="Arial"/>
          <w:sz w:val="24"/>
          <w:szCs w:val="24"/>
          <w:lang w:val="es-419"/>
        </w:rPr>
        <w:t>, y si no es impugnada rem</w:t>
      </w:r>
      <w:proofErr w:type="spellStart"/>
      <w:r w:rsidRPr="00F2593F">
        <w:rPr>
          <w:rFonts w:ascii="Gadugi" w:hAnsi="Gadugi" w:cs="Arial"/>
          <w:sz w:val="24"/>
          <w:szCs w:val="24"/>
          <w:lang w:val="es-CO"/>
        </w:rPr>
        <w:t>ítase</w:t>
      </w:r>
      <w:proofErr w:type="spellEnd"/>
      <w:r w:rsidRPr="00F2593F">
        <w:rPr>
          <w:rFonts w:ascii="Gadugi" w:hAnsi="Gadugi" w:cs="Arial"/>
          <w:sz w:val="24"/>
          <w:szCs w:val="24"/>
          <w:lang w:val="es-CO"/>
        </w:rPr>
        <w:t xml:space="preserve"> a la Corte Constitucional para su eventual revisión.</w:t>
      </w:r>
    </w:p>
    <w:p w14:paraId="0B1A24CD" w14:textId="77777777" w:rsidR="00622EA3" w:rsidRPr="00F2593F" w:rsidRDefault="00622EA3" w:rsidP="00F2593F">
      <w:pPr>
        <w:spacing w:line="276" w:lineRule="auto"/>
        <w:ind w:right="51"/>
        <w:jc w:val="both"/>
        <w:rPr>
          <w:rFonts w:ascii="Gadugi" w:hAnsi="Gadugi" w:cs="Arial"/>
          <w:sz w:val="24"/>
          <w:szCs w:val="24"/>
          <w:lang w:val="es-CO"/>
        </w:rPr>
      </w:pPr>
    </w:p>
    <w:p w14:paraId="050295D5" w14:textId="69623954" w:rsidR="00622EA3" w:rsidRPr="00F2593F" w:rsidRDefault="00622EA3" w:rsidP="00F2593F">
      <w:pPr>
        <w:spacing w:line="276" w:lineRule="auto"/>
        <w:ind w:firstLine="2835"/>
        <w:jc w:val="both"/>
        <w:rPr>
          <w:rFonts w:ascii="Gadugi" w:hAnsi="Gadugi" w:cs="Arial"/>
          <w:sz w:val="24"/>
          <w:szCs w:val="24"/>
          <w:lang w:val="es-CO"/>
        </w:rPr>
      </w:pPr>
      <w:r w:rsidRPr="00F2593F">
        <w:rPr>
          <w:rFonts w:ascii="Gadugi" w:hAnsi="Gadugi" w:cs="Arial"/>
          <w:sz w:val="24"/>
          <w:szCs w:val="24"/>
          <w:lang w:val="es-CO"/>
        </w:rPr>
        <w:t>A su regreso, archívese el expediente</w:t>
      </w:r>
      <w:r w:rsidRPr="00F2593F">
        <w:rPr>
          <w:rFonts w:ascii="Gadugi" w:hAnsi="Gadugi" w:cs="Arial"/>
          <w:sz w:val="24"/>
          <w:szCs w:val="24"/>
          <w:lang w:val="es-419"/>
        </w:rPr>
        <w:t>.</w:t>
      </w:r>
      <w:r w:rsidRPr="00F2593F">
        <w:rPr>
          <w:rFonts w:ascii="Gadugi" w:hAnsi="Gadugi" w:cs="Arial"/>
          <w:sz w:val="24"/>
          <w:szCs w:val="24"/>
          <w:lang w:val="es-CO"/>
        </w:rPr>
        <w:t xml:space="preserve"> </w:t>
      </w:r>
    </w:p>
    <w:p w14:paraId="783E413A" w14:textId="075935A0" w:rsidR="00CA22AE" w:rsidRPr="00F2593F" w:rsidRDefault="00CA22AE" w:rsidP="00F2593F">
      <w:pPr>
        <w:spacing w:line="276" w:lineRule="auto"/>
        <w:ind w:firstLine="2835"/>
        <w:jc w:val="both"/>
        <w:rPr>
          <w:rFonts w:ascii="Gadugi" w:hAnsi="Gadugi" w:cs="Arial"/>
          <w:sz w:val="24"/>
          <w:szCs w:val="24"/>
          <w:lang w:val="es-CO"/>
        </w:rPr>
      </w:pPr>
    </w:p>
    <w:p w14:paraId="1ADF31BE" w14:textId="77777777" w:rsidR="00622EA3" w:rsidRPr="00F2593F" w:rsidRDefault="00622EA3" w:rsidP="00F2593F">
      <w:pPr>
        <w:spacing w:line="276" w:lineRule="auto"/>
        <w:ind w:firstLine="2835"/>
        <w:jc w:val="both"/>
        <w:rPr>
          <w:rFonts w:ascii="Gadugi" w:hAnsi="Gadugi" w:cs="Arial"/>
          <w:bCs/>
          <w:sz w:val="24"/>
          <w:szCs w:val="24"/>
        </w:rPr>
      </w:pPr>
      <w:r w:rsidRPr="00F2593F">
        <w:rPr>
          <w:rFonts w:ascii="Gadugi" w:hAnsi="Gadugi" w:cs="Arial"/>
          <w:bCs/>
          <w:sz w:val="24"/>
          <w:szCs w:val="24"/>
        </w:rPr>
        <w:t>Los Magistrados,</w:t>
      </w:r>
    </w:p>
    <w:p w14:paraId="0D71DB09" w14:textId="5C9C82A5" w:rsidR="002C1510" w:rsidRDefault="002C1510" w:rsidP="00F2593F">
      <w:pPr>
        <w:spacing w:line="276" w:lineRule="auto"/>
        <w:ind w:firstLine="2835"/>
        <w:jc w:val="both"/>
        <w:rPr>
          <w:rFonts w:ascii="Gadugi" w:hAnsi="Gadugi" w:cs="Arial"/>
          <w:b/>
          <w:sz w:val="24"/>
          <w:szCs w:val="24"/>
        </w:rPr>
      </w:pPr>
    </w:p>
    <w:p w14:paraId="7B4CCE4D" w14:textId="77777777" w:rsidR="001C38F0" w:rsidRPr="00F2593F" w:rsidRDefault="001C38F0" w:rsidP="00F2593F">
      <w:pPr>
        <w:spacing w:line="276" w:lineRule="auto"/>
        <w:ind w:firstLine="2835"/>
        <w:jc w:val="both"/>
        <w:rPr>
          <w:rFonts w:ascii="Gadugi" w:hAnsi="Gadugi" w:cs="Arial"/>
          <w:b/>
          <w:sz w:val="24"/>
          <w:szCs w:val="24"/>
        </w:rPr>
      </w:pPr>
    </w:p>
    <w:p w14:paraId="082F30D6" w14:textId="6F0EFE8A" w:rsidR="00622EA3" w:rsidRPr="00F2593F" w:rsidRDefault="00622EA3" w:rsidP="00F2593F">
      <w:pPr>
        <w:spacing w:line="276" w:lineRule="auto"/>
        <w:ind w:firstLine="2835"/>
        <w:jc w:val="both"/>
        <w:rPr>
          <w:rFonts w:ascii="Gadugi" w:hAnsi="Gadugi" w:cs="Arial"/>
          <w:b/>
          <w:sz w:val="24"/>
          <w:szCs w:val="24"/>
        </w:rPr>
      </w:pPr>
      <w:r w:rsidRPr="00F2593F">
        <w:rPr>
          <w:rFonts w:ascii="Gadugi" w:hAnsi="Gadugi" w:cs="Arial"/>
          <w:b/>
          <w:sz w:val="24"/>
          <w:szCs w:val="24"/>
        </w:rPr>
        <w:t>JAIME ALBERTO SARAZA NARANJO</w:t>
      </w:r>
    </w:p>
    <w:p w14:paraId="5D00A67C" w14:textId="4C93626C" w:rsidR="003A347D" w:rsidRDefault="003A347D" w:rsidP="00F2593F">
      <w:pPr>
        <w:spacing w:line="276" w:lineRule="auto"/>
        <w:jc w:val="both"/>
        <w:rPr>
          <w:rFonts w:ascii="Gadugi" w:hAnsi="Gadugi" w:cs="Arial"/>
          <w:b/>
          <w:sz w:val="24"/>
          <w:szCs w:val="24"/>
        </w:rPr>
      </w:pPr>
    </w:p>
    <w:p w14:paraId="4D33AC37" w14:textId="77777777" w:rsidR="001C38F0" w:rsidRPr="00F2593F" w:rsidRDefault="001C38F0" w:rsidP="00F2593F">
      <w:pPr>
        <w:spacing w:line="276" w:lineRule="auto"/>
        <w:jc w:val="both"/>
        <w:rPr>
          <w:rFonts w:ascii="Gadugi" w:hAnsi="Gadugi" w:cs="Arial"/>
          <w:b/>
          <w:sz w:val="24"/>
          <w:szCs w:val="24"/>
        </w:rPr>
      </w:pPr>
    </w:p>
    <w:p w14:paraId="0C673954" w14:textId="13A7A755" w:rsidR="00AE58D7" w:rsidRPr="001C38F0" w:rsidRDefault="00622EA3" w:rsidP="001C38F0">
      <w:pPr>
        <w:spacing w:line="276" w:lineRule="auto"/>
        <w:ind w:firstLine="2835"/>
        <w:jc w:val="both"/>
        <w:rPr>
          <w:rFonts w:ascii="Gadugi" w:hAnsi="Gadugi" w:cs="Arial"/>
          <w:b/>
          <w:sz w:val="24"/>
          <w:szCs w:val="24"/>
        </w:rPr>
      </w:pPr>
      <w:r w:rsidRPr="001C38F0">
        <w:rPr>
          <w:rFonts w:ascii="Gadugi" w:hAnsi="Gadugi" w:cs="Arial"/>
          <w:b/>
          <w:sz w:val="24"/>
          <w:szCs w:val="24"/>
        </w:rPr>
        <w:t>CARLOS MAURICIO GARCÍA BARAJAS</w:t>
      </w:r>
    </w:p>
    <w:p w14:paraId="7A09A19E" w14:textId="526291CC" w:rsidR="003A347D" w:rsidRDefault="003A347D" w:rsidP="00F2593F">
      <w:pPr>
        <w:spacing w:line="276" w:lineRule="auto"/>
        <w:jc w:val="both"/>
        <w:rPr>
          <w:rFonts w:ascii="Gadugi" w:hAnsi="Gadugi" w:cs="Arial"/>
          <w:b/>
          <w:bCs/>
          <w:sz w:val="24"/>
          <w:szCs w:val="24"/>
        </w:rPr>
      </w:pPr>
    </w:p>
    <w:p w14:paraId="2A801474" w14:textId="77777777" w:rsidR="001C38F0" w:rsidRPr="00F2593F" w:rsidRDefault="001C38F0" w:rsidP="00F2593F">
      <w:pPr>
        <w:spacing w:line="276" w:lineRule="auto"/>
        <w:jc w:val="both"/>
        <w:rPr>
          <w:rFonts w:ascii="Gadugi" w:hAnsi="Gadugi" w:cs="Arial"/>
          <w:b/>
          <w:bCs/>
          <w:sz w:val="24"/>
          <w:szCs w:val="24"/>
        </w:rPr>
      </w:pPr>
    </w:p>
    <w:p w14:paraId="01D8714B" w14:textId="79388C2C" w:rsidR="00175C27" w:rsidRPr="001C38F0" w:rsidRDefault="00622EA3" w:rsidP="001C38F0">
      <w:pPr>
        <w:spacing w:line="276" w:lineRule="auto"/>
        <w:ind w:firstLine="2835"/>
        <w:jc w:val="both"/>
        <w:rPr>
          <w:rFonts w:ascii="Gadugi" w:hAnsi="Gadugi" w:cs="Arial"/>
          <w:b/>
          <w:sz w:val="24"/>
          <w:szCs w:val="24"/>
        </w:rPr>
      </w:pPr>
      <w:r w:rsidRPr="001C38F0">
        <w:rPr>
          <w:rFonts w:ascii="Gadugi" w:hAnsi="Gadugi" w:cs="Arial"/>
          <w:b/>
          <w:sz w:val="24"/>
          <w:szCs w:val="24"/>
        </w:rPr>
        <w:t>DUBERNEY GRISALES HERRERA</w:t>
      </w:r>
    </w:p>
    <w:sectPr w:rsidR="00175C27" w:rsidRPr="001C38F0" w:rsidSect="00F2593F">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9C1755" w16cex:dateUtc="2022-01-13T14:27:55.582Z"/>
  <w16cex:commentExtensible w16cex:durableId="62DDF1A0" w16cex:dateUtc="2022-01-13T14:32:17.796Z"/>
  <w16cex:commentExtensible w16cex:durableId="35FA1528" w16cex:dateUtc="2022-02-03T17:09:33.52Z"/>
  <w16cex:commentExtensible w16cex:durableId="45988779" w16cex:dateUtc="2022-02-04T13:24:57.891Z"/>
  <w16cex:commentExtensible w16cex:durableId="5D977E7F" w16cex:dateUtc="2022-02-15T15:24:15.969Z"/>
  <w16cex:commentExtensible w16cex:durableId="789319F4" w16cex:dateUtc="2022-02-15T15:25:23.925Z"/>
  <w16cex:commentExtensible w16cex:durableId="3ED3E5FE" w16cex:dateUtc="2022-02-15T17:47:54.695Z"/>
  <w16cex:commentExtensible w16cex:durableId="4752EEC8" w16cex:dateUtc="2022-05-10T16:52:55.1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7231" w14:textId="77777777" w:rsidR="008A2CFB" w:rsidRDefault="008A2CFB" w:rsidP="00CD73E5">
      <w:r>
        <w:separator/>
      </w:r>
    </w:p>
  </w:endnote>
  <w:endnote w:type="continuationSeparator" w:id="0">
    <w:p w14:paraId="670DCC0B" w14:textId="77777777" w:rsidR="008A2CFB" w:rsidRDefault="008A2CFB"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F2593F" w:rsidRDefault="00436A51">
    <w:pPr>
      <w:pStyle w:val="Piedepgina"/>
      <w:framePr w:wrap="auto" w:vAnchor="text" w:hAnchor="margin" w:xAlign="right" w:y="1"/>
      <w:rPr>
        <w:rStyle w:val="Nmerodepgina"/>
        <w:rFonts w:ascii="Agency FB" w:hAnsi="Agency FB"/>
      </w:rPr>
    </w:pPr>
    <w:r w:rsidRPr="00F2593F">
      <w:rPr>
        <w:rStyle w:val="Nmerodepgina"/>
        <w:rFonts w:ascii="Agency FB" w:hAnsi="Agency FB"/>
      </w:rPr>
      <w:fldChar w:fldCharType="begin"/>
    </w:r>
    <w:r w:rsidRPr="00F2593F">
      <w:rPr>
        <w:rStyle w:val="Nmerodepgina"/>
        <w:rFonts w:ascii="Agency FB" w:hAnsi="Agency FB"/>
      </w:rPr>
      <w:instrText xml:space="preserve">PAGE  </w:instrText>
    </w:r>
    <w:r w:rsidRPr="00F2593F">
      <w:rPr>
        <w:rStyle w:val="Nmerodepgina"/>
        <w:rFonts w:ascii="Agency FB" w:hAnsi="Agency FB"/>
      </w:rPr>
      <w:fldChar w:fldCharType="separate"/>
    </w:r>
    <w:r w:rsidR="0044045C" w:rsidRPr="00F2593F">
      <w:rPr>
        <w:rStyle w:val="Nmerodepgina"/>
        <w:rFonts w:ascii="Agency FB" w:hAnsi="Agency FB"/>
        <w:noProof/>
      </w:rPr>
      <w:t>5</w:t>
    </w:r>
    <w:r w:rsidRPr="00F2593F">
      <w:rPr>
        <w:rStyle w:val="Nmerodepgina"/>
        <w:rFonts w:ascii="Agency FB" w:hAnsi="Agency FB"/>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2AC6" w14:textId="77777777" w:rsidR="008A2CFB" w:rsidRDefault="008A2CFB" w:rsidP="00CD73E5">
      <w:r>
        <w:separator/>
      </w:r>
    </w:p>
  </w:footnote>
  <w:footnote w:type="continuationSeparator" w:id="0">
    <w:p w14:paraId="0CD308E5" w14:textId="77777777" w:rsidR="008A2CFB" w:rsidRDefault="008A2CFB" w:rsidP="00CD73E5">
      <w:r>
        <w:continuationSeparator/>
      </w:r>
    </w:p>
  </w:footnote>
  <w:footnote w:id="1">
    <w:p w14:paraId="2A46E14A" w14:textId="38726603"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03.</w:t>
      </w:r>
    </w:p>
  </w:footnote>
  <w:footnote w:id="2">
    <w:p w14:paraId="694C84E3" w14:textId="4DB1B89D"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06.</w:t>
      </w:r>
    </w:p>
  </w:footnote>
  <w:footnote w:id="3">
    <w:p w14:paraId="5E48558A" w14:textId="75CBDAAB"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13.</w:t>
      </w:r>
    </w:p>
  </w:footnote>
  <w:footnote w:id="4">
    <w:p w14:paraId="5388F270" w14:textId="3D5C3FCB"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17.</w:t>
      </w:r>
    </w:p>
  </w:footnote>
  <w:footnote w:id="5">
    <w:p w14:paraId="30124844" w14:textId="53F37029"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19.</w:t>
      </w:r>
    </w:p>
  </w:footnote>
  <w:footnote w:id="6">
    <w:p w14:paraId="77064EEC" w14:textId="646AAAEB"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21.</w:t>
      </w:r>
    </w:p>
  </w:footnote>
  <w:footnote w:id="7">
    <w:p w14:paraId="45F8E7CF" w14:textId="77777777" w:rsidR="00254315" w:rsidRPr="00F2593F" w:rsidRDefault="00254315" w:rsidP="00F2593F">
      <w:pPr>
        <w:pStyle w:val="Textonotapie"/>
        <w:tabs>
          <w:tab w:val="left" w:pos="426"/>
        </w:tabs>
        <w:jc w:val="both"/>
        <w:rPr>
          <w:rFonts w:ascii="Agency FB" w:hAnsi="Agency FB" w:cstheme="majorHAnsi"/>
          <w:szCs w:val="26"/>
          <w:lang w:val="es-CO"/>
        </w:rPr>
      </w:pPr>
      <w:r w:rsidRPr="00F2593F">
        <w:rPr>
          <w:rStyle w:val="Refdenotaalpie"/>
          <w:rFonts w:ascii="Agency FB" w:hAnsi="Agency FB" w:cstheme="majorHAnsi"/>
          <w:szCs w:val="26"/>
        </w:rPr>
        <w:footnoteRef/>
      </w:r>
      <w:r w:rsidRPr="00F2593F">
        <w:rPr>
          <w:rFonts w:ascii="Agency FB" w:hAnsi="Agency FB" w:cstheme="majorHAnsi"/>
          <w:szCs w:val="26"/>
          <w:vertAlign w:val="superscript"/>
        </w:rPr>
        <w:t xml:space="preserve"> </w:t>
      </w:r>
      <w:r w:rsidRPr="00F2593F">
        <w:rPr>
          <w:rFonts w:ascii="Agency FB" w:hAnsi="Agency FB" w:cstheme="majorHAnsi"/>
          <w:szCs w:val="26"/>
        </w:rPr>
        <w:t>Sentencia C-543-92</w:t>
      </w:r>
    </w:p>
  </w:footnote>
  <w:footnote w:id="8">
    <w:p w14:paraId="0F911F68" w14:textId="12998DF9"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 xml:space="preserve">Documento 01, expediente acción popular. </w:t>
      </w:r>
    </w:p>
  </w:footnote>
  <w:footnote w:id="9">
    <w:p w14:paraId="15C3B3FD" w14:textId="0B470D21" w:rsidR="009D2D46" w:rsidRPr="00F2593F" w:rsidRDefault="009D2D46"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03.</w:t>
      </w:r>
    </w:p>
  </w:footnote>
  <w:footnote w:id="10">
    <w:p w14:paraId="4045B776" w14:textId="77777777" w:rsidR="00EC6B21" w:rsidRPr="00F2593F" w:rsidRDefault="00EC6B21" w:rsidP="00F2593F">
      <w:pPr>
        <w:pStyle w:val="Textonotapie"/>
        <w:jc w:val="both"/>
        <w:rPr>
          <w:rFonts w:ascii="Agency FB" w:hAnsi="Agency FB" w:cstheme="majorHAnsi"/>
          <w:szCs w:val="26"/>
          <w:lang w:val="es-CO"/>
        </w:rPr>
      </w:pPr>
      <w:r w:rsidRPr="00F2593F">
        <w:rPr>
          <w:rStyle w:val="Refdenotaalpie"/>
          <w:rFonts w:ascii="Agency FB" w:hAnsi="Agency FB" w:cstheme="majorHAnsi"/>
          <w:szCs w:val="26"/>
        </w:rPr>
        <w:footnoteRef/>
      </w:r>
      <w:r w:rsidRPr="00F2593F">
        <w:rPr>
          <w:rFonts w:ascii="Agency FB" w:hAnsi="Agency FB" w:cstheme="majorHAnsi"/>
          <w:szCs w:val="26"/>
        </w:rPr>
        <w:t xml:space="preserve"> Sentencia SU333/20.</w:t>
      </w:r>
    </w:p>
  </w:footnote>
  <w:footnote w:id="11">
    <w:p w14:paraId="44C4D327" w14:textId="3428FC3A" w:rsidR="006210D7" w:rsidRPr="00F2593F" w:rsidRDefault="006210D7"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TSP.ST1-0283-2021</w:t>
      </w:r>
    </w:p>
  </w:footnote>
  <w:footnote w:id="12">
    <w:p w14:paraId="76DADAF2" w14:textId="77777777" w:rsidR="00EC6B21" w:rsidRPr="00F2593F" w:rsidRDefault="00EC6B21" w:rsidP="00F2593F">
      <w:pPr>
        <w:pStyle w:val="Textonotapie"/>
        <w:jc w:val="both"/>
        <w:rPr>
          <w:rFonts w:ascii="Agency FB" w:hAnsi="Agency FB" w:cstheme="majorHAnsi"/>
          <w:szCs w:val="26"/>
        </w:rPr>
      </w:pPr>
      <w:r w:rsidRPr="00F2593F">
        <w:rPr>
          <w:rStyle w:val="Refdenotaalpie"/>
          <w:rFonts w:ascii="Agency FB" w:hAnsi="Agency FB" w:cstheme="majorHAnsi"/>
          <w:szCs w:val="26"/>
        </w:rPr>
        <w:footnoteRef/>
      </w:r>
      <w:r w:rsidRPr="00F2593F">
        <w:rPr>
          <w:rFonts w:ascii="Agency FB" w:hAnsi="Agency FB" w:cstheme="majorHAnsi"/>
          <w:szCs w:val="26"/>
        </w:rPr>
        <w:t xml:space="preserve"> Sentencia SU061/18</w:t>
      </w:r>
    </w:p>
  </w:footnote>
  <w:footnote w:id="13">
    <w:p w14:paraId="7360799A" w14:textId="63AD344D"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01, expediente acción popular.</w:t>
      </w:r>
    </w:p>
  </w:footnote>
  <w:footnote w:id="14">
    <w:p w14:paraId="04BC12F5" w14:textId="73044B57"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02, expediente acción popular.</w:t>
      </w:r>
    </w:p>
  </w:footnote>
  <w:footnote w:id="15">
    <w:p w14:paraId="406A2DCD" w14:textId="1CF778C5"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03.</w:t>
      </w:r>
    </w:p>
  </w:footnote>
  <w:footnote w:id="16">
    <w:p w14:paraId="392A9460" w14:textId="25609854"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06.</w:t>
      </w:r>
    </w:p>
  </w:footnote>
  <w:footnote w:id="17">
    <w:p w14:paraId="02524C11" w14:textId="473FCAAA"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11.</w:t>
      </w:r>
    </w:p>
  </w:footnote>
  <w:footnote w:id="18">
    <w:p w14:paraId="668B4C69" w14:textId="54DB9085"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12.</w:t>
      </w:r>
    </w:p>
  </w:footnote>
  <w:footnote w:id="19">
    <w:p w14:paraId="0095AEAF" w14:textId="6E670B44"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03, expediente acción popular.</w:t>
      </w:r>
    </w:p>
  </w:footnote>
  <w:footnote w:id="20">
    <w:p w14:paraId="057BCD5C" w14:textId="2B66FF37" w:rsidR="0048217E" w:rsidRPr="00F2593F" w:rsidRDefault="0048217E" w:rsidP="00F2593F">
      <w:pPr>
        <w:pStyle w:val="Textonotapie"/>
        <w:jc w:val="both"/>
        <w:rPr>
          <w:rFonts w:ascii="Agency FB" w:hAnsi="Agency FB"/>
          <w:szCs w:val="26"/>
          <w:lang w:val="es-CO"/>
        </w:rPr>
      </w:pPr>
      <w:r w:rsidRPr="00F2593F">
        <w:rPr>
          <w:rStyle w:val="Refdenotaalpie"/>
          <w:rFonts w:ascii="Agency FB" w:hAnsi="Agency FB"/>
          <w:szCs w:val="26"/>
        </w:rPr>
        <w:footnoteRef/>
      </w:r>
      <w:r w:rsidRPr="00F2593F">
        <w:rPr>
          <w:rFonts w:ascii="Agency FB" w:hAnsi="Agency FB"/>
          <w:szCs w:val="26"/>
        </w:rPr>
        <w:t xml:space="preserve"> </w:t>
      </w:r>
      <w:r w:rsidRPr="00F2593F">
        <w:rPr>
          <w:rFonts w:ascii="Agency FB" w:hAnsi="Agency FB"/>
          <w:szCs w:val="26"/>
          <w:lang w:val="es-CO"/>
        </w:rPr>
        <w:t>Documento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23DCD"/>
    <w:rsid w:val="00026720"/>
    <w:rsid w:val="000412C9"/>
    <w:rsid w:val="00041D47"/>
    <w:rsid w:val="00042088"/>
    <w:rsid w:val="00042BFD"/>
    <w:rsid w:val="00043798"/>
    <w:rsid w:val="000568A3"/>
    <w:rsid w:val="00061E67"/>
    <w:rsid w:val="000628B7"/>
    <w:rsid w:val="00064E9E"/>
    <w:rsid w:val="00066D3E"/>
    <w:rsid w:val="00071B57"/>
    <w:rsid w:val="00091497"/>
    <w:rsid w:val="00093699"/>
    <w:rsid w:val="00094044"/>
    <w:rsid w:val="00095C04"/>
    <w:rsid w:val="000A02B8"/>
    <w:rsid w:val="000A46E9"/>
    <w:rsid w:val="000A6C3A"/>
    <w:rsid w:val="000C0169"/>
    <w:rsid w:val="000C1EAF"/>
    <w:rsid w:val="000D07BF"/>
    <w:rsid w:val="000D165B"/>
    <w:rsid w:val="000D1EAA"/>
    <w:rsid w:val="000D72C6"/>
    <w:rsid w:val="000E177B"/>
    <w:rsid w:val="000E3129"/>
    <w:rsid w:val="000E4189"/>
    <w:rsid w:val="000E4D42"/>
    <w:rsid w:val="000E4F08"/>
    <w:rsid w:val="000F189F"/>
    <w:rsid w:val="000F4F93"/>
    <w:rsid w:val="00104F3A"/>
    <w:rsid w:val="0010676D"/>
    <w:rsid w:val="00112AC6"/>
    <w:rsid w:val="001200C9"/>
    <w:rsid w:val="001215F1"/>
    <w:rsid w:val="001217B9"/>
    <w:rsid w:val="00123442"/>
    <w:rsid w:val="001242AD"/>
    <w:rsid w:val="001247B9"/>
    <w:rsid w:val="001312D4"/>
    <w:rsid w:val="00132C6C"/>
    <w:rsid w:val="001355B9"/>
    <w:rsid w:val="0013748A"/>
    <w:rsid w:val="00144607"/>
    <w:rsid w:val="00153968"/>
    <w:rsid w:val="001644BC"/>
    <w:rsid w:val="00167C1B"/>
    <w:rsid w:val="0017328F"/>
    <w:rsid w:val="00175C27"/>
    <w:rsid w:val="00183236"/>
    <w:rsid w:val="00186126"/>
    <w:rsid w:val="001870A4"/>
    <w:rsid w:val="001920FD"/>
    <w:rsid w:val="001924A5"/>
    <w:rsid w:val="00193310"/>
    <w:rsid w:val="00194800"/>
    <w:rsid w:val="00197B6A"/>
    <w:rsid w:val="001A134E"/>
    <w:rsid w:val="001A1E05"/>
    <w:rsid w:val="001A46A3"/>
    <w:rsid w:val="001A6C2E"/>
    <w:rsid w:val="001A6E73"/>
    <w:rsid w:val="001A7E58"/>
    <w:rsid w:val="001C1144"/>
    <w:rsid w:val="001C1543"/>
    <w:rsid w:val="001C21AB"/>
    <w:rsid w:val="001C38F0"/>
    <w:rsid w:val="001C401E"/>
    <w:rsid w:val="001C4FAC"/>
    <w:rsid w:val="001C62C3"/>
    <w:rsid w:val="001D7EF0"/>
    <w:rsid w:val="001E0739"/>
    <w:rsid w:val="001E4638"/>
    <w:rsid w:val="001F6C80"/>
    <w:rsid w:val="0020061A"/>
    <w:rsid w:val="00201343"/>
    <w:rsid w:val="002030E2"/>
    <w:rsid w:val="0020386E"/>
    <w:rsid w:val="00224CD5"/>
    <w:rsid w:val="00224ED5"/>
    <w:rsid w:val="00224F77"/>
    <w:rsid w:val="00227E21"/>
    <w:rsid w:val="00232F65"/>
    <w:rsid w:val="00233DDD"/>
    <w:rsid w:val="00235AF5"/>
    <w:rsid w:val="00240A24"/>
    <w:rsid w:val="00244086"/>
    <w:rsid w:val="00244FA9"/>
    <w:rsid w:val="002452B5"/>
    <w:rsid w:val="00245B9F"/>
    <w:rsid w:val="00253C0F"/>
    <w:rsid w:val="00254040"/>
    <w:rsid w:val="00254315"/>
    <w:rsid w:val="00254CA3"/>
    <w:rsid w:val="00254ECB"/>
    <w:rsid w:val="00260FD5"/>
    <w:rsid w:val="002722F9"/>
    <w:rsid w:val="00285265"/>
    <w:rsid w:val="00287908"/>
    <w:rsid w:val="002916DB"/>
    <w:rsid w:val="00293B7C"/>
    <w:rsid w:val="002A13BB"/>
    <w:rsid w:val="002A2B38"/>
    <w:rsid w:val="002A3BCA"/>
    <w:rsid w:val="002A79BC"/>
    <w:rsid w:val="002B2D36"/>
    <w:rsid w:val="002B3DEE"/>
    <w:rsid w:val="002C1510"/>
    <w:rsid w:val="002C168E"/>
    <w:rsid w:val="002C2AD5"/>
    <w:rsid w:val="002C2D8D"/>
    <w:rsid w:val="002C4C8A"/>
    <w:rsid w:val="002C6530"/>
    <w:rsid w:val="002D0D02"/>
    <w:rsid w:val="002D1942"/>
    <w:rsid w:val="002D2DB6"/>
    <w:rsid w:val="002E0B7F"/>
    <w:rsid w:val="002E0E95"/>
    <w:rsid w:val="002E52AA"/>
    <w:rsid w:val="002F4460"/>
    <w:rsid w:val="00300E4C"/>
    <w:rsid w:val="0030149B"/>
    <w:rsid w:val="0030320A"/>
    <w:rsid w:val="003049BB"/>
    <w:rsid w:val="00304D7B"/>
    <w:rsid w:val="00306C9C"/>
    <w:rsid w:val="00307092"/>
    <w:rsid w:val="0031224F"/>
    <w:rsid w:val="003127B8"/>
    <w:rsid w:val="00312B3F"/>
    <w:rsid w:val="00312F65"/>
    <w:rsid w:val="00322A90"/>
    <w:rsid w:val="00323452"/>
    <w:rsid w:val="00334BA2"/>
    <w:rsid w:val="0034685F"/>
    <w:rsid w:val="00352AEF"/>
    <w:rsid w:val="003538FF"/>
    <w:rsid w:val="0036170A"/>
    <w:rsid w:val="003664F0"/>
    <w:rsid w:val="0036665A"/>
    <w:rsid w:val="00367871"/>
    <w:rsid w:val="00372B17"/>
    <w:rsid w:val="003774F9"/>
    <w:rsid w:val="00384216"/>
    <w:rsid w:val="00387AE2"/>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E5B22"/>
    <w:rsid w:val="003E5C4B"/>
    <w:rsid w:val="003E7384"/>
    <w:rsid w:val="003F0EBB"/>
    <w:rsid w:val="003F45D8"/>
    <w:rsid w:val="003F5B8E"/>
    <w:rsid w:val="004041EC"/>
    <w:rsid w:val="00405635"/>
    <w:rsid w:val="0041227C"/>
    <w:rsid w:val="00412DDB"/>
    <w:rsid w:val="00413AD2"/>
    <w:rsid w:val="004159C6"/>
    <w:rsid w:val="00421D19"/>
    <w:rsid w:val="00424BF8"/>
    <w:rsid w:val="00426B0C"/>
    <w:rsid w:val="004322F0"/>
    <w:rsid w:val="0043509E"/>
    <w:rsid w:val="00436A51"/>
    <w:rsid w:val="0044045C"/>
    <w:rsid w:val="00444E53"/>
    <w:rsid w:val="00451F7F"/>
    <w:rsid w:val="004526DA"/>
    <w:rsid w:val="004561BE"/>
    <w:rsid w:val="00460E1E"/>
    <w:rsid w:val="00464776"/>
    <w:rsid w:val="004659D1"/>
    <w:rsid w:val="0047092A"/>
    <w:rsid w:val="0047610A"/>
    <w:rsid w:val="0048217E"/>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11613"/>
    <w:rsid w:val="00511D1E"/>
    <w:rsid w:val="00526F23"/>
    <w:rsid w:val="00527100"/>
    <w:rsid w:val="00540152"/>
    <w:rsid w:val="00543A5E"/>
    <w:rsid w:val="00552BB7"/>
    <w:rsid w:val="005559ED"/>
    <w:rsid w:val="00560147"/>
    <w:rsid w:val="00562E9C"/>
    <w:rsid w:val="00564DDB"/>
    <w:rsid w:val="00570FFC"/>
    <w:rsid w:val="005729AD"/>
    <w:rsid w:val="00574A34"/>
    <w:rsid w:val="00575838"/>
    <w:rsid w:val="005768F7"/>
    <w:rsid w:val="00584980"/>
    <w:rsid w:val="00585313"/>
    <w:rsid w:val="0059222F"/>
    <w:rsid w:val="005930DD"/>
    <w:rsid w:val="005A044B"/>
    <w:rsid w:val="005A1133"/>
    <w:rsid w:val="005A7048"/>
    <w:rsid w:val="005A793D"/>
    <w:rsid w:val="005B0752"/>
    <w:rsid w:val="005B227F"/>
    <w:rsid w:val="005B4AFA"/>
    <w:rsid w:val="005B55D5"/>
    <w:rsid w:val="005B5C51"/>
    <w:rsid w:val="005C668F"/>
    <w:rsid w:val="005D2439"/>
    <w:rsid w:val="005D5FC7"/>
    <w:rsid w:val="005D6060"/>
    <w:rsid w:val="005E7EEC"/>
    <w:rsid w:val="005F02D6"/>
    <w:rsid w:val="005F271D"/>
    <w:rsid w:val="005F7531"/>
    <w:rsid w:val="00601FE4"/>
    <w:rsid w:val="006039FA"/>
    <w:rsid w:val="00603CCC"/>
    <w:rsid w:val="00606AF6"/>
    <w:rsid w:val="0060733E"/>
    <w:rsid w:val="00614042"/>
    <w:rsid w:val="006143D6"/>
    <w:rsid w:val="0061791A"/>
    <w:rsid w:val="006207BC"/>
    <w:rsid w:val="006210D7"/>
    <w:rsid w:val="00622276"/>
    <w:rsid w:val="00622EA3"/>
    <w:rsid w:val="006258CE"/>
    <w:rsid w:val="006264E5"/>
    <w:rsid w:val="00632258"/>
    <w:rsid w:val="00634223"/>
    <w:rsid w:val="00635E0B"/>
    <w:rsid w:val="006417A9"/>
    <w:rsid w:val="00643785"/>
    <w:rsid w:val="00645BC9"/>
    <w:rsid w:val="006577D7"/>
    <w:rsid w:val="0066132B"/>
    <w:rsid w:val="00667A1A"/>
    <w:rsid w:val="00671EB7"/>
    <w:rsid w:val="006733C8"/>
    <w:rsid w:val="0068071E"/>
    <w:rsid w:val="00682FC9"/>
    <w:rsid w:val="00685931"/>
    <w:rsid w:val="006A212D"/>
    <w:rsid w:val="006A73A1"/>
    <w:rsid w:val="006B16B9"/>
    <w:rsid w:val="006B3724"/>
    <w:rsid w:val="006B3A15"/>
    <w:rsid w:val="006B732F"/>
    <w:rsid w:val="006D2FF0"/>
    <w:rsid w:val="006D7206"/>
    <w:rsid w:val="006E416D"/>
    <w:rsid w:val="006F2100"/>
    <w:rsid w:val="006F55EB"/>
    <w:rsid w:val="006F7900"/>
    <w:rsid w:val="00713293"/>
    <w:rsid w:val="00713CBA"/>
    <w:rsid w:val="007227F4"/>
    <w:rsid w:val="00726A23"/>
    <w:rsid w:val="0073025A"/>
    <w:rsid w:val="0073799D"/>
    <w:rsid w:val="00737EA8"/>
    <w:rsid w:val="007462C9"/>
    <w:rsid w:val="0075284A"/>
    <w:rsid w:val="00752F21"/>
    <w:rsid w:val="0075606B"/>
    <w:rsid w:val="00763241"/>
    <w:rsid w:val="0076766B"/>
    <w:rsid w:val="007679BD"/>
    <w:rsid w:val="00772119"/>
    <w:rsid w:val="00772C38"/>
    <w:rsid w:val="00776793"/>
    <w:rsid w:val="007802F5"/>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C2B9B"/>
    <w:rsid w:val="007C7130"/>
    <w:rsid w:val="007D0DB4"/>
    <w:rsid w:val="007E5244"/>
    <w:rsid w:val="007F21BE"/>
    <w:rsid w:val="007F5494"/>
    <w:rsid w:val="00801030"/>
    <w:rsid w:val="008133EF"/>
    <w:rsid w:val="0083127D"/>
    <w:rsid w:val="0083178D"/>
    <w:rsid w:val="00831DA5"/>
    <w:rsid w:val="00833381"/>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515D"/>
    <w:rsid w:val="0089683B"/>
    <w:rsid w:val="00896CBB"/>
    <w:rsid w:val="008A0096"/>
    <w:rsid w:val="008A2CFB"/>
    <w:rsid w:val="008A700A"/>
    <w:rsid w:val="008B1C3E"/>
    <w:rsid w:val="008B237F"/>
    <w:rsid w:val="008C0977"/>
    <w:rsid w:val="008C2D90"/>
    <w:rsid w:val="008C590D"/>
    <w:rsid w:val="008C64E4"/>
    <w:rsid w:val="008C7B94"/>
    <w:rsid w:val="008D25E4"/>
    <w:rsid w:val="008D38B4"/>
    <w:rsid w:val="008E1E32"/>
    <w:rsid w:val="008E3460"/>
    <w:rsid w:val="008E507B"/>
    <w:rsid w:val="008E5B10"/>
    <w:rsid w:val="008F1BED"/>
    <w:rsid w:val="008F1F32"/>
    <w:rsid w:val="008F3AA0"/>
    <w:rsid w:val="008F5A0D"/>
    <w:rsid w:val="008F60B4"/>
    <w:rsid w:val="009022F5"/>
    <w:rsid w:val="00904820"/>
    <w:rsid w:val="009170CD"/>
    <w:rsid w:val="00924001"/>
    <w:rsid w:val="0092590C"/>
    <w:rsid w:val="009426D1"/>
    <w:rsid w:val="00943FF1"/>
    <w:rsid w:val="00965768"/>
    <w:rsid w:val="00966586"/>
    <w:rsid w:val="00970A5F"/>
    <w:rsid w:val="00972F33"/>
    <w:rsid w:val="00974547"/>
    <w:rsid w:val="00987327"/>
    <w:rsid w:val="009878F9"/>
    <w:rsid w:val="00994430"/>
    <w:rsid w:val="00994E40"/>
    <w:rsid w:val="009A2618"/>
    <w:rsid w:val="009A30A9"/>
    <w:rsid w:val="009A60E5"/>
    <w:rsid w:val="009A633D"/>
    <w:rsid w:val="009B2FBD"/>
    <w:rsid w:val="009C2CF9"/>
    <w:rsid w:val="009C3244"/>
    <w:rsid w:val="009C4207"/>
    <w:rsid w:val="009C6854"/>
    <w:rsid w:val="009C6B54"/>
    <w:rsid w:val="009D0F3B"/>
    <w:rsid w:val="009D2D46"/>
    <w:rsid w:val="009D4C7B"/>
    <w:rsid w:val="009D4F57"/>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4E52"/>
    <w:rsid w:val="00A1540A"/>
    <w:rsid w:val="00A16252"/>
    <w:rsid w:val="00A22663"/>
    <w:rsid w:val="00A27193"/>
    <w:rsid w:val="00A322C1"/>
    <w:rsid w:val="00A34B2C"/>
    <w:rsid w:val="00A35114"/>
    <w:rsid w:val="00A37894"/>
    <w:rsid w:val="00A4037B"/>
    <w:rsid w:val="00A42D85"/>
    <w:rsid w:val="00A43E9F"/>
    <w:rsid w:val="00A54986"/>
    <w:rsid w:val="00A6223C"/>
    <w:rsid w:val="00A633EE"/>
    <w:rsid w:val="00A659BB"/>
    <w:rsid w:val="00A66628"/>
    <w:rsid w:val="00A745F1"/>
    <w:rsid w:val="00A74732"/>
    <w:rsid w:val="00A777DB"/>
    <w:rsid w:val="00A80E17"/>
    <w:rsid w:val="00A80E46"/>
    <w:rsid w:val="00A81FE7"/>
    <w:rsid w:val="00A8218F"/>
    <w:rsid w:val="00A96FE0"/>
    <w:rsid w:val="00A97ED4"/>
    <w:rsid w:val="00AA1030"/>
    <w:rsid w:val="00AA2FEF"/>
    <w:rsid w:val="00AA7448"/>
    <w:rsid w:val="00AC3596"/>
    <w:rsid w:val="00AC524D"/>
    <w:rsid w:val="00AC5562"/>
    <w:rsid w:val="00AC7344"/>
    <w:rsid w:val="00AD08D8"/>
    <w:rsid w:val="00AD0DB1"/>
    <w:rsid w:val="00AD4788"/>
    <w:rsid w:val="00AD5A79"/>
    <w:rsid w:val="00AD6088"/>
    <w:rsid w:val="00AE58D7"/>
    <w:rsid w:val="00AE6090"/>
    <w:rsid w:val="00AE7954"/>
    <w:rsid w:val="00AF3B8C"/>
    <w:rsid w:val="00AF434C"/>
    <w:rsid w:val="00AF4AD3"/>
    <w:rsid w:val="00AF578D"/>
    <w:rsid w:val="00AF5B39"/>
    <w:rsid w:val="00AF711D"/>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5916"/>
    <w:rsid w:val="00B87A7E"/>
    <w:rsid w:val="00B93B44"/>
    <w:rsid w:val="00B94A29"/>
    <w:rsid w:val="00BB225A"/>
    <w:rsid w:val="00BC4222"/>
    <w:rsid w:val="00BD49B7"/>
    <w:rsid w:val="00BD6634"/>
    <w:rsid w:val="00BE3D4C"/>
    <w:rsid w:val="00BF18C1"/>
    <w:rsid w:val="00BF426C"/>
    <w:rsid w:val="00C062D1"/>
    <w:rsid w:val="00C124BB"/>
    <w:rsid w:val="00C269C8"/>
    <w:rsid w:val="00C325B0"/>
    <w:rsid w:val="00C36F68"/>
    <w:rsid w:val="00C4363F"/>
    <w:rsid w:val="00C47BB2"/>
    <w:rsid w:val="00C545D0"/>
    <w:rsid w:val="00C54BA0"/>
    <w:rsid w:val="00C56087"/>
    <w:rsid w:val="00C60402"/>
    <w:rsid w:val="00C60AAB"/>
    <w:rsid w:val="00C611C3"/>
    <w:rsid w:val="00C62B4F"/>
    <w:rsid w:val="00C67C66"/>
    <w:rsid w:val="00C71F28"/>
    <w:rsid w:val="00C805F6"/>
    <w:rsid w:val="00C806F1"/>
    <w:rsid w:val="00C82097"/>
    <w:rsid w:val="00C83E82"/>
    <w:rsid w:val="00C8489D"/>
    <w:rsid w:val="00C9231A"/>
    <w:rsid w:val="00C938BB"/>
    <w:rsid w:val="00C9743B"/>
    <w:rsid w:val="00CA22AE"/>
    <w:rsid w:val="00CA5BD1"/>
    <w:rsid w:val="00CB1463"/>
    <w:rsid w:val="00CB4023"/>
    <w:rsid w:val="00CB678B"/>
    <w:rsid w:val="00CB75FF"/>
    <w:rsid w:val="00CB761D"/>
    <w:rsid w:val="00CB7F71"/>
    <w:rsid w:val="00CD0F98"/>
    <w:rsid w:val="00CD34E9"/>
    <w:rsid w:val="00CD73E5"/>
    <w:rsid w:val="00CE21AC"/>
    <w:rsid w:val="00CE400D"/>
    <w:rsid w:val="00CE7353"/>
    <w:rsid w:val="00D17EE1"/>
    <w:rsid w:val="00D20A4B"/>
    <w:rsid w:val="00D22A74"/>
    <w:rsid w:val="00D33B86"/>
    <w:rsid w:val="00D33F47"/>
    <w:rsid w:val="00D412F5"/>
    <w:rsid w:val="00D45A2C"/>
    <w:rsid w:val="00D46456"/>
    <w:rsid w:val="00D475CE"/>
    <w:rsid w:val="00D51969"/>
    <w:rsid w:val="00D52BD4"/>
    <w:rsid w:val="00D618AE"/>
    <w:rsid w:val="00D7085A"/>
    <w:rsid w:val="00D728FC"/>
    <w:rsid w:val="00D758BF"/>
    <w:rsid w:val="00D75EE4"/>
    <w:rsid w:val="00D8186A"/>
    <w:rsid w:val="00DA007F"/>
    <w:rsid w:val="00DA1066"/>
    <w:rsid w:val="00DA4626"/>
    <w:rsid w:val="00DA5B0C"/>
    <w:rsid w:val="00DA713C"/>
    <w:rsid w:val="00DB2B97"/>
    <w:rsid w:val="00DB37D6"/>
    <w:rsid w:val="00DB68A5"/>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64C2"/>
    <w:rsid w:val="00E31BED"/>
    <w:rsid w:val="00E32527"/>
    <w:rsid w:val="00E37491"/>
    <w:rsid w:val="00E37E1F"/>
    <w:rsid w:val="00E43D64"/>
    <w:rsid w:val="00E45B97"/>
    <w:rsid w:val="00E51237"/>
    <w:rsid w:val="00E523B1"/>
    <w:rsid w:val="00E54632"/>
    <w:rsid w:val="00E56441"/>
    <w:rsid w:val="00E6002C"/>
    <w:rsid w:val="00E60F1F"/>
    <w:rsid w:val="00E610DE"/>
    <w:rsid w:val="00E64FD7"/>
    <w:rsid w:val="00E64FFE"/>
    <w:rsid w:val="00E8047F"/>
    <w:rsid w:val="00EA359C"/>
    <w:rsid w:val="00EB66AC"/>
    <w:rsid w:val="00EC12BC"/>
    <w:rsid w:val="00EC3881"/>
    <w:rsid w:val="00EC3BA3"/>
    <w:rsid w:val="00EC5E42"/>
    <w:rsid w:val="00EC6B21"/>
    <w:rsid w:val="00EC7D99"/>
    <w:rsid w:val="00ED3C77"/>
    <w:rsid w:val="00ED3FEF"/>
    <w:rsid w:val="00ED4685"/>
    <w:rsid w:val="00ED7C4B"/>
    <w:rsid w:val="00EE4976"/>
    <w:rsid w:val="00F03166"/>
    <w:rsid w:val="00F05BE1"/>
    <w:rsid w:val="00F111E5"/>
    <w:rsid w:val="00F139AB"/>
    <w:rsid w:val="00F1637D"/>
    <w:rsid w:val="00F20A47"/>
    <w:rsid w:val="00F20F4E"/>
    <w:rsid w:val="00F23445"/>
    <w:rsid w:val="00F23829"/>
    <w:rsid w:val="00F2593F"/>
    <w:rsid w:val="00F25E25"/>
    <w:rsid w:val="00F34452"/>
    <w:rsid w:val="00F44875"/>
    <w:rsid w:val="00F52C02"/>
    <w:rsid w:val="00F56DE1"/>
    <w:rsid w:val="00F575BF"/>
    <w:rsid w:val="00F611DC"/>
    <w:rsid w:val="00F621CD"/>
    <w:rsid w:val="00F63AAA"/>
    <w:rsid w:val="00F65078"/>
    <w:rsid w:val="00F66464"/>
    <w:rsid w:val="00F667D6"/>
    <w:rsid w:val="00F70803"/>
    <w:rsid w:val="00F70A56"/>
    <w:rsid w:val="00F72E4E"/>
    <w:rsid w:val="00F8047B"/>
    <w:rsid w:val="00F90CD5"/>
    <w:rsid w:val="00FA037D"/>
    <w:rsid w:val="00FA0411"/>
    <w:rsid w:val="00FB0D6F"/>
    <w:rsid w:val="00FB0E44"/>
    <w:rsid w:val="00FB2968"/>
    <w:rsid w:val="00FB4917"/>
    <w:rsid w:val="00FB7F2B"/>
    <w:rsid w:val="00FC513B"/>
    <w:rsid w:val="00FD6F14"/>
    <w:rsid w:val="00FF0520"/>
    <w:rsid w:val="00FF2B3F"/>
    <w:rsid w:val="00FF4225"/>
    <w:rsid w:val="00FF608F"/>
    <w:rsid w:val="00FF6842"/>
    <w:rsid w:val="01B75FB3"/>
    <w:rsid w:val="02322B1C"/>
    <w:rsid w:val="09A874F6"/>
    <w:rsid w:val="0AB818B9"/>
    <w:rsid w:val="0B4747FE"/>
    <w:rsid w:val="0B67BFD3"/>
    <w:rsid w:val="0CFAE481"/>
    <w:rsid w:val="0DAE133F"/>
    <w:rsid w:val="0E2DA76F"/>
    <w:rsid w:val="0E332C80"/>
    <w:rsid w:val="1124B92E"/>
    <w:rsid w:val="1246EE33"/>
    <w:rsid w:val="12E0FD8B"/>
    <w:rsid w:val="137C1B61"/>
    <w:rsid w:val="14819A2D"/>
    <w:rsid w:val="16B6D183"/>
    <w:rsid w:val="18989E57"/>
    <w:rsid w:val="1C2AD919"/>
    <w:rsid w:val="1C72B9CD"/>
    <w:rsid w:val="1F9D6034"/>
    <w:rsid w:val="2174FB0A"/>
    <w:rsid w:val="21E40371"/>
    <w:rsid w:val="252413DD"/>
    <w:rsid w:val="255D9782"/>
    <w:rsid w:val="266E4100"/>
    <w:rsid w:val="2B173D59"/>
    <w:rsid w:val="2B923032"/>
    <w:rsid w:val="2DA8E53F"/>
    <w:rsid w:val="34FA0FA9"/>
    <w:rsid w:val="37BD044B"/>
    <w:rsid w:val="39361892"/>
    <w:rsid w:val="396B83AC"/>
    <w:rsid w:val="3B1CFE81"/>
    <w:rsid w:val="3DC0565C"/>
    <w:rsid w:val="41EB90F0"/>
    <w:rsid w:val="45E4F599"/>
    <w:rsid w:val="496DBB5D"/>
    <w:rsid w:val="4A70EEAC"/>
    <w:rsid w:val="4A894C17"/>
    <w:rsid w:val="4C0235DA"/>
    <w:rsid w:val="4DAF636A"/>
    <w:rsid w:val="4E88E081"/>
    <w:rsid w:val="4EFD54B4"/>
    <w:rsid w:val="4FAE9B9B"/>
    <w:rsid w:val="50850B74"/>
    <w:rsid w:val="54AE2057"/>
    <w:rsid w:val="590FC3D7"/>
    <w:rsid w:val="5A324E74"/>
    <w:rsid w:val="5FEDD0B3"/>
    <w:rsid w:val="607A5F2D"/>
    <w:rsid w:val="65BF2E58"/>
    <w:rsid w:val="66E34B09"/>
    <w:rsid w:val="67DDC3D5"/>
    <w:rsid w:val="6A1C3832"/>
    <w:rsid w:val="6B7D838D"/>
    <w:rsid w:val="6C8237AE"/>
    <w:rsid w:val="6E3C1272"/>
    <w:rsid w:val="70F44441"/>
    <w:rsid w:val="7223C854"/>
    <w:rsid w:val="72A4B8BD"/>
    <w:rsid w:val="73CCD7C0"/>
    <w:rsid w:val="76574D64"/>
    <w:rsid w:val="78936255"/>
    <w:rsid w:val="793FA05F"/>
    <w:rsid w:val="7B75C39E"/>
    <w:rsid w:val="7B790E8A"/>
    <w:rsid w:val="7BD48A10"/>
    <w:rsid w:val="7CD7028F"/>
    <w:rsid w:val="7FA9F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unhideWhenUsed/>
    <w:rsid w:val="00244FA9"/>
    <w:rPr>
      <w:color w:val="0563C1" w:themeColor="hyperlink"/>
      <w:u w:val="single"/>
    </w:rPr>
  </w:style>
  <w:style w:type="character" w:styleId="Mencinsinresolver">
    <w:name w:val="Unresolved Mention"/>
    <w:basedOn w:val="Fuentedeprrafopredeter"/>
    <w:uiPriority w:val="99"/>
    <w:semiHidden/>
    <w:unhideWhenUsed/>
    <w:rsid w:val="00244FA9"/>
    <w:rPr>
      <w:color w:val="605E5C"/>
      <w:shd w:val="clear" w:color="auto" w:fill="E1DFDD"/>
    </w:rPr>
  </w:style>
  <w:style w:type="paragraph" w:styleId="Sinespaciado">
    <w:name w:val="No Spacing"/>
    <w:link w:val="SinespaciadoCar"/>
    <w:uiPriority w:val="1"/>
    <w:qFormat/>
    <w:rsid w:val="001C38F0"/>
    <w:rPr>
      <w:rFonts w:eastAsia="Times New Roman"/>
      <w:sz w:val="22"/>
      <w:szCs w:val="22"/>
      <w:lang w:val="es-ES" w:eastAsia="es-ES"/>
    </w:rPr>
  </w:style>
  <w:style w:type="character" w:customStyle="1" w:styleId="SinespaciadoCar">
    <w:name w:val="Sin espaciado Car"/>
    <w:link w:val="Sinespaciado"/>
    <w:uiPriority w:val="1"/>
    <w:locked/>
    <w:rsid w:val="001C38F0"/>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7a79cc4507418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9CDB87AB-02CB-4EF4-9231-45CB0FC5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90E1223B-0130-46BC-A199-4744169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2120</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2019-08-13T19:36:00Z</cp:lastPrinted>
  <dcterms:created xsi:type="dcterms:W3CDTF">2022-05-10T20:48:00Z</dcterms:created>
  <dcterms:modified xsi:type="dcterms:W3CDTF">2022-07-22T16:24:00Z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