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C6020D7" w14:textId="77777777" w:rsidR="00CA55CD" w:rsidRPr="00CA55CD" w:rsidRDefault="00CA55CD" w:rsidP="00CA55C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CA55C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D88FEE" w14:textId="77777777" w:rsidR="00CA55CD" w:rsidRPr="00CA55CD" w:rsidRDefault="00CA55CD" w:rsidP="00CA55CD">
      <w:pPr>
        <w:spacing w:after="0" w:line="240" w:lineRule="auto"/>
        <w:jc w:val="both"/>
        <w:rPr>
          <w:rFonts w:ascii="Arial" w:eastAsia="Times New Roman" w:hAnsi="Arial" w:cs="Arial"/>
          <w:sz w:val="20"/>
          <w:szCs w:val="20"/>
          <w:lang w:val="es-419" w:eastAsia="es-ES"/>
        </w:rPr>
      </w:pPr>
    </w:p>
    <w:p w14:paraId="4D1E06AA" w14:textId="77777777" w:rsidR="00CA55CD" w:rsidRPr="00CA55CD" w:rsidRDefault="00CA55CD" w:rsidP="00CA55CD">
      <w:pPr>
        <w:spacing w:after="0" w:line="240" w:lineRule="auto"/>
        <w:jc w:val="both"/>
        <w:rPr>
          <w:rFonts w:ascii="Arial" w:eastAsia="Times New Roman" w:hAnsi="Arial" w:cs="Arial"/>
          <w:sz w:val="20"/>
          <w:szCs w:val="20"/>
          <w:lang w:val="es-419" w:eastAsia="es-ES"/>
        </w:rPr>
      </w:pPr>
      <w:r w:rsidRPr="00CA55CD">
        <w:rPr>
          <w:rFonts w:ascii="Arial" w:eastAsia="Times New Roman" w:hAnsi="Arial" w:cs="Arial"/>
          <w:sz w:val="20"/>
          <w:szCs w:val="20"/>
          <w:lang w:val="es-419" w:eastAsia="es-ES"/>
        </w:rPr>
        <w:t xml:space="preserve">Expediente: </w:t>
      </w:r>
      <w:r w:rsidRPr="00CA55CD">
        <w:rPr>
          <w:rFonts w:ascii="Arial" w:eastAsia="Times New Roman" w:hAnsi="Arial" w:cs="Arial"/>
          <w:sz w:val="20"/>
          <w:szCs w:val="20"/>
          <w:lang w:val="es-419" w:eastAsia="es-ES"/>
        </w:rPr>
        <w:tab/>
        <w:t>6659431800120190006501</w:t>
      </w:r>
    </w:p>
    <w:p w14:paraId="13F28C2A" w14:textId="77777777" w:rsidR="00CA55CD" w:rsidRPr="00CA55CD" w:rsidRDefault="00CA55CD" w:rsidP="00CA55CD">
      <w:pPr>
        <w:spacing w:after="0" w:line="240" w:lineRule="auto"/>
        <w:jc w:val="both"/>
        <w:rPr>
          <w:rFonts w:ascii="Arial" w:eastAsia="Times New Roman" w:hAnsi="Arial" w:cs="Arial"/>
          <w:sz w:val="20"/>
          <w:szCs w:val="20"/>
          <w:lang w:val="es-419" w:eastAsia="es-ES"/>
        </w:rPr>
      </w:pPr>
      <w:r w:rsidRPr="00CA55CD">
        <w:rPr>
          <w:rFonts w:ascii="Arial" w:eastAsia="Times New Roman" w:hAnsi="Arial" w:cs="Arial"/>
          <w:sz w:val="20"/>
          <w:szCs w:val="20"/>
          <w:lang w:val="es-419" w:eastAsia="es-ES"/>
        </w:rPr>
        <w:t xml:space="preserve">Proceso: </w:t>
      </w:r>
      <w:r w:rsidRPr="00CA55CD">
        <w:rPr>
          <w:rFonts w:ascii="Arial" w:eastAsia="Times New Roman" w:hAnsi="Arial" w:cs="Arial"/>
          <w:sz w:val="20"/>
          <w:szCs w:val="20"/>
          <w:lang w:val="es-419" w:eastAsia="es-ES"/>
        </w:rPr>
        <w:tab/>
        <w:t>Responsabilidad civil extracontractual.</w:t>
      </w:r>
    </w:p>
    <w:p w14:paraId="3B5E0567" w14:textId="5514B652" w:rsidR="00CA55CD" w:rsidRPr="00CA55CD" w:rsidRDefault="00CA55CD" w:rsidP="00CA55CD">
      <w:pPr>
        <w:spacing w:after="0" w:line="240" w:lineRule="auto"/>
        <w:ind w:left="1410" w:hanging="1410"/>
        <w:jc w:val="both"/>
        <w:rPr>
          <w:rFonts w:ascii="Arial" w:eastAsia="Times New Roman" w:hAnsi="Arial" w:cs="Arial"/>
          <w:sz w:val="20"/>
          <w:szCs w:val="20"/>
          <w:lang w:val="es-419" w:eastAsia="es-ES"/>
        </w:rPr>
      </w:pPr>
      <w:r w:rsidRPr="00CA55CD">
        <w:rPr>
          <w:rFonts w:ascii="Arial" w:eastAsia="Times New Roman" w:hAnsi="Arial" w:cs="Arial"/>
          <w:sz w:val="20"/>
          <w:szCs w:val="20"/>
          <w:lang w:val="es-419" w:eastAsia="es-ES"/>
        </w:rPr>
        <w:t>Demandante:</w:t>
      </w:r>
      <w:r w:rsidRPr="00CA55CD">
        <w:rPr>
          <w:rFonts w:ascii="Arial" w:eastAsia="Times New Roman" w:hAnsi="Arial" w:cs="Arial"/>
          <w:sz w:val="20"/>
          <w:szCs w:val="20"/>
          <w:lang w:val="es-419" w:eastAsia="es-ES"/>
        </w:rPr>
        <w:tab/>
      </w:r>
      <w:proofErr w:type="spellStart"/>
      <w:r w:rsidRPr="00CA55CD">
        <w:rPr>
          <w:rFonts w:ascii="Arial" w:eastAsia="Times New Roman" w:hAnsi="Arial" w:cs="Arial"/>
          <w:sz w:val="20"/>
          <w:szCs w:val="20"/>
          <w:lang w:val="es-419" w:eastAsia="es-ES"/>
        </w:rPr>
        <w:t>Alven</w:t>
      </w:r>
      <w:proofErr w:type="spellEnd"/>
      <w:r w:rsidRPr="00CA55CD">
        <w:rPr>
          <w:rFonts w:ascii="Arial" w:eastAsia="Times New Roman" w:hAnsi="Arial" w:cs="Arial"/>
          <w:sz w:val="20"/>
          <w:szCs w:val="20"/>
          <w:lang w:val="es-419" w:eastAsia="es-ES"/>
        </w:rPr>
        <w:t xml:space="preserve"> de Jesús Álvarez</w:t>
      </w:r>
      <w:r>
        <w:rPr>
          <w:rFonts w:ascii="Arial" w:eastAsia="Times New Roman" w:hAnsi="Arial" w:cs="Arial"/>
          <w:sz w:val="20"/>
          <w:szCs w:val="20"/>
          <w:lang w:val="es-419" w:eastAsia="es-ES"/>
        </w:rPr>
        <w:t xml:space="preserve">, </w:t>
      </w:r>
      <w:r w:rsidRPr="00CA55CD">
        <w:rPr>
          <w:rFonts w:ascii="Arial" w:eastAsia="Times New Roman" w:hAnsi="Arial" w:cs="Arial"/>
          <w:sz w:val="20"/>
          <w:szCs w:val="20"/>
          <w:lang w:val="es-419" w:eastAsia="es-ES"/>
        </w:rPr>
        <w:t>Luz Mila Sepúlveda</w:t>
      </w:r>
      <w:r>
        <w:rPr>
          <w:rFonts w:ascii="Arial" w:eastAsia="Times New Roman" w:hAnsi="Arial" w:cs="Arial"/>
          <w:sz w:val="20"/>
          <w:szCs w:val="20"/>
          <w:lang w:val="es-419" w:eastAsia="es-ES"/>
        </w:rPr>
        <w:t xml:space="preserve">, </w:t>
      </w:r>
      <w:r w:rsidRPr="00CA55CD">
        <w:rPr>
          <w:rFonts w:ascii="Arial" w:eastAsia="Times New Roman" w:hAnsi="Arial" w:cs="Arial"/>
          <w:sz w:val="20"/>
          <w:szCs w:val="20"/>
          <w:lang w:val="es-419" w:eastAsia="es-ES"/>
        </w:rPr>
        <w:t>Luz Edilma Álvarez Sepúlveda</w:t>
      </w:r>
      <w:r>
        <w:rPr>
          <w:rFonts w:ascii="Arial" w:eastAsia="Times New Roman" w:hAnsi="Arial" w:cs="Arial"/>
          <w:sz w:val="20"/>
          <w:szCs w:val="20"/>
          <w:lang w:val="es-419" w:eastAsia="es-ES"/>
        </w:rPr>
        <w:t xml:space="preserve">, </w:t>
      </w:r>
      <w:r w:rsidRPr="00CA55CD">
        <w:rPr>
          <w:rFonts w:ascii="Arial" w:eastAsia="Times New Roman" w:hAnsi="Arial" w:cs="Arial"/>
          <w:sz w:val="20"/>
          <w:szCs w:val="20"/>
          <w:lang w:val="es-419" w:eastAsia="es-ES"/>
        </w:rPr>
        <w:t>Yuli Andrea Álvarez Sepúlveda</w:t>
      </w:r>
      <w:r>
        <w:rPr>
          <w:rFonts w:ascii="Arial" w:eastAsia="Times New Roman" w:hAnsi="Arial" w:cs="Arial"/>
          <w:sz w:val="20"/>
          <w:szCs w:val="20"/>
          <w:lang w:val="es-419" w:eastAsia="es-ES"/>
        </w:rPr>
        <w:t xml:space="preserve"> y </w:t>
      </w:r>
      <w:r w:rsidRPr="00CA55CD">
        <w:rPr>
          <w:rFonts w:ascii="Arial" w:eastAsia="Times New Roman" w:hAnsi="Arial" w:cs="Arial"/>
          <w:sz w:val="20"/>
          <w:szCs w:val="20"/>
          <w:lang w:val="es-419" w:eastAsia="es-ES"/>
        </w:rPr>
        <w:t xml:space="preserve">Alejandro Álvarez Sepúlveda </w:t>
      </w:r>
    </w:p>
    <w:p w14:paraId="698ADE13" w14:textId="2B3AC879" w:rsidR="00CA55CD" w:rsidRPr="00CA55CD" w:rsidRDefault="00CA55CD" w:rsidP="00CA55CD">
      <w:pPr>
        <w:spacing w:after="0" w:line="240" w:lineRule="auto"/>
        <w:jc w:val="both"/>
        <w:rPr>
          <w:rFonts w:ascii="Arial" w:eastAsia="Times New Roman" w:hAnsi="Arial" w:cs="Arial"/>
          <w:sz w:val="20"/>
          <w:szCs w:val="20"/>
          <w:lang w:val="es-419" w:eastAsia="es-ES"/>
        </w:rPr>
      </w:pPr>
      <w:r w:rsidRPr="00CA55CD">
        <w:rPr>
          <w:rFonts w:ascii="Arial" w:eastAsia="Times New Roman" w:hAnsi="Arial" w:cs="Arial"/>
          <w:sz w:val="20"/>
          <w:szCs w:val="20"/>
          <w:lang w:val="es-419" w:eastAsia="es-ES"/>
        </w:rPr>
        <w:t>Demandado:</w:t>
      </w:r>
      <w:r w:rsidRPr="00CA55CD">
        <w:rPr>
          <w:rFonts w:ascii="Arial" w:eastAsia="Times New Roman" w:hAnsi="Arial" w:cs="Arial"/>
          <w:sz w:val="20"/>
          <w:szCs w:val="20"/>
          <w:lang w:val="es-419" w:eastAsia="es-ES"/>
        </w:rPr>
        <w:tab/>
        <w:t xml:space="preserve">Distribuidora Papelería los Mayoristas S.A.S. </w:t>
      </w:r>
      <w:r>
        <w:rPr>
          <w:rFonts w:ascii="Arial" w:eastAsia="Times New Roman" w:hAnsi="Arial" w:cs="Arial"/>
          <w:sz w:val="20"/>
          <w:szCs w:val="20"/>
          <w:lang w:val="es-419" w:eastAsia="es-ES"/>
        </w:rPr>
        <w:t xml:space="preserve">y </w:t>
      </w:r>
      <w:r w:rsidRPr="00CA55CD">
        <w:rPr>
          <w:rFonts w:ascii="Arial" w:eastAsia="Times New Roman" w:hAnsi="Arial" w:cs="Arial"/>
          <w:sz w:val="20"/>
          <w:szCs w:val="20"/>
          <w:lang w:val="es-419" w:eastAsia="es-ES"/>
        </w:rPr>
        <w:tab/>
        <w:t>Wilson Quiñones Vera</w:t>
      </w:r>
    </w:p>
    <w:p w14:paraId="0F76809B" w14:textId="77777777" w:rsidR="00CA55CD" w:rsidRPr="00CA55CD" w:rsidRDefault="00CA55CD" w:rsidP="00CA55CD">
      <w:pPr>
        <w:spacing w:after="0" w:line="240" w:lineRule="auto"/>
        <w:jc w:val="both"/>
        <w:rPr>
          <w:rFonts w:ascii="Arial" w:eastAsia="Times New Roman" w:hAnsi="Arial" w:cs="Arial"/>
          <w:sz w:val="20"/>
          <w:szCs w:val="20"/>
          <w:lang w:val="es-419" w:eastAsia="es-ES"/>
        </w:rPr>
      </w:pPr>
      <w:r w:rsidRPr="00CA55CD">
        <w:rPr>
          <w:rFonts w:ascii="Arial" w:eastAsia="Times New Roman" w:hAnsi="Arial" w:cs="Arial"/>
          <w:sz w:val="20"/>
          <w:szCs w:val="20"/>
          <w:lang w:val="es-419" w:eastAsia="es-ES"/>
        </w:rPr>
        <w:t xml:space="preserve">Llamado en </w:t>
      </w:r>
    </w:p>
    <w:p w14:paraId="45165D4D" w14:textId="50307DE5" w:rsidR="00CA55CD" w:rsidRPr="00CA55CD" w:rsidRDefault="00CA55CD" w:rsidP="00CA55CD">
      <w:pPr>
        <w:spacing w:after="0" w:line="240" w:lineRule="auto"/>
        <w:jc w:val="both"/>
        <w:rPr>
          <w:rFonts w:ascii="Arial" w:eastAsia="Times New Roman" w:hAnsi="Arial" w:cs="Arial"/>
          <w:sz w:val="20"/>
          <w:szCs w:val="20"/>
          <w:lang w:val="es-419" w:eastAsia="es-ES"/>
        </w:rPr>
      </w:pPr>
      <w:r w:rsidRPr="00CA55CD">
        <w:rPr>
          <w:rFonts w:ascii="Arial" w:eastAsia="Times New Roman" w:hAnsi="Arial" w:cs="Arial"/>
          <w:sz w:val="20"/>
          <w:szCs w:val="20"/>
          <w:lang w:val="es-419" w:eastAsia="es-ES"/>
        </w:rPr>
        <w:t xml:space="preserve">garantía: </w:t>
      </w:r>
      <w:r w:rsidRPr="00CA55CD">
        <w:rPr>
          <w:rFonts w:ascii="Arial" w:eastAsia="Times New Roman" w:hAnsi="Arial" w:cs="Arial"/>
          <w:sz w:val="20"/>
          <w:szCs w:val="20"/>
          <w:lang w:val="es-419" w:eastAsia="es-ES"/>
        </w:rPr>
        <w:tab/>
        <w:t>Seguros Suramericana S.A.</w:t>
      </w:r>
    </w:p>
    <w:p w14:paraId="06062386" w14:textId="77777777" w:rsidR="00CA55CD" w:rsidRPr="00CA55CD" w:rsidRDefault="00CA55CD" w:rsidP="00CA55CD">
      <w:pPr>
        <w:spacing w:after="0" w:line="240" w:lineRule="auto"/>
        <w:jc w:val="both"/>
        <w:rPr>
          <w:rFonts w:ascii="Arial" w:eastAsia="Times New Roman" w:hAnsi="Arial" w:cs="Arial"/>
          <w:sz w:val="20"/>
          <w:szCs w:val="20"/>
          <w:lang w:val="es-419" w:eastAsia="es-ES"/>
        </w:rPr>
      </w:pPr>
    </w:p>
    <w:p w14:paraId="348D8946" w14:textId="36718A0D" w:rsidR="00CA55CD" w:rsidRPr="00CA55CD" w:rsidRDefault="003F0C8F" w:rsidP="00CA55CD">
      <w:pPr>
        <w:spacing w:after="0" w:line="240" w:lineRule="auto"/>
        <w:jc w:val="both"/>
        <w:rPr>
          <w:rFonts w:ascii="Arial" w:eastAsia="Times New Roman" w:hAnsi="Arial" w:cs="Arial"/>
          <w:b/>
          <w:bCs/>
          <w:iCs/>
          <w:sz w:val="20"/>
          <w:szCs w:val="20"/>
          <w:lang w:val="es-419" w:eastAsia="fr-FR"/>
        </w:rPr>
      </w:pPr>
      <w:r w:rsidRPr="00CA55CD">
        <w:rPr>
          <w:rFonts w:ascii="Arial" w:eastAsia="Times New Roman" w:hAnsi="Arial" w:cs="Arial"/>
          <w:b/>
          <w:bCs/>
          <w:iCs/>
          <w:sz w:val="20"/>
          <w:szCs w:val="20"/>
          <w:u w:val="single"/>
          <w:lang w:val="es-419" w:eastAsia="fr-FR"/>
        </w:rPr>
        <w:t>TEMAS:</w:t>
      </w:r>
      <w:r w:rsidRPr="00CA55CD">
        <w:rPr>
          <w:rFonts w:ascii="Arial" w:eastAsia="Times New Roman" w:hAnsi="Arial" w:cs="Arial"/>
          <w:b/>
          <w:bCs/>
          <w:iCs/>
          <w:sz w:val="20"/>
          <w:szCs w:val="20"/>
          <w:lang w:val="es-419" w:eastAsia="fr-FR"/>
        </w:rPr>
        <w:tab/>
      </w:r>
      <w:r w:rsidRPr="00976994">
        <w:rPr>
          <w:rFonts w:ascii="Arial" w:eastAsia="Times New Roman" w:hAnsi="Arial" w:cs="Arial"/>
          <w:b/>
          <w:sz w:val="20"/>
          <w:szCs w:val="20"/>
          <w:lang w:val="es-419" w:eastAsia="es-ES"/>
        </w:rPr>
        <w:t xml:space="preserve">RESPONSABILIDAD CIVIL EXTRACONTRACTUAL / ELEMENTOS / DAÑO, CULPA Y NEXO CAUSAL / CARGA PROBATORIA / ACTIVIDAD PELIGROSA / PRESUNCIÓN DE LA CULPA / </w:t>
      </w:r>
      <w:r>
        <w:rPr>
          <w:rFonts w:ascii="Arial" w:eastAsia="Times New Roman" w:hAnsi="Arial" w:cs="Arial"/>
          <w:b/>
          <w:sz w:val="20"/>
          <w:szCs w:val="20"/>
          <w:lang w:val="es-419" w:eastAsia="es-ES"/>
        </w:rPr>
        <w:t>EXIMENTES DE RESPONSABILIDAD / FUERZA MAYOR / CASO FORTUITO / HECHO EXCLUSIVO DE LA VÍCTIMA / VALORACIÓN PROBATORIA.</w:t>
      </w:r>
    </w:p>
    <w:p w14:paraId="34D801BF" w14:textId="77777777" w:rsidR="00CA55CD" w:rsidRPr="00CA55CD" w:rsidRDefault="00CA55CD" w:rsidP="00CA55CD">
      <w:pPr>
        <w:spacing w:after="0" w:line="240" w:lineRule="auto"/>
        <w:jc w:val="both"/>
        <w:rPr>
          <w:rFonts w:ascii="Arial" w:eastAsia="Times New Roman" w:hAnsi="Arial" w:cs="Arial"/>
          <w:sz w:val="20"/>
          <w:szCs w:val="20"/>
          <w:lang w:val="es-419" w:eastAsia="es-ES"/>
        </w:rPr>
      </w:pPr>
    </w:p>
    <w:p w14:paraId="27518893" w14:textId="0A4771FC" w:rsidR="009A02FD" w:rsidRPr="009A02FD" w:rsidRDefault="002231CA" w:rsidP="009A02F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9A02FD" w:rsidRPr="009A02FD">
        <w:rPr>
          <w:rFonts w:ascii="Arial" w:eastAsia="Times New Roman" w:hAnsi="Arial" w:cs="Arial"/>
          <w:sz w:val="20"/>
          <w:szCs w:val="20"/>
          <w:lang w:val="es-419" w:eastAsia="es-ES"/>
        </w:rPr>
        <w:t>quien causa un daño a otro debe resarcirlo, como enseña el artículo 2341 del Código Civil, siempre que se demuestre, y esa es carga de quien la invoca, que hubo el hecho, que medió culpa del agente, que hubo un daño y que entre este y el hecho existió un nexo causal.</w:t>
      </w:r>
    </w:p>
    <w:p w14:paraId="7DF13874" w14:textId="77777777" w:rsidR="009A02FD" w:rsidRPr="009A02FD" w:rsidRDefault="009A02FD" w:rsidP="009A02FD">
      <w:pPr>
        <w:spacing w:after="0" w:line="240" w:lineRule="auto"/>
        <w:jc w:val="both"/>
        <w:rPr>
          <w:rFonts w:ascii="Arial" w:eastAsia="Times New Roman" w:hAnsi="Arial" w:cs="Arial"/>
          <w:sz w:val="20"/>
          <w:szCs w:val="20"/>
          <w:lang w:val="es-419" w:eastAsia="es-ES"/>
        </w:rPr>
      </w:pPr>
    </w:p>
    <w:p w14:paraId="5DC7C285" w14:textId="2516AA55" w:rsidR="00CA55CD" w:rsidRDefault="009A02FD" w:rsidP="009A02FD">
      <w:pPr>
        <w:spacing w:after="0" w:line="240" w:lineRule="auto"/>
        <w:jc w:val="both"/>
        <w:rPr>
          <w:rFonts w:ascii="Arial" w:eastAsia="Times New Roman" w:hAnsi="Arial" w:cs="Arial"/>
          <w:sz w:val="20"/>
          <w:szCs w:val="20"/>
          <w:lang w:val="es-419" w:eastAsia="es-ES"/>
        </w:rPr>
      </w:pPr>
      <w:r w:rsidRPr="009A02FD">
        <w:rPr>
          <w:rFonts w:ascii="Arial" w:eastAsia="Times New Roman" w:hAnsi="Arial" w:cs="Arial"/>
          <w:sz w:val="20"/>
          <w:szCs w:val="20"/>
          <w:lang w:val="es-419" w:eastAsia="es-ES"/>
        </w:rPr>
        <w:t xml:space="preserve">Y si se trata del ejercicio de una actividad peligrosa, de aquellas que enuncia el artículo 2356 del mismo estatuto, se </w:t>
      </w:r>
      <w:proofErr w:type="spellStart"/>
      <w:r w:rsidRPr="009A02FD">
        <w:rPr>
          <w:rFonts w:ascii="Arial" w:eastAsia="Times New Roman" w:hAnsi="Arial" w:cs="Arial"/>
          <w:sz w:val="20"/>
          <w:szCs w:val="20"/>
          <w:lang w:val="es-419" w:eastAsia="es-ES"/>
        </w:rPr>
        <w:t>aligera</w:t>
      </w:r>
      <w:proofErr w:type="spellEnd"/>
      <w:r w:rsidRPr="009A02FD">
        <w:rPr>
          <w:rFonts w:ascii="Arial" w:eastAsia="Times New Roman" w:hAnsi="Arial" w:cs="Arial"/>
          <w:sz w:val="20"/>
          <w:szCs w:val="20"/>
          <w:lang w:val="es-419" w:eastAsia="es-ES"/>
        </w:rPr>
        <w:t xml:space="preserve">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w:t>
      </w:r>
      <w:r w:rsidR="002231CA">
        <w:rPr>
          <w:rFonts w:ascii="Arial" w:eastAsia="Times New Roman" w:hAnsi="Arial" w:cs="Arial"/>
          <w:sz w:val="20"/>
          <w:szCs w:val="20"/>
          <w:lang w:val="es-419" w:eastAsia="es-ES"/>
        </w:rPr>
        <w:t>…</w:t>
      </w:r>
    </w:p>
    <w:p w14:paraId="172D6767" w14:textId="43E488F3" w:rsidR="002231CA" w:rsidRDefault="002231CA" w:rsidP="009A02FD">
      <w:pPr>
        <w:spacing w:after="0" w:line="240" w:lineRule="auto"/>
        <w:jc w:val="both"/>
        <w:rPr>
          <w:rFonts w:ascii="Arial" w:eastAsia="Times New Roman" w:hAnsi="Arial" w:cs="Arial"/>
          <w:sz w:val="20"/>
          <w:szCs w:val="20"/>
          <w:lang w:val="es-419" w:eastAsia="es-ES"/>
        </w:rPr>
      </w:pPr>
    </w:p>
    <w:p w14:paraId="3166A466" w14:textId="78659B24" w:rsidR="002231CA" w:rsidRPr="00CA55CD" w:rsidRDefault="007B4CE5" w:rsidP="009A02F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B4CE5">
        <w:rPr>
          <w:rFonts w:ascii="Arial" w:eastAsia="Times New Roman" w:hAnsi="Arial" w:cs="Arial"/>
          <w:sz w:val="20"/>
          <w:szCs w:val="20"/>
          <w:lang w:val="es-419" w:eastAsia="es-ES"/>
        </w:rPr>
        <w:t>al descender al caso concreto, se recuerda que el Juzgado declaró probadas las excepciones de los demandados denominadas “rompimiento del nexo causal por culpa exclusiva de la víctima”</w:t>
      </w:r>
      <w:r>
        <w:rPr>
          <w:rFonts w:ascii="Arial" w:eastAsia="Times New Roman" w:hAnsi="Arial" w:cs="Arial"/>
          <w:sz w:val="20"/>
          <w:szCs w:val="20"/>
          <w:lang w:val="es-419" w:eastAsia="es-ES"/>
        </w:rPr>
        <w:t xml:space="preserve"> …</w:t>
      </w:r>
    </w:p>
    <w:p w14:paraId="537E42C1" w14:textId="6CFDA884" w:rsidR="00CA55CD" w:rsidRDefault="00CA55CD" w:rsidP="00CA55CD">
      <w:pPr>
        <w:spacing w:after="0" w:line="240" w:lineRule="auto"/>
        <w:jc w:val="both"/>
        <w:rPr>
          <w:rFonts w:ascii="Arial" w:eastAsia="Times New Roman" w:hAnsi="Arial" w:cs="Arial"/>
          <w:sz w:val="20"/>
          <w:szCs w:val="20"/>
          <w:lang w:val="es-419" w:eastAsia="es-ES"/>
        </w:rPr>
      </w:pPr>
    </w:p>
    <w:p w14:paraId="2DD3C92B" w14:textId="05F9ABA8" w:rsidR="00CA55CD" w:rsidRPr="00CA55CD" w:rsidRDefault="007B4CE5" w:rsidP="00CA55CD">
      <w:pPr>
        <w:spacing w:after="0" w:line="240" w:lineRule="auto"/>
        <w:jc w:val="both"/>
        <w:rPr>
          <w:rFonts w:ascii="Arial" w:eastAsia="Times New Roman" w:hAnsi="Arial" w:cs="Arial"/>
          <w:sz w:val="20"/>
          <w:szCs w:val="20"/>
          <w:lang w:val="es-419" w:eastAsia="es-ES"/>
        </w:rPr>
      </w:pPr>
      <w:r w:rsidRPr="007B4CE5">
        <w:rPr>
          <w:rFonts w:ascii="Arial" w:eastAsia="Times New Roman" w:hAnsi="Arial" w:cs="Arial"/>
          <w:sz w:val="20"/>
          <w:szCs w:val="20"/>
          <w:lang w:val="es-419" w:eastAsia="es-ES"/>
        </w:rPr>
        <w:t>El disenso</w:t>
      </w:r>
      <w:r>
        <w:rPr>
          <w:rFonts w:ascii="Arial" w:eastAsia="Times New Roman" w:hAnsi="Arial" w:cs="Arial"/>
          <w:sz w:val="20"/>
          <w:szCs w:val="20"/>
          <w:lang w:val="es-419" w:eastAsia="es-ES"/>
        </w:rPr>
        <w:t>…</w:t>
      </w:r>
      <w:r w:rsidRPr="007B4CE5">
        <w:rPr>
          <w:rFonts w:ascii="Arial" w:eastAsia="Times New Roman" w:hAnsi="Arial" w:cs="Arial"/>
          <w:sz w:val="20"/>
          <w:szCs w:val="20"/>
          <w:lang w:val="es-419" w:eastAsia="es-ES"/>
        </w:rPr>
        <w:t xml:space="preserve"> se centra en que en la decisión se incurrió en un defecto fáctico, por la falta de valoración integral y conjunta del caudal probatorio y desconociendo las reglas de la sana critica.</w:t>
      </w:r>
    </w:p>
    <w:p w14:paraId="30D95568" w14:textId="77777777" w:rsidR="00CA55CD" w:rsidRPr="00CA55CD" w:rsidRDefault="00CA55CD" w:rsidP="00CA55CD">
      <w:pPr>
        <w:spacing w:after="0" w:line="240" w:lineRule="auto"/>
        <w:jc w:val="both"/>
        <w:rPr>
          <w:rFonts w:ascii="Arial" w:eastAsia="Times New Roman" w:hAnsi="Arial" w:cs="Arial"/>
          <w:sz w:val="20"/>
          <w:szCs w:val="20"/>
          <w:lang w:val="es-419" w:eastAsia="es-ES"/>
        </w:rPr>
      </w:pPr>
    </w:p>
    <w:p w14:paraId="1CAE4802" w14:textId="7AC79E86" w:rsidR="00CA55CD" w:rsidRPr="00CA55CD" w:rsidRDefault="004500E3" w:rsidP="00CA55CD">
      <w:pPr>
        <w:spacing w:after="0" w:line="240" w:lineRule="auto"/>
        <w:jc w:val="both"/>
        <w:rPr>
          <w:rFonts w:ascii="Arial" w:eastAsia="Times New Roman" w:hAnsi="Arial" w:cs="Arial"/>
          <w:sz w:val="20"/>
          <w:szCs w:val="20"/>
          <w:lang w:val="es-419" w:eastAsia="es-ES"/>
        </w:rPr>
      </w:pPr>
      <w:r w:rsidRPr="004500E3">
        <w:rPr>
          <w:rFonts w:ascii="Arial" w:eastAsia="Times New Roman" w:hAnsi="Arial" w:cs="Arial"/>
          <w:sz w:val="20"/>
          <w:szCs w:val="20"/>
          <w:lang w:val="es-419" w:eastAsia="es-ES"/>
        </w:rPr>
        <w:t>Discuten que no se tuvieron en cuenta (i) el dictamen pericial por ellos aportado, (ii) los testimonios rendidos</w:t>
      </w:r>
      <w:r>
        <w:rPr>
          <w:rFonts w:ascii="Arial" w:eastAsia="Times New Roman" w:hAnsi="Arial" w:cs="Arial"/>
          <w:sz w:val="20"/>
          <w:szCs w:val="20"/>
          <w:lang w:val="es-419" w:eastAsia="es-ES"/>
        </w:rPr>
        <w:t>…</w:t>
      </w:r>
      <w:r w:rsidRPr="004500E3">
        <w:rPr>
          <w:rFonts w:ascii="Arial" w:eastAsia="Times New Roman" w:hAnsi="Arial" w:cs="Arial"/>
          <w:sz w:val="20"/>
          <w:szCs w:val="20"/>
          <w:lang w:val="es-419" w:eastAsia="es-ES"/>
        </w:rPr>
        <w:t>; (iii) el dictamen de medicina legal; y (iv) la historia clínica</w:t>
      </w:r>
      <w:r w:rsidR="00FA4E7E">
        <w:rPr>
          <w:rFonts w:ascii="Arial" w:eastAsia="Times New Roman" w:hAnsi="Arial" w:cs="Arial"/>
          <w:sz w:val="20"/>
          <w:szCs w:val="20"/>
          <w:lang w:val="es-419" w:eastAsia="es-ES"/>
        </w:rPr>
        <w:t>…</w:t>
      </w:r>
    </w:p>
    <w:p w14:paraId="650D244E" w14:textId="77777777" w:rsidR="00CA55CD" w:rsidRPr="00CA55CD" w:rsidRDefault="00CA55CD" w:rsidP="00CA55CD">
      <w:pPr>
        <w:spacing w:after="0" w:line="240" w:lineRule="auto"/>
        <w:jc w:val="both"/>
        <w:rPr>
          <w:rFonts w:ascii="Arial" w:eastAsia="Times New Roman" w:hAnsi="Arial" w:cs="Arial"/>
          <w:sz w:val="20"/>
          <w:szCs w:val="20"/>
          <w:lang w:val="es-ES" w:eastAsia="es-ES"/>
        </w:rPr>
      </w:pPr>
    </w:p>
    <w:p w14:paraId="4436AB4A" w14:textId="5B49E936" w:rsidR="00CA55CD" w:rsidRPr="00CA55CD" w:rsidRDefault="00976994" w:rsidP="00CA55C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76994">
        <w:rPr>
          <w:rFonts w:ascii="Arial" w:eastAsia="Times New Roman" w:hAnsi="Arial" w:cs="Arial"/>
          <w:sz w:val="20"/>
          <w:szCs w:val="20"/>
          <w:lang w:val="es-ES" w:eastAsia="es-ES"/>
        </w:rPr>
        <w:t>se anticipa que esta Sala considera acertados los planteamientos del Juzgado de instancia, suficientes para que los reparos no logren salir avante y se prohíje lo decidido.</w:t>
      </w:r>
    </w:p>
    <w:p w14:paraId="0055FF64" w14:textId="62FEF9DE" w:rsidR="00CA55CD" w:rsidRDefault="00CA55CD" w:rsidP="00CA55CD">
      <w:pPr>
        <w:spacing w:after="0" w:line="240" w:lineRule="auto"/>
        <w:jc w:val="both"/>
        <w:rPr>
          <w:rFonts w:ascii="Arial" w:eastAsia="Times New Roman" w:hAnsi="Arial" w:cs="Arial"/>
          <w:sz w:val="20"/>
          <w:szCs w:val="20"/>
          <w:lang w:val="es-ES" w:eastAsia="es-ES"/>
        </w:rPr>
      </w:pPr>
    </w:p>
    <w:p w14:paraId="6AC4B368" w14:textId="569FC544" w:rsidR="00976994" w:rsidRDefault="00976994" w:rsidP="00CA55CD">
      <w:pPr>
        <w:spacing w:after="0" w:line="240" w:lineRule="auto"/>
        <w:jc w:val="both"/>
        <w:rPr>
          <w:rFonts w:ascii="Arial" w:eastAsia="Times New Roman" w:hAnsi="Arial" w:cs="Arial"/>
          <w:sz w:val="20"/>
          <w:szCs w:val="20"/>
          <w:lang w:val="es-ES" w:eastAsia="es-ES"/>
        </w:rPr>
      </w:pPr>
      <w:r w:rsidRPr="00976994">
        <w:rPr>
          <w:rFonts w:ascii="Arial" w:eastAsia="Times New Roman" w:hAnsi="Arial" w:cs="Arial"/>
          <w:sz w:val="20"/>
          <w:szCs w:val="20"/>
          <w:lang w:val="es-ES" w:eastAsia="es-ES"/>
        </w:rPr>
        <w:t>No alcanzan</w:t>
      </w:r>
      <w:r>
        <w:rPr>
          <w:rFonts w:ascii="Arial" w:eastAsia="Times New Roman" w:hAnsi="Arial" w:cs="Arial"/>
          <w:sz w:val="20"/>
          <w:szCs w:val="20"/>
          <w:lang w:val="es-ES" w:eastAsia="es-ES"/>
        </w:rPr>
        <w:t>…</w:t>
      </w:r>
      <w:r w:rsidRPr="00976994">
        <w:rPr>
          <w:rFonts w:ascii="Arial" w:eastAsia="Times New Roman" w:hAnsi="Arial" w:cs="Arial"/>
          <w:sz w:val="20"/>
          <w:szCs w:val="20"/>
          <w:lang w:val="es-ES" w:eastAsia="es-ES"/>
        </w:rPr>
        <w:t xml:space="preserve"> los argumentos de los recurrentes, para derruir el análisis que el juzgado hizo de la prueba y su valoración conjunta, con los que llegó a la conclusión de que aquí hubo un comportamiento de la víctima que incidió en un todo en la causación del daño, por lo que lo pertinente era la absolución.</w:t>
      </w:r>
    </w:p>
    <w:p w14:paraId="4FEE65F1" w14:textId="77777777" w:rsidR="00976994" w:rsidRDefault="00976994" w:rsidP="00CA55CD">
      <w:pPr>
        <w:spacing w:after="0" w:line="240" w:lineRule="auto"/>
        <w:jc w:val="both"/>
        <w:rPr>
          <w:rFonts w:ascii="Arial" w:eastAsia="Times New Roman" w:hAnsi="Arial" w:cs="Arial"/>
          <w:sz w:val="20"/>
          <w:szCs w:val="20"/>
          <w:lang w:val="es-ES" w:eastAsia="es-ES"/>
        </w:rPr>
      </w:pPr>
    </w:p>
    <w:p w14:paraId="41755763" w14:textId="77777777" w:rsidR="00976994" w:rsidRPr="00CA55CD" w:rsidRDefault="00976994" w:rsidP="00CA55CD">
      <w:pPr>
        <w:spacing w:after="0" w:line="240" w:lineRule="auto"/>
        <w:jc w:val="both"/>
        <w:rPr>
          <w:rFonts w:ascii="Arial" w:eastAsia="Times New Roman" w:hAnsi="Arial" w:cs="Arial"/>
          <w:sz w:val="20"/>
          <w:szCs w:val="20"/>
          <w:lang w:val="es-ES" w:eastAsia="es-ES"/>
        </w:rPr>
      </w:pPr>
    </w:p>
    <w:bookmarkEnd w:id="0"/>
    <w:p w14:paraId="7E335A12" w14:textId="77777777" w:rsidR="00CA55CD" w:rsidRPr="00CA55CD" w:rsidRDefault="00CA55CD" w:rsidP="00CA55CD">
      <w:pPr>
        <w:spacing w:after="0" w:line="240" w:lineRule="auto"/>
        <w:jc w:val="both"/>
        <w:rPr>
          <w:rFonts w:ascii="Arial" w:eastAsia="Times New Roman" w:hAnsi="Arial" w:cs="Arial"/>
          <w:sz w:val="20"/>
          <w:szCs w:val="20"/>
          <w:lang w:val="es-ES" w:eastAsia="es-ES"/>
        </w:rPr>
      </w:pPr>
    </w:p>
    <w:bookmarkEnd w:id="1"/>
    <w:p w14:paraId="0DA85A11" w14:textId="288F022F" w:rsidR="002271F1" w:rsidRPr="001354D9" w:rsidRDefault="002271F1" w:rsidP="001354D9">
      <w:pPr>
        <w:spacing w:after="0" w:line="276" w:lineRule="auto"/>
        <w:ind w:left="2124" w:hanging="423"/>
        <w:rPr>
          <w:rFonts w:ascii="Gadugi" w:eastAsia="Malgun Gothic" w:hAnsi="Gadugi" w:cs="Estrangelo Edessa"/>
          <w:b/>
          <w:bCs/>
          <w:sz w:val="24"/>
          <w:szCs w:val="24"/>
          <w:lang w:val="es-419"/>
        </w:rPr>
      </w:pPr>
      <w:r w:rsidRPr="001354D9">
        <w:rPr>
          <w:rFonts w:ascii="Gadugi" w:eastAsia="Malgun Gothic" w:hAnsi="Gadugi" w:cs="Estrangelo Edessa"/>
          <w:b/>
          <w:bCs/>
          <w:sz w:val="24"/>
          <w:szCs w:val="24"/>
          <w:lang w:val="es-419"/>
        </w:rPr>
        <w:t>TRIBUNAL SUPERIOR DEL DISTRITO JUDICIAL</w:t>
      </w:r>
    </w:p>
    <w:p w14:paraId="0E94019D" w14:textId="26F2BB9F" w:rsidR="002271F1" w:rsidRPr="001354D9" w:rsidRDefault="00740E65" w:rsidP="001354D9">
      <w:pPr>
        <w:spacing w:after="0" w:line="276" w:lineRule="auto"/>
        <w:rPr>
          <w:rFonts w:ascii="Gadugi" w:eastAsia="Malgun Gothic" w:hAnsi="Gadugi" w:cs="Estrangelo Edessa"/>
          <w:b/>
          <w:bCs/>
          <w:sz w:val="24"/>
          <w:szCs w:val="24"/>
          <w:lang w:val="es-419"/>
        </w:rPr>
      </w:pPr>
      <w:r w:rsidRPr="001354D9">
        <w:rPr>
          <w:rFonts w:ascii="Gadugi" w:eastAsia="Malgun Gothic" w:hAnsi="Gadugi" w:cs="Estrangelo Edessa"/>
          <w:b/>
          <w:bCs/>
          <w:sz w:val="24"/>
          <w:szCs w:val="24"/>
          <w:lang w:val="es-419"/>
        </w:rPr>
        <w:t xml:space="preserve">                                </w:t>
      </w:r>
      <w:r w:rsidR="002271F1" w:rsidRPr="001354D9">
        <w:rPr>
          <w:rFonts w:ascii="Gadugi" w:eastAsia="Malgun Gothic" w:hAnsi="Gadugi" w:cs="Estrangelo Edessa"/>
          <w:b/>
          <w:bCs/>
          <w:sz w:val="24"/>
          <w:szCs w:val="24"/>
          <w:lang w:val="es-419"/>
        </w:rPr>
        <w:t>SALA DE DECISIÓN CIVIL-FAMILIA</w:t>
      </w:r>
    </w:p>
    <w:p w14:paraId="5F0EA9CB" w14:textId="77777777" w:rsidR="002271F1" w:rsidRPr="001354D9" w:rsidRDefault="002271F1" w:rsidP="001354D9">
      <w:pPr>
        <w:spacing w:after="0" w:line="276" w:lineRule="auto"/>
        <w:ind w:firstLine="2835"/>
        <w:jc w:val="both"/>
        <w:rPr>
          <w:rFonts w:ascii="Gadugi" w:eastAsia="Malgun Gothic" w:hAnsi="Gadugi" w:cs="Estrangelo Edessa"/>
          <w:b/>
          <w:bCs/>
          <w:sz w:val="24"/>
          <w:szCs w:val="24"/>
          <w:lang w:val="es-419"/>
        </w:rPr>
      </w:pPr>
    </w:p>
    <w:p w14:paraId="5094AEB5" w14:textId="77777777" w:rsidR="002271F1" w:rsidRPr="001354D9" w:rsidRDefault="002271F1" w:rsidP="001354D9">
      <w:pPr>
        <w:spacing w:after="0" w:line="276" w:lineRule="auto"/>
        <w:ind w:firstLine="2835"/>
        <w:jc w:val="both"/>
        <w:rPr>
          <w:rFonts w:ascii="Gadugi" w:eastAsia="Malgun Gothic" w:hAnsi="Gadugi" w:cs="Estrangelo Edessa"/>
          <w:sz w:val="24"/>
          <w:szCs w:val="24"/>
          <w:lang w:val="es-419"/>
        </w:rPr>
      </w:pPr>
    </w:p>
    <w:p w14:paraId="72FF270C" w14:textId="70E0082C" w:rsidR="002271F1" w:rsidRPr="001354D9" w:rsidRDefault="002271F1" w:rsidP="00AC07DC">
      <w:pPr>
        <w:spacing w:after="0" w:line="276" w:lineRule="auto"/>
        <w:ind w:left="1701" w:right="49"/>
        <w:jc w:val="both"/>
        <w:rPr>
          <w:rFonts w:ascii="Gadugi" w:eastAsia="Malgun Gothic" w:hAnsi="Gadugi" w:cs="Estrangelo Edessa"/>
          <w:sz w:val="24"/>
          <w:szCs w:val="24"/>
        </w:rPr>
      </w:pPr>
      <w:r w:rsidRPr="001354D9">
        <w:rPr>
          <w:rFonts w:ascii="Gadugi" w:eastAsia="Malgun Gothic" w:hAnsi="Gadugi" w:cs="Estrangelo Edessa"/>
          <w:sz w:val="24"/>
          <w:szCs w:val="24"/>
        </w:rPr>
        <w:t>Magistrado:</w:t>
      </w:r>
      <w:r w:rsidRPr="001354D9">
        <w:rPr>
          <w:rFonts w:ascii="Gadugi" w:eastAsia="Malgun Gothic" w:hAnsi="Gadugi" w:cs="Estrangelo Edessa"/>
          <w:sz w:val="24"/>
          <w:szCs w:val="24"/>
        </w:rPr>
        <w:tab/>
        <w:t>Jaime Alberto Saraza Naranjo</w:t>
      </w:r>
    </w:p>
    <w:p w14:paraId="4189FAA2" w14:textId="063BC1C9" w:rsidR="002271F1" w:rsidRPr="001354D9" w:rsidRDefault="002271F1" w:rsidP="00AC07DC">
      <w:pPr>
        <w:spacing w:after="0" w:line="276" w:lineRule="auto"/>
        <w:ind w:left="1701" w:right="49"/>
        <w:jc w:val="both"/>
        <w:rPr>
          <w:rFonts w:ascii="Gadugi" w:eastAsia="Malgun Gothic" w:hAnsi="Gadugi" w:cs="Estrangelo Edessa"/>
          <w:sz w:val="24"/>
          <w:szCs w:val="24"/>
        </w:rPr>
      </w:pPr>
      <w:r w:rsidRPr="001354D9">
        <w:rPr>
          <w:rFonts w:ascii="Gadugi" w:eastAsia="Malgun Gothic" w:hAnsi="Gadugi" w:cs="Estrangelo Edessa"/>
          <w:sz w:val="24"/>
          <w:szCs w:val="24"/>
        </w:rPr>
        <w:t>Pereira</w:t>
      </w:r>
      <w:r w:rsidR="00AC07DC">
        <w:rPr>
          <w:rFonts w:ascii="Gadugi" w:eastAsia="Malgun Gothic" w:hAnsi="Gadugi" w:cs="Estrangelo Edessa"/>
          <w:sz w:val="24"/>
          <w:szCs w:val="24"/>
        </w:rPr>
        <w:t>:</w:t>
      </w:r>
      <w:r w:rsidR="00AC07DC">
        <w:rPr>
          <w:rFonts w:ascii="Gadugi" w:eastAsia="Malgun Gothic" w:hAnsi="Gadugi" w:cs="Estrangelo Edessa"/>
          <w:sz w:val="24"/>
          <w:szCs w:val="24"/>
        </w:rPr>
        <w:tab/>
      </w:r>
      <w:r w:rsidR="000E6C59" w:rsidRPr="001354D9">
        <w:rPr>
          <w:rFonts w:ascii="Gadugi" w:eastAsia="Malgun Gothic" w:hAnsi="Gadugi" w:cs="Estrangelo Edessa"/>
          <w:sz w:val="24"/>
          <w:szCs w:val="24"/>
        </w:rPr>
        <w:tab/>
        <w:t xml:space="preserve">junio treinta de dos mil veintidós </w:t>
      </w:r>
    </w:p>
    <w:p w14:paraId="2B2C7DF0" w14:textId="3D85F797" w:rsidR="002271F1" w:rsidRPr="001354D9" w:rsidRDefault="002271F1" w:rsidP="00AC07DC">
      <w:pPr>
        <w:spacing w:after="0" w:line="276" w:lineRule="auto"/>
        <w:ind w:left="1701" w:right="49"/>
        <w:jc w:val="both"/>
        <w:rPr>
          <w:rFonts w:ascii="Gadugi" w:eastAsia="Malgun Gothic" w:hAnsi="Gadugi" w:cs="Estrangelo Edessa"/>
          <w:sz w:val="24"/>
          <w:szCs w:val="24"/>
        </w:rPr>
      </w:pPr>
      <w:r w:rsidRPr="001354D9">
        <w:rPr>
          <w:rFonts w:ascii="Gadugi" w:eastAsia="Malgun Gothic" w:hAnsi="Gadugi" w:cs="Estrangelo Edessa"/>
          <w:sz w:val="24"/>
          <w:szCs w:val="24"/>
        </w:rPr>
        <w:t>Acta</w:t>
      </w:r>
      <w:r w:rsidR="00AC07DC">
        <w:rPr>
          <w:rFonts w:ascii="Gadugi" w:eastAsia="Malgun Gothic" w:hAnsi="Gadugi" w:cs="Estrangelo Edessa"/>
          <w:sz w:val="24"/>
          <w:szCs w:val="24"/>
        </w:rPr>
        <w:t>:</w:t>
      </w:r>
      <w:r w:rsidR="00AC07DC">
        <w:rPr>
          <w:rFonts w:ascii="Gadugi" w:eastAsia="Malgun Gothic" w:hAnsi="Gadugi" w:cs="Estrangelo Edessa"/>
          <w:sz w:val="24"/>
          <w:szCs w:val="24"/>
        </w:rPr>
        <w:tab/>
      </w:r>
      <w:r w:rsidRPr="001354D9">
        <w:rPr>
          <w:rFonts w:ascii="Gadugi" w:eastAsia="Malgun Gothic" w:hAnsi="Gadugi" w:cs="Estrangelo Edessa"/>
          <w:sz w:val="24"/>
          <w:szCs w:val="24"/>
        </w:rPr>
        <w:tab/>
      </w:r>
      <w:r w:rsidR="000E6C59" w:rsidRPr="001354D9">
        <w:rPr>
          <w:rFonts w:ascii="Gadugi" w:eastAsia="Malgun Gothic" w:hAnsi="Gadugi" w:cs="Estrangelo Edessa"/>
          <w:sz w:val="24"/>
          <w:szCs w:val="24"/>
        </w:rPr>
        <w:t>290 del 30 de junio de 2022</w:t>
      </w:r>
      <w:r w:rsidRPr="001354D9">
        <w:rPr>
          <w:rFonts w:ascii="Gadugi" w:eastAsia="Malgun Gothic" w:hAnsi="Gadugi" w:cs="Estrangelo Edessa"/>
          <w:sz w:val="24"/>
          <w:szCs w:val="24"/>
        </w:rPr>
        <w:t xml:space="preserve"> </w:t>
      </w:r>
    </w:p>
    <w:p w14:paraId="64E82D96" w14:textId="505ACE89" w:rsidR="002271F1" w:rsidRPr="001354D9" w:rsidRDefault="000E6C59" w:rsidP="00AC07DC">
      <w:pPr>
        <w:spacing w:after="0" w:line="276" w:lineRule="auto"/>
        <w:ind w:left="1701" w:right="49"/>
        <w:jc w:val="both"/>
        <w:rPr>
          <w:rFonts w:ascii="Gadugi" w:eastAsia="Malgun Gothic" w:hAnsi="Gadugi" w:cs="Estrangelo Edessa"/>
          <w:sz w:val="24"/>
          <w:szCs w:val="24"/>
        </w:rPr>
      </w:pPr>
      <w:r w:rsidRPr="001354D9">
        <w:rPr>
          <w:rFonts w:ascii="Gadugi" w:eastAsia="Malgun Gothic" w:hAnsi="Gadugi" w:cs="Estrangelo Edessa"/>
          <w:sz w:val="24"/>
          <w:szCs w:val="24"/>
        </w:rPr>
        <w:t>Sentencia</w:t>
      </w:r>
      <w:r w:rsidR="00AC07DC">
        <w:rPr>
          <w:rFonts w:ascii="Gadugi" w:eastAsia="Malgun Gothic" w:hAnsi="Gadugi" w:cs="Estrangelo Edessa"/>
          <w:sz w:val="24"/>
          <w:szCs w:val="24"/>
        </w:rPr>
        <w:t>:</w:t>
      </w:r>
      <w:r w:rsidR="00AC07DC">
        <w:rPr>
          <w:rFonts w:ascii="Gadugi" w:eastAsia="Malgun Gothic" w:hAnsi="Gadugi" w:cs="Estrangelo Edessa"/>
          <w:sz w:val="24"/>
          <w:szCs w:val="24"/>
        </w:rPr>
        <w:tab/>
      </w:r>
      <w:r w:rsidR="00AC07DC">
        <w:rPr>
          <w:rFonts w:ascii="Gadugi" w:eastAsia="Malgun Gothic" w:hAnsi="Gadugi" w:cs="Estrangelo Edessa"/>
          <w:sz w:val="24"/>
          <w:szCs w:val="24"/>
        </w:rPr>
        <w:tab/>
      </w:r>
      <w:r w:rsidRPr="001354D9">
        <w:rPr>
          <w:rFonts w:ascii="Gadugi" w:eastAsia="Malgun Gothic" w:hAnsi="Gadugi" w:cs="Estrangelo Edessa"/>
          <w:sz w:val="24"/>
          <w:szCs w:val="24"/>
        </w:rPr>
        <w:t xml:space="preserve">SC-0035-2022 </w:t>
      </w:r>
    </w:p>
    <w:p w14:paraId="3A29C5AF" w14:textId="3E8CFF7D" w:rsidR="002271F1" w:rsidRPr="001354D9" w:rsidRDefault="002271F1" w:rsidP="001354D9">
      <w:pPr>
        <w:tabs>
          <w:tab w:val="left" w:pos="4536"/>
        </w:tabs>
        <w:spacing w:after="0" w:line="276" w:lineRule="auto"/>
        <w:jc w:val="both"/>
        <w:rPr>
          <w:rFonts w:ascii="Gadugi" w:eastAsia="Malgun Gothic" w:hAnsi="Gadugi" w:cs="Estrangelo Edessa"/>
          <w:sz w:val="24"/>
          <w:szCs w:val="24"/>
        </w:rPr>
      </w:pPr>
    </w:p>
    <w:p w14:paraId="4232273E" w14:textId="77777777" w:rsidR="000E6C59" w:rsidRPr="001354D9" w:rsidRDefault="000E6C59" w:rsidP="001354D9">
      <w:pPr>
        <w:tabs>
          <w:tab w:val="left" w:pos="4536"/>
        </w:tabs>
        <w:spacing w:after="0" w:line="276" w:lineRule="auto"/>
        <w:jc w:val="both"/>
        <w:rPr>
          <w:rFonts w:ascii="Gadugi" w:eastAsia="Malgun Gothic" w:hAnsi="Gadugi" w:cs="Estrangelo Edessa"/>
          <w:sz w:val="24"/>
          <w:szCs w:val="24"/>
        </w:rPr>
      </w:pPr>
    </w:p>
    <w:p w14:paraId="6F919D84" w14:textId="6DD5C642" w:rsidR="002271F1" w:rsidRPr="001354D9" w:rsidRDefault="002271F1" w:rsidP="001354D9">
      <w:pPr>
        <w:tabs>
          <w:tab w:val="left" w:pos="4536"/>
        </w:tabs>
        <w:spacing w:after="0" w:line="276" w:lineRule="auto"/>
        <w:ind w:firstLine="1701"/>
        <w:jc w:val="both"/>
        <w:rPr>
          <w:rFonts w:ascii="Gadugi" w:eastAsia="Malgun Gothic" w:hAnsi="Gadugi" w:cs="Estrangelo Edessa"/>
          <w:sz w:val="24"/>
          <w:szCs w:val="24"/>
        </w:rPr>
      </w:pPr>
      <w:r w:rsidRPr="001354D9">
        <w:rPr>
          <w:rFonts w:ascii="Gadugi" w:eastAsia="Malgun Gothic" w:hAnsi="Gadugi" w:cs="Estrangelo Edessa"/>
          <w:sz w:val="24"/>
          <w:szCs w:val="24"/>
        </w:rPr>
        <w:t xml:space="preserve">Resuelve la Sala </w:t>
      </w:r>
      <w:r w:rsidR="00834723" w:rsidRPr="001354D9">
        <w:rPr>
          <w:rFonts w:ascii="Gadugi" w:eastAsia="Malgun Gothic" w:hAnsi="Gadugi" w:cs="Estrangelo Edessa"/>
          <w:sz w:val="24"/>
          <w:szCs w:val="24"/>
        </w:rPr>
        <w:t xml:space="preserve">el </w:t>
      </w:r>
      <w:r w:rsidRPr="001354D9">
        <w:rPr>
          <w:rFonts w:ascii="Gadugi" w:eastAsia="Malgun Gothic" w:hAnsi="Gadugi" w:cs="Estrangelo Edessa"/>
          <w:sz w:val="24"/>
          <w:szCs w:val="24"/>
        </w:rPr>
        <w:t>re</w:t>
      </w:r>
      <w:r w:rsidR="00174C11" w:rsidRPr="001354D9">
        <w:rPr>
          <w:rFonts w:ascii="Gadugi" w:eastAsia="Malgun Gothic" w:hAnsi="Gadugi" w:cs="Estrangelo Edessa"/>
          <w:sz w:val="24"/>
          <w:szCs w:val="24"/>
        </w:rPr>
        <w:t xml:space="preserve">curso de apelación interpuesto por la parte demandante </w:t>
      </w:r>
      <w:r w:rsidRPr="001354D9">
        <w:rPr>
          <w:rFonts w:ascii="Gadugi" w:eastAsia="Malgun Gothic" w:hAnsi="Gadugi" w:cs="Estrangelo Edessa"/>
          <w:sz w:val="24"/>
          <w:szCs w:val="24"/>
        </w:rPr>
        <w:t xml:space="preserve">contra la sentencia del </w:t>
      </w:r>
      <w:r w:rsidR="00466DB6" w:rsidRPr="001354D9">
        <w:rPr>
          <w:rFonts w:ascii="Gadugi" w:eastAsia="Malgun Gothic" w:hAnsi="Gadugi" w:cs="Estrangelo Edessa"/>
          <w:sz w:val="24"/>
          <w:szCs w:val="24"/>
        </w:rPr>
        <w:t>25</w:t>
      </w:r>
      <w:r w:rsidRPr="001354D9">
        <w:rPr>
          <w:rFonts w:ascii="Gadugi" w:eastAsia="Malgun Gothic" w:hAnsi="Gadugi" w:cs="Estrangelo Edessa"/>
          <w:sz w:val="24"/>
          <w:szCs w:val="24"/>
        </w:rPr>
        <w:t xml:space="preserve"> de </w:t>
      </w:r>
      <w:r w:rsidR="00196F44" w:rsidRPr="001354D9">
        <w:rPr>
          <w:rFonts w:ascii="Gadugi" w:eastAsia="Malgun Gothic" w:hAnsi="Gadugi" w:cs="Estrangelo Edessa"/>
          <w:sz w:val="24"/>
          <w:szCs w:val="24"/>
        </w:rPr>
        <w:t>ma</w:t>
      </w:r>
      <w:r w:rsidR="00466DB6" w:rsidRPr="001354D9">
        <w:rPr>
          <w:rFonts w:ascii="Gadugi" w:eastAsia="Malgun Gothic" w:hAnsi="Gadugi" w:cs="Estrangelo Edessa"/>
          <w:sz w:val="24"/>
          <w:szCs w:val="24"/>
        </w:rPr>
        <w:t>rzo</w:t>
      </w:r>
      <w:r w:rsidRPr="001354D9">
        <w:rPr>
          <w:rFonts w:ascii="Gadugi" w:eastAsia="Malgun Gothic" w:hAnsi="Gadugi" w:cs="Estrangelo Edessa"/>
          <w:sz w:val="24"/>
          <w:szCs w:val="24"/>
        </w:rPr>
        <w:t xml:space="preserve"> de</w:t>
      </w:r>
      <w:r w:rsidR="00196F44" w:rsidRPr="001354D9">
        <w:rPr>
          <w:rFonts w:ascii="Gadugi" w:eastAsia="Malgun Gothic" w:hAnsi="Gadugi" w:cs="Estrangelo Edessa"/>
          <w:sz w:val="24"/>
          <w:szCs w:val="24"/>
        </w:rPr>
        <w:t>l</w:t>
      </w:r>
      <w:r w:rsidRPr="001354D9">
        <w:rPr>
          <w:rFonts w:ascii="Gadugi" w:eastAsia="Malgun Gothic" w:hAnsi="Gadugi" w:cs="Estrangelo Edessa"/>
          <w:sz w:val="24"/>
          <w:szCs w:val="24"/>
        </w:rPr>
        <w:t xml:space="preserve"> 202</w:t>
      </w:r>
      <w:r w:rsidR="00196F44" w:rsidRPr="001354D9">
        <w:rPr>
          <w:rFonts w:ascii="Gadugi" w:eastAsia="Malgun Gothic" w:hAnsi="Gadugi" w:cs="Estrangelo Edessa"/>
          <w:sz w:val="24"/>
          <w:szCs w:val="24"/>
        </w:rPr>
        <w:t>1</w:t>
      </w:r>
      <w:r w:rsidRPr="001354D9">
        <w:rPr>
          <w:rFonts w:ascii="Gadugi" w:eastAsia="Malgun Gothic" w:hAnsi="Gadugi" w:cs="Estrangelo Edessa"/>
          <w:sz w:val="24"/>
          <w:szCs w:val="24"/>
        </w:rPr>
        <w:t>, proferida por el Juzgado</w:t>
      </w:r>
      <w:r w:rsidR="00466DB6" w:rsidRPr="001354D9">
        <w:rPr>
          <w:rFonts w:ascii="Gadugi" w:eastAsia="Malgun Gothic" w:hAnsi="Gadugi" w:cs="Estrangelo Edessa"/>
          <w:sz w:val="24"/>
          <w:szCs w:val="24"/>
        </w:rPr>
        <w:t xml:space="preserve"> Promiscuo del Circuito de Quinchía-Risaralda</w:t>
      </w:r>
      <w:r w:rsidRPr="001354D9">
        <w:rPr>
          <w:rFonts w:ascii="Gadugi" w:eastAsia="Malgun Gothic" w:hAnsi="Gadugi" w:cs="Estrangelo Edessa"/>
          <w:sz w:val="24"/>
          <w:szCs w:val="24"/>
        </w:rPr>
        <w:t xml:space="preserve">, en este proceso </w:t>
      </w:r>
      <w:r w:rsidR="00E638B3" w:rsidRPr="001354D9">
        <w:rPr>
          <w:rFonts w:ascii="Gadugi" w:eastAsia="Malgun Gothic" w:hAnsi="Gadugi" w:cs="Estrangelo Edessa"/>
          <w:sz w:val="24"/>
          <w:szCs w:val="24"/>
        </w:rPr>
        <w:t>d</w:t>
      </w:r>
      <w:r w:rsidR="00196F44" w:rsidRPr="001354D9">
        <w:rPr>
          <w:rFonts w:ascii="Gadugi" w:eastAsia="Malgun Gothic" w:hAnsi="Gadugi" w:cs="Estrangelo Edessa"/>
          <w:sz w:val="24"/>
          <w:szCs w:val="24"/>
        </w:rPr>
        <w:t xml:space="preserve">e </w:t>
      </w:r>
      <w:r w:rsidR="00466DB6" w:rsidRPr="001354D9">
        <w:rPr>
          <w:rFonts w:ascii="Gadugi" w:eastAsia="Malgun Gothic" w:hAnsi="Gadugi" w:cs="Estrangelo Edessa"/>
          <w:b/>
          <w:sz w:val="24"/>
          <w:szCs w:val="24"/>
        </w:rPr>
        <w:t xml:space="preserve">Responsabilidad </w:t>
      </w:r>
      <w:r w:rsidR="00466DB6" w:rsidRPr="001354D9">
        <w:rPr>
          <w:rFonts w:ascii="Gadugi" w:eastAsia="Malgun Gothic" w:hAnsi="Gadugi" w:cs="Estrangelo Edessa"/>
          <w:b/>
          <w:sz w:val="24"/>
          <w:szCs w:val="24"/>
        </w:rPr>
        <w:lastRenderedPageBreak/>
        <w:t>Civil Extracontractual</w:t>
      </w:r>
      <w:r w:rsidR="00466DB6" w:rsidRPr="001354D9">
        <w:rPr>
          <w:rFonts w:ascii="Gadugi" w:eastAsia="Malgun Gothic" w:hAnsi="Gadugi" w:cs="Estrangelo Edessa"/>
          <w:sz w:val="24"/>
          <w:szCs w:val="24"/>
        </w:rPr>
        <w:t xml:space="preserve"> </w:t>
      </w:r>
      <w:r w:rsidRPr="001354D9">
        <w:rPr>
          <w:rFonts w:ascii="Gadugi" w:eastAsia="Malgun Gothic" w:hAnsi="Gadugi" w:cs="Estrangelo Edessa"/>
          <w:sz w:val="24"/>
          <w:szCs w:val="24"/>
        </w:rPr>
        <w:t xml:space="preserve">que </w:t>
      </w:r>
      <w:r w:rsidR="00546B5B" w:rsidRPr="001354D9">
        <w:rPr>
          <w:rFonts w:ascii="Gadugi" w:eastAsia="Malgun Gothic" w:hAnsi="Gadugi" w:cs="Estrangelo Edessa"/>
          <w:sz w:val="24"/>
          <w:szCs w:val="24"/>
        </w:rPr>
        <w:t xml:space="preserve">iniciaron </w:t>
      </w:r>
      <w:r w:rsidR="00E35E6C" w:rsidRPr="001354D9">
        <w:rPr>
          <w:rFonts w:ascii="Gadugi" w:eastAsia="Malgun Gothic" w:hAnsi="Gadugi" w:cs="Estrangelo Edessa"/>
          <w:b/>
          <w:sz w:val="24"/>
          <w:szCs w:val="24"/>
        </w:rPr>
        <w:t>Alven</w:t>
      </w:r>
      <w:r w:rsidR="00466DB6" w:rsidRPr="001354D9">
        <w:rPr>
          <w:rFonts w:ascii="Gadugi" w:eastAsia="Malgun Gothic" w:hAnsi="Gadugi" w:cs="Estrangelo Edessa"/>
          <w:b/>
          <w:sz w:val="24"/>
          <w:szCs w:val="24"/>
        </w:rPr>
        <w:t xml:space="preserve"> de Jesús Álvarez</w:t>
      </w:r>
      <w:r w:rsidR="00E638B3" w:rsidRPr="001354D9">
        <w:rPr>
          <w:rFonts w:ascii="Gadugi" w:eastAsia="Malgun Gothic" w:hAnsi="Gadugi" w:cs="Estrangelo Edessa"/>
          <w:b/>
          <w:sz w:val="24"/>
          <w:szCs w:val="24"/>
        </w:rPr>
        <w:t>,</w:t>
      </w:r>
      <w:r w:rsidR="00087B33" w:rsidRPr="001354D9">
        <w:rPr>
          <w:rFonts w:ascii="Gadugi" w:eastAsia="Malgun Gothic" w:hAnsi="Gadugi" w:cs="Estrangelo Edessa"/>
          <w:b/>
          <w:sz w:val="24"/>
          <w:szCs w:val="24"/>
        </w:rPr>
        <w:t xml:space="preserve"> Luz Mila Sepúlveda Durango, Luz Edilma Álvarez Sepúlveda, Yuli Andrea Álvarez Sepúlveda </w:t>
      </w:r>
      <w:r w:rsidR="00087B33" w:rsidRPr="001354D9">
        <w:rPr>
          <w:rFonts w:ascii="Gadugi" w:eastAsia="Malgun Gothic" w:hAnsi="Gadugi" w:cs="Estrangelo Edessa"/>
          <w:sz w:val="24"/>
          <w:szCs w:val="24"/>
        </w:rPr>
        <w:t>y</w:t>
      </w:r>
      <w:r w:rsidR="00087B33" w:rsidRPr="001354D9">
        <w:rPr>
          <w:rFonts w:ascii="Gadugi" w:eastAsia="Malgun Gothic" w:hAnsi="Gadugi" w:cs="Estrangelo Edessa"/>
          <w:b/>
          <w:sz w:val="24"/>
          <w:szCs w:val="24"/>
        </w:rPr>
        <w:t xml:space="preserve"> Alejandro Álvarez Sepúlveda</w:t>
      </w:r>
      <w:r w:rsidR="00E638B3" w:rsidRPr="001354D9">
        <w:rPr>
          <w:rFonts w:ascii="Gadugi" w:eastAsia="Malgun Gothic" w:hAnsi="Gadugi" w:cs="Estrangelo Edessa"/>
          <w:b/>
          <w:sz w:val="24"/>
          <w:szCs w:val="24"/>
        </w:rPr>
        <w:t xml:space="preserve"> </w:t>
      </w:r>
      <w:r w:rsidRPr="001354D9">
        <w:rPr>
          <w:rFonts w:ascii="Gadugi" w:eastAsia="Malgun Gothic" w:hAnsi="Gadugi" w:cs="Estrangelo Edessa"/>
          <w:bCs/>
          <w:sz w:val="24"/>
          <w:szCs w:val="24"/>
        </w:rPr>
        <w:t>frente</w:t>
      </w:r>
      <w:r w:rsidRPr="001354D9">
        <w:rPr>
          <w:rFonts w:ascii="Gadugi" w:eastAsia="Malgun Gothic" w:hAnsi="Gadugi" w:cs="Estrangelo Edessa"/>
          <w:b/>
          <w:sz w:val="24"/>
          <w:szCs w:val="24"/>
        </w:rPr>
        <w:t xml:space="preserve"> </w:t>
      </w:r>
      <w:r w:rsidRPr="001354D9">
        <w:rPr>
          <w:rFonts w:ascii="Gadugi" w:eastAsia="Malgun Gothic" w:hAnsi="Gadugi" w:cs="Estrangelo Edessa"/>
          <w:sz w:val="24"/>
          <w:szCs w:val="24"/>
        </w:rPr>
        <w:t>a</w:t>
      </w:r>
      <w:r w:rsidR="00AF083D" w:rsidRPr="001354D9">
        <w:rPr>
          <w:rFonts w:ascii="Gadugi" w:eastAsia="Malgun Gothic" w:hAnsi="Gadugi" w:cs="Estrangelo Edessa"/>
          <w:b/>
          <w:sz w:val="24"/>
          <w:szCs w:val="24"/>
        </w:rPr>
        <w:t xml:space="preserve"> </w:t>
      </w:r>
      <w:r w:rsidR="001F5539" w:rsidRPr="001354D9">
        <w:rPr>
          <w:rFonts w:ascii="Gadugi" w:eastAsia="Malgun Gothic" w:hAnsi="Gadugi" w:cs="Estrangelo Edessa"/>
          <w:b/>
          <w:sz w:val="24"/>
          <w:szCs w:val="24"/>
        </w:rPr>
        <w:t>Distribuidor de Papelería L</w:t>
      </w:r>
      <w:r w:rsidR="00466DB6" w:rsidRPr="001354D9">
        <w:rPr>
          <w:rFonts w:ascii="Gadugi" w:eastAsia="Malgun Gothic" w:hAnsi="Gadugi" w:cs="Estrangelo Edessa"/>
          <w:b/>
          <w:sz w:val="24"/>
          <w:szCs w:val="24"/>
        </w:rPr>
        <w:t xml:space="preserve">os Mayoristas </w:t>
      </w:r>
      <w:r w:rsidR="001F5539" w:rsidRPr="001354D9">
        <w:rPr>
          <w:rFonts w:ascii="Gadugi" w:eastAsia="Malgun Gothic" w:hAnsi="Gadugi" w:cs="Estrangelo Edessa"/>
          <w:b/>
          <w:sz w:val="24"/>
          <w:szCs w:val="24"/>
        </w:rPr>
        <w:t>S.A.S.</w:t>
      </w:r>
      <w:r w:rsidR="00466DB6" w:rsidRPr="001354D9">
        <w:rPr>
          <w:rFonts w:ascii="Gadugi" w:eastAsia="Malgun Gothic" w:hAnsi="Gadugi" w:cs="Estrangelo Edessa"/>
          <w:b/>
          <w:sz w:val="24"/>
          <w:szCs w:val="24"/>
        </w:rPr>
        <w:t xml:space="preserve"> </w:t>
      </w:r>
      <w:r w:rsidR="00087B33" w:rsidRPr="001354D9">
        <w:rPr>
          <w:rFonts w:ascii="Gadugi" w:eastAsia="Malgun Gothic" w:hAnsi="Gadugi" w:cs="Estrangelo Edessa"/>
          <w:b/>
          <w:sz w:val="24"/>
          <w:szCs w:val="24"/>
        </w:rPr>
        <w:t>y</w:t>
      </w:r>
      <w:r w:rsidR="00466DB6" w:rsidRPr="001354D9">
        <w:rPr>
          <w:rFonts w:ascii="Gadugi" w:eastAsia="Malgun Gothic" w:hAnsi="Gadugi" w:cs="Estrangelo Edessa"/>
          <w:b/>
          <w:sz w:val="24"/>
          <w:szCs w:val="24"/>
        </w:rPr>
        <w:t xml:space="preserve"> Wilson Quiñones Vera</w:t>
      </w:r>
      <w:r w:rsidR="00546B5B" w:rsidRPr="001354D9">
        <w:rPr>
          <w:rFonts w:ascii="Gadugi" w:eastAsia="Malgun Gothic" w:hAnsi="Gadugi" w:cs="Estrangelo Edessa"/>
          <w:b/>
          <w:sz w:val="24"/>
          <w:szCs w:val="24"/>
        </w:rPr>
        <w:t xml:space="preserve">, </w:t>
      </w:r>
      <w:r w:rsidR="001F5539" w:rsidRPr="001354D9">
        <w:rPr>
          <w:rFonts w:ascii="Gadugi" w:eastAsia="Malgun Gothic" w:hAnsi="Gadugi" w:cs="Estrangelo Edessa"/>
          <w:sz w:val="24"/>
          <w:szCs w:val="24"/>
        </w:rPr>
        <w:t xml:space="preserve">al que fue llamada en </w:t>
      </w:r>
      <w:r w:rsidR="00546B5B" w:rsidRPr="001354D9">
        <w:rPr>
          <w:rFonts w:ascii="Gadugi" w:eastAsia="Malgun Gothic" w:hAnsi="Gadugi" w:cs="Estrangelo Edessa"/>
          <w:sz w:val="24"/>
          <w:szCs w:val="24"/>
        </w:rPr>
        <w:t xml:space="preserve">garantía </w:t>
      </w:r>
      <w:r w:rsidR="001F5539" w:rsidRPr="001354D9">
        <w:rPr>
          <w:rFonts w:ascii="Gadugi" w:eastAsia="Malgun Gothic" w:hAnsi="Gadugi" w:cs="Estrangelo Edessa"/>
          <w:b/>
          <w:sz w:val="24"/>
          <w:szCs w:val="24"/>
        </w:rPr>
        <w:t>Seguros Suramericana S.A.</w:t>
      </w:r>
    </w:p>
    <w:p w14:paraId="186F2EC3" w14:textId="16600617" w:rsidR="002271F1" w:rsidRPr="001354D9" w:rsidRDefault="002271F1" w:rsidP="001354D9">
      <w:pPr>
        <w:tabs>
          <w:tab w:val="left" w:pos="4536"/>
        </w:tabs>
        <w:spacing w:after="0" w:line="276" w:lineRule="auto"/>
        <w:jc w:val="both"/>
        <w:rPr>
          <w:rFonts w:ascii="Gadugi" w:eastAsia="Malgun Gothic" w:hAnsi="Gadugi" w:cs="Estrangelo Edessa"/>
          <w:sz w:val="24"/>
          <w:szCs w:val="24"/>
        </w:rPr>
      </w:pPr>
    </w:p>
    <w:p w14:paraId="7C619D11" w14:textId="77777777" w:rsidR="002271F1" w:rsidRPr="001354D9" w:rsidRDefault="002271F1" w:rsidP="001354D9">
      <w:pPr>
        <w:tabs>
          <w:tab w:val="left" w:pos="4536"/>
        </w:tabs>
        <w:spacing w:after="0" w:line="276" w:lineRule="auto"/>
        <w:ind w:left="4605" w:hanging="1770"/>
        <w:jc w:val="both"/>
        <w:rPr>
          <w:rFonts w:ascii="Gadugi" w:eastAsia="Malgun Gothic" w:hAnsi="Gadugi" w:cs="Estrangelo Edessa"/>
          <w:b/>
          <w:sz w:val="24"/>
          <w:szCs w:val="24"/>
        </w:rPr>
      </w:pPr>
    </w:p>
    <w:p w14:paraId="47D39826" w14:textId="08B8E00A" w:rsidR="002271F1" w:rsidRPr="001354D9" w:rsidRDefault="002271F1" w:rsidP="001354D9">
      <w:pPr>
        <w:pStyle w:val="Prrafodelista"/>
        <w:numPr>
          <w:ilvl w:val="0"/>
          <w:numId w:val="1"/>
        </w:numPr>
        <w:tabs>
          <w:tab w:val="left" w:pos="4536"/>
        </w:tabs>
        <w:spacing w:after="0" w:line="276" w:lineRule="auto"/>
        <w:ind w:left="2268" w:hanging="567"/>
        <w:jc w:val="both"/>
        <w:rPr>
          <w:rFonts w:ascii="Gadugi" w:eastAsia="Malgun Gothic" w:hAnsi="Gadugi" w:cs="Estrangelo Edessa"/>
          <w:b/>
          <w:sz w:val="24"/>
          <w:szCs w:val="24"/>
        </w:rPr>
      </w:pPr>
      <w:r w:rsidRPr="001354D9">
        <w:rPr>
          <w:rFonts w:ascii="Gadugi" w:eastAsia="Malgun Gothic" w:hAnsi="Gadugi" w:cs="Estrangelo Edessa"/>
          <w:b/>
          <w:sz w:val="24"/>
          <w:szCs w:val="24"/>
        </w:rPr>
        <w:t>ANTECEDENTES</w:t>
      </w:r>
    </w:p>
    <w:p w14:paraId="377783E6" w14:textId="77777777" w:rsidR="00740E65" w:rsidRPr="001354D9" w:rsidRDefault="00740E65" w:rsidP="001354D9">
      <w:pPr>
        <w:pStyle w:val="Prrafodelista"/>
        <w:tabs>
          <w:tab w:val="left" w:pos="4536"/>
        </w:tabs>
        <w:spacing w:after="0" w:line="276" w:lineRule="auto"/>
        <w:ind w:left="2268"/>
        <w:jc w:val="both"/>
        <w:rPr>
          <w:rFonts w:ascii="Gadugi" w:eastAsia="Malgun Gothic" w:hAnsi="Gadugi" w:cs="Estrangelo Edessa"/>
          <w:b/>
          <w:sz w:val="24"/>
          <w:szCs w:val="24"/>
        </w:rPr>
      </w:pPr>
    </w:p>
    <w:p w14:paraId="1B80D721" w14:textId="5BE9AD9B" w:rsidR="002271F1" w:rsidRPr="001354D9" w:rsidRDefault="002271F1" w:rsidP="001354D9">
      <w:pPr>
        <w:pStyle w:val="Prrafodelista"/>
        <w:numPr>
          <w:ilvl w:val="1"/>
          <w:numId w:val="1"/>
        </w:numPr>
        <w:tabs>
          <w:tab w:val="left" w:pos="1560"/>
          <w:tab w:val="left" w:pos="2552"/>
        </w:tabs>
        <w:spacing w:after="0" w:line="276" w:lineRule="auto"/>
        <w:ind w:left="0" w:firstLine="1701"/>
        <w:jc w:val="both"/>
        <w:rPr>
          <w:rStyle w:val="normaltextrun"/>
          <w:rFonts w:ascii="Gadugi" w:hAnsi="Gadugi"/>
          <w:sz w:val="24"/>
          <w:szCs w:val="24"/>
        </w:rPr>
      </w:pPr>
      <w:r w:rsidRPr="001354D9">
        <w:rPr>
          <w:rFonts w:ascii="Gadugi" w:eastAsia="Malgun Gothic" w:hAnsi="Gadugi" w:cs="Estrangelo Edessa"/>
          <w:b/>
          <w:sz w:val="24"/>
          <w:szCs w:val="24"/>
        </w:rPr>
        <w:t>Hechos</w:t>
      </w:r>
      <w:r w:rsidR="001F5539" w:rsidRPr="001354D9">
        <w:rPr>
          <w:rStyle w:val="Refdenotaalpie"/>
          <w:rFonts w:ascii="Gadugi" w:eastAsia="Malgun Gothic" w:hAnsi="Gadugi" w:cs="Estrangelo Edessa"/>
          <w:b/>
          <w:sz w:val="24"/>
          <w:szCs w:val="24"/>
        </w:rPr>
        <w:footnoteReference w:id="1"/>
      </w:r>
      <w:r w:rsidRPr="001354D9">
        <w:rPr>
          <w:rFonts w:ascii="Gadugi" w:eastAsia="Malgun Gothic" w:hAnsi="Gadugi" w:cs="Estrangelo Edessa"/>
          <w:b/>
          <w:sz w:val="24"/>
          <w:szCs w:val="24"/>
        </w:rPr>
        <w:t xml:space="preserve"> </w:t>
      </w:r>
    </w:p>
    <w:p w14:paraId="38C9C0FD" w14:textId="77777777" w:rsidR="002271F1" w:rsidRPr="001354D9" w:rsidRDefault="002271F1" w:rsidP="001354D9">
      <w:pPr>
        <w:pStyle w:val="Prrafodelista"/>
        <w:tabs>
          <w:tab w:val="left" w:pos="3402"/>
        </w:tabs>
        <w:spacing w:after="0" w:line="276" w:lineRule="auto"/>
        <w:ind w:left="2835"/>
        <w:jc w:val="both"/>
        <w:rPr>
          <w:rStyle w:val="normaltextrun"/>
          <w:rFonts w:ascii="Gadugi" w:eastAsia="Malgun Gothic" w:hAnsi="Gadugi" w:cs="Estrangelo Edessa"/>
          <w:b/>
          <w:sz w:val="24"/>
          <w:szCs w:val="24"/>
        </w:rPr>
      </w:pPr>
    </w:p>
    <w:p w14:paraId="2EFD8600" w14:textId="1151762F" w:rsidR="002A0193" w:rsidRPr="001354D9" w:rsidRDefault="00740E65" w:rsidP="001354D9">
      <w:pPr>
        <w:pStyle w:val="Prrafodelista"/>
        <w:tabs>
          <w:tab w:val="left" w:pos="3402"/>
        </w:tabs>
        <w:spacing w:after="0" w:line="276" w:lineRule="auto"/>
        <w:ind w:left="0" w:firstLine="1701"/>
        <w:jc w:val="both"/>
        <w:rPr>
          <w:rFonts w:ascii="Gadugi" w:eastAsia="Malgun Gothic" w:hAnsi="Gadugi" w:cs="Estrangelo Edessa"/>
          <w:sz w:val="24"/>
          <w:szCs w:val="24"/>
        </w:rPr>
      </w:pPr>
      <w:r w:rsidRPr="001354D9">
        <w:rPr>
          <w:rFonts w:ascii="Gadugi" w:eastAsia="Malgun Gothic" w:hAnsi="Gadugi" w:cs="Estrangelo Edessa"/>
          <w:sz w:val="24"/>
          <w:szCs w:val="24"/>
        </w:rPr>
        <w:t xml:space="preserve">Señala la demanda que </w:t>
      </w:r>
      <w:r w:rsidR="00E35E6C" w:rsidRPr="001354D9">
        <w:rPr>
          <w:rFonts w:ascii="Gadugi" w:eastAsia="Malgun Gothic" w:hAnsi="Gadugi" w:cs="Estrangelo Edessa"/>
          <w:sz w:val="24"/>
          <w:szCs w:val="24"/>
        </w:rPr>
        <w:t>Alven</w:t>
      </w:r>
      <w:r w:rsidRPr="001354D9">
        <w:rPr>
          <w:rFonts w:ascii="Gadugi" w:eastAsia="Malgun Gothic" w:hAnsi="Gadugi" w:cs="Estrangelo Edessa"/>
          <w:sz w:val="24"/>
          <w:szCs w:val="24"/>
        </w:rPr>
        <w:t xml:space="preserve"> de Jesús Álvarez,</w:t>
      </w:r>
      <w:r w:rsidR="006B24D9" w:rsidRPr="001354D9">
        <w:rPr>
          <w:rFonts w:ascii="Gadugi" w:eastAsia="Malgun Gothic" w:hAnsi="Gadugi" w:cs="Estrangelo Edessa"/>
          <w:sz w:val="24"/>
          <w:szCs w:val="24"/>
        </w:rPr>
        <w:t xml:space="preserve"> </w:t>
      </w:r>
      <w:r w:rsidR="002271F1" w:rsidRPr="001354D9">
        <w:rPr>
          <w:rFonts w:ascii="Gadugi" w:eastAsia="Malgun Gothic" w:hAnsi="Gadugi" w:cs="Estrangelo Edessa"/>
          <w:sz w:val="24"/>
          <w:szCs w:val="24"/>
        </w:rPr>
        <w:t xml:space="preserve">el </w:t>
      </w:r>
      <w:r w:rsidR="00466DB6" w:rsidRPr="001354D9">
        <w:rPr>
          <w:rFonts w:ascii="Gadugi" w:eastAsia="Malgun Gothic" w:hAnsi="Gadugi" w:cs="Estrangelo Edessa"/>
          <w:sz w:val="24"/>
          <w:szCs w:val="24"/>
        </w:rPr>
        <w:t>18</w:t>
      </w:r>
      <w:r w:rsidR="002271F1" w:rsidRPr="001354D9">
        <w:rPr>
          <w:rFonts w:ascii="Gadugi" w:eastAsia="Malgun Gothic" w:hAnsi="Gadugi" w:cs="Estrangelo Edessa"/>
          <w:sz w:val="24"/>
          <w:szCs w:val="24"/>
        </w:rPr>
        <w:t xml:space="preserve"> de </w:t>
      </w:r>
      <w:r w:rsidR="00466DB6" w:rsidRPr="001354D9">
        <w:rPr>
          <w:rFonts w:ascii="Gadugi" w:eastAsia="Malgun Gothic" w:hAnsi="Gadugi" w:cs="Estrangelo Edessa"/>
          <w:sz w:val="24"/>
          <w:szCs w:val="24"/>
        </w:rPr>
        <w:t>octubre</w:t>
      </w:r>
      <w:r w:rsidR="002A0193" w:rsidRPr="001354D9">
        <w:rPr>
          <w:rFonts w:ascii="Gadugi" w:eastAsia="Malgun Gothic" w:hAnsi="Gadugi" w:cs="Estrangelo Edessa"/>
          <w:sz w:val="24"/>
          <w:szCs w:val="24"/>
        </w:rPr>
        <w:t xml:space="preserve"> </w:t>
      </w:r>
      <w:r w:rsidR="002271F1" w:rsidRPr="001354D9">
        <w:rPr>
          <w:rFonts w:ascii="Gadugi" w:eastAsia="Malgun Gothic" w:hAnsi="Gadugi" w:cs="Estrangelo Edessa"/>
          <w:sz w:val="24"/>
          <w:szCs w:val="24"/>
        </w:rPr>
        <w:t>de 201</w:t>
      </w:r>
      <w:r w:rsidR="00466DB6" w:rsidRPr="001354D9">
        <w:rPr>
          <w:rFonts w:ascii="Gadugi" w:eastAsia="Malgun Gothic" w:hAnsi="Gadugi" w:cs="Estrangelo Edessa"/>
          <w:sz w:val="24"/>
          <w:szCs w:val="24"/>
        </w:rPr>
        <w:t>3</w:t>
      </w:r>
      <w:r w:rsidRPr="001354D9">
        <w:rPr>
          <w:rFonts w:ascii="Gadugi" w:eastAsia="Malgun Gothic" w:hAnsi="Gadugi" w:cs="Estrangelo Edessa"/>
          <w:sz w:val="24"/>
          <w:szCs w:val="24"/>
        </w:rPr>
        <w:t>,</w:t>
      </w:r>
      <w:r w:rsidR="002271F1" w:rsidRPr="001354D9">
        <w:rPr>
          <w:rFonts w:ascii="Gadugi" w:eastAsia="Malgun Gothic" w:hAnsi="Gadugi" w:cs="Estrangelo Edessa"/>
          <w:sz w:val="24"/>
          <w:szCs w:val="24"/>
        </w:rPr>
        <w:t xml:space="preserve"> </w:t>
      </w:r>
      <w:r w:rsidR="00E20FF2" w:rsidRPr="001354D9">
        <w:rPr>
          <w:rFonts w:ascii="Gadugi" w:eastAsia="Malgun Gothic" w:hAnsi="Gadugi" w:cs="Estrangelo Edessa"/>
          <w:sz w:val="24"/>
          <w:szCs w:val="24"/>
        </w:rPr>
        <w:t xml:space="preserve">transitaba por la </w:t>
      </w:r>
      <w:r w:rsidR="00A55253" w:rsidRPr="001354D9">
        <w:rPr>
          <w:rFonts w:ascii="Gadugi" w:eastAsia="Malgun Gothic" w:hAnsi="Gadugi" w:cs="Estrangelo Edessa"/>
          <w:sz w:val="24"/>
          <w:szCs w:val="24"/>
        </w:rPr>
        <w:t xml:space="preserve">berma de la </w:t>
      </w:r>
      <w:r w:rsidR="00E20FF2" w:rsidRPr="001354D9">
        <w:rPr>
          <w:rFonts w:ascii="Gadugi" w:eastAsia="Malgun Gothic" w:hAnsi="Gadugi" w:cs="Estrangelo Edessa"/>
          <w:sz w:val="24"/>
          <w:szCs w:val="24"/>
        </w:rPr>
        <w:t>vía principal del corregimiento de San Clemente</w:t>
      </w:r>
      <w:r w:rsidRPr="001354D9">
        <w:rPr>
          <w:rFonts w:ascii="Gadugi" w:eastAsia="Malgun Gothic" w:hAnsi="Gadugi" w:cs="Estrangelo Edessa"/>
          <w:sz w:val="24"/>
          <w:szCs w:val="24"/>
        </w:rPr>
        <w:t>,</w:t>
      </w:r>
      <w:r w:rsidR="00E20FF2" w:rsidRPr="001354D9">
        <w:rPr>
          <w:rFonts w:ascii="Gadugi" w:eastAsia="Malgun Gothic" w:hAnsi="Gadugi" w:cs="Estrangelo Edessa"/>
          <w:sz w:val="24"/>
          <w:szCs w:val="24"/>
        </w:rPr>
        <w:t xml:space="preserve"> Guática-Risaralda, </w:t>
      </w:r>
      <w:r w:rsidR="00983632" w:rsidRPr="001354D9">
        <w:rPr>
          <w:rFonts w:ascii="Gadugi" w:eastAsia="Malgun Gothic" w:hAnsi="Gadugi" w:cs="Estrangelo Edessa"/>
          <w:sz w:val="24"/>
          <w:szCs w:val="24"/>
        </w:rPr>
        <w:t xml:space="preserve">cuando fue arrollado </w:t>
      </w:r>
      <w:r w:rsidR="00466DB6" w:rsidRPr="001354D9">
        <w:rPr>
          <w:rFonts w:ascii="Gadugi" w:eastAsia="Malgun Gothic" w:hAnsi="Gadugi" w:cs="Estrangelo Edessa"/>
          <w:sz w:val="24"/>
          <w:szCs w:val="24"/>
        </w:rPr>
        <w:t xml:space="preserve">por un vehículo </w:t>
      </w:r>
      <w:r w:rsidR="00983632" w:rsidRPr="001354D9">
        <w:rPr>
          <w:rFonts w:ascii="Gadugi" w:eastAsia="Malgun Gothic" w:hAnsi="Gadugi" w:cs="Estrangelo Edessa"/>
          <w:sz w:val="24"/>
          <w:szCs w:val="24"/>
        </w:rPr>
        <w:t xml:space="preserve">de propiedad de la </w:t>
      </w:r>
      <w:r w:rsidR="00546B5B" w:rsidRPr="001354D9">
        <w:rPr>
          <w:rFonts w:ascii="Gadugi" w:eastAsia="Malgun Gothic" w:hAnsi="Gadugi" w:cs="Estrangelo Edessa"/>
          <w:sz w:val="24"/>
          <w:szCs w:val="24"/>
        </w:rPr>
        <w:t xml:space="preserve">Papelería </w:t>
      </w:r>
      <w:r w:rsidR="00502BDE">
        <w:rPr>
          <w:rFonts w:ascii="Gadugi" w:eastAsia="Malgun Gothic" w:hAnsi="Gadugi" w:cs="Estrangelo Edessa"/>
          <w:sz w:val="24"/>
          <w:szCs w:val="24"/>
        </w:rPr>
        <w:t>L</w:t>
      </w:r>
      <w:r w:rsidR="00546B5B" w:rsidRPr="001354D9">
        <w:rPr>
          <w:rFonts w:ascii="Gadugi" w:eastAsia="Malgun Gothic" w:hAnsi="Gadugi" w:cs="Estrangelo Edessa"/>
          <w:sz w:val="24"/>
          <w:szCs w:val="24"/>
        </w:rPr>
        <w:t xml:space="preserve">os Mayoristas </w:t>
      </w:r>
      <w:r w:rsidR="00D50C1D" w:rsidRPr="001354D9">
        <w:rPr>
          <w:rFonts w:ascii="Gadugi" w:eastAsia="Malgun Gothic" w:hAnsi="Gadugi" w:cs="Estrangelo Edessa"/>
          <w:sz w:val="24"/>
          <w:szCs w:val="24"/>
        </w:rPr>
        <w:t>“</w:t>
      </w:r>
      <w:r w:rsidR="00546B5B" w:rsidRPr="001354D9">
        <w:rPr>
          <w:rFonts w:ascii="Gadugi" w:eastAsia="Malgun Gothic" w:hAnsi="Gadugi" w:cs="Estrangelo Edessa"/>
          <w:sz w:val="24"/>
          <w:szCs w:val="24"/>
        </w:rPr>
        <w:t>L</w:t>
      </w:r>
      <w:r w:rsidR="00983632" w:rsidRPr="001354D9">
        <w:rPr>
          <w:rFonts w:ascii="Gadugi" w:eastAsia="Malgun Gothic" w:hAnsi="Gadugi" w:cs="Estrangelo Edessa"/>
          <w:sz w:val="24"/>
          <w:szCs w:val="24"/>
        </w:rPr>
        <w:t>tda.</w:t>
      </w:r>
      <w:r w:rsidR="00D50C1D" w:rsidRPr="001354D9">
        <w:rPr>
          <w:rFonts w:ascii="Gadugi" w:eastAsia="Malgun Gothic" w:hAnsi="Gadugi" w:cs="Estrangelo Edessa"/>
          <w:sz w:val="24"/>
          <w:szCs w:val="24"/>
        </w:rPr>
        <w:t>”</w:t>
      </w:r>
      <w:r w:rsidR="00983632" w:rsidRPr="001354D9">
        <w:rPr>
          <w:rFonts w:ascii="Gadugi" w:eastAsia="Malgun Gothic" w:hAnsi="Gadugi" w:cs="Estrangelo Edessa"/>
          <w:sz w:val="24"/>
          <w:szCs w:val="24"/>
        </w:rPr>
        <w:t xml:space="preserve">, con placa WHN-047, </w:t>
      </w:r>
      <w:r w:rsidR="00546B5B" w:rsidRPr="001354D9">
        <w:rPr>
          <w:rFonts w:ascii="Gadugi" w:eastAsia="Malgun Gothic" w:hAnsi="Gadugi" w:cs="Estrangelo Edessa"/>
          <w:sz w:val="24"/>
          <w:szCs w:val="24"/>
        </w:rPr>
        <w:t>conducido por Wilson Quiñones Vera</w:t>
      </w:r>
      <w:r w:rsidR="00F93B3C" w:rsidRPr="001354D9">
        <w:rPr>
          <w:rFonts w:ascii="Gadugi" w:eastAsia="Malgun Gothic" w:hAnsi="Gadugi" w:cs="Estrangelo Edessa"/>
          <w:sz w:val="24"/>
          <w:szCs w:val="24"/>
        </w:rPr>
        <w:t>.</w:t>
      </w:r>
    </w:p>
    <w:p w14:paraId="3389422B" w14:textId="33BC4610" w:rsidR="00867773" w:rsidRPr="001354D9" w:rsidRDefault="00867773" w:rsidP="001354D9">
      <w:pPr>
        <w:pStyle w:val="Prrafodelista"/>
        <w:tabs>
          <w:tab w:val="left" w:pos="3402"/>
        </w:tabs>
        <w:spacing w:after="0" w:line="276" w:lineRule="auto"/>
        <w:ind w:left="0" w:firstLine="2835"/>
        <w:jc w:val="both"/>
        <w:rPr>
          <w:rFonts w:ascii="Gadugi" w:eastAsia="Malgun Gothic" w:hAnsi="Gadugi" w:cs="Estrangelo Edessa"/>
          <w:sz w:val="24"/>
          <w:szCs w:val="24"/>
        </w:rPr>
      </w:pPr>
    </w:p>
    <w:p w14:paraId="77E78B8A" w14:textId="5FB011C3" w:rsidR="00867773" w:rsidRPr="001354D9" w:rsidRDefault="00740E65" w:rsidP="001354D9">
      <w:pPr>
        <w:pStyle w:val="Prrafodelista"/>
        <w:tabs>
          <w:tab w:val="left" w:pos="3402"/>
        </w:tabs>
        <w:spacing w:after="0" w:line="276" w:lineRule="auto"/>
        <w:ind w:left="0" w:firstLine="1701"/>
        <w:jc w:val="both"/>
        <w:rPr>
          <w:rFonts w:ascii="Gadugi" w:eastAsia="Malgun Gothic" w:hAnsi="Gadugi" w:cs="Estrangelo Edessa"/>
          <w:sz w:val="24"/>
          <w:szCs w:val="24"/>
        </w:rPr>
      </w:pPr>
      <w:r w:rsidRPr="001354D9">
        <w:rPr>
          <w:rFonts w:ascii="Gadugi" w:eastAsia="Malgun Gothic" w:hAnsi="Gadugi" w:cs="Estrangelo Edessa"/>
          <w:sz w:val="24"/>
          <w:szCs w:val="24"/>
        </w:rPr>
        <w:t>L</w:t>
      </w:r>
      <w:r w:rsidR="00867773" w:rsidRPr="001354D9">
        <w:rPr>
          <w:rFonts w:ascii="Gadugi" w:eastAsia="Malgun Gothic" w:hAnsi="Gadugi" w:cs="Estrangelo Edessa"/>
          <w:sz w:val="24"/>
          <w:szCs w:val="24"/>
        </w:rPr>
        <w:t>a zona donde ocurrió el accidente es residencial, con alto flujo peatonal y donde es</w:t>
      </w:r>
      <w:r w:rsidR="006D11C3" w:rsidRPr="001354D9">
        <w:rPr>
          <w:rFonts w:ascii="Gadugi" w:eastAsia="Malgun Gothic" w:hAnsi="Gadugi" w:cs="Estrangelo Edessa"/>
          <w:sz w:val="24"/>
          <w:szCs w:val="24"/>
        </w:rPr>
        <w:t xml:space="preserve">tá señalado que los vehículos </w:t>
      </w:r>
      <w:r w:rsidR="003E6133" w:rsidRPr="001354D9">
        <w:rPr>
          <w:rFonts w:ascii="Gadugi" w:eastAsia="Malgun Gothic" w:hAnsi="Gadugi" w:cs="Estrangelo Edessa"/>
          <w:sz w:val="24"/>
          <w:szCs w:val="24"/>
        </w:rPr>
        <w:t xml:space="preserve">deben </w:t>
      </w:r>
      <w:r w:rsidR="006D11C3" w:rsidRPr="001354D9">
        <w:rPr>
          <w:rFonts w:ascii="Gadugi" w:eastAsia="Malgun Gothic" w:hAnsi="Gadugi" w:cs="Estrangelo Edessa"/>
          <w:sz w:val="24"/>
          <w:szCs w:val="24"/>
        </w:rPr>
        <w:t>circul</w:t>
      </w:r>
      <w:r w:rsidR="003E6133" w:rsidRPr="001354D9">
        <w:rPr>
          <w:rFonts w:ascii="Gadugi" w:eastAsia="Malgun Gothic" w:hAnsi="Gadugi" w:cs="Estrangelo Edessa"/>
          <w:sz w:val="24"/>
          <w:szCs w:val="24"/>
        </w:rPr>
        <w:t xml:space="preserve">ar </w:t>
      </w:r>
      <w:r w:rsidR="00867773" w:rsidRPr="001354D9">
        <w:rPr>
          <w:rFonts w:ascii="Gadugi" w:eastAsia="Malgun Gothic" w:hAnsi="Gadugi" w:cs="Estrangelo Edessa"/>
          <w:sz w:val="24"/>
          <w:szCs w:val="24"/>
        </w:rPr>
        <w:t xml:space="preserve">con velocidad </w:t>
      </w:r>
      <w:r w:rsidR="003E6133" w:rsidRPr="001354D9">
        <w:rPr>
          <w:rFonts w:ascii="Gadugi" w:eastAsia="Malgun Gothic" w:hAnsi="Gadugi" w:cs="Estrangelo Edessa"/>
          <w:sz w:val="24"/>
          <w:szCs w:val="24"/>
        </w:rPr>
        <w:t xml:space="preserve">inferior </w:t>
      </w:r>
      <w:r w:rsidR="00867773" w:rsidRPr="001354D9">
        <w:rPr>
          <w:rFonts w:ascii="Gadugi" w:eastAsia="Malgun Gothic" w:hAnsi="Gadugi" w:cs="Estrangelo Edessa"/>
          <w:sz w:val="24"/>
          <w:szCs w:val="24"/>
        </w:rPr>
        <w:t>a 30 km.</w:t>
      </w:r>
    </w:p>
    <w:p w14:paraId="30078E24" w14:textId="77777777" w:rsidR="003B7392" w:rsidRPr="001354D9" w:rsidRDefault="003B7392" w:rsidP="001354D9">
      <w:pPr>
        <w:pStyle w:val="Prrafodelista"/>
        <w:tabs>
          <w:tab w:val="left" w:pos="3402"/>
        </w:tabs>
        <w:spacing w:after="0" w:line="276" w:lineRule="auto"/>
        <w:ind w:left="0" w:firstLine="2835"/>
        <w:jc w:val="both"/>
        <w:rPr>
          <w:rFonts w:ascii="Gadugi" w:eastAsia="Malgun Gothic" w:hAnsi="Gadugi" w:cs="Estrangelo Edessa"/>
          <w:sz w:val="24"/>
          <w:szCs w:val="24"/>
        </w:rPr>
      </w:pPr>
    </w:p>
    <w:p w14:paraId="4F0A6A8B" w14:textId="29B3996A" w:rsidR="002271F1" w:rsidRPr="001354D9" w:rsidRDefault="00740E65" w:rsidP="001354D9">
      <w:pPr>
        <w:pStyle w:val="Prrafodelista"/>
        <w:tabs>
          <w:tab w:val="left" w:pos="3402"/>
        </w:tabs>
        <w:spacing w:after="0" w:line="276" w:lineRule="auto"/>
        <w:ind w:left="0" w:firstLine="1701"/>
        <w:jc w:val="both"/>
        <w:rPr>
          <w:rFonts w:ascii="Gadugi" w:eastAsia="Malgun Gothic" w:hAnsi="Gadugi" w:cs="Estrangelo Edessa"/>
          <w:sz w:val="24"/>
          <w:szCs w:val="24"/>
        </w:rPr>
      </w:pPr>
      <w:r w:rsidRPr="001354D9">
        <w:rPr>
          <w:rFonts w:ascii="Gadugi" w:eastAsia="Malgun Gothic" w:hAnsi="Gadugi" w:cs="Estrangelo Edessa"/>
          <w:sz w:val="24"/>
          <w:szCs w:val="24"/>
        </w:rPr>
        <w:t>Inicialmente</w:t>
      </w:r>
      <w:r w:rsidR="00834723" w:rsidRPr="001354D9">
        <w:rPr>
          <w:rFonts w:ascii="Gadugi" w:eastAsia="Malgun Gothic" w:hAnsi="Gadugi" w:cs="Estrangelo Edessa"/>
          <w:sz w:val="24"/>
          <w:szCs w:val="24"/>
        </w:rPr>
        <w:t xml:space="preserve"> f</w:t>
      </w:r>
      <w:r w:rsidR="006D65FA" w:rsidRPr="001354D9">
        <w:rPr>
          <w:rFonts w:ascii="Gadugi" w:eastAsia="Malgun Gothic" w:hAnsi="Gadugi" w:cs="Estrangelo Edessa"/>
          <w:sz w:val="24"/>
          <w:szCs w:val="24"/>
        </w:rPr>
        <w:t>ue atendido en e</w:t>
      </w:r>
      <w:r w:rsidR="00733FEC" w:rsidRPr="001354D9">
        <w:rPr>
          <w:rFonts w:ascii="Gadugi" w:eastAsia="Malgun Gothic" w:hAnsi="Gadugi" w:cs="Estrangelo Edessa"/>
          <w:sz w:val="24"/>
          <w:szCs w:val="24"/>
        </w:rPr>
        <w:t>l Hospital de Guática</w:t>
      </w:r>
      <w:r w:rsidR="006D65FA" w:rsidRPr="001354D9">
        <w:rPr>
          <w:rFonts w:ascii="Gadugi" w:eastAsia="Malgun Gothic" w:hAnsi="Gadugi" w:cs="Estrangelo Edessa"/>
          <w:sz w:val="24"/>
          <w:szCs w:val="24"/>
        </w:rPr>
        <w:t xml:space="preserve">, </w:t>
      </w:r>
      <w:r w:rsidR="006D11C3" w:rsidRPr="001354D9">
        <w:rPr>
          <w:rFonts w:ascii="Gadugi" w:eastAsia="Malgun Gothic" w:hAnsi="Gadugi" w:cs="Estrangelo Edessa"/>
          <w:sz w:val="24"/>
          <w:szCs w:val="24"/>
        </w:rPr>
        <w:t xml:space="preserve">pero </w:t>
      </w:r>
      <w:r w:rsidR="006D65FA" w:rsidRPr="001354D9">
        <w:rPr>
          <w:rFonts w:ascii="Gadugi" w:eastAsia="Malgun Gothic" w:hAnsi="Gadugi" w:cs="Estrangelo Edessa"/>
          <w:sz w:val="24"/>
          <w:szCs w:val="24"/>
        </w:rPr>
        <w:t xml:space="preserve">ante la falta de equipos </w:t>
      </w:r>
      <w:r w:rsidR="00305724" w:rsidRPr="001354D9">
        <w:rPr>
          <w:rFonts w:ascii="Gadugi" w:eastAsia="Malgun Gothic" w:hAnsi="Gadugi" w:cs="Estrangelo Edessa"/>
          <w:sz w:val="24"/>
          <w:szCs w:val="24"/>
        </w:rPr>
        <w:t>de</w:t>
      </w:r>
      <w:r w:rsidR="006D65FA" w:rsidRPr="001354D9">
        <w:rPr>
          <w:rFonts w:ascii="Gadugi" w:eastAsia="Malgun Gothic" w:hAnsi="Gadugi" w:cs="Estrangelo Edessa"/>
          <w:sz w:val="24"/>
          <w:szCs w:val="24"/>
        </w:rPr>
        <w:t xml:space="preserve"> RX fue remitido al Hospital San Jorge de esta ciudad</w:t>
      </w:r>
      <w:r w:rsidR="00305724" w:rsidRPr="001354D9">
        <w:rPr>
          <w:rFonts w:ascii="Gadugi" w:eastAsia="Malgun Gothic" w:hAnsi="Gadugi" w:cs="Estrangelo Edessa"/>
          <w:sz w:val="24"/>
          <w:szCs w:val="24"/>
        </w:rPr>
        <w:t xml:space="preserve">; </w:t>
      </w:r>
      <w:r w:rsidR="006D65FA" w:rsidRPr="001354D9">
        <w:rPr>
          <w:rFonts w:ascii="Gadugi" w:eastAsia="Malgun Gothic" w:hAnsi="Gadugi" w:cs="Estrangelo Edessa"/>
          <w:sz w:val="24"/>
          <w:szCs w:val="24"/>
        </w:rPr>
        <w:t xml:space="preserve">Medicina Legal </w:t>
      </w:r>
      <w:r w:rsidR="00305724" w:rsidRPr="001354D9">
        <w:rPr>
          <w:rFonts w:ascii="Gadugi" w:eastAsia="Malgun Gothic" w:hAnsi="Gadugi" w:cs="Estrangelo Edessa"/>
          <w:sz w:val="24"/>
          <w:szCs w:val="24"/>
        </w:rPr>
        <w:t xml:space="preserve">dictaminó que </w:t>
      </w:r>
      <w:r w:rsidR="006D65FA" w:rsidRPr="001354D9">
        <w:rPr>
          <w:rFonts w:ascii="Gadugi" w:eastAsia="Malgun Gothic" w:hAnsi="Gadugi" w:cs="Estrangelo Edessa"/>
          <w:sz w:val="24"/>
          <w:szCs w:val="24"/>
        </w:rPr>
        <w:t xml:space="preserve">sufrió </w:t>
      </w:r>
      <w:r w:rsidR="00305724" w:rsidRPr="001354D9">
        <w:rPr>
          <w:rFonts w:ascii="Gadugi" w:eastAsia="Malgun Gothic" w:hAnsi="Gadugi" w:cs="Estrangelo Edessa"/>
          <w:sz w:val="24"/>
          <w:szCs w:val="24"/>
        </w:rPr>
        <w:t>“</w:t>
      </w:r>
      <w:r w:rsidR="006D65FA" w:rsidRPr="001354D9">
        <w:rPr>
          <w:rFonts w:ascii="Gadugi" w:eastAsia="Malgun Gothic" w:hAnsi="Gadugi" w:cs="Estrangelo Edessa"/>
          <w:i/>
          <w:iCs/>
          <w:sz w:val="24"/>
          <w:szCs w:val="24"/>
        </w:rPr>
        <w:t xml:space="preserve">mecanismo traumático de lesión: contundente, incapacidad médico legal DEFINITIVA DE CUARENTA Y CINCO (45) DÍAS. SECUELAS MÉDICO LEGALES: Perturbación funcional </w:t>
      </w:r>
      <w:r w:rsidR="005E1524" w:rsidRPr="001354D9">
        <w:rPr>
          <w:rFonts w:ascii="Gadugi" w:eastAsia="Malgun Gothic" w:hAnsi="Gadugi" w:cs="Estrangelo Edessa"/>
          <w:i/>
          <w:sz w:val="24"/>
          <w:szCs w:val="24"/>
        </w:rPr>
        <w:t>de</w:t>
      </w:r>
      <w:r w:rsidR="006D65FA" w:rsidRPr="001354D9">
        <w:rPr>
          <w:rFonts w:ascii="Gadugi" w:eastAsia="Malgun Gothic" w:hAnsi="Gadugi" w:cs="Estrangelo Edessa"/>
          <w:i/>
          <w:sz w:val="24"/>
          <w:szCs w:val="24"/>
        </w:rPr>
        <w:t xml:space="preserve"> miembros superiores de carácter permanente, Perturbación funcional de</w:t>
      </w:r>
      <w:r w:rsidR="005E1524" w:rsidRPr="001354D9">
        <w:rPr>
          <w:rFonts w:ascii="Gadugi" w:eastAsia="Malgun Gothic" w:hAnsi="Gadugi" w:cs="Estrangelo Edessa"/>
          <w:i/>
          <w:sz w:val="24"/>
          <w:szCs w:val="24"/>
        </w:rPr>
        <w:t xml:space="preserve"> órgano del sistema nervioso central de carácter permanente</w:t>
      </w:r>
      <w:r w:rsidR="005E1524" w:rsidRPr="001354D9">
        <w:rPr>
          <w:rFonts w:ascii="Gadugi" w:eastAsia="Malgun Gothic" w:hAnsi="Gadugi" w:cs="Estrangelo Edessa"/>
          <w:sz w:val="24"/>
          <w:szCs w:val="24"/>
        </w:rPr>
        <w:t>”</w:t>
      </w:r>
    </w:p>
    <w:p w14:paraId="5DA62758" w14:textId="69191B4B" w:rsidR="002271F1" w:rsidRPr="001354D9" w:rsidRDefault="002271F1" w:rsidP="001354D9">
      <w:pPr>
        <w:pStyle w:val="Prrafodelista"/>
        <w:tabs>
          <w:tab w:val="left" w:pos="3402"/>
        </w:tabs>
        <w:spacing w:after="0" w:line="276" w:lineRule="auto"/>
        <w:ind w:left="0" w:firstLine="2835"/>
        <w:jc w:val="both"/>
        <w:rPr>
          <w:rFonts w:ascii="Gadugi" w:eastAsia="Malgun Gothic" w:hAnsi="Gadugi" w:cs="Estrangelo Edessa"/>
          <w:sz w:val="24"/>
          <w:szCs w:val="24"/>
        </w:rPr>
      </w:pPr>
    </w:p>
    <w:p w14:paraId="0338FB98" w14:textId="3863BF26" w:rsidR="005E1524" w:rsidRPr="001354D9" w:rsidRDefault="006D11C3" w:rsidP="001354D9">
      <w:pPr>
        <w:pStyle w:val="Prrafodelista"/>
        <w:tabs>
          <w:tab w:val="left" w:pos="3402"/>
        </w:tabs>
        <w:spacing w:after="0" w:line="276" w:lineRule="auto"/>
        <w:ind w:left="0" w:firstLine="1701"/>
        <w:jc w:val="both"/>
        <w:rPr>
          <w:rFonts w:ascii="Gadugi" w:eastAsia="Malgun Gothic" w:hAnsi="Gadugi" w:cs="Estrangelo Edessa"/>
          <w:sz w:val="24"/>
          <w:szCs w:val="24"/>
        </w:rPr>
      </w:pPr>
      <w:r w:rsidRPr="001354D9">
        <w:rPr>
          <w:rFonts w:ascii="Gadugi" w:eastAsia="Malgun Gothic" w:hAnsi="Gadugi" w:cs="Estrangelo Edessa"/>
          <w:sz w:val="24"/>
          <w:szCs w:val="24"/>
        </w:rPr>
        <w:t>Asegura que</w:t>
      </w:r>
      <w:r w:rsidR="00962CFE" w:rsidRPr="001354D9">
        <w:rPr>
          <w:rFonts w:ascii="Gadugi" w:eastAsia="Malgun Gothic" w:hAnsi="Gadugi" w:cs="Estrangelo Edessa"/>
          <w:sz w:val="24"/>
          <w:szCs w:val="24"/>
        </w:rPr>
        <w:t xml:space="preserve"> </w:t>
      </w:r>
      <w:r w:rsidR="002F4B25" w:rsidRPr="001354D9">
        <w:rPr>
          <w:rFonts w:ascii="Gadugi" w:eastAsia="Malgun Gothic" w:hAnsi="Gadugi" w:cs="Estrangelo Edessa"/>
          <w:sz w:val="24"/>
          <w:szCs w:val="24"/>
        </w:rPr>
        <w:t>era cabeza de familia</w:t>
      </w:r>
      <w:r w:rsidR="00305724" w:rsidRPr="001354D9">
        <w:rPr>
          <w:rFonts w:ascii="Gadugi" w:eastAsia="Malgun Gothic" w:hAnsi="Gadugi" w:cs="Estrangelo Edessa"/>
          <w:sz w:val="24"/>
          <w:szCs w:val="24"/>
        </w:rPr>
        <w:t>,</w:t>
      </w:r>
      <w:r w:rsidR="002F4B25" w:rsidRPr="001354D9">
        <w:rPr>
          <w:rFonts w:ascii="Gadugi" w:eastAsia="Malgun Gothic" w:hAnsi="Gadugi" w:cs="Estrangelo Edessa"/>
          <w:sz w:val="24"/>
          <w:szCs w:val="24"/>
        </w:rPr>
        <w:t xml:space="preserve"> puesto que</w:t>
      </w:r>
      <w:r w:rsidR="00305724" w:rsidRPr="001354D9">
        <w:rPr>
          <w:rFonts w:ascii="Gadugi" w:eastAsia="Malgun Gothic" w:hAnsi="Gadugi" w:cs="Estrangelo Edessa"/>
          <w:sz w:val="24"/>
          <w:szCs w:val="24"/>
        </w:rPr>
        <w:t>,</w:t>
      </w:r>
      <w:r w:rsidR="002F4B25" w:rsidRPr="001354D9">
        <w:rPr>
          <w:rFonts w:ascii="Gadugi" w:eastAsia="Malgun Gothic" w:hAnsi="Gadugi" w:cs="Estrangelo Edessa"/>
          <w:sz w:val="24"/>
          <w:szCs w:val="24"/>
        </w:rPr>
        <w:t xml:space="preserve"> producto de su trabajo como agricultor</w:t>
      </w:r>
      <w:r w:rsidR="00305724" w:rsidRPr="001354D9">
        <w:rPr>
          <w:rFonts w:ascii="Gadugi" w:eastAsia="Malgun Gothic" w:hAnsi="Gadugi" w:cs="Estrangelo Edessa"/>
          <w:sz w:val="24"/>
          <w:szCs w:val="24"/>
        </w:rPr>
        <w:t>,</w:t>
      </w:r>
      <w:r w:rsidR="002F4B25" w:rsidRPr="001354D9">
        <w:rPr>
          <w:rFonts w:ascii="Gadugi" w:eastAsia="Malgun Gothic" w:hAnsi="Gadugi" w:cs="Estrangelo Edessa"/>
          <w:sz w:val="24"/>
          <w:szCs w:val="24"/>
        </w:rPr>
        <w:t xml:space="preserve"> percibía un salario mínimo para su propio sustento y el de su núcleo familiar, </w:t>
      </w:r>
      <w:r w:rsidR="00962CFE" w:rsidRPr="001354D9">
        <w:rPr>
          <w:rFonts w:ascii="Gadugi" w:eastAsia="Malgun Gothic" w:hAnsi="Gadugi" w:cs="Estrangelo Edessa"/>
          <w:sz w:val="24"/>
          <w:szCs w:val="24"/>
        </w:rPr>
        <w:t xml:space="preserve">destinado para cubrir </w:t>
      </w:r>
      <w:r w:rsidR="002F4B25" w:rsidRPr="001354D9">
        <w:rPr>
          <w:rFonts w:ascii="Gadugi" w:eastAsia="Malgun Gothic" w:hAnsi="Gadugi" w:cs="Estrangelo Edessa"/>
          <w:sz w:val="24"/>
          <w:szCs w:val="24"/>
        </w:rPr>
        <w:t xml:space="preserve">arriendo, servicios y alimentación, sin embargo, </w:t>
      </w:r>
      <w:r w:rsidR="003407D9" w:rsidRPr="001354D9">
        <w:rPr>
          <w:rFonts w:ascii="Gadugi" w:eastAsia="Malgun Gothic" w:hAnsi="Gadugi" w:cs="Estrangelo Edessa"/>
          <w:sz w:val="24"/>
          <w:szCs w:val="24"/>
        </w:rPr>
        <w:t>ante la imposibilidad de laborar, para cubrir esos gastos se ha</w:t>
      </w:r>
      <w:r w:rsidR="00962CFE" w:rsidRPr="001354D9">
        <w:rPr>
          <w:rFonts w:ascii="Gadugi" w:eastAsia="Malgun Gothic" w:hAnsi="Gadugi" w:cs="Estrangelo Edessa"/>
          <w:sz w:val="24"/>
          <w:szCs w:val="24"/>
        </w:rPr>
        <w:t>n</w:t>
      </w:r>
      <w:r w:rsidR="003407D9" w:rsidRPr="001354D9">
        <w:rPr>
          <w:rFonts w:ascii="Gadugi" w:eastAsia="Malgun Gothic" w:hAnsi="Gadugi" w:cs="Estrangelo Edessa"/>
          <w:sz w:val="24"/>
          <w:szCs w:val="24"/>
        </w:rPr>
        <w:t xml:space="preserve"> visto </w:t>
      </w:r>
      <w:r w:rsidR="00305724" w:rsidRPr="001354D9">
        <w:rPr>
          <w:rFonts w:ascii="Gadugi" w:eastAsia="Malgun Gothic" w:hAnsi="Gadugi" w:cs="Estrangelo Edessa"/>
          <w:sz w:val="24"/>
          <w:szCs w:val="24"/>
        </w:rPr>
        <w:t xml:space="preserve">sometidos </w:t>
      </w:r>
      <w:r w:rsidR="003407D9" w:rsidRPr="001354D9">
        <w:rPr>
          <w:rFonts w:ascii="Gadugi" w:eastAsia="Malgun Gothic" w:hAnsi="Gadugi" w:cs="Estrangelo Edessa"/>
          <w:sz w:val="24"/>
          <w:szCs w:val="24"/>
        </w:rPr>
        <w:t>a recibir ayuda económica de terceros</w:t>
      </w:r>
      <w:r w:rsidR="00962CFE" w:rsidRPr="001354D9">
        <w:rPr>
          <w:rFonts w:ascii="Gadugi" w:eastAsia="Malgun Gothic" w:hAnsi="Gadugi" w:cs="Estrangelo Edessa"/>
          <w:sz w:val="24"/>
          <w:szCs w:val="24"/>
        </w:rPr>
        <w:t xml:space="preserve">. Agrega que se le dificulta realizar actividades cotidianas, como también recreativas, sociales y educativas. </w:t>
      </w:r>
    </w:p>
    <w:p w14:paraId="6309C3CE" w14:textId="08A9B0CC" w:rsidR="00962CFE" w:rsidRPr="001354D9" w:rsidRDefault="00962CFE" w:rsidP="001354D9">
      <w:pPr>
        <w:pStyle w:val="Prrafodelista"/>
        <w:tabs>
          <w:tab w:val="left" w:pos="3402"/>
        </w:tabs>
        <w:spacing w:after="0" w:line="276" w:lineRule="auto"/>
        <w:ind w:left="0" w:firstLine="2835"/>
        <w:jc w:val="both"/>
        <w:rPr>
          <w:rFonts w:ascii="Gadugi" w:eastAsia="Malgun Gothic" w:hAnsi="Gadugi" w:cs="Estrangelo Edessa"/>
          <w:sz w:val="24"/>
          <w:szCs w:val="24"/>
        </w:rPr>
      </w:pPr>
    </w:p>
    <w:p w14:paraId="70F0385B" w14:textId="1EAFCD30" w:rsidR="00962CFE" w:rsidRPr="001354D9" w:rsidRDefault="00962CFE" w:rsidP="001354D9">
      <w:pPr>
        <w:pStyle w:val="Prrafodelista"/>
        <w:tabs>
          <w:tab w:val="left" w:pos="3402"/>
        </w:tabs>
        <w:spacing w:after="0" w:line="276" w:lineRule="auto"/>
        <w:ind w:left="0" w:firstLine="1701"/>
        <w:jc w:val="both"/>
        <w:rPr>
          <w:rFonts w:ascii="Gadugi" w:eastAsia="Malgun Gothic" w:hAnsi="Gadugi" w:cs="Estrangelo Edessa"/>
          <w:sz w:val="24"/>
          <w:szCs w:val="24"/>
        </w:rPr>
      </w:pPr>
      <w:r w:rsidRPr="001354D9">
        <w:rPr>
          <w:rFonts w:ascii="Gadugi" w:eastAsia="Malgun Gothic" w:hAnsi="Gadugi" w:cs="Estrangelo Edessa"/>
          <w:sz w:val="24"/>
          <w:szCs w:val="24"/>
        </w:rPr>
        <w:t xml:space="preserve">Finalmente indicó que, presentó propuesta de arreglo ante </w:t>
      </w:r>
      <w:r w:rsidR="00174C11" w:rsidRPr="001354D9">
        <w:rPr>
          <w:rFonts w:ascii="Gadugi" w:eastAsia="Malgun Gothic" w:hAnsi="Gadugi" w:cs="Estrangelo Edessa"/>
          <w:sz w:val="24"/>
          <w:szCs w:val="24"/>
        </w:rPr>
        <w:t xml:space="preserve">la aseguradora </w:t>
      </w:r>
      <w:r w:rsidRPr="001354D9">
        <w:rPr>
          <w:rFonts w:ascii="Gadugi" w:eastAsia="Malgun Gothic" w:hAnsi="Gadugi" w:cs="Estrangelo Edessa"/>
          <w:sz w:val="24"/>
          <w:szCs w:val="24"/>
        </w:rPr>
        <w:t xml:space="preserve">Suramericana y no recibió respuesta y las conciliaciones adelantadas en proceso penal </w:t>
      </w:r>
      <w:r w:rsidR="00FD53F7" w:rsidRPr="001354D9">
        <w:rPr>
          <w:rFonts w:ascii="Gadugi" w:eastAsia="Malgun Gothic" w:hAnsi="Gadugi" w:cs="Estrangelo Edessa"/>
          <w:sz w:val="24"/>
          <w:szCs w:val="24"/>
        </w:rPr>
        <w:t xml:space="preserve">y en centro de conciliación resultaron fallidas. </w:t>
      </w:r>
    </w:p>
    <w:p w14:paraId="25F253A1" w14:textId="5C7F0873" w:rsidR="00324FD1" w:rsidRPr="001354D9" w:rsidRDefault="00324FD1" w:rsidP="001354D9">
      <w:pPr>
        <w:pStyle w:val="Prrafodelista"/>
        <w:tabs>
          <w:tab w:val="left" w:pos="3402"/>
        </w:tabs>
        <w:spacing w:after="0" w:line="276" w:lineRule="auto"/>
        <w:ind w:left="0" w:firstLine="2835"/>
        <w:jc w:val="both"/>
        <w:rPr>
          <w:rFonts w:ascii="Gadugi" w:eastAsia="Malgun Gothic" w:hAnsi="Gadugi" w:cs="Estrangelo Edessa"/>
          <w:sz w:val="24"/>
          <w:szCs w:val="24"/>
        </w:rPr>
      </w:pPr>
    </w:p>
    <w:p w14:paraId="4B478E1C" w14:textId="41FC1D86" w:rsidR="002271F1" w:rsidRPr="001354D9" w:rsidRDefault="002271F1" w:rsidP="001354D9">
      <w:pPr>
        <w:pStyle w:val="Prrafodelista"/>
        <w:numPr>
          <w:ilvl w:val="1"/>
          <w:numId w:val="1"/>
        </w:numPr>
        <w:tabs>
          <w:tab w:val="left" w:pos="3402"/>
        </w:tabs>
        <w:spacing w:after="0" w:line="276" w:lineRule="auto"/>
        <w:ind w:left="2410" w:hanging="709"/>
        <w:jc w:val="both"/>
        <w:rPr>
          <w:rFonts w:ascii="Gadugi" w:eastAsia="Calibri" w:hAnsi="Gadugi" w:cs="Times New Roman"/>
          <w:sz w:val="24"/>
          <w:szCs w:val="24"/>
        </w:rPr>
      </w:pPr>
      <w:r w:rsidRPr="001354D9">
        <w:rPr>
          <w:rFonts w:ascii="Gadugi" w:eastAsia="Calibri" w:hAnsi="Gadugi" w:cs="Times New Roman"/>
          <w:b/>
          <w:sz w:val="24"/>
          <w:szCs w:val="24"/>
        </w:rPr>
        <w:lastRenderedPageBreak/>
        <w:t>Pretensiones</w:t>
      </w:r>
      <w:r w:rsidR="005E3605" w:rsidRPr="001354D9">
        <w:rPr>
          <w:rStyle w:val="Refdenotaalpie"/>
          <w:rFonts w:ascii="Gadugi" w:eastAsia="Calibri" w:hAnsi="Gadugi" w:cs="Times New Roman"/>
          <w:b/>
          <w:sz w:val="24"/>
          <w:szCs w:val="24"/>
        </w:rPr>
        <w:footnoteReference w:id="2"/>
      </w:r>
    </w:p>
    <w:p w14:paraId="000583F6" w14:textId="77777777" w:rsidR="005E3605" w:rsidRPr="001354D9" w:rsidRDefault="005E3605" w:rsidP="001354D9">
      <w:pPr>
        <w:pStyle w:val="Prrafodelista"/>
        <w:tabs>
          <w:tab w:val="left" w:pos="3402"/>
        </w:tabs>
        <w:spacing w:after="0" w:line="276" w:lineRule="auto"/>
        <w:ind w:left="2835"/>
        <w:jc w:val="both"/>
        <w:rPr>
          <w:rFonts w:ascii="Gadugi" w:eastAsia="Calibri" w:hAnsi="Gadugi" w:cs="Times New Roman"/>
          <w:sz w:val="24"/>
          <w:szCs w:val="24"/>
        </w:rPr>
      </w:pPr>
    </w:p>
    <w:p w14:paraId="74ED10A8" w14:textId="5CC7CAB8" w:rsidR="00A70CE9" w:rsidRPr="001354D9" w:rsidRDefault="002271F1" w:rsidP="001354D9">
      <w:pPr>
        <w:pStyle w:val="Prrafodelista"/>
        <w:tabs>
          <w:tab w:val="left" w:pos="3402"/>
        </w:tabs>
        <w:spacing w:after="0" w:line="276" w:lineRule="auto"/>
        <w:ind w:left="0" w:firstLine="1701"/>
        <w:jc w:val="both"/>
        <w:rPr>
          <w:rFonts w:ascii="Gadugi" w:eastAsia="Calibri" w:hAnsi="Gadugi" w:cs="Times New Roman"/>
          <w:sz w:val="24"/>
          <w:szCs w:val="24"/>
        </w:rPr>
      </w:pPr>
      <w:r w:rsidRPr="001354D9">
        <w:rPr>
          <w:rFonts w:ascii="Gadugi" w:eastAsia="Calibri" w:hAnsi="Gadugi" w:cs="Times New Roman"/>
          <w:sz w:val="24"/>
          <w:szCs w:val="24"/>
        </w:rPr>
        <w:t>Con sustento en lo dicho</w:t>
      </w:r>
      <w:r w:rsidR="0029568C" w:rsidRPr="001354D9">
        <w:rPr>
          <w:rFonts w:ascii="Gadugi" w:eastAsia="Calibri" w:hAnsi="Gadugi" w:cs="Times New Roman"/>
          <w:sz w:val="24"/>
          <w:szCs w:val="24"/>
        </w:rPr>
        <w:t>,</w:t>
      </w:r>
      <w:r w:rsidRPr="001354D9">
        <w:rPr>
          <w:rFonts w:ascii="Gadugi" w:eastAsia="Calibri" w:hAnsi="Gadugi" w:cs="Times New Roman"/>
          <w:sz w:val="24"/>
          <w:szCs w:val="24"/>
        </w:rPr>
        <w:t xml:space="preserve"> </w:t>
      </w:r>
      <w:r w:rsidR="001717FC" w:rsidRPr="001354D9">
        <w:rPr>
          <w:rFonts w:ascii="Gadugi" w:eastAsia="Calibri" w:hAnsi="Gadugi" w:cs="Times New Roman"/>
          <w:sz w:val="24"/>
          <w:szCs w:val="24"/>
        </w:rPr>
        <w:t>l</w:t>
      </w:r>
      <w:r w:rsidR="00125868" w:rsidRPr="001354D9">
        <w:rPr>
          <w:rFonts w:ascii="Gadugi" w:eastAsia="Calibri" w:hAnsi="Gadugi" w:cs="Times New Roman"/>
          <w:sz w:val="24"/>
          <w:szCs w:val="24"/>
        </w:rPr>
        <w:t>os</w:t>
      </w:r>
      <w:r w:rsidR="00BA5B0F" w:rsidRPr="001354D9">
        <w:rPr>
          <w:rFonts w:ascii="Gadugi" w:eastAsia="Calibri" w:hAnsi="Gadugi" w:cs="Times New Roman"/>
          <w:sz w:val="24"/>
          <w:szCs w:val="24"/>
        </w:rPr>
        <w:t xml:space="preserve"> demandante</w:t>
      </w:r>
      <w:r w:rsidR="00125868" w:rsidRPr="001354D9">
        <w:rPr>
          <w:rFonts w:ascii="Gadugi" w:eastAsia="Calibri" w:hAnsi="Gadugi" w:cs="Times New Roman"/>
          <w:sz w:val="24"/>
          <w:szCs w:val="24"/>
        </w:rPr>
        <w:t>s</w:t>
      </w:r>
      <w:r w:rsidR="00BA5B0F" w:rsidRPr="001354D9">
        <w:rPr>
          <w:rFonts w:ascii="Gadugi" w:eastAsia="Calibri" w:hAnsi="Gadugi" w:cs="Times New Roman"/>
          <w:sz w:val="24"/>
          <w:szCs w:val="24"/>
        </w:rPr>
        <w:t xml:space="preserve"> solicit</w:t>
      </w:r>
      <w:r w:rsidR="00125868" w:rsidRPr="001354D9">
        <w:rPr>
          <w:rFonts w:ascii="Gadugi" w:eastAsia="Calibri" w:hAnsi="Gadugi" w:cs="Times New Roman"/>
          <w:sz w:val="24"/>
          <w:szCs w:val="24"/>
        </w:rPr>
        <w:t xml:space="preserve">aron </w:t>
      </w:r>
      <w:r w:rsidRPr="001354D9">
        <w:rPr>
          <w:rFonts w:ascii="Gadugi" w:eastAsia="Calibri" w:hAnsi="Gadugi" w:cs="Times New Roman"/>
          <w:sz w:val="24"/>
          <w:szCs w:val="24"/>
        </w:rPr>
        <w:t xml:space="preserve">(i) </w:t>
      </w:r>
      <w:r w:rsidR="001717FC" w:rsidRPr="001354D9">
        <w:rPr>
          <w:rFonts w:ascii="Gadugi" w:eastAsia="Calibri" w:hAnsi="Gadugi" w:cs="Times New Roman"/>
          <w:sz w:val="24"/>
          <w:szCs w:val="24"/>
        </w:rPr>
        <w:t xml:space="preserve">que se </w:t>
      </w:r>
      <w:r w:rsidR="00A70CE9" w:rsidRPr="001354D9">
        <w:rPr>
          <w:rFonts w:ascii="Gadugi" w:eastAsia="Calibri" w:hAnsi="Gadugi" w:cs="Times New Roman"/>
          <w:sz w:val="24"/>
          <w:szCs w:val="24"/>
        </w:rPr>
        <w:t>declar</w:t>
      </w:r>
      <w:r w:rsidR="00834723" w:rsidRPr="001354D9">
        <w:rPr>
          <w:rFonts w:ascii="Gadugi" w:eastAsia="Calibri" w:hAnsi="Gadugi" w:cs="Times New Roman"/>
          <w:sz w:val="24"/>
          <w:szCs w:val="24"/>
        </w:rPr>
        <w:t>ara</w:t>
      </w:r>
      <w:r w:rsidR="00A70CE9" w:rsidRPr="001354D9">
        <w:rPr>
          <w:rFonts w:ascii="Gadugi" w:eastAsia="Calibri" w:hAnsi="Gadugi" w:cs="Times New Roman"/>
          <w:sz w:val="24"/>
          <w:szCs w:val="24"/>
        </w:rPr>
        <w:t xml:space="preserve"> </w:t>
      </w:r>
      <w:r w:rsidR="001717FC" w:rsidRPr="001354D9">
        <w:rPr>
          <w:rFonts w:ascii="Gadugi" w:eastAsia="Calibri" w:hAnsi="Gadugi" w:cs="Times New Roman"/>
          <w:sz w:val="24"/>
          <w:szCs w:val="24"/>
        </w:rPr>
        <w:t>civil</w:t>
      </w:r>
      <w:r w:rsidR="00125868" w:rsidRPr="001354D9">
        <w:rPr>
          <w:rFonts w:ascii="Gadugi" w:eastAsia="Calibri" w:hAnsi="Gadugi" w:cs="Times New Roman"/>
          <w:sz w:val="24"/>
          <w:szCs w:val="24"/>
        </w:rPr>
        <w:t xml:space="preserve"> </w:t>
      </w:r>
      <w:r w:rsidR="001717FC" w:rsidRPr="001354D9">
        <w:rPr>
          <w:rFonts w:ascii="Gadugi" w:eastAsia="Calibri" w:hAnsi="Gadugi" w:cs="Times New Roman"/>
          <w:sz w:val="24"/>
          <w:szCs w:val="24"/>
        </w:rPr>
        <w:t xml:space="preserve">y solidariamente </w:t>
      </w:r>
      <w:r w:rsidR="00125868" w:rsidRPr="001354D9">
        <w:rPr>
          <w:rFonts w:ascii="Gadugi" w:eastAsia="Calibri" w:hAnsi="Gadugi" w:cs="Times New Roman"/>
          <w:sz w:val="24"/>
          <w:szCs w:val="24"/>
        </w:rPr>
        <w:t xml:space="preserve">responsables </w:t>
      </w:r>
      <w:r w:rsidR="001717FC" w:rsidRPr="001354D9">
        <w:rPr>
          <w:rFonts w:ascii="Gadugi" w:eastAsia="Calibri" w:hAnsi="Gadugi" w:cs="Times New Roman"/>
          <w:sz w:val="24"/>
          <w:szCs w:val="24"/>
        </w:rPr>
        <w:t>al</w:t>
      </w:r>
      <w:r w:rsidR="00BF70AB" w:rsidRPr="001354D9">
        <w:rPr>
          <w:rFonts w:ascii="Gadugi" w:eastAsia="Calibri" w:hAnsi="Gadugi" w:cs="Times New Roman"/>
          <w:sz w:val="24"/>
          <w:szCs w:val="24"/>
        </w:rPr>
        <w:t xml:space="preserve"> señor Wilson Quiñones Vera y a la </w:t>
      </w:r>
      <w:r w:rsidR="0029568C" w:rsidRPr="001354D9">
        <w:rPr>
          <w:rFonts w:ascii="Gadugi" w:eastAsia="Calibri" w:hAnsi="Gadugi" w:cs="Times New Roman"/>
          <w:sz w:val="24"/>
          <w:szCs w:val="24"/>
        </w:rPr>
        <w:t xml:space="preserve">Distribuidora </w:t>
      </w:r>
      <w:r w:rsidR="00BF70AB" w:rsidRPr="001354D9">
        <w:rPr>
          <w:rFonts w:ascii="Gadugi" w:eastAsia="Calibri" w:hAnsi="Gadugi" w:cs="Times New Roman"/>
          <w:sz w:val="24"/>
          <w:szCs w:val="24"/>
        </w:rPr>
        <w:t xml:space="preserve">Papelería Los Mayoristas </w:t>
      </w:r>
      <w:r w:rsidR="0029568C" w:rsidRPr="001354D9">
        <w:rPr>
          <w:rFonts w:ascii="Gadugi" w:eastAsia="Calibri" w:hAnsi="Gadugi" w:cs="Times New Roman"/>
          <w:sz w:val="24"/>
          <w:szCs w:val="24"/>
        </w:rPr>
        <w:t>“</w:t>
      </w:r>
      <w:r w:rsidR="00BF70AB" w:rsidRPr="001354D9">
        <w:rPr>
          <w:rFonts w:ascii="Gadugi" w:eastAsia="Calibri" w:hAnsi="Gadugi" w:cs="Times New Roman"/>
          <w:sz w:val="24"/>
          <w:szCs w:val="24"/>
        </w:rPr>
        <w:t>Ltda.</w:t>
      </w:r>
      <w:r w:rsidR="0029568C" w:rsidRPr="001354D9">
        <w:rPr>
          <w:rFonts w:ascii="Gadugi" w:eastAsia="Calibri" w:hAnsi="Gadugi" w:cs="Times New Roman"/>
          <w:sz w:val="24"/>
          <w:szCs w:val="24"/>
        </w:rPr>
        <w:t>” (sic)</w:t>
      </w:r>
      <w:r w:rsidR="00BF70AB" w:rsidRPr="001354D9">
        <w:rPr>
          <w:rFonts w:ascii="Gadugi" w:eastAsia="Calibri" w:hAnsi="Gadugi" w:cs="Times New Roman"/>
          <w:sz w:val="24"/>
          <w:szCs w:val="24"/>
        </w:rPr>
        <w:t xml:space="preserve">, </w:t>
      </w:r>
      <w:r w:rsidR="001717FC" w:rsidRPr="001354D9">
        <w:rPr>
          <w:rFonts w:ascii="Gadugi" w:eastAsia="Calibri" w:hAnsi="Gadugi" w:cs="Times New Roman"/>
          <w:sz w:val="24"/>
          <w:szCs w:val="24"/>
        </w:rPr>
        <w:t xml:space="preserve">por los daños </w:t>
      </w:r>
      <w:r w:rsidR="00AA4F84" w:rsidRPr="001354D9">
        <w:rPr>
          <w:rFonts w:ascii="Gadugi" w:eastAsia="Calibri" w:hAnsi="Gadugi" w:cs="Times New Roman"/>
          <w:sz w:val="24"/>
          <w:szCs w:val="24"/>
        </w:rPr>
        <w:t>antijurídicos</w:t>
      </w:r>
      <w:r w:rsidR="001717FC" w:rsidRPr="001354D9">
        <w:rPr>
          <w:rFonts w:ascii="Gadugi" w:eastAsia="Calibri" w:hAnsi="Gadugi" w:cs="Times New Roman"/>
          <w:sz w:val="24"/>
          <w:szCs w:val="24"/>
        </w:rPr>
        <w:t xml:space="preserve"> ocasionados </w:t>
      </w:r>
      <w:r w:rsidR="00BF70AB" w:rsidRPr="001354D9">
        <w:rPr>
          <w:rFonts w:ascii="Gadugi" w:eastAsia="Calibri" w:hAnsi="Gadugi" w:cs="Times New Roman"/>
          <w:sz w:val="24"/>
          <w:szCs w:val="24"/>
        </w:rPr>
        <w:t>y</w:t>
      </w:r>
      <w:r w:rsidR="00834723" w:rsidRPr="001354D9">
        <w:rPr>
          <w:rFonts w:ascii="Gadugi" w:eastAsia="Calibri" w:hAnsi="Gadugi" w:cs="Times New Roman"/>
          <w:sz w:val="24"/>
          <w:szCs w:val="24"/>
        </w:rPr>
        <w:t>,</w:t>
      </w:r>
      <w:r w:rsidR="00BF70AB" w:rsidRPr="001354D9">
        <w:rPr>
          <w:rFonts w:ascii="Gadugi" w:eastAsia="Calibri" w:hAnsi="Gadugi" w:cs="Times New Roman"/>
          <w:sz w:val="24"/>
          <w:szCs w:val="24"/>
        </w:rPr>
        <w:t xml:space="preserve"> como consecuencia de ello, se les conden</w:t>
      </w:r>
      <w:r w:rsidR="00834723" w:rsidRPr="001354D9">
        <w:rPr>
          <w:rFonts w:ascii="Gadugi" w:eastAsia="Calibri" w:hAnsi="Gadugi" w:cs="Times New Roman"/>
          <w:sz w:val="24"/>
          <w:szCs w:val="24"/>
        </w:rPr>
        <w:t>ara</w:t>
      </w:r>
      <w:r w:rsidR="00BF70AB" w:rsidRPr="001354D9">
        <w:rPr>
          <w:rFonts w:ascii="Gadugi" w:eastAsia="Calibri" w:hAnsi="Gadugi" w:cs="Times New Roman"/>
          <w:sz w:val="24"/>
          <w:szCs w:val="24"/>
        </w:rPr>
        <w:t xml:space="preserve"> a pagar </w:t>
      </w:r>
      <w:r w:rsidRPr="001354D9">
        <w:rPr>
          <w:rFonts w:ascii="Gadugi" w:eastAsia="Calibri" w:hAnsi="Gadugi" w:cs="Times New Roman"/>
          <w:sz w:val="24"/>
          <w:szCs w:val="24"/>
        </w:rPr>
        <w:t xml:space="preserve">(ii) </w:t>
      </w:r>
      <w:r w:rsidR="00B16E82" w:rsidRPr="001354D9">
        <w:rPr>
          <w:rFonts w:ascii="Gadugi" w:eastAsia="Calibri" w:hAnsi="Gadugi" w:cs="Times New Roman"/>
          <w:sz w:val="24"/>
          <w:szCs w:val="24"/>
        </w:rPr>
        <w:t xml:space="preserve">los </w:t>
      </w:r>
      <w:r w:rsidR="00BF70AB" w:rsidRPr="001354D9">
        <w:rPr>
          <w:rFonts w:ascii="Gadugi" w:eastAsia="Calibri" w:hAnsi="Gadugi" w:cs="Times New Roman"/>
          <w:sz w:val="24"/>
          <w:szCs w:val="24"/>
        </w:rPr>
        <w:t>perjuicios materiales</w:t>
      </w:r>
      <w:r w:rsidR="00B16E82" w:rsidRPr="001354D9">
        <w:rPr>
          <w:rFonts w:ascii="Gadugi" w:eastAsia="Calibri" w:hAnsi="Gadugi" w:cs="Times New Roman"/>
          <w:sz w:val="24"/>
          <w:szCs w:val="24"/>
        </w:rPr>
        <w:t xml:space="preserve"> (lucro cesante pasado y futuro)</w:t>
      </w:r>
      <w:r w:rsidR="00BF70AB" w:rsidRPr="001354D9">
        <w:rPr>
          <w:rFonts w:ascii="Gadugi" w:eastAsia="Calibri" w:hAnsi="Gadugi" w:cs="Times New Roman"/>
          <w:sz w:val="24"/>
          <w:szCs w:val="24"/>
        </w:rPr>
        <w:t xml:space="preserve"> </w:t>
      </w:r>
      <w:r w:rsidR="00B16E82" w:rsidRPr="001354D9">
        <w:rPr>
          <w:rFonts w:ascii="Gadugi" w:eastAsia="Calibri" w:hAnsi="Gadugi" w:cs="Times New Roman"/>
          <w:sz w:val="24"/>
          <w:szCs w:val="24"/>
        </w:rPr>
        <w:t xml:space="preserve">e (iii) inmateriales (daños morales y a la vida de relación), </w:t>
      </w:r>
      <w:r w:rsidR="0029568C" w:rsidRPr="001354D9">
        <w:rPr>
          <w:rFonts w:ascii="Gadugi" w:eastAsia="Calibri" w:hAnsi="Gadugi" w:cs="Times New Roman"/>
          <w:sz w:val="24"/>
          <w:szCs w:val="24"/>
        </w:rPr>
        <w:t>que tasaron</w:t>
      </w:r>
      <w:r w:rsidR="00B16E82" w:rsidRPr="001354D9">
        <w:rPr>
          <w:rFonts w:ascii="Gadugi" w:eastAsia="Calibri" w:hAnsi="Gadugi" w:cs="Times New Roman"/>
          <w:sz w:val="24"/>
          <w:szCs w:val="24"/>
        </w:rPr>
        <w:t xml:space="preserve">.   </w:t>
      </w:r>
    </w:p>
    <w:p w14:paraId="6149A9F2" w14:textId="77777777" w:rsidR="00A70CE9" w:rsidRPr="001354D9" w:rsidRDefault="00A70CE9" w:rsidP="001354D9">
      <w:pPr>
        <w:pStyle w:val="Prrafodelista"/>
        <w:tabs>
          <w:tab w:val="left" w:pos="3402"/>
        </w:tabs>
        <w:spacing w:after="0" w:line="276" w:lineRule="auto"/>
        <w:ind w:left="0" w:firstLine="2835"/>
        <w:jc w:val="both"/>
        <w:rPr>
          <w:rFonts w:ascii="Gadugi" w:eastAsia="Calibri" w:hAnsi="Gadugi" w:cs="Times New Roman"/>
          <w:sz w:val="24"/>
          <w:szCs w:val="24"/>
        </w:rPr>
      </w:pPr>
    </w:p>
    <w:p w14:paraId="4021259E" w14:textId="4C4EA466" w:rsidR="002271F1" w:rsidRPr="001354D9" w:rsidRDefault="002271F1" w:rsidP="001354D9">
      <w:pPr>
        <w:pStyle w:val="Prrafodelista"/>
        <w:numPr>
          <w:ilvl w:val="1"/>
          <w:numId w:val="1"/>
        </w:numPr>
        <w:tabs>
          <w:tab w:val="left" w:pos="3402"/>
        </w:tabs>
        <w:spacing w:after="0" w:line="276" w:lineRule="auto"/>
        <w:ind w:left="2410" w:hanging="709"/>
        <w:jc w:val="both"/>
        <w:rPr>
          <w:rFonts w:ascii="Gadugi" w:eastAsia="Calibri" w:hAnsi="Gadugi" w:cs="Times New Roman"/>
          <w:b/>
          <w:sz w:val="24"/>
          <w:szCs w:val="24"/>
        </w:rPr>
      </w:pPr>
      <w:r w:rsidRPr="001354D9">
        <w:rPr>
          <w:rFonts w:ascii="Gadugi" w:eastAsia="Calibri" w:hAnsi="Gadugi" w:cs="Times New Roman"/>
          <w:b/>
          <w:sz w:val="24"/>
          <w:szCs w:val="24"/>
        </w:rPr>
        <w:t>Trámite.</w:t>
      </w:r>
    </w:p>
    <w:p w14:paraId="52AD075F" w14:textId="77777777" w:rsidR="002271F1" w:rsidRPr="001354D9" w:rsidRDefault="002271F1" w:rsidP="001354D9">
      <w:pPr>
        <w:spacing w:after="0" w:line="276" w:lineRule="auto"/>
        <w:jc w:val="both"/>
        <w:rPr>
          <w:rFonts w:ascii="Gadugi" w:eastAsia="Calibri" w:hAnsi="Gadugi" w:cs="Times New Roman"/>
          <w:sz w:val="24"/>
          <w:szCs w:val="24"/>
        </w:rPr>
      </w:pPr>
    </w:p>
    <w:p w14:paraId="2C6522D8" w14:textId="1C750AD8" w:rsidR="0070652A" w:rsidRPr="001354D9" w:rsidRDefault="00166107"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La demanda fue </w:t>
      </w:r>
      <w:r w:rsidR="002271F1" w:rsidRPr="001354D9">
        <w:rPr>
          <w:rFonts w:ascii="Gadugi" w:eastAsia="Calibri" w:hAnsi="Gadugi" w:cs="Times New Roman"/>
          <w:sz w:val="24"/>
          <w:szCs w:val="24"/>
        </w:rPr>
        <w:t>admiti</w:t>
      </w:r>
      <w:r w:rsidRPr="001354D9">
        <w:rPr>
          <w:rFonts w:ascii="Gadugi" w:eastAsia="Calibri" w:hAnsi="Gadugi" w:cs="Times New Roman"/>
          <w:sz w:val="24"/>
          <w:szCs w:val="24"/>
        </w:rPr>
        <w:t xml:space="preserve">da el 4 de abril de 2019 </w:t>
      </w:r>
      <w:r w:rsidR="002271F1" w:rsidRPr="001354D9">
        <w:rPr>
          <w:rFonts w:ascii="Gadugi" w:eastAsia="Calibri" w:hAnsi="Gadugi" w:cs="Times New Roman"/>
          <w:sz w:val="24"/>
          <w:szCs w:val="24"/>
        </w:rPr>
        <w:t xml:space="preserve">por el Juzgado </w:t>
      </w:r>
      <w:r w:rsidRPr="001354D9">
        <w:rPr>
          <w:rFonts w:ascii="Gadugi" w:eastAsia="Calibri" w:hAnsi="Gadugi" w:cs="Times New Roman"/>
          <w:sz w:val="24"/>
          <w:szCs w:val="24"/>
        </w:rPr>
        <w:t>Ú</w:t>
      </w:r>
      <w:r w:rsidR="004D69B0" w:rsidRPr="001354D9">
        <w:rPr>
          <w:rFonts w:ascii="Gadugi" w:eastAsia="Calibri" w:hAnsi="Gadugi" w:cs="Times New Roman"/>
          <w:sz w:val="24"/>
          <w:szCs w:val="24"/>
        </w:rPr>
        <w:t>nico Promiscuo del Circuito</w:t>
      </w:r>
      <w:r w:rsidR="00C93674" w:rsidRPr="001354D9">
        <w:rPr>
          <w:rFonts w:ascii="Gadugi" w:eastAsia="Calibri" w:hAnsi="Gadugi" w:cs="Times New Roman"/>
          <w:sz w:val="24"/>
          <w:szCs w:val="24"/>
        </w:rPr>
        <w:t xml:space="preserve"> de </w:t>
      </w:r>
      <w:r w:rsidR="004D69B0" w:rsidRPr="001354D9">
        <w:rPr>
          <w:rFonts w:ascii="Gadugi" w:eastAsia="Calibri" w:hAnsi="Gadugi" w:cs="Times New Roman"/>
          <w:sz w:val="24"/>
          <w:szCs w:val="24"/>
        </w:rPr>
        <w:t>Quinchía</w:t>
      </w:r>
      <w:r w:rsidR="00AA4F84" w:rsidRPr="001354D9">
        <w:rPr>
          <w:rStyle w:val="Refdenotaalpie"/>
          <w:rFonts w:ascii="Gadugi" w:eastAsia="Calibri" w:hAnsi="Gadugi" w:cs="Times New Roman"/>
          <w:sz w:val="24"/>
          <w:szCs w:val="24"/>
        </w:rPr>
        <w:footnoteReference w:id="3"/>
      </w:r>
      <w:r w:rsidRPr="001354D9">
        <w:rPr>
          <w:rFonts w:ascii="Gadugi" w:eastAsia="Calibri" w:hAnsi="Gadugi" w:cs="Times New Roman"/>
          <w:sz w:val="24"/>
          <w:szCs w:val="24"/>
        </w:rPr>
        <w:t xml:space="preserve"> </w:t>
      </w:r>
      <w:r w:rsidR="00FB3CAA" w:rsidRPr="001354D9">
        <w:rPr>
          <w:rFonts w:ascii="Gadugi" w:eastAsia="Calibri" w:hAnsi="Gadugi" w:cs="Times New Roman"/>
          <w:sz w:val="24"/>
          <w:szCs w:val="24"/>
        </w:rPr>
        <w:t>y notificada personalmente e</w:t>
      </w:r>
      <w:r w:rsidRPr="001354D9">
        <w:rPr>
          <w:rFonts w:ascii="Gadugi" w:eastAsia="Calibri" w:hAnsi="Gadugi" w:cs="Times New Roman"/>
          <w:sz w:val="24"/>
          <w:szCs w:val="24"/>
        </w:rPr>
        <w:t xml:space="preserve">l </w:t>
      </w:r>
      <w:r w:rsidR="00A26113" w:rsidRPr="001354D9">
        <w:rPr>
          <w:rFonts w:ascii="Gadugi" w:eastAsia="Calibri" w:hAnsi="Gadugi" w:cs="Times New Roman"/>
          <w:sz w:val="24"/>
          <w:szCs w:val="24"/>
        </w:rPr>
        <w:t>0</w:t>
      </w:r>
      <w:r w:rsidR="002271F1" w:rsidRPr="001354D9">
        <w:rPr>
          <w:rFonts w:ascii="Gadugi" w:eastAsia="Calibri" w:hAnsi="Gadugi" w:cs="Times New Roman"/>
          <w:sz w:val="24"/>
          <w:szCs w:val="24"/>
        </w:rPr>
        <w:t xml:space="preserve">6 </w:t>
      </w:r>
      <w:r w:rsidRPr="001354D9">
        <w:rPr>
          <w:rFonts w:ascii="Gadugi" w:eastAsia="Calibri" w:hAnsi="Gadugi" w:cs="Times New Roman"/>
          <w:sz w:val="24"/>
          <w:szCs w:val="24"/>
        </w:rPr>
        <w:t xml:space="preserve">y el 28 </w:t>
      </w:r>
      <w:r w:rsidR="002271F1" w:rsidRPr="001354D9">
        <w:rPr>
          <w:rFonts w:ascii="Gadugi" w:eastAsia="Calibri" w:hAnsi="Gadugi" w:cs="Times New Roman"/>
          <w:sz w:val="24"/>
          <w:szCs w:val="24"/>
        </w:rPr>
        <w:t xml:space="preserve">de </w:t>
      </w:r>
      <w:r w:rsidR="00A26113" w:rsidRPr="001354D9">
        <w:rPr>
          <w:rFonts w:ascii="Gadugi" w:eastAsia="Calibri" w:hAnsi="Gadugi" w:cs="Times New Roman"/>
          <w:sz w:val="24"/>
          <w:szCs w:val="24"/>
        </w:rPr>
        <w:t>mayo</w:t>
      </w:r>
      <w:r w:rsidR="002271F1" w:rsidRPr="001354D9">
        <w:rPr>
          <w:rFonts w:ascii="Gadugi" w:eastAsia="Calibri" w:hAnsi="Gadugi" w:cs="Times New Roman"/>
          <w:sz w:val="24"/>
          <w:szCs w:val="24"/>
        </w:rPr>
        <w:t xml:space="preserve"> de 201</w:t>
      </w:r>
      <w:r w:rsidR="00A26113" w:rsidRPr="001354D9">
        <w:rPr>
          <w:rFonts w:ascii="Gadugi" w:eastAsia="Calibri" w:hAnsi="Gadugi" w:cs="Times New Roman"/>
          <w:sz w:val="24"/>
          <w:szCs w:val="24"/>
        </w:rPr>
        <w:t>9</w:t>
      </w:r>
      <w:r w:rsidRPr="001354D9">
        <w:rPr>
          <w:rFonts w:ascii="Gadugi" w:eastAsia="Calibri" w:hAnsi="Gadugi" w:cs="Times New Roman"/>
          <w:sz w:val="24"/>
          <w:szCs w:val="24"/>
        </w:rPr>
        <w:t xml:space="preserve"> </w:t>
      </w:r>
      <w:r w:rsidR="00FB3CAA" w:rsidRPr="001354D9">
        <w:rPr>
          <w:rFonts w:ascii="Gadugi" w:eastAsia="Calibri" w:hAnsi="Gadugi" w:cs="Times New Roman"/>
          <w:sz w:val="24"/>
          <w:szCs w:val="24"/>
        </w:rPr>
        <w:t xml:space="preserve">a </w:t>
      </w:r>
      <w:r w:rsidRPr="001354D9">
        <w:rPr>
          <w:rFonts w:ascii="Gadugi" w:eastAsia="Calibri" w:hAnsi="Gadugi" w:cs="Times New Roman"/>
          <w:sz w:val="24"/>
          <w:szCs w:val="24"/>
        </w:rPr>
        <w:t>Wilson Quiñones Vera</w:t>
      </w:r>
      <w:r w:rsidR="00AA4F84" w:rsidRPr="001354D9">
        <w:rPr>
          <w:rStyle w:val="Refdenotaalpie"/>
          <w:rFonts w:ascii="Gadugi" w:eastAsia="Calibri" w:hAnsi="Gadugi" w:cs="Times New Roman"/>
          <w:sz w:val="24"/>
          <w:szCs w:val="24"/>
        </w:rPr>
        <w:footnoteReference w:id="4"/>
      </w:r>
      <w:r w:rsidRPr="001354D9">
        <w:rPr>
          <w:rFonts w:ascii="Gadugi" w:eastAsia="Calibri" w:hAnsi="Gadugi" w:cs="Times New Roman"/>
          <w:sz w:val="24"/>
          <w:szCs w:val="24"/>
        </w:rPr>
        <w:t xml:space="preserve"> y </w:t>
      </w:r>
      <w:r w:rsidR="00FB3CAA" w:rsidRPr="001354D9">
        <w:rPr>
          <w:rFonts w:ascii="Gadugi" w:eastAsia="Calibri" w:hAnsi="Gadugi" w:cs="Times New Roman"/>
          <w:sz w:val="24"/>
          <w:szCs w:val="24"/>
        </w:rPr>
        <w:t xml:space="preserve">a </w:t>
      </w:r>
      <w:r w:rsidRPr="001354D9">
        <w:rPr>
          <w:rFonts w:ascii="Gadugi" w:eastAsia="Calibri" w:hAnsi="Gadugi" w:cs="Times New Roman"/>
          <w:sz w:val="24"/>
          <w:szCs w:val="24"/>
        </w:rPr>
        <w:t>l</w:t>
      </w:r>
      <w:r w:rsidR="00AA4F84" w:rsidRPr="001354D9">
        <w:rPr>
          <w:rFonts w:ascii="Gadugi" w:eastAsia="Calibri" w:hAnsi="Gadugi" w:cs="Times New Roman"/>
          <w:sz w:val="24"/>
          <w:szCs w:val="24"/>
        </w:rPr>
        <w:t>a</w:t>
      </w:r>
      <w:r w:rsidR="00D374BD" w:rsidRPr="001354D9">
        <w:rPr>
          <w:rFonts w:ascii="Gadugi" w:eastAsia="Calibri" w:hAnsi="Gadugi" w:cs="Times New Roman"/>
          <w:sz w:val="24"/>
          <w:szCs w:val="24"/>
        </w:rPr>
        <w:t xml:space="preserve"> sociedad Distribuidor de</w:t>
      </w:r>
      <w:r w:rsidR="00AA4F84" w:rsidRPr="001354D9">
        <w:rPr>
          <w:rFonts w:ascii="Gadugi" w:eastAsia="Calibri" w:hAnsi="Gadugi" w:cs="Times New Roman"/>
          <w:sz w:val="24"/>
          <w:szCs w:val="24"/>
        </w:rPr>
        <w:t xml:space="preserve"> Papelería los Mayoristas</w:t>
      </w:r>
      <w:r w:rsidR="00D374BD" w:rsidRPr="001354D9">
        <w:rPr>
          <w:rFonts w:ascii="Gadugi" w:eastAsia="Calibri" w:hAnsi="Gadugi" w:cs="Times New Roman"/>
          <w:sz w:val="24"/>
          <w:szCs w:val="24"/>
        </w:rPr>
        <w:t xml:space="preserve"> SAS</w:t>
      </w:r>
      <w:r w:rsidR="00AA4F84" w:rsidRPr="001354D9">
        <w:rPr>
          <w:rStyle w:val="Refdenotaalpie"/>
          <w:rFonts w:ascii="Gadugi" w:eastAsia="Calibri" w:hAnsi="Gadugi" w:cs="Times New Roman"/>
          <w:sz w:val="24"/>
          <w:szCs w:val="24"/>
        </w:rPr>
        <w:footnoteReference w:id="5"/>
      </w:r>
      <w:r w:rsidRPr="001354D9">
        <w:rPr>
          <w:rFonts w:ascii="Gadugi" w:eastAsia="Calibri" w:hAnsi="Gadugi" w:cs="Times New Roman"/>
          <w:sz w:val="24"/>
          <w:szCs w:val="24"/>
        </w:rPr>
        <w:t>, respectivamente</w:t>
      </w:r>
      <w:r w:rsidR="000A7BC9" w:rsidRPr="001354D9">
        <w:rPr>
          <w:rFonts w:ascii="Gadugi" w:eastAsia="Calibri" w:hAnsi="Gadugi" w:cs="Times New Roman"/>
          <w:sz w:val="24"/>
          <w:szCs w:val="24"/>
        </w:rPr>
        <w:t>.</w:t>
      </w:r>
      <w:r w:rsidR="00B05960" w:rsidRPr="001354D9">
        <w:rPr>
          <w:rFonts w:ascii="Gadugi" w:eastAsia="Calibri" w:hAnsi="Gadugi" w:cs="Times New Roman"/>
          <w:sz w:val="24"/>
          <w:szCs w:val="24"/>
        </w:rPr>
        <w:t xml:space="preserve"> </w:t>
      </w:r>
      <w:r w:rsidR="0070652A" w:rsidRPr="001354D9">
        <w:rPr>
          <w:rFonts w:ascii="Gadugi" w:eastAsia="Calibri" w:hAnsi="Gadugi" w:cs="Times New Roman"/>
          <w:sz w:val="24"/>
          <w:szCs w:val="24"/>
        </w:rPr>
        <w:t xml:space="preserve">Los demandados se pronunciaron así: </w:t>
      </w:r>
    </w:p>
    <w:p w14:paraId="10610007" w14:textId="77777777" w:rsidR="0070652A" w:rsidRPr="001354D9" w:rsidRDefault="0070652A" w:rsidP="001354D9">
      <w:pPr>
        <w:spacing w:after="0" w:line="276" w:lineRule="auto"/>
        <w:ind w:firstLine="2835"/>
        <w:jc w:val="both"/>
        <w:rPr>
          <w:rFonts w:ascii="Gadugi" w:eastAsia="Calibri" w:hAnsi="Gadugi" w:cs="Times New Roman"/>
          <w:sz w:val="24"/>
          <w:szCs w:val="24"/>
        </w:rPr>
      </w:pPr>
    </w:p>
    <w:p w14:paraId="25FC05C1" w14:textId="47A8DD1C" w:rsidR="002271F1" w:rsidRPr="001354D9" w:rsidRDefault="0070652A"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La </w:t>
      </w:r>
      <w:r w:rsidR="00D374BD" w:rsidRPr="001354D9">
        <w:rPr>
          <w:rFonts w:ascii="Gadugi" w:eastAsia="Calibri" w:hAnsi="Gadugi" w:cs="Times New Roman"/>
          <w:sz w:val="24"/>
          <w:szCs w:val="24"/>
        </w:rPr>
        <w:t>sociedad</w:t>
      </w:r>
      <w:r w:rsidR="003B263F" w:rsidRPr="001354D9">
        <w:rPr>
          <w:rStyle w:val="Refdenotaalpie"/>
          <w:rFonts w:ascii="Gadugi" w:eastAsia="Calibri" w:hAnsi="Gadugi" w:cs="Times New Roman"/>
          <w:sz w:val="24"/>
          <w:szCs w:val="24"/>
        </w:rPr>
        <w:footnoteReference w:id="6"/>
      </w:r>
      <w:r w:rsidRPr="001354D9">
        <w:rPr>
          <w:rFonts w:ascii="Gadugi" w:eastAsia="Calibri" w:hAnsi="Gadugi" w:cs="Times New Roman"/>
          <w:sz w:val="24"/>
          <w:szCs w:val="24"/>
        </w:rPr>
        <w:t xml:space="preserve">, aludió a los hechos, </w:t>
      </w:r>
      <w:r w:rsidR="00986F84" w:rsidRPr="001354D9">
        <w:rPr>
          <w:rFonts w:ascii="Gadugi" w:eastAsia="Calibri" w:hAnsi="Gadugi" w:cs="Times New Roman"/>
          <w:sz w:val="24"/>
          <w:szCs w:val="24"/>
        </w:rPr>
        <w:t>se opuso a lo pretendido y formuló como excepciones: (i) rompimiento del nexo causal por culpa exclusiva de la víctima</w:t>
      </w:r>
      <w:r w:rsidR="00D374BD" w:rsidRPr="001354D9">
        <w:rPr>
          <w:rFonts w:ascii="Gadugi" w:eastAsia="Calibri" w:hAnsi="Gadugi" w:cs="Times New Roman"/>
          <w:sz w:val="24"/>
          <w:szCs w:val="24"/>
        </w:rPr>
        <w:t>;</w:t>
      </w:r>
      <w:r w:rsidR="00986F84" w:rsidRPr="001354D9">
        <w:rPr>
          <w:rFonts w:ascii="Gadugi" w:eastAsia="Calibri" w:hAnsi="Gadugi" w:cs="Times New Roman"/>
          <w:sz w:val="24"/>
          <w:szCs w:val="24"/>
        </w:rPr>
        <w:t xml:space="preserve"> (ii) la </w:t>
      </w:r>
      <w:r w:rsidR="00D374BD" w:rsidRPr="001354D9">
        <w:rPr>
          <w:rFonts w:ascii="Gadugi" w:eastAsia="Calibri" w:hAnsi="Gadugi" w:cs="Times New Roman"/>
          <w:sz w:val="24"/>
          <w:szCs w:val="24"/>
        </w:rPr>
        <w:t xml:space="preserve">denominada </w:t>
      </w:r>
      <w:r w:rsidR="00986F84" w:rsidRPr="001354D9">
        <w:rPr>
          <w:rFonts w:ascii="Gadugi" w:eastAsia="Calibri" w:hAnsi="Gadugi" w:cs="Times New Roman"/>
          <w:sz w:val="24"/>
          <w:szCs w:val="24"/>
        </w:rPr>
        <w:t>genérica</w:t>
      </w:r>
      <w:r w:rsidR="00D374BD" w:rsidRPr="001354D9">
        <w:rPr>
          <w:rFonts w:ascii="Gadugi" w:eastAsia="Calibri" w:hAnsi="Gadugi" w:cs="Times New Roman"/>
          <w:sz w:val="24"/>
          <w:szCs w:val="24"/>
        </w:rPr>
        <w:t>;</w:t>
      </w:r>
      <w:r w:rsidR="007A4CDB" w:rsidRPr="001354D9">
        <w:rPr>
          <w:rFonts w:ascii="Gadugi" w:eastAsia="Calibri" w:hAnsi="Gadugi" w:cs="Times New Roman"/>
          <w:sz w:val="24"/>
          <w:szCs w:val="24"/>
        </w:rPr>
        <w:t xml:space="preserve"> (iii) excesiva tasación de perjuicios</w:t>
      </w:r>
      <w:r w:rsidR="00D374BD" w:rsidRPr="001354D9">
        <w:rPr>
          <w:rFonts w:ascii="Gadugi" w:eastAsia="Calibri" w:hAnsi="Gadugi" w:cs="Times New Roman"/>
          <w:sz w:val="24"/>
          <w:szCs w:val="24"/>
        </w:rPr>
        <w:t xml:space="preserve"> morales; </w:t>
      </w:r>
      <w:r w:rsidR="007A4CDB" w:rsidRPr="001354D9">
        <w:rPr>
          <w:rFonts w:ascii="Gadugi" w:eastAsia="Calibri" w:hAnsi="Gadugi" w:cs="Times New Roman"/>
          <w:sz w:val="24"/>
          <w:szCs w:val="24"/>
        </w:rPr>
        <w:t>y (iv) prescripción</w:t>
      </w:r>
      <w:r w:rsidR="00986F84" w:rsidRPr="001354D9">
        <w:rPr>
          <w:rFonts w:ascii="Gadugi" w:eastAsia="Calibri" w:hAnsi="Gadugi" w:cs="Times New Roman"/>
          <w:sz w:val="24"/>
          <w:szCs w:val="24"/>
        </w:rPr>
        <w:t xml:space="preserve">. </w:t>
      </w:r>
    </w:p>
    <w:p w14:paraId="09F4CFF2" w14:textId="0FDA351C" w:rsidR="005F4BAF" w:rsidRPr="001354D9" w:rsidRDefault="005F4BAF" w:rsidP="001354D9">
      <w:pPr>
        <w:spacing w:after="0" w:line="276" w:lineRule="auto"/>
        <w:ind w:firstLine="2835"/>
        <w:jc w:val="both"/>
        <w:rPr>
          <w:rFonts w:ascii="Gadugi" w:eastAsia="Calibri" w:hAnsi="Gadugi" w:cs="Times New Roman"/>
          <w:sz w:val="24"/>
          <w:szCs w:val="24"/>
        </w:rPr>
      </w:pPr>
    </w:p>
    <w:p w14:paraId="5BC7DC37" w14:textId="131411D7" w:rsidR="007A4CDB" w:rsidRPr="001354D9" w:rsidRDefault="005F4BAF"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Wilson Quiñones Vera</w:t>
      </w:r>
      <w:r w:rsidR="00D374BD" w:rsidRPr="001354D9">
        <w:rPr>
          <w:rStyle w:val="Refdenotaalpie"/>
          <w:rFonts w:ascii="Gadugi" w:eastAsia="Calibri" w:hAnsi="Gadugi" w:cs="Times New Roman"/>
          <w:sz w:val="24"/>
          <w:szCs w:val="24"/>
        </w:rPr>
        <w:footnoteReference w:id="7"/>
      </w:r>
      <w:r w:rsidRPr="001354D9">
        <w:rPr>
          <w:rFonts w:ascii="Gadugi" w:eastAsia="Calibri" w:hAnsi="Gadugi" w:cs="Times New Roman"/>
          <w:sz w:val="24"/>
          <w:szCs w:val="24"/>
        </w:rPr>
        <w:t xml:space="preserve"> se refirió a los hechos, </w:t>
      </w:r>
      <w:r w:rsidR="0029568C" w:rsidRPr="001354D9">
        <w:rPr>
          <w:rFonts w:ascii="Gadugi" w:eastAsia="Calibri" w:hAnsi="Gadugi" w:cs="Times New Roman"/>
          <w:sz w:val="24"/>
          <w:szCs w:val="24"/>
        </w:rPr>
        <w:t>opugnó</w:t>
      </w:r>
      <w:r w:rsidRPr="001354D9">
        <w:rPr>
          <w:rFonts w:ascii="Gadugi" w:eastAsia="Calibri" w:hAnsi="Gadugi" w:cs="Times New Roman"/>
          <w:sz w:val="24"/>
          <w:szCs w:val="24"/>
        </w:rPr>
        <w:t xml:space="preserve"> las pretensiones y como excepciones presentó: (i) rompimiento del nexo causal por culpa exclusiva de la víctima</w:t>
      </w:r>
      <w:r w:rsidR="00D374BD" w:rsidRPr="001354D9">
        <w:rPr>
          <w:rFonts w:ascii="Gadugi" w:eastAsia="Calibri" w:hAnsi="Gadugi" w:cs="Times New Roman"/>
          <w:sz w:val="24"/>
          <w:szCs w:val="24"/>
        </w:rPr>
        <w:t>;</w:t>
      </w:r>
      <w:r w:rsidRPr="001354D9">
        <w:rPr>
          <w:rFonts w:ascii="Gadugi" w:eastAsia="Calibri" w:hAnsi="Gadugi" w:cs="Times New Roman"/>
          <w:sz w:val="24"/>
          <w:szCs w:val="24"/>
        </w:rPr>
        <w:t xml:space="preserve"> (ii) falta de fundamento de la obligación de indemnizar</w:t>
      </w:r>
      <w:r w:rsidR="00A035AD" w:rsidRPr="001354D9">
        <w:rPr>
          <w:rFonts w:ascii="Gadugi" w:eastAsia="Calibri" w:hAnsi="Gadugi" w:cs="Times New Roman"/>
          <w:sz w:val="24"/>
          <w:szCs w:val="24"/>
        </w:rPr>
        <w:t xml:space="preserve">; </w:t>
      </w:r>
      <w:r w:rsidRPr="001354D9">
        <w:rPr>
          <w:rFonts w:ascii="Gadugi" w:eastAsia="Calibri" w:hAnsi="Gadugi" w:cs="Times New Roman"/>
          <w:sz w:val="24"/>
          <w:szCs w:val="24"/>
        </w:rPr>
        <w:t xml:space="preserve">(iii) </w:t>
      </w:r>
      <w:r w:rsidR="003B263F" w:rsidRPr="001354D9">
        <w:rPr>
          <w:rFonts w:ascii="Gadugi" w:eastAsia="Calibri" w:hAnsi="Gadugi" w:cs="Times New Roman"/>
          <w:sz w:val="24"/>
          <w:szCs w:val="24"/>
        </w:rPr>
        <w:t xml:space="preserve">la </w:t>
      </w:r>
      <w:r w:rsidR="007A4CDB" w:rsidRPr="001354D9">
        <w:rPr>
          <w:rFonts w:ascii="Gadugi" w:eastAsia="Calibri" w:hAnsi="Gadugi" w:cs="Times New Roman"/>
          <w:sz w:val="24"/>
          <w:szCs w:val="24"/>
        </w:rPr>
        <w:t>genérica</w:t>
      </w:r>
      <w:r w:rsidR="00A035AD" w:rsidRPr="001354D9">
        <w:rPr>
          <w:rFonts w:ascii="Gadugi" w:eastAsia="Calibri" w:hAnsi="Gadugi" w:cs="Times New Roman"/>
          <w:sz w:val="24"/>
          <w:szCs w:val="24"/>
        </w:rPr>
        <w:t xml:space="preserve">; </w:t>
      </w:r>
      <w:r w:rsidR="003B263F" w:rsidRPr="001354D9">
        <w:rPr>
          <w:rFonts w:ascii="Gadugi" w:eastAsia="Calibri" w:hAnsi="Gadugi" w:cs="Times New Roman"/>
          <w:sz w:val="24"/>
          <w:szCs w:val="24"/>
        </w:rPr>
        <w:t xml:space="preserve">y </w:t>
      </w:r>
      <w:r w:rsidR="007A4CDB" w:rsidRPr="001354D9">
        <w:rPr>
          <w:rFonts w:ascii="Gadugi" w:eastAsia="Calibri" w:hAnsi="Gadugi" w:cs="Times New Roman"/>
          <w:sz w:val="24"/>
          <w:szCs w:val="24"/>
        </w:rPr>
        <w:t>(iv) prescripción. Como excepciones subsidiarias enunció</w:t>
      </w:r>
      <w:r w:rsidR="00A035AD" w:rsidRPr="001354D9">
        <w:rPr>
          <w:rFonts w:ascii="Gadugi" w:eastAsia="Calibri" w:hAnsi="Gadugi" w:cs="Times New Roman"/>
          <w:sz w:val="24"/>
          <w:szCs w:val="24"/>
        </w:rPr>
        <w:t xml:space="preserve">: </w:t>
      </w:r>
      <w:r w:rsidR="007A4CDB" w:rsidRPr="001354D9">
        <w:rPr>
          <w:rFonts w:ascii="Gadugi" w:eastAsia="Calibri" w:hAnsi="Gadugi" w:cs="Times New Roman"/>
          <w:sz w:val="24"/>
          <w:szCs w:val="24"/>
        </w:rPr>
        <w:t>(i) la concurrencia de culpas</w:t>
      </w:r>
      <w:r w:rsidR="00A035AD" w:rsidRPr="001354D9">
        <w:rPr>
          <w:rFonts w:ascii="Gadugi" w:eastAsia="Calibri" w:hAnsi="Gadugi" w:cs="Times New Roman"/>
          <w:sz w:val="24"/>
          <w:szCs w:val="24"/>
        </w:rPr>
        <w:t xml:space="preserve">; </w:t>
      </w:r>
      <w:r w:rsidR="007A4CDB" w:rsidRPr="001354D9">
        <w:rPr>
          <w:rFonts w:ascii="Gadugi" w:eastAsia="Calibri" w:hAnsi="Gadugi" w:cs="Times New Roman"/>
          <w:sz w:val="24"/>
          <w:szCs w:val="24"/>
        </w:rPr>
        <w:t>(ii) falta de prueba para calcular el perjuicio material sufrido en la modalidad de lucro cesante</w:t>
      </w:r>
      <w:r w:rsidR="00A035AD" w:rsidRPr="001354D9">
        <w:rPr>
          <w:rFonts w:ascii="Gadugi" w:eastAsia="Calibri" w:hAnsi="Gadugi" w:cs="Times New Roman"/>
          <w:sz w:val="24"/>
          <w:szCs w:val="24"/>
        </w:rPr>
        <w:t xml:space="preserve">; y </w:t>
      </w:r>
      <w:r w:rsidR="007A4CDB" w:rsidRPr="001354D9">
        <w:rPr>
          <w:rFonts w:ascii="Gadugi" w:eastAsia="Calibri" w:hAnsi="Gadugi" w:cs="Times New Roman"/>
          <w:sz w:val="24"/>
          <w:szCs w:val="24"/>
        </w:rPr>
        <w:t xml:space="preserve">(iii) excesiva tasación de perjuicios morales. </w:t>
      </w:r>
    </w:p>
    <w:p w14:paraId="23ACCF60" w14:textId="77777777" w:rsidR="0029568C" w:rsidRPr="001354D9" w:rsidRDefault="0029568C" w:rsidP="001354D9">
      <w:pPr>
        <w:spacing w:after="0" w:line="276" w:lineRule="auto"/>
        <w:ind w:firstLine="1701"/>
        <w:jc w:val="both"/>
        <w:rPr>
          <w:rFonts w:ascii="Gadugi" w:eastAsia="Calibri" w:hAnsi="Gadugi" w:cs="Times New Roman"/>
          <w:sz w:val="24"/>
          <w:szCs w:val="24"/>
        </w:rPr>
      </w:pPr>
    </w:p>
    <w:p w14:paraId="41341D82" w14:textId="03FD337C" w:rsidR="005F4BAF" w:rsidRPr="001354D9" w:rsidRDefault="007A4CDB"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La Distribuidora de Papelería Los Mayoristas S</w:t>
      </w:r>
      <w:r w:rsidR="00A035AD" w:rsidRPr="001354D9">
        <w:rPr>
          <w:rFonts w:ascii="Gadugi" w:eastAsia="Calibri" w:hAnsi="Gadugi" w:cs="Times New Roman"/>
          <w:sz w:val="24"/>
          <w:szCs w:val="24"/>
        </w:rPr>
        <w:t>AS</w:t>
      </w:r>
      <w:r w:rsidRPr="001354D9">
        <w:rPr>
          <w:rFonts w:ascii="Gadugi" w:eastAsia="Calibri" w:hAnsi="Gadugi" w:cs="Times New Roman"/>
          <w:sz w:val="24"/>
          <w:szCs w:val="24"/>
        </w:rPr>
        <w:t xml:space="preserve">, llamó en garantía </w:t>
      </w:r>
      <w:r w:rsidR="000B6A91" w:rsidRPr="001354D9">
        <w:rPr>
          <w:rFonts w:ascii="Gadugi" w:eastAsia="Calibri" w:hAnsi="Gadugi" w:cs="Times New Roman"/>
          <w:sz w:val="24"/>
          <w:szCs w:val="24"/>
        </w:rPr>
        <w:t xml:space="preserve">a Seguros Generales </w:t>
      </w:r>
      <w:r w:rsidR="00A035AD" w:rsidRPr="001354D9">
        <w:rPr>
          <w:rFonts w:ascii="Gadugi" w:eastAsia="Calibri" w:hAnsi="Gadugi" w:cs="Times New Roman"/>
          <w:sz w:val="24"/>
          <w:szCs w:val="24"/>
        </w:rPr>
        <w:t>Suramericana SA</w:t>
      </w:r>
      <w:r w:rsidR="00FB4D19" w:rsidRPr="001354D9">
        <w:rPr>
          <w:rStyle w:val="Refdenotaalpie"/>
          <w:rFonts w:ascii="Gadugi" w:eastAsia="Calibri" w:hAnsi="Gadugi" w:cs="Times New Roman"/>
          <w:sz w:val="24"/>
          <w:szCs w:val="24"/>
        </w:rPr>
        <w:footnoteReference w:id="8"/>
      </w:r>
      <w:r w:rsidR="000A3914" w:rsidRPr="001354D9">
        <w:rPr>
          <w:rFonts w:ascii="Gadugi" w:eastAsia="Calibri" w:hAnsi="Gadugi" w:cs="Times New Roman"/>
          <w:sz w:val="24"/>
          <w:szCs w:val="24"/>
        </w:rPr>
        <w:t xml:space="preserve">. Esta </w:t>
      </w:r>
      <w:r w:rsidR="001D1113" w:rsidRPr="001354D9">
        <w:rPr>
          <w:rFonts w:ascii="Gadugi" w:eastAsia="Calibri" w:hAnsi="Gadugi" w:cs="Times New Roman"/>
          <w:sz w:val="24"/>
          <w:szCs w:val="24"/>
        </w:rPr>
        <w:t>contestó la</w:t>
      </w:r>
      <w:r w:rsidRPr="001354D9">
        <w:rPr>
          <w:rFonts w:ascii="Gadugi" w:eastAsia="Calibri" w:hAnsi="Gadugi" w:cs="Times New Roman"/>
          <w:sz w:val="24"/>
          <w:szCs w:val="24"/>
        </w:rPr>
        <w:t xml:space="preserve"> </w:t>
      </w:r>
      <w:r w:rsidR="001D1113" w:rsidRPr="001354D9">
        <w:rPr>
          <w:rFonts w:ascii="Gadugi" w:eastAsia="Calibri" w:hAnsi="Gadugi" w:cs="Times New Roman"/>
          <w:sz w:val="24"/>
          <w:szCs w:val="24"/>
        </w:rPr>
        <w:t>demanda</w:t>
      </w:r>
      <w:r w:rsidR="000A3914" w:rsidRPr="001354D9">
        <w:rPr>
          <w:rStyle w:val="Refdenotaalpie"/>
          <w:rFonts w:ascii="Gadugi" w:eastAsia="Calibri" w:hAnsi="Gadugi" w:cs="Times New Roman"/>
          <w:sz w:val="24"/>
          <w:szCs w:val="24"/>
        </w:rPr>
        <w:footnoteReference w:id="9"/>
      </w:r>
      <w:r w:rsidR="000A3914" w:rsidRPr="001354D9">
        <w:rPr>
          <w:rFonts w:ascii="Gadugi" w:eastAsia="Calibri" w:hAnsi="Gadugi" w:cs="Times New Roman"/>
          <w:sz w:val="24"/>
          <w:szCs w:val="24"/>
        </w:rPr>
        <w:t xml:space="preserve">; aludió a los </w:t>
      </w:r>
      <w:r w:rsidR="001D1113" w:rsidRPr="001354D9">
        <w:rPr>
          <w:rFonts w:ascii="Gadugi" w:eastAsia="Calibri" w:hAnsi="Gadugi" w:cs="Times New Roman"/>
          <w:sz w:val="24"/>
          <w:szCs w:val="24"/>
        </w:rPr>
        <w:t>hechos, se opuso a l</w:t>
      </w:r>
      <w:r w:rsidR="000A3914" w:rsidRPr="001354D9">
        <w:rPr>
          <w:rFonts w:ascii="Gadugi" w:eastAsia="Calibri" w:hAnsi="Gadugi" w:cs="Times New Roman"/>
          <w:sz w:val="24"/>
          <w:szCs w:val="24"/>
        </w:rPr>
        <w:t>o pedido y planteó las</w:t>
      </w:r>
      <w:r w:rsidR="001D1113" w:rsidRPr="001354D9">
        <w:rPr>
          <w:rFonts w:ascii="Gadugi" w:eastAsia="Calibri" w:hAnsi="Gadugi" w:cs="Times New Roman"/>
          <w:sz w:val="24"/>
          <w:szCs w:val="24"/>
        </w:rPr>
        <w:t xml:space="preserve"> siguientes excepciones</w:t>
      </w:r>
      <w:r w:rsidR="000A3914" w:rsidRPr="001354D9">
        <w:rPr>
          <w:rFonts w:ascii="Gadugi" w:eastAsia="Calibri" w:hAnsi="Gadugi" w:cs="Times New Roman"/>
          <w:sz w:val="24"/>
          <w:szCs w:val="24"/>
        </w:rPr>
        <w:t xml:space="preserve">: </w:t>
      </w:r>
      <w:r w:rsidR="001D1113" w:rsidRPr="001354D9">
        <w:rPr>
          <w:rFonts w:ascii="Gadugi" w:eastAsia="Calibri" w:hAnsi="Gadugi" w:cs="Times New Roman"/>
          <w:sz w:val="24"/>
          <w:szCs w:val="24"/>
        </w:rPr>
        <w:t xml:space="preserve">(i) </w:t>
      </w:r>
      <w:r w:rsidR="0099205B" w:rsidRPr="001354D9">
        <w:rPr>
          <w:rFonts w:ascii="Gadugi" w:eastAsia="Calibri" w:hAnsi="Gadugi" w:cs="Times New Roman"/>
          <w:sz w:val="24"/>
          <w:szCs w:val="24"/>
        </w:rPr>
        <w:t>causa extraña: culpa exclusiva de la víctima</w:t>
      </w:r>
      <w:r w:rsidR="000A3914" w:rsidRPr="001354D9">
        <w:rPr>
          <w:rFonts w:ascii="Gadugi" w:eastAsia="Calibri" w:hAnsi="Gadugi" w:cs="Times New Roman"/>
          <w:sz w:val="24"/>
          <w:szCs w:val="24"/>
        </w:rPr>
        <w:t xml:space="preserve">; </w:t>
      </w:r>
      <w:r w:rsidR="0099205B" w:rsidRPr="001354D9">
        <w:rPr>
          <w:rFonts w:ascii="Gadugi" w:eastAsia="Calibri" w:hAnsi="Gadugi" w:cs="Times New Roman"/>
          <w:sz w:val="24"/>
          <w:szCs w:val="24"/>
        </w:rPr>
        <w:t xml:space="preserve"> (ii) inexistencia de responsabilidad por inexistencia de nexo causal</w:t>
      </w:r>
      <w:r w:rsidR="000A3914" w:rsidRPr="001354D9">
        <w:rPr>
          <w:rFonts w:ascii="Gadugi" w:eastAsia="Calibri" w:hAnsi="Gadugi" w:cs="Times New Roman"/>
          <w:sz w:val="24"/>
          <w:szCs w:val="24"/>
        </w:rPr>
        <w:t>;</w:t>
      </w:r>
      <w:r w:rsidR="0099205B" w:rsidRPr="001354D9">
        <w:rPr>
          <w:rFonts w:ascii="Gadugi" w:eastAsia="Calibri" w:hAnsi="Gadugi" w:cs="Times New Roman"/>
          <w:sz w:val="24"/>
          <w:szCs w:val="24"/>
        </w:rPr>
        <w:t xml:space="preserve"> (iii) ausencia de prueba de los elementos estructurantes de la responsabilidad civil</w:t>
      </w:r>
      <w:r w:rsidR="000A3914" w:rsidRPr="001354D9">
        <w:rPr>
          <w:rFonts w:ascii="Gadugi" w:eastAsia="Calibri" w:hAnsi="Gadugi" w:cs="Times New Roman"/>
          <w:sz w:val="24"/>
          <w:szCs w:val="24"/>
        </w:rPr>
        <w:t xml:space="preserve">; </w:t>
      </w:r>
      <w:r w:rsidR="0099205B" w:rsidRPr="001354D9">
        <w:rPr>
          <w:rFonts w:ascii="Gadugi" w:eastAsia="Calibri" w:hAnsi="Gadugi" w:cs="Times New Roman"/>
          <w:sz w:val="24"/>
          <w:szCs w:val="24"/>
        </w:rPr>
        <w:t>(iv) inexistencia de culpa o error de conducta – actuación diligente y cuidadosa</w:t>
      </w:r>
      <w:r w:rsidR="0023309F" w:rsidRPr="001354D9">
        <w:rPr>
          <w:rFonts w:ascii="Gadugi" w:eastAsia="Calibri" w:hAnsi="Gadugi" w:cs="Times New Roman"/>
          <w:sz w:val="24"/>
          <w:szCs w:val="24"/>
        </w:rPr>
        <w:t>;</w:t>
      </w:r>
      <w:r w:rsidR="0099205B" w:rsidRPr="001354D9">
        <w:rPr>
          <w:rFonts w:ascii="Gadugi" w:eastAsia="Calibri" w:hAnsi="Gadugi" w:cs="Times New Roman"/>
          <w:sz w:val="24"/>
          <w:szCs w:val="24"/>
        </w:rPr>
        <w:t xml:space="preserve"> (v) inexistencia de la obligación de indemnizar</w:t>
      </w:r>
      <w:r w:rsidR="0023309F" w:rsidRPr="001354D9">
        <w:rPr>
          <w:rFonts w:ascii="Gadugi" w:eastAsia="Calibri" w:hAnsi="Gadugi" w:cs="Times New Roman"/>
          <w:sz w:val="24"/>
          <w:szCs w:val="24"/>
        </w:rPr>
        <w:t>;</w:t>
      </w:r>
      <w:r w:rsidR="0099205B" w:rsidRPr="001354D9">
        <w:rPr>
          <w:rFonts w:ascii="Gadugi" w:eastAsia="Calibri" w:hAnsi="Gadugi" w:cs="Times New Roman"/>
          <w:sz w:val="24"/>
          <w:szCs w:val="24"/>
        </w:rPr>
        <w:t xml:space="preserve"> (vi) cobro de lo no debido e intento </w:t>
      </w:r>
      <w:r w:rsidR="0099205B" w:rsidRPr="001354D9">
        <w:rPr>
          <w:rFonts w:ascii="Gadugi" w:eastAsia="Calibri" w:hAnsi="Gadugi" w:cs="Times New Roman"/>
          <w:sz w:val="24"/>
          <w:szCs w:val="24"/>
        </w:rPr>
        <w:lastRenderedPageBreak/>
        <w:t>de enriquecimiento sin causa</w:t>
      </w:r>
      <w:r w:rsidR="0023309F" w:rsidRPr="001354D9">
        <w:rPr>
          <w:rFonts w:ascii="Gadugi" w:eastAsia="Calibri" w:hAnsi="Gadugi" w:cs="Times New Roman"/>
          <w:sz w:val="24"/>
          <w:szCs w:val="24"/>
        </w:rPr>
        <w:t>;</w:t>
      </w:r>
      <w:r w:rsidR="0099205B" w:rsidRPr="001354D9">
        <w:rPr>
          <w:rFonts w:ascii="Gadugi" w:eastAsia="Calibri" w:hAnsi="Gadugi" w:cs="Times New Roman"/>
          <w:sz w:val="24"/>
          <w:szCs w:val="24"/>
        </w:rPr>
        <w:t xml:space="preserve"> (vii) prescripción, caducidad y compensación</w:t>
      </w:r>
      <w:r w:rsidR="0023309F" w:rsidRPr="001354D9">
        <w:rPr>
          <w:rFonts w:ascii="Gadugi" w:eastAsia="Calibri" w:hAnsi="Gadugi" w:cs="Times New Roman"/>
          <w:sz w:val="24"/>
          <w:szCs w:val="24"/>
        </w:rPr>
        <w:t>;</w:t>
      </w:r>
      <w:r w:rsidR="00FB4D19" w:rsidRPr="001354D9">
        <w:rPr>
          <w:rFonts w:ascii="Gadugi" w:eastAsia="Calibri" w:hAnsi="Gadugi" w:cs="Times New Roman"/>
          <w:sz w:val="24"/>
          <w:szCs w:val="24"/>
        </w:rPr>
        <w:t xml:space="preserve"> y </w:t>
      </w:r>
      <w:r w:rsidR="006F0E75" w:rsidRPr="001354D9">
        <w:rPr>
          <w:rFonts w:ascii="Gadugi" w:eastAsia="Calibri" w:hAnsi="Gadugi" w:cs="Times New Roman"/>
          <w:sz w:val="24"/>
          <w:szCs w:val="24"/>
        </w:rPr>
        <w:t xml:space="preserve">(viii) </w:t>
      </w:r>
      <w:r w:rsidR="0023309F" w:rsidRPr="001354D9">
        <w:rPr>
          <w:rFonts w:ascii="Gadugi" w:eastAsia="Calibri" w:hAnsi="Gadugi" w:cs="Times New Roman"/>
          <w:sz w:val="24"/>
          <w:szCs w:val="24"/>
        </w:rPr>
        <w:t xml:space="preserve">la </w:t>
      </w:r>
      <w:r w:rsidR="006F0E75" w:rsidRPr="001354D9">
        <w:rPr>
          <w:rFonts w:ascii="Gadugi" w:eastAsia="Calibri" w:hAnsi="Gadugi" w:cs="Times New Roman"/>
          <w:sz w:val="24"/>
          <w:szCs w:val="24"/>
        </w:rPr>
        <w:t>genérica</w:t>
      </w:r>
      <w:r w:rsidR="0023309F" w:rsidRPr="001354D9">
        <w:rPr>
          <w:rFonts w:ascii="Gadugi" w:eastAsia="Calibri" w:hAnsi="Gadugi" w:cs="Times New Roman"/>
          <w:sz w:val="24"/>
          <w:szCs w:val="24"/>
        </w:rPr>
        <w:t>. S</w:t>
      </w:r>
      <w:r w:rsidR="006F0E75" w:rsidRPr="001354D9">
        <w:rPr>
          <w:rFonts w:ascii="Gadugi" w:eastAsia="Calibri" w:hAnsi="Gadugi" w:cs="Times New Roman"/>
          <w:sz w:val="24"/>
          <w:szCs w:val="24"/>
        </w:rPr>
        <w:t>ubsidiaria</w:t>
      </w:r>
      <w:r w:rsidR="0023309F" w:rsidRPr="001354D9">
        <w:rPr>
          <w:rFonts w:ascii="Gadugi" w:eastAsia="Calibri" w:hAnsi="Gadugi" w:cs="Times New Roman"/>
          <w:sz w:val="24"/>
          <w:szCs w:val="24"/>
        </w:rPr>
        <w:t>mente</w:t>
      </w:r>
      <w:r w:rsidR="006F0E75" w:rsidRPr="001354D9">
        <w:rPr>
          <w:rFonts w:ascii="Gadugi" w:eastAsia="Calibri" w:hAnsi="Gadugi" w:cs="Times New Roman"/>
          <w:sz w:val="24"/>
          <w:szCs w:val="24"/>
        </w:rPr>
        <w:t xml:space="preserve"> formuló la concurrencia de culpas. </w:t>
      </w:r>
    </w:p>
    <w:p w14:paraId="4D5F041C" w14:textId="6D13609D" w:rsidR="006F0E75" w:rsidRPr="001354D9" w:rsidRDefault="006F0E75" w:rsidP="001354D9">
      <w:pPr>
        <w:spacing w:after="0" w:line="276" w:lineRule="auto"/>
        <w:ind w:firstLine="2835"/>
        <w:jc w:val="both"/>
        <w:rPr>
          <w:rFonts w:ascii="Gadugi" w:eastAsia="Calibri" w:hAnsi="Gadugi" w:cs="Times New Roman"/>
          <w:sz w:val="24"/>
          <w:szCs w:val="24"/>
        </w:rPr>
      </w:pPr>
    </w:p>
    <w:p w14:paraId="1B6E679D" w14:textId="58F41E9C" w:rsidR="006F0E75" w:rsidRPr="001354D9" w:rsidRDefault="0023309F"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También se refirió al </w:t>
      </w:r>
      <w:r w:rsidR="006F0E75" w:rsidRPr="001354D9">
        <w:rPr>
          <w:rFonts w:ascii="Gadugi" w:eastAsia="Calibri" w:hAnsi="Gadugi" w:cs="Times New Roman"/>
          <w:sz w:val="24"/>
          <w:szCs w:val="24"/>
        </w:rPr>
        <w:t xml:space="preserve">llamamiento </w:t>
      </w:r>
      <w:r w:rsidRPr="001354D9">
        <w:rPr>
          <w:rFonts w:ascii="Gadugi" w:eastAsia="Calibri" w:hAnsi="Gadugi" w:cs="Times New Roman"/>
          <w:sz w:val="24"/>
          <w:szCs w:val="24"/>
        </w:rPr>
        <w:t>y excepcionó:</w:t>
      </w:r>
      <w:r w:rsidR="006F0E75" w:rsidRPr="001354D9">
        <w:rPr>
          <w:rFonts w:ascii="Gadugi" w:eastAsia="Calibri" w:hAnsi="Gadugi" w:cs="Times New Roman"/>
          <w:sz w:val="24"/>
          <w:szCs w:val="24"/>
        </w:rPr>
        <w:t xml:space="preserve"> (i) inasegurabilidad del dolo y la culpa grave</w:t>
      </w:r>
      <w:r w:rsidRPr="001354D9">
        <w:rPr>
          <w:rFonts w:ascii="Gadugi" w:eastAsia="Calibri" w:hAnsi="Gadugi" w:cs="Times New Roman"/>
          <w:sz w:val="24"/>
          <w:szCs w:val="24"/>
        </w:rPr>
        <w:t>;</w:t>
      </w:r>
      <w:r w:rsidR="006F0E75" w:rsidRPr="001354D9">
        <w:rPr>
          <w:rFonts w:ascii="Gadugi" w:eastAsia="Calibri" w:hAnsi="Gadugi" w:cs="Times New Roman"/>
          <w:sz w:val="24"/>
          <w:szCs w:val="24"/>
        </w:rPr>
        <w:t xml:space="preserve"> (ii) límite de valor asegurado</w:t>
      </w:r>
      <w:r w:rsidRPr="001354D9">
        <w:rPr>
          <w:rFonts w:ascii="Gadugi" w:eastAsia="Calibri" w:hAnsi="Gadugi" w:cs="Times New Roman"/>
          <w:sz w:val="24"/>
          <w:szCs w:val="24"/>
        </w:rPr>
        <w:t>;</w:t>
      </w:r>
      <w:r w:rsidR="006F0E75" w:rsidRPr="001354D9">
        <w:rPr>
          <w:rFonts w:ascii="Gadugi" w:eastAsia="Calibri" w:hAnsi="Gadugi" w:cs="Times New Roman"/>
          <w:sz w:val="24"/>
          <w:szCs w:val="24"/>
        </w:rPr>
        <w:t xml:space="preserve"> (iii) deducible</w:t>
      </w:r>
      <w:r w:rsidRPr="001354D9">
        <w:rPr>
          <w:rFonts w:ascii="Gadugi" w:eastAsia="Calibri" w:hAnsi="Gadugi" w:cs="Times New Roman"/>
          <w:sz w:val="24"/>
          <w:szCs w:val="24"/>
        </w:rPr>
        <w:t>;</w:t>
      </w:r>
      <w:r w:rsidR="006F0E75" w:rsidRPr="001354D9">
        <w:rPr>
          <w:rFonts w:ascii="Gadugi" w:eastAsia="Calibri" w:hAnsi="Gadugi" w:cs="Times New Roman"/>
          <w:sz w:val="24"/>
          <w:szCs w:val="24"/>
        </w:rPr>
        <w:t xml:space="preserve"> (</w:t>
      </w:r>
      <w:r w:rsidR="00C74B90" w:rsidRPr="001354D9">
        <w:rPr>
          <w:rFonts w:ascii="Gadugi" w:eastAsia="Calibri" w:hAnsi="Gadugi" w:cs="Times New Roman"/>
          <w:sz w:val="24"/>
          <w:szCs w:val="24"/>
        </w:rPr>
        <w:t>iv</w:t>
      </w:r>
      <w:r w:rsidR="006F0E75" w:rsidRPr="001354D9">
        <w:rPr>
          <w:rFonts w:ascii="Gadugi" w:eastAsia="Calibri" w:hAnsi="Gadugi" w:cs="Times New Roman"/>
          <w:sz w:val="24"/>
          <w:szCs w:val="24"/>
        </w:rPr>
        <w:t>)</w:t>
      </w:r>
      <w:r w:rsidR="00C74B90" w:rsidRPr="001354D9">
        <w:rPr>
          <w:rFonts w:ascii="Gadugi" w:eastAsia="Calibri" w:hAnsi="Gadugi" w:cs="Times New Roman"/>
          <w:sz w:val="24"/>
          <w:szCs w:val="24"/>
        </w:rPr>
        <w:t xml:space="preserve"> ausencia de configuración de siniestro</w:t>
      </w:r>
      <w:r w:rsidRPr="001354D9">
        <w:rPr>
          <w:rFonts w:ascii="Gadugi" w:eastAsia="Calibri" w:hAnsi="Gadugi" w:cs="Times New Roman"/>
          <w:sz w:val="24"/>
          <w:szCs w:val="24"/>
        </w:rPr>
        <w:t>; y</w:t>
      </w:r>
      <w:r w:rsidR="00C74B90" w:rsidRPr="001354D9">
        <w:rPr>
          <w:rFonts w:ascii="Gadugi" w:eastAsia="Calibri" w:hAnsi="Gadugi" w:cs="Times New Roman"/>
          <w:sz w:val="24"/>
          <w:szCs w:val="24"/>
        </w:rPr>
        <w:t xml:space="preserve"> (v) inexistencia de solidaridad en el contrato de seguro.   </w:t>
      </w:r>
    </w:p>
    <w:p w14:paraId="184F0F88" w14:textId="2C138603" w:rsidR="00C74B90" w:rsidRPr="001354D9" w:rsidRDefault="00C74B90" w:rsidP="001354D9">
      <w:pPr>
        <w:spacing w:after="0" w:line="276" w:lineRule="auto"/>
        <w:ind w:firstLine="2835"/>
        <w:jc w:val="both"/>
        <w:rPr>
          <w:rFonts w:ascii="Gadugi" w:eastAsia="Calibri" w:hAnsi="Gadugi" w:cs="Times New Roman"/>
          <w:sz w:val="24"/>
          <w:szCs w:val="24"/>
        </w:rPr>
      </w:pPr>
    </w:p>
    <w:p w14:paraId="0408DE03" w14:textId="28847845" w:rsidR="00C74B90" w:rsidRPr="001354D9" w:rsidRDefault="00F349BF"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El 14 de agosto de 2020 se admitió </w:t>
      </w:r>
      <w:r w:rsidR="0029568C" w:rsidRPr="001354D9">
        <w:rPr>
          <w:rFonts w:ascii="Gadugi" w:eastAsia="Calibri" w:hAnsi="Gadugi" w:cs="Times New Roman"/>
          <w:sz w:val="24"/>
          <w:szCs w:val="24"/>
        </w:rPr>
        <w:t xml:space="preserve">una </w:t>
      </w:r>
      <w:r w:rsidRPr="001354D9">
        <w:rPr>
          <w:rFonts w:ascii="Gadugi" w:eastAsia="Calibri" w:hAnsi="Gadugi" w:cs="Times New Roman"/>
          <w:sz w:val="24"/>
          <w:szCs w:val="24"/>
        </w:rPr>
        <w:t xml:space="preserve">reforma </w:t>
      </w:r>
      <w:r w:rsidR="009968BD" w:rsidRPr="001354D9">
        <w:rPr>
          <w:rFonts w:ascii="Gadugi" w:eastAsia="Calibri" w:hAnsi="Gadugi" w:cs="Times New Roman"/>
          <w:sz w:val="24"/>
          <w:szCs w:val="24"/>
        </w:rPr>
        <w:t>de</w:t>
      </w:r>
      <w:r w:rsidRPr="001354D9">
        <w:rPr>
          <w:rFonts w:ascii="Gadugi" w:eastAsia="Calibri" w:hAnsi="Gadugi" w:cs="Times New Roman"/>
          <w:sz w:val="24"/>
          <w:szCs w:val="24"/>
        </w:rPr>
        <w:t xml:space="preserve"> la demanda</w:t>
      </w:r>
      <w:r w:rsidR="00FB4D19" w:rsidRPr="001354D9">
        <w:rPr>
          <w:rStyle w:val="Refdenotaalpie"/>
          <w:rFonts w:ascii="Gadugi" w:eastAsia="Calibri" w:hAnsi="Gadugi" w:cs="Times New Roman"/>
          <w:sz w:val="24"/>
          <w:szCs w:val="24"/>
        </w:rPr>
        <w:footnoteReference w:id="10"/>
      </w:r>
      <w:r w:rsidR="009540B7" w:rsidRPr="001354D9">
        <w:rPr>
          <w:rFonts w:ascii="Gadugi" w:eastAsia="Calibri" w:hAnsi="Gadugi" w:cs="Times New Roman"/>
          <w:sz w:val="24"/>
          <w:szCs w:val="24"/>
        </w:rPr>
        <w:t xml:space="preserve"> </w:t>
      </w:r>
      <w:r w:rsidR="009968BD" w:rsidRPr="001354D9">
        <w:rPr>
          <w:rFonts w:ascii="Gadugi" w:eastAsia="Calibri" w:hAnsi="Gadugi" w:cs="Times New Roman"/>
          <w:sz w:val="24"/>
          <w:szCs w:val="24"/>
        </w:rPr>
        <w:t xml:space="preserve">y </w:t>
      </w:r>
      <w:r w:rsidR="00FC6EFA" w:rsidRPr="001354D9">
        <w:rPr>
          <w:rFonts w:ascii="Gadugi" w:eastAsia="Calibri" w:hAnsi="Gadugi" w:cs="Times New Roman"/>
          <w:sz w:val="24"/>
          <w:szCs w:val="24"/>
        </w:rPr>
        <w:t xml:space="preserve">la aseguradora </w:t>
      </w:r>
      <w:r w:rsidR="00FB4D19" w:rsidRPr="001354D9">
        <w:rPr>
          <w:rFonts w:ascii="Gadugi" w:eastAsia="Calibri" w:hAnsi="Gadugi" w:cs="Times New Roman"/>
          <w:sz w:val="24"/>
          <w:szCs w:val="24"/>
        </w:rPr>
        <w:t>la contestó en iguales</w:t>
      </w:r>
      <w:r w:rsidR="009968BD" w:rsidRPr="001354D9">
        <w:rPr>
          <w:rFonts w:ascii="Gadugi" w:eastAsia="Calibri" w:hAnsi="Gadugi" w:cs="Times New Roman"/>
          <w:sz w:val="24"/>
          <w:szCs w:val="24"/>
        </w:rPr>
        <w:t xml:space="preserve"> términos</w:t>
      </w:r>
      <w:r w:rsidR="00FC6EFA" w:rsidRPr="001354D9">
        <w:rPr>
          <w:rFonts w:ascii="Gadugi" w:eastAsia="Calibri" w:hAnsi="Gadugi" w:cs="Times New Roman"/>
          <w:sz w:val="24"/>
          <w:szCs w:val="24"/>
        </w:rPr>
        <w:t>.</w:t>
      </w:r>
      <w:r w:rsidRPr="001354D9">
        <w:rPr>
          <w:rFonts w:ascii="Gadugi" w:eastAsia="Calibri" w:hAnsi="Gadugi" w:cs="Times New Roman"/>
          <w:sz w:val="24"/>
          <w:szCs w:val="24"/>
        </w:rPr>
        <w:t xml:space="preserve"> </w:t>
      </w:r>
    </w:p>
    <w:p w14:paraId="5969A6B3" w14:textId="77777777" w:rsidR="006F0E75" w:rsidRPr="001354D9" w:rsidRDefault="006F0E75" w:rsidP="001354D9">
      <w:pPr>
        <w:spacing w:after="0" w:line="276" w:lineRule="auto"/>
        <w:ind w:firstLine="2835"/>
        <w:jc w:val="both"/>
        <w:rPr>
          <w:rFonts w:ascii="Gadugi" w:eastAsia="Calibri" w:hAnsi="Gadugi" w:cs="Times New Roman"/>
          <w:sz w:val="24"/>
          <w:szCs w:val="24"/>
        </w:rPr>
      </w:pPr>
    </w:p>
    <w:p w14:paraId="78CBDA3B" w14:textId="4CD83847" w:rsidR="002271F1" w:rsidRPr="001354D9" w:rsidRDefault="002271F1" w:rsidP="001354D9">
      <w:pPr>
        <w:pStyle w:val="Prrafodelista"/>
        <w:numPr>
          <w:ilvl w:val="1"/>
          <w:numId w:val="1"/>
        </w:numPr>
        <w:tabs>
          <w:tab w:val="left" w:pos="2410"/>
        </w:tabs>
        <w:spacing w:after="0" w:line="276" w:lineRule="auto"/>
        <w:ind w:left="0" w:firstLine="1701"/>
        <w:jc w:val="both"/>
        <w:rPr>
          <w:rFonts w:ascii="Gadugi" w:eastAsia="Calibri" w:hAnsi="Gadugi" w:cs="Times New Roman"/>
          <w:b/>
          <w:sz w:val="24"/>
          <w:szCs w:val="24"/>
        </w:rPr>
      </w:pPr>
      <w:r w:rsidRPr="001354D9">
        <w:rPr>
          <w:rFonts w:ascii="Gadugi" w:eastAsia="Calibri" w:hAnsi="Gadugi" w:cs="Times New Roman"/>
          <w:b/>
          <w:sz w:val="24"/>
          <w:szCs w:val="24"/>
        </w:rPr>
        <w:t>La sentencia de primera instancia</w:t>
      </w:r>
      <w:r w:rsidR="00FB4D19" w:rsidRPr="001354D9">
        <w:rPr>
          <w:rStyle w:val="Refdenotaalpie"/>
          <w:rFonts w:ascii="Gadugi" w:eastAsia="Calibri" w:hAnsi="Gadugi" w:cs="Times New Roman"/>
          <w:b/>
          <w:sz w:val="24"/>
          <w:szCs w:val="24"/>
        </w:rPr>
        <w:footnoteReference w:id="11"/>
      </w:r>
    </w:p>
    <w:p w14:paraId="3F8011E1" w14:textId="77777777" w:rsidR="002271F1" w:rsidRPr="001354D9" w:rsidRDefault="002271F1" w:rsidP="001354D9">
      <w:pPr>
        <w:pStyle w:val="Prrafodelista"/>
        <w:spacing w:after="0" w:line="276" w:lineRule="auto"/>
        <w:ind w:left="2835"/>
        <w:jc w:val="both"/>
        <w:rPr>
          <w:rFonts w:ascii="Gadugi" w:eastAsia="Calibri" w:hAnsi="Gadugi" w:cs="Times New Roman"/>
          <w:sz w:val="24"/>
          <w:szCs w:val="24"/>
        </w:rPr>
      </w:pPr>
    </w:p>
    <w:p w14:paraId="277B16C3" w14:textId="7D06B9EB" w:rsidR="00494C00" w:rsidRPr="001354D9" w:rsidRDefault="00584E4E" w:rsidP="001354D9">
      <w:pPr>
        <w:pStyle w:val="Prrafodelista"/>
        <w:spacing w:after="0" w:line="276" w:lineRule="auto"/>
        <w:ind w:left="0" w:firstLine="1701"/>
        <w:jc w:val="both"/>
        <w:rPr>
          <w:rFonts w:ascii="Gadugi" w:hAnsi="Gadugi"/>
          <w:sz w:val="24"/>
          <w:szCs w:val="24"/>
        </w:rPr>
      </w:pPr>
      <w:r w:rsidRPr="001354D9">
        <w:rPr>
          <w:rFonts w:ascii="Gadugi" w:hAnsi="Gadugi"/>
          <w:sz w:val="24"/>
          <w:szCs w:val="24"/>
        </w:rPr>
        <w:t>Declar</w:t>
      </w:r>
      <w:r w:rsidR="00662428" w:rsidRPr="001354D9">
        <w:rPr>
          <w:rFonts w:ascii="Gadugi" w:hAnsi="Gadugi"/>
          <w:sz w:val="24"/>
          <w:szCs w:val="24"/>
        </w:rPr>
        <w:t>ó</w:t>
      </w:r>
      <w:r w:rsidRPr="001354D9">
        <w:rPr>
          <w:rFonts w:ascii="Gadugi" w:hAnsi="Gadugi"/>
          <w:sz w:val="24"/>
          <w:szCs w:val="24"/>
        </w:rPr>
        <w:t xml:space="preserve"> probadas las excepciones </w:t>
      </w:r>
      <w:bookmarkStart w:id="3" w:name="_Hlk104835538"/>
      <w:r w:rsidRPr="001354D9">
        <w:rPr>
          <w:rFonts w:ascii="Gadugi" w:hAnsi="Gadugi"/>
          <w:sz w:val="24"/>
          <w:szCs w:val="24"/>
        </w:rPr>
        <w:t>denominadas “</w:t>
      </w:r>
      <w:r w:rsidRPr="001354D9">
        <w:rPr>
          <w:rFonts w:ascii="Gadugi" w:hAnsi="Gadugi"/>
          <w:i/>
          <w:sz w:val="24"/>
          <w:szCs w:val="24"/>
        </w:rPr>
        <w:t>rompimiento del nexo causal por culpa exclusiva de la víctima”</w:t>
      </w:r>
      <w:r w:rsidR="00662428" w:rsidRPr="001354D9">
        <w:rPr>
          <w:rFonts w:ascii="Gadugi" w:hAnsi="Gadugi"/>
          <w:i/>
          <w:sz w:val="24"/>
          <w:szCs w:val="24"/>
        </w:rPr>
        <w:t>,</w:t>
      </w:r>
      <w:r w:rsidRPr="001354D9">
        <w:rPr>
          <w:rFonts w:ascii="Gadugi" w:hAnsi="Gadugi"/>
          <w:i/>
          <w:sz w:val="24"/>
          <w:szCs w:val="24"/>
        </w:rPr>
        <w:t xml:space="preserve"> “inexistencia de responsabilidad por inexistencia de nexo ca</w:t>
      </w:r>
      <w:r w:rsidR="00662428" w:rsidRPr="001354D9">
        <w:rPr>
          <w:rFonts w:ascii="Gadugi" w:hAnsi="Gadugi"/>
          <w:i/>
          <w:sz w:val="24"/>
          <w:szCs w:val="24"/>
        </w:rPr>
        <w:t>u</w:t>
      </w:r>
      <w:r w:rsidRPr="001354D9">
        <w:rPr>
          <w:rFonts w:ascii="Gadugi" w:hAnsi="Gadugi"/>
          <w:i/>
          <w:sz w:val="24"/>
          <w:szCs w:val="24"/>
        </w:rPr>
        <w:t>sal”</w:t>
      </w:r>
      <w:r w:rsidR="00662428" w:rsidRPr="001354D9">
        <w:rPr>
          <w:rFonts w:ascii="Gadugi" w:hAnsi="Gadugi"/>
          <w:i/>
          <w:sz w:val="24"/>
          <w:szCs w:val="24"/>
        </w:rPr>
        <w:t xml:space="preserve"> </w:t>
      </w:r>
      <w:r w:rsidR="00662428" w:rsidRPr="001354D9">
        <w:rPr>
          <w:rFonts w:ascii="Gadugi" w:hAnsi="Gadugi"/>
          <w:sz w:val="24"/>
          <w:szCs w:val="24"/>
        </w:rPr>
        <w:t>e</w:t>
      </w:r>
      <w:r w:rsidRPr="001354D9">
        <w:rPr>
          <w:rFonts w:ascii="Gadugi" w:hAnsi="Gadugi"/>
          <w:i/>
          <w:sz w:val="24"/>
          <w:szCs w:val="24"/>
        </w:rPr>
        <w:t xml:space="preserve"> “</w:t>
      </w:r>
      <w:r w:rsidR="00494C00" w:rsidRPr="001354D9">
        <w:rPr>
          <w:rFonts w:ascii="Gadugi" w:eastAsia="Calibri" w:hAnsi="Gadugi" w:cs="Times New Roman"/>
          <w:i/>
          <w:sz w:val="24"/>
          <w:szCs w:val="24"/>
        </w:rPr>
        <w:t>inexistencia de culpa o error de conducta – actuación diligente y cuidadosa</w:t>
      </w:r>
      <w:r w:rsidRPr="001354D9">
        <w:rPr>
          <w:rFonts w:ascii="Gadugi" w:hAnsi="Gadugi"/>
          <w:i/>
          <w:sz w:val="24"/>
          <w:szCs w:val="24"/>
        </w:rPr>
        <w:t>”</w:t>
      </w:r>
      <w:r w:rsidR="00494C00" w:rsidRPr="001354D9">
        <w:rPr>
          <w:rFonts w:ascii="Gadugi" w:hAnsi="Gadugi"/>
          <w:sz w:val="24"/>
          <w:szCs w:val="24"/>
        </w:rPr>
        <w:t xml:space="preserve">; negó las pretensiones de la demanda </w:t>
      </w:r>
      <w:bookmarkEnd w:id="3"/>
      <w:r w:rsidR="00494C00" w:rsidRPr="001354D9">
        <w:rPr>
          <w:rFonts w:ascii="Gadugi" w:hAnsi="Gadugi"/>
          <w:sz w:val="24"/>
          <w:szCs w:val="24"/>
        </w:rPr>
        <w:t>y condenó en costas a los demandantes.</w:t>
      </w:r>
    </w:p>
    <w:p w14:paraId="061757D2" w14:textId="77777777" w:rsidR="00FC6EFA" w:rsidRPr="001354D9" w:rsidRDefault="00FC6EFA" w:rsidP="001354D9">
      <w:pPr>
        <w:pStyle w:val="Prrafodelista"/>
        <w:spacing w:after="0" w:line="276" w:lineRule="auto"/>
        <w:ind w:left="0" w:firstLine="1701"/>
        <w:jc w:val="both"/>
        <w:rPr>
          <w:rFonts w:ascii="Gadugi" w:hAnsi="Gadugi"/>
          <w:sz w:val="24"/>
          <w:szCs w:val="24"/>
        </w:rPr>
      </w:pPr>
    </w:p>
    <w:p w14:paraId="23D47FEC" w14:textId="6F2A9236" w:rsidR="00500341" w:rsidRPr="001354D9" w:rsidRDefault="00500341" w:rsidP="001354D9">
      <w:pPr>
        <w:pStyle w:val="Prrafodelista"/>
        <w:spacing w:after="0" w:line="276" w:lineRule="auto"/>
        <w:ind w:left="0" w:firstLine="1701"/>
        <w:jc w:val="both"/>
        <w:rPr>
          <w:rFonts w:ascii="Gadugi" w:hAnsi="Gadugi"/>
          <w:sz w:val="24"/>
          <w:szCs w:val="24"/>
        </w:rPr>
      </w:pPr>
      <w:r w:rsidRPr="001354D9">
        <w:rPr>
          <w:rFonts w:ascii="Gadugi" w:hAnsi="Gadugi"/>
          <w:sz w:val="24"/>
          <w:szCs w:val="24"/>
        </w:rPr>
        <w:t xml:space="preserve">Se </w:t>
      </w:r>
      <w:r w:rsidR="00C344BD" w:rsidRPr="001354D9">
        <w:rPr>
          <w:rFonts w:ascii="Gadugi" w:hAnsi="Gadugi"/>
          <w:sz w:val="24"/>
          <w:szCs w:val="24"/>
        </w:rPr>
        <w:t xml:space="preserve">fundó lo anterior en el </w:t>
      </w:r>
      <w:r w:rsidRPr="001354D9">
        <w:rPr>
          <w:rFonts w:ascii="Gadugi" w:hAnsi="Gadugi"/>
          <w:sz w:val="24"/>
          <w:szCs w:val="24"/>
        </w:rPr>
        <w:t xml:space="preserve">hecho de que las pruebas </w:t>
      </w:r>
      <w:r w:rsidR="00C344BD" w:rsidRPr="001354D9">
        <w:rPr>
          <w:rFonts w:ascii="Gadugi" w:hAnsi="Gadugi"/>
          <w:sz w:val="24"/>
          <w:szCs w:val="24"/>
        </w:rPr>
        <w:t xml:space="preserve">conducen a establecer la </w:t>
      </w:r>
      <w:r w:rsidRPr="001354D9">
        <w:rPr>
          <w:rFonts w:ascii="Gadugi" w:hAnsi="Gadugi"/>
          <w:sz w:val="24"/>
          <w:szCs w:val="24"/>
        </w:rPr>
        <w:t>culpa exclusiva de la víctima</w:t>
      </w:r>
      <w:r w:rsidR="00C344BD" w:rsidRPr="001354D9">
        <w:rPr>
          <w:rFonts w:ascii="Gadugi" w:hAnsi="Gadugi"/>
          <w:sz w:val="24"/>
          <w:szCs w:val="24"/>
        </w:rPr>
        <w:t xml:space="preserve">, </w:t>
      </w:r>
      <w:r w:rsidRPr="001354D9">
        <w:rPr>
          <w:rFonts w:ascii="Gadugi" w:hAnsi="Gadugi"/>
          <w:sz w:val="24"/>
          <w:szCs w:val="24"/>
        </w:rPr>
        <w:t>que llevó al grave desenlace en el accidente de tránsito</w:t>
      </w:r>
      <w:r w:rsidR="00C344BD" w:rsidRPr="001354D9">
        <w:rPr>
          <w:rFonts w:ascii="Gadugi" w:hAnsi="Gadugi"/>
          <w:sz w:val="24"/>
          <w:szCs w:val="24"/>
        </w:rPr>
        <w:t>; por</w:t>
      </w:r>
      <w:r w:rsidRPr="001354D9">
        <w:rPr>
          <w:rFonts w:ascii="Gadugi" w:hAnsi="Gadugi"/>
          <w:sz w:val="24"/>
          <w:szCs w:val="24"/>
        </w:rPr>
        <w:t xml:space="preserve"> lo mismo</w:t>
      </w:r>
      <w:r w:rsidR="00C344BD" w:rsidRPr="001354D9">
        <w:rPr>
          <w:rFonts w:ascii="Gadugi" w:hAnsi="Gadugi"/>
          <w:sz w:val="24"/>
          <w:szCs w:val="24"/>
        </w:rPr>
        <w:t>,</w:t>
      </w:r>
      <w:r w:rsidRPr="001354D9">
        <w:rPr>
          <w:rFonts w:ascii="Gadugi" w:hAnsi="Gadugi"/>
          <w:sz w:val="24"/>
          <w:szCs w:val="24"/>
        </w:rPr>
        <w:t xml:space="preserve"> se romp</w:t>
      </w:r>
      <w:r w:rsidR="00C344BD" w:rsidRPr="001354D9">
        <w:rPr>
          <w:rFonts w:ascii="Gadugi" w:hAnsi="Gadugi"/>
          <w:sz w:val="24"/>
          <w:szCs w:val="24"/>
        </w:rPr>
        <w:t xml:space="preserve">ió </w:t>
      </w:r>
      <w:r w:rsidRPr="001354D9">
        <w:rPr>
          <w:rFonts w:ascii="Gadugi" w:hAnsi="Gadugi"/>
          <w:sz w:val="24"/>
          <w:szCs w:val="24"/>
        </w:rPr>
        <w:t>el nexo causal</w:t>
      </w:r>
      <w:r w:rsidR="00721BA3" w:rsidRPr="001354D9">
        <w:rPr>
          <w:rFonts w:ascii="Gadugi" w:hAnsi="Gadugi"/>
          <w:sz w:val="24"/>
          <w:szCs w:val="24"/>
        </w:rPr>
        <w:t>.</w:t>
      </w:r>
      <w:r w:rsidRPr="001354D9">
        <w:rPr>
          <w:rFonts w:ascii="Gadugi" w:hAnsi="Gadugi"/>
          <w:sz w:val="24"/>
          <w:szCs w:val="24"/>
        </w:rPr>
        <w:t xml:space="preserve"> </w:t>
      </w:r>
    </w:p>
    <w:p w14:paraId="7FB8E37E" w14:textId="77777777" w:rsidR="00494C00" w:rsidRPr="001354D9" w:rsidRDefault="00494C00" w:rsidP="001354D9">
      <w:pPr>
        <w:pStyle w:val="Prrafodelista"/>
        <w:spacing w:after="0" w:line="276" w:lineRule="auto"/>
        <w:ind w:firstLine="2835"/>
        <w:jc w:val="both"/>
        <w:rPr>
          <w:rFonts w:ascii="Gadugi" w:hAnsi="Gadugi"/>
          <w:sz w:val="24"/>
          <w:szCs w:val="24"/>
        </w:rPr>
      </w:pPr>
    </w:p>
    <w:p w14:paraId="1E88E726" w14:textId="6215D577" w:rsidR="00D66C73" w:rsidRPr="001354D9" w:rsidRDefault="00D66C73" w:rsidP="001354D9">
      <w:pPr>
        <w:pStyle w:val="Prrafodelista"/>
        <w:numPr>
          <w:ilvl w:val="1"/>
          <w:numId w:val="1"/>
        </w:numPr>
        <w:spacing w:after="0" w:line="276" w:lineRule="auto"/>
        <w:ind w:left="2410" w:hanging="709"/>
        <w:jc w:val="both"/>
        <w:rPr>
          <w:rFonts w:ascii="Gadugi" w:hAnsi="Gadugi"/>
          <w:b/>
          <w:bCs/>
          <w:sz w:val="24"/>
          <w:szCs w:val="24"/>
        </w:rPr>
      </w:pPr>
      <w:r w:rsidRPr="001354D9">
        <w:rPr>
          <w:rFonts w:ascii="Gadugi" w:hAnsi="Gadugi"/>
          <w:b/>
          <w:bCs/>
          <w:sz w:val="24"/>
          <w:szCs w:val="24"/>
        </w:rPr>
        <w:t xml:space="preserve">Apelación </w:t>
      </w:r>
    </w:p>
    <w:p w14:paraId="7AAB2AF7" w14:textId="75AA88D2" w:rsidR="00D66C73" w:rsidRPr="001354D9" w:rsidRDefault="00D66C73" w:rsidP="001354D9">
      <w:pPr>
        <w:spacing w:after="0" w:line="276" w:lineRule="auto"/>
        <w:ind w:left="2835"/>
        <w:jc w:val="both"/>
        <w:rPr>
          <w:rFonts w:ascii="Gadugi" w:hAnsi="Gadugi"/>
          <w:b/>
          <w:bCs/>
          <w:sz w:val="24"/>
          <w:szCs w:val="24"/>
        </w:rPr>
      </w:pPr>
    </w:p>
    <w:p w14:paraId="12862066" w14:textId="38D13ED3" w:rsidR="008A0241" w:rsidRPr="001354D9" w:rsidRDefault="00721BA3" w:rsidP="001354D9">
      <w:pPr>
        <w:spacing w:after="0" w:line="276" w:lineRule="auto"/>
        <w:ind w:firstLine="1701"/>
        <w:jc w:val="both"/>
        <w:rPr>
          <w:rFonts w:ascii="Gadugi" w:hAnsi="Gadugi"/>
          <w:sz w:val="24"/>
          <w:szCs w:val="24"/>
        </w:rPr>
      </w:pPr>
      <w:r w:rsidRPr="001354D9">
        <w:rPr>
          <w:rFonts w:ascii="Gadugi" w:hAnsi="Gadugi"/>
          <w:sz w:val="24"/>
          <w:szCs w:val="24"/>
        </w:rPr>
        <w:t>Apelaron los demandantes, quienes soporta</w:t>
      </w:r>
      <w:r w:rsidR="008A0241" w:rsidRPr="001354D9">
        <w:rPr>
          <w:rFonts w:ascii="Gadugi" w:hAnsi="Gadugi"/>
          <w:sz w:val="24"/>
          <w:szCs w:val="24"/>
        </w:rPr>
        <w:t>ron</w:t>
      </w:r>
      <w:r w:rsidRPr="001354D9">
        <w:rPr>
          <w:rFonts w:ascii="Gadugi" w:hAnsi="Gadugi"/>
          <w:sz w:val="24"/>
          <w:szCs w:val="24"/>
        </w:rPr>
        <w:t xml:space="preserve"> su disenso en que la decisión está precedida de un </w:t>
      </w:r>
      <w:r w:rsidR="00C24C92" w:rsidRPr="001354D9">
        <w:rPr>
          <w:rFonts w:ascii="Gadugi" w:hAnsi="Gadugi"/>
          <w:sz w:val="24"/>
          <w:szCs w:val="24"/>
        </w:rPr>
        <w:t>defecto f</w:t>
      </w:r>
      <w:r w:rsidRPr="001354D9">
        <w:rPr>
          <w:rFonts w:ascii="Gadugi" w:hAnsi="Gadugi"/>
          <w:sz w:val="24"/>
          <w:szCs w:val="24"/>
        </w:rPr>
        <w:t>á</w:t>
      </w:r>
      <w:r w:rsidR="00C24C92" w:rsidRPr="001354D9">
        <w:rPr>
          <w:rFonts w:ascii="Gadugi" w:hAnsi="Gadugi"/>
          <w:sz w:val="24"/>
          <w:szCs w:val="24"/>
        </w:rPr>
        <w:t>ctico</w:t>
      </w:r>
      <w:r w:rsidRPr="001354D9">
        <w:rPr>
          <w:rFonts w:ascii="Gadugi" w:hAnsi="Gadugi"/>
          <w:sz w:val="24"/>
          <w:szCs w:val="24"/>
        </w:rPr>
        <w:t>,</w:t>
      </w:r>
      <w:r w:rsidR="0055597D" w:rsidRPr="001354D9">
        <w:rPr>
          <w:rFonts w:ascii="Gadugi" w:hAnsi="Gadugi"/>
          <w:sz w:val="24"/>
          <w:szCs w:val="24"/>
        </w:rPr>
        <w:t xml:space="preserve"> </w:t>
      </w:r>
      <w:r w:rsidR="001D01C4" w:rsidRPr="001354D9">
        <w:rPr>
          <w:rFonts w:ascii="Gadugi" w:hAnsi="Gadugi"/>
          <w:sz w:val="24"/>
          <w:szCs w:val="24"/>
        </w:rPr>
        <w:t xml:space="preserve">ante la falta de </w:t>
      </w:r>
      <w:r w:rsidR="00C24C92" w:rsidRPr="001354D9">
        <w:rPr>
          <w:rFonts w:ascii="Gadugi" w:hAnsi="Gadugi"/>
          <w:sz w:val="24"/>
          <w:szCs w:val="24"/>
        </w:rPr>
        <w:t xml:space="preserve">valoración </w:t>
      </w:r>
      <w:r w:rsidR="00FE5B8A" w:rsidRPr="001354D9">
        <w:rPr>
          <w:rFonts w:ascii="Gadugi" w:hAnsi="Gadugi"/>
          <w:sz w:val="24"/>
          <w:szCs w:val="24"/>
        </w:rPr>
        <w:t xml:space="preserve">integral del caudal </w:t>
      </w:r>
      <w:r w:rsidR="00C24C92" w:rsidRPr="001354D9">
        <w:rPr>
          <w:rFonts w:ascii="Gadugi" w:hAnsi="Gadugi"/>
          <w:sz w:val="24"/>
          <w:szCs w:val="24"/>
        </w:rPr>
        <w:t>probatori</w:t>
      </w:r>
      <w:r w:rsidR="00FE5B8A" w:rsidRPr="001354D9">
        <w:rPr>
          <w:rFonts w:ascii="Gadugi" w:hAnsi="Gadugi"/>
          <w:sz w:val="24"/>
          <w:szCs w:val="24"/>
        </w:rPr>
        <w:t>o</w:t>
      </w:r>
      <w:r w:rsidR="00FB4D19" w:rsidRPr="001354D9">
        <w:rPr>
          <w:rStyle w:val="Refdenotaalpie"/>
          <w:rFonts w:ascii="Gadugi" w:hAnsi="Gadugi"/>
          <w:sz w:val="24"/>
          <w:szCs w:val="24"/>
        </w:rPr>
        <w:footnoteReference w:id="12"/>
      </w:r>
      <w:r w:rsidR="00BB48CD" w:rsidRPr="001354D9">
        <w:rPr>
          <w:rFonts w:ascii="Gadugi" w:hAnsi="Gadugi"/>
          <w:sz w:val="24"/>
          <w:szCs w:val="24"/>
        </w:rPr>
        <w:t>.</w:t>
      </w:r>
      <w:r w:rsidRPr="001354D9">
        <w:rPr>
          <w:rFonts w:ascii="Gadugi" w:hAnsi="Gadugi"/>
          <w:sz w:val="24"/>
          <w:szCs w:val="24"/>
        </w:rPr>
        <w:t xml:space="preserve"> En particular, porque el funcionario centró su decisión en un dictamen aportado por los demandados y desconoció el que ellos allegaron; </w:t>
      </w:r>
      <w:r w:rsidR="00FC6EFA" w:rsidRPr="001354D9">
        <w:rPr>
          <w:rFonts w:ascii="Gadugi" w:hAnsi="Gadugi"/>
          <w:sz w:val="24"/>
          <w:szCs w:val="24"/>
        </w:rPr>
        <w:t>no</w:t>
      </w:r>
      <w:r w:rsidRPr="001354D9">
        <w:rPr>
          <w:rFonts w:ascii="Gadugi" w:hAnsi="Gadugi"/>
          <w:sz w:val="24"/>
          <w:szCs w:val="24"/>
        </w:rPr>
        <w:t xml:space="preserve"> valoró el testimonio de Carlos Izquierdo</w:t>
      </w:r>
      <w:r w:rsidR="005B5C58" w:rsidRPr="001354D9">
        <w:rPr>
          <w:rFonts w:ascii="Gadugi" w:hAnsi="Gadugi"/>
          <w:sz w:val="24"/>
          <w:szCs w:val="24"/>
        </w:rPr>
        <w:t xml:space="preserve">, testigo ocular; supuso que el impacto del vehículo fue por el lado izquierdo, porque hubo fractura de la clavícula izquierda, pero pasó por alto que el informe pericial de clínica forense establece que la fractura fue en las dos clavículas; por último, al valorar el interrogatorio del demandante y sus contradicciones, olvidó las especiales condiciones de </w:t>
      </w:r>
      <w:r w:rsidR="00E35E6C" w:rsidRPr="001354D9">
        <w:rPr>
          <w:rFonts w:ascii="Gadugi" w:hAnsi="Gadugi"/>
          <w:sz w:val="24"/>
          <w:szCs w:val="24"/>
        </w:rPr>
        <w:t>Alven</w:t>
      </w:r>
      <w:r w:rsidR="005B5C58" w:rsidRPr="001354D9">
        <w:rPr>
          <w:rFonts w:ascii="Gadugi" w:hAnsi="Gadugi"/>
          <w:sz w:val="24"/>
          <w:szCs w:val="24"/>
        </w:rPr>
        <w:t xml:space="preserve"> de Jesús, </w:t>
      </w:r>
      <w:r w:rsidR="008A0241" w:rsidRPr="001354D9">
        <w:rPr>
          <w:rFonts w:ascii="Gadugi" w:hAnsi="Gadugi"/>
          <w:sz w:val="24"/>
          <w:szCs w:val="24"/>
        </w:rPr>
        <w:t xml:space="preserve">quien es analfabeto. Estos argumentos </w:t>
      </w:r>
      <w:r w:rsidR="001B2009" w:rsidRPr="001354D9">
        <w:rPr>
          <w:rFonts w:ascii="Gadugi" w:hAnsi="Gadugi"/>
          <w:sz w:val="24"/>
          <w:szCs w:val="24"/>
        </w:rPr>
        <w:t>fueron reiterados al sustentar la alzada</w:t>
      </w:r>
      <w:r w:rsidR="00B05960" w:rsidRPr="001354D9">
        <w:rPr>
          <w:rStyle w:val="Refdenotaalpie"/>
          <w:rFonts w:ascii="Gadugi" w:hAnsi="Gadugi"/>
          <w:sz w:val="24"/>
          <w:szCs w:val="24"/>
        </w:rPr>
        <w:footnoteReference w:id="13"/>
      </w:r>
      <w:r w:rsidR="00B05960" w:rsidRPr="001354D9">
        <w:rPr>
          <w:rFonts w:ascii="Gadugi" w:hAnsi="Gadugi"/>
          <w:sz w:val="24"/>
          <w:szCs w:val="24"/>
        </w:rPr>
        <w:t>.</w:t>
      </w:r>
    </w:p>
    <w:p w14:paraId="09D3993B" w14:textId="15AA309F" w:rsidR="008A0241" w:rsidRPr="001354D9" w:rsidRDefault="008A0241" w:rsidP="001354D9">
      <w:pPr>
        <w:spacing w:after="0" w:line="276" w:lineRule="auto"/>
        <w:ind w:firstLine="1701"/>
        <w:jc w:val="both"/>
        <w:rPr>
          <w:rFonts w:ascii="Gadugi" w:hAnsi="Gadugi"/>
          <w:sz w:val="24"/>
          <w:szCs w:val="24"/>
        </w:rPr>
      </w:pPr>
    </w:p>
    <w:p w14:paraId="3D180DFB" w14:textId="77777777" w:rsidR="008A0241" w:rsidRPr="001354D9" w:rsidRDefault="008A0241" w:rsidP="001354D9">
      <w:pPr>
        <w:spacing w:after="0" w:line="276" w:lineRule="auto"/>
        <w:ind w:firstLine="1701"/>
        <w:jc w:val="both"/>
        <w:rPr>
          <w:rFonts w:ascii="Gadugi" w:hAnsi="Gadugi"/>
          <w:sz w:val="24"/>
          <w:szCs w:val="24"/>
        </w:rPr>
      </w:pPr>
    </w:p>
    <w:p w14:paraId="1D38D805" w14:textId="77777777" w:rsidR="004C54B6" w:rsidRPr="001354D9" w:rsidRDefault="004C54B6" w:rsidP="001354D9">
      <w:pPr>
        <w:spacing w:after="0" w:line="276" w:lineRule="auto"/>
        <w:ind w:firstLine="1701"/>
        <w:jc w:val="both"/>
        <w:rPr>
          <w:rFonts w:ascii="Gadugi" w:eastAsia="Calibri" w:hAnsi="Gadugi" w:cs="Times New Roman"/>
          <w:sz w:val="24"/>
          <w:szCs w:val="24"/>
          <w:lang w:val="es-ES"/>
        </w:rPr>
      </w:pPr>
      <w:r w:rsidRPr="001354D9">
        <w:rPr>
          <w:rFonts w:ascii="Gadugi" w:eastAsia="Calibri" w:hAnsi="Gadugi" w:cs="Times New Roman"/>
          <w:b/>
          <w:bCs/>
          <w:sz w:val="24"/>
          <w:szCs w:val="24"/>
          <w:lang w:val="es-ES"/>
        </w:rPr>
        <w:t>2.</w:t>
      </w:r>
      <w:r w:rsidRPr="001354D9">
        <w:rPr>
          <w:rFonts w:ascii="Gadugi" w:eastAsia="Calibri" w:hAnsi="Gadugi" w:cs="Times New Roman"/>
          <w:sz w:val="24"/>
          <w:szCs w:val="24"/>
          <w:lang w:val="es-ES"/>
        </w:rPr>
        <w:tab/>
      </w:r>
      <w:r w:rsidRPr="001354D9">
        <w:rPr>
          <w:rFonts w:ascii="Gadugi" w:eastAsia="Calibri" w:hAnsi="Gadugi" w:cs="Times New Roman"/>
          <w:b/>
          <w:bCs/>
          <w:sz w:val="24"/>
          <w:szCs w:val="24"/>
          <w:lang w:val="es-ES"/>
        </w:rPr>
        <w:t>CONSIDERACIONES</w:t>
      </w:r>
    </w:p>
    <w:p w14:paraId="28C3F3E9" w14:textId="77777777" w:rsidR="004C54B6" w:rsidRPr="001354D9" w:rsidRDefault="004C54B6" w:rsidP="001354D9">
      <w:pPr>
        <w:spacing w:after="0" w:line="276" w:lineRule="auto"/>
        <w:ind w:firstLine="1701"/>
        <w:jc w:val="both"/>
        <w:rPr>
          <w:rFonts w:ascii="Gadugi" w:eastAsia="Calibri" w:hAnsi="Gadugi" w:cs="Times New Roman"/>
          <w:sz w:val="24"/>
          <w:szCs w:val="24"/>
          <w:lang w:val="es-ES"/>
        </w:rPr>
      </w:pPr>
    </w:p>
    <w:p w14:paraId="0070FF0D" w14:textId="77777777" w:rsidR="004C54B6" w:rsidRPr="001354D9" w:rsidRDefault="004C54B6" w:rsidP="001354D9">
      <w:pPr>
        <w:spacing w:after="0" w:line="276" w:lineRule="auto"/>
        <w:ind w:firstLine="1701"/>
        <w:jc w:val="both"/>
        <w:rPr>
          <w:rFonts w:ascii="Gadugi" w:eastAsia="Calibri" w:hAnsi="Gadugi" w:cs="Times New Roman"/>
          <w:sz w:val="24"/>
          <w:szCs w:val="24"/>
          <w:lang w:val="es-ES"/>
        </w:rPr>
      </w:pPr>
    </w:p>
    <w:p w14:paraId="09F53B31" w14:textId="0F9B29A6" w:rsidR="004C54B6" w:rsidRPr="001354D9" w:rsidRDefault="004C54B6" w:rsidP="001354D9">
      <w:pPr>
        <w:spacing w:after="0" w:line="276" w:lineRule="auto"/>
        <w:ind w:firstLine="1701"/>
        <w:jc w:val="both"/>
        <w:rPr>
          <w:rFonts w:ascii="Gadugi" w:eastAsia="Calibri" w:hAnsi="Gadugi" w:cs="Times New Roman"/>
          <w:sz w:val="24"/>
          <w:szCs w:val="24"/>
          <w:lang w:val="es-ES"/>
        </w:rPr>
      </w:pPr>
      <w:r w:rsidRPr="001354D9">
        <w:rPr>
          <w:rFonts w:ascii="Gadugi" w:eastAsia="Calibri" w:hAnsi="Gadugi" w:cs="Times New Roman"/>
          <w:sz w:val="24"/>
          <w:szCs w:val="24"/>
          <w:lang w:val="es-ES"/>
        </w:rPr>
        <w:t>2.1.</w:t>
      </w:r>
      <w:r w:rsidR="00775959" w:rsidRPr="001354D9">
        <w:rPr>
          <w:rFonts w:ascii="Gadugi" w:eastAsia="Calibri" w:hAnsi="Gadugi" w:cs="Times New Roman"/>
          <w:sz w:val="24"/>
          <w:szCs w:val="24"/>
          <w:lang w:val="es-ES"/>
        </w:rPr>
        <w:t xml:space="preserve"> </w:t>
      </w:r>
      <w:r w:rsidRPr="001354D9">
        <w:rPr>
          <w:rFonts w:ascii="Gadugi" w:eastAsia="Calibri" w:hAnsi="Gadugi" w:cs="Times New Roman"/>
          <w:sz w:val="24"/>
          <w:szCs w:val="24"/>
          <w:lang w:val="es-ES"/>
        </w:rPr>
        <w:t>Concurren los presupuestos procesales y no hay causales de nulidad que hagan decaer lo actuado, por lo que la sentencia será de fondo.</w:t>
      </w:r>
    </w:p>
    <w:p w14:paraId="1FEC7363" w14:textId="77777777" w:rsidR="004C54B6" w:rsidRPr="001354D9" w:rsidRDefault="004C54B6" w:rsidP="001354D9">
      <w:pPr>
        <w:spacing w:after="0" w:line="276" w:lineRule="auto"/>
        <w:ind w:firstLine="1701"/>
        <w:jc w:val="both"/>
        <w:rPr>
          <w:rFonts w:ascii="Gadugi" w:eastAsia="Calibri" w:hAnsi="Gadugi" w:cs="Times New Roman"/>
          <w:sz w:val="24"/>
          <w:szCs w:val="24"/>
          <w:lang w:val="es-ES"/>
        </w:rPr>
      </w:pPr>
    </w:p>
    <w:p w14:paraId="4D135EDD" w14:textId="66ABDA1B" w:rsidR="004C54B6" w:rsidRPr="001354D9" w:rsidRDefault="004C54B6" w:rsidP="001354D9">
      <w:pPr>
        <w:spacing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lang w:val="es-ES"/>
        </w:rPr>
        <w:t xml:space="preserve">2.2. </w:t>
      </w:r>
      <w:r w:rsidRPr="001354D9">
        <w:rPr>
          <w:rFonts w:ascii="Gadugi" w:eastAsia="Calibri" w:hAnsi="Gadugi" w:cs="Times New Roman"/>
          <w:sz w:val="24"/>
          <w:szCs w:val="24"/>
        </w:rPr>
        <w:t xml:space="preserve">La legitimación en la causa está acreditada por activa, ya que al proceso comparecen </w:t>
      </w:r>
      <w:r w:rsidR="00E35E6C" w:rsidRPr="001354D9">
        <w:rPr>
          <w:rFonts w:ascii="Gadugi" w:eastAsia="Calibri" w:hAnsi="Gadugi" w:cs="Times New Roman"/>
          <w:sz w:val="24"/>
          <w:szCs w:val="24"/>
        </w:rPr>
        <w:t>Alven</w:t>
      </w:r>
      <w:r w:rsidR="004C4277" w:rsidRPr="001354D9">
        <w:rPr>
          <w:rFonts w:ascii="Gadugi" w:eastAsia="Calibri" w:hAnsi="Gadugi" w:cs="Times New Roman"/>
          <w:sz w:val="24"/>
          <w:szCs w:val="24"/>
        </w:rPr>
        <w:t xml:space="preserve"> </w:t>
      </w:r>
      <w:bookmarkStart w:id="4" w:name="_Hlk104839874"/>
      <w:r w:rsidR="004C4277" w:rsidRPr="001354D9">
        <w:rPr>
          <w:rFonts w:ascii="Gadugi" w:eastAsia="Calibri" w:hAnsi="Gadugi" w:cs="Times New Roman"/>
          <w:sz w:val="24"/>
          <w:szCs w:val="24"/>
        </w:rPr>
        <w:t>de Jesús Álvarez, Luz Mila Sepúlveda Durango, Luz Edilma, Yuli Andrea y Alejandro Álvarez Sepúlveda</w:t>
      </w:r>
      <w:bookmarkEnd w:id="4"/>
      <w:r w:rsidR="004C4277" w:rsidRPr="001354D9">
        <w:rPr>
          <w:rFonts w:ascii="Gadugi" w:eastAsia="Calibri" w:hAnsi="Gadugi" w:cs="Times New Roman"/>
          <w:sz w:val="24"/>
          <w:szCs w:val="24"/>
        </w:rPr>
        <w:t xml:space="preserve">, </w:t>
      </w:r>
      <w:r w:rsidRPr="001354D9">
        <w:rPr>
          <w:rFonts w:ascii="Gadugi" w:eastAsia="Calibri" w:hAnsi="Gadugi" w:cs="Times New Roman"/>
          <w:sz w:val="24"/>
          <w:szCs w:val="24"/>
        </w:rPr>
        <w:t xml:space="preserve">el primero como víctima directa, los segundos como víctimas indirectas o de rebote, por tratarse de </w:t>
      </w:r>
      <w:r w:rsidR="00B05960" w:rsidRPr="001354D9">
        <w:rPr>
          <w:rFonts w:ascii="Gadugi" w:eastAsia="Calibri" w:hAnsi="Gadugi" w:cs="Times New Roman"/>
          <w:sz w:val="24"/>
          <w:szCs w:val="24"/>
        </w:rPr>
        <w:t>la</w:t>
      </w:r>
      <w:r w:rsidRPr="001354D9">
        <w:rPr>
          <w:rFonts w:ascii="Gadugi" w:eastAsia="Calibri" w:hAnsi="Gadugi" w:cs="Times New Roman"/>
          <w:sz w:val="24"/>
          <w:szCs w:val="24"/>
        </w:rPr>
        <w:t xml:space="preserve"> cónyuge y </w:t>
      </w:r>
      <w:r w:rsidR="00B05960" w:rsidRPr="001354D9">
        <w:rPr>
          <w:rFonts w:ascii="Gadugi" w:eastAsia="Calibri" w:hAnsi="Gadugi" w:cs="Times New Roman"/>
          <w:sz w:val="24"/>
          <w:szCs w:val="24"/>
        </w:rPr>
        <w:t xml:space="preserve">los </w:t>
      </w:r>
      <w:r w:rsidRPr="001354D9">
        <w:rPr>
          <w:rFonts w:ascii="Gadugi" w:eastAsia="Calibri" w:hAnsi="Gadugi" w:cs="Times New Roman"/>
          <w:sz w:val="24"/>
          <w:szCs w:val="24"/>
        </w:rPr>
        <w:t>hij</w:t>
      </w:r>
      <w:r w:rsidR="007C2E7B" w:rsidRPr="001354D9">
        <w:rPr>
          <w:rFonts w:ascii="Gadugi" w:eastAsia="Calibri" w:hAnsi="Gadugi" w:cs="Times New Roman"/>
          <w:sz w:val="24"/>
          <w:szCs w:val="24"/>
        </w:rPr>
        <w:t>os</w:t>
      </w:r>
      <w:r w:rsidR="00B05960" w:rsidRPr="001354D9">
        <w:rPr>
          <w:rFonts w:ascii="Gadugi" w:eastAsia="Calibri" w:hAnsi="Gadugi" w:cs="Times New Roman"/>
          <w:sz w:val="24"/>
          <w:szCs w:val="24"/>
        </w:rPr>
        <w:t xml:space="preserve"> de aquel</w:t>
      </w:r>
      <w:r w:rsidRPr="001354D9">
        <w:rPr>
          <w:rFonts w:ascii="Gadugi" w:eastAsia="Calibri" w:hAnsi="Gadugi" w:cs="Times New Roman"/>
          <w:sz w:val="24"/>
          <w:szCs w:val="24"/>
        </w:rPr>
        <w:t xml:space="preserve">, según documentos de origen notarial que obran en el cuaderno principal, 01PrimeraInstanicia, </w:t>
      </w:r>
      <w:r w:rsidR="007C2E7B" w:rsidRPr="001354D9">
        <w:rPr>
          <w:rFonts w:ascii="Gadugi" w:eastAsia="Calibri" w:hAnsi="Gadugi" w:cs="Times New Roman"/>
          <w:sz w:val="24"/>
          <w:szCs w:val="24"/>
        </w:rPr>
        <w:t>archivo 0</w:t>
      </w:r>
      <w:r w:rsidRPr="001354D9">
        <w:rPr>
          <w:rFonts w:ascii="Gadugi" w:eastAsia="Calibri" w:hAnsi="Gadugi" w:cs="Times New Roman"/>
          <w:sz w:val="24"/>
          <w:szCs w:val="24"/>
        </w:rPr>
        <w:t>2</w:t>
      </w:r>
      <w:r w:rsidR="007C2E7B" w:rsidRPr="001354D9">
        <w:rPr>
          <w:rFonts w:ascii="Gadugi" w:eastAsia="Calibri" w:hAnsi="Gadugi" w:cs="Times New Roman"/>
          <w:sz w:val="24"/>
          <w:szCs w:val="24"/>
        </w:rPr>
        <w:t xml:space="preserve">, págs. 5 a </w:t>
      </w:r>
      <w:r w:rsidR="00775959" w:rsidRPr="001354D9">
        <w:rPr>
          <w:rFonts w:ascii="Gadugi" w:eastAsia="Calibri" w:hAnsi="Gadugi" w:cs="Times New Roman"/>
          <w:sz w:val="24"/>
          <w:szCs w:val="24"/>
        </w:rPr>
        <w:t>9</w:t>
      </w:r>
      <w:r w:rsidRPr="001354D9">
        <w:rPr>
          <w:rFonts w:ascii="Gadugi" w:eastAsia="Calibri" w:hAnsi="Gadugi" w:cs="Times New Roman"/>
          <w:sz w:val="24"/>
          <w:szCs w:val="24"/>
        </w:rPr>
        <w:t xml:space="preserve">. </w:t>
      </w:r>
    </w:p>
    <w:p w14:paraId="7B2B27D3" w14:textId="77777777" w:rsidR="004C54B6" w:rsidRPr="001354D9" w:rsidRDefault="004C54B6" w:rsidP="001354D9">
      <w:pPr>
        <w:spacing w:after="0" w:line="276" w:lineRule="auto"/>
        <w:ind w:firstLine="1701"/>
        <w:jc w:val="both"/>
        <w:rPr>
          <w:rFonts w:ascii="Gadugi" w:eastAsia="Calibri" w:hAnsi="Gadugi" w:cs="Times New Roman"/>
          <w:sz w:val="24"/>
          <w:szCs w:val="24"/>
        </w:rPr>
      </w:pPr>
    </w:p>
    <w:p w14:paraId="41A3C296" w14:textId="0BE58FAE" w:rsidR="004C54B6" w:rsidRPr="001354D9" w:rsidRDefault="004C54B6" w:rsidP="001354D9">
      <w:pPr>
        <w:spacing w:after="0" w:line="276" w:lineRule="auto"/>
        <w:ind w:firstLine="1701"/>
        <w:jc w:val="both"/>
        <w:rPr>
          <w:rFonts w:ascii="Gadugi" w:eastAsia="Calibri" w:hAnsi="Gadugi" w:cs="Times New Roman"/>
          <w:sz w:val="24"/>
          <w:szCs w:val="24"/>
          <w:lang w:val="es-ES"/>
        </w:rPr>
      </w:pPr>
      <w:r w:rsidRPr="001354D9">
        <w:rPr>
          <w:rFonts w:ascii="Gadugi" w:eastAsia="Calibri" w:hAnsi="Gadugi" w:cs="Times New Roman"/>
          <w:sz w:val="24"/>
          <w:szCs w:val="24"/>
          <w:lang w:val="es-ES"/>
        </w:rPr>
        <w:t xml:space="preserve">Y por pasiva, se encuentran acreditadas la </w:t>
      </w:r>
      <w:r w:rsidR="005A24D9" w:rsidRPr="001354D9">
        <w:rPr>
          <w:rFonts w:ascii="Gadugi" w:eastAsia="Calibri" w:hAnsi="Gadugi" w:cs="Times New Roman"/>
          <w:sz w:val="24"/>
          <w:szCs w:val="24"/>
          <w:lang w:val="es-ES"/>
        </w:rPr>
        <w:t xml:space="preserve">de </w:t>
      </w:r>
      <w:r w:rsidR="00500341" w:rsidRPr="001354D9">
        <w:rPr>
          <w:rFonts w:ascii="Gadugi" w:eastAsia="Calibri" w:hAnsi="Gadugi" w:cs="Times New Roman"/>
          <w:sz w:val="24"/>
          <w:szCs w:val="24"/>
          <w:lang w:val="es-ES"/>
        </w:rPr>
        <w:t xml:space="preserve">la </w:t>
      </w:r>
      <w:r w:rsidR="005A24D9" w:rsidRPr="001354D9">
        <w:rPr>
          <w:rFonts w:ascii="Gadugi" w:eastAsia="Calibri" w:hAnsi="Gadugi" w:cs="Times New Roman"/>
          <w:sz w:val="24"/>
          <w:szCs w:val="24"/>
          <w:lang w:val="es-ES"/>
        </w:rPr>
        <w:t xml:space="preserve">Distribuidora de Papelerías Los Mayoristas S.A., y </w:t>
      </w:r>
      <w:r w:rsidRPr="001354D9">
        <w:rPr>
          <w:rFonts w:ascii="Gadugi" w:eastAsia="Calibri" w:hAnsi="Gadugi" w:cs="Times New Roman"/>
          <w:sz w:val="24"/>
          <w:szCs w:val="24"/>
          <w:lang w:val="es-ES"/>
        </w:rPr>
        <w:t>de</w:t>
      </w:r>
      <w:r w:rsidR="00775959" w:rsidRPr="001354D9">
        <w:rPr>
          <w:rFonts w:ascii="Gadugi" w:eastAsia="Calibri" w:hAnsi="Gadugi" w:cs="Times New Roman"/>
          <w:sz w:val="24"/>
          <w:szCs w:val="24"/>
          <w:lang w:val="es-ES"/>
        </w:rPr>
        <w:t>l señor Wilson Quiñones Vera</w:t>
      </w:r>
      <w:r w:rsidRPr="001354D9">
        <w:rPr>
          <w:rFonts w:ascii="Gadugi" w:eastAsia="Calibri" w:hAnsi="Gadugi" w:cs="Times New Roman"/>
          <w:sz w:val="24"/>
          <w:szCs w:val="24"/>
          <w:lang w:val="es-ES"/>
        </w:rPr>
        <w:t xml:space="preserve">; </w:t>
      </w:r>
      <w:r w:rsidR="005A24D9" w:rsidRPr="001354D9">
        <w:rPr>
          <w:rFonts w:ascii="Gadugi" w:eastAsia="Calibri" w:hAnsi="Gadugi" w:cs="Times New Roman"/>
          <w:sz w:val="24"/>
          <w:szCs w:val="24"/>
          <w:lang w:val="es-ES"/>
        </w:rPr>
        <w:t>l</w:t>
      </w:r>
      <w:r w:rsidR="002A5CA0" w:rsidRPr="001354D9">
        <w:rPr>
          <w:rFonts w:ascii="Gadugi" w:eastAsia="Calibri" w:hAnsi="Gadugi" w:cs="Times New Roman"/>
          <w:sz w:val="24"/>
          <w:szCs w:val="24"/>
          <w:lang w:val="es-ES"/>
        </w:rPr>
        <w:t>a</w:t>
      </w:r>
      <w:r w:rsidR="005A24D9" w:rsidRPr="001354D9">
        <w:rPr>
          <w:rFonts w:ascii="Gadugi" w:eastAsia="Calibri" w:hAnsi="Gadugi" w:cs="Times New Roman"/>
          <w:sz w:val="24"/>
          <w:szCs w:val="24"/>
          <w:lang w:val="es-ES"/>
        </w:rPr>
        <w:t xml:space="preserve"> </w:t>
      </w:r>
      <w:r w:rsidRPr="001354D9">
        <w:rPr>
          <w:rFonts w:ascii="Gadugi" w:eastAsia="Calibri" w:hAnsi="Gadugi" w:cs="Times New Roman"/>
          <w:sz w:val="24"/>
          <w:szCs w:val="24"/>
          <w:lang w:val="es-ES"/>
        </w:rPr>
        <w:t>primer</w:t>
      </w:r>
      <w:r w:rsidR="002A5CA0" w:rsidRPr="001354D9">
        <w:rPr>
          <w:rFonts w:ascii="Gadugi" w:eastAsia="Calibri" w:hAnsi="Gadugi" w:cs="Times New Roman"/>
          <w:sz w:val="24"/>
          <w:szCs w:val="24"/>
          <w:lang w:val="es-ES"/>
        </w:rPr>
        <w:t>a</w:t>
      </w:r>
      <w:r w:rsidR="00B05960" w:rsidRPr="001354D9">
        <w:rPr>
          <w:rFonts w:ascii="Gadugi" w:eastAsia="Calibri" w:hAnsi="Gadugi" w:cs="Times New Roman"/>
          <w:sz w:val="24"/>
          <w:szCs w:val="24"/>
          <w:lang w:val="es-ES"/>
        </w:rPr>
        <w:t>,</w:t>
      </w:r>
      <w:r w:rsidR="005A24D9" w:rsidRPr="001354D9">
        <w:rPr>
          <w:rFonts w:ascii="Gadugi" w:eastAsia="Calibri" w:hAnsi="Gadugi" w:cs="Times New Roman"/>
          <w:sz w:val="24"/>
          <w:szCs w:val="24"/>
          <w:lang w:val="es-ES"/>
        </w:rPr>
        <w:t xml:space="preserve"> </w:t>
      </w:r>
      <w:r w:rsidR="002A5CA0" w:rsidRPr="001354D9">
        <w:rPr>
          <w:rFonts w:ascii="Gadugi" w:eastAsia="Calibri" w:hAnsi="Gadugi" w:cs="Times New Roman"/>
          <w:sz w:val="24"/>
          <w:szCs w:val="24"/>
          <w:lang w:val="es-ES"/>
        </w:rPr>
        <w:t>propietaria del vehículo involucrado en el accidente de tránsito,</w:t>
      </w:r>
      <w:r w:rsidR="002A105B" w:rsidRPr="001354D9">
        <w:rPr>
          <w:rFonts w:ascii="Gadugi" w:eastAsia="Calibri" w:hAnsi="Gadugi" w:cs="Times New Roman"/>
          <w:sz w:val="24"/>
          <w:szCs w:val="24"/>
          <w:lang w:val="es-ES"/>
        </w:rPr>
        <w:t xml:space="preserve"> y como tal guardiana de la actividad desplegada, lo que no se controvirtió; y </w:t>
      </w:r>
      <w:r w:rsidR="002A5CA0" w:rsidRPr="001354D9">
        <w:rPr>
          <w:rFonts w:ascii="Gadugi" w:eastAsia="Calibri" w:hAnsi="Gadugi" w:cs="Times New Roman"/>
          <w:sz w:val="24"/>
          <w:szCs w:val="24"/>
          <w:lang w:val="es-ES"/>
        </w:rPr>
        <w:t xml:space="preserve">el segundo como </w:t>
      </w:r>
      <w:r w:rsidR="005A24D9" w:rsidRPr="001354D9">
        <w:rPr>
          <w:rFonts w:ascii="Gadugi" w:eastAsia="Calibri" w:hAnsi="Gadugi" w:cs="Times New Roman"/>
          <w:sz w:val="24"/>
          <w:szCs w:val="24"/>
          <w:lang w:val="es-ES"/>
        </w:rPr>
        <w:t xml:space="preserve">conductor del </w:t>
      </w:r>
      <w:r w:rsidR="002A5CA0" w:rsidRPr="001354D9">
        <w:rPr>
          <w:rFonts w:ascii="Gadugi" w:eastAsia="Calibri" w:hAnsi="Gadugi" w:cs="Times New Roman"/>
          <w:sz w:val="24"/>
          <w:szCs w:val="24"/>
          <w:lang w:val="es-ES"/>
        </w:rPr>
        <w:t>mismo</w:t>
      </w:r>
      <w:r w:rsidR="002A105B" w:rsidRPr="001354D9">
        <w:rPr>
          <w:rFonts w:ascii="Gadugi" w:eastAsia="Calibri" w:hAnsi="Gadugi" w:cs="Times New Roman"/>
          <w:sz w:val="24"/>
          <w:szCs w:val="24"/>
          <w:lang w:val="es-ES"/>
        </w:rPr>
        <w:t xml:space="preserve">. Todo lo cual se </w:t>
      </w:r>
      <w:r w:rsidR="002A5CA0" w:rsidRPr="001354D9">
        <w:rPr>
          <w:rFonts w:ascii="Gadugi" w:eastAsia="Calibri" w:hAnsi="Gadugi" w:cs="Times New Roman"/>
          <w:sz w:val="24"/>
          <w:szCs w:val="24"/>
          <w:lang w:val="es-ES"/>
        </w:rPr>
        <w:t xml:space="preserve">constata con </w:t>
      </w:r>
      <w:r w:rsidR="00B05960" w:rsidRPr="001354D9">
        <w:rPr>
          <w:rFonts w:ascii="Gadugi" w:eastAsia="Calibri" w:hAnsi="Gadugi" w:cs="Times New Roman"/>
          <w:sz w:val="24"/>
          <w:szCs w:val="24"/>
          <w:lang w:val="es-ES"/>
        </w:rPr>
        <w:t>el</w:t>
      </w:r>
      <w:r w:rsidR="002A5CA0" w:rsidRPr="001354D9">
        <w:rPr>
          <w:rFonts w:ascii="Gadugi" w:eastAsia="Calibri" w:hAnsi="Gadugi" w:cs="Times New Roman"/>
          <w:sz w:val="24"/>
          <w:szCs w:val="24"/>
          <w:lang w:val="es-ES"/>
        </w:rPr>
        <w:t xml:space="preserve"> informe ejecutivo FPJ-3, </w:t>
      </w:r>
      <w:r w:rsidR="00B05960" w:rsidRPr="001354D9">
        <w:rPr>
          <w:rFonts w:ascii="Gadugi" w:eastAsia="Calibri" w:hAnsi="Gadugi" w:cs="Times New Roman"/>
          <w:sz w:val="24"/>
          <w:szCs w:val="24"/>
          <w:lang w:val="es-ES"/>
        </w:rPr>
        <w:t xml:space="preserve">la </w:t>
      </w:r>
      <w:r w:rsidR="002A5CA0" w:rsidRPr="001354D9">
        <w:rPr>
          <w:rFonts w:ascii="Gadugi" w:eastAsia="Calibri" w:hAnsi="Gadugi" w:cs="Times New Roman"/>
          <w:sz w:val="24"/>
          <w:szCs w:val="24"/>
          <w:lang w:val="es-ES"/>
        </w:rPr>
        <w:t xml:space="preserve">tarjeta de propiedad del camión, </w:t>
      </w:r>
      <w:r w:rsidR="00B05960" w:rsidRPr="001354D9">
        <w:rPr>
          <w:rFonts w:ascii="Gadugi" w:eastAsia="Calibri" w:hAnsi="Gadugi" w:cs="Times New Roman"/>
          <w:sz w:val="24"/>
          <w:szCs w:val="24"/>
          <w:lang w:val="es-ES"/>
        </w:rPr>
        <w:t xml:space="preserve">el </w:t>
      </w:r>
      <w:r w:rsidR="002A5CA0" w:rsidRPr="001354D9">
        <w:rPr>
          <w:rFonts w:ascii="Gadugi" w:eastAsia="Calibri" w:hAnsi="Gadugi" w:cs="Times New Roman"/>
          <w:sz w:val="24"/>
          <w:szCs w:val="24"/>
          <w:lang w:val="es-ES"/>
        </w:rPr>
        <w:t xml:space="preserve">informe de </w:t>
      </w:r>
      <w:r w:rsidR="00B05960" w:rsidRPr="001354D9">
        <w:rPr>
          <w:rFonts w:ascii="Gadugi" w:eastAsia="Calibri" w:hAnsi="Gadugi" w:cs="Times New Roman"/>
          <w:sz w:val="24"/>
          <w:szCs w:val="24"/>
          <w:lang w:val="es-ES"/>
        </w:rPr>
        <w:t xml:space="preserve">la </w:t>
      </w:r>
      <w:r w:rsidR="002A5CA0" w:rsidRPr="001354D9">
        <w:rPr>
          <w:rFonts w:ascii="Gadugi" w:eastAsia="Calibri" w:hAnsi="Gadugi" w:cs="Times New Roman"/>
          <w:sz w:val="24"/>
          <w:szCs w:val="24"/>
          <w:lang w:val="es-ES"/>
        </w:rPr>
        <w:t xml:space="preserve">Inspección Municipal de Policía y Tránsito de Guática, Risaralda y </w:t>
      </w:r>
      <w:r w:rsidR="00B05960" w:rsidRPr="001354D9">
        <w:rPr>
          <w:rFonts w:ascii="Gadugi" w:eastAsia="Calibri" w:hAnsi="Gadugi" w:cs="Times New Roman"/>
          <w:sz w:val="24"/>
          <w:szCs w:val="24"/>
          <w:lang w:val="es-ES"/>
        </w:rPr>
        <w:t xml:space="preserve">el </w:t>
      </w:r>
      <w:r w:rsidR="002A5CA0" w:rsidRPr="001354D9">
        <w:rPr>
          <w:rFonts w:ascii="Gadugi" w:eastAsia="Calibri" w:hAnsi="Gadugi" w:cs="Times New Roman"/>
          <w:sz w:val="24"/>
          <w:szCs w:val="24"/>
          <w:lang w:val="es-ES"/>
        </w:rPr>
        <w:t xml:space="preserve">acta de conciliación de la Fiscalía General de la Nación, </w:t>
      </w:r>
      <w:r w:rsidRPr="001354D9">
        <w:rPr>
          <w:rFonts w:ascii="Gadugi" w:eastAsia="Calibri" w:hAnsi="Gadugi" w:cs="Times New Roman"/>
          <w:sz w:val="24"/>
          <w:szCs w:val="24"/>
          <w:lang w:val="es-ES"/>
        </w:rPr>
        <w:t>visible</w:t>
      </w:r>
      <w:r w:rsidR="002A5CA0" w:rsidRPr="001354D9">
        <w:rPr>
          <w:rFonts w:ascii="Gadugi" w:eastAsia="Calibri" w:hAnsi="Gadugi" w:cs="Times New Roman"/>
          <w:sz w:val="24"/>
          <w:szCs w:val="24"/>
          <w:lang w:val="es-ES"/>
        </w:rPr>
        <w:t>s</w:t>
      </w:r>
      <w:r w:rsidRPr="001354D9">
        <w:rPr>
          <w:rFonts w:ascii="Gadugi" w:eastAsia="Calibri" w:hAnsi="Gadugi" w:cs="Times New Roman"/>
          <w:sz w:val="24"/>
          <w:szCs w:val="24"/>
          <w:lang w:val="es-ES"/>
        </w:rPr>
        <w:t xml:space="preserve"> </w:t>
      </w:r>
      <w:r w:rsidRPr="001354D9">
        <w:rPr>
          <w:rFonts w:ascii="Gadugi" w:eastAsia="Calibri" w:hAnsi="Gadugi" w:cs="Times New Roman"/>
          <w:sz w:val="24"/>
          <w:szCs w:val="24"/>
        </w:rPr>
        <w:t xml:space="preserve">en el cuaderno principal, 01PrimeraInstancia, </w:t>
      </w:r>
      <w:r w:rsidR="002A5CA0" w:rsidRPr="001354D9">
        <w:rPr>
          <w:rFonts w:ascii="Gadugi" w:eastAsia="Calibri" w:hAnsi="Gadugi" w:cs="Times New Roman"/>
          <w:sz w:val="24"/>
          <w:szCs w:val="24"/>
        </w:rPr>
        <w:t xml:space="preserve">archivo 02, </w:t>
      </w:r>
      <w:r w:rsidR="00521AA6" w:rsidRPr="001354D9">
        <w:rPr>
          <w:rFonts w:ascii="Gadugi" w:eastAsia="Calibri" w:hAnsi="Gadugi" w:cs="Times New Roman"/>
          <w:sz w:val="24"/>
          <w:szCs w:val="24"/>
        </w:rPr>
        <w:t>págs. 41 a 43, 48, 53, 63 a 65, respectivamente</w:t>
      </w:r>
      <w:r w:rsidRPr="001354D9">
        <w:rPr>
          <w:rFonts w:ascii="Gadugi" w:eastAsia="Calibri" w:hAnsi="Gadugi" w:cs="Times New Roman"/>
          <w:sz w:val="24"/>
          <w:szCs w:val="24"/>
          <w:lang w:val="es-ES"/>
        </w:rPr>
        <w:t xml:space="preserve">. </w:t>
      </w:r>
    </w:p>
    <w:p w14:paraId="3954DBA6" w14:textId="77777777" w:rsidR="00FC64ED" w:rsidRPr="001354D9" w:rsidRDefault="00FC64ED" w:rsidP="001354D9">
      <w:pPr>
        <w:spacing w:after="0" w:line="276" w:lineRule="auto"/>
        <w:ind w:firstLine="1701"/>
        <w:jc w:val="both"/>
        <w:rPr>
          <w:rFonts w:ascii="Gadugi" w:eastAsia="Calibri" w:hAnsi="Gadugi" w:cs="Times New Roman"/>
          <w:sz w:val="24"/>
          <w:szCs w:val="24"/>
          <w:lang w:val="es-ES"/>
        </w:rPr>
      </w:pPr>
    </w:p>
    <w:p w14:paraId="6431592B" w14:textId="6FE171D4" w:rsidR="004C54B6" w:rsidRPr="001354D9" w:rsidRDefault="004C54B6" w:rsidP="001354D9">
      <w:pPr>
        <w:spacing w:after="0" w:line="276" w:lineRule="auto"/>
        <w:ind w:firstLine="1701"/>
        <w:jc w:val="both"/>
        <w:rPr>
          <w:rFonts w:ascii="Gadugi" w:eastAsia="Calibri" w:hAnsi="Gadugi" w:cs="Times New Roman"/>
          <w:sz w:val="24"/>
          <w:szCs w:val="24"/>
          <w:lang w:val="es-ES"/>
        </w:rPr>
      </w:pPr>
      <w:r w:rsidRPr="001354D9">
        <w:rPr>
          <w:rFonts w:ascii="Gadugi" w:eastAsia="Calibri" w:hAnsi="Gadugi" w:cs="Times New Roman"/>
          <w:sz w:val="24"/>
          <w:szCs w:val="24"/>
          <w:lang w:val="es-ES"/>
        </w:rPr>
        <w:t>2.3.</w:t>
      </w:r>
      <w:r w:rsidR="00521AA6" w:rsidRPr="001354D9">
        <w:rPr>
          <w:rFonts w:ascii="Gadugi" w:eastAsia="Calibri" w:hAnsi="Gadugi" w:cs="Times New Roman"/>
          <w:sz w:val="24"/>
          <w:szCs w:val="24"/>
          <w:lang w:val="es-ES"/>
        </w:rPr>
        <w:t xml:space="preserve"> </w:t>
      </w:r>
      <w:r w:rsidRPr="001354D9">
        <w:rPr>
          <w:rFonts w:ascii="Gadugi" w:eastAsia="Calibri" w:hAnsi="Gadugi" w:cs="Times New Roman"/>
          <w:sz w:val="24"/>
          <w:szCs w:val="24"/>
          <w:lang w:val="es-ES"/>
        </w:rPr>
        <w:t xml:space="preserve">El problema que debe dilucidar la Sala estriba en si confirma la sentencia de primer grado que, luego de declarar </w:t>
      </w:r>
      <w:r w:rsidR="00521AA6" w:rsidRPr="001354D9">
        <w:rPr>
          <w:rFonts w:ascii="Gadugi" w:eastAsia="Calibri" w:hAnsi="Gadugi" w:cs="Times New Roman"/>
          <w:sz w:val="24"/>
          <w:szCs w:val="24"/>
          <w:lang w:val="es-ES"/>
        </w:rPr>
        <w:t>probadas las excepciones, negó las pretensiones de la demanda</w:t>
      </w:r>
      <w:r w:rsidRPr="001354D9">
        <w:rPr>
          <w:rFonts w:ascii="Gadugi" w:eastAsia="Calibri" w:hAnsi="Gadugi" w:cs="Times New Roman"/>
          <w:sz w:val="24"/>
          <w:szCs w:val="24"/>
          <w:lang w:val="es-ES"/>
        </w:rPr>
        <w:t xml:space="preserve">, o </w:t>
      </w:r>
      <w:r w:rsidR="00521AA6" w:rsidRPr="001354D9">
        <w:rPr>
          <w:rFonts w:ascii="Gadugi" w:eastAsia="Calibri" w:hAnsi="Gadugi" w:cs="Times New Roman"/>
          <w:sz w:val="24"/>
          <w:szCs w:val="24"/>
          <w:lang w:val="es-ES"/>
        </w:rPr>
        <w:t xml:space="preserve">la </w:t>
      </w:r>
      <w:r w:rsidRPr="001354D9">
        <w:rPr>
          <w:rFonts w:ascii="Gadugi" w:eastAsia="Calibri" w:hAnsi="Gadugi" w:cs="Times New Roman"/>
          <w:sz w:val="24"/>
          <w:szCs w:val="24"/>
          <w:lang w:val="es-ES"/>
        </w:rPr>
        <w:t>revoca, como pretenden los demanda</w:t>
      </w:r>
      <w:r w:rsidR="00521AA6" w:rsidRPr="001354D9">
        <w:rPr>
          <w:rFonts w:ascii="Gadugi" w:eastAsia="Calibri" w:hAnsi="Gadugi" w:cs="Times New Roman"/>
          <w:sz w:val="24"/>
          <w:szCs w:val="24"/>
          <w:lang w:val="es-ES"/>
        </w:rPr>
        <w:t>ntes</w:t>
      </w:r>
      <w:r w:rsidRPr="001354D9">
        <w:rPr>
          <w:rFonts w:ascii="Gadugi" w:eastAsia="Calibri" w:hAnsi="Gadugi" w:cs="Times New Roman"/>
          <w:sz w:val="24"/>
          <w:szCs w:val="24"/>
          <w:lang w:val="es-ES"/>
        </w:rPr>
        <w:t xml:space="preserve">, para </w:t>
      </w:r>
      <w:r w:rsidR="00B05960" w:rsidRPr="001354D9">
        <w:rPr>
          <w:rFonts w:ascii="Gadugi" w:eastAsia="Calibri" w:hAnsi="Gadugi" w:cs="Times New Roman"/>
          <w:sz w:val="24"/>
          <w:szCs w:val="24"/>
          <w:lang w:val="es-ES"/>
        </w:rPr>
        <w:t xml:space="preserve">reconocer la responsabilidad deprecada y </w:t>
      </w:r>
      <w:r w:rsidR="00C948DD" w:rsidRPr="001354D9">
        <w:rPr>
          <w:rFonts w:ascii="Gadugi" w:eastAsia="Calibri" w:hAnsi="Gadugi" w:cs="Times New Roman"/>
          <w:sz w:val="24"/>
          <w:szCs w:val="24"/>
          <w:lang w:val="es-ES"/>
        </w:rPr>
        <w:t>conden</w:t>
      </w:r>
      <w:r w:rsidR="00B05960" w:rsidRPr="001354D9">
        <w:rPr>
          <w:rFonts w:ascii="Gadugi" w:eastAsia="Calibri" w:hAnsi="Gadugi" w:cs="Times New Roman"/>
          <w:sz w:val="24"/>
          <w:szCs w:val="24"/>
          <w:lang w:val="es-ES"/>
        </w:rPr>
        <w:t>ar</w:t>
      </w:r>
      <w:r w:rsidR="00C948DD" w:rsidRPr="001354D9">
        <w:rPr>
          <w:rFonts w:ascii="Gadugi" w:eastAsia="Calibri" w:hAnsi="Gadugi" w:cs="Times New Roman"/>
          <w:sz w:val="24"/>
          <w:szCs w:val="24"/>
          <w:lang w:val="es-ES"/>
        </w:rPr>
        <w:t xml:space="preserve"> a los demandados a resarcir los perjuicios ocasionados</w:t>
      </w:r>
      <w:r w:rsidR="00B05960" w:rsidRPr="001354D9">
        <w:rPr>
          <w:rFonts w:ascii="Gadugi" w:eastAsia="Calibri" w:hAnsi="Gadugi" w:cs="Times New Roman"/>
          <w:sz w:val="24"/>
          <w:szCs w:val="24"/>
          <w:lang w:val="es-ES"/>
        </w:rPr>
        <w:t>.</w:t>
      </w:r>
    </w:p>
    <w:p w14:paraId="5436B4FD" w14:textId="77777777" w:rsidR="004C54B6" w:rsidRPr="001354D9" w:rsidRDefault="004C54B6" w:rsidP="001354D9">
      <w:pPr>
        <w:spacing w:after="0" w:line="276" w:lineRule="auto"/>
        <w:ind w:firstLine="1701"/>
        <w:jc w:val="both"/>
        <w:rPr>
          <w:rFonts w:ascii="Gadugi" w:eastAsia="Calibri" w:hAnsi="Gadugi" w:cs="Times New Roman"/>
          <w:sz w:val="24"/>
          <w:szCs w:val="24"/>
          <w:lang w:val="es-ES"/>
        </w:rPr>
      </w:pPr>
    </w:p>
    <w:p w14:paraId="51CA3D1A" w14:textId="1B061442" w:rsidR="004C54B6" w:rsidRPr="001354D9" w:rsidRDefault="004C54B6" w:rsidP="001354D9">
      <w:pPr>
        <w:tabs>
          <w:tab w:val="left" w:pos="2268"/>
        </w:tabs>
        <w:spacing w:after="0" w:line="276" w:lineRule="auto"/>
        <w:ind w:firstLine="1701"/>
        <w:jc w:val="both"/>
        <w:rPr>
          <w:rFonts w:ascii="Gadugi" w:eastAsia="Calibri" w:hAnsi="Gadugi" w:cs="Times New Roman"/>
          <w:bCs/>
          <w:sz w:val="24"/>
          <w:szCs w:val="24"/>
          <w:lang w:val="es-ES"/>
        </w:rPr>
      </w:pPr>
      <w:r w:rsidRPr="001354D9">
        <w:rPr>
          <w:rFonts w:ascii="Gadugi" w:eastAsia="Calibri" w:hAnsi="Gadugi" w:cs="Times New Roman"/>
          <w:sz w:val="24"/>
          <w:szCs w:val="24"/>
        </w:rPr>
        <w:t xml:space="preserve">2.4. </w:t>
      </w:r>
      <w:r w:rsidRPr="001354D9">
        <w:rPr>
          <w:rFonts w:ascii="Gadugi" w:eastAsia="Calibri" w:hAnsi="Gadugi" w:cs="Times New Roman"/>
          <w:sz w:val="24"/>
          <w:szCs w:val="24"/>
          <w:lang w:val="es-ES"/>
        </w:rPr>
        <w:t xml:space="preserve">Para comenzar el análisis </w:t>
      </w:r>
      <w:r w:rsidR="001B0ACA" w:rsidRPr="001354D9">
        <w:rPr>
          <w:rFonts w:ascii="Gadugi" w:eastAsia="Calibri" w:hAnsi="Gadugi" w:cs="Times New Roman"/>
          <w:sz w:val="24"/>
          <w:szCs w:val="24"/>
          <w:lang w:val="es-ES"/>
        </w:rPr>
        <w:t xml:space="preserve">se </w:t>
      </w:r>
      <w:r w:rsidR="00FC6EFA" w:rsidRPr="001354D9">
        <w:rPr>
          <w:rFonts w:ascii="Gadugi" w:eastAsia="Calibri" w:hAnsi="Gadugi" w:cs="Times New Roman"/>
          <w:sz w:val="24"/>
          <w:szCs w:val="24"/>
          <w:lang w:val="es-ES"/>
        </w:rPr>
        <w:t xml:space="preserve">recuerda </w:t>
      </w:r>
      <w:r w:rsidRPr="001354D9">
        <w:rPr>
          <w:rFonts w:ascii="Gadugi" w:eastAsia="Calibri" w:hAnsi="Gadugi" w:cs="Times New Roman"/>
          <w:sz w:val="24"/>
          <w:szCs w:val="24"/>
          <w:lang w:val="es-ES"/>
        </w:rPr>
        <w:t>que</w:t>
      </w:r>
      <w:r w:rsidR="00FC6EFA" w:rsidRPr="001354D9">
        <w:rPr>
          <w:rFonts w:ascii="Gadugi" w:eastAsia="Calibri" w:hAnsi="Gadugi" w:cs="Times New Roman"/>
          <w:sz w:val="24"/>
          <w:szCs w:val="24"/>
          <w:lang w:val="es-ES"/>
        </w:rPr>
        <w:t>,</w:t>
      </w:r>
      <w:r w:rsidRPr="001354D9">
        <w:rPr>
          <w:rFonts w:ascii="Gadugi" w:eastAsia="Calibri" w:hAnsi="Gadugi" w:cs="Times New Roman"/>
          <w:sz w:val="24"/>
          <w:szCs w:val="24"/>
          <w:lang w:val="es-ES"/>
        </w:rPr>
        <w:t xml:space="preserve"> </w:t>
      </w:r>
      <w:r w:rsidRPr="001354D9">
        <w:rPr>
          <w:rFonts w:ascii="Gadugi" w:eastAsia="Calibri" w:hAnsi="Gadugi" w:cs="Times New Roman"/>
          <w:bCs/>
          <w:sz w:val="24"/>
          <w:szCs w:val="24"/>
          <w:lang w:val="es-ES"/>
        </w:rPr>
        <w:t>en la actualidad,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Pr="001354D9">
        <w:rPr>
          <w:rFonts w:ascii="Gadugi" w:eastAsia="Calibri" w:hAnsi="Gadugi" w:cs="Times New Roman"/>
          <w:bCs/>
          <w:sz w:val="24"/>
          <w:szCs w:val="24"/>
          <w:vertAlign w:val="superscript"/>
          <w:lang w:val="es-ES"/>
        </w:rPr>
        <w:footnoteReference w:id="14"/>
      </w:r>
      <w:r w:rsidRPr="001354D9">
        <w:rPr>
          <w:rFonts w:ascii="Gadugi" w:eastAsia="Calibri" w:hAnsi="Gadugi" w:cs="Times New Roman"/>
          <w:bCs/>
          <w:sz w:val="24"/>
          <w:szCs w:val="24"/>
          <w:lang w:val="es-ES"/>
        </w:rPr>
        <w:t xml:space="preserve"> y lo han reiterado otras</w:t>
      </w:r>
      <w:r w:rsidRPr="001354D9">
        <w:rPr>
          <w:rFonts w:ascii="Gadugi" w:eastAsia="Calibri" w:hAnsi="Gadugi" w:cs="Times New Roman"/>
          <w:bCs/>
          <w:sz w:val="24"/>
          <w:szCs w:val="24"/>
          <w:vertAlign w:val="superscript"/>
          <w:lang w:val="es-ES"/>
        </w:rPr>
        <w:footnoteReference w:id="15"/>
      </w:r>
      <w:r w:rsidRPr="001354D9">
        <w:rPr>
          <w:rFonts w:ascii="Gadugi" w:eastAsia="Calibri" w:hAnsi="Gadugi" w:cs="Times New Roman"/>
          <w:bCs/>
          <w:sz w:val="24"/>
          <w:szCs w:val="24"/>
          <w:lang w:val="es-ES"/>
        </w:rPr>
        <w:t>, con soporte en decisiones de la Corte, unas de tutela</w:t>
      </w:r>
      <w:r w:rsidRPr="001354D9">
        <w:rPr>
          <w:rFonts w:ascii="Gadugi" w:eastAsia="Calibri" w:hAnsi="Gadugi" w:cs="Times New Roman"/>
          <w:bCs/>
          <w:sz w:val="24"/>
          <w:szCs w:val="24"/>
          <w:vertAlign w:val="superscript"/>
          <w:lang w:val="es-ES"/>
        </w:rPr>
        <w:footnoteReference w:id="16"/>
      </w:r>
      <w:r w:rsidRPr="001354D9">
        <w:rPr>
          <w:rFonts w:ascii="Gadugi" w:eastAsia="Calibri" w:hAnsi="Gadugi" w:cs="Times New Roman"/>
          <w:bCs/>
          <w:sz w:val="24"/>
          <w:szCs w:val="24"/>
          <w:lang w:val="es-ES"/>
        </w:rPr>
        <w:t>, que se acogen como criterio auxiliar, y otras de casación</w:t>
      </w:r>
      <w:r w:rsidRPr="001354D9">
        <w:rPr>
          <w:rFonts w:ascii="Gadugi" w:eastAsia="Calibri" w:hAnsi="Gadugi" w:cs="Times New Roman"/>
          <w:bCs/>
          <w:sz w:val="24"/>
          <w:szCs w:val="24"/>
          <w:vertAlign w:val="superscript"/>
          <w:lang w:val="es-ES"/>
        </w:rPr>
        <w:footnoteReference w:id="17"/>
      </w:r>
      <w:r w:rsidRPr="001354D9">
        <w:rPr>
          <w:rFonts w:ascii="Gadugi" w:eastAsia="Calibri" w:hAnsi="Gadugi" w:cs="Times New Roman"/>
          <w:bCs/>
          <w:sz w:val="24"/>
          <w:szCs w:val="24"/>
          <w:lang w:val="es-ES"/>
        </w:rPr>
        <w:t xml:space="preserve">. </w:t>
      </w:r>
    </w:p>
    <w:p w14:paraId="5696FD90" w14:textId="77777777" w:rsidR="004C54B6" w:rsidRPr="001354D9" w:rsidRDefault="004C54B6" w:rsidP="001354D9">
      <w:pPr>
        <w:spacing w:after="0" w:line="276" w:lineRule="auto"/>
        <w:ind w:firstLine="1701"/>
        <w:jc w:val="both"/>
        <w:rPr>
          <w:rFonts w:ascii="Gadugi" w:eastAsia="Calibri" w:hAnsi="Gadugi" w:cs="Times New Roman"/>
          <w:bCs/>
          <w:sz w:val="24"/>
          <w:szCs w:val="24"/>
          <w:lang w:val="es-ES"/>
        </w:rPr>
      </w:pPr>
    </w:p>
    <w:p w14:paraId="756CC6AF" w14:textId="72638336" w:rsidR="004C54B6" w:rsidRPr="001354D9" w:rsidRDefault="004C54B6" w:rsidP="001354D9">
      <w:pPr>
        <w:tabs>
          <w:tab w:val="left" w:pos="2268"/>
        </w:tabs>
        <w:spacing w:after="0" w:line="276" w:lineRule="auto"/>
        <w:ind w:firstLine="1701"/>
        <w:jc w:val="both"/>
        <w:rPr>
          <w:rFonts w:ascii="Gadugi" w:eastAsia="Calibri" w:hAnsi="Gadugi" w:cs="Times New Roman"/>
          <w:sz w:val="24"/>
          <w:szCs w:val="24"/>
          <w:lang w:val="es-ES"/>
        </w:rPr>
      </w:pPr>
      <w:r w:rsidRPr="001354D9">
        <w:rPr>
          <w:rFonts w:ascii="Gadugi" w:eastAsia="Calibri" w:hAnsi="Gadugi" w:cs="Times New Roman"/>
          <w:sz w:val="24"/>
          <w:szCs w:val="24"/>
          <w:lang w:val="es-ES"/>
        </w:rPr>
        <w:lastRenderedPageBreak/>
        <w:t>2.7.</w:t>
      </w:r>
      <w:r w:rsidR="001B0ACA" w:rsidRPr="001354D9">
        <w:rPr>
          <w:rFonts w:ascii="Gadugi" w:eastAsia="Calibri" w:hAnsi="Gadugi" w:cs="Times New Roman"/>
          <w:sz w:val="24"/>
          <w:szCs w:val="24"/>
          <w:lang w:val="es-ES"/>
        </w:rPr>
        <w:t xml:space="preserve"> </w:t>
      </w:r>
      <w:r w:rsidR="00FC6EFA" w:rsidRPr="001354D9">
        <w:rPr>
          <w:rFonts w:ascii="Gadugi" w:eastAsia="Calibri" w:hAnsi="Gadugi" w:cs="Times New Roman"/>
          <w:sz w:val="24"/>
          <w:szCs w:val="24"/>
          <w:lang w:val="es-ES"/>
        </w:rPr>
        <w:t>E</w:t>
      </w:r>
      <w:r w:rsidRPr="001354D9">
        <w:rPr>
          <w:rFonts w:ascii="Gadugi" w:eastAsia="Calibri" w:hAnsi="Gadugi" w:cs="Times New Roman"/>
          <w:sz w:val="24"/>
          <w:szCs w:val="24"/>
          <w:lang w:val="es-ES"/>
        </w:rPr>
        <w:t>l asunto tiene que ver con una responsabilidad civil extracontractual, por lo que es bueno memorar, según lo viene haciendo esta Sala</w:t>
      </w:r>
      <w:r w:rsidRPr="001354D9">
        <w:rPr>
          <w:rFonts w:ascii="Gadugi" w:eastAsia="Calibri" w:hAnsi="Gadugi" w:cs="Times New Roman"/>
          <w:sz w:val="24"/>
          <w:szCs w:val="24"/>
          <w:vertAlign w:val="superscript"/>
          <w:lang w:val="es-ES"/>
        </w:rPr>
        <w:footnoteReference w:id="18"/>
      </w:r>
      <w:r w:rsidRPr="001354D9">
        <w:rPr>
          <w:rFonts w:ascii="Gadugi" w:eastAsia="Calibri" w:hAnsi="Gadugi" w:cs="Times New Roman"/>
          <w:sz w:val="24"/>
          <w:szCs w:val="24"/>
          <w:lang w:val="es-ES"/>
        </w:rPr>
        <w:t xml:space="preserve">, que quien causa un daño a otro debe resarcirlo, </w:t>
      </w:r>
      <w:r w:rsidR="00FC6EFA" w:rsidRPr="001354D9">
        <w:rPr>
          <w:rFonts w:ascii="Gadugi" w:eastAsia="Calibri" w:hAnsi="Gadugi" w:cs="Times New Roman"/>
          <w:sz w:val="24"/>
          <w:szCs w:val="24"/>
          <w:lang w:val="es-ES"/>
        </w:rPr>
        <w:t xml:space="preserve">como enseña </w:t>
      </w:r>
      <w:r w:rsidRPr="001354D9">
        <w:rPr>
          <w:rFonts w:ascii="Gadugi" w:eastAsia="Calibri" w:hAnsi="Gadugi" w:cs="Times New Roman"/>
          <w:sz w:val="24"/>
          <w:szCs w:val="24"/>
          <w:lang w:val="es-ES"/>
        </w:rPr>
        <w:t xml:space="preserve">el artículo 2341 del Código Civil, siempre que se demuestre, y esa es carga de quien </w:t>
      </w:r>
      <w:r w:rsidR="0042016C" w:rsidRPr="001354D9">
        <w:rPr>
          <w:rFonts w:ascii="Gadugi" w:eastAsia="Calibri" w:hAnsi="Gadugi" w:cs="Times New Roman"/>
          <w:sz w:val="24"/>
          <w:szCs w:val="24"/>
          <w:lang w:val="es-ES"/>
        </w:rPr>
        <w:t xml:space="preserve">la </w:t>
      </w:r>
      <w:r w:rsidRPr="001354D9">
        <w:rPr>
          <w:rFonts w:ascii="Gadugi" w:eastAsia="Calibri" w:hAnsi="Gadugi" w:cs="Times New Roman"/>
          <w:sz w:val="24"/>
          <w:szCs w:val="24"/>
          <w:lang w:val="es-ES"/>
        </w:rPr>
        <w:t>invoca, que hubo el hecho, que medió culpa del agente, que hubo un daño y que entre este y el hecho existió un nexo causal.</w:t>
      </w:r>
    </w:p>
    <w:p w14:paraId="690F1DF5" w14:textId="77777777" w:rsidR="004C54B6" w:rsidRPr="001354D9" w:rsidRDefault="004C54B6" w:rsidP="001354D9">
      <w:pPr>
        <w:spacing w:after="0" w:line="276" w:lineRule="auto"/>
        <w:ind w:firstLine="1701"/>
        <w:jc w:val="both"/>
        <w:rPr>
          <w:rFonts w:ascii="Gadugi" w:eastAsia="Calibri" w:hAnsi="Gadugi" w:cs="Times New Roman"/>
          <w:sz w:val="24"/>
          <w:szCs w:val="24"/>
          <w:lang w:val="es-ES"/>
        </w:rPr>
      </w:pPr>
    </w:p>
    <w:p w14:paraId="524B713B" w14:textId="77777777" w:rsidR="006851D1" w:rsidRPr="001354D9" w:rsidRDefault="0042016C" w:rsidP="001354D9">
      <w:pPr>
        <w:spacing w:after="0" w:line="276" w:lineRule="auto"/>
        <w:ind w:firstLine="1701"/>
        <w:jc w:val="both"/>
        <w:rPr>
          <w:rFonts w:ascii="Gadugi" w:hAnsi="Gadugi"/>
          <w:sz w:val="24"/>
          <w:szCs w:val="24"/>
        </w:rPr>
      </w:pPr>
      <w:r w:rsidRPr="001354D9">
        <w:rPr>
          <w:rFonts w:ascii="Gadugi" w:hAnsi="Gadugi"/>
          <w:sz w:val="24"/>
          <w:szCs w:val="24"/>
        </w:rPr>
        <w:t xml:space="preserve">Y si se trata del ejercicio de una actividad peligrosa, de aquellas que enuncia el artículo 2356 del mismo estatuto,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 </w:t>
      </w:r>
    </w:p>
    <w:p w14:paraId="4A0C87E9" w14:textId="77777777" w:rsidR="006851D1" w:rsidRPr="001354D9" w:rsidRDefault="006851D1" w:rsidP="001354D9">
      <w:pPr>
        <w:spacing w:after="0" w:line="276" w:lineRule="auto"/>
        <w:ind w:firstLine="1701"/>
        <w:jc w:val="both"/>
        <w:rPr>
          <w:rFonts w:ascii="Gadugi" w:hAnsi="Gadugi"/>
          <w:sz w:val="24"/>
          <w:szCs w:val="24"/>
        </w:rPr>
      </w:pPr>
    </w:p>
    <w:p w14:paraId="0DC91F84" w14:textId="77777777" w:rsidR="006851D1" w:rsidRPr="001354D9" w:rsidRDefault="0042016C" w:rsidP="001354D9">
      <w:pPr>
        <w:spacing w:after="0" w:line="276" w:lineRule="auto"/>
        <w:ind w:firstLine="1701"/>
        <w:jc w:val="both"/>
        <w:rPr>
          <w:rFonts w:ascii="Gadugi" w:hAnsi="Gadugi"/>
          <w:sz w:val="24"/>
          <w:szCs w:val="24"/>
        </w:rPr>
      </w:pPr>
      <w:r w:rsidRPr="001354D9">
        <w:rPr>
          <w:rFonts w:ascii="Gadugi" w:hAnsi="Gadugi"/>
          <w:sz w:val="24"/>
          <w:szCs w:val="24"/>
        </w:rPr>
        <w:t>Por supuesto que esta percepción se soporta en la jurisprudencia nacional que, a pesar de los intentos para variarla</w:t>
      </w:r>
      <w:r w:rsidR="006851D1" w:rsidRPr="001354D9">
        <w:rPr>
          <w:rStyle w:val="Refdenotaalpie"/>
          <w:rFonts w:ascii="Gadugi" w:hAnsi="Gadugi"/>
          <w:sz w:val="24"/>
          <w:szCs w:val="24"/>
        </w:rPr>
        <w:footnoteReference w:id="19"/>
      </w:r>
      <w:r w:rsidRPr="001354D9">
        <w:rPr>
          <w:rFonts w:ascii="Gadugi" w:hAnsi="Gadugi"/>
          <w:sz w:val="24"/>
          <w:szCs w:val="24"/>
        </w:rPr>
        <w:t xml:space="preserve">, en el discurrir de los tiempos sobre el tema así lo ha adoctrinado, por ejemplo, en la sentencia SC665-2019, en la que enfatizó, con una sola aclaración de voto, que: </w:t>
      </w:r>
    </w:p>
    <w:p w14:paraId="3B53CCF7" w14:textId="77777777" w:rsidR="006851D1" w:rsidRPr="001354D9" w:rsidRDefault="006851D1" w:rsidP="001354D9">
      <w:pPr>
        <w:spacing w:after="0" w:line="276" w:lineRule="auto"/>
        <w:ind w:firstLine="1701"/>
        <w:jc w:val="both"/>
        <w:rPr>
          <w:rFonts w:ascii="Gadugi" w:hAnsi="Gadugi"/>
          <w:sz w:val="24"/>
          <w:szCs w:val="24"/>
        </w:rPr>
      </w:pPr>
    </w:p>
    <w:p w14:paraId="08B77040" w14:textId="77777777" w:rsidR="006851D1" w:rsidRPr="00AC07DC" w:rsidRDefault="0042016C" w:rsidP="00AC07DC">
      <w:pPr>
        <w:spacing w:after="0" w:line="240" w:lineRule="auto"/>
        <w:ind w:left="426" w:right="420" w:firstLine="1134"/>
        <w:jc w:val="both"/>
        <w:rPr>
          <w:rFonts w:ascii="Gadugi" w:hAnsi="Gadugi"/>
          <w:szCs w:val="24"/>
        </w:rPr>
      </w:pPr>
      <w:r w:rsidRPr="00AC07DC">
        <w:rPr>
          <w:rFonts w:ascii="Gadugi" w:hAnsi="Gadugi"/>
          <w:szCs w:val="24"/>
        </w:rPr>
        <w:t xml:space="preserve">De otra parte, el artículo 2356 del Código Civil, dispone que «[p]or regla general todo daño que pueda imputarse a malicia o negligencia de otra persona, debe ser reparado por ésta», norma a partir de la cual se ha edificado el régimen de responsabilidad por el ejercicio de actividades peligrosas con culpa presunta, ampliamente desarrollado por la Corte en su Jurisprudencia, a partir de la emblemática SC de 14 mar. 1938, reiterada en SC 31 may. 1938 y en CSJ SNG 17 jun. 1938. </w:t>
      </w:r>
    </w:p>
    <w:p w14:paraId="17677E12" w14:textId="77777777" w:rsidR="006851D1" w:rsidRPr="001354D9" w:rsidRDefault="006851D1" w:rsidP="001354D9">
      <w:pPr>
        <w:spacing w:after="0" w:line="276" w:lineRule="auto"/>
        <w:ind w:firstLine="1701"/>
        <w:jc w:val="both"/>
        <w:rPr>
          <w:rFonts w:ascii="Gadugi" w:hAnsi="Gadugi"/>
          <w:sz w:val="24"/>
          <w:szCs w:val="24"/>
        </w:rPr>
      </w:pPr>
    </w:p>
    <w:p w14:paraId="5D48F5FD" w14:textId="785C468A" w:rsidR="006851D1" w:rsidRPr="001354D9" w:rsidRDefault="0042016C" w:rsidP="001354D9">
      <w:pPr>
        <w:spacing w:after="0" w:line="276" w:lineRule="auto"/>
        <w:ind w:firstLine="1701"/>
        <w:jc w:val="both"/>
        <w:rPr>
          <w:rFonts w:ascii="Gadugi" w:eastAsia="Calibri" w:hAnsi="Gadugi" w:cs="Times New Roman"/>
          <w:sz w:val="24"/>
          <w:szCs w:val="24"/>
        </w:rPr>
      </w:pPr>
      <w:r w:rsidRPr="001354D9">
        <w:rPr>
          <w:rFonts w:ascii="Gadugi" w:hAnsi="Gadugi"/>
          <w:sz w:val="24"/>
          <w:szCs w:val="24"/>
        </w:rPr>
        <w:t xml:space="preserve">En esa sentencia se trajeron al recuerdo otras varias que apuntan en el mismo sentido, como la SC9788-2015, la SC del 27 de febrero de 2009, radicado 2001-00013-01, y la SC del 26 de agosto de 2010, radicado 2005-00611-01. </w:t>
      </w:r>
      <w:r w:rsidR="004C54B6" w:rsidRPr="001354D9">
        <w:rPr>
          <w:rFonts w:ascii="Gadugi" w:eastAsia="Calibri" w:hAnsi="Gadugi" w:cs="Times New Roman"/>
          <w:sz w:val="24"/>
          <w:szCs w:val="24"/>
        </w:rPr>
        <w:t xml:space="preserve"> </w:t>
      </w:r>
    </w:p>
    <w:p w14:paraId="6EC0C85F" w14:textId="77777777" w:rsidR="006851D1" w:rsidRPr="001354D9" w:rsidRDefault="006851D1" w:rsidP="001354D9">
      <w:pPr>
        <w:spacing w:after="0" w:line="276" w:lineRule="auto"/>
        <w:ind w:firstLine="1701"/>
        <w:jc w:val="both"/>
        <w:rPr>
          <w:rFonts w:ascii="Gadugi" w:eastAsia="Calibri" w:hAnsi="Gadugi" w:cs="Times New Roman"/>
          <w:sz w:val="24"/>
          <w:szCs w:val="24"/>
        </w:rPr>
      </w:pPr>
    </w:p>
    <w:p w14:paraId="28121043" w14:textId="6F5B08EE" w:rsidR="00CE7C8A" w:rsidRPr="001354D9" w:rsidRDefault="0055381E"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2</w:t>
      </w:r>
      <w:r w:rsidR="004C54B6" w:rsidRPr="001354D9">
        <w:rPr>
          <w:rFonts w:ascii="Gadugi" w:eastAsia="Calibri" w:hAnsi="Gadugi" w:cs="Times New Roman"/>
          <w:sz w:val="24"/>
          <w:szCs w:val="24"/>
        </w:rPr>
        <w:t xml:space="preserve">.8. Dicho esto, al descender al caso concreto, se recuerda que el Juzgado declaró probadas las excepciones de los demandados </w:t>
      </w:r>
      <w:r w:rsidR="00CE7C8A" w:rsidRPr="001354D9">
        <w:rPr>
          <w:rFonts w:ascii="Gadugi" w:eastAsia="Calibri" w:hAnsi="Gadugi" w:cs="Times New Roman"/>
          <w:sz w:val="24"/>
          <w:szCs w:val="24"/>
        </w:rPr>
        <w:t>denominadas</w:t>
      </w:r>
      <w:r w:rsidR="00CE7C8A" w:rsidRPr="001354D9">
        <w:rPr>
          <w:rFonts w:ascii="Gadugi" w:eastAsia="Calibri" w:hAnsi="Gadugi" w:cs="Times New Roman"/>
          <w:i/>
          <w:iCs/>
          <w:sz w:val="24"/>
          <w:szCs w:val="24"/>
        </w:rPr>
        <w:t xml:space="preserve"> “rompimiento del nexo causal por culpa exclusiva de la víctima”, “inexistencia de responsabilidad por inexistencia de nexo causal” e “inexistencia de culpa o error de </w:t>
      </w:r>
      <w:r w:rsidR="00CE7C8A" w:rsidRPr="001354D9">
        <w:rPr>
          <w:rFonts w:ascii="Gadugi" w:eastAsia="Calibri" w:hAnsi="Gadugi" w:cs="Times New Roman"/>
          <w:i/>
          <w:iCs/>
          <w:sz w:val="24"/>
          <w:szCs w:val="24"/>
        </w:rPr>
        <w:lastRenderedPageBreak/>
        <w:t xml:space="preserve">conducta – actuación diligente y cuidadosa”; negó las pretensiones de la demanda </w:t>
      </w:r>
      <w:r w:rsidR="00D71E8C" w:rsidRPr="001354D9">
        <w:rPr>
          <w:rFonts w:ascii="Gadugi" w:eastAsia="Calibri" w:hAnsi="Gadugi" w:cs="Times New Roman"/>
          <w:sz w:val="24"/>
          <w:szCs w:val="24"/>
        </w:rPr>
        <w:t>y condenó a los demandantes en costas en favor de los demandados</w:t>
      </w:r>
      <w:r w:rsidR="003405E6" w:rsidRPr="001354D9">
        <w:rPr>
          <w:rFonts w:ascii="Gadugi" w:eastAsia="Calibri" w:hAnsi="Gadugi" w:cs="Times New Roman"/>
          <w:sz w:val="24"/>
          <w:szCs w:val="24"/>
        </w:rPr>
        <w:t xml:space="preserve">. </w:t>
      </w:r>
    </w:p>
    <w:p w14:paraId="7E16C1C1" w14:textId="77777777" w:rsidR="004C54B6" w:rsidRPr="001354D9" w:rsidRDefault="004C54B6" w:rsidP="001354D9">
      <w:pPr>
        <w:spacing w:after="0" w:line="276" w:lineRule="auto"/>
        <w:ind w:firstLine="1701"/>
        <w:jc w:val="both"/>
        <w:rPr>
          <w:rFonts w:ascii="Gadugi" w:eastAsia="Calibri" w:hAnsi="Gadugi" w:cs="Times New Roman"/>
          <w:sz w:val="24"/>
          <w:szCs w:val="24"/>
        </w:rPr>
      </w:pPr>
    </w:p>
    <w:p w14:paraId="108C8C7A" w14:textId="0CC7E1CB" w:rsidR="004C54B6" w:rsidRPr="001354D9" w:rsidRDefault="004C54B6"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bCs/>
          <w:sz w:val="24"/>
          <w:szCs w:val="24"/>
        </w:rPr>
        <w:t>2.9.</w:t>
      </w:r>
      <w:r w:rsidRPr="001354D9">
        <w:rPr>
          <w:rFonts w:ascii="Gadugi" w:eastAsia="Calibri" w:hAnsi="Gadugi" w:cs="Times New Roman"/>
          <w:b/>
          <w:bCs/>
          <w:sz w:val="24"/>
          <w:szCs w:val="24"/>
        </w:rPr>
        <w:t xml:space="preserve"> </w:t>
      </w:r>
      <w:r w:rsidR="0055381E" w:rsidRPr="001354D9">
        <w:rPr>
          <w:rFonts w:ascii="Gadugi" w:eastAsia="Calibri" w:hAnsi="Gadugi" w:cs="Times New Roman"/>
          <w:bCs/>
          <w:sz w:val="24"/>
          <w:szCs w:val="24"/>
        </w:rPr>
        <w:t>El</w:t>
      </w:r>
      <w:r w:rsidR="0055381E" w:rsidRPr="001354D9">
        <w:rPr>
          <w:rFonts w:ascii="Gadugi" w:eastAsia="Calibri" w:hAnsi="Gadugi" w:cs="Times New Roman"/>
          <w:b/>
          <w:bCs/>
          <w:sz w:val="24"/>
          <w:szCs w:val="24"/>
        </w:rPr>
        <w:t xml:space="preserve"> </w:t>
      </w:r>
      <w:r w:rsidR="0055381E" w:rsidRPr="001354D9">
        <w:rPr>
          <w:rFonts w:ascii="Gadugi" w:eastAsia="Calibri" w:hAnsi="Gadugi" w:cs="Times New Roman"/>
          <w:bCs/>
          <w:sz w:val="24"/>
          <w:szCs w:val="24"/>
        </w:rPr>
        <w:t>d</w:t>
      </w:r>
      <w:r w:rsidRPr="001354D9">
        <w:rPr>
          <w:rFonts w:ascii="Gadugi" w:eastAsia="Calibri" w:hAnsi="Gadugi" w:cs="Times New Roman"/>
          <w:bCs/>
          <w:sz w:val="24"/>
          <w:szCs w:val="24"/>
        </w:rPr>
        <w:t xml:space="preserve">isenso de </w:t>
      </w:r>
      <w:r w:rsidR="003C4959" w:rsidRPr="001354D9">
        <w:rPr>
          <w:rFonts w:ascii="Gadugi" w:eastAsia="Calibri" w:hAnsi="Gadugi" w:cs="Times New Roman"/>
          <w:bCs/>
          <w:sz w:val="24"/>
          <w:szCs w:val="24"/>
        </w:rPr>
        <w:t>Alven de Jesús Álvarez, Luz Mila Sepúlveda Durango, Luz Edilma, Yuli Andrea y Alejandro Álvarez Sepúlveda</w:t>
      </w:r>
      <w:r w:rsidRPr="001354D9">
        <w:rPr>
          <w:rFonts w:ascii="Gadugi" w:eastAsia="Calibri" w:hAnsi="Gadugi" w:cs="Times New Roman"/>
          <w:bCs/>
          <w:sz w:val="24"/>
          <w:szCs w:val="24"/>
          <w:vertAlign w:val="superscript"/>
        </w:rPr>
        <w:footnoteReference w:id="20"/>
      </w:r>
      <w:r w:rsidR="0055381E" w:rsidRPr="001354D9">
        <w:rPr>
          <w:rFonts w:ascii="Gadugi" w:eastAsia="Calibri" w:hAnsi="Gadugi" w:cs="Times New Roman"/>
          <w:bCs/>
          <w:sz w:val="24"/>
          <w:szCs w:val="24"/>
        </w:rPr>
        <w:t xml:space="preserve">, en </w:t>
      </w:r>
      <w:r w:rsidRPr="001354D9">
        <w:rPr>
          <w:rFonts w:ascii="Gadugi" w:eastAsia="Calibri" w:hAnsi="Gadugi" w:cs="Times New Roman"/>
          <w:sz w:val="24"/>
          <w:szCs w:val="24"/>
        </w:rPr>
        <w:t xml:space="preserve">términos generales, se centra en </w:t>
      </w:r>
      <w:r w:rsidR="00E51205" w:rsidRPr="001354D9">
        <w:rPr>
          <w:rFonts w:ascii="Gadugi" w:eastAsia="Calibri" w:hAnsi="Gadugi" w:cs="Times New Roman"/>
          <w:sz w:val="24"/>
          <w:szCs w:val="24"/>
        </w:rPr>
        <w:t xml:space="preserve">que </w:t>
      </w:r>
      <w:r w:rsidR="0055381E" w:rsidRPr="001354D9">
        <w:rPr>
          <w:rFonts w:ascii="Gadugi" w:eastAsia="Calibri" w:hAnsi="Gadugi" w:cs="Times New Roman"/>
          <w:sz w:val="24"/>
          <w:szCs w:val="24"/>
        </w:rPr>
        <w:t xml:space="preserve">en la </w:t>
      </w:r>
      <w:r w:rsidR="00E51205" w:rsidRPr="001354D9">
        <w:rPr>
          <w:rFonts w:ascii="Gadugi" w:eastAsia="Calibri" w:hAnsi="Gadugi" w:cs="Times New Roman"/>
          <w:sz w:val="24"/>
          <w:szCs w:val="24"/>
        </w:rPr>
        <w:t xml:space="preserve">decisión </w:t>
      </w:r>
      <w:r w:rsidR="0055381E" w:rsidRPr="001354D9">
        <w:rPr>
          <w:rFonts w:ascii="Gadugi" w:eastAsia="Calibri" w:hAnsi="Gadugi" w:cs="Times New Roman"/>
          <w:sz w:val="24"/>
          <w:szCs w:val="24"/>
        </w:rPr>
        <w:t xml:space="preserve">se incurrió en un </w:t>
      </w:r>
      <w:r w:rsidR="00DE6239" w:rsidRPr="001354D9">
        <w:rPr>
          <w:rFonts w:ascii="Gadugi" w:eastAsia="Calibri" w:hAnsi="Gadugi" w:cs="Times New Roman"/>
          <w:sz w:val="24"/>
          <w:szCs w:val="24"/>
        </w:rPr>
        <w:t>defecto f</w:t>
      </w:r>
      <w:r w:rsidR="0055381E" w:rsidRPr="001354D9">
        <w:rPr>
          <w:rFonts w:ascii="Gadugi" w:eastAsia="Calibri" w:hAnsi="Gadugi" w:cs="Times New Roman"/>
          <w:sz w:val="24"/>
          <w:szCs w:val="24"/>
        </w:rPr>
        <w:t>á</w:t>
      </w:r>
      <w:r w:rsidR="00DE6239" w:rsidRPr="001354D9">
        <w:rPr>
          <w:rFonts w:ascii="Gadugi" w:eastAsia="Calibri" w:hAnsi="Gadugi" w:cs="Times New Roman"/>
          <w:sz w:val="24"/>
          <w:szCs w:val="24"/>
        </w:rPr>
        <w:t>ctico</w:t>
      </w:r>
      <w:r w:rsidR="0055381E" w:rsidRPr="001354D9">
        <w:rPr>
          <w:rFonts w:ascii="Gadugi" w:eastAsia="Calibri" w:hAnsi="Gadugi" w:cs="Times New Roman"/>
          <w:sz w:val="24"/>
          <w:szCs w:val="24"/>
        </w:rPr>
        <w:t>,</w:t>
      </w:r>
      <w:r w:rsidR="00DE6239" w:rsidRPr="001354D9">
        <w:rPr>
          <w:rFonts w:ascii="Gadugi" w:eastAsia="Calibri" w:hAnsi="Gadugi" w:cs="Times New Roman"/>
          <w:sz w:val="24"/>
          <w:szCs w:val="24"/>
        </w:rPr>
        <w:t xml:space="preserve"> </w:t>
      </w:r>
      <w:r w:rsidR="0055381E" w:rsidRPr="001354D9">
        <w:rPr>
          <w:rFonts w:ascii="Gadugi" w:eastAsia="Calibri" w:hAnsi="Gadugi" w:cs="Times New Roman"/>
          <w:sz w:val="24"/>
          <w:szCs w:val="24"/>
        </w:rPr>
        <w:t xml:space="preserve">por la </w:t>
      </w:r>
      <w:r w:rsidR="00E51205" w:rsidRPr="001354D9">
        <w:rPr>
          <w:rFonts w:ascii="Gadugi" w:eastAsia="Calibri" w:hAnsi="Gadugi" w:cs="Times New Roman"/>
          <w:sz w:val="24"/>
          <w:szCs w:val="24"/>
        </w:rPr>
        <w:t>falta de valoración integral y conjunta del</w:t>
      </w:r>
      <w:r w:rsidR="003D47E8" w:rsidRPr="001354D9">
        <w:rPr>
          <w:rFonts w:ascii="Gadugi" w:eastAsia="Calibri" w:hAnsi="Gadugi" w:cs="Times New Roman"/>
          <w:sz w:val="24"/>
          <w:szCs w:val="24"/>
        </w:rPr>
        <w:t xml:space="preserve"> caudal probatorio </w:t>
      </w:r>
      <w:r w:rsidR="00E51205" w:rsidRPr="001354D9">
        <w:rPr>
          <w:rFonts w:ascii="Gadugi" w:eastAsia="Calibri" w:hAnsi="Gadugi" w:cs="Times New Roman"/>
          <w:sz w:val="24"/>
          <w:szCs w:val="24"/>
        </w:rPr>
        <w:t>y desconoci</w:t>
      </w:r>
      <w:r w:rsidR="009F03C8" w:rsidRPr="001354D9">
        <w:rPr>
          <w:rFonts w:ascii="Gadugi" w:eastAsia="Calibri" w:hAnsi="Gadugi" w:cs="Times New Roman"/>
          <w:sz w:val="24"/>
          <w:szCs w:val="24"/>
        </w:rPr>
        <w:t xml:space="preserve">endo </w:t>
      </w:r>
      <w:r w:rsidR="00E51205" w:rsidRPr="001354D9">
        <w:rPr>
          <w:rFonts w:ascii="Gadugi" w:eastAsia="Calibri" w:hAnsi="Gadugi" w:cs="Times New Roman"/>
          <w:sz w:val="24"/>
          <w:szCs w:val="24"/>
        </w:rPr>
        <w:t>las reglas de la sana critica</w:t>
      </w:r>
      <w:r w:rsidRPr="001354D9">
        <w:rPr>
          <w:rFonts w:ascii="Gadugi" w:eastAsia="Calibri" w:hAnsi="Gadugi" w:cs="Times New Roman"/>
          <w:sz w:val="24"/>
          <w:szCs w:val="24"/>
        </w:rPr>
        <w:t>.</w:t>
      </w:r>
      <w:r w:rsidR="003D47E8" w:rsidRPr="001354D9">
        <w:rPr>
          <w:rFonts w:ascii="Gadugi" w:eastAsia="Calibri" w:hAnsi="Gadugi" w:cs="Times New Roman"/>
          <w:sz w:val="24"/>
          <w:szCs w:val="24"/>
        </w:rPr>
        <w:t xml:space="preserve"> </w:t>
      </w:r>
    </w:p>
    <w:p w14:paraId="033E33E8" w14:textId="77777777" w:rsidR="004C54B6" w:rsidRPr="001354D9" w:rsidRDefault="004C54B6" w:rsidP="001354D9">
      <w:pPr>
        <w:spacing w:after="0" w:line="276" w:lineRule="auto"/>
        <w:ind w:firstLine="1701"/>
        <w:jc w:val="both"/>
        <w:rPr>
          <w:rFonts w:ascii="Gadugi" w:eastAsia="Calibri" w:hAnsi="Gadugi" w:cs="Times New Roman"/>
          <w:sz w:val="24"/>
          <w:szCs w:val="24"/>
        </w:rPr>
      </w:pPr>
    </w:p>
    <w:p w14:paraId="47A5D2DE" w14:textId="63F2B1DC" w:rsidR="00344960" w:rsidRPr="001354D9" w:rsidRDefault="0055381E"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Discuten que </w:t>
      </w:r>
      <w:r w:rsidR="0021479C" w:rsidRPr="001354D9">
        <w:rPr>
          <w:rFonts w:ascii="Gadugi" w:eastAsia="Calibri" w:hAnsi="Gadugi" w:cs="Times New Roman"/>
          <w:sz w:val="24"/>
          <w:szCs w:val="24"/>
        </w:rPr>
        <w:t>no se tuv</w:t>
      </w:r>
      <w:r w:rsidRPr="001354D9">
        <w:rPr>
          <w:rFonts w:ascii="Gadugi" w:eastAsia="Calibri" w:hAnsi="Gadugi" w:cs="Times New Roman"/>
          <w:sz w:val="24"/>
          <w:szCs w:val="24"/>
        </w:rPr>
        <w:t>ieron en cuenta</w:t>
      </w:r>
      <w:r w:rsidR="0021479C" w:rsidRPr="001354D9">
        <w:rPr>
          <w:rFonts w:ascii="Gadugi" w:eastAsia="Calibri" w:hAnsi="Gadugi" w:cs="Times New Roman"/>
          <w:sz w:val="24"/>
          <w:szCs w:val="24"/>
        </w:rPr>
        <w:t xml:space="preserve"> </w:t>
      </w:r>
      <w:r w:rsidR="00DA1A9E" w:rsidRPr="001354D9">
        <w:rPr>
          <w:rFonts w:ascii="Gadugi" w:eastAsia="Calibri" w:hAnsi="Gadugi" w:cs="Times New Roman"/>
          <w:sz w:val="24"/>
          <w:szCs w:val="24"/>
        </w:rPr>
        <w:t xml:space="preserve">(i) </w:t>
      </w:r>
      <w:r w:rsidR="0021479C" w:rsidRPr="001354D9">
        <w:rPr>
          <w:rFonts w:ascii="Gadugi" w:eastAsia="Calibri" w:hAnsi="Gadugi" w:cs="Times New Roman"/>
          <w:sz w:val="24"/>
          <w:szCs w:val="24"/>
        </w:rPr>
        <w:t xml:space="preserve">el dictamen pericial por ellos aportado, </w:t>
      </w:r>
      <w:r w:rsidR="00DA1A9E" w:rsidRPr="001354D9">
        <w:rPr>
          <w:rFonts w:ascii="Gadugi" w:eastAsia="Calibri" w:hAnsi="Gadugi" w:cs="Times New Roman"/>
          <w:sz w:val="24"/>
          <w:szCs w:val="24"/>
        </w:rPr>
        <w:t xml:space="preserve">(ii) </w:t>
      </w:r>
      <w:r w:rsidR="00344960" w:rsidRPr="001354D9">
        <w:rPr>
          <w:rFonts w:ascii="Gadugi" w:eastAsia="Calibri" w:hAnsi="Gadugi" w:cs="Times New Roman"/>
          <w:sz w:val="24"/>
          <w:szCs w:val="24"/>
        </w:rPr>
        <w:t xml:space="preserve">los testimonios rendidos, especialmente el del señor Carlos Izquierdo, </w:t>
      </w:r>
      <w:r w:rsidRPr="001354D9">
        <w:rPr>
          <w:rFonts w:ascii="Gadugi" w:eastAsia="Calibri" w:hAnsi="Gadugi" w:cs="Times New Roman"/>
          <w:sz w:val="24"/>
          <w:szCs w:val="24"/>
        </w:rPr>
        <w:t xml:space="preserve">testigo ocular de los hechos; </w:t>
      </w:r>
      <w:r w:rsidR="00344960" w:rsidRPr="001354D9">
        <w:rPr>
          <w:rFonts w:ascii="Gadugi" w:eastAsia="Calibri" w:hAnsi="Gadugi" w:cs="Times New Roman"/>
          <w:sz w:val="24"/>
          <w:szCs w:val="24"/>
        </w:rPr>
        <w:t>(iii) el dictamen de medicina legal</w:t>
      </w:r>
      <w:r w:rsidRPr="001354D9">
        <w:rPr>
          <w:rFonts w:ascii="Gadugi" w:eastAsia="Calibri" w:hAnsi="Gadugi" w:cs="Times New Roman"/>
          <w:sz w:val="24"/>
          <w:szCs w:val="24"/>
        </w:rPr>
        <w:t>;</w:t>
      </w:r>
      <w:r w:rsidR="00344960" w:rsidRPr="001354D9">
        <w:rPr>
          <w:rFonts w:ascii="Gadugi" w:eastAsia="Calibri" w:hAnsi="Gadugi" w:cs="Times New Roman"/>
          <w:sz w:val="24"/>
          <w:szCs w:val="24"/>
        </w:rPr>
        <w:t xml:space="preserve"> y (iv) la historia clínica</w:t>
      </w:r>
      <w:r w:rsidR="000E2D20" w:rsidRPr="001354D9">
        <w:rPr>
          <w:rFonts w:ascii="Gadugi" w:eastAsia="Calibri" w:hAnsi="Gadugi" w:cs="Times New Roman"/>
          <w:sz w:val="24"/>
          <w:szCs w:val="24"/>
        </w:rPr>
        <w:t xml:space="preserve">, que lograrían dar cuenta </w:t>
      </w:r>
      <w:r w:rsidR="00037342" w:rsidRPr="001354D9">
        <w:rPr>
          <w:rFonts w:ascii="Gadugi" w:eastAsia="Calibri" w:hAnsi="Gadugi" w:cs="Times New Roman"/>
          <w:sz w:val="24"/>
          <w:szCs w:val="24"/>
        </w:rPr>
        <w:t>de las condiciones en que se presentó el accidente de tránsito y la culpa del conductor</w:t>
      </w:r>
      <w:r w:rsidR="000E2D20" w:rsidRPr="001354D9">
        <w:rPr>
          <w:rFonts w:ascii="Gadugi" w:eastAsia="Calibri" w:hAnsi="Gadugi" w:cs="Times New Roman"/>
          <w:sz w:val="24"/>
          <w:szCs w:val="24"/>
        </w:rPr>
        <w:t>.</w:t>
      </w:r>
      <w:r w:rsidR="00037342" w:rsidRPr="001354D9">
        <w:rPr>
          <w:rFonts w:ascii="Gadugi" w:eastAsia="Calibri" w:hAnsi="Gadugi" w:cs="Times New Roman"/>
          <w:sz w:val="24"/>
          <w:szCs w:val="24"/>
        </w:rPr>
        <w:t xml:space="preserve"> </w:t>
      </w:r>
      <w:r w:rsidR="000E2D20" w:rsidRPr="001354D9">
        <w:rPr>
          <w:rFonts w:ascii="Gadugi" w:eastAsia="Calibri" w:hAnsi="Gadugi" w:cs="Times New Roman"/>
          <w:sz w:val="24"/>
          <w:szCs w:val="24"/>
        </w:rPr>
        <w:t xml:space="preserve"> </w:t>
      </w:r>
      <w:r w:rsidR="00344960" w:rsidRPr="001354D9">
        <w:rPr>
          <w:rFonts w:ascii="Gadugi" w:eastAsia="Calibri" w:hAnsi="Gadugi" w:cs="Times New Roman"/>
          <w:sz w:val="24"/>
          <w:szCs w:val="24"/>
        </w:rPr>
        <w:t xml:space="preserve"> </w:t>
      </w:r>
    </w:p>
    <w:p w14:paraId="0913E6BC" w14:textId="77777777" w:rsidR="004C54B6" w:rsidRPr="001354D9" w:rsidRDefault="004C54B6" w:rsidP="001354D9">
      <w:pPr>
        <w:spacing w:after="0" w:line="276" w:lineRule="auto"/>
        <w:ind w:firstLine="1701"/>
        <w:jc w:val="both"/>
        <w:rPr>
          <w:rFonts w:ascii="Gadugi" w:eastAsia="Calibri" w:hAnsi="Gadugi" w:cs="Times New Roman"/>
          <w:sz w:val="24"/>
          <w:szCs w:val="24"/>
        </w:rPr>
      </w:pPr>
    </w:p>
    <w:p w14:paraId="5D1A5014" w14:textId="77777777" w:rsidR="007219FB" w:rsidRPr="001354D9" w:rsidRDefault="007E021B"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Desde ahora se anticipa que </w:t>
      </w:r>
      <w:r w:rsidR="00ED3124" w:rsidRPr="001354D9">
        <w:rPr>
          <w:rFonts w:ascii="Gadugi" w:eastAsia="Calibri" w:hAnsi="Gadugi" w:cs="Times New Roman"/>
          <w:sz w:val="24"/>
          <w:szCs w:val="24"/>
        </w:rPr>
        <w:t xml:space="preserve">esta Sala considera acertados los planteamientos del Juzgado de instancia, suficientes para que </w:t>
      </w:r>
      <w:r w:rsidR="0055381E" w:rsidRPr="001354D9">
        <w:rPr>
          <w:rFonts w:ascii="Gadugi" w:eastAsia="Calibri" w:hAnsi="Gadugi" w:cs="Times New Roman"/>
          <w:sz w:val="24"/>
          <w:szCs w:val="24"/>
        </w:rPr>
        <w:t xml:space="preserve">los reparos </w:t>
      </w:r>
      <w:r w:rsidR="00ED3124" w:rsidRPr="001354D9">
        <w:rPr>
          <w:rFonts w:ascii="Gadugi" w:eastAsia="Calibri" w:hAnsi="Gadugi" w:cs="Times New Roman"/>
          <w:sz w:val="24"/>
          <w:szCs w:val="24"/>
        </w:rPr>
        <w:t>no logre</w:t>
      </w:r>
      <w:r w:rsidR="0055381E" w:rsidRPr="001354D9">
        <w:rPr>
          <w:rFonts w:ascii="Gadugi" w:eastAsia="Calibri" w:hAnsi="Gadugi" w:cs="Times New Roman"/>
          <w:sz w:val="24"/>
          <w:szCs w:val="24"/>
        </w:rPr>
        <w:t>n</w:t>
      </w:r>
      <w:r w:rsidR="00ED3124" w:rsidRPr="001354D9">
        <w:rPr>
          <w:rFonts w:ascii="Gadugi" w:eastAsia="Calibri" w:hAnsi="Gadugi" w:cs="Times New Roman"/>
          <w:sz w:val="24"/>
          <w:szCs w:val="24"/>
        </w:rPr>
        <w:t xml:space="preserve"> salir avante y </w:t>
      </w:r>
      <w:r w:rsidR="00DC3CF9" w:rsidRPr="001354D9">
        <w:rPr>
          <w:rFonts w:ascii="Gadugi" w:eastAsia="Calibri" w:hAnsi="Gadugi" w:cs="Times New Roman"/>
          <w:sz w:val="24"/>
          <w:szCs w:val="24"/>
        </w:rPr>
        <w:t xml:space="preserve">se prohíje lo </w:t>
      </w:r>
      <w:r w:rsidR="00ED3124" w:rsidRPr="001354D9">
        <w:rPr>
          <w:rFonts w:ascii="Gadugi" w:eastAsia="Calibri" w:hAnsi="Gadugi" w:cs="Times New Roman"/>
          <w:sz w:val="24"/>
          <w:szCs w:val="24"/>
        </w:rPr>
        <w:t>decidido</w:t>
      </w:r>
      <w:r w:rsidR="00DC3CF9" w:rsidRPr="001354D9">
        <w:rPr>
          <w:rFonts w:ascii="Gadugi" w:eastAsia="Calibri" w:hAnsi="Gadugi" w:cs="Times New Roman"/>
          <w:sz w:val="24"/>
          <w:szCs w:val="24"/>
        </w:rPr>
        <w:t>.</w:t>
      </w:r>
    </w:p>
    <w:p w14:paraId="044AF9BF" w14:textId="77777777" w:rsidR="007219FB" w:rsidRPr="001354D9" w:rsidRDefault="007219FB" w:rsidP="001354D9">
      <w:pPr>
        <w:spacing w:after="0" w:line="276" w:lineRule="auto"/>
        <w:ind w:firstLine="1701"/>
        <w:jc w:val="both"/>
        <w:rPr>
          <w:rFonts w:ascii="Gadugi" w:eastAsia="Calibri" w:hAnsi="Gadugi" w:cs="Times New Roman"/>
          <w:sz w:val="24"/>
          <w:szCs w:val="24"/>
        </w:rPr>
      </w:pPr>
    </w:p>
    <w:p w14:paraId="43CB385C" w14:textId="3C472F67" w:rsidR="00F17B6D" w:rsidRPr="001354D9" w:rsidRDefault="007219FB"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2.9.1. Para empezar con el dictamen pericial que allegó la parte demandante y del que se afirma que ha debido prevalecer sobre el que arrimaron los demandados, dos cosas saltan a la vista para desestimarlo. La primera y más importante, es que a la luz del artículo 226 del CGP, en la actualidad el dictamen de parte debe someterse a unas reglas allí enlistadas de manera precisa, entre ellas, </w:t>
      </w:r>
      <w:r w:rsidR="00F17B6D" w:rsidRPr="001354D9">
        <w:rPr>
          <w:rFonts w:ascii="Gadugi" w:eastAsia="Calibri" w:hAnsi="Gadugi" w:cs="Times New Roman"/>
          <w:sz w:val="24"/>
          <w:szCs w:val="24"/>
        </w:rPr>
        <w:t xml:space="preserve">que el mismo venga acompañado de los documentos idóneos que habiliten al perito para su ejercicio, los títulos académicos y los documentos que certifiquen la respectiva experiencia profesional, técnica o artística. </w:t>
      </w:r>
    </w:p>
    <w:p w14:paraId="11F24B1A" w14:textId="1737DF44" w:rsidR="00F17B6D" w:rsidRPr="001354D9" w:rsidRDefault="00F17B6D" w:rsidP="001354D9">
      <w:pPr>
        <w:spacing w:after="0" w:line="276" w:lineRule="auto"/>
        <w:ind w:firstLine="1701"/>
        <w:jc w:val="both"/>
        <w:rPr>
          <w:rFonts w:ascii="Gadugi" w:eastAsia="Calibri" w:hAnsi="Gadugi" w:cs="Times New Roman"/>
          <w:sz w:val="24"/>
          <w:szCs w:val="24"/>
        </w:rPr>
      </w:pPr>
    </w:p>
    <w:p w14:paraId="18F0A469" w14:textId="33FD4989" w:rsidR="001D611E" w:rsidRPr="001354D9" w:rsidRDefault="00F17B6D" w:rsidP="001354D9">
      <w:pPr>
        <w:spacing w:after="0" w:line="276" w:lineRule="auto"/>
        <w:ind w:firstLine="1701"/>
        <w:jc w:val="both"/>
        <w:rPr>
          <w:rFonts w:ascii="Gadugi" w:hAnsi="Gadugi"/>
          <w:i/>
          <w:sz w:val="24"/>
          <w:szCs w:val="24"/>
        </w:rPr>
      </w:pPr>
      <w:r w:rsidRPr="001354D9">
        <w:rPr>
          <w:rFonts w:ascii="Gadugi" w:eastAsia="Calibri" w:hAnsi="Gadugi" w:cs="Times New Roman"/>
          <w:sz w:val="24"/>
          <w:szCs w:val="24"/>
        </w:rPr>
        <w:t>Si no se acatan esas directrices, como ha sostenido esta Sala</w:t>
      </w:r>
      <w:r w:rsidRPr="001354D9">
        <w:rPr>
          <w:rStyle w:val="Refdenotaalpie"/>
          <w:rFonts w:ascii="Gadugi" w:eastAsia="Calibri" w:hAnsi="Gadugi" w:cs="Times New Roman"/>
          <w:sz w:val="24"/>
          <w:szCs w:val="24"/>
        </w:rPr>
        <w:footnoteReference w:id="21"/>
      </w:r>
      <w:r w:rsidRPr="001354D9">
        <w:rPr>
          <w:rFonts w:ascii="Gadugi" w:eastAsia="Calibri" w:hAnsi="Gadugi" w:cs="Times New Roman"/>
          <w:sz w:val="24"/>
          <w:szCs w:val="24"/>
        </w:rPr>
        <w:t>, aunque ello hubiera podido controlarse desde el momento de su aducción, superada esa etapa, al momento de valorarse ese medio probatorio, perderá toda eficacia. No está por demás recordar</w:t>
      </w:r>
      <w:r w:rsidR="00A34EEE" w:rsidRPr="001354D9">
        <w:rPr>
          <w:rFonts w:ascii="Gadugi" w:eastAsia="Calibri" w:hAnsi="Gadugi" w:cs="Times New Roman"/>
          <w:sz w:val="24"/>
          <w:szCs w:val="24"/>
        </w:rPr>
        <w:t xml:space="preserve">, sin embargo, </w:t>
      </w:r>
      <w:r w:rsidR="001D611E" w:rsidRPr="001354D9">
        <w:rPr>
          <w:rFonts w:ascii="Gadugi" w:eastAsia="Calibri" w:hAnsi="Gadugi" w:cs="Times New Roman"/>
          <w:sz w:val="24"/>
          <w:szCs w:val="24"/>
        </w:rPr>
        <w:t>lo dicho en la misma providencia en cita, en el sentido de que</w:t>
      </w:r>
      <w:r w:rsidR="007219FB" w:rsidRPr="001354D9">
        <w:rPr>
          <w:rFonts w:ascii="Gadugi" w:hAnsi="Gadugi"/>
          <w:sz w:val="24"/>
          <w:szCs w:val="24"/>
        </w:rPr>
        <w:t xml:space="preserve"> </w:t>
      </w:r>
      <w:r w:rsidR="001D611E" w:rsidRPr="001354D9">
        <w:rPr>
          <w:rFonts w:ascii="Gadugi" w:hAnsi="Gadugi"/>
          <w:i/>
          <w:sz w:val="24"/>
          <w:szCs w:val="24"/>
        </w:rPr>
        <w:t>“</w:t>
      </w:r>
      <w:r w:rsidR="007219FB" w:rsidRPr="00502BDE">
        <w:rPr>
          <w:rFonts w:ascii="Gadugi" w:hAnsi="Gadugi"/>
          <w:i/>
          <w:szCs w:val="24"/>
        </w:rPr>
        <w:t>en reciente decisión de este Tribunal</w:t>
      </w:r>
      <w:r w:rsidR="001D611E" w:rsidRPr="00502BDE">
        <w:rPr>
          <w:rStyle w:val="Refdenotaalpie"/>
          <w:rFonts w:ascii="Gadugi" w:hAnsi="Gadugi"/>
          <w:i/>
          <w:szCs w:val="24"/>
        </w:rPr>
        <w:footnoteReference w:id="22"/>
      </w:r>
      <w:r w:rsidR="007219FB" w:rsidRPr="00502BDE">
        <w:rPr>
          <w:rFonts w:ascii="Gadugi" w:hAnsi="Gadugi"/>
          <w:i/>
          <w:szCs w:val="24"/>
        </w:rPr>
        <w:t xml:space="preserve"> quedaron compendiadas las posiciones que se ciernen, al indicarse en otro asunto en el que el dictamen incumplía tales exigencias legales, que “Esa experticia evidencia un reproche que compromete su eficacia, consistente en la falta de las exigencias del artículo 226, ib., bien se admita la tesis de la CSJ (2021)</w:t>
      </w:r>
      <w:r w:rsidR="001D611E" w:rsidRPr="00502BDE">
        <w:rPr>
          <w:rStyle w:val="Refdenotaalpie"/>
          <w:rFonts w:ascii="Gadugi" w:hAnsi="Gadugi"/>
          <w:i/>
          <w:szCs w:val="24"/>
        </w:rPr>
        <w:footnoteReference w:id="23"/>
      </w:r>
      <w:r w:rsidR="007219FB" w:rsidRPr="00502BDE">
        <w:rPr>
          <w:rFonts w:ascii="Gadugi" w:hAnsi="Gadugi"/>
          <w:i/>
          <w:szCs w:val="24"/>
        </w:rPr>
        <w:t xml:space="preserve"> en sede de tutela o la que ha sostenido esta Sala en decisiones anteriores (2018, 2019 </w:t>
      </w:r>
      <w:r w:rsidR="007219FB" w:rsidRPr="00502BDE">
        <w:rPr>
          <w:rFonts w:ascii="Gadugi" w:hAnsi="Gadugi"/>
          <w:i/>
          <w:szCs w:val="24"/>
        </w:rPr>
        <w:lastRenderedPageBreak/>
        <w:t>y 2021)</w:t>
      </w:r>
      <w:r w:rsidR="001D611E" w:rsidRPr="00502BDE">
        <w:rPr>
          <w:rStyle w:val="Refdenotaalpie"/>
          <w:rFonts w:ascii="Gadugi" w:hAnsi="Gadugi"/>
          <w:i/>
          <w:szCs w:val="24"/>
        </w:rPr>
        <w:footnoteReference w:id="24"/>
      </w:r>
      <w:r w:rsidR="007219FB" w:rsidRPr="00502BDE">
        <w:rPr>
          <w:rFonts w:ascii="Gadugi" w:hAnsi="Gadugi"/>
          <w:i/>
          <w:szCs w:val="24"/>
        </w:rPr>
        <w:t>; esta última predica que, conforme al artículo 173, inciso 2º, ib., al pronunciarse sobre su admisibilidad debe el juzgador verificarlas, mientras la CSJ sostiene que es juicio restringido solo a la sentencia</w:t>
      </w:r>
      <w:r w:rsidR="00502BDE" w:rsidRPr="00502BDE">
        <w:rPr>
          <w:rFonts w:ascii="Gadugi" w:hAnsi="Gadugi"/>
          <w:i/>
          <w:szCs w:val="24"/>
        </w:rPr>
        <w:t>.</w:t>
      </w:r>
      <w:r w:rsidR="007219FB" w:rsidRPr="00502BDE">
        <w:rPr>
          <w:rFonts w:ascii="Gadugi" w:hAnsi="Gadugi"/>
          <w:i/>
          <w:szCs w:val="24"/>
        </w:rPr>
        <w:t>”.</w:t>
      </w:r>
      <w:r w:rsidR="00502BDE">
        <w:rPr>
          <w:rFonts w:ascii="Gadugi" w:hAnsi="Gadugi"/>
          <w:i/>
          <w:sz w:val="24"/>
          <w:szCs w:val="24"/>
        </w:rPr>
        <w:t>”</w:t>
      </w:r>
      <w:r w:rsidR="007219FB" w:rsidRPr="001354D9">
        <w:rPr>
          <w:rFonts w:ascii="Gadugi" w:hAnsi="Gadugi"/>
          <w:i/>
          <w:sz w:val="24"/>
          <w:szCs w:val="24"/>
        </w:rPr>
        <w:t xml:space="preserve"> </w:t>
      </w:r>
    </w:p>
    <w:p w14:paraId="2D98C4FF" w14:textId="77777777" w:rsidR="00FE003D" w:rsidRPr="001354D9" w:rsidRDefault="00FE003D" w:rsidP="001354D9">
      <w:pPr>
        <w:spacing w:after="0" w:line="276" w:lineRule="auto"/>
        <w:ind w:firstLine="1701"/>
        <w:jc w:val="both"/>
        <w:rPr>
          <w:rFonts w:ascii="Gadugi" w:hAnsi="Gadugi"/>
          <w:sz w:val="24"/>
          <w:szCs w:val="24"/>
        </w:rPr>
      </w:pPr>
    </w:p>
    <w:p w14:paraId="5C3219D6" w14:textId="5191EBCB" w:rsidR="00FE003D" w:rsidRPr="001354D9" w:rsidRDefault="00FE003D" w:rsidP="001354D9">
      <w:pPr>
        <w:spacing w:after="0" w:line="276" w:lineRule="auto"/>
        <w:ind w:firstLine="1701"/>
        <w:jc w:val="both"/>
        <w:rPr>
          <w:rFonts w:ascii="Gadugi" w:hAnsi="Gadugi"/>
          <w:sz w:val="24"/>
          <w:szCs w:val="24"/>
        </w:rPr>
      </w:pPr>
      <w:r w:rsidRPr="001354D9">
        <w:rPr>
          <w:rFonts w:ascii="Gadugi" w:hAnsi="Gadugi"/>
          <w:sz w:val="24"/>
          <w:szCs w:val="24"/>
        </w:rPr>
        <w:t xml:space="preserve">En todo caso, como ocurrió en los eventos ya citados, cualquiera que sea la tesis que se acoja, la conclusión sería la misma, es decir, que se torna imposible apreciar la experticia, que es lo que aquí debe acontecer, habida cuenta de que, al acudir al expediente digital, en el archivo 37 del cuaderno principal, aparece un informe técnico-científico de reconstrucción, emitido por Lady Jhoanna García García y David Ricardo Novoa Santa, </w:t>
      </w:r>
      <w:r w:rsidR="00A34EEE" w:rsidRPr="001354D9">
        <w:rPr>
          <w:rFonts w:ascii="Gadugi" w:hAnsi="Gadugi"/>
          <w:sz w:val="24"/>
          <w:szCs w:val="24"/>
        </w:rPr>
        <w:t xml:space="preserve">que </w:t>
      </w:r>
      <w:r w:rsidRPr="001354D9">
        <w:rPr>
          <w:rFonts w:ascii="Gadugi" w:hAnsi="Gadugi"/>
          <w:sz w:val="24"/>
          <w:szCs w:val="24"/>
        </w:rPr>
        <w:t xml:space="preserve">carece del citado respaldo, en cuanto </w:t>
      </w:r>
      <w:r w:rsidR="00D2702A" w:rsidRPr="001354D9">
        <w:rPr>
          <w:rFonts w:ascii="Gadugi" w:hAnsi="Gadugi"/>
          <w:sz w:val="24"/>
          <w:szCs w:val="24"/>
        </w:rPr>
        <w:t xml:space="preserve">ningún documento idóneo se trajo que habilite a los peritos para su trabajo, ni copias de sus títulos académicos o de documentos que sirvan para certificar su experiencia como ingenieros físicos y en las demás especialidades que refieren. </w:t>
      </w:r>
    </w:p>
    <w:p w14:paraId="1CA97A1C" w14:textId="77777777" w:rsidR="00D2702A" w:rsidRPr="001354D9" w:rsidRDefault="00D2702A" w:rsidP="001354D9">
      <w:pPr>
        <w:spacing w:after="0" w:line="276" w:lineRule="auto"/>
        <w:ind w:firstLine="1701"/>
        <w:jc w:val="both"/>
        <w:rPr>
          <w:rFonts w:ascii="Gadugi" w:hAnsi="Gadugi"/>
          <w:sz w:val="24"/>
          <w:szCs w:val="24"/>
        </w:rPr>
      </w:pPr>
    </w:p>
    <w:p w14:paraId="1F5F3E8E" w14:textId="157A563D" w:rsidR="00FE003D" w:rsidRPr="001354D9" w:rsidRDefault="00D2702A" w:rsidP="001354D9">
      <w:pPr>
        <w:spacing w:after="0" w:line="276" w:lineRule="auto"/>
        <w:ind w:firstLine="1701"/>
        <w:jc w:val="both"/>
        <w:rPr>
          <w:rFonts w:ascii="Gadugi" w:hAnsi="Gadugi"/>
          <w:sz w:val="24"/>
          <w:szCs w:val="24"/>
        </w:rPr>
      </w:pPr>
      <w:r w:rsidRPr="001354D9">
        <w:rPr>
          <w:rFonts w:ascii="Gadugi" w:hAnsi="Gadugi"/>
          <w:sz w:val="24"/>
          <w:szCs w:val="24"/>
        </w:rPr>
        <w:t>En consecuencia, no puede pretenderse que se le dé valor a ese trabajo pericial, y menos que se le considere con preeminencia sobre el que aportaron los demandados, rendido por Alejandro Rico León y Diego Manuel López Morales, que reposa en los archivos 45 a 52, que</w:t>
      </w:r>
      <w:r w:rsidR="00C50161" w:rsidRPr="001354D9">
        <w:rPr>
          <w:rFonts w:ascii="Gadugi" w:hAnsi="Gadugi"/>
          <w:sz w:val="24"/>
          <w:szCs w:val="24"/>
        </w:rPr>
        <w:t xml:space="preserve">, revisado, se ajusta íntegramente a los mandatos del citado artículo 226. </w:t>
      </w:r>
    </w:p>
    <w:p w14:paraId="114B0FF2" w14:textId="1D30D405" w:rsidR="00C50161" w:rsidRPr="001354D9" w:rsidRDefault="00C50161" w:rsidP="001354D9">
      <w:pPr>
        <w:spacing w:after="0" w:line="276" w:lineRule="auto"/>
        <w:ind w:firstLine="1701"/>
        <w:jc w:val="both"/>
        <w:rPr>
          <w:rFonts w:ascii="Gadugi" w:hAnsi="Gadugi"/>
          <w:sz w:val="24"/>
          <w:szCs w:val="24"/>
        </w:rPr>
      </w:pPr>
    </w:p>
    <w:p w14:paraId="6B609EB3" w14:textId="0ACCB680" w:rsidR="00C35A6D" w:rsidRPr="001354D9" w:rsidRDefault="00C50161" w:rsidP="001354D9">
      <w:pPr>
        <w:spacing w:after="0" w:line="276" w:lineRule="auto"/>
        <w:ind w:firstLine="1701"/>
        <w:jc w:val="both"/>
        <w:rPr>
          <w:rFonts w:ascii="Gadugi" w:hAnsi="Gadugi"/>
          <w:sz w:val="24"/>
          <w:szCs w:val="24"/>
        </w:rPr>
      </w:pPr>
      <w:r w:rsidRPr="001354D9">
        <w:rPr>
          <w:rFonts w:ascii="Gadugi" w:hAnsi="Gadugi"/>
          <w:sz w:val="24"/>
          <w:szCs w:val="24"/>
        </w:rPr>
        <w:t>Y si</w:t>
      </w:r>
      <w:r w:rsidR="00CF7673" w:rsidRPr="001354D9">
        <w:rPr>
          <w:rFonts w:ascii="Gadugi" w:hAnsi="Gadugi"/>
          <w:sz w:val="24"/>
          <w:szCs w:val="24"/>
        </w:rPr>
        <w:t>,</w:t>
      </w:r>
      <w:r w:rsidRPr="001354D9">
        <w:rPr>
          <w:rFonts w:ascii="Gadugi" w:hAnsi="Gadugi"/>
          <w:sz w:val="24"/>
          <w:szCs w:val="24"/>
        </w:rPr>
        <w:t xml:space="preserve"> en gracia de discusión</w:t>
      </w:r>
      <w:r w:rsidR="00CF7673" w:rsidRPr="001354D9">
        <w:rPr>
          <w:rFonts w:ascii="Gadugi" w:hAnsi="Gadugi"/>
          <w:sz w:val="24"/>
          <w:szCs w:val="24"/>
        </w:rPr>
        <w:t>,</w:t>
      </w:r>
      <w:r w:rsidRPr="001354D9">
        <w:rPr>
          <w:rFonts w:ascii="Gadugi" w:hAnsi="Gadugi"/>
          <w:sz w:val="24"/>
          <w:szCs w:val="24"/>
        </w:rPr>
        <w:t xml:space="preserve"> esa omisión se pudiera soslayar, bastaría para restarle razón a los primeros peritos mencionados lo contraevidente de su conclusión sobre el desplazamiento de la víctima en el momento del accidente, pues parten del supuesto fáctico de que iba de izquierda a derecha, porque los golpes en la cabeza son concordantes con el que pudo recibir con el camión en su parte frontal, lo que es por completo contrario a lo que el mismo demandante Alven de Jesús Álvarez indicó en la audiencia del artículo 372, en la que se le recibió interrogatorio de parte</w:t>
      </w:r>
      <w:r w:rsidR="00C35A6D" w:rsidRPr="001354D9">
        <w:rPr>
          <w:rFonts w:ascii="Gadugi" w:hAnsi="Gadugi"/>
          <w:sz w:val="24"/>
          <w:szCs w:val="24"/>
        </w:rPr>
        <w:t xml:space="preserve"> y se le preguntó en qué parte recibió el golpe del automotor y señaló, como se ve en el video, su hombro izquierdo; se le reiteró la pregunta </w:t>
      </w:r>
      <w:r w:rsidR="00A34EEE" w:rsidRPr="001354D9">
        <w:rPr>
          <w:rFonts w:ascii="Gadugi" w:hAnsi="Gadugi"/>
          <w:sz w:val="24"/>
          <w:szCs w:val="24"/>
        </w:rPr>
        <w:t xml:space="preserve">de </w:t>
      </w:r>
      <w:r w:rsidR="00C35A6D" w:rsidRPr="001354D9">
        <w:rPr>
          <w:rFonts w:ascii="Gadugi" w:hAnsi="Gadugi"/>
          <w:sz w:val="24"/>
          <w:szCs w:val="24"/>
        </w:rPr>
        <w:t>si había sido en el hombro izquierdo y reiteró una y otra vez que sí. Es decir, que la hipótesis de ese dictamen se cae por su propio peso, pues señala que el golpe fue en el lado derecho y todo lo ocurrido en el izquierdo fue producto de la caída, cuando aparece más coherente la tesis del segundo dictamen, en el sentido de que, como lo dijo el mismo demandante, el golpe inicial fue en su hombro izquierdo y, claro, producto de su caída sobre una superficie dura, vinieron las otras consecuencias.</w:t>
      </w:r>
    </w:p>
    <w:p w14:paraId="659B329D" w14:textId="77777777" w:rsidR="00C35A6D" w:rsidRPr="001354D9" w:rsidRDefault="00C35A6D" w:rsidP="001354D9">
      <w:pPr>
        <w:spacing w:after="0" w:line="276" w:lineRule="auto"/>
        <w:ind w:firstLine="1701"/>
        <w:jc w:val="both"/>
        <w:rPr>
          <w:rFonts w:ascii="Gadugi" w:hAnsi="Gadugi"/>
          <w:sz w:val="24"/>
          <w:szCs w:val="24"/>
        </w:rPr>
      </w:pPr>
    </w:p>
    <w:p w14:paraId="7F369E1B" w14:textId="70D887DA" w:rsidR="00C50161" w:rsidRPr="001354D9" w:rsidRDefault="00C50161" w:rsidP="001354D9">
      <w:pPr>
        <w:spacing w:after="0" w:line="276" w:lineRule="auto"/>
        <w:ind w:firstLine="1701"/>
        <w:jc w:val="both"/>
        <w:rPr>
          <w:rFonts w:ascii="Gadugi" w:hAnsi="Gadugi"/>
          <w:sz w:val="24"/>
          <w:szCs w:val="24"/>
        </w:rPr>
      </w:pPr>
      <w:r w:rsidRPr="001354D9">
        <w:rPr>
          <w:rFonts w:ascii="Gadugi" w:hAnsi="Gadugi"/>
          <w:sz w:val="24"/>
          <w:szCs w:val="24"/>
        </w:rPr>
        <w:t xml:space="preserve"> </w:t>
      </w:r>
      <w:r w:rsidR="005527A3" w:rsidRPr="001354D9">
        <w:rPr>
          <w:rFonts w:ascii="Gadugi" w:hAnsi="Gadugi"/>
          <w:sz w:val="24"/>
          <w:szCs w:val="24"/>
        </w:rPr>
        <w:t xml:space="preserve">2.9.2. Esta precisión que se hace sobre lo dicho por aquellos peritos, viene muy al caso, porque sirve para desechar los demás reclamos que hacen los recurrentes frente al fallo. </w:t>
      </w:r>
    </w:p>
    <w:p w14:paraId="3DE09D72" w14:textId="6D0503F1" w:rsidR="005527A3" w:rsidRPr="001354D9" w:rsidRDefault="005527A3" w:rsidP="001354D9">
      <w:pPr>
        <w:spacing w:after="0" w:line="276" w:lineRule="auto"/>
        <w:ind w:firstLine="1701"/>
        <w:jc w:val="both"/>
        <w:rPr>
          <w:rFonts w:ascii="Gadugi" w:hAnsi="Gadugi"/>
          <w:sz w:val="24"/>
          <w:szCs w:val="24"/>
        </w:rPr>
      </w:pPr>
    </w:p>
    <w:p w14:paraId="7874FD0B" w14:textId="03E1FC11" w:rsidR="00300352" w:rsidRPr="001354D9" w:rsidRDefault="005527A3"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lastRenderedPageBreak/>
        <w:t>Y ello es así, porque se duelen de que no se le creyera al testigo Carlos Izquierdo, quien dijo haber presenciado los hechos.</w:t>
      </w:r>
      <w:r w:rsidR="00A03EE8" w:rsidRPr="001354D9">
        <w:rPr>
          <w:rFonts w:ascii="Gadugi" w:eastAsia="Calibri" w:hAnsi="Gadugi" w:cs="Times New Roman"/>
          <w:sz w:val="24"/>
          <w:szCs w:val="24"/>
        </w:rPr>
        <w:t xml:space="preserve"> </w:t>
      </w:r>
      <w:r w:rsidR="0068086C" w:rsidRPr="001354D9">
        <w:rPr>
          <w:rFonts w:ascii="Gadugi" w:eastAsia="Calibri" w:hAnsi="Gadugi" w:cs="Times New Roman"/>
          <w:sz w:val="24"/>
          <w:szCs w:val="24"/>
        </w:rPr>
        <w:t>Lo cual</w:t>
      </w:r>
      <w:r w:rsidR="00A03EE8" w:rsidRPr="001354D9">
        <w:rPr>
          <w:rFonts w:ascii="Gadugi" w:eastAsia="Calibri" w:hAnsi="Gadugi" w:cs="Times New Roman"/>
          <w:sz w:val="24"/>
          <w:szCs w:val="24"/>
        </w:rPr>
        <w:t xml:space="preserve"> debía ser</w:t>
      </w:r>
      <w:r w:rsidR="0068086C" w:rsidRPr="001354D9">
        <w:rPr>
          <w:rFonts w:ascii="Gadugi" w:eastAsia="Calibri" w:hAnsi="Gadugi" w:cs="Times New Roman"/>
          <w:sz w:val="24"/>
          <w:szCs w:val="24"/>
        </w:rPr>
        <w:t xml:space="preserve"> así</w:t>
      </w:r>
      <w:r w:rsidR="00A03EE8" w:rsidRPr="001354D9">
        <w:rPr>
          <w:rFonts w:ascii="Gadugi" w:eastAsia="Calibri" w:hAnsi="Gadugi" w:cs="Times New Roman"/>
          <w:sz w:val="24"/>
          <w:szCs w:val="24"/>
        </w:rPr>
        <w:t>, porque</w:t>
      </w:r>
      <w:r w:rsidR="00A34EEE" w:rsidRPr="001354D9">
        <w:rPr>
          <w:rFonts w:ascii="Gadugi" w:eastAsia="Calibri" w:hAnsi="Gadugi" w:cs="Times New Roman"/>
          <w:sz w:val="24"/>
          <w:szCs w:val="24"/>
        </w:rPr>
        <w:t xml:space="preserve">, respecto de </w:t>
      </w:r>
      <w:r w:rsidR="00A03EE8" w:rsidRPr="001354D9">
        <w:rPr>
          <w:rFonts w:ascii="Gadugi" w:eastAsia="Calibri" w:hAnsi="Gadugi" w:cs="Times New Roman"/>
          <w:sz w:val="24"/>
          <w:szCs w:val="24"/>
        </w:rPr>
        <w:t>un testimonio, recordó esta Sala en reciente providencia</w:t>
      </w:r>
      <w:r w:rsidR="00A03EE8" w:rsidRPr="001354D9">
        <w:rPr>
          <w:rStyle w:val="Refdenotaalpie"/>
          <w:rFonts w:ascii="Gadugi" w:eastAsia="Calibri" w:hAnsi="Gadugi" w:cs="Times New Roman"/>
          <w:sz w:val="24"/>
          <w:szCs w:val="24"/>
        </w:rPr>
        <w:footnoteReference w:id="25"/>
      </w:r>
      <w:r w:rsidR="00A03EE8" w:rsidRPr="001354D9">
        <w:rPr>
          <w:rFonts w:ascii="Gadugi" w:eastAsia="Calibri" w:hAnsi="Gadugi" w:cs="Times New Roman"/>
          <w:sz w:val="24"/>
          <w:szCs w:val="24"/>
        </w:rPr>
        <w:t xml:space="preserve">, </w:t>
      </w:r>
      <w:r w:rsidR="00300352" w:rsidRPr="001354D9">
        <w:rPr>
          <w:rFonts w:ascii="Gadugi" w:eastAsia="Calibri" w:hAnsi="Gadugi" w:cs="Times New Roman"/>
          <w:sz w:val="24"/>
          <w:szCs w:val="24"/>
        </w:rPr>
        <w:t xml:space="preserve">a la luz del </w:t>
      </w:r>
      <w:r w:rsidR="00A03EE8" w:rsidRPr="001354D9">
        <w:rPr>
          <w:rFonts w:ascii="Gadugi" w:eastAsia="Calibri" w:hAnsi="Gadugi" w:cs="Times New Roman"/>
          <w:sz w:val="24"/>
          <w:szCs w:val="24"/>
        </w:rPr>
        <w:t xml:space="preserve">artículo 221 del CGP, </w:t>
      </w:r>
      <w:r w:rsidR="00300352" w:rsidRPr="001354D9">
        <w:rPr>
          <w:rFonts w:ascii="Gadugi" w:eastAsia="Calibri" w:hAnsi="Gadugi" w:cs="Times New Roman"/>
          <w:sz w:val="24"/>
          <w:szCs w:val="24"/>
        </w:rPr>
        <w:t xml:space="preserve">hay una técnica para valorarlo, si bien en la norma: </w:t>
      </w:r>
    </w:p>
    <w:p w14:paraId="6C1FC48D" w14:textId="77777777" w:rsidR="00300352" w:rsidRPr="001354D9" w:rsidRDefault="00300352" w:rsidP="001354D9">
      <w:pPr>
        <w:spacing w:after="0" w:line="276" w:lineRule="auto"/>
        <w:ind w:firstLine="1701"/>
        <w:jc w:val="both"/>
        <w:rPr>
          <w:rFonts w:ascii="Gadugi" w:hAnsi="Gadugi" w:cs="Arial"/>
          <w:sz w:val="24"/>
          <w:szCs w:val="24"/>
          <w:shd w:val="clear" w:color="auto" w:fill="FAF9F8"/>
        </w:rPr>
      </w:pPr>
    </w:p>
    <w:p w14:paraId="6E6851CC" w14:textId="043B45EF" w:rsidR="0068086C" w:rsidRPr="001354D9" w:rsidRDefault="00300352" w:rsidP="001354D9">
      <w:pPr>
        <w:spacing w:after="0" w:line="276" w:lineRule="auto"/>
        <w:ind w:firstLine="1701"/>
        <w:jc w:val="both"/>
        <w:rPr>
          <w:rFonts w:ascii="Gadugi" w:hAnsi="Gadugi" w:cs="Arial"/>
          <w:color w:val="000000" w:themeColor="text1"/>
          <w:sz w:val="24"/>
          <w:szCs w:val="24"/>
          <w:shd w:val="clear" w:color="auto" w:fill="FAF9F8"/>
        </w:rPr>
      </w:pPr>
      <w:r w:rsidRPr="001354D9">
        <w:rPr>
          <w:rFonts w:ascii="Gadugi" w:hAnsi="Gadugi" w:cs="Arial"/>
          <w:color w:val="000000" w:themeColor="text1"/>
          <w:sz w:val="24"/>
          <w:szCs w:val="24"/>
          <w:shd w:val="clear" w:color="auto" w:fill="FAF9F8"/>
        </w:rPr>
        <w:t>…</w:t>
      </w:r>
      <w:r w:rsidR="00683A53">
        <w:rPr>
          <w:rFonts w:ascii="Gadugi" w:hAnsi="Gadugi" w:cs="Arial"/>
          <w:color w:val="000000" w:themeColor="text1"/>
          <w:sz w:val="24"/>
          <w:szCs w:val="24"/>
          <w:shd w:val="clear" w:color="auto" w:fill="FAF9F8"/>
        </w:rPr>
        <w:t xml:space="preserve"> </w:t>
      </w:r>
      <w:r w:rsidR="00683A53" w:rsidRPr="001354D9">
        <w:rPr>
          <w:rFonts w:ascii="Gadugi" w:hAnsi="Gadugi" w:cs="Arial"/>
          <w:color w:val="000000" w:themeColor="text1"/>
          <w:sz w:val="24"/>
          <w:szCs w:val="24"/>
          <w:shd w:val="clear" w:color="auto" w:fill="FAF9F8"/>
        </w:rPr>
        <w:t>se le ordena al juez explorar sobre el</w:t>
      </w:r>
      <w:r w:rsidR="00A03EE8" w:rsidRPr="001354D9">
        <w:rPr>
          <w:rFonts w:ascii="Gadugi" w:hAnsi="Gadugi" w:cs="Arial"/>
          <w:color w:val="000000" w:themeColor="text1"/>
          <w:sz w:val="24"/>
          <w:szCs w:val="24"/>
          <w:shd w:val="clear" w:color="auto" w:fill="FAF9F8"/>
        </w:rPr>
        <w:t xml:space="preserve"> conocimiento que el testigo pueda tener sobre los hechos, para que s</w:t>
      </w:r>
      <w:r w:rsidRPr="001354D9">
        <w:rPr>
          <w:rFonts w:ascii="Gadugi" w:hAnsi="Gadugi" w:cs="Arial"/>
          <w:color w:val="000000" w:themeColor="text1"/>
          <w:sz w:val="24"/>
          <w:szCs w:val="24"/>
          <w:shd w:val="clear" w:color="auto" w:fill="FAF9F8"/>
        </w:rPr>
        <w:t xml:space="preserve">u </w:t>
      </w:r>
      <w:r w:rsidR="00A03EE8" w:rsidRPr="001354D9">
        <w:rPr>
          <w:rFonts w:ascii="Gadugi" w:hAnsi="Gadugi" w:cs="Arial"/>
          <w:color w:val="000000" w:themeColor="text1"/>
          <w:sz w:val="24"/>
          <w:szCs w:val="24"/>
          <w:shd w:val="clear" w:color="auto" w:fill="FAF9F8"/>
        </w:rPr>
        <w:t>versión</w:t>
      </w:r>
      <w:r w:rsidRPr="001354D9">
        <w:rPr>
          <w:rFonts w:ascii="Gadugi" w:hAnsi="Gadugi" w:cs="Arial"/>
          <w:color w:val="000000" w:themeColor="text1"/>
          <w:sz w:val="24"/>
          <w:szCs w:val="24"/>
          <w:shd w:val="clear" w:color="auto" w:fill="FAF9F8"/>
        </w:rPr>
        <w:t xml:space="preserve"> </w:t>
      </w:r>
      <w:r w:rsidR="00A03EE8" w:rsidRPr="001354D9">
        <w:rPr>
          <w:rFonts w:ascii="Gadugi" w:hAnsi="Gadugi" w:cs="Arial"/>
          <w:color w:val="000000" w:themeColor="text1"/>
          <w:sz w:val="24"/>
          <w:szCs w:val="24"/>
          <w:shd w:val="clear" w:color="auto" w:fill="FAF9F8"/>
        </w:rPr>
        <w:t xml:space="preserve">sea </w:t>
      </w:r>
      <w:r w:rsidR="00683A53" w:rsidRPr="001354D9">
        <w:rPr>
          <w:rFonts w:ascii="Gadugi" w:hAnsi="Gadugi" w:cs="Arial"/>
          <w:color w:val="000000" w:themeColor="text1"/>
          <w:sz w:val="24"/>
          <w:szCs w:val="24"/>
          <w:shd w:val="clear" w:color="auto" w:fill="FAF9F8"/>
        </w:rPr>
        <w:t>exacta y</w:t>
      </w:r>
      <w:r w:rsidR="00A03EE8" w:rsidRPr="001354D9">
        <w:rPr>
          <w:rFonts w:ascii="Gadugi" w:hAnsi="Gadugi" w:cs="Arial"/>
          <w:color w:val="000000" w:themeColor="text1"/>
          <w:sz w:val="24"/>
          <w:szCs w:val="24"/>
          <w:shd w:val="clear" w:color="auto" w:fill="FAF9F8"/>
        </w:rPr>
        <w:t xml:space="preserve"> completa, </w:t>
      </w:r>
      <w:r w:rsidR="00683A53" w:rsidRPr="001354D9">
        <w:rPr>
          <w:rFonts w:ascii="Gadugi" w:hAnsi="Gadugi" w:cs="Arial"/>
          <w:color w:val="000000" w:themeColor="text1"/>
          <w:sz w:val="24"/>
          <w:szCs w:val="24"/>
          <w:shd w:val="clear" w:color="auto" w:fill="FAF9F8"/>
        </w:rPr>
        <w:t>explicativa, además</w:t>
      </w:r>
      <w:r w:rsidR="00A03EE8" w:rsidRPr="001354D9">
        <w:rPr>
          <w:rFonts w:ascii="Gadugi" w:hAnsi="Gadugi" w:cs="Arial"/>
          <w:color w:val="000000" w:themeColor="text1"/>
          <w:sz w:val="24"/>
          <w:szCs w:val="24"/>
          <w:shd w:val="clear" w:color="auto" w:fill="FAF9F8"/>
        </w:rPr>
        <w:t>, de   las circunstancias de tiempo, modo y lugar en que hayan ocurrido y cómo obtuvo conocimiento, es decir, de la razón de la ciencia de</w:t>
      </w:r>
      <w:r w:rsidRPr="001354D9">
        <w:rPr>
          <w:rFonts w:ascii="Gadugi" w:hAnsi="Gadugi" w:cs="Arial"/>
          <w:color w:val="000000" w:themeColor="text1"/>
          <w:sz w:val="24"/>
          <w:szCs w:val="24"/>
          <w:shd w:val="clear" w:color="auto" w:fill="FAF9F8"/>
        </w:rPr>
        <w:t xml:space="preserve"> </w:t>
      </w:r>
      <w:r w:rsidR="00A03EE8" w:rsidRPr="001354D9">
        <w:rPr>
          <w:rFonts w:ascii="Gadugi" w:hAnsi="Gadugi" w:cs="Arial"/>
          <w:color w:val="000000" w:themeColor="text1"/>
          <w:sz w:val="24"/>
          <w:szCs w:val="24"/>
          <w:shd w:val="clear" w:color="auto" w:fill="FAF9F8"/>
        </w:rPr>
        <w:t>su dicho. Justamente, la misma Corte</w:t>
      </w:r>
      <w:r w:rsidRPr="001354D9">
        <w:rPr>
          <w:rStyle w:val="Refdenotaalpie"/>
          <w:rFonts w:ascii="Gadugi" w:hAnsi="Gadugi" w:cs="Arial"/>
          <w:color w:val="000000" w:themeColor="text1"/>
          <w:sz w:val="24"/>
          <w:szCs w:val="24"/>
          <w:shd w:val="clear" w:color="auto" w:fill="FAF9F8"/>
        </w:rPr>
        <w:footnoteReference w:id="26"/>
      </w:r>
      <w:r w:rsidR="00A03EE8" w:rsidRPr="001354D9">
        <w:rPr>
          <w:rFonts w:ascii="Gadugi" w:hAnsi="Gadugi" w:cs="Arial"/>
          <w:color w:val="000000" w:themeColor="text1"/>
          <w:sz w:val="24"/>
          <w:szCs w:val="24"/>
          <w:shd w:val="clear" w:color="auto" w:fill="FAF9F8"/>
        </w:rPr>
        <w:t>, aludió a que:</w:t>
      </w:r>
    </w:p>
    <w:p w14:paraId="13FCF56F" w14:textId="77777777" w:rsidR="0068086C" w:rsidRPr="001354D9" w:rsidRDefault="0068086C" w:rsidP="001354D9">
      <w:pPr>
        <w:spacing w:after="0" w:line="276" w:lineRule="auto"/>
        <w:ind w:firstLine="1701"/>
        <w:jc w:val="both"/>
        <w:rPr>
          <w:rFonts w:ascii="Gadugi" w:hAnsi="Gadugi" w:cs="Arial"/>
          <w:color w:val="000000" w:themeColor="text1"/>
          <w:sz w:val="24"/>
          <w:szCs w:val="24"/>
          <w:shd w:val="clear" w:color="auto" w:fill="FAF9F8"/>
        </w:rPr>
      </w:pPr>
    </w:p>
    <w:p w14:paraId="0DF45C61" w14:textId="7CE6459C" w:rsidR="0068086C" w:rsidRPr="001354D9" w:rsidRDefault="00A03EE8" w:rsidP="001354D9">
      <w:pPr>
        <w:spacing w:after="0" w:line="276" w:lineRule="auto"/>
        <w:ind w:firstLine="1701"/>
        <w:jc w:val="both"/>
        <w:rPr>
          <w:rFonts w:ascii="Gadugi" w:hAnsi="Gadugi" w:cs="Arial"/>
          <w:color w:val="000000" w:themeColor="text1"/>
          <w:sz w:val="24"/>
          <w:szCs w:val="24"/>
          <w:shd w:val="clear" w:color="auto" w:fill="FAF9F8"/>
        </w:rPr>
      </w:pPr>
      <w:r w:rsidRPr="001354D9">
        <w:rPr>
          <w:rFonts w:ascii="Gadugi" w:hAnsi="Gadugi" w:cs="Arial"/>
          <w:color w:val="000000" w:themeColor="text1"/>
          <w:sz w:val="24"/>
          <w:szCs w:val="24"/>
          <w:shd w:val="clear" w:color="auto" w:fill="FAF9F8"/>
        </w:rPr>
        <w:t>En lo que respecta al valor individual de los testimonios, específicamente, el artículo 228 del Código de Procedimiento Civil (221 C.G.P.) señala al juez la obligación de poner «</w:t>
      </w:r>
      <w:r w:rsidRPr="001354D9">
        <w:rPr>
          <w:rFonts w:ascii="Gadugi" w:hAnsi="Gadugi" w:cs="Arial"/>
          <w:i/>
          <w:color w:val="000000" w:themeColor="text1"/>
          <w:sz w:val="24"/>
          <w:szCs w:val="24"/>
          <w:shd w:val="clear" w:color="auto" w:fill="FAF9F8"/>
        </w:rPr>
        <w:t>especial empeño en que el testimonio sea exacto y completo, para lo cual exigirá al testigo que exponga la razón de la ciencia de su dicho con explicación de las circunstancias de tiempo, modo y lugar en que haya ocurrido cada hecho y de la forma como llegó a su conocimiento (...)».</w:t>
      </w:r>
    </w:p>
    <w:p w14:paraId="00F6980F" w14:textId="77777777" w:rsidR="0068086C" w:rsidRPr="001354D9" w:rsidRDefault="0068086C" w:rsidP="001354D9">
      <w:pPr>
        <w:spacing w:after="0" w:line="276" w:lineRule="auto"/>
        <w:ind w:firstLine="1701"/>
        <w:jc w:val="both"/>
        <w:rPr>
          <w:rFonts w:ascii="Gadugi" w:hAnsi="Gadugi" w:cs="Arial"/>
          <w:color w:val="000000" w:themeColor="text1"/>
          <w:sz w:val="24"/>
          <w:szCs w:val="24"/>
          <w:shd w:val="clear" w:color="auto" w:fill="FAF9F8"/>
        </w:rPr>
      </w:pPr>
    </w:p>
    <w:p w14:paraId="3866F352" w14:textId="2C98284B" w:rsidR="00D5307E" w:rsidRPr="001354D9" w:rsidRDefault="00A03EE8" w:rsidP="001354D9">
      <w:pPr>
        <w:spacing w:after="0" w:line="276" w:lineRule="auto"/>
        <w:ind w:firstLine="1701"/>
        <w:jc w:val="both"/>
        <w:rPr>
          <w:rFonts w:ascii="Gadugi" w:eastAsia="Calibri" w:hAnsi="Gadugi" w:cs="Times New Roman"/>
          <w:color w:val="000000" w:themeColor="text1"/>
          <w:sz w:val="24"/>
          <w:szCs w:val="24"/>
        </w:rPr>
      </w:pPr>
      <w:r w:rsidRPr="001354D9">
        <w:rPr>
          <w:rFonts w:ascii="Gadugi" w:hAnsi="Gadugi" w:cs="Arial"/>
          <w:color w:val="000000" w:themeColor="text1"/>
          <w:sz w:val="24"/>
          <w:szCs w:val="24"/>
          <w:shd w:val="clear" w:color="auto" w:fill="FAF9F8"/>
        </w:rPr>
        <w:t>Incluso,  de  tiempo  atrás,  esa superioridad</w:t>
      </w:r>
      <w:r w:rsidR="0068086C" w:rsidRPr="001354D9">
        <w:rPr>
          <w:rFonts w:ascii="Gadugi" w:hAnsi="Gadugi" w:cs="Arial"/>
          <w:color w:val="000000" w:themeColor="text1"/>
          <w:sz w:val="24"/>
          <w:szCs w:val="24"/>
          <w:shd w:val="clear" w:color="auto" w:fill="FAF9F8"/>
        </w:rPr>
        <w:t xml:space="preserve"> </w:t>
      </w:r>
      <w:r w:rsidRPr="001354D9">
        <w:rPr>
          <w:rFonts w:ascii="Gadugi" w:hAnsi="Gadugi" w:cs="Arial"/>
          <w:color w:val="000000" w:themeColor="text1"/>
          <w:sz w:val="24"/>
          <w:szCs w:val="24"/>
          <w:shd w:val="clear" w:color="auto" w:fill="FAF9F8"/>
        </w:rPr>
        <w:t>alecciona sobre el particular, como ha sido reconocido por esta Colegiatura</w:t>
      </w:r>
      <w:r w:rsidR="0068086C" w:rsidRPr="001354D9">
        <w:rPr>
          <w:rStyle w:val="Refdenotaalpie"/>
          <w:rFonts w:ascii="Gadugi" w:hAnsi="Gadugi" w:cs="Arial"/>
          <w:color w:val="000000" w:themeColor="text1"/>
          <w:sz w:val="24"/>
          <w:szCs w:val="24"/>
          <w:shd w:val="clear" w:color="auto" w:fill="FAF9F8"/>
        </w:rPr>
        <w:footnoteReference w:id="27"/>
      </w:r>
      <w:r w:rsidRPr="001354D9">
        <w:rPr>
          <w:rFonts w:ascii="Gadugi" w:hAnsi="Gadugi" w:cs="Arial"/>
          <w:color w:val="000000" w:themeColor="text1"/>
          <w:sz w:val="24"/>
          <w:szCs w:val="24"/>
          <w:shd w:val="clear" w:color="auto" w:fill="FAF9F8"/>
        </w:rPr>
        <w:t>, al resaltar que: Las  atestaciones ...reúnen  las  condiciones  de  existencia  y validez, sobreviene auscultar su entidad persuasiva, a la luz de las pautas de  la  jurisprudencia  civilista  de  antaño  (1993</w:t>
      </w:r>
      <w:r w:rsidR="0068086C" w:rsidRPr="001354D9">
        <w:rPr>
          <w:rStyle w:val="Refdenotaalpie"/>
          <w:rFonts w:ascii="Gadugi" w:hAnsi="Gadugi" w:cs="Arial"/>
          <w:color w:val="000000" w:themeColor="text1"/>
          <w:sz w:val="24"/>
          <w:szCs w:val="24"/>
          <w:shd w:val="clear" w:color="auto" w:fill="FAF9F8"/>
        </w:rPr>
        <w:footnoteReference w:id="28"/>
      </w:r>
      <w:r w:rsidRPr="001354D9">
        <w:rPr>
          <w:rFonts w:ascii="Gadugi" w:hAnsi="Gadugi" w:cs="Arial"/>
          <w:color w:val="000000" w:themeColor="text1"/>
          <w:sz w:val="24"/>
          <w:szCs w:val="24"/>
          <w:shd w:val="clear" w:color="auto" w:fill="FAF9F8"/>
        </w:rPr>
        <w:t>),  fundadas  en  el  artículo 218, CPC, hoy 221, CGP, acogidas por la doctrina</w:t>
      </w:r>
      <w:r w:rsidR="0068086C" w:rsidRPr="001354D9">
        <w:rPr>
          <w:rStyle w:val="Refdenotaalpie"/>
          <w:rFonts w:ascii="Gadugi" w:hAnsi="Gadugi" w:cs="Arial"/>
          <w:color w:val="000000" w:themeColor="text1"/>
          <w:sz w:val="24"/>
          <w:szCs w:val="24"/>
          <w:shd w:val="clear" w:color="auto" w:fill="FAF9F8"/>
        </w:rPr>
        <w:footnoteReference w:id="29"/>
      </w:r>
      <w:r w:rsidRPr="001354D9">
        <w:rPr>
          <w:rFonts w:ascii="Gadugi" w:hAnsi="Gadugi" w:cs="Arial"/>
          <w:color w:val="000000" w:themeColor="text1"/>
          <w:sz w:val="24"/>
          <w:szCs w:val="24"/>
          <w:shd w:val="clear" w:color="auto" w:fill="FAF9F8"/>
        </w:rPr>
        <w:t>, y aún vigentes</w:t>
      </w:r>
      <w:r w:rsidR="0068086C" w:rsidRPr="001354D9">
        <w:rPr>
          <w:rStyle w:val="Refdenotaalpie"/>
          <w:rFonts w:ascii="Gadugi" w:hAnsi="Gadugi" w:cs="Arial"/>
          <w:color w:val="000000" w:themeColor="text1"/>
          <w:sz w:val="24"/>
          <w:szCs w:val="24"/>
          <w:shd w:val="clear" w:color="auto" w:fill="FAF9F8"/>
        </w:rPr>
        <w:footnoteReference w:id="30"/>
      </w:r>
      <w:r w:rsidRPr="001354D9">
        <w:rPr>
          <w:rFonts w:ascii="Gadugi" w:hAnsi="Gadugi" w:cs="Arial"/>
          <w:color w:val="000000" w:themeColor="text1"/>
          <w:sz w:val="24"/>
          <w:szCs w:val="24"/>
          <w:shd w:val="clear" w:color="auto" w:fill="FAF9F8"/>
        </w:rPr>
        <w:t>, que exige  los  siguientes  caracteres:  (i)  Responsividad;  (ii)  Exactitud;  (iii) Completitud;  (iv)  Expositivas  de  la  ciencia  del  dicho;  (v)  Concordantes, esto   es,   constantes   y   coherentes   consigo   mismas;   además,   (vi) Armónicas con los resultados de otros medios</w:t>
      </w:r>
      <w:r w:rsidR="0068086C" w:rsidRPr="001354D9">
        <w:rPr>
          <w:rFonts w:ascii="Gadugi" w:hAnsi="Gadugi" w:cs="Arial"/>
          <w:color w:val="000000" w:themeColor="text1"/>
          <w:sz w:val="24"/>
          <w:szCs w:val="24"/>
          <w:shd w:val="clear" w:color="auto" w:fill="FAF9F8"/>
        </w:rPr>
        <w:t xml:space="preserve"> </w:t>
      </w:r>
      <w:r w:rsidRPr="001354D9">
        <w:rPr>
          <w:rFonts w:ascii="Gadugi" w:hAnsi="Gadugi" w:cs="Arial"/>
          <w:color w:val="000000" w:themeColor="text1"/>
          <w:sz w:val="24"/>
          <w:szCs w:val="24"/>
          <w:shd w:val="clear" w:color="auto" w:fill="FAF9F8"/>
        </w:rPr>
        <w:t>de prueba.</w:t>
      </w:r>
    </w:p>
    <w:p w14:paraId="4244DBBC" w14:textId="66AE8FBD" w:rsidR="00D5307E" w:rsidRPr="001354D9" w:rsidRDefault="00D5307E" w:rsidP="001354D9">
      <w:pPr>
        <w:spacing w:after="0" w:line="276" w:lineRule="auto"/>
        <w:ind w:firstLine="1701"/>
        <w:jc w:val="both"/>
        <w:rPr>
          <w:rFonts w:ascii="Gadugi" w:eastAsia="Calibri" w:hAnsi="Gadugi" w:cs="Times New Roman"/>
          <w:color w:val="000000" w:themeColor="text1"/>
          <w:sz w:val="24"/>
          <w:szCs w:val="24"/>
        </w:rPr>
      </w:pPr>
    </w:p>
    <w:p w14:paraId="7BC339C0" w14:textId="2284A9D3" w:rsidR="00623090" w:rsidRPr="001354D9" w:rsidRDefault="00317FC6"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En el caso del señor Carlos Antonio Izquierdo</w:t>
      </w:r>
      <w:r w:rsidR="00083F72" w:rsidRPr="001354D9">
        <w:rPr>
          <w:rStyle w:val="Refdenotaalpie"/>
          <w:rFonts w:ascii="Gadugi" w:eastAsia="Calibri" w:hAnsi="Gadugi" w:cs="Times New Roman"/>
          <w:sz w:val="24"/>
          <w:szCs w:val="24"/>
        </w:rPr>
        <w:footnoteReference w:id="31"/>
      </w:r>
      <w:r w:rsidRPr="001354D9">
        <w:rPr>
          <w:rFonts w:ascii="Gadugi" w:eastAsia="Calibri" w:hAnsi="Gadugi" w:cs="Times New Roman"/>
          <w:sz w:val="24"/>
          <w:szCs w:val="24"/>
        </w:rPr>
        <w:t xml:space="preserve">, </w:t>
      </w:r>
      <w:r w:rsidR="00083F72" w:rsidRPr="001354D9">
        <w:rPr>
          <w:rFonts w:ascii="Gadugi" w:eastAsia="Calibri" w:hAnsi="Gadugi" w:cs="Times New Roman"/>
          <w:sz w:val="24"/>
          <w:szCs w:val="24"/>
        </w:rPr>
        <w:t xml:space="preserve">su relato se advierte bastante inconsistente, es decir, que no responde a lo que en realidad pudo percibir, si es que en </w:t>
      </w:r>
      <w:r w:rsidR="00CF7673" w:rsidRPr="001354D9">
        <w:rPr>
          <w:rFonts w:ascii="Gadugi" w:eastAsia="Calibri" w:hAnsi="Gadugi" w:cs="Times New Roman"/>
          <w:sz w:val="24"/>
          <w:szCs w:val="24"/>
        </w:rPr>
        <w:t>verdad</w:t>
      </w:r>
      <w:r w:rsidR="00083F72" w:rsidRPr="001354D9">
        <w:rPr>
          <w:rFonts w:ascii="Gadugi" w:eastAsia="Calibri" w:hAnsi="Gadugi" w:cs="Times New Roman"/>
          <w:sz w:val="24"/>
          <w:szCs w:val="24"/>
        </w:rPr>
        <w:t xml:space="preserve"> estuvo en el lugar de los hechos. </w:t>
      </w:r>
      <w:r w:rsidR="00C818BB" w:rsidRPr="001354D9">
        <w:rPr>
          <w:rFonts w:ascii="Gadugi" w:eastAsia="Calibri" w:hAnsi="Gadugi" w:cs="Times New Roman"/>
          <w:sz w:val="24"/>
          <w:szCs w:val="24"/>
        </w:rPr>
        <w:t>Por una parte, y esto es lo más importante, también contradice lo que afirmó el mismo Alven de Jesús, porque afirmó que este recibió el golpe por el lado derecho, cuando ya iba a cruzar la carretera de izquierda a derecha</w:t>
      </w:r>
      <w:r w:rsidR="00B7483F" w:rsidRPr="001354D9">
        <w:rPr>
          <w:rFonts w:ascii="Gadugi" w:eastAsia="Calibri" w:hAnsi="Gadugi" w:cs="Times New Roman"/>
          <w:sz w:val="24"/>
          <w:szCs w:val="24"/>
        </w:rPr>
        <w:t>, es decir viniendo de</w:t>
      </w:r>
      <w:r w:rsidR="00880ED9" w:rsidRPr="001354D9">
        <w:rPr>
          <w:rFonts w:ascii="Gadugi" w:eastAsia="Calibri" w:hAnsi="Gadugi" w:cs="Times New Roman"/>
          <w:sz w:val="24"/>
          <w:szCs w:val="24"/>
        </w:rPr>
        <w:t xml:space="preserve">l sector de Cauyá hacia la Pintada, </w:t>
      </w:r>
      <w:r w:rsidR="00B562F7" w:rsidRPr="001354D9">
        <w:rPr>
          <w:rFonts w:ascii="Gadugi" w:eastAsia="Calibri" w:hAnsi="Gadugi" w:cs="Times New Roman"/>
          <w:sz w:val="24"/>
          <w:szCs w:val="24"/>
        </w:rPr>
        <w:t xml:space="preserve">o de Anserma a Riosucio, </w:t>
      </w:r>
      <w:r w:rsidR="00C818BB" w:rsidRPr="001354D9">
        <w:rPr>
          <w:rFonts w:ascii="Gadugi" w:eastAsia="Calibri" w:hAnsi="Gadugi" w:cs="Times New Roman"/>
          <w:sz w:val="24"/>
          <w:szCs w:val="24"/>
        </w:rPr>
        <w:t>mientras que la víctima aseguró que fue por el lado izquierdo</w:t>
      </w:r>
      <w:r w:rsidR="00B7483F" w:rsidRPr="001354D9">
        <w:rPr>
          <w:rFonts w:ascii="Gadugi" w:eastAsia="Calibri" w:hAnsi="Gadugi" w:cs="Times New Roman"/>
          <w:sz w:val="24"/>
          <w:szCs w:val="24"/>
        </w:rPr>
        <w:t xml:space="preserve">, lo cual es indicativo de que estaba ubicado de derecha a izquierda en el tramo </w:t>
      </w:r>
      <w:r w:rsidR="00880ED9" w:rsidRPr="001354D9">
        <w:rPr>
          <w:rFonts w:ascii="Gadugi" w:eastAsia="Calibri" w:hAnsi="Gadugi" w:cs="Times New Roman"/>
          <w:sz w:val="24"/>
          <w:szCs w:val="24"/>
        </w:rPr>
        <w:t xml:space="preserve">de La </w:t>
      </w:r>
      <w:r w:rsidR="00880ED9" w:rsidRPr="001354D9">
        <w:rPr>
          <w:rFonts w:ascii="Gadugi" w:eastAsia="Calibri" w:hAnsi="Gadugi" w:cs="Times New Roman"/>
          <w:sz w:val="24"/>
          <w:szCs w:val="24"/>
        </w:rPr>
        <w:lastRenderedPageBreak/>
        <w:t>Pintada hacia el sector de Cauyá</w:t>
      </w:r>
      <w:r w:rsidR="00B562F7" w:rsidRPr="001354D9">
        <w:rPr>
          <w:rFonts w:ascii="Gadugi" w:eastAsia="Calibri" w:hAnsi="Gadugi" w:cs="Times New Roman"/>
          <w:sz w:val="24"/>
          <w:szCs w:val="24"/>
        </w:rPr>
        <w:t>, o de Riosucio a Anserma</w:t>
      </w:r>
      <w:r w:rsidR="00B7483F" w:rsidRPr="001354D9">
        <w:rPr>
          <w:rFonts w:ascii="Gadugi" w:eastAsia="Calibri" w:hAnsi="Gadugi" w:cs="Times New Roman"/>
          <w:sz w:val="24"/>
          <w:szCs w:val="24"/>
        </w:rPr>
        <w:t>.</w:t>
      </w:r>
      <w:r w:rsidR="00C818BB" w:rsidRPr="001354D9">
        <w:rPr>
          <w:rFonts w:ascii="Gadugi" w:eastAsia="Calibri" w:hAnsi="Gadugi" w:cs="Times New Roman"/>
          <w:sz w:val="24"/>
          <w:szCs w:val="24"/>
        </w:rPr>
        <w:t xml:space="preserve"> Tampoco atinó a declarar sobre la presencia de la hija de la víctima en el lugar de los hechos, que todos afirman </w:t>
      </w:r>
      <w:r w:rsidR="00B7483F" w:rsidRPr="001354D9">
        <w:rPr>
          <w:rFonts w:ascii="Gadugi" w:eastAsia="Calibri" w:hAnsi="Gadugi" w:cs="Times New Roman"/>
          <w:sz w:val="24"/>
          <w:szCs w:val="24"/>
        </w:rPr>
        <w:t>que</w:t>
      </w:r>
      <w:r w:rsidR="00C818BB" w:rsidRPr="001354D9">
        <w:rPr>
          <w:rFonts w:ascii="Gadugi" w:eastAsia="Calibri" w:hAnsi="Gadugi" w:cs="Times New Roman"/>
          <w:sz w:val="24"/>
          <w:szCs w:val="24"/>
        </w:rPr>
        <w:t xml:space="preserve"> lo acompañaba, o de la persona al cuidado de quién éste la había dejado; más bien señaló que no había </w:t>
      </w:r>
      <w:r w:rsidR="00B7483F" w:rsidRPr="001354D9">
        <w:rPr>
          <w:rFonts w:ascii="Gadugi" w:eastAsia="Calibri" w:hAnsi="Gadugi" w:cs="Times New Roman"/>
          <w:sz w:val="24"/>
          <w:szCs w:val="24"/>
        </w:rPr>
        <w:t xml:space="preserve">otras </w:t>
      </w:r>
      <w:r w:rsidR="00C818BB" w:rsidRPr="001354D9">
        <w:rPr>
          <w:rFonts w:ascii="Gadugi" w:eastAsia="Calibri" w:hAnsi="Gadugi" w:cs="Times New Roman"/>
          <w:sz w:val="24"/>
          <w:szCs w:val="24"/>
        </w:rPr>
        <w:t>en ese sitio, contrariando a todos los demás intervinientes. En adición, dijo que era amigo y conocido de la víctima desde hace diez años</w:t>
      </w:r>
      <w:r w:rsidR="00B7483F" w:rsidRPr="001354D9">
        <w:rPr>
          <w:rFonts w:ascii="Gadugi" w:eastAsia="Calibri" w:hAnsi="Gadugi" w:cs="Times New Roman"/>
          <w:sz w:val="24"/>
          <w:szCs w:val="24"/>
        </w:rPr>
        <w:t xml:space="preserve">; al menos eso señaló primero, porque luego dijo que </w:t>
      </w:r>
      <w:r w:rsidR="00C818BB" w:rsidRPr="001354D9">
        <w:rPr>
          <w:rFonts w:ascii="Gadugi" w:eastAsia="Calibri" w:hAnsi="Gadugi" w:cs="Times New Roman"/>
          <w:sz w:val="24"/>
          <w:szCs w:val="24"/>
        </w:rPr>
        <w:t>ocho, después que seis</w:t>
      </w:r>
      <w:r w:rsidR="00B7483F" w:rsidRPr="001354D9">
        <w:rPr>
          <w:rFonts w:ascii="Gadugi" w:eastAsia="Calibri" w:hAnsi="Gadugi" w:cs="Times New Roman"/>
          <w:sz w:val="24"/>
          <w:szCs w:val="24"/>
        </w:rPr>
        <w:t>. E</w:t>
      </w:r>
      <w:r w:rsidR="00C818BB" w:rsidRPr="001354D9">
        <w:rPr>
          <w:rFonts w:ascii="Gadugi" w:eastAsia="Calibri" w:hAnsi="Gadugi" w:cs="Times New Roman"/>
          <w:sz w:val="24"/>
          <w:szCs w:val="24"/>
        </w:rPr>
        <w:t>n todo caso, no se alcanza a explicar cómo puede ver a su amigo atropellado y seguir su marcha sin prestarle el más mínimo auxilio, o sin dar aviso a otras personas</w:t>
      </w:r>
      <w:r w:rsidR="00B7483F" w:rsidRPr="001354D9">
        <w:rPr>
          <w:rFonts w:ascii="Gadugi" w:eastAsia="Calibri" w:hAnsi="Gadugi" w:cs="Times New Roman"/>
          <w:sz w:val="24"/>
          <w:szCs w:val="24"/>
        </w:rPr>
        <w:t>, tanto más, si como se alcanza a oír en su declaración se iba a encontrar con él al otro lado de la carretera</w:t>
      </w:r>
      <w:r w:rsidR="00C818BB" w:rsidRPr="001354D9">
        <w:rPr>
          <w:rFonts w:ascii="Gadugi" w:eastAsia="Calibri" w:hAnsi="Gadugi" w:cs="Times New Roman"/>
          <w:sz w:val="24"/>
          <w:szCs w:val="24"/>
        </w:rPr>
        <w:t xml:space="preserve">. </w:t>
      </w:r>
      <w:r w:rsidR="00B7483F" w:rsidRPr="001354D9">
        <w:rPr>
          <w:rFonts w:ascii="Gadugi" w:eastAsia="Calibri" w:hAnsi="Gadugi" w:cs="Times New Roman"/>
          <w:sz w:val="24"/>
          <w:szCs w:val="24"/>
        </w:rPr>
        <w:t>Más todavía</w:t>
      </w:r>
      <w:r w:rsidR="00880ED9" w:rsidRPr="001354D9">
        <w:rPr>
          <w:rFonts w:ascii="Gadugi" w:eastAsia="Calibri" w:hAnsi="Gadugi" w:cs="Times New Roman"/>
          <w:sz w:val="24"/>
          <w:szCs w:val="24"/>
        </w:rPr>
        <w:t xml:space="preserve">, </w:t>
      </w:r>
      <w:r w:rsidR="00B562F7" w:rsidRPr="001354D9">
        <w:rPr>
          <w:rFonts w:ascii="Gadugi" w:eastAsia="Calibri" w:hAnsi="Gadugi" w:cs="Times New Roman"/>
          <w:sz w:val="24"/>
          <w:szCs w:val="24"/>
        </w:rPr>
        <w:t xml:space="preserve">la precisión con la que aseguró que el accidente fue en el mes de octubre de 2013, no </w:t>
      </w:r>
      <w:r w:rsidR="00B81129" w:rsidRPr="001354D9">
        <w:rPr>
          <w:rFonts w:ascii="Gadugi" w:eastAsia="Calibri" w:hAnsi="Gadugi" w:cs="Times New Roman"/>
          <w:sz w:val="24"/>
          <w:szCs w:val="24"/>
        </w:rPr>
        <w:t>se halla</w:t>
      </w:r>
      <w:r w:rsidR="00B562F7" w:rsidRPr="001354D9">
        <w:rPr>
          <w:rFonts w:ascii="Gadugi" w:eastAsia="Calibri" w:hAnsi="Gadugi" w:cs="Times New Roman"/>
          <w:sz w:val="24"/>
          <w:szCs w:val="24"/>
        </w:rPr>
        <w:t xml:space="preserve"> razonable si, como quedó en evidencia, no parecía ser alguien que le importara, en cuanto no acudió a socorrer a la víctima</w:t>
      </w:r>
      <w:r w:rsidR="00623090" w:rsidRPr="001354D9">
        <w:rPr>
          <w:rFonts w:ascii="Gadugi" w:eastAsia="Calibri" w:hAnsi="Gadugi" w:cs="Times New Roman"/>
          <w:sz w:val="24"/>
          <w:szCs w:val="24"/>
        </w:rPr>
        <w:t xml:space="preserve">, ni siquiera esperó a que llegara la policía, o su familia. </w:t>
      </w:r>
      <w:r w:rsidR="00121CC0" w:rsidRPr="001354D9">
        <w:rPr>
          <w:rFonts w:ascii="Gadugi" w:eastAsia="Calibri" w:hAnsi="Gadugi" w:cs="Times New Roman"/>
          <w:sz w:val="24"/>
          <w:szCs w:val="24"/>
        </w:rPr>
        <w:t>Tampoco lo es</w:t>
      </w:r>
      <w:r w:rsidR="00B81129" w:rsidRPr="001354D9">
        <w:rPr>
          <w:rFonts w:ascii="Gadugi" w:eastAsia="Calibri" w:hAnsi="Gadugi" w:cs="Times New Roman"/>
          <w:sz w:val="24"/>
          <w:szCs w:val="24"/>
        </w:rPr>
        <w:t>,</w:t>
      </w:r>
      <w:r w:rsidR="00121CC0" w:rsidRPr="001354D9">
        <w:rPr>
          <w:rFonts w:ascii="Gadugi" w:eastAsia="Calibri" w:hAnsi="Gadugi" w:cs="Times New Roman"/>
          <w:sz w:val="24"/>
          <w:szCs w:val="24"/>
        </w:rPr>
        <w:t xml:space="preserve"> que dijera que él estaba a cinco metros de Alven cuando cayó, pues ya había señalado que ambos estaban al otro lado de la vía, no se habían encontrado y fue cuando aquel retornó y pasó ambos carriles, que sufrió el impacto, lo que indica que la distancia debió ser </w:t>
      </w:r>
      <w:r w:rsidR="00B81129" w:rsidRPr="001354D9">
        <w:rPr>
          <w:rFonts w:ascii="Gadugi" w:eastAsia="Calibri" w:hAnsi="Gadugi" w:cs="Times New Roman"/>
          <w:sz w:val="24"/>
          <w:szCs w:val="24"/>
        </w:rPr>
        <w:t>mucho mayor</w:t>
      </w:r>
      <w:r w:rsidR="00121CC0" w:rsidRPr="001354D9">
        <w:rPr>
          <w:rFonts w:ascii="Gadugi" w:eastAsia="Calibri" w:hAnsi="Gadugi" w:cs="Times New Roman"/>
          <w:sz w:val="24"/>
          <w:szCs w:val="24"/>
        </w:rPr>
        <w:t xml:space="preserve">. </w:t>
      </w:r>
    </w:p>
    <w:p w14:paraId="19300B32" w14:textId="632A3F19" w:rsidR="00121CC0" w:rsidRPr="001354D9" w:rsidRDefault="00121CC0" w:rsidP="001354D9">
      <w:pPr>
        <w:spacing w:after="0" w:line="276" w:lineRule="auto"/>
        <w:ind w:firstLine="1701"/>
        <w:jc w:val="both"/>
        <w:rPr>
          <w:rFonts w:ascii="Gadugi" w:eastAsia="Calibri" w:hAnsi="Gadugi" w:cs="Times New Roman"/>
          <w:sz w:val="24"/>
          <w:szCs w:val="24"/>
        </w:rPr>
      </w:pPr>
    </w:p>
    <w:p w14:paraId="15293FDD" w14:textId="393ACB03" w:rsidR="00121CC0" w:rsidRPr="001354D9" w:rsidRDefault="00121CC0"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Es decir, que su versión es insuficiente para edificar la </w:t>
      </w:r>
      <w:r w:rsidR="00B81129" w:rsidRPr="001354D9">
        <w:rPr>
          <w:rFonts w:ascii="Gadugi" w:eastAsia="Calibri" w:hAnsi="Gadugi" w:cs="Times New Roman"/>
          <w:sz w:val="24"/>
          <w:szCs w:val="24"/>
        </w:rPr>
        <w:t xml:space="preserve">tesis de los demandantes, en procura de desmentir la conclusión del juzgado sobre la incidencia causal de la víctima en el accidente. </w:t>
      </w:r>
    </w:p>
    <w:p w14:paraId="58B4DA47" w14:textId="77777777" w:rsidR="00121CC0" w:rsidRPr="001354D9" w:rsidRDefault="00121CC0" w:rsidP="001354D9">
      <w:pPr>
        <w:spacing w:after="0" w:line="276" w:lineRule="auto"/>
        <w:ind w:firstLine="1701"/>
        <w:jc w:val="both"/>
        <w:rPr>
          <w:rFonts w:ascii="Gadugi" w:eastAsia="Calibri" w:hAnsi="Gadugi" w:cs="Times New Roman"/>
          <w:sz w:val="24"/>
          <w:szCs w:val="24"/>
        </w:rPr>
      </w:pPr>
    </w:p>
    <w:p w14:paraId="365F93D0" w14:textId="26269EAF" w:rsidR="00D5307E" w:rsidRPr="001354D9" w:rsidRDefault="00121CC0"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2.9.3. Los otros dos motivos para disentir se compendian en que no se tuvieron en cuenta el dictamen de medicina legal y la historia clínica, con los cuales se hubiera podido inferir la forma en que ocurrió el accidente, esto es, que el peatón se desplazaba de izquierda a derecha y no de derecha a izquierda en el sentido Riosucio-Anserma. </w:t>
      </w:r>
    </w:p>
    <w:p w14:paraId="1FD258EC" w14:textId="63AA0ADB" w:rsidR="003D1402" w:rsidRPr="001354D9" w:rsidRDefault="003D1402" w:rsidP="001354D9">
      <w:pPr>
        <w:spacing w:after="0" w:line="276" w:lineRule="auto"/>
        <w:ind w:firstLine="1701"/>
        <w:jc w:val="both"/>
        <w:rPr>
          <w:rFonts w:ascii="Gadugi" w:eastAsia="Calibri" w:hAnsi="Gadugi" w:cs="Times New Roman"/>
          <w:sz w:val="24"/>
          <w:szCs w:val="24"/>
        </w:rPr>
      </w:pPr>
    </w:p>
    <w:p w14:paraId="0D6F6B73" w14:textId="08D0D32A" w:rsidR="003D1402" w:rsidRPr="001354D9" w:rsidRDefault="003D1402"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Pero, vuelve aquí a jugar papel preponderante lo que dijo la propia víctima sobre lo ocurrido. Primero se le preguntó si </w:t>
      </w:r>
      <w:r w:rsidR="00FA4E7E">
        <w:rPr>
          <w:rFonts w:ascii="Gadugi" w:eastAsia="Calibri" w:hAnsi="Gadugi" w:cs="Times New Roman"/>
          <w:sz w:val="24"/>
          <w:szCs w:val="24"/>
        </w:rPr>
        <w:t>é</w:t>
      </w:r>
      <w:r w:rsidRPr="001354D9">
        <w:rPr>
          <w:rFonts w:ascii="Gadugi" w:eastAsia="Calibri" w:hAnsi="Gadugi" w:cs="Times New Roman"/>
          <w:sz w:val="24"/>
          <w:szCs w:val="24"/>
        </w:rPr>
        <w:t xml:space="preserve">l vio el camión, y dijo que no, porque </w:t>
      </w:r>
      <w:r w:rsidRPr="001354D9">
        <w:rPr>
          <w:rFonts w:ascii="Gadugi" w:eastAsia="Calibri" w:hAnsi="Gadugi" w:cs="Times New Roman"/>
          <w:i/>
          <w:sz w:val="24"/>
          <w:szCs w:val="24"/>
        </w:rPr>
        <w:t>“</w:t>
      </w:r>
      <w:r w:rsidRPr="00502BDE">
        <w:rPr>
          <w:rFonts w:ascii="Gadugi" w:eastAsia="Calibri" w:hAnsi="Gadugi" w:cs="Times New Roman"/>
          <w:i/>
          <w:szCs w:val="24"/>
        </w:rPr>
        <w:t>usted sabe que uno la carretera uno pasa caminando y no repara para arriba ni nada</w:t>
      </w:r>
      <w:r w:rsidRPr="001354D9">
        <w:rPr>
          <w:rFonts w:ascii="Gadugi" w:eastAsia="Calibri" w:hAnsi="Gadugi" w:cs="Times New Roman"/>
          <w:i/>
          <w:sz w:val="24"/>
          <w:szCs w:val="24"/>
        </w:rPr>
        <w:t xml:space="preserve">”, </w:t>
      </w:r>
      <w:r w:rsidRPr="001354D9">
        <w:rPr>
          <w:rFonts w:ascii="Gadugi" w:eastAsia="Calibri" w:hAnsi="Gadugi" w:cs="Times New Roman"/>
          <w:sz w:val="24"/>
          <w:szCs w:val="24"/>
        </w:rPr>
        <w:t>aunque es bueno señalar que momento</w:t>
      </w:r>
      <w:r w:rsidR="00E7008C" w:rsidRPr="001354D9">
        <w:rPr>
          <w:rFonts w:ascii="Gadugi" w:eastAsia="Calibri" w:hAnsi="Gadugi" w:cs="Times New Roman"/>
          <w:sz w:val="24"/>
          <w:szCs w:val="24"/>
        </w:rPr>
        <w:t>s</w:t>
      </w:r>
      <w:r w:rsidRPr="001354D9">
        <w:rPr>
          <w:rFonts w:ascii="Gadugi" w:eastAsia="Calibri" w:hAnsi="Gadugi" w:cs="Times New Roman"/>
          <w:sz w:val="24"/>
          <w:szCs w:val="24"/>
        </w:rPr>
        <w:t xml:space="preserve"> antes había dicho que pasó la carretera corriendo. Luego explicó que un bus subía de Anserma hacia Riosucio y cuando pasó, él arrancó y se fue yendo, llegó a la raya blanca y fue allí, es decir, al otro lado, cuando el camión lo golpeó</w:t>
      </w:r>
      <w:r w:rsidR="00653179" w:rsidRPr="001354D9">
        <w:rPr>
          <w:rFonts w:ascii="Gadugi" w:eastAsia="Calibri" w:hAnsi="Gadugi" w:cs="Times New Roman"/>
          <w:sz w:val="24"/>
          <w:szCs w:val="24"/>
        </w:rPr>
        <w:t>,</w:t>
      </w:r>
      <w:r w:rsidRPr="001354D9">
        <w:rPr>
          <w:rFonts w:ascii="Gadugi" w:eastAsia="Calibri" w:hAnsi="Gadugi" w:cs="Times New Roman"/>
          <w:sz w:val="24"/>
          <w:szCs w:val="24"/>
        </w:rPr>
        <w:t xml:space="preserve"> y allí vinieron los interrogantes: </w:t>
      </w:r>
    </w:p>
    <w:p w14:paraId="39FB213F" w14:textId="77777777" w:rsidR="003D1402" w:rsidRPr="001354D9" w:rsidRDefault="003D1402" w:rsidP="001354D9">
      <w:pPr>
        <w:spacing w:after="0" w:line="276" w:lineRule="auto"/>
        <w:ind w:firstLine="720"/>
        <w:jc w:val="both"/>
        <w:rPr>
          <w:rFonts w:ascii="Gadugi" w:eastAsia="Times New Roman" w:hAnsi="Gadugi" w:cs="Arial"/>
          <w:color w:val="000000"/>
          <w:sz w:val="24"/>
          <w:szCs w:val="24"/>
          <w:lang w:eastAsia="es-CO"/>
        </w:rPr>
      </w:pPr>
    </w:p>
    <w:p w14:paraId="07A07B9A" w14:textId="46A298ED"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t>P: Dónde le peg</w:t>
      </w:r>
      <w:r w:rsidR="00FA4E7E">
        <w:rPr>
          <w:rFonts w:ascii="Gadugi" w:eastAsia="Times New Roman" w:hAnsi="Gadugi" w:cs="Arial"/>
          <w:color w:val="000000"/>
          <w:sz w:val="24"/>
          <w:szCs w:val="24"/>
          <w:lang w:eastAsia="es-CO"/>
        </w:rPr>
        <w:t>ó</w:t>
      </w:r>
      <w:r w:rsidRPr="001354D9">
        <w:rPr>
          <w:rFonts w:ascii="Gadugi" w:eastAsia="Times New Roman" w:hAnsi="Gadugi" w:cs="Arial"/>
          <w:color w:val="000000"/>
          <w:sz w:val="24"/>
          <w:szCs w:val="24"/>
          <w:lang w:eastAsia="es-CO"/>
        </w:rPr>
        <w:t xml:space="preserve"> el camión</w:t>
      </w:r>
      <w:r w:rsidR="00653179" w:rsidRPr="001354D9">
        <w:rPr>
          <w:rFonts w:ascii="Gadugi" w:eastAsia="Times New Roman" w:hAnsi="Gadugi" w:cs="Arial"/>
          <w:color w:val="000000"/>
          <w:sz w:val="24"/>
          <w:szCs w:val="24"/>
          <w:lang w:eastAsia="es-CO"/>
        </w:rPr>
        <w:t>.</w:t>
      </w:r>
      <w:r w:rsidRPr="001354D9">
        <w:rPr>
          <w:rFonts w:ascii="Gadugi" w:eastAsia="Times New Roman" w:hAnsi="Gadugi" w:cs="Arial"/>
          <w:color w:val="000000"/>
          <w:sz w:val="24"/>
          <w:szCs w:val="24"/>
          <w:lang w:eastAsia="es-CO"/>
        </w:rPr>
        <w:t>  </w:t>
      </w:r>
    </w:p>
    <w:p w14:paraId="32B288C8" w14:textId="24762EE7"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t>R: Vea en esta parte me dio (</w:t>
      </w:r>
      <w:r w:rsidR="00896902" w:rsidRPr="001354D9">
        <w:rPr>
          <w:rFonts w:ascii="Gadugi" w:eastAsia="Times New Roman" w:hAnsi="Gadugi" w:cs="Arial"/>
          <w:color w:val="000000"/>
          <w:sz w:val="24"/>
          <w:szCs w:val="24"/>
          <w:lang w:eastAsia="es-CO"/>
        </w:rPr>
        <w:t xml:space="preserve">en el video se ve que señala </w:t>
      </w:r>
      <w:r w:rsidRPr="001354D9">
        <w:rPr>
          <w:rFonts w:ascii="Gadugi" w:eastAsia="Times New Roman" w:hAnsi="Gadugi" w:cs="Arial"/>
          <w:color w:val="000000"/>
          <w:sz w:val="24"/>
          <w:szCs w:val="24"/>
          <w:lang w:eastAsia="es-CO"/>
        </w:rPr>
        <w:t>el hombro izquierdo), y de una me elevo y este brazo quedó dañado entonces yo quedé que yo no puedo hacer nada.</w:t>
      </w:r>
    </w:p>
    <w:p w14:paraId="06361F3A" w14:textId="77777777"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t>P: ¿El izquierdo?</w:t>
      </w:r>
    </w:p>
    <w:p w14:paraId="65589AE2" w14:textId="77777777"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t>R: El lado izquierdo.</w:t>
      </w:r>
    </w:p>
    <w:p w14:paraId="133AAD64" w14:textId="77777777"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lastRenderedPageBreak/>
        <w:t>P: ¿El golpe fue en el lado izquierdo?</w:t>
      </w:r>
    </w:p>
    <w:p w14:paraId="4D1A8E46" w14:textId="6EB41319"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t>R: Claro</w:t>
      </w:r>
      <w:r w:rsidR="00653179" w:rsidRPr="001354D9">
        <w:rPr>
          <w:rFonts w:ascii="Gadugi" w:eastAsia="Times New Roman" w:hAnsi="Gadugi" w:cs="Arial"/>
          <w:color w:val="000000"/>
          <w:sz w:val="24"/>
          <w:szCs w:val="24"/>
          <w:lang w:eastAsia="es-CO"/>
        </w:rPr>
        <w:t>.</w:t>
      </w:r>
    </w:p>
    <w:p w14:paraId="0ED0EF12" w14:textId="58AFDE7D"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t>P: Y el camión venía en qué sentido, venía como de R</w:t>
      </w:r>
      <w:r w:rsidR="00E7008C" w:rsidRPr="001354D9">
        <w:rPr>
          <w:rFonts w:ascii="Gadugi" w:eastAsia="Times New Roman" w:hAnsi="Gadugi" w:cs="Arial"/>
          <w:color w:val="000000"/>
          <w:sz w:val="24"/>
          <w:szCs w:val="24"/>
          <w:lang w:eastAsia="es-CO"/>
        </w:rPr>
        <w:t>i</w:t>
      </w:r>
      <w:r w:rsidRPr="001354D9">
        <w:rPr>
          <w:rFonts w:ascii="Gadugi" w:eastAsia="Times New Roman" w:hAnsi="Gadugi" w:cs="Arial"/>
          <w:color w:val="000000"/>
          <w:sz w:val="24"/>
          <w:szCs w:val="24"/>
          <w:lang w:eastAsia="es-CO"/>
        </w:rPr>
        <w:t>o</w:t>
      </w:r>
      <w:r w:rsidR="00653179" w:rsidRPr="001354D9">
        <w:rPr>
          <w:rFonts w:ascii="Gadugi" w:eastAsia="Times New Roman" w:hAnsi="Gadugi" w:cs="Arial"/>
          <w:color w:val="000000"/>
          <w:sz w:val="24"/>
          <w:szCs w:val="24"/>
          <w:lang w:eastAsia="es-CO"/>
        </w:rPr>
        <w:t>s</w:t>
      </w:r>
      <w:r w:rsidRPr="001354D9">
        <w:rPr>
          <w:rFonts w:ascii="Gadugi" w:eastAsia="Times New Roman" w:hAnsi="Gadugi" w:cs="Arial"/>
          <w:color w:val="000000"/>
          <w:sz w:val="24"/>
          <w:szCs w:val="24"/>
          <w:lang w:eastAsia="es-CO"/>
        </w:rPr>
        <w:t>ucio o de Anserma</w:t>
      </w:r>
      <w:r w:rsidR="00653179" w:rsidRPr="001354D9">
        <w:rPr>
          <w:rFonts w:ascii="Gadugi" w:eastAsia="Times New Roman" w:hAnsi="Gadugi" w:cs="Arial"/>
          <w:color w:val="000000"/>
          <w:sz w:val="24"/>
          <w:szCs w:val="24"/>
          <w:lang w:eastAsia="es-CO"/>
        </w:rPr>
        <w:t>.</w:t>
      </w:r>
      <w:r w:rsidRPr="001354D9">
        <w:rPr>
          <w:rFonts w:ascii="Gadugi" w:eastAsia="Times New Roman" w:hAnsi="Gadugi" w:cs="Arial"/>
          <w:color w:val="000000"/>
          <w:sz w:val="24"/>
          <w:szCs w:val="24"/>
          <w:lang w:eastAsia="es-CO"/>
        </w:rPr>
        <w:t> </w:t>
      </w:r>
    </w:p>
    <w:p w14:paraId="00703EA3" w14:textId="7375F85B"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t>R: De Riosucio</w:t>
      </w:r>
      <w:r w:rsidR="00653179" w:rsidRPr="001354D9">
        <w:rPr>
          <w:rFonts w:ascii="Gadugi" w:eastAsia="Times New Roman" w:hAnsi="Gadugi" w:cs="Arial"/>
          <w:color w:val="000000"/>
          <w:sz w:val="24"/>
          <w:szCs w:val="24"/>
          <w:lang w:eastAsia="es-CO"/>
        </w:rPr>
        <w:t>.</w:t>
      </w:r>
    </w:p>
    <w:p w14:paraId="6D1FB66C" w14:textId="40C2B6C2"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t>P: O sea el carro venía de R</w:t>
      </w:r>
      <w:r w:rsidR="00E7008C" w:rsidRPr="001354D9">
        <w:rPr>
          <w:rFonts w:ascii="Gadugi" w:eastAsia="Times New Roman" w:hAnsi="Gadugi" w:cs="Arial"/>
          <w:color w:val="000000"/>
          <w:sz w:val="24"/>
          <w:szCs w:val="24"/>
          <w:lang w:eastAsia="es-CO"/>
        </w:rPr>
        <w:t>i</w:t>
      </w:r>
      <w:r w:rsidRPr="001354D9">
        <w:rPr>
          <w:rFonts w:ascii="Gadugi" w:eastAsia="Times New Roman" w:hAnsi="Gadugi" w:cs="Arial"/>
          <w:color w:val="000000"/>
          <w:sz w:val="24"/>
          <w:szCs w:val="24"/>
          <w:lang w:eastAsia="es-CO"/>
        </w:rPr>
        <w:t>o</w:t>
      </w:r>
      <w:r w:rsidR="00653179" w:rsidRPr="001354D9">
        <w:rPr>
          <w:rFonts w:ascii="Gadugi" w:eastAsia="Times New Roman" w:hAnsi="Gadugi" w:cs="Arial"/>
          <w:color w:val="000000"/>
          <w:sz w:val="24"/>
          <w:szCs w:val="24"/>
          <w:lang w:eastAsia="es-CO"/>
        </w:rPr>
        <w:t>s</w:t>
      </w:r>
      <w:r w:rsidRPr="001354D9">
        <w:rPr>
          <w:rFonts w:ascii="Gadugi" w:eastAsia="Times New Roman" w:hAnsi="Gadugi" w:cs="Arial"/>
          <w:color w:val="000000"/>
          <w:sz w:val="24"/>
          <w:szCs w:val="24"/>
          <w:lang w:eastAsia="es-CO"/>
        </w:rPr>
        <w:t>ucio y le pegó en el hombro izquierdo</w:t>
      </w:r>
      <w:r w:rsidR="00653179" w:rsidRPr="001354D9">
        <w:rPr>
          <w:rFonts w:ascii="Gadugi" w:eastAsia="Times New Roman" w:hAnsi="Gadugi" w:cs="Arial"/>
          <w:color w:val="000000"/>
          <w:sz w:val="24"/>
          <w:szCs w:val="24"/>
          <w:lang w:eastAsia="es-CO"/>
        </w:rPr>
        <w:t>.</w:t>
      </w:r>
    </w:p>
    <w:p w14:paraId="74A64AD0" w14:textId="77777777" w:rsidR="003D1402" w:rsidRPr="001354D9" w:rsidRDefault="003D1402" w:rsidP="001354D9">
      <w:pPr>
        <w:spacing w:after="0" w:line="276" w:lineRule="auto"/>
        <w:ind w:left="567" w:right="618" w:firstLine="1134"/>
        <w:jc w:val="both"/>
        <w:rPr>
          <w:rFonts w:ascii="Gadugi" w:eastAsia="Times New Roman" w:hAnsi="Gadugi" w:cs="Times New Roman"/>
          <w:sz w:val="24"/>
          <w:szCs w:val="24"/>
          <w:lang w:eastAsia="es-CO"/>
        </w:rPr>
      </w:pPr>
      <w:r w:rsidRPr="001354D9">
        <w:rPr>
          <w:rFonts w:ascii="Gadugi" w:eastAsia="Times New Roman" w:hAnsi="Gadugi" w:cs="Arial"/>
          <w:color w:val="000000"/>
          <w:sz w:val="24"/>
          <w:szCs w:val="24"/>
          <w:lang w:eastAsia="es-CO"/>
        </w:rPr>
        <w:t>R: Sí señor.</w:t>
      </w:r>
    </w:p>
    <w:p w14:paraId="2A91036D" w14:textId="72D429AA" w:rsidR="003D1402" w:rsidRPr="001354D9" w:rsidRDefault="003D1402" w:rsidP="001354D9">
      <w:pPr>
        <w:spacing w:after="0" w:line="276" w:lineRule="auto"/>
        <w:ind w:firstLine="1701"/>
        <w:jc w:val="both"/>
        <w:rPr>
          <w:rFonts w:ascii="Gadugi" w:eastAsia="Calibri" w:hAnsi="Gadugi" w:cs="Times New Roman"/>
          <w:sz w:val="24"/>
          <w:szCs w:val="24"/>
        </w:rPr>
      </w:pPr>
    </w:p>
    <w:p w14:paraId="504F5A77" w14:textId="20D515E1" w:rsidR="00896902" w:rsidRPr="001354D9" w:rsidRDefault="00896902"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Ni modo de pretender, entonces, que se diga, con el desechado dictamen, o con estos soportes clínicos, que el golpe que sufrió con el vehículo fue al lado derecho; lo fue en el izquierdo, cayó y a su contacto con el pavimento, sufrió las lesiones que esos documentos evidencian en el lado derecho. </w:t>
      </w:r>
    </w:p>
    <w:p w14:paraId="29B51F53" w14:textId="247F6AAD" w:rsidR="00896902" w:rsidRPr="001354D9" w:rsidRDefault="00896902" w:rsidP="001354D9">
      <w:pPr>
        <w:spacing w:after="0" w:line="276" w:lineRule="auto"/>
        <w:ind w:firstLine="1701"/>
        <w:jc w:val="both"/>
        <w:rPr>
          <w:rFonts w:ascii="Gadugi" w:eastAsia="Calibri" w:hAnsi="Gadugi" w:cs="Times New Roman"/>
          <w:sz w:val="24"/>
          <w:szCs w:val="24"/>
        </w:rPr>
      </w:pPr>
    </w:p>
    <w:p w14:paraId="193D543D" w14:textId="33F05A45" w:rsidR="00464AA9" w:rsidRPr="001354D9" w:rsidRDefault="00896902"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Por supuesto que esa misma versión suya, tan contundente, solo permite una de dos explicaciones: la primera, si se sigue su dicho, que ya había retornado </w:t>
      </w:r>
      <w:r w:rsidR="00F82649" w:rsidRPr="001354D9">
        <w:rPr>
          <w:rFonts w:ascii="Gadugi" w:eastAsia="Calibri" w:hAnsi="Gadugi" w:cs="Times New Roman"/>
          <w:sz w:val="24"/>
          <w:szCs w:val="24"/>
        </w:rPr>
        <w:t xml:space="preserve">de hacer sus compras </w:t>
      </w:r>
      <w:r w:rsidRPr="001354D9">
        <w:rPr>
          <w:rFonts w:ascii="Gadugi" w:eastAsia="Calibri" w:hAnsi="Gadugi" w:cs="Times New Roman"/>
          <w:sz w:val="24"/>
          <w:szCs w:val="24"/>
        </w:rPr>
        <w:t>a la berma del lado derecho (en el sentido Riosucio-Anserma) y, sin embargo, se adentró nuevamente en la carretera unos pasos, sin mirar, y eso produjo el golpe con el camión que, sin duda, estaba sobre su vía, a una velocidad permitida, según los cálculos que se hicieron en el segundo dictamen -e incluso en el primero-</w:t>
      </w:r>
      <w:r w:rsidR="00464AA9" w:rsidRPr="001354D9">
        <w:rPr>
          <w:rFonts w:ascii="Gadugi" w:eastAsia="Calibri" w:hAnsi="Gadugi" w:cs="Times New Roman"/>
          <w:sz w:val="24"/>
          <w:szCs w:val="24"/>
        </w:rPr>
        <w:t xml:space="preserve">. O la segunda, aceptando la tesis del segundo dictamen referenciado, que apenas iba a iniciar su marcha hacia el otro extremo de la vía para hacer sus compras, lo que propició que, sin mirar a los dos lados, fuera arrollado por el camión. </w:t>
      </w:r>
    </w:p>
    <w:p w14:paraId="26C3E202" w14:textId="43C23181" w:rsidR="00F82649" w:rsidRPr="001354D9" w:rsidRDefault="00F82649" w:rsidP="001354D9">
      <w:pPr>
        <w:spacing w:after="0" w:line="276" w:lineRule="auto"/>
        <w:ind w:firstLine="1701"/>
        <w:jc w:val="both"/>
        <w:rPr>
          <w:rFonts w:ascii="Gadugi" w:eastAsia="Calibri" w:hAnsi="Gadugi" w:cs="Times New Roman"/>
          <w:sz w:val="24"/>
          <w:szCs w:val="24"/>
        </w:rPr>
      </w:pPr>
    </w:p>
    <w:p w14:paraId="0BF20658" w14:textId="4A5AEA65" w:rsidR="00F82649" w:rsidRPr="001354D9" w:rsidRDefault="00F82649"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De una u otra forma, la situación es igual, el peatón se abalanzó sobre la vía sin detenerse a mirar si algún vehículo podía generarle peligro, con tan mala fortuna que pasaba por allí el camión que lo golpeó en su hombro izquierdo, propició su caída y allí, al encontrar el asfalto, sufrió otras lesiones. </w:t>
      </w:r>
    </w:p>
    <w:p w14:paraId="1CDF005E" w14:textId="321DE5E0" w:rsidR="00F82649" w:rsidRPr="001354D9" w:rsidRDefault="00F82649" w:rsidP="001354D9">
      <w:pPr>
        <w:spacing w:after="0" w:line="276" w:lineRule="auto"/>
        <w:ind w:firstLine="1701"/>
        <w:jc w:val="both"/>
        <w:rPr>
          <w:rFonts w:ascii="Gadugi" w:eastAsia="Calibri" w:hAnsi="Gadugi" w:cs="Times New Roman"/>
          <w:sz w:val="24"/>
          <w:szCs w:val="24"/>
        </w:rPr>
      </w:pPr>
    </w:p>
    <w:p w14:paraId="4008800B" w14:textId="2CA2CE0F" w:rsidR="00F82649" w:rsidRPr="001354D9" w:rsidRDefault="00F82649"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2.10. No alcanzan, entonces, los argumentos de los recurrentes, para derruir el análisis que el juzgado hizo de la prueba y su valoración conjunta, con los que llegó a la conclusión de que aquí hubo un comportamiento de la víctima que incidió en un todo en la causación del daño, por lo que lo pertinente era la absolución. </w:t>
      </w:r>
    </w:p>
    <w:p w14:paraId="7CC7F31B" w14:textId="77777777" w:rsidR="00653179" w:rsidRPr="001354D9" w:rsidRDefault="00653179" w:rsidP="001354D9">
      <w:pPr>
        <w:spacing w:after="0" w:line="276" w:lineRule="auto"/>
        <w:ind w:firstLine="1701"/>
        <w:jc w:val="both"/>
        <w:rPr>
          <w:rFonts w:ascii="Gadugi" w:eastAsia="Calibri" w:hAnsi="Gadugi" w:cs="Times New Roman"/>
          <w:sz w:val="24"/>
          <w:szCs w:val="24"/>
        </w:rPr>
      </w:pPr>
    </w:p>
    <w:p w14:paraId="1739E088" w14:textId="37B295CE" w:rsidR="00F82649" w:rsidRPr="001354D9" w:rsidRDefault="00F82649"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 xml:space="preserve">De manera que el fallo de primer grado debe ser confirmado. </w:t>
      </w:r>
    </w:p>
    <w:p w14:paraId="5929D2A1" w14:textId="34825FAD" w:rsidR="00F82649" w:rsidRPr="001354D9" w:rsidRDefault="00F82649" w:rsidP="001354D9">
      <w:pPr>
        <w:spacing w:after="0" w:line="276" w:lineRule="auto"/>
        <w:ind w:firstLine="1701"/>
        <w:jc w:val="both"/>
        <w:rPr>
          <w:rFonts w:ascii="Gadugi" w:eastAsia="Calibri" w:hAnsi="Gadugi" w:cs="Times New Roman"/>
          <w:sz w:val="24"/>
          <w:szCs w:val="24"/>
        </w:rPr>
      </w:pPr>
    </w:p>
    <w:p w14:paraId="555FB347" w14:textId="5FB59122" w:rsidR="00F82649" w:rsidRPr="001354D9" w:rsidRDefault="00683A53" w:rsidP="001354D9">
      <w:pPr>
        <w:spacing w:after="0" w:line="276" w:lineRule="auto"/>
        <w:ind w:firstLine="1701"/>
        <w:jc w:val="both"/>
        <w:rPr>
          <w:rFonts w:ascii="Gadugi" w:eastAsia="Calibri" w:hAnsi="Gadugi" w:cs="Times New Roman"/>
          <w:sz w:val="24"/>
          <w:szCs w:val="24"/>
        </w:rPr>
      </w:pPr>
      <w:r w:rsidRPr="001354D9">
        <w:rPr>
          <w:rFonts w:ascii="Gadugi" w:eastAsia="Calibri" w:hAnsi="Gadugi" w:cs="Times New Roman"/>
          <w:sz w:val="24"/>
          <w:szCs w:val="24"/>
        </w:rPr>
        <w:t>Las costas en esta instancia serán</w:t>
      </w:r>
      <w:r w:rsidR="00F82649" w:rsidRPr="001354D9">
        <w:rPr>
          <w:rFonts w:ascii="Gadugi" w:eastAsia="Calibri" w:hAnsi="Gadugi" w:cs="Times New Roman"/>
          <w:sz w:val="24"/>
          <w:szCs w:val="24"/>
        </w:rPr>
        <w:t xml:space="preserve"> a cargo de los recurrentes y a favor de los demandados, por preverlo así el artículo 365-1 del CGP. Se liquidarán en primera instancia, siguiendo las reglas del artículo 366 ibidem. Para tal fin, en auto separado, se fijarán las agencias en derecho.</w:t>
      </w:r>
    </w:p>
    <w:p w14:paraId="22985883" w14:textId="49885828" w:rsidR="00F82649" w:rsidRPr="001354D9" w:rsidRDefault="00F82649" w:rsidP="001354D9">
      <w:pPr>
        <w:spacing w:after="0" w:line="276" w:lineRule="auto"/>
        <w:ind w:firstLine="1701"/>
        <w:jc w:val="both"/>
        <w:rPr>
          <w:rFonts w:ascii="Gadugi" w:eastAsia="Calibri" w:hAnsi="Gadugi" w:cs="Times New Roman"/>
          <w:sz w:val="24"/>
          <w:szCs w:val="24"/>
        </w:rPr>
      </w:pPr>
    </w:p>
    <w:p w14:paraId="0EAAC3B6" w14:textId="4822D40A" w:rsidR="00F82649" w:rsidRPr="001354D9" w:rsidRDefault="00F82649" w:rsidP="001354D9">
      <w:pPr>
        <w:spacing w:after="0" w:line="276" w:lineRule="auto"/>
        <w:ind w:firstLine="1701"/>
        <w:jc w:val="both"/>
        <w:rPr>
          <w:rFonts w:ascii="Gadugi" w:eastAsia="Calibri" w:hAnsi="Gadugi" w:cs="Times New Roman"/>
          <w:sz w:val="24"/>
          <w:szCs w:val="24"/>
        </w:rPr>
      </w:pPr>
    </w:p>
    <w:p w14:paraId="7B2D62F0" w14:textId="03971B1A" w:rsidR="00F82649" w:rsidRPr="001354D9" w:rsidRDefault="00F82649" w:rsidP="001354D9">
      <w:pPr>
        <w:pStyle w:val="Prrafodelista"/>
        <w:numPr>
          <w:ilvl w:val="0"/>
          <w:numId w:val="9"/>
        </w:numPr>
        <w:spacing w:after="0" w:line="276" w:lineRule="auto"/>
        <w:ind w:left="0" w:firstLine="1701"/>
        <w:jc w:val="both"/>
        <w:rPr>
          <w:rFonts w:ascii="Gadugi" w:eastAsia="Calibri" w:hAnsi="Gadugi" w:cs="Times New Roman"/>
          <w:b/>
          <w:sz w:val="24"/>
          <w:szCs w:val="24"/>
        </w:rPr>
      </w:pPr>
      <w:r w:rsidRPr="001354D9">
        <w:rPr>
          <w:rFonts w:ascii="Gadugi" w:eastAsia="Calibri" w:hAnsi="Gadugi" w:cs="Times New Roman"/>
          <w:b/>
          <w:sz w:val="24"/>
          <w:szCs w:val="24"/>
        </w:rPr>
        <w:t>DECISIÓN</w:t>
      </w:r>
    </w:p>
    <w:p w14:paraId="1FF9EBDF" w14:textId="51DA7AB7" w:rsidR="00F82649" w:rsidRPr="001354D9" w:rsidRDefault="00F82649" w:rsidP="001354D9">
      <w:pPr>
        <w:spacing w:after="0" w:line="276" w:lineRule="auto"/>
        <w:ind w:firstLine="1701"/>
        <w:jc w:val="both"/>
        <w:rPr>
          <w:rFonts w:ascii="Gadugi" w:eastAsia="Calibri" w:hAnsi="Gadugi" w:cs="Times New Roman"/>
          <w:sz w:val="24"/>
          <w:szCs w:val="24"/>
        </w:rPr>
      </w:pPr>
    </w:p>
    <w:p w14:paraId="45A29ADE" w14:textId="08DC841B" w:rsidR="00F82649" w:rsidRPr="001354D9" w:rsidRDefault="00F82649" w:rsidP="001354D9">
      <w:pPr>
        <w:spacing w:after="0" w:line="276" w:lineRule="auto"/>
        <w:ind w:firstLine="1701"/>
        <w:jc w:val="both"/>
        <w:rPr>
          <w:rFonts w:ascii="Gadugi" w:eastAsia="Calibri" w:hAnsi="Gadugi" w:cs="Times New Roman"/>
          <w:sz w:val="24"/>
          <w:szCs w:val="24"/>
        </w:rPr>
      </w:pPr>
    </w:p>
    <w:p w14:paraId="0F060840" w14:textId="45101187" w:rsidR="00037AD8" w:rsidRPr="001354D9" w:rsidRDefault="00037AD8" w:rsidP="001354D9">
      <w:pPr>
        <w:tabs>
          <w:tab w:val="left" w:pos="4536"/>
        </w:tabs>
        <w:spacing w:after="0" w:line="276" w:lineRule="auto"/>
        <w:ind w:firstLine="1701"/>
        <w:jc w:val="both"/>
        <w:rPr>
          <w:rFonts w:ascii="Gadugi" w:eastAsia="Malgun Gothic" w:hAnsi="Gadugi" w:cs="Estrangelo Edessa"/>
          <w:sz w:val="24"/>
          <w:szCs w:val="24"/>
        </w:rPr>
      </w:pPr>
      <w:r w:rsidRPr="001354D9">
        <w:rPr>
          <w:rFonts w:ascii="Gadugi" w:eastAsia="Calibri" w:hAnsi="Gadugi" w:cs="Times New Roman"/>
          <w:sz w:val="24"/>
          <w:szCs w:val="24"/>
        </w:rPr>
        <w:t xml:space="preserve">En armonía con lo discurrido, esta Sala de Decisión Civil-Familia del Tribunal Superior del Distrito Judicial de Pereira, administrando justicia en nombre de la República y por autoridad de la Ley, </w:t>
      </w:r>
      <w:r w:rsidRPr="001354D9">
        <w:rPr>
          <w:rFonts w:ascii="Gadugi" w:eastAsia="Calibri" w:hAnsi="Gadugi" w:cs="Times New Roman"/>
          <w:b/>
          <w:sz w:val="24"/>
          <w:szCs w:val="24"/>
        </w:rPr>
        <w:t xml:space="preserve">CONFIRMA </w:t>
      </w:r>
      <w:r w:rsidRPr="001354D9">
        <w:rPr>
          <w:rFonts w:ascii="Gadugi" w:eastAsia="Calibri" w:hAnsi="Gadugi" w:cs="Times New Roman"/>
          <w:sz w:val="24"/>
          <w:szCs w:val="24"/>
          <w:lang w:val="es-ES"/>
        </w:rPr>
        <w:t xml:space="preserve">la sentencia del 25 de marzo de 2021, </w:t>
      </w:r>
      <w:r w:rsidRPr="001354D9">
        <w:rPr>
          <w:rFonts w:ascii="Gadugi" w:eastAsia="Malgun Gothic" w:hAnsi="Gadugi" w:cs="Estrangelo Edessa"/>
          <w:sz w:val="24"/>
          <w:szCs w:val="24"/>
        </w:rPr>
        <w:t xml:space="preserve">proferida por el Juzgado Promiscuo del Circuito de Quinchía-Risaralda, en este proceso de Responsabilidad Civil Extracontractual que iniciaron </w:t>
      </w:r>
      <w:r w:rsidRPr="001354D9">
        <w:rPr>
          <w:rFonts w:ascii="Gadugi" w:eastAsia="Malgun Gothic" w:hAnsi="Gadugi" w:cs="Estrangelo Edessa"/>
          <w:b/>
          <w:sz w:val="24"/>
          <w:szCs w:val="24"/>
        </w:rPr>
        <w:t xml:space="preserve">Alven de Jesús Álvarez, Luz Mila Sepúlveda Durango, Luz Edilma Álvarez Sepúlveda, Yuli Andrea Álvarez Sepúlveda y Alejandro Álvarez Sepúlveda, </w:t>
      </w:r>
      <w:r w:rsidRPr="001354D9">
        <w:rPr>
          <w:rFonts w:ascii="Gadugi" w:eastAsia="Malgun Gothic" w:hAnsi="Gadugi" w:cs="Estrangelo Edessa"/>
          <w:bCs/>
          <w:sz w:val="24"/>
          <w:szCs w:val="24"/>
        </w:rPr>
        <w:t>frente</w:t>
      </w:r>
      <w:r w:rsidRPr="001354D9">
        <w:rPr>
          <w:rFonts w:ascii="Gadugi" w:eastAsia="Malgun Gothic" w:hAnsi="Gadugi" w:cs="Estrangelo Edessa"/>
          <w:b/>
          <w:sz w:val="24"/>
          <w:szCs w:val="24"/>
        </w:rPr>
        <w:t xml:space="preserve"> </w:t>
      </w:r>
      <w:r w:rsidRPr="001354D9">
        <w:rPr>
          <w:rFonts w:ascii="Gadugi" w:eastAsia="Malgun Gothic" w:hAnsi="Gadugi" w:cs="Estrangelo Edessa"/>
          <w:sz w:val="24"/>
          <w:szCs w:val="24"/>
        </w:rPr>
        <w:t>a</w:t>
      </w:r>
      <w:r w:rsidRPr="001354D9">
        <w:rPr>
          <w:rFonts w:ascii="Gadugi" w:eastAsia="Malgun Gothic" w:hAnsi="Gadugi" w:cs="Estrangelo Edessa"/>
          <w:b/>
          <w:sz w:val="24"/>
          <w:szCs w:val="24"/>
        </w:rPr>
        <w:t xml:space="preserve"> Papelería los Mayoristas Ltda., y Wilson Quiñones Vera, </w:t>
      </w:r>
      <w:r w:rsidRPr="001354D9">
        <w:rPr>
          <w:rFonts w:ascii="Gadugi" w:eastAsia="Malgun Gothic" w:hAnsi="Gadugi" w:cs="Estrangelo Edessa"/>
          <w:sz w:val="24"/>
          <w:szCs w:val="24"/>
        </w:rPr>
        <w:t xml:space="preserve">y como llamada en garantía </w:t>
      </w:r>
      <w:r w:rsidRPr="001354D9">
        <w:rPr>
          <w:rFonts w:ascii="Gadugi" w:eastAsia="Malgun Gothic" w:hAnsi="Gadugi" w:cs="Estrangelo Edessa"/>
          <w:b/>
          <w:sz w:val="24"/>
          <w:szCs w:val="24"/>
        </w:rPr>
        <w:t>Seguros SURAMERICANA S.A.</w:t>
      </w:r>
    </w:p>
    <w:p w14:paraId="757744C8" w14:textId="77777777" w:rsidR="00037AD8" w:rsidRPr="001354D9" w:rsidRDefault="00037AD8" w:rsidP="001354D9">
      <w:pPr>
        <w:tabs>
          <w:tab w:val="left" w:pos="4536"/>
        </w:tabs>
        <w:spacing w:after="0" w:line="276" w:lineRule="auto"/>
        <w:ind w:firstLine="1701"/>
        <w:jc w:val="both"/>
        <w:rPr>
          <w:rFonts w:ascii="Gadugi" w:eastAsia="Calibri" w:hAnsi="Gadugi" w:cs="Times New Roman"/>
          <w:sz w:val="24"/>
          <w:szCs w:val="24"/>
          <w:lang w:val="es-ES"/>
        </w:rPr>
      </w:pPr>
    </w:p>
    <w:p w14:paraId="7B969C12" w14:textId="69CD572A" w:rsidR="00037AD8" w:rsidRPr="001354D9" w:rsidRDefault="00037AD8" w:rsidP="001354D9">
      <w:pPr>
        <w:spacing w:after="0" w:line="276" w:lineRule="auto"/>
        <w:ind w:firstLine="1701"/>
        <w:jc w:val="both"/>
        <w:rPr>
          <w:rFonts w:ascii="Gadugi" w:hAnsi="Gadugi"/>
          <w:sz w:val="24"/>
          <w:szCs w:val="24"/>
        </w:rPr>
      </w:pPr>
      <w:r w:rsidRPr="001354D9">
        <w:rPr>
          <w:rFonts w:ascii="Gadugi" w:eastAsia="Calibri" w:hAnsi="Gadugi" w:cs="Times New Roman"/>
          <w:sz w:val="24"/>
          <w:szCs w:val="24"/>
          <w:lang w:val="es-ES"/>
        </w:rPr>
        <w:t>Se condena en costas a la parte demandante en favor de los demandados</w:t>
      </w:r>
      <w:r w:rsidRPr="001354D9">
        <w:rPr>
          <w:rFonts w:ascii="Gadugi" w:hAnsi="Gadugi"/>
          <w:sz w:val="24"/>
          <w:szCs w:val="24"/>
        </w:rPr>
        <w:t xml:space="preserve"> (artículo 365-1 CGP). En auto separado se fijarán las agencias en derecho. </w:t>
      </w:r>
    </w:p>
    <w:p w14:paraId="5BEE62A3" w14:textId="77777777" w:rsidR="00037AD8" w:rsidRPr="001354D9" w:rsidRDefault="00037AD8" w:rsidP="001354D9">
      <w:pPr>
        <w:spacing w:after="0" w:line="276" w:lineRule="auto"/>
        <w:ind w:firstLine="1701"/>
        <w:jc w:val="both"/>
        <w:rPr>
          <w:rFonts w:ascii="Gadugi" w:eastAsia="Calibri" w:hAnsi="Gadugi" w:cs="Times New Roman"/>
          <w:sz w:val="24"/>
          <w:szCs w:val="24"/>
          <w:lang w:val="es-ES"/>
        </w:rPr>
      </w:pPr>
    </w:p>
    <w:p w14:paraId="634AEA0B" w14:textId="77777777" w:rsidR="00037AD8" w:rsidRPr="001354D9" w:rsidRDefault="00037AD8" w:rsidP="001354D9">
      <w:pPr>
        <w:spacing w:after="0" w:line="276" w:lineRule="auto"/>
        <w:ind w:firstLine="1701"/>
        <w:jc w:val="both"/>
        <w:rPr>
          <w:rFonts w:ascii="Gadugi" w:eastAsia="Calibri" w:hAnsi="Gadugi" w:cs="Times New Roman"/>
          <w:sz w:val="24"/>
          <w:szCs w:val="24"/>
          <w:lang w:val="es-ES"/>
        </w:rPr>
      </w:pPr>
      <w:r w:rsidRPr="001354D9">
        <w:rPr>
          <w:rFonts w:ascii="Gadugi" w:eastAsia="Calibri" w:hAnsi="Gadugi" w:cs="Times New Roman"/>
          <w:sz w:val="24"/>
          <w:szCs w:val="24"/>
          <w:lang w:val="es-ES"/>
        </w:rPr>
        <w:t>Notifíquese,</w:t>
      </w:r>
    </w:p>
    <w:p w14:paraId="4C01983D" w14:textId="77777777" w:rsidR="00037AD8" w:rsidRPr="001354D9" w:rsidRDefault="00037AD8" w:rsidP="001354D9">
      <w:pPr>
        <w:spacing w:after="0" w:line="276" w:lineRule="auto"/>
        <w:ind w:firstLine="1701"/>
        <w:jc w:val="both"/>
        <w:rPr>
          <w:rFonts w:ascii="Gadugi" w:eastAsia="Calibri" w:hAnsi="Gadugi" w:cs="Times New Roman"/>
          <w:sz w:val="24"/>
          <w:szCs w:val="24"/>
          <w:lang w:val="es-ES"/>
        </w:rPr>
      </w:pPr>
    </w:p>
    <w:p w14:paraId="743A39BE" w14:textId="77777777" w:rsidR="00037AD8" w:rsidRPr="001354D9" w:rsidRDefault="00037AD8" w:rsidP="001354D9">
      <w:pPr>
        <w:spacing w:after="0" w:line="276" w:lineRule="auto"/>
        <w:ind w:firstLine="1701"/>
        <w:jc w:val="both"/>
        <w:rPr>
          <w:rFonts w:ascii="Gadugi" w:eastAsia="Calibri" w:hAnsi="Gadugi" w:cs="Times New Roman"/>
          <w:sz w:val="24"/>
          <w:szCs w:val="24"/>
          <w:lang w:val="es-ES"/>
        </w:rPr>
      </w:pPr>
      <w:r w:rsidRPr="001354D9">
        <w:rPr>
          <w:rFonts w:ascii="Gadugi" w:eastAsia="Calibri" w:hAnsi="Gadugi" w:cs="Times New Roman"/>
          <w:sz w:val="24"/>
          <w:szCs w:val="24"/>
          <w:lang w:val="es-ES"/>
        </w:rPr>
        <w:t>Los Magistrados,</w:t>
      </w:r>
    </w:p>
    <w:p w14:paraId="78C62934" w14:textId="77777777" w:rsidR="00037AD8" w:rsidRPr="001354D9" w:rsidRDefault="00037AD8" w:rsidP="001354D9">
      <w:pPr>
        <w:spacing w:after="0" w:line="276" w:lineRule="auto"/>
        <w:ind w:firstLine="1701"/>
        <w:jc w:val="both"/>
        <w:rPr>
          <w:rFonts w:ascii="Gadugi" w:eastAsia="Calibri" w:hAnsi="Gadugi" w:cs="Times New Roman"/>
          <w:sz w:val="24"/>
          <w:szCs w:val="24"/>
          <w:lang w:val="es-ES"/>
        </w:rPr>
      </w:pPr>
    </w:p>
    <w:p w14:paraId="6527A168" w14:textId="77777777" w:rsidR="00037AD8" w:rsidRPr="001354D9" w:rsidRDefault="00037AD8" w:rsidP="001354D9">
      <w:pPr>
        <w:spacing w:after="0" w:line="276" w:lineRule="auto"/>
        <w:ind w:firstLine="1701"/>
        <w:jc w:val="both"/>
        <w:rPr>
          <w:rFonts w:ascii="Gadugi" w:eastAsia="Calibri" w:hAnsi="Gadugi" w:cs="Times New Roman"/>
          <w:sz w:val="24"/>
          <w:szCs w:val="24"/>
          <w:lang w:val="es-ES"/>
        </w:rPr>
      </w:pPr>
    </w:p>
    <w:p w14:paraId="3C67F3D0" w14:textId="77777777" w:rsidR="00037AD8" w:rsidRPr="001354D9" w:rsidRDefault="00037AD8" w:rsidP="001354D9">
      <w:pPr>
        <w:spacing w:after="0" w:line="276" w:lineRule="auto"/>
        <w:ind w:firstLine="1701"/>
        <w:jc w:val="both"/>
        <w:rPr>
          <w:rFonts w:ascii="Gadugi" w:eastAsia="Calibri" w:hAnsi="Gadugi" w:cs="Times New Roman"/>
          <w:b/>
          <w:sz w:val="24"/>
          <w:szCs w:val="24"/>
        </w:rPr>
      </w:pPr>
      <w:r w:rsidRPr="001354D9">
        <w:rPr>
          <w:rFonts w:ascii="Gadugi" w:eastAsia="Calibri" w:hAnsi="Gadugi" w:cs="Times New Roman"/>
          <w:b/>
          <w:sz w:val="24"/>
          <w:szCs w:val="24"/>
        </w:rPr>
        <w:t>JAIME ALBERTO SARAZA NARANJO</w:t>
      </w:r>
    </w:p>
    <w:p w14:paraId="7B015504" w14:textId="77777777" w:rsidR="00037AD8" w:rsidRPr="001354D9" w:rsidRDefault="00037AD8" w:rsidP="001354D9">
      <w:pPr>
        <w:spacing w:after="0" w:line="276" w:lineRule="auto"/>
        <w:ind w:firstLine="1701"/>
        <w:jc w:val="both"/>
        <w:rPr>
          <w:rFonts w:ascii="Gadugi" w:eastAsia="Calibri" w:hAnsi="Gadugi" w:cs="Times New Roman"/>
          <w:b/>
          <w:sz w:val="24"/>
          <w:szCs w:val="24"/>
          <w:lang w:val="es-ES"/>
        </w:rPr>
      </w:pPr>
    </w:p>
    <w:p w14:paraId="7D276E37" w14:textId="77777777" w:rsidR="00037AD8" w:rsidRPr="001354D9" w:rsidRDefault="00037AD8" w:rsidP="001354D9">
      <w:pPr>
        <w:spacing w:after="0" w:line="276" w:lineRule="auto"/>
        <w:ind w:firstLine="1701"/>
        <w:jc w:val="both"/>
        <w:rPr>
          <w:rFonts w:ascii="Gadugi" w:eastAsia="Calibri" w:hAnsi="Gadugi" w:cs="Times New Roman"/>
          <w:b/>
          <w:sz w:val="24"/>
          <w:szCs w:val="24"/>
          <w:lang w:val="es-ES"/>
        </w:rPr>
      </w:pPr>
    </w:p>
    <w:p w14:paraId="6CBC263E" w14:textId="77777777" w:rsidR="00037AD8" w:rsidRPr="001354D9" w:rsidRDefault="00037AD8" w:rsidP="001354D9">
      <w:pPr>
        <w:spacing w:after="0" w:line="276" w:lineRule="auto"/>
        <w:ind w:firstLine="1701"/>
        <w:jc w:val="both"/>
        <w:rPr>
          <w:rFonts w:ascii="Gadugi" w:eastAsia="Calibri" w:hAnsi="Gadugi" w:cs="Times New Roman"/>
          <w:b/>
          <w:bCs/>
          <w:sz w:val="24"/>
          <w:szCs w:val="24"/>
          <w:lang w:val="es-ES"/>
        </w:rPr>
      </w:pPr>
      <w:r w:rsidRPr="001354D9">
        <w:rPr>
          <w:rFonts w:ascii="Gadugi" w:eastAsia="Calibri" w:hAnsi="Gadugi" w:cs="Times New Roman"/>
          <w:b/>
          <w:bCs/>
          <w:sz w:val="24"/>
          <w:szCs w:val="24"/>
          <w:lang w:val="es-ES"/>
        </w:rPr>
        <w:t xml:space="preserve">CARLOS MAURICIO GARCÍA BARAJAS </w:t>
      </w:r>
    </w:p>
    <w:p w14:paraId="091418E1" w14:textId="77777777" w:rsidR="00037AD8" w:rsidRPr="001354D9" w:rsidRDefault="00037AD8" w:rsidP="001354D9">
      <w:pPr>
        <w:spacing w:after="0" w:line="276" w:lineRule="auto"/>
        <w:ind w:firstLine="1701"/>
        <w:jc w:val="both"/>
        <w:rPr>
          <w:rFonts w:ascii="Gadugi" w:eastAsia="Calibri" w:hAnsi="Gadugi" w:cs="Times New Roman"/>
          <w:b/>
          <w:sz w:val="24"/>
          <w:szCs w:val="24"/>
          <w:lang w:val="es-ES"/>
        </w:rPr>
      </w:pPr>
    </w:p>
    <w:p w14:paraId="630B290E" w14:textId="77777777" w:rsidR="00037AD8" w:rsidRPr="001354D9" w:rsidRDefault="00037AD8" w:rsidP="001354D9">
      <w:pPr>
        <w:spacing w:after="0" w:line="276" w:lineRule="auto"/>
        <w:ind w:firstLine="1701"/>
        <w:jc w:val="both"/>
        <w:rPr>
          <w:rFonts w:ascii="Gadugi" w:eastAsia="Calibri" w:hAnsi="Gadugi" w:cs="Times New Roman"/>
          <w:b/>
          <w:sz w:val="24"/>
          <w:szCs w:val="24"/>
          <w:lang w:val="es-ES"/>
        </w:rPr>
      </w:pPr>
    </w:p>
    <w:p w14:paraId="3E32FC91" w14:textId="19183E48" w:rsidR="00037AD8" w:rsidRPr="001354D9" w:rsidRDefault="00037AD8" w:rsidP="001354D9">
      <w:pPr>
        <w:spacing w:after="0" w:line="276" w:lineRule="auto"/>
        <w:ind w:firstLine="1701"/>
        <w:jc w:val="both"/>
        <w:rPr>
          <w:rFonts w:ascii="Gadugi" w:eastAsia="Calibri" w:hAnsi="Gadugi" w:cs="Times New Roman"/>
          <w:b/>
          <w:bCs/>
          <w:sz w:val="24"/>
          <w:szCs w:val="24"/>
          <w:lang w:val="es-ES"/>
        </w:rPr>
      </w:pPr>
      <w:r w:rsidRPr="001354D9">
        <w:rPr>
          <w:rFonts w:ascii="Gadugi" w:eastAsia="Calibri" w:hAnsi="Gadugi" w:cs="Times New Roman"/>
          <w:b/>
          <w:bCs/>
          <w:sz w:val="24"/>
          <w:szCs w:val="24"/>
          <w:lang w:val="es-ES"/>
        </w:rPr>
        <w:t>DUBERNEY GRISALES HERRERA</w:t>
      </w:r>
    </w:p>
    <w:p w14:paraId="0EC4AEA4" w14:textId="7ECD4F4A" w:rsidR="00037AD8" w:rsidRPr="001354D9" w:rsidRDefault="000E6C59" w:rsidP="001354D9">
      <w:pPr>
        <w:spacing w:after="0" w:line="276" w:lineRule="auto"/>
        <w:ind w:firstLine="1701"/>
        <w:jc w:val="both"/>
        <w:rPr>
          <w:rFonts w:ascii="Gadugi" w:eastAsia="Calibri" w:hAnsi="Gadugi" w:cs="Times New Roman"/>
          <w:bCs/>
          <w:sz w:val="24"/>
          <w:szCs w:val="24"/>
          <w:lang w:val="es-ES"/>
        </w:rPr>
      </w:pPr>
      <w:r w:rsidRPr="001354D9">
        <w:rPr>
          <w:rFonts w:ascii="Gadugi" w:eastAsia="Calibri" w:hAnsi="Gadugi" w:cs="Times New Roman"/>
          <w:bCs/>
          <w:sz w:val="24"/>
          <w:szCs w:val="24"/>
          <w:lang w:val="es-ES"/>
        </w:rPr>
        <w:t>Ausencia justificada</w:t>
      </w:r>
    </w:p>
    <w:sectPr w:rsidR="00037AD8" w:rsidRPr="001354D9" w:rsidSect="005B0DEB">
      <w:footerReference w:type="default" r:id="rId11"/>
      <w:pgSz w:w="12242" w:h="18722" w:code="258"/>
      <w:pgMar w:top="1928" w:right="1361" w:bottom="1361"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59378C" w16cex:dateUtc="2022-06-28T18:12:55.0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C7D2A" w14:textId="77777777" w:rsidR="000B5F47" w:rsidRDefault="000B5F47" w:rsidP="00244E2F">
      <w:pPr>
        <w:spacing w:after="0" w:line="240" w:lineRule="auto"/>
      </w:pPr>
      <w:r>
        <w:separator/>
      </w:r>
    </w:p>
  </w:endnote>
  <w:endnote w:type="continuationSeparator" w:id="0">
    <w:p w14:paraId="4BB2757F" w14:textId="77777777" w:rsidR="000B5F47" w:rsidRDefault="000B5F47" w:rsidP="002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uerpo en alf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57349"/>
      <w:docPartObj>
        <w:docPartGallery w:val="Page Numbers (Bottom of Page)"/>
        <w:docPartUnique/>
      </w:docPartObj>
    </w:sdtPr>
    <w:sdtEndPr>
      <w:rPr>
        <w:rFonts w:ascii="Agency FB" w:hAnsi="Agency FB"/>
        <w:sz w:val="20"/>
      </w:rPr>
    </w:sdtEndPr>
    <w:sdtContent>
      <w:p w14:paraId="5F44B623" w14:textId="7633221A" w:rsidR="00F82649" w:rsidRPr="001354D9" w:rsidRDefault="00F82649">
        <w:pPr>
          <w:pStyle w:val="Piedepgina"/>
          <w:jc w:val="right"/>
          <w:rPr>
            <w:rFonts w:ascii="Agency FB" w:hAnsi="Agency FB"/>
            <w:sz w:val="20"/>
          </w:rPr>
        </w:pPr>
        <w:r w:rsidRPr="001354D9">
          <w:rPr>
            <w:rFonts w:ascii="Agency FB" w:hAnsi="Agency FB"/>
            <w:sz w:val="20"/>
          </w:rPr>
          <w:fldChar w:fldCharType="begin"/>
        </w:r>
        <w:r w:rsidRPr="001354D9">
          <w:rPr>
            <w:rFonts w:ascii="Agency FB" w:hAnsi="Agency FB"/>
            <w:sz w:val="20"/>
          </w:rPr>
          <w:instrText>PAGE   \* MERGEFORMAT</w:instrText>
        </w:r>
        <w:r w:rsidRPr="001354D9">
          <w:rPr>
            <w:rFonts w:ascii="Agency FB" w:hAnsi="Agency FB"/>
            <w:sz w:val="20"/>
          </w:rPr>
          <w:fldChar w:fldCharType="separate"/>
        </w:r>
        <w:r w:rsidRPr="001354D9">
          <w:rPr>
            <w:rFonts w:ascii="Agency FB" w:hAnsi="Agency FB"/>
            <w:sz w:val="20"/>
            <w:lang w:val="es-ES"/>
          </w:rPr>
          <w:t>2</w:t>
        </w:r>
        <w:r w:rsidRPr="001354D9">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669C" w14:textId="77777777" w:rsidR="000B5F47" w:rsidRDefault="000B5F47" w:rsidP="00244E2F">
      <w:pPr>
        <w:spacing w:after="0" w:line="240" w:lineRule="auto"/>
      </w:pPr>
      <w:r>
        <w:separator/>
      </w:r>
    </w:p>
  </w:footnote>
  <w:footnote w:type="continuationSeparator" w:id="0">
    <w:p w14:paraId="1CCA72EA" w14:textId="77777777" w:rsidR="000B5F47" w:rsidRDefault="000B5F47" w:rsidP="00244E2F">
      <w:pPr>
        <w:spacing w:after="0" w:line="240" w:lineRule="auto"/>
      </w:pPr>
      <w:r>
        <w:continuationSeparator/>
      </w:r>
    </w:p>
  </w:footnote>
  <w:footnote w:id="1">
    <w:p w14:paraId="7338AF21" w14:textId="764BFB04"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Style w:val="normaltextrun"/>
          <w:rFonts w:ascii="Agency FB" w:hAnsi="Agency FB"/>
          <w:bCs/>
          <w:color w:val="000000"/>
          <w:szCs w:val="24"/>
          <w:shd w:val="clear" w:color="auto" w:fill="FFFFFF"/>
        </w:rPr>
        <w:t>01PrimeraInstancia, 01Demanda, p. 1 - 4</w:t>
      </w:r>
      <w:r w:rsidRPr="001354D9">
        <w:rPr>
          <w:rFonts w:ascii="Agency FB" w:hAnsi="Agency FB"/>
          <w:szCs w:val="24"/>
        </w:rPr>
        <w:t xml:space="preserve"> </w:t>
      </w:r>
    </w:p>
  </w:footnote>
  <w:footnote w:id="2">
    <w:p w14:paraId="17A5F7B3" w14:textId="08A0C6FD"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Style w:val="normaltextrun"/>
          <w:rFonts w:ascii="Agency FB" w:hAnsi="Agency FB"/>
          <w:bCs/>
          <w:color w:val="000000"/>
          <w:szCs w:val="24"/>
          <w:shd w:val="clear" w:color="auto" w:fill="FFFFFF"/>
        </w:rPr>
        <w:t>01PrimeraInstancia, 01Demanda,</w:t>
      </w:r>
      <w:r w:rsidRPr="001354D9">
        <w:rPr>
          <w:rFonts w:ascii="Agency FB" w:hAnsi="Agency FB"/>
          <w:szCs w:val="24"/>
        </w:rPr>
        <w:t xml:space="preserve"> </w:t>
      </w:r>
      <w:r w:rsidRPr="001354D9">
        <w:rPr>
          <w:rStyle w:val="normaltextrun"/>
          <w:rFonts w:ascii="Agency FB" w:hAnsi="Agency FB"/>
          <w:bCs/>
          <w:color w:val="000000"/>
          <w:szCs w:val="24"/>
          <w:shd w:val="clear" w:color="auto" w:fill="FFFFFF"/>
          <w:lang w:val="es-ES"/>
        </w:rPr>
        <w:t>p. 4-6</w:t>
      </w:r>
    </w:p>
  </w:footnote>
  <w:footnote w:id="3">
    <w:p w14:paraId="43665EC0" w14:textId="7AFCB4BA" w:rsidR="00F82649" w:rsidRPr="001354D9" w:rsidRDefault="00F82649" w:rsidP="001354D9">
      <w:pPr>
        <w:pStyle w:val="Textonotapie"/>
        <w:jc w:val="both"/>
        <w:rPr>
          <w:rFonts w:ascii="Agency FB" w:hAnsi="Agency FB"/>
          <w:szCs w:val="24"/>
          <w:lang w:val="es-ES"/>
        </w:rPr>
      </w:pPr>
      <w:r w:rsidRPr="001354D9">
        <w:rPr>
          <w:rStyle w:val="Refdenotaalpie"/>
          <w:rFonts w:ascii="Agency FB" w:hAnsi="Agency FB"/>
          <w:szCs w:val="24"/>
        </w:rPr>
        <w:footnoteRef/>
      </w:r>
      <w:r w:rsidRPr="001354D9">
        <w:rPr>
          <w:rFonts w:ascii="Agency FB" w:hAnsi="Agency FB"/>
          <w:szCs w:val="24"/>
        </w:rPr>
        <w:t xml:space="preserve"> 01PrimeraInstancia, archivo 3</w:t>
      </w:r>
    </w:p>
  </w:footnote>
  <w:footnote w:id="4">
    <w:p w14:paraId="30C437D6" w14:textId="6ED9C195"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01PrimeraInstancia, archivo 4</w:t>
      </w:r>
    </w:p>
  </w:footnote>
  <w:footnote w:id="5">
    <w:p w14:paraId="583D0EEE" w14:textId="375FAD82"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01PrimeraInstancia, archivo 6</w:t>
      </w:r>
    </w:p>
  </w:footnote>
  <w:footnote w:id="6">
    <w:p w14:paraId="24CBEB07" w14:textId="7D33E476"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01PrimeraInstancia, archivo 8</w:t>
      </w:r>
    </w:p>
  </w:footnote>
  <w:footnote w:id="7">
    <w:p w14:paraId="68DAF63E" w14:textId="77777777"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01PrimeraInstancia, archivo 9</w:t>
      </w:r>
    </w:p>
  </w:footnote>
  <w:footnote w:id="8">
    <w:p w14:paraId="11D749B8" w14:textId="71751012"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01PrimeraInstancia, archivo 11, CuadernoNro. 2 Llamamiento en garantia</w:t>
      </w:r>
    </w:p>
  </w:footnote>
  <w:footnote w:id="9">
    <w:p w14:paraId="3CE56ABB" w14:textId="3206B94E"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01PrimeraInstancia, archivo 11, CuadernoNro. 2 Llamamiento en garantía, p. 12</w:t>
      </w:r>
    </w:p>
  </w:footnote>
  <w:footnote w:id="10">
    <w:p w14:paraId="34DC8975" w14:textId="35B5138C"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01PrimeraInstancia, archivos 19 y 20</w:t>
      </w:r>
    </w:p>
  </w:footnote>
  <w:footnote w:id="11">
    <w:p w14:paraId="1DF3E837" w14:textId="732F2741"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01PrimeraInstancia, archivo 72 y 73</w:t>
      </w:r>
    </w:p>
  </w:footnote>
  <w:footnote w:id="12">
    <w:p w14:paraId="4958B4DF" w14:textId="70FCCAF0"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01PrimeraInstancia, archivo 74</w:t>
      </w:r>
    </w:p>
  </w:footnote>
  <w:footnote w:id="13">
    <w:p w14:paraId="32ED7924" w14:textId="57781ED7" w:rsidR="00F82649" w:rsidRPr="00AC07DC"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02SegundaInstancia, archivo 07</w:t>
      </w:r>
    </w:p>
  </w:footnote>
  <w:footnote w:id="14">
    <w:p w14:paraId="3778273A" w14:textId="77777777" w:rsidR="00F82649" w:rsidRPr="001354D9" w:rsidRDefault="00F82649" w:rsidP="001354D9">
      <w:pPr>
        <w:pStyle w:val="Textonotapie"/>
        <w:jc w:val="both"/>
        <w:rPr>
          <w:rFonts w:ascii="Agency FB" w:hAnsi="Agency FB" w:cs="Arial"/>
          <w:szCs w:val="24"/>
          <w:lang w:val="es-419"/>
        </w:rPr>
      </w:pPr>
      <w:r w:rsidRPr="001354D9">
        <w:rPr>
          <w:rStyle w:val="Refdenotaalpie"/>
          <w:rFonts w:ascii="Agency FB" w:hAnsi="Agency FB" w:cs="Arial"/>
          <w:szCs w:val="24"/>
        </w:rPr>
        <w:footnoteRef/>
      </w:r>
      <w:r w:rsidRPr="001354D9">
        <w:rPr>
          <w:rFonts w:ascii="Agency FB" w:hAnsi="Agency FB" w:cs="Arial"/>
          <w:szCs w:val="24"/>
        </w:rPr>
        <w:t xml:space="preserve"> S</w:t>
      </w:r>
      <w:r w:rsidRPr="001354D9">
        <w:rPr>
          <w:rFonts w:ascii="Agency FB" w:eastAsia="Malgun Gothic" w:hAnsi="Agency FB" w:cs="Arial"/>
          <w:bCs/>
          <w:szCs w:val="24"/>
        </w:rPr>
        <w:t xml:space="preserve">entencia del 19 de junio de 2018, radicado </w:t>
      </w:r>
      <w:r w:rsidRPr="001354D9">
        <w:rPr>
          <w:rFonts w:ascii="Agency FB" w:hAnsi="Agency FB" w:cs="Arial"/>
          <w:szCs w:val="24"/>
        </w:rPr>
        <w:t xml:space="preserve">2011-00193-01, </w:t>
      </w:r>
    </w:p>
  </w:footnote>
  <w:footnote w:id="15">
    <w:p w14:paraId="17859E16" w14:textId="77777777" w:rsidR="00F82649" w:rsidRPr="001354D9" w:rsidRDefault="00F82649" w:rsidP="001354D9">
      <w:pPr>
        <w:pStyle w:val="Textonotapie"/>
        <w:jc w:val="both"/>
        <w:rPr>
          <w:rFonts w:ascii="Agency FB" w:hAnsi="Agency FB" w:cs="Arial"/>
          <w:szCs w:val="24"/>
          <w:lang w:val="es-419"/>
        </w:rPr>
      </w:pPr>
      <w:r w:rsidRPr="001354D9">
        <w:rPr>
          <w:rStyle w:val="Refdenotaalpie"/>
          <w:rFonts w:ascii="Agency FB" w:hAnsi="Agency FB" w:cs="Arial"/>
          <w:szCs w:val="24"/>
        </w:rPr>
        <w:footnoteRef/>
      </w:r>
      <w:r w:rsidRPr="001354D9">
        <w:rPr>
          <w:rFonts w:ascii="Agency FB" w:hAnsi="Agency FB" w:cs="Arial"/>
          <w:szCs w:val="24"/>
        </w:rPr>
        <w:t xml:space="preserve"> Sentencia del 19 de junio de 2020, radicado 2019-00046-01, M.P. Duberney Grisales Herrera.</w:t>
      </w:r>
    </w:p>
  </w:footnote>
  <w:footnote w:id="16">
    <w:p w14:paraId="7C0E6670" w14:textId="77777777" w:rsidR="00F82649" w:rsidRPr="001354D9" w:rsidRDefault="00F82649" w:rsidP="001354D9">
      <w:pPr>
        <w:pStyle w:val="Textonotapie"/>
        <w:jc w:val="both"/>
        <w:rPr>
          <w:rFonts w:ascii="Agency FB" w:hAnsi="Agency FB" w:cs="Arial"/>
          <w:szCs w:val="24"/>
          <w:lang w:val="es-419"/>
        </w:rPr>
      </w:pPr>
      <w:r w:rsidRPr="001354D9">
        <w:rPr>
          <w:rStyle w:val="Refdenotaalpie"/>
          <w:rFonts w:ascii="Agency FB" w:hAnsi="Agency FB" w:cs="Arial"/>
          <w:szCs w:val="24"/>
        </w:rPr>
        <w:footnoteRef/>
      </w:r>
      <w:r w:rsidRPr="001354D9">
        <w:rPr>
          <w:rFonts w:ascii="Agency FB" w:hAnsi="Agency FB" w:cs="Arial"/>
          <w:szCs w:val="24"/>
        </w:rPr>
        <w:t xml:space="preserve"> STC9587-2017, STC15273-2019, STC11328-2019 </w:t>
      </w:r>
      <w:r w:rsidRPr="001354D9">
        <w:rPr>
          <w:rFonts w:ascii="Agency FB" w:hAnsi="Agency FB" w:cs="Arial"/>
          <w:szCs w:val="24"/>
          <w:shd w:val="clear" w:color="auto" w:fill="FFFFFF"/>
        </w:rPr>
        <w:t>y STC100-2019</w:t>
      </w:r>
    </w:p>
  </w:footnote>
  <w:footnote w:id="17">
    <w:p w14:paraId="4F7CDC95" w14:textId="77777777" w:rsidR="00F82649" w:rsidRPr="001354D9" w:rsidRDefault="00F82649" w:rsidP="001354D9">
      <w:pPr>
        <w:pStyle w:val="Textonotapie"/>
        <w:jc w:val="both"/>
        <w:rPr>
          <w:rFonts w:ascii="Agency FB" w:hAnsi="Agency FB" w:cs="Arial"/>
          <w:szCs w:val="24"/>
          <w:lang w:val="es-419"/>
        </w:rPr>
      </w:pPr>
      <w:r w:rsidRPr="001354D9">
        <w:rPr>
          <w:rStyle w:val="Refdenotaalpie"/>
          <w:rFonts w:ascii="Agency FB" w:hAnsi="Agency FB" w:cs="Arial"/>
          <w:szCs w:val="24"/>
        </w:rPr>
        <w:footnoteRef/>
      </w:r>
      <w:r w:rsidRPr="001354D9">
        <w:rPr>
          <w:rFonts w:ascii="Agency FB" w:hAnsi="Agency FB" w:cs="Arial"/>
          <w:szCs w:val="24"/>
        </w:rPr>
        <w:t xml:space="preserve"> </w:t>
      </w:r>
      <w:r w:rsidRPr="001354D9">
        <w:rPr>
          <w:rFonts w:ascii="Agency FB" w:hAnsi="Agency FB" w:cs="Arial"/>
          <w:szCs w:val="24"/>
          <w:shd w:val="clear" w:color="auto" w:fill="FFFFFF"/>
        </w:rPr>
        <w:t>SC2351-2019.</w:t>
      </w:r>
    </w:p>
  </w:footnote>
  <w:footnote w:id="18">
    <w:p w14:paraId="042730C0" w14:textId="10D20E9A" w:rsidR="00F82649" w:rsidRPr="001354D9" w:rsidRDefault="00F82649" w:rsidP="001354D9">
      <w:pPr>
        <w:pStyle w:val="Textonotapie"/>
        <w:tabs>
          <w:tab w:val="left" w:pos="142"/>
          <w:tab w:val="left" w:pos="284"/>
        </w:tabs>
        <w:jc w:val="both"/>
        <w:rPr>
          <w:rFonts w:ascii="Agency FB" w:hAnsi="Agency FB"/>
          <w:szCs w:val="24"/>
        </w:rPr>
      </w:pPr>
      <w:r w:rsidRPr="001354D9">
        <w:rPr>
          <w:rFonts w:ascii="Agency FB" w:hAnsi="Agency FB"/>
          <w:szCs w:val="24"/>
          <w:vertAlign w:val="superscript"/>
        </w:rPr>
        <w:footnoteRef/>
      </w:r>
      <w:r w:rsidRPr="001354D9">
        <w:rPr>
          <w:rFonts w:ascii="Agency FB" w:hAnsi="Agency FB"/>
          <w:szCs w:val="24"/>
        </w:rPr>
        <w:t xml:space="preserve"> Por ejemplo, en la sentencia del 21-08-2020, radicado 66001310300320170035301 y recientemente en las sentencias SC-0023-2022 y SC-0024-2022.</w:t>
      </w:r>
    </w:p>
  </w:footnote>
  <w:footnote w:id="19">
    <w:p w14:paraId="2F4097A7" w14:textId="52F6A8CB"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Para comprenderlo se puede ver la sentencia SC2111-2021, con ponencia del Magistrado Luis Armando Tolosa Villabona, que hace énfasis en una presunción de responsabilidad y no de culpa. Sin embargo, para el momento en que se adoptó, participaron solo seis magistrados, de los cuales cuatro aclararon voto, uno de ellos, para adherirse a la teoría de la presunción de responsabilidad, pero los otros tres para dejar sentado que el régimen es de culpa presunta, igual que ocurrió con la sentencia SC4420-2020, lo que indica que esa tesis no alcanza aún en la Corte una mayoría.</w:t>
      </w:r>
    </w:p>
  </w:footnote>
  <w:footnote w:id="20">
    <w:p w14:paraId="6941BB28" w14:textId="3B9E197D" w:rsidR="00F82649" w:rsidRPr="001354D9" w:rsidRDefault="00F82649" w:rsidP="001354D9">
      <w:pPr>
        <w:pStyle w:val="Textonotapie"/>
        <w:jc w:val="both"/>
        <w:rPr>
          <w:rFonts w:ascii="Agency FB" w:hAnsi="Agency FB"/>
          <w:szCs w:val="24"/>
        </w:rPr>
      </w:pPr>
      <w:r w:rsidRPr="001354D9">
        <w:rPr>
          <w:rStyle w:val="Refdenotaalpie"/>
          <w:rFonts w:ascii="Agency FB" w:hAnsi="Agency FB"/>
          <w:szCs w:val="24"/>
        </w:rPr>
        <w:footnoteRef/>
      </w:r>
      <w:r w:rsidRPr="001354D9">
        <w:rPr>
          <w:rFonts w:ascii="Agency FB" w:hAnsi="Agency FB"/>
          <w:szCs w:val="24"/>
        </w:rPr>
        <w:t xml:space="preserve"> 01. Primera instancia, cuaderno principal, archivo 72 MP4, Audiencia Artículo 373 CGP, parte 5, tiempo 2:03:55; archivo 74 y archivo 07 de segunda instancia. </w:t>
      </w:r>
    </w:p>
  </w:footnote>
  <w:footnote w:id="21">
    <w:p w14:paraId="0A06A583" w14:textId="6BA4B9D0"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w:t>
      </w:r>
      <w:r w:rsidRPr="001354D9">
        <w:rPr>
          <w:rFonts w:ascii="Agency FB" w:hAnsi="Agency FB"/>
          <w:szCs w:val="24"/>
          <w:lang w:val="es-419"/>
        </w:rPr>
        <w:t>TSP-SC-0083-2021</w:t>
      </w:r>
    </w:p>
  </w:footnote>
  <w:footnote w:id="22">
    <w:p w14:paraId="6E2B3E56" w14:textId="21C0ED4C"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TSP. SC-0080-2021</w:t>
      </w:r>
    </w:p>
  </w:footnote>
  <w:footnote w:id="23">
    <w:p w14:paraId="4CDDBD6D" w14:textId="27CCBEE6"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CSJ. STC-2066-2021 y STC-7722-2021</w:t>
      </w:r>
    </w:p>
  </w:footnote>
  <w:footnote w:id="24">
    <w:p w14:paraId="28AB19CF" w14:textId="52FE56FF"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TS, Civil-Familia. Sentencias (1) 20-09-2019, No.2016-01465-01; MP: Grisales H. y, Autos (1) 03-02- 2021, No.2015-00262-01; y (2) 17-04-2018, No. 2016-00279, ambos del MS: Grisales H.</w:t>
      </w:r>
    </w:p>
  </w:footnote>
  <w:footnote w:id="25">
    <w:p w14:paraId="0456A459" w14:textId="571CA021"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w:t>
      </w:r>
      <w:r w:rsidR="00B81129" w:rsidRPr="001354D9">
        <w:rPr>
          <w:rFonts w:ascii="Agency FB" w:hAnsi="Agency FB"/>
          <w:szCs w:val="24"/>
        </w:rPr>
        <w:t>TSP-</w:t>
      </w:r>
      <w:r w:rsidRPr="001354D9">
        <w:rPr>
          <w:rFonts w:ascii="Agency FB" w:hAnsi="Agency FB"/>
          <w:szCs w:val="24"/>
          <w:lang w:val="es-419"/>
        </w:rPr>
        <w:t>SF-0005-2022</w:t>
      </w:r>
    </w:p>
  </w:footnote>
  <w:footnote w:id="26">
    <w:p w14:paraId="46726E9A" w14:textId="206DA17F"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w:t>
      </w:r>
      <w:r w:rsidR="00B81129" w:rsidRPr="001354D9">
        <w:rPr>
          <w:rFonts w:ascii="Agency FB" w:hAnsi="Agency FB"/>
          <w:szCs w:val="24"/>
        </w:rPr>
        <w:t>TSP-</w:t>
      </w:r>
      <w:r w:rsidRPr="001354D9">
        <w:rPr>
          <w:rFonts w:ascii="Agency FB" w:hAnsi="Agency FB" w:cs="Arial"/>
          <w:szCs w:val="24"/>
          <w:shd w:val="clear" w:color="auto" w:fill="FAF9F8"/>
        </w:rPr>
        <w:t>SC795-2021</w:t>
      </w:r>
    </w:p>
  </w:footnote>
  <w:footnote w:id="27">
    <w:p w14:paraId="78E9D5B6" w14:textId="2F379FFB"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w:t>
      </w:r>
      <w:r w:rsidRPr="001354D9">
        <w:rPr>
          <w:rFonts w:ascii="Agency FB" w:hAnsi="Agency FB" w:cs="Arial"/>
          <w:szCs w:val="24"/>
          <w:shd w:val="clear" w:color="auto" w:fill="FAF9F8"/>
        </w:rPr>
        <w:t>Sentencia de marzo 11 de 2020, radicado 66001311000120160005403, M.P. Duberney Grisales Herrera</w:t>
      </w:r>
    </w:p>
  </w:footnote>
  <w:footnote w:id="28">
    <w:p w14:paraId="613E795B" w14:textId="2FAC19A2"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w:t>
      </w:r>
      <w:r w:rsidRPr="001354D9">
        <w:rPr>
          <w:rFonts w:ascii="Agency FB" w:hAnsi="Agency FB" w:cs="Arial"/>
          <w:szCs w:val="24"/>
          <w:shd w:val="clear" w:color="auto" w:fill="FAF9F8"/>
        </w:rPr>
        <w:t>CSJ, Civil. Sentencia del 07-09-1993; MP: Jaramillo S., No.3475.</w:t>
      </w:r>
    </w:p>
  </w:footnote>
  <w:footnote w:id="29">
    <w:p w14:paraId="00E8FDD0" w14:textId="369E6909"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w:t>
      </w:r>
      <w:r w:rsidRPr="001354D9">
        <w:rPr>
          <w:rFonts w:ascii="Agency FB" w:hAnsi="Agency FB" w:cs="Arial"/>
          <w:szCs w:val="24"/>
          <w:shd w:val="clear" w:color="auto" w:fill="FAF9F8"/>
        </w:rPr>
        <w:t>AZULA C., Jaime. Manual de derecho probatorio, Temis, Bogotá DC, 2015, p.99 y ss.</w:t>
      </w:r>
    </w:p>
  </w:footnote>
  <w:footnote w:id="30">
    <w:p w14:paraId="4CDB26EB" w14:textId="286DE853"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w:t>
      </w:r>
      <w:r w:rsidRPr="001354D9">
        <w:rPr>
          <w:rFonts w:ascii="Agency FB" w:hAnsi="Agency FB" w:cs="Arial"/>
          <w:szCs w:val="24"/>
          <w:shd w:val="clear" w:color="auto" w:fill="FAF9F8"/>
        </w:rPr>
        <w:t>CSJ. SC-1859(sic)-2016.(La nomenclatura en realidad es 18595-2016).</w:t>
      </w:r>
    </w:p>
  </w:footnote>
  <w:footnote w:id="31">
    <w:p w14:paraId="2BB44CFF" w14:textId="2ECE6839" w:rsidR="00F82649" w:rsidRPr="001354D9" w:rsidRDefault="00F82649" w:rsidP="001354D9">
      <w:pPr>
        <w:pStyle w:val="Textonotapie"/>
        <w:jc w:val="both"/>
        <w:rPr>
          <w:rFonts w:ascii="Agency FB" w:hAnsi="Agency FB"/>
          <w:szCs w:val="24"/>
          <w:lang w:val="es-419"/>
        </w:rPr>
      </w:pPr>
      <w:r w:rsidRPr="001354D9">
        <w:rPr>
          <w:rStyle w:val="Refdenotaalpie"/>
          <w:rFonts w:ascii="Agency FB" w:hAnsi="Agency FB"/>
          <w:szCs w:val="24"/>
        </w:rPr>
        <w:footnoteRef/>
      </w:r>
      <w:r w:rsidRPr="001354D9">
        <w:rPr>
          <w:rFonts w:ascii="Agency FB" w:hAnsi="Agency FB"/>
          <w:szCs w:val="24"/>
        </w:rPr>
        <w:t xml:space="preserve"> </w:t>
      </w:r>
      <w:r w:rsidRPr="001354D9">
        <w:rPr>
          <w:rFonts w:ascii="Agency FB" w:hAnsi="Agency FB"/>
          <w:szCs w:val="24"/>
          <w:lang w:val="es-419"/>
        </w:rPr>
        <w:t>Arch. 71, AudioNo4, 56:18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3B52010B"/>
    <w:multiLevelType w:val="multilevel"/>
    <w:tmpl w:val="42CAB2FA"/>
    <w:lvl w:ilvl="0">
      <w:start w:val="1"/>
      <w:numFmt w:val="decimal"/>
      <w:lvlText w:val="%1."/>
      <w:lvlJc w:val="left"/>
      <w:pPr>
        <w:ind w:left="3195" w:hanging="360"/>
      </w:pPr>
    </w:lvl>
    <w:lvl w:ilvl="1">
      <w:start w:val="1"/>
      <w:numFmt w:val="decimal"/>
      <w:isLgl/>
      <w:lvlText w:val="%1.%2."/>
      <w:lvlJc w:val="left"/>
      <w:pPr>
        <w:ind w:left="3555" w:hanging="720"/>
      </w:pPr>
      <w:rPr>
        <w:rFonts w:ascii="Gadugi" w:hAnsi="Gadugi" w:hint="default"/>
        <w:b w:val="0"/>
        <w:i w:val="0"/>
        <w:color w:val="auto"/>
        <w:sz w:val="28"/>
        <w:szCs w:val="28"/>
      </w:rPr>
    </w:lvl>
    <w:lvl w:ilvl="2">
      <w:start w:val="1"/>
      <w:numFmt w:val="decimal"/>
      <w:isLgl/>
      <w:lvlText w:val="%1.%2.%3."/>
      <w:lvlJc w:val="left"/>
      <w:pPr>
        <w:ind w:left="3555" w:hanging="720"/>
      </w:pPr>
      <w:rPr>
        <w:sz w:val="28"/>
        <w:szCs w:val="28"/>
      </w:r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2"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4"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15:restartNumberingAfterBreak="0">
    <w:nsid w:val="56C61F28"/>
    <w:multiLevelType w:val="hybridMultilevel"/>
    <w:tmpl w:val="F2AC5024"/>
    <w:lvl w:ilvl="0" w:tplc="D0BEC8CC">
      <w:start w:val="3"/>
      <w:numFmt w:val="decimal"/>
      <w:lvlText w:val="%1."/>
      <w:lvlJc w:val="left"/>
      <w:pPr>
        <w:ind w:left="3555" w:hanging="360"/>
      </w:pPr>
      <w:rPr>
        <w:rFonts w:hint="default"/>
      </w:rPr>
    </w:lvl>
    <w:lvl w:ilvl="1" w:tplc="240A0019" w:tentative="1">
      <w:start w:val="1"/>
      <w:numFmt w:val="lowerLetter"/>
      <w:lvlText w:val="%2."/>
      <w:lvlJc w:val="left"/>
      <w:pPr>
        <w:ind w:left="4275" w:hanging="360"/>
      </w:pPr>
    </w:lvl>
    <w:lvl w:ilvl="2" w:tplc="240A001B" w:tentative="1">
      <w:start w:val="1"/>
      <w:numFmt w:val="lowerRoman"/>
      <w:lvlText w:val="%3."/>
      <w:lvlJc w:val="right"/>
      <w:pPr>
        <w:ind w:left="4995" w:hanging="180"/>
      </w:pPr>
    </w:lvl>
    <w:lvl w:ilvl="3" w:tplc="240A000F" w:tentative="1">
      <w:start w:val="1"/>
      <w:numFmt w:val="decimal"/>
      <w:lvlText w:val="%4."/>
      <w:lvlJc w:val="left"/>
      <w:pPr>
        <w:ind w:left="5715" w:hanging="360"/>
      </w:pPr>
    </w:lvl>
    <w:lvl w:ilvl="4" w:tplc="240A0019" w:tentative="1">
      <w:start w:val="1"/>
      <w:numFmt w:val="lowerLetter"/>
      <w:lvlText w:val="%5."/>
      <w:lvlJc w:val="left"/>
      <w:pPr>
        <w:ind w:left="6435" w:hanging="360"/>
      </w:pPr>
    </w:lvl>
    <w:lvl w:ilvl="5" w:tplc="240A001B" w:tentative="1">
      <w:start w:val="1"/>
      <w:numFmt w:val="lowerRoman"/>
      <w:lvlText w:val="%6."/>
      <w:lvlJc w:val="right"/>
      <w:pPr>
        <w:ind w:left="7155" w:hanging="180"/>
      </w:pPr>
    </w:lvl>
    <w:lvl w:ilvl="6" w:tplc="240A000F" w:tentative="1">
      <w:start w:val="1"/>
      <w:numFmt w:val="decimal"/>
      <w:lvlText w:val="%7."/>
      <w:lvlJc w:val="left"/>
      <w:pPr>
        <w:ind w:left="7875" w:hanging="360"/>
      </w:pPr>
    </w:lvl>
    <w:lvl w:ilvl="7" w:tplc="240A0019" w:tentative="1">
      <w:start w:val="1"/>
      <w:numFmt w:val="lowerLetter"/>
      <w:lvlText w:val="%8."/>
      <w:lvlJc w:val="left"/>
      <w:pPr>
        <w:ind w:left="8595" w:hanging="360"/>
      </w:pPr>
    </w:lvl>
    <w:lvl w:ilvl="8" w:tplc="240A001B" w:tentative="1">
      <w:start w:val="1"/>
      <w:numFmt w:val="lowerRoman"/>
      <w:lvlText w:val="%9."/>
      <w:lvlJc w:val="right"/>
      <w:pPr>
        <w:ind w:left="9315" w:hanging="180"/>
      </w:pPr>
    </w:lvl>
  </w:abstractNum>
  <w:abstractNum w:abstractNumId="6" w15:restartNumberingAfterBreak="0">
    <w:nsid w:val="56F66E08"/>
    <w:multiLevelType w:val="hybridMultilevel"/>
    <w:tmpl w:val="BB02EB52"/>
    <w:lvl w:ilvl="0" w:tplc="41C0F2A2">
      <w:start w:val="3"/>
      <w:numFmt w:val="decimal"/>
      <w:lvlText w:val="%1."/>
      <w:lvlJc w:val="left"/>
      <w:pPr>
        <w:ind w:left="3555" w:hanging="360"/>
      </w:pPr>
      <w:rPr>
        <w:rFonts w:hint="default"/>
      </w:rPr>
    </w:lvl>
    <w:lvl w:ilvl="1" w:tplc="240A0019" w:tentative="1">
      <w:start w:val="1"/>
      <w:numFmt w:val="lowerLetter"/>
      <w:lvlText w:val="%2."/>
      <w:lvlJc w:val="left"/>
      <w:pPr>
        <w:ind w:left="4275" w:hanging="360"/>
      </w:pPr>
    </w:lvl>
    <w:lvl w:ilvl="2" w:tplc="240A001B" w:tentative="1">
      <w:start w:val="1"/>
      <w:numFmt w:val="lowerRoman"/>
      <w:lvlText w:val="%3."/>
      <w:lvlJc w:val="right"/>
      <w:pPr>
        <w:ind w:left="4995" w:hanging="180"/>
      </w:pPr>
    </w:lvl>
    <w:lvl w:ilvl="3" w:tplc="240A000F" w:tentative="1">
      <w:start w:val="1"/>
      <w:numFmt w:val="decimal"/>
      <w:lvlText w:val="%4."/>
      <w:lvlJc w:val="left"/>
      <w:pPr>
        <w:ind w:left="5715" w:hanging="360"/>
      </w:pPr>
    </w:lvl>
    <w:lvl w:ilvl="4" w:tplc="240A0019" w:tentative="1">
      <w:start w:val="1"/>
      <w:numFmt w:val="lowerLetter"/>
      <w:lvlText w:val="%5."/>
      <w:lvlJc w:val="left"/>
      <w:pPr>
        <w:ind w:left="6435" w:hanging="360"/>
      </w:pPr>
    </w:lvl>
    <w:lvl w:ilvl="5" w:tplc="240A001B" w:tentative="1">
      <w:start w:val="1"/>
      <w:numFmt w:val="lowerRoman"/>
      <w:lvlText w:val="%6."/>
      <w:lvlJc w:val="right"/>
      <w:pPr>
        <w:ind w:left="7155" w:hanging="180"/>
      </w:pPr>
    </w:lvl>
    <w:lvl w:ilvl="6" w:tplc="240A000F" w:tentative="1">
      <w:start w:val="1"/>
      <w:numFmt w:val="decimal"/>
      <w:lvlText w:val="%7."/>
      <w:lvlJc w:val="left"/>
      <w:pPr>
        <w:ind w:left="7875" w:hanging="360"/>
      </w:pPr>
    </w:lvl>
    <w:lvl w:ilvl="7" w:tplc="240A0019" w:tentative="1">
      <w:start w:val="1"/>
      <w:numFmt w:val="lowerLetter"/>
      <w:lvlText w:val="%8."/>
      <w:lvlJc w:val="left"/>
      <w:pPr>
        <w:ind w:left="8595" w:hanging="360"/>
      </w:pPr>
    </w:lvl>
    <w:lvl w:ilvl="8" w:tplc="240A001B" w:tentative="1">
      <w:start w:val="1"/>
      <w:numFmt w:val="lowerRoman"/>
      <w:lvlText w:val="%9."/>
      <w:lvlJc w:val="right"/>
      <w:pPr>
        <w:ind w:left="9315" w:hanging="180"/>
      </w:pPr>
    </w:lvl>
  </w:abstractNum>
  <w:abstractNum w:abstractNumId="7"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8"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2"/>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1"/>
    <w:rsid w:val="00005EAD"/>
    <w:rsid w:val="00006EDF"/>
    <w:rsid w:val="00025774"/>
    <w:rsid w:val="00035B28"/>
    <w:rsid w:val="00036B62"/>
    <w:rsid w:val="00037342"/>
    <w:rsid w:val="00037AD8"/>
    <w:rsid w:val="00037BE9"/>
    <w:rsid w:val="00051F03"/>
    <w:rsid w:val="00053A37"/>
    <w:rsid w:val="000545FB"/>
    <w:rsid w:val="00055152"/>
    <w:rsid w:val="00062945"/>
    <w:rsid w:val="00073AB3"/>
    <w:rsid w:val="00074586"/>
    <w:rsid w:val="00074C3B"/>
    <w:rsid w:val="00083F72"/>
    <w:rsid w:val="00087B33"/>
    <w:rsid w:val="00087E99"/>
    <w:rsid w:val="000A3914"/>
    <w:rsid w:val="000A5323"/>
    <w:rsid w:val="000A7BC9"/>
    <w:rsid w:val="000B31E0"/>
    <w:rsid w:val="000B5F47"/>
    <w:rsid w:val="000B6A91"/>
    <w:rsid w:val="000C577E"/>
    <w:rsid w:val="000E0BED"/>
    <w:rsid w:val="000E2D20"/>
    <w:rsid w:val="000E648C"/>
    <w:rsid w:val="000E6C59"/>
    <w:rsid w:val="000F7A18"/>
    <w:rsid w:val="001024A0"/>
    <w:rsid w:val="0010471C"/>
    <w:rsid w:val="001128D8"/>
    <w:rsid w:val="00113756"/>
    <w:rsid w:val="00121CC0"/>
    <w:rsid w:val="0012253E"/>
    <w:rsid w:val="00125868"/>
    <w:rsid w:val="00131A0C"/>
    <w:rsid w:val="00131A70"/>
    <w:rsid w:val="001342C5"/>
    <w:rsid w:val="001354D9"/>
    <w:rsid w:val="00137524"/>
    <w:rsid w:val="00143958"/>
    <w:rsid w:val="00150FE5"/>
    <w:rsid w:val="001528A0"/>
    <w:rsid w:val="00153A31"/>
    <w:rsid w:val="00162D62"/>
    <w:rsid w:val="00163E9C"/>
    <w:rsid w:val="00166107"/>
    <w:rsid w:val="0016691A"/>
    <w:rsid w:val="001717FC"/>
    <w:rsid w:val="00173CB2"/>
    <w:rsid w:val="00174C11"/>
    <w:rsid w:val="00181A95"/>
    <w:rsid w:val="00185375"/>
    <w:rsid w:val="00186475"/>
    <w:rsid w:val="00190340"/>
    <w:rsid w:val="00190A5E"/>
    <w:rsid w:val="00195549"/>
    <w:rsid w:val="00196F44"/>
    <w:rsid w:val="001B0ACA"/>
    <w:rsid w:val="001B2009"/>
    <w:rsid w:val="001B3851"/>
    <w:rsid w:val="001B39FE"/>
    <w:rsid w:val="001C2919"/>
    <w:rsid w:val="001C4934"/>
    <w:rsid w:val="001C50E8"/>
    <w:rsid w:val="001D01C4"/>
    <w:rsid w:val="001D1113"/>
    <w:rsid w:val="001D611E"/>
    <w:rsid w:val="001D7FA9"/>
    <w:rsid w:val="001E207A"/>
    <w:rsid w:val="001E3202"/>
    <w:rsid w:val="001E6187"/>
    <w:rsid w:val="001F5539"/>
    <w:rsid w:val="002021B2"/>
    <w:rsid w:val="00204DD9"/>
    <w:rsid w:val="00210A79"/>
    <w:rsid w:val="00211B74"/>
    <w:rsid w:val="00211CD3"/>
    <w:rsid w:val="0021479C"/>
    <w:rsid w:val="00215F50"/>
    <w:rsid w:val="002231CA"/>
    <w:rsid w:val="002271F1"/>
    <w:rsid w:val="0023309F"/>
    <w:rsid w:val="002371B6"/>
    <w:rsid w:val="00242641"/>
    <w:rsid w:val="00244280"/>
    <w:rsid w:val="0024496B"/>
    <w:rsid w:val="00244E2F"/>
    <w:rsid w:val="00244F5F"/>
    <w:rsid w:val="00245736"/>
    <w:rsid w:val="00246BB6"/>
    <w:rsid w:val="002471C0"/>
    <w:rsid w:val="00250E5E"/>
    <w:rsid w:val="00255B41"/>
    <w:rsid w:val="002622FA"/>
    <w:rsid w:val="00264C85"/>
    <w:rsid w:val="00267564"/>
    <w:rsid w:val="0027621D"/>
    <w:rsid w:val="0028189B"/>
    <w:rsid w:val="002830F3"/>
    <w:rsid w:val="00291791"/>
    <w:rsid w:val="00294763"/>
    <w:rsid w:val="00294A01"/>
    <w:rsid w:val="0029568C"/>
    <w:rsid w:val="00296805"/>
    <w:rsid w:val="002A0193"/>
    <w:rsid w:val="002A105B"/>
    <w:rsid w:val="002A14D4"/>
    <w:rsid w:val="002A5CA0"/>
    <w:rsid w:val="002A6EEC"/>
    <w:rsid w:val="002B65BC"/>
    <w:rsid w:val="002C4FE6"/>
    <w:rsid w:val="002C6D2A"/>
    <w:rsid w:val="002D1069"/>
    <w:rsid w:val="002E2B19"/>
    <w:rsid w:val="002F1D47"/>
    <w:rsid w:val="002F4B25"/>
    <w:rsid w:val="00300352"/>
    <w:rsid w:val="00305724"/>
    <w:rsid w:val="00315197"/>
    <w:rsid w:val="0031575F"/>
    <w:rsid w:val="0031593F"/>
    <w:rsid w:val="00315AA1"/>
    <w:rsid w:val="00316831"/>
    <w:rsid w:val="00317FC6"/>
    <w:rsid w:val="00320AC6"/>
    <w:rsid w:val="00321507"/>
    <w:rsid w:val="00324FD1"/>
    <w:rsid w:val="0032792B"/>
    <w:rsid w:val="00333D2A"/>
    <w:rsid w:val="003354E8"/>
    <w:rsid w:val="003405E6"/>
    <w:rsid w:val="003407D9"/>
    <w:rsid w:val="00344960"/>
    <w:rsid w:val="0035037A"/>
    <w:rsid w:val="0035082B"/>
    <w:rsid w:val="00352742"/>
    <w:rsid w:val="00353E9A"/>
    <w:rsid w:val="003559DD"/>
    <w:rsid w:val="0035736C"/>
    <w:rsid w:val="003621F9"/>
    <w:rsid w:val="003631B0"/>
    <w:rsid w:val="00367C81"/>
    <w:rsid w:val="00381920"/>
    <w:rsid w:val="0038415A"/>
    <w:rsid w:val="0039184B"/>
    <w:rsid w:val="00396D0A"/>
    <w:rsid w:val="003B1F8E"/>
    <w:rsid w:val="003B263F"/>
    <w:rsid w:val="003B6B0B"/>
    <w:rsid w:val="003B7392"/>
    <w:rsid w:val="003C4959"/>
    <w:rsid w:val="003C7A65"/>
    <w:rsid w:val="003D1402"/>
    <w:rsid w:val="003D47E8"/>
    <w:rsid w:val="003E1468"/>
    <w:rsid w:val="003E1E63"/>
    <w:rsid w:val="003E6133"/>
    <w:rsid w:val="003F0C8F"/>
    <w:rsid w:val="003F5522"/>
    <w:rsid w:val="003F6996"/>
    <w:rsid w:val="004101A9"/>
    <w:rsid w:val="0042016C"/>
    <w:rsid w:val="00423F56"/>
    <w:rsid w:val="00425B42"/>
    <w:rsid w:val="004323C3"/>
    <w:rsid w:val="0044510D"/>
    <w:rsid w:val="004500E3"/>
    <w:rsid w:val="00451CEB"/>
    <w:rsid w:val="00451CF9"/>
    <w:rsid w:val="00455E0E"/>
    <w:rsid w:val="00464AA9"/>
    <w:rsid w:val="00465ACC"/>
    <w:rsid w:val="00466DB6"/>
    <w:rsid w:val="00475837"/>
    <w:rsid w:val="0048333C"/>
    <w:rsid w:val="00483351"/>
    <w:rsid w:val="00483EA1"/>
    <w:rsid w:val="00486805"/>
    <w:rsid w:val="004920A9"/>
    <w:rsid w:val="00494C00"/>
    <w:rsid w:val="0049514D"/>
    <w:rsid w:val="00496D00"/>
    <w:rsid w:val="004A58C9"/>
    <w:rsid w:val="004B022B"/>
    <w:rsid w:val="004B29C7"/>
    <w:rsid w:val="004C2217"/>
    <w:rsid w:val="004C4277"/>
    <w:rsid w:val="004C5321"/>
    <w:rsid w:val="004C54B6"/>
    <w:rsid w:val="004C60A7"/>
    <w:rsid w:val="004D2C7A"/>
    <w:rsid w:val="004D35B7"/>
    <w:rsid w:val="004D69B0"/>
    <w:rsid w:val="004E0F1D"/>
    <w:rsid w:val="004E39B6"/>
    <w:rsid w:val="004F51DA"/>
    <w:rsid w:val="004F6EF0"/>
    <w:rsid w:val="00500341"/>
    <w:rsid w:val="005006C4"/>
    <w:rsid w:val="00502BDE"/>
    <w:rsid w:val="00506F18"/>
    <w:rsid w:val="0052116A"/>
    <w:rsid w:val="00521AA6"/>
    <w:rsid w:val="00526438"/>
    <w:rsid w:val="00526565"/>
    <w:rsid w:val="00527FF1"/>
    <w:rsid w:val="005374C8"/>
    <w:rsid w:val="00542A08"/>
    <w:rsid w:val="00546B5B"/>
    <w:rsid w:val="0055165F"/>
    <w:rsid w:val="005527A3"/>
    <w:rsid w:val="00552E52"/>
    <w:rsid w:val="0055381E"/>
    <w:rsid w:val="00553866"/>
    <w:rsid w:val="0055597D"/>
    <w:rsid w:val="00560D4E"/>
    <w:rsid w:val="0056534B"/>
    <w:rsid w:val="00567279"/>
    <w:rsid w:val="00574B99"/>
    <w:rsid w:val="00577E8E"/>
    <w:rsid w:val="00584E4E"/>
    <w:rsid w:val="005854A5"/>
    <w:rsid w:val="00590EE9"/>
    <w:rsid w:val="005922AB"/>
    <w:rsid w:val="00594C7F"/>
    <w:rsid w:val="005A1B2D"/>
    <w:rsid w:val="005A24D9"/>
    <w:rsid w:val="005B0DEB"/>
    <w:rsid w:val="005B11A8"/>
    <w:rsid w:val="005B5C58"/>
    <w:rsid w:val="005E1524"/>
    <w:rsid w:val="005E3605"/>
    <w:rsid w:val="005E3DC4"/>
    <w:rsid w:val="005E5E8E"/>
    <w:rsid w:val="005E66A1"/>
    <w:rsid w:val="005F156A"/>
    <w:rsid w:val="005F4BAF"/>
    <w:rsid w:val="005F7038"/>
    <w:rsid w:val="00602A09"/>
    <w:rsid w:val="0060494E"/>
    <w:rsid w:val="00607D46"/>
    <w:rsid w:val="00611058"/>
    <w:rsid w:val="00612C13"/>
    <w:rsid w:val="006204E6"/>
    <w:rsid w:val="00620FC2"/>
    <w:rsid w:val="00623090"/>
    <w:rsid w:val="00623B15"/>
    <w:rsid w:val="00625EDA"/>
    <w:rsid w:val="0063380B"/>
    <w:rsid w:val="00637BD7"/>
    <w:rsid w:val="00642D15"/>
    <w:rsid w:val="006436AF"/>
    <w:rsid w:val="00653179"/>
    <w:rsid w:val="0065532E"/>
    <w:rsid w:val="006576E4"/>
    <w:rsid w:val="00662428"/>
    <w:rsid w:val="00673FDE"/>
    <w:rsid w:val="00674FBD"/>
    <w:rsid w:val="00675F59"/>
    <w:rsid w:val="0068086C"/>
    <w:rsid w:val="006808A3"/>
    <w:rsid w:val="00683A53"/>
    <w:rsid w:val="00683C8B"/>
    <w:rsid w:val="006851D1"/>
    <w:rsid w:val="006912F1"/>
    <w:rsid w:val="006A001E"/>
    <w:rsid w:val="006A3C15"/>
    <w:rsid w:val="006A5EC4"/>
    <w:rsid w:val="006A6D3B"/>
    <w:rsid w:val="006B2314"/>
    <w:rsid w:val="006B24D9"/>
    <w:rsid w:val="006C081C"/>
    <w:rsid w:val="006C51F9"/>
    <w:rsid w:val="006C7059"/>
    <w:rsid w:val="006C722B"/>
    <w:rsid w:val="006D11C3"/>
    <w:rsid w:val="006D1CE7"/>
    <w:rsid w:val="006D65FA"/>
    <w:rsid w:val="006E4EEF"/>
    <w:rsid w:val="006F0E75"/>
    <w:rsid w:val="006F49C5"/>
    <w:rsid w:val="0070652A"/>
    <w:rsid w:val="00707884"/>
    <w:rsid w:val="007219FB"/>
    <w:rsid w:val="00721BA3"/>
    <w:rsid w:val="007260A1"/>
    <w:rsid w:val="00733FEC"/>
    <w:rsid w:val="0073654A"/>
    <w:rsid w:val="00740499"/>
    <w:rsid w:val="00740E65"/>
    <w:rsid w:val="00762D52"/>
    <w:rsid w:val="00771142"/>
    <w:rsid w:val="00774EC9"/>
    <w:rsid w:val="00775959"/>
    <w:rsid w:val="00777C37"/>
    <w:rsid w:val="007824FE"/>
    <w:rsid w:val="00784CA0"/>
    <w:rsid w:val="007908DF"/>
    <w:rsid w:val="0079618C"/>
    <w:rsid w:val="007A071E"/>
    <w:rsid w:val="007A179C"/>
    <w:rsid w:val="007A26C2"/>
    <w:rsid w:val="007A4CDB"/>
    <w:rsid w:val="007B4CE5"/>
    <w:rsid w:val="007C2E7B"/>
    <w:rsid w:val="007C6C4C"/>
    <w:rsid w:val="007D02D4"/>
    <w:rsid w:val="007D28A4"/>
    <w:rsid w:val="007D37AF"/>
    <w:rsid w:val="007D4D02"/>
    <w:rsid w:val="007D5DE3"/>
    <w:rsid w:val="007E021B"/>
    <w:rsid w:val="007E639A"/>
    <w:rsid w:val="007F2A85"/>
    <w:rsid w:val="007F4940"/>
    <w:rsid w:val="007F4C52"/>
    <w:rsid w:val="008000A0"/>
    <w:rsid w:val="00800DE5"/>
    <w:rsid w:val="00803531"/>
    <w:rsid w:val="008060A7"/>
    <w:rsid w:val="00813133"/>
    <w:rsid w:val="00817E32"/>
    <w:rsid w:val="00825A8D"/>
    <w:rsid w:val="00834723"/>
    <w:rsid w:val="008353F8"/>
    <w:rsid w:val="00845B20"/>
    <w:rsid w:val="00847C09"/>
    <w:rsid w:val="00851553"/>
    <w:rsid w:val="00851CE5"/>
    <w:rsid w:val="00853D35"/>
    <w:rsid w:val="00855450"/>
    <w:rsid w:val="00857DB5"/>
    <w:rsid w:val="00861080"/>
    <w:rsid w:val="00865721"/>
    <w:rsid w:val="00867773"/>
    <w:rsid w:val="00870725"/>
    <w:rsid w:val="0087785B"/>
    <w:rsid w:val="00880ED9"/>
    <w:rsid w:val="008834F0"/>
    <w:rsid w:val="00884639"/>
    <w:rsid w:val="00886BFC"/>
    <w:rsid w:val="00896902"/>
    <w:rsid w:val="008A0241"/>
    <w:rsid w:val="008A2885"/>
    <w:rsid w:val="008B012B"/>
    <w:rsid w:val="008C1B84"/>
    <w:rsid w:val="008C4835"/>
    <w:rsid w:val="008D2012"/>
    <w:rsid w:val="008E16E1"/>
    <w:rsid w:val="008E31D4"/>
    <w:rsid w:val="008E74F0"/>
    <w:rsid w:val="008F2B2D"/>
    <w:rsid w:val="00900872"/>
    <w:rsid w:val="00902D8D"/>
    <w:rsid w:val="00903362"/>
    <w:rsid w:val="00903DE1"/>
    <w:rsid w:val="0091015B"/>
    <w:rsid w:val="00912D73"/>
    <w:rsid w:val="009146B2"/>
    <w:rsid w:val="009216D5"/>
    <w:rsid w:val="009279DF"/>
    <w:rsid w:val="009320AE"/>
    <w:rsid w:val="00941B46"/>
    <w:rsid w:val="009462F2"/>
    <w:rsid w:val="0095010D"/>
    <w:rsid w:val="009540B7"/>
    <w:rsid w:val="0095419B"/>
    <w:rsid w:val="00955409"/>
    <w:rsid w:val="00957CF5"/>
    <w:rsid w:val="00962CFE"/>
    <w:rsid w:val="00967C97"/>
    <w:rsid w:val="00976994"/>
    <w:rsid w:val="00980701"/>
    <w:rsid w:val="0098093D"/>
    <w:rsid w:val="0098134D"/>
    <w:rsid w:val="009818C0"/>
    <w:rsid w:val="009818D4"/>
    <w:rsid w:val="00983632"/>
    <w:rsid w:val="00983E2F"/>
    <w:rsid w:val="00986C0E"/>
    <w:rsid w:val="00986F84"/>
    <w:rsid w:val="0099205B"/>
    <w:rsid w:val="009934F3"/>
    <w:rsid w:val="00995DA4"/>
    <w:rsid w:val="009968BD"/>
    <w:rsid w:val="009A02FD"/>
    <w:rsid w:val="009A0415"/>
    <w:rsid w:val="009A4B67"/>
    <w:rsid w:val="009B4DB1"/>
    <w:rsid w:val="009C1F1C"/>
    <w:rsid w:val="009C703A"/>
    <w:rsid w:val="009C72A0"/>
    <w:rsid w:val="009C786E"/>
    <w:rsid w:val="009C7A87"/>
    <w:rsid w:val="009D61B2"/>
    <w:rsid w:val="009E4EFF"/>
    <w:rsid w:val="009F03C8"/>
    <w:rsid w:val="009F0B32"/>
    <w:rsid w:val="009F5A83"/>
    <w:rsid w:val="009F5D4E"/>
    <w:rsid w:val="00A00F47"/>
    <w:rsid w:val="00A035AD"/>
    <w:rsid w:val="00A03EE8"/>
    <w:rsid w:val="00A21E42"/>
    <w:rsid w:val="00A26113"/>
    <w:rsid w:val="00A272C5"/>
    <w:rsid w:val="00A310BA"/>
    <w:rsid w:val="00A34EEE"/>
    <w:rsid w:val="00A37AE3"/>
    <w:rsid w:val="00A517CD"/>
    <w:rsid w:val="00A540C0"/>
    <w:rsid w:val="00A55253"/>
    <w:rsid w:val="00A56448"/>
    <w:rsid w:val="00A57D5C"/>
    <w:rsid w:val="00A70CE9"/>
    <w:rsid w:val="00A8287F"/>
    <w:rsid w:val="00A8369C"/>
    <w:rsid w:val="00A84DBB"/>
    <w:rsid w:val="00A92DA6"/>
    <w:rsid w:val="00AA271D"/>
    <w:rsid w:val="00AA4F84"/>
    <w:rsid w:val="00AA5AEC"/>
    <w:rsid w:val="00AC07DC"/>
    <w:rsid w:val="00AC2A89"/>
    <w:rsid w:val="00AC739F"/>
    <w:rsid w:val="00AD007A"/>
    <w:rsid w:val="00AD1709"/>
    <w:rsid w:val="00AF083D"/>
    <w:rsid w:val="00AF39B8"/>
    <w:rsid w:val="00B03D2D"/>
    <w:rsid w:val="00B05960"/>
    <w:rsid w:val="00B11E82"/>
    <w:rsid w:val="00B14569"/>
    <w:rsid w:val="00B16E82"/>
    <w:rsid w:val="00B25569"/>
    <w:rsid w:val="00B34626"/>
    <w:rsid w:val="00B41194"/>
    <w:rsid w:val="00B45699"/>
    <w:rsid w:val="00B528D4"/>
    <w:rsid w:val="00B562F7"/>
    <w:rsid w:val="00B72A12"/>
    <w:rsid w:val="00B74775"/>
    <w:rsid w:val="00B7483F"/>
    <w:rsid w:val="00B81129"/>
    <w:rsid w:val="00B874E5"/>
    <w:rsid w:val="00B91CA4"/>
    <w:rsid w:val="00B972BA"/>
    <w:rsid w:val="00BA1E8B"/>
    <w:rsid w:val="00BA39ED"/>
    <w:rsid w:val="00BA5965"/>
    <w:rsid w:val="00BA5B0F"/>
    <w:rsid w:val="00BA68AE"/>
    <w:rsid w:val="00BB48CD"/>
    <w:rsid w:val="00BC205B"/>
    <w:rsid w:val="00BC23DB"/>
    <w:rsid w:val="00BD1080"/>
    <w:rsid w:val="00BD41E6"/>
    <w:rsid w:val="00BE0AB8"/>
    <w:rsid w:val="00BF63B7"/>
    <w:rsid w:val="00BF70AB"/>
    <w:rsid w:val="00C24C92"/>
    <w:rsid w:val="00C33B91"/>
    <w:rsid w:val="00C344BD"/>
    <w:rsid w:val="00C35A6D"/>
    <w:rsid w:val="00C37A45"/>
    <w:rsid w:val="00C400A0"/>
    <w:rsid w:val="00C4549B"/>
    <w:rsid w:val="00C50161"/>
    <w:rsid w:val="00C53B8E"/>
    <w:rsid w:val="00C54F36"/>
    <w:rsid w:val="00C7416E"/>
    <w:rsid w:val="00C74B90"/>
    <w:rsid w:val="00C81039"/>
    <w:rsid w:val="00C818BB"/>
    <w:rsid w:val="00C8542C"/>
    <w:rsid w:val="00C92627"/>
    <w:rsid w:val="00C93674"/>
    <w:rsid w:val="00C948DD"/>
    <w:rsid w:val="00C96B8D"/>
    <w:rsid w:val="00CA55CD"/>
    <w:rsid w:val="00CA5934"/>
    <w:rsid w:val="00CA64A9"/>
    <w:rsid w:val="00CA6FBE"/>
    <w:rsid w:val="00CB56D6"/>
    <w:rsid w:val="00CB59CF"/>
    <w:rsid w:val="00CB7949"/>
    <w:rsid w:val="00CD298E"/>
    <w:rsid w:val="00CD32C6"/>
    <w:rsid w:val="00CD62A6"/>
    <w:rsid w:val="00CE7C8A"/>
    <w:rsid w:val="00CF34CF"/>
    <w:rsid w:val="00CF5D22"/>
    <w:rsid w:val="00CF7673"/>
    <w:rsid w:val="00D02E6D"/>
    <w:rsid w:val="00D10C39"/>
    <w:rsid w:val="00D13E95"/>
    <w:rsid w:val="00D13EB4"/>
    <w:rsid w:val="00D16CCA"/>
    <w:rsid w:val="00D2702A"/>
    <w:rsid w:val="00D27717"/>
    <w:rsid w:val="00D34662"/>
    <w:rsid w:val="00D3592A"/>
    <w:rsid w:val="00D374BD"/>
    <w:rsid w:val="00D37ACC"/>
    <w:rsid w:val="00D50C1D"/>
    <w:rsid w:val="00D516FD"/>
    <w:rsid w:val="00D5307E"/>
    <w:rsid w:val="00D66C73"/>
    <w:rsid w:val="00D67E60"/>
    <w:rsid w:val="00D704EB"/>
    <w:rsid w:val="00D71E4B"/>
    <w:rsid w:val="00D71E8C"/>
    <w:rsid w:val="00D74E12"/>
    <w:rsid w:val="00D80987"/>
    <w:rsid w:val="00D90D09"/>
    <w:rsid w:val="00D92781"/>
    <w:rsid w:val="00D92983"/>
    <w:rsid w:val="00D956B2"/>
    <w:rsid w:val="00D961A7"/>
    <w:rsid w:val="00DA0492"/>
    <w:rsid w:val="00DA1853"/>
    <w:rsid w:val="00DA1A9E"/>
    <w:rsid w:val="00DA3E60"/>
    <w:rsid w:val="00DA5FA3"/>
    <w:rsid w:val="00DA6B01"/>
    <w:rsid w:val="00DB6CAD"/>
    <w:rsid w:val="00DC14DE"/>
    <w:rsid w:val="00DC3CF9"/>
    <w:rsid w:val="00DD4F99"/>
    <w:rsid w:val="00DD4FEA"/>
    <w:rsid w:val="00DE07E3"/>
    <w:rsid w:val="00DE32E8"/>
    <w:rsid w:val="00DE6239"/>
    <w:rsid w:val="00DE746B"/>
    <w:rsid w:val="00DF02BE"/>
    <w:rsid w:val="00DF1289"/>
    <w:rsid w:val="00DF15C0"/>
    <w:rsid w:val="00DF671F"/>
    <w:rsid w:val="00E169F9"/>
    <w:rsid w:val="00E20FF2"/>
    <w:rsid w:val="00E25AFF"/>
    <w:rsid w:val="00E31C6F"/>
    <w:rsid w:val="00E35541"/>
    <w:rsid w:val="00E35E6C"/>
    <w:rsid w:val="00E36885"/>
    <w:rsid w:val="00E41F9B"/>
    <w:rsid w:val="00E42986"/>
    <w:rsid w:val="00E51205"/>
    <w:rsid w:val="00E52AF8"/>
    <w:rsid w:val="00E572B1"/>
    <w:rsid w:val="00E632C9"/>
    <w:rsid w:val="00E638B3"/>
    <w:rsid w:val="00E66114"/>
    <w:rsid w:val="00E7008C"/>
    <w:rsid w:val="00E9328F"/>
    <w:rsid w:val="00E95E62"/>
    <w:rsid w:val="00EB05B4"/>
    <w:rsid w:val="00EB0764"/>
    <w:rsid w:val="00EC2E80"/>
    <w:rsid w:val="00EC4BE7"/>
    <w:rsid w:val="00EC7A96"/>
    <w:rsid w:val="00ED3124"/>
    <w:rsid w:val="00EE7F5D"/>
    <w:rsid w:val="00EF32E8"/>
    <w:rsid w:val="00EF6787"/>
    <w:rsid w:val="00EF6E9A"/>
    <w:rsid w:val="00F02EA8"/>
    <w:rsid w:val="00F05BDF"/>
    <w:rsid w:val="00F12AEC"/>
    <w:rsid w:val="00F1673B"/>
    <w:rsid w:val="00F17B6D"/>
    <w:rsid w:val="00F276A1"/>
    <w:rsid w:val="00F33B8D"/>
    <w:rsid w:val="00F349BF"/>
    <w:rsid w:val="00F35CB4"/>
    <w:rsid w:val="00F3671A"/>
    <w:rsid w:val="00F45CE3"/>
    <w:rsid w:val="00F47027"/>
    <w:rsid w:val="00F4735D"/>
    <w:rsid w:val="00F51B0D"/>
    <w:rsid w:val="00F533E9"/>
    <w:rsid w:val="00F571D2"/>
    <w:rsid w:val="00F717E3"/>
    <w:rsid w:val="00F736F7"/>
    <w:rsid w:val="00F82649"/>
    <w:rsid w:val="00F90A30"/>
    <w:rsid w:val="00F93B3C"/>
    <w:rsid w:val="00F9520C"/>
    <w:rsid w:val="00F97DDF"/>
    <w:rsid w:val="00FA4E7E"/>
    <w:rsid w:val="00FB08FE"/>
    <w:rsid w:val="00FB1709"/>
    <w:rsid w:val="00FB3CAA"/>
    <w:rsid w:val="00FB4D19"/>
    <w:rsid w:val="00FC3822"/>
    <w:rsid w:val="00FC4246"/>
    <w:rsid w:val="00FC64ED"/>
    <w:rsid w:val="00FC6EFA"/>
    <w:rsid w:val="00FD53F7"/>
    <w:rsid w:val="00FD5FF9"/>
    <w:rsid w:val="00FE003D"/>
    <w:rsid w:val="00FE3124"/>
    <w:rsid w:val="00FE5B8A"/>
    <w:rsid w:val="00FE71D0"/>
    <w:rsid w:val="00FE7B8D"/>
    <w:rsid w:val="00FE7D89"/>
    <w:rsid w:val="00FF3329"/>
    <w:rsid w:val="00FF334A"/>
    <w:rsid w:val="22490267"/>
    <w:rsid w:val="6169DC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E063"/>
  <w15:chartTrackingRefBased/>
  <w15:docId w15:val="{2AF025FF-DF2F-4D63-94DF-23B9DD37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AD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iPriority w:val="99"/>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nhideWhenUsed/>
    <w:qFormat/>
    <w:rsid w:val="004C54B6"/>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qFormat/>
    <w:rsid w:val="004C54B6"/>
    <w:rPr>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4C54B6"/>
    <w:rPr>
      <w:vertAlign w:val="superscript"/>
    </w:rPr>
  </w:style>
  <w:style w:type="paragraph" w:styleId="Textoindependiente">
    <w:name w:val="Body Text"/>
    <w:basedOn w:val="Normal"/>
    <w:link w:val="TextoindependienteCar"/>
    <w:uiPriority w:val="1"/>
    <w:qFormat/>
    <w:rsid w:val="004C54B6"/>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rsid w:val="004C54B6"/>
    <w:rPr>
      <w:rFonts w:ascii="Gadugi" w:eastAsia="Gadugi" w:hAnsi="Gadugi" w:cs="Gadugi"/>
      <w:sz w:val="26"/>
      <w:szCs w:val="26"/>
      <w:lang w:val="es-ES"/>
    </w:rPr>
  </w:style>
  <w:style w:type="paragraph" w:customStyle="1" w:styleId="Refdenotaalpie2">
    <w:name w:val="Ref. de nota al pie2"/>
    <w:aliases w:val="Nota de pie,Pie de pagina"/>
    <w:basedOn w:val="Normal"/>
    <w:link w:val="Refdenotaalpie"/>
    <w:uiPriority w:val="99"/>
    <w:rsid w:val="004C54B6"/>
    <w:pPr>
      <w:spacing w:line="240" w:lineRule="exact"/>
    </w:pPr>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347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ad51a7d9992d4d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FF98-B971-44A9-A4ED-4EB88DDE6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6D921-1458-4EB6-855C-0F22B2D8BE96}">
  <ds:schemaRefs>
    <ds:schemaRef ds:uri="http://schemas.microsoft.com/sharepoint/v3/contenttype/forms"/>
  </ds:schemaRefs>
</ds:datastoreItem>
</file>

<file path=customXml/itemProps3.xml><?xml version="1.0" encoding="utf-8"?>
<ds:datastoreItem xmlns:ds="http://schemas.openxmlformats.org/officeDocument/2006/customXml" ds:itemID="{6AF146A3-6453-4853-8B71-B75B866AC534}">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E06CDEB0-35DE-4F65-AA85-88E584A2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4210</Words>
  <Characters>23158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5</cp:revision>
  <dcterms:created xsi:type="dcterms:W3CDTF">2022-06-30T14:46:00Z</dcterms:created>
  <dcterms:modified xsi:type="dcterms:W3CDTF">2022-10-24T19:44:00Z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