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B426F" w14:textId="77777777" w:rsidR="00D86621" w:rsidRPr="00D86621" w:rsidRDefault="00D86621" w:rsidP="00D8662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bookmarkStart w:id="0" w:name="_Hlk76320119"/>
      <w:bookmarkStart w:id="1" w:name="_Hlk94773787"/>
      <w:r w:rsidRPr="00D8662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D193A2" w14:textId="77777777" w:rsidR="00D86621" w:rsidRPr="00D86621" w:rsidRDefault="00D86621" w:rsidP="00D86621">
      <w:pPr>
        <w:overflowPunct/>
        <w:autoSpaceDE/>
        <w:autoSpaceDN/>
        <w:adjustRightInd/>
        <w:jc w:val="both"/>
        <w:textAlignment w:val="auto"/>
        <w:rPr>
          <w:rFonts w:ascii="Arial" w:hAnsi="Arial" w:cs="Arial"/>
          <w:lang w:val="es-419"/>
        </w:rPr>
      </w:pPr>
    </w:p>
    <w:p w14:paraId="3A1971D0" w14:textId="75D68BF9" w:rsidR="00D86621" w:rsidRPr="00D86621" w:rsidRDefault="00D86621" w:rsidP="00D86621">
      <w:pPr>
        <w:overflowPunct/>
        <w:autoSpaceDE/>
        <w:autoSpaceDN/>
        <w:adjustRightInd/>
        <w:jc w:val="both"/>
        <w:textAlignment w:val="auto"/>
        <w:rPr>
          <w:rFonts w:ascii="Arial" w:hAnsi="Arial" w:cs="Arial"/>
          <w:b/>
          <w:bCs/>
          <w:iCs/>
          <w:lang w:val="es-419" w:eastAsia="fr-FR"/>
        </w:rPr>
      </w:pPr>
      <w:r w:rsidRPr="00D86621">
        <w:rPr>
          <w:rFonts w:ascii="Arial" w:hAnsi="Arial" w:cs="Arial"/>
          <w:b/>
          <w:bCs/>
          <w:iCs/>
          <w:u w:val="single"/>
          <w:lang w:val="es-419" w:eastAsia="fr-FR"/>
        </w:rPr>
        <w:t>TEMAS:</w:t>
      </w:r>
      <w:r w:rsidRPr="00D86621">
        <w:rPr>
          <w:rFonts w:ascii="Arial" w:hAnsi="Arial" w:cs="Arial"/>
          <w:b/>
          <w:bCs/>
          <w:iCs/>
          <w:lang w:val="es-419" w:eastAsia="fr-FR"/>
        </w:rPr>
        <w:tab/>
      </w:r>
      <w:r w:rsidR="009F0D6D">
        <w:rPr>
          <w:rFonts w:ascii="Arial" w:hAnsi="Arial" w:cs="Arial"/>
          <w:b/>
          <w:bCs/>
          <w:iCs/>
          <w:lang w:val="es-419" w:eastAsia="fr-FR"/>
        </w:rPr>
        <w:t>DEBIDO PROCESO / TUTELA CONTRA DECISIÓN JUDICIAL / REQUISITOS GENERALES Y ESPECÍFICOS DE PROCEDIBILIDAD / DEFECTO FÁCTICO / DEFINICIÓN / EJECUTIVO / COBRO DE CUOTAS DE ADMINISTRACIÓN PROPIEDAD HORIZONTAL / TÍTULO EJECUTIVO / REQUISITOS.</w:t>
      </w:r>
    </w:p>
    <w:p w14:paraId="7D3008BB" w14:textId="77777777" w:rsidR="00D86621" w:rsidRPr="00D86621" w:rsidRDefault="00D86621" w:rsidP="00D86621">
      <w:pPr>
        <w:overflowPunct/>
        <w:autoSpaceDE/>
        <w:autoSpaceDN/>
        <w:adjustRightInd/>
        <w:jc w:val="both"/>
        <w:textAlignment w:val="auto"/>
        <w:rPr>
          <w:rFonts w:ascii="Arial" w:hAnsi="Arial" w:cs="Arial"/>
          <w:lang w:val="es-419"/>
        </w:rPr>
      </w:pPr>
    </w:p>
    <w:p w14:paraId="36CBFBC6" w14:textId="20E8C4A0" w:rsidR="00D86621" w:rsidRPr="00D86621" w:rsidRDefault="00413C30" w:rsidP="00D86621">
      <w:pPr>
        <w:overflowPunct/>
        <w:autoSpaceDE/>
        <w:autoSpaceDN/>
        <w:adjustRightInd/>
        <w:jc w:val="both"/>
        <w:textAlignment w:val="auto"/>
        <w:rPr>
          <w:rFonts w:ascii="Arial" w:hAnsi="Arial" w:cs="Arial"/>
          <w:lang w:val="es-419"/>
        </w:rPr>
      </w:pPr>
      <w:r w:rsidRPr="00413C30">
        <w:rPr>
          <w:rFonts w:ascii="Arial" w:hAnsi="Arial" w:cs="Arial"/>
          <w:lang w:val="es-419"/>
        </w:rPr>
        <w:t xml:space="preserve">Reiteradamente se ha expuesto que a pesar de la inexequibilidad de las normas que en el Decreto 2591 de 1991 preveían la acción de tutela contra providencias </w:t>
      </w:r>
      <w:r w:rsidR="000B346F" w:rsidRPr="00413C30">
        <w:rPr>
          <w:rFonts w:ascii="Arial" w:hAnsi="Arial" w:cs="Arial"/>
          <w:lang w:val="es-419"/>
        </w:rPr>
        <w:t>judiciales,</w:t>
      </w:r>
      <w:r w:rsidRPr="00413C30">
        <w:rPr>
          <w:rFonts w:ascii="Arial" w:hAnsi="Arial" w:cs="Arial"/>
          <w:lang w:val="es-419"/>
        </w:rPr>
        <w:t xml:space="preserve"> tal mecanismo se abre paso en aquellos eventos en los que se incurra en una vía de hecho, o como se denominan hoy, criterios de procedibilidad de la acción de tutela contra decisiones de los jueces</w:t>
      </w:r>
      <w:r>
        <w:rPr>
          <w:rFonts w:ascii="Arial" w:hAnsi="Arial" w:cs="Arial"/>
          <w:lang w:val="es-419"/>
        </w:rPr>
        <w:t>…</w:t>
      </w:r>
    </w:p>
    <w:p w14:paraId="4A86AEED" w14:textId="77777777" w:rsidR="00D86621" w:rsidRPr="00D86621" w:rsidRDefault="00D86621" w:rsidP="00D86621">
      <w:pPr>
        <w:overflowPunct/>
        <w:autoSpaceDE/>
        <w:autoSpaceDN/>
        <w:adjustRightInd/>
        <w:jc w:val="both"/>
        <w:textAlignment w:val="auto"/>
        <w:rPr>
          <w:rFonts w:ascii="Arial" w:hAnsi="Arial" w:cs="Arial"/>
          <w:lang w:val="es-419"/>
        </w:rPr>
      </w:pPr>
    </w:p>
    <w:p w14:paraId="04CD65B4" w14:textId="1C350D07" w:rsidR="000B346F" w:rsidRPr="000B346F" w:rsidRDefault="000B346F" w:rsidP="000B346F">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0B346F">
        <w:rPr>
          <w:rFonts w:ascii="Arial" w:hAnsi="Arial" w:cs="Arial"/>
          <w:lang w:val="es-419"/>
        </w:rPr>
        <w:t>sigue examinar el yerro que se le endilga al fallo confutado, y, según se indica en la demanda, tal irregularidad atañe con lo que la jurisprudencia ha sabido denominar defecto fáctico, sobre el cual la Corte Constitucional enseña</w:t>
      </w:r>
      <w:bookmarkStart w:id="2" w:name="_GoBack"/>
      <w:bookmarkEnd w:id="2"/>
      <w:r w:rsidRPr="000B346F">
        <w:rPr>
          <w:rFonts w:ascii="Arial" w:hAnsi="Arial" w:cs="Arial"/>
          <w:lang w:val="es-419"/>
        </w:rPr>
        <w:t>:</w:t>
      </w:r>
    </w:p>
    <w:p w14:paraId="56C34D4E" w14:textId="77777777" w:rsidR="000B346F" w:rsidRPr="000B346F" w:rsidRDefault="000B346F" w:rsidP="000B346F">
      <w:pPr>
        <w:overflowPunct/>
        <w:autoSpaceDE/>
        <w:autoSpaceDN/>
        <w:adjustRightInd/>
        <w:jc w:val="both"/>
        <w:textAlignment w:val="auto"/>
        <w:rPr>
          <w:rFonts w:ascii="Arial" w:hAnsi="Arial" w:cs="Arial"/>
          <w:lang w:val="es-419"/>
        </w:rPr>
      </w:pPr>
    </w:p>
    <w:p w14:paraId="2BF18554" w14:textId="5FB21D5B" w:rsidR="00D86621" w:rsidRDefault="00F01F04" w:rsidP="000B346F">
      <w:pPr>
        <w:overflowPunct/>
        <w:autoSpaceDE/>
        <w:autoSpaceDN/>
        <w:adjustRightInd/>
        <w:jc w:val="both"/>
        <w:textAlignment w:val="auto"/>
        <w:rPr>
          <w:rFonts w:ascii="Arial" w:hAnsi="Arial" w:cs="Arial"/>
          <w:lang w:val="es-419"/>
        </w:rPr>
      </w:pPr>
      <w:r>
        <w:rPr>
          <w:rFonts w:ascii="Arial" w:hAnsi="Arial" w:cs="Arial"/>
          <w:lang w:val="es-419"/>
        </w:rPr>
        <w:t>“</w:t>
      </w:r>
      <w:r w:rsidR="000B346F" w:rsidRPr="000B346F">
        <w:rPr>
          <w:rFonts w:ascii="Arial" w:hAnsi="Arial" w:cs="Arial"/>
          <w:lang w:val="es-419"/>
        </w:rPr>
        <w:t>(…) Se erige sobre la malinterpretación de los hechos expuestos en un proceso, la cual deviene de una inapropiada valoración probatoria, bien porque el juez no contaba con pruebas para sustentar sus afirmaciones, ora porque al estimar su valor demostrativo fue arbitrario</w:t>
      </w:r>
      <w:r>
        <w:rPr>
          <w:rFonts w:ascii="Arial" w:hAnsi="Arial" w:cs="Arial"/>
          <w:lang w:val="es-419"/>
        </w:rPr>
        <w:t>…”</w:t>
      </w:r>
    </w:p>
    <w:p w14:paraId="4F1D07B2" w14:textId="77777777" w:rsidR="00F01F04" w:rsidRPr="00D86621" w:rsidRDefault="00F01F04" w:rsidP="000B346F">
      <w:pPr>
        <w:overflowPunct/>
        <w:autoSpaceDE/>
        <w:autoSpaceDN/>
        <w:adjustRightInd/>
        <w:jc w:val="both"/>
        <w:textAlignment w:val="auto"/>
        <w:rPr>
          <w:rFonts w:ascii="Arial" w:hAnsi="Arial" w:cs="Arial"/>
          <w:lang w:val="es-419"/>
        </w:rPr>
      </w:pPr>
    </w:p>
    <w:p w14:paraId="75E98AEA" w14:textId="628E34CE" w:rsidR="00F01F04" w:rsidRPr="00F01F04" w:rsidRDefault="00F01F04" w:rsidP="00F01F04">
      <w:pPr>
        <w:overflowPunct/>
        <w:autoSpaceDE/>
        <w:autoSpaceDN/>
        <w:adjustRightInd/>
        <w:jc w:val="both"/>
        <w:textAlignment w:val="auto"/>
        <w:rPr>
          <w:rFonts w:ascii="Arial" w:hAnsi="Arial" w:cs="Arial"/>
          <w:lang w:val="es-419"/>
        </w:rPr>
      </w:pPr>
      <w:r w:rsidRPr="00F01F04">
        <w:rPr>
          <w:rFonts w:ascii="Arial" w:hAnsi="Arial" w:cs="Arial"/>
          <w:lang w:val="es-419"/>
        </w:rPr>
        <w:t>En el caso concreto, se explicó lo siguiente en el fallo que se cuestiona:</w:t>
      </w:r>
    </w:p>
    <w:p w14:paraId="1B8326C6" w14:textId="77777777" w:rsidR="00F01F04" w:rsidRPr="00F01F04" w:rsidRDefault="00F01F04" w:rsidP="00F01F04">
      <w:pPr>
        <w:overflowPunct/>
        <w:autoSpaceDE/>
        <w:autoSpaceDN/>
        <w:adjustRightInd/>
        <w:jc w:val="both"/>
        <w:textAlignment w:val="auto"/>
        <w:rPr>
          <w:rFonts w:ascii="Arial" w:hAnsi="Arial" w:cs="Arial"/>
          <w:lang w:val="es-419"/>
        </w:rPr>
      </w:pPr>
    </w:p>
    <w:p w14:paraId="6B94A913" w14:textId="2C15FCC1" w:rsidR="00D86621" w:rsidRPr="00D86621" w:rsidRDefault="00F01F04" w:rsidP="00F01F04">
      <w:pPr>
        <w:overflowPunct/>
        <w:autoSpaceDE/>
        <w:autoSpaceDN/>
        <w:adjustRightInd/>
        <w:jc w:val="both"/>
        <w:textAlignment w:val="auto"/>
        <w:rPr>
          <w:rFonts w:ascii="Arial" w:hAnsi="Arial" w:cs="Arial"/>
          <w:lang w:val="es-419"/>
        </w:rPr>
      </w:pPr>
      <w:r w:rsidRPr="00F01F04">
        <w:rPr>
          <w:rFonts w:ascii="Arial" w:hAnsi="Arial" w:cs="Arial"/>
          <w:lang w:val="es-419"/>
        </w:rPr>
        <w:t>“La demandada es propietaria de una propiedad horizontal que la rige la Ley 675 de 2001], a propósito de esa ley, ella regula todo lo que atañe a la propiedad horizontal, y en su artículo 48, concretamente, prescribe que el título ejecutivo contentivo de la obligación en lo que concierne a cuotas ordinarias y extraordinarias, lo es, solamente el certificado expedido por el administrador sin ningún requisito ni procedimiento adicional</w:t>
      </w:r>
      <w:r w:rsidR="00425447">
        <w:rPr>
          <w:rFonts w:ascii="Arial" w:hAnsi="Arial" w:cs="Arial"/>
          <w:lang w:val="es-419"/>
        </w:rPr>
        <w:t>…”</w:t>
      </w:r>
    </w:p>
    <w:p w14:paraId="41273BA2" w14:textId="77777777" w:rsidR="00D86621" w:rsidRPr="00D86621" w:rsidRDefault="00D86621" w:rsidP="00D86621">
      <w:pPr>
        <w:overflowPunct/>
        <w:autoSpaceDE/>
        <w:autoSpaceDN/>
        <w:adjustRightInd/>
        <w:jc w:val="both"/>
        <w:textAlignment w:val="auto"/>
        <w:rPr>
          <w:rFonts w:ascii="Arial" w:hAnsi="Arial" w:cs="Arial"/>
          <w:lang w:val="es-419"/>
        </w:rPr>
      </w:pPr>
    </w:p>
    <w:p w14:paraId="192787E7" w14:textId="345D3414" w:rsidR="00D86621" w:rsidRDefault="008F1B64" w:rsidP="00D86621">
      <w:pPr>
        <w:overflowPunct/>
        <w:autoSpaceDE/>
        <w:autoSpaceDN/>
        <w:adjustRightInd/>
        <w:jc w:val="both"/>
        <w:textAlignment w:val="auto"/>
        <w:rPr>
          <w:rFonts w:ascii="Arial" w:hAnsi="Arial" w:cs="Arial"/>
        </w:rPr>
      </w:pPr>
      <w:r w:rsidRPr="008F1B64">
        <w:rPr>
          <w:rFonts w:ascii="Arial" w:hAnsi="Arial" w:cs="Arial"/>
        </w:rPr>
        <w:t>Esa certificación</w:t>
      </w:r>
      <w:r>
        <w:rPr>
          <w:rFonts w:ascii="Arial" w:hAnsi="Arial" w:cs="Arial"/>
        </w:rPr>
        <w:t>…</w:t>
      </w:r>
      <w:r w:rsidRPr="008F1B64">
        <w:rPr>
          <w:rFonts w:ascii="Arial" w:hAnsi="Arial" w:cs="Arial"/>
        </w:rPr>
        <w:t xml:space="preserve"> debe considerarse un documento auténtico, así debe considerársele conforme al artículo 244 del CGP, en la medida que existe certeza respecto de la persona que lo elaboró y suscribió, y por ello, el artículo 12 de la Ley 446 de 1998 dispuso que se presumirán auténticos los documentos que reúnan las exigencias del artículo 422 del </w:t>
      </w:r>
      <w:r>
        <w:rPr>
          <w:rFonts w:ascii="Arial" w:hAnsi="Arial" w:cs="Arial"/>
        </w:rPr>
        <w:t>Código General del Proceso …</w:t>
      </w:r>
    </w:p>
    <w:p w14:paraId="76A3AC65" w14:textId="00198353" w:rsidR="008F1B64" w:rsidRDefault="008F1B64" w:rsidP="00D86621">
      <w:pPr>
        <w:overflowPunct/>
        <w:autoSpaceDE/>
        <w:autoSpaceDN/>
        <w:adjustRightInd/>
        <w:jc w:val="both"/>
        <w:textAlignment w:val="auto"/>
        <w:rPr>
          <w:rFonts w:ascii="Arial" w:hAnsi="Arial" w:cs="Arial"/>
        </w:rPr>
      </w:pPr>
    </w:p>
    <w:p w14:paraId="6DCFB887" w14:textId="33164860" w:rsidR="008F1B64" w:rsidRPr="00D86621" w:rsidRDefault="008F1B64" w:rsidP="00D86621">
      <w:pPr>
        <w:overflowPunct/>
        <w:autoSpaceDE/>
        <w:autoSpaceDN/>
        <w:adjustRightInd/>
        <w:jc w:val="both"/>
        <w:textAlignment w:val="auto"/>
        <w:rPr>
          <w:rFonts w:ascii="Arial" w:hAnsi="Arial" w:cs="Arial"/>
        </w:rPr>
      </w:pPr>
      <w:r>
        <w:rPr>
          <w:rFonts w:ascii="Arial" w:hAnsi="Arial" w:cs="Arial"/>
        </w:rPr>
        <w:t xml:space="preserve">… </w:t>
      </w:r>
      <w:r w:rsidRPr="008F1B64">
        <w:rPr>
          <w:rFonts w:ascii="Arial" w:hAnsi="Arial" w:cs="Arial"/>
        </w:rPr>
        <w:t>rápido se revela el disenso de la Sala con la sentencia de primera instancia proferida en esta acción de tutela, y que concedió la protección, porque distinto a lo que allí se concluyó, este Tribunal encuentra que el funcionario encausado planteó una suficiente motivación en torno a las pretensiones y excepciones esgrimidas en esa ejecución, todo ello precedido de una apropiada valoración de las pruebas que se allegaron al expediente.</w:t>
      </w:r>
    </w:p>
    <w:p w14:paraId="1C95586D" w14:textId="77777777" w:rsidR="00D86621" w:rsidRPr="00D86621" w:rsidRDefault="00D86621" w:rsidP="00D86621">
      <w:pPr>
        <w:overflowPunct/>
        <w:autoSpaceDE/>
        <w:autoSpaceDN/>
        <w:adjustRightInd/>
        <w:jc w:val="both"/>
        <w:textAlignment w:val="auto"/>
        <w:rPr>
          <w:rFonts w:ascii="Arial" w:hAnsi="Arial" w:cs="Arial"/>
        </w:rPr>
      </w:pPr>
    </w:p>
    <w:p w14:paraId="286E0738" w14:textId="77777777" w:rsidR="00D86621" w:rsidRPr="00D86621" w:rsidRDefault="00D86621" w:rsidP="00D86621">
      <w:pPr>
        <w:overflowPunct/>
        <w:autoSpaceDE/>
        <w:autoSpaceDN/>
        <w:adjustRightInd/>
        <w:jc w:val="both"/>
        <w:textAlignment w:val="auto"/>
        <w:rPr>
          <w:rFonts w:ascii="Arial" w:hAnsi="Arial" w:cs="Arial"/>
        </w:rPr>
      </w:pPr>
    </w:p>
    <w:bookmarkEnd w:id="0"/>
    <w:p w14:paraId="2017BCF9" w14:textId="77777777" w:rsidR="00D86621" w:rsidRPr="00D86621" w:rsidRDefault="00D86621" w:rsidP="00D86621">
      <w:pPr>
        <w:overflowPunct/>
        <w:autoSpaceDE/>
        <w:autoSpaceDN/>
        <w:adjustRightInd/>
        <w:jc w:val="both"/>
        <w:textAlignment w:val="auto"/>
        <w:rPr>
          <w:rFonts w:ascii="Arial" w:hAnsi="Arial" w:cs="Arial"/>
        </w:rPr>
      </w:pPr>
    </w:p>
    <w:bookmarkEnd w:id="1"/>
    <w:p w14:paraId="51C7EC5E" w14:textId="4C17F675" w:rsidR="00CD73E5" w:rsidRPr="00D86621" w:rsidRDefault="00CD73E5" w:rsidP="00D86621">
      <w:pPr>
        <w:tabs>
          <w:tab w:val="left" w:pos="3108"/>
        </w:tabs>
        <w:spacing w:line="276" w:lineRule="auto"/>
        <w:ind w:firstLine="2835"/>
        <w:jc w:val="both"/>
        <w:rPr>
          <w:rFonts w:ascii="Gadugi" w:hAnsi="Gadugi"/>
          <w:b/>
          <w:sz w:val="24"/>
          <w:szCs w:val="24"/>
        </w:rPr>
      </w:pPr>
      <w:r w:rsidRPr="00D86621">
        <w:rPr>
          <w:rFonts w:ascii="Gadugi" w:hAnsi="Gadugi"/>
          <w:b/>
          <w:sz w:val="24"/>
          <w:szCs w:val="24"/>
        </w:rPr>
        <w:t xml:space="preserve">TRIBUNAL SUPERIOR DEL DISTRITO JUDICIAL </w:t>
      </w:r>
    </w:p>
    <w:p w14:paraId="7DC3B892" w14:textId="77777777" w:rsidR="00CD73E5" w:rsidRPr="00D86621" w:rsidRDefault="00CD73E5" w:rsidP="00D86621">
      <w:pPr>
        <w:tabs>
          <w:tab w:val="left" w:pos="3108"/>
        </w:tabs>
        <w:spacing w:line="276" w:lineRule="auto"/>
        <w:ind w:firstLine="2835"/>
        <w:jc w:val="both"/>
        <w:rPr>
          <w:rFonts w:ascii="Gadugi" w:hAnsi="Gadugi"/>
          <w:b/>
          <w:sz w:val="24"/>
          <w:szCs w:val="24"/>
        </w:rPr>
      </w:pPr>
      <w:r w:rsidRPr="00D86621">
        <w:rPr>
          <w:rFonts w:ascii="Gadugi" w:hAnsi="Gadugi"/>
          <w:b/>
          <w:sz w:val="24"/>
          <w:szCs w:val="24"/>
        </w:rPr>
        <w:t xml:space="preserve">          SALA DE DECISIÓN CIVIL FAMILIA </w:t>
      </w:r>
    </w:p>
    <w:p w14:paraId="588CC4DB" w14:textId="77777777" w:rsidR="00CD73E5" w:rsidRPr="00D86621" w:rsidRDefault="00CD73E5" w:rsidP="00D86621">
      <w:pPr>
        <w:tabs>
          <w:tab w:val="left" w:pos="3108"/>
        </w:tabs>
        <w:spacing w:line="276" w:lineRule="auto"/>
        <w:ind w:firstLine="2835"/>
        <w:jc w:val="both"/>
        <w:rPr>
          <w:rFonts w:ascii="Gadugi" w:hAnsi="Gadugi"/>
          <w:sz w:val="24"/>
          <w:szCs w:val="24"/>
        </w:rPr>
      </w:pPr>
    </w:p>
    <w:p w14:paraId="2B68DD4D" w14:textId="77777777" w:rsidR="00496CF1" w:rsidRPr="00D86621" w:rsidRDefault="00496CF1" w:rsidP="00D86621">
      <w:pPr>
        <w:tabs>
          <w:tab w:val="left" w:pos="3108"/>
        </w:tabs>
        <w:spacing w:line="276" w:lineRule="auto"/>
        <w:ind w:firstLine="2835"/>
        <w:jc w:val="both"/>
        <w:rPr>
          <w:rFonts w:ascii="Gadugi" w:hAnsi="Gadugi"/>
          <w:sz w:val="24"/>
          <w:szCs w:val="24"/>
        </w:rPr>
      </w:pPr>
    </w:p>
    <w:p w14:paraId="70FEA158" w14:textId="77777777" w:rsidR="00CD73E5" w:rsidRPr="00D86621" w:rsidRDefault="00CD73E5" w:rsidP="00D86621">
      <w:pPr>
        <w:tabs>
          <w:tab w:val="left" w:pos="3108"/>
        </w:tabs>
        <w:spacing w:line="276" w:lineRule="auto"/>
        <w:ind w:firstLine="2835"/>
        <w:jc w:val="both"/>
        <w:rPr>
          <w:rFonts w:ascii="Gadugi" w:hAnsi="Gadugi"/>
          <w:sz w:val="24"/>
          <w:szCs w:val="24"/>
        </w:rPr>
      </w:pPr>
      <w:r w:rsidRPr="00D86621">
        <w:rPr>
          <w:rFonts w:ascii="Gadugi" w:hAnsi="Gadugi"/>
          <w:sz w:val="24"/>
          <w:szCs w:val="24"/>
        </w:rPr>
        <w:t>Magistrado: Jaime Alberto Saraza Naranjo</w:t>
      </w:r>
    </w:p>
    <w:p w14:paraId="7380AD05" w14:textId="18641017" w:rsidR="00CD73E5" w:rsidRPr="00D86621" w:rsidRDefault="00CD73E5" w:rsidP="00D86621">
      <w:pPr>
        <w:tabs>
          <w:tab w:val="left" w:pos="3108"/>
        </w:tabs>
        <w:spacing w:line="276" w:lineRule="auto"/>
        <w:ind w:firstLine="2835"/>
        <w:jc w:val="both"/>
        <w:rPr>
          <w:rFonts w:ascii="Gadugi" w:hAnsi="Gadugi"/>
          <w:sz w:val="24"/>
          <w:szCs w:val="24"/>
          <w:lang w:val="es-419"/>
        </w:rPr>
      </w:pPr>
      <w:r w:rsidRPr="00D86621">
        <w:rPr>
          <w:rFonts w:ascii="Gadugi" w:hAnsi="Gadugi"/>
          <w:sz w:val="24"/>
          <w:szCs w:val="24"/>
        </w:rPr>
        <w:t>Pereira,</w:t>
      </w:r>
      <w:r w:rsidR="003B7EA3" w:rsidRPr="00D86621">
        <w:rPr>
          <w:rFonts w:ascii="Gadugi" w:hAnsi="Gadugi"/>
          <w:sz w:val="24"/>
          <w:szCs w:val="24"/>
        </w:rPr>
        <w:t xml:space="preserve"> junio catorce de dos mil veintidós </w:t>
      </w:r>
      <w:r w:rsidR="00DA2460" w:rsidRPr="00D86621">
        <w:rPr>
          <w:rFonts w:ascii="Gadugi" w:hAnsi="Gadugi"/>
          <w:sz w:val="24"/>
          <w:szCs w:val="24"/>
        </w:rPr>
        <w:t xml:space="preserve"> </w:t>
      </w:r>
      <w:r w:rsidR="00590A5C" w:rsidRPr="00D86621">
        <w:rPr>
          <w:rFonts w:ascii="Gadugi" w:hAnsi="Gadugi"/>
          <w:sz w:val="24"/>
          <w:szCs w:val="24"/>
        </w:rPr>
        <w:t xml:space="preserve"> </w:t>
      </w:r>
      <w:r w:rsidR="00B5315A" w:rsidRPr="00D86621">
        <w:rPr>
          <w:rFonts w:ascii="Gadugi" w:hAnsi="Gadugi"/>
          <w:sz w:val="24"/>
          <w:szCs w:val="24"/>
        </w:rPr>
        <w:t xml:space="preserve"> </w:t>
      </w:r>
      <w:r w:rsidR="00DA2460" w:rsidRPr="00D86621">
        <w:rPr>
          <w:rFonts w:ascii="Gadugi" w:hAnsi="Gadugi"/>
          <w:sz w:val="24"/>
          <w:szCs w:val="24"/>
        </w:rPr>
        <w:t xml:space="preserve"> </w:t>
      </w:r>
      <w:r w:rsidR="00CA67BA" w:rsidRPr="00D86621">
        <w:rPr>
          <w:rFonts w:ascii="Gadugi" w:hAnsi="Gadugi"/>
          <w:sz w:val="24"/>
          <w:szCs w:val="24"/>
        </w:rPr>
        <w:t xml:space="preserve"> </w:t>
      </w:r>
      <w:r w:rsidR="002A3FE9" w:rsidRPr="00D86621">
        <w:rPr>
          <w:rFonts w:ascii="Gadugi" w:hAnsi="Gadugi"/>
          <w:sz w:val="24"/>
          <w:szCs w:val="24"/>
        </w:rPr>
        <w:t xml:space="preserve"> </w:t>
      </w:r>
      <w:r w:rsidR="00CA67BA" w:rsidRPr="00D86621">
        <w:rPr>
          <w:rFonts w:ascii="Gadugi" w:hAnsi="Gadugi"/>
          <w:sz w:val="24"/>
          <w:szCs w:val="24"/>
        </w:rPr>
        <w:t xml:space="preserve"> </w:t>
      </w:r>
      <w:r w:rsidR="003F059A" w:rsidRPr="00D86621">
        <w:rPr>
          <w:rFonts w:ascii="Gadugi" w:hAnsi="Gadugi"/>
          <w:sz w:val="24"/>
          <w:szCs w:val="24"/>
        </w:rPr>
        <w:t xml:space="preserve"> </w:t>
      </w:r>
      <w:r w:rsidR="000649B3" w:rsidRPr="00D86621">
        <w:rPr>
          <w:rFonts w:ascii="Gadugi" w:hAnsi="Gadugi"/>
          <w:sz w:val="24"/>
          <w:szCs w:val="24"/>
        </w:rPr>
        <w:t xml:space="preserve"> </w:t>
      </w:r>
      <w:r w:rsidR="003F059A" w:rsidRPr="00D86621">
        <w:rPr>
          <w:rFonts w:ascii="Gadugi" w:hAnsi="Gadugi"/>
          <w:sz w:val="24"/>
          <w:szCs w:val="24"/>
        </w:rPr>
        <w:t xml:space="preserve"> </w:t>
      </w:r>
      <w:r w:rsidR="00E750C2" w:rsidRPr="00D86621">
        <w:rPr>
          <w:rFonts w:ascii="Gadugi" w:hAnsi="Gadugi"/>
          <w:sz w:val="24"/>
          <w:szCs w:val="24"/>
        </w:rPr>
        <w:t xml:space="preserve"> </w:t>
      </w:r>
      <w:r w:rsidR="008F3B81" w:rsidRPr="00D86621">
        <w:rPr>
          <w:rFonts w:ascii="Gadugi" w:hAnsi="Gadugi"/>
          <w:sz w:val="24"/>
          <w:szCs w:val="24"/>
        </w:rPr>
        <w:t xml:space="preserve"> </w:t>
      </w:r>
      <w:r w:rsidR="00200310" w:rsidRPr="00D86621">
        <w:rPr>
          <w:rFonts w:ascii="Gadugi" w:hAnsi="Gadugi"/>
          <w:sz w:val="24"/>
          <w:szCs w:val="24"/>
        </w:rPr>
        <w:t xml:space="preserve"> </w:t>
      </w:r>
      <w:r w:rsidR="00D25BC0" w:rsidRPr="00D86621">
        <w:rPr>
          <w:rFonts w:ascii="Gadugi" w:hAnsi="Gadugi"/>
          <w:sz w:val="24"/>
          <w:szCs w:val="24"/>
        </w:rPr>
        <w:t xml:space="preserve"> </w:t>
      </w:r>
      <w:r w:rsidR="00E7303F" w:rsidRPr="00D86621">
        <w:rPr>
          <w:rFonts w:ascii="Gadugi" w:hAnsi="Gadugi"/>
          <w:sz w:val="24"/>
          <w:szCs w:val="24"/>
        </w:rPr>
        <w:t xml:space="preserve"> </w:t>
      </w:r>
      <w:r w:rsidR="00467ED1" w:rsidRPr="00D86621">
        <w:rPr>
          <w:rFonts w:ascii="Gadugi" w:hAnsi="Gadugi"/>
          <w:sz w:val="24"/>
          <w:szCs w:val="24"/>
        </w:rPr>
        <w:t xml:space="preserve"> </w:t>
      </w:r>
      <w:r w:rsidR="00F93C69" w:rsidRPr="00D86621">
        <w:rPr>
          <w:rFonts w:ascii="Gadugi" w:hAnsi="Gadugi"/>
          <w:sz w:val="24"/>
          <w:szCs w:val="24"/>
        </w:rPr>
        <w:t xml:space="preserve"> </w:t>
      </w:r>
      <w:r w:rsidR="00D8626E" w:rsidRPr="00D86621">
        <w:rPr>
          <w:rFonts w:ascii="Gadugi" w:hAnsi="Gadugi"/>
          <w:sz w:val="24"/>
          <w:szCs w:val="24"/>
        </w:rPr>
        <w:t xml:space="preserve"> </w:t>
      </w:r>
      <w:r w:rsidR="002327F3" w:rsidRPr="00D86621">
        <w:rPr>
          <w:rFonts w:ascii="Gadugi" w:hAnsi="Gadugi"/>
          <w:sz w:val="24"/>
          <w:szCs w:val="24"/>
        </w:rPr>
        <w:t xml:space="preserve"> </w:t>
      </w:r>
      <w:r w:rsidR="00340743" w:rsidRPr="00D86621">
        <w:rPr>
          <w:rFonts w:ascii="Gadugi" w:hAnsi="Gadugi"/>
          <w:sz w:val="24"/>
          <w:szCs w:val="24"/>
        </w:rPr>
        <w:t xml:space="preserve"> </w:t>
      </w:r>
      <w:r w:rsidRPr="00D86621">
        <w:rPr>
          <w:rFonts w:ascii="Gadugi" w:hAnsi="Gadugi"/>
          <w:sz w:val="24"/>
          <w:szCs w:val="24"/>
        </w:rPr>
        <w:t xml:space="preserve"> </w:t>
      </w:r>
      <w:r w:rsidR="00C562AD" w:rsidRPr="00D86621">
        <w:rPr>
          <w:rFonts w:ascii="Gadugi" w:hAnsi="Gadugi"/>
          <w:sz w:val="24"/>
          <w:szCs w:val="24"/>
        </w:rPr>
        <w:t xml:space="preserve"> </w:t>
      </w:r>
      <w:r w:rsidR="005D5FC7" w:rsidRPr="00D86621">
        <w:rPr>
          <w:rFonts w:ascii="Gadugi" w:hAnsi="Gadugi"/>
          <w:sz w:val="24"/>
          <w:szCs w:val="24"/>
        </w:rPr>
        <w:t xml:space="preserve"> </w:t>
      </w:r>
      <w:r w:rsidR="00DD7802" w:rsidRPr="00D86621">
        <w:rPr>
          <w:rFonts w:ascii="Gadugi" w:hAnsi="Gadugi"/>
          <w:sz w:val="24"/>
          <w:szCs w:val="24"/>
          <w:lang w:val="es-419"/>
        </w:rPr>
        <w:t xml:space="preserve"> </w:t>
      </w:r>
    </w:p>
    <w:p w14:paraId="2A7A82FE" w14:textId="64219B82" w:rsidR="00D8626E" w:rsidRPr="00D86621" w:rsidRDefault="00CD73E5" w:rsidP="00D86621">
      <w:pPr>
        <w:tabs>
          <w:tab w:val="left" w:pos="3108"/>
        </w:tabs>
        <w:spacing w:line="276" w:lineRule="auto"/>
        <w:ind w:left="2832" w:firstLine="3"/>
        <w:jc w:val="both"/>
        <w:rPr>
          <w:rFonts w:ascii="Gadugi" w:hAnsi="Gadugi"/>
          <w:sz w:val="24"/>
          <w:szCs w:val="24"/>
        </w:rPr>
      </w:pPr>
      <w:r w:rsidRPr="00D86621">
        <w:rPr>
          <w:rFonts w:ascii="Gadugi" w:hAnsi="Gadugi"/>
          <w:sz w:val="24"/>
          <w:szCs w:val="24"/>
        </w:rPr>
        <w:t>Expediente</w:t>
      </w:r>
      <w:r w:rsidR="00E7303F" w:rsidRPr="00D86621">
        <w:rPr>
          <w:rFonts w:ascii="Gadugi" w:hAnsi="Gadugi"/>
          <w:sz w:val="24"/>
          <w:szCs w:val="24"/>
        </w:rPr>
        <w:t>:</w:t>
      </w:r>
      <w:r w:rsidR="008F3B81" w:rsidRPr="00D86621">
        <w:rPr>
          <w:rFonts w:ascii="Gadugi" w:hAnsi="Gadugi"/>
          <w:sz w:val="24"/>
          <w:szCs w:val="24"/>
        </w:rPr>
        <w:t xml:space="preserve"> </w:t>
      </w:r>
      <w:r w:rsidR="00254364" w:rsidRPr="00D86621">
        <w:rPr>
          <w:rFonts w:ascii="Gadugi" w:hAnsi="Gadugi"/>
          <w:sz w:val="24"/>
          <w:szCs w:val="24"/>
        </w:rPr>
        <w:t>66170</w:t>
      </w:r>
      <w:r w:rsidR="00DB2118" w:rsidRPr="00D86621">
        <w:rPr>
          <w:rFonts w:ascii="Gadugi" w:hAnsi="Gadugi"/>
          <w:sz w:val="24"/>
          <w:szCs w:val="24"/>
        </w:rPr>
        <w:t>310300120220007501</w:t>
      </w:r>
    </w:p>
    <w:p w14:paraId="39000C96" w14:textId="31BF7E70" w:rsidR="00CD73E5" w:rsidRPr="00D86621" w:rsidRDefault="00CD73E5" w:rsidP="00D86621">
      <w:pPr>
        <w:tabs>
          <w:tab w:val="left" w:pos="3108"/>
        </w:tabs>
        <w:spacing w:line="276" w:lineRule="auto"/>
        <w:ind w:left="2832" w:firstLine="3"/>
        <w:jc w:val="both"/>
        <w:rPr>
          <w:rFonts w:ascii="Gadugi" w:hAnsi="Gadugi"/>
          <w:sz w:val="24"/>
          <w:szCs w:val="24"/>
          <w:lang w:val="es-419"/>
        </w:rPr>
      </w:pPr>
      <w:r w:rsidRPr="00D86621">
        <w:rPr>
          <w:rFonts w:ascii="Gadugi" w:hAnsi="Gadugi"/>
          <w:sz w:val="24"/>
          <w:szCs w:val="24"/>
        </w:rPr>
        <w:t>Acta</w:t>
      </w:r>
      <w:r w:rsidR="00CA67BA" w:rsidRPr="00D86621">
        <w:rPr>
          <w:rFonts w:ascii="Gadugi" w:hAnsi="Gadugi"/>
          <w:sz w:val="24"/>
          <w:szCs w:val="24"/>
        </w:rPr>
        <w:t xml:space="preserve"> </w:t>
      </w:r>
      <w:r w:rsidR="00C63F50" w:rsidRPr="00D86621">
        <w:rPr>
          <w:rFonts w:ascii="Gadugi" w:hAnsi="Gadugi"/>
          <w:sz w:val="24"/>
          <w:szCs w:val="24"/>
        </w:rPr>
        <w:t>268 del 14 de junio de 2022</w:t>
      </w:r>
      <w:r w:rsidR="00590A5C" w:rsidRPr="00D86621">
        <w:rPr>
          <w:rFonts w:ascii="Gadugi" w:hAnsi="Gadugi"/>
          <w:sz w:val="24"/>
          <w:szCs w:val="24"/>
        </w:rPr>
        <w:t xml:space="preserve"> </w:t>
      </w:r>
      <w:r w:rsidR="00B5315A" w:rsidRPr="00D86621">
        <w:rPr>
          <w:rFonts w:ascii="Gadugi" w:hAnsi="Gadugi"/>
          <w:sz w:val="24"/>
          <w:szCs w:val="24"/>
        </w:rPr>
        <w:t xml:space="preserve"> </w:t>
      </w:r>
      <w:r w:rsidR="002A3FE9" w:rsidRPr="00D86621">
        <w:rPr>
          <w:rFonts w:ascii="Gadugi" w:hAnsi="Gadugi"/>
          <w:sz w:val="24"/>
          <w:szCs w:val="24"/>
        </w:rPr>
        <w:t xml:space="preserve"> </w:t>
      </w:r>
      <w:r w:rsidR="003F059A" w:rsidRPr="00D86621">
        <w:rPr>
          <w:rFonts w:ascii="Gadugi" w:hAnsi="Gadugi"/>
          <w:sz w:val="24"/>
          <w:szCs w:val="24"/>
        </w:rPr>
        <w:t xml:space="preserve"> </w:t>
      </w:r>
      <w:r w:rsidR="000649B3" w:rsidRPr="00D86621">
        <w:rPr>
          <w:rFonts w:ascii="Gadugi" w:hAnsi="Gadugi"/>
          <w:sz w:val="24"/>
          <w:szCs w:val="24"/>
        </w:rPr>
        <w:t xml:space="preserve"> </w:t>
      </w:r>
      <w:r w:rsidRPr="00D86621">
        <w:rPr>
          <w:rFonts w:ascii="Gadugi" w:hAnsi="Gadugi"/>
          <w:sz w:val="24"/>
          <w:szCs w:val="24"/>
        </w:rPr>
        <w:t xml:space="preserve"> </w:t>
      </w:r>
      <w:r w:rsidR="008F3B81" w:rsidRPr="00D86621">
        <w:rPr>
          <w:rFonts w:ascii="Gadugi" w:hAnsi="Gadugi"/>
          <w:sz w:val="24"/>
          <w:szCs w:val="24"/>
        </w:rPr>
        <w:t xml:space="preserve"> </w:t>
      </w:r>
      <w:r w:rsidR="00200310" w:rsidRPr="00D86621">
        <w:rPr>
          <w:rFonts w:ascii="Gadugi" w:hAnsi="Gadugi"/>
          <w:sz w:val="24"/>
          <w:szCs w:val="24"/>
        </w:rPr>
        <w:t xml:space="preserve"> </w:t>
      </w:r>
    </w:p>
    <w:p w14:paraId="51EFA6D1" w14:textId="1A6255A6" w:rsidR="00CD73E5" w:rsidRPr="00D86621" w:rsidRDefault="00467ED1" w:rsidP="00D86621">
      <w:pPr>
        <w:tabs>
          <w:tab w:val="left" w:pos="3108"/>
        </w:tabs>
        <w:spacing w:line="276" w:lineRule="auto"/>
        <w:ind w:firstLine="2835"/>
        <w:jc w:val="both"/>
        <w:rPr>
          <w:rFonts w:ascii="Gadugi" w:hAnsi="Gadugi"/>
          <w:sz w:val="24"/>
          <w:szCs w:val="24"/>
        </w:rPr>
      </w:pPr>
      <w:r w:rsidRPr="00D86621">
        <w:rPr>
          <w:rFonts w:ascii="Gadugi" w:hAnsi="Gadugi"/>
          <w:sz w:val="24"/>
          <w:szCs w:val="24"/>
        </w:rPr>
        <w:t>Sentencia</w:t>
      </w:r>
      <w:r w:rsidR="00CA67BA" w:rsidRPr="00D86621">
        <w:rPr>
          <w:rFonts w:ascii="Gadugi" w:hAnsi="Gadugi"/>
          <w:sz w:val="24"/>
          <w:szCs w:val="24"/>
        </w:rPr>
        <w:t xml:space="preserve"> </w:t>
      </w:r>
      <w:r w:rsidR="00C63F50" w:rsidRPr="00D86621">
        <w:rPr>
          <w:rFonts w:ascii="Gadugi" w:hAnsi="Gadugi"/>
          <w:sz w:val="24"/>
          <w:szCs w:val="24"/>
        </w:rPr>
        <w:t>ST2-0190-</w:t>
      </w:r>
      <w:r w:rsidR="00101747" w:rsidRPr="00D86621">
        <w:rPr>
          <w:rFonts w:ascii="Gadugi" w:hAnsi="Gadugi"/>
          <w:sz w:val="24"/>
          <w:szCs w:val="24"/>
        </w:rPr>
        <w:t>2022</w:t>
      </w:r>
      <w:r w:rsidR="00590A5C" w:rsidRPr="00D86621">
        <w:rPr>
          <w:rFonts w:ascii="Gadugi" w:hAnsi="Gadugi"/>
          <w:sz w:val="24"/>
          <w:szCs w:val="24"/>
        </w:rPr>
        <w:t xml:space="preserve"> </w:t>
      </w:r>
    </w:p>
    <w:p w14:paraId="71D65F08" w14:textId="77777777" w:rsidR="00467ED1" w:rsidRPr="00D86621" w:rsidRDefault="00467ED1" w:rsidP="00D86621">
      <w:pPr>
        <w:tabs>
          <w:tab w:val="left" w:pos="3108"/>
        </w:tabs>
        <w:spacing w:line="276" w:lineRule="auto"/>
        <w:ind w:firstLine="2835"/>
        <w:jc w:val="both"/>
        <w:rPr>
          <w:rFonts w:ascii="Gadugi" w:hAnsi="Gadugi"/>
          <w:sz w:val="24"/>
          <w:szCs w:val="24"/>
        </w:rPr>
      </w:pPr>
    </w:p>
    <w:p w14:paraId="71DF6EF9" w14:textId="77777777" w:rsidR="00C562AD" w:rsidRPr="00D86621" w:rsidRDefault="00C562AD" w:rsidP="00D86621">
      <w:pPr>
        <w:tabs>
          <w:tab w:val="left" w:pos="3108"/>
        </w:tabs>
        <w:spacing w:line="276" w:lineRule="auto"/>
        <w:ind w:firstLine="2835"/>
        <w:jc w:val="both"/>
        <w:rPr>
          <w:rFonts w:ascii="Gadugi" w:hAnsi="Gadugi"/>
          <w:sz w:val="24"/>
          <w:szCs w:val="24"/>
        </w:rPr>
      </w:pPr>
    </w:p>
    <w:p w14:paraId="30319049" w14:textId="000C2CDF" w:rsidR="00DB2118" w:rsidRPr="00D86621" w:rsidRDefault="00C562AD" w:rsidP="00D86621">
      <w:pPr>
        <w:tabs>
          <w:tab w:val="left" w:pos="3108"/>
        </w:tabs>
        <w:spacing w:line="276" w:lineRule="auto"/>
        <w:ind w:firstLine="2835"/>
        <w:jc w:val="both"/>
        <w:rPr>
          <w:rFonts w:ascii="Gadugi" w:hAnsi="Gadugi"/>
          <w:sz w:val="24"/>
          <w:szCs w:val="24"/>
        </w:rPr>
      </w:pPr>
      <w:r w:rsidRPr="00D86621">
        <w:rPr>
          <w:rFonts w:ascii="Gadugi" w:hAnsi="Gadugi"/>
          <w:sz w:val="24"/>
          <w:szCs w:val="24"/>
        </w:rPr>
        <w:t>Decide la Sala la</w:t>
      </w:r>
      <w:r w:rsidR="00DB2118" w:rsidRPr="00D86621">
        <w:rPr>
          <w:rFonts w:ascii="Gadugi" w:hAnsi="Gadugi"/>
          <w:sz w:val="24"/>
          <w:szCs w:val="24"/>
        </w:rPr>
        <w:t>s</w:t>
      </w:r>
      <w:r w:rsidRPr="00D86621">
        <w:rPr>
          <w:rFonts w:ascii="Gadugi" w:hAnsi="Gadugi"/>
          <w:sz w:val="24"/>
          <w:szCs w:val="24"/>
        </w:rPr>
        <w:t xml:space="preserve"> impugnaci</w:t>
      </w:r>
      <w:r w:rsidR="00DB2118" w:rsidRPr="00D86621">
        <w:rPr>
          <w:rFonts w:ascii="Gadugi" w:hAnsi="Gadugi"/>
          <w:sz w:val="24"/>
          <w:szCs w:val="24"/>
        </w:rPr>
        <w:t>ones</w:t>
      </w:r>
      <w:r w:rsidRPr="00D86621">
        <w:rPr>
          <w:rFonts w:ascii="Gadugi" w:hAnsi="Gadugi"/>
          <w:sz w:val="24"/>
          <w:szCs w:val="24"/>
        </w:rPr>
        <w:t xml:space="preserve"> propuesta</w:t>
      </w:r>
      <w:r w:rsidR="00DB2118" w:rsidRPr="00D86621">
        <w:rPr>
          <w:rFonts w:ascii="Gadugi" w:hAnsi="Gadugi"/>
          <w:sz w:val="24"/>
          <w:szCs w:val="24"/>
        </w:rPr>
        <w:t>s</w:t>
      </w:r>
      <w:r w:rsidRPr="00D86621">
        <w:rPr>
          <w:rFonts w:ascii="Gadugi" w:hAnsi="Gadugi"/>
          <w:sz w:val="24"/>
          <w:szCs w:val="24"/>
        </w:rPr>
        <w:t xml:space="preserve"> </w:t>
      </w:r>
      <w:r w:rsidR="002327F3" w:rsidRPr="00D86621">
        <w:rPr>
          <w:rFonts w:ascii="Gadugi" w:hAnsi="Gadugi"/>
          <w:sz w:val="24"/>
          <w:szCs w:val="24"/>
        </w:rPr>
        <w:t xml:space="preserve">contra la </w:t>
      </w:r>
      <w:r w:rsidR="00366C33" w:rsidRPr="00D86621">
        <w:rPr>
          <w:rFonts w:ascii="Gadugi" w:hAnsi="Gadugi"/>
          <w:sz w:val="24"/>
          <w:szCs w:val="24"/>
        </w:rPr>
        <w:t xml:space="preserve">sentencia del </w:t>
      </w:r>
      <w:r w:rsidR="00DB2118" w:rsidRPr="00D86621">
        <w:rPr>
          <w:rFonts w:ascii="Gadugi" w:hAnsi="Gadugi"/>
          <w:sz w:val="24"/>
          <w:szCs w:val="24"/>
        </w:rPr>
        <w:t>3</w:t>
      </w:r>
      <w:r w:rsidR="00590A5C" w:rsidRPr="00D86621">
        <w:rPr>
          <w:rFonts w:ascii="Gadugi" w:hAnsi="Gadugi"/>
          <w:sz w:val="24"/>
          <w:szCs w:val="24"/>
        </w:rPr>
        <w:t xml:space="preserve"> de mayo</w:t>
      </w:r>
      <w:r w:rsidR="008F3B81" w:rsidRPr="00D86621">
        <w:rPr>
          <w:rFonts w:ascii="Gadugi" w:hAnsi="Gadugi"/>
          <w:sz w:val="24"/>
          <w:szCs w:val="24"/>
        </w:rPr>
        <w:t xml:space="preserve"> </w:t>
      </w:r>
      <w:r w:rsidR="00E7303F" w:rsidRPr="00D86621">
        <w:rPr>
          <w:rFonts w:ascii="Gadugi" w:hAnsi="Gadugi"/>
          <w:sz w:val="24"/>
          <w:szCs w:val="24"/>
        </w:rPr>
        <w:t>de 202</w:t>
      </w:r>
      <w:r w:rsidR="00B5315A" w:rsidRPr="00D86621">
        <w:rPr>
          <w:rFonts w:ascii="Gadugi" w:hAnsi="Gadugi"/>
          <w:sz w:val="24"/>
          <w:szCs w:val="24"/>
        </w:rPr>
        <w:t>2</w:t>
      </w:r>
      <w:r w:rsidR="000649B3" w:rsidRPr="00D86621">
        <w:rPr>
          <w:rFonts w:ascii="Gadugi" w:hAnsi="Gadugi"/>
          <w:sz w:val="24"/>
          <w:szCs w:val="24"/>
        </w:rPr>
        <w:t>,</w:t>
      </w:r>
      <w:r w:rsidR="00366C33" w:rsidRPr="00D86621">
        <w:rPr>
          <w:rFonts w:ascii="Gadugi" w:hAnsi="Gadugi"/>
          <w:sz w:val="24"/>
          <w:szCs w:val="24"/>
        </w:rPr>
        <w:t xml:space="preserve"> proferida por el Juzgado </w:t>
      </w:r>
      <w:r w:rsidR="00DB2118" w:rsidRPr="00D86621">
        <w:rPr>
          <w:rFonts w:ascii="Gadugi" w:hAnsi="Gadugi"/>
          <w:sz w:val="24"/>
          <w:szCs w:val="24"/>
        </w:rPr>
        <w:t>Civil</w:t>
      </w:r>
      <w:r w:rsidR="00E7303F" w:rsidRPr="00D86621">
        <w:rPr>
          <w:rFonts w:ascii="Gadugi" w:hAnsi="Gadugi"/>
          <w:sz w:val="24"/>
          <w:szCs w:val="24"/>
        </w:rPr>
        <w:t xml:space="preserve"> Circuito </w:t>
      </w:r>
      <w:r w:rsidR="00B5315A" w:rsidRPr="00D86621">
        <w:rPr>
          <w:rFonts w:ascii="Gadugi" w:hAnsi="Gadugi"/>
          <w:sz w:val="24"/>
          <w:szCs w:val="24"/>
        </w:rPr>
        <w:t xml:space="preserve">de </w:t>
      </w:r>
      <w:r w:rsidR="00DB2118" w:rsidRPr="00D86621">
        <w:rPr>
          <w:rFonts w:ascii="Gadugi" w:hAnsi="Gadugi"/>
          <w:sz w:val="24"/>
          <w:szCs w:val="24"/>
        </w:rPr>
        <w:t>Dosquebradas</w:t>
      </w:r>
      <w:r w:rsidR="00D007C6" w:rsidRPr="00D86621">
        <w:rPr>
          <w:rFonts w:ascii="Gadugi" w:hAnsi="Gadugi"/>
          <w:sz w:val="24"/>
          <w:szCs w:val="24"/>
        </w:rPr>
        <w:t xml:space="preserve">, en esta </w:t>
      </w:r>
      <w:r w:rsidR="00D007C6" w:rsidRPr="000F2188">
        <w:rPr>
          <w:rFonts w:ascii="Gadugi" w:hAnsi="Gadugi"/>
          <w:b/>
          <w:sz w:val="24"/>
          <w:szCs w:val="24"/>
        </w:rPr>
        <w:t>acción de tutela</w:t>
      </w:r>
      <w:r w:rsidR="00D007C6" w:rsidRPr="00D86621">
        <w:rPr>
          <w:rFonts w:ascii="Gadugi" w:hAnsi="Gadugi"/>
          <w:sz w:val="24"/>
          <w:szCs w:val="24"/>
        </w:rPr>
        <w:t xml:space="preserve"> </w:t>
      </w:r>
      <w:r w:rsidR="008F3B81" w:rsidRPr="00D86621">
        <w:rPr>
          <w:rFonts w:ascii="Gadugi" w:hAnsi="Gadugi"/>
          <w:sz w:val="24"/>
          <w:szCs w:val="24"/>
        </w:rPr>
        <w:t>formulada</w:t>
      </w:r>
      <w:r w:rsidR="002A3FE9" w:rsidRPr="00D86621">
        <w:rPr>
          <w:rFonts w:ascii="Gadugi" w:hAnsi="Gadugi"/>
          <w:sz w:val="24"/>
          <w:szCs w:val="24"/>
        </w:rPr>
        <w:t>, mediante apoderado judicial,</w:t>
      </w:r>
      <w:r w:rsidR="008F3B81" w:rsidRPr="00D86621">
        <w:rPr>
          <w:rFonts w:ascii="Gadugi" w:hAnsi="Gadugi"/>
          <w:sz w:val="24"/>
          <w:szCs w:val="24"/>
        </w:rPr>
        <w:t xml:space="preserve"> por</w:t>
      </w:r>
      <w:r w:rsidR="00DB2118" w:rsidRPr="00D86621">
        <w:rPr>
          <w:rFonts w:ascii="Gadugi" w:hAnsi="Gadugi"/>
          <w:sz w:val="24"/>
          <w:szCs w:val="24"/>
        </w:rPr>
        <w:t xml:space="preserve"> </w:t>
      </w:r>
      <w:proofErr w:type="spellStart"/>
      <w:r w:rsidR="00DB2118" w:rsidRPr="00D86621">
        <w:rPr>
          <w:rFonts w:ascii="Gadugi" w:hAnsi="Gadugi"/>
          <w:b/>
          <w:sz w:val="24"/>
          <w:szCs w:val="24"/>
        </w:rPr>
        <w:t>Evila</w:t>
      </w:r>
      <w:proofErr w:type="spellEnd"/>
      <w:r w:rsidR="00DB2118" w:rsidRPr="00D86621">
        <w:rPr>
          <w:rFonts w:ascii="Gadugi" w:hAnsi="Gadugi"/>
          <w:b/>
          <w:sz w:val="24"/>
          <w:szCs w:val="24"/>
        </w:rPr>
        <w:t xml:space="preserve"> Johana Ascencio Mendoza</w:t>
      </w:r>
      <w:r w:rsidR="00DB2118" w:rsidRPr="00D86621">
        <w:rPr>
          <w:rFonts w:ascii="Gadugi" w:hAnsi="Gadugi"/>
          <w:sz w:val="24"/>
          <w:szCs w:val="24"/>
        </w:rPr>
        <w:t xml:space="preserve"> contra el </w:t>
      </w:r>
      <w:r w:rsidR="00DB2118" w:rsidRPr="00D86621">
        <w:rPr>
          <w:rFonts w:ascii="Gadugi" w:hAnsi="Gadugi"/>
          <w:b/>
          <w:sz w:val="24"/>
          <w:szCs w:val="24"/>
        </w:rPr>
        <w:t>Juzgado Primero Civil Municipal de Dosquebradas</w:t>
      </w:r>
      <w:r w:rsidR="00DB2118" w:rsidRPr="00D86621">
        <w:rPr>
          <w:rFonts w:ascii="Gadugi" w:hAnsi="Gadugi"/>
          <w:sz w:val="24"/>
          <w:szCs w:val="24"/>
        </w:rPr>
        <w:t xml:space="preserve">, y a la que fue vinculado el </w:t>
      </w:r>
      <w:r w:rsidR="00DB2118" w:rsidRPr="00D86621">
        <w:rPr>
          <w:rFonts w:ascii="Gadugi" w:hAnsi="Gadugi"/>
          <w:b/>
          <w:sz w:val="24"/>
          <w:szCs w:val="24"/>
        </w:rPr>
        <w:t xml:space="preserve">Conjunto Residencial </w:t>
      </w:r>
      <w:proofErr w:type="spellStart"/>
      <w:r w:rsidR="00DB2118" w:rsidRPr="00D86621">
        <w:rPr>
          <w:rFonts w:ascii="Gadugi" w:hAnsi="Gadugi"/>
          <w:b/>
          <w:sz w:val="24"/>
          <w:szCs w:val="24"/>
        </w:rPr>
        <w:t>Tadaima</w:t>
      </w:r>
      <w:proofErr w:type="spellEnd"/>
      <w:r w:rsidR="00DB2118" w:rsidRPr="00D86621">
        <w:rPr>
          <w:rFonts w:ascii="Gadugi" w:hAnsi="Gadugi"/>
          <w:b/>
          <w:sz w:val="24"/>
          <w:szCs w:val="24"/>
        </w:rPr>
        <w:t xml:space="preserve"> P.H.</w:t>
      </w:r>
    </w:p>
    <w:p w14:paraId="599325FB" w14:textId="77777777" w:rsidR="00DB2118" w:rsidRPr="00D86621" w:rsidRDefault="00DB2118" w:rsidP="00D86621">
      <w:pPr>
        <w:tabs>
          <w:tab w:val="left" w:pos="3108"/>
        </w:tabs>
        <w:spacing w:line="276" w:lineRule="auto"/>
        <w:ind w:firstLine="2835"/>
        <w:jc w:val="both"/>
        <w:rPr>
          <w:rFonts w:ascii="Gadugi" w:hAnsi="Gadugi"/>
          <w:sz w:val="24"/>
          <w:szCs w:val="24"/>
        </w:rPr>
      </w:pPr>
    </w:p>
    <w:p w14:paraId="1E9224F3" w14:textId="15CB1A9C" w:rsidR="001313B3" w:rsidRPr="00D86621" w:rsidRDefault="0006073D" w:rsidP="00D86621">
      <w:pPr>
        <w:tabs>
          <w:tab w:val="left" w:pos="2835"/>
        </w:tabs>
        <w:spacing w:line="276" w:lineRule="auto"/>
        <w:rPr>
          <w:rFonts w:ascii="Gadugi" w:hAnsi="Gadugi"/>
          <w:sz w:val="24"/>
          <w:szCs w:val="24"/>
          <w:lang w:val="es-MX"/>
        </w:rPr>
      </w:pPr>
      <w:r w:rsidRPr="00D86621">
        <w:rPr>
          <w:rFonts w:ascii="Gadugi" w:hAnsi="Gadugi"/>
          <w:sz w:val="24"/>
          <w:szCs w:val="24"/>
          <w:lang w:val="es-MX"/>
        </w:rPr>
        <w:tab/>
      </w:r>
    </w:p>
    <w:p w14:paraId="1E58425D" w14:textId="60879675" w:rsidR="00CD73E5" w:rsidRPr="00D86621" w:rsidRDefault="00590A5C" w:rsidP="00D86621">
      <w:pPr>
        <w:pStyle w:val="Ttulo4"/>
        <w:tabs>
          <w:tab w:val="left" w:pos="3108"/>
        </w:tabs>
        <w:spacing w:line="276" w:lineRule="auto"/>
        <w:rPr>
          <w:rFonts w:ascii="Gadugi" w:hAnsi="Gadugi"/>
          <w:b/>
          <w:sz w:val="24"/>
          <w:szCs w:val="24"/>
        </w:rPr>
      </w:pPr>
      <w:r w:rsidRPr="00D86621">
        <w:rPr>
          <w:rFonts w:ascii="Gadugi" w:hAnsi="Gadugi"/>
          <w:b/>
          <w:sz w:val="24"/>
          <w:szCs w:val="24"/>
        </w:rPr>
        <w:t>1</w:t>
      </w:r>
      <w:r w:rsidR="005F599A" w:rsidRPr="00D86621">
        <w:rPr>
          <w:rFonts w:ascii="Gadugi" w:hAnsi="Gadugi"/>
          <w:b/>
          <w:sz w:val="24"/>
          <w:szCs w:val="24"/>
        </w:rPr>
        <w:t xml:space="preserve">. </w:t>
      </w:r>
      <w:r w:rsidR="00CD73E5" w:rsidRPr="00D86621">
        <w:rPr>
          <w:rFonts w:ascii="Gadugi" w:hAnsi="Gadugi"/>
          <w:b/>
          <w:sz w:val="24"/>
          <w:szCs w:val="24"/>
        </w:rPr>
        <w:t>ANTECEDENTES</w:t>
      </w:r>
    </w:p>
    <w:p w14:paraId="6F6ECDF4" w14:textId="77777777" w:rsidR="008F3B81" w:rsidRPr="00D86621" w:rsidRDefault="008F3B81" w:rsidP="00D86621">
      <w:pPr>
        <w:tabs>
          <w:tab w:val="left" w:pos="3108"/>
          <w:tab w:val="left" w:pos="7695"/>
        </w:tabs>
        <w:spacing w:line="276" w:lineRule="auto"/>
        <w:ind w:firstLine="2835"/>
        <w:jc w:val="both"/>
        <w:rPr>
          <w:rFonts w:ascii="Gadugi" w:hAnsi="Gadugi" w:cs="Century Gothic"/>
          <w:b/>
          <w:bCs/>
          <w:sz w:val="24"/>
          <w:szCs w:val="24"/>
        </w:rPr>
      </w:pPr>
    </w:p>
    <w:p w14:paraId="13B30E91" w14:textId="30CD2C35" w:rsidR="008F3B81" w:rsidRPr="00D86621" w:rsidRDefault="008F3B81" w:rsidP="00D86621">
      <w:pPr>
        <w:tabs>
          <w:tab w:val="left" w:pos="3108"/>
          <w:tab w:val="left" w:pos="7695"/>
        </w:tabs>
        <w:spacing w:line="276" w:lineRule="auto"/>
        <w:ind w:firstLine="2835"/>
        <w:jc w:val="both"/>
        <w:rPr>
          <w:rFonts w:ascii="Gadugi" w:hAnsi="Gadugi" w:cs="Century Gothic"/>
          <w:b/>
          <w:bCs/>
          <w:sz w:val="24"/>
          <w:szCs w:val="24"/>
        </w:rPr>
      </w:pPr>
    </w:p>
    <w:p w14:paraId="4458420F" w14:textId="78CE5306" w:rsidR="006F3A88" w:rsidRPr="00D86621" w:rsidRDefault="005F599A" w:rsidP="00D86621">
      <w:pPr>
        <w:tabs>
          <w:tab w:val="left" w:pos="3108"/>
          <w:tab w:val="left" w:pos="7695"/>
        </w:tabs>
        <w:spacing w:line="276" w:lineRule="auto"/>
        <w:ind w:firstLine="2835"/>
        <w:jc w:val="both"/>
        <w:rPr>
          <w:rFonts w:ascii="Gadugi" w:hAnsi="Gadugi" w:cs="Century Gothic"/>
          <w:sz w:val="24"/>
          <w:szCs w:val="24"/>
        </w:rPr>
      </w:pPr>
      <w:r w:rsidRPr="00D86621">
        <w:rPr>
          <w:rFonts w:ascii="Gadugi" w:hAnsi="Gadugi" w:cs="Century Gothic"/>
          <w:sz w:val="24"/>
          <w:szCs w:val="24"/>
        </w:rPr>
        <w:t>1.1.</w:t>
      </w:r>
      <w:r w:rsidR="00590A5C" w:rsidRPr="00D86621">
        <w:rPr>
          <w:rFonts w:ascii="Gadugi" w:hAnsi="Gadugi" w:cs="Century Gothic"/>
          <w:sz w:val="24"/>
          <w:szCs w:val="24"/>
        </w:rPr>
        <w:t xml:space="preserve"> De la </w:t>
      </w:r>
      <w:r w:rsidR="006F3A88" w:rsidRPr="00D86621">
        <w:rPr>
          <w:rFonts w:ascii="Gadugi" w:hAnsi="Gadugi" w:cs="Century Gothic"/>
          <w:sz w:val="24"/>
          <w:szCs w:val="24"/>
        </w:rPr>
        <w:t xml:space="preserve">extensa </w:t>
      </w:r>
      <w:r w:rsidR="00590A5C" w:rsidRPr="00D86621">
        <w:rPr>
          <w:rFonts w:ascii="Gadugi" w:hAnsi="Gadugi" w:cs="Century Gothic"/>
          <w:sz w:val="24"/>
          <w:szCs w:val="24"/>
        </w:rPr>
        <w:t>demanda se extrae que</w:t>
      </w:r>
      <w:r w:rsidR="00497CF6" w:rsidRPr="00D86621">
        <w:rPr>
          <w:rFonts w:ascii="Gadugi" w:hAnsi="Gadugi" w:cs="Century Gothic"/>
          <w:sz w:val="24"/>
          <w:szCs w:val="24"/>
        </w:rPr>
        <w:t>,</w:t>
      </w:r>
      <w:r w:rsidR="00590A5C" w:rsidRPr="00D86621">
        <w:rPr>
          <w:rFonts w:ascii="Gadugi" w:hAnsi="Gadugi" w:cs="Century Gothic"/>
          <w:sz w:val="24"/>
          <w:szCs w:val="24"/>
        </w:rPr>
        <w:t xml:space="preserve"> </w:t>
      </w:r>
      <w:r w:rsidR="006F3A88" w:rsidRPr="00D86621">
        <w:rPr>
          <w:rFonts w:ascii="Gadugi" w:hAnsi="Gadugi" w:cs="Century Gothic"/>
          <w:sz w:val="24"/>
          <w:szCs w:val="24"/>
        </w:rPr>
        <w:t>dentro del proceso ejecutivo con radicado 2020-00460-00, se profirió sentencia el 12 de octubre de 2021, en la que se ordenó seguir adelante la ejecución contra la aquí accionante.</w:t>
      </w:r>
    </w:p>
    <w:p w14:paraId="1E5416AD" w14:textId="71E98E93" w:rsidR="002F5423" w:rsidRPr="00D86621" w:rsidRDefault="002F5423" w:rsidP="00D86621">
      <w:pPr>
        <w:tabs>
          <w:tab w:val="left" w:pos="3108"/>
          <w:tab w:val="left" w:pos="7695"/>
        </w:tabs>
        <w:spacing w:line="276" w:lineRule="auto"/>
        <w:ind w:firstLine="2835"/>
        <w:jc w:val="both"/>
        <w:rPr>
          <w:rFonts w:ascii="Gadugi" w:hAnsi="Gadugi" w:cs="Century Gothic"/>
          <w:sz w:val="24"/>
          <w:szCs w:val="24"/>
        </w:rPr>
      </w:pPr>
    </w:p>
    <w:p w14:paraId="280F8D7F" w14:textId="30D362F5" w:rsidR="002F5423" w:rsidRPr="00D86621" w:rsidRDefault="002F5423" w:rsidP="00D86621">
      <w:pPr>
        <w:tabs>
          <w:tab w:val="left" w:pos="3108"/>
          <w:tab w:val="left" w:pos="7695"/>
        </w:tabs>
        <w:spacing w:line="276" w:lineRule="auto"/>
        <w:ind w:firstLine="2835"/>
        <w:jc w:val="both"/>
        <w:rPr>
          <w:rFonts w:ascii="Gadugi" w:hAnsi="Gadugi" w:cs="Century Gothic"/>
          <w:sz w:val="24"/>
          <w:szCs w:val="24"/>
        </w:rPr>
      </w:pPr>
      <w:r w:rsidRPr="00D86621">
        <w:rPr>
          <w:rFonts w:ascii="Gadugi" w:hAnsi="Gadugi" w:cs="Century Gothic"/>
          <w:sz w:val="24"/>
          <w:szCs w:val="24"/>
        </w:rPr>
        <w:t xml:space="preserve">De ese fallo se reprochó que se </w:t>
      </w:r>
      <w:r w:rsidR="00382605" w:rsidRPr="00D86621">
        <w:rPr>
          <w:rFonts w:ascii="Gadugi" w:hAnsi="Gadugi" w:cs="Century Gothic"/>
          <w:i/>
          <w:sz w:val="24"/>
          <w:szCs w:val="24"/>
        </w:rPr>
        <w:t>“</w:t>
      </w:r>
      <w:r w:rsidR="00382605" w:rsidRPr="00D86621">
        <w:rPr>
          <w:rFonts w:ascii="Gadugi" w:hAnsi="Gadugi" w:cs="Century Gothic"/>
          <w:i/>
          <w:sz w:val="22"/>
          <w:szCs w:val="24"/>
        </w:rPr>
        <w:t>(…) omitió valorar certeramente las pruebas allegadas al proceso, pues simplemente se limitó a señalar que las decisiones de la asamblea general y la certificación expedida por el administrador del conjunto era un título ejecutivo justo y legal desconociendo la ilegalidad que existía en su contexto y en su origen; ilegalidad que fue debidamente probada dentro del proceso judicial al valorar el titulo sin tener en cuenta los vicios de su creación</w:t>
      </w:r>
      <w:r w:rsidR="00382605" w:rsidRPr="00D86621">
        <w:rPr>
          <w:rFonts w:ascii="Gadugi" w:hAnsi="Gadugi" w:cs="Century Gothic"/>
          <w:i/>
          <w:sz w:val="24"/>
          <w:szCs w:val="24"/>
        </w:rPr>
        <w:t xml:space="preserve">”. </w:t>
      </w:r>
    </w:p>
    <w:p w14:paraId="6392D3D7" w14:textId="12D5C828" w:rsidR="00382605" w:rsidRPr="00D86621" w:rsidRDefault="00382605" w:rsidP="00D86621">
      <w:pPr>
        <w:tabs>
          <w:tab w:val="left" w:pos="3108"/>
          <w:tab w:val="left" w:pos="7695"/>
        </w:tabs>
        <w:spacing w:line="276" w:lineRule="auto"/>
        <w:ind w:firstLine="2835"/>
        <w:jc w:val="both"/>
        <w:rPr>
          <w:rFonts w:ascii="Gadugi" w:hAnsi="Gadugi" w:cs="Century Gothic"/>
          <w:sz w:val="24"/>
          <w:szCs w:val="24"/>
        </w:rPr>
      </w:pPr>
    </w:p>
    <w:p w14:paraId="2E6C7356" w14:textId="78E1B58F" w:rsidR="00382605" w:rsidRPr="00D86621" w:rsidRDefault="00382605" w:rsidP="00D86621">
      <w:pPr>
        <w:tabs>
          <w:tab w:val="left" w:pos="3108"/>
          <w:tab w:val="left" w:pos="7695"/>
        </w:tabs>
        <w:spacing w:line="276" w:lineRule="auto"/>
        <w:ind w:firstLine="2835"/>
        <w:jc w:val="both"/>
        <w:rPr>
          <w:rFonts w:ascii="Gadugi" w:hAnsi="Gadugi" w:cs="Century Gothic"/>
          <w:sz w:val="24"/>
          <w:szCs w:val="24"/>
        </w:rPr>
      </w:pPr>
      <w:r w:rsidRPr="00D86621">
        <w:rPr>
          <w:rFonts w:ascii="Gadugi" w:hAnsi="Gadugi" w:cs="Century Gothic"/>
          <w:sz w:val="24"/>
          <w:szCs w:val="24"/>
        </w:rPr>
        <w:t>También se señaló que</w:t>
      </w:r>
      <w:r w:rsidRPr="00D86621">
        <w:rPr>
          <w:rFonts w:ascii="Gadugi" w:hAnsi="Gadugi" w:cs="Century Gothic"/>
          <w:i/>
          <w:sz w:val="24"/>
          <w:szCs w:val="24"/>
        </w:rPr>
        <w:t xml:space="preserve"> “</w:t>
      </w:r>
      <w:r w:rsidRPr="00D86621">
        <w:rPr>
          <w:rFonts w:ascii="Gadugi" w:hAnsi="Gadugi" w:cs="Century Gothic"/>
          <w:i/>
          <w:sz w:val="22"/>
          <w:szCs w:val="24"/>
        </w:rPr>
        <w:t xml:space="preserve">(…) las pretensiones iniciales no fueron reformadas, en cambio el título ejecutivo allegado para el cobro fue sustancialmente modificado cuando se subsanó la demanda; resulta igualmente incuestionable que la sentencia es absolutamente incongruente con lo probado y lo pretendido en el proceso, pues una cosa es lo que se probó y pretendió y otra totalmente diferente fue lo que se falló en la sentencia de única instancia, siendo incongruente por ser </w:t>
      </w:r>
      <w:proofErr w:type="spellStart"/>
      <w:r w:rsidRPr="00D86621">
        <w:rPr>
          <w:rFonts w:ascii="Gadugi" w:hAnsi="Gadugi" w:cs="Century Gothic"/>
          <w:i/>
          <w:sz w:val="22"/>
          <w:szCs w:val="24"/>
        </w:rPr>
        <w:t>extrapetita</w:t>
      </w:r>
      <w:proofErr w:type="spellEnd"/>
      <w:r w:rsidRPr="00D86621">
        <w:rPr>
          <w:rFonts w:ascii="Gadugi" w:hAnsi="Gadugi" w:cs="Century Gothic"/>
          <w:i/>
          <w:sz w:val="22"/>
          <w:szCs w:val="24"/>
        </w:rPr>
        <w:t>, pues lo que se pretendía era una supuesta obligación de una acreencia contraída en el mes de enero de 2018 y la sentencia ordena el pago de una supuesta acreencia adquirida en el año 2019</w:t>
      </w:r>
      <w:r w:rsidRPr="00D86621">
        <w:rPr>
          <w:rFonts w:ascii="Gadugi" w:hAnsi="Gadugi" w:cs="Century Gothic"/>
          <w:i/>
          <w:sz w:val="24"/>
          <w:szCs w:val="24"/>
        </w:rPr>
        <w:t>.”</w:t>
      </w:r>
    </w:p>
    <w:p w14:paraId="79D7F7A6" w14:textId="1A4F3931" w:rsidR="006F3A88" w:rsidRPr="00D86621" w:rsidRDefault="006F3A88" w:rsidP="00D86621">
      <w:pPr>
        <w:tabs>
          <w:tab w:val="left" w:pos="3108"/>
          <w:tab w:val="left" w:pos="7695"/>
        </w:tabs>
        <w:spacing w:line="276" w:lineRule="auto"/>
        <w:ind w:firstLine="2835"/>
        <w:jc w:val="both"/>
        <w:rPr>
          <w:rFonts w:ascii="Gadugi" w:hAnsi="Gadugi" w:cs="Century Gothic"/>
          <w:sz w:val="24"/>
          <w:szCs w:val="24"/>
        </w:rPr>
      </w:pPr>
    </w:p>
    <w:p w14:paraId="6C51B9AE" w14:textId="4EAD9154" w:rsidR="00382605" w:rsidRPr="00D86621" w:rsidRDefault="00382605" w:rsidP="00D86621">
      <w:pPr>
        <w:tabs>
          <w:tab w:val="left" w:pos="3108"/>
          <w:tab w:val="left" w:pos="7695"/>
        </w:tabs>
        <w:spacing w:line="276" w:lineRule="auto"/>
        <w:ind w:firstLine="2835"/>
        <w:jc w:val="both"/>
        <w:rPr>
          <w:rFonts w:ascii="Gadugi" w:hAnsi="Gadugi" w:cs="Century Gothic"/>
          <w:sz w:val="24"/>
          <w:szCs w:val="24"/>
        </w:rPr>
      </w:pPr>
      <w:r w:rsidRPr="00D86621">
        <w:rPr>
          <w:rFonts w:ascii="Gadugi" w:hAnsi="Gadugi" w:cs="Century Gothic"/>
          <w:sz w:val="24"/>
          <w:szCs w:val="24"/>
        </w:rPr>
        <w:t xml:space="preserve">Agregó que </w:t>
      </w:r>
      <w:r w:rsidRPr="00D86621">
        <w:rPr>
          <w:rFonts w:ascii="Gadugi" w:hAnsi="Gadugi" w:cs="Century Gothic"/>
          <w:i/>
          <w:sz w:val="24"/>
          <w:szCs w:val="24"/>
        </w:rPr>
        <w:t>“</w:t>
      </w:r>
      <w:r w:rsidRPr="00D86621">
        <w:rPr>
          <w:rFonts w:ascii="Gadugi" w:hAnsi="Gadugi" w:cs="Century Gothic"/>
          <w:i/>
          <w:sz w:val="22"/>
          <w:szCs w:val="24"/>
        </w:rPr>
        <w:t>(…) como pudo evidenciarse en las excepciones a la demanda que presentó el apoderado de mi mandante en el proceso, en el interrogatorio y alegatos realizados en la audiencia y en el hecho de no avizorar y/u oponerse a la serie de incongruencias presentes en las certificaciones, pretensiones, mandamiento inicial y sentencia; queda demostrado que mi mandante no contó con la defensa técnica necesaria que le permitiera ejercer un derecho de contradicción idóneo y acorde con la serie de hechos que de contera permitían demostrar que mi prohijada no tenía a su cargo la obligación reclamada, con lo que queda demostrada la falta de defensa técnica durante el proceso</w:t>
      </w:r>
      <w:r w:rsidRPr="00D86621">
        <w:rPr>
          <w:rFonts w:ascii="Gadugi" w:hAnsi="Gadugi" w:cs="Century Gothic"/>
          <w:i/>
          <w:sz w:val="24"/>
          <w:szCs w:val="24"/>
        </w:rPr>
        <w:t>”.</w:t>
      </w:r>
      <w:r w:rsidRPr="00D86621">
        <w:rPr>
          <w:rFonts w:ascii="Gadugi" w:hAnsi="Gadugi" w:cs="Century Gothic"/>
          <w:sz w:val="24"/>
          <w:szCs w:val="24"/>
        </w:rPr>
        <w:t xml:space="preserve"> </w:t>
      </w:r>
    </w:p>
    <w:p w14:paraId="7E54E7D8" w14:textId="77777777" w:rsidR="00382605" w:rsidRPr="00D86621" w:rsidRDefault="00382605" w:rsidP="00D86621">
      <w:pPr>
        <w:tabs>
          <w:tab w:val="left" w:pos="3108"/>
          <w:tab w:val="left" w:pos="7695"/>
        </w:tabs>
        <w:spacing w:line="276" w:lineRule="auto"/>
        <w:ind w:firstLine="2835"/>
        <w:jc w:val="both"/>
        <w:rPr>
          <w:rFonts w:ascii="Gadugi" w:hAnsi="Gadugi" w:cs="Century Gothic"/>
          <w:sz w:val="24"/>
          <w:szCs w:val="24"/>
        </w:rPr>
      </w:pPr>
    </w:p>
    <w:p w14:paraId="25E3E968" w14:textId="14FBBA9C" w:rsidR="00382605" w:rsidRPr="00D86621" w:rsidRDefault="00382605" w:rsidP="00D86621">
      <w:pPr>
        <w:tabs>
          <w:tab w:val="left" w:pos="3108"/>
          <w:tab w:val="left" w:pos="7695"/>
        </w:tabs>
        <w:spacing w:line="276" w:lineRule="auto"/>
        <w:ind w:firstLine="2835"/>
        <w:jc w:val="both"/>
        <w:rPr>
          <w:rFonts w:ascii="Gadugi" w:hAnsi="Gadugi" w:cs="Century Gothic"/>
          <w:sz w:val="24"/>
          <w:szCs w:val="24"/>
        </w:rPr>
      </w:pPr>
      <w:r w:rsidRPr="00D86621">
        <w:rPr>
          <w:rFonts w:ascii="Gadugi" w:hAnsi="Gadugi" w:cs="Century Gothic"/>
          <w:sz w:val="24"/>
          <w:szCs w:val="24"/>
        </w:rPr>
        <w:t xml:space="preserve">Y se concluyó que </w:t>
      </w:r>
      <w:r w:rsidRPr="00D86621">
        <w:rPr>
          <w:rFonts w:ascii="Gadugi" w:hAnsi="Gadugi" w:cs="Century Gothic"/>
          <w:i/>
          <w:sz w:val="24"/>
          <w:szCs w:val="24"/>
        </w:rPr>
        <w:t>“</w:t>
      </w:r>
      <w:r w:rsidRPr="00D86621">
        <w:rPr>
          <w:rFonts w:ascii="Gadugi" w:hAnsi="Gadugi" w:cs="Century Gothic"/>
          <w:i/>
          <w:sz w:val="22"/>
          <w:szCs w:val="24"/>
        </w:rPr>
        <w:t>(…) a mi prohijada le fue impuesto el pago de una obligación que de manera burda, torticera y en un franco abuso del derecho construyó la abogada de la parte demandante; quien inicialmente, con la coadyuvancia del representante legal de la copropiedad, reclamó una “cuota extraordinaria que nunca existió, a través de títulos ejecutivos forjados y que no obedecían a la realidad, y luego, indujo al error al accionado, cuando se percató que sus pretensiones no tenían sustento, presentando un acta donde se impuso una obligación de forma ilícita, cuya presunta obligación no fue lo demandado, situación que pasó por alto el accionado</w:t>
      </w:r>
      <w:r w:rsidRPr="00D86621">
        <w:rPr>
          <w:rFonts w:ascii="Gadugi" w:hAnsi="Gadugi" w:cs="Century Gothic"/>
          <w:i/>
          <w:sz w:val="24"/>
          <w:szCs w:val="24"/>
        </w:rPr>
        <w:t>.”</w:t>
      </w:r>
    </w:p>
    <w:p w14:paraId="2D3E3132" w14:textId="1832B762" w:rsidR="006F3A88" w:rsidRPr="00D86621" w:rsidRDefault="006F3A88" w:rsidP="00D86621">
      <w:pPr>
        <w:tabs>
          <w:tab w:val="left" w:pos="3108"/>
          <w:tab w:val="left" w:pos="7695"/>
        </w:tabs>
        <w:spacing w:line="276" w:lineRule="auto"/>
        <w:ind w:firstLine="2835"/>
        <w:jc w:val="both"/>
        <w:rPr>
          <w:rFonts w:ascii="Gadugi" w:hAnsi="Gadugi" w:cs="Century Gothic"/>
          <w:sz w:val="24"/>
          <w:szCs w:val="24"/>
        </w:rPr>
      </w:pPr>
    </w:p>
    <w:p w14:paraId="6CB1F3BB" w14:textId="65D25385" w:rsidR="00382605" w:rsidRPr="00D86621" w:rsidRDefault="00382605" w:rsidP="00D86621">
      <w:pPr>
        <w:tabs>
          <w:tab w:val="left" w:pos="3108"/>
          <w:tab w:val="left" w:pos="7695"/>
        </w:tabs>
        <w:spacing w:line="276" w:lineRule="auto"/>
        <w:ind w:firstLine="2835"/>
        <w:jc w:val="both"/>
        <w:rPr>
          <w:rFonts w:ascii="Gadugi" w:hAnsi="Gadugi" w:cs="Century Gothic"/>
          <w:sz w:val="24"/>
          <w:szCs w:val="24"/>
        </w:rPr>
      </w:pPr>
      <w:r w:rsidRPr="00D86621">
        <w:rPr>
          <w:rFonts w:ascii="Gadugi" w:hAnsi="Gadugi" w:cs="Century Gothic"/>
          <w:sz w:val="24"/>
          <w:szCs w:val="24"/>
        </w:rPr>
        <w:lastRenderedPageBreak/>
        <w:t xml:space="preserve">Pidió, entonces, ordenarle a la autoridad acusada </w:t>
      </w:r>
      <w:r w:rsidRPr="00D86621">
        <w:rPr>
          <w:rFonts w:ascii="Gadugi" w:hAnsi="Gadugi" w:cs="Century Gothic"/>
          <w:i/>
          <w:sz w:val="24"/>
          <w:szCs w:val="24"/>
        </w:rPr>
        <w:t>“</w:t>
      </w:r>
      <w:r w:rsidRPr="00161C88">
        <w:rPr>
          <w:rFonts w:ascii="Gadugi" w:hAnsi="Gadugi" w:cs="Century Gothic"/>
          <w:i/>
          <w:sz w:val="22"/>
          <w:szCs w:val="24"/>
        </w:rPr>
        <w:t>(…) proferir una nueva decisión en la que se nieguen las pretensiones de la demanda, por la ilegalidad de la presunta acreencia reclamada.</w:t>
      </w:r>
      <w:r w:rsidRPr="00D86621">
        <w:rPr>
          <w:rFonts w:ascii="Gadugi" w:hAnsi="Gadugi" w:cs="Century Gothic"/>
          <w:i/>
          <w:sz w:val="24"/>
          <w:szCs w:val="24"/>
        </w:rPr>
        <w:t>”</w:t>
      </w:r>
      <w:r w:rsidR="00CE69E6" w:rsidRPr="00D86621">
        <w:rPr>
          <w:rStyle w:val="Refdenotaalpie"/>
          <w:rFonts w:ascii="Gadugi" w:hAnsi="Gadugi"/>
          <w:i/>
          <w:sz w:val="24"/>
          <w:szCs w:val="24"/>
        </w:rPr>
        <w:footnoteReference w:id="1"/>
      </w:r>
      <w:r w:rsidRPr="00D86621">
        <w:rPr>
          <w:rFonts w:ascii="Gadugi" w:hAnsi="Gadugi" w:cs="Century Gothic"/>
          <w:i/>
          <w:sz w:val="24"/>
          <w:szCs w:val="24"/>
        </w:rPr>
        <w:cr/>
      </w:r>
    </w:p>
    <w:p w14:paraId="74D269B0" w14:textId="6510F598" w:rsidR="008F6ED1" w:rsidRPr="00D86621" w:rsidRDefault="00CE69E6" w:rsidP="00D86621">
      <w:pPr>
        <w:tabs>
          <w:tab w:val="left" w:pos="3108"/>
          <w:tab w:val="left" w:pos="7695"/>
        </w:tabs>
        <w:spacing w:line="276" w:lineRule="auto"/>
        <w:ind w:firstLine="2835"/>
        <w:jc w:val="both"/>
        <w:rPr>
          <w:rFonts w:ascii="Gadugi" w:hAnsi="Gadugi" w:cs="Century Gothic"/>
          <w:sz w:val="24"/>
          <w:szCs w:val="24"/>
        </w:rPr>
      </w:pPr>
      <w:r w:rsidRPr="00D86621">
        <w:rPr>
          <w:rFonts w:ascii="Gadugi" w:hAnsi="Gadugi" w:cs="Century Gothic"/>
          <w:sz w:val="24"/>
          <w:szCs w:val="24"/>
        </w:rPr>
        <w:t xml:space="preserve">1.2. </w:t>
      </w:r>
      <w:r w:rsidR="00382605" w:rsidRPr="00D86621">
        <w:rPr>
          <w:rFonts w:ascii="Gadugi" w:hAnsi="Gadugi" w:cs="Century Gothic"/>
          <w:sz w:val="24"/>
          <w:szCs w:val="24"/>
        </w:rPr>
        <w:t xml:space="preserve">El Juez Primero Civil Municipal de Dosquebradas, </w:t>
      </w:r>
      <w:r w:rsidR="008F6ED1" w:rsidRPr="00D86621">
        <w:rPr>
          <w:rFonts w:ascii="Gadugi" w:hAnsi="Gadugi" w:cs="Century Gothic"/>
          <w:sz w:val="24"/>
          <w:szCs w:val="24"/>
        </w:rPr>
        <w:t xml:space="preserve">señaló que, de haberse proferido fallo </w:t>
      </w:r>
      <w:r w:rsidR="008F6ED1" w:rsidRPr="00D86621">
        <w:rPr>
          <w:rFonts w:ascii="Gadugi" w:hAnsi="Gadugi" w:cs="Century Gothic"/>
          <w:i/>
          <w:sz w:val="24"/>
          <w:szCs w:val="24"/>
        </w:rPr>
        <w:t>extra petita</w:t>
      </w:r>
      <w:r w:rsidR="008F6ED1" w:rsidRPr="00D86621">
        <w:rPr>
          <w:rFonts w:ascii="Gadugi" w:hAnsi="Gadugi" w:cs="Century Gothic"/>
          <w:sz w:val="24"/>
          <w:szCs w:val="24"/>
        </w:rPr>
        <w:t>, quien salió realmente favorecida con la decisión fue la misma demandada, pues hubo de modificarse el mandamiento de pago dejando sin efecto la suma cobrada por $5.000.000 y señalando que los intereses de mora correrían en una fecha notablemente posterior a la pedida por la parte ejecutante.</w:t>
      </w:r>
    </w:p>
    <w:p w14:paraId="4BDB3F1C" w14:textId="3510F3E2" w:rsidR="008F6ED1" w:rsidRPr="00D86621" w:rsidRDefault="008F6ED1" w:rsidP="00D86621">
      <w:pPr>
        <w:tabs>
          <w:tab w:val="left" w:pos="3108"/>
          <w:tab w:val="left" w:pos="7695"/>
        </w:tabs>
        <w:spacing w:line="276" w:lineRule="auto"/>
        <w:ind w:firstLine="2835"/>
        <w:jc w:val="both"/>
        <w:rPr>
          <w:rFonts w:ascii="Gadugi" w:hAnsi="Gadugi" w:cs="Century Gothic"/>
          <w:sz w:val="24"/>
          <w:szCs w:val="24"/>
        </w:rPr>
      </w:pPr>
    </w:p>
    <w:p w14:paraId="164D301C" w14:textId="31DFF7DF" w:rsidR="00263654" w:rsidRPr="00D86621" w:rsidRDefault="008F6ED1" w:rsidP="00D86621">
      <w:pPr>
        <w:tabs>
          <w:tab w:val="left" w:pos="3108"/>
          <w:tab w:val="left" w:pos="7695"/>
        </w:tabs>
        <w:spacing w:line="276" w:lineRule="auto"/>
        <w:ind w:firstLine="2835"/>
        <w:jc w:val="both"/>
        <w:rPr>
          <w:rFonts w:ascii="Gadugi" w:hAnsi="Gadugi" w:cs="Century Gothic"/>
          <w:sz w:val="24"/>
          <w:szCs w:val="24"/>
        </w:rPr>
      </w:pPr>
      <w:r w:rsidRPr="00D86621">
        <w:rPr>
          <w:rFonts w:ascii="Gadugi" w:hAnsi="Gadugi" w:cs="Century Gothic"/>
          <w:sz w:val="24"/>
          <w:szCs w:val="24"/>
        </w:rPr>
        <w:t xml:space="preserve">Agregó que </w:t>
      </w:r>
      <w:r w:rsidRPr="00D86621">
        <w:rPr>
          <w:rFonts w:ascii="Gadugi" w:hAnsi="Gadugi" w:cs="Century Gothic"/>
          <w:i/>
          <w:sz w:val="24"/>
          <w:szCs w:val="24"/>
        </w:rPr>
        <w:t>“</w:t>
      </w:r>
      <w:r w:rsidRPr="00161C88">
        <w:rPr>
          <w:rFonts w:ascii="Gadugi" w:hAnsi="Gadugi" w:cs="Century Gothic"/>
          <w:i/>
          <w:sz w:val="22"/>
          <w:szCs w:val="24"/>
        </w:rPr>
        <w:t>(…) aunque el artículo 48 de la Ley 675 de 2001, exige solamente como título ejecutivo la certificación que expida el representante legal de la propiedad horizontal, sin ninguna otra exigencia, se queja el abogado de la tutelante que con la demanda no se</w:t>
      </w:r>
      <w:r w:rsidR="00263654" w:rsidRPr="00161C88">
        <w:rPr>
          <w:rFonts w:ascii="Gadugi" w:hAnsi="Gadugi" w:cs="Century Gothic"/>
          <w:i/>
          <w:sz w:val="22"/>
          <w:szCs w:val="24"/>
        </w:rPr>
        <w:t xml:space="preserve"> </w:t>
      </w:r>
      <w:r w:rsidRPr="00161C88">
        <w:rPr>
          <w:rFonts w:ascii="Gadugi" w:hAnsi="Gadugi" w:cs="Century Gothic"/>
          <w:i/>
          <w:sz w:val="22"/>
          <w:szCs w:val="24"/>
        </w:rPr>
        <w:t>aportó copia del acta de la presunta asamblea que originó la cuota</w:t>
      </w:r>
      <w:r w:rsidR="00263654" w:rsidRPr="00161C88">
        <w:rPr>
          <w:rFonts w:ascii="Gadugi" w:hAnsi="Gadugi" w:cs="Century Gothic"/>
          <w:i/>
          <w:sz w:val="22"/>
          <w:szCs w:val="24"/>
        </w:rPr>
        <w:t xml:space="preserve"> </w:t>
      </w:r>
      <w:r w:rsidRPr="00161C88">
        <w:rPr>
          <w:rFonts w:ascii="Gadugi" w:hAnsi="Gadugi" w:cs="Century Gothic"/>
          <w:i/>
          <w:sz w:val="22"/>
          <w:szCs w:val="24"/>
        </w:rPr>
        <w:t>extraordinaria. Y lo hace sin razón, porque, se itera, sin constituirse en</w:t>
      </w:r>
      <w:r w:rsidR="00263654" w:rsidRPr="00161C88">
        <w:rPr>
          <w:rFonts w:ascii="Gadugi" w:hAnsi="Gadugi" w:cs="Century Gothic"/>
          <w:i/>
          <w:sz w:val="22"/>
          <w:szCs w:val="24"/>
        </w:rPr>
        <w:t xml:space="preserve"> </w:t>
      </w:r>
      <w:r w:rsidRPr="00161C88">
        <w:rPr>
          <w:rFonts w:ascii="Gadugi" w:hAnsi="Gadugi" w:cs="Century Gothic"/>
          <w:i/>
          <w:sz w:val="22"/>
          <w:szCs w:val="24"/>
        </w:rPr>
        <w:t>una exigencia legal, la parte ejecutante, al descorrer el traslado de las</w:t>
      </w:r>
      <w:r w:rsidR="00263654" w:rsidRPr="00161C88">
        <w:rPr>
          <w:rFonts w:ascii="Gadugi" w:hAnsi="Gadugi" w:cs="Century Gothic"/>
          <w:i/>
          <w:sz w:val="22"/>
          <w:szCs w:val="24"/>
        </w:rPr>
        <w:t xml:space="preserve"> </w:t>
      </w:r>
      <w:r w:rsidRPr="00161C88">
        <w:rPr>
          <w:rFonts w:ascii="Gadugi" w:hAnsi="Gadugi" w:cs="Century Gothic"/>
          <w:i/>
          <w:sz w:val="22"/>
          <w:szCs w:val="24"/>
        </w:rPr>
        <w:t>excepciones, procedió, efectivamente, a aportar al proceso la</w:t>
      </w:r>
      <w:r w:rsidR="00263654" w:rsidRPr="00161C88">
        <w:rPr>
          <w:rFonts w:ascii="Gadugi" w:hAnsi="Gadugi" w:cs="Century Gothic"/>
          <w:i/>
          <w:sz w:val="22"/>
          <w:szCs w:val="24"/>
        </w:rPr>
        <w:t xml:space="preserve"> </w:t>
      </w:r>
      <w:r w:rsidRPr="00161C88">
        <w:rPr>
          <w:rFonts w:ascii="Gadugi" w:hAnsi="Gadugi" w:cs="Century Gothic"/>
          <w:i/>
          <w:sz w:val="22"/>
          <w:szCs w:val="24"/>
        </w:rPr>
        <w:t>mencionada acta de asamblea general extraordinaria de copropietarios</w:t>
      </w:r>
      <w:r w:rsidR="00263654" w:rsidRPr="00D86621">
        <w:rPr>
          <w:rFonts w:ascii="Gadugi" w:hAnsi="Gadugi" w:cs="Century Gothic"/>
          <w:i/>
          <w:sz w:val="24"/>
          <w:szCs w:val="24"/>
        </w:rPr>
        <w:t xml:space="preserve">”, </w:t>
      </w:r>
      <w:r w:rsidR="00263654" w:rsidRPr="00D86621">
        <w:rPr>
          <w:rFonts w:ascii="Gadugi" w:hAnsi="Gadugi" w:cs="Century Gothic"/>
          <w:sz w:val="24"/>
          <w:szCs w:val="24"/>
        </w:rPr>
        <w:t xml:space="preserve">acta que no fue impugnada por ningún propietario, por lo cual era de obligatorio cumplimiento para todos los propietarios, incluyendo los ausentes. </w:t>
      </w:r>
    </w:p>
    <w:p w14:paraId="7F31E77C" w14:textId="75FD3A4D" w:rsidR="006F3A88" w:rsidRPr="00D86621" w:rsidRDefault="006F3A88" w:rsidP="00D86621">
      <w:pPr>
        <w:tabs>
          <w:tab w:val="left" w:pos="3108"/>
          <w:tab w:val="left" w:pos="7695"/>
        </w:tabs>
        <w:spacing w:line="276" w:lineRule="auto"/>
        <w:ind w:firstLine="2835"/>
        <w:jc w:val="both"/>
        <w:rPr>
          <w:rFonts w:ascii="Gadugi" w:hAnsi="Gadugi" w:cs="Century Gothic"/>
          <w:sz w:val="24"/>
          <w:szCs w:val="24"/>
        </w:rPr>
      </w:pPr>
    </w:p>
    <w:p w14:paraId="0EB28C72" w14:textId="4A5F9749" w:rsidR="00263654" w:rsidRPr="00D86621" w:rsidRDefault="00263654" w:rsidP="00D86621">
      <w:pPr>
        <w:tabs>
          <w:tab w:val="left" w:pos="3108"/>
          <w:tab w:val="left" w:pos="7695"/>
        </w:tabs>
        <w:spacing w:line="276" w:lineRule="auto"/>
        <w:ind w:firstLine="2835"/>
        <w:jc w:val="both"/>
        <w:rPr>
          <w:rFonts w:ascii="Gadugi" w:hAnsi="Gadugi" w:cs="Century Gothic"/>
          <w:i/>
          <w:sz w:val="24"/>
          <w:szCs w:val="24"/>
        </w:rPr>
      </w:pPr>
      <w:r w:rsidRPr="00D86621">
        <w:rPr>
          <w:rFonts w:ascii="Gadugi" w:hAnsi="Gadugi" w:cs="Century Gothic"/>
          <w:sz w:val="24"/>
          <w:szCs w:val="24"/>
        </w:rPr>
        <w:t xml:space="preserve">Adujo que la acción de tutela carece del presupuesto de inmediatez y que </w:t>
      </w:r>
      <w:r w:rsidRPr="00D86621">
        <w:rPr>
          <w:rFonts w:ascii="Gadugi" w:hAnsi="Gadugi" w:cs="Century Gothic"/>
          <w:i/>
          <w:sz w:val="24"/>
          <w:szCs w:val="24"/>
        </w:rPr>
        <w:t>“</w:t>
      </w:r>
      <w:r w:rsidRPr="00161C88">
        <w:rPr>
          <w:rFonts w:ascii="Gadugi" w:hAnsi="Gadugi" w:cs="Century Gothic"/>
          <w:i/>
          <w:sz w:val="22"/>
          <w:szCs w:val="24"/>
        </w:rPr>
        <w:t>Ningún derecho fundamental, menos el del debido proceso que es el invocado, se la ha vulnerado a la tutelante, pues los argumentos que, a la hora de nona, se ponen de presente, expuestos en parte al contestarse la demanda y proponerse excepciones, fueron objeto de análisis en la sentencia</w:t>
      </w:r>
      <w:r w:rsidRPr="00D86621">
        <w:rPr>
          <w:rFonts w:ascii="Gadugi" w:hAnsi="Gadugi" w:cs="Century Gothic"/>
          <w:i/>
          <w:sz w:val="24"/>
          <w:szCs w:val="24"/>
        </w:rPr>
        <w:t>.”</w:t>
      </w:r>
      <w:r w:rsidR="00CE69E6" w:rsidRPr="00D86621">
        <w:rPr>
          <w:rStyle w:val="Refdenotaalpie"/>
          <w:rFonts w:ascii="Gadugi" w:hAnsi="Gadugi"/>
          <w:i/>
          <w:sz w:val="24"/>
          <w:szCs w:val="24"/>
        </w:rPr>
        <w:footnoteReference w:id="2"/>
      </w:r>
    </w:p>
    <w:p w14:paraId="25B4A8C5" w14:textId="456A7489" w:rsidR="002C5337" w:rsidRPr="00D86621" w:rsidRDefault="002C5337" w:rsidP="00D86621">
      <w:pPr>
        <w:tabs>
          <w:tab w:val="left" w:pos="3108"/>
          <w:tab w:val="left" w:pos="7695"/>
        </w:tabs>
        <w:spacing w:line="276" w:lineRule="auto"/>
        <w:ind w:firstLine="2835"/>
        <w:jc w:val="both"/>
        <w:rPr>
          <w:rFonts w:ascii="Gadugi" w:hAnsi="Gadugi" w:cs="Arial"/>
          <w:b/>
          <w:sz w:val="24"/>
          <w:szCs w:val="24"/>
        </w:rPr>
      </w:pPr>
    </w:p>
    <w:p w14:paraId="20059426" w14:textId="0D9D9334" w:rsidR="00263654" w:rsidRPr="00D86621" w:rsidRDefault="00CE69E6" w:rsidP="00D86621">
      <w:pPr>
        <w:tabs>
          <w:tab w:val="left" w:pos="3108"/>
          <w:tab w:val="left" w:pos="7695"/>
        </w:tabs>
        <w:spacing w:line="276" w:lineRule="auto"/>
        <w:ind w:firstLine="2835"/>
        <w:jc w:val="both"/>
        <w:rPr>
          <w:rFonts w:ascii="Gadugi" w:hAnsi="Gadugi" w:cs="Arial"/>
          <w:i/>
          <w:sz w:val="24"/>
          <w:szCs w:val="24"/>
        </w:rPr>
      </w:pPr>
      <w:r w:rsidRPr="00D86621">
        <w:rPr>
          <w:rFonts w:ascii="Gadugi" w:hAnsi="Gadugi" w:cs="Arial"/>
          <w:sz w:val="24"/>
          <w:szCs w:val="24"/>
        </w:rPr>
        <w:t xml:space="preserve">1.3. </w:t>
      </w:r>
      <w:r w:rsidR="00263654" w:rsidRPr="00D86621">
        <w:rPr>
          <w:rFonts w:ascii="Gadugi" w:hAnsi="Gadugi" w:cs="Arial"/>
          <w:sz w:val="24"/>
          <w:szCs w:val="24"/>
        </w:rPr>
        <w:t xml:space="preserve">La Administradora del Conjunto Residencial </w:t>
      </w:r>
      <w:proofErr w:type="spellStart"/>
      <w:r w:rsidR="00263654" w:rsidRPr="00D86621">
        <w:rPr>
          <w:rFonts w:ascii="Gadugi" w:hAnsi="Gadugi" w:cs="Arial"/>
          <w:sz w:val="24"/>
          <w:szCs w:val="24"/>
        </w:rPr>
        <w:t>Tadaima</w:t>
      </w:r>
      <w:proofErr w:type="spellEnd"/>
      <w:r w:rsidR="00263654" w:rsidRPr="00D86621">
        <w:rPr>
          <w:rFonts w:ascii="Gadugi" w:hAnsi="Gadugi" w:cs="Arial"/>
          <w:sz w:val="24"/>
          <w:szCs w:val="24"/>
        </w:rPr>
        <w:t xml:space="preserve">, indicó que </w:t>
      </w:r>
      <w:r w:rsidR="00263654" w:rsidRPr="00D86621">
        <w:rPr>
          <w:rFonts w:ascii="Gadugi" w:hAnsi="Gadugi" w:cs="Arial"/>
          <w:i/>
          <w:sz w:val="24"/>
          <w:szCs w:val="24"/>
        </w:rPr>
        <w:t>“</w:t>
      </w:r>
      <w:r w:rsidR="00263654" w:rsidRPr="00161C88">
        <w:rPr>
          <w:rFonts w:ascii="Gadugi" w:hAnsi="Gadugi" w:cs="Arial"/>
          <w:i/>
          <w:sz w:val="22"/>
          <w:szCs w:val="24"/>
        </w:rPr>
        <w:t>(…) la parte accionante, está utilizando la presente acción de tutela como una segunda instancia queriendo que sea modificada la sentencia proferida el día 12 de octubre del 2021, no siendo este el medio para tal fin, la acción de tutela contra sentencias judiciales es un instrumento excepcional dirigido a enfrentar aquellas situaciones en que la decisión del juez incurre en graves falencias de relevancia constitucional (…).</w:t>
      </w:r>
      <w:r w:rsidR="00263654" w:rsidRPr="00D86621">
        <w:rPr>
          <w:rFonts w:ascii="Gadugi" w:hAnsi="Gadugi" w:cs="Arial"/>
          <w:i/>
          <w:sz w:val="24"/>
          <w:szCs w:val="24"/>
        </w:rPr>
        <w:t>”</w:t>
      </w:r>
      <w:r w:rsidRPr="00D86621">
        <w:rPr>
          <w:rStyle w:val="Refdenotaalpie"/>
          <w:rFonts w:ascii="Gadugi" w:hAnsi="Gadugi"/>
          <w:i/>
          <w:sz w:val="24"/>
          <w:szCs w:val="24"/>
        </w:rPr>
        <w:footnoteReference w:id="3"/>
      </w:r>
    </w:p>
    <w:p w14:paraId="647D4B21" w14:textId="048DB390" w:rsidR="00E5703C" w:rsidRPr="00D86621" w:rsidRDefault="00E5703C" w:rsidP="00D86621">
      <w:pPr>
        <w:tabs>
          <w:tab w:val="left" w:pos="3108"/>
        </w:tabs>
        <w:spacing w:line="276" w:lineRule="auto"/>
        <w:ind w:firstLine="2835"/>
        <w:jc w:val="both"/>
        <w:rPr>
          <w:rFonts w:ascii="Gadugi" w:hAnsi="Gadugi" w:cs="Arial"/>
          <w:b/>
          <w:sz w:val="24"/>
          <w:szCs w:val="24"/>
        </w:rPr>
      </w:pPr>
    </w:p>
    <w:p w14:paraId="4B2E4785" w14:textId="49C1560A" w:rsidR="00263654" w:rsidRPr="00D86621" w:rsidRDefault="00CE69E6" w:rsidP="00D86621">
      <w:pPr>
        <w:tabs>
          <w:tab w:val="left" w:pos="3108"/>
        </w:tabs>
        <w:spacing w:line="276" w:lineRule="auto"/>
        <w:ind w:firstLine="2835"/>
        <w:jc w:val="both"/>
        <w:rPr>
          <w:rFonts w:ascii="Gadugi" w:hAnsi="Gadugi" w:cs="Arial"/>
          <w:sz w:val="24"/>
          <w:szCs w:val="24"/>
        </w:rPr>
      </w:pPr>
      <w:r w:rsidRPr="00D86621">
        <w:rPr>
          <w:rFonts w:ascii="Gadugi" w:hAnsi="Gadugi" w:cs="Arial"/>
          <w:sz w:val="24"/>
          <w:szCs w:val="24"/>
        </w:rPr>
        <w:t xml:space="preserve">1.4. </w:t>
      </w:r>
      <w:r w:rsidR="00263654" w:rsidRPr="00D86621">
        <w:rPr>
          <w:rFonts w:ascii="Gadugi" w:hAnsi="Gadugi" w:cs="Arial"/>
          <w:sz w:val="24"/>
          <w:szCs w:val="24"/>
        </w:rPr>
        <w:t xml:space="preserve">Sobrevino la sentencia de primer grado </w:t>
      </w:r>
      <w:r w:rsidR="007A7C94" w:rsidRPr="00D86621">
        <w:rPr>
          <w:rFonts w:ascii="Gadugi" w:hAnsi="Gadugi" w:cs="Arial"/>
          <w:sz w:val="24"/>
          <w:szCs w:val="24"/>
        </w:rPr>
        <w:t xml:space="preserve">en la </w:t>
      </w:r>
      <w:r w:rsidR="00263654" w:rsidRPr="00D86621">
        <w:rPr>
          <w:rFonts w:ascii="Gadugi" w:hAnsi="Gadugi" w:cs="Arial"/>
          <w:sz w:val="24"/>
          <w:szCs w:val="24"/>
        </w:rPr>
        <w:t xml:space="preserve">que </w:t>
      </w:r>
      <w:r w:rsidR="007A7C94" w:rsidRPr="00D86621">
        <w:rPr>
          <w:rFonts w:ascii="Gadugi" w:hAnsi="Gadugi" w:cs="Arial"/>
          <w:sz w:val="24"/>
          <w:szCs w:val="24"/>
        </w:rPr>
        <w:t xml:space="preserve">se </w:t>
      </w:r>
      <w:r w:rsidR="00263654" w:rsidRPr="00D86621">
        <w:rPr>
          <w:rFonts w:ascii="Gadugi" w:hAnsi="Gadugi" w:cs="Arial"/>
          <w:sz w:val="24"/>
          <w:szCs w:val="24"/>
        </w:rPr>
        <w:t xml:space="preserve">concedió la protección, </w:t>
      </w:r>
      <w:r w:rsidR="007A7C94" w:rsidRPr="00D86621">
        <w:rPr>
          <w:rFonts w:ascii="Gadugi" w:hAnsi="Gadugi" w:cs="Arial"/>
          <w:sz w:val="24"/>
          <w:szCs w:val="24"/>
        </w:rPr>
        <w:t xml:space="preserve">y se le ordenó al despacho encausado rehacer la actuación dentro del proceso ejecutivo desde la audiencia de que trata el artículo 392 del Código General del Proceso, </w:t>
      </w:r>
      <w:r w:rsidR="007A7C94" w:rsidRPr="00D86621">
        <w:rPr>
          <w:rFonts w:ascii="Gadugi" w:hAnsi="Gadugi" w:cs="Arial"/>
          <w:i/>
          <w:sz w:val="24"/>
          <w:szCs w:val="24"/>
        </w:rPr>
        <w:t>“</w:t>
      </w:r>
      <w:r w:rsidR="007A7C94" w:rsidRPr="00161C88">
        <w:rPr>
          <w:rFonts w:ascii="Gadugi" w:hAnsi="Gadugi" w:cs="Arial"/>
          <w:i/>
          <w:sz w:val="22"/>
          <w:szCs w:val="24"/>
        </w:rPr>
        <w:t xml:space="preserve">(…) con la revisión de legalidad, actualidad y obligatoriedad del título ejecutivo motivo de recaudo y, de la orden de pago al momento de seguir adelante con la </w:t>
      </w:r>
      <w:r w:rsidR="007A7C94" w:rsidRPr="00161C88">
        <w:rPr>
          <w:rFonts w:ascii="Gadugi" w:hAnsi="Gadugi" w:cs="Arial"/>
          <w:i/>
          <w:sz w:val="22"/>
          <w:szCs w:val="24"/>
        </w:rPr>
        <w:lastRenderedPageBreak/>
        <w:t>ejecución, por lo expuesto en la parte considerativa de esta decisión</w:t>
      </w:r>
      <w:r w:rsidR="007A7C94" w:rsidRPr="00D86621">
        <w:rPr>
          <w:rFonts w:ascii="Gadugi" w:hAnsi="Gadugi" w:cs="Arial"/>
          <w:i/>
          <w:sz w:val="24"/>
          <w:szCs w:val="24"/>
        </w:rPr>
        <w:t>.”</w:t>
      </w:r>
      <w:r w:rsidRPr="00D86621">
        <w:rPr>
          <w:rFonts w:ascii="Gadugi" w:hAnsi="Gadugi" w:cs="Arial"/>
          <w:i/>
          <w:sz w:val="24"/>
          <w:szCs w:val="24"/>
        </w:rPr>
        <w:t xml:space="preserve"> </w:t>
      </w:r>
      <w:r w:rsidRPr="00D86621">
        <w:rPr>
          <w:rFonts w:ascii="Gadugi" w:hAnsi="Gadugi" w:cs="Arial"/>
          <w:sz w:val="24"/>
          <w:szCs w:val="24"/>
        </w:rPr>
        <w:t>Sobre los motivos de su decisión, se ahondará en lo sucesivo.</w:t>
      </w:r>
      <w:r w:rsidRPr="00D86621">
        <w:rPr>
          <w:rStyle w:val="Refdenotaalpie"/>
          <w:rFonts w:ascii="Gadugi" w:hAnsi="Gadugi"/>
          <w:sz w:val="24"/>
          <w:szCs w:val="24"/>
        </w:rPr>
        <w:footnoteReference w:id="4"/>
      </w:r>
      <w:r w:rsidRPr="00D86621">
        <w:rPr>
          <w:rFonts w:ascii="Gadugi" w:hAnsi="Gadugi" w:cs="Arial"/>
          <w:sz w:val="24"/>
          <w:szCs w:val="24"/>
        </w:rPr>
        <w:t xml:space="preserve"> </w:t>
      </w:r>
    </w:p>
    <w:p w14:paraId="5CF3804B" w14:textId="77777777" w:rsidR="00263654" w:rsidRPr="00D86621" w:rsidRDefault="00263654" w:rsidP="00D86621">
      <w:pPr>
        <w:tabs>
          <w:tab w:val="left" w:pos="3108"/>
        </w:tabs>
        <w:spacing w:line="276" w:lineRule="auto"/>
        <w:ind w:firstLine="2835"/>
        <w:jc w:val="both"/>
        <w:rPr>
          <w:rFonts w:ascii="Gadugi" w:hAnsi="Gadugi" w:cs="Arial"/>
          <w:sz w:val="24"/>
          <w:szCs w:val="24"/>
        </w:rPr>
      </w:pPr>
    </w:p>
    <w:p w14:paraId="43F253AB" w14:textId="3EBC45D4" w:rsidR="00263654" w:rsidRPr="00D86621" w:rsidRDefault="00CE69E6" w:rsidP="00D86621">
      <w:pPr>
        <w:tabs>
          <w:tab w:val="left" w:pos="3108"/>
        </w:tabs>
        <w:spacing w:line="276" w:lineRule="auto"/>
        <w:ind w:firstLine="2835"/>
        <w:jc w:val="both"/>
        <w:rPr>
          <w:rFonts w:ascii="Gadugi" w:hAnsi="Gadugi" w:cs="Arial"/>
          <w:sz w:val="24"/>
          <w:szCs w:val="24"/>
        </w:rPr>
      </w:pPr>
      <w:r w:rsidRPr="00D86621">
        <w:rPr>
          <w:rFonts w:ascii="Gadugi" w:hAnsi="Gadugi" w:cs="Arial"/>
          <w:sz w:val="24"/>
          <w:szCs w:val="24"/>
        </w:rPr>
        <w:t xml:space="preserve">1.5. </w:t>
      </w:r>
      <w:r w:rsidR="002110FF" w:rsidRPr="00D86621">
        <w:rPr>
          <w:rFonts w:ascii="Gadugi" w:hAnsi="Gadugi" w:cs="Arial"/>
          <w:sz w:val="24"/>
          <w:szCs w:val="24"/>
        </w:rPr>
        <w:t xml:space="preserve">Impugnó el juez compelido </w:t>
      </w:r>
      <w:r w:rsidR="006B53F5" w:rsidRPr="00D86621">
        <w:rPr>
          <w:rFonts w:ascii="Gadugi" w:hAnsi="Gadugi" w:cs="Arial"/>
          <w:sz w:val="24"/>
          <w:szCs w:val="24"/>
        </w:rPr>
        <w:t xml:space="preserve">planteando que el juez constitucional, para decidir, tuvo que acudir a un cúmulo de probanzas que a él no se le hicieron llegar oportunamente en el proceso ejecutivo, </w:t>
      </w:r>
      <w:r w:rsidR="006B53F5" w:rsidRPr="00D86621">
        <w:rPr>
          <w:rFonts w:ascii="Gadugi" w:hAnsi="Gadugi" w:cs="Arial"/>
          <w:i/>
          <w:sz w:val="24"/>
          <w:szCs w:val="24"/>
        </w:rPr>
        <w:t>“</w:t>
      </w:r>
      <w:r w:rsidR="006B53F5" w:rsidRPr="00161C88">
        <w:rPr>
          <w:rFonts w:ascii="Gadugi" w:hAnsi="Gadugi" w:cs="Arial"/>
          <w:i/>
          <w:sz w:val="22"/>
          <w:szCs w:val="24"/>
        </w:rPr>
        <w:t>(…) sin que como juez no esté obligado al arte de la adivinación</w:t>
      </w:r>
      <w:r w:rsidR="006B53F5" w:rsidRPr="00D86621">
        <w:rPr>
          <w:rFonts w:ascii="Gadugi" w:hAnsi="Gadugi" w:cs="Arial"/>
          <w:i/>
          <w:sz w:val="24"/>
          <w:szCs w:val="24"/>
        </w:rPr>
        <w:t>”</w:t>
      </w:r>
      <w:r w:rsidR="006B53F5" w:rsidRPr="00D86621">
        <w:rPr>
          <w:rFonts w:ascii="Gadugi" w:hAnsi="Gadugi" w:cs="Arial"/>
          <w:sz w:val="24"/>
          <w:szCs w:val="24"/>
        </w:rPr>
        <w:t xml:space="preserve">. Además, hizo énfasis en que </w:t>
      </w:r>
      <w:r w:rsidR="006B53F5" w:rsidRPr="00D86621">
        <w:rPr>
          <w:rFonts w:ascii="Gadugi" w:hAnsi="Gadugi" w:cs="Arial"/>
          <w:i/>
          <w:sz w:val="24"/>
          <w:szCs w:val="24"/>
        </w:rPr>
        <w:t>“</w:t>
      </w:r>
      <w:r w:rsidR="006B53F5" w:rsidRPr="00161C88">
        <w:rPr>
          <w:rFonts w:ascii="Gadugi" w:hAnsi="Gadugi" w:cs="Arial"/>
          <w:i/>
          <w:sz w:val="22"/>
          <w:szCs w:val="24"/>
        </w:rPr>
        <w:t>(…) la sentencia estuvo debidamente fundamentada con base en las pruebas legal y oportunamente aportadas al proceso, esto es con base en la certificación aportada al subsanarse la demanda y con base en el acta de asamblea de 19 de marzo de 2019, lo que permitió a este servidor público inferir que el título ejecutivo a que alude el artículo 48 de la Ley 675 de 2001, se había expedido con base en dicha acta de asamblea, misma que, como el juez constitucional lo reconoce, no fue atacada por los medios legales previstos, tal y como se dijo en la sentencia proferido en el proceso ejecutivo. En la sentencia mencionada, se concluyó que la deuda por concepto del capital se hacía exigible desde su aprobación en la mencionada asamblea general, sin incluir los intereses por mora, como allí se explicó</w:t>
      </w:r>
      <w:r w:rsidR="006B53F5" w:rsidRPr="00D86621">
        <w:rPr>
          <w:rFonts w:ascii="Gadugi" w:hAnsi="Gadugi" w:cs="Arial"/>
          <w:i/>
          <w:sz w:val="24"/>
          <w:szCs w:val="24"/>
        </w:rPr>
        <w:t>.”</w:t>
      </w:r>
      <w:r w:rsidRPr="00D86621">
        <w:rPr>
          <w:rStyle w:val="Refdenotaalpie"/>
          <w:rFonts w:ascii="Gadugi" w:hAnsi="Gadugi"/>
          <w:i/>
          <w:sz w:val="24"/>
          <w:szCs w:val="24"/>
        </w:rPr>
        <w:footnoteReference w:id="5"/>
      </w:r>
    </w:p>
    <w:p w14:paraId="4AD3A3AA" w14:textId="343A7F95" w:rsidR="002110FF" w:rsidRPr="00D86621" w:rsidRDefault="002110FF" w:rsidP="00D86621">
      <w:pPr>
        <w:tabs>
          <w:tab w:val="left" w:pos="3108"/>
        </w:tabs>
        <w:spacing w:line="276" w:lineRule="auto"/>
        <w:ind w:firstLine="2835"/>
        <w:jc w:val="both"/>
        <w:rPr>
          <w:rFonts w:ascii="Gadugi" w:hAnsi="Gadugi" w:cs="Arial"/>
          <w:b/>
          <w:sz w:val="24"/>
          <w:szCs w:val="24"/>
        </w:rPr>
      </w:pPr>
    </w:p>
    <w:p w14:paraId="433D5444" w14:textId="51E7FAB8" w:rsidR="002110FF" w:rsidRPr="00D86621" w:rsidRDefault="00CE69E6" w:rsidP="00D86621">
      <w:pPr>
        <w:tabs>
          <w:tab w:val="left" w:pos="3108"/>
        </w:tabs>
        <w:spacing w:line="276" w:lineRule="auto"/>
        <w:ind w:firstLine="2835"/>
        <w:jc w:val="both"/>
        <w:rPr>
          <w:rFonts w:ascii="Gadugi" w:hAnsi="Gadugi" w:cs="Arial"/>
          <w:sz w:val="24"/>
          <w:szCs w:val="24"/>
        </w:rPr>
      </w:pPr>
      <w:r w:rsidRPr="00D86621">
        <w:rPr>
          <w:rFonts w:ascii="Gadugi" w:hAnsi="Gadugi" w:cs="Arial"/>
          <w:sz w:val="24"/>
          <w:szCs w:val="24"/>
        </w:rPr>
        <w:t xml:space="preserve">1.6. </w:t>
      </w:r>
      <w:r w:rsidR="006B53F5" w:rsidRPr="00D86621">
        <w:rPr>
          <w:rFonts w:ascii="Gadugi" w:hAnsi="Gadugi" w:cs="Arial"/>
          <w:sz w:val="24"/>
          <w:szCs w:val="24"/>
        </w:rPr>
        <w:t xml:space="preserve">También impugnó el Conjunto Residencial </w:t>
      </w:r>
      <w:proofErr w:type="spellStart"/>
      <w:r w:rsidR="006B53F5" w:rsidRPr="00D86621">
        <w:rPr>
          <w:rFonts w:ascii="Gadugi" w:hAnsi="Gadugi" w:cs="Arial"/>
          <w:sz w:val="24"/>
          <w:szCs w:val="24"/>
        </w:rPr>
        <w:t>Tadaima</w:t>
      </w:r>
      <w:proofErr w:type="spellEnd"/>
      <w:r w:rsidR="006B53F5" w:rsidRPr="00D86621">
        <w:rPr>
          <w:rFonts w:ascii="Gadugi" w:hAnsi="Gadugi" w:cs="Arial"/>
          <w:sz w:val="24"/>
          <w:szCs w:val="24"/>
        </w:rPr>
        <w:t xml:space="preserve"> P.H., </w:t>
      </w:r>
      <w:r w:rsidR="00685A3D" w:rsidRPr="00D86621">
        <w:rPr>
          <w:rFonts w:ascii="Gadugi" w:hAnsi="Gadugi" w:cs="Arial"/>
          <w:sz w:val="24"/>
          <w:szCs w:val="24"/>
        </w:rPr>
        <w:t xml:space="preserve">aclarando que </w:t>
      </w:r>
      <w:r w:rsidR="00685A3D" w:rsidRPr="00D86621">
        <w:rPr>
          <w:rFonts w:ascii="Gadugi" w:hAnsi="Gadugi" w:cs="Arial"/>
          <w:i/>
          <w:sz w:val="24"/>
          <w:szCs w:val="24"/>
        </w:rPr>
        <w:t>“</w:t>
      </w:r>
      <w:r w:rsidR="00685A3D" w:rsidRPr="00161C88">
        <w:rPr>
          <w:rFonts w:ascii="Gadugi" w:hAnsi="Gadugi" w:cs="Arial"/>
          <w:i/>
          <w:sz w:val="22"/>
          <w:szCs w:val="24"/>
        </w:rPr>
        <w:t>(…) la ley 675 de 2001 exige como título ejecutivo el certificado de deuda que fue expedido por el Administrador en aquel momento firmado por el Señor Mauricio Torres, cumpliendo con ello con la norma y solicitar el pago ejecutivamente de la presente cuota extraordinaria más sus respectivos intereses de mora, se aclara que dicha cuota extraordinaria fue aprobada mediante Asamblea primeramente aprobado en enero 4 del 2018 teniendo presente que para esta fecha el administrador provisional bajo Escritura Publica número 4503 de la Notaria Quinta de Julio 16 del 2015 es el Representante Legal de la Constructora, que para este caso era el señor ANDRES FELIPE OCAMPO VILLEGAS (…)</w:t>
      </w:r>
      <w:r w:rsidR="00685A3D" w:rsidRPr="00D86621">
        <w:rPr>
          <w:rFonts w:ascii="Gadugi" w:hAnsi="Gadugi" w:cs="Arial"/>
          <w:i/>
          <w:sz w:val="24"/>
          <w:szCs w:val="24"/>
        </w:rPr>
        <w:t>”</w:t>
      </w:r>
      <w:r w:rsidRPr="00D86621">
        <w:rPr>
          <w:rStyle w:val="Refdenotaalpie"/>
          <w:rFonts w:ascii="Gadugi" w:hAnsi="Gadugi"/>
          <w:i/>
          <w:sz w:val="24"/>
          <w:szCs w:val="24"/>
        </w:rPr>
        <w:footnoteReference w:id="6"/>
      </w:r>
    </w:p>
    <w:p w14:paraId="1920A2D1" w14:textId="77777777" w:rsidR="006B53F5" w:rsidRPr="00D86621" w:rsidRDefault="006B53F5" w:rsidP="00D86621">
      <w:pPr>
        <w:tabs>
          <w:tab w:val="left" w:pos="3108"/>
        </w:tabs>
        <w:spacing w:line="276" w:lineRule="auto"/>
        <w:ind w:firstLine="2835"/>
        <w:jc w:val="both"/>
        <w:rPr>
          <w:rFonts w:ascii="Gadugi" w:hAnsi="Gadugi" w:cs="Arial"/>
          <w:b/>
          <w:sz w:val="24"/>
          <w:szCs w:val="24"/>
        </w:rPr>
      </w:pPr>
    </w:p>
    <w:p w14:paraId="1AE26AC9" w14:textId="77777777" w:rsidR="002110FF" w:rsidRPr="00D86621" w:rsidRDefault="002110FF" w:rsidP="00D86621">
      <w:pPr>
        <w:tabs>
          <w:tab w:val="left" w:pos="3108"/>
        </w:tabs>
        <w:spacing w:line="276" w:lineRule="auto"/>
        <w:ind w:firstLine="2835"/>
        <w:jc w:val="both"/>
        <w:rPr>
          <w:rFonts w:ascii="Gadugi" w:hAnsi="Gadugi" w:cs="Arial"/>
          <w:b/>
          <w:sz w:val="24"/>
          <w:szCs w:val="24"/>
        </w:rPr>
      </w:pPr>
    </w:p>
    <w:p w14:paraId="3E084F27" w14:textId="329CE687" w:rsidR="00CD73E5" w:rsidRPr="00D86621" w:rsidRDefault="005F599A" w:rsidP="00D86621">
      <w:pPr>
        <w:tabs>
          <w:tab w:val="left" w:pos="3108"/>
        </w:tabs>
        <w:spacing w:line="276" w:lineRule="auto"/>
        <w:ind w:firstLine="2835"/>
        <w:jc w:val="both"/>
        <w:rPr>
          <w:rFonts w:ascii="Gadugi" w:hAnsi="Gadugi" w:cs="Arial"/>
          <w:b/>
          <w:sz w:val="24"/>
          <w:szCs w:val="24"/>
        </w:rPr>
      </w:pPr>
      <w:r w:rsidRPr="00D86621">
        <w:rPr>
          <w:rFonts w:ascii="Gadugi" w:hAnsi="Gadugi" w:cs="Arial"/>
          <w:b/>
          <w:sz w:val="24"/>
          <w:szCs w:val="24"/>
        </w:rPr>
        <w:t xml:space="preserve">2. </w:t>
      </w:r>
      <w:r w:rsidR="00CD73E5" w:rsidRPr="00D86621">
        <w:rPr>
          <w:rFonts w:ascii="Gadugi" w:hAnsi="Gadugi" w:cs="Arial"/>
          <w:b/>
          <w:sz w:val="24"/>
          <w:szCs w:val="24"/>
        </w:rPr>
        <w:t>CONSIDERACIONES</w:t>
      </w:r>
    </w:p>
    <w:p w14:paraId="5FD16B4D" w14:textId="77777777" w:rsidR="00CD73E5" w:rsidRPr="00D86621" w:rsidRDefault="00CD73E5" w:rsidP="00D86621">
      <w:pPr>
        <w:tabs>
          <w:tab w:val="left" w:pos="3108"/>
        </w:tabs>
        <w:spacing w:line="276" w:lineRule="auto"/>
        <w:ind w:firstLine="2835"/>
        <w:jc w:val="both"/>
        <w:rPr>
          <w:rFonts w:ascii="Gadugi" w:hAnsi="Gadugi" w:cs="Arial"/>
          <w:sz w:val="24"/>
          <w:szCs w:val="24"/>
          <w:u w:val="single"/>
        </w:rPr>
      </w:pPr>
    </w:p>
    <w:p w14:paraId="64659FF8" w14:textId="77777777" w:rsidR="00AC20A1" w:rsidRPr="00D86621" w:rsidRDefault="00AC20A1" w:rsidP="00D86621">
      <w:pPr>
        <w:pStyle w:val="Textoindependiente21"/>
        <w:tabs>
          <w:tab w:val="left" w:pos="3108"/>
        </w:tabs>
        <w:spacing w:line="276" w:lineRule="auto"/>
        <w:rPr>
          <w:rFonts w:ascii="Gadugi" w:hAnsi="Gadugi"/>
          <w:szCs w:val="24"/>
        </w:rPr>
      </w:pPr>
    </w:p>
    <w:p w14:paraId="3E681443" w14:textId="6C0CEA2E" w:rsidR="00CD73E5" w:rsidRPr="00D86621" w:rsidRDefault="005F599A" w:rsidP="00D86621">
      <w:pPr>
        <w:pStyle w:val="Textoindependiente21"/>
        <w:tabs>
          <w:tab w:val="left" w:pos="3108"/>
        </w:tabs>
        <w:spacing w:line="276" w:lineRule="auto"/>
        <w:rPr>
          <w:rFonts w:ascii="Gadugi" w:hAnsi="Gadugi"/>
          <w:szCs w:val="24"/>
        </w:rPr>
      </w:pPr>
      <w:r w:rsidRPr="00D86621">
        <w:rPr>
          <w:rFonts w:ascii="Gadugi" w:hAnsi="Gadugi"/>
          <w:szCs w:val="24"/>
        </w:rPr>
        <w:t xml:space="preserve">2.1. </w:t>
      </w:r>
      <w:r w:rsidR="009E0FD8" w:rsidRPr="00D86621">
        <w:rPr>
          <w:rFonts w:ascii="Gadugi" w:hAnsi="Gadugi"/>
          <w:szCs w:val="24"/>
        </w:rPr>
        <w:t>L</w:t>
      </w:r>
      <w:r w:rsidR="00F66464" w:rsidRPr="00D86621">
        <w:rPr>
          <w:rFonts w:ascii="Gadugi" w:hAnsi="Gadugi"/>
          <w:szCs w:val="24"/>
        </w:rPr>
        <w:t>a acción de</w:t>
      </w:r>
      <w:r w:rsidR="00CD73E5" w:rsidRPr="00D86621">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39DE15AC" w14:textId="77777777" w:rsidR="00CD73E5" w:rsidRPr="00D86621" w:rsidRDefault="00CD73E5" w:rsidP="00D86621">
      <w:pPr>
        <w:tabs>
          <w:tab w:val="left" w:pos="2835"/>
        </w:tabs>
        <w:spacing w:line="276" w:lineRule="auto"/>
        <w:ind w:firstLine="2835"/>
        <w:jc w:val="both"/>
        <w:rPr>
          <w:rFonts w:ascii="Gadugi" w:hAnsi="Gadugi"/>
          <w:sz w:val="24"/>
          <w:szCs w:val="24"/>
        </w:rPr>
      </w:pPr>
      <w:r w:rsidRPr="00D86621">
        <w:rPr>
          <w:rFonts w:ascii="Gadugi" w:hAnsi="Gadugi"/>
          <w:sz w:val="24"/>
          <w:szCs w:val="24"/>
        </w:rPr>
        <w:t xml:space="preserve">  </w:t>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p>
    <w:p w14:paraId="73D7F09C" w14:textId="4A23FC37" w:rsidR="0009125F" w:rsidRPr="00D86621" w:rsidRDefault="0009125F" w:rsidP="00D86621">
      <w:pPr>
        <w:tabs>
          <w:tab w:val="left" w:pos="3108"/>
        </w:tabs>
        <w:spacing w:line="276" w:lineRule="auto"/>
        <w:ind w:firstLine="2835"/>
        <w:jc w:val="both"/>
        <w:rPr>
          <w:rFonts w:ascii="Gadugi" w:hAnsi="Gadugi" w:cs="Arial"/>
          <w:sz w:val="24"/>
          <w:szCs w:val="24"/>
        </w:rPr>
      </w:pPr>
      <w:r w:rsidRPr="00D86621">
        <w:rPr>
          <w:rFonts w:ascii="Gadugi" w:hAnsi="Gadugi"/>
          <w:sz w:val="24"/>
          <w:szCs w:val="24"/>
        </w:rPr>
        <w:t>En uso de tal prerrogativa, a</w:t>
      </w:r>
      <w:r w:rsidR="009022F5" w:rsidRPr="00D86621">
        <w:rPr>
          <w:rFonts w:ascii="Gadugi" w:hAnsi="Gadugi"/>
          <w:sz w:val="24"/>
          <w:szCs w:val="24"/>
        </w:rPr>
        <w:t xml:space="preserve">cude </w:t>
      </w:r>
      <w:r w:rsidR="00772B7E" w:rsidRPr="00D86621">
        <w:rPr>
          <w:rFonts w:ascii="Gadugi" w:hAnsi="Gadugi"/>
          <w:sz w:val="24"/>
          <w:szCs w:val="24"/>
        </w:rPr>
        <w:t xml:space="preserve">la señora Ascencio Mendoza, </w:t>
      </w:r>
      <w:r w:rsidR="00CD73E5" w:rsidRPr="00D86621">
        <w:rPr>
          <w:rFonts w:ascii="Gadugi" w:hAnsi="Gadugi" w:cs="Arial"/>
          <w:sz w:val="24"/>
          <w:szCs w:val="24"/>
        </w:rPr>
        <w:t>en procura de la protección de</w:t>
      </w:r>
      <w:r w:rsidR="00D97D5E" w:rsidRPr="00D86621">
        <w:rPr>
          <w:rFonts w:ascii="Gadugi" w:hAnsi="Gadugi" w:cs="Arial"/>
          <w:sz w:val="24"/>
          <w:szCs w:val="24"/>
        </w:rPr>
        <w:t xml:space="preserve"> </w:t>
      </w:r>
      <w:r w:rsidR="00642E81" w:rsidRPr="00D86621">
        <w:rPr>
          <w:rFonts w:ascii="Gadugi" w:hAnsi="Gadugi" w:cs="Arial"/>
          <w:sz w:val="24"/>
          <w:szCs w:val="24"/>
        </w:rPr>
        <w:t>su derecho al debido proceso</w:t>
      </w:r>
      <w:r w:rsidR="00213BBB" w:rsidRPr="00D86621">
        <w:rPr>
          <w:rFonts w:ascii="Gadugi" w:hAnsi="Gadugi" w:cs="Arial"/>
          <w:sz w:val="24"/>
          <w:szCs w:val="24"/>
        </w:rPr>
        <w:t xml:space="preserve">, </w:t>
      </w:r>
      <w:r w:rsidR="00E5703C" w:rsidRPr="00D86621">
        <w:rPr>
          <w:rFonts w:ascii="Gadugi" w:hAnsi="Gadugi" w:cs="Arial"/>
          <w:sz w:val="24"/>
          <w:szCs w:val="24"/>
        </w:rPr>
        <w:t xml:space="preserve">presuntamente vulnerado por el juzgado accionado que, en la sentencia </w:t>
      </w:r>
      <w:r w:rsidR="000A5254" w:rsidRPr="00D86621">
        <w:rPr>
          <w:rFonts w:ascii="Gadugi" w:hAnsi="Gadugi" w:cs="Arial"/>
          <w:sz w:val="24"/>
          <w:szCs w:val="24"/>
        </w:rPr>
        <w:t>proferida</w:t>
      </w:r>
      <w:r w:rsidR="00E5703C" w:rsidRPr="00D86621">
        <w:rPr>
          <w:rFonts w:ascii="Gadugi" w:hAnsi="Gadugi" w:cs="Arial"/>
          <w:sz w:val="24"/>
          <w:szCs w:val="24"/>
        </w:rPr>
        <w:t xml:space="preserve"> en </w:t>
      </w:r>
      <w:r w:rsidR="00E5703C" w:rsidRPr="00D86621">
        <w:rPr>
          <w:rFonts w:ascii="Gadugi" w:hAnsi="Gadugi" w:cs="Arial"/>
          <w:sz w:val="24"/>
          <w:szCs w:val="24"/>
        </w:rPr>
        <w:lastRenderedPageBreak/>
        <w:t xml:space="preserve">la </w:t>
      </w:r>
      <w:r w:rsidRPr="00D86621">
        <w:rPr>
          <w:rFonts w:ascii="Gadugi" w:hAnsi="Gadugi" w:cs="Arial"/>
          <w:sz w:val="24"/>
          <w:szCs w:val="24"/>
        </w:rPr>
        <w:t>ejecución de marras</w:t>
      </w:r>
      <w:r w:rsidR="00FA1958" w:rsidRPr="00D86621">
        <w:rPr>
          <w:rFonts w:ascii="Gadugi" w:hAnsi="Gadugi" w:cs="Arial"/>
          <w:sz w:val="24"/>
          <w:szCs w:val="24"/>
        </w:rPr>
        <w:t>, omitió</w:t>
      </w:r>
      <w:r w:rsidRPr="00D86621">
        <w:rPr>
          <w:rFonts w:ascii="Gadugi" w:hAnsi="Gadugi" w:cs="Arial"/>
          <w:sz w:val="24"/>
          <w:szCs w:val="24"/>
        </w:rPr>
        <w:t xml:space="preserve"> valorar debidamente las pruebas allegadas al expediente, y permitió una indebida defensa técnica. </w:t>
      </w:r>
    </w:p>
    <w:p w14:paraId="71BFAF82" w14:textId="55DD5825" w:rsidR="002A1F1E" w:rsidRPr="00D86621" w:rsidRDefault="00646CEC"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p>
    <w:p w14:paraId="4B774DFD" w14:textId="77777777" w:rsidR="0009125F" w:rsidRPr="00D86621" w:rsidRDefault="00BF5A0B" w:rsidP="00D86621">
      <w:pPr>
        <w:spacing w:line="276" w:lineRule="auto"/>
        <w:jc w:val="both"/>
        <w:rPr>
          <w:rFonts w:ascii="Gadugi" w:hAnsi="Gadugi" w:cs="Arial"/>
          <w:sz w:val="24"/>
          <w:szCs w:val="24"/>
        </w:rPr>
      </w:pPr>
      <w:r w:rsidRPr="00D86621">
        <w:rPr>
          <w:rFonts w:ascii="Gadugi" w:hAnsi="Gadugi"/>
          <w:sz w:val="24"/>
          <w:szCs w:val="24"/>
        </w:rPr>
        <w:t xml:space="preserve">  </w:t>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0009125F" w:rsidRPr="00D86621">
        <w:rPr>
          <w:rFonts w:ascii="Gadugi" w:hAnsi="Gadugi"/>
          <w:sz w:val="24"/>
          <w:szCs w:val="24"/>
        </w:rPr>
        <w:t xml:space="preserve">2.2. </w:t>
      </w:r>
      <w:r w:rsidR="0009125F" w:rsidRPr="00D86621">
        <w:rPr>
          <w:rFonts w:ascii="Gadugi" w:hAnsi="Gadugi" w:cs="Century Gothic"/>
          <w:sz w:val="24"/>
          <w:szCs w:val="24"/>
          <w:lang w:val="es-CO"/>
        </w:rPr>
        <w:t>Reiteradamente</w:t>
      </w:r>
      <w:r w:rsidR="0009125F" w:rsidRPr="00D86621">
        <w:rPr>
          <w:rFonts w:ascii="Gadugi" w:hAnsi="Gadugi" w:cs="Arial"/>
          <w:sz w:val="24"/>
          <w:szCs w:val="24"/>
        </w:rPr>
        <w:t xml:space="preserve"> se ha expuesto que </w:t>
      </w:r>
      <w:r w:rsidR="0009125F" w:rsidRPr="00D86621">
        <w:rPr>
          <w:rFonts w:ascii="Gadugi" w:hAnsi="Gadugi"/>
          <w:sz w:val="24"/>
          <w:szCs w:val="24"/>
        </w:rPr>
        <w:t>a pesar de la inexequibilidad de las normas que en el Decreto 2591 de 1991 preveían la acción de tutela contra providencias judiciales</w:t>
      </w:r>
      <w:r w:rsidR="0009125F" w:rsidRPr="00D86621">
        <w:rPr>
          <w:rStyle w:val="Refdenotaalpie"/>
          <w:rFonts w:ascii="Gadugi" w:hAnsi="Gadugi"/>
          <w:sz w:val="24"/>
          <w:szCs w:val="24"/>
        </w:rPr>
        <w:footnoteReference w:id="7"/>
      </w:r>
      <w:r w:rsidR="0009125F" w:rsidRPr="00D86621">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0009125F" w:rsidRPr="00D86621">
        <w:rPr>
          <w:rFonts w:ascii="Gadugi" w:hAnsi="Gadugi" w:cs="Arial"/>
          <w:sz w:val="24"/>
          <w:szCs w:val="24"/>
        </w:rPr>
        <w:t xml:space="preserve"> en múltiples ocasiones. </w:t>
      </w:r>
    </w:p>
    <w:p w14:paraId="3AF7C285" w14:textId="77777777" w:rsidR="0009125F" w:rsidRPr="00D86621" w:rsidRDefault="0009125F" w:rsidP="00D86621">
      <w:pPr>
        <w:spacing w:line="276" w:lineRule="auto"/>
        <w:jc w:val="both"/>
        <w:rPr>
          <w:rFonts w:ascii="Gadugi" w:hAnsi="Gadugi" w:cs="Arial"/>
          <w:sz w:val="24"/>
          <w:szCs w:val="24"/>
        </w:rPr>
      </w:pPr>
    </w:p>
    <w:p w14:paraId="4DEE3977" w14:textId="77777777" w:rsidR="0009125F" w:rsidRPr="00D86621" w:rsidRDefault="0009125F" w:rsidP="00D86621">
      <w:pPr>
        <w:spacing w:line="276" w:lineRule="auto"/>
        <w:jc w:val="both"/>
        <w:rPr>
          <w:rFonts w:ascii="Gadugi" w:hAnsi="Gadugi"/>
          <w:sz w:val="24"/>
          <w:szCs w:val="24"/>
        </w:rPr>
      </w:pPr>
      <w:r w:rsidRPr="00D86621">
        <w:rPr>
          <w:rFonts w:ascii="Gadugi" w:hAnsi="Gadugi" w:cs="Arial"/>
          <w:sz w:val="24"/>
          <w:szCs w:val="24"/>
        </w:rPr>
        <w:tab/>
      </w:r>
      <w:r w:rsidRPr="00D86621">
        <w:rPr>
          <w:rFonts w:ascii="Gadugi" w:hAnsi="Gadugi" w:cs="Arial"/>
          <w:sz w:val="24"/>
          <w:szCs w:val="24"/>
        </w:rPr>
        <w:tab/>
      </w:r>
      <w:r w:rsidRPr="00D86621">
        <w:rPr>
          <w:rFonts w:ascii="Gadugi" w:hAnsi="Gadugi" w:cs="Arial"/>
          <w:sz w:val="24"/>
          <w:szCs w:val="24"/>
        </w:rPr>
        <w:tab/>
      </w:r>
      <w:r w:rsidRPr="00D86621">
        <w:rPr>
          <w:rFonts w:ascii="Gadugi" w:hAnsi="Gadugi" w:cs="Arial"/>
          <w:sz w:val="24"/>
          <w:szCs w:val="24"/>
        </w:rPr>
        <w:tab/>
        <w:t xml:space="preserve">Sobre ellas, en las sentencias SU-222/16, SU573/17, SU-004/18, </w:t>
      </w:r>
      <w:r w:rsidRPr="00D86621">
        <w:rPr>
          <w:rFonts w:ascii="Gadugi" w:hAnsi="Gadugi" w:cs="Arial"/>
          <w:sz w:val="24"/>
          <w:szCs w:val="24"/>
          <w:lang w:val="es-419"/>
        </w:rPr>
        <w:t xml:space="preserve">reiteradas en las sentencias T-075/19, </w:t>
      </w:r>
      <w:r w:rsidRPr="00D86621">
        <w:rPr>
          <w:rFonts w:ascii="Gadugi" w:hAnsi="Gadugi" w:cs="Arial"/>
          <w:sz w:val="24"/>
          <w:szCs w:val="24"/>
        </w:rPr>
        <w:t>T-053/20, SU128/21,</w:t>
      </w:r>
      <w:r w:rsidRPr="00D86621">
        <w:rPr>
          <w:rFonts w:ascii="Gadugi" w:hAnsi="Gadugi"/>
          <w:sz w:val="24"/>
          <w:szCs w:val="24"/>
        </w:rPr>
        <w:t xml:space="preserve"> y más recientemente en la </w:t>
      </w:r>
      <w:r w:rsidRPr="00D86621">
        <w:rPr>
          <w:rFonts w:ascii="Gadugi" w:hAnsi="Gadugi" w:cs="Arial"/>
          <w:sz w:val="24"/>
          <w:szCs w:val="24"/>
        </w:rPr>
        <w:t xml:space="preserve">T-001/22 todas aludiendo a la C-590 de 2005, recordó que las primeras obedecen a </w:t>
      </w:r>
      <w:r w:rsidRPr="00D86621">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D86621">
        <w:rPr>
          <w:rFonts w:ascii="Gadugi" w:hAnsi="Gadugi"/>
          <w:sz w:val="24"/>
          <w:szCs w:val="24"/>
        </w:rPr>
        <w:t xml:space="preserve"> </w:t>
      </w:r>
      <w:r w:rsidRPr="00D86621">
        <w:rPr>
          <w:rFonts w:ascii="Gadugi" w:hAnsi="Gadugi" w:cs="Arial"/>
          <w:sz w:val="24"/>
          <w:szCs w:val="24"/>
        </w:rPr>
        <w:t>Y en cuanto a las segundas, es decir, las causales específicas, se compendian en los defectos</w:t>
      </w:r>
      <w:r w:rsidRPr="00D86621">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Pr="00D86621">
        <w:rPr>
          <w:rFonts w:ascii="Gadugi" w:hAnsi="Gadugi"/>
          <w:sz w:val="24"/>
          <w:szCs w:val="24"/>
        </w:rPr>
        <w:t xml:space="preserve"> </w:t>
      </w:r>
    </w:p>
    <w:p w14:paraId="471F5934" w14:textId="4C5E42E3" w:rsidR="0009125F" w:rsidRPr="00D86621" w:rsidRDefault="0009125F" w:rsidP="00D86621">
      <w:pPr>
        <w:spacing w:line="276" w:lineRule="auto"/>
        <w:jc w:val="both"/>
        <w:rPr>
          <w:rFonts w:ascii="Gadugi" w:hAnsi="Gadugi" w:cs="Arial"/>
          <w:sz w:val="24"/>
          <w:szCs w:val="24"/>
        </w:rPr>
      </w:pPr>
    </w:p>
    <w:p w14:paraId="5738EC3C" w14:textId="74961854" w:rsidR="0009125F" w:rsidRPr="00D86621" w:rsidRDefault="0009125F" w:rsidP="00D86621">
      <w:pPr>
        <w:spacing w:line="276" w:lineRule="auto"/>
        <w:jc w:val="both"/>
        <w:rPr>
          <w:rFonts w:ascii="Gadugi" w:hAnsi="Gadugi" w:cs="Arial"/>
          <w:sz w:val="24"/>
          <w:szCs w:val="24"/>
        </w:rPr>
      </w:pPr>
      <w:r w:rsidRPr="00D86621">
        <w:rPr>
          <w:rFonts w:ascii="Gadugi" w:hAnsi="Gadugi" w:cs="Arial"/>
          <w:sz w:val="24"/>
          <w:szCs w:val="24"/>
        </w:rPr>
        <w:tab/>
      </w:r>
      <w:r w:rsidRPr="00D86621">
        <w:rPr>
          <w:rFonts w:ascii="Gadugi" w:hAnsi="Gadugi" w:cs="Arial"/>
          <w:sz w:val="24"/>
          <w:szCs w:val="24"/>
        </w:rPr>
        <w:tab/>
      </w:r>
      <w:r w:rsidRPr="00D86621">
        <w:rPr>
          <w:rFonts w:ascii="Gadugi" w:hAnsi="Gadugi" w:cs="Arial"/>
          <w:sz w:val="24"/>
          <w:szCs w:val="24"/>
        </w:rPr>
        <w:tab/>
      </w:r>
      <w:r w:rsidRPr="00D86621">
        <w:rPr>
          <w:rFonts w:ascii="Gadugi" w:hAnsi="Gadugi" w:cs="Arial"/>
          <w:sz w:val="24"/>
          <w:szCs w:val="24"/>
        </w:rPr>
        <w:tab/>
      </w:r>
      <w:r w:rsidR="00CE69E6" w:rsidRPr="00D86621">
        <w:rPr>
          <w:rFonts w:ascii="Gadugi" w:hAnsi="Gadugi" w:cs="Arial"/>
          <w:sz w:val="24"/>
          <w:szCs w:val="24"/>
        </w:rPr>
        <w:t xml:space="preserve">2.3. </w:t>
      </w:r>
      <w:r w:rsidRPr="00D86621">
        <w:rPr>
          <w:rFonts w:ascii="Gadugi" w:hAnsi="Gadugi" w:cs="Arial"/>
          <w:sz w:val="24"/>
          <w:szCs w:val="24"/>
        </w:rPr>
        <w:t>Sobre los requisitos generales de la acción de tutela, se tiene lo siguiente:</w:t>
      </w:r>
    </w:p>
    <w:p w14:paraId="23D6CC8E" w14:textId="027220A8" w:rsidR="0009125F" w:rsidRPr="00D86621" w:rsidRDefault="0009125F" w:rsidP="00D86621">
      <w:pPr>
        <w:spacing w:line="276" w:lineRule="auto"/>
        <w:jc w:val="both"/>
        <w:rPr>
          <w:rFonts w:ascii="Gadugi" w:hAnsi="Gadugi" w:cs="Arial"/>
          <w:sz w:val="24"/>
          <w:szCs w:val="24"/>
        </w:rPr>
      </w:pPr>
    </w:p>
    <w:p w14:paraId="1F8C96C9" w14:textId="179DE96B" w:rsidR="0009125F" w:rsidRPr="00D86621" w:rsidRDefault="0009125F" w:rsidP="00D86621">
      <w:pPr>
        <w:spacing w:line="276" w:lineRule="auto"/>
        <w:jc w:val="both"/>
        <w:rPr>
          <w:rFonts w:ascii="Gadugi" w:hAnsi="Gadugi" w:cs="Arial"/>
          <w:sz w:val="24"/>
          <w:szCs w:val="24"/>
        </w:rPr>
      </w:pPr>
      <w:r w:rsidRPr="00D86621">
        <w:rPr>
          <w:rFonts w:ascii="Gadugi" w:hAnsi="Gadugi" w:cs="Arial"/>
          <w:sz w:val="24"/>
          <w:szCs w:val="24"/>
        </w:rPr>
        <w:tab/>
      </w:r>
      <w:r w:rsidRPr="00D86621">
        <w:rPr>
          <w:rFonts w:ascii="Gadugi" w:hAnsi="Gadugi" w:cs="Arial"/>
          <w:sz w:val="24"/>
          <w:szCs w:val="24"/>
        </w:rPr>
        <w:tab/>
      </w:r>
      <w:r w:rsidRPr="00D86621">
        <w:rPr>
          <w:rFonts w:ascii="Gadugi" w:hAnsi="Gadugi" w:cs="Arial"/>
          <w:sz w:val="24"/>
          <w:szCs w:val="24"/>
        </w:rPr>
        <w:tab/>
      </w:r>
      <w:r w:rsidRPr="00D86621">
        <w:rPr>
          <w:rFonts w:ascii="Gadugi" w:hAnsi="Gadugi" w:cs="Arial"/>
          <w:sz w:val="24"/>
          <w:szCs w:val="24"/>
        </w:rPr>
        <w:tab/>
      </w:r>
      <w:r w:rsidRPr="00D86621">
        <w:rPr>
          <w:rFonts w:ascii="Gadugi" w:hAnsi="Gadugi"/>
          <w:sz w:val="24"/>
          <w:szCs w:val="24"/>
        </w:rPr>
        <w:t>Se cumple con la legitimación en la causa por activa, pues la accionante, quien actúa mediante apoderado judicial debidamente facultado</w:t>
      </w:r>
      <w:r w:rsidR="00496418" w:rsidRPr="00D86621">
        <w:rPr>
          <w:rStyle w:val="Refdenotaalpie"/>
          <w:rFonts w:ascii="Gadugi" w:hAnsi="Gadugi"/>
          <w:sz w:val="24"/>
          <w:szCs w:val="24"/>
        </w:rPr>
        <w:footnoteReference w:id="8"/>
      </w:r>
      <w:r w:rsidRPr="00D86621">
        <w:rPr>
          <w:rFonts w:ascii="Gadugi" w:hAnsi="Gadugi"/>
          <w:sz w:val="24"/>
          <w:szCs w:val="24"/>
        </w:rPr>
        <w:t xml:space="preserve">, es demandada en el proceso ejecutivo que se trajo a colación; también se supera por pasiva, ya que el juzgado accionado conoce de ese juicio. Además, por conducto de su administradora, puede comparecer </w:t>
      </w:r>
      <w:r w:rsidR="00F20FBD" w:rsidRPr="00D86621">
        <w:rPr>
          <w:rFonts w:ascii="Gadugi" w:hAnsi="Gadugi" w:cs="Arial"/>
          <w:sz w:val="24"/>
          <w:szCs w:val="24"/>
        </w:rPr>
        <w:t xml:space="preserve">el Conjunto Residencial </w:t>
      </w:r>
      <w:proofErr w:type="spellStart"/>
      <w:r w:rsidR="00F20FBD" w:rsidRPr="00D86621">
        <w:rPr>
          <w:rFonts w:ascii="Gadugi" w:hAnsi="Gadugi" w:cs="Arial"/>
          <w:sz w:val="24"/>
          <w:szCs w:val="24"/>
        </w:rPr>
        <w:t>Tadaima</w:t>
      </w:r>
      <w:proofErr w:type="spellEnd"/>
      <w:r w:rsidR="00F20FBD" w:rsidRPr="00D86621">
        <w:rPr>
          <w:rFonts w:ascii="Gadugi" w:hAnsi="Gadugi" w:cs="Arial"/>
          <w:sz w:val="24"/>
          <w:szCs w:val="24"/>
        </w:rPr>
        <w:t xml:space="preserve"> P.H., ya que es demandante en ese caso. </w:t>
      </w:r>
    </w:p>
    <w:p w14:paraId="0F616B8D" w14:textId="30050400" w:rsidR="005F0CDC" w:rsidRPr="00D86621" w:rsidRDefault="00433F4E" w:rsidP="00D86621">
      <w:pPr>
        <w:spacing w:line="276" w:lineRule="auto"/>
        <w:jc w:val="both"/>
        <w:rPr>
          <w:rFonts w:ascii="Gadugi" w:hAnsi="Gadugi"/>
          <w:sz w:val="24"/>
          <w:szCs w:val="24"/>
        </w:rPr>
      </w:pPr>
      <w:r w:rsidRPr="00D86621">
        <w:rPr>
          <w:rFonts w:ascii="Gadugi" w:hAnsi="Gadugi" w:cs="Arial"/>
          <w:sz w:val="24"/>
          <w:szCs w:val="24"/>
        </w:rPr>
        <w:tab/>
      </w:r>
      <w:r w:rsidR="00B86E8E" w:rsidRPr="00D86621">
        <w:rPr>
          <w:rFonts w:ascii="Gadugi" w:hAnsi="Gadugi"/>
          <w:sz w:val="24"/>
          <w:szCs w:val="24"/>
        </w:rPr>
        <w:tab/>
      </w:r>
      <w:r w:rsidR="00B86E8E" w:rsidRPr="00D86621">
        <w:rPr>
          <w:rFonts w:ascii="Gadugi" w:hAnsi="Gadugi"/>
          <w:sz w:val="24"/>
          <w:szCs w:val="24"/>
        </w:rPr>
        <w:tab/>
      </w:r>
      <w:r w:rsidR="00B86E8E" w:rsidRPr="00D86621">
        <w:rPr>
          <w:rFonts w:ascii="Gadugi" w:hAnsi="Gadugi"/>
          <w:sz w:val="24"/>
          <w:szCs w:val="24"/>
        </w:rPr>
        <w:tab/>
      </w:r>
      <w:r w:rsidR="00B86E8E" w:rsidRPr="00D86621">
        <w:rPr>
          <w:rFonts w:ascii="Gadugi" w:hAnsi="Gadugi"/>
          <w:sz w:val="24"/>
          <w:szCs w:val="24"/>
        </w:rPr>
        <w:tab/>
      </w:r>
    </w:p>
    <w:p w14:paraId="1EB3E575" w14:textId="48580A14" w:rsidR="00F20FBD" w:rsidRPr="00D86621" w:rsidRDefault="00897990" w:rsidP="00D86621">
      <w:pPr>
        <w:spacing w:line="276" w:lineRule="auto"/>
        <w:jc w:val="both"/>
        <w:rPr>
          <w:rFonts w:ascii="Gadugi" w:hAnsi="Gadugi"/>
          <w:sz w:val="24"/>
          <w:szCs w:val="24"/>
        </w:rPr>
      </w:pPr>
      <w:r w:rsidRPr="00D86621">
        <w:rPr>
          <w:rFonts w:ascii="Gadugi" w:hAnsi="Gadugi"/>
          <w:sz w:val="24"/>
          <w:szCs w:val="24"/>
        </w:rPr>
        <w:lastRenderedPageBreak/>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611AEFE1" w:rsidRPr="00D86621">
        <w:rPr>
          <w:rFonts w:ascii="Gadugi" w:hAnsi="Gadugi"/>
          <w:sz w:val="24"/>
          <w:szCs w:val="24"/>
        </w:rPr>
        <w:t xml:space="preserve">Se </w:t>
      </w:r>
      <w:r w:rsidR="021857BF" w:rsidRPr="00D86621">
        <w:rPr>
          <w:rFonts w:ascii="Gadugi" w:hAnsi="Gadugi"/>
          <w:sz w:val="24"/>
          <w:szCs w:val="24"/>
        </w:rPr>
        <w:t>satisface</w:t>
      </w:r>
      <w:r w:rsidR="611AEFE1" w:rsidRPr="00D86621">
        <w:rPr>
          <w:rFonts w:ascii="Gadugi" w:hAnsi="Gadugi"/>
          <w:sz w:val="24"/>
          <w:szCs w:val="24"/>
        </w:rPr>
        <w:t xml:space="preserve"> </w:t>
      </w:r>
      <w:r w:rsidR="0F462170" w:rsidRPr="00D86621">
        <w:rPr>
          <w:rFonts w:ascii="Gadugi" w:hAnsi="Gadugi"/>
          <w:sz w:val="24"/>
          <w:szCs w:val="24"/>
        </w:rPr>
        <w:t xml:space="preserve">la inmediatez pues la decisión que se refuta </w:t>
      </w:r>
      <w:r w:rsidR="7719801B" w:rsidRPr="00D86621">
        <w:rPr>
          <w:rFonts w:ascii="Gadugi" w:hAnsi="Gadugi"/>
          <w:sz w:val="24"/>
          <w:szCs w:val="24"/>
        </w:rPr>
        <w:t>fue proferida en audiencia del 12 de octubre de 2021</w:t>
      </w:r>
      <w:r w:rsidR="00496418" w:rsidRPr="00D86621">
        <w:rPr>
          <w:rStyle w:val="Refdenotaalpie"/>
          <w:rFonts w:ascii="Gadugi" w:hAnsi="Gadugi"/>
          <w:sz w:val="24"/>
          <w:szCs w:val="24"/>
        </w:rPr>
        <w:footnoteReference w:id="9"/>
      </w:r>
      <w:r w:rsidR="7719801B" w:rsidRPr="00D86621">
        <w:rPr>
          <w:rFonts w:ascii="Gadugi" w:hAnsi="Gadugi"/>
          <w:sz w:val="24"/>
          <w:szCs w:val="24"/>
        </w:rPr>
        <w:t>, y si bien los 6 meses se cumplieron el 12 de abril de 2022, lo cierto es que esta demanda se presentó el 18 de abril de 2022</w:t>
      </w:r>
      <w:r w:rsidR="00496418" w:rsidRPr="00D86621">
        <w:rPr>
          <w:rStyle w:val="Refdenotaalpie"/>
          <w:rFonts w:ascii="Gadugi" w:hAnsi="Gadugi"/>
          <w:sz w:val="24"/>
          <w:szCs w:val="24"/>
        </w:rPr>
        <w:footnoteReference w:id="10"/>
      </w:r>
      <w:r w:rsidR="7719801B" w:rsidRPr="00D86621">
        <w:rPr>
          <w:rFonts w:ascii="Gadugi" w:hAnsi="Gadugi"/>
          <w:sz w:val="24"/>
          <w:szCs w:val="24"/>
        </w:rPr>
        <w:t>, esto es, el día siguiente hábil después de que culminó e</w:t>
      </w:r>
      <w:r w:rsidR="400EE209" w:rsidRPr="00D86621">
        <w:rPr>
          <w:rFonts w:ascii="Gadugi" w:hAnsi="Gadugi"/>
          <w:sz w:val="24"/>
          <w:szCs w:val="24"/>
        </w:rPr>
        <w:t>l</w:t>
      </w:r>
      <w:r w:rsidR="7719801B" w:rsidRPr="00D86621">
        <w:rPr>
          <w:rFonts w:ascii="Gadugi" w:hAnsi="Gadugi"/>
          <w:sz w:val="24"/>
          <w:szCs w:val="24"/>
        </w:rPr>
        <w:t xml:space="preserve"> periodo vacacional</w:t>
      </w:r>
      <w:r w:rsidR="400EE209" w:rsidRPr="00D86621">
        <w:rPr>
          <w:rFonts w:ascii="Gadugi" w:hAnsi="Gadugi"/>
          <w:sz w:val="24"/>
          <w:szCs w:val="24"/>
        </w:rPr>
        <w:t xml:space="preserve"> de Semana Santa</w:t>
      </w:r>
      <w:r w:rsidR="7719801B" w:rsidRPr="00D86621">
        <w:rPr>
          <w:rFonts w:ascii="Gadugi" w:hAnsi="Gadugi"/>
          <w:sz w:val="24"/>
          <w:szCs w:val="24"/>
        </w:rPr>
        <w:t xml:space="preserve">, con lo cual, concluye la Sala, que la parte actora acudió al amparo de manera oportuna. </w:t>
      </w:r>
      <w:r w:rsidR="0090384B" w:rsidRPr="00D86621">
        <w:rPr>
          <w:rFonts w:ascii="Gadugi" w:hAnsi="Gadugi"/>
          <w:sz w:val="24"/>
          <w:szCs w:val="24"/>
        </w:rPr>
        <w:t>(</w:t>
      </w:r>
      <w:r w:rsidR="00776941" w:rsidRPr="00D86621">
        <w:rPr>
          <w:rFonts w:ascii="Gadugi" w:hAnsi="Gadugi"/>
          <w:sz w:val="24"/>
          <w:szCs w:val="24"/>
        </w:rPr>
        <w:t xml:space="preserve">Inc. 7°. </w:t>
      </w:r>
      <w:r w:rsidR="0090384B" w:rsidRPr="00D86621">
        <w:rPr>
          <w:rFonts w:ascii="Gadugi" w:hAnsi="Gadugi"/>
          <w:sz w:val="24"/>
          <w:szCs w:val="24"/>
        </w:rPr>
        <w:t xml:space="preserve">artículo </w:t>
      </w:r>
      <w:r w:rsidR="003B7EA3" w:rsidRPr="00D86621">
        <w:rPr>
          <w:rFonts w:ascii="Gadugi" w:hAnsi="Gadugi"/>
          <w:sz w:val="24"/>
          <w:szCs w:val="24"/>
        </w:rPr>
        <w:t>118</w:t>
      </w:r>
      <w:r w:rsidR="0090384B" w:rsidRPr="00D86621">
        <w:rPr>
          <w:rFonts w:ascii="Gadugi" w:hAnsi="Gadugi"/>
          <w:sz w:val="24"/>
          <w:szCs w:val="24"/>
        </w:rPr>
        <w:t xml:space="preserve"> </w:t>
      </w:r>
      <w:r w:rsidR="00776941" w:rsidRPr="00D86621">
        <w:rPr>
          <w:rFonts w:ascii="Gadugi" w:hAnsi="Gadugi"/>
          <w:sz w:val="24"/>
          <w:szCs w:val="24"/>
        </w:rPr>
        <w:t>del CGP</w:t>
      </w:r>
      <w:r w:rsidR="0090384B" w:rsidRPr="00D86621">
        <w:rPr>
          <w:rStyle w:val="Refdenotaalpie"/>
          <w:rFonts w:ascii="Gadugi" w:hAnsi="Gadugi"/>
          <w:sz w:val="24"/>
          <w:szCs w:val="24"/>
        </w:rPr>
        <w:footnoteReference w:id="11"/>
      </w:r>
      <w:r w:rsidR="0090384B" w:rsidRPr="00D86621">
        <w:rPr>
          <w:rFonts w:ascii="Gadugi" w:hAnsi="Gadugi"/>
          <w:sz w:val="24"/>
          <w:szCs w:val="24"/>
        </w:rPr>
        <w:t>)</w:t>
      </w:r>
    </w:p>
    <w:p w14:paraId="48854542" w14:textId="77777777" w:rsidR="0048348E" w:rsidRPr="00D86621" w:rsidRDefault="0048348E"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p>
    <w:p w14:paraId="0D6936E1" w14:textId="54A2E22C" w:rsidR="00351342" w:rsidRPr="00D86621" w:rsidRDefault="0048348E"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00A200FA" w:rsidRPr="00D86621">
        <w:rPr>
          <w:rFonts w:ascii="Gadugi" w:hAnsi="Gadugi"/>
          <w:sz w:val="24"/>
          <w:szCs w:val="24"/>
        </w:rPr>
        <w:tab/>
      </w:r>
      <w:r w:rsidR="00A200FA" w:rsidRPr="00D86621">
        <w:rPr>
          <w:rFonts w:ascii="Gadugi" w:hAnsi="Gadugi"/>
          <w:sz w:val="24"/>
          <w:szCs w:val="24"/>
        </w:rPr>
        <w:tab/>
      </w:r>
      <w:r w:rsidR="00075935" w:rsidRPr="00D86621">
        <w:rPr>
          <w:rFonts w:ascii="Gadugi" w:hAnsi="Gadugi"/>
          <w:sz w:val="24"/>
          <w:szCs w:val="24"/>
        </w:rPr>
        <w:t>S</w:t>
      </w:r>
      <w:r w:rsidR="00A200FA" w:rsidRPr="00D86621">
        <w:rPr>
          <w:rFonts w:ascii="Gadugi" w:hAnsi="Gadugi"/>
          <w:sz w:val="24"/>
          <w:szCs w:val="24"/>
        </w:rPr>
        <w:t>e supera la subsidiari</w:t>
      </w:r>
      <w:r w:rsidR="003D6A44" w:rsidRPr="00D86621">
        <w:rPr>
          <w:rFonts w:ascii="Gadugi" w:hAnsi="Gadugi"/>
          <w:sz w:val="24"/>
          <w:szCs w:val="24"/>
        </w:rPr>
        <w:t>e</w:t>
      </w:r>
      <w:r w:rsidR="00A200FA" w:rsidRPr="00D86621">
        <w:rPr>
          <w:rFonts w:ascii="Gadugi" w:hAnsi="Gadugi"/>
          <w:sz w:val="24"/>
          <w:szCs w:val="24"/>
        </w:rPr>
        <w:t xml:space="preserve">dad porque contra el fallo que se profirió en </w:t>
      </w:r>
      <w:r w:rsidR="00FA1958" w:rsidRPr="00D86621">
        <w:rPr>
          <w:rFonts w:ascii="Gadugi" w:hAnsi="Gadugi"/>
          <w:sz w:val="24"/>
          <w:szCs w:val="24"/>
        </w:rPr>
        <w:t xml:space="preserve">la </w:t>
      </w:r>
      <w:r w:rsidR="00351342" w:rsidRPr="00D86621">
        <w:rPr>
          <w:rFonts w:ascii="Gadugi" w:hAnsi="Gadugi"/>
          <w:sz w:val="24"/>
          <w:szCs w:val="24"/>
        </w:rPr>
        <w:t>ejecución</w:t>
      </w:r>
      <w:r w:rsidR="00A200FA" w:rsidRPr="00D86621">
        <w:rPr>
          <w:rFonts w:ascii="Gadugi" w:hAnsi="Gadugi"/>
          <w:sz w:val="24"/>
          <w:szCs w:val="24"/>
        </w:rPr>
        <w:t xml:space="preserve"> no procede ningún recurso</w:t>
      </w:r>
      <w:r w:rsidR="00351342" w:rsidRPr="00D86621">
        <w:rPr>
          <w:rFonts w:ascii="Gadugi" w:hAnsi="Gadugi"/>
          <w:sz w:val="24"/>
          <w:szCs w:val="24"/>
        </w:rPr>
        <w:t xml:space="preserve"> por ser un trámite de mínima cuantía y</w:t>
      </w:r>
      <w:r w:rsidR="003D6A44" w:rsidRPr="00D86621">
        <w:rPr>
          <w:rFonts w:ascii="Gadugi" w:hAnsi="Gadugi"/>
          <w:sz w:val="24"/>
          <w:szCs w:val="24"/>
        </w:rPr>
        <w:t>,</w:t>
      </w:r>
      <w:r w:rsidR="00351342" w:rsidRPr="00D86621">
        <w:rPr>
          <w:rFonts w:ascii="Gadugi" w:hAnsi="Gadugi"/>
          <w:sz w:val="24"/>
          <w:szCs w:val="24"/>
        </w:rPr>
        <w:t xml:space="preserve"> entonces, de única instancia (Núm. 1°, Art. 17, CGP). </w:t>
      </w:r>
    </w:p>
    <w:p w14:paraId="272EC1C8" w14:textId="77777777" w:rsidR="00351342" w:rsidRPr="00D86621" w:rsidRDefault="00351342" w:rsidP="00D86621">
      <w:pPr>
        <w:spacing w:line="276" w:lineRule="auto"/>
        <w:jc w:val="both"/>
        <w:rPr>
          <w:rFonts w:ascii="Gadugi" w:hAnsi="Gadugi"/>
          <w:sz w:val="24"/>
          <w:szCs w:val="24"/>
        </w:rPr>
      </w:pPr>
    </w:p>
    <w:p w14:paraId="5CE06B1C" w14:textId="00B90110" w:rsidR="0027217B" w:rsidRPr="00D86621" w:rsidRDefault="000A5254"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005F599A" w:rsidRPr="00D86621">
        <w:rPr>
          <w:rFonts w:ascii="Gadugi" w:hAnsi="Gadugi"/>
          <w:sz w:val="24"/>
          <w:szCs w:val="24"/>
        </w:rPr>
        <w:t>2.</w:t>
      </w:r>
      <w:r w:rsidR="00CE69E6" w:rsidRPr="00D86621">
        <w:rPr>
          <w:rFonts w:ascii="Gadugi" w:hAnsi="Gadugi"/>
          <w:sz w:val="24"/>
          <w:szCs w:val="24"/>
        </w:rPr>
        <w:t>4</w:t>
      </w:r>
      <w:r w:rsidR="005F599A" w:rsidRPr="00D86621">
        <w:rPr>
          <w:rFonts w:ascii="Gadugi" w:hAnsi="Gadugi"/>
          <w:sz w:val="24"/>
          <w:szCs w:val="24"/>
        </w:rPr>
        <w:t xml:space="preserve">. </w:t>
      </w:r>
      <w:r w:rsidRPr="00D86621">
        <w:rPr>
          <w:rFonts w:ascii="Gadugi" w:hAnsi="Gadugi"/>
          <w:sz w:val="24"/>
          <w:szCs w:val="24"/>
        </w:rPr>
        <w:t xml:space="preserve">Superados los requisitos generales de procedencia del trámite, </w:t>
      </w:r>
      <w:bookmarkStart w:id="3" w:name="_Hlk117506149"/>
      <w:r w:rsidRPr="00D86621">
        <w:rPr>
          <w:rFonts w:ascii="Gadugi" w:hAnsi="Gadugi"/>
          <w:sz w:val="24"/>
          <w:szCs w:val="24"/>
        </w:rPr>
        <w:t>sigue examinar el yerro que se le endilga al fallo confutado, y, s</w:t>
      </w:r>
      <w:r w:rsidR="00D90D68" w:rsidRPr="00D86621">
        <w:rPr>
          <w:rFonts w:ascii="Gadugi" w:hAnsi="Gadugi"/>
          <w:sz w:val="24"/>
          <w:szCs w:val="24"/>
        </w:rPr>
        <w:t xml:space="preserve">egún se </w:t>
      </w:r>
      <w:r w:rsidR="00351342" w:rsidRPr="00D86621">
        <w:rPr>
          <w:rFonts w:ascii="Gadugi" w:hAnsi="Gadugi"/>
          <w:sz w:val="24"/>
          <w:szCs w:val="24"/>
        </w:rPr>
        <w:t xml:space="preserve">indica en </w:t>
      </w:r>
      <w:r w:rsidR="00D90D68" w:rsidRPr="00D86621">
        <w:rPr>
          <w:rFonts w:ascii="Gadugi" w:hAnsi="Gadugi"/>
          <w:sz w:val="24"/>
          <w:szCs w:val="24"/>
        </w:rPr>
        <w:t xml:space="preserve">la demanda, </w:t>
      </w:r>
      <w:r w:rsidRPr="00D86621">
        <w:rPr>
          <w:rFonts w:ascii="Gadugi" w:hAnsi="Gadugi"/>
          <w:sz w:val="24"/>
          <w:szCs w:val="24"/>
        </w:rPr>
        <w:t>tal irregularidad atañe con lo que</w:t>
      </w:r>
      <w:r w:rsidR="00D90D68" w:rsidRPr="00D86621">
        <w:rPr>
          <w:rFonts w:ascii="Gadugi" w:hAnsi="Gadugi"/>
          <w:sz w:val="24"/>
          <w:szCs w:val="24"/>
        </w:rPr>
        <w:t xml:space="preserve"> la jurisprudencia ha sabido denominar defecto fáctico, sobre el cual la </w:t>
      </w:r>
      <w:r w:rsidRPr="00D86621">
        <w:rPr>
          <w:rFonts w:ascii="Gadugi" w:hAnsi="Gadugi"/>
          <w:sz w:val="24"/>
          <w:szCs w:val="24"/>
        </w:rPr>
        <w:t>Corte Constitucional enseña</w:t>
      </w:r>
      <w:r w:rsidR="0027217B" w:rsidRPr="00D86621">
        <w:rPr>
          <w:rStyle w:val="Refdenotaalpie"/>
          <w:rFonts w:ascii="Gadugi" w:hAnsi="Gadugi"/>
          <w:sz w:val="24"/>
          <w:szCs w:val="24"/>
          <w:lang w:val="es-419"/>
        </w:rPr>
        <w:footnoteReference w:id="12"/>
      </w:r>
      <w:r w:rsidR="00D90D68" w:rsidRPr="00D86621">
        <w:rPr>
          <w:rFonts w:ascii="Gadugi" w:hAnsi="Gadugi"/>
          <w:sz w:val="24"/>
          <w:szCs w:val="24"/>
        </w:rPr>
        <w:t>:</w:t>
      </w:r>
    </w:p>
    <w:p w14:paraId="2879F906" w14:textId="77777777" w:rsidR="0027217B" w:rsidRPr="00D86621" w:rsidRDefault="0027217B" w:rsidP="00D86621">
      <w:pPr>
        <w:spacing w:line="276" w:lineRule="auto"/>
        <w:jc w:val="both"/>
        <w:rPr>
          <w:rFonts w:ascii="Gadugi" w:hAnsi="Gadugi"/>
          <w:sz w:val="24"/>
          <w:szCs w:val="24"/>
          <w:lang w:val="es-419"/>
        </w:rPr>
      </w:pPr>
    </w:p>
    <w:p w14:paraId="6A532B93" w14:textId="77777777" w:rsidR="0027217B" w:rsidRPr="00161C88" w:rsidRDefault="0027217B" w:rsidP="00161C88">
      <w:pPr>
        <w:ind w:left="426" w:right="420"/>
        <w:jc w:val="both"/>
        <w:rPr>
          <w:rFonts w:ascii="Gadugi" w:hAnsi="Gadugi"/>
          <w:sz w:val="22"/>
          <w:szCs w:val="24"/>
          <w:lang w:val="es-CO" w:eastAsia="es-CO"/>
        </w:rPr>
      </w:pPr>
      <w:r w:rsidRPr="00161C88">
        <w:rPr>
          <w:rFonts w:ascii="Gadugi" w:hAnsi="Gadugi"/>
          <w:sz w:val="22"/>
          <w:szCs w:val="24"/>
          <w:lang w:val="es-419"/>
        </w:rPr>
        <w:tab/>
      </w:r>
      <w:r w:rsidRPr="00161C88">
        <w:rPr>
          <w:rFonts w:ascii="Gadugi" w:hAnsi="Gadugi"/>
          <w:sz w:val="22"/>
          <w:szCs w:val="24"/>
          <w:lang w:val="es-419"/>
        </w:rPr>
        <w:tab/>
      </w:r>
      <w:r w:rsidRPr="00161C88">
        <w:rPr>
          <w:rFonts w:ascii="Gadugi" w:hAnsi="Gadugi"/>
          <w:sz w:val="22"/>
          <w:szCs w:val="24"/>
          <w:lang w:val="es-419"/>
        </w:rPr>
        <w:tab/>
      </w:r>
      <w:r w:rsidRPr="00161C88">
        <w:rPr>
          <w:rFonts w:ascii="Gadugi" w:hAnsi="Gadugi"/>
          <w:sz w:val="22"/>
          <w:szCs w:val="24"/>
          <w:lang w:val="es-419"/>
        </w:rPr>
        <w:tab/>
      </w:r>
      <w:r w:rsidRPr="00161C88">
        <w:rPr>
          <w:rFonts w:ascii="Gadugi" w:hAnsi="Gadugi"/>
          <w:sz w:val="22"/>
          <w:szCs w:val="24"/>
          <w:lang w:val="es-CO" w:eastAsia="es-CO"/>
        </w:rPr>
        <w:t>(…) </w:t>
      </w:r>
    </w:p>
    <w:p w14:paraId="13BBA2C9" w14:textId="77777777" w:rsidR="0027217B" w:rsidRPr="00161C88" w:rsidRDefault="0027217B" w:rsidP="00161C88">
      <w:pPr>
        <w:ind w:left="426" w:right="420"/>
        <w:jc w:val="both"/>
        <w:rPr>
          <w:rFonts w:ascii="Gadugi" w:hAnsi="Gadugi"/>
          <w:sz w:val="22"/>
          <w:szCs w:val="24"/>
          <w:lang w:val="es-CO" w:eastAsia="es-CO"/>
        </w:rPr>
      </w:pPr>
    </w:p>
    <w:p w14:paraId="2060C094" w14:textId="77777777" w:rsidR="0027217B" w:rsidRPr="00161C88" w:rsidRDefault="0027217B" w:rsidP="00161C88">
      <w:pPr>
        <w:ind w:left="426" w:right="420"/>
        <w:jc w:val="both"/>
        <w:rPr>
          <w:rFonts w:ascii="Gadugi" w:hAnsi="Gadugi"/>
          <w:sz w:val="22"/>
          <w:szCs w:val="24"/>
          <w:lang w:val="es-CO" w:eastAsia="es-CO"/>
        </w:rPr>
      </w:pPr>
      <w:r w:rsidRPr="00161C88">
        <w:rPr>
          <w:rFonts w:ascii="Gadugi" w:hAnsi="Gadugi"/>
          <w:sz w:val="22"/>
          <w:szCs w:val="24"/>
          <w:lang w:val="es-CO" w:eastAsia="es-CO"/>
        </w:rPr>
        <w:tab/>
      </w:r>
      <w:r w:rsidRPr="00161C88">
        <w:rPr>
          <w:rFonts w:ascii="Gadugi" w:hAnsi="Gadugi"/>
          <w:sz w:val="22"/>
          <w:szCs w:val="24"/>
          <w:lang w:val="es-CO" w:eastAsia="es-CO"/>
        </w:rPr>
        <w:tab/>
      </w:r>
      <w:r w:rsidRPr="00161C88">
        <w:rPr>
          <w:rFonts w:ascii="Gadugi" w:hAnsi="Gadugi"/>
          <w:sz w:val="22"/>
          <w:szCs w:val="24"/>
          <w:lang w:val="es-CO" w:eastAsia="es-CO"/>
        </w:rPr>
        <w:tab/>
      </w:r>
      <w:r w:rsidRPr="00161C88">
        <w:rPr>
          <w:rFonts w:ascii="Gadugi" w:hAnsi="Gadugi"/>
          <w:sz w:val="22"/>
          <w:szCs w:val="24"/>
          <w:lang w:val="es-CO" w:eastAsia="es-CO"/>
        </w:rPr>
        <w:tab/>
      </w:r>
      <w:r w:rsidRPr="00161C88">
        <w:rPr>
          <w:rFonts w:ascii="Gadugi" w:hAnsi="Gadugi"/>
          <w:b/>
          <w:sz w:val="22"/>
          <w:szCs w:val="24"/>
          <w:lang w:val="es-CO" w:eastAsia="es-CO"/>
        </w:rPr>
        <w:t>Se erige sobre la malinterpretación de los hechos expuestos en un proceso, la cual deviene de una inapropiada valoración probatoria, bien porque el juez no contaba con pruebas para sustentar sus afirmaciones, ora porque al estimar su valor demostrativo fue arbitrario</w:t>
      </w:r>
      <w:bookmarkEnd w:id="3"/>
      <w:r w:rsidRPr="00161C88">
        <w:rPr>
          <w:rStyle w:val="Refdenotaalpie"/>
          <w:rFonts w:ascii="Gadugi" w:hAnsi="Gadugi"/>
          <w:sz w:val="22"/>
          <w:szCs w:val="24"/>
          <w:lang w:val="es-CO" w:eastAsia="es-CO"/>
        </w:rPr>
        <w:footnoteReference w:id="13"/>
      </w:r>
      <w:r w:rsidRPr="00161C88">
        <w:rPr>
          <w:rFonts w:ascii="Gadugi" w:hAnsi="Gadugi"/>
          <w:sz w:val="22"/>
          <w:szCs w:val="24"/>
          <w:lang w:val="es-CO" w:eastAsia="es-CO"/>
        </w:rPr>
        <w:t>. La Corte ha dicho que tal arbitrariedad debe ser “</w:t>
      </w:r>
      <w:r w:rsidRPr="00161C88">
        <w:rPr>
          <w:rFonts w:ascii="Gadugi" w:hAnsi="Gadugi"/>
          <w:i/>
          <w:iCs/>
          <w:sz w:val="22"/>
          <w:szCs w:val="24"/>
          <w:shd w:val="clear" w:color="auto" w:fill="FFFFFF"/>
          <w:lang w:val="es-CO" w:eastAsia="es-CO"/>
        </w:rPr>
        <w:t>de tal magnitud que pueda advertirse de manera evidente y flagrante, sin que quepa margen de objetividad alguno que permita explicar razonablemente la conclusión a la cual llegó el juez</w:t>
      </w:r>
      <w:r w:rsidRPr="00161C88">
        <w:rPr>
          <w:rStyle w:val="Refdenotaalpie"/>
          <w:rFonts w:ascii="Gadugi" w:hAnsi="Gadugi"/>
          <w:i/>
          <w:iCs/>
          <w:sz w:val="22"/>
          <w:szCs w:val="24"/>
          <w:shd w:val="clear" w:color="auto" w:fill="FFFFFF"/>
          <w:lang w:val="es-CO" w:eastAsia="es-CO"/>
        </w:rPr>
        <w:footnoteReference w:id="14"/>
      </w:r>
      <w:r w:rsidRPr="00161C88">
        <w:rPr>
          <w:rFonts w:ascii="Gadugi" w:hAnsi="Gadugi"/>
          <w:i/>
          <w:iCs/>
          <w:sz w:val="22"/>
          <w:szCs w:val="24"/>
          <w:shd w:val="clear" w:color="auto" w:fill="FFFFFF"/>
          <w:lang w:val="es-CO" w:eastAsia="es-CO"/>
        </w:rPr>
        <w:t>.</w:t>
      </w:r>
      <w:r w:rsidRPr="00161C88">
        <w:rPr>
          <w:rFonts w:ascii="Gadugi" w:hAnsi="Gadugi"/>
          <w:i/>
          <w:iCs/>
          <w:sz w:val="22"/>
          <w:szCs w:val="24"/>
          <w:lang w:val="es-CO" w:eastAsia="es-CO"/>
        </w:rPr>
        <w:t> </w:t>
      </w:r>
      <w:r w:rsidRPr="00161C88">
        <w:rPr>
          <w:rFonts w:ascii="Gadugi" w:hAnsi="Gadugi"/>
          <w:i/>
          <w:iCs/>
          <w:sz w:val="22"/>
          <w:szCs w:val="24"/>
          <w:shd w:val="clear" w:color="auto" w:fill="FFFFFF"/>
          <w:lang w:val="es-CO" w:eastAsia="es-CO"/>
        </w:rPr>
        <w:t>En igual sentido, es imprescindible que tal yerro tenga una trascendencia fundamental en el sentido del fallo, de manera que si no se hubiera incurrido en él, el funcionario judicial hubiera adoptado una decisión completamente opuesta</w:t>
      </w:r>
      <w:r w:rsidRPr="00161C88">
        <w:rPr>
          <w:rStyle w:val="Refdenotaalpie"/>
          <w:rFonts w:ascii="Gadugi" w:hAnsi="Gadugi"/>
          <w:i/>
          <w:iCs/>
          <w:sz w:val="22"/>
          <w:szCs w:val="24"/>
          <w:shd w:val="clear" w:color="auto" w:fill="FFFFFF"/>
          <w:lang w:val="es-CO" w:eastAsia="es-CO"/>
        </w:rPr>
        <w:footnoteReference w:id="15"/>
      </w:r>
      <w:r w:rsidRPr="00161C88">
        <w:rPr>
          <w:rFonts w:ascii="Gadugi" w:hAnsi="Gadugi"/>
          <w:i/>
          <w:iCs/>
          <w:sz w:val="22"/>
          <w:szCs w:val="24"/>
          <w:shd w:val="clear" w:color="auto" w:fill="FFFFFF"/>
          <w:lang w:val="es-CO" w:eastAsia="es-CO"/>
        </w:rPr>
        <w:t>”</w:t>
      </w:r>
      <w:r w:rsidRPr="00161C88">
        <w:rPr>
          <w:rFonts w:ascii="Gadugi" w:hAnsi="Gadugi"/>
          <w:sz w:val="22"/>
          <w:szCs w:val="24"/>
          <w:lang w:val="es-CO" w:eastAsia="es-CO"/>
        </w:rPr>
        <w:t>.  </w:t>
      </w:r>
    </w:p>
    <w:p w14:paraId="3AC8B326" w14:textId="77777777" w:rsidR="0027217B" w:rsidRPr="00D86621" w:rsidRDefault="0027217B" w:rsidP="00D86621">
      <w:pPr>
        <w:shd w:val="clear" w:color="auto" w:fill="FFFFFF"/>
        <w:overflowPunct/>
        <w:autoSpaceDE/>
        <w:autoSpaceDN/>
        <w:adjustRightInd/>
        <w:spacing w:line="276" w:lineRule="auto"/>
        <w:ind w:left="567" w:right="902"/>
        <w:jc w:val="both"/>
        <w:textAlignment w:val="auto"/>
        <w:rPr>
          <w:rFonts w:ascii="Gadugi" w:hAnsi="Gadugi"/>
          <w:sz w:val="24"/>
          <w:szCs w:val="24"/>
          <w:lang w:val="es-CO" w:eastAsia="es-CO"/>
        </w:rPr>
      </w:pPr>
    </w:p>
    <w:p w14:paraId="408D9A49" w14:textId="714973A9" w:rsidR="0027217B" w:rsidRPr="00D86621" w:rsidRDefault="0027217B" w:rsidP="00D86621">
      <w:pPr>
        <w:shd w:val="clear" w:color="auto" w:fill="FFFFFF"/>
        <w:overflowPunct/>
        <w:autoSpaceDE/>
        <w:autoSpaceDN/>
        <w:adjustRightInd/>
        <w:spacing w:line="276" w:lineRule="auto"/>
        <w:ind w:left="567" w:right="902"/>
        <w:jc w:val="both"/>
        <w:textAlignment w:val="auto"/>
        <w:rPr>
          <w:rFonts w:ascii="Gadugi" w:hAnsi="Gadugi"/>
          <w:sz w:val="24"/>
          <w:szCs w:val="24"/>
          <w:lang w:val="es-CO" w:eastAsia="es-CO"/>
        </w:rPr>
      </w:pPr>
      <w:r w:rsidRPr="00D86621">
        <w:rPr>
          <w:rFonts w:ascii="Gadugi" w:hAnsi="Gadugi" w:cs="Calibri"/>
          <w:sz w:val="24"/>
          <w:szCs w:val="24"/>
          <w:lang w:val="es-CO" w:eastAsia="es-CO"/>
        </w:rPr>
        <w:tab/>
      </w:r>
      <w:r w:rsidRPr="00D86621">
        <w:rPr>
          <w:rFonts w:ascii="Gadugi" w:hAnsi="Gadugi" w:cs="Calibri"/>
          <w:sz w:val="24"/>
          <w:szCs w:val="24"/>
          <w:lang w:val="es-CO" w:eastAsia="es-CO"/>
        </w:rPr>
        <w:tab/>
      </w:r>
      <w:r w:rsidRPr="00D86621">
        <w:rPr>
          <w:rFonts w:ascii="Gadugi" w:hAnsi="Gadugi" w:cs="Calibri"/>
          <w:sz w:val="24"/>
          <w:szCs w:val="24"/>
          <w:lang w:val="es-CO" w:eastAsia="es-CO"/>
        </w:rPr>
        <w:tab/>
      </w:r>
      <w:r w:rsidRPr="00D86621">
        <w:rPr>
          <w:rFonts w:ascii="Gadugi" w:hAnsi="Gadugi" w:cs="Calibri"/>
          <w:sz w:val="24"/>
          <w:szCs w:val="24"/>
          <w:lang w:val="es-CO" w:eastAsia="es-CO"/>
        </w:rPr>
        <w:tab/>
      </w:r>
      <w:r w:rsidR="00B13C66" w:rsidRPr="00D86621">
        <w:rPr>
          <w:rFonts w:ascii="Gadugi" w:hAnsi="Gadugi"/>
          <w:sz w:val="24"/>
          <w:szCs w:val="24"/>
          <w:lang w:val="es-CO" w:eastAsia="es-CO"/>
        </w:rPr>
        <w:t>(…)</w:t>
      </w:r>
    </w:p>
    <w:p w14:paraId="59062C5A" w14:textId="77777777" w:rsidR="0027217B" w:rsidRPr="00D86621" w:rsidRDefault="0027217B" w:rsidP="00D86621">
      <w:pPr>
        <w:spacing w:line="276" w:lineRule="auto"/>
        <w:ind w:left="567" w:right="902"/>
        <w:jc w:val="both"/>
        <w:rPr>
          <w:rFonts w:ascii="Gadugi" w:hAnsi="Gadugi"/>
          <w:sz w:val="24"/>
          <w:szCs w:val="24"/>
        </w:rPr>
      </w:pPr>
    </w:p>
    <w:p w14:paraId="1CA69A96" w14:textId="2009AD14" w:rsidR="0048348E" w:rsidRPr="00D86621" w:rsidRDefault="002F273F"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3486350B" w:rsidRPr="00D86621">
        <w:rPr>
          <w:rFonts w:ascii="Gadugi" w:hAnsi="Gadugi"/>
          <w:sz w:val="24"/>
          <w:szCs w:val="24"/>
        </w:rPr>
        <w:t>2.</w:t>
      </w:r>
      <w:r w:rsidR="38765184" w:rsidRPr="00D86621">
        <w:rPr>
          <w:rFonts w:ascii="Gadugi" w:hAnsi="Gadugi"/>
          <w:sz w:val="24"/>
          <w:szCs w:val="24"/>
        </w:rPr>
        <w:t>5</w:t>
      </w:r>
      <w:r w:rsidR="3486350B" w:rsidRPr="00D86621">
        <w:rPr>
          <w:rFonts w:ascii="Gadugi" w:hAnsi="Gadugi"/>
          <w:sz w:val="24"/>
          <w:szCs w:val="24"/>
        </w:rPr>
        <w:t xml:space="preserve">. </w:t>
      </w:r>
      <w:r w:rsidR="5EA6D57D" w:rsidRPr="00D86621">
        <w:rPr>
          <w:rFonts w:ascii="Gadugi" w:hAnsi="Gadugi"/>
          <w:sz w:val="24"/>
          <w:szCs w:val="24"/>
        </w:rPr>
        <w:t xml:space="preserve">En el caso concreto, </w:t>
      </w:r>
      <w:r w:rsidR="7A210CF3" w:rsidRPr="00D86621">
        <w:rPr>
          <w:rFonts w:ascii="Gadugi" w:hAnsi="Gadugi"/>
          <w:sz w:val="24"/>
          <w:szCs w:val="24"/>
        </w:rPr>
        <w:t>se explicó lo siguiente en el fallo que se cuestiona</w:t>
      </w:r>
      <w:r w:rsidR="00496418" w:rsidRPr="00D86621">
        <w:rPr>
          <w:rStyle w:val="Refdenotaalpie"/>
          <w:rFonts w:ascii="Gadugi" w:hAnsi="Gadugi"/>
          <w:sz w:val="24"/>
          <w:szCs w:val="24"/>
        </w:rPr>
        <w:footnoteReference w:id="16"/>
      </w:r>
      <w:r w:rsidR="7A210CF3" w:rsidRPr="00D86621">
        <w:rPr>
          <w:rFonts w:ascii="Gadugi" w:hAnsi="Gadugi"/>
          <w:sz w:val="24"/>
          <w:szCs w:val="24"/>
        </w:rPr>
        <w:t>:</w:t>
      </w:r>
    </w:p>
    <w:p w14:paraId="779DB696" w14:textId="787297CB" w:rsidR="0048348E" w:rsidRPr="00D86621" w:rsidRDefault="0048348E" w:rsidP="00D86621">
      <w:pPr>
        <w:spacing w:line="276" w:lineRule="auto"/>
        <w:jc w:val="both"/>
        <w:rPr>
          <w:rFonts w:ascii="Gadugi" w:hAnsi="Gadugi"/>
          <w:sz w:val="24"/>
          <w:szCs w:val="24"/>
        </w:rPr>
      </w:pPr>
    </w:p>
    <w:p w14:paraId="5F3637F6" w14:textId="5580E035" w:rsidR="0048348E" w:rsidRPr="00161C88" w:rsidRDefault="0048348E" w:rsidP="00161C88">
      <w:pPr>
        <w:ind w:left="426" w:right="420"/>
        <w:jc w:val="both"/>
        <w:rPr>
          <w:rFonts w:ascii="Gadugi" w:hAnsi="Gadugi"/>
          <w:sz w:val="22"/>
          <w:szCs w:val="24"/>
        </w:rPr>
      </w:pP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00F01F04">
        <w:rPr>
          <w:rFonts w:ascii="Gadugi" w:hAnsi="Gadugi"/>
          <w:sz w:val="22"/>
          <w:szCs w:val="24"/>
        </w:rPr>
        <w:t>“</w:t>
      </w:r>
      <w:r w:rsidRPr="00161C88">
        <w:rPr>
          <w:rFonts w:ascii="Gadugi" w:hAnsi="Gadugi"/>
          <w:sz w:val="22"/>
          <w:szCs w:val="24"/>
        </w:rPr>
        <w:t xml:space="preserve">La demandada es propietaria de una propiedad horizontal que la rige la Ley </w:t>
      </w:r>
      <w:r w:rsidR="0077017D" w:rsidRPr="00161C88">
        <w:rPr>
          <w:rFonts w:ascii="Gadugi" w:hAnsi="Gadugi"/>
          <w:sz w:val="22"/>
          <w:szCs w:val="24"/>
        </w:rPr>
        <w:t>675</w:t>
      </w:r>
      <w:r w:rsidRPr="00161C88">
        <w:rPr>
          <w:rFonts w:ascii="Gadugi" w:hAnsi="Gadugi"/>
          <w:sz w:val="22"/>
          <w:szCs w:val="24"/>
        </w:rPr>
        <w:t xml:space="preserve"> de 2001</w:t>
      </w:r>
      <w:r w:rsidR="00496418" w:rsidRPr="00161C88">
        <w:rPr>
          <w:rFonts w:ascii="Gadugi" w:hAnsi="Gadugi"/>
          <w:sz w:val="22"/>
          <w:szCs w:val="24"/>
        </w:rPr>
        <w:t>]</w:t>
      </w:r>
      <w:r w:rsidRPr="00161C88">
        <w:rPr>
          <w:rFonts w:ascii="Gadugi" w:hAnsi="Gadugi"/>
          <w:sz w:val="22"/>
          <w:szCs w:val="24"/>
        </w:rPr>
        <w:t xml:space="preserve">, a propósito de esa ley, ella regula todo lo que atañe </w:t>
      </w:r>
      <w:r w:rsidR="0077017D" w:rsidRPr="00161C88">
        <w:rPr>
          <w:rFonts w:ascii="Gadugi" w:hAnsi="Gadugi"/>
          <w:sz w:val="22"/>
          <w:szCs w:val="24"/>
        </w:rPr>
        <w:t xml:space="preserve">a la propiedad horizontal, y en su artículo 48, concretamente, prescribe que el título ejecutivo contentivo de la obligación en lo que concierne a cuotas ordinarias y </w:t>
      </w:r>
      <w:r w:rsidR="0077017D" w:rsidRPr="00161C88">
        <w:rPr>
          <w:rFonts w:ascii="Gadugi" w:hAnsi="Gadugi"/>
          <w:sz w:val="22"/>
          <w:szCs w:val="24"/>
        </w:rPr>
        <w:lastRenderedPageBreak/>
        <w:t xml:space="preserve">extraordinarias, lo es, solamente el certificado expedido por el administrador sin ningún requisito ni procedimiento adicional, siendo así, estamos en presencia de una norma de naturaleza procesal con efectos sustanciales, de obligatorio cumplimiento y cuyo objeto fue simplificar y dinamizar el cobro ejecutivo de las obligaciones pecuniarias, derivadas de esas expensas ordinarias y extraordinarias, según puede advertirse de los antecedentes propios de dicha legislación.  </w:t>
      </w:r>
    </w:p>
    <w:p w14:paraId="3878BD99" w14:textId="0B0E7871" w:rsidR="0077017D" w:rsidRPr="00161C88" w:rsidRDefault="0077017D" w:rsidP="00161C88">
      <w:pPr>
        <w:ind w:left="426" w:right="420"/>
        <w:jc w:val="both"/>
        <w:rPr>
          <w:rFonts w:ascii="Gadugi" w:hAnsi="Gadugi"/>
          <w:sz w:val="22"/>
          <w:szCs w:val="24"/>
        </w:rPr>
      </w:pPr>
    </w:p>
    <w:p w14:paraId="452F4311" w14:textId="048CA1A0" w:rsidR="0077017D" w:rsidRPr="00161C88" w:rsidRDefault="0077017D" w:rsidP="00161C88">
      <w:pPr>
        <w:ind w:left="426" w:right="420"/>
        <w:jc w:val="both"/>
        <w:rPr>
          <w:rFonts w:ascii="Gadugi" w:hAnsi="Gadugi"/>
          <w:sz w:val="22"/>
          <w:szCs w:val="24"/>
        </w:rPr>
      </w:pP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bookmarkStart w:id="4" w:name="_Hlk117506453"/>
      <w:r w:rsidRPr="00161C88">
        <w:rPr>
          <w:rFonts w:ascii="Gadugi" w:hAnsi="Gadugi"/>
          <w:sz w:val="22"/>
          <w:szCs w:val="24"/>
        </w:rPr>
        <w:t>Esa certificación entonces, como se ha dicho, debe considerarse un documento auténtico, así debe considerársele conforme al artículo 244 del CGP, en la medida que existe certeza respecto de la persona que lo elaboró y suscribió, y por ello, el artículo 12 de la Ley 446 de 1998 dispuso que se presumirán auténticos los documentos que reúnan las exigencias del artículo 422 del CGP, la certidumbre de esa certificación viene dada por la fuerza que le otorga la Ley 675 de 2001, que es norma especial</w:t>
      </w:r>
      <w:bookmarkEnd w:id="4"/>
      <w:r w:rsidRPr="00161C88">
        <w:rPr>
          <w:rFonts w:ascii="Gadugi" w:hAnsi="Gadugi"/>
          <w:sz w:val="22"/>
          <w:szCs w:val="24"/>
        </w:rPr>
        <w:t>, en tanto lo que esta busca es que se expida un documento veraz en el que obviamente no se certifiquen datos contrarios a en las asambleas y en los asientos contables, siendo así, las exigencias de la obligación que establece dicho artículo deben estar inequívocamente señaladas lo que significa que debe ser clara, expresa y exigible, y cuando se dice que debe ser expresa equivale a que esté determinada lo cual implica que esté consignada por escrito, por constituir plena prueba contra el deudor, la certidumbre que es sinónimo de certeza significa que lo que el administrador certifica como dineros adeudados por el obligado por conceptos de cuotas de administración son lo que escrito contiene</w:t>
      </w:r>
      <w:r w:rsidR="00AE4490" w:rsidRPr="00161C88">
        <w:rPr>
          <w:rFonts w:ascii="Gadugi" w:hAnsi="Gadugi"/>
          <w:sz w:val="22"/>
          <w:szCs w:val="24"/>
        </w:rPr>
        <w:t xml:space="preserve">, no otros, siendo estos, los que deben ser objeto de la demanda, así que si la demandada al excepcionar prueba que esos dineros ya han sido pagados en todo en parte, o no corresponden realmente a lo aprobado en la asamblea general la excepción está llamada a prosperar. </w:t>
      </w:r>
    </w:p>
    <w:p w14:paraId="52CF321A" w14:textId="71C1F8DE" w:rsidR="00AE4490" w:rsidRPr="00161C88" w:rsidRDefault="00AE4490" w:rsidP="00161C88">
      <w:pPr>
        <w:ind w:left="426" w:right="420"/>
        <w:jc w:val="both"/>
        <w:rPr>
          <w:rFonts w:ascii="Gadugi" w:hAnsi="Gadugi"/>
          <w:sz w:val="22"/>
          <w:szCs w:val="24"/>
        </w:rPr>
      </w:pPr>
    </w:p>
    <w:p w14:paraId="39754C4B" w14:textId="3C282713" w:rsidR="00AE4490" w:rsidRPr="00161C88" w:rsidRDefault="00AE4490" w:rsidP="00161C88">
      <w:pPr>
        <w:ind w:left="426" w:right="420"/>
        <w:jc w:val="both"/>
        <w:rPr>
          <w:rFonts w:ascii="Gadugi" w:hAnsi="Gadugi"/>
          <w:sz w:val="22"/>
          <w:szCs w:val="24"/>
        </w:rPr>
      </w:pP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t xml:space="preserve">Para el caso es de observar que el administrador de la propiedad horizontal demandante en forma clara, expresa y certera, certificó que lo adeudado por la demanda es un saldo por una cuota extraordinaria más sus intereses por los valores que allí se especifican. </w:t>
      </w:r>
    </w:p>
    <w:p w14:paraId="6B6FD01A" w14:textId="3B8F6B3C" w:rsidR="00AE4490" w:rsidRPr="00161C88" w:rsidRDefault="00AE4490" w:rsidP="00161C88">
      <w:pPr>
        <w:ind w:left="426" w:right="420"/>
        <w:jc w:val="both"/>
        <w:rPr>
          <w:rFonts w:ascii="Gadugi" w:hAnsi="Gadugi"/>
          <w:sz w:val="22"/>
          <w:szCs w:val="24"/>
        </w:rPr>
      </w:pPr>
    </w:p>
    <w:p w14:paraId="0811A4F5" w14:textId="7A89730A" w:rsidR="00AE4490" w:rsidRPr="00161C88" w:rsidRDefault="00AE4490" w:rsidP="00161C88">
      <w:pPr>
        <w:ind w:left="426" w:right="420"/>
        <w:jc w:val="both"/>
        <w:rPr>
          <w:rFonts w:ascii="Gadugi" w:hAnsi="Gadugi"/>
          <w:sz w:val="22"/>
          <w:szCs w:val="24"/>
        </w:rPr>
      </w:pP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t>(…)</w:t>
      </w:r>
    </w:p>
    <w:p w14:paraId="060F4856" w14:textId="1356CEE8" w:rsidR="00AE4490" w:rsidRPr="00161C88" w:rsidRDefault="00AE4490" w:rsidP="00161C88">
      <w:pPr>
        <w:ind w:left="426" w:right="420"/>
        <w:jc w:val="both"/>
        <w:rPr>
          <w:rFonts w:ascii="Gadugi" w:hAnsi="Gadugi"/>
          <w:sz w:val="22"/>
          <w:szCs w:val="24"/>
        </w:rPr>
      </w:pPr>
    </w:p>
    <w:p w14:paraId="06728082" w14:textId="2484048D" w:rsidR="008468DC" w:rsidRPr="00161C88" w:rsidRDefault="00AE4490" w:rsidP="00161C88">
      <w:pPr>
        <w:ind w:left="426" w:right="420"/>
        <w:jc w:val="both"/>
        <w:rPr>
          <w:rFonts w:ascii="Gadugi" w:hAnsi="Gadugi"/>
          <w:b/>
          <w:sz w:val="22"/>
          <w:szCs w:val="24"/>
        </w:rPr>
      </w:pP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00666BDA" w:rsidRPr="00161C88">
        <w:rPr>
          <w:rFonts w:ascii="Gadugi" w:hAnsi="Gadugi"/>
          <w:sz w:val="22"/>
          <w:szCs w:val="24"/>
        </w:rPr>
        <w:t>[</w:t>
      </w:r>
      <w:r w:rsidR="00FA13BD" w:rsidRPr="00161C88">
        <w:rPr>
          <w:rFonts w:ascii="Gadugi" w:hAnsi="Gadugi"/>
          <w:sz w:val="22"/>
          <w:szCs w:val="24"/>
        </w:rPr>
        <w:t>La</w:t>
      </w:r>
      <w:r w:rsidR="00666BDA" w:rsidRPr="00161C88">
        <w:rPr>
          <w:rFonts w:ascii="Gadugi" w:hAnsi="Gadugi"/>
          <w:sz w:val="22"/>
          <w:szCs w:val="24"/>
        </w:rPr>
        <w:t xml:space="preserve"> </w:t>
      </w:r>
      <w:r w:rsidR="00FA13BD" w:rsidRPr="00161C88">
        <w:rPr>
          <w:rFonts w:ascii="Gadugi" w:hAnsi="Gadugi"/>
          <w:sz w:val="22"/>
          <w:szCs w:val="24"/>
        </w:rPr>
        <w:t xml:space="preserve">respuesta frente a las excepciones que se </w:t>
      </w:r>
      <w:r w:rsidR="00666BDA" w:rsidRPr="00161C88">
        <w:rPr>
          <w:rFonts w:ascii="Gadugi" w:hAnsi="Gadugi"/>
          <w:sz w:val="22"/>
          <w:szCs w:val="24"/>
        </w:rPr>
        <w:t>ha propuesto la demandante]</w:t>
      </w:r>
      <w:r w:rsidR="00FA13BD" w:rsidRPr="00161C88">
        <w:rPr>
          <w:rFonts w:ascii="Gadugi" w:hAnsi="Gadugi"/>
          <w:sz w:val="22"/>
          <w:szCs w:val="24"/>
        </w:rPr>
        <w:t xml:space="preserve"> </w:t>
      </w:r>
      <w:r w:rsidR="00FA13BD" w:rsidRPr="00161C88">
        <w:rPr>
          <w:rFonts w:ascii="Gadugi" w:hAnsi="Gadugi"/>
          <w:b/>
          <w:sz w:val="22"/>
          <w:szCs w:val="24"/>
        </w:rPr>
        <w:t xml:space="preserve">se ciñen a que solo basta a que se expida por parte del representante legal en calidad de administrador la certificación a que alude el artículo </w:t>
      </w:r>
      <w:r w:rsidR="008468DC" w:rsidRPr="00161C88">
        <w:rPr>
          <w:rFonts w:ascii="Gadugi" w:hAnsi="Gadugi"/>
          <w:b/>
          <w:sz w:val="22"/>
          <w:szCs w:val="24"/>
        </w:rPr>
        <w:t>48 de la Ley 675 de 2001, para efectos de tenerse el título ejecutivo.</w:t>
      </w:r>
    </w:p>
    <w:p w14:paraId="561B752A" w14:textId="77777777" w:rsidR="008468DC" w:rsidRPr="00161C88" w:rsidRDefault="008468DC" w:rsidP="00161C88">
      <w:pPr>
        <w:ind w:left="426" w:right="420"/>
        <w:jc w:val="both"/>
        <w:rPr>
          <w:rFonts w:ascii="Gadugi" w:hAnsi="Gadugi"/>
          <w:sz w:val="22"/>
          <w:szCs w:val="24"/>
        </w:rPr>
      </w:pPr>
    </w:p>
    <w:p w14:paraId="0A61E7BD" w14:textId="77777777" w:rsidR="00666BDA" w:rsidRPr="00161C88" w:rsidRDefault="008468DC" w:rsidP="00161C88">
      <w:pPr>
        <w:ind w:left="426" w:right="420"/>
        <w:jc w:val="both"/>
        <w:rPr>
          <w:rFonts w:ascii="Gadugi" w:hAnsi="Gadugi"/>
          <w:b/>
          <w:sz w:val="22"/>
          <w:szCs w:val="24"/>
        </w:rPr>
      </w:pP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00666BDA" w:rsidRPr="00161C88">
        <w:rPr>
          <w:rFonts w:ascii="Gadugi" w:hAnsi="Gadugi"/>
          <w:sz w:val="22"/>
          <w:szCs w:val="24"/>
        </w:rPr>
        <w:t>Mientras</w:t>
      </w:r>
      <w:r w:rsidRPr="00161C88">
        <w:rPr>
          <w:rFonts w:ascii="Gadugi" w:hAnsi="Gadugi"/>
          <w:sz w:val="22"/>
          <w:szCs w:val="24"/>
        </w:rPr>
        <w:t xml:space="preserve"> que</w:t>
      </w:r>
      <w:r w:rsidR="00666BDA" w:rsidRPr="00161C88">
        <w:rPr>
          <w:rFonts w:ascii="Gadugi" w:hAnsi="Gadugi"/>
          <w:sz w:val="22"/>
          <w:szCs w:val="24"/>
        </w:rPr>
        <w:t>,</w:t>
      </w:r>
      <w:r w:rsidRPr="00161C88">
        <w:rPr>
          <w:rFonts w:ascii="Gadugi" w:hAnsi="Gadugi"/>
          <w:sz w:val="22"/>
          <w:szCs w:val="24"/>
        </w:rPr>
        <w:t xml:space="preserve"> para la demandada, </w:t>
      </w:r>
      <w:r w:rsidR="00666BDA" w:rsidRPr="00161C88">
        <w:rPr>
          <w:rFonts w:ascii="Gadugi" w:hAnsi="Gadugi"/>
          <w:sz w:val="22"/>
          <w:szCs w:val="24"/>
        </w:rPr>
        <w:t xml:space="preserve">aduciendo que </w:t>
      </w:r>
      <w:r w:rsidRPr="00161C88">
        <w:rPr>
          <w:rFonts w:ascii="Gadugi" w:hAnsi="Gadugi"/>
          <w:sz w:val="22"/>
          <w:szCs w:val="24"/>
        </w:rPr>
        <w:t xml:space="preserve">dicha </w:t>
      </w:r>
      <w:r w:rsidR="00666BDA" w:rsidRPr="00161C88">
        <w:rPr>
          <w:rFonts w:ascii="Gadugi" w:hAnsi="Gadugi"/>
          <w:sz w:val="22"/>
          <w:szCs w:val="24"/>
        </w:rPr>
        <w:t xml:space="preserve">supuesta </w:t>
      </w:r>
      <w:r w:rsidRPr="00161C88">
        <w:rPr>
          <w:rFonts w:ascii="Gadugi" w:hAnsi="Gadugi"/>
          <w:sz w:val="22"/>
          <w:szCs w:val="24"/>
        </w:rPr>
        <w:t xml:space="preserve">obligación se le cobra </w:t>
      </w:r>
      <w:r w:rsidR="00666BDA" w:rsidRPr="00161C88">
        <w:rPr>
          <w:rFonts w:ascii="Gadugi" w:hAnsi="Gadugi"/>
          <w:sz w:val="22"/>
          <w:szCs w:val="24"/>
        </w:rPr>
        <w:t xml:space="preserve">con base en una Resolución 160 de 2018 expedida por el interventor de las sociedades constructoras de esa propiedad horizontal, las mismas solamente fueron expedidas para que los promitentes compradores asumieran dicho costo, y no los propietarios pues ella ya figuraba como propietaria desde 2016, es decir, </w:t>
      </w:r>
      <w:r w:rsidR="00666BDA" w:rsidRPr="00161C88">
        <w:rPr>
          <w:rFonts w:ascii="Gadugi" w:hAnsi="Gadugi"/>
          <w:b/>
          <w:sz w:val="22"/>
          <w:szCs w:val="24"/>
        </w:rPr>
        <w:t>todas las excepciones tienen en común la afirmación en el sentido de que esa cuota extraordinaria fue impuesta por el interventor de la sociedad Constructora Afianzar Inversiones S.A.S.</w:t>
      </w:r>
      <w:r w:rsidR="00FA13BD" w:rsidRPr="00161C88">
        <w:rPr>
          <w:rFonts w:ascii="Gadugi" w:hAnsi="Gadugi"/>
          <w:b/>
          <w:sz w:val="22"/>
          <w:szCs w:val="24"/>
        </w:rPr>
        <w:t xml:space="preserve"> </w:t>
      </w:r>
      <w:r w:rsidR="00666BDA" w:rsidRPr="00161C88">
        <w:rPr>
          <w:rFonts w:ascii="Gadugi" w:hAnsi="Gadugi"/>
          <w:b/>
          <w:sz w:val="22"/>
          <w:szCs w:val="24"/>
        </w:rPr>
        <w:t>y la Montaña Construcciones S.A.S., pero para que fuera asumida por los promitentes compradores de las unidades privadas más no, por quienes ya figuraban como sus propietarios, reitero, la demandada afirma que ya figuraba como tal desde el 27 de enero de 2016 (…) esto es, que es una cuota extraordinaria que no es de su resorte no le compete su pago, puesto los obligados son única y exclusivamente los promitentes compradores (…).”</w:t>
      </w:r>
    </w:p>
    <w:p w14:paraId="57355E29" w14:textId="77777777" w:rsidR="00666BDA" w:rsidRPr="00161C88" w:rsidRDefault="00666BDA" w:rsidP="00161C88">
      <w:pPr>
        <w:ind w:left="426" w:right="420"/>
        <w:jc w:val="both"/>
        <w:rPr>
          <w:rFonts w:ascii="Gadugi" w:hAnsi="Gadugi"/>
          <w:sz w:val="22"/>
          <w:szCs w:val="24"/>
        </w:rPr>
      </w:pPr>
    </w:p>
    <w:p w14:paraId="5F07EC45" w14:textId="77777777" w:rsidR="00140756" w:rsidRPr="00161C88" w:rsidRDefault="00666BDA" w:rsidP="00161C88">
      <w:pPr>
        <w:ind w:left="426" w:right="420"/>
        <w:jc w:val="both"/>
        <w:rPr>
          <w:rFonts w:ascii="Gadugi" w:hAnsi="Gadugi"/>
          <w:b/>
          <w:sz w:val="22"/>
          <w:szCs w:val="24"/>
        </w:rPr>
      </w:pP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t>En verdad, observa el juzgado que la mencionada resolución hace hincapié en que los obligados al pago de dicha cuota extraordinaria fue impuesta previa reunión con los promitentes compradores en orden a la culminación de las áreas comunes del conjunto residencial que se estaba desarrollando, lo que daría lugar a que, si la ejecución se hubiera intentado con base en ese documento</w:t>
      </w:r>
      <w:r w:rsidR="00140756" w:rsidRPr="00161C88">
        <w:rPr>
          <w:rFonts w:ascii="Gadugi" w:hAnsi="Gadugi"/>
          <w:sz w:val="22"/>
          <w:szCs w:val="24"/>
        </w:rPr>
        <w:t xml:space="preserve">, (…) obviamente la demanda estaría llamada al fracaso, porque es obvio que esa resolución solo obliga a los promitentes compradores, </w:t>
      </w:r>
      <w:r w:rsidR="00140756" w:rsidRPr="00161C88">
        <w:rPr>
          <w:rFonts w:ascii="Gadugi" w:hAnsi="Gadugi"/>
          <w:b/>
          <w:sz w:val="22"/>
          <w:szCs w:val="24"/>
        </w:rPr>
        <w:t>pero como ello no es así, en tanto que la propiedad horizontal lo que aportó como base de la ejecución fue la certificación a la que alude el artículo 48 de la Ley 675 de 2001 constitutivo del título ejecutivo al tenor literal de esa regla jurídica sin que para nada tenga injerencia la mencionada resolución expedida por el agente especial para la administración en la toma de posesión de las mencionadas sociedades, esa certificación</w:t>
      </w:r>
      <w:r w:rsidRPr="00161C88">
        <w:rPr>
          <w:rFonts w:ascii="Gadugi" w:hAnsi="Gadugi"/>
          <w:b/>
          <w:sz w:val="22"/>
          <w:szCs w:val="24"/>
        </w:rPr>
        <w:t xml:space="preserve"> </w:t>
      </w:r>
      <w:r w:rsidR="00140756" w:rsidRPr="00161C88">
        <w:rPr>
          <w:rFonts w:ascii="Gadugi" w:hAnsi="Gadugi"/>
          <w:b/>
          <w:sz w:val="22"/>
          <w:szCs w:val="24"/>
        </w:rPr>
        <w:t>expedida por el representante legal del conjunto residencial viene igualmente sustentada en decisión tomada por la Asamblea General de copropietarios como máximo organismo, de la propiedad horizontal, de acuerdo al acta Nro. 001, de marzo 19 de 2019, tomada en asamblea ordinaria, sin que se haya aportado prueba en el sentido de que la misma no se encuentre vigente, esto es, no se aporta prueba en el sentido de que se hubiese utilizado el camino legal consistente en impugnar dicha decisión de la asamblea en los términos a que alude el artículo 382 del CGP (…).</w:t>
      </w:r>
    </w:p>
    <w:p w14:paraId="6E24D278" w14:textId="3F94D01D" w:rsidR="00140756" w:rsidRPr="00161C88" w:rsidRDefault="00140756" w:rsidP="00161C88">
      <w:pPr>
        <w:ind w:left="426" w:right="420"/>
        <w:jc w:val="both"/>
        <w:rPr>
          <w:rFonts w:ascii="Gadugi" w:hAnsi="Gadugi"/>
          <w:sz w:val="22"/>
          <w:szCs w:val="24"/>
        </w:rPr>
      </w:pPr>
    </w:p>
    <w:p w14:paraId="4B00BBA1" w14:textId="283F5AC8" w:rsidR="00881119" w:rsidRPr="00161C88" w:rsidRDefault="00881119" w:rsidP="00161C88">
      <w:pPr>
        <w:ind w:left="426" w:right="420"/>
        <w:jc w:val="both"/>
        <w:rPr>
          <w:rFonts w:ascii="Gadugi" w:hAnsi="Gadugi"/>
          <w:sz w:val="22"/>
          <w:szCs w:val="24"/>
        </w:rPr>
      </w:pP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t>(…)</w:t>
      </w:r>
    </w:p>
    <w:p w14:paraId="74320FCB" w14:textId="77777777" w:rsidR="00881119" w:rsidRPr="00161C88" w:rsidRDefault="00881119" w:rsidP="00161C88">
      <w:pPr>
        <w:ind w:left="426" w:right="420"/>
        <w:jc w:val="both"/>
        <w:rPr>
          <w:rFonts w:ascii="Gadugi" w:hAnsi="Gadugi"/>
          <w:sz w:val="22"/>
          <w:szCs w:val="24"/>
        </w:rPr>
      </w:pPr>
    </w:p>
    <w:p w14:paraId="044C4E96" w14:textId="37D04CB9" w:rsidR="00AE4490" w:rsidRPr="00161C88" w:rsidRDefault="00140756" w:rsidP="00161C88">
      <w:pPr>
        <w:ind w:left="426" w:right="420"/>
        <w:jc w:val="both"/>
        <w:rPr>
          <w:rFonts w:ascii="Gadugi" w:hAnsi="Gadugi"/>
          <w:sz w:val="22"/>
          <w:szCs w:val="24"/>
        </w:rPr>
      </w:pP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t xml:space="preserve">De igual manera, la Ley 675 de 2001, consagra en su artículo 49, impugnación de decisiones, “El administrador, el Revisor Fiscal y los propietarios de bienes privados, podrán impugnar las decisiones de la asamblea general de propietarios, cuando no se ajusten a las prescripciones legales o al reglamento de la propiedad horizontal.” </w:t>
      </w:r>
      <w:r w:rsidR="00666BDA" w:rsidRPr="00161C88">
        <w:rPr>
          <w:rFonts w:ascii="Gadugi" w:hAnsi="Gadugi"/>
          <w:sz w:val="22"/>
          <w:szCs w:val="24"/>
        </w:rPr>
        <w:t xml:space="preserve">  </w:t>
      </w:r>
      <w:r w:rsidRPr="00161C88">
        <w:rPr>
          <w:rFonts w:ascii="Gadugi" w:hAnsi="Gadugi"/>
          <w:sz w:val="22"/>
          <w:szCs w:val="24"/>
        </w:rPr>
        <w:t>(…)</w:t>
      </w:r>
    </w:p>
    <w:p w14:paraId="7C46C043" w14:textId="6563E47D" w:rsidR="00AE4490" w:rsidRPr="00161C88" w:rsidRDefault="00AE4490" w:rsidP="00161C88">
      <w:pPr>
        <w:ind w:left="426" w:right="420"/>
        <w:jc w:val="both"/>
        <w:rPr>
          <w:rFonts w:ascii="Gadugi" w:hAnsi="Gadugi"/>
          <w:sz w:val="22"/>
          <w:szCs w:val="24"/>
        </w:rPr>
      </w:pPr>
    </w:p>
    <w:p w14:paraId="44418952" w14:textId="1DC0213A" w:rsidR="00881119" w:rsidRPr="00161C88" w:rsidRDefault="00881119" w:rsidP="00161C88">
      <w:pPr>
        <w:ind w:left="426" w:right="420"/>
        <w:jc w:val="both"/>
        <w:rPr>
          <w:rFonts w:ascii="Gadugi" w:hAnsi="Gadugi"/>
          <w:sz w:val="22"/>
          <w:szCs w:val="24"/>
        </w:rPr>
      </w:pP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t>(…)</w:t>
      </w:r>
    </w:p>
    <w:p w14:paraId="740B024B" w14:textId="77777777" w:rsidR="00881119" w:rsidRPr="00161C88" w:rsidRDefault="00881119" w:rsidP="00161C88">
      <w:pPr>
        <w:ind w:left="426" w:right="420"/>
        <w:jc w:val="both"/>
        <w:rPr>
          <w:rFonts w:ascii="Gadugi" w:hAnsi="Gadugi"/>
          <w:sz w:val="22"/>
          <w:szCs w:val="24"/>
        </w:rPr>
      </w:pPr>
    </w:p>
    <w:p w14:paraId="47603518" w14:textId="50F9FCB6" w:rsidR="00140756" w:rsidRPr="00161C88" w:rsidRDefault="00881119" w:rsidP="00161C88">
      <w:pPr>
        <w:ind w:left="426" w:right="420"/>
        <w:jc w:val="both"/>
        <w:rPr>
          <w:rFonts w:ascii="Gadugi" w:hAnsi="Gadugi"/>
          <w:sz w:val="22"/>
          <w:szCs w:val="24"/>
        </w:rPr>
      </w:pP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Pr="00161C88">
        <w:rPr>
          <w:rFonts w:ascii="Gadugi" w:hAnsi="Gadugi"/>
          <w:b/>
          <w:sz w:val="22"/>
          <w:szCs w:val="24"/>
        </w:rPr>
        <w:t xml:space="preserve">Así que aquello que alude, la parte demandada, en cuanto que la señora </w:t>
      </w:r>
      <w:proofErr w:type="spellStart"/>
      <w:r w:rsidRPr="00161C88">
        <w:rPr>
          <w:rFonts w:ascii="Gadugi" w:hAnsi="Gadugi"/>
          <w:b/>
          <w:sz w:val="22"/>
          <w:szCs w:val="24"/>
        </w:rPr>
        <w:t>Evila</w:t>
      </w:r>
      <w:proofErr w:type="spellEnd"/>
      <w:r w:rsidRPr="00161C88">
        <w:rPr>
          <w:rFonts w:ascii="Gadugi" w:hAnsi="Gadugi"/>
          <w:b/>
          <w:sz w:val="22"/>
          <w:szCs w:val="24"/>
        </w:rPr>
        <w:t xml:space="preserve"> Johana era propietaria del inmueble desde mucho antes de expedirse la mencionada resolución, por parte del agente especial, en la liquidación de las mencionadas sociedades, no tiene ninguna injerencia, pues el título ejecutivo lo constituye la certificación expedida por el administrador; es posible que se pueda intentar alguna demanda, si es que se lograra colegir que dicha cuota extraordinaria aprobada en la asamblea, tiene como génesis, la mencionada resolución que estaba dirigida solamente a promitentes compradores y eso podría resultar discutible en su momento procesal oportuno si es que se lograra intentar (…)”</w:t>
      </w:r>
      <w:r w:rsidR="0070573D" w:rsidRPr="00161C88">
        <w:rPr>
          <w:rFonts w:ascii="Gadugi" w:hAnsi="Gadugi"/>
          <w:b/>
          <w:sz w:val="22"/>
          <w:szCs w:val="24"/>
        </w:rPr>
        <w:t xml:space="preserve"> </w:t>
      </w:r>
      <w:r w:rsidR="0070573D" w:rsidRPr="00161C88">
        <w:rPr>
          <w:rFonts w:ascii="Gadugi" w:hAnsi="Gadugi"/>
          <w:sz w:val="22"/>
          <w:szCs w:val="24"/>
        </w:rPr>
        <w:t>(Destaca la Sala)</w:t>
      </w:r>
    </w:p>
    <w:p w14:paraId="6E403D1E" w14:textId="664BB837" w:rsidR="00AE4490" w:rsidRPr="00D86621" w:rsidRDefault="00AE4490" w:rsidP="00D86621">
      <w:pPr>
        <w:spacing w:line="276" w:lineRule="auto"/>
        <w:jc w:val="both"/>
        <w:rPr>
          <w:rFonts w:ascii="Gadugi" w:hAnsi="Gadugi"/>
          <w:sz w:val="24"/>
          <w:szCs w:val="24"/>
        </w:rPr>
      </w:pPr>
    </w:p>
    <w:p w14:paraId="01E7033B" w14:textId="11778A18" w:rsidR="00AD4B00" w:rsidRPr="00D86621" w:rsidRDefault="00AD4B00"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00543CA1" w:rsidRPr="00D86621">
        <w:rPr>
          <w:rFonts w:ascii="Gadugi" w:hAnsi="Gadugi"/>
          <w:sz w:val="24"/>
          <w:szCs w:val="24"/>
        </w:rPr>
        <w:t xml:space="preserve">Al leer la motivación de esa decisión, </w:t>
      </w:r>
      <w:bookmarkStart w:id="5" w:name="_Hlk117506534"/>
      <w:r w:rsidR="00543CA1" w:rsidRPr="00D86621">
        <w:rPr>
          <w:rFonts w:ascii="Gadugi" w:hAnsi="Gadugi"/>
          <w:sz w:val="24"/>
          <w:szCs w:val="24"/>
        </w:rPr>
        <w:t xml:space="preserve">rápido se revela el disenso de la Sala con la sentencia de primera instancia proferida en esta acción de tutela, y que concedió la protección, porque distinto a lo que allí se concluyó, este Tribunal encuentra que el funcionario encausado planteó una suficiente motivación en torno a las pretensiones y </w:t>
      </w:r>
      <w:r w:rsidR="00C933E5" w:rsidRPr="00D86621">
        <w:rPr>
          <w:rFonts w:ascii="Gadugi" w:hAnsi="Gadugi"/>
          <w:sz w:val="24"/>
          <w:szCs w:val="24"/>
        </w:rPr>
        <w:t>excepciones</w:t>
      </w:r>
      <w:r w:rsidR="00543CA1" w:rsidRPr="00D86621">
        <w:rPr>
          <w:rFonts w:ascii="Gadugi" w:hAnsi="Gadugi"/>
          <w:sz w:val="24"/>
          <w:szCs w:val="24"/>
        </w:rPr>
        <w:t xml:space="preserve"> esgrimidas en esa ejecución, todo ello precedido de una apropiada valoración de las pruebas que se </w:t>
      </w:r>
      <w:r w:rsidR="0070573D" w:rsidRPr="00D86621">
        <w:rPr>
          <w:rFonts w:ascii="Gadugi" w:hAnsi="Gadugi"/>
          <w:sz w:val="24"/>
          <w:szCs w:val="24"/>
        </w:rPr>
        <w:t>allegaron</w:t>
      </w:r>
      <w:r w:rsidR="00543CA1" w:rsidRPr="00D86621">
        <w:rPr>
          <w:rFonts w:ascii="Gadugi" w:hAnsi="Gadugi"/>
          <w:sz w:val="24"/>
          <w:szCs w:val="24"/>
        </w:rPr>
        <w:t xml:space="preserve"> al expediente.</w:t>
      </w:r>
      <w:bookmarkEnd w:id="5"/>
      <w:r w:rsidR="00543CA1" w:rsidRPr="00D86621">
        <w:rPr>
          <w:rFonts w:ascii="Gadugi" w:hAnsi="Gadugi"/>
          <w:sz w:val="24"/>
          <w:szCs w:val="24"/>
        </w:rPr>
        <w:t xml:space="preserve"> </w:t>
      </w:r>
    </w:p>
    <w:p w14:paraId="5F98B44B" w14:textId="00497804" w:rsidR="00543CA1" w:rsidRPr="00D86621" w:rsidRDefault="00543CA1" w:rsidP="00D86621">
      <w:pPr>
        <w:spacing w:line="276" w:lineRule="auto"/>
        <w:jc w:val="both"/>
        <w:rPr>
          <w:rFonts w:ascii="Gadugi" w:hAnsi="Gadugi"/>
          <w:sz w:val="24"/>
          <w:szCs w:val="24"/>
        </w:rPr>
      </w:pPr>
    </w:p>
    <w:p w14:paraId="7A42289E" w14:textId="6B910CBB" w:rsidR="00543CA1" w:rsidRPr="00D86621" w:rsidRDefault="00543CA1" w:rsidP="00D86621">
      <w:pPr>
        <w:spacing w:line="276" w:lineRule="auto"/>
        <w:jc w:val="both"/>
        <w:rPr>
          <w:rFonts w:ascii="Gadugi" w:hAnsi="Gadugi"/>
          <w:sz w:val="24"/>
          <w:szCs w:val="24"/>
        </w:rPr>
      </w:pPr>
      <w:r w:rsidRPr="00D86621">
        <w:rPr>
          <w:rFonts w:ascii="Gadugi" w:hAnsi="Gadugi"/>
          <w:sz w:val="24"/>
          <w:szCs w:val="24"/>
        </w:rPr>
        <w:lastRenderedPageBreak/>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0070573D" w:rsidRPr="00D86621">
        <w:rPr>
          <w:rFonts w:ascii="Gadugi" w:hAnsi="Gadugi"/>
          <w:sz w:val="24"/>
          <w:szCs w:val="24"/>
        </w:rPr>
        <w:t>El funcionario</w:t>
      </w:r>
      <w:r w:rsidRPr="00D86621">
        <w:rPr>
          <w:rFonts w:ascii="Gadugi" w:hAnsi="Gadugi"/>
          <w:sz w:val="24"/>
          <w:szCs w:val="24"/>
        </w:rPr>
        <w:t xml:space="preserve"> con toda claridad explicó que</w:t>
      </w:r>
      <w:r w:rsidR="00C933E5" w:rsidRPr="00D86621">
        <w:rPr>
          <w:rFonts w:ascii="Gadugi" w:hAnsi="Gadugi"/>
          <w:sz w:val="24"/>
          <w:szCs w:val="24"/>
        </w:rPr>
        <w:t xml:space="preserve"> e</w:t>
      </w:r>
      <w:r w:rsidRPr="00D86621">
        <w:rPr>
          <w:rFonts w:ascii="Gadugi" w:hAnsi="Gadugi"/>
          <w:sz w:val="24"/>
          <w:szCs w:val="24"/>
        </w:rPr>
        <w:t>l título que se aportó como base de recaudo, cumplía con las exigencias del artículo 48 de la Ley 675 de 20</w:t>
      </w:r>
      <w:r w:rsidR="006E58AF" w:rsidRPr="00D86621">
        <w:rPr>
          <w:rFonts w:ascii="Gadugi" w:hAnsi="Gadugi"/>
          <w:sz w:val="24"/>
          <w:szCs w:val="24"/>
        </w:rPr>
        <w:t>0</w:t>
      </w:r>
      <w:r w:rsidRPr="00D86621">
        <w:rPr>
          <w:rFonts w:ascii="Gadugi" w:hAnsi="Gadugi"/>
          <w:sz w:val="24"/>
          <w:szCs w:val="24"/>
        </w:rPr>
        <w:t>1</w:t>
      </w:r>
      <w:r w:rsidR="006E58AF" w:rsidRPr="00D86621">
        <w:rPr>
          <w:rStyle w:val="Refdenotaalpie"/>
          <w:rFonts w:ascii="Gadugi" w:hAnsi="Gadugi"/>
          <w:sz w:val="24"/>
          <w:szCs w:val="24"/>
        </w:rPr>
        <w:footnoteReference w:id="17"/>
      </w:r>
      <w:r w:rsidRPr="00D86621">
        <w:rPr>
          <w:rFonts w:ascii="Gadugi" w:hAnsi="Gadugi"/>
          <w:sz w:val="24"/>
          <w:szCs w:val="24"/>
        </w:rPr>
        <w:t>, pero no solo se contentó con ello, además, se preocupó por constatar que la asamblea del 19 de marzo de 2019</w:t>
      </w:r>
      <w:r w:rsidR="006E58AF" w:rsidRPr="00D86621">
        <w:rPr>
          <w:rStyle w:val="Refdenotaalpie"/>
          <w:rFonts w:ascii="Gadugi" w:hAnsi="Gadugi"/>
          <w:sz w:val="24"/>
          <w:szCs w:val="24"/>
        </w:rPr>
        <w:footnoteReference w:id="18"/>
      </w:r>
      <w:r w:rsidRPr="00D86621">
        <w:rPr>
          <w:rFonts w:ascii="Gadugi" w:hAnsi="Gadugi"/>
          <w:sz w:val="24"/>
          <w:szCs w:val="24"/>
        </w:rPr>
        <w:t xml:space="preserve">, en la que se produjo el acta que le servía de soporte a </w:t>
      </w:r>
      <w:r w:rsidR="00C933E5" w:rsidRPr="00D86621">
        <w:rPr>
          <w:rFonts w:ascii="Gadugi" w:hAnsi="Gadugi"/>
          <w:sz w:val="24"/>
          <w:szCs w:val="24"/>
        </w:rPr>
        <w:t>ese certificado</w:t>
      </w:r>
      <w:r w:rsidRPr="00D86621">
        <w:rPr>
          <w:rFonts w:ascii="Gadugi" w:hAnsi="Gadugi"/>
          <w:sz w:val="24"/>
          <w:szCs w:val="24"/>
        </w:rPr>
        <w:t xml:space="preserve">, </w:t>
      </w:r>
      <w:r w:rsidR="0070573D" w:rsidRPr="00D86621">
        <w:rPr>
          <w:rFonts w:ascii="Gadugi" w:hAnsi="Gadugi"/>
          <w:sz w:val="24"/>
          <w:szCs w:val="24"/>
        </w:rPr>
        <w:t>fue legalmente realizada con la mayoría de los copropietarios</w:t>
      </w:r>
      <w:r w:rsidR="00977984" w:rsidRPr="00D86621">
        <w:rPr>
          <w:rFonts w:ascii="Gadugi" w:hAnsi="Gadugi"/>
          <w:sz w:val="24"/>
          <w:szCs w:val="24"/>
        </w:rPr>
        <w:t xml:space="preserve">; y si ello </w:t>
      </w:r>
      <w:r w:rsidR="00C933E5" w:rsidRPr="00D86621">
        <w:rPr>
          <w:rFonts w:ascii="Gadugi" w:hAnsi="Gadugi"/>
          <w:sz w:val="24"/>
          <w:szCs w:val="24"/>
        </w:rPr>
        <w:t>no fuera suficiente</w:t>
      </w:r>
      <w:r w:rsidR="0070573D" w:rsidRPr="00D86621">
        <w:rPr>
          <w:rFonts w:ascii="Gadugi" w:hAnsi="Gadugi"/>
          <w:sz w:val="24"/>
          <w:szCs w:val="24"/>
        </w:rPr>
        <w:t xml:space="preserve"> para ordenar seguir adelante con la ejecución</w:t>
      </w:r>
      <w:r w:rsidR="00C933E5" w:rsidRPr="00D86621">
        <w:rPr>
          <w:rFonts w:ascii="Gadugi" w:hAnsi="Gadugi"/>
          <w:sz w:val="24"/>
          <w:szCs w:val="24"/>
        </w:rPr>
        <w:t xml:space="preserve">, </w:t>
      </w:r>
      <w:r w:rsidR="0070573D" w:rsidRPr="00D86621">
        <w:rPr>
          <w:rFonts w:ascii="Gadugi" w:hAnsi="Gadugi"/>
          <w:sz w:val="24"/>
          <w:szCs w:val="24"/>
        </w:rPr>
        <w:t xml:space="preserve">de manera diáfana explicó por qué, según su criterio, </w:t>
      </w:r>
      <w:r w:rsidR="00C933E5" w:rsidRPr="00D86621">
        <w:rPr>
          <w:rFonts w:ascii="Gadugi" w:hAnsi="Gadugi"/>
          <w:sz w:val="24"/>
          <w:szCs w:val="24"/>
        </w:rPr>
        <w:t>la Resolución 160 del 18 de enero de 2018</w:t>
      </w:r>
      <w:r w:rsidR="006E58AF" w:rsidRPr="00D86621">
        <w:rPr>
          <w:rStyle w:val="Refdenotaalpie"/>
          <w:rFonts w:ascii="Gadugi" w:hAnsi="Gadugi"/>
          <w:sz w:val="24"/>
          <w:szCs w:val="24"/>
        </w:rPr>
        <w:footnoteReference w:id="19"/>
      </w:r>
      <w:r w:rsidR="00C933E5" w:rsidRPr="00D86621">
        <w:rPr>
          <w:rFonts w:ascii="Gadugi" w:hAnsi="Gadugi"/>
          <w:sz w:val="24"/>
          <w:szCs w:val="24"/>
        </w:rPr>
        <w:t>, era insuficiente para derruir la obligación contenida en el título que servía como base a la ejecución</w:t>
      </w:r>
      <w:r w:rsidR="0070573D" w:rsidRPr="00D86621">
        <w:rPr>
          <w:rFonts w:ascii="Gadugi" w:hAnsi="Gadugi"/>
          <w:sz w:val="24"/>
          <w:szCs w:val="24"/>
        </w:rPr>
        <w:t xml:space="preserve">. </w:t>
      </w:r>
      <w:r w:rsidR="00C933E5" w:rsidRPr="00D86621">
        <w:rPr>
          <w:rFonts w:ascii="Gadugi" w:hAnsi="Gadugi"/>
          <w:sz w:val="24"/>
          <w:szCs w:val="24"/>
        </w:rPr>
        <w:t xml:space="preserve"> </w:t>
      </w:r>
    </w:p>
    <w:p w14:paraId="67CE0968" w14:textId="77777777" w:rsidR="00AD4B00" w:rsidRPr="00D86621" w:rsidRDefault="00AD4B00" w:rsidP="00D86621">
      <w:pPr>
        <w:spacing w:line="276" w:lineRule="auto"/>
        <w:jc w:val="both"/>
        <w:rPr>
          <w:rFonts w:ascii="Gadugi" w:hAnsi="Gadugi"/>
          <w:sz w:val="24"/>
          <w:szCs w:val="24"/>
        </w:rPr>
      </w:pPr>
    </w:p>
    <w:p w14:paraId="71C07069" w14:textId="24E0F754" w:rsidR="00B6585B" w:rsidRPr="00D86621" w:rsidRDefault="00881119"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00C933E5" w:rsidRPr="00D86621">
        <w:rPr>
          <w:rFonts w:ascii="Gadugi" w:hAnsi="Gadugi"/>
          <w:sz w:val="24"/>
          <w:szCs w:val="24"/>
        </w:rPr>
        <w:t xml:space="preserve">Observa la Sala que, </w:t>
      </w:r>
      <w:r w:rsidRPr="00D86621">
        <w:rPr>
          <w:rFonts w:ascii="Gadugi" w:hAnsi="Gadugi"/>
          <w:sz w:val="24"/>
          <w:szCs w:val="24"/>
        </w:rPr>
        <w:t xml:space="preserve">el juzgado de primera instancia, </w:t>
      </w:r>
      <w:r w:rsidR="0070573D" w:rsidRPr="00D86621">
        <w:rPr>
          <w:rFonts w:ascii="Gadugi" w:hAnsi="Gadugi"/>
          <w:sz w:val="24"/>
          <w:szCs w:val="24"/>
        </w:rPr>
        <w:t xml:space="preserve">contraría esa providencia </w:t>
      </w:r>
      <w:r w:rsidRPr="00D86621">
        <w:rPr>
          <w:rFonts w:ascii="Gadugi" w:hAnsi="Gadugi"/>
          <w:sz w:val="24"/>
          <w:szCs w:val="24"/>
        </w:rPr>
        <w:t>porque</w:t>
      </w:r>
      <w:r w:rsidR="0070573D" w:rsidRPr="00D86621">
        <w:rPr>
          <w:rFonts w:ascii="Gadugi" w:hAnsi="Gadugi"/>
          <w:sz w:val="24"/>
          <w:szCs w:val="24"/>
        </w:rPr>
        <w:t>, según explicó,</w:t>
      </w:r>
      <w:r w:rsidRPr="00D86621">
        <w:rPr>
          <w:rFonts w:ascii="Gadugi" w:hAnsi="Gadugi"/>
          <w:sz w:val="24"/>
          <w:szCs w:val="24"/>
        </w:rPr>
        <w:t xml:space="preserve"> </w:t>
      </w:r>
      <w:r w:rsidR="00A76D84" w:rsidRPr="00D86621">
        <w:rPr>
          <w:rFonts w:ascii="Gadugi" w:hAnsi="Gadugi"/>
          <w:sz w:val="24"/>
          <w:szCs w:val="24"/>
        </w:rPr>
        <w:t>si bien el artículo 48 de la Ley 645, simplificó el cobro ejecutivo de las expensas comunes, para lo cual solo es necesario el certificado expedido por el administrador, ello no quiere decir que dentro del proceso ejecutivo se</w:t>
      </w:r>
      <w:r w:rsidR="00977984" w:rsidRPr="00D86621">
        <w:rPr>
          <w:rFonts w:ascii="Gadugi" w:hAnsi="Gadugi"/>
          <w:sz w:val="24"/>
          <w:szCs w:val="24"/>
        </w:rPr>
        <w:t>a imposible</w:t>
      </w:r>
      <w:r w:rsidR="00A76D84" w:rsidRPr="00D86621">
        <w:rPr>
          <w:rFonts w:ascii="Gadugi" w:hAnsi="Gadugi"/>
          <w:sz w:val="24"/>
          <w:szCs w:val="24"/>
        </w:rPr>
        <w:t xml:space="preserve"> controvertir la validez del mismo.</w:t>
      </w:r>
      <w:r w:rsidR="00CE69E6" w:rsidRPr="00D86621">
        <w:rPr>
          <w:rFonts w:ascii="Gadugi" w:hAnsi="Gadugi"/>
          <w:sz w:val="24"/>
          <w:szCs w:val="24"/>
        </w:rPr>
        <w:t xml:space="preserve"> Y c</w:t>
      </w:r>
      <w:r w:rsidR="00A76D84" w:rsidRPr="00D86621">
        <w:rPr>
          <w:rFonts w:ascii="Gadugi" w:hAnsi="Gadugi"/>
          <w:sz w:val="24"/>
          <w:szCs w:val="24"/>
        </w:rPr>
        <w:t xml:space="preserve">on esa premisa, </w:t>
      </w:r>
      <w:r w:rsidR="00B6585B" w:rsidRPr="00D86621">
        <w:rPr>
          <w:rFonts w:ascii="Gadugi" w:hAnsi="Gadugi"/>
          <w:sz w:val="24"/>
          <w:szCs w:val="24"/>
        </w:rPr>
        <w:t xml:space="preserve">presentó </w:t>
      </w:r>
      <w:r w:rsidR="009F5D3B" w:rsidRPr="00D86621">
        <w:rPr>
          <w:rFonts w:ascii="Gadugi" w:hAnsi="Gadugi"/>
          <w:sz w:val="24"/>
          <w:szCs w:val="24"/>
        </w:rPr>
        <w:t>dos</w:t>
      </w:r>
      <w:r w:rsidR="00B6585B" w:rsidRPr="00D86621">
        <w:rPr>
          <w:rFonts w:ascii="Gadugi" w:hAnsi="Gadugi"/>
          <w:sz w:val="24"/>
          <w:szCs w:val="24"/>
        </w:rPr>
        <w:t xml:space="preserve"> </w:t>
      </w:r>
      <w:r w:rsidR="00CE69E6" w:rsidRPr="00D86621">
        <w:rPr>
          <w:rFonts w:ascii="Gadugi" w:hAnsi="Gadugi"/>
          <w:sz w:val="24"/>
          <w:szCs w:val="24"/>
        </w:rPr>
        <w:t>hipótesis</w:t>
      </w:r>
      <w:r w:rsidR="00B6585B" w:rsidRPr="00D86621">
        <w:rPr>
          <w:rFonts w:ascii="Gadugi" w:hAnsi="Gadugi"/>
          <w:sz w:val="24"/>
          <w:szCs w:val="24"/>
        </w:rPr>
        <w:t>:</w:t>
      </w:r>
    </w:p>
    <w:p w14:paraId="2C42D82F" w14:textId="1B6C41A4" w:rsidR="00B6585B" w:rsidRPr="00D86621" w:rsidRDefault="00B6585B" w:rsidP="00D86621">
      <w:pPr>
        <w:spacing w:line="276" w:lineRule="auto"/>
        <w:jc w:val="both"/>
        <w:rPr>
          <w:rFonts w:ascii="Gadugi" w:hAnsi="Gadugi"/>
          <w:sz w:val="24"/>
          <w:szCs w:val="24"/>
        </w:rPr>
      </w:pPr>
    </w:p>
    <w:p w14:paraId="66CB1C6C" w14:textId="3456336F" w:rsidR="00A76D84" w:rsidRPr="00D86621" w:rsidRDefault="00B6585B"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t xml:space="preserve">(i) </w:t>
      </w:r>
      <w:r w:rsidR="00CE69E6" w:rsidRPr="00D86621">
        <w:rPr>
          <w:rFonts w:ascii="Gadugi" w:hAnsi="Gadugi"/>
          <w:sz w:val="24"/>
          <w:szCs w:val="24"/>
        </w:rPr>
        <w:t>La</w:t>
      </w:r>
      <w:r w:rsidR="009F5D3B" w:rsidRPr="00D86621">
        <w:rPr>
          <w:rFonts w:ascii="Gadugi" w:hAnsi="Gadugi"/>
          <w:sz w:val="24"/>
          <w:szCs w:val="24"/>
        </w:rPr>
        <w:t xml:space="preserve"> primer</w:t>
      </w:r>
      <w:r w:rsidR="00CE69E6" w:rsidRPr="00D86621">
        <w:rPr>
          <w:rFonts w:ascii="Gadugi" w:hAnsi="Gadugi"/>
          <w:sz w:val="24"/>
          <w:szCs w:val="24"/>
        </w:rPr>
        <w:t>a</w:t>
      </w:r>
      <w:r w:rsidRPr="00D86621">
        <w:rPr>
          <w:rFonts w:ascii="Gadugi" w:hAnsi="Gadugi"/>
          <w:sz w:val="24"/>
          <w:szCs w:val="24"/>
        </w:rPr>
        <w:t xml:space="preserve">, que </w:t>
      </w:r>
      <w:r w:rsidR="009F5D3B" w:rsidRPr="00D86621">
        <w:rPr>
          <w:rFonts w:ascii="Gadugi" w:hAnsi="Gadugi"/>
          <w:sz w:val="24"/>
          <w:szCs w:val="24"/>
        </w:rPr>
        <w:t xml:space="preserve">como </w:t>
      </w:r>
      <w:r w:rsidRPr="00D86621">
        <w:rPr>
          <w:rFonts w:ascii="Gadugi" w:hAnsi="Gadugi"/>
          <w:sz w:val="24"/>
          <w:szCs w:val="24"/>
        </w:rPr>
        <w:t>no existía certeza de que el acta de la asamblea del 19 de marzo de 2019 hubiera sido publicada, y</w:t>
      </w:r>
      <w:r w:rsidR="00EE6163" w:rsidRPr="00D86621">
        <w:rPr>
          <w:rFonts w:ascii="Gadugi" w:hAnsi="Gadugi"/>
          <w:sz w:val="24"/>
          <w:szCs w:val="24"/>
        </w:rPr>
        <w:t>,</w:t>
      </w:r>
      <w:r w:rsidRPr="00D86621">
        <w:rPr>
          <w:rFonts w:ascii="Gadugi" w:hAnsi="Gadugi"/>
          <w:sz w:val="24"/>
          <w:szCs w:val="24"/>
        </w:rPr>
        <w:t xml:space="preserve"> por lo tanto, que hubiera adquirido firmeza, era debatible el pago de la obligación contenida en </w:t>
      </w:r>
      <w:r w:rsidR="009F5D3B" w:rsidRPr="00D86621">
        <w:rPr>
          <w:rFonts w:ascii="Gadugi" w:hAnsi="Gadugi"/>
          <w:sz w:val="24"/>
          <w:szCs w:val="24"/>
        </w:rPr>
        <w:t xml:space="preserve">título ejecutivo base de recaudo, esto es </w:t>
      </w:r>
      <w:r w:rsidRPr="00D86621">
        <w:rPr>
          <w:rFonts w:ascii="Gadugi" w:hAnsi="Gadugi"/>
          <w:sz w:val="24"/>
          <w:szCs w:val="24"/>
        </w:rPr>
        <w:t xml:space="preserve">el certificado emitido por el administrador el 24 de agosto de 2020, </w:t>
      </w:r>
      <w:r w:rsidR="009F5D3B" w:rsidRPr="00D86621">
        <w:rPr>
          <w:rFonts w:ascii="Gadugi" w:hAnsi="Gadugi"/>
          <w:sz w:val="24"/>
          <w:szCs w:val="24"/>
        </w:rPr>
        <w:t xml:space="preserve">pues aquella es el fundamento de </w:t>
      </w:r>
      <w:r w:rsidR="00EE6163" w:rsidRPr="00D86621">
        <w:rPr>
          <w:rFonts w:ascii="Gadugi" w:hAnsi="Gadugi"/>
          <w:sz w:val="24"/>
          <w:szCs w:val="24"/>
        </w:rPr>
        <w:t>este</w:t>
      </w:r>
      <w:r w:rsidR="009F5D3B" w:rsidRPr="00D86621">
        <w:rPr>
          <w:rFonts w:ascii="Gadugi" w:hAnsi="Gadugi"/>
          <w:sz w:val="24"/>
          <w:szCs w:val="24"/>
        </w:rPr>
        <w:t xml:space="preserve">. </w:t>
      </w:r>
    </w:p>
    <w:p w14:paraId="74127010" w14:textId="10D88340" w:rsidR="009F5D3B" w:rsidRPr="00D86621" w:rsidRDefault="009F5D3B" w:rsidP="00D86621">
      <w:pPr>
        <w:spacing w:line="276" w:lineRule="auto"/>
        <w:jc w:val="both"/>
        <w:rPr>
          <w:rFonts w:ascii="Gadugi" w:hAnsi="Gadugi"/>
          <w:sz w:val="24"/>
          <w:szCs w:val="24"/>
        </w:rPr>
      </w:pPr>
    </w:p>
    <w:p w14:paraId="5D2FDB6E" w14:textId="609925B7" w:rsidR="009F5D3B" w:rsidRPr="00D86621" w:rsidRDefault="009F5D3B"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t xml:space="preserve">(ii) Y el segundo, que en el expediente había facturas que daban cuenta que la accionante, al 1° de junio de 2020, tenía el saldo en cero, pero ya en el mes de marzo de 2022, </w:t>
      </w:r>
      <w:r w:rsidRPr="00D86621">
        <w:rPr>
          <w:rFonts w:ascii="Gadugi" w:hAnsi="Gadugi"/>
          <w:i/>
          <w:sz w:val="24"/>
          <w:szCs w:val="24"/>
        </w:rPr>
        <w:t>“</w:t>
      </w:r>
      <w:r w:rsidRPr="00161C88">
        <w:rPr>
          <w:rFonts w:ascii="Gadugi" w:hAnsi="Gadugi"/>
          <w:i/>
          <w:sz w:val="22"/>
          <w:szCs w:val="24"/>
        </w:rPr>
        <w:t>(…) se incluyó una cuota extra de interventoría por un saldo anterior de $22.000.000 m</w:t>
      </w:r>
      <w:r w:rsidR="00977984" w:rsidRPr="00161C88">
        <w:rPr>
          <w:rFonts w:ascii="Gadugi" w:hAnsi="Gadugi"/>
          <w:i/>
          <w:sz w:val="22"/>
          <w:szCs w:val="24"/>
        </w:rPr>
        <w:t>á</w:t>
      </w:r>
      <w:r w:rsidRPr="00161C88">
        <w:rPr>
          <w:rFonts w:ascii="Gadugi" w:hAnsi="Gadugi"/>
          <w:i/>
          <w:sz w:val="22"/>
          <w:szCs w:val="24"/>
        </w:rPr>
        <w:t>s $16.409.103 por intereses de mora, para un total de $38.979.770</w:t>
      </w:r>
      <w:r w:rsidRPr="00D86621">
        <w:rPr>
          <w:rFonts w:ascii="Gadugi" w:hAnsi="Gadugi"/>
          <w:i/>
          <w:sz w:val="24"/>
          <w:szCs w:val="24"/>
        </w:rPr>
        <w:t xml:space="preserve">”, </w:t>
      </w:r>
      <w:r w:rsidRPr="00D86621">
        <w:rPr>
          <w:rFonts w:ascii="Gadugi" w:hAnsi="Gadugi"/>
          <w:sz w:val="24"/>
          <w:szCs w:val="24"/>
        </w:rPr>
        <w:t>con lo cual la orden de pago por $15.000.000 correspondientes a la cuota extraordinaria del 19 de marzo de 2019, no está contenida en el título ejecutivo, ni en los hechos y pretensiones de la demanda.</w:t>
      </w:r>
    </w:p>
    <w:p w14:paraId="26155D82" w14:textId="7BD5D485" w:rsidR="009F5D3B" w:rsidRPr="00D86621" w:rsidRDefault="009F5D3B" w:rsidP="00D86621">
      <w:pPr>
        <w:spacing w:line="276" w:lineRule="auto"/>
        <w:jc w:val="both"/>
        <w:rPr>
          <w:rFonts w:ascii="Gadugi" w:hAnsi="Gadugi"/>
          <w:sz w:val="24"/>
          <w:szCs w:val="24"/>
        </w:rPr>
      </w:pPr>
    </w:p>
    <w:p w14:paraId="5546FA16" w14:textId="13798BA5" w:rsidR="00C933E5" w:rsidRPr="00D86621" w:rsidRDefault="00C933E5"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6608BE8B" w:rsidRPr="00D86621">
        <w:rPr>
          <w:rFonts w:ascii="Gadugi" w:hAnsi="Gadugi"/>
          <w:sz w:val="24"/>
          <w:szCs w:val="24"/>
        </w:rPr>
        <w:t xml:space="preserve">Pero </w:t>
      </w:r>
      <w:r w:rsidR="38765184" w:rsidRPr="00D86621">
        <w:rPr>
          <w:rFonts w:ascii="Gadugi" w:hAnsi="Gadugi"/>
          <w:sz w:val="24"/>
          <w:szCs w:val="24"/>
        </w:rPr>
        <w:t>esas conjeturas</w:t>
      </w:r>
      <w:r w:rsidR="6608BE8B" w:rsidRPr="00D86621">
        <w:rPr>
          <w:rFonts w:ascii="Gadugi" w:hAnsi="Gadugi"/>
          <w:sz w:val="24"/>
          <w:szCs w:val="24"/>
        </w:rPr>
        <w:t xml:space="preserve">, además de poco </w:t>
      </w:r>
      <w:r w:rsidR="38765184" w:rsidRPr="00D86621">
        <w:rPr>
          <w:rFonts w:ascii="Gadugi" w:hAnsi="Gadugi"/>
          <w:sz w:val="24"/>
          <w:szCs w:val="24"/>
        </w:rPr>
        <w:t>concluyentes</w:t>
      </w:r>
      <w:r w:rsidR="6608BE8B" w:rsidRPr="00D86621">
        <w:rPr>
          <w:rFonts w:ascii="Gadugi" w:hAnsi="Gadugi"/>
          <w:sz w:val="24"/>
          <w:szCs w:val="24"/>
        </w:rPr>
        <w:t>, no le quitan mérito ejecutivo al certificado de deuda emitido por el representante legal de la P.H.,</w:t>
      </w:r>
      <w:r w:rsidR="0AC5427F" w:rsidRPr="00D86621">
        <w:rPr>
          <w:rFonts w:ascii="Gadugi" w:hAnsi="Gadugi"/>
          <w:sz w:val="24"/>
          <w:szCs w:val="24"/>
        </w:rPr>
        <w:t xml:space="preserve"> porque, por un lado, </w:t>
      </w:r>
      <w:r w:rsidR="38765184" w:rsidRPr="00D86621">
        <w:rPr>
          <w:rFonts w:ascii="Gadugi" w:hAnsi="Gadugi"/>
          <w:sz w:val="24"/>
          <w:szCs w:val="24"/>
        </w:rPr>
        <w:t>la constancia</w:t>
      </w:r>
      <w:r w:rsidR="143BDE1C" w:rsidRPr="00D86621">
        <w:rPr>
          <w:rFonts w:ascii="Gadugi" w:hAnsi="Gadugi"/>
          <w:sz w:val="24"/>
          <w:szCs w:val="24"/>
        </w:rPr>
        <w:t xml:space="preserve"> de firmeza del acta, es un requisito </w:t>
      </w:r>
      <w:r w:rsidR="00C63F50" w:rsidRPr="00D86621">
        <w:rPr>
          <w:rFonts w:ascii="Gadugi" w:hAnsi="Gadugi"/>
          <w:sz w:val="24"/>
          <w:szCs w:val="24"/>
        </w:rPr>
        <w:t>inexistente</w:t>
      </w:r>
      <w:r w:rsidR="143BDE1C" w:rsidRPr="00D86621">
        <w:rPr>
          <w:rFonts w:ascii="Gadugi" w:hAnsi="Gadugi"/>
          <w:sz w:val="24"/>
          <w:szCs w:val="24"/>
        </w:rPr>
        <w:t xml:space="preserve"> en la Ley 675 de 2001, y por otro, así </w:t>
      </w:r>
      <w:r w:rsidR="6608BE8B" w:rsidRPr="00D86621">
        <w:rPr>
          <w:rFonts w:ascii="Gadugi" w:hAnsi="Gadugi"/>
          <w:sz w:val="24"/>
          <w:szCs w:val="24"/>
        </w:rPr>
        <w:t>no</w:t>
      </w:r>
      <w:r w:rsidR="5DAAF3D5" w:rsidRPr="00D86621">
        <w:rPr>
          <w:rFonts w:ascii="Gadugi" w:hAnsi="Gadugi"/>
          <w:sz w:val="24"/>
          <w:szCs w:val="24"/>
        </w:rPr>
        <w:t xml:space="preserve"> </w:t>
      </w:r>
      <w:r w:rsidR="143BDE1C" w:rsidRPr="00D86621">
        <w:rPr>
          <w:rFonts w:ascii="Gadugi" w:hAnsi="Gadugi"/>
          <w:sz w:val="24"/>
          <w:szCs w:val="24"/>
        </w:rPr>
        <w:t xml:space="preserve">se hubiera incluido en alguna factura el cobro extraordinario que se cobra en la ejecución, ello </w:t>
      </w:r>
      <w:r w:rsidR="6608BE8B" w:rsidRPr="00D86621">
        <w:rPr>
          <w:rFonts w:ascii="Gadugi" w:hAnsi="Gadugi"/>
          <w:sz w:val="24"/>
          <w:szCs w:val="24"/>
        </w:rPr>
        <w:t>no</w:t>
      </w:r>
      <w:r w:rsidR="5DAAF3D5" w:rsidRPr="00D86621">
        <w:rPr>
          <w:rFonts w:ascii="Gadugi" w:hAnsi="Gadugi"/>
          <w:sz w:val="24"/>
          <w:szCs w:val="24"/>
        </w:rPr>
        <w:t xml:space="preserve"> </w:t>
      </w:r>
      <w:r w:rsidR="143BDE1C" w:rsidRPr="00D86621">
        <w:rPr>
          <w:rFonts w:ascii="Gadugi" w:hAnsi="Gadugi"/>
          <w:sz w:val="24"/>
          <w:szCs w:val="24"/>
        </w:rPr>
        <w:t xml:space="preserve">significa que tal acreencia sea inexistente. Y, en cualquier caso, </w:t>
      </w:r>
      <w:r w:rsidR="38765184" w:rsidRPr="00D86621">
        <w:rPr>
          <w:rFonts w:ascii="Gadugi" w:hAnsi="Gadugi"/>
          <w:sz w:val="24"/>
          <w:szCs w:val="24"/>
        </w:rPr>
        <w:t xml:space="preserve">esas hipótesis, </w:t>
      </w:r>
      <w:r w:rsidR="6608BE8B" w:rsidRPr="00D86621">
        <w:rPr>
          <w:rFonts w:ascii="Gadugi" w:hAnsi="Gadugi"/>
          <w:sz w:val="24"/>
          <w:szCs w:val="24"/>
        </w:rPr>
        <w:t xml:space="preserve">tampoco explican por qué el juez del ejecutivo, supuestamente, valoró indebidamente las pruebas allegadas al proceso, </w:t>
      </w:r>
      <w:r w:rsidR="00C63F50" w:rsidRPr="00D86621">
        <w:rPr>
          <w:rFonts w:ascii="Gadugi" w:hAnsi="Gadugi"/>
          <w:sz w:val="24"/>
          <w:szCs w:val="24"/>
        </w:rPr>
        <w:t>u omitió motivar</w:t>
      </w:r>
      <w:r w:rsidR="6608BE8B" w:rsidRPr="00D86621">
        <w:rPr>
          <w:rFonts w:ascii="Gadugi" w:hAnsi="Gadugi"/>
          <w:sz w:val="24"/>
          <w:szCs w:val="24"/>
        </w:rPr>
        <w:t xml:space="preserve"> en debida forma su decisión. </w:t>
      </w:r>
    </w:p>
    <w:p w14:paraId="09F7A085" w14:textId="77777777" w:rsidR="00C933E5" w:rsidRPr="00D86621" w:rsidRDefault="00C933E5" w:rsidP="00D86621">
      <w:pPr>
        <w:spacing w:line="276" w:lineRule="auto"/>
        <w:jc w:val="both"/>
        <w:rPr>
          <w:rFonts w:ascii="Gadugi" w:hAnsi="Gadugi"/>
          <w:sz w:val="24"/>
          <w:szCs w:val="24"/>
        </w:rPr>
      </w:pPr>
    </w:p>
    <w:p w14:paraId="6C6CD99A" w14:textId="318026A5" w:rsidR="00CE69E6" w:rsidRPr="00D86621" w:rsidRDefault="009F5D3B"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00C933E5" w:rsidRPr="00D86621">
        <w:rPr>
          <w:rFonts w:ascii="Gadugi" w:hAnsi="Gadugi"/>
          <w:sz w:val="24"/>
          <w:szCs w:val="24"/>
        </w:rPr>
        <w:t>Sin que sobre apuntar, que e</w:t>
      </w:r>
      <w:r w:rsidR="007B067E" w:rsidRPr="00D86621">
        <w:rPr>
          <w:rFonts w:ascii="Gadugi" w:hAnsi="Gadugi"/>
          <w:sz w:val="24"/>
          <w:szCs w:val="24"/>
        </w:rPr>
        <w:t>n el fallo de tutela de primer grado, no fue objeto de análisis minucioso lo que fue el principal fundamento de las excepciones en el ejecutivo</w:t>
      </w:r>
      <w:r w:rsidR="00EE6163" w:rsidRPr="00D86621">
        <w:rPr>
          <w:rFonts w:ascii="Gadugi" w:hAnsi="Gadugi"/>
          <w:sz w:val="24"/>
          <w:szCs w:val="24"/>
        </w:rPr>
        <w:t xml:space="preserve"> y de esta</w:t>
      </w:r>
      <w:r w:rsidR="007B067E" w:rsidRPr="00D86621">
        <w:rPr>
          <w:rFonts w:ascii="Gadugi" w:hAnsi="Gadugi"/>
          <w:sz w:val="24"/>
          <w:szCs w:val="24"/>
        </w:rPr>
        <w:t xml:space="preserve"> demanda de tutela, esto es, que el certificado que sirve como base de recaudo </w:t>
      </w:r>
      <w:r w:rsidR="00AD4B00" w:rsidRPr="00D86621">
        <w:rPr>
          <w:rFonts w:ascii="Gadugi" w:hAnsi="Gadugi"/>
          <w:sz w:val="24"/>
          <w:szCs w:val="24"/>
        </w:rPr>
        <w:t>está viciado</w:t>
      </w:r>
      <w:r w:rsidR="007B067E" w:rsidRPr="00D86621">
        <w:rPr>
          <w:rFonts w:ascii="Gadugi" w:hAnsi="Gadugi"/>
          <w:sz w:val="24"/>
          <w:szCs w:val="24"/>
        </w:rPr>
        <w:t>, porque desconoció que la Resolución 160 del 18 de enero de 2018, suscrita por el agente especial designado, en la que se estableció un excedente contractual de $15.000.000 a cargo de los “</w:t>
      </w:r>
      <w:r w:rsidR="007B067E" w:rsidRPr="00161C88">
        <w:rPr>
          <w:rFonts w:ascii="Gadugi" w:hAnsi="Gadugi"/>
          <w:sz w:val="22"/>
          <w:szCs w:val="24"/>
        </w:rPr>
        <w:t>promitentes compradores</w:t>
      </w:r>
      <w:r w:rsidR="007B067E" w:rsidRPr="00D86621">
        <w:rPr>
          <w:rFonts w:ascii="Gadugi" w:hAnsi="Gadugi"/>
          <w:sz w:val="24"/>
          <w:szCs w:val="24"/>
        </w:rPr>
        <w:t>”, de ahí que, si la señora Ascencio Mendoza, para esa época, ya era propietaria, estaba exonerada de tal emolumento.</w:t>
      </w:r>
    </w:p>
    <w:p w14:paraId="328CD9B2" w14:textId="60885B20" w:rsidR="00CE69E6" w:rsidRPr="00D86621" w:rsidRDefault="00CE69E6" w:rsidP="00D86621">
      <w:pPr>
        <w:spacing w:line="276" w:lineRule="auto"/>
        <w:jc w:val="both"/>
        <w:rPr>
          <w:rFonts w:ascii="Gadugi" w:hAnsi="Gadugi"/>
          <w:sz w:val="24"/>
          <w:szCs w:val="24"/>
        </w:rPr>
      </w:pPr>
    </w:p>
    <w:p w14:paraId="7295799F" w14:textId="53F7E016" w:rsidR="009F5D3B" w:rsidRPr="00D86621" w:rsidRDefault="00CE69E6"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t xml:space="preserve">Siendo importante apuntar aquí que, </w:t>
      </w:r>
      <w:r w:rsidR="007B0E3F" w:rsidRPr="00D86621">
        <w:rPr>
          <w:rFonts w:ascii="Gadugi" w:hAnsi="Gadugi"/>
          <w:sz w:val="24"/>
          <w:szCs w:val="24"/>
        </w:rPr>
        <w:t>al observar ese documento, se encuentra que la accionante está incluida en la lista de promitentes compradores, lo cual hace contradictoria su defensa, ello si se tiene en cu</w:t>
      </w:r>
      <w:r w:rsidRPr="00D86621">
        <w:rPr>
          <w:rFonts w:ascii="Gadugi" w:hAnsi="Gadugi"/>
          <w:sz w:val="24"/>
          <w:szCs w:val="24"/>
        </w:rPr>
        <w:t>e</w:t>
      </w:r>
      <w:r w:rsidR="007B0E3F" w:rsidRPr="00D86621">
        <w:rPr>
          <w:rFonts w:ascii="Gadugi" w:hAnsi="Gadugi"/>
          <w:sz w:val="24"/>
          <w:szCs w:val="24"/>
        </w:rPr>
        <w:t>nta que no existe una constancia, de que ella se hubiera</w:t>
      </w:r>
      <w:r w:rsidRPr="00D86621">
        <w:rPr>
          <w:rFonts w:ascii="Gadugi" w:hAnsi="Gadugi"/>
          <w:sz w:val="24"/>
          <w:szCs w:val="24"/>
        </w:rPr>
        <w:t xml:space="preserve"> opuesto a</w:t>
      </w:r>
      <w:r w:rsidR="007B0E3F" w:rsidRPr="00D86621">
        <w:rPr>
          <w:rFonts w:ascii="Gadugi" w:hAnsi="Gadugi"/>
          <w:sz w:val="24"/>
          <w:szCs w:val="24"/>
        </w:rPr>
        <w:t xml:space="preserve"> </w:t>
      </w:r>
      <w:r w:rsidRPr="00D86621">
        <w:rPr>
          <w:rFonts w:ascii="Gadugi" w:hAnsi="Gadugi"/>
          <w:sz w:val="24"/>
          <w:szCs w:val="24"/>
        </w:rPr>
        <w:t>ser</w:t>
      </w:r>
      <w:r w:rsidR="007B0E3F" w:rsidRPr="00D86621">
        <w:rPr>
          <w:rFonts w:ascii="Gadugi" w:hAnsi="Gadugi"/>
          <w:sz w:val="24"/>
          <w:szCs w:val="24"/>
        </w:rPr>
        <w:t xml:space="preserve"> allí enlistada y clasificada como deudora de esa cuota extraordinaria.</w:t>
      </w:r>
      <w:r w:rsidR="004316F4" w:rsidRPr="00D86621">
        <w:rPr>
          <w:rStyle w:val="Refdenotaalpie"/>
          <w:rFonts w:ascii="Gadugi" w:hAnsi="Gadugi"/>
          <w:sz w:val="24"/>
          <w:szCs w:val="24"/>
        </w:rPr>
        <w:footnoteReference w:id="20"/>
      </w:r>
      <w:r w:rsidR="007B0E3F" w:rsidRPr="00D86621">
        <w:rPr>
          <w:rFonts w:ascii="Gadugi" w:hAnsi="Gadugi"/>
          <w:sz w:val="24"/>
          <w:szCs w:val="24"/>
        </w:rPr>
        <w:t xml:space="preserve"> </w:t>
      </w:r>
    </w:p>
    <w:p w14:paraId="08B5E2F9" w14:textId="77777777" w:rsidR="007B0E3F" w:rsidRPr="00D86621" w:rsidRDefault="009F5D3B"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p>
    <w:p w14:paraId="4A636CAD" w14:textId="39DBBFDC" w:rsidR="00075935" w:rsidRPr="00D86621" w:rsidRDefault="007B0E3F"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00CE69E6" w:rsidRPr="00D86621">
        <w:rPr>
          <w:rFonts w:ascii="Gadugi" w:hAnsi="Gadugi"/>
          <w:sz w:val="24"/>
          <w:szCs w:val="24"/>
        </w:rPr>
        <w:t xml:space="preserve">En suma, </w:t>
      </w:r>
      <w:r w:rsidRPr="00D86621">
        <w:rPr>
          <w:rFonts w:ascii="Gadugi" w:hAnsi="Gadugi"/>
          <w:sz w:val="24"/>
          <w:szCs w:val="24"/>
        </w:rPr>
        <w:t xml:space="preserve">el juez de primera instancia excedió el alcance de la acción de tutela contra providencia judicial, porque  lo que plantea la parte actora </w:t>
      </w:r>
      <w:r w:rsidR="001C2EC0" w:rsidRPr="00D86621">
        <w:rPr>
          <w:rFonts w:ascii="Gadugi" w:hAnsi="Gadugi"/>
          <w:sz w:val="24"/>
          <w:szCs w:val="24"/>
        </w:rPr>
        <w:t>no es más que un disenso frente a una decisión que se encuentra de</w:t>
      </w:r>
      <w:r w:rsidR="00232125" w:rsidRPr="00D86621">
        <w:rPr>
          <w:rFonts w:ascii="Gadugi" w:hAnsi="Gadugi"/>
          <w:sz w:val="24"/>
          <w:szCs w:val="24"/>
        </w:rPr>
        <w:t>ntro</w:t>
      </w:r>
      <w:r w:rsidR="001C2EC0" w:rsidRPr="00D86621">
        <w:rPr>
          <w:rFonts w:ascii="Gadugi" w:hAnsi="Gadugi"/>
          <w:sz w:val="24"/>
          <w:szCs w:val="24"/>
        </w:rPr>
        <w:t xml:space="preserve"> </w:t>
      </w:r>
      <w:r w:rsidR="00232125" w:rsidRPr="00D86621">
        <w:rPr>
          <w:rFonts w:ascii="Gadugi" w:hAnsi="Gadugi"/>
          <w:sz w:val="24"/>
          <w:szCs w:val="24"/>
        </w:rPr>
        <w:t xml:space="preserve">de </w:t>
      </w:r>
      <w:r w:rsidR="001C2EC0" w:rsidRPr="00D86621">
        <w:rPr>
          <w:rFonts w:ascii="Gadugi" w:hAnsi="Gadugi"/>
          <w:sz w:val="24"/>
          <w:szCs w:val="24"/>
        </w:rPr>
        <w:t xml:space="preserve">un margen de interpretación razonable, la </w:t>
      </w:r>
      <w:r w:rsidR="00232125" w:rsidRPr="00D86621">
        <w:rPr>
          <w:rFonts w:ascii="Gadugi" w:hAnsi="Gadugi"/>
          <w:sz w:val="24"/>
          <w:szCs w:val="24"/>
        </w:rPr>
        <w:t>que,</w:t>
      </w:r>
      <w:r w:rsidR="001C2EC0" w:rsidRPr="00D86621">
        <w:rPr>
          <w:rFonts w:ascii="Gadugi" w:hAnsi="Gadugi"/>
          <w:sz w:val="24"/>
          <w:szCs w:val="24"/>
        </w:rPr>
        <w:t xml:space="preserve"> por </w:t>
      </w:r>
      <w:r w:rsidRPr="00D86621">
        <w:rPr>
          <w:rFonts w:ascii="Gadugi" w:hAnsi="Gadugi"/>
          <w:sz w:val="24"/>
          <w:szCs w:val="24"/>
        </w:rPr>
        <w:t xml:space="preserve">solo </w:t>
      </w:r>
      <w:r w:rsidR="001C2EC0" w:rsidRPr="00D86621">
        <w:rPr>
          <w:rFonts w:ascii="Gadugi" w:hAnsi="Gadugi"/>
          <w:sz w:val="24"/>
          <w:szCs w:val="24"/>
        </w:rPr>
        <w:t xml:space="preserve">esa razón, </w:t>
      </w:r>
      <w:r w:rsidR="00075935" w:rsidRPr="00D86621">
        <w:rPr>
          <w:rFonts w:ascii="Gadugi" w:hAnsi="Gadugi"/>
          <w:sz w:val="24"/>
          <w:szCs w:val="24"/>
        </w:rPr>
        <w:t xml:space="preserve">no puede ser descalificada por el juez </w:t>
      </w:r>
      <w:r w:rsidRPr="00D86621">
        <w:rPr>
          <w:rFonts w:ascii="Gadugi" w:hAnsi="Gadugi"/>
          <w:sz w:val="24"/>
          <w:szCs w:val="24"/>
        </w:rPr>
        <w:t>constitucional</w:t>
      </w:r>
      <w:r w:rsidR="00075935" w:rsidRPr="00D86621">
        <w:rPr>
          <w:rFonts w:ascii="Gadugi" w:hAnsi="Gadugi"/>
          <w:sz w:val="24"/>
          <w:szCs w:val="24"/>
        </w:rPr>
        <w:t xml:space="preserve">, pues si así se hiciera, se usurparía la función misma del juicio ordinario, </w:t>
      </w:r>
      <w:r w:rsidR="001C2EC0" w:rsidRPr="00D86621">
        <w:rPr>
          <w:rFonts w:ascii="Gadugi" w:hAnsi="Gadugi"/>
          <w:sz w:val="24"/>
          <w:szCs w:val="24"/>
        </w:rPr>
        <w:t>dado que</w:t>
      </w:r>
      <w:r w:rsidR="00075935" w:rsidRPr="00D86621">
        <w:rPr>
          <w:rFonts w:ascii="Gadugi" w:hAnsi="Gadugi"/>
          <w:sz w:val="24"/>
          <w:szCs w:val="24"/>
        </w:rPr>
        <w:t xml:space="preserve"> </w:t>
      </w:r>
      <w:r w:rsidR="00075935" w:rsidRPr="00D86621">
        <w:rPr>
          <w:rFonts w:ascii="Gadugi" w:hAnsi="Gadugi"/>
          <w:i/>
          <w:sz w:val="24"/>
          <w:szCs w:val="24"/>
        </w:rPr>
        <w:t>“</w:t>
      </w:r>
      <w:r w:rsidR="00075935" w:rsidRPr="00161C88">
        <w:rPr>
          <w:rFonts w:ascii="Gadugi" w:hAnsi="Gadugi"/>
          <w:i/>
          <w:sz w:val="22"/>
          <w:szCs w:val="24"/>
        </w:rPr>
        <w:t>La sola divergencia conceptual no puede ser venero para demandar este amparo porque la tutela no es instrumento para definir cuál planteamiento hermenéutico en las hipótesis de subsunción legal es el válido, ni cuál de las inferencias valorativas de los elementos fácticos es la más acertada o la más correcta para dar lugar a la intervención del juez constitucional</w:t>
      </w:r>
      <w:r w:rsidR="00075935" w:rsidRPr="00D86621">
        <w:rPr>
          <w:rFonts w:ascii="Gadugi" w:hAnsi="Gadugi"/>
          <w:i/>
          <w:sz w:val="24"/>
          <w:szCs w:val="24"/>
        </w:rPr>
        <w:t>.”</w:t>
      </w:r>
      <w:r w:rsidR="00075935" w:rsidRPr="00D86621">
        <w:rPr>
          <w:rStyle w:val="Refdenotaalpie"/>
          <w:rFonts w:ascii="Gadugi" w:hAnsi="Gadugi"/>
          <w:sz w:val="24"/>
          <w:szCs w:val="24"/>
        </w:rPr>
        <w:footnoteReference w:id="21"/>
      </w:r>
    </w:p>
    <w:p w14:paraId="062D7DEE" w14:textId="786C448D" w:rsidR="007B0E3F" w:rsidRPr="00D86621" w:rsidRDefault="007B0E3F" w:rsidP="00D86621">
      <w:pPr>
        <w:spacing w:line="276" w:lineRule="auto"/>
        <w:jc w:val="both"/>
        <w:rPr>
          <w:rFonts w:ascii="Gadugi" w:hAnsi="Gadugi"/>
          <w:sz w:val="24"/>
          <w:szCs w:val="24"/>
        </w:rPr>
      </w:pPr>
    </w:p>
    <w:p w14:paraId="1C50413B" w14:textId="77777777" w:rsidR="004316F4" w:rsidRPr="00D86621" w:rsidRDefault="004316F4"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t>También encuentra la Sala que la manera como se ordenó seguir adelante con la ejecución, fue el resultado de la valoración de lo que resultó probado en el proceso, si bien el funcionario explicó:</w:t>
      </w:r>
    </w:p>
    <w:p w14:paraId="22503B59" w14:textId="77777777" w:rsidR="004316F4" w:rsidRPr="00D86621" w:rsidRDefault="004316F4" w:rsidP="00D86621">
      <w:pPr>
        <w:spacing w:line="276" w:lineRule="auto"/>
        <w:jc w:val="both"/>
        <w:rPr>
          <w:rFonts w:ascii="Gadugi" w:hAnsi="Gadugi"/>
          <w:sz w:val="24"/>
          <w:szCs w:val="24"/>
        </w:rPr>
      </w:pPr>
    </w:p>
    <w:p w14:paraId="5CD1D1D8" w14:textId="28F1F6CD" w:rsidR="004316F4" w:rsidRPr="00161C88" w:rsidRDefault="004316F4" w:rsidP="00161C88">
      <w:pPr>
        <w:ind w:left="426" w:right="420"/>
        <w:jc w:val="both"/>
        <w:rPr>
          <w:rFonts w:ascii="Gadugi" w:hAnsi="Gadugi"/>
          <w:sz w:val="22"/>
          <w:szCs w:val="24"/>
        </w:rPr>
      </w:pP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r>
      <w:r w:rsidRPr="00161C88">
        <w:rPr>
          <w:rFonts w:ascii="Gadugi" w:hAnsi="Gadugi"/>
          <w:sz w:val="22"/>
          <w:szCs w:val="24"/>
        </w:rPr>
        <w:tab/>
        <w:t>“(…) Aunque dicha certificación señale que lo aprobado fue la suma de $15.000.000, correspondiendo la suma de $5.000.0000 a intereses, en realidad, ninguno de los 2 valores coincide con lo que da cuenta la mencionada acta de asamblea ordinaria, significa entonces, que los mencionados $5.000.000, por intereses no consultan la realidad, aunque si en parte la suma de los $15.000.000, de los $22.000.000 aprobados, siendo así entonces únicamente el juzgado podrá seguir la ejecución, pero únicamente por la suma de $15.000.000 más los intereses causados a partir del día siguiente en que fue aprobada la cuota extraordinaria, que lo es el día 19 de marzo de 2019, en ese sentido, se modificará el mandamiento de pago (…).”</w:t>
      </w:r>
      <w:r w:rsidR="00D362C4" w:rsidRPr="00161C88">
        <w:rPr>
          <w:rStyle w:val="Refdenotaalpie"/>
          <w:rFonts w:ascii="Gadugi" w:hAnsi="Gadugi"/>
          <w:sz w:val="22"/>
          <w:szCs w:val="24"/>
        </w:rPr>
        <w:footnoteReference w:id="22"/>
      </w:r>
    </w:p>
    <w:p w14:paraId="07A840FD" w14:textId="77777777" w:rsidR="004316F4" w:rsidRPr="00D86621" w:rsidRDefault="004316F4" w:rsidP="00D86621">
      <w:pPr>
        <w:spacing w:line="276" w:lineRule="auto"/>
        <w:jc w:val="both"/>
        <w:rPr>
          <w:rFonts w:ascii="Gadugi" w:hAnsi="Gadugi"/>
          <w:sz w:val="24"/>
          <w:szCs w:val="24"/>
        </w:rPr>
      </w:pPr>
    </w:p>
    <w:p w14:paraId="559785FD" w14:textId="761D5D24" w:rsidR="007B0E3F" w:rsidRPr="00D86621" w:rsidRDefault="007B0E3F" w:rsidP="00D86621">
      <w:pPr>
        <w:spacing w:line="276" w:lineRule="auto"/>
        <w:jc w:val="both"/>
        <w:rPr>
          <w:rFonts w:ascii="Gadugi" w:hAnsi="Gadugi"/>
          <w:sz w:val="24"/>
          <w:szCs w:val="24"/>
        </w:rPr>
      </w:pPr>
      <w:r w:rsidRPr="00D86621">
        <w:rPr>
          <w:rFonts w:ascii="Gadugi" w:hAnsi="Gadugi"/>
          <w:sz w:val="24"/>
          <w:szCs w:val="24"/>
        </w:rPr>
        <w:lastRenderedPageBreak/>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t>Finalmente hay que apuntar que es notoriamente desenfocad</w:t>
      </w:r>
      <w:r w:rsidR="00BA7CC3" w:rsidRPr="00D86621">
        <w:rPr>
          <w:rFonts w:ascii="Gadugi" w:hAnsi="Gadugi"/>
          <w:sz w:val="24"/>
          <w:szCs w:val="24"/>
        </w:rPr>
        <w:t xml:space="preserve">a, e injustificable, </w:t>
      </w:r>
      <w:r w:rsidRPr="00D86621">
        <w:rPr>
          <w:rFonts w:ascii="Gadugi" w:hAnsi="Gadugi"/>
          <w:sz w:val="24"/>
          <w:szCs w:val="24"/>
        </w:rPr>
        <w:t xml:space="preserve">la denuncia sobre una </w:t>
      </w:r>
      <w:r w:rsidR="00BA7CC3" w:rsidRPr="00D86621">
        <w:rPr>
          <w:rFonts w:ascii="Gadugi" w:hAnsi="Gadugi"/>
          <w:sz w:val="24"/>
          <w:szCs w:val="24"/>
        </w:rPr>
        <w:t>supuesta falta de defensa técnica de la actora en ese juicio, si bien, (i) sin ser indispensable por ser un juicio de única instancia, siempre contó con la asesoría de profesionales del derecho, quienes ejercieron de manera vigorosa su defensa (ii) pudo ejercer sin cortapisas, el derecho de contradicción aportando y solicitando pruebas; (iii) y le fueron comunicada</w:t>
      </w:r>
      <w:r w:rsidR="00EB2EF4" w:rsidRPr="00D86621">
        <w:rPr>
          <w:rFonts w:ascii="Gadugi" w:hAnsi="Gadugi"/>
          <w:sz w:val="24"/>
          <w:szCs w:val="24"/>
        </w:rPr>
        <w:t>s</w:t>
      </w:r>
      <w:r w:rsidR="00BA7CC3" w:rsidRPr="00D86621">
        <w:rPr>
          <w:rFonts w:ascii="Gadugi" w:hAnsi="Gadugi"/>
          <w:sz w:val="24"/>
          <w:szCs w:val="24"/>
        </w:rPr>
        <w:t xml:space="preserve"> las decisiones que se profirieron en ese juicio.</w:t>
      </w:r>
      <w:r w:rsidR="00CE69E6" w:rsidRPr="00D86621">
        <w:rPr>
          <w:rStyle w:val="Refdenotaalpie"/>
          <w:rFonts w:ascii="Gadugi" w:hAnsi="Gadugi"/>
          <w:sz w:val="24"/>
          <w:szCs w:val="24"/>
        </w:rPr>
        <w:footnoteReference w:id="23"/>
      </w:r>
    </w:p>
    <w:p w14:paraId="780C73D5" w14:textId="77777777" w:rsidR="00D362C4" w:rsidRPr="00D86621" w:rsidRDefault="00D362C4" w:rsidP="00D86621">
      <w:pPr>
        <w:spacing w:line="276" w:lineRule="auto"/>
        <w:jc w:val="both"/>
        <w:rPr>
          <w:rFonts w:ascii="Gadugi" w:hAnsi="Gadugi"/>
          <w:sz w:val="24"/>
          <w:szCs w:val="24"/>
        </w:rPr>
      </w:pPr>
    </w:p>
    <w:p w14:paraId="61E20230" w14:textId="14BDC1D8" w:rsidR="007B0E3F" w:rsidRPr="00D86621" w:rsidRDefault="007B0E3F"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t>En suma, se revocará el fallo de primer grado, y en su lugar, se negará la protección.</w:t>
      </w:r>
    </w:p>
    <w:p w14:paraId="7D850652" w14:textId="1AA9A1ED" w:rsidR="000A451B" w:rsidRPr="00D86621" w:rsidRDefault="008213D4"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008A5A60" w:rsidRPr="00D86621">
        <w:rPr>
          <w:rFonts w:ascii="Gadugi" w:hAnsi="Gadugi"/>
          <w:sz w:val="24"/>
          <w:szCs w:val="24"/>
        </w:rPr>
        <w:t xml:space="preserve"> </w:t>
      </w:r>
    </w:p>
    <w:p w14:paraId="5105BE95" w14:textId="61CFFFA5" w:rsidR="0055337E" w:rsidRPr="00D86621" w:rsidRDefault="00776941" w:rsidP="00D86621">
      <w:pPr>
        <w:spacing w:line="276" w:lineRule="auto"/>
        <w:jc w:val="both"/>
        <w:rPr>
          <w:rFonts w:ascii="Gadugi" w:hAnsi="Gadugi"/>
          <w:sz w:val="24"/>
          <w:szCs w:val="24"/>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p>
    <w:p w14:paraId="6C076540" w14:textId="11863CAC" w:rsidR="002B141D" w:rsidRPr="00D86621" w:rsidRDefault="004B4B0E" w:rsidP="00D86621">
      <w:pPr>
        <w:spacing w:line="276" w:lineRule="auto"/>
        <w:jc w:val="both"/>
        <w:rPr>
          <w:rFonts w:ascii="Gadugi" w:hAnsi="Gadugi"/>
          <w:b/>
          <w:sz w:val="24"/>
          <w:szCs w:val="24"/>
        </w:rPr>
      </w:pPr>
      <w:r w:rsidRPr="00D86621">
        <w:rPr>
          <w:rFonts w:ascii="Gadugi" w:hAnsi="Gadugi" w:cs="Arial"/>
          <w:sz w:val="24"/>
          <w:szCs w:val="24"/>
        </w:rPr>
        <w:tab/>
        <w:t xml:space="preserve">  </w:t>
      </w:r>
      <w:r w:rsidR="002B141D" w:rsidRPr="00D86621">
        <w:rPr>
          <w:rFonts w:ascii="Gadugi" w:hAnsi="Gadugi"/>
          <w:b/>
          <w:sz w:val="24"/>
          <w:szCs w:val="24"/>
          <w:lang w:val="es-419"/>
        </w:rPr>
        <w:tab/>
      </w:r>
      <w:r w:rsidR="002B141D" w:rsidRPr="00D86621">
        <w:rPr>
          <w:rFonts w:ascii="Gadugi" w:hAnsi="Gadugi"/>
          <w:b/>
          <w:sz w:val="24"/>
          <w:szCs w:val="24"/>
          <w:lang w:val="es-419"/>
        </w:rPr>
        <w:tab/>
      </w:r>
      <w:r w:rsidR="002B141D" w:rsidRPr="00D86621">
        <w:rPr>
          <w:rFonts w:ascii="Gadugi" w:hAnsi="Gadugi"/>
          <w:b/>
          <w:sz w:val="24"/>
          <w:szCs w:val="24"/>
          <w:lang w:val="es-419"/>
        </w:rPr>
        <w:tab/>
      </w:r>
      <w:r w:rsidR="00CE69E6" w:rsidRPr="00D86621">
        <w:rPr>
          <w:rFonts w:ascii="Gadugi" w:hAnsi="Gadugi"/>
          <w:b/>
          <w:sz w:val="24"/>
          <w:szCs w:val="24"/>
          <w:lang w:val="es-419"/>
        </w:rPr>
        <w:t xml:space="preserve">3. </w:t>
      </w:r>
      <w:r w:rsidR="001C2EC0" w:rsidRPr="00D86621">
        <w:rPr>
          <w:rFonts w:ascii="Gadugi" w:hAnsi="Gadugi"/>
          <w:b/>
          <w:sz w:val="24"/>
          <w:szCs w:val="24"/>
          <w:lang w:val="es-419"/>
        </w:rPr>
        <w:t>D</w:t>
      </w:r>
      <w:r w:rsidR="002B141D" w:rsidRPr="00D86621">
        <w:rPr>
          <w:rFonts w:ascii="Gadugi" w:hAnsi="Gadugi"/>
          <w:b/>
          <w:sz w:val="24"/>
          <w:szCs w:val="24"/>
        </w:rPr>
        <w:t>ECISIÓN</w:t>
      </w:r>
    </w:p>
    <w:p w14:paraId="6EE4B65E" w14:textId="77777777" w:rsidR="000A451B" w:rsidRPr="00D86621" w:rsidRDefault="000A451B" w:rsidP="00D86621">
      <w:pPr>
        <w:tabs>
          <w:tab w:val="left" w:pos="3108"/>
        </w:tabs>
        <w:spacing w:line="276" w:lineRule="auto"/>
        <w:ind w:firstLine="2835"/>
        <w:jc w:val="both"/>
        <w:rPr>
          <w:rFonts w:ascii="Gadugi" w:hAnsi="Gadugi" w:cs="Century Gothic"/>
          <w:sz w:val="24"/>
          <w:szCs w:val="24"/>
        </w:rPr>
      </w:pPr>
    </w:p>
    <w:p w14:paraId="2AB3E5A8" w14:textId="77777777" w:rsidR="000A451B" w:rsidRPr="00D86621" w:rsidRDefault="000A451B" w:rsidP="00D86621">
      <w:pPr>
        <w:tabs>
          <w:tab w:val="left" w:pos="3108"/>
        </w:tabs>
        <w:spacing w:line="276" w:lineRule="auto"/>
        <w:ind w:firstLine="2835"/>
        <w:jc w:val="both"/>
        <w:rPr>
          <w:rFonts w:ascii="Gadugi" w:hAnsi="Gadugi" w:cs="Century Gothic"/>
          <w:sz w:val="24"/>
          <w:szCs w:val="24"/>
        </w:rPr>
      </w:pPr>
    </w:p>
    <w:p w14:paraId="54542B5D" w14:textId="67829F4F" w:rsidR="00576E34" w:rsidRPr="00D86621" w:rsidRDefault="002B141D" w:rsidP="00D86621">
      <w:pPr>
        <w:tabs>
          <w:tab w:val="left" w:pos="3108"/>
        </w:tabs>
        <w:spacing w:line="276" w:lineRule="auto"/>
        <w:ind w:firstLine="2835"/>
        <w:jc w:val="both"/>
        <w:rPr>
          <w:rFonts w:ascii="Gadugi" w:hAnsi="Gadugi"/>
          <w:sz w:val="24"/>
          <w:szCs w:val="24"/>
        </w:rPr>
      </w:pPr>
      <w:r w:rsidRPr="00D86621">
        <w:rPr>
          <w:rFonts w:ascii="Gadugi" w:hAnsi="Gadugi" w:cs="Century Gothic"/>
          <w:sz w:val="24"/>
          <w:szCs w:val="24"/>
        </w:rPr>
        <w:t xml:space="preserve">En mérito de lo expuesto la </w:t>
      </w:r>
      <w:r w:rsidRPr="00D86621">
        <w:rPr>
          <w:rFonts w:ascii="Gadugi" w:hAnsi="Gadugi" w:cs="Century Gothic"/>
          <w:b/>
          <w:bCs/>
          <w:sz w:val="24"/>
          <w:szCs w:val="24"/>
        </w:rPr>
        <w:t>Sala de Decisión Civil Familia del Tribunal Superior del Distrito Judicial de Pereira</w:t>
      </w:r>
      <w:r w:rsidRPr="00D86621">
        <w:rPr>
          <w:rFonts w:ascii="Gadugi" w:hAnsi="Gadugi" w:cs="Century Gothic"/>
          <w:sz w:val="24"/>
          <w:szCs w:val="24"/>
        </w:rPr>
        <w:t>, administrando justicia en nombre de la República y por autoridad de la Ley</w:t>
      </w:r>
      <w:r w:rsidR="00D00EF1" w:rsidRPr="00D86621">
        <w:rPr>
          <w:rFonts w:ascii="Gadugi" w:hAnsi="Gadugi" w:cs="Century Gothic"/>
          <w:sz w:val="24"/>
          <w:szCs w:val="24"/>
        </w:rPr>
        <w:t>,</w:t>
      </w:r>
      <w:r w:rsidRPr="00D86621">
        <w:rPr>
          <w:rFonts w:ascii="Gadugi" w:hAnsi="Gadugi" w:cs="Century Gothic"/>
          <w:sz w:val="24"/>
          <w:szCs w:val="24"/>
        </w:rPr>
        <w:t xml:space="preserve"> </w:t>
      </w:r>
      <w:r w:rsidR="00BA7CC3" w:rsidRPr="00D86621">
        <w:rPr>
          <w:rFonts w:ascii="Gadugi" w:hAnsi="Gadugi" w:cs="Century Gothic"/>
          <w:b/>
          <w:sz w:val="24"/>
          <w:szCs w:val="24"/>
        </w:rPr>
        <w:t>REVOCA</w:t>
      </w:r>
      <w:r w:rsidR="004B4B0E" w:rsidRPr="00D86621">
        <w:rPr>
          <w:rFonts w:ascii="Gadugi" w:hAnsi="Gadugi" w:cs="Century Gothic"/>
          <w:b/>
          <w:sz w:val="24"/>
          <w:szCs w:val="24"/>
        </w:rPr>
        <w:t xml:space="preserve"> </w:t>
      </w:r>
      <w:r w:rsidRPr="00D86621">
        <w:rPr>
          <w:rFonts w:ascii="Gadugi" w:hAnsi="Gadugi" w:cs="Century Gothic"/>
          <w:bCs/>
          <w:sz w:val="24"/>
          <w:szCs w:val="24"/>
        </w:rPr>
        <w:t xml:space="preserve">la sentencia </w:t>
      </w:r>
      <w:r w:rsidR="004B4B0E" w:rsidRPr="00D86621">
        <w:rPr>
          <w:rFonts w:ascii="Gadugi" w:hAnsi="Gadugi"/>
          <w:sz w:val="24"/>
          <w:szCs w:val="24"/>
        </w:rPr>
        <w:t>impugnada</w:t>
      </w:r>
      <w:r w:rsidR="00BA7CC3" w:rsidRPr="00D86621">
        <w:rPr>
          <w:rFonts w:ascii="Gadugi" w:hAnsi="Gadugi"/>
          <w:sz w:val="24"/>
          <w:szCs w:val="24"/>
        </w:rPr>
        <w:t xml:space="preserve">, en su lugar, se </w:t>
      </w:r>
      <w:r w:rsidR="00CE69E6" w:rsidRPr="00D86621">
        <w:rPr>
          <w:rFonts w:ascii="Gadugi" w:hAnsi="Gadugi"/>
          <w:b/>
          <w:sz w:val="24"/>
          <w:szCs w:val="24"/>
        </w:rPr>
        <w:t>NIEGA</w:t>
      </w:r>
      <w:r w:rsidR="00BA7CC3" w:rsidRPr="00D86621">
        <w:rPr>
          <w:rFonts w:ascii="Gadugi" w:hAnsi="Gadugi"/>
          <w:sz w:val="24"/>
          <w:szCs w:val="24"/>
        </w:rPr>
        <w:t xml:space="preserve"> </w:t>
      </w:r>
      <w:r w:rsidR="00CE69E6" w:rsidRPr="00D86621">
        <w:rPr>
          <w:rFonts w:ascii="Gadugi" w:hAnsi="Gadugi"/>
          <w:sz w:val="24"/>
          <w:szCs w:val="24"/>
        </w:rPr>
        <w:t xml:space="preserve">la presente acción de tutela. </w:t>
      </w:r>
    </w:p>
    <w:p w14:paraId="18918067" w14:textId="3DEE7420" w:rsidR="00075935" w:rsidRPr="00D86621" w:rsidRDefault="002731F9" w:rsidP="00D86621">
      <w:pPr>
        <w:spacing w:line="276" w:lineRule="auto"/>
        <w:jc w:val="both"/>
        <w:rPr>
          <w:rFonts w:ascii="Gadugi" w:hAnsi="Gadugi" w:cs="Arial"/>
          <w:b/>
          <w:sz w:val="24"/>
          <w:szCs w:val="24"/>
        </w:rPr>
      </w:pPr>
      <w:r w:rsidRPr="00D86621">
        <w:rPr>
          <w:rFonts w:ascii="Gadugi" w:hAnsi="Gadugi" w:cs="Arial"/>
          <w:sz w:val="24"/>
          <w:szCs w:val="24"/>
        </w:rPr>
        <w:tab/>
      </w:r>
      <w:r w:rsidRPr="00D86621">
        <w:rPr>
          <w:rFonts w:ascii="Gadugi" w:hAnsi="Gadugi" w:cs="Arial"/>
          <w:sz w:val="24"/>
          <w:szCs w:val="24"/>
        </w:rPr>
        <w:tab/>
      </w:r>
    </w:p>
    <w:p w14:paraId="5608D06B" w14:textId="77777777" w:rsidR="00205ABE" w:rsidRPr="00D86621" w:rsidRDefault="002B141D" w:rsidP="00D86621">
      <w:pPr>
        <w:pStyle w:val="Textoindependiente2"/>
        <w:spacing w:after="0" w:line="276" w:lineRule="auto"/>
        <w:jc w:val="both"/>
        <w:rPr>
          <w:rFonts w:ascii="Gadugi" w:hAnsi="Gadugi"/>
          <w:sz w:val="24"/>
          <w:szCs w:val="24"/>
          <w:lang w:val="es-419"/>
        </w:rPr>
      </w:pP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r>
      <w:r w:rsidRPr="00D86621">
        <w:rPr>
          <w:rFonts w:ascii="Gadugi" w:hAnsi="Gadugi"/>
          <w:sz w:val="24"/>
          <w:szCs w:val="24"/>
        </w:rPr>
        <w:tab/>
        <w:t>Notifíquese esta decisión a las partes en la forma prevista en el artículo 5º del Decreto 306 de 1992</w:t>
      </w:r>
      <w:r w:rsidRPr="00D86621">
        <w:rPr>
          <w:rFonts w:ascii="Gadugi" w:hAnsi="Gadugi"/>
          <w:sz w:val="24"/>
          <w:szCs w:val="24"/>
          <w:lang w:val="es-419"/>
        </w:rPr>
        <w:t xml:space="preserve">. </w:t>
      </w:r>
    </w:p>
    <w:p w14:paraId="7DD59477" w14:textId="1F6D5B6F" w:rsidR="00205ABE" w:rsidRPr="00D86621" w:rsidRDefault="002731F9" w:rsidP="00D86621">
      <w:pPr>
        <w:pStyle w:val="Textoindependiente2"/>
        <w:spacing w:after="0" w:line="276" w:lineRule="auto"/>
        <w:jc w:val="both"/>
        <w:rPr>
          <w:rFonts w:ascii="Gadugi" w:hAnsi="Gadugi"/>
          <w:sz w:val="24"/>
          <w:szCs w:val="24"/>
          <w:lang w:val="es-419"/>
        </w:rPr>
      </w:pPr>
      <w:r w:rsidRPr="00D86621">
        <w:rPr>
          <w:rFonts w:ascii="Gadugi" w:hAnsi="Gadugi"/>
          <w:sz w:val="24"/>
          <w:szCs w:val="24"/>
          <w:lang w:val="es-419"/>
        </w:rPr>
        <w:tab/>
      </w:r>
      <w:r w:rsidRPr="00D86621">
        <w:rPr>
          <w:rFonts w:ascii="Gadugi" w:hAnsi="Gadugi"/>
          <w:sz w:val="24"/>
          <w:szCs w:val="24"/>
          <w:lang w:val="es-419"/>
        </w:rPr>
        <w:tab/>
      </w:r>
      <w:r w:rsidRPr="00D86621">
        <w:rPr>
          <w:rFonts w:ascii="Gadugi" w:hAnsi="Gadugi"/>
          <w:sz w:val="24"/>
          <w:szCs w:val="24"/>
          <w:lang w:val="es-419"/>
        </w:rPr>
        <w:tab/>
      </w:r>
      <w:r w:rsidRPr="00D86621">
        <w:rPr>
          <w:rFonts w:ascii="Gadugi" w:hAnsi="Gadugi"/>
          <w:sz w:val="24"/>
          <w:szCs w:val="24"/>
          <w:lang w:val="es-419"/>
        </w:rPr>
        <w:tab/>
      </w:r>
    </w:p>
    <w:p w14:paraId="378B8E78" w14:textId="4E14B3C6" w:rsidR="00205ABE" w:rsidRPr="00D86621" w:rsidRDefault="00205ABE" w:rsidP="00D86621">
      <w:pPr>
        <w:pStyle w:val="Textoindependiente2"/>
        <w:spacing w:after="0" w:line="276" w:lineRule="auto"/>
        <w:jc w:val="both"/>
        <w:rPr>
          <w:rFonts w:ascii="Gadugi" w:hAnsi="Gadugi"/>
          <w:sz w:val="24"/>
          <w:szCs w:val="24"/>
        </w:rPr>
      </w:pPr>
      <w:r w:rsidRPr="00D86621">
        <w:rPr>
          <w:rFonts w:ascii="Gadugi" w:hAnsi="Gadugi"/>
          <w:sz w:val="24"/>
          <w:szCs w:val="24"/>
          <w:lang w:val="es-419"/>
        </w:rPr>
        <w:t xml:space="preserve"> </w:t>
      </w:r>
      <w:r w:rsidRPr="00D86621">
        <w:rPr>
          <w:rFonts w:ascii="Gadugi" w:hAnsi="Gadugi"/>
          <w:sz w:val="24"/>
          <w:szCs w:val="24"/>
          <w:lang w:val="es-419"/>
        </w:rPr>
        <w:tab/>
      </w:r>
      <w:r w:rsidRPr="00D86621">
        <w:rPr>
          <w:rFonts w:ascii="Gadugi" w:hAnsi="Gadugi"/>
          <w:sz w:val="24"/>
          <w:szCs w:val="24"/>
          <w:lang w:val="es-419"/>
        </w:rPr>
        <w:tab/>
      </w:r>
      <w:r w:rsidRPr="00D86621">
        <w:rPr>
          <w:rFonts w:ascii="Gadugi" w:hAnsi="Gadugi"/>
          <w:sz w:val="24"/>
          <w:szCs w:val="24"/>
          <w:lang w:val="es-419"/>
        </w:rPr>
        <w:tab/>
      </w:r>
      <w:r w:rsidRPr="00D86621">
        <w:rPr>
          <w:rFonts w:ascii="Gadugi" w:hAnsi="Gadugi"/>
          <w:sz w:val="24"/>
          <w:szCs w:val="24"/>
          <w:lang w:val="es-419"/>
        </w:rPr>
        <w:tab/>
      </w:r>
      <w:r w:rsidR="00D86621">
        <w:rPr>
          <w:rFonts w:ascii="Gadugi" w:hAnsi="Gadugi"/>
          <w:sz w:val="24"/>
          <w:szCs w:val="24"/>
        </w:rPr>
        <w:t>Opo</w:t>
      </w:r>
      <w:r w:rsidR="002B141D" w:rsidRPr="00D86621">
        <w:rPr>
          <w:rFonts w:ascii="Gadugi" w:hAnsi="Gadugi"/>
          <w:sz w:val="24"/>
          <w:szCs w:val="24"/>
        </w:rPr>
        <w:t>rtunamente remítase el expediente a la Corte Constitucional para su eventual revisión.</w:t>
      </w:r>
      <w:r w:rsidR="0080796E" w:rsidRPr="00D86621">
        <w:rPr>
          <w:rFonts w:ascii="Gadugi" w:hAnsi="Gadugi"/>
          <w:sz w:val="24"/>
          <w:szCs w:val="24"/>
        </w:rPr>
        <w:t xml:space="preserve"> </w:t>
      </w:r>
    </w:p>
    <w:p w14:paraId="1CEA6EEF" w14:textId="77777777" w:rsidR="00205ABE" w:rsidRPr="00D86621" w:rsidRDefault="00205ABE" w:rsidP="00D86621">
      <w:pPr>
        <w:pStyle w:val="Textoindependiente2"/>
        <w:spacing w:after="0" w:line="276" w:lineRule="auto"/>
        <w:jc w:val="both"/>
        <w:rPr>
          <w:rFonts w:ascii="Gadugi" w:hAnsi="Gadugi"/>
          <w:sz w:val="24"/>
          <w:szCs w:val="24"/>
        </w:rPr>
      </w:pPr>
    </w:p>
    <w:p w14:paraId="7964C4E3" w14:textId="7FE55B3F" w:rsidR="002B141D" w:rsidRPr="00D86621" w:rsidRDefault="0080796E" w:rsidP="00D86621">
      <w:pPr>
        <w:pStyle w:val="Textoindependiente2"/>
        <w:spacing w:after="0" w:line="276" w:lineRule="auto"/>
        <w:ind w:left="2124" w:firstLine="708"/>
        <w:jc w:val="both"/>
        <w:rPr>
          <w:rFonts w:ascii="Gadugi" w:hAnsi="Gadugi"/>
          <w:sz w:val="24"/>
          <w:szCs w:val="24"/>
        </w:rPr>
      </w:pPr>
      <w:r w:rsidRPr="00D86621">
        <w:rPr>
          <w:rFonts w:ascii="Gadugi" w:hAnsi="Gadugi"/>
          <w:sz w:val="24"/>
          <w:szCs w:val="24"/>
        </w:rPr>
        <w:t>A su regreso, archívese.</w:t>
      </w:r>
    </w:p>
    <w:p w14:paraId="631872BC" w14:textId="77777777" w:rsidR="00272AF7" w:rsidRPr="00D86621" w:rsidRDefault="00272AF7" w:rsidP="00D86621">
      <w:pPr>
        <w:spacing w:line="276" w:lineRule="auto"/>
        <w:ind w:firstLine="2835"/>
        <w:jc w:val="both"/>
        <w:rPr>
          <w:rFonts w:ascii="Gadugi" w:hAnsi="Gadugi" w:cs="Century Gothic"/>
          <w:sz w:val="24"/>
          <w:szCs w:val="24"/>
        </w:rPr>
      </w:pPr>
    </w:p>
    <w:p w14:paraId="3BF6748F" w14:textId="22579937" w:rsidR="002B141D" w:rsidRPr="00D86621" w:rsidRDefault="002B141D" w:rsidP="00D86621">
      <w:pPr>
        <w:spacing w:line="276" w:lineRule="auto"/>
        <w:ind w:firstLine="2835"/>
        <w:jc w:val="both"/>
        <w:rPr>
          <w:rFonts w:ascii="Gadugi" w:hAnsi="Gadugi" w:cs="Century Gothic"/>
          <w:sz w:val="24"/>
          <w:szCs w:val="24"/>
        </w:rPr>
      </w:pPr>
      <w:r w:rsidRPr="00D86621">
        <w:rPr>
          <w:rFonts w:ascii="Gadugi" w:hAnsi="Gadugi" w:cs="Century Gothic"/>
          <w:sz w:val="24"/>
          <w:szCs w:val="24"/>
        </w:rPr>
        <w:t>Los Magistrados,</w:t>
      </w:r>
    </w:p>
    <w:p w14:paraId="1DF43966" w14:textId="0B418AC0" w:rsidR="00EB2EF4" w:rsidRDefault="00EB2EF4" w:rsidP="00D86621">
      <w:pPr>
        <w:spacing w:line="276" w:lineRule="auto"/>
        <w:ind w:firstLine="2835"/>
        <w:jc w:val="both"/>
        <w:rPr>
          <w:rFonts w:ascii="Gadugi" w:hAnsi="Gadugi" w:cs="Century Gothic"/>
          <w:b/>
          <w:bCs/>
          <w:sz w:val="24"/>
          <w:szCs w:val="24"/>
        </w:rPr>
      </w:pPr>
    </w:p>
    <w:p w14:paraId="6C7496BA" w14:textId="77777777" w:rsidR="00D86621" w:rsidRPr="00D86621" w:rsidRDefault="00D86621" w:rsidP="00D86621">
      <w:pPr>
        <w:spacing w:line="276" w:lineRule="auto"/>
        <w:ind w:firstLine="2835"/>
        <w:jc w:val="both"/>
        <w:rPr>
          <w:rFonts w:ascii="Gadugi" w:hAnsi="Gadugi" w:cs="Century Gothic"/>
          <w:b/>
          <w:bCs/>
          <w:sz w:val="24"/>
          <w:szCs w:val="24"/>
        </w:rPr>
      </w:pPr>
    </w:p>
    <w:p w14:paraId="2095930C" w14:textId="77777777" w:rsidR="002B141D" w:rsidRPr="00D86621" w:rsidRDefault="002B141D" w:rsidP="00D86621">
      <w:pPr>
        <w:spacing w:line="276" w:lineRule="auto"/>
        <w:ind w:firstLine="2835"/>
        <w:jc w:val="both"/>
        <w:rPr>
          <w:rFonts w:ascii="Gadugi" w:hAnsi="Gadugi" w:cs="Century Gothic"/>
          <w:b/>
          <w:bCs/>
          <w:sz w:val="24"/>
          <w:szCs w:val="24"/>
        </w:rPr>
      </w:pPr>
      <w:r w:rsidRPr="00D86621">
        <w:rPr>
          <w:rFonts w:ascii="Gadugi" w:hAnsi="Gadugi" w:cs="Century Gothic"/>
          <w:b/>
          <w:bCs/>
          <w:sz w:val="24"/>
          <w:szCs w:val="24"/>
        </w:rPr>
        <w:t>JAIME ALBERTO SARAZA NARANJO</w:t>
      </w:r>
    </w:p>
    <w:p w14:paraId="2DC16E20" w14:textId="77777777" w:rsidR="00D86621" w:rsidRDefault="00D86621" w:rsidP="00D86621">
      <w:pPr>
        <w:spacing w:line="276" w:lineRule="auto"/>
        <w:ind w:right="-374" w:firstLine="2835"/>
        <w:jc w:val="both"/>
        <w:rPr>
          <w:rFonts w:ascii="Gadugi" w:hAnsi="Gadugi" w:cs="Century Gothic"/>
          <w:b/>
          <w:bCs/>
          <w:sz w:val="24"/>
          <w:szCs w:val="24"/>
        </w:rPr>
      </w:pPr>
    </w:p>
    <w:p w14:paraId="5915B8B1" w14:textId="77777777" w:rsidR="00D86621" w:rsidRDefault="00D86621" w:rsidP="00D86621">
      <w:pPr>
        <w:spacing w:line="276" w:lineRule="auto"/>
        <w:ind w:right="-374" w:firstLine="2835"/>
        <w:jc w:val="both"/>
        <w:rPr>
          <w:rFonts w:ascii="Gadugi" w:hAnsi="Gadugi" w:cs="Century Gothic"/>
          <w:b/>
          <w:bCs/>
          <w:sz w:val="24"/>
          <w:szCs w:val="24"/>
        </w:rPr>
      </w:pPr>
    </w:p>
    <w:p w14:paraId="289079DE" w14:textId="3EEC3C01" w:rsidR="00205ABE" w:rsidRPr="00D86621" w:rsidRDefault="776A3A9E" w:rsidP="00D86621">
      <w:pPr>
        <w:spacing w:line="276" w:lineRule="auto"/>
        <w:ind w:right="-374" w:firstLine="2835"/>
        <w:jc w:val="both"/>
        <w:rPr>
          <w:rFonts w:ascii="Gadugi" w:hAnsi="Gadugi" w:cs="Century Gothic"/>
          <w:b/>
          <w:bCs/>
          <w:sz w:val="24"/>
          <w:szCs w:val="24"/>
        </w:rPr>
      </w:pPr>
      <w:r w:rsidRPr="00D86621">
        <w:rPr>
          <w:rFonts w:ascii="Gadugi" w:hAnsi="Gadugi" w:cs="Century Gothic"/>
          <w:b/>
          <w:bCs/>
          <w:sz w:val="24"/>
          <w:szCs w:val="24"/>
        </w:rPr>
        <w:t>CA</w:t>
      </w:r>
      <w:r w:rsidR="3FA34B9D" w:rsidRPr="00D86621">
        <w:rPr>
          <w:rFonts w:ascii="Gadugi" w:hAnsi="Gadugi" w:cs="Century Gothic"/>
          <w:b/>
          <w:bCs/>
          <w:sz w:val="24"/>
          <w:szCs w:val="24"/>
        </w:rPr>
        <w:t>RLOS MAURICIO GARCÍA BARAJAS</w:t>
      </w:r>
    </w:p>
    <w:p w14:paraId="5AB81878" w14:textId="77777777" w:rsidR="00D86621" w:rsidRDefault="00D86621" w:rsidP="00D86621">
      <w:pPr>
        <w:spacing w:line="276" w:lineRule="auto"/>
        <w:ind w:left="708" w:right="-374" w:firstLine="2127"/>
        <w:jc w:val="both"/>
        <w:rPr>
          <w:rFonts w:ascii="Gadugi" w:hAnsi="Gadugi" w:cs="Century Gothic"/>
          <w:b/>
          <w:bCs/>
          <w:sz w:val="24"/>
          <w:szCs w:val="24"/>
        </w:rPr>
      </w:pPr>
    </w:p>
    <w:p w14:paraId="15822961" w14:textId="77777777" w:rsidR="00D86621" w:rsidRDefault="00D86621" w:rsidP="00D86621">
      <w:pPr>
        <w:spacing w:line="276" w:lineRule="auto"/>
        <w:ind w:left="708" w:right="-374" w:firstLine="2127"/>
        <w:jc w:val="both"/>
        <w:rPr>
          <w:rFonts w:ascii="Gadugi" w:hAnsi="Gadugi" w:cs="Century Gothic"/>
          <w:b/>
          <w:bCs/>
          <w:sz w:val="24"/>
          <w:szCs w:val="24"/>
        </w:rPr>
      </w:pPr>
    </w:p>
    <w:p w14:paraId="6A1596F5" w14:textId="4BC51B8D" w:rsidR="00416259" w:rsidRPr="00D86621" w:rsidRDefault="3FA34B9D" w:rsidP="00D86621">
      <w:pPr>
        <w:spacing w:line="276" w:lineRule="auto"/>
        <w:ind w:left="708" w:right="-374" w:firstLine="2127"/>
        <w:jc w:val="both"/>
        <w:rPr>
          <w:rFonts w:ascii="Gadugi" w:hAnsi="Gadugi" w:cs="Century Gothic"/>
          <w:b/>
          <w:bCs/>
          <w:sz w:val="24"/>
          <w:szCs w:val="24"/>
        </w:rPr>
      </w:pPr>
      <w:r w:rsidRPr="00D86621">
        <w:rPr>
          <w:rFonts w:ascii="Gadugi" w:hAnsi="Gadugi" w:cs="Century Gothic"/>
          <w:b/>
          <w:bCs/>
          <w:sz w:val="24"/>
          <w:szCs w:val="24"/>
        </w:rPr>
        <w:t>DUBERNEY GRISALES HERRERA</w:t>
      </w:r>
    </w:p>
    <w:sectPr w:rsidR="00416259" w:rsidRPr="00D86621" w:rsidSect="00D86621">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657BDE" w16cex:dateUtc="2022-05-25T18:59:12.608Z"/>
  <w16cex:commentExtensible w16cex:durableId="06380EC8" w16cex:dateUtc="2022-05-25T19:11:39.289Z"/>
  <w16cex:commentExtensible w16cex:durableId="525648F7" w16cex:dateUtc="2022-05-25T19:13:19.826Z"/>
  <w16cex:commentExtensible w16cex:durableId="701BE353" w16cex:dateUtc="2022-06-14T18:17:09.234Z"/>
  <w16cex:commentExtensible w16cex:durableId="3F9AC0D4" w16cex:dateUtc="2022-06-14T19:18:47.014Z"/>
  <w16cex:commentExtensible w16cex:durableId="7D7793EB" w16cex:dateUtc="2022-06-14T20:04:16.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3A80" w14:textId="77777777" w:rsidR="00436057" w:rsidRDefault="00436057" w:rsidP="00CD73E5">
      <w:r>
        <w:separator/>
      </w:r>
    </w:p>
  </w:endnote>
  <w:endnote w:type="continuationSeparator" w:id="0">
    <w:p w14:paraId="44FA1A5F" w14:textId="77777777" w:rsidR="00436057" w:rsidRDefault="00436057"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1A3F" w14:textId="70C8A443" w:rsidR="00B6585B" w:rsidRPr="00D86621" w:rsidRDefault="00B6585B">
    <w:pPr>
      <w:pStyle w:val="Piedepgina"/>
      <w:framePr w:wrap="auto" w:vAnchor="text" w:hAnchor="margin" w:xAlign="right" w:y="1"/>
      <w:rPr>
        <w:rStyle w:val="Nmerodepgina"/>
        <w:rFonts w:ascii="Agency FB" w:hAnsi="Agency FB"/>
      </w:rPr>
    </w:pPr>
    <w:r w:rsidRPr="00D86621">
      <w:rPr>
        <w:rStyle w:val="Nmerodepgina"/>
        <w:rFonts w:ascii="Agency FB" w:hAnsi="Agency FB"/>
      </w:rPr>
      <w:fldChar w:fldCharType="begin"/>
    </w:r>
    <w:r w:rsidRPr="00D86621">
      <w:rPr>
        <w:rStyle w:val="Nmerodepgina"/>
        <w:rFonts w:ascii="Agency FB" w:hAnsi="Agency FB"/>
      </w:rPr>
      <w:instrText xml:space="preserve">PAGE  </w:instrText>
    </w:r>
    <w:r w:rsidRPr="00D86621">
      <w:rPr>
        <w:rStyle w:val="Nmerodepgina"/>
        <w:rFonts w:ascii="Agency FB" w:hAnsi="Agency FB"/>
      </w:rPr>
      <w:fldChar w:fldCharType="separate"/>
    </w:r>
    <w:r w:rsidRPr="00D86621">
      <w:rPr>
        <w:rStyle w:val="Nmerodepgina"/>
        <w:rFonts w:ascii="Agency FB" w:hAnsi="Agency FB"/>
        <w:noProof/>
      </w:rPr>
      <w:t>10</w:t>
    </w:r>
    <w:r w:rsidRPr="00D86621">
      <w:rPr>
        <w:rStyle w:val="Nmerodepgina"/>
        <w:rFonts w:ascii="Agency FB" w:hAnsi="Agency FB"/>
      </w:rPr>
      <w:fldChar w:fldCharType="end"/>
    </w:r>
  </w:p>
  <w:p w14:paraId="39499B75" w14:textId="77777777" w:rsidR="00B6585B" w:rsidRDefault="00B6585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FA7BD" w14:textId="77777777" w:rsidR="00436057" w:rsidRDefault="00436057" w:rsidP="00CD73E5">
      <w:r>
        <w:separator/>
      </w:r>
    </w:p>
  </w:footnote>
  <w:footnote w:type="continuationSeparator" w:id="0">
    <w:p w14:paraId="383FBDD5" w14:textId="77777777" w:rsidR="00436057" w:rsidRDefault="00436057" w:rsidP="00CD73E5">
      <w:r>
        <w:continuationSeparator/>
      </w:r>
    </w:p>
  </w:footnote>
  <w:footnote w:id="1">
    <w:p w14:paraId="50DB08A1" w14:textId="4B975F66" w:rsidR="00CE69E6" w:rsidRPr="00D86621" w:rsidRDefault="00CE69E6"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w:t>
      </w:r>
      <w:r w:rsidRPr="00D86621">
        <w:rPr>
          <w:rFonts w:ascii="Bahnschrift Light Condensed" w:hAnsi="Bahnschrift Light Condensed"/>
          <w:szCs w:val="24"/>
          <w:lang w:val="es-CO"/>
        </w:rPr>
        <w:t>Documento 01., C. 1.</w:t>
      </w:r>
    </w:p>
  </w:footnote>
  <w:footnote w:id="2">
    <w:p w14:paraId="503B983F" w14:textId="34A3DE8D" w:rsidR="00CE69E6" w:rsidRPr="00D86621" w:rsidRDefault="00CE69E6"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w:t>
      </w:r>
      <w:r w:rsidRPr="00D86621">
        <w:rPr>
          <w:rFonts w:ascii="Bahnschrift Light Condensed" w:hAnsi="Bahnschrift Light Condensed"/>
          <w:szCs w:val="24"/>
          <w:lang w:val="es-CO"/>
        </w:rPr>
        <w:t>Documento 07., C. 1.</w:t>
      </w:r>
    </w:p>
  </w:footnote>
  <w:footnote w:id="3">
    <w:p w14:paraId="7124EC68" w14:textId="0E65E63D" w:rsidR="00CE69E6" w:rsidRPr="00D86621" w:rsidRDefault="00CE69E6"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w:t>
      </w:r>
      <w:r w:rsidRPr="00D86621">
        <w:rPr>
          <w:rFonts w:ascii="Bahnschrift Light Condensed" w:hAnsi="Bahnschrift Light Condensed"/>
          <w:szCs w:val="24"/>
          <w:lang w:val="es-CO"/>
        </w:rPr>
        <w:t>Documento 09., C. 1.</w:t>
      </w:r>
    </w:p>
  </w:footnote>
  <w:footnote w:id="4">
    <w:p w14:paraId="190EA0D7" w14:textId="151DA9FE" w:rsidR="00CE69E6" w:rsidRPr="00D86621" w:rsidRDefault="00CE69E6"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w:t>
      </w:r>
      <w:r w:rsidRPr="00D86621">
        <w:rPr>
          <w:rFonts w:ascii="Bahnschrift Light Condensed" w:hAnsi="Bahnschrift Light Condensed"/>
          <w:szCs w:val="24"/>
          <w:lang w:val="es-CO"/>
        </w:rPr>
        <w:t>Documento 13., C. 1.</w:t>
      </w:r>
    </w:p>
  </w:footnote>
  <w:footnote w:id="5">
    <w:p w14:paraId="1A94B1A5" w14:textId="4B2B299B" w:rsidR="00CE69E6" w:rsidRPr="00D86621" w:rsidRDefault="00CE69E6"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w:t>
      </w:r>
      <w:r w:rsidRPr="00D86621">
        <w:rPr>
          <w:rFonts w:ascii="Bahnschrift Light Condensed" w:hAnsi="Bahnschrift Light Condensed"/>
          <w:szCs w:val="24"/>
          <w:lang w:val="es-CO"/>
        </w:rPr>
        <w:t>Documento 15., C. 1.</w:t>
      </w:r>
    </w:p>
  </w:footnote>
  <w:footnote w:id="6">
    <w:p w14:paraId="4B8A55C3" w14:textId="59D691A2" w:rsidR="00CE69E6" w:rsidRPr="00D86621" w:rsidRDefault="00CE69E6"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w:t>
      </w:r>
      <w:r w:rsidR="00496418" w:rsidRPr="00D86621">
        <w:rPr>
          <w:rFonts w:ascii="Bahnschrift Light Condensed" w:hAnsi="Bahnschrift Light Condensed"/>
          <w:szCs w:val="24"/>
          <w:lang w:val="es-CO"/>
        </w:rPr>
        <w:t>Documento 16., C. 1.</w:t>
      </w:r>
    </w:p>
  </w:footnote>
  <w:footnote w:id="7">
    <w:p w14:paraId="18AE0AF7" w14:textId="77777777" w:rsidR="00B6585B" w:rsidRPr="00D86621" w:rsidRDefault="00B6585B" w:rsidP="00D86621">
      <w:pPr>
        <w:pStyle w:val="Textonotapie"/>
        <w:tabs>
          <w:tab w:val="left" w:pos="426"/>
        </w:tabs>
        <w:jc w:val="both"/>
        <w:rPr>
          <w:rFonts w:ascii="Bahnschrift Light Condensed" w:hAnsi="Bahnschrift Light Condensed" w:cstheme="majorHAnsi"/>
          <w:szCs w:val="24"/>
          <w:lang w:val="es-CO"/>
        </w:rPr>
      </w:pPr>
      <w:r w:rsidRPr="00D86621">
        <w:rPr>
          <w:rStyle w:val="Refdenotaalpie"/>
          <w:rFonts w:ascii="Bahnschrift Light Condensed" w:hAnsi="Bahnschrift Light Condensed" w:cstheme="majorHAnsi"/>
          <w:szCs w:val="24"/>
        </w:rPr>
        <w:footnoteRef/>
      </w:r>
      <w:r w:rsidRPr="00D86621">
        <w:rPr>
          <w:rFonts w:ascii="Bahnschrift Light Condensed" w:hAnsi="Bahnschrift Light Condensed" w:cstheme="majorHAnsi"/>
          <w:szCs w:val="24"/>
          <w:vertAlign w:val="superscript"/>
        </w:rPr>
        <w:t xml:space="preserve"> </w:t>
      </w:r>
      <w:r w:rsidRPr="00D86621">
        <w:rPr>
          <w:rFonts w:ascii="Bahnschrift Light Condensed" w:hAnsi="Bahnschrift Light Condensed" w:cstheme="majorHAnsi"/>
          <w:szCs w:val="24"/>
        </w:rPr>
        <w:t>Sentencia C-543-92</w:t>
      </w:r>
    </w:p>
  </w:footnote>
  <w:footnote w:id="8">
    <w:p w14:paraId="20106120" w14:textId="15A3A57B" w:rsidR="00496418" w:rsidRPr="00D86621" w:rsidRDefault="00496418"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w:t>
      </w:r>
      <w:r w:rsidRPr="00D86621">
        <w:rPr>
          <w:rFonts w:ascii="Bahnschrift Light Condensed" w:hAnsi="Bahnschrift Light Condensed"/>
          <w:szCs w:val="24"/>
          <w:lang w:val="es-CO"/>
        </w:rPr>
        <w:t>Documento 02., C. 1.</w:t>
      </w:r>
    </w:p>
  </w:footnote>
  <w:footnote w:id="9">
    <w:p w14:paraId="7D4602DE" w14:textId="611214C5" w:rsidR="00496418" w:rsidRPr="00D86621" w:rsidRDefault="00496418"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w:t>
      </w:r>
      <w:r w:rsidRPr="00D86621">
        <w:rPr>
          <w:rFonts w:ascii="Bahnschrift Light Condensed" w:hAnsi="Bahnschrift Light Condensed"/>
          <w:szCs w:val="24"/>
          <w:lang w:val="es-CO"/>
        </w:rPr>
        <w:t xml:space="preserve">Documento 24., expediente proceso ejecutivo. </w:t>
      </w:r>
    </w:p>
  </w:footnote>
  <w:footnote w:id="10">
    <w:p w14:paraId="43384465" w14:textId="12DF6A9C" w:rsidR="00496418" w:rsidRPr="00D86621" w:rsidRDefault="00496418"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w:t>
      </w:r>
      <w:r w:rsidRPr="00D86621">
        <w:rPr>
          <w:rFonts w:ascii="Bahnschrift Light Condensed" w:hAnsi="Bahnschrift Light Condensed"/>
          <w:szCs w:val="24"/>
          <w:lang w:val="es-CO"/>
        </w:rPr>
        <w:t>Documento 05., C. 1. (constancia secretarial)</w:t>
      </w:r>
    </w:p>
  </w:footnote>
  <w:footnote w:id="11">
    <w:p w14:paraId="0757D584" w14:textId="3A3B4176" w:rsidR="0090384B" w:rsidRPr="00D86621" w:rsidRDefault="0090384B"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w:t>
      </w:r>
      <w:r w:rsidR="00776941" w:rsidRPr="00D86621">
        <w:rPr>
          <w:rFonts w:ascii="Bahnschrift Light Condensed" w:hAnsi="Bahnschrift Light Condensed"/>
          <w:szCs w:val="24"/>
        </w:rPr>
        <w:t xml:space="preserve">Cuando el término sea de meses o de años, su vencimiento tendrá lugar el mismo día que empezó a correr del correspondiente mes o año. Si este no tiene ese día, el término vencerá el último día del respectivo mes o año. </w:t>
      </w:r>
      <w:r w:rsidR="00776941" w:rsidRPr="00D86621">
        <w:rPr>
          <w:rFonts w:ascii="Bahnschrift Light Condensed" w:hAnsi="Bahnschrift Light Condensed"/>
          <w:szCs w:val="24"/>
          <w:u w:val="single"/>
        </w:rPr>
        <w:t>Si su vencimiento ocurre en día inhábil se extenderá hasta el primer día hábil siguiente</w:t>
      </w:r>
      <w:r w:rsidR="00776941" w:rsidRPr="00D86621">
        <w:rPr>
          <w:rFonts w:ascii="Bahnschrift Light Condensed" w:hAnsi="Bahnschrift Light Condensed"/>
          <w:szCs w:val="24"/>
        </w:rPr>
        <w:t>.</w:t>
      </w:r>
    </w:p>
  </w:footnote>
  <w:footnote w:id="12">
    <w:p w14:paraId="1364C86D" w14:textId="77777777" w:rsidR="00B6585B" w:rsidRPr="00D86621" w:rsidRDefault="00B6585B" w:rsidP="00D86621">
      <w:pPr>
        <w:pStyle w:val="Textonotapie"/>
        <w:jc w:val="both"/>
        <w:rPr>
          <w:rFonts w:ascii="Bahnschrift Light Condensed" w:hAnsi="Bahnschrift Light Condensed" w:cstheme="majorHAnsi"/>
          <w:szCs w:val="24"/>
          <w:lang w:val="es-CO"/>
        </w:rPr>
      </w:pPr>
      <w:r w:rsidRPr="00D86621">
        <w:rPr>
          <w:rStyle w:val="Refdenotaalpie"/>
          <w:rFonts w:ascii="Bahnschrift Light Condensed" w:hAnsi="Bahnschrift Light Condensed" w:cstheme="majorHAnsi"/>
          <w:szCs w:val="24"/>
        </w:rPr>
        <w:footnoteRef/>
      </w:r>
      <w:r w:rsidRPr="00D86621">
        <w:rPr>
          <w:rFonts w:ascii="Bahnschrift Light Condensed" w:hAnsi="Bahnschrift Light Condensed" w:cstheme="majorHAnsi"/>
          <w:szCs w:val="24"/>
        </w:rPr>
        <w:t xml:space="preserve"> Sentencia SU-072/18</w:t>
      </w:r>
    </w:p>
  </w:footnote>
  <w:footnote w:id="13">
    <w:p w14:paraId="1C69B246" w14:textId="77777777" w:rsidR="00B6585B" w:rsidRPr="00D86621" w:rsidRDefault="00B6585B" w:rsidP="00D86621">
      <w:pPr>
        <w:pStyle w:val="Textonotapie"/>
        <w:jc w:val="both"/>
        <w:rPr>
          <w:rFonts w:ascii="Bahnschrift Light Condensed" w:hAnsi="Bahnschrift Light Condensed" w:cstheme="majorHAnsi"/>
          <w:szCs w:val="24"/>
          <w:lang w:val="es-CO"/>
        </w:rPr>
      </w:pPr>
      <w:r w:rsidRPr="00D86621">
        <w:rPr>
          <w:rStyle w:val="Refdenotaalpie"/>
          <w:rFonts w:ascii="Bahnschrift Light Condensed" w:hAnsi="Bahnschrift Light Condensed" w:cstheme="majorHAnsi"/>
          <w:szCs w:val="24"/>
        </w:rPr>
        <w:footnoteRef/>
      </w:r>
      <w:r w:rsidRPr="00D86621">
        <w:rPr>
          <w:rFonts w:ascii="Bahnschrift Light Condensed" w:hAnsi="Bahnschrift Light Condensed" w:cstheme="majorHAnsi"/>
          <w:szCs w:val="24"/>
        </w:rPr>
        <w:t xml:space="preserve"> SU-632 de 2017 basándose en las SU-195 de 2012, T-143 de 2011, T-456 de 2010 y T-567 de 1998.</w:t>
      </w:r>
    </w:p>
  </w:footnote>
  <w:footnote w:id="14">
    <w:p w14:paraId="1DE8F582" w14:textId="77777777" w:rsidR="00B6585B" w:rsidRPr="00D86621" w:rsidRDefault="00B6585B" w:rsidP="00D86621">
      <w:pPr>
        <w:pStyle w:val="Textonotapie"/>
        <w:jc w:val="both"/>
        <w:rPr>
          <w:rFonts w:ascii="Bahnschrift Light Condensed" w:hAnsi="Bahnschrift Light Condensed" w:cstheme="majorHAnsi"/>
          <w:szCs w:val="24"/>
          <w:lang w:val="es-CO"/>
        </w:rPr>
      </w:pPr>
      <w:r w:rsidRPr="00D86621">
        <w:rPr>
          <w:rStyle w:val="Refdenotaalpie"/>
          <w:rFonts w:ascii="Bahnschrift Light Condensed" w:hAnsi="Bahnschrift Light Condensed" w:cstheme="majorHAnsi"/>
          <w:szCs w:val="24"/>
        </w:rPr>
        <w:footnoteRef/>
      </w:r>
      <w:r w:rsidRPr="00D86621">
        <w:rPr>
          <w:rFonts w:ascii="Bahnschrift Light Condensed" w:hAnsi="Bahnschrift Light Condensed" w:cstheme="majorHAnsi"/>
          <w:szCs w:val="24"/>
        </w:rPr>
        <w:t xml:space="preserve"> Sentencia T-456 de 2010. Recapitulada en la SU-632 de 2017.</w:t>
      </w:r>
    </w:p>
  </w:footnote>
  <w:footnote w:id="15">
    <w:p w14:paraId="0D1F3A0C" w14:textId="77777777" w:rsidR="00B6585B" w:rsidRPr="00D86621" w:rsidRDefault="00B6585B" w:rsidP="00D86621">
      <w:pPr>
        <w:pStyle w:val="Textonotapie"/>
        <w:jc w:val="both"/>
        <w:rPr>
          <w:rFonts w:ascii="Bahnschrift Light Condensed" w:hAnsi="Bahnschrift Light Condensed" w:cstheme="majorHAnsi"/>
          <w:szCs w:val="24"/>
          <w:lang w:val="es-CO"/>
        </w:rPr>
      </w:pPr>
      <w:r w:rsidRPr="00D86621">
        <w:rPr>
          <w:rStyle w:val="Refdenotaalpie"/>
          <w:rFonts w:ascii="Bahnschrift Light Condensed" w:hAnsi="Bahnschrift Light Condensed" w:cstheme="majorHAnsi"/>
          <w:szCs w:val="24"/>
        </w:rPr>
        <w:footnoteRef/>
      </w:r>
      <w:r w:rsidRPr="00D86621">
        <w:rPr>
          <w:rFonts w:ascii="Bahnschrift Light Condensed" w:hAnsi="Bahnschrift Light Condensed" w:cstheme="majorHAnsi"/>
          <w:szCs w:val="24"/>
        </w:rPr>
        <w:t xml:space="preserve"> Sentencia T-311 de 2009. Recapitulada en la SU-632 de 2017.</w:t>
      </w:r>
    </w:p>
  </w:footnote>
  <w:footnote w:id="16">
    <w:p w14:paraId="2E4199E7" w14:textId="72CD092F" w:rsidR="00496418" w:rsidRPr="00D86621" w:rsidRDefault="00496418"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5DAAF3D5" w:rsidRPr="00D86621">
        <w:rPr>
          <w:rFonts w:ascii="Bahnschrift Light Condensed" w:hAnsi="Bahnschrift Light Condensed"/>
          <w:szCs w:val="24"/>
        </w:rPr>
        <w:t xml:space="preserve"> Min. 00:52:29 a 1:16:28, </w:t>
      </w:r>
      <w:r w:rsidR="003B7EA3" w:rsidRPr="00D86621">
        <w:rPr>
          <w:rFonts w:ascii="Bahnschrift Light Condensed" w:hAnsi="Bahnschrift Light Condensed"/>
          <w:szCs w:val="24"/>
        </w:rPr>
        <w:t>Audiencia</w:t>
      </w:r>
      <w:r w:rsidR="5DAAF3D5" w:rsidRPr="00D86621">
        <w:rPr>
          <w:rFonts w:ascii="Bahnschrift Light Condensed" w:hAnsi="Bahnschrift Light Condensed"/>
          <w:szCs w:val="24"/>
        </w:rPr>
        <w:t xml:space="preserve"> - Documento 05., C. 2. </w:t>
      </w:r>
    </w:p>
  </w:footnote>
  <w:footnote w:id="17">
    <w:p w14:paraId="6E8F3D91" w14:textId="6E5E3CE6" w:rsidR="006E58AF" w:rsidRPr="00D86621" w:rsidRDefault="006E58AF"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Pág. 5., Documento 01., expediente ejecutivo. </w:t>
      </w:r>
    </w:p>
  </w:footnote>
  <w:footnote w:id="18">
    <w:p w14:paraId="037B30C0" w14:textId="0ECC2B62" w:rsidR="006E58AF" w:rsidRPr="00D86621" w:rsidRDefault="006E58AF"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Documento 17., expediente ejecutivo. </w:t>
      </w:r>
    </w:p>
  </w:footnote>
  <w:footnote w:id="19">
    <w:p w14:paraId="771A2465" w14:textId="5897D5F4" w:rsidR="006E58AF" w:rsidRPr="00D86621" w:rsidRDefault="006E58AF"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w:t>
      </w:r>
      <w:r w:rsidRPr="00D86621">
        <w:rPr>
          <w:rFonts w:ascii="Bahnschrift Light Condensed" w:hAnsi="Bahnschrift Light Condensed"/>
          <w:szCs w:val="24"/>
          <w:lang w:val="es-CO"/>
        </w:rPr>
        <w:t xml:space="preserve">Pág. 18, </w:t>
      </w:r>
      <w:r w:rsidRPr="00D86621">
        <w:rPr>
          <w:rFonts w:ascii="Bahnschrift Light Condensed" w:hAnsi="Bahnschrift Light Condensed"/>
          <w:szCs w:val="24"/>
        </w:rPr>
        <w:t xml:space="preserve">Documento 13., expediente ejecutivo (se ve más clara </w:t>
      </w:r>
      <w:r w:rsidR="004316F4" w:rsidRPr="00D86621">
        <w:rPr>
          <w:rFonts w:ascii="Bahnschrift Light Condensed" w:hAnsi="Bahnschrift Light Condensed"/>
          <w:szCs w:val="24"/>
        </w:rPr>
        <w:t>en la pág. 39, Documento 04, de la acción de tutela)</w:t>
      </w:r>
    </w:p>
  </w:footnote>
  <w:footnote w:id="20">
    <w:p w14:paraId="675C7BCA" w14:textId="50A5DCC6" w:rsidR="004316F4" w:rsidRPr="00D86621" w:rsidRDefault="004316F4"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w:t>
      </w:r>
      <w:r w:rsidRPr="00D86621">
        <w:rPr>
          <w:rFonts w:ascii="Bahnschrift Light Condensed" w:hAnsi="Bahnschrift Light Condensed"/>
          <w:szCs w:val="24"/>
          <w:lang w:val="es-CO"/>
        </w:rPr>
        <w:t xml:space="preserve">Pág. 43 y 47, Documento 04. </w:t>
      </w:r>
    </w:p>
  </w:footnote>
  <w:footnote w:id="21">
    <w:p w14:paraId="634CFF3D" w14:textId="77777777" w:rsidR="00B6585B" w:rsidRPr="00D86621" w:rsidRDefault="00B6585B"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STC13599-2018 M.P. Luis Armando Tolosa Villabona.</w:t>
      </w:r>
    </w:p>
  </w:footnote>
  <w:footnote w:id="22">
    <w:p w14:paraId="0A32D997" w14:textId="09B2245A" w:rsidR="00D362C4" w:rsidRPr="00D86621" w:rsidRDefault="00D362C4" w:rsidP="00D86621">
      <w:pPr>
        <w:pStyle w:val="Textonotapie"/>
        <w:jc w:val="both"/>
        <w:rPr>
          <w:rFonts w:ascii="Bahnschrift Light Condensed" w:hAnsi="Bahnschrift Light Condensed"/>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Min. 01:11:57 a 1:12:58, Anuencia - Documento 05., C. 2.</w:t>
      </w:r>
    </w:p>
  </w:footnote>
  <w:footnote w:id="23">
    <w:p w14:paraId="72E8086E" w14:textId="763A353D" w:rsidR="00CE69E6" w:rsidRPr="0090384B" w:rsidRDefault="00CE69E6" w:rsidP="00D86621">
      <w:pPr>
        <w:pStyle w:val="Textonotapie"/>
        <w:jc w:val="both"/>
        <w:rPr>
          <w:rFonts w:ascii="Bahnschrift Light Condensed" w:hAnsi="Bahnschrift Light Condensed"/>
          <w:sz w:val="24"/>
          <w:szCs w:val="24"/>
          <w:lang w:val="es-CO"/>
        </w:rPr>
      </w:pPr>
      <w:r w:rsidRPr="00D86621">
        <w:rPr>
          <w:rStyle w:val="Refdenotaalpie"/>
          <w:rFonts w:ascii="Bahnschrift Light Condensed" w:hAnsi="Bahnschrift Light Condensed"/>
          <w:szCs w:val="24"/>
        </w:rPr>
        <w:footnoteRef/>
      </w:r>
      <w:r w:rsidRPr="00D86621">
        <w:rPr>
          <w:rFonts w:ascii="Bahnschrift Light Condensed" w:hAnsi="Bahnschrift Light Condensed"/>
          <w:szCs w:val="24"/>
        </w:rPr>
        <w:t xml:space="preserve"> Sobre el defecto procedimental por falta de defensa técnica - Sentencia T-309/13.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36D" w14:textId="77777777" w:rsidR="00B6585B" w:rsidRDefault="00B6585B"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01DB1"/>
    <w:multiLevelType w:val="hybridMultilevel"/>
    <w:tmpl w:val="6C00CE54"/>
    <w:lvl w:ilvl="0" w:tplc="BE3442F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003149F"/>
    <w:multiLevelType w:val="hybridMultilevel"/>
    <w:tmpl w:val="EBDC0786"/>
    <w:lvl w:ilvl="0" w:tplc="E0386EC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15:restartNumberingAfterBreak="0">
    <w:nsid w:val="69133DDD"/>
    <w:multiLevelType w:val="hybridMultilevel"/>
    <w:tmpl w:val="01542EC2"/>
    <w:lvl w:ilvl="0" w:tplc="653AC25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419"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0F34"/>
    <w:rsid w:val="00013A8B"/>
    <w:rsid w:val="00023EB7"/>
    <w:rsid w:val="00025DE3"/>
    <w:rsid w:val="00031AE1"/>
    <w:rsid w:val="00032C87"/>
    <w:rsid w:val="00036916"/>
    <w:rsid w:val="00036DEF"/>
    <w:rsid w:val="00042088"/>
    <w:rsid w:val="00042810"/>
    <w:rsid w:val="00042E46"/>
    <w:rsid w:val="00044F41"/>
    <w:rsid w:val="00046077"/>
    <w:rsid w:val="000561F5"/>
    <w:rsid w:val="00057B30"/>
    <w:rsid w:val="00057FEF"/>
    <w:rsid w:val="0006073D"/>
    <w:rsid w:val="000649B3"/>
    <w:rsid w:val="00064D81"/>
    <w:rsid w:val="00072FD4"/>
    <w:rsid w:val="00075935"/>
    <w:rsid w:val="00082447"/>
    <w:rsid w:val="00083C12"/>
    <w:rsid w:val="00084A35"/>
    <w:rsid w:val="000868CA"/>
    <w:rsid w:val="0008760C"/>
    <w:rsid w:val="000909EC"/>
    <w:rsid w:val="0009125F"/>
    <w:rsid w:val="00091629"/>
    <w:rsid w:val="00094111"/>
    <w:rsid w:val="00094A61"/>
    <w:rsid w:val="00095C04"/>
    <w:rsid w:val="000973E6"/>
    <w:rsid w:val="000A14CD"/>
    <w:rsid w:val="000A451B"/>
    <w:rsid w:val="000A5254"/>
    <w:rsid w:val="000A7920"/>
    <w:rsid w:val="000B12AA"/>
    <w:rsid w:val="000B346F"/>
    <w:rsid w:val="000B4BDC"/>
    <w:rsid w:val="000C44EF"/>
    <w:rsid w:val="000C48EF"/>
    <w:rsid w:val="000D7583"/>
    <w:rsid w:val="000E00D1"/>
    <w:rsid w:val="000E3800"/>
    <w:rsid w:val="000E4C05"/>
    <w:rsid w:val="000E4D5F"/>
    <w:rsid w:val="000F189F"/>
    <w:rsid w:val="000F2188"/>
    <w:rsid w:val="000F443B"/>
    <w:rsid w:val="000F67BE"/>
    <w:rsid w:val="00101747"/>
    <w:rsid w:val="00102CDF"/>
    <w:rsid w:val="0010676D"/>
    <w:rsid w:val="00106AA4"/>
    <w:rsid w:val="001078C7"/>
    <w:rsid w:val="00107C1F"/>
    <w:rsid w:val="001101C9"/>
    <w:rsid w:val="00123442"/>
    <w:rsid w:val="001247B9"/>
    <w:rsid w:val="00124BAD"/>
    <w:rsid w:val="00127C1F"/>
    <w:rsid w:val="001313B3"/>
    <w:rsid w:val="001355B9"/>
    <w:rsid w:val="0013682D"/>
    <w:rsid w:val="00137D12"/>
    <w:rsid w:val="00140756"/>
    <w:rsid w:val="00144607"/>
    <w:rsid w:val="00146C88"/>
    <w:rsid w:val="00154319"/>
    <w:rsid w:val="001547A5"/>
    <w:rsid w:val="00154BFB"/>
    <w:rsid w:val="00161C88"/>
    <w:rsid w:val="0017328F"/>
    <w:rsid w:val="0017505B"/>
    <w:rsid w:val="00176968"/>
    <w:rsid w:val="0018035F"/>
    <w:rsid w:val="001827E0"/>
    <w:rsid w:val="00187887"/>
    <w:rsid w:val="00190B6D"/>
    <w:rsid w:val="001920FD"/>
    <w:rsid w:val="001924A5"/>
    <w:rsid w:val="00192B43"/>
    <w:rsid w:val="001A1201"/>
    <w:rsid w:val="001A46A3"/>
    <w:rsid w:val="001A5055"/>
    <w:rsid w:val="001A61D8"/>
    <w:rsid w:val="001A6E73"/>
    <w:rsid w:val="001B3C49"/>
    <w:rsid w:val="001B5A80"/>
    <w:rsid w:val="001B682B"/>
    <w:rsid w:val="001C1144"/>
    <w:rsid w:val="001C2703"/>
    <w:rsid w:val="001C2EC0"/>
    <w:rsid w:val="001C401E"/>
    <w:rsid w:val="001C4FAC"/>
    <w:rsid w:val="001C62C3"/>
    <w:rsid w:val="001E0739"/>
    <w:rsid w:val="001E0A0C"/>
    <w:rsid w:val="001E63A6"/>
    <w:rsid w:val="001E74AE"/>
    <w:rsid w:val="001F3466"/>
    <w:rsid w:val="00200310"/>
    <w:rsid w:val="002005E0"/>
    <w:rsid w:val="00201A69"/>
    <w:rsid w:val="00205ABE"/>
    <w:rsid w:val="002110FF"/>
    <w:rsid w:val="00211529"/>
    <w:rsid w:val="00213BBB"/>
    <w:rsid w:val="00220E00"/>
    <w:rsid w:val="00227E21"/>
    <w:rsid w:val="00230E42"/>
    <w:rsid w:val="00232125"/>
    <w:rsid w:val="002327F3"/>
    <w:rsid w:val="00232BF9"/>
    <w:rsid w:val="00236441"/>
    <w:rsid w:val="00240BA3"/>
    <w:rsid w:val="002446B5"/>
    <w:rsid w:val="002452B5"/>
    <w:rsid w:val="00254364"/>
    <w:rsid w:val="00254CA3"/>
    <w:rsid w:val="00254ECB"/>
    <w:rsid w:val="00263654"/>
    <w:rsid w:val="002640CA"/>
    <w:rsid w:val="0026485D"/>
    <w:rsid w:val="00264ECC"/>
    <w:rsid w:val="00267716"/>
    <w:rsid w:val="00271C9E"/>
    <w:rsid w:val="0027217B"/>
    <w:rsid w:val="00272AF7"/>
    <w:rsid w:val="002731F9"/>
    <w:rsid w:val="00274710"/>
    <w:rsid w:val="00274C38"/>
    <w:rsid w:val="00277318"/>
    <w:rsid w:val="00280C0A"/>
    <w:rsid w:val="00281B9C"/>
    <w:rsid w:val="00282189"/>
    <w:rsid w:val="00283F7E"/>
    <w:rsid w:val="00290F75"/>
    <w:rsid w:val="002925AA"/>
    <w:rsid w:val="00294CE2"/>
    <w:rsid w:val="00295489"/>
    <w:rsid w:val="0029673C"/>
    <w:rsid w:val="002967C9"/>
    <w:rsid w:val="002A13BB"/>
    <w:rsid w:val="002A1CAA"/>
    <w:rsid w:val="002A1F1E"/>
    <w:rsid w:val="002A3FE9"/>
    <w:rsid w:val="002A5AFA"/>
    <w:rsid w:val="002A64FA"/>
    <w:rsid w:val="002A668D"/>
    <w:rsid w:val="002A77BA"/>
    <w:rsid w:val="002B141D"/>
    <w:rsid w:val="002B2D36"/>
    <w:rsid w:val="002B49D8"/>
    <w:rsid w:val="002C0735"/>
    <w:rsid w:val="002C458A"/>
    <w:rsid w:val="002C4C8A"/>
    <w:rsid w:val="002C5337"/>
    <w:rsid w:val="002C5B1C"/>
    <w:rsid w:val="002D14C2"/>
    <w:rsid w:val="002D2530"/>
    <w:rsid w:val="002D2DB6"/>
    <w:rsid w:val="002D708D"/>
    <w:rsid w:val="002E0AE1"/>
    <w:rsid w:val="002E0E95"/>
    <w:rsid w:val="002E138B"/>
    <w:rsid w:val="002F273F"/>
    <w:rsid w:val="002F5423"/>
    <w:rsid w:val="002F6B03"/>
    <w:rsid w:val="002F72EB"/>
    <w:rsid w:val="00300E4C"/>
    <w:rsid w:val="0030149B"/>
    <w:rsid w:val="003049BB"/>
    <w:rsid w:val="00311978"/>
    <w:rsid w:val="003127B8"/>
    <w:rsid w:val="00312F26"/>
    <w:rsid w:val="003213A7"/>
    <w:rsid w:val="00322465"/>
    <w:rsid w:val="003254B6"/>
    <w:rsid w:val="003261C7"/>
    <w:rsid w:val="00327AEE"/>
    <w:rsid w:val="00327BAC"/>
    <w:rsid w:val="00340743"/>
    <w:rsid w:val="00340B65"/>
    <w:rsid w:val="0034370E"/>
    <w:rsid w:val="003461C7"/>
    <w:rsid w:val="0034751F"/>
    <w:rsid w:val="003508B8"/>
    <w:rsid w:val="0035091E"/>
    <w:rsid w:val="00350B72"/>
    <w:rsid w:val="00350C07"/>
    <w:rsid w:val="00351342"/>
    <w:rsid w:val="00352EAF"/>
    <w:rsid w:val="003545B5"/>
    <w:rsid w:val="003565EA"/>
    <w:rsid w:val="00356C7F"/>
    <w:rsid w:val="00363BDD"/>
    <w:rsid w:val="00363FC2"/>
    <w:rsid w:val="0036517B"/>
    <w:rsid w:val="00366C33"/>
    <w:rsid w:val="00370924"/>
    <w:rsid w:val="003738B7"/>
    <w:rsid w:val="00373DC4"/>
    <w:rsid w:val="00382321"/>
    <w:rsid w:val="00382605"/>
    <w:rsid w:val="0038716C"/>
    <w:rsid w:val="003871C0"/>
    <w:rsid w:val="003953FF"/>
    <w:rsid w:val="003969EA"/>
    <w:rsid w:val="00397994"/>
    <w:rsid w:val="003A1683"/>
    <w:rsid w:val="003B00E8"/>
    <w:rsid w:val="003B0861"/>
    <w:rsid w:val="003B7519"/>
    <w:rsid w:val="003B7D88"/>
    <w:rsid w:val="003B7EA3"/>
    <w:rsid w:val="003C1AB7"/>
    <w:rsid w:val="003C2840"/>
    <w:rsid w:val="003C351A"/>
    <w:rsid w:val="003C422B"/>
    <w:rsid w:val="003D091D"/>
    <w:rsid w:val="003D13FD"/>
    <w:rsid w:val="003D3C37"/>
    <w:rsid w:val="003D6A44"/>
    <w:rsid w:val="003E256E"/>
    <w:rsid w:val="003E3870"/>
    <w:rsid w:val="003E5B22"/>
    <w:rsid w:val="003E7EB2"/>
    <w:rsid w:val="003F059A"/>
    <w:rsid w:val="003F27B1"/>
    <w:rsid w:val="0040103F"/>
    <w:rsid w:val="00407722"/>
    <w:rsid w:val="00412245"/>
    <w:rsid w:val="00413C30"/>
    <w:rsid w:val="00414BF5"/>
    <w:rsid w:val="00416259"/>
    <w:rsid w:val="00423C01"/>
    <w:rsid w:val="00424BF8"/>
    <w:rsid w:val="00425447"/>
    <w:rsid w:val="004273F8"/>
    <w:rsid w:val="00427560"/>
    <w:rsid w:val="00431634"/>
    <w:rsid w:val="004316F4"/>
    <w:rsid w:val="00433F4E"/>
    <w:rsid w:val="00436057"/>
    <w:rsid w:val="00436A51"/>
    <w:rsid w:val="0045635C"/>
    <w:rsid w:val="0046194B"/>
    <w:rsid w:val="004659D1"/>
    <w:rsid w:val="00467ED1"/>
    <w:rsid w:val="00476416"/>
    <w:rsid w:val="00482A42"/>
    <w:rsid w:val="00482FEF"/>
    <w:rsid w:val="0048348E"/>
    <w:rsid w:val="004837A2"/>
    <w:rsid w:val="004859C1"/>
    <w:rsid w:val="00490FE4"/>
    <w:rsid w:val="00492465"/>
    <w:rsid w:val="00493C21"/>
    <w:rsid w:val="00495EC8"/>
    <w:rsid w:val="00496418"/>
    <w:rsid w:val="00496CF1"/>
    <w:rsid w:val="00497CF6"/>
    <w:rsid w:val="004A351F"/>
    <w:rsid w:val="004A6EA8"/>
    <w:rsid w:val="004A7085"/>
    <w:rsid w:val="004B165A"/>
    <w:rsid w:val="004B4B0E"/>
    <w:rsid w:val="004B7A1A"/>
    <w:rsid w:val="004C75B0"/>
    <w:rsid w:val="004D23DE"/>
    <w:rsid w:val="004D2CD4"/>
    <w:rsid w:val="004E2EB5"/>
    <w:rsid w:val="004E35A9"/>
    <w:rsid w:val="004F15A0"/>
    <w:rsid w:val="004F1998"/>
    <w:rsid w:val="004F7B5F"/>
    <w:rsid w:val="0050283B"/>
    <w:rsid w:val="00504EF7"/>
    <w:rsid w:val="0051464F"/>
    <w:rsid w:val="0051586B"/>
    <w:rsid w:val="00516E14"/>
    <w:rsid w:val="00517172"/>
    <w:rsid w:val="00523370"/>
    <w:rsid w:val="005263EF"/>
    <w:rsid w:val="00526F23"/>
    <w:rsid w:val="00527A58"/>
    <w:rsid w:val="00532C45"/>
    <w:rsid w:val="00534DAC"/>
    <w:rsid w:val="00543CA1"/>
    <w:rsid w:val="00547184"/>
    <w:rsid w:val="00550199"/>
    <w:rsid w:val="00550939"/>
    <w:rsid w:val="0055337E"/>
    <w:rsid w:val="0055477F"/>
    <w:rsid w:val="005547B1"/>
    <w:rsid w:val="00556759"/>
    <w:rsid w:val="00561211"/>
    <w:rsid w:val="00567061"/>
    <w:rsid w:val="005676EF"/>
    <w:rsid w:val="005729AD"/>
    <w:rsid w:val="00576E34"/>
    <w:rsid w:val="00577905"/>
    <w:rsid w:val="00580719"/>
    <w:rsid w:val="0058485D"/>
    <w:rsid w:val="00586506"/>
    <w:rsid w:val="00587D46"/>
    <w:rsid w:val="00590A5C"/>
    <w:rsid w:val="005930DD"/>
    <w:rsid w:val="00594E5D"/>
    <w:rsid w:val="005A1133"/>
    <w:rsid w:val="005A2CC0"/>
    <w:rsid w:val="005A3C2A"/>
    <w:rsid w:val="005A5434"/>
    <w:rsid w:val="005A7048"/>
    <w:rsid w:val="005B0422"/>
    <w:rsid w:val="005B1112"/>
    <w:rsid w:val="005B1452"/>
    <w:rsid w:val="005B3A46"/>
    <w:rsid w:val="005B4682"/>
    <w:rsid w:val="005B4AFA"/>
    <w:rsid w:val="005C2A87"/>
    <w:rsid w:val="005C43B2"/>
    <w:rsid w:val="005C4755"/>
    <w:rsid w:val="005D5EFC"/>
    <w:rsid w:val="005D5FC7"/>
    <w:rsid w:val="005D6060"/>
    <w:rsid w:val="005D7779"/>
    <w:rsid w:val="005E2FF2"/>
    <w:rsid w:val="005E49F8"/>
    <w:rsid w:val="005E61BB"/>
    <w:rsid w:val="005F0CDC"/>
    <w:rsid w:val="005F33AC"/>
    <w:rsid w:val="005F599A"/>
    <w:rsid w:val="005F74CF"/>
    <w:rsid w:val="00603195"/>
    <w:rsid w:val="006039FA"/>
    <w:rsid w:val="006042C0"/>
    <w:rsid w:val="006109B0"/>
    <w:rsid w:val="00610AC1"/>
    <w:rsid w:val="006143D6"/>
    <w:rsid w:val="006264E5"/>
    <w:rsid w:val="00626EE6"/>
    <w:rsid w:val="00642E81"/>
    <w:rsid w:val="00646CEC"/>
    <w:rsid w:val="00656A92"/>
    <w:rsid w:val="00666BDA"/>
    <w:rsid w:val="00667D78"/>
    <w:rsid w:val="00667F06"/>
    <w:rsid w:val="00675B31"/>
    <w:rsid w:val="00677E25"/>
    <w:rsid w:val="00680EE6"/>
    <w:rsid w:val="00682FC9"/>
    <w:rsid w:val="00685278"/>
    <w:rsid w:val="00685A3D"/>
    <w:rsid w:val="00692CA8"/>
    <w:rsid w:val="00694240"/>
    <w:rsid w:val="00695701"/>
    <w:rsid w:val="006967CA"/>
    <w:rsid w:val="006A1906"/>
    <w:rsid w:val="006A212D"/>
    <w:rsid w:val="006A4D86"/>
    <w:rsid w:val="006A76F6"/>
    <w:rsid w:val="006B16B9"/>
    <w:rsid w:val="006B2C99"/>
    <w:rsid w:val="006B53F5"/>
    <w:rsid w:val="006D368B"/>
    <w:rsid w:val="006D59A0"/>
    <w:rsid w:val="006D5DC1"/>
    <w:rsid w:val="006E4430"/>
    <w:rsid w:val="006E58AF"/>
    <w:rsid w:val="006F3A88"/>
    <w:rsid w:val="006F44D3"/>
    <w:rsid w:val="006F5747"/>
    <w:rsid w:val="006F7900"/>
    <w:rsid w:val="00700022"/>
    <w:rsid w:val="0070573D"/>
    <w:rsid w:val="00707B73"/>
    <w:rsid w:val="00712F9E"/>
    <w:rsid w:val="00713293"/>
    <w:rsid w:val="0071350F"/>
    <w:rsid w:val="007164D1"/>
    <w:rsid w:val="007227F4"/>
    <w:rsid w:val="00732643"/>
    <w:rsid w:val="007340B1"/>
    <w:rsid w:val="00734E9B"/>
    <w:rsid w:val="007448F9"/>
    <w:rsid w:val="00744D08"/>
    <w:rsid w:val="00767D9E"/>
    <w:rsid w:val="0077017D"/>
    <w:rsid w:val="00772119"/>
    <w:rsid w:val="007728A7"/>
    <w:rsid w:val="00772B7E"/>
    <w:rsid w:val="00772C2C"/>
    <w:rsid w:val="00776941"/>
    <w:rsid w:val="0078658B"/>
    <w:rsid w:val="00786D69"/>
    <w:rsid w:val="00786ECF"/>
    <w:rsid w:val="0079179A"/>
    <w:rsid w:val="0079675F"/>
    <w:rsid w:val="007A0C7C"/>
    <w:rsid w:val="007A1BFF"/>
    <w:rsid w:val="007A2EA2"/>
    <w:rsid w:val="007A3840"/>
    <w:rsid w:val="007A3EF2"/>
    <w:rsid w:val="007A7C94"/>
    <w:rsid w:val="007B067E"/>
    <w:rsid w:val="007B0E3F"/>
    <w:rsid w:val="007C053C"/>
    <w:rsid w:val="007C7774"/>
    <w:rsid w:val="007C7861"/>
    <w:rsid w:val="007C7ADD"/>
    <w:rsid w:val="007D0DB4"/>
    <w:rsid w:val="007D4B68"/>
    <w:rsid w:val="007E190D"/>
    <w:rsid w:val="007E28C4"/>
    <w:rsid w:val="007F3C3C"/>
    <w:rsid w:val="007F70FC"/>
    <w:rsid w:val="0080796E"/>
    <w:rsid w:val="00807C39"/>
    <w:rsid w:val="008121C6"/>
    <w:rsid w:val="0082129F"/>
    <w:rsid w:val="008213D4"/>
    <w:rsid w:val="00822AF0"/>
    <w:rsid w:val="008370CE"/>
    <w:rsid w:val="008408FA"/>
    <w:rsid w:val="00843683"/>
    <w:rsid w:val="008468DC"/>
    <w:rsid w:val="00850350"/>
    <w:rsid w:val="008507A1"/>
    <w:rsid w:val="00850B1A"/>
    <w:rsid w:val="0085158B"/>
    <w:rsid w:val="00853990"/>
    <w:rsid w:val="00864C42"/>
    <w:rsid w:val="00865106"/>
    <w:rsid w:val="00870B55"/>
    <w:rsid w:val="008718AA"/>
    <w:rsid w:val="008724F1"/>
    <w:rsid w:val="00873F11"/>
    <w:rsid w:val="00877544"/>
    <w:rsid w:val="00881119"/>
    <w:rsid w:val="008840E8"/>
    <w:rsid w:val="00885C69"/>
    <w:rsid w:val="00893330"/>
    <w:rsid w:val="00896121"/>
    <w:rsid w:val="0089683B"/>
    <w:rsid w:val="00897990"/>
    <w:rsid w:val="00897CFC"/>
    <w:rsid w:val="008A0096"/>
    <w:rsid w:val="008A2799"/>
    <w:rsid w:val="008A365C"/>
    <w:rsid w:val="008A5A60"/>
    <w:rsid w:val="008B2F28"/>
    <w:rsid w:val="008B6883"/>
    <w:rsid w:val="008C10CA"/>
    <w:rsid w:val="008C2D90"/>
    <w:rsid w:val="008C3725"/>
    <w:rsid w:val="008C3C26"/>
    <w:rsid w:val="008C4378"/>
    <w:rsid w:val="008C590D"/>
    <w:rsid w:val="008D2433"/>
    <w:rsid w:val="008D2C52"/>
    <w:rsid w:val="008D362A"/>
    <w:rsid w:val="008D41EE"/>
    <w:rsid w:val="008D443B"/>
    <w:rsid w:val="008E15AB"/>
    <w:rsid w:val="008F1B64"/>
    <w:rsid w:val="008F2E68"/>
    <w:rsid w:val="008F3B81"/>
    <w:rsid w:val="008F6ED1"/>
    <w:rsid w:val="009022F5"/>
    <w:rsid w:val="0090384B"/>
    <w:rsid w:val="00915650"/>
    <w:rsid w:val="0092190D"/>
    <w:rsid w:val="0092217E"/>
    <w:rsid w:val="0092598C"/>
    <w:rsid w:val="00925A9D"/>
    <w:rsid w:val="00925DA2"/>
    <w:rsid w:val="00927789"/>
    <w:rsid w:val="00927EF5"/>
    <w:rsid w:val="009417A8"/>
    <w:rsid w:val="00943090"/>
    <w:rsid w:val="00943FF1"/>
    <w:rsid w:val="00950379"/>
    <w:rsid w:val="009507A2"/>
    <w:rsid w:val="00950B06"/>
    <w:rsid w:val="009518A8"/>
    <w:rsid w:val="009578B8"/>
    <w:rsid w:val="00962585"/>
    <w:rsid w:val="0096332A"/>
    <w:rsid w:val="00965768"/>
    <w:rsid w:val="00966586"/>
    <w:rsid w:val="00972ED3"/>
    <w:rsid w:val="00977984"/>
    <w:rsid w:val="009822BE"/>
    <w:rsid w:val="00985AB9"/>
    <w:rsid w:val="009878F9"/>
    <w:rsid w:val="00993C82"/>
    <w:rsid w:val="009A0169"/>
    <w:rsid w:val="009A2618"/>
    <w:rsid w:val="009B4360"/>
    <w:rsid w:val="009C00B4"/>
    <w:rsid w:val="009D02B5"/>
    <w:rsid w:val="009D0F3B"/>
    <w:rsid w:val="009D4AE4"/>
    <w:rsid w:val="009D4C7B"/>
    <w:rsid w:val="009D5349"/>
    <w:rsid w:val="009D7747"/>
    <w:rsid w:val="009E0471"/>
    <w:rsid w:val="009E0FD8"/>
    <w:rsid w:val="009E336D"/>
    <w:rsid w:val="009E4741"/>
    <w:rsid w:val="009F0D6D"/>
    <w:rsid w:val="009F5D3B"/>
    <w:rsid w:val="00A006BB"/>
    <w:rsid w:val="00A01DEF"/>
    <w:rsid w:val="00A0360C"/>
    <w:rsid w:val="00A0378E"/>
    <w:rsid w:val="00A10881"/>
    <w:rsid w:val="00A16252"/>
    <w:rsid w:val="00A200FA"/>
    <w:rsid w:val="00A227DA"/>
    <w:rsid w:val="00A248E6"/>
    <w:rsid w:val="00A26868"/>
    <w:rsid w:val="00A27193"/>
    <w:rsid w:val="00A35114"/>
    <w:rsid w:val="00A3656A"/>
    <w:rsid w:val="00A37894"/>
    <w:rsid w:val="00A4037B"/>
    <w:rsid w:val="00A42D85"/>
    <w:rsid w:val="00A43B6A"/>
    <w:rsid w:val="00A47D04"/>
    <w:rsid w:val="00A5120F"/>
    <w:rsid w:val="00A52863"/>
    <w:rsid w:val="00A53551"/>
    <w:rsid w:val="00A54986"/>
    <w:rsid w:val="00A55724"/>
    <w:rsid w:val="00A57AE0"/>
    <w:rsid w:val="00A619BC"/>
    <w:rsid w:val="00A61D5C"/>
    <w:rsid w:val="00A6292F"/>
    <w:rsid w:val="00A7344B"/>
    <w:rsid w:val="00A76D84"/>
    <w:rsid w:val="00A80E46"/>
    <w:rsid w:val="00A82227"/>
    <w:rsid w:val="00A8365D"/>
    <w:rsid w:val="00A853FF"/>
    <w:rsid w:val="00A875BB"/>
    <w:rsid w:val="00A90E67"/>
    <w:rsid w:val="00A9331F"/>
    <w:rsid w:val="00AA09D4"/>
    <w:rsid w:val="00AC20A1"/>
    <w:rsid w:val="00AC4AEE"/>
    <w:rsid w:val="00AC5562"/>
    <w:rsid w:val="00AC642D"/>
    <w:rsid w:val="00AC7344"/>
    <w:rsid w:val="00AD1020"/>
    <w:rsid w:val="00AD192C"/>
    <w:rsid w:val="00AD4B00"/>
    <w:rsid w:val="00AD5A79"/>
    <w:rsid w:val="00AD741E"/>
    <w:rsid w:val="00AE01EF"/>
    <w:rsid w:val="00AE4490"/>
    <w:rsid w:val="00AE5D91"/>
    <w:rsid w:val="00AE6090"/>
    <w:rsid w:val="00AE6E43"/>
    <w:rsid w:val="00AF4AD3"/>
    <w:rsid w:val="00AF7AC9"/>
    <w:rsid w:val="00B00139"/>
    <w:rsid w:val="00B02AD0"/>
    <w:rsid w:val="00B02BE9"/>
    <w:rsid w:val="00B052B7"/>
    <w:rsid w:val="00B10E71"/>
    <w:rsid w:val="00B13C66"/>
    <w:rsid w:val="00B1618B"/>
    <w:rsid w:val="00B17C95"/>
    <w:rsid w:val="00B20B7B"/>
    <w:rsid w:val="00B27E2B"/>
    <w:rsid w:val="00B30CAA"/>
    <w:rsid w:val="00B33A1F"/>
    <w:rsid w:val="00B34201"/>
    <w:rsid w:val="00B36F01"/>
    <w:rsid w:val="00B408E6"/>
    <w:rsid w:val="00B40BCA"/>
    <w:rsid w:val="00B5179A"/>
    <w:rsid w:val="00B5315A"/>
    <w:rsid w:val="00B56442"/>
    <w:rsid w:val="00B576AD"/>
    <w:rsid w:val="00B623E8"/>
    <w:rsid w:val="00B6253B"/>
    <w:rsid w:val="00B6585B"/>
    <w:rsid w:val="00B735EC"/>
    <w:rsid w:val="00B76082"/>
    <w:rsid w:val="00B80881"/>
    <w:rsid w:val="00B8105F"/>
    <w:rsid w:val="00B85F73"/>
    <w:rsid w:val="00B86E8E"/>
    <w:rsid w:val="00B93D03"/>
    <w:rsid w:val="00B94403"/>
    <w:rsid w:val="00B973B6"/>
    <w:rsid w:val="00BA1A8F"/>
    <w:rsid w:val="00BA2E5F"/>
    <w:rsid w:val="00BA4750"/>
    <w:rsid w:val="00BA7CC3"/>
    <w:rsid w:val="00BB319B"/>
    <w:rsid w:val="00BB68AA"/>
    <w:rsid w:val="00BC2DFF"/>
    <w:rsid w:val="00BC4336"/>
    <w:rsid w:val="00BC56C9"/>
    <w:rsid w:val="00BD2349"/>
    <w:rsid w:val="00BD3838"/>
    <w:rsid w:val="00BD39CF"/>
    <w:rsid w:val="00BD601B"/>
    <w:rsid w:val="00BE16F9"/>
    <w:rsid w:val="00BE3D4C"/>
    <w:rsid w:val="00BE3FA4"/>
    <w:rsid w:val="00BF254D"/>
    <w:rsid w:val="00BF426C"/>
    <w:rsid w:val="00BF46E3"/>
    <w:rsid w:val="00BF508F"/>
    <w:rsid w:val="00BF58EB"/>
    <w:rsid w:val="00BF5A0B"/>
    <w:rsid w:val="00C23659"/>
    <w:rsid w:val="00C3113A"/>
    <w:rsid w:val="00C313F5"/>
    <w:rsid w:val="00C34084"/>
    <w:rsid w:val="00C459CD"/>
    <w:rsid w:val="00C54BA0"/>
    <w:rsid w:val="00C55B70"/>
    <w:rsid w:val="00C562AD"/>
    <w:rsid w:val="00C63F50"/>
    <w:rsid w:val="00C6417B"/>
    <w:rsid w:val="00C660AE"/>
    <w:rsid w:val="00C71F28"/>
    <w:rsid w:val="00C73A6D"/>
    <w:rsid w:val="00C75795"/>
    <w:rsid w:val="00C805F6"/>
    <w:rsid w:val="00C82097"/>
    <w:rsid w:val="00C933E5"/>
    <w:rsid w:val="00CA06C3"/>
    <w:rsid w:val="00CA13BC"/>
    <w:rsid w:val="00CA24F8"/>
    <w:rsid w:val="00CA5E9D"/>
    <w:rsid w:val="00CA67BA"/>
    <w:rsid w:val="00CB50CE"/>
    <w:rsid w:val="00CB5998"/>
    <w:rsid w:val="00CB75FF"/>
    <w:rsid w:val="00CB7F71"/>
    <w:rsid w:val="00CC07C1"/>
    <w:rsid w:val="00CC3339"/>
    <w:rsid w:val="00CD1E8A"/>
    <w:rsid w:val="00CD34E9"/>
    <w:rsid w:val="00CD47D0"/>
    <w:rsid w:val="00CD595B"/>
    <w:rsid w:val="00CD73E5"/>
    <w:rsid w:val="00CD7727"/>
    <w:rsid w:val="00CE1C2E"/>
    <w:rsid w:val="00CE3390"/>
    <w:rsid w:val="00CE69E6"/>
    <w:rsid w:val="00CF0E46"/>
    <w:rsid w:val="00CF380C"/>
    <w:rsid w:val="00D007C6"/>
    <w:rsid w:val="00D00EF1"/>
    <w:rsid w:val="00D016CA"/>
    <w:rsid w:val="00D03C17"/>
    <w:rsid w:val="00D04829"/>
    <w:rsid w:val="00D06F8D"/>
    <w:rsid w:val="00D1112B"/>
    <w:rsid w:val="00D13775"/>
    <w:rsid w:val="00D14203"/>
    <w:rsid w:val="00D216D9"/>
    <w:rsid w:val="00D22B11"/>
    <w:rsid w:val="00D2390F"/>
    <w:rsid w:val="00D24D8A"/>
    <w:rsid w:val="00D25BC0"/>
    <w:rsid w:val="00D3180D"/>
    <w:rsid w:val="00D33331"/>
    <w:rsid w:val="00D362C4"/>
    <w:rsid w:val="00D40309"/>
    <w:rsid w:val="00D41FBD"/>
    <w:rsid w:val="00D43414"/>
    <w:rsid w:val="00D43DAA"/>
    <w:rsid w:val="00D43E7C"/>
    <w:rsid w:val="00D46456"/>
    <w:rsid w:val="00D521F8"/>
    <w:rsid w:val="00D6501E"/>
    <w:rsid w:val="00D80543"/>
    <w:rsid w:val="00D806BB"/>
    <w:rsid w:val="00D80945"/>
    <w:rsid w:val="00D8186A"/>
    <w:rsid w:val="00D83415"/>
    <w:rsid w:val="00D8517B"/>
    <w:rsid w:val="00D85287"/>
    <w:rsid w:val="00D8626E"/>
    <w:rsid w:val="00D86621"/>
    <w:rsid w:val="00D90D68"/>
    <w:rsid w:val="00D946BC"/>
    <w:rsid w:val="00D97AA3"/>
    <w:rsid w:val="00D97D5E"/>
    <w:rsid w:val="00DA007F"/>
    <w:rsid w:val="00DA2460"/>
    <w:rsid w:val="00DA3C2D"/>
    <w:rsid w:val="00DB0318"/>
    <w:rsid w:val="00DB2118"/>
    <w:rsid w:val="00DB2A9D"/>
    <w:rsid w:val="00DB2B97"/>
    <w:rsid w:val="00DB4B23"/>
    <w:rsid w:val="00DC767B"/>
    <w:rsid w:val="00DC7AA7"/>
    <w:rsid w:val="00DD34BB"/>
    <w:rsid w:val="00DD7802"/>
    <w:rsid w:val="00DE2C57"/>
    <w:rsid w:val="00DE700F"/>
    <w:rsid w:val="00DF13E7"/>
    <w:rsid w:val="00DF6B46"/>
    <w:rsid w:val="00DF6E32"/>
    <w:rsid w:val="00DF749F"/>
    <w:rsid w:val="00E00E45"/>
    <w:rsid w:val="00E02A74"/>
    <w:rsid w:val="00E03443"/>
    <w:rsid w:val="00E040C3"/>
    <w:rsid w:val="00E07EF3"/>
    <w:rsid w:val="00E10B79"/>
    <w:rsid w:val="00E170E0"/>
    <w:rsid w:val="00E21E93"/>
    <w:rsid w:val="00E278BC"/>
    <w:rsid w:val="00E3052D"/>
    <w:rsid w:val="00E31BED"/>
    <w:rsid w:val="00E37ACD"/>
    <w:rsid w:val="00E460C4"/>
    <w:rsid w:val="00E50518"/>
    <w:rsid w:val="00E53E49"/>
    <w:rsid w:val="00E5703C"/>
    <w:rsid w:val="00E6002C"/>
    <w:rsid w:val="00E64DA0"/>
    <w:rsid w:val="00E64FFE"/>
    <w:rsid w:val="00E7303F"/>
    <w:rsid w:val="00E73BF3"/>
    <w:rsid w:val="00E750C2"/>
    <w:rsid w:val="00E76C67"/>
    <w:rsid w:val="00E77DF6"/>
    <w:rsid w:val="00E8166A"/>
    <w:rsid w:val="00E84683"/>
    <w:rsid w:val="00E943FF"/>
    <w:rsid w:val="00E95B31"/>
    <w:rsid w:val="00EA1D7B"/>
    <w:rsid w:val="00EA4566"/>
    <w:rsid w:val="00EA722D"/>
    <w:rsid w:val="00EB2EF4"/>
    <w:rsid w:val="00EB37BA"/>
    <w:rsid w:val="00EB6AB6"/>
    <w:rsid w:val="00EC0FD3"/>
    <w:rsid w:val="00EC276F"/>
    <w:rsid w:val="00EC5912"/>
    <w:rsid w:val="00EC6702"/>
    <w:rsid w:val="00ED2244"/>
    <w:rsid w:val="00ED5862"/>
    <w:rsid w:val="00EE4976"/>
    <w:rsid w:val="00EE6163"/>
    <w:rsid w:val="00EE7D70"/>
    <w:rsid w:val="00F01F04"/>
    <w:rsid w:val="00F05CB7"/>
    <w:rsid w:val="00F111E5"/>
    <w:rsid w:val="00F12178"/>
    <w:rsid w:val="00F12786"/>
    <w:rsid w:val="00F14E38"/>
    <w:rsid w:val="00F1637D"/>
    <w:rsid w:val="00F16C74"/>
    <w:rsid w:val="00F171EE"/>
    <w:rsid w:val="00F20A47"/>
    <w:rsid w:val="00F20FBD"/>
    <w:rsid w:val="00F306A1"/>
    <w:rsid w:val="00F318DC"/>
    <w:rsid w:val="00F34452"/>
    <w:rsid w:val="00F405C7"/>
    <w:rsid w:val="00F40D9F"/>
    <w:rsid w:val="00F415DA"/>
    <w:rsid w:val="00F430CC"/>
    <w:rsid w:val="00F464E3"/>
    <w:rsid w:val="00F5185E"/>
    <w:rsid w:val="00F52C02"/>
    <w:rsid w:val="00F62567"/>
    <w:rsid w:val="00F63C1A"/>
    <w:rsid w:val="00F63E94"/>
    <w:rsid w:val="00F66464"/>
    <w:rsid w:val="00F70756"/>
    <w:rsid w:val="00F73412"/>
    <w:rsid w:val="00F736AA"/>
    <w:rsid w:val="00F90CD5"/>
    <w:rsid w:val="00F93C69"/>
    <w:rsid w:val="00F972BD"/>
    <w:rsid w:val="00FA13BD"/>
    <w:rsid w:val="00FA1958"/>
    <w:rsid w:val="00FA203C"/>
    <w:rsid w:val="00FB20FC"/>
    <w:rsid w:val="00FB5A98"/>
    <w:rsid w:val="00FB6F3A"/>
    <w:rsid w:val="00FB7EC4"/>
    <w:rsid w:val="00FB7F2B"/>
    <w:rsid w:val="00FC74B2"/>
    <w:rsid w:val="00FD1696"/>
    <w:rsid w:val="00FD2398"/>
    <w:rsid w:val="00FD48DE"/>
    <w:rsid w:val="00FD6F14"/>
    <w:rsid w:val="00FE02BF"/>
    <w:rsid w:val="00FE44AA"/>
    <w:rsid w:val="00FE5D7C"/>
    <w:rsid w:val="00FF0520"/>
    <w:rsid w:val="00FF1776"/>
    <w:rsid w:val="00FF570A"/>
    <w:rsid w:val="00FF6AB9"/>
    <w:rsid w:val="021857BF"/>
    <w:rsid w:val="02C8868E"/>
    <w:rsid w:val="05C66CCD"/>
    <w:rsid w:val="0AC5427F"/>
    <w:rsid w:val="0E8960D1"/>
    <w:rsid w:val="0F462170"/>
    <w:rsid w:val="10019EF6"/>
    <w:rsid w:val="11AFFF23"/>
    <w:rsid w:val="12CE8E11"/>
    <w:rsid w:val="143BDE1C"/>
    <w:rsid w:val="171D421D"/>
    <w:rsid w:val="1A87A1DD"/>
    <w:rsid w:val="1E52B3DF"/>
    <w:rsid w:val="20DB82BA"/>
    <w:rsid w:val="26FF0D15"/>
    <w:rsid w:val="2972CA90"/>
    <w:rsid w:val="2C78A3E1"/>
    <w:rsid w:val="2EFF56EF"/>
    <w:rsid w:val="3486350B"/>
    <w:rsid w:val="37DF6029"/>
    <w:rsid w:val="38213DA9"/>
    <w:rsid w:val="38765184"/>
    <w:rsid w:val="3C1DCF33"/>
    <w:rsid w:val="3FA34B9D"/>
    <w:rsid w:val="3FEA70FF"/>
    <w:rsid w:val="400EE209"/>
    <w:rsid w:val="40B62EB2"/>
    <w:rsid w:val="4ABBA12E"/>
    <w:rsid w:val="50433F3B"/>
    <w:rsid w:val="54F53CBA"/>
    <w:rsid w:val="569620E0"/>
    <w:rsid w:val="57A17949"/>
    <w:rsid w:val="57CFD47A"/>
    <w:rsid w:val="5DAAF3D5"/>
    <w:rsid w:val="5DC2A22E"/>
    <w:rsid w:val="5E2AB527"/>
    <w:rsid w:val="5EA6D57D"/>
    <w:rsid w:val="5FBD17F5"/>
    <w:rsid w:val="60C36E8E"/>
    <w:rsid w:val="60E1ED65"/>
    <w:rsid w:val="611AEFE1"/>
    <w:rsid w:val="6220C0CD"/>
    <w:rsid w:val="62428FBC"/>
    <w:rsid w:val="6249446D"/>
    <w:rsid w:val="633B306A"/>
    <w:rsid w:val="6608BE8B"/>
    <w:rsid w:val="68D5D625"/>
    <w:rsid w:val="72DDAD96"/>
    <w:rsid w:val="7719801B"/>
    <w:rsid w:val="776A3A9E"/>
    <w:rsid w:val="7A210CF3"/>
    <w:rsid w:val="7B502501"/>
    <w:rsid w:val="7C7B74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F37"/>
  <w15:docId w15:val="{37F615EB-7CE1-49B2-B80B-6164FA67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4B4B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aliases w:val="aaPie de página,Pie de página Car Car"/>
    <w:basedOn w:val="Normal"/>
    <w:link w:val="PiedepginaCar"/>
    <w:rsid w:val="00CD73E5"/>
    <w:pPr>
      <w:tabs>
        <w:tab w:val="center" w:pos="4419"/>
        <w:tab w:val="right" w:pos="8838"/>
      </w:tabs>
    </w:pPr>
  </w:style>
  <w:style w:type="character" w:customStyle="1" w:styleId="PiedepginaCar">
    <w:name w:val="Pie de página Car"/>
    <w:aliases w:val="aaPie de página Car,Pie de página Car Car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E943FF"/>
    <w:pPr>
      <w:spacing w:after="120" w:line="480" w:lineRule="auto"/>
    </w:pPr>
  </w:style>
  <w:style w:type="character" w:customStyle="1" w:styleId="Textoindependiente2Car">
    <w:name w:val="Texto independiente 2 Car"/>
    <w:link w:val="Textoindependiente2"/>
    <w:rsid w:val="00E943FF"/>
    <w:rPr>
      <w:rFonts w:ascii="Times New Roman" w:eastAsia="Times New Roman" w:hAnsi="Times New Roman"/>
      <w:lang w:val="es-ES" w:eastAsia="es-ES"/>
    </w:rPr>
  </w:style>
  <w:style w:type="paragraph" w:styleId="Encabezado">
    <w:name w:val="header"/>
    <w:basedOn w:val="Normal"/>
    <w:link w:val="EncabezadoCar"/>
    <w:uiPriority w:val="99"/>
    <w:rsid w:val="000E4D5F"/>
    <w:pPr>
      <w:tabs>
        <w:tab w:val="center" w:pos="4252"/>
        <w:tab w:val="right" w:pos="8504"/>
      </w:tabs>
      <w:overflowPunct/>
      <w:autoSpaceDE/>
      <w:autoSpaceDN/>
      <w:adjustRightInd/>
      <w:textAlignment w:val="auto"/>
    </w:pPr>
    <w:rPr>
      <w:sz w:val="24"/>
      <w:szCs w:val="24"/>
    </w:rPr>
  </w:style>
  <w:style w:type="character" w:customStyle="1" w:styleId="EncabezadoCar">
    <w:name w:val="Encabezado Car"/>
    <w:link w:val="Encabezado"/>
    <w:uiPriority w:val="99"/>
    <w:rsid w:val="000E4D5F"/>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nhideWhenUsed/>
    <w:rsid w:val="00CA13BC"/>
    <w:pPr>
      <w:spacing w:after="120"/>
      <w:ind w:left="283"/>
      <w:textAlignment w:val="auto"/>
    </w:pPr>
    <w:rPr>
      <w:lang w:val="es-ES_tradnl"/>
    </w:rPr>
  </w:style>
  <w:style w:type="character" w:customStyle="1" w:styleId="SangradetextonormalCar">
    <w:name w:val="Sangría de texto normal Car"/>
    <w:link w:val="Sangradetextonormal"/>
    <w:rsid w:val="00CA13BC"/>
    <w:rPr>
      <w:rFonts w:ascii="Times New Roman" w:eastAsia="Times New Roman" w:hAnsi="Times New Roman"/>
      <w:lang w:val="es-ES_tradnl" w:eastAsia="es-ES"/>
    </w:rPr>
  </w:style>
  <w:style w:type="paragraph" w:styleId="Prrafodelista">
    <w:name w:val="List Paragraph"/>
    <w:basedOn w:val="Normal"/>
    <w:uiPriority w:val="34"/>
    <w:qFormat/>
    <w:rsid w:val="008121C6"/>
    <w:pPr>
      <w:ind w:left="720"/>
      <w:contextualSpacing/>
    </w:pPr>
  </w:style>
  <w:style w:type="character" w:styleId="Hipervnculo">
    <w:name w:val="Hyperlink"/>
    <w:basedOn w:val="Fuentedeprrafopredeter"/>
    <w:uiPriority w:val="99"/>
    <w:semiHidden/>
    <w:unhideWhenUsed/>
    <w:rsid w:val="00B27E2B"/>
    <w:rPr>
      <w:color w:val="0000FF"/>
      <w:u w:val="single"/>
    </w:rPr>
  </w:style>
  <w:style w:type="paragraph" w:styleId="NormalWeb">
    <w:name w:val="Normal (Web)"/>
    <w:basedOn w:val="Normal"/>
    <w:uiPriority w:val="99"/>
    <w:semiHidden/>
    <w:unhideWhenUsed/>
    <w:rsid w:val="00B27E2B"/>
    <w:pPr>
      <w:overflowPunct/>
      <w:autoSpaceDE/>
      <w:autoSpaceDN/>
      <w:adjustRightInd/>
      <w:spacing w:before="100" w:beforeAutospacing="1" w:after="100" w:afterAutospacing="1"/>
      <w:textAlignment w:val="auto"/>
    </w:pPr>
    <w:rPr>
      <w:sz w:val="24"/>
      <w:szCs w:val="24"/>
      <w:lang w:val="es-CO" w:eastAsia="es-CO"/>
    </w:rPr>
  </w:style>
  <w:style w:type="character" w:styleId="Textoennegrita">
    <w:name w:val="Strong"/>
    <w:basedOn w:val="Fuentedeprrafopredeter"/>
    <w:uiPriority w:val="22"/>
    <w:qFormat/>
    <w:rsid w:val="00B27E2B"/>
    <w:rPr>
      <w:b/>
      <w:bCs/>
    </w:rPr>
  </w:style>
  <w:style w:type="paragraph" w:customStyle="1" w:styleId="centrado">
    <w:name w:val="centrado"/>
    <w:basedOn w:val="Normal"/>
    <w:rsid w:val="00B27E2B"/>
    <w:pPr>
      <w:overflowPunct/>
      <w:autoSpaceDE/>
      <w:autoSpaceDN/>
      <w:adjustRightInd/>
      <w:spacing w:before="100" w:beforeAutospacing="1" w:after="100" w:afterAutospacing="1"/>
      <w:textAlignment w:val="auto"/>
    </w:pPr>
    <w:rPr>
      <w:sz w:val="24"/>
      <w:szCs w:val="24"/>
      <w:lang w:val="es-CO" w:eastAsia="es-CO"/>
    </w:rPr>
  </w:style>
  <w:style w:type="character" w:customStyle="1" w:styleId="baj">
    <w:name w:val="baj"/>
    <w:basedOn w:val="Fuentedeprrafopredeter"/>
    <w:rsid w:val="00B27E2B"/>
  </w:style>
  <w:style w:type="character" w:customStyle="1" w:styleId="apple-converted-space">
    <w:name w:val="apple-converted-space"/>
    <w:basedOn w:val="Fuentedeprrafopredeter"/>
    <w:rsid w:val="00B27E2B"/>
  </w:style>
  <w:style w:type="paragraph" w:styleId="Textoindependiente">
    <w:name w:val="Body Text"/>
    <w:basedOn w:val="Normal"/>
    <w:link w:val="TextoindependienteCar"/>
    <w:uiPriority w:val="99"/>
    <w:semiHidden/>
    <w:unhideWhenUsed/>
    <w:rsid w:val="00DF749F"/>
    <w:pPr>
      <w:spacing w:after="120"/>
    </w:pPr>
  </w:style>
  <w:style w:type="character" w:customStyle="1" w:styleId="TextoindependienteCar">
    <w:name w:val="Texto independiente Car"/>
    <w:basedOn w:val="Fuentedeprrafopredeter"/>
    <w:link w:val="Textoindependiente"/>
    <w:uiPriority w:val="99"/>
    <w:semiHidden/>
    <w:rsid w:val="00DF749F"/>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4B4B0E"/>
    <w:rPr>
      <w:rFonts w:asciiTheme="majorHAnsi" w:eastAsiaTheme="majorEastAsia" w:hAnsiTheme="majorHAnsi" w:cstheme="majorBidi"/>
      <w:color w:val="2F5496" w:themeColor="accent1" w:themeShade="BF"/>
      <w:sz w:val="32"/>
      <w:szCs w:val="32"/>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213D4"/>
    <w:pPr>
      <w:overflowPunct/>
      <w:autoSpaceDE/>
      <w:autoSpaceDN/>
      <w:adjustRightInd/>
      <w:textAlignment w:val="auto"/>
    </w:pPr>
    <w:rPr>
      <w:rFonts w:ascii="Calibri" w:eastAsia="Calibri" w:hAnsi="Calibri"/>
      <w:vertAlign w:val="superscript"/>
      <w:lang w:val="es-CO" w:eastAsia="es-CO"/>
    </w:rPr>
  </w:style>
  <w:style w:type="paragraph" w:styleId="Asuntodelcomentario">
    <w:name w:val="annotation subject"/>
    <w:basedOn w:val="Textocomentario"/>
    <w:next w:val="Textocomentario"/>
    <w:link w:val="AsuntodelcomentarioCar"/>
    <w:uiPriority w:val="99"/>
    <w:semiHidden/>
    <w:unhideWhenUsed/>
    <w:rsid w:val="006D5DC1"/>
    <w:rPr>
      <w:b/>
      <w:bCs/>
    </w:rPr>
  </w:style>
  <w:style w:type="character" w:customStyle="1" w:styleId="AsuntodelcomentarioCar">
    <w:name w:val="Asunto del comentario Car"/>
    <w:basedOn w:val="TextocomentarioCar"/>
    <w:link w:val="Asuntodelcomentario"/>
    <w:uiPriority w:val="99"/>
    <w:semiHidden/>
    <w:rsid w:val="006D5DC1"/>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3733">
      <w:bodyDiv w:val="1"/>
      <w:marLeft w:val="0"/>
      <w:marRight w:val="0"/>
      <w:marTop w:val="0"/>
      <w:marBottom w:val="0"/>
      <w:divBdr>
        <w:top w:val="none" w:sz="0" w:space="0" w:color="auto"/>
        <w:left w:val="none" w:sz="0" w:space="0" w:color="auto"/>
        <w:bottom w:val="none" w:sz="0" w:space="0" w:color="auto"/>
        <w:right w:val="none" w:sz="0" w:space="0" w:color="auto"/>
      </w:divBdr>
    </w:div>
    <w:div w:id="534150638">
      <w:bodyDiv w:val="1"/>
      <w:marLeft w:val="0"/>
      <w:marRight w:val="0"/>
      <w:marTop w:val="0"/>
      <w:marBottom w:val="0"/>
      <w:divBdr>
        <w:top w:val="none" w:sz="0" w:space="0" w:color="auto"/>
        <w:left w:val="none" w:sz="0" w:space="0" w:color="auto"/>
        <w:bottom w:val="none" w:sz="0" w:space="0" w:color="auto"/>
        <w:right w:val="none" w:sz="0" w:space="0" w:color="auto"/>
      </w:divBdr>
    </w:div>
    <w:div w:id="678699871">
      <w:bodyDiv w:val="1"/>
      <w:marLeft w:val="0"/>
      <w:marRight w:val="0"/>
      <w:marTop w:val="0"/>
      <w:marBottom w:val="0"/>
      <w:divBdr>
        <w:top w:val="none" w:sz="0" w:space="0" w:color="auto"/>
        <w:left w:val="none" w:sz="0" w:space="0" w:color="auto"/>
        <w:bottom w:val="none" w:sz="0" w:space="0" w:color="auto"/>
        <w:right w:val="none" w:sz="0" w:space="0" w:color="auto"/>
      </w:divBdr>
    </w:div>
    <w:div w:id="734477910">
      <w:bodyDiv w:val="1"/>
      <w:marLeft w:val="0"/>
      <w:marRight w:val="0"/>
      <w:marTop w:val="0"/>
      <w:marBottom w:val="0"/>
      <w:divBdr>
        <w:top w:val="none" w:sz="0" w:space="0" w:color="auto"/>
        <w:left w:val="none" w:sz="0" w:space="0" w:color="auto"/>
        <w:bottom w:val="none" w:sz="0" w:space="0" w:color="auto"/>
        <w:right w:val="none" w:sz="0" w:space="0" w:color="auto"/>
      </w:divBdr>
    </w:div>
    <w:div w:id="809708631">
      <w:bodyDiv w:val="1"/>
      <w:marLeft w:val="0"/>
      <w:marRight w:val="0"/>
      <w:marTop w:val="0"/>
      <w:marBottom w:val="0"/>
      <w:divBdr>
        <w:top w:val="none" w:sz="0" w:space="0" w:color="auto"/>
        <w:left w:val="none" w:sz="0" w:space="0" w:color="auto"/>
        <w:bottom w:val="none" w:sz="0" w:space="0" w:color="auto"/>
        <w:right w:val="none" w:sz="0" w:space="0" w:color="auto"/>
      </w:divBdr>
    </w:div>
    <w:div w:id="1127315841">
      <w:bodyDiv w:val="1"/>
      <w:marLeft w:val="0"/>
      <w:marRight w:val="0"/>
      <w:marTop w:val="0"/>
      <w:marBottom w:val="0"/>
      <w:divBdr>
        <w:top w:val="none" w:sz="0" w:space="0" w:color="auto"/>
        <w:left w:val="none" w:sz="0" w:space="0" w:color="auto"/>
        <w:bottom w:val="none" w:sz="0" w:space="0" w:color="auto"/>
        <w:right w:val="none" w:sz="0" w:space="0" w:color="auto"/>
      </w:divBdr>
    </w:div>
    <w:div w:id="1138759793">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361128468">
      <w:bodyDiv w:val="1"/>
      <w:marLeft w:val="0"/>
      <w:marRight w:val="0"/>
      <w:marTop w:val="0"/>
      <w:marBottom w:val="0"/>
      <w:divBdr>
        <w:top w:val="none" w:sz="0" w:space="0" w:color="auto"/>
        <w:left w:val="none" w:sz="0" w:space="0" w:color="auto"/>
        <w:bottom w:val="none" w:sz="0" w:space="0" w:color="auto"/>
        <w:right w:val="none" w:sz="0" w:space="0" w:color="auto"/>
      </w:divBdr>
    </w:div>
    <w:div w:id="1368334478">
      <w:bodyDiv w:val="1"/>
      <w:marLeft w:val="0"/>
      <w:marRight w:val="0"/>
      <w:marTop w:val="0"/>
      <w:marBottom w:val="0"/>
      <w:divBdr>
        <w:top w:val="none" w:sz="0" w:space="0" w:color="auto"/>
        <w:left w:val="none" w:sz="0" w:space="0" w:color="auto"/>
        <w:bottom w:val="none" w:sz="0" w:space="0" w:color="auto"/>
        <w:right w:val="none" w:sz="0" w:space="0" w:color="auto"/>
      </w:divBdr>
    </w:div>
    <w:div w:id="1503621123">
      <w:bodyDiv w:val="1"/>
      <w:marLeft w:val="0"/>
      <w:marRight w:val="0"/>
      <w:marTop w:val="0"/>
      <w:marBottom w:val="0"/>
      <w:divBdr>
        <w:top w:val="none" w:sz="0" w:space="0" w:color="auto"/>
        <w:left w:val="none" w:sz="0" w:space="0" w:color="auto"/>
        <w:bottom w:val="none" w:sz="0" w:space="0" w:color="auto"/>
        <w:right w:val="none" w:sz="0" w:space="0" w:color="auto"/>
      </w:divBdr>
    </w:div>
    <w:div w:id="1619726295">
      <w:bodyDiv w:val="1"/>
      <w:marLeft w:val="0"/>
      <w:marRight w:val="0"/>
      <w:marTop w:val="0"/>
      <w:marBottom w:val="0"/>
      <w:divBdr>
        <w:top w:val="none" w:sz="0" w:space="0" w:color="auto"/>
        <w:left w:val="none" w:sz="0" w:space="0" w:color="auto"/>
        <w:bottom w:val="none" w:sz="0" w:space="0" w:color="auto"/>
        <w:right w:val="none" w:sz="0" w:space="0" w:color="auto"/>
      </w:divBdr>
    </w:div>
    <w:div w:id="167634610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bc575c28486f41f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063E3-7492-41DE-B126-C78BCB878507}">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5C21185A-AB21-4FE0-B299-F33F25942D9B}">
  <ds:schemaRefs>
    <ds:schemaRef ds:uri="http://schemas.microsoft.com/sharepoint/v3/contenttype/forms"/>
  </ds:schemaRefs>
</ds:datastoreItem>
</file>

<file path=customXml/itemProps3.xml><?xml version="1.0" encoding="utf-8"?>
<ds:datastoreItem xmlns:ds="http://schemas.openxmlformats.org/officeDocument/2006/customXml" ds:itemID="{3759E4C5-890D-469E-8D2A-F947A68E4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98DA2-3DA4-4AC1-83F7-0B1D3741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4491</Words>
  <Characters>24705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5</cp:revision>
  <cp:lastPrinted>2019-05-03T12:17:00Z</cp:lastPrinted>
  <dcterms:created xsi:type="dcterms:W3CDTF">2022-06-14T21:01:00Z</dcterms:created>
  <dcterms:modified xsi:type="dcterms:W3CDTF">2022-10-24T17:24:00Z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