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E39A6" w14:textId="77777777" w:rsidR="004C7F1D" w:rsidRPr="004C7F1D" w:rsidRDefault="004C7F1D" w:rsidP="004C7F1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bookmarkStart w:id="1" w:name="_GoBack"/>
      <w:bookmarkEnd w:id="1"/>
      <w:r w:rsidRPr="004C7F1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F674FD" w14:textId="77777777" w:rsidR="004C7F1D" w:rsidRPr="004C7F1D" w:rsidRDefault="004C7F1D" w:rsidP="004C7F1D">
      <w:pPr>
        <w:overflowPunct/>
        <w:autoSpaceDE/>
        <w:autoSpaceDN/>
        <w:adjustRightInd/>
        <w:jc w:val="both"/>
        <w:textAlignment w:val="auto"/>
        <w:rPr>
          <w:rFonts w:ascii="Arial" w:hAnsi="Arial" w:cs="Arial"/>
          <w:lang w:val="es-419"/>
        </w:rPr>
      </w:pPr>
    </w:p>
    <w:p w14:paraId="05F2E608" w14:textId="3576CC48" w:rsidR="004C7F1D" w:rsidRPr="004C7F1D" w:rsidRDefault="00F2368B" w:rsidP="004C7F1D">
      <w:pPr>
        <w:overflowPunct/>
        <w:autoSpaceDE/>
        <w:autoSpaceDN/>
        <w:adjustRightInd/>
        <w:jc w:val="both"/>
        <w:textAlignment w:val="auto"/>
        <w:rPr>
          <w:rFonts w:ascii="Arial" w:hAnsi="Arial" w:cs="Arial"/>
          <w:b/>
          <w:bCs/>
          <w:iCs/>
          <w:lang w:val="es-419" w:eastAsia="fr-FR"/>
        </w:rPr>
      </w:pPr>
      <w:r w:rsidRPr="004C7F1D">
        <w:rPr>
          <w:rFonts w:ascii="Arial" w:hAnsi="Arial" w:cs="Arial"/>
          <w:b/>
          <w:bCs/>
          <w:iCs/>
          <w:u w:val="single"/>
          <w:lang w:val="es-419" w:eastAsia="fr-FR"/>
        </w:rPr>
        <w:t>TEMAS:</w:t>
      </w:r>
      <w:r w:rsidRPr="004C7F1D">
        <w:rPr>
          <w:rFonts w:ascii="Arial" w:hAnsi="Arial" w:cs="Arial"/>
          <w:b/>
          <w:bCs/>
          <w:iCs/>
          <w:lang w:val="es-419" w:eastAsia="fr-FR"/>
        </w:rPr>
        <w:tab/>
      </w:r>
      <w:r>
        <w:rPr>
          <w:rFonts w:ascii="Arial" w:hAnsi="Arial" w:cs="Arial"/>
          <w:b/>
          <w:bCs/>
          <w:iCs/>
          <w:lang w:val="es-419" w:eastAsia="fr-FR"/>
        </w:rPr>
        <w:t>DEBIDO PROCESO / TUTELA CONTRA DECISIONES JUDICIALES / REQUISITOS GENERALES Y ESPECÍFICOS DE PROCEDIBILIDAD / INMEDIATEZ / ANÁLISIS JURISPRUDENCIAL / LA TUTELA DEBE PROMOVERSE A LA MAYOR BREVEDAD.</w:t>
      </w:r>
    </w:p>
    <w:p w14:paraId="526F6565" w14:textId="77777777" w:rsidR="004C7F1D" w:rsidRPr="004C7F1D" w:rsidRDefault="004C7F1D" w:rsidP="004C7F1D">
      <w:pPr>
        <w:overflowPunct/>
        <w:autoSpaceDE/>
        <w:autoSpaceDN/>
        <w:adjustRightInd/>
        <w:jc w:val="both"/>
        <w:textAlignment w:val="auto"/>
        <w:rPr>
          <w:rFonts w:ascii="Arial" w:hAnsi="Arial" w:cs="Arial"/>
          <w:lang w:val="es-419"/>
        </w:rPr>
      </w:pPr>
    </w:p>
    <w:p w14:paraId="766E68F5" w14:textId="64A6D674" w:rsidR="004C7F1D" w:rsidRPr="004C7F1D" w:rsidRDefault="005331DF" w:rsidP="004C7F1D">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5331DF">
        <w:rPr>
          <w:rFonts w:ascii="Arial" w:hAnsi="Arial" w:cs="Arial"/>
          <w:lang w:val="es-419"/>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w:t>
      </w:r>
      <w:r>
        <w:rPr>
          <w:rFonts w:ascii="Arial" w:hAnsi="Arial" w:cs="Arial"/>
          <w:lang w:val="es-419"/>
        </w:rPr>
        <w:t>…</w:t>
      </w:r>
    </w:p>
    <w:p w14:paraId="04BD7EE9" w14:textId="77777777" w:rsidR="004C7F1D" w:rsidRPr="004C7F1D" w:rsidRDefault="004C7F1D" w:rsidP="004C7F1D">
      <w:pPr>
        <w:overflowPunct/>
        <w:autoSpaceDE/>
        <w:autoSpaceDN/>
        <w:adjustRightInd/>
        <w:jc w:val="both"/>
        <w:textAlignment w:val="auto"/>
        <w:rPr>
          <w:rFonts w:ascii="Arial" w:hAnsi="Arial" w:cs="Arial"/>
          <w:lang w:val="es-419"/>
        </w:rPr>
      </w:pPr>
    </w:p>
    <w:p w14:paraId="74BA6684" w14:textId="67CFF186" w:rsidR="004C7F1D" w:rsidRPr="004C7F1D" w:rsidRDefault="007E66A8" w:rsidP="004C7F1D">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7E66A8">
        <w:rPr>
          <w:rFonts w:ascii="Arial" w:hAnsi="Arial" w:cs="Arial"/>
          <w:lang w:val="es-419"/>
        </w:rPr>
        <w:t>las primeras obedecen a (i) que el asunto sometido a estudio del juez de tutela tenga relevancia constitucional; (ii) que el actor haya agotado los recursos judiciales ordinarios y extraordinarios antes de acudir al juez de tutela; (iii) que la petición cumpla con el requisito de inmediatez</w:t>
      </w:r>
      <w:r>
        <w:rPr>
          <w:rFonts w:ascii="Arial" w:hAnsi="Arial" w:cs="Arial"/>
          <w:lang w:val="es-419"/>
        </w:rPr>
        <w:t>…</w:t>
      </w:r>
    </w:p>
    <w:p w14:paraId="2DFBC6CC" w14:textId="1AF4CB44" w:rsidR="004C7F1D" w:rsidRDefault="004C7F1D" w:rsidP="004C7F1D">
      <w:pPr>
        <w:overflowPunct/>
        <w:autoSpaceDE/>
        <w:autoSpaceDN/>
        <w:adjustRightInd/>
        <w:jc w:val="both"/>
        <w:textAlignment w:val="auto"/>
        <w:rPr>
          <w:rFonts w:ascii="Arial" w:hAnsi="Arial" w:cs="Arial"/>
        </w:rPr>
      </w:pPr>
    </w:p>
    <w:p w14:paraId="232E64F0" w14:textId="6C2A96D9" w:rsidR="00147C8E" w:rsidRPr="00147C8E" w:rsidRDefault="00147C8E" w:rsidP="00147C8E">
      <w:pPr>
        <w:overflowPunct/>
        <w:autoSpaceDE/>
        <w:autoSpaceDN/>
        <w:adjustRightInd/>
        <w:jc w:val="both"/>
        <w:textAlignment w:val="auto"/>
        <w:rPr>
          <w:rFonts w:ascii="Arial" w:hAnsi="Arial" w:cs="Arial"/>
        </w:rPr>
      </w:pPr>
      <w:r>
        <w:rPr>
          <w:rFonts w:ascii="Arial" w:hAnsi="Arial" w:cs="Arial"/>
        </w:rPr>
        <w:t xml:space="preserve">… </w:t>
      </w:r>
      <w:r w:rsidRPr="00147C8E">
        <w:rPr>
          <w:rFonts w:ascii="Arial" w:hAnsi="Arial" w:cs="Arial"/>
        </w:rPr>
        <w:t>rápido se advierte la improcedencia de la presente demanda que carece del presupuesto de la inmediatez, sobre el que se ha dicho:</w:t>
      </w:r>
    </w:p>
    <w:p w14:paraId="45E3003D" w14:textId="77777777" w:rsidR="00147C8E" w:rsidRPr="00147C8E" w:rsidRDefault="00147C8E" w:rsidP="00147C8E">
      <w:pPr>
        <w:overflowPunct/>
        <w:autoSpaceDE/>
        <w:autoSpaceDN/>
        <w:adjustRightInd/>
        <w:jc w:val="both"/>
        <w:textAlignment w:val="auto"/>
        <w:rPr>
          <w:rFonts w:ascii="Arial" w:hAnsi="Arial" w:cs="Arial"/>
        </w:rPr>
      </w:pPr>
    </w:p>
    <w:p w14:paraId="3C26B35D" w14:textId="006BB7A3" w:rsidR="00147C8E" w:rsidRDefault="00147C8E" w:rsidP="00147C8E">
      <w:pPr>
        <w:overflowPunct/>
        <w:autoSpaceDE/>
        <w:autoSpaceDN/>
        <w:adjustRightInd/>
        <w:jc w:val="both"/>
        <w:textAlignment w:val="auto"/>
        <w:rPr>
          <w:rFonts w:ascii="Arial" w:hAnsi="Arial" w:cs="Arial"/>
        </w:rPr>
      </w:pPr>
      <w:r>
        <w:rPr>
          <w:rFonts w:ascii="Arial" w:hAnsi="Arial" w:cs="Arial"/>
        </w:rPr>
        <w:t xml:space="preserve">“… </w:t>
      </w:r>
      <w:r w:rsidRPr="00147C8E">
        <w:rPr>
          <w:rFonts w:ascii="Arial" w:hAnsi="Arial" w:cs="Arial"/>
        </w:rPr>
        <w:t>La jurisprudencia constitucional ha sostenido que la inmediatez es una exigencia jurisprudencial que reclama la verificación de una correlación temporal entre la solicitud de tutela y el hecho judicial vulnerador de los derechos fundamentales, que puede explicarse de la siguiente forma: es improcedente la acción de tutela contra actuaciones judiciales cuando el paso del tiempo es tan significativo, que es irrazonable y desproporcionado un control constitucional de la actividad judicial por vía de la acción de tutela</w:t>
      </w:r>
      <w:r>
        <w:rPr>
          <w:rFonts w:ascii="Arial" w:hAnsi="Arial" w:cs="Arial"/>
        </w:rPr>
        <w:t>…”</w:t>
      </w:r>
    </w:p>
    <w:p w14:paraId="475EFA60" w14:textId="21B8074C" w:rsidR="00147C8E" w:rsidRDefault="00147C8E" w:rsidP="004C7F1D">
      <w:pPr>
        <w:overflowPunct/>
        <w:autoSpaceDE/>
        <w:autoSpaceDN/>
        <w:adjustRightInd/>
        <w:jc w:val="both"/>
        <w:textAlignment w:val="auto"/>
        <w:rPr>
          <w:rFonts w:ascii="Arial" w:hAnsi="Arial" w:cs="Arial"/>
        </w:rPr>
      </w:pPr>
    </w:p>
    <w:p w14:paraId="2BFCC0F5" w14:textId="4798ACD4" w:rsidR="00147C8E" w:rsidRDefault="00147C8E" w:rsidP="004C7F1D">
      <w:pPr>
        <w:overflowPunct/>
        <w:autoSpaceDE/>
        <w:autoSpaceDN/>
        <w:adjustRightInd/>
        <w:jc w:val="both"/>
        <w:textAlignment w:val="auto"/>
        <w:rPr>
          <w:rFonts w:ascii="Arial" w:hAnsi="Arial" w:cs="Arial"/>
        </w:rPr>
      </w:pPr>
      <w:r w:rsidRPr="00147C8E">
        <w:rPr>
          <w:rFonts w:ascii="Arial" w:hAnsi="Arial" w:cs="Arial"/>
        </w:rPr>
        <w:t>Como se ve, dada la importancia de salvaguardar la seguridad jurídica y la firmeza de las decisiones judiciales, una acción de tutela que se promueva contra una providencia de un juez, debe ser formulada a la mayor brevedad, de inmediato si es posible, porque si no se hace de ese modo, el amparo es palmariamente improcedente</w:t>
      </w:r>
      <w:r>
        <w:rPr>
          <w:rFonts w:ascii="Arial" w:hAnsi="Arial" w:cs="Arial"/>
        </w:rPr>
        <w:t>…</w:t>
      </w:r>
    </w:p>
    <w:p w14:paraId="472B1B87" w14:textId="5BCBF411" w:rsidR="00147C8E" w:rsidRDefault="00147C8E" w:rsidP="004C7F1D">
      <w:pPr>
        <w:overflowPunct/>
        <w:autoSpaceDE/>
        <w:autoSpaceDN/>
        <w:adjustRightInd/>
        <w:jc w:val="both"/>
        <w:textAlignment w:val="auto"/>
        <w:rPr>
          <w:rFonts w:ascii="Arial" w:hAnsi="Arial" w:cs="Arial"/>
        </w:rPr>
      </w:pPr>
    </w:p>
    <w:p w14:paraId="3A5F0AD7" w14:textId="241353A4" w:rsidR="00147C8E" w:rsidRDefault="00D14957" w:rsidP="004C7F1D">
      <w:pPr>
        <w:overflowPunct/>
        <w:autoSpaceDE/>
        <w:autoSpaceDN/>
        <w:adjustRightInd/>
        <w:jc w:val="both"/>
        <w:textAlignment w:val="auto"/>
        <w:rPr>
          <w:rFonts w:ascii="Arial" w:hAnsi="Arial" w:cs="Arial"/>
        </w:rPr>
      </w:pPr>
      <w:r w:rsidRPr="00D14957">
        <w:rPr>
          <w:rFonts w:ascii="Arial" w:hAnsi="Arial" w:cs="Arial"/>
        </w:rPr>
        <w:t>En el caso concreto, el fallo que se reprocha fue proferido el 18 de septiembre de 2015, y esta tutela fue presentada el 13 de julio de 2022, es decir, al cabo de casi siete años, como se ve, es excesivo el tiempo que ha transcurrido entre el momento en que sucedió la presunta vulneración y la radicación del amparo constitucional, y eso, de entrada, lo torna improcedente.</w:t>
      </w:r>
    </w:p>
    <w:p w14:paraId="1EDAEAD0" w14:textId="77777777" w:rsidR="00147C8E" w:rsidRPr="004C7F1D" w:rsidRDefault="00147C8E" w:rsidP="004C7F1D">
      <w:pPr>
        <w:overflowPunct/>
        <w:autoSpaceDE/>
        <w:autoSpaceDN/>
        <w:adjustRightInd/>
        <w:jc w:val="both"/>
        <w:textAlignment w:val="auto"/>
        <w:rPr>
          <w:rFonts w:ascii="Arial" w:hAnsi="Arial" w:cs="Arial"/>
        </w:rPr>
      </w:pPr>
    </w:p>
    <w:p w14:paraId="2F0648DE" w14:textId="77777777" w:rsidR="004C7F1D" w:rsidRPr="004C7F1D" w:rsidRDefault="004C7F1D" w:rsidP="004C7F1D">
      <w:pPr>
        <w:overflowPunct/>
        <w:autoSpaceDE/>
        <w:autoSpaceDN/>
        <w:adjustRightInd/>
        <w:jc w:val="both"/>
        <w:textAlignment w:val="auto"/>
        <w:rPr>
          <w:rFonts w:ascii="Arial" w:hAnsi="Arial" w:cs="Arial"/>
        </w:rPr>
      </w:pPr>
    </w:p>
    <w:p w14:paraId="1F262E70" w14:textId="77777777" w:rsidR="004C7F1D" w:rsidRPr="004C7F1D" w:rsidRDefault="004C7F1D" w:rsidP="004C7F1D">
      <w:pPr>
        <w:overflowPunct/>
        <w:autoSpaceDE/>
        <w:autoSpaceDN/>
        <w:adjustRightInd/>
        <w:jc w:val="both"/>
        <w:textAlignment w:val="auto"/>
        <w:rPr>
          <w:rFonts w:ascii="Arial" w:hAnsi="Arial" w:cs="Arial"/>
        </w:rPr>
      </w:pPr>
    </w:p>
    <w:bookmarkEnd w:id="0"/>
    <w:p w14:paraId="4B14FE4C" w14:textId="1EA43160" w:rsidR="00622EA3" w:rsidRPr="004C7F1D" w:rsidRDefault="00622EA3" w:rsidP="004C7F1D">
      <w:pPr>
        <w:spacing w:line="276" w:lineRule="auto"/>
        <w:ind w:firstLine="2835"/>
        <w:jc w:val="both"/>
        <w:rPr>
          <w:rFonts w:ascii="Gadugi" w:hAnsi="Gadugi"/>
          <w:b/>
          <w:bCs/>
          <w:sz w:val="24"/>
          <w:szCs w:val="24"/>
        </w:rPr>
      </w:pPr>
      <w:r w:rsidRPr="004C7F1D">
        <w:rPr>
          <w:rFonts w:ascii="Gadugi" w:hAnsi="Gadugi"/>
          <w:b/>
          <w:bCs/>
          <w:sz w:val="24"/>
          <w:szCs w:val="24"/>
        </w:rPr>
        <w:t xml:space="preserve">TRIBUNAL SUPERIOR DEL DISTRITO JUDICIAL </w:t>
      </w:r>
    </w:p>
    <w:p w14:paraId="7F6C7CB4" w14:textId="77777777" w:rsidR="00622EA3" w:rsidRPr="004C7F1D" w:rsidRDefault="00622EA3" w:rsidP="004C7F1D">
      <w:pPr>
        <w:spacing w:line="276" w:lineRule="auto"/>
        <w:ind w:firstLine="2835"/>
        <w:jc w:val="both"/>
        <w:rPr>
          <w:rFonts w:ascii="Gadugi" w:hAnsi="Gadugi"/>
          <w:b/>
          <w:sz w:val="24"/>
          <w:szCs w:val="24"/>
        </w:rPr>
      </w:pPr>
      <w:r w:rsidRPr="004C7F1D">
        <w:rPr>
          <w:rFonts w:ascii="Gadugi" w:hAnsi="Gadugi"/>
          <w:b/>
          <w:sz w:val="24"/>
          <w:szCs w:val="24"/>
        </w:rPr>
        <w:t xml:space="preserve">          SALA DE DECISIÓN CIVIL FAMILIA </w:t>
      </w:r>
    </w:p>
    <w:p w14:paraId="7FF8F016" w14:textId="77777777" w:rsidR="00622EA3" w:rsidRPr="004C7F1D" w:rsidRDefault="00622EA3" w:rsidP="004C7F1D">
      <w:pPr>
        <w:spacing w:line="276" w:lineRule="auto"/>
        <w:ind w:firstLine="2835"/>
        <w:jc w:val="both"/>
        <w:rPr>
          <w:rFonts w:ascii="Gadugi" w:hAnsi="Gadugi"/>
          <w:sz w:val="24"/>
          <w:szCs w:val="24"/>
        </w:rPr>
      </w:pPr>
    </w:p>
    <w:p w14:paraId="0C1F6F03" w14:textId="77777777" w:rsidR="00622EA3" w:rsidRPr="004C7F1D" w:rsidRDefault="00622EA3" w:rsidP="004C7F1D">
      <w:pPr>
        <w:spacing w:line="276" w:lineRule="auto"/>
        <w:ind w:firstLine="2835"/>
        <w:jc w:val="both"/>
        <w:rPr>
          <w:rFonts w:ascii="Gadugi" w:hAnsi="Gadugi"/>
          <w:sz w:val="24"/>
          <w:szCs w:val="24"/>
        </w:rPr>
      </w:pPr>
    </w:p>
    <w:p w14:paraId="2CF272AC" w14:textId="77777777" w:rsidR="00622EA3" w:rsidRPr="004C7F1D" w:rsidRDefault="00622EA3" w:rsidP="004C7F1D">
      <w:pPr>
        <w:spacing w:line="276" w:lineRule="auto"/>
        <w:ind w:firstLine="2835"/>
        <w:jc w:val="both"/>
        <w:rPr>
          <w:rFonts w:ascii="Gadugi" w:hAnsi="Gadugi"/>
          <w:sz w:val="24"/>
          <w:szCs w:val="24"/>
        </w:rPr>
      </w:pPr>
      <w:r w:rsidRPr="004C7F1D">
        <w:rPr>
          <w:rFonts w:ascii="Gadugi" w:hAnsi="Gadugi"/>
          <w:sz w:val="24"/>
          <w:szCs w:val="24"/>
        </w:rPr>
        <w:t>Magistrado: Jaime Alberto Saraza Naranjo</w:t>
      </w:r>
    </w:p>
    <w:p w14:paraId="6C260D3E" w14:textId="1C8A1DD7" w:rsidR="00622EA3" w:rsidRPr="004C7F1D" w:rsidRDefault="00622EA3" w:rsidP="004C7F1D">
      <w:pPr>
        <w:spacing w:line="276" w:lineRule="auto"/>
        <w:ind w:firstLine="2835"/>
        <w:jc w:val="both"/>
        <w:rPr>
          <w:rFonts w:ascii="Gadugi" w:hAnsi="Gadugi"/>
          <w:sz w:val="24"/>
          <w:szCs w:val="24"/>
          <w:lang w:val="es-419"/>
        </w:rPr>
      </w:pPr>
      <w:r w:rsidRPr="004C7F1D">
        <w:rPr>
          <w:rFonts w:ascii="Gadugi" w:hAnsi="Gadugi"/>
          <w:sz w:val="24"/>
          <w:szCs w:val="24"/>
        </w:rPr>
        <w:t>Pereira,</w:t>
      </w:r>
      <w:r w:rsidR="0037206B" w:rsidRPr="004C7F1D">
        <w:rPr>
          <w:rFonts w:ascii="Gadugi" w:hAnsi="Gadugi"/>
          <w:sz w:val="24"/>
          <w:szCs w:val="24"/>
        </w:rPr>
        <w:t xml:space="preserve"> </w:t>
      </w:r>
      <w:r w:rsidR="00CE5E44" w:rsidRPr="004C7F1D">
        <w:rPr>
          <w:rFonts w:ascii="Gadugi" w:hAnsi="Gadugi"/>
          <w:sz w:val="24"/>
          <w:szCs w:val="24"/>
        </w:rPr>
        <w:t xml:space="preserve">julio veintisiete de dos mil veintidós </w:t>
      </w:r>
      <w:r w:rsidR="0065475E" w:rsidRPr="004C7F1D">
        <w:rPr>
          <w:rFonts w:ascii="Gadugi" w:hAnsi="Gadugi"/>
          <w:sz w:val="24"/>
          <w:szCs w:val="24"/>
        </w:rPr>
        <w:t xml:space="preserve"> </w:t>
      </w:r>
      <w:r w:rsidR="0037206B" w:rsidRPr="004C7F1D">
        <w:rPr>
          <w:rFonts w:ascii="Gadugi" w:hAnsi="Gadugi"/>
          <w:sz w:val="24"/>
          <w:szCs w:val="24"/>
        </w:rPr>
        <w:t xml:space="preserve"> </w:t>
      </w:r>
      <w:r w:rsidR="00C700B9" w:rsidRPr="004C7F1D">
        <w:rPr>
          <w:rFonts w:ascii="Gadugi" w:hAnsi="Gadugi"/>
          <w:sz w:val="24"/>
          <w:szCs w:val="24"/>
        </w:rPr>
        <w:t xml:space="preserve"> </w:t>
      </w:r>
      <w:r w:rsidR="00C40E78" w:rsidRPr="004C7F1D">
        <w:rPr>
          <w:rFonts w:ascii="Gadugi" w:hAnsi="Gadugi"/>
          <w:sz w:val="24"/>
          <w:szCs w:val="24"/>
        </w:rPr>
        <w:t xml:space="preserve"> </w:t>
      </w:r>
      <w:r w:rsidR="007E2115" w:rsidRPr="004C7F1D">
        <w:rPr>
          <w:rFonts w:ascii="Gadugi" w:hAnsi="Gadugi"/>
          <w:sz w:val="24"/>
          <w:szCs w:val="24"/>
        </w:rPr>
        <w:t xml:space="preserve"> </w:t>
      </w:r>
      <w:r w:rsidR="00A94C77" w:rsidRPr="004C7F1D">
        <w:rPr>
          <w:rFonts w:ascii="Gadugi" w:hAnsi="Gadugi"/>
          <w:sz w:val="24"/>
          <w:szCs w:val="24"/>
        </w:rPr>
        <w:t xml:space="preserve"> </w:t>
      </w:r>
      <w:r w:rsidR="00396FAF" w:rsidRPr="004C7F1D">
        <w:rPr>
          <w:rFonts w:ascii="Gadugi" w:hAnsi="Gadugi"/>
          <w:sz w:val="24"/>
          <w:szCs w:val="24"/>
        </w:rPr>
        <w:t xml:space="preserve"> </w:t>
      </w:r>
      <w:r w:rsidR="006B737A" w:rsidRPr="004C7F1D">
        <w:rPr>
          <w:rFonts w:ascii="Gadugi" w:hAnsi="Gadugi"/>
          <w:sz w:val="24"/>
          <w:szCs w:val="24"/>
        </w:rPr>
        <w:t xml:space="preserve"> </w:t>
      </w:r>
      <w:r w:rsidR="00C700B9" w:rsidRPr="004C7F1D">
        <w:rPr>
          <w:rFonts w:ascii="Gadugi" w:hAnsi="Gadugi"/>
          <w:sz w:val="24"/>
          <w:szCs w:val="24"/>
        </w:rPr>
        <w:t xml:space="preserve"> </w:t>
      </w:r>
      <w:r w:rsidR="0022315A" w:rsidRPr="004C7F1D">
        <w:rPr>
          <w:rFonts w:ascii="Gadugi" w:hAnsi="Gadugi"/>
          <w:sz w:val="24"/>
          <w:szCs w:val="24"/>
        </w:rPr>
        <w:t xml:space="preserve"> </w:t>
      </w:r>
      <w:r w:rsidR="00C527D7" w:rsidRPr="004C7F1D">
        <w:rPr>
          <w:rFonts w:ascii="Gadugi" w:hAnsi="Gadugi"/>
          <w:sz w:val="24"/>
          <w:szCs w:val="24"/>
        </w:rPr>
        <w:t xml:space="preserve"> </w:t>
      </w:r>
      <w:r w:rsidR="00C363A5" w:rsidRPr="004C7F1D">
        <w:rPr>
          <w:rFonts w:ascii="Gadugi" w:hAnsi="Gadugi"/>
          <w:sz w:val="24"/>
          <w:szCs w:val="24"/>
        </w:rPr>
        <w:t xml:space="preserve"> </w:t>
      </w:r>
      <w:r w:rsidR="00AC613D" w:rsidRPr="004C7F1D">
        <w:rPr>
          <w:rFonts w:ascii="Gadugi" w:hAnsi="Gadugi"/>
          <w:sz w:val="24"/>
          <w:szCs w:val="24"/>
        </w:rPr>
        <w:t xml:space="preserve"> </w:t>
      </w:r>
      <w:r w:rsidR="00C363A5" w:rsidRPr="004C7F1D">
        <w:rPr>
          <w:rFonts w:ascii="Gadugi" w:hAnsi="Gadugi"/>
          <w:sz w:val="24"/>
          <w:szCs w:val="24"/>
        </w:rPr>
        <w:t xml:space="preserve"> </w:t>
      </w:r>
      <w:r w:rsidR="008B1C3E" w:rsidRPr="004C7F1D">
        <w:rPr>
          <w:rFonts w:ascii="Gadugi" w:hAnsi="Gadugi"/>
          <w:sz w:val="24"/>
          <w:szCs w:val="24"/>
        </w:rPr>
        <w:t xml:space="preserve"> </w:t>
      </w:r>
      <w:r w:rsidR="0031224F" w:rsidRPr="004C7F1D">
        <w:rPr>
          <w:rFonts w:ascii="Gadugi" w:hAnsi="Gadugi"/>
          <w:sz w:val="24"/>
          <w:szCs w:val="24"/>
        </w:rPr>
        <w:t xml:space="preserve"> </w:t>
      </w:r>
      <w:r w:rsidR="00CA22AE" w:rsidRPr="004C7F1D">
        <w:rPr>
          <w:rFonts w:ascii="Gadugi" w:hAnsi="Gadugi"/>
          <w:sz w:val="24"/>
          <w:szCs w:val="24"/>
        </w:rPr>
        <w:t xml:space="preserve"> </w:t>
      </w:r>
      <w:r w:rsidR="008E3460" w:rsidRPr="004C7F1D">
        <w:rPr>
          <w:rFonts w:ascii="Gadugi" w:hAnsi="Gadugi"/>
          <w:sz w:val="24"/>
          <w:szCs w:val="24"/>
        </w:rPr>
        <w:t xml:space="preserve"> </w:t>
      </w:r>
      <w:r w:rsidR="003F5B8E" w:rsidRPr="004C7F1D">
        <w:rPr>
          <w:rFonts w:ascii="Gadugi" w:hAnsi="Gadugi"/>
          <w:sz w:val="24"/>
          <w:szCs w:val="24"/>
        </w:rPr>
        <w:t xml:space="preserve"> </w:t>
      </w:r>
      <w:r w:rsidR="00B85916" w:rsidRPr="004C7F1D">
        <w:rPr>
          <w:rFonts w:ascii="Gadugi" w:hAnsi="Gadugi"/>
          <w:sz w:val="24"/>
          <w:szCs w:val="24"/>
        </w:rPr>
        <w:t xml:space="preserve"> </w:t>
      </w:r>
      <w:r w:rsidR="00C325B0" w:rsidRPr="004C7F1D">
        <w:rPr>
          <w:rFonts w:ascii="Gadugi" w:hAnsi="Gadugi"/>
          <w:sz w:val="24"/>
          <w:szCs w:val="24"/>
        </w:rPr>
        <w:t xml:space="preserve"> </w:t>
      </w:r>
      <w:r w:rsidR="0085355E" w:rsidRPr="004C7F1D">
        <w:rPr>
          <w:rFonts w:ascii="Gadugi" w:hAnsi="Gadugi"/>
          <w:sz w:val="24"/>
          <w:szCs w:val="24"/>
        </w:rPr>
        <w:t xml:space="preserve"> </w:t>
      </w:r>
      <w:r w:rsidR="003F5B8E" w:rsidRPr="004C7F1D">
        <w:rPr>
          <w:rFonts w:ascii="Gadugi" w:hAnsi="Gadugi"/>
          <w:sz w:val="24"/>
          <w:szCs w:val="24"/>
        </w:rPr>
        <w:t xml:space="preserve"> </w:t>
      </w:r>
      <w:r w:rsidR="00D475CE" w:rsidRPr="004C7F1D">
        <w:rPr>
          <w:rFonts w:ascii="Gadugi" w:hAnsi="Gadugi"/>
          <w:sz w:val="24"/>
          <w:szCs w:val="24"/>
        </w:rPr>
        <w:t xml:space="preserve"> </w:t>
      </w:r>
      <w:r w:rsidR="003F45D8" w:rsidRPr="004C7F1D">
        <w:rPr>
          <w:rFonts w:ascii="Gadugi" w:hAnsi="Gadugi"/>
          <w:sz w:val="24"/>
          <w:szCs w:val="24"/>
        </w:rPr>
        <w:t xml:space="preserve"> </w:t>
      </w:r>
      <w:r w:rsidR="00041D47" w:rsidRPr="004C7F1D">
        <w:rPr>
          <w:rFonts w:ascii="Gadugi" w:hAnsi="Gadugi"/>
          <w:sz w:val="24"/>
          <w:szCs w:val="24"/>
        </w:rPr>
        <w:t xml:space="preserve"> </w:t>
      </w:r>
      <w:r w:rsidR="00306C9C" w:rsidRPr="004C7F1D">
        <w:rPr>
          <w:rFonts w:ascii="Gadugi" w:hAnsi="Gadugi"/>
          <w:sz w:val="24"/>
          <w:szCs w:val="24"/>
        </w:rPr>
        <w:t xml:space="preserve"> </w:t>
      </w:r>
      <w:r w:rsidR="003B3B92" w:rsidRPr="004C7F1D">
        <w:rPr>
          <w:rFonts w:ascii="Gadugi" w:hAnsi="Gadugi"/>
          <w:sz w:val="24"/>
          <w:szCs w:val="24"/>
        </w:rPr>
        <w:t xml:space="preserve"> </w:t>
      </w:r>
      <w:r w:rsidR="003C1950" w:rsidRPr="004C7F1D">
        <w:rPr>
          <w:rFonts w:ascii="Gadugi" w:hAnsi="Gadugi"/>
          <w:sz w:val="24"/>
          <w:szCs w:val="24"/>
        </w:rPr>
        <w:t xml:space="preserve"> </w:t>
      </w:r>
      <w:r w:rsidR="00E45B97" w:rsidRPr="004C7F1D">
        <w:rPr>
          <w:rFonts w:ascii="Gadugi" w:hAnsi="Gadugi"/>
          <w:sz w:val="24"/>
          <w:szCs w:val="24"/>
        </w:rPr>
        <w:t xml:space="preserve"> </w:t>
      </w:r>
      <w:r w:rsidR="003A2345" w:rsidRPr="004C7F1D">
        <w:rPr>
          <w:rFonts w:ascii="Gadugi" w:hAnsi="Gadugi"/>
          <w:sz w:val="24"/>
          <w:szCs w:val="24"/>
        </w:rPr>
        <w:t xml:space="preserve"> </w:t>
      </w:r>
      <w:r w:rsidR="00E45B97" w:rsidRPr="004C7F1D">
        <w:rPr>
          <w:rFonts w:ascii="Gadugi" w:hAnsi="Gadugi"/>
          <w:sz w:val="24"/>
          <w:szCs w:val="24"/>
        </w:rPr>
        <w:t xml:space="preserve">           </w:t>
      </w:r>
      <w:r w:rsidRPr="004C7F1D">
        <w:rPr>
          <w:rFonts w:ascii="Gadugi" w:hAnsi="Gadugi"/>
          <w:sz w:val="24"/>
          <w:szCs w:val="24"/>
        </w:rPr>
        <w:t xml:space="preserve"> </w:t>
      </w:r>
      <w:r w:rsidR="00167C1B" w:rsidRPr="004C7F1D">
        <w:rPr>
          <w:rFonts w:ascii="Gadugi" w:hAnsi="Gadugi"/>
          <w:sz w:val="24"/>
          <w:szCs w:val="24"/>
        </w:rPr>
        <w:t xml:space="preserve"> </w:t>
      </w:r>
      <w:r w:rsidRPr="004C7F1D">
        <w:rPr>
          <w:rFonts w:ascii="Gadugi" w:hAnsi="Gadugi"/>
          <w:sz w:val="24"/>
          <w:szCs w:val="24"/>
        </w:rPr>
        <w:t xml:space="preserve">         </w:t>
      </w:r>
    </w:p>
    <w:p w14:paraId="0AD6FEC9" w14:textId="05BA6523" w:rsidR="00622EA3" w:rsidRPr="004C7F1D" w:rsidRDefault="00622EA3" w:rsidP="004C7F1D">
      <w:pPr>
        <w:spacing w:line="276" w:lineRule="auto"/>
        <w:ind w:firstLine="2835"/>
        <w:jc w:val="both"/>
        <w:rPr>
          <w:rFonts w:ascii="Gadugi" w:hAnsi="Gadugi"/>
          <w:sz w:val="24"/>
          <w:szCs w:val="24"/>
        </w:rPr>
      </w:pPr>
      <w:r w:rsidRPr="004C7F1D">
        <w:rPr>
          <w:rFonts w:ascii="Gadugi" w:hAnsi="Gadugi"/>
          <w:sz w:val="24"/>
          <w:szCs w:val="24"/>
        </w:rPr>
        <w:t>Expediente: 660012213000202</w:t>
      </w:r>
      <w:r w:rsidR="008E3460" w:rsidRPr="004C7F1D">
        <w:rPr>
          <w:rFonts w:ascii="Gadugi" w:hAnsi="Gadugi"/>
          <w:sz w:val="24"/>
          <w:szCs w:val="24"/>
        </w:rPr>
        <w:t>2</w:t>
      </w:r>
      <w:r w:rsidR="00AC613D" w:rsidRPr="004C7F1D">
        <w:rPr>
          <w:rFonts w:ascii="Gadugi" w:hAnsi="Gadugi"/>
          <w:sz w:val="24"/>
          <w:szCs w:val="24"/>
        </w:rPr>
        <w:t>00</w:t>
      </w:r>
      <w:r w:rsidR="00C40E78" w:rsidRPr="004C7F1D">
        <w:rPr>
          <w:rFonts w:ascii="Gadugi" w:hAnsi="Gadugi"/>
          <w:sz w:val="24"/>
          <w:szCs w:val="24"/>
        </w:rPr>
        <w:t>1</w:t>
      </w:r>
      <w:r w:rsidR="0065475E" w:rsidRPr="004C7F1D">
        <w:rPr>
          <w:rFonts w:ascii="Gadugi" w:hAnsi="Gadugi"/>
          <w:sz w:val="24"/>
          <w:szCs w:val="24"/>
        </w:rPr>
        <w:t>72</w:t>
      </w:r>
      <w:r w:rsidRPr="004C7F1D">
        <w:rPr>
          <w:rFonts w:ascii="Gadugi" w:hAnsi="Gadugi"/>
          <w:sz w:val="24"/>
          <w:szCs w:val="24"/>
        </w:rPr>
        <w:t>00</w:t>
      </w:r>
    </w:p>
    <w:p w14:paraId="74F910DA" w14:textId="74D8641B" w:rsidR="00622EA3" w:rsidRPr="004C7F1D" w:rsidRDefault="00622EA3" w:rsidP="004C7F1D">
      <w:pPr>
        <w:spacing w:line="276" w:lineRule="auto"/>
        <w:jc w:val="both"/>
        <w:rPr>
          <w:rFonts w:ascii="Gadugi" w:hAnsi="Gadugi"/>
          <w:sz w:val="24"/>
          <w:szCs w:val="24"/>
        </w:rPr>
      </w:pPr>
      <w:r w:rsidRPr="004C7F1D">
        <w:rPr>
          <w:rFonts w:ascii="Gadugi" w:hAnsi="Gadugi"/>
          <w:sz w:val="24"/>
          <w:szCs w:val="24"/>
        </w:rPr>
        <w:t xml:space="preserve">                        </w:t>
      </w:r>
      <w:r w:rsidRPr="004C7F1D">
        <w:rPr>
          <w:rFonts w:ascii="Gadugi" w:hAnsi="Gadugi"/>
          <w:sz w:val="24"/>
          <w:szCs w:val="24"/>
        </w:rPr>
        <w:tab/>
      </w:r>
      <w:r w:rsidRPr="004C7F1D">
        <w:rPr>
          <w:rFonts w:ascii="Gadugi" w:hAnsi="Gadugi"/>
          <w:sz w:val="24"/>
          <w:szCs w:val="24"/>
        </w:rPr>
        <w:tab/>
        <w:t>Acta:</w:t>
      </w:r>
      <w:r w:rsidR="00CE5E44" w:rsidRPr="004C7F1D">
        <w:rPr>
          <w:rFonts w:ascii="Gadugi" w:hAnsi="Gadugi"/>
          <w:sz w:val="24"/>
          <w:szCs w:val="24"/>
        </w:rPr>
        <w:t xml:space="preserve"> 245 del 27 de julio de 2022</w:t>
      </w:r>
      <w:r w:rsidR="00C363A5" w:rsidRPr="004C7F1D">
        <w:rPr>
          <w:rFonts w:ascii="Gadugi" w:hAnsi="Gadugi"/>
          <w:sz w:val="24"/>
          <w:szCs w:val="24"/>
        </w:rPr>
        <w:t xml:space="preserve"> </w:t>
      </w:r>
      <w:r w:rsidR="0065475E" w:rsidRPr="004C7F1D">
        <w:rPr>
          <w:rFonts w:ascii="Gadugi" w:hAnsi="Gadugi"/>
          <w:sz w:val="24"/>
          <w:szCs w:val="24"/>
        </w:rPr>
        <w:t xml:space="preserve"> </w:t>
      </w:r>
      <w:r w:rsidR="00C40E78" w:rsidRPr="004C7F1D">
        <w:rPr>
          <w:rFonts w:ascii="Gadugi" w:hAnsi="Gadugi"/>
          <w:sz w:val="24"/>
          <w:szCs w:val="24"/>
        </w:rPr>
        <w:t xml:space="preserve"> </w:t>
      </w:r>
      <w:r w:rsidR="00A94C77" w:rsidRPr="004C7F1D">
        <w:rPr>
          <w:rFonts w:ascii="Gadugi" w:hAnsi="Gadugi"/>
          <w:sz w:val="24"/>
          <w:szCs w:val="24"/>
        </w:rPr>
        <w:t xml:space="preserve"> </w:t>
      </w:r>
      <w:r w:rsidR="006B737A" w:rsidRPr="004C7F1D">
        <w:rPr>
          <w:rFonts w:ascii="Gadugi" w:hAnsi="Gadugi"/>
          <w:sz w:val="24"/>
          <w:szCs w:val="24"/>
        </w:rPr>
        <w:t xml:space="preserve"> </w:t>
      </w:r>
      <w:r w:rsidR="00C527D7" w:rsidRPr="004C7F1D">
        <w:rPr>
          <w:rFonts w:ascii="Gadugi" w:hAnsi="Gadugi"/>
          <w:sz w:val="24"/>
          <w:szCs w:val="24"/>
        </w:rPr>
        <w:t xml:space="preserve"> </w:t>
      </w:r>
      <w:r w:rsidR="00CA22AE" w:rsidRPr="004C7F1D">
        <w:rPr>
          <w:rFonts w:ascii="Gadugi" w:hAnsi="Gadugi"/>
          <w:sz w:val="24"/>
          <w:szCs w:val="24"/>
        </w:rPr>
        <w:t xml:space="preserve"> </w:t>
      </w:r>
      <w:r w:rsidR="0031224F" w:rsidRPr="004C7F1D">
        <w:rPr>
          <w:rFonts w:ascii="Gadugi" w:hAnsi="Gadugi"/>
          <w:sz w:val="24"/>
          <w:szCs w:val="24"/>
        </w:rPr>
        <w:t xml:space="preserve"> </w:t>
      </w:r>
      <w:r w:rsidR="008E3460" w:rsidRPr="004C7F1D">
        <w:rPr>
          <w:rFonts w:ascii="Gadugi" w:hAnsi="Gadugi"/>
          <w:sz w:val="24"/>
          <w:szCs w:val="24"/>
        </w:rPr>
        <w:t xml:space="preserve"> </w:t>
      </w:r>
      <w:r w:rsidR="00D475CE" w:rsidRPr="004C7F1D">
        <w:rPr>
          <w:rFonts w:ascii="Gadugi" w:hAnsi="Gadugi"/>
          <w:sz w:val="24"/>
          <w:szCs w:val="24"/>
        </w:rPr>
        <w:t xml:space="preserve"> </w:t>
      </w:r>
      <w:r w:rsidR="00B85916" w:rsidRPr="004C7F1D">
        <w:rPr>
          <w:rFonts w:ascii="Gadugi" w:hAnsi="Gadugi"/>
          <w:sz w:val="24"/>
          <w:szCs w:val="24"/>
        </w:rPr>
        <w:t xml:space="preserve"> </w:t>
      </w:r>
      <w:r w:rsidR="0085355E" w:rsidRPr="004C7F1D">
        <w:rPr>
          <w:rFonts w:ascii="Gadugi" w:hAnsi="Gadugi"/>
          <w:sz w:val="24"/>
          <w:szCs w:val="24"/>
        </w:rPr>
        <w:t xml:space="preserve"> </w:t>
      </w:r>
      <w:r w:rsidR="003F45D8" w:rsidRPr="004C7F1D">
        <w:rPr>
          <w:rFonts w:ascii="Gadugi" w:hAnsi="Gadugi"/>
          <w:sz w:val="24"/>
          <w:szCs w:val="24"/>
        </w:rPr>
        <w:t xml:space="preserve"> </w:t>
      </w:r>
      <w:r w:rsidR="00041D47" w:rsidRPr="004C7F1D">
        <w:rPr>
          <w:rFonts w:ascii="Gadugi" w:hAnsi="Gadugi"/>
          <w:sz w:val="24"/>
          <w:szCs w:val="24"/>
        </w:rPr>
        <w:t xml:space="preserve"> </w:t>
      </w:r>
      <w:r w:rsidR="00306C9C" w:rsidRPr="004C7F1D">
        <w:rPr>
          <w:rFonts w:ascii="Gadugi" w:hAnsi="Gadugi"/>
          <w:sz w:val="24"/>
          <w:szCs w:val="24"/>
        </w:rPr>
        <w:t xml:space="preserve"> </w:t>
      </w:r>
      <w:r w:rsidR="00E45B97" w:rsidRPr="004C7F1D">
        <w:rPr>
          <w:rFonts w:ascii="Gadugi" w:hAnsi="Gadugi"/>
          <w:sz w:val="24"/>
          <w:szCs w:val="24"/>
        </w:rPr>
        <w:t xml:space="preserve"> </w:t>
      </w:r>
      <w:r w:rsidR="003C1950" w:rsidRPr="004C7F1D">
        <w:rPr>
          <w:rFonts w:ascii="Gadugi" w:hAnsi="Gadugi"/>
          <w:sz w:val="24"/>
          <w:szCs w:val="24"/>
        </w:rPr>
        <w:t xml:space="preserve"> </w:t>
      </w:r>
      <w:r w:rsidR="003A2345" w:rsidRPr="004C7F1D">
        <w:rPr>
          <w:rFonts w:ascii="Gadugi" w:hAnsi="Gadugi"/>
          <w:sz w:val="24"/>
          <w:szCs w:val="24"/>
        </w:rPr>
        <w:t xml:space="preserve"> </w:t>
      </w:r>
      <w:r w:rsidRPr="004C7F1D">
        <w:rPr>
          <w:rFonts w:ascii="Gadugi" w:hAnsi="Gadugi"/>
          <w:sz w:val="24"/>
          <w:szCs w:val="24"/>
        </w:rPr>
        <w:t xml:space="preserve"> </w:t>
      </w:r>
      <w:r w:rsidR="00167C1B" w:rsidRPr="004C7F1D">
        <w:rPr>
          <w:rFonts w:ascii="Gadugi" w:hAnsi="Gadugi"/>
          <w:sz w:val="24"/>
          <w:szCs w:val="24"/>
        </w:rPr>
        <w:t xml:space="preserve"> </w:t>
      </w:r>
      <w:r w:rsidRPr="004C7F1D">
        <w:rPr>
          <w:rFonts w:ascii="Gadugi" w:hAnsi="Gadugi"/>
          <w:sz w:val="24"/>
          <w:szCs w:val="24"/>
        </w:rPr>
        <w:t xml:space="preserve">     </w:t>
      </w:r>
    </w:p>
    <w:p w14:paraId="12085F01" w14:textId="7706F0B3" w:rsidR="00622EA3" w:rsidRPr="004C7F1D" w:rsidRDefault="00622EA3" w:rsidP="004C7F1D">
      <w:pPr>
        <w:spacing w:line="276" w:lineRule="auto"/>
        <w:jc w:val="both"/>
        <w:rPr>
          <w:rFonts w:ascii="Gadugi" w:hAnsi="Gadugi"/>
          <w:sz w:val="24"/>
          <w:szCs w:val="24"/>
          <w:lang w:val="es-419"/>
        </w:rPr>
      </w:pPr>
      <w:r w:rsidRPr="004C7F1D">
        <w:rPr>
          <w:rFonts w:ascii="Gadugi" w:hAnsi="Gadugi"/>
          <w:sz w:val="24"/>
          <w:szCs w:val="24"/>
        </w:rPr>
        <w:tab/>
      </w:r>
      <w:r w:rsidRPr="004C7F1D">
        <w:rPr>
          <w:rFonts w:ascii="Gadugi" w:hAnsi="Gadugi"/>
          <w:sz w:val="24"/>
          <w:szCs w:val="24"/>
        </w:rPr>
        <w:tab/>
      </w:r>
      <w:r w:rsidRPr="004C7F1D">
        <w:rPr>
          <w:rFonts w:ascii="Gadugi" w:hAnsi="Gadugi"/>
          <w:sz w:val="24"/>
          <w:szCs w:val="24"/>
        </w:rPr>
        <w:tab/>
      </w:r>
      <w:r w:rsidRPr="004C7F1D">
        <w:rPr>
          <w:rFonts w:ascii="Gadugi" w:hAnsi="Gadugi"/>
          <w:sz w:val="24"/>
          <w:szCs w:val="24"/>
        </w:rPr>
        <w:tab/>
        <w:t>Sentencia:</w:t>
      </w:r>
      <w:r w:rsidR="0037206B" w:rsidRPr="004C7F1D">
        <w:rPr>
          <w:rFonts w:ascii="Gadugi" w:hAnsi="Gadugi"/>
          <w:sz w:val="24"/>
          <w:szCs w:val="24"/>
        </w:rPr>
        <w:t xml:space="preserve"> </w:t>
      </w:r>
      <w:r w:rsidR="00CE5E44" w:rsidRPr="004C7F1D">
        <w:rPr>
          <w:rFonts w:ascii="Gadugi" w:hAnsi="Gadugi"/>
          <w:sz w:val="24"/>
          <w:szCs w:val="24"/>
        </w:rPr>
        <w:t>ST1-0143-2022</w:t>
      </w:r>
      <w:r w:rsidR="0065475E" w:rsidRPr="004C7F1D">
        <w:rPr>
          <w:rFonts w:ascii="Gadugi" w:hAnsi="Gadugi"/>
          <w:sz w:val="24"/>
          <w:szCs w:val="24"/>
        </w:rPr>
        <w:t xml:space="preserve"> </w:t>
      </w:r>
    </w:p>
    <w:p w14:paraId="66315ABD" w14:textId="77777777" w:rsidR="00622EA3" w:rsidRPr="004C7F1D" w:rsidRDefault="00622EA3" w:rsidP="004C7F1D">
      <w:pPr>
        <w:spacing w:line="276" w:lineRule="auto"/>
        <w:ind w:firstLine="2835"/>
        <w:jc w:val="both"/>
        <w:rPr>
          <w:rFonts w:ascii="Gadugi" w:hAnsi="Gadugi"/>
          <w:sz w:val="24"/>
          <w:szCs w:val="24"/>
        </w:rPr>
      </w:pPr>
    </w:p>
    <w:p w14:paraId="0E72F967" w14:textId="4C1E39C0" w:rsidR="00622EA3" w:rsidRPr="004C7F1D" w:rsidRDefault="00622EA3" w:rsidP="004C7F1D">
      <w:pPr>
        <w:spacing w:line="276" w:lineRule="auto"/>
        <w:ind w:firstLine="2835"/>
        <w:jc w:val="both"/>
        <w:rPr>
          <w:rFonts w:ascii="Gadugi" w:hAnsi="Gadugi"/>
          <w:sz w:val="24"/>
          <w:szCs w:val="24"/>
        </w:rPr>
      </w:pPr>
    </w:p>
    <w:p w14:paraId="13B0947F" w14:textId="6106B0B6" w:rsidR="006B737A" w:rsidRPr="004C7F1D" w:rsidRDefault="00622EA3" w:rsidP="004C7F1D">
      <w:pPr>
        <w:spacing w:line="276" w:lineRule="auto"/>
        <w:ind w:firstLine="2835"/>
        <w:jc w:val="both"/>
        <w:rPr>
          <w:rFonts w:ascii="Gadugi" w:hAnsi="Gadugi"/>
          <w:sz w:val="24"/>
          <w:szCs w:val="24"/>
          <w:lang w:val="es-MX"/>
        </w:rPr>
      </w:pPr>
      <w:r w:rsidRPr="004C7F1D">
        <w:rPr>
          <w:rFonts w:ascii="Gadugi" w:hAnsi="Gadugi" w:cs="Century Gothic"/>
          <w:sz w:val="24"/>
          <w:szCs w:val="24"/>
        </w:rPr>
        <w:t>Decide</w:t>
      </w:r>
      <w:r w:rsidR="00A94C77" w:rsidRPr="004C7F1D">
        <w:rPr>
          <w:rFonts w:ascii="Gadugi" w:hAnsi="Gadugi" w:cs="Century Gothic"/>
          <w:sz w:val="24"/>
          <w:szCs w:val="24"/>
        </w:rPr>
        <w:t xml:space="preserve"> </w:t>
      </w:r>
      <w:r w:rsidRPr="004C7F1D">
        <w:rPr>
          <w:rFonts w:ascii="Gadugi" w:hAnsi="Gadugi" w:cs="Century Gothic"/>
          <w:sz w:val="24"/>
          <w:szCs w:val="24"/>
        </w:rPr>
        <w:t xml:space="preserve">la Sala la </w:t>
      </w:r>
      <w:r w:rsidRPr="0024308E">
        <w:rPr>
          <w:rFonts w:ascii="Gadugi" w:hAnsi="Gadugi" w:cs="Century Gothic"/>
          <w:b/>
          <w:sz w:val="24"/>
          <w:szCs w:val="24"/>
        </w:rPr>
        <w:t>acción de tutela</w:t>
      </w:r>
      <w:r w:rsidRPr="004C7F1D">
        <w:rPr>
          <w:rFonts w:ascii="Gadugi" w:hAnsi="Gadugi" w:cs="Century Gothic"/>
          <w:sz w:val="24"/>
          <w:szCs w:val="24"/>
        </w:rPr>
        <w:t xml:space="preserve"> promovida</w:t>
      </w:r>
      <w:r w:rsidR="00C74A19" w:rsidRPr="004C7F1D">
        <w:rPr>
          <w:rFonts w:ascii="Gadugi" w:hAnsi="Gadugi" w:cs="Century Gothic"/>
          <w:sz w:val="24"/>
          <w:szCs w:val="24"/>
        </w:rPr>
        <w:t>, mediante agente oficioso,</w:t>
      </w:r>
      <w:r w:rsidR="00667A1A" w:rsidRPr="004C7F1D">
        <w:rPr>
          <w:rFonts w:ascii="Gadugi" w:hAnsi="Gadugi" w:cs="Century Gothic"/>
          <w:sz w:val="24"/>
          <w:szCs w:val="24"/>
        </w:rPr>
        <w:t xml:space="preserve"> </w:t>
      </w:r>
      <w:r w:rsidRPr="004C7F1D">
        <w:rPr>
          <w:rFonts w:ascii="Gadugi" w:hAnsi="Gadugi" w:cs="Century Gothic"/>
          <w:sz w:val="24"/>
          <w:szCs w:val="24"/>
        </w:rPr>
        <w:t xml:space="preserve">por </w:t>
      </w:r>
      <w:r w:rsidR="00DC5F34" w:rsidRPr="004C7F1D">
        <w:rPr>
          <w:rFonts w:ascii="Gadugi" w:hAnsi="Gadugi" w:cs="Century Gothic"/>
          <w:b/>
          <w:bCs/>
          <w:sz w:val="24"/>
          <w:szCs w:val="24"/>
        </w:rPr>
        <w:t>Antonio Enrique Mosquera Perea</w:t>
      </w:r>
      <w:r w:rsidR="00601FE4" w:rsidRPr="004C7F1D">
        <w:rPr>
          <w:rFonts w:ascii="Gadugi" w:hAnsi="Gadugi" w:cs="Century Gothic"/>
          <w:sz w:val="24"/>
          <w:szCs w:val="24"/>
        </w:rPr>
        <w:t xml:space="preserve"> contra</w:t>
      </w:r>
      <w:r w:rsidR="00C40E78" w:rsidRPr="004C7F1D">
        <w:rPr>
          <w:rFonts w:ascii="Gadugi" w:hAnsi="Gadugi" w:cs="Century Gothic"/>
          <w:sz w:val="24"/>
          <w:szCs w:val="24"/>
        </w:rPr>
        <w:t xml:space="preserve"> el </w:t>
      </w:r>
      <w:r w:rsidR="00C40E78" w:rsidRPr="004C7F1D">
        <w:rPr>
          <w:rFonts w:ascii="Gadugi" w:hAnsi="Gadugi" w:cs="Century Gothic"/>
          <w:b/>
          <w:bCs/>
          <w:sz w:val="24"/>
          <w:szCs w:val="24"/>
        </w:rPr>
        <w:t xml:space="preserve">Juzgado </w:t>
      </w:r>
      <w:r w:rsidR="00DC5F34" w:rsidRPr="004C7F1D">
        <w:rPr>
          <w:rFonts w:ascii="Gadugi" w:hAnsi="Gadugi" w:cs="Century Gothic"/>
          <w:b/>
          <w:bCs/>
          <w:sz w:val="24"/>
          <w:szCs w:val="24"/>
        </w:rPr>
        <w:t xml:space="preserve">Promiscuo del Circuito de Apía, </w:t>
      </w:r>
      <w:r w:rsidR="00C40E78" w:rsidRPr="004C7F1D">
        <w:rPr>
          <w:rFonts w:ascii="Gadugi" w:hAnsi="Gadugi" w:cs="Century Gothic"/>
          <w:sz w:val="24"/>
          <w:szCs w:val="24"/>
        </w:rPr>
        <w:t>y a la que fueron vinculados</w:t>
      </w:r>
      <w:r w:rsidR="00DC5F34" w:rsidRPr="004C7F1D">
        <w:rPr>
          <w:rFonts w:ascii="Gadugi" w:hAnsi="Gadugi" w:cs="Century Gothic"/>
          <w:sz w:val="24"/>
          <w:szCs w:val="24"/>
        </w:rPr>
        <w:t xml:space="preserve"> </w:t>
      </w:r>
      <w:proofErr w:type="spellStart"/>
      <w:r w:rsidR="00DC5F34" w:rsidRPr="0024308E">
        <w:rPr>
          <w:rFonts w:ascii="Gadugi" w:hAnsi="Gadugi" w:cs="Century Gothic"/>
          <w:b/>
          <w:sz w:val="24"/>
          <w:szCs w:val="24"/>
        </w:rPr>
        <w:t>Aimerso</w:t>
      </w:r>
      <w:proofErr w:type="spellEnd"/>
      <w:r w:rsidR="00DC5F34" w:rsidRPr="0024308E">
        <w:rPr>
          <w:rFonts w:ascii="Gadugi" w:hAnsi="Gadugi" w:cs="Century Gothic"/>
          <w:b/>
          <w:sz w:val="24"/>
          <w:szCs w:val="24"/>
        </w:rPr>
        <w:t xml:space="preserve"> Murillo Rentería</w:t>
      </w:r>
      <w:r w:rsidR="00DC5F34" w:rsidRPr="004C7F1D">
        <w:rPr>
          <w:rFonts w:ascii="Gadugi" w:hAnsi="Gadugi" w:cs="Century Gothic"/>
          <w:sz w:val="24"/>
          <w:szCs w:val="24"/>
        </w:rPr>
        <w:t xml:space="preserve">, el </w:t>
      </w:r>
      <w:r w:rsidR="00DC5F34" w:rsidRPr="0024308E">
        <w:rPr>
          <w:rFonts w:ascii="Gadugi" w:hAnsi="Gadugi" w:cs="Century Gothic"/>
          <w:b/>
          <w:sz w:val="24"/>
          <w:szCs w:val="24"/>
        </w:rPr>
        <w:t>Procurador Ambiental</w:t>
      </w:r>
      <w:r w:rsidR="00DC5F34" w:rsidRPr="004C7F1D">
        <w:rPr>
          <w:rFonts w:ascii="Gadugi" w:hAnsi="Gadugi" w:cs="Century Gothic"/>
          <w:sz w:val="24"/>
          <w:szCs w:val="24"/>
        </w:rPr>
        <w:t xml:space="preserve"> </w:t>
      </w:r>
      <w:r w:rsidR="00DC5F34" w:rsidRPr="0024308E">
        <w:rPr>
          <w:rFonts w:ascii="Gadugi" w:hAnsi="Gadugi" w:cs="Century Gothic"/>
          <w:b/>
          <w:sz w:val="24"/>
          <w:szCs w:val="24"/>
        </w:rPr>
        <w:t>y Agrario del Eje Cafetero</w:t>
      </w:r>
      <w:r w:rsidR="00DC5F34" w:rsidRPr="004C7F1D">
        <w:rPr>
          <w:rFonts w:ascii="Gadugi" w:hAnsi="Gadugi" w:cs="Century Gothic"/>
          <w:sz w:val="24"/>
          <w:szCs w:val="24"/>
        </w:rPr>
        <w:t xml:space="preserve"> las personas que se crean con derecho sobre el bien identificado con matrícula inmobiliaria nro. 292-6021 ubicado en el municipio de Pueblo Rico, y la abogada </w:t>
      </w:r>
      <w:proofErr w:type="spellStart"/>
      <w:r w:rsidR="00DC5F34" w:rsidRPr="0024308E">
        <w:rPr>
          <w:rFonts w:ascii="Gadugi" w:hAnsi="Gadugi" w:cs="Century Gothic"/>
          <w:b/>
          <w:sz w:val="24"/>
          <w:szCs w:val="24"/>
        </w:rPr>
        <w:t>Miryam</w:t>
      </w:r>
      <w:proofErr w:type="spellEnd"/>
      <w:r w:rsidR="00DC5F34" w:rsidRPr="0024308E">
        <w:rPr>
          <w:rFonts w:ascii="Gadugi" w:hAnsi="Gadugi" w:cs="Century Gothic"/>
          <w:b/>
          <w:sz w:val="24"/>
          <w:szCs w:val="24"/>
        </w:rPr>
        <w:t xml:space="preserve"> Adíela Marín Arboleda</w:t>
      </w:r>
      <w:r w:rsidR="00DC5F34" w:rsidRPr="004C7F1D">
        <w:rPr>
          <w:rFonts w:ascii="Gadugi" w:hAnsi="Gadugi" w:cs="Century Gothic"/>
          <w:sz w:val="24"/>
          <w:szCs w:val="24"/>
        </w:rPr>
        <w:t>.</w:t>
      </w:r>
    </w:p>
    <w:p w14:paraId="641F00FE" w14:textId="77777777" w:rsidR="00DC5F34" w:rsidRPr="004C7F1D" w:rsidRDefault="00334BA2" w:rsidP="004C7F1D">
      <w:pPr>
        <w:spacing w:line="276" w:lineRule="auto"/>
        <w:rPr>
          <w:rFonts w:ascii="Gadugi" w:hAnsi="Gadugi"/>
          <w:sz w:val="24"/>
          <w:szCs w:val="24"/>
          <w:lang w:val="es-MX"/>
        </w:rPr>
      </w:pPr>
      <w:r w:rsidRPr="004C7F1D">
        <w:rPr>
          <w:rFonts w:ascii="Gadugi" w:hAnsi="Gadugi"/>
          <w:sz w:val="24"/>
          <w:szCs w:val="24"/>
          <w:lang w:val="es-MX"/>
        </w:rPr>
        <w:tab/>
      </w:r>
      <w:r w:rsidRPr="004C7F1D">
        <w:rPr>
          <w:rFonts w:ascii="Gadugi" w:hAnsi="Gadugi"/>
          <w:sz w:val="24"/>
          <w:szCs w:val="24"/>
          <w:lang w:val="es-MX"/>
        </w:rPr>
        <w:tab/>
      </w:r>
      <w:r w:rsidRPr="004C7F1D">
        <w:rPr>
          <w:rFonts w:ascii="Gadugi" w:hAnsi="Gadugi"/>
          <w:sz w:val="24"/>
          <w:szCs w:val="24"/>
          <w:lang w:val="es-MX"/>
        </w:rPr>
        <w:tab/>
      </w:r>
    </w:p>
    <w:p w14:paraId="4A19C3EA" w14:textId="52355C33" w:rsidR="00DE2D75" w:rsidRPr="004C7F1D" w:rsidRDefault="00334BA2" w:rsidP="004C7F1D">
      <w:pPr>
        <w:spacing w:line="276" w:lineRule="auto"/>
        <w:rPr>
          <w:rFonts w:ascii="Gadugi" w:hAnsi="Gadugi"/>
          <w:sz w:val="24"/>
          <w:szCs w:val="24"/>
          <w:lang w:val="es-MX"/>
        </w:rPr>
      </w:pPr>
      <w:r w:rsidRPr="004C7F1D">
        <w:rPr>
          <w:rFonts w:ascii="Gadugi" w:hAnsi="Gadugi"/>
          <w:sz w:val="24"/>
          <w:szCs w:val="24"/>
          <w:lang w:val="es-MX"/>
        </w:rPr>
        <w:lastRenderedPageBreak/>
        <w:tab/>
      </w:r>
    </w:p>
    <w:p w14:paraId="5FC40CE4" w14:textId="0492EA8C" w:rsidR="00622EA3" w:rsidRPr="004C7F1D" w:rsidRDefault="00A21E21" w:rsidP="004C7F1D">
      <w:pPr>
        <w:pStyle w:val="Ttulo4"/>
        <w:spacing w:line="276" w:lineRule="auto"/>
        <w:rPr>
          <w:rFonts w:ascii="Gadugi" w:hAnsi="Gadugi"/>
          <w:b/>
          <w:sz w:val="24"/>
          <w:szCs w:val="24"/>
        </w:rPr>
      </w:pPr>
      <w:r w:rsidRPr="004C7F1D">
        <w:rPr>
          <w:rFonts w:ascii="Gadugi" w:hAnsi="Gadugi"/>
          <w:b/>
          <w:sz w:val="24"/>
          <w:szCs w:val="24"/>
        </w:rPr>
        <w:t xml:space="preserve">1. </w:t>
      </w:r>
      <w:r w:rsidR="00622EA3" w:rsidRPr="004C7F1D">
        <w:rPr>
          <w:rFonts w:ascii="Gadugi" w:hAnsi="Gadugi"/>
          <w:b/>
          <w:sz w:val="24"/>
          <w:szCs w:val="24"/>
        </w:rPr>
        <w:t>ANTECEDENTES</w:t>
      </w:r>
    </w:p>
    <w:p w14:paraId="7F2F7AAA" w14:textId="77777777" w:rsidR="00622EA3" w:rsidRPr="004C7F1D" w:rsidRDefault="00622EA3" w:rsidP="004C7F1D">
      <w:pPr>
        <w:spacing w:line="276" w:lineRule="auto"/>
        <w:jc w:val="both"/>
        <w:rPr>
          <w:rFonts w:ascii="Gadugi" w:hAnsi="Gadugi" w:cs="Century Gothic"/>
          <w:sz w:val="24"/>
          <w:szCs w:val="24"/>
        </w:rPr>
      </w:pPr>
      <w:r w:rsidRPr="004C7F1D">
        <w:rPr>
          <w:rFonts w:ascii="Gadugi" w:hAnsi="Gadugi" w:cs="Century Gothic"/>
          <w:sz w:val="24"/>
          <w:szCs w:val="24"/>
        </w:rPr>
        <w:tab/>
      </w:r>
      <w:r w:rsidRPr="004C7F1D">
        <w:rPr>
          <w:rFonts w:ascii="Gadugi" w:hAnsi="Gadugi" w:cs="Century Gothic"/>
          <w:sz w:val="24"/>
          <w:szCs w:val="24"/>
        </w:rPr>
        <w:tab/>
      </w:r>
      <w:r w:rsidRPr="004C7F1D">
        <w:rPr>
          <w:rFonts w:ascii="Gadugi" w:hAnsi="Gadugi" w:cs="Century Gothic"/>
          <w:sz w:val="24"/>
          <w:szCs w:val="24"/>
        </w:rPr>
        <w:tab/>
      </w:r>
      <w:r w:rsidRPr="004C7F1D">
        <w:rPr>
          <w:rFonts w:ascii="Gadugi" w:hAnsi="Gadugi" w:cs="Century Gothic"/>
          <w:sz w:val="24"/>
          <w:szCs w:val="24"/>
        </w:rPr>
        <w:tab/>
      </w:r>
    </w:p>
    <w:p w14:paraId="5B81C4EA" w14:textId="77777777" w:rsidR="00622EA3" w:rsidRPr="004C7F1D" w:rsidRDefault="00622EA3" w:rsidP="004C7F1D">
      <w:pPr>
        <w:spacing w:line="276" w:lineRule="auto"/>
        <w:jc w:val="both"/>
        <w:rPr>
          <w:rFonts w:ascii="Gadugi" w:hAnsi="Gadugi" w:cs="Century Gothic"/>
          <w:sz w:val="24"/>
          <w:szCs w:val="24"/>
          <w:lang w:val="es-CO"/>
        </w:rPr>
      </w:pPr>
      <w:r w:rsidRPr="004C7F1D">
        <w:rPr>
          <w:rFonts w:ascii="Gadugi" w:hAnsi="Gadugi" w:cs="Century Gothic"/>
          <w:sz w:val="24"/>
          <w:szCs w:val="24"/>
          <w:lang w:val="es-CO"/>
        </w:rPr>
        <w:tab/>
      </w:r>
      <w:r w:rsidRPr="004C7F1D">
        <w:rPr>
          <w:rFonts w:ascii="Gadugi" w:hAnsi="Gadugi" w:cs="Century Gothic"/>
          <w:sz w:val="24"/>
          <w:szCs w:val="24"/>
          <w:lang w:val="es-CO"/>
        </w:rPr>
        <w:tab/>
      </w:r>
      <w:r w:rsidRPr="004C7F1D">
        <w:rPr>
          <w:rFonts w:ascii="Gadugi" w:hAnsi="Gadugi" w:cs="Century Gothic"/>
          <w:sz w:val="24"/>
          <w:szCs w:val="24"/>
          <w:lang w:val="es-CO"/>
        </w:rPr>
        <w:tab/>
      </w:r>
      <w:r w:rsidRPr="004C7F1D">
        <w:rPr>
          <w:rFonts w:ascii="Gadugi" w:hAnsi="Gadugi" w:cs="Century Gothic"/>
          <w:sz w:val="24"/>
          <w:szCs w:val="24"/>
          <w:lang w:val="es-CO"/>
        </w:rPr>
        <w:tab/>
      </w:r>
    </w:p>
    <w:p w14:paraId="47FF8F81" w14:textId="27F0A304" w:rsidR="000D2B6D" w:rsidRPr="004C7F1D" w:rsidRDefault="00622EA3" w:rsidP="004C7F1D">
      <w:pPr>
        <w:spacing w:line="276" w:lineRule="auto"/>
        <w:jc w:val="both"/>
        <w:rPr>
          <w:rFonts w:ascii="Gadugi" w:hAnsi="Gadugi" w:cs="Century Gothic"/>
          <w:sz w:val="24"/>
          <w:szCs w:val="24"/>
          <w:lang w:val="es-CO"/>
        </w:rPr>
      </w:pPr>
      <w:r w:rsidRPr="004C7F1D">
        <w:rPr>
          <w:rFonts w:ascii="Gadugi" w:hAnsi="Gadugi" w:cs="Century Gothic"/>
          <w:sz w:val="24"/>
          <w:szCs w:val="24"/>
          <w:lang w:val="es-CO"/>
        </w:rPr>
        <w:t xml:space="preserve">  </w:t>
      </w:r>
      <w:r w:rsidRPr="004C7F1D">
        <w:rPr>
          <w:rFonts w:ascii="Gadugi" w:hAnsi="Gadugi"/>
          <w:sz w:val="24"/>
          <w:szCs w:val="24"/>
        </w:rPr>
        <w:tab/>
      </w:r>
      <w:r w:rsidRPr="004C7F1D">
        <w:rPr>
          <w:rFonts w:ascii="Gadugi" w:hAnsi="Gadugi"/>
          <w:sz w:val="24"/>
          <w:szCs w:val="24"/>
        </w:rPr>
        <w:tab/>
      </w:r>
      <w:r w:rsidRPr="004C7F1D">
        <w:rPr>
          <w:rFonts w:ascii="Gadugi" w:hAnsi="Gadugi"/>
          <w:sz w:val="24"/>
          <w:szCs w:val="24"/>
        </w:rPr>
        <w:tab/>
      </w:r>
      <w:r w:rsidRPr="004C7F1D">
        <w:rPr>
          <w:rFonts w:ascii="Gadugi" w:hAnsi="Gadugi"/>
          <w:sz w:val="24"/>
          <w:szCs w:val="24"/>
        </w:rPr>
        <w:tab/>
      </w:r>
      <w:r w:rsidR="00A21E21" w:rsidRPr="004C7F1D">
        <w:rPr>
          <w:rFonts w:ascii="Gadugi" w:hAnsi="Gadugi"/>
          <w:sz w:val="24"/>
          <w:szCs w:val="24"/>
        </w:rPr>
        <w:t xml:space="preserve">1.1. </w:t>
      </w:r>
      <w:r w:rsidR="00596B55" w:rsidRPr="004C7F1D">
        <w:rPr>
          <w:rFonts w:ascii="Gadugi" w:hAnsi="Gadugi" w:cs="Century Gothic"/>
          <w:sz w:val="24"/>
          <w:szCs w:val="24"/>
          <w:lang w:val="es-CO"/>
        </w:rPr>
        <w:t>En apretada síntesis de la demanda, se extrae</w:t>
      </w:r>
      <w:r w:rsidR="006B737A" w:rsidRPr="004C7F1D">
        <w:rPr>
          <w:rFonts w:ascii="Gadugi" w:hAnsi="Gadugi" w:cs="Century Gothic"/>
          <w:sz w:val="24"/>
          <w:szCs w:val="24"/>
          <w:lang w:val="es-CO"/>
        </w:rPr>
        <w:t xml:space="preserve"> que</w:t>
      </w:r>
      <w:r w:rsidR="007B359F" w:rsidRPr="004C7F1D">
        <w:rPr>
          <w:rFonts w:ascii="Gadugi" w:hAnsi="Gadugi" w:cs="Century Gothic"/>
          <w:sz w:val="24"/>
          <w:szCs w:val="24"/>
          <w:lang w:val="es-CO"/>
        </w:rPr>
        <w:t xml:space="preserve"> en</w:t>
      </w:r>
      <w:r w:rsidR="00C74A19" w:rsidRPr="004C7F1D">
        <w:rPr>
          <w:rFonts w:ascii="Gadugi" w:hAnsi="Gadugi" w:cs="Century Gothic"/>
          <w:sz w:val="24"/>
          <w:szCs w:val="24"/>
          <w:lang w:val="es-CO"/>
        </w:rPr>
        <w:t xml:space="preserve"> el proceso de pertenencia con radicado 2014-00056-00, que conoció el juzgado accionado y en el que el accionante actuó como demandante, se profirió sentencia el 18 de septiembre de 2015</w:t>
      </w:r>
      <w:r w:rsidR="009A2050" w:rsidRPr="004C7F1D">
        <w:rPr>
          <w:rFonts w:ascii="Gadugi" w:hAnsi="Gadugi" w:cs="Century Gothic"/>
          <w:sz w:val="24"/>
          <w:szCs w:val="24"/>
          <w:lang w:val="es-CO"/>
        </w:rPr>
        <w:t>. E</w:t>
      </w:r>
      <w:r w:rsidR="00C74A19" w:rsidRPr="004C7F1D">
        <w:rPr>
          <w:rFonts w:ascii="Gadugi" w:hAnsi="Gadugi" w:cs="Century Gothic"/>
          <w:sz w:val="24"/>
          <w:szCs w:val="24"/>
          <w:lang w:val="es-CO"/>
        </w:rPr>
        <w:t>n ella se negaron las pretensiones de la demanda</w:t>
      </w:r>
      <w:r w:rsidR="000D2B6D" w:rsidRPr="004C7F1D">
        <w:rPr>
          <w:rFonts w:ascii="Gadugi" w:hAnsi="Gadugi" w:cs="Century Gothic"/>
          <w:sz w:val="24"/>
          <w:szCs w:val="24"/>
          <w:lang w:val="es-CO"/>
        </w:rPr>
        <w:t>,</w:t>
      </w:r>
      <w:r w:rsidR="00C74A19" w:rsidRPr="004C7F1D">
        <w:rPr>
          <w:rFonts w:ascii="Gadugi" w:hAnsi="Gadugi" w:cs="Century Gothic"/>
          <w:sz w:val="24"/>
          <w:szCs w:val="24"/>
          <w:lang w:val="es-CO"/>
        </w:rPr>
        <w:t xml:space="preserve"> sin tener en cuenta las pruebas aportadas por la parte actora</w:t>
      </w:r>
      <w:r w:rsidR="000D2B6D" w:rsidRPr="004C7F1D">
        <w:rPr>
          <w:rFonts w:ascii="Gadugi" w:hAnsi="Gadugi" w:cs="Century Gothic"/>
          <w:sz w:val="24"/>
          <w:szCs w:val="24"/>
          <w:lang w:val="es-CO"/>
        </w:rPr>
        <w:t xml:space="preserve"> </w:t>
      </w:r>
      <w:r w:rsidR="000D2B6D" w:rsidRPr="004C7F1D">
        <w:rPr>
          <w:rFonts w:ascii="Gadugi" w:hAnsi="Gadugi" w:cs="Century Gothic"/>
          <w:i/>
          <w:sz w:val="24"/>
          <w:szCs w:val="24"/>
          <w:lang w:val="es-CO"/>
        </w:rPr>
        <w:t>“</w:t>
      </w:r>
      <w:r w:rsidR="000D2B6D" w:rsidRPr="00627284">
        <w:rPr>
          <w:rFonts w:ascii="Gadugi" w:hAnsi="Gadugi" w:cs="Century Gothic"/>
          <w:i/>
          <w:sz w:val="22"/>
          <w:szCs w:val="24"/>
          <w:lang w:val="es-CO"/>
        </w:rPr>
        <w:t>(…) (que demostraban cuatro (4) hectáreas en su posesión del lote de mayor extensión); la carencia de pruebas por parte del demandado; y sobre todo desconociendo los derechos fundamentales de una persona con debilidad manifiesta, como lo es el señor ANTONIO ENRIQUE MOSQUERA PEREA, teniendo en cuenta su edad, su analfabetismo, sus bajos recursos, su soledad, sus graves problemas de salud como lo es las afecciones cardiacas (…)</w:t>
      </w:r>
      <w:r w:rsidR="000D2B6D" w:rsidRPr="004C7F1D">
        <w:rPr>
          <w:rFonts w:ascii="Gadugi" w:hAnsi="Gadugi" w:cs="Century Gothic"/>
          <w:i/>
          <w:sz w:val="24"/>
          <w:szCs w:val="24"/>
          <w:lang w:val="es-CO"/>
        </w:rPr>
        <w:t xml:space="preserve">”. </w:t>
      </w:r>
      <w:r w:rsidR="000D2B6D" w:rsidRPr="004C7F1D">
        <w:rPr>
          <w:rFonts w:ascii="Gadugi" w:hAnsi="Gadugi" w:cs="Century Gothic"/>
          <w:sz w:val="24"/>
          <w:szCs w:val="24"/>
          <w:lang w:val="es-CO"/>
        </w:rPr>
        <w:t>Y además, se dijo que el juzgado omitió hacer uso de su facultad oficiosa para decretar y practicar pruebas.</w:t>
      </w:r>
    </w:p>
    <w:p w14:paraId="2CF82943" w14:textId="0BA4AA37" w:rsidR="004F7C5B" w:rsidRPr="004C7F1D" w:rsidRDefault="000D2B6D" w:rsidP="004C7F1D">
      <w:pPr>
        <w:spacing w:line="276" w:lineRule="auto"/>
        <w:jc w:val="both"/>
        <w:rPr>
          <w:rFonts w:ascii="Gadugi" w:hAnsi="Gadugi" w:cs="Century Gothic"/>
          <w:sz w:val="24"/>
          <w:szCs w:val="24"/>
          <w:lang w:val="es-CO"/>
        </w:rPr>
      </w:pPr>
      <w:r w:rsidRPr="004C7F1D">
        <w:rPr>
          <w:rFonts w:ascii="Gadugi" w:hAnsi="Gadugi" w:cs="Century Gothic"/>
          <w:sz w:val="24"/>
          <w:szCs w:val="24"/>
          <w:lang w:val="es-CO"/>
        </w:rPr>
        <w:tab/>
      </w:r>
      <w:r w:rsidRPr="004C7F1D">
        <w:rPr>
          <w:rFonts w:ascii="Gadugi" w:hAnsi="Gadugi" w:cs="Century Gothic"/>
          <w:sz w:val="24"/>
          <w:szCs w:val="24"/>
          <w:lang w:val="es-CO"/>
        </w:rPr>
        <w:tab/>
      </w:r>
      <w:r w:rsidRPr="004C7F1D">
        <w:rPr>
          <w:rFonts w:ascii="Gadugi" w:hAnsi="Gadugi" w:cs="Century Gothic"/>
          <w:sz w:val="24"/>
          <w:szCs w:val="24"/>
          <w:lang w:val="es-CO"/>
        </w:rPr>
        <w:tab/>
      </w:r>
      <w:r w:rsidRPr="004C7F1D">
        <w:rPr>
          <w:rFonts w:ascii="Gadugi" w:hAnsi="Gadugi" w:cs="Century Gothic"/>
          <w:sz w:val="24"/>
          <w:szCs w:val="24"/>
          <w:lang w:val="es-CO"/>
        </w:rPr>
        <w:tab/>
        <w:t xml:space="preserve">Finalmente se adujo que se supera el presupuesto de la inmediatez </w:t>
      </w:r>
      <w:r w:rsidR="004F7C5B" w:rsidRPr="004C7F1D">
        <w:rPr>
          <w:rFonts w:ascii="Gadugi" w:hAnsi="Gadugi" w:cs="Century Gothic"/>
          <w:sz w:val="24"/>
          <w:szCs w:val="24"/>
          <w:lang w:val="es-CO"/>
        </w:rPr>
        <w:t>dado que el señor Mosquera Perea creía que el proceso de pertenencia le había sido favorable, y solo se enteró de que el bien se le adjudicó al demandado el 31 de mayo de 2022, cuando</w:t>
      </w:r>
      <w:r w:rsidR="009A2050" w:rsidRPr="004C7F1D">
        <w:rPr>
          <w:rFonts w:ascii="Gadugi" w:hAnsi="Gadugi" w:cs="Century Gothic"/>
          <w:sz w:val="24"/>
          <w:szCs w:val="24"/>
          <w:lang w:val="es-CO"/>
        </w:rPr>
        <w:t>,</w:t>
      </w:r>
      <w:r w:rsidR="004F7C5B" w:rsidRPr="004C7F1D">
        <w:rPr>
          <w:rFonts w:ascii="Gadugi" w:hAnsi="Gadugi" w:cs="Century Gothic"/>
          <w:sz w:val="24"/>
          <w:szCs w:val="24"/>
          <w:lang w:val="es-CO"/>
        </w:rPr>
        <w:t xml:space="preserve"> con ayuda de quien aquí actúa como su agente oficioso, revisó el expediente. </w:t>
      </w:r>
    </w:p>
    <w:p w14:paraId="73C1623C" w14:textId="77777777" w:rsidR="004F7C5B" w:rsidRPr="004C7F1D" w:rsidRDefault="004F7C5B" w:rsidP="004C7F1D">
      <w:pPr>
        <w:spacing w:line="276" w:lineRule="auto"/>
        <w:jc w:val="both"/>
        <w:rPr>
          <w:rFonts w:ascii="Gadugi" w:hAnsi="Gadugi" w:cs="Century Gothic"/>
          <w:sz w:val="24"/>
          <w:szCs w:val="24"/>
          <w:lang w:val="es-CO"/>
        </w:rPr>
      </w:pPr>
    </w:p>
    <w:p w14:paraId="6004F1AD" w14:textId="3F9896A2" w:rsidR="004F7C5B" w:rsidRPr="004C7F1D" w:rsidRDefault="004F7C5B" w:rsidP="004C7F1D">
      <w:pPr>
        <w:spacing w:line="276" w:lineRule="auto"/>
        <w:jc w:val="both"/>
        <w:rPr>
          <w:rFonts w:ascii="Gadugi" w:hAnsi="Gadugi" w:cs="Century Gothic"/>
          <w:sz w:val="24"/>
          <w:szCs w:val="24"/>
          <w:lang w:val="es-CO"/>
        </w:rPr>
      </w:pPr>
      <w:r w:rsidRPr="004C7F1D">
        <w:rPr>
          <w:rFonts w:ascii="Gadugi" w:hAnsi="Gadugi" w:cs="Century Gothic"/>
          <w:sz w:val="24"/>
          <w:szCs w:val="24"/>
          <w:lang w:val="es-CO"/>
        </w:rPr>
        <w:tab/>
      </w:r>
      <w:r w:rsidRPr="004C7F1D">
        <w:rPr>
          <w:rFonts w:ascii="Gadugi" w:hAnsi="Gadugi" w:cs="Century Gothic"/>
          <w:sz w:val="24"/>
          <w:szCs w:val="24"/>
          <w:lang w:val="es-CO"/>
        </w:rPr>
        <w:tab/>
      </w:r>
      <w:r w:rsidRPr="004C7F1D">
        <w:rPr>
          <w:rFonts w:ascii="Gadugi" w:hAnsi="Gadugi" w:cs="Century Gothic"/>
          <w:sz w:val="24"/>
          <w:szCs w:val="24"/>
          <w:lang w:val="es-CO"/>
        </w:rPr>
        <w:tab/>
      </w:r>
      <w:r w:rsidRPr="004C7F1D">
        <w:rPr>
          <w:rFonts w:ascii="Gadugi" w:hAnsi="Gadugi" w:cs="Century Gothic"/>
          <w:sz w:val="24"/>
          <w:szCs w:val="24"/>
          <w:lang w:val="es-CO"/>
        </w:rPr>
        <w:tab/>
        <w:t xml:space="preserve">Se solicitó, entonces, ordenarle al despacho encartado hacer </w:t>
      </w:r>
      <w:r w:rsidRPr="004C7F1D">
        <w:rPr>
          <w:rFonts w:ascii="Gadugi" w:hAnsi="Gadugi" w:cs="Century Gothic"/>
          <w:i/>
          <w:sz w:val="24"/>
          <w:szCs w:val="24"/>
          <w:lang w:val="es-CO"/>
        </w:rPr>
        <w:t>“</w:t>
      </w:r>
      <w:r w:rsidRPr="00627284">
        <w:rPr>
          <w:rFonts w:ascii="Gadugi" w:hAnsi="Gadugi" w:cs="Century Gothic"/>
          <w:i/>
          <w:sz w:val="22"/>
          <w:szCs w:val="24"/>
          <w:lang w:val="es-CO"/>
        </w:rPr>
        <w:t>(…) todo lo referente a la revisión al fallo del 18 de septiembre de 2015 con radicado 2014-00056, y consecuencialmente SE DECLARE LA ADQUISICIÓN POR EL MODO DE LA PRESCRIPCIÓN EXTRAORDINARIA EL DOMINIO de cuatro (4) hectáreas en derecho del señor ANTONIO ENRIQUE MOSQUERA PEREA del inmueble de mayor extensión identificado con matrícula inmobiliaria Nº 292-6021 de la Oficina de Registro de Instrumentos Públicos de Apía</w:t>
      </w:r>
      <w:r w:rsidRPr="004C7F1D">
        <w:rPr>
          <w:rFonts w:ascii="Gadugi" w:hAnsi="Gadugi" w:cs="Century Gothic"/>
          <w:i/>
          <w:sz w:val="24"/>
          <w:szCs w:val="24"/>
          <w:lang w:val="es-CO"/>
        </w:rPr>
        <w:t>.”</w:t>
      </w:r>
      <w:r w:rsidR="00383D97" w:rsidRPr="004C7F1D">
        <w:rPr>
          <w:rStyle w:val="Refdenotaalpie"/>
          <w:rFonts w:ascii="Gadugi" w:hAnsi="Gadugi"/>
          <w:i/>
          <w:sz w:val="24"/>
          <w:szCs w:val="24"/>
          <w:lang w:val="es-CO"/>
        </w:rPr>
        <w:footnoteReference w:id="1"/>
      </w:r>
    </w:p>
    <w:p w14:paraId="373BEDD7" w14:textId="685DDCC2" w:rsidR="00DC5F34" w:rsidRPr="004C7F1D" w:rsidRDefault="00DC5F34" w:rsidP="004C7F1D">
      <w:pPr>
        <w:spacing w:line="276" w:lineRule="auto"/>
        <w:jc w:val="both"/>
        <w:rPr>
          <w:rFonts w:ascii="Gadugi" w:hAnsi="Gadugi" w:cs="Century Gothic"/>
          <w:sz w:val="24"/>
          <w:szCs w:val="24"/>
          <w:lang w:val="es-CO"/>
        </w:rPr>
      </w:pPr>
    </w:p>
    <w:p w14:paraId="73EADC82" w14:textId="5F9C18A6" w:rsidR="004F7C5B" w:rsidRPr="004C7F1D" w:rsidRDefault="004F7C5B" w:rsidP="004C7F1D">
      <w:pPr>
        <w:spacing w:line="276" w:lineRule="auto"/>
        <w:jc w:val="both"/>
        <w:rPr>
          <w:rFonts w:ascii="Gadugi" w:hAnsi="Gadugi" w:cs="Century Gothic"/>
          <w:sz w:val="24"/>
          <w:szCs w:val="24"/>
          <w:lang w:val="es-CO"/>
        </w:rPr>
      </w:pPr>
      <w:r w:rsidRPr="004C7F1D">
        <w:rPr>
          <w:rFonts w:ascii="Gadugi" w:hAnsi="Gadugi" w:cs="Century Gothic"/>
          <w:sz w:val="24"/>
          <w:szCs w:val="24"/>
          <w:lang w:val="es-CO"/>
        </w:rPr>
        <w:tab/>
      </w:r>
      <w:r w:rsidRPr="004C7F1D">
        <w:rPr>
          <w:rFonts w:ascii="Gadugi" w:hAnsi="Gadugi" w:cs="Century Gothic"/>
          <w:sz w:val="24"/>
          <w:szCs w:val="24"/>
          <w:lang w:val="es-CO"/>
        </w:rPr>
        <w:tab/>
      </w:r>
      <w:r w:rsidRPr="004C7F1D">
        <w:rPr>
          <w:rFonts w:ascii="Gadugi" w:hAnsi="Gadugi" w:cs="Century Gothic"/>
          <w:sz w:val="24"/>
          <w:szCs w:val="24"/>
          <w:lang w:val="es-CO"/>
        </w:rPr>
        <w:tab/>
      </w:r>
      <w:r w:rsidRPr="004C7F1D">
        <w:rPr>
          <w:rFonts w:ascii="Gadugi" w:hAnsi="Gadugi" w:cs="Century Gothic"/>
          <w:sz w:val="24"/>
          <w:szCs w:val="24"/>
          <w:lang w:val="es-CO"/>
        </w:rPr>
        <w:tab/>
        <w:t>1.2. Esta Sala le dio impulso a la demanda con auto del 14 de julio de 2022, con las vinculaciones arriba señaladas.</w:t>
      </w:r>
      <w:r w:rsidR="00383D97" w:rsidRPr="004C7F1D">
        <w:rPr>
          <w:rStyle w:val="Refdenotaalpie"/>
          <w:rFonts w:ascii="Gadugi" w:hAnsi="Gadugi"/>
          <w:sz w:val="24"/>
          <w:szCs w:val="24"/>
          <w:lang w:val="es-CO"/>
        </w:rPr>
        <w:footnoteReference w:id="2"/>
      </w:r>
      <w:r w:rsidRPr="004C7F1D">
        <w:rPr>
          <w:rFonts w:ascii="Gadugi" w:hAnsi="Gadugi" w:cs="Century Gothic"/>
          <w:sz w:val="24"/>
          <w:szCs w:val="24"/>
          <w:lang w:val="es-CO"/>
        </w:rPr>
        <w:t xml:space="preserve"> </w:t>
      </w:r>
    </w:p>
    <w:p w14:paraId="32E270D8" w14:textId="340FECF4" w:rsidR="004F7C5B" w:rsidRPr="004C7F1D" w:rsidRDefault="004F7C5B" w:rsidP="004C7F1D">
      <w:pPr>
        <w:spacing w:line="276" w:lineRule="auto"/>
        <w:jc w:val="both"/>
        <w:rPr>
          <w:rFonts w:ascii="Gadugi" w:hAnsi="Gadugi" w:cs="Century Gothic"/>
          <w:sz w:val="24"/>
          <w:szCs w:val="24"/>
          <w:lang w:val="es-CO"/>
        </w:rPr>
      </w:pPr>
    </w:p>
    <w:p w14:paraId="35250B65" w14:textId="53D6524F" w:rsidR="004F7C5B" w:rsidRPr="004C7F1D" w:rsidRDefault="004F7C5B" w:rsidP="004C7F1D">
      <w:pPr>
        <w:spacing w:line="276" w:lineRule="auto"/>
        <w:jc w:val="both"/>
        <w:rPr>
          <w:rFonts w:ascii="Gadugi" w:hAnsi="Gadugi" w:cs="Century Gothic"/>
          <w:sz w:val="24"/>
          <w:szCs w:val="24"/>
          <w:lang w:val="es-CO"/>
        </w:rPr>
      </w:pPr>
      <w:r w:rsidRPr="004C7F1D">
        <w:rPr>
          <w:rFonts w:ascii="Gadugi" w:hAnsi="Gadugi" w:cs="Century Gothic"/>
          <w:sz w:val="24"/>
          <w:szCs w:val="24"/>
          <w:lang w:val="es-CO"/>
        </w:rPr>
        <w:tab/>
      </w:r>
      <w:r w:rsidRPr="004C7F1D">
        <w:rPr>
          <w:rFonts w:ascii="Gadugi" w:hAnsi="Gadugi" w:cs="Century Gothic"/>
          <w:sz w:val="24"/>
          <w:szCs w:val="24"/>
          <w:lang w:val="es-CO"/>
        </w:rPr>
        <w:tab/>
      </w:r>
      <w:r w:rsidRPr="004C7F1D">
        <w:rPr>
          <w:rFonts w:ascii="Gadugi" w:hAnsi="Gadugi" w:cs="Century Gothic"/>
          <w:sz w:val="24"/>
          <w:szCs w:val="24"/>
          <w:lang w:val="es-CO"/>
        </w:rPr>
        <w:tab/>
      </w:r>
      <w:r w:rsidRPr="004C7F1D">
        <w:rPr>
          <w:rFonts w:ascii="Gadugi" w:hAnsi="Gadugi" w:cs="Century Gothic"/>
          <w:sz w:val="24"/>
          <w:szCs w:val="24"/>
          <w:lang w:val="es-CO"/>
        </w:rPr>
        <w:tab/>
        <w:t>1.3. La Procuradora 28 Judicial II Ambiental y Agraria de Pereira, informó que el accionante no ha dirigido ninguna solicitud a esa cartera, y por lo tanto no le compete adelantar las acciones para el cese de la presunta vulneración.</w:t>
      </w:r>
      <w:r w:rsidR="001E0C63" w:rsidRPr="004C7F1D">
        <w:rPr>
          <w:rStyle w:val="Refdenotaalpie"/>
          <w:rFonts w:ascii="Gadugi" w:hAnsi="Gadugi"/>
          <w:sz w:val="24"/>
          <w:szCs w:val="24"/>
          <w:lang w:val="es-CO"/>
        </w:rPr>
        <w:footnoteReference w:id="3"/>
      </w:r>
    </w:p>
    <w:p w14:paraId="614D8014" w14:textId="77777777" w:rsidR="004F7C5B" w:rsidRPr="004C7F1D" w:rsidRDefault="004F7C5B" w:rsidP="004C7F1D">
      <w:pPr>
        <w:spacing w:line="276" w:lineRule="auto"/>
        <w:jc w:val="both"/>
        <w:rPr>
          <w:rFonts w:ascii="Gadugi" w:hAnsi="Gadugi" w:cs="Century Gothic"/>
          <w:sz w:val="24"/>
          <w:szCs w:val="24"/>
          <w:lang w:val="es-CO"/>
        </w:rPr>
      </w:pPr>
    </w:p>
    <w:p w14:paraId="6202285A" w14:textId="71FC390B" w:rsidR="004F7C5B" w:rsidRPr="004C7F1D" w:rsidRDefault="004F7C5B" w:rsidP="004C7F1D">
      <w:pPr>
        <w:spacing w:line="276" w:lineRule="auto"/>
        <w:jc w:val="both"/>
        <w:rPr>
          <w:rFonts w:ascii="Gadugi" w:hAnsi="Gadugi" w:cs="Century Gothic"/>
          <w:sz w:val="24"/>
          <w:szCs w:val="24"/>
          <w:lang w:val="es-CO"/>
        </w:rPr>
      </w:pPr>
      <w:r w:rsidRPr="004C7F1D">
        <w:rPr>
          <w:rFonts w:ascii="Gadugi" w:hAnsi="Gadugi" w:cs="Century Gothic"/>
          <w:sz w:val="24"/>
          <w:szCs w:val="24"/>
          <w:lang w:val="es-CO"/>
        </w:rPr>
        <w:tab/>
      </w:r>
      <w:r w:rsidRPr="004C7F1D">
        <w:rPr>
          <w:rFonts w:ascii="Gadugi" w:hAnsi="Gadugi" w:cs="Century Gothic"/>
          <w:sz w:val="24"/>
          <w:szCs w:val="24"/>
          <w:lang w:val="es-CO"/>
        </w:rPr>
        <w:tab/>
      </w:r>
      <w:r w:rsidRPr="004C7F1D">
        <w:rPr>
          <w:rFonts w:ascii="Gadugi" w:hAnsi="Gadugi" w:cs="Century Gothic"/>
          <w:sz w:val="24"/>
          <w:szCs w:val="24"/>
          <w:lang w:val="es-CO"/>
        </w:rPr>
        <w:tab/>
      </w:r>
      <w:r w:rsidRPr="004C7F1D">
        <w:rPr>
          <w:rFonts w:ascii="Gadugi" w:hAnsi="Gadugi" w:cs="Century Gothic"/>
          <w:sz w:val="24"/>
          <w:szCs w:val="24"/>
          <w:lang w:val="es-CO"/>
        </w:rPr>
        <w:tab/>
        <w:t xml:space="preserve">1.4. </w:t>
      </w:r>
      <w:r w:rsidR="00035B40" w:rsidRPr="004C7F1D">
        <w:rPr>
          <w:rFonts w:ascii="Gadugi" w:hAnsi="Gadugi" w:cs="Century Gothic"/>
          <w:sz w:val="24"/>
          <w:szCs w:val="24"/>
          <w:lang w:val="es-CO"/>
        </w:rPr>
        <w:t xml:space="preserve">El señor </w:t>
      </w:r>
      <w:proofErr w:type="spellStart"/>
      <w:r w:rsidR="00035B40" w:rsidRPr="004C7F1D">
        <w:rPr>
          <w:rFonts w:ascii="Gadugi" w:hAnsi="Gadugi" w:cs="Century Gothic"/>
          <w:sz w:val="24"/>
          <w:szCs w:val="24"/>
          <w:lang w:val="es-CO"/>
        </w:rPr>
        <w:t>Aimerso</w:t>
      </w:r>
      <w:proofErr w:type="spellEnd"/>
      <w:r w:rsidR="00035B40" w:rsidRPr="004C7F1D">
        <w:rPr>
          <w:rFonts w:ascii="Gadugi" w:hAnsi="Gadugi" w:cs="Century Gothic"/>
          <w:sz w:val="24"/>
          <w:szCs w:val="24"/>
          <w:lang w:val="es-CO"/>
        </w:rPr>
        <w:t xml:space="preserve"> Murillo Rentería, mediante apoderado judicial debidamente facultado</w:t>
      </w:r>
      <w:r w:rsidR="001E0C63" w:rsidRPr="004C7F1D">
        <w:rPr>
          <w:rStyle w:val="Refdenotaalpie"/>
          <w:rFonts w:ascii="Gadugi" w:hAnsi="Gadugi"/>
          <w:sz w:val="24"/>
          <w:szCs w:val="24"/>
          <w:lang w:val="es-CO"/>
        </w:rPr>
        <w:footnoteReference w:id="4"/>
      </w:r>
      <w:r w:rsidR="00035B40" w:rsidRPr="004C7F1D">
        <w:rPr>
          <w:rFonts w:ascii="Gadugi" w:hAnsi="Gadugi" w:cs="Century Gothic"/>
          <w:sz w:val="24"/>
          <w:szCs w:val="24"/>
          <w:lang w:val="es-CO"/>
        </w:rPr>
        <w:t>, pidió declarar improcedente la demanda, por una parte, porque carece de inmediatez, si bien el fallo que se ataca, fue proferido hace más de seis años, y por otra, porque el proceso de pertenencia de marras</w:t>
      </w:r>
      <w:r w:rsidRPr="004C7F1D">
        <w:rPr>
          <w:rFonts w:ascii="Gadugi" w:hAnsi="Gadugi" w:cs="Century Gothic"/>
          <w:sz w:val="24"/>
          <w:szCs w:val="24"/>
          <w:lang w:val="es-CO"/>
        </w:rPr>
        <w:t xml:space="preserve"> </w:t>
      </w:r>
      <w:r w:rsidR="00035B40" w:rsidRPr="004C7F1D">
        <w:rPr>
          <w:rFonts w:ascii="Gadugi" w:hAnsi="Gadugi" w:cs="Century Gothic"/>
          <w:sz w:val="24"/>
          <w:szCs w:val="24"/>
          <w:lang w:val="es-CO"/>
        </w:rPr>
        <w:t xml:space="preserve">fue tramitado </w:t>
      </w:r>
      <w:r w:rsidR="00035B40" w:rsidRPr="004C7F1D">
        <w:rPr>
          <w:rFonts w:ascii="Gadugi" w:hAnsi="Gadugi" w:cs="Century Gothic"/>
          <w:sz w:val="24"/>
          <w:szCs w:val="24"/>
          <w:lang w:val="es-CO"/>
        </w:rPr>
        <w:lastRenderedPageBreak/>
        <w:t>conforme a los postulados que rigen la ley procesal, y en ese caso, el accionante fue asistido por un profesional del derecho.</w:t>
      </w:r>
      <w:r w:rsidR="001E0C63" w:rsidRPr="004C7F1D">
        <w:rPr>
          <w:rStyle w:val="Refdenotaalpie"/>
          <w:rFonts w:ascii="Gadugi" w:hAnsi="Gadugi"/>
          <w:sz w:val="24"/>
          <w:szCs w:val="24"/>
          <w:lang w:val="es-CO"/>
        </w:rPr>
        <w:footnoteReference w:id="5"/>
      </w:r>
      <w:r w:rsidR="00035B40" w:rsidRPr="004C7F1D">
        <w:rPr>
          <w:rFonts w:ascii="Gadugi" w:hAnsi="Gadugi" w:cs="Century Gothic"/>
          <w:sz w:val="24"/>
          <w:szCs w:val="24"/>
          <w:lang w:val="es-CO"/>
        </w:rPr>
        <w:t xml:space="preserve"> </w:t>
      </w:r>
    </w:p>
    <w:p w14:paraId="313C4DCB" w14:textId="34455090" w:rsidR="00061C0E" w:rsidRPr="004C7F1D" w:rsidRDefault="00061C0E" w:rsidP="004C7F1D">
      <w:pPr>
        <w:spacing w:line="276" w:lineRule="auto"/>
        <w:jc w:val="both"/>
        <w:rPr>
          <w:rFonts w:ascii="Gadugi" w:hAnsi="Gadugi" w:cs="Century Gothic"/>
          <w:sz w:val="24"/>
          <w:szCs w:val="24"/>
          <w:lang w:val="es-CO"/>
        </w:rPr>
      </w:pPr>
    </w:p>
    <w:p w14:paraId="62308318" w14:textId="760E3E19" w:rsidR="001E0C63" w:rsidRPr="004C7F1D" w:rsidRDefault="001E0C63" w:rsidP="004C7F1D">
      <w:pPr>
        <w:spacing w:line="276" w:lineRule="auto"/>
        <w:jc w:val="both"/>
        <w:rPr>
          <w:rFonts w:ascii="Gadugi" w:hAnsi="Gadugi" w:cs="Century Gothic"/>
          <w:sz w:val="24"/>
          <w:szCs w:val="24"/>
          <w:lang w:val="es-CO"/>
        </w:rPr>
      </w:pPr>
      <w:r w:rsidRPr="004C7F1D">
        <w:rPr>
          <w:rFonts w:ascii="Gadugi" w:hAnsi="Gadugi" w:cs="Century Gothic"/>
          <w:sz w:val="24"/>
          <w:szCs w:val="24"/>
          <w:lang w:val="es-CO"/>
        </w:rPr>
        <w:tab/>
      </w:r>
      <w:r w:rsidRPr="004C7F1D">
        <w:rPr>
          <w:rFonts w:ascii="Gadugi" w:hAnsi="Gadugi" w:cs="Century Gothic"/>
          <w:sz w:val="24"/>
          <w:szCs w:val="24"/>
          <w:lang w:val="es-CO"/>
        </w:rPr>
        <w:tab/>
      </w:r>
      <w:r w:rsidRPr="004C7F1D">
        <w:rPr>
          <w:rFonts w:ascii="Gadugi" w:hAnsi="Gadugi" w:cs="Century Gothic"/>
          <w:sz w:val="24"/>
          <w:szCs w:val="24"/>
          <w:lang w:val="es-CO"/>
        </w:rPr>
        <w:tab/>
      </w:r>
      <w:r w:rsidRPr="004C7F1D">
        <w:rPr>
          <w:rFonts w:ascii="Gadugi" w:hAnsi="Gadugi" w:cs="Century Gothic"/>
          <w:sz w:val="24"/>
          <w:szCs w:val="24"/>
          <w:lang w:val="es-CO"/>
        </w:rPr>
        <w:tab/>
        <w:t>1.5. El juzgado accionando remitió el link para acceder al expediente.</w:t>
      </w:r>
      <w:r w:rsidRPr="004C7F1D">
        <w:rPr>
          <w:rStyle w:val="Refdenotaalpie"/>
          <w:rFonts w:ascii="Gadugi" w:hAnsi="Gadugi"/>
          <w:sz w:val="24"/>
          <w:szCs w:val="24"/>
          <w:lang w:val="es-CO"/>
        </w:rPr>
        <w:footnoteReference w:id="6"/>
      </w:r>
    </w:p>
    <w:p w14:paraId="3495E8BC" w14:textId="77777777" w:rsidR="001E0C63" w:rsidRPr="004C7F1D" w:rsidRDefault="001E0C63" w:rsidP="004C7F1D">
      <w:pPr>
        <w:spacing w:line="276" w:lineRule="auto"/>
        <w:jc w:val="both"/>
        <w:rPr>
          <w:rFonts w:ascii="Gadugi" w:hAnsi="Gadugi" w:cs="Century Gothic"/>
          <w:sz w:val="24"/>
          <w:szCs w:val="24"/>
          <w:lang w:val="es-CO"/>
        </w:rPr>
      </w:pPr>
    </w:p>
    <w:p w14:paraId="4A9D5730" w14:textId="77777777" w:rsidR="00035B40" w:rsidRPr="004C7F1D" w:rsidRDefault="00035B40" w:rsidP="004C7F1D">
      <w:pPr>
        <w:spacing w:line="276" w:lineRule="auto"/>
        <w:jc w:val="both"/>
        <w:rPr>
          <w:rFonts w:ascii="Gadugi" w:hAnsi="Gadugi" w:cs="Century Gothic"/>
          <w:sz w:val="24"/>
          <w:szCs w:val="24"/>
          <w:lang w:val="es-CO"/>
        </w:rPr>
      </w:pPr>
    </w:p>
    <w:p w14:paraId="44416D29" w14:textId="2F22536D" w:rsidR="00622EA3" w:rsidRPr="004C7F1D" w:rsidRDefault="00312B3F" w:rsidP="004C7F1D">
      <w:pPr>
        <w:spacing w:line="276" w:lineRule="auto"/>
        <w:jc w:val="both"/>
        <w:rPr>
          <w:rFonts w:ascii="Gadugi" w:hAnsi="Gadugi" w:cs="Arial"/>
          <w:b/>
          <w:sz w:val="24"/>
          <w:szCs w:val="24"/>
        </w:rPr>
      </w:pPr>
      <w:r w:rsidRPr="004C7F1D">
        <w:rPr>
          <w:rFonts w:ascii="Gadugi" w:hAnsi="Gadugi" w:cs="Century Gothic"/>
          <w:sz w:val="24"/>
          <w:szCs w:val="24"/>
          <w:lang w:val="es-CO"/>
        </w:rPr>
        <w:tab/>
      </w:r>
      <w:r w:rsidRPr="004C7F1D">
        <w:rPr>
          <w:rFonts w:ascii="Gadugi" w:hAnsi="Gadugi" w:cs="Century Gothic"/>
          <w:sz w:val="24"/>
          <w:szCs w:val="24"/>
          <w:lang w:val="es-CO"/>
        </w:rPr>
        <w:tab/>
      </w:r>
      <w:r w:rsidR="0061791A" w:rsidRPr="004C7F1D">
        <w:rPr>
          <w:rFonts w:ascii="Gadugi" w:hAnsi="Gadugi" w:cs="Arial"/>
          <w:b/>
          <w:sz w:val="24"/>
          <w:szCs w:val="24"/>
          <w:lang w:val="es-CO"/>
        </w:rPr>
        <w:tab/>
      </w:r>
      <w:r w:rsidR="0061791A" w:rsidRPr="004C7F1D">
        <w:rPr>
          <w:rFonts w:ascii="Gadugi" w:hAnsi="Gadugi" w:cs="Arial"/>
          <w:b/>
          <w:sz w:val="24"/>
          <w:szCs w:val="24"/>
          <w:lang w:val="es-CO"/>
        </w:rPr>
        <w:tab/>
      </w:r>
      <w:r w:rsidR="00A21E21" w:rsidRPr="004C7F1D">
        <w:rPr>
          <w:rFonts w:ascii="Gadugi" w:hAnsi="Gadugi" w:cs="Arial"/>
          <w:b/>
          <w:sz w:val="24"/>
          <w:szCs w:val="24"/>
          <w:lang w:val="es-CO"/>
        </w:rPr>
        <w:t xml:space="preserve">2. </w:t>
      </w:r>
      <w:r w:rsidR="00622EA3" w:rsidRPr="004C7F1D">
        <w:rPr>
          <w:rFonts w:ascii="Gadugi" w:hAnsi="Gadugi" w:cs="Arial"/>
          <w:b/>
          <w:sz w:val="24"/>
          <w:szCs w:val="24"/>
        </w:rPr>
        <w:t>CONSIDERACIONES</w:t>
      </w:r>
    </w:p>
    <w:p w14:paraId="1D058EF8" w14:textId="77777777" w:rsidR="00622EA3" w:rsidRPr="004C7F1D" w:rsidRDefault="00622EA3" w:rsidP="004C7F1D">
      <w:pPr>
        <w:pStyle w:val="Textoindependiente22"/>
        <w:spacing w:line="276" w:lineRule="auto"/>
        <w:ind w:firstLine="0"/>
        <w:rPr>
          <w:rFonts w:ascii="Gadugi" w:hAnsi="Gadugi"/>
          <w:szCs w:val="24"/>
        </w:rPr>
      </w:pPr>
      <w:r w:rsidRPr="004C7F1D">
        <w:rPr>
          <w:rFonts w:ascii="Gadugi" w:hAnsi="Gadugi"/>
          <w:szCs w:val="24"/>
        </w:rPr>
        <w:tab/>
      </w:r>
      <w:r w:rsidRPr="004C7F1D">
        <w:rPr>
          <w:rFonts w:ascii="Gadugi" w:hAnsi="Gadugi"/>
          <w:szCs w:val="24"/>
        </w:rPr>
        <w:tab/>
      </w:r>
      <w:r w:rsidRPr="004C7F1D">
        <w:rPr>
          <w:rFonts w:ascii="Gadugi" w:hAnsi="Gadugi"/>
          <w:szCs w:val="24"/>
        </w:rPr>
        <w:tab/>
      </w:r>
      <w:r w:rsidRPr="004C7F1D">
        <w:rPr>
          <w:rFonts w:ascii="Gadugi" w:hAnsi="Gadugi"/>
          <w:szCs w:val="24"/>
        </w:rPr>
        <w:tab/>
      </w:r>
    </w:p>
    <w:p w14:paraId="794A8819" w14:textId="77777777" w:rsidR="00622EA3" w:rsidRPr="004C7F1D" w:rsidRDefault="00622EA3" w:rsidP="004C7F1D">
      <w:pPr>
        <w:pStyle w:val="Textoindependiente22"/>
        <w:spacing w:line="276" w:lineRule="auto"/>
        <w:rPr>
          <w:rFonts w:ascii="Gadugi" w:hAnsi="Gadugi"/>
          <w:szCs w:val="24"/>
        </w:rPr>
      </w:pPr>
    </w:p>
    <w:p w14:paraId="3B541647" w14:textId="712928A7" w:rsidR="00622EA3" w:rsidRPr="004C7F1D" w:rsidRDefault="00A21E21" w:rsidP="004C7F1D">
      <w:pPr>
        <w:pStyle w:val="Textoindependiente22"/>
        <w:spacing w:line="276" w:lineRule="auto"/>
        <w:rPr>
          <w:rFonts w:ascii="Gadugi" w:hAnsi="Gadugi"/>
          <w:szCs w:val="24"/>
        </w:rPr>
      </w:pPr>
      <w:r w:rsidRPr="004C7F1D">
        <w:rPr>
          <w:rFonts w:ascii="Gadugi" w:hAnsi="Gadugi"/>
          <w:szCs w:val="24"/>
        </w:rPr>
        <w:t xml:space="preserve">2.1. </w:t>
      </w:r>
      <w:r w:rsidR="00622EA3" w:rsidRPr="004C7F1D">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1B756C73" w14:textId="66B41CEA" w:rsidR="0092590C" w:rsidRPr="004C7F1D" w:rsidRDefault="0092590C" w:rsidP="004C7F1D">
      <w:pPr>
        <w:pStyle w:val="Textoindependiente22"/>
        <w:spacing w:line="276" w:lineRule="auto"/>
        <w:rPr>
          <w:rFonts w:ascii="Gadugi" w:hAnsi="Gadugi"/>
          <w:szCs w:val="24"/>
        </w:rPr>
      </w:pPr>
    </w:p>
    <w:p w14:paraId="3A835039" w14:textId="1873FAA6" w:rsidR="00035B40" w:rsidRPr="004C7F1D" w:rsidRDefault="007C3831" w:rsidP="004C7F1D">
      <w:pPr>
        <w:pStyle w:val="Textoindependiente22"/>
        <w:spacing w:line="276" w:lineRule="auto"/>
        <w:rPr>
          <w:rFonts w:ascii="Gadugi" w:hAnsi="Gadugi"/>
          <w:szCs w:val="24"/>
        </w:rPr>
      </w:pPr>
      <w:r w:rsidRPr="004C7F1D">
        <w:rPr>
          <w:rFonts w:ascii="Gadugi" w:hAnsi="Gadugi"/>
          <w:szCs w:val="24"/>
        </w:rPr>
        <w:t xml:space="preserve">En uso de tal prerrogativa </w:t>
      </w:r>
      <w:bookmarkStart w:id="2" w:name="_Hlk117518332"/>
      <w:r w:rsidRPr="004C7F1D">
        <w:rPr>
          <w:rFonts w:ascii="Gadugi" w:hAnsi="Gadugi"/>
          <w:szCs w:val="24"/>
        </w:rPr>
        <w:t xml:space="preserve">acude </w:t>
      </w:r>
      <w:r w:rsidR="00035B40" w:rsidRPr="004C7F1D">
        <w:rPr>
          <w:rFonts w:ascii="Gadugi" w:hAnsi="Gadugi"/>
          <w:szCs w:val="24"/>
        </w:rPr>
        <w:t>el</w:t>
      </w:r>
      <w:r w:rsidRPr="004C7F1D">
        <w:rPr>
          <w:rFonts w:ascii="Gadugi" w:hAnsi="Gadugi"/>
          <w:szCs w:val="24"/>
        </w:rPr>
        <w:t xml:space="preserve"> </w:t>
      </w:r>
      <w:r w:rsidR="0019117A" w:rsidRPr="004C7F1D">
        <w:rPr>
          <w:rFonts w:ascii="Gadugi" w:hAnsi="Gadugi"/>
          <w:szCs w:val="24"/>
        </w:rPr>
        <w:t>accionante</w:t>
      </w:r>
      <w:r w:rsidR="00061C0E" w:rsidRPr="004C7F1D">
        <w:rPr>
          <w:rFonts w:ascii="Gadugi" w:hAnsi="Gadugi"/>
          <w:szCs w:val="24"/>
        </w:rPr>
        <w:t xml:space="preserve"> en procura de la protección de su derecho fundamental al debido proceso, presuntamente vulnerado por </w:t>
      </w:r>
      <w:r w:rsidR="00035B40" w:rsidRPr="004C7F1D">
        <w:rPr>
          <w:rFonts w:ascii="Gadugi" w:hAnsi="Gadugi"/>
          <w:szCs w:val="24"/>
        </w:rPr>
        <w:t>el</w:t>
      </w:r>
      <w:r w:rsidR="00061C0E" w:rsidRPr="004C7F1D">
        <w:rPr>
          <w:rFonts w:ascii="Gadugi" w:hAnsi="Gadugi"/>
          <w:szCs w:val="24"/>
        </w:rPr>
        <w:t xml:space="preserve"> juzgado</w:t>
      </w:r>
      <w:r w:rsidR="00035B40" w:rsidRPr="004C7F1D">
        <w:rPr>
          <w:rFonts w:ascii="Gadugi" w:hAnsi="Gadugi"/>
          <w:szCs w:val="24"/>
        </w:rPr>
        <w:t xml:space="preserve"> </w:t>
      </w:r>
      <w:r w:rsidR="00061C0E" w:rsidRPr="004C7F1D">
        <w:rPr>
          <w:rFonts w:ascii="Gadugi" w:hAnsi="Gadugi"/>
          <w:szCs w:val="24"/>
        </w:rPr>
        <w:t>accionado</w:t>
      </w:r>
      <w:r w:rsidR="00035B40" w:rsidRPr="004C7F1D">
        <w:rPr>
          <w:rFonts w:ascii="Gadugi" w:hAnsi="Gadugi"/>
          <w:szCs w:val="24"/>
        </w:rPr>
        <w:t xml:space="preserve"> que, con base en una indebida valoración probatoria, negó las pretensiones en un proceso de pertenencia que él </w:t>
      </w:r>
      <w:r w:rsidR="001E0C63" w:rsidRPr="004C7F1D">
        <w:rPr>
          <w:rFonts w:ascii="Gadugi" w:hAnsi="Gadugi"/>
          <w:szCs w:val="24"/>
        </w:rPr>
        <w:t xml:space="preserve">radicó </w:t>
      </w:r>
      <w:r w:rsidR="00035B40" w:rsidRPr="004C7F1D">
        <w:rPr>
          <w:rFonts w:ascii="Gadugi" w:hAnsi="Gadugi"/>
          <w:szCs w:val="24"/>
        </w:rPr>
        <w:t>en el 2014.</w:t>
      </w:r>
      <w:bookmarkEnd w:id="2"/>
      <w:r w:rsidR="00035B40" w:rsidRPr="004C7F1D">
        <w:rPr>
          <w:rFonts w:ascii="Gadugi" w:hAnsi="Gadugi"/>
          <w:szCs w:val="24"/>
        </w:rPr>
        <w:t xml:space="preserve"> </w:t>
      </w:r>
    </w:p>
    <w:p w14:paraId="2E6818E2" w14:textId="77777777" w:rsidR="00035B40" w:rsidRPr="004C7F1D" w:rsidRDefault="00035B40" w:rsidP="004C7F1D">
      <w:pPr>
        <w:pStyle w:val="Textoindependiente22"/>
        <w:spacing w:line="276" w:lineRule="auto"/>
        <w:rPr>
          <w:rFonts w:ascii="Gadugi" w:hAnsi="Gadugi"/>
          <w:szCs w:val="24"/>
        </w:rPr>
      </w:pPr>
    </w:p>
    <w:p w14:paraId="2407B847" w14:textId="75B0B0EA" w:rsidR="00802AF1" w:rsidRPr="004C7F1D" w:rsidRDefault="004A2BF6" w:rsidP="004C7F1D">
      <w:pPr>
        <w:pStyle w:val="Textoindependiente22"/>
        <w:spacing w:line="276" w:lineRule="auto"/>
        <w:rPr>
          <w:rFonts w:ascii="Gadugi" w:hAnsi="Gadugi"/>
          <w:szCs w:val="24"/>
        </w:rPr>
      </w:pPr>
      <w:r w:rsidRPr="004C7F1D">
        <w:rPr>
          <w:rFonts w:ascii="Gadugi" w:hAnsi="Gadugi"/>
          <w:szCs w:val="24"/>
        </w:rPr>
        <w:t xml:space="preserve">2.2. </w:t>
      </w:r>
      <w:r w:rsidR="00E57F4C" w:rsidRPr="004C7F1D">
        <w:rPr>
          <w:rFonts w:ascii="Gadugi" w:hAnsi="Gadugi"/>
          <w:szCs w:val="24"/>
        </w:rPr>
        <w:t xml:space="preserve">Primero que todo debe decirse que se cumple con la legitimación en la causa por activa pues </w:t>
      </w:r>
      <w:r w:rsidR="00802AF1" w:rsidRPr="004C7F1D">
        <w:rPr>
          <w:rFonts w:ascii="Gadugi" w:hAnsi="Gadugi"/>
          <w:szCs w:val="24"/>
        </w:rPr>
        <w:t>el</w:t>
      </w:r>
      <w:r w:rsidR="00E57F4C" w:rsidRPr="004C7F1D">
        <w:rPr>
          <w:rFonts w:ascii="Gadugi" w:hAnsi="Gadugi"/>
          <w:szCs w:val="24"/>
        </w:rPr>
        <w:t xml:space="preserve"> accionante </w:t>
      </w:r>
      <w:r w:rsidR="00802AF1" w:rsidRPr="004C7F1D">
        <w:rPr>
          <w:rFonts w:ascii="Gadugi" w:hAnsi="Gadugi"/>
          <w:szCs w:val="24"/>
        </w:rPr>
        <w:t>es</w:t>
      </w:r>
      <w:r w:rsidR="00E57F4C" w:rsidRPr="004C7F1D">
        <w:rPr>
          <w:rFonts w:ascii="Gadugi" w:hAnsi="Gadugi"/>
          <w:szCs w:val="24"/>
        </w:rPr>
        <w:t xml:space="preserve"> </w:t>
      </w:r>
      <w:r w:rsidR="00802AF1" w:rsidRPr="004C7F1D">
        <w:rPr>
          <w:rFonts w:ascii="Gadugi" w:hAnsi="Gadugi"/>
          <w:szCs w:val="24"/>
        </w:rPr>
        <w:t xml:space="preserve">demandante en la pertenencia que cuestiona, y puede actuar por medio de agente oficiosos, dado que en la demanda se explicó que el señor Mosquera Perea es </w:t>
      </w:r>
      <w:r w:rsidR="001E0C63" w:rsidRPr="004C7F1D">
        <w:rPr>
          <w:rFonts w:ascii="Gadugi" w:hAnsi="Gadugi"/>
          <w:szCs w:val="24"/>
        </w:rPr>
        <w:t>analfabeta, cuenta con</w:t>
      </w:r>
      <w:r w:rsidR="00802AF1" w:rsidRPr="004C7F1D">
        <w:rPr>
          <w:rFonts w:ascii="Gadugi" w:hAnsi="Gadugi"/>
          <w:szCs w:val="24"/>
        </w:rPr>
        <w:t xml:space="preserve"> 91 años de edad, con escasos recursos económicos, problemas de salud y sin un mínimo conocimiento sobre el manejo de medios tecnológicos.</w:t>
      </w:r>
    </w:p>
    <w:p w14:paraId="6450900F" w14:textId="01B36DF0" w:rsidR="00802AF1" w:rsidRPr="004C7F1D" w:rsidRDefault="00802AF1" w:rsidP="004C7F1D">
      <w:pPr>
        <w:pStyle w:val="Textoindependiente22"/>
        <w:spacing w:line="276" w:lineRule="auto"/>
        <w:rPr>
          <w:rFonts w:ascii="Gadugi" w:hAnsi="Gadugi"/>
          <w:szCs w:val="24"/>
        </w:rPr>
      </w:pPr>
    </w:p>
    <w:p w14:paraId="77C93432" w14:textId="4D346E9F" w:rsidR="002322EB" w:rsidRPr="004C7F1D" w:rsidRDefault="00802AF1" w:rsidP="004C7F1D">
      <w:pPr>
        <w:pStyle w:val="Textoindependiente22"/>
        <w:spacing w:line="276" w:lineRule="auto"/>
        <w:rPr>
          <w:rFonts w:ascii="Gadugi" w:hAnsi="Gadugi"/>
          <w:szCs w:val="24"/>
        </w:rPr>
      </w:pPr>
      <w:r w:rsidRPr="004C7F1D">
        <w:rPr>
          <w:rFonts w:ascii="Gadugi" w:hAnsi="Gadugi"/>
          <w:szCs w:val="24"/>
        </w:rPr>
        <w:t>También se supera la legitimación en la causa por pasiva dado que, ante el juzgado accionado, se tramita el juicio del que se viene hablando; a</w:t>
      </w:r>
      <w:r w:rsidR="00E57F4C" w:rsidRPr="004C7F1D">
        <w:rPr>
          <w:rFonts w:ascii="Gadugi" w:hAnsi="Gadugi"/>
          <w:szCs w:val="24"/>
        </w:rPr>
        <w:t>demás, pueden comparecer los demás vinculados porque intervienen en ese caso.</w:t>
      </w:r>
    </w:p>
    <w:p w14:paraId="70324029" w14:textId="77777777" w:rsidR="00E57F4C" w:rsidRPr="004C7F1D" w:rsidRDefault="00E57F4C" w:rsidP="004C7F1D">
      <w:pPr>
        <w:pStyle w:val="Textoindependiente22"/>
        <w:spacing w:line="276" w:lineRule="auto"/>
        <w:ind w:firstLine="0"/>
        <w:rPr>
          <w:rFonts w:ascii="Gadugi" w:hAnsi="Gadugi"/>
          <w:szCs w:val="24"/>
        </w:rPr>
      </w:pPr>
    </w:p>
    <w:p w14:paraId="582D71C8" w14:textId="31373BFA" w:rsidR="00E41327" w:rsidRPr="004C7F1D" w:rsidRDefault="00AC524D" w:rsidP="004C7F1D">
      <w:pPr>
        <w:spacing w:line="276" w:lineRule="auto"/>
        <w:jc w:val="both"/>
        <w:rPr>
          <w:rFonts w:ascii="Gadugi" w:hAnsi="Gadugi" w:cs="Arial"/>
          <w:sz w:val="24"/>
          <w:szCs w:val="24"/>
        </w:rPr>
      </w:pPr>
      <w:r w:rsidRPr="004C7F1D">
        <w:rPr>
          <w:rFonts w:ascii="Gadugi" w:hAnsi="Gadugi"/>
          <w:sz w:val="24"/>
          <w:szCs w:val="24"/>
        </w:rPr>
        <w:tab/>
      </w:r>
      <w:r w:rsidRPr="004C7F1D">
        <w:rPr>
          <w:rFonts w:ascii="Gadugi" w:hAnsi="Gadugi"/>
          <w:sz w:val="24"/>
          <w:szCs w:val="24"/>
        </w:rPr>
        <w:tab/>
      </w:r>
      <w:r w:rsidRPr="004C7F1D">
        <w:rPr>
          <w:rFonts w:ascii="Gadugi" w:hAnsi="Gadugi"/>
          <w:sz w:val="24"/>
          <w:szCs w:val="24"/>
        </w:rPr>
        <w:tab/>
      </w:r>
      <w:r w:rsidRPr="004C7F1D">
        <w:rPr>
          <w:rFonts w:ascii="Gadugi" w:hAnsi="Gadugi"/>
          <w:sz w:val="24"/>
          <w:szCs w:val="24"/>
        </w:rPr>
        <w:tab/>
      </w:r>
      <w:r w:rsidR="004A2BF6" w:rsidRPr="004C7F1D">
        <w:rPr>
          <w:rFonts w:ascii="Gadugi" w:hAnsi="Gadugi"/>
          <w:sz w:val="24"/>
          <w:szCs w:val="24"/>
        </w:rPr>
        <w:t xml:space="preserve">2.3. </w:t>
      </w:r>
      <w:r w:rsidR="00E57F4C" w:rsidRPr="004C7F1D">
        <w:rPr>
          <w:rFonts w:ascii="Gadugi" w:hAnsi="Gadugi"/>
          <w:sz w:val="24"/>
          <w:szCs w:val="24"/>
        </w:rPr>
        <w:t>Ahora bien, r</w:t>
      </w:r>
      <w:r w:rsidR="003B57C8" w:rsidRPr="004C7F1D">
        <w:rPr>
          <w:rFonts w:ascii="Gadugi" w:hAnsi="Gadugi" w:cs="Arial"/>
          <w:sz w:val="24"/>
          <w:szCs w:val="24"/>
        </w:rPr>
        <w:t>eiteradamente</w:t>
      </w:r>
      <w:r w:rsidR="00254315" w:rsidRPr="004C7F1D">
        <w:rPr>
          <w:rFonts w:ascii="Gadugi" w:hAnsi="Gadugi" w:cs="Arial"/>
          <w:sz w:val="24"/>
          <w:szCs w:val="24"/>
        </w:rPr>
        <w:t xml:space="preserve"> </w:t>
      </w:r>
      <w:r w:rsidR="00E41327" w:rsidRPr="004C7F1D">
        <w:rPr>
          <w:rFonts w:ascii="Gadugi" w:hAnsi="Gadugi" w:cs="Arial"/>
          <w:sz w:val="24"/>
          <w:szCs w:val="24"/>
        </w:rPr>
        <w:t xml:space="preserve">se ha expuesto que </w:t>
      </w:r>
      <w:r w:rsidR="00E41327" w:rsidRPr="004C7F1D">
        <w:rPr>
          <w:rFonts w:ascii="Gadugi" w:hAnsi="Gadugi"/>
          <w:sz w:val="24"/>
          <w:szCs w:val="24"/>
        </w:rPr>
        <w:t>a pesar de la inexequibilidad de las normas que en el Decreto 2591 de 1991 preveían la acción de tutela contra providencias judiciales</w:t>
      </w:r>
      <w:r w:rsidR="00E41327" w:rsidRPr="004C7F1D">
        <w:rPr>
          <w:rStyle w:val="Refdenotaalpie"/>
          <w:rFonts w:ascii="Gadugi" w:hAnsi="Gadugi"/>
          <w:sz w:val="24"/>
          <w:szCs w:val="24"/>
        </w:rPr>
        <w:footnoteReference w:id="7"/>
      </w:r>
      <w:r w:rsidR="00E41327" w:rsidRPr="004C7F1D">
        <w:rPr>
          <w:rFonts w:ascii="Gadugi" w:hAnsi="Gadugi"/>
          <w:sz w:val="24"/>
          <w:szCs w:val="24"/>
        </w:rPr>
        <w:t>,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00E41327" w:rsidRPr="004C7F1D">
        <w:rPr>
          <w:rFonts w:ascii="Gadugi" w:hAnsi="Gadugi" w:cs="Arial"/>
          <w:sz w:val="24"/>
          <w:szCs w:val="24"/>
        </w:rPr>
        <w:t xml:space="preserve"> en múltiples ocasiones. </w:t>
      </w:r>
    </w:p>
    <w:p w14:paraId="6272D9B9" w14:textId="77777777" w:rsidR="00E41327" w:rsidRPr="004C7F1D" w:rsidRDefault="00E41327" w:rsidP="004C7F1D">
      <w:pPr>
        <w:spacing w:line="276" w:lineRule="auto"/>
        <w:jc w:val="both"/>
        <w:rPr>
          <w:rFonts w:ascii="Gadugi" w:hAnsi="Gadugi" w:cs="Arial"/>
          <w:sz w:val="24"/>
          <w:szCs w:val="24"/>
        </w:rPr>
      </w:pPr>
    </w:p>
    <w:p w14:paraId="6B1786C4" w14:textId="77777777" w:rsidR="00E41327" w:rsidRPr="004C7F1D" w:rsidRDefault="00E41327" w:rsidP="004C7F1D">
      <w:pPr>
        <w:spacing w:line="276" w:lineRule="auto"/>
        <w:jc w:val="both"/>
        <w:rPr>
          <w:rFonts w:ascii="Gadugi" w:hAnsi="Gadugi"/>
          <w:sz w:val="24"/>
          <w:szCs w:val="24"/>
        </w:rPr>
      </w:pPr>
      <w:r w:rsidRPr="004C7F1D">
        <w:rPr>
          <w:rFonts w:ascii="Gadugi" w:hAnsi="Gadugi" w:cs="Arial"/>
          <w:sz w:val="24"/>
          <w:szCs w:val="24"/>
        </w:rPr>
        <w:lastRenderedPageBreak/>
        <w:tab/>
      </w:r>
      <w:r w:rsidRPr="004C7F1D">
        <w:rPr>
          <w:rFonts w:ascii="Gadugi" w:hAnsi="Gadugi" w:cs="Arial"/>
          <w:sz w:val="24"/>
          <w:szCs w:val="24"/>
        </w:rPr>
        <w:tab/>
      </w:r>
      <w:r w:rsidRPr="004C7F1D">
        <w:rPr>
          <w:rFonts w:ascii="Gadugi" w:hAnsi="Gadugi" w:cs="Arial"/>
          <w:sz w:val="24"/>
          <w:szCs w:val="24"/>
        </w:rPr>
        <w:tab/>
      </w:r>
      <w:r w:rsidRPr="004C7F1D">
        <w:rPr>
          <w:rFonts w:ascii="Gadugi" w:hAnsi="Gadugi" w:cs="Arial"/>
          <w:sz w:val="24"/>
          <w:szCs w:val="24"/>
        </w:rPr>
        <w:tab/>
        <w:t xml:space="preserve">Sobre ellas, en las sentencias SU-222/16, SU573/17, SU-004/18, </w:t>
      </w:r>
      <w:r w:rsidRPr="004C7F1D">
        <w:rPr>
          <w:rFonts w:ascii="Gadugi" w:hAnsi="Gadugi" w:cs="Arial"/>
          <w:sz w:val="24"/>
          <w:szCs w:val="24"/>
          <w:lang w:val="es-419"/>
        </w:rPr>
        <w:t xml:space="preserve">reiteradas en las sentencias T-075/19, </w:t>
      </w:r>
      <w:r w:rsidRPr="004C7F1D">
        <w:rPr>
          <w:rFonts w:ascii="Gadugi" w:hAnsi="Gadugi" w:cs="Arial"/>
          <w:sz w:val="24"/>
          <w:szCs w:val="24"/>
        </w:rPr>
        <w:t>T-053/20, SU128/21,</w:t>
      </w:r>
      <w:r w:rsidRPr="004C7F1D">
        <w:rPr>
          <w:rFonts w:ascii="Gadugi" w:hAnsi="Gadugi"/>
          <w:sz w:val="24"/>
          <w:szCs w:val="24"/>
        </w:rPr>
        <w:t xml:space="preserve"> y más recientemente en la </w:t>
      </w:r>
      <w:r w:rsidRPr="004C7F1D">
        <w:rPr>
          <w:rFonts w:ascii="Gadugi" w:hAnsi="Gadugi" w:cs="Arial"/>
          <w:sz w:val="24"/>
          <w:szCs w:val="24"/>
        </w:rPr>
        <w:t xml:space="preserve">T-001/22 todas aludiendo a la C-590 de 2005, recordó que </w:t>
      </w:r>
      <w:bookmarkStart w:id="3" w:name="_Hlk117518421"/>
      <w:r w:rsidRPr="004C7F1D">
        <w:rPr>
          <w:rFonts w:ascii="Gadugi" w:hAnsi="Gadugi" w:cs="Arial"/>
          <w:sz w:val="24"/>
          <w:szCs w:val="24"/>
        </w:rPr>
        <w:t xml:space="preserve">las primeras obedecen a </w:t>
      </w:r>
      <w:r w:rsidRPr="004C7F1D">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w:t>
      </w:r>
      <w:bookmarkEnd w:id="3"/>
      <w:r w:rsidRPr="004C7F1D">
        <w:rPr>
          <w:rFonts w:ascii="Gadugi" w:hAnsi="Gadugi"/>
          <w:sz w:val="24"/>
          <w:szCs w:val="24"/>
          <w:bdr w:val="none" w:sz="0" w:space="0" w:color="auto" w:frame="1"/>
          <w:lang w:val="es-CO"/>
        </w:rPr>
        <w:t>,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4C7F1D">
        <w:rPr>
          <w:rFonts w:ascii="Gadugi" w:hAnsi="Gadugi"/>
          <w:sz w:val="24"/>
          <w:szCs w:val="24"/>
        </w:rPr>
        <w:t xml:space="preserve"> </w:t>
      </w:r>
      <w:r w:rsidRPr="004C7F1D">
        <w:rPr>
          <w:rFonts w:ascii="Gadugi" w:hAnsi="Gadugi" w:cs="Arial"/>
          <w:sz w:val="24"/>
          <w:szCs w:val="24"/>
        </w:rPr>
        <w:t>Y en cuanto a las segundas, es decir, las causales específicas, se compendian en los defectos</w:t>
      </w:r>
      <w:r w:rsidRPr="004C7F1D">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Pr="004C7F1D">
        <w:rPr>
          <w:rFonts w:ascii="Gadugi" w:hAnsi="Gadugi"/>
          <w:sz w:val="24"/>
          <w:szCs w:val="24"/>
        </w:rPr>
        <w:t xml:space="preserve"> </w:t>
      </w:r>
    </w:p>
    <w:p w14:paraId="0A3CC9EE" w14:textId="0099F103" w:rsidR="006503A5" w:rsidRPr="004C7F1D" w:rsidRDefault="006503A5" w:rsidP="004C7F1D">
      <w:pPr>
        <w:spacing w:line="276" w:lineRule="auto"/>
        <w:jc w:val="both"/>
        <w:rPr>
          <w:rFonts w:ascii="Gadugi" w:hAnsi="Gadugi"/>
          <w:sz w:val="24"/>
          <w:szCs w:val="24"/>
        </w:rPr>
      </w:pPr>
    </w:p>
    <w:p w14:paraId="77DCCED5" w14:textId="02CBF12F" w:rsidR="000370A8" w:rsidRPr="004C7F1D" w:rsidRDefault="006503A5" w:rsidP="004C7F1D">
      <w:pPr>
        <w:spacing w:line="276" w:lineRule="auto"/>
        <w:jc w:val="both"/>
        <w:rPr>
          <w:rFonts w:ascii="Gadugi" w:hAnsi="Gadugi"/>
          <w:sz w:val="24"/>
          <w:szCs w:val="24"/>
        </w:rPr>
      </w:pPr>
      <w:r w:rsidRPr="004C7F1D">
        <w:rPr>
          <w:rFonts w:ascii="Gadugi" w:hAnsi="Gadugi"/>
          <w:sz w:val="24"/>
          <w:szCs w:val="24"/>
        </w:rPr>
        <w:tab/>
      </w:r>
      <w:r w:rsidRPr="004C7F1D">
        <w:rPr>
          <w:rFonts w:ascii="Gadugi" w:hAnsi="Gadugi"/>
          <w:sz w:val="24"/>
          <w:szCs w:val="24"/>
        </w:rPr>
        <w:tab/>
      </w:r>
      <w:r w:rsidRPr="004C7F1D">
        <w:rPr>
          <w:rFonts w:ascii="Gadugi" w:hAnsi="Gadugi"/>
          <w:sz w:val="24"/>
          <w:szCs w:val="24"/>
        </w:rPr>
        <w:tab/>
      </w:r>
      <w:r w:rsidRPr="004C7F1D">
        <w:rPr>
          <w:rFonts w:ascii="Gadugi" w:hAnsi="Gadugi"/>
          <w:sz w:val="24"/>
          <w:szCs w:val="24"/>
        </w:rPr>
        <w:tab/>
      </w:r>
      <w:r w:rsidR="00BA5215" w:rsidRPr="004C7F1D">
        <w:rPr>
          <w:rFonts w:ascii="Gadugi" w:hAnsi="Gadugi"/>
          <w:sz w:val="24"/>
          <w:szCs w:val="24"/>
        </w:rPr>
        <w:t xml:space="preserve">2.4. </w:t>
      </w:r>
      <w:r w:rsidR="00E57F4C" w:rsidRPr="004C7F1D">
        <w:rPr>
          <w:rFonts w:ascii="Gadugi" w:hAnsi="Gadugi"/>
          <w:sz w:val="24"/>
          <w:szCs w:val="24"/>
        </w:rPr>
        <w:t xml:space="preserve">De frente a lo </w:t>
      </w:r>
      <w:r w:rsidR="009C5227" w:rsidRPr="004C7F1D">
        <w:rPr>
          <w:rFonts w:ascii="Gadugi" w:hAnsi="Gadugi"/>
          <w:sz w:val="24"/>
          <w:szCs w:val="24"/>
        </w:rPr>
        <w:t>que acaba de exponerse,</w:t>
      </w:r>
      <w:r w:rsidR="00E57F4C" w:rsidRPr="004C7F1D">
        <w:rPr>
          <w:rFonts w:ascii="Gadugi" w:hAnsi="Gadugi"/>
          <w:sz w:val="24"/>
          <w:szCs w:val="24"/>
        </w:rPr>
        <w:t xml:space="preserve"> rápido se advierte </w:t>
      </w:r>
      <w:r w:rsidR="009C5227" w:rsidRPr="004C7F1D">
        <w:rPr>
          <w:rFonts w:ascii="Gadugi" w:hAnsi="Gadugi"/>
          <w:sz w:val="24"/>
          <w:szCs w:val="24"/>
        </w:rPr>
        <w:t xml:space="preserve">la improcedencia de la presente demanda que carece del presupuesto de la inmediatez, sobre el que se </w:t>
      </w:r>
      <w:r w:rsidR="000370A8" w:rsidRPr="004C7F1D">
        <w:rPr>
          <w:rFonts w:ascii="Gadugi" w:hAnsi="Gadugi"/>
          <w:sz w:val="24"/>
          <w:szCs w:val="24"/>
        </w:rPr>
        <w:t>ha dicho</w:t>
      </w:r>
      <w:r w:rsidR="000370A8" w:rsidRPr="004C7F1D">
        <w:rPr>
          <w:rStyle w:val="Refdenotaalpie"/>
          <w:rFonts w:ascii="Gadugi" w:hAnsi="Gadugi"/>
          <w:sz w:val="24"/>
          <w:szCs w:val="24"/>
        </w:rPr>
        <w:footnoteReference w:id="8"/>
      </w:r>
      <w:r w:rsidR="000370A8" w:rsidRPr="004C7F1D">
        <w:rPr>
          <w:rFonts w:ascii="Gadugi" w:hAnsi="Gadugi"/>
          <w:sz w:val="24"/>
          <w:szCs w:val="24"/>
        </w:rPr>
        <w:t>:</w:t>
      </w:r>
    </w:p>
    <w:p w14:paraId="6CF7BA3C" w14:textId="77777777" w:rsidR="000370A8" w:rsidRPr="004C7F1D" w:rsidRDefault="000370A8" w:rsidP="004C7F1D">
      <w:pPr>
        <w:tabs>
          <w:tab w:val="left" w:pos="2835"/>
        </w:tabs>
        <w:spacing w:line="276" w:lineRule="auto"/>
        <w:jc w:val="both"/>
        <w:rPr>
          <w:rFonts w:ascii="Gadugi" w:hAnsi="Gadugi"/>
          <w:sz w:val="24"/>
          <w:szCs w:val="24"/>
        </w:rPr>
      </w:pPr>
    </w:p>
    <w:p w14:paraId="76B08F8C" w14:textId="77777777" w:rsidR="000370A8" w:rsidRPr="004C7F1D" w:rsidRDefault="000370A8" w:rsidP="004C7F1D">
      <w:pPr>
        <w:tabs>
          <w:tab w:val="left" w:pos="2835"/>
        </w:tabs>
        <w:ind w:left="426" w:right="420"/>
        <w:jc w:val="both"/>
        <w:rPr>
          <w:rFonts w:ascii="Gadugi" w:hAnsi="Gadugi"/>
          <w:sz w:val="22"/>
          <w:szCs w:val="24"/>
          <w:lang w:val="es-CO" w:eastAsia="es-CO"/>
        </w:rPr>
      </w:pPr>
      <w:r w:rsidRPr="004C7F1D">
        <w:rPr>
          <w:rFonts w:ascii="Gadugi" w:hAnsi="Gadugi"/>
          <w:sz w:val="22"/>
          <w:szCs w:val="24"/>
        </w:rPr>
        <w:tab/>
      </w:r>
      <w:r w:rsidRPr="004C7F1D">
        <w:rPr>
          <w:rFonts w:ascii="Gadugi" w:hAnsi="Gadugi"/>
          <w:sz w:val="22"/>
          <w:szCs w:val="24"/>
          <w:lang w:val="es-CO" w:eastAsia="es-CO"/>
        </w:rPr>
        <w:t>En este acápite, la Sala Plena de la Corte Constitucional analizará, como se sostuvo en la presentación del caso la verificación del cumplimiento de las reglas de inmediatez que la jurisprudencia constitucional ha señalado en materia de acción de tutela contra providencias judiciales promovidas por autoridades públicas</w:t>
      </w:r>
      <w:r w:rsidRPr="004C7F1D">
        <w:rPr>
          <w:rStyle w:val="Refdenotaalpie"/>
          <w:rFonts w:ascii="Gadugi" w:hAnsi="Gadugi"/>
          <w:sz w:val="22"/>
          <w:szCs w:val="24"/>
          <w:lang w:val="es-CO" w:eastAsia="es-CO"/>
        </w:rPr>
        <w:footnoteReference w:id="9"/>
      </w:r>
      <w:r w:rsidRPr="004C7F1D">
        <w:rPr>
          <w:rFonts w:ascii="Gadugi" w:hAnsi="Gadugi"/>
          <w:sz w:val="22"/>
          <w:szCs w:val="24"/>
          <w:lang w:val="es-CO" w:eastAsia="es-CO"/>
        </w:rPr>
        <w:t>.</w:t>
      </w:r>
    </w:p>
    <w:p w14:paraId="6E7FE285" w14:textId="77777777" w:rsidR="000370A8" w:rsidRPr="004C7F1D" w:rsidRDefault="000370A8" w:rsidP="004C7F1D">
      <w:pPr>
        <w:tabs>
          <w:tab w:val="left" w:pos="2835"/>
        </w:tabs>
        <w:ind w:left="426" w:right="420"/>
        <w:jc w:val="both"/>
        <w:rPr>
          <w:rFonts w:ascii="Gadugi" w:hAnsi="Gadugi"/>
          <w:sz w:val="22"/>
          <w:szCs w:val="24"/>
          <w:lang w:val="es-CO" w:eastAsia="es-CO"/>
        </w:rPr>
      </w:pPr>
    </w:p>
    <w:p w14:paraId="3B22017A" w14:textId="77777777" w:rsidR="000370A8" w:rsidRPr="004C7F1D" w:rsidRDefault="000370A8" w:rsidP="004C7F1D">
      <w:pPr>
        <w:tabs>
          <w:tab w:val="left" w:pos="2835"/>
        </w:tabs>
        <w:ind w:left="426" w:right="420"/>
        <w:jc w:val="both"/>
        <w:rPr>
          <w:rFonts w:ascii="Gadugi" w:hAnsi="Gadugi"/>
          <w:sz w:val="22"/>
          <w:szCs w:val="24"/>
          <w:lang w:val="es-CO" w:eastAsia="es-CO"/>
        </w:rPr>
      </w:pPr>
      <w:r w:rsidRPr="004C7F1D">
        <w:rPr>
          <w:rFonts w:ascii="Gadugi" w:hAnsi="Gadugi"/>
          <w:sz w:val="22"/>
          <w:szCs w:val="24"/>
          <w:lang w:val="es-CO" w:eastAsia="es-CO"/>
        </w:rPr>
        <w:tab/>
        <w:t>La jurisprudencia constitucional ha sostenido que la </w:t>
      </w:r>
      <w:r w:rsidRPr="004C7F1D">
        <w:rPr>
          <w:rFonts w:ascii="Gadugi" w:hAnsi="Gadugi"/>
          <w:i/>
          <w:iCs/>
          <w:sz w:val="22"/>
          <w:szCs w:val="24"/>
          <w:lang w:val="es-CO" w:eastAsia="es-CO"/>
        </w:rPr>
        <w:t>inmediatez</w:t>
      </w:r>
      <w:r w:rsidRPr="004C7F1D">
        <w:rPr>
          <w:rFonts w:ascii="Gadugi" w:hAnsi="Gadugi"/>
          <w:sz w:val="22"/>
          <w:szCs w:val="24"/>
          <w:lang w:val="es-CO" w:eastAsia="es-CO"/>
        </w:rPr>
        <w:t> es una exigencia jurisprudencial que reclama la verificación de una correlación </w:t>
      </w:r>
      <w:r w:rsidRPr="004C7F1D">
        <w:rPr>
          <w:rFonts w:ascii="Gadugi" w:hAnsi="Gadugi"/>
          <w:i/>
          <w:iCs/>
          <w:sz w:val="22"/>
          <w:szCs w:val="24"/>
          <w:lang w:val="es-CO" w:eastAsia="es-CO"/>
        </w:rPr>
        <w:t>temporal</w:t>
      </w:r>
      <w:r w:rsidRPr="004C7F1D">
        <w:rPr>
          <w:rFonts w:ascii="Gadugi" w:hAnsi="Gadugi"/>
          <w:sz w:val="22"/>
          <w:szCs w:val="24"/>
          <w:lang w:val="es-CO" w:eastAsia="es-CO"/>
        </w:rPr>
        <w:t> entre la solicitud de tutela y el hecho judicial vulnerador de los derechos fundamentales, que puede explicarse de la siguiente forma</w:t>
      </w:r>
      <w:r w:rsidRPr="004C7F1D">
        <w:rPr>
          <w:rFonts w:ascii="Gadugi" w:hAnsi="Gadugi"/>
          <w:b/>
          <w:sz w:val="22"/>
          <w:szCs w:val="24"/>
          <w:lang w:val="es-CO" w:eastAsia="es-CO"/>
        </w:rPr>
        <w:t>: es improcedente la acción de tutela contra actuaciones judiciales cuando el paso del tiempo es tan significativo, que es irrazonable y desproporcionado un control constitucional de la actividad judicial por vía de la acción de tutela</w:t>
      </w:r>
      <w:r w:rsidRPr="004C7F1D">
        <w:rPr>
          <w:rStyle w:val="Refdenotaalpie"/>
          <w:rFonts w:ascii="Gadugi" w:hAnsi="Gadugi"/>
          <w:sz w:val="22"/>
          <w:szCs w:val="24"/>
          <w:lang w:val="es-CO" w:eastAsia="es-CO"/>
        </w:rPr>
        <w:footnoteReference w:id="10"/>
      </w:r>
      <w:r w:rsidRPr="004C7F1D">
        <w:rPr>
          <w:rFonts w:ascii="Gadugi" w:hAnsi="Gadugi"/>
          <w:sz w:val="22"/>
          <w:szCs w:val="24"/>
          <w:lang w:val="es-CO" w:eastAsia="es-CO"/>
        </w:rPr>
        <w:t>.</w:t>
      </w:r>
    </w:p>
    <w:p w14:paraId="229F7439" w14:textId="77777777" w:rsidR="000370A8" w:rsidRPr="004C7F1D" w:rsidRDefault="000370A8" w:rsidP="004C7F1D">
      <w:pPr>
        <w:tabs>
          <w:tab w:val="left" w:pos="2835"/>
        </w:tabs>
        <w:ind w:left="426" w:right="420"/>
        <w:jc w:val="both"/>
        <w:rPr>
          <w:rFonts w:ascii="Gadugi" w:hAnsi="Gadugi"/>
          <w:sz w:val="22"/>
          <w:szCs w:val="24"/>
          <w:lang w:val="es-CO" w:eastAsia="es-CO"/>
        </w:rPr>
      </w:pPr>
    </w:p>
    <w:p w14:paraId="5A3A6C72" w14:textId="6F8499B5" w:rsidR="000370A8" w:rsidRPr="004C7F1D" w:rsidRDefault="000370A8" w:rsidP="004C7F1D">
      <w:pPr>
        <w:tabs>
          <w:tab w:val="left" w:pos="2835"/>
        </w:tabs>
        <w:ind w:left="426" w:right="420"/>
        <w:jc w:val="both"/>
        <w:rPr>
          <w:rFonts w:ascii="Gadugi" w:hAnsi="Gadugi"/>
          <w:b/>
          <w:sz w:val="22"/>
          <w:szCs w:val="24"/>
          <w:lang w:val="es-CO" w:eastAsia="es-CO"/>
        </w:rPr>
      </w:pPr>
      <w:r w:rsidRPr="004C7F1D">
        <w:rPr>
          <w:rFonts w:ascii="Gadugi" w:hAnsi="Gadugi"/>
          <w:sz w:val="22"/>
          <w:szCs w:val="24"/>
          <w:lang w:val="es-CO" w:eastAsia="es-CO"/>
        </w:rPr>
        <w:tab/>
      </w:r>
      <w:r w:rsidRPr="004C7F1D">
        <w:rPr>
          <w:rFonts w:ascii="Gadugi" w:hAnsi="Gadugi"/>
          <w:b/>
          <w:sz w:val="22"/>
          <w:szCs w:val="24"/>
          <w:lang w:val="es-CO" w:eastAsia="es-CO"/>
        </w:rPr>
        <w:t>En ese sentido, es necesario promover la acción de tutela contra providencias judiciales </w:t>
      </w:r>
      <w:r w:rsidRPr="004C7F1D">
        <w:rPr>
          <w:rFonts w:ascii="Gadugi" w:hAnsi="Gadugi"/>
          <w:b/>
          <w:i/>
          <w:iCs/>
          <w:sz w:val="22"/>
          <w:szCs w:val="24"/>
          <w:lang w:val="es-CO" w:eastAsia="es-CO"/>
        </w:rPr>
        <w:t xml:space="preserve">tan pronto se produce la vulneración o amenaza de los derechos fundamentales, o en un plazo prudencial, porque de lo contrario la </w:t>
      </w:r>
      <w:r w:rsidRPr="004C7F1D">
        <w:rPr>
          <w:rFonts w:ascii="Gadugi" w:hAnsi="Gadugi"/>
          <w:b/>
          <w:i/>
          <w:iCs/>
          <w:sz w:val="22"/>
          <w:szCs w:val="24"/>
          <w:lang w:val="es-CO" w:eastAsia="es-CO"/>
        </w:rPr>
        <w:lastRenderedPageBreak/>
        <w:t>necesidad de la protección constitucional por vía de tutela queda en entredicho, ya que no se entiende por qué si la amenaza o violación del derecho era tan perentoria, no se acudió al mecanismo constitucional con anterioridad</w:t>
      </w:r>
      <w:r w:rsidRPr="004C7F1D">
        <w:rPr>
          <w:rStyle w:val="Refdenotaalpie"/>
          <w:rFonts w:ascii="Gadugi" w:hAnsi="Gadugi"/>
          <w:i/>
          <w:iCs/>
          <w:sz w:val="22"/>
          <w:szCs w:val="24"/>
          <w:lang w:val="es-CO" w:eastAsia="es-CO"/>
        </w:rPr>
        <w:footnoteReference w:id="11"/>
      </w:r>
      <w:r w:rsidRPr="004C7F1D">
        <w:rPr>
          <w:rFonts w:ascii="Gadugi" w:hAnsi="Gadugi"/>
          <w:i/>
          <w:iCs/>
          <w:sz w:val="22"/>
          <w:szCs w:val="24"/>
          <w:lang w:val="es-CO" w:eastAsia="es-CO"/>
        </w:rPr>
        <w:t>.</w:t>
      </w:r>
      <w:r w:rsidRPr="004C7F1D">
        <w:rPr>
          <w:rFonts w:ascii="Gadugi" w:hAnsi="Gadugi"/>
          <w:sz w:val="22"/>
          <w:szCs w:val="24"/>
          <w:lang w:val="es-CO" w:eastAsia="es-CO"/>
        </w:rPr>
        <w:t> </w:t>
      </w:r>
      <w:r w:rsidRPr="004C7F1D">
        <w:rPr>
          <w:rFonts w:ascii="Gadugi" w:hAnsi="Gadugi"/>
          <w:b/>
          <w:sz w:val="22"/>
          <w:szCs w:val="24"/>
          <w:lang w:val="es-CO" w:eastAsia="es-CO"/>
        </w:rPr>
        <w:t>Como consecuencia de ello, permitir un excesivo paso del tiempo ante la posibilidad de una reclamación constitucional contra una providencia judicial, puede afectar además el principio de seguridad jurídica; de tal manera que la inmediatez sea claramente una exigencia ineludible en la procedencia de la acción de tutela contra providencias judiciales</w:t>
      </w:r>
      <w:r w:rsidRPr="004C7F1D">
        <w:rPr>
          <w:rStyle w:val="Refdenotaalpie"/>
          <w:rFonts w:ascii="Gadugi" w:hAnsi="Gadugi"/>
          <w:b/>
          <w:sz w:val="22"/>
          <w:szCs w:val="24"/>
          <w:lang w:val="es-CO" w:eastAsia="es-CO"/>
        </w:rPr>
        <w:footnoteReference w:id="12"/>
      </w:r>
      <w:r w:rsidRPr="004C7F1D">
        <w:rPr>
          <w:rFonts w:ascii="Gadugi" w:hAnsi="Gadugi"/>
          <w:b/>
          <w:sz w:val="22"/>
          <w:szCs w:val="24"/>
          <w:lang w:val="es-CO" w:eastAsia="es-CO"/>
        </w:rPr>
        <w:t>.</w:t>
      </w:r>
    </w:p>
    <w:p w14:paraId="4D09ADB0" w14:textId="77777777" w:rsidR="00802AF1" w:rsidRPr="004C7F1D" w:rsidRDefault="00802AF1" w:rsidP="004C7F1D">
      <w:pPr>
        <w:tabs>
          <w:tab w:val="left" w:pos="2835"/>
        </w:tabs>
        <w:ind w:left="426" w:right="420"/>
        <w:jc w:val="both"/>
        <w:rPr>
          <w:rFonts w:ascii="Gadugi" w:hAnsi="Gadugi"/>
          <w:b/>
          <w:sz w:val="22"/>
          <w:szCs w:val="24"/>
          <w:lang w:val="es-CO" w:eastAsia="es-CO"/>
        </w:rPr>
      </w:pPr>
    </w:p>
    <w:p w14:paraId="77E801CB" w14:textId="77777777" w:rsidR="000370A8" w:rsidRPr="004C7F1D" w:rsidRDefault="000370A8" w:rsidP="004C7F1D">
      <w:pPr>
        <w:tabs>
          <w:tab w:val="left" w:pos="2835"/>
        </w:tabs>
        <w:ind w:left="426" w:right="420"/>
        <w:jc w:val="both"/>
        <w:rPr>
          <w:rFonts w:ascii="Gadugi" w:hAnsi="Gadugi"/>
          <w:b/>
          <w:sz w:val="22"/>
          <w:szCs w:val="24"/>
          <w:lang w:val="es-CO" w:eastAsia="es-CO"/>
        </w:rPr>
      </w:pPr>
      <w:r w:rsidRPr="004C7F1D">
        <w:rPr>
          <w:rFonts w:ascii="Gadugi" w:hAnsi="Gadugi"/>
          <w:sz w:val="22"/>
          <w:szCs w:val="24"/>
          <w:lang w:val="es-CO" w:eastAsia="es-CO"/>
        </w:rPr>
        <w:tab/>
      </w:r>
      <w:r w:rsidRPr="004C7F1D">
        <w:rPr>
          <w:rFonts w:ascii="Gadugi" w:hAnsi="Gadugi"/>
          <w:b/>
          <w:sz w:val="22"/>
          <w:szCs w:val="24"/>
          <w:lang w:val="es-CO" w:eastAsia="es-CO"/>
        </w:rPr>
        <w:t>Además de lo anterior, la jurisprudencia constitucional ha considerado que, tratándose de la verificación de la inmediatez en tutela contra providencias judiciales, su examen debe ser más exigente respecto a la actualidad en la vulneración de los derechos fundamentales, pues como consecuencia de la acción de tutela podría dejar sin efecto una decisión judicial</w:t>
      </w:r>
      <w:r w:rsidRPr="004C7F1D">
        <w:rPr>
          <w:rStyle w:val="Refdenotaalpie"/>
          <w:rFonts w:ascii="Gadugi" w:hAnsi="Gadugi"/>
          <w:b/>
          <w:sz w:val="22"/>
          <w:szCs w:val="24"/>
          <w:lang w:val="es-CO" w:eastAsia="es-CO"/>
        </w:rPr>
        <w:footnoteReference w:id="13"/>
      </w:r>
      <w:r w:rsidRPr="004C7F1D">
        <w:rPr>
          <w:rFonts w:ascii="Gadugi" w:hAnsi="Gadugi"/>
          <w:b/>
          <w:sz w:val="22"/>
          <w:szCs w:val="24"/>
          <w:lang w:val="es-CO" w:eastAsia="es-CO"/>
        </w:rPr>
        <w:t>. En ese sentido, de acuerdo con la jurisprudencia constitucional, la carga de la argumentación en cabeza del demandante aumenta de manera proporcional a la distancia temporal que existe entre la presentación de la acción de tutela y el momento en que se consideró vulnerado un derecho, pues, en ausencia de justificación, el paso del tiempo reafirma la legitimidad de las decisiones judiciales y consolida los efectos de la sentencia</w:t>
      </w:r>
      <w:r w:rsidRPr="004C7F1D">
        <w:rPr>
          <w:rStyle w:val="Refdenotaalpie"/>
          <w:rFonts w:ascii="Gadugi" w:hAnsi="Gadugi"/>
          <w:b/>
          <w:sz w:val="22"/>
          <w:szCs w:val="24"/>
          <w:lang w:val="es-CO" w:eastAsia="es-CO"/>
        </w:rPr>
        <w:footnoteReference w:id="14"/>
      </w:r>
      <w:r w:rsidRPr="004C7F1D">
        <w:rPr>
          <w:rFonts w:ascii="Gadugi" w:hAnsi="Gadugi"/>
          <w:b/>
          <w:sz w:val="22"/>
          <w:szCs w:val="24"/>
          <w:lang w:val="es-CO" w:eastAsia="es-CO"/>
        </w:rPr>
        <w:t>.</w:t>
      </w:r>
    </w:p>
    <w:p w14:paraId="1A99CA4D" w14:textId="77777777" w:rsidR="000370A8" w:rsidRPr="004C7F1D" w:rsidRDefault="000370A8" w:rsidP="004C7F1D">
      <w:pPr>
        <w:tabs>
          <w:tab w:val="left" w:pos="2835"/>
        </w:tabs>
        <w:ind w:left="426" w:right="420"/>
        <w:jc w:val="both"/>
        <w:rPr>
          <w:rFonts w:ascii="Gadugi" w:hAnsi="Gadugi"/>
          <w:sz w:val="22"/>
          <w:szCs w:val="24"/>
          <w:lang w:val="es-CO" w:eastAsia="es-CO"/>
        </w:rPr>
      </w:pPr>
    </w:p>
    <w:p w14:paraId="18F2A1B3" w14:textId="77777777" w:rsidR="000370A8" w:rsidRPr="004C7F1D" w:rsidRDefault="000370A8" w:rsidP="004C7F1D">
      <w:pPr>
        <w:tabs>
          <w:tab w:val="left" w:pos="2835"/>
        </w:tabs>
        <w:ind w:left="426" w:right="420"/>
        <w:jc w:val="both"/>
        <w:rPr>
          <w:rFonts w:ascii="Gadugi" w:hAnsi="Gadugi"/>
          <w:sz w:val="22"/>
          <w:szCs w:val="24"/>
          <w:lang w:val="es-CO" w:eastAsia="es-CO"/>
        </w:rPr>
      </w:pPr>
      <w:r w:rsidRPr="004C7F1D">
        <w:rPr>
          <w:rFonts w:ascii="Gadugi" w:hAnsi="Gadugi"/>
          <w:sz w:val="22"/>
          <w:szCs w:val="24"/>
          <w:lang w:val="es-CO" w:eastAsia="es-CO"/>
        </w:rPr>
        <w:tab/>
        <w:t>A partir de lo anterior, la jurisprudencia constitucional, en aras de determinar que no existe una tardanza injustificada o irrazonable al momento de acudir a la acción de tutela, ha evaluado dicho periodo a partir de las siguientes reglas:</w:t>
      </w:r>
    </w:p>
    <w:p w14:paraId="2F320C92" w14:textId="77777777" w:rsidR="000370A8" w:rsidRPr="004C7F1D" w:rsidRDefault="000370A8" w:rsidP="004C7F1D">
      <w:pPr>
        <w:tabs>
          <w:tab w:val="left" w:pos="2835"/>
        </w:tabs>
        <w:ind w:left="426" w:right="420"/>
        <w:jc w:val="both"/>
        <w:rPr>
          <w:rFonts w:ascii="Gadugi" w:hAnsi="Gadugi"/>
          <w:sz w:val="22"/>
          <w:szCs w:val="24"/>
          <w:lang w:val="es-CO" w:eastAsia="es-CO"/>
        </w:rPr>
      </w:pPr>
    </w:p>
    <w:p w14:paraId="2E190DE3" w14:textId="77777777" w:rsidR="000370A8" w:rsidRPr="004C7F1D" w:rsidRDefault="000370A8" w:rsidP="004C7F1D">
      <w:pPr>
        <w:tabs>
          <w:tab w:val="left" w:pos="2835"/>
          <w:tab w:val="left" w:pos="3119"/>
          <w:tab w:val="left" w:pos="3261"/>
        </w:tabs>
        <w:ind w:left="426" w:right="420" w:firstLine="2268"/>
        <w:jc w:val="both"/>
        <w:rPr>
          <w:rFonts w:ascii="Gadugi" w:hAnsi="Gadugi"/>
          <w:i/>
          <w:iCs/>
          <w:sz w:val="22"/>
          <w:szCs w:val="24"/>
          <w:lang w:val="es-CO" w:eastAsia="es-CO"/>
        </w:rPr>
      </w:pPr>
      <w:r w:rsidRPr="004C7F1D">
        <w:rPr>
          <w:rFonts w:ascii="Gadugi" w:hAnsi="Gadugi"/>
          <w:i/>
          <w:iCs/>
          <w:sz w:val="22"/>
          <w:szCs w:val="24"/>
          <w:lang w:val="es-CO" w:eastAsia="es-CO"/>
        </w:rPr>
        <w:t>(i) que exista un motivo válido para la inactividad de los accionantes;</w:t>
      </w:r>
    </w:p>
    <w:p w14:paraId="123696EF" w14:textId="77777777" w:rsidR="000370A8" w:rsidRPr="004C7F1D" w:rsidRDefault="000370A8" w:rsidP="004C7F1D">
      <w:pPr>
        <w:tabs>
          <w:tab w:val="left" w:pos="2835"/>
          <w:tab w:val="left" w:pos="3119"/>
          <w:tab w:val="left" w:pos="3261"/>
          <w:tab w:val="left" w:pos="3828"/>
        </w:tabs>
        <w:ind w:left="426" w:right="420" w:firstLine="2268"/>
        <w:jc w:val="both"/>
        <w:rPr>
          <w:rFonts w:ascii="Gadugi" w:hAnsi="Gadugi"/>
          <w:sz w:val="22"/>
          <w:szCs w:val="24"/>
          <w:lang w:val="es-CO" w:eastAsia="es-CO"/>
        </w:rPr>
      </w:pPr>
    </w:p>
    <w:p w14:paraId="5348FDA7" w14:textId="77777777" w:rsidR="000370A8" w:rsidRPr="004C7F1D" w:rsidRDefault="000370A8" w:rsidP="004C7F1D">
      <w:pPr>
        <w:tabs>
          <w:tab w:val="left" w:pos="2835"/>
          <w:tab w:val="left" w:pos="3119"/>
          <w:tab w:val="left" w:pos="3261"/>
          <w:tab w:val="left" w:pos="3828"/>
        </w:tabs>
        <w:ind w:left="426" w:right="420" w:firstLine="2268"/>
        <w:jc w:val="both"/>
        <w:rPr>
          <w:rFonts w:ascii="Gadugi" w:hAnsi="Gadugi"/>
          <w:i/>
          <w:iCs/>
          <w:sz w:val="22"/>
          <w:szCs w:val="24"/>
          <w:lang w:val="es-CO" w:eastAsia="es-CO"/>
        </w:rPr>
      </w:pPr>
      <w:r w:rsidRPr="004C7F1D">
        <w:rPr>
          <w:rFonts w:ascii="Gadugi" w:hAnsi="Gadugi"/>
          <w:i/>
          <w:iCs/>
          <w:sz w:val="22"/>
          <w:szCs w:val="24"/>
          <w:lang w:val="es-CO" w:eastAsia="es-CO"/>
        </w:rPr>
        <w:t>(ii) la inactividad justificada no vulnere el núcleo esencial de los derechos de terceros afectados con la decisión;</w:t>
      </w:r>
    </w:p>
    <w:p w14:paraId="3237DDAA" w14:textId="77777777" w:rsidR="000370A8" w:rsidRPr="004C7F1D" w:rsidRDefault="000370A8" w:rsidP="004C7F1D">
      <w:pPr>
        <w:tabs>
          <w:tab w:val="left" w:pos="2835"/>
          <w:tab w:val="left" w:pos="3119"/>
          <w:tab w:val="left" w:pos="3261"/>
          <w:tab w:val="left" w:pos="3828"/>
        </w:tabs>
        <w:ind w:left="426" w:right="420" w:firstLine="2268"/>
        <w:jc w:val="both"/>
        <w:rPr>
          <w:rFonts w:ascii="Gadugi" w:hAnsi="Gadugi"/>
          <w:sz w:val="22"/>
          <w:szCs w:val="24"/>
          <w:lang w:val="es-CO" w:eastAsia="es-CO"/>
        </w:rPr>
      </w:pPr>
    </w:p>
    <w:p w14:paraId="243F8F1D" w14:textId="77777777" w:rsidR="000370A8" w:rsidRPr="004C7F1D" w:rsidRDefault="000370A8" w:rsidP="004C7F1D">
      <w:pPr>
        <w:tabs>
          <w:tab w:val="left" w:pos="2835"/>
          <w:tab w:val="left" w:pos="3119"/>
          <w:tab w:val="left" w:pos="3261"/>
          <w:tab w:val="left" w:pos="3828"/>
        </w:tabs>
        <w:ind w:left="426" w:right="420" w:firstLine="2268"/>
        <w:jc w:val="both"/>
        <w:rPr>
          <w:rFonts w:ascii="Gadugi" w:hAnsi="Gadugi"/>
          <w:i/>
          <w:iCs/>
          <w:sz w:val="22"/>
          <w:szCs w:val="24"/>
          <w:lang w:val="es-CO" w:eastAsia="es-CO"/>
        </w:rPr>
      </w:pPr>
      <w:r w:rsidRPr="004C7F1D">
        <w:rPr>
          <w:rFonts w:ascii="Gadugi" w:hAnsi="Gadugi"/>
          <w:i/>
          <w:iCs/>
          <w:sz w:val="22"/>
          <w:szCs w:val="24"/>
          <w:lang w:val="es-CO" w:eastAsia="es-CO"/>
        </w:rPr>
        <w:t>(iii)  que exista un nexo causal entre el ejercicio tardío de la acción y la vulneración de los derechos fundamentales del interesado y;</w:t>
      </w:r>
    </w:p>
    <w:p w14:paraId="35620289" w14:textId="77777777" w:rsidR="000370A8" w:rsidRPr="004C7F1D" w:rsidRDefault="000370A8" w:rsidP="004C7F1D">
      <w:pPr>
        <w:tabs>
          <w:tab w:val="left" w:pos="2835"/>
          <w:tab w:val="left" w:pos="3119"/>
          <w:tab w:val="left" w:pos="3261"/>
          <w:tab w:val="left" w:pos="3828"/>
        </w:tabs>
        <w:ind w:left="426" w:right="420" w:firstLine="2268"/>
        <w:jc w:val="both"/>
        <w:rPr>
          <w:rFonts w:ascii="Gadugi" w:hAnsi="Gadugi"/>
          <w:sz w:val="22"/>
          <w:szCs w:val="24"/>
          <w:lang w:val="es-CO" w:eastAsia="es-CO"/>
        </w:rPr>
      </w:pPr>
    </w:p>
    <w:p w14:paraId="0C0801B0" w14:textId="77777777" w:rsidR="000370A8" w:rsidRPr="004C7F1D" w:rsidRDefault="000370A8" w:rsidP="004C7F1D">
      <w:pPr>
        <w:tabs>
          <w:tab w:val="left" w:pos="2835"/>
          <w:tab w:val="left" w:pos="3119"/>
          <w:tab w:val="left" w:pos="3261"/>
          <w:tab w:val="left" w:pos="3828"/>
        </w:tabs>
        <w:ind w:left="426" w:right="420" w:firstLine="2268"/>
        <w:jc w:val="both"/>
        <w:rPr>
          <w:rFonts w:ascii="Gadugi" w:hAnsi="Gadugi"/>
          <w:b/>
          <w:sz w:val="22"/>
          <w:szCs w:val="24"/>
          <w:lang w:val="es-CO" w:eastAsia="es-CO"/>
        </w:rPr>
      </w:pPr>
      <w:r w:rsidRPr="004C7F1D">
        <w:rPr>
          <w:rFonts w:ascii="Gadugi" w:hAnsi="Gadugi"/>
          <w:i/>
          <w:iCs/>
          <w:sz w:val="22"/>
          <w:szCs w:val="24"/>
          <w:lang w:val="es-CO" w:eastAsia="es-CO"/>
        </w:rPr>
        <w:t xml:space="preserve">(iv) que el fundamento de la acción de tutela surja después de acaecida la actuación violatoria de los derechos fundamentales, de cualquier forma, </w:t>
      </w:r>
      <w:r w:rsidRPr="004C7F1D">
        <w:rPr>
          <w:rFonts w:ascii="Gadugi" w:hAnsi="Gadugi"/>
          <w:b/>
          <w:i/>
          <w:iCs/>
          <w:sz w:val="22"/>
          <w:szCs w:val="24"/>
          <w:lang w:val="es-CO" w:eastAsia="es-CO"/>
        </w:rPr>
        <w:t>en un plazo no muy alejado de la fecha de interposición</w:t>
      </w:r>
      <w:r w:rsidRPr="004C7F1D">
        <w:rPr>
          <w:rFonts w:ascii="Gadugi" w:hAnsi="Gadugi"/>
          <w:b/>
          <w:sz w:val="22"/>
          <w:szCs w:val="24"/>
          <w:lang w:val="es-CO" w:eastAsia="es-CO"/>
        </w:rPr>
        <w:t>.</w:t>
      </w:r>
    </w:p>
    <w:p w14:paraId="2A356E18" w14:textId="77777777" w:rsidR="000370A8" w:rsidRPr="004C7F1D" w:rsidRDefault="000370A8" w:rsidP="004C7F1D">
      <w:pPr>
        <w:shd w:val="clear" w:color="auto" w:fill="FFFFFF"/>
        <w:overflowPunct/>
        <w:autoSpaceDE/>
        <w:autoSpaceDN/>
        <w:adjustRightInd/>
        <w:ind w:left="426" w:right="420"/>
        <w:jc w:val="both"/>
        <w:textAlignment w:val="auto"/>
        <w:rPr>
          <w:rFonts w:ascii="Gadugi" w:hAnsi="Gadugi"/>
          <w:sz w:val="22"/>
          <w:szCs w:val="24"/>
          <w:lang w:val="es-CO" w:eastAsia="es-CO"/>
        </w:rPr>
      </w:pPr>
      <w:r w:rsidRPr="004C7F1D">
        <w:rPr>
          <w:rFonts w:ascii="Gadugi" w:hAnsi="Gadugi"/>
          <w:sz w:val="22"/>
          <w:szCs w:val="24"/>
          <w:lang w:val="es-CO" w:eastAsia="es-CO"/>
        </w:rPr>
        <w:t> </w:t>
      </w:r>
    </w:p>
    <w:p w14:paraId="5ECD4830" w14:textId="77777777" w:rsidR="000370A8" w:rsidRPr="004C7F1D" w:rsidRDefault="000370A8" w:rsidP="004C7F1D">
      <w:pPr>
        <w:shd w:val="clear" w:color="auto" w:fill="FFFFFF"/>
        <w:overflowPunct/>
        <w:autoSpaceDE/>
        <w:autoSpaceDN/>
        <w:adjustRightInd/>
        <w:ind w:left="426" w:right="420"/>
        <w:jc w:val="both"/>
        <w:textAlignment w:val="auto"/>
        <w:rPr>
          <w:rFonts w:ascii="Gadugi" w:hAnsi="Gadugi"/>
          <w:sz w:val="22"/>
          <w:szCs w:val="24"/>
          <w:lang w:val="es-CO" w:eastAsia="es-CO"/>
        </w:rPr>
      </w:pPr>
      <w:r w:rsidRPr="004C7F1D">
        <w:rPr>
          <w:rFonts w:ascii="Gadugi" w:hAnsi="Gadugi"/>
          <w:sz w:val="22"/>
          <w:szCs w:val="24"/>
          <w:lang w:val="es-CO" w:eastAsia="es-CO"/>
        </w:rPr>
        <w:tab/>
      </w:r>
      <w:r w:rsidRPr="004C7F1D">
        <w:rPr>
          <w:rFonts w:ascii="Gadugi" w:hAnsi="Gadugi"/>
          <w:sz w:val="22"/>
          <w:szCs w:val="24"/>
          <w:lang w:val="es-CO" w:eastAsia="es-CO"/>
        </w:rPr>
        <w:tab/>
      </w:r>
      <w:r w:rsidRPr="004C7F1D">
        <w:rPr>
          <w:rFonts w:ascii="Gadugi" w:hAnsi="Gadugi"/>
          <w:sz w:val="22"/>
          <w:szCs w:val="24"/>
          <w:lang w:val="es-CO" w:eastAsia="es-CO"/>
        </w:rPr>
        <w:tab/>
      </w:r>
      <w:r w:rsidRPr="004C7F1D">
        <w:rPr>
          <w:rFonts w:ascii="Gadugi" w:hAnsi="Gadugi"/>
          <w:sz w:val="22"/>
          <w:szCs w:val="24"/>
          <w:lang w:val="es-CO" w:eastAsia="es-CO"/>
        </w:rPr>
        <w:tab/>
      </w:r>
      <w:r w:rsidRPr="004C7F1D">
        <w:rPr>
          <w:rFonts w:ascii="Gadugi" w:hAnsi="Gadugi"/>
          <w:b/>
          <w:sz w:val="22"/>
          <w:szCs w:val="24"/>
          <w:lang w:val="es-CO" w:eastAsia="es-CO"/>
        </w:rPr>
        <w:t>En el estudio de la inmediatez, la Corte Constitucional ha entrado racionalizar el debate en torno al tiempo de presentación de la acción de tutela y los principios de seguridad jurídica y cosa juzgada de las providencias que han sido objeto de acción de tutela. En ese sentido, en el estudio de procedibilidad, la Corte Constitucional ha tenido, entre otros elementos de juicio anteriormente reseñados, la calidad de la parte accionante de la tutela y la vulneración actual de los derechos fundamentales alegados.</w:t>
      </w:r>
      <w:r w:rsidRPr="004C7F1D">
        <w:rPr>
          <w:rFonts w:ascii="Gadugi" w:hAnsi="Gadugi"/>
          <w:sz w:val="22"/>
          <w:szCs w:val="24"/>
          <w:lang w:val="es-CO" w:eastAsia="es-CO"/>
        </w:rPr>
        <w:t xml:space="preserve"> (Destaca la Sala)</w:t>
      </w:r>
    </w:p>
    <w:p w14:paraId="04573F7E" w14:textId="77777777" w:rsidR="000370A8" w:rsidRPr="004C7F1D" w:rsidRDefault="000370A8" w:rsidP="004C7F1D">
      <w:pPr>
        <w:tabs>
          <w:tab w:val="left" w:pos="2835"/>
        </w:tabs>
        <w:spacing w:line="276" w:lineRule="auto"/>
        <w:jc w:val="both"/>
        <w:rPr>
          <w:rFonts w:ascii="Gadugi" w:hAnsi="Gadugi"/>
          <w:sz w:val="24"/>
          <w:szCs w:val="24"/>
        </w:rPr>
      </w:pPr>
    </w:p>
    <w:p w14:paraId="222B8763" w14:textId="77777777" w:rsidR="000370A8" w:rsidRPr="004C7F1D" w:rsidRDefault="000370A8" w:rsidP="004C7F1D">
      <w:pPr>
        <w:tabs>
          <w:tab w:val="left" w:pos="2835"/>
        </w:tabs>
        <w:spacing w:line="276" w:lineRule="auto"/>
        <w:jc w:val="both"/>
        <w:rPr>
          <w:rFonts w:ascii="Gadugi" w:hAnsi="Gadugi"/>
          <w:sz w:val="24"/>
          <w:szCs w:val="24"/>
        </w:rPr>
      </w:pPr>
      <w:r w:rsidRPr="004C7F1D">
        <w:rPr>
          <w:rFonts w:ascii="Gadugi" w:hAnsi="Gadugi"/>
          <w:sz w:val="24"/>
          <w:szCs w:val="24"/>
        </w:rPr>
        <w:lastRenderedPageBreak/>
        <w:tab/>
        <w:t>También la Sala de Casación Civil de la Corte Suprema de Justicia se ha pronunciado sobre ello</w:t>
      </w:r>
      <w:r w:rsidRPr="004C7F1D">
        <w:rPr>
          <w:rStyle w:val="Refdenotaalpie"/>
          <w:rFonts w:ascii="Gadugi" w:hAnsi="Gadugi"/>
          <w:sz w:val="24"/>
          <w:szCs w:val="24"/>
        </w:rPr>
        <w:footnoteReference w:id="15"/>
      </w:r>
      <w:r w:rsidRPr="004C7F1D">
        <w:rPr>
          <w:rFonts w:ascii="Gadugi" w:hAnsi="Gadugi"/>
          <w:sz w:val="24"/>
          <w:szCs w:val="24"/>
        </w:rPr>
        <w:t>:</w:t>
      </w:r>
    </w:p>
    <w:p w14:paraId="7AF5A6CB" w14:textId="77777777" w:rsidR="000370A8" w:rsidRPr="004C7F1D" w:rsidRDefault="000370A8" w:rsidP="004C7F1D">
      <w:pPr>
        <w:tabs>
          <w:tab w:val="left" w:pos="2835"/>
        </w:tabs>
        <w:spacing w:line="276" w:lineRule="auto"/>
        <w:jc w:val="both"/>
        <w:rPr>
          <w:rFonts w:ascii="Gadugi" w:hAnsi="Gadugi"/>
          <w:sz w:val="24"/>
          <w:szCs w:val="24"/>
        </w:rPr>
      </w:pPr>
    </w:p>
    <w:p w14:paraId="3D0CC50A" w14:textId="77777777" w:rsidR="000370A8" w:rsidRPr="004C7F1D" w:rsidRDefault="000370A8" w:rsidP="004C7F1D">
      <w:pPr>
        <w:tabs>
          <w:tab w:val="left" w:pos="2835"/>
          <w:tab w:val="left" w:pos="3119"/>
        </w:tabs>
        <w:spacing w:line="276" w:lineRule="auto"/>
        <w:ind w:left="567" w:right="902"/>
        <w:jc w:val="both"/>
        <w:rPr>
          <w:rFonts w:ascii="Gadugi" w:hAnsi="Gadugi" w:cs="Arial"/>
          <w:b/>
          <w:sz w:val="24"/>
          <w:szCs w:val="24"/>
        </w:rPr>
      </w:pPr>
      <w:r w:rsidRPr="004C7F1D">
        <w:rPr>
          <w:rFonts w:ascii="Gadugi" w:hAnsi="Gadugi"/>
          <w:sz w:val="24"/>
          <w:szCs w:val="24"/>
        </w:rPr>
        <w:tab/>
      </w:r>
      <w:r w:rsidRPr="004C7F1D">
        <w:rPr>
          <w:rFonts w:ascii="Gadugi" w:hAnsi="Gadugi" w:cs="Arial"/>
          <w:b/>
          <w:sz w:val="24"/>
          <w:szCs w:val="24"/>
        </w:rPr>
        <w:t>3.</w:t>
      </w:r>
      <w:r w:rsidRPr="004C7F1D">
        <w:rPr>
          <w:rFonts w:ascii="Gadugi" w:hAnsi="Gadugi" w:cs="Arial"/>
          <w:b/>
          <w:sz w:val="24"/>
          <w:szCs w:val="24"/>
        </w:rPr>
        <w:tab/>
        <w:t xml:space="preserve">El requisito de inmediatez. </w:t>
      </w:r>
    </w:p>
    <w:p w14:paraId="2DEFDDE3" w14:textId="77777777" w:rsidR="000370A8" w:rsidRPr="004C7F1D" w:rsidRDefault="000370A8" w:rsidP="004C7F1D">
      <w:pPr>
        <w:spacing w:line="276" w:lineRule="auto"/>
        <w:ind w:left="567" w:right="902"/>
        <w:jc w:val="both"/>
        <w:rPr>
          <w:rFonts w:ascii="Gadugi" w:hAnsi="Gadugi" w:cs="Arial"/>
          <w:bCs/>
          <w:iCs/>
          <w:sz w:val="24"/>
          <w:szCs w:val="24"/>
        </w:rPr>
      </w:pPr>
    </w:p>
    <w:p w14:paraId="66200B5B" w14:textId="052BE00C" w:rsidR="000370A8" w:rsidRPr="007E66A8" w:rsidRDefault="000370A8" w:rsidP="007E66A8">
      <w:pPr>
        <w:tabs>
          <w:tab w:val="left" w:pos="2835"/>
        </w:tabs>
        <w:ind w:left="426" w:right="420"/>
        <w:jc w:val="both"/>
        <w:rPr>
          <w:rFonts w:ascii="Gadugi" w:hAnsi="Gadugi"/>
          <w:sz w:val="22"/>
          <w:szCs w:val="24"/>
          <w:lang w:val="es-CO" w:eastAsia="es-CO"/>
        </w:rPr>
      </w:pPr>
      <w:r w:rsidRPr="007E66A8">
        <w:rPr>
          <w:rFonts w:ascii="Gadugi" w:hAnsi="Gadugi"/>
          <w:sz w:val="22"/>
          <w:szCs w:val="24"/>
          <w:lang w:val="es-CO" w:eastAsia="es-CO"/>
        </w:rPr>
        <w:tab/>
        <w:t>3.1. Este presupuesto impide que se desnaturalice el trámite de la tutela, en tanto la protección que constituye su objeto, ha de ser efectiva e inmediata ante una vulneración o amenaza actual. Frente al tema esta Sala ha sostenido que:</w:t>
      </w:r>
    </w:p>
    <w:p w14:paraId="76607D3E" w14:textId="77777777" w:rsidR="000370A8" w:rsidRPr="007E66A8" w:rsidRDefault="000370A8" w:rsidP="007E66A8">
      <w:pPr>
        <w:tabs>
          <w:tab w:val="left" w:pos="2835"/>
        </w:tabs>
        <w:ind w:left="426" w:right="420"/>
        <w:jc w:val="both"/>
        <w:rPr>
          <w:rFonts w:ascii="Gadugi" w:hAnsi="Gadugi"/>
          <w:sz w:val="22"/>
          <w:szCs w:val="24"/>
          <w:lang w:val="es-CO" w:eastAsia="es-CO"/>
        </w:rPr>
      </w:pPr>
    </w:p>
    <w:p w14:paraId="6EB1B5E5" w14:textId="50250726" w:rsidR="000370A8" w:rsidRPr="00627284" w:rsidRDefault="000370A8" w:rsidP="00627284">
      <w:pPr>
        <w:tabs>
          <w:tab w:val="left" w:pos="2835"/>
        </w:tabs>
        <w:ind w:left="426" w:right="420"/>
        <w:jc w:val="both"/>
        <w:rPr>
          <w:rFonts w:ascii="Gadugi" w:hAnsi="Gadugi"/>
          <w:sz w:val="22"/>
          <w:szCs w:val="24"/>
          <w:lang w:val="es-CO" w:eastAsia="es-CO"/>
        </w:rPr>
      </w:pPr>
      <w:r w:rsidRPr="00627284">
        <w:rPr>
          <w:rFonts w:ascii="Gadugi" w:hAnsi="Gadugi"/>
          <w:sz w:val="22"/>
          <w:szCs w:val="24"/>
          <w:lang w:val="es-CO" w:eastAsia="es-CO"/>
        </w:rPr>
        <w:tab/>
        <w:t xml:space="preserve">«(…) aquellas situaciones en que el hecho violatorio del derecho fundamental no guarde razonable cercanía en el tiempo con el ejercicio de la acción, no debe, en principio, ser amparado, en parte a modo de sanción por la demora o negligencia del accionante en acudir a la jurisdicción para reclamar tal protección y, también, por evitar perjuicios, estos si actuales, a terceros que hayan derivado situaciones jurídicas de las circunstancias no cuestionadas oportunamente» (CSJ STC, 2 </w:t>
      </w:r>
      <w:proofErr w:type="spellStart"/>
      <w:r w:rsidRPr="00627284">
        <w:rPr>
          <w:rFonts w:ascii="Gadugi" w:hAnsi="Gadugi"/>
          <w:sz w:val="22"/>
          <w:szCs w:val="24"/>
          <w:lang w:val="es-CO" w:eastAsia="es-CO"/>
        </w:rPr>
        <w:t>ag</w:t>
      </w:r>
      <w:proofErr w:type="spellEnd"/>
      <w:r w:rsidRPr="00627284">
        <w:rPr>
          <w:rFonts w:ascii="Gadugi" w:hAnsi="Gadugi"/>
          <w:sz w:val="22"/>
          <w:szCs w:val="24"/>
          <w:lang w:val="es-CO" w:eastAsia="es-CO"/>
        </w:rPr>
        <w:t xml:space="preserve">. 2007, rad. 00188-01, reiterada entre muchas en STC5882-2015, STC1516-2016 y STC11499-2016, 18 </w:t>
      </w:r>
      <w:proofErr w:type="spellStart"/>
      <w:r w:rsidRPr="00627284">
        <w:rPr>
          <w:rFonts w:ascii="Gadugi" w:hAnsi="Gadugi"/>
          <w:sz w:val="22"/>
          <w:szCs w:val="24"/>
          <w:lang w:val="es-CO" w:eastAsia="es-CO"/>
        </w:rPr>
        <w:t>ag</w:t>
      </w:r>
      <w:proofErr w:type="spellEnd"/>
      <w:r w:rsidRPr="00627284">
        <w:rPr>
          <w:rFonts w:ascii="Gadugi" w:hAnsi="Gadugi"/>
          <w:sz w:val="22"/>
          <w:szCs w:val="24"/>
          <w:lang w:val="es-CO" w:eastAsia="es-CO"/>
        </w:rPr>
        <w:t>. rad. 01142-01).</w:t>
      </w:r>
    </w:p>
    <w:p w14:paraId="329C147E" w14:textId="77777777" w:rsidR="000370A8" w:rsidRPr="004C7F1D" w:rsidRDefault="000370A8" w:rsidP="004C7F1D">
      <w:pPr>
        <w:spacing w:line="276" w:lineRule="auto"/>
        <w:ind w:left="567" w:right="902"/>
        <w:jc w:val="both"/>
        <w:rPr>
          <w:rFonts w:ascii="Gadugi" w:hAnsi="Gadugi" w:cs="Arial"/>
          <w:sz w:val="24"/>
          <w:szCs w:val="24"/>
        </w:rPr>
      </w:pPr>
    </w:p>
    <w:p w14:paraId="28CAFAD2" w14:textId="64F05A16" w:rsidR="000370A8" w:rsidRPr="004C7F1D" w:rsidRDefault="000370A8" w:rsidP="004C7F1D">
      <w:pPr>
        <w:spacing w:line="276" w:lineRule="auto"/>
        <w:ind w:left="567" w:right="902"/>
        <w:jc w:val="both"/>
        <w:rPr>
          <w:rFonts w:ascii="Gadugi" w:hAnsi="Gadugi" w:cs="Arial"/>
          <w:bCs/>
          <w:iCs/>
          <w:sz w:val="24"/>
          <w:szCs w:val="24"/>
        </w:rPr>
      </w:pPr>
      <w:r w:rsidRPr="004C7F1D">
        <w:rPr>
          <w:rFonts w:ascii="Gadugi" w:hAnsi="Gadugi" w:cs="Arial"/>
          <w:sz w:val="24"/>
          <w:szCs w:val="24"/>
        </w:rPr>
        <w:tab/>
      </w:r>
      <w:r w:rsidRPr="004C7F1D">
        <w:rPr>
          <w:rFonts w:ascii="Gadugi" w:hAnsi="Gadugi" w:cs="Arial"/>
          <w:sz w:val="24"/>
          <w:szCs w:val="24"/>
        </w:rPr>
        <w:tab/>
      </w:r>
      <w:r w:rsidRPr="004C7F1D">
        <w:rPr>
          <w:rFonts w:ascii="Gadugi" w:hAnsi="Gadugi" w:cs="Arial"/>
          <w:sz w:val="24"/>
          <w:szCs w:val="24"/>
        </w:rPr>
        <w:tab/>
      </w:r>
      <w:r w:rsidRPr="004C7F1D">
        <w:rPr>
          <w:rFonts w:ascii="Gadugi" w:hAnsi="Gadugi" w:cs="Arial"/>
          <w:sz w:val="24"/>
          <w:szCs w:val="24"/>
        </w:rPr>
        <w:tab/>
      </w:r>
      <w:r w:rsidRPr="004C7F1D">
        <w:rPr>
          <w:rFonts w:ascii="Gadugi" w:hAnsi="Gadugi" w:cs="Arial"/>
          <w:bCs/>
          <w:iCs/>
          <w:sz w:val="24"/>
          <w:szCs w:val="24"/>
        </w:rPr>
        <w:t>Más adelante, la Corte señaló:</w:t>
      </w:r>
    </w:p>
    <w:p w14:paraId="73BCD8CE" w14:textId="77777777" w:rsidR="00BA5215" w:rsidRPr="004C7F1D" w:rsidRDefault="00BA5215" w:rsidP="004C7F1D">
      <w:pPr>
        <w:spacing w:line="276" w:lineRule="auto"/>
        <w:ind w:left="567" w:right="902"/>
        <w:jc w:val="both"/>
        <w:rPr>
          <w:rFonts w:ascii="Gadugi" w:hAnsi="Gadugi" w:cs="Arial"/>
          <w:bCs/>
          <w:iCs/>
          <w:sz w:val="24"/>
          <w:szCs w:val="24"/>
        </w:rPr>
      </w:pPr>
    </w:p>
    <w:p w14:paraId="0E0503FD" w14:textId="3DF3B93F" w:rsidR="000370A8" w:rsidRPr="00627284" w:rsidRDefault="00627284" w:rsidP="00627284">
      <w:pPr>
        <w:tabs>
          <w:tab w:val="left" w:pos="2835"/>
        </w:tabs>
        <w:ind w:left="426" w:right="420"/>
        <w:jc w:val="both"/>
        <w:rPr>
          <w:rFonts w:ascii="Gadugi" w:hAnsi="Gadugi"/>
          <w:sz w:val="22"/>
          <w:szCs w:val="24"/>
          <w:lang w:val="es-CO" w:eastAsia="es-CO"/>
        </w:rPr>
      </w:pPr>
      <w:r>
        <w:rPr>
          <w:rFonts w:ascii="Gadugi" w:hAnsi="Gadugi"/>
          <w:sz w:val="22"/>
          <w:szCs w:val="24"/>
          <w:lang w:val="es-CO" w:eastAsia="es-CO"/>
        </w:rPr>
        <w:tab/>
      </w:r>
      <w:r w:rsidR="000370A8" w:rsidRPr="00627284">
        <w:rPr>
          <w:rFonts w:ascii="Gadugi" w:hAnsi="Gadugi"/>
          <w:sz w:val="22"/>
          <w:szCs w:val="24"/>
          <w:lang w:val="es-CO" w:eastAsia="es-CO"/>
        </w:rPr>
        <w:t xml:space="preserve">«(…) En punto al requisito de la inmediatez, connatural a esta acción pública, precisa señalar que así como la Constitución Política, impone al Juzgador el deber de brindar protección inmediata a los derechos fundamentales, al ciudadano le asiste el deber recíproco de colaborar para el adecuado funcionamiento de la administración de justicia (ordinal 7, artículo 95 Superior), </w:t>
      </w:r>
      <w:r w:rsidR="000370A8" w:rsidRPr="00627284">
        <w:rPr>
          <w:rFonts w:ascii="Gadugi" w:hAnsi="Gadugi"/>
          <w:b/>
          <w:sz w:val="22"/>
          <w:szCs w:val="24"/>
          <w:lang w:val="es-CO" w:eastAsia="es-CO"/>
        </w:rPr>
        <w:t>en este caso, impetrando oportunamente la solicitud tutelar, pues la demora en el ejercicio de dicha acción constitucional, puede tomarse, ora como síntoma del carácter dudoso de la lesión o puesta en peligro de los derechos fundamentales, o como señal de aceptación a lo resuelto, contrario en todo caso la urgencia, celeridad, eficacia e inmediatez inherente a la lesión o amenaza del derecho fundamental.</w:t>
      </w:r>
      <w:r w:rsidR="000370A8" w:rsidRPr="00627284">
        <w:rPr>
          <w:rFonts w:ascii="Gadugi" w:hAnsi="Gadugi"/>
          <w:sz w:val="22"/>
          <w:szCs w:val="24"/>
          <w:lang w:val="es-CO" w:eastAsia="es-CO"/>
        </w:rPr>
        <w:t xml:space="preserve"> </w:t>
      </w:r>
    </w:p>
    <w:p w14:paraId="7176AF23" w14:textId="77777777" w:rsidR="000370A8" w:rsidRPr="00627284" w:rsidRDefault="000370A8" w:rsidP="00627284">
      <w:pPr>
        <w:tabs>
          <w:tab w:val="left" w:pos="2835"/>
        </w:tabs>
        <w:ind w:left="426" w:right="420"/>
        <w:jc w:val="both"/>
        <w:rPr>
          <w:rFonts w:ascii="Gadugi" w:hAnsi="Gadugi"/>
          <w:sz w:val="22"/>
          <w:szCs w:val="24"/>
          <w:lang w:val="es-CO" w:eastAsia="es-CO"/>
        </w:rPr>
      </w:pPr>
    </w:p>
    <w:p w14:paraId="7129D4B0" w14:textId="4E6B7E02" w:rsidR="000370A8" w:rsidRPr="00627284" w:rsidRDefault="000370A8" w:rsidP="00627284">
      <w:pPr>
        <w:tabs>
          <w:tab w:val="left" w:pos="2835"/>
        </w:tabs>
        <w:ind w:left="426" w:right="420"/>
        <w:jc w:val="both"/>
        <w:rPr>
          <w:rFonts w:ascii="Gadugi" w:hAnsi="Gadugi"/>
          <w:sz w:val="22"/>
          <w:szCs w:val="24"/>
          <w:lang w:val="es-CO" w:eastAsia="es-CO"/>
        </w:rPr>
      </w:pPr>
      <w:r w:rsidRPr="00627284">
        <w:rPr>
          <w:rFonts w:ascii="Gadugi" w:hAnsi="Gadugi"/>
          <w:sz w:val="22"/>
          <w:szCs w:val="24"/>
          <w:lang w:val="es-CO" w:eastAsia="es-CO"/>
        </w:rPr>
        <w:tab/>
        <w:t xml:space="preserve">Precisamente, en orden a procurar el cumplimiento del memorado requisito, la Sala en reiterados pronunciamientos ha considerado por término razonable para la interposición de la acción el de seis meses» (CSJ STC, 29 abr 2009, rad. 2009-00624-00, reiterado entre otros en STC11374-2016, 17 </w:t>
      </w:r>
      <w:proofErr w:type="spellStart"/>
      <w:r w:rsidRPr="00627284">
        <w:rPr>
          <w:rFonts w:ascii="Gadugi" w:hAnsi="Gadugi"/>
          <w:sz w:val="22"/>
          <w:szCs w:val="24"/>
          <w:lang w:val="es-CO" w:eastAsia="es-CO"/>
        </w:rPr>
        <w:t>ag</w:t>
      </w:r>
      <w:proofErr w:type="spellEnd"/>
      <w:r w:rsidRPr="00627284">
        <w:rPr>
          <w:rFonts w:ascii="Gadugi" w:hAnsi="Gadugi"/>
          <w:sz w:val="22"/>
          <w:szCs w:val="24"/>
          <w:lang w:val="es-CO" w:eastAsia="es-CO"/>
        </w:rPr>
        <w:t>. rad. 01250-01).</w:t>
      </w:r>
    </w:p>
    <w:p w14:paraId="6CD15141" w14:textId="77777777" w:rsidR="000370A8" w:rsidRPr="00627284" w:rsidRDefault="000370A8" w:rsidP="00627284">
      <w:pPr>
        <w:tabs>
          <w:tab w:val="left" w:pos="2835"/>
        </w:tabs>
        <w:ind w:left="426" w:right="420"/>
        <w:jc w:val="both"/>
        <w:rPr>
          <w:rFonts w:ascii="Gadugi" w:hAnsi="Gadugi"/>
          <w:sz w:val="22"/>
          <w:szCs w:val="24"/>
          <w:lang w:val="es-CO" w:eastAsia="es-CO"/>
        </w:rPr>
      </w:pPr>
    </w:p>
    <w:p w14:paraId="35272B6A" w14:textId="49FAE926" w:rsidR="000370A8" w:rsidRPr="00627284" w:rsidRDefault="000370A8" w:rsidP="00627284">
      <w:pPr>
        <w:tabs>
          <w:tab w:val="left" w:pos="2835"/>
        </w:tabs>
        <w:ind w:left="426" w:right="420"/>
        <w:jc w:val="both"/>
        <w:rPr>
          <w:rFonts w:ascii="Gadugi" w:hAnsi="Gadugi"/>
          <w:sz w:val="22"/>
          <w:szCs w:val="24"/>
          <w:lang w:val="es-CO" w:eastAsia="es-CO"/>
        </w:rPr>
      </w:pPr>
      <w:r w:rsidRPr="00627284">
        <w:rPr>
          <w:rFonts w:ascii="Gadugi" w:hAnsi="Gadugi"/>
          <w:sz w:val="22"/>
          <w:szCs w:val="24"/>
          <w:lang w:val="es-CO" w:eastAsia="es-CO"/>
        </w:rPr>
        <w:tab/>
        <w:t>De acuerdo con lo anterior, es entendido que la salvaguarda debe ser promovida dentro de un plazo razonable que no puede exceder de seis meses contados a partir de la actuación que se califica como vulneradora de las prerrogativas esenciales. (Destaca la Sala).</w:t>
      </w:r>
    </w:p>
    <w:p w14:paraId="3AB964A3" w14:textId="77777777" w:rsidR="000370A8" w:rsidRPr="004C7F1D" w:rsidRDefault="000370A8" w:rsidP="004C7F1D">
      <w:pPr>
        <w:tabs>
          <w:tab w:val="left" w:pos="2835"/>
        </w:tabs>
        <w:spacing w:line="276" w:lineRule="auto"/>
        <w:jc w:val="both"/>
        <w:rPr>
          <w:rFonts w:ascii="Gadugi" w:hAnsi="Gadugi"/>
          <w:sz w:val="24"/>
          <w:szCs w:val="24"/>
        </w:rPr>
      </w:pPr>
    </w:p>
    <w:p w14:paraId="7556A6F7" w14:textId="77777777" w:rsidR="000370A8" w:rsidRPr="004C7F1D" w:rsidRDefault="000370A8" w:rsidP="004C7F1D">
      <w:pPr>
        <w:tabs>
          <w:tab w:val="left" w:pos="2835"/>
        </w:tabs>
        <w:spacing w:line="276" w:lineRule="auto"/>
        <w:jc w:val="both"/>
        <w:rPr>
          <w:rFonts w:ascii="Gadugi" w:hAnsi="Gadugi"/>
          <w:sz w:val="24"/>
          <w:szCs w:val="24"/>
        </w:rPr>
      </w:pPr>
      <w:r w:rsidRPr="004C7F1D">
        <w:rPr>
          <w:rFonts w:ascii="Gadugi" w:hAnsi="Gadugi"/>
          <w:sz w:val="24"/>
          <w:szCs w:val="24"/>
        </w:rPr>
        <w:tab/>
        <w:t>Y tratándose de tutela contra providencia judicial y el requisito de inmediatez, esa misma Corporación ha hecho énfasis en que</w:t>
      </w:r>
      <w:r w:rsidRPr="004C7F1D">
        <w:rPr>
          <w:rStyle w:val="Refdenotaalpie"/>
          <w:rFonts w:ascii="Gadugi" w:hAnsi="Gadugi"/>
          <w:sz w:val="24"/>
          <w:szCs w:val="24"/>
        </w:rPr>
        <w:footnoteReference w:id="16"/>
      </w:r>
      <w:r w:rsidRPr="004C7F1D">
        <w:rPr>
          <w:rFonts w:ascii="Gadugi" w:hAnsi="Gadugi"/>
          <w:sz w:val="24"/>
          <w:szCs w:val="24"/>
        </w:rPr>
        <w:t>:</w:t>
      </w:r>
    </w:p>
    <w:p w14:paraId="18504533" w14:textId="77777777" w:rsidR="000370A8" w:rsidRPr="004C7F1D" w:rsidRDefault="000370A8" w:rsidP="004C7F1D">
      <w:pPr>
        <w:tabs>
          <w:tab w:val="left" w:pos="2835"/>
        </w:tabs>
        <w:spacing w:line="276" w:lineRule="auto"/>
        <w:jc w:val="both"/>
        <w:rPr>
          <w:rFonts w:ascii="Gadugi" w:hAnsi="Gadugi"/>
          <w:sz w:val="24"/>
          <w:szCs w:val="24"/>
        </w:rPr>
      </w:pPr>
    </w:p>
    <w:p w14:paraId="5A7B658E" w14:textId="77777777" w:rsidR="000370A8" w:rsidRPr="00627284" w:rsidRDefault="000370A8" w:rsidP="00627284">
      <w:pPr>
        <w:tabs>
          <w:tab w:val="left" w:pos="2835"/>
        </w:tabs>
        <w:ind w:left="426" w:right="420"/>
        <w:jc w:val="both"/>
        <w:rPr>
          <w:rFonts w:ascii="Gadugi" w:hAnsi="Gadugi"/>
          <w:sz w:val="22"/>
          <w:szCs w:val="24"/>
          <w:lang w:val="es-CO" w:eastAsia="es-CO"/>
        </w:rPr>
      </w:pPr>
      <w:r w:rsidRPr="00627284">
        <w:rPr>
          <w:rFonts w:ascii="Gadugi" w:hAnsi="Gadugi"/>
          <w:sz w:val="22"/>
          <w:szCs w:val="24"/>
          <w:lang w:val="es-CO" w:eastAsia="es-CO"/>
        </w:rPr>
        <w:tab/>
        <w:t xml:space="preserve">Así las cosas, el eventual afectado debió acudir oportunamente a esta vía excepcional, pues su prolongado silencio es signo inequívoco </w:t>
      </w:r>
      <w:r w:rsidRPr="00627284">
        <w:rPr>
          <w:rFonts w:ascii="Gadugi" w:hAnsi="Gadugi"/>
          <w:sz w:val="22"/>
          <w:szCs w:val="24"/>
          <w:lang w:val="es-CO" w:eastAsia="es-CO"/>
        </w:rPr>
        <w:lastRenderedPageBreak/>
        <w:t xml:space="preserve">de asentimiento frente a la decisión atacada, además, ha sido clara la postura de la Corte en cuanto a que, </w:t>
      </w:r>
      <w:r w:rsidRPr="00627284">
        <w:rPr>
          <w:rFonts w:ascii="Gadugi" w:hAnsi="Gadugi"/>
          <w:b/>
          <w:sz w:val="22"/>
          <w:szCs w:val="24"/>
          <w:lang w:val="es-CO" w:eastAsia="es-CO"/>
        </w:rPr>
        <w:t>el análisis preliminar de dicho criterio debe precisarse aún más en tratándose de ataques a sentencias judiciales</w:t>
      </w:r>
      <w:r w:rsidRPr="00627284">
        <w:rPr>
          <w:rFonts w:ascii="Gadugi" w:hAnsi="Gadugi"/>
          <w:sz w:val="22"/>
          <w:szCs w:val="24"/>
          <w:lang w:val="es-CO" w:eastAsia="es-CO"/>
        </w:rPr>
        <w:t xml:space="preserve">. </w:t>
      </w:r>
    </w:p>
    <w:p w14:paraId="4AF3E2FC" w14:textId="77777777" w:rsidR="000370A8" w:rsidRPr="004C7F1D" w:rsidRDefault="000370A8" w:rsidP="004C7F1D">
      <w:pPr>
        <w:tabs>
          <w:tab w:val="left" w:pos="2835"/>
        </w:tabs>
        <w:spacing w:line="276" w:lineRule="auto"/>
        <w:ind w:left="567" w:right="902"/>
        <w:jc w:val="both"/>
        <w:rPr>
          <w:rFonts w:ascii="Gadugi" w:hAnsi="Gadugi" w:cs="Arial"/>
          <w:sz w:val="24"/>
          <w:szCs w:val="24"/>
        </w:rPr>
      </w:pPr>
    </w:p>
    <w:p w14:paraId="0957B4B1" w14:textId="77777777" w:rsidR="000370A8" w:rsidRPr="004C7F1D" w:rsidRDefault="000370A8" w:rsidP="004C7F1D">
      <w:pPr>
        <w:tabs>
          <w:tab w:val="left" w:pos="2835"/>
        </w:tabs>
        <w:spacing w:line="276" w:lineRule="auto"/>
        <w:ind w:left="567" w:right="902"/>
        <w:jc w:val="both"/>
        <w:rPr>
          <w:rFonts w:ascii="Gadugi" w:hAnsi="Gadugi" w:cs="Arial"/>
          <w:sz w:val="24"/>
          <w:szCs w:val="24"/>
        </w:rPr>
      </w:pPr>
      <w:r w:rsidRPr="004C7F1D">
        <w:rPr>
          <w:rFonts w:ascii="Gadugi" w:hAnsi="Gadugi" w:cs="Arial"/>
          <w:sz w:val="24"/>
          <w:szCs w:val="24"/>
        </w:rPr>
        <w:tab/>
        <w:t xml:space="preserve">Sobre el particular se ha dicho: </w:t>
      </w:r>
    </w:p>
    <w:p w14:paraId="04BBA74C" w14:textId="77777777" w:rsidR="000370A8" w:rsidRPr="004C7F1D" w:rsidRDefault="000370A8" w:rsidP="004C7F1D">
      <w:pPr>
        <w:tabs>
          <w:tab w:val="left" w:pos="2835"/>
        </w:tabs>
        <w:spacing w:line="276" w:lineRule="auto"/>
        <w:ind w:left="567" w:right="902"/>
        <w:jc w:val="both"/>
        <w:rPr>
          <w:rFonts w:ascii="Gadugi" w:hAnsi="Gadugi" w:cs="Arial"/>
          <w:sz w:val="24"/>
          <w:szCs w:val="24"/>
        </w:rPr>
      </w:pPr>
    </w:p>
    <w:p w14:paraId="2E0DBC8B" w14:textId="5B818783" w:rsidR="000370A8" w:rsidRPr="00627284" w:rsidRDefault="000370A8" w:rsidP="00627284">
      <w:pPr>
        <w:tabs>
          <w:tab w:val="left" w:pos="2835"/>
        </w:tabs>
        <w:ind w:left="426" w:right="420"/>
        <w:jc w:val="both"/>
        <w:rPr>
          <w:rFonts w:ascii="Gadugi" w:hAnsi="Gadugi"/>
          <w:sz w:val="22"/>
          <w:szCs w:val="24"/>
          <w:lang w:val="es-CO" w:eastAsia="es-CO"/>
        </w:rPr>
      </w:pPr>
      <w:r w:rsidRPr="00627284">
        <w:rPr>
          <w:rFonts w:ascii="Gadugi" w:hAnsi="Gadugi"/>
          <w:sz w:val="22"/>
          <w:szCs w:val="24"/>
          <w:lang w:val="es-CO" w:eastAsia="es-CO"/>
        </w:rPr>
        <w:tab/>
        <w:t>«(…) en verdad, muy breve ha de ser el tiempo que debe transcurrir entre la fecha de la determinación judicial acusada y el reclamo constitucional que se enfila contra ella, con miras a que éste último no pierda su razón de ser, convirtiéndose, subsecuentemente, en un instrumento que genere incertidumbre, zozobra y menoscabo a los derechos y legítimos intereses de terceros</w:t>
      </w:r>
      <w:r w:rsidR="00627284" w:rsidRPr="00627284">
        <w:rPr>
          <w:rFonts w:ascii="Gadugi" w:hAnsi="Gadugi"/>
          <w:sz w:val="22"/>
          <w:szCs w:val="24"/>
          <w:lang w:val="es-CO" w:eastAsia="es-CO"/>
        </w:rPr>
        <w:t xml:space="preserve"> </w:t>
      </w:r>
      <w:r w:rsidRPr="00627284">
        <w:rPr>
          <w:rFonts w:ascii="Gadugi" w:hAnsi="Gadugi"/>
          <w:sz w:val="22"/>
          <w:szCs w:val="24"/>
          <w:lang w:val="es-CO" w:eastAsia="es-CO"/>
        </w:rPr>
        <w:t xml:space="preserve">(…)» (STC12196-2014, 11 sep. rad. 01892-00; reiterado en STC10258-2015, 6 ago. 2015, rad. 2015-01691-00). </w:t>
      </w:r>
    </w:p>
    <w:p w14:paraId="6006E13C" w14:textId="272E7F2D" w:rsidR="000370A8" w:rsidRPr="004C7F1D" w:rsidRDefault="000370A8" w:rsidP="004C7F1D">
      <w:pPr>
        <w:tabs>
          <w:tab w:val="left" w:pos="2835"/>
        </w:tabs>
        <w:spacing w:line="276" w:lineRule="auto"/>
        <w:jc w:val="both"/>
        <w:rPr>
          <w:rFonts w:ascii="Gadugi" w:hAnsi="Gadugi"/>
          <w:sz w:val="24"/>
          <w:szCs w:val="24"/>
        </w:rPr>
      </w:pPr>
    </w:p>
    <w:p w14:paraId="6182EDBE" w14:textId="04B3C36E" w:rsidR="000370A8" w:rsidRPr="004C7F1D" w:rsidRDefault="000370A8" w:rsidP="004C7F1D">
      <w:pPr>
        <w:tabs>
          <w:tab w:val="left" w:pos="2835"/>
        </w:tabs>
        <w:spacing w:line="276" w:lineRule="auto"/>
        <w:jc w:val="both"/>
        <w:rPr>
          <w:rFonts w:ascii="Gadugi" w:hAnsi="Gadugi"/>
          <w:i/>
          <w:sz w:val="24"/>
          <w:szCs w:val="24"/>
        </w:rPr>
      </w:pPr>
      <w:r w:rsidRPr="004C7F1D">
        <w:rPr>
          <w:rFonts w:ascii="Gadugi" w:hAnsi="Gadugi"/>
          <w:sz w:val="24"/>
          <w:szCs w:val="24"/>
        </w:rPr>
        <w:tab/>
        <w:t xml:space="preserve">Como se ve, dada la importancia de salvaguardar la seguridad jurídica y la firmeza de las decisiones judiciales, una acción de tutela que se promueva contra una providencia de un juez, debe ser formulada a la mayor brevedad, de inmediato si es posible, porque si no se hace de ese modo, </w:t>
      </w:r>
      <w:r w:rsidR="00BA5215" w:rsidRPr="004C7F1D">
        <w:rPr>
          <w:rFonts w:ascii="Gadugi" w:hAnsi="Gadugi"/>
          <w:sz w:val="24"/>
          <w:szCs w:val="24"/>
        </w:rPr>
        <w:t>el amparo es palmariamente</w:t>
      </w:r>
      <w:r w:rsidRPr="004C7F1D">
        <w:rPr>
          <w:rFonts w:ascii="Gadugi" w:hAnsi="Gadugi"/>
          <w:sz w:val="24"/>
          <w:szCs w:val="24"/>
        </w:rPr>
        <w:t xml:space="preserve"> improcedente; lo que sucede es que, la jurisprudencia ha concedido un </w:t>
      </w:r>
      <w:r w:rsidRPr="004C7F1D">
        <w:rPr>
          <w:rFonts w:ascii="Gadugi" w:hAnsi="Gadugi"/>
          <w:sz w:val="24"/>
          <w:szCs w:val="24"/>
          <w:u w:val="single"/>
        </w:rPr>
        <w:t>plazo máximo</w:t>
      </w:r>
      <w:r w:rsidRPr="004C7F1D">
        <w:rPr>
          <w:rFonts w:ascii="Gadugi" w:hAnsi="Gadugi"/>
          <w:sz w:val="24"/>
          <w:szCs w:val="24"/>
        </w:rPr>
        <w:t xml:space="preserve">, pero en cualquier caso, el mismo </w:t>
      </w:r>
      <w:r w:rsidRPr="004C7F1D">
        <w:rPr>
          <w:rFonts w:ascii="Gadugi" w:hAnsi="Gadugi"/>
          <w:i/>
          <w:sz w:val="24"/>
          <w:szCs w:val="24"/>
        </w:rPr>
        <w:t>“</w:t>
      </w:r>
      <w:r w:rsidRPr="00627284">
        <w:rPr>
          <w:rFonts w:ascii="Gadugi" w:hAnsi="Gadugi"/>
          <w:i/>
          <w:sz w:val="22"/>
          <w:szCs w:val="24"/>
        </w:rPr>
        <w:t>(…) no puede exceder de seis meses contados a partir de la actuación que se califica como vulneradora de las prerrogativas esenciales</w:t>
      </w:r>
      <w:r w:rsidRPr="004C7F1D">
        <w:rPr>
          <w:rFonts w:ascii="Gadugi" w:hAnsi="Gadugi"/>
          <w:i/>
          <w:sz w:val="24"/>
          <w:szCs w:val="24"/>
        </w:rPr>
        <w:t>.”</w:t>
      </w:r>
      <w:r w:rsidRPr="004C7F1D">
        <w:rPr>
          <w:rStyle w:val="Refdenotaalpie"/>
          <w:rFonts w:ascii="Gadugi" w:hAnsi="Gadugi"/>
          <w:sz w:val="24"/>
          <w:szCs w:val="24"/>
        </w:rPr>
        <w:t xml:space="preserve"> </w:t>
      </w:r>
      <w:r w:rsidRPr="004C7F1D">
        <w:rPr>
          <w:rStyle w:val="Refdenotaalpie"/>
          <w:rFonts w:ascii="Gadugi" w:hAnsi="Gadugi"/>
          <w:sz w:val="24"/>
          <w:szCs w:val="24"/>
        </w:rPr>
        <w:footnoteReference w:id="17"/>
      </w:r>
      <w:r w:rsidRPr="004C7F1D">
        <w:rPr>
          <w:rFonts w:ascii="Gadugi" w:hAnsi="Gadugi"/>
          <w:sz w:val="24"/>
          <w:szCs w:val="24"/>
        </w:rPr>
        <w:t xml:space="preserve"> </w:t>
      </w:r>
    </w:p>
    <w:p w14:paraId="76E78A5B" w14:textId="34C37745" w:rsidR="000370A8" w:rsidRPr="004C7F1D" w:rsidRDefault="000370A8" w:rsidP="004C7F1D">
      <w:pPr>
        <w:tabs>
          <w:tab w:val="left" w:pos="2835"/>
        </w:tabs>
        <w:spacing w:line="276" w:lineRule="auto"/>
        <w:jc w:val="both"/>
        <w:rPr>
          <w:rFonts w:ascii="Gadugi" w:hAnsi="Gadugi"/>
          <w:sz w:val="24"/>
          <w:szCs w:val="24"/>
        </w:rPr>
      </w:pPr>
    </w:p>
    <w:p w14:paraId="2BFBBEAC" w14:textId="167FEDA8" w:rsidR="003C175A" w:rsidRPr="004C7F1D" w:rsidRDefault="004A2BF6" w:rsidP="004C7F1D">
      <w:pPr>
        <w:tabs>
          <w:tab w:val="left" w:pos="2835"/>
        </w:tabs>
        <w:spacing w:line="276" w:lineRule="auto"/>
        <w:jc w:val="both"/>
        <w:rPr>
          <w:rFonts w:ascii="Gadugi" w:hAnsi="Gadugi"/>
          <w:sz w:val="24"/>
          <w:szCs w:val="24"/>
        </w:rPr>
      </w:pPr>
      <w:r w:rsidRPr="004C7F1D">
        <w:rPr>
          <w:rFonts w:ascii="Gadugi" w:hAnsi="Gadugi"/>
          <w:sz w:val="24"/>
          <w:szCs w:val="24"/>
        </w:rPr>
        <w:tab/>
        <w:t>2.</w:t>
      </w:r>
      <w:r w:rsidR="00BA5215" w:rsidRPr="004C7F1D">
        <w:rPr>
          <w:rFonts w:ascii="Gadugi" w:hAnsi="Gadugi"/>
          <w:sz w:val="24"/>
          <w:szCs w:val="24"/>
        </w:rPr>
        <w:t>5</w:t>
      </w:r>
      <w:r w:rsidRPr="004C7F1D">
        <w:rPr>
          <w:rFonts w:ascii="Gadugi" w:hAnsi="Gadugi"/>
          <w:sz w:val="24"/>
          <w:szCs w:val="24"/>
        </w:rPr>
        <w:t xml:space="preserve">. En el caso concreto, </w:t>
      </w:r>
      <w:r w:rsidR="00802AF1" w:rsidRPr="004C7F1D">
        <w:rPr>
          <w:rFonts w:ascii="Gadugi" w:hAnsi="Gadugi"/>
          <w:sz w:val="24"/>
          <w:szCs w:val="24"/>
        </w:rPr>
        <w:t xml:space="preserve">el fallo </w:t>
      </w:r>
      <w:r w:rsidRPr="004C7F1D">
        <w:rPr>
          <w:rFonts w:ascii="Gadugi" w:hAnsi="Gadugi"/>
          <w:sz w:val="24"/>
          <w:szCs w:val="24"/>
        </w:rPr>
        <w:t xml:space="preserve">que se </w:t>
      </w:r>
      <w:r w:rsidR="00383D97" w:rsidRPr="004C7F1D">
        <w:rPr>
          <w:rFonts w:ascii="Gadugi" w:hAnsi="Gadugi"/>
          <w:sz w:val="24"/>
          <w:szCs w:val="24"/>
        </w:rPr>
        <w:t>reprocha</w:t>
      </w:r>
      <w:r w:rsidRPr="004C7F1D">
        <w:rPr>
          <w:rFonts w:ascii="Gadugi" w:hAnsi="Gadugi"/>
          <w:sz w:val="24"/>
          <w:szCs w:val="24"/>
        </w:rPr>
        <w:t xml:space="preserve"> fue </w:t>
      </w:r>
      <w:r w:rsidR="00802AF1" w:rsidRPr="004C7F1D">
        <w:rPr>
          <w:rFonts w:ascii="Gadugi" w:hAnsi="Gadugi"/>
          <w:sz w:val="24"/>
          <w:szCs w:val="24"/>
        </w:rPr>
        <w:t>proferido</w:t>
      </w:r>
      <w:r w:rsidRPr="004C7F1D">
        <w:rPr>
          <w:rFonts w:ascii="Gadugi" w:hAnsi="Gadugi"/>
          <w:sz w:val="24"/>
          <w:szCs w:val="24"/>
        </w:rPr>
        <w:t xml:space="preserve"> </w:t>
      </w:r>
      <w:r w:rsidR="00802AF1" w:rsidRPr="004C7F1D">
        <w:rPr>
          <w:rFonts w:ascii="Gadugi" w:hAnsi="Gadugi"/>
          <w:sz w:val="24"/>
          <w:szCs w:val="24"/>
        </w:rPr>
        <w:t>el</w:t>
      </w:r>
      <w:r w:rsidRPr="004C7F1D">
        <w:rPr>
          <w:rFonts w:ascii="Gadugi" w:hAnsi="Gadugi"/>
          <w:sz w:val="24"/>
          <w:szCs w:val="24"/>
        </w:rPr>
        <w:t xml:space="preserve"> </w:t>
      </w:r>
      <w:r w:rsidR="00820493" w:rsidRPr="004C7F1D">
        <w:rPr>
          <w:rFonts w:ascii="Gadugi" w:hAnsi="Gadugi"/>
          <w:sz w:val="24"/>
          <w:szCs w:val="24"/>
        </w:rPr>
        <w:t>1</w:t>
      </w:r>
      <w:r w:rsidRPr="004C7F1D">
        <w:rPr>
          <w:rFonts w:ascii="Gadugi" w:hAnsi="Gadugi"/>
          <w:sz w:val="24"/>
          <w:szCs w:val="24"/>
        </w:rPr>
        <w:t xml:space="preserve">8 de </w:t>
      </w:r>
      <w:r w:rsidR="00820493" w:rsidRPr="004C7F1D">
        <w:rPr>
          <w:rFonts w:ascii="Gadugi" w:hAnsi="Gadugi"/>
          <w:sz w:val="24"/>
          <w:szCs w:val="24"/>
        </w:rPr>
        <w:t>septi</w:t>
      </w:r>
      <w:r w:rsidRPr="004C7F1D">
        <w:rPr>
          <w:rFonts w:ascii="Gadugi" w:hAnsi="Gadugi"/>
          <w:sz w:val="24"/>
          <w:szCs w:val="24"/>
        </w:rPr>
        <w:t>embre de 20</w:t>
      </w:r>
      <w:r w:rsidR="00820493" w:rsidRPr="004C7F1D">
        <w:rPr>
          <w:rFonts w:ascii="Gadugi" w:hAnsi="Gadugi"/>
          <w:sz w:val="24"/>
          <w:szCs w:val="24"/>
        </w:rPr>
        <w:t>15</w:t>
      </w:r>
      <w:r w:rsidRPr="004C7F1D">
        <w:rPr>
          <w:rFonts w:ascii="Gadugi" w:hAnsi="Gadugi"/>
          <w:sz w:val="24"/>
          <w:szCs w:val="24"/>
        </w:rPr>
        <w:t>,</w:t>
      </w:r>
      <w:r w:rsidR="003C175A" w:rsidRPr="004C7F1D">
        <w:rPr>
          <w:rFonts w:ascii="Gadugi" w:hAnsi="Gadugi"/>
          <w:sz w:val="24"/>
          <w:szCs w:val="24"/>
        </w:rPr>
        <w:t xml:space="preserve"> y</w:t>
      </w:r>
      <w:r w:rsidRPr="004C7F1D">
        <w:rPr>
          <w:rFonts w:ascii="Gadugi" w:hAnsi="Gadugi"/>
          <w:sz w:val="24"/>
          <w:szCs w:val="24"/>
        </w:rPr>
        <w:t xml:space="preserve"> esta </w:t>
      </w:r>
      <w:r w:rsidR="00F438C5" w:rsidRPr="004C7F1D">
        <w:rPr>
          <w:rFonts w:ascii="Gadugi" w:hAnsi="Gadugi"/>
          <w:sz w:val="24"/>
          <w:szCs w:val="24"/>
        </w:rPr>
        <w:t>tutela fue</w:t>
      </w:r>
      <w:r w:rsidRPr="004C7F1D">
        <w:rPr>
          <w:rFonts w:ascii="Gadugi" w:hAnsi="Gadugi"/>
          <w:sz w:val="24"/>
          <w:szCs w:val="24"/>
        </w:rPr>
        <w:t xml:space="preserve"> </w:t>
      </w:r>
      <w:r w:rsidR="003C175A" w:rsidRPr="004C7F1D">
        <w:rPr>
          <w:rFonts w:ascii="Gadugi" w:hAnsi="Gadugi"/>
          <w:sz w:val="24"/>
          <w:szCs w:val="24"/>
        </w:rPr>
        <w:t xml:space="preserve">presentada </w:t>
      </w:r>
      <w:r w:rsidRPr="004C7F1D">
        <w:rPr>
          <w:rFonts w:ascii="Gadugi" w:hAnsi="Gadugi"/>
          <w:sz w:val="24"/>
          <w:szCs w:val="24"/>
        </w:rPr>
        <w:t>el</w:t>
      </w:r>
      <w:r w:rsidR="007424A8" w:rsidRPr="004C7F1D">
        <w:rPr>
          <w:rFonts w:ascii="Gadugi" w:hAnsi="Gadugi"/>
          <w:sz w:val="24"/>
          <w:szCs w:val="24"/>
        </w:rPr>
        <w:t xml:space="preserve"> 13 de julio de 2022</w:t>
      </w:r>
      <w:r w:rsidRPr="004C7F1D">
        <w:rPr>
          <w:rFonts w:ascii="Gadugi" w:hAnsi="Gadugi"/>
          <w:sz w:val="24"/>
          <w:szCs w:val="24"/>
        </w:rPr>
        <w:t xml:space="preserve">, es decir, </w:t>
      </w:r>
      <w:r w:rsidR="007424A8" w:rsidRPr="004C7F1D">
        <w:rPr>
          <w:rFonts w:ascii="Gadugi" w:hAnsi="Gadugi"/>
          <w:sz w:val="24"/>
          <w:szCs w:val="24"/>
        </w:rPr>
        <w:t>al cabo de casi siete años</w:t>
      </w:r>
      <w:r w:rsidR="003C175A" w:rsidRPr="004C7F1D">
        <w:rPr>
          <w:rFonts w:ascii="Gadugi" w:hAnsi="Gadugi"/>
          <w:sz w:val="24"/>
          <w:szCs w:val="24"/>
        </w:rPr>
        <w:t>, como se ve, es excesivo el tiempo que ha transcurrido entre el momento en que sucedió la presunta vulneración y la radicación del amparo constitucional</w:t>
      </w:r>
      <w:r w:rsidR="00383D97" w:rsidRPr="004C7F1D">
        <w:rPr>
          <w:rFonts w:ascii="Gadugi" w:hAnsi="Gadugi"/>
          <w:sz w:val="24"/>
          <w:szCs w:val="24"/>
        </w:rPr>
        <w:t>, y eso, de entrada</w:t>
      </w:r>
      <w:r w:rsidR="001E0C63" w:rsidRPr="004C7F1D">
        <w:rPr>
          <w:rFonts w:ascii="Gadugi" w:hAnsi="Gadugi"/>
          <w:sz w:val="24"/>
          <w:szCs w:val="24"/>
        </w:rPr>
        <w:t>,</w:t>
      </w:r>
      <w:r w:rsidR="00383D97" w:rsidRPr="004C7F1D">
        <w:rPr>
          <w:rFonts w:ascii="Gadugi" w:hAnsi="Gadugi"/>
          <w:sz w:val="24"/>
          <w:szCs w:val="24"/>
        </w:rPr>
        <w:t xml:space="preserve"> lo torna improcedente. </w:t>
      </w:r>
    </w:p>
    <w:p w14:paraId="040127E1" w14:textId="3B638881" w:rsidR="003C175A" w:rsidRPr="004C7F1D" w:rsidRDefault="003C175A" w:rsidP="004C7F1D">
      <w:pPr>
        <w:tabs>
          <w:tab w:val="left" w:pos="2835"/>
        </w:tabs>
        <w:spacing w:line="276" w:lineRule="auto"/>
        <w:jc w:val="both"/>
        <w:rPr>
          <w:rFonts w:ascii="Gadugi" w:hAnsi="Gadugi"/>
          <w:sz w:val="24"/>
          <w:szCs w:val="24"/>
        </w:rPr>
      </w:pPr>
    </w:p>
    <w:p w14:paraId="74788551" w14:textId="7CA480A7" w:rsidR="003C175A" w:rsidRPr="004C7F1D" w:rsidRDefault="003C175A" w:rsidP="004C7F1D">
      <w:pPr>
        <w:tabs>
          <w:tab w:val="left" w:pos="2835"/>
        </w:tabs>
        <w:spacing w:line="276" w:lineRule="auto"/>
        <w:jc w:val="both"/>
        <w:rPr>
          <w:rFonts w:ascii="Gadugi" w:hAnsi="Gadugi"/>
          <w:sz w:val="24"/>
          <w:szCs w:val="24"/>
        </w:rPr>
      </w:pPr>
      <w:r w:rsidRPr="004C7F1D">
        <w:rPr>
          <w:rFonts w:ascii="Gadugi" w:hAnsi="Gadugi"/>
          <w:sz w:val="24"/>
          <w:szCs w:val="24"/>
        </w:rPr>
        <w:tab/>
        <w:t>Ahora bien, en la demanda se invoca la calidad de persona de espacial protección constitucional del accionante, la que en efecto tiene</w:t>
      </w:r>
      <w:r w:rsidR="0042344C" w:rsidRPr="004C7F1D">
        <w:rPr>
          <w:rFonts w:ascii="Gadugi" w:hAnsi="Gadugi"/>
          <w:sz w:val="24"/>
          <w:szCs w:val="24"/>
        </w:rPr>
        <w:t xml:space="preserve"> dada su avanzada edad</w:t>
      </w:r>
      <w:r w:rsidRPr="004C7F1D">
        <w:rPr>
          <w:rFonts w:ascii="Gadugi" w:hAnsi="Gadugi"/>
          <w:sz w:val="24"/>
          <w:szCs w:val="24"/>
        </w:rPr>
        <w:t>, y también se justifica la tardanza arguyendo que solo hasta el 31 de mayo de este año</w:t>
      </w:r>
      <w:r w:rsidR="0042344C" w:rsidRPr="004C7F1D">
        <w:rPr>
          <w:rFonts w:ascii="Gadugi" w:hAnsi="Gadugi"/>
          <w:sz w:val="24"/>
          <w:szCs w:val="24"/>
        </w:rPr>
        <w:t xml:space="preserve"> él</w:t>
      </w:r>
      <w:r w:rsidRPr="004C7F1D">
        <w:rPr>
          <w:rFonts w:ascii="Gadugi" w:hAnsi="Gadugi"/>
          <w:sz w:val="24"/>
          <w:szCs w:val="24"/>
        </w:rPr>
        <w:t xml:space="preserve"> se enteró de que el fallo proferido en la pertenencia de marras le había sido desfavorable; sin embargo, a juicio de la Sala, </w:t>
      </w:r>
      <w:r w:rsidR="0042344C" w:rsidRPr="004C7F1D">
        <w:rPr>
          <w:rFonts w:ascii="Gadugi" w:hAnsi="Gadugi"/>
          <w:sz w:val="24"/>
          <w:szCs w:val="24"/>
        </w:rPr>
        <w:t>tales circunstancias son insuficientes para superar el presupuesto de la inmediatez que caracteriza a la acción de tutela, y que adquiere una superlativa importancia cuando este extraordinario mecanismo pretende ser utilizado para quebrar una decisión judicial que ya ha hecho tránsito a cosa juzgada.</w:t>
      </w:r>
    </w:p>
    <w:p w14:paraId="308A5C59" w14:textId="47058DA3" w:rsidR="0042344C" w:rsidRPr="004C7F1D" w:rsidRDefault="0042344C" w:rsidP="004C7F1D">
      <w:pPr>
        <w:tabs>
          <w:tab w:val="left" w:pos="2835"/>
        </w:tabs>
        <w:spacing w:line="276" w:lineRule="auto"/>
        <w:jc w:val="both"/>
        <w:rPr>
          <w:rFonts w:ascii="Gadugi" w:hAnsi="Gadugi"/>
          <w:sz w:val="24"/>
          <w:szCs w:val="24"/>
        </w:rPr>
      </w:pPr>
    </w:p>
    <w:p w14:paraId="3B176EBF" w14:textId="2488A500" w:rsidR="0042344C" w:rsidRPr="004C7F1D" w:rsidRDefault="0042344C" w:rsidP="004C7F1D">
      <w:pPr>
        <w:tabs>
          <w:tab w:val="left" w:pos="2835"/>
        </w:tabs>
        <w:spacing w:line="276" w:lineRule="auto"/>
        <w:jc w:val="both"/>
        <w:rPr>
          <w:rFonts w:ascii="Gadugi" w:hAnsi="Gadugi"/>
          <w:sz w:val="24"/>
          <w:szCs w:val="24"/>
        </w:rPr>
      </w:pPr>
      <w:r w:rsidRPr="004C7F1D">
        <w:rPr>
          <w:rFonts w:ascii="Gadugi" w:hAnsi="Gadugi"/>
          <w:sz w:val="24"/>
          <w:szCs w:val="24"/>
        </w:rPr>
        <w:tab/>
      </w:r>
      <w:r w:rsidR="00383D97" w:rsidRPr="004C7F1D">
        <w:rPr>
          <w:rFonts w:ascii="Gadugi" w:hAnsi="Gadugi"/>
          <w:sz w:val="24"/>
          <w:szCs w:val="24"/>
        </w:rPr>
        <w:t>Así se afirma porque</w:t>
      </w:r>
      <w:r w:rsidRPr="004C7F1D">
        <w:rPr>
          <w:rFonts w:ascii="Gadugi" w:hAnsi="Gadugi"/>
          <w:sz w:val="24"/>
          <w:szCs w:val="24"/>
        </w:rPr>
        <w:t xml:space="preserve"> de por medio está</w:t>
      </w:r>
      <w:r w:rsidR="006C58CA" w:rsidRPr="004C7F1D">
        <w:rPr>
          <w:rFonts w:ascii="Gadugi" w:hAnsi="Gadugi"/>
          <w:sz w:val="24"/>
          <w:szCs w:val="24"/>
        </w:rPr>
        <w:t xml:space="preserve">, y en ello es insistente </w:t>
      </w:r>
      <w:r w:rsidR="007C2EEA" w:rsidRPr="004C7F1D">
        <w:rPr>
          <w:rFonts w:ascii="Gadugi" w:hAnsi="Gadugi"/>
          <w:sz w:val="24"/>
          <w:szCs w:val="24"/>
        </w:rPr>
        <w:t>el Tribunal</w:t>
      </w:r>
      <w:r w:rsidR="006C58CA" w:rsidRPr="004C7F1D">
        <w:rPr>
          <w:rFonts w:ascii="Gadugi" w:hAnsi="Gadugi"/>
          <w:sz w:val="24"/>
          <w:szCs w:val="24"/>
        </w:rPr>
        <w:t>,</w:t>
      </w:r>
      <w:r w:rsidRPr="004C7F1D">
        <w:rPr>
          <w:rFonts w:ascii="Gadugi" w:hAnsi="Gadugi"/>
          <w:sz w:val="24"/>
          <w:szCs w:val="24"/>
        </w:rPr>
        <w:t xml:space="preserve"> el principio de seguridad jurídica</w:t>
      </w:r>
      <w:r w:rsidR="006C58CA" w:rsidRPr="004C7F1D">
        <w:rPr>
          <w:rFonts w:ascii="Gadugi" w:hAnsi="Gadugi"/>
          <w:sz w:val="24"/>
          <w:szCs w:val="24"/>
        </w:rPr>
        <w:t xml:space="preserve"> que debe ser cuidado con esmero</w:t>
      </w:r>
      <w:r w:rsidR="00383D97" w:rsidRPr="004C7F1D">
        <w:rPr>
          <w:rFonts w:ascii="Gadugi" w:hAnsi="Gadugi"/>
          <w:sz w:val="24"/>
          <w:szCs w:val="24"/>
        </w:rPr>
        <w:t>,</w:t>
      </w:r>
      <w:r w:rsidR="006C58CA" w:rsidRPr="004C7F1D">
        <w:rPr>
          <w:rFonts w:ascii="Gadugi" w:hAnsi="Gadugi"/>
          <w:sz w:val="24"/>
          <w:szCs w:val="24"/>
        </w:rPr>
        <w:t xml:space="preserve"> porque </w:t>
      </w:r>
      <w:r w:rsidR="00517A39" w:rsidRPr="004C7F1D">
        <w:rPr>
          <w:rFonts w:ascii="Gadugi" w:hAnsi="Gadugi"/>
          <w:sz w:val="24"/>
          <w:szCs w:val="24"/>
        </w:rPr>
        <w:t xml:space="preserve">de lo contrario, quienes intervienen en un proceso judicial </w:t>
      </w:r>
      <w:r w:rsidR="00517A39" w:rsidRPr="004C7F1D">
        <w:rPr>
          <w:rFonts w:ascii="Gadugi" w:hAnsi="Gadugi"/>
          <w:sz w:val="24"/>
          <w:szCs w:val="24"/>
        </w:rPr>
        <w:lastRenderedPageBreak/>
        <w:t xml:space="preserve">permanecerían, indefinidamente, en estado de incertidumbre y zozobra respecto de las decisiones que se imparten. </w:t>
      </w:r>
    </w:p>
    <w:p w14:paraId="65BF05A5" w14:textId="6167C860" w:rsidR="0042344C" w:rsidRPr="004C7F1D" w:rsidRDefault="0042344C" w:rsidP="004C7F1D">
      <w:pPr>
        <w:tabs>
          <w:tab w:val="left" w:pos="2835"/>
        </w:tabs>
        <w:spacing w:line="276" w:lineRule="auto"/>
        <w:jc w:val="both"/>
        <w:rPr>
          <w:rFonts w:ascii="Gadugi" w:hAnsi="Gadugi"/>
          <w:sz w:val="24"/>
          <w:szCs w:val="24"/>
        </w:rPr>
      </w:pPr>
    </w:p>
    <w:p w14:paraId="3F48E17A" w14:textId="6652EE93" w:rsidR="00933709" w:rsidRPr="004C7F1D" w:rsidRDefault="00517A39" w:rsidP="004C7F1D">
      <w:pPr>
        <w:tabs>
          <w:tab w:val="left" w:pos="2835"/>
        </w:tabs>
        <w:spacing w:line="276" w:lineRule="auto"/>
        <w:jc w:val="both"/>
        <w:rPr>
          <w:rFonts w:ascii="Gadugi" w:hAnsi="Gadugi" w:cs="Century Gothic"/>
          <w:bCs/>
          <w:sz w:val="24"/>
          <w:szCs w:val="24"/>
        </w:rPr>
      </w:pPr>
      <w:r w:rsidRPr="004C7F1D">
        <w:rPr>
          <w:rFonts w:ascii="Gadugi" w:hAnsi="Gadugi"/>
          <w:sz w:val="24"/>
          <w:szCs w:val="24"/>
        </w:rPr>
        <w:tab/>
        <w:t xml:space="preserve">Además, las excusas que se plantean en la demanda se </w:t>
      </w:r>
      <w:r w:rsidR="00B130D9" w:rsidRPr="004C7F1D">
        <w:rPr>
          <w:rFonts w:ascii="Gadugi" w:hAnsi="Gadugi"/>
          <w:sz w:val="24"/>
          <w:szCs w:val="24"/>
        </w:rPr>
        <w:t>desvirtúan</w:t>
      </w:r>
      <w:r w:rsidRPr="004C7F1D">
        <w:rPr>
          <w:rFonts w:ascii="Gadugi" w:hAnsi="Gadugi"/>
          <w:sz w:val="24"/>
          <w:szCs w:val="24"/>
        </w:rPr>
        <w:t xml:space="preserve"> frente al hecho de que el señor </w:t>
      </w:r>
      <w:r w:rsidRPr="004C7F1D">
        <w:rPr>
          <w:rFonts w:ascii="Gadugi" w:hAnsi="Gadugi" w:cs="Century Gothic"/>
          <w:bCs/>
          <w:sz w:val="24"/>
          <w:szCs w:val="24"/>
        </w:rPr>
        <w:t>Mosquera Perea,</w:t>
      </w:r>
      <w:r w:rsidR="007618B9" w:rsidRPr="004C7F1D">
        <w:rPr>
          <w:rFonts w:ascii="Gadugi" w:hAnsi="Gadugi" w:cs="Century Gothic"/>
          <w:bCs/>
          <w:sz w:val="24"/>
          <w:szCs w:val="24"/>
        </w:rPr>
        <w:t xml:space="preserve"> en aquel</w:t>
      </w:r>
      <w:r w:rsidR="00383D97" w:rsidRPr="004C7F1D">
        <w:rPr>
          <w:rFonts w:ascii="Gadugi" w:hAnsi="Gadugi" w:cs="Century Gothic"/>
          <w:bCs/>
          <w:sz w:val="24"/>
          <w:szCs w:val="24"/>
        </w:rPr>
        <w:t>la</w:t>
      </w:r>
      <w:r w:rsidR="007618B9" w:rsidRPr="004C7F1D">
        <w:rPr>
          <w:rFonts w:ascii="Gadugi" w:hAnsi="Gadugi" w:cs="Century Gothic"/>
          <w:bCs/>
          <w:sz w:val="24"/>
          <w:szCs w:val="24"/>
        </w:rPr>
        <w:t xml:space="preserve"> pertenencia</w:t>
      </w:r>
      <w:r w:rsidR="00933709" w:rsidRPr="004C7F1D">
        <w:rPr>
          <w:rFonts w:ascii="Gadugi" w:hAnsi="Gadugi" w:cs="Century Gothic"/>
          <w:bCs/>
          <w:sz w:val="24"/>
          <w:szCs w:val="24"/>
        </w:rPr>
        <w:t>,</w:t>
      </w:r>
      <w:r w:rsidR="007618B9" w:rsidRPr="004C7F1D">
        <w:rPr>
          <w:rFonts w:ascii="Gadugi" w:hAnsi="Gadugi" w:cs="Century Gothic"/>
          <w:bCs/>
          <w:sz w:val="24"/>
          <w:szCs w:val="24"/>
        </w:rPr>
        <w:t xml:space="preserve"> siempre contó con la asesoría de un abogado que, en su representación, presentó la demanda</w:t>
      </w:r>
      <w:r w:rsidR="001E0C63" w:rsidRPr="004C7F1D">
        <w:rPr>
          <w:rStyle w:val="Refdenotaalpie"/>
          <w:rFonts w:ascii="Gadugi" w:hAnsi="Gadugi"/>
          <w:bCs/>
          <w:sz w:val="24"/>
          <w:szCs w:val="24"/>
        </w:rPr>
        <w:footnoteReference w:id="18"/>
      </w:r>
      <w:r w:rsidR="007618B9" w:rsidRPr="004C7F1D">
        <w:rPr>
          <w:rFonts w:ascii="Gadugi" w:hAnsi="Gadugi" w:cs="Century Gothic"/>
          <w:bCs/>
          <w:sz w:val="24"/>
          <w:szCs w:val="24"/>
        </w:rPr>
        <w:t xml:space="preserve">, </w:t>
      </w:r>
      <w:r w:rsidR="009D40D4" w:rsidRPr="004C7F1D">
        <w:rPr>
          <w:rFonts w:ascii="Gadugi" w:hAnsi="Gadugi" w:cs="Century Gothic"/>
          <w:bCs/>
          <w:sz w:val="24"/>
          <w:szCs w:val="24"/>
        </w:rPr>
        <w:t>estuvo en la inspección judicial donde pudo interrogar a los testigos</w:t>
      </w:r>
      <w:r w:rsidR="001E0C63" w:rsidRPr="004C7F1D">
        <w:rPr>
          <w:rStyle w:val="Refdenotaalpie"/>
          <w:rFonts w:ascii="Gadugi" w:hAnsi="Gadugi"/>
          <w:bCs/>
          <w:sz w:val="24"/>
          <w:szCs w:val="24"/>
        </w:rPr>
        <w:footnoteReference w:id="19"/>
      </w:r>
      <w:r w:rsidR="00933709" w:rsidRPr="004C7F1D">
        <w:rPr>
          <w:rFonts w:ascii="Gadugi" w:hAnsi="Gadugi" w:cs="Century Gothic"/>
          <w:bCs/>
          <w:sz w:val="24"/>
          <w:szCs w:val="24"/>
        </w:rPr>
        <w:t xml:space="preserve"> y</w:t>
      </w:r>
      <w:r w:rsidR="009D40D4" w:rsidRPr="004C7F1D">
        <w:rPr>
          <w:rFonts w:ascii="Gadugi" w:hAnsi="Gadugi" w:cs="Century Gothic"/>
          <w:bCs/>
          <w:sz w:val="24"/>
          <w:szCs w:val="24"/>
        </w:rPr>
        <w:t xml:space="preserve"> </w:t>
      </w:r>
      <w:r w:rsidR="00933709" w:rsidRPr="004C7F1D">
        <w:rPr>
          <w:rFonts w:ascii="Gadugi" w:hAnsi="Gadugi" w:cs="Century Gothic"/>
          <w:bCs/>
          <w:sz w:val="24"/>
          <w:szCs w:val="24"/>
        </w:rPr>
        <w:t>allegó</w:t>
      </w:r>
      <w:r w:rsidR="009D40D4" w:rsidRPr="004C7F1D">
        <w:rPr>
          <w:rFonts w:ascii="Gadugi" w:hAnsi="Gadugi" w:cs="Century Gothic"/>
          <w:bCs/>
          <w:sz w:val="24"/>
          <w:szCs w:val="24"/>
        </w:rPr>
        <w:t xml:space="preserve"> los alegatos de conclusión</w:t>
      </w:r>
      <w:r w:rsidR="001E0C63" w:rsidRPr="004C7F1D">
        <w:rPr>
          <w:rStyle w:val="Refdenotaalpie"/>
          <w:rFonts w:ascii="Gadugi" w:hAnsi="Gadugi"/>
          <w:bCs/>
          <w:sz w:val="24"/>
          <w:szCs w:val="24"/>
        </w:rPr>
        <w:footnoteReference w:id="20"/>
      </w:r>
      <w:r w:rsidR="00933709" w:rsidRPr="004C7F1D">
        <w:rPr>
          <w:rFonts w:ascii="Gadugi" w:hAnsi="Gadugi" w:cs="Century Gothic"/>
          <w:bCs/>
          <w:sz w:val="24"/>
          <w:szCs w:val="24"/>
        </w:rPr>
        <w:t xml:space="preserve">, de lo cual se deduce que en ese juicio pudo ejercer, sin cortapisa, su derecho de contradicción, y entonces, desde que se profirió el fallo que aquí </w:t>
      </w:r>
      <w:r w:rsidR="00383D97" w:rsidRPr="004C7F1D">
        <w:rPr>
          <w:rFonts w:ascii="Gadugi" w:hAnsi="Gadugi" w:cs="Century Gothic"/>
          <w:bCs/>
          <w:sz w:val="24"/>
          <w:szCs w:val="24"/>
        </w:rPr>
        <w:t xml:space="preserve">se </w:t>
      </w:r>
      <w:r w:rsidR="00933709" w:rsidRPr="004C7F1D">
        <w:rPr>
          <w:rFonts w:ascii="Gadugi" w:hAnsi="Gadugi" w:cs="Century Gothic"/>
          <w:bCs/>
          <w:sz w:val="24"/>
          <w:szCs w:val="24"/>
        </w:rPr>
        <w:t xml:space="preserve">confuta, </w:t>
      </w:r>
      <w:r w:rsidR="00383D97" w:rsidRPr="004C7F1D">
        <w:rPr>
          <w:rFonts w:ascii="Gadugi" w:hAnsi="Gadugi" w:cs="Century Gothic"/>
          <w:bCs/>
          <w:sz w:val="24"/>
          <w:szCs w:val="24"/>
        </w:rPr>
        <w:t xml:space="preserve">se pudieron intentar las acciones pertinentes para derruirlo.  </w:t>
      </w:r>
    </w:p>
    <w:p w14:paraId="2DCBF5C6" w14:textId="77777777" w:rsidR="00383D97" w:rsidRPr="004C7F1D" w:rsidRDefault="00383D97" w:rsidP="004C7F1D">
      <w:pPr>
        <w:spacing w:line="276" w:lineRule="auto"/>
        <w:ind w:firstLine="2835"/>
        <w:jc w:val="both"/>
        <w:rPr>
          <w:rFonts w:ascii="Gadugi" w:hAnsi="Gadugi"/>
          <w:sz w:val="24"/>
          <w:szCs w:val="24"/>
        </w:rPr>
      </w:pPr>
    </w:p>
    <w:p w14:paraId="591E4B46" w14:textId="76C19210" w:rsidR="00890D97" w:rsidRPr="004C7F1D" w:rsidRDefault="00383D97" w:rsidP="004C7F1D">
      <w:pPr>
        <w:spacing w:line="276" w:lineRule="auto"/>
        <w:ind w:firstLine="2835"/>
        <w:jc w:val="both"/>
        <w:rPr>
          <w:rFonts w:ascii="Gadugi" w:hAnsi="Gadugi"/>
          <w:sz w:val="24"/>
          <w:szCs w:val="24"/>
        </w:rPr>
      </w:pPr>
      <w:r w:rsidRPr="004C7F1D">
        <w:rPr>
          <w:rFonts w:ascii="Gadugi" w:hAnsi="Gadugi"/>
          <w:sz w:val="24"/>
          <w:szCs w:val="24"/>
        </w:rPr>
        <w:t>En suma</w:t>
      </w:r>
      <w:r w:rsidR="00890D97" w:rsidRPr="004C7F1D">
        <w:rPr>
          <w:rFonts w:ascii="Gadugi" w:hAnsi="Gadugi"/>
          <w:sz w:val="24"/>
          <w:szCs w:val="24"/>
        </w:rPr>
        <w:t xml:space="preserve">, se </w:t>
      </w:r>
      <w:r w:rsidR="001F7AF8" w:rsidRPr="004C7F1D">
        <w:rPr>
          <w:rFonts w:ascii="Gadugi" w:hAnsi="Gadugi"/>
          <w:sz w:val="24"/>
          <w:szCs w:val="24"/>
        </w:rPr>
        <w:t>declarará la improcedencia del resguardo constitucional</w:t>
      </w:r>
      <w:r w:rsidRPr="004C7F1D">
        <w:rPr>
          <w:rFonts w:ascii="Gadugi" w:hAnsi="Gadugi"/>
          <w:sz w:val="24"/>
          <w:szCs w:val="24"/>
        </w:rPr>
        <w:t>.</w:t>
      </w:r>
    </w:p>
    <w:p w14:paraId="5FF51AF7" w14:textId="79DFFAA0" w:rsidR="00724914" w:rsidRPr="004C7F1D" w:rsidRDefault="00724914" w:rsidP="004C7F1D">
      <w:pPr>
        <w:pStyle w:val="Sinespaciado6"/>
        <w:spacing w:line="276" w:lineRule="auto"/>
        <w:ind w:left="567" w:right="902"/>
        <w:jc w:val="both"/>
        <w:rPr>
          <w:rFonts w:ascii="Gadugi" w:hAnsi="Gadugi" w:cs="Arial"/>
          <w:color w:val="000000"/>
        </w:rPr>
      </w:pPr>
      <w:r w:rsidRPr="004C7F1D">
        <w:rPr>
          <w:rFonts w:ascii="Gadugi" w:hAnsi="Gadugi"/>
          <w:lang w:val="es-ES_tradnl"/>
        </w:rPr>
        <w:tab/>
      </w:r>
      <w:r w:rsidRPr="004C7F1D">
        <w:rPr>
          <w:rFonts w:ascii="Gadugi" w:hAnsi="Gadugi"/>
          <w:lang w:val="es-ES_tradnl"/>
        </w:rPr>
        <w:tab/>
      </w:r>
      <w:r w:rsidRPr="004C7F1D">
        <w:rPr>
          <w:rFonts w:ascii="Gadugi" w:hAnsi="Gadugi"/>
          <w:lang w:val="es-ES_tradnl"/>
        </w:rPr>
        <w:tab/>
      </w:r>
      <w:r w:rsidRPr="004C7F1D">
        <w:rPr>
          <w:rFonts w:ascii="Gadugi" w:hAnsi="Gadugi" w:cs="Arial"/>
          <w:color w:val="000000"/>
        </w:rPr>
        <w:t xml:space="preserve"> </w:t>
      </w:r>
      <w:r w:rsidR="00112FA5" w:rsidRPr="004C7F1D">
        <w:rPr>
          <w:rFonts w:ascii="Gadugi" w:hAnsi="Gadugi" w:cs="Arial"/>
          <w:color w:val="000000"/>
        </w:rPr>
        <w:tab/>
      </w:r>
    </w:p>
    <w:p w14:paraId="0EF677F5" w14:textId="1F79C561" w:rsidR="00622EA3" w:rsidRPr="004C7F1D" w:rsidRDefault="00A21E21" w:rsidP="004C7F1D">
      <w:pPr>
        <w:spacing w:line="276" w:lineRule="auto"/>
        <w:ind w:firstLine="2835"/>
        <w:jc w:val="both"/>
        <w:rPr>
          <w:rFonts w:ascii="Gadugi" w:hAnsi="Gadugi" w:cs="Arial"/>
          <w:b/>
          <w:sz w:val="24"/>
          <w:szCs w:val="24"/>
        </w:rPr>
      </w:pPr>
      <w:r w:rsidRPr="004C7F1D">
        <w:rPr>
          <w:rFonts w:ascii="Gadugi" w:hAnsi="Gadugi" w:cs="Arial"/>
          <w:b/>
          <w:sz w:val="24"/>
          <w:szCs w:val="24"/>
        </w:rPr>
        <w:t xml:space="preserve">3. </w:t>
      </w:r>
      <w:r w:rsidR="00622EA3" w:rsidRPr="004C7F1D">
        <w:rPr>
          <w:rFonts w:ascii="Gadugi" w:hAnsi="Gadugi" w:cs="Arial"/>
          <w:b/>
          <w:sz w:val="24"/>
          <w:szCs w:val="24"/>
        </w:rPr>
        <w:t>DECISIÓN</w:t>
      </w:r>
    </w:p>
    <w:p w14:paraId="20649FF0" w14:textId="77777777" w:rsidR="00622EA3" w:rsidRPr="004C7F1D" w:rsidRDefault="00622EA3" w:rsidP="004C7F1D">
      <w:pPr>
        <w:spacing w:line="276" w:lineRule="auto"/>
        <w:jc w:val="both"/>
        <w:rPr>
          <w:rFonts w:ascii="Gadugi" w:hAnsi="Gadugi"/>
          <w:sz w:val="24"/>
          <w:szCs w:val="24"/>
        </w:rPr>
      </w:pPr>
      <w:r w:rsidRPr="004C7F1D">
        <w:rPr>
          <w:rFonts w:ascii="Gadugi" w:hAnsi="Gadugi"/>
          <w:sz w:val="24"/>
          <w:szCs w:val="24"/>
        </w:rPr>
        <w:t xml:space="preserve">  </w:t>
      </w:r>
      <w:r w:rsidRPr="004C7F1D">
        <w:rPr>
          <w:rFonts w:ascii="Gadugi" w:hAnsi="Gadugi"/>
          <w:sz w:val="24"/>
          <w:szCs w:val="24"/>
        </w:rPr>
        <w:tab/>
      </w:r>
      <w:r w:rsidRPr="004C7F1D">
        <w:rPr>
          <w:rFonts w:ascii="Gadugi" w:hAnsi="Gadugi"/>
          <w:sz w:val="24"/>
          <w:szCs w:val="24"/>
        </w:rPr>
        <w:tab/>
      </w:r>
      <w:r w:rsidRPr="004C7F1D">
        <w:rPr>
          <w:rFonts w:ascii="Gadugi" w:hAnsi="Gadugi"/>
          <w:sz w:val="24"/>
          <w:szCs w:val="24"/>
        </w:rPr>
        <w:tab/>
      </w:r>
      <w:r w:rsidRPr="004C7F1D">
        <w:rPr>
          <w:rFonts w:ascii="Gadugi" w:hAnsi="Gadugi"/>
          <w:sz w:val="24"/>
          <w:szCs w:val="24"/>
        </w:rPr>
        <w:tab/>
      </w:r>
    </w:p>
    <w:p w14:paraId="4F587AED" w14:textId="77777777" w:rsidR="00622EA3" w:rsidRPr="004C7F1D" w:rsidRDefault="00622EA3" w:rsidP="004C7F1D">
      <w:pPr>
        <w:spacing w:line="276" w:lineRule="auto"/>
        <w:jc w:val="both"/>
        <w:rPr>
          <w:rFonts w:ascii="Gadugi" w:hAnsi="Gadugi"/>
          <w:sz w:val="24"/>
          <w:szCs w:val="24"/>
        </w:rPr>
      </w:pPr>
      <w:r w:rsidRPr="004C7F1D">
        <w:rPr>
          <w:rFonts w:ascii="Gadugi" w:hAnsi="Gadugi"/>
          <w:sz w:val="24"/>
          <w:szCs w:val="24"/>
        </w:rPr>
        <w:tab/>
      </w:r>
      <w:r w:rsidRPr="004C7F1D">
        <w:rPr>
          <w:rFonts w:ascii="Gadugi" w:hAnsi="Gadugi"/>
          <w:sz w:val="24"/>
          <w:szCs w:val="24"/>
        </w:rPr>
        <w:tab/>
      </w:r>
      <w:r w:rsidRPr="004C7F1D">
        <w:rPr>
          <w:rFonts w:ascii="Gadugi" w:hAnsi="Gadugi"/>
          <w:sz w:val="24"/>
          <w:szCs w:val="24"/>
        </w:rPr>
        <w:tab/>
      </w:r>
      <w:r w:rsidRPr="004C7F1D">
        <w:rPr>
          <w:rFonts w:ascii="Gadugi" w:hAnsi="Gadugi"/>
          <w:sz w:val="24"/>
          <w:szCs w:val="24"/>
        </w:rPr>
        <w:tab/>
      </w:r>
    </w:p>
    <w:p w14:paraId="4DBE5FFF" w14:textId="1D95DA14" w:rsidR="00622EA3" w:rsidRPr="004C7F1D" w:rsidRDefault="00622EA3" w:rsidP="004C7F1D">
      <w:pPr>
        <w:spacing w:line="276" w:lineRule="auto"/>
        <w:ind w:firstLine="2835"/>
        <w:jc w:val="both"/>
        <w:rPr>
          <w:rFonts w:ascii="Gadugi" w:hAnsi="Gadugi" w:cs="Arial"/>
          <w:sz w:val="24"/>
          <w:szCs w:val="24"/>
          <w:lang w:val="es-CO"/>
        </w:rPr>
      </w:pPr>
      <w:r w:rsidRPr="004C7F1D">
        <w:rPr>
          <w:rFonts w:ascii="Gadugi" w:hAnsi="Gadugi" w:cs="Arial"/>
          <w:sz w:val="24"/>
          <w:szCs w:val="24"/>
        </w:rPr>
        <w:t>En armonía con lo dicho, la Sala Civil Familia del Tribunal Superior de Pereira, administrando justicia en nombre de la República y por autoridad de la Ley,</w:t>
      </w:r>
      <w:r w:rsidRPr="004C7F1D">
        <w:rPr>
          <w:rFonts w:ascii="Gadugi" w:hAnsi="Gadugi" w:cs="Arial"/>
          <w:sz w:val="24"/>
          <w:szCs w:val="24"/>
          <w:lang w:val="es-419"/>
        </w:rPr>
        <w:t xml:space="preserve"> </w:t>
      </w:r>
      <w:r w:rsidRPr="004C7F1D">
        <w:rPr>
          <w:rFonts w:ascii="Gadugi" w:hAnsi="Gadugi" w:cs="Arial"/>
          <w:sz w:val="24"/>
          <w:szCs w:val="24"/>
          <w:lang w:val="es-CO"/>
        </w:rPr>
        <w:t>declara</w:t>
      </w:r>
      <w:r w:rsidRPr="004C7F1D">
        <w:rPr>
          <w:rFonts w:ascii="Gadugi" w:hAnsi="Gadugi" w:cs="Arial"/>
          <w:b/>
          <w:sz w:val="24"/>
          <w:szCs w:val="24"/>
          <w:lang w:val="es-CO"/>
        </w:rPr>
        <w:t xml:space="preserve"> IMPROCEDENTE </w:t>
      </w:r>
      <w:r w:rsidRPr="004C7F1D">
        <w:rPr>
          <w:rFonts w:ascii="Gadugi" w:hAnsi="Gadugi" w:cs="Arial"/>
          <w:sz w:val="24"/>
          <w:szCs w:val="24"/>
          <w:lang w:val="es-CO"/>
        </w:rPr>
        <w:t xml:space="preserve">la presente acción de tutela. </w:t>
      </w:r>
    </w:p>
    <w:p w14:paraId="18DC01D1" w14:textId="77777777" w:rsidR="007E2115" w:rsidRPr="004C7F1D" w:rsidRDefault="007E2115" w:rsidP="004C7F1D">
      <w:pPr>
        <w:spacing w:line="276" w:lineRule="auto"/>
        <w:ind w:firstLine="2835"/>
        <w:jc w:val="both"/>
        <w:rPr>
          <w:rFonts w:ascii="Gadugi" w:hAnsi="Gadugi" w:cs="Century Gothic"/>
          <w:sz w:val="24"/>
          <w:szCs w:val="24"/>
        </w:rPr>
      </w:pPr>
    </w:p>
    <w:p w14:paraId="1B75A3D0" w14:textId="77027A59" w:rsidR="00622EA3" w:rsidRPr="004C7F1D" w:rsidRDefault="00622EA3" w:rsidP="004C7F1D">
      <w:pPr>
        <w:spacing w:line="276" w:lineRule="auto"/>
        <w:ind w:right="51"/>
        <w:jc w:val="both"/>
        <w:rPr>
          <w:rFonts w:ascii="Gadugi" w:hAnsi="Gadugi" w:cs="Arial"/>
          <w:sz w:val="24"/>
          <w:szCs w:val="24"/>
          <w:lang w:val="es-CO"/>
        </w:rPr>
      </w:pPr>
      <w:r w:rsidRPr="004C7F1D">
        <w:rPr>
          <w:rFonts w:ascii="Gadugi" w:hAnsi="Gadugi" w:cs="Arial"/>
          <w:sz w:val="24"/>
          <w:szCs w:val="24"/>
        </w:rPr>
        <w:t xml:space="preserve">  </w:t>
      </w:r>
      <w:r w:rsidRPr="004C7F1D">
        <w:rPr>
          <w:rFonts w:ascii="Gadugi" w:hAnsi="Gadugi" w:cs="Arial"/>
          <w:sz w:val="24"/>
          <w:szCs w:val="24"/>
        </w:rPr>
        <w:tab/>
      </w:r>
      <w:r w:rsidRPr="004C7F1D">
        <w:rPr>
          <w:rFonts w:ascii="Gadugi" w:hAnsi="Gadugi" w:cs="Arial"/>
          <w:sz w:val="24"/>
          <w:szCs w:val="24"/>
        </w:rPr>
        <w:tab/>
      </w:r>
      <w:r w:rsidRPr="004C7F1D">
        <w:rPr>
          <w:rFonts w:ascii="Gadugi" w:hAnsi="Gadugi" w:cs="Arial"/>
          <w:sz w:val="24"/>
          <w:szCs w:val="24"/>
        </w:rPr>
        <w:tab/>
      </w:r>
      <w:r w:rsidRPr="004C7F1D">
        <w:rPr>
          <w:rFonts w:ascii="Gadugi" w:hAnsi="Gadugi" w:cs="Arial"/>
          <w:sz w:val="24"/>
          <w:szCs w:val="24"/>
        </w:rPr>
        <w:tab/>
        <w:t>Notifíquese la decisión a las partes en la forma prevista en el artículo 5º del Decreto 306 de 1992</w:t>
      </w:r>
      <w:r w:rsidRPr="004C7F1D">
        <w:rPr>
          <w:rFonts w:ascii="Gadugi" w:hAnsi="Gadugi" w:cs="Arial"/>
          <w:sz w:val="24"/>
          <w:szCs w:val="24"/>
          <w:lang w:val="es-419"/>
        </w:rPr>
        <w:t>, y si no es impugnada</w:t>
      </w:r>
      <w:r w:rsidR="00C10BDC">
        <w:rPr>
          <w:rFonts w:ascii="Gadugi" w:hAnsi="Gadugi" w:cs="Arial"/>
          <w:sz w:val="24"/>
          <w:szCs w:val="24"/>
          <w:lang w:val="es-419"/>
        </w:rPr>
        <w:t xml:space="preserve"> remítase </w:t>
      </w:r>
      <w:r w:rsidRPr="004C7F1D">
        <w:rPr>
          <w:rFonts w:ascii="Gadugi" w:hAnsi="Gadugi" w:cs="Arial"/>
          <w:sz w:val="24"/>
          <w:szCs w:val="24"/>
          <w:lang w:val="es-CO"/>
        </w:rPr>
        <w:t>a la Corte Constitucional para su eventual revisión.</w:t>
      </w:r>
    </w:p>
    <w:p w14:paraId="0B1A24CD" w14:textId="498AAC24" w:rsidR="00622EA3" w:rsidRPr="004C7F1D" w:rsidRDefault="00622EA3" w:rsidP="004C7F1D">
      <w:pPr>
        <w:spacing w:line="276" w:lineRule="auto"/>
        <w:ind w:right="51"/>
        <w:jc w:val="both"/>
        <w:rPr>
          <w:rFonts w:ascii="Gadugi" w:hAnsi="Gadugi" w:cs="Arial"/>
          <w:sz w:val="24"/>
          <w:szCs w:val="24"/>
          <w:lang w:val="es-CO"/>
        </w:rPr>
      </w:pPr>
    </w:p>
    <w:p w14:paraId="050295D5" w14:textId="69623954" w:rsidR="00622EA3" w:rsidRPr="004C7F1D" w:rsidRDefault="00622EA3" w:rsidP="004C7F1D">
      <w:pPr>
        <w:spacing w:line="276" w:lineRule="auto"/>
        <w:ind w:firstLine="2835"/>
        <w:jc w:val="both"/>
        <w:rPr>
          <w:rFonts w:ascii="Gadugi" w:hAnsi="Gadugi" w:cs="Arial"/>
          <w:sz w:val="24"/>
          <w:szCs w:val="24"/>
          <w:lang w:val="es-CO"/>
        </w:rPr>
      </w:pPr>
      <w:r w:rsidRPr="004C7F1D">
        <w:rPr>
          <w:rFonts w:ascii="Gadugi" w:hAnsi="Gadugi" w:cs="Arial"/>
          <w:sz w:val="24"/>
          <w:szCs w:val="24"/>
          <w:lang w:val="es-CO"/>
        </w:rPr>
        <w:t>A su regreso, archívese el expediente</w:t>
      </w:r>
      <w:r w:rsidRPr="004C7F1D">
        <w:rPr>
          <w:rFonts w:ascii="Gadugi" w:hAnsi="Gadugi" w:cs="Arial"/>
          <w:sz w:val="24"/>
          <w:szCs w:val="24"/>
          <w:lang w:val="es-419"/>
        </w:rPr>
        <w:t>.</w:t>
      </w:r>
      <w:r w:rsidRPr="004C7F1D">
        <w:rPr>
          <w:rFonts w:ascii="Gadugi" w:hAnsi="Gadugi" w:cs="Arial"/>
          <w:sz w:val="24"/>
          <w:szCs w:val="24"/>
          <w:lang w:val="es-CO"/>
        </w:rPr>
        <w:t xml:space="preserve"> </w:t>
      </w:r>
    </w:p>
    <w:p w14:paraId="3B378B8E" w14:textId="77777777" w:rsidR="004C7F1D" w:rsidRPr="004C7F1D" w:rsidRDefault="004C7F1D" w:rsidP="004C7F1D">
      <w:pPr>
        <w:spacing w:line="276" w:lineRule="auto"/>
        <w:jc w:val="both"/>
        <w:rPr>
          <w:rFonts w:ascii="Gadugi" w:hAnsi="Gadugi" w:cs="Arial"/>
          <w:sz w:val="24"/>
          <w:szCs w:val="24"/>
          <w:lang w:val="es-CO"/>
        </w:rPr>
      </w:pPr>
    </w:p>
    <w:p w14:paraId="1ADF31BE" w14:textId="4CDE4F84" w:rsidR="00622EA3" w:rsidRPr="004C7F1D" w:rsidRDefault="00112FA5" w:rsidP="004C7F1D">
      <w:pPr>
        <w:spacing w:line="276" w:lineRule="auto"/>
        <w:jc w:val="both"/>
        <w:rPr>
          <w:rFonts w:ascii="Gadugi" w:hAnsi="Gadugi" w:cs="Arial"/>
          <w:bCs/>
          <w:sz w:val="24"/>
          <w:szCs w:val="24"/>
        </w:rPr>
      </w:pPr>
      <w:r w:rsidRPr="004C7F1D">
        <w:rPr>
          <w:rFonts w:ascii="Gadugi" w:hAnsi="Gadugi" w:cs="Arial"/>
          <w:sz w:val="24"/>
          <w:szCs w:val="24"/>
          <w:lang w:val="es-CO"/>
        </w:rPr>
        <w:tab/>
      </w:r>
      <w:r w:rsidRPr="004C7F1D">
        <w:rPr>
          <w:rFonts w:ascii="Gadugi" w:hAnsi="Gadugi" w:cs="Arial"/>
          <w:sz w:val="24"/>
          <w:szCs w:val="24"/>
          <w:lang w:val="es-CO"/>
        </w:rPr>
        <w:tab/>
      </w:r>
      <w:r w:rsidRPr="004C7F1D">
        <w:rPr>
          <w:rFonts w:ascii="Gadugi" w:hAnsi="Gadugi" w:cs="Arial"/>
          <w:sz w:val="24"/>
          <w:szCs w:val="24"/>
          <w:lang w:val="es-CO"/>
        </w:rPr>
        <w:tab/>
      </w:r>
      <w:r w:rsidRPr="004C7F1D">
        <w:rPr>
          <w:rFonts w:ascii="Gadugi" w:hAnsi="Gadugi" w:cs="Arial"/>
          <w:sz w:val="24"/>
          <w:szCs w:val="24"/>
          <w:lang w:val="es-CO"/>
        </w:rPr>
        <w:tab/>
      </w:r>
      <w:r w:rsidR="00622EA3" w:rsidRPr="004C7F1D">
        <w:rPr>
          <w:rFonts w:ascii="Gadugi" w:hAnsi="Gadugi" w:cs="Arial"/>
          <w:bCs/>
          <w:sz w:val="24"/>
          <w:szCs w:val="24"/>
        </w:rPr>
        <w:t>Los Magistrados,</w:t>
      </w:r>
    </w:p>
    <w:p w14:paraId="0D71DB09" w14:textId="5CE539F4" w:rsidR="002C1510" w:rsidRDefault="002C1510" w:rsidP="004C7F1D">
      <w:pPr>
        <w:spacing w:line="276" w:lineRule="auto"/>
        <w:jc w:val="both"/>
        <w:rPr>
          <w:rFonts w:ascii="Gadugi" w:hAnsi="Gadugi" w:cs="Arial"/>
          <w:b/>
          <w:sz w:val="24"/>
          <w:szCs w:val="24"/>
        </w:rPr>
      </w:pPr>
    </w:p>
    <w:p w14:paraId="60ED3522" w14:textId="77777777" w:rsidR="004C7F1D" w:rsidRPr="004C7F1D" w:rsidRDefault="004C7F1D" w:rsidP="004C7F1D">
      <w:pPr>
        <w:spacing w:line="276" w:lineRule="auto"/>
        <w:jc w:val="both"/>
        <w:rPr>
          <w:rFonts w:ascii="Gadugi" w:hAnsi="Gadugi" w:cs="Arial"/>
          <w:b/>
          <w:sz w:val="24"/>
          <w:szCs w:val="24"/>
        </w:rPr>
      </w:pPr>
    </w:p>
    <w:p w14:paraId="082F30D6" w14:textId="3BAF9230" w:rsidR="00622EA3" w:rsidRPr="004C7F1D" w:rsidRDefault="00622EA3" w:rsidP="004C7F1D">
      <w:pPr>
        <w:spacing w:line="276" w:lineRule="auto"/>
        <w:ind w:firstLine="2835"/>
        <w:jc w:val="both"/>
        <w:rPr>
          <w:rFonts w:ascii="Gadugi" w:hAnsi="Gadugi" w:cs="Arial"/>
          <w:b/>
          <w:sz w:val="24"/>
          <w:szCs w:val="24"/>
        </w:rPr>
      </w:pPr>
      <w:r w:rsidRPr="004C7F1D">
        <w:rPr>
          <w:rFonts w:ascii="Gadugi" w:hAnsi="Gadugi" w:cs="Arial"/>
          <w:b/>
          <w:sz w:val="24"/>
          <w:szCs w:val="24"/>
        </w:rPr>
        <w:t>JAIME ALBERTO SARAZA NARANJO</w:t>
      </w:r>
    </w:p>
    <w:p w14:paraId="598800D2" w14:textId="1E577ACC" w:rsidR="00383D97" w:rsidRDefault="00383D97" w:rsidP="004C7F1D">
      <w:pPr>
        <w:spacing w:line="276" w:lineRule="auto"/>
        <w:jc w:val="both"/>
        <w:rPr>
          <w:rFonts w:ascii="Gadugi" w:hAnsi="Gadugi" w:cs="Arial"/>
          <w:b/>
          <w:sz w:val="24"/>
          <w:szCs w:val="24"/>
        </w:rPr>
      </w:pPr>
    </w:p>
    <w:p w14:paraId="1D0E9B69" w14:textId="77777777" w:rsidR="004C7F1D" w:rsidRPr="004C7F1D" w:rsidRDefault="004C7F1D" w:rsidP="004C7F1D">
      <w:pPr>
        <w:spacing w:line="276" w:lineRule="auto"/>
        <w:jc w:val="both"/>
        <w:rPr>
          <w:rFonts w:ascii="Gadugi" w:hAnsi="Gadugi" w:cs="Arial"/>
          <w:b/>
          <w:sz w:val="24"/>
          <w:szCs w:val="24"/>
        </w:rPr>
      </w:pPr>
    </w:p>
    <w:p w14:paraId="4344C078" w14:textId="77777777" w:rsidR="00383D97" w:rsidRPr="004C7F1D" w:rsidRDefault="00112FA5" w:rsidP="004C7F1D">
      <w:pPr>
        <w:spacing w:line="276" w:lineRule="auto"/>
        <w:jc w:val="both"/>
        <w:rPr>
          <w:rFonts w:ascii="Gadugi" w:hAnsi="Gadugi" w:cs="Arial"/>
          <w:b/>
          <w:bCs/>
          <w:sz w:val="24"/>
          <w:szCs w:val="24"/>
        </w:rPr>
      </w:pPr>
      <w:r w:rsidRPr="004C7F1D">
        <w:rPr>
          <w:rFonts w:ascii="Gadugi" w:hAnsi="Gadugi" w:cs="Arial"/>
          <w:b/>
          <w:sz w:val="24"/>
          <w:szCs w:val="24"/>
        </w:rPr>
        <w:tab/>
      </w:r>
      <w:r w:rsidRPr="004C7F1D">
        <w:rPr>
          <w:rFonts w:ascii="Gadugi" w:hAnsi="Gadugi" w:cs="Arial"/>
          <w:b/>
          <w:sz w:val="24"/>
          <w:szCs w:val="24"/>
        </w:rPr>
        <w:tab/>
      </w:r>
      <w:r w:rsidRPr="004C7F1D">
        <w:rPr>
          <w:rFonts w:ascii="Gadugi" w:hAnsi="Gadugi" w:cs="Arial"/>
          <w:b/>
          <w:sz w:val="24"/>
          <w:szCs w:val="24"/>
        </w:rPr>
        <w:tab/>
      </w:r>
      <w:r w:rsidRPr="004C7F1D">
        <w:rPr>
          <w:rFonts w:ascii="Gadugi" w:hAnsi="Gadugi" w:cs="Arial"/>
          <w:b/>
          <w:sz w:val="24"/>
          <w:szCs w:val="24"/>
        </w:rPr>
        <w:tab/>
      </w:r>
      <w:r w:rsidR="00622EA3" w:rsidRPr="004C7F1D">
        <w:rPr>
          <w:rFonts w:ascii="Gadugi" w:hAnsi="Gadugi" w:cs="Arial"/>
          <w:b/>
          <w:bCs/>
          <w:sz w:val="24"/>
          <w:szCs w:val="24"/>
        </w:rPr>
        <w:t xml:space="preserve">CARLOS MAURICIO GARCÍA BARAJAS  </w:t>
      </w:r>
    </w:p>
    <w:p w14:paraId="0C673954" w14:textId="11C67010" w:rsidR="00AE58D7" w:rsidRDefault="00AE58D7" w:rsidP="004C7F1D">
      <w:pPr>
        <w:spacing w:line="276" w:lineRule="auto"/>
        <w:jc w:val="both"/>
        <w:rPr>
          <w:rFonts w:ascii="Gadugi" w:hAnsi="Gadugi" w:cs="Arial"/>
          <w:b/>
          <w:bCs/>
          <w:sz w:val="24"/>
          <w:szCs w:val="24"/>
        </w:rPr>
      </w:pPr>
    </w:p>
    <w:p w14:paraId="04C5DDD3" w14:textId="77777777" w:rsidR="004C7F1D" w:rsidRPr="004C7F1D" w:rsidRDefault="004C7F1D" w:rsidP="004C7F1D">
      <w:pPr>
        <w:spacing w:line="276" w:lineRule="auto"/>
        <w:jc w:val="both"/>
        <w:rPr>
          <w:rFonts w:ascii="Gadugi" w:hAnsi="Gadugi" w:cs="Arial"/>
          <w:b/>
          <w:bCs/>
          <w:sz w:val="24"/>
          <w:szCs w:val="24"/>
        </w:rPr>
      </w:pPr>
    </w:p>
    <w:p w14:paraId="1CECDC2D" w14:textId="200942E1" w:rsidR="00AE58D7" w:rsidRPr="004C7F1D" w:rsidRDefault="00622EA3" w:rsidP="004C7F1D">
      <w:pPr>
        <w:spacing w:line="276" w:lineRule="auto"/>
        <w:ind w:left="2124" w:firstLine="708"/>
        <w:jc w:val="both"/>
        <w:rPr>
          <w:rFonts w:ascii="Gadugi" w:hAnsi="Gadugi"/>
          <w:sz w:val="24"/>
          <w:szCs w:val="24"/>
        </w:rPr>
      </w:pPr>
      <w:r w:rsidRPr="004C7F1D">
        <w:rPr>
          <w:rFonts w:ascii="Gadugi" w:hAnsi="Gadugi" w:cs="Arial"/>
          <w:b/>
          <w:bCs/>
          <w:sz w:val="24"/>
          <w:szCs w:val="24"/>
        </w:rPr>
        <w:t>DUBERNEY GRISALES HERRERA</w:t>
      </w:r>
    </w:p>
    <w:sectPr w:rsidR="00AE58D7" w:rsidRPr="004C7F1D" w:rsidSect="00F2368B">
      <w:headerReference w:type="default" r:id="rId11"/>
      <w:footerReference w:type="default" r:id="rId12"/>
      <w:pgSz w:w="12242" w:h="18722" w:code="258"/>
      <w:pgMar w:top="1814" w:right="1247" w:bottom="1247" w:left="1814"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D6FE75" w16cex:dateUtc="2022-07-05T19:16:28.393Z"/>
  <w16cex:commentExtensible w16cex:durableId="646743F8" w16cex:dateUtc="2022-07-06T19:20:57.926Z"/>
  <w16cex:commentExtensible w16cex:durableId="5677B175" w16cex:dateUtc="2022-07-27T12:51:00.704Z"/>
  <w16cex:commentExtensible w16cex:durableId="75E2E7FE" w16cex:dateUtc="2022-07-27T16:16:36.83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1D5E0" w14:textId="77777777" w:rsidR="0044114A" w:rsidRDefault="0044114A" w:rsidP="00CD73E5">
      <w:r>
        <w:separator/>
      </w:r>
    </w:p>
  </w:endnote>
  <w:endnote w:type="continuationSeparator" w:id="0">
    <w:p w14:paraId="3C2DC51D" w14:textId="77777777" w:rsidR="0044114A" w:rsidRDefault="0044114A"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430AC88B" w:rsidR="00436A51" w:rsidRPr="004C7F1D" w:rsidRDefault="00436A51">
    <w:pPr>
      <w:pStyle w:val="Piedepgina"/>
      <w:framePr w:wrap="auto" w:vAnchor="text" w:hAnchor="margin" w:xAlign="right" w:y="1"/>
      <w:rPr>
        <w:rStyle w:val="Nmerodepgina"/>
        <w:rFonts w:ascii="Agency FB" w:hAnsi="Agency FB"/>
      </w:rPr>
    </w:pPr>
    <w:r w:rsidRPr="004C7F1D">
      <w:rPr>
        <w:rStyle w:val="Nmerodepgina"/>
        <w:rFonts w:ascii="Agency FB" w:hAnsi="Agency FB"/>
      </w:rPr>
      <w:fldChar w:fldCharType="begin"/>
    </w:r>
    <w:r w:rsidRPr="004C7F1D">
      <w:rPr>
        <w:rStyle w:val="Nmerodepgina"/>
        <w:rFonts w:ascii="Agency FB" w:hAnsi="Agency FB"/>
      </w:rPr>
      <w:instrText xml:space="preserve">PAGE  </w:instrText>
    </w:r>
    <w:r w:rsidRPr="004C7F1D">
      <w:rPr>
        <w:rStyle w:val="Nmerodepgina"/>
        <w:rFonts w:ascii="Agency FB" w:hAnsi="Agency FB"/>
      </w:rPr>
      <w:fldChar w:fldCharType="separate"/>
    </w:r>
    <w:r w:rsidR="009A2050" w:rsidRPr="004C7F1D">
      <w:rPr>
        <w:rStyle w:val="Nmerodepgina"/>
        <w:rFonts w:ascii="Agency FB" w:hAnsi="Agency FB"/>
        <w:noProof/>
      </w:rPr>
      <w:t>9</w:t>
    </w:r>
    <w:r w:rsidRPr="004C7F1D">
      <w:rPr>
        <w:rStyle w:val="Nmerodepgina"/>
        <w:rFonts w:ascii="Agency FB" w:hAnsi="Agency FB"/>
      </w:rPr>
      <w:fldChar w:fldCharType="end"/>
    </w:r>
  </w:p>
  <w:p w14:paraId="51C0B288" w14:textId="77777777" w:rsidR="00436A51" w:rsidRDefault="00436A5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7BDB5" w14:textId="77777777" w:rsidR="0044114A" w:rsidRDefault="0044114A" w:rsidP="00CD73E5">
      <w:r>
        <w:separator/>
      </w:r>
    </w:p>
  </w:footnote>
  <w:footnote w:type="continuationSeparator" w:id="0">
    <w:p w14:paraId="432CD339" w14:textId="77777777" w:rsidR="0044114A" w:rsidRDefault="0044114A" w:rsidP="00CD73E5">
      <w:r>
        <w:continuationSeparator/>
      </w:r>
    </w:p>
  </w:footnote>
  <w:footnote w:id="1">
    <w:p w14:paraId="5BD792ED" w14:textId="58DE34CA" w:rsidR="00383D97" w:rsidRPr="004C7F1D" w:rsidRDefault="00383D97"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Documento 04. Carpeta 02.</w:t>
      </w:r>
    </w:p>
  </w:footnote>
  <w:footnote w:id="2">
    <w:p w14:paraId="026A8E65" w14:textId="112DC549" w:rsidR="00383D97" w:rsidRPr="004C7F1D" w:rsidRDefault="00383D97"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Documento 07</w:t>
      </w:r>
      <w:r w:rsidR="001E0C63" w:rsidRPr="004C7F1D">
        <w:rPr>
          <w:rFonts w:ascii="Agency FB" w:hAnsi="Agency FB"/>
          <w:szCs w:val="24"/>
        </w:rPr>
        <w:t>.</w:t>
      </w:r>
    </w:p>
  </w:footnote>
  <w:footnote w:id="3">
    <w:p w14:paraId="6020785D" w14:textId="1A05D03E" w:rsidR="001E0C63" w:rsidRPr="004C7F1D" w:rsidRDefault="001E0C63"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Documento 14.</w:t>
      </w:r>
    </w:p>
  </w:footnote>
  <w:footnote w:id="4">
    <w:p w14:paraId="237EB264" w14:textId="5BFF64A3" w:rsidR="001E0C63" w:rsidRPr="004C7F1D" w:rsidRDefault="001E0C63"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Documento 19.</w:t>
      </w:r>
    </w:p>
  </w:footnote>
  <w:footnote w:id="5">
    <w:p w14:paraId="6657846B" w14:textId="6456F506" w:rsidR="001E0C63" w:rsidRPr="004C7F1D" w:rsidRDefault="001E0C63"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Documento 18.</w:t>
      </w:r>
    </w:p>
  </w:footnote>
  <w:footnote w:id="6">
    <w:p w14:paraId="1B714211" w14:textId="6B5DF73F" w:rsidR="001E0C63" w:rsidRPr="004C7F1D" w:rsidRDefault="001E0C63"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Documento </w:t>
      </w:r>
      <w:proofErr w:type="gramStart"/>
      <w:r w:rsidRPr="004C7F1D">
        <w:rPr>
          <w:rFonts w:ascii="Agency FB" w:hAnsi="Agency FB"/>
          <w:szCs w:val="24"/>
        </w:rPr>
        <w:t>22.</w:t>
      </w:r>
      <w:r w:rsidR="004C7F1D">
        <w:rPr>
          <w:rFonts w:ascii="Agency FB" w:hAnsi="Agency FB"/>
          <w:szCs w:val="24"/>
        </w:rPr>
        <w:t>|</w:t>
      </w:r>
      <w:proofErr w:type="gramEnd"/>
    </w:p>
  </w:footnote>
  <w:footnote w:id="7">
    <w:p w14:paraId="2CBFB178" w14:textId="77777777" w:rsidR="00E41327" w:rsidRPr="004C7F1D" w:rsidRDefault="00E41327" w:rsidP="004C7F1D">
      <w:pPr>
        <w:pStyle w:val="Textonotapie"/>
        <w:tabs>
          <w:tab w:val="left" w:pos="426"/>
        </w:tabs>
        <w:jc w:val="both"/>
        <w:rPr>
          <w:rFonts w:ascii="Agency FB" w:hAnsi="Agency FB" w:cstheme="majorHAnsi"/>
          <w:szCs w:val="24"/>
          <w:lang w:val="es-CO"/>
        </w:rPr>
      </w:pPr>
      <w:r w:rsidRPr="004C7F1D">
        <w:rPr>
          <w:rStyle w:val="Refdenotaalpie"/>
          <w:rFonts w:ascii="Agency FB" w:hAnsi="Agency FB" w:cstheme="majorHAnsi"/>
          <w:szCs w:val="24"/>
        </w:rPr>
        <w:footnoteRef/>
      </w:r>
      <w:r w:rsidRPr="004C7F1D">
        <w:rPr>
          <w:rFonts w:ascii="Agency FB" w:hAnsi="Agency FB" w:cstheme="majorHAnsi"/>
          <w:szCs w:val="24"/>
          <w:vertAlign w:val="superscript"/>
        </w:rPr>
        <w:t xml:space="preserve"> </w:t>
      </w:r>
      <w:r w:rsidRPr="004C7F1D">
        <w:rPr>
          <w:rFonts w:ascii="Agency FB" w:hAnsi="Agency FB" w:cstheme="majorHAnsi"/>
          <w:szCs w:val="24"/>
        </w:rPr>
        <w:t>Sentencia C-543-92</w:t>
      </w:r>
    </w:p>
  </w:footnote>
  <w:footnote w:id="8">
    <w:p w14:paraId="02FB923E" w14:textId="77777777" w:rsidR="000370A8" w:rsidRPr="004C7F1D" w:rsidRDefault="000370A8"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Sentencia SU184-19. </w:t>
      </w:r>
    </w:p>
  </w:footnote>
  <w:footnote w:id="9">
    <w:p w14:paraId="08260707" w14:textId="77777777" w:rsidR="000370A8" w:rsidRPr="004C7F1D" w:rsidRDefault="000370A8"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La Sala Plena de la Corte Constitucional no verificará los demás requisitos en este acápite, por cuanto i) no se trata de una irregularidad procesal; ii) no se trata de una acción de tutela contra una sentencia de tutela; y iii) como se verificó en los antecedentes, la parte actora identificó de manera clara y razonable los derechos vulnerados.</w:t>
      </w:r>
    </w:p>
  </w:footnote>
  <w:footnote w:id="10">
    <w:p w14:paraId="35E85B5B" w14:textId="77777777" w:rsidR="000370A8" w:rsidRPr="004C7F1D" w:rsidRDefault="000370A8"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Cfr. Corte Constitucional. Sentencias T-578 de 2006, T-879 de 2012 y T-189 de 2009. En esta última sentencia, la Corte Constitucional consideró que, específicamente en lo que tiene que ver con la inmediatez como requisito general de procedencia, cabe insistir que se trata de una exigencia de acuerdo con la cual la acción debe ser instaurada oportunamente, en un término razonable y proporcionado a partir del hecho que originó la vulneración. La vocación de tutela es la de servir como instrumento para reclamar ante los jueces la protección inmediata de los derechos fundamentales vulnerados o amenazados por la actuación u omisión de una autoridad pública. Para que ello sea viable, es imperativo que las personas hagan uso de la acción con la misma presteza con la que la jurisdicción constitucional debe atenderla.</w:t>
      </w:r>
      <w:r w:rsidRPr="004C7F1D">
        <w:rPr>
          <w:rFonts w:ascii="Agency FB" w:hAnsi="Agency FB"/>
          <w:b/>
          <w:szCs w:val="24"/>
        </w:rPr>
        <w:t xml:space="preserve"> Tratándose de acción de tutela contra providencias judiciales, la Corte ha establecido que el análisis sobre la inmediatez debe ser más estricto, dado que se trata de cuestionar en fallo que ya ha puesto fin a un conflicto, presumiblemente de acuerdo con la Constitución y la ley. </w:t>
      </w:r>
      <w:r w:rsidRPr="004C7F1D">
        <w:rPr>
          <w:rFonts w:ascii="Agency FB" w:hAnsi="Agency FB"/>
          <w:szCs w:val="24"/>
        </w:rPr>
        <w:t xml:space="preserve">(Negrillas en texto original). </w:t>
      </w:r>
    </w:p>
  </w:footnote>
  <w:footnote w:id="11">
    <w:p w14:paraId="2E058B4A" w14:textId="77777777" w:rsidR="000370A8" w:rsidRPr="004C7F1D" w:rsidRDefault="000370A8"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Corte Constitucional. Sentencia T-879 de 2012.</w:t>
      </w:r>
    </w:p>
  </w:footnote>
  <w:footnote w:id="12">
    <w:p w14:paraId="25BD6D40" w14:textId="77777777" w:rsidR="000370A8" w:rsidRPr="004C7F1D" w:rsidRDefault="000370A8"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Ibid.</w:t>
      </w:r>
    </w:p>
  </w:footnote>
  <w:footnote w:id="13">
    <w:p w14:paraId="6F150225" w14:textId="77777777" w:rsidR="000370A8" w:rsidRPr="004C7F1D" w:rsidRDefault="000370A8"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Corte Constitucional. Sentencia T-581 de 2012.</w:t>
      </w:r>
    </w:p>
  </w:footnote>
  <w:footnote w:id="14">
    <w:p w14:paraId="140033BD" w14:textId="77777777" w:rsidR="000370A8" w:rsidRPr="004C7F1D" w:rsidRDefault="000370A8"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w:t>
      </w:r>
      <w:proofErr w:type="spellStart"/>
      <w:r w:rsidRPr="004C7F1D">
        <w:rPr>
          <w:rFonts w:ascii="Agency FB" w:hAnsi="Agency FB"/>
          <w:szCs w:val="24"/>
        </w:rPr>
        <w:t>Ibíd</w:t>
      </w:r>
      <w:proofErr w:type="spellEnd"/>
      <w:r w:rsidRPr="004C7F1D">
        <w:rPr>
          <w:rFonts w:ascii="Agency FB" w:hAnsi="Agency FB"/>
          <w:szCs w:val="24"/>
        </w:rPr>
        <w:t>. Asimismo Cfr. T-491 de 2009 y T-189 de 2009.</w:t>
      </w:r>
    </w:p>
  </w:footnote>
  <w:footnote w:id="15">
    <w:p w14:paraId="66CD9B85" w14:textId="77777777" w:rsidR="000370A8" w:rsidRPr="004C7F1D" w:rsidRDefault="000370A8"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Sentencia STC557 del 26 de enero de 2022. </w:t>
      </w:r>
    </w:p>
  </w:footnote>
  <w:footnote w:id="16">
    <w:p w14:paraId="78D4308E" w14:textId="77777777" w:rsidR="000370A8" w:rsidRPr="004C7F1D" w:rsidRDefault="000370A8"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Sentencia STC175 del 19 de enero de 2022. </w:t>
      </w:r>
    </w:p>
  </w:footnote>
  <w:footnote w:id="17">
    <w:p w14:paraId="2BB3BA53" w14:textId="77777777" w:rsidR="000370A8" w:rsidRPr="004C7F1D" w:rsidRDefault="000370A8"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Sentencia SU184-19. </w:t>
      </w:r>
    </w:p>
  </w:footnote>
  <w:footnote w:id="18">
    <w:p w14:paraId="08C0288E" w14:textId="3ECC076A" w:rsidR="001E0C63" w:rsidRPr="004C7F1D" w:rsidRDefault="001E0C63"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w:t>
      </w:r>
      <w:r w:rsidRPr="004C7F1D">
        <w:rPr>
          <w:rFonts w:ascii="Agency FB" w:hAnsi="Agency FB"/>
          <w:szCs w:val="24"/>
          <w:lang w:val="es-CO"/>
        </w:rPr>
        <w:t>Pág. 11, C. Ppal., Expediente pertenencia.</w:t>
      </w:r>
    </w:p>
  </w:footnote>
  <w:footnote w:id="19">
    <w:p w14:paraId="0175F800" w14:textId="2D13A94E" w:rsidR="001E0C63" w:rsidRPr="004C7F1D" w:rsidRDefault="001E0C63" w:rsidP="004C7F1D">
      <w:pPr>
        <w:pStyle w:val="Textonotapie"/>
        <w:jc w:val="both"/>
        <w:rPr>
          <w:rFonts w:ascii="Agency FB" w:hAnsi="Agency FB"/>
          <w:szCs w:val="24"/>
          <w:lang w:val="es-CO"/>
        </w:rPr>
      </w:pPr>
      <w:r w:rsidRPr="004C7F1D">
        <w:rPr>
          <w:rStyle w:val="Refdenotaalpie"/>
          <w:rFonts w:ascii="Agency FB" w:hAnsi="Agency FB"/>
          <w:szCs w:val="24"/>
        </w:rPr>
        <w:footnoteRef/>
      </w:r>
      <w:r w:rsidRPr="004C7F1D">
        <w:rPr>
          <w:rFonts w:ascii="Agency FB" w:hAnsi="Agency FB"/>
          <w:szCs w:val="24"/>
        </w:rPr>
        <w:t xml:space="preserve"> </w:t>
      </w:r>
      <w:r w:rsidRPr="004C7F1D">
        <w:rPr>
          <w:rFonts w:ascii="Agency FB" w:hAnsi="Agency FB"/>
          <w:szCs w:val="24"/>
          <w:lang w:val="es-CO"/>
        </w:rPr>
        <w:t>Pág. 2, C. Pruebas parte demandante, Expediente pertenencia.</w:t>
      </w:r>
    </w:p>
  </w:footnote>
  <w:footnote w:id="20">
    <w:p w14:paraId="1697640F" w14:textId="01CC5340" w:rsidR="001E0C63" w:rsidRPr="007C2EEA" w:rsidRDefault="001E0C63" w:rsidP="004C7F1D">
      <w:pPr>
        <w:pStyle w:val="Textonotapie"/>
        <w:jc w:val="both"/>
        <w:rPr>
          <w:rFonts w:ascii="Bahnschrift Light Condensed" w:hAnsi="Bahnschrift Light Condensed"/>
          <w:sz w:val="24"/>
          <w:szCs w:val="24"/>
          <w:lang w:val="es-CO"/>
        </w:rPr>
      </w:pPr>
      <w:r w:rsidRPr="004C7F1D">
        <w:rPr>
          <w:rStyle w:val="Refdenotaalpie"/>
          <w:rFonts w:ascii="Agency FB" w:hAnsi="Agency FB"/>
          <w:szCs w:val="24"/>
        </w:rPr>
        <w:footnoteRef/>
      </w:r>
      <w:r w:rsidRPr="004C7F1D">
        <w:rPr>
          <w:rFonts w:ascii="Agency FB" w:hAnsi="Agency FB"/>
          <w:szCs w:val="24"/>
        </w:rPr>
        <w:t xml:space="preserve"> </w:t>
      </w:r>
      <w:r w:rsidRPr="004C7F1D">
        <w:rPr>
          <w:rStyle w:val="Refdenotaalpie"/>
          <w:rFonts w:ascii="Agency FB" w:hAnsi="Agency FB"/>
          <w:szCs w:val="24"/>
        </w:rPr>
        <w:footnoteRef/>
      </w:r>
      <w:r w:rsidRPr="004C7F1D">
        <w:rPr>
          <w:rFonts w:ascii="Agency FB" w:hAnsi="Agency FB"/>
          <w:szCs w:val="24"/>
        </w:rPr>
        <w:t xml:space="preserve"> </w:t>
      </w:r>
      <w:r w:rsidRPr="004C7F1D">
        <w:rPr>
          <w:rFonts w:ascii="Agency FB" w:hAnsi="Agency FB"/>
          <w:szCs w:val="24"/>
          <w:lang w:val="es-CO"/>
        </w:rPr>
        <w:t>Pág. 97, C. Ppal., Expediente pertenencia.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3EFA"/>
    <w:multiLevelType w:val="hybridMultilevel"/>
    <w:tmpl w:val="68C6E986"/>
    <w:lvl w:ilvl="0" w:tplc="57B8B74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F4E5449"/>
    <w:multiLevelType w:val="hybridMultilevel"/>
    <w:tmpl w:val="0D26EC62"/>
    <w:lvl w:ilvl="0" w:tplc="EF123ABA">
      <w:start w:val="1"/>
      <w:numFmt w:val="decimal"/>
      <w:lvlText w:val="%1."/>
      <w:lvlJc w:val="left"/>
      <w:pPr>
        <w:ind w:left="2062" w:hanging="360"/>
      </w:pPr>
      <w:rPr>
        <w:rFonts w:cs="Times New Roman" w:hint="default"/>
        <w:b w:val="0"/>
        <w:i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12FD"/>
    <w:rsid w:val="000108E4"/>
    <w:rsid w:val="000318C7"/>
    <w:rsid w:val="00035B40"/>
    <w:rsid w:val="000370A8"/>
    <w:rsid w:val="000412C9"/>
    <w:rsid w:val="00041D47"/>
    <w:rsid w:val="00042088"/>
    <w:rsid w:val="00042BFD"/>
    <w:rsid w:val="000568A3"/>
    <w:rsid w:val="00061C0E"/>
    <w:rsid w:val="00061E67"/>
    <w:rsid w:val="00064E9E"/>
    <w:rsid w:val="00066D3E"/>
    <w:rsid w:val="00067800"/>
    <w:rsid w:val="00071B57"/>
    <w:rsid w:val="00086974"/>
    <w:rsid w:val="00091497"/>
    <w:rsid w:val="00094044"/>
    <w:rsid w:val="00095C04"/>
    <w:rsid w:val="000A02B8"/>
    <w:rsid w:val="000A46E9"/>
    <w:rsid w:val="000A6C3A"/>
    <w:rsid w:val="000C0169"/>
    <w:rsid w:val="000C1EAF"/>
    <w:rsid w:val="000C4850"/>
    <w:rsid w:val="000C499E"/>
    <w:rsid w:val="000D07BF"/>
    <w:rsid w:val="000D165B"/>
    <w:rsid w:val="000D1EAA"/>
    <w:rsid w:val="000D2B6D"/>
    <w:rsid w:val="000D72C6"/>
    <w:rsid w:val="000E177B"/>
    <w:rsid w:val="000E4189"/>
    <w:rsid w:val="000E4D42"/>
    <w:rsid w:val="000E4F08"/>
    <w:rsid w:val="000F189F"/>
    <w:rsid w:val="000F4F93"/>
    <w:rsid w:val="00104F3A"/>
    <w:rsid w:val="0010676D"/>
    <w:rsid w:val="00112AC6"/>
    <w:rsid w:val="00112EAC"/>
    <w:rsid w:val="00112FA5"/>
    <w:rsid w:val="001173D2"/>
    <w:rsid w:val="001200C9"/>
    <w:rsid w:val="001215F1"/>
    <w:rsid w:val="001217B9"/>
    <w:rsid w:val="00123442"/>
    <w:rsid w:val="001242AD"/>
    <w:rsid w:val="001247B9"/>
    <w:rsid w:val="00125B46"/>
    <w:rsid w:val="001312D4"/>
    <w:rsid w:val="00132C6C"/>
    <w:rsid w:val="0013369B"/>
    <w:rsid w:val="001355B9"/>
    <w:rsid w:val="0013748A"/>
    <w:rsid w:val="00144607"/>
    <w:rsid w:val="00147C8E"/>
    <w:rsid w:val="00153968"/>
    <w:rsid w:val="001644BC"/>
    <w:rsid w:val="00167C1B"/>
    <w:rsid w:val="0017328F"/>
    <w:rsid w:val="00186126"/>
    <w:rsid w:val="00186DDF"/>
    <w:rsid w:val="001870A4"/>
    <w:rsid w:val="0019117A"/>
    <w:rsid w:val="001918C3"/>
    <w:rsid w:val="001920FD"/>
    <w:rsid w:val="001924A5"/>
    <w:rsid w:val="00193310"/>
    <w:rsid w:val="00197B6A"/>
    <w:rsid w:val="001A134E"/>
    <w:rsid w:val="001A2D41"/>
    <w:rsid w:val="001A46A3"/>
    <w:rsid w:val="001A6C2E"/>
    <w:rsid w:val="001A6E73"/>
    <w:rsid w:val="001B45CD"/>
    <w:rsid w:val="001C1144"/>
    <w:rsid w:val="001C1543"/>
    <w:rsid w:val="001C21AB"/>
    <w:rsid w:val="001C3E5A"/>
    <w:rsid w:val="001C401E"/>
    <w:rsid w:val="001C4FAC"/>
    <w:rsid w:val="001C62C3"/>
    <w:rsid w:val="001D7EF0"/>
    <w:rsid w:val="001E0739"/>
    <w:rsid w:val="001E0C63"/>
    <w:rsid w:val="001E4638"/>
    <w:rsid w:val="001F1686"/>
    <w:rsid w:val="001F6C80"/>
    <w:rsid w:val="001F7AF8"/>
    <w:rsid w:val="0020061A"/>
    <w:rsid w:val="00201343"/>
    <w:rsid w:val="002030E2"/>
    <w:rsid w:val="0020386E"/>
    <w:rsid w:val="00215882"/>
    <w:rsid w:val="0022315A"/>
    <w:rsid w:val="00224ED5"/>
    <w:rsid w:val="00224F77"/>
    <w:rsid w:val="00227E21"/>
    <w:rsid w:val="002322EB"/>
    <w:rsid w:val="0023262F"/>
    <w:rsid w:val="00232F65"/>
    <w:rsid w:val="00233DDD"/>
    <w:rsid w:val="00235AF5"/>
    <w:rsid w:val="002402C7"/>
    <w:rsid w:val="00240A24"/>
    <w:rsid w:val="0024308E"/>
    <w:rsid w:val="002452B5"/>
    <w:rsid w:val="00245B9F"/>
    <w:rsid w:val="00253C0F"/>
    <w:rsid w:val="00254040"/>
    <w:rsid w:val="00254315"/>
    <w:rsid w:val="00254CA3"/>
    <w:rsid w:val="00254ECB"/>
    <w:rsid w:val="0025613D"/>
    <w:rsid w:val="00260FD5"/>
    <w:rsid w:val="00271EB2"/>
    <w:rsid w:val="002722F9"/>
    <w:rsid w:val="00285265"/>
    <w:rsid w:val="00287908"/>
    <w:rsid w:val="002916DB"/>
    <w:rsid w:val="002A13BB"/>
    <w:rsid w:val="002A2B38"/>
    <w:rsid w:val="002A79BC"/>
    <w:rsid w:val="002B2D36"/>
    <w:rsid w:val="002B3DEE"/>
    <w:rsid w:val="002C1510"/>
    <w:rsid w:val="002C168E"/>
    <w:rsid w:val="002C2AD5"/>
    <w:rsid w:val="002C2D8D"/>
    <w:rsid w:val="002C4C8A"/>
    <w:rsid w:val="002C6530"/>
    <w:rsid w:val="002D1942"/>
    <w:rsid w:val="002D2A03"/>
    <w:rsid w:val="002D2DB6"/>
    <w:rsid w:val="002E0B7F"/>
    <w:rsid w:val="002E0E95"/>
    <w:rsid w:val="002E3C96"/>
    <w:rsid w:val="002E7F3E"/>
    <w:rsid w:val="002F4460"/>
    <w:rsid w:val="00300E4C"/>
    <w:rsid w:val="0030149B"/>
    <w:rsid w:val="0030320A"/>
    <w:rsid w:val="003049BB"/>
    <w:rsid w:val="00304D7B"/>
    <w:rsid w:val="00306C9C"/>
    <w:rsid w:val="0031224F"/>
    <w:rsid w:val="003127B8"/>
    <w:rsid w:val="00312B3F"/>
    <w:rsid w:val="00312F65"/>
    <w:rsid w:val="00322A90"/>
    <w:rsid w:val="00323452"/>
    <w:rsid w:val="003270D2"/>
    <w:rsid w:val="00332ABC"/>
    <w:rsid w:val="00334BA2"/>
    <w:rsid w:val="0034685F"/>
    <w:rsid w:val="00352AEF"/>
    <w:rsid w:val="003538FF"/>
    <w:rsid w:val="0036170A"/>
    <w:rsid w:val="003664F0"/>
    <w:rsid w:val="00367871"/>
    <w:rsid w:val="0037206B"/>
    <w:rsid w:val="00372B17"/>
    <w:rsid w:val="003774F9"/>
    <w:rsid w:val="00383D97"/>
    <w:rsid w:val="00384216"/>
    <w:rsid w:val="00387AE2"/>
    <w:rsid w:val="00392809"/>
    <w:rsid w:val="003954E8"/>
    <w:rsid w:val="003969EA"/>
    <w:rsid w:val="00396FAF"/>
    <w:rsid w:val="003A22C9"/>
    <w:rsid w:val="003A2345"/>
    <w:rsid w:val="003A3389"/>
    <w:rsid w:val="003A347D"/>
    <w:rsid w:val="003A4E57"/>
    <w:rsid w:val="003A75E1"/>
    <w:rsid w:val="003B06D3"/>
    <w:rsid w:val="003B3B92"/>
    <w:rsid w:val="003B57C8"/>
    <w:rsid w:val="003C175A"/>
    <w:rsid w:val="003C1950"/>
    <w:rsid w:val="003C228C"/>
    <w:rsid w:val="003C422B"/>
    <w:rsid w:val="003D0477"/>
    <w:rsid w:val="003D65C3"/>
    <w:rsid w:val="003D7886"/>
    <w:rsid w:val="003E5B22"/>
    <w:rsid w:val="003E5C4B"/>
    <w:rsid w:val="003E6227"/>
    <w:rsid w:val="003F0EBB"/>
    <w:rsid w:val="003F45D8"/>
    <w:rsid w:val="003F5574"/>
    <w:rsid w:val="003F5B8E"/>
    <w:rsid w:val="004041EC"/>
    <w:rsid w:val="00405635"/>
    <w:rsid w:val="0041037F"/>
    <w:rsid w:val="0041227C"/>
    <w:rsid w:val="00412DDB"/>
    <w:rsid w:val="00413AD2"/>
    <w:rsid w:val="00413F62"/>
    <w:rsid w:val="004159C6"/>
    <w:rsid w:val="00421D19"/>
    <w:rsid w:val="0042344C"/>
    <w:rsid w:val="00424BF8"/>
    <w:rsid w:val="00426B0C"/>
    <w:rsid w:val="004322F0"/>
    <w:rsid w:val="0043509E"/>
    <w:rsid w:val="00436A51"/>
    <w:rsid w:val="0044045C"/>
    <w:rsid w:val="0044114A"/>
    <w:rsid w:val="00444E53"/>
    <w:rsid w:val="00451F7F"/>
    <w:rsid w:val="004526DA"/>
    <w:rsid w:val="00460E1E"/>
    <w:rsid w:val="00464776"/>
    <w:rsid w:val="004659D1"/>
    <w:rsid w:val="0047092A"/>
    <w:rsid w:val="00475259"/>
    <w:rsid w:val="0047610A"/>
    <w:rsid w:val="004819D1"/>
    <w:rsid w:val="00491B5E"/>
    <w:rsid w:val="00491C8D"/>
    <w:rsid w:val="00496CF1"/>
    <w:rsid w:val="004A161D"/>
    <w:rsid w:val="004A1CCE"/>
    <w:rsid w:val="004A2BF6"/>
    <w:rsid w:val="004A6B4E"/>
    <w:rsid w:val="004A6EA8"/>
    <w:rsid w:val="004B708A"/>
    <w:rsid w:val="004B75F7"/>
    <w:rsid w:val="004C7F1D"/>
    <w:rsid w:val="004D0DB1"/>
    <w:rsid w:val="004D5085"/>
    <w:rsid w:val="004E25CC"/>
    <w:rsid w:val="004E35A9"/>
    <w:rsid w:val="004E4BF5"/>
    <w:rsid w:val="004E6AE1"/>
    <w:rsid w:val="004E7E04"/>
    <w:rsid w:val="004F1F88"/>
    <w:rsid w:val="004F22BB"/>
    <w:rsid w:val="004F56B7"/>
    <w:rsid w:val="004F5EA5"/>
    <w:rsid w:val="004F7C5B"/>
    <w:rsid w:val="005020D8"/>
    <w:rsid w:val="00503E1B"/>
    <w:rsid w:val="00511613"/>
    <w:rsid w:val="00511D1E"/>
    <w:rsid w:val="00517A39"/>
    <w:rsid w:val="00526F23"/>
    <w:rsid w:val="005331DF"/>
    <w:rsid w:val="00540152"/>
    <w:rsid w:val="00543A5E"/>
    <w:rsid w:val="005507E9"/>
    <w:rsid w:val="00552BB7"/>
    <w:rsid w:val="005559ED"/>
    <w:rsid w:val="00560147"/>
    <w:rsid w:val="00562E9C"/>
    <w:rsid w:val="00564DDB"/>
    <w:rsid w:val="00570FFC"/>
    <w:rsid w:val="005729AD"/>
    <w:rsid w:val="005737F4"/>
    <w:rsid w:val="00574A34"/>
    <w:rsid w:val="005768F7"/>
    <w:rsid w:val="00576D0B"/>
    <w:rsid w:val="00584980"/>
    <w:rsid w:val="00585313"/>
    <w:rsid w:val="0059222F"/>
    <w:rsid w:val="005930DD"/>
    <w:rsid w:val="00596B55"/>
    <w:rsid w:val="005A044B"/>
    <w:rsid w:val="005A079A"/>
    <w:rsid w:val="005A1133"/>
    <w:rsid w:val="005A7048"/>
    <w:rsid w:val="005A793D"/>
    <w:rsid w:val="005B227F"/>
    <w:rsid w:val="005B4AFA"/>
    <w:rsid w:val="005B55D5"/>
    <w:rsid w:val="005B5C51"/>
    <w:rsid w:val="005C00B8"/>
    <w:rsid w:val="005C668F"/>
    <w:rsid w:val="005D2439"/>
    <w:rsid w:val="005D5FC7"/>
    <w:rsid w:val="005D6060"/>
    <w:rsid w:val="005E7EEC"/>
    <w:rsid w:val="005F02D6"/>
    <w:rsid w:val="005F271D"/>
    <w:rsid w:val="005F7531"/>
    <w:rsid w:val="00600D03"/>
    <w:rsid w:val="00601F73"/>
    <w:rsid w:val="00601FE4"/>
    <w:rsid w:val="006039FA"/>
    <w:rsid w:val="00603CCC"/>
    <w:rsid w:val="00606AF6"/>
    <w:rsid w:val="0060733E"/>
    <w:rsid w:val="00614042"/>
    <w:rsid w:val="006143D6"/>
    <w:rsid w:val="0061791A"/>
    <w:rsid w:val="006207BC"/>
    <w:rsid w:val="00622276"/>
    <w:rsid w:val="00622EA3"/>
    <w:rsid w:val="006258CE"/>
    <w:rsid w:val="006264E5"/>
    <w:rsid w:val="00627284"/>
    <w:rsid w:val="00632258"/>
    <w:rsid w:val="00634223"/>
    <w:rsid w:val="00635E0B"/>
    <w:rsid w:val="006417A9"/>
    <w:rsid w:val="006430BD"/>
    <w:rsid w:val="00645BC9"/>
    <w:rsid w:val="006503A5"/>
    <w:rsid w:val="0065475E"/>
    <w:rsid w:val="006577D7"/>
    <w:rsid w:val="0066132B"/>
    <w:rsid w:val="00667A1A"/>
    <w:rsid w:val="00671EB7"/>
    <w:rsid w:val="006733C8"/>
    <w:rsid w:val="0068071E"/>
    <w:rsid w:val="00682FC9"/>
    <w:rsid w:val="00685931"/>
    <w:rsid w:val="00690565"/>
    <w:rsid w:val="006A212D"/>
    <w:rsid w:val="006A73A1"/>
    <w:rsid w:val="006B16B9"/>
    <w:rsid w:val="006B3724"/>
    <w:rsid w:val="006B3A15"/>
    <w:rsid w:val="006B732F"/>
    <w:rsid w:val="006B737A"/>
    <w:rsid w:val="006C58CA"/>
    <w:rsid w:val="006D2FF0"/>
    <w:rsid w:val="006D7206"/>
    <w:rsid w:val="006E416D"/>
    <w:rsid w:val="006F2100"/>
    <w:rsid w:val="006F55EB"/>
    <w:rsid w:val="006F7900"/>
    <w:rsid w:val="00713293"/>
    <w:rsid w:val="00713CBA"/>
    <w:rsid w:val="00714EDA"/>
    <w:rsid w:val="00721029"/>
    <w:rsid w:val="007227F4"/>
    <w:rsid w:val="00724914"/>
    <w:rsid w:val="00726A23"/>
    <w:rsid w:val="0073025A"/>
    <w:rsid w:val="0073799D"/>
    <w:rsid w:val="00737EA8"/>
    <w:rsid w:val="007424A8"/>
    <w:rsid w:val="007462C9"/>
    <w:rsid w:val="0075284A"/>
    <w:rsid w:val="007556AD"/>
    <w:rsid w:val="0075606B"/>
    <w:rsid w:val="007618B9"/>
    <w:rsid w:val="00763241"/>
    <w:rsid w:val="0076766B"/>
    <w:rsid w:val="007679BD"/>
    <w:rsid w:val="00772119"/>
    <w:rsid w:val="00772AAC"/>
    <w:rsid w:val="00772C38"/>
    <w:rsid w:val="00776793"/>
    <w:rsid w:val="00780B0B"/>
    <w:rsid w:val="00781014"/>
    <w:rsid w:val="00781027"/>
    <w:rsid w:val="007857F8"/>
    <w:rsid w:val="00785A72"/>
    <w:rsid w:val="0079179A"/>
    <w:rsid w:val="007926E7"/>
    <w:rsid w:val="00792BCA"/>
    <w:rsid w:val="00795F6C"/>
    <w:rsid w:val="00797787"/>
    <w:rsid w:val="007A1BFF"/>
    <w:rsid w:val="007A4F97"/>
    <w:rsid w:val="007A6015"/>
    <w:rsid w:val="007A6CD6"/>
    <w:rsid w:val="007A7C07"/>
    <w:rsid w:val="007B1F52"/>
    <w:rsid w:val="007B2477"/>
    <w:rsid w:val="007B359F"/>
    <w:rsid w:val="007B42E9"/>
    <w:rsid w:val="007C2B9B"/>
    <w:rsid w:val="007C2EEA"/>
    <w:rsid w:val="007C3831"/>
    <w:rsid w:val="007C7130"/>
    <w:rsid w:val="007D0DB4"/>
    <w:rsid w:val="007E2115"/>
    <w:rsid w:val="007E5244"/>
    <w:rsid w:val="007E66A8"/>
    <w:rsid w:val="007F21BE"/>
    <w:rsid w:val="00801030"/>
    <w:rsid w:val="00802AF1"/>
    <w:rsid w:val="008133EF"/>
    <w:rsid w:val="00820493"/>
    <w:rsid w:val="0083127D"/>
    <w:rsid w:val="0083178D"/>
    <w:rsid w:val="00831DA5"/>
    <w:rsid w:val="00833381"/>
    <w:rsid w:val="008463A0"/>
    <w:rsid w:val="0084695B"/>
    <w:rsid w:val="00850350"/>
    <w:rsid w:val="00850B1A"/>
    <w:rsid w:val="0085355E"/>
    <w:rsid w:val="0086396E"/>
    <w:rsid w:val="00864C42"/>
    <w:rsid w:val="00865CC7"/>
    <w:rsid w:val="008718AA"/>
    <w:rsid w:val="008762E3"/>
    <w:rsid w:val="00882044"/>
    <w:rsid w:val="00883511"/>
    <w:rsid w:val="00885088"/>
    <w:rsid w:val="00886098"/>
    <w:rsid w:val="0088614D"/>
    <w:rsid w:val="008905AF"/>
    <w:rsid w:val="00890D97"/>
    <w:rsid w:val="0089318E"/>
    <w:rsid w:val="0089515D"/>
    <w:rsid w:val="0089683B"/>
    <w:rsid w:val="00896CBB"/>
    <w:rsid w:val="008A0096"/>
    <w:rsid w:val="008A3D69"/>
    <w:rsid w:val="008A700A"/>
    <w:rsid w:val="008B14E8"/>
    <w:rsid w:val="008B1C3E"/>
    <w:rsid w:val="008B237F"/>
    <w:rsid w:val="008B74D3"/>
    <w:rsid w:val="008C036D"/>
    <w:rsid w:val="008C0977"/>
    <w:rsid w:val="008C2D90"/>
    <w:rsid w:val="008C590D"/>
    <w:rsid w:val="008C7B94"/>
    <w:rsid w:val="008D25E4"/>
    <w:rsid w:val="008D38B4"/>
    <w:rsid w:val="008E1E32"/>
    <w:rsid w:val="008E3460"/>
    <w:rsid w:val="008E507B"/>
    <w:rsid w:val="008F1BED"/>
    <w:rsid w:val="008F1F32"/>
    <w:rsid w:val="008F3AA0"/>
    <w:rsid w:val="008F5A0D"/>
    <w:rsid w:val="008F60B4"/>
    <w:rsid w:val="009022F5"/>
    <w:rsid w:val="00904820"/>
    <w:rsid w:val="009170CD"/>
    <w:rsid w:val="00924001"/>
    <w:rsid w:val="0092590C"/>
    <w:rsid w:val="00925F27"/>
    <w:rsid w:val="00933709"/>
    <w:rsid w:val="009426D1"/>
    <w:rsid w:val="00943FF1"/>
    <w:rsid w:val="00946C8D"/>
    <w:rsid w:val="00965768"/>
    <w:rsid w:val="00966586"/>
    <w:rsid w:val="00970A5F"/>
    <w:rsid w:val="00972F33"/>
    <w:rsid w:val="00974547"/>
    <w:rsid w:val="00987327"/>
    <w:rsid w:val="009878F9"/>
    <w:rsid w:val="00994430"/>
    <w:rsid w:val="00994E40"/>
    <w:rsid w:val="009A2050"/>
    <w:rsid w:val="009A2618"/>
    <w:rsid w:val="009A30A9"/>
    <w:rsid w:val="009A60E5"/>
    <w:rsid w:val="009A633D"/>
    <w:rsid w:val="009B107E"/>
    <w:rsid w:val="009B2EF4"/>
    <w:rsid w:val="009B2FBD"/>
    <w:rsid w:val="009C3244"/>
    <w:rsid w:val="009C4207"/>
    <w:rsid w:val="009C5227"/>
    <w:rsid w:val="009C6854"/>
    <w:rsid w:val="009C6B54"/>
    <w:rsid w:val="009C6CF2"/>
    <w:rsid w:val="009D0F3B"/>
    <w:rsid w:val="009D40D4"/>
    <w:rsid w:val="009D4C7B"/>
    <w:rsid w:val="009D4F57"/>
    <w:rsid w:val="009D5349"/>
    <w:rsid w:val="009D67D9"/>
    <w:rsid w:val="009D6EA3"/>
    <w:rsid w:val="009E0FD8"/>
    <w:rsid w:val="009E4741"/>
    <w:rsid w:val="009E7C38"/>
    <w:rsid w:val="009F21F9"/>
    <w:rsid w:val="009F3E84"/>
    <w:rsid w:val="009F65B9"/>
    <w:rsid w:val="00A006BB"/>
    <w:rsid w:val="00A0360C"/>
    <w:rsid w:val="00A11B7B"/>
    <w:rsid w:val="00A11BAF"/>
    <w:rsid w:val="00A12F74"/>
    <w:rsid w:val="00A133A5"/>
    <w:rsid w:val="00A135D1"/>
    <w:rsid w:val="00A1540A"/>
    <w:rsid w:val="00A16252"/>
    <w:rsid w:val="00A21E21"/>
    <w:rsid w:val="00A22663"/>
    <w:rsid w:val="00A27193"/>
    <w:rsid w:val="00A322C1"/>
    <w:rsid w:val="00A34B2C"/>
    <w:rsid w:val="00A35114"/>
    <w:rsid w:val="00A37894"/>
    <w:rsid w:val="00A4037B"/>
    <w:rsid w:val="00A42D85"/>
    <w:rsid w:val="00A43E9F"/>
    <w:rsid w:val="00A54986"/>
    <w:rsid w:val="00A573BD"/>
    <w:rsid w:val="00A6223C"/>
    <w:rsid w:val="00A633EE"/>
    <w:rsid w:val="00A659BB"/>
    <w:rsid w:val="00A66628"/>
    <w:rsid w:val="00A745F1"/>
    <w:rsid w:val="00A74732"/>
    <w:rsid w:val="00A75F16"/>
    <w:rsid w:val="00A777DB"/>
    <w:rsid w:val="00A806FE"/>
    <w:rsid w:val="00A80E17"/>
    <w:rsid w:val="00A80E46"/>
    <w:rsid w:val="00A81FE7"/>
    <w:rsid w:val="00A8218F"/>
    <w:rsid w:val="00A94C77"/>
    <w:rsid w:val="00A97ED4"/>
    <w:rsid w:val="00AA1030"/>
    <w:rsid w:val="00AA7448"/>
    <w:rsid w:val="00AC3596"/>
    <w:rsid w:val="00AC524D"/>
    <w:rsid w:val="00AC5562"/>
    <w:rsid w:val="00AC613D"/>
    <w:rsid w:val="00AC7344"/>
    <w:rsid w:val="00AD08D8"/>
    <w:rsid w:val="00AD4788"/>
    <w:rsid w:val="00AD5A79"/>
    <w:rsid w:val="00AD6088"/>
    <w:rsid w:val="00AE2260"/>
    <w:rsid w:val="00AE26B6"/>
    <w:rsid w:val="00AE385E"/>
    <w:rsid w:val="00AE58D7"/>
    <w:rsid w:val="00AE6090"/>
    <w:rsid w:val="00AE7954"/>
    <w:rsid w:val="00AF3B8C"/>
    <w:rsid w:val="00AF434C"/>
    <w:rsid w:val="00AF4AD3"/>
    <w:rsid w:val="00AF578D"/>
    <w:rsid w:val="00AF5B39"/>
    <w:rsid w:val="00AF711D"/>
    <w:rsid w:val="00AF7819"/>
    <w:rsid w:val="00B02BE9"/>
    <w:rsid w:val="00B109D3"/>
    <w:rsid w:val="00B1186B"/>
    <w:rsid w:val="00B11C7F"/>
    <w:rsid w:val="00B12327"/>
    <w:rsid w:val="00B130D9"/>
    <w:rsid w:val="00B21388"/>
    <w:rsid w:val="00B226B8"/>
    <w:rsid w:val="00B34201"/>
    <w:rsid w:val="00B34553"/>
    <w:rsid w:val="00B36C88"/>
    <w:rsid w:val="00B40BCA"/>
    <w:rsid w:val="00B470C8"/>
    <w:rsid w:val="00B50E85"/>
    <w:rsid w:val="00B519AC"/>
    <w:rsid w:val="00B702C3"/>
    <w:rsid w:val="00B754D2"/>
    <w:rsid w:val="00B75C40"/>
    <w:rsid w:val="00B80775"/>
    <w:rsid w:val="00B84F11"/>
    <w:rsid w:val="00B85916"/>
    <w:rsid w:val="00B87A7E"/>
    <w:rsid w:val="00B93B44"/>
    <w:rsid w:val="00B94A29"/>
    <w:rsid w:val="00BA5215"/>
    <w:rsid w:val="00BB225A"/>
    <w:rsid w:val="00BC4222"/>
    <w:rsid w:val="00BC4493"/>
    <w:rsid w:val="00BD38CF"/>
    <w:rsid w:val="00BD49B7"/>
    <w:rsid w:val="00BD6634"/>
    <w:rsid w:val="00BD7189"/>
    <w:rsid w:val="00BE3D4C"/>
    <w:rsid w:val="00BF18C1"/>
    <w:rsid w:val="00BF426C"/>
    <w:rsid w:val="00C10BDC"/>
    <w:rsid w:val="00C124BB"/>
    <w:rsid w:val="00C269C8"/>
    <w:rsid w:val="00C325B0"/>
    <w:rsid w:val="00C34EFA"/>
    <w:rsid w:val="00C363A5"/>
    <w:rsid w:val="00C36F68"/>
    <w:rsid w:val="00C40E78"/>
    <w:rsid w:val="00C4363F"/>
    <w:rsid w:val="00C47BB2"/>
    <w:rsid w:val="00C527D7"/>
    <w:rsid w:val="00C545D0"/>
    <w:rsid w:val="00C54BA0"/>
    <w:rsid w:val="00C56087"/>
    <w:rsid w:val="00C60402"/>
    <w:rsid w:val="00C60AAB"/>
    <w:rsid w:val="00C611C3"/>
    <w:rsid w:val="00C62B4F"/>
    <w:rsid w:val="00C67C66"/>
    <w:rsid w:val="00C700B9"/>
    <w:rsid w:val="00C71F28"/>
    <w:rsid w:val="00C74A19"/>
    <w:rsid w:val="00C805F6"/>
    <w:rsid w:val="00C806F1"/>
    <w:rsid w:val="00C82097"/>
    <w:rsid w:val="00C83E82"/>
    <w:rsid w:val="00C8489D"/>
    <w:rsid w:val="00C9231A"/>
    <w:rsid w:val="00C938BB"/>
    <w:rsid w:val="00C9743B"/>
    <w:rsid w:val="00CA22AE"/>
    <w:rsid w:val="00CA5BD1"/>
    <w:rsid w:val="00CB1463"/>
    <w:rsid w:val="00CB678B"/>
    <w:rsid w:val="00CB75FF"/>
    <w:rsid w:val="00CB761D"/>
    <w:rsid w:val="00CB7F71"/>
    <w:rsid w:val="00CD0F98"/>
    <w:rsid w:val="00CD34E9"/>
    <w:rsid w:val="00CD73E5"/>
    <w:rsid w:val="00CE21AC"/>
    <w:rsid w:val="00CE400D"/>
    <w:rsid w:val="00CE46E8"/>
    <w:rsid w:val="00CE5E44"/>
    <w:rsid w:val="00CE5F63"/>
    <w:rsid w:val="00CE7353"/>
    <w:rsid w:val="00D14957"/>
    <w:rsid w:val="00D17EE1"/>
    <w:rsid w:val="00D20A4B"/>
    <w:rsid w:val="00D22A74"/>
    <w:rsid w:val="00D33B86"/>
    <w:rsid w:val="00D33F47"/>
    <w:rsid w:val="00D412F5"/>
    <w:rsid w:val="00D45A2C"/>
    <w:rsid w:val="00D46456"/>
    <w:rsid w:val="00D475CE"/>
    <w:rsid w:val="00D51969"/>
    <w:rsid w:val="00D52BD4"/>
    <w:rsid w:val="00D7085A"/>
    <w:rsid w:val="00D728FC"/>
    <w:rsid w:val="00D758BF"/>
    <w:rsid w:val="00D75EE4"/>
    <w:rsid w:val="00D8186A"/>
    <w:rsid w:val="00DA007F"/>
    <w:rsid w:val="00DA1066"/>
    <w:rsid w:val="00DA4626"/>
    <w:rsid w:val="00DA5B0C"/>
    <w:rsid w:val="00DB2B97"/>
    <w:rsid w:val="00DB37D6"/>
    <w:rsid w:val="00DB68A5"/>
    <w:rsid w:val="00DC5F34"/>
    <w:rsid w:val="00DD16CD"/>
    <w:rsid w:val="00DD2A2A"/>
    <w:rsid w:val="00DD2FE9"/>
    <w:rsid w:val="00DD7802"/>
    <w:rsid w:val="00DE031B"/>
    <w:rsid w:val="00DE03C8"/>
    <w:rsid w:val="00DE0A5B"/>
    <w:rsid w:val="00DE292D"/>
    <w:rsid w:val="00DE2D75"/>
    <w:rsid w:val="00DE44C7"/>
    <w:rsid w:val="00DE700F"/>
    <w:rsid w:val="00DF4CE9"/>
    <w:rsid w:val="00DF5E59"/>
    <w:rsid w:val="00E00E45"/>
    <w:rsid w:val="00E019D7"/>
    <w:rsid w:val="00E01A9F"/>
    <w:rsid w:val="00E03443"/>
    <w:rsid w:val="00E040C3"/>
    <w:rsid w:val="00E04900"/>
    <w:rsid w:val="00E264C2"/>
    <w:rsid w:val="00E31BED"/>
    <w:rsid w:val="00E32527"/>
    <w:rsid w:val="00E37E1F"/>
    <w:rsid w:val="00E41327"/>
    <w:rsid w:val="00E43D64"/>
    <w:rsid w:val="00E45B97"/>
    <w:rsid w:val="00E51237"/>
    <w:rsid w:val="00E523B1"/>
    <w:rsid w:val="00E54632"/>
    <w:rsid w:val="00E56441"/>
    <w:rsid w:val="00E57F4C"/>
    <w:rsid w:val="00E6002C"/>
    <w:rsid w:val="00E60F1F"/>
    <w:rsid w:val="00E610DE"/>
    <w:rsid w:val="00E64FFE"/>
    <w:rsid w:val="00E8047F"/>
    <w:rsid w:val="00EA359C"/>
    <w:rsid w:val="00EC12BC"/>
    <w:rsid w:val="00EC3881"/>
    <w:rsid w:val="00EC3BA3"/>
    <w:rsid w:val="00EC5E42"/>
    <w:rsid w:val="00EC7D99"/>
    <w:rsid w:val="00ED3C77"/>
    <w:rsid w:val="00ED3FEF"/>
    <w:rsid w:val="00ED4685"/>
    <w:rsid w:val="00ED7C4B"/>
    <w:rsid w:val="00EE4976"/>
    <w:rsid w:val="00F05BE1"/>
    <w:rsid w:val="00F111E5"/>
    <w:rsid w:val="00F139AB"/>
    <w:rsid w:val="00F1637D"/>
    <w:rsid w:val="00F20A47"/>
    <w:rsid w:val="00F20F4E"/>
    <w:rsid w:val="00F23445"/>
    <w:rsid w:val="00F2368B"/>
    <w:rsid w:val="00F23829"/>
    <w:rsid w:val="00F25E25"/>
    <w:rsid w:val="00F266A0"/>
    <w:rsid w:val="00F34452"/>
    <w:rsid w:val="00F438C5"/>
    <w:rsid w:val="00F52C02"/>
    <w:rsid w:val="00F56DE1"/>
    <w:rsid w:val="00F575BF"/>
    <w:rsid w:val="00F611DC"/>
    <w:rsid w:val="00F621CD"/>
    <w:rsid w:val="00F63AAA"/>
    <w:rsid w:val="00F65078"/>
    <w:rsid w:val="00F66464"/>
    <w:rsid w:val="00F70803"/>
    <w:rsid w:val="00F70A56"/>
    <w:rsid w:val="00F8047B"/>
    <w:rsid w:val="00F90CD5"/>
    <w:rsid w:val="00FA037D"/>
    <w:rsid w:val="00FA0411"/>
    <w:rsid w:val="00FA35D4"/>
    <w:rsid w:val="00FB0D6F"/>
    <w:rsid w:val="00FB0E44"/>
    <w:rsid w:val="00FB2968"/>
    <w:rsid w:val="00FB4917"/>
    <w:rsid w:val="00FB7F2B"/>
    <w:rsid w:val="00FC513B"/>
    <w:rsid w:val="00FD6F14"/>
    <w:rsid w:val="00FE0A85"/>
    <w:rsid w:val="00FF0520"/>
    <w:rsid w:val="00FF2B3F"/>
    <w:rsid w:val="00FF4225"/>
    <w:rsid w:val="00FF608F"/>
    <w:rsid w:val="00FF6842"/>
    <w:rsid w:val="00FF7A60"/>
    <w:rsid w:val="01B75FB3"/>
    <w:rsid w:val="02322B1C"/>
    <w:rsid w:val="078223BB"/>
    <w:rsid w:val="09A874F6"/>
    <w:rsid w:val="0AB818B9"/>
    <w:rsid w:val="0B4747FE"/>
    <w:rsid w:val="0B67BFD3"/>
    <w:rsid w:val="0CBC3DD9"/>
    <w:rsid w:val="0CFAE481"/>
    <w:rsid w:val="0D57E1A6"/>
    <w:rsid w:val="0DAE133F"/>
    <w:rsid w:val="0DB219A3"/>
    <w:rsid w:val="0E2DA76F"/>
    <w:rsid w:val="0E332C80"/>
    <w:rsid w:val="1124B92E"/>
    <w:rsid w:val="12E0FD8B"/>
    <w:rsid w:val="137C1B61"/>
    <w:rsid w:val="14819A2D"/>
    <w:rsid w:val="16B6D183"/>
    <w:rsid w:val="1745315C"/>
    <w:rsid w:val="18989E57"/>
    <w:rsid w:val="1B7E1453"/>
    <w:rsid w:val="1C2AD919"/>
    <w:rsid w:val="1C72B9CD"/>
    <w:rsid w:val="1D53B946"/>
    <w:rsid w:val="1F9D6034"/>
    <w:rsid w:val="2174FB0A"/>
    <w:rsid w:val="21E40371"/>
    <w:rsid w:val="24EE9B1B"/>
    <w:rsid w:val="252413DD"/>
    <w:rsid w:val="255D9782"/>
    <w:rsid w:val="266E4100"/>
    <w:rsid w:val="26B26152"/>
    <w:rsid w:val="2765FA3D"/>
    <w:rsid w:val="2B173D59"/>
    <w:rsid w:val="2B923032"/>
    <w:rsid w:val="2D1D1E79"/>
    <w:rsid w:val="2DA8E53F"/>
    <w:rsid w:val="34FA0FA9"/>
    <w:rsid w:val="38146E7C"/>
    <w:rsid w:val="39361892"/>
    <w:rsid w:val="396B83AC"/>
    <w:rsid w:val="3A8EEA45"/>
    <w:rsid w:val="3B1CFE81"/>
    <w:rsid w:val="3DC0565C"/>
    <w:rsid w:val="400EF936"/>
    <w:rsid w:val="40AB9C2D"/>
    <w:rsid w:val="41EB90F0"/>
    <w:rsid w:val="45E4F599"/>
    <w:rsid w:val="47DA2877"/>
    <w:rsid w:val="4A70EEAC"/>
    <w:rsid w:val="4A894C17"/>
    <w:rsid w:val="4C0235DA"/>
    <w:rsid w:val="4DAF636A"/>
    <w:rsid w:val="4E88E081"/>
    <w:rsid w:val="4EFD54B4"/>
    <w:rsid w:val="4F7347DC"/>
    <w:rsid w:val="4FAE9B9B"/>
    <w:rsid w:val="50850B74"/>
    <w:rsid w:val="50937D06"/>
    <w:rsid w:val="53E28AD8"/>
    <w:rsid w:val="54AE2057"/>
    <w:rsid w:val="57A1A001"/>
    <w:rsid w:val="590FC3D7"/>
    <w:rsid w:val="5A324E74"/>
    <w:rsid w:val="5ECC7C03"/>
    <w:rsid w:val="5EF688D8"/>
    <w:rsid w:val="5FEDD0B3"/>
    <w:rsid w:val="607A5F2D"/>
    <w:rsid w:val="6297BA85"/>
    <w:rsid w:val="65BF2E58"/>
    <w:rsid w:val="66E34B09"/>
    <w:rsid w:val="6A1C3832"/>
    <w:rsid w:val="6B7D838D"/>
    <w:rsid w:val="6C60304C"/>
    <w:rsid w:val="6C8237AE"/>
    <w:rsid w:val="6E3C1272"/>
    <w:rsid w:val="70F44441"/>
    <w:rsid w:val="7223C854"/>
    <w:rsid w:val="72A4B8BD"/>
    <w:rsid w:val="72E37A1F"/>
    <w:rsid w:val="73CCD7C0"/>
    <w:rsid w:val="750D988E"/>
    <w:rsid w:val="78DA1DBB"/>
    <w:rsid w:val="793FA05F"/>
    <w:rsid w:val="79693D10"/>
    <w:rsid w:val="7B75C39E"/>
    <w:rsid w:val="7BD48A10"/>
    <w:rsid w:val="7CD702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qFormat/>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801030"/>
    <w:pPr>
      <w:ind w:left="72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254315"/>
    <w:pPr>
      <w:overflowPunct/>
      <w:autoSpaceDE/>
      <w:autoSpaceDN/>
      <w:adjustRightInd/>
      <w:jc w:val="both"/>
      <w:textAlignment w:val="auto"/>
    </w:pPr>
    <w:rPr>
      <w:rFonts w:ascii="Calibri" w:eastAsia="Calibri" w:hAnsi="Calibri"/>
      <w:vertAlign w:val="superscript"/>
      <w:lang w:val="es-CO" w:eastAsia="es-CO"/>
    </w:rPr>
  </w:style>
  <w:style w:type="paragraph" w:styleId="Textoindependiente">
    <w:name w:val="Body Text"/>
    <w:basedOn w:val="Normal"/>
    <w:link w:val="TextoindependienteCar"/>
    <w:uiPriority w:val="99"/>
    <w:unhideWhenUsed/>
    <w:rsid w:val="00125B46"/>
    <w:pPr>
      <w:spacing w:after="120"/>
    </w:pPr>
  </w:style>
  <w:style w:type="character" w:customStyle="1" w:styleId="TextoindependienteCar">
    <w:name w:val="Texto independiente Car"/>
    <w:basedOn w:val="Fuentedeprrafopredeter"/>
    <w:link w:val="Textoindependiente"/>
    <w:uiPriority w:val="99"/>
    <w:rsid w:val="00125B46"/>
    <w:rPr>
      <w:rFonts w:ascii="Times New Roman" w:eastAsia="Times New Roman" w:hAnsi="Times New Roman"/>
      <w:lang w:val="es-ES" w:eastAsia="es-ES"/>
    </w:rPr>
  </w:style>
  <w:style w:type="paragraph" w:customStyle="1" w:styleId="Sinespaciado6">
    <w:name w:val="Sin espaciado6"/>
    <w:rsid w:val="008B14E8"/>
    <w:rPr>
      <w:rFonts w:ascii="Times New Roman" w:eastAsia="Times New Roman" w:hAnsi="Times New Roman"/>
      <w:sz w:val="24"/>
      <w:szCs w:val="24"/>
      <w:lang w:val="es-ES" w:eastAsia="es-ES"/>
    </w:rPr>
  </w:style>
  <w:style w:type="paragraph" w:customStyle="1" w:styleId="Textodebloque1">
    <w:name w:val="Texto de bloque1"/>
    <w:basedOn w:val="Normal"/>
    <w:rsid w:val="008B14E8"/>
    <w:pPr>
      <w:ind w:left="561" w:right="561"/>
      <w:jc w:val="both"/>
    </w:pPr>
  </w:style>
  <w:style w:type="character" w:customStyle="1" w:styleId="PrrafodelistaCar">
    <w:name w:val="Párrafo de lista Car"/>
    <w:link w:val="Prrafodelista"/>
    <w:uiPriority w:val="34"/>
    <w:locked/>
    <w:rsid w:val="008B14E8"/>
    <w:rPr>
      <w:rFonts w:ascii="Times New Roman" w:eastAsia="Times New Roman" w:hAnsi="Times New Roman"/>
      <w:lang w:val="es-ES" w:eastAsia="es-ES"/>
    </w:rPr>
  </w:style>
  <w:style w:type="character" w:styleId="Hipervnculo">
    <w:name w:val="Hyperlink"/>
    <w:basedOn w:val="Fuentedeprrafopredeter"/>
    <w:uiPriority w:val="99"/>
    <w:unhideWhenUsed/>
    <w:rsid w:val="00503E1B"/>
    <w:rPr>
      <w:color w:val="0563C1" w:themeColor="hyperlink"/>
      <w:u w:val="single"/>
    </w:rPr>
  </w:style>
  <w:style w:type="character" w:customStyle="1" w:styleId="Mencinsinresolver1">
    <w:name w:val="Mención sin resolver1"/>
    <w:basedOn w:val="Fuentedeprrafopredeter"/>
    <w:uiPriority w:val="99"/>
    <w:semiHidden/>
    <w:unhideWhenUsed/>
    <w:rsid w:val="00503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0956">
      <w:bodyDiv w:val="1"/>
      <w:marLeft w:val="0"/>
      <w:marRight w:val="0"/>
      <w:marTop w:val="0"/>
      <w:marBottom w:val="0"/>
      <w:divBdr>
        <w:top w:val="none" w:sz="0" w:space="0" w:color="auto"/>
        <w:left w:val="none" w:sz="0" w:space="0" w:color="auto"/>
        <w:bottom w:val="none" w:sz="0" w:space="0" w:color="auto"/>
        <w:right w:val="none" w:sz="0" w:space="0" w:color="auto"/>
      </w:divBdr>
    </w:div>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647710565">
      <w:bodyDiv w:val="1"/>
      <w:marLeft w:val="0"/>
      <w:marRight w:val="0"/>
      <w:marTop w:val="0"/>
      <w:marBottom w:val="0"/>
      <w:divBdr>
        <w:top w:val="none" w:sz="0" w:space="0" w:color="auto"/>
        <w:left w:val="none" w:sz="0" w:space="0" w:color="auto"/>
        <w:bottom w:val="none" w:sz="0" w:space="0" w:color="auto"/>
        <w:right w:val="none" w:sz="0" w:space="0" w:color="auto"/>
      </w:divBdr>
    </w:div>
    <w:div w:id="886841405">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13347150">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d38d5d7639614f2d"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095E7B73-F867-462B-B85F-77561BFA9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4.xml><?xml version="1.0" encoding="utf-8"?>
<ds:datastoreItem xmlns:ds="http://schemas.openxmlformats.org/officeDocument/2006/customXml" ds:itemID="{377E59EE-679C-4D9A-B820-98871CAC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3039</Words>
  <Characters>16715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5</cp:revision>
  <cp:lastPrinted>2019-08-13T19:36:00Z</cp:lastPrinted>
  <dcterms:created xsi:type="dcterms:W3CDTF">2022-07-27T19:21:00Z</dcterms:created>
  <dcterms:modified xsi:type="dcterms:W3CDTF">2022-10-24T20:46:00Z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