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2300" w14:textId="77777777" w:rsidR="00A96231" w:rsidRPr="00A96231" w:rsidRDefault="00A96231" w:rsidP="00A9623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bookmarkStart w:id="1" w:name="_GoBack"/>
      <w:bookmarkEnd w:id="1"/>
      <w:r w:rsidRPr="00A9623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DCA55E" w14:textId="77777777" w:rsidR="00A96231" w:rsidRPr="00A96231" w:rsidRDefault="00A96231" w:rsidP="00A96231">
      <w:pPr>
        <w:overflowPunct/>
        <w:autoSpaceDE/>
        <w:autoSpaceDN/>
        <w:adjustRightInd/>
        <w:jc w:val="both"/>
        <w:textAlignment w:val="auto"/>
        <w:rPr>
          <w:rFonts w:ascii="Arial" w:hAnsi="Arial" w:cs="Arial"/>
          <w:lang w:val="es-419"/>
        </w:rPr>
      </w:pPr>
    </w:p>
    <w:p w14:paraId="7EC0F657" w14:textId="78FF5029" w:rsidR="00A96231" w:rsidRPr="00A96231" w:rsidRDefault="00232AE3" w:rsidP="00A96231">
      <w:pPr>
        <w:overflowPunct/>
        <w:autoSpaceDE/>
        <w:autoSpaceDN/>
        <w:adjustRightInd/>
        <w:jc w:val="both"/>
        <w:textAlignment w:val="auto"/>
        <w:rPr>
          <w:rFonts w:ascii="Arial" w:hAnsi="Arial" w:cs="Arial"/>
          <w:b/>
          <w:bCs/>
          <w:iCs/>
          <w:lang w:val="es-419" w:eastAsia="fr-FR"/>
        </w:rPr>
      </w:pPr>
      <w:r w:rsidRPr="00A96231">
        <w:rPr>
          <w:rFonts w:ascii="Arial" w:hAnsi="Arial" w:cs="Arial"/>
          <w:b/>
          <w:bCs/>
          <w:iCs/>
          <w:u w:val="single"/>
          <w:lang w:val="es-419" w:eastAsia="fr-FR"/>
        </w:rPr>
        <w:t>TEMAS:</w:t>
      </w:r>
      <w:r w:rsidRPr="00A96231">
        <w:rPr>
          <w:rFonts w:ascii="Arial" w:hAnsi="Arial" w:cs="Arial"/>
          <w:b/>
          <w:bCs/>
          <w:iCs/>
          <w:lang w:val="es-419" w:eastAsia="fr-FR"/>
        </w:rPr>
        <w:tab/>
      </w:r>
      <w:r>
        <w:rPr>
          <w:rFonts w:ascii="Arial" w:hAnsi="Arial" w:cs="Arial"/>
          <w:b/>
          <w:bCs/>
          <w:iCs/>
          <w:lang w:val="es-419" w:eastAsia="fr-FR"/>
        </w:rPr>
        <w:t xml:space="preserve">DEBIDO PROCESO / TUTELA CONTRA DECISIONES JUDICIALES / </w:t>
      </w:r>
      <w:r w:rsidRPr="003453F3">
        <w:rPr>
          <w:rFonts w:ascii="Arial" w:hAnsi="Arial" w:cs="Arial"/>
          <w:b/>
          <w:bCs/>
          <w:iCs/>
          <w:lang w:val="es-419" w:eastAsia="fr-FR"/>
        </w:rPr>
        <w:t>REQUISITOS GENERALES Y ESPECÍFICOS DE PROCEDIBILIDAD /</w:t>
      </w:r>
      <w:r>
        <w:rPr>
          <w:rFonts w:ascii="Arial" w:hAnsi="Arial" w:cs="Arial"/>
          <w:b/>
          <w:bCs/>
          <w:iCs/>
          <w:lang w:val="es-419" w:eastAsia="fr-FR"/>
        </w:rPr>
        <w:t xml:space="preserve"> DEFECTO PROCEDIMENTAL / POR EXCESO RITUAL MANIFIESTO / RECHAZAR MEMORIAL ENVIADO DESDE CORREO NO REGISTRADO EN EL JUZGADO.</w:t>
      </w:r>
    </w:p>
    <w:p w14:paraId="4BB756B9" w14:textId="77777777" w:rsidR="00A96231" w:rsidRPr="00A96231" w:rsidRDefault="00A96231" w:rsidP="00A96231">
      <w:pPr>
        <w:overflowPunct/>
        <w:autoSpaceDE/>
        <w:autoSpaceDN/>
        <w:adjustRightInd/>
        <w:jc w:val="both"/>
        <w:textAlignment w:val="auto"/>
        <w:rPr>
          <w:rFonts w:ascii="Arial" w:hAnsi="Arial" w:cs="Arial"/>
          <w:lang w:val="es-419"/>
        </w:rPr>
      </w:pPr>
    </w:p>
    <w:p w14:paraId="5386DF6E" w14:textId="1265EBA6" w:rsidR="00A96231" w:rsidRPr="00A96231" w:rsidRDefault="00B26B0D" w:rsidP="00A96231">
      <w:pPr>
        <w:overflowPunct/>
        <w:autoSpaceDE/>
        <w:autoSpaceDN/>
        <w:adjustRightInd/>
        <w:jc w:val="both"/>
        <w:textAlignment w:val="auto"/>
        <w:rPr>
          <w:rFonts w:ascii="Arial" w:hAnsi="Arial" w:cs="Arial"/>
          <w:lang w:val="es-419"/>
        </w:rPr>
      </w:pPr>
      <w:r w:rsidRPr="00B26B0D">
        <w:rPr>
          <w:rFonts w:ascii="Arial" w:hAnsi="Arial" w:cs="Arial"/>
          <w:lang w:val="es-419"/>
        </w:rPr>
        <w:t>Reiteradamente se ha expuesto que a pesar de la inexequibilidad de las normas que en el Decreto 2591 de 1991 preveían la acción de tutela contra providencias judiciales ,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78367233" w14:textId="77777777" w:rsidR="00A96231" w:rsidRPr="00A96231" w:rsidRDefault="00A96231" w:rsidP="00A96231">
      <w:pPr>
        <w:overflowPunct/>
        <w:autoSpaceDE/>
        <w:autoSpaceDN/>
        <w:adjustRightInd/>
        <w:jc w:val="both"/>
        <w:textAlignment w:val="auto"/>
        <w:rPr>
          <w:rFonts w:ascii="Arial" w:hAnsi="Arial" w:cs="Arial"/>
          <w:lang w:val="es-419"/>
        </w:rPr>
      </w:pPr>
    </w:p>
    <w:p w14:paraId="7CC79BC9" w14:textId="2E6F3FF2" w:rsidR="000460AE" w:rsidRPr="000460AE" w:rsidRDefault="000460AE" w:rsidP="000460AE">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460AE">
        <w:rPr>
          <w:rFonts w:ascii="Arial" w:hAnsi="Arial" w:cs="Arial"/>
          <w:lang w:val="es-419"/>
        </w:rPr>
        <w:t>sigue examinar el presunto defecto procedimental que se le endilga a la decisión cuestionada. Sobre ese tipo de anomalías, la Corte Constitucional explica:</w:t>
      </w:r>
    </w:p>
    <w:p w14:paraId="10B06648" w14:textId="77777777" w:rsidR="000460AE" w:rsidRPr="000460AE" w:rsidRDefault="000460AE" w:rsidP="000460AE">
      <w:pPr>
        <w:overflowPunct/>
        <w:autoSpaceDE/>
        <w:autoSpaceDN/>
        <w:adjustRightInd/>
        <w:jc w:val="both"/>
        <w:textAlignment w:val="auto"/>
        <w:rPr>
          <w:rFonts w:ascii="Arial" w:hAnsi="Arial" w:cs="Arial"/>
          <w:lang w:val="es-419"/>
        </w:rPr>
      </w:pPr>
    </w:p>
    <w:p w14:paraId="1A91C208" w14:textId="785E3470" w:rsidR="00B26B0D" w:rsidRPr="00A96231" w:rsidRDefault="000460AE" w:rsidP="000460AE">
      <w:pPr>
        <w:overflowPunct/>
        <w:autoSpaceDE/>
        <w:autoSpaceDN/>
        <w:adjustRightInd/>
        <w:jc w:val="both"/>
        <w:textAlignment w:val="auto"/>
        <w:rPr>
          <w:rFonts w:ascii="Arial" w:hAnsi="Arial" w:cs="Arial"/>
          <w:lang w:val="es-419"/>
        </w:rPr>
      </w:pPr>
      <w:r w:rsidRPr="000460AE">
        <w:rPr>
          <w:rFonts w:ascii="Arial" w:hAnsi="Arial" w:cs="Arial"/>
          <w:lang w:val="es-419"/>
        </w:rPr>
        <w:t>“La jurisprudencia constitucional ha identificado que una autoridad judicial puede incurrir en un defecto procedimental bajo dos modalidades: (a) el defecto procedimental absoluto ocurre cuando “se aparta por completo del procedimiento establecido legalmente para el trámite de un asunto específico</w:t>
      </w:r>
      <w:r w:rsidR="0048403A">
        <w:rPr>
          <w:rFonts w:ascii="Arial" w:hAnsi="Arial" w:cs="Arial"/>
          <w:lang w:val="es-419"/>
        </w:rPr>
        <w:t>…</w:t>
      </w:r>
      <w:r w:rsidRPr="000460AE">
        <w:rPr>
          <w:rFonts w:ascii="Arial" w:hAnsi="Arial" w:cs="Arial"/>
          <w:lang w:val="es-419"/>
        </w:rPr>
        <w:t xml:space="preserve"> (b) El defecto procedimental por exceso de ritual manifiesto, ocurre cuando la autoridad judicial</w:t>
      </w:r>
      <w:r>
        <w:rPr>
          <w:rFonts w:ascii="Arial" w:hAnsi="Arial" w:cs="Arial"/>
          <w:lang w:val="es-419"/>
        </w:rPr>
        <w:t xml:space="preserve"> </w:t>
      </w:r>
      <w:r w:rsidRPr="000460AE">
        <w:rPr>
          <w:rFonts w:ascii="Arial" w:hAnsi="Arial" w:cs="Arial"/>
          <w:lang w:val="es-419"/>
        </w:rPr>
        <w:t>“(…) un funcionario utiliza o concibe los procedimientos como un obstáculo para la eficacia del derecho sustancial y por esta vía, sus actuaciones devienen en una denegación de justicia</w:t>
      </w:r>
      <w:r w:rsidR="0048403A">
        <w:rPr>
          <w:rFonts w:ascii="Arial" w:hAnsi="Arial" w:cs="Arial"/>
          <w:lang w:val="es-419"/>
        </w:rPr>
        <w:t>” …</w:t>
      </w:r>
    </w:p>
    <w:p w14:paraId="2140D7D8" w14:textId="77777777" w:rsidR="00A96231" w:rsidRPr="00A96231" w:rsidRDefault="00A96231" w:rsidP="00A96231">
      <w:pPr>
        <w:overflowPunct/>
        <w:autoSpaceDE/>
        <w:autoSpaceDN/>
        <w:adjustRightInd/>
        <w:jc w:val="both"/>
        <w:textAlignment w:val="auto"/>
        <w:rPr>
          <w:rFonts w:ascii="Arial" w:hAnsi="Arial" w:cs="Arial"/>
          <w:lang w:val="es-419"/>
        </w:rPr>
      </w:pPr>
    </w:p>
    <w:p w14:paraId="47D24B4B" w14:textId="4234108A" w:rsidR="00885BBF" w:rsidRPr="00885BBF" w:rsidRDefault="00885BBF" w:rsidP="00885BB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85BBF">
        <w:rPr>
          <w:rFonts w:ascii="Arial" w:hAnsi="Arial" w:cs="Arial"/>
          <w:lang w:val="es-419"/>
        </w:rPr>
        <w:t>con auto del 27 de abril de 2021, el despacho dispuso:</w:t>
      </w:r>
    </w:p>
    <w:p w14:paraId="699F4B4B" w14:textId="168D8BA7" w:rsidR="00885BBF" w:rsidRPr="00885BBF" w:rsidRDefault="00885BBF" w:rsidP="00885BBF">
      <w:pPr>
        <w:overflowPunct/>
        <w:autoSpaceDE/>
        <w:autoSpaceDN/>
        <w:adjustRightInd/>
        <w:jc w:val="both"/>
        <w:textAlignment w:val="auto"/>
        <w:rPr>
          <w:rFonts w:ascii="Arial" w:hAnsi="Arial" w:cs="Arial"/>
          <w:lang w:val="es-419"/>
        </w:rPr>
      </w:pPr>
    </w:p>
    <w:p w14:paraId="4FA53436" w14:textId="31F2FDEB" w:rsidR="00A96231" w:rsidRPr="00A96231" w:rsidRDefault="00885BBF" w:rsidP="00885BBF">
      <w:pPr>
        <w:overflowPunct/>
        <w:autoSpaceDE/>
        <w:autoSpaceDN/>
        <w:adjustRightInd/>
        <w:jc w:val="both"/>
        <w:textAlignment w:val="auto"/>
        <w:rPr>
          <w:rFonts w:ascii="Arial" w:hAnsi="Arial" w:cs="Arial"/>
          <w:lang w:val="es-419"/>
        </w:rPr>
      </w:pPr>
      <w:r w:rsidRPr="00885BBF">
        <w:rPr>
          <w:rFonts w:ascii="Arial" w:hAnsi="Arial" w:cs="Arial"/>
          <w:lang w:val="es-419"/>
        </w:rPr>
        <w:t>“Se tendrá por no presentado el escrito de alegatos allegado dentro del término de ley, suscrito por el apoderado judicial de la accionada, por cuanto el correo electrónico del cual fue remitido</w:t>
      </w:r>
      <w:r>
        <w:rPr>
          <w:rFonts w:ascii="Arial" w:hAnsi="Arial" w:cs="Arial"/>
          <w:lang w:val="es-419"/>
        </w:rPr>
        <w:t>…</w:t>
      </w:r>
      <w:r w:rsidRPr="00885BBF">
        <w:rPr>
          <w:rFonts w:ascii="Arial" w:hAnsi="Arial" w:cs="Arial"/>
          <w:lang w:val="es-419"/>
        </w:rPr>
        <w:t>, no corresponde con el que se aprecia en el poder especial otorgado por la accionada</w:t>
      </w:r>
      <w:r>
        <w:rPr>
          <w:rFonts w:ascii="Arial" w:hAnsi="Arial" w:cs="Arial"/>
          <w:lang w:val="es-419"/>
        </w:rPr>
        <w:t>…</w:t>
      </w:r>
      <w:r w:rsidRPr="00885BBF">
        <w:rPr>
          <w:rFonts w:ascii="Arial" w:hAnsi="Arial" w:cs="Arial"/>
          <w:lang w:val="es-419"/>
        </w:rPr>
        <w:t>, ni con el que el profesional del derecho tiene inscrito en el Registro Nacional de Abogados</w:t>
      </w:r>
      <w:r>
        <w:rPr>
          <w:rFonts w:ascii="Arial" w:hAnsi="Arial" w:cs="Arial"/>
          <w:lang w:val="es-419"/>
        </w:rPr>
        <w:t>…”</w:t>
      </w:r>
    </w:p>
    <w:p w14:paraId="0FD0E50B" w14:textId="626B51AD" w:rsidR="00A96231" w:rsidRDefault="00A96231" w:rsidP="00A96231">
      <w:pPr>
        <w:overflowPunct/>
        <w:autoSpaceDE/>
        <w:autoSpaceDN/>
        <w:adjustRightInd/>
        <w:jc w:val="both"/>
        <w:textAlignment w:val="auto"/>
        <w:rPr>
          <w:rFonts w:ascii="Arial" w:hAnsi="Arial" w:cs="Arial"/>
        </w:rPr>
      </w:pPr>
    </w:p>
    <w:p w14:paraId="4A2947FE" w14:textId="221160E5" w:rsidR="00885BBF" w:rsidRDefault="007C4221" w:rsidP="00A96231">
      <w:pPr>
        <w:overflowPunct/>
        <w:autoSpaceDE/>
        <w:autoSpaceDN/>
        <w:adjustRightInd/>
        <w:jc w:val="both"/>
        <w:textAlignment w:val="auto"/>
        <w:rPr>
          <w:rFonts w:ascii="Arial" w:hAnsi="Arial" w:cs="Arial"/>
        </w:rPr>
      </w:pPr>
      <w:r>
        <w:rPr>
          <w:rFonts w:ascii="Arial" w:hAnsi="Arial" w:cs="Arial"/>
        </w:rPr>
        <w:t xml:space="preserve">… </w:t>
      </w:r>
      <w:r w:rsidRPr="007C4221">
        <w:rPr>
          <w:rFonts w:ascii="Arial" w:hAnsi="Arial" w:cs="Arial"/>
        </w:rPr>
        <w:t>es desenfocado, de conformidad con el parágrafo 2° del artículo 103 del CGP, concluir que solo se podrán incorporar al proceso las comunicaciones “originadas desde el correo electrónico suministrado en la demanda o en cualquier acto del proceso”</w:t>
      </w:r>
      <w:r>
        <w:rPr>
          <w:rFonts w:ascii="Arial" w:hAnsi="Arial" w:cs="Arial"/>
        </w:rPr>
        <w:t xml:space="preserve"> …</w:t>
      </w:r>
    </w:p>
    <w:p w14:paraId="38312A6F" w14:textId="5135A4FD" w:rsidR="00885BBF" w:rsidRDefault="00885BBF" w:rsidP="00A96231">
      <w:pPr>
        <w:overflowPunct/>
        <w:autoSpaceDE/>
        <w:autoSpaceDN/>
        <w:adjustRightInd/>
        <w:jc w:val="both"/>
        <w:textAlignment w:val="auto"/>
        <w:rPr>
          <w:rFonts w:ascii="Arial" w:hAnsi="Arial" w:cs="Arial"/>
        </w:rPr>
      </w:pPr>
    </w:p>
    <w:p w14:paraId="12074E63" w14:textId="5D2AF8F1" w:rsidR="00885BBF" w:rsidRDefault="00333CF4" w:rsidP="00A96231">
      <w:pPr>
        <w:overflowPunct/>
        <w:autoSpaceDE/>
        <w:autoSpaceDN/>
        <w:adjustRightInd/>
        <w:jc w:val="both"/>
        <w:textAlignment w:val="auto"/>
        <w:rPr>
          <w:rFonts w:ascii="Arial" w:hAnsi="Arial" w:cs="Arial"/>
        </w:rPr>
      </w:pPr>
      <w:r>
        <w:rPr>
          <w:rFonts w:ascii="Arial" w:hAnsi="Arial" w:cs="Arial"/>
        </w:rPr>
        <w:t xml:space="preserve">… </w:t>
      </w:r>
      <w:r w:rsidRPr="00333CF4">
        <w:rPr>
          <w:rFonts w:ascii="Arial" w:hAnsi="Arial" w:cs="Arial"/>
        </w:rPr>
        <w:t>no haber aceptado los alegatos de conclusión de la sociedad demandada, aun cuando antes no hizo saber que remitiría sus comunicaciones desde el correo electrónico ecardona@duportabogados.com, es un excesivo ritualismo que afecta su derecho de contradicción.</w:t>
      </w:r>
    </w:p>
    <w:p w14:paraId="7F522A19" w14:textId="77777777" w:rsidR="00333CF4" w:rsidRPr="00A96231" w:rsidRDefault="00333CF4" w:rsidP="00A96231">
      <w:pPr>
        <w:overflowPunct/>
        <w:autoSpaceDE/>
        <w:autoSpaceDN/>
        <w:adjustRightInd/>
        <w:jc w:val="both"/>
        <w:textAlignment w:val="auto"/>
        <w:rPr>
          <w:rFonts w:ascii="Arial" w:hAnsi="Arial" w:cs="Arial"/>
        </w:rPr>
      </w:pPr>
    </w:p>
    <w:p w14:paraId="5BEFA046" w14:textId="77777777" w:rsidR="00A96231" w:rsidRPr="00A96231" w:rsidRDefault="00A96231" w:rsidP="00A96231">
      <w:pPr>
        <w:overflowPunct/>
        <w:autoSpaceDE/>
        <w:autoSpaceDN/>
        <w:adjustRightInd/>
        <w:jc w:val="both"/>
        <w:textAlignment w:val="auto"/>
        <w:rPr>
          <w:rFonts w:ascii="Arial" w:hAnsi="Arial" w:cs="Arial"/>
        </w:rPr>
      </w:pPr>
    </w:p>
    <w:p w14:paraId="12E49000" w14:textId="77777777" w:rsidR="00A96231" w:rsidRPr="00A96231" w:rsidRDefault="00A96231" w:rsidP="00A96231">
      <w:pPr>
        <w:overflowPunct/>
        <w:autoSpaceDE/>
        <w:autoSpaceDN/>
        <w:adjustRightInd/>
        <w:jc w:val="both"/>
        <w:textAlignment w:val="auto"/>
        <w:rPr>
          <w:rFonts w:ascii="Arial" w:hAnsi="Arial" w:cs="Arial"/>
        </w:rPr>
      </w:pPr>
    </w:p>
    <w:bookmarkEnd w:id="0"/>
    <w:p w14:paraId="4B14FE4C" w14:textId="2A79517B" w:rsidR="00622EA3" w:rsidRPr="00A96231" w:rsidRDefault="00622EA3" w:rsidP="00A96231">
      <w:pPr>
        <w:spacing w:line="276" w:lineRule="auto"/>
        <w:ind w:firstLine="2835"/>
        <w:jc w:val="both"/>
        <w:rPr>
          <w:rFonts w:ascii="Gadugi" w:hAnsi="Gadugi"/>
          <w:b/>
          <w:bCs/>
          <w:sz w:val="24"/>
          <w:szCs w:val="24"/>
        </w:rPr>
      </w:pPr>
      <w:r w:rsidRPr="00A96231">
        <w:rPr>
          <w:rFonts w:ascii="Gadugi" w:hAnsi="Gadugi"/>
          <w:b/>
          <w:bCs/>
          <w:sz w:val="24"/>
          <w:szCs w:val="24"/>
        </w:rPr>
        <w:t xml:space="preserve">TRIBUNAL SUPERIOR DEL DISTRITO JUDICIAL </w:t>
      </w:r>
    </w:p>
    <w:p w14:paraId="7F6C7CB4" w14:textId="77777777" w:rsidR="00622EA3" w:rsidRPr="00A96231" w:rsidRDefault="00622EA3" w:rsidP="00A96231">
      <w:pPr>
        <w:spacing w:line="276" w:lineRule="auto"/>
        <w:ind w:firstLine="2835"/>
        <w:jc w:val="both"/>
        <w:rPr>
          <w:rFonts w:ascii="Gadugi" w:hAnsi="Gadugi"/>
          <w:b/>
          <w:sz w:val="24"/>
          <w:szCs w:val="24"/>
        </w:rPr>
      </w:pPr>
      <w:r w:rsidRPr="00A96231">
        <w:rPr>
          <w:rFonts w:ascii="Gadugi" w:hAnsi="Gadugi"/>
          <w:b/>
          <w:sz w:val="24"/>
          <w:szCs w:val="24"/>
        </w:rPr>
        <w:t xml:space="preserve">          SALA DE DECISIÓN CIVIL FAMILIA </w:t>
      </w:r>
    </w:p>
    <w:p w14:paraId="7FF8F016" w14:textId="77777777" w:rsidR="00622EA3" w:rsidRPr="00A96231" w:rsidRDefault="00622EA3" w:rsidP="00A96231">
      <w:pPr>
        <w:spacing w:line="276" w:lineRule="auto"/>
        <w:ind w:firstLine="2835"/>
        <w:jc w:val="both"/>
        <w:rPr>
          <w:rFonts w:ascii="Gadugi" w:hAnsi="Gadugi"/>
          <w:sz w:val="24"/>
          <w:szCs w:val="24"/>
        </w:rPr>
      </w:pPr>
    </w:p>
    <w:p w14:paraId="0C1F6F03" w14:textId="77777777" w:rsidR="00622EA3" w:rsidRPr="00A96231" w:rsidRDefault="00622EA3" w:rsidP="00A96231">
      <w:pPr>
        <w:spacing w:line="276" w:lineRule="auto"/>
        <w:ind w:firstLine="2835"/>
        <w:jc w:val="both"/>
        <w:rPr>
          <w:rFonts w:ascii="Gadugi" w:hAnsi="Gadugi"/>
          <w:sz w:val="24"/>
          <w:szCs w:val="24"/>
        </w:rPr>
      </w:pPr>
    </w:p>
    <w:p w14:paraId="2CF272AC" w14:textId="77777777" w:rsidR="00622EA3" w:rsidRPr="00A96231" w:rsidRDefault="00622EA3" w:rsidP="00A96231">
      <w:pPr>
        <w:spacing w:line="276" w:lineRule="auto"/>
        <w:ind w:firstLine="2835"/>
        <w:jc w:val="both"/>
        <w:rPr>
          <w:rFonts w:ascii="Gadugi" w:hAnsi="Gadugi"/>
          <w:sz w:val="24"/>
          <w:szCs w:val="24"/>
        </w:rPr>
      </w:pPr>
      <w:r w:rsidRPr="00A96231">
        <w:rPr>
          <w:rFonts w:ascii="Gadugi" w:hAnsi="Gadugi"/>
          <w:sz w:val="24"/>
          <w:szCs w:val="24"/>
        </w:rPr>
        <w:t>Magistrado: Jaime Alberto Saraza Naranjo</w:t>
      </w:r>
    </w:p>
    <w:p w14:paraId="6C260D3E" w14:textId="5653B5CF" w:rsidR="00622EA3" w:rsidRPr="00A96231" w:rsidRDefault="00622EA3" w:rsidP="00A96231">
      <w:pPr>
        <w:spacing w:line="276" w:lineRule="auto"/>
        <w:ind w:firstLine="2835"/>
        <w:jc w:val="both"/>
        <w:rPr>
          <w:rFonts w:ascii="Gadugi" w:hAnsi="Gadugi"/>
          <w:sz w:val="24"/>
          <w:szCs w:val="24"/>
          <w:lang w:val="es-419"/>
        </w:rPr>
      </w:pPr>
      <w:r w:rsidRPr="00A96231">
        <w:rPr>
          <w:rFonts w:ascii="Gadugi" w:hAnsi="Gadugi"/>
          <w:sz w:val="24"/>
          <w:szCs w:val="24"/>
        </w:rPr>
        <w:t>Pereira,</w:t>
      </w:r>
      <w:r w:rsidR="00C850DC" w:rsidRPr="00A96231">
        <w:rPr>
          <w:rFonts w:ascii="Gadugi" w:hAnsi="Gadugi"/>
          <w:sz w:val="24"/>
          <w:szCs w:val="24"/>
        </w:rPr>
        <w:t xml:space="preserve"> </w:t>
      </w:r>
      <w:r w:rsidR="00F03C1A" w:rsidRPr="00A96231">
        <w:rPr>
          <w:rFonts w:ascii="Gadugi" w:hAnsi="Gadugi"/>
          <w:sz w:val="24"/>
          <w:szCs w:val="24"/>
        </w:rPr>
        <w:t>julio veintiocho de dos mil veintidós</w:t>
      </w:r>
      <w:r w:rsidR="00FF7820" w:rsidRPr="00A96231">
        <w:rPr>
          <w:rFonts w:ascii="Gadugi" w:hAnsi="Gadugi"/>
          <w:sz w:val="24"/>
          <w:szCs w:val="24"/>
        </w:rPr>
        <w:t xml:space="preserve"> </w:t>
      </w:r>
      <w:r w:rsidR="00C850DC" w:rsidRPr="00A96231">
        <w:rPr>
          <w:rFonts w:ascii="Gadugi" w:hAnsi="Gadugi"/>
          <w:sz w:val="24"/>
          <w:szCs w:val="24"/>
        </w:rPr>
        <w:t xml:space="preserve"> </w:t>
      </w:r>
      <w:r w:rsidR="00CA22AE" w:rsidRPr="00A96231">
        <w:rPr>
          <w:rFonts w:ascii="Gadugi" w:hAnsi="Gadugi"/>
          <w:sz w:val="24"/>
          <w:szCs w:val="24"/>
        </w:rPr>
        <w:t xml:space="preserve"> </w:t>
      </w:r>
      <w:r w:rsidR="0021665D" w:rsidRPr="00A96231">
        <w:rPr>
          <w:rFonts w:ascii="Gadugi" w:hAnsi="Gadugi"/>
          <w:sz w:val="24"/>
          <w:szCs w:val="24"/>
        </w:rPr>
        <w:t xml:space="preserve"> </w:t>
      </w:r>
      <w:r w:rsidR="00B8427B" w:rsidRPr="00A96231">
        <w:rPr>
          <w:rFonts w:ascii="Gadugi" w:hAnsi="Gadugi"/>
          <w:sz w:val="24"/>
          <w:szCs w:val="24"/>
        </w:rPr>
        <w:t xml:space="preserve"> </w:t>
      </w:r>
      <w:r w:rsidR="009318C3" w:rsidRPr="00A96231">
        <w:rPr>
          <w:rFonts w:ascii="Gadugi" w:hAnsi="Gadugi"/>
          <w:sz w:val="24"/>
          <w:szCs w:val="24"/>
        </w:rPr>
        <w:t xml:space="preserve"> </w:t>
      </w:r>
      <w:r w:rsidR="003F5B8E" w:rsidRPr="00A96231">
        <w:rPr>
          <w:rFonts w:ascii="Gadugi" w:hAnsi="Gadugi"/>
          <w:sz w:val="24"/>
          <w:szCs w:val="24"/>
        </w:rPr>
        <w:t xml:space="preserve"> </w:t>
      </w:r>
      <w:r w:rsidR="00B85916" w:rsidRPr="00A96231">
        <w:rPr>
          <w:rFonts w:ascii="Gadugi" w:hAnsi="Gadugi"/>
          <w:sz w:val="24"/>
          <w:szCs w:val="24"/>
        </w:rPr>
        <w:t xml:space="preserve"> </w:t>
      </w:r>
      <w:r w:rsidR="00C325B0" w:rsidRPr="00A96231">
        <w:rPr>
          <w:rFonts w:ascii="Gadugi" w:hAnsi="Gadugi"/>
          <w:sz w:val="24"/>
          <w:szCs w:val="24"/>
        </w:rPr>
        <w:t xml:space="preserve"> </w:t>
      </w:r>
      <w:r w:rsidR="0085355E" w:rsidRPr="00A96231">
        <w:rPr>
          <w:rFonts w:ascii="Gadugi" w:hAnsi="Gadugi"/>
          <w:sz w:val="24"/>
          <w:szCs w:val="24"/>
        </w:rPr>
        <w:t xml:space="preserve"> </w:t>
      </w:r>
      <w:r w:rsidR="003F5B8E" w:rsidRPr="00A96231">
        <w:rPr>
          <w:rFonts w:ascii="Gadugi" w:hAnsi="Gadugi"/>
          <w:sz w:val="24"/>
          <w:szCs w:val="24"/>
        </w:rPr>
        <w:t xml:space="preserve"> </w:t>
      </w:r>
      <w:r w:rsidR="00D475CE" w:rsidRPr="00A96231">
        <w:rPr>
          <w:rFonts w:ascii="Gadugi" w:hAnsi="Gadugi"/>
          <w:sz w:val="24"/>
          <w:szCs w:val="24"/>
        </w:rPr>
        <w:t xml:space="preserve"> </w:t>
      </w:r>
      <w:r w:rsidR="003F45D8" w:rsidRPr="00A96231">
        <w:rPr>
          <w:rFonts w:ascii="Gadugi" w:hAnsi="Gadugi"/>
          <w:sz w:val="24"/>
          <w:szCs w:val="24"/>
        </w:rPr>
        <w:t xml:space="preserve"> </w:t>
      </w:r>
      <w:r w:rsidR="00041D47" w:rsidRPr="00A96231">
        <w:rPr>
          <w:rFonts w:ascii="Gadugi" w:hAnsi="Gadugi"/>
          <w:sz w:val="24"/>
          <w:szCs w:val="24"/>
        </w:rPr>
        <w:t xml:space="preserve"> </w:t>
      </w:r>
      <w:r w:rsidR="00306C9C" w:rsidRPr="00A96231">
        <w:rPr>
          <w:rFonts w:ascii="Gadugi" w:hAnsi="Gadugi"/>
          <w:sz w:val="24"/>
          <w:szCs w:val="24"/>
        </w:rPr>
        <w:t xml:space="preserve"> </w:t>
      </w:r>
      <w:r w:rsidR="003B3B92" w:rsidRPr="00A96231">
        <w:rPr>
          <w:rFonts w:ascii="Gadugi" w:hAnsi="Gadugi"/>
          <w:sz w:val="24"/>
          <w:szCs w:val="24"/>
        </w:rPr>
        <w:t xml:space="preserve"> </w:t>
      </w:r>
      <w:r w:rsidR="003C1950" w:rsidRPr="00A96231">
        <w:rPr>
          <w:rFonts w:ascii="Gadugi" w:hAnsi="Gadugi"/>
          <w:sz w:val="24"/>
          <w:szCs w:val="24"/>
        </w:rPr>
        <w:t xml:space="preserve"> </w:t>
      </w:r>
      <w:r w:rsidR="00E45B97" w:rsidRPr="00A96231">
        <w:rPr>
          <w:rFonts w:ascii="Gadugi" w:hAnsi="Gadugi"/>
          <w:sz w:val="24"/>
          <w:szCs w:val="24"/>
        </w:rPr>
        <w:t xml:space="preserve"> </w:t>
      </w:r>
      <w:r w:rsidR="003A2345" w:rsidRPr="00A96231">
        <w:rPr>
          <w:rFonts w:ascii="Gadugi" w:hAnsi="Gadugi"/>
          <w:sz w:val="24"/>
          <w:szCs w:val="24"/>
        </w:rPr>
        <w:t xml:space="preserve"> </w:t>
      </w:r>
      <w:r w:rsidR="00E45B97" w:rsidRPr="00A96231">
        <w:rPr>
          <w:rFonts w:ascii="Gadugi" w:hAnsi="Gadugi"/>
          <w:sz w:val="24"/>
          <w:szCs w:val="24"/>
        </w:rPr>
        <w:t xml:space="preserve">           </w:t>
      </w:r>
      <w:r w:rsidRPr="00A96231">
        <w:rPr>
          <w:rFonts w:ascii="Gadugi" w:hAnsi="Gadugi"/>
          <w:sz w:val="24"/>
          <w:szCs w:val="24"/>
        </w:rPr>
        <w:t xml:space="preserve"> </w:t>
      </w:r>
      <w:r w:rsidR="00167C1B" w:rsidRPr="00A96231">
        <w:rPr>
          <w:rFonts w:ascii="Gadugi" w:hAnsi="Gadugi"/>
          <w:sz w:val="24"/>
          <w:szCs w:val="24"/>
        </w:rPr>
        <w:t xml:space="preserve"> </w:t>
      </w:r>
      <w:r w:rsidRPr="00A96231">
        <w:rPr>
          <w:rFonts w:ascii="Gadugi" w:hAnsi="Gadugi"/>
          <w:sz w:val="24"/>
          <w:szCs w:val="24"/>
        </w:rPr>
        <w:t xml:space="preserve">         </w:t>
      </w:r>
    </w:p>
    <w:p w14:paraId="0AD6FEC9" w14:textId="1E564B74" w:rsidR="00622EA3" w:rsidRPr="00A96231" w:rsidRDefault="00622EA3" w:rsidP="00A96231">
      <w:pPr>
        <w:spacing w:line="276" w:lineRule="auto"/>
        <w:ind w:firstLine="2835"/>
        <w:jc w:val="both"/>
        <w:rPr>
          <w:rFonts w:ascii="Gadugi" w:hAnsi="Gadugi"/>
          <w:sz w:val="24"/>
          <w:szCs w:val="24"/>
        </w:rPr>
      </w:pPr>
      <w:r w:rsidRPr="00A96231">
        <w:rPr>
          <w:rFonts w:ascii="Gadugi" w:hAnsi="Gadugi"/>
          <w:sz w:val="24"/>
          <w:szCs w:val="24"/>
        </w:rPr>
        <w:t>Expediente: 660012213000202</w:t>
      </w:r>
      <w:r w:rsidR="009318C3" w:rsidRPr="00A96231">
        <w:rPr>
          <w:rFonts w:ascii="Gadugi" w:hAnsi="Gadugi"/>
          <w:sz w:val="24"/>
          <w:szCs w:val="24"/>
        </w:rPr>
        <w:t>2</w:t>
      </w:r>
      <w:r w:rsidRPr="00A96231">
        <w:rPr>
          <w:rFonts w:ascii="Gadugi" w:hAnsi="Gadugi"/>
          <w:sz w:val="24"/>
          <w:szCs w:val="24"/>
        </w:rPr>
        <w:t>00</w:t>
      </w:r>
      <w:r w:rsidR="00416B12" w:rsidRPr="00A96231">
        <w:rPr>
          <w:rFonts w:ascii="Gadugi" w:hAnsi="Gadugi"/>
          <w:sz w:val="24"/>
          <w:szCs w:val="24"/>
        </w:rPr>
        <w:t>174</w:t>
      </w:r>
      <w:r w:rsidRPr="00A96231">
        <w:rPr>
          <w:rFonts w:ascii="Gadugi" w:hAnsi="Gadugi"/>
          <w:sz w:val="24"/>
          <w:szCs w:val="24"/>
        </w:rPr>
        <w:t>00</w:t>
      </w:r>
    </w:p>
    <w:p w14:paraId="74F910DA" w14:textId="5CEE5F7F" w:rsidR="00622EA3" w:rsidRPr="00A96231" w:rsidRDefault="00622EA3" w:rsidP="00A96231">
      <w:pPr>
        <w:spacing w:line="276" w:lineRule="auto"/>
        <w:jc w:val="both"/>
        <w:rPr>
          <w:rFonts w:ascii="Gadugi" w:hAnsi="Gadugi"/>
          <w:sz w:val="24"/>
          <w:szCs w:val="24"/>
          <w:lang w:val="es-CO"/>
        </w:rPr>
      </w:pPr>
      <w:r w:rsidRPr="00A96231">
        <w:rPr>
          <w:rFonts w:ascii="Gadugi" w:hAnsi="Gadugi"/>
          <w:sz w:val="24"/>
          <w:szCs w:val="24"/>
        </w:rPr>
        <w:t xml:space="preserve">                        </w:t>
      </w:r>
      <w:r w:rsidRPr="00A96231">
        <w:rPr>
          <w:rFonts w:ascii="Gadugi" w:hAnsi="Gadugi"/>
          <w:sz w:val="24"/>
          <w:szCs w:val="24"/>
        </w:rPr>
        <w:tab/>
      </w:r>
      <w:r w:rsidRPr="00A96231">
        <w:rPr>
          <w:rFonts w:ascii="Gadugi" w:hAnsi="Gadugi"/>
          <w:sz w:val="24"/>
          <w:szCs w:val="24"/>
        </w:rPr>
        <w:tab/>
        <w:t>Acta:</w:t>
      </w:r>
      <w:r w:rsidR="00F03C1A" w:rsidRPr="00A96231">
        <w:rPr>
          <w:rFonts w:ascii="Gadugi" w:hAnsi="Gadugi"/>
          <w:sz w:val="24"/>
          <w:szCs w:val="24"/>
        </w:rPr>
        <w:t xml:space="preserve"> 348 del 28 de julio de 2022</w:t>
      </w:r>
      <w:r w:rsidR="00C850DC" w:rsidRPr="00A96231">
        <w:rPr>
          <w:rFonts w:ascii="Gadugi" w:hAnsi="Gadugi"/>
          <w:sz w:val="24"/>
          <w:szCs w:val="24"/>
        </w:rPr>
        <w:t xml:space="preserve"> </w:t>
      </w:r>
      <w:r w:rsidR="00FF7820" w:rsidRPr="00A96231">
        <w:rPr>
          <w:rFonts w:ascii="Gadugi" w:hAnsi="Gadugi"/>
          <w:sz w:val="24"/>
          <w:szCs w:val="24"/>
        </w:rPr>
        <w:t xml:space="preserve"> </w:t>
      </w:r>
      <w:r w:rsidR="00CA22AE" w:rsidRPr="00A96231">
        <w:rPr>
          <w:rFonts w:ascii="Gadugi" w:hAnsi="Gadugi"/>
          <w:sz w:val="24"/>
          <w:szCs w:val="24"/>
        </w:rPr>
        <w:t xml:space="preserve"> </w:t>
      </w:r>
      <w:r w:rsidR="0021665D" w:rsidRPr="00A96231">
        <w:rPr>
          <w:rFonts w:ascii="Gadugi" w:hAnsi="Gadugi"/>
          <w:sz w:val="24"/>
          <w:szCs w:val="24"/>
        </w:rPr>
        <w:t xml:space="preserve"> </w:t>
      </w:r>
      <w:r w:rsidR="00B8427B" w:rsidRPr="00A96231">
        <w:rPr>
          <w:rFonts w:ascii="Gadugi" w:hAnsi="Gadugi"/>
          <w:sz w:val="24"/>
          <w:szCs w:val="24"/>
        </w:rPr>
        <w:t xml:space="preserve"> </w:t>
      </w:r>
      <w:r w:rsidR="009318C3" w:rsidRPr="00A96231">
        <w:rPr>
          <w:rFonts w:ascii="Gadugi" w:hAnsi="Gadugi"/>
          <w:sz w:val="24"/>
          <w:szCs w:val="24"/>
        </w:rPr>
        <w:t xml:space="preserve"> </w:t>
      </w:r>
      <w:r w:rsidR="00D475CE" w:rsidRPr="00A96231">
        <w:rPr>
          <w:rFonts w:ascii="Gadugi" w:hAnsi="Gadugi"/>
          <w:sz w:val="24"/>
          <w:szCs w:val="24"/>
        </w:rPr>
        <w:t xml:space="preserve"> </w:t>
      </w:r>
      <w:r w:rsidR="00B85916" w:rsidRPr="00A96231">
        <w:rPr>
          <w:rFonts w:ascii="Gadugi" w:hAnsi="Gadugi"/>
          <w:sz w:val="24"/>
          <w:szCs w:val="24"/>
        </w:rPr>
        <w:t xml:space="preserve"> </w:t>
      </w:r>
      <w:r w:rsidR="0085355E" w:rsidRPr="00A96231">
        <w:rPr>
          <w:rFonts w:ascii="Gadugi" w:hAnsi="Gadugi"/>
          <w:sz w:val="24"/>
          <w:szCs w:val="24"/>
        </w:rPr>
        <w:t xml:space="preserve"> </w:t>
      </w:r>
      <w:r w:rsidR="003F45D8" w:rsidRPr="00A96231">
        <w:rPr>
          <w:rFonts w:ascii="Gadugi" w:hAnsi="Gadugi"/>
          <w:sz w:val="24"/>
          <w:szCs w:val="24"/>
        </w:rPr>
        <w:t xml:space="preserve"> </w:t>
      </w:r>
      <w:r w:rsidR="00041D47" w:rsidRPr="00A96231">
        <w:rPr>
          <w:rFonts w:ascii="Gadugi" w:hAnsi="Gadugi"/>
          <w:sz w:val="24"/>
          <w:szCs w:val="24"/>
        </w:rPr>
        <w:t xml:space="preserve"> </w:t>
      </w:r>
      <w:r w:rsidR="00306C9C" w:rsidRPr="00A96231">
        <w:rPr>
          <w:rFonts w:ascii="Gadugi" w:hAnsi="Gadugi"/>
          <w:sz w:val="24"/>
          <w:szCs w:val="24"/>
        </w:rPr>
        <w:t xml:space="preserve"> </w:t>
      </w:r>
      <w:r w:rsidR="00E45B97" w:rsidRPr="00A96231">
        <w:rPr>
          <w:rFonts w:ascii="Gadugi" w:hAnsi="Gadugi"/>
          <w:sz w:val="24"/>
          <w:szCs w:val="24"/>
        </w:rPr>
        <w:t xml:space="preserve"> </w:t>
      </w:r>
      <w:r w:rsidR="003C1950" w:rsidRPr="00A96231">
        <w:rPr>
          <w:rFonts w:ascii="Gadugi" w:hAnsi="Gadugi"/>
          <w:sz w:val="24"/>
          <w:szCs w:val="24"/>
        </w:rPr>
        <w:t xml:space="preserve"> </w:t>
      </w:r>
      <w:r w:rsidR="003A2345" w:rsidRPr="00A96231">
        <w:rPr>
          <w:rFonts w:ascii="Gadugi" w:hAnsi="Gadugi"/>
          <w:sz w:val="24"/>
          <w:szCs w:val="24"/>
        </w:rPr>
        <w:t xml:space="preserve"> </w:t>
      </w:r>
      <w:r w:rsidRPr="00A96231">
        <w:rPr>
          <w:rFonts w:ascii="Gadugi" w:hAnsi="Gadugi"/>
          <w:sz w:val="24"/>
          <w:szCs w:val="24"/>
        </w:rPr>
        <w:t xml:space="preserve"> </w:t>
      </w:r>
      <w:r w:rsidR="00167C1B" w:rsidRPr="00A96231">
        <w:rPr>
          <w:rFonts w:ascii="Gadugi" w:hAnsi="Gadugi"/>
          <w:sz w:val="24"/>
          <w:szCs w:val="24"/>
        </w:rPr>
        <w:t xml:space="preserve"> </w:t>
      </w:r>
      <w:r w:rsidRPr="00A96231">
        <w:rPr>
          <w:rFonts w:ascii="Gadugi" w:hAnsi="Gadugi"/>
          <w:sz w:val="24"/>
          <w:szCs w:val="24"/>
        </w:rPr>
        <w:t xml:space="preserve">     </w:t>
      </w:r>
    </w:p>
    <w:p w14:paraId="12085F01" w14:textId="72C734AA" w:rsidR="00622EA3" w:rsidRPr="00A96231" w:rsidRDefault="00622EA3" w:rsidP="00A96231">
      <w:pPr>
        <w:spacing w:line="276" w:lineRule="auto"/>
        <w:jc w:val="both"/>
        <w:rPr>
          <w:rFonts w:ascii="Gadugi" w:hAnsi="Gadugi"/>
          <w:sz w:val="24"/>
          <w:szCs w:val="24"/>
          <w:lang w:val="es-419"/>
        </w:rPr>
      </w:pP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t>Sentencia:</w:t>
      </w:r>
      <w:r w:rsidR="00E45B97" w:rsidRPr="00A96231">
        <w:rPr>
          <w:rFonts w:ascii="Gadugi" w:hAnsi="Gadugi"/>
          <w:sz w:val="24"/>
          <w:szCs w:val="24"/>
        </w:rPr>
        <w:t xml:space="preserve"> </w:t>
      </w:r>
      <w:r w:rsidR="00F03C1A" w:rsidRPr="00A96231">
        <w:rPr>
          <w:rFonts w:ascii="Gadugi" w:hAnsi="Gadugi"/>
          <w:sz w:val="24"/>
          <w:szCs w:val="24"/>
        </w:rPr>
        <w:t>ST1-0146-2022</w:t>
      </w:r>
      <w:r w:rsidR="00FF7820" w:rsidRPr="00A96231">
        <w:rPr>
          <w:rFonts w:ascii="Gadugi" w:hAnsi="Gadugi"/>
          <w:sz w:val="24"/>
          <w:szCs w:val="24"/>
        </w:rPr>
        <w:t xml:space="preserve"> </w:t>
      </w:r>
    </w:p>
    <w:p w14:paraId="66315ABD" w14:textId="77777777" w:rsidR="00622EA3" w:rsidRPr="00A96231" w:rsidRDefault="00622EA3" w:rsidP="00A96231">
      <w:pPr>
        <w:spacing w:line="276" w:lineRule="auto"/>
        <w:ind w:firstLine="2835"/>
        <w:jc w:val="both"/>
        <w:rPr>
          <w:rFonts w:ascii="Gadugi" w:hAnsi="Gadugi"/>
          <w:sz w:val="24"/>
          <w:szCs w:val="24"/>
        </w:rPr>
      </w:pPr>
    </w:p>
    <w:p w14:paraId="0E72F967" w14:textId="4C1E39C0" w:rsidR="00622EA3" w:rsidRPr="00A96231" w:rsidRDefault="00622EA3" w:rsidP="00A96231">
      <w:pPr>
        <w:spacing w:line="276" w:lineRule="auto"/>
        <w:ind w:firstLine="2835"/>
        <w:jc w:val="both"/>
        <w:rPr>
          <w:rFonts w:ascii="Gadugi" w:hAnsi="Gadugi"/>
          <w:sz w:val="24"/>
          <w:szCs w:val="24"/>
        </w:rPr>
      </w:pPr>
    </w:p>
    <w:p w14:paraId="4A19C3EA" w14:textId="62E61ED6" w:rsidR="00DE2D75" w:rsidRPr="00A96231" w:rsidRDefault="00622EA3" w:rsidP="00A96231">
      <w:pPr>
        <w:spacing w:line="276" w:lineRule="auto"/>
        <w:ind w:firstLine="2835"/>
        <w:jc w:val="both"/>
        <w:rPr>
          <w:rFonts w:ascii="Gadugi" w:hAnsi="Gadugi"/>
          <w:sz w:val="24"/>
          <w:szCs w:val="24"/>
          <w:lang w:val="es-MX"/>
        </w:rPr>
      </w:pPr>
      <w:r w:rsidRPr="00A96231">
        <w:rPr>
          <w:rFonts w:ascii="Gadugi" w:hAnsi="Gadugi" w:cs="Century Gothic"/>
          <w:sz w:val="24"/>
          <w:szCs w:val="24"/>
        </w:rPr>
        <w:t>Decide la Sala la acción de tutela promovida</w:t>
      </w:r>
      <w:r w:rsidR="00367F04" w:rsidRPr="00A96231">
        <w:rPr>
          <w:rFonts w:ascii="Gadugi" w:hAnsi="Gadugi" w:cs="Century Gothic"/>
          <w:sz w:val="24"/>
          <w:szCs w:val="24"/>
        </w:rPr>
        <w:t xml:space="preserve"> por</w:t>
      </w:r>
      <w:r w:rsidR="009318C3" w:rsidRPr="00A96231">
        <w:rPr>
          <w:rFonts w:ascii="Gadugi" w:hAnsi="Gadugi" w:cs="Century Gothic"/>
          <w:sz w:val="24"/>
          <w:szCs w:val="24"/>
        </w:rPr>
        <w:t xml:space="preserve"> </w:t>
      </w:r>
      <w:r w:rsidR="00FF7820" w:rsidRPr="00A96231">
        <w:rPr>
          <w:rFonts w:ascii="Gadugi" w:hAnsi="Gadugi" w:cs="Century Gothic"/>
          <w:sz w:val="24"/>
          <w:szCs w:val="24"/>
        </w:rPr>
        <w:t xml:space="preserve">la </w:t>
      </w:r>
      <w:r w:rsidR="00FF7820" w:rsidRPr="00A96231">
        <w:rPr>
          <w:rFonts w:ascii="Gadugi" w:hAnsi="Gadugi" w:cs="Century Gothic"/>
          <w:b/>
          <w:sz w:val="24"/>
          <w:szCs w:val="24"/>
        </w:rPr>
        <w:t xml:space="preserve">Comercializadora Arturo Calle S.A.S. </w:t>
      </w:r>
      <w:r w:rsidR="009318C3" w:rsidRPr="00A96231">
        <w:rPr>
          <w:rFonts w:ascii="Gadugi" w:hAnsi="Gadugi" w:cs="Century Gothic"/>
          <w:sz w:val="24"/>
          <w:szCs w:val="24"/>
        </w:rPr>
        <w:t>contra el</w:t>
      </w:r>
      <w:r w:rsidR="009318C3" w:rsidRPr="00A96231">
        <w:rPr>
          <w:rFonts w:ascii="Gadugi" w:hAnsi="Gadugi" w:cs="Century Gothic"/>
          <w:b/>
          <w:sz w:val="24"/>
          <w:szCs w:val="24"/>
        </w:rPr>
        <w:t xml:space="preserve"> Juzgado </w:t>
      </w:r>
      <w:r w:rsidR="00FF7820" w:rsidRPr="00A96231">
        <w:rPr>
          <w:rFonts w:ascii="Gadugi" w:hAnsi="Gadugi" w:cs="Century Gothic"/>
          <w:b/>
          <w:sz w:val="24"/>
          <w:szCs w:val="24"/>
        </w:rPr>
        <w:t>Quinto</w:t>
      </w:r>
      <w:r w:rsidR="009318C3" w:rsidRPr="00A96231">
        <w:rPr>
          <w:rFonts w:ascii="Gadugi" w:hAnsi="Gadugi" w:cs="Century Gothic"/>
          <w:b/>
          <w:sz w:val="24"/>
          <w:szCs w:val="24"/>
        </w:rPr>
        <w:t xml:space="preserve"> Civil del Circuito de Pereira</w:t>
      </w:r>
      <w:r w:rsidR="009318C3" w:rsidRPr="00A96231">
        <w:rPr>
          <w:rFonts w:ascii="Gadugi" w:hAnsi="Gadugi" w:cs="Century Gothic"/>
          <w:sz w:val="24"/>
          <w:szCs w:val="24"/>
        </w:rPr>
        <w:t>, y a la que fueron vinculados</w:t>
      </w:r>
      <w:r w:rsidR="00FF7820" w:rsidRPr="00A96231">
        <w:rPr>
          <w:rFonts w:ascii="Gadugi" w:hAnsi="Gadugi" w:cs="Century Gothic"/>
          <w:sz w:val="24"/>
          <w:szCs w:val="24"/>
        </w:rPr>
        <w:t xml:space="preserve"> </w:t>
      </w:r>
      <w:r w:rsidR="00FF7820" w:rsidRPr="00763489">
        <w:rPr>
          <w:rFonts w:ascii="Gadugi" w:hAnsi="Gadugi" w:cs="Century Gothic"/>
          <w:b/>
          <w:sz w:val="24"/>
          <w:szCs w:val="24"/>
        </w:rPr>
        <w:t>Javier Elías Arias Idárraga</w:t>
      </w:r>
      <w:r w:rsidR="00FF7820" w:rsidRPr="00A96231">
        <w:rPr>
          <w:rFonts w:ascii="Gadugi" w:hAnsi="Gadugi" w:cs="Century Gothic"/>
          <w:sz w:val="24"/>
          <w:szCs w:val="24"/>
        </w:rPr>
        <w:t xml:space="preserve">, </w:t>
      </w:r>
      <w:r w:rsidR="00FF7820" w:rsidRPr="00763489">
        <w:rPr>
          <w:rFonts w:ascii="Gadugi" w:hAnsi="Gadugi" w:cs="Century Gothic"/>
          <w:b/>
          <w:sz w:val="24"/>
          <w:szCs w:val="24"/>
        </w:rPr>
        <w:t>Cotty Morales Caamaño</w:t>
      </w:r>
      <w:r w:rsidR="00FF7820" w:rsidRPr="00A96231">
        <w:rPr>
          <w:rFonts w:ascii="Gadugi" w:hAnsi="Gadugi" w:cs="Century Gothic"/>
          <w:sz w:val="24"/>
          <w:szCs w:val="24"/>
        </w:rPr>
        <w:t xml:space="preserve">, la </w:t>
      </w:r>
      <w:r w:rsidR="00FF7820" w:rsidRPr="00763489">
        <w:rPr>
          <w:rFonts w:ascii="Gadugi" w:hAnsi="Gadugi" w:cs="Century Gothic"/>
          <w:b/>
          <w:sz w:val="24"/>
          <w:szCs w:val="24"/>
        </w:rPr>
        <w:t>Alcaldía</w:t>
      </w:r>
      <w:r w:rsidR="00FF7820" w:rsidRPr="00A96231">
        <w:rPr>
          <w:rFonts w:ascii="Gadugi" w:hAnsi="Gadugi" w:cs="Century Gothic"/>
          <w:sz w:val="24"/>
          <w:szCs w:val="24"/>
        </w:rPr>
        <w:t xml:space="preserve"> y la </w:t>
      </w:r>
      <w:r w:rsidR="00FF7820" w:rsidRPr="00763489">
        <w:rPr>
          <w:rFonts w:ascii="Gadugi" w:hAnsi="Gadugi" w:cs="Century Gothic"/>
          <w:b/>
          <w:sz w:val="24"/>
          <w:szCs w:val="24"/>
        </w:rPr>
        <w:t>Personería de Pereira</w:t>
      </w:r>
      <w:r w:rsidR="00FF7820" w:rsidRPr="00A96231">
        <w:rPr>
          <w:rFonts w:ascii="Gadugi" w:hAnsi="Gadugi" w:cs="Century Gothic"/>
          <w:sz w:val="24"/>
          <w:szCs w:val="24"/>
        </w:rPr>
        <w:t xml:space="preserve">, así como la </w:t>
      </w:r>
      <w:r w:rsidR="00FF7820" w:rsidRPr="00763489">
        <w:rPr>
          <w:rFonts w:ascii="Gadugi" w:hAnsi="Gadugi" w:cs="Century Gothic"/>
          <w:b/>
          <w:sz w:val="24"/>
          <w:szCs w:val="24"/>
        </w:rPr>
        <w:t>Procuraduría</w:t>
      </w:r>
      <w:r w:rsidR="00FF7820" w:rsidRPr="00A96231">
        <w:rPr>
          <w:rFonts w:ascii="Gadugi" w:hAnsi="Gadugi" w:cs="Century Gothic"/>
          <w:sz w:val="24"/>
          <w:szCs w:val="24"/>
        </w:rPr>
        <w:t xml:space="preserve"> y la </w:t>
      </w:r>
      <w:r w:rsidR="00FF7820" w:rsidRPr="00763489">
        <w:rPr>
          <w:rFonts w:ascii="Gadugi" w:hAnsi="Gadugi" w:cs="Century Gothic"/>
          <w:b/>
          <w:sz w:val="24"/>
          <w:szCs w:val="24"/>
        </w:rPr>
        <w:t>Defensoría del Pueblo de Risaralda</w:t>
      </w:r>
      <w:r w:rsidR="00FF7820" w:rsidRPr="00A96231">
        <w:rPr>
          <w:rFonts w:ascii="Gadugi" w:hAnsi="Gadugi" w:cs="Century Gothic"/>
          <w:sz w:val="24"/>
          <w:szCs w:val="24"/>
        </w:rPr>
        <w:t>.</w:t>
      </w:r>
      <w:r w:rsidR="00334BA2" w:rsidRPr="00A96231">
        <w:rPr>
          <w:rFonts w:ascii="Gadugi" w:hAnsi="Gadugi"/>
          <w:sz w:val="24"/>
          <w:szCs w:val="24"/>
          <w:lang w:val="es-MX"/>
        </w:rPr>
        <w:tab/>
      </w:r>
      <w:r w:rsidR="00334BA2" w:rsidRPr="00A96231">
        <w:rPr>
          <w:rFonts w:ascii="Gadugi" w:hAnsi="Gadugi"/>
          <w:sz w:val="24"/>
          <w:szCs w:val="24"/>
          <w:lang w:val="es-MX"/>
        </w:rPr>
        <w:tab/>
      </w:r>
      <w:r w:rsidR="00334BA2" w:rsidRPr="00A96231">
        <w:rPr>
          <w:rFonts w:ascii="Gadugi" w:hAnsi="Gadugi"/>
          <w:sz w:val="24"/>
          <w:szCs w:val="24"/>
          <w:lang w:val="es-MX"/>
        </w:rPr>
        <w:tab/>
      </w:r>
      <w:r w:rsidR="00334BA2" w:rsidRPr="00A96231">
        <w:rPr>
          <w:rFonts w:ascii="Gadugi" w:hAnsi="Gadugi"/>
          <w:sz w:val="24"/>
          <w:szCs w:val="24"/>
          <w:lang w:val="es-MX"/>
        </w:rPr>
        <w:tab/>
      </w:r>
    </w:p>
    <w:p w14:paraId="2DB3B120" w14:textId="192BCA8F" w:rsidR="0021665D" w:rsidRPr="00A96231" w:rsidRDefault="0021665D" w:rsidP="00A96231">
      <w:pPr>
        <w:spacing w:line="276" w:lineRule="auto"/>
        <w:rPr>
          <w:rFonts w:ascii="Gadugi" w:hAnsi="Gadugi"/>
          <w:sz w:val="24"/>
          <w:szCs w:val="24"/>
          <w:lang w:val="es-MX"/>
        </w:rPr>
      </w:pPr>
    </w:p>
    <w:p w14:paraId="4006902A" w14:textId="77777777" w:rsidR="002621F6" w:rsidRPr="00A96231" w:rsidRDefault="002621F6" w:rsidP="00A96231">
      <w:pPr>
        <w:spacing w:line="276" w:lineRule="auto"/>
        <w:rPr>
          <w:rFonts w:ascii="Gadugi" w:hAnsi="Gadugi"/>
          <w:sz w:val="24"/>
          <w:szCs w:val="24"/>
          <w:lang w:val="es-MX"/>
        </w:rPr>
      </w:pPr>
    </w:p>
    <w:p w14:paraId="5FC40CE4" w14:textId="3F3D801A" w:rsidR="00622EA3" w:rsidRPr="00A96231" w:rsidRDefault="000222F5" w:rsidP="00A96231">
      <w:pPr>
        <w:pStyle w:val="Ttulo4"/>
        <w:spacing w:line="276" w:lineRule="auto"/>
        <w:rPr>
          <w:rFonts w:ascii="Gadugi" w:hAnsi="Gadugi"/>
          <w:b/>
          <w:sz w:val="24"/>
          <w:szCs w:val="24"/>
        </w:rPr>
      </w:pPr>
      <w:r w:rsidRPr="00A96231">
        <w:rPr>
          <w:rFonts w:ascii="Gadugi" w:hAnsi="Gadugi"/>
          <w:b/>
          <w:sz w:val="24"/>
          <w:szCs w:val="24"/>
        </w:rPr>
        <w:t xml:space="preserve">1. </w:t>
      </w:r>
      <w:r w:rsidR="00622EA3" w:rsidRPr="00A96231">
        <w:rPr>
          <w:rFonts w:ascii="Gadugi" w:hAnsi="Gadugi"/>
          <w:b/>
          <w:sz w:val="24"/>
          <w:szCs w:val="24"/>
        </w:rPr>
        <w:t>ANTECEDENTES</w:t>
      </w:r>
    </w:p>
    <w:p w14:paraId="7F2F7AAA" w14:textId="77777777" w:rsidR="00622EA3" w:rsidRPr="00A96231" w:rsidRDefault="00622EA3" w:rsidP="00A96231">
      <w:pPr>
        <w:spacing w:line="276" w:lineRule="auto"/>
        <w:jc w:val="both"/>
        <w:rPr>
          <w:rFonts w:ascii="Gadugi" w:hAnsi="Gadugi" w:cs="Century Gothic"/>
          <w:sz w:val="24"/>
          <w:szCs w:val="24"/>
        </w:rPr>
      </w:pPr>
      <w:r w:rsidRPr="00A96231">
        <w:rPr>
          <w:rFonts w:ascii="Gadugi" w:hAnsi="Gadugi" w:cs="Century Gothic"/>
          <w:sz w:val="24"/>
          <w:szCs w:val="24"/>
        </w:rPr>
        <w:tab/>
      </w:r>
      <w:r w:rsidRPr="00A96231">
        <w:rPr>
          <w:rFonts w:ascii="Gadugi" w:hAnsi="Gadugi" w:cs="Century Gothic"/>
          <w:sz w:val="24"/>
          <w:szCs w:val="24"/>
        </w:rPr>
        <w:tab/>
      </w:r>
      <w:r w:rsidRPr="00A96231">
        <w:rPr>
          <w:rFonts w:ascii="Gadugi" w:hAnsi="Gadugi" w:cs="Century Gothic"/>
          <w:sz w:val="24"/>
          <w:szCs w:val="24"/>
        </w:rPr>
        <w:tab/>
      </w:r>
      <w:r w:rsidRPr="00A96231">
        <w:rPr>
          <w:rFonts w:ascii="Gadugi" w:hAnsi="Gadugi" w:cs="Century Gothic"/>
          <w:sz w:val="24"/>
          <w:szCs w:val="24"/>
        </w:rPr>
        <w:tab/>
      </w:r>
    </w:p>
    <w:p w14:paraId="08F3C42B" w14:textId="688E4CEF" w:rsidR="0027127C" w:rsidRPr="00A96231" w:rsidRDefault="005B401B"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p>
    <w:p w14:paraId="10AC0824" w14:textId="4F57DE42" w:rsidR="003F378D" w:rsidRPr="00A96231" w:rsidRDefault="0027127C"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000222F5" w:rsidRPr="00A96231">
        <w:rPr>
          <w:rFonts w:ascii="Gadugi" w:hAnsi="Gadugi" w:cs="Century Gothic"/>
          <w:sz w:val="24"/>
          <w:szCs w:val="24"/>
          <w:lang w:val="es-CO"/>
        </w:rPr>
        <w:t xml:space="preserve">1.1. </w:t>
      </w:r>
      <w:r w:rsidR="00FF7820" w:rsidRPr="00A96231">
        <w:rPr>
          <w:rFonts w:ascii="Gadugi" w:hAnsi="Gadugi" w:cs="Century Gothic"/>
          <w:sz w:val="24"/>
          <w:szCs w:val="24"/>
          <w:lang w:val="es-CO"/>
        </w:rPr>
        <w:t>Se narró en la demanda que, dentro de la acción popular</w:t>
      </w:r>
      <w:r w:rsidR="00A46F30" w:rsidRPr="00A96231">
        <w:rPr>
          <w:rFonts w:ascii="Gadugi" w:hAnsi="Gadugi" w:cs="Century Gothic"/>
          <w:sz w:val="24"/>
          <w:szCs w:val="24"/>
          <w:lang w:val="es-CO"/>
        </w:rPr>
        <w:t xml:space="preserve"> con radicado</w:t>
      </w:r>
      <w:r w:rsidR="00FF7820" w:rsidRPr="00A96231">
        <w:rPr>
          <w:rFonts w:ascii="Gadugi" w:hAnsi="Gadugi" w:cs="Century Gothic"/>
          <w:sz w:val="24"/>
          <w:szCs w:val="24"/>
          <w:lang w:val="es-CO"/>
        </w:rPr>
        <w:t xml:space="preserve"> </w:t>
      </w:r>
      <w:r w:rsidR="00FF7820" w:rsidRPr="00A96231">
        <w:rPr>
          <w:rFonts w:ascii="Gadugi" w:hAnsi="Gadugi" w:cs="Century Gothic"/>
          <w:b/>
          <w:sz w:val="24"/>
          <w:szCs w:val="24"/>
          <w:lang w:val="es-CO"/>
        </w:rPr>
        <w:t>2019-00189-00</w:t>
      </w:r>
      <w:r w:rsidR="00FF7820" w:rsidRPr="00A96231">
        <w:rPr>
          <w:rFonts w:ascii="Gadugi" w:hAnsi="Gadugi" w:cs="Century Gothic"/>
          <w:sz w:val="24"/>
          <w:szCs w:val="24"/>
          <w:lang w:val="es-CO"/>
        </w:rPr>
        <w:t>, el juzgado accionado</w:t>
      </w:r>
      <w:r w:rsidR="00A46F30" w:rsidRPr="00A96231">
        <w:rPr>
          <w:rFonts w:ascii="Gadugi" w:hAnsi="Gadugi" w:cs="Century Gothic"/>
          <w:sz w:val="24"/>
          <w:szCs w:val="24"/>
          <w:lang w:val="es-CO"/>
        </w:rPr>
        <w:t>, con auto del 27 de abril de 2021,</w:t>
      </w:r>
      <w:r w:rsidR="00FF7820" w:rsidRPr="00A96231">
        <w:rPr>
          <w:rFonts w:ascii="Gadugi" w:hAnsi="Gadugi" w:cs="Century Gothic"/>
          <w:sz w:val="24"/>
          <w:szCs w:val="24"/>
          <w:lang w:val="es-CO"/>
        </w:rPr>
        <w:t xml:space="preserve"> se negó a aceptar los alegatos de conclusión que presentó la sociedad demandada, aquí accionante, </w:t>
      </w:r>
      <w:r w:rsidR="00FF7820" w:rsidRPr="00A96231">
        <w:rPr>
          <w:rFonts w:ascii="Gadugi" w:hAnsi="Gadugi" w:cs="Century Gothic"/>
          <w:i/>
          <w:sz w:val="24"/>
          <w:szCs w:val="24"/>
          <w:lang w:val="es-CO"/>
        </w:rPr>
        <w:t>“</w:t>
      </w:r>
      <w:r w:rsidR="00FF7820" w:rsidRPr="00A96231">
        <w:rPr>
          <w:rFonts w:ascii="Gadugi" w:hAnsi="Gadugi" w:cs="Century Gothic"/>
          <w:i/>
          <w:sz w:val="22"/>
          <w:szCs w:val="24"/>
          <w:lang w:val="es-CO"/>
        </w:rPr>
        <w:t>(…) por cuanto el documento se radicó de un correo electrónico diferente al registrado en el SIRNA</w:t>
      </w:r>
      <w:r w:rsidR="00FF7820" w:rsidRPr="00A96231">
        <w:rPr>
          <w:rFonts w:ascii="Gadugi" w:hAnsi="Gadugi" w:cs="Century Gothic"/>
          <w:i/>
          <w:sz w:val="24"/>
          <w:szCs w:val="24"/>
          <w:lang w:val="es-CO"/>
        </w:rPr>
        <w:t xml:space="preserve">”; </w:t>
      </w:r>
      <w:r w:rsidR="00A46F30" w:rsidRPr="00A96231">
        <w:rPr>
          <w:rFonts w:ascii="Gadugi" w:hAnsi="Gadugi" w:cs="Century Gothic"/>
          <w:sz w:val="24"/>
          <w:szCs w:val="24"/>
          <w:lang w:val="es-CO"/>
        </w:rPr>
        <w:t xml:space="preserve">que contra tal decisión se formuló un recurso de reposición, pero el juzgado se sostuvo en su posición con proveído del 1° de junio del presente año. </w:t>
      </w:r>
    </w:p>
    <w:p w14:paraId="1BE3CBE0" w14:textId="78F66FA7" w:rsidR="0021665D" w:rsidRPr="00A96231" w:rsidRDefault="005B401B"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p>
    <w:p w14:paraId="2126462B" w14:textId="409E7541" w:rsidR="00A46F30" w:rsidRPr="00A96231" w:rsidRDefault="00A46F30" w:rsidP="00A96231">
      <w:pPr>
        <w:spacing w:line="276" w:lineRule="auto"/>
        <w:jc w:val="both"/>
        <w:rPr>
          <w:rFonts w:ascii="Gadugi" w:hAnsi="Gadugi" w:cs="Century Gothic"/>
          <w:i/>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 xml:space="preserve">En ese sentido se explicó que </w:t>
      </w:r>
      <w:r w:rsidRPr="00A96231">
        <w:rPr>
          <w:rFonts w:ascii="Gadugi" w:hAnsi="Gadugi" w:cs="Century Gothic"/>
          <w:i/>
          <w:sz w:val="24"/>
          <w:szCs w:val="24"/>
          <w:lang w:val="es-CO"/>
        </w:rPr>
        <w:t>“</w:t>
      </w:r>
      <w:r w:rsidRPr="00A96231">
        <w:rPr>
          <w:rFonts w:ascii="Gadugi" w:hAnsi="Gadugi" w:cs="Century Gothic"/>
          <w:i/>
          <w:sz w:val="22"/>
          <w:szCs w:val="24"/>
          <w:lang w:val="es-CO"/>
        </w:rPr>
        <w:t>(…) al no tenerse en cuenta los alegatos de conclusión presentados dentro del término legal oportuno, se configura un defecto procedimental por exceso ritual manifiesto, pues “no se puede negar la oportunidad a ser oído en el proceso por un requisito de forma tan básico como lo es la dirección electrónica de la cual se envía un documento al Despacho, siendo el documento debidamente identificado y firmado por el apoderado; además de haberse presentado en el término procesal adecuado</w:t>
      </w:r>
      <w:r w:rsidRPr="00A96231">
        <w:rPr>
          <w:rFonts w:ascii="Gadugi" w:hAnsi="Gadugi" w:cs="Century Gothic"/>
          <w:i/>
          <w:sz w:val="24"/>
          <w:szCs w:val="24"/>
          <w:lang w:val="es-CO"/>
        </w:rPr>
        <w:t>.”</w:t>
      </w:r>
    </w:p>
    <w:p w14:paraId="71D5FBE6" w14:textId="2C96541A" w:rsidR="00FF7820" w:rsidRPr="00A96231" w:rsidRDefault="00FF7820" w:rsidP="00A96231">
      <w:pPr>
        <w:spacing w:line="276" w:lineRule="auto"/>
        <w:jc w:val="both"/>
        <w:rPr>
          <w:rFonts w:ascii="Gadugi" w:hAnsi="Gadugi" w:cs="Century Gothic"/>
          <w:sz w:val="24"/>
          <w:szCs w:val="24"/>
          <w:lang w:val="es-CO"/>
        </w:rPr>
      </w:pPr>
    </w:p>
    <w:p w14:paraId="1E254456" w14:textId="1DB791C0" w:rsidR="00A46F30" w:rsidRPr="00A96231" w:rsidRDefault="00A46F30"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Se solicitó, entonces, declarar la nulidad del auto proferido el 1° de junio de 2022, y</w:t>
      </w:r>
      <w:r w:rsidR="00004344" w:rsidRPr="00A96231">
        <w:rPr>
          <w:rFonts w:ascii="Gadugi" w:hAnsi="Gadugi" w:cs="Century Gothic"/>
          <w:sz w:val="24"/>
          <w:szCs w:val="24"/>
          <w:lang w:val="es-CO"/>
        </w:rPr>
        <w:t>,</w:t>
      </w:r>
      <w:r w:rsidRPr="00A96231">
        <w:rPr>
          <w:rFonts w:ascii="Gadugi" w:hAnsi="Gadugi" w:cs="Century Gothic"/>
          <w:sz w:val="24"/>
          <w:szCs w:val="24"/>
          <w:lang w:val="es-CO"/>
        </w:rPr>
        <w:t xml:space="preserve"> en consecuencia, ordenarle al juzgado tener en cuenta los alegatos de conclusión.</w:t>
      </w:r>
      <w:r w:rsidR="00004344" w:rsidRPr="00A96231">
        <w:rPr>
          <w:rStyle w:val="Refdenotaalpie"/>
          <w:rFonts w:ascii="Gadugi" w:hAnsi="Gadugi"/>
          <w:sz w:val="24"/>
          <w:szCs w:val="24"/>
          <w:lang w:val="es-CO"/>
        </w:rPr>
        <w:footnoteReference w:id="1"/>
      </w:r>
      <w:r w:rsidRPr="00A96231">
        <w:rPr>
          <w:rFonts w:ascii="Gadugi" w:hAnsi="Gadugi" w:cs="Century Gothic"/>
          <w:sz w:val="24"/>
          <w:szCs w:val="24"/>
          <w:lang w:val="es-CO"/>
        </w:rPr>
        <w:t xml:space="preserve"> </w:t>
      </w:r>
    </w:p>
    <w:p w14:paraId="55E0D07A" w14:textId="2CAAACC4" w:rsidR="00104F3A" w:rsidRPr="00A96231" w:rsidRDefault="00104F3A" w:rsidP="00A96231">
      <w:pPr>
        <w:spacing w:line="276" w:lineRule="auto"/>
        <w:jc w:val="both"/>
        <w:rPr>
          <w:rFonts w:ascii="Gadugi" w:hAnsi="Gadugi" w:cs="Century Gothic"/>
          <w:sz w:val="24"/>
          <w:szCs w:val="24"/>
          <w:lang w:val="es-CO"/>
        </w:rPr>
      </w:pPr>
    </w:p>
    <w:p w14:paraId="4D204413" w14:textId="049F85A7" w:rsidR="00922285" w:rsidRPr="00A96231" w:rsidRDefault="00104F3A"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000222F5" w:rsidRPr="00A96231">
        <w:rPr>
          <w:rFonts w:ascii="Gadugi" w:hAnsi="Gadugi" w:cs="Century Gothic"/>
          <w:sz w:val="24"/>
          <w:szCs w:val="24"/>
          <w:lang w:val="es-CO"/>
        </w:rPr>
        <w:t xml:space="preserve">1.2. </w:t>
      </w:r>
      <w:r w:rsidR="00922285" w:rsidRPr="00A96231">
        <w:rPr>
          <w:rFonts w:ascii="Gadugi" w:hAnsi="Gadugi" w:cs="Century Gothic"/>
          <w:sz w:val="24"/>
          <w:szCs w:val="24"/>
          <w:lang w:val="es-CO"/>
        </w:rPr>
        <w:t>En esta sede</w:t>
      </w:r>
      <w:r w:rsidR="00D000A4" w:rsidRPr="00A96231">
        <w:rPr>
          <w:rFonts w:ascii="Gadugi" w:hAnsi="Gadugi" w:cs="Century Gothic"/>
          <w:sz w:val="24"/>
          <w:szCs w:val="24"/>
          <w:lang w:val="es-CO"/>
        </w:rPr>
        <w:t xml:space="preserve"> </w:t>
      </w:r>
      <w:r w:rsidR="00922285" w:rsidRPr="00A96231">
        <w:rPr>
          <w:rFonts w:ascii="Gadugi" w:hAnsi="Gadugi" w:cs="Century Gothic"/>
          <w:sz w:val="24"/>
          <w:szCs w:val="24"/>
          <w:lang w:val="es-CO"/>
        </w:rPr>
        <w:t>s</w:t>
      </w:r>
      <w:r w:rsidRPr="00A96231">
        <w:rPr>
          <w:rFonts w:ascii="Gadugi" w:hAnsi="Gadugi" w:cs="Century Gothic"/>
          <w:sz w:val="24"/>
          <w:szCs w:val="24"/>
          <w:lang w:val="es-CO"/>
        </w:rPr>
        <w:t xml:space="preserve">e dio impulso a la acción </w:t>
      </w:r>
      <w:r w:rsidR="00A46F30" w:rsidRPr="00A96231">
        <w:rPr>
          <w:rFonts w:ascii="Gadugi" w:hAnsi="Gadugi" w:cs="Century Gothic"/>
          <w:sz w:val="24"/>
          <w:szCs w:val="24"/>
          <w:lang w:val="es-CO"/>
        </w:rPr>
        <w:t xml:space="preserve">mediante proveído </w:t>
      </w:r>
      <w:r w:rsidRPr="00A96231">
        <w:rPr>
          <w:rFonts w:ascii="Gadugi" w:hAnsi="Gadugi" w:cs="Century Gothic"/>
          <w:sz w:val="24"/>
          <w:szCs w:val="24"/>
          <w:lang w:val="es-CO"/>
        </w:rPr>
        <w:t xml:space="preserve">del </w:t>
      </w:r>
      <w:r w:rsidR="00922285" w:rsidRPr="00A96231">
        <w:rPr>
          <w:rFonts w:ascii="Gadugi" w:hAnsi="Gadugi" w:cs="Century Gothic"/>
          <w:sz w:val="24"/>
          <w:szCs w:val="24"/>
          <w:lang w:val="es-CO"/>
        </w:rPr>
        <w:t>1</w:t>
      </w:r>
      <w:r w:rsidR="00A46F30" w:rsidRPr="00A96231">
        <w:rPr>
          <w:rFonts w:ascii="Gadugi" w:hAnsi="Gadugi" w:cs="Century Gothic"/>
          <w:sz w:val="24"/>
          <w:szCs w:val="24"/>
          <w:lang w:val="es-CO"/>
        </w:rPr>
        <w:t>5</w:t>
      </w:r>
      <w:r w:rsidR="00922285" w:rsidRPr="00A96231">
        <w:rPr>
          <w:rFonts w:ascii="Gadugi" w:hAnsi="Gadugi" w:cs="Century Gothic"/>
          <w:sz w:val="24"/>
          <w:szCs w:val="24"/>
          <w:lang w:val="es-CO"/>
        </w:rPr>
        <w:t xml:space="preserve"> de </w:t>
      </w:r>
      <w:r w:rsidR="00A46F30" w:rsidRPr="00A96231">
        <w:rPr>
          <w:rFonts w:ascii="Gadugi" w:hAnsi="Gadugi" w:cs="Century Gothic"/>
          <w:sz w:val="24"/>
          <w:szCs w:val="24"/>
          <w:lang w:val="es-CO"/>
        </w:rPr>
        <w:t>julio</w:t>
      </w:r>
      <w:r w:rsidR="00922285" w:rsidRPr="00A96231">
        <w:rPr>
          <w:rFonts w:ascii="Gadugi" w:hAnsi="Gadugi" w:cs="Century Gothic"/>
          <w:sz w:val="24"/>
          <w:szCs w:val="24"/>
          <w:lang w:val="es-CO"/>
        </w:rPr>
        <w:t xml:space="preserve"> de 2022, con las vinculaciones arriba señaladas.</w:t>
      </w:r>
      <w:r w:rsidR="00BC19DA" w:rsidRPr="00A96231">
        <w:rPr>
          <w:rStyle w:val="Refdenotaalpie"/>
          <w:rFonts w:ascii="Gadugi" w:hAnsi="Gadugi"/>
          <w:sz w:val="24"/>
          <w:szCs w:val="24"/>
          <w:lang w:val="es-CO"/>
        </w:rPr>
        <w:footnoteReference w:id="2"/>
      </w:r>
      <w:r w:rsidR="00922285" w:rsidRPr="00A96231">
        <w:rPr>
          <w:rFonts w:ascii="Gadugi" w:hAnsi="Gadugi" w:cs="Century Gothic"/>
          <w:sz w:val="24"/>
          <w:szCs w:val="24"/>
          <w:lang w:val="es-CO"/>
        </w:rPr>
        <w:t xml:space="preserve"> </w:t>
      </w:r>
    </w:p>
    <w:p w14:paraId="606DBD38" w14:textId="6C4D5F55" w:rsidR="00922285" w:rsidRPr="00A96231" w:rsidRDefault="00922285" w:rsidP="00A96231">
      <w:pPr>
        <w:spacing w:line="276" w:lineRule="auto"/>
        <w:jc w:val="both"/>
        <w:rPr>
          <w:rFonts w:ascii="Gadugi" w:hAnsi="Gadugi" w:cs="Century Gothic"/>
          <w:sz w:val="24"/>
          <w:szCs w:val="24"/>
          <w:lang w:val="es-CO"/>
        </w:rPr>
      </w:pPr>
    </w:p>
    <w:p w14:paraId="0BB21FE4" w14:textId="36C4B579" w:rsidR="00A46F30" w:rsidRPr="00A96231" w:rsidRDefault="00922285"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000222F5" w:rsidRPr="00A96231">
        <w:rPr>
          <w:rFonts w:ascii="Gadugi" w:hAnsi="Gadugi" w:cs="Century Gothic"/>
          <w:sz w:val="24"/>
          <w:szCs w:val="24"/>
          <w:lang w:val="es-CO"/>
        </w:rPr>
        <w:t>1.3.</w:t>
      </w:r>
      <w:r w:rsidR="006E1833" w:rsidRPr="00A96231">
        <w:rPr>
          <w:rFonts w:ascii="Gadugi" w:hAnsi="Gadugi" w:cs="Century Gothic"/>
          <w:sz w:val="24"/>
          <w:szCs w:val="24"/>
          <w:lang w:val="es-CO"/>
        </w:rPr>
        <w:t xml:space="preserve"> L</w:t>
      </w:r>
      <w:r w:rsidR="00F54951" w:rsidRPr="00A96231">
        <w:rPr>
          <w:rFonts w:ascii="Gadugi" w:hAnsi="Gadugi" w:cs="Century Gothic"/>
          <w:sz w:val="24"/>
          <w:szCs w:val="24"/>
          <w:lang w:val="es-CO"/>
        </w:rPr>
        <w:t>a Procuraduría Regional Risaralda adujo que lo planteado en la demanda es ajeno a esa cartera, y solicitó su desvinculación.</w:t>
      </w:r>
      <w:r w:rsidR="00BC19DA" w:rsidRPr="00A96231">
        <w:rPr>
          <w:rStyle w:val="Refdenotaalpie"/>
          <w:rFonts w:ascii="Gadugi" w:hAnsi="Gadugi"/>
          <w:sz w:val="24"/>
          <w:szCs w:val="24"/>
          <w:lang w:val="es-CO"/>
        </w:rPr>
        <w:footnoteReference w:id="3"/>
      </w:r>
      <w:r w:rsidR="00F54951" w:rsidRPr="00A96231">
        <w:rPr>
          <w:rFonts w:ascii="Gadugi" w:hAnsi="Gadugi" w:cs="Century Gothic"/>
          <w:sz w:val="24"/>
          <w:szCs w:val="24"/>
          <w:lang w:val="es-CO"/>
        </w:rPr>
        <w:t xml:space="preserve"> </w:t>
      </w:r>
    </w:p>
    <w:p w14:paraId="4326641C" w14:textId="3C9C392A" w:rsidR="00A46F30" w:rsidRPr="00A96231" w:rsidRDefault="00A46F30" w:rsidP="00A96231">
      <w:pPr>
        <w:spacing w:line="276" w:lineRule="auto"/>
        <w:jc w:val="both"/>
        <w:rPr>
          <w:rFonts w:ascii="Gadugi" w:hAnsi="Gadugi" w:cs="Century Gothic"/>
          <w:sz w:val="24"/>
          <w:szCs w:val="24"/>
          <w:lang w:val="es-CO"/>
        </w:rPr>
      </w:pPr>
    </w:p>
    <w:p w14:paraId="50D51D93" w14:textId="4F2E759C" w:rsidR="00F54951" w:rsidRPr="00A96231" w:rsidRDefault="00F54951"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1.4. La Alcaldía de Pereira adujo que el accionante incumplió con lo reglado en el artículo 5° del decreto 806/20, y por ello, pidió negar el amparo.</w:t>
      </w:r>
      <w:r w:rsidR="00BC19DA" w:rsidRPr="00A96231">
        <w:rPr>
          <w:rStyle w:val="Refdenotaalpie"/>
          <w:rFonts w:ascii="Gadugi" w:hAnsi="Gadugi"/>
          <w:sz w:val="24"/>
          <w:szCs w:val="24"/>
          <w:lang w:val="es-CO"/>
        </w:rPr>
        <w:footnoteReference w:id="4"/>
      </w:r>
      <w:r w:rsidRPr="00A96231">
        <w:rPr>
          <w:rFonts w:ascii="Gadugi" w:hAnsi="Gadugi" w:cs="Century Gothic"/>
          <w:sz w:val="24"/>
          <w:szCs w:val="24"/>
          <w:lang w:val="es-CO"/>
        </w:rPr>
        <w:t xml:space="preserve"> </w:t>
      </w:r>
    </w:p>
    <w:p w14:paraId="1848B724" w14:textId="77777777" w:rsidR="00F54951" w:rsidRPr="00A96231" w:rsidRDefault="00F54951" w:rsidP="00A96231">
      <w:pPr>
        <w:spacing w:line="276" w:lineRule="auto"/>
        <w:jc w:val="both"/>
        <w:rPr>
          <w:rFonts w:ascii="Gadugi" w:hAnsi="Gadugi" w:cs="Century Gothic"/>
          <w:sz w:val="24"/>
          <w:szCs w:val="24"/>
          <w:lang w:val="es-CO"/>
        </w:rPr>
      </w:pPr>
    </w:p>
    <w:p w14:paraId="44F87A81" w14:textId="64B0BACD" w:rsidR="00FC78EC" w:rsidRPr="00A96231" w:rsidRDefault="00F54951"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1.5. El juzgado accionado</w:t>
      </w:r>
      <w:r w:rsidR="00BC19DA" w:rsidRPr="00A96231">
        <w:rPr>
          <w:rFonts w:ascii="Gadugi" w:hAnsi="Gadugi" w:cs="Century Gothic"/>
          <w:sz w:val="24"/>
          <w:szCs w:val="24"/>
          <w:lang w:val="es-CO"/>
        </w:rPr>
        <w:t>, allegó el enlace para acceder a la acción popular</w:t>
      </w:r>
      <w:r w:rsidR="00BC19DA" w:rsidRPr="00A96231">
        <w:rPr>
          <w:rStyle w:val="Refdenotaalpie"/>
          <w:rFonts w:ascii="Gadugi" w:hAnsi="Gadugi"/>
          <w:sz w:val="24"/>
          <w:szCs w:val="24"/>
          <w:lang w:val="es-CO"/>
        </w:rPr>
        <w:footnoteReference w:id="5"/>
      </w:r>
      <w:r w:rsidR="00BC19DA" w:rsidRPr="00A96231">
        <w:rPr>
          <w:rFonts w:ascii="Gadugi" w:hAnsi="Gadugi" w:cs="Century Gothic"/>
          <w:sz w:val="24"/>
          <w:szCs w:val="24"/>
          <w:lang w:val="es-CO"/>
        </w:rPr>
        <w:t xml:space="preserve">, y </w:t>
      </w:r>
      <w:r w:rsidR="00D21F3A" w:rsidRPr="00A96231">
        <w:rPr>
          <w:rFonts w:ascii="Gadugi" w:hAnsi="Gadugi" w:cs="Century Gothic"/>
          <w:sz w:val="24"/>
          <w:szCs w:val="24"/>
          <w:lang w:val="es-CO"/>
        </w:rPr>
        <w:t>planteó que a la parte actora</w:t>
      </w:r>
      <w:r w:rsidRPr="00A96231">
        <w:rPr>
          <w:rFonts w:ascii="Gadugi" w:hAnsi="Gadugi" w:cs="Century Gothic"/>
          <w:sz w:val="24"/>
          <w:szCs w:val="24"/>
          <w:lang w:val="es-CO"/>
        </w:rPr>
        <w:t xml:space="preserve"> </w:t>
      </w:r>
      <w:r w:rsidRPr="00A96231">
        <w:rPr>
          <w:rFonts w:ascii="Gadugi" w:hAnsi="Gadugi" w:cs="Century Gothic"/>
          <w:i/>
          <w:sz w:val="24"/>
          <w:szCs w:val="24"/>
          <w:lang w:val="es-CO"/>
        </w:rPr>
        <w:t>“</w:t>
      </w:r>
      <w:r w:rsidRPr="00A96231">
        <w:rPr>
          <w:rFonts w:ascii="Gadugi" w:hAnsi="Gadugi" w:cs="Century Gothic"/>
          <w:i/>
          <w:sz w:val="22"/>
          <w:szCs w:val="24"/>
          <w:lang w:val="es-CO"/>
        </w:rPr>
        <w:t xml:space="preserve">(…) no se le ha generado vulneración de derecho fundamental alguno, habida cuenta que se ha dado aplicación a la normatividad vigente a partir de la virtualización de los procesos judiciales y la implementación de las </w:t>
      </w:r>
      <w:r w:rsidRPr="00A96231">
        <w:rPr>
          <w:rFonts w:ascii="Gadugi" w:hAnsi="Gadugi" w:cs="Century Gothic"/>
          <w:i/>
          <w:sz w:val="22"/>
          <w:szCs w:val="24"/>
          <w:lang w:val="es-CO"/>
        </w:rPr>
        <w:lastRenderedPageBreak/>
        <w:t>tecnologías de la información y las comunicaciones en las actuaciones judiciales, en ese entonces, el Decreto Legislativo 806 de 2020, hoy Ley 2213 de 2022 (…)</w:t>
      </w:r>
      <w:r w:rsidRPr="00A96231">
        <w:rPr>
          <w:rFonts w:ascii="Gadugi" w:hAnsi="Gadugi" w:cs="Century Gothic"/>
          <w:i/>
          <w:sz w:val="24"/>
          <w:szCs w:val="24"/>
          <w:lang w:val="es-CO"/>
        </w:rPr>
        <w:t>”</w:t>
      </w:r>
      <w:r w:rsidR="00FC78EC" w:rsidRPr="00A96231">
        <w:rPr>
          <w:rFonts w:ascii="Gadugi" w:hAnsi="Gadugi" w:cs="Century Gothic"/>
          <w:sz w:val="24"/>
          <w:szCs w:val="24"/>
          <w:lang w:val="es-CO"/>
        </w:rPr>
        <w:t>.</w:t>
      </w:r>
    </w:p>
    <w:p w14:paraId="5CCD7FF0" w14:textId="52B210CC" w:rsidR="00FC78EC" w:rsidRPr="00A96231" w:rsidRDefault="00FC78EC" w:rsidP="00A96231">
      <w:pPr>
        <w:spacing w:line="276" w:lineRule="auto"/>
        <w:jc w:val="both"/>
        <w:rPr>
          <w:rFonts w:ascii="Gadugi" w:hAnsi="Gadugi" w:cs="Century Gothic"/>
          <w:sz w:val="24"/>
          <w:szCs w:val="24"/>
          <w:lang w:val="es-CO"/>
        </w:rPr>
      </w:pPr>
    </w:p>
    <w:p w14:paraId="360DBD0D" w14:textId="418C3022" w:rsidR="00BC19DA" w:rsidRPr="00A96231" w:rsidRDefault="00FC78EC"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A</w:t>
      </w:r>
      <w:r w:rsidR="00F54951" w:rsidRPr="00A96231">
        <w:rPr>
          <w:rFonts w:ascii="Gadugi" w:hAnsi="Gadugi" w:cs="Century Gothic"/>
          <w:sz w:val="24"/>
          <w:szCs w:val="24"/>
          <w:lang w:val="es-CO"/>
        </w:rPr>
        <w:t xml:space="preserve">gregó que </w:t>
      </w:r>
      <w:r w:rsidR="00D21F3A" w:rsidRPr="00A96231">
        <w:rPr>
          <w:rFonts w:ascii="Gadugi" w:hAnsi="Gadugi" w:cs="Century Gothic"/>
          <w:i/>
          <w:sz w:val="24"/>
          <w:szCs w:val="24"/>
          <w:lang w:val="es-CO"/>
        </w:rPr>
        <w:t>“</w:t>
      </w:r>
      <w:r w:rsidR="00D21F3A" w:rsidRPr="00A96231">
        <w:rPr>
          <w:rFonts w:ascii="Gadugi" w:hAnsi="Gadugi" w:cs="Century Gothic"/>
          <w:i/>
          <w:sz w:val="22"/>
          <w:szCs w:val="24"/>
          <w:lang w:val="es-CO"/>
        </w:rPr>
        <w:t>(…) el apoderado judicial de la accionada tuvo en algún momento inscrito en el Registro Nacional de Abogados el correo electrónico eduardo.cardona@gmail.com, en la actualidad tiene inscrito el correo notificacioneseduardocardona@gmail.com y en el poder especial que le otorgó la accionada antes de la ocurrencia de la pandemia por Covid19, aparece relacionado el correo eduardo@juridicocardona.com, mientras el correo electrónico ecardona@duportabogados.com nunca fue informado al juzgado como canal de comunicación</w:t>
      </w:r>
      <w:r w:rsidR="00D21F3A" w:rsidRPr="00A96231">
        <w:rPr>
          <w:rFonts w:ascii="Gadugi" w:hAnsi="Gadugi" w:cs="Century Gothic"/>
          <w:i/>
          <w:sz w:val="24"/>
          <w:szCs w:val="24"/>
          <w:lang w:val="es-CO"/>
        </w:rPr>
        <w:t xml:space="preserve">”; </w:t>
      </w:r>
      <w:r w:rsidR="00D21F3A" w:rsidRPr="00A96231">
        <w:rPr>
          <w:rFonts w:ascii="Gadugi" w:hAnsi="Gadugi" w:cs="Century Gothic"/>
          <w:sz w:val="24"/>
          <w:szCs w:val="24"/>
          <w:lang w:val="es-CO"/>
        </w:rPr>
        <w:t>y también dijo que hubo otra acción de tutela idéntica a esta que se tramitó en esta corporación con radicado 2022-00148-00.</w:t>
      </w:r>
      <w:r w:rsidR="00BC19DA" w:rsidRPr="00A96231">
        <w:rPr>
          <w:rStyle w:val="Refdenotaalpie"/>
          <w:rFonts w:ascii="Gadugi" w:hAnsi="Gadugi"/>
          <w:sz w:val="24"/>
          <w:szCs w:val="24"/>
          <w:lang w:val="es-CO"/>
        </w:rPr>
        <w:footnoteReference w:id="6"/>
      </w:r>
    </w:p>
    <w:p w14:paraId="3B75D777" w14:textId="77777777" w:rsidR="00BC19DA" w:rsidRPr="00A96231" w:rsidRDefault="00BC19DA" w:rsidP="00A96231">
      <w:pPr>
        <w:spacing w:line="276" w:lineRule="auto"/>
        <w:jc w:val="both"/>
        <w:rPr>
          <w:rFonts w:ascii="Gadugi" w:hAnsi="Gadugi" w:cs="Century Gothic"/>
          <w:sz w:val="24"/>
          <w:szCs w:val="24"/>
          <w:lang w:val="es-CO"/>
        </w:rPr>
      </w:pPr>
    </w:p>
    <w:p w14:paraId="327DF8FB" w14:textId="08E83276" w:rsidR="004E4BF5" w:rsidRPr="00590C34" w:rsidRDefault="004E4BF5" w:rsidP="00A96231">
      <w:pPr>
        <w:spacing w:line="276" w:lineRule="auto"/>
        <w:jc w:val="both"/>
        <w:rPr>
          <w:rFonts w:ascii="Gadugi" w:hAnsi="Gadugi" w:cs="Century Gothic"/>
          <w:sz w:val="24"/>
          <w:szCs w:val="24"/>
          <w:lang w:val="es-CO"/>
        </w:rPr>
      </w:pPr>
    </w:p>
    <w:p w14:paraId="44416D29" w14:textId="6D3E1BC7" w:rsidR="00622EA3" w:rsidRPr="00A96231" w:rsidRDefault="00622EA3" w:rsidP="00A96231">
      <w:pPr>
        <w:pStyle w:val="Textoindependiente22"/>
        <w:spacing w:line="276" w:lineRule="auto"/>
        <w:ind w:firstLine="0"/>
        <w:rPr>
          <w:rFonts w:ascii="Gadugi" w:hAnsi="Gadugi" w:cs="Arial"/>
          <w:b/>
          <w:szCs w:val="24"/>
        </w:rPr>
      </w:pPr>
      <w:r w:rsidRPr="00A96231">
        <w:rPr>
          <w:rFonts w:ascii="Gadugi" w:hAnsi="Gadugi" w:cs="Arial"/>
          <w:b/>
          <w:szCs w:val="24"/>
        </w:rPr>
        <w:t xml:space="preserve">  </w:t>
      </w:r>
      <w:r w:rsidRPr="00A96231">
        <w:rPr>
          <w:rFonts w:ascii="Gadugi" w:hAnsi="Gadugi" w:cs="Arial"/>
          <w:b/>
          <w:szCs w:val="24"/>
        </w:rPr>
        <w:tab/>
      </w:r>
      <w:r w:rsidRPr="00A96231">
        <w:rPr>
          <w:rFonts w:ascii="Gadugi" w:hAnsi="Gadugi" w:cs="Arial"/>
          <w:b/>
          <w:szCs w:val="24"/>
        </w:rPr>
        <w:tab/>
      </w:r>
      <w:r w:rsidRPr="00A96231">
        <w:rPr>
          <w:rFonts w:ascii="Gadugi" w:hAnsi="Gadugi" w:cs="Arial"/>
          <w:b/>
          <w:szCs w:val="24"/>
        </w:rPr>
        <w:tab/>
      </w:r>
      <w:r w:rsidRPr="00A96231">
        <w:rPr>
          <w:rFonts w:ascii="Gadugi" w:hAnsi="Gadugi" w:cs="Arial"/>
          <w:b/>
          <w:szCs w:val="24"/>
        </w:rPr>
        <w:tab/>
      </w:r>
      <w:r w:rsidR="000222F5" w:rsidRPr="00A96231">
        <w:rPr>
          <w:rFonts w:ascii="Gadugi" w:hAnsi="Gadugi" w:cs="Arial"/>
          <w:b/>
          <w:szCs w:val="24"/>
        </w:rPr>
        <w:t xml:space="preserve">2. </w:t>
      </w:r>
      <w:r w:rsidRPr="00A96231">
        <w:rPr>
          <w:rFonts w:ascii="Gadugi" w:hAnsi="Gadugi" w:cs="Arial"/>
          <w:b/>
          <w:szCs w:val="24"/>
        </w:rPr>
        <w:t>CONSIDERACIONES</w:t>
      </w:r>
    </w:p>
    <w:p w14:paraId="1D058EF8" w14:textId="77777777" w:rsidR="00622EA3" w:rsidRPr="00A96231" w:rsidRDefault="00622EA3" w:rsidP="00A96231">
      <w:pPr>
        <w:pStyle w:val="Textoindependiente22"/>
        <w:spacing w:line="276" w:lineRule="auto"/>
        <w:ind w:firstLine="0"/>
        <w:rPr>
          <w:rFonts w:ascii="Gadugi" w:hAnsi="Gadugi"/>
          <w:szCs w:val="24"/>
        </w:rPr>
      </w:pPr>
      <w:r w:rsidRPr="00A96231">
        <w:rPr>
          <w:rFonts w:ascii="Gadugi" w:hAnsi="Gadugi"/>
          <w:szCs w:val="24"/>
        </w:rPr>
        <w:tab/>
      </w:r>
      <w:r w:rsidRPr="00A96231">
        <w:rPr>
          <w:rFonts w:ascii="Gadugi" w:hAnsi="Gadugi"/>
          <w:szCs w:val="24"/>
        </w:rPr>
        <w:tab/>
      </w:r>
      <w:r w:rsidRPr="00A96231">
        <w:rPr>
          <w:rFonts w:ascii="Gadugi" w:hAnsi="Gadugi"/>
          <w:szCs w:val="24"/>
        </w:rPr>
        <w:tab/>
      </w:r>
      <w:r w:rsidRPr="00A96231">
        <w:rPr>
          <w:rFonts w:ascii="Gadugi" w:hAnsi="Gadugi"/>
          <w:szCs w:val="24"/>
        </w:rPr>
        <w:tab/>
      </w:r>
    </w:p>
    <w:p w14:paraId="794A8819" w14:textId="77777777" w:rsidR="00622EA3" w:rsidRPr="00A96231" w:rsidRDefault="00622EA3" w:rsidP="00A96231">
      <w:pPr>
        <w:pStyle w:val="Textoindependiente22"/>
        <w:spacing w:line="276" w:lineRule="auto"/>
        <w:rPr>
          <w:rFonts w:ascii="Gadugi" w:hAnsi="Gadugi"/>
          <w:szCs w:val="24"/>
        </w:rPr>
      </w:pPr>
    </w:p>
    <w:p w14:paraId="3B541647" w14:textId="5473C3D5" w:rsidR="00622EA3" w:rsidRPr="00A96231" w:rsidRDefault="000222F5" w:rsidP="00A96231">
      <w:pPr>
        <w:pStyle w:val="Textoindependiente22"/>
        <w:spacing w:line="276" w:lineRule="auto"/>
        <w:rPr>
          <w:rFonts w:ascii="Gadugi" w:hAnsi="Gadugi"/>
          <w:szCs w:val="24"/>
        </w:rPr>
      </w:pPr>
      <w:r w:rsidRPr="00A96231">
        <w:rPr>
          <w:rFonts w:ascii="Gadugi" w:hAnsi="Gadugi"/>
          <w:szCs w:val="24"/>
        </w:rPr>
        <w:t xml:space="preserve">2.1. </w:t>
      </w:r>
      <w:r w:rsidR="00622EA3" w:rsidRPr="00A96231">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A96231" w:rsidRDefault="0092590C" w:rsidP="00A96231">
      <w:pPr>
        <w:pStyle w:val="Textoindependiente22"/>
        <w:spacing w:line="276" w:lineRule="auto"/>
        <w:rPr>
          <w:rFonts w:ascii="Gadugi" w:hAnsi="Gadugi"/>
          <w:szCs w:val="24"/>
        </w:rPr>
      </w:pPr>
    </w:p>
    <w:p w14:paraId="0429ADAC" w14:textId="0E99BA5C" w:rsidR="00BA2312" w:rsidRPr="00A96231" w:rsidRDefault="00622EA3" w:rsidP="00A96231">
      <w:pPr>
        <w:spacing w:line="276" w:lineRule="auto"/>
        <w:ind w:firstLine="2835"/>
        <w:jc w:val="both"/>
        <w:rPr>
          <w:rFonts w:ascii="Gadugi" w:hAnsi="Gadugi"/>
          <w:sz w:val="24"/>
          <w:szCs w:val="24"/>
        </w:rPr>
      </w:pPr>
      <w:r w:rsidRPr="00A96231">
        <w:rPr>
          <w:rFonts w:ascii="Gadugi" w:hAnsi="Gadugi"/>
          <w:sz w:val="24"/>
          <w:szCs w:val="24"/>
        </w:rPr>
        <w:t xml:space="preserve">Acude en esta oportunidad </w:t>
      </w:r>
      <w:r w:rsidR="00BA2312" w:rsidRPr="00A96231">
        <w:rPr>
          <w:rFonts w:ascii="Gadugi" w:hAnsi="Gadugi"/>
          <w:sz w:val="24"/>
          <w:szCs w:val="24"/>
        </w:rPr>
        <w:t>la sociedad</w:t>
      </w:r>
      <w:r w:rsidRPr="00A96231">
        <w:rPr>
          <w:rFonts w:ascii="Gadugi" w:hAnsi="Gadugi"/>
          <w:sz w:val="24"/>
          <w:szCs w:val="24"/>
        </w:rPr>
        <w:t xml:space="preserve"> accionante, en procura de la protección de su derecho fundamental al debido proceso,</w:t>
      </w:r>
      <w:r w:rsidR="00254315" w:rsidRPr="00A96231">
        <w:rPr>
          <w:rFonts w:ascii="Gadugi" w:hAnsi="Gadugi"/>
          <w:sz w:val="24"/>
          <w:szCs w:val="24"/>
        </w:rPr>
        <w:t xml:space="preserve"> </w:t>
      </w:r>
      <w:r w:rsidR="00AF0370" w:rsidRPr="00A96231">
        <w:rPr>
          <w:rFonts w:ascii="Gadugi" w:hAnsi="Gadugi"/>
          <w:sz w:val="24"/>
          <w:szCs w:val="24"/>
        </w:rPr>
        <w:t xml:space="preserve">presuntamente conculcado por el juzgado </w:t>
      </w:r>
      <w:r w:rsidR="00BA2312" w:rsidRPr="00A96231">
        <w:rPr>
          <w:rFonts w:ascii="Gadugi" w:hAnsi="Gadugi"/>
          <w:sz w:val="24"/>
          <w:szCs w:val="24"/>
        </w:rPr>
        <w:t>encartado</w:t>
      </w:r>
      <w:r w:rsidR="00AF0370" w:rsidRPr="00A96231">
        <w:rPr>
          <w:rFonts w:ascii="Gadugi" w:hAnsi="Gadugi"/>
          <w:sz w:val="24"/>
          <w:szCs w:val="24"/>
        </w:rPr>
        <w:t xml:space="preserve"> que </w:t>
      </w:r>
      <w:r w:rsidR="00BA2312" w:rsidRPr="00A96231">
        <w:rPr>
          <w:rFonts w:ascii="Gadugi" w:hAnsi="Gadugi"/>
          <w:sz w:val="24"/>
          <w:szCs w:val="24"/>
        </w:rPr>
        <w:t xml:space="preserve">no tuvo en cuenta los alegatos de conclusión que ella presentó dentro de una acción popular en la que actúa como demandada, con el argumento de los remitió desde un correo electrónico que no estaba habilitado para ese fin. </w:t>
      </w:r>
    </w:p>
    <w:p w14:paraId="224CFB57" w14:textId="238B184D" w:rsidR="00507912" w:rsidRPr="00A96231" w:rsidRDefault="00507912" w:rsidP="00A96231">
      <w:pPr>
        <w:spacing w:line="276" w:lineRule="auto"/>
        <w:jc w:val="both"/>
        <w:rPr>
          <w:rFonts w:ascii="Gadugi" w:hAnsi="Gadugi" w:cs="Century Gothic"/>
          <w:sz w:val="24"/>
          <w:szCs w:val="24"/>
          <w:lang w:val="es-CO"/>
        </w:rPr>
      </w:pPr>
    </w:p>
    <w:p w14:paraId="2A3002A3" w14:textId="62ABF3E2" w:rsidR="00D57226" w:rsidRPr="00A96231" w:rsidRDefault="00D57226" w:rsidP="00A96231">
      <w:pPr>
        <w:spacing w:line="276" w:lineRule="auto"/>
        <w:jc w:val="both"/>
        <w:rPr>
          <w:rFonts w:ascii="Gadugi" w:hAnsi="Gadugi" w:cs="Century Gothic"/>
          <w:sz w:val="24"/>
          <w:szCs w:val="24"/>
          <w:lang w:val="es-CO"/>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t>2.2. De entrada</w:t>
      </w:r>
      <w:r w:rsidR="0062695B" w:rsidRPr="00A96231">
        <w:rPr>
          <w:rFonts w:ascii="Gadugi" w:hAnsi="Gadugi" w:cs="Century Gothic"/>
          <w:sz w:val="24"/>
          <w:szCs w:val="24"/>
          <w:lang w:val="es-CO"/>
        </w:rPr>
        <w:t>,</w:t>
      </w:r>
      <w:r w:rsidRPr="00A96231">
        <w:rPr>
          <w:rFonts w:ascii="Gadugi" w:hAnsi="Gadugi" w:cs="Century Gothic"/>
          <w:sz w:val="24"/>
          <w:szCs w:val="24"/>
          <w:lang w:val="es-CO"/>
        </w:rPr>
        <w:t xml:space="preserve"> la Sala descarta </w:t>
      </w:r>
      <w:r w:rsidR="0062695B" w:rsidRPr="00A96231">
        <w:rPr>
          <w:rFonts w:ascii="Gadugi" w:hAnsi="Gadugi" w:cs="Century Gothic"/>
          <w:sz w:val="24"/>
          <w:szCs w:val="24"/>
          <w:lang w:val="es-CO"/>
        </w:rPr>
        <w:t>la temeridad que insinuó el juzgado accionado en su contestación,</w:t>
      </w:r>
      <w:r w:rsidRPr="00A96231">
        <w:rPr>
          <w:rFonts w:ascii="Gadugi" w:hAnsi="Gadugi" w:cs="Century Gothic"/>
          <w:sz w:val="24"/>
          <w:szCs w:val="24"/>
          <w:lang w:val="es-CO"/>
        </w:rPr>
        <w:t xml:space="preserve"> dado que</w:t>
      </w:r>
      <w:r w:rsidR="00C179DD" w:rsidRPr="00A96231">
        <w:rPr>
          <w:rFonts w:ascii="Gadugi" w:hAnsi="Gadugi" w:cs="Century Gothic"/>
          <w:sz w:val="24"/>
          <w:szCs w:val="24"/>
          <w:lang w:val="es-CO"/>
        </w:rPr>
        <w:t>, distinto a lo que sucede en este caso,</w:t>
      </w:r>
      <w:r w:rsidRPr="00A96231">
        <w:rPr>
          <w:rFonts w:ascii="Gadugi" w:hAnsi="Gadugi" w:cs="Century Gothic"/>
          <w:sz w:val="24"/>
          <w:szCs w:val="24"/>
          <w:lang w:val="es-CO"/>
        </w:rPr>
        <w:t xml:space="preserve"> la acción de tutela </w:t>
      </w:r>
      <w:r w:rsidR="0062695B" w:rsidRPr="00A96231">
        <w:rPr>
          <w:rFonts w:ascii="Gadugi" w:hAnsi="Gadugi" w:cs="Century Gothic"/>
          <w:sz w:val="24"/>
          <w:szCs w:val="24"/>
          <w:lang w:val="es-CO"/>
        </w:rPr>
        <w:t>con radicado 66001-22-13-000-2022-00148-00, en la que se profirió fallo el pasado 6 de julio, no fue promovida por el representante legal de la sociedad que aquí demanda, ni por un abogado debidamente facultado para ese fin.</w:t>
      </w:r>
      <w:r w:rsidR="00BC19DA" w:rsidRPr="00A96231">
        <w:rPr>
          <w:rStyle w:val="Refdenotaalpie"/>
          <w:rFonts w:ascii="Gadugi" w:hAnsi="Gadugi"/>
          <w:sz w:val="24"/>
          <w:szCs w:val="24"/>
          <w:lang w:val="es-CO"/>
        </w:rPr>
        <w:footnoteReference w:id="7"/>
      </w:r>
      <w:r w:rsidR="0062695B" w:rsidRPr="00A96231">
        <w:rPr>
          <w:rFonts w:ascii="Gadugi" w:hAnsi="Gadugi" w:cs="Century Gothic"/>
          <w:sz w:val="24"/>
          <w:szCs w:val="24"/>
          <w:lang w:val="es-CO"/>
        </w:rPr>
        <w:t xml:space="preserve">  </w:t>
      </w:r>
    </w:p>
    <w:p w14:paraId="16430107" w14:textId="77777777" w:rsidR="00D57226" w:rsidRPr="00A96231" w:rsidRDefault="00D57226" w:rsidP="00A96231">
      <w:pPr>
        <w:spacing w:line="276" w:lineRule="auto"/>
        <w:jc w:val="both"/>
        <w:rPr>
          <w:rFonts w:ascii="Gadugi" w:hAnsi="Gadugi" w:cs="Century Gothic"/>
          <w:sz w:val="24"/>
          <w:szCs w:val="24"/>
          <w:lang w:val="es-CO"/>
        </w:rPr>
      </w:pPr>
    </w:p>
    <w:p w14:paraId="3FDAE570" w14:textId="5525B01C" w:rsidR="00D21F3A" w:rsidRPr="00A96231" w:rsidRDefault="00254315" w:rsidP="00A96231">
      <w:pPr>
        <w:spacing w:line="276" w:lineRule="auto"/>
        <w:jc w:val="both"/>
        <w:rPr>
          <w:rFonts w:ascii="Gadugi" w:hAnsi="Gadugi" w:cs="Arial"/>
          <w:sz w:val="24"/>
          <w:szCs w:val="24"/>
        </w:rPr>
      </w:pP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Pr="00A96231">
        <w:rPr>
          <w:rFonts w:ascii="Gadugi" w:hAnsi="Gadugi" w:cs="Century Gothic"/>
          <w:sz w:val="24"/>
          <w:szCs w:val="24"/>
          <w:lang w:val="es-CO"/>
        </w:rPr>
        <w:tab/>
      </w:r>
      <w:r w:rsidR="00D21F3A" w:rsidRPr="00A96231">
        <w:rPr>
          <w:rFonts w:ascii="Gadugi" w:hAnsi="Gadugi"/>
          <w:sz w:val="24"/>
          <w:szCs w:val="24"/>
        </w:rPr>
        <w:t>2.</w:t>
      </w:r>
      <w:r w:rsidR="00C179DD" w:rsidRPr="00A96231">
        <w:rPr>
          <w:rFonts w:ascii="Gadugi" w:hAnsi="Gadugi"/>
          <w:sz w:val="24"/>
          <w:szCs w:val="24"/>
        </w:rPr>
        <w:t>3</w:t>
      </w:r>
      <w:r w:rsidR="00D21F3A" w:rsidRPr="00A96231">
        <w:rPr>
          <w:rFonts w:ascii="Gadugi" w:hAnsi="Gadugi"/>
          <w:sz w:val="24"/>
          <w:szCs w:val="24"/>
        </w:rPr>
        <w:t>. R</w:t>
      </w:r>
      <w:r w:rsidR="00D21F3A" w:rsidRPr="00A96231">
        <w:rPr>
          <w:rFonts w:ascii="Gadugi" w:hAnsi="Gadugi" w:cs="Arial"/>
          <w:sz w:val="24"/>
          <w:szCs w:val="24"/>
        </w:rPr>
        <w:t xml:space="preserve">eiteradamente se ha expuesto que </w:t>
      </w:r>
      <w:r w:rsidR="00D21F3A" w:rsidRPr="00A96231">
        <w:rPr>
          <w:rFonts w:ascii="Gadugi" w:hAnsi="Gadugi"/>
          <w:sz w:val="24"/>
          <w:szCs w:val="24"/>
        </w:rPr>
        <w:t>a pesar de la inexequibilidad de las normas que en el Decreto 2591 de 1991 preveían la acción de tutela contra providencias judiciales</w:t>
      </w:r>
      <w:r w:rsidR="00D21F3A" w:rsidRPr="00A96231">
        <w:rPr>
          <w:rStyle w:val="Refdenotaalpie"/>
          <w:rFonts w:ascii="Gadugi" w:hAnsi="Gadugi"/>
          <w:sz w:val="24"/>
          <w:szCs w:val="24"/>
        </w:rPr>
        <w:footnoteReference w:id="8"/>
      </w:r>
      <w:r w:rsidR="00D21F3A" w:rsidRPr="00A96231">
        <w:rPr>
          <w:rFonts w:ascii="Gadugi" w:hAnsi="Gadugi"/>
          <w:sz w:val="24"/>
          <w:szCs w:val="24"/>
        </w:rPr>
        <w:t xml:space="preserve">, tal mecanismo se abre paso en aquellos eventos en los que se incurra en una vía de hecho, o como se denominan hoy, criterios de </w:t>
      </w:r>
      <w:r w:rsidR="00D21F3A" w:rsidRPr="00A96231">
        <w:rPr>
          <w:rFonts w:ascii="Gadugi" w:hAnsi="Gadugi"/>
          <w:sz w:val="24"/>
          <w:szCs w:val="24"/>
        </w:rPr>
        <w:lastRenderedPageBreak/>
        <w:t>procedibilidad de la acción de tutela contra decisiones de los jueces, en que solo cabe un amparo de esta naturaleza en la medida en que concurra alguna de las causales generales o específicas, delineadas por la Corte Constitucional</w:t>
      </w:r>
      <w:r w:rsidR="00D21F3A" w:rsidRPr="00A96231">
        <w:rPr>
          <w:rFonts w:ascii="Gadugi" w:hAnsi="Gadugi" w:cs="Arial"/>
          <w:sz w:val="24"/>
          <w:szCs w:val="24"/>
        </w:rPr>
        <w:t xml:space="preserve"> en múltiples ocasiones.</w:t>
      </w:r>
    </w:p>
    <w:p w14:paraId="4BA0D2B4" w14:textId="55464763" w:rsidR="00D21F3A" w:rsidRPr="00A96231" w:rsidRDefault="00D21F3A" w:rsidP="00A96231">
      <w:pPr>
        <w:spacing w:line="276" w:lineRule="auto"/>
        <w:jc w:val="both"/>
        <w:rPr>
          <w:rFonts w:ascii="Gadugi" w:hAnsi="Gadugi" w:cs="Arial"/>
          <w:sz w:val="24"/>
          <w:szCs w:val="24"/>
        </w:rPr>
      </w:pPr>
    </w:p>
    <w:p w14:paraId="73C01522" w14:textId="77777777" w:rsidR="00D21F3A" w:rsidRPr="00A96231" w:rsidRDefault="00D21F3A" w:rsidP="00A96231">
      <w:pPr>
        <w:spacing w:line="276" w:lineRule="auto"/>
        <w:jc w:val="both"/>
        <w:rPr>
          <w:rFonts w:ascii="Gadugi" w:hAnsi="Gadugi"/>
          <w:sz w:val="24"/>
          <w:szCs w:val="24"/>
          <w:bdr w:val="none" w:sz="0" w:space="0" w:color="auto" w:frame="1"/>
          <w:lang w:val="es-CO"/>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Sobre ellas, en las sentencias SU-222/16, SU573/17, SU-004/18, </w:t>
      </w:r>
      <w:r w:rsidRPr="00A96231">
        <w:rPr>
          <w:rFonts w:ascii="Gadugi" w:hAnsi="Gadugi" w:cs="Arial"/>
          <w:sz w:val="24"/>
          <w:szCs w:val="24"/>
          <w:lang w:val="es-419"/>
        </w:rPr>
        <w:t xml:space="preserve">reiteradas en las sentencias T-075/19, </w:t>
      </w:r>
      <w:r w:rsidRPr="00A96231">
        <w:rPr>
          <w:rFonts w:ascii="Gadugi" w:hAnsi="Gadugi" w:cs="Arial"/>
          <w:sz w:val="24"/>
          <w:szCs w:val="24"/>
        </w:rPr>
        <w:t>T-053/20, SU128/21,</w:t>
      </w:r>
      <w:r w:rsidRPr="00A96231">
        <w:rPr>
          <w:rFonts w:ascii="Gadugi" w:hAnsi="Gadugi"/>
          <w:sz w:val="24"/>
          <w:szCs w:val="24"/>
        </w:rPr>
        <w:t xml:space="preserve"> y más recientemente en la </w:t>
      </w:r>
      <w:r w:rsidRPr="00A96231">
        <w:rPr>
          <w:rFonts w:ascii="Gadugi" w:hAnsi="Gadugi" w:cs="Arial"/>
          <w:sz w:val="24"/>
          <w:szCs w:val="24"/>
        </w:rPr>
        <w:t xml:space="preserve">T-001/22 todas aludiendo a la C-590 de 2005, recordó que las primeras obedecen a </w:t>
      </w:r>
      <w:r w:rsidRPr="00A96231">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A96231">
        <w:rPr>
          <w:rFonts w:ascii="Gadugi" w:hAnsi="Gadugi"/>
          <w:sz w:val="24"/>
          <w:szCs w:val="24"/>
        </w:rPr>
        <w:t xml:space="preserve"> </w:t>
      </w:r>
      <w:r w:rsidRPr="00A96231">
        <w:rPr>
          <w:rFonts w:ascii="Gadugi" w:hAnsi="Gadugi" w:cs="Arial"/>
          <w:sz w:val="24"/>
          <w:szCs w:val="24"/>
        </w:rPr>
        <w:t>Y en cuanto a las segundas, es decir, las causales específicas, se compendian en los defectos</w:t>
      </w:r>
      <w:r w:rsidRPr="00A96231">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p>
    <w:p w14:paraId="4E489824" w14:textId="5BBB69E9" w:rsidR="006F55EB" w:rsidRPr="00A96231" w:rsidRDefault="006F55EB" w:rsidP="00A96231">
      <w:pPr>
        <w:spacing w:line="276" w:lineRule="auto"/>
        <w:jc w:val="both"/>
        <w:rPr>
          <w:rFonts w:ascii="Gadugi" w:hAnsi="Gadugi" w:cs="Arial"/>
          <w:sz w:val="24"/>
          <w:szCs w:val="24"/>
        </w:rPr>
      </w:pPr>
    </w:p>
    <w:p w14:paraId="4744DEC4" w14:textId="78C10BE7" w:rsidR="007606D7" w:rsidRPr="00A96231" w:rsidRDefault="000222F5" w:rsidP="00A96231">
      <w:pPr>
        <w:spacing w:line="276" w:lineRule="auto"/>
        <w:ind w:firstLine="2835"/>
        <w:jc w:val="both"/>
        <w:rPr>
          <w:rFonts w:ascii="Gadugi" w:hAnsi="Gadugi"/>
          <w:sz w:val="24"/>
          <w:szCs w:val="24"/>
        </w:rPr>
      </w:pPr>
      <w:r w:rsidRPr="00A96231">
        <w:rPr>
          <w:rFonts w:ascii="Gadugi" w:hAnsi="Gadugi"/>
          <w:sz w:val="24"/>
          <w:szCs w:val="24"/>
        </w:rPr>
        <w:t>2.</w:t>
      </w:r>
      <w:r w:rsidR="00C179DD" w:rsidRPr="00A96231">
        <w:rPr>
          <w:rFonts w:ascii="Gadugi" w:hAnsi="Gadugi"/>
          <w:sz w:val="24"/>
          <w:szCs w:val="24"/>
        </w:rPr>
        <w:t>4</w:t>
      </w:r>
      <w:r w:rsidRPr="00A96231">
        <w:rPr>
          <w:rFonts w:ascii="Gadugi" w:hAnsi="Gadugi"/>
          <w:sz w:val="24"/>
          <w:szCs w:val="24"/>
        </w:rPr>
        <w:t xml:space="preserve">. </w:t>
      </w:r>
      <w:r w:rsidR="007606D7" w:rsidRPr="00A96231">
        <w:rPr>
          <w:rFonts w:ascii="Gadugi" w:hAnsi="Gadugi"/>
          <w:sz w:val="24"/>
          <w:szCs w:val="24"/>
        </w:rPr>
        <w:t>Sobre los requisitos generales de procedencia del presente caso se tiene lo siguiente:</w:t>
      </w:r>
    </w:p>
    <w:p w14:paraId="3822E88F" w14:textId="77777777" w:rsidR="007606D7" w:rsidRPr="00A96231" w:rsidRDefault="007606D7" w:rsidP="00A96231">
      <w:pPr>
        <w:spacing w:line="276" w:lineRule="auto"/>
        <w:jc w:val="both"/>
        <w:rPr>
          <w:rFonts w:ascii="Gadugi" w:hAnsi="Gadugi"/>
          <w:sz w:val="24"/>
          <w:szCs w:val="24"/>
        </w:rPr>
      </w:pPr>
    </w:p>
    <w:p w14:paraId="088C22CA" w14:textId="22866CF7" w:rsidR="005C54D7" w:rsidRPr="00A96231" w:rsidRDefault="007606D7" w:rsidP="00A96231">
      <w:pPr>
        <w:spacing w:line="276" w:lineRule="auto"/>
        <w:jc w:val="both"/>
        <w:rPr>
          <w:rFonts w:ascii="Gadugi" w:hAnsi="Gadugi"/>
          <w:sz w:val="24"/>
          <w:szCs w:val="24"/>
        </w:rPr>
      </w:pP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t xml:space="preserve">La legitimación por activa se cumple </w:t>
      </w:r>
      <w:r w:rsidR="00BA2312" w:rsidRPr="00A96231">
        <w:rPr>
          <w:rFonts w:ascii="Gadugi" w:hAnsi="Gadugi"/>
          <w:sz w:val="24"/>
          <w:szCs w:val="24"/>
        </w:rPr>
        <w:t>porque la Comercializadora Arturo Calle S.A.S.</w:t>
      </w:r>
      <w:r w:rsidR="00184DA0" w:rsidRPr="00A96231">
        <w:rPr>
          <w:rFonts w:ascii="Gadugi" w:hAnsi="Gadugi"/>
          <w:sz w:val="24"/>
          <w:szCs w:val="24"/>
        </w:rPr>
        <w:t>, es demandada en la acción popular de marras, y puede actuar por conducto de abogado</w:t>
      </w:r>
      <w:r w:rsidR="001304EA" w:rsidRPr="00A96231">
        <w:rPr>
          <w:rFonts w:ascii="Gadugi" w:hAnsi="Gadugi"/>
          <w:sz w:val="24"/>
          <w:szCs w:val="24"/>
        </w:rPr>
        <w:t xml:space="preserve">, quien fue facultado por </w:t>
      </w:r>
      <w:r w:rsidR="00184DA0" w:rsidRPr="00A96231">
        <w:rPr>
          <w:rFonts w:ascii="Gadugi" w:hAnsi="Gadugi"/>
          <w:sz w:val="24"/>
          <w:szCs w:val="24"/>
        </w:rPr>
        <w:t xml:space="preserve">su representante legal </w:t>
      </w:r>
      <w:r w:rsidR="00D57226" w:rsidRPr="00A96231">
        <w:rPr>
          <w:rFonts w:ascii="Gadugi" w:hAnsi="Gadugi"/>
          <w:sz w:val="24"/>
          <w:szCs w:val="24"/>
        </w:rPr>
        <w:t>para que formulara esta acción de tutela</w:t>
      </w:r>
      <w:r w:rsidR="00BC19DA" w:rsidRPr="00A96231">
        <w:rPr>
          <w:rStyle w:val="Refdenotaalpie"/>
          <w:rFonts w:ascii="Gadugi" w:hAnsi="Gadugi"/>
          <w:sz w:val="24"/>
          <w:szCs w:val="24"/>
        </w:rPr>
        <w:footnoteReference w:id="9"/>
      </w:r>
      <w:r w:rsidR="00184DA0" w:rsidRPr="00A96231">
        <w:rPr>
          <w:rFonts w:ascii="Gadugi" w:hAnsi="Gadugi"/>
          <w:sz w:val="24"/>
          <w:szCs w:val="24"/>
        </w:rPr>
        <w:t xml:space="preserve">; </w:t>
      </w:r>
      <w:r w:rsidR="005C54D7" w:rsidRPr="00A96231">
        <w:rPr>
          <w:rFonts w:ascii="Gadugi" w:hAnsi="Gadugi"/>
          <w:sz w:val="24"/>
          <w:szCs w:val="24"/>
        </w:rPr>
        <w:t xml:space="preserve">y por pasiva se cumple </w:t>
      </w:r>
      <w:r w:rsidR="00184DA0" w:rsidRPr="00A96231">
        <w:rPr>
          <w:rFonts w:ascii="Gadugi" w:hAnsi="Gadugi"/>
          <w:sz w:val="24"/>
          <w:szCs w:val="24"/>
        </w:rPr>
        <w:t>dado que el</w:t>
      </w:r>
      <w:r w:rsidR="005C54D7" w:rsidRPr="00A96231">
        <w:rPr>
          <w:rFonts w:ascii="Gadugi" w:hAnsi="Gadugi"/>
          <w:sz w:val="24"/>
          <w:szCs w:val="24"/>
        </w:rPr>
        <w:t xml:space="preserve"> juzgado accionado conoce de ese proceso,</w:t>
      </w:r>
      <w:r w:rsidR="00184DA0" w:rsidRPr="00A96231">
        <w:rPr>
          <w:rFonts w:ascii="Gadugi" w:hAnsi="Gadugi"/>
          <w:sz w:val="24"/>
          <w:szCs w:val="24"/>
        </w:rPr>
        <w:t xml:space="preserve"> y</w:t>
      </w:r>
      <w:r w:rsidR="001304EA" w:rsidRPr="00A96231">
        <w:rPr>
          <w:rFonts w:ascii="Gadugi" w:hAnsi="Gadugi"/>
          <w:sz w:val="24"/>
          <w:szCs w:val="24"/>
        </w:rPr>
        <w:t xml:space="preserve"> también</w:t>
      </w:r>
      <w:r w:rsidR="00184DA0" w:rsidRPr="00A96231">
        <w:rPr>
          <w:rFonts w:ascii="Gadugi" w:hAnsi="Gadugi"/>
          <w:sz w:val="24"/>
          <w:szCs w:val="24"/>
        </w:rPr>
        <w:t xml:space="preserve"> </w:t>
      </w:r>
      <w:r w:rsidR="005C54D7" w:rsidRPr="00A96231">
        <w:rPr>
          <w:rFonts w:ascii="Gadugi" w:hAnsi="Gadugi"/>
          <w:sz w:val="24"/>
          <w:szCs w:val="24"/>
        </w:rPr>
        <w:t xml:space="preserve">pueden comparecer los demás vinculados, pues intervienen en ese trámite.  </w:t>
      </w:r>
    </w:p>
    <w:p w14:paraId="01B1BCC5" w14:textId="77777777" w:rsidR="005C54D7" w:rsidRPr="00A96231" w:rsidRDefault="005C54D7" w:rsidP="00A96231">
      <w:pPr>
        <w:spacing w:line="276" w:lineRule="auto"/>
        <w:jc w:val="both"/>
        <w:rPr>
          <w:rFonts w:ascii="Gadugi" w:hAnsi="Gadugi" w:cs="Arial"/>
          <w:sz w:val="24"/>
          <w:szCs w:val="24"/>
        </w:rPr>
      </w:pPr>
    </w:p>
    <w:p w14:paraId="3CA760A7" w14:textId="2118473A" w:rsidR="007606D7" w:rsidRPr="00A96231" w:rsidRDefault="006F55EB"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7606D7" w:rsidRPr="00A96231">
        <w:rPr>
          <w:rFonts w:ascii="Gadugi" w:hAnsi="Gadugi" w:cs="Arial"/>
          <w:sz w:val="24"/>
          <w:szCs w:val="24"/>
        </w:rPr>
        <w:t>L</w:t>
      </w:r>
      <w:r w:rsidRPr="00A96231">
        <w:rPr>
          <w:rFonts w:ascii="Gadugi" w:hAnsi="Gadugi" w:cs="Arial"/>
          <w:sz w:val="24"/>
          <w:szCs w:val="24"/>
        </w:rPr>
        <w:t>a inmediatez está satisfecha</w:t>
      </w:r>
      <w:r w:rsidR="00CA5BD1" w:rsidRPr="00A96231">
        <w:rPr>
          <w:rFonts w:ascii="Gadugi" w:hAnsi="Gadugi" w:cs="Arial"/>
          <w:sz w:val="24"/>
          <w:szCs w:val="24"/>
        </w:rPr>
        <w:t>,</w:t>
      </w:r>
      <w:r w:rsidRPr="00A96231">
        <w:rPr>
          <w:rFonts w:ascii="Gadugi" w:hAnsi="Gadugi" w:cs="Arial"/>
          <w:sz w:val="24"/>
          <w:szCs w:val="24"/>
        </w:rPr>
        <w:t xml:space="preserve"> comoquiera que el auto mediante el cual se </w:t>
      </w:r>
      <w:r w:rsidR="007606D7" w:rsidRPr="00A96231">
        <w:rPr>
          <w:rFonts w:ascii="Gadugi" w:hAnsi="Gadugi" w:cs="Arial"/>
          <w:sz w:val="24"/>
          <w:szCs w:val="24"/>
        </w:rPr>
        <w:t xml:space="preserve">confirmó la decisión que aquí se reprocha data del </w:t>
      </w:r>
      <w:r w:rsidR="001304EA" w:rsidRPr="00A96231">
        <w:rPr>
          <w:rFonts w:ascii="Gadugi" w:hAnsi="Gadugi" w:cs="Arial"/>
          <w:sz w:val="24"/>
          <w:szCs w:val="24"/>
        </w:rPr>
        <w:t>1°</w:t>
      </w:r>
      <w:r w:rsidR="007606D7" w:rsidRPr="00A96231">
        <w:rPr>
          <w:rFonts w:ascii="Gadugi" w:hAnsi="Gadugi" w:cs="Arial"/>
          <w:sz w:val="24"/>
          <w:szCs w:val="24"/>
        </w:rPr>
        <w:t xml:space="preserve"> de </w:t>
      </w:r>
      <w:r w:rsidR="001304EA" w:rsidRPr="00A96231">
        <w:rPr>
          <w:rFonts w:ascii="Gadugi" w:hAnsi="Gadugi" w:cs="Arial"/>
          <w:sz w:val="24"/>
          <w:szCs w:val="24"/>
        </w:rPr>
        <w:t xml:space="preserve">junio </w:t>
      </w:r>
      <w:r w:rsidR="007606D7" w:rsidRPr="00A96231">
        <w:rPr>
          <w:rFonts w:ascii="Gadugi" w:hAnsi="Gadugi" w:cs="Arial"/>
          <w:sz w:val="24"/>
          <w:szCs w:val="24"/>
        </w:rPr>
        <w:t>de 2022</w:t>
      </w:r>
      <w:r w:rsidR="00BC19DA" w:rsidRPr="00A96231">
        <w:rPr>
          <w:rStyle w:val="Refdenotaalpie"/>
          <w:rFonts w:ascii="Gadugi" w:hAnsi="Gadugi"/>
          <w:sz w:val="24"/>
          <w:szCs w:val="24"/>
        </w:rPr>
        <w:footnoteReference w:id="10"/>
      </w:r>
      <w:r w:rsidR="007606D7" w:rsidRPr="00A96231">
        <w:rPr>
          <w:rFonts w:ascii="Gadugi" w:hAnsi="Gadugi" w:cs="Arial"/>
          <w:sz w:val="24"/>
          <w:szCs w:val="24"/>
        </w:rPr>
        <w:t>, y esta a</w:t>
      </w:r>
      <w:r w:rsidR="0001094C" w:rsidRPr="00A96231">
        <w:rPr>
          <w:rFonts w:ascii="Gadugi" w:hAnsi="Gadugi" w:cs="Arial"/>
          <w:sz w:val="24"/>
          <w:szCs w:val="24"/>
        </w:rPr>
        <w:t>cción de tutela se radicó</w:t>
      </w:r>
      <w:r w:rsidR="005C54D7" w:rsidRPr="00A96231">
        <w:rPr>
          <w:rFonts w:ascii="Gadugi" w:hAnsi="Gadugi" w:cs="Arial"/>
          <w:sz w:val="24"/>
          <w:szCs w:val="24"/>
        </w:rPr>
        <w:t xml:space="preserve">, </w:t>
      </w:r>
      <w:r w:rsidR="00BC19DA" w:rsidRPr="00A96231">
        <w:rPr>
          <w:rFonts w:ascii="Gadugi" w:hAnsi="Gadugi" w:cs="Arial"/>
          <w:sz w:val="24"/>
          <w:szCs w:val="24"/>
        </w:rPr>
        <w:t>con prontitud</w:t>
      </w:r>
      <w:r w:rsidR="005C54D7" w:rsidRPr="00A96231">
        <w:rPr>
          <w:rFonts w:ascii="Gadugi" w:hAnsi="Gadugi" w:cs="Arial"/>
          <w:sz w:val="24"/>
          <w:szCs w:val="24"/>
        </w:rPr>
        <w:t>,</w:t>
      </w:r>
      <w:r w:rsidR="0001094C" w:rsidRPr="00A96231">
        <w:rPr>
          <w:rFonts w:ascii="Gadugi" w:hAnsi="Gadugi" w:cs="Arial"/>
          <w:sz w:val="24"/>
          <w:szCs w:val="24"/>
        </w:rPr>
        <w:t xml:space="preserve"> el </w:t>
      </w:r>
      <w:r w:rsidR="001304EA" w:rsidRPr="00A96231">
        <w:rPr>
          <w:rFonts w:ascii="Gadugi" w:hAnsi="Gadugi" w:cs="Arial"/>
          <w:sz w:val="24"/>
          <w:szCs w:val="24"/>
        </w:rPr>
        <w:t>14</w:t>
      </w:r>
      <w:r w:rsidR="0001094C" w:rsidRPr="00A96231">
        <w:rPr>
          <w:rFonts w:ascii="Gadugi" w:hAnsi="Gadugi" w:cs="Arial"/>
          <w:sz w:val="24"/>
          <w:szCs w:val="24"/>
        </w:rPr>
        <w:t xml:space="preserve"> de </w:t>
      </w:r>
      <w:r w:rsidR="001304EA" w:rsidRPr="00A96231">
        <w:rPr>
          <w:rFonts w:ascii="Gadugi" w:hAnsi="Gadugi" w:cs="Arial"/>
          <w:sz w:val="24"/>
          <w:szCs w:val="24"/>
        </w:rPr>
        <w:t>julio</w:t>
      </w:r>
      <w:r w:rsidR="005C54D7" w:rsidRPr="00A96231">
        <w:rPr>
          <w:rFonts w:ascii="Gadugi" w:hAnsi="Gadugi" w:cs="Arial"/>
          <w:sz w:val="24"/>
          <w:szCs w:val="24"/>
        </w:rPr>
        <w:t xml:space="preserve"> </w:t>
      </w:r>
      <w:r w:rsidR="0001094C" w:rsidRPr="00A96231">
        <w:rPr>
          <w:rFonts w:ascii="Gadugi" w:hAnsi="Gadugi" w:cs="Arial"/>
          <w:sz w:val="24"/>
          <w:szCs w:val="24"/>
        </w:rPr>
        <w:t>siguiente</w:t>
      </w:r>
      <w:r w:rsidR="00BC19DA" w:rsidRPr="00A96231">
        <w:rPr>
          <w:rStyle w:val="Refdenotaalpie"/>
          <w:rFonts w:ascii="Gadugi" w:hAnsi="Gadugi"/>
          <w:sz w:val="24"/>
          <w:szCs w:val="24"/>
        </w:rPr>
        <w:footnoteReference w:id="11"/>
      </w:r>
      <w:r w:rsidR="0001094C" w:rsidRPr="00A96231">
        <w:rPr>
          <w:rFonts w:ascii="Gadugi" w:hAnsi="Gadugi" w:cs="Arial"/>
          <w:sz w:val="24"/>
          <w:szCs w:val="24"/>
        </w:rPr>
        <w:t xml:space="preserve">. </w:t>
      </w:r>
    </w:p>
    <w:p w14:paraId="04B0BEAA" w14:textId="77777777" w:rsidR="005C54D7" w:rsidRPr="00A96231" w:rsidRDefault="005C54D7" w:rsidP="00A96231">
      <w:pPr>
        <w:spacing w:line="276" w:lineRule="auto"/>
        <w:jc w:val="both"/>
        <w:rPr>
          <w:rFonts w:ascii="Gadugi" w:hAnsi="Gadugi" w:cs="Arial"/>
          <w:sz w:val="24"/>
          <w:szCs w:val="24"/>
        </w:rPr>
      </w:pPr>
    </w:p>
    <w:p w14:paraId="5FBBF5A2" w14:textId="7E94EDD5" w:rsidR="006D3A43" w:rsidRPr="00A96231" w:rsidRDefault="005C54D7"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La subsidiari</w:t>
      </w:r>
      <w:r w:rsidR="00FE5FF5" w:rsidRPr="00A96231">
        <w:rPr>
          <w:rFonts w:ascii="Gadugi" w:hAnsi="Gadugi" w:cs="Arial"/>
          <w:sz w:val="24"/>
          <w:szCs w:val="24"/>
        </w:rPr>
        <w:t>e</w:t>
      </w:r>
      <w:r w:rsidRPr="00A96231">
        <w:rPr>
          <w:rFonts w:ascii="Gadugi" w:hAnsi="Gadugi" w:cs="Arial"/>
          <w:sz w:val="24"/>
          <w:szCs w:val="24"/>
        </w:rPr>
        <w:t xml:space="preserve">dad se supera porque </w:t>
      </w:r>
      <w:r w:rsidR="00B14B67" w:rsidRPr="00A96231">
        <w:rPr>
          <w:rFonts w:ascii="Gadugi" w:hAnsi="Gadugi" w:cs="Arial"/>
          <w:sz w:val="24"/>
          <w:szCs w:val="24"/>
        </w:rPr>
        <w:t>la parte actora formuló el recurso de reposición, que era el procedente</w:t>
      </w:r>
      <w:r w:rsidR="001304EA" w:rsidRPr="00A96231">
        <w:rPr>
          <w:rFonts w:ascii="Gadugi" w:hAnsi="Gadugi" w:cs="Arial"/>
          <w:sz w:val="24"/>
          <w:szCs w:val="24"/>
        </w:rPr>
        <w:t xml:space="preserve"> (Art. 36, Ley 472/98)</w:t>
      </w:r>
      <w:r w:rsidR="00BC19DA" w:rsidRPr="00A96231">
        <w:rPr>
          <w:rStyle w:val="Refdenotaalpie"/>
          <w:rFonts w:ascii="Gadugi" w:hAnsi="Gadugi"/>
          <w:sz w:val="24"/>
          <w:szCs w:val="24"/>
        </w:rPr>
        <w:footnoteReference w:id="12"/>
      </w:r>
      <w:r w:rsidR="00B14B67" w:rsidRPr="00A96231">
        <w:rPr>
          <w:rFonts w:ascii="Gadugi" w:hAnsi="Gadugi" w:cs="Arial"/>
          <w:sz w:val="24"/>
          <w:szCs w:val="24"/>
        </w:rPr>
        <w:t xml:space="preserve">, </w:t>
      </w:r>
      <w:r w:rsidR="00167505" w:rsidRPr="00A96231">
        <w:rPr>
          <w:rFonts w:ascii="Gadugi" w:hAnsi="Gadugi" w:cs="Arial"/>
          <w:sz w:val="24"/>
          <w:szCs w:val="24"/>
        </w:rPr>
        <w:t xml:space="preserve">frente a la </w:t>
      </w:r>
      <w:r w:rsidR="001304EA" w:rsidRPr="00A96231">
        <w:rPr>
          <w:rFonts w:ascii="Gadugi" w:hAnsi="Gadugi" w:cs="Arial"/>
          <w:sz w:val="24"/>
          <w:szCs w:val="24"/>
        </w:rPr>
        <w:t xml:space="preserve">negativa del juzgado </w:t>
      </w:r>
      <w:r w:rsidR="009B0594" w:rsidRPr="00A96231">
        <w:rPr>
          <w:rFonts w:ascii="Gadugi" w:hAnsi="Gadugi" w:cs="Arial"/>
          <w:sz w:val="24"/>
          <w:szCs w:val="24"/>
        </w:rPr>
        <w:t>de aceptar sus alegatos de conclusión</w:t>
      </w:r>
      <w:r w:rsidR="00DC7196" w:rsidRPr="00A96231">
        <w:rPr>
          <w:rFonts w:ascii="Gadugi" w:hAnsi="Gadugi" w:cs="Arial"/>
          <w:sz w:val="24"/>
          <w:szCs w:val="24"/>
        </w:rPr>
        <w:t>. Es decir, el debate que aquí se propone, ya se agotó en el juicio ordinario.</w:t>
      </w:r>
    </w:p>
    <w:p w14:paraId="52E1C648" w14:textId="3A80AA46" w:rsidR="002F1B01" w:rsidRPr="00A96231" w:rsidRDefault="002F1B01" w:rsidP="00A96231">
      <w:pPr>
        <w:spacing w:line="276" w:lineRule="auto"/>
        <w:jc w:val="both"/>
        <w:rPr>
          <w:rFonts w:ascii="Gadugi" w:hAnsi="Gadugi" w:cs="Arial"/>
          <w:sz w:val="24"/>
          <w:szCs w:val="24"/>
        </w:rPr>
      </w:pPr>
    </w:p>
    <w:p w14:paraId="7F3289C9" w14:textId="298CAAD4" w:rsidR="00806DA2" w:rsidRPr="00A96231" w:rsidRDefault="002F1B01"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0222F5" w:rsidRPr="00A96231">
        <w:rPr>
          <w:rFonts w:ascii="Gadugi" w:hAnsi="Gadugi" w:cs="Arial"/>
          <w:sz w:val="24"/>
          <w:szCs w:val="24"/>
        </w:rPr>
        <w:t>2.</w:t>
      </w:r>
      <w:r w:rsidR="00C179DD" w:rsidRPr="00A96231">
        <w:rPr>
          <w:rFonts w:ascii="Gadugi" w:hAnsi="Gadugi" w:cs="Arial"/>
          <w:sz w:val="24"/>
          <w:szCs w:val="24"/>
        </w:rPr>
        <w:t>5</w:t>
      </w:r>
      <w:r w:rsidR="000222F5" w:rsidRPr="00A96231">
        <w:rPr>
          <w:rFonts w:ascii="Gadugi" w:hAnsi="Gadugi" w:cs="Arial"/>
          <w:sz w:val="24"/>
          <w:szCs w:val="24"/>
        </w:rPr>
        <w:t xml:space="preserve">. </w:t>
      </w:r>
      <w:r w:rsidRPr="00A96231">
        <w:rPr>
          <w:rFonts w:ascii="Gadugi" w:hAnsi="Gadugi" w:cs="Arial"/>
          <w:sz w:val="24"/>
          <w:szCs w:val="24"/>
        </w:rPr>
        <w:t xml:space="preserve">Superado el test de procedencia, </w:t>
      </w:r>
      <w:r w:rsidR="009B0594" w:rsidRPr="00A96231">
        <w:rPr>
          <w:rFonts w:ascii="Gadugi" w:hAnsi="Gadugi" w:cs="Arial"/>
          <w:sz w:val="24"/>
          <w:szCs w:val="24"/>
        </w:rPr>
        <w:t>sigue examinar el presunto defecto procedimental que se le endilga a la decisión cuestionada.</w:t>
      </w:r>
      <w:r w:rsidR="000D49F8" w:rsidRPr="00A96231">
        <w:rPr>
          <w:rFonts w:ascii="Gadugi" w:hAnsi="Gadugi" w:cs="Arial"/>
          <w:sz w:val="24"/>
          <w:szCs w:val="24"/>
        </w:rPr>
        <w:t xml:space="preserve"> S</w:t>
      </w:r>
      <w:r w:rsidR="00806DA2" w:rsidRPr="00A96231">
        <w:rPr>
          <w:rFonts w:ascii="Gadugi" w:hAnsi="Gadugi" w:cs="Arial"/>
          <w:sz w:val="24"/>
          <w:szCs w:val="24"/>
        </w:rPr>
        <w:t xml:space="preserve">obre </w:t>
      </w:r>
      <w:r w:rsidR="009B0594" w:rsidRPr="00A96231">
        <w:rPr>
          <w:rFonts w:ascii="Gadugi" w:hAnsi="Gadugi" w:cs="Arial"/>
          <w:sz w:val="24"/>
          <w:szCs w:val="24"/>
        </w:rPr>
        <w:t>ese tipo de anomalías, la Corte Constitucional explica</w:t>
      </w:r>
      <w:r w:rsidR="00806DA2" w:rsidRPr="00A96231">
        <w:rPr>
          <w:rStyle w:val="Refdenotaalpie"/>
          <w:rFonts w:ascii="Gadugi" w:hAnsi="Gadugi"/>
          <w:sz w:val="24"/>
          <w:szCs w:val="24"/>
        </w:rPr>
        <w:footnoteReference w:id="13"/>
      </w:r>
      <w:r w:rsidR="00806DA2" w:rsidRPr="00A96231">
        <w:rPr>
          <w:rFonts w:ascii="Gadugi" w:hAnsi="Gadugi" w:cs="Arial"/>
          <w:sz w:val="24"/>
          <w:szCs w:val="24"/>
        </w:rPr>
        <w:t>:</w:t>
      </w:r>
    </w:p>
    <w:p w14:paraId="43072915" w14:textId="04BFD184" w:rsidR="00806DA2" w:rsidRPr="00A96231" w:rsidRDefault="00806DA2" w:rsidP="00A96231">
      <w:pPr>
        <w:spacing w:line="276" w:lineRule="auto"/>
        <w:jc w:val="both"/>
        <w:rPr>
          <w:rFonts w:ascii="Gadugi" w:hAnsi="Gadugi" w:cs="Arial"/>
          <w:sz w:val="24"/>
          <w:szCs w:val="24"/>
        </w:rPr>
      </w:pPr>
    </w:p>
    <w:p w14:paraId="01178A88" w14:textId="343C0D7C" w:rsidR="00F37521" w:rsidRPr="00A96231" w:rsidRDefault="00806DA2" w:rsidP="00A96231">
      <w:pPr>
        <w:ind w:left="426" w:right="420"/>
        <w:jc w:val="both"/>
        <w:rPr>
          <w:rFonts w:ascii="Gadugi" w:hAnsi="Gadugi" w:cs="Arial"/>
          <w:sz w:val="22"/>
          <w:szCs w:val="24"/>
        </w:rPr>
      </w:pPr>
      <w:r w:rsidRPr="00A96231">
        <w:rPr>
          <w:rFonts w:ascii="Gadugi" w:hAnsi="Gadugi" w:cs="Arial"/>
          <w:sz w:val="22"/>
          <w:szCs w:val="24"/>
        </w:rPr>
        <w:tab/>
      </w:r>
      <w:r w:rsidRPr="00A96231">
        <w:rPr>
          <w:rFonts w:ascii="Gadugi" w:hAnsi="Gadugi" w:cs="Arial"/>
          <w:sz w:val="22"/>
          <w:szCs w:val="24"/>
        </w:rPr>
        <w:tab/>
      </w:r>
      <w:r w:rsidRPr="00A96231">
        <w:rPr>
          <w:rFonts w:ascii="Gadugi" w:hAnsi="Gadugi" w:cs="Arial"/>
          <w:sz w:val="22"/>
          <w:szCs w:val="24"/>
        </w:rPr>
        <w:tab/>
      </w:r>
      <w:r w:rsidRPr="00A96231">
        <w:rPr>
          <w:rFonts w:ascii="Gadugi" w:hAnsi="Gadugi" w:cs="Arial"/>
          <w:sz w:val="22"/>
          <w:szCs w:val="24"/>
        </w:rPr>
        <w:tab/>
        <w:t xml:space="preserve">“La jurisprudencia constitucional ha identificado que una autoridad judicial puede incurrir en un </w:t>
      </w:r>
      <w:r w:rsidRPr="00A96231">
        <w:rPr>
          <w:rFonts w:ascii="Gadugi" w:hAnsi="Gadugi" w:cs="Arial"/>
          <w:b/>
          <w:sz w:val="22"/>
          <w:szCs w:val="24"/>
        </w:rPr>
        <w:t>defecto procedimental</w:t>
      </w:r>
      <w:r w:rsidRPr="00A96231">
        <w:rPr>
          <w:rFonts w:ascii="Gadugi" w:hAnsi="Gadugi" w:cs="Arial"/>
          <w:sz w:val="22"/>
          <w:szCs w:val="24"/>
        </w:rPr>
        <w:t xml:space="preserve"> bajo dos modalidades: (a) el defecto procedimental absoluto ocurre cuando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una de las partes del proceso”. (b) </w:t>
      </w:r>
      <w:r w:rsidRPr="00A96231">
        <w:rPr>
          <w:rFonts w:ascii="Gadugi" w:hAnsi="Gadugi" w:cs="Arial"/>
          <w:b/>
          <w:sz w:val="22"/>
          <w:szCs w:val="24"/>
          <w:u w:val="single"/>
        </w:rPr>
        <w:t>El defecto procedimental por exceso de ritual manifiesto</w:t>
      </w:r>
      <w:r w:rsidRPr="00A96231">
        <w:rPr>
          <w:rFonts w:ascii="Gadugi" w:hAnsi="Gadugi" w:cs="Arial"/>
          <w:b/>
          <w:sz w:val="22"/>
          <w:szCs w:val="24"/>
        </w:rPr>
        <w:t>, ocurre cuando la autoridad judicial“(…) un funcionario utiliza o concibe los procedimientos como un obstáculo para la eficacia del derecho sustancial y por esta vía, sus actuaciones devienen en una denegación de justicia”; es decir, el funcionario judicial incurre en esta causal cuando “(i) no tiene presente que el derecho procesal es un medio para la realización efectiva de los derechos de los ciudadanos, (ii) renuncia conscientemente a la verdad jurídica objetiva pese a los hechos probados en el caso concreto, (iii) porque aplica rigurosamente el derecho procesal, (iv) pese a que dicha actuación devenga en el desconocimiento de derechos fundamentales”.</w:t>
      </w:r>
      <w:r w:rsidR="000222F5" w:rsidRPr="00A96231">
        <w:rPr>
          <w:rFonts w:ascii="Gadugi" w:hAnsi="Gadugi" w:cs="Arial"/>
          <w:b/>
          <w:sz w:val="22"/>
          <w:szCs w:val="24"/>
        </w:rPr>
        <w:t xml:space="preserve"> </w:t>
      </w:r>
      <w:r w:rsidR="000222F5" w:rsidRPr="00A96231">
        <w:rPr>
          <w:rFonts w:ascii="Gadugi" w:hAnsi="Gadugi" w:cs="Arial"/>
          <w:sz w:val="22"/>
          <w:szCs w:val="24"/>
        </w:rPr>
        <w:t>(Destaca la Sala)</w:t>
      </w:r>
    </w:p>
    <w:p w14:paraId="1ABC1814" w14:textId="133C4CD3" w:rsidR="00F37521" w:rsidRPr="00A96231" w:rsidRDefault="00F37521" w:rsidP="00A96231">
      <w:pPr>
        <w:spacing w:line="276" w:lineRule="auto"/>
        <w:jc w:val="both"/>
        <w:rPr>
          <w:rFonts w:ascii="Gadugi" w:hAnsi="Gadugi" w:cs="Arial"/>
          <w:sz w:val="24"/>
          <w:szCs w:val="24"/>
        </w:rPr>
      </w:pPr>
    </w:p>
    <w:p w14:paraId="1437B420" w14:textId="67DA285F" w:rsidR="0044480D" w:rsidRPr="00A96231" w:rsidRDefault="004D0A58"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44480D" w:rsidRPr="00A96231">
        <w:rPr>
          <w:rFonts w:ascii="Gadugi" w:hAnsi="Gadugi" w:cs="Arial"/>
          <w:sz w:val="24"/>
          <w:szCs w:val="24"/>
        </w:rPr>
        <w:t>2.</w:t>
      </w:r>
      <w:r w:rsidR="00416B12" w:rsidRPr="00A96231">
        <w:rPr>
          <w:rFonts w:ascii="Gadugi" w:hAnsi="Gadugi" w:cs="Arial"/>
          <w:sz w:val="24"/>
          <w:szCs w:val="24"/>
        </w:rPr>
        <w:t>6</w:t>
      </w:r>
      <w:r w:rsidR="0044480D" w:rsidRPr="00A96231">
        <w:rPr>
          <w:rFonts w:ascii="Gadugi" w:hAnsi="Gadugi" w:cs="Arial"/>
          <w:sz w:val="24"/>
          <w:szCs w:val="24"/>
        </w:rPr>
        <w:t xml:space="preserve">. </w:t>
      </w:r>
      <w:r w:rsidR="007C60F3" w:rsidRPr="00A96231">
        <w:rPr>
          <w:rFonts w:ascii="Gadugi" w:hAnsi="Gadugi" w:cs="Arial"/>
          <w:sz w:val="24"/>
          <w:szCs w:val="24"/>
        </w:rPr>
        <w:t>Sin perder de vista lo que acaba de transcribirse y destacarse, sigue la Sala con el estudio del caso concreto, para lo cual es necesario recordar los argumentos de los autos confutados.</w:t>
      </w:r>
    </w:p>
    <w:p w14:paraId="7646A896" w14:textId="0FBE70CA" w:rsidR="007C60F3" w:rsidRPr="00A96231" w:rsidRDefault="007C60F3" w:rsidP="00A96231">
      <w:pPr>
        <w:spacing w:line="276" w:lineRule="auto"/>
        <w:jc w:val="both"/>
        <w:rPr>
          <w:rFonts w:ascii="Gadugi" w:hAnsi="Gadugi" w:cs="Arial"/>
          <w:sz w:val="24"/>
          <w:szCs w:val="24"/>
        </w:rPr>
      </w:pPr>
    </w:p>
    <w:p w14:paraId="17F9B73F" w14:textId="28B53348" w:rsidR="007C60F3" w:rsidRPr="00A96231" w:rsidRDefault="007C60F3"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(i) El 15 de febrero de 2021, llegó al correo electrónico del Juzgado Quinto Civil del Circuito de Pereira, un escrito procedente del correo electrónico </w:t>
      </w:r>
      <w:hyperlink r:id="rId11" w:history="1">
        <w:r w:rsidRPr="00A96231">
          <w:rPr>
            <w:rStyle w:val="Hipervnculo"/>
            <w:rFonts w:ascii="Gadugi" w:hAnsi="Gadugi" w:cs="Arial"/>
            <w:sz w:val="24"/>
            <w:szCs w:val="24"/>
          </w:rPr>
          <w:t>ecardona@duportabogados.com</w:t>
        </w:r>
      </w:hyperlink>
      <w:r w:rsidRPr="00A96231">
        <w:rPr>
          <w:rFonts w:ascii="Gadugi" w:hAnsi="Gadugi" w:cs="Arial"/>
          <w:sz w:val="24"/>
          <w:szCs w:val="24"/>
        </w:rPr>
        <w:t>, que contiene los alegatos de conclusión de la sociedad COMERCIALIZADORA ARTURO CALLE S.A.S.; ese memorial está suscrito por el abogado Eduardo Cardona Ruiz, quien representa judicialmente a esa sociedad en ese juicio.</w:t>
      </w:r>
      <w:r w:rsidR="00BC19DA" w:rsidRPr="00A96231">
        <w:rPr>
          <w:rStyle w:val="Refdenotaalpie"/>
          <w:rFonts w:ascii="Gadugi" w:hAnsi="Gadugi"/>
          <w:sz w:val="24"/>
          <w:szCs w:val="24"/>
        </w:rPr>
        <w:footnoteReference w:id="14"/>
      </w:r>
      <w:r w:rsidRPr="00A96231">
        <w:rPr>
          <w:rFonts w:ascii="Gadugi" w:hAnsi="Gadugi" w:cs="Arial"/>
          <w:sz w:val="24"/>
          <w:szCs w:val="24"/>
        </w:rPr>
        <w:t xml:space="preserve"> </w:t>
      </w:r>
    </w:p>
    <w:p w14:paraId="5708558B" w14:textId="12788743" w:rsidR="0044480D" w:rsidRPr="00A96231" w:rsidRDefault="0044480D" w:rsidP="00A96231">
      <w:pPr>
        <w:spacing w:line="276" w:lineRule="auto"/>
        <w:jc w:val="both"/>
        <w:rPr>
          <w:rFonts w:ascii="Gadugi" w:hAnsi="Gadugi" w:cs="Arial"/>
          <w:sz w:val="24"/>
          <w:szCs w:val="24"/>
        </w:rPr>
      </w:pPr>
    </w:p>
    <w:p w14:paraId="34E9CC1D" w14:textId="412AE4AC" w:rsidR="007C60F3" w:rsidRPr="00A96231" w:rsidRDefault="007C60F3"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(ii) Frente a ello, con auto del 27 de abril de 2021, el despacho dispuso</w:t>
      </w:r>
      <w:r w:rsidR="00BC19DA" w:rsidRPr="00A96231">
        <w:rPr>
          <w:rStyle w:val="Refdenotaalpie"/>
          <w:rFonts w:ascii="Gadugi" w:hAnsi="Gadugi"/>
          <w:sz w:val="24"/>
          <w:szCs w:val="24"/>
        </w:rPr>
        <w:footnoteReference w:id="15"/>
      </w:r>
      <w:r w:rsidRPr="00A96231">
        <w:rPr>
          <w:rFonts w:ascii="Gadugi" w:hAnsi="Gadugi" w:cs="Arial"/>
          <w:sz w:val="24"/>
          <w:szCs w:val="24"/>
        </w:rPr>
        <w:t>:</w:t>
      </w:r>
    </w:p>
    <w:p w14:paraId="6008101F" w14:textId="305F4D01" w:rsidR="007C60F3" w:rsidRPr="00A96231" w:rsidRDefault="007C60F3" w:rsidP="00A96231">
      <w:pPr>
        <w:spacing w:line="276" w:lineRule="auto"/>
        <w:jc w:val="both"/>
        <w:rPr>
          <w:rFonts w:ascii="Gadugi" w:hAnsi="Gadugi" w:cs="Arial"/>
          <w:sz w:val="24"/>
          <w:szCs w:val="24"/>
        </w:rPr>
      </w:pPr>
    </w:p>
    <w:p w14:paraId="5319EDBD" w14:textId="51A79078" w:rsidR="007C60F3" w:rsidRPr="008B262B" w:rsidRDefault="007C60F3"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“Se tendrá por no presentado el escrito de alegatos allegado dentro del término de ley, suscrito por el apoderado judicial de la accionada, por cuanto el correo electrónico del cual fue remitido ecardona@duportabogados.com (archivo 059), no corresponde con el que se aprecia en el poder especial otorgado por la accionada, el cual es eduardo@juridicocardona.com (archivo 024), ni con el que el profesional del derecho tiene inscrito en el Registro Nacional de Abogados, eduardo.cardona@gmail.com según la consulta efectuada en la fecha.</w:t>
      </w:r>
    </w:p>
    <w:p w14:paraId="4586E08D" w14:textId="62615943" w:rsidR="007C60F3" w:rsidRPr="008B262B" w:rsidRDefault="007C60F3" w:rsidP="008B262B">
      <w:pPr>
        <w:ind w:left="426" w:right="420"/>
        <w:jc w:val="both"/>
        <w:rPr>
          <w:rFonts w:ascii="Gadugi" w:hAnsi="Gadugi" w:cs="Arial"/>
          <w:sz w:val="22"/>
          <w:szCs w:val="24"/>
        </w:rPr>
      </w:pPr>
    </w:p>
    <w:p w14:paraId="4BAA4996" w14:textId="0F0FE472" w:rsidR="007C60F3" w:rsidRPr="008B262B" w:rsidRDefault="007C60F3"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Lo anterior, ante el incumplimiento de su deber de informar el cambio de correo electrónico, conforme lo estipula el artículo 3 del Decreto Legislativo 806 de 2020.”</w:t>
      </w:r>
    </w:p>
    <w:p w14:paraId="5EDE553A" w14:textId="68CE22ED" w:rsidR="007C60F3" w:rsidRPr="00A96231" w:rsidRDefault="007C60F3" w:rsidP="00A96231">
      <w:pPr>
        <w:spacing w:line="276" w:lineRule="auto"/>
        <w:jc w:val="both"/>
        <w:rPr>
          <w:rFonts w:ascii="Gadugi" w:hAnsi="Gadugi" w:cs="Arial"/>
          <w:sz w:val="24"/>
          <w:szCs w:val="24"/>
        </w:rPr>
      </w:pPr>
    </w:p>
    <w:p w14:paraId="471ED695" w14:textId="4C51CBB3" w:rsidR="007C60F3" w:rsidRPr="00A96231" w:rsidRDefault="007C60F3"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62113E" w:rsidRPr="00A96231">
        <w:rPr>
          <w:rFonts w:ascii="Gadugi" w:hAnsi="Gadugi" w:cs="Arial"/>
          <w:sz w:val="24"/>
          <w:szCs w:val="24"/>
        </w:rPr>
        <w:t>(iii)</w:t>
      </w:r>
      <w:r w:rsidRPr="00A96231">
        <w:rPr>
          <w:rFonts w:ascii="Gadugi" w:hAnsi="Gadugi" w:cs="Arial"/>
          <w:sz w:val="24"/>
          <w:szCs w:val="24"/>
        </w:rPr>
        <w:t xml:space="preserve"> Contra ello se formuló un recurso de reposición </w:t>
      </w:r>
      <w:r w:rsidR="0062113E" w:rsidRPr="00A96231">
        <w:rPr>
          <w:rFonts w:ascii="Gadugi" w:hAnsi="Gadugi" w:cs="Arial"/>
          <w:sz w:val="24"/>
          <w:szCs w:val="24"/>
        </w:rPr>
        <w:t xml:space="preserve">porque </w:t>
      </w:r>
      <w:r w:rsidR="0062113E" w:rsidRPr="00A96231">
        <w:rPr>
          <w:rFonts w:ascii="Gadugi" w:hAnsi="Gadugi" w:cs="Arial"/>
          <w:i/>
          <w:sz w:val="24"/>
          <w:szCs w:val="24"/>
        </w:rPr>
        <w:t>“</w:t>
      </w:r>
      <w:r w:rsidR="0062113E" w:rsidRPr="008B262B">
        <w:rPr>
          <w:rFonts w:ascii="Gadugi" w:hAnsi="Gadugi" w:cs="Arial"/>
          <w:i/>
          <w:sz w:val="22"/>
          <w:szCs w:val="24"/>
        </w:rPr>
        <w:t>(…) no se puede negar la oportunidad a ser oído en el proceso por un requisito de forma tan básico como lo es la dirección electrónica de la cual se envía un documento al Despacho, siendo el documento debidamente identificado y firmado por el apoderado</w:t>
      </w:r>
      <w:r w:rsidR="0062113E" w:rsidRPr="00A96231">
        <w:rPr>
          <w:rFonts w:ascii="Gadugi" w:hAnsi="Gadugi" w:cs="Arial"/>
          <w:i/>
          <w:sz w:val="24"/>
          <w:szCs w:val="24"/>
        </w:rPr>
        <w:t>.”</w:t>
      </w:r>
      <w:r w:rsidR="00BC19DA" w:rsidRPr="00A96231">
        <w:rPr>
          <w:rStyle w:val="Refdenotaalpie"/>
          <w:rFonts w:ascii="Gadugi" w:hAnsi="Gadugi"/>
          <w:i/>
          <w:sz w:val="24"/>
          <w:szCs w:val="24"/>
        </w:rPr>
        <w:footnoteReference w:id="16"/>
      </w:r>
    </w:p>
    <w:p w14:paraId="4B46739D" w14:textId="3E1D9CA9" w:rsidR="007C60F3" w:rsidRPr="00A96231" w:rsidRDefault="007C60F3" w:rsidP="00A96231">
      <w:pPr>
        <w:spacing w:line="276" w:lineRule="auto"/>
        <w:jc w:val="both"/>
        <w:rPr>
          <w:rFonts w:ascii="Gadugi" w:hAnsi="Gadugi" w:cs="Arial"/>
          <w:sz w:val="24"/>
          <w:szCs w:val="24"/>
        </w:rPr>
      </w:pPr>
    </w:p>
    <w:p w14:paraId="110FC8C1" w14:textId="39AC3C9F" w:rsidR="0062113E" w:rsidRPr="00A96231" w:rsidRDefault="0062113E"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(iv) Mediante proveído del 1° de junio de 2022, esa impugnación fue resuelta en los siguientes términos</w:t>
      </w:r>
      <w:r w:rsidR="00BC19DA" w:rsidRPr="00A96231">
        <w:rPr>
          <w:rStyle w:val="Refdenotaalpie"/>
          <w:rFonts w:ascii="Gadugi" w:hAnsi="Gadugi"/>
          <w:sz w:val="24"/>
          <w:szCs w:val="24"/>
        </w:rPr>
        <w:footnoteReference w:id="17"/>
      </w:r>
      <w:r w:rsidRPr="00A96231">
        <w:rPr>
          <w:rFonts w:ascii="Gadugi" w:hAnsi="Gadugi" w:cs="Arial"/>
          <w:sz w:val="24"/>
          <w:szCs w:val="24"/>
        </w:rPr>
        <w:t xml:space="preserve">: </w:t>
      </w:r>
    </w:p>
    <w:p w14:paraId="73C770D2" w14:textId="50D05D0F" w:rsidR="0062113E" w:rsidRPr="00A96231" w:rsidRDefault="0062113E" w:rsidP="00A96231">
      <w:pPr>
        <w:spacing w:line="276" w:lineRule="auto"/>
        <w:ind w:left="567" w:right="902"/>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p>
    <w:p w14:paraId="0BF19D4A" w14:textId="669396A6" w:rsidR="0062113E" w:rsidRPr="00A96231" w:rsidRDefault="0062113E" w:rsidP="008B262B">
      <w:pPr>
        <w:ind w:left="426" w:right="420"/>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El artículo 103 del C.G.P. hace referencia al uso de las tecnologías de la información y de las comunicaciones en todas las actuaciones judiciales, y específicamente en su parágrafo segundo reza lo siguiente:</w:t>
      </w:r>
    </w:p>
    <w:p w14:paraId="47074B1A" w14:textId="7DD8F464" w:rsidR="0062113E" w:rsidRPr="00A96231" w:rsidRDefault="0062113E" w:rsidP="008B262B">
      <w:pPr>
        <w:ind w:left="426" w:right="420"/>
        <w:jc w:val="both"/>
        <w:rPr>
          <w:rFonts w:ascii="Gadugi" w:hAnsi="Gadugi" w:cs="Arial"/>
          <w:sz w:val="24"/>
          <w:szCs w:val="24"/>
        </w:rPr>
      </w:pPr>
    </w:p>
    <w:p w14:paraId="5EDE4682" w14:textId="5CF8D4B9" w:rsidR="0062113E" w:rsidRPr="008B262B" w:rsidRDefault="0062113E" w:rsidP="008B262B">
      <w:pPr>
        <w:ind w:left="426" w:right="420"/>
        <w:jc w:val="both"/>
        <w:rPr>
          <w:rFonts w:ascii="Gadugi" w:hAnsi="Gadugi" w:cs="Arial"/>
          <w:i/>
          <w:sz w:val="22"/>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8B262B">
        <w:rPr>
          <w:rFonts w:ascii="Gadugi" w:hAnsi="Gadugi" w:cs="Arial"/>
          <w:i/>
          <w:sz w:val="22"/>
          <w:szCs w:val="24"/>
        </w:rPr>
        <w:t>“PARÁGRAFO SEGUNDO. No obstante lo dispuesto en la Ley 527 de 1999, se presumen auténticos los memoriales y demás comunicaciones cruzadas entre las autoridades judiciales y las partes o sus abogados, cuando sean originadas desde el correo electrónico suministrado en la demanda o en cualquier otro acto del proceso.”</w:t>
      </w:r>
    </w:p>
    <w:p w14:paraId="5105B23F" w14:textId="6293EA16" w:rsidR="0062113E" w:rsidRPr="008B262B" w:rsidRDefault="0062113E" w:rsidP="008B262B">
      <w:pPr>
        <w:ind w:left="426" w:right="420"/>
        <w:jc w:val="both"/>
        <w:rPr>
          <w:rFonts w:ascii="Gadugi" w:hAnsi="Gadugi" w:cs="Arial"/>
          <w:sz w:val="22"/>
          <w:szCs w:val="24"/>
        </w:rPr>
      </w:pPr>
    </w:p>
    <w:p w14:paraId="175BE9DA" w14:textId="7C8FDBE8"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Señala claramente el anterior parágrafo que se presumen auténticos los memoriales que sean allegados a un proceso a través del correo electrónico que la parte que lo aduce, haya suministrado en la demanda o en cualquier otro documento adosado al expediente; valga decir que esta norma no era de aplicación en este distrito judicial hasta antes de la ocurrencia de la pandemia global generada por el Covid19, bajo el argumento que no se encontraba aún habilitado el proceso digital y tampoco se había puesto en marcha el plan de justicia digital.</w:t>
      </w:r>
    </w:p>
    <w:p w14:paraId="35F44CAB" w14:textId="2286398E" w:rsidR="0062113E" w:rsidRPr="008B262B" w:rsidRDefault="0062113E" w:rsidP="008B262B">
      <w:pPr>
        <w:ind w:left="426" w:right="420"/>
        <w:jc w:val="both"/>
        <w:rPr>
          <w:rFonts w:ascii="Gadugi" w:hAnsi="Gadugi" w:cs="Arial"/>
          <w:sz w:val="22"/>
          <w:szCs w:val="24"/>
        </w:rPr>
      </w:pPr>
    </w:p>
    <w:p w14:paraId="125AC425" w14:textId="405B6E0F" w:rsidR="001145C2" w:rsidRPr="008B262B" w:rsidRDefault="001145C2"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w:t>
      </w:r>
    </w:p>
    <w:p w14:paraId="5882871D" w14:textId="77777777" w:rsidR="001145C2"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p>
    <w:p w14:paraId="56ADBEF7" w14:textId="5C3AD822"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Es así como en el artículo 3 de este decreto legislativo, se establecen los deberes de los sujetos procesales con relación al uso de las tecnologías de la información en las actuaciones judiciales, y en sus incisos 1º y 2º se señala que:</w:t>
      </w:r>
    </w:p>
    <w:p w14:paraId="4EDB2E72" w14:textId="4991A4F4" w:rsidR="0062113E" w:rsidRPr="008B262B" w:rsidRDefault="0062113E" w:rsidP="008B262B">
      <w:pPr>
        <w:ind w:left="426" w:right="420"/>
        <w:jc w:val="both"/>
        <w:rPr>
          <w:rFonts w:ascii="Gadugi" w:hAnsi="Gadugi" w:cs="Arial"/>
          <w:sz w:val="22"/>
          <w:szCs w:val="24"/>
        </w:rPr>
      </w:pPr>
    </w:p>
    <w:p w14:paraId="3CE32BDA" w14:textId="6FE496CD" w:rsidR="0062113E" w:rsidRPr="008B262B" w:rsidRDefault="0062113E" w:rsidP="008B262B">
      <w:pPr>
        <w:ind w:left="426" w:right="420"/>
        <w:jc w:val="both"/>
        <w:rPr>
          <w:rFonts w:ascii="Gadugi" w:hAnsi="Gadugi" w:cs="Arial"/>
          <w:i/>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i/>
          <w:sz w:val="22"/>
          <w:szCs w:val="24"/>
        </w:rPr>
        <w:t>“Es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w:t>
      </w:r>
    </w:p>
    <w:p w14:paraId="2F7A188E" w14:textId="7A0CD095" w:rsidR="0062113E" w:rsidRPr="008B262B" w:rsidRDefault="0062113E" w:rsidP="008B262B">
      <w:pPr>
        <w:ind w:left="426" w:right="420"/>
        <w:jc w:val="both"/>
        <w:rPr>
          <w:rFonts w:ascii="Gadugi" w:hAnsi="Gadugi" w:cs="Arial"/>
          <w:i/>
          <w:sz w:val="22"/>
          <w:szCs w:val="24"/>
        </w:rPr>
      </w:pPr>
    </w:p>
    <w:p w14:paraId="1346A7E6" w14:textId="7A35C779" w:rsidR="0062113E" w:rsidRPr="008B262B" w:rsidRDefault="0062113E" w:rsidP="008B262B">
      <w:pPr>
        <w:ind w:left="426" w:right="420"/>
        <w:jc w:val="both"/>
        <w:rPr>
          <w:rFonts w:ascii="Gadugi" w:hAnsi="Gadugi" w:cs="Arial"/>
          <w:i/>
          <w:sz w:val="22"/>
          <w:szCs w:val="24"/>
        </w:rPr>
      </w:pPr>
      <w:r w:rsidRPr="008B262B">
        <w:rPr>
          <w:rFonts w:ascii="Gadugi" w:hAnsi="Gadugi" w:cs="Arial"/>
          <w:i/>
          <w:sz w:val="22"/>
          <w:szCs w:val="24"/>
        </w:rPr>
        <w:tab/>
      </w:r>
      <w:r w:rsidRPr="008B262B">
        <w:rPr>
          <w:rFonts w:ascii="Gadugi" w:hAnsi="Gadugi" w:cs="Arial"/>
          <w:i/>
          <w:sz w:val="22"/>
          <w:szCs w:val="24"/>
        </w:rPr>
        <w:tab/>
      </w:r>
      <w:r w:rsidRPr="008B262B">
        <w:rPr>
          <w:rFonts w:ascii="Gadugi" w:hAnsi="Gadugi" w:cs="Arial"/>
          <w:i/>
          <w:sz w:val="22"/>
          <w:szCs w:val="24"/>
        </w:rPr>
        <w:tab/>
      </w:r>
      <w:r w:rsidRPr="008B262B">
        <w:rPr>
          <w:rFonts w:ascii="Gadugi" w:hAnsi="Gadugi" w:cs="Arial"/>
          <w:i/>
          <w:sz w:val="22"/>
          <w:szCs w:val="24"/>
        </w:rPr>
        <w:tab/>
        <w:t xml:space="preserve">Identificados los canales digitales elegidos, desde allí se originarán todas las actuaciones y desde estos se surtirán todas las notificaciones, mientras no se informe un nuevo canal. Es deber de los sujetos procesales, en desarrollo de lo previsto en el artículo 78 numeral 5 del Código General del Proceso, </w:t>
      </w:r>
      <w:r w:rsidRPr="008B262B">
        <w:rPr>
          <w:rFonts w:ascii="Gadugi" w:hAnsi="Gadugi" w:cs="Arial"/>
          <w:i/>
          <w:sz w:val="22"/>
          <w:szCs w:val="24"/>
        </w:rPr>
        <w:lastRenderedPageBreak/>
        <w:t>comunicar cualquier cambio de dirección o medio electrónico, so pena de que las notificaciones se sigan surtiendo válidamente en la anterior.</w:t>
      </w:r>
    </w:p>
    <w:p w14:paraId="7C32569A" w14:textId="323156A5" w:rsidR="0062113E" w:rsidRPr="008B262B" w:rsidRDefault="0062113E" w:rsidP="008B262B">
      <w:pPr>
        <w:ind w:left="426" w:right="420"/>
        <w:jc w:val="both"/>
        <w:rPr>
          <w:rFonts w:ascii="Gadugi" w:hAnsi="Gadugi" w:cs="Arial"/>
          <w:i/>
          <w:sz w:val="22"/>
          <w:szCs w:val="24"/>
        </w:rPr>
      </w:pPr>
    </w:p>
    <w:p w14:paraId="5F239B4F" w14:textId="26CEE999"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Se observa que de manera concordante con lo consagrado en el art.78 del C.G.P., este artículo establece como un deber de los sujetos procesales informar los canales digitales que usarán al interior del trámite del proceso, pues estos se consideran como los únicos canales válidos hacia y de donde se entablará comunicación con los despachos judiciales.</w:t>
      </w:r>
    </w:p>
    <w:p w14:paraId="6AE446E1" w14:textId="52801DB3" w:rsidR="0062113E" w:rsidRPr="008B262B" w:rsidRDefault="0062113E" w:rsidP="008B262B">
      <w:pPr>
        <w:ind w:left="426" w:right="420"/>
        <w:jc w:val="both"/>
        <w:rPr>
          <w:rFonts w:ascii="Gadugi" w:hAnsi="Gadugi" w:cs="Arial"/>
          <w:sz w:val="22"/>
          <w:szCs w:val="24"/>
        </w:rPr>
      </w:pPr>
    </w:p>
    <w:p w14:paraId="33DD04D0" w14:textId="22B67499"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Para el caso de los profesionales del derecho la situación es aún más rigurosa; el artículo 5 del mencionado decreto establece en su inciso 2º que en los poderes especiales debe relacionarse el correo electrónico que éste tenga inscrito en el Registro Nacional de Abogados, lo que permite concluir que es esa dirección electrónica es la que debe ser usada por el togado para comunicarse con los despachos judiciales; es decir, puede catalogarse como una extensión de su identificación, entendida como la seguridad para el despacho y de todos los sujetos procesales de que las peticiones y/o manifestaciones realizadas a través de ese canal digital, provienen de la voluntad de esa persona y no de otra distinta.</w:t>
      </w:r>
    </w:p>
    <w:p w14:paraId="4CA3E953" w14:textId="473AE387" w:rsidR="0062113E" w:rsidRPr="008B262B" w:rsidRDefault="0062113E" w:rsidP="008B262B">
      <w:pPr>
        <w:ind w:left="426" w:right="420"/>
        <w:jc w:val="both"/>
        <w:rPr>
          <w:rFonts w:ascii="Gadugi" w:hAnsi="Gadugi" w:cs="Arial"/>
          <w:sz w:val="22"/>
          <w:szCs w:val="24"/>
        </w:rPr>
      </w:pPr>
    </w:p>
    <w:p w14:paraId="4A3B0CF5" w14:textId="285A6EAE"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 xml:space="preserve">En este caso, revisado el expediente en su totalidad, se observa que en el escrito de contestación de la demanda, la cual fue realizada antes de la ocurrencia de la pandemia del Covid19, el Abogado EDUARDO CARDONA RUIZ no relacionó correo electrónico (arch.023 cuad.1); en el poder especial allegado con la contestación, otorgado en el año 2019, en el pie de página se observa el correo eduardo@juridicocardona.com (arch.024 cuad.1); el escrito de alegatos que nos ocupa fue allegado desde el correo electrónico ecardona@duportabogados.com (arch.059 cuad.1); en la consulta realizada por este juzgado en el Registro Nacional de Abogados al momento de resolver sobre el escrito de alegatos, el Abogado tenía inscrito el correo electrónico </w:t>
      </w:r>
      <w:hyperlink r:id="rId12" w:history="1">
        <w:r w:rsidRPr="008B262B">
          <w:rPr>
            <w:rStyle w:val="Hipervnculo"/>
            <w:rFonts w:ascii="Gadugi" w:hAnsi="Gadugi" w:cs="Arial"/>
            <w:color w:val="auto"/>
            <w:sz w:val="22"/>
            <w:szCs w:val="24"/>
          </w:rPr>
          <w:t>eduardo.cardona@gmail.com</w:t>
        </w:r>
      </w:hyperlink>
      <w:r w:rsidRPr="008B262B">
        <w:rPr>
          <w:rFonts w:ascii="Gadugi" w:hAnsi="Gadugi" w:cs="Arial"/>
          <w:sz w:val="22"/>
          <w:szCs w:val="24"/>
        </w:rPr>
        <w:t xml:space="preserve"> (arch.064 cuad.1), de este último correo electrónico provino el escrito de recurso de reposición que nos ocupa (arch.067 cuad.1); finalmente, consultado nuevamente en la fecha el Registro Nacional de Abogados, aparece registrado el correo electrónico notificacioneseduardocardona@gmail.com (arch.070 cuad.1).</w:t>
      </w:r>
    </w:p>
    <w:p w14:paraId="3054E287" w14:textId="43831C4D" w:rsidR="0062113E" w:rsidRPr="008B262B" w:rsidRDefault="0062113E" w:rsidP="008B262B">
      <w:pPr>
        <w:ind w:left="426" w:right="420"/>
        <w:jc w:val="both"/>
        <w:rPr>
          <w:rFonts w:ascii="Gadugi" w:hAnsi="Gadugi" w:cs="Arial"/>
          <w:sz w:val="22"/>
          <w:szCs w:val="24"/>
        </w:rPr>
      </w:pPr>
    </w:p>
    <w:p w14:paraId="4E9BA90E" w14:textId="797C7954"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Se desprende de lo anterior que el correo electrónico ecardona@duportabogados.com por medio del cual se presentó el escrito de alegatos, nunca fue informado al juzgado ni existe registro en tal sentido en el expediente.</w:t>
      </w:r>
    </w:p>
    <w:p w14:paraId="37478D38" w14:textId="4F016101" w:rsidR="0062113E" w:rsidRPr="008B262B" w:rsidRDefault="0062113E" w:rsidP="008B262B">
      <w:pPr>
        <w:ind w:left="426" w:right="420"/>
        <w:jc w:val="both"/>
        <w:rPr>
          <w:rFonts w:ascii="Gadugi" w:hAnsi="Gadugi" w:cs="Arial"/>
          <w:sz w:val="22"/>
          <w:szCs w:val="24"/>
        </w:rPr>
      </w:pPr>
    </w:p>
    <w:p w14:paraId="29D5C5CB" w14:textId="3C86BA51" w:rsidR="0062113E" w:rsidRPr="008B262B" w:rsidRDefault="0062113E" w:rsidP="008B262B">
      <w:pPr>
        <w:ind w:left="426" w:right="420"/>
        <w:jc w:val="both"/>
        <w:rPr>
          <w:rFonts w:ascii="Gadugi" w:hAnsi="Gadugi" w:cs="Arial"/>
          <w:sz w:val="22"/>
          <w:szCs w:val="24"/>
        </w:rPr>
      </w:pP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r>
      <w:r w:rsidRPr="008B262B">
        <w:rPr>
          <w:rFonts w:ascii="Gadugi" w:hAnsi="Gadugi" w:cs="Arial"/>
          <w:sz w:val="22"/>
          <w:szCs w:val="24"/>
        </w:rPr>
        <w:tab/>
        <w:t>De lo discurrido, en aplicación de los deberes de los sujetos procesales y en garantía de la seguridad jurídica que debe impregnársele a todas las actuaciones judiciales en cuanto a no dar trámite a escritos que no hayan sido presentados por los canales debidamente informados, la decisión atacada no se repondrá.</w:t>
      </w:r>
    </w:p>
    <w:p w14:paraId="642EB8B6" w14:textId="6F711ACC" w:rsidR="0062113E" w:rsidRPr="00A96231" w:rsidRDefault="0062113E" w:rsidP="00A96231">
      <w:pPr>
        <w:spacing w:line="276" w:lineRule="auto"/>
        <w:jc w:val="both"/>
        <w:rPr>
          <w:rFonts w:ascii="Gadugi" w:hAnsi="Gadugi" w:cs="Arial"/>
          <w:sz w:val="24"/>
          <w:szCs w:val="24"/>
        </w:rPr>
      </w:pPr>
    </w:p>
    <w:p w14:paraId="07352C7F" w14:textId="754382C4" w:rsidR="000F5D3D" w:rsidRPr="00A96231" w:rsidRDefault="001145C2"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Al leer las consideraciones </w:t>
      </w:r>
      <w:r w:rsidR="000F5D3D" w:rsidRPr="00A96231">
        <w:rPr>
          <w:rFonts w:ascii="Gadugi" w:hAnsi="Gadugi" w:cs="Arial"/>
          <w:sz w:val="24"/>
          <w:szCs w:val="24"/>
        </w:rPr>
        <w:t xml:space="preserve">vertidas </w:t>
      </w:r>
      <w:r w:rsidR="00572578" w:rsidRPr="00A96231">
        <w:rPr>
          <w:rFonts w:ascii="Gadugi" w:hAnsi="Gadugi" w:cs="Arial"/>
          <w:sz w:val="24"/>
          <w:szCs w:val="24"/>
        </w:rPr>
        <w:t xml:space="preserve">en esta última providencia, a primera vista, </w:t>
      </w:r>
      <w:r w:rsidR="00BC19DA" w:rsidRPr="00A96231">
        <w:rPr>
          <w:rFonts w:ascii="Gadugi" w:hAnsi="Gadugi" w:cs="Arial"/>
          <w:sz w:val="24"/>
          <w:szCs w:val="24"/>
        </w:rPr>
        <w:t>se ve</w:t>
      </w:r>
      <w:r w:rsidR="00572578" w:rsidRPr="00A96231">
        <w:rPr>
          <w:rFonts w:ascii="Gadugi" w:hAnsi="Gadugi" w:cs="Arial"/>
          <w:sz w:val="24"/>
          <w:szCs w:val="24"/>
        </w:rPr>
        <w:t xml:space="preserve"> una argumentación coherente con las normas que regulan la comunicación, mediante el correo electrónico u otros medios tecnológicos, entre los despachos judiciales y las partes; sin embargo, al revisar la cuestión con </w:t>
      </w:r>
      <w:r w:rsidR="00BC19DA" w:rsidRPr="00A96231">
        <w:rPr>
          <w:rFonts w:ascii="Gadugi" w:hAnsi="Gadugi" w:cs="Arial"/>
          <w:sz w:val="24"/>
          <w:szCs w:val="24"/>
        </w:rPr>
        <w:t>mayor exhaustividad</w:t>
      </w:r>
      <w:r w:rsidR="00572578" w:rsidRPr="00A96231">
        <w:rPr>
          <w:rFonts w:ascii="Gadugi" w:hAnsi="Gadugi" w:cs="Arial"/>
          <w:sz w:val="24"/>
          <w:szCs w:val="24"/>
        </w:rPr>
        <w:t xml:space="preserve">, </w:t>
      </w:r>
      <w:r w:rsidR="000F5D3D" w:rsidRPr="00A96231">
        <w:rPr>
          <w:rFonts w:ascii="Gadugi" w:hAnsi="Gadugi" w:cs="Arial"/>
          <w:sz w:val="24"/>
          <w:szCs w:val="24"/>
        </w:rPr>
        <w:t xml:space="preserve">y consultar el precedente jurisprudencial a tono con lo que aquí se </w:t>
      </w:r>
      <w:r w:rsidR="000F5D3D" w:rsidRPr="00A96231">
        <w:rPr>
          <w:rFonts w:ascii="Gadugi" w:hAnsi="Gadugi" w:cs="Arial"/>
          <w:sz w:val="24"/>
          <w:szCs w:val="24"/>
        </w:rPr>
        <w:lastRenderedPageBreak/>
        <w:t>debate, halla este Tribunal coincidencia con los reparos planteados en la acción de tutela, por las razones que pasan a explicarse:</w:t>
      </w:r>
    </w:p>
    <w:p w14:paraId="3D0A4C47" w14:textId="4F1D0F97" w:rsidR="000F5D3D" w:rsidRPr="00A96231" w:rsidRDefault="000F5D3D" w:rsidP="00A96231">
      <w:pPr>
        <w:spacing w:line="276" w:lineRule="auto"/>
        <w:jc w:val="both"/>
        <w:rPr>
          <w:rFonts w:ascii="Gadugi" w:hAnsi="Gadugi" w:cs="Arial"/>
          <w:sz w:val="24"/>
          <w:szCs w:val="24"/>
        </w:rPr>
      </w:pPr>
    </w:p>
    <w:p w14:paraId="34BACA0F" w14:textId="425194AA" w:rsidR="007C205C" w:rsidRPr="00A96231" w:rsidRDefault="000F5D3D"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u w:val="single"/>
        </w:rPr>
        <w:t>Primero</w:t>
      </w:r>
      <w:r w:rsidRPr="00A96231">
        <w:rPr>
          <w:rFonts w:ascii="Gadugi" w:hAnsi="Gadugi" w:cs="Arial"/>
          <w:sz w:val="24"/>
          <w:szCs w:val="24"/>
        </w:rPr>
        <w:t xml:space="preserve">, </w:t>
      </w:r>
      <w:r w:rsidR="00BA6064" w:rsidRPr="00A96231">
        <w:rPr>
          <w:rFonts w:ascii="Gadugi" w:hAnsi="Gadugi" w:cs="Arial"/>
          <w:sz w:val="24"/>
          <w:szCs w:val="24"/>
        </w:rPr>
        <w:t>porque</w:t>
      </w:r>
      <w:bookmarkStart w:id="2" w:name="_Hlk117519804"/>
      <w:r w:rsidR="00BA6064" w:rsidRPr="00A96231">
        <w:rPr>
          <w:rFonts w:ascii="Gadugi" w:hAnsi="Gadugi" w:cs="Arial"/>
          <w:sz w:val="24"/>
          <w:szCs w:val="24"/>
        </w:rPr>
        <w:t xml:space="preserve"> es desenfocado, de conformidad con el parágrafo 2° del artículo 103</w:t>
      </w:r>
      <w:r w:rsidR="00A41F62" w:rsidRPr="00A96231">
        <w:rPr>
          <w:rFonts w:ascii="Gadugi" w:hAnsi="Gadugi" w:cs="Arial"/>
          <w:sz w:val="24"/>
          <w:szCs w:val="24"/>
        </w:rPr>
        <w:t xml:space="preserve"> del CGP</w:t>
      </w:r>
      <w:r w:rsidR="00BA6064" w:rsidRPr="00A96231">
        <w:rPr>
          <w:rFonts w:ascii="Gadugi" w:hAnsi="Gadugi" w:cs="Arial"/>
          <w:sz w:val="24"/>
          <w:szCs w:val="24"/>
        </w:rPr>
        <w:t xml:space="preserve">, concluir que solo se podrán incorporar al proceso </w:t>
      </w:r>
      <w:r w:rsidR="00A41F62" w:rsidRPr="00A96231">
        <w:rPr>
          <w:rFonts w:ascii="Gadugi" w:hAnsi="Gadugi" w:cs="Arial"/>
          <w:sz w:val="24"/>
          <w:szCs w:val="24"/>
        </w:rPr>
        <w:t xml:space="preserve">las comunicaciones </w:t>
      </w:r>
      <w:r w:rsidR="00A41F62" w:rsidRPr="00A96231">
        <w:rPr>
          <w:rFonts w:ascii="Gadugi" w:hAnsi="Gadugi" w:cs="Arial"/>
          <w:i/>
          <w:sz w:val="24"/>
          <w:szCs w:val="24"/>
        </w:rPr>
        <w:t>“</w:t>
      </w:r>
      <w:r w:rsidR="00A41F62" w:rsidRPr="008B262B">
        <w:rPr>
          <w:rFonts w:ascii="Gadugi" w:hAnsi="Gadugi" w:cs="Arial"/>
          <w:i/>
          <w:sz w:val="22"/>
          <w:szCs w:val="24"/>
        </w:rPr>
        <w:t>originadas desde el correo electrónico suministrado en la demanda o en cualquier acto del proceso</w:t>
      </w:r>
      <w:r w:rsidR="00A41F62" w:rsidRPr="00A96231">
        <w:rPr>
          <w:rFonts w:ascii="Gadugi" w:hAnsi="Gadugi" w:cs="Arial"/>
          <w:i/>
          <w:sz w:val="24"/>
          <w:szCs w:val="24"/>
        </w:rPr>
        <w:t>”</w:t>
      </w:r>
      <w:bookmarkEnd w:id="2"/>
      <w:r w:rsidR="00A41F62" w:rsidRPr="00A96231">
        <w:rPr>
          <w:rFonts w:ascii="Gadugi" w:hAnsi="Gadugi" w:cs="Arial"/>
          <w:i/>
          <w:sz w:val="24"/>
          <w:szCs w:val="24"/>
        </w:rPr>
        <w:t xml:space="preserve">; </w:t>
      </w:r>
      <w:r w:rsidR="00A41F62" w:rsidRPr="00A96231">
        <w:rPr>
          <w:rFonts w:ascii="Gadugi" w:hAnsi="Gadugi" w:cs="Arial"/>
          <w:sz w:val="24"/>
          <w:szCs w:val="24"/>
        </w:rPr>
        <w:t xml:space="preserve">porque si bien dicha norma contiene una presunción de autenticidad a </w:t>
      </w:r>
      <w:r w:rsidR="00610837" w:rsidRPr="00A96231">
        <w:rPr>
          <w:rFonts w:ascii="Gadugi" w:hAnsi="Gadugi" w:cs="Arial"/>
          <w:sz w:val="24"/>
          <w:szCs w:val="24"/>
        </w:rPr>
        <w:t>los oficios</w:t>
      </w:r>
      <w:r w:rsidR="00A41F62" w:rsidRPr="00A96231">
        <w:rPr>
          <w:rFonts w:ascii="Gadugi" w:hAnsi="Gadugi" w:cs="Arial"/>
          <w:sz w:val="24"/>
          <w:szCs w:val="24"/>
        </w:rPr>
        <w:t xml:space="preserve"> que se remitan de ese modo, lo cierto es</w:t>
      </w:r>
      <w:r w:rsidR="007C205C" w:rsidRPr="00A96231">
        <w:rPr>
          <w:rFonts w:ascii="Gadugi" w:hAnsi="Gadugi" w:cs="Arial"/>
          <w:sz w:val="24"/>
          <w:szCs w:val="24"/>
        </w:rPr>
        <w:t>e canon</w:t>
      </w:r>
      <w:r w:rsidR="00A41F62" w:rsidRPr="00A96231">
        <w:rPr>
          <w:rFonts w:ascii="Gadugi" w:hAnsi="Gadugi" w:cs="Arial"/>
          <w:sz w:val="24"/>
          <w:szCs w:val="24"/>
        </w:rPr>
        <w:t xml:space="preserve"> no</w:t>
      </w:r>
      <w:r w:rsidR="007C205C" w:rsidRPr="00A96231">
        <w:rPr>
          <w:rFonts w:ascii="Gadugi" w:hAnsi="Gadugi" w:cs="Arial"/>
          <w:sz w:val="24"/>
          <w:szCs w:val="24"/>
        </w:rPr>
        <w:t xml:space="preserve"> lleva consigo un condicionamiento para que todas las comunicaciones tengan que hacerse como allí se señala. Al respecto la sala de Casación Civil de la Corte Suprema de Justicia explica</w:t>
      </w:r>
      <w:r w:rsidR="002613B5" w:rsidRPr="00A96231">
        <w:rPr>
          <w:rStyle w:val="Refdenotaalpie"/>
          <w:rFonts w:ascii="Gadugi" w:hAnsi="Gadugi"/>
          <w:sz w:val="24"/>
          <w:szCs w:val="24"/>
        </w:rPr>
        <w:footnoteReference w:id="18"/>
      </w:r>
      <w:r w:rsidR="007C205C" w:rsidRPr="00A96231">
        <w:rPr>
          <w:rFonts w:ascii="Gadugi" w:hAnsi="Gadugi" w:cs="Arial"/>
          <w:sz w:val="24"/>
          <w:szCs w:val="24"/>
        </w:rPr>
        <w:t>:</w:t>
      </w:r>
    </w:p>
    <w:p w14:paraId="4ADA4E1A" w14:textId="539B6C90" w:rsidR="007C205C" w:rsidRPr="00A96231" w:rsidRDefault="007C205C" w:rsidP="00A96231">
      <w:pPr>
        <w:spacing w:line="276" w:lineRule="auto"/>
        <w:jc w:val="both"/>
        <w:rPr>
          <w:rFonts w:ascii="Gadugi" w:hAnsi="Gadugi" w:cs="Arial"/>
          <w:sz w:val="24"/>
          <w:szCs w:val="24"/>
        </w:rPr>
      </w:pPr>
    </w:p>
    <w:p w14:paraId="6EA5EC12" w14:textId="2A28ED97" w:rsidR="007C205C" w:rsidRPr="008D590B" w:rsidRDefault="007C205C" w:rsidP="008D590B">
      <w:pPr>
        <w:pStyle w:val="NormalCSJ"/>
        <w:spacing w:line="240" w:lineRule="auto"/>
        <w:ind w:left="426" w:right="420"/>
        <w:rPr>
          <w:rFonts w:ascii="Gadugi" w:hAnsi="Gadugi"/>
          <w:b/>
          <w:sz w:val="22"/>
          <w:szCs w:val="24"/>
          <w:lang w:val="es-MX"/>
        </w:rPr>
      </w:pPr>
      <w:r w:rsidRPr="008D590B">
        <w:rPr>
          <w:rFonts w:ascii="Gadugi" w:hAnsi="Gadugi" w:cs="Arial"/>
          <w:sz w:val="22"/>
          <w:szCs w:val="24"/>
        </w:rPr>
        <w:tab/>
      </w:r>
      <w:r w:rsidRPr="008D590B">
        <w:rPr>
          <w:rFonts w:ascii="Gadugi" w:hAnsi="Gadugi" w:cs="Arial"/>
          <w:sz w:val="22"/>
          <w:szCs w:val="24"/>
        </w:rPr>
        <w:tab/>
      </w:r>
      <w:r w:rsidRPr="008D590B">
        <w:rPr>
          <w:rFonts w:ascii="Gadugi" w:hAnsi="Gadugi" w:cs="Arial"/>
          <w:sz w:val="22"/>
          <w:szCs w:val="24"/>
        </w:rPr>
        <w:tab/>
      </w:r>
      <w:r w:rsidRPr="008D590B">
        <w:rPr>
          <w:rFonts w:ascii="Gadugi" w:hAnsi="Gadugi"/>
          <w:sz w:val="22"/>
          <w:szCs w:val="24"/>
          <w:lang w:val="es-MX"/>
        </w:rPr>
        <w:t xml:space="preserve">Se hace necesario hacer mención al citado tema, debido a la solicitud de la parte opositora, relativa a que se declare desierto el </w:t>
      </w:r>
      <w:r w:rsidRPr="008D590B">
        <w:rPr>
          <w:rStyle w:val="CitaIntraCSJCar"/>
          <w:rFonts w:ascii="Gadugi" w:hAnsi="Gadugi"/>
          <w:sz w:val="22"/>
        </w:rPr>
        <w:t>«recurso de casación»,</w:t>
      </w:r>
      <w:r w:rsidRPr="008D590B">
        <w:rPr>
          <w:rFonts w:ascii="Gadugi" w:hAnsi="Gadugi"/>
          <w:sz w:val="22"/>
          <w:szCs w:val="24"/>
          <w:lang w:val="es-MX"/>
        </w:rPr>
        <w:t xml:space="preserve"> p</w:t>
      </w:r>
      <w:r w:rsidRPr="008D590B">
        <w:rPr>
          <w:rFonts w:ascii="Gadugi" w:hAnsi="Gadugi"/>
          <w:b/>
          <w:sz w:val="22"/>
          <w:szCs w:val="24"/>
          <w:lang w:val="es-MX"/>
        </w:rPr>
        <w:t xml:space="preserve">orque la demanda mediante la cual se sustentó, no se presentó atendiendo las formalidades legales, al haberse remitido utilizando el </w:t>
      </w:r>
      <w:r w:rsidRPr="008D590B">
        <w:rPr>
          <w:rStyle w:val="CitaIntraCSJCar"/>
          <w:rFonts w:ascii="Gadugi" w:hAnsi="Gadugi"/>
          <w:b/>
          <w:sz w:val="22"/>
        </w:rPr>
        <w:t>«correo electrónico de un tercero»</w:t>
      </w:r>
      <w:r w:rsidRPr="008D590B">
        <w:rPr>
          <w:rFonts w:ascii="Gadugi" w:hAnsi="Gadugi"/>
          <w:b/>
          <w:sz w:val="22"/>
          <w:szCs w:val="24"/>
          <w:lang w:val="es-MX"/>
        </w:rPr>
        <w:t xml:space="preserve">, mas no </w:t>
      </w:r>
      <w:r w:rsidRPr="008D590B">
        <w:rPr>
          <w:rStyle w:val="CitaIntraCSJCar"/>
          <w:rFonts w:ascii="Gadugi" w:hAnsi="Gadugi"/>
          <w:b/>
          <w:sz w:val="22"/>
        </w:rPr>
        <w:t>«desde el correo electrónico suministrado en la demanda o en cualquier otro acto del proceso»</w:t>
      </w:r>
      <w:r w:rsidRPr="008D590B">
        <w:rPr>
          <w:rFonts w:ascii="Gadugi" w:hAnsi="Gadugi"/>
          <w:b/>
          <w:sz w:val="22"/>
          <w:szCs w:val="24"/>
          <w:lang w:val="es-MX"/>
        </w:rPr>
        <w:t>, de acuerdo con lo exigido en el parágrafo 2º artículo 103 del Código General del Proceso.</w:t>
      </w:r>
    </w:p>
    <w:p w14:paraId="6E5E6F43" w14:textId="12BAD711" w:rsidR="007C205C" w:rsidRPr="008D590B" w:rsidRDefault="007C205C" w:rsidP="008D590B">
      <w:pPr>
        <w:ind w:left="426" w:right="420"/>
        <w:jc w:val="both"/>
        <w:rPr>
          <w:rFonts w:ascii="Gadugi" w:hAnsi="Gadugi"/>
          <w:sz w:val="22"/>
          <w:szCs w:val="24"/>
          <w:lang w:val="es-MX"/>
        </w:rPr>
      </w:pPr>
    </w:p>
    <w:p w14:paraId="37DF5FF1" w14:textId="28CDBF82" w:rsidR="007C205C" w:rsidRPr="008D590B" w:rsidRDefault="007C205C" w:rsidP="008D590B">
      <w:pPr>
        <w:ind w:left="426" w:right="420"/>
        <w:jc w:val="both"/>
        <w:rPr>
          <w:rFonts w:ascii="Gadugi" w:hAnsi="Gadugi"/>
          <w:sz w:val="22"/>
          <w:szCs w:val="24"/>
          <w:lang w:val="es-MX"/>
        </w:rPr>
      </w:pPr>
      <w:r w:rsidRPr="008D590B">
        <w:rPr>
          <w:rFonts w:ascii="Gadugi" w:hAnsi="Gadugi"/>
          <w:sz w:val="22"/>
          <w:szCs w:val="24"/>
          <w:lang w:val="es-MX"/>
        </w:rPr>
        <w:tab/>
      </w:r>
      <w:r w:rsidRPr="008D590B">
        <w:rPr>
          <w:rFonts w:ascii="Gadugi" w:hAnsi="Gadugi"/>
          <w:sz w:val="22"/>
          <w:szCs w:val="24"/>
          <w:lang w:val="es-MX"/>
        </w:rPr>
        <w:tab/>
      </w:r>
      <w:r w:rsidRPr="008D590B">
        <w:rPr>
          <w:rFonts w:ascii="Gadugi" w:hAnsi="Gadugi"/>
          <w:sz w:val="22"/>
          <w:szCs w:val="24"/>
          <w:lang w:val="es-MX"/>
        </w:rPr>
        <w:tab/>
      </w:r>
      <w:r w:rsidRPr="008D590B">
        <w:rPr>
          <w:rFonts w:ascii="Gadugi" w:hAnsi="Gadugi"/>
          <w:sz w:val="22"/>
          <w:szCs w:val="24"/>
          <w:lang w:val="es-MX"/>
        </w:rPr>
        <w:tab/>
      </w:r>
      <w:r w:rsidRPr="008D590B">
        <w:rPr>
          <w:rFonts w:ascii="Gadugi" w:hAnsi="Gadugi"/>
          <w:b/>
          <w:sz w:val="22"/>
          <w:szCs w:val="24"/>
          <w:lang w:val="es-MX"/>
        </w:rPr>
        <w:t>Se desestima dicha petición, porque el fundamento normativo de la misma, esto es, el referido parágrafo 2º del canon 103 del C.G.P., no supone propiamente un condicionamiento para la presentación de actos procesales, sino que al contrario, prevé una presunción de autenticidad para</w:t>
      </w:r>
      <w:r w:rsidRPr="008D590B">
        <w:rPr>
          <w:rFonts w:ascii="Gadugi" w:hAnsi="Gadugi"/>
          <w:sz w:val="22"/>
          <w:szCs w:val="24"/>
          <w:lang w:val="es-MX"/>
        </w:rPr>
        <w:t xml:space="preserve"> </w:t>
      </w:r>
      <w:r w:rsidRPr="008D590B">
        <w:rPr>
          <w:rStyle w:val="CitaIntraCSJCar"/>
          <w:rFonts w:ascii="Gadugi" w:hAnsi="Gadugi"/>
          <w:sz w:val="22"/>
        </w:rPr>
        <w:t>«los memoriales y demás comunicaciones cruzadas entre las autoridades judiciales y las partes o sus abogados, cuando sean originadas desde el correo electrónico suministrado en la demanda o en cualquier otro acto del proceso»</w:t>
      </w:r>
      <w:r w:rsidRPr="008D590B">
        <w:rPr>
          <w:rFonts w:ascii="Gadugi" w:hAnsi="Gadugi"/>
          <w:sz w:val="22"/>
          <w:szCs w:val="24"/>
          <w:lang w:val="es-MX"/>
        </w:rPr>
        <w:t>.</w:t>
      </w:r>
    </w:p>
    <w:p w14:paraId="0F706B1C" w14:textId="08A78B00" w:rsidR="007C205C" w:rsidRPr="008D590B" w:rsidRDefault="007C205C" w:rsidP="008D590B">
      <w:pPr>
        <w:pStyle w:val="NormalCSJ"/>
        <w:spacing w:line="240" w:lineRule="auto"/>
        <w:ind w:left="426" w:right="420" w:firstLine="0"/>
        <w:rPr>
          <w:rFonts w:ascii="Gadugi" w:hAnsi="Gadugi"/>
          <w:sz w:val="22"/>
          <w:szCs w:val="24"/>
          <w:lang w:val="es-MX"/>
        </w:rPr>
      </w:pPr>
    </w:p>
    <w:p w14:paraId="66C9BA61" w14:textId="43A26D44" w:rsidR="007C205C" w:rsidRPr="008D590B" w:rsidRDefault="007C205C" w:rsidP="008D590B">
      <w:pPr>
        <w:pStyle w:val="NormalCSJ"/>
        <w:spacing w:line="240" w:lineRule="auto"/>
        <w:ind w:left="426" w:right="420" w:firstLine="0"/>
        <w:rPr>
          <w:rFonts w:ascii="Gadugi" w:hAnsi="Gadugi"/>
          <w:sz w:val="22"/>
          <w:szCs w:val="24"/>
          <w:lang w:val="es-MX"/>
        </w:rPr>
      </w:pPr>
      <w:r w:rsidRPr="008D590B">
        <w:rPr>
          <w:rFonts w:ascii="Gadugi" w:hAnsi="Gadugi"/>
          <w:sz w:val="22"/>
          <w:szCs w:val="24"/>
          <w:lang w:val="es-MX"/>
        </w:rPr>
        <w:tab/>
      </w:r>
      <w:r w:rsidRPr="008D590B">
        <w:rPr>
          <w:rFonts w:ascii="Gadugi" w:hAnsi="Gadugi"/>
          <w:sz w:val="22"/>
          <w:szCs w:val="24"/>
          <w:lang w:val="es-MX"/>
        </w:rPr>
        <w:tab/>
      </w:r>
      <w:r w:rsidRPr="008D590B">
        <w:rPr>
          <w:rFonts w:ascii="Gadugi" w:hAnsi="Gadugi"/>
          <w:sz w:val="22"/>
          <w:szCs w:val="24"/>
          <w:lang w:val="es-MX"/>
        </w:rPr>
        <w:tab/>
      </w:r>
      <w:r w:rsidRPr="008D590B">
        <w:rPr>
          <w:rFonts w:ascii="Gadugi" w:hAnsi="Gadugi"/>
          <w:sz w:val="22"/>
          <w:szCs w:val="24"/>
          <w:lang w:val="es-MX"/>
        </w:rPr>
        <w:tab/>
        <w:t xml:space="preserve">Lo anterior, como disposición general del nuevo estatuto, encaminada a materializar uno de sus propósitos más destacados, cual es el de introducir </w:t>
      </w:r>
      <w:r w:rsidRPr="008D590B">
        <w:rPr>
          <w:rStyle w:val="CitaIntraCSJCar"/>
          <w:rFonts w:ascii="Gadugi" w:hAnsi="Gadugi"/>
          <w:sz w:val="22"/>
        </w:rPr>
        <w:t>«el uso de las tecnologías de la información y las comunicaciones en la gestión y trámite de los procesos judiciales, con el fin de facilitar y agilizar el acceso a la justicia, así como ampliar su cobertura»</w:t>
      </w:r>
      <w:r w:rsidRPr="008D590B">
        <w:rPr>
          <w:rFonts w:ascii="Gadugi" w:hAnsi="Gadugi"/>
          <w:sz w:val="22"/>
          <w:szCs w:val="24"/>
          <w:lang w:val="es-MX"/>
        </w:rPr>
        <w:t xml:space="preserve">, misión institucional enfilada a concretar la gradual implementación del </w:t>
      </w:r>
      <w:r w:rsidRPr="008D590B">
        <w:rPr>
          <w:rFonts w:ascii="Gadugi" w:hAnsi="Gadugi"/>
          <w:i/>
          <w:sz w:val="22"/>
          <w:szCs w:val="24"/>
          <w:lang w:val="es-MX"/>
        </w:rPr>
        <w:t>Plan de Justicia Digital</w:t>
      </w:r>
      <w:r w:rsidRPr="008D590B">
        <w:rPr>
          <w:rFonts w:ascii="Gadugi" w:hAnsi="Gadugi"/>
          <w:sz w:val="22"/>
          <w:szCs w:val="24"/>
          <w:lang w:val="es-MX"/>
        </w:rPr>
        <w:t xml:space="preserve"> a que alude el parágrafo 1. </w:t>
      </w:r>
      <w:r w:rsidRPr="008D590B">
        <w:rPr>
          <w:rFonts w:ascii="Gadugi" w:hAnsi="Gadugi"/>
          <w:i/>
          <w:sz w:val="22"/>
          <w:szCs w:val="24"/>
          <w:lang w:val="es-MX"/>
        </w:rPr>
        <w:t>Ibídem</w:t>
      </w:r>
      <w:r w:rsidRPr="008D590B">
        <w:rPr>
          <w:rFonts w:ascii="Gadugi" w:hAnsi="Gadugi"/>
          <w:sz w:val="22"/>
          <w:szCs w:val="24"/>
          <w:lang w:val="es-MX"/>
        </w:rPr>
        <w:t>. (Destaca la Sala)</w:t>
      </w:r>
    </w:p>
    <w:p w14:paraId="0CA0AAC1" w14:textId="49469A40" w:rsidR="007C205C" w:rsidRPr="00A96231" w:rsidRDefault="007C205C" w:rsidP="00A96231">
      <w:pPr>
        <w:spacing w:line="276" w:lineRule="auto"/>
        <w:jc w:val="both"/>
        <w:rPr>
          <w:rFonts w:ascii="Gadugi" w:hAnsi="Gadugi" w:cs="Arial"/>
          <w:sz w:val="24"/>
          <w:szCs w:val="24"/>
        </w:rPr>
      </w:pPr>
    </w:p>
    <w:p w14:paraId="34986D35" w14:textId="172DE0FF" w:rsidR="007C205C" w:rsidRPr="00A96231" w:rsidRDefault="007C205C"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5F1C11" w:rsidRPr="00A96231">
        <w:rPr>
          <w:rFonts w:ascii="Gadugi" w:hAnsi="Gadugi" w:cs="Arial"/>
          <w:sz w:val="24"/>
          <w:szCs w:val="24"/>
        </w:rPr>
        <w:t xml:space="preserve">Y </w:t>
      </w:r>
      <w:r w:rsidR="005F1C11" w:rsidRPr="00A96231">
        <w:rPr>
          <w:rFonts w:ascii="Gadugi" w:hAnsi="Gadugi" w:cs="Arial"/>
          <w:sz w:val="24"/>
          <w:szCs w:val="24"/>
          <w:u w:val="single"/>
        </w:rPr>
        <w:t>se</w:t>
      </w:r>
      <w:r w:rsidR="00610837" w:rsidRPr="00A96231">
        <w:rPr>
          <w:rFonts w:ascii="Gadugi" w:hAnsi="Gadugi" w:cs="Arial"/>
          <w:sz w:val="24"/>
          <w:szCs w:val="24"/>
          <w:u w:val="single"/>
        </w:rPr>
        <w:t>gundo</w:t>
      </w:r>
      <w:r w:rsidR="00610837" w:rsidRPr="00A96231">
        <w:rPr>
          <w:rFonts w:ascii="Gadugi" w:hAnsi="Gadugi" w:cs="Arial"/>
          <w:sz w:val="24"/>
          <w:szCs w:val="24"/>
        </w:rPr>
        <w:t>,</w:t>
      </w:r>
      <w:r w:rsidRPr="00A96231">
        <w:rPr>
          <w:rFonts w:ascii="Gadugi" w:hAnsi="Gadugi" w:cs="Arial"/>
          <w:sz w:val="24"/>
          <w:szCs w:val="24"/>
        </w:rPr>
        <w:t xml:space="preserve"> está </w:t>
      </w:r>
      <w:r w:rsidR="00610837" w:rsidRPr="00A96231">
        <w:rPr>
          <w:rFonts w:ascii="Gadugi" w:hAnsi="Gadugi" w:cs="Arial"/>
          <w:sz w:val="24"/>
          <w:szCs w:val="24"/>
        </w:rPr>
        <w:t xml:space="preserve">lo ateniente con el </w:t>
      </w:r>
      <w:r w:rsidRPr="00A96231">
        <w:rPr>
          <w:rFonts w:ascii="Gadugi" w:hAnsi="Gadugi" w:cs="Arial"/>
          <w:sz w:val="24"/>
          <w:szCs w:val="24"/>
        </w:rPr>
        <w:t>Decreto 806/20, en cuyo artículo 3°, establece</w:t>
      </w:r>
      <w:r w:rsidR="009318EF" w:rsidRPr="00A96231">
        <w:rPr>
          <w:rFonts w:ascii="Gadugi" w:hAnsi="Gadugi" w:cs="Arial"/>
          <w:sz w:val="24"/>
          <w:szCs w:val="24"/>
        </w:rPr>
        <w:t xml:space="preserve"> que</w:t>
      </w:r>
      <w:r w:rsidRPr="00A96231">
        <w:rPr>
          <w:rFonts w:ascii="Gadugi" w:hAnsi="Gadugi" w:cs="Arial"/>
          <w:sz w:val="24"/>
          <w:szCs w:val="24"/>
        </w:rPr>
        <w:t xml:space="preserve"> las partes deberán suministrar los canales digitales elegidos para los fines del proceso</w:t>
      </w:r>
      <w:r w:rsidR="009318EF" w:rsidRPr="00A96231">
        <w:rPr>
          <w:rFonts w:ascii="Gadugi" w:hAnsi="Gadugi" w:cs="Arial"/>
          <w:sz w:val="24"/>
          <w:szCs w:val="24"/>
        </w:rPr>
        <w:t xml:space="preserve">, </w:t>
      </w:r>
      <w:r w:rsidRPr="00A96231">
        <w:rPr>
          <w:rFonts w:ascii="Gadugi" w:hAnsi="Gadugi" w:cs="Arial"/>
          <w:sz w:val="24"/>
          <w:szCs w:val="24"/>
        </w:rPr>
        <w:t>y enviar</w:t>
      </w:r>
      <w:r w:rsidR="009318EF" w:rsidRPr="00A96231">
        <w:rPr>
          <w:rFonts w:ascii="Gadugi" w:hAnsi="Gadugi" w:cs="Arial"/>
          <w:sz w:val="24"/>
          <w:szCs w:val="24"/>
        </w:rPr>
        <w:t>,</w:t>
      </w:r>
      <w:r w:rsidRPr="00A96231">
        <w:rPr>
          <w:rFonts w:ascii="Gadugi" w:hAnsi="Gadugi" w:cs="Arial"/>
          <w:sz w:val="24"/>
          <w:szCs w:val="24"/>
        </w:rPr>
        <w:t xml:space="preserve"> a través de estos</w:t>
      </w:r>
      <w:r w:rsidR="009318EF" w:rsidRPr="00A96231">
        <w:rPr>
          <w:rFonts w:ascii="Gadugi" w:hAnsi="Gadugi" w:cs="Arial"/>
          <w:sz w:val="24"/>
          <w:szCs w:val="24"/>
        </w:rPr>
        <w:t>,</w:t>
      </w:r>
      <w:r w:rsidRPr="00A96231">
        <w:rPr>
          <w:rFonts w:ascii="Gadugi" w:hAnsi="Gadugi" w:cs="Arial"/>
          <w:sz w:val="24"/>
          <w:szCs w:val="24"/>
        </w:rPr>
        <w:t xml:space="preserve"> un ejemplar de todos los memoriales o actuaciones que realicen, y también que </w:t>
      </w:r>
      <w:r w:rsidRPr="00A96231">
        <w:rPr>
          <w:rFonts w:ascii="Gadugi" w:hAnsi="Gadugi" w:cs="Arial"/>
          <w:i/>
          <w:sz w:val="24"/>
          <w:szCs w:val="24"/>
        </w:rPr>
        <w:t>“</w:t>
      </w:r>
      <w:r w:rsidRPr="008B262B">
        <w:rPr>
          <w:rFonts w:ascii="Gadugi" w:hAnsi="Gadugi" w:cs="Arial"/>
          <w:i/>
          <w:sz w:val="22"/>
          <w:szCs w:val="24"/>
        </w:rPr>
        <w:t>Identificados los canales digitales elegidos, desde allí se originarán todas las actuaciones y desde estos se surtirán todas las notificaciones, mientras no se informe un nuevo canal. Es deber de los sujetos procesales, en desarrollo de lo previsto en el artículo 78 numeral 5 del Código General del Proceso, comunicar cualquier cambio de dirección o medio electrónico, so pena de que las notificaciones se sigan surtiendo válidamente en la anterior</w:t>
      </w:r>
      <w:r w:rsidRPr="00A96231">
        <w:rPr>
          <w:rFonts w:ascii="Gadugi" w:hAnsi="Gadugi" w:cs="Arial"/>
          <w:i/>
          <w:sz w:val="24"/>
          <w:szCs w:val="24"/>
        </w:rPr>
        <w:t>.”</w:t>
      </w:r>
    </w:p>
    <w:p w14:paraId="06DA55F7" w14:textId="36DF5C99" w:rsidR="007C205C" w:rsidRPr="00A96231" w:rsidRDefault="007C205C" w:rsidP="00A96231">
      <w:pPr>
        <w:spacing w:line="276" w:lineRule="auto"/>
        <w:jc w:val="both"/>
        <w:rPr>
          <w:rFonts w:ascii="Gadugi" w:hAnsi="Gadugi" w:cs="Arial"/>
          <w:sz w:val="24"/>
          <w:szCs w:val="24"/>
        </w:rPr>
      </w:pPr>
    </w:p>
    <w:p w14:paraId="4993D30A" w14:textId="71E54A9A" w:rsidR="00717857" w:rsidRPr="00A96231" w:rsidRDefault="009318EF" w:rsidP="00A96231">
      <w:pPr>
        <w:spacing w:line="276" w:lineRule="auto"/>
        <w:jc w:val="both"/>
        <w:rPr>
          <w:rFonts w:ascii="Gadugi" w:hAnsi="Gadugi" w:cs="Arial"/>
          <w:sz w:val="24"/>
          <w:szCs w:val="24"/>
        </w:rPr>
      </w:pPr>
      <w:r w:rsidRPr="00A96231">
        <w:rPr>
          <w:rFonts w:ascii="Gadugi" w:hAnsi="Gadugi" w:cs="Arial"/>
          <w:sz w:val="24"/>
          <w:szCs w:val="24"/>
        </w:rPr>
        <w:lastRenderedPageBreak/>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Al tenor de las directrices de dicha norma, la primera </w:t>
      </w:r>
      <w:r w:rsidR="00610837" w:rsidRPr="00A96231">
        <w:rPr>
          <w:rFonts w:ascii="Gadugi" w:hAnsi="Gadugi" w:cs="Arial"/>
          <w:sz w:val="24"/>
          <w:szCs w:val="24"/>
        </w:rPr>
        <w:t>deducción</w:t>
      </w:r>
      <w:r w:rsidRPr="00A96231">
        <w:rPr>
          <w:rFonts w:ascii="Gadugi" w:hAnsi="Gadugi" w:cs="Arial"/>
          <w:sz w:val="24"/>
          <w:szCs w:val="24"/>
        </w:rPr>
        <w:t xml:space="preserve"> es que, de verdad, las partes deben informar dentro del proceso cuáles son canales digitales que utilizarán para comunicarse con el despacho y demás intervinientes, sin embargo, </w:t>
      </w:r>
      <w:r w:rsidR="00610837" w:rsidRPr="00A96231">
        <w:rPr>
          <w:rFonts w:ascii="Gadugi" w:hAnsi="Gadugi" w:cs="Arial"/>
          <w:sz w:val="24"/>
          <w:szCs w:val="24"/>
        </w:rPr>
        <w:t>en este muy específico</w:t>
      </w:r>
      <w:r w:rsidR="005F1C11" w:rsidRPr="00A96231">
        <w:rPr>
          <w:rFonts w:ascii="Gadugi" w:hAnsi="Gadugi" w:cs="Arial"/>
          <w:sz w:val="24"/>
          <w:szCs w:val="24"/>
        </w:rPr>
        <w:t xml:space="preserve"> caso</w:t>
      </w:r>
      <w:r w:rsidR="00610837" w:rsidRPr="00A96231">
        <w:rPr>
          <w:rFonts w:ascii="Gadugi" w:hAnsi="Gadugi" w:cs="Arial"/>
          <w:sz w:val="24"/>
          <w:szCs w:val="24"/>
        </w:rPr>
        <w:t xml:space="preserve">, </w:t>
      </w:r>
      <w:r w:rsidR="00632D1F" w:rsidRPr="00A96231">
        <w:rPr>
          <w:rFonts w:ascii="Gadugi" w:hAnsi="Gadugi" w:cs="Arial"/>
          <w:sz w:val="24"/>
          <w:szCs w:val="24"/>
        </w:rPr>
        <w:t xml:space="preserve">no haber aceptado los alegatos de conclusión </w:t>
      </w:r>
      <w:r w:rsidR="00717857" w:rsidRPr="00A96231">
        <w:rPr>
          <w:rFonts w:ascii="Gadugi" w:hAnsi="Gadugi" w:cs="Arial"/>
          <w:sz w:val="24"/>
          <w:szCs w:val="24"/>
        </w:rPr>
        <w:t xml:space="preserve">de la sociedad demandada, aun cuando antes no hizo saber que remitiría sus comunicaciones desde el correo electrónico </w:t>
      </w:r>
      <w:hyperlink r:id="rId13" w:history="1">
        <w:r w:rsidR="00717857" w:rsidRPr="00A96231">
          <w:rPr>
            <w:rStyle w:val="Hipervnculo"/>
            <w:rFonts w:ascii="Gadugi" w:hAnsi="Gadugi" w:cs="Arial"/>
            <w:sz w:val="24"/>
            <w:szCs w:val="24"/>
          </w:rPr>
          <w:t>ecardona@duportabogados.com</w:t>
        </w:r>
      </w:hyperlink>
      <w:r w:rsidR="00717857" w:rsidRPr="00A96231">
        <w:rPr>
          <w:rFonts w:ascii="Gadugi" w:hAnsi="Gadugi" w:cs="Arial"/>
          <w:sz w:val="24"/>
          <w:szCs w:val="24"/>
        </w:rPr>
        <w:t>, es un exces</w:t>
      </w:r>
      <w:r w:rsidR="00544118" w:rsidRPr="00A96231">
        <w:rPr>
          <w:rFonts w:ascii="Gadugi" w:hAnsi="Gadugi" w:cs="Arial"/>
          <w:sz w:val="24"/>
          <w:szCs w:val="24"/>
        </w:rPr>
        <w:t>ivo</w:t>
      </w:r>
      <w:r w:rsidR="00717857" w:rsidRPr="00A96231">
        <w:rPr>
          <w:rFonts w:ascii="Gadugi" w:hAnsi="Gadugi" w:cs="Arial"/>
          <w:sz w:val="24"/>
          <w:szCs w:val="24"/>
        </w:rPr>
        <w:t xml:space="preserve"> ritualismo que afecta su derecho de contradicción.</w:t>
      </w:r>
    </w:p>
    <w:p w14:paraId="067A7DDE" w14:textId="77777777" w:rsidR="00610837" w:rsidRPr="00A96231" w:rsidRDefault="00610837" w:rsidP="00A96231">
      <w:pPr>
        <w:spacing w:line="276" w:lineRule="auto"/>
        <w:jc w:val="both"/>
        <w:rPr>
          <w:rFonts w:ascii="Gadugi" w:hAnsi="Gadugi" w:cs="Arial"/>
          <w:sz w:val="24"/>
          <w:szCs w:val="24"/>
        </w:rPr>
      </w:pPr>
    </w:p>
    <w:p w14:paraId="295F7544" w14:textId="046BF1E1" w:rsidR="00610837" w:rsidRPr="00A96231" w:rsidRDefault="00632D1F"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88077A" w:rsidRPr="00A96231">
        <w:rPr>
          <w:rFonts w:ascii="Gadugi" w:hAnsi="Gadugi" w:cs="Arial"/>
          <w:sz w:val="24"/>
          <w:szCs w:val="24"/>
        </w:rPr>
        <w:t>Así se afirma</w:t>
      </w:r>
      <w:r w:rsidR="00544118" w:rsidRPr="00A96231">
        <w:rPr>
          <w:rFonts w:ascii="Gadugi" w:hAnsi="Gadugi" w:cs="Arial"/>
          <w:sz w:val="24"/>
          <w:szCs w:val="24"/>
        </w:rPr>
        <w:t>,</w:t>
      </w:r>
      <w:r w:rsidR="0088077A" w:rsidRPr="00A96231">
        <w:rPr>
          <w:rFonts w:ascii="Gadugi" w:hAnsi="Gadugi" w:cs="Arial"/>
          <w:sz w:val="24"/>
          <w:szCs w:val="24"/>
        </w:rPr>
        <w:t xml:space="preserve"> </w:t>
      </w:r>
      <w:r w:rsidR="006B6471" w:rsidRPr="00A96231">
        <w:rPr>
          <w:rFonts w:ascii="Gadugi" w:hAnsi="Gadugi" w:cs="Arial"/>
          <w:sz w:val="24"/>
          <w:szCs w:val="24"/>
        </w:rPr>
        <w:t>por</w:t>
      </w:r>
      <w:r w:rsidR="00610837" w:rsidRPr="00A96231">
        <w:rPr>
          <w:rFonts w:ascii="Gadugi" w:hAnsi="Gadugi" w:cs="Arial"/>
          <w:sz w:val="24"/>
          <w:szCs w:val="24"/>
        </w:rPr>
        <w:t>que para cuando se presentó la contestación de la demanda, el 8 de octubre de 2019, e incluso para el momento en que se celebró la audiencia de pacto de cumplimiento a la cual acudió ese mismo profesional del derecho, el 5 de febrero de 2020, el Decreto 806/20 no estaba vigente, de ahí que, hasta ese entonces, no podía exigírsele cumplir con lo dispuesto en esa norma</w:t>
      </w:r>
      <w:r w:rsidR="002613B5" w:rsidRPr="00A96231">
        <w:rPr>
          <w:rFonts w:ascii="Gadugi" w:hAnsi="Gadugi" w:cs="Arial"/>
          <w:sz w:val="24"/>
          <w:szCs w:val="24"/>
        </w:rPr>
        <w:t xml:space="preserve">. </w:t>
      </w:r>
    </w:p>
    <w:p w14:paraId="11AB8C08" w14:textId="0797924D" w:rsidR="00610837" w:rsidRPr="00A96231" w:rsidRDefault="00610837" w:rsidP="00A96231">
      <w:pPr>
        <w:spacing w:line="276" w:lineRule="auto"/>
        <w:jc w:val="both"/>
        <w:rPr>
          <w:rFonts w:ascii="Gadugi" w:hAnsi="Gadugi" w:cs="Arial"/>
          <w:sz w:val="24"/>
          <w:szCs w:val="24"/>
        </w:rPr>
      </w:pPr>
    </w:p>
    <w:p w14:paraId="5CD437DD" w14:textId="4F89D03E" w:rsidR="006B6471" w:rsidRPr="00A96231" w:rsidRDefault="006B6471"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Ahora bien, al cabo de un tiempo, exactamente el 8 de febrero de 2021, cuando ya regía Decreto 806, el despacho emitió un auto declarando precluido el término probatorio y le corrió traslado a las partes para que allegaran sus alegatos de conclusión,</w:t>
      </w:r>
      <w:r w:rsidR="002613B5" w:rsidRPr="00A96231">
        <w:rPr>
          <w:rFonts w:ascii="Gadugi" w:hAnsi="Gadugi" w:cs="Arial"/>
          <w:sz w:val="24"/>
          <w:szCs w:val="24"/>
        </w:rPr>
        <w:t xml:space="preserve"> frente a lo cual, 15 de febrero de 2021, la Comercializadora Arturo Calle S.A.S., por conducto del abogado que siempre la ha representado en ese juicio, aportó un memorial al expediente, suscrito por ese mismo profesional del derecho, el cual, incluso no solo se envió al juzgado, sino a los demás sujetos procesales, ninguno de los cuales manifestó algún reparo. </w:t>
      </w:r>
    </w:p>
    <w:p w14:paraId="0EA07565" w14:textId="77777777" w:rsidR="002613B5" w:rsidRPr="00A96231" w:rsidRDefault="002613B5" w:rsidP="00A96231">
      <w:pPr>
        <w:spacing w:line="276" w:lineRule="auto"/>
        <w:jc w:val="both"/>
        <w:rPr>
          <w:rFonts w:ascii="Gadugi" w:hAnsi="Gadugi" w:cs="Arial"/>
          <w:sz w:val="24"/>
          <w:szCs w:val="24"/>
        </w:rPr>
      </w:pPr>
    </w:p>
    <w:p w14:paraId="4B0B8171" w14:textId="65B1B9F9" w:rsidR="00D76AF6" w:rsidRPr="00A96231" w:rsidRDefault="002D3885"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717857" w:rsidRPr="00A96231">
        <w:rPr>
          <w:rFonts w:ascii="Gadugi" w:hAnsi="Gadugi" w:cs="Arial"/>
          <w:sz w:val="24"/>
          <w:szCs w:val="24"/>
        </w:rPr>
        <w:t>Bajo ese panorama</w:t>
      </w:r>
      <w:r w:rsidR="00D76AF6" w:rsidRPr="00A96231">
        <w:rPr>
          <w:rFonts w:ascii="Gadugi" w:hAnsi="Gadugi" w:cs="Arial"/>
          <w:sz w:val="24"/>
          <w:szCs w:val="24"/>
        </w:rPr>
        <w:t xml:space="preserve">, es criterio de la Sala que la funcionaria encausada dio aplicación, con extremo rigor, a una norma cuyo principal propósito es, simplemente, evitar la intervención de personas ajenas al proceso, </w:t>
      </w:r>
      <w:r w:rsidR="002613B5" w:rsidRPr="00A96231">
        <w:rPr>
          <w:rFonts w:ascii="Gadugi" w:hAnsi="Gadugi" w:cs="Arial"/>
          <w:sz w:val="24"/>
          <w:szCs w:val="24"/>
        </w:rPr>
        <w:t>y así lo hizo, a pesar de que</w:t>
      </w:r>
      <w:r w:rsidR="005F1C11" w:rsidRPr="00A96231">
        <w:rPr>
          <w:rFonts w:ascii="Gadugi" w:hAnsi="Gadugi" w:cs="Arial"/>
          <w:sz w:val="24"/>
          <w:szCs w:val="24"/>
        </w:rPr>
        <w:t xml:space="preserve"> (i) </w:t>
      </w:r>
      <w:r w:rsidR="00E92DF5" w:rsidRPr="00A96231">
        <w:rPr>
          <w:rFonts w:ascii="Gadugi" w:hAnsi="Gadugi" w:cs="Arial"/>
          <w:sz w:val="24"/>
          <w:szCs w:val="24"/>
        </w:rPr>
        <w:t>e</w:t>
      </w:r>
      <w:r w:rsidR="005F1C11" w:rsidRPr="00A96231">
        <w:rPr>
          <w:rFonts w:ascii="Gadugi" w:hAnsi="Gadugi" w:cs="Arial"/>
          <w:sz w:val="24"/>
          <w:szCs w:val="24"/>
        </w:rPr>
        <w:t xml:space="preserve">sa no fue la reglamentación con la que empezó el juicio y pudieron haberse tomado medidas por parte del despacho para evitar, dentro de ese juicio, un tránsito de legislación menos lesivo para las partes, (ii) </w:t>
      </w:r>
      <w:r w:rsidR="00E92DF5" w:rsidRPr="00A96231">
        <w:rPr>
          <w:rFonts w:ascii="Gadugi" w:hAnsi="Gadugi" w:cs="Arial"/>
          <w:sz w:val="24"/>
          <w:szCs w:val="24"/>
        </w:rPr>
        <w:t>d</w:t>
      </w:r>
      <w:r w:rsidR="00D76AF6" w:rsidRPr="00A96231">
        <w:rPr>
          <w:rFonts w:ascii="Gadugi" w:hAnsi="Gadugi" w:cs="Arial"/>
          <w:sz w:val="24"/>
          <w:szCs w:val="24"/>
        </w:rPr>
        <w:t xml:space="preserve">el memorial es posible presumir </w:t>
      </w:r>
      <w:r w:rsidR="002613B5" w:rsidRPr="00A96231">
        <w:rPr>
          <w:rFonts w:ascii="Gadugi" w:hAnsi="Gadugi" w:cs="Arial"/>
          <w:sz w:val="24"/>
          <w:szCs w:val="24"/>
        </w:rPr>
        <w:t>su procedencia</w:t>
      </w:r>
      <w:r w:rsidR="005F1C11" w:rsidRPr="00A96231">
        <w:rPr>
          <w:rFonts w:ascii="Gadugi" w:hAnsi="Gadugi" w:cs="Arial"/>
          <w:sz w:val="24"/>
          <w:szCs w:val="24"/>
        </w:rPr>
        <w:t xml:space="preserve"> y autenticidad</w:t>
      </w:r>
      <w:r w:rsidR="00D76AF6" w:rsidRPr="00A96231">
        <w:rPr>
          <w:rFonts w:ascii="Gadugi" w:hAnsi="Gadugi" w:cs="Arial"/>
          <w:sz w:val="24"/>
          <w:szCs w:val="24"/>
        </w:rPr>
        <w:t xml:space="preserve">, </w:t>
      </w:r>
      <w:r w:rsidR="00E92DF5" w:rsidRPr="00A96231">
        <w:rPr>
          <w:rFonts w:ascii="Gadugi" w:hAnsi="Gadugi" w:cs="Arial"/>
          <w:sz w:val="24"/>
          <w:szCs w:val="24"/>
        </w:rPr>
        <w:t xml:space="preserve">y </w:t>
      </w:r>
      <w:r w:rsidR="005F1C11" w:rsidRPr="00A96231">
        <w:rPr>
          <w:rFonts w:ascii="Gadugi" w:hAnsi="Gadugi" w:cs="Arial"/>
          <w:sz w:val="24"/>
          <w:szCs w:val="24"/>
        </w:rPr>
        <w:t xml:space="preserve">(iii) </w:t>
      </w:r>
      <w:r w:rsidR="00D76AF6" w:rsidRPr="00A96231">
        <w:rPr>
          <w:rFonts w:ascii="Gadugi" w:hAnsi="Gadugi" w:cs="Arial"/>
          <w:sz w:val="24"/>
          <w:szCs w:val="24"/>
        </w:rPr>
        <w:t>ninguno de los demás sujetos procesales intervino para tachar dicha comunicación</w:t>
      </w:r>
      <w:r w:rsidR="005F1C11" w:rsidRPr="00A96231">
        <w:rPr>
          <w:rFonts w:ascii="Gadugi" w:hAnsi="Gadugi" w:cs="Arial"/>
          <w:sz w:val="24"/>
          <w:szCs w:val="24"/>
        </w:rPr>
        <w:t>, aun cuando todos tuvieron conocimiento de ella</w:t>
      </w:r>
      <w:r w:rsidR="002613B5" w:rsidRPr="00A96231">
        <w:rPr>
          <w:rFonts w:ascii="Gadugi" w:hAnsi="Gadugi" w:cs="Arial"/>
          <w:sz w:val="24"/>
          <w:szCs w:val="24"/>
        </w:rPr>
        <w:t xml:space="preserve">; a todo lo cual se suma que, </w:t>
      </w:r>
      <w:r w:rsidR="00D76AF6" w:rsidRPr="00A96231">
        <w:rPr>
          <w:rFonts w:ascii="Gadugi" w:hAnsi="Gadugi" w:cs="Arial"/>
          <w:sz w:val="24"/>
          <w:szCs w:val="24"/>
        </w:rPr>
        <w:t xml:space="preserve">en todo caso, si se tenían dudas respecto del </w:t>
      </w:r>
      <w:r w:rsidR="002613B5" w:rsidRPr="00A96231">
        <w:rPr>
          <w:rFonts w:ascii="Gadugi" w:hAnsi="Gadugi" w:cs="Arial"/>
          <w:sz w:val="24"/>
          <w:szCs w:val="24"/>
        </w:rPr>
        <w:t>origen</w:t>
      </w:r>
      <w:r w:rsidR="00D76AF6" w:rsidRPr="00A96231">
        <w:rPr>
          <w:rFonts w:ascii="Gadugi" w:hAnsi="Gadugi" w:cs="Arial"/>
          <w:sz w:val="24"/>
          <w:szCs w:val="24"/>
        </w:rPr>
        <w:t xml:space="preserve"> del oficio, pudo </w:t>
      </w:r>
      <w:r w:rsidR="002613B5" w:rsidRPr="00A96231">
        <w:rPr>
          <w:rFonts w:ascii="Gadugi" w:hAnsi="Gadugi" w:cs="Arial"/>
          <w:sz w:val="24"/>
          <w:szCs w:val="24"/>
        </w:rPr>
        <w:t>requerir</w:t>
      </w:r>
      <w:r w:rsidR="00D76AF6" w:rsidRPr="00A96231">
        <w:rPr>
          <w:rFonts w:ascii="Gadugi" w:hAnsi="Gadugi" w:cs="Arial"/>
          <w:sz w:val="24"/>
          <w:szCs w:val="24"/>
        </w:rPr>
        <w:t xml:space="preserve"> al remitente para que </w:t>
      </w:r>
      <w:r w:rsidR="00EF5F91" w:rsidRPr="00A96231">
        <w:rPr>
          <w:rFonts w:ascii="Gadugi" w:hAnsi="Gadugi" w:cs="Arial"/>
          <w:sz w:val="24"/>
          <w:szCs w:val="24"/>
        </w:rPr>
        <w:t>confirmara su identidad</w:t>
      </w:r>
      <w:r w:rsidR="002613B5" w:rsidRPr="00A96231">
        <w:rPr>
          <w:rFonts w:ascii="Gadugi" w:hAnsi="Gadugi" w:cs="Arial"/>
          <w:sz w:val="24"/>
          <w:szCs w:val="24"/>
        </w:rPr>
        <w:t xml:space="preserve">, en vez de desecharlo de inmediato. </w:t>
      </w:r>
    </w:p>
    <w:p w14:paraId="7644F84C" w14:textId="3BE9E24A" w:rsidR="00EF5F91" w:rsidRPr="00A96231" w:rsidRDefault="00EF5F91" w:rsidP="00A96231">
      <w:pPr>
        <w:spacing w:line="276" w:lineRule="auto"/>
        <w:jc w:val="both"/>
        <w:rPr>
          <w:rFonts w:ascii="Gadugi" w:hAnsi="Gadugi" w:cs="Arial"/>
          <w:sz w:val="24"/>
          <w:szCs w:val="24"/>
        </w:rPr>
      </w:pPr>
    </w:p>
    <w:p w14:paraId="169B1357" w14:textId="6E386A15" w:rsidR="00EF5F91" w:rsidRPr="00A96231" w:rsidRDefault="00EF5F91"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00416B12" w:rsidRPr="00A96231">
        <w:rPr>
          <w:rFonts w:ascii="Gadugi" w:hAnsi="Gadugi" w:cs="Arial"/>
          <w:sz w:val="24"/>
          <w:szCs w:val="24"/>
        </w:rPr>
        <w:t xml:space="preserve">Lo que viene siendo dicho se reafirma con </w:t>
      </w:r>
      <w:r w:rsidRPr="00A96231">
        <w:rPr>
          <w:rFonts w:ascii="Gadugi" w:hAnsi="Gadugi" w:cs="Arial"/>
          <w:sz w:val="24"/>
          <w:szCs w:val="24"/>
        </w:rPr>
        <w:t>la misma providencia de la Sala de Casación Civil de la Corte Suprema de Justicia citada:</w:t>
      </w:r>
    </w:p>
    <w:p w14:paraId="3E9A2E2A" w14:textId="77777777" w:rsidR="00EF5F91" w:rsidRPr="00A96231" w:rsidRDefault="00EF5F91" w:rsidP="00A96231">
      <w:pPr>
        <w:spacing w:line="276" w:lineRule="auto"/>
        <w:jc w:val="both"/>
        <w:rPr>
          <w:rFonts w:ascii="Gadugi" w:hAnsi="Gadugi" w:cs="Arial"/>
          <w:sz w:val="24"/>
          <w:szCs w:val="24"/>
        </w:rPr>
      </w:pPr>
    </w:p>
    <w:p w14:paraId="216B5058" w14:textId="734F74F9" w:rsidR="00EF5F91" w:rsidRPr="00A96231" w:rsidRDefault="00EF5F91" w:rsidP="00A96231">
      <w:pPr>
        <w:spacing w:line="276" w:lineRule="auto"/>
        <w:ind w:left="567" w:right="902"/>
        <w:jc w:val="both"/>
        <w:rPr>
          <w:rStyle w:val="CitaIntraCSJCar"/>
          <w:rFonts w:ascii="Gadugi" w:hAnsi="Gadugi"/>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sz w:val="24"/>
          <w:szCs w:val="24"/>
        </w:rPr>
        <w:t xml:space="preserve">A su turno, sobre los memoriales -género en el que cabe situar a la mayoría de los restantes actos procesales de parte y </w:t>
      </w:r>
      <w:r w:rsidRPr="00A96231">
        <w:rPr>
          <w:rFonts w:ascii="Gadugi" w:hAnsi="Gadugi"/>
          <w:sz w:val="24"/>
          <w:szCs w:val="24"/>
        </w:rPr>
        <w:lastRenderedPageBreak/>
        <w:t xml:space="preserve">demás sujetos subordinados-, la normativa procesal vigente, entre otros aspectos, señala que </w:t>
      </w:r>
      <w:r w:rsidRPr="00A96231">
        <w:rPr>
          <w:rStyle w:val="CitaIntraCSJCar"/>
          <w:rFonts w:ascii="Gadugi" w:hAnsi="Gadugi"/>
          <w:b/>
        </w:rPr>
        <w:t xml:space="preserve">«podrán presentarse y las comunicaciones transmitirse </w:t>
      </w:r>
      <w:r w:rsidRPr="00A96231">
        <w:rPr>
          <w:rStyle w:val="CitaIntraCSJCar"/>
          <w:rFonts w:ascii="Gadugi" w:hAnsi="Gadugi"/>
          <w:b/>
          <w:u w:val="single"/>
        </w:rPr>
        <w:t>por cualquier medio idóneo</w:t>
      </w:r>
      <w:r w:rsidRPr="00A96231">
        <w:rPr>
          <w:rStyle w:val="CitaIntraCSJCar"/>
          <w:rFonts w:ascii="Gadugi" w:hAnsi="Gadugi"/>
        </w:rPr>
        <w:t xml:space="preserve">» </w:t>
      </w:r>
      <w:r w:rsidRPr="00A96231">
        <w:rPr>
          <w:rFonts w:ascii="Gadugi" w:hAnsi="Gadugi"/>
          <w:sz w:val="24"/>
          <w:szCs w:val="24"/>
        </w:rPr>
        <w:t>(inc. 2º, art. 109)</w:t>
      </w:r>
      <w:r w:rsidRPr="00A96231">
        <w:rPr>
          <w:rStyle w:val="CitaIntraCSJCar"/>
          <w:rFonts w:ascii="Gadugi" w:hAnsi="Gadugi"/>
        </w:rPr>
        <w:t>.</w:t>
      </w:r>
    </w:p>
    <w:p w14:paraId="4A47794E" w14:textId="33058120" w:rsidR="00EF5F91" w:rsidRPr="00A96231" w:rsidRDefault="00EF5F91" w:rsidP="00A96231">
      <w:pPr>
        <w:spacing w:line="276" w:lineRule="auto"/>
        <w:ind w:left="567" w:right="902"/>
        <w:jc w:val="both"/>
        <w:rPr>
          <w:rFonts w:ascii="Gadugi" w:hAnsi="Gadugi"/>
          <w:sz w:val="24"/>
          <w:szCs w:val="24"/>
        </w:rPr>
      </w:pPr>
    </w:p>
    <w:p w14:paraId="75E78749" w14:textId="6D4B5A3E" w:rsidR="00EF5F91" w:rsidRPr="00A96231" w:rsidRDefault="00EF5F91" w:rsidP="00A96231">
      <w:pPr>
        <w:spacing w:line="276" w:lineRule="auto"/>
        <w:ind w:left="567" w:right="902"/>
        <w:jc w:val="both"/>
        <w:rPr>
          <w:rFonts w:ascii="Gadugi" w:hAnsi="Gadugi"/>
          <w:sz w:val="24"/>
          <w:szCs w:val="24"/>
        </w:rPr>
      </w:pP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b/>
          <w:sz w:val="24"/>
          <w:szCs w:val="24"/>
          <w:lang w:val="es-MX"/>
        </w:rPr>
        <w:t xml:space="preserve">De forma concordante con lo anterior, el inciso tercero del precepto 244 C.G.P., predica la presunción de autenticidad, </w:t>
      </w:r>
      <w:r w:rsidRPr="00A96231">
        <w:rPr>
          <w:rStyle w:val="CitaIntraCSJCar"/>
          <w:rFonts w:ascii="Gadugi" w:hAnsi="Gadugi"/>
          <w:b/>
        </w:rPr>
        <w:t>«mientras no hayan sido tachados de falso o desconocidos»</w:t>
      </w:r>
      <w:r w:rsidRPr="00A96231">
        <w:rPr>
          <w:rFonts w:ascii="Gadugi" w:hAnsi="Gadugi"/>
          <w:b/>
          <w:sz w:val="24"/>
          <w:szCs w:val="24"/>
          <w:lang w:val="es-MX"/>
        </w:rPr>
        <w:t xml:space="preserve">, en favor de </w:t>
      </w:r>
      <w:r w:rsidRPr="00A96231">
        <w:rPr>
          <w:rStyle w:val="CitaIntraCSJCar"/>
          <w:rFonts w:ascii="Gadugi" w:hAnsi="Gadugi"/>
          <w:b/>
        </w:rPr>
        <w:t>«Los documentos públicos y los privados emanados de las partes o de terceros, en original o en copia, elaborados, firmados o manuscritos (…)»</w:t>
      </w:r>
      <w:r w:rsidRPr="00A96231">
        <w:rPr>
          <w:rFonts w:ascii="Gadugi" w:hAnsi="Gadugi"/>
          <w:b/>
          <w:sz w:val="24"/>
          <w:szCs w:val="24"/>
          <w:lang w:val="es-MX"/>
        </w:rPr>
        <w:t xml:space="preserve">, efecto que según el inciso tercero se extiende a </w:t>
      </w:r>
      <w:r w:rsidRPr="00A96231">
        <w:rPr>
          <w:rStyle w:val="CitaIntraCSJCar"/>
          <w:rFonts w:ascii="Gadugi" w:hAnsi="Gadugi"/>
          <w:b/>
        </w:rPr>
        <w:t>«</w:t>
      </w:r>
      <w:r w:rsidRPr="00A96231">
        <w:rPr>
          <w:rStyle w:val="CitaIntraCSJCar"/>
          <w:rFonts w:ascii="Gadugi" w:hAnsi="Gadugi"/>
          <w:b/>
          <w:lang w:val="es-MX"/>
        </w:rPr>
        <w:t>los memoriales presentados para que formen parte del expediente, incluidas las demandas, sus contestaciones, los que impliquen disposición del derecho en litigio y los poderes en caso de sustitución</w:t>
      </w:r>
      <w:r w:rsidRPr="00A96231">
        <w:rPr>
          <w:rStyle w:val="CitaIntraCSJCar"/>
          <w:rFonts w:ascii="Gadugi" w:hAnsi="Gadugi"/>
          <w:b/>
        </w:rPr>
        <w:t>»</w:t>
      </w:r>
      <w:r w:rsidRPr="00A96231">
        <w:rPr>
          <w:rFonts w:ascii="Gadugi" w:hAnsi="Gadugi"/>
          <w:b/>
          <w:sz w:val="24"/>
          <w:szCs w:val="24"/>
          <w:lang w:val="es-MX"/>
        </w:rPr>
        <w:t xml:space="preserve"> y muy particularmente a </w:t>
      </w:r>
      <w:r w:rsidRPr="00A96231">
        <w:rPr>
          <w:rStyle w:val="CitaIntraCSJCar"/>
          <w:rFonts w:ascii="Gadugi" w:hAnsi="Gadugi"/>
          <w:b/>
        </w:rPr>
        <w:t>«</w:t>
      </w:r>
      <w:r w:rsidRPr="00A96231">
        <w:rPr>
          <w:rStyle w:val="CitaIntraCSJCar"/>
          <w:rFonts w:ascii="Gadugi" w:hAnsi="Gadugi"/>
          <w:b/>
          <w:lang w:val="es-MX"/>
        </w:rPr>
        <w:t>Los documentos en forma de mensaje de datos se presumen auténticos</w:t>
      </w:r>
      <w:r w:rsidRPr="00A96231">
        <w:rPr>
          <w:rStyle w:val="CitaIntraCSJCar"/>
          <w:rFonts w:ascii="Gadugi" w:hAnsi="Gadugi"/>
          <w:b/>
        </w:rPr>
        <w:t>»</w:t>
      </w:r>
      <w:r w:rsidRPr="00A96231">
        <w:rPr>
          <w:rFonts w:ascii="Gadugi" w:hAnsi="Gadugi"/>
          <w:b/>
          <w:sz w:val="24"/>
          <w:szCs w:val="24"/>
          <w:lang w:val="es-MX"/>
        </w:rPr>
        <w:t xml:space="preserve">, lo cual </w:t>
      </w:r>
      <w:r w:rsidRPr="00A96231">
        <w:rPr>
          <w:rStyle w:val="CitaIntraCSJCar"/>
          <w:rFonts w:ascii="Gadugi" w:hAnsi="Gadugi"/>
          <w:b/>
        </w:rPr>
        <w:t>«</w:t>
      </w:r>
      <w:r w:rsidRPr="00A96231">
        <w:rPr>
          <w:rStyle w:val="CitaIntraCSJCar"/>
          <w:rFonts w:ascii="Gadugi" w:hAnsi="Gadugi"/>
          <w:b/>
          <w:lang w:val="es-MX"/>
        </w:rPr>
        <w:t>se aplica en todos los procesos y en todas las jurisdicciones</w:t>
      </w:r>
      <w:r w:rsidRPr="00A96231">
        <w:rPr>
          <w:rStyle w:val="CitaIntraCSJCar"/>
          <w:rFonts w:ascii="Gadugi" w:hAnsi="Gadugi"/>
          <w:b/>
        </w:rPr>
        <w:t>»</w:t>
      </w:r>
      <w:r w:rsidRPr="00A96231">
        <w:rPr>
          <w:rFonts w:ascii="Gadugi" w:hAnsi="Gadugi"/>
          <w:b/>
          <w:sz w:val="24"/>
          <w:szCs w:val="24"/>
        </w:rPr>
        <w:t>,</w:t>
      </w:r>
      <w:r w:rsidRPr="00A96231">
        <w:rPr>
          <w:rFonts w:ascii="Gadugi" w:hAnsi="Gadugi"/>
          <w:sz w:val="24"/>
          <w:szCs w:val="24"/>
        </w:rPr>
        <w:t xml:space="preserve"> según el tenor de la parte final de la norma que se viene estudiando. (</w:t>
      </w:r>
      <w:r w:rsidR="00416B12" w:rsidRPr="00A96231">
        <w:rPr>
          <w:rFonts w:ascii="Gadugi" w:hAnsi="Gadugi"/>
          <w:sz w:val="24"/>
          <w:szCs w:val="24"/>
        </w:rPr>
        <w:t>D</w:t>
      </w:r>
      <w:r w:rsidRPr="00A96231">
        <w:rPr>
          <w:rFonts w:ascii="Gadugi" w:hAnsi="Gadugi"/>
          <w:sz w:val="24"/>
          <w:szCs w:val="24"/>
        </w:rPr>
        <w:t>estaca la Sala)</w:t>
      </w:r>
    </w:p>
    <w:p w14:paraId="4E3DF294" w14:textId="77777777" w:rsidR="00EF5F91" w:rsidRPr="00A96231" w:rsidRDefault="00EF5F91" w:rsidP="00A96231">
      <w:pPr>
        <w:pStyle w:val="NormalCSJ"/>
        <w:spacing w:line="276" w:lineRule="auto"/>
        <w:rPr>
          <w:rFonts w:ascii="Gadugi" w:hAnsi="Gadugi"/>
          <w:sz w:val="24"/>
          <w:szCs w:val="24"/>
          <w:lang w:val="es-MX"/>
        </w:rPr>
      </w:pPr>
    </w:p>
    <w:p w14:paraId="0B885B66" w14:textId="3E8C3850" w:rsidR="00D76AF6" w:rsidRPr="00A96231" w:rsidRDefault="00EF5F91"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En </w:t>
      </w:r>
      <w:r w:rsidR="00333CF4" w:rsidRPr="00A96231">
        <w:rPr>
          <w:rFonts w:ascii="Gadugi" w:hAnsi="Gadugi" w:cs="Arial"/>
          <w:sz w:val="24"/>
          <w:szCs w:val="24"/>
        </w:rPr>
        <w:t>suma, parafraseando</w:t>
      </w:r>
      <w:r w:rsidRPr="00A96231">
        <w:rPr>
          <w:rFonts w:ascii="Gadugi" w:hAnsi="Gadugi" w:cs="Arial"/>
          <w:sz w:val="24"/>
          <w:szCs w:val="24"/>
        </w:rPr>
        <w:t xml:space="preserve"> la</w:t>
      </w:r>
      <w:r w:rsidR="00416B12" w:rsidRPr="00A96231">
        <w:rPr>
          <w:rFonts w:ascii="Gadugi" w:hAnsi="Gadugi" w:cs="Arial"/>
          <w:sz w:val="24"/>
          <w:szCs w:val="24"/>
        </w:rPr>
        <w:t xml:space="preserve"> sentencia antes citada de la</w:t>
      </w:r>
      <w:r w:rsidRPr="00A96231">
        <w:rPr>
          <w:rFonts w:ascii="Gadugi" w:hAnsi="Gadugi" w:cs="Arial"/>
          <w:sz w:val="24"/>
          <w:szCs w:val="24"/>
        </w:rPr>
        <w:t xml:space="preserve"> Corte Constitucional, se configuró un defecto procedimental por exceso ritual manifiesto, porque la funcionaria </w:t>
      </w:r>
      <w:r w:rsidR="005F1C11" w:rsidRPr="00A96231">
        <w:rPr>
          <w:rFonts w:ascii="Gadugi" w:hAnsi="Gadugi" w:cs="Arial"/>
          <w:sz w:val="24"/>
          <w:szCs w:val="24"/>
        </w:rPr>
        <w:t>hizo del</w:t>
      </w:r>
      <w:r w:rsidRPr="00A96231">
        <w:rPr>
          <w:rFonts w:ascii="Gadugi" w:hAnsi="Gadugi" w:cs="Arial"/>
          <w:sz w:val="24"/>
          <w:szCs w:val="24"/>
        </w:rPr>
        <w:t xml:space="preserve"> procedimiento un obstáculo para la eficacia </w:t>
      </w:r>
      <w:r w:rsidR="005F1C11" w:rsidRPr="00A96231">
        <w:rPr>
          <w:rFonts w:ascii="Gadugi" w:hAnsi="Gadugi" w:cs="Arial"/>
          <w:sz w:val="24"/>
          <w:szCs w:val="24"/>
        </w:rPr>
        <w:t xml:space="preserve">del </w:t>
      </w:r>
      <w:r w:rsidRPr="00A96231">
        <w:rPr>
          <w:rFonts w:ascii="Gadugi" w:hAnsi="Gadugi" w:cs="Arial"/>
          <w:sz w:val="24"/>
          <w:szCs w:val="24"/>
        </w:rPr>
        <w:t xml:space="preserve">derecho </w:t>
      </w:r>
      <w:r w:rsidR="005F1C11" w:rsidRPr="00A96231">
        <w:rPr>
          <w:rFonts w:ascii="Gadugi" w:hAnsi="Gadugi" w:cs="Arial"/>
          <w:sz w:val="24"/>
          <w:szCs w:val="24"/>
        </w:rPr>
        <w:t>de contradicción de la sociedad accionante</w:t>
      </w:r>
      <w:r w:rsidR="00416B12" w:rsidRPr="00A96231">
        <w:rPr>
          <w:rFonts w:ascii="Gadugi" w:hAnsi="Gadugi" w:cs="Arial"/>
          <w:sz w:val="24"/>
          <w:szCs w:val="24"/>
        </w:rPr>
        <w:t xml:space="preserve"> y</w:t>
      </w:r>
      <w:r w:rsidRPr="00A96231">
        <w:rPr>
          <w:rFonts w:ascii="Gadugi" w:hAnsi="Gadugi" w:cs="Arial"/>
          <w:sz w:val="24"/>
          <w:szCs w:val="24"/>
        </w:rPr>
        <w:t xml:space="preserve"> renunció a obtener la verdad objetiva </w:t>
      </w:r>
      <w:r w:rsidR="005F1C11" w:rsidRPr="00A96231">
        <w:rPr>
          <w:rFonts w:ascii="Gadugi" w:hAnsi="Gadugi" w:cs="Arial"/>
          <w:sz w:val="24"/>
          <w:szCs w:val="24"/>
        </w:rPr>
        <w:t xml:space="preserve">sobre la procedencia del memorial, </w:t>
      </w:r>
      <w:r w:rsidRPr="00A96231">
        <w:rPr>
          <w:rFonts w:ascii="Gadugi" w:hAnsi="Gadugi" w:cs="Arial"/>
          <w:sz w:val="24"/>
          <w:szCs w:val="24"/>
        </w:rPr>
        <w:t xml:space="preserve">pese a </w:t>
      </w:r>
      <w:r w:rsidR="005F1C11" w:rsidRPr="00A96231">
        <w:rPr>
          <w:rFonts w:ascii="Gadugi" w:hAnsi="Gadugi" w:cs="Arial"/>
          <w:sz w:val="24"/>
          <w:szCs w:val="24"/>
        </w:rPr>
        <w:t xml:space="preserve">que del </w:t>
      </w:r>
      <w:r w:rsidR="00416B12" w:rsidRPr="00A96231">
        <w:rPr>
          <w:rFonts w:ascii="Gadugi" w:hAnsi="Gadugi" w:cs="Arial"/>
          <w:sz w:val="24"/>
          <w:szCs w:val="24"/>
        </w:rPr>
        <w:t>cartulario</w:t>
      </w:r>
      <w:r w:rsidR="005F1C11" w:rsidRPr="00A96231">
        <w:rPr>
          <w:rFonts w:ascii="Gadugi" w:hAnsi="Gadugi" w:cs="Arial"/>
          <w:sz w:val="24"/>
          <w:szCs w:val="24"/>
        </w:rPr>
        <w:t xml:space="preserve"> era posible confirmar su procedencia</w:t>
      </w:r>
      <w:r w:rsidR="00416B12" w:rsidRPr="00A96231">
        <w:rPr>
          <w:rFonts w:ascii="Gadugi" w:hAnsi="Gadugi" w:cs="Arial"/>
          <w:sz w:val="24"/>
          <w:szCs w:val="24"/>
        </w:rPr>
        <w:t xml:space="preserve">. </w:t>
      </w:r>
    </w:p>
    <w:p w14:paraId="24DD35F0" w14:textId="77777777" w:rsidR="00EF5F91" w:rsidRPr="00A96231" w:rsidRDefault="00EF5F91" w:rsidP="00A96231">
      <w:pPr>
        <w:spacing w:line="276" w:lineRule="auto"/>
        <w:jc w:val="both"/>
        <w:rPr>
          <w:rFonts w:ascii="Gadugi" w:hAnsi="Gadugi" w:cs="Arial"/>
          <w:sz w:val="24"/>
          <w:szCs w:val="24"/>
        </w:rPr>
      </w:pPr>
    </w:p>
    <w:p w14:paraId="03721854" w14:textId="57C0872F" w:rsidR="00EF5F91" w:rsidRPr="00A96231" w:rsidRDefault="00E2726D" w:rsidP="00A96231">
      <w:pPr>
        <w:spacing w:line="276" w:lineRule="auto"/>
        <w:jc w:val="both"/>
        <w:rPr>
          <w:rFonts w:ascii="Gadugi" w:hAnsi="Gadugi" w:cs="Arial"/>
          <w:sz w:val="24"/>
          <w:szCs w:val="24"/>
        </w:rPr>
      </w:pP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 xml:space="preserve">Así las cosas, se </w:t>
      </w:r>
      <w:r w:rsidR="00C3737B" w:rsidRPr="00A96231">
        <w:rPr>
          <w:rFonts w:ascii="Gadugi" w:hAnsi="Gadugi" w:cs="Arial"/>
          <w:sz w:val="24"/>
          <w:szCs w:val="24"/>
        </w:rPr>
        <w:t>dejar</w:t>
      </w:r>
      <w:r w:rsidRPr="00A96231">
        <w:rPr>
          <w:rFonts w:ascii="Gadugi" w:hAnsi="Gadugi" w:cs="Arial"/>
          <w:sz w:val="24"/>
          <w:szCs w:val="24"/>
        </w:rPr>
        <w:t>á</w:t>
      </w:r>
      <w:r w:rsidR="00EF5F91" w:rsidRPr="00A96231">
        <w:rPr>
          <w:rFonts w:ascii="Gadugi" w:hAnsi="Gadugi" w:cs="Arial"/>
          <w:sz w:val="24"/>
          <w:szCs w:val="24"/>
        </w:rPr>
        <w:t>n</w:t>
      </w:r>
      <w:r w:rsidR="00C3737B" w:rsidRPr="00A96231">
        <w:rPr>
          <w:rFonts w:ascii="Gadugi" w:hAnsi="Gadugi" w:cs="Arial"/>
          <w:sz w:val="24"/>
          <w:szCs w:val="24"/>
        </w:rPr>
        <w:t xml:space="preserve"> sin efecto</w:t>
      </w:r>
      <w:r w:rsidR="00EF5F91" w:rsidRPr="00A96231">
        <w:rPr>
          <w:rFonts w:ascii="Gadugi" w:hAnsi="Gadugi" w:cs="Arial"/>
          <w:sz w:val="24"/>
          <w:szCs w:val="24"/>
        </w:rPr>
        <w:t>,</w:t>
      </w:r>
      <w:r w:rsidR="00C3737B" w:rsidRPr="00A96231">
        <w:rPr>
          <w:rFonts w:ascii="Gadugi" w:hAnsi="Gadugi" w:cs="Arial"/>
          <w:sz w:val="24"/>
          <w:szCs w:val="24"/>
        </w:rPr>
        <w:t xml:space="preserve"> </w:t>
      </w:r>
      <w:r w:rsidR="00EF5F91" w:rsidRPr="00A96231">
        <w:rPr>
          <w:rFonts w:ascii="Gadugi" w:hAnsi="Gadugi" w:cs="Arial"/>
          <w:sz w:val="24"/>
          <w:szCs w:val="24"/>
        </w:rPr>
        <w:t xml:space="preserve">la decisión contenida en </w:t>
      </w:r>
      <w:r w:rsidR="00C3737B" w:rsidRPr="00A96231">
        <w:rPr>
          <w:rFonts w:ascii="Gadugi" w:hAnsi="Gadugi" w:cs="Arial"/>
          <w:sz w:val="24"/>
          <w:szCs w:val="24"/>
        </w:rPr>
        <w:t xml:space="preserve">el </w:t>
      </w:r>
      <w:r w:rsidR="00EF5F91" w:rsidRPr="00A96231">
        <w:rPr>
          <w:rFonts w:ascii="Gadugi" w:hAnsi="Gadugi" w:cs="Arial"/>
          <w:sz w:val="24"/>
          <w:szCs w:val="24"/>
        </w:rPr>
        <w:t xml:space="preserve">numeral tercero del auto emitido el 27 de abril de 2021 y el proveído del 1° de junio de 2022 que la confirmó. En su lugar, se le ordenará a la funcionaria encausada </w:t>
      </w:r>
      <w:r w:rsidR="00314B51" w:rsidRPr="00A96231">
        <w:rPr>
          <w:rFonts w:ascii="Gadugi" w:hAnsi="Gadugi" w:cs="Arial"/>
          <w:sz w:val="24"/>
          <w:szCs w:val="24"/>
        </w:rPr>
        <w:t xml:space="preserve">tener en cuenta los alegatos de conclusión presentados por la accionada en el </w:t>
      </w:r>
      <w:r w:rsidR="00EF5F91" w:rsidRPr="00A96231">
        <w:rPr>
          <w:rFonts w:ascii="Gadugi" w:hAnsi="Gadugi" w:cs="Arial"/>
          <w:sz w:val="24"/>
          <w:szCs w:val="24"/>
        </w:rPr>
        <w:t xml:space="preserve">fallo que profiera en ese asunto. </w:t>
      </w:r>
    </w:p>
    <w:p w14:paraId="23FDC1D1" w14:textId="7AF6F3A5" w:rsidR="00E2726D" w:rsidRPr="00A96231" w:rsidRDefault="00E2726D" w:rsidP="00A96231">
      <w:pPr>
        <w:spacing w:line="276" w:lineRule="auto"/>
        <w:jc w:val="both"/>
        <w:rPr>
          <w:rFonts w:ascii="Gadugi" w:hAnsi="Gadugi"/>
          <w:sz w:val="24"/>
          <w:szCs w:val="24"/>
        </w:rPr>
      </w:pPr>
    </w:p>
    <w:p w14:paraId="6EEE0C01" w14:textId="77777777" w:rsidR="00C612DE" w:rsidRPr="00A96231" w:rsidRDefault="00C612DE" w:rsidP="00A96231">
      <w:pPr>
        <w:spacing w:line="276" w:lineRule="auto"/>
        <w:jc w:val="both"/>
        <w:rPr>
          <w:rFonts w:ascii="Gadugi" w:hAnsi="Gadugi"/>
          <w:sz w:val="24"/>
          <w:szCs w:val="24"/>
        </w:rPr>
      </w:pPr>
    </w:p>
    <w:p w14:paraId="0EF677F5" w14:textId="3B7B2651" w:rsidR="00622EA3" w:rsidRPr="00A96231" w:rsidRDefault="00622EA3" w:rsidP="00A96231">
      <w:pPr>
        <w:spacing w:line="276" w:lineRule="auto"/>
        <w:ind w:firstLine="2835"/>
        <w:jc w:val="both"/>
        <w:rPr>
          <w:rFonts w:ascii="Gadugi" w:hAnsi="Gadugi" w:cs="Arial"/>
          <w:b/>
          <w:sz w:val="24"/>
          <w:szCs w:val="24"/>
        </w:rPr>
      </w:pPr>
      <w:r w:rsidRPr="00A96231">
        <w:rPr>
          <w:rFonts w:ascii="Gadugi" w:hAnsi="Gadugi" w:cs="Arial"/>
          <w:b/>
          <w:sz w:val="24"/>
          <w:szCs w:val="24"/>
        </w:rPr>
        <w:t>DECISIÓN</w:t>
      </w:r>
    </w:p>
    <w:p w14:paraId="20649FF0" w14:textId="77777777" w:rsidR="00622EA3" w:rsidRPr="00A96231" w:rsidRDefault="00622EA3" w:rsidP="00A96231">
      <w:pPr>
        <w:spacing w:line="276" w:lineRule="auto"/>
        <w:jc w:val="both"/>
        <w:rPr>
          <w:rFonts w:ascii="Gadugi" w:hAnsi="Gadugi"/>
          <w:sz w:val="24"/>
          <w:szCs w:val="24"/>
        </w:rPr>
      </w:pPr>
      <w:r w:rsidRPr="00A96231">
        <w:rPr>
          <w:rFonts w:ascii="Gadugi" w:hAnsi="Gadugi"/>
          <w:sz w:val="24"/>
          <w:szCs w:val="24"/>
        </w:rPr>
        <w:t xml:space="preserve">  </w:t>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p>
    <w:p w14:paraId="4F587AED" w14:textId="77777777" w:rsidR="00622EA3" w:rsidRPr="00A96231" w:rsidRDefault="00622EA3" w:rsidP="00A96231">
      <w:pPr>
        <w:spacing w:line="276" w:lineRule="auto"/>
        <w:jc w:val="both"/>
        <w:rPr>
          <w:rFonts w:ascii="Gadugi" w:hAnsi="Gadugi"/>
          <w:sz w:val="24"/>
          <w:szCs w:val="24"/>
        </w:rPr>
      </w:pP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r w:rsidRPr="00A96231">
        <w:rPr>
          <w:rFonts w:ascii="Gadugi" w:hAnsi="Gadugi"/>
          <w:sz w:val="24"/>
          <w:szCs w:val="24"/>
        </w:rPr>
        <w:tab/>
      </w:r>
    </w:p>
    <w:p w14:paraId="436CBF15" w14:textId="7063B6AC" w:rsidR="008C3403" w:rsidRPr="00A96231" w:rsidRDefault="00622EA3" w:rsidP="00A96231">
      <w:pPr>
        <w:spacing w:line="276" w:lineRule="auto"/>
        <w:ind w:firstLine="2835"/>
        <w:jc w:val="both"/>
        <w:rPr>
          <w:rFonts w:ascii="Gadugi" w:hAnsi="Gadugi" w:cs="Arial"/>
          <w:sz w:val="24"/>
          <w:szCs w:val="24"/>
          <w:lang w:val="es-419"/>
        </w:rPr>
      </w:pPr>
      <w:r w:rsidRPr="00A96231">
        <w:rPr>
          <w:rFonts w:ascii="Gadugi" w:hAnsi="Gadugi" w:cs="Arial"/>
          <w:sz w:val="24"/>
          <w:szCs w:val="24"/>
        </w:rPr>
        <w:t>En armonía con lo dicho, la Sala Civil Familia del Tribunal Superior de Pereira, administrando justicia en nombre de la República y por autoridad de la Ley,</w:t>
      </w:r>
      <w:r w:rsidRPr="00A96231">
        <w:rPr>
          <w:rFonts w:ascii="Gadugi" w:hAnsi="Gadugi" w:cs="Arial"/>
          <w:sz w:val="24"/>
          <w:szCs w:val="24"/>
          <w:lang w:val="es-419"/>
        </w:rPr>
        <w:t xml:space="preserve"> </w:t>
      </w:r>
      <w:r w:rsidR="00E2726D" w:rsidRPr="00A96231">
        <w:rPr>
          <w:rFonts w:ascii="Gadugi" w:hAnsi="Gadugi" w:cs="Arial"/>
          <w:b/>
          <w:sz w:val="24"/>
          <w:szCs w:val="24"/>
          <w:lang w:val="es-419"/>
        </w:rPr>
        <w:t>CONCEDE</w:t>
      </w:r>
      <w:r w:rsidR="008C3403" w:rsidRPr="00A96231">
        <w:rPr>
          <w:rFonts w:ascii="Gadugi" w:hAnsi="Gadugi" w:cs="Arial"/>
          <w:sz w:val="24"/>
          <w:szCs w:val="24"/>
          <w:lang w:val="es-419"/>
        </w:rPr>
        <w:t xml:space="preserve"> la presente acción de tutela</w:t>
      </w:r>
      <w:r w:rsidR="00E2726D" w:rsidRPr="00A96231">
        <w:rPr>
          <w:rFonts w:ascii="Gadugi" w:hAnsi="Gadugi" w:cs="Arial"/>
          <w:sz w:val="24"/>
          <w:szCs w:val="24"/>
          <w:lang w:val="es-419"/>
        </w:rPr>
        <w:t>. En consecuencia:</w:t>
      </w:r>
    </w:p>
    <w:p w14:paraId="3C63DB8C" w14:textId="5DEA5576" w:rsidR="00E2726D" w:rsidRPr="00A96231" w:rsidRDefault="00E2726D" w:rsidP="00A96231">
      <w:pPr>
        <w:spacing w:line="276" w:lineRule="auto"/>
        <w:ind w:firstLine="2835"/>
        <w:jc w:val="both"/>
        <w:rPr>
          <w:rFonts w:ascii="Gadugi" w:hAnsi="Gadugi" w:cs="Arial"/>
          <w:sz w:val="24"/>
          <w:szCs w:val="24"/>
          <w:lang w:val="es-419"/>
        </w:rPr>
      </w:pPr>
    </w:p>
    <w:p w14:paraId="4DBE5FFF" w14:textId="38F65963" w:rsidR="00622EA3" w:rsidRPr="00A96231" w:rsidRDefault="00E2726D" w:rsidP="00A96231">
      <w:pPr>
        <w:spacing w:line="276" w:lineRule="auto"/>
        <w:ind w:firstLine="2835"/>
        <w:jc w:val="both"/>
        <w:rPr>
          <w:rFonts w:ascii="Gadugi" w:hAnsi="Gadugi" w:cs="Arial"/>
          <w:sz w:val="24"/>
          <w:szCs w:val="24"/>
        </w:rPr>
      </w:pPr>
      <w:r w:rsidRPr="00A96231">
        <w:rPr>
          <w:rFonts w:ascii="Gadugi" w:hAnsi="Gadugi" w:cs="Arial"/>
          <w:sz w:val="24"/>
          <w:szCs w:val="24"/>
          <w:lang w:val="es-419"/>
        </w:rPr>
        <w:lastRenderedPageBreak/>
        <w:t xml:space="preserve">(i) Se </w:t>
      </w:r>
      <w:r w:rsidR="00A355BC" w:rsidRPr="00A96231">
        <w:rPr>
          <w:rFonts w:ascii="Gadugi" w:hAnsi="Gadugi" w:cs="Arial"/>
          <w:b/>
          <w:sz w:val="24"/>
          <w:szCs w:val="24"/>
          <w:lang w:val="es-419"/>
        </w:rPr>
        <w:t>DEJAN SIN EFECTO</w:t>
      </w:r>
      <w:r w:rsidR="00A355BC" w:rsidRPr="00A96231">
        <w:rPr>
          <w:rFonts w:ascii="Gadugi" w:hAnsi="Gadugi" w:cs="Arial"/>
          <w:sz w:val="24"/>
          <w:szCs w:val="24"/>
          <w:lang w:val="es-419"/>
        </w:rPr>
        <w:t xml:space="preserve">, </w:t>
      </w:r>
      <w:r w:rsidR="00C612DE" w:rsidRPr="00A96231">
        <w:rPr>
          <w:rFonts w:ascii="Gadugi" w:hAnsi="Gadugi" w:cs="Arial"/>
          <w:sz w:val="24"/>
          <w:szCs w:val="24"/>
        </w:rPr>
        <w:t>la decisión contenida en el numeral tercero del auto emitido el 27 de abril de 2021, y el proveído del 1° de junio de 2022 que la confirmó, dentro de la acción popular con radicado 2019-00189-00.</w:t>
      </w:r>
    </w:p>
    <w:p w14:paraId="339CC27F" w14:textId="2037B7BB" w:rsidR="00C612DE" w:rsidRPr="00A96231" w:rsidRDefault="00C612DE" w:rsidP="00A96231">
      <w:pPr>
        <w:spacing w:line="276" w:lineRule="auto"/>
        <w:ind w:firstLine="2835"/>
        <w:jc w:val="both"/>
        <w:rPr>
          <w:rFonts w:ascii="Gadugi" w:hAnsi="Gadugi" w:cs="Arial"/>
          <w:sz w:val="24"/>
          <w:szCs w:val="24"/>
          <w:lang w:val="es-CO"/>
        </w:rPr>
      </w:pPr>
    </w:p>
    <w:p w14:paraId="14905561" w14:textId="77777777" w:rsidR="00C612DE" w:rsidRPr="00A96231" w:rsidRDefault="00C612DE" w:rsidP="00A96231">
      <w:pPr>
        <w:spacing w:line="276" w:lineRule="auto"/>
        <w:ind w:firstLine="2835"/>
        <w:jc w:val="both"/>
        <w:rPr>
          <w:rFonts w:ascii="Gadugi" w:hAnsi="Gadugi" w:cs="Arial"/>
          <w:sz w:val="24"/>
          <w:szCs w:val="24"/>
          <w:lang w:val="es-CO"/>
        </w:rPr>
      </w:pPr>
    </w:p>
    <w:p w14:paraId="0B2E7E38" w14:textId="0FF9A3A2" w:rsidR="00A355BC" w:rsidRPr="00A96231" w:rsidRDefault="00A355BC" w:rsidP="00A96231">
      <w:pPr>
        <w:spacing w:line="276" w:lineRule="auto"/>
        <w:jc w:val="both"/>
        <w:rPr>
          <w:rFonts w:ascii="Gadugi" w:hAnsi="Gadugi" w:cs="Arial"/>
          <w:sz w:val="24"/>
          <w:szCs w:val="24"/>
          <w:lang w:val="es-CO"/>
        </w:rPr>
      </w:pPr>
      <w:r w:rsidRPr="00A96231">
        <w:rPr>
          <w:rFonts w:ascii="Gadugi" w:hAnsi="Gadugi" w:cs="Arial"/>
          <w:sz w:val="24"/>
          <w:szCs w:val="24"/>
          <w:lang w:val="es-CO"/>
        </w:rPr>
        <w:tab/>
      </w:r>
      <w:r w:rsidRPr="00A96231">
        <w:rPr>
          <w:rFonts w:ascii="Gadugi" w:hAnsi="Gadugi" w:cs="Arial"/>
          <w:sz w:val="24"/>
          <w:szCs w:val="24"/>
          <w:lang w:val="es-CO"/>
        </w:rPr>
        <w:tab/>
      </w:r>
      <w:r w:rsidRPr="00A96231">
        <w:rPr>
          <w:rFonts w:ascii="Gadugi" w:hAnsi="Gadugi" w:cs="Arial"/>
          <w:sz w:val="24"/>
          <w:szCs w:val="24"/>
          <w:lang w:val="es-CO"/>
        </w:rPr>
        <w:tab/>
      </w:r>
      <w:r w:rsidRPr="00A96231">
        <w:rPr>
          <w:rFonts w:ascii="Gadugi" w:hAnsi="Gadugi" w:cs="Arial"/>
          <w:sz w:val="24"/>
          <w:szCs w:val="24"/>
          <w:lang w:val="es-CO"/>
        </w:rPr>
        <w:tab/>
        <w:t xml:space="preserve">(ii) Se le </w:t>
      </w:r>
      <w:r w:rsidRPr="00A96231">
        <w:rPr>
          <w:rFonts w:ascii="Gadugi" w:hAnsi="Gadugi" w:cs="Arial"/>
          <w:b/>
          <w:sz w:val="24"/>
          <w:szCs w:val="24"/>
          <w:lang w:val="es-CO"/>
        </w:rPr>
        <w:t>ORDENA</w:t>
      </w:r>
      <w:r w:rsidRPr="00A96231">
        <w:rPr>
          <w:rFonts w:ascii="Gadugi" w:hAnsi="Gadugi" w:cs="Arial"/>
          <w:sz w:val="24"/>
          <w:szCs w:val="24"/>
          <w:lang w:val="es-CO"/>
        </w:rPr>
        <w:t xml:space="preserve"> al </w:t>
      </w:r>
      <w:r w:rsidRPr="00A96231">
        <w:rPr>
          <w:rFonts w:ascii="Gadugi" w:hAnsi="Gadugi" w:cs="Arial"/>
          <w:b/>
          <w:sz w:val="24"/>
          <w:szCs w:val="24"/>
          <w:lang w:val="es-CO"/>
        </w:rPr>
        <w:t xml:space="preserve">Juzgado </w:t>
      </w:r>
      <w:r w:rsidR="00C612DE" w:rsidRPr="00A96231">
        <w:rPr>
          <w:rFonts w:ascii="Gadugi" w:hAnsi="Gadugi" w:cs="Arial"/>
          <w:b/>
          <w:sz w:val="24"/>
          <w:szCs w:val="24"/>
          <w:lang w:val="es-CO"/>
        </w:rPr>
        <w:t>Quinto</w:t>
      </w:r>
      <w:r w:rsidRPr="00A96231">
        <w:rPr>
          <w:rFonts w:ascii="Gadugi" w:hAnsi="Gadugi" w:cs="Arial"/>
          <w:b/>
          <w:sz w:val="24"/>
          <w:szCs w:val="24"/>
          <w:lang w:val="es-CO"/>
        </w:rPr>
        <w:t xml:space="preserve"> Civil del Circuito </w:t>
      </w:r>
      <w:r w:rsidR="00C612DE" w:rsidRPr="00A96231">
        <w:rPr>
          <w:rFonts w:ascii="Gadugi" w:hAnsi="Gadugi" w:cs="Arial"/>
          <w:b/>
          <w:sz w:val="24"/>
          <w:szCs w:val="24"/>
          <w:lang w:val="es-CO"/>
        </w:rPr>
        <w:t>de Pereira</w:t>
      </w:r>
      <w:r w:rsidRPr="00A96231">
        <w:rPr>
          <w:rFonts w:ascii="Gadugi" w:hAnsi="Gadugi" w:cs="Arial"/>
          <w:sz w:val="24"/>
          <w:szCs w:val="24"/>
          <w:lang w:val="es-CO"/>
        </w:rPr>
        <w:t xml:space="preserve">, por conducto de su titular que, dentro del </w:t>
      </w:r>
      <w:r w:rsidR="00C612DE" w:rsidRPr="00A96231">
        <w:rPr>
          <w:rFonts w:ascii="Gadugi" w:hAnsi="Gadugi" w:cs="Arial"/>
          <w:sz w:val="24"/>
          <w:szCs w:val="24"/>
          <w:lang w:val="es-CO"/>
        </w:rPr>
        <w:t xml:space="preserve">referido </w:t>
      </w:r>
      <w:r w:rsidRPr="00A96231">
        <w:rPr>
          <w:rFonts w:ascii="Gadugi" w:hAnsi="Gadugi" w:cs="Arial"/>
          <w:sz w:val="24"/>
          <w:szCs w:val="24"/>
          <w:lang w:val="es-CO"/>
        </w:rPr>
        <w:t>proceso</w:t>
      </w:r>
      <w:r w:rsidR="00C612DE" w:rsidRPr="00A96231">
        <w:rPr>
          <w:rFonts w:ascii="Gadugi" w:hAnsi="Gadugi" w:cs="Arial"/>
          <w:sz w:val="24"/>
          <w:szCs w:val="24"/>
          <w:lang w:val="es-CO"/>
        </w:rPr>
        <w:t xml:space="preserve">, </w:t>
      </w:r>
      <w:r w:rsidR="001C74F7" w:rsidRPr="00A96231">
        <w:rPr>
          <w:rFonts w:ascii="Gadugi" w:hAnsi="Gadugi" w:cs="Arial"/>
          <w:sz w:val="24"/>
          <w:szCs w:val="24"/>
          <w:lang w:val="es-CO"/>
        </w:rPr>
        <w:t xml:space="preserve">tenga en cuenta los alegatos </w:t>
      </w:r>
      <w:r w:rsidR="00497AEF" w:rsidRPr="00A96231">
        <w:rPr>
          <w:rFonts w:ascii="Gadugi" w:hAnsi="Gadugi" w:cs="Arial"/>
          <w:sz w:val="24"/>
          <w:szCs w:val="24"/>
          <w:lang w:val="es-CO"/>
        </w:rPr>
        <w:t xml:space="preserve">presentados por </w:t>
      </w:r>
      <w:r w:rsidR="00C612DE" w:rsidRPr="00A96231">
        <w:rPr>
          <w:rFonts w:ascii="Gadugi" w:hAnsi="Gadugi" w:cs="Arial"/>
          <w:sz w:val="24"/>
          <w:szCs w:val="24"/>
          <w:lang w:val="es-CO"/>
        </w:rPr>
        <w:t xml:space="preserve">la Comercializadora Arturo Calle S.A.S., el 15 de febrero de 2021, </w:t>
      </w:r>
      <w:r w:rsidR="00497AEF" w:rsidRPr="00A96231">
        <w:rPr>
          <w:rFonts w:ascii="Gadugi" w:hAnsi="Gadugi" w:cs="Arial"/>
          <w:sz w:val="24"/>
          <w:szCs w:val="24"/>
          <w:lang w:val="es-CO"/>
        </w:rPr>
        <w:t xml:space="preserve">al momento de proferir el fallo respectivo. </w:t>
      </w:r>
    </w:p>
    <w:p w14:paraId="618CE990" w14:textId="77777777" w:rsidR="00A355BC" w:rsidRPr="00A96231" w:rsidRDefault="00A355BC" w:rsidP="00A96231">
      <w:pPr>
        <w:spacing w:line="276" w:lineRule="auto"/>
        <w:ind w:firstLine="2835"/>
        <w:jc w:val="both"/>
        <w:rPr>
          <w:rFonts w:ascii="Gadugi" w:hAnsi="Gadugi" w:cs="Arial"/>
          <w:sz w:val="24"/>
          <w:szCs w:val="24"/>
          <w:lang w:val="es-CO"/>
        </w:rPr>
      </w:pPr>
    </w:p>
    <w:p w14:paraId="1B75A3D0" w14:textId="686C848D" w:rsidR="00622EA3" w:rsidRPr="00A96231" w:rsidRDefault="00622EA3" w:rsidP="00A96231">
      <w:pPr>
        <w:spacing w:line="276" w:lineRule="auto"/>
        <w:ind w:right="51"/>
        <w:jc w:val="both"/>
        <w:rPr>
          <w:rFonts w:ascii="Gadugi" w:hAnsi="Gadugi" w:cs="Arial"/>
          <w:sz w:val="24"/>
          <w:szCs w:val="24"/>
          <w:lang w:val="es-CO"/>
        </w:rPr>
      </w:pPr>
      <w:r w:rsidRPr="00A96231">
        <w:rPr>
          <w:rFonts w:ascii="Gadugi" w:hAnsi="Gadugi" w:cs="Arial"/>
          <w:sz w:val="24"/>
          <w:szCs w:val="24"/>
        </w:rPr>
        <w:t xml:space="preserve">  </w:t>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r>
      <w:r w:rsidRPr="00A96231">
        <w:rPr>
          <w:rFonts w:ascii="Gadugi" w:hAnsi="Gadugi" w:cs="Arial"/>
          <w:sz w:val="24"/>
          <w:szCs w:val="24"/>
        </w:rPr>
        <w:tab/>
        <w:t>Notifíquese la decisión a las partes en la forma prevista en el artículo 5º del Decreto 306 de 1992</w:t>
      </w:r>
      <w:r w:rsidRPr="00A96231">
        <w:rPr>
          <w:rFonts w:ascii="Gadugi" w:hAnsi="Gadugi" w:cs="Arial"/>
          <w:sz w:val="24"/>
          <w:szCs w:val="24"/>
          <w:lang w:val="es-419"/>
        </w:rPr>
        <w:t>, y si no es impugnada</w:t>
      </w:r>
      <w:r w:rsidR="00A355BC" w:rsidRPr="00A96231">
        <w:rPr>
          <w:rFonts w:ascii="Gadugi" w:hAnsi="Gadugi" w:cs="Arial"/>
          <w:sz w:val="24"/>
          <w:szCs w:val="24"/>
          <w:lang w:val="es-419"/>
        </w:rPr>
        <w:t>,</w:t>
      </w:r>
      <w:r w:rsidRPr="00A96231">
        <w:rPr>
          <w:rFonts w:ascii="Gadugi" w:hAnsi="Gadugi" w:cs="Arial"/>
          <w:sz w:val="24"/>
          <w:szCs w:val="24"/>
          <w:lang w:val="es-419"/>
        </w:rPr>
        <w:t xml:space="preserve"> </w:t>
      </w:r>
      <w:r w:rsidR="00A355BC" w:rsidRPr="00A96231">
        <w:rPr>
          <w:rFonts w:ascii="Gadugi" w:hAnsi="Gadugi" w:cs="Arial"/>
          <w:sz w:val="24"/>
          <w:szCs w:val="24"/>
          <w:lang w:val="es-419"/>
        </w:rPr>
        <w:t>remítase</w:t>
      </w:r>
      <w:r w:rsidRPr="00A96231">
        <w:rPr>
          <w:rFonts w:ascii="Gadugi" w:hAnsi="Gadugi" w:cs="Arial"/>
          <w:sz w:val="24"/>
          <w:szCs w:val="24"/>
          <w:lang w:val="es-CO"/>
        </w:rPr>
        <w:t xml:space="preserve"> a la Corte Constitucional para su eventual revisión.</w:t>
      </w:r>
    </w:p>
    <w:p w14:paraId="0B1A24CD" w14:textId="77777777" w:rsidR="00622EA3" w:rsidRPr="00A96231" w:rsidRDefault="00622EA3" w:rsidP="00A96231">
      <w:pPr>
        <w:spacing w:line="276" w:lineRule="auto"/>
        <w:ind w:right="51"/>
        <w:jc w:val="both"/>
        <w:rPr>
          <w:rFonts w:ascii="Gadugi" w:hAnsi="Gadugi" w:cs="Arial"/>
          <w:sz w:val="24"/>
          <w:szCs w:val="24"/>
          <w:lang w:val="es-CO"/>
        </w:rPr>
      </w:pPr>
    </w:p>
    <w:p w14:paraId="050295D5" w14:textId="69623954" w:rsidR="00622EA3" w:rsidRPr="00A96231" w:rsidRDefault="00622EA3" w:rsidP="00A96231">
      <w:pPr>
        <w:spacing w:line="276" w:lineRule="auto"/>
        <w:ind w:firstLine="2835"/>
        <w:jc w:val="both"/>
        <w:rPr>
          <w:rFonts w:ascii="Gadugi" w:hAnsi="Gadugi" w:cs="Arial"/>
          <w:sz w:val="24"/>
          <w:szCs w:val="24"/>
          <w:lang w:val="es-CO"/>
        </w:rPr>
      </w:pPr>
      <w:r w:rsidRPr="00A96231">
        <w:rPr>
          <w:rFonts w:ascii="Gadugi" w:hAnsi="Gadugi" w:cs="Arial"/>
          <w:sz w:val="24"/>
          <w:szCs w:val="24"/>
          <w:lang w:val="es-CO"/>
        </w:rPr>
        <w:t>A su regreso, archívese el expediente</w:t>
      </w:r>
      <w:r w:rsidRPr="00A96231">
        <w:rPr>
          <w:rFonts w:ascii="Gadugi" w:hAnsi="Gadugi" w:cs="Arial"/>
          <w:sz w:val="24"/>
          <w:szCs w:val="24"/>
          <w:lang w:val="es-419"/>
        </w:rPr>
        <w:t>.</w:t>
      </w:r>
      <w:r w:rsidRPr="00A96231">
        <w:rPr>
          <w:rFonts w:ascii="Gadugi" w:hAnsi="Gadugi" w:cs="Arial"/>
          <w:sz w:val="24"/>
          <w:szCs w:val="24"/>
          <w:lang w:val="es-CO"/>
        </w:rPr>
        <w:t xml:space="preserve"> </w:t>
      </w:r>
    </w:p>
    <w:p w14:paraId="046AEFCE" w14:textId="77777777" w:rsidR="00CA22AE" w:rsidRPr="00A96231" w:rsidRDefault="00CA22AE" w:rsidP="00A96231">
      <w:pPr>
        <w:spacing w:line="276" w:lineRule="auto"/>
        <w:ind w:firstLine="2835"/>
        <w:jc w:val="both"/>
        <w:rPr>
          <w:rFonts w:ascii="Gadugi" w:hAnsi="Gadugi" w:cs="Arial"/>
          <w:sz w:val="24"/>
          <w:szCs w:val="24"/>
          <w:lang w:val="es-CO"/>
        </w:rPr>
      </w:pPr>
    </w:p>
    <w:p w14:paraId="1ADF31BE" w14:textId="77777777" w:rsidR="00622EA3" w:rsidRPr="00A96231" w:rsidRDefault="00622EA3" w:rsidP="00A96231">
      <w:pPr>
        <w:spacing w:line="276" w:lineRule="auto"/>
        <w:ind w:firstLine="2835"/>
        <w:jc w:val="both"/>
        <w:rPr>
          <w:rFonts w:ascii="Gadugi" w:hAnsi="Gadugi" w:cs="Arial"/>
          <w:bCs/>
          <w:sz w:val="24"/>
          <w:szCs w:val="24"/>
        </w:rPr>
      </w:pPr>
      <w:r w:rsidRPr="00A96231">
        <w:rPr>
          <w:rFonts w:ascii="Gadugi" w:hAnsi="Gadugi" w:cs="Arial"/>
          <w:bCs/>
          <w:sz w:val="24"/>
          <w:szCs w:val="24"/>
        </w:rPr>
        <w:t>Los Magistrados,</w:t>
      </w:r>
    </w:p>
    <w:p w14:paraId="401798F6" w14:textId="34FA9D50" w:rsidR="009F21F9" w:rsidRPr="00A96231" w:rsidRDefault="009F21F9" w:rsidP="00A96231">
      <w:pPr>
        <w:spacing w:line="276" w:lineRule="auto"/>
        <w:ind w:firstLine="2835"/>
        <w:jc w:val="both"/>
        <w:rPr>
          <w:rFonts w:ascii="Gadugi" w:hAnsi="Gadugi" w:cs="Arial"/>
          <w:b/>
          <w:sz w:val="24"/>
          <w:szCs w:val="24"/>
        </w:rPr>
      </w:pPr>
    </w:p>
    <w:p w14:paraId="0D71DB09" w14:textId="77777777" w:rsidR="002C1510" w:rsidRPr="00A96231" w:rsidRDefault="002C1510" w:rsidP="00A96231">
      <w:pPr>
        <w:spacing w:line="276" w:lineRule="auto"/>
        <w:ind w:firstLine="2835"/>
        <w:jc w:val="both"/>
        <w:rPr>
          <w:rFonts w:ascii="Gadugi" w:hAnsi="Gadugi" w:cs="Arial"/>
          <w:b/>
          <w:sz w:val="24"/>
          <w:szCs w:val="24"/>
        </w:rPr>
      </w:pPr>
    </w:p>
    <w:p w14:paraId="082F30D6" w14:textId="6F0EFE8A" w:rsidR="00622EA3" w:rsidRPr="00A96231" w:rsidRDefault="00622EA3" w:rsidP="00A96231">
      <w:pPr>
        <w:spacing w:line="276" w:lineRule="auto"/>
        <w:ind w:firstLine="2835"/>
        <w:jc w:val="both"/>
        <w:rPr>
          <w:rFonts w:ascii="Gadugi" w:hAnsi="Gadugi" w:cs="Arial"/>
          <w:b/>
          <w:sz w:val="24"/>
          <w:szCs w:val="24"/>
        </w:rPr>
      </w:pPr>
      <w:r w:rsidRPr="00A96231">
        <w:rPr>
          <w:rFonts w:ascii="Gadugi" w:hAnsi="Gadugi" w:cs="Arial"/>
          <w:b/>
          <w:sz w:val="24"/>
          <w:szCs w:val="24"/>
        </w:rPr>
        <w:t>JAIME ALBERTO SARAZA NARANJO</w:t>
      </w:r>
    </w:p>
    <w:p w14:paraId="5D00A67C" w14:textId="512ABC71" w:rsidR="003A347D" w:rsidRDefault="003A347D" w:rsidP="00A96231">
      <w:pPr>
        <w:spacing w:line="276" w:lineRule="auto"/>
        <w:jc w:val="both"/>
        <w:rPr>
          <w:rFonts w:ascii="Gadugi" w:hAnsi="Gadugi" w:cs="Arial"/>
          <w:b/>
          <w:sz w:val="24"/>
          <w:szCs w:val="24"/>
        </w:rPr>
      </w:pPr>
    </w:p>
    <w:p w14:paraId="6F8C25D2" w14:textId="77777777" w:rsidR="00A96231" w:rsidRPr="00A96231" w:rsidRDefault="00A96231" w:rsidP="00A96231">
      <w:pPr>
        <w:spacing w:line="276" w:lineRule="auto"/>
        <w:jc w:val="both"/>
        <w:rPr>
          <w:rFonts w:ascii="Gadugi" w:hAnsi="Gadugi" w:cs="Arial"/>
          <w:b/>
          <w:sz w:val="24"/>
          <w:szCs w:val="24"/>
        </w:rPr>
      </w:pPr>
    </w:p>
    <w:p w14:paraId="0C673954" w14:textId="3B8A0FA6" w:rsidR="00AE58D7" w:rsidRPr="00A96231" w:rsidRDefault="00AE58D7" w:rsidP="00A96231">
      <w:pPr>
        <w:spacing w:line="276" w:lineRule="auto"/>
        <w:jc w:val="both"/>
        <w:rPr>
          <w:rFonts w:ascii="Gadugi" w:hAnsi="Gadugi" w:cs="Arial"/>
          <w:b/>
          <w:bCs/>
          <w:sz w:val="24"/>
          <w:szCs w:val="24"/>
        </w:rPr>
      </w:pPr>
      <w:r w:rsidRPr="00A96231">
        <w:rPr>
          <w:rFonts w:ascii="Gadugi" w:hAnsi="Gadugi" w:cs="Arial"/>
          <w:b/>
          <w:sz w:val="24"/>
          <w:szCs w:val="24"/>
        </w:rPr>
        <w:tab/>
      </w:r>
      <w:r w:rsidRPr="00A96231">
        <w:rPr>
          <w:rFonts w:ascii="Gadugi" w:hAnsi="Gadugi" w:cs="Arial"/>
          <w:b/>
          <w:sz w:val="24"/>
          <w:szCs w:val="24"/>
        </w:rPr>
        <w:tab/>
      </w:r>
      <w:r w:rsidRPr="00A96231">
        <w:rPr>
          <w:rFonts w:ascii="Gadugi" w:hAnsi="Gadugi" w:cs="Arial"/>
          <w:b/>
          <w:sz w:val="24"/>
          <w:szCs w:val="24"/>
        </w:rPr>
        <w:tab/>
      </w:r>
      <w:r w:rsidRPr="00A96231">
        <w:rPr>
          <w:rFonts w:ascii="Gadugi" w:hAnsi="Gadugi" w:cs="Arial"/>
          <w:b/>
          <w:sz w:val="24"/>
          <w:szCs w:val="24"/>
        </w:rPr>
        <w:tab/>
      </w:r>
      <w:r w:rsidR="00622EA3" w:rsidRPr="00A96231">
        <w:rPr>
          <w:rFonts w:ascii="Gadugi" w:hAnsi="Gadugi" w:cs="Arial"/>
          <w:b/>
          <w:bCs/>
          <w:sz w:val="24"/>
          <w:szCs w:val="24"/>
        </w:rPr>
        <w:t>CARLOS MAURICIO GARCÍA BARAJAS</w:t>
      </w:r>
    </w:p>
    <w:p w14:paraId="19AFBAB6" w14:textId="6E93E345" w:rsidR="00A355BC" w:rsidRDefault="00A355BC" w:rsidP="00A96231">
      <w:pPr>
        <w:spacing w:line="276" w:lineRule="auto"/>
        <w:jc w:val="both"/>
        <w:rPr>
          <w:rFonts w:ascii="Gadugi" w:hAnsi="Gadugi" w:cs="Arial"/>
          <w:b/>
          <w:bCs/>
          <w:sz w:val="24"/>
          <w:szCs w:val="24"/>
        </w:rPr>
      </w:pPr>
    </w:p>
    <w:p w14:paraId="3A82C32E" w14:textId="77777777" w:rsidR="00A96231" w:rsidRPr="00A96231" w:rsidRDefault="00A96231" w:rsidP="00A96231">
      <w:pPr>
        <w:spacing w:line="276" w:lineRule="auto"/>
        <w:jc w:val="both"/>
        <w:rPr>
          <w:rFonts w:ascii="Gadugi" w:hAnsi="Gadugi" w:cs="Arial"/>
          <w:b/>
          <w:bCs/>
          <w:sz w:val="24"/>
          <w:szCs w:val="24"/>
        </w:rPr>
      </w:pPr>
    </w:p>
    <w:p w14:paraId="112D81C8" w14:textId="458691F4" w:rsidR="00CA1642" w:rsidRPr="00A96231" w:rsidRDefault="00A355BC" w:rsidP="00A96231">
      <w:pPr>
        <w:spacing w:line="276" w:lineRule="auto"/>
        <w:jc w:val="both"/>
        <w:rPr>
          <w:rFonts w:ascii="Gadugi" w:hAnsi="Gadugi" w:cs="Arial"/>
          <w:b/>
          <w:bCs/>
          <w:sz w:val="24"/>
          <w:szCs w:val="24"/>
        </w:rPr>
      </w:pPr>
      <w:r w:rsidRPr="00A96231">
        <w:rPr>
          <w:rFonts w:ascii="Gadugi" w:hAnsi="Gadugi" w:cs="Arial"/>
          <w:b/>
          <w:bCs/>
          <w:sz w:val="24"/>
          <w:szCs w:val="24"/>
        </w:rPr>
        <w:tab/>
      </w:r>
      <w:r w:rsidRPr="00A96231">
        <w:rPr>
          <w:rFonts w:ascii="Gadugi" w:hAnsi="Gadugi" w:cs="Arial"/>
          <w:b/>
          <w:bCs/>
          <w:sz w:val="24"/>
          <w:szCs w:val="24"/>
        </w:rPr>
        <w:tab/>
      </w:r>
      <w:r w:rsidRPr="00A96231">
        <w:rPr>
          <w:rFonts w:ascii="Gadugi" w:hAnsi="Gadugi" w:cs="Arial"/>
          <w:b/>
          <w:bCs/>
          <w:sz w:val="24"/>
          <w:szCs w:val="24"/>
        </w:rPr>
        <w:tab/>
      </w:r>
      <w:r w:rsidRPr="00A96231">
        <w:rPr>
          <w:rFonts w:ascii="Gadugi" w:hAnsi="Gadugi" w:cs="Arial"/>
          <w:b/>
          <w:bCs/>
          <w:sz w:val="24"/>
          <w:szCs w:val="24"/>
        </w:rPr>
        <w:tab/>
        <w:t>DUBERNEY GRSALES HERRERA</w:t>
      </w:r>
    </w:p>
    <w:sectPr w:rsidR="00CA1642" w:rsidRPr="00A96231" w:rsidSect="00A96231">
      <w:headerReference w:type="default" r:id="rId14"/>
      <w:footerReference w:type="default" r:id="rId15"/>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2FC1DE" w16cex:dateUtc="2022-07-28T20:06:41.064Z"/>
  <w16cex:commentExtensible w16cex:durableId="01FA47D7" w16cex:dateUtc="2022-07-28T20:15:27.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E6BF" w14:textId="77777777" w:rsidR="00B34502" w:rsidRDefault="00B34502" w:rsidP="00CD73E5">
      <w:r>
        <w:separator/>
      </w:r>
    </w:p>
  </w:endnote>
  <w:endnote w:type="continuationSeparator" w:id="0">
    <w:p w14:paraId="3E985F7A" w14:textId="77777777" w:rsidR="00B34502" w:rsidRDefault="00B34502"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6B6471" w:rsidRPr="00590C34" w:rsidRDefault="006B6471">
    <w:pPr>
      <w:pStyle w:val="Piedepgina"/>
      <w:framePr w:wrap="auto" w:vAnchor="text" w:hAnchor="margin" w:xAlign="right" w:y="1"/>
      <w:rPr>
        <w:rStyle w:val="Nmerodepgina"/>
        <w:rFonts w:ascii="Agency FB" w:hAnsi="Agency FB"/>
      </w:rPr>
    </w:pPr>
    <w:r w:rsidRPr="00590C34">
      <w:rPr>
        <w:rStyle w:val="Nmerodepgina"/>
        <w:rFonts w:ascii="Agency FB" w:hAnsi="Agency FB"/>
      </w:rPr>
      <w:fldChar w:fldCharType="begin"/>
    </w:r>
    <w:r w:rsidRPr="00590C34">
      <w:rPr>
        <w:rStyle w:val="Nmerodepgina"/>
        <w:rFonts w:ascii="Agency FB" w:hAnsi="Agency FB"/>
      </w:rPr>
      <w:instrText xml:space="preserve">PAGE  </w:instrText>
    </w:r>
    <w:r w:rsidRPr="00590C34">
      <w:rPr>
        <w:rStyle w:val="Nmerodepgina"/>
        <w:rFonts w:ascii="Agency FB" w:hAnsi="Agency FB"/>
      </w:rPr>
      <w:fldChar w:fldCharType="separate"/>
    </w:r>
    <w:r w:rsidRPr="00590C34">
      <w:rPr>
        <w:rStyle w:val="Nmerodepgina"/>
        <w:rFonts w:ascii="Agency FB" w:hAnsi="Agency FB"/>
        <w:noProof/>
      </w:rPr>
      <w:t>5</w:t>
    </w:r>
    <w:r w:rsidRPr="00590C34">
      <w:rPr>
        <w:rStyle w:val="Nmerodepgina"/>
        <w:rFonts w:ascii="Agency FB" w:hAnsi="Agency FB"/>
      </w:rPr>
      <w:fldChar w:fldCharType="end"/>
    </w:r>
  </w:p>
  <w:p w14:paraId="51C0B288" w14:textId="77777777" w:rsidR="006B6471" w:rsidRDefault="006B647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7D99" w14:textId="77777777" w:rsidR="00B34502" w:rsidRDefault="00B34502" w:rsidP="00CD73E5">
      <w:r>
        <w:separator/>
      </w:r>
    </w:p>
  </w:footnote>
  <w:footnote w:type="continuationSeparator" w:id="0">
    <w:p w14:paraId="3EA25E2C" w14:textId="77777777" w:rsidR="00B34502" w:rsidRDefault="00B34502" w:rsidP="00CD73E5">
      <w:r>
        <w:continuationSeparator/>
      </w:r>
    </w:p>
  </w:footnote>
  <w:footnote w:id="1">
    <w:p w14:paraId="265F42DA" w14:textId="570CCCD0"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02.</w:t>
      </w:r>
    </w:p>
  </w:footnote>
  <w:footnote w:id="2">
    <w:p w14:paraId="76D6FF14" w14:textId="41C2AE87"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07.</w:t>
      </w:r>
    </w:p>
  </w:footnote>
  <w:footnote w:id="3">
    <w:p w14:paraId="647B3542" w14:textId="5E6B231A"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11.</w:t>
      </w:r>
    </w:p>
  </w:footnote>
  <w:footnote w:id="4">
    <w:p w14:paraId="4462C15B" w14:textId="117F88D3"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13.</w:t>
      </w:r>
    </w:p>
  </w:footnote>
  <w:footnote w:id="5">
    <w:p w14:paraId="6AFB347E" w14:textId="055DE5A8"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19.</w:t>
      </w:r>
    </w:p>
  </w:footnote>
  <w:footnote w:id="6">
    <w:p w14:paraId="7A655FF9" w14:textId="01BA49C0"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20.</w:t>
      </w:r>
    </w:p>
  </w:footnote>
  <w:footnote w:id="7">
    <w:p w14:paraId="79B81A97" w14:textId="0B7BAC1C"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21.</w:t>
      </w:r>
    </w:p>
  </w:footnote>
  <w:footnote w:id="8">
    <w:p w14:paraId="2AF7C013" w14:textId="77777777" w:rsidR="006B6471" w:rsidRPr="00590C34" w:rsidRDefault="006B6471" w:rsidP="00590C34">
      <w:pPr>
        <w:pStyle w:val="Textonotapie"/>
        <w:tabs>
          <w:tab w:val="left" w:pos="426"/>
        </w:tabs>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vertAlign w:val="superscript"/>
        </w:rPr>
        <w:t xml:space="preserve"> </w:t>
      </w:r>
      <w:r w:rsidRPr="00590C34">
        <w:rPr>
          <w:rFonts w:ascii="Agency FB" w:hAnsi="Agency FB"/>
          <w:szCs w:val="24"/>
        </w:rPr>
        <w:t>Sentencia C-543-92</w:t>
      </w:r>
    </w:p>
  </w:footnote>
  <w:footnote w:id="9">
    <w:p w14:paraId="1A0EFB73" w14:textId="1925043B"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03.</w:t>
      </w:r>
    </w:p>
  </w:footnote>
  <w:footnote w:id="10">
    <w:p w14:paraId="37262CE8" w14:textId="03570449"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 xml:space="preserve">Documento 71. Expediente acción popular. </w:t>
      </w:r>
    </w:p>
  </w:footnote>
  <w:footnote w:id="11">
    <w:p w14:paraId="4C86B739" w14:textId="50C3B21D"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05.</w:t>
      </w:r>
    </w:p>
  </w:footnote>
  <w:footnote w:id="12">
    <w:p w14:paraId="3274F96B" w14:textId="4FAFDCC4"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 xml:space="preserve">Documento 67., Expediente acción popular. </w:t>
      </w:r>
    </w:p>
  </w:footnote>
  <w:footnote w:id="13">
    <w:p w14:paraId="3A931E5E" w14:textId="77777777"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Sentencia T-367/18</w:t>
      </w:r>
    </w:p>
  </w:footnote>
  <w:footnote w:id="14">
    <w:p w14:paraId="4A7D1019" w14:textId="7FAA3E74"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59., Expediente acción popular.</w:t>
      </w:r>
    </w:p>
  </w:footnote>
  <w:footnote w:id="15">
    <w:p w14:paraId="25937021" w14:textId="3D56F716"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64., Expediente acción popular.</w:t>
      </w:r>
    </w:p>
  </w:footnote>
  <w:footnote w:id="16">
    <w:p w14:paraId="79008184" w14:textId="10983169"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67., Expediente acción popular.</w:t>
      </w:r>
    </w:p>
  </w:footnote>
  <w:footnote w:id="17">
    <w:p w14:paraId="1F9E7170" w14:textId="5E165CB2" w:rsidR="006B6471" w:rsidRPr="00590C34" w:rsidRDefault="006B6471"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w:t>
      </w:r>
      <w:r w:rsidRPr="00590C34">
        <w:rPr>
          <w:rFonts w:ascii="Agency FB" w:hAnsi="Agency FB"/>
          <w:szCs w:val="24"/>
          <w:lang w:val="es-CO"/>
        </w:rPr>
        <w:t>Documento 71., Expediente acción popular.</w:t>
      </w:r>
    </w:p>
  </w:footnote>
  <w:footnote w:id="18">
    <w:p w14:paraId="4EC12323" w14:textId="0024B73D" w:rsidR="002613B5" w:rsidRPr="00590C34" w:rsidRDefault="002613B5" w:rsidP="00590C34">
      <w:pPr>
        <w:pStyle w:val="Textonotapie"/>
        <w:jc w:val="both"/>
        <w:rPr>
          <w:rFonts w:ascii="Agency FB" w:hAnsi="Agency FB"/>
          <w:szCs w:val="24"/>
          <w:lang w:val="es-CO"/>
        </w:rPr>
      </w:pPr>
      <w:r w:rsidRPr="00590C34">
        <w:rPr>
          <w:rStyle w:val="Refdenotaalpie"/>
          <w:rFonts w:ascii="Agency FB" w:hAnsi="Agency FB"/>
          <w:szCs w:val="24"/>
        </w:rPr>
        <w:footnoteRef/>
      </w:r>
      <w:r w:rsidRPr="00590C34">
        <w:rPr>
          <w:rFonts w:ascii="Agency FB" w:hAnsi="Agency FB"/>
          <w:szCs w:val="24"/>
        </w:rPr>
        <w:t xml:space="preserve"> Auto. AC1740-2019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6B6471" w:rsidRDefault="006B647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C1"/>
    <w:multiLevelType w:val="hybridMultilevel"/>
    <w:tmpl w:val="681A417E"/>
    <w:lvl w:ilvl="0" w:tplc="49B61F12">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04344"/>
    <w:rsid w:val="000108E4"/>
    <w:rsid w:val="0001094C"/>
    <w:rsid w:val="000222F5"/>
    <w:rsid w:val="000412C9"/>
    <w:rsid w:val="00041D47"/>
    <w:rsid w:val="00042088"/>
    <w:rsid w:val="000439A4"/>
    <w:rsid w:val="000460AE"/>
    <w:rsid w:val="000568A3"/>
    <w:rsid w:val="00061E67"/>
    <w:rsid w:val="00064E9E"/>
    <w:rsid w:val="00066D3E"/>
    <w:rsid w:val="000676BA"/>
    <w:rsid w:val="00071B57"/>
    <w:rsid w:val="00072F3A"/>
    <w:rsid w:val="00073027"/>
    <w:rsid w:val="00082968"/>
    <w:rsid w:val="00083F6F"/>
    <w:rsid w:val="00091497"/>
    <w:rsid w:val="00094044"/>
    <w:rsid w:val="00095C04"/>
    <w:rsid w:val="000A02B8"/>
    <w:rsid w:val="000A6C3A"/>
    <w:rsid w:val="000B1515"/>
    <w:rsid w:val="000C0169"/>
    <w:rsid w:val="000C1EAF"/>
    <w:rsid w:val="000D07BF"/>
    <w:rsid w:val="000D165B"/>
    <w:rsid w:val="000D1EAA"/>
    <w:rsid w:val="000D49F8"/>
    <w:rsid w:val="000D72C6"/>
    <w:rsid w:val="000E177B"/>
    <w:rsid w:val="000E4189"/>
    <w:rsid w:val="000E4D42"/>
    <w:rsid w:val="000E4F08"/>
    <w:rsid w:val="000F189F"/>
    <w:rsid w:val="000F1C02"/>
    <w:rsid w:val="000F4F93"/>
    <w:rsid w:val="000F5D3D"/>
    <w:rsid w:val="0010491D"/>
    <w:rsid w:val="00104F3A"/>
    <w:rsid w:val="0010676D"/>
    <w:rsid w:val="00112AC6"/>
    <w:rsid w:val="001145C2"/>
    <w:rsid w:val="001200C9"/>
    <w:rsid w:val="001215F1"/>
    <w:rsid w:val="001217B9"/>
    <w:rsid w:val="00123442"/>
    <w:rsid w:val="001242AD"/>
    <w:rsid w:val="001247B9"/>
    <w:rsid w:val="001304EA"/>
    <w:rsid w:val="001312D4"/>
    <w:rsid w:val="00132C6C"/>
    <w:rsid w:val="001355B9"/>
    <w:rsid w:val="0013748A"/>
    <w:rsid w:val="00144607"/>
    <w:rsid w:val="001456E2"/>
    <w:rsid w:val="00152BB5"/>
    <w:rsid w:val="00153968"/>
    <w:rsid w:val="001628B3"/>
    <w:rsid w:val="001644BC"/>
    <w:rsid w:val="00164BAD"/>
    <w:rsid w:val="00167505"/>
    <w:rsid w:val="00167C1B"/>
    <w:rsid w:val="0017328F"/>
    <w:rsid w:val="001812A1"/>
    <w:rsid w:val="00184157"/>
    <w:rsid w:val="00184DA0"/>
    <w:rsid w:val="00186126"/>
    <w:rsid w:val="001870A4"/>
    <w:rsid w:val="001920FD"/>
    <w:rsid w:val="001924A5"/>
    <w:rsid w:val="00193310"/>
    <w:rsid w:val="00195D64"/>
    <w:rsid w:val="00197B6A"/>
    <w:rsid w:val="001A134E"/>
    <w:rsid w:val="001A46A3"/>
    <w:rsid w:val="001A6C2E"/>
    <w:rsid w:val="001A6E73"/>
    <w:rsid w:val="001C1144"/>
    <w:rsid w:val="001C1543"/>
    <w:rsid w:val="001C21AB"/>
    <w:rsid w:val="001C401E"/>
    <w:rsid w:val="001C4FAC"/>
    <w:rsid w:val="001C62C3"/>
    <w:rsid w:val="001C74F7"/>
    <w:rsid w:val="001D7EF0"/>
    <w:rsid w:val="001E0739"/>
    <w:rsid w:val="001E4638"/>
    <w:rsid w:val="001E7213"/>
    <w:rsid w:val="001F0D45"/>
    <w:rsid w:val="001F6C80"/>
    <w:rsid w:val="0020061A"/>
    <w:rsid w:val="00201343"/>
    <w:rsid w:val="002030E2"/>
    <w:rsid w:val="0020386E"/>
    <w:rsid w:val="0021665D"/>
    <w:rsid w:val="00217CBF"/>
    <w:rsid w:val="002245DD"/>
    <w:rsid w:val="00224ED5"/>
    <w:rsid w:val="00224F77"/>
    <w:rsid w:val="00227E21"/>
    <w:rsid w:val="00231DD2"/>
    <w:rsid w:val="00232AE3"/>
    <w:rsid w:val="00232F65"/>
    <w:rsid w:val="00233DDD"/>
    <w:rsid w:val="00235AF5"/>
    <w:rsid w:val="00240A24"/>
    <w:rsid w:val="002452B5"/>
    <w:rsid w:val="00245B9F"/>
    <w:rsid w:val="00253C0F"/>
    <w:rsid w:val="00254040"/>
    <w:rsid w:val="00254315"/>
    <w:rsid w:val="00254CA3"/>
    <w:rsid w:val="00254ECB"/>
    <w:rsid w:val="00260FD5"/>
    <w:rsid w:val="002613B5"/>
    <w:rsid w:val="00261ADD"/>
    <w:rsid w:val="002621F6"/>
    <w:rsid w:val="002623D4"/>
    <w:rsid w:val="0027127C"/>
    <w:rsid w:val="002722F9"/>
    <w:rsid w:val="00276D0E"/>
    <w:rsid w:val="00285265"/>
    <w:rsid w:val="00286746"/>
    <w:rsid w:val="00287908"/>
    <w:rsid w:val="00291170"/>
    <w:rsid w:val="002916DB"/>
    <w:rsid w:val="002A13BB"/>
    <w:rsid w:val="002A2B38"/>
    <w:rsid w:val="002A79BC"/>
    <w:rsid w:val="002B2D36"/>
    <w:rsid w:val="002C07C2"/>
    <w:rsid w:val="002C1510"/>
    <w:rsid w:val="002C168E"/>
    <w:rsid w:val="002C2AD5"/>
    <w:rsid w:val="002C2D8D"/>
    <w:rsid w:val="002C41EF"/>
    <w:rsid w:val="002C4C8A"/>
    <w:rsid w:val="002C6530"/>
    <w:rsid w:val="002D1942"/>
    <w:rsid w:val="002D2DB6"/>
    <w:rsid w:val="002D3885"/>
    <w:rsid w:val="002E0B7F"/>
    <w:rsid w:val="002E0E95"/>
    <w:rsid w:val="002E1E18"/>
    <w:rsid w:val="002E6434"/>
    <w:rsid w:val="002F1B01"/>
    <w:rsid w:val="002F4460"/>
    <w:rsid w:val="002F7F4F"/>
    <w:rsid w:val="00300E4C"/>
    <w:rsid w:val="0030149B"/>
    <w:rsid w:val="0030320A"/>
    <w:rsid w:val="003049BB"/>
    <w:rsid w:val="00304D7B"/>
    <w:rsid w:val="00306C9C"/>
    <w:rsid w:val="003127B8"/>
    <w:rsid w:val="00312B3F"/>
    <w:rsid w:val="00312F65"/>
    <w:rsid w:val="00314B51"/>
    <w:rsid w:val="00323452"/>
    <w:rsid w:val="00333CF4"/>
    <w:rsid w:val="00334BA2"/>
    <w:rsid w:val="00343C64"/>
    <w:rsid w:val="003453F3"/>
    <w:rsid w:val="0034685F"/>
    <w:rsid w:val="00352AEF"/>
    <w:rsid w:val="003538FF"/>
    <w:rsid w:val="0036170A"/>
    <w:rsid w:val="003664F0"/>
    <w:rsid w:val="00367871"/>
    <w:rsid w:val="00367F04"/>
    <w:rsid w:val="00372B17"/>
    <w:rsid w:val="003774F9"/>
    <w:rsid w:val="00384216"/>
    <w:rsid w:val="00385AAE"/>
    <w:rsid w:val="00387AE2"/>
    <w:rsid w:val="00387C4E"/>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D6FE4"/>
    <w:rsid w:val="003E5B22"/>
    <w:rsid w:val="003E5C4B"/>
    <w:rsid w:val="003F0EBB"/>
    <w:rsid w:val="003F378D"/>
    <w:rsid w:val="003F45D8"/>
    <w:rsid w:val="003F5B8E"/>
    <w:rsid w:val="004041EC"/>
    <w:rsid w:val="00405635"/>
    <w:rsid w:val="0041227C"/>
    <w:rsid w:val="00412DDB"/>
    <w:rsid w:val="004159C6"/>
    <w:rsid w:val="00416B12"/>
    <w:rsid w:val="00417307"/>
    <w:rsid w:val="00417FDE"/>
    <w:rsid w:val="00421D19"/>
    <w:rsid w:val="00422527"/>
    <w:rsid w:val="00424BF8"/>
    <w:rsid w:val="00426B0C"/>
    <w:rsid w:val="004322F0"/>
    <w:rsid w:val="0043509E"/>
    <w:rsid w:val="00436A51"/>
    <w:rsid w:val="0044045C"/>
    <w:rsid w:val="0044444E"/>
    <w:rsid w:val="0044480D"/>
    <w:rsid w:val="00444E53"/>
    <w:rsid w:val="00451F7F"/>
    <w:rsid w:val="004526DA"/>
    <w:rsid w:val="00460E1E"/>
    <w:rsid w:val="00464776"/>
    <w:rsid w:val="004659D1"/>
    <w:rsid w:val="0047092A"/>
    <w:rsid w:val="00470CCC"/>
    <w:rsid w:val="0047610A"/>
    <w:rsid w:val="0048403A"/>
    <w:rsid w:val="00491C8D"/>
    <w:rsid w:val="00496CF1"/>
    <w:rsid w:val="00497AEF"/>
    <w:rsid w:val="004A161D"/>
    <w:rsid w:val="004A1CCE"/>
    <w:rsid w:val="004A6B4E"/>
    <w:rsid w:val="004A6EA8"/>
    <w:rsid w:val="004B708A"/>
    <w:rsid w:val="004B75F7"/>
    <w:rsid w:val="004D029D"/>
    <w:rsid w:val="004D0A58"/>
    <w:rsid w:val="004D0DB1"/>
    <w:rsid w:val="004D2BBE"/>
    <w:rsid w:val="004D3E0D"/>
    <w:rsid w:val="004D5085"/>
    <w:rsid w:val="004E25CC"/>
    <w:rsid w:val="004E35A9"/>
    <w:rsid w:val="004E4BF5"/>
    <w:rsid w:val="004E6AE1"/>
    <w:rsid w:val="004E7E04"/>
    <w:rsid w:val="004F1F88"/>
    <w:rsid w:val="004F22BB"/>
    <w:rsid w:val="004F2C3D"/>
    <w:rsid w:val="004F56B7"/>
    <w:rsid w:val="00504EF2"/>
    <w:rsid w:val="00507912"/>
    <w:rsid w:val="00511613"/>
    <w:rsid w:val="00511D1E"/>
    <w:rsid w:val="00522667"/>
    <w:rsid w:val="005257D0"/>
    <w:rsid w:val="00526F23"/>
    <w:rsid w:val="005279F6"/>
    <w:rsid w:val="00540152"/>
    <w:rsid w:val="00543A5E"/>
    <w:rsid w:val="00544118"/>
    <w:rsid w:val="00552BB7"/>
    <w:rsid w:val="005559ED"/>
    <w:rsid w:val="00560147"/>
    <w:rsid w:val="00564DDB"/>
    <w:rsid w:val="00570FFC"/>
    <w:rsid w:val="00572578"/>
    <w:rsid w:val="005729AD"/>
    <w:rsid w:val="00573BA8"/>
    <w:rsid w:val="00574A34"/>
    <w:rsid w:val="005768F7"/>
    <w:rsid w:val="00584980"/>
    <w:rsid w:val="00585313"/>
    <w:rsid w:val="00590C34"/>
    <w:rsid w:val="0059222F"/>
    <w:rsid w:val="005930DD"/>
    <w:rsid w:val="00596FE7"/>
    <w:rsid w:val="005A044B"/>
    <w:rsid w:val="005A1133"/>
    <w:rsid w:val="005A7048"/>
    <w:rsid w:val="005A793D"/>
    <w:rsid w:val="005B227F"/>
    <w:rsid w:val="005B401B"/>
    <w:rsid w:val="005B4AFA"/>
    <w:rsid w:val="005B55D5"/>
    <w:rsid w:val="005B5C51"/>
    <w:rsid w:val="005B7E61"/>
    <w:rsid w:val="005C54D7"/>
    <w:rsid w:val="005C668F"/>
    <w:rsid w:val="005D2439"/>
    <w:rsid w:val="005D5FC7"/>
    <w:rsid w:val="005D6060"/>
    <w:rsid w:val="005E0D2B"/>
    <w:rsid w:val="005E7034"/>
    <w:rsid w:val="005E7EEC"/>
    <w:rsid w:val="005F02D6"/>
    <w:rsid w:val="005F030A"/>
    <w:rsid w:val="005F0F38"/>
    <w:rsid w:val="005F1C11"/>
    <w:rsid w:val="005F271D"/>
    <w:rsid w:val="005F5DDC"/>
    <w:rsid w:val="005F7531"/>
    <w:rsid w:val="00601FE4"/>
    <w:rsid w:val="006039FA"/>
    <w:rsid w:val="00603CCC"/>
    <w:rsid w:val="00606AF6"/>
    <w:rsid w:val="0060733E"/>
    <w:rsid w:val="00610837"/>
    <w:rsid w:val="006143D6"/>
    <w:rsid w:val="00614ABD"/>
    <w:rsid w:val="00616CA2"/>
    <w:rsid w:val="0061791A"/>
    <w:rsid w:val="006207BC"/>
    <w:rsid w:val="0062113E"/>
    <w:rsid w:val="00622276"/>
    <w:rsid w:val="00622EA3"/>
    <w:rsid w:val="006258CE"/>
    <w:rsid w:val="006264E5"/>
    <w:rsid w:val="0062695B"/>
    <w:rsid w:val="00632258"/>
    <w:rsid w:val="00632D1F"/>
    <w:rsid w:val="00634223"/>
    <w:rsid w:val="006417A9"/>
    <w:rsid w:val="00645BC9"/>
    <w:rsid w:val="00647E6B"/>
    <w:rsid w:val="006577D7"/>
    <w:rsid w:val="0066132B"/>
    <w:rsid w:val="00667A1A"/>
    <w:rsid w:val="00671EB7"/>
    <w:rsid w:val="006733C8"/>
    <w:rsid w:val="0068051C"/>
    <w:rsid w:val="0068071E"/>
    <w:rsid w:val="00682FC9"/>
    <w:rsid w:val="00685931"/>
    <w:rsid w:val="00693D3C"/>
    <w:rsid w:val="006A212D"/>
    <w:rsid w:val="006A73A1"/>
    <w:rsid w:val="006B16B9"/>
    <w:rsid w:val="006B3724"/>
    <w:rsid w:val="006B6471"/>
    <w:rsid w:val="006B72E6"/>
    <w:rsid w:val="006B732F"/>
    <w:rsid w:val="006D2FF0"/>
    <w:rsid w:val="006D3A43"/>
    <w:rsid w:val="006D7206"/>
    <w:rsid w:val="006E1833"/>
    <w:rsid w:val="006E416D"/>
    <w:rsid w:val="006F06F7"/>
    <w:rsid w:val="006F2100"/>
    <w:rsid w:val="006F55EB"/>
    <w:rsid w:val="006F7900"/>
    <w:rsid w:val="00713293"/>
    <w:rsid w:val="00713CBA"/>
    <w:rsid w:val="00715996"/>
    <w:rsid w:val="00717857"/>
    <w:rsid w:val="00721897"/>
    <w:rsid w:val="007227F4"/>
    <w:rsid w:val="0072668A"/>
    <w:rsid w:val="00726A23"/>
    <w:rsid w:val="0073025A"/>
    <w:rsid w:val="007338EC"/>
    <w:rsid w:val="0073799D"/>
    <w:rsid w:val="00737EA8"/>
    <w:rsid w:val="007414DD"/>
    <w:rsid w:val="007429CA"/>
    <w:rsid w:val="007442FC"/>
    <w:rsid w:val="007462C9"/>
    <w:rsid w:val="0075048E"/>
    <w:rsid w:val="007526A9"/>
    <w:rsid w:val="0075284A"/>
    <w:rsid w:val="0075606B"/>
    <w:rsid w:val="007606D7"/>
    <w:rsid w:val="00763241"/>
    <w:rsid w:val="00763489"/>
    <w:rsid w:val="00764E59"/>
    <w:rsid w:val="0076766B"/>
    <w:rsid w:val="007679BD"/>
    <w:rsid w:val="007702D8"/>
    <w:rsid w:val="00772119"/>
    <w:rsid w:val="00772C38"/>
    <w:rsid w:val="00776793"/>
    <w:rsid w:val="007807A2"/>
    <w:rsid w:val="00780B0B"/>
    <w:rsid w:val="00781014"/>
    <w:rsid w:val="00781027"/>
    <w:rsid w:val="00781296"/>
    <w:rsid w:val="007857F8"/>
    <w:rsid w:val="00785A72"/>
    <w:rsid w:val="0079179A"/>
    <w:rsid w:val="00791A11"/>
    <w:rsid w:val="007926E7"/>
    <w:rsid w:val="00795F6C"/>
    <w:rsid w:val="00797787"/>
    <w:rsid w:val="007A1BFF"/>
    <w:rsid w:val="007A4345"/>
    <w:rsid w:val="007A4F97"/>
    <w:rsid w:val="007A6015"/>
    <w:rsid w:val="007A6CD6"/>
    <w:rsid w:val="007A7C07"/>
    <w:rsid w:val="007B1F52"/>
    <w:rsid w:val="007B2477"/>
    <w:rsid w:val="007C205C"/>
    <w:rsid w:val="007C2B9B"/>
    <w:rsid w:val="007C4221"/>
    <w:rsid w:val="007C60F3"/>
    <w:rsid w:val="007C7130"/>
    <w:rsid w:val="007D0DB4"/>
    <w:rsid w:val="007D152A"/>
    <w:rsid w:val="007D6FE9"/>
    <w:rsid w:val="007E5244"/>
    <w:rsid w:val="007F21BE"/>
    <w:rsid w:val="007F3009"/>
    <w:rsid w:val="00801030"/>
    <w:rsid w:val="00806DA2"/>
    <w:rsid w:val="008133EF"/>
    <w:rsid w:val="0083127D"/>
    <w:rsid w:val="0083178D"/>
    <w:rsid w:val="00831DA5"/>
    <w:rsid w:val="00833381"/>
    <w:rsid w:val="0084695B"/>
    <w:rsid w:val="00850350"/>
    <w:rsid w:val="00850B1A"/>
    <w:rsid w:val="0085355E"/>
    <w:rsid w:val="00864C42"/>
    <w:rsid w:val="00865CC7"/>
    <w:rsid w:val="008718AA"/>
    <w:rsid w:val="008762E3"/>
    <w:rsid w:val="00876BFD"/>
    <w:rsid w:val="0088077A"/>
    <w:rsid w:val="00885088"/>
    <w:rsid w:val="00885BBF"/>
    <w:rsid w:val="00886098"/>
    <w:rsid w:val="0088614D"/>
    <w:rsid w:val="0089015B"/>
    <w:rsid w:val="008905AF"/>
    <w:rsid w:val="0089318E"/>
    <w:rsid w:val="008941E9"/>
    <w:rsid w:val="0089515D"/>
    <w:rsid w:val="0089683B"/>
    <w:rsid w:val="00896CBB"/>
    <w:rsid w:val="008A0096"/>
    <w:rsid w:val="008A1A39"/>
    <w:rsid w:val="008A1B4E"/>
    <w:rsid w:val="008A700A"/>
    <w:rsid w:val="008B237F"/>
    <w:rsid w:val="008B262B"/>
    <w:rsid w:val="008B7AA7"/>
    <w:rsid w:val="008C0977"/>
    <w:rsid w:val="008C2D90"/>
    <w:rsid w:val="008C3403"/>
    <w:rsid w:val="008C590D"/>
    <w:rsid w:val="008C7B94"/>
    <w:rsid w:val="008D25E4"/>
    <w:rsid w:val="008D38B4"/>
    <w:rsid w:val="008D3FE0"/>
    <w:rsid w:val="008D590B"/>
    <w:rsid w:val="008E1E32"/>
    <w:rsid w:val="008E507B"/>
    <w:rsid w:val="008F1BED"/>
    <w:rsid w:val="008F1F32"/>
    <w:rsid w:val="008F3AA0"/>
    <w:rsid w:val="008F5A0D"/>
    <w:rsid w:val="008F60B4"/>
    <w:rsid w:val="009022F5"/>
    <w:rsid w:val="00904820"/>
    <w:rsid w:val="009059B2"/>
    <w:rsid w:val="009170CD"/>
    <w:rsid w:val="00922285"/>
    <w:rsid w:val="0092590C"/>
    <w:rsid w:val="009318C3"/>
    <w:rsid w:val="009318EF"/>
    <w:rsid w:val="00937CC3"/>
    <w:rsid w:val="009426D1"/>
    <w:rsid w:val="00942AF3"/>
    <w:rsid w:val="00943664"/>
    <w:rsid w:val="00943FF1"/>
    <w:rsid w:val="0096059A"/>
    <w:rsid w:val="00965142"/>
    <w:rsid w:val="00965768"/>
    <w:rsid w:val="00966586"/>
    <w:rsid w:val="00970A5F"/>
    <w:rsid w:val="00972F33"/>
    <w:rsid w:val="00974547"/>
    <w:rsid w:val="00976977"/>
    <w:rsid w:val="00987327"/>
    <w:rsid w:val="009878F9"/>
    <w:rsid w:val="00994430"/>
    <w:rsid w:val="00994E40"/>
    <w:rsid w:val="009A2618"/>
    <w:rsid w:val="009A30A9"/>
    <w:rsid w:val="009A633D"/>
    <w:rsid w:val="009B0594"/>
    <w:rsid w:val="009B2FBD"/>
    <w:rsid w:val="009C3244"/>
    <w:rsid w:val="009C4207"/>
    <w:rsid w:val="009C6B54"/>
    <w:rsid w:val="009D0F3B"/>
    <w:rsid w:val="009D4C7B"/>
    <w:rsid w:val="009D5349"/>
    <w:rsid w:val="009D67D9"/>
    <w:rsid w:val="009D6EA3"/>
    <w:rsid w:val="009E0FD8"/>
    <w:rsid w:val="009E431D"/>
    <w:rsid w:val="009E4741"/>
    <w:rsid w:val="009E7C38"/>
    <w:rsid w:val="009F21F9"/>
    <w:rsid w:val="009F3E84"/>
    <w:rsid w:val="009F65B9"/>
    <w:rsid w:val="00A00372"/>
    <w:rsid w:val="00A006BB"/>
    <w:rsid w:val="00A0360C"/>
    <w:rsid w:val="00A1052E"/>
    <w:rsid w:val="00A11B7B"/>
    <w:rsid w:val="00A12F74"/>
    <w:rsid w:val="00A133A5"/>
    <w:rsid w:val="00A135D1"/>
    <w:rsid w:val="00A1540A"/>
    <w:rsid w:val="00A16252"/>
    <w:rsid w:val="00A22663"/>
    <w:rsid w:val="00A27193"/>
    <w:rsid w:val="00A322C1"/>
    <w:rsid w:val="00A34B2C"/>
    <w:rsid w:val="00A35114"/>
    <w:rsid w:val="00A355BC"/>
    <w:rsid w:val="00A37894"/>
    <w:rsid w:val="00A4037B"/>
    <w:rsid w:val="00A41F62"/>
    <w:rsid w:val="00A42D85"/>
    <w:rsid w:val="00A43E9F"/>
    <w:rsid w:val="00A46F30"/>
    <w:rsid w:val="00A4780F"/>
    <w:rsid w:val="00A54986"/>
    <w:rsid w:val="00A6223C"/>
    <w:rsid w:val="00A633EE"/>
    <w:rsid w:val="00A65192"/>
    <w:rsid w:val="00A659BB"/>
    <w:rsid w:val="00A66628"/>
    <w:rsid w:val="00A745F1"/>
    <w:rsid w:val="00A74732"/>
    <w:rsid w:val="00A777DB"/>
    <w:rsid w:val="00A80E17"/>
    <w:rsid w:val="00A80E46"/>
    <w:rsid w:val="00A8218F"/>
    <w:rsid w:val="00A827B7"/>
    <w:rsid w:val="00A93E5B"/>
    <w:rsid w:val="00A956BD"/>
    <w:rsid w:val="00A96231"/>
    <w:rsid w:val="00A97ED4"/>
    <w:rsid w:val="00AA1030"/>
    <w:rsid w:val="00AA7448"/>
    <w:rsid w:val="00AB381E"/>
    <w:rsid w:val="00AC3596"/>
    <w:rsid w:val="00AC5562"/>
    <w:rsid w:val="00AC6C06"/>
    <w:rsid w:val="00AC7344"/>
    <w:rsid w:val="00AD08D8"/>
    <w:rsid w:val="00AD4788"/>
    <w:rsid w:val="00AD5A79"/>
    <w:rsid w:val="00AE58D7"/>
    <w:rsid w:val="00AE6090"/>
    <w:rsid w:val="00AE7954"/>
    <w:rsid w:val="00AF0370"/>
    <w:rsid w:val="00AF3B8C"/>
    <w:rsid w:val="00AF434C"/>
    <w:rsid w:val="00AF4AD3"/>
    <w:rsid w:val="00AF578D"/>
    <w:rsid w:val="00AF5B39"/>
    <w:rsid w:val="00AF711D"/>
    <w:rsid w:val="00B0265C"/>
    <w:rsid w:val="00B02BE9"/>
    <w:rsid w:val="00B109D3"/>
    <w:rsid w:val="00B1186B"/>
    <w:rsid w:val="00B11C7F"/>
    <w:rsid w:val="00B12327"/>
    <w:rsid w:val="00B14B67"/>
    <w:rsid w:val="00B226B8"/>
    <w:rsid w:val="00B26B0D"/>
    <w:rsid w:val="00B34201"/>
    <w:rsid w:val="00B34502"/>
    <w:rsid w:val="00B34553"/>
    <w:rsid w:val="00B36C88"/>
    <w:rsid w:val="00B40BCA"/>
    <w:rsid w:val="00B470C8"/>
    <w:rsid w:val="00B50E85"/>
    <w:rsid w:val="00B519AC"/>
    <w:rsid w:val="00B702C3"/>
    <w:rsid w:val="00B754D2"/>
    <w:rsid w:val="00B8427B"/>
    <w:rsid w:val="00B84F11"/>
    <w:rsid w:val="00B85916"/>
    <w:rsid w:val="00B87A7E"/>
    <w:rsid w:val="00B93B44"/>
    <w:rsid w:val="00B94A29"/>
    <w:rsid w:val="00BA2312"/>
    <w:rsid w:val="00BA3F09"/>
    <w:rsid w:val="00BA6064"/>
    <w:rsid w:val="00BB225A"/>
    <w:rsid w:val="00BC19DA"/>
    <w:rsid w:val="00BC4222"/>
    <w:rsid w:val="00BC48E7"/>
    <w:rsid w:val="00BD49B7"/>
    <w:rsid w:val="00BD6634"/>
    <w:rsid w:val="00BE3D4C"/>
    <w:rsid w:val="00BF18C1"/>
    <w:rsid w:val="00BF2C8F"/>
    <w:rsid w:val="00BF426C"/>
    <w:rsid w:val="00C124BB"/>
    <w:rsid w:val="00C179DD"/>
    <w:rsid w:val="00C269C8"/>
    <w:rsid w:val="00C3027E"/>
    <w:rsid w:val="00C325B0"/>
    <w:rsid w:val="00C36F68"/>
    <w:rsid w:val="00C3737B"/>
    <w:rsid w:val="00C4363F"/>
    <w:rsid w:val="00C457E9"/>
    <w:rsid w:val="00C45A3A"/>
    <w:rsid w:val="00C47BB2"/>
    <w:rsid w:val="00C52965"/>
    <w:rsid w:val="00C545D0"/>
    <w:rsid w:val="00C54BA0"/>
    <w:rsid w:val="00C60402"/>
    <w:rsid w:val="00C60AAB"/>
    <w:rsid w:val="00C611C3"/>
    <w:rsid w:val="00C612DE"/>
    <w:rsid w:val="00C62B4F"/>
    <w:rsid w:val="00C63A7B"/>
    <w:rsid w:val="00C665D5"/>
    <w:rsid w:val="00C67C66"/>
    <w:rsid w:val="00C71F28"/>
    <w:rsid w:val="00C805F6"/>
    <w:rsid w:val="00C806F1"/>
    <w:rsid w:val="00C82097"/>
    <w:rsid w:val="00C83E82"/>
    <w:rsid w:val="00C8489D"/>
    <w:rsid w:val="00C850DC"/>
    <w:rsid w:val="00C9231A"/>
    <w:rsid w:val="00C947FB"/>
    <w:rsid w:val="00C9743B"/>
    <w:rsid w:val="00CA1642"/>
    <w:rsid w:val="00CA22AE"/>
    <w:rsid w:val="00CA53A4"/>
    <w:rsid w:val="00CA5BD1"/>
    <w:rsid w:val="00CB34BE"/>
    <w:rsid w:val="00CB678B"/>
    <w:rsid w:val="00CB7141"/>
    <w:rsid w:val="00CB75FF"/>
    <w:rsid w:val="00CB761D"/>
    <w:rsid w:val="00CB7F71"/>
    <w:rsid w:val="00CC173B"/>
    <w:rsid w:val="00CC542E"/>
    <w:rsid w:val="00CC7259"/>
    <w:rsid w:val="00CD0F98"/>
    <w:rsid w:val="00CD34E9"/>
    <w:rsid w:val="00CD73E5"/>
    <w:rsid w:val="00CE21AC"/>
    <w:rsid w:val="00CE400D"/>
    <w:rsid w:val="00CE7353"/>
    <w:rsid w:val="00D000A4"/>
    <w:rsid w:val="00D17EE1"/>
    <w:rsid w:val="00D20A4B"/>
    <w:rsid w:val="00D212FB"/>
    <w:rsid w:val="00D21F3A"/>
    <w:rsid w:val="00D22A74"/>
    <w:rsid w:val="00D33F47"/>
    <w:rsid w:val="00D412F5"/>
    <w:rsid w:val="00D45A2C"/>
    <w:rsid w:val="00D4632B"/>
    <w:rsid w:val="00D46456"/>
    <w:rsid w:val="00D475CE"/>
    <w:rsid w:val="00D51969"/>
    <w:rsid w:val="00D52BD4"/>
    <w:rsid w:val="00D57226"/>
    <w:rsid w:val="00D7085A"/>
    <w:rsid w:val="00D728FC"/>
    <w:rsid w:val="00D72BDC"/>
    <w:rsid w:val="00D758BF"/>
    <w:rsid w:val="00D75EE4"/>
    <w:rsid w:val="00D76AF6"/>
    <w:rsid w:val="00D8186A"/>
    <w:rsid w:val="00DA007F"/>
    <w:rsid w:val="00DA1066"/>
    <w:rsid w:val="00DA4626"/>
    <w:rsid w:val="00DA5B0C"/>
    <w:rsid w:val="00DB2B97"/>
    <w:rsid w:val="00DB37D6"/>
    <w:rsid w:val="00DB68A5"/>
    <w:rsid w:val="00DC7196"/>
    <w:rsid w:val="00DD047E"/>
    <w:rsid w:val="00DD16CD"/>
    <w:rsid w:val="00DD2A2A"/>
    <w:rsid w:val="00DD2FE9"/>
    <w:rsid w:val="00DD7802"/>
    <w:rsid w:val="00DE031B"/>
    <w:rsid w:val="00DE03C8"/>
    <w:rsid w:val="00DE0A5B"/>
    <w:rsid w:val="00DE292D"/>
    <w:rsid w:val="00DE2D75"/>
    <w:rsid w:val="00DE44C7"/>
    <w:rsid w:val="00DE60EE"/>
    <w:rsid w:val="00DE700F"/>
    <w:rsid w:val="00DF5E59"/>
    <w:rsid w:val="00E00E45"/>
    <w:rsid w:val="00E019D7"/>
    <w:rsid w:val="00E01A9F"/>
    <w:rsid w:val="00E03443"/>
    <w:rsid w:val="00E040C3"/>
    <w:rsid w:val="00E04900"/>
    <w:rsid w:val="00E06E09"/>
    <w:rsid w:val="00E16379"/>
    <w:rsid w:val="00E21D4D"/>
    <w:rsid w:val="00E264C2"/>
    <w:rsid w:val="00E2726D"/>
    <w:rsid w:val="00E31BED"/>
    <w:rsid w:val="00E32527"/>
    <w:rsid w:val="00E37E1F"/>
    <w:rsid w:val="00E43323"/>
    <w:rsid w:val="00E44841"/>
    <w:rsid w:val="00E45B97"/>
    <w:rsid w:val="00E51237"/>
    <w:rsid w:val="00E523B1"/>
    <w:rsid w:val="00E54632"/>
    <w:rsid w:val="00E56441"/>
    <w:rsid w:val="00E56E8B"/>
    <w:rsid w:val="00E6002C"/>
    <w:rsid w:val="00E60F1F"/>
    <w:rsid w:val="00E610DE"/>
    <w:rsid w:val="00E64FFE"/>
    <w:rsid w:val="00E65F44"/>
    <w:rsid w:val="00E776C3"/>
    <w:rsid w:val="00E8047F"/>
    <w:rsid w:val="00E92DF5"/>
    <w:rsid w:val="00EA359C"/>
    <w:rsid w:val="00EA4A42"/>
    <w:rsid w:val="00EB397A"/>
    <w:rsid w:val="00EC12BC"/>
    <w:rsid w:val="00EC3881"/>
    <w:rsid w:val="00EC3BA3"/>
    <w:rsid w:val="00EC7D99"/>
    <w:rsid w:val="00ED3C77"/>
    <w:rsid w:val="00ED3FEF"/>
    <w:rsid w:val="00ED4685"/>
    <w:rsid w:val="00ED79B2"/>
    <w:rsid w:val="00EE3C66"/>
    <w:rsid w:val="00EE3F38"/>
    <w:rsid w:val="00EE4976"/>
    <w:rsid w:val="00EF1DF7"/>
    <w:rsid w:val="00EF3E02"/>
    <w:rsid w:val="00EF5F91"/>
    <w:rsid w:val="00F03C1A"/>
    <w:rsid w:val="00F05BE1"/>
    <w:rsid w:val="00F111E5"/>
    <w:rsid w:val="00F139AB"/>
    <w:rsid w:val="00F1637D"/>
    <w:rsid w:val="00F20A47"/>
    <w:rsid w:val="00F20F4E"/>
    <w:rsid w:val="00F22946"/>
    <w:rsid w:val="00F23445"/>
    <w:rsid w:val="00F23829"/>
    <w:rsid w:val="00F25E25"/>
    <w:rsid w:val="00F34452"/>
    <w:rsid w:val="00F37521"/>
    <w:rsid w:val="00F45270"/>
    <w:rsid w:val="00F52C02"/>
    <w:rsid w:val="00F54951"/>
    <w:rsid w:val="00F56DE1"/>
    <w:rsid w:val="00F575BF"/>
    <w:rsid w:val="00F611DC"/>
    <w:rsid w:val="00F621CD"/>
    <w:rsid w:val="00F63AAA"/>
    <w:rsid w:val="00F65078"/>
    <w:rsid w:val="00F66464"/>
    <w:rsid w:val="00F70803"/>
    <w:rsid w:val="00F70A56"/>
    <w:rsid w:val="00F76594"/>
    <w:rsid w:val="00F8047B"/>
    <w:rsid w:val="00F82E2E"/>
    <w:rsid w:val="00F90CD5"/>
    <w:rsid w:val="00FA037D"/>
    <w:rsid w:val="00FA0411"/>
    <w:rsid w:val="00FA6DFA"/>
    <w:rsid w:val="00FB0D6F"/>
    <w:rsid w:val="00FB0E44"/>
    <w:rsid w:val="00FB2968"/>
    <w:rsid w:val="00FB4917"/>
    <w:rsid w:val="00FB5BBA"/>
    <w:rsid w:val="00FB7F2B"/>
    <w:rsid w:val="00FC513B"/>
    <w:rsid w:val="00FC78EC"/>
    <w:rsid w:val="00FD6F14"/>
    <w:rsid w:val="00FE5FF5"/>
    <w:rsid w:val="00FF01C7"/>
    <w:rsid w:val="00FF0520"/>
    <w:rsid w:val="00FF2B3F"/>
    <w:rsid w:val="00FF4225"/>
    <w:rsid w:val="00FF55E7"/>
    <w:rsid w:val="00FF6842"/>
    <w:rsid w:val="00FF7820"/>
    <w:rsid w:val="010CBFC3"/>
    <w:rsid w:val="01B75FB3"/>
    <w:rsid w:val="01F13EDD"/>
    <w:rsid w:val="02322B1C"/>
    <w:rsid w:val="051BE517"/>
    <w:rsid w:val="0995BA02"/>
    <w:rsid w:val="09A874F6"/>
    <w:rsid w:val="0AB818B9"/>
    <w:rsid w:val="0B4747FE"/>
    <w:rsid w:val="0B67BFD3"/>
    <w:rsid w:val="0BDAAE6A"/>
    <w:rsid w:val="0CFAE481"/>
    <w:rsid w:val="0DAE133F"/>
    <w:rsid w:val="0E2DA76F"/>
    <w:rsid w:val="0E332C80"/>
    <w:rsid w:val="1124B92E"/>
    <w:rsid w:val="12E0FD8B"/>
    <w:rsid w:val="137C1B61"/>
    <w:rsid w:val="139AFB39"/>
    <w:rsid w:val="13AB0E56"/>
    <w:rsid w:val="14819A2D"/>
    <w:rsid w:val="16B6D183"/>
    <w:rsid w:val="18989E57"/>
    <w:rsid w:val="1B48C8DE"/>
    <w:rsid w:val="1C2AD919"/>
    <w:rsid w:val="1C72B9CD"/>
    <w:rsid w:val="2174FB0A"/>
    <w:rsid w:val="21E40371"/>
    <w:rsid w:val="252413DD"/>
    <w:rsid w:val="255D9782"/>
    <w:rsid w:val="266E4100"/>
    <w:rsid w:val="28F4FB0E"/>
    <w:rsid w:val="2B173D59"/>
    <w:rsid w:val="2B923032"/>
    <w:rsid w:val="2DA8E53F"/>
    <w:rsid w:val="2DD2F451"/>
    <w:rsid w:val="34FA0FA9"/>
    <w:rsid w:val="3634AABC"/>
    <w:rsid w:val="37D07B1D"/>
    <w:rsid w:val="39361892"/>
    <w:rsid w:val="396B83AC"/>
    <w:rsid w:val="396C4B7E"/>
    <w:rsid w:val="3B1CFE81"/>
    <w:rsid w:val="3CA2F021"/>
    <w:rsid w:val="3D72B7AC"/>
    <w:rsid w:val="3DC0565C"/>
    <w:rsid w:val="41EB90F0"/>
    <w:rsid w:val="458ED285"/>
    <w:rsid w:val="45E4F599"/>
    <w:rsid w:val="478FE6C1"/>
    <w:rsid w:val="4A70EEAC"/>
    <w:rsid w:val="4A894C17"/>
    <w:rsid w:val="4C0235DA"/>
    <w:rsid w:val="4C201427"/>
    <w:rsid w:val="4DAF636A"/>
    <w:rsid w:val="4E88E081"/>
    <w:rsid w:val="4EFD54B4"/>
    <w:rsid w:val="4FAE9B9B"/>
    <w:rsid w:val="50850B74"/>
    <w:rsid w:val="51EA5B34"/>
    <w:rsid w:val="525598AC"/>
    <w:rsid w:val="54AE2057"/>
    <w:rsid w:val="590FC3D7"/>
    <w:rsid w:val="5A324E74"/>
    <w:rsid w:val="5B88F4E6"/>
    <w:rsid w:val="5EC64C15"/>
    <w:rsid w:val="5FEDD0B3"/>
    <w:rsid w:val="607A5F2D"/>
    <w:rsid w:val="6084BE47"/>
    <w:rsid w:val="60DB546C"/>
    <w:rsid w:val="63C5F0C4"/>
    <w:rsid w:val="650C3DCE"/>
    <w:rsid w:val="65BF2E58"/>
    <w:rsid w:val="66D472E7"/>
    <w:rsid w:val="66E34B09"/>
    <w:rsid w:val="675E4B5E"/>
    <w:rsid w:val="6A1C3832"/>
    <w:rsid w:val="6B7D838D"/>
    <w:rsid w:val="6C8237AE"/>
    <w:rsid w:val="6E3C1272"/>
    <w:rsid w:val="6F687F16"/>
    <w:rsid w:val="70F44441"/>
    <w:rsid w:val="7258036C"/>
    <w:rsid w:val="72A4B8BD"/>
    <w:rsid w:val="73CCD7C0"/>
    <w:rsid w:val="744F1C6E"/>
    <w:rsid w:val="7ADC7E72"/>
    <w:rsid w:val="7B75C39E"/>
    <w:rsid w:val="7BD48A10"/>
    <w:rsid w:val="7CD7028F"/>
    <w:rsid w:val="7EAA8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2">
    <w:name w:val="heading 2"/>
    <w:basedOn w:val="Normal"/>
    <w:next w:val="Normal"/>
    <w:link w:val="Ttulo2Car"/>
    <w:uiPriority w:val="9"/>
    <w:semiHidden/>
    <w:unhideWhenUsed/>
    <w:qFormat/>
    <w:rsid w:val="00E06E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unhideWhenUsed/>
    <w:rsid w:val="0010491D"/>
    <w:rPr>
      <w:color w:val="0000FF"/>
      <w:u w:val="single"/>
    </w:rPr>
  </w:style>
  <w:style w:type="character" w:styleId="Mencinsinresolver">
    <w:name w:val="Unresolved Mention"/>
    <w:basedOn w:val="Fuentedeprrafopredeter"/>
    <w:uiPriority w:val="99"/>
    <w:semiHidden/>
    <w:unhideWhenUsed/>
    <w:rsid w:val="007C60F3"/>
    <w:rPr>
      <w:color w:val="605E5C"/>
      <w:shd w:val="clear" w:color="auto" w:fill="E1DFDD"/>
    </w:rPr>
  </w:style>
  <w:style w:type="character" w:customStyle="1" w:styleId="NormalCSJCar">
    <w:name w:val="Normal CSJ Car"/>
    <w:link w:val="NormalCSJ"/>
    <w:locked/>
    <w:rsid w:val="00E06E09"/>
    <w:rPr>
      <w:rFonts w:ascii="Bookman Old Style" w:hAnsi="Bookman Old Style"/>
      <w:sz w:val="28"/>
      <w:szCs w:val="28"/>
    </w:rPr>
  </w:style>
  <w:style w:type="paragraph" w:customStyle="1" w:styleId="NormalCSJ">
    <w:name w:val="Normal CSJ"/>
    <w:basedOn w:val="Normal"/>
    <w:link w:val="NormalCSJCar"/>
    <w:qFormat/>
    <w:rsid w:val="00E06E09"/>
    <w:pPr>
      <w:overflowPunct/>
      <w:autoSpaceDE/>
      <w:autoSpaceDN/>
      <w:adjustRightInd/>
      <w:spacing w:line="360" w:lineRule="auto"/>
      <w:ind w:firstLine="709"/>
      <w:jc w:val="both"/>
      <w:textAlignment w:val="auto"/>
    </w:pPr>
    <w:rPr>
      <w:rFonts w:ascii="Bookman Old Style" w:eastAsia="Calibri" w:hAnsi="Bookman Old Style"/>
      <w:sz w:val="28"/>
      <w:szCs w:val="28"/>
      <w:lang w:val="es-CO" w:eastAsia="es-CO"/>
    </w:rPr>
  </w:style>
  <w:style w:type="character" w:customStyle="1" w:styleId="SubtituloCSJCar">
    <w:name w:val="Subtitulo CSJ Car"/>
    <w:link w:val="SubtituloCSJ"/>
    <w:locked/>
    <w:rsid w:val="00E06E09"/>
    <w:rPr>
      <w:rFonts w:ascii="Bookman Old Style" w:hAnsi="Bookman Old Style"/>
      <w:sz w:val="28"/>
      <w:szCs w:val="26"/>
      <w:lang w:val="es-MX"/>
    </w:rPr>
  </w:style>
  <w:style w:type="paragraph" w:customStyle="1" w:styleId="SubtituloCSJ">
    <w:name w:val="Subtitulo CSJ"/>
    <w:basedOn w:val="Ttulo2"/>
    <w:next w:val="NormalCSJ"/>
    <w:link w:val="SubtituloCSJCar"/>
    <w:qFormat/>
    <w:rsid w:val="00E06E09"/>
    <w:pPr>
      <w:overflowPunct/>
      <w:autoSpaceDE/>
      <w:autoSpaceDN/>
      <w:adjustRightInd/>
      <w:spacing w:before="0" w:line="360" w:lineRule="auto"/>
      <w:ind w:firstLine="709"/>
      <w:jc w:val="both"/>
      <w:textAlignment w:val="auto"/>
    </w:pPr>
    <w:rPr>
      <w:rFonts w:ascii="Bookman Old Style" w:eastAsia="Calibri" w:hAnsi="Bookman Old Style" w:cs="Times New Roman"/>
      <w:color w:val="auto"/>
      <w:sz w:val="28"/>
      <w:lang w:val="es-MX" w:eastAsia="es-CO"/>
    </w:rPr>
  </w:style>
  <w:style w:type="character" w:customStyle="1" w:styleId="CitaIntraCSJCar">
    <w:name w:val="Cita Intra CSJ Car"/>
    <w:link w:val="CitaIntraCSJ"/>
    <w:locked/>
    <w:rsid w:val="00E06E09"/>
    <w:rPr>
      <w:rFonts w:ascii="Bookman Old Style" w:hAnsi="Bookman Old Style"/>
      <w:bCs/>
      <w:i/>
      <w:sz w:val="24"/>
      <w:szCs w:val="24"/>
    </w:rPr>
  </w:style>
  <w:style w:type="paragraph" w:customStyle="1" w:styleId="CitaIntraCSJ">
    <w:name w:val="Cita Intra CSJ"/>
    <w:basedOn w:val="NormalCSJ"/>
    <w:link w:val="CitaIntraCSJCar"/>
    <w:qFormat/>
    <w:rsid w:val="00E06E09"/>
    <w:rPr>
      <w:bCs/>
      <w:i/>
      <w:sz w:val="24"/>
      <w:szCs w:val="24"/>
    </w:rPr>
  </w:style>
  <w:style w:type="character" w:customStyle="1" w:styleId="Ttulo2Car">
    <w:name w:val="Título 2 Car"/>
    <w:basedOn w:val="Fuentedeprrafopredeter"/>
    <w:link w:val="Ttulo2"/>
    <w:uiPriority w:val="9"/>
    <w:semiHidden/>
    <w:rsid w:val="00E06E09"/>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37384723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110248580">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572500343">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ardona@duportabogado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ardo.cardon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ardona@duportabogados.com" TargetMode="External"/><Relationship Id="Rf4c1289d47c7419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CFC4-FF76-413B-9AAE-1F468356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121AE92-CFAE-4075-B178-0B45CDA1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4257</Words>
  <Characters>23415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6</cp:revision>
  <cp:lastPrinted>2019-08-13T19:36:00Z</cp:lastPrinted>
  <dcterms:created xsi:type="dcterms:W3CDTF">2022-07-28T20:47:00Z</dcterms:created>
  <dcterms:modified xsi:type="dcterms:W3CDTF">2022-10-24T21:07:00Z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