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4A70" w14:textId="77777777" w:rsidR="00C06C02" w:rsidRPr="005F6BBB" w:rsidRDefault="00C06C02" w:rsidP="00C06C02">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rPr>
      </w:pPr>
      <w:bookmarkStart w:id="0" w:name="_Hlk118097045"/>
      <w:bookmarkStart w:id="1" w:name="_GoBack"/>
      <w:bookmarkEnd w:id="1"/>
      <w:r w:rsidRPr="005F6BBB">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5169037" w14:textId="77777777" w:rsidR="00C06C02" w:rsidRDefault="00C06C02" w:rsidP="00C06C02">
      <w:pPr>
        <w:widowControl/>
        <w:autoSpaceDE/>
        <w:autoSpaceDN/>
        <w:jc w:val="both"/>
        <w:rPr>
          <w:rFonts w:ascii="Arial" w:eastAsia="Times New Roman" w:hAnsi="Arial" w:cs="Arial"/>
          <w:sz w:val="20"/>
          <w:szCs w:val="20"/>
          <w:lang w:val="es-419" w:eastAsia="es-ES"/>
        </w:rPr>
      </w:pPr>
    </w:p>
    <w:p w14:paraId="67993345" w14:textId="77777777" w:rsidR="00C06C02" w:rsidRPr="00C06C02" w:rsidRDefault="00C06C02" w:rsidP="00C06C02">
      <w:pPr>
        <w:widowControl/>
        <w:autoSpaceDE/>
        <w:autoSpaceDN/>
        <w:jc w:val="both"/>
        <w:rPr>
          <w:rFonts w:ascii="Arial" w:eastAsia="Times New Roman" w:hAnsi="Arial" w:cs="Arial"/>
          <w:sz w:val="20"/>
          <w:szCs w:val="20"/>
          <w:lang w:val="es-419" w:eastAsia="es-ES"/>
        </w:rPr>
      </w:pPr>
      <w:r w:rsidRPr="00C06C02">
        <w:rPr>
          <w:rFonts w:ascii="Arial" w:eastAsia="Times New Roman" w:hAnsi="Arial" w:cs="Arial"/>
          <w:sz w:val="20"/>
          <w:szCs w:val="20"/>
          <w:lang w:val="es-419" w:eastAsia="es-ES"/>
        </w:rPr>
        <w:t>Radicado:</w:t>
      </w:r>
      <w:r w:rsidRPr="00C06C02">
        <w:rPr>
          <w:rFonts w:ascii="Arial" w:eastAsia="Times New Roman" w:hAnsi="Arial" w:cs="Arial"/>
          <w:sz w:val="20"/>
          <w:szCs w:val="20"/>
          <w:lang w:val="es-419" w:eastAsia="es-ES"/>
        </w:rPr>
        <w:tab/>
        <w:t>66001310300320120006103</w:t>
      </w:r>
    </w:p>
    <w:p w14:paraId="671AC4DF" w14:textId="77777777" w:rsidR="004027A2" w:rsidRPr="005F6BBB" w:rsidRDefault="004027A2" w:rsidP="004027A2">
      <w:pPr>
        <w:widowControl/>
        <w:autoSpaceDE/>
        <w:autoSpaceDN/>
        <w:jc w:val="both"/>
        <w:rPr>
          <w:rFonts w:ascii="Arial" w:eastAsia="Times New Roman" w:hAnsi="Arial" w:cs="Arial"/>
          <w:sz w:val="20"/>
          <w:szCs w:val="20"/>
          <w:lang w:val="es-419" w:eastAsia="es-ES"/>
        </w:rPr>
      </w:pPr>
      <w:r w:rsidRPr="00C06C02">
        <w:rPr>
          <w:rFonts w:ascii="Arial" w:eastAsia="Times New Roman" w:hAnsi="Arial" w:cs="Arial"/>
          <w:sz w:val="20"/>
          <w:szCs w:val="20"/>
          <w:lang w:val="es-419" w:eastAsia="es-ES"/>
        </w:rPr>
        <w:t>Proceso:</w:t>
      </w:r>
      <w:r w:rsidRPr="00C06C02">
        <w:rPr>
          <w:rFonts w:ascii="Arial" w:eastAsia="Times New Roman" w:hAnsi="Arial" w:cs="Arial"/>
          <w:sz w:val="20"/>
          <w:szCs w:val="20"/>
          <w:lang w:val="es-419" w:eastAsia="es-ES"/>
        </w:rPr>
        <w:tab/>
        <w:t>Ejecutivo a continuación</w:t>
      </w:r>
    </w:p>
    <w:p w14:paraId="65FC0ACD" w14:textId="77777777" w:rsidR="00C06C02" w:rsidRPr="00C06C02" w:rsidRDefault="00C06C02" w:rsidP="00C06C02">
      <w:pPr>
        <w:widowControl/>
        <w:autoSpaceDE/>
        <w:autoSpaceDN/>
        <w:jc w:val="both"/>
        <w:rPr>
          <w:rFonts w:ascii="Arial" w:eastAsia="Times New Roman" w:hAnsi="Arial" w:cs="Arial"/>
          <w:sz w:val="20"/>
          <w:szCs w:val="20"/>
          <w:lang w:val="es-419" w:eastAsia="es-ES"/>
        </w:rPr>
      </w:pPr>
      <w:r w:rsidRPr="00C06C02">
        <w:rPr>
          <w:rFonts w:ascii="Arial" w:eastAsia="Times New Roman" w:hAnsi="Arial" w:cs="Arial"/>
          <w:sz w:val="20"/>
          <w:szCs w:val="20"/>
          <w:lang w:val="es-419" w:eastAsia="es-ES"/>
        </w:rPr>
        <w:t>Demandante:</w:t>
      </w:r>
      <w:r w:rsidRPr="00C06C02">
        <w:rPr>
          <w:rFonts w:ascii="Arial" w:eastAsia="Times New Roman" w:hAnsi="Arial" w:cs="Arial"/>
          <w:sz w:val="20"/>
          <w:szCs w:val="20"/>
          <w:lang w:val="es-419" w:eastAsia="es-ES"/>
        </w:rPr>
        <w:tab/>
        <w:t>Uriel Darío Muñoz Sánchez</w:t>
      </w:r>
    </w:p>
    <w:p w14:paraId="11373FDB" w14:textId="08FF8059" w:rsidR="00C06C02" w:rsidRPr="00C06C02" w:rsidRDefault="00C06C02" w:rsidP="00C06C02">
      <w:pPr>
        <w:widowControl/>
        <w:autoSpaceDE/>
        <w:autoSpaceDN/>
        <w:jc w:val="both"/>
        <w:rPr>
          <w:rFonts w:ascii="Arial" w:eastAsia="Times New Roman" w:hAnsi="Arial" w:cs="Arial"/>
          <w:sz w:val="20"/>
          <w:szCs w:val="20"/>
          <w:lang w:val="es-419" w:eastAsia="es-ES"/>
        </w:rPr>
      </w:pPr>
      <w:r w:rsidRPr="00C06C02">
        <w:rPr>
          <w:rFonts w:ascii="Arial" w:eastAsia="Times New Roman" w:hAnsi="Arial" w:cs="Arial"/>
          <w:sz w:val="20"/>
          <w:szCs w:val="20"/>
          <w:lang w:val="es-419" w:eastAsia="es-ES"/>
        </w:rPr>
        <w:t>Demandado:</w:t>
      </w:r>
      <w:r w:rsidRPr="00C06C02">
        <w:rPr>
          <w:rFonts w:ascii="Arial" w:eastAsia="Times New Roman" w:hAnsi="Arial" w:cs="Arial"/>
          <w:sz w:val="20"/>
          <w:szCs w:val="20"/>
          <w:lang w:val="es-419" w:eastAsia="es-ES"/>
        </w:rPr>
        <w:tab/>
        <w:t xml:space="preserve">Inversiones Salazar Pinillos y S en CS </w:t>
      </w:r>
    </w:p>
    <w:p w14:paraId="157BC187" w14:textId="77777777" w:rsidR="00C06C02" w:rsidRPr="005F6BBB" w:rsidRDefault="00C06C02" w:rsidP="00C06C02">
      <w:pPr>
        <w:widowControl/>
        <w:autoSpaceDE/>
        <w:autoSpaceDN/>
        <w:jc w:val="both"/>
        <w:rPr>
          <w:rFonts w:ascii="Arial" w:eastAsia="Times New Roman" w:hAnsi="Arial" w:cs="Arial"/>
          <w:sz w:val="20"/>
          <w:szCs w:val="20"/>
          <w:lang w:val="es-419" w:eastAsia="es-ES"/>
        </w:rPr>
      </w:pPr>
    </w:p>
    <w:p w14:paraId="47BC157C" w14:textId="2E4A33AB" w:rsidR="00C06C02" w:rsidRPr="005F6BBB" w:rsidRDefault="00A7334A" w:rsidP="00C06C02">
      <w:pPr>
        <w:widowControl/>
        <w:autoSpaceDE/>
        <w:autoSpaceDN/>
        <w:jc w:val="both"/>
        <w:rPr>
          <w:rFonts w:ascii="Arial" w:eastAsia="Times New Roman" w:hAnsi="Arial" w:cs="Arial"/>
          <w:b/>
          <w:bCs/>
          <w:iCs/>
          <w:sz w:val="20"/>
          <w:szCs w:val="20"/>
          <w:lang w:val="es-419" w:eastAsia="fr-FR"/>
        </w:rPr>
      </w:pPr>
      <w:r w:rsidRPr="005F6BBB">
        <w:rPr>
          <w:rFonts w:ascii="Arial" w:eastAsia="Times New Roman" w:hAnsi="Arial" w:cs="Arial"/>
          <w:b/>
          <w:bCs/>
          <w:iCs/>
          <w:sz w:val="20"/>
          <w:szCs w:val="20"/>
          <w:u w:val="single"/>
          <w:lang w:val="es-419" w:eastAsia="fr-FR"/>
        </w:rPr>
        <w:t>TEMAS:</w:t>
      </w:r>
      <w:r w:rsidRPr="005F6BBB">
        <w:rPr>
          <w:rFonts w:ascii="Arial" w:eastAsia="Times New Roman" w:hAnsi="Arial" w:cs="Arial"/>
          <w:b/>
          <w:bCs/>
          <w:iCs/>
          <w:sz w:val="20"/>
          <w:szCs w:val="20"/>
          <w:lang w:val="es-419" w:eastAsia="fr-FR"/>
        </w:rPr>
        <w:tab/>
      </w:r>
      <w:r w:rsidRPr="004027A2">
        <w:rPr>
          <w:rFonts w:ascii="Arial" w:eastAsia="Times New Roman" w:hAnsi="Arial" w:cs="Arial"/>
          <w:b/>
          <w:bCs/>
          <w:iCs/>
          <w:sz w:val="20"/>
          <w:szCs w:val="20"/>
          <w:lang w:val="es-419" w:eastAsia="fr-FR"/>
        </w:rPr>
        <w:t>LEVANTAMIENTO DE MEDIDA</w:t>
      </w:r>
      <w:r w:rsidR="00C73E36">
        <w:rPr>
          <w:rFonts w:ascii="Arial" w:eastAsia="Times New Roman" w:hAnsi="Arial" w:cs="Arial"/>
          <w:b/>
          <w:bCs/>
          <w:iCs/>
          <w:sz w:val="20"/>
          <w:szCs w:val="20"/>
          <w:lang w:val="es-419" w:eastAsia="fr-FR"/>
        </w:rPr>
        <w:t xml:space="preserve"> DE EMBARGO </w:t>
      </w:r>
      <w:r>
        <w:rPr>
          <w:rFonts w:ascii="Arial" w:eastAsia="Times New Roman" w:hAnsi="Arial" w:cs="Arial"/>
          <w:b/>
          <w:bCs/>
          <w:iCs/>
          <w:sz w:val="20"/>
          <w:szCs w:val="20"/>
          <w:lang w:val="es-419" w:eastAsia="fr-FR"/>
        </w:rPr>
        <w:t>/ REGISTRADA LUEGO DE INSCRIPCIÓN DE DEMANDA / ORDINARIO SOBRE RESOLUCIÓN DE CONTRATO / NO PROCEDE / SENTENCIA NO AFECTA DERECHO DE DOMINIO.</w:t>
      </w:r>
    </w:p>
    <w:p w14:paraId="15910DCA" w14:textId="77777777" w:rsidR="00C06C02" w:rsidRPr="005F6BBB" w:rsidRDefault="00C06C02" w:rsidP="00C06C02">
      <w:pPr>
        <w:widowControl/>
        <w:autoSpaceDE/>
        <w:autoSpaceDN/>
        <w:jc w:val="both"/>
        <w:rPr>
          <w:rFonts w:ascii="Arial" w:eastAsia="Times New Roman" w:hAnsi="Arial" w:cs="Arial"/>
          <w:sz w:val="20"/>
          <w:szCs w:val="20"/>
          <w:lang w:val="es-419" w:eastAsia="es-ES"/>
        </w:rPr>
      </w:pPr>
    </w:p>
    <w:p w14:paraId="78CACCC1" w14:textId="7193E30E" w:rsidR="00C06C02" w:rsidRDefault="00EE7638" w:rsidP="00C06C02">
      <w:pPr>
        <w:widowControl/>
        <w:autoSpaceDE/>
        <w:autoSpaceDN/>
        <w:jc w:val="both"/>
        <w:rPr>
          <w:rFonts w:ascii="Arial" w:eastAsia="Times New Roman" w:hAnsi="Arial" w:cs="Arial"/>
          <w:sz w:val="20"/>
          <w:szCs w:val="20"/>
          <w:lang w:val="es-419" w:eastAsia="es-ES"/>
        </w:rPr>
      </w:pPr>
      <w:r w:rsidRPr="00EE7638">
        <w:rPr>
          <w:rFonts w:ascii="Arial" w:eastAsia="Times New Roman" w:hAnsi="Arial" w:cs="Arial"/>
          <w:sz w:val="20"/>
          <w:szCs w:val="20"/>
          <w:lang w:val="es-419" w:eastAsia="es-ES"/>
        </w:rPr>
        <w:t>El problema que debe resolver la Sala radica en establecer si el Juzgado acertó al señalar que los embargos inscritos con posterioridad al registro de la demanda en el proceso declarativo deben mantenerse</w:t>
      </w:r>
      <w:r>
        <w:rPr>
          <w:rFonts w:ascii="Arial" w:eastAsia="Times New Roman" w:hAnsi="Arial" w:cs="Arial"/>
          <w:sz w:val="20"/>
          <w:szCs w:val="20"/>
          <w:lang w:val="es-419" w:eastAsia="es-ES"/>
        </w:rPr>
        <w:t>…</w:t>
      </w:r>
    </w:p>
    <w:p w14:paraId="171E082B" w14:textId="77777777" w:rsidR="00C06C02" w:rsidRDefault="00C06C02" w:rsidP="00C06C02">
      <w:pPr>
        <w:widowControl/>
        <w:autoSpaceDE/>
        <w:autoSpaceDN/>
        <w:jc w:val="both"/>
        <w:rPr>
          <w:rFonts w:ascii="Arial" w:eastAsia="Times New Roman" w:hAnsi="Arial" w:cs="Arial"/>
          <w:sz w:val="20"/>
          <w:szCs w:val="20"/>
          <w:lang w:val="es-419" w:eastAsia="es-ES"/>
        </w:rPr>
      </w:pPr>
    </w:p>
    <w:p w14:paraId="762C1D6E" w14:textId="3304BF94" w:rsidR="00C06C02" w:rsidRDefault="00EE7638" w:rsidP="00C06C02">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EE7638">
        <w:rPr>
          <w:rFonts w:ascii="Arial" w:eastAsia="Times New Roman" w:hAnsi="Arial" w:cs="Arial"/>
          <w:sz w:val="20"/>
          <w:szCs w:val="20"/>
          <w:lang w:val="es-419" w:eastAsia="es-ES"/>
        </w:rPr>
        <w:t>el proceso declarativo del que deriva esta ejecución, nació en el mes de febrero de 2012, con lo cual, la norma que regentaba las medidas cautelares en los procesos de aquella estirpe, era el artículo 690 del CPC, no el 590 del CGP.</w:t>
      </w:r>
    </w:p>
    <w:p w14:paraId="1571ED90" w14:textId="77777777" w:rsidR="00C06C02" w:rsidRDefault="00C06C02" w:rsidP="00C06C02">
      <w:pPr>
        <w:widowControl/>
        <w:autoSpaceDE/>
        <w:autoSpaceDN/>
        <w:jc w:val="both"/>
        <w:rPr>
          <w:rFonts w:ascii="Arial" w:eastAsia="Times New Roman" w:hAnsi="Arial" w:cs="Arial"/>
          <w:sz w:val="20"/>
          <w:szCs w:val="20"/>
          <w:lang w:val="es-419" w:eastAsia="es-ES"/>
        </w:rPr>
      </w:pPr>
    </w:p>
    <w:p w14:paraId="78FEE0E4" w14:textId="1BB760C8" w:rsidR="00F7246C" w:rsidRPr="00F7246C" w:rsidRDefault="00F7246C" w:rsidP="00F7246C">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7246C">
        <w:rPr>
          <w:rFonts w:ascii="Arial" w:eastAsia="Times New Roman" w:hAnsi="Arial" w:cs="Arial"/>
          <w:sz w:val="20"/>
          <w:szCs w:val="20"/>
          <w:lang w:val="es-419" w:eastAsia="es-ES"/>
        </w:rPr>
        <w:t>esa regulación, que se mantuvo en el literal b) del numeral 1 del artículo 590 del CGP, es diferente a la de otros procesos declarativos que admiten ese tipo de medida cautelar, en los cuales debe estar de por medio la discusión sobre el dominio u otro derecho real principal.</w:t>
      </w:r>
    </w:p>
    <w:p w14:paraId="65068B54" w14:textId="77777777" w:rsidR="00F7246C" w:rsidRPr="00F7246C" w:rsidRDefault="00F7246C" w:rsidP="00F7246C">
      <w:pPr>
        <w:widowControl/>
        <w:autoSpaceDE/>
        <w:autoSpaceDN/>
        <w:jc w:val="both"/>
        <w:rPr>
          <w:rFonts w:ascii="Arial" w:eastAsia="Times New Roman" w:hAnsi="Arial" w:cs="Arial"/>
          <w:sz w:val="20"/>
          <w:szCs w:val="20"/>
          <w:lang w:val="es-419" w:eastAsia="es-ES"/>
        </w:rPr>
      </w:pPr>
    </w:p>
    <w:p w14:paraId="4EB376AB" w14:textId="092B186C" w:rsidR="00C06C02" w:rsidRDefault="00F7246C" w:rsidP="00F7246C">
      <w:pPr>
        <w:widowControl/>
        <w:autoSpaceDE/>
        <w:autoSpaceDN/>
        <w:jc w:val="both"/>
        <w:rPr>
          <w:rFonts w:ascii="Arial" w:eastAsia="Times New Roman" w:hAnsi="Arial" w:cs="Arial"/>
          <w:sz w:val="20"/>
          <w:szCs w:val="20"/>
          <w:lang w:val="es-419" w:eastAsia="es-ES"/>
        </w:rPr>
      </w:pPr>
      <w:r w:rsidRPr="00F7246C">
        <w:rPr>
          <w:rFonts w:ascii="Arial" w:eastAsia="Times New Roman" w:hAnsi="Arial" w:cs="Arial"/>
          <w:sz w:val="20"/>
          <w:szCs w:val="20"/>
          <w:lang w:val="es-419" w:eastAsia="es-ES"/>
        </w:rPr>
        <w:t>Ello, porque, la sola resolución de un contrato y para más, uno de promesa de compraventa, como aquí ocurrió, no compromete el ejercicio de ese derecho de dominio o de un derecho real principal</w:t>
      </w:r>
      <w:r>
        <w:rPr>
          <w:rFonts w:ascii="Arial" w:eastAsia="Times New Roman" w:hAnsi="Arial" w:cs="Arial"/>
          <w:sz w:val="20"/>
          <w:szCs w:val="20"/>
          <w:lang w:val="es-419" w:eastAsia="es-ES"/>
        </w:rPr>
        <w:t>…</w:t>
      </w:r>
    </w:p>
    <w:p w14:paraId="7A44F06F" w14:textId="41C8D227" w:rsidR="00F7246C" w:rsidRDefault="00F7246C" w:rsidP="00C06C02">
      <w:pPr>
        <w:widowControl/>
        <w:autoSpaceDE/>
        <w:autoSpaceDN/>
        <w:jc w:val="both"/>
        <w:rPr>
          <w:rFonts w:ascii="Arial" w:eastAsia="Times New Roman" w:hAnsi="Arial" w:cs="Arial"/>
          <w:sz w:val="20"/>
          <w:szCs w:val="20"/>
          <w:lang w:val="es-419" w:eastAsia="es-ES"/>
        </w:rPr>
      </w:pPr>
    </w:p>
    <w:p w14:paraId="5032F783" w14:textId="76D3B39D" w:rsidR="00F7246C" w:rsidRDefault="00F7246C" w:rsidP="00C06C02">
      <w:pPr>
        <w:widowControl/>
        <w:autoSpaceDE/>
        <w:autoSpaceDN/>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F7246C">
        <w:rPr>
          <w:rFonts w:ascii="Arial" w:eastAsia="Times New Roman" w:hAnsi="Arial" w:cs="Arial"/>
          <w:sz w:val="20"/>
          <w:szCs w:val="20"/>
          <w:lang w:val="es-419" w:eastAsia="es-ES"/>
        </w:rPr>
        <w:t>en el que se pone de por medio el derecho de dominio o el real, la sentencia conduce a la mutación o al cambio del titular del derecho, con lo cual, el resultado final del proceso debe conducir, inexorablemente, al levantamiento de cualquier restricción sobre el inmueble, posterior a la inscripción de la demanda, incluyendo, claro está, los embargos</w:t>
      </w:r>
      <w:r>
        <w:rPr>
          <w:rFonts w:ascii="Arial" w:eastAsia="Times New Roman" w:hAnsi="Arial" w:cs="Arial"/>
          <w:sz w:val="20"/>
          <w:szCs w:val="20"/>
          <w:lang w:val="es-419" w:eastAsia="es-ES"/>
        </w:rPr>
        <w:t>…</w:t>
      </w:r>
    </w:p>
    <w:p w14:paraId="28E71302" w14:textId="43D0EB79" w:rsidR="00F7246C" w:rsidRDefault="00F7246C" w:rsidP="00C06C02">
      <w:pPr>
        <w:widowControl/>
        <w:autoSpaceDE/>
        <w:autoSpaceDN/>
        <w:jc w:val="both"/>
        <w:rPr>
          <w:rFonts w:ascii="Arial" w:eastAsia="Times New Roman" w:hAnsi="Arial" w:cs="Arial"/>
          <w:sz w:val="20"/>
          <w:szCs w:val="20"/>
          <w:lang w:val="es-419" w:eastAsia="es-ES"/>
        </w:rPr>
      </w:pPr>
    </w:p>
    <w:p w14:paraId="40E66031" w14:textId="70E4F7B0" w:rsidR="00F7246C" w:rsidRDefault="00C710A7" w:rsidP="00C06C02">
      <w:pPr>
        <w:widowControl/>
        <w:autoSpaceDE/>
        <w:autoSpaceDN/>
        <w:jc w:val="both"/>
        <w:rPr>
          <w:rFonts w:ascii="Arial" w:eastAsia="Times New Roman" w:hAnsi="Arial" w:cs="Arial"/>
          <w:sz w:val="20"/>
          <w:szCs w:val="20"/>
          <w:lang w:val="es-419" w:eastAsia="es-ES"/>
        </w:rPr>
      </w:pPr>
      <w:r w:rsidRPr="00C710A7">
        <w:rPr>
          <w:rFonts w:ascii="Arial" w:eastAsia="Times New Roman" w:hAnsi="Arial" w:cs="Arial"/>
          <w:sz w:val="20"/>
          <w:szCs w:val="20"/>
          <w:lang w:val="es-419" w:eastAsia="es-ES"/>
        </w:rPr>
        <w:t>Distinto es en el otro evento, en el que la inscripción de la demanda no pone las cosas fuera del comercio, con lo cual se pueden inscribir embargos con posterioridad, mismos que, al no haber cambio de un titular, deben mantenerse vigentes</w:t>
      </w:r>
      <w:r>
        <w:rPr>
          <w:rFonts w:ascii="Arial" w:eastAsia="Times New Roman" w:hAnsi="Arial" w:cs="Arial"/>
          <w:sz w:val="20"/>
          <w:szCs w:val="20"/>
          <w:lang w:val="es-419" w:eastAsia="es-ES"/>
        </w:rPr>
        <w:t>…</w:t>
      </w:r>
    </w:p>
    <w:p w14:paraId="55DC514A" w14:textId="77777777" w:rsidR="00C06C02" w:rsidRDefault="00C06C02" w:rsidP="00C06C02">
      <w:pPr>
        <w:widowControl/>
        <w:autoSpaceDE/>
        <w:autoSpaceDN/>
        <w:jc w:val="both"/>
        <w:rPr>
          <w:rFonts w:ascii="Arial" w:eastAsia="Times New Roman" w:hAnsi="Arial" w:cs="Arial"/>
          <w:sz w:val="20"/>
          <w:szCs w:val="20"/>
          <w:lang w:val="es-419" w:eastAsia="es-ES"/>
        </w:rPr>
      </w:pPr>
    </w:p>
    <w:p w14:paraId="0027758E" w14:textId="77777777" w:rsidR="00C06C02" w:rsidRDefault="00C06C02" w:rsidP="00C06C02">
      <w:pPr>
        <w:widowControl/>
        <w:autoSpaceDE/>
        <w:autoSpaceDN/>
        <w:jc w:val="both"/>
        <w:rPr>
          <w:rFonts w:ascii="Arial" w:eastAsia="Times New Roman" w:hAnsi="Arial" w:cs="Arial"/>
          <w:sz w:val="20"/>
          <w:szCs w:val="20"/>
          <w:lang w:val="es-419" w:eastAsia="es-ES"/>
        </w:rPr>
      </w:pPr>
    </w:p>
    <w:p w14:paraId="04D56AC2" w14:textId="77777777" w:rsidR="00C06C02" w:rsidRPr="00EB5C44" w:rsidRDefault="00C06C02" w:rsidP="00C06C02">
      <w:pPr>
        <w:widowControl/>
        <w:autoSpaceDE/>
        <w:autoSpaceDN/>
        <w:jc w:val="both"/>
        <w:rPr>
          <w:rFonts w:ascii="Arial" w:eastAsia="Times New Roman" w:hAnsi="Arial" w:cs="Arial"/>
          <w:sz w:val="20"/>
          <w:szCs w:val="20"/>
          <w:lang w:val="es-419" w:eastAsia="es-ES"/>
        </w:rPr>
      </w:pPr>
    </w:p>
    <w:bookmarkEnd w:id="0"/>
    <w:p w14:paraId="2CFB9B55" w14:textId="77777777" w:rsidR="004027A2" w:rsidRDefault="00143BB8" w:rsidP="004027A2">
      <w:pPr>
        <w:pStyle w:val="Ttulo2"/>
        <w:spacing w:before="0" w:line="276" w:lineRule="auto"/>
        <w:ind w:left="1560" w:right="1213" w:hanging="284"/>
        <w:rPr>
          <w:sz w:val="24"/>
          <w:szCs w:val="24"/>
        </w:rPr>
      </w:pPr>
      <w:r w:rsidRPr="004027A2">
        <w:rPr>
          <w:sz w:val="24"/>
          <w:szCs w:val="24"/>
        </w:rPr>
        <w:t>TRIBUNAL SUPERIOR DEL DISTRITO</w:t>
      </w:r>
    </w:p>
    <w:p w14:paraId="10AB8269" w14:textId="4C63D552" w:rsidR="00FD0FCD" w:rsidRPr="004027A2" w:rsidRDefault="00143BB8" w:rsidP="004027A2">
      <w:pPr>
        <w:pStyle w:val="Ttulo2"/>
        <w:spacing w:before="0" w:line="276" w:lineRule="auto"/>
        <w:ind w:left="1560" w:right="1213" w:hanging="284"/>
        <w:rPr>
          <w:sz w:val="24"/>
          <w:szCs w:val="24"/>
        </w:rPr>
      </w:pPr>
      <w:r w:rsidRPr="004027A2">
        <w:rPr>
          <w:sz w:val="24"/>
          <w:szCs w:val="24"/>
        </w:rPr>
        <w:t>SALA</w:t>
      </w:r>
      <w:r w:rsidR="00F130F4" w:rsidRPr="004027A2">
        <w:rPr>
          <w:sz w:val="24"/>
          <w:szCs w:val="24"/>
        </w:rPr>
        <w:t xml:space="preserve"> </w:t>
      </w:r>
      <w:r w:rsidRPr="004027A2">
        <w:rPr>
          <w:sz w:val="24"/>
          <w:szCs w:val="24"/>
        </w:rPr>
        <w:t>UNITARIA CIVIL - FAMILIA</w:t>
      </w:r>
    </w:p>
    <w:p w14:paraId="3F837945" w14:textId="77777777" w:rsidR="00F130F4" w:rsidRPr="004027A2" w:rsidRDefault="00F130F4" w:rsidP="004027A2">
      <w:pPr>
        <w:pStyle w:val="Textoindependiente"/>
        <w:tabs>
          <w:tab w:val="left" w:pos="3930"/>
          <w:tab w:val="right" w:pos="8076"/>
        </w:tabs>
        <w:spacing w:line="276" w:lineRule="auto"/>
        <w:ind w:right="51"/>
        <w:rPr>
          <w:rFonts w:ascii="Gadugi" w:hAnsi="Gadugi"/>
          <w:sz w:val="24"/>
          <w:szCs w:val="24"/>
        </w:rPr>
      </w:pPr>
    </w:p>
    <w:p w14:paraId="165FA895" w14:textId="77777777" w:rsidR="00F130F4" w:rsidRPr="004027A2" w:rsidRDefault="00F130F4" w:rsidP="004027A2">
      <w:pPr>
        <w:pStyle w:val="Textoindependiente"/>
        <w:tabs>
          <w:tab w:val="left" w:pos="3930"/>
          <w:tab w:val="right" w:pos="8076"/>
        </w:tabs>
        <w:spacing w:line="276" w:lineRule="auto"/>
        <w:ind w:right="51"/>
        <w:rPr>
          <w:rFonts w:ascii="Gadugi" w:hAnsi="Gadugi"/>
          <w:sz w:val="24"/>
          <w:szCs w:val="24"/>
        </w:rPr>
      </w:pPr>
    </w:p>
    <w:p w14:paraId="11A29FA1" w14:textId="3191C46A" w:rsidR="00F130F4" w:rsidRPr="004027A2" w:rsidRDefault="00143BB8" w:rsidP="004027A2">
      <w:pPr>
        <w:pStyle w:val="Textoindependiente"/>
        <w:tabs>
          <w:tab w:val="left" w:pos="3930"/>
          <w:tab w:val="right" w:pos="8076"/>
        </w:tabs>
        <w:spacing w:line="276" w:lineRule="auto"/>
        <w:ind w:right="51" w:firstLine="1276"/>
        <w:rPr>
          <w:rFonts w:ascii="Gadugi" w:hAnsi="Gadugi"/>
          <w:sz w:val="24"/>
          <w:szCs w:val="24"/>
        </w:rPr>
      </w:pPr>
      <w:r w:rsidRPr="004027A2">
        <w:rPr>
          <w:rFonts w:ascii="Gadugi" w:hAnsi="Gadugi"/>
          <w:sz w:val="24"/>
          <w:szCs w:val="24"/>
        </w:rPr>
        <w:t>Magistrado:</w:t>
      </w:r>
      <w:r w:rsidRPr="004027A2">
        <w:rPr>
          <w:rFonts w:ascii="Gadugi" w:hAnsi="Gadugi"/>
          <w:sz w:val="24"/>
          <w:szCs w:val="24"/>
        </w:rPr>
        <w:tab/>
        <w:t xml:space="preserve">Jaime Alberto Saraza Naranjo </w:t>
      </w:r>
    </w:p>
    <w:p w14:paraId="7E8AC33A" w14:textId="73220645" w:rsidR="00C34631" w:rsidRPr="004027A2" w:rsidRDefault="00143BB8" w:rsidP="004027A2">
      <w:pPr>
        <w:pStyle w:val="Textoindependiente"/>
        <w:tabs>
          <w:tab w:val="left" w:pos="3930"/>
          <w:tab w:val="right" w:pos="8076"/>
        </w:tabs>
        <w:spacing w:line="276" w:lineRule="auto"/>
        <w:ind w:left="1701" w:right="51" w:hanging="425"/>
        <w:rPr>
          <w:rFonts w:ascii="Gadugi" w:hAnsi="Gadugi"/>
          <w:sz w:val="24"/>
          <w:szCs w:val="24"/>
        </w:rPr>
      </w:pPr>
      <w:r w:rsidRPr="004027A2">
        <w:rPr>
          <w:rFonts w:ascii="Gadugi" w:hAnsi="Gadugi"/>
          <w:sz w:val="24"/>
          <w:szCs w:val="24"/>
        </w:rPr>
        <w:t>Pereira</w:t>
      </w:r>
      <w:r w:rsidR="00F130F4" w:rsidRPr="004027A2">
        <w:rPr>
          <w:rFonts w:ascii="Gadugi" w:hAnsi="Gadugi"/>
          <w:sz w:val="24"/>
          <w:szCs w:val="24"/>
        </w:rPr>
        <w:t>:</w:t>
      </w:r>
      <w:r w:rsidRPr="004027A2">
        <w:rPr>
          <w:rFonts w:ascii="Gadugi" w:hAnsi="Gadugi"/>
          <w:sz w:val="24"/>
          <w:szCs w:val="24"/>
        </w:rPr>
        <w:tab/>
      </w:r>
      <w:r w:rsidR="0054757D" w:rsidRPr="004027A2">
        <w:rPr>
          <w:rFonts w:ascii="Gadugi" w:hAnsi="Gadugi"/>
          <w:sz w:val="24"/>
          <w:szCs w:val="24"/>
        </w:rPr>
        <w:t>Septiembre trece de dos mil veintidós</w:t>
      </w:r>
    </w:p>
    <w:p w14:paraId="48EF4A19" w14:textId="656E9B4B" w:rsidR="00FD0FCD" w:rsidRPr="004027A2" w:rsidRDefault="00143BB8" w:rsidP="004027A2">
      <w:pPr>
        <w:pStyle w:val="Textoindependiente"/>
        <w:tabs>
          <w:tab w:val="left" w:pos="3930"/>
        </w:tabs>
        <w:spacing w:line="276" w:lineRule="auto"/>
        <w:ind w:right="51" w:firstLine="1242"/>
        <w:rPr>
          <w:rFonts w:ascii="Gadugi" w:hAnsi="Gadugi"/>
          <w:sz w:val="24"/>
          <w:szCs w:val="24"/>
        </w:rPr>
      </w:pPr>
      <w:r w:rsidRPr="004027A2">
        <w:rPr>
          <w:rFonts w:ascii="Gadugi" w:hAnsi="Gadugi"/>
          <w:sz w:val="24"/>
          <w:szCs w:val="24"/>
        </w:rPr>
        <w:t>Auto:</w:t>
      </w:r>
      <w:r w:rsidRPr="004027A2">
        <w:rPr>
          <w:rFonts w:ascii="Gadugi" w:hAnsi="Gadugi"/>
          <w:sz w:val="24"/>
          <w:szCs w:val="24"/>
        </w:rPr>
        <w:tab/>
      </w:r>
      <w:r w:rsidR="0054757D" w:rsidRPr="004027A2">
        <w:rPr>
          <w:rFonts w:ascii="Gadugi" w:hAnsi="Gadugi"/>
          <w:sz w:val="24"/>
          <w:szCs w:val="24"/>
        </w:rPr>
        <w:t>AC-0144-2022</w:t>
      </w:r>
    </w:p>
    <w:p w14:paraId="1EFA7F1F" w14:textId="4AFEE82C" w:rsidR="00FD0FCD" w:rsidRPr="004027A2" w:rsidRDefault="00FD0FCD" w:rsidP="004027A2">
      <w:pPr>
        <w:spacing w:line="276" w:lineRule="auto"/>
        <w:rPr>
          <w:sz w:val="24"/>
          <w:szCs w:val="24"/>
        </w:rPr>
      </w:pPr>
    </w:p>
    <w:p w14:paraId="301DCC8F" w14:textId="77777777" w:rsidR="00DE75C0" w:rsidRPr="004027A2" w:rsidRDefault="00DE75C0" w:rsidP="004027A2">
      <w:pPr>
        <w:spacing w:line="276" w:lineRule="auto"/>
        <w:rPr>
          <w:sz w:val="24"/>
          <w:szCs w:val="24"/>
        </w:rPr>
      </w:pPr>
    </w:p>
    <w:p w14:paraId="0AEB7A2B" w14:textId="4CEF4203" w:rsidR="00FD0FCD" w:rsidRPr="004027A2" w:rsidRDefault="00143BB8" w:rsidP="004027A2">
      <w:pPr>
        <w:spacing w:line="276" w:lineRule="auto"/>
        <w:ind w:right="51"/>
        <w:jc w:val="both"/>
        <w:rPr>
          <w:b/>
          <w:sz w:val="24"/>
          <w:szCs w:val="24"/>
        </w:rPr>
      </w:pPr>
      <w:r w:rsidRPr="004027A2">
        <w:rPr>
          <w:sz w:val="24"/>
          <w:szCs w:val="24"/>
        </w:rPr>
        <w:t>Procede la Sala a resolver el recurso de apelación</w:t>
      </w:r>
      <w:r w:rsidR="003C125F" w:rsidRPr="004027A2">
        <w:rPr>
          <w:sz w:val="24"/>
          <w:szCs w:val="24"/>
        </w:rPr>
        <w:t xml:space="preserve"> </w:t>
      </w:r>
      <w:r w:rsidR="002E3B86" w:rsidRPr="004027A2">
        <w:rPr>
          <w:sz w:val="24"/>
          <w:szCs w:val="24"/>
        </w:rPr>
        <w:t xml:space="preserve">que interpuso el </w:t>
      </w:r>
      <w:r w:rsidR="003C125F" w:rsidRPr="004027A2">
        <w:rPr>
          <w:sz w:val="24"/>
          <w:szCs w:val="24"/>
        </w:rPr>
        <w:t xml:space="preserve">ejecutante contra el auto del 14 de febrero de 2022, proferido por el Juzgado Tercero Civil del Circuito en el asunto anunciado. </w:t>
      </w:r>
    </w:p>
    <w:p w14:paraId="12B94A0A" w14:textId="77777777" w:rsidR="00DE75C0" w:rsidRPr="004027A2" w:rsidRDefault="00DE75C0" w:rsidP="004027A2">
      <w:pPr>
        <w:spacing w:line="276" w:lineRule="auto"/>
        <w:ind w:right="51"/>
        <w:rPr>
          <w:b/>
          <w:sz w:val="24"/>
          <w:szCs w:val="24"/>
        </w:rPr>
      </w:pPr>
    </w:p>
    <w:p w14:paraId="351AE504" w14:textId="77777777" w:rsidR="002E3B86" w:rsidRPr="004027A2" w:rsidRDefault="002E3B86" w:rsidP="004027A2">
      <w:pPr>
        <w:pStyle w:val="Ttulo2"/>
        <w:spacing w:before="0" w:line="276" w:lineRule="auto"/>
        <w:ind w:left="0" w:right="51"/>
        <w:rPr>
          <w:sz w:val="24"/>
          <w:szCs w:val="24"/>
        </w:rPr>
      </w:pPr>
    </w:p>
    <w:p w14:paraId="3A4F8D91" w14:textId="11C45C70" w:rsidR="00FD0FCD" w:rsidRPr="004027A2" w:rsidRDefault="00143BB8" w:rsidP="004027A2">
      <w:pPr>
        <w:pStyle w:val="Ttulo2"/>
        <w:spacing w:before="0" w:line="276" w:lineRule="auto"/>
        <w:ind w:left="0" w:right="51"/>
        <w:rPr>
          <w:sz w:val="24"/>
          <w:szCs w:val="24"/>
        </w:rPr>
      </w:pPr>
      <w:r w:rsidRPr="004027A2">
        <w:rPr>
          <w:sz w:val="24"/>
          <w:szCs w:val="24"/>
        </w:rPr>
        <w:t>ANTECEDENTES</w:t>
      </w:r>
    </w:p>
    <w:p w14:paraId="18F6BA09" w14:textId="695A2FBE" w:rsidR="00FD0FCD" w:rsidRPr="004027A2" w:rsidRDefault="00FD0FCD" w:rsidP="004027A2">
      <w:pPr>
        <w:spacing w:line="276" w:lineRule="auto"/>
        <w:ind w:right="51"/>
        <w:rPr>
          <w:b/>
          <w:sz w:val="24"/>
          <w:szCs w:val="24"/>
        </w:rPr>
      </w:pPr>
    </w:p>
    <w:p w14:paraId="57247871" w14:textId="77777777" w:rsidR="002E3B86" w:rsidRPr="004027A2" w:rsidRDefault="002E3B86" w:rsidP="004027A2">
      <w:pPr>
        <w:pStyle w:val="Textoindependiente"/>
        <w:spacing w:line="276" w:lineRule="auto"/>
        <w:ind w:right="51"/>
        <w:jc w:val="both"/>
        <w:rPr>
          <w:rFonts w:ascii="Gadugi" w:hAnsi="Gadugi"/>
          <w:sz w:val="24"/>
          <w:szCs w:val="24"/>
        </w:rPr>
      </w:pPr>
    </w:p>
    <w:p w14:paraId="1F8E3580" w14:textId="63D0AA5C" w:rsidR="003C125F" w:rsidRPr="004027A2" w:rsidRDefault="00143BB8" w:rsidP="004027A2">
      <w:pPr>
        <w:pStyle w:val="Textoindependiente"/>
        <w:spacing w:line="276" w:lineRule="auto"/>
        <w:ind w:right="51"/>
        <w:jc w:val="both"/>
        <w:rPr>
          <w:rFonts w:ascii="Gadugi" w:hAnsi="Gadugi"/>
          <w:sz w:val="24"/>
          <w:szCs w:val="24"/>
        </w:rPr>
      </w:pPr>
      <w:r w:rsidRPr="004027A2">
        <w:rPr>
          <w:rFonts w:ascii="Gadugi" w:hAnsi="Gadugi"/>
          <w:sz w:val="24"/>
          <w:szCs w:val="24"/>
        </w:rPr>
        <w:t xml:space="preserve">En el referido </w:t>
      </w:r>
      <w:r w:rsidR="00B8613D" w:rsidRPr="004027A2">
        <w:rPr>
          <w:rFonts w:ascii="Gadugi" w:hAnsi="Gadugi"/>
          <w:sz w:val="24"/>
          <w:szCs w:val="24"/>
        </w:rPr>
        <w:t xml:space="preserve">proceso, </w:t>
      </w:r>
      <w:r w:rsidR="003C125F" w:rsidRPr="004027A2">
        <w:rPr>
          <w:rFonts w:ascii="Gadugi" w:hAnsi="Gadugi"/>
          <w:sz w:val="24"/>
          <w:szCs w:val="24"/>
        </w:rPr>
        <w:t xml:space="preserve">dentro de la ejecución a continuación del declarativo que </w:t>
      </w:r>
      <w:r w:rsidR="003C125F" w:rsidRPr="004027A2">
        <w:rPr>
          <w:rFonts w:ascii="Gadugi" w:hAnsi="Gadugi"/>
          <w:sz w:val="24"/>
          <w:szCs w:val="24"/>
        </w:rPr>
        <w:lastRenderedPageBreak/>
        <w:t xml:space="preserve">propuso el demandante, se ordenó, con auto del 24 de noviembre de 2021, el embargo y secuestro del bien matriculado bajo el número 290-15822. </w:t>
      </w:r>
    </w:p>
    <w:p w14:paraId="011DB52D" w14:textId="77777777" w:rsidR="003C125F" w:rsidRPr="004027A2" w:rsidRDefault="003C125F" w:rsidP="004027A2">
      <w:pPr>
        <w:pStyle w:val="Textoindependiente"/>
        <w:spacing w:line="276" w:lineRule="auto"/>
        <w:ind w:right="51"/>
        <w:jc w:val="both"/>
        <w:rPr>
          <w:rFonts w:ascii="Gadugi" w:hAnsi="Gadugi"/>
          <w:sz w:val="24"/>
          <w:szCs w:val="24"/>
        </w:rPr>
      </w:pPr>
    </w:p>
    <w:p w14:paraId="0A839600" w14:textId="77777777" w:rsidR="003C125F" w:rsidRPr="004027A2" w:rsidRDefault="003C125F" w:rsidP="004027A2">
      <w:pPr>
        <w:pStyle w:val="Textoindependiente"/>
        <w:spacing w:line="276" w:lineRule="auto"/>
        <w:ind w:right="51"/>
        <w:jc w:val="both"/>
        <w:rPr>
          <w:rFonts w:ascii="Gadugi" w:hAnsi="Gadugi"/>
          <w:sz w:val="24"/>
          <w:szCs w:val="24"/>
        </w:rPr>
      </w:pPr>
      <w:r w:rsidRPr="004027A2">
        <w:rPr>
          <w:rFonts w:ascii="Gadugi" w:hAnsi="Gadugi"/>
          <w:sz w:val="24"/>
          <w:szCs w:val="24"/>
        </w:rPr>
        <w:t xml:space="preserve">En providencia del 25 de enero de 2022, a solicitud de la parte, se aclaró que el embargo ordenado sustituiría la inscripción de la demanda que le fue avisada a la oficina de Registro de Instrumentos Públicos el 21 de marzo de 2012, correspondiente a la anotación 44 del certificado. </w:t>
      </w:r>
    </w:p>
    <w:p w14:paraId="21E9EC2B" w14:textId="77777777" w:rsidR="003C125F" w:rsidRPr="004027A2" w:rsidRDefault="003C125F" w:rsidP="004027A2">
      <w:pPr>
        <w:pStyle w:val="Textoindependiente"/>
        <w:spacing w:line="276" w:lineRule="auto"/>
        <w:ind w:right="51"/>
        <w:jc w:val="both"/>
        <w:rPr>
          <w:rFonts w:ascii="Gadugi" w:hAnsi="Gadugi"/>
          <w:sz w:val="24"/>
          <w:szCs w:val="24"/>
        </w:rPr>
      </w:pPr>
    </w:p>
    <w:p w14:paraId="7B910ED6" w14:textId="77777777" w:rsidR="00990BCF" w:rsidRPr="004027A2" w:rsidRDefault="003C125F" w:rsidP="004027A2">
      <w:pPr>
        <w:pStyle w:val="Textoindependiente"/>
        <w:spacing w:line="276" w:lineRule="auto"/>
        <w:ind w:right="51"/>
        <w:jc w:val="both"/>
        <w:rPr>
          <w:rFonts w:ascii="Gadugi" w:hAnsi="Gadugi"/>
          <w:sz w:val="24"/>
          <w:szCs w:val="24"/>
        </w:rPr>
      </w:pPr>
      <w:r w:rsidRPr="004027A2">
        <w:rPr>
          <w:rFonts w:ascii="Gadugi" w:hAnsi="Gadugi"/>
          <w:sz w:val="24"/>
          <w:szCs w:val="24"/>
        </w:rPr>
        <w:t>Una nueva solicitud del demandante se hizo consi</w:t>
      </w:r>
      <w:r w:rsidR="00990BCF" w:rsidRPr="004027A2">
        <w:rPr>
          <w:rFonts w:ascii="Gadugi" w:hAnsi="Gadugi"/>
          <w:sz w:val="24"/>
          <w:szCs w:val="24"/>
        </w:rPr>
        <w:t>s</w:t>
      </w:r>
      <w:r w:rsidRPr="004027A2">
        <w:rPr>
          <w:rFonts w:ascii="Gadugi" w:hAnsi="Gadugi"/>
          <w:sz w:val="24"/>
          <w:szCs w:val="24"/>
        </w:rPr>
        <w:t>tir en que</w:t>
      </w:r>
      <w:r w:rsidR="00990BCF" w:rsidRPr="004027A2">
        <w:rPr>
          <w:rFonts w:ascii="Gadugi" w:hAnsi="Gadugi"/>
          <w:sz w:val="24"/>
          <w:szCs w:val="24"/>
        </w:rPr>
        <w:t xml:space="preserve">, como esa inscripción fue previa a unos embargos decretados a instancias del Juzgado Tercero Laboral del Circuito de Pereira y el Municipio de Pereira, era menester cancelarlos, en los términos del artículo 591 del CGP. </w:t>
      </w:r>
    </w:p>
    <w:p w14:paraId="37BDD2C4" w14:textId="77777777" w:rsidR="00990BCF" w:rsidRPr="004027A2" w:rsidRDefault="00990BCF" w:rsidP="004027A2">
      <w:pPr>
        <w:pStyle w:val="Textoindependiente"/>
        <w:spacing w:line="276" w:lineRule="auto"/>
        <w:ind w:right="51"/>
        <w:jc w:val="both"/>
        <w:rPr>
          <w:rFonts w:ascii="Gadugi" w:hAnsi="Gadugi"/>
          <w:sz w:val="24"/>
          <w:szCs w:val="24"/>
        </w:rPr>
      </w:pPr>
    </w:p>
    <w:p w14:paraId="40D769C6" w14:textId="5C9AC116" w:rsidR="00990BCF" w:rsidRPr="004027A2" w:rsidRDefault="00990BCF" w:rsidP="004027A2">
      <w:pPr>
        <w:pStyle w:val="Textoindependiente"/>
        <w:spacing w:line="276" w:lineRule="auto"/>
        <w:ind w:right="51"/>
        <w:jc w:val="both"/>
        <w:rPr>
          <w:rFonts w:ascii="Gadugi" w:hAnsi="Gadugi"/>
          <w:sz w:val="24"/>
          <w:szCs w:val="24"/>
        </w:rPr>
      </w:pPr>
      <w:r w:rsidRPr="004027A2">
        <w:rPr>
          <w:rFonts w:ascii="Gadugi" w:hAnsi="Gadugi"/>
          <w:sz w:val="24"/>
          <w:szCs w:val="24"/>
        </w:rPr>
        <w:t xml:space="preserve">Respondió el Juzgado, en el auto protestado, que esa norma se refiere a fallos que impliquen la anulación o cancelación de anotaciones que conlleven </w:t>
      </w:r>
      <w:r w:rsidR="00F130F4" w:rsidRPr="004027A2">
        <w:rPr>
          <w:rFonts w:ascii="Gadugi" w:hAnsi="Gadugi"/>
          <w:sz w:val="24"/>
          <w:szCs w:val="24"/>
        </w:rPr>
        <w:t>e</w:t>
      </w:r>
      <w:r w:rsidRPr="004027A2">
        <w:rPr>
          <w:rFonts w:ascii="Gadugi" w:hAnsi="Gadugi"/>
          <w:sz w:val="24"/>
          <w:szCs w:val="24"/>
        </w:rPr>
        <w:t xml:space="preserve">l cambio de la titularidad del bien, que no es lo que aquí ocurre; además, que las limitaciones de dominio que deben cancelarse son las que corresponden a la constitución de un patrimonio de familia, un usufructo, por ejemplo, pero no los embargos. </w:t>
      </w:r>
    </w:p>
    <w:p w14:paraId="10324E10" w14:textId="77777777" w:rsidR="00990BCF" w:rsidRPr="004027A2" w:rsidRDefault="00990BCF" w:rsidP="004027A2">
      <w:pPr>
        <w:pStyle w:val="Textoindependiente"/>
        <w:spacing w:line="276" w:lineRule="auto"/>
        <w:ind w:right="51"/>
        <w:jc w:val="both"/>
        <w:rPr>
          <w:rFonts w:ascii="Gadugi" w:hAnsi="Gadugi"/>
          <w:sz w:val="24"/>
          <w:szCs w:val="24"/>
        </w:rPr>
      </w:pPr>
    </w:p>
    <w:p w14:paraId="32AB3FA7" w14:textId="4F0A4310" w:rsidR="002F0BD3" w:rsidRPr="004027A2" w:rsidRDefault="00990BCF" w:rsidP="004027A2">
      <w:pPr>
        <w:pStyle w:val="Textoindependiente"/>
        <w:spacing w:line="276" w:lineRule="auto"/>
        <w:ind w:right="51"/>
        <w:jc w:val="both"/>
        <w:rPr>
          <w:rFonts w:ascii="Gadugi" w:hAnsi="Gadugi"/>
          <w:sz w:val="24"/>
          <w:szCs w:val="24"/>
        </w:rPr>
      </w:pPr>
      <w:r w:rsidRPr="004027A2">
        <w:rPr>
          <w:rFonts w:ascii="Gadugi" w:hAnsi="Gadugi"/>
          <w:sz w:val="24"/>
          <w:szCs w:val="24"/>
        </w:rPr>
        <w:t>Inconforme el demandante, aduce</w:t>
      </w:r>
      <w:r w:rsidR="002F0BD3" w:rsidRPr="004027A2">
        <w:rPr>
          <w:rFonts w:ascii="Gadugi" w:hAnsi="Gadugi"/>
          <w:sz w:val="24"/>
          <w:szCs w:val="24"/>
        </w:rPr>
        <w:t xml:space="preserve"> como sustento de sus recursos de reposición y apelación subsidiaria, en síntesis, </w:t>
      </w:r>
      <w:r w:rsidRPr="004027A2">
        <w:rPr>
          <w:rFonts w:ascii="Gadugi" w:hAnsi="Gadugi"/>
          <w:sz w:val="24"/>
          <w:szCs w:val="24"/>
        </w:rPr>
        <w:t>que el embargo es una limitación del dominio</w:t>
      </w:r>
      <w:r w:rsidR="002F0BD3" w:rsidRPr="004027A2">
        <w:rPr>
          <w:rFonts w:ascii="Gadugi" w:hAnsi="Gadugi"/>
          <w:sz w:val="24"/>
          <w:szCs w:val="24"/>
        </w:rPr>
        <w:t xml:space="preserve"> y que darle el alcance que quiere el Juzgado a la norma es desentenderse de su verdadero sentido, pues deja el resultado del proceso declarativo al aire, sin el sustento de la medida que le sirvió de apoyo, cuando lo que se quería con ella era que el objeto sobre el que recaía, sirviera de garantía a la condena impuesta. </w:t>
      </w:r>
    </w:p>
    <w:p w14:paraId="283A5946" w14:textId="617F9CAF" w:rsidR="00494A4A" w:rsidRPr="004027A2" w:rsidRDefault="00494A4A" w:rsidP="004027A2">
      <w:pPr>
        <w:pStyle w:val="Textoindependiente"/>
        <w:spacing w:line="276" w:lineRule="auto"/>
        <w:ind w:right="51"/>
        <w:jc w:val="both"/>
        <w:rPr>
          <w:rFonts w:ascii="Gadugi" w:hAnsi="Gadugi"/>
          <w:sz w:val="24"/>
          <w:szCs w:val="24"/>
        </w:rPr>
      </w:pPr>
    </w:p>
    <w:p w14:paraId="55368354" w14:textId="77777777" w:rsidR="002E3B86" w:rsidRPr="004027A2" w:rsidRDefault="00494A4A" w:rsidP="004027A2">
      <w:pPr>
        <w:pStyle w:val="Textoindependiente"/>
        <w:spacing w:line="276" w:lineRule="auto"/>
        <w:ind w:right="51"/>
        <w:jc w:val="both"/>
        <w:rPr>
          <w:rFonts w:ascii="Gadugi" w:hAnsi="Gadugi"/>
          <w:sz w:val="24"/>
          <w:szCs w:val="24"/>
        </w:rPr>
      </w:pPr>
      <w:r w:rsidRPr="004027A2">
        <w:rPr>
          <w:rFonts w:ascii="Gadugi" w:hAnsi="Gadugi"/>
          <w:sz w:val="24"/>
          <w:szCs w:val="24"/>
        </w:rPr>
        <w:t>La reposición fracasó</w:t>
      </w:r>
      <w:r w:rsidR="00315F09" w:rsidRPr="004027A2">
        <w:rPr>
          <w:rFonts w:ascii="Gadugi" w:hAnsi="Gadugi"/>
          <w:sz w:val="24"/>
          <w:szCs w:val="24"/>
        </w:rPr>
        <w:t xml:space="preserve">, pues el Juzgado siguió considerando que la inscripción de la demanda no pone los bienes fuera del comercio y permite la inscripción de embargos, que deben someterse a la prelación de que tarta el artículo 465 del CGP. </w:t>
      </w:r>
    </w:p>
    <w:p w14:paraId="1F8FD345" w14:textId="77777777" w:rsidR="002E3B86" w:rsidRPr="004027A2" w:rsidRDefault="002E3B86" w:rsidP="004027A2">
      <w:pPr>
        <w:pStyle w:val="Textoindependiente"/>
        <w:spacing w:line="276" w:lineRule="auto"/>
        <w:ind w:right="51"/>
        <w:jc w:val="both"/>
        <w:rPr>
          <w:rFonts w:ascii="Gadugi" w:hAnsi="Gadugi"/>
          <w:sz w:val="24"/>
          <w:szCs w:val="24"/>
        </w:rPr>
      </w:pPr>
    </w:p>
    <w:p w14:paraId="77AABFA3" w14:textId="27591538" w:rsidR="00494A4A" w:rsidRPr="004027A2" w:rsidRDefault="00315F09" w:rsidP="004027A2">
      <w:pPr>
        <w:pStyle w:val="Textoindependiente"/>
        <w:spacing w:line="276" w:lineRule="auto"/>
        <w:ind w:right="51"/>
        <w:jc w:val="both"/>
        <w:rPr>
          <w:rFonts w:ascii="Gadugi" w:hAnsi="Gadugi"/>
          <w:sz w:val="24"/>
          <w:szCs w:val="24"/>
        </w:rPr>
      </w:pPr>
      <w:r w:rsidRPr="004027A2">
        <w:rPr>
          <w:rFonts w:ascii="Gadugi" w:hAnsi="Gadugi"/>
          <w:sz w:val="24"/>
          <w:szCs w:val="24"/>
        </w:rPr>
        <w:t xml:space="preserve">Concedida la apelación y surtido el traslado respectivo, se envió el expediente para resolver lo pertinente. </w:t>
      </w:r>
    </w:p>
    <w:p w14:paraId="28EEF769" w14:textId="6BA8D44E" w:rsidR="00315F09" w:rsidRPr="004027A2" w:rsidRDefault="00315F09" w:rsidP="004027A2">
      <w:pPr>
        <w:pStyle w:val="Textoindependiente"/>
        <w:spacing w:line="276" w:lineRule="auto"/>
        <w:ind w:right="51"/>
        <w:jc w:val="both"/>
        <w:rPr>
          <w:rFonts w:ascii="Gadugi" w:hAnsi="Gadugi"/>
          <w:sz w:val="24"/>
          <w:szCs w:val="24"/>
        </w:rPr>
      </w:pPr>
    </w:p>
    <w:p w14:paraId="4291697D" w14:textId="77777777" w:rsidR="002E3B86" w:rsidRPr="004027A2" w:rsidRDefault="002E3B86" w:rsidP="004027A2">
      <w:pPr>
        <w:pStyle w:val="Textoindependiente"/>
        <w:spacing w:line="276" w:lineRule="auto"/>
        <w:ind w:right="51"/>
        <w:jc w:val="both"/>
        <w:rPr>
          <w:rFonts w:ascii="Gadugi" w:hAnsi="Gadugi"/>
          <w:sz w:val="24"/>
          <w:szCs w:val="24"/>
        </w:rPr>
      </w:pPr>
    </w:p>
    <w:p w14:paraId="0ADBCEAA" w14:textId="15E4B7FB" w:rsidR="00315F09" w:rsidRPr="004027A2" w:rsidRDefault="00315F09" w:rsidP="004027A2">
      <w:pPr>
        <w:pStyle w:val="Textoindependiente"/>
        <w:spacing w:line="276" w:lineRule="auto"/>
        <w:ind w:right="51"/>
        <w:jc w:val="both"/>
        <w:rPr>
          <w:rFonts w:ascii="Gadugi" w:hAnsi="Gadugi"/>
          <w:b/>
          <w:sz w:val="24"/>
          <w:szCs w:val="24"/>
        </w:rPr>
      </w:pPr>
      <w:r w:rsidRPr="004027A2">
        <w:rPr>
          <w:rFonts w:ascii="Gadugi" w:hAnsi="Gadugi"/>
          <w:b/>
          <w:sz w:val="24"/>
          <w:szCs w:val="24"/>
        </w:rPr>
        <w:t>CONSIDERACIONES</w:t>
      </w:r>
    </w:p>
    <w:p w14:paraId="70133142" w14:textId="5F88C1D1" w:rsidR="00315F09" w:rsidRPr="004027A2" w:rsidRDefault="00315F09" w:rsidP="004027A2">
      <w:pPr>
        <w:pStyle w:val="Textoindependiente"/>
        <w:spacing w:line="276" w:lineRule="auto"/>
        <w:ind w:right="51"/>
        <w:jc w:val="both"/>
        <w:rPr>
          <w:rFonts w:ascii="Gadugi" w:hAnsi="Gadugi"/>
          <w:sz w:val="24"/>
          <w:szCs w:val="24"/>
        </w:rPr>
      </w:pPr>
    </w:p>
    <w:p w14:paraId="1C804DDD" w14:textId="77777777" w:rsidR="002E3B86" w:rsidRPr="004027A2" w:rsidRDefault="002E3B86" w:rsidP="004027A2">
      <w:pPr>
        <w:pStyle w:val="Textoindependiente"/>
        <w:spacing w:line="276" w:lineRule="auto"/>
        <w:ind w:right="51"/>
        <w:jc w:val="both"/>
        <w:rPr>
          <w:rFonts w:ascii="Gadugi" w:hAnsi="Gadugi"/>
          <w:sz w:val="24"/>
          <w:szCs w:val="24"/>
        </w:rPr>
      </w:pPr>
    </w:p>
    <w:p w14:paraId="6CEF480E" w14:textId="2CF71173" w:rsidR="00FD0FCD" w:rsidRPr="004027A2" w:rsidRDefault="00143BB8" w:rsidP="004027A2">
      <w:pPr>
        <w:pStyle w:val="Prrafodelista"/>
        <w:numPr>
          <w:ilvl w:val="1"/>
          <w:numId w:val="2"/>
        </w:numPr>
        <w:tabs>
          <w:tab w:val="left" w:pos="426"/>
        </w:tabs>
        <w:spacing w:line="276" w:lineRule="auto"/>
        <w:ind w:left="0" w:right="51" w:firstLine="0"/>
        <w:rPr>
          <w:sz w:val="24"/>
          <w:szCs w:val="24"/>
        </w:rPr>
      </w:pPr>
      <w:r w:rsidRPr="004027A2">
        <w:rPr>
          <w:sz w:val="24"/>
          <w:szCs w:val="24"/>
        </w:rPr>
        <w:t xml:space="preserve">Esta Sala unitaria Sala es competente para </w:t>
      </w:r>
      <w:r w:rsidR="00BF7AA5" w:rsidRPr="004027A2">
        <w:rPr>
          <w:sz w:val="24"/>
          <w:szCs w:val="24"/>
        </w:rPr>
        <w:t>conocer la</w:t>
      </w:r>
      <w:r w:rsidRPr="004027A2">
        <w:rPr>
          <w:sz w:val="24"/>
          <w:szCs w:val="24"/>
        </w:rPr>
        <w:t xml:space="preserve"> alzada, en los términos de</w:t>
      </w:r>
      <w:r w:rsidR="00B8613D" w:rsidRPr="004027A2">
        <w:rPr>
          <w:sz w:val="24"/>
          <w:szCs w:val="24"/>
        </w:rPr>
        <w:t xml:space="preserve"> los artículos 31 y 35 del </w:t>
      </w:r>
      <w:r w:rsidRPr="004027A2">
        <w:rPr>
          <w:sz w:val="24"/>
          <w:szCs w:val="24"/>
        </w:rPr>
        <w:t>CGP.</w:t>
      </w:r>
    </w:p>
    <w:p w14:paraId="1BADC2DD" w14:textId="0D563D28" w:rsidR="002E3B86" w:rsidRPr="004027A2" w:rsidRDefault="002E3B86" w:rsidP="004027A2">
      <w:pPr>
        <w:pStyle w:val="Prrafodelista"/>
        <w:tabs>
          <w:tab w:val="left" w:pos="426"/>
        </w:tabs>
        <w:spacing w:line="276" w:lineRule="auto"/>
        <w:ind w:left="0" w:right="51" w:firstLine="0"/>
        <w:rPr>
          <w:sz w:val="24"/>
          <w:szCs w:val="24"/>
        </w:rPr>
      </w:pPr>
    </w:p>
    <w:p w14:paraId="130CDFC2" w14:textId="23E32B75" w:rsidR="00FD0FCD" w:rsidRPr="004027A2" w:rsidRDefault="00143BB8" w:rsidP="004027A2">
      <w:pPr>
        <w:pStyle w:val="Textoindependiente"/>
        <w:tabs>
          <w:tab w:val="left" w:pos="426"/>
        </w:tabs>
        <w:spacing w:line="276" w:lineRule="auto"/>
        <w:ind w:right="51"/>
        <w:jc w:val="both"/>
        <w:rPr>
          <w:rFonts w:ascii="Gadugi" w:hAnsi="Gadugi"/>
          <w:sz w:val="24"/>
          <w:szCs w:val="24"/>
        </w:rPr>
      </w:pPr>
      <w:r w:rsidRPr="004027A2">
        <w:rPr>
          <w:rFonts w:ascii="Gadugi" w:hAnsi="Gadugi"/>
          <w:sz w:val="24"/>
          <w:szCs w:val="24"/>
        </w:rPr>
        <w:t>Además, el recurso es procedente, según establece</w:t>
      </w:r>
      <w:r w:rsidR="00222745" w:rsidRPr="004027A2">
        <w:rPr>
          <w:rFonts w:ascii="Gadugi" w:hAnsi="Gadugi"/>
          <w:sz w:val="24"/>
          <w:szCs w:val="24"/>
        </w:rPr>
        <w:t xml:space="preserve"> el numeral 8 del artículo 321 del CGP, </w:t>
      </w:r>
      <w:r w:rsidRPr="004027A2">
        <w:rPr>
          <w:rFonts w:ascii="Gadugi" w:hAnsi="Gadugi"/>
          <w:sz w:val="24"/>
          <w:szCs w:val="24"/>
        </w:rPr>
        <w:t xml:space="preserve">fue propuesto oportunamente, por la parte legitimada para ello y se sustentó </w:t>
      </w:r>
      <w:r w:rsidRPr="004027A2">
        <w:rPr>
          <w:rFonts w:ascii="Gadugi" w:hAnsi="Gadugi"/>
          <w:sz w:val="24"/>
          <w:szCs w:val="24"/>
        </w:rPr>
        <w:lastRenderedPageBreak/>
        <w:t>adecuadamente.</w:t>
      </w:r>
    </w:p>
    <w:p w14:paraId="6FF0C3EE" w14:textId="77777777" w:rsidR="00FD0FCD" w:rsidRPr="004027A2" w:rsidRDefault="00FD0FCD" w:rsidP="004027A2">
      <w:pPr>
        <w:tabs>
          <w:tab w:val="left" w:pos="426"/>
        </w:tabs>
        <w:spacing w:line="276" w:lineRule="auto"/>
        <w:ind w:right="51"/>
        <w:rPr>
          <w:sz w:val="24"/>
          <w:szCs w:val="24"/>
        </w:rPr>
      </w:pPr>
    </w:p>
    <w:p w14:paraId="524D2325" w14:textId="464505CA" w:rsidR="00897174" w:rsidRPr="004027A2" w:rsidRDefault="00143BB8" w:rsidP="004027A2">
      <w:pPr>
        <w:pStyle w:val="Prrafodelista"/>
        <w:numPr>
          <w:ilvl w:val="1"/>
          <w:numId w:val="2"/>
        </w:numPr>
        <w:tabs>
          <w:tab w:val="left" w:pos="426"/>
        </w:tabs>
        <w:spacing w:line="276" w:lineRule="auto"/>
        <w:ind w:left="0" w:right="51" w:firstLine="0"/>
        <w:rPr>
          <w:sz w:val="24"/>
          <w:szCs w:val="24"/>
        </w:rPr>
      </w:pPr>
      <w:r w:rsidRPr="004027A2">
        <w:rPr>
          <w:sz w:val="24"/>
          <w:szCs w:val="24"/>
        </w:rPr>
        <w:t xml:space="preserve">El problema que debe </w:t>
      </w:r>
      <w:r w:rsidR="00222745" w:rsidRPr="004027A2">
        <w:rPr>
          <w:sz w:val="24"/>
          <w:szCs w:val="24"/>
        </w:rPr>
        <w:t>resolver la Sala radica en establecer si el Juzgado acertó al señalar que los embargos inscritos con posterioridad al registro de la demanda en el proceso declarativo deben mantenerse; o si la razón está de parte del recurrente que señala que, inscrita la demanda</w:t>
      </w:r>
      <w:r w:rsidR="00E40A99" w:rsidRPr="004027A2">
        <w:rPr>
          <w:sz w:val="24"/>
          <w:szCs w:val="24"/>
        </w:rPr>
        <w:t>,</w:t>
      </w:r>
      <w:r w:rsidR="00222745" w:rsidRPr="004027A2">
        <w:rPr>
          <w:sz w:val="24"/>
          <w:szCs w:val="24"/>
        </w:rPr>
        <w:t xml:space="preserve"> toda limitación sobre el bien registrada con posterioridad tiene que levantarse, incluyendo los embargos.</w:t>
      </w:r>
    </w:p>
    <w:p w14:paraId="44DCE2E0" w14:textId="492B4F73" w:rsidR="00897174" w:rsidRPr="004027A2" w:rsidRDefault="00897174" w:rsidP="004027A2">
      <w:pPr>
        <w:pStyle w:val="Prrafodelista"/>
        <w:tabs>
          <w:tab w:val="left" w:pos="426"/>
        </w:tabs>
        <w:spacing w:line="276" w:lineRule="auto"/>
        <w:ind w:left="1701" w:right="51" w:firstLine="0"/>
        <w:rPr>
          <w:sz w:val="24"/>
          <w:szCs w:val="24"/>
        </w:rPr>
      </w:pPr>
    </w:p>
    <w:p w14:paraId="22AAC9A4" w14:textId="3B67BC54" w:rsidR="000C78C3" w:rsidRPr="004027A2" w:rsidRDefault="00897174" w:rsidP="004027A2">
      <w:pPr>
        <w:pStyle w:val="Prrafodelista"/>
        <w:numPr>
          <w:ilvl w:val="1"/>
          <w:numId w:val="2"/>
        </w:numPr>
        <w:tabs>
          <w:tab w:val="left" w:pos="426"/>
        </w:tabs>
        <w:spacing w:line="276" w:lineRule="auto"/>
        <w:ind w:left="0" w:right="51" w:firstLine="0"/>
        <w:rPr>
          <w:sz w:val="24"/>
          <w:szCs w:val="24"/>
        </w:rPr>
      </w:pPr>
      <w:r w:rsidRPr="004027A2">
        <w:rPr>
          <w:sz w:val="24"/>
          <w:szCs w:val="24"/>
        </w:rPr>
        <w:t xml:space="preserve">Tal vez lo primero que se debe tener en cuenta aquí es que el proceso declarativo del que deriva esta ejecución, nació en el mes de febrero de 2012, con lo cual, la norma que regentaba las medidas cautelares en los procesos de aquella estirpe, era el </w:t>
      </w:r>
      <w:r w:rsidR="000C78C3" w:rsidRPr="004027A2">
        <w:rPr>
          <w:sz w:val="24"/>
          <w:szCs w:val="24"/>
        </w:rPr>
        <w:t xml:space="preserve">artículo 690 del CPC, no el </w:t>
      </w:r>
      <w:r w:rsidR="00E40A99" w:rsidRPr="004027A2">
        <w:rPr>
          <w:sz w:val="24"/>
          <w:szCs w:val="24"/>
        </w:rPr>
        <w:t>5</w:t>
      </w:r>
      <w:r w:rsidR="000C78C3" w:rsidRPr="004027A2">
        <w:rPr>
          <w:sz w:val="24"/>
          <w:szCs w:val="24"/>
        </w:rPr>
        <w:t xml:space="preserve">90 del CGP. </w:t>
      </w:r>
    </w:p>
    <w:p w14:paraId="0D0655CC" w14:textId="77777777" w:rsidR="000C78C3" w:rsidRPr="004027A2" w:rsidRDefault="000C78C3" w:rsidP="004027A2">
      <w:pPr>
        <w:pStyle w:val="Prrafodelista"/>
        <w:tabs>
          <w:tab w:val="left" w:pos="426"/>
        </w:tabs>
        <w:spacing w:line="276" w:lineRule="auto"/>
        <w:ind w:right="51" w:firstLine="0"/>
        <w:rPr>
          <w:sz w:val="24"/>
          <w:szCs w:val="24"/>
        </w:rPr>
      </w:pPr>
    </w:p>
    <w:p w14:paraId="465CEADF" w14:textId="73962D36" w:rsidR="00897174" w:rsidRPr="004027A2" w:rsidRDefault="000C78C3" w:rsidP="004027A2">
      <w:pPr>
        <w:pStyle w:val="Prrafodelista"/>
        <w:tabs>
          <w:tab w:val="left" w:pos="426"/>
        </w:tabs>
        <w:spacing w:line="276" w:lineRule="auto"/>
        <w:ind w:left="0" w:right="51" w:firstLine="0"/>
        <w:rPr>
          <w:sz w:val="24"/>
          <w:szCs w:val="24"/>
        </w:rPr>
      </w:pPr>
      <w:r w:rsidRPr="004027A2">
        <w:rPr>
          <w:sz w:val="24"/>
          <w:szCs w:val="24"/>
        </w:rPr>
        <w:t xml:space="preserve">Dicha norma, fue modificada por la Ley 1395 de 2010, precisamente, en su numeral 8° para permitir, desde entonces, la inscripción de la demanda sobre bienes de propiedad del demandado sujetos a registro, cuando se persiguiera el pago de perjuicios provenientes de responsabilidad civil contractual o extracontractual. </w:t>
      </w:r>
    </w:p>
    <w:p w14:paraId="63515D43" w14:textId="4373BBDD" w:rsidR="000C78C3" w:rsidRPr="004027A2" w:rsidRDefault="000C78C3" w:rsidP="004027A2">
      <w:pPr>
        <w:pStyle w:val="Prrafodelista"/>
        <w:tabs>
          <w:tab w:val="left" w:pos="426"/>
        </w:tabs>
        <w:spacing w:line="276" w:lineRule="auto"/>
        <w:ind w:left="0" w:right="51" w:firstLine="0"/>
        <w:rPr>
          <w:sz w:val="24"/>
          <w:szCs w:val="24"/>
        </w:rPr>
      </w:pPr>
    </w:p>
    <w:p w14:paraId="66E64532" w14:textId="77777777" w:rsidR="00086358" w:rsidRPr="004027A2" w:rsidRDefault="000C78C3" w:rsidP="004027A2">
      <w:pPr>
        <w:pStyle w:val="Prrafodelista"/>
        <w:tabs>
          <w:tab w:val="left" w:pos="426"/>
        </w:tabs>
        <w:spacing w:line="276" w:lineRule="auto"/>
        <w:ind w:left="0" w:right="51" w:firstLine="0"/>
        <w:rPr>
          <w:sz w:val="24"/>
          <w:szCs w:val="24"/>
        </w:rPr>
      </w:pPr>
      <w:r w:rsidRPr="004027A2">
        <w:rPr>
          <w:sz w:val="24"/>
          <w:szCs w:val="24"/>
        </w:rPr>
        <w:t xml:space="preserve">Aclaración que es importante, porque </w:t>
      </w:r>
      <w:bookmarkStart w:id="2" w:name="_Hlk118206807"/>
      <w:r w:rsidRPr="004027A2">
        <w:rPr>
          <w:sz w:val="24"/>
          <w:szCs w:val="24"/>
        </w:rPr>
        <w:t xml:space="preserve">esa regulación, que se mantuvo en el literal b) del numeral 1 del artículo 590 del CGP, es diferente a la de otros procesos declarativos que admiten ese tipo de medida cautelar, en los cuales debe estar de por medio </w:t>
      </w:r>
      <w:r w:rsidR="00086358" w:rsidRPr="004027A2">
        <w:rPr>
          <w:sz w:val="24"/>
          <w:szCs w:val="24"/>
        </w:rPr>
        <w:t>la discusión sobre el dominio u otro derecho real principal.</w:t>
      </w:r>
    </w:p>
    <w:p w14:paraId="40BEF4B0" w14:textId="77777777" w:rsidR="00086358" w:rsidRPr="004027A2" w:rsidRDefault="00086358" w:rsidP="004027A2">
      <w:pPr>
        <w:pStyle w:val="Prrafodelista"/>
        <w:tabs>
          <w:tab w:val="left" w:pos="426"/>
        </w:tabs>
        <w:spacing w:line="276" w:lineRule="auto"/>
        <w:ind w:left="0" w:right="51" w:firstLine="0"/>
        <w:rPr>
          <w:sz w:val="24"/>
          <w:szCs w:val="24"/>
        </w:rPr>
      </w:pPr>
    </w:p>
    <w:p w14:paraId="3CC77E46" w14:textId="04A1CF80" w:rsidR="0090386E" w:rsidRPr="004027A2" w:rsidRDefault="00086358" w:rsidP="004027A2">
      <w:pPr>
        <w:pStyle w:val="Textoindependiente"/>
        <w:tabs>
          <w:tab w:val="left" w:pos="426"/>
        </w:tabs>
        <w:spacing w:line="276" w:lineRule="auto"/>
        <w:ind w:right="51"/>
        <w:jc w:val="both"/>
        <w:rPr>
          <w:rFonts w:ascii="Gadugi" w:hAnsi="Gadugi"/>
          <w:sz w:val="24"/>
          <w:szCs w:val="24"/>
        </w:rPr>
      </w:pPr>
      <w:r w:rsidRPr="004027A2">
        <w:rPr>
          <w:rFonts w:ascii="Gadugi" w:hAnsi="Gadugi"/>
          <w:sz w:val="24"/>
          <w:szCs w:val="24"/>
        </w:rPr>
        <w:t>Ello, porque, la sola resolución de un contrato y para más, uno de promesa de compraventa, como aquí ocurrió, no compromete el ejercicio de ese derecho de dominio o de un derecho real principal</w:t>
      </w:r>
      <w:bookmarkEnd w:id="2"/>
      <w:r w:rsidRPr="004027A2">
        <w:rPr>
          <w:rFonts w:ascii="Gadugi" w:hAnsi="Gadugi"/>
          <w:sz w:val="24"/>
          <w:szCs w:val="24"/>
        </w:rPr>
        <w:t>. En cambio</w:t>
      </w:r>
      <w:r w:rsidR="00460F82" w:rsidRPr="004027A2">
        <w:rPr>
          <w:rFonts w:ascii="Gadugi" w:hAnsi="Gadugi"/>
          <w:sz w:val="24"/>
          <w:szCs w:val="24"/>
        </w:rPr>
        <w:t>,</w:t>
      </w:r>
      <w:r w:rsidRPr="004027A2">
        <w:rPr>
          <w:rFonts w:ascii="Gadugi" w:hAnsi="Gadugi"/>
          <w:sz w:val="24"/>
          <w:szCs w:val="24"/>
        </w:rPr>
        <w:t xml:space="preserve"> sí cabe dentro de la responsabilidad contractual que se demanda por el incumplimiento de lo pactado. </w:t>
      </w:r>
    </w:p>
    <w:p w14:paraId="4F4C5505" w14:textId="3E668F6A" w:rsidR="00086358" w:rsidRPr="004027A2" w:rsidRDefault="00086358" w:rsidP="004027A2">
      <w:pPr>
        <w:pStyle w:val="Textoindependiente"/>
        <w:tabs>
          <w:tab w:val="left" w:pos="426"/>
        </w:tabs>
        <w:spacing w:line="276" w:lineRule="auto"/>
        <w:ind w:right="51"/>
        <w:jc w:val="both"/>
        <w:rPr>
          <w:rFonts w:ascii="Gadugi" w:hAnsi="Gadugi"/>
          <w:sz w:val="24"/>
          <w:szCs w:val="24"/>
        </w:rPr>
      </w:pPr>
    </w:p>
    <w:p w14:paraId="13444C65" w14:textId="77777777" w:rsidR="00D951E1" w:rsidRPr="004027A2" w:rsidRDefault="00086358" w:rsidP="004027A2">
      <w:pPr>
        <w:pStyle w:val="Textoindependiente"/>
        <w:tabs>
          <w:tab w:val="left" w:pos="426"/>
        </w:tabs>
        <w:spacing w:line="276" w:lineRule="auto"/>
        <w:ind w:right="51"/>
        <w:jc w:val="both"/>
        <w:rPr>
          <w:rFonts w:ascii="Gadugi" w:hAnsi="Gadugi"/>
          <w:sz w:val="24"/>
          <w:szCs w:val="24"/>
        </w:rPr>
      </w:pPr>
      <w:r w:rsidRPr="004027A2">
        <w:rPr>
          <w:rFonts w:ascii="Gadugi" w:hAnsi="Gadugi"/>
          <w:sz w:val="24"/>
          <w:szCs w:val="24"/>
        </w:rPr>
        <w:t xml:space="preserve">También esta distinción se torna necesaria, dado que el resultado en uno y otro asunto es diverso. </w:t>
      </w:r>
    </w:p>
    <w:p w14:paraId="59B20AA2" w14:textId="77777777" w:rsidR="00D951E1" w:rsidRPr="004027A2" w:rsidRDefault="00D951E1" w:rsidP="004027A2">
      <w:pPr>
        <w:pStyle w:val="Textoindependiente"/>
        <w:tabs>
          <w:tab w:val="left" w:pos="426"/>
        </w:tabs>
        <w:spacing w:line="276" w:lineRule="auto"/>
        <w:ind w:right="51"/>
        <w:jc w:val="both"/>
        <w:rPr>
          <w:rFonts w:ascii="Gadugi" w:hAnsi="Gadugi"/>
          <w:sz w:val="24"/>
          <w:szCs w:val="24"/>
        </w:rPr>
      </w:pPr>
    </w:p>
    <w:p w14:paraId="7F989857" w14:textId="3E338640" w:rsidR="00086358" w:rsidRPr="004027A2" w:rsidRDefault="00086358" w:rsidP="004027A2">
      <w:pPr>
        <w:pStyle w:val="Textoindependiente"/>
        <w:tabs>
          <w:tab w:val="left" w:pos="426"/>
        </w:tabs>
        <w:spacing w:line="276" w:lineRule="auto"/>
        <w:ind w:right="51"/>
        <w:jc w:val="both"/>
        <w:rPr>
          <w:rFonts w:ascii="Gadugi" w:hAnsi="Gadugi"/>
          <w:sz w:val="24"/>
          <w:szCs w:val="24"/>
        </w:rPr>
      </w:pPr>
      <w:r w:rsidRPr="004027A2">
        <w:rPr>
          <w:rFonts w:ascii="Gadugi" w:hAnsi="Gadugi"/>
          <w:sz w:val="24"/>
          <w:szCs w:val="24"/>
        </w:rPr>
        <w:t xml:space="preserve">Por regla general en el que se pone de por medio el derecho de dominio o el real, la sentencia conduce a la mutación o al cambio del titular del derecho, con lo cual, el resultado final del proceso debe conducir, inexorablemente, al levantamiento de cualquier restricción sobre el inmueble, posterior a la inscripción de la demanda, incluyendo, claro está, los </w:t>
      </w:r>
      <w:r w:rsidR="00B73B1A" w:rsidRPr="004027A2">
        <w:rPr>
          <w:rFonts w:ascii="Gadugi" w:hAnsi="Gadugi"/>
          <w:sz w:val="24"/>
          <w:szCs w:val="24"/>
        </w:rPr>
        <w:t xml:space="preserve">embargos, por cuanto, quien sufría esa cautela, ha dejado de ser el destinatario de la misma. </w:t>
      </w:r>
    </w:p>
    <w:p w14:paraId="5945C86D" w14:textId="6526E5F9" w:rsidR="00B73B1A" w:rsidRPr="004027A2" w:rsidRDefault="00B73B1A" w:rsidP="004027A2">
      <w:pPr>
        <w:pStyle w:val="Textoindependiente"/>
        <w:tabs>
          <w:tab w:val="left" w:pos="426"/>
        </w:tabs>
        <w:spacing w:line="276" w:lineRule="auto"/>
        <w:ind w:right="51"/>
        <w:jc w:val="both"/>
        <w:rPr>
          <w:rFonts w:ascii="Gadugi" w:hAnsi="Gadugi"/>
          <w:sz w:val="24"/>
          <w:szCs w:val="24"/>
        </w:rPr>
      </w:pPr>
    </w:p>
    <w:p w14:paraId="20515C46" w14:textId="09A63B04" w:rsidR="00B73B1A" w:rsidRPr="004027A2" w:rsidRDefault="00B73B1A" w:rsidP="004027A2">
      <w:pPr>
        <w:pStyle w:val="Textoindependiente"/>
        <w:tabs>
          <w:tab w:val="left" w:pos="426"/>
        </w:tabs>
        <w:spacing w:line="276" w:lineRule="auto"/>
        <w:ind w:right="51"/>
        <w:jc w:val="both"/>
        <w:rPr>
          <w:rFonts w:ascii="Gadugi" w:hAnsi="Gadugi"/>
          <w:sz w:val="24"/>
          <w:szCs w:val="24"/>
        </w:rPr>
      </w:pPr>
      <w:r w:rsidRPr="004027A2">
        <w:rPr>
          <w:rFonts w:ascii="Gadugi" w:hAnsi="Gadugi"/>
          <w:sz w:val="24"/>
          <w:szCs w:val="24"/>
        </w:rPr>
        <w:t xml:space="preserve">Distinto es en el otro evento, en el que la inscripción de la demanda no pone las cosas fuera del comercio, con lo cual se pueden inscribir embargos con posterioridad, mismos que, al no haber cambio de un titular, deben mantenerse vigentes, siguiendo, como bien lo dijo el juzgado, la prelación de que trata el </w:t>
      </w:r>
      <w:r w:rsidR="00DD1378" w:rsidRPr="004027A2">
        <w:rPr>
          <w:rFonts w:ascii="Gadugi" w:hAnsi="Gadugi"/>
          <w:sz w:val="24"/>
          <w:szCs w:val="24"/>
        </w:rPr>
        <w:t xml:space="preserve">artículo 465 del CGP, que le </w:t>
      </w:r>
      <w:r w:rsidR="00DD1378" w:rsidRPr="004027A2">
        <w:rPr>
          <w:rFonts w:ascii="Gadugi" w:hAnsi="Gadugi"/>
          <w:sz w:val="24"/>
          <w:szCs w:val="24"/>
        </w:rPr>
        <w:lastRenderedPageBreak/>
        <w:t xml:space="preserve">da prevalencia a aquellos ordenados en los procesos ejecutivo laboral, de jurisdicción coactiva o de alimentos. </w:t>
      </w:r>
    </w:p>
    <w:p w14:paraId="4932B94E" w14:textId="173296BC" w:rsidR="00B01778" w:rsidRPr="004027A2" w:rsidRDefault="00B01778" w:rsidP="004027A2">
      <w:pPr>
        <w:pStyle w:val="Textoindependiente"/>
        <w:tabs>
          <w:tab w:val="left" w:pos="426"/>
        </w:tabs>
        <w:spacing w:line="276" w:lineRule="auto"/>
        <w:ind w:right="51"/>
        <w:jc w:val="both"/>
        <w:rPr>
          <w:rFonts w:ascii="Gadugi" w:hAnsi="Gadugi"/>
          <w:sz w:val="24"/>
          <w:szCs w:val="24"/>
        </w:rPr>
      </w:pPr>
    </w:p>
    <w:p w14:paraId="069B63B0" w14:textId="3908702B" w:rsidR="001056EF" w:rsidRPr="004027A2" w:rsidRDefault="001056EF" w:rsidP="004027A2">
      <w:pPr>
        <w:pStyle w:val="Textoindependiente"/>
        <w:tabs>
          <w:tab w:val="left" w:pos="426"/>
        </w:tabs>
        <w:spacing w:line="276" w:lineRule="auto"/>
        <w:ind w:right="51"/>
        <w:jc w:val="both"/>
        <w:rPr>
          <w:rFonts w:ascii="Gadugi" w:hAnsi="Gadugi"/>
          <w:sz w:val="24"/>
          <w:szCs w:val="24"/>
        </w:rPr>
      </w:pPr>
      <w:r w:rsidRPr="004027A2">
        <w:rPr>
          <w:rFonts w:ascii="Gadugi" w:hAnsi="Gadugi"/>
          <w:sz w:val="24"/>
          <w:szCs w:val="24"/>
        </w:rPr>
        <w:t xml:space="preserve">No se olvide, en todo caso, que, tanto en el estatuto anterior, como en el actual, la vigencia del registro de una demanda no impide el de embargos posteriores. Estos, dependiendo de las mentadas circunstancias, seguirán la suerte del cambio de titularidad, o se mantendrán vigentes según el caso.   </w:t>
      </w:r>
    </w:p>
    <w:p w14:paraId="0ACD7202" w14:textId="77777777" w:rsidR="001056EF" w:rsidRPr="004027A2" w:rsidRDefault="001056EF" w:rsidP="004027A2">
      <w:pPr>
        <w:pStyle w:val="Textoindependiente"/>
        <w:tabs>
          <w:tab w:val="left" w:pos="426"/>
        </w:tabs>
        <w:spacing w:line="276" w:lineRule="auto"/>
        <w:ind w:right="51"/>
        <w:jc w:val="both"/>
        <w:rPr>
          <w:rFonts w:ascii="Gadugi" w:hAnsi="Gadugi"/>
          <w:sz w:val="24"/>
          <w:szCs w:val="24"/>
        </w:rPr>
      </w:pPr>
    </w:p>
    <w:p w14:paraId="5CB83DA2" w14:textId="4E7EB035" w:rsidR="009B597A" w:rsidRPr="004027A2" w:rsidRDefault="00DD1378" w:rsidP="004027A2">
      <w:pPr>
        <w:pStyle w:val="Textoindependiente"/>
        <w:tabs>
          <w:tab w:val="left" w:pos="426"/>
        </w:tabs>
        <w:spacing w:line="276" w:lineRule="auto"/>
        <w:ind w:right="51"/>
        <w:jc w:val="both"/>
        <w:rPr>
          <w:rFonts w:ascii="Gadugi" w:hAnsi="Gadugi"/>
          <w:sz w:val="24"/>
          <w:szCs w:val="24"/>
        </w:rPr>
      </w:pPr>
      <w:r w:rsidRPr="004027A2">
        <w:rPr>
          <w:rFonts w:ascii="Gadugi" w:hAnsi="Gadugi"/>
          <w:sz w:val="24"/>
          <w:szCs w:val="24"/>
        </w:rPr>
        <w:t>Muy ilustrativa sobre el particular surge la sentencia STC9822-2020, que se trae como criterio auxiliar, en la que la Sala de Casación Civil de la Corte trazó importantes pautas</w:t>
      </w:r>
      <w:r w:rsidR="009B597A" w:rsidRPr="004027A2">
        <w:rPr>
          <w:rFonts w:ascii="Gadugi" w:hAnsi="Gadugi"/>
          <w:sz w:val="24"/>
          <w:szCs w:val="24"/>
        </w:rPr>
        <w:t xml:space="preserve">, entre las cuales destacan dos, para lo que aquí nos interesa: </w:t>
      </w:r>
    </w:p>
    <w:p w14:paraId="6D3AC73B" w14:textId="02FA0472" w:rsidR="00115782" w:rsidRPr="004027A2" w:rsidRDefault="00115782" w:rsidP="004027A2">
      <w:pPr>
        <w:pStyle w:val="Textoindependiente"/>
        <w:tabs>
          <w:tab w:val="left" w:pos="426"/>
        </w:tabs>
        <w:spacing w:line="276" w:lineRule="auto"/>
        <w:ind w:right="51"/>
        <w:jc w:val="both"/>
        <w:rPr>
          <w:rFonts w:ascii="Gadugi" w:hAnsi="Gadugi"/>
          <w:sz w:val="24"/>
          <w:szCs w:val="24"/>
        </w:rPr>
      </w:pPr>
    </w:p>
    <w:p w14:paraId="4C892D01" w14:textId="473D3AB0" w:rsidR="00115782" w:rsidRPr="004027A2" w:rsidRDefault="00115782" w:rsidP="004027A2">
      <w:pPr>
        <w:pStyle w:val="Textoindependiente"/>
        <w:tabs>
          <w:tab w:val="left" w:pos="426"/>
        </w:tabs>
        <w:spacing w:line="276" w:lineRule="auto"/>
        <w:ind w:right="51"/>
        <w:jc w:val="both"/>
        <w:rPr>
          <w:rFonts w:ascii="Gadugi" w:hAnsi="Gadugi"/>
          <w:sz w:val="24"/>
          <w:szCs w:val="24"/>
        </w:rPr>
      </w:pPr>
      <w:r w:rsidRPr="004027A2">
        <w:rPr>
          <w:rFonts w:ascii="Gadugi" w:hAnsi="Gadugi"/>
          <w:sz w:val="24"/>
          <w:szCs w:val="24"/>
        </w:rPr>
        <w:t>En la primera, aclara la alta Corporación, no solo que se trata de una medida nominada, sino que ella es viable cuando se reclama la resolución de un contrato con indemnización de perjuicios</w:t>
      </w:r>
      <w:r w:rsidR="007577D7" w:rsidRPr="004027A2">
        <w:rPr>
          <w:rFonts w:ascii="Gadugi" w:hAnsi="Gadugi"/>
          <w:sz w:val="24"/>
          <w:szCs w:val="24"/>
        </w:rPr>
        <w:t xml:space="preserve">. Al señalar que se equivocó el funcionario accionado al decretar la inscripción de la demanda como </w:t>
      </w:r>
      <w:r w:rsidR="00460F82" w:rsidRPr="004027A2">
        <w:rPr>
          <w:rFonts w:ascii="Gadugi" w:hAnsi="Gadugi"/>
          <w:sz w:val="24"/>
          <w:szCs w:val="24"/>
        </w:rPr>
        <w:t>cautela</w:t>
      </w:r>
      <w:r w:rsidR="007577D7" w:rsidRPr="004027A2">
        <w:rPr>
          <w:rFonts w:ascii="Gadugi" w:hAnsi="Gadugi"/>
          <w:sz w:val="24"/>
          <w:szCs w:val="24"/>
        </w:rPr>
        <w:t xml:space="preserve"> innominada, dijo que: </w:t>
      </w:r>
    </w:p>
    <w:p w14:paraId="7CAF48A5" w14:textId="77777777" w:rsidR="007577D7" w:rsidRPr="004027A2" w:rsidRDefault="007577D7" w:rsidP="004027A2">
      <w:pPr>
        <w:tabs>
          <w:tab w:val="left" w:pos="993"/>
          <w:tab w:val="left" w:pos="1134"/>
        </w:tabs>
        <w:overflowPunct w:val="0"/>
        <w:adjustRightInd w:val="0"/>
        <w:spacing w:line="276" w:lineRule="auto"/>
        <w:jc w:val="both"/>
        <w:textAlignment w:val="baseline"/>
        <w:rPr>
          <w:color w:val="0D0D0D"/>
          <w:sz w:val="24"/>
          <w:szCs w:val="24"/>
        </w:rPr>
      </w:pPr>
    </w:p>
    <w:p w14:paraId="3499995D" w14:textId="4B50FAB8" w:rsidR="00115782" w:rsidRPr="00980929" w:rsidRDefault="00115782" w:rsidP="00980929">
      <w:pPr>
        <w:tabs>
          <w:tab w:val="left" w:pos="993"/>
          <w:tab w:val="left" w:pos="1134"/>
        </w:tabs>
        <w:overflowPunct w:val="0"/>
        <w:adjustRightInd w:val="0"/>
        <w:ind w:left="426" w:right="420"/>
        <w:jc w:val="both"/>
        <w:textAlignment w:val="baseline"/>
        <w:rPr>
          <w:color w:val="0D0D0D"/>
          <w:szCs w:val="24"/>
        </w:rPr>
      </w:pPr>
      <w:r w:rsidRPr="00980929">
        <w:rPr>
          <w:color w:val="0D0D0D"/>
          <w:szCs w:val="24"/>
        </w:rPr>
        <w:t>Si bien, el funcionario fustigado se equivocó al elegir la norma aplicable en relación con las medidas preliminares solicitadas por la sociedad demandante para asegurar el pago de la eventual condena por perjuicios, el yerro carece de trascendencia, por cuanto, en últimas, el sentido de su decisión fue acertado.</w:t>
      </w:r>
    </w:p>
    <w:p w14:paraId="039D630D" w14:textId="77777777" w:rsidR="00115782" w:rsidRPr="00980929" w:rsidRDefault="00115782" w:rsidP="00980929">
      <w:pPr>
        <w:tabs>
          <w:tab w:val="left" w:pos="993"/>
          <w:tab w:val="left" w:pos="1134"/>
        </w:tabs>
        <w:overflowPunct w:val="0"/>
        <w:adjustRightInd w:val="0"/>
        <w:ind w:left="426" w:right="420"/>
        <w:jc w:val="both"/>
        <w:textAlignment w:val="baseline"/>
        <w:rPr>
          <w:color w:val="0D0D0D"/>
          <w:szCs w:val="24"/>
        </w:rPr>
      </w:pPr>
    </w:p>
    <w:p w14:paraId="47ED8A2B" w14:textId="2052D643" w:rsidR="00115782" w:rsidRPr="00980929" w:rsidRDefault="00115782" w:rsidP="00980929">
      <w:pPr>
        <w:tabs>
          <w:tab w:val="left" w:pos="993"/>
          <w:tab w:val="left" w:pos="1134"/>
        </w:tabs>
        <w:overflowPunct w:val="0"/>
        <w:adjustRightInd w:val="0"/>
        <w:ind w:left="426" w:right="420"/>
        <w:jc w:val="both"/>
        <w:textAlignment w:val="baseline"/>
        <w:rPr>
          <w:color w:val="0D0D0D"/>
          <w:szCs w:val="24"/>
        </w:rPr>
      </w:pPr>
      <w:r w:rsidRPr="00980929">
        <w:rPr>
          <w:color w:val="0D0D0D"/>
          <w:szCs w:val="24"/>
        </w:rPr>
        <w:t xml:space="preserve">Ello, porque para resolver tal petición no era ineludible acudir al último literal del artículo tantas veces mencionado, </w:t>
      </w:r>
      <w:r w:rsidRPr="00980929">
        <w:rPr>
          <w:b/>
          <w:bCs/>
          <w:color w:val="0D0D0D"/>
          <w:szCs w:val="24"/>
        </w:rPr>
        <w:t>pues bastaba con circunscribirla a la “</w:t>
      </w:r>
      <w:r w:rsidRPr="00980929">
        <w:rPr>
          <w:b/>
          <w:bCs/>
          <w:i/>
          <w:iCs/>
          <w:color w:val="0D0D0D"/>
          <w:szCs w:val="24"/>
        </w:rPr>
        <w:t>inscripción de la demanda”</w:t>
      </w:r>
      <w:r w:rsidRPr="00980929">
        <w:rPr>
          <w:b/>
          <w:bCs/>
          <w:color w:val="0D0D0D"/>
          <w:szCs w:val="24"/>
        </w:rPr>
        <w:t xml:space="preserve"> prevista en el “</w:t>
      </w:r>
      <w:r w:rsidRPr="00980929">
        <w:rPr>
          <w:b/>
          <w:bCs/>
          <w:i/>
          <w:iCs/>
          <w:color w:val="0D0D0D"/>
          <w:szCs w:val="24"/>
        </w:rPr>
        <w:t>b</w:t>
      </w:r>
      <w:r w:rsidRPr="00980929">
        <w:rPr>
          <w:b/>
          <w:bCs/>
          <w:color w:val="0D0D0D"/>
          <w:szCs w:val="24"/>
        </w:rPr>
        <w:t xml:space="preserve">” </w:t>
      </w:r>
      <w:r w:rsidRPr="00980929">
        <w:rPr>
          <w:b/>
          <w:bCs/>
          <w:i/>
          <w:iCs/>
          <w:color w:val="0D0D0D"/>
          <w:szCs w:val="24"/>
        </w:rPr>
        <w:t>ídem</w:t>
      </w:r>
      <w:r w:rsidRPr="00980929">
        <w:rPr>
          <w:b/>
          <w:bCs/>
          <w:color w:val="0D0D0D"/>
          <w:szCs w:val="24"/>
        </w:rPr>
        <w:t>, para aquellos casos donde “</w:t>
      </w:r>
      <w:r w:rsidRPr="00980929">
        <w:rPr>
          <w:b/>
          <w:bCs/>
          <w:i/>
          <w:iCs/>
          <w:color w:val="0D0D0D"/>
          <w:szCs w:val="24"/>
        </w:rPr>
        <w:t xml:space="preserve">se persiga el pago de perjuicios provenientes de responsabilidad civil contractual </w:t>
      </w:r>
      <w:r w:rsidRPr="00980929">
        <w:rPr>
          <w:b/>
          <w:bCs/>
          <w:color w:val="0D0D0D"/>
          <w:szCs w:val="24"/>
        </w:rPr>
        <w:t>(…)”, la cual, bien podría derivar del incumplimiento alegado en el asunto bajo examen, como lo estipula el artículo 1546 del Código Civil</w:t>
      </w:r>
      <w:r w:rsidRPr="00980929">
        <w:rPr>
          <w:rStyle w:val="Refdenotaalpie"/>
          <w:b/>
          <w:bCs/>
          <w:color w:val="0D0D0D"/>
          <w:szCs w:val="24"/>
        </w:rPr>
        <w:footnoteReference w:id="1"/>
      </w:r>
      <w:r w:rsidRPr="00980929">
        <w:rPr>
          <w:b/>
          <w:bCs/>
          <w:color w:val="0D0D0D"/>
          <w:szCs w:val="24"/>
        </w:rPr>
        <w:t xml:space="preserve"> y lo recordó el sentenciador cuestionado en su proveído</w:t>
      </w:r>
      <w:r w:rsidR="007577D7" w:rsidRPr="00980929">
        <w:rPr>
          <w:b/>
          <w:bCs/>
          <w:color w:val="0D0D0D"/>
          <w:szCs w:val="24"/>
        </w:rPr>
        <w:t>..</w:t>
      </w:r>
      <w:r w:rsidRPr="00980929">
        <w:rPr>
          <w:b/>
          <w:bCs/>
          <w:color w:val="0D0D0D"/>
          <w:szCs w:val="24"/>
        </w:rPr>
        <w:t xml:space="preserve">. </w:t>
      </w:r>
      <w:r w:rsidR="007577D7" w:rsidRPr="00980929">
        <w:rPr>
          <w:color w:val="0D0D0D"/>
          <w:szCs w:val="24"/>
        </w:rPr>
        <w:t>(negrillas fuera de texto)</w:t>
      </w:r>
    </w:p>
    <w:p w14:paraId="7EDA600B" w14:textId="77777777" w:rsidR="00115782" w:rsidRPr="00980929" w:rsidRDefault="00115782" w:rsidP="00980929">
      <w:pPr>
        <w:tabs>
          <w:tab w:val="left" w:pos="993"/>
          <w:tab w:val="left" w:pos="1134"/>
        </w:tabs>
        <w:overflowPunct w:val="0"/>
        <w:adjustRightInd w:val="0"/>
        <w:ind w:left="426" w:right="420"/>
        <w:jc w:val="both"/>
        <w:textAlignment w:val="baseline"/>
        <w:rPr>
          <w:color w:val="0D0D0D"/>
          <w:szCs w:val="24"/>
        </w:rPr>
      </w:pPr>
    </w:p>
    <w:p w14:paraId="1AA390B1" w14:textId="77777777" w:rsidR="00115782" w:rsidRPr="00980929" w:rsidRDefault="00115782" w:rsidP="00980929">
      <w:pPr>
        <w:ind w:left="426" w:right="420"/>
        <w:jc w:val="both"/>
        <w:rPr>
          <w:color w:val="0D0D0D"/>
          <w:szCs w:val="24"/>
        </w:rPr>
      </w:pPr>
      <w:r w:rsidRPr="00980929">
        <w:rPr>
          <w:color w:val="0D0D0D"/>
          <w:szCs w:val="24"/>
        </w:rPr>
        <w:t xml:space="preserve">En este sentido la Sala corrige al sentenciador fustigado constitucionalmente, por cuanto el literal c) del art. 590 del C. G. del P., no cobija dentro de sus hipótesis ni expresa ni implícitamente, las cautelas previstas en los literales a) y b), del mismo art. 590, sino otras muy diferentes a ellas, las cuales deben cumplir las condiciones exigidas en el mencionado literal c), sin que pueda inferirse que pueda tener como atípicas, las medidas tradicionales que siempre han sido nominadas en el derecho nacional de las cautelas. </w:t>
      </w:r>
    </w:p>
    <w:p w14:paraId="4F561612" w14:textId="77777777" w:rsidR="00115782" w:rsidRPr="004027A2" w:rsidRDefault="00115782" w:rsidP="004027A2">
      <w:pPr>
        <w:pStyle w:val="Textoindependiente"/>
        <w:tabs>
          <w:tab w:val="left" w:pos="426"/>
        </w:tabs>
        <w:spacing w:line="276" w:lineRule="auto"/>
        <w:ind w:right="117"/>
        <w:jc w:val="both"/>
        <w:rPr>
          <w:rFonts w:ascii="Gadugi" w:hAnsi="Gadugi"/>
          <w:sz w:val="24"/>
          <w:szCs w:val="24"/>
        </w:rPr>
      </w:pPr>
    </w:p>
    <w:p w14:paraId="4D1312DC" w14:textId="4896AFA7" w:rsidR="007577D7" w:rsidRPr="004027A2" w:rsidRDefault="007577D7" w:rsidP="004027A2">
      <w:pPr>
        <w:pStyle w:val="Textoindependiente"/>
        <w:tabs>
          <w:tab w:val="left" w:pos="426"/>
        </w:tabs>
        <w:spacing w:line="276" w:lineRule="auto"/>
        <w:ind w:right="51"/>
        <w:jc w:val="both"/>
        <w:rPr>
          <w:rFonts w:ascii="Gadugi" w:hAnsi="Gadugi"/>
          <w:sz w:val="24"/>
          <w:szCs w:val="24"/>
        </w:rPr>
      </w:pPr>
      <w:r w:rsidRPr="004027A2">
        <w:rPr>
          <w:rFonts w:ascii="Gadugi" w:hAnsi="Gadugi"/>
          <w:sz w:val="24"/>
          <w:szCs w:val="24"/>
        </w:rPr>
        <w:t xml:space="preserve">En la segunda, </w:t>
      </w:r>
      <w:r w:rsidR="009B597A" w:rsidRPr="004027A2">
        <w:rPr>
          <w:rFonts w:ascii="Gadugi" w:hAnsi="Gadugi"/>
          <w:sz w:val="24"/>
          <w:szCs w:val="24"/>
        </w:rPr>
        <w:t xml:space="preserve">ratifica lo dicho en precedencia, </w:t>
      </w:r>
      <w:r w:rsidRPr="004027A2">
        <w:rPr>
          <w:rFonts w:ascii="Gadugi" w:hAnsi="Gadugi"/>
          <w:sz w:val="24"/>
          <w:szCs w:val="24"/>
        </w:rPr>
        <w:t xml:space="preserve">pues al referirse al </w:t>
      </w:r>
      <w:r w:rsidR="009B597A" w:rsidRPr="004027A2">
        <w:rPr>
          <w:rFonts w:ascii="Gadugi" w:hAnsi="Gadugi"/>
          <w:sz w:val="24"/>
          <w:szCs w:val="24"/>
        </w:rPr>
        <w:t xml:space="preserve">artículo 590 del CGP, que es de una redacción similar a la cautela prevista en </w:t>
      </w:r>
      <w:r w:rsidR="00B132F0" w:rsidRPr="004027A2">
        <w:rPr>
          <w:rFonts w:ascii="Gadugi" w:hAnsi="Gadugi"/>
          <w:sz w:val="24"/>
          <w:szCs w:val="24"/>
        </w:rPr>
        <w:t>el artículo 690-8 del CPC, modifica</w:t>
      </w:r>
      <w:r w:rsidR="00F45FD1" w:rsidRPr="004027A2">
        <w:rPr>
          <w:rFonts w:ascii="Gadugi" w:hAnsi="Gadugi"/>
          <w:sz w:val="24"/>
          <w:szCs w:val="24"/>
        </w:rPr>
        <w:t xml:space="preserve">do </w:t>
      </w:r>
      <w:r w:rsidR="00B132F0" w:rsidRPr="004027A2">
        <w:rPr>
          <w:rFonts w:ascii="Gadugi" w:hAnsi="Gadugi"/>
          <w:sz w:val="24"/>
          <w:szCs w:val="24"/>
        </w:rPr>
        <w:t xml:space="preserve">por el 39 de la </w:t>
      </w:r>
      <w:r w:rsidR="009B597A" w:rsidRPr="004027A2">
        <w:rPr>
          <w:rFonts w:ascii="Gadugi" w:hAnsi="Gadugi"/>
          <w:sz w:val="24"/>
          <w:szCs w:val="24"/>
        </w:rPr>
        <w:t xml:space="preserve">Ley 1395 de 2010, </w:t>
      </w:r>
      <w:r w:rsidRPr="004027A2">
        <w:rPr>
          <w:rFonts w:ascii="Gadugi" w:hAnsi="Gadugi"/>
          <w:sz w:val="24"/>
          <w:szCs w:val="24"/>
        </w:rPr>
        <w:t xml:space="preserve">estimó </w:t>
      </w:r>
      <w:r w:rsidR="009B597A" w:rsidRPr="004027A2">
        <w:rPr>
          <w:rFonts w:ascii="Gadugi" w:hAnsi="Gadugi"/>
          <w:sz w:val="24"/>
          <w:szCs w:val="24"/>
        </w:rPr>
        <w:t>que:</w:t>
      </w:r>
    </w:p>
    <w:p w14:paraId="14C533A6" w14:textId="7D053D71" w:rsidR="00897174" w:rsidRPr="004027A2" w:rsidRDefault="009B597A" w:rsidP="004027A2">
      <w:pPr>
        <w:pStyle w:val="Textoindependiente"/>
        <w:tabs>
          <w:tab w:val="left" w:pos="426"/>
        </w:tabs>
        <w:spacing w:line="276" w:lineRule="auto"/>
        <w:ind w:right="117"/>
        <w:jc w:val="both"/>
        <w:rPr>
          <w:rFonts w:ascii="Gadugi" w:hAnsi="Gadugi"/>
          <w:sz w:val="24"/>
          <w:szCs w:val="24"/>
        </w:rPr>
      </w:pPr>
      <w:r w:rsidRPr="004027A2">
        <w:rPr>
          <w:rFonts w:ascii="Gadugi" w:hAnsi="Gadugi"/>
          <w:sz w:val="24"/>
          <w:szCs w:val="24"/>
        </w:rPr>
        <w:t xml:space="preserve"> </w:t>
      </w:r>
    </w:p>
    <w:p w14:paraId="4C8BD2A2" w14:textId="77777777" w:rsidR="00897174" w:rsidRPr="00980929" w:rsidRDefault="00897174" w:rsidP="00980929">
      <w:pPr>
        <w:tabs>
          <w:tab w:val="left" w:pos="-720"/>
        </w:tabs>
        <w:suppressAutoHyphens/>
        <w:ind w:left="426" w:right="420"/>
        <w:jc w:val="both"/>
        <w:rPr>
          <w:rFonts w:cs="Arial"/>
          <w:szCs w:val="24"/>
          <w:u w:val="single"/>
          <w:lang w:val="es-ES_tradnl"/>
        </w:rPr>
      </w:pPr>
      <w:r w:rsidRPr="00980929">
        <w:rPr>
          <w:rFonts w:cs="Arial"/>
          <w:szCs w:val="24"/>
          <w:lang w:val="es-ES_tradnl"/>
        </w:rPr>
        <w:t>Lo anterior evidencia que la citada medida tiene lugar, en juicios declarativos, cuando en éstos (i) se discute el dominio u otro derecho real principal “</w:t>
      </w:r>
      <w:r w:rsidRPr="00980929">
        <w:rPr>
          <w:rFonts w:cs="Arial"/>
          <w:i/>
          <w:szCs w:val="24"/>
          <w:lang w:val="es-ES_tradnl"/>
        </w:rPr>
        <w:t xml:space="preserve">(…) directamente </w:t>
      </w:r>
      <w:r w:rsidRPr="00980929">
        <w:rPr>
          <w:rFonts w:cs="Arial"/>
          <w:i/>
          <w:szCs w:val="24"/>
          <w:u w:val="single"/>
          <w:lang w:val="es-ES_tradnl"/>
        </w:rPr>
        <w:t xml:space="preserve">o </w:t>
      </w:r>
      <w:r w:rsidRPr="00980929">
        <w:rPr>
          <w:rFonts w:cs="Arial"/>
          <w:i/>
          <w:szCs w:val="24"/>
          <w:u w:val="single"/>
          <w:lang w:val="es-ES_tradnl"/>
        </w:rPr>
        <w:lastRenderedPageBreak/>
        <w:t>como consecuencia de una pretensión distinta o en subsidio de otra</w:t>
      </w:r>
      <w:r w:rsidRPr="00980929">
        <w:rPr>
          <w:rFonts w:cs="Arial"/>
          <w:i/>
          <w:szCs w:val="24"/>
          <w:lang w:val="es-ES_tradnl"/>
        </w:rPr>
        <w:t>”</w:t>
      </w:r>
      <w:r w:rsidRPr="00980929">
        <w:rPr>
          <w:rFonts w:cs="Arial"/>
          <w:szCs w:val="24"/>
          <w:lang w:val="es-ES_tradnl"/>
        </w:rPr>
        <w:t>; (ii) se debaten cuestiones relativas a “</w:t>
      </w:r>
      <w:r w:rsidRPr="00980929">
        <w:rPr>
          <w:rFonts w:cs="Arial"/>
          <w:i/>
          <w:iCs/>
          <w:szCs w:val="24"/>
          <w:u w:val="single"/>
          <w:lang w:val="es-ES_tradnl"/>
        </w:rPr>
        <w:t>una universalidad de bienes</w:t>
      </w:r>
      <w:r w:rsidRPr="00980929">
        <w:rPr>
          <w:rFonts w:cs="Arial"/>
          <w:szCs w:val="24"/>
          <w:lang w:val="es-ES_tradnl"/>
        </w:rPr>
        <w:t xml:space="preserve">”; y (iii) se busca el </w:t>
      </w:r>
      <w:r w:rsidRPr="00980929">
        <w:rPr>
          <w:rFonts w:cs="Arial"/>
          <w:szCs w:val="24"/>
          <w:u w:val="single"/>
          <w:lang w:val="es-ES_tradnl"/>
        </w:rPr>
        <w:t>pago de perjuicios derivados de la responsabilidad civil contractual o extracontractual.</w:t>
      </w:r>
    </w:p>
    <w:p w14:paraId="2B1C6FDD" w14:textId="77777777" w:rsidR="00897174" w:rsidRPr="00980929" w:rsidRDefault="00897174" w:rsidP="00980929">
      <w:pPr>
        <w:ind w:left="426" w:right="420"/>
        <w:jc w:val="both"/>
        <w:rPr>
          <w:rFonts w:cs="Arial"/>
          <w:szCs w:val="24"/>
        </w:rPr>
      </w:pPr>
    </w:p>
    <w:p w14:paraId="7CFC310C" w14:textId="57DD6DA9" w:rsidR="00897174" w:rsidRPr="00980929" w:rsidRDefault="00897174" w:rsidP="00980929">
      <w:pPr>
        <w:ind w:left="426" w:right="420"/>
        <w:jc w:val="both"/>
        <w:rPr>
          <w:rFonts w:cs="Arial"/>
          <w:szCs w:val="24"/>
        </w:rPr>
      </w:pPr>
      <w:r w:rsidRPr="00980929">
        <w:rPr>
          <w:rFonts w:cs="Arial"/>
          <w:szCs w:val="24"/>
        </w:rPr>
        <w:t>En torno a dicha cautela, esta Corte ha indicado que tiene el objetivo de advertir a los adquirentes de un bien sobre el cual recae el registro, que éste se halla en litigio, debiendo entonces, atenerse a los resultados de la sentencia que en él se profiera. Además, por su naturaleza, la inscripción no sustrae el terreno del comercio ni produce los efectos del secuestro, pero tiene la fuerza de aniquilar todas las anotaciones realizadas con posterioridad a su inscripción, que conlleven transferencias de dominio, gravámenes, y limitaciones a la propiedad; claro, siempre y cuando, en el asunto donde se profirió la misma, se dicte fallo estimatorio de la pretensión que implique, necesariamente, cambio, variación o alteración en la titularidad de un derecho real principal u otro accesorio sobre el bien, pues de ocurrir lo contrario, de nada servirían</w:t>
      </w:r>
      <w:r w:rsidRPr="00980929">
        <w:rPr>
          <w:rFonts w:cs="Arial"/>
          <w:szCs w:val="24"/>
          <w:vertAlign w:val="superscript"/>
        </w:rPr>
        <w:footnoteReference w:id="2"/>
      </w:r>
      <w:r w:rsidR="00115782" w:rsidRPr="00980929">
        <w:rPr>
          <w:rFonts w:cs="Arial"/>
          <w:szCs w:val="24"/>
        </w:rPr>
        <w:t>…</w:t>
      </w:r>
    </w:p>
    <w:p w14:paraId="64C4DDFC" w14:textId="77777777" w:rsidR="00F45FD1" w:rsidRPr="004027A2" w:rsidRDefault="00F45FD1" w:rsidP="004027A2">
      <w:pPr>
        <w:spacing w:line="276" w:lineRule="auto"/>
        <w:ind w:left="567" w:right="618"/>
        <w:jc w:val="both"/>
        <w:rPr>
          <w:rFonts w:cs="Arial"/>
          <w:sz w:val="24"/>
          <w:szCs w:val="24"/>
        </w:rPr>
      </w:pPr>
    </w:p>
    <w:p w14:paraId="64F9B270" w14:textId="77777777" w:rsidR="00E8327E" w:rsidRPr="004027A2" w:rsidRDefault="00B132F0" w:rsidP="004027A2">
      <w:pPr>
        <w:pStyle w:val="Textoindependiente"/>
        <w:numPr>
          <w:ilvl w:val="1"/>
          <w:numId w:val="2"/>
        </w:numPr>
        <w:tabs>
          <w:tab w:val="left" w:pos="426"/>
        </w:tabs>
        <w:spacing w:line="276" w:lineRule="auto"/>
        <w:ind w:left="0" w:right="51" w:firstLine="0"/>
        <w:jc w:val="both"/>
        <w:rPr>
          <w:rFonts w:ascii="Gadugi" w:hAnsi="Gadugi"/>
          <w:sz w:val="24"/>
          <w:szCs w:val="24"/>
        </w:rPr>
      </w:pPr>
      <w:r w:rsidRPr="004027A2">
        <w:rPr>
          <w:rFonts w:ascii="Gadugi" w:hAnsi="Gadugi"/>
          <w:sz w:val="24"/>
          <w:szCs w:val="24"/>
        </w:rPr>
        <w:t xml:space="preserve">Si con estas precisiones se desciende al caso concreto, se encuentra </w:t>
      </w:r>
      <w:r w:rsidR="00E8327E" w:rsidRPr="004027A2">
        <w:rPr>
          <w:rFonts w:ascii="Gadugi" w:hAnsi="Gadugi"/>
          <w:sz w:val="24"/>
          <w:szCs w:val="24"/>
        </w:rPr>
        <w:t xml:space="preserve">lo siguiente: </w:t>
      </w:r>
    </w:p>
    <w:p w14:paraId="3286CBC8" w14:textId="77777777" w:rsidR="00E8327E" w:rsidRPr="004027A2" w:rsidRDefault="00E8327E" w:rsidP="004027A2">
      <w:pPr>
        <w:pStyle w:val="Textoindependiente"/>
        <w:tabs>
          <w:tab w:val="left" w:pos="426"/>
        </w:tabs>
        <w:spacing w:line="276" w:lineRule="auto"/>
        <w:ind w:right="117"/>
        <w:jc w:val="both"/>
        <w:rPr>
          <w:rFonts w:ascii="Gadugi" w:hAnsi="Gadugi"/>
          <w:sz w:val="24"/>
          <w:szCs w:val="24"/>
        </w:rPr>
      </w:pPr>
    </w:p>
    <w:p w14:paraId="657E3EDE" w14:textId="412044A0" w:rsidR="00E8327E" w:rsidRPr="004027A2" w:rsidRDefault="00E8327E" w:rsidP="004027A2">
      <w:pPr>
        <w:pStyle w:val="Textoindependiente"/>
        <w:numPr>
          <w:ilvl w:val="0"/>
          <w:numId w:val="4"/>
        </w:numPr>
        <w:tabs>
          <w:tab w:val="left" w:pos="426"/>
        </w:tabs>
        <w:spacing w:line="276" w:lineRule="auto"/>
        <w:ind w:left="0" w:right="51" w:firstLine="0"/>
        <w:jc w:val="both"/>
        <w:rPr>
          <w:rFonts w:ascii="Gadugi" w:hAnsi="Gadugi"/>
          <w:sz w:val="24"/>
          <w:szCs w:val="24"/>
        </w:rPr>
      </w:pPr>
      <w:r w:rsidRPr="004027A2">
        <w:rPr>
          <w:rFonts w:ascii="Gadugi" w:hAnsi="Gadugi"/>
          <w:sz w:val="24"/>
          <w:szCs w:val="24"/>
        </w:rPr>
        <w:t xml:space="preserve">El asunto puesto bajo la mira del Juzgado fue una resolución de un contrato de compraventa. </w:t>
      </w:r>
    </w:p>
    <w:p w14:paraId="0DF5923C" w14:textId="77777777" w:rsidR="004D05A1" w:rsidRPr="004027A2" w:rsidRDefault="004D05A1" w:rsidP="004027A2">
      <w:pPr>
        <w:pStyle w:val="Textoindependiente"/>
        <w:tabs>
          <w:tab w:val="left" w:pos="426"/>
        </w:tabs>
        <w:spacing w:line="276" w:lineRule="auto"/>
        <w:ind w:right="117"/>
        <w:jc w:val="both"/>
        <w:rPr>
          <w:rFonts w:ascii="Gadugi" w:hAnsi="Gadugi"/>
          <w:sz w:val="24"/>
          <w:szCs w:val="24"/>
        </w:rPr>
      </w:pPr>
    </w:p>
    <w:p w14:paraId="4CA878B4" w14:textId="5F89F69A" w:rsidR="00E8327E" w:rsidRPr="004027A2" w:rsidRDefault="00E8327E" w:rsidP="004027A2">
      <w:pPr>
        <w:pStyle w:val="Textoindependiente"/>
        <w:numPr>
          <w:ilvl w:val="0"/>
          <w:numId w:val="4"/>
        </w:numPr>
        <w:tabs>
          <w:tab w:val="left" w:pos="426"/>
        </w:tabs>
        <w:spacing w:line="276" w:lineRule="auto"/>
        <w:ind w:left="0" w:right="117" w:firstLine="0"/>
        <w:jc w:val="both"/>
        <w:rPr>
          <w:rFonts w:ascii="Gadugi" w:hAnsi="Gadugi"/>
          <w:sz w:val="24"/>
          <w:szCs w:val="24"/>
        </w:rPr>
      </w:pPr>
      <w:r w:rsidRPr="004027A2">
        <w:rPr>
          <w:rFonts w:ascii="Gadugi" w:hAnsi="Gadugi"/>
          <w:sz w:val="24"/>
          <w:szCs w:val="24"/>
        </w:rPr>
        <w:t xml:space="preserve">En consecuencia, </w:t>
      </w:r>
      <w:r w:rsidR="00F45FD1" w:rsidRPr="004027A2">
        <w:rPr>
          <w:rFonts w:ascii="Gadugi" w:hAnsi="Gadugi"/>
          <w:sz w:val="24"/>
          <w:szCs w:val="24"/>
        </w:rPr>
        <w:t xml:space="preserve">según lo que </w:t>
      </w:r>
      <w:r w:rsidRPr="004027A2">
        <w:rPr>
          <w:rFonts w:ascii="Gadugi" w:hAnsi="Gadugi"/>
          <w:sz w:val="24"/>
          <w:szCs w:val="24"/>
        </w:rPr>
        <w:t>viene de decirse, como est</w:t>
      </w:r>
      <w:r w:rsidR="004D05A1" w:rsidRPr="004027A2">
        <w:rPr>
          <w:rFonts w:ascii="Gadugi" w:hAnsi="Gadugi"/>
          <w:sz w:val="24"/>
          <w:szCs w:val="24"/>
        </w:rPr>
        <w:t>aba</w:t>
      </w:r>
      <w:r w:rsidRPr="004027A2">
        <w:rPr>
          <w:rFonts w:ascii="Gadugi" w:hAnsi="Gadugi"/>
          <w:sz w:val="24"/>
          <w:szCs w:val="24"/>
        </w:rPr>
        <w:t xml:space="preserve"> de por medio una responsabilidad contractual</w:t>
      </w:r>
      <w:r w:rsidR="00F45FD1" w:rsidRPr="004027A2">
        <w:rPr>
          <w:rFonts w:ascii="Gadugi" w:hAnsi="Gadugi"/>
          <w:sz w:val="24"/>
          <w:szCs w:val="24"/>
        </w:rPr>
        <w:t xml:space="preserve">, </w:t>
      </w:r>
      <w:r w:rsidRPr="004027A2">
        <w:rPr>
          <w:rFonts w:ascii="Gadugi" w:hAnsi="Gadugi"/>
          <w:sz w:val="24"/>
          <w:szCs w:val="24"/>
        </w:rPr>
        <w:t xml:space="preserve">era viable la inscripción de la demanda sobre bienes de propiedad de la demandada. Y en este caso, se llevó la anotación </w:t>
      </w:r>
      <w:r w:rsidR="002E3B86" w:rsidRPr="004027A2">
        <w:rPr>
          <w:rFonts w:ascii="Gadugi" w:hAnsi="Gadugi"/>
          <w:sz w:val="24"/>
          <w:szCs w:val="24"/>
        </w:rPr>
        <w:t>respecto d</w:t>
      </w:r>
      <w:r w:rsidRPr="004027A2">
        <w:rPr>
          <w:rFonts w:ascii="Gadugi" w:hAnsi="Gadugi"/>
          <w:sz w:val="24"/>
          <w:szCs w:val="24"/>
        </w:rPr>
        <w:t>el inmueble de matrícula 290-15822.</w:t>
      </w:r>
    </w:p>
    <w:p w14:paraId="060CF2D5" w14:textId="77777777" w:rsidR="004D05A1" w:rsidRPr="004027A2" w:rsidRDefault="004D05A1" w:rsidP="004027A2">
      <w:pPr>
        <w:pStyle w:val="Prrafodelista"/>
        <w:spacing w:line="276" w:lineRule="auto"/>
        <w:rPr>
          <w:sz w:val="24"/>
          <w:szCs w:val="24"/>
        </w:rPr>
      </w:pPr>
    </w:p>
    <w:p w14:paraId="1DD2FCB6" w14:textId="4AC64B8F" w:rsidR="004D05A1" w:rsidRPr="004027A2" w:rsidRDefault="00E8327E" w:rsidP="004027A2">
      <w:pPr>
        <w:pStyle w:val="Textoindependiente"/>
        <w:numPr>
          <w:ilvl w:val="0"/>
          <w:numId w:val="4"/>
        </w:numPr>
        <w:tabs>
          <w:tab w:val="left" w:pos="426"/>
        </w:tabs>
        <w:spacing w:line="276" w:lineRule="auto"/>
        <w:ind w:left="0" w:right="117" w:firstLine="0"/>
        <w:jc w:val="both"/>
        <w:rPr>
          <w:rFonts w:ascii="Gadugi" w:hAnsi="Gadugi"/>
          <w:sz w:val="24"/>
          <w:szCs w:val="24"/>
        </w:rPr>
      </w:pPr>
      <w:r w:rsidRPr="004027A2">
        <w:rPr>
          <w:rFonts w:ascii="Gadugi" w:hAnsi="Gadugi"/>
          <w:sz w:val="24"/>
          <w:szCs w:val="24"/>
        </w:rPr>
        <w:t>El demandante al final obtuvo sentencia favorable a sus pretensiones, así que lo que se ordenó fue que la demandada le pagara una suma de dinero.</w:t>
      </w:r>
    </w:p>
    <w:p w14:paraId="42359075" w14:textId="77777777" w:rsidR="004D05A1" w:rsidRPr="004027A2" w:rsidRDefault="004D05A1" w:rsidP="004027A2">
      <w:pPr>
        <w:pStyle w:val="Prrafodelista"/>
        <w:spacing w:line="276" w:lineRule="auto"/>
        <w:rPr>
          <w:sz w:val="24"/>
          <w:szCs w:val="24"/>
        </w:rPr>
      </w:pPr>
    </w:p>
    <w:p w14:paraId="15EE5D1C" w14:textId="7B4217F0" w:rsidR="00D15ECF" w:rsidRPr="004027A2" w:rsidRDefault="00E8327E" w:rsidP="004027A2">
      <w:pPr>
        <w:pStyle w:val="Textoindependiente"/>
        <w:numPr>
          <w:ilvl w:val="0"/>
          <w:numId w:val="4"/>
        </w:numPr>
        <w:tabs>
          <w:tab w:val="left" w:pos="426"/>
        </w:tabs>
        <w:spacing w:line="276" w:lineRule="auto"/>
        <w:ind w:left="0" w:right="117" w:firstLine="0"/>
        <w:jc w:val="both"/>
        <w:rPr>
          <w:rFonts w:ascii="Gadugi" w:hAnsi="Gadugi" w:cs="Arial"/>
          <w:sz w:val="24"/>
          <w:szCs w:val="24"/>
        </w:rPr>
      </w:pPr>
      <w:r w:rsidRPr="004027A2">
        <w:rPr>
          <w:rFonts w:ascii="Gadugi" w:hAnsi="Gadugi"/>
          <w:sz w:val="24"/>
          <w:szCs w:val="24"/>
        </w:rPr>
        <w:t>Es</w:t>
      </w:r>
      <w:r w:rsidR="004D05A1" w:rsidRPr="004027A2">
        <w:rPr>
          <w:rFonts w:ascii="Gadugi" w:hAnsi="Gadugi"/>
          <w:sz w:val="24"/>
          <w:szCs w:val="24"/>
        </w:rPr>
        <w:t>to indica que,</w:t>
      </w:r>
      <w:r w:rsidRPr="004027A2">
        <w:rPr>
          <w:rFonts w:ascii="Gadugi" w:hAnsi="Gadugi"/>
          <w:sz w:val="24"/>
          <w:szCs w:val="24"/>
        </w:rPr>
        <w:t xml:space="preserve"> en el </w:t>
      </w:r>
      <w:r w:rsidR="004D05A1" w:rsidRPr="004027A2">
        <w:rPr>
          <w:rFonts w:ascii="Gadugi" w:hAnsi="Gadugi"/>
          <w:sz w:val="24"/>
          <w:szCs w:val="24"/>
        </w:rPr>
        <w:t>proceso declarativo</w:t>
      </w:r>
      <w:r w:rsidRPr="004027A2">
        <w:rPr>
          <w:rFonts w:ascii="Gadugi" w:hAnsi="Gadugi"/>
          <w:sz w:val="24"/>
          <w:szCs w:val="24"/>
        </w:rPr>
        <w:t xml:space="preserve"> no </w:t>
      </w:r>
      <w:r w:rsidR="00AE0F88" w:rsidRPr="004027A2">
        <w:rPr>
          <w:rFonts w:ascii="Gadugi" w:hAnsi="Gadugi" w:cs="Arial"/>
          <w:sz w:val="24"/>
          <w:szCs w:val="24"/>
        </w:rPr>
        <w:t>cambio, varió o se alteró la titularidad de un derecho real principal o accesorio sobre el bien</w:t>
      </w:r>
      <w:r w:rsidR="00D15ECF" w:rsidRPr="004027A2">
        <w:rPr>
          <w:rFonts w:ascii="Gadugi" w:hAnsi="Gadugi" w:cs="Arial"/>
          <w:sz w:val="24"/>
          <w:szCs w:val="24"/>
        </w:rPr>
        <w:t xml:space="preserve"> sobre el que recayó la inscripción, </w:t>
      </w:r>
      <w:r w:rsidR="00AE0F88" w:rsidRPr="004027A2">
        <w:rPr>
          <w:rFonts w:ascii="Gadugi" w:hAnsi="Gadugi" w:cs="Arial"/>
          <w:sz w:val="24"/>
          <w:szCs w:val="24"/>
        </w:rPr>
        <w:t>como se ha resaltado.</w:t>
      </w:r>
    </w:p>
    <w:p w14:paraId="7B859709" w14:textId="77777777" w:rsidR="00D15ECF" w:rsidRPr="004027A2" w:rsidRDefault="00D15ECF" w:rsidP="004027A2">
      <w:pPr>
        <w:pStyle w:val="Prrafodelista"/>
        <w:spacing w:line="276" w:lineRule="auto"/>
        <w:rPr>
          <w:rFonts w:cs="Arial"/>
          <w:sz w:val="24"/>
          <w:szCs w:val="24"/>
        </w:rPr>
      </w:pPr>
    </w:p>
    <w:p w14:paraId="62B32610" w14:textId="55CA51FB" w:rsidR="004D05A1" w:rsidRPr="004027A2" w:rsidRDefault="001056EF" w:rsidP="004027A2">
      <w:pPr>
        <w:pStyle w:val="Textoindependiente"/>
        <w:numPr>
          <w:ilvl w:val="0"/>
          <w:numId w:val="4"/>
        </w:numPr>
        <w:tabs>
          <w:tab w:val="left" w:pos="426"/>
        </w:tabs>
        <w:spacing w:line="276" w:lineRule="auto"/>
        <w:ind w:left="0" w:right="117" w:firstLine="0"/>
        <w:jc w:val="both"/>
        <w:rPr>
          <w:rFonts w:ascii="Gadugi" w:hAnsi="Gadugi"/>
          <w:sz w:val="24"/>
          <w:szCs w:val="24"/>
        </w:rPr>
      </w:pPr>
      <w:r w:rsidRPr="004027A2">
        <w:rPr>
          <w:rFonts w:ascii="Gadugi" w:hAnsi="Gadugi" w:cs="Arial"/>
          <w:sz w:val="24"/>
          <w:szCs w:val="24"/>
        </w:rPr>
        <w:t xml:space="preserve">De ahí que, los embargos registrados con posterioridad a la inscripción de la demanda, tengan que mantenerse vigentes, tanto más, cuando fueron ordenados en un proceso laboral y en uno de jurisdicción coactiva, por lo que, como se anticipó, la situación debe quedar sujeta a la previsión del artículo </w:t>
      </w:r>
      <w:r w:rsidR="004D05A1" w:rsidRPr="004027A2">
        <w:rPr>
          <w:rFonts w:ascii="Gadugi" w:hAnsi="Gadugi" w:cs="Arial"/>
          <w:sz w:val="24"/>
          <w:szCs w:val="24"/>
        </w:rPr>
        <w:t xml:space="preserve">465 del CGP. </w:t>
      </w:r>
    </w:p>
    <w:p w14:paraId="266DE0EB" w14:textId="77777777" w:rsidR="00D15ECF" w:rsidRPr="004027A2" w:rsidRDefault="00D15ECF" w:rsidP="004027A2">
      <w:pPr>
        <w:pStyle w:val="Prrafodelista"/>
        <w:spacing w:line="276" w:lineRule="auto"/>
        <w:rPr>
          <w:sz w:val="24"/>
          <w:szCs w:val="24"/>
        </w:rPr>
      </w:pPr>
    </w:p>
    <w:p w14:paraId="2E48D730" w14:textId="7903E224" w:rsidR="004D05A1" w:rsidRPr="004027A2" w:rsidRDefault="004D05A1" w:rsidP="004027A2">
      <w:pPr>
        <w:pStyle w:val="Textoindependiente"/>
        <w:numPr>
          <w:ilvl w:val="0"/>
          <w:numId w:val="4"/>
        </w:numPr>
        <w:tabs>
          <w:tab w:val="left" w:pos="426"/>
        </w:tabs>
        <w:spacing w:line="276" w:lineRule="auto"/>
        <w:ind w:left="0" w:right="117" w:firstLine="0"/>
        <w:jc w:val="both"/>
        <w:rPr>
          <w:rFonts w:ascii="Gadugi" w:hAnsi="Gadugi"/>
          <w:sz w:val="24"/>
          <w:szCs w:val="24"/>
        </w:rPr>
      </w:pPr>
      <w:r w:rsidRPr="004027A2">
        <w:rPr>
          <w:rFonts w:ascii="Gadugi" w:hAnsi="Gadugi" w:cs="Arial"/>
          <w:sz w:val="24"/>
          <w:szCs w:val="24"/>
        </w:rPr>
        <w:t xml:space="preserve">Y es que, vistas las cosas desde esta perspectiva, al aquí accionante, </w:t>
      </w:r>
      <w:r w:rsidR="00F45FD1" w:rsidRPr="004027A2">
        <w:rPr>
          <w:rFonts w:ascii="Gadugi" w:hAnsi="Gadugi" w:cs="Arial"/>
          <w:sz w:val="24"/>
          <w:szCs w:val="24"/>
        </w:rPr>
        <w:t xml:space="preserve">sea </w:t>
      </w:r>
      <w:r w:rsidRPr="004027A2">
        <w:rPr>
          <w:rFonts w:ascii="Gadugi" w:hAnsi="Gadugi" w:cs="Arial"/>
          <w:sz w:val="24"/>
          <w:szCs w:val="24"/>
        </w:rPr>
        <w:t>por esta vía, o por la que él sugiere, es decir, la de mantener privilegiado su embargo, en nada le cambiaría su situación, puesto que, dispuesto el embargo e</w:t>
      </w:r>
      <w:r w:rsidR="00F45FD1" w:rsidRPr="004027A2">
        <w:rPr>
          <w:rFonts w:ascii="Gadugi" w:hAnsi="Gadugi" w:cs="Arial"/>
          <w:sz w:val="24"/>
          <w:szCs w:val="24"/>
        </w:rPr>
        <w:t>n</w:t>
      </w:r>
      <w:r w:rsidRPr="004027A2">
        <w:rPr>
          <w:rFonts w:ascii="Gadugi" w:hAnsi="Gadugi" w:cs="Arial"/>
          <w:sz w:val="24"/>
          <w:szCs w:val="24"/>
        </w:rPr>
        <w:t xml:space="preserve"> aquellos procesos,</w:t>
      </w:r>
      <w:r w:rsidR="00D15ECF" w:rsidRPr="004027A2">
        <w:rPr>
          <w:rFonts w:ascii="Gadugi" w:hAnsi="Gadugi" w:cs="Arial"/>
          <w:sz w:val="24"/>
          <w:szCs w:val="24"/>
        </w:rPr>
        <w:t xml:space="preserve"> como señala el citado artículo 465, dada la concurrencia de embargos, </w:t>
      </w:r>
      <w:r w:rsidRPr="004027A2">
        <w:rPr>
          <w:rFonts w:ascii="Gadugi" w:hAnsi="Gadugi" w:cs="Arial"/>
          <w:sz w:val="24"/>
          <w:szCs w:val="24"/>
        </w:rPr>
        <w:t>lo que tendría que hacer el jue</w:t>
      </w:r>
      <w:r w:rsidR="00D15ECF" w:rsidRPr="004027A2">
        <w:rPr>
          <w:rFonts w:ascii="Gadugi" w:hAnsi="Gadugi" w:cs="Arial"/>
          <w:sz w:val="24"/>
          <w:szCs w:val="24"/>
        </w:rPr>
        <w:t>z</w:t>
      </w:r>
      <w:r w:rsidRPr="004027A2">
        <w:rPr>
          <w:rFonts w:ascii="Gadugi" w:hAnsi="Gadugi" w:cs="Arial"/>
          <w:sz w:val="24"/>
          <w:szCs w:val="24"/>
        </w:rPr>
        <w:t xml:space="preserve"> civil, sería llevar el bien hasta el remate y pagar primero los créditos </w:t>
      </w:r>
      <w:r w:rsidRPr="004027A2">
        <w:rPr>
          <w:rFonts w:ascii="Gadugi" w:hAnsi="Gadugi" w:cs="Arial"/>
          <w:sz w:val="24"/>
          <w:szCs w:val="24"/>
        </w:rPr>
        <w:lastRenderedPageBreak/>
        <w:t xml:space="preserve">preferentes (laboral y fiscal) y disponer para el civil </w:t>
      </w:r>
      <w:r w:rsidR="0042448B" w:rsidRPr="004027A2">
        <w:rPr>
          <w:rFonts w:ascii="Gadugi" w:hAnsi="Gadugi" w:cs="Arial"/>
          <w:sz w:val="24"/>
          <w:szCs w:val="24"/>
        </w:rPr>
        <w:t>d</w:t>
      </w:r>
      <w:r w:rsidRPr="004027A2">
        <w:rPr>
          <w:rFonts w:ascii="Gadugi" w:hAnsi="Gadugi" w:cs="Arial"/>
          <w:sz w:val="24"/>
          <w:szCs w:val="24"/>
        </w:rPr>
        <w:t xml:space="preserve">el remanente. </w:t>
      </w:r>
    </w:p>
    <w:p w14:paraId="714C5857" w14:textId="76B91BE1" w:rsidR="004D05A1" w:rsidRPr="004027A2" w:rsidRDefault="004D05A1" w:rsidP="004027A2">
      <w:pPr>
        <w:pStyle w:val="Textoindependiente"/>
        <w:tabs>
          <w:tab w:val="left" w:pos="426"/>
        </w:tabs>
        <w:spacing w:line="276" w:lineRule="auto"/>
        <w:ind w:right="117"/>
        <w:jc w:val="both"/>
        <w:rPr>
          <w:rFonts w:ascii="Gadugi" w:hAnsi="Gadugi"/>
          <w:sz w:val="24"/>
          <w:szCs w:val="24"/>
        </w:rPr>
      </w:pPr>
    </w:p>
    <w:p w14:paraId="366F8A8A" w14:textId="50CEB6C7" w:rsidR="00D15ECF" w:rsidRPr="004027A2" w:rsidRDefault="00D15ECF" w:rsidP="004027A2">
      <w:pPr>
        <w:pStyle w:val="Textoindependiente"/>
        <w:tabs>
          <w:tab w:val="left" w:pos="426"/>
        </w:tabs>
        <w:spacing w:line="276" w:lineRule="auto"/>
        <w:ind w:right="117"/>
        <w:jc w:val="both"/>
        <w:rPr>
          <w:rFonts w:ascii="Gadugi" w:hAnsi="Gadugi"/>
          <w:sz w:val="24"/>
          <w:szCs w:val="24"/>
        </w:rPr>
      </w:pPr>
      <w:r w:rsidRPr="004027A2">
        <w:rPr>
          <w:rFonts w:ascii="Gadugi" w:hAnsi="Gadugi"/>
          <w:sz w:val="24"/>
          <w:szCs w:val="24"/>
        </w:rPr>
        <w:t>Eso significa que lo que variaría sería el funcionario que debe adelantar el trámite hasta el remate del bien</w:t>
      </w:r>
      <w:r w:rsidR="002E3B86" w:rsidRPr="004027A2">
        <w:rPr>
          <w:rFonts w:ascii="Gadugi" w:hAnsi="Gadugi"/>
          <w:sz w:val="24"/>
          <w:szCs w:val="24"/>
        </w:rPr>
        <w:t xml:space="preserve">, pues a partir de allí, los créditos deben pagarse según su privilegio. </w:t>
      </w:r>
    </w:p>
    <w:p w14:paraId="4B3C2FCF" w14:textId="5F02E7C6" w:rsidR="004D05A1" w:rsidRPr="004027A2" w:rsidRDefault="004D05A1" w:rsidP="004027A2">
      <w:pPr>
        <w:pStyle w:val="Textoindependiente"/>
        <w:tabs>
          <w:tab w:val="left" w:pos="426"/>
        </w:tabs>
        <w:spacing w:line="276" w:lineRule="auto"/>
        <w:ind w:right="117"/>
        <w:jc w:val="both"/>
        <w:rPr>
          <w:rFonts w:ascii="Gadugi" w:hAnsi="Gadugi"/>
          <w:sz w:val="24"/>
          <w:szCs w:val="24"/>
        </w:rPr>
      </w:pPr>
    </w:p>
    <w:p w14:paraId="6CCA6A3C" w14:textId="35E8F501" w:rsidR="0090386E" w:rsidRPr="004027A2" w:rsidRDefault="0090386E" w:rsidP="004027A2">
      <w:pPr>
        <w:pStyle w:val="Textoindependiente"/>
        <w:numPr>
          <w:ilvl w:val="1"/>
          <w:numId w:val="2"/>
        </w:numPr>
        <w:tabs>
          <w:tab w:val="left" w:pos="426"/>
        </w:tabs>
        <w:spacing w:line="276" w:lineRule="auto"/>
        <w:ind w:left="0" w:right="117" w:firstLine="0"/>
        <w:jc w:val="both"/>
        <w:rPr>
          <w:rFonts w:ascii="Gadugi" w:hAnsi="Gadugi"/>
          <w:sz w:val="24"/>
          <w:szCs w:val="24"/>
        </w:rPr>
      </w:pPr>
      <w:r w:rsidRPr="004027A2">
        <w:rPr>
          <w:rFonts w:ascii="Gadugi" w:hAnsi="Gadugi"/>
          <w:sz w:val="24"/>
          <w:szCs w:val="24"/>
        </w:rPr>
        <w:t>Por tanto, se confirmará el auto protestado y, por virtud de lo reglado en el artículo 365-1 del CGP, se condenará en costas a</w:t>
      </w:r>
      <w:r w:rsidR="008F74E7" w:rsidRPr="004027A2">
        <w:rPr>
          <w:rFonts w:ascii="Gadugi" w:hAnsi="Gadugi"/>
          <w:sz w:val="24"/>
          <w:szCs w:val="24"/>
        </w:rPr>
        <w:t>l</w:t>
      </w:r>
      <w:r w:rsidRPr="004027A2">
        <w:rPr>
          <w:rFonts w:ascii="Gadugi" w:hAnsi="Gadugi"/>
          <w:sz w:val="24"/>
          <w:szCs w:val="24"/>
        </w:rPr>
        <w:t xml:space="preserve"> recurrente a favor de l</w:t>
      </w:r>
      <w:r w:rsidR="008F74E7" w:rsidRPr="004027A2">
        <w:rPr>
          <w:rFonts w:ascii="Gadugi" w:hAnsi="Gadugi"/>
          <w:sz w:val="24"/>
          <w:szCs w:val="24"/>
        </w:rPr>
        <w:t>a demandada</w:t>
      </w:r>
      <w:r w:rsidRPr="004027A2">
        <w:rPr>
          <w:rFonts w:ascii="Gadugi" w:hAnsi="Gadugi"/>
          <w:sz w:val="24"/>
          <w:szCs w:val="24"/>
        </w:rPr>
        <w:t xml:space="preserve">. </w:t>
      </w:r>
    </w:p>
    <w:p w14:paraId="4E0A091C" w14:textId="53B5DA85" w:rsidR="0090386E" w:rsidRPr="004027A2" w:rsidRDefault="0090386E" w:rsidP="004027A2">
      <w:pPr>
        <w:pStyle w:val="Textoindependiente"/>
        <w:spacing w:line="276" w:lineRule="auto"/>
        <w:ind w:right="117"/>
        <w:jc w:val="both"/>
        <w:rPr>
          <w:rFonts w:ascii="Gadugi" w:hAnsi="Gadugi"/>
          <w:sz w:val="24"/>
          <w:szCs w:val="24"/>
        </w:rPr>
      </w:pPr>
    </w:p>
    <w:p w14:paraId="028CF67D" w14:textId="549FB8DE" w:rsidR="0090386E" w:rsidRPr="004027A2" w:rsidRDefault="0090386E" w:rsidP="004027A2">
      <w:pPr>
        <w:pStyle w:val="Textoindependiente"/>
        <w:spacing w:line="276" w:lineRule="auto"/>
        <w:ind w:right="117"/>
        <w:jc w:val="both"/>
        <w:rPr>
          <w:rFonts w:ascii="Gadugi" w:hAnsi="Gadugi"/>
          <w:sz w:val="24"/>
          <w:szCs w:val="24"/>
        </w:rPr>
      </w:pPr>
      <w:r w:rsidRPr="004027A2">
        <w:rPr>
          <w:rFonts w:ascii="Gadugi" w:hAnsi="Gadugi"/>
          <w:sz w:val="24"/>
          <w:szCs w:val="24"/>
        </w:rPr>
        <w:t xml:space="preserve">Ellas se liquidarán ante el juzgado de primera instancia, siguiendo lo reglado por el artículo 366 del mismo estatuto. En auto separado, se fijarán las agencias en derecho. </w:t>
      </w:r>
    </w:p>
    <w:p w14:paraId="0E840314" w14:textId="7976D55A" w:rsidR="0090386E" w:rsidRPr="004027A2" w:rsidRDefault="0090386E" w:rsidP="004027A2">
      <w:pPr>
        <w:pStyle w:val="Textoindependiente"/>
        <w:spacing w:line="276" w:lineRule="auto"/>
        <w:ind w:right="117"/>
        <w:jc w:val="both"/>
        <w:rPr>
          <w:rFonts w:ascii="Gadugi" w:hAnsi="Gadugi"/>
          <w:sz w:val="24"/>
          <w:szCs w:val="24"/>
        </w:rPr>
      </w:pPr>
    </w:p>
    <w:p w14:paraId="1AFA5C7A" w14:textId="77777777" w:rsidR="00FD0FCD" w:rsidRPr="004027A2" w:rsidRDefault="00FD0FCD" w:rsidP="004027A2">
      <w:pPr>
        <w:spacing w:line="276" w:lineRule="auto"/>
        <w:rPr>
          <w:sz w:val="24"/>
          <w:szCs w:val="24"/>
        </w:rPr>
      </w:pPr>
    </w:p>
    <w:p w14:paraId="11BA627B" w14:textId="77777777" w:rsidR="00FD0FCD" w:rsidRPr="004027A2" w:rsidRDefault="00143BB8" w:rsidP="004027A2">
      <w:pPr>
        <w:pStyle w:val="Ttulo2"/>
        <w:spacing w:before="0" w:line="276" w:lineRule="auto"/>
        <w:ind w:left="0"/>
        <w:rPr>
          <w:sz w:val="24"/>
          <w:szCs w:val="24"/>
        </w:rPr>
      </w:pPr>
      <w:r w:rsidRPr="004027A2">
        <w:rPr>
          <w:sz w:val="24"/>
          <w:szCs w:val="24"/>
        </w:rPr>
        <w:t>DECISIÓN</w:t>
      </w:r>
    </w:p>
    <w:p w14:paraId="3660B7F7" w14:textId="77777777" w:rsidR="00FD0FCD" w:rsidRPr="004027A2" w:rsidRDefault="00FD0FCD" w:rsidP="004027A2">
      <w:pPr>
        <w:spacing w:line="276" w:lineRule="auto"/>
        <w:rPr>
          <w:b/>
          <w:sz w:val="24"/>
          <w:szCs w:val="24"/>
        </w:rPr>
      </w:pPr>
    </w:p>
    <w:p w14:paraId="377E49CF" w14:textId="77777777" w:rsidR="00FD0FCD" w:rsidRPr="004027A2" w:rsidRDefault="00FD0FCD" w:rsidP="004027A2">
      <w:pPr>
        <w:spacing w:line="276" w:lineRule="auto"/>
        <w:rPr>
          <w:b/>
          <w:sz w:val="24"/>
          <w:szCs w:val="24"/>
        </w:rPr>
      </w:pPr>
    </w:p>
    <w:p w14:paraId="4DDF997D" w14:textId="130DFEAC" w:rsidR="008F74E7" w:rsidRPr="004027A2" w:rsidRDefault="00143BB8" w:rsidP="004027A2">
      <w:pPr>
        <w:spacing w:line="276" w:lineRule="auto"/>
        <w:ind w:right="113"/>
        <w:jc w:val="both"/>
        <w:rPr>
          <w:sz w:val="24"/>
          <w:szCs w:val="24"/>
        </w:rPr>
      </w:pPr>
      <w:r w:rsidRPr="004027A2">
        <w:rPr>
          <w:sz w:val="24"/>
          <w:szCs w:val="24"/>
        </w:rPr>
        <w:t xml:space="preserve">En armonía con lo expuesto, el </w:t>
      </w:r>
      <w:r w:rsidRPr="004027A2">
        <w:rPr>
          <w:b/>
          <w:sz w:val="24"/>
          <w:szCs w:val="24"/>
        </w:rPr>
        <w:t>Tribunal Superior del Distrito Judicial, Sala Unitaria Civil-Familia</w:t>
      </w:r>
      <w:r w:rsidRPr="004027A2">
        <w:rPr>
          <w:sz w:val="24"/>
          <w:szCs w:val="24"/>
        </w:rPr>
        <w:t xml:space="preserve">, </w:t>
      </w:r>
      <w:r w:rsidRPr="004027A2">
        <w:rPr>
          <w:b/>
          <w:sz w:val="24"/>
          <w:szCs w:val="24"/>
        </w:rPr>
        <w:t xml:space="preserve">CONFIRMA </w:t>
      </w:r>
      <w:r w:rsidR="008F74E7" w:rsidRPr="004027A2">
        <w:rPr>
          <w:sz w:val="24"/>
          <w:szCs w:val="24"/>
        </w:rPr>
        <w:t xml:space="preserve">el auto del 14 de febrero de 2022, proferido por el Juzgado Tercero Civil del Circuito en este proceso ejecutivo a continuación de declarativo, iniciado por Uriel Darío Muñoz Sánchez frente a Inversiones Salazar Pinillos y S en CS. </w:t>
      </w:r>
    </w:p>
    <w:p w14:paraId="161041DB" w14:textId="77777777" w:rsidR="008F74E7" w:rsidRPr="004027A2" w:rsidRDefault="008F74E7" w:rsidP="004027A2">
      <w:pPr>
        <w:spacing w:line="276" w:lineRule="auto"/>
        <w:rPr>
          <w:sz w:val="24"/>
          <w:szCs w:val="24"/>
        </w:rPr>
      </w:pPr>
    </w:p>
    <w:p w14:paraId="2FD11E63" w14:textId="1AEFB878" w:rsidR="0090386E" w:rsidRPr="004027A2" w:rsidRDefault="0090386E" w:rsidP="004027A2">
      <w:pPr>
        <w:spacing w:line="276" w:lineRule="auto"/>
        <w:ind w:right="113"/>
        <w:jc w:val="both"/>
        <w:rPr>
          <w:b/>
          <w:sz w:val="24"/>
          <w:szCs w:val="24"/>
        </w:rPr>
      </w:pPr>
      <w:r w:rsidRPr="004027A2">
        <w:rPr>
          <w:sz w:val="24"/>
          <w:szCs w:val="24"/>
        </w:rPr>
        <w:t>Costas en esta sede</w:t>
      </w:r>
      <w:r w:rsidR="008F74E7" w:rsidRPr="004027A2">
        <w:rPr>
          <w:sz w:val="24"/>
          <w:szCs w:val="24"/>
        </w:rPr>
        <w:t xml:space="preserve"> </w:t>
      </w:r>
      <w:r w:rsidRPr="004027A2">
        <w:rPr>
          <w:sz w:val="24"/>
          <w:szCs w:val="24"/>
        </w:rPr>
        <w:t>a cargo del recurrente y a favor d</w:t>
      </w:r>
      <w:r w:rsidR="00BC1657" w:rsidRPr="004027A2">
        <w:rPr>
          <w:sz w:val="24"/>
          <w:szCs w:val="24"/>
        </w:rPr>
        <w:t>e</w:t>
      </w:r>
      <w:r w:rsidRPr="004027A2">
        <w:rPr>
          <w:sz w:val="24"/>
          <w:szCs w:val="24"/>
        </w:rPr>
        <w:t xml:space="preserve"> </w:t>
      </w:r>
      <w:r w:rsidR="00BC1657" w:rsidRPr="004027A2">
        <w:rPr>
          <w:sz w:val="24"/>
          <w:szCs w:val="24"/>
        </w:rPr>
        <w:t>l</w:t>
      </w:r>
      <w:r w:rsidR="008F74E7" w:rsidRPr="004027A2">
        <w:rPr>
          <w:sz w:val="24"/>
          <w:szCs w:val="24"/>
        </w:rPr>
        <w:t>a demandada</w:t>
      </w:r>
      <w:r w:rsidRPr="004027A2">
        <w:rPr>
          <w:sz w:val="24"/>
          <w:szCs w:val="24"/>
        </w:rPr>
        <w:t xml:space="preserve">.  </w:t>
      </w:r>
    </w:p>
    <w:p w14:paraId="422A650C" w14:textId="7380D0A4" w:rsidR="00FD0FCD" w:rsidRPr="004027A2" w:rsidRDefault="00FD0FCD" w:rsidP="004027A2">
      <w:pPr>
        <w:spacing w:line="276" w:lineRule="auto"/>
        <w:ind w:right="114"/>
        <w:jc w:val="both"/>
        <w:rPr>
          <w:b/>
          <w:sz w:val="24"/>
          <w:szCs w:val="24"/>
        </w:rPr>
      </w:pPr>
    </w:p>
    <w:p w14:paraId="65AB6207" w14:textId="77777777" w:rsidR="0090386E" w:rsidRPr="004027A2" w:rsidRDefault="0090386E" w:rsidP="004027A2">
      <w:pPr>
        <w:pStyle w:val="Ttulo2"/>
        <w:spacing w:before="0" w:line="276" w:lineRule="auto"/>
        <w:ind w:left="0"/>
        <w:rPr>
          <w:b w:val="0"/>
          <w:sz w:val="24"/>
          <w:szCs w:val="24"/>
        </w:rPr>
      </w:pPr>
      <w:r w:rsidRPr="004027A2">
        <w:rPr>
          <w:b w:val="0"/>
          <w:sz w:val="24"/>
          <w:szCs w:val="24"/>
        </w:rPr>
        <w:t xml:space="preserve">Notifíquese, </w:t>
      </w:r>
    </w:p>
    <w:p w14:paraId="7D4F068E" w14:textId="7876B349" w:rsidR="0090386E" w:rsidRDefault="0090386E" w:rsidP="004027A2">
      <w:pPr>
        <w:pStyle w:val="Ttulo2"/>
        <w:spacing w:before="0" w:line="276" w:lineRule="auto"/>
        <w:ind w:left="0"/>
        <w:rPr>
          <w:sz w:val="24"/>
          <w:szCs w:val="24"/>
        </w:rPr>
      </w:pPr>
    </w:p>
    <w:p w14:paraId="7CC8FAB7" w14:textId="77777777" w:rsidR="00C710A7" w:rsidRPr="004027A2" w:rsidRDefault="00C710A7" w:rsidP="004027A2">
      <w:pPr>
        <w:pStyle w:val="Ttulo2"/>
        <w:spacing w:before="0" w:line="276" w:lineRule="auto"/>
        <w:ind w:left="0"/>
        <w:rPr>
          <w:sz w:val="24"/>
          <w:szCs w:val="24"/>
        </w:rPr>
      </w:pPr>
    </w:p>
    <w:p w14:paraId="42E489A5" w14:textId="77777777" w:rsidR="0090386E" w:rsidRPr="004027A2" w:rsidRDefault="0090386E" w:rsidP="004027A2">
      <w:pPr>
        <w:pStyle w:val="Ttulo2"/>
        <w:spacing w:before="0" w:line="276" w:lineRule="auto"/>
        <w:ind w:left="0"/>
        <w:rPr>
          <w:sz w:val="24"/>
          <w:szCs w:val="24"/>
        </w:rPr>
      </w:pPr>
    </w:p>
    <w:p w14:paraId="22764C62" w14:textId="5BBB7E2E" w:rsidR="00FD0FCD" w:rsidRPr="004027A2" w:rsidRDefault="00143BB8" w:rsidP="004027A2">
      <w:pPr>
        <w:pStyle w:val="Ttulo2"/>
        <w:spacing w:before="0" w:line="276" w:lineRule="auto"/>
        <w:ind w:left="0"/>
        <w:rPr>
          <w:sz w:val="24"/>
          <w:szCs w:val="24"/>
        </w:rPr>
      </w:pPr>
      <w:r w:rsidRPr="004027A2">
        <w:rPr>
          <w:sz w:val="24"/>
          <w:szCs w:val="24"/>
        </w:rPr>
        <w:t>JAIME ALBERTO SARAZA NARANJO</w:t>
      </w:r>
    </w:p>
    <w:p w14:paraId="64A16C32" w14:textId="073ABF95" w:rsidR="00FD0FCD" w:rsidRPr="004027A2" w:rsidRDefault="00143BB8" w:rsidP="004027A2">
      <w:pPr>
        <w:pStyle w:val="Textoindependiente"/>
        <w:spacing w:line="276" w:lineRule="auto"/>
        <w:rPr>
          <w:rFonts w:ascii="Gadugi" w:hAnsi="Gadugi"/>
          <w:sz w:val="24"/>
          <w:szCs w:val="24"/>
        </w:rPr>
      </w:pPr>
      <w:r w:rsidRPr="004027A2">
        <w:rPr>
          <w:rFonts w:ascii="Gadugi" w:hAnsi="Gadugi"/>
          <w:sz w:val="24"/>
          <w:szCs w:val="24"/>
        </w:rPr>
        <w:t>Magist</w:t>
      </w:r>
      <w:r w:rsidR="008F74E7" w:rsidRPr="004027A2">
        <w:rPr>
          <w:rFonts w:ascii="Gadugi" w:hAnsi="Gadugi"/>
          <w:sz w:val="24"/>
          <w:szCs w:val="24"/>
        </w:rPr>
        <w:t>rado</w:t>
      </w:r>
    </w:p>
    <w:sectPr w:rsidR="00FD0FCD" w:rsidRPr="004027A2" w:rsidSect="00C06C02">
      <w:headerReference w:type="default" r:id="rId11"/>
      <w:footerReference w:type="default" r:id="rId12"/>
      <w:headerReference w:type="first" r:id="rId13"/>
      <w:pgSz w:w="12242" w:h="18722" w:code="258"/>
      <w:pgMar w:top="1871" w:right="1304" w:bottom="1304" w:left="1871"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1611B" w14:textId="77777777" w:rsidR="0094797E" w:rsidRDefault="0094797E" w:rsidP="008D52B1">
      <w:r>
        <w:separator/>
      </w:r>
    </w:p>
  </w:endnote>
  <w:endnote w:type="continuationSeparator" w:id="0">
    <w:p w14:paraId="012D98CD" w14:textId="77777777" w:rsidR="0094797E" w:rsidRDefault="0094797E" w:rsidP="008D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Agency FB">
    <w:panose1 w:val="020B0503020202020204"/>
    <w:charset w:val="00"/>
    <w:family w:val="swiss"/>
    <w:pitch w:val="variable"/>
    <w:sig w:usb0="00000003" w:usb1="00000000" w:usb2="00000000" w:usb3="00000000" w:csb0="00000001" w:csb1="00000000"/>
  </w:font>
  <w:font w:name="Open Sans">
    <w:altName w:val="Franklin Gothic Medium Cond"/>
    <w:charset w:val="00"/>
    <w:family w:val="swiss"/>
    <w:pitch w:val="variable"/>
    <w:sig w:usb0="E00002EF" w:usb1="4000205B" w:usb2="00000028"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385050"/>
      <w:docPartObj>
        <w:docPartGallery w:val="Page Numbers (Bottom of Page)"/>
        <w:docPartUnique/>
      </w:docPartObj>
    </w:sdtPr>
    <w:sdtEndPr>
      <w:rPr>
        <w:rFonts w:ascii="Agency FB" w:hAnsi="Agency FB"/>
        <w:sz w:val="20"/>
      </w:rPr>
    </w:sdtEndPr>
    <w:sdtContent>
      <w:p w14:paraId="2F1BCD3C" w14:textId="21B3425C" w:rsidR="00BF0006" w:rsidRPr="00980929" w:rsidRDefault="00BF0006">
        <w:pPr>
          <w:pStyle w:val="Piedepgina"/>
          <w:jc w:val="right"/>
          <w:rPr>
            <w:rFonts w:ascii="Agency FB" w:hAnsi="Agency FB"/>
            <w:sz w:val="20"/>
          </w:rPr>
        </w:pPr>
        <w:r w:rsidRPr="00980929">
          <w:rPr>
            <w:rFonts w:ascii="Agency FB" w:hAnsi="Agency FB"/>
            <w:sz w:val="20"/>
          </w:rPr>
          <w:fldChar w:fldCharType="begin"/>
        </w:r>
        <w:r w:rsidRPr="00980929">
          <w:rPr>
            <w:rFonts w:ascii="Agency FB" w:hAnsi="Agency FB"/>
            <w:sz w:val="20"/>
          </w:rPr>
          <w:instrText>PAGE   \* MERGEFORMAT</w:instrText>
        </w:r>
        <w:r w:rsidRPr="00980929">
          <w:rPr>
            <w:rFonts w:ascii="Agency FB" w:hAnsi="Agency FB"/>
            <w:sz w:val="20"/>
          </w:rPr>
          <w:fldChar w:fldCharType="separate"/>
        </w:r>
        <w:r w:rsidRPr="00980929">
          <w:rPr>
            <w:rFonts w:ascii="Agency FB" w:hAnsi="Agency FB"/>
            <w:sz w:val="20"/>
          </w:rPr>
          <w:t>2</w:t>
        </w:r>
        <w:r w:rsidRPr="00980929">
          <w:rPr>
            <w:rFonts w:ascii="Agency FB" w:hAnsi="Agency FB"/>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C478D" w14:textId="77777777" w:rsidR="0094797E" w:rsidRDefault="0094797E" w:rsidP="008D52B1">
      <w:r>
        <w:separator/>
      </w:r>
    </w:p>
  </w:footnote>
  <w:footnote w:type="continuationSeparator" w:id="0">
    <w:p w14:paraId="15FD1E22" w14:textId="77777777" w:rsidR="0094797E" w:rsidRDefault="0094797E" w:rsidP="008D52B1">
      <w:r>
        <w:continuationSeparator/>
      </w:r>
    </w:p>
  </w:footnote>
  <w:footnote w:id="1">
    <w:p w14:paraId="5841F8DF" w14:textId="5922669B" w:rsidR="00115782" w:rsidRPr="00980929" w:rsidRDefault="00115782" w:rsidP="00980929">
      <w:pPr>
        <w:pStyle w:val="NormalWeb"/>
        <w:spacing w:before="0" w:beforeAutospacing="0" w:after="0" w:afterAutospacing="0"/>
        <w:jc w:val="both"/>
        <w:rPr>
          <w:rFonts w:ascii="Agency FB" w:hAnsi="Agency FB" w:cs="Open Sans"/>
          <w:i/>
          <w:sz w:val="20"/>
        </w:rPr>
      </w:pPr>
      <w:r w:rsidRPr="00980929">
        <w:rPr>
          <w:rStyle w:val="Refdenotaalpie"/>
          <w:rFonts w:ascii="Agency FB" w:eastAsia="Gadugi" w:hAnsi="Agency FB"/>
          <w:iCs/>
          <w:sz w:val="20"/>
        </w:rPr>
        <w:footnoteRef/>
      </w:r>
      <w:r w:rsidRPr="00980929">
        <w:rPr>
          <w:rFonts w:ascii="Agency FB" w:hAnsi="Agency FB"/>
          <w:iCs/>
          <w:sz w:val="20"/>
        </w:rPr>
        <w:t xml:space="preserve"> “(…)</w:t>
      </w:r>
      <w:r w:rsidRPr="00980929">
        <w:rPr>
          <w:rFonts w:ascii="Agency FB" w:hAnsi="Agency FB"/>
          <w:i/>
          <w:sz w:val="20"/>
        </w:rPr>
        <w:t xml:space="preserve"> </w:t>
      </w:r>
      <w:r w:rsidRPr="00980929">
        <w:rPr>
          <w:rFonts w:ascii="Agency FB" w:hAnsi="Agency FB" w:cs="Open Sans"/>
          <w:i/>
          <w:sz w:val="20"/>
        </w:rPr>
        <w:t>En los contratos bilaterales va envuelta la condición resolutoria en caso de no cumplirse por uno de los contratantes lo pactado.</w:t>
      </w:r>
      <w:r w:rsidR="00980929">
        <w:rPr>
          <w:rFonts w:ascii="Agency FB" w:hAnsi="Agency FB" w:cs="Open Sans"/>
          <w:i/>
          <w:sz w:val="20"/>
        </w:rPr>
        <w:t xml:space="preserve"> </w:t>
      </w:r>
      <w:r w:rsidRPr="00980929">
        <w:rPr>
          <w:rFonts w:ascii="Agency FB" w:hAnsi="Agency FB" w:cs="Open Sans"/>
          <w:i/>
          <w:sz w:val="20"/>
        </w:rPr>
        <w:t xml:space="preserve">Pero en tal caso podrá el otro contratante pedir a su arbitrio, o la resolución o el cumplimiento del contrato con indemnización de perjuicios </w:t>
      </w:r>
      <w:r w:rsidRPr="00980929">
        <w:rPr>
          <w:rFonts w:ascii="Agency FB" w:hAnsi="Agency FB" w:cs="Open Sans"/>
          <w:iCs/>
          <w:sz w:val="20"/>
        </w:rPr>
        <w:t>(…)”.</w:t>
      </w:r>
    </w:p>
  </w:footnote>
  <w:footnote w:id="2">
    <w:p w14:paraId="1548C8F9" w14:textId="77777777" w:rsidR="00897174" w:rsidRDefault="00897174" w:rsidP="00980929">
      <w:pPr>
        <w:pStyle w:val="Textonotapie"/>
        <w:jc w:val="both"/>
        <w:rPr>
          <w:rFonts w:ascii="Bookman Old Style" w:eastAsia="Calibri" w:hAnsi="Bookman Old Style" w:cs="Arial"/>
          <w:sz w:val="18"/>
          <w:szCs w:val="18"/>
          <w:lang w:val="es-CO"/>
        </w:rPr>
      </w:pPr>
      <w:r w:rsidRPr="00980929">
        <w:rPr>
          <w:rStyle w:val="Refdenotaalpie"/>
          <w:rFonts w:ascii="Agency FB" w:hAnsi="Agency FB"/>
          <w:szCs w:val="24"/>
        </w:rPr>
        <w:footnoteRef/>
      </w:r>
      <w:r w:rsidRPr="00980929">
        <w:rPr>
          <w:rFonts w:ascii="Agency FB" w:hAnsi="Agency FB"/>
          <w:szCs w:val="24"/>
        </w:rPr>
        <w:t xml:space="preserve"> CSJ. SC19903-2017 de 29 de noviembre de 2017, exp. 73268-31-03-002-2011-00145-01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BF870" w14:textId="7B5A82DC" w:rsidR="00DE75C0" w:rsidRDefault="006C2177" w:rsidP="006C2177">
    <w:pPr>
      <w:pStyle w:val="Encabezado"/>
      <w:tabs>
        <w:tab w:val="clear" w:pos="4419"/>
        <w:tab w:val="left" w:pos="2865"/>
        <w:tab w:val="center" w:pos="442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0A02" w14:textId="50CC9CF2" w:rsidR="006C2177" w:rsidRDefault="006C2177" w:rsidP="006C2177">
    <w:pPr>
      <w:pStyle w:val="Encabezado"/>
      <w:jc w:val="center"/>
    </w:pPr>
    <w:r>
      <w:rPr>
        <w:noProof/>
      </w:rPr>
      <w:drawing>
        <wp:inline distT="0" distB="0" distL="0" distR="0" wp14:anchorId="54ADDC42" wp14:editId="6BE74BCE">
          <wp:extent cx="2171700" cy="762000"/>
          <wp:effectExtent l="0" t="0" r="0" b="0"/>
          <wp:docPr id="3" name="Imagen 3" descr="C:\Users\ilondoñb\Desktop\logo.jpg"/>
          <wp:cNvGraphicFramePr/>
          <a:graphic xmlns:a="http://schemas.openxmlformats.org/drawingml/2006/main">
            <a:graphicData uri="http://schemas.openxmlformats.org/drawingml/2006/picture">
              <pic:pic xmlns:pic="http://schemas.openxmlformats.org/drawingml/2006/picture">
                <pic:nvPicPr>
                  <pic:cNvPr id="11" name="Imagen 11" descr="C:\Users\ilondoñb\Desktop\logo.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547" cy="785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E1BA4"/>
    <w:multiLevelType w:val="hybridMultilevel"/>
    <w:tmpl w:val="17EE4694"/>
    <w:lvl w:ilvl="0" w:tplc="7A081D30">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267507F8"/>
    <w:multiLevelType w:val="hybridMultilevel"/>
    <w:tmpl w:val="0F3CF1F0"/>
    <w:lvl w:ilvl="0" w:tplc="240A0019">
      <w:start w:val="1"/>
      <w:numFmt w:val="lowerLetter"/>
      <w:lvlText w:val="%1."/>
      <w:lvlJc w:val="left"/>
      <w:pPr>
        <w:ind w:left="2061" w:hanging="360"/>
      </w:pPr>
      <w:rPr>
        <w:rFonts w:hint="default"/>
      </w:rPr>
    </w:lvl>
    <w:lvl w:ilvl="1" w:tplc="240A0019" w:tentative="1">
      <w:start w:val="1"/>
      <w:numFmt w:val="lowerLetter"/>
      <w:lvlText w:val="%2."/>
      <w:lvlJc w:val="left"/>
      <w:pPr>
        <w:ind w:left="2781" w:hanging="360"/>
      </w:pPr>
    </w:lvl>
    <w:lvl w:ilvl="2" w:tplc="240A001B" w:tentative="1">
      <w:start w:val="1"/>
      <w:numFmt w:val="lowerRoman"/>
      <w:lvlText w:val="%3."/>
      <w:lvlJc w:val="right"/>
      <w:pPr>
        <w:ind w:left="3501" w:hanging="180"/>
      </w:pPr>
    </w:lvl>
    <w:lvl w:ilvl="3" w:tplc="240A000F" w:tentative="1">
      <w:start w:val="1"/>
      <w:numFmt w:val="decimal"/>
      <w:lvlText w:val="%4."/>
      <w:lvlJc w:val="left"/>
      <w:pPr>
        <w:ind w:left="4221" w:hanging="360"/>
      </w:pPr>
    </w:lvl>
    <w:lvl w:ilvl="4" w:tplc="240A0019" w:tentative="1">
      <w:start w:val="1"/>
      <w:numFmt w:val="lowerLetter"/>
      <w:lvlText w:val="%5."/>
      <w:lvlJc w:val="left"/>
      <w:pPr>
        <w:ind w:left="4941" w:hanging="360"/>
      </w:pPr>
    </w:lvl>
    <w:lvl w:ilvl="5" w:tplc="240A001B" w:tentative="1">
      <w:start w:val="1"/>
      <w:numFmt w:val="lowerRoman"/>
      <w:lvlText w:val="%6."/>
      <w:lvlJc w:val="right"/>
      <w:pPr>
        <w:ind w:left="5661" w:hanging="180"/>
      </w:pPr>
    </w:lvl>
    <w:lvl w:ilvl="6" w:tplc="240A000F" w:tentative="1">
      <w:start w:val="1"/>
      <w:numFmt w:val="decimal"/>
      <w:lvlText w:val="%7."/>
      <w:lvlJc w:val="left"/>
      <w:pPr>
        <w:ind w:left="6381" w:hanging="360"/>
      </w:pPr>
    </w:lvl>
    <w:lvl w:ilvl="7" w:tplc="240A0019" w:tentative="1">
      <w:start w:val="1"/>
      <w:numFmt w:val="lowerLetter"/>
      <w:lvlText w:val="%8."/>
      <w:lvlJc w:val="left"/>
      <w:pPr>
        <w:ind w:left="7101" w:hanging="360"/>
      </w:pPr>
    </w:lvl>
    <w:lvl w:ilvl="8" w:tplc="240A001B" w:tentative="1">
      <w:start w:val="1"/>
      <w:numFmt w:val="lowerRoman"/>
      <w:lvlText w:val="%9."/>
      <w:lvlJc w:val="right"/>
      <w:pPr>
        <w:ind w:left="7821" w:hanging="180"/>
      </w:pPr>
    </w:lvl>
  </w:abstractNum>
  <w:abstractNum w:abstractNumId="2" w15:restartNumberingAfterBreak="0">
    <w:nsid w:val="26AA0EC5"/>
    <w:multiLevelType w:val="hybridMultilevel"/>
    <w:tmpl w:val="C0309296"/>
    <w:lvl w:ilvl="0" w:tplc="17882702">
      <w:start w:val="1"/>
      <w:numFmt w:val="lowerLetter"/>
      <w:lvlText w:val="%1)"/>
      <w:lvlJc w:val="left"/>
      <w:pPr>
        <w:ind w:left="668" w:hanging="264"/>
      </w:pPr>
      <w:rPr>
        <w:rFonts w:ascii="Arial" w:eastAsia="Arial" w:hAnsi="Arial" w:cs="Arial" w:hint="default"/>
        <w:i/>
        <w:iCs/>
        <w:spacing w:val="-1"/>
        <w:w w:val="82"/>
        <w:sz w:val="28"/>
        <w:szCs w:val="28"/>
        <w:lang w:val="es-ES" w:eastAsia="en-US" w:bidi="ar-SA"/>
      </w:rPr>
    </w:lvl>
    <w:lvl w:ilvl="1" w:tplc="C9F2BBC0">
      <w:numFmt w:val="bullet"/>
      <w:lvlText w:val="•"/>
      <w:lvlJc w:val="left"/>
      <w:pPr>
        <w:ind w:left="1500" w:hanging="264"/>
      </w:pPr>
      <w:rPr>
        <w:rFonts w:hint="default"/>
        <w:lang w:val="es-ES" w:eastAsia="en-US" w:bidi="ar-SA"/>
      </w:rPr>
    </w:lvl>
    <w:lvl w:ilvl="2" w:tplc="5F0607C2">
      <w:numFmt w:val="bullet"/>
      <w:lvlText w:val="•"/>
      <w:lvlJc w:val="left"/>
      <w:pPr>
        <w:ind w:left="2340" w:hanging="264"/>
      </w:pPr>
      <w:rPr>
        <w:rFonts w:hint="default"/>
        <w:lang w:val="es-ES" w:eastAsia="en-US" w:bidi="ar-SA"/>
      </w:rPr>
    </w:lvl>
    <w:lvl w:ilvl="3" w:tplc="00A07284">
      <w:numFmt w:val="bullet"/>
      <w:lvlText w:val="•"/>
      <w:lvlJc w:val="left"/>
      <w:pPr>
        <w:ind w:left="3180" w:hanging="264"/>
      </w:pPr>
      <w:rPr>
        <w:rFonts w:hint="default"/>
        <w:lang w:val="es-ES" w:eastAsia="en-US" w:bidi="ar-SA"/>
      </w:rPr>
    </w:lvl>
    <w:lvl w:ilvl="4" w:tplc="9A80AF6A">
      <w:numFmt w:val="bullet"/>
      <w:lvlText w:val="•"/>
      <w:lvlJc w:val="left"/>
      <w:pPr>
        <w:ind w:left="4020" w:hanging="264"/>
      </w:pPr>
      <w:rPr>
        <w:rFonts w:hint="default"/>
        <w:lang w:val="es-ES" w:eastAsia="en-US" w:bidi="ar-SA"/>
      </w:rPr>
    </w:lvl>
    <w:lvl w:ilvl="5" w:tplc="0EE84B04">
      <w:numFmt w:val="bullet"/>
      <w:lvlText w:val="•"/>
      <w:lvlJc w:val="left"/>
      <w:pPr>
        <w:ind w:left="4860" w:hanging="264"/>
      </w:pPr>
      <w:rPr>
        <w:rFonts w:hint="default"/>
        <w:lang w:val="es-ES" w:eastAsia="en-US" w:bidi="ar-SA"/>
      </w:rPr>
    </w:lvl>
    <w:lvl w:ilvl="6" w:tplc="5CAEDC78">
      <w:numFmt w:val="bullet"/>
      <w:lvlText w:val="•"/>
      <w:lvlJc w:val="left"/>
      <w:pPr>
        <w:ind w:left="5700" w:hanging="264"/>
      </w:pPr>
      <w:rPr>
        <w:rFonts w:hint="default"/>
        <w:lang w:val="es-ES" w:eastAsia="en-US" w:bidi="ar-SA"/>
      </w:rPr>
    </w:lvl>
    <w:lvl w:ilvl="7" w:tplc="9C90C886">
      <w:numFmt w:val="bullet"/>
      <w:lvlText w:val="•"/>
      <w:lvlJc w:val="left"/>
      <w:pPr>
        <w:ind w:left="6540" w:hanging="264"/>
      </w:pPr>
      <w:rPr>
        <w:rFonts w:hint="default"/>
        <w:lang w:val="es-ES" w:eastAsia="en-US" w:bidi="ar-SA"/>
      </w:rPr>
    </w:lvl>
    <w:lvl w:ilvl="8" w:tplc="3BEC1688">
      <w:numFmt w:val="bullet"/>
      <w:lvlText w:val="•"/>
      <w:lvlJc w:val="left"/>
      <w:pPr>
        <w:ind w:left="7380" w:hanging="264"/>
      </w:pPr>
      <w:rPr>
        <w:rFonts w:hint="default"/>
        <w:lang w:val="es-ES" w:eastAsia="en-US" w:bidi="ar-SA"/>
      </w:rPr>
    </w:lvl>
  </w:abstractNum>
  <w:abstractNum w:abstractNumId="3" w15:restartNumberingAfterBreak="0">
    <w:nsid w:val="5EF36D4D"/>
    <w:multiLevelType w:val="hybridMultilevel"/>
    <w:tmpl w:val="61D0E600"/>
    <w:lvl w:ilvl="0" w:tplc="230A9E54">
      <w:start w:val="2"/>
      <w:numFmt w:val="lowerLetter"/>
      <w:lvlText w:val="%1)"/>
      <w:lvlJc w:val="left"/>
      <w:pPr>
        <w:ind w:left="102" w:hanging="308"/>
      </w:pPr>
      <w:rPr>
        <w:rFonts w:ascii="Gadugi" w:eastAsia="Gadugi" w:hAnsi="Gadugi" w:cs="Gadugi" w:hint="default"/>
        <w:w w:val="100"/>
        <w:sz w:val="28"/>
        <w:szCs w:val="28"/>
        <w:lang w:val="es-ES" w:eastAsia="en-US" w:bidi="ar-SA"/>
      </w:rPr>
    </w:lvl>
    <w:lvl w:ilvl="1" w:tplc="34B8C15E">
      <w:start w:val="1"/>
      <w:numFmt w:val="decimal"/>
      <w:lvlText w:val="%2."/>
      <w:lvlJc w:val="left"/>
      <w:pPr>
        <w:ind w:left="102" w:hanging="423"/>
      </w:pPr>
      <w:rPr>
        <w:rFonts w:ascii="Georgia" w:eastAsia="Gadugi" w:hAnsi="Georgia" w:cs="Gadugi" w:hint="default"/>
        <w:spacing w:val="-1"/>
        <w:w w:val="100"/>
        <w:sz w:val="28"/>
        <w:szCs w:val="28"/>
        <w:lang w:val="es-ES" w:eastAsia="en-US" w:bidi="ar-SA"/>
      </w:rPr>
    </w:lvl>
    <w:lvl w:ilvl="2" w:tplc="6AFE3188">
      <w:numFmt w:val="bullet"/>
      <w:lvlText w:val="•"/>
      <w:lvlJc w:val="left"/>
      <w:pPr>
        <w:ind w:left="1892" w:hanging="423"/>
      </w:pPr>
      <w:rPr>
        <w:rFonts w:hint="default"/>
        <w:lang w:val="es-ES" w:eastAsia="en-US" w:bidi="ar-SA"/>
      </w:rPr>
    </w:lvl>
    <w:lvl w:ilvl="3" w:tplc="8B420032">
      <w:numFmt w:val="bullet"/>
      <w:lvlText w:val="•"/>
      <w:lvlJc w:val="left"/>
      <w:pPr>
        <w:ind w:left="2788" w:hanging="423"/>
      </w:pPr>
      <w:rPr>
        <w:rFonts w:hint="default"/>
        <w:lang w:val="es-ES" w:eastAsia="en-US" w:bidi="ar-SA"/>
      </w:rPr>
    </w:lvl>
    <w:lvl w:ilvl="4" w:tplc="D930B8D0">
      <w:numFmt w:val="bullet"/>
      <w:lvlText w:val="•"/>
      <w:lvlJc w:val="left"/>
      <w:pPr>
        <w:ind w:left="3684" w:hanging="423"/>
      </w:pPr>
      <w:rPr>
        <w:rFonts w:hint="default"/>
        <w:lang w:val="es-ES" w:eastAsia="en-US" w:bidi="ar-SA"/>
      </w:rPr>
    </w:lvl>
    <w:lvl w:ilvl="5" w:tplc="B7584EE6">
      <w:numFmt w:val="bullet"/>
      <w:lvlText w:val="•"/>
      <w:lvlJc w:val="left"/>
      <w:pPr>
        <w:ind w:left="4580" w:hanging="423"/>
      </w:pPr>
      <w:rPr>
        <w:rFonts w:hint="default"/>
        <w:lang w:val="es-ES" w:eastAsia="en-US" w:bidi="ar-SA"/>
      </w:rPr>
    </w:lvl>
    <w:lvl w:ilvl="6" w:tplc="41745FDC">
      <w:numFmt w:val="bullet"/>
      <w:lvlText w:val="•"/>
      <w:lvlJc w:val="left"/>
      <w:pPr>
        <w:ind w:left="5476" w:hanging="423"/>
      </w:pPr>
      <w:rPr>
        <w:rFonts w:hint="default"/>
        <w:lang w:val="es-ES" w:eastAsia="en-US" w:bidi="ar-SA"/>
      </w:rPr>
    </w:lvl>
    <w:lvl w:ilvl="7" w:tplc="D9C4DEAA">
      <w:numFmt w:val="bullet"/>
      <w:lvlText w:val="•"/>
      <w:lvlJc w:val="left"/>
      <w:pPr>
        <w:ind w:left="6372" w:hanging="423"/>
      </w:pPr>
      <w:rPr>
        <w:rFonts w:hint="default"/>
        <w:lang w:val="es-ES" w:eastAsia="en-US" w:bidi="ar-SA"/>
      </w:rPr>
    </w:lvl>
    <w:lvl w:ilvl="8" w:tplc="B05A142C">
      <w:numFmt w:val="bullet"/>
      <w:lvlText w:val="•"/>
      <w:lvlJc w:val="left"/>
      <w:pPr>
        <w:ind w:left="7268" w:hanging="423"/>
      </w:pPr>
      <w:rPr>
        <w:rFonts w:hint="default"/>
        <w:lang w:val="es-ES" w:eastAsia="en-US" w:bidi="ar-S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FCD"/>
    <w:rsid w:val="0001380E"/>
    <w:rsid w:val="0003197A"/>
    <w:rsid w:val="00082B95"/>
    <w:rsid w:val="00086358"/>
    <w:rsid w:val="000C78C3"/>
    <w:rsid w:val="000D3CF6"/>
    <w:rsid w:val="000F06A8"/>
    <w:rsid w:val="001056EF"/>
    <w:rsid w:val="00115782"/>
    <w:rsid w:val="00143BB8"/>
    <w:rsid w:val="00176693"/>
    <w:rsid w:val="0018188F"/>
    <w:rsid w:val="00222745"/>
    <w:rsid w:val="00223FC0"/>
    <w:rsid w:val="00292693"/>
    <w:rsid w:val="002E16B6"/>
    <w:rsid w:val="002E3B86"/>
    <w:rsid w:val="002F0BD3"/>
    <w:rsid w:val="00315F09"/>
    <w:rsid w:val="00357CBA"/>
    <w:rsid w:val="0036123C"/>
    <w:rsid w:val="00382060"/>
    <w:rsid w:val="003C125F"/>
    <w:rsid w:val="004027A2"/>
    <w:rsid w:val="004117C9"/>
    <w:rsid w:val="0042448B"/>
    <w:rsid w:val="00434A1A"/>
    <w:rsid w:val="00460F82"/>
    <w:rsid w:val="00494A4A"/>
    <w:rsid w:val="004A1992"/>
    <w:rsid w:val="004D05A1"/>
    <w:rsid w:val="00517412"/>
    <w:rsid w:val="0053741D"/>
    <w:rsid w:val="0054757D"/>
    <w:rsid w:val="005B7BF8"/>
    <w:rsid w:val="006114C4"/>
    <w:rsid w:val="00642A58"/>
    <w:rsid w:val="00690E7C"/>
    <w:rsid w:val="006A30F7"/>
    <w:rsid w:val="006C2177"/>
    <w:rsid w:val="006E2182"/>
    <w:rsid w:val="006E62BD"/>
    <w:rsid w:val="006F4AEB"/>
    <w:rsid w:val="007028F9"/>
    <w:rsid w:val="00703C24"/>
    <w:rsid w:val="007577D7"/>
    <w:rsid w:val="0076006D"/>
    <w:rsid w:val="007B18A4"/>
    <w:rsid w:val="00803ED4"/>
    <w:rsid w:val="00861D82"/>
    <w:rsid w:val="00897174"/>
    <w:rsid w:val="008D52B1"/>
    <w:rsid w:val="008F74E7"/>
    <w:rsid w:val="0090386E"/>
    <w:rsid w:val="009106D3"/>
    <w:rsid w:val="0091625B"/>
    <w:rsid w:val="0094797E"/>
    <w:rsid w:val="00980929"/>
    <w:rsid w:val="00990BCF"/>
    <w:rsid w:val="00994D73"/>
    <w:rsid w:val="009A6E37"/>
    <w:rsid w:val="009B597A"/>
    <w:rsid w:val="00A469E6"/>
    <w:rsid w:val="00A61BBB"/>
    <w:rsid w:val="00A7334A"/>
    <w:rsid w:val="00AA5A18"/>
    <w:rsid w:val="00AE0F88"/>
    <w:rsid w:val="00B01778"/>
    <w:rsid w:val="00B132F0"/>
    <w:rsid w:val="00B73B1A"/>
    <w:rsid w:val="00B8613D"/>
    <w:rsid w:val="00BA4231"/>
    <w:rsid w:val="00BC1657"/>
    <w:rsid w:val="00BC4A23"/>
    <w:rsid w:val="00BF0006"/>
    <w:rsid w:val="00BF7AA5"/>
    <w:rsid w:val="00C06C02"/>
    <w:rsid w:val="00C34631"/>
    <w:rsid w:val="00C50B15"/>
    <w:rsid w:val="00C710A7"/>
    <w:rsid w:val="00C73E36"/>
    <w:rsid w:val="00D15ECF"/>
    <w:rsid w:val="00D22649"/>
    <w:rsid w:val="00D40DD6"/>
    <w:rsid w:val="00D512CC"/>
    <w:rsid w:val="00D72B6C"/>
    <w:rsid w:val="00D951E1"/>
    <w:rsid w:val="00D965BA"/>
    <w:rsid w:val="00DA569D"/>
    <w:rsid w:val="00DB5C04"/>
    <w:rsid w:val="00DD1378"/>
    <w:rsid w:val="00DD3D0E"/>
    <w:rsid w:val="00DE75C0"/>
    <w:rsid w:val="00E40A99"/>
    <w:rsid w:val="00E8327E"/>
    <w:rsid w:val="00EE7638"/>
    <w:rsid w:val="00F130F4"/>
    <w:rsid w:val="00F45FD1"/>
    <w:rsid w:val="00F7246C"/>
    <w:rsid w:val="00F87EAC"/>
    <w:rsid w:val="00FD0FCD"/>
    <w:rsid w:val="00FE2032"/>
    <w:rsid w:val="00FE5D75"/>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091A1"/>
  <w15:docId w15:val="{5E0099FF-AE25-4539-9BD2-F1E74B13C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386E"/>
    <w:rPr>
      <w:rFonts w:ascii="Gadugi" w:eastAsia="Gadugi" w:hAnsi="Gadugi" w:cs="Gadugi"/>
      <w:lang w:val="es-ES"/>
    </w:rPr>
  </w:style>
  <w:style w:type="paragraph" w:styleId="Ttulo1">
    <w:name w:val="heading 1"/>
    <w:basedOn w:val="Normal"/>
    <w:uiPriority w:val="9"/>
    <w:qFormat/>
    <w:pPr>
      <w:ind w:left="102"/>
      <w:outlineLvl w:val="0"/>
    </w:pPr>
    <w:rPr>
      <w:sz w:val="29"/>
      <w:szCs w:val="29"/>
    </w:rPr>
  </w:style>
  <w:style w:type="paragraph" w:styleId="Ttulo2">
    <w:name w:val="heading 2"/>
    <w:basedOn w:val="Normal"/>
    <w:uiPriority w:val="9"/>
    <w:unhideWhenUsed/>
    <w:qFormat/>
    <w:pPr>
      <w:spacing w:before="189"/>
      <w:ind w:left="1803"/>
      <w:outlineLvl w:val="1"/>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rFonts w:ascii="Arial MT" w:eastAsia="Arial MT" w:hAnsi="Arial MT" w:cs="Arial MT"/>
      <w:sz w:val="28"/>
      <w:szCs w:val="28"/>
    </w:rPr>
  </w:style>
  <w:style w:type="paragraph" w:styleId="Prrafodelista">
    <w:name w:val="List Paragraph"/>
    <w:basedOn w:val="Normal"/>
    <w:uiPriority w:val="34"/>
    <w:qFormat/>
    <w:pPr>
      <w:ind w:left="102" w:right="119" w:firstLine="1135"/>
      <w:jc w:val="both"/>
    </w:pPr>
  </w:style>
  <w:style w:type="paragraph" w:customStyle="1" w:styleId="TableParagraph">
    <w:name w:val="Table Paragraph"/>
    <w:basedOn w:val="Normal"/>
    <w:uiPriority w:val="1"/>
    <w:qFormat/>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f,Car,ft,FA ,FA,Ca"/>
    <w:basedOn w:val="Normal"/>
    <w:link w:val="TextonotapieCar"/>
    <w:uiPriority w:val="99"/>
    <w:unhideWhenUsed/>
    <w:qFormat/>
    <w:rsid w:val="008D52B1"/>
    <w:rPr>
      <w:sz w:val="20"/>
      <w:szCs w:val="20"/>
    </w:rPr>
  </w:style>
  <w:style w:type="character" w:customStyle="1" w:styleId="TextonotapieCar">
    <w:name w:val="Texto nota pie Car"/>
    <w:aliases w:val="Footnote Text Char Char Char Char Char Car1,Footnote Text Char Char Char Char Car1,Footnote reference Car1,FA Fu Car1,texto de nota al pie Car1,Footnote Text Char Car1,Footnote Text Char Char Char Char Char Char Char Char Car1,f Car1"/>
    <w:basedOn w:val="Fuentedeprrafopredeter"/>
    <w:link w:val="Textonotapie"/>
    <w:uiPriority w:val="99"/>
    <w:semiHidden/>
    <w:rsid w:val="008D52B1"/>
    <w:rPr>
      <w:rFonts w:ascii="Gadugi" w:eastAsia="Gadugi" w:hAnsi="Gadugi" w:cs="Gadugi"/>
      <w:sz w:val="20"/>
      <w:szCs w:val="20"/>
      <w:lang w:val="es-ES"/>
    </w:rPr>
  </w:style>
  <w:style w:type="character" w:styleId="Refdenotaalpie">
    <w:name w:val="footnote reference"/>
    <w:aliases w:val="referencia nota al pie,Texto de nota al pie,FC,Ref. de nota al pie 2,Appel note de bas de page,Footnotes refss,Footnote number,BVI fnr,Fago Fußnotenzeichen,4_G,16 Point,Superscript 6 Point,Ref,de nota al pie,Footnote symbol,Footnote"/>
    <w:basedOn w:val="Fuentedeprrafopredeter"/>
    <w:link w:val="Refdenotaalpie2"/>
    <w:uiPriority w:val="99"/>
    <w:unhideWhenUsed/>
    <w:qFormat/>
    <w:rsid w:val="008D52B1"/>
    <w:rPr>
      <w:vertAlign w:val="superscript"/>
    </w:rPr>
  </w:style>
  <w:style w:type="paragraph" w:styleId="Encabezado">
    <w:name w:val="header"/>
    <w:basedOn w:val="Normal"/>
    <w:link w:val="EncabezadoCar"/>
    <w:uiPriority w:val="99"/>
    <w:unhideWhenUsed/>
    <w:rsid w:val="00DE75C0"/>
    <w:pPr>
      <w:tabs>
        <w:tab w:val="center" w:pos="4419"/>
        <w:tab w:val="right" w:pos="8838"/>
      </w:tabs>
    </w:pPr>
  </w:style>
  <w:style w:type="character" w:customStyle="1" w:styleId="EncabezadoCar">
    <w:name w:val="Encabezado Car"/>
    <w:basedOn w:val="Fuentedeprrafopredeter"/>
    <w:link w:val="Encabezado"/>
    <w:uiPriority w:val="99"/>
    <w:rsid w:val="00DE75C0"/>
    <w:rPr>
      <w:rFonts w:ascii="Gadugi" w:eastAsia="Gadugi" w:hAnsi="Gadugi" w:cs="Gadugi"/>
      <w:lang w:val="es-ES"/>
    </w:rPr>
  </w:style>
  <w:style w:type="paragraph" w:styleId="Piedepgina">
    <w:name w:val="footer"/>
    <w:basedOn w:val="Normal"/>
    <w:link w:val="PiedepginaCar"/>
    <w:uiPriority w:val="99"/>
    <w:unhideWhenUsed/>
    <w:rsid w:val="00DE75C0"/>
    <w:pPr>
      <w:tabs>
        <w:tab w:val="center" w:pos="4419"/>
        <w:tab w:val="right" w:pos="8838"/>
      </w:tabs>
    </w:pPr>
  </w:style>
  <w:style w:type="character" w:customStyle="1" w:styleId="PiedepginaCar">
    <w:name w:val="Pie de página Car"/>
    <w:basedOn w:val="Fuentedeprrafopredeter"/>
    <w:link w:val="Piedepgina"/>
    <w:uiPriority w:val="99"/>
    <w:rsid w:val="00DE75C0"/>
    <w:rPr>
      <w:rFonts w:ascii="Gadugi" w:eastAsia="Gadugi" w:hAnsi="Gadugi" w:cs="Gadugi"/>
      <w:lang w:val="es-ES"/>
    </w:rPr>
  </w:style>
  <w:style w:type="character" w:customStyle="1" w:styleId="TextoindependienteCar">
    <w:name w:val="Texto independiente Car"/>
    <w:basedOn w:val="Fuentedeprrafopredeter"/>
    <w:link w:val="Textoindependiente"/>
    <w:uiPriority w:val="1"/>
    <w:rsid w:val="0091625B"/>
    <w:rPr>
      <w:rFonts w:ascii="Arial MT" w:eastAsia="Arial MT" w:hAnsi="Arial MT" w:cs="Arial MT"/>
      <w:sz w:val="28"/>
      <w:szCs w:val="28"/>
      <w:lang w:val="es-ES"/>
    </w:rPr>
  </w:style>
  <w:style w:type="character" w:customStyle="1" w:styleId="TextonotapieCar1">
    <w:name w:val="Texto nota pie Car1"/>
    <w:aliases w:val="Footnote Text Char Char Char Char Char Car,Footnote Text Char Char Char Char Car,Footnote reference Car,FA Fu Car,texto de nota al pie Car,Footnote Text Char Car,Footnote Text Char Char Char Char Char Char Char Char Car,f Car,Car Car"/>
    <w:uiPriority w:val="99"/>
    <w:rsid w:val="00897174"/>
    <w:rPr>
      <w:rFonts w:ascii="Times New Roman" w:eastAsia="Times New Roman" w:hAnsi="Times New Roman"/>
      <w:lang w:val="x-none" w:eastAsia="x-none"/>
    </w:rPr>
  </w:style>
  <w:style w:type="paragraph" w:styleId="Sangra2detindependiente">
    <w:name w:val="Body Text Indent 2"/>
    <w:basedOn w:val="Normal"/>
    <w:link w:val="Sangra2detindependienteCar"/>
    <w:uiPriority w:val="99"/>
    <w:unhideWhenUsed/>
    <w:rsid w:val="00897174"/>
    <w:pPr>
      <w:widowControl/>
      <w:autoSpaceDE/>
      <w:autoSpaceDN/>
      <w:spacing w:after="120" w:line="480" w:lineRule="auto"/>
      <w:ind w:left="283"/>
    </w:pPr>
    <w:rPr>
      <w:rFonts w:ascii="Calibri" w:eastAsia="Times New Roman" w:hAnsi="Calibri" w:cs="Times New Roman"/>
      <w:lang w:val="x-none" w:eastAsia="x-none"/>
    </w:rPr>
  </w:style>
  <w:style w:type="character" w:customStyle="1" w:styleId="Sangra2detindependienteCar">
    <w:name w:val="Sangría 2 de t. independiente Car"/>
    <w:basedOn w:val="Fuentedeprrafopredeter"/>
    <w:link w:val="Sangra2detindependiente"/>
    <w:uiPriority w:val="99"/>
    <w:rsid w:val="00897174"/>
    <w:rPr>
      <w:rFonts w:ascii="Calibri" w:eastAsia="Times New Roman" w:hAnsi="Calibri" w:cs="Times New Roman"/>
      <w:lang w:val="x-none" w:eastAsia="x-none"/>
    </w:rPr>
  </w:style>
  <w:style w:type="paragraph" w:styleId="Sinespaciado">
    <w:name w:val="No Spacing"/>
    <w:uiPriority w:val="1"/>
    <w:qFormat/>
    <w:rsid w:val="00897174"/>
    <w:pPr>
      <w:widowControl/>
      <w:autoSpaceDE/>
      <w:autoSpaceDN/>
    </w:pPr>
    <w:rPr>
      <w:rFonts w:ascii="Calibri" w:eastAsia="Times New Roman" w:hAnsi="Calibri" w:cs="Times New Roman"/>
      <w:lang w:val="es-ES" w:eastAsia="es-ES"/>
    </w:rPr>
  </w:style>
  <w:style w:type="paragraph" w:styleId="NormalWeb">
    <w:name w:val="Normal (Web)"/>
    <w:basedOn w:val="Normal"/>
    <w:uiPriority w:val="99"/>
    <w:unhideWhenUsed/>
    <w:rsid w:val="00897174"/>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paragraph" w:customStyle="1" w:styleId="Refdenotaalpie2">
    <w:name w:val="Ref. de nota al pie2"/>
    <w:aliases w:val="Nota de pie,Pie de pagina"/>
    <w:basedOn w:val="Normal"/>
    <w:link w:val="Refdenotaalpie"/>
    <w:uiPriority w:val="99"/>
    <w:rsid w:val="00897174"/>
    <w:pPr>
      <w:widowControl/>
      <w:autoSpaceDE/>
      <w:autoSpaceDN/>
      <w:spacing w:after="160" w:line="240" w:lineRule="exact"/>
    </w:pPr>
    <w:rPr>
      <w:rFonts w:asciiTheme="minorHAnsi" w:eastAsiaTheme="minorHAnsi" w:hAnsiTheme="minorHAnsi" w:cstheme="minorBidi"/>
      <w:vertAlign w:val="superscript"/>
      <w:lang w:val="en-US"/>
    </w:rPr>
  </w:style>
  <w:style w:type="character" w:styleId="Hipervnculo">
    <w:name w:val="Hyperlink"/>
    <w:uiPriority w:val="99"/>
    <w:semiHidden/>
    <w:unhideWhenUsed/>
    <w:rsid w:val="008971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722799">
      <w:bodyDiv w:val="1"/>
      <w:marLeft w:val="0"/>
      <w:marRight w:val="0"/>
      <w:marTop w:val="0"/>
      <w:marBottom w:val="0"/>
      <w:divBdr>
        <w:top w:val="none" w:sz="0" w:space="0" w:color="auto"/>
        <w:left w:val="none" w:sz="0" w:space="0" w:color="auto"/>
        <w:bottom w:val="none" w:sz="0" w:space="0" w:color="auto"/>
        <w:right w:val="none" w:sz="0" w:space="0" w:color="auto"/>
      </w:divBdr>
      <w:divsChild>
        <w:div w:id="4125552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845f4ef-a5bd-4dbd-ab8f-e69291a39b0c" xsi:nil="true"/>
    <lcf76f155ced4ddcb4097134ff3c332f xmlns="930c81f1-e9ca-4bc6-a442-7e43bfe258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50D3CA8A8F104B46A609B35E2806C01D" ma:contentTypeVersion="14" ma:contentTypeDescription="Crear nuevo documento." ma:contentTypeScope="" ma:versionID="e1ebe4487b624534dd424cea98b39886">
  <xsd:schema xmlns:xsd="http://www.w3.org/2001/XMLSchema" xmlns:xs="http://www.w3.org/2001/XMLSchema" xmlns:p="http://schemas.microsoft.com/office/2006/metadata/properties" xmlns:ns2="930c81f1-e9ca-4bc6-a442-7e43bfe25841" xmlns:ns3="9845f4ef-a5bd-4dbd-ab8f-e69291a39b0c" targetNamespace="http://schemas.microsoft.com/office/2006/metadata/properties" ma:root="true" ma:fieldsID="ef9149ec6173224bcfea1aa6528206d7" ns2:_="" ns3:_="">
    <xsd:import namespace="930c81f1-e9ca-4bc6-a442-7e43bfe25841"/>
    <xsd:import namespace="9845f4ef-a5bd-4dbd-ab8f-e69291a39b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c81f1-e9ca-4bc6-a442-7e43bfe25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45f4ef-a5bd-4dbd-ab8f-e69291a39b0c"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099792c6-f27b-4e16-90a0-038589a113ab}" ma:internalName="TaxCatchAll" ma:showField="CatchAllData" ma:web="9845f4ef-a5bd-4dbd-ab8f-e69291a39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FAFE7-098F-4B77-BC66-4102F9ADE839}">
  <ds:schemaRefs>
    <ds:schemaRef ds:uri="http://schemas.microsoft.com/office/2006/metadata/properties"/>
    <ds:schemaRef ds:uri="http://schemas.microsoft.com/office/infopath/2007/PartnerControls"/>
    <ds:schemaRef ds:uri="9845f4ef-a5bd-4dbd-ab8f-e69291a39b0c"/>
    <ds:schemaRef ds:uri="930c81f1-e9ca-4bc6-a442-7e43bfe25841"/>
  </ds:schemaRefs>
</ds:datastoreItem>
</file>

<file path=customXml/itemProps2.xml><?xml version="1.0" encoding="utf-8"?>
<ds:datastoreItem xmlns:ds="http://schemas.openxmlformats.org/officeDocument/2006/customXml" ds:itemID="{2C6544DB-D287-4574-AA9C-C3A5895D2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c81f1-e9ca-4bc6-a442-7e43bfe25841"/>
    <ds:schemaRef ds:uri="9845f4ef-a5bd-4dbd-ab8f-e69291a39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F5B5D1-ED1B-417A-A8E0-B4C9589A8FAD}">
  <ds:schemaRefs>
    <ds:schemaRef ds:uri="http://schemas.microsoft.com/sharepoint/v3/contenttype/forms"/>
  </ds:schemaRefs>
</ds:datastoreItem>
</file>

<file path=customXml/itemProps4.xml><?xml version="1.0" encoding="utf-8"?>
<ds:datastoreItem xmlns:ds="http://schemas.openxmlformats.org/officeDocument/2006/customXml" ds:itemID="{3BEC355E-AF57-40C1-9E0B-FB5F7A015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2137</Words>
  <Characters>11754</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Alberto Saraza</dc:creator>
  <cp:lastModifiedBy>Hermides Alonso Gaviria Ocampo</cp:lastModifiedBy>
  <cp:revision>7</cp:revision>
  <dcterms:created xsi:type="dcterms:W3CDTF">2022-09-13T14:23:00Z</dcterms:created>
  <dcterms:modified xsi:type="dcterms:W3CDTF">2022-11-09T13:59:00Z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2021-09-10T00:00:00Z</vt:filetime>
  </property>
  <property fmtid="{D5CDD505-2E9C-101B-9397-08002B2CF9AE}" pid="3" name="Creator">
    <vt:lpwstr>Microsoft® Word 2016</vt:lpwstr>
  </property>
  <property fmtid="{D5CDD505-2E9C-101B-9397-08002B2CF9AE}" pid="4" name="LastSaved">
    <vt:filetime>2022-03-31T00:00:00Z</vt:filetime>
  </property>
  <property fmtid="{D5CDD505-2E9C-101B-9397-08002B2CF9AE}" pid="5" name="ContentTypeId">
    <vt:lpwstr>0x01010050D3CA8A8F104B46A609B35E2806C01D</vt:lpwstr>
  </property>
</Properties>
</file>