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FC5D" w14:textId="77777777" w:rsidR="00D51F17" w:rsidRPr="005F6BBB" w:rsidRDefault="00D51F17" w:rsidP="00D51F17">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bookmarkStart w:id="0" w:name="_Hlk118097045"/>
      <w:r w:rsidRPr="005F6BB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9370F9" w14:textId="77777777" w:rsidR="00D51F17" w:rsidRDefault="00D51F17" w:rsidP="00D51F17">
      <w:pPr>
        <w:widowControl/>
        <w:autoSpaceDE/>
        <w:autoSpaceDN/>
        <w:jc w:val="both"/>
        <w:rPr>
          <w:rFonts w:ascii="Arial" w:eastAsia="Times New Roman" w:hAnsi="Arial" w:cs="Arial"/>
          <w:sz w:val="20"/>
          <w:szCs w:val="20"/>
          <w:lang w:val="es-419" w:eastAsia="es-ES"/>
        </w:rPr>
      </w:pPr>
    </w:p>
    <w:p w14:paraId="5A5BEB36" w14:textId="77777777" w:rsidR="00D51F17" w:rsidRPr="00D51F17" w:rsidRDefault="00D51F17" w:rsidP="00D51F17">
      <w:pPr>
        <w:widowControl/>
        <w:autoSpaceDE/>
        <w:autoSpaceDN/>
        <w:jc w:val="both"/>
        <w:rPr>
          <w:rFonts w:ascii="Arial" w:eastAsia="Times New Roman" w:hAnsi="Arial" w:cs="Arial"/>
          <w:sz w:val="20"/>
          <w:szCs w:val="20"/>
          <w:lang w:val="es-419" w:eastAsia="es-ES"/>
        </w:rPr>
      </w:pPr>
      <w:r w:rsidRPr="00D51F17">
        <w:rPr>
          <w:rFonts w:ascii="Arial" w:eastAsia="Times New Roman" w:hAnsi="Arial" w:cs="Arial"/>
          <w:sz w:val="20"/>
          <w:szCs w:val="20"/>
          <w:lang w:val="es-419" w:eastAsia="es-ES"/>
        </w:rPr>
        <w:t>Radicado:</w:t>
      </w:r>
      <w:r w:rsidRPr="00D51F17">
        <w:rPr>
          <w:rFonts w:ascii="Arial" w:eastAsia="Times New Roman" w:hAnsi="Arial" w:cs="Arial"/>
          <w:sz w:val="20"/>
          <w:szCs w:val="20"/>
          <w:lang w:val="es-419" w:eastAsia="es-ES"/>
        </w:rPr>
        <w:tab/>
        <w:t>66001310300220200004101</w:t>
      </w:r>
    </w:p>
    <w:p w14:paraId="0613FBD5" w14:textId="77777777" w:rsidR="00AF73BD" w:rsidRPr="005F6BBB" w:rsidRDefault="00AF73BD" w:rsidP="00AF73BD">
      <w:pPr>
        <w:widowControl/>
        <w:autoSpaceDE/>
        <w:autoSpaceDN/>
        <w:jc w:val="both"/>
        <w:rPr>
          <w:rFonts w:ascii="Arial" w:eastAsia="Times New Roman" w:hAnsi="Arial" w:cs="Arial"/>
          <w:sz w:val="20"/>
          <w:szCs w:val="20"/>
          <w:lang w:val="es-419" w:eastAsia="es-ES"/>
        </w:rPr>
      </w:pPr>
      <w:r w:rsidRPr="00D51F17">
        <w:rPr>
          <w:rFonts w:ascii="Arial" w:eastAsia="Times New Roman" w:hAnsi="Arial" w:cs="Arial"/>
          <w:sz w:val="20"/>
          <w:szCs w:val="20"/>
          <w:lang w:val="es-419" w:eastAsia="es-ES"/>
        </w:rPr>
        <w:t>Proceso:</w:t>
      </w:r>
      <w:r w:rsidRPr="00D51F17">
        <w:rPr>
          <w:rFonts w:ascii="Arial" w:eastAsia="Times New Roman" w:hAnsi="Arial" w:cs="Arial"/>
          <w:sz w:val="20"/>
          <w:szCs w:val="20"/>
          <w:lang w:val="es-419" w:eastAsia="es-ES"/>
        </w:rPr>
        <w:tab/>
        <w:t>Ejecutivo</w:t>
      </w:r>
    </w:p>
    <w:p w14:paraId="34D65FE3" w14:textId="77777777" w:rsidR="00D51F17" w:rsidRPr="00D51F17" w:rsidRDefault="00D51F17" w:rsidP="00D51F17">
      <w:pPr>
        <w:widowControl/>
        <w:autoSpaceDE/>
        <w:autoSpaceDN/>
        <w:jc w:val="both"/>
        <w:rPr>
          <w:rFonts w:ascii="Arial" w:eastAsia="Times New Roman" w:hAnsi="Arial" w:cs="Arial"/>
          <w:sz w:val="20"/>
          <w:szCs w:val="20"/>
          <w:lang w:val="es-419" w:eastAsia="es-ES"/>
        </w:rPr>
      </w:pPr>
      <w:r w:rsidRPr="00D51F17">
        <w:rPr>
          <w:rFonts w:ascii="Arial" w:eastAsia="Times New Roman" w:hAnsi="Arial" w:cs="Arial"/>
          <w:sz w:val="20"/>
          <w:szCs w:val="20"/>
          <w:lang w:val="es-419" w:eastAsia="es-ES"/>
        </w:rPr>
        <w:t>Demandante:</w:t>
      </w:r>
      <w:r w:rsidRPr="00D51F17">
        <w:rPr>
          <w:rFonts w:ascii="Arial" w:eastAsia="Times New Roman" w:hAnsi="Arial" w:cs="Arial"/>
          <w:sz w:val="20"/>
          <w:szCs w:val="20"/>
          <w:lang w:val="es-419" w:eastAsia="es-ES"/>
        </w:rPr>
        <w:tab/>
        <w:t xml:space="preserve">Carlos </w:t>
      </w:r>
      <w:proofErr w:type="spellStart"/>
      <w:r w:rsidRPr="00D51F17">
        <w:rPr>
          <w:rFonts w:ascii="Arial" w:eastAsia="Times New Roman" w:hAnsi="Arial" w:cs="Arial"/>
          <w:sz w:val="20"/>
          <w:szCs w:val="20"/>
          <w:lang w:val="es-419" w:eastAsia="es-ES"/>
        </w:rPr>
        <w:t>Holmer</w:t>
      </w:r>
      <w:proofErr w:type="spellEnd"/>
      <w:r w:rsidRPr="00D51F17">
        <w:rPr>
          <w:rFonts w:ascii="Arial" w:eastAsia="Times New Roman" w:hAnsi="Arial" w:cs="Arial"/>
          <w:sz w:val="20"/>
          <w:szCs w:val="20"/>
          <w:lang w:val="es-419" w:eastAsia="es-ES"/>
        </w:rPr>
        <w:t xml:space="preserve"> Castaño Aguirre</w:t>
      </w:r>
    </w:p>
    <w:p w14:paraId="1F295BFC" w14:textId="76C7C3DB" w:rsidR="00D51F17" w:rsidRPr="00D51F17" w:rsidRDefault="00D51F17" w:rsidP="00D51F17">
      <w:pPr>
        <w:widowControl/>
        <w:autoSpaceDE/>
        <w:autoSpaceDN/>
        <w:jc w:val="both"/>
        <w:rPr>
          <w:rFonts w:ascii="Arial" w:eastAsia="Times New Roman" w:hAnsi="Arial" w:cs="Arial"/>
          <w:sz w:val="20"/>
          <w:szCs w:val="20"/>
          <w:lang w:val="es-419" w:eastAsia="es-ES"/>
        </w:rPr>
      </w:pPr>
      <w:r w:rsidRPr="00D51F17">
        <w:rPr>
          <w:rFonts w:ascii="Arial" w:eastAsia="Times New Roman" w:hAnsi="Arial" w:cs="Arial"/>
          <w:sz w:val="20"/>
          <w:szCs w:val="20"/>
          <w:lang w:val="es-419" w:eastAsia="es-ES"/>
        </w:rPr>
        <w:t>Demandados:</w:t>
      </w:r>
      <w:r w:rsidRPr="00D51F17">
        <w:rPr>
          <w:rFonts w:ascii="Arial" w:eastAsia="Times New Roman" w:hAnsi="Arial" w:cs="Arial"/>
          <w:sz w:val="20"/>
          <w:szCs w:val="20"/>
          <w:lang w:val="es-419" w:eastAsia="es-ES"/>
        </w:rPr>
        <w:tab/>
        <w:t>Gustavo Adolfo Salinas Rendón</w:t>
      </w:r>
    </w:p>
    <w:p w14:paraId="137E5D40" w14:textId="77777777" w:rsidR="00D51F17" w:rsidRPr="005F6BBB" w:rsidRDefault="00D51F17" w:rsidP="00D51F17">
      <w:pPr>
        <w:widowControl/>
        <w:autoSpaceDE/>
        <w:autoSpaceDN/>
        <w:jc w:val="both"/>
        <w:rPr>
          <w:rFonts w:ascii="Arial" w:eastAsia="Times New Roman" w:hAnsi="Arial" w:cs="Arial"/>
          <w:sz w:val="20"/>
          <w:szCs w:val="20"/>
          <w:lang w:val="es-419" w:eastAsia="es-ES"/>
        </w:rPr>
      </w:pPr>
    </w:p>
    <w:p w14:paraId="71CC2076" w14:textId="735400A5" w:rsidR="00D51F17" w:rsidRPr="005F6BBB" w:rsidRDefault="00107364" w:rsidP="00D51F17">
      <w:pPr>
        <w:widowControl/>
        <w:autoSpaceDE/>
        <w:autoSpaceDN/>
        <w:jc w:val="both"/>
        <w:rPr>
          <w:rFonts w:ascii="Arial" w:eastAsia="Times New Roman" w:hAnsi="Arial" w:cs="Arial"/>
          <w:b/>
          <w:bCs/>
          <w:iCs/>
          <w:sz w:val="20"/>
          <w:szCs w:val="20"/>
          <w:lang w:val="es-419" w:eastAsia="fr-FR"/>
        </w:rPr>
      </w:pPr>
      <w:r w:rsidRPr="005F6BBB">
        <w:rPr>
          <w:rFonts w:ascii="Arial" w:eastAsia="Times New Roman" w:hAnsi="Arial" w:cs="Arial"/>
          <w:b/>
          <w:bCs/>
          <w:iCs/>
          <w:sz w:val="20"/>
          <w:szCs w:val="20"/>
          <w:u w:val="single"/>
          <w:lang w:val="es-419" w:eastAsia="fr-FR"/>
        </w:rPr>
        <w:t>TEMAS:</w:t>
      </w:r>
      <w:r w:rsidRPr="005F6BBB">
        <w:rPr>
          <w:rFonts w:ascii="Arial" w:eastAsia="Times New Roman" w:hAnsi="Arial" w:cs="Arial"/>
          <w:b/>
          <w:bCs/>
          <w:iCs/>
          <w:sz w:val="20"/>
          <w:szCs w:val="20"/>
          <w:lang w:val="es-419" w:eastAsia="fr-FR"/>
        </w:rPr>
        <w:tab/>
      </w:r>
      <w:r w:rsidRPr="005437F9">
        <w:rPr>
          <w:rFonts w:ascii="Arial" w:eastAsia="Times New Roman" w:hAnsi="Arial" w:cs="Arial"/>
          <w:b/>
          <w:bCs/>
          <w:iCs/>
          <w:sz w:val="20"/>
          <w:szCs w:val="20"/>
          <w:lang w:val="es-419" w:eastAsia="fr-FR"/>
        </w:rPr>
        <w:t xml:space="preserve">DESISTIMIENTO TÁCITO </w:t>
      </w:r>
      <w:r>
        <w:rPr>
          <w:rFonts w:ascii="Arial" w:eastAsia="Times New Roman" w:hAnsi="Arial" w:cs="Arial"/>
          <w:b/>
          <w:bCs/>
          <w:iCs/>
          <w:sz w:val="20"/>
          <w:szCs w:val="20"/>
          <w:lang w:val="es-419" w:eastAsia="fr-FR"/>
        </w:rPr>
        <w:t>/ FINALIDAD / SANCIONAR A LA PARTE QUE ACTÚA CON DESIDIA / CASOS EN QUE APLICA / ARTÍCULO 317 DEL CÓDIGO GENERAL DEL PROCESO / NOTIFICACIÓN AL DEMANDADO / REQUERIMIENTO PARA CUMPLIR ACTUACIÓN / PERENTORIEDAD DEL TÉRMINO.</w:t>
      </w:r>
    </w:p>
    <w:p w14:paraId="3F064242" w14:textId="77777777" w:rsidR="00D51F17" w:rsidRPr="005F6BBB" w:rsidRDefault="00D51F17" w:rsidP="00D51F17">
      <w:pPr>
        <w:widowControl/>
        <w:autoSpaceDE/>
        <w:autoSpaceDN/>
        <w:jc w:val="both"/>
        <w:rPr>
          <w:rFonts w:ascii="Arial" w:eastAsia="Times New Roman" w:hAnsi="Arial" w:cs="Arial"/>
          <w:sz w:val="20"/>
          <w:szCs w:val="20"/>
          <w:lang w:val="es-419" w:eastAsia="es-ES"/>
        </w:rPr>
      </w:pPr>
    </w:p>
    <w:p w14:paraId="2902EB1A" w14:textId="71D00F01" w:rsidR="00BD4D8A" w:rsidRPr="00BD4D8A" w:rsidRDefault="00BD4D8A" w:rsidP="00BD4D8A">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D4D8A">
        <w:rPr>
          <w:rFonts w:ascii="Arial" w:eastAsia="Times New Roman" w:hAnsi="Arial" w:cs="Arial"/>
          <w:sz w:val="20"/>
          <w:szCs w:val="20"/>
          <w:lang w:val="es-419" w:eastAsia="es-ES"/>
        </w:rPr>
        <w:t>el desistimiento tácito</w:t>
      </w:r>
      <w:r>
        <w:rPr>
          <w:rFonts w:ascii="Arial" w:eastAsia="Times New Roman" w:hAnsi="Arial" w:cs="Arial"/>
          <w:sz w:val="20"/>
          <w:szCs w:val="20"/>
          <w:lang w:val="es-419" w:eastAsia="es-ES"/>
        </w:rPr>
        <w:t>…</w:t>
      </w:r>
      <w:r w:rsidRPr="00BD4D8A">
        <w:rPr>
          <w:rFonts w:ascii="Arial" w:eastAsia="Times New Roman" w:hAnsi="Arial" w:cs="Arial"/>
          <w:sz w:val="20"/>
          <w:szCs w:val="20"/>
          <w:lang w:val="es-419" w:eastAsia="es-ES"/>
        </w:rPr>
        <w:t xml:space="preserve"> se traduce en una especie de sanción a cargo de la parte que actúa con desidia en el proceso. Y ha sido diseñado en el CGP desde dos aristas, que recogen lo que en estatutos y normativas anteriores se manejaba bajo los términos de perención</w:t>
      </w:r>
      <w:r w:rsidR="00E271CE">
        <w:rPr>
          <w:rFonts w:ascii="Arial" w:eastAsia="Times New Roman" w:hAnsi="Arial" w:cs="Arial"/>
          <w:sz w:val="20"/>
          <w:szCs w:val="20"/>
          <w:lang w:val="es-419" w:eastAsia="es-ES"/>
        </w:rPr>
        <w:t>…</w:t>
      </w:r>
      <w:r w:rsidRPr="00BD4D8A">
        <w:rPr>
          <w:rFonts w:ascii="Arial" w:eastAsia="Times New Roman" w:hAnsi="Arial" w:cs="Arial"/>
          <w:sz w:val="20"/>
          <w:szCs w:val="20"/>
          <w:lang w:val="es-419" w:eastAsia="es-ES"/>
        </w:rPr>
        <w:t xml:space="preserve"> y de desistimiento tácito</w:t>
      </w:r>
      <w:r w:rsidR="00E271CE">
        <w:rPr>
          <w:rFonts w:ascii="Arial" w:eastAsia="Times New Roman" w:hAnsi="Arial" w:cs="Arial"/>
          <w:sz w:val="20"/>
          <w:szCs w:val="20"/>
          <w:lang w:val="es-419" w:eastAsia="es-ES"/>
        </w:rPr>
        <w:t>…</w:t>
      </w:r>
    </w:p>
    <w:p w14:paraId="700208DA" w14:textId="77777777" w:rsidR="00BD4D8A" w:rsidRPr="00BD4D8A" w:rsidRDefault="00BD4D8A" w:rsidP="00BD4D8A">
      <w:pPr>
        <w:widowControl/>
        <w:autoSpaceDE/>
        <w:autoSpaceDN/>
        <w:jc w:val="both"/>
        <w:rPr>
          <w:rFonts w:ascii="Arial" w:eastAsia="Times New Roman" w:hAnsi="Arial" w:cs="Arial"/>
          <w:sz w:val="20"/>
          <w:szCs w:val="20"/>
          <w:lang w:val="es-419" w:eastAsia="es-ES"/>
        </w:rPr>
      </w:pPr>
    </w:p>
    <w:p w14:paraId="298E30B4" w14:textId="4F85AE28" w:rsidR="00D51F17" w:rsidRDefault="00BD4D8A" w:rsidP="00BD4D8A">
      <w:pPr>
        <w:widowControl/>
        <w:autoSpaceDE/>
        <w:autoSpaceDN/>
        <w:jc w:val="both"/>
        <w:rPr>
          <w:rFonts w:ascii="Arial" w:eastAsia="Times New Roman" w:hAnsi="Arial" w:cs="Arial"/>
          <w:sz w:val="20"/>
          <w:szCs w:val="20"/>
          <w:lang w:val="es-419" w:eastAsia="es-ES"/>
        </w:rPr>
      </w:pPr>
      <w:r w:rsidRPr="00BD4D8A">
        <w:rPr>
          <w:rFonts w:ascii="Arial" w:eastAsia="Times New Roman" w:hAnsi="Arial" w:cs="Arial"/>
          <w:sz w:val="20"/>
          <w:szCs w:val="20"/>
          <w:lang w:val="es-419" w:eastAsia="es-ES"/>
        </w:rPr>
        <w:t xml:space="preserve">La primera forma, que es la que aquí nos interesa, está prevista en el primer numeral del artículo 317 del </w:t>
      </w:r>
      <w:r>
        <w:rPr>
          <w:rFonts w:ascii="Arial" w:eastAsia="Times New Roman" w:hAnsi="Arial" w:cs="Arial"/>
          <w:sz w:val="20"/>
          <w:szCs w:val="20"/>
          <w:lang w:val="es-419" w:eastAsia="es-ES"/>
        </w:rPr>
        <w:t>Código General del Proceso…</w:t>
      </w:r>
    </w:p>
    <w:p w14:paraId="55054D44" w14:textId="4772172C" w:rsidR="00D51F17" w:rsidRDefault="00D51F17" w:rsidP="00D51F17">
      <w:pPr>
        <w:widowControl/>
        <w:autoSpaceDE/>
        <w:autoSpaceDN/>
        <w:jc w:val="both"/>
        <w:rPr>
          <w:rFonts w:ascii="Arial" w:eastAsia="Times New Roman" w:hAnsi="Arial" w:cs="Arial"/>
          <w:sz w:val="20"/>
          <w:szCs w:val="20"/>
          <w:lang w:val="es-419" w:eastAsia="es-ES"/>
        </w:rPr>
      </w:pPr>
    </w:p>
    <w:p w14:paraId="7EEFDB48" w14:textId="7C50B8F1" w:rsidR="00D51F17" w:rsidRDefault="00E271CE" w:rsidP="00D51F17">
      <w:pPr>
        <w:widowControl/>
        <w:autoSpaceDE/>
        <w:autoSpaceDN/>
        <w:jc w:val="both"/>
        <w:rPr>
          <w:rFonts w:ascii="Arial" w:eastAsia="Times New Roman" w:hAnsi="Arial" w:cs="Arial"/>
          <w:sz w:val="20"/>
          <w:szCs w:val="20"/>
          <w:lang w:val="es-419" w:eastAsia="es-ES"/>
        </w:rPr>
      </w:pPr>
      <w:r w:rsidRPr="00E271CE">
        <w:rPr>
          <w:rFonts w:ascii="Arial" w:eastAsia="Times New Roman" w:hAnsi="Arial" w:cs="Arial"/>
          <w:sz w:val="20"/>
          <w:szCs w:val="20"/>
          <w:lang w:val="es-419" w:eastAsia="es-ES"/>
        </w:rPr>
        <w:t>Si en algún aspecto trasciende esta parte de la norma, es en el impulso que en la fase primaria del proceso incumbe al demandante con el fin de lograr la integración del contradictorio</w:t>
      </w:r>
      <w:r>
        <w:rPr>
          <w:rFonts w:ascii="Arial" w:eastAsia="Times New Roman" w:hAnsi="Arial" w:cs="Arial"/>
          <w:sz w:val="20"/>
          <w:szCs w:val="20"/>
          <w:lang w:val="es-419" w:eastAsia="es-ES"/>
        </w:rPr>
        <w:t>…</w:t>
      </w:r>
    </w:p>
    <w:p w14:paraId="1DD6FA84" w14:textId="5B556AB9" w:rsidR="00D51F17" w:rsidRDefault="00D51F17" w:rsidP="00D51F17">
      <w:pPr>
        <w:widowControl/>
        <w:autoSpaceDE/>
        <w:autoSpaceDN/>
        <w:jc w:val="both"/>
        <w:rPr>
          <w:rFonts w:ascii="Arial" w:eastAsia="Times New Roman" w:hAnsi="Arial" w:cs="Arial"/>
          <w:sz w:val="20"/>
          <w:szCs w:val="20"/>
          <w:lang w:val="es-419" w:eastAsia="es-ES"/>
        </w:rPr>
      </w:pPr>
    </w:p>
    <w:p w14:paraId="33B64F63" w14:textId="6732C7CC" w:rsidR="00AF3D94" w:rsidRPr="00AF3D94" w:rsidRDefault="00AF3D94" w:rsidP="00AF3D94">
      <w:pPr>
        <w:widowControl/>
        <w:autoSpaceDE/>
        <w:autoSpaceDN/>
        <w:jc w:val="both"/>
        <w:rPr>
          <w:rFonts w:ascii="Arial" w:eastAsia="Times New Roman" w:hAnsi="Arial" w:cs="Arial"/>
          <w:sz w:val="20"/>
          <w:szCs w:val="20"/>
          <w:lang w:val="es-419" w:eastAsia="es-ES"/>
        </w:rPr>
      </w:pPr>
      <w:r w:rsidRPr="00AF3D94">
        <w:rPr>
          <w:rFonts w:ascii="Arial" w:eastAsia="Times New Roman" w:hAnsi="Arial" w:cs="Arial"/>
          <w:sz w:val="20"/>
          <w:szCs w:val="20"/>
          <w:lang w:val="es-419" w:eastAsia="es-ES"/>
        </w:rPr>
        <w:t xml:space="preserve">Hoy por hoy, están vigentes, en punto a la notificación personal del demandado, las reglas del artículo 291 del </w:t>
      </w:r>
      <w:r>
        <w:rPr>
          <w:rFonts w:ascii="Arial" w:eastAsia="Times New Roman" w:hAnsi="Arial" w:cs="Arial"/>
          <w:sz w:val="20"/>
          <w:szCs w:val="20"/>
          <w:lang w:val="es-419" w:eastAsia="es-ES"/>
        </w:rPr>
        <w:t>Código General del Proceso…</w:t>
      </w:r>
      <w:r w:rsidRPr="00AF3D94">
        <w:rPr>
          <w:rFonts w:ascii="Arial" w:eastAsia="Times New Roman" w:hAnsi="Arial" w:cs="Arial"/>
          <w:sz w:val="20"/>
          <w:szCs w:val="20"/>
          <w:lang w:val="es-419" w:eastAsia="es-ES"/>
        </w:rPr>
        <w:t xml:space="preserve"> </w:t>
      </w:r>
    </w:p>
    <w:p w14:paraId="741064F9" w14:textId="77777777" w:rsidR="00AF3D94" w:rsidRPr="00AF3D94" w:rsidRDefault="00AF3D94" w:rsidP="00AF3D94">
      <w:pPr>
        <w:widowControl/>
        <w:autoSpaceDE/>
        <w:autoSpaceDN/>
        <w:jc w:val="both"/>
        <w:rPr>
          <w:rFonts w:ascii="Arial" w:eastAsia="Times New Roman" w:hAnsi="Arial" w:cs="Arial"/>
          <w:sz w:val="20"/>
          <w:szCs w:val="20"/>
          <w:lang w:val="es-419" w:eastAsia="es-ES"/>
        </w:rPr>
      </w:pPr>
    </w:p>
    <w:p w14:paraId="76EC3410" w14:textId="33FEA6C2" w:rsidR="00D51F17" w:rsidRDefault="00AF3D94" w:rsidP="00AF3D94">
      <w:pPr>
        <w:widowControl/>
        <w:autoSpaceDE/>
        <w:autoSpaceDN/>
        <w:jc w:val="both"/>
        <w:rPr>
          <w:rFonts w:ascii="Arial" w:eastAsia="Times New Roman" w:hAnsi="Arial" w:cs="Arial"/>
          <w:sz w:val="20"/>
          <w:szCs w:val="20"/>
          <w:lang w:val="es-419" w:eastAsia="es-ES"/>
        </w:rPr>
      </w:pPr>
      <w:r w:rsidRPr="00AF3D94">
        <w:rPr>
          <w:rFonts w:ascii="Arial" w:eastAsia="Times New Roman" w:hAnsi="Arial" w:cs="Arial"/>
          <w:sz w:val="20"/>
          <w:szCs w:val="20"/>
          <w:lang w:val="es-419" w:eastAsia="es-ES"/>
        </w:rPr>
        <w:t xml:space="preserve">Pero, también, </w:t>
      </w:r>
      <w:r w:rsidR="009C1EB4" w:rsidRPr="009C1EB4">
        <w:rPr>
          <w:rFonts w:ascii="Arial" w:eastAsia="Times New Roman" w:hAnsi="Arial" w:cs="Arial"/>
          <w:sz w:val="20"/>
          <w:szCs w:val="20"/>
          <w:lang w:val="es-419" w:eastAsia="es-ES"/>
        </w:rPr>
        <w:t>como dice el artículo 8° de la Ley 2213 de 2022</w:t>
      </w:r>
      <w:r w:rsidR="009C1EB4">
        <w:rPr>
          <w:rFonts w:ascii="Arial" w:eastAsia="Times New Roman" w:hAnsi="Arial" w:cs="Arial"/>
          <w:sz w:val="20"/>
          <w:szCs w:val="20"/>
          <w:lang w:val="es-419" w:eastAsia="es-ES"/>
        </w:rPr>
        <w:t>…</w:t>
      </w:r>
      <w:r w:rsidR="009C1EB4" w:rsidRPr="009C1EB4">
        <w:rPr>
          <w:rFonts w:ascii="Arial" w:eastAsia="Times New Roman" w:hAnsi="Arial" w:cs="Arial"/>
          <w:sz w:val="20"/>
          <w:szCs w:val="20"/>
          <w:lang w:val="es-419" w:eastAsia="es-ES"/>
        </w:rPr>
        <w:t xml:space="preserve"> la notificación personal puede efectuarse “… con el envío de la providencia respectiva como mensaje de datos a la dirección electrónica o sitio que suministre el interesado en que se realice la notificación</w:t>
      </w:r>
      <w:r w:rsidR="009C1EB4">
        <w:rPr>
          <w:rFonts w:ascii="Arial" w:eastAsia="Times New Roman" w:hAnsi="Arial" w:cs="Arial"/>
          <w:sz w:val="20"/>
          <w:szCs w:val="20"/>
          <w:lang w:val="es-419" w:eastAsia="es-ES"/>
        </w:rPr>
        <w:t>…</w:t>
      </w:r>
      <w:r w:rsidR="009C1EB4" w:rsidRPr="009C1EB4">
        <w:rPr>
          <w:rFonts w:ascii="Arial" w:eastAsia="Times New Roman" w:hAnsi="Arial" w:cs="Arial"/>
          <w:sz w:val="20"/>
          <w:szCs w:val="20"/>
          <w:lang w:val="es-419" w:eastAsia="es-ES"/>
        </w:rPr>
        <w:t xml:space="preserve">”. Y se agrega que “… La notificación personal se entenderá realizada una vez transcurridos dos días hábiles siguientes al envío del mensaje y los términos empezarán a contarse cuando el iniciador </w:t>
      </w:r>
      <w:proofErr w:type="spellStart"/>
      <w:r w:rsidR="009C1EB4" w:rsidRPr="009C1EB4">
        <w:rPr>
          <w:rFonts w:ascii="Arial" w:eastAsia="Times New Roman" w:hAnsi="Arial" w:cs="Arial"/>
          <w:sz w:val="20"/>
          <w:szCs w:val="20"/>
          <w:lang w:val="es-419" w:eastAsia="es-ES"/>
        </w:rPr>
        <w:t>recepcione</w:t>
      </w:r>
      <w:proofErr w:type="spellEnd"/>
      <w:r w:rsidR="009C1EB4" w:rsidRPr="009C1EB4">
        <w:rPr>
          <w:rFonts w:ascii="Arial" w:eastAsia="Times New Roman" w:hAnsi="Arial" w:cs="Arial"/>
          <w:sz w:val="20"/>
          <w:szCs w:val="20"/>
          <w:lang w:val="es-419" w:eastAsia="es-ES"/>
        </w:rPr>
        <w:t xml:space="preserve"> acuse de recibo o se pueda por otro medio constatar el acceso del destinatario al mensaje”.</w:t>
      </w:r>
    </w:p>
    <w:p w14:paraId="468E2E08" w14:textId="289ADF35" w:rsidR="00D51F17" w:rsidRDefault="00D51F17" w:rsidP="00D51F17">
      <w:pPr>
        <w:widowControl/>
        <w:autoSpaceDE/>
        <w:autoSpaceDN/>
        <w:jc w:val="both"/>
        <w:rPr>
          <w:rFonts w:ascii="Arial" w:eastAsia="Times New Roman" w:hAnsi="Arial" w:cs="Arial"/>
          <w:sz w:val="20"/>
          <w:szCs w:val="20"/>
          <w:lang w:val="es-419" w:eastAsia="es-ES"/>
        </w:rPr>
      </w:pPr>
    </w:p>
    <w:p w14:paraId="5871CA7F" w14:textId="3CFBE7CF" w:rsidR="009C1EB4" w:rsidRDefault="00AF3D94" w:rsidP="00D51F17">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56012A" w:rsidRPr="0056012A">
        <w:rPr>
          <w:rFonts w:ascii="Arial" w:eastAsia="Times New Roman" w:hAnsi="Arial" w:cs="Arial"/>
          <w:sz w:val="20"/>
          <w:szCs w:val="20"/>
          <w:lang w:val="es-419" w:eastAsia="es-ES"/>
        </w:rPr>
        <w:t>nadie discute que el recurrente acierta al decir que, como lo dijo la Corte</w:t>
      </w:r>
      <w:r>
        <w:rPr>
          <w:rFonts w:ascii="Arial" w:eastAsia="Times New Roman" w:hAnsi="Arial" w:cs="Arial"/>
          <w:sz w:val="20"/>
          <w:szCs w:val="20"/>
          <w:lang w:val="es-419" w:eastAsia="es-ES"/>
        </w:rPr>
        <w:t>…</w:t>
      </w:r>
      <w:r w:rsidR="0056012A" w:rsidRPr="0056012A">
        <w:rPr>
          <w:rFonts w:ascii="Arial" w:eastAsia="Times New Roman" w:hAnsi="Arial" w:cs="Arial"/>
          <w:sz w:val="20"/>
          <w:szCs w:val="20"/>
          <w:lang w:val="es-419" w:eastAsia="es-ES"/>
        </w:rPr>
        <w:t xml:space="preserve"> y lo recogió la Ley 2213, la prueba del recibido no se reduce al acuse, sino que puede darse de cualquier otro modo. Pero, en todo caso, requerida la parte por el juzgado para que aportada esa prueba, guardó absoluto silencio</w:t>
      </w:r>
      <w:r>
        <w:rPr>
          <w:rFonts w:ascii="Arial" w:eastAsia="Times New Roman" w:hAnsi="Arial" w:cs="Arial"/>
          <w:sz w:val="20"/>
          <w:szCs w:val="20"/>
          <w:lang w:val="es-419" w:eastAsia="es-ES"/>
        </w:rPr>
        <w:t>…</w:t>
      </w:r>
    </w:p>
    <w:p w14:paraId="5B0B3AF7" w14:textId="77777777" w:rsidR="009C1EB4" w:rsidRDefault="009C1EB4" w:rsidP="00D51F17">
      <w:pPr>
        <w:widowControl/>
        <w:autoSpaceDE/>
        <w:autoSpaceDN/>
        <w:jc w:val="both"/>
        <w:rPr>
          <w:rFonts w:ascii="Arial" w:eastAsia="Times New Roman" w:hAnsi="Arial" w:cs="Arial"/>
          <w:sz w:val="20"/>
          <w:szCs w:val="20"/>
          <w:lang w:val="es-419" w:eastAsia="es-ES"/>
        </w:rPr>
      </w:pPr>
    </w:p>
    <w:p w14:paraId="33259C43" w14:textId="44E87461" w:rsidR="00D51F17" w:rsidRDefault="00D51F17" w:rsidP="00D51F17">
      <w:pPr>
        <w:widowControl/>
        <w:autoSpaceDE/>
        <w:autoSpaceDN/>
        <w:jc w:val="both"/>
        <w:rPr>
          <w:rFonts w:ascii="Arial" w:eastAsia="Times New Roman" w:hAnsi="Arial" w:cs="Arial"/>
          <w:sz w:val="20"/>
          <w:szCs w:val="20"/>
          <w:lang w:val="es-419" w:eastAsia="es-ES"/>
        </w:rPr>
      </w:pPr>
    </w:p>
    <w:p w14:paraId="24C5965D" w14:textId="77777777" w:rsidR="00D51F17" w:rsidRPr="00EB5C44" w:rsidRDefault="00D51F17" w:rsidP="00D51F17">
      <w:pPr>
        <w:widowControl/>
        <w:autoSpaceDE/>
        <w:autoSpaceDN/>
        <w:jc w:val="both"/>
        <w:rPr>
          <w:rFonts w:ascii="Arial" w:eastAsia="Times New Roman" w:hAnsi="Arial" w:cs="Arial"/>
          <w:sz w:val="20"/>
          <w:szCs w:val="20"/>
          <w:lang w:val="es-419" w:eastAsia="es-ES"/>
        </w:rPr>
      </w:pPr>
    </w:p>
    <w:p w14:paraId="339C414D" w14:textId="77777777" w:rsidR="00D51F17" w:rsidRPr="009B3B04" w:rsidRDefault="00D51F17" w:rsidP="00D51F17">
      <w:pPr>
        <w:pStyle w:val="Ttulo2"/>
        <w:spacing w:before="0" w:line="276" w:lineRule="auto"/>
        <w:ind w:left="0" w:right="1213" w:firstLine="1701"/>
        <w:rPr>
          <w:sz w:val="24"/>
          <w:szCs w:val="24"/>
        </w:rPr>
      </w:pPr>
      <w:bookmarkStart w:id="1" w:name="_Hlk117580433"/>
      <w:bookmarkStart w:id="2" w:name="_Hlk118097949"/>
      <w:bookmarkEnd w:id="0"/>
      <w:r w:rsidRPr="009B3B04">
        <w:rPr>
          <w:sz w:val="24"/>
          <w:szCs w:val="24"/>
        </w:rPr>
        <w:t>TRIBUNAL SUPERIOR DEL DISTRITO JUDICIAL</w:t>
      </w:r>
    </w:p>
    <w:bookmarkEnd w:id="1"/>
    <w:p w14:paraId="0C820370" w14:textId="4B82DEF9" w:rsidR="00D51F17" w:rsidRPr="009B3B04" w:rsidRDefault="00D51F17" w:rsidP="00D51F17">
      <w:pPr>
        <w:spacing w:line="276" w:lineRule="auto"/>
        <w:ind w:left="981" w:firstLine="720"/>
        <w:jc w:val="both"/>
        <w:rPr>
          <w:b/>
          <w:sz w:val="24"/>
          <w:szCs w:val="24"/>
        </w:rPr>
      </w:pPr>
      <w:r w:rsidRPr="009B3B04">
        <w:rPr>
          <w:b/>
          <w:sz w:val="24"/>
          <w:szCs w:val="24"/>
        </w:rPr>
        <w:t>SALA DE DECISIÓN CIVIL FAMILIA</w:t>
      </w:r>
    </w:p>
    <w:p w14:paraId="72CA98B5" w14:textId="77777777" w:rsidR="00D51F17" w:rsidRPr="009B3B04" w:rsidRDefault="00D51F17" w:rsidP="00D51F17">
      <w:pPr>
        <w:pStyle w:val="Textoindependiente"/>
        <w:tabs>
          <w:tab w:val="left" w:pos="3930"/>
          <w:tab w:val="right" w:pos="8076"/>
        </w:tabs>
        <w:spacing w:line="276" w:lineRule="auto"/>
        <w:ind w:left="1701" w:right="532"/>
        <w:rPr>
          <w:rFonts w:ascii="Gadugi" w:hAnsi="Gadugi"/>
          <w:sz w:val="24"/>
          <w:szCs w:val="24"/>
        </w:rPr>
      </w:pPr>
    </w:p>
    <w:p w14:paraId="61513A5C" w14:textId="77777777" w:rsidR="00D51F17" w:rsidRPr="009B3B04" w:rsidRDefault="00D51F17" w:rsidP="00D51F17">
      <w:pPr>
        <w:pStyle w:val="Textoindependiente"/>
        <w:tabs>
          <w:tab w:val="left" w:pos="3930"/>
          <w:tab w:val="right" w:pos="8076"/>
        </w:tabs>
        <w:spacing w:line="276" w:lineRule="auto"/>
        <w:ind w:left="1701" w:right="-374"/>
        <w:rPr>
          <w:rFonts w:ascii="Gadugi" w:hAnsi="Gadugi"/>
          <w:sz w:val="24"/>
          <w:szCs w:val="24"/>
        </w:rPr>
      </w:pPr>
      <w:r w:rsidRPr="009B3B04">
        <w:rPr>
          <w:rFonts w:ascii="Gadugi" w:hAnsi="Gadugi"/>
          <w:sz w:val="24"/>
          <w:szCs w:val="24"/>
        </w:rPr>
        <w:t>Magistrado:</w:t>
      </w:r>
      <w:r w:rsidRPr="009B3B04">
        <w:rPr>
          <w:rFonts w:ascii="Gadugi" w:hAnsi="Gadugi"/>
          <w:sz w:val="24"/>
          <w:szCs w:val="24"/>
        </w:rPr>
        <w:tab/>
        <w:t>Jaime Alberto Saraza Naranjo</w:t>
      </w:r>
    </w:p>
    <w:bookmarkEnd w:id="2"/>
    <w:p w14:paraId="7E8AC33A" w14:textId="6C45FB1A" w:rsidR="00C34631" w:rsidRPr="009B3B04" w:rsidRDefault="00D51F17" w:rsidP="00D51F17">
      <w:pPr>
        <w:pStyle w:val="Textoindependiente"/>
        <w:tabs>
          <w:tab w:val="left" w:pos="3930"/>
          <w:tab w:val="right" w:pos="8076"/>
        </w:tabs>
        <w:spacing w:line="276" w:lineRule="auto"/>
        <w:ind w:left="1701" w:right="-91"/>
        <w:rPr>
          <w:rFonts w:ascii="Gadugi" w:hAnsi="Gadugi"/>
          <w:sz w:val="24"/>
          <w:szCs w:val="24"/>
        </w:rPr>
      </w:pPr>
      <w:r w:rsidRPr="009B3B04">
        <w:rPr>
          <w:rFonts w:ascii="Gadugi" w:hAnsi="Gadugi"/>
          <w:sz w:val="24"/>
          <w:szCs w:val="24"/>
        </w:rPr>
        <w:t>Pereira:</w:t>
      </w:r>
      <w:r w:rsidR="00143BB8" w:rsidRPr="009B3B04">
        <w:rPr>
          <w:rFonts w:ascii="Gadugi" w:hAnsi="Gadugi"/>
          <w:sz w:val="24"/>
          <w:szCs w:val="24"/>
        </w:rPr>
        <w:tab/>
      </w:r>
      <w:r w:rsidR="004F3C6F" w:rsidRPr="009B3B04">
        <w:rPr>
          <w:rFonts w:ascii="Gadugi" w:hAnsi="Gadugi"/>
          <w:sz w:val="24"/>
          <w:szCs w:val="24"/>
        </w:rPr>
        <w:t xml:space="preserve">Septiembre catorce de dos mil veintidós </w:t>
      </w:r>
    </w:p>
    <w:p w14:paraId="48EF4A19" w14:textId="72D5A5EF" w:rsidR="00FD0FCD" w:rsidRPr="009B3B04" w:rsidRDefault="00143BB8" w:rsidP="00D51F17">
      <w:pPr>
        <w:pStyle w:val="Textoindependiente"/>
        <w:tabs>
          <w:tab w:val="left" w:pos="3930"/>
        </w:tabs>
        <w:spacing w:line="276" w:lineRule="auto"/>
        <w:ind w:right="-91" w:firstLine="1701"/>
        <w:rPr>
          <w:rFonts w:ascii="Gadugi" w:hAnsi="Gadugi"/>
          <w:sz w:val="24"/>
          <w:szCs w:val="24"/>
        </w:rPr>
      </w:pPr>
      <w:r w:rsidRPr="009B3B04">
        <w:rPr>
          <w:rFonts w:ascii="Gadugi" w:hAnsi="Gadugi"/>
          <w:sz w:val="24"/>
          <w:szCs w:val="24"/>
        </w:rPr>
        <w:t>Auto:</w:t>
      </w:r>
      <w:r w:rsidRPr="009B3B04">
        <w:rPr>
          <w:rFonts w:ascii="Gadugi" w:hAnsi="Gadugi"/>
          <w:sz w:val="24"/>
          <w:szCs w:val="24"/>
        </w:rPr>
        <w:tab/>
      </w:r>
      <w:bookmarkStart w:id="3" w:name="_GoBack"/>
      <w:r w:rsidR="004F3C6F" w:rsidRPr="009B3B04">
        <w:rPr>
          <w:rFonts w:ascii="Gadugi" w:hAnsi="Gadugi"/>
          <w:sz w:val="24"/>
          <w:szCs w:val="24"/>
        </w:rPr>
        <w:t>AC-0147-2022</w:t>
      </w:r>
      <w:bookmarkEnd w:id="3"/>
    </w:p>
    <w:p w14:paraId="301DCC8F" w14:textId="77777777" w:rsidR="00DE75C0" w:rsidRPr="009B3B04" w:rsidRDefault="00DE75C0" w:rsidP="00D51F17">
      <w:pPr>
        <w:spacing w:line="276" w:lineRule="auto"/>
        <w:ind w:firstLine="1701"/>
        <w:rPr>
          <w:sz w:val="24"/>
          <w:szCs w:val="24"/>
        </w:rPr>
      </w:pPr>
    </w:p>
    <w:p w14:paraId="37B15AC0" w14:textId="77777777" w:rsidR="00EF4EDC" w:rsidRPr="009B3B04" w:rsidRDefault="00143BB8" w:rsidP="00D51F17">
      <w:pPr>
        <w:spacing w:line="276" w:lineRule="auto"/>
        <w:ind w:right="113"/>
        <w:jc w:val="both"/>
        <w:rPr>
          <w:sz w:val="24"/>
          <w:szCs w:val="24"/>
        </w:rPr>
      </w:pPr>
      <w:r w:rsidRPr="009B3B04">
        <w:rPr>
          <w:sz w:val="24"/>
          <w:szCs w:val="24"/>
        </w:rPr>
        <w:t xml:space="preserve">Procede la Sala a resolver el recurso de apelación interpuesto por </w:t>
      </w:r>
      <w:r w:rsidR="00082B95" w:rsidRPr="009B3B04">
        <w:rPr>
          <w:sz w:val="24"/>
          <w:szCs w:val="24"/>
        </w:rPr>
        <w:t>la parte demanda</w:t>
      </w:r>
      <w:r w:rsidR="00EF5031" w:rsidRPr="009B3B04">
        <w:rPr>
          <w:sz w:val="24"/>
          <w:szCs w:val="24"/>
        </w:rPr>
        <w:t xml:space="preserve">nte </w:t>
      </w:r>
      <w:r w:rsidR="00082B95" w:rsidRPr="009B3B04">
        <w:rPr>
          <w:sz w:val="24"/>
          <w:szCs w:val="24"/>
        </w:rPr>
        <w:t>contra el a</w:t>
      </w:r>
      <w:r w:rsidR="00EF4EDC" w:rsidRPr="009B3B04">
        <w:rPr>
          <w:sz w:val="24"/>
          <w:szCs w:val="24"/>
        </w:rPr>
        <w:t>u</w:t>
      </w:r>
      <w:r w:rsidR="00082B95" w:rsidRPr="009B3B04">
        <w:rPr>
          <w:sz w:val="24"/>
          <w:szCs w:val="24"/>
        </w:rPr>
        <w:t xml:space="preserve">to del </w:t>
      </w:r>
      <w:r w:rsidR="00690E7C" w:rsidRPr="009B3B04">
        <w:rPr>
          <w:sz w:val="24"/>
          <w:szCs w:val="24"/>
        </w:rPr>
        <w:t>1</w:t>
      </w:r>
      <w:r w:rsidR="00EF4EDC" w:rsidRPr="009B3B04">
        <w:rPr>
          <w:sz w:val="24"/>
          <w:szCs w:val="24"/>
        </w:rPr>
        <w:t>1</w:t>
      </w:r>
      <w:r w:rsidR="00690E7C" w:rsidRPr="009B3B04">
        <w:rPr>
          <w:sz w:val="24"/>
          <w:szCs w:val="24"/>
        </w:rPr>
        <w:t xml:space="preserve"> de </w:t>
      </w:r>
      <w:r w:rsidR="00EF4EDC" w:rsidRPr="009B3B04">
        <w:rPr>
          <w:sz w:val="24"/>
          <w:szCs w:val="24"/>
        </w:rPr>
        <w:t>mayo</w:t>
      </w:r>
      <w:r w:rsidR="00690E7C" w:rsidRPr="009B3B04">
        <w:rPr>
          <w:sz w:val="24"/>
          <w:szCs w:val="24"/>
        </w:rPr>
        <w:t xml:space="preserve"> de 2022,</w:t>
      </w:r>
      <w:r w:rsidR="00082B95" w:rsidRPr="009B3B04">
        <w:rPr>
          <w:sz w:val="24"/>
          <w:szCs w:val="24"/>
        </w:rPr>
        <w:t xml:space="preserve"> proferido por el Juzgado </w:t>
      </w:r>
      <w:r w:rsidR="00EF4EDC" w:rsidRPr="009B3B04">
        <w:rPr>
          <w:sz w:val="24"/>
          <w:szCs w:val="24"/>
        </w:rPr>
        <w:t xml:space="preserve">Segundo </w:t>
      </w:r>
      <w:r w:rsidRPr="009B3B04">
        <w:rPr>
          <w:sz w:val="24"/>
          <w:szCs w:val="24"/>
        </w:rPr>
        <w:t xml:space="preserve">Civil del Circuito de Pereira en este proceso </w:t>
      </w:r>
      <w:r w:rsidR="00690E7C" w:rsidRPr="009B3B04">
        <w:rPr>
          <w:b/>
          <w:sz w:val="24"/>
          <w:szCs w:val="24"/>
        </w:rPr>
        <w:t>ejecutivo</w:t>
      </w:r>
      <w:r w:rsidR="00690E7C" w:rsidRPr="009B3B04">
        <w:rPr>
          <w:sz w:val="24"/>
          <w:szCs w:val="24"/>
        </w:rPr>
        <w:t xml:space="preserve"> que </w:t>
      </w:r>
      <w:r w:rsidR="00EF4EDC" w:rsidRPr="009B3B04">
        <w:rPr>
          <w:b/>
          <w:bCs/>
          <w:sz w:val="24"/>
          <w:szCs w:val="24"/>
        </w:rPr>
        <w:t>Carlos Holmer Castaño Aguirre</w:t>
      </w:r>
      <w:r w:rsidR="00EF4EDC" w:rsidRPr="009B3B04">
        <w:rPr>
          <w:sz w:val="24"/>
          <w:szCs w:val="24"/>
        </w:rPr>
        <w:t xml:space="preserve"> inició frente a </w:t>
      </w:r>
      <w:r w:rsidR="00EF4EDC" w:rsidRPr="009B3B04">
        <w:rPr>
          <w:b/>
          <w:bCs/>
          <w:sz w:val="24"/>
          <w:szCs w:val="24"/>
        </w:rPr>
        <w:t>Gustavo Adolfo Salinas Rendón</w:t>
      </w:r>
      <w:r w:rsidR="00EF4EDC" w:rsidRPr="009B3B04">
        <w:rPr>
          <w:sz w:val="24"/>
          <w:szCs w:val="24"/>
        </w:rPr>
        <w:t xml:space="preserve">. </w:t>
      </w:r>
    </w:p>
    <w:p w14:paraId="06BA760D" w14:textId="046E3379" w:rsidR="00FD0FCD" w:rsidRPr="009B3B04" w:rsidRDefault="00FD0FCD" w:rsidP="00D51F17">
      <w:pPr>
        <w:spacing w:line="276" w:lineRule="auto"/>
        <w:rPr>
          <w:b/>
          <w:sz w:val="24"/>
          <w:szCs w:val="24"/>
        </w:rPr>
      </w:pPr>
    </w:p>
    <w:p w14:paraId="3A4F8D91" w14:textId="77777777" w:rsidR="00FD0FCD" w:rsidRPr="009B3B04" w:rsidRDefault="00143BB8" w:rsidP="00D51F17">
      <w:pPr>
        <w:pStyle w:val="Ttulo2"/>
        <w:spacing w:before="0" w:line="276" w:lineRule="auto"/>
        <w:ind w:left="0"/>
        <w:rPr>
          <w:sz w:val="24"/>
          <w:szCs w:val="24"/>
        </w:rPr>
      </w:pPr>
      <w:r w:rsidRPr="009B3B04">
        <w:rPr>
          <w:sz w:val="24"/>
          <w:szCs w:val="24"/>
        </w:rPr>
        <w:t>ANTECEDENTES</w:t>
      </w:r>
    </w:p>
    <w:p w14:paraId="18F6BA09" w14:textId="695A2FBE" w:rsidR="00FD0FCD" w:rsidRPr="009B3B04" w:rsidRDefault="00FD0FCD" w:rsidP="00D51F17">
      <w:pPr>
        <w:spacing w:line="276" w:lineRule="auto"/>
        <w:rPr>
          <w:b/>
          <w:sz w:val="24"/>
          <w:szCs w:val="24"/>
        </w:rPr>
      </w:pPr>
    </w:p>
    <w:p w14:paraId="13CBF0A8" w14:textId="14DD3D8E" w:rsidR="00FE162B" w:rsidRPr="009B3B04" w:rsidRDefault="00143BB8"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En el referido </w:t>
      </w:r>
      <w:r w:rsidR="00B8613D" w:rsidRPr="009B3B04">
        <w:rPr>
          <w:rFonts w:ascii="Gadugi" w:hAnsi="Gadugi"/>
          <w:sz w:val="24"/>
          <w:szCs w:val="24"/>
        </w:rPr>
        <w:t xml:space="preserve">proceso, </w:t>
      </w:r>
      <w:r w:rsidR="00966C7A" w:rsidRPr="009B3B04">
        <w:rPr>
          <w:rFonts w:ascii="Gadugi" w:hAnsi="Gadugi"/>
          <w:sz w:val="24"/>
          <w:szCs w:val="24"/>
        </w:rPr>
        <w:t>se libró mandamiento ejecutivo el 10 de marzo de 2020</w:t>
      </w:r>
      <w:r w:rsidR="00A216E4" w:rsidRPr="009B3B04">
        <w:rPr>
          <w:rStyle w:val="Refdenotaalpie"/>
          <w:rFonts w:ascii="Gadugi" w:hAnsi="Gadugi"/>
          <w:sz w:val="24"/>
          <w:szCs w:val="24"/>
        </w:rPr>
        <w:footnoteReference w:id="1"/>
      </w:r>
      <w:r w:rsidR="000F252B" w:rsidRPr="009B3B04">
        <w:rPr>
          <w:rFonts w:ascii="Gadugi" w:hAnsi="Gadugi"/>
          <w:sz w:val="24"/>
          <w:szCs w:val="24"/>
        </w:rPr>
        <w:t xml:space="preserve">. El </w:t>
      </w:r>
      <w:r w:rsidR="000F252B" w:rsidRPr="009B3B04">
        <w:rPr>
          <w:rFonts w:ascii="Gadugi" w:hAnsi="Gadugi"/>
          <w:sz w:val="24"/>
          <w:szCs w:val="24"/>
        </w:rPr>
        <w:lastRenderedPageBreak/>
        <w:t>ejecutante arrimó constancia de notificación</w:t>
      </w:r>
      <w:r w:rsidR="0082186D" w:rsidRPr="009B3B04">
        <w:rPr>
          <w:rFonts w:ascii="Gadugi" w:hAnsi="Gadugi"/>
          <w:sz w:val="24"/>
          <w:szCs w:val="24"/>
        </w:rPr>
        <w:t xml:space="preserve"> por vía electrónica</w:t>
      </w:r>
      <w:r w:rsidR="000F252B" w:rsidRPr="009B3B04">
        <w:rPr>
          <w:rStyle w:val="Refdenotaalpie"/>
          <w:rFonts w:ascii="Gadugi" w:hAnsi="Gadugi"/>
          <w:sz w:val="24"/>
          <w:szCs w:val="24"/>
        </w:rPr>
        <w:footnoteReference w:id="2"/>
      </w:r>
      <w:r w:rsidR="0082186D" w:rsidRPr="009B3B04">
        <w:rPr>
          <w:rFonts w:ascii="Gadugi" w:hAnsi="Gadugi"/>
          <w:sz w:val="24"/>
          <w:szCs w:val="24"/>
        </w:rPr>
        <w:t xml:space="preserve">, pero fue requerido por el Juzgado para que aportara, con la debida trazabilidad, el acuse de recibo, necesario para </w:t>
      </w:r>
      <w:r w:rsidR="00853FEF" w:rsidRPr="009B3B04">
        <w:rPr>
          <w:rFonts w:ascii="Gadugi" w:hAnsi="Gadugi"/>
          <w:sz w:val="24"/>
          <w:szCs w:val="24"/>
        </w:rPr>
        <w:t>poder contar términos</w:t>
      </w:r>
      <w:r w:rsidR="00853FEF" w:rsidRPr="009B3B04">
        <w:rPr>
          <w:rStyle w:val="Refdenotaalpie"/>
          <w:rFonts w:ascii="Gadugi" w:hAnsi="Gadugi"/>
          <w:sz w:val="24"/>
          <w:szCs w:val="24"/>
        </w:rPr>
        <w:footnoteReference w:id="3"/>
      </w:r>
      <w:r w:rsidR="00FE162B" w:rsidRPr="009B3B04">
        <w:rPr>
          <w:rFonts w:ascii="Gadugi" w:hAnsi="Gadugi"/>
          <w:sz w:val="24"/>
          <w:szCs w:val="24"/>
        </w:rPr>
        <w:t>, con auto del 3 de noviembre de 2021.</w:t>
      </w:r>
      <w:r w:rsidR="00853FEF" w:rsidRPr="009B3B04">
        <w:rPr>
          <w:rFonts w:ascii="Gadugi" w:hAnsi="Gadugi"/>
          <w:sz w:val="24"/>
          <w:szCs w:val="24"/>
        </w:rPr>
        <w:t xml:space="preserve"> </w:t>
      </w:r>
    </w:p>
    <w:p w14:paraId="068F2411" w14:textId="3C674B7C" w:rsidR="00FE162B" w:rsidRPr="009B3B04" w:rsidRDefault="00FE162B" w:rsidP="00D51F17">
      <w:pPr>
        <w:pStyle w:val="Textoindependiente"/>
        <w:spacing w:line="276" w:lineRule="auto"/>
        <w:ind w:right="114"/>
        <w:jc w:val="both"/>
        <w:rPr>
          <w:rFonts w:ascii="Gadugi" w:hAnsi="Gadugi"/>
          <w:sz w:val="24"/>
          <w:szCs w:val="24"/>
        </w:rPr>
      </w:pPr>
    </w:p>
    <w:p w14:paraId="61C7AD6F" w14:textId="6BC7F769" w:rsidR="00FE162B" w:rsidRPr="009B3B04" w:rsidRDefault="00FE162B"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Posteriormente, con providencia del 22 de febrero de 2022, </w:t>
      </w:r>
      <w:r w:rsidR="0010326A" w:rsidRPr="009B3B04">
        <w:rPr>
          <w:rFonts w:ascii="Gadugi" w:hAnsi="Gadugi"/>
          <w:sz w:val="24"/>
          <w:szCs w:val="24"/>
        </w:rPr>
        <w:t xml:space="preserve">notificado por estado el 23, </w:t>
      </w:r>
      <w:r w:rsidRPr="009B3B04">
        <w:rPr>
          <w:rFonts w:ascii="Gadugi" w:hAnsi="Gadugi"/>
          <w:sz w:val="24"/>
          <w:szCs w:val="24"/>
        </w:rPr>
        <w:t xml:space="preserve">fue requerido para que en el término de 30 días llevara la información que se le solicitó, so pena de que se </w:t>
      </w:r>
      <w:r w:rsidR="009B2AFD" w:rsidRPr="009B3B04">
        <w:rPr>
          <w:rFonts w:ascii="Gadugi" w:hAnsi="Gadugi"/>
          <w:sz w:val="24"/>
          <w:szCs w:val="24"/>
        </w:rPr>
        <w:t xml:space="preserve">terminara la actuación por </w:t>
      </w:r>
      <w:r w:rsidRPr="009B3B04">
        <w:rPr>
          <w:rFonts w:ascii="Gadugi" w:hAnsi="Gadugi"/>
          <w:sz w:val="24"/>
          <w:szCs w:val="24"/>
        </w:rPr>
        <w:t>desistimiento tácito, en los términos del artículo 317 del CGP</w:t>
      </w:r>
      <w:r w:rsidRPr="009B3B04">
        <w:rPr>
          <w:rStyle w:val="Refdenotaalpie"/>
          <w:rFonts w:ascii="Gadugi" w:hAnsi="Gadugi"/>
          <w:sz w:val="24"/>
          <w:szCs w:val="24"/>
        </w:rPr>
        <w:footnoteReference w:id="4"/>
      </w:r>
      <w:r w:rsidRPr="009B3B04">
        <w:rPr>
          <w:rFonts w:ascii="Gadugi" w:hAnsi="Gadugi"/>
          <w:sz w:val="24"/>
          <w:szCs w:val="24"/>
        </w:rPr>
        <w:t>.</w:t>
      </w:r>
      <w:r w:rsidR="003A2EDC" w:rsidRPr="009B3B04">
        <w:rPr>
          <w:rFonts w:ascii="Gadugi" w:hAnsi="Gadugi"/>
          <w:sz w:val="24"/>
          <w:szCs w:val="24"/>
        </w:rPr>
        <w:t xml:space="preserve"> Ese </w:t>
      </w:r>
      <w:r w:rsidR="00CF7740" w:rsidRPr="009B3B04">
        <w:rPr>
          <w:rFonts w:ascii="Gadugi" w:hAnsi="Gadugi"/>
          <w:sz w:val="24"/>
          <w:szCs w:val="24"/>
        </w:rPr>
        <w:t>plazo</w:t>
      </w:r>
      <w:r w:rsidR="003A2EDC" w:rsidRPr="009B3B04">
        <w:rPr>
          <w:rFonts w:ascii="Gadugi" w:hAnsi="Gadugi"/>
          <w:sz w:val="24"/>
          <w:szCs w:val="24"/>
        </w:rPr>
        <w:t xml:space="preserve"> pasó sin que se cumpliera lo ordenado, así que se emitió el proveído del 11 de mayo siguiente, mediante el cual se le puso fin al proceso, se levantaron las medidas cautelares que quedar</w:t>
      </w:r>
      <w:r w:rsidR="00CF7740" w:rsidRPr="009B3B04">
        <w:rPr>
          <w:rFonts w:ascii="Gadugi" w:hAnsi="Gadugi"/>
          <w:sz w:val="24"/>
          <w:szCs w:val="24"/>
        </w:rPr>
        <w:t>í</w:t>
      </w:r>
      <w:r w:rsidR="003A2EDC" w:rsidRPr="009B3B04">
        <w:rPr>
          <w:rFonts w:ascii="Gadugi" w:hAnsi="Gadugi"/>
          <w:sz w:val="24"/>
          <w:szCs w:val="24"/>
        </w:rPr>
        <w:t xml:space="preserve">an vigentes para otro proceso </w:t>
      </w:r>
      <w:r w:rsidR="00CF7740" w:rsidRPr="009B3B04">
        <w:rPr>
          <w:rFonts w:ascii="Gadugi" w:hAnsi="Gadugi"/>
          <w:sz w:val="24"/>
          <w:szCs w:val="24"/>
        </w:rPr>
        <w:t xml:space="preserve">y </w:t>
      </w:r>
      <w:r w:rsidR="003A2EDC" w:rsidRPr="009B3B04">
        <w:rPr>
          <w:rFonts w:ascii="Gadugi" w:hAnsi="Gadugi"/>
          <w:sz w:val="24"/>
          <w:szCs w:val="24"/>
        </w:rPr>
        <w:t>se dispuso el archivo del expediente</w:t>
      </w:r>
      <w:r w:rsidR="00CF7740" w:rsidRPr="009B3B04">
        <w:rPr>
          <w:rStyle w:val="Refdenotaalpie"/>
          <w:rFonts w:ascii="Gadugi" w:hAnsi="Gadugi"/>
          <w:sz w:val="24"/>
          <w:szCs w:val="24"/>
        </w:rPr>
        <w:footnoteReference w:id="5"/>
      </w:r>
      <w:r w:rsidR="00CF7740" w:rsidRPr="009B3B04">
        <w:rPr>
          <w:rFonts w:ascii="Gadugi" w:hAnsi="Gadugi"/>
          <w:sz w:val="24"/>
          <w:szCs w:val="24"/>
        </w:rPr>
        <w:t>.</w:t>
      </w:r>
    </w:p>
    <w:p w14:paraId="25E0D2ED" w14:textId="77777777" w:rsidR="0010326A" w:rsidRPr="009B3B04" w:rsidRDefault="0010326A" w:rsidP="00D51F17">
      <w:pPr>
        <w:pStyle w:val="Textoindependiente"/>
        <w:spacing w:line="276" w:lineRule="auto"/>
        <w:ind w:right="114"/>
        <w:jc w:val="both"/>
        <w:rPr>
          <w:rFonts w:ascii="Gadugi" w:hAnsi="Gadugi"/>
          <w:sz w:val="24"/>
          <w:szCs w:val="24"/>
        </w:rPr>
      </w:pPr>
    </w:p>
    <w:p w14:paraId="398E32FC" w14:textId="77777777" w:rsidR="004E0B5D" w:rsidRPr="009B3B04" w:rsidRDefault="0010326A" w:rsidP="00D51F17">
      <w:pPr>
        <w:pStyle w:val="Textoindependiente"/>
        <w:spacing w:line="276" w:lineRule="auto"/>
        <w:ind w:right="114"/>
        <w:jc w:val="both"/>
        <w:rPr>
          <w:rFonts w:ascii="Gadugi" w:hAnsi="Gadugi"/>
          <w:sz w:val="24"/>
          <w:szCs w:val="24"/>
        </w:rPr>
      </w:pPr>
      <w:r w:rsidRPr="009B3B04">
        <w:rPr>
          <w:rFonts w:ascii="Gadugi" w:hAnsi="Gadugi"/>
          <w:sz w:val="24"/>
          <w:szCs w:val="24"/>
        </w:rPr>
        <w:t>El 17 de mayo de 2022, el demandante le hizo saber al despacho que remitió notificación personal al demandado, por correo certificado y agregó una copia de la comunicación respectiva</w:t>
      </w:r>
      <w:r w:rsidR="004E0B5D" w:rsidRPr="009B3B04">
        <w:rPr>
          <w:rFonts w:ascii="Gadugi" w:hAnsi="Gadugi"/>
          <w:sz w:val="24"/>
          <w:szCs w:val="24"/>
        </w:rPr>
        <w:t>, que tiene fecha del 10 de mayo</w:t>
      </w:r>
      <w:r w:rsidR="004E0B5D" w:rsidRPr="009B3B04">
        <w:rPr>
          <w:rStyle w:val="Refdenotaalpie"/>
          <w:rFonts w:ascii="Gadugi" w:hAnsi="Gadugi"/>
          <w:sz w:val="24"/>
          <w:szCs w:val="24"/>
        </w:rPr>
        <w:footnoteReference w:id="6"/>
      </w:r>
      <w:r w:rsidRPr="009B3B04">
        <w:rPr>
          <w:rFonts w:ascii="Gadugi" w:hAnsi="Gadugi"/>
          <w:sz w:val="24"/>
          <w:szCs w:val="24"/>
        </w:rPr>
        <w:t xml:space="preserve">. </w:t>
      </w:r>
    </w:p>
    <w:p w14:paraId="7AE2E10C" w14:textId="77777777" w:rsidR="004E0B5D" w:rsidRPr="009B3B04" w:rsidRDefault="004E0B5D" w:rsidP="00D51F17">
      <w:pPr>
        <w:pStyle w:val="Textoindependiente"/>
        <w:spacing w:line="276" w:lineRule="auto"/>
        <w:ind w:right="114"/>
        <w:jc w:val="both"/>
        <w:rPr>
          <w:rFonts w:ascii="Gadugi" w:hAnsi="Gadugi"/>
          <w:sz w:val="24"/>
          <w:szCs w:val="24"/>
        </w:rPr>
      </w:pPr>
    </w:p>
    <w:p w14:paraId="40B05661" w14:textId="3F73D41B" w:rsidR="00344E3D" w:rsidRPr="009B3B04" w:rsidRDefault="004E0B5D"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En la misma fecha interpuso recursos de reposición y, en subsidio, apelación con soporte en que </w:t>
      </w:r>
      <w:r w:rsidR="00344E3D" w:rsidRPr="009B3B04">
        <w:rPr>
          <w:rFonts w:ascii="Gadugi" w:hAnsi="Gadugi"/>
          <w:sz w:val="24"/>
          <w:szCs w:val="24"/>
        </w:rPr>
        <w:t xml:space="preserve">(i) aún está en término para enviar el acuse de recibo; (ii) el 4 de noviembre de 2021 se le informó al juzgado del envío del correo electrónico contentivo de la notificación y la Corte Suprema ha establecido que el recibido puede acreditarse </w:t>
      </w:r>
      <w:r w:rsidR="00AB36BA" w:rsidRPr="009B3B04">
        <w:rPr>
          <w:rFonts w:ascii="Gadugi" w:hAnsi="Gadugi"/>
          <w:sz w:val="24"/>
          <w:szCs w:val="24"/>
        </w:rPr>
        <w:t xml:space="preserve">por cualquier medio probatorio, de manera que no es necesario que el usuario abra o lea el mensaje; (iii) los artículos 291 y 292 del CGP consagran una presunción de recibido, cuando el iniciador recepcione acuse de recibo, de manera que la respuesta del destinatario hace presumir que lo recibió. </w:t>
      </w:r>
      <w:r w:rsidR="00CA2522" w:rsidRPr="009B3B04">
        <w:rPr>
          <w:rFonts w:ascii="Gadugi" w:hAnsi="Gadugi"/>
          <w:sz w:val="24"/>
          <w:szCs w:val="24"/>
        </w:rPr>
        <w:t>E insiste en la libertad probatoria</w:t>
      </w:r>
      <w:r w:rsidR="00CA2522" w:rsidRPr="009B3B04">
        <w:rPr>
          <w:rStyle w:val="Refdenotaalpie"/>
          <w:rFonts w:ascii="Gadugi" w:hAnsi="Gadugi"/>
          <w:sz w:val="24"/>
          <w:szCs w:val="24"/>
        </w:rPr>
        <w:footnoteReference w:id="7"/>
      </w:r>
      <w:r w:rsidR="00CA2522" w:rsidRPr="009B3B04">
        <w:rPr>
          <w:rFonts w:ascii="Gadugi" w:hAnsi="Gadugi"/>
          <w:sz w:val="24"/>
          <w:szCs w:val="24"/>
        </w:rPr>
        <w:t xml:space="preserve">. </w:t>
      </w:r>
    </w:p>
    <w:p w14:paraId="4A0F1DFF" w14:textId="268909B8" w:rsidR="00AB36BA" w:rsidRPr="009B3B04" w:rsidRDefault="00AB36BA" w:rsidP="00D51F17">
      <w:pPr>
        <w:pStyle w:val="Textoindependiente"/>
        <w:spacing w:line="276" w:lineRule="auto"/>
        <w:ind w:right="114"/>
        <w:jc w:val="both"/>
        <w:rPr>
          <w:rFonts w:ascii="Gadugi" w:hAnsi="Gadugi"/>
          <w:sz w:val="24"/>
          <w:szCs w:val="24"/>
        </w:rPr>
      </w:pPr>
    </w:p>
    <w:p w14:paraId="1921B9DA" w14:textId="4395C928" w:rsidR="001E5649" w:rsidRPr="009B3B04" w:rsidRDefault="00CA2522" w:rsidP="00D51F17">
      <w:pPr>
        <w:pStyle w:val="Textoindependiente"/>
        <w:spacing w:line="276" w:lineRule="auto"/>
        <w:ind w:right="114"/>
        <w:jc w:val="both"/>
        <w:rPr>
          <w:rFonts w:ascii="Gadugi" w:hAnsi="Gadugi"/>
          <w:sz w:val="24"/>
          <w:szCs w:val="24"/>
        </w:rPr>
      </w:pPr>
      <w:r w:rsidRPr="009B3B04">
        <w:rPr>
          <w:rFonts w:ascii="Gadugi" w:hAnsi="Gadugi"/>
          <w:sz w:val="24"/>
          <w:szCs w:val="24"/>
        </w:rPr>
        <w:t>La reposición fracasó</w:t>
      </w:r>
      <w:r w:rsidRPr="009B3B04">
        <w:rPr>
          <w:rStyle w:val="Refdenotaalpie"/>
          <w:rFonts w:ascii="Gadugi" w:hAnsi="Gadugi"/>
          <w:sz w:val="24"/>
          <w:szCs w:val="24"/>
        </w:rPr>
        <w:footnoteReference w:id="8"/>
      </w:r>
      <w:r w:rsidR="00AC6AAF" w:rsidRPr="009B3B04">
        <w:rPr>
          <w:rFonts w:ascii="Gadugi" w:hAnsi="Gadugi"/>
          <w:sz w:val="24"/>
          <w:szCs w:val="24"/>
        </w:rPr>
        <w:t>. Comenzó el juzgado por explicar que el término concedido para probar que el ejecutado recibió el correo electrónico venció el 7 de abril y no se cumplió esa carga</w:t>
      </w:r>
      <w:r w:rsidR="00D510D6" w:rsidRPr="009B3B04">
        <w:rPr>
          <w:rFonts w:ascii="Gadugi" w:hAnsi="Gadugi"/>
          <w:sz w:val="24"/>
          <w:szCs w:val="24"/>
        </w:rPr>
        <w:t xml:space="preserve">; le dio la razón al recurrente en el sentido de que lo que importa es probar </w:t>
      </w:r>
      <w:r w:rsidR="001F33BA" w:rsidRPr="009B3B04">
        <w:rPr>
          <w:rFonts w:ascii="Gadugi" w:hAnsi="Gadugi"/>
          <w:sz w:val="24"/>
          <w:szCs w:val="24"/>
        </w:rPr>
        <w:t xml:space="preserve">el recibido, </w:t>
      </w:r>
      <w:r w:rsidR="00D510D6" w:rsidRPr="009B3B04">
        <w:rPr>
          <w:rFonts w:ascii="Gadugi" w:hAnsi="Gadugi"/>
          <w:sz w:val="24"/>
          <w:szCs w:val="24"/>
        </w:rPr>
        <w:t xml:space="preserve">con acuse de recibo u otro medio, pero le enrostró que tampoco cumplió ese cometido; y la notificación que trajo, no solo se hizo por fuera del término concedido, sino que incumple las básicas </w:t>
      </w:r>
      <w:r w:rsidR="001E5649" w:rsidRPr="009B3B04">
        <w:rPr>
          <w:rFonts w:ascii="Gadugi" w:hAnsi="Gadugi"/>
          <w:sz w:val="24"/>
          <w:szCs w:val="24"/>
        </w:rPr>
        <w:t xml:space="preserve">reglas de la notificación personal. </w:t>
      </w:r>
    </w:p>
    <w:p w14:paraId="7F473B8F" w14:textId="6AC4E5FE" w:rsidR="001E5649" w:rsidRPr="009B3B04" w:rsidRDefault="001E5649" w:rsidP="00D51F17">
      <w:pPr>
        <w:pStyle w:val="Textoindependiente"/>
        <w:spacing w:line="276" w:lineRule="auto"/>
        <w:ind w:right="114"/>
        <w:jc w:val="both"/>
        <w:rPr>
          <w:rFonts w:ascii="Gadugi" w:hAnsi="Gadugi"/>
          <w:sz w:val="24"/>
          <w:szCs w:val="24"/>
        </w:rPr>
      </w:pPr>
    </w:p>
    <w:p w14:paraId="1EB823A8" w14:textId="41870F7B" w:rsidR="001E5649" w:rsidRPr="009B3B04" w:rsidRDefault="001E5649"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El recurso de apelación fue concedido y ahora se procede a resolverlo. </w:t>
      </w:r>
    </w:p>
    <w:p w14:paraId="6048AC46" w14:textId="77777777" w:rsidR="001E5649" w:rsidRPr="009B3B04" w:rsidRDefault="001E5649" w:rsidP="00D51F17">
      <w:pPr>
        <w:pStyle w:val="Textoindependiente"/>
        <w:spacing w:line="276" w:lineRule="auto"/>
        <w:ind w:right="114"/>
        <w:jc w:val="both"/>
        <w:rPr>
          <w:rFonts w:ascii="Gadugi" w:hAnsi="Gadugi"/>
          <w:sz w:val="24"/>
          <w:szCs w:val="24"/>
        </w:rPr>
      </w:pPr>
    </w:p>
    <w:p w14:paraId="1FAEA06D" w14:textId="77777777" w:rsidR="00FD0FCD" w:rsidRPr="009B3B04" w:rsidRDefault="00143BB8" w:rsidP="00D51F17">
      <w:pPr>
        <w:pStyle w:val="Ttulo2"/>
        <w:spacing w:before="0" w:line="276" w:lineRule="auto"/>
        <w:ind w:left="0"/>
        <w:rPr>
          <w:sz w:val="24"/>
          <w:szCs w:val="24"/>
        </w:rPr>
      </w:pPr>
      <w:r w:rsidRPr="009B3B04">
        <w:rPr>
          <w:sz w:val="24"/>
          <w:szCs w:val="24"/>
        </w:rPr>
        <w:t>CONSIDERACIONES</w:t>
      </w:r>
    </w:p>
    <w:p w14:paraId="094D470C" w14:textId="77777777" w:rsidR="00FD0FCD" w:rsidRPr="009B3B04" w:rsidRDefault="00FD0FCD" w:rsidP="00D51F17">
      <w:pPr>
        <w:spacing w:line="276" w:lineRule="auto"/>
        <w:rPr>
          <w:b/>
          <w:sz w:val="24"/>
          <w:szCs w:val="24"/>
        </w:rPr>
      </w:pPr>
    </w:p>
    <w:p w14:paraId="6CEF480E" w14:textId="67601D03" w:rsidR="00FD0FCD" w:rsidRPr="009B3B04" w:rsidRDefault="00143BB8" w:rsidP="00D51F17">
      <w:pPr>
        <w:pStyle w:val="Prrafodelista"/>
        <w:numPr>
          <w:ilvl w:val="1"/>
          <w:numId w:val="2"/>
        </w:numPr>
        <w:tabs>
          <w:tab w:val="left" w:pos="284"/>
        </w:tabs>
        <w:spacing w:line="276" w:lineRule="auto"/>
        <w:ind w:left="0" w:right="120" w:firstLine="0"/>
        <w:rPr>
          <w:sz w:val="24"/>
          <w:szCs w:val="24"/>
        </w:rPr>
      </w:pPr>
      <w:r w:rsidRPr="009B3B04">
        <w:rPr>
          <w:sz w:val="24"/>
          <w:szCs w:val="24"/>
        </w:rPr>
        <w:lastRenderedPageBreak/>
        <w:t>Esta Sala unitaria Sala es competente para conocer de</w:t>
      </w:r>
      <w:r w:rsidR="00A61BBB" w:rsidRPr="009B3B04">
        <w:rPr>
          <w:sz w:val="24"/>
          <w:szCs w:val="24"/>
        </w:rPr>
        <w:t xml:space="preserve"> </w:t>
      </w:r>
      <w:r w:rsidRPr="009B3B04">
        <w:rPr>
          <w:sz w:val="24"/>
          <w:szCs w:val="24"/>
        </w:rPr>
        <w:t>la alzada, en los términos de</w:t>
      </w:r>
      <w:r w:rsidR="00B8613D" w:rsidRPr="009B3B04">
        <w:rPr>
          <w:sz w:val="24"/>
          <w:szCs w:val="24"/>
        </w:rPr>
        <w:t xml:space="preserve"> los artículos 31 y 35 del </w:t>
      </w:r>
      <w:r w:rsidRPr="009B3B04">
        <w:rPr>
          <w:sz w:val="24"/>
          <w:szCs w:val="24"/>
        </w:rPr>
        <w:t>CGP.</w:t>
      </w:r>
    </w:p>
    <w:p w14:paraId="32AC3227" w14:textId="77777777" w:rsidR="00FD0FCD" w:rsidRPr="009B3B04" w:rsidRDefault="00FD0FCD" w:rsidP="00D51F17">
      <w:pPr>
        <w:spacing w:line="276" w:lineRule="auto"/>
        <w:rPr>
          <w:sz w:val="24"/>
          <w:szCs w:val="24"/>
        </w:rPr>
      </w:pPr>
    </w:p>
    <w:p w14:paraId="130CDFC2" w14:textId="5C3DB51D" w:rsidR="00FD0FCD" w:rsidRPr="009B3B04" w:rsidRDefault="00143BB8" w:rsidP="00D51F17">
      <w:pPr>
        <w:pStyle w:val="Textoindependiente"/>
        <w:spacing w:line="276" w:lineRule="auto"/>
        <w:ind w:right="116"/>
        <w:jc w:val="both"/>
        <w:rPr>
          <w:rFonts w:ascii="Gadugi" w:hAnsi="Gadugi"/>
          <w:sz w:val="24"/>
          <w:szCs w:val="24"/>
        </w:rPr>
      </w:pPr>
      <w:r w:rsidRPr="009B3B04">
        <w:rPr>
          <w:rFonts w:ascii="Gadugi" w:hAnsi="Gadugi"/>
          <w:sz w:val="24"/>
          <w:szCs w:val="24"/>
        </w:rPr>
        <w:t xml:space="preserve">Además, el recurso es procedente, según establece el  </w:t>
      </w:r>
      <w:r w:rsidR="00B8613D" w:rsidRPr="009B3B04">
        <w:rPr>
          <w:rFonts w:ascii="Gadugi" w:hAnsi="Gadugi"/>
          <w:sz w:val="24"/>
          <w:szCs w:val="24"/>
        </w:rPr>
        <w:t xml:space="preserve">   </w:t>
      </w:r>
      <w:r w:rsidRPr="009B3B04">
        <w:rPr>
          <w:rFonts w:ascii="Gadugi" w:hAnsi="Gadugi"/>
          <w:sz w:val="24"/>
          <w:szCs w:val="24"/>
        </w:rPr>
        <w:t xml:space="preserve"> literal e) del inciso segundo del artículo 317 del mismo estatuto, fue propuesto oportunamente, por la parte legitimada para ello y se sustentó adecuadamente.</w:t>
      </w:r>
    </w:p>
    <w:p w14:paraId="6FF0C3EE" w14:textId="77777777" w:rsidR="00FD0FCD" w:rsidRPr="009B3B04" w:rsidRDefault="00FD0FCD" w:rsidP="00D51F17">
      <w:pPr>
        <w:spacing w:line="276" w:lineRule="auto"/>
        <w:rPr>
          <w:sz w:val="24"/>
          <w:szCs w:val="24"/>
        </w:rPr>
      </w:pPr>
    </w:p>
    <w:p w14:paraId="108DA955" w14:textId="466CC8D3" w:rsidR="003139E7" w:rsidRPr="009B3B04" w:rsidRDefault="00143BB8" w:rsidP="00D51F17">
      <w:pPr>
        <w:pStyle w:val="Prrafodelista"/>
        <w:numPr>
          <w:ilvl w:val="1"/>
          <w:numId w:val="2"/>
        </w:numPr>
        <w:tabs>
          <w:tab w:val="left" w:pos="284"/>
          <w:tab w:val="left" w:pos="2227"/>
        </w:tabs>
        <w:spacing w:line="276" w:lineRule="auto"/>
        <w:ind w:left="0" w:firstLine="0"/>
        <w:rPr>
          <w:sz w:val="24"/>
          <w:szCs w:val="24"/>
        </w:rPr>
      </w:pPr>
      <w:r w:rsidRPr="009B3B04">
        <w:rPr>
          <w:sz w:val="24"/>
          <w:szCs w:val="24"/>
        </w:rPr>
        <w:t xml:space="preserve">El problema que debe afrontar la Sala es si confirma </w:t>
      </w:r>
      <w:r w:rsidR="00E30D75" w:rsidRPr="009B3B04">
        <w:rPr>
          <w:sz w:val="24"/>
          <w:szCs w:val="24"/>
        </w:rPr>
        <w:t>la providencia</w:t>
      </w:r>
      <w:r w:rsidRPr="009B3B04">
        <w:rPr>
          <w:sz w:val="24"/>
          <w:szCs w:val="24"/>
        </w:rPr>
        <w:t xml:space="preserve"> que </w:t>
      </w:r>
      <w:r w:rsidR="00993E58" w:rsidRPr="009B3B04">
        <w:rPr>
          <w:sz w:val="24"/>
          <w:szCs w:val="24"/>
        </w:rPr>
        <w:t xml:space="preserve">terminó el proceso por </w:t>
      </w:r>
      <w:r w:rsidRPr="009B3B04">
        <w:rPr>
          <w:sz w:val="24"/>
          <w:szCs w:val="24"/>
        </w:rPr>
        <w:t xml:space="preserve">desistimiento tácito, pues según la tesis del juzgado corrió el término </w:t>
      </w:r>
      <w:r w:rsidR="003139E7" w:rsidRPr="009B3B04">
        <w:rPr>
          <w:sz w:val="24"/>
          <w:szCs w:val="24"/>
        </w:rPr>
        <w:t xml:space="preserve">de treinta días concedido al ejecutante para demostrar que el demandado recibió el correo electrónico con el que se le pretendía notificar el mandamiento ejecutivo; </w:t>
      </w:r>
      <w:r w:rsidRPr="009B3B04">
        <w:rPr>
          <w:sz w:val="24"/>
          <w:szCs w:val="24"/>
        </w:rPr>
        <w:t>o si se revoca, como pretende</w:t>
      </w:r>
      <w:r w:rsidR="003139E7" w:rsidRPr="009B3B04">
        <w:rPr>
          <w:sz w:val="24"/>
          <w:szCs w:val="24"/>
        </w:rPr>
        <w:t xml:space="preserve"> el recurrente, ya que esa circunstancia puede probarse por cualquier medio y, además, procedió de nuevo a la notificación. </w:t>
      </w:r>
    </w:p>
    <w:p w14:paraId="69832CDC" w14:textId="77777777" w:rsidR="003139E7" w:rsidRPr="009B3B04" w:rsidRDefault="003139E7" w:rsidP="00D51F17">
      <w:pPr>
        <w:pStyle w:val="Prrafodelista"/>
        <w:tabs>
          <w:tab w:val="left" w:pos="2227"/>
        </w:tabs>
        <w:spacing w:line="276" w:lineRule="auto"/>
        <w:ind w:left="1701" w:firstLine="0"/>
        <w:jc w:val="left"/>
        <w:rPr>
          <w:sz w:val="24"/>
          <w:szCs w:val="24"/>
        </w:rPr>
      </w:pPr>
    </w:p>
    <w:p w14:paraId="598042C1" w14:textId="5682C10E" w:rsidR="00D218EC" w:rsidRPr="009B3B04" w:rsidRDefault="003139E7" w:rsidP="00D51F17">
      <w:pPr>
        <w:pStyle w:val="Prrafodelista"/>
        <w:numPr>
          <w:ilvl w:val="1"/>
          <w:numId w:val="2"/>
        </w:numPr>
        <w:tabs>
          <w:tab w:val="left" w:pos="284"/>
        </w:tabs>
        <w:spacing w:line="276" w:lineRule="auto"/>
        <w:ind w:left="0" w:right="51" w:firstLine="0"/>
        <w:rPr>
          <w:sz w:val="24"/>
          <w:szCs w:val="24"/>
        </w:rPr>
      </w:pPr>
      <w:r w:rsidRPr="009B3B04">
        <w:rPr>
          <w:sz w:val="24"/>
          <w:szCs w:val="24"/>
        </w:rPr>
        <w:t xml:space="preserve">Sobre el desistimiento tácito, </w:t>
      </w:r>
      <w:r w:rsidR="00837EEB" w:rsidRPr="009B3B04">
        <w:rPr>
          <w:sz w:val="24"/>
          <w:szCs w:val="24"/>
        </w:rPr>
        <w:t>t</w:t>
      </w:r>
      <w:r w:rsidR="00143BB8" w:rsidRPr="009B3B04">
        <w:rPr>
          <w:sz w:val="24"/>
          <w:szCs w:val="24"/>
        </w:rPr>
        <w:t>iene dicho esta Sala</w:t>
      </w:r>
      <w:r w:rsidR="00993E58" w:rsidRPr="009B3B04">
        <w:rPr>
          <w:rStyle w:val="Refdenotaalpie"/>
          <w:sz w:val="24"/>
          <w:szCs w:val="24"/>
        </w:rPr>
        <w:footnoteReference w:id="9"/>
      </w:r>
      <w:r w:rsidR="00143BB8" w:rsidRPr="009B3B04">
        <w:rPr>
          <w:sz w:val="24"/>
          <w:szCs w:val="24"/>
        </w:rPr>
        <w:t xml:space="preserve">, </w:t>
      </w:r>
      <w:r w:rsidR="00837EEB" w:rsidRPr="009B3B04">
        <w:rPr>
          <w:sz w:val="24"/>
          <w:szCs w:val="24"/>
        </w:rPr>
        <w:t>que se traduce en una especie de sanción a cargo de la parte que actúa con desidia en el proceso</w:t>
      </w:r>
      <w:r w:rsidR="00416AF1" w:rsidRPr="009B3B04">
        <w:rPr>
          <w:sz w:val="24"/>
          <w:szCs w:val="24"/>
        </w:rPr>
        <w:t xml:space="preserve">. Y </w:t>
      </w:r>
      <w:r w:rsidR="00E41B22" w:rsidRPr="009B3B04">
        <w:rPr>
          <w:sz w:val="24"/>
          <w:szCs w:val="24"/>
        </w:rPr>
        <w:t>ha sido diseñado en el CGP desde dos aristas, que recogen lo que en estatutos y normat</w:t>
      </w:r>
      <w:r w:rsidR="00D218EC" w:rsidRPr="009B3B04">
        <w:rPr>
          <w:sz w:val="24"/>
          <w:szCs w:val="24"/>
        </w:rPr>
        <w:t>ivas anteriores se manejaba bajo los términos de perención inicialmente, y de desistimiento tácito después.</w:t>
      </w:r>
    </w:p>
    <w:p w14:paraId="1A6077E7" w14:textId="77777777" w:rsidR="00D218EC" w:rsidRPr="009B3B04" w:rsidRDefault="00D218EC" w:rsidP="00D51F17">
      <w:pPr>
        <w:pStyle w:val="Prrafodelista"/>
        <w:spacing w:line="276" w:lineRule="auto"/>
        <w:ind w:firstLine="0"/>
        <w:rPr>
          <w:sz w:val="24"/>
          <w:szCs w:val="24"/>
        </w:rPr>
      </w:pPr>
    </w:p>
    <w:p w14:paraId="422538CC" w14:textId="2644296D" w:rsidR="00D218EC" w:rsidRPr="009B3B04" w:rsidRDefault="00D218EC" w:rsidP="00D51F17">
      <w:pPr>
        <w:tabs>
          <w:tab w:val="left" w:pos="2227"/>
        </w:tabs>
        <w:spacing w:line="276" w:lineRule="auto"/>
        <w:ind w:right="51"/>
        <w:jc w:val="both"/>
        <w:rPr>
          <w:sz w:val="24"/>
          <w:szCs w:val="24"/>
        </w:rPr>
      </w:pPr>
      <w:r w:rsidRPr="009B3B04">
        <w:rPr>
          <w:sz w:val="24"/>
          <w:szCs w:val="24"/>
        </w:rPr>
        <w:t xml:space="preserve">La primera </w:t>
      </w:r>
      <w:r w:rsidR="009C7AA6" w:rsidRPr="009B3B04">
        <w:rPr>
          <w:sz w:val="24"/>
          <w:szCs w:val="24"/>
        </w:rPr>
        <w:t>forma</w:t>
      </w:r>
      <w:r w:rsidRPr="009B3B04">
        <w:rPr>
          <w:sz w:val="24"/>
          <w:szCs w:val="24"/>
        </w:rPr>
        <w:t xml:space="preserve">, que es la que aquí nos interesa, está prevista en el primer numeral del artículo 317 del CGP, en virtud del cual: </w:t>
      </w:r>
    </w:p>
    <w:p w14:paraId="1C72E98A" w14:textId="77777777" w:rsidR="00D218EC" w:rsidRPr="009B3B04" w:rsidRDefault="00D218EC" w:rsidP="00D51F17">
      <w:pPr>
        <w:tabs>
          <w:tab w:val="left" w:pos="2227"/>
        </w:tabs>
        <w:spacing w:line="276" w:lineRule="auto"/>
        <w:ind w:right="51"/>
        <w:jc w:val="both"/>
        <w:rPr>
          <w:sz w:val="24"/>
          <w:szCs w:val="24"/>
        </w:rPr>
      </w:pPr>
    </w:p>
    <w:p w14:paraId="2C428554" w14:textId="7D85E0C7" w:rsidR="00D218EC" w:rsidRPr="009B3B04" w:rsidRDefault="00D218EC" w:rsidP="005437F9">
      <w:pPr>
        <w:tabs>
          <w:tab w:val="left" w:pos="851"/>
          <w:tab w:val="left" w:pos="2227"/>
        </w:tabs>
        <w:ind w:left="426" w:right="420"/>
        <w:jc w:val="both"/>
        <w:rPr>
          <w:szCs w:val="24"/>
        </w:rPr>
      </w:pPr>
      <w:r w:rsidRPr="009B3B04">
        <w:rPr>
          <w:szCs w:val="24"/>
        </w:rPr>
        <w:t>1.</w:t>
      </w:r>
      <w:r w:rsidR="009C7AA6" w:rsidRPr="009B3B04">
        <w:rPr>
          <w:szCs w:val="24"/>
        </w:rPr>
        <w:t xml:space="preserve"> </w:t>
      </w:r>
      <w:r w:rsidRPr="009B3B04">
        <w:rPr>
          <w:szCs w:val="24"/>
        </w:rPr>
        <w:t>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estado.</w:t>
      </w:r>
    </w:p>
    <w:p w14:paraId="31262E67" w14:textId="77777777" w:rsidR="005437F9" w:rsidRPr="009B3B04" w:rsidRDefault="005437F9" w:rsidP="005437F9">
      <w:pPr>
        <w:tabs>
          <w:tab w:val="left" w:pos="851"/>
          <w:tab w:val="left" w:pos="2227"/>
        </w:tabs>
        <w:ind w:left="426" w:right="420"/>
        <w:jc w:val="both"/>
        <w:rPr>
          <w:szCs w:val="24"/>
        </w:rPr>
      </w:pPr>
    </w:p>
    <w:p w14:paraId="5DAA171B" w14:textId="44A2B5D3" w:rsidR="003A3C3D" w:rsidRPr="009B3B04" w:rsidRDefault="00D218EC" w:rsidP="005437F9">
      <w:pPr>
        <w:tabs>
          <w:tab w:val="left" w:pos="851"/>
          <w:tab w:val="left" w:pos="2227"/>
        </w:tabs>
        <w:ind w:left="426" w:right="420"/>
        <w:jc w:val="both"/>
        <w:rPr>
          <w:szCs w:val="24"/>
        </w:rPr>
      </w:pPr>
      <w:r w:rsidRPr="009B3B04">
        <w:rPr>
          <w:szCs w:val="24"/>
        </w:rPr>
        <w:t>Vencido dicho término sin que quien haya promovido el trámite respectivo cumpla la carga o realice el acto de parte ordenado, el juez tendrá por desistida tácitamente la respectiva actuación y así lo declarará en providencia en la que además impondrá condena en costas.</w:t>
      </w:r>
    </w:p>
    <w:p w14:paraId="75EF0D4C" w14:textId="77777777" w:rsidR="008151AD" w:rsidRPr="009B3B04" w:rsidRDefault="008151AD" w:rsidP="005437F9">
      <w:pPr>
        <w:tabs>
          <w:tab w:val="left" w:pos="851"/>
          <w:tab w:val="left" w:pos="2227"/>
        </w:tabs>
        <w:ind w:left="426" w:right="420"/>
        <w:jc w:val="both"/>
        <w:rPr>
          <w:szCs w:val="24"/>
        </w:rPr>
      </w:pPr>
    </w:p>
    <w:p w14:paraId="41A3FCF3" w14:textId="2F77C44A" w:rsidR="005F6621" w:rsidRPr="009B3B04" w:rsidRDefault="003A3C3D" w:rsidP="00D51F17">
      <w:pPr>
        <w:pStyle w:val="Prrafodelista"/>
        <w:spacing w:line="276" w:lineRule="auto"/>
        <w:ind w:left="0" w:firstLine="0"/>
        <w:rPr>
          <w:sz w:val="24"/>
          <w:szCs w:val="24"/>
        </w:rPr>
      </w:pPr>
      <w:r w:rsidRPr="009B3B04">
        <w:rPr>
          <w:sz w:val="24"/>
          <w:szCs w:val="24"/>
        </w:rPr>
        <w:t xml:space="preserve">Si en algún aspecto trasciende esta parte de la norma, es en el impulso que en la fase primaria del proceso incumbe al demandante con el fin de lograr la integración del contradictorio. Bien se sabe que, a la luz de las nuevas reglas de procedimiento, la carga de notificar al demandado </w:t>
      </w:r>
      <w:r w:rsidR="009C7AA6" w:rsidRPr="009B3B04">
        <w:rPr>
          <w:sz w:val="24"/>
          <w:szCs w:val="24"/>
        </w:rPr>
        <w:t>radica</w:t>
      </w:r>
      <w:r w:rsidRPr="009B3B04">
        <w:rPr>
          <w:sz w:val="24"/>
          <w:szCs w:val="24"/>
        </w:rPr>
        <w:t xml:space="preserve">, en principio, en </w:t>
      </w:r>
      <w:r w:rsidR="00D9592B" w:rsidRPr="009B3B04">
        <w:rPr>
          <w:sz w:val="24"/>
          <w:szCs w:val="24"/>
        </w:rPr>
        <w:t>el accionante</w:t>
      </w:r>
      <w:r w:rsidR="005F6621" w:rsidRPr="009B3B04">
        <w:rPr>
          <w:sz w:val="24"/>
          <w:szCs w:val="24"/>
        </w:rPr>
        <w:t xml:space="preserve"> (art. 291-3 CGP).</w:t>
      </w:r>
    </w:p>
    <w:p w14:paraId="49B4EF3A" w14:textId="77777777" w:rsidR="009C7AA6" w:rsidRPr="009B3B04" w:rsidRDefault="009C7AA6" w:rsidP="00D51F17">
      <w:pPr>
        <w:pStyle w:val="Prrafodelista"/>
        <w:spacing w:line="276" w:lineRule="auto"/>
        <w:ind w:left="0" w:firstLine="0"/>
        <w:rPr>
          <w:sz w:val="24"/>
          <w:szCs w:val="24"/>
        </w:rPr>
      </w:pPr>
    </w:p>
    <w:p w14:paraId="694C6C03" w14:textId="77777777" w:rsidR="009C7AA6" w:rsidRPr="009B3B04" w:rsidRDefault="002666E6" w:rsidP="00D51F17">
      <w:pPr>
        <w:pStyle w:val="Prrafodelista"/>
        <w:spacing w:line="276" w:lineRule="auto"/>
        <w:ind w:left="0" w:firstLine="0"/>
        <w:rPr>
          <w:sz w:val="24"/>
          <w:szCs w:val="24"/>
        </w:rPr>
      </w:pPr>
      <w:bookmarkStart w:id="4" w:name="_Hlk118205031"/>
      <w:r w:rsidRPr="009B3B04">
        <w:rPr>
          <w:sz w:val="24"/>
          <w:szCs w:val="24"/>
        </w:rPr>
        <w:t>Hoy por hoy, están vigentes, en punto a la notificación personal del demandado, las reglas del artículo 291 del CGP, a continuación de las cuales, si ella no se logra, vendrá la notificación por aviso</w:t>
      </w:r>
      <w:r w:rsidR="00D9592B" w:rsidRPr="009B3B04">
        <w:rPr>
          <w:sz w:val="24"/>
          <w:szCs w:val="24"/>
        </w:rPr>
        <w:t xml:space="preserve"> </w:t>
      </w:r>
      <w:r w:rsidRPr="009B3B04">
        <w:rPr>
          <w:sz w:val="24"/>
          <w:szCs w:val="24"/>
        </w:rPr>
        <w:t xml:space="preserve">que señala el artículo 292 de ese estatuto. </w:t>
      </w:r>
    </w:p>
    <w:p w14:paraId="17CA2473" w14:textId="77777777" w:rsidR="009C7AA6" w:rsidRPr="009B3B04" w:rsidRDefault="009C7AA6" w:rsidP="00D51F17">
      <w:pPr>
        <w:pStyle w:val="Prrafodelista"/>
        <w:spacing w:line="276" w:lineRule="auto"/>
        <w:ind w:left="0" w:firstLine="0"/>
        <w:rPr>
          <w:sz w:val="24"/>
          <w:szCs w:val="24"/>
        </w:rPr>
      </w:pPr>
    </w:p>
    <w:p w14:paraId="24CAC296" w14:textId="267D0880" w:rsidR="002666E6" w:rsidRPr="009B3B04" w:rsidRDefault="009C7AA6" w:rsidP="00D51F17">
      <w:pPr>
        <w:pStyle w:val="Prrafodelista"/>
        <w:spacing w:line="276" w:lineRule="auto"/>
        <w:ind w:left="0" w:firstLine="0"/>
        <w:rPr>
          <w:sz w:val="24"/>
          <w:szCs w:val="24"/>
        </w:rPr>
      </w:pPr>
      <w:r w:rsidRPr="009B3B04">
        <w:rPr>
          <w:sz w:val="24"/>
          <w:szCs w:val="24"/>
        </w:rPr>
        <w:lastRenderedPageBreak/>
        <w:t>Pero</w:t>
      </w:r>
      <w:r w:rsidR="002666E6" w:rsidRPr="009B3B04">
        <w:rPr>
          <w:sz w:val="24"/>
          <w:szCs w:val="24"/>
        </w:rPr>
        <w:t xml:space="preserve">, también, </w:t>
      </w:r>
      <w:bookmarkEnd w:id="4"/>
      <w:r w:rsidR="002666E6" w:rsidRPr="009B3B04">
        <w:rPr>
          <w:sz w:val="24"/>
          <w:szCs w:val="24"/>
        </w:rPr>
        <w:t xml:space="preserve">como dice el artículo </w:t>
      </w:r>
      <w:r w:rsidR="00071EEF" w:rsidRPr="009B3B04">
        <w:rPr>
          <w:sz w:val="24"/>
          <w:szCs w:val="24"/>
        </w:rPr>
        <w:t xml:space="preserve">8° de la Ley 2213 </w:t>
      </w:r>
      <w:r w:rsidR="002132E2" w:rsidRPr="009B3B04">
        <w:rPr>
          <w:sz w:val="24"/>
          <w:szCs w:val="24"/>
        </w:rPr>
        <w:t xml:space="preserve">de 2022, </w:t>
      </w:r>
      <w:r w:rsidRPr="009B3B04">
        <w:rPr>
          <w:sz w:val="24"/>
          <w:szCs w:val="24"/>
        </w:rPr>
        <w:t xml:space="preserve">que </w:t>
      </w:r>
      <w:r w:rsidR="00985378" w:rsidRPr="009B3B04">
        <w:rPr>
          <w:sz w:val="24"/>
          <w:szCs w:val="24"/>
        </w:rPr>
        <w:t xml:space="preserve">convirtió en permanente buena parte de las disposiciones del Decreto 806 de 2020, </w:t>
      </w:r>
      <w:r w:rsidR="002132E2" w:rsidRPr="009B3B04">
        <w:rPr>
          <w:sz w:val="24"/>
          <w:szCs w:val="24"/>
        </w:rPr>
        <w:t xml:space="preserve">la </w:t>
      </w:r>
      <w:r w:rsidRPr="009B3B04">
        <w:rPr>
          <w:sz w:val="24"/>
          <w:szCs w:val="24"/>
        </w:rPr>
        <w:t xml:space="preserve">notificación personal </w:t>
      </w:r>
      <w:r w:rsidR="00985378" w:rsidRPr="009B3B04">
        <w:rPr>
          <w:sz w:val="24"/>
          <w:szCs w:val="24"/>
        </w:rPr>
        <w:t xml:space="preserve">puede efectuarse </w:t>
      </w:r>
      <w:r w:rsidR="00985378" w:rsidRPr="009B3B04">
        <w:rPr>
          <w:i/>
          <w:sz w:val="24"/>
          <w:szCs w:val="24"/>
        </w:rPr>
        <w:t>“</w:t>
      </w:r>
      <w:r w:rsidR="00985378" w:rsidRPr="009B3B04">
        <w:rPr>
          <w:i/>
          <w:szCs w:val="24"/>
        </w:rPr>
        <w:t>…</w:t>
      </w:r>
      <w:r w:rsidR="005437F9" w:rsidRPr="009B3B04">
        <w:rPr>
          <w:i/>
          <w:szCs w:val="24"/>
        </w:rPr>
        <w:t xml:space="preserve"> </w:t>
      </w:r>
      <w:r w:rsidR="002666E6" w:rsidRPr="009B3B04">
        <w:rPr>
          <w:i/>
          <w:szCs w:val="24"/>
        </w:rPr>
        <w:t>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r w:rsidR="00985378" w:rsidRPr="009B3B04">
        <w:rPr>
          <w:i/>
          <w:sz w:val="24"/>
          <w:szCs w:val="24"/>
        </w:rPr>
        <w:t>”</w:t>
      </w:r>
      <w:r w:rsidR="002666E6" w:rsidRPr="009B3B04">
        <w:rPr>
          <w:sz w:val="24"/>
          <w:szCs w:val="24"/>
        </w:rPr>
        <w:t xml:space="preserve">. </w:t>
      </w:r>
      <w:r w:rsidR="00985378" w:rsidRPr="009B3B04">
        <w:rPr>
          <w:sz w:val="24"/>
          <w:szCs w:val="24"/>
        </w:rPr>
        <w:t>Y se agrega que “</w:t>
      </w:r>
      <w:r w:rsidR="00C37084" w:rsidRPr="009B3B04">
        <w:rPr>
          <w:szCs w:val="24"/>
        </w:rPr>
        <w:t>…</w:t>
      </w:r>
      <w:r w:rsidR="005437F9" w:rsidRPr="009B3B04">
        <w:rPr>
          <w:szCs w:val="24"/>
        </w:rPr>
        <w:t xml:space="preserve"> </w:t>
      </w:r>
      <w:r w:rsidR="00985378" w:rsidRPr="009B3B04">
        <w:rPr>
          <w:i/>
          <w:szCs w:val="24"/>
        </w:rPr>
        <w:t>L</w:t>
      </w:r>
      <w:r w:rsidR="002666E6" w:rsidRPr="009B3B04">
        <w:rPr>
          <w:i/>
          <w:szCs w:val="24"/>
        </w:rPr>
        <w:t xml:space="preserve">a notificación personal se entenderá realizada una vez transcurridos dos días hábiles siguientes al envío del mensaje </w:t>
      </w:r>
      <w:r w:rsidR="002666E6" w:rsidRPr="009B3B04">
        <w:rPr>
          <w:i/>
          <w:szCs w:val="24"/>
          <w:u w:val="single"/>
        </w:rPr>
        <w:t>y los términos empezarán a contarse cuando el iniciador recep</w:t>
      </w:r>
      <w:r w:rsidR="00985378" w:rsidRPr="009B3B04">
        <w:rPr>
          <w:i/>
          <w:szCs w:val="24"/>
          <w:u w:val="single"/>
        </w:rPr>
        <w:t>c</w:t>
      </w:r>
      <w:r w:rsidR="002666E6" w:rsidRPr="009B3B04">
        <w:rPr>
          <w:i/>
          <w:szCs w:val="24"/>
          <w:u w:val="single"/>
        </w:rPr>
        <w:t>ione acuse de recibo o se pueda por otro medio constatar el acceso del destinatario al mensaje</w:t>
      </w:r>
      <w:r w:rsidR="00985378" w:rsidRPr="009B3B04">
        <w:rPr>
          <w:i/>
          <w:sz w:val="24"/>
          <w:szCs w:val="24"/>
        </w:rPr>
        <w:t>”</w:t>
      </w:r>
      <w:r w:rsidR="002666E6" w:rsidRPr="009B3B04">
        <w:rPr>
          <w:i/>
          <w:sz w:val="24"/>
          <w:szCs w:val="24"/>
        </w:rPr>
        <w:t>.</w:t>
      </w:r>
    </w:p>
    <w:p w14:paraId="12628623" w14:textId="68C09F4A" w:rsidR="00C37084" w:rsidRPr="009B3B04" w:rsidRDefault="00C37084" w:rsidP="00D51F17">
      <w:pPr>
        <w:pStyle w:val="Prrafodelista"/>
        <w:spacing w:line="276" w:lineRule="auto"/>
        <w:ind w:left="0" w:firstLine="0"/>
        <w:rPr>
          <w:sz w:val="24"/>
          <w:szCs w:val="24"/>
        </w:rPr>
      </w:pPr>
    </w:p>
    <w:p w14:paraId="0AF006BD" w14:textId="25BBEEB1" w:rsidR="00C37084" w:rsidRPr="009B3B04" w:rsidRDefault="00C37084" w:rsidP="00D51F17">
      <w:pPr>
        <w:pStyle w:val="Prrafodelista"/>
        <w:spacing w:line="276" w:lineRule="auto"/>
        <w:ind w:left="0" w:firstLine="0"/>
        <w:rPr>
          <w:color w:val="000000"/>
          <w:sz w:val="24"/>
          <w:szCs w:val="24"/>
          <w:shd w:val="clear" w:color="auto" w:fill="FFFFFF"/>
        </w:rPr>
      </w:pPr>
      <w:r w:rsidRPr="009B3B04">
        <w:rPr>
          <w:sz w:val="24"/>
          <w:szCs w:val="24"/>
        </w:rPr>
        <w:t>Esta parte subrayada no estaba incluida en el citado Decreto, sin embargo, en la sentencia C-420-2020, la Corte Constitucional había condicionado el artículo 8 del mismo, en el sentido de que “</w:t>
      </w:r>
      <w:r w:rsidRPr="009B3B04">
        <w:rPr>
          <w:szCs w:val="24"/>
        </w:rPr>
        <w:t>…</w:t>
      </w:r>
      <w:r w:rsidR="005437F9" w:rsidRPr="009B3B04">
        <w:rPr>
          <w:szCs w:val="24"/>
        </w:rPr>
        <w:t xml:space="preserve"> </w:t>
      </w:r>
      <w:r w:rsidRPr="009B3B04">
        <w:rPr>
          <w:i/>
          <w:color w:val="000000"/>
          <w:szCs w:val="24"/>
          <w:shd w:val="clear" w:color="auto" w:fill="FFFFFF"/>
        </w:rPr>
        <w:t>el término allí dispuesto empezará a contarse cuando el iniciador recepcione acuse de recibo o se pueda por otro medio constatar el acceso del destinatario al mensaje…</w:t>
      </w:r>
      <w:r w:rsidRPr="009B3B04">
        <w:rPr>
          <w:i/>
          <w:color w:val="000000"/>
          <w:sz w:val="24"/>
          <w:szCs w:val="24"/>
          <w:shd w:val="clear" w:color="auto" w:fill="FFFFFF"/>
        </w:rPr>
        <w:t>”</w:t>
      </w:r>
      <w:r w:rsidRPr="009B3B04">
        <w:rPr>
          <w:color w:val="000000"/>
          <w:sz w:val="24"/>
          <w:szCs w:val="24"/>
          <w:shd w:val="clear" w:color="auto" w:fill="FFFFFF"/>
        </w:rPr>
        <w:t xml:space="preserve">. </w:t>
      </w:r>
    </w:p>
    <w:p w14:paraId="53D43EFE" w14:textId="77777777" w:rsidR="00C37084" w:rsidRPr="009B3B04" w:rsidRDefault="00C37084" w:rsidP="00D51F17">
      <w:pPr>
        <w:pStyle w:val="Prrafodelista"/>
        <w:spacing w:line="276" w:lineRule="auto"/>
        <w:ind w:left="0" w:firstLine="0"/>
        <w:rPr>
          <w:sz w:val="24"/>
          <w:szCs w:val="24"/>
        </w:rPr>
      </w:pPr>
    </w:p>
    <w:p w14:paraId="29E0A8F5" w14:textId="77777777" w:rsidR="00DB179E" w:rsidRPr="009B3B04" w:rsidRDefault="00DB179E" w:rsidP="00D51F17">
      <w:pPr>
        <w:pStyle w:val="Prrafodelista"/>
        <w:spacing w:line="276" w:lineRule="auto"/>
        <w:ind w:left="0" w:firstLine="0"/>
        <w:rPr>
          <w:sz w:val="24"/>
          <w:szCs w:val="24"/>
        </w:rPr>
      </w:pPr>
      <w:r w:rsidRPr="009B3B04">
        <w:rPr>
          <w:sz w:val="24"/>
          <w:szCs w:val="24"/>
        </w:rPr>
        <w:t xml:space="preserve">Vigentes ambas formas de notificación, lo que sí es claro es que cada una deba agotarse bajo sus propias reglas, es decir, que no debe confundirse una con otra, como lo ha explicado la Sala de casación Civil de la Corte que, en una de tales oportunidades, señaló: </w:t>
      </w:r>
    </w:p>
    <w:p w14:paraId="681240A7" w14:textId="77777777" w:rsidR="00DB179E" w:rsidRPr="009B3B04" w:rsidRDefault="00DB179E" w:rsidP="00D51F17">
      <w:pPr>
        <w:pStyle w:val="Prrafodelista"/>
        <w:spacing w:line="276" w:lineRule="auto"/>
        <w:ind w:left="0" w:firstLine="0"/>
        <w:rPr>
          <w:sz w:val="24"/>
          <w:szCs w:val="24"/>
        </w:rPr>
      </w:pPr>
    </w:p>
    <w:p w14:paraId="1F474440" w14:textId="20CEFB96" w:rsidR="00DB179E" w:rsidRPr="009B3B04" w:rsidRDefault="001146DD" w:rsidP="005437F9">
      <w:pPr>
        <w:tabs>
          <w:tab w:val="left" w:pos="851"/>
          <w:tab w:val="left" w:pos="2227"/>
        </w:tabs>
        <w:ind w:left="426" w:right="420"/>
        <w:jc w:val="both"/>
        <w:rPr>
          <w:szCs w:val="24"/>
        </w:rPr>
      </w:pPr>
      <w:r w:rsidRPr="009B3B04">
        <w:rPr>
          <w:szCs w:val="24"/>
        </w:rPr>
        <w:t>“…</w:t>
      </w:r>
      <w:r w:rsidR="005437F9" w:rsidRPr="009B3B04">
        <w:rPr>
          <w:szCs w:val="24"/>
        </w:rPr>
        <w:t xml:space="preserve"> </w:t>
      </w:r>
      <w:r w:rsidR="00DB179E" w:rsidRPr="009B3B04">
        <w:rPr>
          <w:szCs w:val="24"/>
        </w:rPr>
        <w:t>el interesado en practicar la notificación personal de aquellas providencias que deban ser notificadas de esa manera tiene dos posibilidades en vigencia del Decreto 806. La primera, notificar a través de correo electrónico, como lo prevé el canon 8° de ese compendio normativo. Y, la segunda, hacerlo de acuerdo con los artículos 291 y 292 del Código General del Proceso. Dependiendo de cuál opción escoja, deberá ajustarse a las pautas consagradas para cada una de ellas, a fin de que el acto se cumpla en debida forma</w:t>
      </w:r>
      <w:r w:rsidRPr="009B3B04">
        <w:rPr>
          <w:szCs w:val="24"/>
        </w:rPr>
        <w:t>..</w:t>
      </w:r>
      <w:r w:rsidR="00DB179E" w:rsidRPr="009B3B04">
        <w:rPr>
          <w:szCs w:val="24"/>
        </w:rPr>
        <w:t>.</w:t>
      </w:r>
      <w:r w:rsidRPr="009B3B04">
        <w:rPr>
          <w:szCs w:val="24"/>
        </w:rPr>
        <w:t>”</w:t>
      </w:r>
    </w:p>
    <w:p w14:paraId="40ABCB06" w14:textId="2ABE781A" w:rsidR="00C37084" w:rsidRPr="009B3B04" w:rsidRDefault="00C37084" w:rsidP="00D51F17">
      <w:pPr>
        <w:pStyle w:val="Prrafodelista"/>
        <w:spacing w:line="276" w:lineRule="auto"/>
        <w:ind w:left="0" w:firstLine="0"/>
        <w:rPr>
          <w:sz w:val="24"/>
          <w:szCs w:val="24"/>
        </w:rPr>
      </w:pPr>
      <w:r w:rsidRPr="009B3B04">
        <w:rPr>
          <w:sz w:val="24"/>
          <w:szCs w:val="24"/>
        </w:rPr>
        <w:t xml:space="preserve"> </w:t>
      </w:r>
    </w:p>
    <w:p w14:paraId="272262DD" w14:textId="2832B038" w:rsidR="00DD3D0E" w:rsidRPr="009B3B04" w:rsidRDefault="00DD3D0E" w:rsidP="00D51F17">
      <w:pPr>
        <w:pStyle w:val="Textoindependiente"/>
        <w:numPr>
          <w:ilvl w:val="1"/>
          <w:numId w:val="2"/>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 xml:space="preserve">Al descender </w:t>
      </w:r>
      <w:r w:rsidR="001146DD" w:rsidRPr="009B3B04">
        <w:rPr>
          <w:rFonts w:ascii="Gadugi" w:hAnsi="Gadugi"/>
          <w:sz w:val="24"/>
          <w:szCs w:val="24"/>
        </w:rPr>
        <w:t xml:space="preserve">al caso concreto, </w:t>
      </w:r>
      <w:r w:rsidRPr="009B3B04">
        <w:rPr>
          <w:rFonts w:ascii="Gadugi" w:hAnsi="Gadugi"/>
          <w:sz w:val="24"/>
          <w:szCs w:val="24"/>
        </w:rPr>
        <w:t xml:space="preserve">se halla lo siguiente: </w:t>
      </w:r>
    </w:p>
    <w:p w14:paraId="1C9ADBDC" w14:textId="3AD7F1BE" w:rsidR="00DD3D0E" w:rsidRPr="009B3B04" w:rsidRDefault="00DD3D0E" w:rsidP="00D51F17">
      <w:pPr>
        <w:pStyle w:val="Textoindependiente"/>
        <w:spacing w:line="276" w:lineRule="auto"/>
        <w:ind w:right="117"/>
        <w:jc w:val="both"/>
        <w:rPr>
          <w:rFonts w:ascii="Gadugi" w:hAnsi="Gadugi"/>
          <w:sz w:val="24"/>
          <w:szCs w:val="24"/>
        </w:rPr>
      </w:pPr>
    </w:p>
    <w:p w14:paraId="057C0B2B" w14:textId="7124D1C0" w:rsidR="001146DD" w:rsidRPr="009B3B04" w:rsidRDefault="001146DD" w:rsidP="00D51F17">
      <w:pPr>
        <w:pStyle w:val="Textoindependiente"/>
        <w:numPr>
          <w:ilvl w:val="0"/>
          <w:numId w:val="4"/>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El mandamiento ejecutivo se libró el 10 de marzo de 2020.</w:t>
      </w:r>
    </w:p>
    <w:p w14:paraId="2C8FA88A" w14:textId="71D0A39C" w:rsidR="001146DD" w:rsidRPr="009B3B04" w:rsidRDefault="001146DD" w:rsidP="00D51F17">
      <w:pPr>
        <w:pStyle w:val="Textoindependiente"/>
        <w:tabs>
          <w:tab w:val="left" w:pos="284"/>
        </w:tabs>
        <w:spacing w:line="276" w:lineRule="auto"/>
        <w:ind w:right="117"/>
        <w:jc w:val="both"/>
        <w:rPr>
          <w:rFonts w:ascii="Gadugi" w:hAnsi="Gadugi"/>
          <w:sz w:val="24"/>
          <w:szCs w:val="24"/>
        </w:rPr>
      </w:pPr>
    </w:p>
    <w:p w14:paraId="1D76CE2F" w14:textId="03B14FF2" w:rsidR="001146DD" w:rsidRPr="009B3B04" w:rsidRDefault="001146DD" w:rsidP="00D51F17">
      <w:pPr>
        <w:pStyle w:val="Textoindependiente"/>
        <w:numPr>
          <w:ilvl w:val="0"/>
          <w:numId w:val="4"/>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 xml:space="preserve">Con soporte en el Decreto 806 de 2020, el ejecutante </w:t>
      </w:r>
      <w:r w:rsidR="000777B9" w:rsidRPr="009B3B04">
        <w:rPr>
          <w:rFonts w:ascii="Gadugi" w:hAnsi="Gadugi"/>
          <w:sz w:val="24"/>
          <w:szCs w:val="24"/>
        </w:rPr>
        <w:t>remitió al ejecutado la notificación el 8 de septiembre de 2021</w:t>
      </w:r>
      <w:r w:rsidR="000777B9" w:rsidRPr="009B3B04">
        <w:rPr>
          <w:rStyle w:val="Refdenotaalpie"/>
          <w:rFonts w:ascii="Gadugi" w:hAnsi="Gadugi"/>
          <w:sz w:val="24"/>
          <w:szCs w:val="24"/>
        </w:rPr>
        <w:footnoteReference w:id="10"/>
      </w:r>
      <w:r w:rsidR="000777B9" w:rsidRPr="009B3B04">
        <w:rPr>
          <w:rFonts w:ascii="Gadugi" w:hAnsi="Gadugi"/>
          <w:sz w:val="24"/>
          <w:szCs w:val="24"/>
        </w:rPr>
        <w:t xml:space="preserve">. Pero no acompañó prueba del acuse de recibo o de que el demandado recibió el correo. </w:t>
      </w:r>
    </w:p>
    <w:p w14:paraId="00CB9C7A" w14:textId="77777777" w:rsidR="000777B9" w:rsidRPr="009B3B04" w:rsidRDefault="000777B9" w:rsidP="00D51F17">
      <w:pPr>
        <w:pStyle w:val="Prrafodelista"/>
        <w:tabs>
          <w:tab w:val="left" w:pos="284"/>
        </w:tabs>
        <w:spacing w:line="276" w:lineRule="auto"/>
        <w:ind w:left="0" w:firstLine="0"/>
        <w:rPr>
          <w:sz w:val="24"/>
          <w:szCs w:val="24"/>
        </w:rPr>
      </w:pPr>
    </w:p>
    <w:p w14:paraId="4454B5B4" w14:textId="4092EB7F" w:rsidR="000777B9" w:rsidRPr="009B3B04" w:rsidRDefault="000777B9" w:rsidP="00D51F17">
      <w:pPr>
        <w:pStyle w:val="Textoindependiente"/>
        <w:numPr>
          <w:ilvl w:val="0"/>
          <w:numId w:val="4"/>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 xml:space="preserve">Fue conminado por el juzgado para que, en cumplimiento de la sentencia de la Corte, aportara esa trazabilidad, lo cual ocurrió con auto del 3 de noviembre de 2021. </w:t>
      </w:r>
    </w:p>
    <w:p w14:paraId="32E0D328" w14:textId="77777777" w:rsidR="000777B9" w:rsidRPr="009B3B04" w:rsidRDefault="000777B9" w:rsidP="00D51F17">
      <w:pPr>
        <w:pStyle w:val="Prrafodelista"/>
        <w:tabs>
          <w:tab w:val="left" w:pos="284"/>
        </w:tabs>
        <w:spacing w:line="276" w:lineRule="auto"/>
        <w:ind w:left="0" w:firstLine="0"/>
        <w:rPr>
          <w:sz w:val="24"/>
          <w:szCs w:val="24"/>
        </w:rPr>
      </w:pPr>
    </w:p>
    <w:p w14:paraId="5F614D56" w14:textId="213CF089" w:rsidR="000777B9" w:rsidRPr="009B3B04" w:rsidRDefault="000777B9" w:rsidP="00D51F17">
      <w:pPr>
        <w:pStyle w:val="Textoindependiente"/>
        <w:numPr>
          <w:ilvl w:val="0"/>
          <w:numId w:val="4"/>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 xml:space="preserve">Como no </w:t>
      </w:r>
      <w:r w:rsidR="00107112" w:rsidRPr="009B3B04">
        <w:rPr>
          <w:rFonts w:ascii="Gadugi" w:hAnsi="Gadugi"/>
          <w:sz w:val="24"/>
          <w:szCs w:val="24"/>
        </w:rPr>
        <w:t xml:space="preserve">acató ese requerimiento, el 22 de febrero de 2022, se le hizo saber que contaba con 30 días para proceder como se le mandó, so pena de que se declarara el </w:t>
      </w:r>
      <w:r w:rsidR="00107112" w:rsidRPr="009B3B04">
        <w:rPr>
          <w:rFonts w:ascii="Gadugi" w:hAnsi="Gadugi"/>
          <w:sz w:val="24"/>
          <w:szCs w:val="24"/>
        </w:rPr>
        <w:lastRenderedPageBreak/>
        <w:t xml:space="preserve">desistimiento tácito. Es decir, la primera forma de terminación que prevé el artículo 317 mencionado. </w:t>
      </w:r>
    </w:p>
    <w:p w14:paraId="0EFB1322" w14:textId="77777777" w:rsidR="00107112" w:rsidRPr="009B3B04" w:rsidRDefault="00107112" w:rsidP="00D51F17">
      <w:pPr>
        <w:pStyle w:val="Prrafodelista"/>
        <w:tabs>
          <w:tab w:val="left" w:pos="284"/>
        </w:tabs>
        <w:spacing w:line="276" w:lineRule="auto"/>
        <w:ind w:left="0" w:firstLine="0"/>
        <w:rPr>
          <w:sz w:val="24"/>
          <w:szCs w:val="24"/>
        </w:rPr>
      </w:pPr>
    </w:p>
    <w:p w14:paraId="39E48625" w14:textId="4C9F99D7" w:rsidR="00107112" w:rsidRPr="009B3B04" w:rsidRDefault="00107112" w:rsidP="00D51F17">
      <w:pPr>
        <w:pStyle w:val="Textoindependiente"/>
        <w:numPr>
          <w:ilvl w:val="0"/>
          <w:numId w:val="4"/>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 xml:space="preserve">Sin embargo, pasó ese término con creces, pues venció el 7 de abril de 2022, y ello dio lugar a que el 11 de mayo, más de un mes después, el Juzgado procediera como le advirtió, esto es, a terminar el proceso por desistimiento tácito. </w:t>
      </w:r>
    </w:p>
    <w:p w14:paraId="520684CE" w14:textId="77777777" w:rsidR="00107112" w:rsidRPr="009B3B04" w:rsidRDefault="00107112" w:rsidP="00D51F17">
      <w:pPr>
        <w:pStyle w:val="Prrafodelista"/>
        <w:tabs>
          <w:tab w:val="left" w:pos="284"/>
        </w:tabs>
        <w:spacing w:line="276" w:lineRule="auto"/>
        <w:ind w:left="0" w:firstLine="0"/>
        <w:rPr>
          <w:sz w:val="24"/>
          <w:szCs w:val="24"/>
        </w:rPr>
      </w:pPr>
    </w:p>
    <w:p w14:paraId="7A9A3B7B" w14:textId="35C0CE20" w:rsidR="00563772" w:rsidRPr="009B3B04" w:rsidRDefault="00107112" w:rsidP="00D51F17">
      <w:pPr>
        <w:pStyle w:val="Textoindependiente"/>
        <w:numPr>
          <w:ilvl w:val="0"/>
          <w:numId w:val="4"/>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 xml:space="preserve">Esa decisión fue recurrida por </w:t>
      </w:r>
      <w:r w:rsidR="00563772" w:rsidRPr="009B3B04">
        <w:rPr>
          <w:rFonts w:ascii="Gadugi" w:hAnsi="Gadugi"/>
          <w:sz w:val="24"/>
          <w:szCs w:val="24"/>
        </w:rPr>
        <w:t>la asesora judicial del demandante, quien adujo que el 10 de mayo le remitió al demandado la “</w:t>
      </w:r>
      <w:r w:rsidR="00563772" w:rsidRPr="009B3B04">
        <w:rPr>
          <w:rFonts w:ascii="Gadugi" w:hAnsi="Gadugi"/>
          <w:i/>
          <w:sz w:val="22"/>
          <w:szCs w:val="24"/>
        </w:rPr>
        <w:t>notificación personal</w:t>
      </w:r>
      <w:r w:rsidR="00563772" w:rsidRPr="009B3B04">
        <w:rPr>
          <w:rFonts w:ascii="Gadugi" w:hAnsi="Gadugi"/>
          <w:i/>
          <w:sz w:val="24"/>
          <w:szCs w:val="24"/>
        </w:rPr>
        <w:t xml:space="preserve">” </w:t>
      </w:r>
      <w:r w:rsidR="00563772" w:rsidRPr="009B3B04">
        <w:rPr>
          <w:rFonts w:ascii="Gadugi" w:hAnsi="Gadugi"/>
          <w:sz w:val="24"/>
          <w:szCs w:val="24"/>
        </w:rPr>
        <w:t xml:space="preserve">vía correo certificado, a la carrera 8 No. </w:t>
      </w:r>
      <w:r w:rsidR="008019A0" w:rsidRPr="009B3B04">
        <w:rPr>
          <w:rFonts w:ascii="Gadugi" w:hAnsi="Gadugi"/>
          <w:sz w:val="24"/>
          <w:szCs w:val="24"/>
        </w:rPr>
        <w:t xml:space="preserve">25-17 de Pereira. </w:t>
      </w:r>
      <w:r w:rsidR="00563772" w:rsidRPr="009B3B04">
        <w:rPr>
          <w:rFonts w:ascii="Gadugi" w:hAnsi="Gadugi"/>
          <w:sz w:val="24"/>
          <w:szCs w:val="24"/>
        </w:rPr>
        <w:t xml:space="preserve">En esa misiva, le </w:t>
      </w:r>
      <w:r w:rsidR="008019A0" w:rsidRPr="009B3B04">
        <w:rPr>
          <w:rFonts w:ascii="Gadugi" w:hAnsi="Gadugi"/>
          <w:sz w:val="24"/>
          <w:szCs w:val="24"/>
        </w:rPr>
        <w:t xml:space="preserve">advirtió a Gustavo Adolfo Salinas Rendón, que </w:t>
      </w:r>
      <w:r w:rsidR="008019A0" w:rsidRPr="009B3B04">
        <w:rPr>
          <w:rFonts w:ascii="Gadugi" w:hAnsi="Gadugi"/>
          <w:i/>
          <w:sz w:val="24"/>
          <w:szCs w:val="24"/>
        </w:rPr>
        <w:t>“</w:t>
      </w:r>
      <w:r w:rsidR="008019A0" w:rsidRPr="009B3B04">
        <w:rPr>
          <w:rFonts w:ascii="Gadugi" w:hAnsi="Gadugi"/>
          <w:i/>
          <w:sz w:val="22"/>
          <w:szCs w:val="24"/>
        </w:rPr>
        <w:t>…</w:t>
      </w:r>
      <w:r w:rsidR="005437F9" w:rsidRPr="009B3B04">
        <w:rPr>
          <w:rFonts w:ascii="Gadugi" w:hAnsi="Gadugi"/>
          <w:i/>
          <w:sz w:val="22"/>
          <w:szCs w:val="24"/>
        </w:rPr>
        <w:t xml:space="preserve"> </w:t>
      </w:r>
      <w:r w:rsidR="008019A0" w:rsidRPr="009B3B04">
        <w:rPr>
          <w:rFonts w:ascii="Gadugi" w:hAnsi="Gadugi"/>
          <w:i/>
          <w:sz w:val="22"/>
          <w:szCs w:val="24"/>
        </w:rPr>
        <w:t>usted queda notificado del auto de fecha marzo 10 de 2020</w:t>
      </w:r>
      <w:r w:rsidR="008019A0" w:rsidRPr="009B3B04">
        <w:rPr>
          <w:rFonts w:ascii="Gadugi" w:hAnsi="Gadugi"/>
          <w:i/>
          <w:sz w:val="24"/>
          <w:szCs w:val="24"/>
        </w:rPr>
        <w:t>”</w:t>
      </w:r>
      <w:r w:rsidR="008019A0" w:rsidRPr="009B3B04">
        <w:rPr>
          <w:rFonts w:ascii="Gadugi" w:hAnsi="Gadugi"/>
          <w:sz w:val="24"/>
          <w:szCs w:val="24"/>
        </w:rPr>
        <w:t xml:space="preserve">; y en seguida, le advierte que debe comparecer al juzgado en un término de cinco días para la comunicación de esa providencia, y de no hacerlo </w:t>
      </w:r>
      <w:r w:rsidR="008019A0" w:rsidRPr="009B3B04">
        <w:rPr>
          <w:rFonts w:ascii="Gadugi" w:hAnsi="Gadugi"/>
          <w:i/>
          <w:sz w:val="24"/>
          <w:szCs w:val="24"/>
        </w:rPr>
        <w:t>“</w:t>
      </w:r>
      <w:r w:rsidR="008019A0" w:rsidRPr="009B3B04">
        <w:rPr>
          <w:rFonts w:ascii="Gadugi" w:hAnsi="Gadugi"/>
          <w:i/>
          <w:sz w:val="22"/>
          <w:szCs w:val="24"/>
        </w:rPr>
        <w:t xml:space="preserve">se le notificará por </w:t>
      </w:r>
      <w:r w:rsidR="008019A0" w:rsidRPr="009B3B04">
        <w:rPr>
          <w:rFonts w:ascii="Gadugi" w:hAnsi="Gadugi"/>
          <w:i/>
          <w:sz w:val="22"/>
          <w:szCs w:val="24"/>
          <w:u w:val="single"/>
        </w:rPr>
        <w:t>aviso</w:t>
      </w:r>
      <w:r w:rsidR="008019A0" w:rsidRPr="009B3B04">
        <w:rPr>
          <w:rFonts w:ascii="Gadugi" w:hAnsi="Gadugi"/>
          <w:i/>
          <w:sz w:val="22"/>
          <w:szCs w:val="24"/>
        </w:rPr>
        <w:t xml:space="preserve"> se le </w:t>
      </w:r>
      <w:r w:rsidR="008019A0" w:rsidRPr="009B3B04">
        <w:rPr>
          <w:rFonts w:ascii="Gadugi" w:hAnsi="Gadugi"/>
          <w:i/>
          <w:sz w:val="22"/>
          <w:szCs w:val="24"/>
          <w:u w:val="single"/>
        </w:rPr>
        <w:t>emplazará</w:t>
      </w:r>
      <w:r w:rsidR="008019A0" w:rsidRPr="009B3B04">
        <w:rPr>
          <w:rFonts w:ascii="Gadugi" w:hAnsi="Gadugi"/>
          <w:i/>
          <w:sz w:val="24"/>
          <w:szCs w:val="24"/>
        </w:rPr>
        <w:t xml:space="preserve">” </w:t>
      </w:r>
      <w:r w:rsidR="008019A0" w:rsidRPr="009B3B04">
        <w:rPr>
          <w:rFonts w:ascii="Gadugi" w:hAnsi="Gadugi"/>
          <w:sz w:val="24"/>
          <w:szCs w:val="24"/>
        </w:rPr>
        <w:t>(sic).</w:t>
      </w:r>
      <w:r w:rsidR="00563772" w:rsidRPr="009B3B04">
        <w:rPr>
          <w:rFonts w:ascii="Gadugi" w:hAnsi="Gadugi"/>
          <w:sz w:val="24"/>
          <w:szCs w:val="24"/>
        </w:rPr>
        <w:t xml:space="preserve"> </w:t>
      </w:r>
    </w:p>
    <w:p w14:paraId="1FAD3D5E" w14:textId="760C69D5" w:rsidR="001146DD" w:rsidRPr="009B3B04" w:rsidRDefault="001146DD" w:rsidP="00D51F17">
      <w:pPr>
        <w:pStyle w:val="Textoindependiente"/>
        <w:spacing w:line="276" w:lineRule="auto"/>
        <w:ind w:right="117"/>
        <w:jc w:val="both"/>
        <w:rPr>
          <w:rFonts w:ascii="Gadugi" w:hAnsi="Gadugi"/>
          <w:sz w:val="24"/>
          <w:szCs w:val="24"/>
        </w:rPr>
      </w:pPr>
    </w:p>
    <w:p w14:paraId="7CAA2BCF" w14:textId="1E26EEF1" w:rsidR="00AC7CE1" w:rsidRPr="009B3B04" w:rsidRDefault="00594977" w:rsidP="00D51F17">
      <w:pPr>
        <w:pStyle w:val="Textoindependiente"/>
        <w:numPr>
          <w:ilvl w:val="1"/>
          <w:numId w:val="2"/>
        </w:numPr>
        <w:tabs>
          <w:tab w:val="left" w:pos="284"/>
        </w:tabs>
        <w:spacing w:line="276" w:lineRule="auto"/>
        <w:ind w:left="0" w:right="114" w:firstLine="0"/>
        <w:jc w:val="both"/>
        <w:rPr>
          <w:rFonts w:ascii="Gadugi" w:hAnsi="Gadugi"/>
          <w:sz w:val="24"/>
          <w:szCs w:val="24"/>
        </w:rPr>
      </w:pPr>
      <w:r>
        <w:rPr>
          <w:rFonts w:ascii="Gadugi" w:hAnsi="Gadugi"/>
          <w:sz w:val="24"/>
          <w:szCs w:val="24"/>
        </w:rPr>
        <w:t xml:space="preserve"> </w:t>
      </w:r>
      <w:r w:rsidR="00AC7CE1" w:rsidRPr="009B3B04">
        <w:rPr>
          <w:rFonts w:ascii="Gadugi" w:hAnsi="Gadugi"/>
          <w:sz w:val="24"/>
          <w:szCs w:val="24"/>
        </w:rPr>
        <w:t xml:space="preserve">Los argumentos de la alzada se reducen a que (i) el recibido del correo electrónico puede probarse por cualquier medio; y (ii) se procedió a notificar al ejecutado por otro medio. </w:t>
      </w:r>
    </w:p>
    <w:p w14:paraId="1886B3F2" w14:textId="3AAB553B" w:rsidR="00AC7CE1" w:rsidRPr="009B3B04" w:rsidRDefault="00AC7CE1" w:rsidP="00D51F17">
      <w:pPr>
        <w:pStyle w:val="Textoindependiente"/>
        <w:spacing w:line="276" w:lineRule="auto"/>
        <w:ind w:right="114"/>
        <w:jc w:val="both"/>
        <w:rPr>
          <w:rFonts w:ascii="Gadugi" w:hAnsi="Gadugi"/>
          <w:sz w:val="24"/>
          <w:szCs w:val="24"/>
        </w:rPr>
      </w:pPr>
    </w:p>
    <w:p w14:paraId="59F19E1C" w14:textId="4628C3D0" w:rsidR="00AC7CE1" w:rsidRPr="009B3B04" w:rsidRDefault="00AC7CE1"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Pero ninguno de ellos tiene vocación de prosperidad. </w:t>
      </w:r>
    </w:p>
    <w:p w14:paraId="24ECE40C" w14:textId="2EF55FE6" w:rsidR="00AC7CE1" w:rsidRPr="009B3B04" w:rsidRDefault="00AC7CE1" w:rsidP="00D51F17">
      <w:pPr>
        <w:pStyle w:val="Textoindependiente"/>
        <w:spacing w:line="276" w:lineRule="auto"/>
        <w:ind w:right="114"/>
        <w:jc w:val="both"/>
        <w:rPr>
          <w:rFonts w:ascii="Gadugi" w:hAnsi="Gadugi"/>
          <w:sz w:val="24"/>
          <w:szCs w:val="24"/>
        </w:rPr>
      </w:pPr>
    </w:p>
    <w:p w14:paraId="166CD598" w14:textId="120F9006" w:rsidR="00AC7CE1" w:rsidRPr="009B3B04" w:rsidRDefault="00AC7CE1"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El primero no, por cuanto nadie discute que el recurrente acierta al decir que, como lo dijo la Corte en la mentada sentencia y lo recogió la Ley 2213, la prueba del recibido no se reduce al acuse, sino que puede darse de cualquier otro modo. Pero, en todo caso, requerida la parte por el juzgado para que aportada esa prueba, guardó absoluto silencio. Ni con el acuse, ni de otro modo, le demostró al funcionario que, efectivamente, el demandado recibió el correo electrónico que le envió. </w:t>
      </w:r>
    </w:p>
    <w:p w14:paraId="64B1A8EF" w14:textId="0EAAC7DF" w:rsidR="00AC7CE1" w:rsidRPr="009B3B04" w:rsidRDefault="00AC7CE1" w:rsidP="00D51F17">
      <w:pPr>
        <w:pStyle w:val="Textoindependiente"/>
        <w:spacing w:line="276" w:lineRule="auto"/>
        <w:ind w:right="114"/>
        <w:jc w:val="both"/>
        <w:rPr>
          <w:rFonts w:ascii="Gadugi" w:hAnsi="Gadugi"/>
          <w:sz w:val="24"/>
          <w:szCs w:val="24"/>
        </w:rPr>
      </w:pPr>
    </w:p>
    <w:p w14:paraId="23250A49" w14:textId="2400B54B" w:rsidR="004768F9" w:rsidRPr="009B3B04" w:rsidRDefault="00AC7CE1"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Tampoco nadie le exigió que demostrara que el señor Salinas Rendón hubiese abierto o leído el correo, como parece entenderlo; </w:t>
      </w:r>
      <w:r w:rsidR="004768F9" w:rsidRPr="009B3B04">
        <w:rPr>
          <w:rFonts w:ascii="Gadugi" w:hAnsi="Gadugi"/>
          <w:sz w:val="24"/>
          <w:szCs w:val="24"/>
        </w:rPr>
        <w:t xml:space="preserve">lo que se le pidió es que acreditara que lo recibió. Y nótese que tal requerimiento se hizo desde le mes de noviembre de 2021; ante su silencio, el Juzgado decidió, en el mes de febrero de 2022, </w:t>
      </w:r>
      <w:r w:rsidR="007D2BB6" w:rsidRPr="009B3B04">
        <w:rPr>
          <w:rFonts w:ascii="Gadugi" w:hAnsi="Gadugi"/>
          <w:sz w:val="24"/>
          <w:szCs w:val="24"/>
        </w:rPr>
        <w:t>intimarlo</w:t>
      </w:r>
      <w:r w:rsidR="004768F9" w:rsidRPr="009B3B04">
        <w:rPr>
          <w:rFonts w:ascii="Gadugi" w:hAnsi="Gadugi"/>
          <w:sz w:val="24"/>
          <w:szCs w:val="24"/>
        </w:rPr>
        <w:t xml:space="preserve"> en los términos del numeral 1 del artículo 317, para que cumpliera esa carga, </w:t>
      </w:r>
      <w:r w:rsidR="007D2BB6" w:rsidRPr="009B3B04">
        <w:rPr>
          <w:rFonts w:ascii="Gadugi" w:hAnsi="Gadugi"/>
          <w:sz w:val="24"/>
          <w:szCs w:val="24"/>
        </w:rPr>
        <w:t xml:space="preserve">pues la estimó </w:t>
      </w:r>
      <w:r w:rsidR="004768F9" w:rsidRPr="009B3B04">
        <w:rPr>
          <w:rFonts w:ascii="Gadugi" w:hAnsi="Gadugi"/>
          <w:sz w:val="24"/>
          <w:szCs w:val="24"/>
        </w:rPr>
        <w:t xml:space="preserve">necesaria </w:t>
      </w:r>
      <w:r w:rsidR="007D2BB6" w:rsidRPr="009B3B04">
        <w:rPr>
          <w:rFonts w:ascii="Gadugi" w:hAnsi="Gadugi"/>
          <w:sz w:val="24"/>
          <w:szCs w:val="24"/>
        </w:rPr>
        <w:t>con el fin de</w:t>
      </w:r>
      <w:r w:rsidR="004768F9" w:rsidRPr="009B3B04">
        <w:rPr>
          <w:rFonts w:ascii="Gadugi" w:hAnsi="Gadugi"/>
          <w:sz w:val="24"/>
          <w:szCs w:val="24"/>
        </w:rPr>
        <w:t xml:space="preserve"> poder contabilizar los términos para pagar o proponer excepciones. Pero, otra vez, guardó silencio, hasta cuando efectivamente se le puso fin al proceso, pues solo con ello reaccionó. </w:t>
      </w:r>
    </w:p>
    <w:p w14:paraId="5FF5A551" w14:textId="77777777" w:rsidR="004768F9" w:rsidRPr="009B3B04" w:rsidRDefault="004768F9" w:rsidP="00D51F17">
      <w:pPr>
        <w:pStyle w:val="Textoindependiente"/>
        <w:spacing w:line="276" w:lineRule="auto"/>
        <w:ind w:right="114"/>
        <w:jc w:val="both"/>
        <w:rPr>
          <w:rFonts w:ascii="Gadugi" w:hAnsi="Gadugi"/>
          <w:sz w:val="24"/>
          <w:szCs w:val="24"/>
        </w:rPr>
      </w:pPr>
    </w:p>
    <w:p w14:paraId="440148E9" w14:textId="6B56FD1E" w:rsidR="00A02618" w:rsidRPr="009B3B04" w:rsidRDefault="004768F9" w:rsidP="00D51F17">
      <w:pPr>
        <w:pStyle w:val="Textoindependiente"/>
        <w:spacing w:line="276" w:lineRule="auto"/>
        <w:ind w:right="114"/>
        <w:jc w:val="both"/>
        <w:rPr>
          <w:rFonts w:ascii="Gadugi" w:hAnsi="Gadugi"/>
          <w:sz w:val="24"/>
          <w:szCs w:val="24"/>
        </w:rPr>
      </w:pPr>
      <w:r w:rsidRPr="009B3B04">
        <w:rPr>
          <w:rFonts w:ascii="Gadugi" w:hAnsi="Gadugi"/>
          <w:sz w:val="24"/>
          <w:szCs w:val="24"/>
        </w:rPr>
        <w:t>Sin embargo, como bien lo destacó el juzgado, con esta nueva intervención nada logró, ya que, de un lado, sin mayor dificultad se observa que la diligencia se realizó ya sobrepasados los 30 días que se le habían concedido para impulsar el proceso, mismo que había vencido desde el 7 de abril. Y a pesar de que el juzgado demoró su resolución más de un mes, tampoco se preocupó por cumplir lo que le fue mandado</w:t>
      </w:r>
      <w:r w:rsidR="00A02618" w:rsidRPr="009B3B04">
        <w:rPr>
          <w:rFonts w:ascii="Gadugi" w:hAnsi="Gadugi"/>
          <w:sz w:val="24"/>
          <w:szCs w:val="24"/>
        </w:rPr>
        <w:t>.</w:t>
      </w:r>
    </w:p>
    <w:p w14:paraId="20EC2C08" w14:textId="77777777" w:rsidR="00A02618" w:rsidRPr="009B3B04" w:rsidRDefault="00A02618" w:rsidP="00D51F17">
      <w:pPr>
        <w:pStyle w:val="Textoindependiente"/>
        <w:spacing w:line="276" w:lineRule="auto"/>
        <w:ind w:right="114"/>
        <w:jc w:val="both"/>
        <w:rPr>
          <w:rFonts w:ascii="Gadugi" w:hAnsi="Gadugi"/>
          <w:sz w:val="24"/>
          <w:szCs w:val="24"/>
        </w:rPr>
      </w:pPr>
    </w:p>
    <w:p w14:paraId="50065687" w14:textId="6A5A2D1D" w:rsidR="004768F9" w:rsidRPr="009B3B04" w:rsidRDefault="00A02618" w:rsidP="00D51F17">
      <w:pPr>
        <w:pStyle w:val="Textoindependiente"/>
        <w:spacing w:line="276" w:lineRule="auto"/>
        <w:ind w:right="114"/>
        <w:jc w:val="both"/>
        <w:rPr>
          <w:rFonts w:ascii="Gadugi" w:hAnsi="Gadugi"/>
          <w:sz w:val="24"/>
          <w:szCs w:val="24"/>
        </w:rPr>
      </w:pPr>
      <w:r w:rsidRPr="009B3B04">
        <w:rPr>
          <w:rFonts w:ascii="Gadugi" w:hAnsi="Gadugi"/>
          <w:sz w:val="24"/>
          <w:szCs w:val="24"/>
        </w:rPr>
        <w:t xml:space="preserve">Y del otro, se entiende con la comunicación </w:t>
      </w:r>
      <w:r w:rsidR="00F915D7" w:rsidRPr="009B3B04">
        <w:rPr>
          <w:rFonts w:ascii="Gadugi" w:hAnsi="Gadugi"/>
          <w:sz w:val="24"/>
          <w:szCs w:val="24"/>
        </w:rPr>
        <w:t xml:space="preserve">remitida el 10 de mayo, </w:t>
      </w:r>
      <w:r w:rsidRPr="009B3B04">
        <w:rPr>
          <w:rFonts w:ascii="Gadugi" w:hAnsi="Gadugi"/>
          <w:sz w:val="24"/>
          <w:szCs w:val="24"/>
        </w:rPr>
        <w:t xml:space="preserve">que quiso acudir a la otra forma de notificación, esto es, la prevista en el CGP, artículos 291 y 292, con lo cual, antes que acatar </w:t>
      </w:r>
      <w:r w:rsidR="00C848E9" w:rsidRPr="009B3B04">
        <w:rPr>
          <w:rFonts w:ascii="Gadugi" w:hAnsi="Gadugi"/>
          <w:sz w:val="24"/>
          <w:szCs w:val="24"/>
        </w:rPr>
        <w:t>el requerimiento</w:t>
      </w:r>
      <w:r w:rsidRPr="009B3B04">
        <w:rPr>
          <w:rFonts w:ascii="Gadugi" w:hAnsi="Gadugi"/>
          <w:sz w:val="24"/>
          <w:szCs w:val="24"/>
        </w:rPr>
        <w:t xml:space="preserve">, dio a entender que el destinatario nunca recibió el correo electrónico. Y en adición, esa comunicación lo que hizo fue generar confusión, porque comenzó advirtiéndole al ejecutado que con ese documento quedaba notificado del mandamiento ejecutivo, contenido en el auto del 10 de marzo de 2020. Y a renglón seguido, lo que le dijo es que si no comparecía en cinco días se le notificaría por aviso o se le emplazaría. Es decir, que el demandado, si es que recibió tal comunicación, porque de ello tampoco hay prueba, se quedó sin saber, en estricto sentido, si ya estaba notificado, si apenas se le estaba previniendo, si la notificación sería personal, o por aviso, o mediante emplazamiento. Una confusión total. </w:t>
      </w:r>
      <w:r w:rsidR="004768F9" w:rsidRPr="009B3B04">
        <w:rPr>
          <w:rFonts w:ascii="Gadugi" w:hAnsi="Gadugi"/>
          <w:sz w:val="24"/>
          <w:szCs w:val="24"/>
        </w:rPr>
        <w:t xml:space="preserve"> </w:t>
      </w:r>
    </w:p>
    <w:p w14:paraId="0BBF387C" w14:textId="77777777" w:rsidR="004768F9" w:rsidRPr="009B3B04" w:rsidRDefault="004768F9" w:rsidP="00D51F17">
      <w:pPr>
        <w:pStyle w:val="Textoindependiente"/>
        <w:spacing w:line="276" w:lineRule="auto"/>
        <w:ind w:right="114"/>
        <w:jc w:val="both"/>
        <w:rPr>
          <w:rFonts w:ascii="Gadugi" w:hAnsi="Gadugi"/>
          <w:sz w:val="24"/>
          <w:szCs w:val="24"/>
        </w:rPr>
      </w:pPr>
    </w:p>
    <w:p w14:paraId="07E724AA" w14:textId="77777777" w:rsidR="00F915D7" w:rsidRPr="009B3B04" w:rsidRDefault="00F915D7" w:rsidP="00D51F17">
      <w:pPr>
        <w:pStyle w:val="Textoindependiente"/>
        <w:numPr>
          <w:ilvl w:val="1"/>
          <w:numId w:val="2"/>
        </w:numPr>
        <w:tabs>
          <w:tab w:val="left" w:pos="284"/>
        </w:tabs>
        <w:spacing w:line="276" w:lineRule="auto"/>
        <w:ind w:left="0" w:right="117" w:firstLine="0"/>
        <w:jc w:val="both"/>
        <w:rPr>
          <w:rFonts w:ascii="Gadugi" w:hAnsi="Gadugi"/>
          <w:sz w:val="24"/>
          <w:szCs w:val="24"/>
        </w:rPr>
      </w:pPr>
      <w:r w:rsidRPr="009B3B04">
        <w:rPr>
          <w:rFonts w:ascii="Gadugi" w:hAnsi="Gadugi"/>
          <w:sz w:val="24"/>
          <w:szCs w:val="24"/>
        </w:rPr>
        <w:t xml:space="preserve">Total que, nada hay que reprochar a la decisión del Juzgado; se procuró que el ejecutante impulsara el proceso con el cumplimiento de una carga que le era propia; como no lo hizo, se le requirió para que procediera de esa forma en los 30 días siguientes; aun con esa prevención, dejó pasar un mes más después de vencido aquél término y, en lugar de acatar lo dispuesto por el despacho judicial, cambió la forma de notificación, con resultados que, además de ser extemporáneos, tampoco cumplieron el cometido deseado, por la confusión creada. </w:t>
      </w:r>
    </w:p>
    <w:p w14:paraId="55C6275E" w14:textId="77777777" w:rsidR="00F915D7" w:rsidRPr="009B3B04" w:rsidRDefault="00F915D7" w:rsidP="00D51F17">
      <w:pPr>
        <w:pStyle w:val="Textoindependiente"/>
        <w:tabs>
          <w:tab w:val="left" w:pos="284"/>
        </w:tabs>
        <w:spacing w:line="276" w:lineRule="auto"/>
        <w:ind w:right="117"/>
        <w:jc w:val="both"/>
        <w:rPr>
          <w:rFonts w:ascii="Gadugi" w:hAnsi="Gadugi"/>
          <w:sz w:val="24"/>
          <w:szCs w:val="24"/>
        </w:rPr>
      </w:pPr>
    </w:p>
    <w:p w14:paraId="0D411755" w14:textId="77777777" w:rsidR="008151AD" w:rsidRPr="009B3B04" w:rsidRDefault="00F915D7" w:rsidP="00D51F17">
      <w:pPr>
        <w:pStyle w:val="Textoindependiente"/>
        <w:tabs>
          <w:tab w:val="left" w:pos="284"/>
        </w:tabs>
        <w:spacing w:line="276" w:lineRule="auto"/>
        <w:ind w:right="117"/>
        <w:jc w:val="both"/>
        <w:rPr>
          <w:rFonts w:ascii="Gadugi" w:hAnsi="Gadugi"/>
          <w:sz w:val="24"/>
          <w:szCs w:val="24"/>
        </w:rPr>
      </w:pPr>
      <w:r w:rsidRPr="009B3B04">
        <w:rPr>
          <w:rFonts w:ascii="Gadugi" w:hAnsi="Gadugi"/>
          <w:sz w:val="24"/>
          <w:szCs w:val="24"/>
        </w:rPr>
        <w:t xml:space="preserve">En consecuencia, se confirmará el auto protestado sin imponer condena en costas, ya que no aparecen causadas (art. </w:t>
      </w:r>
      <w:r w:rsidR="008151AD" w:rsidRPr="009B3B04">
        <w:rPr>
          <w:rFonts w:ascii="Gadugi" w:hAnsi="Gadugi"/>
          <w:sz w:val="24"/>
          <w:szCs w:val="24"/>
        </w:rPr>
        <w:t xml:space="preserve">365-8 CGP). </w:t>
      </w:r>
    </w:p>
    <w:p w14:paraId="5B475A1F" w14:textId="11F47BB7" w:rsidR="008151AD" w:rsidRPr="009B3B04" w:rsidRDefault="008151AD" w:rsidP="00D51F17">
      <w:pPr>
        <w:pStyle w:val="Textoindependiente"/>
        <w:tabs>
          <w:tab w:val="left" w:pos="284"/>
        </w:tabs>
        <w:spacing w:line="276" w:lineRule="auto"/>
        <w:ind w:right="117"/>
        <w:jc w:val="both"/>
        <w:rPr>
          <w:rFonts w:ascii="Gadugi" w:hAnsi="Gadugi"/>
          <w:sz w:val="24"/>
          <w:szCs w:val="24"/>
        </w:rPr>
      </w:pPr>
    </w:p>
    <w:p w14:paraId="11BA627B" w14:textId="77777777" w:rsidR="00FD0FCD" w:rsidRPr="009B3B04" w:rsidRDefault="00143BB8" w:rsidP="00D51F17">
      <w:pPr>
        <w:pStyle w:val="Ttulo2"/>
        <w:spacing w:before="0" w:line="276" w:lineRule="auto"/>
        <w:ind w:left="0"/>
        <w:rPr>
          <w:sz w:val="24"/>
          <w:szCs w:val="24"/>
        </w:rPr>
      </w:pPr>
      <w:r w:rsidRPr="009B3B04">
        <w:rPr>
          <w:sz w:val="24"/>
          <w:szCs w:val="24"/>
        </w:rPr>
        <w:t>DECISIÓN</w:t>
      </w:r>
    </w:p>
    <w:p w14:paraId="377E49CF" w14:textId="77777777" w:rsidR="00FD0FCD" w:rsidRPr="009B3B04" w:rsidRDefault="00FD0FCD" w:rsidP="00D51F17">
      <w:pPr>
        <w:spacing w:line="276" w:lineRule="auto"/>
        <w:rPr>
          <w:b/>
          <w:sz w:val="24"/>
          <w:szCs w:val="24"/>
        </w:rPr>
      </w:pPr>
    </w:p>
    <w:p w14:paraId="1EDF360C" w14:textId="6B3FEE88" w:rsidR="008151AD" w:rsidRPr="009B3B04" w:rsidRDefault="00143BB8" w:rsidP="00D51F17">
      <w:pPr>
        <w:spacing w:line="276" w:lineRule="auto"/>
        <w:ind w:right="113"/>
        <w:jc w:val="both"/>
        <w:rPr>
          <w:sz w:val="24"/>
          <w:szCs w:val="24"/>
        </w:rPr>
      </w:pPr>
      <w:r w:rsidRPr="009B3B04">
        <w:rPr>
          <w:sz w:val="24"/>
          <w:szCs w:val="24"/>
        </w:rPr>
        <w:t xml:space="preserve">En armonía con lo expuesto, el </w:t>
      </w:r>
      <w:r w:rsidRPr="009B3B04">
        <w:rPr>
          <w:b/>
          <w:sz w:val="24"/>
          <w:szCs w:val="24"/>
        </w:rPr>
        <w:t>Tribunal Superior del Distrito Judicial, Sala Unitaria Civil-Familia</w:t>
      </w:r>
      <w:r w:rsidRPr="009B3B04">
        <w:rPr>
          <w:sz w:val="24"/>
          <w:szCs w:val="24"/>
        </w:rPr>
        <w:t xml:space="preserve">, </w:t>
      </w:r>
      <w:r w:rsidRPr="009B3B04">
        <w:rPr>
          <w:b/>
          <w:sz w:val="24"/>
          <w:szCs w:val="24"/>
        </w:rPr>
        <w:t xml:space="preserve">CONFIRMA </w:t>
      </w:r>
      <w:r w:rsidR="008A51C2" w:rsidRPr="009B3B04">
        <w:rPr>
          <w:sz w:val="24"/>
          <w:szCs w:val="24"/>
        </w:rPr>
        <w:t xml:space="preserve">el auto </w:t>
      </w:r>
      <w:r w:rsidR="008151AD" w:rsidRPr="009B3B04">
        <w:rPr>
          <w:sz w:val="24"/>
          <w:szCs w:val="24"/>
        </w:rPr>
        <w:t xml:space="preserve">del 11 de mayo de 2022, proferido por el Juzgado Segundo Civil del Circuito de Pereira en este proceso ejecutivo que </w:t>
      </w:r>
      <w:r w:rsidR="008151AD" w:rsidRPr="009B3B04">
        <w:rPr>
          <w:b/>
          <w:bCs/>
          <w:sz w:val="24"/>
          <w:szCs w:val="24"/>
        </w:rPr>
        <w:t>Carlos Holmer Castaño Aguirre</w:t>
      </w:r>
      <w:r w:rsidR="008151AD" w:rsidRPr="009B3B04">
        <w:rPr>
          <w:sz w:val="24"/>
          <w:szCs w:val="24"/>
        </w:rPr>
        <w:t xml:space="preserve"> inició frente a </w:t>
      </w:r>
      <w:r w:rsidR="008151AD" w:rsidRPr="009B3B04">
        <w:rPr>
          <w:b/>
          <w:bCs/>
          <w:sz w:val="24"/>
          <w:szCs w:val="24"/>
        </w:rPr>
        <w:t>Gustavo Adolfo Salinas Rendón</w:t>
      </w:r>
      <w:r w:rsidR="008151AD" w:rsidRPr="009B3B04">
        <w:rPr>
          <w:sz w:val="24"/>
          <w:szCs w:val="24"/>
        </w:rPr>
        <w:t xml:space="preserve">. </w:t>
      </w:r>
    </w:p>
    <w:p w14:paraId="5B096422" w14:textId="0C7FD370" w:rsidR="0090386E" w:rsidRPr="009B3B04" w:rsidRDefault="0090386E" w:rsidP="00D51F17">
      <w:pPr>
        <w:spacing w:line="276" w:lineRule="auto"/>
        <w:ind w:right="113"/>
        <w:jc w:val="both"/>
        <w:rPr>
          <w:sz w:val="24"/>
          <w:szCs w:val="24"/>
        </w:rPr>
      </w:pPr>
    </w:p>
    <w:p w14:paraId="39B8CC66" w14:textId="77777777" w:rsidR="008151AD" w:rsidRPr="009B3B04" w:rsidRDefault="008151AD" w:rsidP="00D51F17">
      <w:pPr>
        <w:spacing w:line="276" w:lineRule="auto"/>
        <w:ind w:right="113"/>
        <w:jc w:val="both"/>
        <w:rPr>
          <w:sz w:val="24"/>
          <w:szCs w:val="24"/>
        </w:rPr>
      </w:pPr>
      <w:r w:rsidRPr="009B3B04">
        <w:rPr>
          <w:sz w:val="24"/>
          <w:szCs w:val="24"/>
        </w:rPr>
        <w:t xml:space="preserve">Sin costas. </w:t>
      </w:r>
    </w:p>
    <w:p w14:paraId="16920415" w14:textId="77777777" w:rsidR="008151AD" w:rsidRPr="009B3B04" w:rsidRDefault="008151AD" w:rsidP="00D51F17">
      <w:pPr>
        <w:spacing w:line="276" w:lineRule="auto"/>
        <w:ind w:right="113"/>
        <w:jc w:val="both"/>
        <w:rPr>
          <w:sz w:val="24"/>
          <w:szCs w:val="24"/>
        </w:rPr>
      </w:pPr>
    </w:p>
    <w:p w14:paraId="65AB6207" w14:textId="77777777" w:rsidR="0090386E" w:rsidRPr="009B3B04" w:rsidRDefault="0090386E" w:rsidP="00D51F17">
      <w:pPr>
        <w:pStyle w:val="Ttulo2"/>
        <w:spacing w:before="0" w:line="276" w:lineRule="auto"/>
        <w:ind w:left="0"/>
        <w:rPr>
          <w:b w:val="0"/>
          <w:sz w:val="24"/>
          <w:szCs w:val="24"/>
        </w:rPr>
      </w:pPr>
      <w:r w:rsidRPr="009B3B04">
        <w:rPr>
          <w:b w:val="0"/>
          <w:sz w:val="24"/>
          <w:szCs w:val="24"/>
        </w:rPr>
        <w:t xml:space="preserve">Notifíquese, </w:t>
      </w:r>
    </w:p>
    <w:p w14:paraId="7D4F068E" w14:textId="75E836E1" w:rsidR="0090386E" w:rsidRPr="009B3B04" w:rsidRDefault="0090386E" w:rsidP="00D51F17">
      <w:pPr>
        <w:pStyle w:val="Ttulo2"/>
        <w:spacing w:before="0" w:line="276" w:lineRule="auto"/>
        <w:ind w:left="0"/>
        <w:rPr>
          <w:sz w:val="24"/>
          <w:szCs w:val="24"/>
        </w:rPr>
      </w:pPr>
    </w:p>
    <w:p w14:paraId="688E4887" w14:textId="77777777" w:rsidR="00E30D75" w:rsidRPr="009B3B04" w:rsidRDefault="00E30D75" w:rsidP="00D51F17">
      <w:pPr>
        <w:pStyle w:val="Ttulo2"/>
        <w:spacing w:before="0" w:line="276" w:lineRule="auto"/>
        <w:ind w:left="0"/>
        <w:rPr>
          <w:sz w:val="24"/>
          <w:szCs w:val="24"/>
        </w:rPr>
      </w:pPr>
    </w:p>
    <w:p w14:paraId="42E489A5" w14:textId="77777777" w:rsidR="0090386E" w:rsidRPr="009B3B04" w:rsidRDefault="0090386E" w:rsidP="00D51F17">
      <w:pPr>
        <w:pStyle w:val="Ttulo2"/>
        <w:spacing w:before="0" w:line="276" w:lineRule="auto"/>
        <w:ind w:left="0"/>
        <w:rPr>
          <w:sz w:val="24"/>
          <w:szCs w:val="24"/>
        </w:rPr>
      </w:pPr>
    </w:p>
    <w:p w14:paraId="22764C62" w14:textId="5BBB7E2E" w:rsidR="00FD0FCD" w:rsidRPr="009B3B04" w:rsidRDefault="00143BB8" w:rsidP="00D51F17">
      <w:pPr>
        <w:pStyle w:val="Ttulo2"/>
        <w:spacing w:before="0" w:line="276" w:lineRule="auto"/>
        <w:ind w:left="0"/>
        <w:rPr>
          <w:sz w:val="24"/>
          <w:szCs w:val="24"/>
        </w:rPr>
      </w:pPr>
      <w:r w:rsidRPr="009B3B04">
        <w:rPr>
          <w:sz w:val="24"/>
          <w:szCs w:val="24"/>
        </w:rPr>
        <w:t>JAIME ALBERTO SARAZA NARANJO</w:t>
      </w:r>
    </w:p>
    <w:p w14:paraId="64A16C32" w14:textId="6CD00B61" w:rsidR="00FD0FCD" w:rsidRPr="009B3B04" w:rsidRDefault="00143BB8" w:rsidP="00D51F17">
      <w:pPr>
        <w:pStyle w:val="Textoindependiente"/>
        <w:spacing w:line="276" w:lineRule="auto"/>
        <w:rPr>
          <w:rFonts w:ascii="Gadugi" w:hAnsi="Gadugi"/>
          <w:sz w:val="24"/>
          <w:szCs w:val="24"/>
        </w:rPr>
      </w:pPr>
      <w:r w:rsidRPr="009B3B04">
        <w:rPr>
          <w:rFonts w:ascii="Gadugi" w:hAnsi="Gadugi"/>
          <w:sz w:val="24"/>
          <w:szCs w:val="24"/>
        </w:rPr>
        <w:t>Magist</w:t>
      </w:r>
      <w:r w:rsidR="002F37B7" w:rsidRPr="009B3B04">
        <w:rPr>
          <w:rFonts w:ascii="Gadugi" w:hAnsi="Gadugi"/>
          <w:sz w:val="24"/>
          <w:szCs w:val="24"/>
        </w:rPr>
        <w:t>rado</w:t>
      </w:r>
    </w:p>
    <w:sectPr w:rsidR="00FD0FCD" w:rsidRPr="009B3B04" w:rsidSect="003E360D">
      <w:footerReference w:type="default" r:id="rId11"/>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6300" w14:textId="77777777" w:rsidR="00B1724E" w:rsidRDefault="00B1724E" w:rsidP="008D52B1">
      <w:r>
        <w:separator/>
      </w:r>
    </w:p>
  </w:endnote>
  <w:endnote w:type="continuationSeparator" w:id="0">
    <w:p w14:paraId="297BFD54" w14:textId="77777777" w:rsidR="00B1724E" w:rsidRDefault="00B1724E"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gency FB" w:hAnsi="Agency FB" w:cs="Arial"/>
        <w:sz w:val="20"/>
      </w:rPr>
    </w:sdtEndPr>
    <w:sdtContent>
      <w:p w14:paraId="2F1BCD3C" w14:textId="21B3425C" w:rsidR="00BF0006" w:rsidRPr="00984623" w:rsidRDefault="00BF0006">
        <w:pPr>
          <w:pStyle w:val="Piedepgina"/>
          <w:jc w:val="right"/>
          <w:rPr>
            <w:rFonts w:ascii="Agency FB" w:hAnsi="Agency FB" w:cs="Arial"/>
            <w:sz w:val="20"/>
          </w:rPr>
        </w:pPr>
        <w:r w:rsidRPr="00984623">
          <w:rPr>
            <w:rFonts w:ascii="Agency FB" w:hAnsi="Agency FB" w:cs="Arial"/>
            <w:sz w:val="20"/>
          </w:rPr>
          <w:fldChar w:fldCharType="begin"/>
        </w:r>
        <w:r w:rsidRPr="00984623">
          <w:rPr>
            <w:rFonts w:ascii="Agency FB" w:hAnsi="Agency FB" w:cs="Arial"/>
            <w:sz w:val="20"/>
          </w:rPr>
          <w:instrText>PAGE   \* MERGEFORMAT</w:instrText>
        </w:r>
        <w:r w:rsidRPr="00984623">
          <w:rPr>
            <w:rFonts w:ascii="Agency FB" w:hAnsi="Agency FB" w:cs="Arial"/>
            <w:sz w:val="20"/>
          </w:rPr>
          <w:fldChar w:fldCharType="separate"/>
        </w:r>
        <w:r w:rsidRPr="00984623">
          <w:rPr>
            <w:rFonts w:ascii="Agency FB" w:hAnsi="Agency FB" w:cs="Arial"/>
            <w:sz w:val="20"/>
          </w:rPr>
          <w:t>2</w:t>
        </w:r>
        <w:r w:rsidRPr="00984623">
          <w:rPr>
            <w:rFonts w:ascii="Agency FB" w:hAnsi="Agency FB"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5F76" w14:textId="77777777" w:rsidR="00B1724E" w:rsidRDefault="00B1724E" w:rsidP="008D52B1">
      <w:r>
        <w:separator/>
      </w:r>
    </w:p>
  </w:footnote>
  <w:footnote w:type="continuationSeparator" w:id="0">
    <w:p w14:paraId="06F2ED53" w14:textId="77777777" w:rsidR="00B1724E" w:rsidRDefault="00B1724E" w:rsidP="008D52B1">
      <w:r>
        <w:continuationSeparator/>
      </w:r>
    </w:p>
  </w:footnote>
  <w:footnote w:id="1">
    <w:p w14:paraId="11BDACDA" w14:textId="4DAD8D70" w:rsidR="00A216E4" w:rsidRPr="00984623" w:rsidRDefault="00A216E4"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01PrimeraInstancia, 01CuadernoPrincipal, 01CuadernoPrincipalDigitalizado, p. 18</w:t>
      </w:r>
    </w:p>
  </w:footnote>
  <w:footnote w:id="2">
    <w:p w14:paraId="7B5E8737" w14:textId="4510E7D0" w:rsidR="000F252B" w:rsidRPr="00984623" w:rsidRDefault="000F252B"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CO"/>
        </w:rPr>
        <w:t xml:space="preserve">Arch. 2, p. </w:t>
      </w:r>
      <w:r w:rsidR="0082186D" w:rsidRPr="00984623">
        <w:rPr>
          <w:rFonts w:ascii="Agency FB" w:hAnsi="Agency FB"/>
          <w:lang w:val="es-CO"/>
        </w:rPr>
        <w:t>2</w:t>
      </w:r>
    </w:p>
  </w:footnote>
  <w:footnote w:id="3">
    <w:p w14:paraId="4C9AF94F" w14:textId="267DACC4" w:rsidR="00853FEF" w:rsidRPr="00984623" w:rsidRDefault="00853FEF"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CO"/>
        </w:rPr>
        <w:t>Arch. 3</w:t>
      </w:r>
    </w:p>
  </w:footnote>
  <w:footnote w:id="4">
    <w:p w14:paraId="6568DF54" w14:textId="5F219A15" w:rsidR="00FE162B" w:rsidRPr="00984623" w:rsidRDefault="00FE162B"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CO"/>
        </w:rPr>
        <w:t>Arch. 5</w:t>
      </w:r>
    </w:p>
  </w:footnote>
  <w:footnote w:id="5">
    <w:p w14:paraId="0E43838C" w14:textId="383B03B1" w:rsidR="00CF7740" w:rsidRPr="00984623" w:rsidRDefault="00CF7740"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CO"/>
        </w:rPr>
        <w:t>Arch. 7</w:t>
      </w:r>
    </w:p>
  </w:footnote>
  <w:footnote w:id="6">
    <w:p w14:paraId="31A0DDF1" w14:textId="186877EC" w:rsidR="004E0B5D" w:rsidRPr="00984623" w:rsidRDefault="004E0B5D"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CO"/>
        </w:rPr>
        <w:t>Arch. 9</w:t>
      </w:r>
    </w:p>
  </w:footnote>
  <w:footnote w:id="7">
    <w:p w14:paraId="599CEEBE" w14:textId="290B0344" w:rsidR="00CA2522" w:rsidRPr="00984623" w:rsidRDefault="00CA2522"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CO"/>
        </w:rPr>
        <w:t>Arch. 10</w:t>
      </w:r>
    </w:p>
  </w:footnote>
  <w:footnote w:id="8">
    <w:p w14:paraId="5B08FC63" w14:textId="4976F198" w:rsidR="00CA2522" w:rsidRPr="00984623" w:rsidRDefault="00CA2522"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CO"/>
        </w:rPr>
        <w:t>Arch. 13</w:t>
      </w:r>
    </w:p>
  </w:footnote>
  <w:footnote w:id="9">
    <w:p w14:paraId="001F168E" w14:textId="28E80E1A" w:rsidR="00993E58" w:rsidRPr="00984623" w:rsidRDefault="00993E58" w:rsidP="00984623">
      <w:pPr>
        <w:pStyle w:val="Textonotapie"/>
        <w:jc w:val="both"/>
        <w:rPr>
          <w:rFonts w:ascii="Agency FB" w:hAnsi="Agency FB"/>
          <w:lang w:val="es-CO"/>
        </w:rPr>
      </w:pPr>
      <w:r w:rsidRPr="00984623">
        <w:rPr>
          <w:rStyle w:val="Refdenotaalpie"/>
          <w:rFonts w:ascii="Agency FB" w:hAnsi="Agency FB"/>
        </w:rPr>
        <w:footnoteRef/>
      </w:r>
      <w:r w:rsidRPr="00984623">
        <w:rPr>
          <w:rFonts w:ascii="Agency FB" w:hAnsi="Agency FB"/>
        </w:rPr>
        <w:t xml:space="preserve"> Auto</w:t>
      </w:r>
      <w:r w:rsidRPr="00984623">
        <w:rPr>
          <w:rFonts w:ascii="Agency FB" w:hAnsi="Agency FB"/>
          <w:spacing w:val="-4"/>
        </w:rPr>
        <w:t xml:space="preserve"> </w:t>
      </w:r>
      <w:r w:rsidRPr="00984623">
        <w:rPr>
          <w:rFonts w:ascii="Agency FB" w:hAnsi="Agency FB"/>
        </w:rPr>
        <w:t>del</w:t>
      </w:r>
      <w:r w:rsidRPr="00984623">
        <w:rPr>
          <w:rFonts w:ascii="Agency FB" w:hAnsi="Agency FB"/>
          <w:spacing w:val="-2"/>
        </w:rPr>
        <w:t xml:space="preserve"> </w:t>
      </w:r>
      <w:r w:rsidRPr="00984623">
        <w:rPr>
          <w:rFonts w:ascii="Agency FB" w:hAnsi="Agency FB"/>
        </w:rPr>
        <w:t>24</w:t>
      </w:r>
      <w:r w:rsidRPr="00984623">
        <w:rPr>
          <w:rFonts w:ascii="Agency FB" w:hAnsi="Agency FB"/>
          <w:spacing w:val="-5"/>
        </w:rPr>
        <w:t xml:space="preserve"> </w:t>
      </w:r>
      <w:r w:rsidRPr="00984623">
        <w:rPr>
          <w:rFonts w:ascii="Agency FB" w:hAnsi="Agency FB"/>
        </w:rPr>
        <w:t>de</w:t>
      </w:r>
      <w:r w:rsidRPr="00984623">
        <w:rPr>
          <w:rFonts w:ascii="Agency FB" w:hAnsi="Agency FB"/>
          <w:spacing w:val="-3"/>
        </w:rPr>
        <w:t xml:space="preserve"> </w:t>
      </w:r>
      <w:r w:rsidRPr="00984623">
        <w:rPr>
          <w:rFonts w:ascii="Agency FB" w:hAnsi="Agency FB"/>
        </w:rPr>
        <w:t>noviembre</w:t>
      </w:r>
      <w:r w:rsidRPr="00984623">
        <w:rPr>
          <w:rFonts w:ascii="Agency FB" w:hAnsi="Agency FB"/>
          <w:spacing w:val="-3"/>
        </w:rPr>
        <w:t xml:space="preserve"> </w:t>
      </w:r>
      <w:r w:rsidRPr="00984623">
        <w:rPr>
          <w:rFonts w:ascii="Agency FB" w:hAnsi="Agency FB"/>
        </w:rPr>
        <w:t>de</w:t>
      </w:r>
      <w:r w:rsidRPr="00984623">
        <w:rPr>
          <w:rFonts w:ascii="Agency FB" w:hAnsi="Agency FB"/>
          <w:spacing w:val="-3"/>
        </w:rPr>
        <w:t xml:space="preserve"> </w:t>
      </w:r>
      <w:r w:rsidRPr="00984623">
        <w:rPr>
          <w:rFonts w:ascii="Agency FB" w:hAnsi="Agency FB"/>
        </w:rPr>
        <w:t>2016,</w:t>
      </w:r>
      <w:r w:rsidRPr="00984623">
        <w:rPr>
          <w:rFonts w:ascii="Agency FB" w:hAnsi="Agency FB"/>
          <w:spacing w:val="-4"/>
        </w:rPr>
        <w:t xml:space="preserve"> </w:t>
      </w:r>
      <w:r w:rsidRPr="00984623">
        <w:rPr>
          <w:rFonts w:ascii="Agency FB" w:hAnsi="Agency FB"/>
        </w:rPr>
        <w:t>expediente</w:t>
      </w:r>
      <w:r w:rsidRPr="00984623">
        <w:rPr>
          <w:rFonts w:ascii="Agency FB" w:hAnsi="Agency FB"/>
          <w:spacing w:val="-3"/>
        </w:rPr>
        <w:t xml:space="preserve"> </w:t>
      </w:r>
      <w:r w:rsidRPr="00984623">
        <w:rPr>
          <w:rFonts w:ascii="Agency FB" w:hAnsi="Agency FB"/>
        </w:rPr>
        <w:t>66400310300120110032301</w:t>
      </w:r>
    </w:p>
  </w:footnote>
  <w:footnote w:id="10">
    <w:p w14:paraId="0352CB84" w14:textId="43F77BA1" w:rsidR="000777B9" w:rsidRPr="00984623" w:rsidRDefault="000777B9" w:rsidP="00984623">
      <w:pPr>
        <w:pStyle w:val="Textonotapie"/>
        <w:jc w:val="both"/>
        <w:rPr>
          <w:rFonts w:ascii="Agency FB" w:hAnsi="Agency FB"/>
          <w:lang w:val="es-419"/>
        </w:rPr>
      </w:pPr>
      <w:r w:rsidRPr="00984623">
        <w:rPr>
          <w:rStyle w:val="Refdenotaalpie"/>
          <w:rFonts w:ascii="Agency FB" w:hAnsi="Agency FB"/>
        </w:rPr>
        <w:footnoteRef/>
      </w:r>
      <w:r w:rsidRPr="00984623">
        <w:rPr>
          <w:rFonts w:ascii="Agency FB" w:hAnsi="Agency FB"/>
        </w:rPr>
        <w:t xml:space="preserve"> </w:t>
      </w:r>
      <w:r w:rsidRPr="00984623">
        <w:rPr>
          <w:rFonts w:ascii="Agency FB" w:hAnsi="Agency FB"/>
          <w:lang w:val="es-419"/>
        </w:rPr>
        <w:t>Arch. 2,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AA0EC5"/>
    <w:multiLevelType w:val="hybridMultilevel"/>
    <w:tmpl w:val="C0309296"/>
    <w:lvl w:ilvl="0" w:tplc="17882702">
      <w:start w:val="1"/>
      <w:numFmt w:val="lowerLetter"/>
      <w:lvlText w:val="%1)"/>
      <w:lvlJc w:val="left"/>
      <w:pPr>
        <w:ind w:left="668" w:hanging="264"/>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2" w15:restartNumberingAfterBreak="0">
    <w:nsid w:val="5329099B"/>
    <w:multiLevelType w:val="hybridMultilevel"/>
    <w:tmpl w:val="3A0434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F36D4D"/>
    <w:multiLevelType w:val="hybridMultilevel"/>
    <w:tmpl w:val="3C7CDF10"/>
    <w:lvl w:ilvl="0" w:tplc="230A9E54">
      <w:start w:val="2"/>
      <w:numFmt w:val="lowerLetter"/>
      <w:lvlText w:val="%1)"/>
      <w:lvlJc w:val="left"/>
      <w:pPr>
        <w:ind w:left="102" w:hanging="308"/>
      </w:pPr>
      <w:rPr>
        <w:rFonts w:ascii="Gadugi" w:eastAsia="Gadugi" w:hAnsi="Gadugi" w:cs="Gadugi" w:hint="default"/>
        <w:w w:val="100"/>
        <w:sz w:val="28"/>
        <w:szCs w:val="28"/>
        <w:lang w:val="es-ES" w:eastAsia="en-US" w:bidi="ar-SA"/>
      </w:rPr>
    </w:lvl>
    <w:lvl w:ilvl="1" w:tplc="2CC2754C">
      <w:start w:val="1"/>
      <w:numFmt w:val="decimal"/>
      <w:lvlText w:val="%2."/>
      <w:lvlJc w:val="left"/>
      <w:pPr>
        <w:ind w:left="102" w:hanging="423"/>
      </w:pPr>
      <w:rPr>
        <w:rFonts w:ascii="Georgia" w:eastAsia="Gadugi" w:hAnsi="Georgia"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3197A"/>
    <w:rsid w:val="00065D2A"/>
    <w:rsid w:val="00070316"/>
    <w:rsid w:val="00071EEF"/>
    <w:rsid w:val="000777B9"/>
    <w:rsid w:val="00082B95"/>
    <w:rsid w:val="00086BFF"/>
    <w:rsid w:val="00095133"/>
    <w:rsid w:val="000F06A8"/>
    <w:rsid w:val="000F252B"/>
    <w:rsid w:val="0010326A"/>
    <w:rsid w:val="00107112"/>
    <w:rsid w:val="00107364"/>
    <w:rsid w:val="0010768F"/>
    <w:rsid w:val="001146DD"/>
    <w:rsid w:val="00143BB8"/>
    <w:rsid w:val="00176693"/>
    <w:rsid w:val="0018188F"/>
    <w:rsid w:val="001E5649"/>
    <w:rsid w:val="001F33BA"/>
    <w:rsid w:val="002132E2"/>
    <w:rsid w:val="00254FC2"/>
    <w:rsid w:val="002666E6"/>
    <w:rsid w:val="00280634"/>
    <w:rsid w:val="002F37B7"/>
    <w:rsid w:val="003139E7"/>
    <w:rsid w:val="00344E3D"/>
    <w:rsid w:val="0036123C"/>
    <w:rsid w:val="00382060"/>
    <w:rsid w:val="003972E7"/>
    <w:rsid w:val="003A2EDC"/>
    <w:rsid w:val="003A3C3D"/>
    <w:rsid w:val="003E360D"/>
    <w:rsid w:val="004117C9"/>
    <w:rsid w:val="00416AF1"/>
    <w:rsid w:val="00434A1A"/>
    <w:rsid w:val="004362DD"/>
    <w:rsid w:val="00445F28"/>
    <w:rsid w:val="004768F9"/>
    <w:rsid w:val="004A1992"/>
    <w:rsid w:val="004E0B5D"/>
    <w:rsid w:val="004F3C6F"/>
    <w:rsid w:val="00517412"/>
    <w:rsid w:val="00537150"/>
    <w:rsid w:val="0053741D"/>
    <w:rsid w:val="005437F9"/>
    <w:rsid w:val="0054458F"/>
    <w:rsid w:val="0056012A"/>
    <w:rsid w:val="00563772"/>
    <w:rsid w:val="00594977"/>
    <w:rsid w:val="005E6327"/>
    <w:rsid w:val="005F6621"/>
    <w:rsid w:val="00626D2C"/>
    <w:rsid w:val="00642A58"/>
    <w:rsid w:val="00690E7C"/>
    <w:rsid w:val="006E2182"/>
    <w:rsid w:val="006E62BD"/>
    <w:rsid w:val="006F4AEB"/>
    <w:rsid w:val="00703596"/>
    <w:rsid w:val="00703C24"/>
    <w:rsid w:val="00757AAD"/>
    <w:rsid w:val="0076006D"/>
    <w:rsid w:val="0077259A"/>
    <w:rsid w:val="0078297B"/>
    <w:rsid w:val="007B18A4"/>
    <w:rsid w:val="007C29AA"/>
    <w:rsid w:val="007D2BB6"/>
    <w:rsid w:val="008019A0"/>
    <w:rsid w:val="00803ED4"/>
    <w:rsid w:val="008151AD"/>
    <w:rsid w:val="0082186D"/>
    <w:rsid w:val="00837EEB"/>
    <w:rsid w:val="00853FEF"/>
    <w:rsid w:val="00861D82"/>
    <w:rsid w:val="0089270C"/>
    <w:rsid w:val="008A51C2"/>
    <w:rsid w:val="008D52B1"/>
    <w:rsid w:val="008F1D6E"/>
    <w:rsid w:val="0090386E"/>
    <w:rsid w:val="009106D3"/>
    <w:rsid w:val="0091625B"/>
    <w:rsid w:val="00927549"/>
    <w:rsid w:val="00966C7A"/>
    <w:rsid w:val="00984623"/>
    <w:rsid w:val="00985378"/>
    <w:rsid w:val="00993E58"/>
    <w:rsid w:val="009B2AFD"/>
    <w:rsid w:val="009B3B04"/>
    <w:rsid w:val="009C1EB4"/>
    <w:rsid w:val="009C7AA6"/>
    <w:rsid w:val="009F5818"/>
    <w:rsid w:val="00A02618"/>
    <w:rsid w:val="00A134D3"/>
    <w:rsid w:val="00A216E4"/>
    <w:rsid w:val="00A61BBB"/>
    <w:rsid w:val="00A66484"/>
    <w:rsid w:val="00AB36BA"/>
    <w:rsid w:val="00AC6AAF"/>
    <w:rsid w:val="00AC7CE1"/>
    <w:rsid w:val="00AF3D94"/>
    <w:rsid w:val="00AF73BD"/>
    <w:rsid w:val="00B1724E"/>
    <w:rsid w:val="00B8613D"/>
    <w:rsid w:val="00BA4231"/>
    <w:rsid w:val="00BA7C74"/>
    <w:rsid w:val="00BC1657"/>
    <w:rsid w:val="00BD4D8A"/>
    <w:rsid w:val="00BD798A"/>
    <w:rsid w:val="00BF0006"/>
    <w:rsid w:val="00BF66F8"/>
    <w:rsid w:val="00C13CF6"/>
    <w:rsid w:val="00C34631"/>
    <w:rsid w:val="00C37084"/>
    <w:rsid w:val="00C50B15"/>
    <w:rsid w:val="00C848E9"/>
    <w:rsid w:val="00CA2522"/>
    <w:rsid w:val="00CF7740"/>
    <w:rsid w:val="00D217A1"/>
    <w:rsid w:val="00D218EC"/>
    <w:rsid w:val="00D40DD6"/>
    <w:rsid w:val="00D510D6"/>
    <w:rsid w:val="00D512CC"/>
    <w:rsid w:val="00D51F17"/>
    <w:rsid w:val="00D72B6C"/>
    <w:rsid w:val="00D742F4"/>
    <w:rsid w:val="00D9592B"/>
    <w:rsid w:val="00D965BA"/>
    <w:rsid w:val="00DA569D"/>
    <w:rsid w:val="00DB179E"/>
    <w:rsid w:val="00DB5C04"/>
    <w:rsid w:val="00DD3D0E"/>
    <w:rsid w:val="00DE541D"/>
    <w:rsid w:val="00DE75C0"/>
    <w:rsid w:val="00E02E7C"/>
    <w:rsid w:val="00E045AC"/>
    <w:rsid w:val="00E271CE"/>
    <w:rsid w:val="00E30D75"/>
    <w:rsid w:val="00E41B22"/>
    <w:rsid w:val="00EF4EDC"/>
    <w:rsid w:val="00EF5031"/>
    <w:rsid w:val="00F915D7"/>
    <w:rsid w:val="00FA4D0C"/>
    <w:rsid w:val="00FD0FCD"/>
    <w:rsid w:val="00FE162B"/>
    <w:rsid w:val="00FE376E"/>
    <w:rsid w:val="00FE5D7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1AD"/>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8D52B1"/>
    <w:rPr>
      <w:sz w:val="20"/>
      <w:szCs w:val="20"/>
    </w:rPr>
  </w:style>
  <w:style w:type="character" w:customStyle="1" w:styleId="TextonotapieCar">
    <w:name w:val="Texto nota pie Car"/>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basedOn w:val="Fuentedeprrafopredeter"/>
    <w:uiPriority w:val="99"/>
    <w:semiHidden/>
    <w:unhideWhenUsed/>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paragraph" w:styleId="NormalWeb">
    <w:name w:val="Normal (Web)"/>
    <w:basedOn w:val="Normal"/>
    <w:uiPriority w:val="99"/>
    <w:unhideWhenUsed/>
    <w:rsid w:val="00D218EC"/>
    <w:pPr>
      <w:widowControl/>
      <w:autoSpaceDE/>
      <w:autoSpaceDN/>
      <w:spacing w:before="100" w:beforeAutospacing="1" w:after="100" w:afterAutospacing="1"/>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3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3.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2ACC2-AADB-4DB0-A755-DB2296E7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2305</Words>
  <Characters>12682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6</cp:revision>
  <dcterms:created xsi:type="dcterms:W3CDTF">2022-09-14T18:37:00Z</dcterms:created>
  <dcterms:modified xsi:type="dcterms:W3CDTF">2022-11-01T19:28:00Z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ies>
</file>