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B6458" w14:textId="77777777" w:rsidR="00D47190" w:rsidRPr="00D47190" w:rsidRDefault="00D47190" w:rsidP="00D4719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D4719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1A54528" w14:textId="77777777" w:rsidR="00D47190" w:rsidRPr="00D47190" w:rsidRDefault="00D47190" w:rsidP="00D47190">
      <w:pPr>
        <w:spacing w:after="0" w:line="240" w:lineRule="auto"/>
        <w:jc w:val="both"/>
        <w:rPr>
          <w:rFonts w:ascii="Arial" w:eastAsia="Times New Roman" w:hAnsi="Arial" w:cs="Arial"/>
          <w:sz w:val="20"/>
          <w:szCs w:val="20"/>
          <w:lang w:val="es-419" w:eastAsia="es-ES"/>
        </w:rPr>
      </w:pPr>
    </w:p>
    <w:p w14:paraId="3E329A71" w14:textId="77777777" w:rsidR="00D47190" w:rsidRPr="00D47190" w:rsidRDefault="00D47190" w:rsidP="00D47190">
      <w:pPr>
        <w:spacing w:after="0" w:line="240" w:lineRule="auto"/>
        <w:jc w:val="both"/>
        <w:rPr>
          <w:rFonts w:ascii="Arial" w:eastAsia="Times New Roman" w:hAnsi="Arial" w:cs="Arial"/>
          <w:sz w:val="20"/>
          <w:szCs w:val="20"/>
          <w:lang w:val="es-419" w:eastAsia="es-ES"/>
        </w:rPr>
      </w:pPr>
      <w:r w:rsidRPr="00D47190">
        <w:rPr>
          <w:rFonts w:ascii="Arial" w:eastAsia="Times New Roman" w:hAnsi="Arial" w:cs="Arial"/>
          <w:sz w:val="20"/>
          <w:szCs w:val="20"/>
          <w:lang w:val="es-419" w:eastAsia="es-ES"/>
        </w:rPr>
        <w:t xml:space="preserve">Expediente: </w:t>
      </w:r>
      <w:r w:rsidRPr="00D47190">
        <w:rPr>
          <w:rFonts w:ascii="Arial" w:eastAsia="Times New Roman" w:hAnsi="Arial" w:cs="Arial"/>
          <w:sz w:val="20"/>
          <w:szCs w:val="20"/>
          <w:lang w:val="es-419" w:eastAsia="es-ES"/>
        </w:rPr>
        <w:tab/>
        <w:t>66001311000420200008401</w:t>
      </w:r>
    </w:p>
    <w:p w14:paraId="365BB32C" w14:textId="77777777" w:rsidR="00D47190" w:rsidRPr="00D47190" w:rsidRDefault="00D47190" w:rsidP="00D47190">
      <w:pPr>
        <w:spacing w:after="0" w:line="240" w:lineRule="auto"/>
        <w:jc w:val="both"/>
        <w:rPr>
          <w:rFonts w:ascii="Arial" w:eastAsia="Times New Roman" w:hAnsi="Arial" w:cs="Arial"/>
          <w:sz w:val="20"/>
          <w:szCs w:val="20"/>
          <w:lang w:val="es-419" w:eastAsia="es-ES"/>
        </w:rPr>
      </w:pPr>
      <w:r w:rsidRPr="00D47190">
        <w:rPr>
          <w:rFonts w:ascii="Arial" w:eastAsia="Times New Roman" w:hAnsi="Arial" w:cs="Arial"/>
          <w:sz w:val="20"/>
          <w:szCs w:val="20"/>
          <w:lang w:val="es-419" w:eastAsia="es-ES"/>
        </w:rPr>
        <w:t xml:space="preserve">Proceso: </w:t>
      </w:r>
      <w:r w:rsidRPr="00D47190">
        <w:rPr>
          <w:rFonts w:ascii="Arial" w:eastAsia="Times New Roman" w:hAnsi="Arial" w:cs="Arial"/>
          <w:sz w:val="20"/>
          <w:szCs w:val="20"/>
          <w:lang w:val="es-419" w:eastAsia="es-ES"/>
        </w:rPr>
        <w:tab/>
        <w:t>Indignidad para suceder</w:t>
      </w:r>
    </w:p>
    <w:p w14:paraId="76F57BD1" w14:textId="77777777" w:rsidR="00D47190" w:rsidRPr="00D47190" w:rsidRDefault="00D47190" w:rsidP="00D47190">
      <w:pPr>
        <w:spacing w:after="0" w:line="240" w:lineRule="auto"/>
        <w:jc w:val="both"/>
        <w:rPr>
          <w:rFonts w:ascii="Arial" w:eastAsia="Times New Roman" w:hAnsi="Arial" w:cs="Arial"/>
          <w:sz w:val="20"/>
          <w:szCs w:val="20"/>
          <w:lang w:val="es-419" w:eastAsia="es-ES"/>
        </w:rPr>
      </w:pPr>
      <w:r w:rsidRPr="00D47190">
        <w:rPr>
          <w:rFonts w:ascii="Arial" w:eastAsia="Times New Roman" w:hAnsi="Arial" w:cs="Arial"/>
          <w:sz w:val="20"/>
          <w:szCs w:val="20"/>
          <w:lang w:val="es-419" w:eastAsia="es-ES"/>
        </w:rPr>
        <w:t>Demandante:</w:t>
      </w:r>
      <w:r w:rsidRPr="00D47190">
        <w:rPr>
          <w:rFonts w:ascii="Arial" w:eastAsia="Times New Roman" w:hAnsi="Arial" w:cs="Arial"/>
          <w:sz w:val="20"/>
          <w:szCs w:val="20"/>
          <w:lang w:val="es-419" w:eastAsia="es-ES"/>
        </w:rPr>
        <w:tab/>
        <w:t>Alberto Duque Isaza</w:t>
      </w:r>
    </w:p>
    <w:p w14:paraId="7A9DD56B" w14:textId="4A999970" w:rsidR="00D47190" w:rsidRPr="00D47190" w:rsidRDefault="00D47190" w:rsidP="00D47190">
      <w:pPr>
        <w:spacing w:after="0" w:line="240" w:lineRule="auto"/>
        <w:jc w:val="both"/>
        <w:rPr>
          <w:rFonts w:ascii="Arial" w:eastAsia="Times New Roman" w:hAnsi="Arial" w:cs="Arial"/>
          <w:sz w:val="20"/>
          <w:szCs w:val="20"/>
          <w:lang w:val="es-419" w:eastAsia="es-ES"/>
        </w:rPr>
      </w:pPr>
      <w:r w:rsidRPr="00D47190">
        <w:rPr>
          <w:rFonts w:ascii="Arial" w:eastAsia="Times New Roman" w:hAnsi="Arial" w:cs="Arial"/>
          <w:sz w:val="20"/>
          <w:szCs w:val="20"/>
          <w:lang w:val="es-419" w:eastAsia="es-ES"/>
        </w:rPr>
        <w:t>Demandado:</w:t>
      </w:r>
      <w:r w:rsidRPr="00D47190">
        <w:rPr>
          <w:rFonts w:ascii="Arial" w:eastAsia="Times New Roman" w:hAnsi="Arial" w:cs="Arial"/>
          <w:sz w:val="20"/>
          <w:szCs w:val="20"/>
          <w:lang w:val="es-419" w:eastAsia="es-ES"/>
        </w:rPr>
        <w:tab/>
        <w:t xml:space="preserve">Hernán Duque Isaza </w:t>
      </w:r>
      <w:r>
        <w:rPr>
          <w:rFonts w:ascii="Arial" w:eastAsia="Times New Roman" w:hAnsi="Arial" w:cs="Arial"/>
          <w:sz w:val="20"/>
          <w:szCs w:val="20"/>
          <w:lang w:val="es-419" w:eastAsia="es-ES"/>
        </w:rPr>
        <w:t xml:space="preserve">y </w:t>
      </w:r>
      <w:r w:rsidRPr="00D47190">
        <w:rPr>
          <w:rFonts w:ascii="Arial" w:eastAsia="Times New Roman" w:hAnsi="Arial" w:cs="Arial"/>
          <w:sz w:val="20"/>
          <w:szCs w:val="20"/>
          <w:lang w:val="es-419" w:eastAsia="es-ES"/>
        </w:rPr>
        <w:t>Álvaro Duque Isaza</w:t>
      </w:r>
    </w:p>
    <w:p w14:paraId="14116EA6" w14:textId="77777777" w:rsidR="00D47190" w:rsidRPr="00D47190" w:rsidRDefault="00D47190" w:rsidP="00D47190">
      <w:pPr>
        <w:spacing w:after="0" w:line="240" w:lineRule="auto"/>
        <w:jc w:val="both"/>
        <w:rPr>
          <w:rFonts w:ascii="Arial" w:eastAsia="Times New Roman" w:hAnsi="Arial" w:cs="Arial"/>
          <w:sz w:val="20"/>
          <w:szCs w:val="20"/>
          <w:lang w:val="es-419" w:eastAsia="es-ES"/>
        </w:rPr>
      </w:pPr>
    </w:p>
    <w:p w14:paraId="46987EDD" w14:textId="4C76A7C4" w:rsidR="00D47190" w:rsidRPr="00D47190" w:rsidRDefault="00AA4292" w:rsidP="00D47190">
      <w:pPr>
        <w:spacing w:after="0" w:line="240" w:lineRule="auto"/>
        <w:jc w:val="both"/>
        <w:rPr>
          <w:rFonts w:ascii="Arial" w:eastAsia="Times New Roman" w:hAnsi="Arial" w:cs="Arial"/>
          <w:sz w:val="20"/>
          <w:szCs w:val="20"/>
          <w:lang w:val="es-419" w:eastAsia="es-ES"/>
        </w:rPr>
      </w:pPr>
      <w:r w:rsidRPr="00D47190">
        <w:rPr>
          <w:rFonts w:ascii="Arial" w:eastAsia="Times New Roman" w:hAnsi="Arial" w:cs="Arial"/>
          <w:b/>
          <w:bCs/>
          <w:iCs/>
          <w:sz w:val="20"/>
          <w:szCs w:val="20"/>
          <w:u w:val="single"/>
          <w:lang w:val="es-419" w:eastAsia="fr-FR"/>
        </w:rPr>
        <w:t>TEMAS:</w:t>
      </w:r>
      <w:r w:rsidRPr="00D47190">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DECLARACIÓN DE INDIGNIDAD PARA SUCEDER / CAUSALES 3 Y 6, ARTÍCULO 1025 DEL CÓDIGO CIVIL / ABANDONO DEL CAUSANTE / LEY 1863 DE 2018 / VIGENCIA DE LA LEY EN EL TIEMPO / RETROACTIVIDAD / VALORACIÓN PROBATORIA.</w:t>
      </w:r>
    </w:p>
    <w:p w14:paraId="6347BFFF" w14:textId="0C642998" w:rsidR="00D47190" w:rsidRDefault="00D47190" w:rsidP="00D47190">
      <w:pPr>
        <w:spacing w:after="0" w:line="240" w:lineRule="auto"/>
        <w:jc w:val="both"/>
        <w:rPr>
          <w:rFonts w:ascii="Arial" w:eastAsia="Times New Roman" w:hAnsi="Arial" w:cs="Arial"/>
          <w:sz w:val="20"/>
          <w:szCs w:val="20"/>
          <w:lang w:val="es-ES" w:eastAsia="es-ES"/>
        </w:rPr>
      </w:pPr>
    </w:p>
    <w:p w14:paraId="2ED195BF" w14:textId="5830DA96" w:rsidR="007A4C2B" w:rsidRPr="007A4C2B" w:rsidRDefault="007A4C2B" w:rsidP="007A4C2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A4C2B">
        <w:rPr>
          <w:rFonts w:ascii="Arial" w:eastAsia="Times New Roman" w:hAnsi="Arial" w:cs="Arial"/>
          <w:sz w:val="20"/>
          <w:szCs w:val="20"/>
          <w:lang w:val="es-ES" w:eastAsia="es-ES"/>
        </w:rPr>
        <w:t xml:space="preserve">la demanda tiene sustento en que los demandados incurrieron en las causales 6 y 8 del artículo 1025 del C.C., modificado por el artículo 1° de la ley 1863 del 2018, según las cuales: </w:t>
      </w:r>
    </w:p>
    <w:p w14:paraId="396A9954" w14:textId="77777777" w:rsidR="007A4C2B" w:rsidRPr="007A4C2B" w:rsidRDefault="007A4C2B" w:rsidP="007A4C2B">
      <w:pPr>
        <w:spacing w:after="0" w:line="240" w:lineRule="auto"/>
        <w:jc w:val="both"/>
        <w:rPr>
          <w:rFonts w:ascii="Arial" w:eastAsia="Times New Roman" w:hAnsi="Arial" w:cs="Arial"/>
          <w:sz w:val="20"/>
          <w:szCs w:val="20"/>
          <w:lang w:val="es-ES" w:eastAsia="es-ES"/>
        </w:rPr>
      </w:pPr>
    </w:p>
    <w:p w14:paraId="6BF9CC4C" w14:textId="10E2C0D1" w:rsidR="007A4C2B" w:rsidRPr="007A4C2B" w:rsidRDefault="007A4C2B" w:rsidP="007A4C2B">
      <w:pPr>
        <w:spacing w:after="0" w:line="240" w:lineRule="auto"/>
        <w:jc w:val="both"/>
        <w:rPr>
          <w:rFonts w:ascii="Arial" w:eastAsia="Times New Roman" w:hAnsi="Arial" w:cs="Arial"/>
          <w:sz w:val="20"/>
          <w:szCs w:val="20"/>
          <w:lang w:val="es-ES" w:eastAsia="es-ES"/>
        </w:rPr>
      </w:pPr>
      <w:r w:rsidRPr="007A4C2B">
        <w:rPr>
          <w:rFonts w:ascii="Arial" w:eastAsia="Times New Roman" w:hAnsi="Arial" w:cs="Arial"/>
          <w:sz w:val="20"/>
          <w:szCs w:val="20"/>
          <w:lang w:val="es-ES" w:eastAsia="es-ES"/>
        </w:rPr>
        <w:t>“Son indignos de suceder al difunto como herederos o legatarios:</w:t>
      </w:r>
      <w:r>
        <w:rPr>
          <w:rFonts w:ascii="Arial" w:eastAsia="Times New Roman" w:hAnsi="Arial" w:cs="Arial"/>
          <w:sz w:val="20"/>
          <w:szCs w:val="20"/>
          <w:lang w:val="es-ES" w:eastAsia="es-ES"/>
        </w:rPr>
        <w:t xml:space="preserve"> </w:t>
      </w:r>
      <w:r w:rsidRPr="007A4C2B">
        <w:rPr>
          <w:rFonts w:ascii="Arial" w:eastAsia="Times New Roman" w:hAnsi="Arial" w:cs="Arial"/>
          <w:sz w:val="20"/>
          <w:szCs w:val="20"/>
          <w:lang w:val="es-ES" w:eastAsia="es-ES"/>
        </w:rPr>
        <w:t xml:space="preserve">…. </w:t>
      </w:r>
    </w:p>
    <w:p w14:paraId="691F759F" w14:textId="77777777" w:rsidR="007A4C2B" w:rsidRPr="007A4C2B" w:rsidRDefault="007A4C2B" w:rsidP="007A4C2B">
      <w:pPr>
        <w:spacing w:after="0" w:line="240" w:lineRule="auto"/>
        <w:jc w:val="both"/>
        <w:rPr>
          <w:rFonts w:ascii="Arial" w:eastAsia="Times New Roman" w:hAnsi="Arial" w:cs="Arial"/>
          <w:sz w:val="20"/>
          <w:szCs w:val="20"/>
          <w:lang w:val="es-ES" w:eastAsia="es-ES"/>
        </w:rPr>
      </w:pPr>
    </w:p>
    <w:p w14:paraId="45D10920" w14:textId="4FC62972" w:rsidR="007A4C2B" w:rsidRPr="007A4C2B" w:rsidRDefault="007A4C2B" w:rsidP="007A4C2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Pr="007A4C2B">
        <w:rPr>
          <w:rFonts w:ascii="Arial" w:eastAsia="Times New Roman" w:hAnsi="Arial" w:cs="Arial"/>
          <w:sz w:val="20"/>
          <w:szCs w:val="20"/>
          <w:lang w:val="es-ES" w:eastAsia="es-ES"/>
        </w:rPr>
        <w:t>6. El que abandonó sin justa causa a la persona de cuya sucesión se trata, estando obligado por ley a suministrarle alimentos…</w:t>
      </w:r>
    </w:p>
    <w:p w14:paraId="7F57FD58" w14:textId="77777777" w:rsidR="007A4C2B" w:rsidRPr="007A4C2B" w:rsidRDefault="007A4C2B" w:rsidP="007A4C2B">
      <w:pPr>
        <w:spacing w:after="0" w:line="240" w:lineRule="auto"/>
        <w:jc w:val="both"/>
        <w:rPr>
          <w:rFonts w:ascii="Arial" w:eastAsia="Times New Roman" w:hAnsi="Arial" w:cs="Arial"/>
          <w:sz w:val="20"/>
          <w:szCs w:val="20"/>
          <w:lang w:val="es-ES" w:eastAsia="es-ES"/>
        </w:rPr>
      </w:pPr>
    </w:p>
    <w:p w14:paraId="799C526E" w14:textId="48A3EBF2" w:rsidR="00F35D5C" w:rsidRPr="00D47190" w:rsidRDefault="00FE32CD" w:rsidP="007A4C2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007A4C2B" w:rsidRPr="007A4C2B">
        <w:rPr>
          <w:rFonts w:ascii="Arial" w:eastAsia="Times New Roman" w:hAnsi="Arial" w:cs="Arial"/>
          <w:sz w:val="20"/>
          <w:szCs w:val="20"/>
          <w:lang w:val="es-ES" w:eastAsia="es-ES"/>
        </w:rPr>
        <w:t>8. Quien abandonó sin justa causa y no prestó las atenciones necesarias al causante, teniendo las condiciones para hacerlo</w:t>
      </w:r>
      <w:r>
        <w:rPr>
          <w:rFonts w:ascii="Arial" w:eastAsia="Times New Roman" w:hAnsi="Arial" w:cs="Arial"/>
          <w:sz w:val="20"/>
          <w:szCs w:val="20"/>
          <w:lang w:val="es-ES" w:eastAsia="es-ES"/>
        </w:rPr>
        <w:t>…”</w:t>
      </w:r>
    </w:p>
    <w:p w14:paraId="529D8010" w14:textId="6D466517" w:rsidR="00D47190" w:rsidRDefault="00D47190" w:rsidP="00D47190">
      <w:pPr>
        <w:spacing w:after="0" w:line="240" w:lineRule="auto"/>
        <w:jc w:val="both"/>
        <w:rPr>
          <w:rFonts w:ascii="Arial" w:eastAsia="Times New Roman" w:hAnsi="Arial" w:cs="Arial"/>
          <w:sz w:val="20"/>
          <w:szCs w:val="20"/>
          <w:lang w:val="es-ES" w:eastAsia="es-ES"/>
        </w:rPr>
      </w:pPr>
    </w:p>
    <w:p w14:paraId="4067917F" w14:textId="4FEE96C4" w:rsidR="008065C8" w:rsidRPr="008065C8" w:rsidRDefault="008065C8" w:rsidP="008065C8">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8065C8">
        <w:rPr>
          <w:rFonts w:ascii="Arial" w:eastAsia="Times New Roman" w:hAnsi="Arial" w:cs="Arial"/>
          <w:sz w:val="20"/>
          <w:szCs w:val="20"/>
          <w:lang w:val="es-ES" w:eastAsia="es-ES"/>
        </w:rPr>
        <w:t>la vigencia de la ley 1863 de 2018, que, en los términos del artículo 2° comenzaría a regir a partir de su promulgación, lo cual ocurrió el 24 de mayo de ese año</w:t>
      </w:r>
      <w:r w:rsidR="000B7181">
        <w:rPr>
          <w:rFonts w:ascii="Arial" w:eastAsia="Times New Roman" w:hAnsi="Arial" w:cs="Arial"/>
          <w:sz w:val="20"/>
          <w:szCs w:val="20"/>
          <w:lang w:val="es-ES" w:eastAsia="es-ES"/>
        </w:rPr>
        <w:t>…</w:t>
      </w:r>
      <w:r w:rsidRPr="008065C8">
        <w:rPr>
          <w:rFonts w:ascii="Arial" w:eastAsia="Times New Roman" w:hAnsi="Arial" w:cs="Arial"/>
          <w:sz w:val="20"/>
          <w:szCs w:val="20"/>
          <w:lang w:val="es-ES" w:eastAsia="es-ES"/>
        </w:rPr>
        <w:t xml:space="preserve"> </w:t>
      </w:r>
    </w:p>
    <w:p w14:paraId="60457BB8" w14:textId="77777777" w:rsidR="008065C8" w:rsidRPr="008065C8" w:rsidRDefault="008065C8" w:rsidP="008065C8">
      <w:pPr>
        <w:spacing w:after="0" w:line="240" w:lineRule="auto"/>
        <w:jc w:val="both"/>
        <w:rPr>
          <w:rFonts w:ascii="Arial" w:eastAsia="Times New Roman" w:hAnsi="Arial" w:cs="Arial"/>
          <w:sz w:val="20"/>
          <w:szCs w:val="20"/>
          <w:lang w:val="es-ES" w:eastAsia="es-ES"/>
        </w:rPr>
      </w:pPr>
    </w:p>
    <w:p w14:paraId="40A11745" w14:textId="686215D8" w:rsidR="00D47190" w:rsidRDefault="008065C8" w:rsidP="008065C8">
      <w:pPr>
        <w:spacing w:after="0" w:line="240" w:lineRule="auto"/>
        <w:jc w:val="both"/>
        <w:rPr>
          <w:rFonts w:ascii="Arial" w:eastAsia="Times New Roman" w:hAnsi="Arial" w:cs="Arial"/>
          <w:sz w:val="20"/>
          <w:szCs w:val="20"/>
          <w:lang w:val="es-ES" w:eastAsia="es-ES"/>
        </w:rPr>
      </w:pPr>
      <w:r w:rsidRPr="008065C8">
        <w:rPr>
          <w:rFonts w:ascii="Arial" w:eastAsia="Times New Roman" w:hAnsi="Arial" w:cs="Arial"/>
          <w:sz w:val="20"/>
          <w:szCs w:val="20"/>
          <w:lang w:val="es-ES" w:eastAsia="es-ES"/>
        </w:rPr>
        <w:t>Los recurrentes tienen razón en lo que atañe a la retrospectividad. Para arribar a esta conclusión, vale anotar que la indignidad entendida como una especie de castigo o sanción legal, tiene lugar cuando el heredero o legatario incurre en una de las causales señaladas expresamente en la ley y no puede producir efecto si no se declara judicialmente</w:t>
      </w:r>
      <w:r>
        <w:rPr>
          <w:rFonts w:ascii="Arial" w:eastAsia="Times New Roman" w:hAnsi="Arial" w:cs="Arial"/>
          <w:sz w:val="20"/>
          <w:szCs w:val="20"/>
          <w:lang w:val="es-ES" w:eastAsia="es-ES"/>
        </w:rPr>
        <w:t>…</w:t>
      </w:r>
    </w:p>
    <w:p w14:paraId="1ED8F6E0" w14:textId="01ECE0A5" w:rsidR="00D47190" w:rsidRDefault="00D47190" w:rsidP="00D47190">
      <w:pPr>
        <w:spacing w:after="0" w:line="240" w:lineRule="auto"/>
        <w:jc w:val="both"/>
        <w:rPr>
          <w:rFonts w:ascii="Arial" w:eastAsia="Times New Roman" w:hAnsi="Arial" w:cs="Arial"/>
          <w:sz w:val="20"/>
          <w:szCs w:val="20"/>
          <w:lang w:val="es-ES" w:eastAsia="es-ES"/>
        </w:rPr>
      </w:pPr>
    </w:p>
    <w:p w14:paraId="7772C53F" w14:textId="191E7BD0" w:rsidR="00D47190" w:rsidRDefault="000B7181" w:rsidP="00D4719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0B7181">
        <w:rPr>
          <w:rFonts w:ascii="Arial" w:eastAsia="Times New Roman" w:hAnsi="Arial" w:cs="Arial"/>
          <w:sz w:val="20"/>
          <w:szCs w:val="20"/>
          <w:lang w:val="es-ES" w:eastAsia="es-ES"/>
        </w:rPr>
        <w:t>es bueno memorar que, a la luz del artículo 11 del C. Civil, la ley obliga y surte efectos desde el día en que ella designa y, en todo caso, después de su promulgación; regla que requiere ser complementada con el artículo 52 de la Ley 4ª de 1913, según el cual, la ley obliga en virtud de su promulgación y su observancia principia dos meses después de ser promulgada</w:t>
      </w:r>
      <w:r>
        <w:rPr>
          <w:rFonts w:ascii="Arial" w:eastAsia="Times New Roman" w:hAnsi="Arial" w:cs="Arial"/>
          <w:sz w:val="20"/>
          <w:szCs w:val="20"/>
          <w:lang w:val="es-ES" w:eastAsia="es-ES"/>
        </w:rPr>
        <w:t>…</w:t>
      </w:r>
    </w:p>
    <w:p w14:paraId="2C895945" w14:textId="41809A1A" w:rsidR="00D47190" w:rsidRDefault="00D47190" w:rsidP="00D47190">
      <w:pPr>
        <w:spacing w:after="0" w:line="240" w:lineRule="auto"/>
        <w:jc w:val="both"/>
        <w:rPr>
          <w:rFonts w:ascii="Arial" w:eastAsia="Times New Roman" w:hAnsi="Arial" w:cs="Arial"/>
          <w:sz w:val="20"/>
          <w:szCs w:val="20"/>
          <w:lang w:val="es-ES" w:eastAsia="es-ES"/>
        </w:rPr>
      </w:pPr>
    </w:p>
    <w:p w14:paraId="7DA4B27B" w14:textId="2D3A3ADD" w:rsidR="000B7181" w:rsidRDefault="00EA4486" w:rsidP="00D47190">
      <w:pPr>
        <w:spacing w:after="0" w:line="240" w:lineRule="auto"/>
        <w:jc w:val="both"/>
        <w:rPr>
          <w:rFonts w:ascii="Arial" w:eastAsia="Times New Roman" w:hAnsi="Arial" w:cs="Arial"/>
          <w:sz w:val="20"/>
          <w:szCs w:val="20"/>
          <w:lang w:val="es-ES" w:eastAsia="es-ES"/>
        </w:rPr>
      </w:pPr>
      <w:r w:rsidRPr="00EA4486">
        <w:rPr>
          <w:rFonts w:ascii="Arial" w:eastAsia="Times New Roman" w:hAnsi="Arial" w:cs="Arial"/>
          <w:sz w:val="20"/>
          <w:szCs w:val="20"/>
          <w:lang w:val="es-ES" w:eastAsia="es-ES"/>
        </w:rPr>
        <w:t xml:space="preserve">Puestos en perspectiva de la Ley 1893, que modificó las causales genéricas de indignidad, bien vale sostener que tales reglas deben regirse por la ley vigente al momento de la muerte del causante, porque </w:t>
      </w:r>
      <w:bookmarkStart w:id="2" w:name="_GoBack"/>
      <w:bookmarkEnd w:id="2"/>
      <w:r w:rsidRPr="00EA4486">
        <w:rPr>
          <w:rFonts w:ascii="Arial" w:eastAsia="Times New Roman" w:hAnsi="Arial" w:cs="Arial"/>
          <w:sz w:val="20"/>
          <w:szCs w:val="20"/>
          <w:lang w:val="es-ES" w:eastAsia="es-ES"/>
        </w:rPr>
        <w:t>es allí cuando se produce la delación, según el artículo 1013 del estatuto civil. Por tanto, en criterio de esta Sala, si el deceso se produjo con posterioridad al mes de mayo de 2018, cuando entró en vigencia la ley, las nuevas causales deben mirarse según el comportamiento de los herederos o legatarios en todo tiempo anterior a esa condición</w:t>
      </w:r>
      <w:r>
        <w:rPr>
          <w:rFonts w:ascii="Arial" w:eastAsia="Times New Roman" w:hAnsi="Arial" w:cs="Arial"/>
          <w:sz w:val="20"/>
          <w:szCs w:val="20"/>
          <w:lang w:val="es-ES" w:eastAsia="es-ES"/>
        </w:rPr>
        <w:t>…</w:t>
      </w:r>
    </w:p>
    <w:p w14:paraId="6357B3FB" w14:textId="126F93FB" w:rsidR="000B7181" w:rsidRDefault="000B7181" w:rsidP="00D47190">
      <w:pPr>
        <w:spacing w:after="0" w:line="240" w:lineRule="auto"/>
        <w:jc w:val="both"/>
        <w:rPr>
          <w:rFonts w:ascii="Arial" w:eastAsia="Times New Roman" w:hAnsi="Arial" w:cs="Arial"/>
          <w:sz w:val="20"/>
          <w:szCs w:val="20"/>
          <w:lang w:val="es-ES" w:eastAsia="es-ES"/>
        </w:rPr>
      </w:pPr>
    </w:p>
    <w:p w14:paraId="5D8CB868" w14:textId="06ED1D48" w:rsidR="000B7181" w:rsidRDefault="00EA4486" w:rsidP="00D47190">
      <w:pPr>
        <w:spacing w:after="0" w:line="240" w:lineRule="auto"/>
        <w:jc w:val="both"/>
        <w:rPr>
          <w:rFonts w:ascii="Arial" w:eastAsia="Times New Roman" w:hAnsi="Arial" w:cs="Arial"/>
          <w:sz w:val="20"/>
          <w:szCs w:val="20"/>
          <w:lang w:val="es-ES" w:eastAsia="es-ES"/>
        </w:rPr>
      </w:pPr>
      <w:r w:rsidRPr="00EA4486">
        <w:rPr>
          <w:rFonts w:ascii="Arial" w:eastAsia="Times New Roman" w:hAnsi="Arial" w:cs="Arial"/>
          <w:sz w:val="20"/>
          <w:szCs w:val="20"/>
          <w:lang w:val="es-ES" w:eastAsia="es-ES"/>
        </w:rPr>
        <w:t>Esta conclusión se adopta, en primer lugar, porque si hubo persistencia en la causal, es decir, si el abandono no cesó antes de esa época, ni el causante falleció antes del 24 de mayo de 2018, no podría hablarse de situaciones jurídicas consolidadas, sino de situaciones jurídicas en curso. Por el contrario, si tales omisiones habían cesado con antelación a la vigencia de la ley, o la muerte aconteció antes, se trataría de eventos finalizados que no podrían verse afectados por la reforma</w:t>
      </w:r>
      <w:r>
        <w:rPr>
          <w:rFonts w:ascii="Arial" w:eastAsia="Times New Roman" w:hAnsi="Arial" w:cs="Arial"/>
          <w:sz w:val="20"/>
          <w:szCs w:val="20"/>
          <w:lang w:val="es-ES" w:eastAsia="es-ES"/>
        </w:rPr>
        <w:t>…</w:t>
      </w:r>
    </w:p>
    <w:p w14:paraId="518909B4" w14:textId="77777777" w:rsidR="00EA4486" w:rsidRDefault="00EA4486" w:rsidP="00D47190">
      <w:pPr>
        <w:spacing w:after="0" w:line="240" w:lineRule="auto"/>
        <w:jc w:val="both"/>
        <w:rPr>
          <w:rFonts w:ascii="Arial" w:eastAsia="Times New Roman" w:hAnsi="Arial" w:cs="Arial"/>
          <w:sz w:val="20"/>
          <w:szCs w:val="20"/>
          <w:lang w:val="es-ES" w:eastAsia="es-ES"/>
        </w:rPr>
      </w:pPr>
    </w:p>
    <w:p w14:paraId="0206883C" w14:textId="4DE614DF" w:rsidR="000B7181" w:rsidRDefault="000B7181" w:rsidP="00D47190">
      <w:pPr>
        <w:spacing w:after="0" w:line="240" w:lineRule="auto"/>
        <w:jc w:val="both"/>
        <w:rPr>
          <w:rFonts w:ascii="Arial" w:eastAsia="Times New Roman" w:hAnsi="Arial" w:cs="Arial"/>
          <w:sz w:val="20"/>
          <w:szCs w:val="20"/>
          <w:lang w:val="es-ES" w:eastAsia="es-ES"/>
        </w:rPr>
      </w:pPr>
    </w:p>
    <w:p w14:paraId="0EBB92E5" w14:textId="77777777" w:rsidR="000B7181" w:rsidRPr="00D47190" w:rsidRDefault="000B7181" w:rsidP="00D47190">
      <w:pPr>
        <w:spacing w:after="0" w:line="240" w:lineRule="auto"/>
        <w:jc w:val="both"/>
        <w:rPr>
          <w:rFonts w:ascii="Arial" w:eastAsia="Times New Roman" w:hAnsi="Arial" w:cs="Arial"/>
          <w:sz w:val="20"/>
          <w:szCs w:val="20"/>
          <w:lang w:val="es-ES" w:eastAsia="es-ES"/>
        </w:rPr>
      </w:pPr>
    </w:p>
    <w:bookmarkEnd w:id="0"/>
    <w:p w14:paraId="7F46CB43" w14:textId="77777777" w:rsidR="00D47190" w:rsidRPr="00D47190" w:rsidRDefault="00D47190" w:rsidP="00D47190">
      <w:pPr>
        <w:spacing w:after="0" w:line="240" w:lineRule="auto"/>
        <w:jc w:val="both"/>
        <w:rPr>
          <w:rFonts w:ascii="Arial" w:eastAsia="Times New Roman" w:hAnsi="Arial" w:cs="Arial"/>
          <w:sz w:val="20"/>
          <w:szCs w:val="20"/>
          <w:lang w:val="es-ES" w:eastAsia="es-ES"/>
        </w:rPr>
      </w:pPr>
    </w:p>
    <w:bookmarkEnd w:id="1"/>
    <w:p w14:paraId="59F0C74B" w14:textId="77777777" w:rsidR="00D47190" w:rsidRPr="00D47190" w:rsidRDefault="00D47190" w:rsidP="00F35D5C">
      <w:pPr>
        <w:widowControl w:val="0"/>
        <w:autoSpaceDE w:val="0"/>
        <w:autoSpaceDN w:val="0"/>
        <w:spacing w:after="0" w:line="276" w:lineRule="auto"/>
        <w:ind w:right="1213" w:firstLine="1701"/>
        <w:outlineLvl w:val="1"/>
        <w:rPr>
          <w:rFonts w:ascii="Gadugi" w:eastAsia="Gadugi" w:hAnsi="Gadugi" w:cs="Gadugi"/>
          <w:b/>
          <w:bCs/>
          <w:sz w:val="24"/>
          <w:szCs w:val="24"/>
          <w:lang w:val="es-ES"/>
        </w:rPr>
      </w:pPr>
      <w:r w:rsidRPr="00D47190">
        <w:rPr>
          <w:rFonts w:ascii="Gadugi" w:eastAsia="Gadugi" w:hAnsi="Gadugi" w:cs="Gadugi"/>
          <w:b/>
          <w:bCs/>
          <w:sz w:val="24"/>
          <w:szCs w:val="24"/>
          <w:lang w:val="es-ES"/>
        </w:rPr>
        <w:t>TRIBUNAL SUPERIOR DEL DISTRITO JUDICIAL</w:t>
      </w:r>
    </w:p>
    <w:p w14:paraId="051A6F20" w14:textId="77777777" w:rsidR="00D47190" w:rsidRPr="00D47190" w:rsidRDefault="00D47190" w:rsidP="00F35D5C">
      <w:pPr>
        <w:widowControl w:val="0"/>
        <w:autoSpaceDE w:val="0"/>
        <w:autoSpaceDN w:val="0"/>
        <w:spacing w:after="0" w:line="276" w:lineRule="auto"/>
        <w:ind w:left="423" w:right="1213" w:firstLine="1701"/>
        <w:outlineLvl w:val="1"/>
        <w:rPr>
          <w:rFonts w:ascii="Gadugi" w:eastAsia="Gadugi" w:hAnsi="Gadugi" w:cs="Gadugi"/>
          <w:b/>
          <w:bCs/>
          <w:sz w:val="24"/>
          <w:szCs w:val="24"/>
          <w:lang w:val="es-ES"/>
        </w:rPr>
      </w:pPr>
      <w:r w:rsidRPr="00D47190">
        <w:rPr>
          <w:rFonts w:ascii="Gadugi" w:eastAsia="Calibri" w:hAnsi="Gadugi" w:cs="Times New Roman"/>
          <w:b/>
          <w:sz w:val="24"/>
          <w:szCs w:val="24"/>
          <w:lang w:val="es-ES"/>
        </w:rPr>
        <w:t xml:space="preserve">     SALA DE DECISIÓN CIVIL FAMILIA </w:t>
      </w:r>
    </w:p>
    <w:p w14:paraId="6225E129" w14:textId="77777777" w:rsidR="00D47190" w:rsidRPr="00D47190" w:rsidRDefault="00D47190" w:rsidP="00F35D5C">
      <w:pPr>
        <w:spacing w:after="0" w:line="276" w:lineRule="auto"/>
        <w:ind w:firstLine="993"/>
        <w:jc w:val="both"/>
        <w:rPr>
          <w:rFonts w:ascii="Gadugi" w:eastAsia="Calibri" w:hAnsi="Gadugi" w:cs="Times New Roman"/>
          <w:sz w:val="24"/>
          <w:szCs w:val="24"/>
          <w:lang w:val="es-ES"/>
        </w:rPr>
      </w:pPr>
    </w:p>
    <w:p w14:paraId="623BC71F" w14:textId="77777777" w:rsidR="00D47190" w:rsidRPr="00D47190" w:rsidRDefault="00D47190" w:rsidP="00F35D5C">
      <w:pPr>
        <w:spacing w:after="0" w:line="276" w:lineRule="auto"/>
        <w:ind w:firstLine="993"/>
        <w:jc w:val="both"/>
        <w:rPr>
          <w:rFonts w:ascii="Gadugi" w:eastAsia="Calibri" w:hAnsi="Gadugi" w:cs="Times New Roman"/>
          <w:sz w:val="24"/>
          <w:szCs w:val="24"/>
          <w:lang w:val="es-ES"/>
        </w:rPr>
      </w:pPr>
    </w:p>
    <w:p w14:paraId="2A52D950" w14:textId="77777777" w:rsidR="00D47190" w:rsidRPr="00D47190" w:rsidRDefault="00D47190" w:rsidP="00F35D5C">
      <w:pPr>
        <w:widowControl w:val="0"/>
        <w:autoSpaceDE w:val="0"/>
        <w:autoSpaceDN w:val="0"/>
        <w:spacing w:after="0" w:line="276" w:lineRule="auto"/>
        <w:ind w:right="1213" w:firstLine="1701"/>
        <w:jc w:val="both"/>
        <w:outlineLvl w:val="1"/>
        <w:rPr>
          <w:rFonts w:ascii="Gadugi" w:eastAsia="Gadugi" w:hAnsi="Gadugi" w:cs="Gadugi"/>
          <w:bCs/>
          <w:sz w:val="24"/>
          <w:szCs w:val="24"/>
          <w:lang w:val="es-ES"/>
        </w:rPr>
      </w:pPr>
      <w:r w:rsidRPr="00D47190">
        <w:rPr>
          <w:rFonts w:ascii="Gadugi" w:eastAsia="Gadugi" w:hAnsi="Gadugi" w:cs="Gadugi"/>
          <w:bCs/>
          <w:sz w:val="24"/>
          <w:szCs w:val="24"/>
          <w:lang w:val="es-ES"/>
        </w:rPr>
        <w:t>Magistrado:</w:t>
      </w:r>
      <w:r w:rsidRPr="00D47190">
        <w:rPr>
          <w:rFonts w:ascii="Gadugi" w:eastAsia="Gadugi" w:hAnsi="Gadugi" w:cs="Gadugi"/>
          <w:bCs/>
          <w:sz w:val="24"/>
          <w:szCs w:val="24"/>
          <w:lang w:val="es-ES"/>
        </w:rPr>
        <w:tab/>
        <w:t>Jaime Alberto Saraza Naranjo</w:t>
      </w:r>
    </w:p>
    <w:p w14:paraId="4189FAA2" w14:textId="7F8D85F7" w:rsidR="002271F1" w:rsidRPr="0079460F" w:rsidRDefault="002271F1" w:rsidP="0079460F">
      <w:pPr>
        <w:widowControl w:val="0"/>
        <w:autoSpaceDE w:val="0"/>
        <w:autoSpaceDN w:val="0"/>
        <w:spacing w:after="0" w:line="276" w:lineRule="auto"/>
        <w:ind w:right="1213" w:firstLine="1701"/>
        <w:jc w:val="both"/>
        <w:outlineLvl w:val="1"/>
        <w:rPr>
          <w:rFonts w:ascii="Gadugi" w:eastAsia="Gadugi" w:hAnsi="Gadugi" w:cs="Gadugi"/>
          <w:bCs/>
          <w:sz w:val="24"/>
          <w:szCs w:val="24"/>
          <w:lang w:val="es-ES"/>
        </w:rPr>
      </w:pPr>
      <w:r w:rsidRPr="0079460F">
        <w:rPr>
          <w:rFonts w:ascii="Gadugi" w:eastAsia="Gadugi" w:hAnsi="Gadugi" w:cs="Gadugi"/>
          <w:bCs/>
          <w:sz w:val="24"/>
          <w:szCs w:val="24"/>
          <w:lang w:val="es-ES"/>
        </w:rPr>
        <w:t>Pereira,</w:t>
      </w:r>
      <w:r w:rsidR="00CF249B" w:rsidRPr="0079460F">
        <w:rPr>
          <w:rFonts w:ascii="Gadugi" w:eastAsia="Gadugi" w:hAnsi="Gadugi" w:cs="Gadugi"/>
          <w:bCs/>
          <w:sz w:val="24"/>
          <w:szCs w:val="24"/>
          <w:lang w:val="es-ES"/>
        </w:rPr>
        <w:tab/>
      </w:r>
      <w:r w:rsidR="0079460F">
        <w:rPr>
          <w:rFonts w:ascii="Gadugi" w:eastAsia="Gadugi" w:hAnsi="Gadugi" w:cs="Gadugi"/>
          <w:bCs/>
          <w:sz w:val="24"/>
          <w:szCs w:val="24"/>
          <w:lang w:val="es-ES"/>
        </w:rPr>
        <w:tab/>
      </w:r>
      <w:r w:rsidR="00CF249B" w:rsidRPr="0079460F">
        <w:rPr>
          <w:rFonts w:ascii="Gadugi" w:eastAsia="Gadugi" w:hAnsi="Gadugi" w:cs="Gadugi"/>
          <w:bCs/>
          <w:sz w:val="24"/>
          <w:szCs w:val="24"/>
          <w:lang w:val="es-ES"/>
        </w:rPr>
        <w:t>Septiembre trece de dos mil veintidós</w:t>
      </w:r>
    </w:p>
    <w:p w14:paraId="2B2C7DF0" w14:textId="735945A5" w:rsidR="002271F1" w:rsidRPr="0079460F" w:rsidRDefault="002271F1" w:rsidP="0079460F">
      <w:pPr>
        <w:widowControl w:val="0"/>
        <w:autoSpaceDE w:val="0"/>
        <w:autoSpaceDN w:val="0"/>
        <w:spacing w:after="0" w:line="276" w:lineRule="auto"/>
        <w:ind w:right="1213" w:firstLine="1701"/>
        <w:jc w:val="both"/>
        <w:outlineLvl w:val="1"/>
        <w:rPr>
          <w:rFonts w:ascii="Gadugi" w:eastAsia="Gadugi" w:hAnsi="Gadugi" w:cs="Gadugi"/>
          <w:bCs/>
          <w:sz w:val="24"/>
          <w:szCs w:val="24"/>
          <w:lang w:val="es-ES"/>
        </w:rPr>
      </w:pPr>
      <w:r w:rsidRPr="0079460F">
        <w:rPr>
          <w:rFonts w:ascii="Gadugi" w:eastAsia="Gadugi" w:hAnsi="Gadugi" w:cs="Gadugi"/>
          <w:bCs/>
          <w:sz w:val="24"/>
          <w:szCs w:val="24"/>
          <w:lang w:val="es-ES"/>
        </w:rPr>
        <w:t xml:space="preserve">Acta No. </w:t>
      </w:r>
      <w:r w:rsidRPr="0079460F">
        <w:rPr>
          <w:rFonts w:ascii="Gadugi" w:eastAsia="Gadugi" w:hAnsi="Gadugi" w:cs="Gadugi"/>
          <w:bCs/>
          <w:sz w:val="24"/>
          <w:szCs w:val="24"/>
          <w:lang w:val="es-ES"/>
        </w:rPr>
        <w:tab/>
      </w:r>
      <w:r w:rsidR="0079460F">
        <w:rPr>
          <w:rFonts w:ascii="Gadugi" w:eastAsia="Gadugi" w:hAnsi="Gadugi" w:cs="Gadugi"/>
          <w:bCs/>
          <w:sz w:val="24"/>
          <w:szCs w:val="24"/>
          <w:lang w:val="es-ES"/>
        </w:rPr>
        <w:tab/>
      </w:r>
      <w:r w:rsidR="00CF249B" w:rsidRPr="0079460F">
        <w:rPr>
          <w:rFonts w:ascii="Gadugi" w:eastAsia="Gadugi" w:hAnsi="Gadugi" w:cs="Gadugi"/>
          <w:bCs/>
          <w:sz w:val="24"/>
          <w:szCs w:val="24"/>
          <w:lang w:val="es-ES"/>
        </w:rPr>
        <w:t>441 del 13 de septiembre de 2022</w:t>
      </w:r>
      <w:r w:rsidRPr="0079460F">
        <w:rPr>
          <w:rFonts w:ascii="Gadugi" w:eastAsia="Gadugi" w:hAnsi="Gadugi" w:cs="Gadugi"/>
          <w:bCs/>
          <w:sz w:val="24"/>
          <w:szCs w:val="24"/>
          <w:lang w:val="es-ES"/>
        </w:rPr>
        <w:t xml:space="preserve"> </w:t>
      </w:r>
    </w:p>
    <w:p w14:paraId="64E82D96" w14:textId="42D1C0F4" w:rsidR="002271F1" w:rsidRPr="0079460F" w:rsidRDefault="00566E94" w:rsidP="0079460F">
      <w:pPr>
        <w:widowControl w:val="0"/>
        <w:autoSpaceDE w:val="0"/>
        <w:autoSpaceDN w:val="0"/>
        <w:spacing w:after="0" w:line="276" w:lineRule="auto"/>
        <w:ind w:right="1213" w:firstLine="1701"/>
        <w:jc w:val="both"/>
        <w:outlineLvl w:val="1"/>
        <w:rPr>
          <w:rFonts w:ascii="Gadugi" w:eastAsia="Gadugi" w:hAnsi="Gadugi" w:cs="Gadugi"/>
          <w:bCs/>
          <w:sz w:val="24"/>
          <w:szCs w:val="24"/>
          <w:lang w:val="es-ES"/>
        </w:rPr>
      </w:pPr>
      <w:r w:rsidRPr="0079460F">
        <w:rPr>
          <w:rFonts w:ascii="Gadugi" w:eastAsia="Gadugi" w:hAnsi="Gadugi" w:cs="Gadugi"/>
          <w:bCs/>
          <w:sz w:val="24"/>
          <w:szCs w:val="24"/>
          <w:lang w:val="es-ES"/>
        </w:rPr>
        <w:t>Sentencia:</w:t>
      </w:r>
      <w:r w:rsidR="0079460F" w:rsidRPr="0079460F">
        <w:rPr>
          <w:rFonts w:ascii="Gadugi" w:eastAsia="Gadugi" w:hAnsi="Gadugi" w:cs="Gadugi"/>
          <w:bCs/>
          <w:sz w:val="24"/>
          <w:szCs w:val="24"/>
          <w:lang w:val="es-ES"/>
        </w:rPr>
        <w:tab/>
      </w:r>
      <w:r w:rsidR="0079460F">
        <w:rPr>
          <w:rFonts w:ascii="Gadugi" w:eastAsia="Gadugi" w:hAnsi="Gadugi" w:cs="Gadugi"/>
          <w:bCs/>
          <w:sz w:val="24"/>
          <w:szCs w:val="24"/>
          <w:lang w:val="es-ES"/>
        </w:rPr>
        <w:tab/>
      </w:r>
      <w:r w:rsidR="00CF249B" w:rsidRPr="0079460F">
        <w:rPr>
          <w:rFonts w:ascii="Gadugi" w:eastAsia="Gadugi" w:hAnsi="Gadugi" w:cs="Gadugi"/>
          <w:bCs/>
          <w:sz w:val="24"/>
          <w:szCs w:val="24"/>
          <w:lang w:val="es-ES"/>
        </w:rPr>
        <w:t>SF-0011-2022</w:t>
      </w:r>
    </w:p>
    <w:p w14:paraId="3A29C5AF" w14:textId="77777777" w:rsidR="002271F1" w:rsidRPr="00CA590F" w:rsidRDefault="002271F1" w:rsidP="00F35D5C">
      <w:pPr>
        <w:tabs>
          <w:tab w:val="left" w:pos="4536"/>
        </w:tabs>
        <w:spacing w:after="0" w:line="276" w:lineRule="auto"/>
        <w:ind w:firstLine="1701"/>
        <w:jc w:val="both"/>
        <w:rPr>
          <w:rFonts w:ascii="Gadugi" w:eastAsia="Malgun Gothic" w:hAnsi="Gadugi" w:cs="Estrangelo Edessa"/>
          <w:sz w:val="24"/>
          <w:szCs w:val="24"/>
        </w:rPr>
      </w:pPr>
    </w:p>
    <w:p w14:paraId="56ACDE2B" w14:textId="77777777" w:rsidR="00566E94" w:rsidRPr="00CA590F" w:rsidRDefault="00566E94" w:rsidP="00F35D5C">
      <w:pPr>
        <w:tabs>
          <w:tab w:val="left" w:pos="4536"/>
        </w:tabs>
        <w:spacing w:after="0" w:line="276" w:lineRule="auto"/>
        <w:ind w:firstLine="1701"/>
        <w:jc w:val="both"/>
        <w:rPr>
          <w:rFonts w:ascii="Gadugi" w:eastAsia="Malgun Gothic" w:hAnsi="Gadugi" w:cs="Estrangelo Edessa"/>
          <w:sz w:val="24"/>
          <w:szCs w:val="24"/>
        </w:rPr>
      </w:pPr>
    </w:p>
    <w:p w14:paraId="4750D59E" w14:textId="1F64CA70" w:rsidR="0043513D" w:rsidRPr="00CA590F" w:rsidRDefault="00F54530" w:rsidP="00F35D5C">
      <w:pPr>
        <w:tabs>
          <w:tab w:val="left" w:pos="4536"/>
        </w:tabs>
        <w:spacing w:after="0" w:line="276" w:lineRule="auto"/>
        <w:ind w:firstLine="1701"/>
        <w:jc w:val="both"/>
        <w:rPr>
          <w:rFonts w:ascii="Gadugi" w:eastAsia="Malgun Gothic" w:hAnsi="Gadugi" w:cs="Estrangelo Edessa"/>
          <w:b/>
          <w:sz w:val="24"/>
          <w:szCs w:val="24"/>
        </w:rPr>
      </w:pPr>
      <w:r w:rsidRPr="00CA590F">
        <w:rPr>
          <w:rFonts w:ascii="Gadugi" w:eastAsia="Malgun Gothic" w:hAnsi="Gadugi" w:cs="Estrangelo Edessa"/>
          <w:sz w:val="24"/>
          <w:szCs w:val="24"/>
        </w:rPr>
        <w:t>Resuelve la Sala el recurso de apelación interpuesto</w:t>
      </w:r>
      <w:r w:rsidR="002271F1" w:rsidRPr="00CA590F">
        <w:rPr>
          <w:rFonts w:ascii="Gadugi" w:eastAsia="Malgun Gothic" w:hAnsi="Gadugi" w:cs="Estrangelo Edessa"/>
          <w:sz w:val="24"/>
          <w:szCs w:val="24"/>
        </w:rPr>
        <w:t xml:space="preserve"> contra la sentencia del </w:t>
      </w:r>
      <w:r w:rsidR="00BD3100" w:rsidRPr="00CA590F">
        <w:rPr>
          <w:rFonts w:ascii="Gadugi" w:eastAsia="Malgun Gothic" w:hAnsi="Gadugi" w:cs="Estrangelo Edessa"/>
          <w:sz w:val="24"/>
          <w:szCs w:val="24"/>
        </w:rPr>
        <w:t>13 de agosto</w:t>
      </w:r>
      <w:r w:rsidR="002271F1" w:rsidRPr="00CA590F">
        <w:rPr>
          <w:rFonts w:ascii="Gadugi" w:eastAsia="Malgun Gothic" w:hAnsi="Gadugi" w:cs="Estrangelo Edessa"/>
          <w:sz w:val="24"/>
          <w:szCs w:val="24"/>
        </w:rPr>
        <w:t xml:space="preserve"> de</w:t>
      </w:r>
      <w:r w:rsidR="00196F44" w:rsidRPr="00CA590F">
        <w:rPr>
          <w:rFonts w:ascii="Gadugi" w:eastAsia="Malgun Gothic" w:hAnsi="Gadugi" w:cs="Estrangelo Edessa"/>
          <w:sz w:val="24"/>
          <w:szCs w:val="24"/>
        </w:rPr>
        <w:t>l</w:t>
      </w:r>
      <w:r w:rsidR="002271F1" w:rsidRPr="00CA590F">
        <w:rPr>
          <w:rFonts w:ascii="Gadugi" w:eastAsia="Malgun Gothic" w:hAnsi="Gadugi" w:cs="Estrangelo Edessa"/>
          <w:sz w:val="24"/>
          <w:szCs w:val="24"/>
        </w:rPr>
        <w:t xml:space="preserve"> 202</w:t>
      </w:r>
      <w:r w:rsidR="00196F44" w:rsidRPr="00CA590F">
        <w:rPr>
          <w:rFonts w:ascii="Gadugi" w:eastAsia="Malgun Gothic" w:hAnsi="Gadugi" w:cs="Estrangelo Edessa"/>
          <w:sz w:val="24"/>
          <w:szCs w:val="24"/>
        </w:rPr>
        <w:t>1</w:t>
      </w:r>
      <w:r w:rsidR="002271F1" w:rsidRPr="00CA590F">
        <w:rPr>
          <w:rFonts w:ascii="Gadugi" w:eastAsia="Malgun Gothic" w:hAnsi="Gadugi" w:cs="Estrangelo Edessa"/>
          <w:sz w:val="24"/>
          <w:szCs w:val="24"/>
        </w:rPr>
        <w:t>, proferida por el Juzgado</w:t>
      </w:r>
      <w:r w:rsidR="00566E94" w:rsidRPr="00CA590F">
        <w:rPr>
          <w:rFonts w:ascii="Gadugi" w:eastAsia="Malgun Gothic" w:hAnsi="Gadugi" w:cs="Estrangelo Edessa"/>
          <w:sz w:val="24"/>
          <w:szCs w:val="24"/>
        </w:rPr>
        <w:t xml:space="preserve"> C</w:t>
      </w:r>
      <w:r w:rsidR="0043513D" w:rsidRPr="00CA590F">
        <w:rPr>
          <w:rFonts w:ascii="Gadugi" w:eastAsia="Malgun Gothic" w:hAnsi="Gadugi" w:cs="Estrangelo Edessa"/>
          <w:sz w:val="24"/>
          <w:szCs w:val="24"/>
        </w:rPr>
        <w:t xml:space="preserve">uarto de </w:t>
      </w:r>
      <w:r w:rsidR="00566E94" w:rsidRPr="00CA590F">
        <w:rPr>
          <w:rFonts w:ascii="Gadugi" w:eastAsia="Malgun Gothic" w:hAnsi="Gadugi" w:cs="Estrangelo Edessa"/>
          <w:sz w:val="24"/>
          <w:szCs w:val="24"/>
        </w:rPr>
        <w:t>F</w:t>
      </w:r>
      <w:r w:rsidR="0043513D" w:rsidRPr="00CA590F">
        <w:rPr>
          <w:rFonts w:ascii="Gadugi" w:eastAsia="Malgun Gothic" w:hAnsi="Gadugi" w:cs="Estrangelo Edessa"/>
          <w:sz w:val="24"/>
          <w:szCs w:val="24"/>
        </w:rPr>
        <w:t>amilia</w:t>
      </w:r>
      <w:r w:rsidR="00917870" w:rsidRPr="00CA590F">
        <w:rPr>
          <w:rFonts w:ascii="Gadugi" w:eastAsia="Malgun Gothic" w:hAnsi="Gadugi" w:cs="Estrangelo Edessa"/>
          <w:sz w:val="24"/>
          <w:szCs w:val="24"/>
        </w:rPr>
        <w:t xml:space="preserve"> </w:t>
      </w:r>
      <w:r w:rsidR="00566E94" w:rsidRPr="00CA590F">
        <w:rPr>
          <w:rFonts w:ascii="Gadugi" w:eastAsia="Malgun Gothic" w:hAnsi="Gadugi" w:cs="Estrangelo Edessa"/>
          <w:sz w:val="24"/>
          <w:szCs w:val="24"/>
        </w:rPr>
        <w:t xml:space="preserve">de </w:t>
      </w:r>
      <w:r w:rsidR="0043513D" w:rsidRPr="00CA590F">
        <w:rPr>
          <w:rFonts w:ascii="Gadugi" w:eastAsia="Malgun Gothic" w:hAnsi="Gadugi" w:cs="Estrangelo Edessa"/>
          <w:sz w:val="24"/>
          <w:szCs w:val="24"/>
        </w:rPr>
        <w:t>Pereira</w:t>
      </w:r>
      <w:r w:rsidR="00566E94" w:rsidRPr="00CA590F">
        <w:rPr>
          <w:rFonts w:ascii="Gadugi" w:eastAsia="Malgun Gothic" w:hAnsi="Gadugi" w:cs="Estrangelo Edessa"/>
          <w:sz w:val="24"/>
          <w:szCs w:val="24"/>
        </w:rPr>
        <w:t xml:space="preserve"> (R</w:t>
      </w:r>
      <w:r w:rsidR="00917870" w:rsidRPr="00CA590F">
        <w:rPr>
          <w:rFonts w:ascii="Gadugi" w:eastAsia="Malgun Gothic" w:hAnsi="Gadugi" w:cs="Estrangelo Edessa"/>
          <w:sz w:val="24"/>
          <w:szCs w:val="24"/>
        </w:rPr>
        <w:t>isaralda</w:t>
      </w:r>
      <w:r w:rsidR="00566E94" w:rsidRPr="00CA590F">
        <w:rPr>
          <w:rFonts w:ascii="Gadugi" w:eastAsia="Malgun Gothic" w:hAnsi="Gadugi" w:cs="Estrangelo Edessa"/>
          <w:sz w:val="24"/>
          <w:szCs w:val="24"/>
        </w:rPr>
        <w:t>)</w:t>
      </w:r>
      <w:r w:rsidR="00917870" w:rsidRPr="00CA590F">
        <w:rPr>
          <w:rFonts w:ascii="Gadugi" w:eastAsia="Malgun Gothic" w:hAnsi="Gadugi" w:cs="Estrangelo Edessa"/>
          <w:sz w:val="24"/>
          <w:szCs w:val="24"/>
        </w:rPr>
        <w:t>,</w:t>
      </w:r>
      <w:r w:rsidR="002271F1" w:rsidRPr="00CA590F">
        <w:rPr>
          <w:rFonts w:ascii="Gadugi" w:eastAsia="Malgun Gothic" w:hAnsi="Gadugi" w:cs="Estrangelo Edessa"/>
          <w:sz w:val="24"/>
          <w:szCs w:val="24"/>
        </w:rPr>
        <w:t xml:space="preserve"> en este proceso </w:t>
      </w:r>
      <w:r w:rsidR="00566E94" w:rsidRPr="00CA590F">
        <w:rPr>
          <w:rFonts w:ascii="Gadugi" w:eastAsia="Malgun Gothic" w:hAnsi="Gadugi" w:cs="Estrangelo Edessa"/>
          <w:sz w:val="24"/>
          <w:szCs w:val="24"/>
        </w:rPr>
        <w:t xml:space="preserve">tendiente a la </w:t>
      </w:r>
      <w:r w:rsidR="00566E94" w:rsidRPr="000B62E6">
        <w:rPr>
          <w:rFonts w:ascii="Gadugi" w:eastAsia="Malgun Gothic" w:hAnsi="Gadugi" w:cs="Estrangelo Edessa"/>
          <w:b/>
          <w:sz w:val="24"/>
          <w:szCs w:val="24"/>
        </w:rPr>
        <w:t xml:space="preserve">declaración de </w:t>
      </w:r>
      <w:r w:rsidR="0043513D" w:rsidRPr="000B62E6">
        <w:rPr>
          <w:rFonts w:ascii="Gadugi" w:eastAsia="Malgun Gothic" w:hAnsi="Gadugi" w:cs="Estrangelo Edessa"/>
          <w:b/>
          <w:sz w:val="24"/>
          <w:szCs w:val="24"/>
        </w:rPr>
        <w:t>indignidad</w:t>
      </w:r>
      <w:r w:rsidR="0043513D" w:rsidRPr="00CA590F">
        <w:rPr>
          <w:rFonts w:ascii="Gadugi" w:eastAsia="Malgun Gothic" w:hAnsi="Gadugi" w:cs="Estrangelo Edessa"/>
          <w:sz w:val="24"/>
          <w:szCs w:val="24"/>
        </w:rPr>
        <w:t xml:space="preserve"> </w:t>
      </w:r>
      <w:r w:rsidR="0043513D" w:rsidRPr="000B62E6">
        <w:rPr>
          <w:rFonts w:ascii="Gadugi" w:eastAsia="Malgun Gothic" w:hAnsi="Gadugi" w:cs="Estrangelo Edessa"/>
          <w:b/>
          <w:sz w:val="24"/>
          <w:szCs w:val="24"/>
        </w:rPr>
        <w:t>para suceder</w:t>
      </w:r>
      <w:r w:rsidR="0043513D" w:rsidRPr="00CA590F">
        <w:rPr>
          <w:rFonts w:ascii="Gadugi" w:eastAsia="Malgun Gothic" w:hAnsi="Gadugi" w:cs="Estrangelo Edessa"/>
          <w:sz w:val="24"/>
          <w:szCs w:val="24"/>
        </w:rPr>
        <w:t xml:space="preserve"> </w:t>
      </w:r>
      <w:r w:rsidR="002271F1" w:rsidRPr="00CA590F">
        <w:rPr>
          <w:rFonts w:ascii="Gadugi" w:eastAsia="Malgun Gothic" w:hAnsi="Gadugi" w:cs="Estrangelo Edessa"/>
          <w:sz w:val="24"/>
          <w:szCs w:val="24"/>
        </w:rPr>
        <w:t>que inici</w:t>
      </w:r>
      <w:r w:rsidR="00AF083D" w:rsidRPr="00CA590F">
        <w:rPr>
          <w:rFonts w:ascii="Gadugi" w:eastAsia="Malgun Gothic" w:hAnsi="Gadugi" w:cs="Estrangelo Edessa"/>
          <w:sz w:val="24"/>
          <w:szCs w:val="24"/>
        </w:rPr>
        <w:t>o</w:t>
      </w:r>
      <w:r w:rsidR="002271F1" w:rsidRPr="00CA590F">
        <w:rPr>
          <w:rFonts w:ascii="Gadugi" w:eastAsia="Malgun Gothic" w:hAnsi="Gadugi" w:cs="Estrangelo Edessa"/>
          <w:sz w:val="24"/>
          <w:szCs w:val="24"/>
        </w:rPr>
        <w:t xml:space="preserve"> </w:t>
      </w:r>
      <w:r w:rsidR="0043513D" w:rsidRPr="00CA590F">
        <w:rPr>
          <w:rFonts w:ascii="Gadugi" w:eastAsia="Malgun Gothic" w:hAnsi="Gadugi" w:cs="Estrangelo Edessa"/>
          <w:b/>
          <w:sz w:val="24"/>
          <w:szCs w:val="24"/>
        </w:rPr>
        <w:t>Alberto Duque Isaza</w:t>
      </w:r>
      <w:r w:rsidR="00AF1B8A" w:rsidRPr="00CA590F">
        <w:rPr>
          <w:rFonts w:ascii="Gadugi" w:eastAsia="Malgun Gothic" w:hAnsi="Gadugi" w:cs="Estrangelo Edessa"/>
          <w:b/>
          <w:sz w:val="24"/>
          <w:szCs w:val="24"/>
        </w:rPr>
        <w:t xml:space="preserve"> </w:t>
      </w:r>
      <w:r w:rsidR="002271F1" w:rsidRPr="00CA590F">
        <w:rPr>
          <w:rFonts w:ascii="Gadugi" w:eastAsia="Malgun Gothic" w:hAnsi="Gadugi" w:cs="Estrangelo Edessa"/>
          <w:bCs/>
          <w:sz w:val="24"/>
          <w:szCs w:val="24"/>
        </w:rPr>
        <w:t>frente</w:t>
      </w:r>
      <w:r w:rsidR="002271F1" w:rsidRPr="00CA590F">
        <w:rPr>
          <w:rFonts w:ascii="Gadugi" w:eastAsia="Malgun Gothic" w:hAnsi="Gadugi" w:cs="Estrangelo Edessa"/>
          <w:b/>
          <w:sz w:val="24"/>
          <w:szCs w:val="24"/>
        </w:rPr>
        <w:t xml:space="preserve"> </w:t>
      </w:r>
      <w:r w:rsidR="00AF1B8A" w:rsidRPr="00CA590F">
        <w:rPr>
          <w:rFonts w:ascii="Gadugi" w:eastAsia="Malgun Gothic" w:hAnsi="Gadugi" w:cs="Estrangelo Edessa"/>
          <w:sz w:val="24"/>
          <w:szCs w:val="24"/>
        </w:rPr>
        <w:t>a</w:t>
      </w:r>
      <w:r w:rsidR="00AF1B8A" w:rsidRPr="00CA590F">
        <w:rPr>
          <w:rFonts w:ascii="Gadugi" w:hAnsi="Gadugi"/>
          <w:sz w:val="24"/>
          <w:szCs w:val="24"/>
        </w:rPr>
        <w:t xml:space="preserve"> </w:t>
      </w:r>
      <w:r w:rsidR="000B62E6" w:rsidRPr="00CA590F">
        <w:rPr>
          <w:rFonts w:ascii="Gadugi" w:eastAsia="Malgun Gothic" w:hAnsi="Gadugi" w:cs="Estrangelo Edessa"/>
          <w:b/>
          <w:sz w:val="24"/>
          <w:szCs w:val="24"/>
        </w:rPr>
        <w:t>Hernán Duque Isaza</w:t>
      </w:r>
      <w:r w:rsidR="0043513D" w:rsidRPr="00CA590F">
        <w:rPr>
          <w:rFonts w:ascii="Gadugi" w:eastAsia="Malgun Gothic" w:hAnsi="Gadugi" w:cs="Estrangelo Edessa"/>
          <w:b/>
          <w:sz w:val="24"/>
          <w:szCs w:val="24"/>
        </w:rPr>
        <w:t xml:space="preserve"> </w:t>
      </w:r>
      <w:r w:rsidR="0043513D" w:rsidRPr="00CA590F">
        <w:rPr>
          <w:rFonts w:ascii="Gadugi" w:eastAsia="Malgun Gothic" w:hAnsi="Gadugi" w:cs="Estrangelo Edessa"/>
          <w:sz w:val="24"/>
          <w:szCs w:val="24"/>
        </w:rPr>
        <w:t>y</w:t>
      </w:r>
      <w:r w:rsidR="0043513D" w:rsidRPr="00CA590F">
        <w:rPr>
          <w:rFonts w:ascii="Gadugi" w:eastAsia="Malgun Gothic" w:hAnsi="Gadugi" w:cs="Estrangelo Edessa"/>
          <w:b/>
          <w:sz w:val="24"/>
          <w:szCs w:val="24"/>
        </w:rPr>
        <w:t xml:space="preserve"> </w:t>
      </w:r>
      <w:r w:rsidR="000B62E6" w:rsidRPr="00CA590F">
        <w:rPr>
          <w:rFonts w:ascii="Gadugi" w:eastAsia="Malgun Gothic" w:hAnsi="Gadugi" w:cs="Estrangelo Edessa"/>
          <w:b/>
          <w:sz w:val="24"/>
          <w:szCs w:val="24"/>
        </w:rPr>
        <w:t>Álvaro Duque Isaza</w:t>
      </w:r>
      <w:r w:rsidR="0043513D" w:rsidRPr="00CA590F">
        <w:rPr>
          <w:rFonts w:ascii="Gadugi" w:eastAsia="Malgun Gothic" w:hAnsi="Gadugi" w:cs="Estrangelo Edessa"/>
          <w:b/>
          <w:sz w:val="24"/>
          <w:szCs w:val="24"/>
        </w:rPr>
        <w:t>.</w:t>
      </w:r>
    </w:p>
    <w:p w14:paraId="6F919D84" w14:textId="723201EA" w:rsidR="002271F1" w:rsidRPr="00CA590F" w:rsidRDefault="002271F1" w:rsidP="00F35D5C">
      <w:pPr>
        <w:tabs>
          <w:tab w:val="left" w:pos="4536"/>
        </w:tabs>
        <w:spacing w:after="0" w:line="276" w:lineRule="auto"/>
        <w:ind w:firstLine="1701"/>
        <w:jc w:val="both"/>
        <w:rPr>
          <w:rFonts w:ascii="Gadugi" w:eastAsia="Malgun Gothic" w:hAnsi="Gadugi" w:cs="Estrangelo Edessa"/>
          <w:b/>
          <w:sz w:val="24"/>
          <w:szCs w:val="24"/>
        </w:rPr>
      </w:pPr>
    </w:p>
    <w:p w14:paraId="186F2EC3" w14:textId="16600617" w:rsidR="002271F1" w:rsidRPr="00CA590F" w:rsidRDefault="002271F1" w:rsidP="00F35D5C">
      <w:pPr>
        <w:tabs>
          <w:tab w:val="left" w:pos="4536"/>
        </w:tabs>
        <w:spacing w:after="0" w:line="276" w:lineRule="auto"/>
        <w:ind w:firstLine="1701"/>
        <w:jc w:val="both"/>
        <w:rPr>
          <w:rFonts w:ascii="Gadugi" w:eastAsia="Malgun Gothic" w:hAnsi="Gadugi" w:cs="Estrangelo Edessa"/>
          <w:sz w:val="24"/>
          <w:szCs w:val="24"/>
        </w:rPr>
      </w:pPr>
    </w:p>
    <w:p w14:paraId="47D39826" w14:textId="77777777" w:rsidR="002271F1" w:rsidRPr="00CA590F" w:rsidRDefault="002271F1" w:rsidP="00F35D5C">
      <w:pPr>
        <w:pStyle w:val="Prrafodelista"/>
        <w:numPr>
          <w:ilvl w:val="0"/>
          <w:numId w:val="1"/>
        </w:numPr>
        <w:spacing w:after="0" w:line="276" w:lineRule="auto"/>
        <w:ind w:left="0" w:firstLine="1701"/>
        <w:jc w:val="both"/>
        <w:rPr>
          <w:rFonts w:ascii="Gadugi" w:eastAsia="Malgun Gothic" w:hAnsi="Gadugi" w:cs="Estrangelo Edessa"/>
          <w:b/>
          <w:sz w:val="24"/>
          <w:szCs w:val="24"/>
        </w:rPr>
      </w:pPr>
      <w:r w:rsidRPr="00CA590F">
        <w:rPr>
          <w:rFonts w:ascii="Gadugi" w:eastAsia="Malgun Gothic" w:hAnsi="Gadugi" w:cs="Estrangelo Edessa"/>
          <w:b/>
          <w:sz w:val="24"/>
          <w:szCs w:val="24"/>
        </w:rPr>
        <w:t>ANTECEDENTES</w:t>
      </w:r>
    </w:p>
    <w:p w14:paraId="36ED49C6" w14:textId="77777777" w:rsidR="00566E94" w:rsidRPr="00CA590F" w:rsidRDefault="00566E94" w:rsidP="00F35D5C">
      <w:pPr>
        <w:pStyle w:val="Prrafodelista"/>
        <w:spacing w:after="0" w:line="276" w:lineRule="auto"/>
        <w:ind w:left="1701" w:firstLine="1701"/>
        <w:jc w:val="both"/>
        <w:rPr>
          <w:rFonts w:ascii="Gadugi" w:eastAsia="Malgun Gothic" w:hAnsi="Gadugi" w:cs="Estrangelo Edessa"/>
          <w:b/>
          <w:sz w:val="24"/>
          <w:szCs w:val="24"/>
        </w:rPr>
      </w:pPr>
    </w:p>
    <w:p w14:paraId="1B80D721" w14:textId="3E4503CD" w:rsidR="002271F1" w:rsidRPr="00CA590F" w:rsidRDefault="002271F1" w:rsidP="00F35D5C">
      <w:pPr>
        <w:pStyle w:val="Prrafodelista"/>
        <w:numPr>
          <w:ilvl w:val="1"/>
          <w:numId w:val="1"/>
        </w:numPr>
        <w:tabs>
          <w:tab w:val="left" w:pos="2268"/>
        </w:tabs>
        <w:spacing w:after="0" w:line="276" w:lineRule="auto"/>
        <w:ind w:left="0" w:firstLine="1701"/>
        <w:jc w:val="both"/>
        <w:rPr>
          <w:rStyle w:val="normaltextrun"/>
          <w:rFonts w:ascii="Gadugi" w:hAnsi="Gadugi"/>
          <w:sz w:val="24"/>
          <w:szCs w:val="24"/>
        </w:rPr>
      </w:pPr>
      <w:r w:rsidRPr="00CA590F">
        <w:rPr>
          <w:rFonts w:ascii="Gadugi" w:eastAsia="Malgun Gothic" w:hAnsi="Gadugi" w:cs="Estrangelo Edessa"/>
          <w:b/>
          <w:sz w:val="24"/>
          <w:szCs w:val="24"/>
        </w:rPr>
        <w:t>Hechos</w:t>
      </w:r>
      <w:r w:rsidR="00566E94" w:rsidRPr="00CA590F">
        <w:rPr>
          <w:rStyle w:val="Refdenotaalpie"/>
          <w:rFonts w:ascii="Gadugi" w:eastAsia="Malgun Gothic" w:hAnsi="Gadugi" w:cs="Estrangelo Edessa"/>
          <w:b/>
          <w:sz w:val="24"/>
          <w:szCs w:val="24"/>
        </w:rPr>
        <w:footnoteReference w:id="1"/>
      </w:r>
      <w:r w:rsidRPr="00CA590F">
        <w:rPr>
          <w:rFonts w:ascii="Gadugi" w:eastAsia="Malgun Gothic" w:hAnsi="Gadugi" w:cs="Estrangelo Edessa"/>
          <w:b/>
          <w:sz w:val="24"/>
          <w:szCs w:val="24"/>
        </w:rPr>
        <w:t xml:space="preserve"> </w:t>
      </w:r>
    </w:p>
    <w:p w14:paraId="38C9C0FD" w14:textId="77777777" w:rsidR="002271F1" w:rsidRPr="00CA590F" w:rsidRDefault="002271F1" w:rsidP="00F35D5C">
      <w:pPr>
        <w:pStyle w:val="Prrafodelista"/>
        <w:tabs>
          <w:tab w:val="left" w:pos="3402"/>
        </w:tabs>
        <w:spacing w:after="0" w:line="276" w:lineRule="auto"/>
        <w:ind w:left="0" w:firstLine="1701"/>
        <w:jc w:val="both"/>
        <w:rPr>
          <w:rStyle w:val="normaltextrun"/>
          <w:rFonts w:ascii="Gadugi" w:eastAsia="Malgun Gothic" w:hAnsi="Gadugi" w:cs="Estrangelo Edessa"/>
          <w:b/>
          <w:sz w:val="24"/>
          <w:szCs w:val="24"/>
        </w:rPr>
      </w:pPr>
    </w:p>
    <w:p w14:paraId="44C55AF0" w14:textId="77777777" w:rsidR="00320D03" w:rsidRPr="00CA590F" w:rsidRDefault="00566E94" w:rsidP="00F35D5C">
      <w:pPr>
        <w:tabs>
          <w:tab w:val="left" w:pos="1701"/>
        </w:tabs>
        <w:spacing w:after="0" w:line="276" w:lineRule="auto"/>
        <w:ind w:firstLine="1701"/>
        <w:jc w:val="both"/>
        <w:rPr>
          <w:rFonts w:ascii="Gadugi" w:eastAsia="Malgun Gothic" w:hAnsi="Gadugi" w:cs="Estrangelo Edessa"/>
          <w:sz w:val="24"/>
          <w:szCs w:val="24"/>
        </w:rPr>
      </w:pPr>
      <w:r w:rsidRPr="00CA590F">
        <w:rPr>
          <w:rFonts w:ascii="Gadugi" w:eastAsia="Malgun Gothic" w:hAnsi="Gadugi" w:cs="Estrangelo Edessa"/>
          <w:sz w:val="24"/>
          <w:szCs w:val="24"/>
        </w:rPr>
        <w:t xml:space="preserve">Aduce el demandante que es hijo, junto con Alberto y Hernán </w:t>
      </w:r>
      <w:r w:rsidR="002A35C1" w:rsidRPr="00CA590F">
        <w:rPr>
          <w:rFonts w:ascii="Gadugi" w:eastAsia="Malgun Gothic" w:hAnsi="Gadugi" w:cs="Estrangelo Edessa"/>
          <w:sz w:val="24"/>
          <w:szCs w:val="24"/>
        </w:rPr>
        <w:t>Duque Isaza</w:t>
      </w:r>
      <w:r w:rsidR="004265A8" w:rsidRPr="00CA590F">
        <w:rPr>
          <w:rFonts w:ascii="Gadugi" w:eastAsia="Malgun Gothic" w:hAnsi="Gadugi" w:cs="Estrangelo Edessa"/>
          <w:sz w:val="24"/>
          <w:szCs w:val="24"/>
        </w:rPr>
        <w:t xml:space="preserve">, </w:t>
      </w:r>
      <w:r w:rsidR="00320D03" w:rsidRPr="00CA590F">
        <w:rPr>
          <w:rFonts w:ascii="Gadugi" w:eastAsia="Malgun Gothic" w:hAnsi="Gadugi" w:cs="Estrangelo Edessa"/>
          <w:sz w:val="24"/>
          <w:szCs w:val="24"/>
        </w:rPr>
        <w:t xml:space="preserve">de Magnolia Isaza y </w:t>
      </w:r>
      <w:proofErr w:type="spellStart"/>
      <w:r w:rsidR="00320D03" w:rsidRPr="00CA590F">
        <w:rPr>
          <w:rFonts w:ascii="Gadugi" w:eastAsia="Malgun Gothic" w:hAnsi="Gadugi" w:cs="Estrangelo Edessa"/>
          <w:sz w:val="24"/>
          <w:szCs w:val="24"/>
        </w:rPr>
        <w:t>Pedronel</w:t>
      </w:r>
      <w:proofErr w:type="spellEnd"/>
      <w:r w:rsidR="00320D03" w:rsidRPr="00CA590F">
        <w:rPr>
          <w:rFonts w:ascii="Gadugi" w:eastAsia="Malgun Gothic" w:hAnsi="Gadugi" w:cs="Estrangelo Edessa"/>
          <w:sz w:val="24"/>
          <w:szCs w:val="24"/>
        </w:rPr>
        <w:t xml:space="preserve"> Duque, quien falleció el </w:t>
      </w:r>
      <w:r w:rsidR="004265A8" w:rsidRPr="00CA590F">
        <w:rPr>
          <w:rFonts w:ascii="Gadugi" w:eastAsia="Malgun Gothic" w:hAnsi="Gadugi" w:cs="Estrangelo Edessa"/>
          <w:sz w:val="24"/>
          <w:szCs w:val="24"/>
        </w:rPr>
        <w:t>4 de febrero del 2003</w:t>
      </w:r>
      <w:r w:rsidR="00320D03" w:rsidRPr="00CA590F">
        <w:rPr>
          <w:rFonts w:ascii="Gadugi" w:eastAsia="Malgun Gothic" w:hAnsi="Gadugi" w:cs="Estrangelo Edessa"/>
          <w:sz w:val="24"/>
          <w:szCs w:val="24"/>
        </w:rPr>
        <w:t xml:space="preserve">, así que el hogar quedo a cargo de aquella. </w:t>
      </w:r>
    </w:p>
    <w:p w14:paraId="10C2D169" w14:textId="77777777" w:rsidR="00320D03" w:rsidRPr="00CA590F" w:rsidRDefault="00320D03" w:rsidP="00F35D5C">
      <w:pPr>
        <w:tabs>
          <w:tab w:val="left" w:pos="1701"/>
        </w:tabs>
        <w:spacing w:after="0" w:line="276" w:lineRule="auto"/>
        <w:ind w:firstLine="1701"/>
        <w:jc w:val="both"/>
        <w:rPr>
          <w:rFonts w:ascii="Gadugi" w:eastAsia="Malgun Gothic" w:hAnsi="Gadugi" w:cs="Estrangelo Edessa"/>
          <w:sz w:val="24"/>
          <w:szCs w:val="24"/>
        </w:rPr>
      </w:pPr>
    </w:p>
    <w:p w14:paraId="281A837A" w14:textId="560FB13D" w:rsidR="00320D03" w:rsidRPr="00CA590F" w:rsidRDefault="00320D03" w:rsidP="00F35D5C">
      <w:pPr>
        <w:tabs>
          <w:tab w:val="left" w:pos="1701"/>
        </w:tabs>
        <w:spacing w:after="0" w:line="276" w:lineRule="auto"/>
        <w:ind w:firstLine="1701"/>
        <w:jc w:val="both"/>
        <w:rPr>
          <w:rFonts w:ascii="Gadugi" w:eastAsia="Malgun Gothic" w:hAnsi="Gadugi" w:cs="Estrangelo Edessa"/>
          <w:sz w:val="24"/>
          <w:szCs w:val="24"/>
        </w:rPr>
      </w:pPr>
      <w:r w:rsidRPr="00CA590F">
        <w:rPr>
          <w:rFonts w:ascii="Gadugi" w:eastAsia="Malgun Gothic" w:hAnsi="Gadugi" w:cs="Estrangelo Edessa"/>
          <w:sz w:val="24"/>
          <w:szCs w:val="24"/>
        </w:rPr>
        <w:t xml:space="preserve">Desde </w:t>
      </w:r>
      <w:r w:rsidR="00A34768" w:rsidRPr="00CA590F">
        <w:rPr>
          <w:rFonts w:ascii="Gadugi" w:eastAsia="Malgun Gothic" w:hAnsi="Gadugi" w:cs="Estrangelo Edessa"/>
          <w:sz w:val="24"/>
          <w:szCs w:val="24"/>
        </w:rPr>
        <w:t>1971</w:t>
      </w:r>
      <w:r w:rsidRPr="00CA590F">
        <w:rPr>
          <w:rFonts w:ascii="Gadugi" w:eastAsia="Malgun Gothic" w:hAnsi="Gadugi" w:cs="Estrangelo Edessa"/>
          <w:sz w:val="24"/>
          <w:szCs w:val="24"/>
        </w:rPr>
        <w:t xml:space="preserve">, </w:t>
      </w:r>
      <w:r w:rsidR="00A34768" w:rsidRPr="00CA590F">
        <w:rPr>
          <w:rFonts w:ascii="Gadugi" w:eastAsia="Malgun Gothic" w:hAnsi="Gadugi" w:cs="Estrangelo Edessa"/>
          <w:sz w:val="24"/>
          <w:szCs w:val="24"/>
        </w:rPr>
        <w:t xml:space="preserve">Álvaro Duque </w:t>
      </w:r>
      <w:r w:rsidRPr="00CA590F">
        <w:rPr>
          <w:rFonts w:ascii="Gadugi" w:eastAsia="Malgun Gothic" w:hAnsi="Gadugi" w:cs="Estrangelo Edessa"/>
          <w:sz w:val="24"/>
          <w:szCs w:val="24"/>
        </w:rPr>
        <w:t xml:space="preserve">reside en Estados Unidos y solo vino a la casa materna en el año 1978. Alberto, por su parte, quedó al cuidado de su progenitora, pues se convirtió en la figura masculina cuando faltó el padre y atendió las obligaciones financieras y </w:t>
      </w:r>
      <w:r w:rsidR="00661148" w:rsidRPr="00CA590F">
        <w:rPr>
          <w:rFonts w:ascii="Gadugi" w:eastAsia="Malgun Gothic" w:hAnsi="Gadugi" w:cs="Estrangelo Edessa"/>
          <w:sz w:val="24"/>
          <w:szCs w:val="24"/>
        </w:rPr>
        <w:t>personales</w:t>
      </w:r>
      <w:r w:rsidRPr="00CA590F">
        <w:rPr>
          <w:rFonts w:ascii="Gadugi" w:eastAsia="Malgun Gothic" w:hAnsi="Gadugi" w:cs="Estrangelo Edessa"/>
          <w:sz w:val="24"/>
          <w:szCs w:val="24"/>
        </w:rPr>
        <w:t xml:space="preserve"> de Magnolia, con el apoyo de sus hijas. </w:t>
      </w:r>
    </w:p>
    <w:p w14:paraId="5D9D921B" w14:textId="77777777" w:rsidR="00320D03" w:rsidRPr="00CA590F" w:rsidRDefault="00320D03" w:rsidP="00F35D5C">
      <w:pPr>
        <w:tabs>
          <w:tab w:val="left" w:pos="1701"/>
        </w:tabs>
        <w:spacing w:after="0" w:line="276" w:lineRule="auto"/>
        <w:ind w:firstLine="1701"/>
        <w:jc w:val="both"/>
        <w:rPr>
          <w:rFonts w:ascii="Gadugi" w:eastAsia="Malgun Gothic" w:hAnsi="Gadugi" w:cs="Estrangelo Edessa"/>
          <w:sz w:val="24"/>
          <w:szCs w:val="24"/>
        </w:rPr>
      </w:pPr>
    </w:p>
    <w:p w14:paraId="42583009" w14:textId="77777777" w:rsidR="00C82F16" w:rsidRPr="00CA590F" w:rsidRDefault="00320D03" w:rsidP="00F35D5C">
      <w:pPr>
        <w:tabs>
          <w:tab w:val="left" w:pos="1701"/>
        </w:tabs>
        <w:spacing w:after="0" w:line="276" w:lineRule="auto"/>
        <w:ind w:firstLine="1701"/>
        <w:jc w:val="both"/>
        <w:rPr>
          <w:rFonts w:ascii="Gadugi" w:eastAsia="Malgun Gothic" w:hAnsi="Gadugi" w:cs="Estrangelo Edessa"/>
          <w:sz w:val="24"/>
          <w:szCs w:val="24"/>
        </w:rPr>
      </w:pPr>
      <w:r w:rsidRPr="00CA590F">
        <w:rPr>
          <w:rFonts w:ascii="Gadugi" w:eastAsia="Malgun Gothic" w:hAnsi="Gadugi" w:cs="Estrangelo Edessa"/>
          <w:sz w:val="24"/>
          <w:szCs w:val="24"/>
        </w:rPr>
        <w:t xml:space="preserve">Magnolia sufrió una fractura de cadera en el año 2009 y eso </w:t>
      </w:r>
      <w:r w:rsidR="00175167" w:rsidRPr="00CA590F">
        <w:rPr>
          <w:rFonts w:ascii="Gadugi" w:hAnsi="Gadugi"/>
          <w:sz w:val="24"/>
          <w:szCs w:val="24"/>
        </w:rPr>
        <w:t xml:space="preserve">desencadenó </w:t>
      </w:r>
      <w:r w:rsidRPr="00CA590F">
        <w:rPr>
          <w:rFonts w:ascii="Gadugi" w:hAnsi="Gadugi"/>
          <w:sz w:val="24"/>
          <w:szCs w:val="24"/>
        </w:rPr>
        <w:t xml:space="preserve">en </w:t>
      </w:r>
      <w:r w:rsidR="00175167" w:rsidRPr="00CA590F">
        <w:rPr>
          <w:rFonts w:ascii="Gadugi" w:hAnsi="Gadugi"/>
          <w:sz w:val="24"/>
          <w:szCs w:val="24"/>
        </w:rPr>
        <w:t xml:space="preserve">afectaciones de salud que la dejaron postrada en cama con un grado de dependencia total, a </w:t>
      </w:r>
      <w:r w:rsidRPr="00CA590F">
        <w:rPr>
          <w:rFonts w:ascii="Gadugi" w:hAnsi="Gadugi"/>
          <w:sz w:val="24"/>
          <w:szCs w:val="24"/>
        </w:rPr>
        <w:t xml:space="preserve">lo que se sumó la </w:t>
      </w:r>
      <w:r w:rsidR="00175167" w:rsidRPr="00CA590F">
        <w:rPr>
          <w:rFonts w:ascii="Gadugi" w:hAnsi="Gadugi"/>
          <w:sz w:val="24"/>
          <w:szCs w:val="24"/>
        </w:rPr>
        <w:t>aparición de Alzheimer.</w:t>
      </w:r>
      <w:r w:rsidRPr="00CA590F">
        <w:rPr>
          <w:rFonts w:ascii="Gadugi" w:hAnsi="Gadugi"/>
          <w:sz w:val="24"/>
          <w:szCs w:val="24"/>
        </w:rPr>
        <w:t xml:space="preserve"> Ese año, a raíz de una cir</w:t>
      </w:r>
      <w:r w:rsidR="00175167" w:rsidRPr="00CA590F">
        <w:rPr>
          <w:rFonts w:ascii="Gadugi" w:eastAsia="Malgun Gothic" w:hAnsi="Gadugi" w:cs="Estrangelo Edessa"/>
          <w:sz w:val="24"/>
          <w:szCs w:val="24"/>
        </w:rPr>
        <w:t>ugía sufrió una lesión neurovascular</w:t>
      </w:r>
      <w:r w:rsidRPr="00CA590F">
        <w:rPr>
          <w:rFonts w:ascii="Gadugi" w:eastAsia="Malgun Gothic" w:hAnsi="Gadugi" w:cs="Estrangelo Edessa"/>
          <w:sz w:val="24"/>
          <w:szCs w:val="24"/>
        </w:rPr>
        <w:t xml:space="preserve"> y quedó en estado de</w:t>
      </w:r>
      <w:r w:rsidR="00175167" w:rsidRPr="00CA590F">
        <w:rPr>
          <w:rFonts w:ascii="Gadugi" w:eastAsia="Malgun Gothic" w:hAnsi="Gadugi" w:cs="Estrangelo Edessa"/>
          <w:sz w:val="24"/>
          <w:szCs w:val="24"/>
        </w:rPr>
        <w:t xml:space="preserve"> coma en la clínica </w:t>
      </w:r>
      <w:r w:rsidRPr="00CA590F">
        <w:rPr>
          <w:rFonts w:ascii="Gadugi" w:eastAsia="Malgun Gothic" w:hAnsi="Gadugi" w:cs="Estrangelo Edessa"/>
          <w:sz w:val="24"/>
          <w:szCs w:val="24"/>
        </w:rPr>
        <w:t>O</w:t>
      </w:r>
      <w:r w:rsidR="00175167" w:rsidRPr="00CA590F">
        <w:rPr>
          <w:rFonts w:ascii="Gadugi" w:eastAsia="Malgun Gothic" w:hAnsi="Gadugi" w:cs="Estrangelo Edessa"/>
          <w:sz w:val="24"/>
          <w:szCs w:val="24"/>
        </w:rPr>
        <w:t xml:space="preserve">ccidente de Cali, en razón de </w:t>
      </w:r>
      <w:r w:rsidR="001112BE" w:rsidRPr="00CA590F">
        <w:rPr>
          <w:rFonts w:ascii="Gadugi" w:eastAsia="Malgun Gothic" w:hAnsi="Gadugi" w:cs="Estrangelo Edessa"/>
          <w:sz w:val="24"/>
          <w:szCs w:val="24"/>
        </w:rPr>
        <w:t xml:space="preserve">lo cual </w:t>
      </w:r>
      <w:r w:rsidR="00175167" w:rsidRPr="00CA590F">
        <w:rPr>
          <w:rFonts w:ascii="Gadugi" w:eastAsia="Malgun Gothic" w:hAnsi="Gadugi" w:cs="Estrangelo Edessa"/>
          <w:sz w:val="24"/>
          <w:szCs w:val="24"/>
        </w:rPr>
        <w:t>Hernán Duque solicit</w:t>
      </w:r>
      <w:r w:rsidR="001112BE" w:rsidRPr="00CA590F">
        <w:rPr>
          <w:rFonts w:ascii="Gadugi" w:eastAsia="Malgun Gothic" w:hAnsi="Gadugi" w:cs="Estrangelo Edessa"/>
          <w:sz w:val="24"/>
          <w:szCs w:val="24"/>
        </w:rPr>
        <w:t>ó</w:t>
      </w:r>
      <w:r w:rsidR="00175167" w:rsidRPr="00CA590F">
        <w:rPr>
          <w:rFonts w:ascii="Gadugi" w:eastAsia="Malgun Gothic" w:hAnsi="Gadugi" w:cs="Estrangelo Edessa"/>
          <w:sz w:val="24"/>
          <w:szCs w:val="24"/>
        </w:rPr>
        <w:t xml:space="preserve"> al médico tratante </w:t>
      </w:r>
      <w:r w:rsidR="008A08EC" w:rsidRPr="00CA590F">
        <w:rPr>
          <w:rFonts w:ascii="Gadugi" w:eastAsia="Malgun Gothic" w:hAnsi="Gadugi" w:cs="Estrangelo Edessa"/>
          <w:sz w:val="24"/>
          <w:szCs w:val="24"/>
        </w:rPr>
        <w:t>que le practicara la eutanasia sin consultar a los demás familiares</w:t>
      </w:r>
      <w:r w:rsidR="001112BE" w:rsidRPr="00CA590F">
        <w:rPr>
          <w:rFonts w:ascii="Gadugi" w:eastAsia="Malgun Gothic" w:hAnsi="Gadugi" w:cs="Estrangelo Edessa"/>
          <w:sz w:val="24"/>
          <w:szCs w:val="24"/>
        </w:rPr>
        <w:t xml:space="preserve">, pero </w:t>
      </w:r>
      <w:r w:rsidR="008A08EC" w:rsidRPr="00CA590F">
        <w:rPr>
          <w:rFonts w:ascii="Gadugi" w:eastAsia="Malgun Gothic" w:hAnsi="Gadugi" w:cs="Estrangelo Edessa"/>
          <w:sz w:val="24"/>
          <w:szCs w:val="24"/>
        </w:rPr>
        <w:t>Alberto</w:t>
      </w:r>
      <w:r w:rsidR="001112BE" w:rsidRPr="00CA590F">
        <w:rPr>
          <w:rFonts w:ascii="Gadugi" w:eastAsia="Malgun Gothic" w:hAnsi="Gadugi" w:cs="Estrangelo Edessa"/>
          <w:sz w:val="24"/>
          <w:szCs w:val="24"/>
        </w:rPr>
        <w:t>,</w:t>
      </w:r>
      <w:r w:rsidR="008A08EC" w:rsidRPr="00CA590F">
        <w:rPr>
          <w:rFonts w:ascii="Gadugi" w:eastAsia="Malgun Gothic" w:hAnsi="Gadugi" w:cs="Estrangelo Edessa"/>
          <w:sz w:val="24"/>
          <w:szCs w:val="24"/>
        </w:rPr>
        <w:t xml:space="preserve"> al enterarse </w:t>
      </w:r>
      <w:r w:rsidR="001112BE" w:rsidRPr="00CA590F">
        <w:rPr>
          <w:rFonts w:ascii="Gadugi" w:eastAsia="Malgun Gothic" w:hAnsi="Gadugi" w:cs="Estrangelo Edessa"/>
          <w:sz w:val="24"/>
          <w:szCs w:val="24"/>
        </w:rPr>
        <w:t xml:space="preserve">de eso </w:t>
      </w:r>
      <w:r w:rsidR="008A08EC" w:rsidRPr="00CA590F">
        <w:rPr>
          <w:rFonts w:ascii="Gadugi" w:eastAsia="Malgun Gothic" w:hAnsi="Gadugi" w:cs="Estrangelo Edessa"/>
          <w:sz w:val="24"/>
          <w:szCs w:val="24"/>
        </w:rPr>
        <w:t>entr</w:t>
      </w:r>
      <w:r w:rsidR="001112BE" w:rsidRPr="00CA590F">
        <w:rPr>
          <w:rFonts w:ascii="Gadugi" w:eastAsia="Malgun Gothic" w:hAnsi="Gadugi" w:cs="Estrangelo Edessa"/>
          <w:sz w:val="24"/>
          <w:szCs w:val="24"/>
        </w:rPr>
        <w:t>ó</w:t>
      </w:r>
      <w:r w:rsidR="008A08EC" w:rsidRPr="00CA590F">
        <w:rPr>
          <w:rFonts w:ascii="Gadugi" w:eastAsia="Malgun Gothic" w:hAnsi="Gadugi" w:cs="Estrangelo Edessa"/>
          <w:sz w:val="24"/>
          <w:szCs w:val="24"/>
        </w:rPr>
        <w:t xml:space="preserve"> en crisis nerviosa y exigió que se cancelara el procedimiento</w:t>
      </w:r>
      <w:r w:rsidR="001112BE" w:rsidRPr="00CA590F">
        <w:rPr>
          <w:rFonts w:ascii="Gadugi" w:eastAsia="Malgun Gothic" w:hAnsi="Gadugi" w:cs="Estrangelo Edessa"/>
          <w:sz w:val="24"/>
          <w:szCs w:val="24"/>
        </w:rPr>
        <w:t xml:space="preserve">, momento a partir del cual </w:t>
      </w:r>
      <w:r w:rsidR="008A08EC" w:rsidRPr="00CA590F">
        <w:rPr>
          <w:rFonts w:ascii="Gadugi" w:eastAsia="Malgun Gothic" w:hAnsi="Gadugi" w:cs="Estrangelo Edessa"/>
          <w:sz w:val="24"/>
          <w:szCs w:val="24"/>
        </w:rPr>
        <w:t>asumió</w:t>
      </w:r>
      <w:r w:rsidR="001112BE" w:rsidRPr="00CA590F">
        <w:rPr>
          <w:rFonts w:ascii="Gadugi" w:eastAsia="Malgun Gothic" w:hAnsi="Gadugi" w:cs="Estrangelo Edessa"/>
          <w:sz w:val="24"/>
          <w:szCs w:val="24"/>
        </w:rPr>
        <w:t xml:space="preserve">, </w:t>
      </w:r>
      <w:r w:rsidR="00EC0500" w:rsidRPr="00CA590F">
        <w:rPr>
          <w:rFonts w:ascii="Gadugi" w:eastAsia="Malgun Gothic" w:hAnsi="Gadugi" w:cs="Estrangelo Edessa"/>
          <w:sz w:val="24"/>
          <w:szCs w:val="24"/>
        </w:rPr>
        <w:t>junto con sus hijas</w:t>
      </w:r>
      <w:r w:rsidR="001112BE" w:rsidRPr="00CA590F">
        <w:rPr>
          <w:rFonts w:ascii="Gadugi" w:eastAsia="Malgun Gothic" w:hAnsi="Gadugi" w:cs="Estrangelo Edessa"/>
          <w:sz w:val="24"/>
          <w:szCs w:val="24"/>
        </w:rPr>
        <w:t>,</w:t>
      </w:r>
      <w:r w:rsidR="00EC0500" w:rsidRPr="00CA590F">
        <w:rPr>
          <w:rFonts w:ascii="Gadugi" w:eastAsia="Malgun Gothic" w:hAnsi="Gadugi" w:cs="Estrangelo Edessa"/>
          <w:sz w:val="24"/>
          <w:szCs w:val="24"/>
        </w:rPr>
        <w:t xml:space="preserve"> el cuidado riguroso de su madre enferma</w:t>
      </w:r>
      <w:r w:rsidR="001112BE" w:rsidRPr="00CA590F">
        <w:rPr>
          <w:rFonts w:ascii="Gadugi" w:eastAsia="Malgun Gothic" w:hAnsi="Gadugi" w:cs="Estrangelo Edessa"/>
          <w:sz w:val="24"/>
          <w:szCs w:val="24"/>
        </w:rPr>
        <w:t xml:space="preserve">, lo que hizo durante los últimos 10 años de vida de ella. </w:t>
      </w:r>
      <w:r w:rsidR="00C82F16" w:rsidRPr="00CA590F">
        <w:rPr>
          <w:rFonts w:ascii="Gadugi" w:eastAsia="Malgun Gothic" w:hAnsi="Gadugi" w:cs="Estrangelo Edessa"/>
          <w:sz w:val="24"/>
          <w:szCs w:val="24"/>
        </w:rPr>
        <w:t>D</w:t>
      </w:r>
      <w:r w:rsidR="001B5FD6" w:rsidRPr="00CA590F">
        <w:rPr>
          <w:rFonts w:ascii="Gadugi" w:eastAsia="Malgun Gothic" w:hAnsi="Gadugi" w:cs="Estrangelo Edessa"/>
          <w:sz w:val="24"/>
          <w:szCs w:val="24"/>
        </w:rPr>
        <w:t>ebían bañarla, alimentarla, voltearla cada dos horas en aras de que no se lesionara la piel, comprarle los insumos necesarios para atender su enfermedad debido a que la EPS no brind</w:t>
      </w:r>
      <w:r w:rsidR="00C82F16" w:rsidRPr="00CA590F">
        <w:rPr>
          <w:rFonts w:ascii="Gadugi" w:eastAsia="Malgun Gothic" w:hAnsi="Gadugi" w:cs="Estrangelo Edessa"/>
          <w:sz w:val="24"/>
          <w:szCs w:val="24"/>
        </w:rPr>
        <w:t>ó</w:t>
      </w:r>
      <w:r w:rsidR="001B5FD6" w:rsidRPr="00CA590F">
        <w:rPr>
          <w:rFonts w:ascii="Gadugi" w:eastAsia="Malgun Gothic" w:hAnsi="Gadugi" w:cs="Estrangelo Edessa"/>
          <w:sz w:val="24"/>
          <w:szCs w:val="24"/>
        </w:rPr>
        <w:t xml:space="preserve"> el apoyo a pesar de diferentes tutelas e incidentes de desacato que se presenta</w:t>
      </w:r>
      <w:r w:rsidR="00C82F16" w:rsidRPr="00CA590F">
        <w:rPr>
          <w:rFonts w:ascii="Gadugi" w:eastAsia="Malgun Gothic" w:hAnsi="Gadugi" w:cs="Estrangelo Edessa"/>
          <w:sz w:val="24"/>
          <w:szCs w:val="24"/>
        </w:rPr>
        <w:t>ron.</w:t>
      </w:r>
    </w:p>
    <w:p w14:paraId="0C962510" w14:textId="77777777" w:rsidR="00C82F16" w:rsidRPr="00CA590F" w:rsidRDefault="00C82F16" w:rsidP="00F35D5C">
      <w:pPr>
        <w:tabs>
          <w:tab w:val="left" w:pos="1701"/>
        </w:tabs>
        <w:spacing w:after="0" w:line="276" w:lineRule="auto"/>
        <w:ind w:firstLine="1701"/>
        <w:jc w:val="both"/>
        <w:rPr>
          <w:rFonts w:ascii="Gadugi" w:eastAsia="Malgun Gothic" w:hAnsi="Gadugi" w:cs="Estrangelo Edessa"/>
          <w:sz w:val="24"/>
          <w:szCs w:val="24"/>
        </w:rPr>
      </w:pPr>
    </w:p>
    <w:p w14:paraId="5E968F41" w14:textId="58A93D57" w:rsidR="00C82F16" w:rsidRPr="00CA590F" w:rsidRDefault="00C82F16" w:rsidP="00F35D5C">
      <w:pPr>
        <w:tabs>
          <w:tab w:val="left" w:pos="1701"/>
        </w:tabs>
        <w:spacing w:after="0" w:line="276" w:lineRule="auto"/>
        <w:ind w:firstLine="1701"/>
        <w:jc w:val="both"/>
        <w:rPr>
          <w:rFonts w:ascii="Gadugi" w:eastAsia="Malgun Gothic" w:hAnsi="Gadugi" w:cs="Estrangelo Edessa"/>
          <w:sz w:val="24"/>
          <w:szCs w:val="24"/>
        </w:rPr>
      </w:pPr>
      <w:r w:rsidRPr="00CA590F">
        <w:rPr>
          <w:rFonts w:ascii="Gadugi" w:eastAsia="Malgun Gothic" w:hAnsi="Gadugi" w:cs="Estrangelo Edessa"/>
          <w:sz w:val="24"/>
          <w:szCs w:val="24"/>
        </w:rPr>
        <w:t xml:space="preserve">Agregó que </w:t>
      </w:r>
      <w:r w:rsidR="00DC7742" w:rsidRPr="00CA590F">
        <w:rPr>
          <w:rFonts w:ascii="Gadugi" w:eastAsia="Malgun Gothic" w:hAnsi="Gadugi" w:cs="Estrangelo Edessa"/>
          <w:sz w:val="24"/>
          <w:szCs w:val="24"/>
        </w:rPr>
        <w:t>Natali siempre apoy</w:t>
      </w:r>
      <w:r w:rsidR="003A58F5" w:rsidRPr="00CA590F">
        <w:rPr>
          <w:rFonts w:ascii="Gadugi" w:eastAsia="Malgun Gothic" w:hAnsi="Gadugi" w:cs="Estrangelo Edessa"/>
          <w:sz w:val="24"/>
          <w:szCs w:val="24"/>
        </w:rPr>
        <w:t>ó</w:t>
      </w:r>
      <w:r w:rsidR="00DC7742" w:rsidRPr="00CA590F">
        <w:rPr>
          <w:rFonts w:ascii="Gadugi" w:eastAsia="Malgun Gothic" w:hAnsi="Gadugi" w:cs="Estrangelo Edessa"/>
          <w:sz w:val="24"/>
          <w:szCs w:val="24"/>
        </w:rPr>
        <w:t xml:space="preserve"> la parte financiera</w:t>
      </w:r>
      <w:r w:rsidRPr="00CA590F">
        <w:rPr>
          <w:rFonts w:ascii="Gadugi" w:eastAsia="Malgun Gothic" w:hAnsi="Gadugi" w:cs="Estrangelo Edessa"/>
          <w:sz w:val="24"/>
          <w:szCs w:val="24"/>
        </w:rPr>
        <w:t xml:space="preserve">, pues asumió </w:t>
      </w:r>
      <w:r w:rsidR="00DC7742" w:rsidRPr="00CA590F">
        <w:rPr>
          <w:rFonts w:ascii="Gadugi" w:eastAsia="Malgun Gothic" w:hAnsi="Gadugi" w:cs="Estrangelo Edessa"/>
          <w:sz w:val="24"/>
          <w:szCs w:val="24"/>
        </w:rPr>
        <w:t xml:space="preserve">la compra de medicamentos, pañales e insumos de aseo y los servicios de </w:t>
      </w:r>
      <w:r w:rsidRPr="00CA590F">
        <w:rPr>
          <w:rFonts w:ascii="Gadugi" w:eastAsia="Malgun Gothic" w:hAnsi="Gadugi" w:cs="Estrangelo Edessa"/>
          <w:sz w:val="24"/>
          <w:szCs w:val="24"/>
        </w:rPr>
        <w:t xml:space="preserve">dos señoras que ayudaran. </w:t>
      </w:r>
    </w:p>
    <w:p w14:paraId="6D466A9D" w14:textId="77777777" w:rsidR="00C82F16" w:rsidRPr="00CA590F" w:rsidRDefault="00C82F16" w:rsidP="00F35D5C">
      <w:pPr>
        <w:tabs>
          <w:tab w:val="left" w:pos="1701"/>
        </w:tabs>
        <w:spacing w:after="0" w:line="276" w:lineRule="auto"/>
        <w:ind w:firstLine="1701"/>
        <w:jc w:val="both"/>
        <w:rPr>
          <w:rFonts w:ascii="Gadugi" w:eastAsia="Malgun Gothic" w:hAnsi="Gadugi" w:cs="Estrangelo Edessa"/>
          <w:sz w:val="24"/>
          <w:szCs w:val="24"/>
        </w:rPr>
      </w:pPr>
    </w:p>
    <w:p w14:paraId="759E663B" w14:textId="2EE08486" w:rsidR="00CB3A20" w:rsidRPr="00CA590F" w:rsidRDefault="00C82F16" w:rsidP="00F35D5C">
      <w:pPr>
        <w:tabs>
          <w:tab w:val="left" w:pos="1701"/>
        </w:tabs>
        <w:spacing w:after="0" w:line="276" w:lineRule="auto"/>
        <w:ind w:firstLine="1701"/>
        <w:jc w:val="both"/>
        <w:rPr>
          <w:rFonts w:ascii="Gadugi" w:eastAsia="Malgun Gothic" w:hAnsi="Gadugi" w:cs="Estrangelo Edessa"/>
          <w:sz w:val="24"/>
          <w:szCs w:val="24"/>
        </w:rPr>
      </w:pPr>
      <w:r w:rsidRPr="00CA590F">
        <w:rPr>
          <w:rFonts w:ascii="Gadugi" w:eastAsia="Malgun Gothic" w:hAnsi="Gadugi" w:cs="Estrangelo Edessa"/>
          <w:sz w:val="24"/>
          <w:szCs w:val="24"/>
        </w:rPr>
        <w:t xml:space="preserve">Los demandados nunca se hicieron cargo de sus deberes de hijos, no socorrieron a su madre con cariño, cuidado, afecto, apoyo moral y menos </w:t>
      </w:r>
      <w:r w:rsidR="00DC7742" w:rsidRPr="00CA590F">
        <w:rPr>
          <w:rFonts w:ascii="Gadugi" w:eastAsia="Malgun Gothic" w:hAnsi="Gadugi" w:cs="Estrangelo Edessa"/>
          <w:sz w:val="24"/>
          <w:szCs w:val="24"/>
        </w:rPr>
        <w:t>económico</w:t>
      </w:r>
      <w:r w:rsidR="00CB3A20" w:rsidRPr="00CA590F">
        <w:rPr>
          <w:rFonts w:ascii="Gadugi" w:eastAsia="Malgun Gothic" w:hAnsi="Gadugi" w:cs="Estrangelo Edessa"/>
          <w:sz w:val="24"/>
          <w:szCs w:val="24"/>
        </w:rPr>
        <w:t xml:space="preserve">. Hernán, a pesar de residir en Pereira, </w:t>
      </w:r>
      <w:r w:rsidR="00CB3A20" w:rsidRPr="00CA590F">
        <w:rPr>
          <w:rFonts w:ascii="Gadugi" w:eastAsia="Malgun Gothic" w:hAnsi="Gadugi" w:cs="Estrangelo Edessa"/>
          <w:i/>
          <w:sz w:val="24"/>
          <w:szCs w:val="24"/>
        </w:rPr>
        <w:t xml:space="preserve">“jamás la visitó” </w:t>
      </w:r>
      <w:r w:rsidR="00CB3A20" w:rsidRPr="00CA590F">
        <w:rPr>
          <w:rFonts w:ascii="Gadugi" w:eastAsia="Malgun Gothic" w:hAnsi="Gadugi" w:cs="Estrangelo Edessa"/>
          <w:sz w:val="24"/>
          <w:szCs w:val="24"/>
        </w:rPr>
        <w:t xml:space="preserve">ni socorrió alimentos, vitaminas, </w:t>
      </w:r>
      <w:r w:rsidR="00CB3A20" w:rsidRPr="00CA590F">
        <w:rPr>
          <w:rFonts w:ascii="Gadugi" w:eastAsia="Malgun Gothic" w:hAnsi="Gadugi" w:cs="Estrangelo Edessa"/>
          <w:sz w:val="24"/>
          <w:szCs w:val="24"/>
        </w:rPr>
        <w:lastRenderedPageBreak/>
        <w:t xml:space="preserve">pañales. Y Álvaro solo la visitó una vez en el año 2017 y estuvo 18 días, durante los cuales entró al cuarto de ella tres veces y no </w:t>
      </w:r>
      <w:r w:rsidR="00661148" w:rsidRPr="00CA590F">
        <w:rPr>
          <w:rFonts w:ascii="Gadugi" w:eastAsia="Malgun Gothic" w:hAnsi="Gadugi" w:cs="Estrangelo Edessa"/>
          <w:sz w:val="24"/>
          <w:szCs w:val="24"/>
        </w:rPr>
        <w:t xml:space="preserve">contribuyó con nada. </w:t>
      </w:r>
    </w:p>
    <w:p w14:paraId="15BE638D" w14:textId="77777777" w:rsidR="00CB3A20" w:rsidRPr="00CA590F" w:rsidRDefault="00CB3A20" w:rsidP="00F35D5C">
      <w:pPr>
        <w:tabs>
          <w:tab w:val="left" w:pos="1701"/>
        </w:tabs>
        <w:spacing w:after="0" w:line="276" w:lineRule="auto"/>
        <w:ind w:firstLine="1701"/>
        <w:jc w:val="both"/>
        <w:rPr>
          <w:rFonts w:ascii="Gadugi" w:eastAsia="Malgun Gothic" w:hAnsi="Gadugi" w:cs="Estrangelo Edessa"/>
          <w:sz w:val="24"/>
          <w:szCs w:val="24"/>
        </w:rPr>
      </w:pPr>
    </w:p>
    <w:p w14:paraId="296A3E48" w14:textId="0EE0393E" w:rsidR="00324FD1" w:rsidRPr="00CA590F" w:rsidRDefault="00CB3A20" w:rsidP="00F35D5C">
      <w:pPr>
        <w:tabs>
          <w:tab w:val="left" w:pos="1701"/>
        </w:tabs>
        <w:spacing w:after="0" w:line="276" w:lineRule="auto"/>
        <w:ind w:firstLine="1701"/>
        <w:jc w:val="both"/>
        <w:rPr>
          <w:rFonts w:ascii="Gadugi" w:eastAsia="Malgun Gothic" w:hAnsi="Gadugi" w:cs="Estrangelo Edessa"/>
          <w:sz w:val="24"/>
          <w:szCs w:val="24"/>
        </w:rPr>
      </w:pPr>
      <w:r w:rsidRPr="00CA590F">
        <w:rPr>
          <w:rFonts w:ascii="Gadugi" w:eastAsia="Malgun Gothic" w:hAnsi="Gadugi" w:cs="Estrangelo Edessa"/>
          <w:sz w:val="24"/>
          <w:szCs w:val="24"/>
        </w:rPr>
        <w:t>A</w:t>
      </w:r>
      <w:r w:rsidR="00DC7742" w:rsidRPr="00CA590F">
        <w:rPr>
          <w:rFonts w:ascii="Gadugi" w:eastAsia="Malgun Gothic" w:hAnsi="Gadugi" w:cs="Estrangelo Edessa"/>
          <w:sz w:val="24"/>
          <w:szCs w:val="24"/>
        </w:rPr>
        <w:t xml:space="preserve">lberto acudió a la justicia especial </w:t>
      </w:r>
      <w:r w:rsidR="00C82F16" w:rsidRPr="00CA590F">
        <w:rPr>
          <w:rFonts w:ascii="Gadugi" w:eastAsia="Malgun Gothic" w:hAnsi="Gadugi" w:cs="Estrangelo Edessa"/>
          <w:sz w:val="24"/>
          <w:szCs w:val="24"/>
        </w:rPr>
        <w:t xml:space="preserve">de </w:t>
      </w:r>
      <w:r w:rsidR="00DC7742" w:rsidRPr="00CA590F">
        <w:rPr>
          <w:rFonts w:ascii="Gadugi" w:eastAsia="Malgun Gothic" w:hAnsi="Gadugi" w:cs="Estrangelo Edessa"/>
          <w:sz w:val="24"/>
          <w:szCs w:val="24"/>
        </w:rPr>
        <w:t>paz</w:t>
      </w:r>
      <w:r w:rsidR="00C82F16" w:rsidRPr="00CA590F">
        <w:rPr>
          <w:rFonts w:ascii="Gadugi" w:eastAsia="Malgun Gothic" w:hAnsi="Gadugi" w:cs="Estrangelo Edessa"/>
          <w:sz w:val="24"/>
          <w:szCs w:val="24"/>
        </w:rPr>
        <w:t xml:space="preserve">, </w:t>
      </w:r>
      <w:r w:rsidR="00DC7742" w:rsidRPr="00CA590F">
        <w:rPr>
          <w:rFonts w:ascii="Gadugi" w:eastAsia="Malgun Gothic" w:hAnsi="Gadugi" w:cs="Estrangelo Edessa"/>
          <w:sz w:val="24"/>
          <w:szCs w:val="24"/>
        </w:rPr>
        <w:t xml:space="preserve">para </w:t>
      </w:r>
      <w:r w:rsidR="00C82F16" w:rsidRPr="00CA590F">
        <w:rPr>
          <w:rFonts w:ascii="Gadugi" w:eastAsia="Malgun Gothic" w:hAnsi="Gadugi" w:cs="Estrangelo Edessa"/>
          <w:sz w:val="24"/>
          <w:szCs w:val="24"/>
        </w:rPr>
        <w:t xml:space="preserve">provocar una </w:t>
      </w:r>
      <w:r w:rsidR="006D7A7C" w:rsidRPr="00CA590F">
        <w:rPr>
          <w:rFonts w:ascii="Gadugi" w:eastAsia="Malgun Gothic" w:hAnsi="Gadugi" w:cs="Estrangelo Edessa"/>
          <w:sz w:val="24"/>
          <w:szCs w:val="24"/>
        </w:rPr>
        <w:t xml:space="preserve">conciliación </w:t>
      </w:r>
      <w:r w:rsidR="00C82F16" w:rsidRPr="00CA590F">
        <w:rPr>
          <w:rFonts w:ascii="Gadugi" w:eastAsia="Malgun Gothic" w:hAnsi="Gadugi" w:cs="Estrangelo Edessa"/>
          <w:sz w:val="24"/>
          <w:szCs w:val="24"/>
        </w:rPr>
        <w:t xml:space="preserve">con </w:t>
      </w:r>
      <w:r w:rsidR="006D7A7C" w:rsidRPr="00CA590F">
        <w:rPr>
          <w:rFonts w:ascii="Gadugi" w:eastAsia="Malgun Gothic" w:hAnsi="Gadugi" w:cs="Estrangelo Edessa"/>
          <w:sz w:val="24"/>
          <w:szCs w:val="24"/>
        </w:rPr>
        <w:t>Hernán</w:t>
      </w:r>
      <w:r w:rsidR="00DC7742" w:rsidRPr="00CA590F">
        <w:rPr>
          <w:rFonts w:ascii="Gadugi" w:eastAsia="Malgun Gothic" w:hAnsi="Gadugi" w:cs="Estrangelo Edessa"/>
          <w:sz w:val="24"/>
          <w:szCs w:val="24"/>
        </w:rPr>
        <w:t xml:space="preserve"> Duque</w:t>
      </w:r>
      <w:r w:rsidR="00C82F16" w:rsidRPr="00CA590F">
        <w:rPr>
          <w:rFonts w:ascii="Gadugi" w:eastAsia="Malgun Gothic" w:hAnsi="Gadugi" w:cs="Estrangelo Edessa"/>
          <w:sz w:val="24"/>
          <w:szCs w:val="24"/>
        </w:rPr>
        <w:t>,</w:t>
      </w:r>
      <w:r w:rsidR="00DC7742" w:rsidRPr="00CA590F">
        <w:rPr>
          <w:rFonts w:ascii="Gadugi" w:eastAsia="Malgun Gothic" w:hAnsi="Gadugi" w:cs="Estrangelo Edessa"/>
          <w:sz w:val="24"/>
          <w:szCs w:val="24"/>
        </w:rPr>
        <w:t xml:space="preserve"> </w:t>
      </w:r>
      <w:r w:rsidRPr="00CA590F">
        <w:rPr>
          <w:rFonts w:ascii="Gadugi" w:eastAsia="Malgun Gothic" w:hAnsi="Gadugi" w:cs="Estrangelo Edessa"/>
          <w:sz w:val="24"/>
          <w:szCs w:val="24"/>
        </w:rPr>
        <w:t>mas</w:t>
      </w:r>
      <w:r w:rsidR="00C82F16" w:rsidRPr="00CA590F">
        <w:rPr>
          <w:rFonts w:ascii="Gadugi" w:eastAsia="Malgun Gothic" w:hAnsi="Gadugi" w:cs="Estrangelo Edessa"/>
          <w:sz w:val="24"/>
          <w:szCs w:val="24"/>
        </w:rPr>
        <w:t xml:space="preserve">, </w:t>
      </w:r>
      <w:r w:rsidR="006D7A7C" w:rsidRPr="00CA590F">
        <w:rPr>
          <w:rFonts w:ascii="Gadugi" w:eastAsia="Malgun Gothic" w:hAnsi="Gadugi" w:cs="Estrangelo Edessa"/>
          <w:sz w:val="24"/>
          <w:szCs w:val="24"/>
        </w:rPr>
        <w:t>aunque que fue notificado correctamente</w:t>
      </w:r>
      <w:r w:rsidRPr="00CA590F">
        <w:rPr>
          <w:rFonts w:ascii="Gadugi" w:eastAsia="Malgun Gothic" w:hAnsi="Gadugi" w:cs="Estrangelo Edessa"/>
          <w:sz w:val="24"/>
          <w:szCs w:val="24"/>
        </w:rPr>
        <w:t>,</w:t>
      </w:r>
      <w:r w:rsidR="006D7A7C" w:rsidRPr="00CA590F">
        <w:rPr>
          <w:rFonts w:ascii="Gadugi" w:eastAsia="Malgun Gothic" w:hAnsi="Gadugi" w:cs="Estrangelo Edessa"/>
          <w:sz w:val="24"/>
          <w:szCs w:val="24"/>
        </w:rPr>
        <w:t xml:space="preserve"> no se presentó en dos ocasiones a las diligencias programadas para los días 10</w:t>
      </w:r>
      <w:r w:rsidR="00BB0EF2" w:rsidRPr="00CA590F">
        <w:rPr>
          <w:rFonts w:ascii="Gadugi" w:eastAsia="Malgun Gothic" w:hAnsi="Gadugi" w:cs="Estrangelo Edessa"/>
          <w:sz w:val="24"/>
          <w:szCs w:val="24"/>
        </w:rPr>
        <w:t xml:space="preserve"> y 16 de junio del 2014</w:t>
      </w:r>
      <w:r w:rsidR="00C82F16" w:rsidRPr="00CA590F">
        <w:rPr>
          <w:rFonts w:ascii="Gadugi" w:eastAsia="Malgun Gothic" w:hAnsi="Gadugi" w:cs="Estrangelo Edessa"/>
          <w:sz w:val="24"/>
          <w:szCs w:val="24"/>
        </w:rPr>
        <w:t>. Ti</w:t>
      </w:r>
      <w:r w:rsidR="00BB0EF2" w:rsidRPr="00CA590F">
        <w:rPr>
          <w:rFonts w:ascii="Gadugi" w:eastAsia="Malgun Gothic" w:hAnsi="Gadugi" w:cs="Estrangelo Edessa"/>
          <w:sz w:val="24"/>
          <w:szCs w:val="24"/>
        </w:rPr>
        <w:t xml:space="preserve">empo después acudió al </w:t>
      </w:r>
      <w:r w:rsidR="00C82F16" w:rsidRPr="00CA590F">
        <w:rPr>
          <w:rFonts w:ascii="Gadugi" w:eastAsia="Malgun Gothic" w:hAnsi="Gadugi" w:cs="Estrangelo Edessa"/>
          <w:sz w:val="24"/>
          <w:szCs w:val="24"/>
        </w:rPr>
        <w:t>Ministerio</w:t>
      </w:r>
      <w:r w:rsidR="00BB0EF2" w:rsidRPr="00CA590F">
        <w:rPr>
          <w:rFonts w:ascii="Gadugi" w:eastAsia="Malgun Gothic" w:hAnsi="Gadugi" w:cs="Estrangelo Edessa"/>
          <w:sz w:val="24"/>
          <w:szCs w:val="24"/>
        </w:rPr>
        <w:t xml:space="preserve"> </w:t>
      </w:r>
      <w:r w:rsidR="00C82F16" w:rsidRPr="00CA590F">
        <w:rPr>
          <w:rFonts w:ascii="Gadugi" w:eastAsia="Malgun Gothic" w:hAnsi="Gadugi" w:cs="Estrangelo Edessa"/>
          <w:sz w:val="24"/>
          <w:szCs w:val="24"/>
        </w:rPr>
        <w:t>P</w:t>
      </w:r>
      <w:r w:rsidR="00BB0EF2" w:rsidRPr="00CA590F">
        <w:rPr>
          <w:rFonts w:ascii="Gadugi" w:eastAsia="Malgun Gothic" w:hAnsi="Gadugi" w:cs="Estrangelo Edessa"/>
          <w:sz w:val="24"/>
          <w:szCs w:val="24"/>
        </w:rPr>
        <w:t xml:space="preserve">úblico y a la </w:t>
      </w:r>
      <w:r w:rsidR="00C82F16" w:rsidRPr="00CA590F">
        <w:rPr>
          <w:rFonts w:ascii="Gadugi" w:eastAsia="Malgun Gothic" w:hAnsi="Gadugi" w:cs="Estrangelo Edessa"/>
          <w:sz w:val="24"/>
          <w:szCs w:val="24"/>
        </w:rPr>
        <w:t>C</w:t>
      </w:r>
      <w:r w:rsidR="00BB0EF2" w:rsidRPr="00CA590F">
        <w:rPr>
          <w:rFonts w:ascii="Gadugi" w:eastAsia="Malgun Gothic" w:hAnsi="Gadugi" w:cs="Estrangelo Edessa"/>
          <w:sz w:val="24"/>
          <w:szCs w:val="24"/>
        </w:rPr>
        <w:t xml:space="preserve">omisaria de </w:t>
      </w:r>
      <w:r w:rsidR="00C82F16" w:rsidRPr="00CA590F">
        <w:rPr>
          <w:rFonts w:ascii="Gadugi" w:eastAsia="Malgun Gothic" w:hAnsi="Gadugi" w:cs="Estrangelo Edessa"/>
          <w:sz w:val="24"/>
          <w:szCs w:val="24"/>
        </w:rPr>
        <w:t>F</w:t>
      </w:r>
      <w:r w:rsidR="00BB0EF2" w:rsidRPr="00CA590F">
        <w:rPr>
          <w:rFonts w:ascii="Gadugi" w:eastAsia="Malgun Gothic" w:hAnsi="Gadugi" w:cs="Estrangelo Edessa"/>
          <w:sz w:val="24"/>
          <w:szCs w:val="24"/>
        </w:rPr>
        <w:t xml:space="preserve">amilia para que sus hermanos fueran obligados </w:t>
      </w:r>
      <w:r w:rsidR="008357C3" w:rsidRPr="00CA590F">
        <w:rPr>
          <w:rFonts w:ascii="Gadugi" w:eastAsia="Malgun Gothic" w:hAnsi="Gadugi" w:cs="Estrangelo Edessa"/>
          <w:sz w:val="24"/>
          <w:szCs w:val="24"/>
        </w:rPr>
        <w:t>a proveer sustento económico a su madre</w:t>
      </w:r>
      <w:r w:rsidR="003E0EA5" w:rsidRPr="00CA590F">
        <w:rPr>
          <w:rFonts w:ascii="Gadugi" w:eastAsia="Malgun Gothic" w:hAnsi="Gadugi" w:cs="Estrangelo Edessa"/>
          <w:sz w:val="24"/>
          <w:szCs w:val="24"/>
        </w:rPr>
        <w:t>,</w:t>
      </w:r>
      <w:r w:rsidR="008357C3" w:rsidRPr="00CA590F">
        <w:rPr>
          <w:rFonts w:ascii="Gadugi" w:eastAsia="Malgun Gothic" w:hAnsi="Gadugi" w:cs="Estrangelo Edessa"/>
          <w:sz w:val="24"/>
          <w:szCs w:val="24"/>
        </w:rPr>
        <w:t xml:space="preserve"> pero los demandados hicieron caso omiso.</w:t>
      </w:r>
    </w:p>
    <w:p w14:paraId="66269F60" w14:textId="2E295A40" w:rsidR="00661148" w:rsidRPr="00CA590F" w:rsidRDefault="00661148" w:rsidP="00F35D5C">
      <w:pPr>
        <w:tabs>
          <w:tab w:val="left" w:pos="1701"/>
        </w:tabs>
        <w:spacing w:after="0" w:line="276" w:lineRule="auto"/>
        <w:ind w:firstLine="1701"/>
        <w:jc w:val="both"/>
        <w:rPr>
          <w:rFonts w:ascii="Gadugi" w:eastAsia="Malgun Gothic" w:hAnsi="Gadugi" w:cs="Estrangelo Edessa"/>
          <w:sz w:val="24"/>
          <w:szCs w:val="24"/>
        </w:rPr>
      </w:pPr>
    </w:p>
    <w:p w14:paraId="33325D12" w14:textId="0F102730" w:rsidR="00661148" w:rsidRPr="00CA590F" w:rsidRDefault="00661148" w:rsidP="00F35D5C">
      <w:pPr>
        <w:tabs>
          <w:tab w:val="left" w:pos="1701"/>
        </w:tabs>
        <w:spacing w:after="0" w:line="276" w:lineRule="auto"/>
        <w:ind w:firstLine="1701"/>
        <w:jc w:val="both"/>
        <w:rPr>
          <w:rFonts w:ascii="Gadugi" w:eastAsia="Malgun Gothic" w:hAnsi="Gadugi" w:cs="Estrangelo Edessa"/>
          <w:sz w:val="24"/>
          <w:szCs w:val="24"/>
        </w:rPr>
      </w:pPr>
      <w:r w:rsidRPr="00CA590F">
        <w:rPr>
          <w:rFonts w:ascii="Gadugi" w:eastAsia="Malgun Gothic" w:hAnsi="Gadugi" w:cs="Estrangelo Edessa"/>
          <w:sz w:val="24"/>
          <w:szCs w:val="24"/>
        </w:rPr>
        <w:t xml:space="preserve">Terminó informando que Magnolia falleció el 30 de enero de 2019 y el único bien que dejó es el inmueble de matrícula 29023796 que, gracias al esfuerzo del demandante, está al día en el pago de todas las obligaciones que genera.  </w:t>
      </w:r>
    </w:p>
    <w:p w14:paraId="1C285B85" w14:textId="5E329216" w:rsidR="00967C97" w:rsidRPr="00CA590F" w:rsidRDefault="00967C97" w:rsidP="00F35D5C">
      <w:pPr>
        <w:tabs>
          <w:tab w:val="left" w:pos="3402"/>
        </w:tabs>
        <w:spacing w:after="0" w:line="276" w:lineRule="auto"/>
        <w:ind w:firstLine="1701"/>
        <w:jc w:val="both"/>
        <w:rPr>
          <w:rFonts w:ascii="Gadugi" w:eastAsia="Malgun Gothic" w:hAnsi="Gadugi" w:cs="Estrangelo Edessa"/>
          <w:sz w:val="24"/>
          <w:szCs w:val="24"/>
        </w:rPr>
      </w:pPr>
    </w:p>
    <w:p w14:paraId="5C3A7FD9" w14:textId="15DE562A" w:rsidR="002271F1" w:rsidRPr="00CA590F" w:rsidRDefault="002271F1" w:rsidP="00F35D5C">
      <w:pPr>
        <w:pStyle w:val="Prrafodelista"/>
        <w:numPr>
          <w:ilvl w:val="1"/>
          <w:numId w:val="1"/>
        </w:numPr>
        <w:tabs>
          <w:tab w:val="left" w:pos="2410"/>
        </w:tabs>
        <w:spacing w:after="0" w:line="276" w:lineRule="auto"/>
        <w:ind w:left="0" w:firstLine="1701"/>
        <w:jc w:val="both"/>
        <w:rPr>
          <w:rStyle w:val="normaltextrun"/>
          <w:rFonts w:ascii="Gadugi" w:hAnsi="Gadugi"/>
          <w:b/>
          <w:sz w:val="24"/>
          <w:szCs w:val="24"/>
        </w:rPr>
      </w:pPr>
      <w:r w:rsidRPr="00CA590F">
        <w:rPr>
          <w:rFonts w:ascii="Gadugi" w:eastAsia="Calibri" w:hAnsi="Gadugi" w:cs="Times New Roman"/>
          <w:b/>
          <w:sz w:val="24"/>
          <w:szCs w:val="24"/>
        </w:rPr>
        <w:t>Pretensiones</w:t>
      </w:r>
      <w:r w:rsidR="00661148" w:rsidRPr="00CA590F">
        <w:rPr>
          <w:rStyle w:val="Refdenotaalpie"/>
          <w:rFonts w:ascii="Gadugi" w:eastAsia="Calibri" w:hAnsi="Gadugi" w:cs="Times New Roman"/>
          <w:b/>
          <w:sz w:val="24"/>
          <w:szCs w:val="24"/>
        </w:rPr>
        <w:footnoteReference w:id="2"/>
      </w:r>
      <w:r w:rsidRPr="00CA590F">
        <w:rPr>
          <w:rFonts w:ascii="Gadugi" w:eastAsia="Calibri" w:hAnsi="Gadugi" w:cs="Times New Roman"/>
          <w:b/>
          <w:sz w:val="24"/>
          <w:szCs w:val="24"/>
        </w:rPr>
        <w:t xml:space="preserve"> </w:t>
      </w:r>
    </w:p>
    <w:p w14:paraId="4B478E1C" w14:textId="77777777" w:rsidR="002271F1" w:rsidRPr="00CA590F" w:rsidRDefault="002271F1" w:rsidP="00F35D5C">
      <w:pPr>
        <w:pStyle w:val="Prrafodelista"/>
        <w:tabs>
          <w:tab w:val="left" w:pos="3402"/>
        </w:tabs>
        <w:spacing w:after="0" w:line="276" w:lineRule="auto"/>
        <w:ind w:left="0" w:firstLine="1701"/>
        <w:jc w:val="both"/>
        <w:rPr>
          <w:rFonts w:ascii="Gadugi" w:eastAsia="Calibri" w:hAnsi="Gadugi" w:cs="Times New Roman"/>
          <w:sz w:val="24"/>
          <w:szCs w:val="24"/>
        </w:rPr>
      </w:pPr>
    </w:p>
    <w:p w14:paraId="0CF78B08" w14:textId="7635E947" w:rsidR="008A6DC5" w:rsidRPr="00CA590F" w:rsidRDefault="002271F1" w:rsidP="00F35D5C">
      <w:pPr>
        <w:pStyle w:val="Prrafodelista"/>
        <w:tabs>
          <w:tab w:val="left" w:pos="3402"/>
        </w:tabs>
        <w:spacing w:after="0" w:line="276" w:lineRule="auto"/>
        <w:ind w:left="0" w:firstLine="1701"/>
        <w:jc w:val="both"/>
        <w:rPr>
          <w:rFonts w:ascii="Gadugi" w:eastAsia="Calibri" w:hAnsi="Gadugi" w:cs="Times New Roman"/>
          <w:sz w:val="24"/>
          <w:szCs w:val="24"/>
        </w:rPr>
      </w:pPr>
      <w:r w:rsidRPr="00CA590F">
        <w:rPr>
          <w:rFonts w:ascii="Gadugi" w:eastAsia="Calibri" w:hAnsi="Gadugi" w:cs="Times New Roman"/>
          <w:sz w:val="24"/>
          <w:szCs w:val="24"/>
        </w:rPr>
        <w:t>Con susten</w:t>
      </w:r>
      <w:r w:rsidR="00661148" w:rsidRPr="00CA590F">
        <w:rPr>
          <w:rFonts w:ascii="Gadugi" w:eastAsia="Calibri" w:hAnsi="Gadugi" w:cs="Times New Roman"/>
          <w:sz w:val="24"/>
          <w:szCs w:val="24"/>
        </w:rPr>
        <w:t>to en lo dicho, pidió que</w:t>
      </w:r>
      <w:r w:rsidR="00D30F64" w:rsidRPr="00CA590F">
        <w:rPr>
          <w:rFonts w:ascii="Gadugi" w:eastAsia="Calibri" w:hAnsi="Gadugi" w:cs="Times New Roman"/>
          <w:sz w:val="24"/>
          <w:szCs w:val="24"/>
        </w:rPr>
        <w:t>:</w:t>
      </w:r>
      <w:r w:rsidR="00661148" w:rsidRPr="00CA590F">
        <w:rPr>
          <w:rFonts w:ascii="Gadugi" w:eastAsia="Calibri" w:hAnsi="Gadugi" w:cs="Times New Roman"/>
          <w:sz w:val="24"/>
          <w:szCs w:val="24"/>
        </w:rPr>
        <w:t xml:space="preserve"> </w:t>
      </w:r>
      <w:r w:rsidR="00D30F64" w:rsidRPr="00CA590F">
        <w:rPr>
          <w:rFonts w:ascii="Gadugi" w:eastAsia="Calibri" w:hAnsi="Gadugi" w:cs="Times New Roman"/>
          <w:sz w:val="24"/>
          <w:szCs w:val="24"/>
        </w:rPr>
        <w:t xml:space="preserve">(i) </w:t>
      </w:r>
      <w:r w:rsidR="00661148" w:rsidRPr="00CA590F">
        <w:rPr>
          <w:rFonts w:ascii="Gadugi" w:eastAsia="Calibri" w:hAnsi="Gadugi" w:cs="Times New Roman"/>
          <w:sz w:val="24"/>
          <w:szCs w:val="24"/>
        </w:rPr>
        <w:t>se declarara a</w:t>
      </w:r>
      <w:r w:rsidR="008357C3" w:rsidRPr="00CA590F">
        <w:rPr>
          <w:rFonts w:ascii="Gadugi" w:eastAsia="Calibri" w:hAnsi="Gadugi" w:cs="Times New Roman"/>
          <w:sz w:val="24"/>
          <w:szCs w:val="24"/>
        </w:rPr>
        <w:t xml:space="preserve"> Hernán y Álvaro Duque Isaza indignos de suceder como herederos </w:t>
      </w:r>
      <w:r w:rsidR="00661148" w:rsidRPr="00CA590F">
        <w:rPr>
          <w:rFonts w:ascii="Gadugi" w:eastAsia="Calibri" w:hAnsi="Gadugi" w:cs="Times New Roman"/>
          <w:sz w:val="24"/>
          <w:szCs w:val="24"/>
        </w:rPr>
        <w:t xml:space="preserve">a </w:t>
      </w:r>
      <w:r w:rsidR="008357C3" w:rsidRPr="00CA590F">
        <w:rPr>
          <w:rFonts w:ascii="Gadugi" w:eastAsia="Calibri" w:hAnsi="Gadugi" w:cs="Times New Roman"/>
          <w:sz w:val="24"/>
          <w:szCs w:val="24"/>
        </w:rPr>
        <w:t>Magnolia Isaza de Duque, por las causales previstas en los numerales 6 y 8 del art</w:t>
      </w:r>
      <w:r w:rsidR="00661148" w:rsidRPr="00CA590F">
        <w:rPr>
          <w:rFonts w:ascii="Gadugi" w:eastAsia="Calibri" w:hAnsi="Gadugi" w:cs="Times New Roman"/>
          <w:sz w:val="24"/>
          <w:szCs w:val="24"/>
        </w:rPr>
        <w:t xml:space="preserve">ículo </w:t>
      </w:r>
      <w:r w:rsidR="008357C3" w:rsidRPr="00CA590F">
        <w:rPr>
          <w:rFonts w:ascii="Gadugi" w:eastAsia="Calibri" w:hAnsi="Gadugi" w:cs="Times New Roman"/>
          <w:sz w:val="24"/>
          <w:szCs w:val="24"/>
        </w:rPr>
        <w:t>1</w:t>
      </w:r>
      <w:r w:rsidR="00661148" w:rsidRPr="00CA590F">
        <w:rPr>
          <w:rFonts w:ascii="Gadugi" w:eastAsia="Calibri" w:hAnsi="Gadugi" w:cs="Times New Roman"/>
          <w:sz w:val="24"/>
          <w:szCs w:val="24"/>
        </w:rPr>
        <w:t>°</w:t>
      </w:r>
      <w:r w:rsidR="008357C3" w:rsidRPr="00CA590F">
        <w:rPr>
          <w:rFonts w:ascii="Gadugi" w:eastAsia="Calibri" w:hAnsi="Gadugi" w:cs="Times New Roman"/>
          <w:sz w:val="24"/>
          <w:szCs w:val="24"/>
        </w:rPr>
        <w:t xml:space="preserve"> de la ley 18</w:t>
      </w:r>
      <w:r w:rsidR="003E0EA5" w:rsidRPr="00CA590F">
        <w:rPr>
          <w:rFonts w:ascii="Gadugi" w:eastAsia="Calibri" w:hAnsi="Gadugi" w:cs="Times New Roman"/>
          <w:sz w:val="24"/>
          <w:szCs w:val="24"/>
        </w:rPr>
        <w:t>9</w:t>
      </w:r>
      <w:r w:rsidR="008357C3" w:rsidRPr="00CA590F">
        <w:rPr>
          <w:rFonts w:ascii="Gadugi" w:eastAsia="Calibri" w:hAnsi="Gadugi" w:cs="Times New Roman"/>
          <w:sz w:val="24"/>
          <w:szCs w:val="24"/>
        </w:rPr>
        <w:t xml:space="preserve">3 del 2018 por medio de la cual se modificó el art. 1025 del código civil </w:t>
      </w:r>
      <w:r w:rsidR="00661148" w:rsidRPr="00CA590F">
        <w:rPr>
          <w:rFonts w:ascii="Gadugi" w:eastAsia="Calibri" w:hAnsi="Gadugi" w:cs="Times New Roman"/>
          <w:sz w:val="24"/>
          <w:szCs w:val="24"/>
        </w:rPr>
        <w:t>(según indicó en el encabezado del libelo</w:t>
      </w:r>
      <w:r w:rsidR="00661148" w:rsidRPr="00CA590F">
        <w:rPr>
          <w:rStyle w:val="Refdenotaalpie"/>
          <w:rFonts w:ascii="Gadugi" w:eastAsia="Calibri" w:hAnsi="Gadugi" w:cs="Times New Roman"/>
          <w:sz w:val="24"/>
          <w:szCs w:val="24"/>
        </w:rPr>
        <w:footnoteReference w:id="3"/>
      </w:r>
      <w:r w:rsidR="00661148" w:rsidRPr="00CA590F">
        <w:rPr>
          <w:rFonts w:ascii="Gadugi" w:eastAsia="Calibri" w:hAnsi="Gadugi" w:cs="Times New Roman"/>
          <w:sz w:val="24"/>
          <w:szCs w:val="24"/>
        </w:rPr>
        <w:t xml:space="preserve">; </w:t>
      </w:r>
      <w:r w:rsidR="00D30F64" w:rsidRPr="00CA590F">
        <w:rPr>
          <w:rFonts w:ascii="Gadugi" w:eastAsia="Calibri" w:hAnsi="Gadugi" w:cs="Times New Roman"/>
          <w:sz w:val="24"/>
          <w:szCs w:val="24"/>
        </w:rPr>
        <w:t>(ii)</w:t>
      </w:r>
      <w:r w:rsidR="008357C3" w:rsidRPr="00CA590F">
        <w:rPr>
          <w:rFonts w:ascii="Gadugi" w:eastAsia="Calibri" w:hAnsi="Gadugi" w:cs="Times New Roman"/>
          <w:sz w:val="24"/>
          <w:szCs w:val="24"/>
        </w:rPr>
        <w:t xml:space="preserve"> como consecuencia de lo anterior</w:t>
      </w:r>
      <w:r w:rsidR="00661148" w:rsidRPr="00CA590F">
        <w:rPr>
          <w:rFonts w:ascii="Gadugi" w:eastAsia="Calibri" w:hAnsi="Gadugi" w:cs="Times New Roman"/>
          <w:sz w:val="24"/>
          <w:szCs w:val="24"/>
        </w:rPr>
        <w:t>,</w:t>
      </w:r>
      <w:r w:rsidR="008357C3" w:rsidRPr="00CA590F">
        <w:rPr>
          <w:rFonts w:ascii="Gadugi" w:eastAsia="Calibri" w:hAnsi="Gadugi" w:cs="Times New Roman"/>
          <w:sz w:val="24"/>
          <w:szCs w:val="24"/>
        </w:rPr>
        <w:t xml:space="preserve"> </w:t>
      </w:r>
      <w:r w:rsidR="00661148" w:rsidRPr="00CA590F">
        <w:rPr>
          <w:rFonts w:ascii="Gadugi" w:eastAsia="Calibri" w:hAnsi="Gadugi" w:cs="Times New Roman"/>
          <w:sz w:val="24"/>
          <w:szCs w:val="24"/>
        </w:rPr>
        <w:t>se les privara de</w:t>
      </w:r>
      <w:r w:rsidR="006766CA" w:rsidRPr="00CA590F">
        <w:rPr>
          <w:rFonts w:ascii="Gadugi" w:eastAsia="Calibri" w:hAnsi="Gadugi" w:cs="Times New Roman"/>
          <w:sz w:val="24"/>
          <w:szCs w:val="24"/>
        </w:rPr>
        <w:t xml:space="preserve"> su vocación le</w:t>
      </w:r>
      <w:r w:rsidR="007722C9" w:rsidRPr="00CA590F">
        <w:rPr>
          <w:rFonts w:ascii="Gadugi" w:eastAsia="Calibri" w:hAnsi="Gadugi" w:cs="Times New Roman"/>
          <w:sz w:val="24"/>
          <w:szCs w:val="24"/>
        </w:rPr>
        <w:t>gal</w:t>
      </w:r>
      <w:r w:rsidR="006766CA" w:rsidRPr="00CA590F">
        <w:rPr>
          <w:rFonts w:ascii="Gadugi" w:eastAsia="Calibri" w:hAnsi="Gadugi" w:cs="Times New Roman"/>
          <w:sz w:val="24"/>
          <w:szCs w:val="24"/>
        </w:rPr>
        <w:t xml:space="preserve"> de herederos</w:t>
      </w:r>
      <w:r w:rsidR="00661148" w:rsidRPr="00CA590F">
        <w:rPr>
          <w:rFonts w:ascii="Gadugi" w:eastAsia="Calibri" w:hAnsi="Gadugi" w:cs="Times New Roman"/>
          <w:sz w:val="24"/>
          <w:szCs w:val="24"/>
        </w:rPr>
        <w:t xml:space="preserve">; </w:t>
      </w:r>
      <w:r w:rsidR="00D30F64" w:rsidRPr="00CA590F">
        <w:rPr>
          <w:rFonts w:ascii="Gadugi" w:eastAsia="Calibri" w:hAnsi="Gadugi" w:cs="Times New Roman"/>
          <w:sz w:val="24"/>
          <w:szCs w:val="24"/>
        </w:rPr>
        <w:t>(iii)</w:t>
      </w:r>
      <w:r w:rsidR="00661148" w:rsidRPr="00CA590F">
        <w:rPr>
          <w:rFonts w:ascii="Gadugi" w:eastAsia="Calibri" w:hAnsi="Gadugi" w:cs="Times New Roman"/>
          <w:sz w:val="24"/>
          <w:szCs w:val="24"/>
        </w:rPr>
        <w:t xml:space="preserve"> de ser necesario, se convocara a los herederos indeterminados de la causante; y </w:t>
      </w:r>
      <w:r w:rsidR="007722C9" w:rsidRPr="00CA590F">
        <w:rPr>
          <w:rFonts w:ascii="Gadugi" w:eastAsia="Calibri" w:hAnsi="Gadugi" w:cs="Times New Roman"/>
          <w:sz w:val="24"/>
          <w:szCs w:val="24"/>
        </w:rPr>
        <w:t xml:space="preserve">(iv) </w:t>
      </w:r>
      <w:r w:rsidR="00661148" w:rsidRPr="00CA590F">
        <w:rPr>
          <w:rFonts w:ascii="Gadugi" w:eastAsia="Calibri" w:hAnsi="Gadugi" w:cs="Times New Roman"/>
          <w:sz w:val="24"/>
          <w:szCs w:val="24"/>
        </w:rPr>
        <w:t xml:space="preserve">se condenara en costas. </w:t>
      </w:r>
    </w:p>
    <w:p w14:paraId="6149A9F2" w14:textId="77777777" w:rsidR="00A70CE9" w:rsidRPr="00CA590F" w:rsidRDefault="00A70CE9" w:rsidP="00F35D5C">
      <w:pPr>
        <w:pStyle w:val="Prrafodelista"/>
        <w:tabs>
          <w:tab w:val="left" w:pos="3402"/>
        </w:tabs>
        <w:spacing w:after="0" w:line="276" w:lineRule="auto"/>
        <w:ind w:left="0" w:firstLine="1701"/>
        <w:jc w:val="both"/>
        <w:rPr>
          <w:rFonts w:ascii="Gadugi" w:eastAsia="Calibri" w:hAnsi="Gadugi" w:cs="Times New Roman"/>
          <w:sz w:val="24"/>
          <w:szCs w:val="24"/>
        </w:rPr>
      </w:pPr>
    </w:p>
    <w:p w14:paraId="4021259E" w14:textId="7B8192DB" w:rsidR="002271F1" w:rsidRPr="00CA590F" w:rsidRDefault="002271F1" w:rsidP="00F35D5C">
      <w:pPr>
        <w:pStyle w:val="Prrafodelista"/>
        <w:numPr>
          <w:ilvl w:val="1"/>
          <w:numId w:val="1"/>
        </w:numPr>
        <w:tabs>
          <w:tab w:val="left" w:pos="2268"/>
          <w:tab w:val="left" w:pos="3402"/>
        </w:tabs>
        <w:spacing w:after="0" w:line="276" w:lineRule="auto"/>
        <w:ind w:left="0" w:firstLine="1701"/>
        <w:jc w:val="both"/>
        <w:rPr>
          <w:rFonts w:ascii="Gadugi" w:eastAsia="Calibri" w:hAnsi="Gadugi" w:cs="Times New Roman"/>
          <w:b/>
          <w:sz w:val="24"/>
          <w:szCs w:val="24"/>
        </w:rPr>
      </w:pPr>
      <w:r w:rsidRPr="00CA590F">
        <w:rPr>
          <w:rFonts w:ascii="Gadugi" w:eastAsia="Calibri" w:hAnsi="Gadugi" w:cs="Times New Roman"/>
          <w:b/>
          <w:sz w:val="24"/>
          <w:szCs w:val="24"/>
        </w:rPr>
        <w:t>Trámite</w:t>
      </w:r>
    </w:p>
    <w:p w14:paraId="52AD075F" w14:textId="77777777" w:rsidR="002271F1" w:rsidRPr="00CA590F" w:rsidRDefault="002271F1" w:rsidP="00F35D5C">
      <w:pPr>
        <w:spacing w:after="0" w:line="276" w:lineRule="auto"/>
        <w:ind w:firstLine="1701"/>
        <w:jc w:val="both"/>
        <w:rPr>
          <w:rFonts w:ascii="Gadugi" w:eastAsia="Calibri" w:hAnsi="Gadugi" w:cs="Times New Roman"/>
          <w:sz w:val="24"/>
          <w:szCs w:val="24"/>
        </w:rPr>
      </w:pPr>
    </w:p>
    <w:p w14:paraId="5CFB0BAE" w14:textId="7F76F491" w:rsidR="000A7BC9" w:rsidRPr="00CA590F" w:rsidRDefault="00D30F64"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La demanda fue admitida con </w:t>
      </w:r>
      <w:r w:rsidR="002271F1" w:rsidRPr="00CA590F">
        <w:rPr>
          <w:rFonts w:ascii="Gadugi" w:eastAsia="Calibri" w:hAnsi="Gadugi" w:cs="Times New Roman"/>
          <w:sz w:val="24"/>
          <w:szCs w:val="24"/>
        </w:rPr>
        <w:t>auto</w:t>
      </w:r>
      <w:r w:rsidR="00CA1F0D" w:rsidRPr="00CA590F">
        <w:rPr>
          <w:rFonts w:ascii="Gadugi" w:eastAsia="Calibri" w:hAnsi="Gadugi" w:cs="Times New Roman"/>
          <w:sz w:val="24"/>
          <w:szCs w:val="24"/>
        </w:rPr>
        <w:t xml:space="preserve"> </w:t>
      </w:r>
      <w:r w:rsidR="002271F1" w:rsidRPr="00CA590F">
        <w:rPr>
          <w:rFonts w:ascii="Gadugi" w:eastAsia="Calibri" w:hAnsi="Gadugi" w:cs="Times New Roman"/>
          <w:sz w:val="24"/>
          <w:szCs w:val="24"/>
        </w:rPr>
        <w:t xml:space="preserve">del </w:t>
      </w:r>
      <w:r w:rsidR="00CA1F0D" w:rsidRPr="00CA590F">
        <w:rPr>
          <w:rFonts w:ascii="Gadugi" w:eastAsia="Calibri" w:hAnsi="Gadugi" w:cs="Times New Roman"/>
          <w:sz w:val="24"/>
          <w:szCs w:val="24"/>
        </w:rPr>
        <w:t>05</w:t>
      </w:r>
      <w:r w:rsidR="00252C51" w:rsidRPr="00CA590F">
        <w:rPr>
          <w:rFonts w:ascii="Gadugi" w:eastAsia="Calibri" w:hAnsi="Gadugi" w:cs="Times New Roman"/>
          <w:sz w:val="24"/>
          <w:szCs w:val="24"/>
        </w:rPr>
        <w:t xml:space="preserve"> </w:t>
      </w:r>
      <w:r w:rsidR="00C93674" w:rsidRPr="00CA590F">
        <w:rPr>
          <w:rFonts w:ascii="Gadugi" w:eastAsia="Calibri" w:hAnsi="Gadugi" w:cs="Times New Roman"/>
          <w:sz w:val="24"/>
          <w:szCs w:val="24"/>
        </w:rPr>
        <w:t xml:space="preserve">de </w:t>
      </w:r>
      <w:r w:rsidR="00CA1F0D" w:rsidRPr="00CA590F">
        <w:rPr>
          <w:rFonts w:ascii="Gadugi" w:eastAsia="Calibri" w:hAnsi="Gadugi" w:cs="Times New Roman"/>
          <w:sz w:val="24"/>
          <w:szCs w:val="24"/>
        </w:rPr>
        <w:t>marz</w:t>
      </w:r>
      <w:r w:rsidR="00252C51" w:rsidRPr="00CA590F">
        <w:rPr>
          <w:rFonts w:ascii="Gadugi" w:eastAsia="Calibri" w:hAnsi="Gadugi" w:cs="Times New Roman"/>
          <w:sz w:val="24"/>
          <w:szCs w:val="24"/>
        </w:rPr>
        <w:t>o de 2020</w:t>
      </w:r>
      <w:r w:rsidRPr="00CA590F">
        <w:rPr>
          <w:rStyle w:val="Refdenotaalpie"/>
          <w:rFonts w:ascii="Gadugi" w:eastAsia="Calibri" w:hAnsi="Gadugi" w:cs="Times New Roman"/>
          <w:sz w:val="24"/>
          <w:szCs w:val="24"/>
        </w:rPr>
        <w:footnoteReference w:id="4"/>
      </w:r>
      <w:r w:rsidRPr="00CA590F">
        <w:rPr>
          <w:rFonts w:ascii="Gadugi" w:eastAsia="Calibri" w:hAnsi="Gadugi" w:cs="Times New Roman"/>
          <w:sz w:val="24"/>
          <w:szCs w:val="24"/>
        </w:rPr>
        <w:t xml:space="preserve"> y allí se ordenó vincular a los herederos indeterminados de Magnolia Isaza de Duque. El curador designado respondió la demanda; se refirió a los hechos y se atuvo a lo que resultara probado</w:t>
      </w:r>
      <w:r w:rsidRPr="00CA590F">
        <w:rPr>
          <w:rStyle w:val="Refdenotaalpie"/>
          <w:rFonts w:ascii="Gadugi" w:eastAsia="Calibri" w:hAnsi="Gadugi" w:cs="Times New Roman"/>
          <w:sz w:val="24"/>
          <w:szCs w:val="24"/>
        </w:rPr>
        <w:footnoteReference w:id="5"/>
      </w:r>
      <w:r w:rsidRPr="00CA590F">
        <w:rPr>
          <w:rFonts w:ascii="Gadugi" w:eastAsia="Calibri" w:hAnsi="Gadugi" w:cs="Times New Roman"/>
          <w:sz w:val="24"/>
          <w:szCs w:val="24"/>
        </w:rPr>
        <w:t xml:space="preserve">. </w:t>
      </w:r>
    </w:p>
    <w:p w14:paraId="2A0FD825" w14:textId="77777777" w:rsidR="00336D26" w:rsidRPr="00CA590F" w:rsidRDefault="00336D26" w:rsidP="00F35D5C">
      <w:pPr>
        <w:spacing w:after="0" w:line="276" w:lineRule="auto"/>
        <w:ind w:firstLine="1701"/>
        <w:jc w:val="both"/>
        <w:rPr>
          <w:rFonts w:ascii="Gadugi" w:eastAsia="Calibri" w:hAnsi="Gadugi" w:cs="Times New Roman"/>
          <w:sz w:val="24"/>
          <w:szCs w:val="24"/>
        </w:rPr>
      </w:pPr>
    </w:p>
    <w:p w14:paraId="29E63E15" w14:textId="1A4118C1" w:rsidR="009A3F44" w:rsidRPr="00CA590F" w:rsidRDefault="0004252E"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En cuanto a los señores Álvaro y Hernán Duque Isaza, por medio de autos del 9 y el 30 de abril de 2021</w:t>
      </w:r>
      <w:r w:rsidRPr="00CA590F">
        <w:rPr>
          <w:rStyle w:val="Refdenotaalpie"/>
          <w:rFonts w:ascii="Gadugi" w:eastAsia="Calibri" w:hAnsi="Gadugi" w:cs="Times New Roman"/>
          <w:sz w:val="24"/>
          <w:szCs w:val="24"/>
        </w:rPr>
        <w:footnoteReference w:id="6"/>
      </w:r>
      <w:r w:rsidRPr="00CA590F">
        <w:rPr>
          <w:rFonts w:ascii="Gadugi" w:eastAsia="Calibri" w:hAnsi="Gadugi" w:cs="Times New Roman"/>
          <w:sz w:val="24"/>
          <w:szCs w:val="24"/>
        </w:rPr>
        <w:t>, sin réplica durante su ejecutoria del demandante, se les tuvo como notificados por conducta concluyente. Y mediante apoderada judicial, dieron respuesta el 3 de mayo de ese año</w:t>
      </w:r>
      <w:r w:rsidRPr="00CA590F">
        <w:rPr>
          <w:rStyle w:val="Refdenotaalpie"/>
          <w:rFonts w:ascii="Gadugi" w:eastAsia="Calibri" w:hAnsi="Gadugi" w:cs="Times New Roman"/>
          <w:sz w:val="24"/>
          <w:szCs w:val="24"/>
        </w:rPr>
        <w:footnoteReference w:id="7"/>
      </w:r>
      <w:r w:rsidRPr="00CA590F">
        <w:rPr>
          <w:rFonts w:ascii="Gadugi" w:eastAsia="Calibri" w:hAnsi="Gadugi" w:cs="Times New Roman"/>
          <w:sz w:val="24"/>
          <w:szCs w:val="24"/>
        </w:rPr>
        <w:t>, en la que aceptaron unos hechos y negaron otros; se opusieron a lo pedi</w:t>
      </w:r>
      <w:r w:rsidR="008D1ABB" w:rsidRPr="00CA590F">
        <w:rPr>
          <w:rFonts w:ascii="Gadugi" w:eastAsia="Calibri" w:hAnsi="Gadugi" w:cs="Times New Roman"/>
          <w:sz w:val="24"/>
          <w:szCs w:val="24"/>
        </w:rPr>
        <w:t>d</w:t>
      </w:r>
      <w:r w:rsidRPr="00CA590F">
        <w:rPr>
          <w:rFonts w:ascii="Gadugi" w:eastAsia="Calibri" w:hAnsi="Gadugi" w:cs="Times New Roman"/>
          <w:sz w:val="24"/>
          <w:szCs w:val="24"/>
        </w:rPr>
        <w:t>o y formularon como excepciones las que nominaron: (i)</w:t>
      </w:r>
      <w:r w:rsidR="00AF4E63" w:rsidRPr="00CA590F">
        <w:rPr>
          <w:rFonts w:ascii="Gadugi" w:eastAsia="Calibri" w:hAnsi="Gadugi" w:cs="Times New Roman"/>
          <w:sz w:val="24"/>
          <w:szCs w:val="24"/>
        </w:rPr>
        <w:t xml:space="preserve"> </w:t>
      </w:r>
      <w:r w:rsidRPr="00CA590F">
        <w:rPr>
          <w:rFonts w:ascii="Gadugi" w:eastAsia="Calibri" w:hAnsi="Gadugi" w:cs="Times New Roman"/>
          <w:sz w:val="24"/>
          <w:szCs w:val="24"/>
        </w:rPr>
        <w:t>i</w:t>
      </w:r>
      <w:r w:rsidR="00AF4E63" w:rsidRPr="00CA590F">
        <w:rPr>
          <w:rFonts w:ascii="Gadugi" w:eastAsia="Calibri" w:hAnsi="Gadugi" w:cs="Times New Roman"/>
          <w:sz w:val="24"/>
          <w:szCs w:val="24"/>
        </w:rPr>
        <w:t xml:space="preserve">nexistencia de </w:t>
      </w:r>
      <w:r w:rsidR="00A84686" w:rsidRPr="00CA590F">
        <w:rPr>
          <w:rFonts w:ascii="Gadugi" w:eastAsia="Calibri" w:hAnsi="Gadugi" w:cs="Times New Roman"/>
          <w:sz w:val="24"/>
          <w:szCs w:val="24"/>
        </w:rPr>
        <w:t>abandono por parte de</w:t>
      </w:r>
      <w:r w:rsidR="00AF4E63" w:rsidRPr="00CA590F">
        <w:rPr>
          <w:rFonts w:ascii="Gadugi" w:eastAsia="Calibri" w:hAnsi="Gadugi" w:cs="Times New Roman"/>
          <w:sz w:val="24"/>
          <w:szCs w:val="24"/>
        </w:rPr>
        <w:t xml:space="preserve"> </w:t>
      </w:r>
      <w:r w:rsidRPr="00CA590F">
        <w:rPr>
          <w:rFonts w:ascii="Gadugi" w:eastAsia="Calibri" w:hAnsi="Gadugi" w:cs="Times New Roman"/>
          <w:sz w:val="24"/>
          <w:szCs w:val="24"/>
        </w:rPr>
        <w:t>los herederos Hernán</w:t>
      </w:r>
      <w:r w:rsidR="00AF4E63" w:rsidRPr="00CA590F">
        <w:rPr>
          <w:rFonts w:ascii="Gadugi" w:eastAsia="Calibri" w:hAnsi="Gadugi" w:cs="Times New Roman"/>
          <w:sz w:val="24"/>
          <w:szCs w:val="24"/>
        </w:rPr>
        <w:t xml:space="preserve"> Duque </w:t>
      </w:r>
      <w:r w:rsidRPr="00CA590F">
        <w:rPr>
          <w:rFonts w:ascii="Gadugi" w:eastAsia="Calibri" w:hAnsi="Gadugi" w:cs="Times New Roman"/>
          <w:sz w:val="24"/>
          <w:szCs w:val="24"/>
        </w:rPr>
        <w:t xml:space="preserve">Isaza </w:t>
      </w:r>
      <w:r w:rsidR="00AF4E63" w:rsidRPr="00CA590F">
        <w:rPr>
          <w:rFonts w:ascii="Gadugi" w:eastAsia="Calibri" w:hAnsi="Gadugi" w:cs="Times New Roman"/>
          <w:sz w:val="24"/>
          <w:szCs w:val="24"/>
        </w:rPr>
        <w:t xml:space="preserve">y </w:t>
      </w:r>
      <w:r w:rsidRPr="00CA590F">
        <w:rPr>
          <w:rFonts w:ascii="Gadugi" w:eastAsia="Calibri" w:hAnsi="Gadugi" w:cs="Times New Roman"/>
          <w:sz w:val="24"/>
          <w:szCs w:val="24"/>
        </w:rPr>
        <w:t xml:space="preserve">Álvaro </w:t>
      </w:r>
      <w:r w:rsidR="00AF4E63" w:rsidRPr="00CA590F">
        <w:rPr>
          <w:rFonts w:ascii="Gadugi" w:eastAsia="Calibri" w:hAnsi="Gadugi" w:cs="Times New Roman"/>
          <w:sz w:val="24"/>
          <w:szCs w:val="24"/>
        </w:rPr>
        <w:lastRenderedPageBreak/>
        <w:t>Duque</w:t>
      </w:r>
      <w:r w:rsidRPr="00CA590F">
        <w:rPr>
          <w:rFonts w:ascii="Gadugi" w:eastAsia="Calibri" w:hAnsi="Gadugi" w:cs="Times New Roman"/>
          <w:sz w:val="24"/>
          <w:szCs w:val="24"/>
        </w:rPr>
        <w:t xml:space="preserve"> Isaza</w:t>
      </w:r>
      <w:r w:rsidR="00880E55" w:rsidRPr="00CA590F">
        <w:rPr>
          <w:rFonts w:ascii="Gadugi" w:eastAsia="Calibri" w:hAnsi="Gadugi" w:cs="Times New Roman"/>
          <w:sz w:val="24"/>
          <w:szCs w:val="24"/>
        </w:rPr>
        <w:t>;</w:t>
      </w:r>
      <w:r w:rsidR="00AF4E63" w:rsidRPr="00CA590F">
        <w:rPr>
          <w:rFonts w:ascii="Gadugi" w:eastAsia="Calibri" w:hAnsi="Gadugi" w:cs="Times New Roman"/>
          <w:sz w:val="24"/>
          <w:szCs w:val="24"/>
        </w:rPr>
        <w:t xml:space="preserve"> </w:t>
      </w:r>
      <w:r w:rsidR="009A3F44" w:rsidRPr="00CA590F">
        <w:rPr>
          <w:rFonts w:ascii="Gadugi" w:eastAsia="Calibri" w:hAnsi="Gadugi" w:cs="Times New Roman"/>
          <w:sz w:val="24"/>
          <w:szCs w:val="24"/>
        </w:rPr>
        <w:t xml:space="preserve">y </w:t>
      </w:r>
      <w:r w:rsidRPr="00CA590F">
        <w:rPr>
          <w:rFonts w:ascii="Gadugi" w:eastAsia="Calibri" w:hAnsi="Gadugi" w:cs="Times New Roman"/>
          <w:sz w:val="24"/>
          <w:szCs w:val="24"/>
        </w:rPr>
        <w:t>(ii)</w:t>
      </w:r>
      <w:r w:rsidR="00AF4E63" w:rsidRPr="00CA590F">
        <w:rPr>
          <w:rFonts w:ascii="Gadugi" w:eastAsia="Calibri" w:hAnsi="Gadugi" w:cs="Times New Roman"/>
          <w:sz w:val="24"/>
          <w:szCs w:val="24"/>
        </w:rPr>
        <w:t xml:space="preserve"> </w:t>
      </w:r>
      <w:r w:rsidR="00A84686" w:rsidRPr="00CA590F">
        <w:rPr>
          <w:rFonts w:ascii="Gadugi" w:eastAsia="Calibri" w:hAnsi="Gadugi" w:cs="Times New Roman"/>
          <w:sz w:val="24"/>
          <w:szCs w:val="24"/>
        </w:rPr>
        <w:t>inexistencia de abandono sin justa causa y de prestación</w:t>
      </w:r>
      <w:r w:rsidR="00AF4E63" w:rsidRPr="00CA590F">
        <w:rPr>
          <w:rFonts w:ascii="Gadugi" w:eastAsia="Calibri" w:hAnsi="Gadugi" w:cs="Times New Roman"/>
          <w:sz w:val="24"/>
          <w:szCs w:val="24"/>
        </w:rPr>
        <w:t xml:space="preserve"> necesaria   al causante que se encontraba e</w:t>
      </w:r>
      <w:r w:rsidR="004B5FB6" w:rsidRPr="00CA590F">
        <w:rPr>
          <w:rFonts w:ascii="Gadugi" w:eastAsia="Calibri" w:hAnsi="Gadugi" w:cs="Times New Roman"/>
          <w:sz w:val="24"/>
          <w:szCs w:val="24"/>
        </w:rPr>
        <w:t>n situación</w:t>
      </w:r>
      <w:r w:rsidR="009A3F44" w:rsidRPr="00CA590F">
        <w:rPr>
          <w:rFonts w:ascii="Gadugi" w:eastAsia="Calibri" w:hAnsi="Gadugi" w:cs="Times New Roman"/>
          <w:sz w:val="24"/>
          <w:szCs w:val="24"/>
        </w:rPr>
        <w:t xml:space="preserve"> </w:t>
      </w:r>
      <w:r w:rsidR="004B5FB6" w:rsidRPr="00CA590F">
        <w:rPr>
          <w:rFonts w:ascii="Gadugi" w:eastAsia="Calibri" w:hAnsi="Gadugi" w:cs="Times New Roman"/>
          <w:sz w:val="24"/>
          <w:szCs w:val="24"/>
        </w:rPr>
        <w:t>de discapacidad</w:t>
      </w:r>
      <w:r w:rsidR="009A3F44" w:rsidRPr="00CA590F">
        <w:rPr>
          <w:rFonts w:ascii="Gadugi" w:eastAsia="Calibri" w:hAnsi="Gadugi" w:cs="Times New Roman"/>
          <w:sz w:val="24"/>
          <w:szCs w:val="24"/>
        </w:rPr>
        <w:t xml:space="preserve">. </w:t>
      </w:r>
    </w:p>
    <w:p w14:paraId="7260C941" w14:textId="77777777" w:rsidR="009A3F44" w:rsidRPr="00CA590F" w:rsidRDefault="009A3F44" w:rsidP="00F35D5C">
      <w:pPr>
        <w:spacing w:after="0" w:line="276" w:lineRule="auto"/>
        <w:ind w:firstLine="1701"/>
        <w:jc w:val="both"/>
        <w:rPr>
          <w:rFonts w:ascii="Gadugi" w:eastAsia="Calibri" w:hAnsi="Gadugi" w:cs="Times New Roman"/>
          <w:sz w:val="24"/>
          <w:szCs w:val="24"/>
        </w:rPr>
      </w:pPr>
    </w:p>
    <w:p w14:paraId="5EB71B71" w14:textId="544BCEB6" w:rsidR="00A93057" w:rsidRPr="00CA590F" w:rsidRDefault="00A27564"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El 6 de mayo del 2021</w:t>
      </w:r>
      <w:r w:rsidR="009A3F44" w:rsidRPr="00CA590F">
        <w:rPr>
          <w:rFonts w:ascii="Gadugi" w:eastAsia="Calibri" w:hAnsi="Gadugi" w:cs="Times New Roman"/>
          <w:sz w:val="24"/>
          <w:szCs w:val="24"/>
        </w:rPr>
        <w:t>, se adicionó la respuesta con la aportación de una prueba relacionada con unos giros</w:t>
      </w:r>
      <w:r w:rsidR="009A3F44" w:rsidRPr="00CA590F">
        <w:rPr>
          <w:rStyle w:val="Refdenotaalpie"/>
          <w:rFonts w:ascii="Gadugi" w:eastAsia="Calibri" w:hAnsi="Gadugi" w:cs="Times New Roman"/>
          <w:sz w:val="24"/>
          <w:szCs w:val="24"/>
        </w:rPr>
        <w:footnoteReference w:id="8"/>
      </w:r>
      <w:r w:rsidR="009A3F44" w:rsidRPr="00CA590F">
        <w:rPr>
          <w:rFonts w:ascii="Gadugi" w:eastAsia="Calibri" w:hAnsi="Gadugi" w:cs="Times New Roman"/>
          <w:sz w:val="24"/>
          <w:szCs w:val="24"/>
        </w:rPr>
        <w:t xml:space="preserve">. </w:t>
      </w:r>
    </w:p>
    <w:p w14:paraId="324CC1B1" w14:textId="77777777" w:rsidR="00F40AC7" w:rsidRPr="00CA590F" w:rsidRDefault="00F40AC7" w:rsidP="00F35D5C">
      <w:pPr>
        <w:spacing w:after="0" w:line="276" w:lineRule="auto"/>
        <w:ind w:firstLine="1701"/>
        <w:jc w:val="both"/>
        <w:rPr>
          <w:rFonts w:ascii="Gadugi" w:eastAsia="Calibri" w:hAnsi="Gadugi" w:cs="Times New Roman"/>
          <w:sz w:val="24"/>
          <w:szCs w:val="24"/>
        </w:rPr>
      </w:pPr>
    </w:p>
    <w:p w14:paraId="2CCDE328" w14:textId="078F2B70" w:rsidR="008D1ABB" w:rsidRPr="00CA590F" w:rsidRDefault="008D1ABB" w:rsidP="00F35D5C">
      <w:pPr>
        <w:pStyle w:val="Prrafodelista"/>
        <w:numPr>
          <w:ilvl w:val="1"/>
          <w:numId w:val="1"/>
        </w:numPr>
        <w:tabs>
          <w:tab w:val="left" w:pos="2268"/>
        </w:tabs>
        <w:spacing w:after="0" w:line="276" w:lineRule="auto"/>
        <w:ind w:left="0" w:firstLine="1701"/>
        <w:jc w:val="both"/>
        <w:rPr>
          <w:rFonts w:ascii="Gadugi" w:eastAsia="Calibri" w:hAnsi="Gadugi" w:cs="Times New Roman"/>
          <w:b/>
          <w:sz w:val="24"/>
          <w:szCs w:val="24"/>
        </w:rPr>
      </w:pPr>
      <w:r w:rsidRPr="00CA590F">
        <w:rPr>
          <w:rFonts w:ascii="Gadugi" w:hAnsi="Gadugi"/>
          <w:b/>
          <w:sz w:val="24"/>
          <w:szCs w:val="24"/>
        </w:rPr>
        <w:t>La sentencia de primer grado</w:t>
      </w:r>
      <w:r w:rsidR="0034233D" w:rsidRPr="00CA590F">
        <w:rPr>
          <w:rFonts w:ascii="Gadugi" w:hAnsi="Gadugi"/>
          <w:b/>
          <w:sz w:val="24"/>
          <w:szCs w:val="24"/>
        </w:rPr>
        <w:t xml:space="preserve"> y la apelación. </w:t>
      </w:r>
    </w:p>
    <w:p w14:paraId="45FD1B4F" w14:textId="77777777" w:rsidR="008D1ABB" w:rsidRPr="00CA590F" w:rsidRDefault="008D1ABB" w:rsidP="00F35D5C">
      <w:pPr>
        <w:pStyle w:val="Prrafodelista"/>
        <w:spacing w:after="0" w:line="276" w:lineRule="auto"/>
        <w:ind w:left="3555"/>
        <w:jc w:val="both"/>
        <w:rPr>
          <w:rFonts w:ascii="Gadugi" w:eastAsia="Calibri" w:hAnsi="Gadugi" w:cs="Times New Roman"/>
          <w:sz w:val="24"/>
          <w:szCs w:val="24"/>
        </w:rPr>
      </w:pPr>
    </w:p>
    <w:p w14:paraId="11590C1B" w14:textId="10388255" w:rsidR="00663647" w:rsidRPr="00CA590F" w:rsidRDefault="009A3F44"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Surtido el trámite restante con el decreto de pruebas, su práctica y los alegatos de conclusión, vino el fallo de primera instancia</w:t>
      </w:r>
      <w:r w:rsidR="008D1ABB" w:rsidRPr="00CA590F">
        <w:rPr>
          <w:rStyle w:val="Refdenotaalpie"/>
          <w:rFonts w:ascii="Gadugi" w:eastAsia="Calibri" w:hAnsi="Gadugi" w:cs="Times New Roman"/>
          <w:sz w:val="24"/>
          <w:szCs w:val="24"/>
        </w:rPr>
        <w:footnoteReference w:id="9"/>
      </w:r>
      <w:r w:rsidR="0034233D" w:rsidRPr="00CA590F">
        <w:rPr>
          <w:rFonts w:ascii="Gadugi" w:eastAsia="Calibri" w:hAnsi="Gadugi" w:cs="Times New Roman"/>
          <w:sz w:val="24"/>
          <w:szCs w:val="24"/>
        </w:rPr>
        <w:t xml:space="preserve">, en el que </w:t>
      </w:r>
      <w:r w:rsidR="008D1ABB" w:rsidRPr="00CA590F">
        <w:rPr>
          <w:rFonts w:ascii="Gadugi" w:eastAsia="Calibri" w:hAnsi="Gadugi" w:cs="Times New Roman"/>
          <w:sz w:val="24"/>
          <w:szCs w:val="24"/>
        </w:rPr>
        <w:t>se declar</w:t>
      </w:r>
      <w:r w:rsidR="0034233D" w:rsidRPr="00CA590F">
        <w:rPr>
          <w:rFonts w:ascii="Gadugi" w:eastAsia="Calibri" w:hAnsi="Gadugi" w:cs="Times New Roman"/>
          <w:sz w:val="24"/>
          <w:szCs w:val="24"/>
        </w:rPr>
        <w:t xml:space="preserve">ó probada la </w:t>
      </w:r>
      <w:r w:rsidR="008D1ABB" w:rsidRPr="00CA590F">
        <w:rPr>
          <w:rFonts w:ascii="Gadugi" w:eastAsia="Calibri" w:hAnsi="Gadugi" w:cs="Times New Roman"/>
          <w:sz w:val="24"/>
          <w:szCs w:val="24"/>
        </w:rPr>
        <w:t>excepci</w:t>
      </w:r>
      <w:r w:rsidR="0034233D" w:rsidRPr="00CA590F">
        <w:rPr>
          <w:rFonts w:ascii="Gadugi" w:eastAsia="Calibri" w:hAnsi="Gadugi" w:cs="Times New Roman"/>
          <w:sz w:val="24"/>
          <w:szCs w:val="24"/>
        </w:rPr>
        <w:t xml:space="preserve">ón de inexistencia del abandono imputado </w:t>
      </w:r>
      <w:r w:rsidR="008D1ABB" w:rsidRPr="00CA590F">
        <w:rPr>
          <w:rFonts w:ascii="Gadugi" w:eastAsia="Calibri" w:hAnsi="Gadugi" w:cs="Times New Roman"/>
          <w:sz w:val="24"/>
          <w:szCs w:val="24"/>
        </w:rPr>
        <w:t xml:space="preserve">y se negaron las </w:t>
      </w:r>
      <w:r w:rsidR="00663647" w:rsidRPr="00CA590F">
        <w:rPr>
          <w:rFonts w:ascii="Gadugi" w:eastAsia="Calibri" w:hAnsi="Gadugi" w:cs="Times New Roman"/>
          <w:sz w:val="24"/>
          <w:szCs w:val="24"/>
        </w:rPr>
        <w:t>pretensiones</w:t>
      </w:r>
      <w:r w:rsidR="0034233D" w:rsidRPr="00CA590F">
        <w:rPr>
          <w:rFonts w:ascii="Gadugi" w:eastAsia="Calibri" w:hAnsi="Gadugi" w:cs="Times New Roman"/>
          <w:sz w:val="24"/>
          <w:szCs w:val="24"/>
        </w:rPr>
        <w:t xml:space="preserve">. </w:t>
      </w:r>
    </w:p>
    <w:p w14:paraId="1FDF4C50" w14:textId="77777777" w:rsidR="008D1ABB" w:rsidRPr="00CA590F" w:rsidRDefault="008D1ABB" w:rsidP="00F35D5C">
      <w:pPr>
        <w:spacing w:after="0" w:line="276" w:lineRule="auto"/>
        <w:ind w:firstLine="1701"/>
        <w:jc w:val="both"/>
        <w:rPr>
          <w:rFonts w:ascii="Gadugi" w:eastAsia="Calibri" w:hAnsi="Gadugi" w:cs="Times New Roman"/>
          <w:sz w:val="24"/>
          <w:szCs w:val="24"/>
        </w:rPr>
      </w:pPr>
    </w:p>
    <w:p w14:paraId="66EF4FD2" w14:textId="6402DEE7" w:rsidR="00250ED2" w:rsidRPr="00CA590F" w:rsidRDefault="0034233D"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Apeló la parte demandante que, en la primera instancia planteó los reparos contra el fallo</w:t>
      </w:r>
      <w:r w:rsidRPr="00CA590F">
        <w:rPr>
          <w:rStyle w:val="Refdenotaalpie"/>
          <w:rFonts w:ascii="Gadugi" w:eastAsia="Calibri" w:hAnsi="Gadugi" w:cs="Times New Roman"/>
          <w:sz w:val="24"/>
          <w:szCs w:val="24"/>
        </w:rPr>
        <w:footnoteReference w:id="10"/>
      </w:r>
      <w:r w:rsidR="007B40DD" w:rsidRPr="00CA590F">
        <w:rPr>
          <w:rFonts w:ascii="Gadugi" w:eastAsia="Calibri" w:hAnsi="Gadugi" w:cs="Times New Roman"/>
          <w:sz w:val="24"/>
          <w:szCs w:val="24"/>
        </w:rPr>
        <w:t>, replicados en la sustentación en esta sede</w:t>
      </w:r>
      <w:r w:rsidR="007B40DD" w:rsidRPr="00CA590F">
        <w:rPr>
          <w:rStyle w:val="Refdenotaalpie"/>
          <w:rFonts w:ascii="Gadugi" w:eastAsia="Calibri" w:hAnsi="Gadugi" w:cs="Times New Roman"/>
          <w:sz w:val="24"/>
          <w:szCs w:val="24"/>
        </w:rPr>
        <w:footnoteReference w:id="11"/>
      </w:r>
      <w:r w:rsidRPr="00CA590F">
        <w:rPr>
          <w:rFonts w:ascii="Gadugi" w:eastAsia="Calibri" w:hAnsi="Gadugi" w:cs="Times New Roman"/>
          <w:sz w:val="24"/>
          <w:szCs w:val="24"/>
        </w:rPr>
        <w:t xml:space="preserve">. </w:t>
      </w:r>
      <w:r w:rsidR="007B40DD" w:rsidRPr="00CA590F">
        <w:rPr>
          <w:rFonts w:ascii="Gadugi" w:eastAsia="Calibri" w:hAnsi="Gadugi" w:cs="Times New Roman"/>
          <w:sz w:val="24"/>
          <w:szCs w:val="24"/>
        </w:rPr>
        <w:t xml:space="preserve">A ellos se aludirá más adelante. </w:t>
      </w:r>
    </w:p>
    <w:p w14:paraId="5DF98696" w14:textId="11916A7F" w:rsidR="00663647" w:rsidRPr="00CA590F" w:rsidRDefault="00663647" w:rsidP="00F35D5C">
      <w:pPr>
        <w:spacing w:after="0" w:line="276" w:lineRule="auto"/>
        <w:ind w:firstLine="1701"/>
        <w:jc w:val="both"/>
        <w:rPr>
          <w:rFonts w:ascii="Gadugi" w:eastAsia="Calibri" w:hAnsi="Gadugi" w:cs="Times New Roman"/>
          <w:sz w:val="24"/>
          <w:szCs w:val="24"/>
        </w:rPr>
      </w:pPr>
    </w:p>
    <w:p w14:paraId="12AF3B84" w14:textId="77777777" w:rsidR="001F7B6A" w:rsidRPr="00CA590F" w:rsidRDefault="001F7B6A" w:rsidP="00F35D5C">
      <w:pPr>
        <w:spacing w:after="0" w:line="276" w:lineRule="auto"/>
        <w:ind w:firstLine="1701"/>
        <w:jc w:val="both"/>
        <w:rPr>
          <w:rFonts w:ascii="Gadugi" w:eastAsia="Calibri" w:hAnsi="Gadugi" w:cs="Times New Roman"/>
          <w:sz w:val="24"/>
          <w:szCs w:val="24"/>
        </w:rPr>
      </w:pPr>
    </w:p>
    <w:p w14:paraId="62ECA209" w14:textId="02B1F037" w:rsidR="0034233D" w:rsidRPr="00CA590F" w:rsidRDefault="000B15D8" w:rsidP="00F35D5C">
      <w:pPr>
        <w:pStyle w:val="Prrafodelista"/>
        <w:numPr>
          <w:ilvl w:val="0"/>
          <w:numId w:val="1"/>
        </w:numPr>
        <w:spacing w:after="0" w:line="276" w:lineRule="auto"/>
        <w:ind w:left="0" w:firstLine="1701"/>
        <w:jc w:val="both"/>
        <w:rPr>
          <w:rFonts w:ascii="Gadugi" w:eastAsia="Calibri" w:hAnsi="Gadugi" w:cs="Times New Roman"/>
          <w:b/>
          <w:sz w:val="24"/>
          <w:szCs w:val="24"/>
        </w:rPr>
      </w:pPr>
      <w:r w:rsidRPr="00CA590F">
        <w:rPr>
          <w:rFonts w:ascii="Gadugi" w:hAnsi="Gadugi"/>
          <w:b/>
          <w:sz w:val="24"/>
          <w:szCs w:val="24"/>
        </w:rPr>
        <w:t>CONSIDERACIONES</w:t>
      </w:r>
    </w:p>
    <w:p w14:paraId="35907A55" w14:textId="3EB94506" w:rsidR="000B15D8" w:rsidRPr="00CA590F" w:rsidRDefault="000B15D8" w:rsidP="00F35D5C">
      <w:pPr>
        <w:spacing w:after="0" w:line="276" w:lineRule="auto"/>
        <w:ind w:firstLine="1701"/>
        <w:jc w:val="both"/>
        <w:rPr>
          <w:rFonts w:ascii="Gadugi" w:eastAsia="Calibri" w:hAnsi="Gadugi" w:cs="Times New Roman"/>
          <w:b/>
          <w:sz w:val="24"/>
          <w:szCs w:val="24"/>
        </w:rPr>
      </w:pPr>
    </w:p>
    <w:p w14:paraId="6499DB0F" w14:textId="77777777" w:rsidR="001F7B6A" w:rsidRPr="00CA590F" w:rsidRDefault="001F7B6A" w:rsidP="00F35D5C">
      <w:pPr>
        <w:spacing w:after="0" w:line="276" w:lineRule="auto"/>
        <w:ind w:firstLine="1701"/>
        <w:jc w:val="both"/>
        <w:rPr>
          <w:rFonts w:ascii="Gadugi" w:eastAsia="Calibri" w:hAnsi="Gadugi" w:cs="Times New Roman"/>
          <w:b/>
          <w:sz w:val="24"/>
          <w:szCs w:val="24"/>
        </w:rPr>
      </w:pPr>
    </w:p>
    <w:p w14:paraId="5BB777D0" w14:textId="48F10631" w:rsidR="000B15D8" w:rsidRPr="00CA590F" w:rsidRDefault="000B15D8" w:rsidP="00F35D5C">
      <w:pPr>
        <w:pStyle w:val="Prrafodelista"/>
        <w:numPr>
          <w:ilvl w:val="1"/>
          <w:numId w:val="1"/>
        </w:numPr>
        <w:tabs>
          <w:tab w:val="left" w:pos="2268"/>
        </w:tabs>
        <w:spacing w:after="0" w:line="276" w:lineRule="auto"/>
        <w:ind w:left="0" w:firstLine="1701"/>
        <w:jc w:val="both"/>
        <w:rPr>
          <w:rFonts w:ascii="Gadugi" w:eastAsia="Calibri" w:hAnsi="Gadugi" w:cs="Times New Roman"/>
          <w:sz w:val="24"/>
          <w:szCs w:val="24"/>
        </w:rPr>
      </w:pPr>
      <w:r w:rsidRPr="00CA590F">
        <w:rPr>
          <w:rFonts w:ascii="Gadugi" w:eastAsia="Calibri" w:hAnsi="Gadugi" w:cs="Times New Roman"/>
          <w:sz w:val="24"/>
          <w:szCs w:val="24"/>
        </w:rPr>
        <w:t>Concurren los presupuestos del proceso y no se advierte irregularidad capaz de socavar el trámite surtido en primera instancia, así que el fallo será de fondo.</w:t>
      </w:r>
    </w:p>
    <w:p w14:paraId="618F13A2" w14:textId="79A2170A" w:rsidR="000B15D8" w:rsidRPr="00CA590F" w:rsidRDefault="000B15D8" w:rsidP="00F35D5C">
      <w:pPr>
        <w:pStyle w:val="Prrafodelista"/>
        <w:tabs>
          <w:tab w:val="left" w:pos="2268"/>
        </w:tabs>
        <w:spacing w:after="0" w:line="276" w:lineRule="auto"/>
        <w:ind w:left="1701"/>
        <w:jc w:val="both"/>
        <w:rPr>
          <w:rFonts w:ascii="Gadugi" w:eastAsia="Calibri" w:hAnsi="Gadugi" w:cs="Times New Roman"/>
          <w:sz w:val="24"/>
          <w:szCs w:val="24"/>
        </w:rPr>
      </w:pPr>
    </w:p>
    <w:p w14:paraId="4C0D2D33" w14:textId="77777777" w:rsidR="0012236B" w:rsidRPr="00CA590F" w:rsidRDefault="000B15D8" w:rsidP="00F35D5C">
      <w:pPr>
        <w:pStyle w:val="Prrafodelista"/>
        <w:numPr>
          <w:ilvl w:val="1"/>
          <w:numId w:val="1"/>
        </w:numPr>
        <w:tabs>
          <w:tab w:val="left" w:pos="2268"/>
        </w:tabs>
        <w:spacing w:after="0" w:line="276" w:lineRule="auto"/>
        <w:ind w:left="0"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La legitimación por activa y pasiva es incontrovertible. </w:t>
      </w:r>
      <w:r w:rsidR="007A357D" w:rsidRPr="00CA590F">
        <w:rPr>
          <w:rFonts w:ascii="Gadugi" w:eastAsia="Calibri" w:hAnsi="Gadugi" w:cs="Times New Roman"/>
          <w:sz w:val="24"/>
          <w:szCs w:val="24"/>
        </w:rPr>
        <w:t>Se trata de pretensiones dirigidas a la declaración de indignidad de algunos de los herederos de la causante Magnolia Isaza de Duque, fallecida el 30 de enero de 2019</w:t>
      </w:r>
      <w:r w:rsidR="007A357D" w:rsidRPr="00CA590F">
        <w:rPr>
          <w:rStyle w:val="Refdenotaalpie"/>
          <w:rFonts w:ascii="Gadugi" w:eastAsia="Calibri" w:hAnsi="Gadugi" w:cs="Times New Roman"/>
          <w:sz w:val="24"/>
          <w:szCs w:val="24"/>
        </w:rPr>
        <w:footnoteReference w:id="12"/>
      </w:r>
      <w:r w:rsidR="007A357D" w:rsidRPr="00CA590F">
        <w:rPr>
          <w:rFonts w:ascii="Gadugi" w:eastAsia="Calibri" w:hAnsi="Gadugi" w:cs="Times New Roman"/>
          <w:sz w:val="24"/>
          <w:szCs w:val="24"/>
        </w:rPr>
        <w:t>, impetradas por Alberto Duque Isaza frente a Hernán y Álvaro Duque Isaza, todos hijos de aquella</w:t>
      </w:r>
      <w:r w:rsidR="008F44D1" w:rsidRPr="00CA590F">
        <w:rPr>
          <w:rStyle w:val="Refdenotaalpie"/>
          <w:rFonts w:ascii="Gadugi" w:eastAsia="Calibri" w:hAnsi="Gadugi" w:cs="Times New Roman"/>
          <w:sz w:val="24"/>
          <w:szCs w:val="24"/>
        </w:rPr>
        <w:footnoteReference w:id="13"/>
      </w:r>
      <w:r w:rsidR="008F44D1" w:rsidRPr="00CA590F">
        <w:rPr>
          <w:rFonts w:ascii="Gadugi" w:eastAsia="Calibri" w:hAnsi="Gadugi" w:cs="Times New Roman"/>
          <w:sz w:val="24"/>
          <w:szCs w:val="24"/>
        </w:rPr>
        <w:t xml:space="preserve">. Así que hay legitimación en el demandante, porque, como heredero, le interesa la exclusión (art. </w:t>
      </w:r>
      <w:r w:rsidR="0012236B" w:rsidRPr="00CA590F">
        <w:rPr>
          <w:rFonts w:ascii="Gadugi" w:eastAsia="Calibri" w:hAnsi="Gadugi" w:cs="Times New Roman"/>
          <w:sz w:val="24"/>
          <w:szCs w:val="24"/>
        </w:rPr>
        <w:t>1031 C.C.), y por pasiva también, en cuanto se imputan a los demandados, también como herederos, conductas u omisiones previstas como causales de indignidad en el artículo 1025 del estatuto civil, modificado por el artículo 1 de la Ley 1893 de 2018.</w:t>
      </w:r>
    </w:p>
    <w:p w14:paraId="308BCBE7" w14:textId="77777777" w:rsidR="0012236B" w:rsidRPr="00CA590F" w:rsidRDefault="0012236B" w:rsidP="00F35D5C">
      <w:pPr>
        <w:pStyle w:val="Prrafodelista"/>
        <w:spacing w:line="276" w:lineRule="auto"/>
        <w:rPr>
          <w:rFonts w:ascii="Gadugi" w:eastAsia="Calibri" w:hAnsi="Gadugi" w:cs="Times New Roman"/>
          <w:sz w:val="24"/>
          <w:szCs w:val="24"/>
        </w:rPr>
      </w:pPr>
    </w:p>
    <w:p w14:paraId="3F9BBF08" w14:textId="77777777" w:rsidR="00BB2F7C" w:rsidRPr="00CA590F" w:rsidRDefault="0012236B" w:rsidP="00F35D5C">
      <w:pPr>
        <w:pStyle w:val="Prrafodelista"/>
        <w:numPr>
          <w:ilvl w:val="1"/>
          <w:numId w:val="1"/>
        </w:numPr>
        <w:tabs>
          <w:tab w:val="left" w:pos="2268"/>
        </w:tabs>
        <w:spacing w:after="0" w:line="276" w:lineRule="auto"/>
        <w:ind w:left="0" w:firstLine="1701"/>
        <w:jc w:val="both"/>
        <w:rPr>
          <w:rFonts w:ascii="Gadugi" w:eastAsia="Calibri" w:hAnsi="Gadugi" w:cs="Times New Roman"/>
          <w:sz w:val="24"/>
          <w:szCs w:val="24"/>
        </w:rPr>
      </w:pPr>
      <w:r w:rsidRPr="00CA590F">
        <w:rPr>
          <w:rFonts w:ascii="Gadugi" w:eastAsia="Calibri" w:hAnsi="Gadugi" w:cs="Times New Roman"/>
          <w:sz w:val="24"/>
          <w:szCs w:val="24"/>
        </w:rPr>
        <w:t>Incumbe a la Sala definir si confirma la decisión de primer grado que negó las pretensiones, o si, como pretende el recurrente, debe revocarla</w:t>
      </w:r>
      <w:r w:rsidR="00BB2F7C" w:rsidRPr="00CA590F">
        <w:rPr>
          <w:rFonts w:ascii="Gadugi" w:eastAsia="Calibri" w:hAnsi="Gadugi" w:cs="Times New Roman"/>
          <w:sz w:val="24"/>
          <w:szCs w:val="24"/>
        </w:rPr>
        <w:t xml:space="preserve"> en cuanto estima acreditados los elementos para la declaración invocada.</w:t>
      </w:r>
    </w:p>
    <w:p w14:paraId="54FC68DA" w14:textId="77777777" w:rsidR="00BB2F7C" w:rsidRPr="00CA590F" w:rsidRDefault="00BB2F7C" w:rsidP="00F35D5C">
      <w:pPr>
        <w:pStyle w:val="Prrafodelista"/>
        <w:spacing w:line="276" w:lineRule="auto"/>
        <w:rPr>
          <w:rFonts w:ascii="Gadugi" w:eastAsia="Calibri" w:hAnsi="Gadugi" w:cs="Times New Roman"/>
          <w:sz w:val="24"/>
          <w:szCs w:val="24"/>
        </w:rPr>
      </w:pPr>
    </w:p>
    <w:p w14:paraId="3BCD92EE" w14:textId="3855943A" w:rsidR="001002E9" w:rsidRPr="00CA590F" w:rsidRDefault="007B7DEA" w:rsidP="00F35D5C">
      <w:pPr>
        <w:pStyle w:val="Prrafodelista"/>
        <w:numPr>
          <w:ilvl w:val="1"/>
          <w:numId w:val="1"/>
        </w:numPr>
        <w:tabs>
          <w:tab w:val="left" w:pos="2127"/>
        </w:tabs>
        <w:spacing w:after="0" w:line="276" w:lineRule="auto"/>
        <w:ind w:left="0"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 </w:t>
      </w:r>
      <w:r w:rsidR="00BB2F7C" w:rsidRPr="00CA590F">
        <w:rPr>
          <w:rFonts w:ascii="Gadugi" w:eastAsia="Calibri" w:hAnsi="Gadugi" w:cs="Times New Roman"/>
          <w:sz w:val="24"/>
          <w:szCs w:val="24"/>
        </w:rPr>
        <w:t>Con tal fin, ha de recordarse, primeramente, que</w:t>
      </w:r>
      <w:r w:rsidR="00D77E18" w:rsidRPr="00CA590F">
        <w:rPr>
          <w:rFonts w:ascii="Gadugi" w:eastAsia="Calibri" w:hAnsi="Gadugi" w:cs="Times New Roman"/>
          <w:sz w:val="24"/>
          <w:szCs w:val="24"/>
        </w:rPr>
        <w:t>,</w:t>
      </w:r>
      <w:r w:rsidR="00BB2F7C" w:rsidRPr="00CA590F">
        <w:rPr>
          <w:rFonts w:ascii="Gadugi" w:eastAsia="Calibri" w:hAnsi="Gadugi" w:cs="Times New Roman"/>
          <w:sz w:val="24"/>
          <w:szCs w:val="24"/>
        </w:rPr>
        <w:t xml:space="preserve"> en los términos del artículo 328 del CGP, </w:t>
      </w:r>
      <w:r w:rsidR="00D77E18" w:rsidRPr="00CA590F">
        <w:rPr>
          <w:rFonts w:ascii="Gadugi" w:eastAsia="Calibri" w:hAnsi="Gadugi" w:cs="Times New Roman"/>
          <w:sz w:val="24"/>
          <w:szCs w:val="24"/>
        </w:rPr>
        <w:t>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 Es lo que se ha dado en denominar la pretensión impugnaticia, como ha sido reconocido por esta Sala de tiempo atrás</w:t>
      </w:r>
      <w:r w:rsidR="00D77E18" w:rsidRPr="00CA590F">
        <w:rPr>
          <w:rStyle w:val="Refdenotaalpie"/>
          <w:rFonts w:ascii="Gadugi" w:eastAsia="Calibri" w:hAnsi="Gadugi" w:cs="Times New Roman"/>
          <w:sz w:val="24"/>
          <w:szCs w:val="24"/>
        </w:rPr>
        <w:footnoteReference w:id="14"/>
      </w:r>
      <w:r w:rsidR="00D77E18" w:rsidRPr="00CA590F">
        <w:rPr>
          <w:rFonts w:ascii="Gadugi" w:eastAsia="Calibri" w:hAnsi="Gadugi" w:cs="Times New Roman"/>
          <w:sz w:val="24"/>
          <w:szCs w:val="24"/>
        </w:rPr>
        <w:t xml:space="preserve"> y lo han reiterado otras</w:t>
      </w:r>
      <w:r w:rsidR="00D77E18" w:rsidRPr="00CA590F">
        <w:rPr>
          <w:rStyle w:val="Refdenotaalpie"/>
          <w:rFonts w:ascii="Gadugi" w:eastAsia="Calibri" w:hAnsi="Gadugi" w:cs="Times New Roman"/>
          <w:sz w:val="24"/>
          <w:szCs w:val="24"/>
        </w:rPr>
        <w:footnoteReference w:id="15"/>
      </w:r>
      <w:r w:rsidR="00D77E18" w:rsidRPr="00CA590F">
        <w:rPr>
          <w:rFonts w:ascii="Gadugi" w:eastAsia="Calibri" w:hAnsi="Gadugi" w:cs="Times New Roman"/>
          <w:sz w:val="24"/>
          <w:szCs w:val="24"/>
        </w:rPr>
        <w:t>, con soporte en decisiones de la Corte, unas de tutela</w:t>
      </w:r>
      <w:r w:rsidR="00D77E18" w:rsidRPr="00CA590F">
        <w:rPr>
          <w:rStyle w:val="Refdenotaalpie"/>
          <w:rFonts w:ascii="Gadugi" w:eastAsia="Calibri" w:hAnsi="Gadugi" w:cs="Times New Roman"/>
          <w:sz w:val="24"/>
          <w:szCs w:val="24"/>
        </w:rPr>
        <w:footnoteReference w:id="16"/>
      </w:r>
      <w:r w:rsidR="00D77E18" w:rsidRPr="00CA590F">
        <w:rPr>
          <w:rFonts w:ascii="Gadugi" w:eastAsia="Calibri" w:hAnsi="Gadugi" w:cs="Times New Roman"/>
          <w:sz w:val="24"/>
          <w:szCs w:val="24"/>
        </w:rPr>
        <w:t>, que se acogen como criterio auxiliar, y otras de casación</w:t>
      </w:r>
      <w:r w:rsidR="00D77E18" w:rsidRPr="00CA590F">
        <w:rPr>
          <w:rStyle w:val="Refdenotaalpie"/>
          <w:rFonts w:ascii="Gadugi" w:eastAsia="Calibri" w:hAnsi="Gadugi" w:cs="Times New Roman"/>
          <w:sz w:val="24"/>
          <w:szCs w:val="24"/>
        </w:rPr>
        <w:footnoteReference w:id="17"/>
      </w:r>
      <w:r w:rsidR="00D77E18" w:rsidRPr="00CA590F">
        <w:rPr>
          <w:rFonts w:ascii="Gadugi" w:eastAsia="Calibri" w:hAnsi="Gadugi" w:cs="Times New Roman"/>
          <w:sz w:val="24"/>
          <w:szCs w:val="24"/>
        </w:rPr>
        <w:t xml:space="preserve">. </w:t>
      </w:r>
    </w:p>
    <w:p w14:paraId="578A65BF" w14:textId="77777777" w:rsidR="001002E9" w:rsidRPr="00CA590F" w:rsidRDefault="001002E9" w:rsidP="00F35D5C">
      <w:pPr>
        <w:pStyle w:val="Prrafodelista"/>
        <w:tabs>
          <w:tab w:val="left" w:pos="2127"/>
        </w:tabs>
        <w:spacing w:after="0" w:line="276" w:lineRule="auto"/>
        <w:ind w:left="1701"/>
        <w:jc w:val="both"/>
        <w:rPr>
          <w:rFonts w:ascii="Gadugi" w:eastAsia="Calibri" w:hAnsi="Gadugi" w:cs="Times New Roman"/>
          <w:sz w:val="24"/>
          <w:szCs w:val="24"/>
        </w:rPr>
      </w:pPr>
    </w:p>
    <w:p w14:paraId="72F8CCD4" w14:textId="31D500B4" w:rsidR="00D77E18" w:rsidRPr="00CA590F" w:rsidRDefault="001002E9" w:rsidP="00F35D5C">
      <w:pPr>
        <w:pStyle w:val="Prrafodelista"/>
        <w:tabs>
          <w:tab w:val="left" w:pos="2127"/>
        </w:tabs>
        <w:spacing w:after="0" w:line="276" w:lineRule="auto"/>
        <w:ind w:left="0"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Sobre este aspecto se volverá luego, ya que uno de los reparos tiene que ver con la configuración, en sentir del recurrente, de una causal de indignidad distinta de las que fueron propuestas en la demanda, por lo que será necesario definir si tiene cabida alguna de las excepciones mencionadas. </w:t>
      </w:r>
    </w:p>
    <w:p w14:paraId="5388BF26" w14:textId="4019F2C4" w:rsidR="001002E9" w:rsidRPr="00CA590F" w:rsidRDefault="001002E9" w:rsidP="00F35D5C">
      <w:pPr>
        <w:pStyle w:val="Prrafodelista"/>
        <w:tabs>
          <w:tab w:val="left" w:pos="2127"/>
        </w:tabs>
        <w:spacing w:after="0" w:line="276" w:lineRule="auto"/>
        <w:ind w:left="0" w:firstLine="1701"/>
        <w:jc w:val="both"/>
        <w:rPr>
          <w:rFonts w:ascii="Gadugi" w:eastAsia="Calibri" w:hAnsi="Gadugi" w:cs="Times New Roman"/>
          <w:sz w:val="24"/>
          <w:szCs w:val="24"/>
        </w:rPr>
      </w:pPr>
    </w:p>
    <w:p w14:paraId="4D6DA6DD" w14:textId="3BE10209" w:rsidR="00AE5351" w:rsidRPr="00CA590F" w:rsidRDefault="001002E9" w:rsidP="00F35D5C">
      <w:pPr>
        <w:pStyle w:val="Prrafodelista"/>
        <w:numPr>
          <w:ilvl w:val="1"/>
          <w:numId w:val="1"/>
        </w:numPr>
        <w:tabs>
          <w:tab w:val="left" w:pos="2127"/>
        </w:tabs>
        <w:spacing w:after="0" w:line="276" w:lineRule="auto"/>
        <w:ind w:left="0"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Como se </w:t>
      </w:r>
      <w:r w:rsidR="00AE5351" w:rsidRPr="00CA590F">
        <w:rPr>
          <w:rFonts w:ascii="Gadugi" w:eastAsia="Calibri" w:hAnsi="Gadugi" w:cs="Times New Roman"/>
          <w:sz w:val="24"/>
          <w:szCs w:val="24"/>
        </w:rPr>
        <w:t xml:space="preserve">plasmó antes, la demanda tiene sustento en que los demandados incurrieron en las causales 6 y 8 del artículo 1025 del C.C., modificado por el artículo 1° de la ley 1863 del 2018, según las cuales: </w:t>
      </w:r>
    </w:p>
    <w:p w14:paraId="396D6C72" w14:textId="69BB76B1" w:rsidR="00AE5351" w:rsidRPr="00CA590F" w:rsidRDefault="00AE5351" w:rsidP="00F35D5C">
      <w:pPr>
        <w:tabs>
          <w:tab w:val="left" w:pos="2127"/>
        </w:tabs>
        <w:spacing w:after="0" w:line="276" w:lineRule="auto"/>
        <w:jc w:val="both"/>
        <w:rPr>
          <w:rFonts w:ascii="Gadugi" w:eastAsia="Calibri" w:hAnsi="Gadugi" w:cs="Times New Roman"/>
          <w:sz w:val="24"/>
          <w:szCs w:val="24"/>
        </w:rPr>
      </w:pPr>
    </w:p>
    <w:p w14:paraId="57C54315" w14:textId="11F4D9A0" w:rsidR="00AE5351" w:rsidRPr="00CA590F" w:rsidRDefault="00AE5351" w:rsidP="00867317">
      <w:pPr>
        <w:tabs>
          <w:tab w:val="left" w:pos="2127"/>
        </w:tabs>
        <w:spacing w:after="0" w:line="240" w:lineRule="auto"/>
        <w:ind w:left="426" w:right="420" w:firstLine="1134"/>
        <w:jc w:val="both"/>
        <w:rPr>
          <w:rFonts w:ascii="Gadugi" w:eastAsia="Calibri" w:hAnsi="Gadugi" w:cs="Times New Roman"/>
          <w:szCs w:val="24"/>
        </w:rPr>
      </w:pPr>
      <w:r w:rsidRPr="00CA590F">
        <w:rPr>
          <w:rFonts w:ascii="Gadugi" w:eastAsia="Calibri" w:hAnsi="Gadugi" w:cs="Times New Roman"/>
          <w:szCs w:val="24"/>
        </w:rPr>
        <w:t>“Son indignos de suceder al difunto como herederos o legatarios:</w:t>
      </w:r>
    </w:p>
    <w:p w14:paraId="32A9EAC6" w14:textId="3BA07A82" w:rsidR="00AE5351" w:rsidRPr="00CA590F" w:rsidRDefault="00AE5351" w:rsidP="00867317">
      <w:pPr>
        <w:tabs>
          <w:tab w:val="left" w:pos="2127"/>
        </w:tabs>
        <w:spacing w:after="0" w:line="240" w:lineRule="auto"/>
        <w:ind w:left="426" w:right="420" w:firstLine="1134"/>
        <w:jc w:val="both"/>
        <w:rPr>
          <w:rFonts w:ascii="Gadugi" w:eastAsia="Calibri" w:hAnsi="Gadugi" w:cs="Times New Roman"/>
          <w:szCs w:val="24"/>
        </w:rPr>
      </w:pPr>
    </w:p>
    <w:p w14:paraId="076FECEF" w14:textId="77777777" w:rsidR="00AE5351" w:rsidRPr="00CA590F" w:rsidRDefault="00AE5351" w:rsidP="00867317">
      <w:pPr>
        <w:pStyle w:val="NormalWeb"/>
        <w:spacing w:before="0" w:beforeAutospacing="0" w:after="0" w:afterAutospacing="0"/>
        <w:ind w:left="426" w:right="420" w:firstLine="1134"/>
        <w:jc w:val="both"/>
        <w:rPr>
          <w:rFonts w:ascii="Gadugi" w:eastAsia="Calibri" w:hAnsi="Gadugi"/>
          <w:sz w:val="22"/>
        </w:rPr>
      </w:pPr>
      <w:r w:rsidRPr="00CA590F">
        <w:rPr>
          <w:rFonts w:ascii="Gadugi" w:eastAsia="Calibri" w:hAnsi="Gadugi"/>
          <w:sz w:val="22"/>
        </w:rPr>
        <w:t xml:space="preserve">…. </w:t>
      </w:r>
    </w:p>
    <w:p w14:paraId="3958D392" w14:textId="77777777" w:rsidR="00AE5351" w:rsidRPr="00CA590F" w:rsidRDefault="00AE5351" w:rsidP="00867317">
      <w:pPr>
        <w:pStyle w:val="NormalWeb"/>
        <w:spacing w:before="0" w:beforeAutospacing="0" w:after="0" w:afterAutospacing="0"/>
        <w:ind w:left="426" w:right="420" w:firstLine="1134"/>
        <w:jc w:val="both"/>
        <w:rPr>
          <w:rFonts w:ascii="Gadugi" w:eastAsia="Calibri" w:hAnsi="Gadugi"/>
          <w:sz w:val="22"/>
        </w:rPr>
      </w:pPr>
    </w:p>
    <w:p w14:paraId="381390C7" w14:textId="417371B5" w:rsidR="00AE5351" w:rsidRPr="00CA590F" w:rsidRDefault="00AE5351" w:rsidP="00867317">
      <w:pPr>
        <w:pStyle w:val="NormalWeb"/>
        <w:spacing w:before="0" w:beforeAutospacing="0" w:after="0" w:afterAutospacing="0"/>
        <w:ind w:left="426" w:right="420" w:firstLine="1134"/>
        <w:jc w:val="both"/>
        <w:rPr>
          <w:rFonts w:ascii="Gadugi" w:hAnsi="Gadugi" w:cs="Open Sans"/>
          <w:color w:val="4B4949"/>
          <w:sz w:val="22"/>
        </w:rPr>
      </w:pPr>
      <w:r w:rsidRPr="00CA590F">
        <w:rPr>
          <w:rFonts w:ascii="Gadugi" w:eastAsia="Calibri" w:hAnsi="Gadugi"/>
          <w:sz w:val="22"/>
        </w:rPr>
        <w:t xml:space="preserve">6. </w:t>
      </w:r>
      <w:r w:rsidRPr="00CA590F">
        <w:rPr>
          <w:rFonts w:ascii="Gadugi" w:hAnsi="Gadugi" w:cs="Open Sans"/>
          <w:color w:val="4B4949"/>
          <w:sz w:val="22"/>
        </w:rPr>
        <w:t>E</w:t>
      </w:r>
      <w:r w:rsidR="00B43531" w:rsidRPr="00CA590F">
        <w:rPr>
          <w:rFonts w:ascii="Gadugi" w:hAnsi="Gadugi" w:cs="Open Sans"/>
          <w:color w:val="4B4949"/>
          <w:sz w:val="22"/>
        </w:rPr>
        <w:t>l</w:t>
      </w:r>
      <w:r w:rsidRPr="00CA590F">
        <w:rPr>
          <w:rFonts w:ascii="Gadugi" w:hAnsi="Gadugi" w:cs="Open Sans"/>
          <w:color w:val="4B4949"/>
          <w:sz w:val="22"/>
        </w:rPr>
        <w:t xml:space="preserve"> que abandonó sin justa causa a la persona de cuya sucesión se trata, estando obligado por ley a suministrarle alimentos. Para los efectos de este artículo, entiéndase por abandono: la falta absoluta o temporal a las personas que requieran de cuidado personal en su crianza, o que, conforme a la ley, demandan la obligación de proporcionar a su favor habitación, sustento o asistencia médica.</w:t>
      </w:r>
    </w:p>
    <w:p w14:paraId="327B2270" w14:textId="77777777" w:rsidR="00221191" w:rsidRPr="00CA590F" w:rsidRDefault="00221191" w:rsidP="00867317">
      <w:pPr>
        <w:pStyle w:val="NormalWeb"/>
        <w:spacing w:before="0" w:beforeAutospacing="0" w:after="0" w:afterAutospacing="0"/>
        <w:ind w:left="426" w:right="420" w:firstLine="1134"/>
        <w:jc w:val="both"/>
        <w:rPr>
          <w:rFonts w:ascii="Gadugi" w:hAnsi="Gadugi" w:cs="Open Sans"/>
          <w:color w:val="000000" w:themeColor="text1"/>
          <w:sz w:val="22"/>
        </w:rPr>
      </w:pPr>
    </w:p>
    <w:p w14:paraId="37C3AD28" w14:textId="630FC9DF" w:rsidR="00AE5351" w:rsidRPr="00CA590F" w:rsidRDefault="00221191" w:rsidP="00867317">
      <w:pPr>
        <w:pStyle w:val="NormalWeb"/>
        <w:spacing w:before="0" w:beforeAutospacing="0" w:after="0" w:afterAutospacing="0"/>
        <w:ind w:left="426" w:right="420" w:firstLine="1134"/>
        <w:jc w:val="both"/>
        <w:rPr>
          <w:rFonts w:ascii="Gadugi" w:hAnsi="Gadugi" w:cs="Open Sans"/>
          <w:color w:val="000000" w:themeColor="text1"/>
          <w:sz w:val="22"/>
        </w:rPr>
      </w:pPr>
      <w:r w:rsidRPr="00CA590F">
        <w:rPr>
          <w:rFonts w:ascii="Gadugi" w:hAnsi="Gadugi" w:cs="Open Sans"/>
          <w:color w:val="000000" w:themeColor="text1"/>
          <w:sz w:val="22"/>
        </w:rPr>
        <w:t>…</w:t>
      </w:r>
    </w:p>
    <w:p w14:paraId="21E3C6E1" w14:textId="77777777" w:rsidR="00B43531" w:rsidRPr="00CA590F" w:rsidRDefault="00B43531" w:rsidP="00867317">
      <w:pPr>
        <w:pStyle w:val="NormalWeb"/>
        <w:spacing w:before="0" w:beforeAutospacing="0" w:after="0" w:afterAutospacing="0"/>
        <w:ind w:left="426" w:right="420" w:firstLine="1134"/>
        <w:jc w:val="both"/>
        <w:rPr>
          <w:rFonts w:ascii="Gadugi" w:hAnsi="Gadugi" w:cs="Open Sans"/>
          <w:color w:val="000000" w:themeColor="text1"/>
          <w:sz w:val="22"/>
        </w:rPr>
      </w:pPr>
    </w:p>
    <w:p w14:paraId="68D6ABF9" w14:textId="669418FA" w:rsidR="00AE5351" w:rsidRPr="00CA590F" w:rsidRDefault="00AE5351" w:rsidP="00867317">
      <w:pPr>
        <w:pStyle w:val="NormalWeb"/>
        <w:spacing w:before="0" w:beforeAutospacing="0" w:after="0" w:afterAutospacing="0"/>
        <w:ind w:left="426" w:right="420" w:firstLine="1134"/>
        <w:jc w:val="both"/>
        <w:rPr>
          <w:rFonts w:ascii="Gadugi" w:hAnsi="Gadugi" w:cs="Open Sans"/>
          <w:color w:val="000000" w:themeColor="text1"/>
          <w:sz w:val="22"/>
        </w:rPr>
      </w:pPr>
      <w:r w:rsidRPr="00CA590F">
        <w:rPr>
          <w:rFonts w:ascii="Gadugi" w:hAnsi="Gadugi" w:cs="Open Sans"/>
          <w:color w:val="000000" w:themeColor="text1"/>
          <w:sz w:val="22"/>
        </w:rPr>
        <w:t>8. Quien abandonó sin justa causa y no prestó las atenciones necesarias al causante, teniendo las condiciones para hacerlo, si este en vida se hubiese encontrado en situación de discapacidad.</w:t>
      </w:r>
      <w:r w:rsidR="00B43531" w:rsidRPr="00CA590F">
        <w:rPr>
          <w:rFonts w:ascii="Gadugi" w:hAnsi="Gadugi" w:cs="Open Sans"/>
          <w:color w:val="000000" w:themeColor="text1"/>
          <w:sz w:val="22"/>
        </w:rPr>
        <w:t>”</w:t>
      </w:r>
    </w:p>
    <w:p w14:paraId="2F0E48AB" w14:textId="0E906480" w:rsidR="00AE5351" w:rsidRPr="00CA590F" w:rsidRDefault="00AE5351" w:rsidP="00F35D5C">
      <w:pPr>
        <w:tabs>
          <w:tab w:val="left" w:pos="2127"/>
        </w:tabs>
        <w:spacing w:after="0" w:line="276" w:lineRule="auto"/>
        <w:jc w:val="both"/>
        <w:rPr>
          <w:rFonts w:ascii="Gadugi" w:eastAsia="Calibri" w:hAnsi="Gadugi" w:cs="Times New Roman"/>
          <w:sz w:val="24"/>
          <w:szCs w:val="24"/>
        </w:rPr>
      </w:pPr>
    </w:p>
    <w:p w14:paraId="2BB1BD4F" w14:textId="41E05F35" w:rsidR="00804608" w:rsidRPr="00CA590F" w:rsidRDefault="00B43531" w:rsidP="00F35D5C">
      <w:pPr>
        <w:pStyle w:val="Prrafodelista"/>
        <w:numPr>
          <w:ilvl w:val="1"/>
          <w:numId w:val="1"/>
        </w:numPr>
        <w:spacing w:line="276" w:lineRule="auto"/>
        <w:ind w:left="0" w:firstLine="1560"/>
        <w:jc w:val="both"/>
        <w:rPr>
          <w:rFonts w:ascii="Gadugi" w:eastAsia="Malgun Gothic" w:hAnsi="Gadugi" w:cs="Estrangelo Edessa"/>
          <w:sz w:val="24"/>
          <w:szCs w:val="24"/>
        </w:rPr>
      </w:pPr>
      <w:r w:rsidRPr="00CA590F">
        <w:rPr>
          <w:rFonts w:ascii="Gadugi" w:eastAsia="Calibri" w:hAnsi="Gadugi" w:cs="Times New Roman"/>
          <w:sz w:val="24"/>
          <w:szCs w:val="24"/>
        </w:rPr>
        <w:t xml:space="preserve">El Juzgado, luego de valorar las pruebas arrimadas, negó las pretensiones, pues halló, en síntesis, que (i) </w:t>
      </w:r>
      <w:r w:rsidRPr="00CA590F">
        <w:rPr>
          <w:rFonts w:ascii="Gadugi" w:eastAsia="Malgun Gothic" w:hAnsi="Gadugi" w:cs="Estrangelo Edessa"/>
          <w:sz w:val="24"/>
          <w:szCs w:val="24"/>
        </w:rPr>
        <w:t>la progenitora de la</w:t>
      </w:r>
      <w:r w:rsidR="00DD54B8" w:rsidRPr="00CA590F">
        <w:rPr>
          <w:rFonts w:ascii="Gadugi" w:eastAsia="Malgun Gothic" w:hAnsi="Gadugi" w:cs="Estrangelo Edessa"/>
          <w:sz w:val="24"/>
          <w:szCs w:val="24"/>
        </w:rPr>
        <w:t>s</w:t>
      </w:r>
      <w:r w:rsidRPr="00CA590F">
        <w:rPr>
          <w:rFonts w:ascii="Gadugi" w:eastAsia="Malgun Gothic" w:hAnsi="Gadugi" w:cs="Estrangelo Edessa"/>
          <w:sz w:val="24"/>
          <w:szCs w:val="24"/>
        </w:rPr>
        <w:t xml:space="preserve"> partes necesitaba de sus hijos alimentos complementarios, ya que su escasa pensión y los ingresos de las personas que con ella vivían resultaban insuficientes para la atención de sus patologías; (ii) </w:t>
      </w:r>
      <w:r w:rsidR="00DD54B8" w:rsidRPr="00CA590F">
        <w:rPr>
          <w:rFonts w:ascii="Gadugi" w:eastAsia="Malgun Gothic" w:hAnsi="Gadugi" w:cs="Estrangelo Edessa"/>
          <w:sz w:val="24"/>
          <w:szCs w:val="24"/>
        </w:rPr>
        <w:t>sin embargo, el análisis frente al incumplimiento por parte de los demandados, solo podría darse a partir del año 2018, dado que la ley 18</w:t>
      </w:r>
      <w:r w:rsidR="00221191" w:rsidRPr="00CA590F">
        <w:rPr>
          <w:rFonts w:ascii="Gadugi" w:eastAsia="Malgun Gothic" w:hAnsi="Gadugi" w:cs="Estrangelo Edessa"/>
          <w:sz w:val="24"/>
          <w:szCs w:val="24"/>
        </w:rPr>
        <w:t>9</w:t>
      </w:r>
      <w:r w:rsidR="00DD54B8" w:rsidRPr="00CA590F">
        <w:rPr>
          <w:rFonts w:ascii="Gadugi" w:eastAsia="Malgun Gothic" w:hAnsi="Gadugi" w:cs="Estrangelo Edessa"/>
          <w:sz w:val="24"/>
          <w:szCs w:val="24"/>
        </w:rPr>
        <w:t xml:space="preserve">3 empezó a regir ese año y sus </w:t>
      </w:r>
      <w:r w:rsidR="00DD54B8" w:rsidRPr="00CA590F">
        <w:rPr>
          <w:rFonts w:ascii="Gadugi" w:eastAsia="Malgun Gothic" w:hAnsi="Gadugi" w:cs="Estrangelo Edessa"/>
          <w:sz w:val="24"/>
          <w:szCs w:val="24"/>
        </w:rPr>
        <w:lastRenderedPageBreak/>
        <w:t xml:space="preserve">efectos son hacia el futuro, es decir, no es retroactiva; (iii) para entonces, dijo, Hernán venía suministrando, y desde el año 2017, producto de una conciliación extrajudicial con el demandante, alimentos en cuantía de $150.000,oo; además, </w:t>
      </w:r>
      <w:r w:rsidR="00FD101D" w:rsidRPr="00CA590F">
        <w:rPr>
          <w:rFonts w:ascii="Gadugi" w:eastAsia="Malgun Gothic" w:hAnsi="Gadugi" w:cs="Estrangelo Edessa"/>
          <w:sz w:val="24"/>
          <w:szCs w:val="24"/>
        </w:rPr>
        <w:t>sobre los deberes morales a partir de ese año, señaló que el testimonio de Daniela Duque, solo refiere visitas de Hernán hasta el año 2017, pero desconoce si le daba muestras de afecto y lo que pudo ocurrir después de esa anualidad, ya que se radicó en Cali, y tampoco sabe si los sábados su tí</w:t>
      </w:r>
      <w:r w:rsidR="00CC21FF" w:rsidRPr="00CA590F">
        <w:rPr>
          <w:rFonts w:ascii="Gadugi" w:eastAsia="Malgun Gothic" w:hAnsi="Gadugi" w:cs="Estrangelo Edessa"/>
          <w:sz w:val="24"/>
          <w:szCs w:val="24"/>
        </w:rPr>
        <w:t>o</w:t>
      </w:r>
      <w:r w:rsidR="00FD101D" w:rsidRPr="00CA590F">
        <w:rPr>
          <w:rFonts w:ascii="Gadugi" w:eastAsia="Malgun Gothic" w:hAnsi="Gadugi" w:cs="Estrangelo Edessa"/>
          <w:sz w:val="24"/>
          <w:szCs w:val="24"/>
        </w:rPr>
        <w:t xml:space="preserve"> se quedaba cuidando a la abuela; tampoco de los dichos de Gilberto Campo y Luz Mery Meza, </w:t>
      </w:r>
      <w:r w:rsidR="00CC21FF" w:rsidRPr="00CA590F">
        <w:rPr>
          <w:rFonts w:ascii="Gadugi" w:eastAsia="Malgun Gothic" w:hAnsi="Gadugi" w:cs="Estrangelo Edessa"/>
          <w:sz w:val="24"/>
          <w:szCs w:val="24"/>
        </w:rPr>
        <w:t xml:space="preserve">ya que </w:t>
      </w:r>
      <w:r w:rsidR="00FD101D" w:rsidRPr="00CA590F">
        <w:rPr>
          <w:rFonts w:ascii="Gadugi" w:eastAsia="Malgun Gothic" w:hAnsi="Gadugi" w:cs="Estrangelo Edessa"/>
          <w:i/>
          <w:iCs/>
          <w:sz w:val="24"/>
          <w:szCs w:val="24"/>
        </w:rPr>
        <w:t>“</w:t>
      </w:r>
      <w:r w:rsidR="00FD101D" w:rsidRPr="00CA590F">
        <w:rPr>
          <w:rFonts w:ascii="Gadugi" w:eastAsia="Malgun Gothic" w:hAnsi="Gadugi" w:cs="Estrangelo Edessa"/>
          <w:i/>
          <w:iCs/>
          <w:szCs w:val="24"/>
        </w:rPr>
        <w:t>el primero como vigilante del conjunto residencial donde vivió la progenitora de la parte y la segunda como persona que durante varios años cuido de ella solo tienen conocimiento que en dos o tres oportunidades vieron al señor Hernán en casa de su progenitora, ellos no dan cuenta si esto ocurrió durante la vigencia de la ley invocada, queda claro que el demandante no prob</w:t>
      </w:r>
      <w:r w:rsidR="00BB6A3B" w:rsidRPr="00CA590F">
        <w:rPr>
          <w:rFonts w:ascii="Gadugi" w:eastAsia="Malgun Gothic" w:hAnsi="Gadugi" w:cs="Estrangelo Edessa"/>
          <w:i/>
          <w:iCs/>
          <w:szCs w:val="24"/>
        </w:rPr>
        <w:t>ó</w:t>
      </w:r>
      <w:r w:rsidR="00FD101D" w:rsidRPr="00CA590F">
        <w:rPr>
          <w:rFonts w:ascii="Gadugi" w:eastAsia="Malgun Gothic" w:hAnsi="Gadugi" w:cs="Estrangelo Edessa"/>
          <w:i/>
          <w:iCs/>
          <w:szCs w:val="24"/>
        </w:rPr>
        <w:t xml:space="preserve"> que durante la vigencia de la ley invocada los demandados no cumplieron con las obligaciones</w:t>
      </w:r>
      <w:r w:rsidR="00FD101D" w:rsidRPr="00CA590F">
        <w:rPr>
          <w:rFonts w:ascii="Gadugi" w:eastAsia="Malgun Gothic" w:hAnsi="Gadugi" w:cs="Estrangelo Edessa"/>
          <w:i/>
          <w:iCs/>
          <w:sz w:val="24"/>
          <w:szCs w:val="24"/>
        </w:rPr>
        <w:t>”.</w:t>
      </w:r>
      <w:r w:rsidR="00FD101D" w:rsidRPr="00CA590F">
        <w:rPr>
          <w:rFonts w:ascii="Gadugi" w:eastAsia="Malgun Gothic" w:hAnsi="Gadugi" w:cs="Estrangelo Edessa"/>
          <w:sz w:val="24"/>
          <w:szCs w:val="24"/>
        </w:rPr>
        <w:t xml:space="preserve"> </w:t>
      </w:r>
    </w:p>
    <w:p w14:paraId="5932426D" w14:textId="7978A749" w:rsidR="00030E5D" w:rsidRPr="00CA590F" w:rsidRDefault="00030E5D" w:rsidP="00F35D5C">
      <w:pPr>
        <w:pStyle w:val="Prrafodelista"/>
        <w:spacing w:line="276" w:lineRule="auto"/>
        <w:ind w:left="1701"/>
        <w:jc w:val="both"/>
        <w:rPr>
          <w:rFonts w:ascii="Gadugi" w:eastAsia="Malgun Gothic" w:hAnsi="Gadugi" w:cs="Estrangelo Edessa"/>
          <w:sz w:val="24"/>
          <w:szCs w:val="24"/>
        </w:rPr>
      </w:pPr>
    </w:p>
    <w:p w14:paraId="58BF593E" w14:textId="539F8DD6" w:rsidR="00D90643" w:rsidRPr="00CA590F" w:rsidRDefault="00030E5D" w:rsidP="00F35D5C">
      <w:pPr>
        <w:pStyle w:val="Prrafodelista"/>
        <w:numPr>
          <w:ilvl w:val="1"/>
          <w:numId w:val="1"/>
        </w:numPr>
        <w:spacing w:after="0" w:line="276" w:lineRule="auto"/>
        <w:ind w:left="0" w:firstLine="1701"/>
        <w:jc w:val="both"/>
        <w:rPr>
          <w:rFonts w:ascii="Gadugi" w:eastAsia="Malgun Gothic" w:hAnsi="Gadugi" w:cs="Estrangelo Edessa"/>
          <w:sz w:val="24"/>
          <w:szCs w:val="24"/>
        </w:rPr>
      </w:pPr>
      <w:r w:rsidRPr="00CA590F">
        <w:rPr>
          <w:rFonts w:ascii="Gadugi" w:eastAsia="Malgun Gothic" w:hAnsi="Gadugi" w:cs="Estrangelo Edessa"/>
          <w:sz w:val="24"/>
          <w:szCs w:val="24"/>
        </w:rPr>
        <w:t>Los reparos del demandante, expresados en primera instancia</w:t>
      </w:r>
      <w:r w:rsidRPr="00CA590F">
        <w:rPr>
          <w:rStyle w:val="Refdenotaalpie"/>
          <w:rFonts w:ascii="Gadugi" w:eastAsia="Calibri" w:hAnsi="Gadugi" w:cs="Times New Roman"/>
          <w:sz w:val="24"/>
          <w:szCs w:val="24"/>
        </w:rPr>
        <w:footnoteReference w:id="18"/>
      </w:r>
      <w:r w:rsidRPr="00CA590F">
        <w:rPr>
          <w:rFonts w:ascii="Gadugi" w:eastAsia="Calibri" w:hAnsi="Gadugi" w:cs="Times New Roman"/>
          <w:sz w:val="24"/>
          <w:szCs w:val="24"/>
        </w:rPr>
        <w:t>, y reiterados en la sustentación</w:t>
      </w:r>
      <w:r w:rsidRPr="00CA590F">
        <w:rPr>
          <w:rStyle w:val="Refdenotaalpie"/>
          <w:rFonts w:ascii="Gadugi" w:eastAsia="Calibri" w:hAnsi="Gadugi" w:cs="Times New Roman"/>
          <w:sz w:val="24"/>
          <w:szCs w:val="24"/>
        </w:rPr>
        <w:footnoteReference w:id="19"/>
      </w:r>
      <w:r w:rsidRPr="00CA590F">
        <w:rPr>
          <w:rFonts w:ascii="Gadugi" w:eastAsia="Calibri" w:hAnsi="Gadugi" w:cs="Times New Roman"/>
          <w:sz w:val="24"/>
          <w:szCs w:val="24"/>
        </w:rPr>
        <w:t>, se fundaron, en resumen, en lo siguiente: (i)</w:t>
      </w:r>
      <w:r w:rsidR="00D90643" w:rsidRPr="00CA590F">
        <w:rPr>
          <w:rFonts w:ascii="Gadugi" w:eastAsia="Calibri" w:hAnsi="Gadugi" w:cs="Times New Roman"/>
          <w:sz w:val="24"/>
          <w:szCs w:val="24"/>
        </w:rPr>
        <w:t xml:space="preserve"> se violó el debido proceso, porque se dio por contestada la demanda que lo fue extemporáneamente, pues el demandado Álvaro Duque se notificó el 15 de diciembre de 2020 y luego el 23 de marzo de 2021; Hernán Duque se notificó el 26 de marzo; sin embargo, la demanda fue contestada el 3 de mayo de 2021; (ii) se vulneró el derecho de defensa y contradicción respecto de la prueba de unos envíos </w:t>
      </w:r>
      <w:r w:rsidR="001C4B61" w:rsidRPr="00CA590F">
        <w:rPr>
          <w:rFonts w:ascii="Gadugi" w:eastAsia="Calibri" w:hAnsi="Gadugi" w:cs="Times New Roman"/>
          <w:sz w:val="24"/>
          <w:szCs w:val="24"/>
        </w:rPr>
        <w:t>de dinero que nunca se aportaron con la contestación de la demanda y tampoco se tuvo acceso al expediente digital; ello se le puso de presente al funcionario, pero desestimó, sin motivación, la protesta; (iii) olvidó el juez aplicar un enfoque de derechos frente a la protección del adulto mayor, como manda el artículo 46 de la Constitución Política, lo ha señalado la Corte Constitucional (sentencia T-252-17) y la Ley 2025</w:t>
      </w:r>
      <w:r w:rsidR="00E54049" w:rsidRPr="00CA590F">
        <w:rPr>
          <w:rStyle w:val="Refdenotaalpie"/>
          <w:rFonts w:ascii="Gadugi" w:eastAsia="Calibri" w:hAnsi="Gadugi" w:cs="Times New Roman"/>
          <w:sz w:val="24"/>
          <w:szCs w:val="24"/>
        </w:rPr>
        <w:footnoteReference w:id="20"/>
      </w:r>
      <w:r w:rsidR="001C4B61" w:rsidRPr="00CA590F">
        <w:rPr>
          <w:rFonts w:ascii="Gadugi" w:eastAsia="Calibri" w:hAnsi="Gadugi" w:cs="Times New Roman"/>
          <w:sz w:val="24"/>
          <w:szCs w:val="24"/>
        </w:rPr>
        <w:t xml:space="preserve"> de 2020</w:t>
      </w:r>
      <w:r w:rsidR="00052F7E" w:rsidRPr="00CA590F">
        <w:rPr>
          <w:rFonts w:ascii="Gadugi" w:eastAsia="Calibri" w:hAnsi="Gadugi" w:cs="Times New Roman"/>
          <w:sz w:val="24"/>
          <w:szCs w:val="24"/>
        </w:rPr>
        <w:t xml:space="preserve"> que define el abandono</w:t>
      </w:r>
      <w:r w:rsidR="00B51CA4" w:rsidRPr="00CA590F">
        <w:rPr>
          <w:rFonts w:ascii="Gadugi" w:eastAsia="Calibri" w:hAnsi="Gadugi" w:cs="Times New Roman"/>
          <w:sz w:val="24"/>
          <w:szCs w:val="24"/>
        </w:rPr>
        <w:t xml:space="preserve">, que fue demostrado en este </w:t>
      </w:r>
      <w:r w:rsidR="00C408E2" w:rsidRPr="00CA590F">
        <w:rPr>
          <w:rFonts w:ascii="Gadugi" w:eastAsia="Calibri" w:hAnsi="Gadugi" w:cs="Times New Roman"/>
          <w:sz w:val="24"/>
          <w:szCs w:val="24"/>
        </w:rPr>
        <w:t xml:space="preserve">caso </w:t>
      </w:r>
      <w:r w:rsidR="00B51CA4" w:rsidRPr="00CA590F">
        <w:rPr>
          <w:rFonts w:ascii="Gadugi" w:eastAsia="Calibri" w:hAnsi="Gadugi" w:cs="Times New Roman"/>
          <w:sz w:val="24"/>
          <w:szCs w:val="24"/>
        </w:rPr>
        <w:t>con los testimonios escuchados, pero que no fue entendido en el fallo, pues se omitió ese aspecto en las consideraciones</w:t>
      </w:r>
      <w:r w:rsidR="005B5F24" w:rsidRPr="00CA590F">
        <w:rPr>
          <w:rFonts w:ascii="Gadugi" w:eastAsia="Calibri" w:hAnsi="Gadugi" w:cs="Times New Roman"/>
          <w:sz w:val="24"/>
          <w:szCs w:val="24"/>
        </w:rPr>
        <w:t>, si bien Magnolia Isaza no solo requería apoyo económico, sino moral</w:t>
      </w:r>
      <w:r w:rsidR="00C408E2" w:rsidRPr="00CA590F">
        <w:rPr>
          <w:rFonts w:ascii="Gadugi" w:eastAsia="Calibri" w:hAnsi="Gadugi" w:cs="Times New Roman"/>
          <w:sz w:val="24"/>
          <w:szCs w:val="24"/>
        </w:rPr>
        <w:t>. También, dice, ha debido dársele un enfoque de género al asunto</w:t>
      </w:r>
      <w:r w:rsidR="005B5F24" w:rsidRPr="00CA590F">
        <w:rPr>
          <w:rFonts w:ascii="Gadugi" w:eastAsia="Calibri" w:hAnsi="Gadugi" w:cs="Times New Roman"/>
          <w:sz w:val="24"/>
          <w:szCs w:val="24"/>
        </w:rPr>
        <w:t xml:space="preserve">; </w:t>
      </w:r>
      <w:r w:rsidR="00720D62" w:rsidRPr="00CA590F">
        <w:rPr>
          <w:rFonts w:ascii="Gadugi" w:eastAsia="Calibri" w:hAnsi="Gadugi" w:cs="Times New Roman"/>
          <w:sz w:val="24"/>
          <w:szCs w:val="24"/>
        </w:rPr>
        <w:t xml:space="preserve">(iv) </w:t>
      </w:r>
      <w:r w:rsidR="00F24059" w:rsidRPr="00CA590F">
        <w:rPr>
          <w:rFonts w:ascii="Gadugi" w:eastAsia="Calibri" w:hAnsi="Gadugi" w:cs="Times New Roman"/>
          <w:sz w:val="24"/>
          <w:szCs w:val="24"/>
        </w:rPr>
        <w:t>incurrió el funcionario en defectos relativos a la valoración de las pruebas, porque, reitera, se valoraron unos documentos que no se aportaron con la contestación de la demanda, los testimonios dieron cuenta del estado de postración en que murió Magnolia, se demostraron los gastos fijos</w:t>
      </w:r>
      <w:r w:rsidR="00FF1E81" w:rsidRPr="00CA590F">
        <w:rPr>
          <w:rFonts w:ascii="Gadugi" w:eastAsia="Calibri" w:hAnsi="Gadugi" w:cs="Times New Roman"/>
          <w:sz w:val="24"/>
          <w:szCs w:val="24"/>
        </w:rPr>
        <w:t>, pero solo se tuvo en cuenta el dicho de los mismos demandados, y aunque se dio por sentado el incumplimiento de estos, no le resultaron suficientes al juez para tener por demostrado el abandono total; y (v)</w:t>
      </w:r>
      <w:r w:rsidR="005B5F24" w:rsidRPr="00CA590F">
        <w:rPr>
          <w:rFonts w:ascii="Gadugi" w:eastAsia="Calibri" w:hAnsi="Gadugi" w:cs="Times New Roman"/>
          <w:sz w:val="24"/>
          <w:szCs w:val="24"/>
        </w:rPr>
        <w:t xml:space="preserve"> </w:t>
      </w:r>
      <w:r w:rsidR="00C408E2" w:rsidRPr="00CA590F">
        <w:rPr>
          <w:rFonts w:ascii="Gadugi" w:eastAsia="Calibri" w:hAnsi="Gadugi" w:cs="Times New Roman"/>
          <w:sz w:val="24"/>
          <w:szCs w:val="24"/>
        </w:rPr>
        <w:t>se equivoc</w:t>
      </w:r>
      <w:r w:rsidR="00FF1E81" w:rsidRPr="00CA590F">
        <w:rPr>
          <w:rFonts w:ascii="Gadugi" w:eastAsia="Calibri" w:hAnsi="Gadugi" w:cs="Times New Roman"/>
          <w:sz w:val="24"/>
          <w:szCs w:val="24"/>
        </w:rPr>
        <w:t>ó</w:t>
      </w:r>
      <w:r w:rsidR="00C408E2" w:rsidRPr="00CA590F">
        <w:rPr>
          <w:rFonts w:ascii="Gadugi" w:eastAsia="Calibri" w:hAnsi="Gadugi" w:cs="Times New Roman"/>
          <w:sz w:val="24"/>
          <w:szCs w:val="24"/>
        </w:rPr>
        <w:t xml:space="preserve"> el juez al tener en cuenta el límite temporal de la Ley 1893 de 2018, porque las </w:t>
      </w:r>
      <w:r w:rsidR="00C408E2" w:rsidRPr="00CA590F">
        <w:rPr>
          <w:rFonts w:ascii="Gadugi" w:eastAsia="Calibri" w:hAnsi="Gadugi" w:cs="Times New Roman"/>
          <w:sz w:val="24"/>
          <w:szCs w:val="24"/>
        </w:rPr>
        <w:lastRenderedPageBreak/>
        <w:t>obligaciones de cuidado y alimentaria son de tracto sucesivo, así que las situaciones ocurridas antes de la vigencia de la norma, deben ser tenidas en cuenta</w:t>
      </w:r>
      <w:r w:rsidR="00E01F75" w:rsidRPr="00CA590F">
        <w:rPr>
          <w:rFonts w:ascii="Gadugi" w:eastAsia="Calibri" w:hAnsi="Gadugi" w:cs="Times New Roman"/>
          <w:sz w:val="24"/>
          <w:szCs w:val="24"/>
        </w:rPr>
        <w:t>, pues, aunque no sea retroactiva, sí tiene aplicación la regla de la retrospectividad</w:t>
      </w:r>
      <w:r w:rsidR="00C408E2" w:rsidRPr="00CA590F">
        <w:rPr>
          <w:rFonts w:ascii="Gadugi" w:eastAsia="Calibri" w:hAnsi="Gadugi" w:cs="Times New Roman"/>
          <w:sz w:val="24"/>
          <w:szCs w:val="24"/>
        </w:rPr>
        <w:t xml:space="preserve">. En </w:t>
      </w:r>
      <w:r w:rsidR="004A2DDD" w:rsidRPr="00CA590F">
        <w:rPr>
          <w:rFonts w:ascii="Gadugi" w:eastAsia="Calibri" w:hAnsi="Gadugi" w:cs="Times New Roman"/>
          <w:sz w:val="24"/>
          <w:szCs w:val="24"/>
        </w:rPr>
        <w:t xml:space="preserve">adición, (vi) </w:t>
      </w:r>
      <w:r w:rsidR="00E01F75" w:rsidRPr="00CA590F">
        <w:rPr>
          <w:rFonts w:ascii="Gadugi" w:eastAsia="Calibri" w:hAnsi="Gadugi" w:cs="Times New Roman"/>
          <w:sz w:val="24"/>
          <w:szCs w:val="24"/>
        </w:rPr>
        <w:t xml:space="preserve">como el abandono parcial también se demostró, el juzgador ha debido echar mano del artículo 281 del CGP y dar por acreditada la causal tercera del artículo 1025 del C. Civil, que tiene por indigno al </w:t>
      </w:r>
      <w:r w:rsidR="00E01F75" w:rsidRPr="00CA590F">
        <w:rPr>
          <w:rFonts w:ascii="Gadugi" w:eastAsia="Calibri" w:hAnsi="Gadugi" w:cs="Times New Roman"/>
          <w:i/>
          <w:sz w:val="24"/>
          <w:szCs w:val="24"/>
        </w:rPr>
        <w:t>“</w:t>
      </w:r>
      <w:r w:rsidR="00E01F75" w:rsidRPr="00CA590F">
        <w:rPr>
          <w:rFonts w:ascii="Gadugi" w:eastAsia="Calibri" w:hAnsi="Gadugi" w:cs="Times New Roman"/>
          <w:i/>
          <w:szCs w:val="24"/>
        </w:rPr>
        <w:t>…</w:t>
      </w:r>
      <w:r w:rsidR="00867317" w:rsidRPr="00CA590F">
        <w:rPr>
          <w:rFonts w:ascii="Gadugi" w:eastAsia="Calibri" w:hAnsi="Gadugi" w:cs="Times New Roman"/>
          <w:i/>
          <w:szCs w:val="24"/>
        </w:rPr>
        <w:t xml:space="preserve"> </w:t>
      </w:r>
      <w:r w:rsidR="00E01F75" w:rsidRPr="00CA590F">
        <w:rPr>
          <w:rFonts w:ascii="Gadugi" w:eastAsia="Calibri" w:hAnsi="Gadugi" w:cs="Times New Roman"/>
          <w:i/>
          <w:szCs w:val="24"/>
        </w:rPr>
        <w:t>consanguíneo dentro del sexto grado inclusive que en el estado de demencia o destitución de la persona de cuya sucesión se trata, no la socorrió pudiendo</w:t>
      </w:r>
      <w:r w:rsidR="00E01F75" w:rsidRPr="00CA590F">
        <w:rPr>
          <w:rFonts w:ascii="Gadugi" w:eastAsia="Calibri" w:hAnsi="Gadugi" w:cs="Times New Roman"/>
          <w:i/>
          <w:sz w:val="24"/>
          <w:szCs w:val="24"/>
        </w:rPr>
        <w:t xml:space="preserve">”. </w:t>
      </w:r>
    </w:p>
    <w:p w14:paraId="1812B63E" w14:textId="312C98DD" w:rsidR="00FD101D" w:rsidRPr="00CA590F" w:rsidRDefault="00FD101D" w:rsidP="00F35D5C">
      <w:pPr>
        <w:spacing w:after="0" w:line="276" w:lineRule="auto"/>
        <w:ind w:firstLine="1701"/>
        <w:jc w:val="both"/>
        <w:rPr>
          <w:rFonts w:ascii="Gadugi" w:eastAsia="Malgun Gothic" w:hAnsi="Gadugi" w:cs="Estrangelo Edessa"/>
          <w:sz w:val="24"/>
          <w:szCs w:val="24"/>
        </w:rPr>
      </w:pPr>
    </w:p>
    <w:p w14:paraId="2FC04347" w14:textId="645A47D2" w:rsidR="008F7579" w:rsidRPr="00CA590F" w:rsidRDefault="00F44F73" w:rsidP="00F35D5C">
      <w:pPr>
        <w:spacing w:after="0" w:line="276" w:lineRule="auto"/>
        <w:ind w:firstLine="1701"/>
        <w:jc w:val="both"/>
        <w:rPr>
          <w:rFonts w:ascii="Gadugi" w:eastAsia="Malgun Gothic" w:hAnsi="Gadugi" w:cs="Estrangelo Edessa"/>
          <w:sz w:val="24"/>
          <w:szCs w:val="24"/>
        </w:rPr>
      </w:pPr>
      <w:r w:rsidRPr="00CA590F">
        <w:rPr>
          <w:rFonts w:ascii="Gadugi" w:eastAsia="Malgun Gothic" w:hAnsi="Gadugi" w:cs="Estrangelo Edessa"/>
          <w:sz w:val="24"/>
          <w:szCs w:val="24"/>
        </w:rPr>
        <w:t>La Sala, para guardar coherencia en lo que se decidirá, abordará tales em</w:t>
      </w:r>
      <w:r w:rsidR="004A2DDD" w:rsidRPr="00CA590F">
        <w:rPr>
          <w:rFonts w:ascii="Gadugi" w:eastAsia="Malgun Gothic" w:hAnsi="Gadugi" w:cs="Estrangelo Edessa"/>
          <w:sz w:val="24"/>
          <w:szCs w:val="24"/>
        </w:rPr>
        <w:t>bates</w:t>
      </w:r>
      <w:r w:rsidR="00F111E2" w:rsidRPr="00CA590F">
        <w:rPr>
          <w:rFonts w:ascii="Gadugi" w:eastAsia="Malgun Gothic" w:hAnsi="Gadugi" w:cs="Estrangelo Edessa"/>
          <w:sz w:val="24"/>
          <w:szCs w:val="24"/>
        </w:rPr>
        <w:t xml:space="preserve"> en el siguiente orden: primero se aludirá a la extemporaneidad de la respuesta a la demanda; luego a la retrospectividad de la ley</w:t>
      </w:r>
      <w:r w:rsidR="00F82CB2" w:rsidRPr="00CA590F">
        <w:rPr>
          <w:rFonts w:ascii="Gadugi" w:eastAsia="Malgun Gothic" w:hAnsi="Gadugi" w:cs="Estrangelo Edessa"/>
          <w:sz w:val="24"/>
          <w:szCs w:val="24"/>
        </w:rPr>
        <w:t xml:space="preserve"> y</w:t>
      </w:r>
      <w:r w:rsidR="004A2DDD" w:rsidRPr="00CA590F">
        <w:rPr>
          <w:rFonts w:ascii="Gadugi" w:eastAsia="Malgun Gothic" w:hAnsi="Gadugi" w:cs="Estrangelo Edessa"/>
          <w:sz w:val="24"/>
          <w:szCs w:val="24"/>
        </w:rPr>
        <w:t xml:space="preserve"> </w:t>
      </w:r>
      <w:r w:rsidR="00F111E2" w:rsidRPr="00CA590F">
        <w:rPr>
          <w:rFonts w:ascii="Gadugi" w:eastAsia="Malgun Gothic" w:hAnsi="Gadugi" w:cs="Estrangelo Edessa"/>
          <w:sz w:val="24"/>
          <w:szCs w:val="24"/>
        </w:rPr>
        <w:t>al enfoque que</w:t>
      </w:r>
      <w:r w:rsidR="00F82CB2" w:rsidRPr="00CA590F">
        <w:rPr>
          <w:rFonts w:ascii="Gadugi" w:eastAsia="Malgun Gothic" w:hAnsi="Gadugi" w:cs="Estrangelo Edessa"/>
          <w:sz w:val="24"/>
          <w:szCs w:val="24"/>
        </w:rPr>
        <w:t>, al menos en lo que toca con la retrospectividad,</w:t>
      </w:r>
      <w:r w:rsidR="00F111E2" w:rsidRPr="00CA590F">
        <w:rPr>
          <w:rFonts w:ascii="Gadugi" w:eastAsia="Malgun Gothic" w:hAnsi="Gadugi" w:cs="Estrangelo Edessa"/>
          <w:sz w:val="24"/>
          <w:szCs w:val="24"/>
        </w:rPr>
        <w:t xml:space="preserve"> ha debido dársele al asunto; enseguida se </w:t>
      </w:r>
      <w:r w:rsidR="008F7579" w:rsidRPr="00CA590F">
        <w:rPr>
          <w:rFonts w:ascii="Gadugi" w:eastAsia="Malgun Gothic" w:hAnsi="Gadugi" w:cs="Estrangelo Edessa"/>
          <w:sz w:val="24"/>
          <w:szCs w:val="24"/>
        </w:rPr>
        <w:t xml:space="preserve">tratará lo relacionado con la valoración de las pruebas; y, por último, a la causal que, en sentir del recurrente </w:t>
      </w:r>
      <w:r w:rsidR="002C0A91" w:rsidRPr="00CA590F">
        <w:rPr>
          <w:rFonts w:ascii="Gadugi" w:eastAsia="Malgun Gothic" w:hAnsi="Gadugi" w:cs="Estrangelo Edessa"/>
          <w:sz w:val="24"/>
          <w:szCs w:val="24"/>
        </w:rPr>
        <w:t xml:space="preserve">tendría que </w:t>
      </w:r>
      <w:r w:rsidR="008F7579" w:rsidRPr="00CA590F">
        <w:rPr>
          <w:rFonts w:ascii="Gadugi" w:eastAsia="Malgun Gothic" w:hAnsi="Gadugi" w:cs="Estrangelo Edessa"/>
          <w:sz w:val="24"/>
          <w:szCs w:val="24"/>
        </w:rPr>
        <w:t xml:space="preserve">declararse probada en defecto de las que invocó. </w:t>
      </w:r>
    </w:p>
    <w:p w14:paraId="5BDADA32" w14:textId="77777777" w:rsidR="008F7579" w:rsidRPr="00CA590F" w:rsidRDefault="008F7579" w:rsidP="00F35D5C">
      <w:pPr>
        <w:spacing w:after="0" w:line="276" w:lineRule="auto"/>
        <w:ind w:firstLine="1701"/>
        <w:jc w:val="both"/>
        <w:rPr>
          <w:rFonts w:ascii="Gadugi" w:eastAsia="Malgun Gothic" w:hAnsi="Gadugi" w:cs="Estrangelo Edessa"/>
          <w:sz w:val="24"/>
          <w:szCs w:val="24"/>
        </w:rPr>
      </w:pPr>
    </w:p>
    <w:p w14:paraId="18399616" w14:textId="6C20D530" w:rsidR="00CE2BCD" w:rsidRPr="00CA590F" w:rsidRDefault="00CE2BCD" w:rsidP="00F35D5C">
      <w:pPr>
        <w:pStyle w:val="Prrafodelista"/>
        <w:numPr>
          <w:ilvl w:val="2"/>
          <w:numId w:val="1"/>
        </w:numPr>
        <w:tabs>
          <w:tab w:val="left" w:pos="2410"/>
        </w:tabs>
        <w:spacing w:after="0" w:line="276" w:lineRule="auto"/>
        <w:ind w:left="0" w:firstLine="1701"/>
        <w:jc w:val="both"/>
        <w:rPr>
          <w:rFonts w:ascii="Gadugi" w:eastAsia="Malgun Gothic" w:hAnsi="Gadugi" w:cs="Estrangelo Edessa"/>
          <w:sz w:val="24"/>
          <w:szCs w:val="24"/>
        </w:rPr>
      </w:pPr>
      <w:r w:rsidRPr="00CA590F">
        <w:rPr>
          <w:rFonts w:ascii="Gadugi" w:eastAsia="Calibri" w:hAnsi="Gadugi" w:cs="Times New Roman"/>
          <w:sz w:val="24"/>
          <w:szCs w:val="24"/>
        </w:rPr>
        <w:t xml:space="preserve"> La réplica relacionada con la contestación de la demanda por fuera del término legal, fracasa. </w:t>
      </w:r>
    </w:p>
    <w:p w14:paraId="157079F3" w14:textId="17031B86" w:rsidR="004E3980" w:rsidRPr="00CA590F" w:rsidRDefault="004E3980" w:rsidP="00F35D5C">
      <w:pPr>
        <w:pStyle w:val="Prrafodelista"/>
        <w:spacing w:after="0" w:line="276" w:lineRule="auto"/>
        <w:ind w:left="1701"/>
        <w:jc w:val="both"/>
        <w:rPr>
          <w:rFonts w:ascii="Gadugi" w:eastAsia="Malgun Gothic" w:hAnsi="Gadugi" w:cs="Estrangelo Edessa"/>
          <w:sz w:val="24"/>
          <w:szCs w:val="24"/>
        </w:rPr>
      </w:pPr>
    </w:p>
    <w:p w14:paraId="70A899BE" w14:textId="3D11BE8A" w:rsidR="00A84FF4" w:rsidRPr="00CA590F" w:rsidRDefault="004E3980" w:rsidP="00F35D5C">
      <w:pPr>
        <w:pStyle w:val="Prrafodelista"/>
        <w:spacing w:after="0" w:line="276" w:lineRule="auto"/>
        <w:ind w:left="0" w:firstLine="1701"/>
        <w:jc w:val="both"/>
        <w:rPr>
          <w:rFonts w:ascii="Gadugi" w:eastAsia="Calibri" w:hAnsi="Gadugi" w:cs="Times New Roman"/>
          <w:sz w:val="24"/>
          <w:szCs w:val="24"/>
        </w:rPr>
      </w:pPr>
      <w:r w:rsidRPr="00CA590F">
        <w:rPr>
          <w:rFonts w:ascii="Gadugi" w:eastAsia="Malgun Gothic" w:hAnsi="Gadugi" w:cs="Estrangelo Edessa"/>
          <w:sz w:val="24"/>
          <w:szCs w:val="24"/>
        </w:rPr>
        <w:t xml:space="preserve">Según se registró en los antecedentes, el juzgado decidió, con autos del </w:t>
      </w:r>
      <w:r w:rsidRPr="00CA590F">
        <w:rPr>
          <w:rFonts w:ascii="Gadugi" w:eastAsia="Calibri" w:hAnsi="Gadugi" w:cs="Times New Roman"/>
          <w:sz w:val="24"/>
          <w:szCs w:val="24"/>
        </w:rPr>
        <w:t>9 y el 30 de abril de 2021</w:t>
      </w:r>
      <w:r w:rsidRPr="00CA590F">
        <w:rPr>
          <w:rStyle w:val="Refdenotaalpie"/>
          <w:rFonts w:ascii="Gadugi" w:eastAsia="Calibri" w:hAnsi="Gadugi" w:cs="Times New Roman"/>
          <w:sz w:val="24"/>
          <w:szCs w:val="24"/>
        </w:rPr>
        <w:footnoteReference w:id="21"/>
      </w:r>
      <w:r w:rsidRPr="00CA590F">
        <w:rPr>
          <w:rFonts w:ascii="Gadugi" w:eastAsia="Calibri" w:hAnsi="Gadugi" w:cs="Times New Roman"/>
          <w:sz w:val="24"/>
          <w:szCs w:val="24"/>
        </w:rPr>
        <w:t>, tener a los demandados como notificados por conducta concluyente</w:t>
      </w:r>
      <w:r w:rsidR="004A2DDD" w:rsidRPr="00CA590F">
        <w:rPr>
          <w:rFonts w:ascii="Gadugi" w:eastAsia="Calibri" w:hAnsi="Gadugi" w:cs="Times New Roman"/>
          <w:sz w:val="24"/>
          <w:szCs w:val="24"/>
        </w:rPr>
        <w:t>. E</w:t>
      </w:r>
      <w:r w:rsidR="00D93BAD" w:rsidRPr="00CA590F">
        <w:rPr>
          <w:rFonts w:ascii="Gadugi" w:eastAsia="Calibri" w:hAnsi="Gadugi" w:cs="Times New Roman"/>
          <w:sz w:val="24"/>
          <w:szCs w:val="24"/>
        </w:rPr>
        <w:t xml:space="preserve">n el caso de Hernán Duque, porque la abogada informó que </w:t>
      </w:r>
      <w:r w:rsidR="005005D8" w:rsidRPr="00CA590F">
        <w:rPr>
          <w:rFonts w:ascii="Gadugi" w:eastAsia="Calibri" w:hAnsi="Gadugi" w:cs="Times New Roman"/>
          <w:sz w:val="24"/>
          <w:szCs w:val="24"/>
        </w:rPr>
        <w:t xml:space="preserve">con la notificación </w:t>
      </w:r>
      <w:r w:rsidR="00283F1B" w:rsidRPr="00CA590F">
        <w:rPr>
          <w:rFonts w:ascii="Gadugi" w:eastAsia="Calibri" w:hAnsi="Gadugi" w:cs="Times New Roman"/>
          <w:sz w:val="24"/>
          <w:szCs w:val="24"/>
        </w:rPr>
        <w:t xml:space="preserve">se omitió el envío </w:t>
      </w:r>
      <w:r w:rsidR="00283F1B" w:rsidRPr="00CA590F">
        <w:rPr>
          <w:rFonts w:ascii="Gadugi" w:eastAsia="Gadugi" w:hAnsi="Gadugi" w:cs="Gadugi"/>
          <w:sz w:val="24"/>
          <w:szCs w:val="24"/>
        </w:rPr>
        <w:t xml:space="preserve">de </w:t>
      </w:r>
      <w:r w:rsidR="00D93BAD" w:rsidRPr="00CA590F">
        <w:rPr>
          <w:rFonts w:ascii="Gadugi" w:eastAsia="Calibri" w:hAnsi="Gadugi" w:cs="Times New Roman"/>
          <w:sz w:val="24"/>
          <w:szCs w:val="24"/>
        </w:rPr>
        <w:t>los anexos respectivos</w:t>
      </w:r>
      <w:r w:rsidR="00F124FA" w:rsidRPr="00CA590F">
        <w:rPr>
          <w:rFonts w:ascii="Gadugi" w:eastAsia="Calibri" w:hAnsi="Gadugi" w:cs="Times New Roman"/>
          <w:sz w:val="24"/>
          <w:szCs w:val="24"/>
        </w:rPr>
        <w:t xml:space="preserve">; y en el de Álvaro Duque, </w:t>
      </w:r>
      <w:r w:rsidR="00283F1B" w:rsidRPr="00CA590F">
        <w:rPr>
          <w:rFonts w:ascii="Gadugi" w:eastAsia="Calibri" w:hAnsi="Gadugi" w:cs="Times New Roman"/>
          <w:sz w:val="24"/>
          <w:szCs w:val="24"/>
        </w:rPr>
        <w:t>ya que</w:t>
      </w:r>
      <w:r w:rsidR="00F124FA" w:rsidRPr="00CA590F">
        <w:rPr>
          <w:rFonts w:ascii="Gadugi" w:eastAsia="Calibri" w:hAnsi="Gadugi" w:cs="Times New Roman"/>
          <w:sz w:val="24"/>
          <w:szCs w:val="24"/>
        </w:rPr>
        <w:t xml:space="preserve"> con los documentos que aportó la parte demandante </w:t>
      </w:r>
      <w:r w:rsidR="693709BC" w:rsidRPr="00CA590F">
        <w:rPr>
          <w:rFonts w:ascii="Gadugi" w:eastAsia="Gadugi" w:hAnsi="Gadugi" w:cs="Gadugi"/>
          <w:sz w:val="24"/>
          <w:szCs w:val="24"/>
        </w:rPr>
        <w:t>no</w:t>
      </w:r>
      <w:r w:rsidR="693709BC" w:rsidRPr="00CA590F">
        <w:rPr>
          <w:rFonts w:ascii="Gadugi" w:eastAsia="Calibri" w:hAnsi="Gadugi" w:cs="Times New Roman"/>
          <w:sz w:val="24"/>
          <w:szCs w:val="24"/>
        </w:rPr>
        <w:t xml:space="preserve"> </w:t>
      </w:r>
      <w:r w:rsidR="00F124FA" w:rsidRPr="00CA590F">
        <w:rPr>
          <w:rFonts w:ascii="Gadugi" w:eastAsia="Calibri" w:hAnsi="Gadugi" w:cs="Times New Roman"/>
          <w:sz w:val="24"/>
          <w:szCs w:val="24"/>
        </w:rPr>
        <w:t>se demostró su acuse</w:t>
      </w:r>
      <w:r w:rsidR="00A553F5" w:rsidRPr="00CA590F">
        <w:rPr>
          <w:rFonts w:ascii="Gadugi" w:eastAsia="Calibri" w:hAnsi="Gadugi" w:cs="Times New Roman"/>
          <w:sz w:val="24"/>
          <w:szCs w:val="24"/>
        </w:rPr>
        <w:t xml:space="preserve"> de recibo</w:t>
      </w:r>
      <w:r w:rsidR="00F124FA" w:rsidRPr="00CA590F">
        <w:rPr>
          <w:rFonts w:ascii="Gadugi" w:eastAsia="Calibri" w:hAnsi="Gadugi" w:cs="Times New Roman"/>
          <w:sz w:val="24"/>
          <w:szCs w:val="24"/>
        </w:rPr>
        <w:t xml:space="preserve">. En consecuencia, dispuso que el término de traslado correría pasados tres días contados desde la notificación de tales proveídos. Esas </w:t>
      </w:r>
      <w:r w:rsidR="00F44F73" w:rsidRPr="00CA590F">
        <w:rPr>
          <w:rFonts w:ascii="Gadugi" w:eastAsia="Calibri" w:hAnsi="Gadugi" w:cs="Times New Roman"/>
          <w:sz w:val="24"/>
          <w:szCs w:val="24"/>
        </w:rPr>
        <w:t>providencias</w:t>
      </w:r>
      <w:r w:rsidR="00F124FA" w:rsidRPr="00CA590F">
        <w:rPr>
          <w:rFonts w:ascii="Gadugi" w:eastAsia="Calibri" w:hAnsi="Gadugi" w:cs="Times New Roman"/>
          <w:sz w:val="24"/>
          <w:szCs w:val="24"/>
        </w:rPr>
        <w:t xml:space="preserve"> </w:t>
      </w:r>
      <w:r w:rsidR="7873981D" w:rsidRPr="00CA590F">
        <w:rPr>
          <w:rFonts w:ascii="Gadugi" w:eastAsia="Gadugi" w:hAnsi="Gadugi" w:cs="Gadugi"/>
          <w:sz w:val="24"/>
          <w:szCs w:val="24"/>
        </w:rPr>
        <w:t>no</w:t>
      </w:r>
      <w:r w:rsidR="7873981D" w:rsidRPr="00CA590F">
        <w:rPr>
          <w:rFonts w:ascii="Gadugi" w:eastAsia="Calibri" w:hAnsi="Gadugi" w:cs="Times New Roman"/>
          <w:sz w:val="24"/>
          <w:szCs w:val="24"/>
        </w:rPr>
        <w:t xml:space="preserve"> </w:t>
      </w:r>
      <w:r w:rsidR="00F124FA" w:rsidRPr="00CA590F">
        <w:rPr>
          <w:rFonts w:ascii="Gadugi" w:eastAsia="Calibri" w:hAnsi="Gadugi" w:cs="Times New Roman"/>
          <w:sz w:val="24"/>
          <w:szCs w:val="24"/>
        </w:rPr>
        <w:t>fueron impugnadas por la parte demandante</w:t>
      </w:r>
      <w:r w:rsidR="00A84FF4" w:rsidRPr="00CA590F">
        <w:rPr>
          <w:rFonts w:ascii="Gadugi" w:eastAsia="Calibri" w:hAnsi="Gadugi" w:cs="Times New Roman"/>
          <w:sz w:val="24"/>
          <w:szCs w:val="24"/>
        </w:rPr>
        <w:t xml:space="preserve">. </w:t>
      </w:r>
    </w:p>
    <w:p w14:paraId="3138C972" w14:textId="77777777" w:rsidR="00A84FF4" w:rsidRPr="00CA590F" w:rsidRDefault="00A84FF4" w:rsidP="00F35D5C">
      <w:pPr>
        <w:pStyle w:val="Prrafodelista"/>
        <w:spacing w:after="0" w:line="276" w:lineRule="auto"/>
        <w:ind w:left="0" w:firstLine="1701"/>
        <w:jc w:val="both"/>
        <w:rPr>
          <w:rFonts w:ascii="Gadugi" w:eastAsia="Calibri" w:hAnsi="Gadugi" w:cs="Times New Roman"/>
          <w:sz w:val="24"/>
          <w:szCs w:val="24"/>
        </w:rPr>
      </w:pPr>
    </w:p>
    <w:p w14:paraId="6CCE25DD" w14:textId="77777777" w:rsidR="00F44F73" w:rsidRPr="00CA590F" w:rsidRDefault="00A84FF4" w:rsidP="00F35D5C">
      <w:pPr>
        <w:pStyle w:val="Prrafodelista"/>
        <w:spacing w:after="0" w:line="276" w:lineRule="auto"/>
        <w:ind w:left="0" w:firstLine="1701"/>
        <w:jc w:val="both"/>
        <w:rPr>
          <w:rFonts w:ascii="Gadugi" w:eastAsia="Calibri" w:hAnsi="Gadugi" w:cs="Times New Roman"/>
          <w:sz w:val="24"/>
          <w:szCs w:val="24"/>
        </w:rPr>
      </w:pPr>
      <w:r w:rsidRPr="00CA590F">
        <w:rPr>
          <w:rFonts w:ascii="Gadugi" w:eastAsia="Calibri" w:hAnsi="Gadugi" w:cs="Times New Roman"/>
          <w:sz w:val="24"/>
          <w:szCs w:val="24"/>
        </w:rPr>
        <w:t>Posteriormente</w:t>
      </w:r>
      <w:r w:rsidR="00F124FA" w:rsidRPr="00CA590F">
        <w:rPr>
          <w:rFonts w:ascii="Gadugi" w:eastAsia="Calibri" w:hAnsi="Gadugi" w:cs="Times New Roman"/>
          <w:sz w:val="24"/>
          <w:szCs w:val="24"/>
        </w:rPr>
        <w:t xml:space="preserve">, </w:t>
      </w:r>
      <w:r w:rsidRPr="00CA590F">
        <w:rPr>
          <w:rFonts w:ascii="Gadugi" w:eastAsia="Calibri" w:hAnsi="Gadugi" w:cs="Times New Roman"/>
          <w:sz w:val="24"/>
          <w:szCs w:val="24"/>
        </w:rPr>
        <w:t xml:space="preserve">vencido el término de traslado de las excepciones propuestas, </w:t>
      </w:r>
      <w:r w:rsidR="00854137" w:rsidRPr="00CA590F">
        <w:rPr>
          <w:rFonts w:ascii="Gadugi" w:eastAsia="Calibri" w:hAnsi="Gadugi" w:cs="Times New Roman"/>
          <w:sz w:val="24"/>
          <w:szCs w:val="24"/>
        </w:rPr>
        <w:t>con auto del 15 de junio de 2021</w:t>
      </w:r>
      <w:r w:rsidR="00854137" w:rsidRPr="00CA590F">
        <w:rPr>
          <w:rStyle w:val="Refdenotaalpie"/>
          <w:rFonts w:ascii="Gadugi" w:eastAsia="Calibri" w:hAnsi="Gadugi" w:cs="Times New Roman"/>
          <w:sz w:val="24"/>
          <w:szCs w:val="24"/>
        </w:rPr>
        <w:footnoteReference w:id="22"/>
      </w:r>
      <w:r w:rsidR="00854137" w:rsidRPr="00CA590F">
        <w:rPr>
          <w:rFonts w:ascii="Gadugi" w:eastAsia="Calibri" w:hAnsi="Gadugi" w:cs="Times New Roman"/>
          <w:sz w:val="24"/>
          <w:szCs w:val="24"/>
        </w:rPr>
        <w:t xml:space="preserve">, </w:t>
      </w:r>
      <w:r w:rsidRPr="00CA590F">
        <w:rPr>
          <w:rFonts w:ascii="Gadugi" w:eastAsia="Calibri" w:hAnsi="Gadugi" w:cs="Times New Roman"/>
          <w:sz w:val="24"/>
          <w:szCs w:val="24"/>
        </w:rPr>
        <w:t>se convocó a la audiencia concentrada de los artículos 372 y 373 del CGP</w:t>
      </w:r>
      <w:r w:rsidR="00854137" w:rsidRPr="00CA590F">
        <w:rPr>
          <w:rFonts w:ascii="Gadugi" w:eastAsia="Calibri" w:hAnsi="Gadugi" w:cs="Times New Roman"/>
          <w:sz w:val="24"/>
          <w:szCs w:val="24"/>
        </w:rPr>
        <w:t>, que se realizó el 12 de agosto de ese año</w:t>
      </w:r>
      <w:r w:rsidR="00854137" w:rsidRPr="00CA590F">
        <w:rPr>
          <w:rStyle w:val="Refdenotaalpie"/>
          <w:rFonts w:ascii="Gadugi" w:eastAsia="Calibri" w:hAnsi="Gadugi" w:cs="Times New Roman"/>
          <w:sz w:val="24"/>
          <w:szCs w:val="24"/>
        </w:rPr>
        <w:footnoteReference w:id="23"/>
      </w:r>
      <w:r w:rsidR="00854137" w:rsidRPr="00CA590F">
        <w:rPr>
          <w:rFonts w:ascii="Gadugi" w:eastAsia="Calibri" w:hAnsi="Gadugi" w:cs="Times New Roman"/>
          <w:sz w:val="24"/>
          <w:szCs w:val="24"/>
        </w:rPr>
        <w:t>. Aqu</w:t>
      </w:r>
      <w:r w:rsidR="00F44F73" w:rsidRPr="00CA590F">
        <w:rPr>
          <w:rFonts w:ascii="Gadugi" w:eastAsia="Calibri" w:hAnsi="Gadugi" w:cs="Times New Roman"/>
          <w:sz w:val="24"/>
          <w:szCs w:val="24"/>
        </w:rPr>
        <w:t>el proveído tampoco se recurrió</w:t>
      </w:r>
      <w:r w:rsidR="00854137" w:rsidRPr="00CA590F">
        <w:rPr>
          <w:rFonts w:ascii="Gadugi" w:eastAsia="Calibri" w:hAnsi="Gadugi" w:cs="Times New Roman"/>
          <w:sz w:val="24"/>
          <w:szCs w:val="24"/>
        </w:rPr>
        <w:t>; solo durante la audiencia</w:t>
      </w:r>
      <w:r w:rsidR="001E3F0E" w:rsidRPr="00CA590F">
        <w:rPr>
          <w:rFonts w:ascii="Gadugi" w:eastAsia="Calibri" w:hAnsi="Gadugi" w:cs="Times New Roman"/>
          <w:sz w:val="24"/>
          <w:szCs w:val="24"/>
        </w:rPr>
        <w:t>, en la etapa de saneamiento,</w:t>
      </w:r>
      <w:r w:rsidR="00854137" w:rsidRPr="00CA590F">
        <w:rPr>
          <w:rFonts w:ascii="Gadugi" w:eastAsia="Calibri" w:hAnsi="Gadugi" w:cs="Times New Roman"/>
          <w:sz w:val="24"/>
          <w:szCs w:val="24"/>
        </w:rPr>
        <w:t xml:space="preserve"> se le planteó la situación al juez</w:t>
      </w:r>
      <w:r w:rsidR="001E3F0E" w:rsidRPr="00CA590F">
        <w:rPr>
          <w:rStyle w:val="Refdenotaalpie"/>
          <w:rFonts w:ascii="Gadugi" w:eastAsia="Calibri" w:hAnsi="Gadugi" w:cs="Times New Roman"/>
          <w:sz w:val="24"/>
          <w:szCs w:val="24"/>
        </w:rPr>
        <w:footnoteReference w:id="24"/>
      </w:r>
      <w:r w:rsidR="00854137" w:rsidRPr="00CA590F">
        <w:rPr>
          <w:rFonts w:ascii="Gadugi" w:eastAsia="Calibri" w:hAnsi="Gadugi" w:cs="Times New Roman"/>
          <w:sz w:val="24"/>
          <w:szCs w:val="24"/>
        </w:rPr>
        <w:t xml:space="preserve">, </w:t>
      </w:r>
      <w:r w:rsidR="001E3F0E" w:rsidRPr="00CA590F">
        <w:rPr>
          <w:rFonts w:ascii="Gadugi" w:eastAsia="Calibri" w:hAnsi="Gadugi" w:cs="Times New Roman"/>
          <w:sz w:val="24"/>
          <w:szCs w:val="24"/>
        </w:rPr>
        <w:t>a lo cual respondió el funcionario que</w:t>
      </w:r>
      <w:r w:rsidRPr="00CA590F">
        <w:rPr>
          <w:rFonts w:ascii="Gadugi" w:eastAsia="Calibri" w:hAnsi="Gadugi" w:cs="Times New Roman"/>
          <w:sz w:val="24"/>
          <w:szCs w:val="24"/>
        </w:rPr>
        <w:t>,</w:t>
      </w:r>
      <w:r w:rsidR="00A553F5" w:rsidRPr="00CA590F">
        <w:rPr>
          <w:rFonts w:ascii="Gadugi" w:eastAsia="Calibri" w:hAnsi="Gadugi" w:cs="Times New Roman"/>
          <w:sz w:val="24"/>
          <w:szCs w:val="24"/>
        </w:rPr>
        <w:t xml:space="preserve"> </w:t>
      </w:r>
      <w:r w:rsidR="00A553F5" w:rsidRPr="00CA590F">
        <w:rPr>
          <w:rFonts w:ascii="Gadugi" w:eastAsia="Calibri" w:hAnsi="Gadugi" w:cs="Times New Roman"/>
          <w:i/>
          <w:sz w:val="24"/>
          <w:szCs w:val="24"/>
        </w:rPr>
        <w:t>“</w:t>
      </w:r>
      <w:r w:rsidR="00A553F5" w:rsidRPr="00CA590F">
        <w:rPr>
          <w:rFonts w:ascii="Gadugi" w:eastAsia="Calibri" w:hAnsi="Gadugi" w:cs="Times New Roman"/>
          <w:i/>
          <w:szCs w:val="24"/>
        </w:rPr>
        <w:t>Teniendo en cuenta lo manifestado por el apoderado de la parte demandante, esto no constituye un vicio del proceso y el juzgado encuentra de acuerdo a lo discurrido en el proceso de que la contestación de la demanda no fue de tipo extemporánea tal como se manifestó…</w:t>
      </w:r>
      <w:r w:rsidR="00A553F5" w:rsidRPr="00CA590F">
        <w:rPr>
          <w:rFonts w:ascii="Gadugi" w:eastAsia="Calibri" w:hAnsi="Gadugi" w:cs="Times New Roman"/>
          <w:i/>
          <w:sz w:val="24"/>
          <w:szCs w:val="24"/>
        </w:rPr>
        <w:t xml:space="preserve">”. </w:t>
      </w:r>
      <w:r w:rsidR="00F44F73" w:rsidRPr="00CA590F">
        <w:rPr>
          <w:rFonts w:ascii="Gadugi" w:eastAsia="Calibri" w:hAnsi="Gadugi" w:cs="Times New Roman"/>
          <w:sz w:val="24"/>
          <w:szCs w:val="24"/>
        </w:rPr>
        <w:t xml:space="preserve">Frente a esa </w:t>
      </w:r>
      <w:r w:rsidR="00A553F5" w:rsidRPr="00CA590F">
        <w:rPr>
          <w:rFonts w:ascii="Gadugi" w:eastAsia="Calibri" w:hAnsi="Gadugi" w:cs="Times New Roman"/>
          <w:sz w:val="24"/>
          <w:szCs w:val="24"/>
        </w:rPr>
        <w:t xml:space="preserve">decisión </w:t>
      </w:r>
      <w:r w:rsidR="00F44F73" w:rsidRPr="00CA590F">
        <w:rPr>
          <w:rFonts w:ascii="Gadugi" w:eastAsia="Calibri" w:hAnsi="Gadugi" w:cs="Times New Roman"/>
          <w:sz w:val="24"/>
          <w:szCs w:val="24"/>
        </w:rPr>
        <w:t>ningún reparo se elevó</w:t>
      </w:r>
      <w:r w:rsidR="00A553F5" w:rsidRPr="00CA590F">
        <w:rPr>
          <w:rFonts w:ascii="Gadugi" w:eastAsia="Calibri" w:hAnsi="Gadugi" w:cs="Times New Roman"/>
          <w:sz w:val="24"/>
          <w:szCs w:val="24"/>
        </w:rPr>
        <w:t xml:space="preserve"> por parte del demandante</w:t>
      </w:r>
      <w:r w:rsidR="00F44F73" w:rsidRPr="00CA590F">
        <w:rPr>
          <w:rFonts w:ascii="Gadugi" w:eastAsia="Calibri" w:hAnsi="Gadugi" w:cs="Times New Roman"/>
          <w:sz w:val="24"/>
          <w:szCs w:val="24"/>
        </w:rPr>
        <w:t>.</w:t>
      </w:r>
    </w:p>
    <w:p w14:paraId="0C444E63" w14:textId="77777777" w:rsidR="00F44F73" w:rsidRPr="00CA590F" w:rsidRDefault="00F44F73" w:rsidP="00F35D5C">
      <w:pPr>
        <w:pStyle w:val="Prrafodelista"/>
        <w:spacing w:after="0" w:line="276" w:lineRule="auto"/>
        <w:ind w:left="0" w:firstLine="1701"/>
        <w:jc w:val="both"/>
        <w:rPr>
          <w:rFonts w:ascii="Gadugi" w:eastAsia="Calibri" w:hAnsi="Gadugi" w:cs="Times New Roman"/>
          <w:sz w:val="24"/>
          <w:szCs w:val="24"/>
        </w:rPr>
      </w:pPr>
    </w:p>
    <w:p w14:paraId="2325939E" w14:textId="670FE0B8" w:rsidR="00A553F5" w:rsidRPr="00CA590F" w:rsidRDefault="00F44F73" w:rsidP="00F35D5C">
      <w:pPr>
        <w:pStyle w:val="Prrafodelista"/>
        <w:spacing w:after="0" w:line="276" w:lineRule="auto"/>
        <w:ind w:left="0" w:firstLine="1701"/>
        <w:jc w:val="both"/>
        <w:rPr>
          <w:rFonts w:ascii="Gadugi" w:eastAsia="Calibri" w:hAnsi="Gadugi" w:cs="Times New Roman"/>
          <w:sz w:val="24"/>
          <w:szCs w:val="24"/>
        </w:rPr>
      </w:pPr>
      <w:r w:rsidRPr="00CA590F">
        <w:rPr>
          <w:rFonts w:ascii="Gadugi" w:eastAsia="Calibri" w:hAnsi="Gadugi" w:cs="Times New Roman"/>
          <w:sz w:val="24"/>
          <w:szCs w:val="24"/>
        </w:rPr>
        <w:lastRenderedPageBreak/>
        <w:t xml:space="preserve">Así que, </w:t>
      </w:r>
      <w:r w:rsidR="00A553F5" w:rsidRPr="00CA590F">
        <w:rPr>
          <w:rFonts w:ascii="Gadugi" w:eastAsia="Calibri" w:hAnsi="Gadugi" w:cs="Times New Roman"/>
          <w:sz w:val="24"/>
          <w:szCs w:val="24"/>
        </w:rPr>
        <w:t>cada una de l</w:t>
      </w:r>
      <w:r w:rsidRPr="00CA590F">
        <w:rPr>
          <w:rFonts w:ascii="Gadugi" w:eastAsia="Calibri" w:hAnsi="Gadugi" w:cs="Times New Roman"/>
          <w:sz w:val="24"/>
          <w:szCs w:val="24"/>
        </w:rPr>
        <w:t>os autos emitidos</w:t>
      </w:r>
      <w:r w:rsidR="00A553F5" w:rsidRPr="00CA590F">
        <w:rPr>
          <w:rFonts w:ascii="Gadugi" w:eastAsia="Calibri" w:hAnsi="Gadugi" w:cs="Times New Roman"/>
          <w:sz w:val="24"/>
          <w:szCs w:val="24"/>
        </w:rPr>
        <w:t xml:space="preserve"> adquirió firmeza. No es dable ahora, en consecuencia, sin haber ejercido cabalmente los mecanismos procesales puestos a disposición de las partes para controvertir las decisiones del juez, insistir en una situación que fue abordada y resuelta durante la instancia</w:t>
      </w:r>
      <w:r w:rsidR="004A2DDD" w:rsidRPr="00CA590F">
        <w:rPr>
          <w:rFonts w:ascii="Gadugi" w:eastAsia="Calibri" w:hAnsi="Gadugi" w:cs="Times New Roman"/>
          <w:sz w:val="24"/>
          <w:szCs w:val="24"/>
        </w:rPr>
        <w:t xml:space="preserve"> y que, a la postre, solo conduciría al sacrificio del derecho de defensa de los demandados, a pesar de que el juzgado fue diáfano en manifestarles cuándo empezaba a correrles </w:t>
      </w:r>
      <w:r w:rsidR="004E757C" w:rsidRPr="00CA590F">
        <w:rPr>
          <w:rFonts w:ascii="Gadugi" w:eastAsia="Calibri" w:hAnsi="Gadugi" w:cs="Times New Roman"/>
          <w:sz w:val="24"/>
          <w:szCs w:val="24"/>
        </w:rPr>
        <w:t xml:space="preserve">el </w:t>
      </w:r>
      <w:r w:rsidR="004A2DDD" w:rsidRPr="00CA590F">
        <w:rPr>
          <w:rFonts w:ascii="Gadugi" w:eastAsia="Calibri" w:hAnsi="Gadugi" w:cs="Times New Roman"/>
          <w:sz w:val="24"/>
          <w:szCs w:val="24"/>
        </w:rPr>
        <w:t>término para contestar y dentro de</w:t>
      </w:r>
      <w:r w:rsidR="004E757C" w:rsidRPr="00CA590F">
        <w:rPr>
          <w:rFonts w:ascii="Gadugi" w:eastAsia="Calibri" w:hAnsi="Gadugi" w:cs="Times New Roman"/>
          <w:sz w:val="24"/>
          <w:szCs w:val="24"/>
        </w:rPr>
        <w:t xml:space="preserve">l mismo </w:t>
      </w:r>
      <w:r w:rsidR="004A2DDD" w:rsidRPr="00CA590F">
        <w:rPr>
          <w:rFonts w:ascii="Gadugi" w:eastAsia="Calibri" w:hAnsi="Gadugi" w:cs="Times New Roman"/>
          <w:sz w:val="24"/>
          <w:szCs w:val="24"/>
        </w:rPr>
        <w:t xml:space="preserve">lo hicieron. </w:t>
      </w:r>
      <w:r w:rsidR="00A553F5" w:rsidRPr="00CA590F">
        <w:rPr>
          <w:rFonts w:ascii="Gadugi" w:eastAsia="Calibri" w:hAnsi="Gadugi" w:cs="Times New Roman"/>
          <w:sz w:val="24"/>
          <w:szCs w:val="24"/>
        </w:rPr>
        <w:t xml:space="preserve"> </w:t>
      </w:r>
    </w:p>
    <w:p w14:paraId="1895FA94" w14:textId="2DD685F2" w:rsidR="00A553F5" w:rsidRPr="00CA590F" w:rsidRDefault="00A553F5" w:rsidP="00F35D5C">
      <w:pPr>
        <w:pStyle w:val="Prrafodelista"/>
        <w:spacing w:after="0" w:line="276" w:lineRule="auto"/>
        <w:ind w:left="0" w:firstLine="1701"/>
        <w:jc w:val="both"/>
        <w:rPr>
          <w:rFonts w:ascii="Gadugi" w:eastAsia="Calibri" w:hAnsi="Gadugi" w:cs="Times New Roman"/>
          <w:sz w:val="24"/>
          <w:szCs w:val="24"/>
        </w:rPr>
      </w:pPr>
    </w:p>
    <w:p w14:paraId="19DD702E" w14:textId="02910346" w:rsidR="00A553F5" w:rsidRPr="00CA590F" w:rsidRDefault="00FA48E5" w:rsidP="00F35D5C">
      <w:pPr>
        <w:pStyle w:val="Prrafodelista"/>
        <w:numPr>
          <w:ilvl w:val="1"/>
          <w:numId w:val="1"/>
        </w:numPr>
        <w:tabs>
          <w:tab w:val="left" w:pos="2268"/>
        </w:tabs>
        <w:spacing w:after="0" w:line="276" w:lineRule="auto"/>
        <w:ind w:left="0"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El segundo asunto alude a </w:t>
      </w:r>
      <w:r w:rsidR="008F7579" w:rsidRPr="00CA590F">
        <w:rPr>
          <w:rFonts w:ascii="Gadugi" w:eastAsia="Calibri" w:hAnsi="Gadugi" w:cs="Times New Roman"/>
          <w:sz w:val="24"/>
          <w:szCs w:val="24"/>
        </w:rPr>
        <w:t>la vigencia de la ley 1863 de 2018</w:t>
      </w:r>
      <w:r w:rsidRPr="00CA590F">
        <w:rPr>
          <w:rFonts w:ascii="Gadugi" w:eastAsia="Calibri" w:hAnsi="Gadugi" w:cs="Times New Roman"/>
          <w:sz w:val="24"/>
          <w:szCs w:val="24"/>
        </w:rPr>
        <w:t>, que, en los términos del artículo 2</w:t>
      </w:r>
      <w:r w:rsidR="00DB2505" w:rsidRPr="00CA590F">
        <w:rPr>
          <w:rFonts w:ascii="Gadugi" w:eastAsia="Calibri" w:hAnsi="Gadugi" w:cs="Times New Roman"/>
          <w:sz w:val="24"/>
          <w:szCs w:val="24"/>
        </w:rPr>
        <w:t>°</w:t>
      </w:r>
      <w:r w:rsidRPr="00CA590F">
        <w:rPr>
          <w:rFonts w:ascii="Gadugi" w:eastAsia="Calibri" w:hAnsi="Gadugi" w:cs="Times New Roman"/>
          <w:sz w:val="24"/>
          <w:szCs w:val="24"/>
        </w:rPr>
        <w:t xml:space="preserve"> comenzaría a regir a partir de su promulgación, lo cual ocurrió el 24 de mayo de ese año, con la inserción en el diario oficial 50.603. </w:t>
      </w:r>
    </w:p>
    <w:p w14:paraId="1BDBA453" w14:textId="543BD18D" w:rsidR="00FA48E5" w:rsidRPr="00CA590F" w:rsidRDefault="00FA48E5" w:rsidP="00F35D5C">
      <w:pPr>
        <w:pStyle w:val="Prrafodelista"/>
        <w:tabs>
          <w:tab w:val="left" w:pos="2268"/>
        </w:tabs>
        <w:spacing w:after="0" w:line="276" w:lineRule="auto"/>
        <w:ind w:left="1701"/>
        <w:jc w:val="both"/>
        <w:rPr>
          <w:rFonts w:ascii="Gadugi" w:eastAsia="Calibri" w:hAnsi="Gadugi" w:cs="Times New Roman"/>
          <w:sz w:val="24"/>
          <w:szCs w:val="24"/>
        </w:rPr>
      </w:pPr>
    </w:p>
    <w:p w14:paraId="76B3B1F3" w14:textId="1F0FF35E" w:rsidR="005D1DB8" w:rsidRDefault="005D1DB8" w:rsidP="00A84686">
      <w:pPr>
        <w:spacing w:after="0" w:line="276" w:lineRule="auto"/>
        <w:ind w:firstLine="1701"/>
        <w:jc w:val="both"/>
        <w:rPr>
          <w:rFonts w:ascii="Gadugi" w:hAnsi="Gadugi" w:cs="Arial"/>
          <w:i/>
          <w:sz w:val="24"/>
          <w:szCs w:val="24"/>
        </w:rPr>
      </w:pPr>
      <w:r w:rsidRPr="00CA590F">
        <w:rPr>
          <w:rFonts w:ascii="Gadugi" w:eastAsia="Calibri" w:hAnsi="Gadugi" w:cs="Times New Roman"/>
          <w:sz w:val="24"/>
          <w:szCs w:val="24"/>
        </w:rPr>
        <w:t>Los recurrentes tienen razón en lo que atañe a la retrospectividad. Para arribar a esta conclusión, vale anotar que la indignidad entendida como una especie de castigo o sanción legal</w:t>
      </w:r>
      <w:r w:rsidRPr="00CA590F">
        <w:rPr>
          <w:rStyle w:val="Refdenotaalpie"/>
          <w:rFonts w:ascii="Gadugi" w:eastAsia="Calibri" w:hAnsi="Gadugi" w:cs="Times New Roman"/>
          <w:sz w:val="24"/>
          <w:szCs w:val="24"/>
        </w:rPr>
        <w:footnoteReference w:id="25"/>
      </w:r>
      <w:r w:rsidRPr="00CA590F">
        <w:rPr>
          <w:rFonts w:ascii="Gadugi" w:eastAsia="Calibri" w:hAnsi="Gadugi" w:cs="Times New Roman"/>
          <w:sz w:val="24"/>
          <w:szCs w:val="24"/>
        </w:rPr>
        <w:t>, tiene lugar cuando el heredero o legatario incurre en una de las causales señaladas expresamente en la ley y no puede producir efecto si</w:t>
      </w:r>
      <w:r w:rsidR="007B7DEA" w:rsidRPr="00CA590F">
        <w:rPr>
          <w:rFonts w:ascii="Gadugi" w:eastAsia="Calibri" w:hAnsi="Gadugi" w:cs="Times New Roman"/>
          <w:sz w:val="24"/>
          <w:szCs w:val="24"/>
        </w:rPr>
        <w:t xml:space="preserve"> </w:t>
      </w:r>
      <w:r w:rsidRPr="00CA590F">
        <w:rPr>
          <w:rFonts w:ascii="Gadugi" w:eastAsia="Calibri" w:hAnsi="Gadugi" w:cs="Times New Roman"/>
          <w:sz w:val="24"/>
          <w:szCs w:val="24"/>
        </w:rPr>
        <w:t xml:space="preserve">no se declara judicialmente. Así lo tiene averiguado la jurisprudencia patria que, en la </w:t>
      </w:r>
      <w:r w:rsidR="00607B45" w:rsidRPr="00CA590F">
        <w:rPr>
          <w:rFonts w:ascii="Gadugi" w:eastAsia="Calibri" w:hAnsi="Gadugi" w:cs="Times New Roman"/>
          <w:sz w:val="24"/>
          <w:szCs w:val="24"/>
        </w:rPr>
        <w:t xml:space="preserve">providencia que se </w:t>
      </w:r>
      <w:r w:rsidRPr="00CA590F">
        <w:rPr>
          <w:rFonts w:ascii="Gadugi" w:eastAsia="Calibri" w:hAnsi="Gadugi" w:cs="Times New Roman"/>
          <w:sz w:val="24"/>
          <w:szCs w:val="24"/>
        </w:rPr>
        <w:t xml:space="preserve">cita señala también que </w:t>
      </w:r>
      <w:r w:rsidRPr="00CA590F">
        <w:rPr>
          <w:rFonts w:ascii="Gadugi" w:eastAsia="Calibri" w:hAnsi="Gadugi" w:cs="Times New Roman"/>
          <w:i/>
          <w:sz w:val="24"/>
          <w:szCs w:val="24"/>
        </w:rPr>
        <w:t>“</w:t>
      </w:r>
      <w:r w:rsidRPr="00CA590F">
        <w:rPr>
          <w:rFonts w:ascii="Gadugi" w:hAnsi="Gadugi" w:cs="Arial"/>
          <w:i/>
          <w:szCs w:val="24"/>
        </w:rPr>
        <w:t>Según lo ha precisado la doctrina, en el derecho civil el concepto de indignidad se aplica «a los que por faltar a sus deberes para con un difunto, en vida de él o después de su muerte, desmerecen sus beneficios, y no pueden conservar la herencia que se les había dejado o a la que tenían derecho por ley»</w:t>
      </w:r>
      <w:r w:rsidRPr="00CA590F">
        <w:rPr>
          <w:rStyle w:val="Refdenotaalpie"/>
          <w:rFonts w:ascii="Gadugi" w:hAnsi="Gadugi" w:cs="Arial"/>
          <w:i/>
          <w:szCs w:val="24"/>
        </w:rPr>
        <w:footnoteReference w:id="26"/>
      </w:r>
      <w:r w:rsidRPr="00CA590F">
        <w:rPr>
          <w:rFonts w:ascii="Gadugi" w:hAnsi="Gadugi" w:cs="Arial"/>
          <w:i/>
          <w:szCs w:val="24"/>
        </w:rPr>
        <w:t xml:space="preserve">, o como una «especie de incompatibilidad moral, en que el sucesor posible viene a encontrarse, por hecho suyo propio, respecto del de </w:t>
      </w:r>
      <w:proofErr w:type="spellStart"/>
      <w:r w:rsidRPr="00CA590F">
        <w:rPr>
          <w:rFonts w:ascii="Gadugi" w:hAnsi="Gadugi" w:cs="Arial"/>
          <w:i/>
          <w:szCs w:val="24"/>
        </w:rPr>
        <w:t>cuius</w:t>
      </w:r>
      <w:proofErr w:type="spellEnd"/>
      <w:r w:rsidRPr="00CA590F">
        <w:rPr>
          <w:rFonts w:ascii="Gadugi" w:hAnsi="Gadugi" w:cs="Arial"/>
          <w:i/>
          <w:szCs w:val="24"/>
        </w:rPr>
        <w:t>, y en virtud de la cual puede ser excluido de la sucesión</w:t>
      </w:r>
      <w:r w:rsidR="00E37F7B" w:rsidRPr="00CA590F">
        <w:rPr>
          <w:rFonts w:ascii="Gadugi" w:hAnsi="Gadugi" w:cs="Arial"/>
          <w:i/>
          <w:szCs w:val="24"/>
        </w:rPr>
        <w:t>».</w:t>
      </w:r>
      <w:r w:rsidR="00867317" w:rsidRPr="00CA590F">
        <w:rPr>
          <w:rFonts w:ascii="Gadugi" w:hAnsi="Gadugi" w:cs="Arial"/>
          <w:i/>
          <w:sz w:val="24"/>
          <w:szCs w:val="24"/>
        </w:rPr>
        <w:t>”</w:t>
      </w:r>
      <w:r w:rsidRPr="00CA590F">
        <w:rPr>
          <w:rStyle w:val="Refdenotaalpie"/>
          <w:rFonts w:ascii="Gadugi" w:hAnsi="Gadugi" w:cs="Arial"/>
          <w:i/>
          <w:sz w:val="24"/>
          <w:szCs w:val="24"/>
        </w:rPr>
        <w:footnoteReference w:id="27"/>
      </w:r>
      <w:r w:rsidRPr="00CA590F">
        <w:rPr>
          <w:rFonts w:ascii="Gadugi" w:hAnsi="Gadugi" w:cs="Arial"/>
          <w:i/>
          <w:sz w:val="24"/>
          <w:szCs w:val="24"/>
        </w:rPr>
        <w:t>.</w:t>
      </w:r>
    </w:p>
    <w:p w14:paraId="41F8302B" w14:textId="77777777" w:rsidR="00A84686" w:rsidRPr="00CA590F" w:rsidRDefault="00A84686" w:rsidP="00A84686">
      <w:pPr>
        <w:spacing w:after="0" w:line="276" w:lineRule="auto"/>
        <w:ind w:firstLine="1701"/>
        <w:jc w:val="both"/>
        <w:rPr>
          <w:rFonts w:ascii="Gadugi" w:eastAsia="Calibri" w:hAnsi="Gadugi" w:cs="Times New Roman"/>
          <w:sz w:val="24"/>
          <w:szCs w:val="24"/>
        </w:rPr>
      </w:pPr>
    </w:p>
    <w:p w14:paraId="66BEB561" w14:textId="77777777" w:rsidR="005D1DB8" w:rsidRPr="00CA590F" w:rsidRDefault="005D1DB8"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Ahora, es bueno memorar que, a la luz del artículo 11 del C. Civil, la ley obliga y surte efectos desde el día en que ella designa y, en todo caso, después de su promulgación; regla que requiere ser complementada con el artículo 52 de la Ley 4ª de 1913, según el cual, la ley obliga en virtud de su promulgación y su observancia principia dos meses después de ser promulgada, a menos que, como señala el artículo 53 de la misma Ley, se fije el día en que empieza a regir o se autorice al gobierno para señalarlo. </w:t>
      </w:r>
    </w:p>
    <w:p w14:paraId="3D413F0D" w14:textId="77777777" w:rsidR="005D1DB8" w:rsidRPr="00CA590F" w:rsidRDefault="005D1DB8" w:rsidP="00F35D5C">
      <w:pPr>
        <w:spacing w:after="0" w:line="276" w:lineRule="auto"/>
        <w:ind w:firstLine="1701"/>
        <w:jc w:val="both"/>
        <w:rPr>
          <w:rFonts w:ascii="Gadugi" w:eastAsia="Calibri" w:hAnsi="Gadugi" w:cs="Times New Roman"/>
          <w:sz w:val="24"/>
          <w:szCs w:val="24"/>
        </w:rPr>
      </w:pPr>
    </w:p>
    <w:p w14:paraId="0B1CB662" w14:textId="6CCD5ADB" w:rsidR="005D1DB8" w:rsidRPr="00CA590F" w:rsidRDefault="005D1DB8"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Estas </w:t>
      </w:r>
      <w:r w:rsidR="00607B45" w:rsidRPr="00CA590F">
        <w:rPr>
          <w:rFonts w:ascii="Gadugi" w:eastAsia="Calibri" w:hAnsi="Gadugi" w:cs="Times New Roman"/>
          <w:sz w:val="24"/>
          <w:szCs w:val="24"/>
        </w:rPr>
        <w:t xml:space="preserve">disposiciones </w:t>
      </w:r>
      <w:r w:rsidRPr="00CA590F">
        <w:rPr>
          <w:rFonts w:ascii="Gadugi" w:eastAsia="Calibri" w:hAnsi="Gadugi" w:cs="Times New Roman"/>
          <w:sz w:val="24"/>
          <w:szCs w:val="24"/>
        </w:rPr>
        <w:t xml:space="preserve">son importantes, en la medida en que se dan varias situaciones relacionadas con la vigencia de la ley en el tiempo: (i) la vigencia inmediata y hacia el futuro, que implica que los derechos adquiridos bajo un régimen anterior se tornen inalterables; (ii) la retroactividad que, salvo que la misma ley lo establezca de manera excepcional, está proscrita; (iii) la </w:t>
      </w:r>
      <w:proofErr w:type="spellStart"/>
      <w:r w:rsidRPr="00CA590F">
        <w:rPr>
          <w:rFonts w:ascii="Gadugi" w:eastAsia="Calibri" w:hAnsi="Gadugi" w:cs="Times New Roman"/>
          <w:sz w:val="24"/>
          <w:szCs w:val="24"/>
        </w:rPr>
        <w:t>ultractividad</w:t>
      </w:r>
      <w:proofErr w:type="spellEnd"/>
      <w:r w:rsidRPr="00CA590F">
        <w:rPr>
          <w:rFonts w:ascii="Gadugi" w:eastAsia="Calibri" w:hAnsi="Gadugi" w:cs="Times New Roman"/>
          <w:sz w:val="24"/>
          <w:szCs w:val="24"/>
        </w:rPr>
        <w:t xml:space="preserve">, que implica la aplicación de la norma derogada a determinadas situaciones que se consolidaron en vigencia de la </w:t>
      </w:r>
      <w:r w:rsidRPr="00CA590F">
        <w:rPr>
          <w:rFonts w:ascii="Gadugi" w:eastAsia="Calibri" w:hAnsi="Gadugi" w:cs="Times New Roman"/>
          <w:sz w:val="24"/>
          <w:szCs w:val="24"/>
        </w:rPr>
        <w:lastRenderedPageBreak/>
        <w:t xml:space="preserve">norma anterior; y (iv) la retrospectividad, que trae como consecuencia que la ley </w:t>
      </w:r>
      <w:r w:rsidR="007B7DEA" w:rsidRPr="00CA590F">
        <w:rPr>
          <w:rFonts w:ascii="Gadugi" w:eastAsia="Calibri" w:hAnsi="Gadugi" w:cs="Times New Roman"/>
          <w:sz w:val="24"/>
          <w:szCs w:val="24"/>
        </w:rPr>
        <w:t>c</w:t>
      </w:r>
      <w:r w:rsidRPr="00CA590F">
        <w:rPr>
          <w:rFonts w:ascii="Gadugi" w:eastAsia="Calibri" w:hAnsi="Gadugi" w:cs="Times New Roman"/>
          <w:sz w:val="24"/>
          <w:szCs w:val="24"/>
        </w:rPr>
        <w:t xml:space="preserve">obije situaciones que empezaron a darse en vigencia de la norma anterior y que solo se consolidan con la nueva. </w:t>
      </w:r>
    </w:p>
    <w:p w14:paraId="678D8D37" w14:textId="77777777" w:rsidR="005D1DB8" w:rsidRPr="00CA590F" w:rsidRDefault="005D1DB8" w:rsidP="00F35D5C">
      <w:pPr>
        <w:pStyle w:val="Prrafodelista"/>
        <w:spacing w:after="0" w:line="276" w:lineRule="auto"/>
        <w:ind w:left="0" w:firstLine="1701"/>
        <w:jc w:val="both"/>
        <w:rPr>
          <w:rFonts w:ascii="Gadugi" w:eastAsia="Calibri" w:hAnsi="Gadugi" w:cs="Times New Roman"/>
          <w:sz w:val="24"/>
          <w:szCs w:val="24"/>
        </w:rPr>
      </w:pPr>
    </w:p>
    <w:p w14:paraId="3C6F58FD" w14:textId="743A5CE1" w:rsidR="005D1DB8" w:rsidRPr="00CA590F" w:rsidRDefault="005D1DB8" w:rsidP="00F35D5C">
      <w:pPr>
        <w:pStyle w:val="Prrafodelista"/>
        <w:spacing w:after="0" w:line="276" w:lineRule="auto"/>
        <w:ind w:left="0"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El tema ha sido tratado en múltiples ocasiones por las altas Cortes. Buen ejemplo de ello es la sentencia SU309-2019, en la que la Corte Constitucional marca la diferencia entre todos estos fenómenos, con apoyo en varias decisiones de constitucionalidad emitidas por ella misma. Dijo al respecto, tras aludir a los artículos 52 y 53 de la Ley 4 de 1913, a la primera parte de la Ley 153 de 1887 y al artículo 58 de la CP, que: </w:t>
      </w:r>
    </w:p>
    <w:p w14:paraId="3275707A" w14:textId="77777777" w:rsidR="00DB2505" w:rsidRPr="00CA590F" w:rsidRDefault="00DB2505" w:rsidP="00F35D5C">
      <w:pPr>
        <w:pStyle w:val="CuerpoA"/>
        <w:tabs>
          <w:tab w:val="left" w:pos="142"/>
          <w:tab w:val="left" w:pos="625"/>
          <w:tab w:val="left" w:pos="669"/>
        </w:tabs>
        <w:spacing w:line="276" w:lineRule="auto"/>
        <w:ind w:left="567" w:right="618" w:firstLine="1134"/>
        <w:jc w:val="both"/>
        <w:rPr>
          <w:rFonts w:ascii="Gadugi" w:hAnsi="Gadugi" w:cs="Times New Roman"/>
          <w:b/>
          <w:bCs/>
          <w:color w:val="auto"/>
          <w:lang w:val="es-CO"/>
        </w:rPr>
      </w:pPr>
    </w:p>
    <w:p w14:paraId="6B30F355" w14:textId="5625282A" w:rsidR="0036528B" w:rsidRPr="00CA590F" w:rsidRDefault="00607B45" w:rsidP="00E37F7B">
      <w:pPr>
        <w:pStyle w:val="CuerpoA"/>
        <w:ind w:left="426" w:right="420" w:firstLine="1134"/>
        <w:jc w:val="both"/>
        <w:rPr>
          <w:rFonts w:ascii="Gadugi" w:hAnsi="Gadugi" w:cs="Times New Roman"/>
          <w:bCs/>
          <w:color w:val="auto"/>
          <w:sz w:val="22"/>
          <w:lang w:val="es-CO"/>
        </w:rPr>
      </w:pPr>
      <w:r w:rsidRPr="00CA590F">
        <w:rPr>
          <w:rFonts w:ascii="Gadugi" w:hAnsi="Gadugi" w:cs="Times New Roman"/>
          <w:bCs/>
          <w:color w:val="auto"/>
          <w:sz w:val="22"/>
          <w:lang w:val="es-CO"/>
        </w:rPr>
        <w:t>…</w:t>
      </w:r>
      <w:r w:rsidR="00E37F7B" w:rsidRPr="00CA590F">
        <w:rPr>
          <w:rFonts w:ascii="Gadugi" w:hAnsi="Gadugi" w:cs="Times New Roman"/>
          <w:bCs/>
          <w:color w:val="auto"/>
          <w:sz w:val="22"/>
          <w:lang w:val="es-CO"/>
        </w:rPr>
        <w:t xml:space="preserve"> </w:t>
      </w:r>
      <w:r w:rsidR="0036528B" w:rsidRPr="00CA590F">
        <w:rPr>
          <w:rFonts w:ascii="Gadugi" w:hAnsi="Gadugi" w:cs="Times New Roman"/>
          <w:bCs/>
          <w:color w:val="auto"/>
          <w:sz w:val="22"/>
          <w:lang w:val="es-CO"/>
        </w:rPr>
        <w:t xml:space="preserve">La </w:t>
      </w:r>
      <w:r w:rsidR="0036528B" w:rsidRPr="00CA590F">
        <w:rPr>
          <w:rFonts w:ascii="Gadugi" w:hAnsi="Gadugi" w:cs="Times New Roman"/>
          <w:bCs/>
          <w:i/>
          <w:color w:val="auto"/>
          <w:sz w:val="22"/>
          <w:lang w:val="es-CO"/>
        </w:rPr>
        <w:t>retroactividad</w:t>
      </w:r>
      <w:r w:rsidR="0036528B" w:rsidRPr="00CA590F">
        <w:rPr>
          <w:rFonts w:ascii="Gadugi" w:hAnsi="Gadugi" w:cs="Times New Roman"/>
          <w:bCs/>
          <w:color w:val="auto"/>
          <w:sz w:val="22"/>
          <w:lang w:val="es-CO"/>
        </w:rPr>
        <w:t xml:space="preserve"> se configura cuando una norma se aplica a las situaciones que se consolidaron con anterioridad a su entrada en vigencia</w:t>
      </w:r>
      <w:r w:rsidR="0036528B" w:rsidRPr="00CA590F">
        <w:rPr>
          <w:rStyle w:val="Refdenotaalpie"/>
          <w:rFonts w:ascii="Gadugi" w:hAnsi="Gadugi" w:cs="Times New Roman"/>
          <w:bCs/>
          <w:color w:val="auto"/>
          <w:sz w:val="22"/>
          <w:lang w:val="es-CO"/>
        </w:rPr>
        <w:footnoteReference w:id="28"/>
      </w:r>
      <w:r w:rsidR="0036528B" w:rsidRPr="00CA590F">
        <w:rPr>
          <w:rFonts w:ascii="Gadugi" w:hAnsi="Gadugi" w:cs="Times New Roman"/>
          <w:bCs/>
          <w:color w:val="auto"/>
          <w:sz w:val="22"/>
          <w:lang w:val="es-CO"/>
        </w:rPr>
        <w:t>. La irretroactividad de la legislación implica, entonces, la imposibilidad genérica de afectar situaciones jurídicas consolidadas antes de la entrada en vigencia de una disposición nueva</w:t>
      </w:r>
      <w:r w:rsidR="0036528B" w:rsidRPr="00CA590F">
        <w:rPr>
          <w:rStyle w:val="Refdenotaalpie"/>
          <w:rFonts w:ascii="Gadugi" w:hAnsi="Gadugi" w:cs="Times New Roman"/>
          <w:bCs/>
          <w:color w:val="auto"/>
          <w:sz w:val="22"/>
          <w:lang w:val="es-CO"/>
        </w:rPr>
        <w:footnoteReference w:id="29"/>
      </w:r>
      <w:r w:rsidR="0036528B" w:rsidRPr="00CA590F">
        <w:rPr>
          <w:rFonts w:ascii="Gadugi" w:hAnsi="Gadugi" w:cs="Times New Roman"/>
          <w:bCs/>
          <w:color w:val="auto"/>
          <w:sz w:val="22"/>
          <w:lang w:val="es-CO"/>
        </w:rPr>
        <w:t xml:space="preserve">. </w:t>
      </w:r>
    </w:p>
    <w:p w14:paraId="28FEDE1A" w14:textId="549B47C3" w:rsidR="0027221C" w:rsidRPr="00CA590F" w:rsidRDefault="0027221C" w:rsidP="00E37F7B">
      <w:pPr>
        <w:pStyle w:val="CuerpoA"/>
        <w:ind w:left="426" w:right="420" w:firstLine="1134"/>
        <w:jc w:val="both"/>
        <w:rPr>
          <w:rFonts w:ascii="Gadugi" w:hAnsi="Gadugi" w:cs="Times New Roman"/>
          <w:bCs/>
          <w:color w:val="auto"/>
          <w:sz w:val="22"/>
          <w:lang w:val="es-CO"/>
        </w:rPr>
      </w:pPr>
    </w:p>
    <w:p w14:paraId="641CE625" w14:textId="0E487F86" w:rsidR="0027221C" w:rsidRPr="00CA590F" w:rsidRDefault="0027221C" w:rsidP="00E37F7B">
      <w:pPr>
        <w:pStyle w:val="CuerpoA"/>
        <w:ind w:left="426" w:right="420" w:firstLine="1134"/>
        <w:jc w:val="both"/>
        <w:rPr>
          <w:rFonts w:ascii="Gadugi" w:hAnsi="Gadugi" w:cs="Times New Roman"/>
          <w:bCs/>
          <w:color w:val="auto"/>
          <w:sz w:val="22"/>
          <w:lang w:val="es-CO"/>
        </w:rPr>
      </w:pPr>
      <w:r w:rsidRPr="00CA590F">
        <w:rPr>
          <w:rFonts w:ascii="Gadugi" w:hAnsi="Gadugi" w:cs="Times New Roman"/>
          <w:bCs/>
          <w:color w:val="auto"/>
          <w:sz w:val="22"/>
          <w:lang w:val="es-CO"/>
        </w:rPr>
        <w:t>…</w:t>
      </w:r>
    </w:p>
    <w:p w14:paraId="4FF3F23F" w14:textId="77777777" w:rsidR="0036528B" w:rsidRPr="00CA590F" w:rsidRDefault="0036528B" w:rsidP="00E37F7B">
      <w:pPr>
        <w:pStyle w:val="CuerpoA"/>
        <w:ind w:left="426" w:right="420" w:firstLine="1134"/>
        <w:jc w:val="both"/>
        <w:rPr>
          <w:rFonts w:ascii="Gadugi" w:hAnsi="Gadugi" w:cs="Times New Roman"/>
          <w:bCs/>
          <w:color w:val="auto"/>
          <w:sz w:val="22"/>
          <w:lang w:val="es-CO"/>
        </w:rPr>
      </w:pPr>
    </w:p>
    <w:p w14:paraId="5CA14A27" w14:textId="43090C5A" w:rsidR="0036528B" w:rsidRPr="00CA590F" w:rsidRDefault="0036528B" w:rsidP="00E37F7B">
      <w:pPr>
        <w:pStyle w:val="CuerpoA"/>
        <w:ind w:left="426" w:right="420" w:firstLine="1134"/>
        <w:jc w:val="both"/>
        <w:rPr>
          <w:rFonts w:ascii="Gadugi" w:hAnsi="Gadugi" w:cs="Times New Roman"/>
          <w:bCs/>
          <w:color w:val="auto"/>
          <w:sz w:val="22"/>
          <w:lang w:val="es-CO"/>
        </w:rPr>
      </w:pPr>
      <w:r w:rsidRPr="00CA590F">
        <w:rPr>
          <w:rFonts w:ascii="Gadugi" w:hAnsi="Gadugi" w:cs="Times New Roman"/>
          <w:bCs/>
          <w:color w:val="auto"/>
          <w:sz w:val="22"/>
          <w:lang w:val="es-CO"/>
        </w:rPr>
        <w:t xml:space="preserve">La </w:t>
      </w:r>
      <w:proofErr w:type="spellStart"/>
      <w:r w:rsidRPr="00CA590F">
        <w:rPr>
          <w:rFonts w:ascii="Gadugi" w:hAnsi="Gadugi" w:cs="Times New Roman"/>
          <w:bCs/>
          <w:i/>
          <w:color w:val="auto"/>
          <w:sz w:val="22"/>
          <w:lang w:val="es-CO"/>
        </w:rPr>
        <w:t>ultractividad</w:t>
      </w:r>
      <w:proofErr w:type="spellEnd"/>
      <w:r w:rsidRPr="00CA590F">
        <w:rPr>
          <w:rStyle w:val="Refdenotaalpie"/>
          <w:rFonts w:ascii="Gadugi" w:hAnsi="Gadugi" w:cs="Times New Roman"/>
          <w:bCs/>
          <w:color w:val="auto"/>
          <w:sz w:val="22"/>
          <w:lang w:val="es-CO"/>
        </w:rPr>
        <w:footnoteReference w:id="30"/>
      </w:r>
      <w:r w:rsidRPr="00CA590F">
        <w:rPr>
          <w:rFonts w:ascii="Gadugi" w:hAnsi="Gadugi" w:cs="Times New Roman"/>
          <w:bCs/>
          <w:color w:val="auto"/>
          <w:sz w:val="22"/>
          <w:lang w:val="es-CO"/>
        </w:rPr>
        <w:t xml:space="preserve"> consiste en la aplicación de una norma que ha sido expresa o tácitamente derogada a situaciones de hecho que, si bien tuvieron lugar durante su vigencia, por el efecto general e inmediato de las leyes, en la actualidad sus efectos se encuentran cobijados por una nueva disposición jurídica. </w:t>
      </w:r>
    </w:p>
    <w:p w14:paraId="4D2BA785" w14:textId="1EC67674" w:rsidR="0027221C" w:rsidRPr="00CA590F" w:rsidRDefault="0027221C" w:rsidP="00E37F7B">
      <w:pPr>
        <w:pStyle w:val="CuerpoA"/>
        <w:ind w:left="426" w:right="420" w:firstLine="1134"/>
        <w:jc w:val="both"/>
        <w:rPr>
          <w:rFonts w:ascii="Gadugi" w:hAnsi="Gadugi" w:cs="Times New Roman"/>
          <w:bCs/>
          <w:color w:val="auto"/>
          <w:sz w:val="22"/>
          <w:lang w:val="es-CO"/>
        </w:rPr>
      </w:pPr>
    </w:p>
    <w:p w14:paraId="3EBB1183" w14:textId="461DCE19" w:rsidR="0027221C" w:rsidRPr="00CA590F" w:rsidRDefault="0027221C" w:rsidP="00E37F7B">
      <w:pPr>
        <w:pStyle w:val="CuerpoA"/>
        <w:ind w:left="426" w:right="420" w:firstLine="1134"/>
        <w:jc w:val="both"/>
        <w:rPr>
          <w:rFonts w:ascii="Gadugi" w:hAnsi="Gadugi" w:cs="Times New Roman"/>
          <w:bCs/>
          <w:color w:val="auto"/>
          <w:sz w:val="22"/>
          <w:lang w:val="es-CO"/>
        </w:rPr>
      </w:pPr>
      <w:r w:rsidRPr="00CA590F">
        <w:rPr>
          <w:rFonts w:ascii="Gadugi" w:hAnsi="Gadugi" w:cs="Times New Roman"/>
          <w:bCs/>
          <w:color w:val="auto"/>
          <w:sz w:val="22"/>
          <w:lang w:val="es-CO"/>
        </w:rPr>
        <w:t>…</w:t>
      </w:r>
    </w:p>
    <w:p w14:paraId="413C896F" w14:textId="77777777" w:rsidR="0027221C" w:rsidRPr="00CA590F" w:rsidRDefault="0027221C" w:rsidP="00E37F7B">
      <w:pPr>
        <w:pStyle w:val="CuerpoA"/>
        <w:ind w:left="426" w:right="420" w:firstLine="1134"/>
        <w:jc w:val="both"/>
        <w:rPr>
          <w:rFonts w:ascii="Gadugi" w:hAnsi="Gadugi" w:cs="Times New Roman"/>
          <w:b/>
          <w:bCs/>
          <w:color w:val="auto"/>
          <w:sz w:val="22"/>
          <w:lang w:val="es-CO"/>
        </w:rPr>
      </w:pPr>
    </w:p>
    <w:p w14:paraId="3FC491A5" w14:textId="33CFAD6A" w:rsidR="0036528B" w:rsidRPr="00CA590F" w:rsidRDefault="0036528B" w:rsidP="00E37F7B">
      <w:pPr>
        <w:pStyle w:val="CuerpoA"/>
        <w:ind w:left="426" w:right="420" w:firstLine="1134"/>
        <w:jc w:val="both"/>
        <w:rPr>
          <w:rFonts w:ascii="Gadugi" w:hAnsi="Gadugi" w:cs="Times New Roman"/>
          <w:bCs/>
          <w:color w:val="auto"/>
          <w:sz w:val="22"/>
          <w:lang w:val="es-CO"/>
        </w:rPr>
      </w:pPr>
      <w:r w:rsidRPr="00CA590F">
        <w:rPr>
          <w:rFonts w:ascii="Gadugi" w:hAnsi="Gadugi" w:cs="Times New Roman"/>
          <w:b/>
          <w:bCs/>
          <w:color w:val="auto"/>
          <w:sz w:val="22"/>
          <w:lang w:val="es-CO"/>
        </w:rPr>
        <w:t xml:space="preserve">El fenómeno de la </w:t>
      </w:r>
      <w:r w:rsidRPr="00CA590F">
        <w:rPr>
          <w:rFonts w:ascii="Gadugi" w:hAnsi="Gadugi" w:cs="Times New Roman"/>
          <w:b/>
          <w:bCs/>
          <w:i/>
          <w:color w:val="auto"/>
          <w:sz w:val="22"/>
          <w:lang w:val="es-CO"/>
        </w:rPr>
        <w:t>retrospectividad</w:t>
      </w:r>
      <w:r w:rsidRPr="00CA590F">
        <w:rPr>
          <w:rFonts w:ascii="Gadugi" w:hAnsi="Gadugi" w:cs="Times New Roman"/>
          <w:b/>
          <w:bCs/>
          <w:color w:val="auto"/>
          <w:sz w:val="22"/>
          <w:lang w:val="es-CO"/>
        </w:rPr>
        <w:t>, por su parte, es consecuencia normal del efecto general e inmediato de la ley</w:t>
      </w:r>
      <w:r w:rsidRPr="00CA590F">
        <w:rPr>
          <w:rFonts w:ascii="Gadugi" w:hAnsi="Gadugi" w:cs="Times New Roman"/>
          <w:bCs/>
          <w:color w:val="auto"/>
          <w:sz w:val="22"/>
          <w:lang w:val="es-CO"/>
        </w:rPr>
        <w:t>, y se presenta cuando las normas se aplican a situaciones que si bien surgieron con anterioridad a su entrada en vigencia, sus efectos jurídicos no se han consolidado al momento en que cobra vigor la nueva ley. En efecto, la jurisprudencia constitucional ha puntualizado que “</w:t>
      </w:r>
      <w:r w:rsidRPr="00CA590F">
        <w:rPr>
          <w:rFonts w:ascii="Gadugi" w:hAnsi="Gadugi" w:cs="Times New Roman"/>
          <w:bCs/>
          <w:i/>
          <w:color w:val="auto"/>
          <w:sz w:val="22"/>
          <w:lang w:val="es-CO"/>
        </w:rPr>
        <w:t>el efecto en el tiempo de las normas jurídicas es por regla general, su aplicación inmediata y hacia el futuro, ‘pero con retrospectividad, […] siempre que la misma norma no disponga otro efecto temporal…’. De este modo, ‘aquello que dispone una norma jurídica debe cumplirse de inmediato, hacia el futuro y con la posibilidad de afectar situaciones que se han originado en el pasado (retrospectividad), es decir, situaciones jurídicas en curso al momento de entrada en vigencia de la norma’</w:t>
      </w:r>
      <w:r w:rsidRPr="00CA590F">
        <w:rPr>
          <w:rFonts w:ascii="Gadugi" w:hAnsi="Gadugi" w:cs="Times New Roman"/>
          <w:bCs/>
          <w:color w:val="auto"/>
          <w:sz w:val="22"/>
          <w:lang w:val="es-CO"/>
        </w:rPr>
        <w:t>”</w:t>
      </w:r>
      <w:r w:rsidRPr="00CA590F">
        <w:rPr>
          <w:rStyle w:val="Refdenotaalpie"/>
          <w:rFonts w:ascii="Gadugi" w:hAnsi="Gadugi" w:cs="Times New Roman"/>
          <w:bCs/>
          <w:color w:val="auto"/>
          <w:sz w:val="22"/>
          <w:lang w:val="es-CO"/>
        </w:rPr>
        <w:footnoteReference w:id="31"/>
      </w:r>
      <w:r w:rsidRPr="00CA590F">
        <w:rPr>
          <w:rFonts w:ascii="Gadugi" w:hAnsi="Gadugi" w:cs="Times New Roman"/>
          <w:bCs/>
          <w:color w:val="auto"/>
          <w:sz w:val="22"/>
          <w:lang w:val="es-CO"/>
        </w:rPr>
        <w:t>.</w:t>
      </w:r>
      <w:r w:rsidR="00437996" w:rsidRPr="00CA590F">
        <w:rPr>
          <w:rFonts w:ascii="Gadugi" w:hAnsi="Gadugi" w:cs="Times New Roman"/>
          <w:bCs/>
          <w:color w:val="auto"/>
          <w:sz w:val="22"/>
          <w:lang w:val="es-CO"/>
        </w:rPr>
        <w:t xml:space="preserve"> (negrillas fuera de texto).</w:t>
      </w:r>
    </w:p>
    <w:p w14:paraId="73142D39" w14:textId="77777777" w:rsidR="0036528B" w:rsidRPr="00CA590F" w:rsidRDefault="0036528B" w:rsidP="00E37F7B">
      <w:pPr>
        <w:pStyle w:val="CuerpoA"/>
        <w:ind w:left="426" w:right="420" w:firstLine="1134"/>
        <w:jc w:val="both"/>
        <w:rPr>
          <w:rFonts w:ascii="Gadugi" w:hAnsi="Gadugi" w:cs="Times New Roman"/>
          <w:bCs/>
          <w:color w:val="auto"/>
          <w:sz w:val="22"/>
          <w:lang w:val="es-CO"/>
        </w:rPr>
      </w:pPr>
    </w:p>
    <w:p w14:paraId="6817CC14" w14:textId="77777777" w:rsidR="0036528B" w:rsidRPr="00CA590F" w:rsidRDefault="0036528B" w:rsidP="00E37F7B">
      <w:pPr>
        <w:pStyle w:val="CuerpoA"/>
        <w:ind w:left="426" w:right="420" w:firstLine="1134"/>
        <w:jc w:val="both"/>
        <w:rPr>
          <w:rFonts w:ascii="Gadugi" w:hAnsi="Gadugi" w:cs="Times New Roman"/>
          <w:bCs/>
          <w:color w:val="auto"/>
          <w:sz w:val="22"/>
          <w:lang w:val="es-CO"/>
        </w:rPr>
      </w:pPr>
      <w:r w:rsidRPr="00CA590F">
        <w:rPr>
          <w:rFonts w:ascii="Gadugi" w:hAnsi="Gadugi" w:cs="Times New Roman"/>
          <w:bCs/>
          <w:color w:val="auto"/>
          <w:sz w:val="22"/>
          <w:lang w:val="es-CO"/>
        </w:rPr>
        <w:t>Este fenómeno ha sido abordado por este Tribunal como un “</w:t>
      </w:r>
      <w:r w:rsidRPr="00CA590F">
        <w:rPr>
          <w:rFonts w:ascii="Gadugi" w:hAnsi="Gadugi" w:cs="Times New Roman"/>
          <w:bCs/>
          <w:i/>
          <w:color w:val="auto"/>
          <w:sz w:val="22"/>
          <w:lang w:val="es-CO"/>
        </w:rPr>
        <w:t>límite a la retroactividad, asociando su propósito a la satisfacción de los principios de equidad e igualdad en las relaciones jurídicas de los asociados, y a la superación de aquellas situaciones marcadamente discriminatorias y lesivas del valor de la justicia que consagra el ordenamiento jurídico colombiano, de conformidad con los cambios sociales, políticos y culturales que se suscitan en nuestra sociedad</w:t>
      </w:r>
      <w:r w:rsidRPr="00CA590F">
        <w:rPr>
          <w:rFonts w:ascii="Gadugi" w:hAnsi="Gadugi" w:cs="Times New Roman"/>
          <w:bCs/>
          <w:color w:val="auto"/>
          <w:sz w:val="22"/>
          <w:lang w:val="es-CO"/>
        </w:rPr>
        <w:t>.”</w:t>
      </w:r>
      <w:r w:rsidRPr="00CA590F">
        <w:rPr>
          <w:rStyle w:val="Refdenotaalpie"/>
          <w:rFonts w:ascii="Gadugi" w:hAnsi="Gadugi" w:cs="Times New Roman"/>
          <w:bCs/>
          <w:color w:val="auto"/>
          <w:sz w:val="22"/>
          <w:lang w:val="es-CO"/>
        </w:rPr>
        <w:footnoteReference w:id="32"/>
      </w:r>
    </w:p>
    <w:p w14:paraId="73FD1C84" w14:textId="77777777" w:rsidR="0036528B" w:rsidRPr="00CA590F" w:rsidRDefault="0036528B" w:rsidP="00E37F7B">
      <w:pPr>
        <w:pStyle w:val="CuerpoA"/>
        <w:ind w:left="426" w:right="420" w:firstLine="1134"/>
        <w:jc w:val="both"/>
        <w:rPr>
          <w:rFonts w:ascii="Gadugi" w:hAnsi="Gadugi" w:cs="Times New Roman"/>
          <w:bCs/>
          <w:color w:val="auto"/>
          <w:sz w:val="22"/>
          <w:lang w:val="es-CO"/>
        </w:rPr>
      </w:pPr>
    </w:p>
    <w:p w14:paraId="503BDA74" w14:textId="77777777" w:rsidR="0036528B" w:rsidRPr="00CA590F" w:rsidRDefault="0036528B" w:rsidP="00E37F7B">
      <w:pPr>
        <w:pStyle w:val="CuerpoA"/>
        <w:ind w:left="426" w:right="420" w:firstLine="1134"/>
        <w:jc w:val="both"/>
        <w:rPr>
          <w:rFonts w:ascii="Gadugi" w:hAnsi="Gadugi" w:cs="Times New Roman"/>
          <w:bCs/>
          <w:color w:val="auto"/>
          <w:sz w:val="22"/>
          <w:lang w:val="es-CO"/>
        </w:rPr>
      </w:pPr>
      <w:r w:rsidRPr="00CA590F">
        <w:rPr>
          <w:rFonts w:ascii="Gadugi" w:hAnsi="Gadugi" w:cs="Times New Roman"/>
          <w:bCs/>
          <w:color w:val="auto"/>
          <w:sz w:val="22"/>
          <w:lang w:val="es-CO"/>
        </w:rPr>
        <w:t>En desarrollo de esta postura jurisprudencial, la Corte Constitucional ha precisado los contornos que separan la retroactividad de la retrospectividad, teniendo en cuenta la necesidad de armonizar el principio de respeto por los derechos adquiridos y las situaciones jurídicas consolidadas con el imperativo constitucional de allanar situaciones de desigualdad incompatibles con los postulados del Estado social de derecho:</w:t>
      </w:r>
    </w:p>
    <w:p w14:paraId="23388090" w14:textId="77777777" w:rsidR="0036528B" w:rsidRPr="00CA590F" w:rsidRDefault="0036528B" w:rsidP="00E37F7B">
      <w:pPr>
        <w:pStyle w:val="CuerpoA"/>
        <w:ind w:left="426" w:right="420" w:firstLine="1134"/>
        <w:jc w:val="both"/>
        <w:rPr>
          <w:rFonts w:ascii="Gadugi" w:hAnsi="Gadugi" w:cs="Times New Roman"/>
          <w:bCs/>
          <w:color w:val="auto"/>
          <w:sz w:val="22"/>
          <w:lang w:val="es-CO"/>
        </w:rPr>
      </w:pPr>
    </w:p>
    <w:p w14:paraId="49A8E7C8" w14:textId="77777777" w:rsidR="0036528B" w:rsidRPr="00CA590F" w:rsidRDefault="0036528B" w:rsidP="00E37F7B">
      <w:pPr>
        <w:pStyle w:val="CuerpoA"/>
        <w:ind w:left="426" w:right="420" w:firstLine="1134"/>
        <w:jc w:val="both"/>
        <w:rPr>
          <w:rFonts w:ascii="Gadugi" w:hAnsi="Gadugi" w:cs="Times New Roman"/>
          <w:bCs/>
          <w:color w:val="auto"/>
          <w:sz w:val="22"/>
          <w:lang w:val="es-CO"/>
        </w:rPr>
      </w:pPr>
      <w:r w:rsidRPr="00CA590F">
        <w:rPr>
          <w:rFonts w:ascii="Gadugi" w:hAnsi="Gadugi" w:cs="Times New Roman"/>
          <w:bCs/>
          <w:color w:val="auto"/>
          <w:sz w:val="22"/>
          <w:lang w:val="es-CO"/>
        </w:rPr>
        <w:t>“</w:t>
      </w:r>
      <w:r w:rsidRPr="00CA590F">
        <w:rPr>
          <w:rFonts w:ascii="Gadugi" w:hAnsi="Gadugi" w:cs="Times New Roman"/>
          <w:bCs/>
          <w:i/>
          <w:color w:val="auto"/>
          <w:sz w:val="22"/>
          <w:lang w:val="es-CO"/>
        </w:rPr>
        <w:t>Esta restricción general a que las normas sean aplicadas de manera retroactiva evita que se entrometa en la producción de efectos frente a hechos consumados, es decir, aquellas situaciones que se produjeron, cumplieron y quedaron terminados en vigencia de una norma anterior, por lo que al tratarse de hechos que fueron ya resueltos conforme a la regla antigua deberán ser acatados por la nueva, a pesar de tener consecuencias diferentes; sin embargo esta Corte ha sido clara en señalar que ‘cuando se trata de situaciones jurídicas en curso, que no han generado situaciones consolidadas ni derechos adquiridos en el momento de entrar en vigencia la nueva ley, ésta entra a regular dicha situación en el estado en que esté, sin perjuicio de que se respete lo ya surtido bajo la ley antigua’</w:t>
      </w:r>
      <w:r w:rsidRPr="00CA590F">
        <w:rPr>
          <w:rStyle w:val="Refdenotaalpie"/>
          <w:rFonts w:ascii="Gadugi" w:hAnsi="Gadugi" w:cs="Times New Roman"/>
          <w:bCs/>
          <w:i/>
          <w:color w:val="auto"/>
          <w:sz w:val="22"/>
          <w:lang w:val="es-CO"/>
        </w:rPr>
        <w:footnoteReference w:id="33"/>
      </w:r>
      <w:r w:rsidRPr="00CA590F">
        <w:rPr>
          <w:rFonts w:ascii="Gadugi" w:hAnsi="Gadugi" w:cs="Times New Roman"/>
          <w:bCs/>
          <w:i/>
          <w:color w:val="auto"/>
          <w:sz w:val="22"/>
          <w:lang w:val="es-CO"/>
        </w:rPr>
        <w:t>.</w:t>
      </w:r>
      <w:r w:rsidRPr="00CA590F">
        <w:rPr>
          <w:rFonts w:ascii="Gadugi" w:hAnsi="Gadugi" w:cs="Times New Roman"/>
          <w:bCs/>
          <w:color w:val="auto"/>
          <w:sz w:val="22"/>
          <w:lang w:val="es-CO"/>
        </w:rPr>
        <w:t>”</w:t>
      </w:r>
      <w:r w:rsidRPr="00CA590F">
        <w:rPr>
          <w:rStyle w:val="Refdenotaalpie"/>
          <w:rFonts w:ascii="Gadugi" w:hAnsi="Gadugi" w:cs="Times New Roman"/>
          <w:bCs/>
          <w:color w:val="auto"/>
          <w:sz w:val="22"/>
          <w:lang w:val="es-CO"/>
        </w:rPr>
        <w:footnoteReference w:id="34"/>
      </w:r>
    </w:p>
    <w:p w14:paraId="6FD0CAD4" w14:textId="77777777" w:rsidR="0036528B" w:rsidRPr="00CA590F" w:rsidRDefault="0036528B" w:rsidP="00E37F7B">
      <w:pPr>
        <w:pStyle w:val="CuerpoA"/>
        <w:ind w:left="426" w:right="420" w:firstLine="1134"/>
        <w:jc w:val="both"/>
        <w:rPr>
          <w:rFonts w:ascii="Gadugi" w:hAnsi="Gadugi" w:cs="Times New Roman"/>
          <w:bCs/>
          <w:color w:val="auto"/>
          <w:sz w:val="22"/>
          <w:lang w:val="es-CO"/>
        </w:rPr>
      </w:pPr>
    </w:p>
    <w:p w14:paraId="38022BCA" w14:textId="7A0A366F" w:rsidR="0036528B" w:rsidRPr="00CA590F" w:rsidRDefault="0036528B" w:rsidP="00E37F7B">
      <w:pPr>
        <w:pStyle w:val="CuerpoA"/>
        <w:ind w:left="426" w:right="420" w:firstLine="1134"/>
        <w:jc w:val="both"/>
        <w:rPr>
          <w:rFonts w:ascii="Gadugi" w:hAnsi="Gadugi" w:cs="Times New Roman"/>
          <w:bCs/>
          <w:color w:val="auto"/>
          <w:sz w:val="22"/>
          <w:lang w:val="es-CO"/>
        </w:rPr>
      </w:pPr>
      <w:r w:rsidRPr="00CA590F">
        <w:rPr>
          <w:rFonts w:ascii="Gadugi" w:hAnsi="Gadugi" w:cs="Times New Roman"/>
          <w:bCs/>
          <w:color w:val="auto"/>
          <w:sz w:val="22"/>
          <w:lang w:val="es-CO"/>
        </w:rPr>
        <w:t xml:space="preserve">De acuerdo con lo expuesto, y conforme a la jurisprudencia de esta Corporación, se puede concluir que las reglas de derecho sobre aplicación de la ley en el tiempo son las siguientes: </w:t>
      </w:r>
      <w:r w:rsidRPr="00CA590F">
        <w:rPr>
          <w:rFonts w:ascii="Gadugi" w:hAnsi="Gadugi" w:cs="Times New Roman"/>
          <w:bCs/>
          <w:i/>
          <w:color w:val="auto"/>
          <w:sz w:val="22"/>
          <w:lang w:val="es-CO"/>
        </w:rPr>
        <w:t>“</w:t>
      </w:r>
      <w:r w:rsidRPr="00CA590F">
        <w:rPr>
          <w:rFonts w:ascii="Gadugi" w:hAnsi="Gadugi" w:cs="Times New Roman"/>
          <w:b/>
          <w:bCs/>
          <w:i/>
          <w:color w:val="auto"/>
          <w:sz w:val="22"/>
          <w:lang w:val="es-CO"/>
        </w:rPr>
        <w:t xml:space="preserve">(i) </w:t>
      </w:r>
      <w:r w:rsidRPr="00CA590F">
        <w:rPr>
          <w:rFonts w:ascii="Gadugi" w:hAnsi="Gadugi" w:cs="Times New Roman"/>
          <w:bCs/>
          <w:i/>
          <w:color w:val="auto"/>
          <w:sz w:val="22"/>
          <w:lang w:val="es-CO"/>
        </w:rPr>
        <w:t xml:space="preserve">por regla general las normas jurídicas se aplican de forma inmediata y hacia el futuro, pero con retrospectividad; </w:t>
      </w:r>
      <w:r w:rsidRPr="00CA590F">
        <w:rPr>
          <w:rFonts w:ascii="Gadugi" w:hAnsi="Gadugi" w:cs="Times New Roman"/>
          <w:b/>
          <w:bCs/>
          <w:i/>
          <w:color w:val="auto"/>
          <w:sz w:val="22"/>
          <w:lang w:val="es-CO"/>
        </w:rPr>
        <w:t>(ii)</w:t>
      </w:r>
      <w:r w:rsidRPr="00CA590F">
        <w:rPr>
          <w:rFonts w:ascii="Gadugi" w:hAnsi="Gadugi" w:cs="Times New Roman"/>
          <w:bCs/>
          <w:i/>
          <w:color w:val="auto"/>
          <w:sz w:val="22"/>
          <w:lang w:val="es-CO"/>
        </w:rPr>
        <w:t xml:space="preserve"> el postulado de irretroactividad de la ley implica que una norma jurídica no tiene prima facie la virtud de regular situaciones jurídicas que se han consumado con arreglo a normas anteriores; </w:t>
      </w:r>
      <w:r w:rsidRPr="00CA590F">
        <w:rPr>
          <w:rFonts w:ascii="Gadugi" w:hAnsi="Gadugi" w:cs="Times New Roman"/>
          <w:b/>
          <w:bCs/>
          <w:i/>
          <w:color w:val="auto"/>
          <w:sz w:val="22"/>
          <w:lang w:val="es-CO"/>
        </w:rPr>
        <w:t xml:space="preserve">(iii) </w:t>
      </w:r>
      <w:r w:rsidRPr="00CA590F">
        <w:rPr>
          <w:rFonts w:ascii="Gadugi" w:hAnsi="Gadugi" w:cs="Times New Roman"/>
          <w:bCs/>
          <w:i/>
          <w:color w:val="auto"/>
          <w:sz w:val="22"/>
          <w:lang w:val="es-CO"/>
        </w:rPr>
        <w:t xml:space="preserve">la aplicación retrospectiva de una norma jurídica comporta la posibilidad de afectar situaciones fácticas y jurídicas que se han originado con anterioridad a su vigencia, pero que </w:t>
      </w:r>
      <w:r w:rsidR="00EA4486" w:rsidRPr="00CA590F">
        <w:rPr>
          <w:rFonts w:ascii="Gadugi" w:hAnsi="Gadugi" w:cs="Times New Roman"/>
          <w:bCs/>
          <w:i/>
          <w:color w:val="auto"/>
          <w:sz w:val="22"/>
          <w:lang w:val="es-CO"/>
        </w:rPr>
        <w:t>aún</w:t>
      </w:r>
      <w:r w:rsidRPr="00CA590F">
        <w:rPr>
          <w:rFonts w:ascii="Gadugi" w:hAnsi="Gadugi" w:cs="Times New Roman"/>
          <w:bCs/>
          <w:i/>
          <w:color w:val="auto"/>
          <w:sz w:val="22"/>
          <w:lang w:val="es-CO"/>
        </w:rPr>
        <w:t xml:space="preserve"> no han finalizado al momento de entrar a regir la nueva norma, por encontrarse en curso la aludida situación jurídica y; </w:t>
      </w:r>
      <w:r w:rsidRPr="00CA590F">
        <w:rPr>
          <w:rFonts w:ascii="Gadugi" w:hAnsi="Gadugi" w:cs="Times New Roman"/>
          <w:b/>
          <w:bCs/>
          <w:i/>
          <w:color w:val="auto"/>
          <w:sz w:val="22"/>
          <w:lang w:val="es-CO"/>
        </w:rPr>
        <w:t>(iv)</w:t>
      </w:r>
      <w:r w:rsidRPr="00CA590F">
        <w:rPr>
          <w:rFonts w:ascii="Gadugi" w:hAnsi="Gadugi" w:cs="Times New Roman"/>
          <w:bCs/>
          <w:i/>
          <w:color w:val="auto"/>
          <w:sz w:val="22"/>
          <w:lang w:val="es-CO"/>
        </w:rPr>
        <w:t xml:space="preserve"> tratándose de leyes que se introducen en el ordenamiento jurídico con el objeto de superar situaciones de marcada inequidad y discriminación (tuitivas), el juzgador debe tener en cuenta, al momento de establecer su aplicación en el tiempo, la posibilidad de afectar retrospectivamente situaciones jurídicas en curso, en cuanto el propósito de estas disposiciones es brindar una pronta y cumplida protección a grupos sociales marginados.</w:t>
      </w:r>
      <w:r w:rsidRPr="00CA590F">
        <w:rPr>
          <w:rFonts w:ascii="Gadugi" w:hAnsi="Gadugi" w:cs="Times New Roman"/>
          <w:bCs/>
          <w:color w:val="auto"/>
          <w:sz w:val="22"/>
          <w:lang w:val="es-CO"/>
        </w:rPr>
        <w:t>”</w:t>
      </w:r>
      <w:r w:rsidRPr="00CA590F">
        <w:rPr>
          <w:rStyle w:val="Refdenotaalpie"/>
          <w:rFonts w:ascii="Gadugi" w:hAnsi="Gadugi" w:cs="Times New Roman"/>
          <w:bCs/>
          <w:color w:val="auto"/>
          <w:sz w:val="22"/>
          <w:lang w:val="es-CO"/>
        </w:rPr>
        <w:footnoteReference w:id="35"/>
      </w:r>
    </w:p>
    <w:p w14:paraId="4656B920" w14:textId="77777777" w:rsidR="0036528B" w:rsidRPr="00CA590F" w:rsidRDefault="0036528B" w:rsidP="00F35D5C">
      <w:pPr>
        <w:tabs>
          <w:tab w:val="left" w:pos="2268"/>
        </w:tabs>
        <w:spacing w:after="0" w:line="276" w:lineRule="auto"/>
        <w:jc w:val="both"/>
        <w:rPr>
          <w:rFonts w:ascii="Gadugi" w:eastAsia="Calibri" w:hAnsi="Gadugi" w:cs="Times New Roman"/>
          <w:sz w:val="24"/>
          <w:szCs w:val="24"/>
        </w:rPr>
      </w:pPr>
    </w:p>
    <w:p w14:paraId="66CE2218" w14:textId="5F93BE3F" w:rsidR="000A6C1F" w:rsidRPr="00CA590F" w:rsidRDefault="00437996" w:rsidP="00F35D5C">
      <w:pPr>
        <w:tabs>
          <w:tab w:val="left" w:pos="1701"/>
        </w:tabs>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 </w:t>
      </w:r>
      <w:r w:rsidRPr="00CA590F">
        <w:rPr>
          <w:rFonts w:ascii="Gadugi" w:eastAsia="Calibri" w:hAnsi="Gadugi" w:cs="Times New Roman"/>
          <w:sz w:val="24"/>
          <w:szCs w:val="24"/>
        </w:rPr>
        <w:tab/>
        <w:t xml:space="preserve">Puestos en perspectiva de la Ley 1893, que modificó las causales genéricas de indignidad, bien vale sostener que tales reglas deben regirse por la ley vigente al momento de la muerte del causante, porque es allí cuando se produce la delación, según el artículo </w:t>
      </w:r>
      <w:r w:rsidR="007C3DFD" w:rsidRPr="00CA590F">
        <w:rPr>
          <w:rFonts w:ascii="Gadugi" w:eastAsia="Calibri" w:hAnsi="Gadugi" w:cs="Times New Roman"/>
          <w:sz w:val="24"/>
          <w:szCs w:val="24"/>
        </w:rPr>
        <w:t xml:space="preserve">1013 del estatuto civil. Por tanto, en criterio de esta Sala, si el deceso se produjo con posterioridad al mes de mayo de 2018, cuando entró en vigencia la ley, las nuevas causales deben mirarse según el comportamiento de los herederos o legatarios en todo tiempo anterior a esa condición, </w:t>
      </w:r>
      <w:r w:rsidR="00830424" w:rsidRPr="00CA590F">
        <w:rPr>
          <w:rFonts w:ascii="Gadugi" w:eastAsia="Calibri" w:hAnsi="Gadugi" w:cs="Times New Roman"/>
          <w:sz w:val="24"/>
          <w:szCs w:val="24"/>
        </w:rPr>
        <w:t>pues</w:t>
      </w:r>
      <w:r w:rsidR="007C3DFD" w:rsidRPr="00CA590F">
        <w:rPr>
          <w:rFonts w:ascii="Gadugi" w:eastAsia="Calibri" w:hAnsi="Gadugi" w:cs="Times New Roman"/>
          <w:sz w:val="24"/>
          <w:szCs w:val="24"/>
        </w:rPr>
        <w:t xml:space="preserve"> si venía dándose alguna de ellas, en particular el abandono, que es lo que aquí se debate, y tal situación persistió hasta el momento de la muerte, tendrá que analizarse </w:t>
      </w:r>
      <w:r w:rsidR="00830424" w:rsidRPr="00CA590F">
        <w:rPr>
          <w:rFonts w:ascii="Gadugi" w:eastAsia="Calibri" w:hAnsi="Gadugi" w:cs="Times New Roman"/>
          <w:sz w:val="24"/>
          <w:szCs w:val="24"/>
        </w:rPr>
        <w:t xml:space="preserve">desde el momento mismo del abandono, y no </w:t>
      </w:r>
      <w:r w:rsidR="00DC4CE3" w:rsidRPr="00CA590F">
        <w:rPr>
          <w:rFonts w:ascii="Gadugi" w:eastAsia="Calibri" w:hAnsi="Gadugi" w:cs="Times New Roman"/>
          <w:sz w:val="24"/>
          <w:szCs w:val="24"/>
        </w:rPr>
        <w:t xml:space="preserve">solo </w:t>
      </w:r>
      <w:r w:rsidR="00830424" w:rsidRPr="00CA590F">
        <w:rPr>
          <w:rFonts w:ascii="Gadugi" w:eastAsia="Calibri" w:hAnsi="Gadugi" w:cs="Times New Roman"/>
          <w:sz w:val="24"/>
          <w:szCs w:val="24"/>
        </w:rPr>
        <w:t xml:space="preserve">desde cuando empezó a regir la norma. </w:t>
      </w:r>
    </w:p>
    <w:p w14:paraId="372EDF40" w14:textId="1C377477" w:rsidR="00830424" w:rsidRPr="00CA590F" w:rsidRDefault="00830424" w:rsidP="00F35D5C">
      <w:pPr>
        <w:tabs>
          <w:tab w:val="left" w:pos="1701"/>
        </w:tabs>
        <w:spacing w:after="0" w:line="276" w:lineRule="auto"/>
        <w:ind w:firstLine="1701"/>
        <w:jc w:val="both"/>
        <w:rPr>
          <w:rFonts w:ascii="Gadugi" w:eastAsia="Calibri" w:hAnsi="Gadugi" w:cs="Times New Roman"/>
          <w:sz w:val="24"/>
          <w:szCs w:val="24"/>
        </w:rPr>
      </w:pPr>
    </w:p>
    <w:p w14:paraId="30005FF0" w14:textId="2C65BCBD" w:rsidR="00B24EAF" w:rsidRPr="00CA590F" w:rsidRDefault="00830424" w:rsidP="00F35D5C">
      <w:pPr>
        <w:tabs>
          <w:tab w:val="left" w:pos="1701"/>
        </w:tabs>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Esta conclusión se adopta, en primer lugar, porque si hubo persistencia en la causal, es decir, si el abandono no cesó antes de esa época,</w:t>
      </w:r>
      <w:r w:rsidR="003F1181" w:rsidRPr="00CA590F">
        <w:rPr>
          <w:rFonts w:ascii="Gadugi" w:eastAsia="Calibri" w:hAnsi="Gadugi" w:cs="Times New Roman"/>
          <w:sz w:val="24"/>
          <w:szCs w:val="24"/>
        </w:rPr>
        <w:t xml:space="preserve"> ni el causante falleció antes del 24 de mayo</w:t>
      </w:r>
      <w:r w:rsidR="00DC4CE3" w:rsidRPr="00CA590F">
        <w:rPr>
          <w:rFonts w:ascii="Gadugi" w:eastAsia="Calibri" w:hAnsi="Gadugi" w:cs="Times New Roman"/>
          <w:sz w:val="24"/>
          <w:szCs w:val="24"/>
        </w:rPr>
        <w:t xml:space="preserve"> de 2018</w:t>
      </w:r>
      <w:r w:rsidR="003F1181" w:rsidRPr="00CA590F">
        <w:rPr>
          <w:rFonts w:ascii="Gadugi" w:eastAsia="Calibri" w:hAnsi="Gadugi" w:cs="Times New Roman"/>
          <w:sz w:val="24"/>
          <w:szCs w:val="24"/>
        </w:rPr>
        <w:t xml:space="preserve">, </w:t>
      </w:r>
      <w:r w:rsidRPr="00CA590F">
        <w:rPr>
          <w:rFonts w:ascii="Gadugi" w:eastAsia="Calibri" w:hAnsi="Gadugi" w:cs="Times New Roman"/>
          <w:sz w:val="24"/>
          <w:szCs w:val="24"/>
        </w:rPr>
        <w:t>no podría hablarse de situaciones jurídicas consolidadas, sino de situaciones jurídicas en curso</w:t>
      </w:r>
      <w:r w:rsidR="0027221C" w:rsidRPr="00CA590F">
        <w:rPr>
          <w:rFonts w:ascii="Gadugi" w:eastAsia="Calibri" w:hAnsi="Gadugi" w:cs="Times New Roman"/>
          <w:sz w:val="24"/>
          <w:szCs w:val="24"/>
        </w:rPr>
        <w:t>. Por el contrario, si tales omisiones habían cesado con antelación a la vigencia de la ley, o la muerte aconteció antes, se trataría de eventos finalizados que no podrían verse afectados por la reforma</w:t>
      </w:r>
      <w:r w:rsidR="009954FD" w:rsidRPr="00CA590F">
        <w:rPr>
          <w:rFonts w:ascii="Gadugi" w:eastAsia="Calibri" w:hAnsi="Gadugi" w:cs="Times New Roman"/>
          <w:sz w:val="24"/>
          <w:szCs w:val="24"/>
        </w:rPr>
        <w:t>.</w:t>
      </w:r>
      <w:r w:rsidRPr="00CA590F">
        <w:rPr>
          <w:rFonts w:ascii="Gadugi" w:eastAsia="Calibri" w:hAnsi="Gadugi" w:cs="Times New Roman"/>
          <w:sz w:val="24"/>
          <w:szCs w:val="24"/>
        </w:rPr>
        <w:t xml:space="preserve"> En segundo lugar, porque, como bien dicen los recurrentes, casos hay en los que la cuestión debe mirarse con la lupa puesta sobre personas de especial protección, como los mayores adultos o las mujeres si, además, ellos se hallan en situación de inferioridad por su condición clínica</w:t>
      </w:r>
      <w:r w:rsidR="009954FD" w:rsidRPr="00CA590F">
        <w:rPr>
          <w:rFonts w:ascii="Gadugi" w:eastAsia="Calibri" w:hAnsi="Gadugi" w:cs="Times New Roman"/>
          <w:sz w:val="24"/>
          <w:szCs w:val="24"/>
        </w:rPr>
        <w:t xml:space="preserve"> siempre que, se insista, la irregularidad subsista al momento de entrar en vigencia la ley. </w:t>
      </w:r>
    </w:p>
    <w:p w14:paraId="0F6BE2AE" w14:textId="77777777" w:rsidR="00B24EAF" w:rsidRPr="00CA590F" w:rsidRDefault="00B24EAF" w:rsidP="00F35D5C">
      <w:pPr>
        <w:tabs>
          <w:tab w:val="left" w:pos="1701"/>
        </w:tabs>
        <w:spacing w:after="0" w:line="276" w:lineRule="auto"/>
        <w:ind w:firstLine="1701"/>
        <w:jc w:val="both"/>
        <w:rPr>
          <w:rFonts w:ascii="Gadugi" w:eastAsia="Calibri" w:hAnsi="Gadugi" w:cs="Times New Roman"/>
          <w:sz w:val="24"/>
          <w:szCs w:val="24"/>
        </w:rPr>
      </w:pPr>
    </w:p>
    <w:p w14:paraId="167BC762" w14:textId="0A7C164C" w:rsidR="00830424" w:rsidRPr="00CA590F" w:rsidRDefault="00830424" w:rsidP="00F35D5C">
      <w:pPr>
        <w:tabs>
          <w:tab w:val="left" w:pos="1701"/>
        </w:tabs>
        <w:spacing w:after="0" w:line="276" w:lineRule="auto"/>
        <w:ind w:firstLine="1701"/>
        <w:jc w:val="both"/>
        <w:rPr>
          <w:rFonts w:ascii="Gadugi" w:hAnsi="Gadugi"/>
          <w:sz w:val="24"/>
          <w:szCs w:val="24"/>
        </w:rPr>
      </w:pPr>
      <w:r w:rsidRPr="00CA590F">
        <w:rPr>
          <w:rFonts w:ascii="Gadugi" w:eastAsia="Calibri" w:hAnsi="Gadugi" w:cs="Times New Roman"/>
          <w:sz w:val="24"/>
          <w:szCs w:val="24"/>
        </w:rPr>
        <w:t xml:space="preserve">Es que, si se </w:t>
      </w:r>
      <w:r w:rsidR="003F1181" w:rsidRPr="00CA590F">
        <w:rPr>
          <w:rFonts w:ascii="Gadugi" w:eastAsia="Calibri" w:hAnsi="Gadugi" w:cs="Times New Roman"/>
          <w:sz w:val="24"/>
          <w:szCs w:val="24"/>
        </w:rPr>
        <w:t xml:space="preserve">miran los antecedentes de la </w:t>
      </w:r>
      <w:r w:rsidR="009954FD" w:rsidRPr="00CA590F">
        <w:rPr>
          <w:rFonts w:ascii="Gadugi" w:eastAsia="Calibri" w:hAnsi="Gadugi" w:cs="Times New Roman"/>
          <w:sz w:val="24"/>
          <w:szCs w:val="24"/>
        </w:rPr>
        <w:t>norma</w:t>
      </w:r>
      <w:r w:rsidR="003F1181" w:rsidRPr="00CA590F">
        <w:rPr>
          <w:rFonts w:ascii="Gadugi" w:eastAsia="Calibri" w:hAnsi="Gadugi" w:cs="Times New Roman"/>
          <w:sz w:val="24"/>
          <w:szCs w:val="24"/>
        </w:rPr>
        <w:t xml:space="preserve">, </w:t>
      </w:r>
      <w:r w:rsidR="00B24EAF" w:rsidRPr="00CA590F">
        <w:rPr>
          <w:rFonts w:ascii="Gadugi" w:eastAsia="Calibri" w:hAnsi="Gadugi" w:cs="Times New Roman"/>
          <w:sz w:val="24"/>
          <w:szCs w:val="24"/>
        </w:rPr>
        <w:t xml:space="preserve">desde el informe de ponencia para primer debate en el Senado presentado el 12 de septiembre de 2017 (Gaceta 775) se hizo énfasis en que </w:t>
      </w:r>
      <w:r w:rsidR="009954FD" w:rsidRPr="00CA590F">
        <w:rPr>
          <w:rFonts w:ascii="Gadugi" w:eastAsia="Calibri" w:hAnsi="Gadugi" w:cs="Times New Roman"/>
          <w:sz w:val="24"/>
          <w:szCs w:val="24"/>
        </w:rPr>
        <w:t xml:space="preserve">su </w:t>
      </w:r>
      <w:r w:rsidR="00B24EAF" w:rsidRPr="00CA590F">
        <w:rPr>
          <w:rFonts w:ascii="Gadugi" w:eastAsia="Calibri" w:hAnsi="Gadugi" w:cs="Times New Roman"/>
          <w:sz w:val="24"/>
          <w:szCs w:val="24"/>
        </w:rPr>
        <w:t xml:space="preserve">objeto sería el de </w:t>
      </w:r>
      <w:r w:rsidR="00B24EAF" w:rsidRPr="00CA590F">
        <w:rPr>
          <w:rFonts w:ascii="Gadugi" w:eastAsia="Calibri" w:hAnsi="Gadugi" w:cs="Times New Roman"/>
          <w:i/>
          <w:sz w:val="24"/>
          <w:szCs w:val="24"/>
        </w:rPr>
        <w:t>“</w:t>
      </w:r>
      <w:r w:rsidR="00B24EAF" w:rsidRPr="00CA590F">
        <w:rPr>
          <w:rFonts w:ascii="Gadugi" w:hAnsi="Gadugi"/>
          <w:i/>
          <w:szCs w:val="24"/>
        </w:rPr>
        <w:t xml:space="preserve">proteger a las personas más vulnerables de la familia, por lo cual se busca establecer que tanto el maltrato como el abandono se conviertan en causales de indignidad </w:t>
      </w:r>
      <w:proofErr w:type="spellStart"/>
      <w:r w:rsidR="00B24EAF" w:rsidRPr="00CA590F">
        <w:rPr>
          <w:rFonts w:ascii="Gadugi" w:hAnsi="Gadugi"/>
          <w:i/>
          <w:szCs w:val="24"/>
        </w:rPr>
        <w:t>sucesoral</w:t>
      </w:r>
      <w:proofErr w:type="spellEnd"/>
      <w:r w:rsidR="00B24EAF" w:rsidRPr="00CA590F">
        <w:rPr>
          <w:rFonts w:ascii="Gadugi" w:hAnsi="Gadugi"/>
          <w:i/>
          <w:szCs w:val="24"/>
        </w:rPr>
        <w:t>, toda vez que no resulta justo ni conveniente que las personas que han maltratado y abandonado a aquellas personas de su familia en situación de vulnerabilidad y en mayor estado de necesidad vengan más tarde a exigir derechos sobre la propiedad de aquellos a quienes desatendieron. Por lo tanto, pretende esta iniciativa generar una especie de “castigo” a los familiares que incumplan los deberes de cuidado y protección de sus parientes</w:t>
      </w:r>
      <w:r w:rsidR="00BE2991" w:rsidRPr="00CA590F">
        <w:rPr>
          <w:rFonts w:ascii="Gadugi" w:hAnsi="Gadugi"/>
          <w:i/>
          <w:sz w:val="24"/>
          <w:szCs w:val="24"/>
        </w:rPr>
        <w:t xml:space="preserve">”. </w:t>
      </w:r>
      <w:r w:rsidR="00BE2991" w:rsidRPr="00CA590F">
        <w:rPr>
          <w:rFonts w:ascii="Gadugi" w:hAnsi="Gadugi"/>
          <w:sz w:val="24"/>
          <w:szCs w:val="24"/>
        </w:rPr>
        <w:t xml:space="preserve">A partir de lo cual se aludió a situaciones de violencia intrafamiliar, violencia fundada en género, o contra el adulto mayor, niños, niñas o adolescentes. </w:t>
      </w:r>
    </w:p>
    <w:p w14:paraId="3EEED782" w14:textId="77777777" w:rsidR="00283F1B" w:rsidRPr="00CA590F" w:rsidRDefault="00283F1B" w:rsidP="00F35D5C">
      <w:pPr>
        <w:tabs>
          <w:tab w:val="left" w:pos="1701"/>
        </w:tabs>
        <w:spacing w:after="0" w:line="276" w:lineRule="auto"/>
        <w:ind w:firstLine="1701"/>
        <w:jc w:val="both"/>
        <w:rPr>
          <w:rFonts w:ascii="Gadugi" w:eastAsia="Calibri" w:hAnsi="Gadugi" w:cs="Times New Roman"/>
          <w:sz w:val="24"/>
          <w:szCs w:val="24"/>
        </w:rPr>
      </w:pPr>
    </w:p>
    <w:p w14:paraId="0E49CAA9" w14:textId="6CC79011" w:rsidR="00BE2991" w:rsidRPr="00CA590F" w:rsidRDefault="00BE2991" w:rsidP="00F35D5C">
      <w:pPr>
        <w:tabs>
          <w:tab w:val="left" w:pos="1701"/>
        </w:tabs>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Es decir, que la ley tiene un carácter protector, con tendencia a superar esas situaciones de inequidad y discriminación entre los miembros de la familia, como lo advirtió la Corte Constitucional en la citada providencia. </w:t>
      </w:r>
    </w:p>
    <w:p w14:paraId="2F06538D" w14:textId="20C00EA8" w:rsidR="00BE2991" w:rsidRPr="00CA590F" w:rsidRDefault="00BE2991" w:rsidP="00F35D5C">
      <w:pPr>
        <w:tabs>
          <w:tab w:val="left" w:pos="1701"/>
        </w:tabs>
        <w:spacing w:after="0" w:line="276" w:lineRule="auto"/>
        <w:ind w:firstLine="1701"/>
        <w:jc w:val="both"/>
        <w:rPr>
          <w:rFonts w:ascii="Gadugi" w:eastAsia="Calibri" w:hAnsi="Gadugi" w:cs="Times New Roman"/>
          <w:sz w:val="24"/>
          <w:szCs w:val="24"/>
        </w:rPr>
      </w:pPr>
    </w:p>
    <w:p w14:paraId="02FF12FC" w14:textId="72A2758D" w:rsidR="00BE2991" w:rsidRPr="00CA590F" w:rsidRDefault="00B66C24" w:rsidP="00F35D5C">
      <w:pPr>
        <w:tabs>
          <w:tab w:val="left" w:pos="1701"/>
        </w:tabs>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Doctrina reciente</w:t>
      </w:r>
      <w:r w:rsidR="00701039" w:rsidRPr="00CA590F">
        <w:rPr>
          <w:rStyle w:val="Refdenotaalpie"/>
          <w:rFonts w:ascii="Gadugi" w:eastAsia="Calibri" w:hAnsi="Gadugi" w:cs="Times New Roman"/>
          <w:sz w:val="24"/>
          <w:szCs w:val="24"/>
        </w:rPr>
        <w:footnoteReference w:id="36"/>
      </w:r>
      <w:r w:rsidRPr="00CA590F">
        <w:rPr>
          <w:rFonts w:ascii="Gadugi" w:eastAsia="Calibri" w:hAnsi="Gadugi" w:cs="Times New Roman"/>
          <w:sz w:val="24"/>
          <w:szCs w:val="24"/>
        </w:rPr>
        <w:t xml:space="preserve">, al adentrarse en la vigencia y aplicación de la Ley </w:t>
      </w:r>
      <w:proofErr w:type="spellStart"/>
      <w:r w:rsidRPr="00CA590F">
        <w:rPr>
          <w:rFonts w:ascii="Gadugi" w:eastAsia="Calibri" w:hAnsi="Gadugi" w:cs="Times New Roman"/>
          <w:sz w:val="24"/>
          <w:szCs w:val="24"/>
        </w:rPr>
        <w:t>sucesoral</w:t>
      </w:r>
      <w:proofErr w:type="spellEnd"/>
      <w:r w:rsidRPr="00CA590F">
        <w:rPr>
          <w:rFonts w:ascii="Gadugi" w:eastAsia="Calibri" w:hAnsi="Gadugi" w:cs="Times New Roman"/>
          <w:sz w:val="24"/>
          <w:szCs w:val="24"/>
        </w:rPr>
        <w:t xml:space="preserve"> en general, y de la 1893 en particular, señala que: </w:t>
      </w:r>
    </w:p>
    <w:p w14:paraId="0DE4E7EB" w14:textId="21A1E98E" w:rsidR="00B66C24" w:rsidRPr="00CA590F" w:rsidRDefault="00B66C24" w:rsidP="00F35D5C">
      <w:pPr>
        <w:tabs>
          <w:tab w:val="left" w:pos="1701"/>
        </w:tabs>
        <w:spacing w:after="0" w:line="276" w:lineRule="auto"/>
        <w:ind w:firstLine="1701"/>
        <w:jc w:val="both"/>
        <w:rPr>
          <w:rFonts w:ascii="Gadugi" w:eastAsia="Calibri" w:hAnsi="Gadugi" w:cs="Times New Roman"/>
          <w:sz w:val="24"/>
          <w:szCs w:val="24"/>
        </w:rPr>
      </w:pPr>
    </w:p>
    <w:p w14:paraId="74B8642E" w14:textId="5D5DC311" w:rsidR="00746037" w:rsidRPr="00CA590F" w:rsidRDefault="00B66C24" w:rsidP="00CA590F">
      <w:pPr>
        <w:spacing w:after="0" w:line="276" w:lineRule="auto"/>
        <w:ind w:firstLine="1701"/>
        <w:jc w:val="both"/>
        <w:rPr>
          <w:rFonts w:ascii="Gadugi" w:eastAsia="Calibri" w:hAnsi="Gadugi" w:cs="Times New Roman"/>
          <w:i/>
          <w:sz w:val="24"/>
          <w:szCs w:val="24"/>
        </w:rPr>
      </w:pPr>
      <w:r w:rsidRPr="00CA590F">
        <w:rPr>
          <w:rFonts w:ascii="Gadugi" w:eastAsia="Calibri" w:hAnsi="Gadugi" w:cs="Times New Roman"/>
          <w:i/>
          <w:sz w:val="24"/>
          <w:szCs w:val="24"/>
        </w:rPr>
        <w:t>“</w:t>
      </w:r>
      <w:r w:rsidRPr="00CA590F">
        <w:rPr>
          <w:rFonts w:ascii="Gadugi" w:eastAsia="Calibri" w:hAnsi="Gadugi" w:cs="Times New Roman"/>
          <w:i/>
          <w:szCs w:val="24"/>
        </w:rPr>
        <w:t xml:space="preserve">Para resolver el conflicto de las normas </w:t>
      </w:r>
      <w:proofErr w:type="spellStart"/>
      <w:r w:rsidRPr="00CA590F">
        <w:rPr>
          <w:rFonts w:ascii="Gadugi" w:eastAsia="Calibri" w:hAnsi="Gadugi" w:cs="Times New Roman"/>
          <w:i/>
          <w:szCs w:val="24"/>
        </w:rPr>
        <w:t>sucesorales</w:t>
      </w:r>
      <w:proofErr w:type="spellEnd"/>
      <w:r w:rsidRPr="00CA590F">
        <w:rPr>
          <w:rFonts w:ascii="Gadugi" w:eastAsia="Calibri" w:hAnsi="Gadugi" w:cs="Times New Roman"/>
          <w:i/>
          <w:szCs w:val="24"/>
        </w:rPr>
        <w:t xml:space="preserve"> en el tiempo, debemos partir de una regla general que es la de que las nuevas leyes en esta materia son de efecto retrospectivo, al paso que las antiguas son de vigencia </w:t>
      </w:r>
      <w:proofErr w:type="spellStart"/>
      <w:r w:rsidRPr="00CA590F">
        <w:rPr>
          <w:rFonts w:ascii="Gadugi" w:eastAsia="Calibri" w:hAnsi="Gadugi" w:cs="Times New Roman"/>
          <w:i/>
          <w:szCs w:val="24"/>
        </w:rPr>
        <w:t>ultra-activa</w:t>
      </w:r>
      <w:proofErr w:type="spellEnd"/>
      <w:r w:rsidRPr="00CA590F">
        <w:rPr>
          <w:rFonts w:ascii="Gadugi" w:eastAsia="Calibri" w:hAnsi="Gadugi" w:cs="Times New Roman"/>
          <w:i/>
          <w:szCs w:val="24"/>
        </w:rPr>
        <w:t>. Lo determinante en este caso es la época del fallecimiento del causante, y por esa razón, puede decirse que dicha regla se traduce en que temporalmente una sucesión se rige por la ley de la época de la defunción</w:t>
      </w:r>
      <w:r w:rsidR="00701039" w:rsidRPr="00CA590F">
        <w:rPr>
          <w:rFonts w:ascii="Gadugi" w:eastAsia="Calibri" w:hAnsi="Gadugi" w:cs="Times New Roman"/>
          <w:i/>
          <w:szCs w:val="24"/>
        </w:rPr>
        <w:t>…</w:t>
      </w:r>
      <w:r w:rsidR="00701039" w:rsidRPr="00CA590F">
        <w:rPr>
          <w:rFonts w:ascii="Gadugi" w:eastAsia="Calibri" w:hAnsi="Gadugi" w:cs="Times New Roman"/>
          <w:i/>
          <w:sz w:val="24"/>
          <w:szCs w:val="24"/>
        </w:rPr>
        <w:t>”.</w:t>
      </w:r>
      <w:r w:rsidR="00701039" w:rsidRPr="00CA590F">
        <w:rPr>
          <w:rFonts w:ascii="Gadugi" w:eastAsia="Calibri" w:hAnsi="Gadugi" w:cs="Times New Roman"/>
          <w:sz w:val="24"/>
          <w:szCs w:val="24"/>
        </w:rPr>
        <w:t xml:space="preserve"> Como consecuencia de ello, dice el autor, la ley rige los fallecimientos ocurridos en ella y, por tanto </w:t>
      </w:r>
      <w:r w:rsidR="00701039" w:rsidRPr="00CA590F">
        <w:rPr>
          <w:rFonts w:ascii="Gadugi" w:eastAsia="Calibri" w:hAnsi="Gadugi" w:cs="Times New Roman"/>
          <w:i/>
          <w:sz w:val="24"/>
          <w:szCs w:val="24"/>
        </w:rPr>
        <w:t>“</w:t>
      </w:r>
      <w:r w:rsidR="00701039" w:rsidRPr="00CA590F">
        <w:rPr>
          <w:rFonts w:ascii="Gadugi" w:eastAsia="Calibri" w:hAnsi="Gadugi" w:cs="Times New Roman"/>
          <w:i/>
          <w:szCs w:val="24"/>
        </w:rPr>
        <w:t xml:space="preserve">1° Regula para el futuro las relaciones </w:t>
      </w:r>
      <w:proofErr w:type="spellStart"/>
      <w:r w:rsidR="00701039" w:rsidRPr="00CA590F">
        <w:rPr>
          <w:rFonts w:ascii="Gadugi" w:eastAsia="Calibri" w:hAnsi="Gadugi" w:cs="Times New Roman"/>
          <w:i/>
          <w:szCs w:val="24"/>
        </w:rPr>
        <w:t>sucesorales</w:t>
      </w:r>
      <w:proofErr w:type="spellEnd"/>
      <w:r w:rsidR="00701039" w:rsidRPr="00CA590F">
        <w:rPr>
          <w:rFonts w:ascii="Gadugi" w:eastAsia="Calibri" w:hAnsi="Gadugi" w:cs="Times New Roman"/>
          <w:i/>
          <w:szCs w:val="24"/>
        </w:rPr>
        <w:t xml:space="preserve"> que en adelante se presenten (v. gr. Fallecimientos, asignatarios, herencia). 2° También preceptúa lo referente a</w:t>
      </w:r>
      <w:r w:rsidR="00746037" w:rsidRPr="00CA590F">
        <w:rPr>
          <w:rFonts w:ascii="Gadugi" w:eastAsia="Calibri" w:hAnsi="Gadugi" w:cs="Times New Roman"/>
          <w:i/>
          <w:szCs w:val="24"/>
        </w:rPr>
        <w:t xml:space="preserve"> </w:t>
      </w:r>
      <w:r w:rsidR="00701039" w:rsidRPr="00CA590F">
        <w:rPr>
          <w:rFonts w:ascii="Gadugi" w:eastAsia="Calibri" w:hAnsi="Gadugi" w:cs="Times New Roman"/>
          <w:i/>
          <w:szCs w:val="24"/>
        </w:rPr>
        <w:t xml:space="preserve">la presunta </w:t>
      </w:r>
      <w:r w:rsidR="00701039" w:rsidRPr="00CA590F">
        <w:rPr>
          <w:rFonts w:ascii="Gadugi" w:eastAsia="Calibri" w:hAnsi="Gadugi" w:cs="Times New Roman"/>
          <w:i/>
          <w:szCs w:val="24"/>
        </w:rPr>
        <w:lastRenderedPageBreak/>
        <w:t>calidad de asignatario de las personas</w:t>
      </w:r>
      <w:r w:rsidR="00746037" w:rsidRPr="00CA590F">
        <w:rPr>
          <w:rFonts w:ascii="Gadugi" w:eastAsia="Calibri" w:hAnsi="Gadugi" w:cs="Times New Roman"/>
          <w:i/>
          <w:szCs w:val="24"/>
        </w:rPr>
        <w:t>, para definirle dicha calidad. Así, por ejemplo, habiendo una persona que ayer podía heredar a su padre cuando este muriera, una nueva ley puede quitarle esa vocación hereditaria si el padre aún no ha fallecido. Esto es viable, porque no se está violando ningún derecho adquirido sino suprimiendo una mera posibilidad o expectativa, ya que aquel derecho no nace sino con el fallecimiento del causante; antes de ese evento no hay sino una expectativa que nació bajo la legislación anterior, pero que puede ser regulada por la nueva ley…</w:t>
      </w:r>
      <w:r w:rsidR="00746037" w:rsidRPr="00CA590F">
        <w:rPr>
          <w:rFonts w:ascii="Gadugi" w:eastAsia="Calibri" w:hAnsi="Gadugi" w:cs="Times New Roman"/>
          <w:i/>
          <w:sz w:val="24"/>
          <w:szCs w:val="24"/>
        </w:rPr>
        <w:t>”</w:t>
      </w:r>
    </w:p>
    <w:p w14:paraId="489CD22A" w14:textId="77777777" w:rsidR="00746037" w:rsidRPr="00CA590F" w:rsidRDefault="00746037" w:rsidP="00F35D5C">
      <w:pPr>
        <w:tabs>
          <w:tab w:val="left" w:pos="1701"/>
        </w:tabs>
        <w:spacing w:after="0" w:line="276" w:lineRule="auto"/>
        <w:ind w:firstLine="1701"/>
        <w:jc w:val="both"/>
        <w:rPr>
          <w:rFonts w:ascii="Gadugi" w:eastAsia="Calibri" w:hAnsi="Gadugi" w:cs="Times New Roman"/>
          <w:i/>
          <w:sz w:val="24"/>
          <w:szCs w:val="24"/>
        </w:rPr>
      </w:pPr>
    </w:p>
    <w:p w14:paraId="5B89B57D" w14:textId="1F5BFD2F" w:rsidR="00B66C24" w:rsidRPr="00CA590F" w:rsidRDefault="00746037" w:rsidP="00F35D5C">
      <w:pPr>
        <w:tabs>
          <w:tab w:val="left" w:pos="1701"/>
        </w:tabs>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Y más adelante agrega</w:t>
      </w:r>
      <w:r w:rsidR="005201D2" w:rsidRPr="00CA590F">
        <w:rPr>
          <w:rStyle w:val="Refdenotaalpie"/>
          <w:rFonts w:ascii="Gadugi" w:eastAsia="Calibri" w:hAnsi="Gadugi" w:cs="Times New Roman"/>
          <w:sz w:val="24"/>
          <w:szCs w:val="24"/>
        </w:rPr>
        <w:footnoteReference w:id="37"/>
      </w:r>
      <w:r w:rsidR="005201D2" w:rsidRPr="00CA590F">
        <w:rPr>
          <w:rFonts w:ascii="Gadugi" w:eastAsia="Calibri" w:hAnsi="Gadugi" w:cs="Times New Roman"/>
          <w:sz w:val="24"/>
          <w:szCs w:val="24"/>
        </w:rPr>
        <w:t xml:space="preserve">, que </w:t>
      </w:r>
      <w:r w:rsidR="005201D2" w:rsidRPr="00CA590F">
        <w:rPr>
          <w:rFonts w:ascii="Gadugi" w:eastAsia="Calibri" w:hAnsi="Gadugi" w:cs="Times New Roman"/>
          <w:i/>
          <w:sz w:val="24"/>
          <w:szCs w:val="24"/>
        </w:rPr>
        <w:t>“</w:t>
      </w:r>
      <w:r w:rsidR="005201D2" w:rsidRPr="00CA590F">
        <w:rPr>
          <w:rFonts w:ascii="Gadugi" w:eastAsia="Calibri" w:hAnsi="Gadugi" w:cs="Times New Roman"/>
          <w:i/>
          <w:szCs w:val="24"/>
        </w:rPr>
        <w:t xml:space="preserve">La vigencia y aplicación de esta ley </w:t>
      </w:r>
      <w:r w:rsidR="005201D2" w:rsidRPr="00CA590F">
        <w:rPr>
          <w:rFonts w:ascii="Gadugi" w:eastAsia="Calibri" w:hAnsi="Gadugi" w:cs="Times New Roman"/>
          <w:szCs w:val="24"/>
        </w:rPr>
        <w:t xml:space="preserve">(la 1893) </w:t>
      </w:r>
      <w:r w:rsidR="005201D2" w:rsidRPr="00CA590F">
        <w:rPr>
          <w:rFonts w:ascii="Gadugi" w:eastAsia="Calibri" w:hAnsi="Gadugi" w:cs="Times New Roman"/>
          <w:i/>
          <w:szCs w:val="24"/>
        </w:rPr>
        <w:t>se sujeta a reglas generales. Por lo tanto… Temporalmente rige a partir de su promulgación el 24 de mayo de 2018 y se aplica a las sucesiones cuyo causante fallezca en esa fecha o en fecha posterior; aun cuando la conducta se hubiese cometido bajo la ley anterior (inc. 2° del Art. 34</w:t>
      </w:r>
      <w:r w:rsidR="00B66C24" w:rsidRPr="00CA590F">
        <w:rPr>
          <w:rFonts w:ascii="Gadugi" w:eastAsia="Calibri" w:hAnsi="Gadugi" w:cs="Times New Roman"/>
          <w:i/>
          <w:szCs w:val="24"/>
        </w:rPr>
        <w:t xml:space="preserve"> </w:t>
      </w:r>
      <w:r w:rsidR="005201D2" w:rsidRPr="00CA590F">
        <w:rPr>
          <w:rFonts w:ascii="Gadugi" w:eastAsia="Calibri" w:hAnsi="Gadugi" w:cs="Times New Roman"/>
          <w:i/>
          <w:szCs w:val="24"/>
        </w:rPr>
        <w:t>Ley 153/1887)</w:t>
      </w:r>
      <w:r w:rsidR="00CA590F" w:rsidRPr="00CA590F">
        <w:rPr>
          <w:rFonts w:ascii="Gadugi" w:eastAsia="Calibri" w:hAnsi="Gadugi" w:cs="Times New Roman"/>
          <w:i/>
          <w:sz w:val="24"/>
          <w:szCs w:val="24"/>
        </w:rPr>
        <w:t>”.</w:t>
      </w:r>
    </w:p>
    <w:p w14:paraId="0738AA90" w14:textId="77777777" w:rsidR="00BE2991" w:rsidRPr="00CA590F" w:rsidRDefault="00BE2991" w:rsidP="00F35D5C">
      <w:pPr>
        <w:tabs>
          <w:tab w:val="left" w:pos="1701"/>
        </w:tabs>
        <w:spacing w:after="0" w:line="276" w:lineRule="auto"/>
        <w:ind w:firstLine="1701"/>
        <w:jc w:val="both"/>
        <w:rPr>
          <w:rFonts w:ascii="Gadugi" w:eastAsia="Calibri" w:hAnsi="Gadugi" w:cs="Times New Roman"/>
          <w:sz w:val="24"/>
          <w:szCs w:val="24"/>
        </w:rPr>
      </w:pPr>
    </w:p>
    <w:p w14:paraId="4BC0167E" w14:textId="6BCE6F77" w:rsidR="00067F14" w:rsidRPr="00CA590F" w:rsidRDefault="00067F14" w:rsidP="00F35D5C">
      <w:pPr>
        <w:tabs>
          <w:tab w:val="left" w:pos="1701"/>
        </w:tabs>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Con esto claro, surge la inconsistencia del fallo de primer grado en cuanto afirmó que, como la Ley 1893 no tiene efectos retroactivos nada importa la comisión de las faltas que se les imputan a los demandados con antelación, porque allí perdió de vista el carácter retrospectivo de la misma. </w:t>
      </w:r>
    </w:p>
    <w:p w14:paraId="62A4495D" w14:textId="77777777" w:rsidR="00067F14" w:rsidRPr="00CA590F" w:rsidRDefault="00067F14" w:rsidP="00F35D5C">
      <w:pPr>
        <w:tabs>
          <w:tab w:val="left" w:pos="1701"/>
          <w:tab w:val="left" w:pos="2410"/>
        </w:tabs>
        <w:spacing w:after="0" w:line="276" w:lineRule="auto"/>
        <w:ind w:firstLine="1701"/>
        <w:jc w:val="both"/>
        <w:rPr>
          <w:rFonts w:ascii="Gadugi" w:eastAsia="Calibri" w:hAnsi="Gadugi" w:cs="Times New Roman"/>
          <w:sz w:val="24"/>
          <w:szCs w:val="24"/>
        </w:rPr>
      </w:pPr>
    </w:p>
    <w:p w14:paraId="28F202A6" w14:textId="5B0EEFAA" w:rsidR="00067F14" w:rsidRPr="00CA590F" w:rsidRDefault="00F82CB2" w:rsidP="00F35D5C">
      <w:pPr>
        <w:tabs>
          <w:tab w:val="left" w:pos="1701"/>
        </w:tabs>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Debe, entonces, abordarse el acervo probatorio para elucidar si las omisiones que se imputan a los demandados </w:t>
      </w:r>
      <w:r w:rsidR="006D1F9F" w:rsidRPr="00CA590F">
        <w:rPr>
          <w:rFonts w:ascii="Gadugi" w:eastAsia="Calibri" w:hAnsi="Gadugi" w:cs="Times New Roman"/>
          <w:sz w:val="24"/>
          <w:szCs w:val="24"/>
        </w:rPr>
        <w:t>ocurrieron;</w:t>
      </w:r>
      <w:r w:rsidRPr="00CA590F">
        <w:rPr>
          <w:rFonts w:ascii="Gadugi" w:eastAsia="Calibri" w:hAnsi="Gadugi" w:cs="Times New Roman"/>
          <w:sz w:val="24"/>
          <w:szCs w:val="24"/>
        </w:rPr>
        <w:t xml:space="preserve"> de ser así, si subsistían para el momento del deceso de la causante que fue posterior a la vigencia de la ley, o si, de existir, ellas fueron superadas con antelación. </w:t>
      </w:r>
    </w:p>
    <w:p w14:paraId="5D5FA976" w14:textId="79D4FEF3" w:rsidR="00067F14" w:rsidRPr="00CA590F" w:rsidRDefault="00067F14" w:rsidP="00F35D5C">
      <w:pPr>
        <w:tabs>
          <w:tab w:val="left" w:pos="2268"/>
        </w:tabs>
        <w:spacing w:after="0" w:line="276" w:lineRule="auto"/>
        <w:ind w:firstLine="1701"/>
        <w:jc w:val="both"/>
        <w:rPr>
          <w:rFonts w:ascii="Gadugi" w:eastAsia="Calibri" w:hAnsi="Gadugi" w:cs="Times New Roman"/>
          <w:sz w:val="24"/>
          <w:szCs w:val="24"/>
        </w:rPr>
      </w:pPr>
    </w:p>
    <w:p w14:paraId="327A9C62" w14:textId="77777777" w:rsidR="00665923" w:rsidRPr="00CA590F" w:rsidRDefault="00665923" w:rsidP="00F35D5C">
      <w:pPr>
        <w:pStyle w:val="Prrafodelista"/>
        <w:numPr>
          <w:ilvl w:val="1"/>
          <w:numId w:val="1"/>
        </w:numPr>
        <w:tabs>
          <w:tab w:val="left" w:pos="2268"/>
        </w:tabs>
        <w:spacing w:after="0" w:line="276" w:lineRule="auto"/>
        <w:ind w:left="0" w:firstLine="1701"/>
        <w:jc w:val="both"/>
        <w:rPr>
          <w:rFonts w:ascii="Gadugi" w:eastAsia="Malgun Gothic" w:hAnsi="Gadugi" w:cs="Estrangelo Edessa"/>
          <w:sz w:val="24"/>
          <w:szCs w:val="24"/>
        </w:rPr>
      </w:pPr>
      <w:r w:rsidRPr="00CA590F">
        <w:rPr>
          <w:rFonts w:ascii="Gadugi" w:eastAsia="Calibri" w:hAnsi="Gadugi" w:cs="Times New Roman"/>
          <w:sz w:val="24"/>
          <w:szCs w:val="24"/>
        </w:rPr>
        <w:t xml:space="preserve">Precisamente, la tercera crítica, en la que se compendian varios de los reclamos del recurrente, tiene que ver con la valoración de las pruebas. </w:t>
      </w:r>
    </w:p>
    <w:p w14:paraId="27DF9A87" w14:textId="77777777" w:rsidR="00665923" w:rsidRPr="00CA590F" w:rsidRDefault="00665923" w:rsidP="00F35D5C">
      <w:pPr>
        <w:spacing w:after="0" w:line="276" w:lineRule="auto"/>
        <w:jc w:val="both"/>
        <w:rPr>
          <w:rFonts w:ascii="Gadugi" w:eastAsia="Calibri" w:hAnsi="Gadugi" w:cs="Times New Roman"/>
          <w:sz w:val="24"/>
          <w:szCs w:val="24"/>
        </w:rPr>
      </w:pPr>
    </w:p>
    <w:p w14:paraId="128105D8" w14:textId="51DDDE9E" w:rsidR="00482E74" w:rsidRPr="00CA590F" w:rsidRDefault="00665923" w:rsidP="00F35D5C">
      <w:pPr>
        <w:pStyle w:val="Prrafodelista"/>
        <w:numPr>
          <w:ilvl w:val="2"/>
          <w:numId w:val="1"/>
        </w:numPr>
        <w:tabs>
          <w:tab w:val="left" w:pos="2410"/>
        </w:tabs>
        <w:spacing w:after="0" w:line="276" w:lineRule="auto"/>
        <w:ind w:left="0"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En </w:t>
      </w:r>
      <w:r w:rsidR="005645F0" w:rsidRPr="00CA590F">
        <w:rPr>
          <w:rFonts w:ascii="Gadugi" w:eastAsia="Calibri" w:hAnsi="Gadugi" w:cs="Times New Roman"/>
          <w:sz w:val="24"/>
          <w:szCs w:val="24"/>
        </w:rPr>
        <w:t xml:space="preserve">primer lugar, saca a relucir que se le vulneró el derecho de contradicción, porque se tuvieron en cuenta unos documentos que no fueron aportados con la contestación de la demanda, concretamente relacionados con </w:t>
      </w:r>
      <w:r w:rsidR="00482E74" w:rsidRPr="00CA590F">
        <w:rPr>
          <w:rFonts w:ascii="Gadugi" w:eastAsia="Calibri" w:hAnsi="Gadugi" w:cs="Times New Roman"/>
          <w:sz w:val="24"/>
          <w:szCs w:val="24"/>
        </w:rPr>
        <w:t xml:space="preserve">giros realizados. Además, dice, no se tuvo acceso al expediente. </w:t>
      </w:r>
    </w:p>
    <w:p w14:paraId="303C16C2" w14:textId="77777777" w:rsidR="00482E74" w:rsidRPr="00CA590F" w:rsidRDefault="00482E74" w:rsidP="00F35D5C">
      <w:pPr>
        <w:spacing w:after="0" w:line="276" w:lineRule="auto"/>
        <w:ind w:firstLine="1701"/>
        <w:jc w:val="both"/>
        <w:rPr>
          <w:rFonts w:ascii="Gadugi" w:eastAsia="Calibri" w:hAnsi="Gadugi" w:cs="Times New Roman"/>
          <w:sz w:val="24"/>
          <w:szCs w:val="24"/>
        </w:rPr>
      </w:pPr>
    </w:p>
    <w:p w14:paraId="5423A100" w14:textId="3E283A25" w:rsidR="00482E74" w:rsidRPr="00CA590F" w:rsidRDefault="00482E74"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Tal postura es equivocada. En el archivo 26 del expediente, reposa el auto que fijó fecha y hora para la audiencia concentrada, en el que se decretaron las pruebas pedidas por las partes. Entre ellas, se dijo expresamente que, por la parte demandada, se tendrían en cuenta los documentos allegados con la contestación de la demanda </w:t>
      </w:r>
      <w:r w:rsidRPr="00CA590F">
        <w:rPr>
          <w:rFonts w:ascii="Gadugi" w:eastAsia="Calibri" w:hAnsi="Gadugi" w:cs="Times New Roman"/>
          <w:b/>
          <w:sz w:val="24"/>
          <w:szCs w:val="24"/>
        </w:rPr>
        <w:t>y el escrito que la adicionó,</w:t>
      </w:r>
      <w:r w:rsidRPr="00CA590F">
        <w:rPr>
          <w:rFonts w:ascii="Gadugi" w:eastAsia="Calibri" w:hAnsi="Gadugi" w:cs="Times New Roman"/>
          <w:sz w:val="24"/>
          <w:szCs w:val="24"/>
        </w:rPr>
        <w:t xml:space="preserve"> que fue presentado dentro del término del traslado respectivo</w:t>
      </w:r>
      <w:r w:rsidR="0080074E" w:rsidRPr="00CA590F">
        <w:rPr>
          <w:rFonts w:ascii="Gadugi" w:eastAsia="Calibri" w:hAnsi="Gadugi" w:cs="Times New Roman"/>
          <w:sz w:val="24"/>
          <w:szCs w:val="24"/>
        </w:rPr>
        <w:t xml:space="preserve">, el 6 de mayo de 2021, acompañado de la certificación por parte de Envíos de Valores La Nacional. </w:t>
      </w:r>
      <w:r w:rsidRPr="00CA590F">
        <w:rPr>
          <w:rFonts w:ascii="Gadugi" w:eastAsia="Calibri" w:hAnsi="Gadugi" w:cs="Times New Roman"/>
          <w:sz w:val="24"/>
          <w:szCs w:val="24"/>
        </w:rPr>
        <w:t xml:space="preserve"> </w:t>
      </w:r>
    </w:p>
    <w:p w14:paraId="6959410A" w14:textId="20210695" w:rsidR="00482E74" w:rsidRPr="00CA590F" w:rsidRDefault="00482E74" w:rsidP="00F35D5C">
      <w:pPr>
        <w:spacing w:after="0" w:line="276" w:lineRule="auto"/>
        <w:jc w:val="both"/>
        <w:rPr>
          <w:rFonts w:ascii="Gadugi" w:eastAsia="Calibri" w:hAnsi="Gadugi" w:cs="Times New Roman"/>
          <w:sz w:val="24"/>
          <w:szCs w:val="24"/>
        </w:rPr>
      </w:pPr>
    </w:p>
    <w:p w14:paraId="50A0E8D7" w14:textId="6EE78520" w:rsidR="00482E74" w:rsidRPr="00CA590F" w:rsidRDefault="00482E74"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lastRenderedPageBreak/>
        <w:t xml:space="preserve">Tal providencia quedó en firme, porque las partes no la recurrieron y, por tanto, si algo había que </w:t>
      </w:r>
      <w:r w:rsidR="0080074E" w:rsidRPr="00CA590F">
        <w:rPr>
          <w:rFonts w:ascii="Gadugi" w:eastAsia="Calibri" w:hAnsi="Gadugi" w:cs="Times New Roman"/>
          <w:sz w:val="24"/>
          <w:szCs w:val="24"/>
        </w:rPr>
        <w:t>reprochar,</w:t>
      </w:r>
      <w:r w:rsidRPr="00CA590F">
        <w:rPr>
          <w:rFonts w:ascii="Gadugi" w:eastAsia="Calibri" w:hAnsi="Gadugi" w:cs="Times New Roman"/>
          <w:sz w:val="24"/>
          <w:szCs w:val="24"/>
        </w:rPr>
        <w:t xml:space="preserve"> era ese el momento oportuno para hacerlo. Como no ocurrió de esa manera y los documentos fueron aportados en la oportunidad legal, nada se oponía a que fueran tenidos en cuenta por el Juzgado al momento de resolver la litis. </w:t>
      </w:r>
    </w:p>
    <w:p w14:paraId="5CA04B7D" w14:textId="77777777" w:rsidR="00482E74" w:rsidRPr="00CA590F" w:rsidRDefault="00482E74" w:rsidP="00F35D5C">
      <w:pPr>
        <w:spacing w:after="0" w:line="276" w:lineRule="auto"/>
        <w:ind w:firstLine="1701"/>
        <w:jc w:val="both"/>
        <w:rPr>
          <w:rFonts w:ascii="Gadugi" w:eastAsia="Calibri" w:hAnsi="Gadugi" w:cs="Times New Roman"/>
          <w:sz w:val="24"/>
          <w:szCs w:val="24"/>
        </w:rPr>
      </w:pPr>
    </w:p>
    <w:p w14:paraId="7D5E4272" w14:textId="29B09277" w:rsidR="00C8011B" w:rsidRPr="00CA590F" w:rsidRDefault="00482E74"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Tampoco acierta en lo que atañe al acceso al expediente, </w:t>
      </w:r>
      <w:r w:rsidR="00C8011B" w:rsidRPr="00CA590F">
        <w:rPr>
          <w:rFonts w:ascii="Gadugi" w:eastAsia="Calibri" w:hAnsi="Gadugi" w:cs="Times New Roman"/>
          <w:sz w:val="24"/>
          <w:szCs w:val="24"/>
        </w:rPr>
        <w:t xml:space="preserve">porque, como muestra el archivo 11, desde el 14 de diciembre de 2020 se le </w:t>
      </w:r>
      <w:r w:rsidR="00ED385E" w:rsidRPr="00CA590F">
        <w:rPr>
          <w:rFonts w:ascii="Gadugi" w:eastAsia="Calibri" w:hAnsi="Gadugi" w:cs="Times New Roman"/>
          <w:sz w:val="24"/>
          <w:szCs w:val="24"/>
        </w:rPr>
        <w:t xml:space="preserve">viene compartiendo por </w:t>
      </w:r>
      <w:r w:rsidR="00C8011B" w:rsidRPr="00CA590F">
        <w:rPr>
          <w:rFonts w:ascii="Gadugi" w:eastAsia="Calibri" w:hAnsi="Gadugi" w:cs="Times New Roman"/>
          <w:sz w:val="24"/>
          <w:szCs w:val="24"/>
        </w:rPr>
        <w:t>vía electrónica</w:t>
      </w:r>
      <w:r w:rsidR="00ED385E" w:rsidRPr="00CA590F">
        <w:rPr>
          <w:rFonts w:ascii="Gadugi" w:eastAsia="Calibri" w:hAnsi="Gadugi" w:cs="Times New Roman"/>
          <w:sz w:val="24"/>
          <w:szCs w:val="24"/>
        </w:rPr>
        <w:t xml:space="preserve">. </w:t>
      </w:r>
    </w:p>
    <w:p w14:paraId="2E53C483" w14:textId="77777777" w:rsidR="00C8011B" w:rsidRPr="00CA590F" w:rsidRDefault="00C8011B" w:rsidP="00F35D5C">
      <w:pPr>
        <w:spacing w:after="0" w:line="276" w:lineRule="auto"/>
        <w:ind w:firstLine="1701"/>
        <w:jc w:val="both"/>
        <w:rPr>
          <w:rFonts w:ascii="Gadugi" w:eastAsia="Calibri" w:hAnsi="Gadugi" w:cs="Times New Roman"/>
          <w:sz w:val="24"/>
          <w:szCs w:val="24"/>
        </w:rPr>
      </w:pPr>
    </w:p>
    <w:p w14:paraId="7B5F0804" w14:textId="0FAE2760" w:rsidR="0080074E" w:rsidRPr="00CA590F" w:rsidRDefault="00482E74"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 </w:t>
      </w:r>
      <w:r w:rsidR="00ED385E" w:rsidRPr="00CA590F">
        <w:rPr>
          <w:rFonts w:ascii="Gadugi" w:eastAsia="Calibri" w:hAnsi="Gadugi" w:cs="Times New Roman"/>
          <w:sz w:val="24"/>
          <w:szCs w:val="24"/>
        </w:rPr>
        <w:t xml:space="preserve">2.9.2. </w:t>
      </w:r>
      <w:r w:rsidRPr="00CA590F">
        <w:rPr>
          <w:rFonts w:ascii="Gadugi" w:eastAsia="Calibri" w:hAnsi="Gadugi" w:cs="Times New Roman"/>
          <w:sz w:val="24"/>
          <w:szCs w:val="24"/>
        </w:rPr>
        <w:t xml:space="preserve"> </w:t>
      </w:r>
      <w:r w:rsidR="0080074E" w:rsidRPr="00CA590F">
        <w:rPr>
          <w:rFonts w:ascii="Gadugi" w:eastAsia="Calibri" w:hAnsi="Gadugi" w:cs="Times New Roman"/>
          <w:sz w:val="24"/>
          <w:szCs w:val="24"/>
        </w:rPr>
        <w:t>En segundo término, refiere que los testimonios dieron cuenta del estado de postración en que murió Magnolia, se demostraron los gastos fijos que su cuidado demanda</w:t>
      </w:r>
      <w:r w:rsidR="00B04B56" w:rsidRPr="00CA590F">
        <w:rPr>
          <w:rFonts w:ascii="Gadugi" w:eastAsia="Calibri" w:hAnsi="Gadugi" w:cs="Times New Roman"/>
          <w:sz w:val="24"/>
          <w:szCs w:val="24"/>
        </w:rPr>
        <w:t>b</w:t>
      </w:r>
      <w:r w:rsidR="0080074E" w:rsidRPr="00CA590F">
        <w:rPr>
          <w:rFonts w:ascii="Gadugi" w:eastAsia="Calibri" w:hAnsi="Gadugi" w:cs="Times New Roman"/>
          <w:sz w:val="24"/>
          <w:szCs w:val="24"/>
        </w:rPr>
        <w:t xml:space="preserve">a, pero solo se tuvo en cuenta el dicho de los mismos demandados. Agrega que aunque se dio por sentado el incumplimiento de estos, no le resultaron suficientes al juez para tener por demostrado el abandono total. </w:t>
      </w:r>
    </w:p>
    <w:p w14:paraId="7FA05591" w14:textId="77777777" w:rsidR="0080074E" w:rsidRPr="00CA590F" w:rsidRDefault="0080074E" w:rsidP="00F35D5C">
      <w:pPr>
        <w:spacing w:after="0" w:line="276" w:lineRule="auto"/>
        <w:ind w:firstLine="1701"/>
        <w:jc w:val="both"/>
        <w:rPr>
          <w:rFonts w:ascii="Gadugi" w:eastAsia="Calibri" w:hAnsi="Gadugi" w:cs="Times New Roman"/>
          <w:sz w:val="24"/>
          <w:szCs w:val="24"/>
        </w:rPr>
      </w:pPr>
    </w:p>
    <w:p w14:paraId="40505756" w14:textId="4DE21DE7" w:rsidR="00EF758C" w:rsidRPr="00CA590F" w:rsidRDefault="00EF758C"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Estas réplicas </w:t>
      </w:r>
      <w:r w:rsidR="00A84686" w:rsidRPr="00CA590F">
        <w:rPr>
          <w:rFonts w:ascii="Gadugi" w:eastAsia="Calibri" w:hAnsi="Gadugi" w:cs="Times New Roman"/>
          <w:sz w:val="24"/>
          <w:szCs w:val="24"/>
        </w:rPr>
        <w:t>deben aceptarse</w:t>
      </w:r>
      <w:r w:rsidRPr="00CA590F">
        <w:rPr>
          <w:rFonts w:ascii="Gadugi" w:eastAsia="Calibri" w:hAnsi="Gadugi" w:cs="Times New Roman"/>
          <w:sz w:val="24"/>
          <w:szCs w:val="24"/>
        </w:rPr>
        <w:t xml:space="preserve"> parcialmente, en concreto, en lo que respecta al señor Hernán Duque Isaza, no así en lo que atañe a su hermano Álvaro Duque. </w:t>
      </w:r>
    </w:p>
    <w:p w14:paraId="7C935D23" w14:textId="77777777" w:rsidR="00EF758C" w:rsidRPr="00CA590F" w:rsidRDefault="00EF758C" w:rsidP="00F35D5C">
      <w:pPr>
        <w:spacing w:after="0" w:line="276" w:lineRule="auto"/>
        <w:ind w:firstLine="1701"/>
        <w:jc w:val="both"/>
        <w:rPr>
          <w:rFonts w:ascii="Gadugi" w:eastAsia="Calibri" w:hAnsi="Gadugi" w:cs="Times New Roman"/>
          <w:sz w:val="24"/>
          <w:szCs w:val="24"/>
        </w:rPr>
      </w:pPr>
    </w:p>
    <w:p w14:paraId="08BE7DE2" w14:textId="41F16486" w:rsidR="00507465" w:rsidRPr="00CA590F" w:rsidRDefault="00EF758C"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Para comenzar, e</w:t>
      </w:r>
      <w:r w:rsidR="00507465" w:rsidRPr="00CA590F">
        <w:rPr>
          <w:rFonts w:ascii="Gadugi" w:eastAsia="Calibri" w:hAnsi="Gadugi" w:cs="Times New Roman"/>
          <w:sz w:val="24"/>
          <w:szCs w:val="24"/>
        </w:rPr>
        <w:t>n el análisis de la prueba testimonial, n</w:t>
      </w:r>
      <w:r w:rsidR="0080074E" w:rsidRPr="00CA590F">
        <w:rPr>
          <w:rFonts w:ascii="Gadugi" w:eastAsia="Calibri" w:hAnsi="Gadugi" w:cs="Times New Roman"/>
          <w:sz w:val="24"/>
          <w:szCs w:val="24"/>
        </w:rPr>
        <w:t xml:space="preserve">adie discute, ni había por qué hacerlo si la misma historia clínica así lo revelaba y ninguno de los demandados lo </w:t>
      </w:r>
      <w:r w:rsidR="0064575A" w:rsidRPr="00CA590F">
        <w:rPr>
          <w:rFonts w:ascii="Gadugi" w:eastAsia="Calibri" w:hAnsi="Gadugi" w:cs="Times New Roman"/>
          <w:sz w:val="24"/>
          <w:szCs w:val="24"/>
        </w:rPr>
        <w:t>reprochó</w:t>
      </w:r>
      <w:r w:rsidR="0080074E" w:rsidRPr="00CA590F">
        <w:rPr>
          <w:rFonts w:ascii="Gadugi" w:eastAsia="Calibri" w:hAnsi="Gadugi" w:cs="Times New Roman"/>
          <w:sz w:val="24"/>
          <w:szCs w:val="24"/>
        </w:rPr>
        <w:t xml:space="preserve">, que Magnolia </w:t>
      </w:r>
      <w:r w:rsidR="00507465" w:rsidRPr="00CA590F">
        <w:rPr>
          <w:rFonts w:ascii="Gadugi" w:eastAsia="Calibri" w:hAnsi="Gadugi" w:cs="Times New Roman"/>
          <w:sz w:val="24"/>
          <w:szCs w:val="24"/>
        </w:rPr>
        <w:t xml:space="preserve">murió postrada en su cama, sometida a los cuidados que terceros le brindaran, porque </w:t>
      </w:r>
      <w:r w:rsidR="7BE69AC6" w:rsidRPr="00CA590F">
        <w:rPr>
          <w:rFonts w:ascii="Gadugi" w:eastAsia="Gadugi" w:hAnsi="Gadugi" w:cs="Gadugi"/>
          <w:sz w:val="24"/>
          <w:szCs w:val="24"/>
        </w:rPr>
        <w:t>no</w:t>
      </w:r>
      <w:r w:rsidR="7BE69AC6" w:rsidRPr="00CA590F">
        <w:rPr>
          <w:rFonts w:ascii="Gadugi" w:eastAsia="Calibri" w:hAnsi="Gadugi" w:cs="Times New Roman"/>
          <w:sz w:val="24"/>
          <w:szCs w:val="24"/>
        </w:rPr>
        <w:t xml:space="preserve"> </w:t>
      </w:r>
      <w:r w:rsidR="00507465" w:rsidRPr="00CA590F">
        <w:rPr>
          <w:rFonts w:ascii="Gadugi" w:eastAsia="Calibri" w:hAnsi="Gadugi" w:cs="Times New Roman"/>
          <w:sz w:val="24"/>
          <w:szCs w:val="24"/>
        </w:rPr>
        <w:t xml:space="preserve">podía valerse por sí misma. Así que fue por </w:t>
      </w:r>
      <w:r w:rsidR="00B04B56" w:rsidRPr="00CA590F">
        <w:rPr>
          <w:rFonts w:ascii="Gadugi" w:eastAsia="Calibri" w:hAnsi="Gadugi" w:cs="Times New Roman"/>
          <w:sz w:val="24"/>
          <w:szCs w:val="24"/>
        </w:rPr>
        <w:t xml:space="preserve">un aspecto distinto </w:t>
      </w:r>
      <w:r w:rsidR="00507465" w:rsidRPr="00CA590F">
        <w:rPr>
          <w:rFonts w:ascii="Gadugi" w:eastAsia="Calibri" w:hAnsi="Gadugi" w:cs="Times New Roman"/>
          <w:sz w:val="24"/>
          <w:szCs w:val="24"/>
        </w:rPr>
        <w:t xml:space="preserve">que se negaron las pretensiones. </w:t>
      </w:r>
    </w:p>
    <w:p w14:paraId="254AAA03" w14:textId="77777777" w:rsidR="00507465" w:rsidRPr="00CA590F" w:rsidRDefault="00507465" w:rsidP="00F35D5C">
      <w:pPr>
        <w:spacing w:after="0" w:line="276" w:lineRule="auto"/>
        <w:ind w:firstLine="1701"/>
        <w:jc w:val="both"/>
        <w:rPr>
          <w:rFonts w:ascii="Gadugi" w:eastAsia="Calibri" w:hAnsi="Gadugi" w:cs="Times New Roman"/>
          <w:sz w:val="24"/>
          <w:szCs w:val="24"/>
        </w:rPr>
      </w:pPr>
    </w:p>
    <w:p w14:paraId="5C0E54A1" w14:textId="77777777" w:rsidR="00A50E1C" w:rsidRPr="00CA590F" w:rsidRDefault="00A15D85"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Ahora bien, deslindó el juzgado la situación de los demandados. </w:t>
      </w:r>
    </w:p>
    <w:p w14:paraId="7CF0B94A" w14:textId="77777777" w:rsidR="00A50E1C" w:rsidRPr="00CA590F" w:rsidRDefault="00A50E1C" w:rsidP="00F35D5C">
      <w:pPr>
        <w:spacing w:after="0" w:line="276" w:lineRule="auto"/>
        <w:ind w:firstLine="1701"/>
        <w:jc w:val="both"/>
        <w:rPr>
          <w:rFonts w:ascii="Gadugi" w:eastAsia="Calibri" w:hAnsi="Gadugi" w:cs="Times New Roman"/>
          <w:sz w:val="24"/>
          <w:szCs w:val="24"/>
        </w:rPr>
      </w:pPr>
    </w:p>
    <w:p w14:paraId="5258EFBB" w14:textId="05E098ED" w:rsidR="006C4D0E" w:rsidRPr="00CA590F" w:rsidRDefault="00A50E1C"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2.9.2.1. </w:t>
      </w:r>
      <w:r w:rsidR="00D975E6" w:rsidRPr="00CA590F">
        <w:rPr>
          <w:rFonts w:ascii="Gadugi" w:eastAsia="Calibri" w:hAnsi="Gadugi" w:cs="Times New Roman"/>
          <w:sz w:val="24"/>
          <w:szCs w:val="24"/>
        </w:rPr>
        <w:t>E</w:t>
      </w:r>
      <w:r w:rsidR="00A15D85" w:rsidRPr="00CA590F">
        <w:rPr>
          <w:rFonts w:ascii="Gadugi" w:eastAsia="Calibri" w:hAnsi="Gadugi" w:cs="Times New Roman"/>
          <w:sz w:val="24"/>
          <w:szCs w:val="24"/>
        </w:rPr>
        <w:t>n el caso de Hernán Duque, solo se refirió a los testimonios de Daniela Duque, Gilberto Ocampo y Luz Mery Meza</w:t>
      </w:r>
      <w:r w:rsidR="006C4D0E" w:rsidRPr="00CA590F">
        <w:rPr>
          <w:rFonts w:ascii="Gadugi" w:eastAsia="Calibri" w:hAnsi="Gadugi" w:cs="Times New Roman"/>
          <w:sz w:val="24"/>
          <w:szCs w:val="24"/>
        </w:rPr>
        <w:t xml:space="preserve">, para concluir que ninguno de ellos pudo dar cuenta de si, en vigencia de la Ley 1893, Hernán omitió visitar a su mamá y prestarle cuidado durante su enfermedad. </w:t>
      </w:r>
    </w:p>
    <w:p w14:paraId="2E5545B8" w14:textId="77777777" w:rsidR="006C4D0E" w:rsidRPr="00CA590F" w:rsidRDefault="006C4D0E" w:rsidP="00F35D5C">
      <w:pPr>
        <w:spacing w:after="0" w:line="276" w:lineRule="auto"/>
        <w:ind w:firstLine="1701"/>
        <w:jc w:val="both"/>
        <w:rPr>
          <w:rFonts w:ascii="Gadugi" w:eastAsia="Calibri" w:hAnsi="Gadugi" w:cs="Times New Roman"/>
          <w:sz w:val="24"/>
          <w:szCs w:val="24"/>
        </w:rPr>
      </w:pPr>
    </w:p>
    <w:p w14:paraId="25E60C41" w14:textId="2884D610" w:rsidR="00E309E8" w:rsidRPr="00CA590F" w:rsidRDefault="00C1190C"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E</w:t>
      </w:r>
      <w:r w:rsidR="00B11C7E" w:rsidRPr="00CA590F">
        <w:rPr>
          <w:rFonts w:ascii="Gadugi" w:eastAsia="Calibri" w:hAnsi="Gadugi" w:cs="Times New Roman"/>
          <w:sz w:val="24"/>
          <w:szCs w:val="24"/>
        </w:rPr>
        <w:t xml:space="preserve">n realidad, en ese </w:t>
      </w:r>
      <w:r w:rsidR="00853CE0" w:rsidRPr="00CA590F">
        <w:rPr>
          <w:rFonts w:ascii="Gadugi" w:eastAsia="Calibri" w:hAnsi="Gadugi" w:cs="Times New Roman"/>
          <w:sz w:val="24"/>
          <w:szCs w:val="24"/>
        </w:rPr>
        <w:t>examen</w:t>
      </w:r>
      <w:r w:rsidR="00B11C7E" w:rsidRPr="00CA590F">
        <w:rPr>
          <w:rFonts w:ascii="Gadugi" w:eastAsia="Calibri" w:hAnsi="Gadugi" w:cs="Times New Roman"/>
          <w:sz w:val="24"/>
          <w:szCs w:val="24"/>
        </w:rPr>
        <w:t xml:space="preserve"> </w:t>
      </w:r>
      <w:r w:rsidR="00EF758C" w:rsidRPr="00CA590F">
        <w:rPr>
          <w:rFonts w:ascii="Gadugi" w:eastAsia="Calibri" w:hAnsi="Gadugi" w:cs="Times New Roman"/>
          <w:sz w:val="24"/>
          <w:szCs w:val="24"/>
        </w:rPr>
        <w:t>pasó por alto que, según viene de decirse, la citada Ley tiene efectos retrospectivos y, por ello, era menester revisar si el pregonado incumplimiento venía de tiempo atrás y se mantuvo para cuando empezó a regir</w:t>
      </w:r>
      <w:r w:rsidR="00E309E8" w:rsidRPr="00CA590F">
        <w:rPr>
          <w:rFonts w:ascii="Gadugi" w:eastAsia="Calibri" w:hAnsi="Gadugi" w:cs="Times New Roman"/>
          <w:sz w:val="24"/>
          <w:szCs w:val="24"/>
        </w:rPr>
        <w:t xml:space="preserve">. De acuerdo con lo que antes se precisó, lo importante en este caso era establecer si a partir del 24 de mayo de 2018, cuando se promulgó la Ley, ya había cesado la conducta omisiva imputada a los demandados o no. </w:t>
      </w:r>
    </w:p>
    <w:p w14:paraId="56C01743" w14:textId="77777777" w:rsidR="00E309E8" w:rsidRPr="00CA590F" w:rsidRDefault="00E309E8" w:rsidP="00F35D5C">
      <w:pPr>
        <w:spacing w:after="0" w:line="276" w:lineRule="auto"/>
        <w:ind w:firstLine="1701"/>
        <w:jc w:val="both"/>
        <w:rPr>
          <w:rFonts w:ascii="Gadugi" w:eastAsia="Calibri" w:hAnsi="Gadugi" w:cs="Times New Roman"/>
          <w:sz w:val="24"/>
          <w:szCs w:val="24"/>
        </w:rPr>
      </w:pPr>
    </w:p>
    <w:p w14:paraId="54154E3B" w14:textId="7CA95C63" w:rsidR="00E309E8" w:rsidRPr="00CA590F" w:rsidRDefault="00E309E8"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Recuérdese que la demanda viene edificada sobre dos causales de indignidad: </w:t>
      </w:r>
      <w:r w:rsidR="002E02F3" w:rsidRPr="00CA590F">
        <w:rPr>
          <w:rFonts w:ascii="Gadugi" w:eastAsia="Calibri" w:hAnsi="Gadugi" w:cs="Times New Roman"/>
          <w:sz w:val="24"/>
          <w:szCs w:val="24"/>
        </w:rPr>
        <w:t xml:space="preserve">(i) </w:t>
      </w:r>
      <w:r w:rsidRPr="00CA590F">
        <w:rPr>
          <w:rFonts w:ascii="Gadugi" w:eastAsia="Calibri" w:hAnsi="Gadugi" w:cs="Times New Roman"/>
          <w:sz w:val="24"/>
          <w:szCs w:val="24"/>
        </w:rPr>
        <w:t xml:space="preserve">el abandono injustificado de la persona de cuya sucesión se trata, </w:t>
      </w:r>
      <w:r w:rsidRPr="00CA590F">
        <w:rPr>
          <w:rFonts w:ascii="Gadugi" w:eastAsia="Calibri" w:hAnsi="Gadugi" w:cs="Times New Roman"/>
          <w:sz w:val="24"/>
          <w:szCs w:val="24"/>
        </w:rPr>
        <w:lastRenderedPageBreak/>
        <w:t>estando obligado por ley a suministrarle ali</w:t>
      </w:r>
      <w:r w:rsidR="004E333B" w:rsidRPr="00CA590F">
        <w:rPr>
          <w:rFonts w:ascii="Gadugi" w:eastAsia="Calibri" w:hAnsi="Gadugi" w:cs="Times New Roman"/>
          <w:sz w:val="24"/>
          <w:szCs w:val="24"/>
        </w:rPr>
        <w:t>m</w:t>
      </w:r>
      <w:r w:rsidRPr="00CA590F">
        <w:rPr>
          <w:rFonts w:ascii="Gadugi" w:eastAsia="Calibri" w:hAnsi="Gadugi" w:cs="Times New Roman"/>
          <w:sz w:val="24"/>
          <w:szCs w:val="24"/>
        </w:rPr>
        <w:t xml:space="preserve">entos, </w:t>
      </w:r>
      <w:r w:rsidR="002E02F3" w:rsidRPr="00CA590F">
        <w:rPr>
          <w:rFonts w:ascii="Gadugi" w:eastAsia="Calibri" w:hAnsi="Gadugi" w:cs="Times New Roman"/>
          <w:sz w:val="24"/>
          <w:szCs w:val="24"/>
        </w:rPr>
        <w:t xml:space="preserve">falta que puede ser absoluta o temporal frente a quienes requieran de cuidado personal en su crianza, o que, conforme a la ley, demanden la obligación de proporcionarles habitación, sustento o asistencia médica. Y (ii) el abandono sin justa causa de quien debe prestar atenciones necesarias al causante, teniendo las condiciones para hacerlo, si este en vida se hubiese encontrado en situación de discapacidad. </w:t>
      </w:r>
    </w:p>
    <w:p w14:paraId="6FBE0E6D" w14:textId="693C528C" w:rsidR="002E02F3" w:rsidRPr="00CA590F" w:rsidRDefault="002E02F3" w:rsidP="00F35D5C">
      <w:pPr>
        <w:spacing w:after="0" w:line="276" w:lineRule="auto"/>
        <w:ind w:firstLine="1701"/>
        <w:jc w:val="both"/>
        <w:rPr>
          <w:rFonts w:ascii="Gadugi" w:eastAsia="Calibri" w:hAnsi="Gadugi" w:cs="Times New Roman"/>
          <w:sz w:val="24"/>
          <w:szCs w:val="24"/>
        </w:rPr>
      </w:pPr>
    </w:p>
    <w:p w14:paraId="7D9BB191" w14:textId="2880549F" w:rsidR="002E02F3" w:rsidRPr="00CA590F" w:rsidRDefault="001F4E2A"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El Juzgado dio por sentado que, dadas las condiciones de Magnolia Isaza y en atención a que solo percibía una pensión equivalente al mínimo legal, </w:t>
      </w:r>
      <w:r w:rsidR="00EB1F00" w:rsidRPr="00CA590F">
        <w:rPr>
          <w:rFonts w:ascii="Gadugi" w:eastAsia="Calibri" w:hAnsi="Gadugi" w:cs="Times New Roman"/>
          <w:sz w:val="24"/>
          <w:szCs w:val="24"/>
        </w:rPr>
        <w:t>requería del apoyo de sus hijos, lo que es consecuencia de la obligación que impone el artículo 411 del C. Civil.</w:t>
      </w:r>
    </w:p>
    <w:p w14:paraId="5E3B3233" w14:textId="2001B196" w:rsidR="00EB1F00" w:rsidRPr="00CA590F" w:rsidRDefault="00EB1F00" w:rsidP="00F35D5C">
      <w:pPr>
        <w:spacing w:after="0" w:line="276" w:lineRule="auto"/>
        <w:ind w:firstLine="1701"/>
        <w:jc w:val="both"/>
        <w:rPr>
          <w:rFonts w:ascii="Gadugi" w:eastAsia="Calibri" w:hAnsi="Gadugi" w:cs="Times New Roman"/>
          <w:sz w:val="24"/>
          <w:szCs w:val="24"/>
        </w:rPr>
      </w:pPr>
    </w:p>
    <w:p w14:paraId="7C067FE9" w14:textId="7356422A" w:rsidR="00EB1F00" w:rsidRPr="00CA590F" w:rsidRDefault="00EB1F00"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La cuestión es que, por su delicado estado de salud y la postración a la que quedó sometida en los últimos diez años, que nadie pone en entredicho, no se trataba solo de aportar dinero, sino de brindarle las atenciones que diariamente requería y para las cuales, además de las personas contratadas como cuidadora, se exigía el concurso de las personas más allegadas, labor que desplegaron Alberto Duque y sus hijas Natali y Daniela. </w:t>
      </w:r>
    </w:p>
    <w:p w14:paraId="4F3537D3" w14:textId="47AB6927" w:rsidR="00EB1F00" w:rsidRPr="00CA590F" w:rsidRDefault="00EB1F00" w:rsidP="00F35D5C">
      <w:pPr>
        <w:spacing w:after="0" w:line="276" w:lineRule="auto"/>
        <w:ind w:firstLine="1701"/>
        <w:jc w:val="both"/>
        <w:rPr>
          <w:rFonts w:ascii="Gadugi" w:eastAsia="Calibri" w:hAnsi="Gadugi" w:cs="Times New Roman"/>
          <w:sz w:val="24"/>
          <w:szCs w:val="24"/>
        </w:rPr>
      </w:pPr>
    </w:p>
    <w:p w14:paraId="15EDCC4C" w14:textId="2332EA5D" w:rsidR="00EB1F00" w:rsidRPr="00CA590F" w:rsidRDefault="00EB1F00"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Era de esperarse, entonces, que por tratarse de la madre, mujer en condiciones de discapacidad, sus hijos, a</w:t>
      </w:r>
      <w:r w:rsidR="002E4404" w:rsidRPr="00CA590F">
        <w:rPr>
          <w:rFonts w:ascii="Gadugi" w:eastAsia="Calibri" w:hAnsi="Gadugi" w:cs="Times New Roman"/>
          <w:sz w:val="24"/>
          <w:szCs w:val="24"/>
        </w:rPr>
        <w:t>u</w:t>
      </w:r>
      <w:r w:rsidRPr="00CA590F">
        <w:rPr>
          <w:rFonts w:ascii="Gadugi" w:eastAsia="Calibri" w:hAnsi="Gadugi" w:cs="Times New Roman"/>
          <w:sz w:val="24"/>
          <w:szCs w:val="24"/>
        </w:rPr>
        <w:t>n siendo varones, colaboraran en su cuidado</w:t>
      </w:r>
      <w:r w:rsidR="00D848A0" w:rsidRPr="00CA590F">
        <w:rPr>
          <w:rFonts w:ascii="Gadugi" w:eastAsia="Calibri" w:hAnsi="Gadugi" w:cs="Times New Roman"/>
          <w:sz w:val="24"/>
          <w:szCs w:val="24"/>
        </w:rPr>
        <w:t xml:space="preserve"> y sustento físico, así como en la asistencia económica. </w:t>
      </w:r>
    </w:p>
    <w:p w14:paraId="5A91CD56" w14:textId="77777777" w:rsidR="00D848A0" w:rsidRPr="00CA590F" w:rsidRDefault="00D848A0" w:rsidP="00F35D5C">
      <w:pPr>
        <w:spacing w:after="0" w:line="276" w:lineRule="auto"/>
        <w:ind w:firstLine="1701"/>
        <w:jc w:val="both"/>
        <w:rPr>
          <w:rFonts w:ascii="Gadugi" w:eastAsia="Calibri" w:hAnsi="Gadugi" w:cs="Times New Roman"/>
          <w:sz w:val="24"/>
          <w:szCs w:val="24"/>
        </w:rPr>
      </w:pPr>
    </w:p>
    <w:p w14:paraId="3C422C48" w14:textId="3256EE18" w:rsidR="002E02F3" w:rsidRPr="00CA590F" w:rsidRDefault="00D848A0"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Dice el fallo que, respecto de Hernán, no se pudo establecer con los testimonios recibidos que él faltara a ese débito después de la vigencia de la Ley, es decir, desde mayo de 2018 hasta el 2019 cuando falleció, y que para entonces suministraba una cuota alimentaria. </w:t>
      </w:r>
    </w:p>
    <w:p w14:paraId="4F285C5A" w14:textId="5A6BC4B5" w:rsidR="00D848A0" w:rsidRPr="00CA590F" w:rsidRDefault="00D848A0" w:rsidP="00F35D5C">
      <w:pPr>
        <w:spacing w:after="0" w:line="276" w:lineRule="auto"/>
        <w:ind w:firstLine="1701"/>
        <w:jc w:val="both"/>
        <w:rPr>
          <w:rFonts w:ascii="Gadugi" w:eastAsia="Calibri" w:hAnsi="Gadugi" w:cs="Times New Roman"/>
          <w:sz w:val="24"/>
          <w:szCs w:val="24"/>
        </w:rPr>
      </w:pPr>
    </w:p>
    <w:p w14:paraId="73662FB0" w14:textId="14576A42" w:rsidR="00D848A0" w:rsidRPr="00CA590F" w:rsidRDefault="00D848A0"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Pero, por un lado, esta contribución económica nunca fue voluntaria a pesar de que también devengaba una pensión equivalente al salario mínimo y, como quedó evidenciado con las consignaciones que realizaba, la podía hacer; de hecho, en su interrogatorio manifestó que cuando fue citado para conciliar, no tuvo reparo en la suma que se le propuso. </w:t>
      </w:r>
    </w:p>
    <w:p w14:paraId="730CEF93" w14:textId="020E6CDA" w:rsidR="002E02F3" w:rsidRPr="00CA590F" w:rsidRDefault="002E02F3" w:rsidP="00F35D5C">
      <w:pPr>
        <w:spacing w:after="0" w:line="276" w:lineRule="auto"/>
        <w:ind w:firstLine="1701"/>
        <w:jc w:val="both"/>
        <w:rPr>
          <w:rFonts w:ascii="Gadugi" w:eastAsia="Calibri" w:hAnsi="Gadugi" w:cs="Times New Roman"/>
          <w:sz w:val="24"/>
          <w:szCs w:val="24"/>
        </w:rPr>
      </w:pPr>
    </w:p>
    <w:p w14:paraId="7E72963F" w14:textId="1671F494" w:rsidR="00D848A0" w:rsidRPr="00CA590F" w:rsidRDefault="00D848A0"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Por el otro, afirma él que iba tres veces por semana, como mínimo, a visitar a su progenitora y que cuando iba dejaba dinero semanalmente, o a la persona que la atendía</w:t>
      </w:r>
      <w:r w:rsidR="00A6273A" w:rsidRPr="00CA590F">
        <w:rPr>
          <w:rFonts w:ascii="Gadugi" w:eastAsia="Calibri" w:hAnsi="Gadugi" w:cs="Times New Roman"/>
          <w:sz w:val="24"/>
          <w:szCs w:val="24"/>
        </w:rPr>
        <w:t xml:space="preserve"> como un obsequio</w:t>
      </w:r>
      <w:r w:rsidRPr="00CA590F">
        <w:rPr>
          <w:rFonts w:ascii="Gadugi" w:eastAsia="Calibri" w:hAnsi="Gadugi" w:cs="Times New Roman"/>
          <w:sz w:val="24"/>
          <w:szCs w:val="24"/>
        </w:rPr>
        <w:t xml:space="preserve">, o en la mesa de noche. Pero ni lo uno, ni lo otro se acreditó. </w:t>
      </w:r>
    </w:p>
    <w:p w14:paraId="121AA961" w14:textId="23E09D4C" w:rsidR="00D848A0" w:rsidRPr="00CA590F" w:rsidRDefault="00D848A0" w:rsidP="00F35D5C">
      <w:pPr>
        <w:spacing w:after="0" w:line="276" w:lineRule="auto"/>
        <w:ind w:firstLine="1701"/>
        <w:jc w:val="both"/>
        <w:rPr>
          <w:rFonts w:ascii="Gadugi" w:eastAsia="Calibri" w:hAnsi="Gadugi" w:cs="Times New Roman"/>
          <w:sz w:val="24"/>
          <w:szCs w:val="24"/>
        </w:rPr>
      </w:pPr>
    </w:p>
    <w:p w14:paraId="7AFF22C7" w14:textId="6EF5BB98" w:rsidR="00D848A0" w:rsidRPr="00CA590F" w:rsidRDefault="00D9191E"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Lo de l</w:t>
      </w:r>
      <w:r w:rsidR="00A6273A" w:rsidRPr="00CA590F">
        <w:rPr>
          <w:rFonts w:ascii="Gadugi" w:eastAsia="Calibri" w:hAnsi="Gadugi" w:cs="Times New Roman"/>
          <w:sz w:val="24"/>
          <w:szCs w:val="24"/>
        </w:rPr>
        <w:t xml:space="preserve">as cantidades que dejaba en la mesa </w:t>
      </w:r>
      <w:r w:rsidRPr="00CA590F">
        <w:rPr>
          <w:rFonts w:ascii="Gadugi" w:eastAsia="Calibri" w:hAnsi="Gadugi" w:cs="Times New Roman"/>
          <w:sz w:val="24"/>
          <w:szCs w:val="24"/>
        </w:rPr>
        <w:t>resulta inverosímil, dado que la situación por la que atravesaba Magnolia imponía la presencia permanente de alguien que la cuidara</w:t>
      </w:r>
      <w:r w:rsidR="00DB1243" w:rsidRPr="00CA590F">
        <w:rPr>
          <w:rFonts w:ascii="Gadugi" w:eastAsia="Calibri" w:hAnsi="Gadugi" w:cs="Times New Roman"/>
          <w:sz w:val="24"/>
          <w:szCs w:val="24"/>
        </w:rPr>
        <w:t xml:space="preserve">. Pretende, decir el codemandado que muchas veces fue y ella </w:t>
      </w:r>
      <w:r w:rsidR="00DB1243" w:rsidRPr="00CA590F">
        <w:rPr>
          <w:rFonts w:ascii="Gadugi" w:eastAsia="Calibri" w:hAnsi="Gadugi" w:cs="Times New Roman"/>
          <w:sz w:val="24"/>
          <w:szCs w:val="24"/>
        </w:rPr>
        <w:lastRenderedPageBreak/>
        <w:t>estaba sola, pero eso carece por completo de un soporte probatorio y, por el contrario, sí está demostrado, y admitido por él mismo, que Alberto y sus hijas tenían personas contratadas para que contribuyeran con esa labor en el día, y ellos lo hacían en las noches y los fines de semana</w:t>
      </w:r>
      <w:r w:rsidRPr="00CA590F">
        <w:rPr>
          <w:rFonts w:ascii="Gadugi" w:eastAsia="Calibri" w:hAnsi="Gadugi" w:cs="Times New Roman"/>
          <w:sz w:val="24"/>
          <w:szCs w:val="24"/>
        </w:rPr>
        <w:t xml:space="preserve"> </w:t>
      </w:r>
    </w:p>
    <w:p w14:paraId="16E3B0B0" w14:textId="37FE1206" w:rsidR="00D9191E" w:rsidRPr="00CA590F" w:rsidRDefault="00D9191E" w:rsidP="00F35D5C">
      <w:pPr>
        <w:spacing w:after="0" w:line="276" w:lineRule="auto"/>
        <w:ind w:firstLine="1701"/>
        <w:jc w:val="both"/>
        <w:rPr>
          <w:rFonts w:ascii="Gadugi" w:eastAsia="Calibri" w:hAnsi="Gadugi" w:cs="Times New Roman"/>
          <w:sz w:val="24"/>
          <w:szCs w:val="24"/>
        </w:rPr>
      </w:pPr>
    </w:p>
    <w:p w14:paraId="290651F6" w14:textId="6003303C" w:rsidR="00D9191E" w:rsidRPr="00CA590F" w:rsidRDefault="00DB1243"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Tampoco puede admitirse que él </w:t>
      </w:r>
      <w:proofErr w:type="gramStart"/>
      <w:r w:rsidRPr="00CA590F">
        <w:rPr>
          <w:rFonts w:ascii="Gadugi" w:eastAsia="Calibri" w:hAnsi="Gadugi" w:cs="Times New Roman"/>
          <w:sz w:val="24"/>
          <w:szCs w:val="24"/>
        </w:rPr>
        <w:t>le</w:t>
      </w:r>
      <w:proofErr w:type="gramEnd"/>
      <w:r w:rsidRPr="00CA590F">
        <w:rPr>
          <w:rFonts w:ascii="Gadugi" w:eastAsia="Calibri" w:hAnsi="Gadugi" w:cs="Times New Roman"/>
          <w:sz w:val="24"/>
          <w:szCs w:val="24"/>
        </w:rPr>
        <w:t xml:space="preserve"> entregara dineros adicionales a esos cuidadores, porque entre ellos estaba Luz Mery Meza, a quien se interrogó en audiencia</w:t>
      </w:r>
      <w:r w:rsidRPr="00CA590F">
        <w:rPr>
          <w:rStyle w:val="Refdenotaalpie"/>
          <w:rFonts w:ascii="Gadugi" w:eastAsia="Calibri" w:hAnsi="Gadugi" w:cs="Times New Roman"/>
          <w:sz w:val="24"/>
          <w:szCs w:val="24"/>
        </w:rPr>
        <w:footnoteReference w:id="38"/>
      </w:r>
      <w:r w:rsidR="00C4010E" w:rsidRPr="00CA590F">
        <w:rPr>
          <w:rFonts w:ascii="Gadugi" w:eastAsia="Calibri" w:hAnsi="Gadugi" w:cs="Times New Roman"/>
          <w:sz w:val="24"/>
          <w:szCs w:val="24"/>
        </w:rPr>
        <w:t xml:space="preserve"> y mencionó que trabajó con la familia desde el 2009 hasta el 2011 y luego retornó en el 2012</w:t>
      </w:r>
      <w:r w:rsidR="00D43E84" w:rsidRPr="00CA590F">
        <w:rPr>
          <w:rFonts w:ascii="Gadugi" w:eastAsia="Calibri" w:hAnsi="Gadugi" w:cs="Times New Roman"/>
          <w:sz w:val="24"/>
          <w:szCs w:val="24"/>
        </w:rPr>
        <w:t xml:space="preserve"> hasta el 2017. Afirmó que en ese tiempo Hernán no colaboró con nada y lo vio muy pocas veces, </w:t>
      </w:r>
      <w:r w:rsidR="00A6273A" w:rsidRPr="00CA590F">
        <w:rPr>
          <w:rFonts w:ascii="Gadugi" w:eastAsia="Calibri" w:hAnsi="Gadugi" w:cs="Times New Roman"/>
          <w:sz w:val="24"/>
          <w:szCs w:val="24"/>
        </w:rPr>
        <w:t xml:space="preserve">fuera de que, categóricamente </w:t>
      </w:r>
      <w:r w:rsidR="009F2375" w:rsidRPr="00CA590F">
        <w:rPr>
          <w:rFonts w:ascii="Gadugi" w:eastAsia="Calibri" w:hAnsi="Gadugi" w:cs="Times New Roman"/>
          <w:sz w:val="24"/>
          <w:szCs w:val="24"/>
        </w:rPr>
        <w:t xml:space="preserve">negó que </w:t>
      </w:r>
      <w:r w:rsidR="00A6273A" w:rsidRPr="00CA590F">
        <w:rPr>
          <w:rFonts w:ascii="Gadugi" w:eastAsia="Calibri" w:hAnsi="Gadugi" w:cs="Times New Roman"/>
          <w:sz w:val="24"/>
          <w:szCs w:val="24"/>
        </w:rPr>
        <w:t>él le di</w:t>
      </w:r>
      <w:r w:rsidR="009F2375" w:rsidRPr="00CA590F">
        <w:rPr>
          <w:rFonts w:ascii="Gadugi" w:eastAsia="Calibri" w:hAnsi="Gadugi" w:cs="Times New Roman"/>
          <w:sz w:val="24"/>
          <w:szCs w:val="24"/>
        </w:rPr>
        <w:t>era</w:t>
      </w:r>
      <w:r w:rsidR="00A6273A" w:rsidRPr="00CA590F">
        <w:rPr>
          <w:rFonts w:ascii="Gadugi" w:eastAsia="Calibri" w:hAnsi="Gadugi" w:cs="Times New Roman"/>
          <w:sz w:val="24"/>
          <w:szCs w:val="24"/>
        </w:rPr>
        <w:t xml:space="preserve"> dineros adicionales por su labor, pues quien le pagaba era Alberto. </w:t>
      </w:r>
    </w:p>
    <w:p w14:paraId="2C4D3436" w14:textId="57393228" w:rsidR="00D9191E" w:rsidRPr="00CA590F" w:rsidRDefault="00D9191E" w:rsidP="00F35D5C">
      <w:pPr>
        <w:spacing w:after="0" w:line="276" w:lineRule="auto"/>
        <w:ind w:firstLine="1701"/>
        <w:jc w:val="both"/>
        <w:rPr>
          <w:rFonts w:ascii="Gadugi" w:eastAsia="Calibri" w:hAnsi="Gadugi" w:cs="Times New Roman"/>
          <w:sz w:val="24"/>
          <w:szCs w:val="24"/>
        </w:rPr>
      </w:pPr>
    </w:p>
    <w:p w14:paraId="484610C2" w14:textId="3BC4C8BD" w:rsidR="00C4010E" w:rsidRPr="00CA590F" w:rsidRDefault="00853CE0"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Daniela y Natali, sus sobrinas, fueron enfáticas en señalar que él nunca suministró nada distinto a lo que fue objeto de la conciliación; aunque la primera de ellas refiere que de pronto llevaba, cuando iba, unas manzanas o una pitahaya, por supuesto, insuficientes para señalarlo como el hijo desprendido materialmente con la madre que lo necesitaba en ese largo periodo de diez años. </w:t>
      </w:r>
    </w:p>
    <w:p w14:paraId="0755C2D2" w14:textId="001FA2B2" w:rsidR="00853CE0" w:rsidRPr="00CA590F" w:rsidRDefault="00853CE0" w:rsidP="00F35D5C">
      <w:pPr>
        <w:spacing w:after="0" w:line="276" w:lineRule="auto"/>
        <w:ind w:firstLine="1701"/>
        <w:jc w:val="both"/>
        <w:rPr>
          <w:rFonts w:ascii="Gadugi" w:eastAsia="Calibri" w:hAnsi="Gadugi" w:cs="Times New Roman"/>
          <w:sz w:val="24"/>
          <w:szCs w:val="24"/>
        </w:rPr>
      </w:pPr>
    </w:p>
    <w:p w14:paraId="58B1472D" w14:textId="74477765" w:rsidR="00853CE0" w:rsidRPr="00CA590F" w:rsidRDefault="00853CE0"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Esto, para señalar que, en lo atinente a los alimentos, fue siempre descuidado e irresponsable su comportamiento, prueba de ello es que tuvo que ser compelido por una autoridad de familia a que colaborara con una cantidad para el sostenimiento de la progenitora; solo así, vino a participar desde el año 2017, nunca antes. </w:t>
      </w:r>
    </w:p>
    <w:p w14:paraId="74BC52E0" w14:textId="77C45EDF" w:rsidR="00853CE0" w:rsidRPr="00CA590F" w:rsidRDefault="00853CE0" w:rsidP="00F35D5C">
      <w:pPr>
        <w:spacing w:after="0" w:line="276" w:lineRule="auto"/>
        <w:ind w:firstLine="1701"/>
        <w:jc w:val="both"/>
        <w:rPr>
          <w:rFonts w:ascii="Gadugi" w:eastAsia="Calibri" w:hAnsi="Gadugi" w:cs="Times New Roman"/>
          <w:sz w:val="24"/>
          <w:szCs w:val="24"/>
        </w:rPr>
      </w:pPr>
    </w:p>
    <w:p w14:paraId="437888D2" w14:textId="748B287F" w:rsidR="00853CE0" w:rsidRPr="00CA590F" w:rsidRDefault="00853CE0"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Pero, como está visto, el abandono no es solo por la parte económica, sino que se fustiga también por la falta de </w:t>
      </w:r>
      <w:r w:rsidR="00DD29FB" w:rsidRPr="00CA590F">
        <w:rPr>
          <w:rFonts w:ascii="Gadugi" w:eastAsia="Calibri" w:hAnsi="Gadugi" w:cs="Times New Roman"/>
          <w:sz w:val="24"/>
          <w:szCs w:val="24"/>
        </w:rPr>
        <w:t xml:space="preserve">sustento, así como por la falta de atención necesaria, derivada de su evidente estado de </w:t>
      </w:r>
      <w:r w:rsidR="00A84686" w:rsidRPr="00CA590F">
        <w:rPr>
          <w:rFonts w:ascii="Gadugi" w:eastAsia="Calibri" w:hAnsi="Gadugi" w:cs="Times New Roman"/>
          <w:sz w:val="24"/>
          <w:szCs w:val="24"/>
        </w:rPr>
        <w:t>discapacidad, y</w:t>
      </w:r>
      <w:r w:rsidR="002E4404" w:rsidRPr="00CA590F">
        <w:rPr>
          <w:rFonts w:ascii="Gadugi" w:eastAsia="Calibri" w:hAnsi="Gadugi" w:cs="Times New Roman"/>
          <w:sz w:val="24"/>
          <w:szCs w:val="24"/>
        </w:rPr>
        <w:t xml:space="preserve"> </w:t>
      </w:r>
      <w:r w:rsidR="001F67BD" w:rsidRPr="00CA590F">
        <w:rPr>
          <w:rFonts w:ascii="Gadugi" w:eastAsia="Calibri" w:hAnsi="Gadugi" w:cs="Times New Roman"/>
          <w:sz w:val="24"/>
          <w:szCs w:val="24"/>
        </w:rPr>
        <w:t>a</w:t>
      </w:r>
      <w:r w:rsidR="00DD29FB" w:rsidRPr="00CA590F">
        <w:rPr>
          <w:rFonts w:ascii="Gadugi" w:eastAsia="Calibri" w:hAnsi="Gadugi" w:cs="Times New Roman"/>
          <w:sz w:val="24"/>
          <w:szCs w:val="24"/>
        </w:rPr>
        <w:t xml:space="preserve">hí sí que aflora su omisión. </w:t>
      </w:r>
    </w:p>
    <w:p w14:paraId="3A412F87" w14:textId="77777777" w:rsidR="002E4404" w:rsidRPr="00CA590F" w:rsidRDefault="002E4404" w:rsidP="00F35D5C">
      <w:pPr>
        <w:spacing w:after="0" w:line="276" w:lineRule="auto"/>
        <w:ind w:firstLine="1701"/>
        <w:jc w:val="both"/>
        <w:rPr>
          <w:rFonts w:ascii="Gadugi" w:eastAsia="Calibri" w:hAnsi="Gadugi" w:cs="Times New Roman"/>
          <w:sz w:val="24"/>
          <w:szCs w:val="24"/>
        </w:rPr>
      </w:pPr>
    </w:p>
    <w:p w14:paraId="0011C7F1" w14:textId="7355B657" w:rsidR="00DD29FB" w:rsidRPr="00CA590F" w:rsidRDefault="00DD29FB"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Aunque Daniela afirmara que él estuvo acudiendo a visitar a la mamá hasta el año 2017, según pudo percibir ella, es lo cierto que dijo que lo hacía de manera muy eventual, solo estaba un momento y no aportaba ningún tipo de colaboración en los cuidados que requería doña Magnolia. Y en eso coincidieron Natali, el mismo demandante Alberto, Luz Mery, que lo vio muy pocas veces, en lo cual fue concordante con Natali y </w:t>
      </w:r>
      <w:r w:rsidR="001F67BD" w:rsidRPr="00CA590F">
        <w:rPr>
          <w:rFonts w:ascii="Gadugi" w:eastAsia="Calibri" w:hAnsi="Gadugi" w:cs="Times New Roman"/>
          <w:sz w:val="24"/>
          <w:szCs w:val="24"/>
        </w:rPr>
        <w:t>Gilberto Campo Jaramillo</w:t>
      </w:r>
      <w:r w:rsidRPr="00CA590F">
        <w:rPr>
          <w:rStyle w:val="Refdenotaalpie"/>
          <w:rFonts w:ascii="Gadugi" w:eastAsia="Calibri" w:hAnsi="Gadugi" w:cs="Times New Roman"/>
          <w:sz w:val="24"/>
          <w:szCs w:val="24"/>
        </w:rPr>
        <w:footnoteReference w:id="39"/>
      </w:r>
      <w:r w:rsidR="001F67BD" w:rsidRPr="00CA590F">
        <w:rPr>
          <w:rFonts w:ascii="Gadugi" w:eastAsia="Calibri" w:hAnsi="Gadugi" w:cs="Times New Roman"/>
          <w:sz w:val="24"/>
          <w:szCs w:val="24"/>
        </w:rPr>
        <w:t xml:space="preserve">, celador del </w:t>
      </w:r>
      <w:r w:rsidR="009C51A7" w:rsidRPr="00CA590F">
        <w:rPr>
          <w:rFonts w:ascii="Gadugi" w:eastAsia="Calibri" w:hAnsi="Gadugi" w:cs="Times New Roman"/>
          <w:sz w:val="24"/>
          <w:szCs w:val="24"/>
        </w:rPr>
        <w:t xml:space="preserve">conjunto Multifamiliares Lorena 4, donde reside Alberto y lo hacía Magnolia. Este último, que dijo trabajar por </w:t>
      </w:r>
      <w:r w:rsidR="00F97380" w:rsidRPr="00CA590F">
        <w:rPr>
          <w:rFonts w:ascii="Gadugi" w:eastAsia="Calibri" w:hAnsi="Gadugi" w:cs="Times New Roman"/>
          <w:sz w:val="24"/>
          <w:szCs w:val="24"/>
        </w:rPr>
        <w:t xml:space="preserve">allí por </w:t>
      </w:r>
      <w:r w:rsidR="009C51A7" w:rsidRPr="00CA590F">
        <w:rPr>
          <w:rFonts w:ascii="Gadugi" w:eastAsia="Calibri" w:hAnsi="Gadugi" w:cs="Times New Roman"/>
          <w:sz w:val="24"/>
          <w:szCs w:val="24"/>
        </w:rPr>
        <w:t xml:space="preserve">espacio de veinte años, afirmó que vio a Hernán en sus </w:t>
      </w:r>
      <w:r w:rsidR="009F2375" w:rsidRPr="00CA590F">
        <w:rPr>
          <w:rFonts w:ascii="Gadugi" w:eastAsia="Calibri" w:hAnsi="Gadugi" w:cs="Times New Roman"/>
          <w:sz w:val="24"/>
          <w:szCs w:val="24"/>
        </w:rPr>
        <w:t>jornadas</w:t>
      </w:r>
      <w:r w:rsidR="009C51A7" w:rsidRPr="00CA590F">
        <w:rPr>
          <w:rFonts w:ascii="Gadugi" w:eastAsia="Calibri" w:hAnsi="Gadugi" w:cs="Times New Roman"/>
          <w:sz w:val="24"/>
          <w:szCs w:val="24"/>
        </w:rPr>
        <w:t xml:space="preserve"> unas tres veces, a pesar de que él hace turnos de día y los rota con otros en la noche. </w:t>
      </w:r>
    </w:p>
    <w:p w14:paraId="62FED205" w14:textId="64CBED65" w:rsidR="009C51A7" w:rsidRPr="00CA590F" w:rsidRDefault="009C51A7" w:rsidP="00F35D5C">
      <w:pPr>
        <w:spacing w:after="0" w:line="276" w:lineRule="auto"/>
        <w:ind w:firstLine="1701"/>
        <w:jc w:val="both"/>
        <w:rPr>
          <w:rFonts w:ascii="Gadugi" w:eastAsia="Calibri" w:hAnsi="Gadugi" w:cs="Times New Roman"/>
          <w:sz w:val="24"/>
          <w:szCs w:val="24"/>
        </w:rPr>
      </w:pPr>
    </w:p>
    <w:p w14:paraId="0EF5852E" w14:textId="77777777" w:rsidR="00F97380" w:rsidRPr="00CA590F" w:rsidRDefault="009C51A7"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lastRenderedPageBreak/>
        <w:t xml:space="preserve">Explicó que esporádicamente le correspondían turnos los sábados y durante ellos nunca vio que Hernán se quedara con su madre, cuando lo vio fue en el día, un rato y salía. </w:t>
      </w:r>
      <w:r w:rsidR="00F97380" w:rsidRPr="00CA590F">
        <w:rPr>
          <w:rFonts w:ascii="Gadugi" w:eastAsia="Calibri" w:hAnsi="Gadugi" w:cs="Times New Roman"/>
          <w:sz w:val="24"/>
          <w:szCs w:val="24"/>
        </w:rPr>
        <w:t xml:space="preserve">Y ante las incisivas, y por momentos irrelevantes preguntas de la apoderada de los demandados que parecía concentrarse más en los cuidados que le dispensaban Alberto y sus hijas a Magnolia, que en los que le brindaban sus mandantes, ratificó que la última vez que vio a Hernán fue hace más de siete años. </w:t>
      </w:r>
    </w:p>
    <w:p w14:paraId="19C684EF" w14:textId="77777777" w:rsidR="00F97380" w:rsidRPr="00CA590F" w:rsidRDefault="00F97380" w:rsidP="00F35D5C">
      <w:pPr>
        <w:spacing w:after="0" w:line="276" w:lineRule="auto"/>
        <w:ind w:firstLine="1701"/>
        <w:jc w:val="both"/>
        <w:rPr>
          <w:rFonts w:ascii="Gadugi" w:eastAsia="Calibri" w:hAnsi="Gadugi" w:cs="Times New Roman"/>
          <w:sz w:val="24"/>
          <w:szCs w:val="24"/>
        </w:rPr>
      </w:pPr>
    </w:p>
    <w:p w14:paraId="049A85B2" w14:textId="4D8F4186" w:rsidR="00DD29FB" w:rsidRPr="00CA590F" w:rsidRDefault="00C21E72"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No puede tampoco desconocerse el dicho de Mirian Salas Enrique</w:t>
      </w:r>
      <w:r w:rsidRPr="00CA590F">
        <w:rPr>
          <w:rStyle w:val="Refdenotaalpie"/>
          <w:rFonts w:ascii="Gadugi" w:eastAsia="Calibri" w:hAnsi="Gadugi" w:cs="Times New Roman"/>
          <w:sz w:val="24"/>
          <w:szCs w:val="24"/>
        </w:rPr>
        <w:footnoteReference w:id="40"/>
      </w:r>
      <w:r w:rsidRPr="00CA590F">
        <w:rPr>
          <w:rFonts w:ascii="Gadugi" w:eastAsia="Calibri" w:hAnsi="Gadugi" w:cs="Times New Roman"/>
          <w:sz w:val="24"/>
          <w:szCs w:val="24"/>
        </w:rPr>
        <w:t xml:space="preserve">, </w:t>
      </w:r>
      <w:r w:rsidR="00962EDD" w:rsidRPr="00CA590F">
        <w:rPr>
          <w:rFonts w:ascii="Gadugi" w:eastAsia="Calibri" w:hAnsi="Gadugi" w:cs="Times New Roman"/>
          <w:sz w:val="24"/>
          <w:szCs w:val="24"/>
        </w:rPr>
        <w:t>psicóloga, quien atendió a Magnolia y a Alberto en asistencia psicoterapéutica; afirmó ella que Magnolia, a pesar de su estado de postración, y producto de él, encontraba una manera de comunicarse que era por medio de gritos o llanto, y pudo descubrir, en su experiencia profesional, que buena parte de su aflicción derivaba del abandono en que la tenían sus hijos. Agregó que en sus visitas a la familia nunca advirtió la presencia de los demandados.</w:t>
      </w:r>
    </w:p>
    <w:p w14:paraId="6B61DC45" w14:textId="244C36D5" w:rsidR="00962EDD" w:rsidRPr="00CA590F" w:rsidRDefault="00962EDD" w:rsidP="00F35D5C">
      <w:pPr>
        <w:spacing w:after="0" w:line="276" w:lineRule="auto"/>
        <w:ind w:firstLine="1701"/>
        <w:jc w:val="both"/>
        <w:rPr>
          <w:rFonts w:ascii="Gadugi" w:eastAsia="Calibri" w:hAnsi="Gadugi" w:cs="Times New Roman"/>
          <w:sz w:val="24"/>
          <w:szCs w:val="24"/>
        </w:rPr>
      </w:pPr>
    </w:p>
    <w:p w14:paraId="2B348512" w14:textId="0C2519DF" w:rsidR="00962EDD" w:rsidRPr="00CA590F" w:rsidRDefault="00962EDD"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Es decir, que sí cabalgan en el plenario elementos probatorios para concluir que el trato que Hernán le dio a su progenitora durante los diez años que estuvo reducida a la cama fue descuidado; su abandono estuvo rayando con lo total pues, se reitera, de no haber sido por la mediación de un funcionario público, habría seguido sin contribuir en lo económico; y sobre las atenciones y cuidados que ella requería es claro que nunca los brindó, se contentó con ir algunas pocas veces, </w:t>
      </w:r>
      <w:r w:rsidR="009F2375" w:rsidRPr="00CA590F">
        <w:rPr>
          <w:rFonts w:ascii="Gadugi" w:eastAsia="Calibri" w:hAnsi="Gadugi" w:cs="Times New Roman"/>
          <w:sz w:val="24"/>
          <w:szCs w:val="24"/>
        </w:rPr>
        <w:t xml:space="preserve">no obstante </w:t>
      </w:r>
      <w:r w:rsidRPr="00CA590F">
        <w:rPr>
          <w:rFonts w:ascii="Gadugi" w:eastAsia="Calibri" w:hAnsi="Gadugi" w:cs="Times New Roman"/>
          <w:sz w:val="24"/>
          <w:szCs w:val="24"/>
        </w:rPr>
        <w:t xml:space="preserve">que lo podía hacer, porque vivía en esta misma ciudad, y cuando lo hacía no pasaba de visitarla, pero nunca con la intención de brindarle el socorro que ella en realidad requería. </w:t>
      </w:r>
      <w:r w:rsidR="004F3B79" w:rsidRPr="00CA590F">
        <w:rPr>
          <w:rFonts w:ascii="Gadugi" w:eastAsia="Calibri" w:hAnsi="Gadugi" w:cs="Times New Roman"/>
          <w:sz w:val="24"/>
          <w:szCs w:val="24"/>
        </w:rPr>
        <w:t>Nunca fue un soporte para su hermano y sobrinas en el doloroso trajinar de esos últimos años de vida de Magnolia,</w:t>
      </w:r>
      <w:r w:rsidR="00CF7A4A" w:rsidRPr="00CA590F">
        <w:rPr>
          <w:rFonts w:ascii="Gadugi" w:eastAsia="Calibri" w:hAnsi="Gadugi" w:cs="Times New Roman"/>
          <w:sz w:val="24"/>
          <w:szCs w:val="24"/>
        </w:rPr>
        <w:t xml:space="preserve"> quien requería de todo el apoyo que pudieran brindarle sus hijos especialmente. </w:t>
      </w:r>
    </w:p>
    <w:p w14:paraId="4B945CC8" w14:textId="15B85341" w:rsidR="00962EDD" w:rsidRPr="00CA590F" w:rsidRDefault="00962EDD" w:rsidP="00F35D5C">
      <w:pPr>
        <w:spacing w:after="0" w:line="276" w:lineRule="auto"/>
        <w:ind w:firstLine="1701"/>
        <w:jc w:val="both"/>
        <w:rPr>
          <w:rFonts w:ascii="Gadugi" w:eastAsia="Calibri" w:hAnsi="Gadugi" w:cs="Times New Roman"/>
          <w:sz w:val="24"/>
          <w:szCs w:val="24"/>
        </w:rPr>
      </w:pPr>
    </w:p>
    <w:p w14:paraId="6DC27D45" w14:textId="47946811" w:rsidR="00CF7A4A" w:rsidRPr="00CA590F" w:rsidRDefault="00CF7A4A"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N</w:t>
      </w:r>
      <w:r w:rsidR="00962EDD" w:rsidRPr="00CA590F">
        <w:rPr>
          <w:rFonts w:ascii="Gadugi" w:eastAsia="Calibri" w:hAnsi="Gadugi" w:cs="Times New Roman"/>
          <w:sz w:val="24"/>
          <w:szCs w:val="24"/>
        </w:rPr>
        <w:t xml:space="preserve">o se </w:t>
      </w:r>
      <w:r w:rsidR="004F3B79" w:rsidRPr="00CA590F">
        <w:rPr>
          <w:rFonts w:ascii="Gadugi" w:eastAsia="Calibri" w:hAnsi="Gadugi" w:cs="Times New Roman"/>
          <w:sz w:val="24"/>
          <w:szCs w:val="24"/>
        </w:rPr>
        <w:t>olvide que la falta endilgada puede ser absoluta o temporal</w:t>
      </w:r>
      <w:r w:rsidRPr="00CA590F">
        <w:rPr>
          <w:rFonts w:ascii="Gadugi" w:eastAsia="Calibri" w:hAnsi="Gadugi" w:cs="Times New Roman"/>
          <w:sz w:val="24"/>
          <w:szCs w:val="24"/>
        </w:rPr>
        <w:t>; y</w:t>
      </w:r>
      <w:r w:rsidR="004F3B79" w:rsidRPr="00CA590F">
        <w:rPr>
          <w:rFonts w:ascii="Gadugi" w:eastAsia="Calibri" w:hAnsi="Gadugi" w:cs="Times New Roman"/>
          <w:sz w:val="24"/>
          <w:szCs w:val="24"/>
        </w:rPr>
        <w:t xml:space="preserve"> que, de acuerdo con lo expuesto sobre la retrospectividad, </w:t>
      </w:r>
      <w:r w:rsidRPr="00CA590F">
        <w:rPr>
          <w:rFonts w:ascii="Gadugi" w:eastAsia="Calibri" w:hAnsi="Gadugi" w:cs="Times New Roman"/>
          <w:sz w:val="24"/>
          <w:szCs w:val="24"/>
        </w:rPr>
        <w:t xml:space="preserve">la omisión de Hernán venía dándose desde mucho antes de la vigencia de la ley, y se mantuvo en el tiempo hasta la fecha del deceso de Magnolia, pues visto está que sus visitas, si es que en realidad las hubo en el último año, porque Daniela no pudo dar cuenta de ello para el tiempo posterior a 2017, en cambio sí </w:t>
      </w:r>
      <w:r w:rsidR="001724DB" w:rsidRPr="00CA590F">
        <w:rPr>
          <w:rFonts w:ascii="Gadugi" w:eastAsia="Calibri" w:hAnsi="Gadugi" w:cs="Times New Roman"/>
          <w:sz w:val="24"/>
          <w:szCs w:val="24"/>
        </w:rPr>
        <w:t>los</w:t>
      </w:r>
      <w:r w:rsidRPr="00CA590F">
        <w:rPr>
          <w:rFonts w:ascii="Gadugi" w:eastAsia="Calibri" w:hAnsi="Gadugi" w:cs="Times New Roman"/>
          <w:sz w:val="24"/>
          <w:szCs w:val="24"/>
        </w:rPr>
        <w:t xml:space="preserve"> otros deponentes fueron concordantes en que no acudió a cumplir sus obligaciones; pero, si acaso lo hubiera hecho, no colmaban el propósito de la ley de otorgar apoyo, cuidado y atenciones a quien le dio la vida y esperaba de él una contribución diferente. </w:t>
      </w:r>
    </w:p>
    <w:p w14:paraId="6E3442EF" w14:textId="77777777" w:rsidR="00CF7A4A" w:rsidRPr="00CA590F" w:rsidRDefault="00CF7A4A" w:rsidP="00F35D5C">
      <w:pPr>
        <w:spacing w:after="0" w:line="276" w:lineRule="auto"/>
        <w:ind w:firstLine="1701"/>
        <w:jc w:val="both"/>
        <w:rPr>
          <w:rFonts w:ascii="Gadugi" w:eastAsia="Calibri" w:hAnsi="Gadugi" w:cs="Times New Roman"/>
          <w:sz w:val="24"/>
          <w:szCs w:val="24"/>
        </w:rPr>
      </w:pPr>
    </w:p>
    <w:p w14:paraId="1AE05549" w14:textId="1A385B94" w:rsidR="00962EDD" w:rsidRPr="00CA590F" w:rsidRDefault="00CF7A4A"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De manera que en el caso de Hernán Duque Isaza, a diferencia de lo que concluyó el Juzgado, para la Sala, están demostradas las causales de indignidad que se le achacan y, por tanto, en su contra han debido prosperar las pretensiones</w:t>
      </w:r>
      <w:r w:rsidR="00126A53" w:rsidRPr="00CA590F">
        <w:rPr>
          <w:rFonts w:ascii="Gadugi" w:eastAsia="Calibri" w:hAnsi="Gadugi" w:cs="Times New Roman"/>
          <w:sz w:val="24"/>
          <w:szCs w:val="24"/>
        </w:rPr>
        <w:t xml:space="preserve">, no </w:t>
      </w:r>
      <w:r w:rsidR="00126A53" w:rsidRPr="00CA590F">
        <w:rPr>
          <w:rFonts w:ascii="Gadugi" w:eastAsia="Calibri" w:hAnsi="Gadugi" w:cs="Times New Roman"/>
          <w:sz w:val="24"/>
          <w:szCs w:val="24"/>
        </w:rPr>
        <w:lastRenderedPageBreak/>
        <w:t xml:space="preserve">así las excepciones, que, en estricto sentido, no pasaron de ser una negativa de aquellas. </w:t>
      </w:r>
    </w:p>
    <w:p w14:paraId="6CBAB8E1" w14:textId="52538E71" w:rsidR="00CF7A4A" w:rsidRPr="00CA590F" w:rsidRDefault="00CF7A4A" w:rsidP="00F35D5C">
      <w:pPr>
        <w:spacing w:after="0" w:line="276" w:lineRule="auto"/>
        <w:ind w:firstLine="1701"/>
        <w:jc w:val="both"/>
        <w:rPr>
          <w:rFonts w:ascii="Gadugi" w:eastAsia="Calibri" w:hAnsi="Gadugi" w:cs="Times New Roman"/>
          <w:sz w:val="24"/>
          <w:szCs w:val="24"/>
        </w:rPr>
      </w:pPr>
    </w:p>
    <w:p w14:paraId="4155A340" w14:textId="77777777" w:rsidR="00C51AD3" w:rsidRPr="00CA590F" w:rsidRDefault="00A50E1C"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2.9.2.2. En criterio de esta Colegiatura, la situación frente a Álvaro es diferente. Allí sí le asistió razón al Juzgado, al menos en buena parte de lo dicho, cuando afirmó que con la contestación de la demanda se aportó prueba documental que refiere los giros que desde el año 2016 venía efectuando al demandante o a sus hijas. El mismo Alberto asintió en su interrogatorio que recibía esas sumas, solo que dijo que no alcanzaban para los gastos que demandaba su señora madre. Pero de esa sola circunstancia no se sigue que estuviera incumpliendo la obligación</w:t>
      </w:r>
      <w:r w:rsidR="00C51AD3" w:rsidRPr="00CA590F">
        <w:rPr>
          <w:rFonts w:ascii="Gadugi" w:eastAsia="Calibri" w:hAnsi="Gadugi" w:cs="Times New Roman"/>
          <w:sz w:val="24"/>
          <w:szCs w:val="24"/>
        </w:rPr>
        <w:t xml:space="preserve">, entre otras cosas, porque ninguna prueba se trajo de que pudiera tener una mayor capacidad económica. </w:t>
      </w:r>
    </w:p>
    <w:p w14:paraId="681B9CD6" w14:textId="77777777" w:rsidR="00C51AD3" w:rsidRPr="00CA590F" w:rsidRDefault="00C51AD3" w:rsidP="00F35D5C">
      <w:pPr>
        <w:spacing w:after="0" w:line="276" w:lineRule="auto"/>
        <w:ind w:firstLine="1701"/>
        <w:jc w:val="both"/>
        <w:rPr>
          <w:rFonts w:ascii="Gadugi" w:eastAsia="Calibri" w:hAnsi="Gadugi" w:cs="Times New Roman"/>
          <w:sz w:val="24"/>
          <w:szCs w:val="24"/>
        </w:rPr>
      </w:pPr>
    </w:p>
    <w:p w14:paraId="26F2E1EF" w14:textId="01DCA757" w:rsidR="00C51AD3" w:rsidRPr="00CA590F" w:rsidRDefault="00C51AD3"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Y como lo venía haciendo desde el año 2016, según se concluyó, es claro que, por este aspecto, para cuando entró a regir la Ley 1893, </w:t>
      </w:r>
      <w:r w:rsidR="3424E994" w:rsidRPr="00CA590F">
        <w:rPr>
          <w:rFonts w:ascii="Gadugi" w:eastAsia="Gadugi" w:hAnsi="Gadugi" w:cs="Gadugi"/>
          <w:sz w:val="24"/>
          <w:szCs w:val="24"/>
        </w:rPr>
        <w:t>no</w:t>
      </w:r>
      <w:r w:rsidR="3424E994" w:rsidRPr="00CA590F">
        <w:rPr>
          <w:rFonts w:ascii="Gadugi" w:eastAsia="Calibri" w:hAnsi="Gadugi" w:cs="Times New Roman"/>
          <w:sz w:val="24"/>
          <w:szCs w:val="24"/>
        </w:rPr>
        <w:t xml:space="preserve"> </w:t>
      </w:r>
      <w:r w:rsidRPr="00CA590F">
        <w:rPr>
          <w:rFonts w:ascii="Gadugi" w:eastAsia="Calibri" w:hAnsi="Gadugi" w:cs="Times New Roman"/>
          <w:sz w:val="24"/>
          <w:szCs w:val="24"/>
        </w:rPr>
        <w:t xml:space="preserve">estaba inmerso en la causal de indignidad, con lo que, para este explícito evento, </w:t>
      </w:r>
      <w:r w:rsidR="001724DB" w:rsidRPr="00CA590F">
        <w:rPr>
          <w:rFonts w:ascii="Gadugi" w:eastAsia="Calibri" w:hAnsi="Gadugi" w:cs="Times New Roman"/>
          <w:sz w:val="24"/>
          <w:szCs w:val="24"/>
        </w:rPr>
        <w:t xml:space="preserve">se vendría a menos la </w:t>
      </w:r>
      <w:r w:rsidRPr="00CA590F">
        <w:rPr>
          <w:rFonts w:ascii="Gadugi" w:eastAsia="Calibri" w:hAnsi="Gadugi" w:cs="Times New Roman"/>
          <w:sz w:val="24"/>
          <w:szCs w:val="24"/>
        </w:rPr>
        <w:t xml:space="preserve">retrospección. </w:t>
      </w:r>
    </w:p>
    <w:p w14:paraId="75422012" w14:textId="77777777" w:rsidR="00C51AD3" w:rsidRPr="00CA590F" w:rsidRDefault="00C51AD3" w:rsidP="00F35D5C">
      <w:pPr>
        <w:spacing w:after="0" w:line="276" w:lineRule="auto"/>
        <w:ind w:firstLine="1701"/>
        <w:jc w:val="both"/>
        <w:rPr>
          <w:rFonts w:ascii="Gadugi" w:eastAsia="Calibri" w:hAnsi="Gadugi" w:cs="Times New Roman"/>
          <w:sz w:val="24"/>
          <w:szCs w:val="24"/>
        </w:rPr>
      </w:pPr>
    </w:p>
    <w:p w14:paraId="6A8C64E2" w14:textId="39267A6D" w:rsidR="00CF7A4A" w:rsidRPr="00CA590F" w:rsidRDefault="00C51AD3"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Y en cuanto a los cuidados, bien señaló el funcionario que </w:t>
      </w:r>
      <w:r w:rsidR="00DD7A1D" w:rsidRPr="00CA590F">
        <w:rPr>
          <w:rFonts w:ascii="Gadugi" w:eastAsia="Calibri" w:hAnsi="Gadugi" w:cs="Times New Roman"/>
          <w:sz w:val="24"/>
          <w:szCs w:val="24"/>
        </w:rPr>
        <w:t xml:space="preserve">el contexto </w:t>
      </w:r>
      <w:r w:rsidRPr="00CA590F">
        <w:rPr>
          <w:rFonts w:ascii="Gadugi" w:eastAsia="Calibri" w:hAnsi="Gadugi" w:cs="Times New Roman"/>
          <w:sz w:val="24"/>
          <w:szCs w:val="24"/>
        </w:rPr>
        <w:t>es diametralmente distint</w:t>
      </w:r>
      <w:r w:rsidR="00DD7A1D" w:rsidRPr="00CA590F">
        <w:rPr>
          <w:rFonts w:ascii="Gadugi" w:eastAsia="Calibri" w:hAnsi="Gadugi" w:cs="Times New Roman"/>
          <w:sz w:val="24"/>
          <w:szCs w:val="24"/>
        </w:rPr>
        <w:t>o</w:t>
      </w:r>
      <w:r w:rsidRPr="00CA590F">
        <w:rPr>
          <w:rFonts w:ascii="Gadugi" w:eastAsia="Calibri" w:hAnsi="Gadugi" w:cs="Times New Roman"/>
          <w:sz w:val="24"/>
          <w:szCs w:val="24"/>
        </w:rPr>
        <w:t xml:space="preserve"> a</w:t>
      </w:r>
      <w:r w:rsidR="00DD7A1D" w:rsidRPr="00CA590F">
        <w:rPr>
          <w:rFonts w:ascii="Gadugi" w:eastAsia="Calibri" w:hAnsi="Gadugi" w:cs="Times New Roman"/>
          <w:sz w:val="24"/>
          <w:szCs w:val="24"/>
        </w:rPr>
        <w:t>l</w:t>
      </w:r>
      <w:r w:rsidRPr="00CA590F">
        <w:rPr>
          <w:rFonts w:ascii="Gadugi" w:eastAsia="Calibri" w:hAnsi="Gadugi" w:cs="Times New Roman"/>
          <w:sz w:val="24"/>
          <w:szCs w:val="24"/>
        </w:rPr>
        <w:t xml:space="preserve"> de Hernán, porque, </w:t>
      </w:r>
      <w:r w:rsidR="001724DB" w:rsidRPr="00CA590F">
        <w:rPr>
          <w:rFonts w:ascii="Gadugi" w:eastAsia="Gadugi" w:hAnsi="Gadugi" w:cs="Gadugi"/>
          <w:sz w:val="24"/>
          <w:szCs w:val="24"/>
        </w:rPr>
        <w:t xml:space="preserve">por un lado, </w:t>
      </w:r>
      <w:r w:rsidRPr="00CA590F">
        <w:rPr>
          <w:rFonts w:ascii="Gadugi" w:eastAsia="Calibri" w:hAnsi="Gadugi" w:cs="Times New Roman"/>
          <w:sz w:val="24"/>
          <w:szCs w:val="24"/>
        </w:rPr>
        <w:t xml:space="preserve"> es ciudadano americano, radicado en Estados Unidos desde hace más de cincuenta años, lo que indica que </w:t>
      </w:r>
      <w:r w:rsidR="761671B5" w:rsidRPr="00CA590F">
        <w:rPr>
          <w:rFonts w:ascii="Gadugi" w:eastAsia="Gadugi" w:hAnsi="Gadugi" w:cs="Gadugi"/>
          <w:sz w:val="24"/>
          <w:szCs w:val="24"/>
        </w:rPr>
        <w:t>no</w:t>
      </w:r>
      <w:r w:rsidR="761671B5" w:rsidRPr="00CA590F">
        <w:rPr>
          <w:rFonts w:ascii="Gadugi" w:eastAsia="Calibri" w:hAnsi="Gadugi" w:cs="Times New Roman"/>
          <w:sz w:val="24"/>
          <w:szCs w:val="24"/>
        </w:rPr>
        <w:t xml:space="preserve"> </w:t>
      </w:r>
      <w:r w:rsidRPr="00CA590F">
        <w:rPr>
          <w:rFonts w:ascii="Gadugi" w:eastAsia="Calibri" w:hAnsi="Gadugi" w:cs="Times New Roman"/>
          <w:sz w:val="24"/>
          <w:szCs w:val="24"/>
        </w:rPr>
        <w:t xml:space="preserve">fue por causa de la enfermedad de su progenitora que hubiera abandonado el país, </w:t>
      </w:r>
      <w:r w:rsidR="001724DB" w:rsidRPr="00CA590F">
        <w:rPr>
          <w:rFonts w:ascii="Gadugi" w:eastAsia="Calibri" w:hAnsi="Gadugi" w:cs="Times New Roman"/>
          <w:sz w:val="24"/>
          <w:szCs w:val="24"/>
        </w:rPr>
        <w:t>y por el otro, que</w:t>
      </w:r>
      <w:r w:rsidRPr="00CA590F">
        <w:rPr>
          <w:rFonts w:ascii="Gadugi" w:eastAsia="Calibri" w:hAnsi="Gadugi" w:cs="Times New Roman"/>
          <w:sz w:val="24"/>
          <w:szCs w:val="24"/>
        </w:rPr>
        <w:t>, al menos la última vez que vino, también antes de la vigencia de la Ley, se radic</w:t>
      </w:r>
      <w:r w:rsidR="001724DB" w:rsidRPr="00CA590F">
        <w:rPr>
          <w:rFonts w:ascii="Gadugi" w:eastAsia="Calibri" w:hAnsi="Gadugi" w:cs="Times New Roman"/>
          <w:sz w:val="24"/>
          <w:szCs w:val="24"/>
        </w:rPr>
        <w:t>ó</w:t>
      </w:r>
      <w:r w:rsidRPr="00CA590F">
        <w:rPr>
          <w:rFonts w:ascii="Gadugi" w:eastAsia="Calibri" w:hAnsi="Gadugi" w:cs="Times New Roman"/>
          <w:sz w:val="24"/>
          <w:szCs w:val="24"/>
        </w:rPr>
        <w:t xml:space="preserve"> por varios días en la casa de su familia. </w:t>
      </w:r>
    </w:p>
    <w:p w14:paraId="7D5B35E8" w14:textId="2F3006E9" w:rsidR="00C51AD3" w:rsidRPr="00CA590F" w:rsidRDefault="00C51AD3" w:rsidP="00F35D5C">
      <w:pPr>
        <w:spacing w:after="0" w:line="276" w:lineRule="auto"/>
        <w:ind w:firstLine="1701"/>
        <w:jc w:val="both"/>
        <w:rPr>
          <w:rFonts w:ascii="Gadugi" w:eastAsia="Calibri" w:hAnsi="Gadugi" w:cs="Times New Roman"/>
          <w:sz w:val="24"/>
          <w:szCs w:val="24"/>
        </w:rPr>
      </w:pPr>
    </w:p>
    <w:p w14:paraId="0792C6A9" w14:textId="57FF6F06" w:rsidR="000936DE" w:rsidRPr="00CA590F" w:rsidRDefault="00C51AD3"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 xml:space="preserve">Esa larga estadía en el estado del </w:t>
      </w:r>
      <w:r w:rsidR="00DD7A1D" w:rsidRPr="00CA590F">
        <w:rPr>
          <w:rFonts w:ascii="Gadugi" w:eastAsia="Calibri" w:hAnsi="Gadugi" w:cs="Times New Roman"/>
          <w:sz w:val="24"/>
          <w:szCs w:val="24"/>
        </w:rPr>
        <w:t>n</w:t>
      </w:r>
      <w:r w:rsidRPr="00CA590F">
        <w:rPr>
          <w:rFonts w:ascii="Gadugi" w:eastAsia="Calibri" w:hAnsi="Gadugi" w:cs="Times New Roman"/>
          <w:sz w:val="24"/>
          <w:szCs w:val="24"/>
        </w:rPr>
        <w:t xml:space="preserve">orte, </w:t>
      </w:r>
      <w:r w:rsidR="000936DE" w:rsidRPr="00CA590F">
        <w:rPr>
          <w:rFonts w:ascii="Gadugi" w:eastAsia="Calibri" w:hAnsi="Gadugi" w:cs="Times New Roman"/>
          <w:sz w:val="24"/>
          <w:szCs w:val="24"/>
        </w:rPr>
        <w:t>justificaba que no pudiera prestar una colaboración directa en los cuidados de doña Magnolia; pero, adicional a ello, y también fue dicho por el juzgado, sus familiares reconocieron sus difíciles condiciones de vida, precedidas de adicciones a las drogas y al alcohol, lo que, sin duda, lo convierte también en un sujeto de especial condición, de quien poco podría esperarse respecto del cumplimiento de tales tareas. Incluso, es diciente, en su favor, que con todo y sus antecedentes, se preocupara por enviar algunas cantidades de dinero y por llamar a enterarse de la salud de sus familiares. Claro está, era imposible que hablara con Magnolia, porque ella estaba impedida para contestarle.</w:t>
      </w:r>
    </w:p>
    <w:p w14:paraId="26C38FE0" w14:textId="77777777" w:rsidR="000936DE" w:rsidRPr="00CA590F" w:rsidRDefault="000936DE" w:rsidP="00F35D5C">
      <w:pPr>
        <w:spacing w:after="0" w:line="276" w:lineRule="auto"/>
        <w:ind w:firstLine="1701"/>
        <w:jc w:val="both"/>
        <w:rPr>
          <w:rFonts w:ascii="Gadugi" w:eastAsia="Calibri" w:hAnsi="Gadugi" w:cs="Times New Roman"/>
          <w:sz w:val="24"/>
          <w:szCs w:val="24"/>
        </w:rPr>
      </w:pPr>
    </w:p>
    <w:p w14:paraId="214715BE" w14:textId="37C9B99F" w:rsidR="000936DE" w:rsidRDefault="000936DE" w:rsidP="00F35D5C">
      <w:pPr>
        <w:spacing w:after="0" w:line="276" w:lineRule="auto"/>
        <w:ind w:firstLine="1701"/>
        <w:jc w:val="both"/>
        <w:rPr>
          <w:rFonts w:ascii="Gadugi" w:eastAsia="Calibri" w:hAnsi="Gadugi" w:cs="Times New Roman"/>
          <w:sz w:val="24"/>
          <w:szCs w:val="24"/>
        </w:rPr>
      </w:pPr>
      <w:r w:rsidRPr="00CA590F">
        <w:rPr>
          <w:rFonts w:ascii="Gadugi" w:eastAsia="Calibri" w:hAnsi="Gadugi" w:cs="Times New Roman"/>
          <w:sz w:val="24"/>
          <w:szCs w:val="24"/>
        </w:rPr>
        <w:t>Así que, de su lado, no se advierte el abandono total o parcial que se le endilga y, por tanto, la absolución que se impartió con respecto a él se convalidará.</w:t>
      </w:r>
    </w:p>
    <w:p w14:paraId="50E2EC91" w14:textId="77777777" w:rsidR="00A84686" w:rsidRPr="00CA590F" w:rsidRDefault="00A84686" w:rsidP="00F35D5C">
      <w:pPr>
        <w:spacing w:after="0" w:line="276" w:lineRule="auto"/>
        <w:ind w:firstLine="1701"/>
        <w:jc w:val="both"/>
        <w:rPr>
          <w:rFonts w:ascii="Gadugi" w:eastAsia="Calibri" w:hAnsi="Gadugi" w:cs="Times New Roman"/>
          <w:sz w:val="24"/>
          <w:szCs w:val="24"/>
        </w:rPr>
      </w:pPr>
    </w:p>
    <w:p w14:paraId="7D675E69" w14:textId="270CBE1B" w:rsidR="001C0054" w:rsidRPr="00CA590F" w:rsidRDefault="00323665" w:rsidP="00F35D5C">
      <w:pPr>
        <w:pStyle w:val="Prrafodelista"/>
        <w:numPr>
          <w:ilvl w:val="1"/>
          <w:numId w:val="1"/>
        </w:numPr>
        <w:tabs>
          <w:tab w:val="left" w:pos="2410"/>
        </w:tabs>
        <w:spacing w:after="0" w:line="276" w:lineRule="auto"/>
        <w:ind w:left="0" w:firstLine="1701"/>
        <w:jc w:val="both"/>
        <w:rPr>
          <w:rFonts w:ascii="Gadugi" w:eastAsia="Malgun Gothic" w:hAnsi="Gadugi" w:cs="Estrangelo Edessa"/>
          <w:i/>
          <w:iCs/>
          <w:sz w:val="24"/>
          <w:szCs w:val="24"/>
        </w:rPr>
      </w:pPr>
      <w:r w:rsidRPr="00CA590F">
        <w:rPr>
          <w:rFonts w:ascii="Gadugi" w:eastAsia="Malgun Gothic" w:hAnsi="Gadugi" w:cs="Estrangelo Edessa"/>
          <w:sz w:val="24"/>
          <w:szCs w:val="24"/>
        </w:rPr>
        <w:t xml:space="preserve">En vista de lo que se resolverá en relación con Álvaro, quedaría por </w:t>
      </w:r>
      <w:r w:rsidR="008161E7" w:rsidRPr="00CA590F">
        <w:rPr>
          <w:rFonts w:ascii="Gadugi" w:eastAsia="Malgun Gothic" w:hAnsi="Gadugi" w:cs="Estrangelo Edessa"/>
          <w:sz w:val="24"/>
          <w:szCs w:val="24"/>
        </w:rPr>
        <w:t>re</w:t>
      </w:r>
      <w:r w:rsidR="001724DB" w:rsidRPr="00CA590F">
        <w:rPr>
          <w:rFonts w:ascii="Gadugi" w:eastAsia="Malgun Gothic" w:hAnsi="Gadugi" w:cs="Estrangelo Edessa"/>
          <w:sz w:val="24"/>
          <w:szCs w:val="24"/>
        </w:rPr>
        <w:t>solver</w:t>
      </w:r>
      <w:r w:rsidRPr="00CA590F">
        <w:rPr>
          <w:rFonts w:ascii="Gadugi" w:eastAsia="Malgun Gothic" w:hAnsi="Gadugi" w:cs="Estrangelo Edessa"/>
          <w:sz w:val="24"/>
          <w:szCs w:val="24"/>
        </w:rPr>
        <w:t xml:space="preserve"> el último reparo de</w:t>
      </w:r>
      <w:r w:rsidR="001724DB" w:rsidRPr="00CA590F">
        <w:rPr>
          <w:rFonts w:ascii="Gadugi" w:eastAsia="Malgun Gothic" w:hAnsi="Gadugi" w:cs="Estrangelo Edessa"/>
          <w:sz w:val="24"/>
          <w:szCs w:val="24"/>
        </w:rPr>
        <w:t>l demandante, q</w:t>
      </w:r>
      <w:r w:rsidRPr="00CA590F">
        <w:rPr>
          <w:rFonts w:ascii="Gadugi" w:eastAsia="Malgun Gothic" w:hAnsi="Gadugi" w:cs="Estrangelo Edessa"/>
          <w:sz w:val="24"/>
          <w:szCs w:val="24"/>
        </w:rPr>
        <w:t xml:space="preserve">ue señala que, en todo caso, ha debido declararse probada la causal </w:t>
      </w:r>
      <w:r w:rsidR="001C0054" w:rsidRPr="00CA590F">
        <w:rPr>
          <w:rFonts w:ascii="Gadugi" w:eastAsia="Malgun Gothic" w:hAnsi="Gadugi" w:cs="Estrangelo Edessa"/>
          <w:sz w:val="24"/>
          <w:szCs w:val="24"/>
        </w:rPr>
        <w:t xml:space="preserve">tercera del artículo 1025, esto es, la que señala como indigno a </w:t>
      </w:r>
      <w:r w:rsidR="001C0054" w:rsidRPr="00CA590F">
        <w:rPr>
          <w:rFonts w:ascii="Gadugi" w:eastAsia="Malgun Gothic" w:hAnsi="Gadugi" w:cs="Estrangelo Edessa"/>
          <w:i/>
          <w:iCs/>
          <w:sz w:val="24"/>
          <w:szCs w:val="24"/>
        </w:rPr>
        <w:t>“</w:t>
      </w:r>
      <w:r w:rsidR="001C0054" w:rsidRPr="00CA590F">
        <w:rPr>
          <w:rFonts w:ascii="Gadugi" w:hAnsi="Gadugi" w:cs="Open Sans"/>
          <w:i/>
          <w:iCs/>
          <w:szCs w:val="24"/>
        </w:rPr>
        <w:t xml:space="preserve">El </w:t>
      </w:r>
      <w:r w:rsidR="001C0054" w:rsidRPr="00CA590F">
        <w:rPr>
          <w:rFonts w:ascii="Gadugi" w:hAnsi="Gadugi" w:cs="Open Sans"/>
          <w:b/>
          <w:bCs/>
          <w:i/>
          <w:iCs/>
          <w:szCs w:val="24"/>
        </w:rPr>
        <w:t xml:space="preserve">consanguíneo </w:t>
      </w:r>
      <w:r w:rsidR="001C0054" w:rsidRPr="00CA590F">
        <w:rPr>
          <w:rFonts w:ascii="Gadugi" w:hAnsi="Gadugi" w:cs="Open Sans"/>
          <w:i/>
          <w:iCs/>
          <w:szCs w:val="24"/>
        </w:rPr>
        <w:t xml:space="preserve">dentro del sexto grado inclusive que en el estado de demencia </w:t>
      </w:r>
      <w:r w:rsidR="001C0054" w:rsidRPr="00CA590F">
        <w:rPr>
          <w:rFonts w:ascii="Gadugi" w:hAnsi="Gadugi" w:cs="Open Sans"/>
          <w:i/>
          <w:iCs/>
          <w:szCs w:val="24"/>
        </w:rPr>
        <w:lastRenderedPageBreak/>
        <w:t>o destitución de la persona de cuya sucesión se trata no la socorrió pudiendo</w:t>
      </w:r>
      <w:r w:rsidR="001C0054" w:rsidRPr="00CA590F">
        <w:rPr>
          <w:rFonts w:ascii="Gadugi" w:eastAsia="Malgun Gothic" w:hAnsi="Gadugi" w:cs="Estrangelo Edessa"/>
          <w:i/>
          <w:iCs/>
          <w:sz w:val="24"/>
          <w:szCs w:val="24"/>
        </w:rPr>
        <w:t>”</w:t>
      </w:r>
      <w:r w:rsidR="001C0054" w:rsidRPr="00CA590F">
        <w:rPr>
          <w:rFonts w:ascii="Gadugi" w:eastAsia="Malgun Gothic" w:hAnsi="Gadugi" w:cs="Estrangelo Edessa"/>
          <w:sz w:val="24"/>
          <w:szCs w:val="24"/>
        </w:rPr>
        <w:t xml:space="preserve">, norma que leída a la luz de lo dicho por la Corte Constitucional en la sentencia C-156-22, comprende a los parientes civiles hasta el mismo grado. </w:t>
      </w:r>
    </w:p>
    <w:p w14:paraId="32E75DED" w14:textId="77777777" w:rsidR="008161E7" w:rsidRPr="00CA590F" w:rsidRDefault="008161E7" w:rsidP="00F35D5C">
      <w:pPr>
        <w:pStyle w:val="Prrafodelista"/>
        <w:tabs>
          <w:tab w:val="left" w:pos="2410"/>
        </w:tabs>
        <w:spacing w:after="0" w:line="276" w:lineRule="auto"/>
        <w:ind w:left="0" w:firstLine="1701"/>
        <w:jc w:val="both"/>
        <w:rPr>
          <w:rFonts w:ascii="Gadugi" w:eastAsia="Malgun Gothic" w:hAnsi="Gadugi" w:cs="Estrangelo Edessa"/>
          <w:sz w:val="24"/>
          <w:szCs w:val="24"/>
        </w:rPr>
      </w:pPr>
    </w:p>
    <w:p w14:paraId="2934654A" w14:textId="1ED88484" w:rsidR="005C59EF" w:rsidRPr="00CA590F" w:rsidRDefault="001C0054" w:rsidP="00F35D5C">
      <w:pPr>
        <w:pStyle w:val="Prrafodelista"/>
        <w:tabs>
          <w:tab w:val="left" w:pos="2410"/>
        </w:tabs>
        <w:spacing w:after="0" w:line="276" w:lineRule="auto"/>
        <w:ind w:left="0" w:firstLine="1701"/>
        <w:jc w:val="both"/>
        <w:rPr>
          <w:rFonts w:ascii="Gadugi" w:eastAsia="Malgun Gothic" w:hAnsi="Gadugi" w:cs="Estrangelo Edessa"/>
          <w:sz w:val="24"/>
          <w:szCs w:val="24"/>
        </w:rPr>
      </w:pPr>
      <w:r w:rsidRPr="00CA590F">
        <w:rPr>
          <w:rFonts w:ascii="Gadugi" w:eastAsia="Malgun Gothic" w:hAnsi="Gadugi" w:cs="Estrangelo Edessa"/>
          <w:sz w:val="24"/>
          <w:szCs w:val="24"/>
        </w:rPr>
        <w:t>La Sala no l</w:t>
      </w:r>
      <w:r w:rsidR="00BF5713">
        <w:rPr>
          <w:rFonts w:ascii="Gadugi" w:eastAsia="Malgun Gothic" w:hAnsi="Gadugi" w:cs="Estrangelo Edessa"/>
          <w:sz w:val="24"/>
          <w:szCs w:val="24"/>
        </w:rPr>
        <w:t>a</w:t>
      </w:r>
      <w:r w:rsidRPr="00CA590F">
        <w:rPr>
          <w:rFonts w:ascii="Gadugi" w:eastAsia="Malgun Gothic" w:hAnsi="Gadugi" w:cs="Estrangelo Edessa"/>
          <w:sz w:val="24"/>
          <w:szCs w:val="24"/>
        </w:rPr>
        <w:t xml:space="preserve"> ve de esa manera, pues por más que el artículo 281 del CGP permita fallar extra y ultra petita en lo</w:t>
      </w:r>
      <w:r w:rsidR="00986867" w:rsidRPr="00CA590F">
        <w:rPr>
          <w:rFonts w:ascii="Gadugi" w:eastAsia="Malgun Gothic" w:hAnsi="Gadugi" w:cs="Estrangelo Edessa"/>
          <w:sz w:val="24"/>
          <w:szCs w:val="24"/>
        </w:rPr>
        <w:t>s</w:t>
      </w:r>
      <w:r w:rsidRPr="00CA590F">
        <w:rPr>
          <w:rFonts w:ascii="Gadugi" w:eastAsia="Malgun Gothic" w:hAnsi="Gadugi" w:cs="Estrangelo Edessa"/>
          <w:sz w:val="24"/>
          <w:szCs w:val="24"/>
        </w:rPr>
        <w:t xml:space="preserve"> asuntos de familia, lo hace bajo el entendido de que sea para brindarle protección adecuada a la pareja, al niño, la niña o adolescente, a la persona con discapacidad mental o de la tercera edad, y prevenir controversias futuras de la misma índole. Aquí, intervienen unos herederos en </w:t>
      </w:r>
      <w:r w:rsidR="005C59EF" w:rsidRPr="00CA590F">
        <w:rPr>
          <w:rFonts w:ascii="Gadugi" w:eastAsia="Malgun Gothic" w:hAnsi="Gadugi" w:cs="Estrangelo Edessa"/>
          <w:sz w:val="24"/>
          <w:szCs w:val="24"/>
        </w:rPr>
        <w:t xml:space="preserve">condiciones de igualdad, uno pretendiendo que, por vía de la indignidad, se despoje a otros de la herencia, de manera que el asunto involucra, para ellos, una cuestión de tinte económico que debe seguir las pautas generales de la congruencia que marca el mismo artículo, esto es, que el fallo debe estar acorde con los hechos y las pretensiones de la demanda, así como con las excepciones que aparezcan probadas y hubieren sido propuestas si así lo exige la ley, regla que solo puede romperse en los específicos casos </w:t>
      </w:r>
      <w:r w:rsidR="000F1845" w:rsidRPr="00CA590F">
        <w:rPr>
          <w:rFonts w:ascii="Gadugi" w:eastAsia="Malgun Gothic" w:hAnsi="Gadugi" w:cs="Estrangelo Edessa"/>
          <w:sz w:val="24"/>
          <w:szCs w:val="24"/>
        </w:rPr>
        <w:t>legales</w:t>
      </w:r>
      <w:r w:rsidR="005C59EF" w:rsidRPr="00CA590F">
        <w:rPr>
          <w:rFonts w:ascii="Gadugi" w:eastAsia="Malgun Gothic" w:hAnsi="Gadugi" w:cs="Estrangelo Edessa"/>
          <w:sz w:val="24"/>
          <w:szCs w:val="24"/>
        </w:rPr>
        <w:t xml:space="preserve"> (como en esos permitidos fallos extra o ultra petita, o de restituciones mutuas, o de legitimación en la causa, para citar algunos). </w:t>
      </w:r>
    </w:p>
    <w:p w14:paraId="64266844" w14:textId="77777777" w:rsidR="005C59EF" w:rsidRPr="00CA590F" w:rsidRDefault="005C59EF" w:rsidP="00F35D5C">
      <w:pPr>
        <w:pStyle w:val="Prrafodelista"/>
        <w:tabs>
          <w:tab w:val="left" w:pos="2410"/>
        </w:tabs>
        <w:spacing w:after="0" w:line="276" w:lineRule="auto"/>
        <w:ind w:left="0" w:firstLine="1701"/>
        <w:jc w:val="both"/>
        <w:rPr>
          <w:rFonts w:ascii="Gadugi" w:eastAsia="Malgun Gothic" w:hAnsi="Gadugi" w:cs="Estrangelo Edessa"/>
          <w:sz w:val="24"/>
          <w:szCs w:val="24"/>
        </w:rPr>
      </w:pPr>
    </w:p>
    <w:p w14:paraId="6F3DD414" w14:textId="77777777" w:rsidR="005C59EF" w:rsidRPr="00CA590F" w:rsidRDefault="005C59EF" w:rsidP="00F35D5C">
      <w:pPr>
        <w:pStyle w:val="Prrafodelista"/>
        <w:tabs>
          <w:tab w:val="left" w:pos="2410"/>
        </w:tabs>
        <w:spacing w:after="0" w:line="276" w:lineRule="auto"/>
        <w:ind w:left="0" w:firstLine="1701"/>
        <w:jc w:val="both"/>
        <w:rPr>
          <w:rFonts w:ascii="Gadugi" w:eastAsia="Malgun Gothic" w:hAnsi="Gadugi" w:cs="Estrangelo Edessa"/>
          <w:sz w:val="24"/>
          <w:szCs w:val="24"/>
        </w:rPr>
      </w:pPr>
      <w:r w:rsidRPr="00CA590F">
        <w:rPr>
          <w:rFonts w:ascii="Gadugi" w:eastAsia="Malgun Gothic" w:hAnsi="Gadugi" w:cs="Estrangelo Edessa"/>
          <w:sz w:val="24"/>
          <w:szCs w:val="24"/>
        </w:rPr>
        <w:t xml:space="preserve">En este caso, las causales de indignidad, por la cuales tuvieron que defenderse los demandados fueron dos, y en torno a ellas giró todo el debate; así que pretender ahora que se reconozca una diferente tornaría incongruente el fallo y atentaría, sin duda, con el derecho de contradicción, propio del debido proceso que campea en todo trámite judicial o administrativo. </w:t>
      </w:r>
    </w:p>
    <w:p w14:paraId="741ADAEA" w14:textId="77777777" w:rsidR="005C59EF" w:rsidRPr="00CA590F" w:rsidRDefault="005C59EF" w:rsidP="00F35D5C">
      <w:pPr>
        <w:pStyle w:val="Prrafodelista"/>
        <w:tabs>
          <w:tab w:val="left" w:pos="2410"/>
        </w:tabs>
        <w:spacing w:after="0" w:line="276" w:lineRule="auto"/>
        <w:ind w:left="0" w:firstLine="1701"/>
        <w:jc w:val="both"/>
        <w:rPr>
          <w:rFonts w:ascii="Gadugi" w:eastAsia="Malgun Gothic" w:hAnsi="Gadugi" w:cs="Estrangelo Edessa"/>
          <w:sz w:val="24"/>
          <w:szCs w:val="24"/>
        </w:rPr>
      </w:pPr>
    </w:p>
    <w:p w14:paraId="57B34E1C" w14:textId="20D250AC" w:rsidR="001C0054" w:rsidRPr="00CA590F" w:rsidRDefault="005C59EF" w:rsidP="00F35D5C">
      <w:pPr>
        <w:pStyle w:val="Prrafodelista"/>
        <w:tabs>
          <w:tab w:val="left" w:pos="2410"/>
        </w:tabs>
        <w:spacing w:after="0" w:line="276" w:lineRule="auto"/>
        <w:ind w:left="0" w:firstLine="1701"/>
        <w:jc w:val="both"/>
        <w:rPr>
          <w:rFonts w:ascii="Gadugi" w:eastAsia="Malgun Gothic" w:hAnsi="Gadugi" w:cs="Estrangelo Edessa"/>
          <w:sz w:val="24"/>
          <w:szCs w:val="24"/>
        </w:rPr>
      </w:pPr>
      <w:r w:rsidRPr="00CA590F">
        <w:rPr>
          <w:rFonts w:ascii="Gadugi" w:eastAsia="Malgun Gothic" w:hAnsi="Gadugi" w:cs="Estrangelo Edessa"/>
          <w:sz w:val="24"/>
          <w:szCs w:val="24"/>
        </w:rPr>
        <w:t xml:space="preserve">En consecuencia, tal reparo fracasa. </w:t>
      </w:r>
    </w:p>
    <w:p w14:paraId="7D388D44" w14:textId="6CDBBFCA" w:rsidR="00D86AF6" w:rsidRPr="00CA590F" w:rsidRDefault="00D86AF6" w:rsidP="00F35D5C">
      <w:pPr>
        <w:pStyle w:val="Prrafodelista"/>
        <w:tabs>
          <w:tab w:val="left" w:pos="2410"/>
        </w:tabs>
        <w:spacing w:after="0" w:line="276" w:lineRule="auto"/>
        <w:ind w:left="0" w:firstLine="1701"/>
        <w:jc w:val="both"/>
        <w:rPr>
          <w:rFonts w:ascii="Gadugi" w:eastAsia="Malgun Gothic" w:hAnsi="Gadugi" w:cs="Estrangelo Edessa"/>
          <w:i/>
          <w:sz w:val="24"/>
          <w:szCs w:val="24"/>
        </w:rPr>
      </w:pPr>
    </w:p>
    <w:p w14:paraId="4C15DE38" w14:textId="773D6637" w:rsidR="00CA3454" w:rsidRPr="00CA590F" w:rsidRDefault="005C59EF" w:rsidP="00F35D5C">
      <w:pPr>
        <w:pStyle w:val="Prrafodelista"/>
        <w:numPr>
          <w:ilvl w:val="1"/>
          <w:numId w:val="1"/>
        </w:numPr>
        <w:tabs>
          <w:tab w:val="left" w:pos="2410"/>
        </w:tabs>
        <w:spacing w:after="0" w:line="276" w:lineRule="auto"/>
        <w:ind w:left="0" w:firstLine="1701"/>
        <w:jc w:val="both"/>
        <w:rPr>
          <w:rFonts w:ascii="Gadugi" w:eastAsia="Malgun Gothic" w:hAnsi="Gadugi" w:cs="Estrangelo Edessa"/>
          <w:sz w:val="24"/>
          <w:szCs w:val="24"/>
        </w:rPr>
      </w:pPr>
      <w:r w:rsidRPr="00CA590F">
        <w:rPr>
          <w:rFonts w:ascii="Gadugi" w:eastAsia="Malgun Gothic" w:hAnsi="Gadugi" w:cs="Estrangelo Edessa"/>
          <w:sz w:val="24"/>
          <w:szCs w:val="24"/>
        </w:rPr>
        <w:t xml:space="preserve">Recapitulando, se </w:t>
      </w:r>
      <w:r w:rsidR="00CA3454" w:rsidRPr="00CA590F">
        <w:rPr>
          <w:rFonts w:ascii="Gadugi" w:eastAsia="Malgun Gothic" w:hAnsi="Gadugi" w:cs="Estrangelo Edessa"/>
          <w:sz w:val="24"/>
          <w:szCs w:val="24"/>
        </w:rPr>
        <w:t xml:space="preserve">confirmará parcialmente el fallo en lo que respecta a Álvaro Duque Isaza; se </w:t>
      </w:r>
      <w:r w:rsidR="000E55F7" w:rsidRPr="00CA590F">
        <w:rPr>
          <w:rFonts w:ascii="Gadugi" w:eastAsia="Malgun Gothic" w:hAnsi="Gadugi" w:cs="Estrangelo Edessa"/>
          <w:sz w:val="24"/>
          <w:szCs w:val="24"/>
        </w:rPr>
        <w:t>revocará</w:t>
      </w:r>
      <w:r w:rsidR="00CA3454" w:rsidRPr="00CA590F">
        <w:rPr>
          <w:rFonts w:ascii="Gadugi" w:eastAsia="Malgun Gothic" w:hAnsi="Gadugi" w:cs="Estrangelo Edessa"/>
          <w:sz w:val="24"/>
          <w:szCs w:val="24"/>
        </w:rPr>
        <w:t xml:space="preserve"> en lo atañedero a Hernán Duque Isaza; como consecuencia de ello, se declarará a este último indigno de suceder a la señora Magnolia Isaza. </w:t>
      </w:r>
    </w:p>
    <w:p w14:paraId="1EEDDB48" w14:textId="77777777" w:rsidR="00CA3454" w:rsidRPr="00CA590F" w:rsidRDefault="00CA3454" w:rsidP="00F35D5C">
      <w:pPr>
        <w:pStyle w:val="Prrafodelista"/>
        <w:tabs>
          <w:tab w:val="left" w:pos="2410"/>
        </w:tabs>
        <w:spacing w:after="0" w:line="276" w:lineRule="auto"/>
        <w:ind w:left="1701"/>
        <w:jc w:val="both"/>
        <w:rPr>
          <w:rFonts w:ascii="Gadugi" w:eastAsia="Malgun Gothic" w:hAnsi="Gadugi" w:cs="Estrangelo Edessa"/>
          <w:sz w:val="24"/>
          <w:szCs w:val="24"/>
        </w:rPr>
      </w:pPr>
    </w:p>
    <w:p w14:paraId="2CFB10C6" w14:textId="6CA59789" w:rsidR="00BF4AAA" w:rsidRPr="00CA590F" w:rsidRDefault="00CA3454" w:rsidP="00F35D5C">
      <w:pPr>
        <w:pStyle w:val="Prrafodelista"/>
        <w:tabs>
          <w:tab w:val="left" w:pos="2410"/>
        </w:tabs>
        <w:spacing w:after="0" w:line="276" w:lineRule="auto"/>
        <w:ind w:left="0" w:firstLine="1701"/>
        <w:jc w:val="both"/>
        <w:rPr>
          <w:rFonts w:ascii="Gadugi" w:eastAsia="Malgun Gothic" w:hAnsi="Gadugi" w:cs="Estrangelo Edessa"/>
          <w:sz w:val="24"/>
          <w:szCs w:val="24"/>
        </w:rPr>
      </w:pPr>
      <w:r w:rsidRPr="00CA590F">
        <w:rPr>
          <w:rFonts w:ascii="Gadugi" w:eastAsia="Malgun Gothic" w:hAnsi="Gadugi" w:cs="Estrangelo Edessa"/>
          <w:sz w:val="24"/>
          <w:szCs w:val="24"/>
        </w:rPr>
        <w:t xml:space="preserve">Se condenará en costas de </w:t>
      </w:r>
      <w:r w:rsidR="00BF4AAA" w:rsidRPr="00CA590F">
        <w:rPr>
          <w:rFonts w:ascii="Gadugi" w:eastAsia="Malgun Gothic" w:hAnsi="Gadugi" w:cs="Estrangelo Edessa"/>
          <w:sz w:val="24"/>
          <w:szCs w:val="24"/>
        </w:rPr>
        <w:t>primer grado al señor Hernán Duque Isaza, a favor de</w:t>
      </w:r>
      <w:r w:rsidR="000F1845" w:rsidRPr="00CA590F">
        <w:rPr>
          <w:rFonts w:ascii="Gadugi" w:eastAsia="Malgun Gothic" w:hAnsi="Gadugi" w:cs="Estrangelo Edessa"/>
          <w:sz w:val="24"/>
          <w:szCs w:val="24"/>
        </w:rPr>
        <w:t>l demandante</w:t>
      </w:r>
      <w:r w:rsidR="00BF4AAA" w:rsidRPr="00CA590F">
        <w:rPr>
          <w:rFonts w:ascii="Gadugi" w:eastAsia="Malgun Gothic" w:hAnsi="Gadugi" w:cs="Estrangelo Edessa"/>
          <w:sz w:val="24"/>
          <w:szCs w:val="24"/>
        </w:rPr>
        <w:t xml:space="preserve"> (art. 365-1 CGP). </w:t>
      </w:r>
    </w:p>
    <w:p w14:paraId="512CD607" w14:textId="77777777" w:rsidR="008161E7" w:rsidRPr="00CA590F" w:rsidRDefault="008161E7" w:rsidP="00F35D5C">
      <w:pPr>
        <w:pStyle w:val="Prrafodelista"/>
        <w:tabs>
          <w:tab w:val="left" w:pos="2410"/>
        </w:tabs>
        <w:spacing w:after="0" w:line="276" w:lineRule="auto"/>
        <w:ind w:left="0" w:firstLine="1701"/>
        <w:jc w:val="both"/>
        <w:rPr>
          <w:rFonts w:ascii="Gadugi" w:eastAsia="Malgun Gothic" w:hAnsi="Gadugi" w:cs="Estrangelo Edessa"/>
          <w:sz w:val="24"/>
          <w:szCs w:val="24"/>
        </w:rPr>
      </w:pPr>
    </w:p>
    <w:p w14:paraId="682A1EF4" w14:textId="77777777" w:rsidR="00BF4AAA" w:rsidRPr="00CA590F" w:rsidRDefault="00BF4AAA" w:rsidP="00F35D5C">
      <w:pPr>
        <w:pStyle w:val="Prrafodelista"/>
        <w:tabs>
          <w:tab w:val="left" w:pos="2410"/>
        </w:tabs>
        <w:spacing w:after="0" w:line="276" w:lineRule="auto"/>
        <w:ind w:left="0" w:firstLine="1701"/>
        <w:jc w:val="both"/>
        <w:rPr>
          <w:rFonts w:ascii="Gadugi" w:eastAsia="Malgun Gothic" w:hAnsi="Gadugi" w:cs="Estrangelo Edessa"/>
          <w:sz w:val="24"/>
          <w:szCs w:val="24"/>
        </w:rPr>
      </w:pPr>
      <w:r w:rsidRPr="00CA590F">
        <w:rPr>
          <w:rFonts w:ascii="Gadugi" w:eastAsia="Malgun Gothic" w:hAnsi="Gadugi" w:cs="Estrangelo Edessa"/>
          <w:sz w:val="24"/>
          <w:szCs w:val="24"/>
        </w:rPr>
        <w:t xml:space="preserve">Como quiera que la sentencia no se confirma ni se revoca en su totalidad, no habrá condena en costas en esta sede (art. 365, numerales 3 y 4, ib.). </w:t>
      </w:r>
    </w:p>
    <w:p w14:paraId="3E3783F2" w14:textId="04A12CC3" w:rsidR="00323665" w:rsidRPr="00CA590F" w:rsidRDefault="00323665" w:rsidP="00F35D5C">
      <w:pPr>
        <w:tabs>
          <w:tab w:val="left" w:pos="2410"/>
        </w:tabs>
        <w:spacing w:after="0" w:line="276" w:lineRule="auto"/>
        <w:jc w:val="both"/>
        <w:rPr>
          <w:rFonts w:ascii="Gadugi" w:eastAsia="Malgun Gothic" w:hAnsi="Gadugi" w:cs="Estrangelo Edessa"/>
          <w:sz w:val="24"/>
          <w:szCs w:val="24"/>
        </w:rPr>
      </w:pPr>
    </w:p>
    <w:p w14:paraId="363EE372" w14:textId="25A86581" w:rsidR="00986867" w:rsidRPr="00CA590F" w:rsidRDefault="00986867" w:rsidP="00F35D5C">
      <w:pPr>
        <w:tabs>
          <w:tab w:val="left" w:pos="2410"/>
        </w:tabs>
        <w:spacing w:after="0" w:line="276" w:lineRule="auto"/>
        <w:jc w:val="both"/>
        <w:rPr>
          <w:rFonts w:ascii="Gadugi" w:eastAsia="Malgun Gothic" w:hAnsi="Gadugi" w:cs="Estrangelo Edessa"/>
          <w:sz w:val="24"/>
          <w:szCs w:val="24"/>
        </w:rPr>
      </w:pPr>
    </w:p>
    <w:p w14:paraId="484ADE94" w14:textId="2CFADC3F" w:rsidR="00986867" w:rsidRPr="00CA590F" w:rsidRDefault="00986867" w:rsidP="00F35D5C">
      <w:pPr>
        <w:pStyle w:val="Prrafodelista"/>
        <w:numPr>
          <w:ilvl w:val="0"/>
          <w:numId w:val="1"/>
        </w:numPr>
        <w:tabs>
          <w:tab w:val="left" w:pos="1701"/>
          <w:tab w:val="left" w:pos="2127"/>
          <w:tab w:val="left" w:pos="2410"/>
        </w:tabs>
        <w:spacing w:after="0" w:line="276" w:lineRule="auto"/>
        <w:ind w:left="0" w:firstLine="1701"/>
        <w:jc w:val="both"/>
        <w:rPr>
          <w:rFonts w:ascii="Gadugi" w:eastAsia="Malgun Gothic" w:hAnsi="Gadugi" w:cs="Estrangelo Edessa"/>
          <w:b/>
          <w:sz w:val="24"/>
          <w:szCs w:val="24"/>
        </w:rPr>
      </w:pPr>
      <w:r w:rsidRPr="00CA590F">
        <w:rPr>
          <w:rFonts w:ascii="Gadugi" w:eastAsia="Malgun Gothic" w:hAnsi="Gadugi" w:cs="Estrangelo Edessa"/>
          <w:b/>
          <w:sz w:val="24"/>
          <w:szCs w:val="24"/>
        </w:rPr>
        <w:t>DECISIÓN</w:t>
      </w:r>
    </w:p>
    <w:p w14:paraId="2EE0183B" w14:textId="04FB507A" w:rsidR="00986867" w:rsidRPr="00CA590F" w:rsidRDefault="00986867" w:rsidP="00F35D5C">
      <w:pPr>
        <w:tabs>
          <w:tab w:val="left" w:pos="1701"/>
          <w:tab w:val="left" w:pos="2127"/>
          <w:tab w:val="left" w:pos="2410"/>
        </w:tabs>
        <w:spacing w:after="0" w:line="276" w:lineRule="auto"/>
        <w:jc w:val="both"/>
        <w:rPr>
          <w:rFonts w:ascii="Gadugi" w:eastAsia="Malgun Gothic" w:hAnsi="Gadugi" w:cs="Estrangelo Edessa"/>
          <w:b/>
          <w:sz w:val="24"/>
          <w:szCs w:val="24"/>
        </w:rPr>
      </w:pPr>
    </w:p>
    <w:p w14:paraId="384B104B" w14:textId="32BCDB06" w:rsidR="00986867" w:rsidRPr="00CA590F" w:rsidRDefault="00986867" w:rsidP="00F35D5C">
      <w:pPr>
        <w:tabs>
          <w:tab w:val="left" w:pos="1701"/>
          <w:tab w:val="left" w:pos="2127"/>
          <w:tab w:val="left" w:pos="2410"/>
        </w:tabs>
        <w:spacing w:after="0" w:line="276" w:lineRule="auto"/>
        <w:jc w:val="both"/>
        <w:rPr>
          <w:rFonts w:ascii="Gadugi" w:eastAsia="Malgun Gothic" w:hAnsi="Gadugi" w:cs="Estrangelo Edessa"/>
          <w:b/>
          <w:sz w:val="24"/>
          <w:szCs w:val="24"/>
        </w:rPr>
      </w:pPr>
    </w:p>
    <w:p w14:paraId="122B3D7D" w14:textId="53BF0DE1" w:rsidR="00986867" w:rsidRPr="00CA590F" w:rsidRDefault="00986867" w:rsidP="00F35D5C">
      <w:pPr>
        <w:tabs>
          <w:tab w:val="left" w:pos="1701"/>
          <w:tab w:val="left" w:pos="2127"/>
          <w:tab w:val="left" w:pos="2410"/>
        </w:tabs>
        <w:spacing w:after="0" w:line="276" w:lineRule="auto"/>
        <w:jc w:val="both"/>
        <w:rPr>
          <w:rFonts w:ascii="Gadugi" w:eastAsia="Malgun Gothic" w:hAnsi="Gadugi" w:cs="Estrangelo Edessa"/>
          <w:sz w:val="24"/>
          <w:szCs w:val="24"/>
        </w:rPr>
      </w:pPr>
      <w:r w:rsidRPr="00CA590F">
        <w:rPr>
          <w:rFonts w:ascii="Gadugi" w:eastAsia="Malgun Gothic" w:hAnsi="Gadugi" w:cs="Estrangelo Edessa"/>
          <w:sz w:val="24"/>
          <w:szCs w:val="24"/>
        </w:rPr>
        <w:lastRenderedPageBreak/>
        <w:t xml:space="preserve"> </w:t>
      </w:r>
      <w:r w:rsidRPr="00CA590F">
        <w:rPr>
          <w:rFonts w:ascii="Gadugi" w:eastAsia="Malgun Gothic" w:hAnsi="Gadugi" w:cs="Estrangelo Edessa"/>
          <w:sz w:val="24"/>
          <w:szCs w:val="24"/>
        </w:rPr>
        <w:tab/>
        <w:t xml:space="preserve">En armonía con lo dicho, esta Sala de decisión Civil Familia del Tribunal Superior del Distrito Judicial de Pereira, administrando justicia en nombre de la República y por autoridad de la Ley, resuelve: </w:t>
      </w:r>
    </w:p>
    <w:p w14:paraId="45197268" w14:textId="7C46D891" w:rsidR="00986867" w:rsidRPr="00CA590F" w:rsidRDefault="00986867" w:rsidP="00F35D5C">
      <w:pPr>
        <w:tabs>
          <w:tab w:val="left" w:pos="1701"/>
          <w:tab w:val="left" w:pos="2127"/>
          <w:tab w:val="left" w:pos="2410"/>
        </w:tabs>
        <w:spacing w:after="0" w:line="276" w:lineRule="auto"/>
        <w:jc w:val="both"/>
        <w:rPr>
          <w:rFonts w:ascii="Gadugi" w:eastAsia="Malgun Gothic" w:hAnsi="Gadugi" w:cs="Estrangelo Edessa"/>
          <w:sz w:val="24"/>
          <w:szCs w:val="24"/>
        </w:rPr>
      </w:pPr>
    </w:p>
    <w:p w14:paraId="44EF3C3F" w14:textId="77B1F407" w:rsidR="00986867" w:rsidRPr="00CA590F" w:rsidRDefault="00986867" w:rsidP="00F35D5C">
      <w:pPr>
        <w:pStyle w:val="Prrafodelista"/>
        <w:numPr>
          <w:ilvl w:val="0"/>
          <w:numId w:val="29"/>
        </w:numPr>
        <w:tabs>
          <w:tab w:val="left" w:pos="1701"/>
          <w:tab w:val="left" w:pos="2127"/>
        </w:tabs>
        <w:spacing w:after="0" w:line="276" w:lineRule="auto"/>
        <w:ind w:left="0" w:firstLine="1695"/>
        <w:jc w:val="both"/>
        <w:rPr>
          <w:rFonts w:ascii="Gadugi" w:eastAsia="Malgun Gothic" w:hAnsi="Gadugi" w:cs="Estrangelo Edessa"/>
          <w:b/>
          <w:sz w:val="24"/>
          <w:szCs w:val="24"/>
        </w:rPr>
      </w:pPr>
      <w:r w:rsidRPr="00CA590F">
        <w:rPr>
          <w:rFonts w:ascii="Gadugi" w:eastAsia="Malgun Gothic" w:hAnsi="Gadugi" w:cs="Estrangelo Edessa"/>
          <w:b/>
          <w:sz w:val="24"/>
          <w:szCs w:val="24"/>
        </w:rPr>
        <w:t xml:space="preserve">CONFIRMAR </w:t>
      </w:r>
      <w:r w:rsidRPr="00CA590F">
        <w:rPr>
          <w:rFonts w:ascii="Gadugi" w:eastAsia="Malgun Gothic" w:hAnsi="Gadugi" w:cs="Estrangelo Edessa"/>
          <w:sz w:val="24"/>
          <w:szCs w:val="24"/>
        </w:rPr>
        <w:t xml:space="preserve">la sentencia de primer grado, pero únicamente el relación con el codemandado </w:t>
      </w:r>
      <w:r w:rsidRPr="00CA590F">
        <w:rPr>
          <w:rFonts w:ascii="Gadugi" w:eastAsia="Malgun Gothic" w:hAnsi="Gadugi" w:cs="Estrangelo Edessa"/>
          <w:b/>
          <w:sz w:val="24"/>
          <w:szCs w:val="24"/>
        </w:rPr>
        <w:t>Álvaro Duque Isaza</w:t>
      </w:r>
      <w:r w:rsidRPr="00CA590F">
        <w:rPr>
          <w:rFonts w:ascii="Gadugi" w:eastAsia="Malgun Gothic" w:hAnsi="Gadugi" w:cs="Estrangelo Edessa"/>
          <w:sz w:val="24"/>
          <w:szCs w:val="24"/>
        </w:rPr>
        <w:t xml:space="preserve">. </w:t>
      </w:r>
    </w:p>
    <w:p w14:paraId="00EBAD74" w14:textId="6670B60C" w:rsidR="00986867" w:rsidRPr="00CA590F" w:rsidRDefault="00986867" w:rsidP="00F35D5C">
      <w:pPr>
        <w:tabs>
          <w:tab w:val="left" w:pos="1701"/>
          <w:tab w:val="left" w:pos="2127"/>
          <w:tab w:val="left" w:pos="2410"/>
        </w:tabs>
        <w:spacing w:after="0" w:line="276" w:lineRule="auto"/>
        <w:jc w:val="both"/>
        <w:rPr>
          <w:rFonts w:ascii="Gadugi" w:eastAsia="Malgun Gothic" w:hAnsi="Gadugi" w:cs="Estrangelo Edessa"/>
          <w:b/>
          <w:sz w:val="24"/>
          <w:szCs w:val="24"/>
        </w:rPr>
      </w:pPr>
    </w:p>
    <w:p w14:paraId="0D04E818" w14:textId="72F3E855" w:rsidR="00986867" w:rsidRPr="00CA590F" w:rsidRDefault="00986867" w:rsidP="00F35D5C">
      <w:pPr>
        <w:pStyle w:val="Prrafodelista"/>
        <w:numPr>
          <w:ilvl w:val="0"/>
          <w:numId w:val="29"/>
        </w:numPr>
        <w:tabs>
          <w:tab w:val="left" w:pos="1701"/>
          <w:tab w:val="left" w:pos="2127"/>
          <w:tab w:val="left" w:pos="2410"/>
        </w:tabs>
        <w:spacing w:after="0" w:line="276" w:lineRule="auto"/>
        <w:ind w:left="0" w:firstLine="1695"/>
        <w:jc w:val="both"/>
        <w:rPr>
          <w:rFonts w:ascii="Gadugi" w:eastAsia="Malgun Gothic" w:hAnsi="Gadugi" w:cs="Estrangelo Edessa"/>
          <w:b/>
          <w:sz w:val="24"/>
          <w:szCs w:val="24"/>
        </w:rPr>
      </w:pPr>
      <w:r w:rsidRPr="00CA590F">
        <w:rPr>
          <w:rFonts w:ascii="Gadugi" w:eastAsia="Malgun Gothic" w:hAnsi="Gadugi" w:cs="Estrangelo Edessa"/>
          <w:b/>
          <w:sz w:val="24"/>
          <w:szCs w:val="24"/>
        </w:rPr>
        <w:t xml:space="preserve">REVOCAR </w:t>
      </w:r>
      <w:r w:rsidRPr="00CA590F">
        <w:rPr>
          <w:rFonts w:ascii="Gadugi" w:eastAsia="Malgun Gothic" w:hAnsi="Gadugi" w:cs="Estrangelo Edessa"/>
          <w:sz w:val="24"/>
          <w:szCs w:val="24"/>
        </w:rPr>
        <w:t>el fallo</w:t>
      </w:r>
      <w:r w:rsidR="00126A53" w:rsidRPr="00CA590F">
        <w:rPr>
          <w:rFonts w:ascii="Gadugi" w:eastAsia="Malgun Gothic" w:hAnsi="Gadugi" w:cs="Estrangelo Edessa"/>
          <w:sz w:val="24"/>
          <w:szCs w:val="24"/>
        </w:rPr>
        <w:t xml:space="preserve"> en lo que tiene que ver con </w:t>
      </w:r>
      <w:r w:rsidR="00126A53" w:rsidRPr="00CA590F">
        <w:rPr>
          <w:rFonts w:ascii="Gadugi" w:eastAsia="Malgun Gothic" w:hAnsi="Gadugi" w:cs="Estrangelo Edessa"/>
          <w:b/>
          <w:sz w:val="24"/>
          <w:szCs w:val="24"/>
        </w:rPr>
        <w:t xml:space="preserve">Hernán Duque Isaza. </w:t>
      </w:r>
    </w:p>
    <w:p w14:paraId="417450DE" w14:textId="4274B4AC" w:rsidR="00986867" w:rsidRPr="00CA590F" w:rsidRDefault="00986867" w:rsidP="00F35D5C">
      <w:pPr>
        <w:tabs>
          <w:tab w:val="left" w:pos="1701"/>
          <w:tab w:val="left" w:pos="2127"/>
          <w:tab w:val="left" w:pos="2410"/>
        </w:tabs>
        <w:spacing w:after="0" w:line="276" w:lineRule="auto"/>
        <w:jc w:val="both"/>
        <w:rPr>
          <w:rFonts w:ascii="Gadugi" w:eastAsia="Malgun Gothic" w:hAnsi="Gadugi" w:cs="Estrangelo Edessa"/>
          <w:sz w:val="24"/>
          <w:szCs w:val="24"/>
        </w:rPr>
      </w:pPr>
    </w:p>
    <w:p w14:paraId="7EBE30D2" w14:textId="19053BA8" w:rsidR="00126A53" w:rsidRPr="00CA590F" w:rsidRDefault="00126A53" w:rsidP="00F35D5C">
      <w:pPr>
        <w:tabs>
          <w:tab w:val="left" w:pos="1701"/>
          <w:tab w:val="left" w:pos="2127"/>
          <w:tab w:val="left" w:pos="2410"/>
        </w:tabs>
        <w:spacing w:after="0" w:line="276" w:lineRule="auto"/>
        <w:jc w:val="both"/>
        <w:rPr>
          <w:rFonts w:ascii="Gadugi" w:eastAsia="Malgun Gothic" w:hAnsi="Gadugi" w:cs="Estrangelo Edessa"/>
          <w:sz w:val="24"/>
          <w:szCs w:val="24"/>
        </w:rPr>
      </w:pPr>
      <w:r w:rsidRPr="00CA590F">
        <w:rPr>
          <w:rFonts w:ascii="Gadugi" w:eastAsia="Malgun Gothic" w:hAnsi="Gadugi" w:cs="Estrangelo Edessa"/>
          <w:sz w:val="24"/>
          <w:szCs w:val="24"/>
        </w:rPr>
        <w:t xml:space="preserve"> </w:t>
      </w:r>
      <w:r w:rsidRPr="00CA590F">
        <w:rPr>
          <w:rFonts w:ascii="Gadugi" w:eastAsia="Malgun Gothic" w:hAnsi="Gadugi" w:cs="Estrangelo Edessa"/>
          <w:sz w:val="24"/>
          <w:szCs w:val="24"/>
        </w:rPr>
        <w:tab/>
        <w:t>En su lugar:</w:t>
      </w:r>
    </w:p>
    <w:p w14:paraId="78CE61B6" w14:textId="20878079" w:rsidR="00126A53" w:rsidRPr="00CA590F" w:rsidRDefault="00126A53" w:rsidP="00F35D5C">
      <w:pPr>
        <w:tabs>
          <w:tab w:val="left" w:pos="1701"/>
          <w:tab w:val="left" w:pos="2127"/>
          <w:tab w:val="left" w:pos="2410"/>
        </w:tabs>
        <w:spacing w:after="0" w:line="276" w:lineRule="auto"/>
        <w:jc w:val="both"/>
        <w:rPr>
          <w:rFonts w:ascii="Gadugi" w:eastAsia="Malgun Gothic" w:hAnsi="Gadugi" w:cs="Estrangelo Edessa"/>
          <w:sz w:val="24"/>
          <w:szCs w:val="24"/>
        </w:rPr>
      </w:pPr>
    </w:p>
    <w:p w14:paraId="09587774" w14:textId="6B3F677C" w:rsidR="00126A53" w:rsidRPr="00CA590F" w:rsidRDefault="00126A53" w:rsidP="00F35D5C">
      <w:pPr>
        <w:pStyle w:val="Prrafodelista"/>
        <w:numPr>
          <w:ilvl w:val="1"/>
          <w:numId w:val="29"/>
        </w:numPr>
        <w:tabs>
          <w:tab w:val="left" w:pos="1701"/>
          <w:tab w:val="left" w:pos="2127"/>
          <w:tab w:val="left" w:pos="2410"/>
        </w:tabs>
        <w:spacing w:after="0" w:line="276" w:lineRule="auto"/>
        <w:ind w:left="0" w:firstLine="1695"/>
        <w:jc w:val="both"/>
        <w:rPr>
          <w:rFonts w:ascii="Gadugi" w:eastAsia="Malgun Gothic" w:hAnsi="Gadugi" w:cs="Estrangelo Edessa"/>
          <w:sz w:val="24"/>
          <w:szCs w:val="24"/>
        </w:rPr>
      </w:pPr>
      <w:r w:rsidRPr="00CA590F">
        <w:rPr>
          <w:rFonts w:ascii="Gadugi" w:eastAsia="Malgun Gothic" w:hAnsi="Gadugi" w:cs="Estrangelo Edessa"/>
          <w:sz w:val="24"/>
          <w:szCs w:val="24"/>
        </w:rPr>
        <w:t xml:space="preserve"> Se declaran no probadas las excepciones por él propuestas. </w:t>
      </w:r>
    </w:p>
    <w:p w14:paraId="7A71E918" w14:textId="77777777" w:rsidR="008A2E74" w:rsidRPr="00CA590F" w:rsidRDefault="008A2E74" w:rsidP="00F35D5C">
      <w:pPr>
        <w:pStyle w:val="Prrafodelista"/>
        <w:tabs>
          <w:tab w:val="left" w:pos="1701"/>
          <w:tab w:val="left" w:pos="2127"/>
          <w:tab w:val="left" w:pos="2410"/>
        </w:tabs>
        <w:spacing w:after="0" w:line="276" w:lineRule="auto"/>
        <w:ind w:left="1695"/>
        <w:jc w:val="both"/>
        <w:rPr>
          <w:rFonts w:ascii="Gadugi" w:eastAsia="Malgun Gothic" w:hAnsi="Gadugi" w:cs="Estrangelo Edessa"/>
          <w:sz w:val="24"/>
          <w:szCs w:val="24"/>
        </w:rPr>
      </w:pPr>
    </w:p>
    <w:p w14:paraId="40D39654" w14:textId="172419AC" w:rsidR="008A2E74" w:rsidRPr="00CA590F" w:rsidRDefault="00126A53" w:rsidP="00F35D5C">
      <w:pPr>
        <w:pStyle w:val="Prrafodelista"/>
        <w:numPr>
          <w:ilvl w:val="1"/>
          <w:numId w:val="29"/>
        </w:numPr>
        <w:tabs>
          <w:tab w:val="left" w:pos="1701"/>
          <w:tab w:val="left" w:pos="2127"/>
          <w:tab w:val="left" w:pos="2410"/>
        </w:tabs>
        <w:spacing w:after="0" w:line="276" w:lineRule="auto"/>
        <w:ind w:left="0" w:firstLine="1695"/>
        <w:jc w:val="both"/>
        <w:rPr>
          <w:rFonts w:ascii="Gadugi" w:eastAsia="Malgun Gothic" w:hAnsi="Gadugi" w:cs="Estrangelo Edessa"/>
          <w:sz w:val="24"/>
          <w:szCs w:val="24"/>
        </w:rPr>
      </w:pPr>
      <w:r w:rsidRPr="00CA590F">
        <w:rPr>
          <w:rFonts w:ascii="Gadugi" w:eastAsia="Malgun Gothic" w:hAnsi="Gadugi" w:cs="Estrangelo Edessa"/>
          <w:sz w:val="24"/>
          <w:szCs w:val="24"/>
        </w:rPr>
        <w:t xml:space="preserve"> Se le declara indigno de suceder a la causante </w:t>
      </w:r>
      <w:r w:rsidR="008A2E74" w:rsidRPr="00CA590F">
        <w:rPr>
          <w:rFonts w:ascii="Gadugi" w:eastAsia="Malgun Gothic" w:hAnsi="Gadugi" w:cs="Estrangelo Edessa"/>
          <w:sz w:val="24"/>
          <w:szCs w:val="24"/>
        </w:rPr>
        <w:t xml:space="preserve">Magnolia Isaza (o Magnolia Isaza de Duque). </w:t>
      </w:r>
    </w:p>
    <w:p w14:paraId="2AC838AF" w14:textId="77777777" w:rsidR="008A2E74" w:rsidRPr="00CA590F" w:rsidRDefault="008A2E74" w:rsidP="00F35D5C">
      <w:pPr>
        <w:pStyle w:val="Prrafodelista"/>
        <w:spacing w:line="276" w:lineRule="auto"/>
        <w:rPr>
          <w:rFonts w:ascii="Gadugi" w:eastAsia="Malgun Gothic" w:hAnsi="Gadugi" w:cs="Estrangelo Edessa"/>
          <w:sz w:val="24"/>
          <w:szCs w:val="24"/>
        </w:rPr>
      </w:pPr>
    </w:p>
    <w:p w14:paraId="74A4806A" w14:textId="68CFF6EF" w:rsidR="008A2E74" w:rsidRPr="00CA590F" w:rsidRDefault="008A2E74" w:rsidP="00F35D5C">
      <w:pPr>
        <w:pStyle w:val="Prrafodelista"/>
        <w:numPr>
          <w:ilvl w:val="1"/>
          <w:numId w:val="29"/>
        </w:numPr>
        <w:tabs>
          <w:tab w:val="left" w:pos="1701"/>
          <w:tab w:val="left" w:pos="2127"/>
          <w:tab w:val="left" w:pos="2977"/>
        </w:tabs>
        <w:spacing w:after="0" w:line="276" w:lineRule="auto"/>
        <w:ind w:left="0" w:firstLine="1695"/>
        <w:jc w:val="both"/>
        <w:rPr>
          <w:rFonts w:ascii="Gadugi" w:eastAsia="Malgun Gothic" w:hAnsi="Gadugi" w:cs="Estrangelo Edessa"/>
          <w:sz w:val="24"/>
          <w:szCs w:val="24"/>
        </w:rPr>
      </w:pPr>
      <w:r w:rsidRPr="00CA590F">
        <w:rPr>
          <w:rFonts w:ascii="Gadugi" w:eastAsia="Malgun Gothic" w:hAnsi="Gadugi" w:cs="Estrangelo Edessa"/>
          <w:sz w:val="24"/>
          <w:szCs w:val="24"/>
        </w:rPr>
        <w:t xml:space="preserve"> Se le condena a pagar las costas de primera instancia a favor de</w:t>
      </w:r>
      <w:r w:rsidR="000F1845" w:rsidRPr="00CA590F">
        <w:rPr>
          <w:rFonts w:ascii="Gadugi" w:eastAsia="Malgun Gothic" w:hAnsi="Gadugi" w:cs="Estrangelo Edessa"/>
          <w:sz w:val="24"/>
          <w:szCs w:val="24"/>
        </w:rPr>
        <w:t xml:space="preserve">l </w:t>
      </w:r>
      <w:r w:rsidRPr="00CA590F">
        <w:rPr>
          <w:rFonts w:ascii="Gadugi" w:eastAsia="Malgun Gothic" w:hAnsi="Gadugi" w:cs="Estrangelo Edessa"/>
          <w:sz w:val="24"/>
          <w:szCs w:val="24"/>
        </w:rPr>
        <w:t xml:space="preserve">demandante. </w:t>
      </w:r>
    </w:p>
    <w:p w14:paraId="65DF4D21" w14:textId="77777777" w:rsidR="008A2E74" w:rsidRPr="00CA590F" w:rsidRDefault="008A2E74" w:rsidP="00F35D5C">
      <w:pPr>
        <w:pStyle w:val="Prrafodelista"/>
        <w:spacing w:line="276" w:lineRule="auto"/>
        <w:rPr>
          <w:rFonts w:ascii="Gadugi" w:eastAsia="Malgun Gothic" w:hAnsi="Gadugi" w:cs="Estrangelo Edessa"/>
          <w:sz w:val="24"/>
          <w:szCs w:val="24"/>
        </w:rPr>
      </w:pPr>
    </w:p>
    <w:p w14:paraId="3EAD8DBE" w14:textId="77777777" w:rsidR="008A2E74" w:rsidRPr="00CA590F" w:rsidRDefault="008A2E74" w:rsidP="00F35D5C">
      <w:pPr>
        <w:pStyle w:val="Prrafodelista"/>
        <w:numPr>
          <w:ilvl w:val="0"/>
          <w:numId w:val="29"/>
        </w:numPr>
        <w:tabs>
          <w:tab w:val="left" w:pos="1701"/>
          <w:tab w:val="left" w:pos="2127"/>
          <w:tab w:val="left" w:pos="2977"/>
        </w:tabs>
        <w:spacing w:after="0" w:line="276" w:lineRule="auto"/>
        <w:jc w:val="both"/>
        <w:rPr>
          <w:rFonts w:ascii="Gadugi" w:eastAsia="Malgun Gothic" w:hAnsi="Gadugi" w:cs="Estrangelo Edessa"/>
          <w:sz w:val="24"/>
          <w:szCs w:val="24"/>
        </w:rPr>
      </w:pPr>
      <w:r w:rsidRPr="00CA590F">
        <w:rPr>
          <w:rFonts w:ascii="Gadugi" w:eastAsia="Malgun Gothic" w:hAnsi="Gadugi" w:cs="Estrangelo Edessa"/>
          <w:sz w:val="24"/>
          <w:szCs w:val="24"/>
        </w:rPr>
        <w:t xml:space="preserve">Sin costas en esta sede. </w:t>
      </w:r>
    </w:p>
    <w:p w14:paraId="510B9471" w14:textId="77777777" w:rsidR="008A2E74" w:rsidRPr="00CA590F" w:rsidRDefault="008A2E74" w:rsidP="00F35D5C">
      <w:pPr>
        <w:tabs>
          <w:tab w:val="left" w:pos="1701"/>
          <w:tab w:val="left" w:pos="2127"/>
          <w:tab w:val="left" w:pos="2977"/>
        </w:tabs>
        <w:spacing w:after="0" w:line="276" w:lineRule="auto"/>
        <w:jc w:val="both"/>
        <w:rPr>
          <w:rFonts w:ascii="Gadugi" w:eastAsia="Malgun Gothic" w:hAnsi="Gadugi" w:cs="Estrangelo Edessa"/>
          <w:sz w:val="24"/>
          <w:szCs w:val="24"/>
        </w:rPr>
      </w:pPr>
    </w:p>
    <w:p w14:paraId="0EC6C977" w14:textId="77777777" w:rsidR="008A2E74" w:rsidRPr="00CA590F" w:rsidRDefault="008A2E74" w:rsidP="00F35D5C">
      <w:pPr>
        <w:tabs>
          <w:tab w:val="left" w:pos="1701"/>
          <w:tab w:val="left" w:pos="2127"/>
          <w:tab w:val="left" w:pos="2977"/>
        </w:tabs>
        <w:spacing w:after="0" w:line="276" w:lineRule="auto"/>
        <w:jc w:val="both"/>
        <w:rPr>
          <w:rFonts w:ascii="Gadugi" w:eastAsia="Malgun Gothic" w:hAnsi="Gadugi" w:cs="Estrangelo Edessa"/>
          <w:sz w:val="24"/>
          <w:szCs w:val="24"/>
        </w:rPr>
      </w:pPr>
      <w:r w:rsidRPr="00CA590F">
        <w:rPr>
          <w:rFonts w:ascii="Gadugi" w:eastAsia="Malgun Gothic" w:hAnsi="Gadugi" w:cs="Estrangelo Edessa"/>
          <w:sz w:val="24"/>
          <w:szCs w:val="24"/>
        </w:rPr>
        <w:t xml:space="preserve"> </w:t>
      </w:r>
      <w:r w:rsidRPr="00CA590F">
        <w:rPr>
          <w:rFonts w:ascii="Gadugi" w:eastAsia="Malgun Gothic" w:hAnsi="Gadugi" w:cs="Estrangelo Edessa"/>
          <w:sz w:val="24"/>
          <w:szCs w:val="24"/>
        </w:rPr>
        <w:tab/>
        <w:t xml:space="preserve">Notifíquese, </w:t>
      </w:r>
    </w:p>
    <w:p w14:paraId="52B70C9B" w14:textId="77777777" w:rsidR="008A2E74" w:rsidRPr="00CA590F" w:rsidRDefault="008A2E74" w:rsidP="00F35D5C">
      <w:pPr>
        <w:tabs>
          <w:tab w:val="left" w:pos="1701"/>
          <w:tab w:val="left" w:pos="2127"/>
          <w:tab w:val="left" w:pos="2977"/>
        </w:tabs>
        <w:spacing w:after="0" w:line="276" w:lineRule="auto"/>
        <w:jc w:val="both"/>
        <w:rPr>
          <w:rFonts w:ascii="Gadugi" w:eastAsia="Malgun Gothic" w:hAnsi="Gadugi" w:cs="Estrangelo Edessa"/>
          <w:sz w:val="24"/>
          <w:szCs w:val="24"/>
        </w:rPr>
      </w:pPr>
    </w:p>
    <w:p w14:paraId="761D741A" w14:textId="77777777" w:rsidR="008A2E74" w:rsidRPr="00CA590F" w:rsidRDefault="008A2E74" w:rsidP="00F35D5C">
      <w:pPr>
        <w:tabs>
          <w:tab w:val="left" w:pos="1701"/>
          <w:tab w:val="left" w:pos="2127"/>
          <w:tab w:val="left" w:pos="2977"/>
        </w:tabs>
        <w:spacing w:after="0" w:line="276" w:lineRule="auto"/>
        <w:jc w:val="both"/>
        <w:rPr>
          <w:rFonts w:ascii="Gadugi" w:eastAsia="Malgun Gothic" w:hAnsi="Gadugi" w:cs="Estrangelo Edessa"/>
          <w:sz w:val="24"/>
          <w:szCs w:val="24"/>
        </w:rPr>
      </w:pPr>
      <w:r w:rsidRPr="00CA590F">
        <w:rPr>
          <w:rFonts w:ascii="Gadugi" w:eastAsia="Malgun Gothic" w:hAnsi="Gadugi" w:cs="Estrangelo Edessa"/>
          <w:sz w:val="24"/>
          <w:szCs w:val="24"/>
        </w:rPr>
        <w:tab/>
        <w:t xml:space="preserve">Los Magistrados, </w:t>
      </w:r>
    </w:p>
    <w:p w14:paraId="78BD860D" w14:textId="77777777" w:rsidR="008A2E74" w:rsidRPr="00CA590F" w:rsidRDefault="008A2E74" w:rsidP="00F35D5C">
      <w:pPr>
        <w:tabs>
          <w:tab w:val="left" w:pos="1701"/>
          <w:tab w:val="left" w:pos="2127"/>
          <w:tab w:val="left" w:pos="2977"/>
        </w:tabs>
        <w:spacing w:after="0" w:line="276" w:lineRule="auto"/>
        <w:jc w:val="both"/>
        <w:rPr>
          <w:rFonts w:ascii="Gadugi" w:eastAsia="Malgun Gothic" w:hAnsi="Gadugi" w:cs="Estrangelo Edessa"/>
          <w:sz w:val="24"/>
          <w:szCs w:val="24"/>
        </w:rPr>
      </w:pPr>
    </w:p>
    <w:p w14:paraId="58272E5C" w14:textId="77777777" w:rsidR="008A2E74" w:rsidRPr="00CA590F" w:rsidRDefault="008A2E74" w:rsidP="00F35D5C">
      <w:pPr>
        <w:tabs>
          <w:tab w:val="left" w:pos="1701"/>
          <w:tab w:val="left" w:pos="2127"/>
          <w:tab w:val="left" w:pos="2977"/>
        </w:tabs>
        <w:spacing w:after="0" w:line="276" w:lineRule="auto"/>
        <w:jc w:val="both"/>
        <w:rPr>
          <w:rFonts w:ascii="Gadugi" w:eastAsia="Malgun Gothic" w:hAnsi="Gadugi" w:cs="Estrangelo Edessa"/>
          <w:b/>
          <w:sz w:val="24"/>
          <w:szCs w:val="24"/>
        </w:rPr>
      </w:pPr>
    </w:p>
    <w:p w14:paraId="71A25482" w14:textId="77777777" w:rsidR="008A2E74" w:rsidRPr="00CA590F" w:rsidRDefault="008A2E74" w:rsidP="00F35D5C">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r w:rsidRPr="00CA590F">
        <w:rPr>
          <w:rFonts w:ascii="Gadugi" w:eastAsia="Malgun Gothic" w:hAnsi="Gadugi" w:cs="Estrangelo Edessa"/>
          <w:b/>
          <w:sz w:val="24"/>
          <w:szCs w:val="24"/>
        </w:rPr>
        <w:t>JAIME ALBERTO SARAZA NARANJO</w:t>
      </w:r>
    </w:p>
    <w:p w14:paraId="01DDF095" w14:textId="77777777" w:rsidR="008A2E74" w:rsidRPr="00CA590F" w:rsidRDefault="008A2E74" w:rsidP="00F35D5C">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089BA68B" w14:textId="77777777" w:rsidR="008A2E74" w:rsidRPr="00CA590F" w:rsidRDefault="008A2E74" w:rsidP="00F35D5C">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57797768" w14:textId="77777777" w:rsidR="008A2E74" w:rsidRPr="00CA590F" w:rsidRDefault="008A2E74" w:rsidP="00F35D5C">
      <w:pPr>
        <w:tabs>
          <w:tab w:val="left" w:pos="1701"/>
          <w:tab w:val="left" w:pos="2127"/>
          <w:tab w:val="left" w:pos="2977"/>
        </w:tabs>
        <w:spacing w:after="0" w:line="276" w:lineRule="auto"/>
        <w:ind w:firstLine="1701"/>
        <w:jc w:val="both"/>
        <w:rPr>
          <w:rFonts w:ascii="Gadugi" w:eastAsia="Malgun Gothic" w:hAnsi="Gadugi" w:cs="Estrangelo Edessa"/>
          <w:b/>
          <w:bCs/>
          <w:sz w:val="24"/>
          <w:szCs w:val="24"/>
        </w:rPr>
      </w:pPr>
      <w:r w:rsidRPr="00CA590F">
        <w:rPr>
          <w:rFonts w:ascii="Gadugi" w:eastAsia="Malgun Gothic" w:hAnsi="Gadugi" w:cs="Estrangelo Edessa"/>
          <w:b/>
          <w:bCs/>
          <w:sz w:val="24"/>
          <w:szCs w:val="24"/>
        </w:rPr>
        <w:t>CARLOS MAURICIO GARCÍA BARAJAS</w:t>
      </w:r>
    </w:p>
    <w:p w14:paraId="5185836C" w14:textId="77777777" w:rsidR="008A2E74" w:rsidRPr="00CA590F" w:rsidRDefault="008A2E74" w:rsidP="00F35D5C">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18457EFE" w14:textId="77777777" w:rsidR="008A2E74" w:rsidRPr="00CA590F" w:rsidRDefault="008A2E74" w:rsidP="00F35D5C">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3DC3A313" w14:textId="68CF10BC" w:rsidR="00126A53" w:rsidRPr="00CA590F" w:rsidRDefault="008A2E74" w:rsidP="00F35D5C">
      <w:pPr>
        <w:tabs>
          <w:tab w:val="left" w:pos="1701"/>
          <w:tab w:val="left" w:pos="2127"/>
          <w:tab w:val="left" w:pos="2977"/>
        </w:tabs>
        <w:spacing w:after="0" w:line="276" w:lineRule="auto"/>
        <w:ind w:firstLine="1701"/>
        <w:jc w:val="both"/>
        <w:rPr>
          <w:rFonts w:ascii="Gadugi" w:eastAsia="Malgun Gothic" w:hAnsi="Gadugi" w:cs="Estrangelo Edessa"/>
          <w:sz w:val="24"/>
          <w:szCs w:val="24"/>
        </w:rPr>
      </w:pPr>
      <w:r w:rsidRPr="00CA590F">
        <w:rPr>
          <w:rFonts w:ascii="Gadugi" w:eastAsia="Malgun Gothic" w:hAnsi="Gadugi" w:cs="Estrangelo Edessa"/>
          <w:b/>
          <w:bCs/>
          <w:sz w:val="24"/>
          <w:szCs w:val="24"/>
        </w:rPr>
        <w:t>DUBERNEY GRISALES HERRERA</w:t>
      </w:r>
    </w:p>
    <w:sectPr w:rsidR="00126A53" w:rsidRPr="00CA590F" w:rsidSect="00E67985">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7C45BA" w16cex:dateUtc="2022-09-09T13:56:01.364Z"/>
  <w16cex:commentExtensible w16cex:durableId="43233B2C" w16cex:dateUtc="2022-09-09T13:58:02.915Z"/>
  <w16cex:commentExtensible w16cex:durableId="74B70438" w16cex:dateUtc="2022-09-09T13:58:16.295Z"/>
  <w16cex:commentExtensible w16cex:durableId="3BB579F1" w16cex:dateUtc="2022-09-09T17:04:31.7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ECAA7" w14:textId="77777777" w:rsidR="003612F6" w:rsidRDefault="003612F6" w:rsidP="00244E2F">
      <w:pPr>
        <w:spacing w:after="0" w:line="240" w:lineRule="auto"/>
      </w:pPr>
      <w:r>
        <w:separator/>
      </w:r>
    </w:p>
  </w:endnote>
  <w:endnote w:type="continuationSeparator" w:id="0">
    <w:p w14:paraId="4F744C21" w14:textId="77777777" w:rsidR="003612F6" w:rsidRDefault="003612F6" w:rsidP="0024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uerpo en alf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967697"/>
      <w:docPartObj>
        <w:docPartGallery w:val="Page Numbers (Bottom of Page)"/>
        <w:docPartUnique/>
      </w:docPartObj>
    </w:sdtPr>
    <w:sdtEndPr>
      <w:rPr>
        <w:rFonts w:ascii="Agency FB" w:hAnsi="Agency FB"/>
        <w:sz w:val="20"/>
      </w:rPr>
    </w:sdtEndPr>
    <w:sdtContent>
      <w:p w14:paraId="464A8FED" w14:textId="16579CBE" w:rsidR="008377E8" w:rsidRPr="00F35D5C" w:rsidRDefault="008377E8">
        <w:pPr>
          <w:pStyle w:val="Piedepgina"/>
          <w:jc w:val="right"/>
          <w:rPr>
            <w:rFonts w:ascii="Agency FB" w:hAnsi="Agency FB"/>
            <w:sz w:val="20"/>
          </w:rPr>
        </w:pPr>
        <w:r w:rsidRPr="00F35D5C">
          <w:rPr>
            <w:rFonts w:ascii="Agency FB" w:hAnsi="Agency FB"/>
            <w:sz w:val="20"/>
          </w:rPr>
          <w:fldChar w:fldCharType="begin"/>
        </w:r>
        <w:r w:rsidRPr="00F35D5C">
          <w:rPr>
            <w:rFonts w:ascii="Agency FB" w:hAnsi="Agency FB"/>
            <w:sz w:val="20"/>
          </w:rPr>
          <w:instrText>PAGE   \* MERGEFORMAT</w:instrText>
        </w:r>
        <w:r w:rsidRPr="00F35D5C">
          <w:rPr>
            <w:rFonts w:ascii="Agency FB" w:hAnsi="Agency FB"/>
            <w:sz w:val="20"/>
          </w:rPr>
          <w:fldChar w:fldCharType="separate"/>
        </w:r>
        <w:r w:rsidRPr="00F35D5C">
          <w:rPr>
            <w:rFonts w:ascii="Agency FB" w:hAnsi="Agency FB"/>
            <w:sz w:val="20"/>
            <w:lang w:val="es-ES"/>
          </w:rPr>
          <w:t>2</w:t>
        </w:r>
        <w:r w:rsidRPr="00F35D5C">
          <w:rPr>
            <w:rFonts w:ascii="Agency FB" w:hAnsi="Agency FB"/>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73C0F" w14:textId="77777777" w:rsidR="003612F6" w:rsidRDefault="003612F6" w:rsidP="00244E2F">
      <w:pPr>
        <w:spacing w:after="0" w:line="240" w:lineRule="auto"/>
      </w:pPr>
      <w:r>
        <w:separator/>
      </w:r>
    </w:p>
  </w:footnote>
  <w:footnote w:type="continuationSeparator" w:id="0">
    <w:p w14:paraId="7C8CBF50" w14:textId="77777777" w:rsidR="003612F6" w:rsidRDefault="003612F6" w:rsidP="00244E2F">
      <w:pPr>
        <w:spacing w:after="0" w:line="240" w:lineRule="auto"/>
      </w:pPr>
      <w:r>
        <w:continuationSeparator/>
      </w:r>
    </w:p>
  </w:footnote>
  <w:footnote w:id="1">
    <w:p w14:paraId="58AEB632" w14:textId="59041345" w:rsidR="008377E8" w:rsidRPr="00F35D5C" w:rsidRDefault="008377E8" w:rsidP="00F35D5C">
      <w:pPr>
        <w:tabs>
          <w:tab w:val="left" w:pos="3686"/>
        </w:tabs>
        <w:spacing w:after="0" w:line="240" w:lineRule="auto"/>
        <w:jc w:val="both"/>
        <w:rPr>
          <w:rFonts w:ascii="Agency FB" w:eastAsia="Malgun Gothic" w:hAnsi="Agency FB" w:cs="Estrangelo Edessa"/>
          <w:sz w:val="20"/>
          <w:szCs w:val="20"/>
          <w:lang w:val="en-US"/>
        </w:rPr>
      </w:pPr>
      <w:r w:rsidRPr="00F35D5C">
        <w:rPr>
          <w:rStyle w:val="Refdenotaalpie"/>
          <w:rFonts w:ascii="Agency FB" w:hAnsi="Agency FB"/>
          <w:sz w:val="20"/>
          <w:szCs w:val="20"/>
        </w:rPr>
        <w:footnoteRef/>
      </w:r>
      <w:r w:rsidRPr="00F35D5C">
        <w:rPr>
          <w:rFonts w:ascii="Agency FB" w:hAnsi="Agency FB"/>
          <w:sz w:val="20"/>
          <w:szCs w:val="20"/>
          <w:lang w:val="en-US"/>
        </w:rPr>
        <w:t xml:space="preserve"> </w:t>
      </w:r>
      <w:r w:rsidRPr="00F35D5C">
        <w:rPr>
          <w:rStyle w:val="normaltextrun"/>
          <w:rFonts w:ascii="Agency FB" w:hAnsi="Agency FB"/>
          <w:bCs/>
          <w:color w:val="000000"/>
          <w:sz w:val="20"/>
          <w:szCs w:val="20"/>
          <w:shd w:val="clear" w:color="auto" w:fill="FFFFFF"/>
          <w:lang w:val="en-US"/>
        </w:rPr>
        <w:t xml:space="preserve">p. 50, c. </w:t>
      </w:r>
      <w:proofErr w:type="spellStart"/>
      <w:r w:rsidRPr="00F35D5C">
        <w:rPr>
          <w:rStyle w:val="normaltextrun"/>
          <w:rFonts w:ascii="Agency FB" w:hAnsi="Agency FB"/>
          <w:bCs/>
          <w:color w:val="000000"/>
          <w:sz w:val="20"/>
          <w:szCs w:val="20"/>
          <w:shd w:val="clear" w:color="auto" w:fill="FFFFFF"/>
          <w:lang w:val="en-US"/>
        </w:rPr>
        <w:t>ppal</w:t>
      </w:r>
      <w:proofErr w:type="spellEnd"/>
      <w:r w:rsidRPr="00F35D5C">
        <w:rPr>
          <w:rStyle w:val="normaltextrun"/>
          <w:rFonts w:ascii="Agency FB" w:hAnsi="Agency FB"/>
          <w:bCs/>
          <w:color w:val="000000"/>
          <w:sz w:val="20"/>
          <w:szCs w:val="20"/>
          <w:shd w:val="clear" w:color="auto" w:fill="FFFFFF"/>
          <w:lang w:val="en-US"/>
        </w:rPr>
        <w:t xml:space="preserve">., 01. </w:t>
      </w:r>
      <w:r w:rsidRPr="00F35D5C">
        <w:rPr>
          <w:rFonts w:ascii="Agency FB" w:eastAsia="Malgun Gothic" w:hAnsi="Agency FB" w:cs="Estrangelo Edessa"/>
          <w:sz w:val="20"/>
          <w:szCs w:val="20"/>
          <w:lang w:val="en-US"/>
        </w:rPr>
        <w:t>66001-31-10-004-2020-00084</w:t>
      </w:r>
    </w:p>
  </w:footnote>
  <w:footnote w:id="2">
    <w:p w14:paraId="0D9C5397" w14:textId="4B57CCE7" w:rsidR="008377E8" w:rsidRPr="00F35D5C" w:rsidRDefault="008377E8" w:rsidP="00F35D5C">
      <w:pPr>
        <w:pStyle w:val="Textonotapie"/>
        <w:jc w:val="both"/>
        <w:rPr>
          <w:rFonts w:ascii="Agency FB" w:hAnsi="Agency FB"/>
          <w:lang w:val="en-US"/>
        </w:rPr>
      </w:pPr>
      <w:r w:rsidRPr="00F35D5C">
        <w:rPr>
          <w:rStyle w:val="Refdenotaalpie"/>
          <w:rFonts w:ascii="Agency FB" w:hAnsi="Agency FB"/>
        </w:rPr>
        <w:footnoteRef/>
      </w:r>
      <w:r w:rsidRPr="00F35D5C">
        <w:rPr>
          <w:rFonts w:ascii="Agency FB" w:hAnsi="Agency FB"/>
          <w:lang w:val="en-US"/>
        </w:rPr>
        <w:t xml:space="preserve"> </w:t>
      </w:r>
      <w:r w:rsidRPr="00F35D5C">
        <w:rPr>
          <w:rStyle w:val="normaltextrun"/>
          <w:rFonts w:ascii="Agency FB" w:hAnsi="Agency FB"/>
          <w:bCs/>
          <w:color w:val="000000"/>
          <w:shd w:val="clear" w:color="auto" w:fill="FFFFFF"/>
          <w:lang w:val="en-US"/>
        </w:rPr>
        <w:t>p. 53, ibídem.</w:t>
      </w:r>
    </w:p>
  </w:footnote>
  <w:footnote w:id="3">
    <w:p w14:paraId="07F42F00" w14:textId="09C60252" w:rsidR="008377E8" w:rsidRPr="00F35D5C" w:rsidRDefault="008377E8" w:rsidP="00F35D5C">
      <w:pPr>
        <w:pStyle w:val="Textonotapie"/>
        <w:jc w:val="both"/>
        <w:rPr>
          <w:rFonts w:ascii="Agency FB" w:hAnsi="Agency FB"/>
          <w:lang w:val="en-US"/>
        </w:rPr>
      </w:pPr>
      <w:r w:rsidRPr="00F35D5C">
        <w:rPr>
          <w:rStyle w:val="Refdenotaalpie"/>
          <w:rFonts w:ascii="Agency FB" w:hAnsi="Agency FB"/>
        </w:rPr>
        <w:footnoteRef/>
      </w:r>
      <w:r w:rsidRPr="00F35D5C">
        <w:rPr>
          <w:rFonts w:ascii="Agency FB" w:hAnsi="Agency FB"/>
          <w:lang w:val="en-US"/>
        </w:rPr>
        <w:t xml:space="preserve"> p. 50, ib. </w:t>
      </w:r>
    </w:p>
  </w:footnote>
  <w:footnote w:id="4">
    <w:p w14:paraId="6C458BF8" w14:textId="05176172" w:rsidR="008377E8" w:rsidRPr="00F35D5C" w:rsidRDefault="008377E8" w:rsidP="00F35D5C">
      <w:pPr>
        <w:pStyle w:val="Textonotapie"/>
        <w:jc w:val="both"/>
        <w:rPr>
          <w:rFonts w:ascii="Agency FB" w:hAnsi="Agency FB"/>
          <w:lang w:val="en-US"/>
        </w:rPr>
      </w:pPr>
      <w:r w:rsidRPr="00F35D5C">
        <w:rPr>
          <w:rStyle w:val="Refdenotaalpie"/>
          <w:rFonts w:ascii="Agency FB" w:hAnsi="Agency FB"/>
        </w:rPr>
        <w:footnoteRef/>
      </w:r>
      <w:r w:rsidRPr="00F35D5C">
        <w:rPr>
          <w:rFonts w:ascii="Agency FB" w:hAnsi="Agency FB"/>
          <w:lang w:val="en-US"/>
        </w:rPr>
        <w:t xml:space="preserve"> p. 56, ib.</w:t>
      </w:r>
    </w:p>
  </w:footnote>
  <w:footnote w:id="5">
    <w:p w14:paraId="7D5B5DF3" w14:textId="6605E7C1" w:rsidR="008377E8" w:rsidRPr="00F35D5C" w:rsidRDefault="008377E8" w:rsidP="00F35D5C">
      <w:pPr>
        <w:pStyle w:val="Textonotapie"/>
        <w:jc w:val="both"/>
        <w:rPr>
          <w:rFonts w:ascii="Agency FB" w:hAnsi="Agency FB"/>
          <w:lang w:val="en-US"/>
        </w:rPr>
      </w:pPr>
      <w:r w:rsidRPr="00F35D5C">
        <w:rPr>
          <w:rStyle w:val="Refdenotaalpie"/>
          <w:rFonts w:ascii="Agency FB" w:hAnsi="Agency FB"/>
        </w:rPr>
        <w:footnoteRef/>
      </w:r>
      <w:r w:rsidRPr="00F35D5C">
        <w:rPr>
          <w:rFonts w:ascii="Agency FB" w:hAnsi="Agency FB"/>
          <w:lang w:val="en-US"/>
        </w:rPr>
        <w:t xml:space="preserve"> 01PrimeraInstancia, arch. 09</w:t>
      </w:r>
    </w:p>
  </w:footnote>
  <w:footnote w:id="6">
    <w:p w14:paraId="06866090" w14:textId="7DCF43C7" w:rsidR="008377E8" w:rsidRPr="00F35D5C" w:rsidRDefault="008377E8" w:rsidP="00F35D5C">
      <w:pPr>
        <w:pStyle w:val="Textonotapie"/>
        <w:jc w:val="both"/>
        <w:rPr>
          <w:rFonts w:ascii="Agency FB" w:hAnsi="Agency FB"/>
          <w:lang w:val="en-US"/>
        </w:rPr>
      </w:pPr>
      <w:r w:rsidRPr="00F35D5C">
        <w:rPr>
          <w:rStyle w:val="Refdenotaalpie"/>
          <w:rFonts w:ascii="Agency FB" w:hAnsi="Agency FB"/>
        </w:rPr>
        <w:footnoteRef/>
      </w:r>
      <w:r w:rsidRPr="00F35D5C">
        <w:rPr>
          <w:rFonts w:ascii="Agency FB" w:hAnsi="Agency FB"/>
          <w:lang w:val="en-US"/>
        </w:rPr>
        <w:t xml:space="preserve"> Ib., arch. 15 y 20</w:t>
      </w:r>
    </w:p>
  </w:footnote>
  <w:footnote w:id="7">
    <w:p w14:paraId="00CCB449" w14:textId="285ECAA3" w:rsidR="008377E8" w:rsidRPr="00F35D5C" w:rsidRDefault="008377E8" w:rsidP="00F35D5C">
      <w:pPr>
        <w:pStyle w:val="Textonotapie"/>
        <w:jc w:val="both"/>
        <w:rPr>
          <w:rFonts w:ascii="Agency FB" w:hAnsi="Agency FB"/>
          <w:lang w:val="en-US"/>
        </w:rPr>
      </w:pPr>
      <w:r w:rsidRPr="00F35D5C">
        <w:rPr>
          <w:rStyle w:val="Refdenotaalpie"/>
          <w:rFonts w:ascii="Agency FB" w:hAnsi="Agency FB"/>
        </w:rPr>
        <w:footnoteRef/>
      </w:r>
      <w:r w:rsidRPr="00F35D5C">
        <w:rPr>
          <w:rFonts w:ascii="Agency FB" w:hAnsi="Agency FB"/>
          <w:lang w:val="en-US"/>
        </w:rPr>
        <w:t xml:space="preserve"> Ib., arch. 23, p. 45</w:t>
      </w:r>
    </w:p>
  </w:footnote>
  <w:footnote w:id="8">
    <w:p w14:paraId="3CDFA842" w14:textId="7E302059" w:rsidR="008377E8" w:rsidRPr="00F35D5C" w:rsidRDefault="008377E8" w:rsidP="00F35D5C">
      <w:pPr>
        <w:pStyle w:val="Textonotapie"/>
        <w:jc w:val="both"/>
        <w:rPr>
          <w:rFonts w:ascii="Agency FB" w:hAnsi="Agency FB"/>
          <w:lang w:val="en-US"/>
        </w:rPr>
      </w:pPr>
      <w:r w:rsidRPr="00F35D5C">
        <w:rPr>
          <w:rStyle w:val="Refdenotaalpie"/>
          <w:rFonts w:ascii="Agency FB" w:hAnsi="Agency FB"/>
        </w:rPr>
        <w:footnoteRef/>
      </w:r>
      <w:r w:rsidRPr="00F35D5C">
        <w:rPr>
          <w:rFonts w:ascii="Agency FB" w:hAnsi="Agency FB"/>
          <w:lang w:val="en-US"/>
        </w:rPr>
        <w:t xml:space="preserve"> Ib., arch. 24</w:t>
      </w:r>
    </w:p>
  </w:footnote>
  <w:footnote w:id="9">
    <w:p w14:paraId="671CD34B" w14:textId="46CD3666"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lang w:val="en-US"/>
        </w:rPr>
        <w:t xml:space="preserve"> Ib., arch. </w:t>
      </w:r>
      <w:r w:rsidRPr="00F35D5C">
        <w:rPr>
          <w:rFonts w:ascii="Agency FB" w:hAnsi="Agency FB"/>
        </w:rPr>
        <w:t>45</w:t>
      </w:r>
    </w:p>
  </w:footnote>
  <w:footnote w:id="10">
    <w:p w14:paraId="2E3C9E85" w14:textId="14270934"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Ib., </w:t>
      </w:r>
      <w:proofErr w:type="spellStart"/>
      <w:r w:rsidRPr="00F35D5C">
        <w:rPr>
          <w:rFonts w:ascii="Agency FB" w:hAnsi="Agency FB"/>
        </w:rPr>
        <w:t>arch</w:t>
      </w:r>
      <w:proofErr w:type="spellEnd"/>
      <w:r w:rsidRPr="00F35D5C">
        <w:rPr>
          <w:rFonts w:ascii="Agency FB" w:hAnsi="Agency FB"/>
        </w:rPr>
        <w:t xml:space="preserve">. 47. </w:t>
      </w:r>
    </w:p>
  </w:footnote>
  <w:footnote w:id="11">
    <w:p w14:paraId="0606105B" w14:textId="2C9826C1"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02SegundaInstancia, </w:t>
      </w:r>
      <w:proofErr w:type="spellStart"/>
      <w:r w:rsidRPr="00F35D5C">
        <w:rPr>
          <w:rFonts w:ascii="Agency FB" w:hAnsi="Agency FB"/>
        </w:rPr>
        <w:t>arch</w:t>
      </w:r>
      <w:proofErr w:type="spellEnd"/>
      <w:r w:rsidRPr="00F35D5C">
        <w:rPr>
          <w:rFonts w:ascii="Agency FB" w:hAnsi="Agency FB"/>
        </w:rPr>
        <w:t>. 06</w:t>
      </w:r>
    </w:p>
  </w:footnote>
  <w:footnote w:id="12">
    <w:p w14:paraId="1A2044BE" w14:textId="12BABAE0"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01PrimeraInstancia, </w:t>
      </w:r>
      <w:proofErr w:type="spellStart"/>
      <w:r w:rsidRPr="00F35D5C">
        <w:rPr>
          <w:rFonts w:ascii="Agency FB" w:hAnsi="Agency FB"/>
        </w:rPr>
        <w:t>arch</w:t>
      </w:r>
      <w:proofErr w:type="spellEnd"/>
      <w:r w:rsidRPr="00F35D5C">
        <w:rPr>
          <w:rFonts w:ascii="Agency FB" w:hAnsi="Agency FB"/>
        </w:rPr>
        <w:t>. 01, p. 5</w:t>
      </w:r>
    </w:p>
  </w:footnote>
  <w:footnote w:id="13">
    <w:p w14:paraId="67F4A27D" w14:textId="360E9D5C"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01PrimeraInstancia, </w:t>
      </w:r>
      <w:proofErr w:type="spellStart"/>
      <w:r w:rsidRPr="00F35D5C">
        <w:rPr>
          <w:rFonts w:ascii="Agency FB" w:hAnsi="Agency FB"/>
        </w:rPr>
        <w:t>arch</w:t>
      </w:r>
      <w:proofErr w:type="spellEnd"/>
      <w:r w:rsidRPr="00F35D5C">
        <w:rPr>
          <w:rFonts w:ascii="Agency FB" w:hAnsi="Agency FB"/>
        </w:rPr>
        <w:t>. 01, p. 9, 11 y 13</w:t>
      </w:r>
    </w:p>
  </w:footnote>
  <w:footnote w:id="14">
    <w:p w14:paraId="680FDB88" w14:textId="77777777"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Sentencia del 19 de junio de 2018, radicado 2011-00193-01,</w:t>
      </w:r>
    </w:p>
  </w:footnote>
  <w:footnote w:id="15">
    <w:p w14:paraId="4365E96A" w14:textId="77777777"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Sentencia del 19 de junio de 2020, radicado 2019-00046-01, M.P. </w:t>
      </w:r>
      <w:proofErr w:type="spellStart"/>
      <w:r w:rsidRPr="00F35D5C">
        <w:rPr>
          <w:rFonts w:ascii="Agency FB" w:hAnsi="Agency FB"/>
        </w:rPr>
        <w:t>Duberney</w:t>
      </w:r>
      <w:proofErr w:type="spellEnd"/>
      <w:r w:rsidRPr="00F35D5C">
        <w:rPr>
          <w:rFonts w:ascii="Agency FB" w:hAnsi="Agency FB"/>
        </w:rPr>
        <w:t xml:space="preserve"> Grisales Herrera.</w:t>
      </w:r>
    </w:p>
  </w:footnote>
  <w:footnote w:id="16">
    <w:p w14:paraId="37B86EC3" w14:textId="77777777"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STC9587-2017, STC15273-2019, STC11328-2019 y STC100-2019</w:t>
      </w:r>
    </w:p>
  </w:footnote>
  <w:footnote w:id="17">
    <w:p w14:paraId="397DEDDB" w14:textId="77777777"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SC2351-2019.</w:t>
      </w:r>
    </w:p>
  </w:footnote>
  <w:footnote w:id="18">
    <w:p w14:paraId="159F9C56" w14:textId="77777777"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Ib., </w:t>
      </w:r>
      <w:proofErr w:type="spellStart"/>
      <w:r w:rsidRPr="00F35D5C">
        <w:rPr>
          <w:rFonts w:ascii="Agency FB" w:hAnsi="Agency FB"/>
        </w:rPr>
        <w:t>arch</w:t>
      </w:r>
      <w:proofErr w:type="spellEnd"/>
      <w:r w:rsidRPr="00F35D5C">
        <w:rPr>
          <w:rFonts w:ascii="Agency FB" w:hAnsi="Agency FB"/>
        </w:rPr>
        <w:t xml:space="preserve">. 47. </w:t>
      </w:r>
    </w:p>
  </w:footnote>
  <w:footnote w:id="19">
    <w:p w14:paraId="273D4784" w14:textId="77777777"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02SegundaInstancia, </w:t>
      </w:r>
      <w:proofErr w:type="spellStart"/>
      <w:r w:rsidRPr="00F35D5C">
        <w:rPr>
          <w:rFonts w:ascii="Agency FB" w:hAnsi="Agency FB"/>
        </w:rPr>
        <w:t>arch</w:t>
      </w:r>
      <w:proofErr w:type="spellEnd"/>
      <w:r w:rsidRPr="00F35D5C">
        <w:rPr>
          <w:rFonts w:ascii="Agency FB" w:hAnsi="Agency FB"/>
        </w:rPr>
        <w:t>. 06</w:t>
      </w:r>
    </w:p>
  </w:footnote>
  <w:footnote w:id="20">
    <w:p w14:paraId="0C0F2D69" w14:textId="76EC73D0" w:rsidR="008377E8" w:rsidRPr="00F35D5C" w:rsidRDefault="008377E8" w:rsidP="00F35D5C">
      <w:pPr>
        <w:pStyle w:val="Textonotapie"/>
        <w:jc w:val="both"/>
        <w:rPr>
          <w:rFonts w:ascii="Agency FB" w:hAnsi="Agency FB" w:cstheme="minorHAnsi"/>
          <w:lang w:val="es-419"/>
        </w:rPr>
      </w:pPr>
      <w:r w:rsidRPr="00F35D5C">
        <w:rPr>
          <w:rStyle w:val="Refdenotaalpie"/>
          <w:rFonts w:ascii="Agency FB" w:hAnsi="Agency FB"/>
        </w:rPr>
        <w:footnoteRef/>
      </w:r>
      <w:r w:rsidRPr="00F35D5C">
        <w:rPr>
          <w:rFonts w:ascii="Agency FB" w:hAnsi="Agency FB"/>
        </w:rPr>
        <w:t xml:space="preserve"> </w:t>
      </w:r>
      <w:r w:rsidRPr="00F35D5C">
        <w:rPr>
          <w:rFonts w:ascii="Agency FB" w:hAnsi="Agency FB"/>
          <w:lang w:val="es-419"/>
        </w:rPr>
        <w:t xml:space="preserve">Tal vez se refiera a la Ley 2055 de 2020, que aprobó la Convención Interamericana sobre la Protección de los Derechos Humanos de las Personas Mayores, que se promulgó el 10 de septiembre de 2020. La ley 2025 se refiere a </w:t>
      </w:r>
      <w:r w:rsidRPr="00F35D5C">
        <w:rPr>
          <w:rFonts w:ascii="Agency FB" w:hAnsi="Agency FB" w:cstheme="minorHAnsi"/>
          <w:bCs/>
          <w:color w:val="333333"/>
          <w:shd w:val="clear" w:color="auto" w:fill="FFFFFF"/>
        </w:rPr>
        <w:t>por medio de la cual se establecen lineamientos para la implementación de las escuelas para padres y madres de familia y cuidadores, en las instituciones de educación preescolar, básica y media del país, se deroga la ley 1404 de 2010 y se dictan otras disposiciones</w:t>
      </w:r>
    </w:p>
  </w:footnote>
  <w:footnote w:id="21">
    <w:p w14:paraId="027099BE" w14:textId="13C1118A"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01PrimeraInstancia, </w:t>
      </w:r>
      <w:proofErr w:type="spellStart"/>
      <w:r w:rsidRPr="00F35D5C">
        <w:rPr>
          <w:rFonts w:ascii="Agency FB" w:hAnsi="Agency FB"/>
        </w:rPr>
        <w:t>arch</w:t>
      </w:r>
      <w:proofErr w:type="spellEnd"/>
      <w:r w:rsidRPr="00F35D5C">
        <w:rPr>
          <w:rFonts w:ascii="Agency FB" w:hAnsi="Agency FB"/>
        </w:rPr>
        <w:t>. 15 y 20</w:t>
      </w:r>
    </w:p>
  </w:footnote>
  <w:footnote w:id="22">
    <w:p w14:paraId="415E0E94" w14:textId="116A07DE"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Ibídem, </w:t>
      </w:r>
      <w:proofErr w:type="spellStart"/>
      <w:r w:rsidRPr="00F35D5C">
        <w:rPr>
          <w:rFonts w:ascii="Agency FB" w:hAnsi="Agency FB"/>
        </w:rPr>
        <w:t>arch</w:t>
      </w:r>
      <w:proofErr w:type="spellEnd"/>
      <w:r w:rsidRPr="00F35D5C">
        <w:rPr>
          <w:rFonts w:ascii="Agency FB" w:hAnsi="Agency FB"/>
        </w:rPr>
        <w:t>. 26</w:t>
      </w:r>
    </w:p>
  </w:footnote>
  <w:footnote w:id="23">
    <w:p w14:paraId="607B04F1" w14:textId="22AC2598" w:rsidR="008377E8" w:rsidRPr="00F35D5C" w:rsidRDefault="008377E8" w:rsidP="00F35D5C">
      <w:pPr>
        <w:pStyle w:val="Textonotapie"/>
        <w:jc w:val="both"/>
        <w:rPr>
          <w:rFonts w:ascii="Agency FB" w:hAnsi="Agency FB"/>
          <w:lang w:val="es-419"/>
        </w:rPr>
      </w:pPr>
      <w:r w:rsidRPr="00F35D5C">
        <w:rPr>
          <w:rStyle w:val="Refdenotaalpie"/>
          <w:rFonts w:ascii="Agency FB" w:hAnsi="Agency FB"/>
        </w:rPr>
        <w:footnoteRef/>
      </w:r>
      <w:r w:rsidRPr="00F35D5C">
        <w:rPr>
          <w:rFonts w:ascii="Agency FB" w:hAnsi="Agency FB"/>
        </w:rPr>
        <w:t xml:space="preserve"> Ib., </w:t>
      </w:r>
      <w:proofErr w:type="spellStart"/>
      <w:r w:rsidRPr="00F35D5C">
        <w:rPr>
          <w:rFonts w:ascii="Agency FB" w:hAnsi="Agency FB"/>
        </w:rPr>
        <w:t>arch</w:t>
      </w:r>
      <w:proofErr w:type="spellEnd"/>
      <w:r w:rsidRPr="00F35D5C">
        <w:rPr>
          <w:rFonts w:ascii="Agency FB" w:hAnsi="Agency FB"/>
        </w:rPr>
        <w:t>. 28</w:t>
      </w:r>
    </w:p>
  </w:footnote>
  <w:footnote w:id="24">
    <w:p w14:paraId="5F9602E8" w14:textId="7DD120B7" w:rsidR="008377E8" w:rsidRPr="00F35D5C" w:rsidRDefault="008377E8" w:rsidP="00F35D5C">
      <w:pPr>
        <w:pStyle w:val="Textonotapie"/>
        <w:jc w:val="both"/>
        <w:rPr>
          <w:rFonts w:ascii="Agency FB" w:hAnsi="Agency FB"/>
          <w:lang w:val="es-419"/>
        </w:rPr>
      </w:pPr>
      <w:r w:rsidRPr="00F35D5C">
        <w:rPr>
          <w:rStyle w:val="Refdenotaalpie"/>
          <w:rFonts w:ascii="Agency FB" w:hAnsi="Agency FB"/>
        </w:rPr>
        <w:footnoteRef/>
      </w:r>
      <w:r w:rsidRPr="00F35D5C">
        <w:rPr>
          <w:rFonts w:ascii="Agency FB" w:hAnsi="Agency FB"/>
        </w:rPr>
        <w:t xml:space="preserve"> Ib., arch.29</w:t>
      </w:r>
    </w:p>
  </w:footnote>
  <w:footnote w:id="25">
    <w:p w14:paraId="16B5ABDE" w14:textId="77777777" w:rsidR="008377E8" w:rsidRPr="00F35D5C" w:rsidRDefault="008377E8" w:rsidP="00F35D5C">
      <w:pPr>
        <w:pStyle w:val="Textonotapie"/>
        <w:jc w:val="both"/>
        <w:rPr>
          <w:rFonts w:ascii="Agency FB" w:hAnsi="Agency FB"/>
          <w:lang w:val="es-419"/>
        </w:rPr>
      </w:pPr>
      <w:r w:rsidRPr="00F35D5C">
        <w:rPr>
          <w:rStyle w:val="Refdenotaalpie"/>
          <w:rFonts w:ascii="Agency FB" w:hAnsi="Agency FB"/>
        </w:rPr>
        <w:footnoteRef/>
      </w:r>
      <w:r w:rsidRPr="00F35D5C">
        <w:rPr>
          <w:rFonts w:ascii="Agency FB" w:hAnsi="Agency FB"/>
        </w:rPr>
        <w:t xml:space="preserve"> </w:t>
      </w:r>
      <w:r w:rsidRPr="00F35D5C">
        <w:rPr>
          <w:rFonts w:ascii="Agency FB" w:hAnsi="Agency FB"/>
          <w:lang w:val="es-419"/>
        </w:rPr>
        <w:t>Corte Suprema de Justicia, Sala de Casación Civil, sentencia SC4540-2020</w:t>
      </w:r>
    </w:p>
  </w:footnote>
  <w:footnote w:id="26">
    <w:p w14:paraId="581205CD" w14:textId="7488D61A"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BARROS ERRAZURIZ, Alfredo. Curso de Derecho Civil. Volumen 5. 4a Edición, corregida y aumentada. Editorial Nascimento, Santiago de Chile 1931. pág. 89.</w:t>
      </w:r>
    </w:p>
  </w:footnote>
  <w:footnote w:id="27">
    <w:p w14:paraId="414C5D97" w14:textId="1A040E7B"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MESSINEO, Francesco. Manual de Derecho Civil y Comercial. Tomo VII. Derecho de las sucesiones por causa de muerte-Principios del derecho privado internacional (§§170 a 221). Ediciones jurídicas Europa-América, Buenos Aires. 1956, pág. 44.</w:t>
      </w:r>
    </w:p>
  </w:footnote>
  <w:footnote w:id="28">
    <w:p w14:paraId="0F312CEE" w14:textId="77777777"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Sentencias C-177 de 2005, T-110 de 2011, T-564 de 2015.</w:t>
      </w:r>
    </w:p>
  </w:footnote>
  <w:footnote w:id="29">
    <w:p w14:paraId="6C955524" w14:textId="77777777"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Sentencias T-389 de 2011, T-110 de 2011, T-564 de 2015.</w:t>
      </w:r>
    </w:p>
  </w:footnote>
  <w:footnote w:id="30">
    <w:p w14:paraId="37F02623" w14:textId="77777777"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Sentencias C-763 de 2002, C-377 de 2004, T-110 de 2011, T-525 de 2017.</w:t>
      </w:r>
    </w:p>
  </w:footnote>
  <w:footnote w:id="31">
    <w:p w14:paraId="47C947CD" w14:textId="77777777"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Sentencias T-389 de 2009 y T-110 de 2011.</w:t>
      </w:r>
    </w:p>
  </w:footnote>
  <w:footnote w:id="32">
    <w:p w14:paraId="0FD45E97" w14:textId="77777777"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Sentencia T-110 de 2011.</w:t>
      </w:r>
    </w:p>
  </w:footnote>
  <w:footnote w:id="33">
    <w:p w14:paraId="613D7589" w14:textId="77777777"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w:t>
      </w:r>
      <w:r w:rsidRPr="00F35D5C">
        <w:rPr>
          <w:rFonts w:ascii="Agency FB" w:hAnsi="Agency FB"/>
          <w:color w:val="2D2D2D"/>
          <w:shd w:val="clear" w:color="auto" w:fill="FFFFFF"/>
        </w:rPr>
        <w:t>Sentencia C-619/01.</w:t>
      </w:r>
    </w:p>
  </w:footnote>
  <w:footnote w:id="34">
    <w:p w14:paraId="0DD2E8D5" w14:textId="77777777"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Sentencia T-415 de 2017</w:t>
      </w:r>
    </w:p>
  </w:footnote>
  <w:footnote w:id="35">
    <w:p w14:paraId="6F3AE19B" w14:textId="77777777" w:rsidR="008377E8" w:rsidRPr="00F35D5C" w:rsidRDefault="008377E8" w:rsidP="00F35D5C">
      <w:pPr>
        <w:pStyle w:val="Textonotapie"/>
        <w:jc w:val="both"/>
        <w:rPr>
          <w:rFonts w:ascii="Agency FB" w:hAnsi="Agency FB"/>
        </w:rPr>
      </w:pPr>
      <w:r w:rsidRPr="00F35D5C">
        <w:rPr>
          <w:rStyle w:val="Refdenotaalpie"/>
          <w:rFonts w:ascii="Agency FB" w:hAnsi="Agency FB"/>
        </w:rPr>
        <w:footnoteRef/>
      </w:r>
      <w:r w:rsidRPr="00F35D5C">
        <w:rPr>
          <w:rFonts w:ascii="Agency FB" w:hAnsi="Agency FB"/>
        </w:rPr>
        <w:t xml:space="preserve"> Sentencia T-110 de 2011.</w:t>
      </w:r>
    </w:p>
  </w:footnote>
  <w:footnote w:id="36">
    <w:p w14:paraId="5D84917D" w14:textId="79834ECD" w:rsidR="008377E8" w:rsidRPr="00F35D5C" w:rsidRDefault="008377E8" w:rsidP="00F35D5C">
      <w:pPr>
        <w:pStyle w:val="Textonotapie"/>
        <w:jc w:val="both"/>
        <w:rPr>
          <w:rFonts w:ascii="Agency FB" w:hAnsi="Agency FB"/>
          <w:lang w:val="es-419"/>
        </w:rPr>
      </w:pPr>
      <w:r w:rsidRPr="00F35D5C">
        <w:rPr>
          <w:rStyle w:val="Refdenotaalpie"/>
          <w:rFonts w:ascii="Agency FB" w:hAnsi="Agency FB"/>
        </w:rPr>
        <w:footnoteRef/>
      </w:r>
      <w:r w:rsidRPr="00F35D5C">
        <w:rPr>
          <w:rFonts w:ascii="Agency FB" w:hAnsi="Agency FB"/>
        </w:rPr>
        <w:t xml:space="preserve"> </w:t>
      </w:r>
      <w:r w:rsidRPr="00F35D5C">
        <w:rPr>
          <w:rFonts w:ascii="Agency FB" w:hAnsi="Agency FB"/>
          <w:lang w:val="es-419"/>
        </w:rPr>
        <w:t xml:space="preserve">Lafont </w:t>
      </w:r>
      <w:proofErr w:type="spellStart"/>
      <w:r w:rsidRPr="00F35D5C">
        <w:rPr>
          <w:rFonts w:ascii="Agency FB" w:hAnsi="Agency FB"/>
          <w:lang w:val="es-419"/>
        </w:rPr>
        <w:t>Pianetta</w:t>
      </w:r>
      <w:proofErr w:type="spellEnd"/>
      <w:r w:rsidRPr="00F35D5C">
        <w:rPr>
          <w:rFonts w:ascii="Agency FB" w:hAnsi="Agency FB"/>
          <w:lang w:val="es-419"/>
        </w:rPr>
        <w:t>, Pedro. Derecho de sucesiones, t. I., parte general y sucesión intestada, 11ª edición, Librería Ediciones del Profesional Ltda., Bogotá D.C., 2020, p. 70.</w:t>
      </w:r>
    </w:p>
  </w:footnote>
  <w:footnote w:id="37">
    <w:p w14:paraId="252EAB60" w14:textId="225EED47" w:rsidR="008377E8" w:rsidRPr="00F35D5C" w:rsidRDefault="008377E8" w:rsidP="00F35D5C">
      <w:pPr>
        <w:pStyle w:val="Textonotapie"/>
        <w:jc w:val="both"/>
        <w:rPr>
          <w:rFonts w:ascii="Agency FB" w:hAnsi="Agency FB"/>
          <w:lang w:val="es-419"/>
        </w:rPr>
      </w:pPr>
      <w:r w:rsidRPr="00F35D5C">
        <w:rPr>
          <w:rStyle w:val="Refdenotaalpie"/>
          <w:rFonts w:ascii="Agency FB" w:hAnsi="Agency FB"/>
        </w:rPr>
        <w:footnoteRef/>
      </w:r>
      <w:r w:rsidRPr="00F35D5C">
        <w:rPr>
          <w:rFonts w:ascii="Agency FB" w:hAnsi="Agency FB"/>
        </w:rPr>
        <w:t xml:space="preserve"> </w:t>
      </w:r>
      <w:r w:rsidRPr="00F35D5C">
        <w:rPr>
          <w:rFonts w:ascii="Agency FB" w:hAnsi="Agency FB"/>
          <w:lang w:val="es-419"/>
        </w:rPr>
        <w:t>Ibidem, p. 253</w:t>
      </w:r>
    </w:p>
  </w:footnote>
  <w:footnote w:id="38">
    <w:p w14:paraId="1DD6C14D" w14:textId="613F1ED8" w:rsidR="00DB1243" w:rsidRPr="00F35D5C" w:rsidRDefault="00DB1243" w:rsidP="00F35D5C">
      <w:pPr>
        <w:pStyle w:val="Textonotapie"/>
        <w:jc w:val="both"/>
        <w:rPr>
          <w:rFonts w:ascii="Agency FB" w:hAnsi="Agency FB"/>
          <w:lang w:val="es-419"/>
        </w:rPr>
      </w:pPr>
      <w:r w:rsidRPr="00F35D5C">
        <w:rPr>
          <w:rStyle w:val="Refdenotaalpie"/>
          <w:rFonts w:ascii="Agency FB" w:hAnsi="Agency FB"/>
        </w:rPr>
        <w:footnoteRef/>
      </w:r>
      <w:r w:rsidRPr="00F35D5C">
        <w:rPr>
          <w:rFonts w:ascii="Agency FB" w:hAnsi="Agency FB"/>
        </w:rPr>
        <w:t xml:space="preserve"> </w:t>
      </w:r>
      <w:r w:rsidRPr="00F35D5C">
        <w:rPr>
          <w:rFonts w:ascii="Agency FB" w:hAnsi="Agency FB"/>
          <w:lang w:val="es-419"/>
        </w:rPr>
        <w:t xml:space="preserve">01PrimeraInstancia, </w:t>
      </w:r>
      <w:proofErr w:type="spellStart"/>
      <w:r w:rsidRPr="00F35D5C">
        <w:rPr>
          <w:rFonts w:ascii="Agency FB" w:hAnsi="Agency FB"/>
          <w:lang w:val="es-419"/>
        </w:rPr>
        <w:t>arc</w:t>
      </w:r>
      <w:r w:rsidR="002E4404" w:rsidRPr="00F35D5C">
        <w:rPr>
          <w:rFonts w:ascii="Agency FB" w:hAnsi="Agency FB"/>
          <w:lang w:val="es-419"/>
        </w:rPr>
        <w:t>h</w:t>
      </w:r>
      <w:proofErr w:type="spellEnd"/>
      <w:r w:rsidRPr="00F35D5C">
        <w:rPr>
          <w:rFonts w:ascii="Agency FB" w:hAnsi="Agency FB"/>
          <w:lang w:val="es-419"/>
        </w:rPr>
        <w:t xml:space="preserve">. 33Video06Aud, </w:t>
      </w:r>
      <w:r w:rsidR="00C4010E" w:rsidRPr="00F35D5C">
        <w:rPr>
          <w:rFonts w:ascii="Agency FB" w:hAnsi="Agency FB"/>
          <w:lang w:val="es-419"/>
        </w:rPr>
        <w:t>00:00:39)</w:t>
      </w:r>
    </w:p>
  </w:footnote>
  <w:footnote w:id="39">
    <w:p w14:paraId="309EBAF4" w14:textId="2B12BBC3" w:rsidR="00DD29FB" w:rsidRPr="00F35D5C" w:rsidRDefault="00DD29FB" w:rsidP="00F35D5C">
      <w:pPr>
        <w:pStyle w:val="Textonotapie"/>
        <w:jc w:val="both"/>
        <w:rPr>
          <w:rFonts w:ascii="Agency FB" w:hAnsi="Agency FB"/>
          <w:lang w:val="es-419"/>
        </w:rPr>
      </w:pPr>
      <w:r w:rsidRPr="00F35D5C">
        <w:rPr>
          <w:rStyle w:val="Refdenotaalpie"/>
          <w:rFonts w:ascii="Agency FB" w:hAnsi="Agency FB"/>
        </w:rPr>
        <w:footnoteRef/>
      </w:r>
      <w:r w:rsidRPr="00F35D5C">
        <w:rPr>
          <w:rFonts w:ascii="Agency FB" w:hAnsi="Agency FB"/>
        </w:rPr>
        <w:t xml:space="preserve"> </w:t>
      </w:r>
      <w:r w:rsidR="001F67BD" w:rsidRPr="00F35D5C">
        <w:rPr>
          <w:rFonts w:ascii="Agency FB" w:hAnsi="Agency FB"/>
          <w:lang w:val="es-419"/>
        </w:rPr>
        <w:t xml:space="preserve">01PrimeraInstancia, </w:t>
      </w:r>
      <w:proofErr w:type="spellStart"/>
      <w:r w:rsidR="001F67BD" w:rsidRPr="00F35D5C">
        <w:rPr>
          <w:rFonts w:ascii="Agency FB" w:hAnsi="Agency FB"/>
          <w:lang w:val="es-419"/>
        </w:rPr>
        <w:t>arc</w:t>
      </w:r>
      <w:proofErr w:type="spellEnd"/>
      <w:r w:rsidR="001F67BD" w:rsidRPr="00F35D5C">
        <w:rPr>
          <w:rFonts w:ascii="Agency FB" w:hAnsi="Agency FB"/>
          <w:lang w:val="es-419"/>
        </w:rPr>
        <w:t>. 31Video04Aud, 0</w:t>
      </w:r>
      <w:r w:rsidR="009C51A7" w:rsidRPr="00F35D5C">
        <w:rPr>
          <w:rFonts w:ascii="Agency FB" w:hAnsi="Agency FB"/>
          <w:lang w:val="es-419"/>
        </w:rPr>
        <w:t>0</w:t>
      </w:r>
      <w:r w:rsidR="001F67BD" w:rsidRPr="00F35D5C">
        <w:rPr>
          <w:rFonts w:ascii="Agency FB" w:hAnsi="Agency FB"/>
          <w:lang w:val="es-419"/>
        </w:rPr>
        <w:t>:0</w:t>
      </w:r>
      <w:r w:rsidR="009C51A7" w:rsidRPr="00F35D5C">
        <w:rPr>
          <w:rFonts w:ascii="Agency FB" w:hAnsi="Agency FB"/>
          <w:lang w:val="es-419"/>
        </w:rPr>
        <w:t>6</w:t>
      </w:r>
      <w:r w:rsidR="001F67BD" w:rsidRPr="00F35D5C">
        <w:rPr>
          <w:rFonts w:ascii="Agency FB" w:hAnsi="Agency FB"/>
          <w:lang w:val="es-419"/>
        </w:rPr>
        <w:t>:</w:t>
      </w:r>
      <w:r w:rsidR="009C51A7" w:rsidRPr="00F35D5C">
        <w:rPr>
          <w:rFonts w:ascii="Agency FB" w:hAnsi="Agency FB"/>
          <w:lang w:val="es-419"/>
        </w:rPr>
        <w:t>26</w:t>
      </w:r>
    </w:p>
  </w:footnote>
  <w:footnote w:id="40">
    <w:p w14:paraId="57746826" w14:textId="5AF0CD9C" w:rsidR="00C21E72" w:rsidRPr="00F35D5C" w:rsidRDefault="00C21E72" w:rsidP="00F35D5C">
      <w:pPr>
        <w:pStyle w:val="Textonotapie"/>
        <w:jc w:val="both"/>
        <w:rPr>
          <w:rFonts w:ascii="Agency FB" w:hAnsi="Agency FB"/>
          <w:lang w:val="es-419"/>
        </w:rPr>
      </w:pPr>
      <w:r w:rsidRPr="00F35D5C">
        <w:rPr>
          <w:rStyle w:val="Refdenotaalpie"/>
          <w:rFonts w:ascii="Agency FB" w:hAnsi="Agency FB"/>
        </w:rPr>
        <w:footnoteRef/>
      </w:r>
      <w:r w:rsidRPr="00F35D5C">
        <w:rPr>
          <w:rFonts w:ascii="Agency FB" w:hAnsi="Agency FB"/>
        </w:rPr>
        <w:t xml:space="preserve"> </w:t>
      </w:r>
      <w:r w:rsidRPr="00F35D5C">
        <w:rPr>
          <w:rFonts w:ascii="Agency FB" w:hAnsi="Agency FB"/>
          <w:lang w:val="es-419"/>
        </w:rPr>
        <w:t xml:space="preserve">01PrimeraInstancia, </w:t>
      </w:r>
      <w:proofErr w:type="spellStart"/>
      <w:r w:rsidRPr="00F35D5C">
        <w:rPr>
          <w:rFonts w:ascii="Agency FB" w:hAnsi="Agency FB"/>
          <w:lang w:val="es-419"/>
        </w:rPr>
        <w:t>arch</w:t>
      </w:r>
      <w:proofErr w:type="spellEnd"/>
      <w:r w:rsidRPr="00F35D5C">
        <w:rPr>
          <w:rFonts w:ascii="Agency FB" w:hAnsi="Agency FB"/>
          <w:lang w:val="es-419"/>
        </w:rPr>
        <w:t>. 36Video08Cont, 00:02:30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9C4"/>
    <w:multiLevelType w:val="hybridMultilevel"/>
    <w:tmpl w:val="1D5A806A"/>
    <w:lvl w:ilvl="0" w:tplc="F15E3ED8">
      <w:start w:val="4"/>
      <w:numFmt w:val="upperRoman"/>
      <w:lvlText w:val="%1."/>
      <w:lvlJc w:val="left"/>
      <w:pPr>
        <w:ind w:left="1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5A9CDE">
      <w:start w:val="1"/>
      <w:numFmt w:val="lowerLetter"/>
      <w:lvlText w:val="%2"/>
      <w:lvlJc w:val="left"/>
      <w:pPr>
        <w:ind w:left="1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167F02">
      <w:start w:val="1"/>
      <w:numFmt w:val="lowerRoman"/>
      <w:lvlText w:val="%3"/>
      <w:lvlJc w:val="left"/>
      <w:pPr>
        <w:ind w:left="1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245BAA">
      <w:start w:val="1"/>
      <w:numFmt w:val="decimal"/>
      <w:lvlText w:val="%4"/>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5EBAD2">
      <w:start w:val="1"/>
      <w:numFmt w:val="lowerLetter"/>
      <w:lvlText w:val="%5"/>
      <w:lvlJc w:val="left"/>
      <w:pPr>
        <w:ind w:left="3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482970">
      <w:start w:val="1"/>
      <w:numFmt w:val="lowerRoman"/>
      <w:lvlText w:val="%6"/>
      <w:lvlJc w:val="left"/>
      <w:pPr>
        <w:ind w:left="4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CA46A8">
      <w:start w:val="1"/>
      <w:numFmt w:val="decimal"/>
      <w:lvlText w:val="%7"/>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1A80C8">
      <w:start w:val="1"/>
      <w:numFmt w:val="lowerLetter"/>
      <w:lvlText w:val="%8"/>
      <w:lvlJc w:val="left"/>
      <w:pPr>
        <w:ind w:left="5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925AB6">
      <w:start w:val="1"/>
      <w:numFmt w:val="lowerRoman"/>
      <w:lvlText w:val="%9"/>
      <w:lvlJc w:val="left"/>
      <w:pPr>
        <w:ind w:left="6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D21E5B"/>
    <w:multiLevelType w:val="hybridMultilevel"/>
    <w:tmpl w:val="8D462B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B47EB3"/>
    <w:multiLevelType w:val="hybridMultilevel"/>
    <w:tmpl w:val="53E63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EE6498"/>
    <w:multiLevelType w:val="hybridMultilevel"/>
    <w:tmpl w:val="CAAEFF90"/>
    <w:lvl w:ilvl="0" w:tplc="4650DDD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8094AB0"/>
    <w:multiLevelType w:val="hybridMultilevel"/>
    <w:tmpl w:val="D7B4B652"/>
    <w:lvl w:ilvl="0" w:tplc="D99CC86A">
      <w:start w:val="1"/>
      <w:numFmt w:val="decimal"/>
      <w:lvlText w:val="%1."/>
      <w:lvlJc w:val="left"/>
      <w:pPr>
        <w:ind w:left="1776" w:hanging="360"/>
      </w:pPr>
      <w:rPr>
        <w:rFonts w:ascii="Gadugi" w:eastAsia="Malgun Gothic" w:hAnsi="Gadugi" w:cs="Estrangelo Edessa"/>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15:restartNumberingAfterBreak="0">
    <w:nsid w:val="1AC41421"/>
    <w:multiLevelType w:val="hybridMultilevel"/>
    <w:tmpl w:val="8EB41C08"/>
    <w:lvl w:ilvl="0" w:tplc="C39E39B6">
      <w:start w:val="18"/>
      <w:numFmt w:val="bullet"/>
      <w:lvlText w:val="-"/>
      <w:lvlJc w:val="left"/>
      <w:pPr>
        <w:ind w:left="1068" w:hanging="360"/>
      </w:pPr>
      <w:rPr>
        <w:rFonts w:ascii="Gadugi" w:eastAsia="Times New Roman" w:hAnsi="Gadugi"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1C837B49"/>
    <w:multiLevelType w:val="hybridMultilevel"/>
    <w:tmpl w:val="11FC5B7A"/>
    <w:lvl w:ilvl="0" w:tplc="C8E6C5AC">
      <w:start w:val="20"/>
      <w:numFmt w:val="bullet"/>
      <w:lvlText w:val="-"/>
      <w:lvlJc w:val="left"/>
      <w:pPr>
        <w:ind w:left="720" w:hanging="360"/>
      </w:pPr>
      <w:rPr>
        <w:rFonts w:ascii="Gadugi" w:eastAsia="Malgun Gothic" w:hAnsi="Gadugi" w:cs="Estrangelo Edess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245FB2"/>
    <w:multiLevelType w:val="hybridMultilevel"/>
    <w:tmpl w:val="C02AB104"/>
    <w:lvl w:ilvl="0" w:tplc="070A86D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24145910"/>
    <w:multiLevelType w:val="hybridMultilevel"/>
    <w:tmpl w:val="13BED5E2"/>
    <w:lvl w:ilvl="0" w:tplc="EA566872">
      <w:start w:val="1"/>
      <w:numFmt w:val="upperRoman"/>
      <w:lvlText w:val="%1."/>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9A095A">
      <w:start w:val="1"/>
      <w:numFmt w:val="lowerLetter"/>
      <w:lvlText w:val="%2"/>
      <w:lvlJc w:val="left"/>
      <w:pPr>
        <w:ind w:left="1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EC0D1E">
      <w:start w:val="1"/>
      <w:numFmt w:val="lowerRoman"/>
      <w:lvlText w:val="%3"/>
      <w:lvlJc w:val="left"/>
      <w:pPr>
        <w:ind w:left="2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F84544">
      <w:start w:val="1"/>
      <w:numFmt w:val="decimal"/>
      <w:lvlText w:val="%4"/>
      <w:lvlJc w:val="left"/>
      <w:pPr>
        <w:ind w:left="2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6EFAE8">
      <w:start w:val="1"/>
      <w:numFmt w:val="lowerLetter"/>
      <w:lvlText w:val="%5"/>
      <w:lvlJc w:val="left"/>
      <w:pPr>
        <w:ind w:left="3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2EE42C">
      <w:start w:val="1"/>
      <w:numFmt w:val="lowerRoman"/>
      <w:lvlText w:val="%6"/>
      <w:lvlJc w:val="left"/>
      <w:pPr>
        <w:ind w:left="4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083FF4">
      <w:start w:val="1"/>
      <w:numFmt w:val="decimal"/>
      <w:lvlText w:val="%7"/>
      <w:lvlJc w:val="left"/>
      <w:pPr>
        <w:ind w:left="4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BEDB9C">
      <w:start w:val="1"/>
      <w:numFmt w:val="lowerLetter"/>
      <w:lvlText w:val="%8"/>
      <w:lvlJc w:val="left"/>
      <w:pPr>
        <w:ind w:left="5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1C032C">
      <w:start w:val="1"/>
      <w:numFmt w:val="lowerRoman"/>
      <w:lvlText w:val="%9"/>
      <w:lvlJc w:val="left"/>
      <w:pPr>
        <w:ind w:left="6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844687"/>
    <w:multiLevelType w:val="hybridMultilevel"/>
    <w:tmpl w:val="D9484B56"/>
    <w:lvl w:ilvl="0" w:tplc="D012B9A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31956EF3"/>
    <w:multiLevelType w:val="hybridMultilevel"/>
    <w:tmpl w:val="84705F20"/>
    <w:lvl w:ilvl="0" w:tplc="DFD6CC32">
      <w:start w:val="1"/>
      <w:numFmt w:val="upperRoman"/>
      <w:lvlText w:val="%1."/>
      <w:lvlJc w:val="left"/>
      <w:pPr>
        <w:ind w:left="15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1BE9830">
      <w:start w:val="1"/>
      <w:numFmt w:val="lowerLetter"/>
      <w:lvlText w:val="%2"/>
      <w:lvlJc w:val="left"/>
      <w:pPr>
        <w:ind w:left="14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1B0F480">
      <w:start w:val="1"/>
      <w:numFmt w:val="lowerRoman"/>
      <w:lvlText w:val="%3"/>
      <w:lvlJc w:val="left"/>
      <w:pPr>
        <w:ind w:left="21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A56B09C">
      <w:start w:val="1"/>
      <w:numFmt w:val="decimal"/>
      <w:lvlText w:val="%4"/>
      <w:lvlJc w:val="left"/>
      <w:pPr>
        <w:ind w:left="29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7D20CDE">
      <w:start w:val="1"/>
      <w:numFmt w:val="lowerLetter"/>
      <w:lvlText w:val="%5"/>
      <w:lvlJc w:val="left"/>
      <w:pPr>
        <w:ind w:left="36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C9A8630">
      <w:start w:val="1"/>
      <w:numFmt w:val="lowerRoman"/>
      <w:lvlText w:val="%6"/>
      <w:lvlJc w:val="left"/>
      <w:pPr>
        <w:ind w:left="43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5480C22">
      <w:start w:val="1"/>
      <w:numFmt w:val="decimal"/>
      <w:lvlText w:val="%7"/>
      <w:lvlJc w:val="left"/>
      <w:pPr>
        <w:ind w:left="50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A740EE4">
      <w:start w:val="1"/>
      <w:numFmt w:val="lowerLetter"/>
      <w:lvlText w:val="%8"/>
      <w:lvlJc w:val="left"/>
      <w:pPr>
        <w:ind w:left="5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AD4E35E">
      <w:start w:val="1"/>
      <w:numFmt w:val="lowerRoman"/>
      <w:lvlText w:val="%9"/>
      <w:lvlJc w:val="left"/>
      <w:pPr>
        <w:ind w:left="6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C26D68"/>
    <w:multiLevelType w:val="hybridMultilevel"/>
    <w:tmpl w:val="41B6774C"/>
    <w:lvl w:ilvl="0" w:tplc="852EB89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3B2B2A87"/>
    <w:multiLevelType w:val="multilevel"/>
    <w:tmpl w:val="E27AFCD0"/>
    <w:lvl w:ilvl="0">
      <w:start w:val="1"/>
      <w:numFmt w:val="decimal"/>
      <w:lvlText w:val="%1."/>
      <w:lvlJc w:val="left"/>
      <w:pPr>
        <w:ind w:left="2055" w:hanging="360"/>
      </w:pPr>
      <w:rPr>
        <w:rFonts w:hint="default"/>
        <w:b w:val="0"/>
      </w:rPr>
    </w:lvl>
    <w:lvl w:ilvl="1">
      <w:start w:val="1"/>
      <w:numFmt w:val="decimal"/>
      <w:isLgl/>
      <w:lvlText w:val="%1.%2."/>
      <w:lvlJc w:val="left"/>
      <w:pPr>
        <w:ind w:left="2415" w:hanging="720"/>
      </w:pPr>
      <w:rPr>
        <w:rFonts w:hint="default"/>
      </w:rPr>
    </w:lvl>
    <w:lvl w:ilvl="2">
      <w:start w:val="1"/>
      <w:numFmt w:val="decimal"/>
      <w:isLgl/>
      <w:lvlText w:val="%1.%2.%3."/>
      <w:lvlJc w:val="left"/>
      <w:pPr>
        <w:ind w:left="241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440"/>
      </w:pPr>
      <w:rPr>
        <w:rFonts w:hint="default"/>
      </w:rPr>
    </w:lvl>
    <w:lvl w:ilvl="5">
      <w:start w:val="1"/>
      <w:numFmt w:val="decimal"/>
      <w:isLgl/>
      <w:lvlText w:val="%1.%2.%3.%4.%5.%6."/>
      <w:lvlJc w:val="left"/>
      <w:pPr>
        <w:ind w:left="3135" w:hanging="1440"/>
      </w:pPr>
      <w:rPr>
        <w:rFonts w:hint="default"/>
      </w:rPr>
    </w:lvl>
    <w:lvl w:ilvl="6">
      <w:start w:val="1"/>
      <w:numFmt w:val="decimal"/>
      <w:isLgl/>
      <w:lvlText w:val="%1.%2.%3.%4.%5.%6.%7."/>
      <w:lvlJc w:val="left"/>
      <w:pPr>
        <w:ind w:left="3495" w:hanging="1800"/>
      </w:pPr>
      <w:rPr>
        <w:rFonts w:hint="default"/>
      </w:rPr>
    </w:lvl>
    <w:lvl w:ilvl="7">
      <w:start w:val="1"/>
      <w:numFmt w:val="decimal"/>
      <w:isLgl/>
      <w:lvlText w:val="%1.%2.%3.%4.%5.%6.%7.%8."/>
      <w:lvlJc w:val="left"/>
      <w:pPr>
        <w:ind w:left="3855" w:hanging="2160"/>
      </w:pPr>
      <w:rPr>
        <w:rFonts w:hint="default"/>
      </w:rPr>
    </w:lvl>
    <w:lvl w:ilvl="8">
      <w:start w:val="1"/>
      <w:numFmt w:val="decimal"/>
      <w:isLgl/>
      <w:lvlText w:val="%1.%2.%3.%4.%5.%6.%7.%8.%9."/>
      <w:lvlJc w:val="left"/>
      <w:pPr>
        <w:ind w:left="3855" w:hanging="2160"/>
      </w:pPr>
      <w:rPr>
        <w:rFonts w:hint="default"/>
      </w:rPr>
    </w:lvl>
  </w:abstractNum>
  <w:abstractNum w:abstractNumId="13" w15:restartNumberingAfterBreak="0">
    <w:nsid w:val="3B52010B"/>
    <w:multiLevelType w:val="multilevel"/>
    <w:tmpl w:val="247CF47C"/>
    <w:lvl w:ilvl="0">
      <w:start w:val="1"/>
      <w:numFmt w:val="decimal"/>
      <w:lvlText w:val="%1."/>
      <w:lvlJc w:val="left"/>
      <w:pPr>
        <w:ind w:left="3195" w:hanging="360"/>
      </w:pPr>
    </w:lvl>
    <w:lvl w:ilvl="1">
      <w:start w:val="1"/>
      <w:numFmt w:val="decimal"/>
      <w:isLgl/>
      <w:lvlText w:val="%1.%2."/>
      <w:lvlJc w:val="left"/>
      <w:pPr>
        <w:ind w:left="3555" w:hanging="720"/>
      </w:pPr>
      <w:rPr>
        <w:rFonts w:ascii="Gadugi" w:hAnsi="Gadugi" w:hint="default"/>
        <w:i w:val="0"/>
        <w:color w:val="auto"/>
        <w:sz w:val="28"/>
        <w:szCs w:val="28"/>
      </w:rPr>
    </w:lvl>
    <w:lvl w:ilvl="2">
      <w:start w:val="1"/>
      <w:numFmt w:val="decimal"/>
      <w:isLgl/>
      <w:lvlText w:val="%1.%2.%3."/>
      <w:lvlJc w:val="left"/>
      <w:pPr>
        <w:ind w:left="3555" w:hanging="720"/>
      </w:pPr>
    </w:lvl>
    <w:lvl w:ilvl="3">
      <w:start w:val="1"/>
      <w:numFmt w:val="decimal"/>
      <w:isLgl/>
      <w:lvlText w:val="%1.%2.%3.%4."/>
      <w:lvlJc w:val="left"/>
      <w:pPr>
        <w:ind w:left="3915" w:hanging="1080"/>
      </w:pPr>
    </w:lvl>
    <w:lvl w:ilvl="4">
      <w:start w:val="1"/>
      <w:numFmt w:val="decimal"/>
      <w:isLgl/>
      <w:lvlText w:val="%1.%2.%3.%4.%5."/>
      <w:lvlJc w:val="left"/>
      <w:pPr>
        <w:ind w:left="3915" w:hanging="1080"/>
      </w:pPr>
    </w:lvl>
    <w:lvl w:ilvl="5">
      <w:start w:val="1"/>
      <w:numFmt w:val="decimal"/>
      <w:isLgl/>
      <w:lvlText w:val="%1.%2.%3.%4.%5.%6."/>
      <w:lvlJc w:val="left"/>
      <w:pPr>
        <w:ind w:left="4275" w:hanging="1440"/>
      </w:pPr>
    </w:lvl>
    <w:lvl w:ilvl="6">
      <w:start w:val="1"/>
      <w:numFmt w:val="decimal"/>
      <w:isLgl/>
      <w:lvlText w:val="%1.%2.%3.%4.%5.%6.%7."/>
      <w:lvlJc w:val="left"/>
      <w:pPr>
        <w:ind w:left="4635" w:hanging="1800"/>
      </w:pPr>
    </w:lvl>
    <w:lvl w:ilvl="7">
      <w:start w:val="1"/>
      <w:numFmt w:val="decimal"/>
      <w:isLgl/>
      <w:lvlText w:val="%1.%2.%3.%4.%5.%6.%7.%8."/>
      <w:lvlJc w:val="left"/>
      <w:pPr>
        <w:ind w:left="4635" w:hanging="1800"/>
      </w:pPr>
    </w:lvl>
    <w:lvl w:ilvl="8">
      <w:start w:val="1"/>
      <w:numFmt w:val="decimal"/>
      <w:isLgl/>
      <w:lvlText w:val="%1.%2.%3.%4.%5.%6.%7.%8.%9."/>
      <w:lvlJc w:val="left"/>
      <w:pPr>
        <w:ind w:left="4995" w:hanging="2160"/>
      </w:pPr>
    </w:lvl>
  </w:abstractNum>
  <w:abstractNum w:abstractNumId="14" w15:restartNumberingAfterBreak="0">
    <w:nsid w:val="3EDA773E"/>
    <w:multiLevelType w:val="multilevel"/>
    <w:tmpl w:val="A064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F693E"/>
    <w:multiLevelType w:val="hybridMultilevel"/>
    <w:tmpl w:val="5B263AA4"/>
    <w:lvl w:ilvl="0" w:tplc="C5FE31C2">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45906BF1"/>
    <w:multiLevelType w:val="hybridMultilevel"/>
    <w:tmpl w:val="F3269C36"/>
    <w:lvl w:ilvl="0" w:tplc="16AAFBC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473B59B2"/>
    <w:multiLevelType w:val="hybridMultilevel"/>
    <w:tmpl w:val="E0363808"/>
    <w:lvl w:ilvl="0" w:tplc="C3F40BE0">
      <w:start w:val="1"/>
      <w:numFmt w:val="decimal"/>
      <w:lvlText w:val="%1."/>
      <w:lvlJc w:val="left"/>
      <w:pPr>
        <w:ind w:left="3915" w:hanging="360"/>
      </w:pPr>
      <w:rPr>
        <w:rFonts w:hint="default"/>
      </w:rPr>
    </w:lvl>
    <w:lvl w:ilvl="1" w:tplc="040A0019" w:tentative="1">
      <w:start w:val="1"/>
      <w:numFmt w:val="lowerLetter"/>
      <w:lvlText w:val="%2."/>
      <w:lvlJc w:val="left"/>
      <w:pPr>
        <w:ind w:left="4635" w:hanging="360"/>
      </w:pPr>
    </w:lvl>
    <w:lvl w:ilvl="2" w:tplc="040A001B" w:tentative="1">
      <w:start w:val="1"/>
      <w:numFmt w:val="lowerRoman"/>
      <w:lvlText w:val="%3."/>
      <w:lvlJc w:val="right"/>
      <w:pPr>
        <w:ind w:left="5355" w:hanging="180"/>
      </w:pPr>
    </w:lvl>
    <w:lvl w:ilvl="3" w:tplc="040A000F" w:tentative="1">
      <w:start w:val="1"/>
      <w:numFmt w:val="decimal"/>
      <w:lvlText w:val="%4."/>
      <w:lvlJc w:val="left"/>
      <w:pPr>
        <w:ind w:left="6075" w:hanging="360"/>
      </w:pPr>
    </w:lvl>
    <w:lvl w:ilvl="4" w:tplc="040A0019" w:tentative="1">
      <w:start w:val="1"/>
      <w:numFmt w:val="lowerLetter"/>
      <w:lvlText w:val="%5."/>
      <w:lvlJc w:val="left"/>
      <w:pPr>
        <w:ind w:left="6795" w:hanging="360"/>
      </w:pPr>
    </w:lvl>
    <w:lvl w:ilvl="5" w:tplc="040A001B" w:tentative="1">
      <w:start w:val="1"/>
      <w:numFmt w:val="lowerRoman"/>
      <w:lvlText w:val="%6."/>
      <w:lvlJc w:val="right"/>
      <w:pPr>
        <w:ind w:left="7515" w:hanging="180"/>
      </w:pPr>
    </w:lvl>
    <w:lvl w:ilvl="6" w:tplc="040A000F" w:tentative="1">
      <w:start w:val="1"/>
      <w:numFmt w:val="decimal"/>
      <w:lvlText w:val="%7."/>
      <w:lvlJc w:val="left"/>
      <w:pPr>
        <w:ind w:left="8235" w:hanging="360"/>
      </w:pPr>
    </w:lvl>
    <w:lvl w:ilvl="7" w:tplc="040A0019" w:tentative="1">
      <w:start w:val="1"/>
      <w:numFmt w:val="lowerLetter"/>
      <w:lvlText w:val="%8."/>
      <w:lvlJc w:val="left"/>
      <w:pPr>
        <w:ind w:left="8955" w:hanging="360"/>
      </w:pPr>
    </w:lvl>
    <w:lvl w:ilvl="8" w:tplc="040A001B" w:tentative="1">
      <w:start w:val="1"/>
      <w:numFmt w:val="lowerRoman"/>
      <w:lvlText w:val="%9."/>
      <w:lvlJc w:val="right"/>
      <w:pPr>
        <w:ind w:left="9675" w:hanging="180"/>
      </w:pPr>
    </w:lvl>
  </w:abstractNum>
  <w:abstractNum w:abstractNumId="18" w15:restartNumberingAfterBreak="0">
    <w:nsid w:val="476072E5"/>
    <w:multiLevelType w:val="hybridMultilevel"/>
    <w:tmpl w:val="901E33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76E0CBB"/>
    <w:multiLevelType w:val="hybridMultilevel"/>
    <w:tmpl w:val="DFC069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416685"/>
    <w:multiLevelType w:val="hybridMultilevel"/>
    <w:tmpl w:val="B2C483C2"/>
    <w:lvl w:ilvl="0" w:tplc="3FD06AE8">
      <w:start w:val="4"/>
      <w:numFmt w:val="bullet"/>
      <w:lvlText w:val="-"/>
      <w:lvlJc w:val="left"/>
      <w:pPr>
        <w:ind w:left="1068" w:hanging="360"/>
      </w:pPr>
      <w:rPr>
        <w:rFonts w:ascii="Gadugi" w:eastAsiaTheme="minorHAnsi" w:hAnsi="Gadugi" w:cs="Times New Roman (Cuerpo en alfa"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1" w15:restartNumberingAfterBreak="0">
    <w:nsid w:val="63521AFD"/>
    <w:multiLevelType w:val="hybridMultilevel"/>
    <w:tmpl w:val="3DB2325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2" w15:restartNumberingAfterBreak="0">
    <w:nsid w:val="789A7C15"/>
    <w:multiLevelType w:val="hybridMultilevel"/>
    <w:tmpl w:val="627E11D0"/>
    <w:lvl w:ilvl="0" w:tplc="B0869E0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1"/>
  </w:num>
  <w:num w:numId="4">
    <w:abstractNumId w:val="20"/>
  </w:num>
  <w:num w:numId="5">
    <w:abstractNumId w:val="14"/>
  </w:num>
  <w:num w:numId="6">
    <w:abstractNumId w:val="5"/>
  </w:num>
  <w:num w:numId="7">
    <w:abstractNumId w:val="6"/>
  </w:num>
  <w:num w:numId="8">
    <w:abstractNumId w:val="16"/>
  </w:num>
  <w:num w:numId="9">
    <w:abstractNumId w:val="22"/>
  </w:num>
  <w:num w:numId="10">
    <w:abstractNumId w:val="2"/>
  </w:num>
  <w:num w:numId="11">
    <w:abstractNumId w:val="1"/>
  </w:num>
  <w:num w:numId="12">
    <w:abstractNumId w:val="19"/>
  </w:num>
  <w:num w:numId="13">
    <w:abstractNumId w:val="7"/>
  </w:num>
  <w:num w:numId="14">
    <w:abstractNumId w:val="4"/>
  </w:num>
  <w:num w:numId="15">
    <w:abstractNumId w:val="9"/>
  </w:num>
  <w:num w:numId="16">
    <w:abstractNumId w:val="11"/>
  </w:num>
  <w:num w:numId="17">
    <w:abstractNumId w:val="3"/>
  </w:num>
  <w:num w:numId="18">
    <w:abstractNumId w:val="15"/>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0"/>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F1"/>
    <w:rsid w:val="00001F56"/>
    <w:rsid w:val="000020BA"/>
    <w:rsid w:val="00003BCB"/>
    <w:rsid w:val="00004872"/>
    <w:rsid w:val="00005EAD"/>
    <w:rsid w:val="0001427B"/>
    <w:rsid w:val="00015953"/>
    <w:rsid w:val="00025774"/>
    <w:rsid w:val="0002641A"/>
    <w:rsid w:val="00030E5D"/>
    <w:rsid w:val="00032A8F"/>
    <w:rsid w:val="00032E7D"/>
    <w:rsid w:val="0003408B"/>
    <w:rsid w:val="00036B62"/>
    <w:rsid w:val="00042375"/>
    <w:rsid w:val="0004252E"/>
    <w:rsid w:val="00044006"/>
    <w:rsid w:val="00045D67"/>
    <w:rsid w:val="0005108E"/>
    <w:rsid w:val="00051F03"/>
    <w:rsid w:val="00052F7E"/>
    <w:rsid w:val="00053A37"/>
    <w:rsid w:val="00055152"/>
    <w:rsid w:val="000567F6"/>
    <w:rsid w:val="00062945"/>
    <w:rsid w:val="00067F14"/>
    <w:rsid w:val="000736F0"/>
    <w:rsid w:val="00074586"/>
    <w:rsid w:val="00074C3B"/>
    <w:rsid w:val="00077CB6"/>
    <w:rsid w:val="00084CF7"/>
    <w:rsid w:val="00087E99"/>
    <w:rsid w:val="000936DE"/>
    <w:rsid w:val="00093E37"/>
    <w:rsid w:val="0009413A"/>
    <w:rsid w:val="000A2E40"/>
    <w:rsid w:val="000A30C5"/>
    <w:rsid w:val="000A4AF4"/>
    <w:rsid w:val="000A670A"/>
    <w:rsid w:val="000A6C1F"/>
    <w:rsid w:val="000A7BC9"/>
    <w:rsid w:val="000B15D8"/>
    <w:rsid w:val="000B272A"/>
    <w:rsid w:val="000B31E0"/>
    <w:rsid w:val="000B4D33"/>
    <w:rsid w:val="000B53D9"/>
    <w:rsid w:val="000B62E6"/>
    <w:rsid w:val="000B7181"/>
    <w:rsid w:val="000B7316"/>
    <w:rsid w:val="000C34DB"/>
    <w:rsid w:val="000D115C"/>
    <w:rsid w:val="000D3508"/>
    <w:rsid w:val="000D5E45"/>
    <w:rsid w:val="000E0BED"/>
    <w:rsid w:val="000E55F7"/>
    <w:rsid w:val="000E748D"/>
    <w:rsid w:val="000F0366"/>
    <w:rsid w:val="000F0AF3"/>
    <w:rsid w:val="000F1845"/>
    <w:rsid w:val="000F3212"/>
    <w:rsid w:val="001002E9"/>
    <w:rsid w:val="00100A3E"/>
    <w:rsid w:val="00102298"/>
    <w:rsid w:val="001024A0"/>
    <w:rsid w:val="00105BCA"/>
    <w:rsid w:val="001112BE"/>
    <w:rsid w:val="001128D8"/>
    <w:rsid w:val="00112B86"/>
    <w:rsid w:val="00115A5F"/>
    <w:rsid w:val="0012236B"/>
    <w:rsid w:val="00126A53"/>
    <w:rsid w:val="00134819"/>
    <w:rsid w:val="0013635D"/>
    <w:rsid w:val="00137524"/>
    <w:rsid w:val="001445AB"/>
    <w:rsid w:val="00144D55"/>
    <w:rsid w:val="00147B2C"/>
    <w:rsid w:val="001601CF"/>
    <w:rsid w:val="00162142"/>
    <w:rsid w:val="001628AF"/>
    <w:rsid w:val="00162D62"/>
    <w:rsid w:val="00165BBE"/>
    <w:rsid w:val="0016691A"/>
    <w:rsid w:val="001717FC"/>
    <w:rsid w:val="001724DB"/>
    <w:rsid w:val="00175167"/>
    <w:rsid w:val="00176F9B"/>
    <w:rsid w:val="00177FED"/>
    <w:rsid w:val="00181112"/>
    <w:rsid w:val="00185375"/>
    <w:rsid w:val="00186475"/>
    <w:rsid w:val="00195549"/>
    <w:rsid w:val="00196F44"/>
    <w:rsid w:val="001A2442"/>
    <w:rsid w:val="001A5845"/>
    <w:rsid w:val="001A6953"/>
    <w:rsid w:val="001B2A65"/>
    <w:rsid w:val="001B39FE"/>
    <w:rsid w:val="001B5FD6"/>
    <w:rsid w:val="001C0054"/>
    <w:rsid w:val="001C2919"/>
    <w:rsid w:val="001C4934"/>
    <w:rsid w:val="001C4B61"/>
    <w:rsid w:val="001C4D0E"/>
    <w:rsid w:val="001C50E8"/>
    <w:rsid w:val="001D23C4"/>
    <w:rsid w:val="001D6D4A"/>
    <w:rsid w:val="001D7FA9"/>
    <w:rsid w:val="001E207A"/>
    <w:rsid w:val="001E3F0E"/>
    <w:rsid w:val="001E5522"/>
    <w:rsid w:val="001E6187"/>
    <w:rsid w:val="001F4E2A"/>
    <w:rsid w:val="001F67BD"/>
    <w:rsid w:val="001F6B81"/>
    <w:rsid w:val="001F70F5"/>
    <w:rsid w:val="001F7B6A"/>
    <w:rsid w:val="002021B2"/>
    <w:rsid w:val="00210A79"/>
    <w:rsid w:val="00211CD3"/>
    <w:rsid w:val="002134FA"/>
    <w:rsid w:val="0021380C"/>
    <w:rsid w:val="00215F50"/>
    <w:rsid w:val="00221191"/>
    <w:rsid w:val="00222289"/>
    <w:rsid w:val="002271F1"/>
    <w:rsid w:val="002408B9"/>
    <w:rsid w:val="00242641"/>
    <w:rsid w:val="00244CA3"/>
    <w:rsid w:val="00244E2F"/>
    <w:rsid w:val="00244F5F"/>
    <w:rsid w:val="00245736"/>
    <w:rsid w:val="00250ED2"/>
    <w:rsid w:val="00251554"/>
    <w:rsid w:val="00252C51"/>
    <w:rsid w:val="00255B41"/>
    <w:rsid w:val="00256C88"/>
    <w:rsid w:val="00261AFA"/>
    <w:rsid w:val="00264C85"/>
    <w:rsid w:val="0026551B"/>
    <w:rsid w:val="00265EC9"/>
    <w:rsid w:val="00266E56"/>
    <w:rsid w:val="0027221C"/>
    <w:rsid w:val="00276625"/>
    <w:rsid w:val="00283F1B"/>
    <w:rsid w:val="00285023"/>
    <w:rsid w:val="00290A05"/>
    <w:rsid w:val="00291791"/>
    <w:rsid w:val="00293A41"/>
    <w:rsid w:val="00294763"/>
    <w:rsid w:val="00294B3A"/>
    <w:rsid w:val="00295FCB"/>
    <w:rsid w:val="00296805"/>
    <w:rsid w:val="0029683A"/>
    <w:rsid w:val="002A0193"/>
    <w:rsid w:val="002A35C1"/>
    <w:rsid w:val="002A537C"/>
    <w:rsid w:val="002A6EEC"/>
    <w:rsid w:val="002B2813"/>
    <w:rsid w:val="002B5A39"/>
    <w:rsid w:val="002B62CD"/>
    <w:rsid w:val="002B6CAF"/>
    <w:rsid w:val="002B7989"/>
    <w:rsid w:val="002C08B5"/>
    <w:rsid w:val="002C0A91"/>
    <w:rsid w:val="002C3E13"/>
    <w:rsid w:val="002C4FE6"/>
    <w:rsid w:val="002C6D2A"/>
    <w:rsid w:val="002D1069"/>
    <w:rsid w:val="002D6BD3"/>
    <w:rsid w:val="002E02F3"/>
    <w:rsid w:val="002E2B19"/>
    <w:rsid w:val="002E2E74"/>
    <w:rsid w:val="002E4404"/>
    <w:rsid w:val="002E6C01"/>
    <w:rsid w:val="002E7666"/>
    <w:rsid w:val="002F1D47"/>
    <w:rsid w:val="002F7734"/>
    <w:rsid w:val="003012E5"/>
    <w:rsid w:val="00311032"/>
    <w:rsid w:val="00311A0E"/>
    <w:rsid w:val="00315197"/>
    <w:rsid w:val="0031575F"/>
    <w:rsid w:val="00315AA1"/>
    <w:rsid w:val="00316831"/>
    <w:rsid w:val="00320D03"/>
    <w:rsid w:val="0032153B"/>
    <w:rsid w:val="00321A4C"/>
    <w:rsid w:val="00321F4F"/>
    <w:rsid w:val="00323665"/>
    <w:rsid w:val="00324FD1"/>
    <w:rsid w:val="0032792B"/>
    <w:rsid w:val="00333D2A"/>
    <w:rsid w:val="003354E8"/>
    <w:rsid w:val="003364B7"/>
    <w:rsid w:val="00336D26"/>
    <w:rsid w:val="00337E64"/>
    <w:rsid w:val="00340A93"/>
    <w:rsid w:val="0034233D"/>
    <w:rsid w:val="00342343"/>
    <w:rsid w:val="0035037A"/>
    <w:rsid w:val="0035082B"/>
    <w:rsid w:val="00353A39"/>
    <w:rsid w:val="0035736C"/>
    <w:rsid w:val="003612F6"/>
    <w:rsid w:val="003621F9"/>
    <w:rsid w:val="003631B0"/>
    <w:rsid w:val="0036528B"/>
    <w:rsid w:val="00367C81"/>
    <w:rsid w:val="003750A4"/>
    <w:rsid w:val="00377480"/>
    <w:rsid w:val="003832E4"/>
    <w:rsid w:val="0038415A"/>
    <w:rsid w:val="003872B8"/>
    <w:rsid w:val="003A1C89"/>
    <w:rsid w:val="003A39DD"/>
    <w:rsid w:val="003A58F5"/>
    <w:rsid w:val="003B1F8E"/>
    <w:rsid w:val="003B4671"/>
    <w:rsid w:val="003B6075"/>
    <w:rsid w:val="003C01F5"/>
    <w:rsid w:val="003C25D7"/>
    <w:rsid w:val="003C7A65"/>
    <w:rsid w:val="003D11A2"/>
    <w:rsid w:val="003D2C6B"/>
    <w:rsid w:val="003E0EA5"/>
    <w:rsid w:val="003E1468"/>
    <w:rsid w:val="003E234C"/>
    <w:rsid w:val="003E2D4E"/>
    <w:rsid w:val="003E3F0B"/>
    <w:rsid w:val="003E5199"/>
    <w:rsid w:val="003F1181"/>
    <w:rsid w:val="003F243D"/>
    <w:rsid w:val="003F5522"/>
    <w:rsid w:val="003F6506"/>
    <w:rsid w:val="00402DFC"/>
    <w:rsid w:val="00406ED2"/>
    <w:rsid w:val="00407F81"/>
    <w:rsid w:val="004113A3"/>
    <w:rsid w:val="00413381"/>
    <w:rsid w:val="00420E48"/>
    <w:rsid w:val="00422ED4"/>
    <w:rsid w:val="004265A8"/>
    <w:rsid w:val="00426FE4"/>
    <w:rsid w:val="00431647"/>
    <w:rsid w:val="004323C3"/>
    <w:rsid w:val="0043513D"/>
    <w:rsid w:val="00435CF6"/>
    <w:rsid w:val="00437996"/>
    <w:rsid w:val="00442F7A"/>
    <w:rsid w:val="00444216"/>
    <w:rsid w:val="0044510D"/>
    <w:rsid w:val="00445E30"/>
    <w:rsid w:val="004514B3"/>
    <w:rsid w:val="00451CEB"/>
    <w:rsid w:val="00451CF9"/>
    <w:rsid w:val="00452F9B"/>
    <w:rsid w:val="00464D73"/>
    <w:rsid w:val="00466DB6"/>
    <w:rsid w:val="00475837"/>
    <w:rsid w:val="00482266"/>
    <w:rsid w:val="00482E74"/>
    <w:rsid w:val="0048333C"/>
    <w:rsid w:val="00483EA1"/>
    <w:rsid w:val="004920A9"/>
    <w:rsid w:val="0049311F"/>
    <w:rsid w:val="0049514D"/>
    <w:rsid w:val="00496D00"/>
    <w:rsid w:val="004A1FD1"/>
    <w:rsid w:val="004A2DDD"/>
    <w:rsid w:val="004A34BA"/>
    <w:rsid w:val="004A50B5"/>
    <w:rsid w:val="004A58C9"/>
    <w:rsid w:val="004A680D"/>
    <w:rsid w:val="004B2219"/>
    <w:rsid w:val="004B29C7"/>
    <w:rsid w:val="004B5FB6"/>
    <w:rsid w:val="004C3466"/>
    <w:rsid w:val="004C350B"/>
    <w:rsid w:val="004C549E"/>
    <w:rsid w:val="004C60A7"/>
    <w:rsid w:val="004C70A0"/>
    <w:rsid w:val="004D1DAA"/>
    <w:rsid w:val="004D22B3"/>
    <w:rsid w:val="004D4F17"/>
    <w:rsid w:val="004D4F62"/>
    <w:rsid w:val="004D69B0"/>
    <w:rsid w:val="004E080A"/>
    <w:rsid w:val="004E0F1D"/>
    <w:rsid w:val="004E2039"/>
    <w:rsid w:val="004E2793"/>
    <w:rsid w:val="004E333B"/>
    <w:rsid w:val="004E3980"/>
    <w:rsid w:val="004E39B6"/>
    <w:rsid w:val="004E46D9"/>
    <w:rsid w:val="004E4BB9"/>
    <w:rsid w:val="004E4ED4"/>
    <w:rsid w:val="004E5D49"/>
    <w:rsid w:val="004E757C"/>
    <w:rsid w:val="004F12B5"/>
    <w:rsid w:val="004F3B79"/>
    <w:rsid w:val="004F3E91"/>
    <w:rsid w:val="004F51DA"/>
    <w:rsid w:val="004F6EF0"/>
    <w:rsid w:val="005005D8"/>
    <w:rsid w:val="005006C4"/>
    <w:rsid w:val="00503CD1"/>
    <w:rsid w:val="005057D6"/>
    <w:rsid w:val="00506F18"/>
    <w:rsid w:val="00507465"/>
    <w:rsid w:val="0051369F"/>
    <w:rsid w:val="0051670C"/>
    <w:rsid w:val="005201D2"/>
    <w:rsid w:val="0052116A"/>
    <w:rsid w:val="005233D2"/>
    <w:rsid w:val="00524C9D"/>
    <w:rsid w:val="00526565"/>
    <w:rsid w:val="00527FF1"/>
    <w:rsid w:val="005328A6"/>
    <w:rsid w:val="00535350"/>
    <w:rsid w:val="00537468"/>
    <w:rsid w:val="005374C8"/>
    <w:rsid w:val="00542A08"/>
    <w:rsid w:val="00546B5B"/>
    <w:rsid w:val="0055165F"/>
    <w:rsid w:val="00553866"/>
    <w:rsid w:val="00553E04"/>
    <w:rsid w:val="005556E9"/>
    <w:rsid w:val="00561241"/>
    <w:rsid w:val="005645F0"/>
    <w:rsid w:val="00566E94"/>
    <w:rsid w:val="0056718B"/>
    <w:rsid w:val="00567279"/>
    <w:rsid w:val="0056729D"/>
    <w:rsid w:val="005738C7"/>
    <w:rsid w:val="00577E8E"/>
    <w:rsid w:val="0058487F"/>
    <w:rsid w:val="00584E4E"/>
    <w:rsid w:val="005854A5"/>
    <w:rsid w:val="00590EE9"/>
    <w:rsid w:val="00590F21"/>
    <w:rsid w:val="005922AB"/>
    <w:rsid w:val="005923F5"/>
    <w:rsid w:val="00594C7F"/>
    <w:rsid w:val="005A1B2D"/>
    <w:rsid w:val="005A221F"/>
    <w:rsid w:val="005A227B"/>
    <w:rsid w:val="005A4D8D"/>
    <w:rsid w:val="005A4EEF"/>
    <w:rsid w:val="005B11A8"/>
    <w:rsid w:val="005B3A7F"/>
    <w:rsid w:val="005B4013"/>
    <w:rsid w:val="005B5F24"/>
    <w:rsid w:val="005B6D21"/>
    <w:rsid w:val="005C59EF"/>
    <w:rsid w:val="005D1DB8"/>
    <w:rsid w:val="005E0742"/>
    <w:rsid w:val="005E1524"/>
    <w:rsid w:val="005E46F5"/>
    <w:rsid w:val="005E5BD6"/>
    <w:rsid w:val="005F0134"/>
    <w:rsid w:val="005F156A"/>
    <w:rsid w:val="005F3E21"/>
    <w:rsid w:val="005F51A9"/>
    <w:rsid w:val="005F7055"/>
    <w:rsid w:val="005F7CED"/>
    <w:rsid w:val="006007FF"/>
    <w:rsid w:val="0060093B"/>
    <w:rsid w:val="00602A09"/>
    <w:rsid w:val="00603C8D"/>
    <w:rsid w:val="00603D58"/>
    <w:rsid w:val="00607B45"/>
    <w:rsid w:val="00607D46"/>
    <w:rsid w:val="00611058"/>
    <w:rsid w:val="00612494"/>
    <w:rsid w:val="00612C13"/>
    <w:rsid w:val="00612D39"/>
    <w:rsid w:val="00614450"/>
    <w:rsid w:val="0061491C"/>
    <w:rsid w:val="00620FC2"/>
    <w:rsid w:val="00623855"/>
    <w:rsid w:val="00624497"/>
    <w:rsid w:val="00632D5D"/>
    <w:rsid w:val="00634B7E"/>
    <w:rsid w:val="006354BD"/>
    <w:rsid w:val="00637914"/>
    <w:rsid w:val="00637BD7"/>
    <w:rsid w:val="00641DE0"/>
    <w:rsid w:val="00642D15"/>
    <w:rsid w:val="006436AF"/>
    <w:rsid w:val="0064575A"/>
    <w:rsid w:val="00646A9E"/>
    <w:rsid w:val="0064752F"/>
    <w:rsid w:val="00651688"/>
    <w:rsid w:val="006576E4"/>
    <w:rsid w:val="00661148"/>
    <w:rsid w:val="00663647"/>
    <w:rsid w:val="00665923"/>
    <w:rsid w:val="00665F54"/>
    <w:rsid w:val="00674FBD"/>
    <w:rsid w:val="00675F59"/>
    <w:rsid w:val="006766CA"/>
    <w:rsid w:val="006808A3"/>
    <w:rsid w:val="006912F1"/>
    <w:rsid w:val="00692056"/>
    <w:rsid w:val="00692BB5"/>
    <w:rsid w:val="0069656D"/>
    <w:rsid w:val="00696AD5"/>
    <w:rsid w:val="006975E9"/>
    <w:rsid w:val="006A001E"/>
    <w:rsid w:val="006A0366"/>
    <w:rsid w:val="006A07ED"/>
    <w:rsid w:val="006A3C15"/>
    <w:rsid w:val="006A6D3B"/>
    <w:rsid w:val="006A75E5"/>
    <w:rsid w:val="006A7CB4"/>
    <w:rsid w:val="006B24D9"/>
    <w:rsid w:val="006B36AB"/>
    <w:rsid w:val="006C09D6"/>
    <w:rsid w:val="006C2C0F"/>
    <w:rsid w:val="006C4D0E"/>
    <w:rsid w:val="006C4FE2"/>
    <w:rsid w:val="006C51F9"/>
    <w:rsid w:val="006C722B"/>
    <w:rsid w:val="006D1CE7"/>
    <w:rsid w:val="006D1F9F"/>
    <w:rsid w:val="006D36C7"/>
    <w:rsid w:val="006D7828"/>
    <w:rsid w:val="006D7A7C"/>
    <w:rsid w:val="006E12C1"/>
    <w:rsid w:val="006E28DA"/>
    <w:rsid w:val="006F47BC"/>
    <w:rsid w:val="006F49C5"/>
    <w:rsid w:val="006F4F1C"/>
    <w:rsid w:val="00701039"/>
    <w:rsid w:val="00702F24"/>
    <w:rsid w:val="00702F37"/>
    <w:rsid w:val="0071522B"/>
    <w:rsid w:val="00717B56"/>
    <w:rsid w:val="00720D62"/>
    <w:rsid w:val="00720E73"/>
    <w:rsid w:val="00724FAA"/>
    <w:rsid w:val="00725C31"/>
    <w:rsid w:val="007260A1"/>
    <w:rsid w:val="00736210"/>
    <w:rsid w:val="00736430"/>
    <w:rsid w:val="00740499"/>
    <w:rsid w:val="0074162E"/>
    <w:rsid w:val="00742186"/>
    <w:rsid w:val="0074296C"/>
    <w:rsid w:val="0074501B"/>
    <w:rsid w:val="00745D04"/>
    <w:rsid w:val="00746037"/>
    <w:rsid w:val="00746EE3"/>
    <w:rsid w:val="00760E97"/>
    <w:rsid w:val="007701CE"/>
    <w:rsid w:val="00771142"/>
    <w:rsid w:val="007722C9"/>
    <w:rsid w:val="00774EC9"/>
    <w:rsid w:val="00777C37"/>
    <w:rsid w:val="00780119"/>
    <w:rsid w:val="007815C0"/>
    <w:rsid w:val="00784CA0"/>
    <w:rsid w:val="00786DC0"/>
    <w:rsid w:val="007908DF"/>
    <w:rsid w:val="00793279"/>
    <w:rsid w:val="00793C16"/>
    <w:rsid w:val="0079460F"/>
    <w:rsid w:val="0079618C"/>
    <w:rsid w:val="007A357D"/>
    <w:rsid w:val="007A4C2B"/>
    <w:rsid w:val="007A7B45"/>
    <w:rsid w:val="007B40DD"/>
    <w:rsid w:val="007B7DEA"/>
    <w:rsid w:val="007C2747"/>
    <w:rsid w:val="007C3DFD"/>
    <w:rsid w:val="007C3EEF"/>
    <w:rsid w:val="007D28A4"/>
    <w:rsid w:val="007D35AE"/>
    <w:rsid w:val="007D37AF"/>
    <w:rsid w:val="007D4D02"/>
    <w:rsid w:val="007D56F4"/>
    <w:rsid w:val="007D6A38"/>
    <w:rsid w:val="007E0D12"/>
    <w:rsid w:val="007E639A"/>
    <w:rsid w:val="007F2A85"/>
    <w:rsid w:val="007F2AED"/>
    <w:rsid w:val="007F6B68"/>
    <w:rsid w:val="008000A0"/>
    <w:rsid w:val="0080074E"/>
    <w:rsid w:val="00803531"/>
    <w:rsid w:val="00804608"/>
    <w:rsid w:val="008060A7"/>
    <w:rsid w:val="008065C8"/>
    <w:rsid w:val="008110E1"/>
    <w:rsid w:val="00811894"/>
    <w:rsid w:val="00813133"/>
    <w:rsid w:val="008161E7"/>
    <w:rsid w:val="00816D53"/>
    <w:rsid w:val="00817E32"/>
    <w:rsid w:val="00825A8D"/>
    <w:rsid w:val="00830424"/>
    <w:rsid w:val="00830F3E"/>
    <w:rsid w:val="00834479"/>
    <w:rsid w:val="008357C3"/>
    <w:rsid w:val="008377E8"/>
    <w:rsid w:val="00841655"/>
    <w:rsid w:val="00847C09"/>
    <w:rsid w:val="00851553"/>
    <w:rsid w:val="00852174"/>
    <w:rsid w:val="00853CE0"/>
    <w:rsid w:val="00854137"/>
    <w:rsid w:val="00854EDB"/>
    <w:rsid w:val="00855450"/>
    <w:rsid w:val="00855B8C"/>
    <w:rsid w:val="00855EC6"/>
    <w:rsid w:val="00856CEE"/>
    <w:rsid w:val="00857DB5"/>
    <w:rsid w:val="00861080"/>
    <w:rsid w:val="008613F0"/>
    <w:rsid w:val="00862DF3"/>
    <w:rsid w:val="00863C9D"/>
    <w:rsid w:val="00865721"/>
    <w:rsid w:val="008663AA"/>
    <w:rsid w:val="00867317"/>
    <w:rsid w:val="00870725"/>
    <w:rsid w:val="00872682"/>
    <w:rsid w:val="0087432B"/>
    <w:rsid w:val="0087785B"/>
    <w:rsid w:val="00880358"/>
    <w:rsid w:val="00880586"/>
    <w:rsid w:val="00880E55"/>
    <w:rsid w:val="00881CFD"/>
    <w:rsid w:val="00886BFC"/>
    <w:rsid w:val="00892C52"/>
    <w:rsid w:val="00893E0C"/>
    <w:rsid w:val="008A08EC"/>
    <w:rsid w:val="008A2885"/>
    <w:rsid w:val="008A2E74"/>
    <w:rsid w:val="008A6DC5"/>
    <w:rsid w:val="008B012B"/>
    <w:rsid w:val="008C432A"/>
    <w:rsid w:val="008C4835"/>
    <w:rsid w:val="008C5F5F"/>
    <w:rsid w:val="008D0834"/>
    <w:rsid w:val="008D1ABB"/>
    <w:rsid w:val="008D2012"/>
    <w:rsid w:val="008D2593"/>
    <w:rsid w:val="008D6199"/>
    <w:rsid w:val="008E16E1"/>
    <w:rsid w:val="008E1DA1"/>
    <w:rsid w:val="008E31D4"/>
    <w:rsid w:val="008E6DE1"/>
    <w:rsid w:val="008E74F0"/>
    <w:rsid w:val="008F204B"/>
    <w:rsid w:val="008F44D1"/>
    <w:rsid w:val="008F7579"/>
    <w:rsid w:val="00900872"/>
    <w:rsid w:val="00900C7E"/>
    <w:rsid w:val="00901EE9"/>
    <w:rsid w:val="00902D8D"/>
    <w:rsid w:val="00903362"/>
    <w:rsid w:val="00903DE1"/>
    <w:rsid w:val="00904075"/>
    <w:rsid w:val="00905AA4"/>
    <w:rsid w:val="0091015B"/>
    <w:rsid w:val="00912230"/>
    <w:rsid w:val="00912D73"/>
    <w:rsid w:val="009146B2"/>
    <w:rsid w:val="00917870"/>
    <w:rsid w:val="009216D5"/>
    <w:rsid w:val="00922851"/>
    <w:rsid w:val="00933F31"/>
    <w:rsid w:val="00935EA7"/>
    <w:rsid w:val="00936E63"/>
    <w:rsid w:val="0093795A"/>
    <w:rsid w:val="00940655"/>
    <w:rsid w:val="00940EB9"/>
    <w:rsid w:val="0094185B"/>
    <w:rsid w:val="0094391C"/>
    <w:rsid w:val="009462F2"/>
    <w:rsid w:val="00951656"/>
    <w:rsid w:val="00955409"/>
    <w:rsid w:val="009564FF"/>
    <w:rsid w:val="00957CF5"/>
    <w:rsid w:val="0096123B"/>
    <w:rsid w:val="00962EDD"/>
    <w:rsid w:val="009665D7"/>
    <w:rsid w:val="00967C97"/>
    <w:rsid w:val="009752C1"/>
    <w:rsid w:val="009804E1"/>
    <w:rsid w:val="0098093D"/>
    <w:rsid w:val="009814BF"/>
    <w:rsid w:val="009818C0"/>
    <w:rsid w:val="009818D4"/>
    <w:rsid w:val="00983E2F"/>
    <w:rsid w:val="00986867"/>
    <w:rsid w:val="00986C0E"/>
    <w:rsid w:val="009934F3"/>
    <w:rsid w:val="009939BB"/>
    <w:rsid w:val="00993DFC"/>
    <w:rsid w:val="009954FD"/>
    <w:rsid w:val="00995DA4"/>
    <w:rsid w:val="009A2197"/>
    <w:rsid w:val="009A3F44"/>
    <w:rsid w:val="009A4B67"/>
    <w:rsid w:val="009A567D"/>
    <w:rsid w:val="009B33B0"/>
    <w:rsid w:val="009B4DB1"/>
    <w:rsid w:val="009C1C5D"/>
    <w:rsid w:val="009C1F1C"/>
    <w:rsid w:val="009C4BB7"/>
    <w:rsid w:val="009C5128"/>
    <w:rsid w:val="009C51A7"/>
    <w:rsid w:val="009C61E4"/>
    <w:rsid w:val="009C703A"/>
    <w:rsid w:val="009C734C"/>
    <w:rsid w:val="009C7A87"/>
    <w:rsid w:val="009D0AC4"/>
    <w:rsid w:val="009D59EB"/>
    <w:rsid w:val="009D61B2"/>
    <w:rsid w:val="009D62E0"/>
    <w:rsid w:val="009E126D"/>
    <w:rsid w:val="009E6D38"/>
    <w:rsid w:val="009F0B32"/>
    <w:rsid w:val="009F2375"/>
    <w:rsid w:val="009F5A83"/>
    <w:rsid w:val="009F5D4E"/>
    <w:rsid w:val="00A15D85"/>
    <w:rsid w:val="00A17A4D"/>
    <w:rsid w:val="00A26113"/>
    <w:rsid w:val="00A272C5"/>
    <w:rsid w:val="00A27564"/>
    <w:rsid w:val="00A310BA"/>
    <w:rsid w:val="00A34768"/>
    <w:rsid w:val="00A35233"/>
    <w:rsid w:val="00A37AE3"/>
    <w:rsid w:val="00A401FB"/>
    <w:rsid w:val="00A42DB0"/>
    <w:rsid w:val="00A451EF"/>
    <w:rsid w:val="00A478D0"/>
    <w:rsid w:val="00A50E1C"/>
    <w:rsid w:val="00A517CD"/>
    <w:rsid w:val="00A5315B"/>
    <w:rsid w:val="00A540C0"/>
    <w:rsid w:val="00A553F5"/>
    <w:rsid w:val="00A55685"/>
    <w:rsid w:val="00A57D5C"/>
    <w:rsid w:val="00A615DC"/>
    <w:rsid w:val="00A6273A"/>
    <w:rsid w:val="00A63219"/>
    <w:rsid w:val="00A63755"/>
    <w:rsid w:val="00A665B7"/>
    <w:rsid w:val="00A67D13"/>
    <w:rsid w:val="00A70CE9"/>
    <w:rsid w:val="00A72281"/>
    <w:rsid w:val="00A73612"/>
    <w:rsid w:val="00A77290"/>
    <w:rsid w:val="00A778E1"/>
    <w:rsid w:val="00A8287F"/>
    <w:rsid w:val="00A8369C"/>
    <w:rsid w:val="00A84686"/>
    <w:rsid w:val="00A84A80"/>
    <w:rsid w:val="00A84FF4"/>
    <w:rsid w:val="00A906E7"/>
    <w:rsid w:val="00A90A80"/>
    <w:rsid w:val="00A90EE0"/>
    <w:rsid w:val="00A90F13"/>
    <w:rsid w:val="00A93057"/>
    <w:rsid w:val="00A9548D"/>
    <w:rsid w:val="00AA271D"/>
    <w:rsid w:val="00AA4292"/>
    <w:rsid w:val="00AA5AEC"/>
    <w:rsid w:val="00AB0876"/>
    <w:rsid w:val="00AB29AB"/>
    <w:rsid w:val="00AB2B66"/>
    <w:rsid w:val="00AC2A89"/>
    <w:rsid w:val="00AC739F"/>
    <w:rsid w:val="00AC79DF"/>
    <w:rsid w:val="00AD1709"/>
    <w:rsid w:val="00AD4478"/>
    <w:rsid w:val="00AD522F"/>
    <w:rsid w:val="00AE5351"/>
    <w:rsid w:val="00AF083D"/>
    <w:rsid w:val="00AF0EEF"/>
    <w:rsid w:val="00AF195A"/>
    <w:rsid w:val="00AF1B8A"/>
    <w:rsid w:val="00AF39B8"/>
    <w:rsid w:val="00AF4E63"/>
    <w:rsid w:val="00B017EF"/>
    <w:rsid w:val="00B03D2D"/>
    <w:rsid w:val="00B04B56"/>
    <w:rsid w:val="00B06493"/>
    <w:rsid w:val="00B11C7E"/>
    <w:rsid w:val="00B11E82"/>
    <w:rsid w:val="00B12778"/>
    <w:rsid w:val="00B153DA"/>
    <w:rsid w:val="00B16FF6"/>
    <w:rsid w:val="00B17F01"/>
    <w:rsid w:val="00B21E0D"/>
    <w:rsid w:val="00B22488"/>
    <w:rsid w:val="00B2292F"/>
    <w:rsid w:val="00B22D74"/>
    <w:rsid w:val="00B23A36"/>
    <w:rsid w:val="00B24EAF"/>
    <w:rsid w:val="00B25569"/>
    <w:rsid w:val="00B26895"/>
    <w:rsid w:val="00B34626"/>
    <w:rsid w:val="00B34E78"/>
    <w:rsid w:val="00B355D8"/>
    <w:rsid w:val="00B3656A"/>
    <w:rsid w:val="00B43531"/>
    <w:rsid w:val="00B474D0"/>
    <w:rsid w:val="00B508FF"/>
    <w:rsid w:val="00B51CA4"/>
    <w:rsid w:val="00B528D4"/>
    <w:rsid w:val="00B52C0B"/>
    <w:rsid w:val="00B5674D"/>
    <w:rsid w:val="00B6349C"/>
    <w:rsid w:val="00B662AE"/>
    <w:rsid w:val="00B66C24"/>
    <w:rsid w:val="00B72A12"/>
    <w:rsid w:val="00B74393"/>
    <w:rsid w:val="00B74B90"/>
    <w:rsid w:val="00B91CA4"/>
    <w:rsid w:val="00B934E6"/>
    <w:rsid w:val="00B96630"/>
    <w:rsid w:val="00BA4468"/>
    <w:rsid w:val="00BA554B"/>
    <w:rsid w:val="00BA5965"/>
    <w:rsid w:val="00BA5B0F"/>
    <w:rsid w:val="00BB0EF2"/>
    <w:rsid w:val="00BB2668"/>
    <w:rsid w:val="00BB2F7C"/>
    <w:rsid w:val="00BB3290"/>
    <w:rsid w:val="00BB3CBD"/>
    <w:rsid w:val="00BB69BF"/>
    <w:rsid w:val="00BB6A3B"/>
    <w:rsid w:val="00BB7672"/>
    <w:rsid w:val="00BC205B"/>
    <w:rsid w:val="00BC2C61"/>
    <w:rsid w:val="00BC36E0"/>
    <w:rsid w:val="00BC3FC3"/>
    <w:rsid w:val="00BD1080"/>
    <w:rsid w:val="00BD3100"/>
    <w:rsid w:val="00BD62F7"/>
    <w:rsid w:val="00BE2991"/>
    <w:rsid w:val="00BE665D"/>
    <w:rsid w:val="00BF43CF"/>
    <w:rsid w:val="00BF45CB"/>
    <w:rsid w:val="00BF4AAA"/>
    <w:rsid w:val="00BF4BB0"/>
    <w:rsid w:val="00BF5713"/>
    <w:rsid w:val="00BF63B7"/>
    <w:rsid w:val="00C0043C"/>
    <w:rsid w:val="00C04E08"/>
    <w:rsid w:val="00C05955"/>
    <w:rsid w:val="00C06353"/>
    <w:rsid w:val="00C0639A"/>
    <w:rsid w:val="00C10EA0"/>
    <w:rsid w:val="00C1190C"/>
    <w:rsid w:val="00C2048F"/>
    <w:rsid w:val="00C21E72"/>
    <w:rsid w:val="00C233A2"/>
    <w:rsid w:val="00C23D0A"/>
    <w:rsid w:val="00C25D97"/>
    <w:rsid w:val="00C318D8"/>
    <w:rsid w:val="00C31C36"/>
    <w:rsid w:val="00C31D0E"/>
    <w:rsid w:val="00C4010E"/>
    <w:rsid w:val="00C40220"/>
    <w:rsid w:val="00C408E2"/>
    <w:rsid w:val="00C423B3"/>
    <w:rsid w:val="00C42BBD"/>
    <w:rsid w:val="00C44059"/>
    <w:rsid w:val="00C4549B"/>
    <w:rsid w:val="00C47E79"/>
    <w:rsid w:val="00C51AD3"/>
    <w:rsid w:val="00C532E0"/>
    <w:rsid w:val="00C53B8E"/>
    <w:rsid w:val="00C546B6"/>
    <w:rsid w:val="00C54F36"/>
    <w:rsid w:val="00C631D8"/>
    <w:rsid w:val="00C63660"/>
    <w:rsid w:val="00C64A9B"/>
    <w:rsid w:val="00C66077"/>
    <w:rsid w:val="00C67310"/>
    <w:rsid w:val="00C674B6"/>
    <w:rsid w:val="00C7416E"/>
    <w:rsid w:val="00C8011B"/>
    <w:rsid w:val="00C81039"/>
    <w:rsid w:val="00C82A26"/>
    <w:rsid w:val="00C82AC7"/>
    <w:rsid w:val="00C82F16"/>
    <w:rsid w:val="00C8351C"/>
    <w:rsid w:val="00C8542C"/>
    <w:rsid w:val="00C865B1"/>
    <w:rsid w:val="00C8742C"/>
    <w:rsid w:val="00C8774A"/>
    <w:rsid w:val="00C919C1"/>
    <w:rsid w:val="00C91CC1"/>
    <w:rsid w:val="00C92627"/>
    <w:rsid w:val="00C93674"/>
    <w:rsid w:val="00C939AB"/>
    <w:rsid w:val="00C94F4E"/>
    <w:rsid w:val="00C96736"/>
    <w:rsid w:val="00C96B8D"/>
    <w:rsid w:val="00CA1F0D"/>
    <w:rsid w:val="00CA3454"/>
    <w:rsid w:val="00CA590F"/>
    <w:rsid w:val="00CA5E7D"/>
    <w:rsid w:val="00CA6FBE"/>
    <w:rsid w:val="00CA7EB2"/>
    <w:rsid w:val="00CB3A20"/>
    <w:rsid w:val="00CB428F"/>
    <w:rsid w:val="00CB462D"/>
    <w:rsid w:val="00CB56D6"/>
    <w:rsid w:val="00CB59CF"/>
    <w:rsid w:val="00CB694C"/>
    <w:rsid w:val="00CB7949"/>
    <w:rsid w:val="00CC0626"/>
    <w:rsid w:val="00CC21FF"/>
    <w:rsid w:val="00CC49F4"/>
    <w:rsid w:val="00CC6557"/>
    <w:rsid w:val="00CD1214"/>
    <w:rsid w:val="00CD298E"/>
    <w:rsid w:val="00CD4BC6"/>
    <w:rsid w:val="00CD561D"/>
    <w:rsid w:val="00CD62A6"/>
    <w:rsid w:val="00CD7D2A"/>
    <w:rsid w:val="00CE2BCD"/>
    <w:rsid w:val="00CE7829"/>
    <w:rsid w:val="00CF0525"/>
    <w:rsid w:val="00CF249B"/>
    <w:rsid w:val="00CF3093"/>
    <w:rsid w:val="00CF5D22"/>
    <w:rsid w:val="00CF7A4A"/>
    <w:rsid w:val="00D07466"/>
    <w:rsid w:val="00D10C39"/>
    <w:rsid w:val="00D137E3"/>
    <w:rsid w:val="00D144F7"/>
    <w:rsid w:val="00D14A9E"/>
    <w:rsid w:val="00D15377"/>
    <w:rsid w:val="00D16CCA"/>
    <w:rsid w:val="00D204DF"/>
    <w:rsid w:val="00D27717"/>
    <w:rsid w:val="00D30F64"/>
    <w:rsid w:val="00D34662"/>
    <w:rsid w:val="00D3653A"/>
    <w:rsid w:val="00D3736C"/>
    <w:rsid w:val="00D37800"/>
    <w:rsid w:val="00D37ACC"/>
    <w:rsid w:val="00D4226A"/>
    <w:rsid w:val="00D43E84"/>
    <w:rsid w:val="00D46AD2"/>
    <w:rsid w:val="00D47190"/>
    <w:rsid w:val="00D477CE"/>
    <w:rsid w:val="00D5055F"/>
    <w:rsid w:val="00D516FD"/>
    <w:rsid w:val="00D5699D"/>
    <w:rsid w:val="00D62291"/>
    <w:rsid w:val="00D6321D"/>
    <w:rsid w:val="00D70212"/>
    <w:rsid w:val="00D704EB"/>
    <w:rsid w:val="00D71853"/>
    <w:rsid w:val="00D71E4B"/>
    <w:rsid w:val="00D721E2"/>
    <w:rsid w:val="00D74E12"/>
    <w:rsid w:val="00D77E18"/>
    <w:rsid w:val="00D803DC"/>
    <w:rsid w:val="00D80987"/>
    <w:rsid w:val="00D848A0"/>
    <w:rsid w:val="00D86AF6"/>
    <w:rsid w:val="00D86DCD"/>
    <w:rsid w:val="00D87394"/>
    <w:rsid w:val="00D90643"/>
    <w:rsid w:val="00D9191E"/>
    <w:rsid w:val="00D92781"/>
    <w:rsid w:val="00D92983"/>
    <w:rsid w:val="00D93BAD"/>
    <w:rsid w:val="00D975E6"/>
    <w:rsid w:val="00DA0492"/>
    <w:rsid w:val="00DA1898"/>
    <w:rsid w:val="00DA2E9D"/>
    <w:rsid w:val="00DA3E60"/>
    <w:rsid w:val="00DA401E"/>
    <w:rsid w:val="00DA4BBC"/>
    <w:rsid w:val="00DA5FA3"/>
    <w:rsid w:val="00DA6B01"/>
    <w:rsid w:val="00DB02EB"/>
    <w:rsid w:val="00DB0C60"/>
    <w:rsid w:val="00DB0D48"/>
    <w:rsid w:val="00DB1243"/>
    <w:rsid w:val="00DB2505"/>
    <w:rsid w:val="00DB3136"/>
    <w:rsid w:val="00DB6CAD"/>
    <w:rsid w:val="00DC14DE"/>
    <w:rsid w:val="00DC4CE3"/>
    <w:rsid w:val="00DC72CB"/>
    <w:rsid w:val="00DC7742"/>
    <w:rsid w:val="00DD0CB3"/>
    <w:rsid w:val="00DD1FBC"/>
    <w:rsid w:val="00DD29FB"/>
    <w:rsid w:val="00DD54B8"/>
    <w:rsid w:val="00DD7A1D"/>
    <w:rsid w:val="00DE105C"/>
    <w:rsid w:val="00DE3307"/>
    <w:rsid w:val="00DE4A23"/>
    <w:rsid w:val="00DE53C7"/>
    <w:rsid w:val="00DF02BE"/>
    <w:rsid w:val="00DF5B35"/>
    <w:rsid w:val="00DF5F79"/>
    <w:rsid w:val="00DF671F"/>
    <w:rsid w:val="00DF7277"/>
    <w:rsid w:val="00E01F75"/>
    <w:rsid w:val="00E02926"/>
    <w:rsid w:val="00E10ACE"/>
    <w:rsid w:val="00E11B06"/>
    <w:rsid w:val="00E11CD4"/>
    <w:rsid w:val="00E1477A"/>
    <w:rsid w:val="00E15071"/>
    <w:rsid w:val="00E20FF2"/>
    <w:rsid w:val="00E25594"/>
    <w:rsid w:val="00E309E8"/>
    <w:rsid w:val="00E31C6F"/>
    <w:rsid w:val="00E34489"/>
    <w:rsid w:val="00E37F7B"/>
    <w:rsid w:val="00E41F9B"/>
    <w:rsid w:val="00E508CC"/>
    <w:rsid w:val="00E54049"/>
    <w:rsid w:val="00E572B1"/>
    <w:rsid w:val="00E61F1F"/>
    <w:rsid w:val="00E6312B"/>
    <w:rsid w:val="00E643B8"/>
    <w:rsid w:val="00E66114"/>
    <w:rsid w:val="00E67192"/>
    <w:rsid w:val="00E67895"/>
    <w:rsid w:val="00E67985"/>
    <w:rsid w:val="00E70072"/>
    <w:rsid w:val="00E7243B"/>
    <w:rsid w:val="00E73721"/>
    <w:rsid w:val="00E75F6D"/>
    <w:rsid w:val="00E85659"/>
    <w:rsid w:val="00E95E62"/>
    <w:rsid w:val="00E96B30"/>
    <w:rsid w:val="00EA3727"/>
    <w:rsid w:val="00EA4486"/>
    <w:rsid w:val="00EA4B4D"/>
    <w:rsid w:val="00EA6AD6"/>
    <w:rsid w:val="00EB0764"/>
    <w:rsid w:val="00EB1F00"/>
    <w:rsid w:val="00EB49B9"/>
    <w:rsid w:val="00EC0500"/>
    <w:rsid w:val="00ED385E"/>
    <w:rsid w:val="00EF1D50"/>
    <w:rsid w:val="00EF5878"/>
    <w:rsid w:val="00EF6787"/>
    <w:rsid w:val="00EF6E9A"/>
    <w:rsid w:val="00EF758C"/>
    <w:rsid w:val="00F02EA7"/>
    <w:rsid w:val="00F03E70"/>
    <w:rsid w:val="00F04C2A"/>
    <w:rsid w:val="00F05BDF"/>
    <w:rsid w:val="00F05D3F"/>
    <w:rsid w:val="00F111E2"/>
    <w:rsid w:val="00F124FA"/>
    <w:rsid w:val="00F12AEC"/>
    <w:rsid w:val="00F24059"/>
    <w:rsid w:val="00F24D1D"/>
    <w:rsid w:val="00F27305"/>
    <w:rsid w:val="00F31B33"/>
    <w:rsid w:val="00F33DE3"/>
    <w:rsid w:val="00F35906"/>
    <w:rsid w:val="00F35CB4"/>
    <w:rsid w:val="00F35D5C"/>
    <w:rsid w:val="00F3671A"/>
    <w:rsid w:val="00F40AC7"/>
    <w:rsid w:val="00F44F73"/>
    <w:rsid w:val="00F45CE3"/>
    <w:rsid w:val="00F47027"/>
    <w:rsid w:val="00F4735D"/>
    <w:rsid w:val="00F533E9"/>
    <w:rsid w:val="00F54530"/>
    <w:rsid w:val="00F555C8"/>
    <w:rsid w:val="00F56DDA"/>
    <w:rsid w:val="00F571D2"/>
    <w:rsid w:val="00F605B0"/>
    <w:rsid w:val="00F6375D"/>
    <w:rsid w:val="00F717E3"/>
    <w:rsid w:val="00F736F7"/>
    <w:rsid w:val="00F76F46"/>
    <w:rsid w:val="00F82CB2"/>
    <w:rsid w:val="00F82FB9"/>
    <w:rsid w:val="00F83E2A"/>
    <w:rsid w:val="00F90A30"/>
    <w:rsid w:val="00F91049"/>
    <w:rsid w:val="00F93B3C"/>
    <w:rsid w:val="00F9520C"/>
    <w:rsid w:val="00F97380"/>
    <w:rsid w:val="00FA231B"/>
    <w:rsid w:val="00FA2D4B"/>
    <w:rsid w:val="00FA48E5"/>
    <w:rsid w:val="00FA5405"/>
    <w:rsid w:val="00FA6545"/>
    <w:rsid w:val="00FB08FE"/>
    <w:rsid w:val="00FB1709"/>
    <w:rsid w:val="00FB335C"/>
    <w:rsid w:val="00FB4885"/>
    <w:rsid w:val="00FB7903"/>
    <w:rsid w:val="00FB7913"/>
    <w:rsid w:val="00FC3822"/>
    <w:rsid w:val="00FC59AD"/>
    <w:rsid w:val="00FD101D"/>
    <w:rsid w:val="00FD30DB"/>
    <w:rsid w:val="00FD49CF"/>
    <w:rsid w:val="00FD5FF9"/>
    <w:rsid w:val="00FE1321"/>
    <w:rsid w:val="00FE168F"/>
    <w:rsid w:val="00FE3124"/>
    <w:rsid w:val="00FE3268"/>
    <w:rsid w:val="00FE32CD"/>
    <w:rsid w:val="00FE3F56"/>
    <w:rsid w:val="00FE7D89"/>
    <w:rsid w:val="00FF0A18"/>
    <w:rsid w:val="00FF1E81"/>
    <w:rsid w:val="00FF3329"/>
    <w:rsid w:val="00FF334A"/>
    <w:rsid w:val="06FDDCFA"/>
    <w:rsid w:val="15284BF0"/>
    <w:rsid w:val="158C3859"/>
    <w:rsid w:val="17AC351C"/>
    <w:rsid w:val="183B1A2D"/>
    <w:rsid w:val="1FFB0F00"/>
    <w:rsid w:val="21DC79F5"/>
    <w:rsid w:val="24488FE9"/>
    <w:rsid w:val="2AC41EAE"/>
    <w:rsid w:val="2C47792D"/>
    <w:rsid w:val="331FF84E"/>
    <w:rsid w:val="3424E994"/>
    <w:rsid w:val="35EBA48D"/>
    <w:rsid w:val="404C822D"/>
    <w:rsid w:val="4941569F"/>
    <w:rsid w:val="4E13278F"/>
    <w:rsid w:val="4EA9FA26"/>
    <w:rsid w:val="530EF1C3"/>
    <w:rsid w:val="558B62EC"/>
    <w:rsid w:val="56A03E56"/>
    <w:rsid w:val="576506FF"/>
    <w:rsid w:val="5D2D3BDD"/>
    <w:rsid w:val="6574C7A6"/>
    <w:rsid w:val="693709BC"/>
    <w:rsid w:val="6B7C3880"/>
    <w:rsid w:val="6DCDBF62"/>
    <w:rsid w:val="761671B5"/>
    <w:rsid w:val="76A90F93"/>
    <w:rsid w:val="76C73BA7"/>
    <w:rsid w:val="7873981D"/>
    <w:rsid w:val="79050CD0"/>
    <w:rsid w:val="796A9126"/>
    <w:rsid w:val="7BE69A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CE063"/>
  <w15:chartTrackingRefBased/>
  <w15:docId w15:val="{2AF025FF-DF2F-4D63-94DF-23B9DD37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66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71F1"/>
    <w:pPr>
      <w:ind w:left="720"/>
      <w:contextualSpacing/>
    </w:pPr>
  </w:style>
  <w:style w:type="character" w:customStyle="1" w:styleId="normaltextrun">
    <w:name w:val="normaltextrun"/>
    <w:basedOn w:val="Fuentedeprrafopredeter"/>
    <w:rsid w:val="002271F1"/>
  </w:style>
  <w:style w:type="character" w:customStyle="1" w:styleId="eop">
    <w:name w:val="eop"/>
    <w:basedOn w:val="Fuentedeprrafopredeter"/>
    <w:rsid w:val="002271F1"/>
  </w:style>
  <w:style w:type="paragraph" w:styleId="Encabezado">
    <w:name w:val="header"/>
    <w:basedOn w:val="Normal"/>
    <w:link w:val="EncabezadoCar"/>
    <w:uiPriority w:val="99"/>
    <w:unhideWhenUsed/>
    <w:rsid w:val="00244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E2F"/>
  </w:style>
  <w:style w:type="paragraph" w:styleId="Piedepgina">
    <w:name w:val="footer"/>
    <w:basedOn w:val="Normal"/>
    <w:link w:val="PiedepginaCar"/>
    <w:uiPriority w:val="99"/>
    <w:unhideWhenUsed/>
    <w:rsid w:val="00244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E2F"/>
  </w:style>
  <w:style w:type="paragraph" w:styleId="Sinespaciado">
    <w:name w:val="No Spacing"/>
    <w:uiPriority w:val="1"/>
    <w:qFormat/>
    <w:rsid w:val="00553866"/>
    <w:pPr>
      <w:spacing w:after="0" w:line="240" w:lineRule="auto"/>
    </w:pPr>
  </w:style>
  <w:style w:type="paragraph" w:styleId="NormalWeb">
    <w:name w:val="Normal (Web)"/>
    <w:basedOn w:val="Normal"/>
    <w:uiPriority w:val="99"/>
    <w:semiHidden/>
    <w:unhideWhenUsed/>
    <w:rsid w:val="007908D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7908DF"/>
  </w:style>
  <w:style w:type="character" w:styleId="Refdecomentario">
    <w:name w:val="annotation reference"/>
    <w:basedOn w:val="Fuentedeprrafopredeter"/>
    <w:uiPriority w:val="99"/>
    <w:semiHidden/>
    <w:unhideWhenUsed/>
    <w:rsid w:val="003F6506"/>
    <w:rPr>
      <w:sz w:val="16"/>
      <w:szCs w:val="16"/>
    </w:rPr>
  </w:style>
  <w:style w:type="paragraph" w:styleId="Textocomentario">
    <w:name w:val="annotation text"/>
    <w:basedOn w:val="Normal"/>
    <w:link w:val="TextocomentarioCar"/>
    <w:uiPriority w:val="99"/>
    <w:semiHidden/>
    <w:unhideWhenUsed/>
    <w:rsid w:val="003F65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6506"/>
    <w:rPr>
      <w:sz w:val="20"/>
      <w:szCs w:val="20"/>
    </w:rPr>
  </w:style>
  <w:style w:type="paragraph" w:styleId="Asuntodelcomentario">
    <w:name w:val="annotation subject"/>
    <w:basedOn w:val="Textocomentario"/>
    <w:next w:val="Textocomentario"/>
    <w:link w:val="AsuntodelcomentarioCar"/>
    <w:uiPriority w:val="99"/>
    <w:semiHidden/>
    <w:unhideWhenUsed/>
    <w:rsid w:val="003F6506"/>
    <w:rPr>
      <w:b/>
      <w:bCs/>
    </w:rPr>
  </w:style>
  <w:style w:type="character" w:customStyle="1" w:styleId="AsuntodelcomentarioCar">
    <w:name w:val="Asunto del comentario Car"/>
    <w:basedOn w:val="TextocomentarioCar"/>
    <w:link w:val="Asuntodelcomentario"/>
    <w:uiPriority w:val="99"/>
    <w:semiHidden/>
    <w:rsid w:val="003F6506"/>
    <w:rPr>
      <w:b/>
      <w:bCs/>
      <w:sz w:val="20"/>
      <w:szCs w:val="20"/>
    </w:rPr>
  </w:style>
  <w:style w:type="paragraph" w:styleId="Textodeglobo">
    <w:name w:val="Balloon Text"/>
    <w:basedOn w:val="Normal"/>
    <w:link w:val="TextodegloboCar"/>
    <w:uiPriority w:val="99"/>
    <w:semiHidden/>
    <w:unhideWhenUsed/>
    <w:rsid w:val="003F65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506"/>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iPriority w:val="99"/>
    <w:unhideWhenUsed/>
    <w:qFormat/>
    <w:rsid w:val="00566E94"/>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qFormat/>
    <w:rsid w:val="00566E94"/>
    <w:rPr>
      <w:sz w:val="20"/>
      <w:szCs w:val="20"/>
    </w:rPr>
  </w:style>
  <w:style w:type="character" w:styleId="Refdenotaalpie">
    <w:name w:val="footnote reference"/>
    <w:aliases w:val="Texto de nota al pie,FC,referencia nota al pie,Ref. de nota al pie 2,Pie de Página,Appel note de bas de page,Footnotes refss,Footnote number,BVI fnr,f,4_G,16 Point,Superscript 6 Point,Texto nota al pie,Texto de nota al pi,Pie de Pàgi"/>
    <w:basedOn w:val="Fuentedeprrafopredeter"/>
    <w:link w:val="Refdenotaalpie2"/>
    <w:uiPriority w:val="99"/>
    <w:unhideWhenUsed/>
    <w:qFormat/>
    <w:rsid w:val="00566E94"/>
    <w:rPr>
      <w:vertAlign w:val="superscript"/>
    </w:rPr>
  </w:style>
  <w:style w:type="character" w:styleId="Hipervnculo">
    <w:name w:val="Hyperlink"/>
    <w:basedOn w:val="Fuentedeprrafopredeter"/>
    <w:uiPriority w:val="99"/>
    <w:semiHidden/>
    <w:unhideWhenUsed/>
    <w:rsid w:val="00804608"/>
    <w:rPr>
      <w:color w:val="0000FF"/>
      <w:u w:val="single"/>
    </w:rPr>
  </w:style>
  <w:style w:type="paragraph" w:customStyle="1" w:styleId="CuerpoA">
    <w:name w:val="Cuerpo A"/>
    <w:link w:val="CuerpoACar"/>
    <w:rsid w:val="00D86AF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CuerpoACar">
    <w:name w:val="Cuerpo A Car"/>
    <w:link w:val="CuerpoA"/>
    <w:rsid w:val="00D86AF6"/>
    <w:rPr>
      <w:rFonts w:ascii="Times New Roman" w:eastAsia="Arial Unicode MS" w:hAnsi="Arial Unicode MS" w:cs="Arial Unicode MS"/>
      <w:color w:val="000000"/>
      <w:sz w:val="24"/>
      <w:szCs w:val="24"/>
      <w:u w:color="000000"/>
      <w:bdr w:val="nil"/>
      <w:lang w:val="es-ES_tradnl" w:eastAsia="es-ES"/>
    </w:rPr>
  </w:style>
  <w:style w:type="paragraph" w:customStyle="1" w:styleId="Refdenotaalpie2">
    <w:name w:val="Ref. de nota al pie2"/>
    <w:aliases w:val="Nota de pie,Pie de pagina"/>
    <w:basedOn w:val="Normal"/>
    <w:link w:val="Refdenotaalpie"/>
    <w:uiPriority w:val="99"/>
    <w:rsid w:val="00D77E18"/>
    <w:pPr>
      <w:spacing w:line="240" w:lineRule="exact"/>
    </w:pPr>
    <w:rPr>
      <w:vertAlign w:val="superscript"/>
    </w:rPr>
  </w:style>
  <w:style w:type="paragraph" w:customStyle="1" w:styleId="footnotedescription">
    <w:name w:val="footnote description"/>
    <w:next w:val="Normal"/>
    <w:link w:val="footnotedescriptionChar"/>
    <w:hidden/>
    <w:rsid w:val="00A17A4D"/>
    <w:pPr>
      <w:spacing w:after="0"/>
      <w:ind w:left="604"/>
    </w:pPr>
    <w:rPr>
      <w:rFonts w:ascii="Calibri" w:eastAsia="Calibri" w:hAnsi="Calibri" w:cs="Calibri"/>
      <w:color w:val="000000"/>
      <w:sz w:val="13"/>
      <w:lang w:eastAsia="es-CO"/>
    </w:rPr>
  </w:style>
  <w:style w:type="character" w:customStyle="1" w:styleId="footnotedescriptionChar">
    <w:name w:val="footnote description Char"/>
    <w:link w:val="footnotedescription"/>
    <w:rsid w:val="00A17A4D"/>
    <w:rPr>
      <w:rFonts w:ascii="Calibri" w:eastAsia="Calibri" w:hAnsi="Calibri" w:cs="Calibri"/>
      <w:color w:val="000000"/>
      <w:sz w:val="13"/>
      <w:lang w:eastAsia="es-CO"/>
    </w:rPr>
  </w:style>
  <w:style w:type="character" w:customStyle="1" w:styleId="footnotemark">
    <w:name w:val="footnote mark"/>
    <w:hidden/>
    <w:rsid w:val="00A17A4D"/>
    <w:rPr>
      <w:rFonts w:ascii="Calibri" w:eastAsia="Calibri" w:hAnsi="Calibri" w:cs="Calibri"/>
      <w:color w:val="000000"/>
      <w:sz w:val="13"/>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0411">
      <w:bodyDiv w:val="1"/>
      <w:marLeft w:val="0"/>
      <w:marRight w:val="0"/>
      <w:marTop w:val="0"/>
      <w:marBottom w:val="0"/>
      <w:divBdr>
        <w:top w:val="none" w:sz="0" w:space="0" w:color="auto"/>
        <w:left w:val="none" w:sz="0" w:space="0" w:color="auto"/>
        <w:bottom w:val="none" w:sz="0" w:space="0" w:color="auto"/>
        <w:right w:val="none" w:sz="0" w:space="0" w:color="auto"/>
      </w:divBdr>
    </w:div>
    <w:div w:id="157622363">
      <w:bodyDiv w:val="1"/>
      <w:marLeft w:val="0"/>
      <w:marRight w:val="0"/>
      <w:marTop w:val="0"/>
      <w:marBottom w:val="0"/>
      <w:divBdr>
        <w:top w:val="none" w:sz="0" w:space="0" w:color="auto"/>
        <w:left w:val="none" w:sz="0" w:space="0" w:color="auto"/>
        <w:bottom w:val="none" w:sz="0" w:space="0" w:color="auto"/>
        <w:right w:val="none" w:sz="0" w:space="0" w:color="auto"/>
      </w:divBdr>
    </w:div>
    <w:div w:id="690303535">
      <w:bodyDiv w:val="1"/>
      <w:marLeft w:val="0"/>
      <w:marRight w:val="0"/>
      <w:marTop w:val="0"/>
      <w:marBottom w:val="0"/>
      <w:divBdr>
        <w:top w:val="none" w:sz="0" w:space="0" w:color="auto"/>
        <w:left w:val="none" w:sz="0" w:space="0" w:color="auto"/>
        <w:bottom w:val="none" w:sz="0" w:space="0" w:color="auto"/>
        <w:right w:val="none" w:sz="0" w:space="0" w:color="auto"/>
      </w:divBdr>
    </w:div>
    <w:div w:id="863514481">
      <w:bodyDiv w:val="1"/>
      <w:marLeft w:val="0"/>
      <w:marRight w:val="0"/>
      <w:marTop w:val="0"/>
      <w:marBottom w:val="0"/>
      <w:divBdr>
        <w:top w:val="none" w:sz="0" w:space="0" w:color="auto"/>
        <w:left w:val="none" w:sz="0" w:space="0" w:color="auto"/>
        <w:bottom w:val="none" w:sz="0" w:space="0" w:color="auto"/>
        <w:right w:val="none" w:sz="0" w:space="0" w:color="auto"/>
      </w:divBdr>
    </w:div>
    <w:div w:id="872035068">
      <w:bodyDiv w:val="1"/>
      <w:marLeft w:val="0"/>
      <w:marRight w:val="0"/>
      <w:marTop w:val="0"/>
      <w:marBottom w:val="0"/>
      <w:divBdr>
        <w:top w:val="none" w:sz="0" w:space="0" w:color="auto"/>
        <w:left w:val="none" w:sz="0" w:space="0" w:color="auto"/>
        <w:bottom w:val="none" w:sz="0" w:space="0" w:color="auto"/>
        <w:right w:val="none" w:sz="0" w:space="0" w:color="auto"/>
      </w:divBdr>
    </w:div>
    <w:div w:id="1544830332">
      <w:bodyDiv w:val="1"/>
      <w:marLeft w:val="0"/>
      <w:marRight w:val="0"/>
      <w:marTop w:val="0"/>
      <w:marBottom w:val="0"/>
      <w:divBdr>
        <w:top w:val="none" w:sz="0" w:space="0" w:color="auto"/>
        <w:left w:val="none" w:sz="0" w:space="0" w:color="auto"/>
        <w:bottom w:val="none" w:sz="0" w:space="0" w:color="auto"/>
        <w:right w:val="none" w:sz="0" w:space="0" w:color="auto"/>
      </w:divBdr>
    </w:div>
    <w:div w:id="1974090679">
      <w:bodyDiv w:val="1"/>
      <w:marLeft w:val="0"/>
      <w:marRight w:val="0"/>
      <w:marTop w:val="0"/>
      <w:marBottom w:val="0"/>
      <w:divBdr>
        <w:top w:val="none" w:sz="0" w:space="0" w:color="auto"/>
        <w:left w:val="none" w:sz="0" w:space="0" w:color="auto"/>
        <w:bottom w:val="none" w:sz="0" w:space="0" w:color="auto"/>
        <w:right w:val="none" w:sz="0" w:space="0" w:color="auto"/>
      </w:divBdr>
    </w:div>
    <w:div w:id="21450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099faf58276a4ab8"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25901-E4D5-4DEA-88FC-6CEAC214BF06}">
  <ds:schemaRefs>
    <ds:schemaRef ds:uri="http://schemas.microsoft.com/sharepoint/v3/contenttype/forms"/>
  </ds:schemaRefs>
</ds:datastoreItem>
</file>

<file path=customXml/itemProps2.xml><?xml version="1.0" encoding="utf-8"?>
<ds:datastoreItem xmlns:ds="http://schemas.openxmlformats.org/officeDocument/2006/customXml" ds:itemID="{E7A4257B-F34F-4440-A298-C2DF81C2B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C2C03-B04A-45A2-BC5A-174AF4A5FFDA}">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9464171D-B9D7-4621-9552-3B13F704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7290</Words>
  <Characters>40096</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Giraldo Mejia</dc:creator>
  <cp:keywords/>
  <dc:description/>
  <cp:lastModifiedBy>Hermides Alonso Gaviria Ocampo</cp:lastModifiedBy>
  <cp:revision>6</cp:revision>
  <dcterms:created xsi:type="dcterms:W3CDTF">2022-09-13T14:33:00Z</dcterms:created>
  <dcterms:modified xsi:type="dcterms:W3CDTF">2022-11-02T14:53:00Z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