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3DDC" w14:textId="77777777" w:rsidR="00147395" w:rsidRPr="00147395" w:rsidRDefault="00147395" w:rsidP="0014739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126245716"/>
      <w:r w:rsidRPr="0014739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A50B18" w14:textId="77777777" w:rsidR="00147395" w:rsidRPr="00147395" w:rsidRDefault="00147395" w:rsidP="00147395">
      <w:pPr>
        <w:jc w:val="both"/>
        <w:rPr>
          <w:rFonts w:ascii="Arial" w:eastAsia="Times New Roman" w:hAnsi="Arial" w:cs="Arial"/>
          <w:sz w:val="20"/>
          <w:szCs w:val="20"/>
          <w:lang w:val="es-419" w:eastAsia="es-ES"/>
        </w:rPr>
      </w:pPr>
    </w:p>
    <w:p w14:paraId="1F2F59A3" w14:textId="7473CC37" w:rsidR="00C43AB2" w:rsidRDefault="00C43AB2" w:rsidP="009F237B">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Expediente:</w:t>
      </w:r>
      <w:r>
        <w:rPr>
          <w:rFonts w:ascii="Arial" w:eastAsia="Times New Roman" w:hAnsi="Arial" w:cs="Arial"/>
          <w:sz w:val="20"/>
          <w:szCs w:val="20"/>
          <w:lang w:val="es-419" w:eastAsia="es-ES"/>
        </w:rPr>
        <w:tab/>
      </w:r>
      <w:r w:rsidRPr="00C43AB2">
        <w:rPr>
          <w:rFonts w:ascii="Arial" w:eastAsia="Times New Roman" w:hAnsi="Arial" w:cs="Arial"/>
          <w:sz w:val="20"/>
          <w:szCs w:val="20"/>
          <w:lang w:val="es-419" w:eastAsia="es-ES"/>
        </w:rPr>
        <w:t>66001310300220120043502</w:t>
      </w:r>
    </w:p>
    <w:p w14:paraId="6E92C5F0" w14:textId="2005F25B" w:rsidR="009F237B" w:rsidRPr="00147395" w:rsidRDefault="009F237B" w:rsidP="009F237B">
      <w:pPr>
        <w:jc w:val="both"/>
        <w:rPr>
          <w:rFonts w:ascii="Arial" w:eastAsia="Times New Roman" w:hAnsi="Arial" w:cs="Arial"/>
          <w:sz w:val="20"/>
          <w:szCs w:val="20"/>
          <w:lang w:val="es-419" w:eastAsia="es-ES"/>
        </w:rPr>
      </w:pPr>
      <w:r w:rsidRPr="009F237B">
        <w:rPr>
          <w:rFonts w:ascii="Arial" w:eastAsia="Times New Roman" w:hAnsi="Arial" w:cs="Arial"/>
          <w:sz w:val="20"/>
          <w:szCs w:val="20"/>
          <w:lang w:val="es-419" w:eastAsia="es-ES"/>
        </w:rPr>
        <w:t>Proceso:</w:t>
      </w:r>
      <w:r w:rsidRPr="009F237B">
        <w:rPr>
          <w:rFonts w:ascii="Arial" w:eastAsia="Times New Roman" w:hAnsi="Arial" w:cs="Arial"/>
          <w:sz w:val="20"/>
          <w:szCs w:val="20"/>
          <w:lang w:val="es-419" w:eastAsia="es-ES"/>
        </w:rPr>
        <w:tab/>
        <w:t>Liquidación de sociedad comercial</w:t>
      </w:r>
    </w:p>
    <w:p w14:paraId="342A1505" w14:textId="77777777" w:rsidR="009F237B" w:rsidRPr="009F237B" w:rsidRDefault="009F237B" w:rsidP="009F237B">
      <w:pPr>
        <w:jc w:val="both"/>
        <w:rPr>
          <w:rFonts w:ascii="Arial" w:eastAsia="Times New Roman" w:hAnsi="Arial" w:cs="Arial"/>
          <w:sz w:val="20"/>
          <w:szCs w:val="20"/>
          <w:lang w:val="es-419" w:eastAsia="es-ES"/>
        </w:rPr>
      </w:pPr>
      <w:r w:rsidRPr="009F237B">
        <w:rPr>
          <w:rFonts w:ascii="Arial" w:eastAsia="Times New Roman" w:hAnsi="Arial" w:cs="Arial"/>
          <w:sz w:val="20"/>
          <w:szCs w:val="20"/>
          <w:lang w:val="es-419" w:eastAsia="es-ES"/>
        </w:rPr>
        <w:t>Demandante:</w:t>
      </w:r>
      <w:r w:rsidRPr="009F237B">
        <w:rPr>
          <w:rFonts w:ascii="Arial" w:eastAsia="Times New Roman" w:hAnsi="Arial" w:cs="Arial"/>
          <w:sz w:val="20"/>
          <w:szCs w:val="20"/>
          <w:lang w:val="es-419" w:eastAsia="es-ES"/>
        </w:rPr>
        <w:tab/>
        <w:t>Luz Amparo Rodríguez Gutiérrez</w:t>
      </w:r>
    </w:p>
    <w:p w14:paraId="4D753C14" w14:textId="0FC079A2" w:rsidR="009F237B" w:rsidRPr="009F237B" w:rsidRDefault="009F237B" w:rsidP="009F237B">
      <w:pPr>
        <w:jc w:val="both"/>
        <w:rPr>
          <w:rFonts w:ascii="Arial" w:eastAsia="Times New Roman" w:hAnsi="Arial" w:cs="Arial"/>
          <w:sz w:val="20"/>
          <w:szCs w:val="20"/>
          <w:lang w:val="es-419" w:eastAsia="es-ES"/>
        </w:rPr>
      </w:pPr>
      <w:r w:rsidRPr="009F237B">
        <w:rPr>
          <w:rFonts w:ascii="Arial" w:eastAsia="Times New Roman" w:hAnsi="Arial" w:cs="Arial"/>
          <w:sz w:val="20"/>
          <w:szCs w:val="20"/>
          <w:lang w:val="es-419" w:eastAsia="es-ES"/>
        </w:rPr>
        <w:t>Demandado:</w:t>
      </w:r>
      <w:r w:rsidRPr="009F237B">
        <w:rPr>
          <w:rFonts w:ascii="Arial" w:eastAsia="Times New Roman" w:hAnsi="Arial" w:cs="Arial"/>
          <w:sz w:val="20"/>
          <w:szCs w:val="20"/>
          <w:lang w:val="es-419" w:eastAsia="es-ES"/>
        </w:rPr>
        <w:tab/>
        <w:t>Óscar Yesid Sánchez Medina</w:t>
      </w:r>
    </w:p>
    <w:p w14:paraId="78DE4922" w14:textId="77777777" w:rsidR="00147395" w:rsidRPr="00147395" w:rsidRDefault="00147395" w:rsidP="00147395">
      <w:pPr>
        <w:jc w:val="both"/>
        <w:rPr>
          <w:rFonts w:ascii="Arial" w:eastAsia="Times New Roman" w:hAnsi="Arial" w:cs="Arial"/>
          <w:sz w:val="20"/>
          <w:szCs w:val="20"/>
          <w:lang w:val="es-419" w:eastAsia="es-ES"/>
        </w:rPr>
      </w:pPr>
    </w:p>
    <w:p w14:paraId="02A896F7" w14:textId="56ACBC8D" w:rsidR="00147395" w:rsidRPr="00147395" w:rsidRDefault="00A40682" w:rsidP="00147395">
      <w:pPr>
        <w:jc w:val="both"/>
        <w:rPr>
          <w:rFonts w:ascii="Arial" w:eastAsia="Times New Roman" w:hAnsi="Arial" w:cs="Arial"/>
          <w:sz w:val="20"/>
          <w:szCs w:val="20"/>
          <w:lang w:val="es-419" w:eastAsia="es-ES"/>
        </w:rPr>
      </w:pPr>
      <w:r w:rsidRPr="00147395">
        <w:rPr>
          <w:rFonts w:ascii="Arial" w:eastAsia="Times New Roman" w:hAnsi="Arial" w:cs="Arial"/>
          <w:b/>
          <w:bCs/>
          <w:iCs/>
          <w:sz w:val="20"/>
          <w:szCs w:val="20"/>
          <w:u w:val="single"/>
          <w:lang w:val="es-419" w:eastAsia="fr-FR"/>
        </w:rPr>
        <w:t>TEMAS:</w:t>
      </w:r>
      <w:r w:rsidRPr="0014739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LIQUIDACIÓN DE SOCIEDAD COMERCIAL / </w:t>
      </w:r>
      <w:r w:rsidRPr="00C43AB2">
        <w:rPr>
          <w:rFonts w:ascii="Arial" w:eastAsia="Times New Roman" w:hAnsi="Arial" w:cs="Arial"/>
          <w:b/>
          <w:bCs/>
          <w:iCs/>
          <w:sz w:val="20"/>
          <w:szCs w:val="20"/>
          <w:lang w:val="es-419" w:eastAsia="fr-FR"/>
        </w:rPr>
        <w:t>CUENTAS FINALES LIQUIDADOR</w:t>
      </w:r>
      <w:r>
        <w:rPr>
          <w:rFonts w:ascii="Arial" w:eastAsia="Times New Roman" w:hAnsi="Arial" w:cs="Arial"/>
          <w:b/>
          <w:bCs/>
          <w:iCs/>
          <w:sz w:val="20"/>
          <w:szCs w:val="20"/>
          <w:lang w:val="es-419" w:eastAsia="fr-FR"/>
        </w:rPr>
        <w:t xml:space="preserve"> / NO ESTÁ PREVISTO TRÁMITE ALGUNO / NI TRASLADO, NI OBJECIÓN / APROBACIÓN DE LAS CUENTAS / APELACIÓN DEL AUTO / PROCEDE PORQUE TERMINA EL PROCESO.</w:t>
      </w:r>
    </w:p>
    <w:p w14:paraId="18B42DB7" w14:textId="77777777" w:rsidR="00147395" w:rsidRPr="00147395" w:rsidRDefault="00147395" w:rsidP="00147395">
      <w:pPr>
        <w:jc w:val="both"/>
        <w:rPr>
          <w:rFonts w:ascii="Arial" w:eastAsia="Times New Roman" w:hAnsi="Arial" w:cs="Arial"/>
          <w:sz w:val="20"/>
          <w:szCs w:val="20"/>
          <w:lang w:eastAsia="es-ES"/>
        </w:rPr>
      </w:pPr>
    </w:p>
    <w:p w14:paraId="4B7638C4" w14:textId="5BB769C9" w:rsidR="00C43AB2" w:rsidRDefault="00D179E3" w:rsidP="00C43AB2">
      <w:pPr>
        <w:jc w:val="both"/>
        <w:rPr>
          <w:rFonts w:ascii="Arial" w:eastAsia="Times New Roman" w:hAnsi="Arial" w:cs="Arial"/>
          <w:sz w:val="20"/>
          <w:szCs w:val="20"/>
          <w:lang w:eastAsia="es-ES"/>
        </w:rPr>
      </w:pPr>
      <w:r w:rsidRPr="00D179E3">
        <w:rPr>
          <w:rFonts w:ascii="Arial" w:eastAsia="Times New Roman" w:hAnsi="Arial" w:cs="Arial"/>
          <w:sz w:val="20"/>
          <w:szCs w:val="20"/>
          <w:lang w:eastAsia="es-ES"/>
        </w:rPr>
        <w:t>Surge en este caso la inquietud de si el auto protestado es pasible del recurso de apelación. A primera vista, no parece que lo fuera, en cuanto nada dice el artículo 530 del CGP acerca de esa posibilidad frente a la decisión de aprobar las cuentas finales del liquidador</w:t>
      </w:r>
      <w:r w:rsidR="008C74E8">
        <w:rPr>
          <w:rFonts w:ascii="Arial" w:eastAsia="Times New Roman" w:hAnsi="Arial" w:cs="Arial"/>
          <w:sz w:val="20"/>
          <w:szCs w:val="20"/>
          <w:lang w:eastAsia="es-ES"/>
        </w:rPr>
        <w:t>…</w:t>
      </w:r>
    </w:p>
    <w:p w14:paraId="0C2AAE80" w14:textId="5C751DD2" w:rsidR="00C43AB2" w:rsidRDefault="00C43AB2" w:rsidP="00C43AB2">
      <w:pPr>
        <w:jc w:val="both"/>
        <w:rPr>
          <w:rFonts w:ascii="Arial" w:eastAsia="Times New Roman" w:hAnsi="Arial" w:cs="Arial"/>
          <w:sz w:val="20"/>
          <w:szCs w:val="20"/>
          <w:lang w:eastAsia="es-ES"/>
        </w:rPr>
      </w:pPr>
    </w:p>
    <w:p w14:paraId="1405D968" w14:textId="01B16F01" w:rsidR="00C43AB2" w:rsidRDefault="008C74E8" w:rsidP="00C43AB2">
      <w:pPr>
        <w:jc w:val="both"/>
        <w:rPr>
          <w:rFonts w:ascii="Arial" w:eastAsia="Times New Roman" w:hAnsi="Arial" w:cs="Arial"/>
          <w:sz w:val="20"/>
          <w:szCs w:val="20"/>
          <w:lang w:eastAsia="es-ES"/>
        </w:rPr>
      </w:pPr>
      <w:r w:rsidRPr="008C74E8">
        <w:rPr>
          <w:rFonts w:ascii="Arial" w:eastAsia="Times New Roman" w:hAnsi="Arial" w:cs="Arial"/>
          <w:sz w:val="20"/>
          <w:szCs w:val="20"/>
          <w:lang w:eastAsia="es-ES"/>
        </w:rPr>
        <w:t>Lo que queda, entonces, es que, como el numeral 11 del artículo 530 ordena que luego de aprobar las cuentas el juez termine el proceso, se debe acudir al artículo 321 del estatuto procesal, como lo hizo el Juzgado, que prevé en su numeral 7 que es apelable el auto que por cualquier causa le ponga fin al proceso.</w:t>
      </w:r>
    </w:p>
    <w:p w14:paraId="1B80734D" w14:textId="29D41695" w:rsidR="00C43AB2" w:rsidRDefault="00C43AB2" w:rsidP="00C43AB2">
      <w:pPr>
        <w:jc w:val="both"/>
        <w:rPr>
          <w:rFonts w:ascii="Arial" w:eastAsia="Times New Roman" w:hAnsi="Arial" w:cs="Arial"/>
          <w:sz w:val="20"/>
          <w:szCs w:val="20"/>
          <w:lang w:eastAsia="es-ES"/>
        </w:rPr>
      </w:pPr>
    </w:p>
    <w:p w14:paraId="52969C86" w14:textId="74CA3881" w:rsidR="00EA5CD7" w:rsidRPr="00EA5CD7" w:rsidRDefault="00EA5CD7" w:rsidP="00EA5CD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A5CD7">
        <w:rPr>
          <w:rFonts w:ascii="Arial" w:eastAsia="Times New Roman" w:hAnsi="Arial" w:cs="Arial"/>
          <w:sz w:val="20"/>
          <w:szCs w:val="20"/>
          <w:lang w:eastAsia="es-ES"/>
        </w:rPr>
        <w:t xml:space="preserve">a la lectura del artículo 530 del CGP, no se advierte que esté previsto trámite alguno en relación con las cuentas finales que presenta el liquidador; ni un traslado a las partes, ni la posibilidad de objetarlas. De allí surgiría que la inconformidad con esas cuentas debe ventilarse por la vía del proceso de rendición de cuentas, esto es, en un proceso separado. </w:t>
      </w:r>
    </w:p>
    <w:p w14:paraId="76FFA8D4" w14:textId="77777777" w:rsidR="00EA5CD7" w:rsidRPr="00EA5CD7" w:rsidRDefault="00EA5CD7" w:rsidP="00EA5CD7">
      <w:pPr>
        <w:jc w:val="both"/>
        <w:rPr>
          <w:rFonts w:ascii="Arial" w:eastAsia="Times New Roman" w:hAnsi="Arial" w:cs="Arial"/>
          <w:sz w:val="20"/>
          <w:szCs w:val="20"/>
          <w:lang w:eastAsia="es-ES"/>
        </w:rPr>
      </w:pPr>
    </w:p>
    <w:p w14:paraId="48732227" w14:textId="099411A7" w:rsidR="00C43AB2" w:rsidRDefault="00EA5CD7" w:rsidP="00EA5CD7">
      <w:pPr>
        <w:jc w:val="both"/>
        <w:rPr>
          <w:rFonts w:ascii="Arial" w:eastAsia="Times New Roman" w:hAnsi="Arial" w:cs="Arial"/>
          <w:sz w:val="20"/>
          <w:szCs w:val="20"/>
          <w:lang w:eastAsia="es-ES"/>
        </w:rPr>
      </w:pPr>
      <w:r w:rsidRPr="00EA5CD7">
        <w:rPr>
          <w:rFonts w:ascii="Arial" w:eastAsia="Times New Roman" w:hAnsi="Arial" w:cs="Arial"/>
          <w:sz w:val="20"/>
          <w:szCs w:val="20"/>
          <w:lang w:eastAsia="es-ES"/>
        </w:rPr>
        <w:t>Y aún si pudiera pensarse que el trámite de las objeciones sí es viable, y que se acudiera por analogía a la regulación que trae el artículo 500 del CGP sobre las cuentas rendidas por el albacea (o el secuestre), lo cierto es que a ello se llegaría en caso de que, en realidad, se hubieran formulado objeciones. Pero, en estricto sentido, aquí eso no ha ocurrido.</w:t>
      </w:r>
    </w:p>
    <w:p w14:paraId="77B7FAEA" w14:textId="77777777" w:rsidR="00C43AB2" w:rsidRPr="00147395" w:rsidRDefault="00C43AB2" w:rsidP="00C43AB2">
      <w:pPr>
        <w:jc w:val="both"/>
        <w:rPr>
          <w:rFonts w:ascii="Arial" w:eastAsia="Times New Roman" w:hAnsi="Arial" w:cs="Arial"/>
          <w:sz w:val="20"/>
          <w:szCs w:val="20"/>
          <w:lang w:eastAsia="es-ES"/>
        </w:rPr>
      </w:pPr>
    </w:p>
    <w:p w14:paraId="186AC9F0" w14:textId="06C60554" w:rsidR="00147395" w:rsidRDefault="00EA5CD7" w:rsidP="00147395">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A5CD7">
        <w:rPr>
          <w:rFonts w:ascii="Arial" w:eastAsia="Times New Roman" w:hAnsi="Arial" w:cs="Arial"/>
          <w:sz w:val="20"/>
          <w:szCs w:val="20"/>
          <w:lang w:eastAsia="es-ES"/>
        </w:rPr>
        <w:t>objetar, según la RAE, significa, en una de sus acepciones, “oponer una razón a lo que se ha dicho o intentado”. Y al repasar el escrito presentado de consuno por las partes, ninguna razón opone al informe de la liquidadora, todo lo que hacen es pedirle que aclare su informe final</w:t>
      </w:r>
      <w:r>
        <w:rPr>
          <w:rFonts w:ascii="Arial" w:eastAsia="Times New Roman" w:hAnsi="Arial" w:cs="Arial"/>
          <w:sz w:val="20"/>
          <w:szCs w:val="20"/>
          <w:lang w:eastAsia="es-ES"/>
        </w:rPr>
        <w:t>…</w:t>
      </w:r>
    </w:p>
    <w:p w14:paraId="62B2C15E" w14:textId="77777777" w:rsidR="00EA5CD7" w:rsidRPr="00147395" w:rsidRDefault="00EA5CD7" w:rsidP="00147395">
      <w:pPr>
        <w:jc w:val="both"/>
        <w:rPr>
          <w:rFonts w:ascii="Arial" w:eastAsia="Times New Roman" w:hAnsi="Arial" w:cs="Arial"/>
          <w:sz w:val="20"/>
          <w:szCs w:val="20"/>
          <w:lang w:eastAsia="es-ES"/>
        </w:rPr>
      </w:pPr>
    </w:p>
    <w:p w14:paraId="53D1C0AC" w14:textId="77777777" w:rsidR="00147395" w:rsidRPr="00147395" w:rsidRDefault="00147395" w:rsidP="00147395">
      <w:pPr>
        <w:jc w:val="both"/>
        <w:rPr>
          <w:rFonts w:ascii="Arial" w:eastAsia="Times New Roman" w:hAnsi="Arial" w:cs="Arial"/>
          <w:sz w:val="20"/>
          <w:szCs w:val="20"/>
          <w:lang w:eastAsia="es-ES"/>
        </w:rPr>
      </w:pPr>
    </w:p>
    <w:p w14:paraId="30D96113" w14:textId="77777777" w:rsidR="00147395" w:rsidRPr="00147395" w:rsidRDefault="00147395" w:rsidP="00147395">
      <w:pPr>
        <w:jc w:val="both"/>
        <w:rPr>
          <w:rFonts w:ascii="Arial" w:eastAsia="Times New Roman" w:hAnsi="Arial" w:cs="Arial"/>
          <w:sz w:val="20"/>
          <w:szCs w:val="20"/>
          <w:lang w:eastAsia="es-ES"/>
        </w:rPr>
      </w:pPr>
    </w:p>
    <w:p w14:paraId="1E6DE089" w14:textId="77777777" w:rsidR="00147395" w:rsidRPr="00147395" w:rsidRDefault="00147395" w:rsidP="00C43AB2">
      <w:pPr>
        <w:spacing w:line="276" w:lineRule="auto"/>
        <w:ind w:right="1213" w:firstLine="1701"/>
        <w:outlineLvl w:val="1"/>
        <w:rPr>
          <w:b/>
          <w:bCs/>
          <w:sz w:val="24"/>
          <w:szCs w:val="24"/>
        </w:rPr>
      </w:pPr>
      <w:r w:rsidRPr="00147395">
        <w:rPr>
          <w:b/>
          <w:bCs/>
          <w:sz w:val="24"/>
          <w:szCs w:val="24"/>
        </w:rPr>
        <w:t>TRIBUNAL SUPERIOR DEL DISTRITO JUDICIAL</w:t>
      </w:r>
    </w:p>
    <w:p w14:paraId="784B97F2" w14:textId="77777777" w:rsidR="00147395" w:rsidRPr="00147395" w:rsidRDefault="00147395" w:rsidP="00C43AB2">
      <w:pPr>
        <w:spacing w:line="276" w:lineRule="auto"/>
        <w:ind w:left="423" w:right="1213" w:firstLine="1701"/>
        <w:outlineLvl w:val="1"/>
        <w:rPr>
          <w:b/>
          <w:bCs/>
          <w:sz w:val="24"/>
          <w:szCs w:val="24"/>
        </w:rPr>
      </w:pPr>
      <w:r w:rsidRPr="00147395">
        <w:rPr>
          <w:rFonts w:eastAsia="Calibri" w:cs="Times New Roman"/>
          <w:b/>
          <w:sz w:val="24"/>
          <w:szCs w:val="24"/>
        </w:rPr>
        <w:t xml:space="preserve">     SALA DE DECISIÓN CIVIL FAMILIA </w:t>
      </w:r>
    </w:p>
    <w:p w14:paraId="07111741" w14:textId="77777777" w:rsidR="00147395" w:rsidRPr="00147395" w:rsidRDefault="00147395" w:rsidP="00C43AB2">
      <w:pPr>
        <w:spacing w:line="276" w:lineRule="auto"/>
        <w:ind w:firstLine="993"/>
        <w:jc w:val="both"/>
        <w:rPr>
          <w:rFonts w:eastAsia="Calibri" w:cs="Times New Roman"/>
          <w:sz w:val="24"/>
          <w:szCs w:val="24"/>
        </w:rPr>
      </w:pPr>
    </w:p>
    <w:bookmarkEnd w:id="0"/>
    <w:p w14:paraId="26ACF1CF" w14:textId="77777777" w:rsidR="009C7612" w:rsidRPr="007A151D" w:rsidRDefault="00143BB8" w:rsidP="007A151D">
      <w:pPr>
        <w:widowControl/>
        <w:autoSpaceDE/>
        <w:autoSpaceDN/>
        <w:spacing w:line="276" w:lineRule="auto"/>
        <w:ind w:left="1416" w:firstLine="708"/>
        <w:rPr>
          <w:rFonts w:eastAsia="Malgun Gothic" w:cs="Estrangelo Edessa"/>
          <w:sz w:val="24"/>
          <w:szCs w:val="24"/>
          <w:lang w:val="es-CO"/>
        </w:rPr>
      </w:pPr>
      <w:r w:rsidRPr="007A151D">
        <w:rPr>
          <w:rFonts w:eastAsia="Malgun Gothic" w:cs="Estrangelo Edessa"/>
          <w:sz w:val="24"/>
          <w:szCs w:val="24"/>
          <w:lang w:val="es-CO"/>
        </w:rPr>
        <w:t>Magistrado:</w:t>
      </w:r>
      <w:r w:rsidRPr="007A151D">
        <w:rPr>
          <w:rFonts w:eastAsia="Malgun Gothic" w:cs="Estrangelo Edessa"/>
          <w:sz w:val="24"/>
          <w:szCs w:val="24"/>
          <w:lang w:val="es-CO"/>
        </w:rPr>
        <w:tab/>
        <w:t>Jaime Alberto Saraza Naranjo Pereira</w:t>
      </w:r>
    </w:p>
    <w:p w14:paraId="7E8AC33A" w14:textId="748C1CCB" w:rsidR="00C34631" w:rsidRPr="007A151D" w:rsidRDefault="009C7612" w:rsidP="007A151D">
      <w:pPr>
        <w:widowControl/>
        <w:autoSpaceDE/>
        <w:autoSpaceDN/>
        <w:spacing w:line="276" w:lineRule="auto"/>
        <w:ind w:left="1416" w:firstLine="708"/>
        <w:rPr>
          <w:rFonts w:eastAsia="Malgun Gothic" w:cs="Estrangelo Edessa"/>
          <w:sz w:val="24"/>
          <w:szCs w:val="24"/>
          <w:lang w:val="es-CO"/>
        </w:rPr>
      </w:pPr>
      <w:r w:rsidRPr="007A151D">
        <w:rPr>
          <w:rFonts w:eastAsia="Malgun Gothic" w:cs="Estrangelo Edessa"/>
          <w:sz w:val="24"/>
          <w:szCs w:val="24"/>
          <w:lang w:val="es-CO"/>
        </w:rPr>
        <w:t>Pereira,</w:t>
      </w:r>
      <w:r w:rsidRPr="007A151D">
        <w:rPr>
          <w:rFonts w:eastAsia="Malgun Gothic" w:cs="Estrangelo Edessa"/>
          <w:sz w:val="24"/>
          <w:szCs w:val="24"/>
          <w:lang w:val="es-CO"/>
        </w:rPr>
        <w:tab/>
      </w:r>
      <w:r w:rsidR="00701C4B" w:rsidRPr="007A151D">
        <w:rPr>
          <w:rFonts w:eastAsia="Malgun Gothic" w:cs="Estrangelo Edessa"/>
          <w:sz w:val="24"/>
          <w:szCs w:val="24"/>
          <w:lang w:val="es-CO"/>
        </w:rPr>
        <w:t xml:space="preserve">Diciembre </w:t>
      </w:r>
      <w:r w:rsidR="00A46532" w:rsidRPr="007A151D">
        <w:rPr>
          <w:rFonts w:eastAsia="Malgun Gothic" w:cs="Estrangelo Edessa"/>
          <w:sz w:val="24"/>
          <w:szCs w:val="24"/>
          <w:lang w:val="es-CO"/>
        </w:rPr>
        <w:t>seis</w:t>
      </w:r>
      <w:r w:rsidR="00701C4B" w:rsidRPr="007A151D">
        <w:rPr>
          <w:rFonts w:eastAsia="Malgun Gothic" w:cs="Estrangelo Edessa"/>
          <w:sz w:val="24"/>
          <w:szCs w:val="24"/>
          <w:lang w:val="es-CO"/>
        </w:rPr>
        <w:t xml:space="preserve"> de dos mil veintidós</w:t>
      </w:r>
    </w:p>
    <w:p w14:paraId="48EF4A19" w14:textId="78F5BA4E" w:rsidR="00FD0FCD" w:rsidRPr="007A151D" w:rsidRDefault="00143BB8" w:rsidP="007A151D">
      <w:pPr>
        <w:widowControl/>
        <w:autoSpaceDE/>
        <w:autoSpaceDN/>
        <w:spacing w:line="276" w:lineRule="auto"/>
        <w:ind w:left="1416" w:firstLine="708"/>
        <w:rPr>
          <w:rFonts w:eastAsia="Malgun Gothic" w:cs="Estrangelo Edessa"/>
          <w:sz w:val="24"/>
          <w:szCs w:val="24"/>
          <w:lang w:val="es-CO"/>
        </w:rPr>
      </w:pPr>
      <w:r w:rsidRPr="007A151D">
        <w:rPr>
          <w:rFonts w:eastAsia="Malgun Gothic" w:cs="Estrangelo Edessa"/>
          <w:sz w:val="24"/>
          <w:szCs w:val="24"/>
          <w:lang w:val="es-CO"/>
        </w:rPr>
        <w:t>Auto:</w:t>
      </w:r>
      <w:r w:rsidR="009C7612" w:rsidRPr="007A151D">
        <w:rPr>
          <w:rFonts w:eastAsia="Malgun Gothic" w:cs="Estrangelo Edessa"/>
          <w:sz w:val="24"/>
          <w:szCs w:val="24"/>
          <w:lang w:val="es-CO"/>
        </w:rPr>
        <w:tab/>
      </w:r>
      <w:r w:rsidRPr="007A151D">
        <w:rPr>
          <w:rFonts w:eastAsia="Malgun Gothic" w:cs="Estrangelo Edessa"/>
          <w:sz w:val="24"/>
          <w:szCs w:val="24"/>
          <w:lang w:val="es-CO"/>
        </w:rPr>
        <w:tab/>
      </w:r>
      <w:r w:rsidR="00BB1B3E" w:rsidRPr="007A151D">
        <w:rPr>
          <w:rFonts w:eastAsia="Malgun Gothic" w:cs="Estrangelo Edessa"/>
          <w:sz w:val="24"/>
          <w:szCs w:val="24"/>
          <w:lang w:val="es-CO"/>
        </w:rPr>
        <w:t>AC-0175-2022</w:t>
      </w:r>
    </w:p>
    <w:p w14:paraId="1EFA7F1F" w14:textId="4AFEE82C" w:rsidR="00FD0FCD" w:rsidRPr="00C43AB2" w:rsidRDefault="00FD0FCD" w:rsidP="00C43AB2">
      <w:pPr>
        <w:spacing w:line="276" w:lineRule="auto"/>
        <w:ind w:right="193" w:firstLine="1701"/>
        <w:rPr>
          <w:sz w:val="24"/>
          <w:szCs w:val="24"/>
        </w:rPr>
      </w:pPr>
      <w:bookmarkStart w:id="1" w:name="_GoBack"/>
      <w:bookmarkEnd w:id="1"/>
    </w:p>
    <w:p w14:paraId="301DCC8F" w14:textId="77777777" w:rsidR="00DE75C0" w:rsidRPr="00C43AB2" w:rsidRDefault="00DE75C0" w:rsidP="00C43AB2">
      <w:pPr>
        <w:spacing w:line="276" w:lineRule="auto"/>
        <w:ind w:firstLine="1701"/>
        <w:rPr>
          <w:sz w:val="24"/>
          <w:szCs w:val="24"/>
        </w:rPr>
      </w:pPr>
    </w:p>
    <w:p w14:paraId="37B15AC0" w14:textId="18851B94" w:rsidR="00EF4EDC" w:rsidRPr="00D26DE4" w:rsidRDefault="00B709F0" w:rsidP="00C43AB2">
      <w:pPr>
        <w:spacing w:line="276" w:lineRule="auto"/>
        <w:ind w:right="113"/>
        <w:jc w:val="both"/>
        <w:rPr>
          <w:sz w:val="24"/>
          <w:szCs w:val="24"/>
        </w:rPr>
      </w:pPr>
      <w:r w:rsidRPr="00D26DE4">
        <w:rPr>
          <w:sz w:val="24"/>
          <w:szCs w:val="24"/>
        </w:rPr>
        <w:t xml:space="preserve">Resuelve la Sala el </w:t>
      </w:r>
      <w:r w:rsidR="00143BB8" w:rsidRPr="00D26DE4">
        <w:rPr>
          <w:sz w:val="24"/>
          <w:szCs w:val="24"/>
        </w:rPr>
        <w:t xml:space="preserve">recurso de apelación interpuesto por </w:t>
      </w:r>
      <w:r w:rsidR="00082B95" w:rsidRPr="00D26DE4">
        <w:rPr>
          <w:sz w:val="24"/>
          <w:szCs w:val="24"/>
        </w:rPr>
        <w:t>la</w:t>
      </w:r>
      <w:r w:rsidR="001B625A" w:rsidRPr="00D26DE4">
        <w:rPr>
          <w:sz w:val="24"/>
          <w:szCs w:val="24"/>
        </w:rPr>
        <w:t>s</w:t>
      </w:r>
      <w:r w:rsidR="00082B95" w:rsidRPr="00D26DE4">
        <w:rPr>
          <w:sz w:val="24"/>
          <w:szCs w:val="24"/>
        </w:rPr>
        <w:t xml:space="preserve"> parte</w:t>
      </w:r>
      <w:r w:rsidR="001B625A" w:rsidRPr="00D26DE4">
        <w:rPr>
          <w:sz w:val="24"/>
          <w:szCs w:val="24"/>
        </w:rPr>
        <w:t>s</w:t>
      </w:r>
      <w:r w:rsidR="00082B95" w:rsidRPr="00D26DE4">
        <w:rPr>
          <w:sz w:val="24"/>
          <w:szCs w:val="24"/>
        </w:rPr>
        <w:t xml:space="preserve"> contra el a</w:t>
      </w:r>
      <w:r w:rsidR="00EF4EDC" w:rsidRPr="00D26DE4">
        <w:rPr>
          <w:sz w:val="24"/>
          <w:szCs w:val="24"/>
        </w:rPr>
        <w:t>u</w:t>
      </w:r>
      <w:r w:rsidR="00082B95" w:rsidRPr="00D26DE4">
        <w:rPr>
          <w:sz w:val="24"/>
          <w:szCs w:val="24"/>
        </w:rPr>
        <w:t xml:space="preserve">to del </w:t>
      </w:r>
      <w:r w:rsidR="00A66B18" w:rsidRPr="00D26DE4">
        <w:rPr>
          <w:sz w:val="24"/>
          <w:szCs w:val="24"/>
        </w:rPr>
        <w:t>13 de diciembre de 2021</w:t>
      </w:r>
      <w:r w:rsidR="00690E7C" w:rsidRPr="00D26DE4">
        <w:rPr>
          <w:sz w:val="24"/>
          <w:szCs w:val="24"/>
        </w:rPr>
        <w:t>,</w:t>
      </w:r>
      <w:r w:rsidR="00082B95" w:rsidRPr="00D26DE4">
        <w:rPr>
          <w:sz w:val="24"/>
          <w:szCs w:val="24"/>
        </w:rPr>
        <w:t xml:space="preserve"> proferido por el Juzgado </w:t>
      </w:r>
      <w:r w:rsidR="00A66B18" w:rsidRPr="00D26DE4">
        <w:rPr>
          <w:sz w:val="24"/>
          <w:szCs w:val="24"/>
        </w:rPr>
        <w:t xml:space="preserve">Segundo Civil del Circuito de Pereira, en este proceso de </w:t>
      </w:r>
      <w:r w:rsidR="00A66B18" w:rsidRPr="00D26DE4">
        <w:rPr>
          <w:b/>
          <w:sz w:val="24"/>
          <w:szCs w:val="24"/>
        </w:rPr>
        <w:t>liquidación de sociedad comercial</w:t>
      </w:r>
      <w:r w:rsidR="00A66B18" w:rsidRPr="00D26DE4">
        <w:rPr>
          <w:sz w:val="24"/>
          <w:szCs w:val="24"/>
        </w:rPr>
        <w:t xml:space="preserve"> </w:t>
      </w:r>
      <w:r w:rsidRPr="00D26DE4">
        <w:rPr>
          <w:sz w:val="24"/>
          <w:szCs w:val="24"/>
        </w:rPr>
        <w:t xml:space="preserve">que </w:t>
      </w:r>
      <w:r w:rsidR="00A66B18" w:rsidRPr="00D26DE4">
        <w:rPr>
          <w:b/>
          <w:bCs/>
          <w:sz w:val="24"/>
          <w:szCs w:val="24"/>
        </w:rPr>
        <w:t xml:space="preserve">Luz Amparo Rodríguez Gutiérrez </w:t>
      </w:r>
      <w:r w:rsidR="00EF4EDC" w:rsidRPr="00D26DE4">
        <w:rPr>
          <w:sz w:val="24"/>
          <w:szCs w:val="24"/>
        </w:rPr>
        <w:t xml:space="preserve">inició frente a </w:t>
      </w:r>
      <w:r w:rsidR="00A66B18" w:rsidRPr="00D26DE4">
        <w:rPr>
          <w:b/>
          <w:bCs/>
          <w:sz w:val="24"/>
          <w:szCs w:val="24"/>
        </w:rPr>
        <w:t>Óscar Yesid Sánchez Medina.</w:t>
      </w:r>
      <w:r w:rsidR="00A66B18" w:rsidRPr="00D26DE4">
        <w:rPr>
          <w:sz w:val="24"/>
          <w:szCs w:val="24"/>
        </w:rPr>
        <w:t xml:space="preserve"> </w:t>
      </w:r>
    </w:p>
    <w:p w14:paraId="06BA760D" w14:textId="046E3379" w:rsidR="00FD0FCD" w:rsidRPr="00D26DE4" w:rsidRDefault="00FD0FCD" w:rsidP="00C43AB2">
      <w:pPr>
        <w:spacing w:line="276" w:lineRule="auto"/>
        <w:rPr>
          <w:b/>
          <w:sz w:val="24"/>
          <w:szCs w:val="24"/>
        </w:rPr>
      </w:pPr>
    </w:p>
    <w:p w14:paraId="3A4F8D91" w14:textId="77777777" w:rsidR="00FD0FCD" w:rsidRPr="00D26DE4" w:rsidRDefault="00143BB8" w:rsidP="00C43AB2">
      <w:pPr>
        <w:pStyle w:val="Ttulo2"/>
        <w:spacing w:before="0" w:line="276" w:lineRule="auto"/>
        <w:ind w:left="0"/>
        <w:rPr>
          <w:sz w:val="24"/>
          <w:szCs w:val="24"/>
        </w:rPr>
      </w:pPr>
      <w:r w:rsidRPr="00D26DE4">
        <w:rPr>
          <w:sz w:val="24"/>
          <w:szCs w:val="24"/>
        </w:rPr>
        <w:t>ANTECEDENTES</w:t>
      </w:r>
    </w:p>
    <w:p w14:paraId="18F6BA09" w14:textId="695A2FBE" w:rsidR="00FD0FCD" w:rsidRPr="00D26DE4" w:rsidRDefault="00FD0FCD" w:rsidP="00C43AB2">
      <w:pPr>
        <w:spacing w:line="276" w:lineRule="auto"/>
        <w:rPr>
          <w:b/>
          <w:sz w:val="24"/>
          <w:szCs w:val="24"/>
        </w:rPr>
      </w:pPr>
    </w:p>
    <w:p w14:paraId="6DABE0E4" w14:textId="714B3E24" w:rsidR="00B709F0" w:rsidRPr="00D26DE4" w:rsidRDefault="00143BB8" w:rsidP="00C43AB2">
      <w:pPr>
        <w:pStyle w:val="Textoindependiente"/>
        <w:spacing w:line="276" w:lineRule="auto"/>
        <w:ind w:right="51"/>
        <w:jc w:val="both"/>
        <w:rPr>
          <w:rFonts w:ascii="Gadugi" w:hAnsi="Gadugi"/>
          <w:sz w:val="24"/>
          <w:szCs w:val="24"/>
        </w:rPr>
      </w:pPr>
      <w:r w:rsidRPr="00D26DE4">
        <w:rPr>
          <w:rFonts w:ascii="Gadugi" w:hAnsi="Gadugi"/>
          <w:sz w:val="24"/>
          <w:szCs w:val="24"/>
        </w:rPr>
        <w:t xml:space="preserve">En el referido </w:t>
      </w:r>
      <w:r w:rsidR="00B8613D" w:rsidRPr="00D26DE4">
        <w:rPr>
          <w:rFonts w:ascii="Gadugi" w:hAnsi="Gadugi"/>
          <w:sz w:val="24"/>
          <w:szCs w:val="24"/>
        </w:rPr>
        <w:t xml:space="preserve">proceso, </w:t>
      </w:r>
      <w:r w:rsidR="00A66B18" w:rsidRPr="00D26DE4">
        <w:rPr>
          <w:rFonts w:ascii="Gadugi" w:hAnsi="Gadugi"/>
          <w:sz w:val="24"/>
          <w:szCs w:val="24"/>
        </w:rPr>
        <w:t>la liquidadora designada presentó el informe final de su gestión</w:t>
      </w:r>
      <w:r w:rsidR="00A66B18" w:rsidRPr="00D26DE4">
        <w:rPr>
          <w:rStyle w:val="Refdenotaalpie"/>
          <w:rFonts w:ascii="Gadugi" w:hAnsi="Gadugi"/>
          <w:sz w:val="24"/>
          <w:szCs w:val="24"/>
        </w:rPr>
        <w:footnoteReference w:id="1"/>
      </w:r>
      <w:r w:rsidR="00A66B18" w:rsidRPr="00D26DE4">
        <w:rPr>
          <w:rFonts w:ascii="Gadugi" w:hAnsi="Gadugi"/>
          <w:sz w:val="24"/>
          <w:szCs w:val="24"/>
        </w:rPr>
        <w:t xml:space="preserve">, del que se dio traslado a las partes </w:t>
      </w:r>
      <w:r w:rsidR="00A66B18" w:rsidRPr="00D26DE4">
        <w:rPr>
          <w:rFonts w:ascii="Gadugi" w:hAnsi="Gadugi"/>
          <w:i/>
          <w:sz w:val="24"/>
          <w:szCs w:val="24"/>
        </w:rPr>
        <w:t>“</w:t>
      </w:r>
      <w:r w:rsidR="00A66B18" w:rsidRPr="00D26DE4">
        <w:rPr>
          <w:rFonts w:ascii="Gadugi" w:hAnsi="Gadugi"/>
          <w:i/>
          <w:sz w:val="22"/>
          <w:szCs w:val="24"/>
        </w:rPr>
        <w:t xml:space="preserve">de conformidad </w:t>
      </w:r>
      <w:r w:rsidR="0077349D" w:rsidRPr="00D26DE4">
        <w:rPr>
          <w:rFonts w:ascii="Gadugi" w:hAnsi="Gadugi"/>
          <w:i/>
          <w:sz w:val="22"/>
          <w:szCs w:val="24"/>
        </w:rPr>
        <w:t xml:space="preserve">con el artículo 65 de la Ley </w:t>
      </w:r>
      <w:r w:rsidR="0077349D" w:rsidRPr="00D26DE4">
        <w:rPr>
          <w:rFonts w:ascii="Gadugi" w:hAnsi="Gadugi"/>
          <w:i/>
          <w:sz w:val="22"/>
          <w:szCs w:val="24"/>
        </w:rPr>
        <w:lastRenderedPageBreak/>
        <w:t>1116 de 2006</w:t>
      </w:r>
      <w:r w:rsidR="0077349D" w:rsidRPr="00D26DE4">
        <w:rPr>
          <w:rFonts w:ascii="Gadugi" w:hAnsi="Gadugi"/>
          <w:i/>
          <w:sz w:val="24"/>
          <w:szCs w:val="24"/>
        </w:rPr>
        <w:t>”</w:t>
      </w:r>
      <w:r w:rsidR="0077349D" w:rsidRPr="00D26DE4">
        <w:rPr>
          <w:rFonts w:ascii="Gadugi" w:hAnsi="Gadugi"/>
          <w:sz w:val="24"/>
          <w:szCs w:val="24"/>
        </w:rPr>
        <w:t>, para que pudieran objetarlas</w:t>
      </w:r>
      <w:r w:rsidR="0077349D" w:rsidRPr="00D26DE4">
        <w:rPr>
          <w:rStyle w:val="Refdenotaalpie"/>
          <w:rFonts w:ascii="Gadugi" w:hAnsi="Gadugi"/>
          <w:sz w:val="24"/>
          <w:szCs w:val="24"/>
        </w:rPr>
        <w:footnoteReference w:id="2"/>
      </w:r>
      <w:r w:rsidR="0077349D" w:rsidRPr="00D26DE4">
        <w:rPr>
          <w:rFonts w:ascii="Gadugi" w:hAnsi="Gadugi"/>
          <w:sz w:val="24"/>
          <w:szCs w:val="24"/>
        </w:rPr>
        <w:t>.</w:t>
      </w:r>
      <w:r w:rsidR="00B709F0" w:rsidRPr="00D26DE4">
        <w:rPr>
          <w:rFonts w:ascii="Gadugi" w:hAnsi="Gadugi"/>
          <w:sz w:val="24"/>
          <w:szCs w:val="24"/>
        </w:rPr>
        <w:t xml:space="preserve"> </w:t>
      </w:r>
    </w:p>
    <w:p w14:paraId="18536CC8" w14:textId="77777777" w:rsidR="00B709F0" w:rsidRPr="00D26DE4" w:rsidRDefault="00B709F0" w:rsidP="00C43AB2">
      <w:pPr>
        <w:pStyle w:val="Textoindependiente"/>
        <w:spacing w:line="276" w:lineRule="auto"/>
        <w:ind w:right="51"/>
        <w:jc w:val="both"/>
        <w:rPr>
          <w:rFonts w:ascii="Gadugi" w:hAnsi="Gadugi"/>
          <w:sz w:val="24"/>
          <w:szCs w:val="24"/>
        </w:rPr>
      </w:pPr>
    </w:p>
    <w:p w14:paraId="16E65FFE" w14:textId="7732C1D4" w:rsidR="002B7646" w:rsidRPr="00D26DE4" w:rsidRDefault="0077349D" w:rsidP="00C43AB2">
      <w:pPr>
        <w:pStyle w:val="Textoindependiente"/>
        <w:spacing w:line="276" w:lineRule="auto"/>
        <w:ind w:right="51"/>
        <w:jc w:val="both"/>
        <w:rPr>
          <w:rFonts w:ascii="Gadugi" w:hAnsi="Gadugi"/>
          <w:sz w:val="24"/>
          <w:szCs w:val="24"/>
        </w:rPr>
      </w:pPr>
      <w:r w:rsidRPr="00D26DE4">
        <w:rPr>
          <w:rFonts w:ascii="Gadugi" w:hAnsi="Gadugi"/>
          <w:sz w:val="24"/>
          <w:szCs w:val="24"/>
        </w:rPr>
        <w:t>En conjunto, presentaron un escrito</w:t>
      </w:r>
      <w:r w:rsidRPr="00D26DE4">
        <w:rPr>
          <w:rStyle w:val="Refdenotaalpie"/>
          <w:rFonts w:ascii="Gadugi" w:hAnsi="Gadugi"/>
          <w:sz w:val="24"/>
          <w:szCs w:val="24"/>
        </w:rPr>
        <w:footnoteReference w:id="3"/>
      </w:r>
      <w:r w:rsidRPr="00D26DE4">
        <w:rPr>
          <w:rFonts w:ascii="Gadugi" w:hAnsi="Gadugi"/>
          <w:sz w:val="24"/>
          <w:szCs w:val="24"/>
        </w:rPr>
        <w:t xml:space="preserve"> en el que adujeron que el informe requería aclaración en algunos aspectos, como</w:t>
      </w:r>
      <w:r w:rsidR="009467EA" w:rsidRPr="00D26DE4">
        <w:rPr>
          <w:rFonts w:ascii="Gadugi" w:hAnsi="Gadugi"/>
          <w:sz w:val="24"/>
          <w:szCs w:val="24"/>
        </w:rPr>
        <w:t>:</w:t>
      </w:r>
      <w:r w:rsidRPr="00D26DE4">
        <w:rPr>
          <w:rFonts w:ascii="Gadugi" w:hAnsi="Gadugi"/>
          <w:sz w:val="24"/>
          <w:szCs w:val="24"/>
        </w:rPr>
        <w:t xml:space="preserve"> </w:t>
      </w:r>
      <w:r w:rsidR="009467EA" w:rsidRPr="00D26DE4">
        <w:rPr>
          <w:rFonts w:ascii="Gadugi" w:hAnsi="Gadugi"/>
          <w:sz w:val="24"/>
          <w:szCs w:val="24"/>
        </w:rPr>
        <w:t xml:space="preserve">(i) </w:t>
      </w:r>
      <w:r w:rsidRPr="00D26DE4">
        <w:rPr>
          <w:rFonts w:ascii="Gadugi" w:hAnsi="Gadugi"/>
          <w:sz w:val="24"/>
          <w:szCs w:val="24"/>
        </w:rPr>
        <w:t>los pagos de impuestos</w:t>
      </w:r>
      <w:r w:rsidR="009467EA" w:rsidRPr="00D26DE4">
        <w:rPr>
          <w:rFonts w:ascii="Gadugi" w:hAnsi="Gadugi"/>
          <w:sz w:val="24"/>
          <w:szCs w:val="24"/>
        </w:rPr>
        <w:t>; (ii)</w:t>
      </w:r>
      <w:r w:rsidRPr="00D26DE4">
        <w:rPr>
          <w:rFonts w:ascii="Gadugi" w:hAnsi="Gadugi"/>
          <w:sz w:val="24"/>
          <w:szCs w:val="24"/>
        </w:rPr>
        <w:t xml:space="preserve"> </w:t>
      </w:r>
      <w:r w:rsidR="009467EA" w:rsidRPr="00D26DE4">
        <w:rPr>
          <w:rFonts w:ascii="Gadugi" w:hAnsi="Gadugi"/>
          <w:sz w:val="24"/>
          <w:szCs w:val="24"/>
        </w:rPr>
        <w:t xml:space="preserve">las evidencias de retenciones en la fuente por pago de honorarios y pagos a la DIAN por esos conceptos; (iii) las evidencias del formulario 110 de impuesto de renta y complementarios de los años 2018, 2019 y 2020; (iv) la explicación del porqué se realizaron pagos con sanciones, que se describieron. </w:t>
      </w:r>
    </w:p>
    <w:p w14:paraId="77842EEB" w14:textId="77777777" w:rsidR="002B7646" w:rsidRPr="00D26DE4" w:rsidRDefault="002B7646" w:rsidP="00C43AB2">
      <w:pPr>
        <w:pStyle w:val="Textoindependiente"/>
        <w:spacing w:line="276" w:lineRule="auto"/>
        <w:ind w:right="51"/>
        <w:jc w:val="both"/>
        <w:rPr>
          <w:rFonts w:ascii="Gadugi" w:hAnsi="Gadugi"/>
          <w:sz w:val="24"/>
          <w:szCs w:val="24"/>
        </w:rPr>
      </w:pPr>
    </w:p>
    <w:p w14:paraId="6552F1D1" w14:textId="77777777" w:rsidR="00EC3EEF" w:rsidRPr="00D26DE4" w:rsidRDefault="009467EA" w:rsidP="00C43AB2">
      <w:pPr>
        <w:pStyle w:val="Textoindependiente"/>
        <w:spacing w:line="276" w:lineRule="auto"/>
        <w:ind w:right="51"/>
        <w:jc w:val="both"/>
        <w:rPr>
          <w:rFonts w:ascii="Gadugi" w:hAnsi="Gadugi"/>
          <w:sz w:val="24"/>
          <w:szCs w:val="24"/>
        </w:rPr>
      </w:pPr>
      <w:r w:rsidRPr="00D26DE4">
        <w:rPr>
          <w:rFonts w:ascii="Gadugi" w:hAnsi="Gadugi"/>
          <w:sz w:val="24"/>
          <w:szCs w:val="24"/>
        </w:rPr>
        <w:t xml:space="preserve">De esas </w:t>
      </w:r>
      <w:r w:rsidRPr="00D26DE4">
        <w:rPr>
          <w:rFonts w:ascii="Gadugi" w:hAnsi="Gadugi"/>
          <w:i/>
          <w:sz w:val="24"/>
          <w:szCs w:val="24"/>
        </w:rPr>
        <w:t xml:space="preserve">“objeciones” </w:t>
      </w:r>
      <w:r w:rsidRPr="00D26DE4">
        <w:rPr>
          <w:rFonts w:ascii="Gadugi" w:hAnsi="Gadugi"/>
          <w:sz w:val="24"/>
          <w:szCs w:val="24"/>
        </w:rPr>
        <w:t>se dio traslado a la liquidadora</w:t>
      </w:r>
      <w:r w:rsidR="00EC3EEF" w:rsidRPr="00D26DE4">
        <w:rPr>
          <w:rFonts w:ascii="Gadugi" w:hAnsi="Gadugi"/>
          <w:sz w:val="24"/>
          <w:szCs w:val="24"/>
        </w:rPr>
        <w:t xml:space="preserve"> para que se pronunciara</w:t>
      </w:r>
      <w:r w:rsidR="00EC3EEF" w:rsidRPr="00D26DE4">
        <w:rPr>
          <w:rStyle w:val="Refdenotaalpie"/>
          <w:rFonts w:ascii="Gadugi" w:hAnsi="Gadugi"/>
          <w:sz w:val="24"/>
          <w:szCs w:val="24"/>
        </w:rPr>
        <w:footnoteReference w:id="4"/>
      </w:r>
      <w:r w:rsidR="00EC3EEF" w:rsidRPr="00D26DE4">
        <w:rPr>
          <w:rFonts w:ascii="Gadugi" w:hAnsi="Gadugi"/>
          <w:sz w:val="24"/>
          <w:szCs w:val="24"/>
        </w:rPr>
        <w:t xml:space="preserve">. </w:t>
      </w:r>
    </w:p>
    <w:p w14:paraId="239B123F" w14:textId="77777777" w:rsidR="00EC3EEF" w:rsidRPr="00D26DE4" w:rsidRDefault="00EC3EEF" w:rsidP="00C43AB2">
      <w:pPr>
        <w:pStyle w:val="Textoindependiente"/>
        <w:spacing w:line="276" w:lineRule="auto"/>
        <w:ind w:right="51"/>
        <w:jc w:val="both"/>
        <w:rPr>
          <w:rFonts w:ascii="Gadugi" w:hAnsi="Gadugi"/>
          <w:sz w:val="24"/>
          <w:szCs w:val="24"/>
        </w:rPr>
      </w:pPr>
    </w:p>
    <w:p w14:paraId="0B91CF40" w14:textId="242E0FBB" w:rsidR="00EC3EEF" w:rsidRPr="00D26DE4" w:rsidRDefault="002810C0" w:rsidP="00C43AB2">
      <w:pPr>
        <w:pStyle w:val="Textoindependiente"/>
        <w:spacing w:line="276" w:lineRule="auto"/>
        <w:ind w:right="51"/>
        <w:jc w:val="both"/>
        <w:rPr>
          <w:rFonts w:ascii="Gadugi" w:hAnsi="Gadugi"/>
          <w:sz w:val="24"/>
          <w:szCs w:val="24"/>
        </w:rPr>
      </w:pPr>
      <w:r w:rsidRPr="00D26DE4">
        <w:rPr>
          <w:rFonts w:ascii="Gadugi" w:hAnsi="Gadugi"/>
          <w:sz w:val="24"/>
          <w:szCs w:val="24"/>
        </w:rPr>
        <w:t>Ella brindó</w:t>
      </w:r>
      <w:r w:rsidR="00EC3EEF" w:rsidRPr="00D26DE4">
        <w:rPr>
          <w:rFonts w:ascii="Gadugi" w:hAnsi="Gadugi"/>
          <w:sz w:val="24"/>
          <w:szCs w:val="24"/>
        </w:rPr>
        <w:t xml:space="preserve"> las explicaciones del caso</w:t>
      </w:r>
      <w:r w:rsidRPr="00D26DE4">
        <w:rPr>
          <w:rStyle w:val="Refdenotaalpie"/>
          <w:rFonts w:ascii="Gadugi" w:hAnsi="Gadugi"/>
          <w:sz w:val="24"/>
          <w:szCs w:val="24"/>
        </w:rPr>
        <w:footnoteReference w:id="5"/>
      </w:r>
      <w:r w:rsidR="00EC3EEF" w:rsidRPr="00D26DE4">
        <w:rPr>
          <w:rFonts w:ascii="Gadugi" w:hAnsi="Gadugi"/>
          <w:sz w:val="24"/>
          <w:szCs w:val="24"/>
        </w:rPr>
        <w:t>, así que, con auto del 13 de diciembre de 2021 se le impartió aprobación al informe y se ordenó el archivo del expediente</w:t>
      </w:r>
      <w:r w:rsidR="00EC3EEF" w:rsidRPr="00D26DE4">
        <w:rPr>
          <w:rStyle w:val="Refdenotaalpie"/>
          <w:rFonts w:ascii="Gadugi" w:hAnsi="Gadugi"/>
          <w:sz w:val="24"/>
          <w:szCs w:val="24"/>
        </w:rPr>
        <w:footnoteReference w:id="6"/>
      </w:r>
      <w:r w:rsidR="00EC3EEF" w:rsidRPr="00D26DE4">
        <w:rPr>
          <w:rFonts w:ascii="Gadugi" w:hAnsi="Gadugi"/>
          <w:sz w:val="24"/>
          <w:szCs w:val="24"/>
        </w:rPr>
        <w:t xml:space="preserve">. </w:t>
      </w:r>
    </w:p>
    <w:p w14:paraId="6DBCF80B" w14:textId="77777777" w:rsidR="00EC3EEF" w:rsidRPr="00D26DE4" w:rsidRDefault="00EC3EEF" w:rsidP="00C43AB2">
      <w:pPr>
        <w:pStyle w:val="Textoindependiente"/>
        <w:spacing w:line="276" w:lineRule="auto"/>
        <w:ind w:right="51"/>
        <w:jc w:val="both"/>
        <w:rPr>
          <w:rFonts w:ascii="Gadugi" w:hAnsi="Gadugi"/>
          <w:sz w:val="24"/>
          <w:szCs w:val="24"/>
        </w:rPr>
      </w:pPr>
    </w:p>
    <w:p w14:paraId="13606855" w14:textId="37E70587" w:rsidR="00EC3EEF" w:rsidRPr="00D26DE4" w:rsidRDefault="00EC3EEF" w:rsidP="00C43AB2">
      <w:pPr>
        <w:pStyle w:val="Textoindependiente"/>
        <w:spacing w:line="276" w:lineRule="auto"/>
        <w:ind w:right="51"/>
        <w:jc w:val="both"/>
        <w:rPr>
          <w:rFonts w:ascii="Gadugi" w:hAnsi="Gadugi"/>
          <w:sz w:val="24"/>
          <w:szCs w:val="24"/>
        </w:rPr>
      </w:pPr>
      <w:r w:rsidRPr="00D26DE4">
        <w:rPr>
          <w:rFonts w:ascii="Gadugi" w:hAnsi="Gadugi"/>
          <w:sz w:val="24"/>
          <w:szCs w:val="24"/>
        </w:rPr>
        <w:t>Los apoderados de las partes interpusieron recurso de reposición y, en subsidio, apelación</w:t>
      </w:r>
      <w:r w:rsidRPr="00D26DE4">
        <w:rPr>
          <w:rStyle w:val="Refdenotaalpie"/>
          <w:rFonts w:ascii="Gadugi" w:hAnsi="Gadugi"/>
          <w:sz w:val="24"/>
          <w:szCs w:val="24"/>
        </w:rPr>
        <w:footnoteReference w:id="7"/>
      </w:r>
      <w:r w:rsidR="00976915" w:rsidRPr="00D26DE4">
        <w:rPr>
          <w:rFonts w:ascii="Gadugi" w:hAnsi="Gadugi"/>
          <w:sz w:val="24"/>
          <w:szCs w:val="24"/>
        </w:rPr>
        <w:t xml:space="preserve">, con estos argumentos: (i) que desconocen, porque no se les notificó, la respuesta brindada por la liquidadora a sus objeciones; y (ii) el juzgado no ha resuelto las objeciones, por lo cual es inviable terminar el proceso. </w:t>
      </w:r>
    </w:p>
    <w:p w14:paraId="34CBDACB" w14:textId="0B9573EB" w:rsidR="00976915" w:rsidRPr="00D26DE4" w:rsidRDefault="00976915" w:rsidP="00C43AB2">
      <w:pPr>
        <w:pStyle w:val="Textoindependiente"/>
        <w:spacing w:line="276" w:lineRule="auto"/>
        <w:ind w:right="51"/>
        <w:jc w:val="both"/>
        <w:rPr>
          <w:rFonts w:ascii="Gadugi" w:hAnsi="Gadugi"/>
          <w:sz w:val="24"/>
          <w:szCs w:val="24"/>
        </w:rPr>
      </w:pPr>
    </w:p>
    <w:p w14:paraId="0FB32D77" w14:textId="0A8C7DA0" w:rsidR="00FC483E" w:rsidRPr="00D26DE4" w:rsidRDefault="00976915" w:rsidP="00C43AB2">
      <w:pPr>
        <w:pStyle w:val="Textoindependiente"/>
        <w:spacing w:line="276" w:lineRule="auto"/>
        <w:ind w:right="51"/>
        <w:jc w:val="both"/>
        <w:rPr>
          <w:rFonts w:ascii="Gadugi" w:hAnsi="Gadugi"/>
          <w:sz w:val="24"/>
          <w:szCs w:val="24"/>
        </w:rPr>
      </w:pPr>
      <w:r w:rsidRPr="00D26DE4">
        <w:rPr>
          <w:rFonts w:ascii="Gadugi" w:hAnsi="Gadugi"/>
          <w:sz w:val="24"/>
          <w:szCs w:val="24"/>
        </w:rPr>
        <w:t>Luego de que se superara</w:t>
      </w:r>
      <w:r w:rsidR="002810C0" w:rsidRPr="00D26DE4">
        <w:rPr>
          <w:rFonts w:ascii="Gadugi" w:hAnsi="Gadugi"/>
          <w:sz w:val="24"/>
          <w:szCs w:val="24"/>
        </w:rPr>
        <w:t>n</w:t>
      </w:r>
      <w:r w:rsidRPr="00D26DE4">
        <w:rPr>
          <w:rFonts w:ascii="Gadugi" w:hAnsi="Gadugi"/>
          <w:sz w:val="24"/>
          <w:szCs w:val="24"/>
        </w:rPr>
        <w:t xml:space="preserve"> unas inconsistencias destacadas por esta Sala, se resolvió, con auto del 24 de agosto de 2022, el recurso de reposición de manera desfavorable y se concedió la apelación, dado que se ordenó la terminación del trámite</w:t>
      </w:r>
      <w:r w:rsidR="00FC483E" w:rsidRPr="00D26DE4">
        <w:rPr>
          <w:rFonts w:ascii="Gadugi" w:hAnsi="Gadugi"/>
          <w:sz w:val="24"/>
          <w:szCs w:val="24"/>
        </w:rPr>
        <w:t>. En esa providencia, concluyó el funcionario que sí se tuvieron en cuenta las objeciones planteadas, a pesar de que el CGP no contempla un procedimiento a seguir en el caso de las cuentas finales rendidas por el l</w:t>
      </w:r>
      <w:r w:rsidR="008F23B4">
        <w:rPr>
          <w:rFonts w:ascii="Gadugi" w:hAnsi="Gadugi"/>
          <w:sz w:val="24"/>
          <w:szCs w:val="24"/>
        </w:rPr>
        <w:t>iquidador</w:t>
      </w:r>
      <w:r w:rsidR="00FC483E" w:rsidRPr="00D26DE4">
        <w:rPr>
          <w:rFonts w:ascii="Gadugi" w:hAnsi="Gadugi"/>
          <w:sz w:val="24"/>
          <w:szCs w:val="24"/>
        </w:rPr>
        <w:t xml:space="preserve">; además, señaló en sus motivaciones que las partes tuvieron permanente acceso al expediente y ninguna norma impone al juez dejar en conocimiento de los sujetos procesales las explicaciones rendidas por el liquidador frente a los requerimientos que aquellos le hacen. </w:t>
      </w:r>
    </w:p>
    <w:p w14:paraId="6048AC46" w14:textId="77777777" w:rsidR="001E5649" w:rsidRPr="00D26DE4" w:rsidRDefault="001E5649" w:rsidP="00C43AB2">
      <w:pPr>
        <w:pStyle w:val="Textoindependiente"/>
        <w:spacing w:line="276" w:lineRule="auto"/>
        <w:ind w:right="51"/>
        <w:jc w:val="both"/>
        <w:rPr>
          <w:rFonts w:ascii="Gadugi" w:hAnsi="Gadugi"/>
          <w:sz w:val="24"/>
          <w:szCs w:val="24"/>
        </w:rPr>
      </w:pPr>
    </w:p>
    <w:p w14:paraId="1FAEA06D" w14:textId="77777777" w:rsidR="00FD0FCD" w:rsidRPr="00D26DE4" w:rsidRDefault="00143BB8" w:rsidP="00C43AB2">
      <w:pPr>
        <w:pStyle w:val="Ttulo2"/>
        <w:spacing w:before="0" w:line="276" w:lineRule="auto"/>
        <w:ind w:left="0" w:right="51"/>
        <w:rPr>
          <w:sz w:val="24"/>
          <w:szCs w:val="24"/>
        </w:rPr>
      </w:pPr>
      <w:r w:rsidRPr="00D26DE4">
        <w:rPr>
          <w:sz w:val="24"/>
          <w:szCs w:val="24"/>
        </w:rPr>
        <w:t>CONSIDERACIONES</w:t>
      </w:r>
    </w:p>
    <w:p w14:paraId="094D470C" w14:textId="77777777" w:rsidR="00FD0FCD" w:rsidRPr="00D26DE4" w:rsidRDefault="00FD0FCD" w:rsidP="00C43AB2">
      <w:pPr>
        <w:spacing w:line="276" w:lineRule="auto"/>
        <w:ind w:right="51"/>
        <w:rPr>
          <w:b/>
          <w:sz w:val="24"/>
          <w:szCs w:val="24"/>
        </w:rPr>
      </w:pPr>
    </w:p>
    <w:p w14:paraId="6CEF480E" w14:textId="780ED952" w:rsidR="00FD0FCD" w:rsidRPr="00D26DE4" w:rsidRDefault="00143BB8" w:rsidP="00C43AB2">
      <w:pPr>
        <w:pStyle w:val="Prrafodelista"/>
        <w:numPr>
          <w:ilvl w:val="1"/>
          <w:numId w:val="2"/>
        </w:numPr>
        <w:tabs>
          <w:tab w:val="left" w:pos="284"/>
        </w:tabs>
        <w:spacing w:line="276" w:lineRule="auto"/>
        <w:ind w:left="0" w:right="51" w:firstLine="0"/>
        <w:rPr>
          <w:sz w:val="24"/>
          <w:szCs w:val="24"/>
        </w:rPr>
      </w:pPr>
      <w:r w:rsidRPr="00D26DE4">
        <w:rPr>
          <w:sz w:val="24"/>
          <w:szCs w:val="24"/>
        </w:rPr>
        <w:t xml:space="preserve">Esta Sala unitaria Sala es competente para conocer </w:t>
      </w:r>
      <w:r w:rsidR="008F23B4" w:rsidRPr="00D26DE4">
        <w:rPr>
          <w:sz w:val="24"/>
          <w:szCs w:val="24"/>
        </w:rPr>
        <w:t>de la</w:t>
      </w:r>
      <w:r w:rsidRPr="00D26DE4">
        <w:rPr>
          <w:sz w:val="24"/>
          <w:szCs w:val="24"/>
        </w:rPr>
        <w:t xml:space="preserve"> alzada, en los términos de</w:t>
      </w:r>
      <w:r w:rsidR="00B8613D" w:rsidRPr="00D26DE4">
        <w:rPr>
          <w:sz w:val="24"/>
          <w:szCs w:val="24"/>
        </w:rPr>
        <w:t xml:space="preserve"> los artículos 31 y 35 del </w:t>
      </w:r>
      <w:r w:rsidRPr="00D26DE4">
        <w:rPr>
          <w:sz w:val="24"/>
          <w:szCs w:val="24"/>
        </w:rPr>
        <w:t>CGP.</w:t>
      </w:r>
    </w:p>
    <w:p w14:paraId="32AC3227" w14:textId="77777777" w:rsidR="00FD0FCD" w:rsidRPr="00D26DE4" w:rsidRDefault="00FD0FCD" w:rsidP="00C43AB2">
      <w:pPr>
        <w:spacing w:line="276" w:lineRule="auto"/>
        <w:ind w:right="51"/>
        <w:rPr>
          <w:sz w:val="24"/>
          <w:szCs w:val="24"/>
        </w:rPr>
      </w:pPr>
    </w:p>
    <w:p w14:paraId="096594EC" w14:textId="34ADDF22" w:rsidR="00BF684D" w:rsidRPr="00D26DE4" w:rsidRDefault="00FC483E" w:rsidP="00C43AB2">
      <w:pPr>
        <w:pStyle w:val="Textoindependiente"/>
        <w:numPr>
          <w:ilvl w:val="1"/>
          <w:numId w:val="2"/>
        </w:numPr>
        <w:tabs>
          <w:tab w:val="left" w:pos="284"/>
        </w:tabs>
        <w:spacing w:line="276" w:lineRule="auto"/>
        <w:ind w:left="0" w:right="51" w:firstLine="0"/>
        <w:jc w:val="both"/>
        <w:rPr>
          <w:rFonts w:ascii="Gadugi" w:hAnsi="Gadugi"/>
          <w:sz w:val="24"/>
          <w:szCs w:val="24"/>
        </w:rPr>
      </w:pPr>
      <w:bookmarkStart w:id="2" w:name="_Hlk126741292"/>
      <w:r w:rsidRPr="00D26DE4">
        <w:rPr>
          <w:rFonts w:ascii="Gadugi" w:hAnsi="Gadugi"/>
          <w:sz w:val="24"/>
          <w:szCs w:val="24"/>
        </w:rPr>
        <w:t>Surge en este caso la inquietud de si el auto protestado es pasible del recurso de apelación. A primera vista, no parece que lo fuera, en cuanto nada dice el artículo 530 del CGP acerca de esa posibilidad frente a la decisión de aprobar las cuentas finales del liquidador</w:t>
      </w:r>
      <w:bookmarkEnd w:id="2"/>
      <w:r w:rsidRPr="00D26DE4">
        <w:rPr>
          <w:rFonts w:ascii="Gadugi" w:hAnsi="Gadugi"/>
          <w:sz w:val="24"/>
          <w:szCs w:val="24"/>
        </w:rPr>
        <w:t xml:space="preserve">. Más pareciera ser, como fue regulado en la </w:t>
      </w:r>
      <w:r w:rsidR="00BF684D" w:rsidRPr="00D26DE4">
        <w:rPr>
          <w:rFonts w:ascii="Gadugi" w:hAnsi="Gadugi"/>
          <w:sz w:val="24"/>
          <w:szCs w:val="24"/>
        </w:rPr>
        <w:t xml:space="preserve">Ley 1116 de 2006, que </w:t>
      </w:r>
      <w:r w:rsidR="00BF684D" w:rsidRPr="00D26DE4">
        <w:rPr>
          <w:rFonts w:ascii="Gadugi" w:hAnsi="Gadugi"/>
          <w:sz w:val="24"/>
          <w:szCs w:val="24"/>
        </w:rPr>
        <w:lastRenderedPageBreak/>
        <w:t xml:space="preserve">asuntos de esta índole escapan a ese control en segunda instancia. Pero, </w:t>
      </w:r>
      <w:r w:rsidR="33219984" w:rsidRPr="00D26DE4">
        <w:rPr>
          <w:rFonts w:ascii="Gadugi" w:hAnsi="Gadugi"/>
          <w:sz w:val="24"/>
          <w:szCs w:val="24"/>
        </w:rPr>
        <w:t xml:space="preserve">según señaló </w:t>
      </w:r>
      <w:r w:rsidR="00BF684D" w:rsidRPr="00D26DE4">
        <w:rPr>
          <w:rFonts w:ascii="Gadugi" w:hAnsi="Gadugi"/>
          <w:sz w:val="24"/>
          <w:szCs w:val="24"/>
        </w:rPr>
        <w:t>esta Sala en el auto del 17 de junio del presente año</w:t>
      </w:r>
      <w:r w:rsidR="34BD5BAD" w:rsidRPr="00D26DE4">
        <w:rPr>
          <w:rFonts w:ascii="Gadugi" w:hAnsi="Gadugi"/>
          <w:sz w:val="24"/>
          <w:szCs w:val="24"/>
        </w:rPr>
        <w:t xml:space="preserve"> aquí proferido</w:t>
      </w:r>
      <w:r w:rsidR="00BF684D" w:rsidRPr="00D26DE4">
        <w:rPr>
          <w:rFonts w:ascii="Gadugi" w:hAnsi="Gadugi"/>
          <w:sz w:val="24"/>
          <w:szCs w:val="24"/>
        </w:rPr>
        <w:t xml:space="preserve">, no es esa la normativa que aquí impera. </w:t>
      </w:r>
    </w:p>
    <w:p w14:paraId="7D445FCF" w14:textId="77777777" w:rsidR="00BF684D" w:rsidRPr="00D26DE4" w:rsidRDefault="00BF684D" w:rsidP="00C43AB2">
      <w:pPr>
        <w:pStyle w:val="Textoindependiente"/>
        <w:tabs>
          <w:tab w:val="left" w:pos="284"/>
        </w:tabs>
        <w:spacing w:line="276" w:lineRule="auto"/>
        <w:ind w:right="51"/>
        <w:jc w:val="both"/>
        <w:rPr>
          <w:rFonts w:ascii="Gadugi" w:eastAsia="Gadugi" w:hAnsi="Gadugi" w:cs="Gadugi"/>
          <w:sz w:val="24"/>
          <w:szCs w:val="24"/>
        </w:rPr>
      </w:pPr>
    </w:p>
    <w:p w14:paraId="355F6F22" w14:textId="204DF424" w:rsidR="00BF684D" w:rsidRPr="00D26DE4" w:rsidRDefault="00BF684D" w:rsidP="00C43AB2">
      <w:pPr>
        <w:pStyle w:val="Textoindependiente"/>
        <w:tabs>
          <w:tab w:val="left" w:pos="284"/>
        </w:tabs>
        <w:spacing w:line="276" w:lineRule="auto"/>
        <w:ind w:right="51"/>
        <w:jc w:val="both"/>
        <w:rPr>
          <w:rFonts w:ascii="Gadugi" w:hAnsi="Gadugi"/>
          <w:sz w:val="24"/>
          <w:szCs w:val="24"/>
        </w:rPr>
      </w:pPr>
      <w:r w:rsidRPr="00D26DE4">
        <w:rPr>
          <w:rFonts w:ascii="Gadugi" w:hAnsi="Gadugi"/>
          <w:sz w:val="24"/>
          <w:szCs w:val="24"/>
        </w:rPr>
        <w:t>Lo que queda, entonces, es que, como el numeral 11 del artículo 530 ordena que luego de aprobar las cuentas el juez termine el proceso, se debe acudir al artículo 321 del estatuto procesal, como lo hizo el Juzgado, que prevé en su numeral 7 que es apelable el auto que por cualquier causa le ponga fin al proceso</w:t>
      </w:r>
      <w:r w:rsidR="007A5B8F" w:rsidRPr="00D26DE4">
        <w:rPr>
          <w:rFonts w:ascii="Gadugi" w:hAnsi="Gadugi"/>
          <w:sz w:val="24"/>
          <w:szCs w:val="24"/>
        </w:rPr>
        <w:t>.</w:t>
      </w:r>
    </w:p>
    <w:p w14:paraId="699BDF9E" w14:textId="12781CAF" w:rsidR="007A5B8F" w:rsidRPr="00D26DE4" w:rsidRDefault="007A5B8F" w:rsidP="00C43AB2">
      <w:pPr>
        <w:pStyle w:val="Textoindependiente"/>
        <w:tabs>
          <w:tab w:val="left" w:pos="284"/>
        </w:tabs>
        <w:spacing w:line="276" w:lineRule="auto"/>
        <w:ind w:right="51"/>
        <w:jc w:val="both"/>
        <w:rPr>
          <w:rFonts w:ascii="Gadugi" w:hAnsi="Gadugi"/>
          <w:sz w:val="24"/>
          <w:szCs w:val="24"/>
        </w:rPr>
      </w:pPr>
    </w:p>
    <w:p w14:paraId="19F1956C" w14:textId="77777777" w:rsidR="007A5B8F" w:rsidRPr="00D26DE4" w:rsidRDefault="007A5B8F" w:rsidP="00C43AB2">
      <w:pPr>
        <w:pStyle w:val="Textoindependiente"/>
        <w:tabs>
          <w:tab w:val="left" w:pos="284"/>
        </w:tabs>
        <w:spacing w:line="276" w:lineRule="auto"/>
        <w:ind w:right="51"/>
        <w:jc w:val="both"/>
        <w:rPr>
          <w:rFonts w:ascii="Gadugi" w:hAnsi="Gadugi"/>
          <w:sz w:val="24"/>
          <w:szCs w:val="24"/>
        </w:rPr>
      </w:pPr>
      <w:r w:rsidRPr="00D26DE4">
        <w:rPr>
          <w:rFonts w:ascii="Gadugi" w:hAnsi="Gadugi"/>
          <w:sz w:val="24"/>
          <w:szCs w:val="24"/>
        </w:rPr>
        <w:t>Así que, por esta simple razón, resulta aconsejable entender que esta providencia es susceptible de la alzada; además, se propuso</w:t>
      </w:r>
      <w:r w:rsidR="00143BB8" w:rsidRPr="00D26DE4">
        <w:rPr>
          <w:rFonts w:ascii="Gadugi" w:hAnsi="Gadugi"/>
          <w:sz w:val="24"/>
          <w:szCs w:val="24"/>
        </w:rPr>
        <w:t xml:space="preserve"> oportunamente, por la parte legitimada para ello y se sustentó</w:t>
      </w:r>
      <w:r w:rsidRPr="00D26DE4">
        <w:rPr>
          <w:rFonts w:ascii="Gadugi" w:hAnsi="Gadugi"/>
          <w:sz w:val="24"/>
          <w:szCs w:val="24"/>
        </w:rPr>
        <w:t>.</w:t>
      </w:r>
    </w:p>
    <w:p w14:paraId="158687F6" w14:textId="5EBD2998" w:rsidR="007A5B8F" w:rsidRPr="00D26DE4" w:rsidRDefault="007A5B8F" w:rsidP="00C43AB2">
      <w:pPr>
        <w:pStyle w:val="Textoindependiente"/>
        <w:tabs>
          <w:tab w:val="left" w:pos="284"/>
        </w:tabs>
        <w:spacing w:line="276" w:lineRule="auto"/>
        <w:ind w:right="51"/>
        <w:jc w:val="both"/>
        <w:rPr>
          <w:rFonts w:ascii="Gadugi" w:hAnsi="Gadugi"/>
          <w:sz w:val="24"/>
          <w:szCs w:val="24"/>
        </w:rPr>
      </w:pPr>
      <w:r w:rsidRPr="00D26DE4">
        <w:rPr>
          <w:rFonts w:ascii="Gadugi" w:hAnsi="Gadugi"/>
          <w:sz w:val="24"/>
          <w:szCs w:val="24"/>
        </w:rPr>
        <w:t xml:space="preserve"> </w:t>
      </w:r>
    </w:p>
    <w:p w14:paraId="2CA46D0E" w14:textId="20226B4A" w:rsidR="007A5B8F" w:rsidRPr="00D26DE4" w:rsidRDefault="00143BB8" w:rsidP="00C43AB2">
      <w:pPr>
        <w:pStyle w:val="Prrafodelista"/>
        <w:numPr>
          <w:ilvl w:val="1"/>
          <w:numId w:val="2"/>
        </w:numPr>
        <w:tabs>
          <w:tab w:val="left" w:pos="284"/>
          <w:tab w:val="left" w:pos="2227"/>
        </w:tabs>
        <w:spacing w:line="276" w:lineRule="auto"/>
        <w:ind w:left="0" w:right="51" w:firstLine="0"/>
        <w:rPr>
          <w:sz w:val="24"/>
          <w:szCs w:val="24"/>
        </w:rPr>
      </w:pPr>
      <w:r w:rsidRPr="00D26DE4">
        <w:rPr>
          <w:sz w:val="24"/>
          <w:szCs w:val="24"/>
        </w:rPr>
        <w:t xml:space="preserve">El problema que debe afrontar la Sala es si confirma </w:t>
      </w:r>
      <w:r w:rsidR="007D5D47" w:rsidRPr="00D26DE4">
        <w:rPr>
          <w:sz w:val="24"/>
          <w:szCs w:val="24"/>
        </w:rPr>
        <w:t>la providencia</w:t>
      </w:r>
      <w:r w:rsidRPr="00D26DE4">
        <w:rPr>
          <w:sz w:val="24"/>
          <w:szCs w:val="24"/>
        </w:rPr>
        <w:t xml:space="preserve"> que </w:t>
      </w:r>
      <w:r w:rsidR="007A5B8F" w:rsidRPr="00D26DE4">
        <w:rPr>
          <w:sz w:val="24"/>
          <w:szCs w:val="24"/>
        </w:rPr>
        <w:t xml:space="preserve">aprobó las cuentas finales de la liquidadora o la revoca, como pretenden los recurrentes. </w:t>
      </w:r>
    </w:p>
    <w:p w14:paraId="5C1202D4" w14:textId="77777777" w:rsidR="002810C0" w:rsidRPr="00D26DE4" w:rsidRDefault="002810C0" w:rsidP="00C43AB2">
      <w:pPr>
        <w:pStyle w:val="Prrafodelista"/>
        <w:tabs>
          <w:tab w:val="left" w:pos="284"/>
          <w:tab w:val="left" w:pos="2227"/>
        </w:tabs>
        <w:spacing w:line="276" w:lineRule="auto"/>
        <w:ind w:left="0" w:right="51" w:firstLine="0"/>
        <w:rPr>
          <w:sz w:val="24"/>
          <w:szCs w:val="24"/>
        </w:rPr>
      </w:pPr>
    </w:p>
    <w:p w14:paraId="269AB901" w14:textId="6D97EEA5" w:rsidR="007A5B8F" w:rsidRPr="00D26DE4" w:rsidRDefault="00B55B25" w:rsidP="00C43AB2">
      <w:pPr>
        <w:pStyle w:val="Prrafodelista"/>
        <w:numPr>
          <w:ilvl w:val="1"/>
          <w:numId w:val="2"/>
        </w:numPr>
        <w:tabs>
          <w:tab w:val="left" w:pos="284"/>
          <w:tab w:val="left" w:pos="2227"/>
        </w:tabs>
        <w:spacing w:line="276" w:lineRule="auto"/>
        <w:ind w:left="0" w:right="51" w:firstLine="0"/>
        <w:rPr>
          <w:sz w:val="24"/>
          <w:szCs w:val="24"/>
        </w:rPr>
      </w:pPr>
      <w:r w:rsidRPr="00D26DE4">
        <w:rPr>
          <w:sz w:val="24"/>
          <w:szCs w:val="24"/>
        </w:rPr>
        <w:t xml:space="preserve">Se anticipa que la razón está del lado del Juzgado. </w:t>
      </w:r>
      <w:r w:rsidR="00E26309" w:rsidRPr="00D26DE4">
        <w:rPr>
          <w:sz w:val="24"/>
          <w:szCs w:val="24"/>
        </w:rPr>
        <w:t>Para</w:t>
      </w:r>
      <w:r w:rsidRPr="00D26DE4">
        <w:rPr>
          <w:sz w:val="24"/>
          <w:szCs w:val="24"/>
        </w:rPr>
        <w:t xml:space="preserve"> señalarlo así, </w:t>
      </w:r>
      <w:r w:rsidR="007A5B8F" w:rsidRPr="00D26DE4">
        <w:rPr>
          <w:sz w:val="24"/>
          <w:szCs w:val="24"/>
        </w:rPr>
        <w:t xml:space="preserve">debe partirse de varias situaciones: </w:t>
      </w:r>
    </w:p>
    <w:p w14:paraId="160A80E7" w14:textId="22A4822B" w:rsidR="57DFDB6D" w:rsidRPr="00D26DE4" w:rsidRDefault="57DFDB6D" w:rsidP="00C43AB2">
      <w:pPr>
        <w:tabs>
          <w:tab w:val="left" w:pos="284"/>
          <w:tab w:val="left" w:pos="2227"/>
        </w:tabs>
        <w:spacing w:line="276" w:lineRule="auto"/>
        <w:ind w:right="51"/>
        <w:rPr>
          <w:sz w:val="24"/>
          <w:szCs w:val="24"/>
        </w:rPr>
      </w:pPr>
    </w:p>
    <w:p w14:paraId="5AB90F6C" w14:textId="3E2243E9" w:rsidR="00E26309" w:rsidRPr="00D26DE4" w:rsidRDefault="007A5B8F" w:rsidP="00C43AB2">
      <w:pPr>
        <w:pStyle w:val="Prrafodelista"/>
        <w:numPr>
          <w:ilvl w:val="1"/>
          <w:numId w:val="2"/>
        </w:numPr>
        <w:tabs>
          <w:tab w:val="left" w:pos="284"/>
          <w:tab w:val="left" w:pos="2227"/>
        </w:tabs>
        <w:spacing w:line="276" w:lineRule="auto"/>
        <w:ind w:left="0" w:right="51" w:firstLine="0"/>
        <w:rPr>
          <w:sz w:val="24"/>
          <w:szCs w:val="24"/>
        </w:rPr>
      </w:pPr>
      <w:r w:rsidRPr="00D26DE4">
        <w:rPr>
          <w:sz w:val="24"/>
          <w:szCs w:val="24"/>
        </w:rPr>
        <w:t xml:space="preserve">En primer lugar, como lo destacó el funcionario en el último proveído, </w:t>
      </w:r>
      <w:bookmarkStart w:id="3" w:name="_Hlk126741485"/>
      <w:r w:rsidRPr="00D26DE4">
        <w:rPr>
          <w:sz w:val="24"/>
          <w:szCs w:val="24"/>
        </w:rPr>
        <w:t>a la lectura del artículo 530 del CGP, no se advierte que esté previsto trámite alguno en relación con las cuentas finales que presenta</w:t>
      </w:r>
      <w:r w:rsidR="44758809" w:rsidRPr="00D26DE4">
        <w:rPr>
          <w:sz w:val="24"/>
          <w:szCs w:val="24"/>
        </w:rPr>
        <w:t xml:space="preserve"> </w:t>
      </w:r>
      <w:r w:rsidRPr="00D26DE4">
        <w:rPr>
          <w:sz w:val="24"/>
          <w:szCs w:val="24"/>
        </w:rPr>
        <w:t>el liquidador</w:t>
      </w:r>
      <w:r w:rsidR="00E26309" w:rsidRPr="00D26DE4">
        <w:rPr>
          <w:sz w:val="24"/>
          <w:szCs w:val="24"/>
        </w:rPr>
        <w:t>; ni un traslado a las partes, ni la posibilidad de objetarlas. De allí surgiría que la inconformidad con esas cuentas debe ventilarse por la vía del proceso de rendición de cuentas, esto es, en un proceso separado</w:t>
      </w:r>
      <w:r w:rsidR="002A0F2A" w:rsidRPr="00D26DE4">
        <w:rPr>
          <w:sz w:val="24"/>
          <w:szCs w:val="24"/>
        </w:rPr>
        <w:t xml:space="preserve">. </w:t>
      </w:r>
    </w:p>
    <w:p w14:paraId="0423AD51" w14:textId="77777777" w:rsidR="002A0F2A" w:rsidRPr="00D26DE4" w:rsidRDefault="002A0F2A" w:rsidP="00C43AB2">
      <w:pPr>
        <w:pStyle w:val="Prrafodelista"/>
        <w:spacing w:line="276" w:lineRule="auto"/>
        <w:rPr>
          <w:sz w:val="24"/>
          <w:szCs w:val="24"/>
        </w:rPr>
      </w:pPr>
    </w:p>
    <w:p w14:paraId="4BFECB73" w14:textId="2195BB5D" w:rsidR="002A0F2A" w:rsidRPr="00D26DE4" w:rsidRDefault="002A0F2A" w:rsidP="00C43AB2">
      <w:pPr>
        <w:pStyle w:val="Prrafodelista"/>
        <w:numPr>
          <w:ilvl w:val="1"/>
          <w:numId w:val="2"/>
        </w:numPr>
        <w:tabs>
          <w:tab w:val="left" w:pos="284"/>
          <w:tab w:val="left" w:pos="2227"/>
        </w:tabs>
        <w:spacing w:line="276" w:lineRule="auto"/>
        <w:ind w:left="0" w:right="51" w:firstLine="0"/>
        <w:rPr>
          <w:sz w:val="24"/>
          <w:szCs w:val="24"/>
        </w:rPr>
      </w:pPr>
      <w:r w:rsidRPr="00D26DE4">
        <w:rPr>
          <w:sz w:val="24"/>
          <w:szCs w:val="24"/>
        </w:rPr>
        <w:t>Y aún si pudiera pensarse que el trámite de las objeciones sí es viable, y que se acudiera por</w:t>
      </w:r>
      <w:r w:rsidR="00E26309" w:rsidRPr="00D26DE4">
        <w:rPr>
          <w:sz w:val="24"/>
          <w:szCs w:val="24"/>
        </w:rPr>
        <w:t xml:space="preserve"> analogía</w:t>
      </w:r>
      <w:r w:rsidRPr="00D26DE4">
        <w:rPr>
          <w:sz w:val="24"/>
          <w:szCs w:val="24"/>
        </w:rPr>
        <w:t xml:space="preserve"> a la regulación que trae el artículo </w:t>
      </w:r>
      <w:r w:rsidR="003765CD" w:rsidRPr="00D26DE4">
        <w:rPr>
          <w:sz w:val="24"/>
          <w:szCs w:val="24"/>
        </w:rPr>
        <w:t>500</w:t>
      </w:r>
      <w:r w:rsidRPr="00D26DE4">
        <w:rPr>
          <w:sz w:val="24"/>
          <w:szCs w:val="24"/>
        </w:rPr>
        <w:t xml:space="preserve"> del CGP sobre las cuentas rendidas por el albacea (o el secuestre), lo cierto es que a ello se llegaría en caso de que, en realidad, se hubieran formulado objeciones. Pero, en estricto sentido, aquí eso no ha ocurrido. </w:t>
      </w:r>
    </w:p>
    <w:bookmarkEnd w:id="3"/>
    <w:p w14:paraId="7F0EE672" w14:textId="77777777" w:rsidR="002A0F2A" w:rsidRPr="00D26DE4" w:rsidRDefault="002A0F2A" w:rsidP="00C43AB2">
      <w:pPr>
        <w:pStyle w:val="Prrafodelista"/>
        <w:spacing w:line="276" w:lineRule="auto"/>
        <w:rPr>
          <w:sz w:val="24"/>
          <w:szCs w:val="24"/>
        </w:rPr>
      </w:pPr>
    </w:p>
    <w:p w14:paraId="08CFC748" w14:textId="6A453A12" w:rsidR="002A0F2A" w:rsidRPr="00D26DE4" w:rsidRDefault="002A0F2A" w:rsidP="00C43AB2">
      <w:pPr>
        <w:tabs>
          <w:tab w:val="left" w:pos="284"/>
          <w:tab w:val="left" w:pos="2227"/>
        </w:tabs>
        <w:spacing w:line="276" w:lineRule="auto"/>
        <w:ind w:right="51"/>
        <w:jc w:val="both"/>
        <w:rPr>
          <w:sz w:val="24"/>
          <w:szCs w:val="24"/>
        </w:rPr>
      </w:pPr>
      <w:r w:rsidRPr="00D26DE4">
        <w:rPr>
          <w:sz w:val="24"/>
          <w:szCs w:val="24"/>
        </w:rPr>
        <w:t>En efecto, objetar, según la RAE, signific</w:t>
      </w:r>
      <w:r w:rsidR="0046565F" w:rsidRPr="00D26DE4">
        <w:rPr>
          <w:sz w:val="24"/>
          <w:szCs w:val="24"/>
        </w:rPr>
        <w:t xml:space="preserve">a, en una de sus acepciones, </w:t>
      </w:r>
      <w:r w:rsidR="0046565F" w:rsidRPr="00D26DE4">
        <w:rPr>
          <w:i/>
          <w:sz w:val="24"/>
          <w:szCs w:val="24"/>
        </w:rPr>
        <w:t>“</w:t>
      </w:r>
      <w:r w:rsidR="0046565F" w:rsidRPr="00D26DE4">
        <w:rPr>
          <w:i/>
          <w:szCs w:val="24"/>
        </w:rPr>
        <w:t>oponer una razón a lo que se ha dicho o intentado</w:t>
      </w:r>
      <w:r w:rsidR="0046565F" w:rsidRPr="00D26DE4">
        <w:rPr>
          <w:i/>
          <w:sz w:val="24"/>
          <w:szCs w:val="24"/>
        </w:rPr>
        <w:t xml:space="preserve">”. </w:t>
      </w:r>
      <w:r w:rsidR="0046565F" w:rsidRPr="00D26DE4">
        <w:rPr>
          <w:sz w:val="24"/>
          <w:szCs w:val="24"/>
        </w:rPr>
        <w:t xml:space="preserve">Y al repasar el escrito presentado de consuno por las partes, </w:t>
      </w:r>
      <w:r w:rsidR="007D5D47" w:rsidRPr="00D26DE4">
        <w:rPr>
          <w:sz w:val="24"/>
          <w:szCs w:val="24"/>
        </w:rPr>
        <w:t>ninguna razón opone</w:t>
      </w:r>
      <w:r w:rsidR="0046565F" w:rsidRPr="00D26DE4">
        <w:rPr>
          <w:sz w:val="24"/>
          <w:szCs w:val="24"/>
        </w:rPr>
        <w:t xml:space="preserve"> al informe de la liquidadora, todo lo que hacen es pedirle que aclare su informe final en cuatro aspectos, que fue lo que la auxiliar hizo en su escrito del 18 de octubre de 2021. Así que, ni siquiera ha debido el juzgado correr traslado</w:t>
      </w:r>
      <w:r w:rsidR="00A6298B" w:rsidRPr="00D26DE4">
        <w:rPr>
          <w:sz w:val="24"/>
          <w:szCs w:val="24"/>
        </w:rPr>
        <w:t xml:space="preserve"> </w:t>
      </w:r>
      <w:r w:rsidR="0046565F" w:rsidRPr="00D26DE4">
        <w:rPr>
          <w:sz w:val="24"/>
          <w:szCs w:val="24"/>
        </w:rPr>
        <w:t xml:space="preserve">de unas objeciones que en estricto sentido, no se plantearon. </w:t>
      </w:r>
    </w:p>
    <w:p w14:paraId="325985A6" w14:textId="2F68FF62" w:rsidR="0046565F" w:rsidRPr="00D26DE4" w:rsidRDefault="0046565F" w:rsidP="00C43AB2">
      <w:pPr>
        <w:tabs>
          <w:tab w:val="left" w:pos="284"/>
          <w:tab w:val="left" w:pos="2227"/>
        </w:tabs>
        <w:spacing w:line="276" w:lineRule="auto"/>
        <w:ind w:right="51"/>
        <w:jc w:val="both"/>
        <w:rPr>
          <w:sz w:val="24"/>
          <w:szCs w:val="24"/>
        </w:rPr>
      </w:pPr>
    </w:p>
    <w:p w14:paraId="6A1A276B" w14:textId="4BFAE969" w:rsidR="0046565F" w:rsidRPr="00D26DE4" w:rsidRDefault="0046565F" w:rsidP="00C43AB2">
      <w:pPr>
        <w:tabs>
          <w:tab w:val="left" w:pos="284"/>
          <w:tab w:val="left" w:pos="2227"/>
        </w:tabs>
        <w:spacing w:line="276" w:lineRule="auto"/>
        <w:ind w:right="51"/>
        <w:jc w:val="both"/>
        <w:rPr>
          <w:sz w:val="24"/>
          <w:szCs w:val="24"/>
        </w:rPr>
      </w:pPr>
      <w:r w:rsidRPr="00D26DE4">
        <w:rPr>
          <w:sz w:val="24"/>
          <w:szCs w:val="24"/>
        </w:rPr>
        <w:t>Es decir, querían las partes saber de dónde provenían algunos rubros incluidos por la liquidadora o que se aclarara si otros factores influyentes en la liquidación existían, y la liquidadora dio cuenta de ello en su escrito</w:t>
      </w:r>
      <w:r w:rsidR="00A56795" w:rsidRPr="00D26DE4">
        <w:rPr>
          <w:sz w:val="24"/>
          <w:szCs w:val="24"/>
        </w:rPr>
        <w:t>, con los soportes respectivos</w:t>
      </w:r>
      <w:r w:rsidRPr="00D26DE4">
        <w:rPr>
          <w:sz w:val="24"/>
          <w:szCs w:val="24"/>
        </w:rPr>
        <w:t xml:space="preserve">. </w:t>
      </w:r>
    </w:p>
    <w:p w14:paraId="6375894F" w14:textId="2F219216" w:rsidR="0046565F" w:rsidRPr="00D26DE4" w:rsidRDefault="0046565F" w:rsidP="00C43AB2">
      <w:pPr>
        <w:tabs>
          <w:tab w:val="left" w:pos="284"/>
          <w:tab w:val="left" w:pos="2227"/>
        </w:tabs>
        <w:spacing w:line="276" w:lineRule="auto"/>
        <w:ind w:right="51"/>
        <w:jc w:val="both"/>
        <w:rPr>
          <w:sz w:val="24"/>
          <w:szCs w:val="24"/>
        </w:rPr>
      </w:pPr>
    </w:p>
    <w:p w14:paraId="5341F4B5" w14:textId="7B88DDBD" w:rsidR="0046565F" w:rsidRPr="00D26DE4" w:rsidRDefault="003765CD" w:rsidP="00C43AB2">
      <w:pPr>
        <w:pStyle w:val="Prrafodelista"/>
        <w:numPr>
          <w:ilvl w:val="1"/>
          <w:numId w:val="2"/>
        </w:numPr>
        <w:tabs>
          <w:tab w:val="left" w:pos="284"/>
          <w:tab w:val="left" w:pos="426"/>
          <w:tab w:val="left" w:pos="2227"/>
        </w:tabs>
        <w:spacing w:line="276" w:lineRule="auto"/>
        <w:ind w:left="0" w:right="51" w:firstLine="0"/>
        <w:rPr>
          <w:sz w:val="24"/>
          <w:szCs w:val="24"/>
        </w:rPr>
      </w:pPr>
      <w:r w:rsidRPr="00D26DE4">
        <w:rPr>
          <w:sz w:val="24"/>
          <w:szCs w:val="24"/>
        </w:rPr>
        <w:t xml:space="preserve">Por esta misma senda se queda el discurso de los recurrentes, que en su </w:t>
      </w:r>
      <w:r w:rsidR="00A56795" w:rsidRPr="00D26DE4">
        <w:rPr>
          <w:sz w:val="24"/>
          <w:szCs w:val="24"/>
        </w:rPr>
        <w:t>sustentación</w:t>
      </w:r>
      <w:r w:rsidRPr="00D26DE4">
        <w:rPr>
          <w:sz w:val="24"/>
          <w:szCs w:val="24"/>
        </w:rPr>
        <w:t xml:space="preserve"> solo atinan a decir que desconocen la respuesta de la liquidadora; y que el juzgado no se pronunció sobre las objeciones.</w:t>
      </w:r>
    </w:p>
    <w:p w14:paraId="35EE2F88" w14:textId="1E748738" w:rsidR="0046565F" w:rsidRPr="00D26DE4" w:rsidRDefault="003765CD" w:rsidP="00C43AB2">
      <w:pPr>
        <w:tabs>
          <w:tab w:val="left" w:pos="284"/>
          <w:tab w:val="left" w:pos="426"/>
          <w:tab w:val="left" w:pos="2227"/>
        </w:tabs>
        <w:spacing w:line="276" w:lineRule="auto"/>
        <w:ind w:right="51"/>
        <w:rPr>
          <w:sz w:val="24"/>
          <w:szCs w:val="24"/>
        </w:rPr>
      </w:pPr>
      <w:r w:rsidRPr="00D26DE4">
        <w:rPr>
          <w:sz w:val="24"/>
          <w:szCs w:val="24"/>
        </w:rPr>
        <w:t xml:space="preserve"> </w:t>
      </w:r>
    </w:p>
    <w:p w14:paraId="014AE784" w14:textId="73F74E6B" w:rsidR="003765CD" w:rsidRPr="00D26DE4" w:rsidRDefault="003765CD" w:rsidP="00C43AB2">
      <w:pPr>
        <w:pStyle w:val="Prrafodelista"/>
        <w:tabs>
          <w:tab w:val="left" w:pos="284"/>
          <w:tab w:val="left" w:pos="426"/>
          <w:tab w:val="left" w:pos="2227"/>
        </w:tabs>
        <w:spacing w:line="276" w:lineRule="auto"/>
        <w:ind w:left="0" w:right="51" w:firstLine="0"/>
        <w:rPr>
          <w:sz w:val="24"/>
          <w:szCs w:val="24"/>
        </w:rPr>
      </w:pPr>
      <w:r w:rsidRPr="00D26DE4">
        <w:rPr>
          <w:sz w:val="24"/>
          <w:szCs w:val="24"/>
        </w:rPr>
        <w:t xml:space="preserve">Por una parte, como viene de verse, ya que ningún trámite específico existe sobre estas cuentas finales, tampoco se abría paso un nuevo traslado de la información suministrada por la liquidadora. Ni siquiera en el evento de que se tratara realmente de objeciones habría lugar a ello. </w:t>
      </w:r>
    </w:p>
    <w:p w14:paraId="52976172" w14:textId="148226F0" w:rsidR="00A6298B" w:rsidRPr="00D26DE4" w:rsidRDefault="00A6298B" w:rsidP="00C43AB2">
      <w:pPr>
        <w:pStyle w:val="Prrafodelista"/>
        <w:tabs>
          <w:tab w:val="left" w:pos="284"/>
          <w:tab w:val="left" w:pos="426"/>
          <w:tab w:val="left" w:pos="2227"/>
        </w:tabs>
        <w:spacing w:line="276" w:lineRule="auto"/>
        <w:ind w:left="0" w:right="51" w:firstLine="0"/>
        <w:rPr>
          <w:sz w:val="24"/>
          <w:szCs w:val="24"/>
        </w:rPr>
      </w:pPr>
    </w:p>
    <w:p w14:paraId="601C7477" w14:textId="05C48E8D" w:rsidR="00A6298B" w:rsidRPr="00D26DE4" w:rsidRDefault="00A6298B" w:rsidP="00C43AB2">
      <w:pPr>
        <w:pStyle w:val="Prrafodelista"/>
        <w:tabs>
          <w:tab w:val="left" w:pos="284"/>
          <w:tab w:val="left" w:pos="426"/>
          <w:tab w:val="left" w:pos="2227"/>
        </w:tabs>
        <w:spacing w:line="276" w:lineRule="auto"/>
        <w:ind w:left="0" w:right="51" w:firstLine="0"/>
        <w:rPr>
          <w:sz w:val="24"/>
          <w:szCs w:val="24"/>
        </w:rPr>
      </w:pPr>
      <w:r w:rsidRPr="00D26DE4">
        <w:rPr>
          <w:sz w:val="24"/>
          <w:szCs w:val="24"/>
        </w:rPr>
        <w:t xml:space="preserve">De otro lado, como se dijo al resolver la reposición, las partes tuvieron permanente acceso al expediente digital. </w:t>
      </w:r>
    </w:p>
    <w:p w14:paraId="609D6501" w14:textId="1138B088" w:rsidR="00A6298B" w:rsidRPr="00D26DE4" w:rsidRDefault="00A6298B" w:rsidP="00C43AB2">
      <w:pPr>
        <w:pStyle w:val="Prrafodelista"/>
        <w:tabs>
          <w:tab w:val="left" w:pos="284"/>
          <w:tab w:val="left" w:pos="426"/>
          <w:tab w:val="left" w:pos="2227"/>
        </w:tabs>
        <w:spacing w:line="276" w:lineRule="auto"/>
        <w:ind w:left="0" w:right="51" w:firstLine="0"/>
        <w:rPr>
          <w:sz w:val="24"/>
          <w:szCs w:val="24"/>
        </w:rPr>
      </w:pPr>
    </w:p>
    <w:p w14:paraId="46D90ABA" w14:textId="318F369A" w:rsidR="00A6298B" w:rsidRPr="00D26DE4" w:rsidRDefault="00A6298B" w:rsidP="00C43AB2">
      <w:pPr>
        <w:pStyle w:val="Prrafodelista"/>
        <w:tabs>
          <w:tab w:val="left" w:pos="284"/>
          <w:tab w:val="left" w:pos="426"/>
          <w:tab w:val="left" w:pos="2227"/>
        </w:tabs>
        <w:spacing w:line="276" w:lineRule="auto"/>
        <w:ind w:left="0" w:right="51" w:firstLine="0"/>
        <w:rPr>
          <w:sz w:val="24"/>
          <w:szCs w:val="24"/>
        </w:rPr>
      </w:pPr>
      <w:r w:rsidRPr="00D26DE4">
        <w:rPr>
          <w:sz w:val="24"/>
          <w:szCs w:val="24"/>
        </w:rPr>
        <w:t xml:space="preserve">Y, </w:t>
      </w:r>
      <w:r w:rsidR="4FD09967" w:rsidRPr="00D26DE4">
        <w:rPr>
          <w:sz w:val="24"/>
          <w:szCs w:val="24"/>
        </w:rPr>
        <w:t xml:space="preserve">finalmente, </w:t>
      </w:r>
      <w:r w:rsidRPr="00D26DE4">
        <w:rPr>
          <w:sz w:val="24"/>
          <w:szCs w:val="24"/>
        </w:rPr>
        <w:t xml:space="preserve">si lo que </w:t>
      </w:r>
      <w:r w:rsidR="00A06AF1" w:rsidRPr="00D26DE4">
        <w:rPr>
          <w:sz w:val="24"/>
          <w:szCs w:val="24"/>
        </w:rPr>
        <w:t>ellas</w:t>
      </w:r>
      <w:r w:rsidRPr="00D26DE4">
        <w:rPr>
          <w:sz w:val="24"/>
          <w:szCs w:val="24"/>
        </w:rPr>
        <w:t xml:space="preserve"> pidieron fue solamente una aclaración a la liquidadora, bien hizo el juzgado al aprobar las cuentas finales al señalar que </w:t>
      </w:r>
      <w:r w:rsidR="00A06AF1" w:rsidRPr="00D26DE4">
        <w:rPr>
          <w:sz w:val="24"/>
          <w:szCs w:val="24"/>
        </w:rPr>
        <w:t>esta</w:t>
      </w:r>
      <w:r w:rsidRPr="00D26DE4">
        <w:rPr>
          <w:sz w:val="24"/>
          <w:szCs w:val="24"/>
        </w:rPr>
        <w:t xml:space="preserve"> brindó las explicaciones que le fueron requeridas y aportó los soportes documentales pertinentes, con lo cual, ningún otro pronunciamiento cabía. </w:t>
      </w:r>
    </w:p>
    <w:p w14:paraId="410ED9EE" w14:textId="71CB5C4B" w:rsidR="00A56795" w:rsidRPr="00D26DE4" w:rsidRDefault="00A56795" w:rsidP="00C43AB2">
      <w:pPr>
        <w:pStyle w:val="Prrafodelista"/>
        <w:tabs>
          <w:tab w:val="left" w:pos="284"/>
          <w:tab w:val="left" w:pos="426"/>
          <w:tab w:val="left" w:pos="2227"/>
        </w:tabs>
        <w:spacing w:line="276" w:lineRule="auto"/>
        <w:ind w:left="0" w:right="51" w:firstLine="0"/>
        <w:rPr>
          <w:sz w:val="24"/>
          <w:szCs w:val="24"/>
        </w:rPr>
      </w:pPr>
    </w:p>
    <w:p w14:paraId="21A0AB79" w14:textId="3DB4F5E9" w:rsidR="00A56795" w:rsidRPr="00D26DE4" w:rsidRDefault="00A56795" w:rsidP="00C43AB2">
      <w:pPr>
        <w:pStyle w:val="Prrafodelista"/>
        <w:tabs>
          <w:tab w:val="left" w:pos="284"/>
          <w:tab w:val="left" w:pos="426"/>
          <w:tab w:val="left" w:pos="2227"/>
        </w:tabs>
        <w:spacing w:line="276" w:lineRule="auto"/>
        <w:ind w:left="0" w:right="51" w:firstLine="0"/>
        <w:rPr>
          <w:sz w:val="24"/>
          <w:szCs w:val="24"/>
        </w:rPr>
      </w:pPr>
      <w:r w:rsidRPr="00D26DE4">
        <w:rPr>
          <w:sz w:val="24"/>
          <w:szCs w:val="24"/>
        </w:rPr>
        <w:t xml:space="preserve">Se reitera que la aprobación de este informe en el proceso, no </w:t>
      </w:r>
      <w:proofErr w:type="spellStart"/>
      <w:r w:rsidRPr="00D26DE4">
        <w:rPr>
          <w:sz w:val="24"/>
          <w:szCs w:val="24"/>
        </w:rPr>
        <w:t>empece</w:t>
      </w:r>
      <w:proofErr w:type="spellEnd"/>
      <w:r w:rsidRPr="00D26DE4">
        <w:rPr>
          <w:sz w:val="24"/>
          <w:szCs w:val="24"/>
        </w:rPr>
        <w:t xml:space="preserve"> que se pueda acudir a la rendición provocada de cuentas. </w:t>
      </w:r>
    </w:p>
    <w:p w14:paraId="35DA05B3" w14:textId="08197C73" w:rsidR="00A6298B" w:rsidRPr="00D26DE4" w:rsidRDefault="00A6298B" w:rsidP="00C43AB2">
      <w:pPr>
        <w:pStyle w:val="Prrafodelista"/>
        <w:tabs>
          <w:tab w:val="left" w:pos="284"/>
          <w:tab w:val="left" w:pos="426"/>
          <w:tab w:val="left" w:pos="2227"/>
        </w:tabs>
        <w:spacing w:line="276" w:lineRule="auto"/>
        <w:ind w:left="0" w:right="51" w:firstLine="0"/>
        <w:rPr>
          <w:sz w:val="24"/>
          <w:szCs w:val="24"/>
        </w:rPr>
      </w:pPr>
    </w:p>
    <w:p w14:paraId="21B32422" w14:textId="4B7F0B13" w:rsidR="002A0F2A" w:rsidRPr="00D26DE4" w:rsidRDefault="00A56795" w:rsidP="00C43AB2">
      <w:pPr>
        <w:pStyle w:val="Prrafodelista"/>
        <w:numPr>
          <w:ilvl w:val="1"/>
          <w:numId w:val="2"/>
        </w:numPr>
        <w:tabs>
          <w:tab w:val="left" w:pos="284"/>
          <w:tab w:val="left" w:pos="2227"/>
        </w:tabs>
        <w:spacing w:line="276" w:lineRule="auto"/>
        <w:ind w:left="0" w:right="51" w:firstLine="0"/>
        <w:rPr>
          <w:sz w:val="24"/>
          <w:szCs w:val="24"/>
        </w:rPr>
      </w:pPr>
      <w:r w:rsidRPr="00D26DE4">
        <w:rPr>
          <w:sz w:val="24"/>
          <w:szCs w:val="24"/>
        </w:rPr>
        <w:t xml:space="preserve">Como se anticipó, el auto se confirmará. </w:t>
      </w:r>
    </w:p>
    <w:p w14:paraId="63D8B2B7" w14:textId="0B4CF605" w:rsidR="00A56795" w:rsidRPr="00D26DE4" w:rsidRDefault="00A56795" w:rsidP="00C43AB2">
      <w:pPr>
        <w:pStyle w:val="Prrafodelista"/>
        <w:tabs>
          <w:tab w:val="left" w:pos="284"/>
          <w:tab w:val="left" w:pos="2227"/>
        </w:tabs>
        <w:spacing w:line="276" w:lineRule="auto"/>
        <w:ind w:right="51" w:firstLine="0"/>
        <w:rPr>
          <w:sz w:val="24"/>
          <w:szCs w:val="24"/>
        </w:rPr>
      </w:pPr>
    </w:p>
    <w:p w14:paraId="2286C1A2" w14:textId="416ED975" w:rsidR="00A56795" w:rsidRPr="00D26DE4" w:rsidRDefault="00A56795" w:rsidP="00C43AB2">
      <w:pPr>
        <w:pStyle w:val="Prrafodelista"/>
        <w:tabs>
          <w:tab w:val="left" w:pos="284"/>
          <w:tab w:val="left" w:pos="2227"/>
        </w:tabs>
        <w:spacing w:line="276" w:lineRule="auto"/>
        <w:ind w:left="0" w:right="51" w:firstLine="0"/>
        <w:rPr>
          <w:sz w:val="24"/>
          <w:szCs w:val="24"/>
        </w:rPr>
      </w:pPr>
      <w:r w:rsidRPr="00D26DE4">
        <w:rPr>
          <w:sz w:val="24"/>
          <w:szCs w:val="24"/>
        </w:rPr>
        <w:t>En esta sede, no habrá lugar a condenar en costas, porque no aparecen causadas</w:t>
      </w:r>
      <w:r w:rsidR="00443714" w:rsidRPr="00D26DE4">
        <w:rPr>
          <w:sz w:val="24"/>
          <w:szCs w:val="24"/>
        </w:rPr>
        <w:t xml:space="preserve"> (art. 365-8 CGP). </w:t>
      </w:r>
      <w:r w:rsidRPr="00D26DE4">
        <w:rPr>
          <w:sz w:val="24"/>
          <w:szCs w:val="24"/>
        </w:rPr>
        <w:t xml:space="preserve"> </w:t>
      </w:r>
    </w:p>
    <w:p w14:paraId="707DE3A5" w14:textId="77777777" w:rsidR="002A0F2A" w:rsidRPr="00D26DE4" w:rsidRDefault="002A0F2A" w:rsidP="00C43AB2">
      <w:pPr>
        <w:pStyle w:val="Prrafodelista"/>
        <w:spacing w:line="276" w:lineRule="auto"/>
        <w:rPr>
          <w:sz w:val="24"/>
          <w:szCs w:val="24"/>
        </w:rPr>
      </w:pPr>
    </w:p>
    <w:p w14:paraId="11BA627B" w14:textId="77777777" w:rsidR="00FD0FCD" w:rsidRPr="00D26DE4" w:rsidRDefault="00143BB8" w:rsidP="00C43AB2">
      <w:pPr>
        <w:pStyle w:val="Ttulo2"/>
        <w:spacing w:before="0" w:line="276" w:lineRule="auto"/>
        <w:ind w:left="0"/>
        <w:rPr>
          <w:sz w:val="24"/>
          <w:szCs w:val="24"/>
        </w:rPr>
      </w:pPr>
      <w:r w:rsidRPr="00D26DE4">
        <w:rPr>
          <w:sz w:val="24"/>
          <w:szCs w:val="24"/>
        </w:rPr>
        <w:t>DECISIÓN</w:t>
      </w:r>
    </w:p>
    <w:p w14:paraId="3660B7F7" w14:textId="77777777" w:rsidR="00FD0FCD" w:rsidRPr="00D26DE4" w:rsidRDefault="00FD0FCD" w:rsidP="00C43AB2">
      <w:pPr>
        <w:spacing w:line="276" w:lineRule="auto"/>
        <w:rPr>
          <w:b/>
          <w:sz w:val="24"/>
          <w:szCs w:val="24"/>
        </w:rPr>
      </w:pPr>
    </w:p>
    <w:p w14:paraId="6F8683D4" w14:textId="77777777" w:rsidR="00443714" w:rsidRPr="00D26DE4" w:rsidRDefault="00143BB8" w:rsidP="00C43AB2">
      <w:pPr>
        <w:spacing w:line="276" w:lineRule="auto"/>
        <w:ind w:right="113"/>
        <w:jc w:val="both"/>
        <w:rPr>
          <w:sz w:val="24"/>
          <w:szCs w:val="24"/>
        </w:rPr>
      </w:pPr>
      <w:r w:rsidRPr="00D26DE4">
        <w:rPr>
          <w:sz w:val="24"/>
          <w:szCs w:val="24"/>
        </w:rPr>
        <w:t xml:space="preserve">En armonía con lo expuesto, el </w:t>
      </w:r>
      <w:r w:rsidRPr="00D26DE4">
        <w:rPr>
          <w:b/>
          <w:sz w:val="24"/>
          <w:szCs w:val="24"/>
        </w:rPr>
        <w:t>Tribunal Superior del Distrito Judicial, Sala Unitaria Civil-Familia</w:t>
      </w:r>
      <w:r w:rsidRPr="00D26DE4">
        <w:rPr>
          <w:sz w:val="24"/>
          <w:szCs w:val="24"/>
        </w:rPr>
        <w:t xml:space="preserve">, </w:t>
      </w:r>
      <w:r w:rsidRPr="00D26DE4">
        <w:rPr>
          <w:b/>
          <w:sz w:val="24"/>
          <w:szCs w:val="24"/>
        </w:rPr>
        <w:t xml:space="preserve">CONFIRMA </w:t>
      </w:r>
      <w:r w:rsidR="00860B23" w:rsidRPr="00D26DE4">
        <w:rPr>
          <w:sz w:val="24"/>
          <w:szCs w:val="24"/>
        </w:rPr>
        <w:t xml:space="preserve">el auto del </w:t>
      </w:r>
      <w:r w:rsidR="00443714" w:rsidRPr="00D26DE4">
        <w:rPr>
          <w:sz w:val="24"/>
          <w:szCs w:val="24"/>
        </w:rPr>
        <w:t xml:space="preserve">13 de diciembre de 2021, proferido por el Juzgado Segundo Civil del Circuito de Pereira, en este proceso de liquidación de sociedad comercial que </w:t>
      </w:r>
      <w:r w:rsidR="00443714" w:rsidRPr="00D26DE4">
        <w:rPr>
          <w:b/>
          <w:sz w:val="24"/>
          <w:szCs w:val="24"/>
        </w:rPr>
        <w:t xml:space="preserve">Luz Amparo Rodríguez Gutiérrez </w:t>
      </w:r>
      <w:r w:rsidR="00443714" w:rsidRPr="00D26DE4">
        <w:rPr>
          <w:sz w:val="24"/>
          <w:szCs w:val="24"/>
        </w:rPr>
        <w:t xml:space="preserve">inició frente a Óscar Yesid Sánchez Medina. </w:t>
      </w:r>
    </w:p>
    <w:p w14:paraId="2B808CF8" w14:textId="4FA10696" w:rsidR="00860B23" w:rsidRPr="00D26DE4" w:rsidRDefault="00860B23" w:rsidP="00C43AB2">
      <w:pPr>
        <w:spacing w:line="276" w:lineRule="auto"/>
        <w:ind w:right="113"/>
        <w:jc w:val="both"/>
        <w:rPr>
          <w:sz w:val="24"/>
          <w:szCs w:val="24"/>
        </w:rPr>
      </w:pPr>
    </w:p>
    <w:p w14:paraId="39B8CC66" w14:textId="248C0AA1" w:rsidR="008151AD" w:rsidRPr="00D26DE4" w:rsidRDefault="008151AD" w:rsidP="00C43AB2">
      <w:pPr>
        <w:spacing w:line="276" w:lineRule="auto"/>
        <w:ind w:right="113"/>
        <w:jc w:val="both"/>
        <w:rPr>
          <w:sz w:val="24"/>
          <w:szCs w:val="24"/>
        </w:rPr>
      </w:pPr>
      <w:r w:rsidRPr="00D26DE4">
        <w:rPr>
          <w:sz w:val="24"/>
          <w:szCs w:val="24"/>
        </w:rPr>
        <w:t xml:space="preserve">Sin costas. </w:t>
      </w:r>
    </w:p>
    <w:p w14:paraId="16920415" w14:textId="77777777" w:rsidR="008151AD" w:rsidRPr="00D26DE4" w:rsidRDefault="008151AD" w:rsidP="00C43AB2">
      <w:pPr>
        <w:spacing w:line="276" w:lineRule="auto"/>
        <w:ind w:right="113"/>
        <w:jc w:val="both"/>
        <w:rPr>
          <w:sz w:val="24"/>
          <w:szCs w:val="24"/>
        </w:rPr>
      </w:pPr>
    </w:p>
    <w:p w14:paraId="65AB6207" w14:textId="77777777" w:rsidR="0090386E" w:rsidRPr="00D26DE4" w:rsidRDefault="0090386E" w:rsidP="00C43AB2">
      <w:pPr>
        <w:pStyle w:val="Ttulo2"/>
        <w:spacing w:before="0" w:line="276" w:lineRule="auto"/>
        <w:ind w:left="0"/>
        <w:rPr>
          <w:b w:val="0"/>
          <w:sz w:val="24"/>
          <w:szCs w:val="24"/>
        </w:rPr>
      </w:pPr>
      <w:r w:rsidRPr="00D26DE4">
        <w:rPr>
          <w:b w:val="0"/>
          <w:sz w:val="24"/>
          <w:szCs w:val="24"/>
        </w:rPr>
        <w:t xml:space="preserve">Notifíquese, </w:t>
      </w:r>
    </w:p>
    <w:p w14:paraId="7D4F068E" w14:textId="1A66E47F" w:rsidR="0090386E" w:rsidRPr="00D26DE4" w:rsidRDefault="0090386E" w:rsidP="00C43AB2">
      <w:pPr>
        <w:pStyle w:val="Ttulo2"/>
        <w:spacing w:before="0" w:line="276" w:lineRule="auto"/>
        <w:ind w:left="0"/>
        <w:rPr>
          <w:sz w:val="24"/>
          <w:szCs w:val="24"/>
        </w:rPr>
      </w:pPr>
    </w:p>
    <w:p w14:paraId="7858948E" w14:textId="77777777" w:rsidR="00C43AB2" w:rsidRPr="00D26DE4" w:rsidRDefault="00C43AB2" w:rsidP="00C43AB2">
      <w:pPr>
        <w:pStyle w:val="Ttulo2"/>
        <w:spacing w:before="0" w:line="276" w:lineRule="auto"/>
        <w:ind w:left="0"/>
        <w:rPr>
          <w:sz w:val="24"/>
          <w:szCs w:val="24"/>
        </w:rPr>
      </w:pPr>
    </w:p>
    <w:p w14:paraId="42E489A5" w14:textId="77777777" w:rsidR="0090386E" w:rsidRPr="00D26DE4" w:rsidRDefault="0090386E" w:rsidP="00C43AB2">
      <w:pPr>
        <w:pStyle w:val="Ttulo2"/>
        <w:spacing w:before="0" w:line="276" w:lineRule="auto"/>
        <w:ind w:left="0"/>
        <w:rPr>
          <w:sz w:val="24"/>
          <w:szCs w:val="24"/>
        </w:rPr>
      </w:pPr>
    </w:p>
    <w:p w14:paraId="22764C62" w14:textId="5BBB7E2E" w:rsidR="00FD0FCD" w:rsidRPr="00D26DE4" w:rsidRDefault="00143BB8" w:rsidP="00C43AB2">
      <w:pPr>
        <w:pStyle w:val="Ttulo2"/>
        <w:spacing w:before="0" w:line="276" w:lineRule="auto"/>
        <w:ind w:left="0"/>
        <w:rPr>
          <w:sz w:val="24"/>
          <w:szCs w:val="24"/>
        </w:rPr>
      </w:pPr>
      <w:r w:rsidRPr="00D26DE4">
        <w:rPr>
          <w:sz w:val="24"/>
          <w:szCs w:val="24"/>
        </w:rPr>
        <w:t>JAIME ALBERTO SARAZA NARANJO</w:t>
      </w:r>
    </w:p>
    <w:p w14:paraId="64A16C32" w14:textId="6CD00B61" w:rsidR="00FD0FCD" w:rsidRPr="00D26DE4" w:rsidRDefault="00143BB8" w:rsidP="00C43AB2">
      <w:pPr>
        <w:pStyle w:val="Textoindependiente"/>
        <w:spacing w:line="276" w:lineRule="auto"/>
        <w:rPr>
          <w:rFonts w:ascii="Gadugi" w:hAnsi="Gadugi"/>
          <w:sz w:val="24"/>
          <w:szCs w:val="24"/>
        </w:rPr>
      </w:pPr>
      <w:r w:rsidRPr="00D26DE4">
        <w:rPr>
          <w:rFonts w:ascii="Gadugi" w:hAnsi="Gadugi"/>
          <w:sz w:val="24"/>
          <w:szCs w:val="24"/>
        </w:rPr>
        <w:t>Magist</w:t>
      </w:r>
      <w:r w:rsidR="002F37B7" w:rsidRPr="00D26DE4">
        <w:rPr>
          <w:rFonts w:ascii="Gadugi" w:hAnsi="Gadugi"/>
          <w:sz w:val="24"/>
          <w:szCs w:val="24"/>
        </w:rPr>
        <w:t>rado</w:t>
      </w:r>
    </w:p>
    <w:sectPr w:rsidR="00FD0FCD" w:rsidRPr="00D26DE4" w:rsidSect="00842CAC">
      <w:headerReference w:type="default" r:id="rId11"/>
      <w:footerReference w:type="default" r:id="rId12"/>
      <w:footerReference w:type="first" r:id="rId13"/>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234E" w14:textId="77777777" w:rsidR="004772B7" w:rsidRDefault="004772B7" w:rsidP="008D52B1">
      <w:r>
        <w:separator/>
      </w:r>
    </w:p>
  </w:endnote>
  <w:endnote w:type="continuationSeparator" w:id="0">
    <w:p w14:paraId="15A06955" w14:textId="77777777" w:rsidR="004772B7" w:rsidRDefault="004772B7"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rial" w:hAnsi="Arial" w:cs="Arial"/>
        <w:sz w:val="18"/>
      </w:rPr>
    </w:sdtEndPr>
    <w:sdtContent>
      <w:p w14:paraId="2F1BCD3C" w14:textId="780D2AE9" w:rsidR="00BF0006" w:rsidRPr="00147395" w:rsidRDefault="00BF0006">
        <w:pPr>
          <w:pStyle w:val="Piedepgina"/>
          <w:jc w:val="right"/>
          <w:rPr>
            <w:rFonts w:ascii="Arial" w:hAnsi="Arial" w:cs="Arial"/>
            <w:sz w:val="18"/>
          </w:rPr>
        </w:pPr>
        <w:r w:rsidRPr="00147395">
          <w:rPr>
            <w:rFonts w:ascii="Arial" w:hAnsi="Arial" w:cs="Arial"/>
            <w:sz w:val="18"/>
          </w:rPr>
          <w:fldChar w:fldCharType="begin"/>
        </w:r>
        <w:r w:rsidRPr="00147395">
          <w:rPr>
            <w:rFonts w:ascii="Arial" w:hAnsi="Arial" w:cs="Arial"/>
            <w:sz w:val="18"/>
          </w:rPr>
          <w:instrText>PAGE   \* MERGEFORMAT</w:instrText>
        </w:r>
        <w:r w:rsidRPr="00147395">
          <w:rPr>
            <w:rFonts w:ascii="Arial" w:hAnsi="Arial" w:cs="Arial"/>
            <w:sz w:val="18"/>
          </w:rPr>
          <w:fldChar w:fldCharType="separate"/>
        </w:r>
        <w:r w:rsidRPr="00147395">
          <w:rPr>
            <w:rFonts w:ascii="Arial" w:hAnsi="Arial" w:cs="Arial"/>
            <w:sz w:val="18"/>
          </w:rPr>
          <w:t>2</w:t>
        </w:r>
        <w:r w:rsidRPr="00147395">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7DFDB6D" w14:paraId="5BBE8B1E" w14:textId="77777777" w:rsidTr="57DFDB6D">
      <w:tc>
        <w:tcPr>
          <w:tcW w:w="2945" w:type="dxa"/>
        </w:tcPr>
        <w:p w14:paraId="249D3D23" w14:textId="788B340F" w:rsidR="57DFDB6D" w:rsidRDefault="57DFDB6D" w:rsidP="57DFDB6D">
          <w:pPr>
            <w:pStyle w:val="Encabezado"/>
            <w:ind w:left="-115"/>
          </w:pPr>
        </w:p>
      </w:tc>
      <w:tc>
        <w:tcPr>
          <w:tcW w:w="2945" w:type="dxa"/>
        </w:tcPr>
        <w:p w14:paraId="1068A511" w14:textId="273260AF" w:rsidR="57DFDB6D" w:rsidRDefault="57DFDB6D" w:rsidP="57DFDB6D">
          <w:pPr>
            <w:pStyle w:val="Encabezado"/>
            <w:jc w:val="center"/>
          </w:pPr>
        </w:p>
      </w:tc>
      <w:tc>
        <w:tcPr>
          <w:tcW w:w="2945" w:type="dxa"/>
        </w:tcPr>
        <w:p w14:paraId="1D555B2D" w14:textId="5759B1CC" w:rsidR="57DFDB6D" w:rsidRDefault="57DFDB6D" w:rsidP="57DFDB6D">
          <w:pPr>
            <w:pStyle w:val="Encabezado"/>
            <w:ind w:right="-115"/>
            <w:jc w:val="right"/>
          </w:pPr>
        </w:p>
      </w:tc>
    </w:tr>
  </w:tbl>
  <w:p w14:paraId="5245ECD1" w14:textId="77A0CF91" w:rsidR="57DFDB6D" w:rsidRDefault="57DFDB6D" w:rsidP="57DFD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D49A" w14:textId="77777777" w:rsidR="004772B7" w:rsidRDefault="004772B7" w:rsidP="008D52B1">
      <w:r>
        <w:separator/>
      </w:r>
    </w:p>
  </w:footnote>
  <w:footnote w:type="continuationSeparator" w:id="0">
    <w:p w14:paraId="0931B699" w14:textId="77777777" w:rsidR="004772B7" w:rsidRDefault="004772B7" w:rsidP="008D52B1">
      <w:r>
        <w:continuationSeparator/>
      </w:r>
    </w:p>
  </w:footnote>
  <w:footnote w:id="1">
    <w:p w14:paraId="428A233D" w14:textId="51EA6A06" w:rsidR="00A66B18" w:rsidRPr="009C7612" w:rsidRDefault="00A66B18"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01PrimeraInstancia, 01CuadernoPrincipal, </w:t>
      </w:r>
      <w:proofErr w:type="spellStart"/>
      <w:r w:rsidRPr="009C7612">
        <w:rPr>
          <w:rFonts w:ascii="Arial" w:hAnsi="Arial" w:cs="Arial"/>
          <w:sz w:val="18"/>
          <w:lang w:val="es-419"/>
        </w:rPr>
        <w:t>arch</w:t>
      </w:r>
      <w:proofErr w:type="spellEnd"/>
      <w:r w:rsidRPr="009C7612">
        <w:rPr>
          <w:rFonts w:ascii="Arial" w:hAnsi="Arial" w:cs="Arial"/>
          <w:sz w:val="18"/>
          <w:lang w:val="es-419"/>
        </w:rPr>
        <w:t>. 38</w:t>
      </w:r>
    </w:p>
  </w:footnote>
  <w:footnote w:id="2">
    <w:p w14:paraId="644E4F26" w14:textId="3F4A0DD3" w:rsidR="0077349D" w:rsidRPr="009C7612" w:rsidRDefault="0077349D"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41</w:t>
      </w:r>
    </w:p>
  </w:footnote>
  <w:footnote w:id="3">
    <w:p w14:paraId="4705753B" w14:textId="7A03BF71" w:rsidR="0077349D" w:rsidRPr="009C7612" w:rsidRDefault="0077349D"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xml:space="preserve">. 45 </w:t>
      </w:r>
    </w:p>
  </w:footnote>
  <w:footnote w:id="4">
    <w:p w14:paraId="459E336B" w14:textId="5F9A3C52" w:rsidR="00EC3EEF" w:rsidRPr="009C7612" w:rsidRDefault="00EC3EEF"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48</w:t>
      </w:r>
    </w:p>
  </w:footnote>
  <w:footnote w:id="5">
    <w:p w14:paraId="12F31F04" w14:textId="77777777" w:rsidR="002810C0" w:rsidRPr="009C7612" w:rsidRDefault="002810C0"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50</w:t>
      </w:r>
    </w:p>
  </w:footnote>
  <w:footnote w:id="6">
    <w:p w14:paraId="4BB333A0" w14:textId="5DBF7FDE" w:rsidR="00EC3EEF" w:rsidRPr="009C7612" w:rsidRDefault="00EC3EEF"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52</w:t>
      </w:r>
    </w:p>
  </w:footnote>
  <w:footnote w:id="7">
    <w:p w14:paraId="78874C61" w14:textId="5594CF67" w:rsidR="00EC3EEF" w:rsidRPr="009C7612" w:rsidRDefault="00EC3EEF" w:rsidP="009C7612">
      <w:pPr>
        <w:pStyle w:val="Textonotapie"/>
        <w:jc w:val="both"/>
        <w:rPr>
          <w:rFonts w:ascii="Arial" w:hAnsi="Arial" w:cs="Arial"/>
          <w:sz w:val="18"/>
          <w:lang w:val="es-419"/>
        </w:rPr>
      </w:pPr>
      <w:r w:rsidRPr="009C7612">
        <w:rPr>
          <w:rStyle w:val="Refdenotaalpie"/>
          <w:rFonts w:ascii="Arial" w:hAnsi="Arial" w:cs="Arial"/>
          <w:sz w:val="18"/>
        </w:rPr>
        <w:footnoteRef/>
      </w:r>
      <w:r w:rsidRPr="009C7612">
        <w:rPr>
          <w:rFonts w:ascii="Arial" w:hAnsi="Arial" w:cs="Arial"/>
          <w:sz w:val="18"/>
        </w:rPr>
        <w:t xml:space="preserve"> </w:t>
      </w:r>
      <w:r w:rsidRPr="009C7612">
        <w:rPr>
          <w:rFonts w:ascii="Arial" w:hAnsi="Arial" w:cs="Arial"/>
          <w:sz w:val="18"/>
          <w:lang w:val="es-419"/>
        </w:rPr>
        <w:t xml:space="preserve">Ib., </w:t>
      </w:r>
      <w:proofErr w:type="spellStart"/>
      <w:r w:rsidRPr="009C7612">
        <w:rPr>
          <w:rFonts w:ascii="Arial" w:hAnsi="Arial" w:cs="Arial"/>
          <w:sz w:val="18"/>
          <w:lang w:val="es-419"/>
        </w:rPr>
        <w:t>arch</w:t>
      </w:r>
      <w:proofErr w:type="spellEnd"/>
      <w:r w:rsidRPr="009C7612">
        <w:rPr>
          <w:rFonts w:ascii="Arial" w:hAnsi="Arial" w:cs="Arial"/>
          <w:sz w:val="18"/>
          <w:lang w:val="es-419"/>
        </w:rPr>
        <w:t>.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7DFDB6D" w14:paraId="13F41B59" w14:textId="77777777" w:rsidTr="57DFDB6D">
      <w:tc>
        <w:tcPr>
          <w:tcW w:w="2945" w:type="dxa"/>
        </w:tcPr>
        <w:p w14:paraId="51078F2F" w14:textId="54728A2D" w:rsidR="57DFDB6D" w:rsidRDefault="57DFDB6D" w:rsidP="57DFDB6D">
          <w:pPr>
            <w:pStyle w:val="Encabezado"/>
            <w:ind w:left="-115"/>
          </w:pPr>
        </w:p>
      </w:tc>
      <w:tc>
        <w:tcPr>
          <w:tcW w:w="2945" w:type="dxa"/>
        </w:tcPr>
        <w:p w14:paraId="4E810D9B" w14:textId="6B183DE4" w:rsidR="57DFDB6D" w:rsidRDefault="57DFDB6D" w:rsidP="57DFDB6D">
          <w:pPr>
            <w:pStyle w:val="Encabezado"/>
            <w:jc w:val="center"/>
          </w:pPr>
        </w:p>
      </w:tc>
      <w:tc>
        <w:tcPr>
          <w:tcW w:w="2945" w:type="dxa"/>
        </w:tcPr>
        <w:p w14:paraId="1FE17121" w14:textId="4B961A62" w:rsidR="57DFDB6D" w:rsidRDefault="57DFDB6D" w:rsidP="57DFDB6D">
          <w:pPr>
            <w:pStyle w:val="Encabezado"/>
            <w:ind w:right="-115"/>
            <w:jc w:val="right"/>
          </w:pPr>
        </w:p>
      </w:tc>
    </w:tr>
  </w:tbl>
  <w:p w14:paraId="39669D99" w14:textId="75EA1FE4" w:rsidR="57DFDB6D" w:rsidRDefault="57DFDB6D" w:rsidP="57DFD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329099B"/>
    <w:multiLevelType w:val="hybridMultilevel"/>
    <w:tmpl w:val="3A0434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F36D4D"/>
    <w:multiLevelType w:val="hybridMultilevel"/>
    <w:tmpl w:val="3C7CDF1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2CC2754C">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3197A"/>
    <w:rsid w:val="00064E67"/>
    <w:rsid w:val="00065D2A"/>
    <w:rsid w:val="00070316"/>
    <w:rsid w:val="00071EEF"/>
    <w:rsid w:val="000777B9"/>
    <w:rsid w:val="00082B95"/>
    <w:rsid w:val="00086BFF"/>
    <w:rsid w:val="00095133"/>
    <w:rsid w:val="000A7352"/>
    <w:rsid w:val="000F06A8"/>
    <w:rsid w:val="000F252B"/>
    <w:rsid w:val="0010326A"/>
    <w:rsid w:val="00107112"/>
    <w:rsid w:val="0010768F"/>
    <w:rsid w:val="001146DD"/>
    <w:rsid w:val="00143BB8"/>
    <w:rsid w:val="00147395"/>
    <w:rsid w:val="00176693"/>
    <w:rsid w:val="0018188F"/>
    <w:rsid w:val="001A6ADC"/>
    <w:rsid w:val="001B625A"/>
    <w:rsid w:val="001E5649"/>
    <w:rsid w:val="001F33BA"/>
    <w:rsid w:val="002132E2"/>
    <w:rsid w:val="002666E6"/>
    <w:rsid w:val="00280634"/>
    <w:rsid w:val="002810C0"/>
    <w:rsid w:val="002A0F2A"/>
    <w:rsid w:val="002B7646"/>
    <w:rsid w:val="002D23A0"/>
    <w:rsid w:val="002D4C06"/>
    <w:rsid w:val="002E391A"/>
    <w:rsid w:val="002F37B7"/>
    <w:rsid w:val="003139E7"/>
    <w:rsid w:val="00344E3D"/>
    <w:rsid w:val="0036123C"/>
    <w:rsid w:val="003765CD"/>
    <w:rsid w:val="00382060"/>
    <w:rsid w:val="003972E7"/>
    <w:rsid w:val="003A2EDC"/>
    <w:rsid w:val="003A3C3D"/>
    <w:rsid w:val="003F11CF"/>
    <w:rsid w:val="004117C9"/>
    <w:rsid w:val="00416AF1"/>
    <w:rsid w:val="00434A1A"/>
    <w:rsid w:val="004362DD"/>
    <w:rsid w:val="004402E2"/>
    <w:rsid w:val="00443714"/>
    <w:rsid w:val="00445F28"/>
    <w:rsid w:val="0046565F"/>
    <w:rsid w:val="004768F9"/>
    <w:rsid w:val="004772B7"/>
    <w:rsid w:val="004A1992"/>
    <w:rsid w:val="004A49A2"/>
    <w:rsid w:val="004E0B5D"/>
    <w:rsid w:val="00517412"/>
    <w:rsid w:val="00537150"/>
    <w:rsid w:val="0053741D"/>
    <w:rsid w:val="0054458F"/>
    <w:rsid w:val="00563772"/>
    <w:rsid w:val="005E6327"/>
    <w:rsid w:val="005F6621"/>
    <w:rsid w:val="00626D2C"/>
    <w:rsid w:val="00642A58"/>
    <w:rsid w:val="00690E7C"/>
    <w:rsid w:val="006E026C"/>
    <w:rsid w:val="006E2182"/>
    <w:rsid w:val="006E62BD"/>
    <w:rsid w:val="006F4AEB"/>
    <w:rsid w:val="00701C4B"/>
    <w:rsid w:val="00703596"/>
    <w:rsid w:val="00703C24"/>
    <w:rsid w:val="00710FCA"/>
    <w:rsid w:val="0076006D"/>
    <w:rsid w:val="0077259A"/>
    <w:rsid w:val="0077349D"/>
    <w:rsid w:val="0078297B"/>
    <w:rsid w:val="00797EEE"/>
    <w:rsid w:val="007A151D"/>
    <w:rsid w:val="007A5B8F"/>
    <w:rsid w:val="007B18A4"/>
    <w:rsid w:val="007D2BB6"/>
    <w:rsid w:val="007D5D47"/>
    <w:rsid w:val="008019A0"/>
    <w:rsid w:val="00803ED4"/>
    <w:rsid w:val="008151AD"/>
    <w:rsid w:val="0082186D"/>
    <w:rsid w:val="00837EEB"/>
    <w:rsid w:val="00842CAC"/>
    <w:rsid w:val="00853FEF"/>
    <w:rsid w:val="00860B23"/>
    <w:rsid w:val="00861D82"/>
    <w:rsid w:val="0089270C"/>
    <w:rsid w:val="008A51C2"/>
    <w:rsid w:val="008C74E8"/>
    <w:rsid w:val="008D52B1"/>
    <w:rsid w:val="008E320F"/>
    <w:rsid w:val="008F1D6E"/>
    <w:rsid w:val="008F23B4"/>
    <w:rsid w:val="0090386E"/>
    <w:rsid w:val="009106D3"/>
    <w:rsid w:val="0091625B"/>
    <w:rsid w:val="00927549"/>
    <w:rsid w:val="009467EA"/>
    <w:rsid w:val="00966C7A"/>
    <w:rsid w:val="00976915"/>
    <w:rsid w:val="00985378"/>
    <w:rsid w:val="00993E58"/>
    <w:rsid w:val="009B11EA"/>
    <w:rsid w:val="009B2AFD"/>
    <w:rsid w:val="009C7612"/>
    <w:rsid w:val="009C7AA6"/>
    <w:rsid w:val="009F237B"/>
    <w:rsid w:val="009F5818"/>
    <w:rsid w:val="00A02618"/>
    <w:rsid w:val="00A06AF1"/>
    <w:rsid w:val="00A134D3"/>
    <w:rsid w:val="00A216E4"/>
    <w:rsid w:val="00A40682"/>
    <w:rsid w:val="00A46532"/>
    <w:rsid w:val="00A56795"/>
    <w:rsid w:val="00A61BBB"/>
    <w:rsid w:val="00A6298B"/>
    <w:rsid w:val="00A66484"/>
    <w:rsid w:val="00A66B18"/>
    <w:rsid w:val="00AB36BA"/>
    <w:rsid w:val="00AC6AAF"/>
    <w:rsid w:val="00AC7CE1"/>
    <w:rsid w:val="00B50725"/>
    <w:rsid w:val="00B55B25"/>
    <w:rsid w:val="00B709F0"/>
    <w:rsid w:val="00B8613D"/>
    <w:rsid w:val="00BA4231"/>
    <w:rsid w:val="00BB1B3E"/>
    <w:rsid w:val="00BC1657"/>
    <w:rsid w:val="00BF0006"/>
    <w:rsid w:val="00BF66F8"/>
    <w:rsid w:val="00BF684D"/>
    <w:rsid w:val="00C13CF6"/>
    <w:rsid w:val="00C34631"/>
    <w:rsid w:val="00C37084"/>
    <w:rsid w:val="00C43AB2"/>
    <w:rsid w:val="00C50B15"/>
    <w:rsid w:val="00C848E9"/>
    <w:rsid w:val="00CA2522"/>
    <w:rsid w:val="00CE1A2E"/>
    <w:rsid w:val="00CF170B"/>
    <w:rsid w:val="00CF7740"/>
    <w:rsid w:val="00D179E3"/>
    <w:rsid w:val="00D217A1"/>
    <w:rsid w:val="00D218EC"/>
    <w:rsid w:val="00D26DE4"/>
    <w:rsid w:val="00D40DD6"/>
    <w:rsid w:val="00D4192C"/>
    <w:rsid w:val="00D510D6"/>
    <w:rsid w:val="00D512CC"/>
    <w:rsid w:val="00D72B6C"/>
    <w:rsid w:val="00D742F4"/>
    <w:rsid w:val="00D9592B"/>
    <w:rsid w:val="00D965BA"/>
    <w:rsid w:val="00DA569D"/>
    <w:rsid w:val="00DB179E"/>
    <w:rsid w:val="00DB5C04"/>
    <w:rsid w:val="00DC772A"/>
    <w:rsid w:val="00DD3D0E"/>
    <w:rsid w:val="00DE541D"/>
    <w:rsid w:val="00DE75C0"/>
    <w:rsid w:val="00DF5F9E"/>
    <w:rsid w:val="00E02E7C"/>
    <w:rsid w:val="00E1203C"/>
    <w:rsid w:val="00E26309"/>
    <w:rsid w:val="00E41B22"/>
    <w:rsid w:val="00EA5CD7"/>
    <w:rsid w:val="00EC3EEF"/>
    <w:rsid w:val="00EF0FAC"/>
    <w:rsid w:val="00EF4EDC"/>
    <w:rsid w:val="00EF5031"/>
    <w:rsid w:val="00F915D7"/>
    <w:rsid w:val="00FA4D0C"/>
    <w:rsid w:val="00FC483E"/>
    <w:rsid w:val="00FD0FCD"/>
    <w:rsid w:val="00FE162B"/>
    <w:rsid w:val="00FE5D75"/>
    <w:rsid w:val="0D085F1F"/>
    <w:rsid w:val="12AE7D52"/>
    <w:rsid w:val="33219984"/>
    <w:rsid w:val="34BD5BAD"/>
    <w:rsid w:val="44758809"/>
    <w:rsid w:val="4FD09967"/>
    <w:rsid w:val="57DFDB6D"/>
    <w:rsid w:val="5849190A"/>
    <w:rsid w:val="5F0BC9C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714"/>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styleId="NormalWeb">
    <w:name w:val="Normal (Web)"/>
    <w:basedOn w:val="Normal"/>
    <w:uiPriority w:val="99"/>
    <w:unhideWhenUsed/>
    <w:rsid w:val="00D218EC"/>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72FE14B3-D2C0-4D4E-B92F-9C354FA0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8</cp:revision>
  <dcterms:created xsi:type="dcterms:W3CDTF">2022-12-06T16:50:00Z</dcterms:created>
  <dcterms:modified xsi:type="dcterms:W3CDTF">2023-02-08T14:47:00Z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y fmtid="{D5CDD505-2E9C-101B-9397-08002B2CF9AE}" pid="6" name="MediaServiceImageTags">
    <vt:lpwstr/>
  </property>
</Properties>
</file>