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A847" w14:textId="77777777" w:rsidR="002944D8" w:rsidRPr="002944D8" w:rsidRDefault="002944D8" w:rsidP="002944D8">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2944D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A4B0F6"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p>
    <w:p w14:paraId="5FA224B1"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sz w:val="20"/>
          <w:szCs w:val="20"/>
          <w:lang w:val="es-419" w:eastAsia="es-ES"/>
        </w:rPr>
        <w:t xml:space="preserve">Expedientes: </w:t>
      </w:r>
      <w:r w:rsidRPr="002944D8">
        <w:rPr>
          <w:rFonts w:ascii="Arial" w:eastAsia="Times New Roman" w:hAnsi="Arial" w:cs="Arial"/>
          <w:sz w:val="20"/>
          <w:szCs w:val="20"/>
          <w:lang w:val="es-419" w:eastAsia="es-ES"/>
        </w:rPr>
        <w:tab/>
        <w:t>66170311000120190065001</w:t>
      </w:r>
    </w:p>
    <w:p w14:paraId="6A667676"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sz w:val="20"/>
          <w:szCs w:val="20"/>
          <w:lang w:val="es-419" w:eastAsia="es-ES"/>
        </w:rPr>
        <w:t xml:space="preserve">Proceso: </w:t>
      </w:r>
      <w:r w:rsidRPr="002944D8">
        <w:rPr>
          <w:rFonts w:ascii="Arial" w:eastAsia="Times New Roman" w:hAnsi="Arial" w:cs="Arial"/>
          <w:sz w:val="20"/>
          <w:szCs w:val="20"/>
          <w:lang w:val="es-419" w:eastAsia="es-ES"/>
        </w:rPr>
        <w:tab/>
        <w:t>Nulidad de escritura pública</w:t>
      </w:r>
    </w:p>
    <w:p w14:paraId="77DB76BD"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sz w:val="20"/>
          <w:szCs w:val="20"/>
          <w:lang w:val="es-419" w:eastAsia="es-ES"/>
        </w:rPr>
        <w:t>Demandante:</w:t>
      </w:r>
      <w:r w:rsidRPr="002944D8">
        <w:rPr>
          <w:rFonts w:ascii="Arial" w:eastAsia="Times New Roman" w:hAnsi="Arial" w:cs="Arial"/>
          <w:sz w:val="20"/>
          <w:szCs w:val="20"/>
          <w:lang w:val="es-419" w:eastAsia="es-ES"/>
        </w:rPr>
        <w:tab/>
        <w:t>Stephanie Gutiérrez Arango</w:t>
      </w:r>
    </w:p>
    <w:p w14:paraId="7180BD86" w14:textId="44D35697" w:rsid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sz w:val="20"/>
          <w:szCs w:val="20"/>
          <w:lang w:val="es-419" w:eastAsia="es-ES"/>
        </w:rPr>
        <w:t>Demandada:</w:t>
      </w:r>
      <w:r w:rsidRPr="002944D8">
        <w:rPr>
          <w:rFonts w:ascii="Arial" w:eastAsia="Times New Roman" w:hAnsi="Arial" w:cs="Arial"/>
          <w:sz w:val="20"/>
          <w:szCs w:val="20"/>
          <w:lang w:val="es-419" w:eastAsia="es-ES"/>
        </w:rPr>
        <w:tab/>
        <w:t>Gloria Cristina Restrepo Díaz</w:t>
      </w:r>
    </w:p>
    <w:p w14:paraId="7AADB086"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419" w:eastAsia="es-ES"/>
        </w:rPr>
      </w:pPr>
    </w:p>
    <w:p w14:paraId="72F3B377" w14:textId="3586668C" w:rsidR="002944D8" w:rsidRPr="002944D8" w:rsidRDefault="009E3D75" w:rsidP="002944D8">
      <w:pPr>
        <w:widowControl w:val="0"/>
        <w:autoSpaceDE w:val="0"/>
        <w:autoSpaceDN w:val="0"/>
        <w:spacing w:after="0" w:line="240" w:lineRule="auto"/>
        <w:jc w:val="both"/>
        <w:rPr>
          <w:rFonts w:ascii="Arial" w:eastAsia="Times New Roman" w:hAnsi="Arial" w:cs="Arial"/>
          <w:sz w:val="20"/>
          <w:szCs w:val="20"/>
          <w:lang w:val="es-419" w:eastAsia="es-ES"/>
        </w:rPr>
      </w:pPr>
      <w:r w:rsidRPr="002944D8">
        <w:rPr>
          <w:rFonts w:ascii="Arial" w:eastAsia="Times New Roman" w:hAnsi="Arial" w:cs="Arial"/>
          <w:b/>
          <w:bCs/>
          <w:iCs/>
          <w:sz w:val="20"/>
          <w:szCs w:val="20"/>
          <w:u w:val="single"/>
          <w:lang w:val="es-419" w:eastAsia="fr-FR"/>
        </w:rPr>
        <w:t>TEMAS:</w:t>
      </w:r>
      <w:r w:rsidRPr="002944D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NULIDAD DE ESCRITURA PÚBLICA / LIQUIDACIÓN DE SOCIEDAD CONYUGAL / CAUSALES / ES CUESTIÓN DIFERENTE A LA NULIDAD DEL NEGOCIO CONTENIDO EN ELLA / PRINCIPIO DE CONGRUENCIA / COMPETENCIA DEL NOTARIO / DEFRAUDACIÓN A TERCEROS / PRESUNTA SIMULACIÓN.</w:t>
      </w:r>
    </w:p>
    <w:p w14:paraId="0A38CAC1"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3FC6FE98" w14:textId="37DD1416" w:rsidR="002944D8" w:rsidRPr="002944D8" w:rsidRDefault="00FF7D8A" w:rsidP="002944D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F7D8A">
        <w:rPr>
          <w:rFonts w:ascii="Arial" w:eastAsia="Times New Roman" w:hAnsi="Arial" w:cs="Arial"/>
          <w:sz w:val="20"/>
          <w:szCs w:val="20"/>
          <w:lang w:val="es-ES" w:eastAsia="es-ES"/>
        </w:rPr>
        <w:t>vale la pena relievar que diferencia existe entre la nulidad del documento que contiene un negocio jurídico y la nulidad del negocio mismo. A propósito de ello, la Sala de Casación Civil de la Corte Suprema de Justicia explica lo siguiente:</w:t>
      </w:r>
    </w:p>
    <w:p w14:paraId="5021D4B3"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71A995A7" w14:textId="32C11703" w:rsidR="00E351F2" w:rsidRPr="00E351F2" w:rsidRDefault="00E351F2" w:rsidP="00E351F2">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351F2">
        <w:rPr>
          <w:rFonts w:ascii="Arial" w:eastAsia="Times New Roman" w:hAnsi="Arial" w:cs="Arial"/>
          <w:sz w:val="20"/>
          <w:szCs w:val="20"/>
          <w:lang w:val="es-ES" w:eastAsia="es-ES"/>
        </w:rPr>
        <w:t>tiene explicado esta Corporación, “(…) no puede confundirse el documento como continente, que es una cosa, con las manifestaciones vertidas en él, más precisamente, con el acto documentado (…)”</w:t>
      </w:r>
      <w:r>
        <w:rPr>
          <w:rFonts w:ascii="Arial" w:eastAsia="Times New Roman" w:hAnsi="Arial" w:cs="Arial"/>
          <w:sz w:val="20"/>
          <w:szCs w:val="20"/>
          <w:lang w:val="es-ES" w:eastAsia="es-ES"/>
        </w:rPr>
        <w:t>.</w:t>
      </w:r>
    </w:p>
    <w:p w14:paraId="11DF179D" w14:textId="77777777" w:rsidR="00E351F2" w:rsidRPr="00E351F2" w:rsidRDefault="00E351F2" w:rsidP="00E351F2">
      <w:pPr>
        <w:widowControl w:val="0"/>
        <w:autoSpaceDE w:val="0"/>
        <w:autoSpaceDN w:val="0"/>
        <w:spacing w:after="0" w:line="240" w:lineRule="auto"/>
        <w:jc w:val="both"/>
        <w:rPr>
          <w:rFonts w:ascii="Arial" w:eastAsia="Times New Roman" w:hAnsi="Arial" w:cs="Arial"/>
          <w:sz w:val="20"/>
          <w:szCs w:val="20"/>
          <w:lang w:val="es-ES" w:eastAsia="es-ES"/>
        </w:rPr>
      </w:pPr>
    </w:p>
    <w:p w14:paraId="3CE9BBCE" w14:textId="3809C7DF" w:rsidR="002944D8" w:rsidRPr="002944D8" w:rsidRDefault="00E351F2" w:rsidP="00E351F2">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E351F2">
        <w:rPr>
          <w:rFonts w:ascii="Arial" w:eastAsia="Times New Roman" w:hAnsi="Arial" w:cs="Arial"/>
          <w:sz w:val="20"/>
          <w:szCs w:val="20"/>
          <w:lang w:val="es-ES" w:eastAsia="es-ES"/>
        </w:rPr>
        <w:t>La distinción es de capital importancia, p</w:t>
      </w:r>
      <w:bookmarkStart w:id="0" w:name="_GoBack"/>
      <w:bookmarkEnd w:id="0"/>
      <w:r w:rsidRPr="00E351F2">
        <w:rPr>
          <w:rFonts w:ascii="Arial" w:eastAsia="Times New Roman" w:hAnsi="Arial" w:cs="Arial"/>
          <w:sz w:val="20"/>
          <w:szCs w:val="20"/>
          <w:lang w:val="es-ES" w:eastAsia="es-ES"/>
        </w:rPr>
        <w:t>ues no siempre los hechos que afectan un negocio jurídico, conllevan a anular el documento donde fue vertido</w:t>
      </w:r>
      <w:r>
        <w:rPr>
          <w:rFonts w:ascii="Arial" w:eastAsia="Times New Roman" w:hAnsi="Arial" w:cs="Arial"/>
          <w:sz w:val="20"/>
          <w:szCs w:val="20"/>
          <w:lang w:val="es-ES" w:eastAsia="es-ES"/>
        </w:rPr>
        <w:t>…”</w:t>
      </w:r>
    </w:p>
    <w:p w14:paraId="6DD6B370"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60AEB537" w14:textId="72B1C444" w:rsidR="002944D8" w:rsidRPr="002944D8" w:rsidRDefault="00E756B8" w:rsidP="002944D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756B8">
        <w:rPr>
          <w:rFonts w:ascii="Arial" w:eastAsia="Times New Roman" w:hAnsi="Arial" w:cs="Arial"/>
          <w:sz w:val="20"/>
          <w:szCs w:val="20"/>
          <w:lang w:val="es-ES" w:eastAsia="es-ES"/>
        </w:rPr>
        <w:t>tanto en las peticiones principales, como en las subsidiarias, lo que se quiere es que se declare la nulidad de la escritura pública. Puede colegirse, entonces, que no se invocó en estricto sentido la nulidad del acto de divorcio o de la disolución y liquidación de la sociedad conyugal</w:t>
      </w:r>
      <w:r>
        <w:rPr>
          <w:rFonts w:ascii="Arial" w:eastAsia="Times New Roman" w:hAnsi="Arial" w:cs="Arial"/>
          <w:sz w:val="20"/>
          <w:szCs w:val="20"/>
          <w:lang w:val="es-ES" w:eastAsia="es-ES"/>
        </w:rPr>
        <w:t>.</w:t>
      </w:r>
      <w:r w:rsidR="007E16DE">
        <w:rPr>
          <w:rFonts w:ascii="Arial" w:eastAsia="Times New Roman" w:hAnsi="Arial" w:cs="Arial"/>
          <w:sz w:val="20"/>
          <w:szCs w:val="20"/>
          <w:lang w:val="es-ES" w:eastAsia="es-ES"/>
        </w:rPr>
        <w:t xml:space="preserve"> (…)</w:t>
      </w:r>
    </w:p>
    <w:p w14:paraId="296ADD9E"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03C4B9B0" w14:textId="71588D2E" w:rsidR="002944D8" w:rsidRDefault="007E16DE" w:rsidP="002944D8">
      <w:pPr>
        <w:widowControl w:val="0"/>
        <w:autoSpaceDE w:val="0"/>
        <w:autoSpaceDN w:val="0"/>
        <w:spacing w:after="0" w:line="240" w:lineRule="auto"/>
        <w:jc w:val="both"/>
        <w:rPr>
          <w:rFonts w:ascii="Arial" w:eastAsia="Times New Roman" w:hAnsi="Arial" w:cs="Arial"/>
          <w:sz w:val="20"/>
          <w:szCs w:val="20"/>
          <w:lang w:val="es-ES" w:eastAsia="es-ES"/>
        </w:rPr>
      </w:pPr>
      <w:r w:rsidRPr="007E16DE">
        <w:rPr>
          <w:rFonts w:ascii="Arial" w:eastAsia="Times New Roman" w:hAnsi="Arial" w:cs="Arial"/>
          <w:sz w:val="20"/>
          <w:szCs w:val="20"/>
          <w:lang w:val="es-ES" w:eastAsia="es-ES"/>
        </w:rPr>
        <w:t>Entendida la situación en esta perspectiva, y como es la nulidad absoluta de la escritura pública lo que se invoca, el artículo 99 del Decreto-ley 960 de 1970, prevé que, desde el punto de vista formal, son nulas las escrituras en que se omita el cumplimiento de los requisitos en varios casos, entre los cuales se mencionan</w:t>
      </w:r>
      <w:r>
        <w:rPr>
          <w:rFonts w:ascii="Arial" w:eastAsia="Times New Roman" w:hAnsi="Arial" w:cs="Arial"/>
          <w:sz w:val="20"/>
          <w:szCs w:val="20"/>
          <w:lang w:val="es-ES" w:eastAsia="es-ES"/>
        </w:rPr>
        <w:t>…</w:t>
      </w:r>
      <w:r w:rsidRPr="007E16DE">
        <w:rPr>
          <w:rFonts w:ascii="Arial" w:eastAsia="Times New Roman" w:hAnsi="Arial" w:cs="Arial"/>
          <w:sz w:val="20"/>
          <w:szCs w:val="20"/>
          <w:lang w:val="es-ES" w:eastAsia="es-ES"/>
        </w:rPr>
        <w:t>, que el notario actúe fuera de los límites territoriales del respectivo Círculo Notarial</w:t>
      </w:r>
      <w:r>
        <w:rPr>
          <w:rFonts w:ascii="Arial" w:eastAsia="Times New Roman" w:hAnsi="Arial" w:cs="Arial"/>
          <w:sz w:val="20"/>
          <w:szCs w:val="20"/>
          <w:lang w:val="es-ES" w:eastAsia="es-ES"/>
        </w:rPr>
        <w:t>…</w:t>
      </w:r>
    </w:p>
    <w:p w14:paraId="22D864F4" w14:textId="62A5AD9E" w:rsidR="007E16DE" w:rsidRDefault="007E16DE"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09028375" w14:textId="3ABE8EBD" w:rsidR="007E16DE" w:rsidRDefault="00BE1BD9" w:rsidP="002944D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E1BD9">
        <w:rPr>
          <w:rFonts w:ascii="Arial" w:eastAsia="Times New Roman" w:hAnsi="Arial" w:cs="Arial"/>
          <w:sz w:val="20"/>
          <w:szCs w:val="20"/>
          <w:lang w:val="es-ES" w:eastAsia="es-ES"/>
        </w:rPr>
        <w:t>ante la confusión que existe en la formulación de las pretensiones, en las que se insiste en la declaración de nulidad de la escritura pública y no, propiamente, del negocio en ella contenido, en virtud del principio de congruencia que gobierna las decisiones judiciales, habría una razón suficiente para desechar la nulidad que por aquí se encauza</w:t>
      </w:r>
      <w:r>
        <w:rPr>
          <w:rFonts w:ascii="Arial" w:eastAsia="Times New Roman" w:hAnsi="Arial" w:cs="Arial"/>
          <w:sz w:val="20"/>
          <w:szCs w:val="20"/>
          <w:lang w:val="es-ES" w:eastAsia="es-ES"/>
        </w:rPr>
        <w:t>…</w:t>
      </w:r>
    </w:p>
    <w:p w14:paraId="1D888E62" w14:textId="3B76BB62" w:rsidR="007E16DE" w:rsidRDefault="007E16DE"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54FF6675" w14:textId="0C1FD789" w:rsidR="00BE1BD9" w:rsidRDefault="00BE1BD9" w:rsidP="002944D8">
      <w:pPr>
        <w:widowControl w:val="0"/>
        <w:autoSpaceDE w:val="0"/>
        <w:autoSpaceDN w:val="0"/>
        <w:spacing w:after="0" w:line="240" w:lineRule="auto"/>
        <w:jc w:val="both"/>
        <w:rPr>
          <w:rFonts w:ascii="Arial" w:eastAsia="Times New Roman" w:hAnsi="Arial" w:cs="Arial"/>
          <w:sz w:val="20"/>
          <w:szCs w:val="20"/>
          <w:lang w:val="es-ES" w:eastAsia="es-ES"/>
        </w:rPr>
      </w:pPr>
      <w:r w:rsidRPr="00BE1BD9">
        <w:rPr>
          <w:rFonts w:ascii="Arial" w:eastAsia="Times New Roman" w:hAnsi="Arial" w:cs="Arial"/>
          <w:sz w:val="20"/>
          <w:szCs w:val="20"/>
          <w:lang w:val="es-ES" w:eastAsia="es-ES"/>
        </w:rPr>
        <w:t>El último intento para derruir la escritura pública, consiste en asegurar que el negocio que en ella está contenido, específicamente la cláusula de renuncia a gananciales, en realidad es una donación entre vivos que carece de insinuación, requisito sin el cual, ese acto es nulo</w:t>
      </w:r>
      <w:r>
        <w:rPr>
          <w:rFonts w:ascii="Arial" w:eastAsia="Times New Roman" w:hAnsi="Arial" w:cs="Arial"/>
          <w:sz w:val="20"/>
          <w:szCs w:val="20"/>
          <w:lang w:val="es-ES" w:eastAsia="es-ES"/>
        </w:rPr>
        <w:t>…</w:t>
      </w:r>
    </w:p>
    <w:p w14:paraId="5DA144D6" w14:textId="0EDAAD26" w:rsidR="00BE1BD9" w:rsidRDefault="00BE1BD9"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7A89F95B" w14:textId="1CC5794B" w:rsidR="008F1E20" w:rsidRPr="008F1E20" w:rsidRDefault="008F1E20" w:rsidP="008F1E20">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F1E20">
        <w:rPr>
          <w:rFonts w:ascii="Arial" w:eastAsia="Times New Roman" w:hAnsi="Arial" w:cs="Arial"/>
          <w:sz w:val="20"/>
          <w:szCs w:val="20"/>
          <w:lang w:val="es-ES" w:eastAsia="es-ES"/>
        </w:rPr>
        <w:t xml:space="preserve">si acaso hubo simulación, no es la escritura pública continente la que se está afectada de nulidad, como aquí se pretende, sino el acto contenido. </w:t>
      </w:r>
    </w:p>
    <w:p w14:paraId="1A2FFE90" w14:textId="77777777" w:rsidR="008F1E20" w:rsidRPr="008F1E20" w:rsidRDefault="008F1E20" w:rsidP="008F1E20">
      <w:pPr>
        <w:widowControl w:val="0"/>
        <w:autoSpaceDE w:val="0"/>
        <w:autoSpaceDN w:val="0"/>
        <w:spacing w:after="0" w:line="240" w:lineRule="auto"/>
        <w:jc w:val="both"/>
        <w:rPr>
          <w:rFonts w:ascii="Arial" w:eastAsia="Times New Roman" w:hAnsi="Arial" w:cs="Arial"/>
          <w:sz w:val="20"/>
          <w:szCs w:val="20"/>
          <w:lang w:val="es-ES" w:eastAsia="es-ES"/>
        </w:rPr>
      </w:pPr>
    </w:p>
    <w:p w14:paraId="76313164" w14:textId="643D61E2" w:rsidR="00BE1BD9" w:rsidRDefault="008F1E20" w:rsidP="008F1E20">
      <w:pPr>
        <w:widowControl w:val="0"/>
        <w:autoSpaceDE w:val="0"/>
        <w:autoSpaceDN w:val="0"/>
        <w:spacing w:after="0" w:line="240" w:lineRule="auto"/>
        <w:jc w:val="both"/>
        <w:rPr>
          <w:rFonts w:ascii="Arial" w:eastAsia="Times New Roman" w:hAnsi="Arial" w:cs="Arial"/>
          <w:sz w:val="20"/>
          <w:szCs w:val="20"/>
          <w:lang w:val="es-ES" w:eastAsia="es-ES"/>
        </w:rPr>
      </w:pPr>
      <w:r w:rsidRPr="008F1E20">
        <w:rPr>
          <w:rFonts w:ascii="Arial" w:eastAsia="Times New Roman" w:hAnsi="Arial" w:cs="Arial"/>
          <w:sz w:val="20"/>
          <w:szCs w:val="20"/>
          <w:lang w:val="es-ES" w:eastAsia="es-ES"/>
        </w:rPr>
        <w:t>La segunda, que, como lo sugerido ahora por la actora es que ocurrió una simulación, es manifiesto que no fue ello lo que se invocó en la demanda o su reforma</w:t>
      </w:r>
      <w:r>
        <w:rPr>
          <w:rFonts w:ascii="Arial" w:eastAsia="Times New Roman" w:hAnsi="Arial" w:cs="Arial"/>
          <w:sz w:val="20"/>
          <w:szCs w:val="20"/>
          <w:lang w:val="es-ES" w:eastAsia="es-ES"/>
        </w:rPr>
        <w:t>…</w:t>
      </w:r>
    </w:p>
    <w:p w14:paraId="45E2765C" w14:textId="77777777" w:rsidR="00BE1BD9" w:rsidRPr="002944D8" w:rsidRDefault="00BE1BD9"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2D144CC3" w14:textId="2D823684" w:rsidR="002944D8" w:rsidRDefault="008F1E20" w:rsidP="002944D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F1E20">
        <w:rPr>
          <w:rFonts w:ascii="Arial" w:eastAsia="Times New Roman" w:hAnsi="Arial" w:cs="Arial"/>
          <w:sz w:val="20"/>
          <w:szCs w:val="20"/>
          <w:lang w:val="es-ES" w:eastAsia="es-ES"/>
        </w:rPr>
        <w:t>no hay ninguna prueba de que quienes suscribieron el contrato hubieran querido simular una donación, y menos, que su intención hubiera sido defraudar a la demandante, con lo cual, no se dan las condiciones para declarar la simulación que se insinuó, y menos para declarar que el acto contendido en la escritura es inexistente.</w:t>
      </w:r>
    </w:p>
    <w:p w14:paraId="658E7A07" w14:textId="25EC4C2A" w:rsidR="008F1E20" w:rsidRDefault="008F1E20"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7532B721" w14:textId="77777777" w:rsidR="008F1E20" w:rsidRPr="002944D8" w:rsidRDefault="008F1E20"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7ED194AD" w14:textId="77777777" w:rsidR="002944D8" w:rsidRPr="002944D8" w:rsidRDefault="002944D8" w:rsidP="002944D8">
      <w:pPr>
        <w:widowControl w:val="0"/>
        <w:autoSpaceDE w:val="0"/>
        <w:autoSpaceDN w:val="0"/>
        <w:spacing w:after="0" w:line="240" w:lineRule="auto"/>
        <w:jc w:val="both"/>
        <w:rPr>
          <w:rFonts w:ascii="Arial" w:eastAsia="Times New Roman" w:hAnsi="Arial" w:cs="Arial"/>
          <w:sz w:val="20"/>
          <w:szCs w:val="20"/>
          <w:lang w:val="es-ES" w:eastAsia="es-ES"/>
        </w:rPr>
      </w:pPr>
    </w:p>
    <w:p w14:paraId="4941A7C2" w14:textId="77777777" w:rsidR="002944D8" w:rsidRPr="002944D8" w:rsidRDefault="002944D8" w:rsidP="002944D8">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2944D8">
        <w:rPr>
          <w:rFonts w:ascii="Gadugi" w:eastAsia="Gadugi" w:hAnsi="Gadugi" w:cs="Gadugi"/>
          <w:b/>
          <w:bCs/>
          <w:sz w:val="24"/>
          <w:szCs w:val="24"/>
          <w:lang w:val="es-ES"/>
        </w:rPr>
        <w:t>TRIBUNAL SUPERIOR DEL DISTRITO JUDICIAL</w:t>
      </w:r>
    </w:p>
    <w:p w14:paraId="76CDA181" w14:textId="77777777" w:rsidR="002944D8" w:rsidRPr="002944D8" w:rsidRDefault="002944D8" w:rsidP="002944D8">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2944D8">
        <w:rPr>
          <w:rFonts w:ascii="Gadugi" w:eastAsia="Calibri" w:hAnsi="Gadugi" w:cs="Times New Roman"/>
          <w:b/>
          <w:sz w:val="24"/>
          <w:szCs w:val="24"/>
          <w:lang w:val="es-ES"/>
        </w:rPr>
        <w:t xml:space="preserve">     SALA DE DECISIÓN CIVIL FAMILIA </w:t>
      </w:r>
    </w:p>
    <w:p w14:paraId="49B9BE82" w14:textId="77777777" w:rsidR="002944D8" w:rsidRPr="002944D8" w:rsidRDefault="002944D8" w:rsidP="002944D8">
      <w:pPr>
        <w:widowControl w:val="0"/>
        <w:autoSpaceDE w:val="0"/>
        <w:autoSpaceDN w:val="0"/>
        <w:spacing w:after="0" w:line="276" w:lineRule="auto"/>
        <w:ind w:firstLine="993"/>
        <w:jc w:val="both"/>
        <w:rPr>
          <w:rFonts w:ascii="Gadugi" w:eastAsia="Calibri" w:hAnsi="Gadugi" w:cs="Times New Roman"/>
          <w:sz w:val="24"/>
          <w:szCs w:val="24"/>
          <w:lang w:val="es-ES"/>
        </w:rPr>
      </w:pPr>
    </w:p>
    <w:p w14:paraId="72FF270C" w14:textId="23051C14" w:rsidR="002271F1" w:rsidRPr="002944D8" w:rsidRDefault="002271F1" w:rsidP="002944D8">
      <w:pPr>
        <w:tabs>
          <w:tab w:val="left" w:pos="3686"/>
        </w:tabs>
        <w:spacing w:after="0" w:line="276" w:lineRule="auto"/>
        <w:ind w:left="1701"/>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Magistrado: </w:t>
      </w:r>
      <w:r w:rsidRPr="002944D8">
        <w:rPr>
          <w:rFonts w:ascii="Gadugi" w:eastAsia="Malgun Gothic" w:hAnsi="Gadugi" w:cs="Estrangelo Edessa"/>
          <w:sz w:val="24"/>
          <w:szCs w:val="24"/>
        </w:rPr>
        <w:tab/>
        <w:t>Jaime Alberto Saraza Naranjo</w:t>
      </w:r>
    </w:p>
    <w:p w14:paraId="4189FAA2" w14:textId="764A759C" w:rsidR="002271F1" w:rsidRPr="002944D8" w:rsidRDefault="002271F1" w:rsidP="002944D8">
      <w:pPr>
        <w:tabs>
          <w:tab w:val="left" w:pos="3686"/>
        </w:tabs>
        <w:spacing w:after="0" w:line="276" w:lineRule="auto"/>
        <w:ind w:left="1701"/>
        <w:jc w:val="both"/>
        <w:rPr>
          <w:rFonts w:ascii="Gadugi" w:eastAsia="Malgun Gothic" w:hAnsi="Gadugi" w:cs="Estrangelo Edessa"/>
          <w:sz w:val="24"/>
          <w:szCs w:val="24"/>
        </w:rPr>
      </w:pPr>
      <w:r w:rsidRPr="002944D8">
        <w:rPr>
          <w:rFonts w:ascii="Gadugi" w:eastAsia="Malgun Gothic" w:hAnsi="Gadugi" w:cs="Estrangelo Edessa"/>
          <w:sz w:val="24"/>
          <w:szCs w:val="24"/>
        </w:rPr>
        <w:t>Pereira,</w:t>
      </w:r>
      <w:r w:rsidR="00486F0F" w:rsidRPr="002944D8">
        <w:rPr>
          <w:rFonts w:ascii="Gadugi" w:eastAsia="Malgun Gothic" w:hAnsi="Gadugi" w:cs="Estrangelo Edessa"/>
          <w:sz w:val="24"/>
          <w:szCs w:val="24"/>
        </w:rPr>
        <w:tab/>
        <w:t>Diciembre siete de dos mil veintidós</w:t>
      </w:r>
    </w:p>
    <w:p w14:paraId="2B2C7DF0" w14:textId="227114A4" w:rsidR="002271F1" w:rsidRPr="002944D8" w:rsidRDefault="002271F1" w:rsidP="002944D8">
      <w:pPr>
        <w:tabs>
          <w:tab w:val="left" w:pos="3686"/>
        </w:tabs>
        <w:spacing w:after="0" w:line="276" w:lineRule="auto"/>
        <w:ind w:left="1701"/>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Acta No. </w:t>
      </w:r>
      <w:r w:rsidRPr="002944D8">
        <w:rPr>
          <w:rFonts w:ascii="Gadugi" w:eastAsia="Malgun Gothic" w:hAnsi="Gadugi" w:cs="Estrangelo Edessa"/>
          <w:sz w:val="24"/>
          <w:szCs w:val="24"/>
        </w:rPr>
        <w:tab/>
      </w:r>
      <w:r w:rsidR="00486F0F" w:rsidRPr="002944D8">
        <w:rPr>
          <w:rFonts w:ascii="Gadugi" w:eastAsia="Malgun Gothic" w:hAnsi="Gadugi" w:cs="Estrangelo Edessa"/>
          <w:sz w:val="24"/>
          <w:szCs w:val="24"/>
        </w:rPr>
        <w:t>614 del 7 de diciembre de 2022</w:t>
      </w:r>
    </w:p>
    <w:p w14:paraId="64E82D96" w14:textId="3BE2AF8D" w:rsidR="002271F1" w:rsidRPr="002944D8" w:rsidRDefault="004C215D" w:rsidP="002944D8">
      <w:pPr>
        <w:tabs>
          <w:tab w:val="left" w:pos="3686"/>
          <w:tab w:val="left" w:pos="4536"/>
        </w:tabs>
        <w:spacing w:after="0" w:line="276" w:lineRule="auto"/>
        <w:ind w:left="1701"/>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Sentencia: </w:t>
      </w:r>
      <w:r w:rsidRPr="002944D8">
        <w:rPr>
          <w:rFonts w:ascii="Gadugi" w:eastAsia="Malgun Gothic" w:hAnsi="Gadugi" w:cs="Estrangelo Edessa"/>
          <w:sz w:val="24"/>
          <w:szCs w:val="24"/>
        </w:rPr>
        <w:tab/>
      </w:r>
      <w:r w:rsidR="00486F0F" w:rsidRPr="002944D8">
        <w:rPr>
          <w:rFonts w:ascii="Gadugi" w:eastAsia="Malgun Gothic" w:hAnsi="Gadugi" w:cs="Estrangelo Edessa"/>
          <w:sz w:val="24"/>
          <w:szCs w:val="24"/>
        </w:rPr>
        <w:t>SC-0069-2022</w:t>
      </w:r>
    </w:p>
    <w:p w14:paraId="3A29C5AF" w14:textId="77777777" w:rsidR="002271F1" w:rsidRPr="002944D8" w:rsidRDefault="002271F1" w:rsidP="002944D8">
      <w:pPr>
        <w:tabs>
          <w:tab w:val="left" w:pos="4536"/>
        </w:tabs>
        <w:spacing w:after="0" w:line="276" w:lineRule="auto"/>
        <w:jc w:val="both"/>
        <w:rPr>
          <w:rFonts w:ascii="Gadugi" w:eastAsia="Malgun Gothic" w:hAnsi="Gadugi" w:cs="Estrangelo Edessa"/>
          <w:sz w:val="24"/>
          <w:szCs w:val="24"/>
        </w:rPr>
      </w:pPr>
    </w:p>
    <w:p w14:paraId="19EBB586" w14:textId="77777777" w:rsidR="004C215D" w:rsidRPr="002944D8" w:rsidRDefault="004C215D" w:rsidP="002944D8">
      <w:pPr>
        <w:tabs>
          <w:tab w:val="left" w:pos="4536"/>
        </w:tabs>
        <w:spacing w:after="0" w:line="276" w:lineRule="auto"/>
        <w:jc w:val="both"/>
        <w:rPr>
          <w:rFonts w:ascii="Gadugi" w:eastAsia="Malgun Gothic" w:hAnsi="Gadugi" w:cs="Estrangelo Edessa"/>
          <w:sz w:val="24"/>
          <w:szCs w:val="24"/>
        </w:rPr>
      </w:pPr>
    </w:p>
    <w:p w14:paraId="6F919D84" w14:textId="05E0074C" w:rsidR="002271F1" w:rsidRPr="002944D8" w:rsidRDefault="00F54530" w:rsidP="002944D8">
      <w:pPr>
        <w:tabs>
          <w:tab w:val="left" w:pos="2835"/>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Resuelve la Sala el recurso de apelación interpuesto</w:t>
      </w:r>
      <w:r w:rsidR="002271F1" w:rsidRPr="002944D8">
        <w:rPr>
          <w:rFonts w:ascii="Gadugi" w:eastAsia="Malgun Gothic" w:hAnsi="Gadugi" w:cs="Estrangelo Edessa"/>
          <w:sz w:val="24"/>
          <w:szCs w:val="24"/>
        </w:rPr>
        <w:t xml:space="preserve"> contra la sentencia del </w:t>
      </w:r>
      <w:r w:rsidR="00CB0124" w:rsidRPr="002944D8">
        <w:rPr>
          <w:rFonts w:ascii="Gadugi" w:eastAsia="Malgun Gothic" w:hAnsi="Gadugi" w:cs="Estrangelo Edessa"/>
          <w:sz w:val="24"/>
          <w:szCs w:val="24"/>
        </w:rPr>
        <w:t>6</w:t>
      </w:r>
      <w:r w:rsidR="009B5888" w:rsidRPr="002944D8">
        <w:rPr>
          <w:rFonts w:ascii="Gadugi" w:eastAsia="Malgun Gothic" w:hAnsi="Gadugi" w:cs="Estrangelo Edessa"/>
          <w:sz w:val="24"/>
          <w:szCs w:val="24"/>
        </w:rPr>
        <w:t xml:space="preserve"> de julio </w:t>
      </w:r>
      <w:r w:rsidR="002271F1" w:rsidRPr="002944D8">
        <w:rPr>
          <w:rFonts w:ascii="Gadugi" w:eastAsia="Malgun Gothic" w:hAnsi="Gadugi" w:cs="Estrangelo Edessa"/>
          <w:sz w:val="24"/>
          <w:szCs w:val="24"/>
        </w:rPr>
        <w:t>de</w:t>
      </w:r>
      <w:r w:rsidR="00196F44" w:rsidRPr="002944D8">
        <w:rPr>
          <w:rFonts w:ascii="Gadugi" w:eastAsia="Malgun Gothic" w:hAnsi="Gadugi" w:cs="Estrangelo Edessa"/>
          <w:sz w:val="24"/>
          <w:szCs w:val="24"/>
        </w:rPr>
        <w:t>l</w:t>
      </w:r>
      <w:r w:rsidR="002271F1" w:rsidRPr="002944D8">
        <w:rPr>
          <w:rFonts w:ascii="Gadugi" w:eastAsia="Malgun Gothic" w:hAnsi="Gadugi" w:cs="Estrangelo Edessa"/>
          <w:sz w:val="24"/>
          <w:szCs w:val="24"/>
        </w:rPr>
        <w:t xml:space="preserve"> 202</w:t>
      </w:r>
      <w:r w:rsidR="00196F44" w:rsidRPr="002944D8">
        <w:rPr>
          <w:rFonts w:ascii="Gadugi" w:eastAsia="Malgun Gothic" w:hAnsi="Gadugi" w:cs="Estrangelo Edessa"/>
          <w:sz w:val="24"/>
          <w:szCs w:val="24"/>
        </w:rPr>
        <w:t>1</w:t>
      </w:r>
      <w:r w:rsidR="002271F1" w:rsidRPr="002944D8">
        <w:rPr>
          <w:rFonts w:ascii="Gadugi" w:eastAsia="Malgun Gothic" w:hAnsi="Gadugi" w:cs="Estrangelo Edessa"/>
          <w:sz w:val="24"/>
          <w:szCs w:val="24"/>
        </w:rPr>
        <w:t xml:space="preserve">, proferida por el </w:t>
      </w:r>
      <w:r w:rsidR="009B5888" w:rsidRPr="002944D8">
        <w:rPr>
          <w:rFonts w:ascii="Gadugi" w:eastAsia="Malgun Gothic" w:hAnsi="Gadugi" w:cs="Estrangelo Edessa"/>
          <w:sz w:val="24"/>
          <w:szCs w:val="24"/>
        </w:rPr>
        <w:t xml:space="preserve">Juzgado </w:t>
      </w:r>
      <w:r w:rsidR="00CB0124" w:rsidRPr="002944D8">
        <w:rPr>
          <w:rFonts w:ascii="Gadugi" w:eastAsia="Malgun Gothic" w:hAnsi="Gadugi" w:cs="Estrangelo Edessa"/>
          <w:sz w:val="24"/>
          <w:szCs w:val="24"/>
        </w:rPr>
        <w:t>de Familia de Dosquebradas</w:t>
      </w:r>
      <w:r w:rsidR="00917870" w:rsidRPr="002944D8">
        <w:rPr>
          <w:rFonts w:ascii="Gadugi" w:eastAsia="Malgun Gothic" w:hAnsi="Gadugi" w:cs="Estrangelo Edessa"/>
          <w:sz w:val="24"/>
          <w:szCs w:val="24"/>
        </w:rPr>
        <w:t>,</w:t>
      </w:r>
      <w:r w:rsidR="002271F1" w:rsidRPr="002944D8">
        <w:rPr>
          <w:rFonts w:ascii="Gadugi" w:eastAsia="Malgun Gothic" w:hAnsi="Gadugi" w:cs="Estrangelo Edessa"/>
          <w:sz w:val="24"/>
          <w:szCs w:val="24"/>
        </w:rPr>
        <w:t xml:space="preserve"> en este proceso </w:t>
      </w:r>
      <w:r w:rsidR="00CB0124" w:rsidRPr="002944D8">
        <w:rPr>
          <w:rFonts w:ascii="Gadugi" w:eastAsia="Malgun Gothic" w:hAnsi="Gadugi" w:cs="Estrangelo Edessa"/>
          <w:sz w:val="24"/>
          <w:szCs w:val="24"/>
        </w:rPr>
        <w:t xml:space="preserve">en este proceso sobre </w:t>
      </w:r>
      <w:r w:rsidR="00CB0124" w:rsidRPr="002944D8">
        <w:rPr>
          <w:rFonts w:ascii="Gadugi" w:eastAsia="Malgun Gothic" w:hAnsi="Gadugi" w:cs="Estrangelo Edessa"/>
          <w:b/>
          <w:sz w:val="24"/>
          <w:szCs w:val="24"/>
        </w:rPr>
        <w:t>nulidad de escritura pública</w:t>
      </w:r>
      <w:r w:rsidR="00CB0124" w:rsidRPr="002944D8">
        <w:rPr>
          <w:rFonts w:ascii="Gadugi" w:eastAsia="Malgun Gothic" w:hAnsi="Gadugi" w:cs="Estrangelo Edessa"/>
          <w:sz w:val="24"/>
          <w:szCs w:val="24"/>
        </w:rPr>
        <w:t xml:space="preserve"> que </w:t>
      </w:r>
      <w:r w:rsidR="00CB0124" w:rsidRPr="002944D8">
        <w:rPr>
          <w:rFonts w:ascii="Gadugi" w:eastAsia="Malgun Gothic" w:hAnsi="Gadugi" w:cs="Estrangelo Edessa"/>
          <w:b/>
          <w:bCs/>
          <w:sz w:val="24"/>
          <w:szCs w:val="24"/>
        </w:rPr>
        <w:t>Stephanie Gutiérrez Arango</w:t>
      </w:r>
      <w:r w:rsidR="00CB0124" w:rsidRPr="002944D8">
        <w:rPr>
          <w:rFonts w:ascii="Gadugi" w:eastAsia="Malgun Gothic" w:hAnsi="Gadugi" w:cs="Estrangelo Edessa"/>
          <w:sz w:val="24"/>
          <w:szCs w:val="24"/>
        </w:rPr>
        <w:t xml:space="preserve"> inició contra </w:t>
      </w:r>
      <w:r w:rsidR="00CB0124" w:rsidRPr="002944D8">
        <w:rPr>
          <w:rFonts w:ascii="Gadugi" w:eastAsia="Malgun Gothic" w:hAnsi="Gadugi" w:cs="Estrangelo Edessa"/>
          <w:b/>
          <w:bCs/>
          <w:sz w:val="24"/>
          <w:szCs w:val="24"/>
        </w:rPr>
        <w:t>Gloria Cristina Restrepo Díaz.</w:t>
      </w:r>
    </w:p>
    <w:p w14:paraId="2FAC43F2" w14:textId="77777777" w:rsidR="00CB0124" w:rsidRPr="002944D8" w:rsidRDefault="00CB0124" w:rsidP="002944D8">
      <w:pPr>
        <w:tabs>
          <w:tab w:val="left" w:pos="2835"/>
        </w:tabs>
        <w:spacing w:after="0" w:line="276" w:lineRule="auto"/>
        <w:jc w:val="both"/>
        <w:rPr>
          <w:rFonts w:ascii="Gadugi" w:eastAsia="Malgun Gothic" w:hAnsi="Gadugi" w:cs="Estrangelo Edessa"/>
          <w:b/>
          <w:sz w:val="24"/>
          <w:szCs w:val="24"/>
        </w:rPr>
      </w:pPr>
    </w:p>
    <w:p w14:paraId="47D39826" w14:textId="33CB3391" w:rsidR="002271F1" w:rsidRPr="002944D8" w:rsidRDefault="002271F1" w:rsidP="002944D8">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2944D8">
        <w:rPr>
          <w:rFonts w:ascii="Gadugi" w:eastAsia="Malgun Gothic" w:hAnsi="Gadugi" w:cs="Estrangelo Edessa"/>
          <w:b/>
          <w:sz w:val="24"/>
          <w:szCs w:val="24"/>
        </w:rPr>
        <w:t>ANTECEDENTES</w:t>
      </w:r>
    </w:p>
    <w:p w14:paraId="15860CD5" w14:textId="52A701F9" w:rsidR="004C215D" w:rsidRPr="002944D8" w:rsidRDefault="004C215D" w:rsidP="002944D8">
      <w:pPr>
        <w:pStyle w:val="Prrafodelista"/>
        <w:tabs>
          <w:tab w:val="left" w:pos="426"/>
          <w:tab w:val="left" w:pos="4536"/>
        </w:tabs>
        <w:spacing w:after="0" w:line="276" w:lineRule="auto"/>
        <w:ind w:left="0"/>
        <w:jc w:val="both"/>
        <w:rPr>
          <w:rFonts w:ascii="Gadugi" w:eastAsia="Malgun Gothic" w:hAnsi="Gadugi" w:cs="Estrangelo Edessa"/>
          <w:b/>
          <w:sz w:val="24"/>
          <w:szCs w:val="24"/>
        </w:rPr>
      </w:pPr>
    </w:p>
    <w:p w14:paraId="1B80D721" w14:textId="4D82B6E1" w:rsidR="002271F1" w:rsidRPr="002944D8" w:rsidRDefault="001019AB" w:rsidP="002944D8">
      <w:pPr>
        <w:pStyle w:val="Prrafodelista"/>
        <w:numPr>
          <w:ilvl w:val="1"/>
          <w:numId w:val="1"/>
        </w:numPr>
        <w:tabs>
          <w:tab w:val="left" w:pos="426"/>
          <w:tab w:val="left" w:pos="2268"/>
        </w:tabs>
        <w:spacing w:after="0" w:line="276" w:lineRule="auto"/>
        <w:ind w:left="0" w:firstLine="0"/>
        <w:jc w:val="both"/>
        <w:rPr>
          <w:rStyle w:val="normaltextrun"/>
          <w:rFonts w:ascii="Gadugi" w:hAnsi="Gadugi"/>
          <w:sz w:val="24"/>
          <w:szCs w:val="24"/>
        </w:rPr>
      </w:pPr>
      <w:r w:rsidRPr="002944D8">
        <w:rPr>
          <w:rFonts w:ascii="Gadugi" w:eastAsia="Malgun Gothic" w:hAnsi="Gadugi" w:cs="Estrangelo Edessa"/>
          <w:b/>
          <w:sz w:val="24"/>
          <w:szCs w:val="24"/>
        </w:rPr>
        <w:t xml:space="preserve"> </w:t>
      </w:r>
      <w:r w:rsidR="002271F1" w:rsidRPr="002944D8">
        <w:rPr>
          <w:rFonts w:ascii="Gadugi" w:eastAsia="Malgun Gothic" w:hAnsi="Gadugi" w:cs="Estrangelo Edessa"/>
          <w:b/>
          <w:sz w:val="24"/>
          <w:szCs w:val="24"/>
        </w:rPr>
        <w:t>Hechos</w:t>
      </w:r>
      <w:r w:rsidR="00A92994" w:rsidRPr="002944D8">
        <w:rPr>
          <w:rStyle w:val="Refdenotaalpie"/>
          <w:rFonts w:ascii="Gadugi" w:eastAsia="Malgun Gothic" w:hAnsi="Gadugi" w:cs="Estrangelo Edessa"/>
          <w:b/>
          <w:sz w:val="24"/>
          <w:szCs w:val="24"/>
        </w:rPr>
        <w:footnoteReference w:id="1"/>
      </w:r>
      <w:r w:rsidR="0043513D" w:rsidRPr="002944D8">
        <w:rPr>
          <w:rStyle w:val="normaltextrun"/>
          <w:rFonts w:ascii="Gadugi" w:hAnsi="Gadugi"/>
          <w:bCs/>
          <w:color w:val="000000"/>
          <w:sz w:val="24"/>
          <w:szCs w:val="24"/>
          <w:shd w:val="clear" w:color="auto" w:fill="FFFFFF"/>
        </w:rPr>
        <w:t xml:space="preserve"> </w:t>
      </w:r>
    </w:p>
    <w:p w14:paraId="38C9C0FD" w14:textId="77777777" w:rsidR="002271F1" w:rsidRPr="002944D8" w:rsidRDefault="002271F1" w:rsidP="002944D8">
      <w:pPr>
        <w:pStyle w:val="Prrafodelista"/>
        <w:tabs>
          <w:tab w:val="left" w:pos="3402"/>
        </w:tabs>
        <w:spacing w:after="0" w:line="276" w:lineRule="auto"/>
        <w:ind w:left="0"/>
        <w:jc w:val="both"/>
        <w:rPr>
          <w:rStyle w:val="normaltextrun"/>
          <w:rFonts w:ascii="Gadugi" w:eastAsia="Malgun Gothic" w:hAnsi="Gadugi" w:cs="Estrangelo Edessa"/>
          <w:b/>
          <w:sz w:val="24"/>
          <w:szCs w:val="24"/>
        </w:rPr>
      </w:pPr>
    </w:p>
    <w:p w14:paraId="769BFF57" w14:textId="2ECECF88" w:rsidR="009D2509" w:rsidRPr="002944D8" w:rsidRDefault="009D2509" w:rsidP="002944D8">
      <w:pPr>
        <w:tabs>
          <w:tab w:val="left" w:pos="4536"/>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Explicó la demandante que ella y Juan Guillermo Gutiérrez Naranjo son hijos de Juan Carlos Gutiérrez González, quien falleció el 5 de agosto de 2018.</w:t>
      </w:r>
    </w:p>
    <w:p w14:paraId="5B4E2E9F" w14:textId="1B347432" w:rsidR="009D2509" w:rsidRPr="002944D8" w:rsidRDefault="009D2509" w:rsidP="002944D8">
      <w:pPr>
        <w:tabs>
          <w:tab w:val="left" w:pos="4536"/>
        </w:tabs>
        <w:spacing w:after="0" w:line="276" w:lineRule="auto"/>
        <w:jc w:val="both"/>
        <w:rPr>
          <w:rFonts w:ascii="Gadugi" w:eastAsia="Malgun Gothic" w:hAnsi="Gadugi" w:cs="Estrangelo Edessa"/>
          <w:sz w:val="24"/>
          <w:szCs w:val="24"/>
        </w:rPr>
      </w:pPr>
    </w:p>
    <w:p w14:paraId="70D1516C" w14:textId="584FB90D" w:rsidR="00907F49" w:rsidRPr="002944D8" w:rsidRDefault="00B32C68" w:rsidP="002944D8">
      <w:pPr>
        <w:tabs>
          <w:tab w:val="left" w:pos="4536"/>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S</w:t>
      </w:r>
      <w:r w:rsidR="009D2509" w:rsidRPr="002944D8">
        <w:rPr>
          <w:rFonts w:ascii="Gadugi" w:eastAsia="Malgun Gothic" w:hAnsi="Gadugi" w:cs="Estrangelo Edessa"/>
          <w:sz w:val="24"/>
          <w:szCs w:val="24"/>
        </w:rPr>
        <w:t xml:space="preserve">u padre contrajo matrimonio con Gloria Cristina Restrepo Díaz, en enero del 2010 y </w:t>
      </w:r>
      <w:r w:rsidR="00907F49" w:rsidRPr="002944D8">
        <w:rPr>
          <w:rFonts w:ascii="Gadugi" w:eastAsia="Malgun Gothic" w:hAnsi="Gadugi" w:cs="Estrangelo Edessa"/>
          <w:sz w:val="24"/>
          <w:szCs w:val="24"/>
        </w:rPr>
        <w:t xml:space="preserve">mediante escritura pública número 3.844 del 24 de julio de 2018, </w:t>
      </w:r>
      <w:r w:rsidR="009D2509" w:rsidRPr="002944D8">
        <w:rPr>
          <w:rFonts w:ascii="Gadugi" w:eastAsia="Malgun Gothic" w:hAnsi="Gadugi" w:cs="Estrangelo Edessa"/>
          <w:sz w:val="24"/>
          <w:szCs w:val="24"/>
        </w:rPr>
        <w:t>los cónyuges</w:t>
      </w:r>
      <w:r w:rsidR="00907F49" w:rsidRPr="002944D8">
        <w:rPr>
          <w:rFonts w:ascii="Gadugi" w:eastAsia="Malgun Gothic" w:hAnsi="Gadugi" w:cs="Estrangelo Edessa"/>
          <w:sz w:val="24"/>
          <w:szCs w:val="24"/>
        </w:rPr>
        <w:t>, de consuno, protocolizaron su divorcio y la liquidación de la sociedad conyugal.</w:t>
      </w:r>
    </w:p>
    <w:p w14:paraId="18E49BFF" w14:textId="15413DD6" w:rsidR="00907F49" w:rsidRPr="002944D8" w:rsidRDefault="00907F49" w:rsidP="002944D8">
      <w:pPr>
        <w:tabs>
          <w:tab w:val="left" w:pos="4536"/>
        </w:tabs>
        <w:spacing w:after="0" w:line="276" w:lineRule="auto"/>
        <w:jc w:val="both"/>
        <w:rPr>
          <w:rFonts w:ascii="Gadugi" w:eastAsia="Malgun Gothic" w:hAnsi="Gadugi" w:cs="Estrangelo Edessa"/>
          <w:sz w:val="24"/>
          <w:szCs w:val="24"/>
        </w:rPr>
      </w:pPr>
    </w:p>
    <w:p w14:paraId="368A12C1" w14:textId="4069C03F" w:rsidR="00DE0A6F" w:rsidRPr="002944D8" w:rsidRDefault="00B32C68" w:rsidP="002944D8">
      <w:pPr>
        <w:tabs>
          <w:tab w:val="left" w:pos="4536"/>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E</w:t>
      </w:r>
      <w:r w:rsidR="00907F49" w:rsidRPr="002944D8">
        <w:rPr>
          <w:rFonts w:ascii="Gadugi" w:eastAsia="Malgun Gothic" w:hAnsi="Gadugi" w:cs="Estrangelo Edessa"/>
          <w:sz w:val="24"/>
          <w:szCs w:val="24"/>
        </w:rPr>
        <w:t>n ese documento</w:t>
      </w:r>
      <w:r w:rsidR="00DE0A6F" w:rsidRPr="002944D8">
        <w:rPr>
          <w:rFonts w:ascii="Gadugi" w:eastAsia="Malgun Gothic" w:hAnsi="Gadugi" w:cs="Estrangelo Edessa"/>
          <w:sz w:val="24"/>
          <w:szCs w:val="24"/>
        </w:rPr>
        <w:t xml:space="preserve"> se relacionaron, como bienes de la sociedad, un local comercial ubicado en Pereira, una casa de habitación localizada en Dosquebradas, una motocicleta y un automóvil</w:t>
      </w:r>
      <w:r w:rsidR="002F647F" w:rsidRPr="002944D8">
        <w:rPr>
          <w:rFonts w:ascii="Gadugi" w:eastAsia="Malgun Gothic" w:hAnsi="Gadugi" w:cs="Estrangelo Edessa"/>
          <w:sz w:val="24"/>
          <w:szCs w:val="24"/>
        </w:rPr>
        <w:t>;</w:t>
      </w:r>
      <w:r w:rsidR="00DE0A6F" w:rsidRPr="002944D8">
        <w:rPr>
          <w:rFonts w:ascii="Gadugi" w:eastAsia="Malgun Gothic" w:hAnsi="Gadugi" w:cs="Estrangelo Edessa"/>
          <w:sz w:val="24"/>
          <w:szCs w:val="24"/>
        </w:rPr>
        <w:t xml:space="preserve"> además, allí quedó establecido que el señor Gutiérrez González renunció a gananciales y que esos bienes fueron transferidos, en su totalidad, a la señora Restrepo Díaz.</w:t>
      </w:r>
    </w:p>
    <w:p w14:paraId="57514876" w14:textId="6455A863" w:rsidR="00512C13" w:rsidRPr="002944D8" w:rsidRDefault="00512C13" w:rsidP="002944D8">
      <w:pPr>
        <w:tabs>
          <w:tab w:val="left" w:pos="4536"/>
        </w:tabs>
        <w:spacing w:after="0" w:line="276" w:lineRule="auto"/>
        <w:jc w:val="both"/>
        <w:rPr>
          <w:rFonts w:ascii="Gadugi" w:eastAsia="Malgun Gothic" w:hAnsi="Gadugi" w:cs="Estrangelo Edessa"/>
          <w:sz w:val="24"/>
          <w:szCs w:val="24"/>
        </w:rPr>
      </w:pPr>
    </w:p>
    <w:p w14:paraId="03701C5E" w14:textId="6BAA82B8" w:rsidR="00E92862" w:rsidRPr="002944D8" w:rsidRDefault="002F647F" w:rsidP="002944D8">
      <w:pPr>
        <w:tabs>
          <w:tab w:val="left" w:pos="4536"/>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Se aduce </w:t>
      </w:r>
      <w:r w:rsidR="00512C13" w:rsidRPr="002944D8">
        <w:rPr>
          <w:rFonts w:ascii="Gadugi" w:eastAsia="Malgun Gothic" w:hAnsi="Gadugi" w:cs="Estrangelo Edessa"/>
          <w:sz w:val="24"/>
          <w:szCs w:val="24"/>
        </w:rPr>
        <w:t>que esa escritura es nula</w:t>
      </w:r>
      <w:r w:rsidR="009D2509" w:rsidRPr="002944D8">
        <w:rPr>
          <w:rFonts w:ascii="Gadugi" w:eastAsia="Malgun Gothic" w:hAnsi="Gadugi" w:cs="Estrangelo Edessa"/>
          <w:sz w:val="24"/>
          <w:szCs w:val="24"/>
        </w:rPr>
        <w:t>,</w:t>
      </w:r>
      <w:r w:rsidR="00512C13" w:rsidRPr="002944D8">
        <w:rPr>
          <w:rFonts w:ascii="Gadugi" w:eastAsia="Malgun Gothic" w:hAnsi="Gadugi" w:cs="Estrangelo Edessa"/>
          <w:sz w:val="24"/>
          <w:szCs w:val="24"/>
        </w:rPr>
        <w:t xml:space="preserve"> porque nulo es el poder</w:t>
      </w:r>
      <w:r w:rsidR="00E92862" w:rsidRPr="002944D8">
        <w:rPr>
          <w:rFonts w:ascii="Gadugi" w:eastAsia="Malgun Gothic" w:hAnsi="Gadugi" w:cs="Estrangelo Edessa"/>
          <w:sz w:val="24"/>
          <w:szCs w:val="24"/>
        </w:rPr>
        <w:t xml:space="preserve"> que</w:t>
      </w:r>
      <w:r w:rsidR="00512C13" w:rsidRPr="002944D8">
        <w:rPr>
          <w:rFonts w:ascii="Gadugi" w:eastAsia="Malgun Gothic" w:hAnsi="Gadugi" w:cs="Estrangelo Edessa"/>
          <w:sz w:val="24"/>
          <w:szCs w:val="24"/>
        </w:rPr>
        <w:t xml:space="preserve"> </w:t>
      </w:r>
      <w:r w:rsidR="00E92862" w:rsidRPr="002944D8">
        <w:rPr>
          <w:rFonts w:ascii="Gadugi" w:eastAsia="Malgun Gothic" w:hAnsi="Gadugi" w:cs="Estrangelo Edessa"/>
          <w:sz w:val="24"/>
          <w:szCs w:val="24"/>
        </w:rPr>
        <w:t xml:space="preserve">Gutiérrez González le confirió a un abogado para su realización, </w:t>
      </w:r>
      <w:r w:rsidR="00B32C68" w:rsidRPr="002944D8">
        <w:rPr>
          <w:rFonts w:ascii="Gadugi" w:eastAsia="Malgun Gothic" w:hAnsi="Gadugi" w:cs="Estrangelo Edessa"/>
          <w:sz w:val="24"/>
          <w:szCs w:val="24"/>
        </w:rPr>
        <w:t xml:space="preserve">dado que, </w:t>
      </w:r>
      <w:r w:rsidR="009D2509" w:rsidRPr="002944D8">
        <w:rPr>
          <w:rFonts w:ascii="Gadugi" w:eastAsia="Malgun Gothic" w:hAnsi="Gadugi" w:cs="Estrangelo Edessa"/>
          <w:sz w:val="24"/>
          <w:szCs w:val="24"/>
        </w:rPr>
        <w:t xml:space="preserve">por una enfermedad que mantenía postrado en cama al poderdante, </w:t>
      </w:r>
      <w:r w:rsidR="00E92862" w:rsidRPr="002944D8">
        <w:rPr>
          <w:rFonts w:ascii="Gadugi" w:eastAsia="Malgun Gothic" w:hAnsi="Gadugi" w:cs="Estrangelo Edessa"/>
          <w:sz w:val="24"/>
          <w:szCs w:val="24"/>
        </w:rPr>
        <w:t xml:space="preserve">el mandato </w:t>
      </w:r>
      <w:r w:rsidR="009D2509" w:rsidRPr="002944D8">
        <w:rPr>
          <w:rFonts w:ascii="Gadugi" w:eastAsia="Malgun Gothic" w:hAnsi="Gadugi" w:cs="Estrangelo Edessa"/>
          <w:sz w:val="24"/>
          <w:szCs w:val="24"/>
        </w:rPr>
        <w:t>tuvo que ser autenticado</w:t>
      </w:r>
      <w:r w:rsidR="00E92862" w:rsidRPr="002944D8">
        <w:rPr>
          <w:rFonts w:ascii="Gadugi" w:eastAsia="Malgun Gothic" w:hAnsi="Gadugi" w:cs="Estrangelo Edessa"/>
          <w:sz w:val="24"/>
          <w:szCs w:val="24"/>
        </w:rPr>
        <w:t xml:space="preserve"> a domicilio en</w:t>
      </w:r>
      <w:r w:rsidR="00F526F0" w:rsidRPr="002944D8">
        <w:rPr>
          <w:rFonts w:ascii="Gadugi" w:eastAsia="Malgun Gothic" w:hAnsi="Gadugi" w:cs="Estrangelo Edessa"/>
          <w:sz w:val="24"/>
          <w:szCs w:val="24"/>
        </w:rPr>
        <w:t xml:space="preserve"> su residencia ubicada en</w:t>
      </w:r>
      <w:r w:rsidR="00E92862" w:rsidRPr="002944D8">
        <w:rPr>
          <w:rFonts w:ascii="Gadugi" w:eastAsia="Malgun Gothic" w:hAnsi="Gadugi" w:cs="Estrangelo Edessa"/>
          <w:sz w:val="24"/>
          <w:szCs w:val="24"/>
        </w:rPr>
        <w:t xml:space="preserve"> Dosquebradas, por un notario de Pereira, quien, entonces</w:t>
      </w:r>
      <w:r w:rsidR="00F526F0" w:rsidRPr="002944D8">
        <w:rPr>
          <w:rFonts w:ascii="Gadugi" w:eastAsia="Malgun Gothic" w:hAnsi="Gadugi" w:cs="Estrangelo Edessa"/>
          <w:sz w:val="24"/>
          <w:szCs w:val="24"/>
        </w:rPr>
        <w:t>,</w:t>
      </w:r>
      <w:r w:rsidR="00E92862" w:rsidRPr="002944D8">
        <w:rPr>
          <w:rFonts w:ascii="Gadugi" w:eastAsia="Malgun Gothic" w:hAnsi="Gadugi" w:cs="Estrangelo Edessa"/>
          <w:sz w:val="24"/>
          <w:szCs w:val="24"/>
        </w:rPr>
        <w:t xml:space="preserve"> carecía de competencia territorial para llevar a cabo el aludido acto, de conformidad con los artículos 2 y 99 de del Decreto 960 de 1970.</w:t>
      </w:r>
    </w:p>
    <w:p w14:paraId="04B6DBE9" w14:textId="761F3F66" w:rsidR="00DE0A6F" w:rsidRPr="002944D8" w:rsidRDefault="00DE0A6F" w:rsidP="002944D8">
      <w:pPr>
        <w:tabs>
          <w:tab w:val="left" w:pos="4536"/>
        </w:tabs>
        <w:spacing w:after="0" w:line="276" w:lineRule="auto"/>
        <w:jc w:val="both"/>
        <w:rPr>
          <w:rFonts w:ascii="Gadugi" w:eastAsia="Malgun Gothic" w:hAnsi="Gadugi" w:cs="Estrangelo Edessa"/>
          <w:sz w:val="24"/>
          <w:szCs w:val="24"/>
        </w:rPr>
      </w:pPr>
    </w:p>
    <w:p w14:paraId="27D03061" w14:textId="46C711D1" w:rsidR="00DE0A6F" w:rsidRPr="002944D8" w:rsidRDefault="009D2509" w:rsidP="002944D8">
      <w:pPr>
        <w:tabs>
          <w:tab w:val="left" w:pos="4536"/>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Además</w:t>
      </w:r>
      <w:r w:rsidR="00E92862" w:rsidRPr="002944D8">
        <w:rPr>
          <w:rFonts w:ascii="Gadugi" w:eastAsia="Malgun Gothic" w:hAnsi="Gadugi" w:cs="Estrangelo Edessa"/>
          <w:sz w:val="24"/>
          <w:szCs w:val="24"/>
        </w:rPr>
        <w:t>, se expuso que</w:t>
      </w:r>
      <w:r w:rsidR="00DE0A6F" w:rsidRPr="002944D8">
        <w:rPr>
          <w:rFonts w:ascii="Gadugi" w:eastAsia="Malgun Gothic" w:hAnsi="Gadugi" w:cs="Estrangelo Edessa"/>
          <w:sz w:val="24"/>
          <w:szCs w:val="24"/>
        </w:rPr>
        <w:t xml:space="preserve"> el local comercial, por ser un bien propio y adquirido antes del matrimonio</w:t>
      </w:r>
      <w:r w:rsidR="00512C13" w:rsidRPr="002944D8">
        <w:rPr>
          <w:rFonts w:ascii="Gadugi" w:eastAsia="Malgun Gothic" w:hAnsi="Gadugi" w:cs="Estrangelo Edessa"/>
          <w:sz w:val="24"/>
          <w:szCs w:val="24"/>
        </w:rPr>
        <w:t xml:space="preserve"> por Gutiérrez González</w:t>
      </w:r>
      <w:r w:rsidR="00DE0A6F" w:rsidRPr="002944D8">
        <w:rPr>
          <w:rFonts w:ascii="Gadugi" w:eastAsia="Malgun Gothic" w:hAnsi="Gadugi" w:cs="Estrangelo Edessa"/>
          <w:sz w:val="24"/>
          <w:szCs w:val="24"/>
        </w:rPr>
        <w:t xml:space="preserve">, </w:t>
      </w:r>
      <w:r w:rsidR="00512C13" w:rsidRPr="002944D8">
        <w:rPr>
          <w:rFonts w:ascii="Gadugi" w:eastAsia="Malgun Gothic" w:hAnsi="Gadugi" w:cs="Estrangelo Edessa"/>
          <w:sz w:val="24"/>
          <w:szCs w:val="24"/>
        </w:rPr>
        <w:t xml:space="preserve">no integra el haber de la sociedad conyugal, y, por lo tanto, </w:t>
      </w:r>
      <w:r w:rsidR="004F1798" w:rsidRPr="002944D8">
        <w:rPr>
          <w:rFonts w:ascii="Gadugi" w:eastAsia="Malgun Gothic" w:hAnsi="Gadugi" w:cs="Estrangelo Edessa"/>
          <w:sz w:val="24"/>
          <w:szCs w:val="24"/>
        </w:rPr>
        <w:t>les</w:t>
      </w:r>
      <w:r w:rsidR="00512C13" w:rsidRPr="002944D8">
        <w:rPr>
          <w:rFonts w:ascii="Gadugi" w:eastAsia="Malgun Gothic" w:hAnsi="Gadugi" w:cs="Estrangelo Edessa"/>
          <w:sz w:val="24"/>
          <w:szCs w:val="24"/>
        </w:rPr>
        <w:t xml:space="preserve"> pertenece a sus herederos, a lo cual debe agregarse que, como los demás bienes hacen parte de la sociedad, con ellos se deberán pagar gananciales y asignaciones forzosas a los herederos. </w:t>
      </w:r>
    </w:p>
    <w:p w14:paraId="472E4B8F" w14:textId="16813190" w:rsidR="0001427B" w:rsidRPr="002944D8" w:rsidRDefault="0001427B" w:rsidP="002944D8">
      <w:pPr>
        <w:tabs>
          <w:tab w:val="left" w:pos="3402"/>
        </w:tabs>
        <w:spacing w:after="0" w:line="276" w:lineRule="auto"/>
        <w:jc w:val="both"/>
        <w:rPr>
          <w:rFonts w:ascii="Gadugi" w:eastAsia="Malgun Gothic" w:hAnsi="Gadugi" w:cs="Estrangelo Edessa"/>
          <w:sz w:val="24"/>
          <w:szCs w:val="24"/>
        </w:rPr>
      </w:pPr>
    </w:p>
    <w:p w14:paraId="75570C18" w14:textId="37D2ADFF" w:rsidR="00866646" w:rsidRPr="002944D8" w:rsidRDefault="00866646" w:rsidP="002944D8">
      <w:pPr>
        <w:tabs>
          <w:tab w:val="left" w:pos="3402"/>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Finalmente, se apuntó que, lo que ocurrió realmente fue una donación entre vivos, pero ello sucedió sin una de las solemnidades legales necesarias para ello, como lo es la insinuación (Art. 1464 CC), por ello, también es nula la escritura de marras. </w:t>
      </w:r>
    </w:p>
    <w:p w14:paraId="60A4348F" w14:textId="2869EA87" w:rsidR="00866646" w:rsidRPr="002944D8" w:rsidRDefault="00866646" w:rsidP="002944D8">
      <w:pPr>
        <w:tabs>
          <w:tab w:val="left" w:pos="3402"/>
        </w:tabs>
        <w:spacing w:after="0" w:line="276" w:lineRule="auto"/>
        <w:jc w:val="both"/>
        <w:rPr>
          <w:rFonts w:ascii="Gadugi" w:eastAsia="Malgun Gothic" w:hAnsi="Gadugi" w:cs="Estrangelo Edessa"/>
          <w:sz w:val="24"/>
          <w:szCs w:val="24"/>
        </w:rPr>
      </w:pPr>
    </w:p>
    <w:p w14:paraId="7B787D5F" w14:textId="440E5CC4" w:rsidR="00D43685" w:rsidRPr="002944D8" w:rsidRDefault="001019AB" w:rsidP="002944D8">
      <w:pPr>
        <w:pStyle w:val="Prrafodelista"/>
        <w:numPr>
          <w:ilvl w:val="1"/>
          <w:numId w:val="1"/>
        </w:numPr>
        <w:tabs>
          <w:tab w:val="left" w:pos="426"/>
        </w:tabs>
        <w:spacing w:after="0" w:line="276" w:lineRule="auto"/>
        <w:ind w:left="0" w:firstLine="0"/>
        <w:jc w:val="both"/>
        <w:rPr>
          <w:rStyle w:val="normaltextrun"/>
          <w:rFonts w:ascii="Gadugi" w:eastAsia="Calibri" w:hAnsi="Gadugi" w:cs="Times New Roman"/>
          <w:sz w:val="24"/>
          <w:szCs w:val="24"/>
        </w:rPr>
      </w:pPr>
      <w:r w:rsidRPr="002944D8">
        <w:rPr>
          <w:rFonts w:ascii="Gadugi" w:eastAsia="Calibri" w:hAnsi="Gadugi" w:cs="Times New Roman"/>
          <w:b/>
          <w:sz w:val="24"/>
          <w:szCs w:val="24"/>
        </w:rPr>
        <w:t xml:space="preserve"> </w:t>
      </w:r>
      <w:r w:rsidR="002271F1" w:rsidRPr="002944D8">
        <w:rPr>
          <w:rFonts w:ascii="Gadugi" w:eastAsia="Calibri" w:hAnsi="Gadugi" w:cs="Times New Roman"/>
          <w:b/>
          <w:sz w:val="24"/>
          <w:szCs w:val="24"/>
        </w:rPr>
        <w:t>Pretensiones.</w:t>
      </w:r>
      <w:r w:rsidR="00A92994" w:rsidRPr="002944D8">
        <w:rPr>
          <w:rStyle w:val="Refdenotaalpie"/>
          <w:rFonts w:ascii="Gadugi" w:eastAsia="Calibri" w:hAnsi="Gadugi" w:cs="Times New Roman"/>
          <w:b/>
          <w:sz w:val="24"/>
          <w:szCs w:val="24"/>
        </w:rPr>
        <w:footnoteReference w:id="2"/>
      </w:r>
      <w:r w:rsidR="002271F1" w:rsidRPr="002944D8">
        <w:rPr>
          <w:rFonts w:ascii="Gadugi" w:eastAsia="Calibri" w:hAnsi="Gadugi" w:cs="Times New Roman"/>
          <w:b/>
          <w:sz w:val="24"/>
          <w:szCs w:val="24"/>
        </w:rPr>
        <w:t xml:space="preserve"> </w:t>
      </w:r>
    </w:p>
    <w:p w14:paraId="6C61C7CE" w14:textId="77777777" w:rsidR="00D43685" w:rsidRPr="002944D8" w:rsidRDefault="00D43685" w:rsidP="002944D8">
      <w:pPr>
        <w:tabs>
          <w:tab w:val="left" w:pos="3402"/>
        </w:tabs>
        <w:spacing w:after="0" w:line="276" w:lineRule="auto"/>
        <w:jc w:val="both"/>
        <w:rPr>
          <w:rFonts w:ascii="Gadugi" w:eastAsia="Calibri" w:hAnsi="Gadugi" w:cs="Times New Roman"/>
          <w:sz w:val="24"/>
          <w:szCs w:val="24"/>
        </w:rPr>
      </w:pPr>
    </w:p>
    <w:p w14:paraId="30D13D03" w14:textId="66278061" w:rsidR="007058FB" w:rsidRPr="002944D8" w:rsidRDefault="00F526F0" w:rsidP="002944D8">
      <w:pPr>
        <w:tabs>
          <w:tab w:val="left" w:pos="3402"/>
        </w:tabs>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Se solicitó, en consecuencia, </w:t>
      </w:r>
      <w:r w:rsidR="007058FB" w:rsidRPr="002944D8">
        <w:rPr>
          <w:rFonts w:ascii="Gadugi" w:eastAsia="Calibri" w:hAnsi="Gadugi" w:cs="Times New Roman"/>
          <w:sz w:val="24"/>
          <w:szCs w:val="24"/>
        </w:rPr>
        <w:t xml:space="preserve">como pretensiones principales </w:t>
      </w:r>
      <w:r w:rsidRPr="002944D8">
        <w:rPr>
          <w:rFonts w:ascii="Gadugi" w:eastAsia="Calibri" w:hAnsi="Gadugi" w:cs="Times New Roman"/>
          <w:sz w:val="24"/>
          <w:szCs w:val="24"/>
        </w:rPr>
        <w:t xml:space="preserve">(i) </w:t>
      </w:r>
      <w:r w:rsidR="00B32C68" w:rsidRPr="002944D8">
        <w:rPr>
          <w:rFonts w:ascii="Gadugi" w:eastAsia="Calibri" w:hAnsi="Gadugi" w:cs="Times New Roman"/>
          <w:sz w:val="24"/>
          <w:szCs w:val="24"/>
        </w:rPr>
        <w:t>d</w:t>
      </w:r>
      <w:r w:rsidRPr="002944D8">
        <w:rPr>
          <w:rFonts w:ascii="Gadugi" w:eastAsia="Calibri" w:hAnsi="Gadugi" w:cs="Times New Roman"/>
          <w:sz w:val="24"/>
          <w:szCs w:val="24"/>
        </w:rPr>
        <w:t xml:space="preserve">eclarar la nulidad del poder </w:t>
      </w:r>
      <w:bookmarkStart w:id="1" w:name="_Hlk116928820"/>
      <w:r w:rsidRPr="002944D8">
        <w:rPr>
          <w:rFonts w:ascii="Gadugi" w:eastAsia="Calibri" w:hAnsi="Gadugi" w:cs="Times New Roman"/>
          <w:sz w:val="24"/>
          <w:szCs w:val="24"/>
        </w:rPr>
        <w:t>que Juan Carlos Gutiérrez González</w:t>
      </w:r>
      <w:bookmarkEnd w:id="1"/>
      <w:r w:rsidRPr="002944D8">
        <w:rPr>
          <w:rFonts w:ascii="Gadugi" w:eastAsia="Calibri" w:hAnsi="Gadugi" w:cs="Times New Roman"/>
          <w:sz w:val="24"/>
          <w:szCs w:val="24"/>
        </w:rPr>
        <w:t xml:space="preserve"> le confirió al abogado Guillermo Botero Díaz, en el cual el poderdante renunció a gananciales, y con el que se adelantó el divorcio, la disolución y liquidación de la </w:t>
      </w:r>
      <w:r w:rsidR="004F1798" w:rsidRPr="002944D8">
        <w:rPr>
          <w:rFonts w:ascii="Gadugi" w:eastAsia="Calibri" w:hAnsi="Gadugi" w:cs="Times New Roman"/>
          <w:sz w:val="24"/>
          <w:szCs w:val="24"/>
        </w:rPr>
        <w:t xml:space="preserve">referida </w:t>
      </w:r>
      <w:r w:rsidRPr="002944D8">
        <w:rPr>
          <w:rFonts w:ascii="Gadugi" w:eastAsia="Calibri" w:hAnsi="Gadugi" w:cs="Times New Roman"/>
          <w:sz w:val="24"/>
          <w:szCs w:val="24"/>
        </w:rPr>
        <w:t xml:space="preserve">sociedad conyugal; (ii) </w:t>
      </w:r>
      <w:r w:rsidR="00B32C68" w:rsidRPr="002944D8">
        <w:rPr>
          <w:rFonts w:ascii="Gadugi" w:eastAsia="Calibri" w:hAnsi="Gadugi" w:cs="Times New Roman"/>
          <w:sz w:val="24"/>
          <w:szCs w:val="24"/>
        </w:rPr>
        <w:t>d</w:t>
      </w:r>
      <w:r w:rsidRPr="002944D8">
        <w:rPr>
          <w:rFonts w:ascii="Gadugi" w:eastAsia="Calibri" w:hAnsi="Gadugi" w:cs="Times New Roman"/>
          <w:sz w:val="24"/>
          <w:szCs w:val="24"/>
        </w:rPr>
        <w:t xml:space="preserve">eclarar la nulidad de la escritura pública número 3844 del 24 de julio de 2018, con la que se decretó la disolución y liquidación de la sociedad conyugal, por haberse realizado sin poder debidamente otorgado y por constituir un acto que pretendía defraudar </w:t>
      </w:r>
      <w:r w:rsidR="004F1798" w:rsidRPr="002944D8">
        <w:rPr>
          <w:rFonts w:ascii="Gadugi" w:eastAsia="Calibri" w:hAnsi="Gadugi" w:cs="Times New Roman"/>
          <w:sz w:val="24"/>
          <w:szCs w:val="24"/>
        </w:rPr>
        <w:t xml:space="preserve">a </w:t>
      </w:r>
      <w:r w:rsidRPr="002944D8">
        <w:rPr>
          <w:rFonts w:ascii="Gadugi" w:eastAsia="Calibri" w:hAnsi="Gadugi" w:cs="Times New Roman"/>
          <w:sz w:val="24"/>
          <w:szCs w:val="24"/>
        </w:rPr>
        <w:t xml:space="preserve">terceros; (iii) </w:t>
      </w:r>
      <w:r w:rsidR="00B32C68" w:rsidRPr="002944D8">
        <w:rPr>
          <w:rFonts w:ascii="Gadugi" w:eastAsia="Calibri" w:hAnsi="Gadugi" w:cs="Times New Roman"/>
          <w:sz w:val="24"/>
          <w:szCs w:val="24"/>
        </w:rPr>
        <w:t>q</w:t>
      </w:r>
      <w:r w:rsidRPr="002944D8">
        <w:rPr>
          <w:rFonts w:ascii="Gadugi" w:eastAsia="Calibri" w:hAnsi="Gadugi" w:cs="Times New Roman"/>
          <w:sz w:val="24"/>
          <w:szCs w:val="24"/>
        </w:rPr>
        <w:t xml:space="preserve">ue se les ordene a las Oficinas de Registro de Instrumentos Públicos de Pereira y Dosquebradas anular las anotaciones que se hicieron con ocasión del referido acto; (iv) </w:t>
      </w:r>
      <w:r w:rsidR="00B32C68" w:rsidRPr="002944D8">
        <w:rPr>
          <w:rFonts w:ascii="Gadugi" w:eastAsia="Calibri" w:hAnsi="Gadugi" w:cs="Times New Roman"/>
          <w:sz w:val="24"/>
          <w:szCs w:val="24"/>
        </w:rPr>
        <w:t>q</w:t>
      </w:r>
      <w:r w:rsidR="007058FB" w:rsidRPr="002944D8">
        <w:rPr>
          <w:rFonts w:ascii="Gadugi" w:eastAsia="Calibri" w:hAnsi="Gadugi" w:cs="Times New Roman"/>
          <w:sz w:val="24"/>
          <w:szCs w:val="24"/>
        </w:rPr>
        <w:t>ue se condene a la demandada a pagarle a la demandante los frutos civiles producidos por el local comercial ubicado en Pereira y la casa de habitación localizada en Dosquebradas desde el fallecimiento del señor Gutiérrez González hasta la entrega del porcentaje que a ella le corresponde de esos bienes</w:t>
      </w:r>
      <w:r w:rsidR="005B42CB" w:rsidRPr="002944D8">
        <w:rPr>
          <w:rFonts w:ascii="Gadugi" w:eastAsia="Calibri" w:hAnsi="Gadugi" w:cs="Times New Roman"/>
          <w:sz w:val="24"/>
          <w:szCs w:val="24"/>
        </w:rPr>
        <w:t>.</w:t>
      </w:r>
      <w:r w:rsidR="007058FB" w:rsidRPr="002944D8">
        <w:rPr>
          <w:rFonts w:ascii="Gadugi" w:eastAsia="Calibri" w:hAnsi="Gadugi" w:cs="Times New Roman"/>
          <w:sz w:val="24"/>
          <w:szCs w:val="24"/>
        </w:rPr>
        <w:t xml:space="preserve"> </w:t>
      </w:r>
    </w:p>
    <w:p w14:paraId="753AB426" w14:textId="204097D3" w:rsidR="005B42CB" w:rsidRPr="002944D8" w:rsidRDefault="005B42CB" w:rsidP="002944D8">
      <w:pPr>
        <w:tabs>
          <w:tab w:val="left" w:pos="3402"/>
        </w:tabs>
        <w:spacing w:after="0" w:line="276" w:lineRule="auto"/>
        <w:jc w:val="both"/>
        <w:rPr>
          <w:rFonts w:ascii="Gadugi" w:eastAsia="Calibri" w:hAnsi="Gadugi" w:cs="Times New Roman"/>
          <w:sz w:val="24"/>
          <w:szCs w:val="24"/>
        </w:rPr>
      </w:pPr>
    </w:p>
    <w:p w14:paraId="17EACD2D" w14:textId="56574A44" w:rsidR="00F93E16" w:rsidRPr="002944D8" w:rsidRDefault="005B42CB" w:rsidP="002944D8">
      <w:pPr>
        <w:tabs>
          <w:tab w:val="left" w:pos="3402"/>
        </w:tabs>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Y como pretensiones subsidiarias que: (i) </w:t>
      </w:r>
      <w:r w:rsidR="00B32C68" w:rsidRPr="002944D8">
        <w:rPr>
          <w:rFonts w:ascii="Gadugi" w:eastAsia="Calibri" w:hAnsi="Gadugi" w:cs="Times New Roman"/>
          <w:sz w:val="24"/>
          <w:szCs w:val="24"/>
        </w:rPr>
        <w:t>s</w:t>
      </w:r>
      <w:r w:rsidRPr="002944D8">
        <w:rPr>
          <w:rFonts w:ascii="Gadugi" w:eastAsia="Calibri" w:hAnsi="Gadugi" w:cs="Times New Roman"/>
          <w:sz w:val="24"/>
          <w:szCs w:val="24"/>
        </w:rPr>
        <w:t>e declare que la escritura pública número 3844 del 24 de julio de 2018 contiene un acto de donación entre vivos que carece de las solemnidades legales contenidas en el artículo 1464 del Código Civil</w:t>
      </w:r>
      <w:r w:rsidR="00B32C68" w:rsidRPr="002944D8">
        <w:rPr>
          <w:rFonts w:ascii="Gadugi" w:eastAsia="Calibri" w:hAnsi="Gadugi" w:cs="Times New Roman"/>
          <w:sz w:val="24"/>
          <w:szCs w:val="24"/>
        </w:rPr>
        <w:t xml:space="preserve">; </w:t>
      </w:r>
      <w:r w:rsidRPr="002944D8">
        <w:rPr>
          <w:rFonts w:ascii="Gadugi" w:eastAsia="Calibri" w:hAnsi="Gadugi" w:cs="Times New Roman"/>
          <w:sz w:val="24"/>
          <w:szCs w:val="24"/>
        </w:rPr>
        <w:t>(ii) en consecuencia, se declare la nulidad absoluta de ese acto conforme los artículos 1740 y 1741 del mismo código</w:t>
      </w:r>
      <w:r w:rsidR="00B32C68" w:rsidRPr="002944D8">
        <w:rPr>
          <w:rFonts w:ascii="Gadugi" w:eastAsia="Calibri" w:hAnsi="Gadugi" w:cs="Times New Roman"/>
          <w:sz w:val="24"/>
          <w:szCs w:val="24"/>
        </w:rPr>
        <w:t>; (iii)</w:t>
      </w:r>
      <w:r w:rsidRPr="002944D8">
        <w:rPr>
          <w:rFonts w:ascii="Gadugi" w:eastAsia="Calibri" w:hAnsi="Gadugi" w:cs="Times New Roman"/>
          <w:sz w:val="24"/>
          <w:szCs w:val="24"/>
        </w:rPr>
        <w:t xml:space="preserve"> se declare la nulidad del poder otorgado al abogado Guillermo Botero Díaz</w:t>
      </w:r>
      <w:r w:rsidR="00B32C68" w:rsidRPr="002944D8">
        <w:rPr>
          <w:rFonts w:ascii="Gadugi" w:eastAsia="Calibri" w:hAnsi="Gadugi" w:cs="Times New Roman"/>
          <w:sz w:val="24"/>
          <w:szCs w:val="24"/>
        </w:rPr>
        <w:t>,</w:t>
      </w:r>
      <w:r w:rsidRPr="002944D8">
        <w:rPr>
          <w:rFonts w:ascii="Gadugi" w:eastAsia="Calibri" w:hAnsi="Gadugi" w:cs="Times New Roman"/>
          <w:sz w:val="24"/>
          <w:szCs w:val="24"/>
        </w:rPr>
        <w:t xml:space="preserve"> pues transgrede lo reglado en el artículo 1775 del mismo código; </w:t>
      </w:r>
      <w:r w:rsidR="00B32C68" w:rsidRPr="002944D8">
        <w:rPr>
          <w:rFonts w:ascii="Gadugi" w:eastAsia="Calibri" w:hAnsi="Gadugi" w:cs="Times New Roman"/>
          <w:sz w:val="24"/>
          <w:szCs w:val="24"/>
        </w:rPr>
        <w:t xml:space="preserve">y </w:t>
      </w:r>
      <w:r w:rsidRPr="002944D8">
        <w:rPr>
          <w:rFonts w:ascii="Gadugi" w:eastAsia="Calibri" w:hAnsi="Gadugi" w:cs="Times New Roman"/>
          <w:sz w:val="24"/>
          <w:szCs w:val="24"/>
        </w:rPr>
        <w:t>(iv) se declare la nulidad de la escritura por contrariar los artículos 1740 y 1741 ya citados</w:t>
      </w:r>
      <w:r w:rsidR="00F93E16" w:rsidRPr="002944D8">
        <w:rPr>
          <w:rFonts w:ascii="Gadugi" w:eastAsia="Calibri" w:hAnsi="Gadugi" w:cs="Times New Roman"/>
          <w:sz w:val="24"/>
          <w:szCs w:val="24"/>
        </w:rPr>
        <w:t xml:space="preserve">; y que como consecuencia de esas nulidades se den las órdenes y se impartan las condenas referidas en los literales (iii) y (iv) del párrafo anterior. </w:t>
      </w:r>
    </w:p>
    <w:p w14:paraId="0D20A2A2" w14:textId="77777777" w:rsidR="00D43685" w:rsidRPr="002944D8" w:rsidRDefault="00D43685" w:rsidP="002944D8">
      <w:pPr>
        <w:tabs>
          <w:tab w:val="left" w:pos="3402"/>
        </w:tabs>
        <w:spacing w:after="0" w:line="276" w:lineRule="auto"/>
        <w:jc w:val="both"/>
        <w:rPr>
          <w:rFonts w:ascii="Gadugi" w:eastAsia="Calibri" w:hAnsi="Gadugi" w:cs="Times New Roman"/>
          <w:sz w:val="24"/>
          <w:szCs w:val="24"/>
        </w:rPr>
      </w:pPr>
    </w:p>
    <w:p w14:paraId="4021259E" w14:textId="3251DDC1" w:rsidR="002271F1" w:rsidRPr="002944D8" w:rsidRDefault="002271F1" w:rsidP="002944D8">
      <w:pPr>
        <w:pStyle w:val="Prrafodelista"/>
        <w:numPr>
          <w:ilvl w:val="1"/>
          <w:numId w:val="1"/>
        </w:numPr>
        <w:tabs>
          <w:tab w:val="left" w:pos="567"/>
        </w:tabs>
        <w:spacing w:after="0" w:line="276" w:lineRule="auto"/>
        <w:ind w:left="0" w:firstLine="0"/>
        <w:jc w:val="both"/>
        <w:rPr>
          <w:rFonts w:ascii="Gadugi" w:eastAsia="Calibri" w:hAnsi="Gadugi" w:cs="Times New Roman"/>
          <w:b/>
          <w:sz w:val="24"/>
          <w:szCs w:val="24"/>
        </w:rPr>
      </w:pPr>
      <w:r w:rsidRPr="002944D8">
        <w:rPr>
          <w:rFonts w:ascii="Gadugi" w:eastAsia="Calibri" w:hAnsi="Gadugi" w:cs="Times New Roman"/>
          <w:b/>
          <w:sz w:val="24"/>
          <w:szCs w:val="24"/>
        </w:rPr>
        <w:t>Trámite.</w:t>
      </w:r>
    </w:p>
    <w:p w14:paraId="52AD075F" w14:textId="77777777" w:rsidR="002271F1" w:rsidRPr="002944D8" w:rsidRDefault="002271F1" w:rsidP="002944D8">
      <w:pPr>
        <w:spacing w:after="0" w:line="276" w:lineRule="auto"/>
        <w:jc w:val="both"/>
        <w:rPr>
          <w:rFonts w:ascii="Gadugi" w:eastAsia="Calibri" w:hAnsi="Gadugi" w:cs="Times New Roman"/>
          <w:sz w:val="24"/>
          <w:szCs w:val="24"/>
        </w:rPr>
      </w:pPr>
    </w:p>
    <w:p w14:paraId="240BCA71" w14:textId="7CC037F3" w:rsidR="00537065" w:rsidRPr="002944D8" w:rsidRDefault="004E5E2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1.3.1. </w:t>
      </w:r>
      <w:r w:rsidR="00537065" w:rsidRPr="002944D8">
        <w:rPr>
          <w:rFonts w:ascii="Gadugi" w:eastAsia="Calibri" w:hAnsi="Gadugi" w:cs="Times New Roman"/>
          <w:sz w:val="24"/>
          <w:szCs w:val="24"/>
        </w:rPr>
        <w:t>Tras una inadmisión, se le dio impulso a la demanda con auto del 7 de octubre de 2019, y de la misma se le corrió traslado a la demandada.</w:t>
      </w:r>
    </w:p>
    <w:p w14:paraId="6D2880CE" w14:textId="45E247F6" w:rsidR="00537065" w:rsidRPr="002944D8" w:rsidRDefault="00537065" w:rsidP="002944D8">
      <w:pPr>
        <w:spacing w:after="0" w:line="276" w:lineRule="auto"/>
        <w:jc w:val="both"/>
        <w:rPr>
          <w:rFonts w:ascii="Gadugi" w:eastAsia="Calibri" w:hAnsi="Gadugi" w:cs="Times New Roman"/>
          <w:sz w:val="24"/>
          <w:szCs w:val="24"/>
        </w:rPr>
      </w:pPr>
    </w:p>
    <w:p w14:paraId="7A3C1F66" w14:textId="77777777" w:rsidR="00DB5AF6" w:rsidRPr="002944D8" w:rsidRDefault="004E5E2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1.3.2. </w:t>
      </w:r>
      <w:r w:rsidR="00DB5AF6" w:rsidRPr="002944D8">
        <w:rPr>
          <w:rFonts w:ascii="Gadugi" w:eastAsia="Calibri" w:hAnsi="Gadugi" w:cs="Times New Roman"/>
          <w:sz w:val="24"/>
          <w:szCs w:val="24"/>
        </w:rPr>
        <w:t>C</w:t>
      </w:r>
      <w:r w:rsidRPr="002944D8">
        <w:rPr>
          <w:rFonts w:ascii="Gadugi" w:eastAsia="Calibri" w:hAnsi="Gadugi" w:cs="Times New Roman"/>
          <w:sz w:val="24"/>
          <w:szCs w:val="24"/>
        </w:rPr>
        <w:t xml:space="preserve">ontestó la demanda y formuló la excepción previa de </w:t>
      </w:r>
      <w:r w:rsidRPr="002944D8">
        <w:rPr>
          <w:rFonts w:ascii="Gadugi" w:eastAsia="Calibri" w:hAnsi="Gadugi" w:cs="Times New Roman"/>
          <w:i/>
          <w:sz w:val="24"/>
          <w:szCs w:val="24"/>
        </w:rPr>
        <w:t>“ineptitud de la demanda por falta de requisitos formales por indebida acumulación de pretensiones”</w:t>
      </w:r>
      <w:r w:rsidRPr="002944D8">
        <w:rPr>
          <w:rFonts w:ascii="Gadugi" w:eastAsia="Calibri" w:hAnsi="Gadugi" w:cs="Times New Roman"/>
          <w:sz w:val="24"/>
          <w:szCs w:val="24"/>
        </w:rPr>
        <w:t xml:space="preserve">, </w:t>
      </w:r>
      <w:r w:rsidR="00DB5AF6" w:rsidRPr="002944D8">
        <w:rPr>
          <w:rFonts w:ascii="Gadugi" w:eastAsia="Calibri" w:hAnsi="Gadugi" w:cs="Times New Roman"/>
          <w:sz w:val="24"/>
          <w:szCs w:val="24"/>
        </w:rPr>
        <w:t xml:space="preserve">que se </w:t>
      </w:r>
      <w:r w:rsidRPr="002944D8">
        <w:rPr>
          <w:rFonts w:ascii="Gadugi" w:eastAsia="Calibri" w:hAnsi="Gadugi" w:cs="Times New Roman"/>
          <w:sz w:val="24"/>
          <w:szCs w:val="24"/>
        </w:rPr>
        <w:t>declaró no probada con auto del 8 de febrero de 2021</w:t>
      </w:r>
      <w:r w:rsidR="00DB5AF6" w:rsidRPr="002944D8">
        <w:rPr>
          <w:rFonts w:ascii="Gadugi" w:eastAsia="Calibri" w:hAnsi="Gadugi" w:cs="Times New Roman"/>
          <w:sz w:val="24"/>
          <w:szCs w:val="24"/>
        </w:rPr>
        <w:t xml:space="preserve">. </w:t>
      </w:r>
    </w:p>
    <w:p w14:paraId="23535CD9" w14:textId="77777777" w:rsidR="00DB5AF6" w:rsidRPr="002944D8" w:rsidRDefault="00DB5AF6" w:rsidP="002944D8">
      <w:pPr>
        <w:spacing w:after="0" w:line="276" w:lineRule="auto"/>
        <w:jc w:val="both"/>
        <w:rPr>
          <w:rFonts w:ascii="Gadugi" w:eastAsia="Calibri" w:hAnsi="Gadugi" w:cs="Times New Roman"/>
          <w:sz w:val="24"/>
          <w:szCs w:val="24"/>
        </w:rPr>
      </w:pPr>
    </w:p>
    <w:p w14:paraId="6E429A30" w14:textId="6E0BF87E" w:rsidR="004E5E25" w:rsidRPr="002944D8" w:rsidRDefault="00DB5AF6"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T</w:t>
      </w:r>
      <w:r w:rsidR="004E5E25" w:rsidRPr="002944D8">
        <w:rPr>
          <w:rFonts w:ascii="Gadugi" w:eastAsia="Calibri" w:hAnsi="Gadugi" w:cs="Times New Roman"/>
          <w:sz w:val="24"/>
          <w:szCs w:val="24"/>
        </w:rPr>
        <w:t xml:space="preserve">ambién </w:t>
      </w:r>
      <w:r w:rsidR="00EE21A0" w:rsidRPr="002944D8">
        <w:rPr>
          <w:rFonts w:ascii="Gadugi" w:eastAsia="Calibri" w:hAnsi="Gadugi" w:cs="Times New Roman"/>
          <w:sz w:val="24"/>
          <w:szCs w:val="24"/>
        </w:rPr>
        <w:t>planteó</w:t>
      </w:r>
      <w:r w:rsidR="004E5E25" w:rsidRPr="002944D8">
        <w:rPr>
          <w:rFonts w:ascii="Gadugi" w:eastAsia="Calibri" w:hAnsi="Gadugi" w:cs="Times New Roman"/>
          <w:sz w:val="24"/>
          <w:szCs w:val="24"/>
        </w:rPr>
        <w:t xml:space="preserve"> las excepciones de mérito, </w:t>
      </w:r>
      <w:r w:rsidR="004E5E25" w:rsidRPr="002944D8">
        <w:rPr>
          <w:rFonts w:ascii="Gadugi" w:eastAsia="Calibri" w:hAnsi="Gadugi" w:cs="Times New Roman"/>
          <w:i/>
          <w:sz w:val="24"/>
          <w:szCs w:val="24"/>
        </w:rPr>
        <w:t>“inexistencia de la donación”</w:t>
      </w:r>
      <w:r w:rsidR="004E5E25" w:rsidRPr="002944D8">
        <w:rPr>
          <w:rFonts w:ascii="Gadugi" w:eastAsia="Calibri" w:hAnsi="Gadugi" w:cs="Times New Roman"/>
          <w:sz w:val="24"/>
          <w:szCs w:val="24"/>
        </w:rPr>
        <w:t xml:space="preserve">, </w:t>
      </w:r>
      <w:r w:rsidR="004E5E25" w:rsidRPr="002944D8">
        <w:rPr>
          <w:rFonts w:ascii="Gadugi" w:eastAsia="Calibri" w:hAnsi="Gadugi" w:cs="Times New Roman"/>
          <w:i/>
          <w:sz w:val="24"/>
          <w:szCs w:val="24"/>
        </w:rPr>
        <w:t>“los herederos no son terceros</w:t>
      </w:r>
      <w:r w:rsidR="004E5E25" w:rsidRPr="002944D8">
        <w:rPr>
          <w:rFonts w:ascii="Gadugi" w:eastAsia="Calibri" w:hAnsi="Gadugi" w:cs="Times New Roman"/>
          <w:sz w:val="24"/>
          <w:szCs w:val="24"/>
        </w:rPr>
        <w:t xml:space="preserve">”, </w:t>
      </w:r>
      <w:r w:rsidR="004E5E25" w:rsidRPr="002944D8">
        <w:rPr>
          <w:rFonts w:ascii="Gadugi" w:eastAsia="Calibri" w:hAnsi="Gadugi" w:cs="Times New Roman"/>
          <w:i/>
          <w:sz w:val="24"/>
          <w:szCs w:val="24"/>
        </w:rPr>
        <w:t>“preexistencia de sociedad patrimonial con la sociedad conyugal”</w:t>
      </w:r>
      <w:r w:rsidR="004E5E25" w:rsidRPr="002944D8">
        <w:rPr>
          <w:rFonts w:ascii="Gadugi" w:eastAsia="Calibri" w:hAnsi="Gadugi" w:cs="Times New Roman"/>
          <w:sz w:val="24"/>
          <w:szCs w:val="24"/>
        </w:rPr>
        <w:t xml:space="preserve">, </w:t>
      </w:r>
      <w:r w:rsidR="004E5E25" w:rsidRPr="002944D8">
        <w:rPr>
          <w:rFonts w:ascii="Gadugi" w:eastAsia="Calibri" w:hAnsi="Gadugi" w:cs="Times New Roman"/>
          <w:i/>
          <w:sz w:val="24"/>
          <w:szCs w:val="24"/>
        </w:rPr>
        <w:t>“inexistencia de nulidad”</w:t>
      </w:r>
      <w:r w:rsidR="004E5E25" w:rsidRPr="002944D8">
        <w:rPr>
          <w:rFonts w:ascii="Gadugi" w:eastAsia="Calibri" w:hAnsi="Gadugi" w:cs="Times New Roman"/>
          <w:sz w:val="24"/>
          <w:szCs w:val="24"/>
        </w:rPr>
        <w:t xml:space="preserve">, </w:t>
      </w:r>
      <w:r w:rsidR="004E5E25" w:rsidRPr="002944D8">
        <w:rPr>
          <w:rFonts w:ascii="Gadugi" w:eastAsia="Calibri" w:hAnsi="Gadugi" w:cs="Times New Roman"/>
          <w:i/>
          <w:sz w:val="24"/>
          <w:szCs w:val="24"/>
        </w:rPr>
        <w:t>“inexistencia de frutos”</w:t>
      </w:r>
      <w:r w:rsidR="004E5E25" w:rsidRPr="002944D8">
        <w:rPr>
          <w:rFonts w:ascii="Gadugi" w:eastAsia="Calibri" w:hAnsi="Gadugi" w:cs="Times New Roman"/>
          <w:sz w:val="24"/>
          <w:szCs w:val="24"/>
        </w:rPr>
        <w:t>, “</w:t>
      </w:r>
      <w:r w:rsidR="004E5E25" w:rsidRPr="002944D8">
        <w:rPr>
          <w:rFonts w:ascii="Gadugi" w:eastAsia="Calibri" w:hAnsi="Gadugi" w:cs="Times New Roman"/>
          <w:i/>
          <w:sz w:val="24"/>
          <w:szCs w:val="24"/>
        </w:rPr>
        <w:t xml:space="preserve">validez de la totalidad </w:t>
      </w:r>
      <w:r w:rsidR="004E5E25" w:rsidRPr="002944D8">
        <w:rPr>
          <w:rFonts w:ascii="Gadugi" w:eastAsia="Calibri" w:hAnsi="Gadugi" w:cs="Times New Roman"/>
          <w:i/>
          <w:sz w:val="24"/>
          <w:szCs w:val="24"/>
        </w:rPr>
        <w:lastRenderedPageBreak/>
        <w:t>del acto de la liquidación de la sociedad conyugal</w:t>
      </w:r>
      <w:r w:rsidR="004E5E25" w:rsidRPr="002944D8">
        <w:rPr>
          <w:rFonts w:ascii="Gadugi" w:eastAsia="Calibri" w:hAnsi="Gadugi" w:cs="Times New Roman"/>
          <w:sz w:val="24"/>
          <w:szCs w:val="24"/>
        </w:rPr>
        <w:t>” y “</w:t>
      </w:r>
      <w:r w:rsidR="004E5E25" w:rsidRPr="002944D8">
        <w:rPr>
          <w:rFonts w:ascii="Gadugi" w:eastAsia="Calibri" w:hAnsi="Gadugi" w:cs="Times New Roman"/>
          <w:i/>
          <w:sz w:val="24"/>
          <w:szCs w:val="24"/>
        </w:rPr>
        <w:t>carencia de facultades del apoderado para pedir nulidad del poder</w:t>
      </w:r>
      <w:r w:rsidR="004E5E25" w:rsidRPr="002944D8">
        <w:rPr>
          <w:rFonts w:ascii="Gadugi" w:eastAsia="Calibri" w:hAnsi="Gadugi" w:cs="Times New Roman"/>
          <w:sz w:val="24"/>
          <w:szCs w:val="24"/>
        </w:rPr>
        <w:t>”</w:t>
      </w:r>
      <w:r w:rsidR="00126533" w:rsidRPr="002944D8">
        <w:rPr>
          <w:rFonts w:ascii="Gadugi" w:eastAsia="Calibri" w:hAnsi="Gadugi" w:cs="Times New Roman"/>
          <w:sz w:val="24"/>
          <w:szCs w:val="24"/>
        </w:rPr>
        <w:t>.</w:t>
      </w:r>
      <w:r w:rsidR="00A92994" w:rsidRPr="002944D8">
        <w:rPr>
          <w:rStyle w:val="Refdenotaalpie"/>
          <w:rFonts w:ascii="Gadugi" w:eastAsia="Calibri" w:hAnsi="Gadugi" w:cs="Times New Roman"/>
          <w:sz w:val="24"/>
          <w:szCs w:val="24"/>
        </w:rPr>
        <w:footnoteReference w:id="3"/>
      </w:r>
    </w:p>
    <w:p w14:paraId="11824193" w14:textId="4E0B63E3" w:rsidR="004E5E25" w:rsidRPr="002944D8" w:rsidRDefault="004E5E25" w:rsidP="002944D8">
      <w:pPr>
        <w:spacing w:after="0" w:line="276" w:lineRule="auto"/>
        <w:jc w:val="both"/>
        <w:rPr>
          <w:rFonts w:ascii="Gadugi" w:eastAsia="Calibri" w:hAnsi="Gadugi" w:cs="Times New Roman"/>
          <w:sz w:val="24"/>
          <w:szCs w:val="24"/>
        </w:rPr>
      </w:pPr>
    </w:p>
    <w:p w14:paraId="2603CA37" w14:textId="6A279300" w:rsidR="004E5E25" w:rsidRPr="002944D8" w:rsidRDefault="004E5E2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1.3.3. Con auto del 7 de octubre de 20</w:t>
      </w:r>
      <w:r w:rsidR="00126533" w:rsidRPr="002944D8">
        <w:rPr>
          <w:rFonts w:ascii="Gadugi" w:eastAsia="Calibri" w:hAnsi="Gadugi" w:cs="Times New Roman"/>
          <w:sz w:val="24"/>
          <w:szCs w:val="24"/>
        </w:rPr>
        <w:t>19</w:t>
      </w:r>
      <w:r w:rsidRPr="002944D8">
        <w:rPr>
          <w:rFonts w:ascii="Gadugi" w:eastAsia="Calibri" w:hAnsi="Gadugi" w:cs="Times New Roman"/>
          <w:sz w:val="24"/>
          <w:szCs w:val="24"/>
        </w:rPr>
        <w:t>, este proceso se acumuló al identificado con el radicado 661703110001201900</w:t>
      </w:r>
      <w:r w:rsidR="00025E35" w:rsidRPr="002944D8">
        <w:rPr>
          <w:rFonts w:ascii="Gadugi" w:eastAsia="Calibri" w:hAnsi="Gadugi" w:cs="Times New Roman"/>
          <w:sz w:val="24"/>
          <w:szCs w:val="24"/>
        </w:rPr>
        <w:t>556</w:t>
      </w:r>
      <w:r w:rsidRPr="002944D8">
        <w:rPr>
          <w:rFonts w:ascii="Gadugi" w:eastAsia="Calibri" w:hAnsi="Gadugi" w:cs="Times New Roman"/>
          <w:sz w:val="24"/>
          <w:szCs w:val="24"/>
        </w:rPr>
        <w:t>0</w:t>
      </w:r>
      <w:r w:rsidR="00025E35" w:rsidRPr="002944D8">
        <w:rPr>
          <w:rFonts w:ascii="Gadugi" w:eastAsia="Calibri" w:hAnsi="Gadugi" w:cs="Times New Roman"/>
          <w:sz w:val="24"/>
          <w:szCs w:val="24"/>
        </w:rPr>
        <w:t>0</w:t>
      </w:r>
      <w:r w:rsidRPr="002944D8">
        <w:rPr>
          <w:rFonts w:ascii="Gadugi" w:eastAsia="Calibri" w:hAnsi="Gadugi" w:cs="Times New Roman"/>
          <w:sz w:val="24"/>
          <w:szCs w:val="24"/>
        </w:rPr>
        <w:t xml:space="preserve">, iniciado por el otro hijo de Gutiérrez González, señor Juan Guillermo Gutiérrez Naranjo contra la misma </w:t>
      </w:r>
      <w:r w:rsidR="00025E35" w:rsidRPr="002944D8">
        <w:rPr>
          <w:rFonts w:ascii="Gadugi" w:eastAsia="Calibri" w:hAnsi="Gadugi" w:cs="Times New Roman"/>
          <w:sz w:val="24"/>
          <w:szCs w:val="24"/>
        </w:rPr>
        <w:t>demandada</w:t>
      </w:r>
      <w:r w:rsidRPr="002944D8">
        <w:rPr>
          <w:rFonts w:ascii="Gadugi" w:eastAsia="Calibri" w:hAnsi="Gadugi" w:cs="Times New Roman"/>
          <w:sz w:val="24"/>
          <w:szCs w:val="24"/>
        </w:rPr>
        <w:t xml:space="preserve"> en este asunto, sin embargo, con proveído del 17 de </w:t>
      </w:r>
      <w:r w:rsidR="00126533" w:rsidRPr="002944D8">
        <w:rPr>
          <w:rFonts w:ascii="Gadugi" w:eastAsia="Calibri" w:hAnsi="Gadugi" w:cs="Times New Roman"/>
          <w:sz w:val="24"/>
          <w:szCs w:val="24"/>
        </w:rPr>
        <w:t xml:space="preserve">septiembre de 2017 se decretó la terminación de ese </w:t>
      </w:r>
      <w:r w:rsidR="00FD00C5" w:rsidRPr="002944D8">
        <w:rPr>
          <w:rFonts w:ascii="Gadugi" w:eastAsia="Calibri" w:hAnsi="Gadugi" w:cs="Times New Roman"/>
          <w:sz w:val="24"/>
          <w:szCs w:val="24"/>
        </w:rPr>
        <w:t>asunto</w:t>
      </w:r>
      <w:r w:rsidR="00126533" w:rsidRPr="002944D8">
        <w:rPr>
          <w:rFonts w:ascii="Gadugi" w:eastAsia="Calibri" w:hAnsi="Gadugi" w:cs="Times New Roman"/>
          <w:sz w:val="24"/>
          <w:szCs w:val="24"/>
        </w:rPr>
        <w:t>, debido a una conciliación suscrita entre las partes</w:t>
      </w:r>
      <w:r w:rsidR="00DB5AF6" w:rsidRPr="002944D8">
        <w:rPr>
          <w:rFonts w:ascii="Gadugi" w:eastAsia="Calibri" w:hAnsi="Gadugi" w:cs="Times New Roman"/>
          <w:sz w:val="24"/>
          <w:szCs w:val="24"/>
        </w:rPr>
        <w:t>. E</w:t>
      </w:r>
      <w:r w:rsidR="00126533" w:rsidRPr="002944D8">
        <w:rPr>
          <w:rFonts w:ascii="Gadugi" w:eastAsia="Calibri" w:hAnsi="Gadugi" w:cs="Times New Roman"/>
          <w:sz w:val="24"/>
          <w:szCs w:val="24"/>
        </w:rPr>
        <w:t>n ese mismo auto, se dispuso continuar solamente con el litigio entre Stephanie Gutiérrez Arango y Gloria Cristina Restrepo Díaz.</w:t>
      </w:r>
      <w:r w:rsidR="00D42CFD" w:rsidRPr="002944D8">
        <w:rPr>
          <w:rStyle w:val="Refdenotaalpie"/>
          <w:rFonts w:ascii="Gadugi" w:eastAsia="Calibri" w:hAnsi="Gadugi" w:cs="Times New Roman"/>
          <w:sz w:val="24"/>
          <w:szCs w:val="24"/>
        </w:rPr>
        <w:footnoteReference w:id="4"/>
      </w:r>
      <w:r w:rsidR="00126533" w:rsidRPr="002944D8">
        <w:rPr>
          <w:rFonts w:ascii="Gadugi" w:eastAsia="Calibri" w:hAnsi="Gadugi" w:cs="Times New Roman"/>
          <w:sz w:val="24"/>
          <w:szCs w:val="24"/>
        </w:rPr>
        <w:t xml:space="preserve"> </w:t>
      </w:r>
    </w:p>
    <w:p w14:paraId="28DDF3BA" w14:textId="77777777" w:rsidR="000840BE" w:rsidRDefault="000840BE" w:rsidP="002944D8">
      <w:pPr>
        <w:spacing w:after="0" w:line="276" w:lineRule="auto"/>
        <w:jc w:val="both"/>
        <w:rPr>
          <w:rFonts w:ascii="Gadugi" w:eastAsia="Calibri" w:hAnsi="Gadugi" w:cs="Times New Roman"/>
          <w:sz w:val="24"/>
          <w:szCs w:val="24"/>
        </w:rPr>
      </w:pPr>
    </w:p>
    <w:p w14:paraId="561A4FE0" w14:textId="3C65CFB4" w:rsidR="00FB7024" w:rsidRPr="002944D8" w:rsidRDefault="00866646"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1.3.4. Mediante proveído del 13 de mayo se decretaron las pruebas del caso, y en audiencias celebradas el 16 de junio y el 6 de julio de 2021, se agotaron las etapas procesales consagradas en los artículos 372 y 373 del CGP y se profirió la respectiva sentencia.</w:t>
      </w:r>
      <w:r w:rsidR="00D42CFD" w:rsidRPr="002944D8">
        <w:rPr>
          <w:rStyle w:val="Refdenotaalpie"/>
          <w:rFonts w:ascii="Gadugi" w:eastAsia="Calibri" w:hAnsi="Gadugi" w:cs="Times New Roman"/>
          <w:sz w:val="24"/>
          <w:szCs w:val="24"/>
        </w:rPr>
        <w:footnoteReference w:id="5"/>
      </w:r>
      <w:r w:rsidRPr="002944D8">
        <w:rPr>
          <w:rFonts w:ascii="Gadugi" w:eastAsia="Calibri" w:hAnsi="Gadugi" w:cs="Times New Roman"/>
          <w:sz w:val="24"/>
          <w:szCs w:val="24"/>
        </w:rPr>
        <w:t xml:space="preserve"> </w:t>
      </w:r>
    </w:p>
    <w:p w14:paraId="5702B353" w14:textId="77777777" w:rsidR="00FB7024" w:rsidRPr="002944D8" w:rsidRDefault="00FB7024" w:rsidP="002944D8">
      <w:pPr>
        <w:spacing w:after="0" w:line="276" w:lineRule="auto"/>
        <w:jc w:val="both"/>
        <w:rPr>
          <w:rFonts w:ascii="Gadugi" w:eastAsia="Calibri" w:hAnsi="Gadugi" w:cs="Times New Roman"/>
          <w:sz w:val="24"/>
          <w:szCs w:val="24"/>
        </w:rPr>
      </w:pPr>
    </w:p>
    <w:p w14:paraId="0E34076C" w14:textId="76BB68B0" w:rsidR="00BD6A47" w:rsidRPr="002944D8" w:rsidRDefault="00380199" w:rsidP="002944D8">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b/>
          <w:sz w:val="24"/>
          <w:szCs w:val="24"/>
        </w:rPr>
      </w:pPr>
      <w:r w:rsidRPr="002944D8">
        <w:rPr>
          <w:rFonts w:ascii="Gadugi" w:eastAsia="Calibri" w:hAnsi="Gadugi" w:cs="Times New Roman"/>
          <w:b/>
          <w:sz w:val="24"/>
          <w:szCs w:val="24"/>
        </w:rPr>
        <w:t>La sentencia de primer grado.</w:t>
      </w:r>
      <w:r w:rsidR="00D42CFD" w:rsidRPr="002944D8">
        <w:rPr>
          <w:rStyle w:val="Refdenotaalpie"/>
          <w:rFonts w:ascii="Gadugi" w:eastAsia="Calibri" w:hAnsi="Gadugi" w:cs="Times New Roman"/>
          <w:b/>
          <w:sz w:val="24"/>
          <w:szCs w:val="24"/>
        </w:rPr>
        <w:footnoteReference w:id="6"/>
      </w:r>
    </w:p>
    <w:p w14:paraId="7D0D6F21" w14:textId="78D563E0" w:rsidR="00BD6A47" w:rsidRPr="002944D8" w:rsidRDefault="00BD6A47"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ab/>
      </w:r>
      <w:r w:rsidRPr="002944D8">
        <w:rPr>
          <w:rFonts w:ascii="Gadugi" w:eastAsia="Calibri" w:hAnsi="Gadugi" w:cs="Times New Roman"/>
          <w:sz w:val="24"/>
          <w:szCs w:val="24"/>
        </w:rPr>
        <w:tab/>
      </w:r>
      <w:r w:rsidRPr="002944D8">
        <w:rPr>
          <w:rFonts w:ascii="Gadugi" w:eastAsia="Calibri" w:hAnsi="Gadugi" w:cs="Times New Roman"/>
          <w:sz w:val="24"/>
          <w:szCs w:val="24"/>
        </w:rPr>
        <w:tab/>
      </w:r>
    </w:p>
    <w:p w14:paraId="71E01EAC" w14:textId="1FEE3903" w:rsidR="00064B08" w:rsidRPr="002944D8" w:rsidRDefault="00866646"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Se negaron las pretensiones de la demanda, </w:t>
      </w:r>
      <w:r w:rsidR="00B944F5" w:rsidRPr="002944D8">
        <w:rPr>
          <w:rFonts w:ascii="Gadugi" w:eastAsia="Calibri" w:hAnsi="Gadugi" w:cs="Times New Roman"/>
          <w:sz w:val="24"/>
          <w:szCs w:val="24"/>
        </w:rPr>
        <w:t>por las siguientes razones</w:t>
      </w:r>
      <w:r w:rsidR="0013360A" w:rsidRPr="002944D8">
        <w:rPr>
          <w:rFonts w:ascii="Gadugi" w:eastAsia="Calibri" w:hAnsi="Gadugi" w:cs="Times New Roman"/>
          <w:sz w:val="24"/>
          <w:szCs w:val="24"/>
        </w:rPr>
        <w:t>:</w:t>
      </w:r>
    </w:p>
    <w:p w14:paraId="76D93A7B" w14:textId="77777777" w:rsidR="00064B08" w:rsidRPr="002944D8" w:rsidRDefault="00064B08" w:rsidP="002944D8">
      <w:pPr>
        <w:spacing w:after="0" w:line="276" w:lineRule="auto"/>
        <w:jc w:val="both"/>
        <w:rPr>
          <w:rFonts w:ascii="Gadugi" w:eastAsia="Calibri" w:hAnsi="Gadugi" w:cs="Times New Roman"/>
          <w:sz w:val="24"/>
          <w:szCs w:val="24"/>
        </w:rPr>
      </w:pPr>
    </w:p>
    <w:p w14:paraId="50FC6C75" w14:textId="56E07C10" w:rsidR="00AD57B6" w:rsidRPr="002944D8" w:rsidRDefault="00B4076B"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(i) </w:t>
      </w:r>
      <w:r w:rsidR="00B944F5" w:rsidRPr="002944D8">
        <w:rPr>
          <w:rFonts w:ascii="Gadugi" w:eastAsia="Calibri" w:hAnsi="Gadugi" w:cs="Times New Roman"/>
          <w:sz w:val="24"/>
          <w:szCs w:val="24"/>
        </w:rPr>
        <w:t>Se descartó que hubiera existido una</w:t>
      </w:r>
      <w:r w:rsidR="0013360A" w:rsidRPr="002944D8">
        <w:rPr>
          <w:rFonts w:ascii="Gadugi" w:eastAsia="Calibri" w:hAnsi="Gadugi" w:cs="Times New Roman"/>
          <w:sz w:val="24"/>
          <w:szCs w:val="24"/>
        </w:rPr>
        <w:t xml:space="preserve"> donación, </w:t>
      </w:r>
      <w:r w:rsidR="00B944F5" w:rsidRPr="002944D8">
        <w:rPr>
          <w:rFonts w:ascii="Gadugi" w:eastAsia="Calibri" w:hAnsi="Gadugi" w:cs="Times New Roman"/>
          <w:sz w:val="24"/>
          <w:szCs w:val="24"/>
        </w:rPr>
        <w:t xml:space="preserve">y se concluyó que lo que ocurrió fue una disolución y liquidación conyugal, con renuncia a gananciales </w:t>
      </w:r>
      <w:r w:rsidR="005C4A8C" w:rsidRPr="002944D8">
        <w:rPr>
          <w:rFonts w:ascii="Gadugi" w:eastAsia="Calibri" w:hAnsi="Gadugi" w:cs="Times New Roman"/>
          <w:sz w:val="24"/>
          <w:szCs w:val="24"/>
        </w:rPr>
        <w:t>por parte de</w:t>
      </w:r>
      <w:r w:rsidR="00B944F5" w:rsidRPr="002944D8">
        <w:rPr>
          <w:rFonts w:ascii="Gadugi" w:eastAsia="Calibri" w:hAnsi="Gadugi" w:cs="Times New Roman"/>
          <w:sz w:val="24"/>
          <w:szCs w:val="24"/>
        </w:rPr>
        <w:t xml:space="preserve"> uno de los cónyuges, </w:t>
      </w:r>
      <w:r w:rsidR="0013360A" w:rsidRPr="002944D8">
        <w:rPr>
          <w:rFonts w:ascii="Gadugi" w:eastAsia="Calibri" w:hAnsi="Gadugi" w:cs="Times New Roman"/>
          <w:sz w:val="24"/>
          <w:szCs w:val="24"/>
        </w:rPr>
        <w:t xml:space="preserve">pues lo primero </w:t>
      </w:r>
      <w:r w:rsidR="00B944F5" w:rsidRPr="002944D8">
        <w:rPr>
          <w:rFonts w:ascii="Gadugi" w:eastAsia="Calibri" w:hAnsi="Gadugi" w:cs="Times New Roman"/>
          <w:sz w:val="24"/>
          <w:szCs w:val="24"/>
        </w:rPr>
        <w:t xml:space="preserve">es un acto bilateral, y lo segundo es una decisión unilateral, </w:t>
      </w:r>
      <w:r w:rsidR="005C4A8C" w:rsidRPr="002944D8">
        <w:rPr>
          <w:rFonts w:ascii="Gadugi" w:eastAsia="Calibri" w:hAnsi="Gadugi" w:cs="Times New Roman"/>
          <w:sz w:val="24"/>
          <w:szCs w:val="24"/>
        </w:rPr>
        <w:t xml:space="preserve">y en este caso, le resultó evidente que la voluntad de </w:t>
      </w:r>
      <w:r w:rsidR="002D5C30" w:rsidRPr="002944D8">
        <w:rPr>
          <w:rFonts w:ascii="Gadugi" w:eastAsia="Calibri" w:hAnsi="Gadugi" w:cs="Times New Roman"/>
          <w:sz w:val="24"/>
          <w:szCs w:val="24"/>
        </w:rPr>
        <w:t>los esposos</w:t>
      </w:r>
      <w:r w:rsidR="005C4A8C" w:rsidRPr="002944D8">
        <w:rPr>
          <w:rFonts w:ascii="Gadugi" w:eastAsia="Calibri" w:hAnsi="Gadugi" w:cs="Times New Roman"/>
          <w:sz w:val="24"/>
          <w:szCs w:val="24"/>
        </w:rPr>
        <w:t xml:space="preserve"> era liquidar y disolver la sociedad conyugal. </w:t>
      </w:r>
    </w:p>
    <w:p w14:paraId="634D7DE2" w14:textId="44C1F9F3" w:rsidR="005C4A8C" w:rsidRPr="002944D8" w:rsidRDefault="005C4A8C" w:rsidP="002944D8">
      <w:pPr>
        <w:spacing w:after="0" w:line="276" w:lineRule="auto"/>
        <w:jc w:val="both"/>
        <w:rPr>
          <w:rFonts w:ascii="Gadugi" w:eastAsia="Malgun Gothic" w:hAnsi="Gadugi" w:cs="Estrangelo Edessa"/>
          <w:bCs/>
          <w:sz w:val="24"/>
          <w:szCs w:val="24"/>
        </w:rPr>
      </w:pPr>
    </w:p>
    <w:p w14:paraId="609EC8B3" w14:textId="7B4DDC84" w:rsidR="005C4A8C" w:rsidRPr="002944D8" w:rsidRDefault="005C4A8C" w:rsidP="002944D8">
      <w:pPr>
        <w:spacing w:after="0" w:line="276" w:lineRule="auto"/>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(ii) </w:t>
      </w:r>
      <w:r w:rsidR="002D5C30" w:rsidRPr="002944D8">
        <w:rPr>
          <w:rFonts w:ascii="Gadugi" w:eastAsia="Malgun Gothic" w:hAnsi="Gadugi" w:cs="Estrangelo Edessa"/>
          <w:bCs/>
          <w:sz w:val="24"/>
          <w:szCs w:val="24"/>
        </w:rPr>
        <w:t xml:space="preserve">De las pruebas se extrajo que, si bien en el poder se escribió que el lugar donde se firmó el poder para que al abogado adelantara la liquidación y disolución de la sociedad conyugal, fue un barrio en Dosquebradas, lo cierto es que para cuando dicho acto se suscribió el poderdante estaba internado en la Clínica San Rafael de Pereira. </w:t>
      </w:r>
    </w:p>
    <w:p w14:paraId="7511B1C1" w14:textId="42DD386B" w:rsidR="002D5C30" w:rsidRPr="002944D8" w:rsidRDefault="002D5C30" w:rsidP="002944D8">
      <w:pPr>
        <w:spacing w:after="0" w:line="276" w:lineRule="auto"/>
        <w:jc w:val="both"/>
        <w:rPr>
          <w:rFonts w:ascii="Gadugi" w:eastAsia="Malgun Gothic" w:hAnsi="Gadugi" w:cs="Estrangelo Edessa"/>
          <w:bCs/>
          <w:sz w:val="24"/>
          <w:szCs w:val="24"/>
        </w:rPr>
      </w:pPr>
    </w:p>
    <w:p w14:paraId="3BCA2BBA" w14:textId="5BCAD5F4" w:rsidR="002D5C30" w:rsidRDefault="002D5C30" w:rsidP="002944D8">
      <w:pPr>
        <w:spacing w:after="0" w:line="276" w:lineRule="auto"/>
        <w:jc w:val="both"/>
        <w:rPr>
          <w:rFonts w:ascii="Gadugi" w:eastAsia="Malgun Gothic" w:hAnsi="Gadugi" w:cs="Estrangelo Edessa"/>
          <w:bCs/>
          <w:sz w:val="24"/>
          <w:szCs w:val="24"/>
        </w:rPr>
      </w:pPr>
      <w:r w:rsidRPr="002944D8">
        <w:rPr>
          <w:rFonts w:ascii="Gadugi" w:eastAsia="Malgun Gothic" w:hAnsi="Gadugi" w:cs="Estrangelo Edessa"/>
          <w:bCs/>
          <w:sz w:val="24"/>
          <w:szCs w:val="24"/>
        </w:rPr>
        <w:t>(iii)</w:t>
      </w:r>
      <w:r w:rsidR="00D52787" w:rsidRPr="002944D8">
        <w:rPr>
          <w:rFonts w:ascii="Gadugi" w:eastAsia="Malgun Gothic" w:hAnsi="Gadugi" w:cs="Estrangelo Edessa"/>
          <w:bCs/>
          <w:sz w:val="24"/>
          <w:szCs w:val="24"/>
        </w:rPr>
        <w:t xml:space="preserve"> También se concluyó que el señor Juan Carlos Gutiérrez González estaba en la libertad y </w:t>
      </w:r>
      <w:r w:rsidR="006E45F4" w:rsidRPr="002944D8">
        <w:rPr>
          <w:rFonts w:ascii="Gadugi" w:eastAsia="Malgun Gothic" w:hAnsi="Gadugi" w:cs="Estrangelo Edessa"/>
          <w:bCs/>
          <w:sz w:val="24"/>
          <w:szCs w:val="24"/>
        </w:rPr>
        <w:t xml:space="preserve">tenía </w:t>
      </w:r>
      <w:r w:rsidR="00D52787" w:rsidRPr="002944D8">
        <w:rPr>
          <w:rFonts w:ascii="Gadugi" w:eastAsia="Malgun Gothic" w:hAnsi="Gadugi" w:cs="Estrangelo Edessa"/>
          <w:bCs/>
          <w:sz w:val="24"/>
          <w:szCs w:val="24"/>
        </w:rPr>
        <w:t xml:space="preserve">el derecho, por un lado, </w:t>
      </w:r>
      <w:r w:rsidR="00DB5AF6" w:rsidRPr="002944D8">
        <w:rPr>
          <w:rFonts w:ascii="Gadugi" w:eastAsia="Malgun Gothic" w:hAnsi="Gadugi" w:cs="Estrangelo Edessa"/>
          <w:bCs/>
          <w:sz w:val="24"/>
          <w:szCs w:val="24"/>
        </w:rPr>
        <w:t>de</w:t>
      </w:r>
      <w:r w:rsidR="00D52787" w:rsidRPr="002944D8">
        <w:rPr>
          <w:rFonts w:ascii="Gadugi" w:eastAsia="Malgun Gothic" w:hAnsi="Gadugi" w:cs="Estrangelo Edessa"/>
          <w:bCs/>
          <w:sz w:val="24"/>
          <w:szCs w:val="24"/>
        </w:rPr>
        <w:t xml:space="preserve"> incluir en la sociedad conyugal bienes propios, y por otro, </w:t>
      </w:r>
      <w:r w:rsidR="00FD00C5" w:rsidRPr="002944D8">
        <w:rPr>
          <w:rFonts w:ascii="Gadugi" w:eastAsia="Malgun Gothic" w:hAnsi="Gadugi" w:cs="Estrangelo Edessa"/>
          <w:bCs/>
          <w:sz w:val="24"/>
          <w:szCs w:val="24"/>
        </w:rPr>
        <w:t>de</w:t>
      </w:r>
      <w:r w:rsidR="00D52787" w:rsidRPr="002944D8">
        <w:rPr>
          <w:rFonts w:ascii="Gadugi" w:eastAsia="Malgun Gothic" w:hAnsi="Gadugi" w:cs="Estrangelo Edessa"/>
          <w:bCs/>
          <w:sz w:val="24"/>
          <w:szCs w:val="24"/>
        </w:rPr>
        <w:t xml:space="preserve"> renunciar a sus gananciales, sin que ello se hubiera hecho, necesariamente, con la intención de defraudar a terceros, </w:t>
      </w:r>
      <w:r w:rsidR="006E45F4" w:rsidRPr="002944D8">
        <w:rPr>
          <w:rFonts w:ascii="Gadugi" w:eastAsia="Malgun Gothic" w:hAnsi="Gadugi" w:cs="Estrangelo Edessa"/>
          <w:bCs/>
          <w:sz w:val="24"/>
          <w:szCs w:val="24"/>
        </w:rPr>
        <w:t>lo cual, en todo caso,</w:t>
      </w:r>
      <w:r w:rsidR="00D52787" w:rsidRPr="002944D8">
        <w:rPr>
          <w:rFonts w:ascii="Gadugi" w:eastAsia="Malgun Gothic" w:hAnsi="Gadugi" w:cs="Estrangelo Edessa"/>
          <w:bCs/>
          <w:sz w:val="24"/>
          <w:szCs w:val="24"/>
        </w:rPr>
        <w:t xml:space="preserve"> no quedó demostrado.</w:t>
      </w:r>
    </w:p>
    <w:p w14:paraId="125E412A" w14:textId="77777777" w:rsidR="007963FD" w:rsidRPr="002944D8" w:rsidRDefault="007963FD" w:rsidP="002944D8">
      <w:pPr>
        <w:spacing w:after="0" w:line="276" w:lineRule="auto"/>
        <w:jc w:val="both"/>
        <w:rPr>
          <w:rFonts w:ascii="Gadugi" w:eastAsia="Malgun Gothic" w:hAnsi="Gadugi" w:cs="Estrangelo Edessa"/>
          <w:bCs/>
          <w:sz w:val="24"/>
          <w:szCs w:val="24"/>
        </w:rPr>
      </w:pPr>
    </w:p>
    <w:p w14:paraId="452E58F7" w14:textId="5FFD3A2C" w:rsidR="00D52787" w:rsidRPr="002944D8" w:rsidRDefault="00D52787" w:rsidP="002944D8">
      <w:pPr>
        <w:spacing w:after="0" w:line="276" w:lineRule="auto"/>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(iv) Finalmente, </w:t>
      </w:r>
      <w:r w:rsidR="006E45F4" w:rsidRPr="002944D8">
        <w:rPr>
          <w:rFonts w:ascii="Gadugi" w:eastAsia="Malgun Gothic" w:hAnsi="Gadugi" w:cs="Estrangelo Edessa"/>
          <w:bCs/>
          <w:sz w:val="24"/>
          <w:szCs w:val="24"/>
        </w:rPr>
        <w:t xml:space="preserve">se explicó que, una cosa es la nulidad de la escritura pública, lo cual está delimitado por el artículo 99 del Decreto 960 de 1970, y otra, la nulidad de un </w:t>
      </w:r>
      <w:r w:rsidR="006E45F4" w:rsidRPr="002944D8">
        <w:rPr>
          <w:rFonts w:ascii="Gadugi" w:eastAsia="Malgun Gothic" w:hAnsi="Gadugi" w:cs="Estrangelo Edessa"/>
          <w:bCs/>
          <w:sz w:val="24"/>
          <w:szCs w:val="24"/>
        </w:rPr>
        <w:lastRenderedPageBreak/>
        <w:t xml:space="preserve">contrato y lo que en él se estipule, de ahí que, al no darse las condiciones del artículo 99 citado, devenga la improsperidad de la nulidad reclamada. </w:t>
      </w:r>
    </w:p>
    <w:p w14:paraId="715EC16C" w14:textId="77777777" w:rsidR="00E44188" w:rsidRPr="002944D8" w:rsidRDefault="00E44188" w:rsidP="002944D8">
      <w:pPr>
        <w:spacing w:after="0" w:line="276" w:lineRule="auto"/>
        <w:jc w:val="both"/>
        <w:rPr>
          <w:rFonts w:ascii="Gadugi" w:eastAsia="Calibri" w:hAnsi="Gadugi" w:cs="Times New Roman"/>
          <w:sz w:val="24"/>
          <w:szCs w:val="24"/>
        </w:rPr>
      </w:pPr>
    </w:p>
    <w:p w14:paraId="02F67AB3" w14:textId="6E910257" w:rsidR="00FE6EB6" w:rsidRPr="002944D8" w:rsidRDefault="00E44188" w:rsidP="002944D8">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sz w:val="24"/>
          <w:szCs w:val="24"/>
        </w:rPr>
      </w:pPr>
      <w:r w:rsidRPr="002944D8">
        <w:rPr>
          <w:rFonts w:ascii="Gadugi" w:eastAsia="Calibri" w:hAnsi="Gadugi" w:cs="Times New Roman"/>
          <w:b/>
          <w:bCs/>
          <w:sz w:val="24"/>
          <w:szCs w:val="24"/>
        </w:rPr>
        <w:t>El recurso de apelación</w:t>
      </w:r>
      <w:r w:rsidRPr="002944D8">
        <w:rPr>
          <w:rFonts w:ascii="Gadugi" w:eastAsia="Calibri" w:hAnsi="Gadugi" w:cs="Times New Roman"/>
          <w:sz w:val="24"/>
          <w:szCs w:val="24"/>
        </w:rPr>
        <w:t>.</w:t>
      </w:r>
      <w:r w:rsidR="00D42CFD" w:rsidRPr="002944D8">
        <w:rPr>
          <w:rStyle w:val="Refdenotaalpie"/>
          <w:rFonts w:ascii="Gadugi" w:eastAsia="Calibri" w:hAnsi="Gadugi" w:cs="Times New Roman"/>
          <w:sz w:val="24"/>
          <w:szCs w:val="24"/>
        </w:rPr>
        <w:footnoteReference w:id="7"/>
      </w:r>
      <w:r w:rsidRPr="002944D8">
        <w:rPr>
          <w:rFonts w:ascii="Gadugi" w:eastAsia="Calibri" w:hAnsi="Gadugi" w:cs="Times New Roman"/>
          <w:sz w:val="24"/>
          <w:szCs w:val="24"/>
        </w:rPr>
        <w:t xml:space="preserve"> </w:t>
      </w:r>
      <w:r w:rsidR="00FE6EB6" w:rsidRPr="002944D8">
        <w:rPr>
          <w:rFonts w:ascii="Gadugi" w:eastAsia="Calibri" w:hAnsi="Gadugi" w:cs="Times New Roman"/>
          <w:sz w:val="24"/>
          <w:szCs w:val="24"/>
        </w:rPr>
        <w:t xml:space="preserve"> </w:t>
      </w:r>
    </w:p>
    <w:p w14:paraId="237C2497" w14:textId="1E2A466A" w:rsidR="00B96D16" w:rsidRPr="002944D8" w:rsidRDefault="00B96D16" w:rsidP="002944D8">
      <w:pPr>
        <w:spacing w:after="0" w:line="276" w:lineRule="auto"/>
        <w:jc w:val="both"/>
        <w:rPr>
          <w:rFonts w:ascii="Gadugi" w:eastAsia="Calibri" w:hAnsi="Gadugi" w:cs="Times New Roman"/>
          <w:sz w:val="24"/>
          <w:szCs w:val="24"/>
        </w:rPr>
      </w:pPr>
    </w:p>
    <w:p w14:paraId="1601418B" w14:textId="3158FC14" w:rsidR="00043505" w:rsidRPr="002944D8" w:rsidRDefault="00AE315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1.5.1. </w:t>
      </w:r>
      <w:r w:rsidR="00E44188" w:rsidRPr="002944D8">
        <w:rPr>
          <w:rFonts w:ascii="Gadugi" w:eastAsia="Calibri" w:hAnsi="Gadugi" w:cs="Times New Roman"/>
          <w:sz w:val="24"/>
          <w:szCs w:val="24"/>
        </w:rPr>
        <w:t xml:space="preserve">Fue interpuesto por la parte </w:t>
      </w:r>
      <w:r w:rsidR="00EE78EA" w:rsidRPr="002944D8">
        <w:rPr>
          <w:rFonts w:ascii="Gadugi" w:eastAsia="Calibri" w:hAnsi="Gadugi" w:cs="Times New Roman"/>
          <w:sz w:val="24"/>
          <w:szCs w:val="24"/>
        </w:rPr>
        <w:t xml:space="preserve">demandante </w:t>
      </w:r>
      <w:r w:rsidR="00E44188" w:rsidRPr="002944D8">
        <w:rPr>
          <w:rFonts w:ascii="Gadugi" w:eastAsia="Calibri" w:hAnsi="Gadugi" w:cs="Times New Roman"/>
          <w:sz w:val="24"/>
          <w:szCs w:val="24"/>
        </w:rPr>
        <w:t>durante la audiencia</w:t>
      </w:r>
      <w:r w:rsidR="00EE78EA" w:rsidRPr="002944D8">
        <w:rPr>
          <w:rFonts w:ascii="Gadugi" w:eastAsia="Calibri" w:hAnsi="Gadugi" w:cs="Times New Roman"/>
          <w:sz w:val="24"/>
          <w:szCs w:val="24"/>
        </w:rPr>
        <w:t>, y los reparos se allegaron oportunamente</w:t>
      </w:r>
      <w:r w:rsidR="006A7A89" w:rsidRPr="002944D8">
        <w:rPr>
          <w:rFonts w:ascii="Gadugi" w:eastAsia="Calibri" w:hAnsi="Gadugi" w:cs="Times New Roman"/>
          <w:sz w:val="24"/>
          <w:szCs w:val="24"/>
        </w:rPr>
        <w:t>. Del</w:t>
      </w:r>
      <w:r w:rsidR="00043505" w:rsidRPr="002944D8">
        <w:rPr>
          <w:rFonts w:ascii="Gadugi" w:eastAsia="Calibri" w:hAnsi="Gadugi" w:cs="Times New Roman"/>
          <w:sz w:val="24"/>
          <w:szCs w:val="24"/>
        </w:rPr>
        <w:t xml:space="preserve"> fallo se reprocha que</w:t>
      </w:r>
      <w:r w:rsidR="00674EEF" w:rsidRPr="002944D8">
        <w:rPr>
          <w:rFonts w:ascii="Gadugi" w:eastAsia="Calibri" w:hAnsi="Gadugi" w:cs="Times New Roman"/>
          <w:sz w:val="24"/>
          <w:szCs w:val="24"/>
        </w:rPr>
        <w:t>:</w:t>
      </w:r>
    </w:p>
    <w:p w14:paraId="04A014EF" w14:textId="77777777" w:rsidR="00043505" w:rsidRPr="002944D8" w:rsidRDefault="00043505" w:rsidP="002944D8">
      <w:pPr>
        <w:spacing w:after="0" w:line="276" w:lineRule="auto"/>
        <w:jc w:val="both"/>
        <w:rPr>
          <w:rFonts w:ascii="Gadugi" w:eastAsia="Calibri" w:hAnsi="Gadugi" w:cs="Times New Roman"/>
          <w:sz w:val="24"/>
          <w:szCs w:val="24"/>
        </w:rPr>
      </w:pPr>
    </w:p>
    <w:p w14:paraId="4F2BD326" w14:textId="77777777" w:rsidR="00674EEF" w:rsidRPr="002944D8" w:rsidRDefault="00EE78EA"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(i)</w:t>
      </w:r>
      <w:r w:rsidR="00674EEF" w:rsidRPr="002944D8">
        <w:rPr>
          <w:rFonts w:ascii="Gadugi" w:eastAsia="Calibri" w:hAnsi="Gadugi" w:cs="Times New Roman"/>
          <w:sz w:val="24"/>
          <w:szCs w:val="24"/>
        </w:rPr>
        <w:t xml:space="preserve"> Se hubiera convalidado</w:t>
      </w:r>
      <w:r w:rsidRPr="002944D8">
        <w:rPr>
          <w:rFonts w:ascii="Gadugi" w:eastAsia="Calibri" w:hAnsi="Gadugi" w:cs="Times New Roman"/>
          <w:sz w:val="24"/>
          <w:szCs w:val="24"/>
        </w:rPr>
        <w:t xml:space="preserve"> </w:t>
      </w:r>
      <w:r w:rsidR="00674EEF" w:rsidRPr="002944D8">
        <w:rPr>
          <w:rFonts w:ascii="Gadugi" w:eastAsia="Calibri" w:hAnsi="Gadugi" w:cs="Times New Roman"/>
          <w:sz w:val="24"/>
          <w:szCs w:val="24"/>
        </w:rPr>
        <w:t>e</w:t>
      </w:r>
      <w:r w:rsidR="0045490A" w:rsidRPr="002944D8">
        <w:rPr>
          <w:rFonts w:ascii="Gadugi" w:eastAsia="Calibri" w:hAnsi="Gadugi" w:cs="Times New Roman"/>
          <w:sz w:val="24"/>
          <w:szCs w:val="24"/>
        </w:rPr>
        <w:t xml:space="preserve">l </w:t>
      </w:r>
      <w:r w:rsidRPr="002944D8">
        <w:rPr>
          <w:rFonts w:ascii="Gadugi" w:eastAsia="Calibri" w:hAnsi="Gadugi" w:cs="Times New Roman"/>
          <w:sz w:val="24"/>
          <w:szCs w:val="24"/>
        </w:rPr>
        <w:t xml:space="preserve">poder </w:t>
      </w:r>
      <w:r w:rsidR="0045490A" w:rsidRPr="002944D8">
        <w:rPr>
          <w:rFonts w:ascii="Gadugi" w:eastAsia="Calibri" w:hAnsi="Gadugi" w:cs="Times New Roman"/>
          <w:sz w:val="24"/>
          <w:szCs w:val="24"/>
        </w:rPr>
        <w:t xml:space="preserve">que se le confirió </w:t>
      </w:r>
      <w:r w:rsidRPr="002944D8">
        <w:rPr>
          <w:rFonts w:ascii="Gadugi" w:eastAsia="Calibri" w:hAnsi="Gadugi" w:cs="Times New Roman"/>
          <w:sz w:val="24"/>
          <w:szCs w:val="24"/>
        </w:rPr>
        <w:t xml:space="preserve">al abogado que adelantó el divorcio, </w:t>
      </w:r>
      <w:r w:rsidR="0045490A" w:rsidRPr="002944D8">
        <w:rPr>
          <w:rFonts w:ascii="Gadugi" w:eastAsia="Calibri" w:hAnsi="Gadugi" w:cs="Times New Roman"/>
          <w:sz w:val="24"/>
          <w:szCs w:val="24"/>
        </w:rPr>
        <w:t xml:space="preserve">a pesar de que transgrede </w:t>
      </w:r>
      <w:r w:rsidRPr="002944D8">
        <w:rPr>
          <w:rFonts w:ascii="Gadugi" w:eastAsia="Calibri" w:hAnsi="Gadugi" w:cs="Times New Roman"/>
          <w:sz w:val="24"/>
          <w:szCs w:val="24"/>
        </w:rPr>
        <w:t>el Decreto 960 de 1970</w:t>
      </w:r>
      <w:r w:rsidR="00674EEF" w:rsidRPr="002944D8">
        <w:rPr>
          <w:rFonts w:ascii="Gadugi" w:eastAsia="Calibri" w:hAnsi="Gadugi" w:cs="Times New Roman"/>
          <w:sz w:val="24"/>
          <w:szCs w:val="24"/>
        </w:rPr>
        <w:t>.</w:t>
      </w:r>
    </w:p>
    <w:p w14:paraId="4F7DE93D" w14:textId="77777777" w:rsidR="00674EEF" w:rsidRPr="002944D8" w:rsidRDefault="00674EEF" w:rsidP="002944D8">
      <w:pPr>
        <w:spacing w:after="0" w:line="276" w:lineRule="auto"/>
        <w:jc w:val="both"/>
        <w:rPr>
          <w:rFonts w:ascii="Gadugi" w:eastAsia="Calibri" w:hAnsi="Gadugi" w:cs="Times New Roman"/>
          <w:sz w:val="24"/>
          <w:szCs w:val="24"/>
        </w:rPr>
      </w:pPr>
    </w:p>
    <w:p w14:paraId="501D4D0A" w14:textId="0F215A91" w:rsidR="00674EEF" w:rsidRPr="002944D8" w:rsidRDefault="0045490A"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(ii) </w:t>
      </w:r>
      <w:r w:rsidR="00674EEF" w:rsidRPr="002944D8">
        <w:rPr>
          <w:rFonts w:ascii="Gadugi" w:eastAsia="Calibri" w:hAnsi="Gadugi" w:cs="Times New Roman"/>
          <w:sz w:val="24"/>
          <w:szCs w:val="24"/>
        </w:rPr>
        <w:t>Se hubiera concluido que l</w:t>
      </w:r>
      <w:r w:rsidRPr="002944D8">
        <w:rPr>
          <w:rFonts w:ascii="Gadugi" w:eastAsia="Calibri" w:hAnsi="Gadugi" w:cs="Times New Roman"/>
          <w:sz w:val="24"/>
          <w:szCs w:val="24"/>
        </w:rPr>
        <w:t>a heredera no tenía la condición de tercero</w:t>
      </w:r>
      <w:r w:rsidR="00674EEF" w:rsidRPr="002944D8">
        <w:rPr>
          <w:rFonts w:ascii="Gadugi" w:eastAsia="Calibri" w:hAnsi="Gadugi" w:cs="Times New Roman"/>
          <w:sz w:val="24"/>
          <w:szCs w:val="24"/>
        </w:rPr>
        <w:t>.</w:t>
      </w:r>
    </w:p>
    <w:p w14:paraId="0D9C2FAA" w14:textId="77777777" w:rsidR="00674EEF" w:rsidRPr="002944D8" w:rsidRDefault="00674EEF" w:rsidP="002944D8">
      <w:pPr>
        <w:spacing w:after="0" w:line="276" w:lineRule="auto"/>
        <w:jc w:val="both"/>
        <w:rPr>
          <w:rFonts w:ascii="Gadugi" w:eastAsia="Calibri" w:hAnsi="Gadugi" w:cs="Times New Roman"/>
          <w:sz w:val="24"/>
          <w:szCs w:val="24"/>
        </w:rPr>
      </w:pPr>
    </w:p>
    <w:p w14:paraId="12322E56" w14:textId="283C3C07" w:rsidR="00674EEF" w:rsidRPr="002944D8" w:rsidRDefault="0045490A"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(iii) </w:t>
      </w:r>
      <w:r w:rsidR="00674EEF" w:rsidRPr="002944D8">
        <w:rPr>
          <w:rFonts w:ascii="Gadugi" w:eastAsia="Calibri" w:hAnsi="Gadugi" w:cs="Times New Roman"/>
          <w:sz w:val="24"/>
          <w:szCs w:val="24"/>
        </w:rPr>
        <w:t>Se concluyera que l</w:t>
      </w:r>
      <w:r w:rsidRPr="002944D8">
        <w:rPr>
          <w:rFonts w:ascii="Gadugi" w:eastAsia="Calibri" w:hAnsi="Gadugi" w:cs="Times New Roman"/>
          <w:sz w:val="24"/>
          <w:szCs w:val="24"/>
        </w:rPr>
        <w:t>a renuncia a gananciales</w:t>
      </w:r>
      <w:r w:rsidR="00674EEF" w:rsidRPr="002944D8">
        <w:rPr>
          <w:rFonts w:ascii="Gadugi" w:eastAsia="Calibri" w:hAnsi="Gadugi" w:cs="Times New Roman"/>
          <w:sz w:val="24"/>
          <w:szCs w:val="24"/>
        </w:rPr>
        <w:t>, que</w:t>
      </w:r>
      <w:r w:rsidRPr="002944D8">
        <w:rPr>
          <w:rFonts w:ascii="Gadugi" w:eastAsia="Calibri" w:hAnsi="Gadugi" w:cs="Times New Roman"/>
          <w:sz w:val="24"/>
          <w:szCs w:val="24"/>
        </w:rPr>
        <w:t xml:space="preserve"> afectaba a terceros, </w:t>
      </w:r>
      <w:r w:rsidR="00674EEF" w:rsidRPr="002944D8">
        <w:rPr>
          <w:rFonts w:ascii="Gadugi" w:eastAsia="Calibri" w:hAnsi="Gadugi" w:cs="Times New Roman"/>
          <w:sz w:val="24"/>
          <w:szCs w:val="24"/>
        </w:rPr>
        <w:t xml:space="preserve">no era </w:t>
      </w:r>
      <w:r w:rsidRPr="002944D8">
        <w:rPr>
          <w:rFonts w:ascii="Gadugi" w:eastAsia="Calibri" w:hAnsi="Gadugi" w:cs="Times New Roman"/>
          <w:sz w:val="24"/>
          <w:szCs w:val="24"/>
        </w:rPr>
        <w:t>una causa ilícita</w:t>
      </w:r>
      <w:r w:rsidR="00674EEF" w:rsidRPr="002944D8">
        <w:rPr>
          <w:rFonts w:ascii="Gadugi" w:eastAsia="Calibri" w:hAnsi="Gadugi" w:cs="Times New Roman"/>
          <w:sz w:val="24"/>
          <w:szCs w:val="24"/>
        </w:rPr>
        <w:t>.</w:t>
      </w:r>
    </w:p>
    <w:p w14:paraId="29D7ACB0" w14:textId="77777777" w:rsidR="00674EEF" w:rsidRPr="002944D8" w:rsidRDefault="00674EEF" w:rsidP="002944D8">
      <w:pPr>
        <w:spacing w:after="0" w:line="276" w:lineRule="auto"/>
        <w:jc w:val="both"/>
        <w:rPr>
          <w:rFonts w:ascii="Gadugi" w:eastAsia="Calibri" w:hAnsi="Gadugi" w:cs="Times New Roman"/>
          <w:sz w:val="24"/>
          <w:szCs w:val="24"/>
        </w:rPr>
      </w:pPr>
    </w:p>
    <w:p w14:paraId="4EDE781A" w14:textId="77777777" w:rsidR="00674EEF" w:rsidRPr="002944D8" w:rsidRDefault="0045490A"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(iv) Se </w:t>
      </w:r>
      <w:r w:rsidR="00674EEF" w:rsidRPr="002944D8">
        <w:rPr>
          <w:rFonts w:ascii="Gadugi" w:eastAsia="Calibri" w:hAnsi="Gadugi" w:cs="Times New Roman"/>
          <w:sz w:val="24"/>
          <w:szCs w:val="24"/>
        </w:rPr>
        <w:t xml:space="preserve">hubiera dicho que se </w:t>
      </w:r>
      <w:r w:rsidRPr="002944D8">
        <w:rPr>
          <w:rFonts w:ascii="Gadugi" w:eastAsia="Calibri" w:hAnsi="Gadugi" w:cs="Times New Roman"/>
          <w:sz w:val="24"/>
          <w:szCs w:val="24"/>
        </w:rPr>
        <w:t>debía incoar la nulidad del poder que se concedió para la realización de la escritura pública, y no de ésta, aun cuando el mandato contiene manifestaciones de los cónyuges sobre el divorcio</w:t>
      </w:r>
      <w:r w:rsidR="00674EEF" w:rsidRPr="002944D8">
        <w:rPr>
          <w:rFonts w:ascii="Gadugi" w:eastAsia="Calibri" w:hAnsi="Gadugi" w:cs="Times New Roman"/>
          <w:sz w:val="24"/>
          <w:szCs w:val="24"/>
        </w:rPr>
        <w:t>.</w:t>
      </w:r>
    </w:p>
    <w:p w14:paraId="3D940814" w14:textId="77777777" w:rsidR="00674EEF" w:rsidRPr="002944D8" w:rsidRDefault="00674EEF" w:rsidP="002944D8">
      <w:pPr>
        <w:spacing w:after="0" w:line="276" w:lineRule="auto"/>
        <w:jc w:val="both"/>
        <w:rPr>
          <w:rFonts w:ascii="Gadugi" w:eastAsia="Calibri" w:hAnsi="Gadugi" w:cs="Times New Roman"/>
          <w:sz w:val="24"/>
          <w:szCs w:val="24"/>
        </w:rPr>
      </w:pPr>
    </w:p>
    <w:p w14:paraId="79153DCA" w14:textId="7045FCD4" w:rsidR="00674EEF" w:rsidRPr="002944D8" w:rsidRDefault="0045490A"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(v) </w:t>
      </w:r>
      <w:r w:rsidR="00674EEF" w:rsidRPr="002944D8">
        <w:rPr>
          <w:rFonts w:ascii="Gadugi" w:eastAsia="Calibri" w:hAnsi="Gadugi" w:cs="Times New Roman"/>
          <w:sz w:val="24"/>
          <w:szCs w:val="24"/>
        </w:rPr>
        <w:t>Se dedujera que l</w:t>
      </w:r>
      <w:r w:rsidRPr="002944D8">
        <w:rPr>
          <w:rFonts w:ascii="Gadugi" w:eastAsia="Calibri" w:hAnsi="Gadugi" w:cs="Times New Roman"/>
          <w:sz w:val="24"/>
          <w:szCs w:val="24"/>
        </w:rPr>
        <w:t xml:space="preserve">as escrituras públicas solo </w:t>
      </w:r>
      <w:r w:rsidR="00674EEF" w:rsidRPr="002944D8">
        <w:rPr>
          <w:rFonts w:ascii="Gadugi" w:eastAsia="Calibri" w:hAnsi="Gadugi" w:cs="Times New Roman"/>
          <w:sz w:val="24"/>
          <w:szCs w:val="24"/>
        </w:rPr>
        <w:t>son</w:t>
      </w:r>
      <w:r w:rsidRPr="002944D8">
        <w:rPr>
          <w:rFonts w:ascii="Gadugi" w:eastAsia="Calibri" w:hAnsi="Gadugi" w:cs="Times New Roman"/>
          <w:sz w:val="24"/>
          <w:szCs w:val="24"/>
        </w:rPr>
        <w:t xml:space="preserve"> anulable</w:t>
      </w:r>
      <w:r w:rsidR="00674EEF" w:rsidRPr="002944D8">
        <w:rPr>
          <w:rFonts w:ascii="Gadugi" w:eastAsia="Calibri" w:hAnsi="Gadugi" w:cs="Times New Roman"/>
          <w:sz w:val="24"/>
          <w:szCs w:val="24"/>
        </w:rPr>
        <w:t>s en su forma,</w:t>
      </w:r>
      <w:r w:rsidRPr="002944D8">
        <w:rPr>
          <w:rFonts w:ascii="Gadugi" w:eastAsia="Calibri" w:hAnsi="Gadugi" w:cs="Times New Roman"/>
          <w:sz w:val="24"/>
          <w:szCs w:val="24"/>
        </w:rPr>
        <w:t xml:space="preserve"> si se dan las condiciones del artículo 99 del Decreto 960 de 1970</w:t>
      </w:r>
      <w:r w:rsidR="00674EEF" w:rsidRPr="002944D8">
        <w:rPr>
          <w:rFonts w:ascii="Gadugi" w:eastAsia="Calibri" w:hAnsi="Gadugi" w:cs="Times New Roman"/>
          <w:sz w:val="24"/>
          <w:szCs w:val="24"/>
        </w:rPr>
        <w:t xml:space="preserve">, a pesar de que aquí se ataca es su contenido. </w:t>
      </w:r>
    </w:p>
    <w:p w14:paraId="6CD178E0" w14:textId="77777777" w:rsidR="00674EEF" w:rsidRPr="002944D8" w:rsidRDefault="00674EEF" w:rsidP="002944D8">
      <w:pPr>
        <w:spacing w:after="0" w:line="276" w:lineRule="auto"/>
        <w:jc w:val="both"/>
        <w:rPr>
          <w:rFonts w:ascii="Gadugi" w:eastAsia="Calibri" w:hAnsi="Gadugi" w:cs="Times New Roman"/>
          <w:sz w:val="24"/>
          <w:szCs w:val="24"/>
        </w:rPr>
      </w:pPr>
    </w:p>
    <w:p w14:paraId="1785938E" w14:textId="5A0E835B" w:rsidR="00674EEF" w:rsidRPr="002944D8" w:rsidRDefault="0004350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(vi) </w:t>
      </w:r>
      <w:r w:rsidR="00674EEF" w:rsidRPr="002944D8">
        <w:rPr>
          <w:rFonts w:ascii="Gadugi" w:eastAsia="Calibri" w:hAnsi="Gadugi" w:cs="Times New Roman"/>
          <w:sz w:val="24"/>
          <w:szCs w:val="24"/>
        </w:rPr>
        <w:t xml:space="preserve">Se </w:t>
      </w:r>
      <w:proofErr w:type="gramStart"/>
      <w:r w:rsidR="00674EEF" w:rsidRPr="002944D8">
        <w:rPr>
          <w:rFonts w:ascii="Gadugi" w:eastAsia="Calibri" w:hAnsi="Gadugi" w:cs="Times New Roman"/>
          <w:sz w:val="24"/>
          <w:szCs w:val="24"/>
        </w:rPr>
        <w:t>pasara</w:t>
      </w:r>
      <w:proofErr w:type="gramEnd"/>
      <w:r w:rsidR="00674EEF" w:rsidRPr="002944D8">
        <w:rPr>
          <w:rFonts w:ascii="Gadugi" w:eastAsia="Calibri" w:hAnsi="Gadugi" w:cs="Times New Roman"/>
          <w:sz w:val="24"/>
          <w:szCs w:val="24"/>
        </w:rPr>
        <w:t xml:space="preserve"> por alto que e</w:t>
      </w:r>
      <w:r w:rsidRPr="002944D8">
        <w:rPr>
          <w:rFonts w:ascii="Gadugi" w:eastAsia="Calibri" w:hAnsi="Gadugi" w:cs="Times New Roman"/>
          <w:sz w:val="24"/>
          <w:szCs w:val="24"/>
        </w:rPr>
        <w:t xml:space="preserve">n </w:t>
      </w:r>
      <w:r w:rsidR="00674EEF" w:rsidRPr="002944D8">
        <w:rPr>
          <w:rFonts w:ascii="Gadugi" w:eastAsia="Calibri" w:hAnsi="Gadugi" w:cs="Times New Roman"/>
          <w:sz w:val="24"/>
          <w:szCs w:val="24"/>
        </w:rPr>
        <w:t>l</w:t>
      </w:r>
      <w:r w:rsidRPr="002944D8">
        <w:rPr>
          <w:rFonts w:ascii="Gadugi" w:eastAsia="Calibri" w:hAnsi="Gadugi" w:cs="Times New Roman"/>
          <w:sz w:val="24"/>
          <w:szCs w:val="24"/>
        </w:rPr>
        <w:t>a escritura pública aparece implícita una donación entre vivos</w:t>
      </w:r>
      <w:r w:rsidR="00674EEF" w:rsidRPr="002944D8">
        <w:rPr>
          <w:rFonts w:ascii="Gadugi" w:eastAsia="Calibri" w:hAnsi="Gadugi" w:cs="Times New Roman"/>
          <w:sz w:val="24"/>
          <w:szCs w:val="24"/>
        </w:rPr>
        <w:t>.</w:t>
      </w:r>
    </w:p>
    <w:p w14:paraId="449ACB47" w14:textId="77777777" w:rsidR="00674EEF" w:rsidRPr="002944D8" w:rsidRDefault="00674EEF" w:rsidP="002944D8">
      <w:pPr>
        <w:spacing w:after="0" w:line="276" w:lineRule="auto"/>
        <w:jc w:val="both"/>
        <w:rPr>
          <w:rFonts w:ascii="Gadugi" w:eastAsia="Calibri" w:hAnsi="Gadugi" w:cs="Times New Roman"/>
          <w:sz w:val="24"/>
          <w:szCs w:val="24"/>
        </w:rPr>
      </w:pPr>
    </w:p>
    <w:p w14:paraId="0EE726FA" w14:textId="02BCB8BC" w:rsidR="00674EEF" w:rsidRPr="002944D8" w:rsidRDefault="0004350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(vii) </w:t>
      </w:r>
      <w:r w:rsidR="00674EEF" w:rsidRPr="002944D8">
        <w:rPr>
          <w:rFonts w:ascii="Gadugi" w:eastAsia="Calibri" w:hAnsi="Gadugi" w:cs="Times New Roman"/>
          <w:sz w:val="24"/>
          <w:szCs w:val="24"/>
        </w:rPr>
        <w:t>Se aceptara que l</w:t>
      </w:r>
      <w:r w:rsidRPr="002944D8">
        <w:rPr>
          <w:rFonts w:ascii="Gadugi" w:eastAsia="Calibri" w:hAnsi="Gadugi" w:cs="Times New Roman"/>
          <w:sz w:val="24"/>
          <w:szCs w:val="24"/>
        </w:rPr>
        <w:t>a donación entre vivos no tiene límites, pasando por alto que cualquiera de estos negocios debe respetar las asignaciones forzosas, los gananciales y los derechos acreedores</w:t>
      </w:r>
    </w:p>
    <w:p w14:paraId="21801FA6" w14:textId="77777777" w:rsidR="00674EEF" w:rsidRPr="002944D8" w:rsidRDefault="00674EEF" w:rsidP="002944D8">
      <w:pPr>
        <w:spacing w:after="0" w:line="276" w:lineRule="auto"/>
        <w:jc w:val="both"/>
        <w:rPr>
          <w:rFonts w:ascii="Gadugi" w:eastAsia="Calibri" w:hAnsi="Gadugi" w:cs="Times New Roman"/>
          <w:sz w:val="24"/>
          <w:szCs w:val="24"/>
        </w:rPr>
      </w:pPr>
    </w:p>
    <w:p w14:paraId="264E9FB7" w14:textId="725CA821" w:rsidR="00EE78EA" w:rsidRPr="002944D8" w:rsidRDefault="0004350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w:t>
      </w:r>
      <w:proofErr w:type="spellStart"/>
      <w:r w:rsidRPr="002944D8">
        <w:rPr>
          <w:rFonts w:ascii="Gadugi" w:eastAsia="Calibri" w:hAnsi="Gadugi" w:cs="Times New Roman"/>
          <w:sz w:val="24"/>
          <w:szCs w:val="24"/>
        </w:rPr>
        <w:t>viii</w:t>
      </w:r>
      <w:proofErr w:type="spellEnd"/>
      <w:r w:rsidRPr="002944D8">
        <w:rPr>
          <w:rFonts w:ascii="Gadugi" w:eastAsia="Calibri" w:hAnsi="Gadugi" w:cs="Times New Roman"/>
          <w:sz w:val="24"/>
          <w:szCs w:val="24"/>
        </w:rPr>
        <w:t xml:space="preserve">) </w:t>
      </w:r>
      <w:r w:rsidR="00674EEF" w:rsidRPr="002944D8">
        <w:rPr>
          <w:rFonts w:ascii="Gadugi" w:eastAsia="Calibri" w:hAnsi="Gadugi" w:cs="Times New Roman"/>
          <w:sz w:val="24"/>
          <w:szCs w:val="24"/>
        </w:rPr>
        <w:t xml:space="preserve">Se hubiera admitido que </w:t>
      </w:r>
      <w:r w:rsidR="00DB5AF6" w:rsidRPr="002944D8">
        <w:rPr>
          <w:rFonts w:ascii="Gadugi" w:eastAsia="Calibri" w:hAnsi="Gadugi" w:cs="Times New Roman"/>
          <w:sz w:val="24"/>
          <w:szCs w:val="24"/>
        </w:rPr>
        <w:t>u</w:t>
      </w:r>
      <w:r w:rsidR="00674EEF" w:rsidRPr="002944D8">
        <w:rPr>
          <w:rFonts w:ascii="Gadugi" w:eastAsia="Calibri" w:hAnsi="Gadugi" w:cs="Times New Roman"/>
          <w:sz w:val="24"/>
          <w:szCs w:val="24"/>
        </w:rPr>
        <w:t xml:space="preserve">n bien propio podía incluirse en la sociedad conyugal. </w:t>
      </w:r>
    </w:p>
    <w:p w14:paraId="39592FCB" w14:textId="2D8B451B" w:rsidR="00674EEF" w:rsidRPr="002944D8" w:rsidRDefault="00674EEF" w:rsidP="002944D8">
      <w:pPr>
        <w:spacing w:after="0" w:line="276" w:lineRule="auto"/>
        <w:jc w:val="both"/>
        <w:rPr>
          <w:rFonts w:ascii="Gadugi" w:eastAsia="Calibri" w:hAnsi="Gadugi" w:cs="Times New Roman"/>
          <w:sz w:val="24"/>
          <w:szCs w:val="24"/>
        </w:rPr>
      </w:pPr>
    </w:p>
    <w:p w14:paraId="52E6E5CA" w14:textId="04466470" w:rsidR="00674EEF" w:rsidRPr="002944D8" w:rsidRDefault="00674EEF"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w:t>
      </w:r>
      <w:proofErr w:type="spellStart"/>
      <w:r w:rsidRPr="002944D8">
        <w:rPr>
          <w:rFonts w:ascii="Gadugi" w:eastAsia="Calibri" w:hAnsi="Gadugi" w:cs="Times New Roman"/>
          <w:sz w:val="24"/>
          <w:szCs w:val="24"/>
        </w:rPr>
        <w:t>ix</w:t>
      </w:r>
      <w:proofErr w:type="spellEnd"/>
      <w:r w:rsidRPr="002944D8">
        <w:rPr>
          <w:rFonts w:ascii="Gadugi" w:eastAsia="Calibri" w:hAnsi="Gadugi" w:cs="Times New Roman"/>
          <w:sz w:val="24"/>
          <w:szCs w:val="24"/>
        </w:rPr>
        <w:t xml:space="preserve">) </w:t>
      </w:r>
      <w:r w:rsidR="00D97298" w:rsidRPr="002944D8">
        <w:rPr>
          <w:rFonts w:ascii="Gadugi" w:eastAsia="Calibri" w:hAnsi="Gadugi" w:cs="Times New Roman"/>
          <w:sz w:val="24"/>
          <w:szCs w:val="24"/>
        </w:rPr>
        <w:t xml:space="preserve">Se concluyera que al declararse nulo el contrato, las escrituras quedan incólumes, siendo que el primero esta contendido en el segundo y en el caso de la obligatoriedad de registrar los actos lo que se registra son las </w:t>
      </w:r>
      <w:r w:rsidR="00BC4F40" w:rsidRPr="002944D8">
        <w:rPr>
          <w:rFonts w:ascii="Gadugi" w:eastAsia="Calibri" w:hAnsi="Gadugi" w:cs="Times New Roman"/>
          <w:sz w:val="24"/>
          <w:szCs w:val="24"/>
        </w:rPr>
        <w:t>e</w:t>
      </w:r>
      <w:r w:rsidR="00D97298" w:rsidRPr="002944D8">
        <w:rPr>
          <w:rFonts w:ascii="Gadugi" w:eastAsia="Calibri" w:hAnsi="Gadugi" w:cs="Times New Roman"/>
          <w:sz w:val="24"/>
          <w:szCs w:val="24"/>
        </w:rPr>
        <w:t>scrituras públicas y no el contrato.</w:t>
      </w:r>
    </w:p>
    <w:p w14:paraId="3068010D" w14:textId="4AA397AF" w:rsidR="00EE78EA" w:rsidRPr="002944D8" w:rsidRDefault="00EE78EA" w:rsidP="002944D8">
      <w:pPr>
        <w:spacing w:after="0" w:line="276" w:lineRule="auto"/>
        <w:jc w:val="both"/>
        <w:rPr>
          <w:rFonts w:ascii="Gadugi" w:eastAsia="Calibri" w:hAnsi="Gadugi" w:cs="Times New Roman"/>
          <w:sz w:val="24"/>
          <w:szCs w:val="24"/>
        </w:rPr>
      </w:pPr>
    </w:p>
    <w:p w14:paraId="00FF026C" w14:textId="464E00B6" w:rsidR="00D97298" w:rsidRPr="002944D8" w:rsidRDefault="00D97298"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(x) Se dijera que la acción correcta era la inoponibilidad, pasando por alto los principios de “</w:t>
      </w:r>
      <w:proofErr w:type="spellStart"/>
      <w:r w:rsidRPr="002944D8">
        <w:rPr>
          <w:rFonts w:ascii="Gadugi" w:eastAsia="Calibri" w:hAnsi="Gadugi" w:cs="Times New Roman"/>
          <w:i/>
          <w:sz w:val="24"/>
          <w:szCs w:val="24"/>
        </w:rPr>
        <w:t>iura</w:t>
      </w:r>
      <w:proofErr w:type="spellEnd"/>
      <w:r w:rsidRPr="002944D8">
        <w:rPr>
          <w:rFonts w:ascii="Gadugi" w:eastAsia="Calibri" w:hAnsi="Gadugi" w:cs="Times New Roman"/>
          <w:i/>
          <w:sz w:val="24"/>
          <w:szCs w:val="24"/>
        </w:rPr>
        <w:t xml:space="preserve"> </w:t>
      </w:r>
      <w:proofErr w:type="spellStart"/>
      <w:r w:rsidRPr="002944D8">
        <w:rPr>
          <w:rFonts w:ascii="Gadugi" w:eastAsia="Calibri" w:hAnsi="Gadugi" w:cs="Times New Roman"/>
          <w:i/>
          <w:sz w:val="24"/>
          <w:szCs w:val="24"/>
        </w:rPr>
        <w:t>novit</w:t>
      </w:r>
      <w:proofErr w:type="spellEnd"/>
      <w:r w:rsidRPr="002944D8">
        <w:rPr>
          <w:rFonts w:ascii="Gadugi" w:eastAsia="Calibri" w:hAnsi="Gadugi" w:cs="Times New Roman"/>
          <w:i/>
          <w:sz w:val="24"/>
          <w:szCs w:val="24"/>
        </w:rPr>
        <w:t xml:space="preserve"> curia</w:t>
      </w:r>
      <w:r w:rsidRPr="002944D8">
        <w:rPr>
          <w:rFonts w:ascii="Gadugi" w:eastAsia="Calibri" w:hAnsi="Gadugi" w:cs="Times New Roman"/>
          <w:sz w:val="24"/>
          <w:szCs w:val="24"/>
        </w:rPr>
        <w:t>” y “</w:t>
      </w:r>
      <w:r w:rsidRPr="002944D8">
        <w:rPr>
          <w:rFonts w:ascii="Gadugi" w:eastAsia="Calibri" w:hAnsi="Gadugi" w:cs="Times New Roman"/>
          <w:i/>
          <w:sz w:val="24"/>
          <w:szCs w:val="24"/>
        </w:rPr>
        <w:t xml:space="preserve">da </w:t>
      </w:r>
      <w:proofErr w:type="spellStart"/>
      <w:r w:rsidRPr="002944D8">
        <w:rPr>
          <w:rFonts w:ascii="Gadugi" w:eastAsia="Calibri" w:hAnsi="Gadugi" w:cs="Times New Roman"/>
          <w:i/>
          <w:sz w:val="24"/>
          <w:szCs w:val="24"/>
        </w:rPr>
        <w:t>mihi</w:t>
      </w:r>
      <w:proofErr w:type="spellEnd"/>
      <w:r w:rsidRPr="002944D8">
        <w:rPr>
          <w:rFonts w:ascii="Gadugi" w:eastAsia="Calibri" w:hAnsi="Gadugi" w:cs="Times New Roman"/>
          <w:i/>
          <w:sz w:val="24"/>
          <w:szCs w:val="24"/>
        </w:rPr>
        <w:t xml:space="preserve"> </w:t>
      </w:r>
      <w:proofErr w:type="spellStart"/>
      <w:r w:rsidRPr="002944D8">
        <w:rPr>
          <w:rFonts w:ascii="Gadugi" w:eastAsia="Calibri" w:hAnsi="Gadugi" w:cs="Times New Roman"/>
          <w:i/>
          <w:sz w:val="24"/>
          <w:szCs w:val="24"/>
        </w:rPr>
        <w:t>factum</w:t>
      </w:r>
      <w:proofErr w:type="spellEnd"/>
      <w:r w:rsidRPr="002944D8">
        <w:rPr>
          <w:rFonts w:ascii="Gadugi" w:eastAsia="Calibri" w:hAnsi="Gadugi" w:cs="Times New Roman"/>
          <w:i/>
          <w:sz w:val="24"/>
          <w:szCs w:val="24"/>
        </w:rPr>
        <w:t xml:space="preserve"> et </w:t>
      </w:r>
      <w:proofErr w:type="spellStart"/>
      <w:r w:rsidRPr="002944D8">
        <w:rPr>
          <w:rFonts w:ascii="Gadugi" w:eastAsia="Calibri" w:hAnsi="Gadugi" w:cs="Times New Roman"/>
          <w:i/>
          <w:sz w:val="24"/>
          <w:szCs w:val="24"/>
        </w:rPr>
        <w:t>dabo</w:t>
      </w:r>
      <w:proofErr w:type="spellEnd"/>
      <w:r w:rsidRPr="002944D8">
        <w:rPr>
          <w:rFonts w:ascii="Gadugi" w:eastAsia="Calibri" w:hAnsi="Gadugi" w:cs="Times New Roman"/>
          <w:i/>
          <w:sz w:val="24"/>
          <w:szCs w:val="24"/>
        </w:rPr>
        <w:t xml:space="preserve"> tibi ius</w:t>
      </w:r>
      <w:r w:rsidRPr="002944D8">
        <w:rPr>
          <w:rFonts w:ascii="Gadugi" w:eastAsia="Calibri" w:hAnsi="Gadugi" w:cs="Times New Roman"/>
          <w:sz w:val="24"/>
          <w:szCs w:val="24"/>
        </w:rPr>
        <w:t>”.</w:t>
      </w:r>
    </w:p>
    <w:p w14:paraId="0D3C1AC6" w14:textId="55DBE5DC" w:rsidR="00D97298" w:rsidRPr="002944D8" w:rsidRDefault="00D97298" w:rsidP="002944D8">
      <w:pPr>
        <w:spacing w:after="0" w:line="276" w:lineRule="auto"/>
        <w:jc w:val="both"/>
        <w:rPr>
          <w:rFonts w:ascii="Gadugi" w:eastAsia="Calibri" w:hAnsi="Gadugi" w:cs="Times New Roman"/>
          <w:sz w:val="24"/>
          <w:szCs w:val="24"/>
        </w:rPr>
      </w:pPr>
    </w:p>
    <w:p w14:paraId="700E1125" w14:textId="5FB7C9EF" w:rsidR="00D97298" w:rsidRPr="002944D8" w:rsidRDefault="00D97298"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lastRenderedPageBreak/>
        <w:t>(xi) Se hubiera inaplicado el principio de literalidad, para declarar la nulidad del poder por haber sido autenticado en un Círculo deferente al de la notaría tercera del Círculo de Pereira.</w:t>
      </w:r>
    </w:p>
    <w:p w14:paraId="3BE02538" w14:textId="309B5C4D" w:rsidR="00644DAB" w:rsidRPr="002944D8" w:rsidRDefault="00644DAB" w:rsidP="002944D8">
      <w:pPr>
        <w:spacing w:after="0" w:line="276" w:lineRule="auto"/>
        <w:jc w:val="both"/>
        <w:rPr>
          <w:rFonts w:ascii="Gadugi" w:eastAsia="Calibri" w:hAnsi="Gadugi" w:cs="Times New Roman"/>
          <w:sz w:val="24"/>
          <w:szCs w:val="24"/>
        </w:rPr>
      </w:pPr>
    </w:p>
    <w:p w14:paraId="5330D249" w14:textId="390F7C7A" w:rsidR="00AE3155" w:rsidRPr="002944D8" w:rsidRDefault="00AE3155" w:rsidP="002944D8">
      <w:pPr>
        <w:spacing w:after="0" w:line="276" w:lineRule="auto"/>
        <w:jc w:val="both"/>
        <w:rPr>
          <w:rFonts w:ascii="Gadugi" w:eastAsia="Calibri" w:hAnsi="Gadugi" w:cs="Times New Roman"/>
          <w:sz w:val="24"/>
          <w:szCs w:val="24"/>
        </w:rPr>
      </w:pPr>
      <w:r w:rsidRPr="002944D8">
        <w:rPr>
          <w:rFonts w:ascii="Gadugi" w:eastAsia="Calibri" w:hAnsi="Gadugi" w:cs="Times New Roman"/>
          <w:sz w:val="24"/>
          <w:szCs w:val="24"/>
        </w:rPr>
        <w:t xml:space="preserve">1.5.2. En esta sede esos reparos fueron sustentados por la demandante e infirmados por la demandada. </w:t>
      </w:r>
    </w:p>
    <w:p w14:paraId="493A3B5F" w14:textId="77777777" w:rsidR="006A7A89" w:rsidRPr="002944D8" w:rsidRDefault="006A7A89" w:rsidP="002944D8">
      <w:pPr>
        <w:spacing w:after="0" w:line="276" w:lineRule="auto"/>
        <w:jc w:val="both"/>
        <w:rPr>
          <w:rFonts w:ascii="Gadugi" w:eastAsia="Calibri" w:hAnsi="Gadugi" w:cs="Times New Roman"/>
          <w:sz w:val="24"/>
          <w:szCs w:val="24"/>
        </w:rPr>
      </w:pPr>
    </w:p>
    <w:p w14:paraId="73E5839B" w14:textId="2C0D2F98" w:rsidR="00FD67FF" w:rsidRPr="002944D8" w:rsidRDefault="00FD67FF" w:rsidP="002944D8">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2944D8">
        <w:rPr>
          <w:rFonts w:ascii="Gadugi" w:eastAsia="Malgun Gothic" w:hAnsi="Gadugi" w:cs="Estrangelo Edessa"/>
          <w:b/>
          <w:sz w:val="24"/>
          <w:szCs w:val="24"/>
        </w:rPr>
        <w:t>CONSIDER</w:t>
      </w:r>
      <w:r w:rsidR="00C555ED" w:rsidRPr="002944D8">
        <w:rPr>
          <w:rFonts w:ascii="Gadugi" w:eastAsia="Malgun Gothic" w:hAnsi="Gadugi" w:cs="Estrangelo Edessa"/>
          <w:b/>
          <w:sz w:val="24"/>
          <w:szCs w:val="24"/>
        </w:rPr>
        <w:t>A</w:t>
      </w:r>
      <w:r w:rsidRPr="002944D8">
        <w:rPr>
          <w:rFonts w:ascii="Gadugi" w:eastAsia="Malgun Gothic" w:hAnsi="Gadugi" w:cs="Estrangelo Edessa"/>
          <w:b/>
          <w:sz w:val="24"/>
          <w:szCs w:val="24"/>
        </w:rPr>
        <w:t>CIONES</w:t>
      </w:r>
    </w:p>
    <w:p w14:paraId="10E7B662" w14:textId="77777777" w:rsidR="006A7A89" w:rsidRPr="002944D8" w:rsidRDefault="006A7A89" w:rsidP="002944D8">
      <w:pPr>
        <w:pStyle w:val="Prrafodelista"/>
        <w:tabs>
          <w:tab w:val="left" w:pos="426"/>
        </w:tabs>
        <w:spacing w:after="0" w:line="276" w:lineRule="auto"/>
        <w:ind w:left="0"/>
        <w:jc w:val="both"/>
        <w:rPr>
          <w:rFonts w:ascii="Gadugi" w:eastAsia="Malgun Gothic" w:hAnsi="Gadugi" w:cs="Estrangelo Edessa"/>
          <w:b/>
          <w:bCs/>
          <w:sz w:val="24"/>
          <w:szCs w:val="24"/>
        </w:rPr>
      </w:pPr>
    </w:p>
    <w:p w14:paraId="7DAC375D" w14:textId="15F8738B" w:rsidR="00FD67FF" w:rsidRPr="002944D8" w:rsidRDefault="00210B91" w:rsidP="002944D8">
      <w:pPr>
        <w:pStyle w:val="Prrafodelista"/>
        <w:numPr>
          <w:ilvl w:val="1"/>
          <w:numId w:val="1"/>
        </w:numPr>
        <w:tabs>
          <w:tab w:val="left" w:pos="567"/>
        </w:tabs>
        <w:spacing w:after="0" w:line="276" w:lineRule="auto"/>
        <w:ind w:left="0" w:firstLine="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Los presupuestos del proceso concurren cabalmente y no se avizora causal de nulidad que dé al traste con lo actuado, Por tanto, se resolverá de fondo el asunto. </w:t>
      </w:r>
    </w:p>
    <w:p w14:paraId="77756898" w14:textId="743EFA98" w:rsidR="00210B91" w:rsidRPr="002944D8" w:rsidRDefault="00210B91" w:rsidP="002944D8">
      <w:pPr>
        <w:spacing w:after="0" w:line="276" w:lineRule="auto"/>
        <w:jc w:val="both"/>
        <w:rPr>
          <w:rFonts w:ascii="Gadugi" w:eastAsia="Malgun Gothic" w:hAnsi="Gadugi" w:cs="Estrangelo Edessa"/>
          <w:bCs/>
          <w:sz w:val="24"/>
          <w:szCs w:val="24"/>
        </w:rPr>
      </w:pPr>
    </w:p>
    <w:p w14:paraId="44D5C4AD" w14:textId="2DFE719D" w:rsidR="00D849CC" w:rsidRPr="002944D8" w:rsidRDefault="00210B91" w:rsidP="002944D8">
      <w:pPr>
        <w:pStyle w:val="Prrafodelista"/>
        <w:numPr>
          <w:ilvl w:val="1"/>
          <w:numId w:val="1"/>
        </w:numPr>
        <w:tabs>
          <w:tab w:val="left" w:pos="567"/>
          <w:tab w:val="left" w:pos="2268"/>
        </w:tabs>
        <w:spacing w:after="0" w:line="276" w:lineRule="auto"/>
        <w:ind w:left="0" w:firstLine="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La legitimación en la causa </w:t>
      </w:r>
      <w:r w:rsidR="00BB1986" w:rsidRPr="002944D8">
        <w:rPr>
          <w:rFonts w:ascii="Gadugi" w:eastAsia="Malgun Gothic" w:hAnsi="Gadugi" w:cs="Estrangelo Edessa"/>
          <w:bCs/>
          <w:sz w:val="24"/>
          <w:szCs w:val="24"/>
        </w:rPr>
        <w:t xml:space="preserve">por activa se deriva de que </w:t>
      </w:r>
      <w:r w:rsidR="00BB1986" w:rsidRPr="002944D8">
        <w:rPr>
          <w:rFonts w:ascii="Gadugi" w:eastAsia="Malgun Gothic" w:hAnsi="Gadugi" w:cs="Estrangelo Edessa"/>
          <w:sz w:val="24"/>
          <w:szCs w:val="24"/>
        </w:rPr>
        <w:t xml:space="preserve">Stephanie Gutiérrez Arango, es hija de quien suscribió el poder </w:t>
      </w:r>
      <w:r w:rsidR="00D41D4A" w:rsidRPr="002944D8">
        <w:rPr>
          <w:rFonts w:ascii="Gadugi" w:eastAsia="Malgun Gothic" w:hAnsi="Gadugi" w:cs="Estrangelo Edessa"/>
          <w:sz w:val="24"/>
          <w:szCs w:val="24"/>
        </w:rPr>
        <w:t>que sirvió para realizar la</w:t>
      </w:r>
      <w:r w:rsidR="00BB1986" w:rsidRPr="002944D8">
        <w:rPr>
          <w:rFonts w:ascii="Gadugi" w:eastAsia="Malgun Gothic" w:hAnsi="Gadugi" w:cs="Estrangelo Edessa"/>
          <w:sz w:val="24"/>
          <w:szCs w:val="24"/>
        </w:rPr>
        <w:t xml:space="preserve"> escritura públ</w:t>
      </w:r>
      <w:r w:rsidR="00D41D4A" w:rsidRPr="002944D8">
        <w:rPr>
          <w:rFonts w:ascii="Gadugi" w:eastAsia="Malgun Gothic" w:hAnsi="Gadugi" w:cs="Estrangelo Edessa"/>
          <w:sz w:val="24"/>
          <w:szCs w:val="24"/>
        </w:rPr>
        <w:t>ica cuya nulidad se depreca</w:t>
      </w:r>
      <w:r w:rsidR="00D76A6E" w:rsidRPr="002944D8">
        <w:rPr>
          <w:rFonts w:ascii="Gadugi" w:eastAsia="Malgun Gothic" w:hAnsi="Gadugi" w:cs="Estrangelo Edessa"/>
          <w:sz w:val="24"/>
          <w:szCs w:val="24"/>
        </w:rPr>
        <w:t xml:space="preserve">, y de cuyas estipulaciones hace derivar un agravio para sí; </w:t>
      </w:r>
      <w:r w:rsidR="00D41D4A" w:rsidRPr="002944D8">
        <w:rPr>
          <w:rFonts w:ascii="Gadugi" w:eastAsia="Malgun Gothic" w:hAnsi="Gadugi" w:cs="Estrangelo Edessa"/>
          <w:sz w:val="24"/>
          <w:szCs w:val="24"/>
        </w:rPr>
        <w:t xml:space="preserve">y por pasiva la tiene Gloria Cristina Restrepo Díaz, porque suscribió dicho acto. </w:t>
      </w:r>
    </w:p>
    <w:p w14:paraId="1A8A0F66" w14:textId="15596855" w:rsidR="00F93E16" w:rsidRPr="002944D8" w:rsidRDefault="00F93E16" w:rsidP="002944D8">
      <w:pPr>
        <w:pStyle w:val="Prrafodelista"/>
        <w:tabs>
          <w:tab w:val="left" w:pos="567"/>
          <w:tab w:val="left" w:pos="2268"/>
        </w:tabs>
        <w:spacing w:after="0" w:line="276" w:lineRule="auto"/>
        <w:ind w:left="0"/>
        <w:jc w:val="both"/>
        <w:rPr>
          <w:rFonts w:ascii="Gadugi" w:eastAsia="Malgun Gothic" w:hAnsi="Gadugi" w:cs="Estrangelo Edessa"/>
          <w:bCs/>
          <w:sz w:val="24"/>
          <w:szCs w:val="24"/>
        </w:rPr>
      </w:pPr>
    </w:p>
    <w:p w14:paraId="0DEDB1DD" w14:textId="69012F01" w:rsidR="008305FB" w:rsidRPr="002944D8" w:rsidRDefault="00D76A6E" w:rsidP="002944D8">
      <w:pPr>
        <w:pStyle w:val="Prrafodelista"/>
        <w:tabs>
          <w:tab w:val="left" w:pos="567"/>
          <w:tab w:val="left" w:pos="2268"/>
        </w:tabs>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En </w:t>
      </w:r>
      <w:r w:rsidR="00AA096A" w:rsidRPr="002944D8">
        <w:rPr>
          <w:rFonts w:ascii="Gadugi" w:eastAsia="Malgun Gothic" w:hAnsi="Gadugi" w:cs="Estrangelo Edessa"/>
          <w:sz w:val="24"/>
          <w:szCs w:val="24"/>
        </w:rPr>
        <w:t>punto a la</w:t>
      </w:r>
      <w:r w:rsidRPr="002944D8">
        <w:rPr>
          <w:rFonts w:ascii="Gadugi" w:eastAsia="Malgun Gothic" w:hAnsi="Gadugi" w:cs="Estrangelo Edessa"/>
          <w:sz w:val="24"/>
          <w:szCs w:val="24"/>
        </w:rPr>
        <w:t xml:space="preserve"> legitimación </w:t>
      </w:r>
      <w:r w:rsidR="00AA096A" w:rsidRPr="002944D8">
        <w:rPr>
          <w:rFonts w:ascii="Gadugi" w:eastAsia="Malgun Gothic" w:hAnsi="Gadugi" w:cs="Estrangelo Edessa"/>
          <w:sz w:val="24"/>
          <w:szCs w:val="24"/>
        </w:rPr>
        <w:t xml:space="preserve">en la causa </w:t>
      </w:r>
      <w:r w:rsidRPr="002944D8">
        <w:rPr>
          <w:rFonts w:ascii="Gadugi" w:eastAsia="Malgun Gothic" w:hAnsi="Gadugi" w:cs="Estrangelo Edessa"/>
          <w:sz w:val="24"/>
          <w:szCs w:val="24"/>
        </w:rPr>
        <w:t xml:space="preserve">por activa, es </w:t>
      </w:r>
      <w:r w:rsidR="00AA096A" w:rsidRPr="002944D8">
        <w:rPr>
          <w:rFonts w:ascii="Gadugi" w:eastAsia="Malgun Gothic" w:hAnsi="Gadugi" w:cs="Estrangelo Edessa"/>
          <w:sz w:val="24"/>
          <w:szCs w:val="24"/>
        </w:rPr>
        <w:t xml:space="preserve">valioso comentar y memorar, la icónica sentencia del 30 de enero de 2006 de la Sala de Casación Civil de la Corte Suprema de Justicia, que será mencionada en lo sucesivo, y en la que también, como aquí, la demandante reprochaba la renuncia a gananciales que, en vida, su padre formalizó en la liquidación de su sociedad conyugal, lo cual derivó en el eventual desaparecimiento de su herencia, punto </w:t>
      </w:r>
      <w:r w:rsidR="006A7A89" w:rsidRPr="002944D8">
        <w:rPr>
          <w:rFonts w:ascii="Gadugi" w:eastAsia="Malgun Gothic" w:hAnsi="Gadugi" w:cs="Estrangelo Edessa"/>
          <w:sz w:val="24"/>
          <w:szCs w:val="24"/>
        </w:rPr>
        <w:t xml:space="preserve">sobre el que, </w:t>
      </w:r>
      <w:r w:rsidR="00AA096A" w:rsidRPr="002944D8">
        <w:rPr>
          <w:rFonts w:ascii="Gadugi" w:eastAsia="Malgun Gothic" w:hAnsi="Gadugi" w:cs="Estrangelo Edessa"/>
          <w:sz w:val="24"/>
          <w:szCs w:val="24"/>
        </w:rPr>
        <w:t>en aquel fallo se concluyó</w:t>
      </w:r>
      <w:r w:rsidR="008305FB" w:rsidRPr="002944D8">
        <w:rPr>
          <w:rFonts w:ascii="Gadugi" w:eastAsia="Malgun Gothic" w:hAnsi="Gadugi" w:cs="Estrangelo Edessa"/>
          <w:sz w:val="24"/>
          <w:szCs w:val="24"/>
        </w:rPr>
        <w:t xml:space="preserve"> </w:t>
      </w:r>
      <w:r w:rsidR="00AA096A" w:rsidRPr="002944D8">
        <w:rPr>
          <w:rFonts w:ascii="Gadugi" w:eastAsia="Malgun Gothic" w:hAnsi="Gadugi" w:cs="Estrangelo Edessa"/>
          <w:sz w:val="24"/>
          <w:szCs w:val="24"/>
        </w:rPr>
        <w:t xml:space="preserve">que </w:t>
      </w:r>
      <w:r w:rsidR="008305FB" w:rsidRPr="002944D8">
        <w:rPr>
          <w:rFonts w:ascii="Gadugi" w:eastAsia="Malgun Gothic" w:hAnsi="Gadugi" w:cs="Estrangelo Edessa"/>
          <w:sz w:val="24"/>
          <w:szCs w:val="24"/>
        </w:rPr>
        <w:t>a la actora s</w:t>
      </w:r>
      <w:r w:rsidR="006A7A89" w:rsidRPr="002944D8">
        <w:rPr>
          <w:rFonts w:ascii="Gadugi" w:eastAsia="Malgun Gothic" w:hAnsi="Gadugi" w:cs="Estrangelo Edessa"/>
          <w:sz w:val="24"/>
          <w:szCs w:val="24"/>
        </w:rPr>
        <w:t>í</w:t>
      </w:r>
      <w:r w:rsidR="008305FB" w:rsidRPr="002944D8">
        <w:rPr>
          <w:rFonts w:ascii="Gadugi" w:eastAsia="Malgun Gothic" w:hAnsi="Gadugi" w:cs="Estrangelo Edessa"/>
          <w:sz w:val="24"/>
          <w:szCs w:val="24"/>
        </w:rPr>
        <w:t xml:space="preserve"> le era atribuible la calidad de tercero, </w:t>
      </w:r>
      <w:r w:rsidR="00994950" w:rsidRPr="002944D8">
        <w:rPr>
          <w:rFonts w:ascii="Gadugi" w:eastAsia="Malgun Gothic" w:hAnsi="Gadugi" w:cs="Estrangelo Edessa"/>
          <w:sz w:val="24"/>
          <w:szCs w:val="24"/>
        </w:rPr>
        <w:t>por lo que</w:t>
      </w:r>
      <w:r w:rsidR="008305FB" w:rsidRPr="002944D8">
        <w:rPr>
          <w:rFonts w:ascii="Gadugi" w:eastAsia="Malgun Gothic" w:hAnsi="Gadugi" w:cs="Estrangelo Edessa"/>
          <w:sz w:val="24"/>
          <w:szCs w:val="24"/>
        </w:rPr>
        <w:t xml:space="preserve"> estaba habilitada para denunciar los perjuicios ocasionados por esa decisión de su progenitor</w:t>
      </w:r>
      <w:r w:rsidR="00D42CFD" w:rsidRPr="002944D8">
        <w:rPr>
          <w:rFonts w:ascii="Gadugi" w:eastAsia="Malgun Gothic" w:hAnsi="Gadugi" w:cs="Estrangelo Edessa"/>
          <w:sz w:val="24"/>
          <w:szCs w:val="24"/>
        </w:rPr>
        <w:t xml:space="preserve"> (Art. 1775 C. Civil)</w:t>
      </w:r>
      <w:r w:rsidR="008305FB" w:rsidRPr="002944D8">
        <w:rPr>
          <w:rFonts w:ascii="Gadugi" w:eastAsia="Malgun Gothic" w:hAnsi="Gadugi" w:cs="Estrangelo Edessa"/>
          <w:sz w:val="24"/>
          <w:szCs w:val="24"/>
        </w:rPr>
        <w:t>.</w:t>
      </w:r>
      <w:r w:rsidR="008305FB" w:rsidRPr="002944D8">
        <w:rPr>
          <w:rStyle w:val="Refdenotaalpie"/>
          <w:rFonts w:ascii="Gadugi" w:eastAsia="Malgun Gothic" w:hAnsi="Gadugi" w:cs="Estrangelo Edessa"/>
          <w:sz w:val="24"/>
          <w:szCs w:val="24"/>
        </w:rPr>
        <w:footnoteReference w:id="8"/>
      </w:r>
      <w:r w:rsidR="008305FB" w:rsidRPr="002944D8">
        <w:rPr>
          <w:rFonts w:ascii="Gadugi" w:eastAsia="Malgun Gothic" w:hAnsi="Gadugi" w:cs="Estrangelo Edessa"/>
          <w:sz w:val="24"/>
          <w:szCs w:val="24"/>
        </w:rPr>
        <w:t xml:space="preserve"> </w:t>
      </w:r>
    </w:p>
    <w:p w14:paraId="06024CB9" w14:textId="77777777" w:rsidR="008305FB" w:rsidRPr="002944D8" w:rsidRDefault="008305FB" w:rsidP="002944D8">
      <w:pPr>
        <w:pStyle w:val="Prrafodelista"/>
        <w:tabs>
          <w:tab w:val="left" w:pos="567"/>
          <w:tab w:val="left" w:pos="2268"/>
        </w:tabs>
        <w:spacing w:after="0" w:line="276" w:lineRule="auto"/>
        <w:ind w:left="0"/>
        <w:jc w:val="both"/>
        <w:rPr>
          <w:rFonts w:ascii="Gadugi" w:eastAsia="Malgun Gothic" w:hAnsi="Gadugi" w:cs="Estrangelo Edessa"/>
          <w:bCs/>
          <w:sz w:val="24"/>
          <w:szCs w:val="24"/>
        </w:rPr>
      </w:pPr>
    </w:p>
    <w:p w14:paraId="19019748" w14:textId="13D7E7C1" w:rsidR="00617CF1" w:rsidRPr="002944D8" w:rsidRDefault="0017307B" w:rsidP="002944D8">
      <w:pPr>
        <w:pStyle w:val="Prrafodelista"/>
        <w:numPr>
          <w:ilvl w:val="1"/>
          <w:numId w:val="1"/>
        </w:numPr>
        <w:tabs>
          <w:tab w:val="left" w:pos="567"/>
        </w:tabs>
        <w:spacing w:after="0" w:line="276" w:lineRule="auto"/>
        <w:ind w:left="0" w:firstLine="0"/>
        <w:jc w:val="both"/>
        <w:rPr>
          <w:rFonts w:ascii="Gadugi" w:eastAsia="Calibri" w:hAnsi="Gadugi" w:cs="Times New Roman"/>
          <w:sz w:val="24"/>
          <w:szCs w:val="24"/>
        </w:rPr>
      </w:pPr>
      <w:r w:rsidRPr="002944D8">
        <w:rPr>
          <w:rFonts w:ascii="Gadugi" w:eastAsia="Malgun Gothic" w:hAnsi="Gadugi" w:cs="Estrangelo Edessa"/>
          <w:bCs/>
          <w:sz w:val="24"/>
          <w:szCs w:val="24"/>
        </w:rPr>
        <w:t>Primero que todo</w:t>
      </w:r>
      <w:r w:rsidR="00617CF1" w:rsidRPr="002944D8">
        <w:rPr>
          <w:rFonts w:ascii="Gadugi" w:eastAsia="Malgun Gothic" w:hAnsi="Gadugi" w:cs="Estrangelo Edessa"/>
          <w:bCs/>
          <w:sz w:val="24"/>
          <w:szCs w:val="24"/>
        </w:rPr>
        <w:t xml:space="preserve"> debe recordarse que, </w:t>
      </w:r>
      <w:r w:rsidR="00617CF1" w:rsidRPr="002944D8">
        <w:rPr>
          <w:rFonts w:ascii="Gadugi" w:eastAsia="Calibri" w:hAnsi="Gadugi" w:cs="Times New Roman"/>
          <w:sz w:val="24"/>
          <w:szCs w:val="24"/>
        </w:rPr>
        <w:t>en los términos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w:t>
      </w:r>
      <w:r w:rsidR="00A82730" w:rsidRPr="002944D8">
        <w:rPr>
          <w:rFonts w:ascii="Gadugi" w:eastAsia="Calibri" w:hAnsi="Gadugi" w:cs="Times New Roman"/>
          <w:sz w:val="24"/>
          <w:szCs w:val="24"/>
        </w:rPr>
        <w:t>, e incluso, la revisión del título ejecutivo)</w:t>
      </w:r>
      <w:r w:rsidR="00617CF1" w:rsidRPr="002944D8">
        <w:rPr>
          <w:rFonts w:ascii="Gadugi" w:eastAsia="Calibri" w:hAnsi="Gadugi" w:cs="Times New Roman"/>
          <w:sz w:val="24"/>
          <w:szCs w:val="24"/>
        </w:rPr>
        <w:t>. Es lo que se ha dado en denominar la pretensión impugnaticia, como ha sido reconocido por esta Sala de tiempo atrás</w:t>
      </w:r>
      <w:r w:rsidR="00617CF1" w:rsidRPr="002944D8">
        <w:rPr>
          <w:rStyle w:val="Refdenotaalpie"/>
          <w:rFonts w:ascii="Gadugi" w:eastAsia="Calibri" w:hAnsi="Gadugi" w:cs="Times New Roman"/>
          <w:sz w:val="24"/>
          <w:szCs w:val="24"/>
        </w:rPr>
        <w:footnoteReference w:id="9"/>
      </w:r>
      <w:r w:rsidR="00617CF1" w:rsidRPr="002944D8">
        <w:rPr>
          <w:rFonts w:ascii="Gadugi" w:eastAsia="Calibri" w:hAnsi="Gadugi" w:cs="Times New Roman"/>
          <w:sz w:val="24"/>
          <w:szCs w:val="24"/>
        </w:rPr>
        <w:t xml:space="preserve"> y lo han reiterado otras</w:t>
      </w:r>
      <w:r w:rsidR="00617CF1" w:rsidRPr="002944D8">
        <w:rPr>
          <w:rStyle w:val="Refdenotaalpie"/>
          <w:rFonts w:ascii="Gadugi" w:eastAsia="Calibri" w:hAnsi="Gadugi" w:cs="Times New Roman"/>
          <w:sz w:val="24"/>
          <w:szCs w:val="24"/>
        </w:rPr>
        <w:footnoteReference w:id="10"/>
      </w:r>
      <w:r w:rsidR="00617CF1" w:rsidRPr="002944D8">
        <w:rPr>
          <w:rFonts w:ascii="Gadugi" w:eastAsia="Calibri" w:hAnsi="Gadugi" w:cs="Times New Roman"/>
          <w:sz w:val="24"/>
          <w:szCs w:val="24"/>
        </w:rPr>
        <w:t>, con soporte en decisiones de la Corte, unas de tutela</w:t>
      </w:r>
      <w:r w:rsidR="00617CF1" w:rsidRPr="002944D8">
        <w:rPr>
          <w:rStyle w:val="Refdenotaalpie"/>
          <w:rFonts w:ascii="Gadugi" w:eastAsia="Calibri" w:hAnsi="Gadugi" w:cs="Times New Roman"/>
          <w:sz w:val="24"/>
          <w:szCs w:val="24"/>
        </w:rPr>
        <w:footnoteReference w:id="11"/>
      </w:r>
      <w:r w:rsidR="00617CF1" w:rsidRPr="002944D8">
        <w:rPr>
          <w:rFonts w:ascii="Gadugi" w:eastAsia="Calibri" w:hAnsi="Gadugi" w:cs="Times New Roman"/>
          <w:sz w:val="24"/>
          <w:szCs w:val="24"/>
        </w:rPr>
        <w:t>, que se acogen como criterio auxiliar, y otras de casación</w:t>
      </w:r>
      <w:r w:rsidR="00617CF1" w:rsidRPr="002944D8">
        <w:rPr>
          <w:rStyle w:val="Refdenotaalpie"/>
          <w:rFonts w:ascii="Gadugi" w:eastAsia="Calibri" w:hAnsi="Gadugi" w:cs="Times New Roman"/>
          <w:sz w:val="24"/>
          <w:szCs w:val="24"/>
        </w:rPr>
        <w:footnoteReference w:id="12"/>
      </w:r>
      <w:r w:rsidR="00617CF1" w:rsidRPr="002944D8">
        <w:rPr>
          <w:rFonts w:ascii="Gadugi" w:eastAsia="Calibri" w:hAnsi="Gadugi" w:cs="Times New Roman"/>
          <w:sz w:val="24"/>
          <w:szCs w:val="24"/>
        </w:rPr>
        <w:t xml:space="preserve">. </w:t>
      </w:r>
    </w:p>
    <w:p w14:paraId="1BEAA0B0" w14:textId="7C4F104F" w:rsidR="008A7184" w:rsidRPr="002944D8" w:rsidRDefault="008A7184" w:rsidP="002944D8">
      <w:pPr>
        <w:spacing w:after="0" w:line="276" w:lineRule="auto"/>
        <w:jc w:val="both"/>
        <w:rPr>
          <w:rFonts w:ascii="Gadugi" w:eastAsia="Malgun Gothic" w:hAnsi="Gadugi" w:cs="Estrangelo Edessa"/>
          <w:bCs/>
          <w:sz w:val="24"/>
          <w:szCs w:val="24"/>
        </w:rPr>
      </w:pPr>
    </w:p>
    <w:p w14:paraId="1FF4C91B" w14:textId="672900AD" w:rsidR="00BC4F40" w:rsidRPr="002944D8" w:rsidRDefault="00FC6239" w:rsidP="002944D8">
      <w:pPr>
        <w:pStyle w:val="Prrafodelista"/>
        <w:numPr>
          <w:ilvl w:val="1"/>
          <w:numId w:val="1"/>
        </w:numPr>
        <w:tabs>
          <w:tab w:val="left" w:pos="567"/>
          <w:tab w:val="left" w:pos="2268"/>
        </w:tabs>
        <w:spacing w:after="0" w:line="276" w:lineRule="auto"/>
        <w:ind w:left="0" w:firstLine="0"/>
        <w:jc w:val="both"/>
        <w:rPr>
          <w:rFonts w:ascii="Gadugi" w:eastAsia="Malgun Gothic" w:hAnsi="Gadugi" w:cs="Estrangelo Edessa"/>
          <w:sz w:val="24"/>
          <w:szCs w:val="24"/>
        </w:rPr>
      </w:pPr>
      <w:r w:rsidRPr="002944D8">
        <w:rPr>
          <w:rFonts w:ascii="Gadugi" w:eastAsia="Malgun Gothic" w:hAnsi="Gadugi" w:cs="Estrangelo Edessa"/>
          <w:sz w:val="24"/>
          <w:szCs w:val="24"/>
        </w:rPr>
        <w:lastRenderedPageBreak/>
        <w:t>Sigue</w:t>
      </w:r>
      <w:r w:rsidR="00BC4F40" w:rsidRPr="002944D8">
        <w:rPr>
          <w:rFonts w:ascii="Gadugi" w:eastAsia="Malgun Gothic" w:hAnsi="Gadugi" w:cs="Estrangelo Edessa"/>
          <w:sz w:val="24"/>
          <w:szCs w:val="24"/>
        </w:rPr>
        <w:t xml:space="preserve"> decir que este es un caso en el que se busca, a toda costa, la </w:t>
      </w:r>
      <w:r w:rsidR="0048729D" w:rsidRPr="002944D8">
        <w:rPr>
          <w:rFonts w:ascii="Gadugi" w:eastAsia="Malgun Gothic" w:hAnsi="Gadugi" w:cs="Estrangelo Edessa"/>
          <w:sz w:val="24"/>
          <w:szCs w:val="24"/>
        </w:rPr>
        <w:t>nulidad</w:t>
      </w:r>
      <w:r w:rsidR="00BC4F40" w:rsidRPr="002944D8">
        <w:rPr>
          <w:rFonts w:ascii="Gadugi" w:eastAsia="Malgun Gothic" w:hAnsi="Gadugi" w:cs="Estrangelo Edessa"/>
          <w:sz w:val="24"/>
          <w:szCs w:val="24"/>
        </w:rPr>
        <w:t xml:space="preserve"> de una escritura pública, y</w:t>
      </w:r>
      <w:r w:rsidR="00F60412" w:rsidRPr="002944D8">
        <w:rPr>
          <w:rFonts w:ascii="Gadugi" w:eastAsia="Malgun Gothic" w:hAnsi="Gadugi" w:cs="Estrangelo Edessa"/>
          <w:sz w:val="24"/>
          <w:szCs w:val="24"/>
        </w:rPr>
        <w:t xml:space="preserve"> aunque se enlistan múltiples reparos y argumentos</w:t>
      </w:r>
      <w:r w:rsidR="00B95B3A" w:rsidRPr="002944D8">
        <w:rPr>
          <w:rFonts w:ascii="Gadugi" w:eastAsia="Malgun Gothic" w:hAnsi="Gadugi" w:cs="Estrangelo Edessa"/>
          <w:sz w:val="24"/>
          <w:szCs w:val="24"/>
        </w:rPr>
        <w:t xml:space="preserve"> en la sustentación</w:t>
      </w:r>
      <w:r w:rsidR="00F60412" w:rsidRPr="002944D8">
        <w:rPr>
          <w:rFonts w:ascii="Gadugi" w:eastAsia="Malgun Gothic" w:hAnsi="Gadugi" w:cs="Estrangelo Edessa"/>
          <w:sz w:val="24"/>
          <w:szCs w:val="24"/>
        </w:rPr>
        <w:t>, todos ellos pueden dividirse en tres frentes</w:t>
      </w:r>
      <w:r w:rsidR="00B95B3A" w:rsidRPr="002944D8">
        <w:rPr>
          <w:rFonts w:ascii="Gadugi" w:eastAsia="Malgun Gothic" w:hAnsi="Gadugi" w:cs="Estrangelo Edessa"/>
          <w:sz w:val="24"/>
          <w:szCs w:val="24"/>
        </w:rPr>
        <w:t xml:space="preserve"> que buscan la declaratoria de nulidad, </w:t>
      </w:r>
      <w:r w:rsidR="00B95B3A" w:rsidRPr="002944D8">
        <w:rPr>
          <w:rFonts w:ascii="Gadugi" w:eastAsia="Malgun Gothic" w:hAnsi="Gadugi" w:cs="Estrangelo Edessa"/>
          <w:sz w:val="24"/>
          <w:szCs w:val="24"/>
          <w:u w:val="single"/>
        </w:rPr>
        <w:t>el</w:t>
      </w:r>
      <w:r w:rsidR="00BC4F40" w:rsidRPr="002944D8">
        <w:rPr>
          <w:rFonts w:ascii="Gadugi" w:eastAsia="Malgun Gothic" w:hAnsi="Gadugi" w:cs="Estrangelo Edessa"/>
          <w:sz w:val="24"/>
          <w:szCs w:val="24"/>
          <w:u w:val="single"/>
        </w:rPr>
        <w:t xml:space="preserve"> primer</w:t>
      </w:r>
      <w:r w:rsidR="00B95B3A" w:rsidRPr="002944D8">
        <w:rPr>
          <w:rFonts w:ascii="Gadugi" w:eastAsia="Malgun Gothic" w:hAnsi="Gadugi" w:cs="Estrangelo Edessa"/>
          <w:sz w:val="24"/>
          <w:szCs w:val="24"/>
          <w:u w:val="single"/>
        </w:rPr>
        <w:t>o</w:t>
      </w:r>
      <w:r w:rsidR="00BC4F40" w:rsidRPr="002944D8">
        <w:rPr>
          <w:rFonts w:ascii="Gadugi" w:eastAsia="Malgun Gothic" w:hAnsi="Gadugi" w:cs="Estrangelo Edessa"/>
          <w:sz w:val="24"/>
          <w:szCs w:val="24"/>
        </w:rPr>
        <w:t>, por vicios en su formación, en el entendido de que fue realizada con un poder espurio</w:t>
      </w:r>
      <w:r w:rsidRPr="002944D8">
        <w:rPr>
          <w:rFonts w:ascii="Gadugi" w:eastAsia="Malgun Gothic" w:hAnsi="Gadugi" w:cs="Estrangelo Edessa"/>
          <w:sz w:val="24"/>
          <w:szCs w:val="24"/>
        </w:rPr>
        <w:t>;</w:t>
      </w:r>
      <w:r w:rsidR="00BC4F40" w:rsidRPr="002944D8">
        <w:rPr>
          <w:rFonts w:ascii="Gadugi" w:eastAsia="Malgun Gothic" w:hAnsi="Gadugi" w:cs="Estrangelo Edessa"/>
          <w:sz w:val="24"/>
          <w:szCs w:val="24"/>
        </w:rPr>
        <w:t xml:space="preserve"> </w:t>
      </w:r>
      <w:r w:rsidR="00B95B3A" w:rsidRPr="002944D8">
        <w:rPr>
          <w:rFonts w:ascii="Gadugi" w:eastAsia="Malgun Gothic" w:hAnsi="Gadugi" w:cs="Estrangelo Edessa"/>
          <w:sz w:val="24"/>
          <w:szCs w:val="24"/>
          <w:u w:val="single"/>
        </w:rPr>
        <w:t>el</w:t>
      </w:r>
      <w:r w:rsidR="00BC4F40" w:rsidRPr="002944D8">
        <w:rPr>
          <w:rFonts w:ascii="Gadugi" w:eastAsia="Malgun Gothic" w:hAnsi="Gadugi" w:cs="Estrangelo Edessa"/>
          <w:sz w:val="24"/>
          <w:szCs w:val="24"/>
          <w:u w:val="single"/>
        </w:rPr>
        <w:t xml:space="preserve"> segund</w:t>
      </w:r>
      <w:r w:rsidR="00336AA2" w:rsidRPr="002944D8">
        <w:rPr>
          <w:rFonts w:ascii="Gadugi" w:eastAsia="Malgun Gothic" w:hAnsi="Gadugi" w:cs="Estrangelo Edessa"/>
          <w:sz w:val="24"/>
          <w:szCs w:val="24"/>
          <w:u w:val="single"/>
        </w:rPr>
        <w:t>o</w:t>
      </w:r>
      <w:r w:rsidR="00BC4F40" w:rsidRPr="002944D8">
        <w:rPr>
          <w:rFonts w:ascii="Gadugi" w:eastAsia="Malgun Gothic" w:hAnsi="Gadugi" w:cs="Estrangelo Edessa"/>
          <w:sz w:val="24"/>
          <w:szCs w:val="24"/>
        </w:rPr>
        <w:t xml:space="preserve">, porque su causa es ilícita comoquiera que defraudó </w:t>
      </w:r>
      <w:r w:rsidR="006C6943" w:rsidRPr="002944D8">
        <w:rPr>
          <w:rFonts w:ascii="Gadugi" w:eastAsia="Malgun Gothic" w:hAnsi="Gadugi" w:cs="Estrangelo Edessa"/>
          <w:sz w:val="24"/>
          <w:szCs w:val="24"/>
        </w:rPr>
        <w:t>los intereses de la</w:t>
      </w:r>
      <w:r w:rsidR="00C05724" w:rsidRPr="002944D8">
        <w:rPr>
          <w:rFonts w:ascii="Gadugi" w:eastAsia="Malgun Gothic" w:hAnsi="Gadugi" w:cs="Estrangelo Edessa"/>
          <w:sz w:val="24"/>
          <w:szCs w:val="24"/>
        </w:rPr>
        <w:t xml:space="preserve"> demandante</w:t>
      </w:r>
      <w:r w:rsidRPr="002944D8">
        <w:rPr>
          <w:rFonts w:ascii="Gadugi" w:eastAsia="Malgun Gothic" w:hAnsi="Gadugi" w:cs="Estrangelo Edessa"/>
          <w:sz w:val="24"/>
          <w:szCs w:val="24"/>
        </w:rPr>
        <w:t>;</w:t>
      </w:r>
      <w:r w:rsidR="00BC4F40" w:rsidRPr="002944D8">
        <w:rPr>
          <w:rFonts w:ascii="Gadugi" w:eastAsia="Malgun Gothic" w:hAnsi="Gadugi" w:cs="Estrangelo Edessa"/>
          <w:sz w:val="24"/>
          <w:szCs w:val="24"/>
        </w:rPr>
        <w:t xml:space="preserve"> </w:t>
      </w:r>
      <w:r w:rsidR="00BC4F40" w:rsidRPr="002944D8">
        <w:rPr>
          <w:rFonts w:ascii="Gadugi" w:eastAsia="Malgun Gothic" w:hAnsi="Gadugi" w:cs="Estrangelo Edessa"/>
          <w:sz w:val="24"/>
          <w:szCs w:val="24"/>
          <w:u w:val="single"/>
        </w:rPr>
        <w:t xml:space="preserve">y </w:t>
      </w:r>
      <w:r w:rsidR="00336AA2" w:rsidRPr="002944D8">
        <w:rPr>
          <w:rFonts w:ascii="Gadugi" w:eastAsia="Malgun Gothic" w:hAnsi="Gadugi" w:cs="Estrangelo Edessa"/>
          <w:sz w:val="24"/>
          <w:szCs w:val="24"/>
          <w:u w:val="single"/>
        </w:rPr>
        <w:t>el</w:t>
      </w:r>
      <w:r w:rsidR="00BC4F40" w:rsidRPr="002944D8">
        <w:rPr>
          <w:rFonts w:ascii="Gadugi" w:eastAsia="Malgun Gothic" w:hAnsi="Gadugi" w:cs="Estrangelo Edessa"/>
          <w:sz w:val="24"/>
          <w:szCs w:val="24"/>
          <w:u w:val="single"/>
        </w:rPr>
        <w:t xml:space="preserve"> </w:t>
      </w:r>
      <w:r w:rsidR="00C05724" w:rsidRPr="002944D8">
        <w:rPr>
          <w:rFonts w:ascii="Gadugi" w:eastAsia="Malgun Gothic" w:hAnsi="Gadugi" w:cs="Estrangelo Edessa"/>
          <w:sz w:val="24"/>
          <w:szCs w:val="24"/>
          <w:u w:val="single"/>
        </w:rPr>
        <w:t>tercer</w:t>
      </w:r>
      <w:r w:rsidR="00336AA2" w:rsidRPr="002944D8">
        <w:rPr>
          <w:rFonts w:ascii="Gadugi" w:eastAsia="Malgun Gothic" w:hAnsi="Gadugi" w:cs="Estrangelo Edessa"/>
          <w:sz w:val="24"/>
          <w:szCs w:val="24"/>
          <w:u w:val="single"/>
        </w:rPr>
        <w:t>o</w:t>
      </w:r>
      <w:r w:rsidR="00BC4F40" w:rsidRPr="002944D8">
        <w:rPr>
          <w:rFonts w:ascii="Gadugi" w:eastAsia="Malgun Gothic" w:hAnsi="Gadugi" w:cs="Estrangelo Edessa"/>
          <w:sz w:val="24"/>
          <w:szCs w:val="24"/>
        </w:rPr>
        <w:t xml:space="preserve">, porque </w:t>
      </w:r>
      <w:r w:rsidR="006C6943" w:rsidRPr="002944D8">
        <w:rPr>
          <w:rFonts w:ascii="Gadugi" w:eastAsia="Malgun Gothic" w:hAnsi="Gadugi" w:cs="Estrangelo Edessa"/>
          <w:sz w:val="24"/>
          <w:szCs w:val="24"/>
        </w:rPr>
        <w:t>dicho documento</w:t>
      </w:r>
      <w:r w:rsidR="00755ED3" w:rsidRPr="002944D8">
        <w:rPr>
          <w:rFonts w:ascii="Gadugi" w:eastAsia="Malgun Gothic" w:hAnsi="Gadugi" w:cs="Estrangelo Edessa"/>
          <w:sz w:val="24"/>
          <w:szCs w:val="24"/>
        </w:rPr>
        <w:t xml:space="preserve"> no contiene un divorcio, sino</w:t>
      </w:r>
      <w:r w:rsidR="006C6943" w:rsidRPr="002944D8">
        <w:rPr>
          <w:rFonts w:ascii="Gadugi" w:eastAsia="Malgun Gothic" w:hAnsi="Gadugi" w:cs="Estrangelo Edessa"/>
          <w:sz w:val="24"/>
          <w:szCs w:val="24"/>
        </w:rPr>
        <w:t xml:space="preserve"> </w:t>
      </w:r>
      <w:r w:rsidR="00BC4F40" w:rsidRPr="002944D8">
        <w:rPr>
          <w:rFonts w:ascii="Gadugi" w:eastAsia="Malgun Gothic" w:hAnsi="Gadugi" w:cs="Estrangelo Edessa"/>
          <w:sz w:val="24"/>
          <w:szCs w:val="24"/>
        </w:rPr>
        <w:t xml:space="preserve">una donación que carece de las solemnidades necesarias para su validez. </w:t>
      </w:r>
    </w:p>
    <w:p w14:paraId="63674D6C" w14:textId="11FD4F91" w:rsidR="00D40FD6" w:rsidRPr="002944D8" w:rsidRDefault="00D40FD6" w:rsidP="002944D8">
      <w:pPr>
        <w:spacing w:line="276" w:lineRule="auto"/>
        <w:ind w:right="618"/>
        <w:jc w:val="both"/>
        <w:rPr>
          <w:rFonts w:ascii="Gadugi" w:eastAsia="Malgun Gothic" w:hAnsi="Gadugi" w:cs="Estrangelo Edessa"/>
          <w:bCs/>
          <w:sz w:val="24"/>
          <w:szCs w:val="24"/>
        </w:rPr>
      </w:pPr>
    </w:p>
    <w:p w14:paraId="3DE218C3" w14:textId="4783D9F4" w:rsidR="00272D9B" w:rsidRPr="002944D8" w:rsidRDefault="00272D9B" w:rsidP="002944D8">
      <w:pPr>
        <w:spacing w:after="0" w:line="276" w:lineRule="auto"/>
        <w:ind w:right="51"/>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En el análisis de esos tres puntos se dividirá el estudio que se </w:t>
      </w:r>
      <w:r w:rsidR="00FC6239" w:rsidRPr="002944D8">
        <w:rPr>
          <w:rFonts w:ascii="Gadugi" w:eastAsia="Malgun Gothic" w:hAnsi="Gadugi" w:cs="Estrangelo Edessa"/>
          <w:bCs/>
          <w:sz w:val="24"/>
          <w:szCs w:val="24"/>
        </w:rPr>
        <w:t>r</w:t>
      </w:r>
      <w:r w:rsidRPr="002944D8">
        <w:rPr>
          <w:rFonts w:ascii="Gadugi" w:eastAsia="Malgun Gothic" w:hAnsi="Gadugi" w:cs="Estrangelo Edessa"/>
          <w:bCs/>
          <w:sz w:val="24"/>
          <w:szCs w:val="24"/>
        </w:rPr>
        <w:t>ealizará en este fallo:</w:t>
      </w:r>
    </w:p>
    <w:p w14:paraId="284D4015" w14:textId="77777777" w:rsidR="00FC6239" w:rsidRPr="002944D8" w:rsidRDefault="00FC6239" w:rsidP="002944D8">
      <w:pPr>
        <w:spacing w:after="0" w:line="276" w:lineRule="auto"/>
        <w:ind w:right="51"/>
        <w:jc w:val="both"/>
        <w:rPr>
          <w:rFonts w:ascii="Gadugi" w:eastAsia="Malgun Gothic" w:hAnsi="Gadugi" w:cs="Estrangelo Edessa"/>
          <w:bCs/>
          <w:sz w:val="24"/>
          <w:szCs w:val="24"/>
        </w:rPr>
      </w:pPr>
    </w:p>
    <w:p w14:paraId="085C749F" w14:textId="77777777" w:rsidR="00F60412" w:rsidRPr="002944D8" w:rsidRDefault="00F60412" w:rsidP="002944D8">
      <w:pPr>
        <w:pStyle w:val="Prrafodelista"/>
        <w:numPr>
          <w:ilvl w:val="1"/>
          <w:numId w:val="1"/>
        </w:numPr>
        <w:tabs>
          <w:tab w:val="left" w:pos="567"/>
          <w:tab w:val="left" w:pos="2268"/>
        </w:tabs>
        <w:spacing w:after="0" w:line="276" w:lineRule="auto"/>
        <w:ind w:left="0" w:firstLine="0"/>
        <w:jc w:val="both"/>
        <w:rPr>
          <w:rFonts w:ascii="Gadugi" w:eastAsia="Malgun Gothic" w:hAnsi="Gadugi" w:cs="Estrangelo Edessa"/>
          <w:bCs/>
          <w:sz w:val="24"/>
          <w:szCs w:val="24"/>
        </w:rPr>
      </w:pPr>
      <w:r w:rsidRPr="002944D8">
        <w:rPr>
          <w:rFonts w:ascii="Gadugi" w:eastAsia="Malgun Gothic" w:hAnsi="Gadugi" w:cs="Estrangelo Edessa"/>
          <w:bCs/>
          <w:sz w:val="24"/>
          <w:szCs w:val="24"/>
        </w:rPr>
        <w:t>Caso Concreto:</w:t>
      </w:r>
    </w:p>
    <w:p w14:paraId="4429B79B" w14:textId="70FDB6D3" w:rsidR="00F60412" w:rsidRPr="002944D8" w:rsidRDefault="00F60412" w:rsidP="002944D8">
      <w:pPr>
        <w:pStyle w:val="Prrafodelista"/>
        <w:tabs>
          <w:tab w:val="left" w:pos="567"/>
          <w:tab w:val="left" w:pos="2268"/>
        </w:tabs>
        <w:spacing w:after="0" w:line="276" w:lineRule="auto"/>
        <w:ind w:left="0"/>
        <w:jc w:val="both"/>
        <w:rPr>
          <w:rFonts w:ascii="Gadugi" w:eastAsia="Malgun Gothic" w:hAnsi="Gadugi" w:cs="Estrangelo Edessa"/>
          <w:bCs/>
          <w:sz w:val="24"/>
          <w:szCs w:val="24"/>
        </w:rPr>
      </w:pPr>
    </w:p>
    <w:p w14:paraId="1A813047" w14:textId="6FBCF946" w:rsidR="002327D0" w:rsidRPr="002944D8" w:rsidRDefault="002D6944" w:rsidP="002944D8">
      <w:pPr>
        <w:pStyle w:val="Prrafodelista"/>
        <w:numPr>
          <w:ilvl w:val="2"/>
          <w:numId w:val="1"/>
        </w:numPr>
        <w:spacing w:after="0" w:line="276" w:lineRule="auto"/>
        <w:ind w:left="0" w:hanging="11"/>
        <w:jc w:val="both"/>
        <w:rPr>
          <w:rFonts w:ascii="Gadugi" w:eastAsia="Malgun Gothic" w:hAnsi="Gadugi" w:cs="Estrangelo Edessa"/>
          <w:bCs/>
          <w:sz w:val="24"/>
          <w:szCs w:val="24"/>
        </w:rPr>
      </w:pPr>
      <w:r w:rsidRPr="002944D8">
        <w:rPr>
          <w:rFonts w:ascii="Gadugi" w:eastAsia="Malgun Gothic" w:hAnsi="Gadugi" w:cs="Estrangelo Edessa"/>
          <w:sz w:val="24"/>
          <w:szCs w:val="24"/>
        </w:rPr>
        <w:t xml:space="preserve">Para empezar a aclarar </w:t>
      </w:r>
      <w:r w:rsidR="00A87647" w:rsidRPr="002944D8">
        <w:rPr>
          <w:rFonts w:ascii="Gadugi" w:eastAsia="Malgun Gothic" w:hAnsi="Gadugi" w:cs="Estrangelo Edessa"/>
          <w:sz w:val="24"/>
          <w:szCs w:val="24"/>
        </w:rPr>
        <w:t>la cuestión</w:t>
      </w:r>
      <w:r w:rsidR="00272D9B" w:rsidRPr="002944D8">
        <w:rPr>
          <w:rFonts w:ascii="Gadugi" w:eastAsia="Malgun Gothic" w:hAnsi="Gadugi" w:cs="Estrangelo Edessa"/>
          <w:sz w:val="24"/>
          <w:szCs w:val="24"/>
        </w:rPr>
        <w:t xml:space="preserve">, </w:t>
      </w:r>
      <w:r w:rsidR="002327D0" w:rsidRPr="002944D8">
        <w:rPr>
          <w:rFonts w:ascii="Gadugi" w:eastAsia="Malgun Gothic" w:hAnsi="Gadugi" w:cs="Estrangelo Edessa"/>
          <w:bCs/>
          <w:sz w:val="24"/>
          <w:szCs w:val="24"/>
        </w:rPr>
        <w:t>vale la pena relievar que diferencia existe entre la nulidad del documento que contiene un negocio jurídico y la nulidad del negocio mismo. A propósito de ello, la Sala de Casación Civil de la Corte Suprema de Justicia explica lo siguiente</w:t>
      </w:r>
      <w:r w:rsidR="002327D0" w:rsidRPr="002944D8">
        <w:rPr>
          <w:rStyle w:val="Refdenotaalpie"/>
          <w:rFonts w:ascii="Gadugi" w:eastAsia="Malgun Gothic" w:hAnsi="Gadugi" w:cs="Estrangelo Edessa"/>
          <w:bCs/>
          <w:sz w:val="24"/>
          <w:szCs w:val="24"/>
        </w:rPr>
        <w:footnoteReference w:id="13"/>
      </w:r>
      <w:r w:rsidR="002327D0" w:rsidRPr="002944D8">
        <w:rPr>
          <w:rFonts w:ascii="Gadugi" w:eastAsia="Malgun Gothic" w:hAnsi="Gadugi" w:cs="Estrangelo Edessa"/>
          <w:bCs/>
          <w:sz w:val="24"/>
          <w:szCs w:val="24"/>
        </w:rPr>
        <w:t>:</w:t>
      </w:r>
    </w:p>
    <w:p w14:paraId="6925D188" w14:textId="77777777" w:rsidR="002327D0" w:rsidRPr="002944D8" w:rsidRDefault="002327D0" w:rsidP="002944D8">
      <w:pPr>
        <w:pStyle w:val="Prrafodelista"/>
        <w:spacing w:after="0" w:line="276" w:lineRule="auto"/>
        <w:ind w:left="0"/>
        <w:jc w:val="both"/>
        <w:rPr>
          <w:rFonts w:ascii="Gadugi" w:eastAsia="Malgun Gothic" w:hAnsi="Gadugi" w:cs="Estrangelo Edessa"/>
          <w:bCs/>
          <w:sz w:val="24"/>
          <w:szCs w:val="24"/>
        </w:rPr>
      </w:pPr>
    </w:p>
    <w:p w14:paraId="6AE44205" w14:textId="77777777" w:rsidR="002327D0" w:rsidRPr="007963FD" w:rsidRDefault="002327D0" w:rsidP="007963FD">
      <w:pPr>
        <w:spacing w:after="0" w:line="240" w:lineRule="auto"/>
        <w:ind w:left="426" w:right="420"/>
        <w:jc w:val="both"/>
        <w:rPr>
          <w:rFonts w:ascii="Gadugi" w:hAnsi="Gadugi" w:cs="Arial"/>
          <w:szCs w:val="24"/>
        </w:rPr>
      </w:pPr>
      <w:r w:rsidRPr="007963FD">
        <w:rPr>
          <w:rFonts w:ascii="Gadugi" w:hAnsi="Gadugi" w:cs="Arial"/>
          <w:szCs w:val="24"/>
        </w:rPr>
        <w:t xml:space="preserve">4.5.2.2. Sin perjuicio de las formalidades </w:t>
      </w:r>
      <w:r w:rsidRPr="007963FD">
        <w:rPr>
          <w:rFonts w:ascii="Gadugi" w:hAnsi="Gadugi" w:cs="Arial"/>
          <w:i/>
          <w:szCs w:val="24"/>
        </w:rPr>
        <w:t xml:space="preserve">ad </w:t>
      </w:r>
      <w:proofErr w:type="spellStart"/>
      <w:r w:rsidRPr="007963FD">
        <w:rPr>
          <w:rFonts w:ascii="Gadugi" w:hAnsi="Gadugi" w:cs="Arial"/>
          <w:i/>
          <w:szCs w:val="24"/>
        </w:rPr>
        <w:t>substantiam</w:t>
      </w:r>
      <w:proofErr w:type="spellEnd"/>
      <w:r w:rsidRPr="007963FD">
        <w:rPr>
          <w:rFonts w:ascii="Gadugi" w:hAnsi="Gadugi" w:cs="Arial"/>
          <w:i/>
          <w:szCs w:val="24"/>
        </w:rPr>
        <w:t xml:space="preserve"> </w:t>
      </w:r>
      <w:proofErr w:type="spellStart"/>
      <w:r w:rsidRPr="007963FD">
        <w:rPr>
          <w:rFonts w:ascii="Gadugi" w:hAnsi="Gadugi" w:cs="Arial"/>
          <w:i/>
          <w:szCs w:val="24"/>
        </w:rPr>
        <w:t>actus</w:t>
      </w:r>
      <w:proofErr w:type="spellEnd"/>
      <w:r w:rsidRPr="007963FD">
        <w:rPr>
          <w:rFonts w:ascii="Gadugi" w:hAnsi="Gadugi" w:cs="Arial"/>
          <w:szCs w:val="24"/>
        </w:rPr>
        <w:t>, excepcionales por lo demás, las declaraciones de voluntad, siguiendo el principio general de la consensualidad, pueden o no ser documentadas.</w:t>
      </w:r>
    </w:p>
    <w:p w14:paraId="51C59E12" w14:textId="77777777" w:rsidR="002327D0" w:rsidRPr="007963FD" w:rsidRDefault="002327D0" w:rsidP="007963FD">
      <w:pPr>
        <w:spacing w:after="0" w:line="240" w:lineRule="auto"/>
        <w:ind w:left="426" w:right="420"/>
        <w:jc w:val="both"/>
        <w:rPr>
          <w:rFonts w:ascii="Gadugi" w:hAnsi="Gadugi" w:cs="Arial"/>
          <w:szCs w:val="24"/>
        </w:rPr>
      </w:pPr>
    </w:p>
    <w:p w14:paraId="254DF3E1" w14:textId="77777777" w:rsidR="002327D0" w:rsidRPr="007963FD" w:rsidRDefault="002327D0" w:rsidP="007963FD">
      <w:pPr>
        <w:spacing w:after="0" w:line="240" w:lineRule="auto"/>
        <w:ind w:left="426" w:right="420"/>
        <w:jc w:val="both"/>
        <w:rPr>
          <w:rFonts w:ascii="Gadugi" w:hAnsi="Gadugi" w:cs="Arial"/>
          <w:szCs w:val="24"/>
        </w:rPr>
      </w:pPr>
      <w:r w:rsidRPr="007963FD">
        <w:rPr>
          <w:rFonts w:ascii="Gadugi" w:hAnsi="Gadugi" w:cs="Arial"/>
          <w:szCs w:val="24"/>
        </w:rPr>
        <w:t>Si lo son, resulta necesario separar el contenido de una manifestación de esa naturaleza, en sí misma considerada, del instrumento que la demuestra, de donde, consecuentemente, cual tiene explicado esta Corporación, “</w:t>
      </w:r>
      <w:r w:rsidRPr="007963FD">
        <w:rPr>
          <w:rFonts w:ascii="Gadugi" w:hAnsi="Gadugi" w:cs="Arial"/>
          <w:i/>
          <w:szCs w:val="24"/>
        </w:rPr>
        <w:t>(…)</w:t>
      </w:r>
      <w:r w:rsidRPr="007963FD">
        <w:rPr>
          <w:rFonts w:ascii="Gadugi" w:hAnsi="Gadugi"/>
          <w:i/>
          <w:szCs w:val="24"/>
        </w:rPr>
        <w:t xml:space="preserve"> </w:t>
      </w:r>
      <w:r w:rsidRPr="007963FD">
        <w:rPr>
          <w:rFonts w:ascii="Gadugi" w:hAnsi="Gadugi"/>
          <w:b/>
          <w:bCs/>
          <w:i/>
          <w:szCs w:val="24"/>
        </w:rPr>
        <w:t>no puede confundirse el documento como continente, que es una cosa, con las manifestaciones vertidas en él, más precisamente, con el acto documentado</w:t>
      </w:r>
      <w:r w:rsidRPr="007963FD">
        <w:rPr>
          <w:rFonts w:ascii="Gadugi" w:hAnsi="Gadugi"/>
          <w:i/>
          <w:szCs w:val="24"/>
        </w:rPr>
        <w:t xml:space="preserve"> (…)</w:t>
      </w:r>
      <w:r w:rsidRPr="007963FD">
        <w:rPr>
          <w:rFonts w:ascii="Gadugi" w:hAnsi="Gadugi"/>
          <w:szCs w:val="24"/>
        </w:rPr>
        <w:t>”</w:t>
      </w:r>
      <w:r w:rsidRPr="007963FD">
        <w:rPr>
          <w:rStyle w:val="Refdenotaalpie"/>
          <w:rFonts w:ascii="Gadugi" w:hAnsi="Gadugi"/>
          <w:szCs w:val="24"/>
        </w:rPr>
        <w:footnoteReference w:id="14"/>
      </w:r>
      <w:r w:rsidRPr="007963FD">
        <w:rPr>
          <w:rFonts w:ascii="Gadugi" w:hAnsi="Gadugi"/>
          <w:szCs w:val="24"/>
        </w:rPr>
        <w:t>.</w:t>
      </w:r>
    </w:p>
    <w:p w14:paraId="3A91C253" w14:textId="77777777" w:rsidR="002327D0" w:rsidRPr="007963FD" w:rsidRDefault="002327D0" w:rsidP="007963FD">
      <w:pPr>
        <w:spacing w:after="0" w:line="240" w:lineRule="auto"/>
        <w:ind w:left="426" w:right="420"/>
        <w:jc w:val="both"/>
        <w:rPr>
          <w:rFonts w:ascii="Gadugi" w:hAnsi="Gadugi" w:cs="Arial"/>
          <w:szCs w:val="24"/>
        </w:rPr>
      </w:pPr>
    </w:p>
    <w:p w14:paraId="04D8BDDA" w14:textId="77777777" w:rsidR="002327D0" w:rsidRPr="007963FD" w:rsidRDefault="002327D0" w:rsidP="007963FD">
      <w:pPr>
        <w:spacing w:after="0" w:line="240" w:lineRule="auto"/>
        <w:ind w:left="426" w:right="420"/>
        <w:jc w:val="both"/>
        <w:rPr>
          <w:rFonts w:ascii="Gadugi" w:hAnsi="Gadugi" w:cs="Arial"/>
          <w:szCs w:val="24"/>
        </w:rPr>
      </w:pPr>
      <w:r w:rsidRPr="007963FD">
        <w:rPr>
          <w:rFonts w:ascii="Gadugi" w:hAnsi="Gadugi" w:cs="Arial"/>
          <w:b/>
          <w:bCs/>
          <w:szCs w:val="24"/>
        </w:rPr>
        <w:t>La distinción es de capital importancia, pues no siempre los hechos que afectan un negocio jurídico, conllevan a anular el documento donde fue vertido</w:t>
      </w:r>
      <w:r w:rsidRPr="007963FD">
        <w:rPr>
          <w:rFonts w:ascii="Gadugi" w:hAnsi="Gadugi" w:cs="Arial"/>
          <w:szCs w:val="24"/>
        </w:rPr>
        <w:t>. Así, en palabras de la doctrina, “</w:t>
      </w:r>
      <w:r w:rsidRPr="007963FD">
        <w:rPr>
          <w:rFonts w:ascii="Gadugi" w:hAnsi="Gadugi" w:cs="Arial"/>
          <w:i/>
          <w:szCs w:val="24"/>
        </w:rPr>
        <w:t xml:space="preserve">(…) la violencia y el dolo para inducir a una persona a celebrar un contrato, vician de nulidad al primero y al documento como prueba; </w:t>
      </w:r>
      <w:r w:rsidRPr="007963FD">
        <w:rPr>
          <w:rFonts w:ascii="Gadugi" w:hAnsi="Gadugi" w:cs="Arial"/>
          <w:b/>
          <w:bCs/>
          <w:i/>
          <w:szCs w:val="24"/>
        </w:rPr>
        <w:t>pero el error que vicia el consentimiento y, por tanto, el contrato, no implica la nulidad del documento que lo contiene</w:t>
      </w:r>
      <w:r w:rsidRPr="007963FD">
        <w:rPr>
          <w:rFonts w:ascii="Gadugi" w:hAnsi="Gadugi" w:cs="Arial"/>
          <w:i/>
          <w:szCs w:val="24"/>
        </w:rPr>
        <w:t>; de la misma manera, la causa o el objeto ilícito y la incapacidad vician de nulidad el consentimiento y el contrato o el acto jurídico unilateral, pero no el documento que le sirve de prueba (….)</w:t>
      </w:r>
      <w:r w:rsidRPr="007963FD">
        <w:rPr>
          <w:rFonts w:ascii="Gadugi" w:hAnsi="Gadugi" w:cs="Arial"/>
          <w:szCs w:val="24"/>
        </w:rPr>
        <w:t>”</w:t>
      </w:r>
      <w:r w:rsidRPr="007963FD">
        <w:rPr>
          <w:rStyle w:val="Refdenotaalpie"/>
          <w:rFonts w:ascii="Gadugi" w:hAnsi="Gadugi" w:cs="Arial"/>
          <w:szCs w:val="24"/>
        </w:rPr>
        <w:footnoteReference w:id="15"/>
      </w:r>
      <w:r w:rsidRPr="007963FD">
        <w:rPr>
          <w:rFonts w:ascii="Gadugi" w:hAnsi="Gadugi" w:cs="Arial"/>
          <w:szCs w:val="24"/>
        </w:rPr>
        <w:t>.</w:t>
      </w:r>
    </w:p>
    <w:p w14:paraId="09F8038E" w14:textId="77777777" w:rsidR="002327D0" w:rsidRPr="002944D8" w:rsidRDefault="002327D0" w:rsidP="002944D8">
      <w:pPr>
        <w:pStyle w:val="Prrafodelista"/>
        <w:spacing w:after="0" w:line="276" w:lineRule="auto"/>
        <w:ind w:left="0"/>
        <w:jc w:val="both"/>
        <w:rPr>
          <w:rFonts w:ascii="Gadugi" w:hAnsi="Gadugi"/>
          <w:sz w:val="24"/>
          <w:szCs w:val="24"/>
        </w:rPr>
      </w:pPr>
      <w:r w:rsidRPr="002944D8">
        <w:rPr>
          <w:rFonts w:ascii="Gadugi" w:eastAsia="Malgun Gothic" w:hAnsi="Gadugi" w:cs="Estrangelo Edessa"/>
          <w:bCs/>
          <w:sz w:val="24"/>
          <w:szCs w:val="24"/>
        </w:rPr>
        <w:t xml:space="preserve">  </w:t>
      </w:r>
    </w:p>
    <w:p w14:paraId="0AAD0A46" w14:textId="62179A0D" w:rsidR="002327D0" w:rsidRPr="002944D8" w:rsidRDefault="002327D0" w:rsidP="002944D8">
      <w:pPr>
        <w:pStyle w:val="Prrafodelista"/>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De la lectura de ese precedente surge una inevitable pregunta, ¿en este asunto qué es realmente lo que se busca: la nulidad de la escritura pública </w:t>
      </w:r>
      <w:r w:rsidRPr="002944D8">
        <w:rPr>
          <w:rFonts w:ascii="Gadugi" w:hAnsi="Gadugi"/>
          <w:sz w:val="24"/>
          <w:szCs w:val="24"/>
        </w:rPr>
        <w:t>número 3.844 del 24 de julio de 2018</w:t>
      </w:r>
      <w:r w:rsidRPr="002944D8">
        <w:rPr>
          <w:rFonts w:ascii="Gadugi" w:eastAsia="Malgun Gothic" w:hAnsi="Gadugi" w:cs="Estrangelo Edessa"/>
          <w:bCs/>
          <w:sz w:val="24"/>
          <w:szCs w:val="24"/>
        </w:rPr>
        <w:t xml:space="preserve">, la nulidad del divorcio, disolución y liquidación de la sociedad </w:t>
      </w:r>
      <w:r w:rsidRPr="002944D8">
        <w:rPr>
          <w:rFonts w:ascii="Gadugi" w:eastAsia="Malgun Gothic" w:hAnsi="Gadugi" w:cs="Estrangelo Edessa"/>
          <w:bCs/>
          <w:sz w:val="24"/>
          <w:szCs w:val="24"/>
        </w:rPr>
        <w:lastRenderedPageBreak/>
        <w:t xml:space="preserve">conyugal conformada por </w:t>
      </w:r>
      <w:r w:rsidRPr="002944D8">
        <w:rPr>
          <w:rFonts w:ascii="Gadugi" w:hAnsi="Gadugi"/>
          <w:sz w:val="24"/>
          <w:szCs w:val="24"/>
        </w:rPr>
        <w:t>la señora Restrepo Díaz y el señor Gutiérrez González que allí están contenidos por alguno de los vicios que a ella pueden conducir</w:t>
      </w:r>
      <w:r w:rsidR="00C91A26" w:rsidRPr="002944D8">
        <w:rPr>
          <w:rFonts w:ascii="Gadugi" w:hAnsi="Gadugi"/>
          <w:sz w:val="24"/>
          <w:szCs w:val="24"/>
        </w:rPr>
        <w:t>, o la nulidad de la donación que, según se afirma, fue lo que realmente ocurrió entre los suscriptores?</w:t>
      </w:r>
    </w:p>
    <w:p w14:paraId="2B6FCEF0" w14:textId="77777777" w:rsidR="002327D0" w:rsidRPr="002944D8" w:rsidRDefault="002327D0" w:rsidP="002944D8">
      <w:pPr>
        <w:pStyle w:val="Prrafodelista"/>
        <w:spacing w:after="0" w:line="276" w:lineRule="auto"/>
        <w:ind w:left="0"/>
        <w:jc w:val="both"/>
        <w:rPr>
          <w:rFonts w:ascii="Gadugi" w:eastAsia="Malgun Gothic" w:hAnsi="Gadugi" w:cs="Estrangelo Edessa"/>
          <w:bCs/>
          <w:sz w:val="24"/>
          <w:szCs w:val="24"/>
        </w:rPr>
      </w:pPr>
    </w:p>
    <w:p w14:paraId="7B6286CE" w14:textId="65DBE4E9" w:rsidR="002327D0" w:rsidRPr="002944D8" w:rsidRDefault="002327D0"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Si a l</w:t>
      </w:r>
      <w:r w:rsidR="00C91A26" w:rsidRPr="002944D8">
        <w:rPr>
          <w:rFonts w:ascii="Gadugi" w:eastAsia="Malgun Gothic" w:hAnsi="Gadugi" w:cs="Estrangelo Edessa"/>
          <w:sz w:val="24"/>
          <w:szCs w:val="24"/>
        </w:rPr>
        <w:t xml:space="preserve">as pretensiones </w:t>
      </w:r>
      <w:r w:rsidRPr="002944D8">
        <w:rPr>
          <w:rFonts w:ascii="Gadugi" w:eastAsia="Malgun Gothic" w:hAnsi="Gadugi" w:cs="Estrangelo Edessa"/>
          <w:sz w:val="24"/>
          <w:szCs w:val="24"/>
        </w:rPr>
        <w:t>nos at</w:t>
      </w:r>
      <w:r w:rsidR="00C91A26" w:rsidRPr="002944D8">
        <w:rPr>
          <w:rFonts w:ascii="Gadugi" w:eastAsia="Malgun Gothic" w:hAnsi="Gadugi" w:cs="Estrangelo Edessa"/>
          <w:sz w:val="24"/>
          <w:szCs w:val="24"/>
        </w:rPr>
        <w:t xml:space="preserve">uviéramos, salta a la vista la confusión en que incurre la demandante, pues lo que emerge es que </w:t>
      </w:r>
      <w:r w:rsidRPr="002944D8">
        <w:rPr>
          <w:rFonts w:ascii="Gadugi" w:eastAsia="Malgun Gothic" w:hAnsi="Gadugi" w:cs="Estrangelo Edessa"/>
          <w:sz w:val="24"/>
          <w:szCs w:val="24"/>
        </w:rPr>
        <w:t>se busca lo primero, pero no lo segundo, porque en las peticiones de la reforma a la demanda están enlistadas, como principales, la nulidad del poder que los consortes le dieron al abogado Guillermo Botero Díaz y de la escritura pública, y como subsidiarias, que se declare que la aludida escritura, realmente contiene un acto de donación entre vivos</w:t>
      </w:r>
      <w:r w:rsidR="00C91A26" w:rsidRPr="002944D8">
        <w:rPr>
          <w:rFonts w:ascii="Gadugi" w:eastAsia="Malgun Gothic" w:hAnsi="Gadugi" w:cs="Estrangelo Edessa"/>
          <w:sz w:val="24"/>
          <w:szCs w:val="24"/>
        </w:rPr>
        <w:t xml:space="preserve"> y, como consecuencia, </w:t>
      </w:r>
      <w:r w:rsidR="005162CA" w:rsidRPr="002944D8">
        <w:rPr>
          <w:rFonts w:ascii="Gadugi" w:eastAsia="Malgun Gothic" w:hAnsi="Gadugi" w:cs="Estrangelo Edessa"/>
          <w:i/>
          <w:sz w:val="24"/>
          <w:szCs w:val="24"/>
        </w:rPr>
        <w:t>“</w:t>
      </w:r>
      <w:r w:rsidR="005162CA" w:rsidRPr="000840BE">
        <w:rPr>
          <w:rFonts w:ascii="Gadugi" w:eastAsia="Malgun Gothic" w:hAnsi="Gadugi" w:cs="Estrangelo Edessa"/>
          <w:i/>
          <w:szCs w:val="24"/>
        </w:rPr>
        <w:t>…</w:t>
      </w:r>
      <w:r w:rsidR="000840BE" w:rsidRPr="000840BE">
        <w:rPr>
          <w:rFonts w:ascii="Gadugi" w:eastAsia="Malgun Gothic" w:hAnsi="Gadugi" w:cs="Estrangelo Edessa"/>
          <w:i/>
          <w:szCs w:val="24"/>
        </w:rPr>
        <w:t xml:space="preserve"> </w:t>
      </w:r>
      <w:r w:rsidR="005162CA" w:rsidRPr="000840BE">
        <w:rPr>
          <w:rFonts w:ascii="Gadugi" w:eastAsia="Malgun Gothic" w:hAnsi="Gadugi" w:cs="Estrangelo Edessa"/>
          <w:i/>
          <w:szCs w:val="24"/>
        </w:rPr>
        <w:t>se declare la nulidad absoluta de la Escritura Pública No. 3844 de fecha 24 de julio de 2018 de la Notaría Tercera del Círculo de Pereira, conforme con lo normado en los art- 1740 y 1741 del Código Civil</w:t>
      </w:r>
      <w:r w:rsidR="005162CA" w:rsidRPr="002944D8">
        <w:rPr>
          <w:rFonts w:ascii="Gadugi" w:eastAsia="Malgun Gothic" w:hAnsi="Gadugi" w:cs="Estrangelo Edessa"/>
          <w:i/>
          <w:sz w:val="24"/>
          <w:szCs w:val="24"/>
        </w:rPr>
        <w:t>”.</w:t>
      </w:r>
      <w:r w:rsidR="00C91A26" w:rsidRPr="002944D8">
        <w:rPr>
          <w:rFonts w:ascii="Gadugi" w:eastAsia="Malgun Gothic" w:hAnsi="Gadugi" w:cs="Estrangelo Edessa"/>
          <w:sz w:val="24"/>
          <w:szCs w:val="24"/>
        </w:rPr>
        <w:t xml:space="preserve"> </w:t>
      </w:r>
    </w:p>
    <w:p w14:paraId="0DDA80D4" w14:textId="77777777" w:rsidR="002327D0" w:rsidRPr="002944D8" w:rsidRDefault="002327D0" w:rsidP="002944D8">
      <w:pPr>
        <w:pStyle w:val="Prrafodelista"/>
        <w:spacing w:after="0" w:line="276" w:lineRule="auto"/>
        <w:ind w:left="0"/>
        <w:jc w:val="both"/>
        <w:rPr>
          <w:rFonts w:ascii="Gadugi" w:eastAsia="Malgun Gothic" w:hAnsi="Gadugi" w:cs="Estrangelo Edessa"/>
          <w:bCs/>
          <w:sz w:val="24"/>
          <w:szCs w:val="24"/>
        </w:rPr>
      </w:pPr>
    </w:p>
    <w:p w14:paraId="300F65E3" w14:textId="77777777" w:rsidR="00F667E0" w:rsidRPr="002944D8" w:rsidRDefault="002327D0"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Como se ve, </w:t>
      </w:r>
      <w:r w:rsidR="00F667E0" w:rsidRPr="002944D8">
        <w:rPr>
          <w:rFonts w:ascii="Gadugi" w:eastAsia="Malgun Gothic" w:hAnsi="Gadugi" w:cs="Estrangelo Edessa"/>
          <w:sz w:val="24"/>
          <w:szCs w:val="24"/>
        </w:rPr>
        <w:t xml:space="preserve">tanto en las peticiones principales, como en las subsidiarias, lo que se quiere es que se declare la nulidad de la escritura pública. Puede colegirse, entonces, que no se invocó en estricto sentido la nulidad del acto de divorcio o de la disolución y liquidación de la sociedad conyugal. </w:t>
      </w:r>
    </w:p>
    <w:p w14:paraId="69B9C849" w14:textId="101C31AF" w:rsidR="00366316" w:rsidRPr="002944D8" w:rsidRDefault="00366316" w:rsidP="002944D8">
      <w:pPr>
        <w:pStyle w:val="Prrafodelista"/>
        <w:spacing w:after="0" w:line="276" w:lineRule="auto"/>
        <w:ind w:left="3195"/>
        <w:jc w:val="both"/>
        <w:rPr>
          <w:rFonts w:ascii="Gadugi" w:eastAsia="Malgun Gothic" w:hAnsi="Gadugi" w:cs="Estrangelo Edessa"/>
          <w:sz w:val="24"/>
          <w:szCs w:val="24"/>
        </w:rPr>
      </w:pPr>
    </w:p>
    <w:p w14:paraId="09944C2B" w14:textId="7739B582" w:rsidR="00CC4F7C" w:rsidRPr="002944D8" w:rsidRDefault="00F667E0"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Entendida la situación en esta perspectiva, </w:t>
      </w:r>
      <w:r w:rsidR="002D6944" w:rsidRPr="002944D8">
        <w:rPr>
          <w:rFonts w:ascii="Gadugi" w:eastAsia="Malgun Gothic" w:hAnsi="Gadugi" w:cs="Estrangelo Edessa"/>
          <w:sz w:val="24"/>
          <w:szCs w:val="24"/>
        </w:rPr>
        <w:t>y como es la nulidad absoluta de la escritura pública lo que se invoca</w:t>
      </w:r>
      <w:r w:rsidR="00486F0F" w:rsidRPr="002944D8">
        <w:rPr>
          <w:rStyle w:val="Refdenotaalpie"/>
          <w:rFonts w:ascii="Gadugi" w:eastAsia="Malgun Gothic" w:hAnsi="Gadugi" w:cs="Estrangelo Edessa"/>
          <w:sz w:val="24"/>
          <w:szCs w:val="24"/>
        </w:rPr>
        <w:footnoteReference w:id="16"/>
      </w:r>
      <w:r w:rsidR="002D6944" w:rsidRPr="002944D8">
        <w:rPr>
          <w:rFonts w:ascii="Gadugi" w:eastAsia="Malgun Gothic" w:hAnsi="Gadugi" w:cs="Estrangelo Edessa"/>
          <w:sz w:val="24"/>
          <w:szCs w:val="24"/>
        </w:rPr>
        <w:t xml:space="preserve">, </w:t>
      </w:r>
      <w:r w:rsidR="00CC4F7C" w:rsidRPr="002944D8">
        <w:rPr>
          <w:rFonts w:ascii="Gadugi" w:eastAsia="Malgun Gothic" w:hAnsi="Gadugi" w:cs="Estrangelo Edessa"/>
          <w:sz w:val="24"/>
          <w:szCs w:val="24"/>
        </w:rPr>
        <w:t xml:space="preserve">el artículo 99 del </w:t>
      </w:r>
      <w:r w:rsidR="002D6944" w:rsidRPr="002944D8">
        <w:rPr>
          <w:rFonts w:ascii="Gadugi" w:eastAsia="Malgun Gothic" w:hAnsi="Gadugi" w:cs="Estrangelo Edessa"/>
          <w:sz w:val="24"/>
          <w:szCs w:val="24"/>
        </w:rPr>
        <w:t xml:space="preserve">Decreto-ley 960 de 1970, </w:t>
      </w:r>
      <w:r w:rsidR="00CC4F7C" w:rsidRPr="002944D8">
        <w:rPr>
          <w:rFonts w:ascii="Gadugi" w:eastAsia="Malgun Gothic" w:hAnsi="Gadugi" w:cs="Estrangelo Edessa"/>
          <w:sz w:val="24"/>
          <w:szCs w:val="24"/>
        </w:rPr>
        <w:t>prevé que, desde el punto de vista formal, son nulas las escrituras en que se omita el cumplimiento de los requisitos en varios casos, entre los cuales se mencionan, para lo que aquí interesa, que el notario actúe fuera de los límites territoriales del respectivo Círculo Notarial</w:t>
      </w:r>
      <w:r w:rsidR="006C631F" w:rsidRPr="002944D8">
        <w:rPr>
          <w:rFonts w:ascii="Gadugi" w:eastAsia="Malgun Gothic" w:hAnsi="Gadugi" w:cs="Estrangelo Edessa"/>
          <w:sz w:val="24"/>
          <w:szCs w:val="24"/>
        </w:rPr>
        <w:t xml:space="preserve"> (numeral 1)</w:t>
      </w:r>
      <w:r w:rsidR="00CC4F7C" w:rsidRPr="002944D8">
        <w:rPr>
          <w:rFonts w:ascii="Gadugi" w:eastAsia="Malgun Gothic" w:hAnsi="Gadugi" w:cs="Estrangelo Edessa"/>
          <w:sz w:val="24"/>
          <w:szCs w:val="24"/>
        </w:rPr>
        <w:t>, o cuando falte la comparecencia ante el notario de cualquiera de los otorgantes, bien sea directamente o por representación</w:t>
      </w:r>
      <w:r w:rsidR="006C631F" w:rsidRPr="002944D8">
        <w:rPr>
          <w:rFonts w:ascii="Gadugi" w:eastAsia="Malgun Gothic" w:hAnsi="Gadugi" w:cs="Estrangelo Edessa"/>
          <w:sz w:val="24"/>
          <w:szCs w:val="24"/>
        </w:rPr>
        <w:t xml:space="preserve"> (numeral 2)</w:t>
      </w:r>
      <w:r w:rsidR="00CC4F7C" w:rsidRPr="002944D8">
        <w:rPr>
          <w:rFonts w:ascii="Gadugi" w:eastAsia="Malgun Gothic" w:hAnsi="Gadugi" w:cs="Estrangelo Edessa"/>
          <w:sz w:val="24"/>
          <w:szCs w:val="24"/>
        </w:rPr>
        <w:t xml:space="preserve">, y no se olvide que lo que está en entredicho es el otorgamiento del poder. </w:t>
      </w:r>
    </w:p>
    <w:p w14:paraId="66F8C3C0" w14:textId="77777777" w:rsidR="00CC4F7C" w:rsidRPr="002944D8" w:rsidRDefault="00CC4F7C" w:rsidP="002944D8">
      <w:pPr>
        <w:pStyle w:val="Prrafodelista"/>
        <w:spacing w:after="0" w:line="276" w:lineRule="auto"/>
        <w:ind w:left="0"/>
        <w:jc w:val="both"/>
        <w:rPr>
          <w:rFonts w:ascii="Gadugi" w:eastAsia="Malgun Gothic" w:hAnsi="Gadugi" w:cs="Estrangelo Edessa"/>
          <w:sz w:val="24"/>
          <w:szCs w:val="24"/>
        </w:rPr>
      </w:pPr>
    </w:p>
    <w:p w14:paraId="6DE61C09" w14:textId="3700C064" w:rsidR="002D6944" w:rsidRPr="002944D8" w:rsidRDefault="00CC4F7C"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Para </w:t>
      </w:r>
      <w:r w:rsidR="002D6944" w:rsidRPr="002944D8">
        <w:rPr>
          <w:rFonts w:ascii="Gadugi" w:eastAsia="Malgun Gothic" w:hAnsi="Gadugi" w:cs="Estrangelo Edessa"/>
          <w:sz w:val="24"/>
          <w:szCs w:val="24"/>
        </w:rPr>
        <w:t xml:space="preserve">el fácil entendimiento de esas </w:t>
      </w:r>
      <w:r w:rsidRPr="002944D8">
        <w:rPr>
          <w:rFonts w:ascii="Gadugi" w:eastAsia="Malgun Gothic" w:hAnsi="Gadugi" w:cs="Estrangelo Edessa"/>
          <w:sz w:val="24"/>
          <w:szCs w:val="24"/>
        </w:rPr>
        <w:t xml:space="preserve">reglas, </w:t>
      </w:r>
      <w:r w:rsidR="002D6944" w:rsidRPr="002944D8">
        <w:rPr>
          <w:rFonts w:ascii="Gadugi" w:eastAsia="Malgun Gothic" w:hAnsi="Gadugi" w:cs="Estrangelo Edessa"/>
          <w:sz w:val="24"/>
          <w:szCs w:val="24"/>
        </w:rPr>
        <w:t>es muy útil lo que sobre ellas enseña la Sala de Casación Civil de la Corte Suprema de Justicia</w:t>
      </w:r>
      <w:r w:rsidR="006C631F" w:rsidRPr="002944D8">
        <w:rPr>
          <w:rFonts w:ascii="Gadugi" w:eastAsia="Malgun Gothic" w:hAnsi="Gadugi" w:cs="Estrangelo Edessa"/>
          <w:sz w:val="24"/>
          <w:szCs w:val="24"/>
        </w:rPr>
        <w:t>, en providencia en la que, además, insiste en la distinción entre el documento continente y el negocio contenido</w:t>
      </w:r>
      <w:r w:rsidR="002D6944" w:rsidRPr="002944D8">
        <w:rPr>
          <w:rStyle w:val="Refdenotaalpie"/>
          <w:rFonts w:ascii="Gadugi" w:eastAsia="Malgun Gothic" w:hAnsi="Gadugi" w:cs="Estrangelo Edessa"/>
          <w:sz w:val="24"/>
          <w:szCs w:val="24"/>
        </w:rPr>
        <w:footnoteReference w:id="17"/>
      </w:r>
      <w:r w:rsidR="006C631F" w:rsidRPr="002944D8">
        <w:rPr>
          <w:rFonts w:ascii="Gadugi" w:eastAsia="Malgun Gothic" w:hAnsi="Gadugi" w:cs="Estrangelo Edessa"/>
          <w:sz w:val="24"/>
          <w:szCs w:val="24"/>
        </w:rPr>
        <w:t>:</w:t>
      </w:r>
      <w:r w:rsidR="002D6944" w:rsidRPr="002944D8">
        <w:rPr>
          <w:rFonts w:ascii="Gadugi" w:eastAsia="Malgun Gothic" w:hAnsi="Gadugi" w:cs="Estrangelo Edessa"/>
          <w:sz w:val="24"/>
          <w:szCs w:val="24"/>
        </w:rPr>
        <w:t xml:space="preserve"> </w:t>
      </w:r>
    </w:p>
    <w:p w14:paraId="6F3BDCCE" w14:textId="77777777" w:rsidR="00CC4F7C" w:rsidRPr="002944D8" w:rsidRDefault="00CC4F7C" w:rsidP="002944D8">
      <w:pPr>
        <w:suppressAutoHyphens/>
        <w:spacing w:after="0" w:line="276" w:lineRule="auto"/>
        <w:ind w:left="567" w:right="618"/>
        <w:jc w:val="both"/>
        <w:rPr>
          <w:rFonts w:ascii="Gadugi" w:hAnsi="Gadugi"/>
          <w:sz w:val="24"/>
          <w:szCs w:val="24"/>
        </w:rPr>
      </w:pPr>
    </w:p>
    <w:p w14:paraId="1D4B6E17" w14:textId="4AE28602" w:rsidR="002D6944" w:rsidRPr="007963FD" w:rsidRDefault="002D6944" w:rsidP="007963FD">
      <w:pPr>
        <w:suppressAutoHyphens/>
        <w:spacing w:after="0" w:line="240" w:lineRule="auto"/>
        <w:ind w:left="426" w:right="420"/>
        <w:jc w:val="both"/>
        <w:rPr>
          <w:rFonts w:ascii="Gadugi" w:hAnsi="Gadugi"/>
          <w:szCs w:val="24"/>
        </w:rPr>
      </w:pPr>
      <w:r w:rsidRPr="007963FD">
        <w:rPr>
          <w:rFonts w:ascii="Gadugi" w:hAnsi="Gadugi"/>
          <w:szCs w:val="24"/>
        </w:rPr>
        <w:t xml:space="preserve">4. </w:t>
      </w:r>
      <w:r w:rsidRPr="007963FD">
        <w:rPr>
          <w:rFonts w:ascii="Gadugi" w:hAnsi="Gadugi"/>
          <w:b/>
          <w:szCs w:val="24"/>
        </w:rPr>
        <w:t>Generalidades</w:t>
      </w:r>
      <w:r w:rsidRPr="007963FD">
        <w:rPr>
          <w:rFonts w:ascii="Gadugi" w:hAnsi="Gadugi"/>
          <w:szCs w:val="24"/>
        </w:rPr>
        <w:t xml:space="preserve"> </w:t>
      </w:r>
      <w:r w:rsidRPr="007963FD">
        <w:rPr>
          <w:rFonts w:ascii="Gadugi" w:hAnsi="Gadugi"/>
          <w:b/>
          <w:szCs w:val="24"/>
        </w:rPr>
        <w:t xml:space="preserve">sobre la nulidad </w:t>
      </w:r>
      <w:r w:rsidRPr="007963FD">
        <w:rPr>
          <w:rFonts w:ascii="Gadugi" w:hAnsi="Gadugi"/>
          <w:b/>
          <w:i/>
          <w:szCs w:val="24"/>
        </w:rPr>
        <w:t>“formal”</w:t>
      </w:r>
      <w:r w:rsidRPr="007963FD">
        <w:rPr>
          <w:rFonts w:ascii="Gadugi" w:hAnsi="Gadugi"/>
          <w:b/>
          <w:szCs w:val="24"/>
        </w:rPr>
        <w:t xml:space="preserve"> de las escrituras públicas</w:t>
      </w:r>
      <w:r w:rsidRPr="007963FD">
        <w:rPr>
          <w:rFonts w:ascii="Gadugi" w:hAnsi="Gadugi"/>
          <w:szCs w:val="24"/>
        </w:rPr>
        <w:t xml:space="preserve">  </w:t>
      </w:r>
    </w:p>
    <w:p w14:paraId="71CB30BC" w14:textId="77777777" w:rsidR="002D6944" w:rsidRPr="007963FD" w:rsidRDefault="002D6944" w:rsidP="007963FD">
      <w:pPr>
        <w:tabs>
          <w:tab w:val="left" w:pos="-720"/>
          <w:tab w:val="left" w:pos="851"/>
          <w:tab w:val="left" w:pos="1843"/>
          <w:tab w:val="left" w:pos="1985"/>
          <w:tab w:val="left" w:pos="2410"/>
        </w:tabs>
        <w:suppressAutoHyphens/>
        <w:spacing w:after="0" w:line="240" w:lineRule="auto"/>
        <w:ind w:left="426" w:right="420" w:firstLine="709"/>
        <w:jc w:val="both"/>
        <w:rPr>
          <w:rFonts w:ascii="Gadugi" w:hAnsi="Gadugi"/>
          <w:b/>
          <w:szCs w:val="24"/>
        </w:rPr>
      </w:pPr>
    </w:p>
    <w:p w14:paraId="1B1987F9" w14:textId="77777777" w:rsidR="002D6944" w:rsidRPr="007963FD" w:rsidRDefault="002D6944" w:rsidP="007963FD">
      <w:pPr>
        <w:suppressAutoHyphens/>
        <w:spacing w:after="0" w:line="240" w:lineRule="auto"/>
        <w:ind w:left="426" w:right="420"/>
        <w:jc w:val="both"/>
        <w:rPr>
          <w:rFonts w:ascii="Gadugi" w:hAnsi="Gadugi"/>
          <w:szCs w:val="24"/>
        </w:rPr>
      </w:pPr>
      <w:r w:rsidRPr="007963FD">
        <w:rPr>
          <w:rFonts w:ascii="Gadugi" w:hAnsi="Gadugi"/>
          <w:szCs w:val="24"/>
        </w:rPr>
        <w:t xml:space="preserve">El marco de las sanciones civiles a los actos que no se someten a los postulados legales para su conformación, no se circunscribe a las tradicionales nulidades absoluta y relativa de que da cuenta el Código Civil, pues, el ordenamiento, para los denominados actos notariales, tiene prevista también una nulidad </w:t>
      </w:r>
      <w:r w:rsidRPr="007963FD">
        <w:rPr>
          <w:rFonts w:ascii="Gadugi" w:hAnsi="Gadugi"/>
          <w:i/>
          <w:szCs w:val="24"/>
        </w:rPr>
        <w:t>“formal”</w:t>
      </w:r>
      <w:r w:rsidRPr="007963FD">
        <w:rPr>
          <w:rFonts w:ascii="Gadugi" w:hAnsi="Gadugi"/>
          <w:szCs w:val="24"/>
        </w:rPr>
        <w:t xml:space="preserve"> en el artículo 99 del Decreto 960 de 1970, en el evento de omitirse los siguientes presupuestos esenciales: </w:t>
      </w:r>
    </w:p>
    <w:p w14:paraId="3D820FAF" w14:textId="77777777" w:rsidR="002D6944" w:rsidRPr="007963FD" w:rsidRDefault="002D6944" w:rsidP="007963FD">
      <w:pPr>
        <w:suppressAutoHyphens/>
        <w:spacing w:after="0" w:line="240" w:lineRule="auto"/>
        <w:ind w:left="426" w:right="420" w:firstLine="709"/>
        <w:jc w:val="both"/>
        <w:rPr>
          <w:rFonts w:ascii="Gadugi" w:hAnsi="Gadugi"/>
          <w:szCs w:val="24"/>
        </w:rPr>
      </w:pPr>
    </w:p>
    <w:p w14:paraId="41A07734" w14:textId="77777777" w:rsidR="002D6944" w:rsidRPr="007963FD" w:rsidRDefault="002D6944" w:rsidP="007963FD">
      <w:pPr>
        <w:suppressAutoHyphens/>
        <w:spacing w:after="0" w:line="240" w:lineRule="auto"/>
        <w:ind w:left="426" w:right="420"/>
        <w:jc w:val="both"/>
        <w:rPr>
          <w:rFonts w:ascii="Gadugi" w:hAnsi="Gadugi" w:cs="Arial"/>
          <w:i/>
          <w:szCs w:val="24"/>
        </w:rPr>
      </w:pPr>
      <w:r w:rsidRPr="007963FD">
        <w:rPr>
          <w:rFonts w:ascii="Gadugi" w:hAnsi="Gadugi" w:cs="Arial"/>
          <w:i/>
          <w:szCs w:val="24"/>
        </w:rPr>
        <w:lastRenderedPageBreak/>
        <w:t>“1. Cuando el Notario actúe fuera de los límites territoriales del respectivo Círculo Notarial. 2. Cuando faltare la comparecencia ante el Notario de cualquiera de los otorgantes, bien sea directamente o por representación. 3. Cuando los comparecientes no hayan prestado aprobación al texto del instrumento extendido. 4. Cuando no aparezcan la fecha y el lugar de la autorización, la denominación legal del Notario, los comprobantes de la representación, o los necesarios para autorizar la cancelación. 5. Cuando no aparezca debidamente establecida la identificación de los otorgantes o de sus representantes, o la forma de aquellos o de cualquier compareciente. 6. Cuando no se hayan consignado los datos y circunstancias necesarios para determinar los bienes objeto de las declaraciones”</w:t>
      </w:r>
      <w:r w:rsidRPr="007963FD">
        <w:rPr>
          <w:rFonts w:ascii="Gadugi" w:hAnsi="Gadugi" w:cs="Arial"/>
          <w:szCs w:val="24"/>
        </w:rPr>
        <w:t xml:space="preserve">. </w:t>
      </w:r>
    </w:p>
    <w:p w14:paraId="4409DC6F" w14:textId="77777777" w:rsidR="002D6944" w:rsidRPr="007963FD" w:rsidRDefault="002D6944" w:rsidP="007963FD">
      <w:pPr>
        <w:spacing w:after="0" w:line="240" w:lineRule="auto"/>
        <w:ind w:left="426" w:right="420" w:firstLine="708"/>
        <w:jc w:val="both"/>
        <w:rPr>
          <w:rFonts w:ascii="Gadugi" w:hAnsi="Gadugi" w:cs="Arial"/>
          <w:szCs w:val="24"/>
        </w:rPr>
      </w:pPr>
    </w:p>
    <w:p w14:paraId="495A604C" w14:textId="77777777" w:rsidR="002D6944" w:rsidRPr="007963FD" w:rsidRDefault="002D6944" w:rsidP="007963FD">
      <w:pPr>
        <w:spacing w:after="0" w:line="240" w:lineRule="auto"/>
        <w:ind w:left="426" w:right="420"/>
        <w:jc w:val="both"/>
        <w:rPr>
          <w:rFonts w:ascii="Gadugi" w:hAnsi="Gadugi" w:cs="Arial"/>
          <w:szCs w:val="24"/>
        </w:rPr>
      </w:pPr>
      <w:r w:rsidRPr="007963FD">
        <w:rPr>
          <w:rFonts w:ascii="Gadugi" w:hAnsi="Gadugi" w:cs="Arial"/>
          <w:b/>
          <w:szCs w:val="24"/>
        </w:rPr>
        <w:t>Esas exigencias, cuya falta se sanciona con nulidad, son taxativas, y no se predican, ya lo ha señalado la Sala, del negocio jurídico formalizado, sino del instrumento público entendido como acto autónomo</w:t>
      </w:r>
      <w:r w:rsidRPr="007963FD">
        <w:rPr>
          <w:rStyle w:val="Refdenotaalpie"/>
          <w:rFonts w:ascii="Gadugi" w:hAnsi="Gadugi" w:cs="Arial"/>
          <w:b/>
          <w:szCs w:val="24"/>
        </w:rPr>
        <w:footnoteReference w:id="18"/>
      </w:r>
      <w:r w:rsidRPr="007963FD">
        <w:rPr>
          <w:rFonts w:ascii="Gadugi" w:hAnsi="Gadugi" w:cs="Arial"/>
          <w:b/>
          <w:szCs w:val="24"/>
        </w:rPr>
        <w:t>, es decir, que una es la nulidad que puede surgir de la escritura pública por la desatención de alguno de los motivos expresos concebidos en el artículo 99 del Decreto 960 de 1970, y otra, diferente, la nulidad absoluta por falta de alguno de los requisitos que la ley prescribe para el valor de ciertos actos o contratos, prevista en el artículo 1741 del Código Civil</w:t>
      </w:r>
      <w:r w:rsidRPr="007963FD">
        <w:rPr>
          <w:rFonts w:ascii="Gadugi" w:hAnsi="Gadugi" w:cs="Arial"/>
          <w:szCs w:val="24"/>
        </w:rPr>
        <w:t>, aspecto sobre el cual la Corte ha pregonado:</w:t>
      </w:r>
    </w:p>
    <w:p w14:paraId="2B2D1283" w14:textId="77777777" w:rsidR="002D6944" w:rsidRPr="007963FD" w:rsidRDefault="002D6944" w:rsidP="007963FD">
      <w:pPr>
        <w:spacing w:after="0" w:line="240" w:lineRule="auto"/>
        <w:ind w:left="426" w:right="420" w:firstLine="708"/>
        <w:jc w:val="both"/>
        <w:rPr>
          <w:rFonts w:ascii="Gadugi" w:hAnsi="Gadugi" w:cs="Arial"/>
          <w:szCs w:val="24"/>
        </w:rPr>
      </w:pPr>
      <w:r w:rsidRPr="007963FD">
        <w:rPr>
          <w:rFonts w:ascii="Gadugi" w:hAnsi="Gadugi" w:cs="Arial"/>
          <w:szCs w:val="24"/>
        </w:rPr>
        <w:t xml:space="preserve"> </w:t>
      </w:r>
    </w:p>
    <w:p w14:paraId="7B2BE954" w14:textId="7452B5F7" w:rsidR="002D6944" w:rsidRPr="007963FD" w:rsidRDefault="002D6944" w:rsidP="007963FD">
      <w:pPr>
        <w:spacing w:after="0" w:line="240" w:lineRule="auto"/>
        <w:ind w:left="426" w:right="420"/>
        <w:jc w:val="both"/>
        <w:rPr>
          <w:rFonts w:ascii="Gadugi" w:hAnsi="Gadugi" w:cs="Arial"/>
          <w:szCs w:val="24"/>
        </w:rPr>
      </w:pPr>
      <w:r w:rsidRPr="007963FD">
        <w:rPr>
          <w:rFonts w:ascii="Gadugi" w:hAnsi="Gadugi" w:cs="Arial"/>
          <w:i/>
          <w:szCs w:val="24"/>
        </w:rPr>
        <w:t xml:space="preserve">“Es posible, naturalmente, que el contenido de la escritura, </w:t>
      </w:r>
      <w:r w:rsidRPr="007963FD">
        <w:rPr>
          <w:rFonts w:ascii="Gadugi" w:hAnsi="Gadugi" w:cs="Arial"/>
          <w:i/>
          <w:szCs w:val="24"/>
          <w:u w:val="single"/>
        </w:rPr>
        <w:t>cuando es negocial,</w:t>
      </w:r>
      <w:r w:rsidRPr="007963FD">
        <w:rPr>
          <w:rFonts w:ascii="Gadugi" w:hAnsi="Gadugi" w:cs="Arial"/>
          <w:i/>
          <w:szCs w:val="24"/>
        </w:rPr>
        <w:t xml:space="preserve"> adolezca de una causal de nulidad, mas no por semejante motivo se verá comprometido el instrumento en sí. </w:t>
      </w:r>
      <w:r w:rsidRPr="007963FD">
        <w:rPr>
          <w:rFonts w:ascii="Gadugi" w:hAnsi="Gadugi" w:cs="Arial"/>
          <w:i/>
          <w:szCs w:val="24"/>
          <w:u w:val="single"/>
        </w:rPr>
        <w:t>En el mismo orden de ideas, si sobre la escritura pública gravita uno de los motivos de nulidad indicados en el artículo 99 del Dto. 960, su contenido, por lo menos en principio, no tiene por qué sufrir influencia de ninguna especie de ese hecho, puesto que se está ante dos entidades que jurídicamente se conciben o captan de manera autónoma</w:t>
      </w:r>
      <w:r w:rsidRPr="007963FD">
        <w:rPr>
          <w:rFonts w:ascii="Gadugi" w:hAnsi="Gadugi" w:cs="Arial"/>
          <w:i/>
          <w:szCs w:val="24"/>
        </w:rPr>
        <w:t xml:space="preserve">, así estén conectadas en la medida en que la escritura dice de la declaración. Otra cosa, por supuesto, será que con ocasión de la declaratoria de invalidez de la escritura, desaparezca también su contenido cuando este no puede permanecer sin el sustento de aquella por ser condición de su propia existencia; sin embargo, aún en tal caso, la cuestión siempre se sopesará desde el ángulo del instrumento y no desde el de las declaraciones en ella consignadas. </w:t>
      </w:r>
      <w:r w:rsidRPr="007963FD">
        <w:rPr>
          <w:rFonts w:ascii="Gadugi" w:hAnsi="Gadugi" w:cs="Arial"/>
          <w:i/>
          <w:szCs w:val="24"/>
          <w:u w:val="single"/>
        </w:rPr>
        <w:t>Por tanto, cabe afirmar que las declaraciones en sí mismas desempeñan un papel neutro o indiferente respecto de las exigencias formales de la escritura pública</w:t>
      </w:r>
      <w:r w:rsidRPr="007963FD">
        <w:rPr>
          <w:rFonts w:ascii="Gadugi" w:hAnsi="Gadugi" w:cs="Arial"/>
          <w:i/>
          <w:szCs w:val="24"/>
        </w:rPr>
        <w:t>, de donde se sigue que estas exigencias de índole formal ninguna dependencia crean respecto de lo que determine la ley sustancial acerca de esas declaraciones”</w:t>
      </w:r>
      <w:r w:rsidRPr="007963FD">
        <w:rPr>
          <w:rFonts w:ascii="Gadugi" w:hAnsi="Gadugi" w:cs="Arial"/>
          <w:i/>
          <w:szCs w:val="24"/>
          <w:vertAlign w:val="superscript"/>
        </w:rPr>
        <w:footnoteReference w:id="19"/>
      </w:r>
      <w:r w:rsidRPr="007963FD">
        <w:rPr>
          <w:rFonts w:ascii="Gadugi" w:hAnsi="Gadugi" w:cs="Arial"/>
          <w:szCs w:val="24"/>
        </w:rPr>
        <w:t>. (</w:t>
      </w:r>
      <w:r w:rsidR="00D42CFD" w:rsidRPr="007963FD">
        <w:rPr>
          <w:rFonts w:ascii="Gadugi" w:hAnsi="Gadugi" w:cs="Arial"/>
          <w:szCs w:val="24"/>
        </w:rPr>
        <w:t>Destaca la Sala</w:t>
      </w:r>
      <w:r w:rsidRPr="007963FD">
        <w:rPr>
          <w:rFonts w:ascii="Gadugi" w:hAnsi="Gadugi" w:cs="Arial"/>
          <w:szCs w:val="24"/>
        </w:rPr>
        <w:t>).</w:t>
      </w:r>
    </w:p>
    <w:p w14:paraId="06F94741" w14:textId="77777777" w:rsidR="00A87647" w:rsidRPr="002944D8" w:rsidRDefault="00A87647" w:rsidP="002944D8">
      <w:pPr>
        <w:pStyle w:val="Prrafodelista"/>
        <w:tabs>
          <w:tab w:val="left" w:pos="0"/>
        </w:tabs>
        <w:spacing w:after="0" w:line="276" w:lineRule="auto"/>
        <w:ind w:left="0"/>
        <w:jc w:val="both"/>
        <w:rPr>
          <w:rFonts w:ascii="Gadugi" w:eastAsia="Malgun Gothic" w:hAnsi="Gadugi" w:cs="Estrangelo Edessa"/>
          <w:bCs/>
          <w:sz w:val="24"/>
          <w:szCs w:val="24"/>
        </w:rPr>
      </w:pPr>
    </w:p>
    <w:p w14:paraId="0EBFD93D" w14:textId="5621CCB0" w:rsidR="00272D9B" w:rsidRPr="002944D8" w:rsidRDefault="00A87647" w:rsidP="002944D8">
      <w:pPr>
        <w:pStyle w:val="Prrafodelista"/>
        <w:tabs>
          <w:tab w:val="left" w:pos="0"/>
        </w:tabs>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Lo que acaba de exponerse es </w:t>
      </w:r>
      <w:r w:rsidR="00827AF0" w:rsidRPr="002944D8">
        <w:rPr>
          <w:rFonts w:ascii="Gadugi" w:eastAsia="Malgun Gothic" w:hAnsi="Gadugi" w:cs="Estrangelo Edessa"/>
          <w:bCs/>
          <w:sz w:val="24"/>
          <w:szCs w:val="24"/>
        </w:rPr>
        <w:t>importante</w:t>
      </w:r>
      <w:r w:rsidRPr="002944D8">
        <w:rPr>
          <w:rFonts w:ascii="Gadugi" w:eastAsia="Malgun Gothic" w:hAnsi="Gadugi" w:cs="Estrangelo Edessa"/>
          <w:bCs/>
          <w:sz w:val="24"/>
          <w:szCs w:val="24"/>
        </w:rPr>
        <w:t xml:space="preserve"> porque e</w:t>
      </w:r>
      <w:r w:rsidR="00272D9B" w:rsidRPr="002944D8">
        <w:rPr>
          <w:rFonts w:ascii="Gadugi" w:eastAsia="Malgun Gothic" w:hAnsi="Gadugi" w:cs="Estrangelo Edessa"/>
          <w:bCs/>
          <w:sz w:val="24"/>
          <w:szCs w:val="24"/>
        </w:rPr>
        <w:t>l primer embate</w:t>
      </w:r>
      <w:r w:rsidRPr="002944D8">
        <w:rPr>
          <w:rFonts w:ascii="Gadugi" w:eastAsia="Malgun Gothic" w:hAnsi="Gadugi" w:cs="Estrangelo Edessa"/>
          <w:bCs/>
          <w:sz w:val="24"/>
          <w:szCs w:val="24"/>
        </w:rPr>
        <w:t xml:space="preserve"> contra la escritura pública</w:t>
      </w:r>
      <w:r w:rsidR="00272D9B" w:rsidRPr="002944D8">
        <w:rPr>
          <w:rFonts w:ascii="Gadugi" w:eastAsia="Malgun Gothic" w:hAnsi="Gadugi" w:cs="Estrangelo Edessa"/>
          <w:bCs/>
          <w:sz w:val="24"/>
          <w:szCs w:val="24"/>
        </w:rPr>
        <w:t xml:space="preserve"> </w:t>
      </w:r>
      <w:r w:rsidR="007963FD" w:rsidRPr="002944D8">
        <w:rPr>
          <w:rFonts w:ascii="Gadugi" w:eastAsia="Malgun Gothic" w:hAnsi="Gadugi" w:cs="Estrangelo Edessa"/>
          <w:bCs/>
          <w:sz w:val="24"/>
          <w:szCs w:val="24"/>
        </w:rPr>
        <w:t>se basa</w:t>
      </w:r>
      <w:r w:rsidR="00272D9B" w:rsidRPr="002944D8">
        <w:rPr>
          <w:rFonts w:ascii="Gadugi" w:eastAsia="Malgun Gothic" w:hAnsi="Gadugi" w:cs="Estrangelo Edessa"/>
          <w:bCs/>
          <w:sz w:val="24"/>
          <w:szCs w:val="24"/>
        </w:rPr>
        <w:t xml:space="preserve"> en que el documento que firmó el señor </w:t>
      </w:r>
      <w:r w:rsidR="00272D9B" w:rsidRPr="002944D8">
        <w:rPr>
          <w:rFonts w:ascii="Gadugi" w:hAnsi="Gadugi"/>
          <w:sz w:val="24"/>
          <w:szCs w:val="24"/>
        </w:rPr>
        <w:t>Juan Carlos Gutiérrez González, confiriéndole su representación a un abogado para que adelantara la disolución y liquidación de su sociedad conyugal, no puede llamarse poder, porque se otorgó transgrediendo el numeral 1° del artículo 99 del Decreto ley 960 de 1970</w:t>
      </w:r>
      <w:r w:rsidR="006C631F" w:rsidRPr="002944D8">
        <w:rPr>
          <w:rFonts w:ascii="Gadugi" w:hAnsi="Gadugi"/>
          <w:sz w:val="24"/>
          <w:szCs w:val="24"/>
        </w:rPr>
        <w:t xml:space="preserve">. </w:t>
      </w:r>
      <w:r w:rsidR="00272D9B" w:rsidRPr="002944D8">
        <w:rPr>
          <w:rFonts w:ascii="Gadugi" w:hAnsi="Gadugi"/>
          <w:sz w:val="24"/>
          <w:szCs w:val="24"/>
        </w:rPr>
        <w:t xml:space="preserve"> </w:t>
      </w:r>
    </w:p>
    <w:p w14:paraId="182D91AF" w14:textId="77777777" w:rsidR="00715C6E" w:rsidRPr="002944D8" w:rsidRDefault="00715C6E" w:rsidP="002944D8">
      <w:pPr>
        <w:spacing w:after="0" w:line="276" w:lineRule="auto"/>
        <w:jc w:val="both"/>
        <w:rPr>
          <w:rFonts w:ascii="Gadugi" w:hAnsi="Gadugi"/>
          <w:sz w:val="24"/>
          <w:szCs w:val="24"/>
        </w:rPr>
      </w:pPr>
    </w:p>
    <w:p w14:paraId="759643C8" w14:textId="7EA52F9D" w:rsidR="00466D53" w:rsidRPr="002944D8" w:rsidRDefault="00C60D7B" w:rsidP="002944D8">
      <w:pPr>
        <w:spacing w:after="0" w:line="276" w:lineRule="auto"/>
        <w:jc w:val="both"/>
        <w:rPr>
          <w:rFonts w:ascii="Gadugi" w:hAnsi="Gadugi"/>
          <w:sz w:val="24"/>
          <w:szCs w:val="24"/>
        </w:rPr>
      </w:pPr>
      <w:r w:rsidRPr="002944D8">
        <w:rPr>
          <w:rFonts w:ascii="Gadugi" w:hAnsi="Gadugi"/>
          <w:sz w:val="24"/>
          <w:szCs w:val="24"/>
        </w:rPr>
        <w:t xml:space="preserve">Al respecto, </w:t>
      </w:r>
      <w:r w:rsidR="007626EC" w:rsidRPr="002944D8">
        <w:rPr>
          <w:rFonts w:ascii="Gadugi" w:hAnsi="Gadugi"/>
          <w:sz w:val="24"/>
          <w:szCs w:val="24"/>
        </w:rPr>
        <w:t>la parte actora</w:t>
      </w:r>
      <w:r w:rsidRPr="002944D8">
        <w:rPr>
          <w:rFonts w:ascii="Gadugi" w:hAnsi="Gadugi"/>
          <w:sz w:val="24"/>
          <w:szCs w:val="24"/>
        </w:rPr>
        <w:t xml:space="preserve"> pone de relieve que</w:t>
      </w:r>
      <w:r w:rsidR="007626EC" w:rsidRPr="002944D8">
        <w:rPr>
          <w:rFonts w:ascii="Gadugi" w:hAnsi="Gadugi"/>
          <w:sz w:val="24"/>
          <w:szCs w:val="24"/>
        </w:rPr>
        <w:t xml:space="preserve"> la escritura pública número 3.844 del 24 de julio de 2018, en la que se encuentra el divorcio de la señora Restrepo Díaz y el señor Gutiérrez González, se produjo con el auspicio del abogado Guillermo Botero </w:t>
      </w:r>
      <w:r w:rsidR="007626EC" w:rsidRPr="002944D8">
        <w:rPr>
          <w:rFonts w:ascii="Gadugi" w:hAnsi="Gadugi"/>
          <w:sz w:val="24"/>
          <w:szCs w:val="24"/>
        </w:rPr>
        <w:lastRenderedPageBreak/>
        <w:t>Díaz, a quien la pareja le concedió un mandato con ese fin</w:t>
      </w:r>
      <w:r w:rsidR="00466D53" w:rsidRPr="002944D8">
        <w:rPr>
          <w:rFonts w:ascii="Gadugi" w:hAnsi="Gadugi"/>
          <w:sz w:val="24"/>
          <w:szCs w:val="24"/>
        </w:rPr>
        <w:t>.</w:t>
      </w:r>
      <w:r w:rsidR="006C631F" w:rsidRPr="002944D8">
        <w:rPr>
          <w:rFonts w:ascii="Gadugi" w:hAnsi="Gadugi"/>
          <w:sz w:val="24"/>
          <w:szCs w:val="24"/>
        </w:rPr>
        <w:t xml:space="preserve"> </w:t>
      </w:r>
      <w:r w:rsidR="00466D53" w:rsidRPr="002944D8">
        <w:rPr>
          <w:rFonts w:ascii="Gadugi" w:hAnsi="Gadugi"/>
          <w:sz w:val="24"/>
          <w:szCs w:val="24"/>
        </w:rPr>
        <w:t>N</w:t>
      </w:r>
      <w:r w:rsidR="007626EC" w:rsidRPr="002944D8">
        <w:rPr>
          <w:rFonts w:ascii="Gadugi" w:hAnsi="Gadugi"/>
          <w:sz w:val="24"/>
          <w:szCs w:val="24"/>
        </w:rPr>
        <w:t xml:space="preserve">o obstante, </w:t>
      </w:r>
      <w:r w:rsidR="007A2933" w:rsidRPr="002944D8">
        <w:rPr>
          <w:rFonts w:ascii="Gadugi" w:hAnsi="Gadugi"/>
          <w:sz w:val="24"/>
          <w:szCs w:val="24"/>
        </w:rPr>
        <w:t>el</w:t>
      </w:r>
      <w:r w:rsidR="00466D53" w:rsidRPr="002944D8">
        <w:rPr>
          <w:rFonts w:ascii="Gadugi" w:hAnsi="Gadugi"/>
          <w:sz w:val="24"/>
          <w:szCs w:val="24"/>
        </w:rPr>
        <w:t xml:space="preserve"> reconocimiento de ese poder sucedió</w:t>
      </w:r>
      <w:r w:rsidR="005F35D1" w:rsidRPr="002944D8">
        <w:rPr>
          <w:rFonts w:ascii="Gadugi" w:hAnsi="Gadugi"/>
          <w:sz w:val="24"/>
          <w:szCs w:val="24"/>
        </w:rPr>
        <w:t xml:space="preserve"> el 17 de julio de 2018</w:t>
      </w:r>
      <w:r w:rsidR="00EE21A0" w:rsidRPr="002944D8">
        <w:rPr>
          <w:rFonts w:ascii="Gadugi" w:hAnsi="Gadugi"/>
          <w:sz w:val="24"/>
          <w:szCs w:val="24"/>
        </w:rPr>
        <w:t>, a domicilio,</w:t>
      </w:r>
      <w:r w:rsidR="00466D53" w:rsidRPr="002944D8">
        <w:rPr>
          <w:rFonts w:ascii="Gadugi" w:hAnsi="Gadugi"/>
          <w:sz w:val="24"/>
          <w:szCs w:val="24"/>
        </w:rPr>
        <w:t xml:space="preserve"> ante el titular de la Notaría Tercera del Círculo de </w:t>
      </w:r>
      <w:r w:rsidR="00466D53" w:rsidRPr="002944D8">
        <w:rPr>
          <w:rFonts w:ascii="Gadugi" w:hAnsi="Gadugi"/>
          <w:sz w:val="24"/>
          <w:szCs w:val="24"/>
          <w:u w:val="single"/>
        </w:rPr>
        <w:t>Pereira</w:t>
      </w:r>
      <w:r w:rsidR="00466D53" w:rsidRPr="002944D8">
        <w:rPr>
          <w:rFonts w:ascii="Gadugi" w:hAnsi="Gadugi"/>
          <w:sz w:val="24"/>
          <w:szCs w:val="24"/>
        </w:rPr>
        <w:t xml:space="preserve">, y fue suscrito por Gutiérrez González, en la “Cra 22, No. 12-26 La </w:t>
      </w:r>
      <w:r w:rsidR="00A15F89" w:rsidRPr="002944D8">
        <w:rPr>
          <w:rFonts w:ascii="Gadugi" w:hAnsi="Gadugi"/>
          <w:sz w:val="24"/>
          <w:szCs w:val="24"/>
        </w:rPr>
        <w:t>A</w:t>
      </w:r>
      <w:r w:rsidR="00466D53" w:rsidRPr="002944D8">
        <w:rPr>
          <w:rFonts w:ascii="Gadugi" w:hAnsi="Gadugi"/>
          <w:sz w:val="24"/>
          <w:szCs w:val="24"/>
        </w:rPr>
        <w:t>urora”, dirección que</w:t>
      </w:r>
      <w:r w:rsidR="001864DC" w:rsidRPr="002944D8">
        <w:rPr>
          <w:rFonts w:ascii="Gadugi" w:hAnsi="Gadugi"/>
          <w:sz w:val="24"/>
          <w:szCs w:val="24"/>
        </w:rPr>
        <w:t>,</w:t>
      </w:r>
      <w:r w:rsidR="00466D53" w:rsidRPr="002944D8">
        <w:rPr>
          <w:rFonts w:ascii="Gadugi" w:hAnsi="Gadugi"/>
          <w:sz w:val="24"/>
          <w:szCs w:val="24"/>
        </w:rPr>
        <w:t xml:space="preserve"> según se asegura en la demanda, está ubicada en </w:t>
      </w:r>
      <w:r w:rsidR="00466D53" w:rsidRPr="002944D8">
        <w:rPr>
          <w:rFonts w:ascii="Gadugi" w:hAnsi="Gadugi"/>
          <w:sz w:val="24"/>
          <w:szCs w:val="24"/>
          <w:u w:val="single"/>
        </w:rPr>
        <w:t>Dosquebradas</w:t>
      </w:r>
      <w:r w:rsidR="00466D53" w:rsidRPr="002944D8">
        <w:rPr>
          <w:rFonts w:ascii="Gadugi" w:hAnsi="Gadugi"/>
          <w:sz w:val="24"/>
          <w:szCs w:val="24"/>
        </w:rPr>
        <w:t>.</w:t>
      </w:r>
      <w:r w:rsidR="00D42CFD" w:rsidRPr="002944D8">
        <w:rPr>
          <w:rStyle w:val="Refdenotaalpie"/>
          <w:rFonts w:ascii="Gadugi" w:hAnsi="Gadugi"/>
          <w:sz w:val="24"/>
          <w:szCs w:val="24"/>
        </w:rPr>
        <w:footnoteReference w:id="20"/>
      </w:r>
    </w:p>
    <w:p w14:paraId="2220A0AF" w14:textId="77777777" w:rsidR="006C631F" w:rsidRPr="002944D8" w:rsidRDefault="006C631F" w:rsidP="002944D8">
      <w:pPr>
        <w:spacing w:after="0" w:line="276" w:lineRule="auto"/>
        <w:jc w:val="both"/>
        <w:rPr>
          <w:rFonts w:ascii="Gadugi" w:hAnsi="Gadugi"/>
          <w:sz w:val="24"/>
          <w:szCs w:val="24"/>
        </w:rPr>
      </w:pPr>
    </w:p>
    <w:p w14:paraId="1BC971A2" w14:textId="68E5ACD8" w:rsidR="00466D53" w:rsidRPr="002944D8" w:rsidRDefault="007626EC" w:rsidP="002944D8">
      <w:pPr>
        <w:spacing w:after="0" w:line="276" w:lineRule="auto"/>
        <w:jc w:val="both"/>
        <w:rPr>
          <w:rFonts w:ascii="Gadugi" w:hAnsi="Gadugi"/>
          <w:sz w:val="24"/>
          <w:szCs w:val="24"/>
        </w:rPr>
      </w:pPr>
      <w:r w:rsidRPr="002944D8">
        <w:rPr>
          <w:rFonts w:ascii="Gadugi" w:hAnsi="Gadugi"/>
          <w:sz w:val="24"/>
          <w:szCs w:val="24"/>
        </w:rPr>
        <w:t xml:space="preserve">Ante ello, </w:t>
      </w:r>
      <w:r w:rsidR="00EE21A0" w:rsidRPr="002944D8">
        <w:rPr>
          <w:rFonts w:ascii="Gadugi" w:hAnsi="Gadugi"/>
          <w:sz w:val="24"/>
          <w:szCs w:val="24"/>
        </w:rPr>
        <w:t xml:space="preserve">según sigue diciendo, </w:t>
      </w:r>
      <w:r w:rsidR="00466D53" w:rsidRPr="002944D8">
        <w:rPr>
          <w:rFonts w:ascii="Gadugi" w:hAnsi="Gadugi"/>
          <w:sz w:val="24"/>
          <w:szCs w:val="24"/>
        </w:rPr>
        <w:t xml:space="preserve">emerge </w:t>
      </w:r>
      <w:r w:rsidRPr="002944D8">
        <w:rPr>
          <w:rFonts w:ascii="Gadugi" w:hAnsi="Gadugi"/>
          <w:sz w:val="24"/>
          <w:szCs w:val="24"/>
        </w:rPr>
        <w:t xml:space="preserve">la nulidad de ese </w:t>
      </w:r>
      <w:r w:rsidR="00466D53" w:rsidRPr="002944D8">
        <w:rPr>
          <w:rFonts w:ascii="Gadugi" w:hAnsi="Gadugi"/>
          <w:sz w:val="24"/>
          <w:szCs w:val="24"/>
        </w:rPr>
        <w:t xml:space="preserve">mandato pues el Notario actuó fuera de los límites territoriales de su Círculo Notarial, y, en consecuencia, también subyace la nulidad </w:t>
      </w:r>
      <w:r w:rsidR="001864DC" w:rsidRPr="002944D8">
        <w:rPr>
          <w:rFonts w:ascii="Gadugi" w:hAnsi="Gadugi"/>
          <w:sz w:val="24"/>
          <w:szCs w:val="24"/>
        </w:rPr>
        <w:t xml:space="preserve">de la escritura pública </w:t>
      </w:r>
      <w:r w:rsidR="00466D53" w:rsidRPr="002944D8">
        <w:rPr>
          <w:rFonts w:ascii="Gadugi" w:hAnsi="Gadugi"/>
          <w:sz w:val="24"/>
          <w:szCs w:val="24"/>
        </w:rPr>
        <w:t xml:space="preserve">que se </w:t>
      </w:r>
      <w:r w:rsidR="00EE21A0" w:rsidRPr="002944D8">
        <w:rPr>
          <w:rFonts w:ascii="Gadugi" w:hAnsi="Gadugi"/>
          <w:sz w:val="24"/>
          <w:szCs w:val="24"/>
        </w:rPr>
        <w:t>hizo</w:t>
      </w:r>
      <w:r w:rsidR="00466D53" w:rsidRPr="002944D8">
        <w:rPr>
          <w:rFonts w:ascii="Gadugi" w:hAnsi="Gadugi"/>
          <w:sz w:val="24"/>
          <w:szCs w:val="24"/>
        </w:rPr>
        <w:t xml:space="preserve"> con </w:t>
      </w:r>
      <w:r w:rsidR="00EE21A0" w:rsidRPr="002944D8">
        <w:rPr>
          <w:rFonts w:ascii="Gadugi" w:hAnsi="Gadugi"/>
          <w:sz w:val="24"/>
          <w:szCs w:val="24"/>
        </w:rPr>
        <w:t>base</w:t>
      </w:r>
      <w:r w:rsidR="00466D53" w:rsidRPr="002944D8">
        <w:rPr>
          <w:rFonts w:ascii="Gadugi" w:hAnsi="Gadugi"/>
          <w:sz w:val="24"/>
          <w:szCs w:val="24"/>
        </w:rPr>
        <w:t xml:space="preserve"> en aquel documento.</w:t>
      </w:r>
    </w:p>
    <w:p w14:paraId="5692D206" w14:textId="5D04D59D" w:rsidR="00466D53" w:rsidRPr="002944D8" w:rsidRDefault="00466D53" w:rsidP="002944D8">
      <w:pPr>
        <w:spacing w:after="0" w:line="276" w:lineRule="auto"/>
        <w:jc w:val="both"/>
        <w:rPr>
          <w:rFonts w:ascii="Gadugi" w:hAnsi="Gadugi"/>
          <w:sz w:val="24"/>
          <w:szCs w:val="24"/>
        </w:rPr>
      </w:pPr>
    </w:p>
    <w:p w14:paraId="1D83DB81" w14:textId="74AD40F1" w:rsidR="001864DC" w:rsidRPr="002944D8" w:rsidRDefault="001864DC" w:rsidP="002944D8">
      <w:pPr>
        <w:spacing w:after="0" w:line="276" w:lineRule="auto"/>
        <w:jc w:val="both"/>
        <w:rPr>
          <w:rFonts w:ascii="Gadugi" w:hAnsi="Gadugi"/>
          <w:sz w:val="24"/>
          <w:szCs w:val="24"/>
        </w:rPr>
      </w:pPr>
      <w:r w:rsidRPr="002944D8">
        <w:rPr>
          <w:rFonts w:ascii="Gadugi" w:hAnsi="Gadugi"/>
          <w:sz w:val="24"/>
          <w:szCs w:val="24"/>
        </w:rPr>
        <w:t>Sin embargo, la Sala disiente de esa tesis, y, por el contrario, comparte lo razonado con el juez de primera instancia quien, luego de analizar el acervo probatorio, concluyó que, por esa razón</w:t>
      </w:r>
      <w:r w:rsidR="00EE21A0" w:rsidRPr="002944D8">
        <w:rPr>
          <w:rFonts w:ascii="Gadugi" w:hAnsi="Gadugi"/>
          <w:sz w:val="24"/>
          <w:szCs w:val="24"/>
        </w:rPr>
        <w:t>,</w:t>
      </w:r>
      <w:r w:rsidRPr="002944D8">
        <w:rPr>
          <w:rFonts w:ascii="Gadugi" w:hAnsi="Gadugi"/>
          <w:sz w:val="24"/>
          <w:szCs w:val="24"/>
        </w:rPr>
        <w:t xml:space="preserve"> no es nulo el poder y tampoco entonces la escritura pública.</w:t>
      </w:r>
    </w:p>
    <w:p w14:paraId="558097FB" w14:textId="77777777" w:rsidR="001F55F0" w:rsidRPr="002944D8" w:rsidRDefault="001F55F0" w:rsidP="002944D8">
      <w:pPr>
        <w:spacing w:after="0" w:line="276" w:lineRule="auto"/>
        <w:jc w:val="both"/>
        <w:rPr>
          <w:rFonts w:ascii="Gadugi" w:hAnsi="Gadugi"/>
          <w:sz w:val="24"/>
          <w:szCs w:val="24"/>
        </w:rPr>
      </w:pPr>
    </w:p>
    <w:p w14:paraId="242AFBF8" w14:textId="0CD9F7C0" w:rsidR="001864DC" w:rsidRPr="002944D8" w:rsidRDefault="00715C6E" w:rsidP="002944D8">
      <w:pPr>
        <w:spacing w:after="0" w:line="276" w:lineRule="auto"/>
        <w:jc w:val="both"/>
        <w:rPr>
          <w:rFonts w:ascii="Gadugi" w:hAnsi="Gadugi"/>
          <w:sz w:val="24"/>
          <w:szCs w:val="24"/>
        </w:rPr>
      </w:pPr>
      <w:r w:rsidRPr="002944D8">
        <w:rPr>
          <w:rFonts w:ascii="Gadugi" w:hAnsi="Gadugi"/>
          <w:sz w:val="24"/>
          <w:szCs w:val="24"/>
        </w:rPr>
        <w:t>Primero que todo</w:t>
      </w:r>
      <w:r w:rsidR="001F55F0" w:rsidRPr="002944D8">
        <w:rPr>
          <w:rFonts w:ascii="Gadugi" w:hAnsi="Gadugi"/>
          <w:sz w:val="24"/>
          <w:szCs w:val="24"/>
        </w:rPr>
        <w:t xml:space="preserve">, </w:t>
      </w:r>
      <w:r w:rsidR="001864DC" w:rsidRPr="002944D8">
        <w:rPr>
          <w:rFonts w:ascii="Gadugi" w:hAnsi="Gadugi"/>
          <w:sz w:val="24"/>
          <w:szCs w:val="24"/>
        </w:rPr>
        <w:t xml:space="preserve">si a la literalidad nos ceñimos, </w:t>
      </w:r>
      <w:r w:rsidR="00C3669D" w:rsidRPr="002944D8">
        <w:rPr>
          <w:rFonts w:ascii="Gadugi" w:hAnsi="Gadugi"/>
          <w:sz w:val="24"/>
          <w:szCs w:val="24"/>
        </w:rPr>
        <w:t xml:space="preserve">como </w:t>
      </w:r>
      <w:r w:rsidRPr="002944D8">
        <w:rPr>
          <w:rFonts w:ascii="Gadugi" w:hAnsi="Gadugi"/>
          <w:sz w:val="24"/>
          <w:szCs w:val="24"/>
        </w:rPr>
        <w:t xml:space="preserve">se </w:t>
      </w:r>
      <w:r w:rsidR="00C3669D" w:rsidRPr="002944D8">
        <w:rPr>
          <w:rFonts w:ascii="Gadugi" w:hAnsi="Gadugi"/>
          <w:sz w:val="24"/>
          <w:szCs w:val="24"/>
        </w:rPr>
        <w:t xml:space="preserve">exige </w:t>
      </w:r>
      <w:r w:rsidRPr="002944D8">
        <w:rPr>
          <w:rFonts w:ascii="Gadugi" w:hAnsi="Gadugi"/>
          <w:sz w:val="24"/>
          <w:szCs w:val="24"/>
        </w:rPr>
        <w:t>en los reparos</w:t>
      </w:r>
      <w:r w:rsidR="00C3669D" w:rsidRPr="002944D8">
        <w:rPr>
          <w:rFonts w:ascii="Gadugi" w:hAnsi="Gadugi"/>
          <w:sz w:val="24"/>
          <w:szCs w:val="24"/>
        </w:rPr>
        <w:t xml:space="preserve">, </w:t>
      </w:r>
      <w:r w:rsidR="001864DC" w:rsidRPr="002944D8">
        <w:rPr>
          <w:rFonts w:ascii="Gadugi" w:hAnsi="Gadugi"/>
          <w:sz w:val="24"/>
          <w:szCs w:val="24"/>
        </w:rPr>
        <w:t xml:space="preserve">tendría que concluirse que, al fin y al cabo, no se sabe dónde fue que </w:t>
      </w:r>
      <w:r w:rsidR="00EE21A0" w:rsidRPr="002944D8">
        <w:rPr>
          <w:rFonts w:ascii="Gadugi" w:hAnsi="Gadugi"/>
          <w:sz w:val="24"/>
          <w:szCs w:val="24"/>
        </w:rPr>
        <w:t xml:space="preserve">el señor </w:t>
      </w:r>
      <w:r w:rsidR="001864DC" w:rsidRPr="002944D8">
        <w:rPr>
          <w:rFonts w:ascii="Gadugi" w:hAnsi="Gadugi"/>
          <w:sz w:val="24"/>
          <w:szCs w:val="24"/>
        </w:rPr>
        <w:t>Gutiérrez González firmó ese documento, pues allí aparece una dirección, sobre la cual no se tiene certeza en qué municipio está ubicada, dado que quien lo diligenció, no atinó a incluir esa</w:t>
      </w:r>
      <w:r w:rsidR="009A1C36" w:rsidRPr="002944D8">
        <w:rPr>
          <w:rFonts w:ascii="Gadugi" w:hAnsi="Gadugi"/>
          <w:sz w:val="24"/>
          <w:szCs w:val="24"/>
        </w:rPr>
        <w:t xml:space="preserve"> específica</w:t>
      </w:r>
      <w:r w:rsidR="001864DC" w:rsidRPr="002944D8">
        <w:rPr>
          <w:rFonts w:ascii="Gadugi" w:hAnsi="Gadugi"/>
          <w:sz w:val="24"/>
          <w:szCs w:val="24"/>
        </w:rPr>
        <w:t xml:space="preserve"> información. </w:t>
      </w:r>
    </w:p>
    <w:p w14:paraId="2CD37D97" w14:textId="7ABD263B" w:rsidR="00466D53" w:rsidRPr="002944D8" w:rsidRDefault="00466D53" w:rsidP="002944D8">
      <w:pPr>
        <w:spacing w:after="0" w:line="276" w:lineRule="auto"/>
        <w:jc w:val="both"/>
        <w:rPr>
          <w:rFonts w:ascii="Gadugi" w:hAnsi="Gadugi"/>
          <w:sz w:val="24"/>
          <w:szCs w:val="24"/>
        </w:rPr>
      </w:pPr>
    </w:p>
    <w:p w14:paraId="45709740" w14:textId="7A819308" w:rsidR="009A1C36" w:rsidRPr="002944D8" w:rsidRDefault="009A1C36" w:rsidP="002944D8">
      <w:pPr>
        <w:spacing w:after="0" w:line="276" w:lineRule="auto"/>
        <w:jc w:val="both"/>
        <w:rPr>
          <w:rFonts w:ascii="Gadugi" w:hAnsi="Gadugi"/>
          <w:sz w:val="24"/>
          <w:szCs w:val="24"/>
        </w:rPr>
      </w:pPr>
      <w:r w:rsidRPr="002944D8">
        <w:rPr>
          <w:rFonts w:ascii="Gadugi" w:hAnsi="Gadugi"/>
          <w:sz w:val="24"/>
          <w:szCs w:val="24"/>
        </w:rPr>
        <w:t xml:space="preserve">Ahora bien, </w:t>
      </w:r>
      <w:r w:rsidR="00C3669D" w:rsidRPr="002944D8">
        <w:rPr>
          <w:rFonts w:ascii="Gadugi" w:hAnsi="Gadugi"/>
          <w:sz w:val="24"/>
          <w:szCs w:val="24"/>
        </w:rPr>
        <w:t xml:space="preserve">es cierto que al mirar la foliatura aparece que la dirección de residencia de la pareja conformada por la señora Restrepo Díaz y el señor Gutiérrez González, era, en efecto, la “Cra. 22, No. 12-26” del barrio </w:t>
      </w:r>
      <w:r w:rsidR="00A15F89" w:rsidRPr="002944D8">
        <w:rPr>
          <w:rFonts w:ascii="Gadugi" w:hAnsi="Gadugi"/>
          <w:sz w:val="24"/>
          <w:szCs w:val="24"/>
        </w:rPr>
        <w:t>L</w:t>
      </w:r>
      <w:r w:rsidR="00C3669D" w:rsidRPr="002944D8">
        <w:rPr>
          <w:rFonts w:ascii="Gadugi" w:hAnsi="Gadugi"/>
          <w:sz w:val="24"/>
          <w:szCs w:val="24"/>
        </w:rPr>
        <w:t xml:space="preserve">a Aurora en Dosquebradas, de lo cual podría colegirse que fue en esa vivienda donde </w:t>
      </w:r>
      <w:r w:rsidR="003D2143" w:rsidRPr="002944D8">
        <w:rPr>
          <w:rFonts w:ascii="Gadugi" w:hAnsi="Gadugi"/>
          <w:sz w:val="24"/>
          <w:szCs w:val="24"/>
        </w:rPr>
        <w:t xml:space="preserve">se </w:t>
      </w:r>
      <w:r w:rsidR="00C3669D" w:rsidRPr="002944D8">
        <w:rPr>
          <w:rFonts w:ascii="Gadugi" w:hAnsi="Gadugi"/>
          <w:sz w:val="24"/>
          <w:szCs w:val="24"/>
        </w:rPr>
        <w:t>firmó el documento, sin embargo, existen evidencias de que ello no pudo suceder.</w:t>
      </w:r>
    </w:p>
    <w:p w14:paraId="46347DF7" w14:textId="66D1352F" w:rsidR="00C3669D" w:rsidRPr="002944D8" w:rsidRDefault="00C3669D" w:rsidP="002944D8">
      <w:pPr>
        <w:spacing w:after="0" w:line="276" w:lineRule="auto"/>
        <w:jc w:val="both"/>
        <w:rPr>
          <w:rFonts w:ascii="Gadugi" w:hAnsi="Gadugi"/>
          <w:sz w:val="24"/>
          <w:szCs w:val="24"/>
        </w:rPr>
      </w:pPr>
    </w:p>
    <w:p w14:paraId="6DA826AD" w14:textId="2670BBE6" w:rsidR="003D2143" w:rsidRPr="002944D8" w:rsidRDefault="00D20096" w:rsidP="002944D8">
      <w:pPr>
        <w:spacing w:after="0" w:line="276" w:lineRule="auto"/>
        <w:jc w:val="both"/>
        <w:rPr>
          <w:rFonts w:ascii="Gadugi" w:hAnsi="Gadugi"/>
          <w:sz w:val="24"/>
          <w:szCs w:val="24"/>
        </w:rPr>
      </w:pPr>
      <w:r w:rsidRPr="002944D8">
        <w:rPr>
          <w:rFonts w:ascii="Gadugi" w:hAnsi="Gadugi"/>
          <w:sz w:val="24"/>
          <w:szCs w:val="24"/>
        </w:rPr>
        <w:t>Por una parte</w:t>
      </w:r>
      <w:r w:rsidR="003D2143" w:rsidRPr="002944D8">
        <w:rPr>
          <w:rFonts w:ascii="Gadugi" w:hAnsi="Gadugi"/>
          <w:sz w:val="24"/>
          <w:szCs w:val="24"/>
        </w:rPr>
        <w:t xml:space="preserve">, tal como lo certificó el representante legal suplente </w:t>
      </w:r>
      <w:proofErr w:type="spellStart"/>
      <w:r w:rsidR="003D2143" w:rsidRPr="002944D8">
        <w:rPr>
          <w:rFonts w:ascii="Gadugi" w:hAnsi="Gadugi"/>
          <w:sz w:val="24"/>
          <w:szCs w:val="24"/>
        </w:rPr>
        <w:t>Socimédicos</w:t>
      </w:r>
      <w:proofErr w:type="spellEnd"/>
      <w:r w:rsidR="003D2143" w:rsidRPr="002944D8">
        <w:rPr>
          <w:rFonts w:ascii="Gadugi" w:hAnsi="Gadugi"/>
          <w:sz w:val="24"/>
          <w:szCs w:val="24"/>
        </w:rPr>
        <w:t xml:space="preserve"> S.A.S</w:t>
      </w:r>
      <w:r w:rsidR="00E73A37">
        <w:rPr>
          <w:rFonts w:ascii="Gadugi" w:hAnsi="Gadugi"/>
          <w:sz w:val="24"/>
          <w:szCs w:val="24"/>
        </w:rPr>
        <w:t>.</w:t>
      </w:r>
      <w:r w:rsidR="003D2143" w:rsidRPr="002944D8">
        <w:rPr>
          <w:rFonts w:ascii="Gadugi" w:hAnsi="Gadugi"/>
          <w:sz w:val="24"/>
          <w:szCs w:val="24"/>
        </w:rPr>
        <w:t xml:space="preserve">, </w:t>
      </w:r>
      <w:r w:rsidR="00462195" w:rsidRPr="002944D8">
        <w:rPr>
          <w:rFonts w:ascii="Gadugi" w:hAnsi="Gadugi"/>
          <w:i/>
          <w:sz w:val="24"/>
          <w:szCs w:val="24"/>
        </w:rPr>
        <w:t>“</w:t>
      </w:r>
      <w:r w:rsidR="00462195" w:rsidRPr="00E73A37">
        <w:rPr>
          <w:rFonts w:ascii="Gadugi" w:hAnsi="Gadugi"/>
          <w:i/>
          <w:szCs w:val="24"/>
        </w:rPr>
        <w:t xml:space="preserve">(…) el señor JUAN CARLOS GUTIÉRREZ GONZÁLEZ registra </w:t>
      </w:r>
      <w:r w:rsidR="00462195" w:rsidRPr="00E73A37">
        <w:rPr>
          <w:rFonts w:ascii="Gadugi" w:hAnsi="Gadugi"/>
          <w:b/>
          <w:i/>
          <w:szCs w:val="24"/>
          <w:u w:val="single"/>
        </w:rPr>
        <w:t>atenciones continuas</w:t>
      </w:r>
      <w:r w:rsidR="00462195" w:rsidRPr="00E73A37">
        <w:rPr>
          <w:rFonts w:ascii="Gadugi" w:hAnsi="Gadugi"/>
          <w:i/>
          <w:szCs w:val="24"/>
        </w:rPr>
        <w:t xml:space="preserve"> en el área de hospitalización de la IPS CLÍNICA SAN RAFAEL, desde </w:t>
      </w:r>
      <w:r w:rsidR="00462195" w:rsidRPr="00E73A37">
        <w:rPr>
          <w:rFonts w:ascii="Gadugi" w:hAnsi="Gadugi"/>
          <w:i/>
          <w:szCs w:val="24"/>
          <w:u w:val="single"/>
        </w:rPr>
        <w:t>el 8 de junio hasta el 5 de agosto de 2018</w:t>
      </w:r>
      <w:r w:rsidR="00462195" w:rsidRPr="00E73A37">
        <w:rPr>
          <w:rFonts w:ascii="Gadugi" w:hAnsi="Gadugi"/>
          <w:i/>
          <w:szCs w:val="24"/>
        </w:rPr>
        <w:t>, día de su fallecimiento (…)</w:t>
      </w:r>
      <w:r w:rsidR="00462195" w:rsidRPr="002944D8">
        <w:rPr>
          <w:rFonts w:ascii="Gadugi" w:hAnsi="Gadugi"/>
          <w:i/>
          <w:sz w:val="24"/>
          <w:szCs w:val="24"/>
        </w:rPr>
        <w:t>”</w:t>
      </w:r>
      <w:r w:rsidR="00D42CFD" w:rsidRPr="002944D8">
        <w:rPr>
          <w:rStyle w:val="Refdenotaalpie"/>
          <w:rFonts w:ascii="Gadugi" w:hAnsi="Gadugi"/>
          <w:i/>
          <w:sz w:val="24"/>
          <w:szCs w:val="24"/>
        </w:rPr>
        <w:footnoteReference w:id="21"/>
      </w:r>
      <w:r w:rsidR="006B332F" w:rsidRPr="002944D8">
        <w:rPr>
          <w:rFonts w:ascii="Gadugi" w:hAnsi="Gadugi"/>
          <w:sz w:val="24"/>
          <w:szCs w:val="24"/>
        </w:rPr>
        <w:t xml:space="preserve">, la cual está ubicada en la </w:t>
      </w:r>
      <w:r w:rsidR="005F35D1" w:rsidRPr="002944D8">
        <w:rPr>
          <w:rFonts w:ascii="Gadugi" w:hAnsi="Gadugi"/>
          <w:sz w:val="24"/>
          <w:szCs w:val="24"/>
        </w:rPr>
        <w:t xml:space="preserve">Cra 25 # 74A-87 de Pereira; como se ve, es imposible que, el 17 de julio de 2018, </w:t>
      </w:r>
      <w:r w:rsidRPr="002944D8">
        <w:rPr>
          <w:rFonts w:ascii="Gadugi" w:hAnsi="Gadugi"/>
          <w:sz w:val="24"/>
          <w:szCs w:val="24"/>
        </w:rPr>
        <w:t xml:space="preserve">hubiera firmado ese documento en su residencia en Dosquebradas. </w:t>
      </w:r>
    </w:p>
    <w:p w14:paraId="75D1A9F2" w14:textId="077190EB" w:rsidR="00D20096" w:rsidRPr="002944D8" w:rsidRDefault="00D20096" w:rsidP="002944D8">
      <w:pPr>
        <w:spacing w:after="0" w:line="276" w:lineRule="auto"/>
        <w:jc w:val="both"/>
        <w:rPr>
          <w:rFonts w:ascii="Gadugi" w:hAnsi="Gadugi"/>
          <w:sz w:val="24"/>
          <w:szCs w:val="24"/>
        </w:rPr>
      </w:pPr>
    </w:p>
    <w:p w14:paraId="432CA744" w14:textId="09372842" w:rsidR="005D2558" w:rsidRPr="002944D8" w:rsidRDefault="00D20096" w:rsidP="002944D8">
      <w:pPr>
        <w:spacing w:after="0" w:line="276" w:lineRule="auto"/>
        <w:jc w:val="both"/>
        <w:rPr>
          <w:rFonts w:ascii="Gadugi" w:hAnsi="Gadugi"/>
          <w:sz w:val="24"/>
          <w:szCs w:val="24"/>
        </w:rPr>
      </w:pPr>
      <w:r w:rsidRPr="002944D8">
        <w:rPr>
          <w:rFonts w:ascii="Gadugi" w:hAnsi="Gadugi"/>
          <w:sz w:val="24"/>
          <w:szCs w:val="24"/>
        </w:rPr>
        <w:t>Por otra parte, en el juicio se decretó como prueba el testimonio del Notario Tercero del Círculo de Pereira y del emp</w:t>
      </w:r>
      <w:r w:rsidR="00A15F89" w:rsidRPr="002944D8">
        <w:rPr>
          <w:rFonts w:ascii="Gadugi" w:hAnsi="Gadugi"/>
          <w:sz w:val="24"/>
          <w:szCs w:val="24"/>
        </w:rPr>
        <w:t>le</w:t>
      </w:r>
      <w:r w:rsidRPr="002944D8">
        <w:rPr>
          <w:rFonts w:ascii="Gadugi" w:hAnsi="Gadugi"/>
          <w:sz w:val="24"/>
          <w:szCs w:val="24"/>
        </w:rPr>
        <w:t>ado de esa notaría encargado de realizar los reconocimientos a domicilio</w:t>
      </w:r>
      <w:r w:rsidR="00885DF9" w:rsidRPr="002944D8">
        <w:rPr>
          <w:rFonts w:ascii="Gadugi" w:hAnsi="Gadugi"/>
          <w:sz w:val="24"/>
          <w:szCs w:val="24"/>
        </w:rPr>
        <w:t xml:space="preserve"> y ambos, con total </w:t>
      </w:r>
      <w:r w:rsidR="00715C6E" w:rsidRPr="002944D8">
        <w:rPr>
          <w:rFonts w:ascii="Gadugi" w:hAnsi="Gadugi"/>
          <w:sz w:val="24"/>
          <w:szCs w:val="24"/>
        </w:rPr>
        <w:t>elocuencia</w:t>
      </w:r>
      <w:r w:rsidR="00885DF9" w:rsidRPr="002944D8">
        <w:rPr>
          <w:rFonts w:ascii="Gadugi" w:hAnsi="Gadugi"/>
          <w:sz w:val="24"/>
          <w:szCs w:val="24"/>
        </w:rPr>
        <w:t>, aseguraron que nunca se han desplazado a Dosquebradas a realizar alguna actuación relacionada con la notaría</w:t>
      </w:r>
      <w:r w:rsidR="005D2558" w:rsidRPr="002944D8">
        <w:rPr>
          <w:rFonts w:ascii="Gadugi" w:hAnsi="Gadugi"/>
          <w:sz w:val="24"/>
          <w:szCs w:val="24"/>
        </w:rPr>
        <w:t xml:space="preserve">, inclusive, el segundo de ellos, ofreció una explicación razonable </w:t>
      </w:r>
      <w:r w:rsidR="00A15F89" w:rsidRPr="002944D8">
        <w:rPr>
          <w:rFonts w:ascii="Gadugi" w:hAnsi="Gadugi"/>
          <w:sz w:val="24"/>
          <w:szCs w:val="24"/>
        </w:rPr>
        <w:t xml:space="preserve">del </w:t>
      </w:r>
      <w:r w:rsidR="005D2558" w:rsidRPr="002944D8">
        <w:rPr>
          <w:rFonts w:ascii="Gadugi" w:hAnsi="Gadugi"/>
          <w:sz w:val="24"/>
          <w:szCs w:val="24"/>
        </w:rPr>
        <w:t xml:space="preserve">porqué </w:t>
      </w:r>
      <w:r w:rsidR="005D2558" w:rsidRPr="002944D8">
        <w:rPr>
          <w:rFonts w:ascii="Gadugi" w:hAnsi="Gadugi"/>
          <w:sz w:val="24"/>
          <w:szCs w:val="24"/>
        </w:rPr>
        <w:lastRenderedPageBreak/>
        <w:t>el documento de</w:t>
      </w:r>
      <w:r w:rsidR="00715C6E" w:rsidRPr="002944D8">
        <w:rPr>
          <w:rFonts w:ascii="Gadugi" w:hAnsi="Gadugi"/>
          <w:sz w:val="24"/>
          <w:szCs w:val="24"/>
        </w:rPr>
        <w:t xml:space="preserve">l </w:t>
      </w:r>
      <w:r w:rsidR="005D2558" w:rsidRPr="002944D8">
        <w:rPr>
          <w:rFonts w:ascii="Gadugi" w:hAnsi="Gadugi"/>
          <w:sz w:val="24"/>
          <w:szCs w:val="24"/>
        </w:rPr>
        <w:t>reconocimiento a domicilio no se diligenció con su letra</w:t>
      </w:r>
      <w:r w:rsidR="00715C6E" w:rsidRPr="002944D8">
        <w:rPr>
          <w:rFonts w:ascii="Gadugi" w:hAnsi="Gadugi"/>
          <w:sz w:val="24"/>
          <w:szCs w:val="24"/>
        </w:rPr>
        <w:t>,</w:t>
      </w:r>
      <w:r w:rsidR="005D2558" w:rsidRPr="002944D8">
        <w:rPr>
          <w:rFonts w:ascii="Gadugi" w:hAnsi="Gadugi"/>
          <w:sz w:val="24"/>
          <w:szCs w:val="24"/>
        </w:rPr>
        <w:t xml:space="preserve"> y por qué pudo haberse escrito en ese espacio una dirección de Dosquebradas</w:t>
      </w:r>
      <w:r w:rsidR="00994950" w:rsidRPr="002944D8">
        <w:rPr>
          <w:rFonts w:ascii="Gadugi" w:hAnsi="Gadugi"/>
          <w:sz w:val="24"/>
          <w:szCs w:val="24"/>
        </w:rPr>
        <w:t>. A</w:t>
      </w:r>
      <w:r w:rsidR="005D2558" w:rsidRPr="002944D8">
        <w:rPr>
          <w:rFonts w:ascii="Gadugi" w:hAnsi="Gadugi"/>
          <w:sz w:val="24"/>
          <w:szCs w:val="24"/>
        </w:rPr>
        <w:t>l respecto</w:t>
      </w:r>
      <w:r w:rsidR="00C44F96" w:rsidRPr="002944D8">
        <w:rPr>
          <w:rFonts w:ascii="Gadugi" w:hAnsi="Gadugi"/>
          <w:sz w:val="24"/>
          <w:szCs w:val="24"/>
        </w:rPr>
        <w:t>, cuando se le exhibió el documento en el interrogatorio,</w:t>
      </w:r>
      <w:r w:rsidR="005D2558" w:rsidRPr="002944D8">
        <w:rPr>
          <w:rFonts w:ascii="Gadugi" w:hAnsi="Gadugi"/>
          <w:sz w:val="24"/>
          <w:szCs w:val="24"/>
        </w:rPr>
        <w:t xml:space="preserve"> indicó</w:t>
      </w:r>
      <w:r w:rsidR="00D42CFD" w:rsidRPr="002944D8">
        <w:rPr>
          <w:rStyle w:val="Refdenotaalpie"/>
          <w:rFonts w:ascii="Gadugi" w:hAnsi="Gadugi"/>
          <w:sz w:val="24"/>
          <w:szCs w:val="24"/>
        </w:rPr>
        <w:footnoteReference w:id="22"/>
      </w:r>
      <w:r w:rsidR="005D2558" w:rsidRPr="002944D8">
        <w:rPr>
          <w:rFonts w:ascii="Gadugi" w:hAnsi="Gadugi"/>
          <w:sz w:val="24"/>
          <w:szCs w:val="24"/>
        </w:rPr>
        <w:t xml:space="preserve">. </w:t>
      </w:r>
    </w:p>
    <w:p w14:paraId="0AC72EFD" w14:textId="16624980" w:rsidR="005D2558" w:rsidRPr="002944D8" w:rsidRDefault="005D2558" w:rsidP="002944D8">
      <w:pPr>
        <w:spacing w:after="0" w:line="276" w:lineRule="auto"/>
        <w:jc w:val="both"/>
        <w:rPr>
          <w:rFonts w:ascii="Gadugi" w:hAnsi="Gadugi"/>
          <w:sz w:val="24"/>
          <w:szCs w:val="24"/>
        </w:rPr>
      </w:pPr>
    </w:p>
    <w:p w14:paraId="53AA5FB5" w14:textId="4BE82CEB" w:rsidR="005D2558" w:rsidRPr="007963FD" w:rsidRDefault="005D2558" w:rsidP="007963FD">
      <w:pPr>
        <w:spacing w:after="0" w:line="240" w:lineRule="auto"/>
        <w:ind w:left="426" w:right="420"/>
        <w:jc w:val="both"/>
        <w:rPr>
          <w:rFonts w:ascii="Gadugi" w:hAnsi="Gadugi"/>
          <w:szCs w:val="24"/>
        </w:rPr>
      </w:pPr>
      <w:r w:rsidRPr="007963FD">
        <w:rPr>
          <w:rFonts w:ascii="Gadugi" w:hAnsi="Gadugi"/>
          <w:szCs w:val="24"/>
        </w:rPr>
        <w:t xml:space="preserve">“(…) </w:t>
      </w:r>
      <w:r w:rsidRPr="007963FD">
        <w:rPr>
          <w:rFonts w:ascii="Gadugi" w:hAnsi="Gadugi"/>
          <w:b/>
          <w:bCs/>
          <w:szCs w:val="24"/>
        </w:rPr>
        <w:t>ah no señor no es mi letra</w:t>
      </w:r>
      <w:r w:rsidRPr="007963FD">
        <w:rPr>
          <w:rFonts w:ascii="Gadugi" w:hAnsi="Gadugi"/>
          <w:szCs w:val="24"/>
        </w:rPr>
        <w:t>, posiblemente fue que cuando yo tomo domicilios en clínicas</w:t>
      </w:r>
      <w:r w:rsidR="00C44F96" w:rsidRPr="007963FD">
        <w:rPr>
          <w:rFonts w:ascii="Gadugi" w:hAnsi="Gadugi"/>
          <w:szCs w:val="24"/>
        </w:rPr>
        <w:t>,</w:t>
      </w:r>
      <w:r w:rsidRPr="007963FD">
        <w:rPr>
          <w:rFonts w:ascii="Gadugi" w:hAnsi="Gadugi"/>
          <w:szCs w:val="24"/>
        </w:rPr>
        <w:t xml:space="preserve"> hay veces que yo no puedo acercarme mucho al paciente</w:t>
      </w:r>
      <w:r w:rsidR="00C44F96" w:rsidRPr="007963FD">
        <w:rPr>
          <w:rFonts w:ascii="Gadugi" w:hAnsi="Gadugi"/>
          <w:szCs w:val="24"/>
        </w:rPr>
        <w:t>,</w:t>
      </w:r>
      <w:r w:rsidRPr="007963FD">
        <w:rPr>
          <w:rFonts w:ascii="Gadugi" w:hAnsi="Gadugi"/>
          <w:szCs w:val="24"/>
        </w:rPr>
        <w:t xml:space="preserve"> por su estado crítico de salud, porque tiene sus prescripciones, porque tiene su aislamiento, entonces yo no puedo estar directamente con el paciente así cerca, entonces que me toca a mí, confiar en que</w:t>
      </w:r>
      <w:r w:rsidR="00C44F96" w:rsidRPr="007963FD">
        <w:rPr>
          <w:rFonts w:ascii="Gadugi" w:hAnsi="Gadugi"/>
          <w:szCs w:val="24"/>
        </w:rPr>
        <w:t>,</w:t>
      </w:r>
      <w:r w:rsidRPr="007963FD">
        <w:rPr>
          <w:rFonts w:ascii="Gadugi" w:hAnsi="Gadugi"/>
          <w:szCs w:val="24"/>
        </w:rPr>
        <w:t xml:space="preserve"> la misma persona</w:t>
      </w:r>
      <w:r w:rsidR="00C44F96" w:rsidRPr="007963FD">
        <w:rPr>
          <w:rFonts w:ascii="Gadugi" w:hAnsi="Gadugi"/>
          <w:szCs w:val="24"/>
        </w:rPr>
        <w:t>, yo viendo que</w:t>
      </w:r>
      <w:r w:rsidRPr="007963FD">
        <w:rPr>
          <w:rFonts w:ascii="Gadugi" w:hAnsi="Gadugi"/>
          <w:szCs w:val="24"/>
        </w:rPr>
        <w:t xml:space="preserve"> está escribiendo los datos que son, </w:t>
      </w:r>
      <w:r w:rsidR="00C44F96" w:rsidRPr="007963FD">
        <w:rPr>
          <w:rFonts w:ascii="Gadugi" w:hAnsi="Gadugi"/>
          <w:szCs w:val="24"/>
        </w:rPr>
        <w:t xml:space="preserve">de pronto en ese momento él colocó la dirección que dice ahí, colocó la dirección de la casa de él, es muy posible,  </w:t>
      </w:r>
      <w:r w:rsidRPr="007963FD">
        <w:rPr>
          <w:rFonts w:ascii="Gadugi" w:hAnsi="Gadugi"/>
          <w:szCs w:val="24"/>
        </w:rPr>
        <w:t xml:space="preserve">y yo lo que verifico es que el señor me firme y me coloque la huella digital donde yo mismo sé que la debe colocar, porque de pronto sé que estamos alejados uno o dos metros, entonces veo yo que el hombre coloque la huella y la firma de él, en el documento que yo mismo le pase, </w:t>
      </w:r>
      <w:r w:rsidRPr="007963FD">
        <w:rPr>
          <w:rFonts w:ascii="Gadugi" w:hAnsi="Gadugi"/>
          <w:b/>
          <w:bCs/>
          <w:szCs w:val="24"/>
        </w:rPr>
        <w:t>pero ya lo de la dirección</w:t>
      </w:r>
      <w:r w:rsidR="00C44F96" w:rsidRPr="007963FD">
        <w:rPr>
          <w:rFonts w:ascii="Gadugi" w:hAnsi="Gadugi"/>
          <w:b/>
          <w:bCs/>
          <w:szCs w:val="24"/>
        </w:rPr>
        <w:t xml:space="preserve">, de pronto </w:t>
      </w:r>
      <w:r w:rsidRPr="007963FD">
        <w:rPr>
          <w:rFonts w:ascii="Gadugi" w:hAnsi="Gadugi"/>
          <w:b/>
          <w:bCs/>
          <w:szCs w:val="24"/>
        </w:rPr>
        <w:t xml:space="preserve">él </w:t>
      </w:r>
      <w:r w:rsidR="00C44F96" w:rsidRPr="007963FD">
        <w:rPr>
          <w:rFonts w:ascii="Gadugi" w:hAnsi="Gadugi"/>
          <w:b/>
          <w:bCs/>
          <w:szCs w:val="24"/>
        </w:rPr>
        <w:t xml:space="preserve">mismo </w:t>
      </w:r>
      <w:r w:rsidRPr="007963FD">
        <w:rPr>
          <w:rFonts w:ascii="Gadugi" w:hAnsi="Gadugi"/>
          <w:b/>
          <w:bCs/>
          <w:szCs w:val="24"/>
        </w:rPr>
        <w:t>la coloc</w:t>
      </w:r>
      <w:r w:rsidR="00715C6E" w:rsidRPr="007963FD">
        <w:rPr>
          <w:rFonts w:ascii="Gadugi" w:hAnsi="Gadugi"/>
          <w:b/>
          <w:bCs/>
          <w:szCs w:val="24"/>
        </w:rPr>
        <w:t>ó</w:t>
      </w:r>
      <w:r w:rsidRPr="007963FD">
        <w:rPr>
          <w:rFonts w:ascii="Gadugi" w:hAnsi="Gadugi"/>
          <w:szCs w:val="24"/>
        </w:rPr>
        <w:t>.”</w:t>
      </w:r>
    </w:p>
    <w:p w14:paraId="2E0B5383" w14:textId="77777777" w:rsidR="005D2558" w:rsidRPr="002944D8" w:rsidRDefault="005D2558" w:rsidP="002944D8">
      <w:pPr>
        <w:spacing w:after="0" w:line="276" w:lineRule="auto"/>
        <w:jc w:val="both"/>
        <w:rPr>
          <w:rFonts w:ascii="Gadugi" w:hAnsi="Gadugi"/>
          <w:sz w:val="24"/>
          <w:szCs w:val="24"/>
        </w:rPr>
      </w:pPr>
    </w:p>
    <w:p w14:paraId="47918AB6" w14:textId="09491FEB" w:rsidR="001F55F0" w:rsidRPr="002944D8" w:rsidRDefault="005D2558" w:rsidP="002944D8">
      <w:pPr>
        <w:spacing w:after="0" w:line="276" w:lineRule="auto"/>
        <w:jc w:val="both"/>
        <w:rPr>
          <w:rFonts w:ascii="Gadugi" w:hAnsi="Gadugi"/>
          <w:sz w:val="24"/>
          <w:szCs w:val="24"/>
        </w:rPr>
      </w:pPr>
      <w:r w:rsidRPr="002944D8">
        <w:rPr>
          <w:rFonts w:ascii="Gadugi" w:hAnsi="Gadugi"/>
          <w:sz w:val="24"/>
          <w:szCs w:val="24"/>
        </w:rPr>
        <w:t xml:space="preserve">En suma, </w:t>
      </w:r>
      <w:r w:rsidR="001F55F0" w:rsidRPr="002944D8">
        <w:rPr>
          <w:rFonts w:ascii="Gadugi" w:hAnsi="Gadugi"/>
          <w:sz w:val="24"/>
          <w:szCs w:val="24"/>
        </w:rPr>
        <w:t xml:space="preserve">la conclusión que más se acompasa con lo probado en este juicio es </w:t>
      </w:r>
      <w:r w:rsidRPr="002944D8">
        <w:rPr>
          <w:rFonts w:ascii="Gadugi" w:hAnsi="Gadugi"/>
          <w:sz w:val="24"/>
          <w:szCs w:val="24"/>
        </w:rPr>
        <w:t>que</w:t>
      </w:r>
      <w:r w:rsidR="001F55F0" w:rsidRPr="002944D8">
        <w:rPr>
          <w:rFonts w:ascii="Gadugi" w:hAnsi="Gadugi"/>
          <w:sz w:val="24"/>
          <w:szCs w:val="24"/>
        </w:rPr>
        <w:t>,</w:t>
      </w:r>
      <w:r w:rsidRPr="002944D8">
        <w:rPr>
          <w:rFonts w:ascii="Gadugi" w:hAnsi="Gadugi"/>
          <w:sz w:val="24"/>
          <w:szCs w:val="24"/>
        </w:rPr>
        <w:t xml:space="preserve"> </w:t>
      </w:r>
      <w:r w:rsidR="001F55F0" w:rsidRPr="002944D8">
        <w:rPr>
          <w:rFonts w:ascii="Gadugi" w:hAnsi="Gadugi"/>
          <w:sz w:val="24"/>
          <w:szCs w:val="24"/>
        </w:rPr>
        <w:t xml:space="preserve">por error, en ese documento se escribió una dirección distinta a la que, en realidad, correspondía al lugar donde se estaba suscribiendo, </w:t>
      </w:r>
      <w:r w:rsidR="00994345" w:rsidRPr="002944D8">
        <w:rPr>
          <w:rFonts w:ascii="Gadugi" w:hAnsi="Gadugi"/>
          <w:sz w:val="24"/>
          <w:szCs w:val="24"/>
        </w:rPr>
        <w:t>el cual</w:t>
      </w:r>
      <w:r w:rsidR="00D63B46" w:rsidRPr="002944D8">
        <w:rPr>
          <w:rFonts w:ascii="Gadugi" w:hAnsi="Gadugi"/>
          <w:sz w:val="24"/>
          <w:szCs w:val="24"/>
        </w:rPr>
        <w:t>,</w:t>
      </w:r>
      <w:r w:rsidR="00994345" w:rsidRPr="002944D8">
        <w:rPr>
          <w:rFonts w:ascii="Gadugi" w:hAnsi="Gadugi"/>
          <w:sz w:val="24"/>
          <w:szCs w:val="24"/>
        </w:rPr>
        <w:t xml:space="preserve"> </w:t>
      </w:r>
      <w:r w:rsidR="00CE50DD" w:rsidRPr="002944D8">
        <w:rPr>
          <w:rFonts w:ascii="Gadugi" w:hAnsi="Gadugi"/>
          <w:sz w:val="24"/>
          <w:szCs w:val="24"/>
        </w:rPr>
        <w:t>de verdad,</w:t>
      </w:r>
      <w:r w:rsidR="00994345" w:rsidRPr="002944D8">
        <w:rPr>
          <w:rFonts w:ascii="Gadugi" w:hAnsi="Gadugi"/>
          <w:sz w:val="24"/>
          <w:szCs w:val="24"/>
        </w:rPr>
        <w:t xml:space="preserve"> era la Clínica San Rafael ubicada en el barrio Cuba de esta ciudad, en ese entendido</w:t>
      </w:r>
      <w:r w:rsidR="00CE50DD" w:rsidRPr="002944D8">
        <w:rPr>
          <w:rFonts w:ascii="Gadugi" w:hAnsi="Gadugi"/>
          <w:sz w:val="24"/>
          <w:szCs w:val="24"/>
        </w:rPr>
        <w:t xml:space="preserve">, es </w:t>
      </w:r>
      <w:r w:rsidR="00E63106" w:rsidRPr="002944D8">
        <w:rPr>
          <w:rFonts w:ascii="Gadugi" w:hAnsi="Gadugi"/>
          <w:sz w:val="24"/>
          <w:szCs w:val="24"/>
        </w:rPr>
        <w:t>desenfocada</w:t>
      </w:r>
      <w:r w:rsidR="001F55F0" w:rsidRPr="002944D8">
        <w:rPr>
          <w:rFonts w:ascii="Gadugi" w:hAnsi="Gadugi"/>
          <w:sz w:val="24"/>
          <w:szCs w:val="24"/>
        </w:rPr>
        <w:t xml:space="preserve"> la nulidad </w:t>
      </w:r>
      <w:r w:rsidR="00A87647" w:rsidRPr="002944D8">
        <w:rPr>
          <w:rFonts w:ascii="Gadugi" w:hAnsi="Gadugi"/>
          <w:sz w:val="24"/>
          <w:szCs w:val="24"/>
        </w:rPr>
        <w:t xml:space="preserve">formal </w:t>
      </w:r>
      <w:r w:rsidR="001F55F0" w:rsidRPr="002944D8">
        <w:rPr>
          <w:rFonts w:ascii="Gadugi" w:hAnsi="Gadugi"/>
          <w:sz w:val="24"/>
          <w:szCs w:val="24"/>
        </w:rPr>
        <w:t>invocada</w:t>
      </w:r>
      <w:r w:rsidR="00A87647" w:rsidRPr="002944D8">
        <w:rPr>
          <w:rFonts w:ascii="Gadugi" w:hAnsi="Gadugi"/>
          <w:sz w:val="24"/>
          <w:szCs w:val="24"/>
        </w:rPr>
        <w:t xml:space="preserve">, habida cuenta de que no se </w:t>
      </w:r>
      <w:r w:rsidR="006C631F" w:rsidRPr="002944D8">
        <w:rPr>
          <w:rFonts w:ascii="Gadugi" w:hAnsi="Gadugi"/>
          <w:sz w:val="24"/>
          <w:szCs w:val="24"/>
        </w:rPr>
        <w:t xml:space="preserve">configuró </w:t>
      </w:r>
      <w:r w:rsidR="00A87647" w:rsidRPr="002944D8">
        <w:rPr>
          <w:rFonts w:ascii="Gadugi" w:hAnsi="Gadugi"/>
          <w:sz w:val="24"/>
          <w:szCs w:val="24"/>
        </w:rPr>
        <w:t>la causal prevista en el numeral 1° del artículo 99 del Decreto 960 de 1970</w:t>
      </w:r>
      <w:r w:rsidR="006C631F" w:rsidRPr="002944D8">
        <w:rPr>
          <w:rFonts w:ascii="Gadugi" w:hAnsi="Gadugi"/>
          <w:sz w:val="24"/>
          <w:szCs w:val="24"/>
        </w:rPr>
        <w:t xml:space="preserve">; tampoco la </w:t>
      </w:r>
      <w:r w:rsidR="00D06FAD" w:rsidRPr="002944D8">
        <w:rPr>
          <w:rFonts w:ascii="Gadugi" w:hAnsi="Gadugi"/>
          <w:sz w:val="24"/>
          <w:szCs w:val="24"/>
        </w:rPr>
        <w:t xml:space="preserve">del numeral 2, dado que el poder no acusaba la irregularidad que se invocó. </w:t>
      </w:r>
      <w:r w:rsidR="00A87647" w:rsidRPr="002944D8">
        <w:rPr>
          <w:rFonts w:ascii="Gadugi" w:hAnsi="Gadugi"/>
          <w:sz w:val="24"/>
          <w:szCs w:val="24"/>
        </w:rPr>
        <w:t xml:space="preserve"> </w:t>
      </w:r>
    </w:p>
    <w:p w14:paraId="0F427E68" w14:textId="77777777" w:rsidR="00C33D70" w:rsidRPr="002944D8" w:rsidRDefault="00C33D70" w:rsidP="002944D8">
      <w:pPr>
        <w:spacing w:after="0" w:line="276" w:lineRule="auto"/>
        <w:jc w:val="both"/>
        <w:rPr>
          <w:rFonts w:ascii="Gadugi" w:hAnsi="Gadugi"/>
          <w:sz w:val="24"/>
          <w:szCs w:val="24"/>
        </w:rPr>
      </w:pPr>
    </w:p>
    <w:p w14:paraId="401721F3" w14:textId="49182BF9" w:rsidR="00B2679B" w:rsidRPr="002944D8" w:rsidRDefault="00715C6E" w:rsidP="002944D8">
      <w:pPr>
        <w:pStyle w:val="Prrafodelista"/>
        <w:numPr>
          <w:ilvl w:val="2"/>
          <w:numId w:val="1"/>
        </w:numPr>
        <w:spacing w:after="0" w:line="276" w:lineRule="auto"/>
        <w:ind w:left="0" w:hanging="11"/>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El segundo ataque </w:t>
      </w:r>
      <w:r w:rsidR="0051335F" w:rsidRPr="002944D8">
        <w:rPr>
          <w:rFonts w:ascii="Gadugi" w:eastAsia="Malgun Gothic" w:hAnsi="Gadugi" w:cs="Estrangelo Edessa"/>
          <w:sz w:val="24"/>
          <w:szCs w:val="24"/>
        </w:rPr>
        <w:t>que</w:t>
      </w:r>
      <w:r w:rsidR="0067474C" w:rsidRPr="002944D8">
        <w:rPr>
          <w:rFonts w:ascii="Gadugi" w:eastAsia="Malgun Gothic" w:hAnsi="Gadugi" w:cs="Estrangelo Edessa"/>
          <w:sz w:val="24"/>
          <w:szCs w:val="24"/>
        </w:rPr>
        <w:t xml:space="preserve"> la recurrente</w:t>
      </w:r>
      <w:r w:rsidR="0051335F" w:rsidRPr="002944D8">
        <w:rPr>
          <w:rFonts w:ascii="Gadugi" w:eastAsia="Malgun Gothic" w:hAnsi="Gadugi" w:cs="Estrangelo Edessa"/>
          <w:sz w:val="24"/>
          <w:szCs w:val="24"/>
        </w:rPr>
        <w:t xml:space="preserve"> emprende contra la escritura</w:t>
      </w:r>
      <w:r w:rsidR="009B2746" w:rsidRPr="002944D8">
        <w:rPr>
          <w:rFonts w:ascii="Gadugi" w:eastAsia="Malgun Gothic" w:hAnsi="Gadugi" w:cs="Estrangelo Edessa"/>
          <w:sz w:val="24"/>
          <w:szCs w:val="24"/>
        </w:rPr>
        <w:t xml:space="preserve"> pública</w:t>
      </w:r>
      <w:r w:rsidR="0051335F" w:rsidRPr="002944D8">
        <w:rPr>
          <w:rFonts w:ascii="Gadugi" w:eastAsia="Malgun Gothic" w:hAnsi="Gadugi" w:cs="Estrangelo Edessa"/>
          <w:sz w:val="24"/>
          <w:szCs w:val="24"/>
        </w:rPr>
        <w:t xml:space="preserve">, está fincado en la presunta ilicitud </w:t>
      </w:r>
      <w:r w:rsidR="0067474C" w:rsidRPr="002944D8">
        <w:rPr>
          <w:rFonts w:ascii="Gadugi" w:eastAsia="Malgun Gothic" w:hAnsi="Gadugi" w:cs="Estrangelo Edessa"/>
          <w:sz w:val="24"/>
          <w:szCs w:val="24"/>
        </w:rPr>
        <w:t>de la causa del contrato que ella contiene</w:t>
      </w:r>
      <w:r w:rsidR="0051335F" w:rsidRPr="002944D8">
        <w:rPr>
          <w:rFonts w:ascii="Gadugi" w:eastAsia="Malgun Gothic" w:hAnsi="Gadugi" w:cs="Estrangelo Edessa"/>
          <w:sz w:val="24"/>
          <w:szCs w:val="24"/>
        </w:rPr>
        <w:t>, comoquiera que defraudó a un tercero, en este caso, a la demandante</w:t>
      </w:r>
      <w:r w:rsidR="00B2679B" w:rsidRPr="002944D8">
        <w:rPr>
          <w:rFonts w:ascii="Gadugi" w:eastAsia="Malgun Gothic" w:hAnsi="Gadugi" w:cs="Estrangelo Edessa"/>
          <w:sz w:val="24"/>
          <w:szCs w:val="24"/>
        </w:rPr>
        <w:t>.</w:t>
      </w:r>
    </w:p>
    <w:p w14:paraId="3F5BD4D6" w14:textId="77777777" w:rsidR="00B2679B" w:rsidRPr="002944D8" w:rsidRDefault="00B2679B" w:rsidP="002944D8">
      <w:pPr>
        <w:pStyle w:val="Prrafodelista"/>
        <w:spacing w:after="0" w:line="276" w:lineRule="auto"/>
        <w:ind w:left="0"/>
        <w:jc w:val="both"/>
        <w:rPr>
          <w:rFonts w:ascii="Gadugi" w:eastAsia="Malgun Gothic" w:hAnsi="Gadugi" w:cs="Estrangelo Edessa"/>
          <w:bCs/>
          <w:sz w:val="24"/>
          <w:szCs w:val="24"/>
        </w:rPr>
      </w:pPr>
    </w:p>
    <w:p w14:paraId="73F3A4AB" w14:textId="3402FCD9" w:rsidR="007E6899" w:rsidRPr="002944D8" w:rsidRDefault="00D06FAD"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bCs/>
          <w:sz w:val="24"/>
          <w:szCs w:val="24"/>
        </w:rPr>
        <w:t xml:space="preserve">Mas, como viene de decirse, ante la confusión que existe en la formulación de las pretensiones, en las que se insiste en la declaración de nulidad de la escritura pública y no, propiamente, del negocio en ella contenido, </w:t>
      </w:r>
      <w:r w:rsidR="00A10E29" w:rsidRPr="002944D8">
        <w:rPr>
          <w:rFonts w:ascii="Gadugi" w:eastAsia="Malgun Gothic" w:hAnsi="Gadugi" w:cs="Estrangelo Edessa"/>
          <w:bCs/>
          <w:sz w:val="24"/>
          <w:szCs w:val="24"/>
        </w:rPr>
        <w:t xml:space="preserve">en virtud del </w:t>
      </w:r>
      <w:r w:rsidR="005D2217" w:rsidRPr="002944D8">
        <w:rPr>
          <w:rFonts w:ascii="Gadugi" w:hAnsi="Gadugi"/>
          <w:sz w:val="24"/>
          <w:szCs w:val="24"/>
        </w:rPr>
        <w:t xml:space="preserve">principio de congruencia que gobierna las decisiones judiciales, </w:t>
      </w:r>
      <w:r w:rsidR="00A10E29" w:rsidRPr="002944D8">
        <w:rPr>
          <w:rFonts w:ascii="Gadugi" w:hAnsi="Gadugi"/>
          <w:sz w:val="24"/>
          <w:szCs w:val="24"/>
        </w:rPr>
        <w:t xml:space="preserve">habría una razón </w:t>
      </w:r>
      <w:r w:rsidR="005D2217" w:rsidRPr="002944D8">
        <w:rPr>
          <w:rFonts w:ascii="Gadugi" w:hAnsi="Gadugi"/>
          <w:sz w:val="24"/>
          <w:szCs w:val="24"/>
        </w:rPr>
        <w:t>suficiente para desechar la nulidad que por aquí se encauza. Al respecto, vale la pena recordar</w:t>
      </w:r>
      <w:r w:rsidR="00472A38" w:rsidRPr="002944D8">
        <w:rPr>
          <w:rFonts w:ascii="Gadugi" w:hAnsi="Gadugi"/>
          <w:sz w:val="24"/>
          <w:szCs w:val="24"/>
        </w:rPr>
        <w:t xml:space="preserve"> con la Corte</w:t>
      </w:r>
      <w:r w:rsidR="00472A38" w:rsidRPr="002944D8">
        <w:rPr>
          <w:rStyle w:val="Refdenotaalpie"/>
          <w:rFonts w:ascii="Gadugi" w:hAnsi="Gadugi"/>
          <w:sz w:val="24"/>
          <w:szCs w:val="24"/>
        </w:rPr>
        <w:footnoteReference w:id="23"/>
      </w:r>
      <w:r w:rsidR="00472A38" w:rsidRPr="002944D8">
        <w:rPr>
          <w:rFonts w:ascii="Gadugi" w:hAnsi="Gadugi"/>
          <w:sz w:val="24"/>
          <w:szCs w:val="24"/>
        </w:rPr>
        <w:t>, frente a la congruencia de las decisiones judiciales, que</w:t>
      </w:r>
      <w:r w:rsidR="005D2217" w:rsidRPr="002944D8">
        <w:rPr>
          <w:rFonts w:ascii="Gadugi" w:hAnsi="Gadugi"/>
          <w:sz w:val="24"/>
          <w:szCs w:val="24"/>
        </w:rPr>
        <w:t>:</w:t>
      </w:r>
    </w:p>
    <w:p w14:paraId="1CB99F66" w14:textId="77777777" w:rsidR="00E63106" w:rsidRPr="002944D8" w:rsidRDefault="00E63106" w:rsidP="002944D8">
      <w:pPr>
        <w:pStyle w:val="Prrafodelista"/>
        <w:spacing w:after="0" w:line="276" w:lineRule="auto"/>
        <w:ind w:left="0"/>
        <w:jc w:val="both"/>
        <w:rPr>
          <w:rFonts w:ascii="Gadugi" w:eastAsia="Malgun Gothic" w:hAnsi="Gadugi" w:cs="Estrangelo Edessa"/>
          <w:bCs/>
          <w:sz w:val="24"/>
          <w:szCs w:val="24"/>
        </w:rPr>
      </w:pPr>
    </w:p>
    <w:p w14:paraId="24A30A5D" w14:textId="77777777" w:rsidR="005D2217" w:rsidRPr="007963FD" w:rsidRDefault="005D2217" w:rsidP="007963FD">
      <w:pPr>
        <w:spacing w:after="0" w:line="240" w:lineRule="auto"/>
        <w:ind w:left="426" w:right="420"/>
        <w:jc w:val="both"/>
        <w:rPr>
          <w:rFonts w:ascii="Gadugi" w:hAnsi="Gadugi" w:cs="Arial"/>
          <w:szCs w:val="24"/>
        </w:rPr>
      </w:pPr>
      <w:r w:rsidRPr="007963FD">
        <w:rPr>
          <w:rFonts w:ascii="Gadugi" w:hAnsi="Gadugi" w:cs="Arial"/>
          <w:szCs w:val="24"/>
        </w:rPr>
        <w:t>1.1. El artículo 281 del Código General del Proceso prescribe que «</w:t>
      </w:r>
      <w:r w:rsidRPr="007963FD">
        <w:rPr>
          <w:rFonts w:ascii="Gadugi" w:hAnsi="Gadugi" w:cs="Arial"/>
          <w:i/>
          <w:iCs/>
          <w:szCs w:val="24"/>
        </w:rPr>
        <w:t xml:space="preserve">[l]a sentencia deberá estar en </w:t>
      </w:r>
      <w:r w:rsidRPr="007963FD">
        <w:rPr>
          <w:rFonts w:ascii="Gadugi" w:hAnsi="Gadugi" w:cs="Arial"/>
          <w:b/>
          <w:bCs/>
          <w:i/>
          <w:iCs/>
          <w:szCs w:val="24"/>
        </w:rPr>
        <w:t>consonancia</w:t>
      </w:r>
      <w:r w:rsidRPr="007963FD">
        <w:rPr>
          <w:rFonts w:ascii="Gadugi" w:hAnsi="Gadugi" w:cs="Arial"/>
          <w:i/>
          <w:iCs/>
          <w:szCs w:val="24"/>
        </w:rPr>
        <w:t xml:space="preserve"> con los </w:t>
      </w:r>
      <w:r w:rsidRPr="007963FD">
        <w:rPr>
          <w:rFonts w:ascii="Gadugi" w:hAnsi="Gadugi" w:cs="Arial"/>
          <w:b/>
          <w:bCs/>
          <w:i/>
          <w:iCs/>
          <w:szCs w:val="24"/>
        </w:rPr>
        <w:t>hechos</w:t>
      </w:r>
      <w:r w:rsidRPr="007963FD">
        <w:rPr>
          <w:rFonts w:ascii="Gadugi" w:hAnsi="Gadugi" w:cs="Arial"/>
          <w:i/>
          <w:iCs/>
          <w:szCs w:val="24"/>
        </w:rPr>
        <w:t xml:space="preserve"> y las </w:t>
      </w:r>
      <w:r w:rsidRPr="007963FD">
        <w:rPr>
          <w:rFonts w:ascii="Gadugi" w:hAnsi="Gadugi" w:cs="Arial"/>
          <w:b/>
          <w:bCs/>
          <w:i/>
          <w:iCs/>
          <w:szCs w:val="24"/>
        </w:rPr>
        <w:t>pretensiones</w:t>
      </w:r>
      <w:r w:rsidRPr="007963FD">
        <w:rPr>
          <w:rFonts w:ascii="Gadugi" w:hAnsi="Gadugi" w:cs="Arial"/>
          <w:i/>
          <w:iCs/>
          <w:szCs w:val="24"/>
        </w:rPr>
        <w:t xml:space="preserve"> aducidos en la demanda y en las demás oportunidades que este código contempla y con las </w:t>
      </w:r>
      <w:r w:rsidRPr="007963FD">
        <w:rPr>
          <w:rFonts w:ascii="Gadugi" w:hAnsi="Gadugi" w:cs="Arial"/>
          <w:b/>
          <w:bCs/>
          <w:i/>
          <w:iCs/>
          <w:szCs w:val="24"/>
        </w:rPr>
        <w:t>excepciones</w:t>
      </w:r>
      <w:r w:rsidRPr="007963FD">
        <w:rPr>
          <w:rFonts w:ascii="Gadugi" w:hAnsi="Gadugi" w:cs="Arial"/>
          <w:i/>
          <w:iCs/>
          <w:szCs w:val="24"/>
        </w:rPr>
        <w:t xml:space="preserve"> que aparezcan probadas y hubieren sido alegadas si así lo exige la ley</w:t>
      </w:r>
      <w:r w:rsidRPr="007963FD">
        <w:rPr>
          <w:rFonts w:ascii="Gadugi" w:hAnsi="Gadugi" w:cs="Arial"/>
          <w:szCs w:val="24"/>
        </w:rPr>
        <w:t>» (negrilla fuera de texto).</w:t>
      </w:r>
    </w:p>
    <w:p w14:paraId="1DD15333" w14:textId="77777777" w:rsidR="005D2217" w:rsidRPr="007963FD" w:rsidRDefault="005D2217" w:rsidP="007963FD">
      <w:pPr>
        <w:spacing w:after="0" w:line="240" w:lineRule="auto"/>
        <w:ind w:left="426" w:right="420" w:firstLine="708"/>
        <w:jc w:val="both"/>
        <w:rPr>
          <w:rFonts w:ascii="Gadugi" w:hAnsi="Gadugi" w:cs="Arial"/>
          <w:szCs w:val="24"/>
        </w:rPr>
      </w:pPr>
    </w:p>
    <w:p w14:paraId="027194F6" w14:textId="777B3BE2" w:rsidR="005D2217" w:rsidRPr="007963FD" w:rsidRDefault="005D2217" w:rsidP="007963FD">
      <w:pPr>
        <w:spacing w:after="0" w:line="240" w:lineRule="auto"/>
        <w:ind w:left="426" w:right="420"/>
        <w:jc w:val="both"/>
        <w:rPr>
          <w:rFonts w:ascii="Gadugi" w:hAnsi="Gadugi" w:cs="Arial"/>
          <w:szCs w:val="24"/>
        </w:rPr>
      </w:pPr>
      <w:r w:rsidRPr="007963FD">
        <w:rPr>
          <w:rFonts w:ascii="Gadugi" w:hAnsi="Gadugi" w:cs="Arial"/>
          <w:szCs w:val="24"/>
        </w:rPr>
        <w:t xml:space="preserve">Se positivizó, de esta forma, el cardinal principio de congruencia o consonancia, por cuya fuerza el sentenciador tiene el deber de que su veredicto guarde coherencia con las pretensiones aducidas en el trámite judicial, los hechos que sirven de sustento </w:t>
      </w:r>
      <w:r w:rsidRPr="007963FD">
        <w:rPr>
          <w:rFonts w:ascii="Gadugi" w:hAnsi="Gadugi" w:cs="Arial"/>
          <w:szCs w:val="24"/>
        </w:rPr>
        <w:lastRenderedPageBreak/>
        <w:t xml:space="preserve">a la </w:t>
      </w:r>
      <w:r w:rsidRPr="007963FD">
        <w:rPr>
          <w:rFonts w:ascii="Gadugi" w:hAnsi="Gadugi" w:cs="Arial"/>
          <w:i/>
          <w:iCs/>
          <w:szCs w:val="24"/>
        </w:rPr>
        <w:t>causa petendi</w:t>
      </w:r>
      <w:r w:rsidRPr="007963FD">
        <w:rPr>
          <w:rFonts w:ascii="Gadugi" w:hAnsi="Gadugi" w:cs="Arial"/>
          <w:szCs w:val="24"/>
        </w:rPr>
        <w:t xml:space="preserve">, y las excepciones invocadas por los demandados o que aparezcan acreditadas en el trámite. </w:t>
      </w:r>
    </w:p>
    <w:p w14:paraId="00666CE4" w14:textId="77777777" w:rsidR="005D2217" w:rsidRPr="007963FD" w:rsidRDefault="005D2217" w:rsidP="007963FD">
      <w:pPr>
        <w:spacing w:after="0" w:line="240" w:lineRule="auto"/>
        <w:ind w:left="426" w:right="420"/>
        <w:jc w:val="both"/>
        <w:rPr>
          <w:rFonts w:ascii="Gadugi" w:hAnsi="Gadugi" w:cs="Arial"/>
          <w:szCs w:val="24"/>
        </w:rPr>
      </w:pPr>
    </w:p>
    <w:p w14:paraId="5A6C5524" w14:textId="3D58529F" w:rsidR="005D2217" w:rsidRPr="007963FD" w:rsidRDefault="005D2217" w:rsidP="007963FD">
      <w:pPr>
        <w:spacing w:after="0" w:line="240" w:lineRule="auto"/>
        <w:ind w:left="426" w:right="420"/>
        <w:jc w:val="both"/>
        <w:rPr>
          <w:rFonts w:ascii="Gadugi" w:hAnsi="Gadugi" w:cs="Arial"/>
          <w:szCs w:val="24"/>
        </w:rPr>
      </w:pPr>
      <w:r w:rsidRPr="007963FD">
        <w:rPr>
          <w:rFonts w:ascii="Gadugi" w:hAnsi="Gadugi" w:cs="Arial"/>
          <w:szCs w:val="24"/>
        </w:rPr>
        <w:t xml:space="preserve">Regla que hunde sus raíces en la naturaleza dispositiva que es ingénita a la jurisdicción civil y comercial, según la cual, las partes tienen el gobierno sobre las materias que se encuentran </w:t>
      </w:r>
      <w:r w:rsidRPr="007963FD">
        <w:rPr>
          <w:rFonts w:ascii="Gadugi" w:hAnsi="Gadugi" w:cs="Arial"/>
          <w:i/>
          <w:iCs/>
          <w:szCs w:val="24"/>
        </w:rPr>
        <w:t>sub judice</w:t>
      </w:r>
      <w:r w:rsidRPr="007963FD">
        <w:rPr>
          <w:rFonts w:ascii="Gadugi" w:hAnsi="Gadugi" w:cs="Arial"/>
          <w:szCs w:val="24"/>
        </w:rPr>
        <w:t>, sin que el juzgador pueda analizar cuestiones que no fueron planteadas o que las partes sustrajeron de la justicia. Así se reconoció en el brocárdico «</w:t>
      </w:r>
      <w:proofErr w:type="spellStart"/>
      <w:r w:rsidRPr="007963FD">
        <w:rPr>
          <w:rFonts w:ascii="Gadugi" w:hAnsi="Gadugi" w:cs="Arial"/>
          <w:i/>
          <w:szCs w:val="24"/>
        </w:rPr>
        <w:t>ne</w:t>
      </w:r>
      <w:proofErr w:type="spellEnd"/>
      <w:r w:rsidRPr="007963FD">
        <w:rPr>
          <w:rFonts w:ascii="Gadugi" w:hAnsi="Gadugi" w:cs="Arial"/>
          <w:i/>
          <w:szCs w:val="24"/>
        </w:rPr>
        <w:t xml:space="preserve"> </w:t>
      </w:r>
      <w:proofErr w:type="spellStart"/>
      <w:r w:rsidRPr="007963FD">
        <w:rPr>
          <w:rFonts w:ascii="Gadugi" w:hAnsi="Gadugi" w:cs="Arial"/>
          <w:i/>
          <w:szCs w:val="24"/>
        </w:rPr>
        <w:t>eat</w:t>
      </w:r>
      <w:proofErr w:type="spellEnd"/>
      <w:r w:rsidRPr="007963FD">
        <w:rPr>
          <w:rFonts w:ascii="Gadugi" w:hAnsi="Gadugi" w:cs="Arial"/>
          <w:i/>
          <w:szCs w:val="24"/>
        </w:rPr>
        <w:t xml:space="preserve"> </w:t>
      </w:r>
      <w:proofErr w:type="spellStart"/>
      <w:r w:rsidRPr="007963FD">
        <w:rPr>
          <w:rFonts w:ascii="Gadugi" w:hAnsi="Gadugi" w:cs="Arial"/>
          <w:i/>
          <w:szCs w:val="24"/>
        </w:rPr>
        <w:t>iudex</w:t>
      </w:r>
      <w:proofErr w:type="spellEnd"/>
      <w:r w:rsidRPr="007963FD">
        <w:rPr>
          <w:rFonts w:ascii="Gadugi" w:hAnsi="Gadugi" w:cs="Arial"/>
          <w:i/>
          <w:szCs w:val="24"/>
        </w:rPr>
        <w:t xml:space="preserve"> ultra petita </w:t>
      </w:r>
      <w:proofErr w:type="spellStart"/>
      <w:r w:rsidRPr="007963FD">
        <w:rPr>
          <w:rFonts w:ascii="Gadugi" w:hAnsi="Gadugi" w:cs="Arial"/>
          <w:i/>
          <w:szCs w:val="24"/>
        </w:rPr>
        <w:t>partium</w:t>
      </w:r>
      <w:proofErr w:type="spellEnd"/>
      <w:r w:rsidRPr="007963FD">
        <w:rPr>
          <w:rFonts w:ascii="Gadugi" w:hAnsi="Gadugi" w:cs="Arial"/>
          <w:szCs w:val="24"/>
        </w:rPr>
        <w:t>» -la sentencia ha de atenerse a las pretensiones de las partes-.</w:t>
      </w:r>
    </w:p>
    <w:p w14:paraId="7126006C" w14:textId="77777777" w:rsidR="005D2217" w:rsidRPr="007963FD" w:rsidRDefault="005D2217" w:rsidP="007963FD">
      <w:pPr>
        <w:spacing w:after="0" w:line="240" w:lineRule="auto"/>
        <w:ind w:left="426" w:right="420"/>
        <w:jc w:val="both"/>
        <w:rPr>
          <w:rFonts w:ascii="Gadugi" w:hAnsi="Gadugi" w:cs="Arial"/>
          <w:szCs w:val="24"/>
        </w:rPr>
      </w:pPr>
    </w:p>
    <w:p w14:paraId="0DC86109" w14:textId="746C131C" w:rsidR="005D2217" w:rsidRPr="007963FD" w:rsidRDefault="005D2217" w:rsidP="007963FD">
      <w:pPr>
        <w:spacing w:after="0" w:line="240" w:lineRule="auto"/>
        <w:ind w:left="426" w:right="420"/>
        <w:jc w:val="both"/>
        <w:rPr>
          <w:rFonts w:ascii="Gadugi" w:hAnsi="Gadugi" w:cs="Arial"/>
          <w:szCs w:val="24"/>
        </w:rPr>
      </w:pPr>
      <w:r w:rsidRPr="007963FD">
        <w:rPr>
          <w:rFonts w:ascii="Gadugi" w:hAnsi="Gadugi" w:cs="Arial"/>
          <w:szCs w:val="24"/>
        </w:rPr>
        <w:t>Refiriéndose a la norma citada, la Sala doctrinó: «</w:t>
      </w:r>
      <w:r w:rsidRPr="007963FD">
        <w:rPr>
          <w:rFonts w:ascii="Gadugi" w:hAnsi="Gadugi" w:cs="Arial"/>
          <w:i/>
          <w:iCs/>
          <w:szCs w:val="24"/>
        </w:rPr>
        <w:t>la actividad de los juzgadores de instancia es estricta y limitada. La demarcan las pretensiones y las excepciones probadas o que deben ser expresamente invocadas, como la prescripción, compensación y nulidad relativa. La restringen igualmente los hechos en que unas y otras se sustentan</w:t>
      </w:r>
      <w:r w:rsidRPr="007963FD">
        <w:rPr>
          <w:rFonts w:ascii="Gadugi" w:hAnsi="Gadugi" w:cs="Arial"/>
          <w:szCs w:val="24"/>
        </w:rPr>
        <w:t xml:space="preserve">» (SC1253, 26 ab. 2022, rad. </w:t>
      </w:r>
      <w:proofErr w:type="spellStart"/>
      <w:r w:rsidRPr="007963FD">
        <w:rPr>
          <w:rFonts w:ascii="Gadugi" w:hAnsi="Gadugi" w:cs="Arial"/>
          <w:szCs w:val="24"/>
        </w:rPr>
        <w:t>n.°</w:t>
      </w:r>
      <w:proofErr w:type="spellEnd"/>
      <w:r w:rsidRPr="007963FD">
        <w:rPr>
          <w:rFonts w:ascii="Gadugi" w:hAnsi="Gadugi" w:cs="Arial"/>
          <w:szCs w:val="24"/>
        </w:rPr>
        <w:t xml:space="preserve"> 2002-00972-01).</w:t>
      </w:r>
    </w:p>
    <w:p w14:paraId="2CAA82E7" w14:textId="77777777" w:rsidR="005D2217" w:rsidRPr="007963FD" w:rsidRDefault="005D2217" w:rsidP="007963FD">
      <w:pPr>
        <w:spacing w:after="0" w:line="240" w:lineRule="auto"/>
        <w:ind w:left="426" w:right="420"/>
        <w:jc w:val="both"/>
        <w:rPr>
          <w:rFonts w:ascii="Gadugi" w:hAnsi="Gadugi" w:cs="Arial"/>
          <w:szCs w:val="24"/>
        </w:rPr>
      </w:pPr>
    </w:p>
    <w:p w14:paraId="28DCD4F4" w14:textId="59EB22FF" w:rsidR="005D2217" w:rsidRPr="007963FD" w:rsidRDefault="005D2217" w:rsidP="007963FD">
      <w:pPr>
        <w:spacing w:after="0" w:line="240" w:lineRule="auto"/>
        <w:ind w:left="426" w:right="420"/>
        <w:jc w:val="both"/>
        <w:rPr>
          <w:rFonts w:ascii="Gadugi" w:hAnsi="Gadugi" w:cs="Arial"/>
          <w:i/>
          <w:iCs/>
          <w:szCs w:val="24"/>
        </w:rPr>
      </w:pPr>
      <w:r w:rsidRPr="007963FD">
        <w:rPr>
          <w:rFonts w:ascii="Gadugi" w:hAnsi="Gadugi" w:cs="Arial"/>
          <w:szCs w:val="24"/>
        </w:rPr>
        <w:t>En otras palabras, «</w:t>
      </w:r>
      <w:r w:rsidRPr="007963FD">
        <w:rPr>
          <w:rFonts w:ascii="Gadugi" w:hAnsi="Gadugi" w:cs="Arial"/>
          <w:i/>
          <w:iCs/>
          <w:szCs w:val="24"/>
        </w:rPr>
        <w:t>al juzgador le está vedado imponer una condena que supere las súplicas del reclamante, pronunciarse sobre un objeto distinto al delimitado por los contendores o por una causa diferente a la invocada por ellos, al paso que está obligado a resolver los que sí fueron expuestos; todo sin menoscabo del ejercicio de sus facultades oficiosas</w:t>
      </w:r>
      <w:r w:rsidRPr="007963FD">
        <w:rPr>
          <w:rFonts w:ascii="Gadugi" w:hAnsi="Gadugi" w:cs="Arial"/>
          <w:szCs w:val="24"/>
        </w:rPr>
        <w:t xml:space="preserve">» (SC575, 4 ab. 2022, rad. </w:t>
      </w:r>
      <w:proofErr w:type="spellStart"/>
      <w:r w:rsidRPr="007963FD">
        <w:rPr>
          <w:rFonts w:ascii="Gadugi" w:hAnsi="Gadugi" w:cs="Arial"/>
          <w:szCs w:val="24"/>
        </w:rPr>
        <w:t>n.°</w:t>
      </w:r>
      <w:proofErr w:type="spellEnd"/>
      <w:r w:rsidRPr="007963FD">
        <w:rPr>
          <w:rFonts w:ascii="Gadugi" w:hAnsi="Gadugi" w:cs="Arial"/>
          <w:szCs w:val="24"/>
        </w:rPr>
        <w:t xml:space="preserve"> 2006-00226-01).</w:t>
      </w:r>
    </w:p>
    <w:p w14:paraId="5534EF9E" w14:textId="0FA262AF" w:rsidR="00715C6E" w:rsidRPr="002944D8" w:rsidRDefault="00715C6E" w:rsidP="002944D8">
      <w:pPr>
        <w:pStyle w:val="Prrafodelista"/>
        <w:spacing w:after="0" w:line="276" w:lineRule="auto"/>
        <w:ind w:left="0"/>
        <w:jc w:val="both"/>
        <w:rPr>
          <w:rFonts w:ascii="Gadugi" w:eastAsia="Malgun Gothic" w:hAnsi="Gadugi" w:cs="Estrangelo Edessa"/>
          <w:bCs/>
          <w:sz w:val="24"/>
          <w:szCs w:val="24"/>
        </w:rPr>
      </w:pPr>
    </w:p>
    <w:p w14:paraId="17738EB1" w14:textId="4DE53887" w:rsidR="00827AF0" w:rsidRPr="002944D8" w:rsidRDefault="00A10E29"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En </w:t>
      </w:r>
      <w:r w:rsidR="00307520" w:rsidRPr="002944D8">
        <w:rPr>
          <w:rFonts w:ascii="Gadugi" w:eastAsia="Malgun Gothic" w:hAnsi="Gadugi" w:cs="Estrangelo Edessa"/>
          <w:sz w:val="24"/>
          <w:szCs w:val="24"/>
        </w:rPr>
        <w:t>todo caso</w:t>
      </w:r>
      <w:r w:rsidR="00657BFA" w:rsidRPr="002944D8">
        <w:rPr>
          <w:rFonts w:ascii="Gadugi" w:eastAsia="Malgun Gothic" w:hAnsi="Gadugi" w:cs="Estrangelo Edessa"/>
          <w:sz w:val="24"/>
          <w:szCs w:val="24"/>
        </w:rPr>
        <w:t>,</w:t>
      </w:r>
      <w:r w:rsidR="00827AF0" w:rsidRPr="002944D8">
        <w:rPr>
          <w:rFonts w:ascii="Gadugi" w:eastAsia="Malgun Gothic" w:hAnsi="Gadugi" w:cs="Estrangelo Edessa"/>
          <w:sz w:val="24"/>
          <w:szCs w:val="24"/>
        </w:rPr>
        <w:t xml:space="preserve"> </w:t>
      </w:r>
      <w:r w:rsidRPr="002944D8">
        <w:rPr>
          <w:rFonts w:ascii="Gadugi" w:eastAsia="Malgun Gothic" w:hAnsi="Gadugi" w:cs="Estrangelo Edessa"/>
          <w:sz w:val="24"/>
          <w:szCs w:val="24"/>
        </w:rPr>
        <w:t xml:space="preserve">si a los </w:t>
      </w:r>
      <w:r w:rsidR="00827AF0" w:rsidRPr="002944D8">
        <w:rPr>
          <w:rFonts w:ascii="Gadugi" w:eastAsia="Malgun Gothic" w:hAnsi="Gadugi" w:cs="Estrangelo Edessa"/>
          <w:sz w:val="24"/>
          <w:szCs w:val="24"/>
        </w:rPr>
        <w:t xml:space="preserve">efectos </w:t>
      </w:r>
      <w:r w:rsidRPr="002944D8">
        <w:rPr>
          <w:rFonts w:ascii="Gadugi" w:eastAsia="Malgun Gothic" w:hAnsi="Gadugi" w:cs="Estrangelo Edessa"/>
          <w:sz w:val="24"/>
          <w:szCs w:val="24"/>
        </w:rPr>
        <w:t xml:space="preserve">mismos de </w:t>
      </w:r>
      <w:r w:rsidR="00827AF0" w:rsidRPr="002944D8">
        <w:rPr>
          <w:rFonts w:ascii="Gadugi" w:eastAsia="Malgun Gothic" w:hAnsi="Gadugi" w:cs="Estrangelo Edessa"/>
          <w:sz w:val="24"/>
          <w:szCs w:val="24"/>
        </w:rPr>
        <w:t xml:space="preserve">la renuncia </w:t>
      </w:r>
      <w:r w:rsidRPr="002944D8">
        <w:rPr>
          <w:rFonts w:ascii="Gadugi" w:eastAsia="Malgun Gothic" w:hAnsi="Gadugi" w:cs="Estrangelo Edessa"/>
          <w:sz w:val="24"/>
          <w:szCs w:val="24"/>
        </w:rPr>
        <w:t xml:space="preserve">de </w:t>
      </w:r>
      <w:r w:rsidR="00827AF0" w:rsidRPr="002944D8">
        <w:rPr>
          <w:rFonts w:ascii="Gadugi" w:eastAsia="Malgun Gothic" w:hAnsi="Gadugi" w:cs="Estrangelo Edessa"/>
          <w:sz w:val="24"/>
          <w:szCs w:val="24"/>
        </w:rPr>
        <w:t>gananciales es a lo que la demandante quería oponerse,</w:t>
      </w:r>
      <w:r w:rsidRPr="002944D8">
        <w:rPr>
          <w:rFonts w:ascii="Gadugi" w:eastAsia="Malgun Gothic" w:hAnsi="Gadugi" w:cs="Estrangelo Edessa"/>
          <w:sz w:val="24"/>
          <w:szCs w:val="24"/>
        </w:rPr>
        <w:t xml:space="preserve"> pues la intelección de la demanda y, en particular, de su reforma, puede conducir a ello, dado que allí se menciona que el acto contenido en la escritura tendía en realidad a una donación no insinuada, tampoco el disenso saldría avante, por cuanto</w:t>
      </w:r>
      <w:r w:rsidR="00827AF0" w:rsidRPr="002944D8">
        <w:rPr>
          <w:rFonts w:ascii="Gadugi" w:eastAsia="Malgun Gothic" w:hAnsi="Gadugi" w:cs="Estrangelo Edessa"/>
          <w:sz w:val="24"/>
          <w:szCs w:val="24"/>
        </w:rPr>
        <w:t xml:space="preserve"> lo </w:t>
      </w:r>
      <w:r w:rsidRPr="002944D8">
        <w:rPr>
          <w:rFonts w:ascii="Gadugi" w:eastAsia="Malgun Gothic" w:hAnsi="Gadugi" w:cs="Estrangelo Edessa"/>
          <w:sz w:val="24"/>
          <w:szCs w:val="24"/>
        </w:rPr>
        <w:t xml:space="preserve">propio era </w:t>
      </w:r>
      <w:r w:rsidR="00657BFA" w:rsidRPr="002944D8">
        <w:rPr>
          <w:rFonts w:ascii="Gadugi" w:eastAsia="Malgun Gothic" w:hAnsi="Gadugi" w:cs="Estrangelo Edessa"/>
          <w:sz w:val="24"/>
          <w:szCs w:val="24"/>
        </w:rPr>
        <w:t xml:space="preserve">proponer </w:t>
      </w:r>
      <w:r w:rsidR="00827AF0" w:rsidRPr="002944D8">
        <w:rPr>
          <w:rFonts w:ascii="Gadugi" w:eastAsia="Malgun Gothic" w:hAnsi="Gadugi" w:cs="Estrangelo Edessa"/>
          <w:sz w:val="24"/>
          <w:szCs w:val="24"/>
        </w:rPr>
        <w:t xml:space="preserve">la inoponibilidad </w:t>
      </w:r>
      <w:r w:rsidR="00657BFA" w:rsidRPr="002944D8">
        <w:rPr>
          <w:rFonts w:ascii="Gadugi" w:eastAsia="Malgun Gothic" w:hAnsi="Gadugi" w:cs="Estrangelo Edessa"/>
          <w:sz w:val="24"/>
          <w:szCs w:val="24"/>
        </w:rPr>
        <w:t xml:space="preserve">del </w:t>
      </w:r>
      <w:r w:rsidRPr="002944D8">
        <w:rPr>
          <w:rFonts w:ascii="Gadugi" w:eastAsia="Malgun Gothic" w:hAnsi="Gadugi" w:cs="Estrangelo Edessa"/>
          <w:sz w:val="24"/>
          <w:szCs w:val="24"/>
        </w:rPr>
        <w:t xml:space="preserve">acto de renuncia, no </w:t>
      </w:r>
      <w:r w:rsidR="00657BFA" w:rsidRPr="002944D8">
        <w:rPr>
          <w:rFonts w:ascii="Gadugi" w:eastAsia="Malgun Gothic" w:hAnsi="Gadugi" w:cs="Estrangelo Edessa"/>
          <w:sz w:val="24"/>
          <w:szCs w:val="24"/>
        </w:rPr>
        <w:t xml:space="preserve">la nulidad de la escritura pública </w:t>
      </w:r>
      <w:r w:rsidR="008305FB" w:rsidRPr="002944D8">
        <w:rPr>
          <w:rFonts w:ascii="Gadugi" w:eastAsia="Malgun Gothic" w:hAnsi="Gadugi" w:cs="Estrangelo Edessa"/>
          <w:sz w:val="24"/>
          <w:szCs w:val="24"/>
        </w:rPr>
        <w:t>con el fin de aniquilarla</w:t>
      </w:r>
      <w:r w:rsidR="00657BFA" w:rsidRPr="002944D8">
        <w:rPr>
          <w:rFonts w:ascii="Gadugi" w:eastAsia="Malgun Gothic" w:hAnsi="Gadugi" w:cs="Estrangelo Edessa"/>
          <w:sz w:val="24"/>
          <w:szCs w:val="24"/>
        </w:rPr>
        <w:t xml:space="preserve">, porque </w:t>
      </w:r>
      <w:r w:rsidR="00827AF0" w:rsidRPr="002944D8">
        <w:rPr>
          <w:rFonts w:ascii="Gadugi" w:eastAsia="Malgun Gothic" w:hAnsi="Gadugi" w:cs="Estrangelo Edessa"/>
          <w:sz w:val="24"/>
          <w:szCs w:val="24"/>
        </w:rPr>
        <w:t xml:space="preserve"> </w:t>
      </w:r>
      <w:r w:rsidR="00657BFA" w:rsidRPr="002944D8">
        <w:rPr>
          <w:rFonts w:ascii="Gadugi" w:eastAsia="Malgun Gothic" w:hAnsi="Gadugi" w:cs="Estrangelo Edessa"/>
          <w:i/>
          <w:iCs/>
          <w:sz w:val="24"/>
          <w:szCs w:val="24"/>
        </w:rPr>
        <w:t>“</w:t>
      </w:r>
      <w:r w:rsidR="00657BFA" w:rsidRPr="00E73A37">
        <w:rPr>
          <w:rFonts w:ascii="Gadugi" w:eastAsia="Malgun Gothic" w:hAnsi="Gadugi" w:cs="Estrangelo Edessa"/>
          <w:i/>
          <w:iCs/>
          <w:szCs w:val="24"/>
        </w:rPr>
        <w:t>el efecto característico de la inoponibilidad, por contraste al de la nulidad, es el de que el negocio no desaparece como vínculo jurídico que ata a sus autores; simplemente que sus proyecciones se paralizan o neutralizan frente a ciertos terceros, como lo es la aquí demandante. Por eso mismo, la ineficacia declarada es directamente proporcional al interés cuya protección persigue ésta, que no es otro que el respeto que a sus asignaciones forzosas que en su condición de hija del causante está brindándosele</w:t>
      </w:r>
      <w:r w:rsidR="00657BFA" w:rsidRPr="002944D8">
        <w:rPr>
          <w:rFonts w:ascii="Gadugi" w:eastAsia="Malgun Gothic" w:hAnsi="Gadugi" w:cs="Estrangelo Edessa"/>
          <w:i/>
          <w:iCs/>
          <w:sz w:val="24"/>
          <w:szCs w:val="24"/>
        </w:rPr>
        <w:t>.”</w:t>
      </w:r>
      <w:r w:rsidR="00E73A37">
        <w:rPr>
          <w:rFonts w:ascii="Gadugi" w:eastAsia="Malgun Gothic" w:hAnsi="Gadugi" w:cs="Estrangelo Edessa"/>
          <w:i/>
          <w:iCs/>
          <w:sz w:val="24"/>
          <w:szCs w:val="24"/>
        </w:rPr>
        <w:t xml:space="preserve"> </w:t>
      </w:r>
      <w:r w:rsidR="00657BFA" w:rsidRPr="002944D8">
        <w:rPr>
          <w:rStyle w:val="Refdenotaalpie"/>
          <w:rFonts w:ascii="Gadugi" w:eastAsia="Malgun Gothic" w:hAnsi="Gadugi" w:cs="Estrangelo Edessa"/>
          <w:i/>
          <w:iCs/>
          <w:sz w:val="24"/>
          <w:szCs w:val="24"/>
        </w:rPr>
        <w:footnoteReference w:id="24"/>
      </w:r>
    </w:p>
    <w:p w14:paraId="3237541B" w14:textId="613CF556" w:rsidR="00307520" w:rsidRPr="002944D8" w:rsidRDefault="00307520" w:rsidP="002944D8">
      <w:pPr>
        <w:pStyle w:val="Prrafodelista"/>
        <w:spacing w:after="0" w:line="276" w:lineRule="auto"/>
        <w:ind w:left="0"/>
        <w:jc w:val="both"/>
        <w:rPr>
          <w:rFonts w:ascii="Gadugi" w:eastAsia="Malgun Gothic" w:hAnsi="Gadugi" w:cs="Estrangelo Edessa"/>
          <w:bCs/>
          <w:sz w:val="24"/>
          <w:szCs w:val="24"/>
        </w:rPr>
      </w:pPr>
    </w:p>
    <w:p w14:paraId="7A9CDFF2" w14:textId="52A2EFEB" w:rsidR="00774E8F" w:rsidRPr="002944D8" w:rsidRDefault="00774E8F" w:rsidP="002944D8">
      <w:pPr>
        <w:pStyle w:val="Prrafodelista"/>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Y si </w:t>
      </w:r>
      <w:r w:rsidR="00571D5A" w:rsidRPr="002944D8">
        <w:rPr>
          <w:rFonts w:ascii="Gadugi" w:eastAsia="Malgun Gothic" w:hAnsi="Gadugi" w:cs="Estrangelo Edessa"/>
          <w:bCs/>
          <w:sz w:val="24"/>
          <w:szCs w:val="24"/>
        </w:rPr>
        <w:t>d</w:t>
      </w:r>
      <w:r w:rsidRPr="002944D8">
        <w:rPr>
          <w:rFonts w:ascii="Gadugi" w:eastAsia="Malgun Gothic" w:hAnsi="Gadugi" w:cs="Estrangelo Edessa"/>
          <w:bCs/>
          <w:sz w:val="24"/>
          <w:szCs w:val="24"/>
        </w:rPr>
        <w:t>e la nulidad de la renuncia de gananciales se trata</w:t>
      </w:r>
      <w:r w:rsidR="005C0C2C" w:rsidRPr="002944D8">
        <w:rPr>
          <w:rFonts w:ascii="Gadugi" w:eastAsia="Malgun Gothic" w:hAnsi="Gadugi" w:cs="Estrangelo Edessa"/>
          <w:bCs/>
          <w:sz w:val="24"/>
          <w:szCs w:val="24"/>
        </w:rPr>
        <w:t>ra, en la manifestación de voluntad del causante no se advierte que exista un objeto o una causa ilícita; tampoco que se hubiera omitido un requisito o formalidad prescrita por la ley para darle valor.</w:t>
      </w:r>
      <w:r w:rsidRPr="002944D8">
        <w:rPr>
          <w:rFonts w:ascii="Gadugi" w:eastAsia="Malgun Gothic" w:hAnsi="Gadugi" w:cs="Estrangelo Edessa"/>
          <w:bCs/>
          <w:sz w:val="24"/>
          <w:szCs w:val="24"/>
        </w:rPr>
        <w:t xml:space="preserve"> </w:t>
      </w:r>
    </w:p>
    <w:p w14:paraId="7724FE4E" w14:textId="77777777" w:rsidR="00774E8F" w:rsidRPr="002944D8" w:rsidRDefault="00774E8F" w:rsidP="002944D8">
      <w:pPr>
        <w:pStyle w:val="Prrafodelista"/>
        <w:spacing w:after="0" w:line="276" w:lineRule="auto"/>
        <w:ind w:left="0"/>
        <w:jc w:val="both"/>
        <w:rPr>
          <w:rFonts w:ascii="Gadugi" w:eastAsia="Malgun Gothic" w:hAnsi="Gadugi" w:cs="Estrangelo Edessa"/>
          <w:bCs/>
          <w:sz w:val="24"/>
          <w:szCs w:val="24"/>
        </w:rPr>
      </w:pPr>
    </w:p>
    <w:p w14:paraId="11BF3615" w14:textId="58D847DA" w:rsidR="007C2455" w:rsidRPr="002944D8" w:rsidRDefault="00141CB9" w:rsidP="002944D8">
      <w:pPr>
        <w:pStyle w:val="Prrafodelista"/>
        <w:numPr>
          <w:ilvl w:val="2"/>
          <w:numId w:val="1"/>
        </w:numPr>
        <w:spacing w:after="0" w:line="276" w:lineRule="auto"/>
        <w:ind w:left="0" w:hanging="11"/>
        <w:jc w:val="both"/>
        <w:rPr>
          <w:rFonts w:ascii="Gadugi" w:eastAsia="Malgun Gothic" w:hAnsi="Gadugi" w:cs="Estrangelo Edessa"/>
          <w:bCs/>
          <w:sz w:val="24"/>
          <w:szCs w:val="24"/>
        </w:rPr>
      </w:pPr>
      <w:bookmarkStart w:id="2" w:name="_Hlk126754465"/>
      <w:r w:rsidRPr="002944D8">
        <w:rPr>
          <w:rFonts w:ascii="Gadugi" w:eastAsia="Malgun Gothic" w:hAnsi="Gadugi" w:cs="Estrangelo Edessa"/>
          <w:bCs/>
          <w:sz w:val="24"/>
          <w:szCs w:val="24"/>
        </w:rPr>
        <w:t xml:space="preserve">El último intento para derruir la escritura pública, consiste en asegurar que el negocio que en ella está contenido, </w:t>
      </w:r>
      <w:r w:rsidR="00C94FB5" w:rsidRPr="002944D8">
        <w:rPr>
          <w:rFonts w:ascii="Gadugi" w:eastAsia="Malgun Gothic" w:hAnsi="Gadugi" w:cs="Estrangelo Edessa"/>
          <w:bCs/>
          <w:sz w:val="24"/>
          <w:szCs w:val="24"/>
        </w:rPr>
        <w:t xml:space="preserve">específicamente la cláusula de renuncia a gananciales, </w:t>
      </w:r>
      <w:r w:rsidR="00524820" w:rsidRPr="002944D8">
        <w:rPr>
          <w:rFonts w:ascii="Gadugi" w:eastAsia="Malgun Gothic" w:hAnsi="Gadugi" w:cs="Estrangelo Edessa"/>
          <w:bCs/>
          <w:sz w:val="24"/>
          <w:szCs w:val="24"/>
        </w:rPr>
        <w:t xml:space="preserve">en realidad es </w:t>
      </w:r>
      <w:r w:rsidRPr="002944D8">
        <w:rPr>
          <w:rFonts w:ascii="Gadugi" w:eastAsia="Malgun Gothic" w:hAnsi="Gadugi" w:cs="Estrangelo Edessa"/>
          <w:bCs/>
          <w:sz w:val="24"/>
          <w:szCs w:val="24"/>
        </w:rPr>
        <w:t>una donación entre vivos</w:t>
      </w:r>
      <w:r w:rsidR="007C2455" w:rsidRPr="002944D8">
        <w:rPr>
          <w:rFonts w:ascii="Gadugi" w:eastAsia="Malgun Gothic" w:hAnsi="Gadugi" w:cs="Estrangelo Edessa"/>
          <w:bCs/>
          <w:sz w:val="24"/>
          <w:szCs w:val="24"/>
        </w:rPr>
        <w:t xml:space="preserve"> que carece de insinuación, requisito sin el cual, ese acto es nulo </w:t>
      </w:r>
      <w:bookmarkEnd w:id="2"/>
      <w:r w:rsidR="007C2455" w:rsidRPr="002944D8">
        <w:rPr>
          <w:rFonts w:ascii="Gadugi" w:eastAsia="Malgun Gothic" w:hAnsi="Gadugi" w:cs="Estrangelo Edessa"/>
          <w:bCs/>
          <w:sz w:val="24"/>
          <w:szCs w:val="24"/>
        </w:rPr>
        <w:t>(Art. 1464</w:t>
      </w:r>
      <w:r w:rsidR="00D76A6E" w:rsidRPr="002944D8">
        <w:rPr>
          <w:rFonts w:ascii="Gadugi" w:eastAsia="Malgun Gothic" w:hAnsi="Gadugi" w:cs="Estrangelo Edessa"/>
          <w:bCs/>
          <w:sz w:val="24"/>
          <w:szCs w:val="24"/>
        </w:rPr>
        <w:t xml:space="preserve"> del</w:t>
      </w:r>
      <w:r w:rsidR="007C2455" w:rsidRPr="002944D8">
        <w:rPr>
          <w:rFonts w:ascii="Gadugi" w:eastAsia="Malgun Gothic" w:hAnsi="Gadugi" w:cs="Estrangelo Edessa"/>
          <w:bCs/>
          <w:sz w:val="24"/>
          <w:szCs w:val="24"/>
        </w:rPr>
        <w:t xml:space="preserve"> C</w:t>
      </w:r>
      <w:r w:rsidR="00D76A6E" w:rsidRPr="002944D8">
        <w:rPr>
          <w:rFonts w:ascii="Gadugi" w:eastAsia="Malgun Gothic" w:hAnsi="Gadugi" w:cs="Estrangelo Edessa"/>
          <w:bCs/>
          <w:sz w:val="24"/>
          <w:szCs w:val="24"/>
        </w:rPr>
        <w:t xml:space="preserve">. </w:t>
      </w:r>
      <w:r w:rsidR="007C2455" w:rsidRPr="002944D8">
        <w:rPr>
          <w:rFonts w:ascii="Gadugi" w:eastAsia="Malgun Gothic" w:hAnsi="Gadugi" w:cs="Estrangelo Edessa"/>
          <w:bCs/>
          <w:sz w:val="24"/>
          <w:szCs w:val="24"/>
        </w:rPr>
        <w:t>C</w:t>
      </w:r>
      <w:r w:rsidR="00D76A6E" w:rsidRPr="002944D8">
        <w:rPr>
          <w:rFonts w:ascii="Gadugi" w:eastAsia="Malgun Gothic" w:hAnsi="Gadugi" w:cs="Estrangelo Edessa"/>
          <w:bCs/>
          <w:sz w:val="24"/>
          <w:szCs w:val="24"/>
        </w:rPr>
        <w:t>ivil</w:t>
      </w:r>
      <w:r w:rsidR="007C2455" w:rsidRPr="002944D8">
        <w:rPr>
          <w:rFonts w:ascii="Gadugi" w:eastAsia="Malgun Gothic" w:hAnsi="Gadugi" w:cs="Estrangelo Edessa"/>
          <w:bCs/>
          <w:sz w:val="24"/>
          <w:szCs w:val="24"/>
        </w:rPr>
        <w:t xml:space="preserve">). </w:t>
      </w:r>
    </w:p>
    <w:p w14:paraId="73009DF4" w14:textId="14D3E11B" w:rsidR="007C2455" w:rsidRPr="002944D8" w:rsidRDefault="007C2455" w:rsidP="002944D8">
      <w:pPr>
        <w:pStyle w:val="Prrafodelista"/>
        <w:spacing w:after="0" w:line="276" w:lineRule="auto"/>
        <w:ind w:left="0"/>
        <w:jc w:val="both"/>
        <w:rPr>
          <w:rFonts w:ascii="Gadugi" w:eastAsia="Malgun Gothic" w:hAnsi="Gadugi" w:cs="Estrangelo Edessa"/>
          <w:bCs/>
          <w:sz w:val="24"/>
          <w:szCs w:val="24"/>
        </w:rPr>
      </w:pPr>
    </w:p>
    <w:p w14:paraId="2A7510AE" w14:textId="77777777" w:rsidR="005C0C2C" w:rsidRPr="002944D8" w:rsidRDefault="00C94FB5"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lastRenderedPageBreak/>
        <w:t xml:space="preserve">Frente a ello, al </w:t>
      </w:r>
      <w:proofErr w:type="spellStart"/>
      <w:r w:rsidRPr="002944D8">
        <w:rPr>
          <w:rFonts w:ascii="Gadugi" w:eastAsia="Malgun Gothic" w:hAnsi="Gadugi" w:cs="Estrangelo Edessa"/>
          <w:sz w:val="24"/>
          <w:szCs w:val="24"/>
        </w:rPr>
        <w:t>rompe</w:t>
      </w:r>
      <w:proofErr w:type="spellEnd"/>
      <w:r w:rsidRPr="002944D8">
        <w:rPr>
          <w:rFonts w:ascii="Gadugi" w:eastAsia="Malgun Gothic" w:hAnsi="Gadugi" w:cs="Estrangelo Edessa"/>
          <w:sz w:val="24"/>
          <w:szCs w:val="24"/>
        </w:rPr>
        <w:t xml:space="preserve">, emergen </w:t>
      </w:r>
      <w:r w:rsidR="005C0C2C" w:rsidRPr="002944D8">
        <w:rPr>
          <w:rFonts w:ascii="Gadugi" w:eastAsia="Malgun Gothic" w:hAnsi="Gadugi" w:cs="Estrangelo Edessa"/>
          <w:sz w:val="24"/>
          <w:szCs w:val="24"/>
        </w:rPr>
        <w:t xml:space="preserve">tres </w:t>
      </w:r>
      <w:r w:rsidRPr="002944D8">
        <w:rPr>
          <w:rFonts w:ascii="Gadugi" w:eastAsia="Malgun Gothic" w:hAnsi="Gadugi" w:cs="Estrangelo Edessa"/>
          <w:sz w:val="24"/>
          <w:szCs w:val="24"/>
        </w:rPr>
        <w:t>conclusiones</w:t>
      </w:r>
      <w:r w:rsidR="00524820" w:rsidRPr="002944D8">
        <w:rPr>
          <w:rFonts w:ascii="Gadugi" w:eastAsia="Malgun Gothic" w:hAnsi="Gadugi" w:cs="Estrangelo Edessa"/>
          <w:sz w:val="24"/>
          <w:szCs w:val="24"/>
        </w:rPr>
        <w:t xml:space="preserve">. </w:t>
      </w:r>
    </w:p>
    <w:p w14:paraId="7037831E" w14:textId="77777777" w:rsidR="005C0C2C" w:rsidRPr="002944D8" w:rsidRDefault="005C0C2C" w:rsidP="002944D8">
      <w:pPr>
        <w:pStyle w:val="Prrafodelista"/>
        <w:spacing w:after="0" w:line="276" w:lineRule="auto"/>
        <w:ind w:left="0"/>
        <w:jc w:val="both"/>
        <w:rPr>
          <w:rFonts w:ascii="Gadugi" w:eastAsia="Malgun Gothic" w:hAnsi="Gadugi" w:cs="Estrangelo Edessa"/>
          <w:sz w:val="24"/>
          <w:szCs w:val="24"/>
        </w:rPr>
      </w:pPr>
    </w:p>
    <w:p w14:paraId="67A099EB" w14:textId="7C598AFC" w:rsidR="005C0C2C" w:rsidRPr="002944D8" w:rsidRDefault="00524820"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L</w:t>
      </w:r>
      <w:r w:rsidR="00C94FB5" w:rsidRPr="002944D8">
        <w:rPr>
          <w:rFonts w:ascii="Gadugi" w:eastAsia="Malgun Gothic" w:hAnsi="Gadugi" w:cs="Estrangelo Edessa"/>
          <w:sz w:val="24"/>
          <w:szCs w:val="24"/>
        </w:rPr>
        <w:t xml:space="preserve">a primera, </w:t>
      </w:r>
      <w:r w:rsidR="005C0C2C" w:rsidRPr="002944D8">
        <w:rPr>
          <w:rFonts w:ascii="Gadugi" w:eastAsia="Malgun Gothic" w:hAnsi="Gadugi" w:cs="Estrangelo Edessa"/>
          <w:sz w:val="24"/>
          <w:szCs w:val="24"/>
        </w:rPr>
        <w:t xml:space="preserve">para reiterar lo ya dicho, es que </w:t>
      </w:r>
      <w:bookmarkStart w:id="3" w:name="_Hlk126754534"/>
      <w:r w:rsidR="005C0C2C" w:rsidRPr="002944D8">
        <w:rPr>
          <w:rFonts w:ascii="Gadugi" w:eastAsia="Malgun Gothic" w:hAnsi="Gadugi" w:cs="Estrangelo Edessa"/>
          <w:sz w:val="24"/>
          <w:szCs w:val="24"/>
        </w:rPr>
        <w:t xml:space="preserve">si </w:t>
      </w:r>
      <w:r w:rsidR="00571D5A" w:rsidRPr="002944D8">
        <w:rPr>
          <w:rFonts w:ascii="Gadugi" w:eastAsia="Malgun Gothic" w:hAnsi="Gadugi" w:cs="Estrangelo Edessa"/>
          <w:sz w:val="24"/>
          <w:szCs w:val="24"/>
        </w:rPr>
        <w:t xml:space="preserve">acaso </w:t>
      </w:r>
      <w:r w:rsidR="005C0C2C" w:rsidRPr="002944D8">
        <w:rPr>
          <w:rFonts w:ascii="Gadugi" w:eastAsia="Malgun Gothic" w:hAnsi="Gadugi" w:cs="Estrangelo Edessa"/>
          <w:sz w:val="24"/>
          <w:szCs w:val="24"/>
        </w:rPr>
        <w:t xml:space="preserve">hubo simulación, no es la escritura pública continente la que se está afectada de nulidad, como aquí se pretende, sino el acto contenido. </w:t>
      </w:r>
    </w:p>
    <w:p w14:paraId="4E70989F" w14:textId="509BF52F" w:rsidR="00C81C24" w:rsidRPr="002944D8" w:rsidRDefault="00C81C24" w:rsidP="002944D8">
      <w:pPr>
        <w:pStyle w:val="Prrafodelista"/>
        <w:spacing w:after="0" w:line="276" w:lineRule="auto"/>
        <w:ind w:left="0"/>
        <w:jc w:val="both"/>
        <w:rPr>
          <w:rFonts w:ascii="Gadugi" w:eastAsia="Malgun Gothic" w:hAnsi="Gadugi" w:cs="Estrangelo Edessa"/>
          <w:sz w:val="24"/>
          <w:szCs w:val="24"/>
        </w:rPr>
      </w:pPr>
    </w:p>
    <w:p w14:paraId="275FAE95" w14:textId="46F3457B" w:rsidR="008544A8" w:rsidRPr="002944D8" w:rsidRDefault="00C81C24"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La segunda, que, </w:t>
      </w:r>
      <w:r w:rsidR="005C0C2C" w:rsidRPr="002944D8">
        <w:rPr>
          <w:rFonts w:ascii="Gadugi" w:eastAsia="Malgun Gothic" w:hAnsi="Gadugi" w:cs="Estrangelo Edessa"/>
          <w:sz w:val="24"/>
          <w:szCs w:val="24"/>
        </w:rPr>
        <w:t xml:space="preserve">como </w:t>
      </w:r>
      <w:r w:rsidR="00C94FB5" w:rsidRPr="002944D8">
        <w:rPr>
          <w:rFonts w:ascii="Gadugi" w:eastAsia="Malgun Gothic" w:hAnsi="Gadugi" w:cs="Estrangelo Edessa"/>
          <w:sz w:val="24"/>
          <w:szCs w:val="24"/>
        </w:rPr>
        <w:t xml:space="preserve">lo sugerido </w:t>
      </w:r>
      <w:r w:rsidR="008544A8" w:rsidRPr="002944D8">
        <w:rPr>
          <w:rFonts w:ascii="Gadugi" w:eastAsia="Malgun Gothic" w:hAnsi="Gadugi" w:cs="Estrangelo Edessa"/>
          <w:sz w:val="24"/>
          <w:szCs w:val="24"/>
        </w:rPr>
        <w:t xml:space="preserve">ahora </w:t>
      </w:r>
      <w:r w:rsidR="00C94FB5" w:rsidRPr="002944D8">
        <w:rPr>
          <w:rFonts w:ascii="Gadugi" w:eastAsia="Malgun Gothic" w:hAnsi="Gadugi" w:cs="Estrangelo Edessa"/>
          <w:sz w:val="24"/>
          <w:szCs w:val="24"/>
        </w:rPr>
        <w:t xml:space="preserve">por la actora es que ocurrió una simulación, </w:t>
      </w:r>
      <w:r w:rsidRPr="002944D8">
        <w:rPr>
          <w:rFonts w:ascii="Gadugi" w:eastAsia="Malgun Gothic" w:hAnsi="Gadugi" w:cs="Estrangelo Edessa"/>
          <w:sz w:val="24"/>
          <w:szCs w:val="24"/>
        </w:rPr>
        <w:t>es manifiesto que no fue ello lo que se invocó en la demanda o su reforma</w:t>
      </w:r>
      <w:bookmarkEnd w:id="3"/>
      <w:r w:rsidRPr="002944D8">
        <w:rPr>
          <w:rFonts w:ascii="Gadugi" w:eastAsia="Malgun Gothic" w:hAnsi="Gadugi" w:cs="Estrangelo Edessa"/>
          <w:sz w:val="24"/>
          <w:szCs w:val="24"/>
        </w:rPr>
        <w:t>. Según se planteó, la pretensión principal buscaba la nulidad de la escritura pública misma; y la subsidiaria también, solo que derivada del hecho de que lo convenido entre las partes fue en realidad una donación. Es decir, en uno y otro caso, lo pedido fue la nulidad</w:t>
      </w:r>
      <w:r w:rsidR="008544A8" w:rsidRPr="002944D8">
        <w:rPr>
          <w:rFonts w:ascii="Gadugi" w:eastAsia="Malgun Gothic" w:hAnsi="Gadugi" w:cs="Estrangelo Edessa"/>
          <w:sz w:val="24"/>
          <w:szCs w:val="24"/>
        </w:rPr>
        <w:t>, nunca la aludida simulación, con lo que, otra vez, se caería en incongruencia si se asumiera ese análisis.</w:t>
      </w:r>
      <w:r w:rsidR="00C94FB5" w:rsidRPr="002944D8">
        <w:rPr>
          <w:rFonts w:ascii="Gadugi" w:eastAsia="Malgun Gothic" w:hAnsi="Gadugi" w:cs="Estrangelo Edessa"/>
          <w:sz w:val="24"/>
          <w:szCs w:val="24"/>
        </w:rPr>
        <w:t xml:space="preserve"> </w:t>
      </w:r>
    </w:p>
    <w:p w14:paraId="7DBD6429" w14:textId="77777777" w:rsidR="00486F0F" w:rsidRPr="002944D8" w:rsidRDefault="00486F0F" w:rsidP="002944D8">
      <w:pPr>
        <w:pStyle w:val="Prrafodelista"/>
        <w:spacing w:after="0" w:line="276" w:lineRule="auto"/>
        <w:ind w:left="0"/>
        <w:jc w:val="both"/>
        <w:rPr>
          <w:rFonts w:ascii="Gadugi" w:eastAsia="Malgun Gothic" w:hAnsi="Gadugi" w:cs="Estrangelo Edessa"/>
          <w:sz w:val="24"/>
          <w:szCs w:val="24"/>
        </w:rPr>
      </w:pPr>
    </w:p>
    <w:p w14:paraId="1F6F8E58" w14:textId="4405FBA1" w:rsidR="00C94FB5" w:rsidRPr="002944D8" w:rsidRDefault="008544A8" w:rsidP="002944D8">
      <w:pPr>
        <w:pStyle w:val="Prrafodelista"/>
        <w:spacing w:after="0" w:line="276" w:lineRule="auto"/>
        <w:ind w:left="0"/>
        <w:jc w:val="both"/>
        <w:rPr>
          <w:rFonts w:ascii="Gadugi" w:eastAsia="Malgun Gothic" w:hAnsi="Gadugi" w:cs="Estrangelo Edessa"/>
          <w:sz w:val="24"/>
          <w:szCs w:val="24"/>
        </w:rPr>
      </w:pPr>
      <w:r w:rsidRPr="002944D8">
        <w:rPr>
          <w:rFonts w:ascii="Gadugi" w:eastAsia="Malgun Gothic" w:hAnsi="Gadugi" w:cs="Estrangelo Edessa"/>
          <w:sz w:val="24"/>
          <w:szCs w:val="24"/>
        </w:rPr>
        <w:t>Y la tercera, que</w:t>
      </w:r>
      <w:r w:rsidR="00571D5A" w:rsidRPr="002944D8">
        <w:rPr>
          <w:rFonts w:ascii="Gadugi" w:eastAsia="Malgun Gothic" w:hAnsi="Gadugi" w:cs="Estrangelo Edessa"/>
          <w:sz w:val="24"/>
          <w:szCs w:val="24"/>
        </w:rPr>
        <w:t xml:space="preserve"> si</w:t>
      </w:r>
      <w:r w:rsidRPr="002944D8">
        <w:rPr>
          <w:rFonts w:ascii="Gadugi" w:eastAsia="Malgun Gothic" w:hAnsi="Gadugi" w:cs="Estrangelo Edessa"/>
          <w:sz w:val="24"/>
          <w:szCs w:val="24"/>
        </w:rPr>
        <w:t xml:space="preserve"> </w:t>
      </w:r>
      <w:r w:rsidR="00571D5A" w:rsidRPr="002944D8">
        <w:rPr>
          <w:rFonts w:ascii="Gadugi" w:eastAsia="Malgun Gothic" w:hAnsi="Gadugi" w:cs="Estrangelo Edessa"/>
          <w:sz w:val="24"/>
          <w:szCs w:val="24"/>
        </w:rPr>
        <w:t xml:space="preserve">en un ejercicio de interpretación </w:t>
      </w:r>
      <w:r w:rsidRPr="002944D8">
        <w:rPr>
          <w:rFonts w:ascii="Gadugi" w:eastAsia="Malgun Gothic" w:hAnsi="Gadugi" w:cs="Estrangelo Edessa"/>
          <w:sz w:val="24"/>
          <w:szCs w:val="24"/>
        </w:rPr>
        <w:t xml:space="preserve">se considerada que la demanda tenía como finalidad que se declarara una simulación, </w:t>
      </w:r>
      <w:r w:rsidR="00C94FB5" w:rsidRPr="002944D8">
        <w:rPr>
          <w:rFonts w:ascii="Gadugi" w:eastAsia="Malgun Gothic" w:hAnsi="Gadugi" w:cs="Estrangelo Edessa"/>
          <w:sz w:val="24"/>
          <w:szCs w:val="24"/>
        </w:rPr>
        <w:t>el desenfo</w:t>
      </w:r>
      <w:r w:rsidR="00524820" w:rsidRPr="002944D8">
        <w:rPr>
          <w:rFonts w:ascii="Gadugi" w:eastAsia="Malgun Gothic" w:hAnsi="Gadugi" w:cs="Estrangelo Edessa"/>
          <w:sz w:val="24"/>
          <w:szCs w:val="24"/>
        </w:rPr>
        <w:t>que</w:t>
      </w:r>
      <w:r w:rsidR="00C94FB5" w:rsidRPr="002944D8">
        <w:rPr>
          <w:rFonts w:ascii="Gadugi" w:eastAsia="Malgun Gothic" w:hAnsi="Gadugi" w:cs="Estrangelo Edessa"/>
          <w:sz w:val="24"/>
          <w:szCs w:val="24"/>
        </w:rPr>
        <w:t xml:space="preserve"> de</w:t>
      </w:r>
      <w:r w:rsidRPr="002944D8">
        <w:rPr>
          <w:rFonts w:ascii="Gadugi" w:eastAsia="Malgun Gothic" w:hAnsi="Gadugi" w:cs="Estrangelo Edessa"/>
          <w:sz w:val="24"/>
          <w:szCs w:val="24"/>
        </w:rPr>
        <w:t>l razonamiento en la alzada se mantiene</w:t>
      </w:r>
      <w:r w:rsidR="00C94FB5" w:rsidRPr="002944D8">
        <w:rPr>
          <w:rFonts w:ascii="Gadugi" w:eastAsia="Malgun Gothic" w:hAnsi="Gadugi" w:cs="Estrangelo Edessa"/>
          <w:sz w:val="24"/>
          <w:szCs w:val="24"/>
        </w:rPr>
        <w:t>, si se tiene en cuenta que la renuncia a gananciales es un acto unilateral y la donación es</w:t>
      </w:r>
      <w:r w:rsidR="00D76A6E" w:rsidRPr="002944D8">
        <w:rPr>
          <w:rFonts w:ascii="Gadugi" w:eastAsia="Malgun Gothic" w:hAnsi="Gadugi" w:cs="Estrangelo Edessa"/>
          <w:sz w:val="24"/>
          <w:szCs w:val="24"/>
        </w:rPr>
        <w:t xml:space="preserve"> uno,</w:t>
      </w:r>
      <w:r w:rsidR="00C94FB5" w:rsidRPr="002944D8">
        <w:rPr>
          <w:rFonts w:ascii="Gadugi" w:eastAsia="Malgun Gothic" w:hAnsi="Gadugi" w:cs="Estrangelo Edessa"/>
          <w:sz w:val="24"/>
          <w:szCs w:val="24"/>
        </w:rPr>
        <w:t xml:space="preserve"> cuando menos, bilateral.</w:t>
      </w:r>
    </w:p>
    <w:p w14:paraId="720EECEB" w14:textId="41A3E796" w:rsidR="00C94FB5" w:rsidRPr="002944D8" w:rsidRDefault="00C94FB5" w:rsidP="002944D8">
      <w:pPr>
        <w:pStyle w:val="Prrafodelista"/>
        <w:spacing w:after="0" w:line="276" w:lineRule="auto"/>
        <w:ind w:left="0"/>
        <w:jc w:val="both"/>
        <w:rPr>
          <w:rFonts w:ascii="Gadugi" w:eastAsia="Malgun Gothic" w:hAnsi="Gadugi" w:cs="Estrangelo Edessa"/>
          <w:bCs/>
          <w:sz w:val="24"/>
          <w:szCs w:val="24"/>
        </w:rPr>
      </w:pPr>
    </w:p>
    <w:p w14:paraId="7B755FB7" w14:textId="28E27C76" w:rsidR="00D76A6E" w:rsidRPr="002944D8" w:rsidRDefault="00C94FB5" w:rsidP="002944D8">
      <w:pPr>
        <w:pStyle w:val="Textoindependiente"/>
        <w:spacing w:after="0" w:line="276" w:lineRule="auto"/>
        <w:jc w:val="both"/>
        <w:rPr>
          <w:rFonts w:ascii="Gadugi" w:hAnsi="Gadugi"/>
        </w:rPr>
      </w:pPr>
      <w:r w:rsidRPr="002944D8">
        <w:rPr>
          <w:rFonts w:ascii="Gadugi" w:eastAsia="Malgun Gothic" w:hAnsi="Gadugi" w:cs="Estrangelo Edessa"/>
          <w:bCs/>
        </w:rPr>
        <w:t xml:space="preserve">Respecto de lo primero, además, </w:t>
      </w:r>
      <w:r w:rsidR="00D76A6E" w:rsidRPr="002944D8">
        <w:rPr>
          <w:rFonts w:ascii="Gadugi" w:eastAsia="Malgun Gothic" w:hAnsi="Gadugi" w:cs="Estrangelo Edessa"/>
          <w:bCs/>
        </w:rPr>
        <w:t>según ha reiterado esta Sala</w:t>
      </w:r>
      <w:r w:rsidR="00D76A6E" w:rsidRPr="002944D8">
        <w:rPr>
          <w:rStyle w:val="Refdenotaalpie"/>
          <w:rFonts w:ascii="Gadugi" w:eastAsia="Malgun Gothic" w:hAnsi="Gadugi" w:cs="Estrangelo Edessa"/>
          <w:bCs/>
        </w:rPr>
        <w:footnoteReference w:id="25"/>
      </w:r>
      <w:r w:rsidR="00D76A6E" w:rsidRPr="002944D8">
        <w:rPr>
          <w:rFonts w:ascii="Gadugi" w:eastAsia="Malgun Gothic" w:hAnsi="Gadugi" w:cs="Estrangelo Edessa"/>
          <w:bCs/>
        </w:rPr>
        <w:t xml:space="preserve">, en una simulación (Art. 1766 del C. Civil) ejercida contra un contrato que </w:t>
      </w:r>
      <w:r w:rsidR="00D76A6E" w:rsidRPr="002944D8">
        <w:rPr>
          <w:rFonts w:ascii="Gadugi" w:hAnsi="Gadugi"/>
        </w:rPr>
        <w:t xml:space="preserve">se presume serio y ajustado a la legalidad que le es inherente, según emerge del postulado del artículo 1602 del Código Civil, la carga de la prueba recae sobre quien tenga un interés legítimo en derruir una manifestación contractual, prueba que, además, tiene que ser determinante, irrebatible, clara, concreta y que saque a flote que quienes se embarcaron en un determinado designio común, lo hicieron con uno de aquellos dos propósitos: ocultar que nada querían contratar; o que lo que pretendían en su íntimo consenso era algo diferente a lo que quedó plasmado para los demás, en detrimento de quien impetra la acción. </w:t>
      </w:r>
    </w:p>
    <w:p w14:paraId="5CDAE50F" w14:textId="77777777" w:rsidR="00D76A6E" w:rsidRPr="002944D8" w:rsidRDefault="00D76A6E" w:rsidP="002944D8">
      <w:pPr>
        <w:pStyle w:val="Textoindependiente"/>
        <w:spacing w:after="0" w:line="276" w:lineRule="auto"/>
        <w:jc w:val="both"/>
        <w:rPr>
          <w:rFonts w:ascii="Gadugi" w:hAnsi="Gadugi"/>
        </w:rPr>
      </w:pPr>
    </w:p>
    <w:p w14:paraId="549247E4" w14:textId="376074F3" w:rsidR="00D76A6E" w:rsidRPr="002944D8" w:rsidRDefault="00D76A6E" w:rsidP="002944D8">
      <w:pPr>
        <w:pStyle w:val="Textoindependiente"/>
        <w:spacing w:after="0" w:line="276" w:lineRule="auto"/>
        <w:jc w:val="both"/>
        <w:rPr>
          <w:rFonts w:ascii="Gadugi" w:hAnsi="Gadugi"/>
        </w:rPr>
      </w:pPr>
      <w:r w:rsidRPr="002944D8">
        <w:rPr>
          <w:rFonts w:ascii="Gadugi" w:hAnsi="Gadugi"/>
        </w:rPr>
        <w:t>En ese orden de ideas, no es posible edificar una declaración tal sobre bases endebles o apenas indicativas de que la verdad pudo ser ocultada, no de que lo fue; se trata de que la prueba, que para estos casos es por regla general indiciaria, sea tal que no ofrezca mantos de duda sobre la legalidad y veracidad que rodean el acto jurídico que se ataca. Es, pues, dejar a salvo la buena fe que</w:t>
      </w:r>
      <w:r w:rsidRPr="002944D8">
        <w:rPr>
          <w:rFonts w:ascii="Gadugi" w:hAnsi="Gadugi"/>
          <w:lang w:val="es-419"/>
        </w:rPr>
        <w:t>,</w:t>
      </w:r>
      <w:r w:rsidRPr="002944D8">
        <w:rPr>
          <w:rFonts w:ascii="Gadugi" w:hAnsi="Gadugi"/>
        </w:rPr>
        <w:t xml:space="preserve"> hoy por hoy, más que en otras épocas, debe presumirse en los asociados. </w:t>
      </w:r>
    </w:p>
    <w:p w14:paraId="07010900" w14:textId="77777777" w:rsidR="00D76A6E" w:rsidRPr="002944D8" w:rsidRDefault="00D76A6E" w:rsidP="002944D8">
      <w:pPr>
        <w:pStyle w:val="Prrafodelista"/>
        <w:spacing w:after="0" w:line="276" w:lineRule="auto"/>
        <w:ind w:left="0"/>
        <w:jc w:val="both"/>
        <w:rPr>
          <w:rFonts w:ascii="Gadugi" w:eastAsia="Malgun Gothic" w:hAnsi="Gadugi" w:cs="Estrangelo Edessa"/>
          <w:bCs/>
          <w:sz w:val="24"/>
          <w:szCs w:val="24"/>
        </w:rPr>
      </w:pPr>
    </w:p>
    <w:p w14:paraId="6FEAB1A4" w14:textId="3CCFBD0B" w:rsidR="00E67F9B" w:rsidRPr="002944D8" w:rsidRDefault="00E67F9B" w:rsidP="002944D8">
      <w:pPr>
        <w:pStyle w:val="Prrafodelista"/>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En este asunto, no hay ninguna prueba de que quienes suscribieron el contrato hubiera</w:t>
      </w:r>
      <w:r w:rsidR="00524820" w:rsidRPr="002944D8">
        <w:rPr>
          <w:rFonts w:ascii="Gadugi" w:eastAsia="Malgun Gothic" w:hAnsi="Gadugi" w:cs="Estrangelo Edessa"/>
          <w:bCs/>
          <w:sz w:val="24"/>
          <w:szCs w:val="24"/>
        </w:rPr>
        <w:t>n</w:t>
      </w:r>
      <w:r w:rsidRPr="002944D8">
        <w:rPr>
          <w:rFonts w:ascii="Gadugi" w:eastAsia="Malgun Gothic" w:hAnsi="Gadugi" w:cs="Estrangelo Edessa"/>
          <w:bCs/>
          <w:sz w:val="24"/>
          <w:szCs w:val="24"/>
        </w:rPr>
        <w:t xml:space="preserve"> querido simular una donación, y menos, que su intención hubiera sido defraudar a la demandante, con lo cual, no se dan las condiciones para declarar la </w:t>
      </w:r>
      <w:r w:rsidRPr="002944D8">
        <w:rPr>
          <w:rFonts w:ascii="Gadugi" w:eastAsia="Malgun Gothic" w:hAnsi="Gadugi" w:cs="Estrangelo Edessa"/>
          <w:bCs/>
          <w:sz w:val="24"/>
          <w:szCs w:val="24"/>
        </w:rPr>
        <w:lastRenderedPageBreak/>
        <w:t xml:space="preserve">simulación que se insinuó, y menos para declarar que el </w:t>
      </w:r>
      <w:r w:rsidR="00524820" w:rsidRPr="002944D8">
        <w:rPr>
          <w:rFonts w:ascii="Gadugi" w:eastAsia="Malgun Gothic" w:hAnsi="Gadugi" w:cs="Estrangelo Edessa"/>
          <w:bCs/>
          <w:sz w:val="24"/>
          <w:szCs w:val="24"/>
        </w:rPr>
        <w:t xml:space="preserve">acto contendido en la escritura es </w:t>
      </w:r>
      <w:r w:rsidRPr="002944D8">
        <w:rPr>
          <w:rFonts w:ascii="Gadugi" w:eastAsia="Malgun Gothic" w:hAnsi="Gadugi" w:cs="Estrangelo Edessa"/>
          <w:bCs/>
          <w:sz w:val="24"/>
          <w:szCs w:val="24"/>
        </w:rPr>
        <w:t xml:space="preserve">inexistente. </w:t>
      </w:r>
    </w:p>
    <w:p w14:paraId="32484050" w14:textId="77777777" w:rsidR="00283FDD" w:rsidRPr="002944D8" w:rsidRDefault="00283FDD" w:rsidP="002944D8">
      <w:pPr>
        <w:pStyle w:val="Prrafodelista"/>
        <w:spacing w:after="0" w:line="276" w:lineRule="auto"/>
        <w:ind w:left="0"/>
        <w:jc w:val="both"/>
        <w:rPr>
          <w:rFonts w:ascii="Gadugi" w:eastAsia="Malgun Gothic" w:hAnsi="Gadugi" w:cs="Estrangelo Edessa"/>
          <w:bCs/>
          <w:sz w:val="24"/>
          <w:szCs w:val="24"/>
        </w:rPr>
      </w:pPr>
    </w:p>
    <w:p w14:paraId="42522FA9" w14:textId="1BA1D573" w:rsidR="00D76A6E" w:rsidRPr="002944D8" w:rsidRDefault="00283FDD" w:rsidP="002944D8">
      <w:pPr>
        <w:pStyle w:val="Prrafodelista"/>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Por otro lado, </w:t>
      </w:r>
      <w:r w:rsidR="00A92994" w:rsidRPr="002944D8">
        <w:rPr>
          <w:rFonts w:ascii="Gadugi" w:eastAsia="Malgun Gothic" w:hAnsi="Gadugi" w:cs="Estrangelo Edessa"/>
          <w:bCs/>
          <w:sz w:val="24"/>
          <w:szCs w:val="24"/>
        </w:rPr>
        <w:t xml:space="preserve">sirve también transcribir el aparte pertinente de la sentencia </w:t>
      </w:r>
      <w:r w:rsidR="00D76A6E" w:rsidRPr="002944D8">
        <w:rPr>
          <w:rFonts w:ascii="Gadugi" w:eastAsia="Malgun Gothic" w:hAnsi="Gadugi" w:cs="Estrangelo Edessa"/>
          <w:bCs/>
          <w:sz w:val="24"/>
          <w:szCs w:val="24"/>
        </w:rPr>
        <w:t xml:space="preserve">del 30 de enero de 2006, </w:t>
      </w:r>
      <w:r w:rsidR="00A92994" w:rsidRPr="002944D8">
        <w:rPr>
          <w:rFonts w:ascii="Gadugi" w:eastAsia="Malgun Gothic" w:hAnsi="Gadugi" w:cs="Estrangelo Edessa"/>
          <w:bCs/>
          <w:sz w:val="24"/>
          <w:szCs w:val="24"/>
        </w:rPr>
        <w:t>que ya se ha citado varias veces:</w:t>
      </w:r>
    </w:p>
    <w:p w14:paraId="13F9C2A0" w14:textId="77777777" w:rsidR="00D76A6E" w:rsidRPr="002944D8" w:rsidRDefault="00D76A6E" w:rsidP="002944D8">
      <w:pPr>
        <w:spacing w:after="0" w:line="276" w:lineRule="auto"/>
        <w:ind w:firstLine="1701"/>
        <w:jc w:val="both"/>
        <w:rPr>
          <w:rFonts w:ascii="Gadugi" w:hAnsi="Gadugi"/>
          <w:sz w:val="24"/>
          <w:szCs w:val="24"/>
        </w:rPr>
      </w:pPr>
    </w:p>
    <w:p w14:paraId="6FAC3ED3"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 xml:space="preserve">La donación, antes bien, es </w:t>
      </w:r>
      <w:proofErr w:type="spellStart"/>
      <w:r w:rsidRPr="007963FD">
        <w:rPr>
          <w:rFonts w:ascii="Gadugi" w:hAnsi="Gadugi"/>
          <w:szCs w:val="24"/>
        </w:rPr>
        <w:t>plurivoluntario</w:t>
      </w:r>
      <w:proofErr w:type="spellEnd"/>
      <w:r w:rsidRPr="007963FD">
        <w:rPr>
          <w:rFonts w:ascii="Gadugi" w:hAnsi="Gadugi"/>
          <w:szCs w:val="24"/>
        </w:rPr>
        <w:t xml:space="preserve">, como buenamente se desgrana de la propia definición que da el código civil en el artículo 1443. Una persona, el donante, que transfiere bienes a otro, el donatario, que lo acepta. Mientras esas dos voluntades no se encuentren, no se alcanzará la perfección ni validez del negocio, porque es </w:t>
      </w:r>
      <w:proofErr w:type="spellStart"/>
      <w:r w:rsidRPr="007963FD">
        <w:rPr>
          <w:rFonts w:ascii="Gadugi" w:hAnsi="Gadugi"/>
          <w:szCs w:val="24"/>
        </w:rPr>
        <w:t>plurivoluntario</w:t>
      </w:r>
      <w:proofErr w:type="spellEnd"/>
      <w:r w:rsidRPr="007963FD">
        <w:rPr>
          <w:rFonts w:ascii="Gadugi" w:hAnsi="Gadugi"/>
          <w:szCs w:val="24"/>
        </w:rPr>
        <w:t>. Uno que da y otro que recibe. Todos así lo entienden, y ya nadie cae en la distracción de que la definición del código la mencione como “</w:t>
      </w:r>
      <w:r w:rsidRPr="007963FD">
        <w:rPr>
          <w:rFonts w:ascii="Gadugi" w:hAnsi="Gadugi"/>
          <w:i/>
          <w:szCs w:val="24"/>
        </w:rPr>
        <w:t>acto</w:t>
      </w:r>
      <w:r w:rsidRPr="007963FD">
        <w:rPr>
          <w:rFonts w:ascii="Gadugi" w:hAnsi="Gadugi"/>
          <w:szCs w:val="24"/>
        </w:rPr>
        <w:t xml:space="preserve">” y no como contrato, pues </w:t>
      </w:r>
      <w:proofErr w:type="spellStart"/>
      <w:r w:rsidRPr="007963FD">
        <w:rPr>
          <w:rFonts w:ascii="Gadugi" w:hAnsi="Gadugi"/>
          <w:szCs w:val="24"/>
        </w:rPr>
        <w:t>llegóse</w:t>
      </w:r>
      <w:proofErr w:type="spellEnd"/>
      <w:r w:rsidRPr="007963FD">
        <w:rPr>
          <w:rFonts w:ascii="Gadugi" w:hAnsi="Gadugi"/>
          <w:szCs w:val="24"/>
        </w:rPr>
        <w:t xml:space="preserve"> a concluir que así ocurrió no más que por la decidida participación de Napoleón en la obra codificadora de su país (de donde abrevaron las legislaciones chilena y colombiana), a quien </w:t>
      </w:r>
      <w:proofErr w:type="spellStart"/>
      <w:r w:rsidRPr="007963FD">
        <w:rPr>
          <w:rFonts w:ascii="Gadugi" w:hAnsi="Gadugi"/>
          <w:szCs w:val="24"/>
        </w:rPr>
        <w:t>parecíale</w:t>
      </w:r>
      <w:proofErr w:type="spellEnd"/>
      <w:r w:rsidRPr="007963FD">
        <w:rPr>
          <w:rFonts w:ascii="Gadugi" w:hAnsi="Gadugi"/>
          <w:szCs w:val="24"/>
        </w:rPr>
        <w:t xml:space="preserve"> que no de otro modo podía ser si el donatario no se obligaba a dar nada, cayendo en la confusión de identificar al contrato no más que con el contrato bilateral.</w:t>
      </w:r>
    </w:p>
    <w:p w14:paraId="3DF32887" w14:textId="77777777" w:rsidR="00D76A6E" w:rsidRPr="007963FD" w:rsidRDefault="00D76A6E" w:rsidP="007963FD">
      <w:pPr>
        <w:spacing w:after="0" w:line="240" w:lineRule="auto"/>
        <w:ind w:left="426" w:right="420" w:firstLine="1701"/>
        <w:jc w:val="both"/>
        <w:rPr>
          <w:rFonts w:ascii="Gadugi" w:hAnsi="Gadugi"/>
          <w:szCs w:val="24"/>
        </w:rPr>
      </w:pPr>
    </w:p>
    <w:p w14:paraId="346690E5"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 xml:space="preserve">No hay para qué entrar a detallar las desemejanzas que en punto de efectos se deriva del hecho de que un negocio jurídico sea </w:t>
      </w:r>
      <w:proofErr w:type="spellStart"/>
      <w:r w:rsidRPr="007963FD">
        <w:rPr>
          <w:rFonts w:ascii="Gadugi" w:hAnsi="Gadugi"/>
          <w:szCs w:val="24"/>
        </w:rPr>
        <w:t>univoluntario</w:t>
      </w:r>
      <w:proofErr w:type="spellEnd"/>
      <w:r w:rsidRPr="007963FD">
        <w:rPr>
          <w:rFonts w:ascii="Gadugi" w:hAnsi="Gadugi"/>
          <w:szCs w:val="24"/>
        </w:rPr>
        <w:t xml:space="preserve"> o </w:t>
      </w:r>
      <w:proofErr w:type="spellStart"/>
      <w:r w:rsidRPr="007963FD">
        <w:rPr>
          <w:rFonts w:ascii="Gadugi" w:hAnsi="Gadugi"/>
          <w:szCs w:val="24"/>
        </w:rPr>
        <w:t>plurivoluntario</w:t>
      </w:r>
      <w:proofErr w:type="spellEnd"/>
      <w:r w:rsidRPr="007963FD">
        <w:rPr>
          <w:rFonts w:ascii="Gadugi" w:hAnsi="Gadugi"/>
          <w:szCs w:val="24"/>
        </w:rPr>
        <w:t>, porque aquí solamente es propicio poner en alto relieve que, con arreglo a lo dicho, nadie, por más magnanimidad que lo guíe, puede donar sin la aquiescencia del otro. El asunto, pues, no es a la fuerza. En cambio, para renunciar a gananciales no hay que tomar el parecer de nadie; ni siquiera el del otro cónyuge; incluso ni el enojo de éste podrá detener que aquella facultad sea ejercida. En resolución, se manifiesta la voluntad y caso concluido. De otra parte, es de la esencia de la donación la transferencia de bienes que implica acrecer el patrimonio del donatario, no así en la renuncia en la que bien puede no acontecer transmisión alguna de bienes.</w:t>
      </w:r>
    </w:p>
    <w:p w14:paraId="5DD17077" w14:textId="77777777" w:rsidR="00D76A6E" w:rsidRPr="007963FD" w:rsidRDefault="00D76A6E" w:rsidP="007963FD">
      <w:pPr>
        <w:spacing w:after="0" w:line="240" w:lineRule="auto"/>
        <w:ind w:left="426" w:right="420" w:firstLine="1701"/>
        <w:jc w:val="both"/>
        <w:rPr>
          <w:rFonts w:ascii="Gadugi" w:hAnsi="Gadugi"/>
          <w:szCs w:val="24"/>
        </w:rPr>
      </w:pPr>
    </w:p>
    <w:p w14:paraId="46D465D0"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Esto último que se ha dicho señala a las claras que la renuncia es simplemente el ejercicio de una facultad; es poner por obra el pensamiento de hacer dejación de algo. Es, según el acreditado Diccionario de Escriche, “</w:t>
      </w:r>
      <w:r w:rsidRPr="007963FD">
        <w:rPr>
          <w:rFonts w:ascii="Gadugi" w:hAnsi="Gadugi"/>
          <w:i/>
          <w:szCs w:val="24"/>
        </w:rPr>
        <w:t>la dejación voluntaria, dimisión o apartamiento de alguna cosa, derecho, acción o privilegio que se tiene o espera tener</w:t>
      </w:r>
      <w:r w:rsidRPr="007963FD">
        <w:rPr>
          <w:rFonts w:ascii="Gadugi" w:hAnsi="Gadugi"/>
          <w:szCs w:val="24"/>
        </w:rPr>
        <w:t>”, y para tornar fugazmente a lo que recién se diferenció, dejar una cosa no es lo mismo que transferirla. No transfiere quien renuncia, simplemente abdica.</w:t>
      </w:r>
    </w:p>
    <w:p w14:paraId="5D52BB92" w14:textId="77777777" w:rsidR="00D76A6E" w:rsidRPr="007963FD" w:rsidRDefault="00D76A6E" w:rsidP="007963FD">
      <w:pPr>
        <w:spacing w:after="0" w:line="240" w:lineRule="auto"/>
        <w:ind w:left="426" w:right="420" w:firstLine="1701"/>
        <w:jc w:val="both"/>
        <w:rPr>
          <w:rFonts w:ascii="Gadugi" w:hAnsi="Gadugi"/>
          <w:szCs w:val="24"/>
        </w:rPr>
      </w:pPr>
    </w:p>
    <w:p w14:paraId="49F2B62B"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 xml:space="preserve">Pareciera que bien se cuidó el legislador de establecer la diferencia, cuando advierte con presteza, por ejemplo, que no hay donación en dejar de interrumpir la prescripción, ni en la repudiación de una herencia, ni en el comodato de una cosa, ni en el mutuo sin interés, etc. </w:t>
      </w:r>
    </w:p>
    <w:p w14:paraId="7F435932" w14:textId="77777777" w:rsidR="00D76A6E" w:rsidRPr="007963FD" w:rsidRDefault="00D76A6E" w:rsidP="007963FD">
      <w:pPr>
        <w:spacing w:after="0" w:line="240" w:lineRule="auto"/>
        <w:ind w:left="426" w:right="420" w:firstLine="1701"/>
        <w:jc w:val="both"/>
        <w:rPr>
          <w:rFonts w:ascii="Gadugi" w:hAnsi="Gadugi"/>
          <w:szCs w:val="24"/>
        </w:rPr>
      </w:pPr>
    </w:p>
    <w:p w14:paraId="55C1E19A"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 xml:space="preserve">Bien manifiesto a este propósito es el rito a que inicialmente estaba sujeta la renuncia. </w:t>
      </w:r>
      <w:proofErr w:type="spellStart"/>
      <w:r w:rsidRPr="007963FD">
        <w:rPr>
          <w:rFonts w:ascii="Gadugi" w:hAnsi="Gadugi"/>
          <w:szCs w:val="24"/>
        </w:rPr>
        <w:t>Baudry</w:t>
      </w:r>
      <w:proofErr w:type="spellEnd"/>
      <w:r w:rsidRPr="007963FD">
        <w:rPr>
          <w:rFonts w:ascii="Gadugi" w:hAnsi="Gadugi"/>
          <w:szCs w:val="24"/>
        </w:rPr>
        <w:t xml:space="preserve"> </w:t>
      </w:r>
      <w:proofErr w:type="spellStart"/>
      <w:r w:rsidRPr="007963FD">
        <w:rPr>
          <w:rFonts w:ascii="Gadugi" w:hAnsi="Gadugi"/>
          <w:szCs w:val="24"/>
        </w:rPr>
        <w:t>Lacantinerie</w:t>
      </w:r>
      <w:proofErr w:type="spellEnd"/>
      <w:r w:rsidRPr="007963FD">
        <w:rPr>
          <w:rFonts w:ascii="Gadugi" w:hAnsi="Gadugi"/>
          <w:szCs w:val="24"/>
        </w:rPr>
        <w:t xml:space="preserve"> hace cita de este obrar de la mujer:</w:t>
      </w:r>
    </w:p>
    <w:p w14:paraId="09F8B654" w14:textId="77777777" w:rsidR="00D76A6E" w:rsidRPr="007963FD" w:rsidRDefault="00D76A6E" w:rsidP="007963FD">
      <w:pPr>
        <w:spacing w:after="0" w:line="240" w:lineRule="auto"/>
        <w:ind w:left="426" w:right="420" w:firstLine="1701"/>
        <w:jc w:val="both"/>
        <w:rPr>
          <w:rFonts w:ascii="Gadugi" w:hAnsi="Gadugi"/>
          <w:szCs w:val="24"/>
        </w:rPr>
      </w:pPr>
    </w:p>
    <w:p w14:paraId="25775EC7" w14:textId="77777777" w:rsidR="00D76A6E" w:rsidRPr="007963FD" w:rsidRDefault="00D76A6E" w:rsidP="007963FD">
      <w:pPr>
        <w:spacing w:after="0" w:line="240" w:lineRule="auto"/>
        <w:ind w:left="426" w:right="420"/>
        <w:jc w:val="both"/>
        <w:rPr>
          <w:rFonts w:ascii="Gadugi" w:hAnsi="Gadugi"/>
          <w:szCs w:val="24"/>
        </w:rPr>
      </w:pPr>
      <w:r w:rsidRPr="007963FD">
        <w:rPr>
          <w:rFonts w:ascii="Gadugi" w:hAnsi="Gadugi"/>
          <w:szCs w:val="24"/>
        </w:rPr>
        <w:t>“</w:t>
      </w:r>
      <w:r w:rsidRPr="007963FD">
        <w:rPr>
          <w:rFonts w:ascii="Gadugi" w:hAnsi="Gadugi"/>
          <w:i/>
          <w:szCs w:val="24"/>
        </w:rPr>
        <w:t>Arrojaba, dice el autor, sobre la tumba de su marido sus llaves para indicar que no tendría más tiempo la administración de los bienes que habían sido comunes y que abandonaba la parte que en ellos le tocaba, porque, según Tertuliano, ‘</w:t>
      </w:r>
      <w:proofErr w:type="spellStart"/>
      <w:r w:rsidRPr="007963FD">
        <w:rPr>
          <w:rFonts w:ascii="Gadugi" w:hAnsi="Gadugi"/>
          <w:i/>
          <w:szCs w:val="24"/>
        </w:rPr>
        <w:t>Officium</w:t>
      </w:r>
      <w:proofErr w:type="spellEnd"/>
      <w:r w:rsidRPr="007963FD">
        <w:rPr>
          <w:rFonts w:ascii="Gadugi" w:hAnsi="Gadugi"/>
          <w:i/>
          <w:szCs w:val="24"/>
        </w:rPr>
        <w:t xml:space="preserve"> </w:t>
      </w:r>
      <w:proofErr w:type="spellStart"/>
      <w:r w:rsidRPr="007963FD">
        <w:rPr>
          <w:rFonts w:ascii="Gadugi" w:hAnsi="Gadugi"/>
          <w:i/>
          <w:szCs w:val="24"/>
        </w:rPr>
        <w:t>matris</w:t>
      </w:r>
      <w:proofErr w:type="spellEnd"/>
      <w:r w:rsidRPr="007963FD">
        <w:rPr>
          <w:rFonts w:ascii="Gadugi" w:hAnsi="Gadugi"/>
          <w:i/>
          <w:szCs w:val="24"/>
        </w:rPr>
        <w:t xml:space="preserve"> familias </w:t>
      </w:r>
      <w:proofErr w:type="spellStart"/>
      <w:r w:rsidRPr="007963FD">
        <w:rPr>
          <w:rFonts w:ascii="Gadugi" w:hAnsi="Gadugi"/>
          <w:i/>
          <w:szCs w:val="24"/>
        </w:rPr>
        <w:t>regere</w:t>
      </w:r>
      <w:proofErr w:type="spellEnd"/>
      <w:r w:rsidRPr="007963FD">
        <w:rPr>
          <w:rFonts w:ascii="Gadugi" w:hAnsi="Gadugi"/>
          <w:i/>
          <w:szCs w:val="24"/>
        </w:rPr>
        <w:t xml:space="preserve"> </w:t>
      </w:r>
      <w:proofErr w:type="spellStart"/>
      <w:r w:rsidRPr="007963FD">
        <w:rPr>
          <w:rFonts w:ascii="Gadugi" w:hAnsi="Gadugi"/>
          <w:i/>
          <w:szCs w:val="24"/>
        </w:rPr>
        <w:t>oculos</w:t>
      </w:r>
      <w:proofErr w:type="spellEnd"/>
      <w:r w:rsidRPr="007963FD">
        <w:rPr>
          <w:rFonts w:ascii="Gadugi" w:hAnsi="Gadugi"/>
          <w:i/>
          <w:szCs w:val="24"/>
        </w:rPr>
        <w:t xml:space="preserve">, </w:t>
      </w:r>
      <w:proofErr w:type="spellStart"/>
      <w:r w:rsidRPr="007963FD">
        <w:rPr>
          <w:rFonts w:ascii="Gadugi" w:hAnsi="Gadugi"/>
          <w:i/>
          <w:szCs w:val="24"/>
        </w:rPr>
        <w:t>custodire</w:t>
      </w:r>
      <w:proofErr w:type="spellEnd"/>
      <w:r w:rsidRPr="007963FD">
        <w:rPr>
          <w:rFonts w:ascii="Gadugi" w:hAnsi="Gadugi"/>
          <w:i/>
          <w:szCs w:val="24"/>
        </w:rPr>
        <w:t xml:space="preserve"> claves’, y arrojaba su cinturón con su bolsa para notar que no retendría nada de los bienes comunes, porque antiguamente las mujeres no sólo llevaban el dinero en sus bolsas sino también en sus cinturones</w:t>
      </w:r>
      <w:r w:rsidRPr="007963FD">
        <w:rPr>
          <w:rFonts w:ascii="Gadugi" w:hAnsi="Gadugi"/>
          <w:szCs w:val="24"/>
        </w:rPr>
        <w:t>” (Cita de la Corte en aquella sentencia de 1951).</w:t>
      </w:r>
    </w:p>
    <w:p w14:paraId="6F7BBCDA" w14:textId="77777777" w:rsidR="00D76A6E" w:rsidRPr="007963FD" w:rsidRDefault="00D76A6E" w:rsidP="007963FD">
      <w:pPr>
        <w:spacing w:after="0" w:line="240" w:lineRule="auto"/>
        <w:ind w:left="426" w:right="420"/>
        <w:jc w:val="both"/>
        <w:rPr>
          <w:rFonts w:ascii="Gadugi" w:hAnsi="Gadugi"/>
          <w:szCs w:val="24"/>
        </w:rPr>
      </w:pPr>
    </w:p>
    <w:p w14:paraId="7908D8C0" w14:textId="6E887611" w:rsidR="00D76A6E" w:rsidRPr="007963FD" w:rsidRDefault="00D76A6E" w:rsidP="00E73A37">
      <w:pPr>
        <w:spacing w:after="0" w:line="240" w:lineRule="auto"/>
        <w:ind w:left="426" w:right="420"/>
        <w:jc w:val="both"/>
        <w:rPr>
          <w:rFonts w:ascii="Gadugi" w:hAnsi="Gadugi"/>
          <w:szCs w:val="24"/>
        </w:rPr>
      </w:pPr>
      <w:r w:rsidRPr="007963FD">
        <w:rPr>
          <w:rFonts w:ascii="Gadugi" w:hAnsi="Gadugi"/>
          <w:b/>
          <w:szCs w:val="24"/>
        </w:rPr>
        <w:t xml:space="preserve">La renuncia no puede entonces equipararse a la donación, y por ese aspecto no hay lugar a la nulidad de la misma. </w:t>
      </w:r>
      <w:r w:rsidR="00A92994" w:rsidRPr="007963FD">
        <w:rPr>
          <w:rFonts w:ascii="Gadugi" w:hAnsi="Gadugi"/>
          <w:b/>
          <w:szCs w:val="24"/>
        </w:rPr>
        <w:t>(…)</w:t>
      </w:r>
      <w:r w:rsidR="00B2679B" w:rsidRPr="007963FD">
        <w:rPr>
          <w:rFonts w:ascii="Gadugi" w:hAnsi="Gadugi"/>
          <w:b/>
          <w:szCs w:val="24"/>
        </w:rPr>
        <w:t xml:space="preserve"> </w:t>
      </w:r>
      <w:r w:rsidR="00B2679B" w:rsidRPr="007963FD">
        <w:rPr>
          <w:rFonts w:ascii="Gadugi" w:hAnsi="Gadugi"/>
          <w:szCs w:val="24"/>
        </w:rPr>
        <w:t xml:space="preserve">(Destaca la Sala). </w:t>
      </w:r>
    </w:p>
    <w:p w14:paraId="783403B4" w14:textId="5A9268B5" w:rsidR="00D76A6E" w:rsidRPr="002944D8" w:rsidRDefault="00D76A6E" w:rsidP="002944D8">
      <w:pPr>
        <w:pStyle w:val="Prrafodelista"/>
        <w:spacing w:after="0" w:line="276" w:lineRule="auto"/>
        <w:ind w:left="0"/>
        <w:jc w:val="both"/>
        <w:rPr>
          <w:rFonts w:ascii="Gadugi" w:eastAsia="Malgun Gothic" w:hAnsi="Gadugi" w:cs="Estrangelo Edessa"/>
          <w:bCs/>
          <w:sz w:val="24"/>
          <w:szCs w:val="24"/>
        </w:rPr>
      </w:pPr>
    </w:p>
    <w:p w14:paraId="3DC7C950" w14:textId="20737EFE" w:rsidR="00B2679B" w:rsidRPr="002944D8" w:rsidRDefault="00B2679B" w:rsidP="002944D8">
      <w:pPr>
        <w:pStyle w:val="Prrafodelista"/>
        <w:spacing w:after="0" w:line="276" w:lineRule="auto"/>
        <w:ind w:left="0"/>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Así las cosas, no fue una donación lo que sucedió entre la señora Restrepo Díaz y el señor Gutiérrez González, sino una disolución y liquidación de la sociedad conyugal con renuncia </w:t>
      </w:r>
      <w:r w:rsidR="00524820" w:rsidRPr="002944D8">
        <w:rPr>
          <w:rFonts w:ascii="Gadugi" w:eastAsia="Malgun Gothic" w:hAnsi="Gadugi" w:cs="Estrangelo Edessa"/>
          <w:bCs/>
          <w:sz w:val="24"/>
          <w:szCs w:val="24"/>
        </w:rPr>
        <w:t>de</w:t>
      </w:r>
      <w:r w:rsidRPr="002944D8">
        <w:rPr>
          <w:rFonts w:ascii="Gadugi" w:eastAsia="Malgun Gothic" w:hAnsi="Gadugi" w:cs="Estrangelo Edessa"/>
          <w:bCs/>
          <w:sz w:val="24"/>
          <w:szCs w:val="24"/>
        </w:rPr>
        <w:t xml:space="preserve"> gananciales, cuyos efectos</w:t>
      </w:r>
      <w:r w:rsidR="00571D5A" w:rsidRPr="002944D8">
        <w:rPr>
          <w:rFonts w:ascii="Gadugi" w:eastAsia="Malgun Gothic" w:hAnsi="Gadugi" w:cs="Estrangelo Edessa"/>
          <w:bCs/>
          <w:sz w:val="24"/>
          <w:szCs w:val="24"/>
        </w:rPr>
        <w:t xml:space="preserve"> </w:t>
      </w:r>
      <w:r w:rsidRPr="002944D8">
        <w:rPr>
          <w:rFonts w:ascii="Gadugi" w:eastAsia="Malgun Gothic" w:hAnsi="Gadugi" w:cs="Estrangelo Edessa"/>
          <w:bCs/>
          <w:sz w:val="24"/>
          <w:szCs w:val="24"/>
        </w:rPr>
        <w:t xml:space="preserve">no han sido infirmados por un tercero agraviado, mediante la inoponibilidad </w:t>
      </w:r>
      <w:r w:rsidR="00571D5A" w:rsidRPr="002944D8">
        <w:rPr>
          <w:rFonts w:ascii="Gadugi" w:eastAsia="Malgun Gothic" w:hAnsi="Gadugi" w:cs="Estrangelo Edessa"/>
          <w:bCs/>
          <w:sz w:val="24"/>
          <w:szCs w:val="24"/>
        </w:rPr>
        <w:t>de sus efectos.</w:t>
      </w:r>
      <w:r w:rsidRPr="002944D8">
        <w:rPr>
          <w:rFonts w:ascii="Gadugi" w:eastAsia="Malgun Gothic" w:hAnsi="Gadugi" w:cs="Estrangelo Edessa"/>
          <w:bCs/>
          <w:sz w:val="24"/>
          <w:szCs w:val="24"/>
        </w:rPr>
        <w:t xml:space="preserve"> </w:t>
      </w:r>
    </w:p>
    <w:p w14:paraId="49A3EA6F" w14:textId="77777777" w:rsidR="00D76A6E" w:rsidRPr="002944D8" w:rsidRDefault="00D76A6E" w:rsidP="002944D8">
      <w:pPr>
        <w:pStyle w:val="Prrafodelista"/>
        <w:spacing w:after="0" w:line="276" w:lineRule="auto"/>
        <w:ind w:left="0"/>
        <w:jc w:val="both"/>
        <w:rPr>
          <w:rFonts w:ascii="Gadugi" w:eastAsia="Malgun Gothic" w:hAnsi="Gadugi" w:cs="Estrangelo Edessa"/>
          <w:bCs/>
          <w:sz w:val="24"/>
          <w:szCs w:val="24"/>
        </w:rPr>
      </w:pPr>
    </w:p>
    <w:p w14:paraId="1D71AF6E" w14:textId="35AB5AD1" w:rsidR="00E67F9B" w:rsidRPr="002944D8" w:rsidRDefault="00E67F9B" w:rsidP="002944D8">
      <w:pPr>
        <w:pStyle w:val="Prrafodelista"/>
        <w:numPr>
          <w:ilvl w:val="1"/>
          <w:numId w:val="1"/>
        </w:numPr>
        <w:tabs>
          <w:tab w:val="left" w:pos="709"/>
        </w:tabs>
        <w:spacing w:line="276" w:lineRule="auto"/>
        <w:ind w:left="0" w:firstLine="0"/>
        <w:jc w:val="both"/>
        <w:rPr>
          <w:rFonts w:ascii="Gadugi" w:eastAsia="Malgun Gothic" w:hAnsi="Gadugi" w:cs="Estrangelo Edessa"/>
          <w:sz w:val="24"/>
          <w:szCs w:val="24"/>
        </w:rPr>
      </w:pPr>
      <w:r w:rsidRPr="002944D8">
        <w:rPr>
          <w:rFonts w:ascii="Gadugi" w:eastAsia="Malgun Gothic" w:hAnsi="Gadugi" w:cs="Estrangelo Edessa"/>
          <w:bCs/>
          <w:sz w:val="24"/>
          <w:szCs w:val="24"/>
        </w:rPr>
        <w:t xml:space="preserve">En suma, </w:t>
      </w:r>
      <w:r w:rsidR="00985E8A" w:rsidRPr="002944D8">
        <w:rPr>
          <w:rFonts w:ascii="Gadugi" w:eastAsia="Malgun Gothic" w:hAnsi="Gadugi" w:cs="Estrangelo Edessa"/>
          <w:bCs/>
          <w:sz w:val="24"/>
          <w:szCs w:val="24"/>
        </w:rPr>
        <w:t xml:space="preserve">se </w:t>
      </w:r>
      <w:r w:rsidRPr="002944D8">
        <w:rPr>
          <w:rFonts w:ascii="Gadugi" w:eastAsia="Malgun Gothic" w:hAnsi="Gadugi" w:cs="Estrangelo Edessa"/>
          <w:sz w:val="24"/>
          <w:szCs w:val="24"/>
        </w:rPr>
        <w:t>prohijará la decisión y se cargará con las costas de segundo grado a</w:t>
      </w:r>
      <w:r w:rsidR="00985E8A" w:rsidRPr="002944D8">
        <w:rPr>
          <w:rFonts w:ascii="Gadugi" w:eastAsia="Malgun Gothic" w:hAnsi="Gadugi" w:cs="Estrangelo Edessa"/>
          <w:sz w:val="24"/>
          <w:szCs w:val="24"/>
        </w:rPr>
        <w:t xml:space="preserve"> </w:t>
      </w:r>
      <w:r w:rsidRPr="002944D8">
        <w:rPr>
          <w:rFonts w:ascii="Gadugi" w:eastAsia="Malgun Gothic" w:hAnsi="Gadugi" w:cs="Estrangelo Edessa"/>
          <w:sz w:val="24"/>
          <w:szCs w:val="24"/>
        </w:rPr>
        <w:t>l</w:t>
      </w:r>
      <w:r w:rsidR="00985E8A" w:rsidRPr="002944D8">
        <w:rPr>
          <w:rFonts w:ascii="Gadugi" w:eastAsia="Malgun Gothic" w:hAnsi="Gadugi" w:cs="Estrangelo Edessa"/>
          <w:sz w:val="24"/>
          <w:szCs w:val="24"/>
        </w:rPr>
        <w:t>a</w:t>
      </w:r>
      <w:r w:rsidRPr="002944D8">
        <w:rPr>
          <w:rFonts w:ascii="Gadugi" w:eastAsia="Malgun Gothic" w:hAnsi="Gadugi" w:cs="Estrangelo Edessa"/>
          <w:sz w:val="24"/>
          <w:szCs w:val="24"/>
        </w:rPr>
        <w:t xml:space="preserve"> recurrente a favor de la demandada, de acuerdo con lo reglado por el artículo 365-1 del CGP. </w:t>
      </w:r>
    </w:p>
    <w:p w14:paraId="2D63D343" w14:textId="77777777" w:rsidR="00E67F9B" w:rsidRPr="002944D8" w:rsidRDefault="00E67F9B" w:rsidP="002944D8">
      <w:pPr>
        <w:pStyle w:val="Prrafodelista"/>
        <w:spacing w:after="0" w:line="276" w:lineRule="auto"/>
        <w:ind w:left="0"/>
        <w:rPr>
          <w:rFonts w:ascii="Gadugi" w:eastAsia="Malgun Gothic" w:hAnsi="Gadugi" w:cs="Estrangelo Edessa"/>
          <w:bCs/>
          <w:sz w:val="24"/>
          <w:szCs w:val="24"/>
        </w:rPr>
      </w:pPr>
    </w:p>
    <w:p w14:paraId="69AC72D3" w14:textId="77777777" w:rsidR="00E67F9B" w:rsidRPr="002944D8" w:rsidRDefault="00E67F9B" w:rsidP="002944D8">
      <w:pPr>
        <w:spacing w:after="0" w:line="276" w:lineRule="auto"/>
        <w:jc w:val="both"/>
        <w:rPr>
          <w:rFonts w:ascii="Gadugi" w:eastAsia="Malgun Gothic" w:hAnsi="Gadugi" w:cs="Estrangelo Edessa"/>
          <w:bCs/>
          <w:sz w:val="24"/>
          <w:szCs w:val="24"/>
        </w:rPr>
      </w:pPr>
      <w:r w:rsidRPr="002944D8">
        <w:rPr>
          <w:rFonts w:ascii="Gadugi" w:eastAsia="Malgun Gothic" w:hAnsi="Gadugi" w:cs="Estrangelo Edessa"/>
          <w:bCs/>
          <w:sz w:val="24"/>
          <w:szCs w:val="24"/>
        </w:rPr>
        <w:t xml:space="preserve">Ellas se liquidarán ante el juzgado de primera instancia, siguiendo las pautas del artículo 366 del mismo estatuto. Para tal fin, el magistrado sustanciador, en auto separado, fijará las agencias en derecho que correspondan. </w:t>
      </w:r>
    </w:p>
    <w:p w14:paraId="18FC89BE" w14:textId="77777777" w:rsidR="00E67F9B" w:rsidRPr="002944D8" w:rsidRDefault="00E67F9B" w:rsidP="002944D8">
      <w:pPr>
        <w:pStyle w:val="Prrafodelista"/>
        <w:spacing w:after="0" w:line="276" w:lineRule="auto"/>
        <w:ind w:left="0"/>
        <w:jc w:val="both"/>
        <w:rPr>
          <w:rFonts w:ascii="Gadugi" w:eastAsia="Malgun Gothic" w:hAnsi="Gadugi" w:cs="Estrangelo Edessa"/>
          <w:bCs/>
          <w:sz w:val="24"/>
          <w:szCs w:val="24"/>
        </w:rPr>
      </w:pPr>
    </w:p>
    <w:p w14:paraId="3B4883D9" w14:textId="0293AB5E" w:rsidR="00607E21" w:rsidRPr="002944D8" w:rsidRDefault="00607E21" w:rsidP="002944D8">
      <w:pPr>
        <w:pStyle w:val="Prrafodelista"/>
        <w:numPr>
          <w:ilvl w:val="0"/>
          <w:numId w:val="1"/>
        </w:numPr>
        <w:tabs>
          <w:tab w:val="left" w:pos="426"/>
        </w:tabs>
        <w:spacing w:line="276" w:lineRule="auto"/>
        <w:ind w:left="0" w:firstLine="0"/>
        <w:rPr>
          <w:rFonts w:ascii="Gadugi" w:eastAsia="Malgun Gothic" w:hAnsi="Gadugi" w:cs="Estrangelo Edessa"/>
          <w:b/>
          <w:sz w:val="24"/>
          <w:szCs w:val="24"/>
        </w:rPr>
      </w:pPr>
      <w:r w:rsidRPr="002944D8">
        <w:rPr>
          <w:rFonts w:ascii="Gadugi" w:eastAsia="Malgun Gothic" w:hAnsi="Gadugi" w:cs="Estrangelo Edessa"/>
          <w:b/>
          <w:sz w:val="24"/>
          <w:szCs w:val="24"/>
        </w:rPr>
        <w:t>DECISIÓN</w:t>
      </w:r>
    </w:p>
    <w:p w14:paraId="7621E493" w14:textId="0D4ADAC9" w:rsidR="00607E21" w:rsidRPr="002944D8" w:rsidRDefault="00607E21" w:rsidP="002944D8">
      <w:pPr>
        <w:pStyle w:val="Prrafodelista"/>
        <w:spacing w:after="0" w:line="276" w:lineRule="auto"/>
        <w:ind w:left="0"/>
        <w:rPr>
          <w:rFonts w:ascii="Gadugi" w:eastAsia="Malgun Gothic" w:hAnsi="Gadugi" w:cs="Estrangelo Edessa"/>
          <w:b/>
          <w:sz w:val="24"/>
          <w:szCs w:val="24"/>
        </w:rPr>
      </w:pPr>
    </w:p>
    <w:p w14:paraId="5FA7D502" w14:textId="395221F6" w:rsidR="00607E21" w:rsidRPr="002944D8" w:rsidRDefault="00607E21" w:rsidP="002944D8">
      <w:pPr>
        <w:tabs>
          <w:tab w:val="left" w:pos="2835"/>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En armonía con lo dicho, esta Sala de Decisión Civil Familia del Tribunal Superior del Distrito Judicial de Pereira, administrando justicia en nombre de la República y por autoridad de la Ley, </w:t>
      </w:r>
      <w:r w:rsidRPr="002944D8">
        <w:rPr>
          <w:rFonts w:ascii="Gadugi" w:eastAsia="Malgun Gothic" w:hAnsi="Gadugi" w:cs="Estrangelo Edessa"/>
          <w:b/>
          <w:bCs/>
          <w:sz w:val="24"/>
          <w:szCs w:val="24"/>
        </w:rPr>
        <w:t xml:space="preserve">CONFIRMA </w:t>
      </w:r>
      <w:r w:rsidRPr="002944D8">
        <w:rPr>
          <w:rFonts w:ascii="Gadugi" w:eastAsia="Malgun Gothic" w:hAnsi="Gadugi" w:cs="Estrangelo Edessa"/>
          <w:sz w:val="24"/>
          <w:szCs w:val="24"/>
        </w:rPr>
        <w:t>la sente</w:t>
      </w:r>
      <w:r w:rsidR="00985E8A" w:rsidRPr="002944D8">
        <w:rPr>
          <w:rFonts w:ascii="Gadugi" w:eastAsia="Malgun Gothic" w:hAnsi="Gadugi" w:cs="Estrangelo Edessa"/>
          <w:sz w:val="24"/>
          <w:szCs w:val="24"/>
        </w:rPr>
        <w:t xml:space="preserve">ncia apelada. </w:t>
      </w:r>
    </w:p>
    <w:p w14:paraId="4C215B0E" w14:textId="36AF03E0" w:rsidR="00607E21" w:rsidRPr="002944D8" w:rsidRDefault="00607E21" w:rsidP="002944D8">
      <w:pPr>
        <w:tabs>
          <w:tab w:val="left" w:pos="2835"/>
        </w:tabs>
        <w:spacing w:after="0" w:line="276" w:lineRule="auto"/>
        <w:jc w:val="both"/>
        <w:rPr>
          <w:rFonts w:ascii="Gadugi" w:eastAsia="Malgun Gothic" w:hAnsi="Gadugi" w:cs="Estrangelo Edessa"/>
          <w:sz w:val="24"/>
          <w:szCs w:val="24"/>
        </w:rPr>
      </w:pPr>
    </w:p>
    <w:p w14:paraId="73346F67" w14:textId="32768BA8" w:rsidR="00607E21" w:rsidRPr="002944D8" w:rsidRDefault="00607E21" w:rsidP="002944D8">
      <w:pPr>
        <w:tabs>
          <w:tab w:val="left" w:pos="2835"/>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Costas en esta sede a cargo de</w:t>
      </w:r>
      <w:r w:rsidR="00E67F9B" w:rsidRPr="002944D8">
        <w:rPr>
          <w:rFonts w:ascii="Gadugi" w:eastAsia="Malgun Gothic" w:hAnsi="Gadugi" w:cs="Estrangelo Edessa"/>
          <w:sz w:val="24"/>
          <w:szCs w:val="24"/>
        </w:rPr>
        <w:t xml:space="preserve"> </w:t>
      </w:r>
      <w:r w:rsidRPr="002944D8">
        <w:rPr>
          <w:rFonts w:ascii="Gadugi" w:eastAsia="Malgun Gothic" w:hAnsi="Gadugi" w:cs="Estrangelo Edessa"/>
          <w:sz w:val="24"/>
          <w:szCs w:val="24"/>
        </w:rPr>
        <w:t>l</w:t>
      </w:r>
      <w:r w:rsidR="00E67F9B" w:rsidRPr="002944D8">
        <w:rPr>
          <w:rFonts w:ascii="Gadugi" w:eastAsia="Malgun Gothic" w:hAnsi="Gadugi" w:cs="Estrangelo Edessa"/>
          <w:sz w:val="24"/>
          <w:szCs w:val="24"/>
        </w:rPr>
        <w:t>a</w:t>
      </w:r>
      <w:r w:rsidRPr="002944D8">
        <w:rPr>
          <w:rFonts w:ascii="Gadugi" w:eastAsia="Malgun Gothic" w:hAnsi="Gadugi" w:cs="Estrangelo Edessa"/>
          <w:sz w:val="24"/>
          <w:szCs w:val="24"/>
        </w:rPr>
        <w:t xml:space="preserve"> recurrente y a favor de la demandada</w:t>
      </w:r>
      <w:r w:rsidR="00E67F9B" w:rsidRPr="002944D8">
        <w:rPr>
          <w:rFonts w:ascii="Gadugi" w:eastAsia="Malgun Gothic" w:hAnsi="Gadugi" w:cs="Estrangelo Edessa"/>
          <w:sz w:val="24"/>
          <w:szCs w:val="24"/>
        </w:rPr>
        <w:t>.</w:t>
      </w:r>
    </w:p>
    <w:p w14:paraId="748810C5" w14:textId="77777777" w:rsidR="002869FF" w:rsidRPr="002944D8" w:rsidRDefault="002869FF" w:rsidP="002944D8">
      <w:pPr>
        <w:tabs>
          <w:tab w:val="left" w:pos="2835"/>
        </w:tabs>
        <w:spacing w:after="0" w:line="276" w:lineRule="auto"/>
        <w:jc w:val="both"/>
        <w:rPr>
          <w:rFonts w:ascii="Gadugi" w:eastAsia="Malgun Gothic" w:hAnsi="Gadugi" w:cs="Estrangelo Edessa"/>
          <w:sz w:val="24"/>
          <w:szCs w:val="24"/>
        </w:rPr>
      </w:pPr>
    </w:p>
    <w:p w14:paraId="1DED4D91" w14:textId="7A8FAA60" w:rsidR="00607E21" w:rsidRPr="002944D8" w:rsidRDefault="00607E21" w:rsidP="002944D8">
      <w:pPr>
        <w:tabs>
          <w:tab w:val="left" w:pos="2835"/>
        </w:tabs>
        <w:spacing w:after="0" w:line="276" w:lineRule="auto"/>
        <w:jc w:val="both"/>
        <w:rPr>
          <w:rFonts w:ascii="Gadugi" w:eastAsia="Malgun Gothic" w:hAnsi="Gadugi" w:cs="Estrangelo Edessa"/>
          <w:sz w:val="24"/>
          <w:szCs w:val="24"/>
        </w:rPr>
      </w:pPr>
      <w:r w:rsidRPr="002944D8">
        <w:rPr>
          <w:rFonts w:ascii="Gadugi" w:eastAsia="Malgun Gothic" w:hAnsi="Gadugi" w:cs="Estrangelo Edessa"/>
          <w:sz w:val="24"/>
          <w:szCs w:val="24"/>
        </w:rPr>
        <w:t xml:space="preserve">Notifíquese, </w:t>
      </w:r>
    </w:p>
    <w:p w14:paraId="0A372FA8" w14:textId="77777777" w:rsidR="000840BE" w:rsidRPr="00CA590F" w:rsidRDefault="000840BE" w:rsidP="000840BE">
      <w:pPr>
        <w:tabs>
          <w:tab w:val="left" w:pos="1701"/>
          <w:tab w:val="left" w:pos="2127"/>
          <w:tab w:val="left" w:pos="2977"/>
        </w:tabs>
        <w:spacing w:after="0" w:line="276" w:lineRule="auto"/>
        <w:jc w:val="both"/>
        <w:rPr>
          <w:rFonts w:ascii="Gadugi" w:eastAsia="Malgun Gothic" w:hAnsi="Gadugi" w:cs="Estrangelo Edessa"/>
          <w:sz w:val="24"/>
          <w:szCs w:val="24"/>
        </w:rPr>
      </w:pPr>
    </w:p>
    <w:p w14:paraId="022BFFB9" w14:textId="77777777" w:rsidR="000840BE" w:rsidRPr="00CA590F" w:rsidRDefault="000840BE" w:rsidP="000840BE">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6CFE1ED1" w14:textId="77777777" w:rsidR="000840BE" w:rsidRPr="00CA590F" w:rsidRDefault="000840BE" w:rsidP="000840BE">
      <w:pPr>
        <w:tabs>
          <w:tab w:val="left" w:pos="1701"/>
          <w:tab w:val="left" w:pos="2127"/>
          <w:tab w:val="left" w:pos="2977"/>
        </w:tabs>
        <w:spacing w:after="0" w:line="276" w:lineRule="auto"/>
        <w:jc w:val="both"/>
        <w:rPr>
          <w:rFonts w:ascii="Gadugi" w:eastAsia="Malgun Gothic" w:hAnsi="Gadugi" w:cs="Estrangelo Edessa"/>
          <w:sz w:val="24"/>
          <w:szCs w:val="24"/>
        </w:rPr>
      </w:pPr>
    </w:p>
    <w:p w14:paraId="6BF1241F" w14:textId="77777777" w:rsidR="000840BE" w:rsidRPr="00CA590F" w:rsidRDefault="000840BE" w:rsidP="000840BE">
      <w:pPr>
        <w:tabs>
          <w:tab w:val="left" w:pos="1701"/>
          <w:tab w:val="left" w:pos="2127"/>
          <w:tab w:val="left" w:pos="2977"/>
        </w:tabs>
        <w:spacing w:after="0" w:line="276" w:lineRule="auto"/>
        <w:jc w:val="both"/>
        <w:rPr>
          <w:rFonts w:ascii="Gadugi" w:eastAsia="Malgun Gothic" w:hAnsi="Gadugi" w:cs="Estrangelo Edessa"/>
          <w:b/>
          <w:sz w:val="24"/>
          <w:szCs w:val="24"/>
        </w:rPr>
      </w:pPr>
    </w:p>
    <w:p w14:paraId="1D03B545" w14:textId="77777777" w:rsidR="000840BE" w:rsidRPr="000840BE" w:rsidRDefault="000840BE" w:rsidP="000840BE">
      <w:pPr>
        <w:spacing w:after="0" w:line="276" w:lineRule="auto"/>
        <w:ind w:left="993" w:firstLine="708"/>
        <w:jc w:val="both"/>
        <w:rPr>
          <w:rFonts w:ascii="Gadugi" w:eastAsia="Malgun Gothic" w:hAnsi="Gadugi" w:cs="Estrangelo Edessa"/>
          <w:b/>
          <w:bCs/>
          <w:sz w:val="24"/>
          <w:szCs w:val="24"/>
        </w:rPr>
      </w:pPr>
      <w:r w:rsidRPr="000840BE">
        <w:rPr>
          <w:rFonts w:ascii="Gadugi" w:eastAsia="Malgun Gothic" w:hAnsi="Gadugi" w:cs="Estrangelo Edessa"/>
          <w:b/>
          <w:bCs/>
          <w:sz w:val="24"/>
          <w:szCs w:val="24"/>
        </w:rPr>
        <w:t>JAIME ALBERTO SARAZA NARANJO</w:t>
      </w:r>
    </w:p>
    <w:p w14:paraId="324DE338" w14:textId="77777777" w:rsidR="000840BE" w:rsidRPr="00CA590F" w:rsidRDefault="000840BE" w:rsidP="000840B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7112BC4C" w14:textId="77777777" w:rsidR="000840BE" w:rsidRPr="00CA590F" w:rsidRDefault="000840BE" w:rsidP="000840B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76CEB175" w14:textId="77777777" w:rsidR="000840BE" w:rsidRPr="00CA590F" w:rsidRDefault="000840BE" w:rsidP="000840BE">
      <w:pPr>
        <w:spacing w:after="0" w:line="276" w:lineRule="auto"/>
        <w:ind w:left="993" w:firstLine="708"/>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727ACD76" w14:textId="77777777" w:rsidR="000840BE" w:rsidRPr="00CA590F" w:rsidRDefault="000840BE" w:rsidP="000840B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C2920B9" w14:textId="77777777" w:rsidR="000840BE" w:rsidRPr="00CA590F" w:rsidRDefault="000840BE" w:rsidP="000840BE">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16591B8" w14:textId="5BA00C8E" w:rsidR="00607E21" w:rsidRPr="002944D8" w:rsidRDefault="000840BE" w:rsidP="000840BE">
      <w:pPr>
        <w:spacing w:after="0" w:line="276" w:lineRule="auto"/>
        <w:ind w:left="993" w:firstLine="708"/>
        <w:jc w:val="both"/>
        <w:rPr>
          <w:rFonts w:ascii="Gadugi" w:eastAsia="Malgun Gothic" w:hAnsi="Gadugi" w:cs="Estrangelo Edessa"/>
          <w:bCs/>
          <w:sz w:val="24"/>
          <w:szCs w:val="24"/>
        </w:rPr>
      </w:pPr>
      <w:r w:rsidRPr="00CA590F">
        <w:rPr>
          <w:rFonts w:ascii="Gadugi" w:eastAsia="Malgun Gothic" w:hAnsi="Gadugi" w:cs="Estrangelo Edessa"/>
          <w:b/>
          <w:bCs/>
          <w:sz w:val="24"/>
          <w:szCs w:val="24"/>
        </w:rPr>
        <w:t>DUBERNEY GRISALES HERRERA</w:t>
      </w:r>
    </w:p>
    <w:sectPr w:rsidR="00607E21" w:rsidRPr="002944D8" w:rsidSect="009E3D75">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21B7AF" w16cex:dateUtc="2022-11-24T19:32:07.02Z"/>
  <w16cex:commentExtensible w16cex:durableId="736ED32A" w16cex:dateUtc="2022-11-24T19:33:18.964Z"/>
  <w16cex:commentExtensible w16cex:durableId="629ACA87" w16cex:dateUtc="2022-11-24T19:36:23.542Z"/>
  <w16cex:commentExtensible w16cex:durableId="21B698DC" w16cex:dateUtc="2022-11-24T19:37:09.088Z"/>
  <w16cex:commentExtensible w16cex:durableId="5AD68548" w16cex:dateUtc="2022-11-24T19:38:29.129Z"/>
  <w16cex:commentExtensible w16cex:durableId="71A59654" w16cex:dateUtc="2022-11-24T19:39:51.822Z"/>
  <w16cex:commentExtensible w16cex:durableId="4ECAB477" w16cex:dateUtc="2022-11-24T19:54:13.484Z"/>
  <w16cex:commentExtensible w16cex:durableId="021E28D0" w16cex:dateUtc="2022-11-29T16:30:12.533Z"/>
  <w16cex:commentExtensible w16cex:durableId="58FEFB6D" w16cex:dateUtc="2022-11-29T16:30:54.58Z"/>
  <w16cex:commentExtensible w16cex:durableId="35FAFC0C" w16cex:dateUtc="2022-11-29T16:31:40.454Z"/>
  <w16cex:commentExtensible w16cex:durableId="415714CD" w16cex:dateUtc="2022-11-29T16:32:28.329Z"/>
  <w16cex:commentExtensible w16cex:durableId="39D15063" w16cex:dateUtc="2022-11-29T16:32:43.723Z"/>
  <w16cex:commentExtensible w16cex:durableId="0E5243CA" w16cex:dateUtc="2022-12-07T15:20:59.636Z"/>
  <w16cex:commentExtensible w16cex:durableId="2E0A8A26" w16cex:dateUtc="2022-12-07T15:24:26.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2DCC" w14:textId="77777777" w:rsidR="00862000" w:rsidRDefault="00862000" w:rsidP="00244E2F">
      <w:pPr>
        <w:spacing w:after="0" w:line="240" w:lineRule="auto"/>
      </w:pPr>
      <w:r>
        <w:separator/>
      </w:r>
    </w:p>
  </w:endnote>
  <w:endnote w:type="continuationSeparator" w:id="0">
    <w:p w14:paraId="24F0F8B0" w14:textId="77777777" w:rsidR="00862000" w:rsidRDefault="00862000"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032219328"/>
      <w:docPartObj>
        <w:docPartGallery w:val="Page Numbers (Bottom of Page)"/>
        <w:docPartUnique/>
      </w:docPartObj>
    </w:sdtPr>
    <w:sdtEndPr/>
    <w:sdtContent>
      <w:p w14:paraId="163C1185" w14:textId="4D687D04" w:rsidR="002869FF" w:rsidRPr="002944D8" w:rsidRDefault="002869FF" w:rsidP="002944D8">
        <w:pPr>
          <w:pStyle w:val="Piedepgina"/>
          <w:jc w:val="right"/>
          <w:rPr>
            <w:rFonts w:ascii="Arial" w:hAnsi="Arial" w:cs="Arial"/>
            <w:sz w:val="18"/>
          </w:rPr>
        </w:pPr>
        <w:r w:rsidRPr="002944D8">
          <w:rPr>
            <w:rFonts w:ascii="Arial" w:hAnsi="Arial" w:cs="Arial"/>
            <w:sz w:val="18"/>
          </w:rPr>
          <w:fldChar w:fldCharType="begin"/>
        </w:r>
        <w:r w:rsidRPr="002944D8">
          <w:rPr>
            <w:rFonts w:ascii="Arial" w:hAnsi="Arial" w:cs="Arial"/>
            <w:sz w:val="18"/>
          </w:rPr>
          <w:instrText>PAGE   \* MERGEFORMAT</w:instrText>
        </w:r>
        <w:r w:rsidRPr="002944D8">
          <w:rPr>
            <w:rFonts w:ascii="Arial" w:hAnsi="Arial" w:cs="Arial"/>
            <w:sz w:val="18"/>
          </w:rPr>
          <w:fldChar w:fldCharType="separate"/>
        </w:r>
        <w:r w:rsidRPr="002944D8">
          <w:rPr>
            <w:rFonts w:ascii="Arial" w:hAnsi="Arial" w:cs="Arial"/>
            <w:sz w:val="18"/>
            <w:lang w:val="es-ES"/>
          </w:rPr>
          <w:t>2</w:t>
        </w:r>
        <w:r w:rsidRPr="002944D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C52B" w14:textId="77777777" w:rsidR="00862000" w:rsidRDefault="00862000" w:rsidP="00244E2F">
      <w:pPr>
        <w:spacing w:after="0" w:line="240" w:lineRule="auto"/>
      </w:pPr>
      <w:r>
        <w:separator/>
      </w:r>
    </w:p>
  </w:footnote>
  <w:footnote w:type="continuationSeparator" w:id="0">
    <w:p w14:paraId="1EED35A7" w14:textId="77777777" w:rsidR="00862000" w:rsidRDefault="00862000" w:rsidP="00244E2F">
      <w:pPr>
        <w:spacing w:after="0" w:line="240" w:lineRule="auto"/>
      </w:pPr>
      <w:r>
        <w:continuationSeparator/>
      </w:r>
    </w:p>
  </w:footnote>
  <w:footnote w:id="1">
    <w:p w14:paraId="2AAEC622" w14:textId="5FBF8369" w:rsidR="00A92994" w:rsidRPr="002944D8" w:rsidRDefault="00A9299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Documento 10, Carpeta del Exp. 2019-00650-00. </w:t>
      </w:r>
    </w:p>
  </w:footnote>
  <w:footnote w:id="2">
    <w:p w14:paraId="7609A02C" w14:textId="1238C860" w:rsidR="00A92994" w:rsidRPr="002944D8" w:rsidRDefault="00A9299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Documento 10, Carpeta del Exp. 2019-00650-00.</w:t>
      </w:r>
      <w:r w:rsidR="00D42CFD" w:rsidRPr="002944D8">
        <w:rPr>
          <w:rFonts w:ascii="Arial" w:hAnsi="Arial" w:cs="Arial"/>
          <w:sz w:val="18"/>
        </w:rPr>
        <w:t xml:space="preserve"> C. 1.</w:t>
      </w:r>
    </w:p>
  </w:footnote>
  <w:footnote w:id="3">
    <w:p w14:paraId="2ABCE9C5" w14:textId="213A563F" w:rsidR="00A92994" w:rsidRPr="002944D8" w:rsidRDefault="00A9299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w:t>
      </w:r>
      <w:r w:rsidR="00D42CFD" w:rsidRPr="002944D8">
        <w:rPr>
          <w:rFonts w:ascii="Arial" w:hAnsi="Arial" w:cs="Arial"/>
          <w:sz w:val="18"/>
        </w:rPr>
        <w:t>Documento 12, Carpeta del Exp. 2019-00650-00. C. 1.</w:t>
      </w:r>
    </w:p>
  </w:footnote>
  <w:footnote w:id="4">
    <w:p w14:paraId="7A17938F" w14:textId="642CC173"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Documento 11, Carpeta del Exp. 2019-00650-00. C. 1.</w:t>
      </w:r>
    </w:p>
  </w:footnote>
  <w:footnote w:id="5">
    <w:p w14:paraId="78079D26" w14:textId="69312E94"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Carpeta 26 del Exp. 2019-00650-00. C. 1.</w:t>
      </w:r>
    </w:p>
  </w:footnote>
  <w:footnote w:id="6">
    <w:p w14:paraId="0EAC2778" w14:textId="0B217569"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Archivo 02, Carpeta 26 del Exp. 2019-00650-00. C. 1.</w:t>
      </w:r>
    </w:p>
  </w:footnote>
  <w:footnote w:id="7">
    <w:p w14:paraId="4C13B366" w14:textId="631B3862"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Documento 22, Exp. 2019-00650-00., C. 1.</w:t>
      </w:r>
    </w:p>
  </w:footnote>
  <w:footnote w:id="8">
    <w:p w14:paraId="15244621" w14:textId="17CD7ACA" w:rsidR="008305FB" w:rsidRPr="002944D8" w:rsidRDefault="008305FB"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CSJ., Sentencia del 30 de enero de 2006, </w:t>
      </w:r>
      <w:proofErr w:type="spellStart"/>
      <w:r w:rsidRPr="002944D8">
        <w:rPr>
          <w:rFonts w:ascii="Arial" w:hAnsi="Arial" w:cs="Arial"/>
          <w:sz w:val="18"/>
        </w:rPr>
        <w:t>exp</w:t>
      </w:r>
      <w:proofErr w:type="spellEnd"/>
      <w:r w:rsidRPr="002944D8">
        <w:rPr>
          <w:rFonts w:ascii="Arial" w:hAnsi="Arial" w:cs="Arial"/>
          <w:sz w:val="18"/>
        </w:rPr>
        <w:t>. 1995-29402-02, reiterada, por ejemplo, en las sentencias SC3727-2020 y SC4528-2020.</w:t>
      </w:r>
    </w:p>
  </w:footnote>
  <w:footnote w:id="9">
    <w:p w14:paraId="6D1557CE" w14:textId="77777777" w:rsidR="00617CF1" w:rsidRPr="002944D8" w:rsidRDefault="00617CF1"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Sentencia del 19 de junio de 2018, radicado 2011-00193-01,</w:t>
      </w:r>
    </w:p>
  </w:footnote>
  <w:footnote w:id="10">
    <w:p w14:paraId="66D671F2" w14:textId="77777777" w:rsidR="00617CF1" w:rsidRPr="002944D8" w:rsidRDefault="00617CF1"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Sentencia del 19 de junio de 2020, radicado 2019-00046-01, M.P. Duberney Grisales Herrera.</w:t>
      </w:r>
    </w:p>
  </w:footnote>
  <w:footnote w:id="11">
    <w:p w14:paraId="4BDE3159" w14:textId="77777777" w:rsidR="00617CF1" w:rsidRPr="002944D8" w:rsidRDefault="00617CF1"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STC9587-2017, STC15273-2019, STC11328-2019 y STC100-2019</w:t>
      </w:r>
    </w:p>
  </w:footnote>
  <w:footnote w:id="12">
    <w:p w14:paraId="2617F468" w14:textId="5829AC6D" w:rsidR="00617CF1" w:rsidRPr="002944D8" w:rsidRDefault="00617CF1"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SC2351-2019</w:t>
      </w:r>
      <w:r w:rsidR="00A82730" w:rsidRPr="002944D8">
        <w:rPr>
          <w:rFonts w:ascii="Arial" w:hAnsi="Arial" w:cs="Arial"/>
          <w:sz w:val="18"/>
        </w:rPr>
        <w:t xml:space="preserve">; </w:t>
      </w:r>
      <w:r w:rsidR="00637CDB" w:rsidRPr="002944D8">
        <w:rPr>
          <w:rFonts w:ascii="Arial" w:hAnsi="Arial" w:cs="Arial"/>
          <w:sz w:val="18"/>
        </w:rPr>
        <w:t xml:space="preserve">SC-3918-2021; </w:t>
      </w:r>
      <w:r w:rsidR="00A82730" w:rsidRPr="002944D8">
        <w:rPr>
          <w:rFonts w:ascii="Arial" w:hAnsi="Arial" w:cs="Arial"/>
          <w:sz w:val="18"/>
        </w:rPr>
        <w:t>SC1303-2022</w:t>
      </w:r>
    </w:p>
  </w:footnote>
  <w:footnote w:id="13">
    <w:p w14:paraId="5CCDEABB" w14:textId="77777777" w:rsidR="002327D0" w:rsidRPr="002944D8" w:rsidRDefault="002327D0"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Sentencia SC19730-2017</w:t>
      </w:r>
    </w:p>
  </w:footnote>
  <w:footnote w:id="14">
    <w:p w14:paraId="62B2F76D" w14:textId="77777777" w:rsidR="002327D0" w:rsidRPr="002944D8" w:rsidRDefault="002327D0"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CSJ. Civil. Sentencia de 9 de diciembre de 2015, expediente 00430, reiterando doctrina sentada en fallo de 19 de noviembre de 2001, expediente 6406.</w:t>
      </w:r>
    </w:p>
  </w:footnote>
  <w:footnote w:id="15">
    <w:p w14:paraId="06CAF53B" w14:textId="77777777" w:rsidR="002327D0" w:rsidRPr="002944D8" w:rsidRDefault="002327D0"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DEVIS ECHANDÍA, Hernando. Teoría General de la Prueba Judicial, Bogotá, Editorial Temis, 5ª edición, 2002, página 512. </w:t>
      </w:r>
    </w:p>
  </w:footnote>
  <w:footnote w:id="16">
    <w:p w14:paraId="7BF52CB1" w14:textId="420D60F0" w:rsidR="00486F0F" w:rsidRPr="002944D8" w:rsidRDefault="00486F0F" w:rsidP="002944D8">
      <w:pPr>
        <w:pStyle w:val="Textonotapie"/>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Al respecto sentencia TSP.SC-0035-2021</w:t>
      </w:r>
    </w:p>
  </w:footnote>
  <w:footnote w:id="17">
    <w:p w14:paraId="4D5E1234" w14:textId="1286CB53" w:rsidR="002D6944" w:rsidRPr="002944D8" w:rsidRDefault="002D694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Sentencia SC5131-2020</w:t>
      </w:r>
    </w:p>
  </w:footnote>
  <w:footnote w:id="18">
    <w:p w14:paraId="2CED2D4F" w14:textId="77777777" w:rsidR="002D6944" w:rsidRPr="002944D8" w:rsidRDefault="002D694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SC17154-2015</w:t>
      </w:r>
    </w:p>
  </w:footnote>
  <w:footnote w:id="19">
    <w:p w14:paraId="21EFF011" w14:textId="77777777" w:rsidR="002D6944" w:rsidRPr="002944D8" w:rsidRDefault="002D6944"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CSJ SC Noviembre 31 de 1998 radicación n. 4826, reiterada en SC17154-2015.</w:t>
      </w:r>
    </w:p>
  </w:footnote>
  <w:footnote w:id="20">
    <w:p w14:paraId="520D5D48" w14:textId="0169D4D9"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Pág. 48, Documento 01., Exp. 2019-00650-00, C.1.</w:t>
      </w:r>
    </w:p>
  </w:footnote>
  <w:footnote w:id="21">
    <w:p w14:paraId="1B268C3A" w14:textId="3A377338"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Pág. 3, Documento 01., Exp. 2019-00650-00, C.1.</w:t>
      </w:r>
    </w:p>
  </w:footnote>
  <w:footnote w:id="22">
    <w:p w14:paraId="08C94C45" w14:textId="757E5F6F" w:rsidR="00D42CFD" w:rsidRPr="002944D8" w:rsidRDefault="00D42CFD"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w:t>
      </w:r>
      <w:r w:rsidR="00C44F96" w:rsidRPr="002944D8">
        <w:rPr>
          <w:rFonts w:ascii="Arial" w:hAnsi="Arial" w:cs="Arial"/>
          <w:sz w:val="18"/>
        </w:rPr>
        <w:t>Min 0:59:00, Audiencia 02. Carpeta 26, C. 1.</w:t>
      </w:r>
    </w:p>
  </w:footnote>
  <w:footnote w:id="23">
    <w:p w14:paraId="5449D94B" w14:textId="77777777" w:rsidR="00472A38" w:rsidRPr="002944D8" w:rsidRDefault="00472A38"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CSJ, Sentencia SC2850-2022</w:t>
      </w:r>
    </w:p>
  </w:footnote>
  <w:footnote w:id="24">
    <w:p w14:paraId="1AD2B674" w14:textId="2D6C6583" w:rsidR="00657BFA" w:rsidRPr="002944D8" w:rsidRDefault="00657BFA"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CSJ., Sentencia del 30 de enero de 2006, </w:t>
      </w:r>
      <w:proofErr w:type="spellStart"/>
      <w:r w:rsidRPr="002944D8">
        <w:rPr>
          <w:rFonts w:ascii="Arial" w:hAnsi="Arial" w:cs="Arial"/>
          <w:sz w:val="18"/>
        </w:rPr>
        <w:t>exp</w:t>
      </w:r>
      <w:proofErr w:type="spellEnd"/>
      <w:r w:rsidRPr="002944D8">
        <w:rPr>
          <w:rFonts w:ascii="Arial" w:hAnsi="Arial" w:cs="Arial"/>
          <w:sz w:val="18"/>
        </w:rPr>
        <w:t>. 1995-29402-02, reiterada, por ejemplo, en las sentencias SC3727-2020 y SC4528-2020.</w:t>
      </w:r>
    </w:p>
  </w:footnote>
  <w:footnote w:id="25">
    <w:p w14:paraId="24AC869A" w14:textId="70585D64" w:rsidR="00D76A6E" w:rsidRPr="002944D8" w:rsidRDefault="00D76A6E" w:rsidP="002944D8">
      <w:pPr>
        <w:pStyle w:val="Textonotapie"/>
        <w:jc w:val="both"/>
        <w:rPr>
          <w:rFonts w:ascii="Arial" w:hAnsi="Arial" w:cs="Arial"/>
          <w:sz w:val="18"/>
        </w:rPr>
      </w:pPr>
      <w:r w:rsidRPr="002944D8">
        <w:rPr>
          <w:rStyle w:val="Refdenotaalpie"/>
          <w:rFonts w:ascii="Arial" w:hAnsi="Arial" w:cs="Arial"/>
          <w:sz w:val="18"/>
        </w:rPr>
        <w:footnoteRef/>
      </w:r>
      <w:r w:rsidRPr="002944D8">
        <w:rPr>
          <w:rFonts w:ascii="Arial" w:hAnsi="Arial" w:cs="Arial"/>
          <w:sz w:val="18"/>
        </w:rPr>
        <w:t xml:space="preserve"> TSP.SC-0017-2021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0C1ECC"/>
    <w:multiLevelType w:val="hybridMultilevel"/>
    <w:tmpl w:val="FC586280"/>
    <w:lvl w:ilvl="0" w:tplc="0C6CCF9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57C7946"/>
    <w:multiLevelType w:val="hybridMultilevel"/>
    <w:tmpl w:val="D8EA4382"/>
    <w:lvl w:ilvl="0" w:tplc="39C22042">
      <w:start w:val="1"/>
      <w:numFmt w:val="lowerRoman"/>
      <w:lvlText w:val="(%1)"/>
      <w:lvlJc w:val="left"/>
      <w:pPr>
        <w:ind w:left="2847" w:hanging="720"/>
      </w:pPr>
      <w:rPr>
        <w:rFonts w:hint="default"/>
      </w:rPr>
    </w:lvl>
    <w:lvl w:ilvl="1" w:tplc="580A0019" w:tentative="1">
      <w:start w:val="1"/>
      <w:numFmt w:val="lowerLetter"/>
      <w:lvlText w:val="%2."/>
      <w:lvlJc w:val="left"/>
      <w:pPr>
        <w:ind w:left="2490" w:hanging="360"/>
      </w:pPr>
    </w:lvl>
    <w:lvl w:ilvl="2" w:tplc="580A001B" w:tentative="1">
      <w:start w:val="1"/>
      <w:numFmt w:val="lowerRoman"/>
      <w:lvlText w:val="%3."/>
      <w:lvlJc w:val="right"/>
      <w:pPr>
        <w:ind w:left="3210" w:hanging="180"/>
      </w:pPr>
    </w:lvl>
    <w:lvl w:ilvl="3" w:tplc="580A000F" w:tentative="1">
      <w:start w:val="1"/>
      <w:numFmt w:val="decimal"/>
      <w:lvlText w:val="%4."/>
      <w:lvlJc w:val="left"/>
      <w:pPr>
        <w:ind w:left="3930" w:hanging="360"/>
      </w:pPr>
    </w:lvl>
    <w:lvl w:ilvl="4" w:tplc="580A0019" w:tentative="1">
      <w:start w:val="1"/>
      <w:numFmt w:val="lowerLetter"/>
      <w:lvlText w:val="%5."/>
      <w:lvlJc w:val="left"/>
      <w:pPr>
        <w:ind w:left="4650" w:hanging="360"/>
      </w:pPr>
    </w:lvl>
    <w:lvl w:ilvl="5" w:tplc="580A001B" w:tentative="1">
      <w:start w:val="1"/>
      <w:numFmt w:val="lowerRoman"/>
      <w:lvlText w:val="%6."/>
      <w:lvlJc w:val="right"/>
      <w:pPr>
        <w:ind w:left="5370" w:hanging="180"/>
      </w:pPr>
    </w:lvl>
    <w:lvl w:ilvl="6" w:tplc="580A000F" w:tentative="1">
      <w:start w:val="1"/>
      <w:numFmt w:val="decimal"/>
      <w:lvlText w:val="%7."/>
      <w:lvlJc w:val="left"/>
      <w:pPr>
        <w:ind w:left="6090" w:hanging="360"/>
      </w:pPr>
    </w:lvl>
    <w:lvl w:ilvl="7" w:tplc="580A0019" w:tentative="1">
      <w:start w:val="1"/>
      <w:numFmt w:val="lowerLetter"/>
      <w:lvlText w:val="%8."/>
      <w:lvlJc w:val="left"/>
      <w:pPr>
        <w:ind w:left="6810" w:hanging="360"/>
      </w:pPr>
    </w:lvl>
    <w:lvl w:ilvl="8" w:tplc="580A001B" w:tentative="1">
      <w:start w:val="1"/>
      <w:numFmt w:val="lowerRoman"/>
      <w:lvlText w:val="%9."/>
      <w:lvlJc w:val="right"/>
      <w:pPr>
        <w:ind w:left="7530" w:hanging="180"/>
      </w:pPr>
    </w:lvl>
  </w:abstractNum>
  <w:abstractNum w:abstractNumId="6"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C33139D"/>
    <w:multiLevelType w:val="multilevel"/>
    <w:tmpl w:val="676637B0"/>
    <w:lvl w:ilvl="0">
      <w:start w:val="1"/>
      <w:numFmt w:val="decimal"/>
      <w:lvlText w:val="%1."/>
      <w:lvlJc w:val="left"/>
      <w:pPr>
        <w:ind w:left="720" w:hanging="360"/>
      </w:pPr>
      <w:rPr>
        <w:rFonts w:hint="default"/>
        <w:b/>
      </w:rPr>
    </w:lvl>
    <w:lvl w:ilvl="1">
      <w:start w:val="1"/>
      <w:numFmt w:val="decimal"/>
      <w:isLgl/>
      <w:lvlText w:val="%1.%2."/>
      <w:lvlJc w:val="left"/>
      <w:pPr>
        <w:ind w:left="4260" w:hanging="720"/>
      </w:pPr>
      <w:rPr>
        <w:rFonts w:hint="default"/>
        <w:b w:val="0"/>
      </w:rPr>
    </w:lvl>
    <w:lvl w:ilvl="2">
      <w:start w:val="1"/>
      <w:numFmt w:val="decimal"/>
      <w:isLgl/>
      <w:lvlText w:val="%1.%2.%3."/>
      <w:lvlJc w:val="left"/>
      <w:pPr>
        <w:ind w:left="7440" w:hanging="720"/>
      </w:pPr>
      <w:rPr>
        <w:rFonts w:hint="default"/>
      </w:rPr>
    </w:lvl>
    <w:lvl w:ilvl="3">
      <w:start w:val="1"/>
      <w:numFmt w:val="decimal"/>
      <w:isLgl/>
      <w:lvlText w:val="%1.%2.%3.%4."/>
      <w:lvlJc w:val="left"/>
      <w:pPr>
        <w:ind w:left="10980" w:hanging="1080"/>
      </w:pPr>
      <w:rPr>
        <w:rFonts w:hint="default"/>
      </w:rPr>
    </w:lvl>
    <w:lvl w:ilvl="4">
      <w:start w:val="1"/>
      <w:numFmt w:val="decimal"/>
      <w:isLgl/>
      <w:lvlText w:val="%1.%2.%3.%4.%5."/>
      <w:lvlJc w:val="left"/>
      <w:pPr>
        <w:ind w:left="14520" w:hanging="1440"/>
      </w:pPr>
      <w:rPr>
        <w:rFonts w:hint="default"/>
      </w:rPr>
    </w:lvl>
    <w:lvl w:ilvl="5">
      <w:start w:val="1"/>
      <w:numFmt w:val="decimal"/>
      <w:isLgl/>
      <w:lvlText w:val="%1.%2.%3.%4.%5.%6."/>
      <w:lvlJc w:val="left"/>
      <w:pPr>
        <w:ind w:left="17700" w:hanging="1440"/>
      </w:pPr>
      <w:rPr>
        <w:rFonts w:hint="default"/>
      </w:rPr>
    </w:lvl>
    <w:lvl w:ilvl="6">
      <w:start w:val="1"/>
      <w:numFmt w:val="decimal"/>
      <w:isLgl/>
      <w:lvlText w:val="%1.%2.%3.%4.%5.%6.%7."/>
      <w:lvlJc w:val="left"/>
      <w:pPr>
        <w:ind w:left="21240" w:hanging="1800"/>
      </w:pPr>
      <w:rPr>
        <w:rFonts w:hint="default"/>
      </w:rPr>
    </w:lvl>
    <w:lvl w:ilvl="7">
      <w:start w:val="1"/>
      <w:numFmt w:val="decimal"/>
      <w:isLgl/>
      <w:lvlText w:val="%1.%2.%3.%4.%5.%6.%7.%8."/>
      <w:lvlJc w:val="left"/>
      <w:pPr>
        <w:ind w:left="24420" w:hanging="1800"/>
      </w:pPr>
      <w:rPr>
        <w:rFonts w:hint="default"/>
      </w:rPr>
    </w:lvl>
    <w:lvl w:ilvl="8">
      <w:start w:val="1"/>
      <w:numFmt w:val="decimal"/>
      <w:isLgl/>
      <w:lvlText w:val="%1.%2.%3.%4.%5.%6.%7.%8.%9."/>
      <w:lvlJc w:val="left"/>
      <w:pPr>
        <w:ind w:left="27960" w:hanging="2160"/>
      </w:pPr>
      <w:rPr>
        <w:rFonts w:hint="default"/>
      </w:rPr>
    </w:lvl>
  </w:abstractNum>
  <w:abstractNum w:abstractNumId="10"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52010B"/>
    <w:multiLevelType w:val="multilevel"/>
    <w:tmpl w:val="5FEAF90C"/>
    <w:lvl w:ilvl="0">
      <w:start w:val="1"/>
      <w:numFmt w:val="decimal"/>
      <w:lvlText w:val="%1."/>
      <w:lvlJc w:val="left"/>
      <w:pPr>
        <w:ind w:left="3195" w:hanging="360"/>
      </w:pPr>
      <w:rPr>
        <w:b w:val="0"/>
        <w:bCs/>
      </w:rPr>
    </w:lvl>
    <w:lvl w:ilvl="1">
      <w:start w:val="1"/>
      <w:numFmt w:val="decimal"/>
      <w:isLgl/>
      <w:lvlText w:val="%1.%2."/>
      <w:lvlJc w:val="left"/>
      <w:pPr>
        <w:ind w:left="3981" w:hanging="720"/>
      </w:pPr>
      <w:rPr>
        <w:rFonts w:ascii="Georgia" w:hAnsi="Georgia" w:hint="default"/>
        <w:b w:val="0"/>
        <w:bCs/>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7"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2"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5"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6C3F012E"/>
    <w:multiLevelType w:val="hybridMultilevel"/>
    <w:tmpl w:val="7D768572"/>
    <w:lvl w:ilvl="0" w:tplc="9870A94C">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7C31441B"/>
    <w:multiLevelType w:val="hybridMultilevel"/>
    <w:tmpl w:val="BFE0A6CA"/>
    <w:lvl w:ilvl="0" w:tplc="8ADEFFEC">
      <w:start w:val="1"/>
      <w:numFmt w:val="lowerRoman"/>
      <w:lvlText w:val="(%1)"/>
      <w:lvlJc w:val="left"/>
      <w:pPr>
        <w:ind w:left="2421" w:hanging="720"/>
      </w:pPr>
      <w:rPr>
        <w:rFonts w:hint="default"/>
      </w:rPr>
    </w:lvl>
    <w:lvl w:ilvl="1" w:tplc="580A0019" w:tentative="1">
      <w:start w:val="1"/>
      <w:numFmt w:val="lowerLetter"/>
      <w:lvlText w:val="%2."/>
      <w:lvlJc w:val="left"/>
      <w:pPr>
        <w:ind w:left="2781" w:hanging="360"/>
      </w:pPr>
    </w:lvl>
    <w:lvl w:ilvl="2" w:tplc="580A001B" w:tentative="1">
      <w:start w:val="1"/>
      <w:numFmt w:val="lowerRoman"/>
      <w:lvlText w:val="%3."/>
      <w:lvlJc w:val="right"/>
      <w:pPr>
        <w:ind w:left="3501" w:hanging="180"/>
      </w:pPr>
    </w:lvl>
    <w:lvl w:ilvl="3" w:tplc="580A000F" w:tentative="1">
      <w:start w:val="1"/>
      <w:numFmt w:val="decimal"/>
      <w:lvlText w:val="%4."/>
      <w:lvlJc w:val="left"/>
      <w:pPr>
        <w:ind w:left="4221" w:hanging="360"/>
      </w:pPr>
    </w:lvl>
    <w:lvl w:ilvl="4" w:tplc="580A0019" w:tentative="1">
      <w:start w:val="1"/>
      <w:numFmt w:val="lowerLetter"/>
      <w:lvlText w:val="%5."/>
      <w:lvlJc w:val="left"/>
      <w:pPr>
        <w:ind w:left="4941" w:hanging="360"/>
      </w:pPr>
    </w:lvl>
    <w:lvl w:ilvl="5" w:tplc="580A001B" w:tentative="1">
      <w:start w:val="1"/>
      <w:numFmt w:val="lowerRoman"/>
      <w:lvlText w:val="%6."/>
      <w:lvlJc w:val="right"/>
      <w:pPr>
        <w:ind w:left="5661" w:hanging="180"/>
      </w:pPr>
    </w:lvl>
    <w:lvl w:ilvl="6" w:tplc="580A000F" w:tentative="1">
      <w:start w:val="1"/>
      <w:numFmt w:val="decimal"/>
      <w:lvlText w:val="%7."/>
      <w:lvlJc w:val="left"/>
      <w:pPr>
        <w:ind w:left="6381" w:hanging="360"/>
      </w:pPr>
    </w:lvl>
    <w:lvl w:ilvl="7" w:tplc="580A0019" w:tentative="1">
      <w:start w:val="1"/>
      <w:numFmt w:val="lowerLetter"/>
      <w:lvlText w:val="%8."/>
      <w:lvlJc w:val="left"/>
      <w:pPr>
        <w:ind w:left="7101" w:hanging="360"/>
      </w:pPr>
    </w:lvl>
    <w:lvl w:ilvl="8" w:tplc="580A001B" w:tentative="1">
      <w:start w:val="1"/>
      <w:numFmt w:val="lowerRoman"/>
      <w:lvlText w:val="%9."/>
      <w:lvlJc w:val="right"/>
      <w:pPr>
        <w:ind w:left="7821"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24"/>
  </w:num>
  <w:num w:numId="5">
    <w:abstractNumId w:val="17"/>
  </w:num>
  <w:num w:numId="6">
    <w:abstractNumId w:val="8"/>
  </w:num>
  <w:num w:numId="7">
    <w:abstractNumId w:val="10"/>
  </w:num>
  <w:num w:numId="8">
    <w:abstractNumId w:val="20"/>
  </w:num>
  <w:num w:numId="9">
    <w:abstractNumId w:val="28"/>
  </w:num>
  <w:num w:numId="10">
    <w:abstractNumId w:val="1"/>
  </w:num>
  <w:num w:numId="11">
    <w:abstractNumId w:val="0"/>
  </w:num>
  <w:num w:numId="12">
    <w:abstractNumId w:val="23"/>
  </w:num>
  <w:num w:numId="13">
    <w:abstractNumId w:val="11"/>
  </w:num>
  <w:num w:numId="14">
    <w:abstractNumId w:val="7"/>
  </w:num>
  <w:num w:numId="15">
    <w:abstractNumId w:val="12"/>
  </w:num>
  <w:num w:numId="16">
    <w:abstractNumId w:val="14"/>
  </w:num>
  <w:num w:numId="17">
    <w:abstractNumId w:val="2"/>
  </w:num>
  <w:num w:numId="18">
    <w:abstractNumId w:val="18"/>
  </w:num>
  <w:num w:numId="19">
    <w:abstractNumId w:val="22"/>
  </w:num>
  <w:num w:numId="20">
    <w:abstractNumId w:val="3"/>
  </w:num>
  <w:num w:numId="21">
    <w:abstractNumId w:val="13"/>
  </w:num>
  <w:num w:numId="22">
    <w:abstractNumId w:val="6"/>
  </w:num>
  <w:num w:numId="23">
    <w:abstractNumId w:val="15"/>
  </w:num>
  <w:num w:numId="24">
    <w:abstractNumId w:val="25"/>
  </w:num>
  <w:num w:numId="25">
    <w:abstractNumId w:val="19"/>
  </w:num>
  <w:num w:numId="26">
    <w:abstractNumId w:val="27"/>
  </w:num>
  <w:num w:numId="27">
    <w:abstractNumId w:val="5"/>
  </w:num>
  <w:num w:numId="28">
    <w:abstractNumId w:val="29"/>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F56"/>
    <w:rsid w:val="000020BA"/>
    <w:rsid w:val="00003BCB"/>
    <w:rsid w:val="00004872"/>
    <w:rsid w:val="00005EAD"/>
    <w:rsid w:val="0001427B"/>
    <w:rsid w:val="000153AB"/>
    <w:rsid w:val="00015953"/>
    <w:rsid w:val="0002545C"/>
    <w:rsid w:val="00025774"/>
    <w:rsid w:val="00025E35"/>
    <w:rsid w:val="0002641A"/>
    <w:rsid w:val="0002737E"/>
    <w:rsid w:val="00032A8F"/>
    <w:rsid w:val="0003408B"/>
    <w:rsid w:val="00035247"/>
    <w:rsid w:val="0003572B"/>
    <w:rsid w:val="00036B62"/>
    <w:rsid w:val="000378B7"/>
    <w:rsid w:val="000418AC"/>
    <w:rsid w:val="00042375"/>
    <w:rsid w:val="00042E3D"/>
    <w:rsid w:val="00043505"/>
    <w:rsid w:val="00044006"/>
    <w:rsid w:val="00045D67"/>
    <w:rsid w:val="00045F50"/>
    <w:rsid w:val="00050F5D"/>
    <w:rsid w:val="0005108E"/>
    <w:rsid w:val="00051AFE"/>
    <w:rsid w:val="00051F03"/>
    <w:rsid w:val="00053A37"/>
    <w:rsid w:val="00055152"/>
    <w:rsid w:val="000567F6"/>
    <w:rsid w:val="00061884"/>
    <w:rsid w:val="00062945"/>
    <w:rsid w:val="000631CD"/>
    <w:rsid w:val="00064778"/>
    <w:rsid w:val="00064B08"/>
    <w:rsid w:val="00064F4D"/>
    <w:rsid w:val="00071F09"/>
    <w:rsid w:val="000736F0"/>
    <w:rsid w:val="00073954"/>
    <w:rsid w:val="00073C82"/>
    <w:rsid w:val="00074586"/>
    <w:rsid w:val="00074C3B"/>
    <w:rsid w:val="00075E4B"/>
    <w:rsid w:val="000836EA"/>
    <w:rsid w:val="000840BE"/>
    <w:rsid w:val="000843DA"/>
    <w:rsid w:val="00084CF7"/>
    <w:rsid w:val="00087B60"/>
    <w:rsid w:val="00087E99"/>
    <w:rsid w:val="000906E2"/>
    <w:rsid w:val="00093E37"/>
    <w:rsid w:val="0009755D"/>
    <w:rsid w:val="000A2E40"/>
    <w:rsid w:val="000A30C5"/>
    <w:rsid w:val="000A4AF4"/>
    <w:rsid w:val="000A7ADE"/>
    <w:rsid w:val="000A7BC9"/>
    <w:rsid w:val="000B272A"/>
    <w:rsid w:val="000B31E0"/>
    <w:rsid w:val="000B4D33"/>
    <w:rsid w:val="000B53D9"/>
    <w:rsid w:val="000B7316"/>
    <w:rsid w:val="000C30B7"/>
    <w:rsid w:val="000C4F48"/>
    <w:rsid w:val="000D3508"/>
    <w:rsid w:val="000D3BCA"/>
    <w:rsid w:val="000D3C3A"/>
    <w:rsid w:val="000D5E45"/>
    <w:rsid w:val="000D5E83"/>
    <w:rsid w:val="000D76F7"/>
    <w:rsid w:val="000E0BED"/>
    <w:rsid w:val="000E12F9"/>
    <w:rsid w:val="000E3927"/>
    <w:rsid w:val="000E748D"/>
    <w:rsid w:val="000F0366"/>
    <w:rsid w:val="000F0AF3"/>
    <w:rsid w:val="000F0D2A"/>
    <w:rsid w:val="000F3212"/>
    <w:rsid w:val="000F66EC"/>
    <w:rsid w:val="00100A3E"/>
    <w:rsid w:val="001019AB"/>
    <w:rsid w:val="00102298"/>
    <w:rsid w:val="001024A0"/>
    <w:rsid w:val="001025CD"/>
    <w:rsid w:val="00105BCA"/>
    <w:rsid w:val="0010684B"/>
    <w:rsid w:val="00107A96"/>
    <w:rsid w:val="001128D8"/>
    <w:rsid w:val="00112B86"/>
    <w:rsid w:val="00115A5F"/>
    <w:rsid w:val="00124711"/>
    <w:rsid w:val="00124A18"/>
    <w:rsid w:val="00125A59"/>
    <w:rsid w:val="00126533"/>
    <w:rsid w:val="001312E5"/>
    <w:rsid w:val="0013360A"/>
    <w:rsid w:val="00134819"/>
    <w:rsid w:val="00135841"/>
    <w:rsid w:val="0013635D"/>
    <w:rsid w:val="00137406"/>
    <w:rsid w:val="00137524"/>
    <w:rsid w:val="00137CF1"/>
    <w:rsid w:val="00141CB9"/>
    <w:rsid w:val="00142898"/>
    <w:rsid w:val="00142B53"/>
    <w:rsid w:val="00144488"/>
    <w:rsid w:val="001445AB"/>
    <w:rsid w:val="00144D55"/>
    <w:rsid w:val="00147B2C"/>
    <w:rsid w:val="00155FDD"/>
    <w:rsid w:val="001601CF"/>
    <w:rsid w:val="00160DF8"/>
    <w:rsid w:val="00162142"/>
    <w:rsid w:val="00162D62"/>
    <w:rsid w:val="00164000"/>
    <w:rsid w:val="00165BBE"/>
    <w:rsid w:val="0016691A"/>
    <w:rsid w:val="00167A72"/>
    <w:rsid w:val="00171601"/>
    <w:rsid w:val="001717FC"/>
    <w:rsid w:val="00172FCA"/>
    <w:rsid w:val="0017307B"/>
    <w:rsid w:val="00175067"/>
    <w:rsid w:val="00175167"/>
    <w:rsid w:val="00177E59"/>
    <w:rsid w:val="00177F37"/>
    <w:rsid w:val="00177FED"/>
    <w:rsid w:val="00180356"/>
    <w:rsid w:val="00180E67"/>
    <w:rsid w:val="00181112"/>
    <w:rsid w:val="001815E1"/>
    <w:rsid w:val="00184B76"/>
    <w:rsid w:val="00185375"/>
    <w:rsid w:val="00186475"/>
    <w:rsid w:val="001864DC"/>
    <w:rsid w:val="001871C9"/>
    <w:rsid w:val="001875F5"/>
    <w:rsid w:val="00193EAA"/>
    <w:rsid w:val="00194D1D"/>
    <w:rsid w:val="00195549"/>
    <w:rsid w:val="00196F44"/>
    <w:rsid w:val="001A2442"/>
    <w:rsid w:val="001A4A3E"/>
    <w:rsid w:val="001A5845"/>
    <w:rsid w:val="001A6953"/>
    <w:rsid w:val="001B2A65"/>
    <w:rsid w:val="001B39FE"/>
    <w:rsid w:val="001B5FD6"/>
    <w:rsid w:val="001C2919"/>
    <w:rsid w:val="001C4934"/>
    <w:rsid w:val="001C4D0E"/>
    <w:rsid w:val="001C509E"/>
    <w:rsid w:val="001C50E8"/>
    <w:rsid w:val="001C66F0"/>
    <w:rsid w:val="001C7387"/>
    <w:rsid w:val="001D23C4"/>
    <w:rsid w:val="001D6D4A"/>
    <w:rsid w:val="001D7FA9"/>
    <w:rsid w:val="001E207A"/>
    <w:rsid w:val="001E5522"/>
    <w:rsid w:val="001E6187"/>
    <w:rsid w:val="001F27A2"/>
    <w:rsid w:val="001F55F0"/>
    <w:rsid w:val="001F6B81"/>
    <w:rsid w:val="001F70F5"/>
    <w:rsid w:val="0020043B"/>
    <w:rsid w:val="00201281"/>
    <w:rsid w:val="002021B2"/>
    <w:rsid w:val="00205EBD"/>
    <w:rsid w:val="002101C1"/>
    <w:rsid w:val="00210A79"/>
    <w:rsid w:val="00210B91"/>
    <w:rsid w:val="00211CD3"/>
    <w:rsid w:val="002134FA"/>
    <w:rsid w:val="0021380C"/>
    <w:rsid w:val="002156B4"/>
    <w:rsid w:val="00215F50"/>
    <w:rsid w:val="00216C35"/>
    <w:rsid w:val="0022195B"/>
    <w:rsid w:val="00222289"/>
    <w:rsid w:val="00222BE6"/>
    <w:rsid w:val="002259B7"/>
    <w:rsid w:val="002271F1"/>
    <w:rsid w:val="0023005A"/>
    <w:rsid w:val="002327D0"/>
    <w:rsid w:val="002408B9"/>
    <w:rsid w:val="00242641"/>
    <w:rsid w:val="00244CA3"/>
    <w:rsid w:val="00244E2F"/>
    <w:rsid w:val="00244F5F"/>
    <w:rsid w:val="00245736"/>
    <w:rsid w:val="00250415"/>
    <w:rsid w:val="00250ED2"/>
    <w:rsid w:val="00252C51"/>
    <w:rsid w:val="00255B41"/>
    <w:rsid w:val="00256C88"/>
    <w:rsid w:val="00261AFA"/>
    <w:rsid w:val="00264C85"/>
    <w:rsid w:val="00265EC9"/>
    <w:rsid w:val="00266E56"/>
    <w:rsid w:val="00271F6F"/>
    <w:rsid w:val="00272D9B"/>
    <w:rsid w:val="00276625"/>
    <w:rsid w:val="00280F03"/>
    <w:rsid w:val="00281CEE"/>
    <w:rsid w:val="00283FDD"/>
    <w:rsid w:val="002869FF"/>
    <w:rsid w:val="00290A05"/>
    <w:rsid w:val="00291791"/>
    <w:rsid w:val="00293A41"/>
    <w:rsid w:val="002944D8"/>
    <w:rsid w:val="00294763"/>
    <w:rsid w:val="00294B3A"/>
    <w:rsid w:val="00295FCB"/>
    <w:rsid w:val="002966E1"/>
    <w:rsid w:val="00296805"/>
    <w:rsid w:val="0029683A"/>
    <w:rsid w:val="002A0193"/>
    <w:rsid w:val="002A35C1"/>
    <w:rsid w:val="002A537C"/>
    <w:rsid w:val="002A6EEC"/>
    <w:rsid w:val="002B2813"/>
    <w:rsid w:val="002B3DC8"/>
    <w:rsid w:val="002B5A39"/>
    <w:rsid w:val="002B5ADE"/>
    <w:rsid w:val="002B5B44"/>
    <w:rsid w:val="002B7989"/>
    <w:rsid w:val="002B79FF"/>
    <w:rsid w:val="002C08B5"/>
    <w:rsid w:val="002C3E13"/>
    <w:rsid w:val="002C4FE6"/>
    <w:rsid w:val="002C6D2A"/>
    <w:rsid w:val="002D1069"/>
    <w:rsid w:val="002D4618"/>
    <w:rsid w:val="002D5C30"/>
    <w:rsid w:val="002D6944"/>
    <w:rsid w:val="002D6BD3"/>
    <w:rsid w:val="002E2B19"/>
    <w:rsid w:val="002E4D4F"/>
    <w:rsid w:val="002E7666"/>
    <w:rsid w:val="002F1D47"/>
    <w:rsid w:val="002F38EF"/>
    <w:rsid w:val="002F647F"/>
    <w:rsid w:val="002F7734"/>
    <w:rsid w:val="003012E5"/>
    <w:rsid w:val="00301B78"/>
    <w:rsid w:val="00303E02"/>
    <w:rsid w:val="00307520"/>
    <w:rsid w:val="00311032"/>
    <w:rsid w:val="00311A0E"/>
    <w:rsid w:val="00315197"/>
    <w:rsid w:val="0031575F"/>
    <w:rsid w:val="00315AA1"/>
    <w:rsid w:val="00316831"/>
    <w:rsid w:val="003206AE"/>
    <w:rsid w:val="0032153B"/>
    <w:rsid w:val="00321A4C"/>
    <w:rsid w:val="00321F4F"/>
    <w:rsid w:val="00324FD1"/>
    <w:rsid w:val="0032792B"/>
    <w:rsid w:val="0033013E"/>
    <w:rsid w:val="00333D2A"/>
    <w:rsid w:val="003354E8"/>
    <w:rsid w:val="00335F30"/>
    <w:rsid w:val="003364B7"/>
    <w:rsid w:val="00336AA2"/>
    <w:rsid w:val="00336D26"/>
    <w:rsid w:val="00337E64"/>
    <w:rsid w:val="00340A93"/>
    <w:rsid w:val="00341209"/>
    <w:rsid w:val="003416ED"/>
    <w:rsid w:val="00342343"/>
    <w:rsid w:val="00345E0B"/>
    <w:rsid w:val="0035037A"/>
    <w:rsid w:val="0035082B"/>
    <w:rsid w:val="00353A39"/>
    <w:rsid w:val="0035487E"/>
    <w:rsid w:val="0035736C"/>
    <w:rsid w:val="003621F9"/>
    <w:rsid w:val="003631B0"/>
    <w:rsid w:val="00364732"/>
    <w:rsid w:val="00366316"/>
    <w:rsid w:val="00367C81"/>
    <w:rsid w:val="0037267B"/>
    <w:rsid w:val="003750A4"/>
    <w:rsid w:val="00375A5C"/>
    <w:rsid w:val="00377480"/>
    <w:rsid w:val="00380199"/>
    <w:rsid w:val="003827BD"/>
    <w:rsid w:val="003832E4"/>
    <w:rsid w:val="00383803"/>
    <w:rsid w:val="0038415A"/>
    <w:rsid w:val="003872B8"/>
    <w:rsid w:val="00396331"/>
    <w:rsid w:val="003A1C89"/>
    <w:rsid w:val="003A2713"/>
    <w:rsid w:val="003A39DD"/>
    <w:rsid w:val="003A45B9"/>
    <w:rsid w:val="003B1F8E"/>
    <w:rsid w:val="003B4671"/>
    <w:rsid w:val="003C7A65"/>
    <w:rsid w:val="003D11A2"/>
    <w:rsid w:val="003D2143"/>
    <w:rsid w:val="003D2AD5"/>
    <w:rsid w:val="003D2C6B"/>
    <w:rsid w:val="003D34E5"/>
    <w:rsid w:val="003D7573"/>
    <w:rsid w:val="003D7872"/>
    <w:rsid w:val="003E1468"/>
    <w:rsid w:val="003E2576"/>
    <w:rsid w:val="003E2D4E"/>
    <w:rsid w:val="003E3F0B"/>
    <w:rsid w:val="003F243D"/>
    <w:rsid w:val="003F5522"/>
    <w:rsid w:val="003F5ED1"/>
    <w:rsid w:val="003F6506"/>
    <w:rsid w:val="00402DFC"/>
    <w:rsid w:val="00406ED2"/>
    <w:rsid w:val="00407F81"/>
    <w:rsid w:val="004113A3"/>
    <w:rsid w:val="00413381"/>
    <w:rsid w:val="00420E48"/>
    <w:rsid w:val="00422ED4"/>
    <w:rsid w:val="0042301A"/>
    <w:rsid w:val="004265A8"/>
    <w:rsid w:val="00431647"/>
    <w:rsid w:val="004323C3"/>
    <w:rsid w:val="00434FB2"/>
    <w:rsid w:val="0043513D"/>
    <w:rsid w:val="00435CF6"/>
    <w:rsid w:val="00442DDC"/>
    <w:rsid w:val="00444216"/>
    <w:rsid w:val="004450C9"/>
    <w:rsid w:val="0044510D"/>
    <w:rsid w:val="00445E30"/>
    <w:rsid w:val="0044665C"/>
    <w:rsid w:val="004514B3"/>
    <w:rsid w:val="00451CEB"/>
    <w:rsid w:val="00451CF9"/>
    <w:rsid w:val="00452F9B"/>
    <w:rsid w:val="0045490A"/>
    <w:rsid w:val="0045757A"/>
    <w:rsid w:val="00462195"/>
    <w:rsid w:val="00464D73"/>
    <w:rsid w:val="00466D53"/>
    <w:rsid w:val="00466DB6"/>
    <w:rsid w:val="00466E72"/>
    <w:rsid w:val="004714A0"/>
    <w:rsid w:val="00472A38"/>
    <w:rsid w:val="00475837"/>
    <w:rsid w:val="00475B81"/>
    <w:rsid w:val="0048333C"/>
    <w:rsid w:val="00483EA1"/>
    <w:rsid w:val="00486F0F"/>
    <w:rsid w:val="0048729D"/>
    <w:rsid w:val="004920A9"/>
    <w:rsid w:val="0049311F"/>
    <w:rsid w:val="00493A8F"/>
    <w:rsid w:val="004950B8"/>
    <w:rsid w:val="0049514D"/>
    <w:rsid w:val="00496B6E"/>
    <w:rsid w:val="00496D00"/>
    <w:rsid w:val="004972A1"/>
    <w:rsid w:val="004A1FD1"/>
    <w:rsid w:val="004A34BA"/>
    <w:rsid w:val="004A50B5"/>
    <w:rsid w:val="004A58C9"/>
    <w:rsid w:val="004A6009"/>
    <w:rsid w:val="004A680D"/>
    <w:rsid w:val="004B1971"/>
    <w:rsid w:val="004B29C7"/>
    <w:rsid w:val="004B32CA"/>
    <w:rsid w:val="004B5226"/>
    <w:rsid w:val="004B5FB6"/>
    <w:rsid w:val="004B79A5"/>
    <w:rsid w:val="004C0D55"/>
    <w:rsid w:val="004C215D"/>
    <w:rsid w:val="004C3466"/>
    <w:rsid w:val="004C350B"/>
    <w:rsid w:val="004C3DFC"/>
    <w:rsid w:val="004C549E"/>
    <w:rsid w:val="004C60A7"/>
    <w:rsid w:val="004C7DE7"/>
    <w:rsid w:val="004D0F51"/>
    <w:rsid w:val="004D1DAA"/>
    <w:rsid w:val="004D22B3"/>
    <w:rsid w:val="004D4F17"/>
    <w:rsid w:val="004D69B0"/>
    <w:rsid w:val="004D7AB9"/>
    <w:rsid w:val="004E080A"/>
    <w:rsid w:val="004E0F1D"/>
    <w:rsid w:val="004E2793"/>
    <w:rsid w:val="004E39B6"/>
    <w:rsid w:val="004E46D9"/>
    <w:rsid w:val="004E4ED4"/>
    <w:rsid w:val="004E5D49"/>
    <w:rsid w:val="004E5E25"/>
    <w:rsid w:val="004F12B5"/>
    <w:rsid w:val="004F1798"/>
    <w:rsid w:val="004F33E2"/>
    <w:rsid w:val="004F3E91"/>
    <w:rsid w:val="004F51DA"/>
    <w:rsid w:val="004F6EF0"/>
    <w:rsid w:val="005006C4"/>
    <w:rsid w:val="00501AD7"/>
    <w:rsid w:val="00503CD1"/>
    <w:rsid w:val="00504523"/>
    <w:rsid w:val="005065CA"/>
    <w:rsid w:val="00506F18"/>
    <w:rsid w:val="00512C13"/>
    <w:rsid w:val="0051335F"/>
    <w:rsid w:val="0051369F"/>
    <w:rsid w:val="005162CA"/>
    <w:rsid w:val="0051670C"/>
    <w:rsid w:val="005204EC"/>
    <w:rsid w:val="0052116A"/>
    <w:rsid w:val="005233D2"/>
    <w:rsid w:val="00523EC1"/>
    <w:rsid w:val="00524820"/>
    <w:rsid w:val="00524C9D"/>
    <w:rsid w:val="005252C7"/>
    <w:rsid w:val="00526565"/>
    <w:rsid w:val="00527124"/>
    <w:rsid w:val="00527FF1"/>
    <w:rsid w:val="005328A6"/>
    <w:rsid w:val="00535FE2"/>
    <w:rsid w:val="00536092"/>
    <w:rsid w:val="00537065"/>
    <w:rsid w:val="00537468"/>
    <w:rsid w:val="005374C8"/>
    <w:rsid w:val="00540229"/>
    <w:rsid w:val="00542A08"/>
    <w:rsid w:val="0054419A"/>
    <w:rsid w:val="00546B5B"/>
    <w:rsid w:val="00547FB9"/>
    <w:rsid w:val="0055165F"/>
    <w:rsid w:val="00553866"/>
    <w:rsid w:val="00553E04"/>
    <w:rsid w:val="005556E9"/>
    <w:rsid w:val="00561241"/>
    <w:rsid w:val="00567279"/>
    <w:rsid w:val="0056729D"/>
    <w:rsid w:val="005675BA"/>
    <w:rsid w:val="005709BC"/>
    <w:rsid w:val="00571D5A"/>
    <w:rsid w:val="005738C7"/>
    <w:rsid w:val="00574228"/>
    <w:rsid w:val="00577E8E"/>
    <w:rsid w:val="0058487F"/>
    <w:rsid w:val="00584E4E"/>
    <w:rsid w:val="005854A5"/>
    <w:rsid w:val="00590EE9"/>
    <w:rsid w:val="00590F21"/>
    <w:rsid w:val="005922AB"/>
    <w:rsid w:val="005923F5"/>
    <w:rsid w:val="00594C7F"/>
    <w:rsid w:val="005A1B2D"/>
    <w:rsid w:val="005A221F"/>
    <w:rsid w:val="005A227B"/>
    <w:rsid w:val="005A3058"/>
    <w:rsid w:val="005A4D8D"/>
    <w:rsid w:val="005A4EEF"/>
    <w:rsid w:val="005A5F0B"/>
    <w:rsid w:val="005B11A8"/>
    <w:rsid w:val="005B3A7F"/>
    <w:rsid w:val="005B4013"/>
    <w:rsid w:val="005B42CB"/>
    <w:rsid w:val="005B637B"/>
    <w:rsid w:val="005C0C2C"/>
    <w:rsid w:val="005C4A8C"/>
    <w:rsid w:val="005D2217"/>
    <w:rsid w:val="005D2558"/>
    <w:rsid w:val="005D3256"/>
    <w:rsid w:val="005D40D3"/>
    <w:rsid w:val="005E0742"/>
    <w:rsid w:val="005E1524"/>
    <w:rsid w:val="005E3273"/>
    <w:rsid w:val="005E5BD6"/>
    <w:rsid w:val="005F0134"/>
    <w:rsid w:val="005F156A"/>
    <w:rsid w:val="005F35D1"/>
    <w:rsid w:val="005F51A9"/>
    <w:rsid w:val="005F54D0"/>
    <w:rsid w:val="005F5914"/>
    <w:rsid w:val="005F5C4D"/>
    <w:rsid w:val="005F7055"/>
    <w:rsid w:val="005F7CED"/>
    <w:rsid w:val="006007FF"/>
    <w:rsid w:val="0060093B"/>
    <w:rsid w:val="00601A2D"/>
    <w:rsid w:val="00602A09"/>
    <w:rsid w:val="00603C8D"/>
    <w:rsid w:val="00603D58"/>
    <w:rsid w:val="00607638"/>
    <w:rsid w:val="00607D46"/>
    <w:rsid w:val="00607E21"/>
    <w:rsid w:val="00611058"/>
    <w:rsid w:val="00612494"/>
    <w:rsid w:val="00612C13"/>
    <w:rsid w:val="00612D39"/>
    <w:rsid w:val="00612E0C"/>
    <w:rsid w:val="00614450"/>
    <w:rsid w:val="00617CF1"/>
    <w:rsid w:val="00620FC2"/>
    <w:rsid w:val="00621806"/>
    <w:rsid w:val="00622160"/>
    <w:rsid w:val="00624497"/>
    <w:rsid w:val="00632D5D"/>
    <w:rsid w:val="00634B7E"/>
    <w:rsid w:val="006354BD"/>
    <w:rsid w:val="00637914"/>
    <w:rsid w:val="00637BD7"/>
    <w:rsid w:val="00637CDB"/>
    <w:rsid w:val="00641DE0"/>
    <w:rsid w:val="00642D15"/>
    <w:rsid w:val="006436AF"/>
    <w:rsid w:val="00644DAB"/>
    <w:rsid w:val="00646A9E"/>
    <w:rsid w:val="0064752F"/>
    <w:rsid w:val="00651688"/>
    <w:rsid w:val="006517AE"/>
    <w:rsid w:val="00653846"/>
    <w:rsid w:val="006555F5"/>
    <w:rsid w:val="006559C0"/>
    <w:rsid w:val="006576E4"/>
    <w:rsid w:val="00657BFA"/>
    <w:rsid w:val="00662FAB"/>
    <w:rsid w:val="00663647"/>
    <w:rsid w:val="006644A9"/>
    <w:rsid w:val="00665BCF"/>
    <w:rsid w:val="00665F54"/>
    <w:rsid w:val="0067474C"/>
    <w:rsid w:val="00674EEF"/>
    <w:rsid w:val="00674FBD"/>
    <w:rsid w:val="006757BD"/>
    <w:rsid w:val="00675F59"/>
    <w:rsid w:val="006766CA"/>
    <w:rsid w:val="00677B6C"/>
    <w:rsid w:val="006808A3"/>
    <w:rsid w:val="00682805"/>
    <w:rsid w:val="00683E7C"/>
    <w:rsid w:val="006912F1"/>
    <w:rsid w:val="00692056"/>
    <w:rsid w:val="00692BB5"/>
    <w:rsid w:val="0069656D"/>
    <w:rsid w:val="00696AD5"/>
    <w:rsid w:val="006975E9"/>
    <w:rsid w:val="006A001E"/>
    <w:rsid w:val="006A0366"/>
    <w:rsid w:val="006A217C"/>
    <w:rsid w:val="006A3C15"/>
    <w:rsid w:val="006A6D3B"/>
    <w:rsid w:val="006A7A89"/>
    <w:rsid w:val="006A7CB4"/>
    <w:rsid w:val="006B24D9"/>
    <w:rsid w:val="006B332F"/>
    <w:rsid w:val="006B36AB"/>
    <w:rsid w:val="006B6F45"/>
    <w:rsid w:val="006C045D"/>
    <w:rsid w:val="006C09D6"/>
    <w:rsid w:val="006C09F1"/>
    <w:rsid w:val="006C2C0F"/>
    <w:rsid w:val="006C4FE2"/>
    <w:rsid w:val="006C51F9"/>
    <w:rsid w:val="006C5D9D"/>
    <w:rsid w:val="006C631F"/>
    <w:rsid w:val="006C6943"/>
    <w:rsid w:val="006C722B"/>
    <w:rsid w:val="006D1CE7"/>
    <w:rsid w:val="006D36C7"/>
    <w:rsid w:val="006D3CE7"/>
    <w:rsid w:val="006D47AC"/>
    <w:rsid w:val="006D7828"/>
    <w:rsid w:val="006D7A7C"/>
    <w:rsid w:val="006E1128"/>
    <w:rsid w:val="006E12C1"/>
    <w:rsid w:val="006E203F"/>
    <w:rsid w:val="006E45F4"/>
    <w:rsid w:val="006E506D"/>
    <w:rsid w:val="006E7626"/>
    <w:rsid w:val="006F0745"/>
    <w:rsid w:val="006F4264"/>
    <w:rsid w:val="006F47BC"/>
    <w:rsid w:val="006F49C5"/>
    <w:rsid w:val="00702F24"/>
    <w:rsid w:val="00702F37"/>
    <w:rsid w:val="007058FB"/>
    <w:rsid w:val="00712050"/>
    <w:rsid w:val="0071355C"/>
    <w:rsid w:val="00715C58"/>
    <w:rsid w:val="00715C6E"/>
    <w:rsid w:val="00715FE7"/>
    <w:rsid w:val="00720E73"/>
    <w:rsid w:val="00722822"/>
    <w:rsid w:val="00724518"/>
    <w:rsid w:val="00725994"/>
    <w:rsid w:val="00725C31"/>
    <w:rsid w:val="007260A1"/>
    <w:rsid w:val="0073016D"/>
    <w:rsid w:val="007312AA"/>
    <w:rsid w:val="00732DA4"/>
    <w:rsid w:val="00736210"/>
    <w:rsid w:val="00736DC9"/>
    <w:rsid w:val="00740499"/>
    <w:rsid w:val="0074162E"/>
    <w:rsid w:val="007416F0"/>
    <w:rsid w:val="00742186"/>
    <w:rsid w:val="0074501B"/>
    <w:rsid w:val="00751C28"/>
    <w:rsid w:val="00753A85"/>
    <w:rsid w:val="00755ED3"/>
    <w:rsid w:val="0076093D"/>
    <w:rsid w:val="00760E97"/>
    <w:rsid w:val="007626EC"/>
    <w:rsid w:val="007701CE"/>
    <w:rsid w:val="00771142"/>
    <w:rsid w:val="007722C9"/>
    <w:rsid w:val="00774E8F"/>
    <w:rsid w:val="00774EC9"/>
    <w:rsid w:val="00777C37"/>
    <w:rsid w:val="00780119"/>
    <w:rsid w:val="007815C0"/>
    <w:rsid w:val="00784CA0"/>
    <w:rsid w:val="007908DF"/>
    <w:rsid w:val="00793C16"/>
    <w:rsid w:val="0079618C"/>
    <w:rsid w:val="007963FD"/>
    <w:rsid w:val="007A1E90"/>
    <w:rsid w:val="007A2416"/>
    <w:rsid w:val="007A2933"/>
    <w:rsid w:val="007A3694"/>
    <w:rsid w:val="007A555B"/>
    <w:rsid w:val="007C2455"/>
    <w:rsid w:val="007C2747"/>
    <w:rsid w:val="007C3EEF"/>
    <w:rsid w:val="007D28A4"/>
    <w:rsid w:val="007D2CFC"/>
    <w:rsid w:val="007D37AF"/>
    <w:rsid w:val="007D4D02"/>
    <w:rsid w:val="007D56F4"/>
    <w:rsid w:val="007D6A38"/>
    <w:rsid w:val="007D6B6B"/>
    <w:rsid w:val="007E079B"/>
    <w:rsid w:val="007E16DE"/>
    <w:rsid w:val="007E528B"/>
    <w:rsid w:val="007E5E17"/>
    <w:rsid w:val="007E639A"/>
    <w:rsid w:val="007E6899"/>
    <w:rsid w:val="007F1A4F"/>
    <w:rsid w:val="007F2A85"/>
    <w:rsid w:val="007F6B68"/>
    <w:rsid w:val="007F6CEC"/>
    <w:rsid w:val="008000A0"/>
    <w:rsid w:val="00803531"/>
    <w:rsid w:val="008060A7"/>
    <w:rsid w:val="0080664F"/>
    <w:rsid w:val="00806984"/>
    <w:rsid w:val="0081057B"/>
    <w:rsid w:val="008110E1"/>
    <w:rsid w:val="00811894"/>
    <w:rsid w:val="00813133"/>
    <w:rsid w:val="00816D53"/>
    <w:rsid w:val="00817E32"/>
    <w:rsid w:val="00825A8D"/>
    <w:rsid w:val="00827AF0"/>
    <w:rsid w:val="008305FB"/>
    <w:rsid w:val="00830F3E"/>
    <w:rsid w:val="00831E1D"/>
    <w:rsid w:val="008357C3"/>
    <w:rsid w:val="00835F97"/>
    <w:rsid w:val="0084023C"/>
    <w:rsid w:val="008407A2"/>
    <w:rsid w:val="00841655"/>
    <w:rsid w:val="00841980"/>
    <w:rsid w:val="00847C09"/>
    <w:rsid w:val="00851553"/>
    <w:rsid w:val="00852174"/>
    <w:rsid w:val="008544A8"/>
    <w:rsid w:val="00854EDB"/>
    <w:rsid w:val="00855450"/>
    <w:rsid w:val="00855B8C"/>
    <w:rsid w:val="00855EC6"/>
    <w:rsid w:val="00857DB5"/>
    <w:rsid w:val="00861080"/>
    <w:rsid w:val="008613F0"/>
    <w:rsid w:val="00862000"/>
    <w:rsid w:val="008620A5"/>
    <w:rsid w:val="0086330F"/>
    <w:rsid w:val="008634A7"/>
    <w:rsid w:val="00865721"/>
    <w:rsid w:val="008663AA"/>
    <w:rsid w:val="00866646"/>
    <w:rsid w:val="00870725"/>
    <w:rsid w:val="0087785B"/>
    <w:rsid w:val="00880358"/>
    <w:rsid w:val="00881CFD"/>
    <w:rsid w:val="00885DF9"/>
    <w:rsid w:val="00886BFC"/>
    <w:rsid w:val="00887828"/>
    <w:rsid w:val="00892C52"/>
    <w:rsid w:val="008A08EC"/>
    <w:rsid w:val="008A2885"/>
    <w:rsid w:val="008A5449"/>
    <w:rsid w:val="008A5D28"/>
    <w:rsid w:val="008A6DC5"/>
    <w:rsid w:val="008A7184"/>
    <w:rsid w:val="008B012B"/>
    <w:rsid w:val="008B5F23"/>
    <w:rsid w:val="008C04A2"/>
    <w:rsid w:val="008C29FB"/>
    <w:rsid w:val="008C432A"/>
    <w:rsid w:val="008C4835"/>
    <w:rsid w:val="008C5C23"/>
    <w:rsid w:val="008C5D5E"/>
    <w:rsid w:val="008C5F5F"/>
    <w:rsid w:val="008D0834"/>
    <w:rsid w:val="008D168E"/>
    <w:rsid w:val="008D2012"/>
    <w:rsid w:val="008D4977"/>
    <w:rsid w:val="008D6199"/>
    <w:rsid w:val="008E16E1"/>
    <w:rsid w:val="008E1DA1"/>
    <w:rsid w:val="008E31D4"/>
    <w:rsid w:val="008E4FB2"/>
    <w:rsid w:val="008E74F0"/>
    <w:rsid w:val="008F1E20"/>
    <w:rsid w:val="008F204B"/>
    <w:rsid w:val="008F460C"/>
    <w:rsid w:val="008F6A9E"/>
    <w:rsid w:val="008F73A1"/>
    <w:rsid w:val="00900545"/>
    <w:rsid w:val="00900872"/>
    <w:rsid w:val="00900C7E"/>
    <w:rsid w:val="00901EE9"/>
    <w:rsid w:val="00902AC5"/>
    <w:rsid w:val="00902D8D"/>
    <w:rsid w:val="00903362"/>
    <w:rsid w:val="00903DE1"/>
    <w:rsid w:val="00905AA4"/>
    <w:rsid w:val="00907438"/>
    <w:rsid w:val="00907F49"/>
    <w:rsid w:val="0091015B"/>
    <w:rsid w:val="00911A82"/>
    <w:rsid w:val="00912230"/>
    <w:rsid w:val="00912BCE"/>
    <w:rsid w:val="00912D73"/>
    <w:rsid w:val="009146B2"/>
    <w:rsid w:val="00916A28"/>
    <w:rsid w:val="00917870"/>
    <w:rsid w:val="009216D5"/>
    <w:rsid w:val="00931285"/>
    <w:rsid w:val="00931343"/>
    <w:rsid w:val="00933F31"/>
    <w:rsid w:val="00935EA7"/>
    <w:rsid w:val="00936E63"/>
    <w:rsid w:val="00940655"/>
    <w:rsid w:val="00940EB9"/>
    <w:rsid w:val="0094185B"/>
    <w:rsid w:val="00942A1E"/>
    <w:rsid w:val="00942CF0"/>
    <w:rsid w:val="0094391C"/>
    <w:rsid w:val="009462F2"/>
    <w:rsid w:val="00951656"/>
    <w:rsid w:val="00955409"/>
    <w:rsid w:val="009564FF"/>
    <w:rsid w:val="00957CF5"/>
    <w:rsid w:val="0096123B"/>
    <w:rsid w:val="009624F5"/>
    <w:rsid w:val="009665D7"/>
    <w:rsid w:val="00966B2D"/>
    <w:rsid w:val="00967C97"/>
    <w:rsid w:val="009740F7"/>
    <w:rsid w:val="00974526"/>
    <w:rsid w:val="009752C1"/>
    <w:rsid w:val="009804E1"/>
    <w:rsid w:val="0098093D"/>
    <w:rsid w:val="009814BF"/>
    <w:rsid w:val="009818C0"/>
    <w:rsid w:val="009818D4"/>
    <w:rsid w:val="00983E2F"/>
    <w:rsid w:val="0098416E"/>
    <w:rsid w:val="00985713"/>
    <w:rsid w:val="00985E8A"/>
    <w:rsid w:val="009860FD"/>
    <w:rsid w:val="00986C0E"/>
    <w:rsid w:val="00987D54"/>
    <w:rsid w:val="009934F3"/>
    <w:rsid w:val="009939BB"/>
    <w:rsid w:val="00993DFC"/>
    <w:rsid w:val="00994345"/>
    <w:rsid w:val="00994950"/>
    <w:rsid w:val="00995DA4"/>
    <w:rsid w:val="00997738"/>
    <w:rsid w:val="009A1C36"/>
    <w:rsid w:val="009A1DB4"/>
    <w:rsid w:val="009A2197"/>
    <w:rsid w:val="009A2C45"/>
    <w:rsid w:val="009A4B67"/>
    <w:rsid w:val="009A567D"/>
    <w:rsid w:val="009B2746"/>
    <w:rsid w:val="009B33B0"/>
    <w:rsid w:val="009B4DB1"/>
    <w:rsid w:val="009B5888"/>
    <w:rsid w:val="009C1C5D"/>
    <w:rsid w:val="009C1F1C"/>
    <w:rsid w:val="009C388F"/>
    <w:rsid w:val="009C4BB7"/>
    <w:rsid w:val="009C5128"/>
    <w:rsid w:val="009C61E4"/>
    <w:rsid w:val="009C703A"/>
    <w:rsid w:val="009C7A87"/>
    <w:rsid w:val="009D0AC4"/>
    <w:rsid w:val="009D2509"/>
    <w:rsid w:val="009D59EB"/>
    <w:rsid w:val="009D61B2"/>
    <w:rsid w:val="009D62E0"/>
    <w:rsid w:val="009D69EB"/>
    <w:rsid w:val="009D759D"/>
    <w:rsid w:val="009E126D"/>
    <w:rsid w:val="009E3D75"/>
    <w:rsid w:val="009E58C7"/>
    <w:rsid w:val="009E6D38"/>
    <w:rsid w:val="009E7914"/>
    <w:rsid w:val="009F004F"/>
    <w:rsid w:val="009F0B32"/>
    <w:rsid w:val="009F5583"/>
    <w:rsid w:val="009F5A83"/>
    <w:rsid w:val="009F5D4E"/>
    <w:rsid w:val="00A03C04"/>
    <w:rsid w:val="00A03DEF"/>
    <w:rsid w:val="00A103CE"/>
    <w:rsid w:val="00A10E29"/>
    <w:rsid w:val="00A15F89"/>
    <w:rsid w:val="00A21DD2"/>
    <w:rsid w:val="00A2460C"/>
    <w:rsid w:val="00A25F6F"/>
    <w:rsid w:val="00A26113"/>
    <w:rsid w:val="00A272C5"/>
    <w:rsid w:val="00A27564"/>
    <w:rsid w:val="00A310BA"/>
    <w:rsid w:val="00A34768"/>
    <w:rsid w:val="00A35233"/>
    <w:rsid w:val="00A35372"/>
    <w:rsid w:val="00A37AE3"/>
    <w:rsid w:val="00A401FB"/>
    <w:rsid w:val="00A42DB0"/>
    <w:rsid w:val="00A451EF"/>
    <w:rsid w:val="00A478D0"/>
    <w:rsid w:val="00A517CD"/>
    <w:rsid w:val="00A5315B"/>
    <w:rsid w:val="00A540C0"/>
    <w:rsid w:val="00A55685"/>
    <w:rsid w:val="00A571A7"/>
    <w:rsid w:val="00A57D5C"/>
    <w:rsid w:val="00A61128"/>
    <w:rsid w:val="00A615DC"/>
    <w:rsid w:val="00A62F96"/>
    <w:rsid w:val="00A63219"/>
    <w:rsid w:val="00A63362"/>
    <w:rsid w:val="00A63755"/>
    <w:rsid w:val="00A665B7"/>
    <w:rsid w:val="00A67D13"/>
    <w:rsid w:val="00A70CE9"/>
    <w:rsid w:val="00A72281"/>
    <w:rsid w:val="00A73612"/>
    <w:rsid w:val="00A741F1"/>
    <w:rsid w:val="00A77290"/>
    <w:rsid w:val="00A778E1"/>
    <w:rsid w:val="00A82730"/>
    <w:rsid w:val="00A8287F"/>
    <w:rsid w:val="00A8369C"/>
    <w:rsid w:val="00A84A80"/>
    <w:rsid w:val="00A87647"/>
    <w:rsid w:val="00A87936"/>
    <w:rsid w:val="00A906E7"/>
    <w:rsid w:val="00A90EE0"/>
    <w:rsid w:val="00A90F13"/>
    <w:rsid w:val="00A92994"/>
    <w:rsid w:val="00A93057"/>
    <w:rsid w:val="00A939DF"/>
    <w:rsid w:val="00A94671"/>
    <w:rsid w:val="00A9548D"/>
    <w:rsid w:val="00A97086"/>
    <w:rsid w:val="00AA096A"/>
    <w:rsid w:val="00AA271D"/>
    <w:rsid w:val="00AA5AEC"/>
    <w:rsid w:val="00AA6DF1"/>
    <w:rsid w:val="00AB29AB"/>
    <w:rsid w:val="00AB2B66"/>
    <w:rsid w:val="00AB7811"/>
    <w:rsid w:val="00AC2A89"/>
    <w:rsid w:val="00AC2E7E"/>
    <w:rsid w:val="00AC3D92"/>
    <w:rsid w:val="00AC739F"/>
    <w:rsid w:val="00AC79DF"/>
    <w:rsid w:val="00AC7F9D"/>
    <w:rsid w:val="00AD1709"/>
    <w:rsid w:val="00AD4478"/>
    <w:rsid w:val="00AD522F"/>
    <w:rsid w:val="00AD57B6"/>
    <w:rsid w:val="00AD6AA3"/>
    <w:rsid w:val="00AD7648"/>
    <w:rsid w:val="00AE3155"/>
    <w:rsid w:val="00AF083D"/>
    <w:rsid w:val="00AF0EEF"/>
    <w:rsid w:val="00AF1609"/>
    <w:rsid w:val="00AF195A"/>
    <w:rsid w:val="00AF1B8A"/>
    <w:rsid w:val="00AF39B8"/>
    <w:rsid w:val="00AF4E63"/>
    <w:rsid w:val="00B017EF"/>
    <w:rsid w:val="00B03D2D"/>
    <w:rsid w:val="00B06493"/>
    <w:rsid w:val="00B11E82"/>
    <w:rsid w:val="00B153DA"/>
    <w:rsid w:val="00B1585B"/>
    <w:rsid w:val="00B15A32"/>
    <w:rsid w:val="00B16FF6"/>
    <w:rsid w:val="00B17F01"/>
    <w:rsid w:val="00B215AB"/>
    <w:rsid w:val="00B21E0D"/>
    <w:rsid w:val="00B22488"/>
    <w:rsid w:val="00B2292F"/>
    <w:rsid w:val="00B22D74"/>
    <w:rsid w:val="00B25569"/>
    <w:rsid w:val="00B2679B"/>
    <w:rsid w:val="00B26895"/>
    <w:rsid w:val="00B32C68"/>
    <w:rsid w:val="00B34626"/>
    <w:rsid w:val="00B34E78"/>
    <w:rsid w:val="00B3509D"/>
    <w:rsid w:val="00B355D8"/>
    <w:rsid w:val="00B3656A"/>
    <w:rsid w:val="00B4076B"/>
    <w:rsid w:val="00B40E61"/>
    <w:rsid w:val="00B416A8"/>
    <w:rsid w:val="00B44DF9"/>
    <w:rsid w:val="00B474D0"/>
    <w:rsid w:val="00B528D4"/>
    <w:rsid w:val="00B52C0B"/>
    <w:rsid w:val="00B53981"/>
    <w:rsid w:val="00B6349C"/>
    <w:rsid w:val="00B72A12"/>
    <w:rsid w:val="00B74316"/>
    <w:rsid w:val="00B74393"/>
    <w:rsid w:val="00B74B90"/>
    <w:rsid w:val="00B75E0B"/>
    <w:rsid w:val="00B9047D"/>
    <w:rsid w:val="00B91CA4"/>
    <w:rsid w:val="00B934E6"/>
    <w:rsid w:val="00B93D09"/>
    <w:rsid w:val="00B944F5"/>
    <w:rsid w:val="00B9550C"/>
    <w:rsid w:val="00B956A0"/>
    <w:rsid w:val="00B95B3A"/>
    <w:rsid w:val="00B96630"/>
    <w:rsid w:val="00B96AAF"/>
    <w:rsid w:val="00B96D16"/>
    <w:rsid w:val="00BA255A"/>
    <w:rsid w:val="00BA4468"/>
    <w:rsid w:val="00BA554B"/>
    <w:rsid w:val="00BA5965"/>
    <w:rsid w:val="00BA5B0F"/>
    <w:rsid w:val="00BB0EF2"/>
    <w:rsid w:val="00BB1986"/>
    <w:rsid w:val="00BB2668"/>
    <w:rsid w:val="00BB3CBD"/>
    <w:rsid w:val="00BB69BF"/>
    <w:rsid w:val="00BB7672"/>
    <w:rsid w:val="00BC205B"/>
    <w:rsid w:val="00BC2C61"/>
    <w:rsid w:val="00BC36E0"/>
    <w:rsid w:val="00BC3FC3"/>
    <w:rsid w:val="00BC4F40"/>
    <w:rsid w:val="00BD1080"/>
    <w:rsid w:val="00BD3100"/>
    <w:rsid w:val="00BD62F7"/>
    <w:rsid w:val="00BD6A47"/>
    <w:rsid w:val="00BE1BD9"/>
    <w:rsid w:val="00BE2AD0"/>
    <w:rsid w:val="00BF43CF"/>
    <w:rsid w:val="00BF45CB"/>
    <w:rsid w:val="00BF4B40"/>
    <w:rsid w:val="00BF4BB0"/>
    <w:rsid w:val="00BF63B7"/>
    <w:rsid w:val="00C0043C"/>
    <w:rsid w:val="00C02C48"/>
    <w:rsid w:val="00C04E08"/>
    <w:rsid w:val="00C05724"/>
    <w:rsid w:val="00C05955"/>
    <w:rsid w:val="00C0639A"/>
    <w:rsid w:val="00C12F89"/>
    <w:rsid w:val="00C2048F"/>
    <w:rsid w:val="00C239CA"/>
    <w:rsid w:val="00C23D0A"/>
    <w:rsid w:val="00C31C36"/>
    <w:rsid w:val="00C31D0E"/>
    <w:rsid w:val="00C33D70"/>
    <w:rsid w:val="00C34F6E"/>
    <w:rsid w:val="00C362F7"/>
    <w:rsid w:val="00C3669D"/>
    <w:rsid w:val="00C40220"/>
    <w:rsid w:val="00C423B3"/>
    <w:rsid w:val="00C42BBD"/>
    <w:rsid w:val="00C44059"/>
    <w:rsid w:val="00C44F96"/>
    <w:rsid w:val="00C4549B"/>
    <w:rsid w:val="00C47E79"/>
    <w:rsid w:val="00C531AA"/>
    <w:rsid w:val="00C532E0"/>
    <w:rsid w:val="00C53B8E"/>
    <w:rsid w:val="00C546B6"/>
    <w:rsid w:val="00C54F36"/>
    <w:rsid w:val="00C555ED"/>
    <w:rsid w:val="00C60D7B"/>
    <w:rsid w:val="00C619D6"/>
    <w:rsid w:val="00C631D8"/>
    <w:rsid w:val="00C63660"/>
    <w:rsid w:val="00C66077"/>
    <w:rsid w:val="00C67310"/>
    <w:rsid w:val="00C701A5"/>
    <w:rsid w:val="00C7416E"/>
    <w:rsid w:val="00C7589B"/>
    <w:rsid w:val="00C81039"/>
    <w:rsid w:val="00C81C24"/>
    <w:rsid w:val="00C82A26"/>
    <w:rsid w:val="00C82AC7"/>
    <w:rsid w:val="00C8542C"/>
    <w:rsid w:val="00C8654B"/>
    <w:rsid w:val="00C865B1"/>
    <w:rsid w:val="00C8742C"/>
    <w:rsid w:val="00C8774A"/>
    <w:rsid w:val="00C919C1"/>
    <w:rsid w:val="00C91A26"/>
    <w:rsid w:val="00C91CC1"/>
    <w:rsid w:val="00C92221"/>
    <w:rsid w:val="00C92627"/>
    <w:rsid w:val="00C93674"/>
    <w:rsid w:val="00C94F4E"/>
    <w:rsid w:val="00C94FB5"/>
    <w:rsid w:val="00C96736"/>
    <w:rsid w:val="00C96B8D"/>
    <w:rsid w:val="00CA13AC"/>
    <w:rsid w:val="00CA1F0D"/>
    <w:rsid w:val="00CA5E7D"/>
    <w:rsid w:val="00CA6E29"/>
    <w:rsid w:val="00CA6FBE"/>
    <w:rsid w:val="00CA7EB2"/>
    <w:rsid w:val="00CB0124"/>
    <w:rsid w:val="00CB119F"/>
    <w:rsid w:val="00CB3AD8"/>
    <w:rsid w:val="00CB428F"/>
    <w:rsid w:val="00CB462D"/>
    <w:rsid w:val="00CB56D6"/>
    <w:rsid w:val="00CB59CF"/>
    <w:rsid w:val="00CB694C"/>
    <w:rsid w:val="00CB6A55"/>
    <w:rsid w:val="00CB6C8D"/>
    <w:rsid w:val="00CB7949"/>
    <w:rsid w:val="00CC0626"/>
    <w:rsid w:val="00CC1C5B"/>
    <w:rsid w:val="00CC28AB"/>
    <w:rsid w:val="00CC48DA"/>
    <w:rsid w:val="00CC4F7C"/>
    <w:rsid w:val="00CC6557"/>
    <w:rsid w:val="00CD1214"/>
    <w:rsid w:val="00CD298E"/>
    <w:rsid w:val="00CD3B22"/>
    <w:rsid w:val="00CD561D"/>
    <w:rsid w:val="00CD62A6"/>
    <w:rsid w:val="00CE50DD"/>
    <w:rsid w:val="00CE6343"/>
    <w:rsid w:val="00CE7829"/>
    <w:rsid w:val="00CF0525"/>
    <w:rsid w:val="00CF3093"/>
    <w:rsid w:val="00CF5D22"/>
    <w:rsid w:val="00D04F16"/>
    <w:rsid w:val="00D06FAD"/>
    <w:rsid w:val="00D07466"/>
    <w:rsid w:val="00D10C39"/>
    <w:rsid w:val="00D11668"/>
    <w:rsid w:val="00D11DC6"/>
    <w:rsid w:val="00D12E04"/>
    <w:rsid w:val="00D137E3"/>
    <w:rsid w:val="00D144F7"/>
    <w:rsid w:val="00D14A9E"/>
    <w:rsid w:val="00D15377"/>
    <w:rsid w:val="00D16CCA"/>
    <w:rsid w:val="00D17B3F"/>
    <w:rsid w:val="00D20096"/>
    <w:rsid w:val="00D204DF"/>
    <w:rsid w:val="00D20AA8"/>
    <w:rsid w:val="00D2233C"/>
    <w:rsid w:val="00D24362"/>
    <w:rsid w:val="00D27717"/>
    <w:rsid w:val="00D305E4"/>
    <w:rsid w:val="00D31210"/>
    <w:rsid w:val="00D34662"/>
    <w:rsid w:val="00D362CA"/>
    <w:rsid w:val="00D3653A"/>
    <w:rsid w:val="00D3736C"/>
    <w:rsid w:val="00D37800"/>
    <w:rsid w:val="00D37ACC"/>
    <w:rsid w:val="00D40FD6"/>
    <w:rsid w:val="00D4129F"/>
    <w:rsid w:val="00D41D4A"/>
    <w:rsid w:val="00D42CFD"/>
    <w:rsid w:val="00D43685"/>
    <w:rsid w:val="00D436D3"/>
    <w:rsid w:val="00D46AD2"/>
    <w:rsid w:val="00D46CA2"/>
    <w:rsid w:val="00D477CE"/>
    <w:rsid w:val="00D501C7"/>
    <w:rsid w:val="00D5055F"/>
    <w:rsid w:val="00D516FD"/>
    <w:rsid w:val="00D52787"/>
    <w:rsid w:val="00D5699D"/>
    <w:rsid w:val="00D62291"/>
    <w:rsid w:val="00D6321D"/>
    <w:rsid w:val="00D63B46"/>
    <w:rsid w:val="00D704EB"/>
    <w:rsid w:val="00D71853"/>
    <w:rsid w:val="00D71E4B"/>
    <w:rsid w:val="00D74E12"/>
    <w:rsid w:val="00D76251"/>
    <w:rsid w:val="00D76A6E"/>
    <w:rsid w:val="00D803DC"/>
    <w:rsid w:val="00D80987"/>
    <w:rsid w:val="00D80A2B"/>
    <w:rsid w:val="00D849CC"/>
    <w:rsid w:val="00D86DCD"/>
    <w:rsid w:val="00D87394"/>
    <w:rsid w:val="00D92781"/>
    <w:rsid w:val="00D92983"/>
    <w:rsid w:val="00D931AD"/>
    <w:rsid w:val="00D97298"/>
    <w:rsid w:val="00DA0492"/>
    <w:rsid w:val="00DA1898"/>
    <w:rsid w:val="00DA2E9D"/>
    <w:rsid w:val="00DA3E60"/>
    <w:rsid w:val="00DA4BBC"/>
    <w:rsid w:val="00DA5FA3"/>
    <w:rsid w:val="00DA6B01"/>
    <w:rsid w:val="00DA7BB6"/>
    <w:rsid w:val="00DB02EB"/>
    <w:rsid w:val="00DB0C60"/>
    <w:rsid w:val="00DB3136"/>
    <w:rsid w:val="00DB5AF6"/>
    <w:rsid w:val="00DB6CAD"/>
    <w:rsid w:val="00DC14DE"/>
    <w:rsid w:val="00DC6B14"/>
    <w:rsid w:val="00DC6E91"/>
    <w:rsid w:val="00DC72CB"/>
    <w:rsid w:val="00DC7742"/>
    <w:rsid w:val="00DC77E0"/>
    <w:rsid w:val="00DD0CB3"/>
    <w:rsid w:val="00DD2DF0"/>
    <w:rsid w:val="00DD6CF6"/>
    <w:rsid w:val="00DE0A6F"/>
    <w:rsid w:val="00DE105C"/>
    <w:rsid w:val="00DE1F75"/>
    <w:rsid w:val="00DE3307"/>
    <w:rsid w:val="00DE4A23"/>
    <w:rsid w:val="00DE53C7"/>
    <w:rsid w:val="00DF02BE"/>
    <w:rsid w:val="00DF4CB6"/>
    <w:rsid w:val="00DF5B35"/>
    <w:rsid w:val="00DF5F79"/>
    <w:rsid w:val="00DF671F"/>
    <w:rsid w:val="00E00A7F"/>
    <w:rsid w:val="00E02926"/>
    <w:rsid w:val="00E03EFC"/>
    <w:rsid w:val="00E11B06"/>
    <w:rsid w:val="00E11CD4"/>
    <w:rsid w:val="00E1477A"/>
    <w:rsid w:val="00E15071"/>
    <w:rsid w:val="00E20FF2"/>
    <w:rsid w:val="00E25594"/>
    <w:rsid w:val="00E25936"/>
    <w:rsid w:val="00E25E73"/>
    <w:rsid w:val="00E31C6F"/>
    <w:rsid w:val="00E3314C"/>
    <w:rsid w:val="00E34485"/>
    <w:rsid w:val="00E34489"/>
    <w:rsid w:val="00E351F2"/>
    <w:rsid w:val="00E41F9B"/>
    <w:rsid w:val="00E44188"/>
    <w:rsid w:val="00E44E16"/>
    <w:rsid w:val="00E44EC7"/>
    <w:rsid w:val="00E454E6"/>
    <w:rsid w:val="00E46FA8"/>
    <w:rsid w:val="00E508CC"/>
    <w:rsid w:val="00E53B4F"/>
    <w:rsid w:val="00E54585"/>
    <w:rsid w:val="00E572B1"/>
    <w:rsid w:val="00E63106"/>
    <w:rsid w:val="00E643B8"/>
    <w:rsid w:val="00E66114"/>
    <w:rsid w:val="00E67192"/>
    <w:rsid w:val="00E67895"/>
    <w:rsid w:val="00E67F9B"/>
    <w:rsid w:val="00E70072"/>
    <w:rsid w:val="00E7243B"/>
    <w:rsid w:val="00E73721"/>
    <w:rsid w:val="00E73A37"/>
    <w:rsid w:val="00E756B8"/>
    <w:rsid w:val="00E75F6D"/>
    <w:rsid w:val="00E77F8F"/>
    <w:rsid w:val="00E81CCA"/>
    <w:rsid w:val="00E81DF2"/>
    <w:rsid w:val="00E85659"/>
    <w:rsid w:val="00E918B1"/>
    <w:rsid w:val="00E92862"/>
    <w:rsid w:val="00E95E62"/>
    <w:rsid w:val="00E96B30"/>
    <w:rsid w:val="00EA09BB"/>
    <w:rsid w:val="00EA3727"/>
    <w:rsid w:val="00EA380E"/>
    <w:rsid w:val="00EA4B4D"/>
    <w:rsid w:val="00EA5770"/>
    <w:rsid w:val="00EA5DBB"/>
    <w:rsid w:val="00EA6A4E"/>
    <w:rsid w:val="00EA6AD6"/>
    <w:rsid w:val="00EB0764"/>
    <w:rsid w:val="00EB49B9"/>
    <w:rsid w:val="00EB7A90"/>
    <w:rsid w:val="00EC0500"/>
    <w:rsid w:val="00EC09E6"/>
    <w:rsid w:val="00EC3D74"/>
    <w:rsid w:val="00EC7845"/>
    <w:rsid w:val="00EE21A0"/>
    <w:rsid w:val="00EE78EA"/>
    <w:rsid w:val="00EF1D50"/>
    <w:rsid w:val="00EF6787"/>
    <w:rsid w:val="00EF6E9A"/>
    <w:rsid w:val="00F02EA7"/>
    <w:rsid w:val="00F0364E"/>
    <w:rsid w:val="00F04C2A"/>
    <w:rsid w:val="00F05BDF"/>
    <w:rsid w:val="00F05D3F"/>
    <w:rsid w:val="00F12AEC"/>
    <w:rsid w:val="00F27305"/>
    <w:rsid w:val="00F30369"/>
    <w:rsid w:val="00F31B33"/>
    <w:rsid w:val="00F3309F"/>
    <w:rsid w:val="00F33DE3"/>
    <w:rsid w:val="00F34A09"/>
    <w:rsid w:val="00F350A6"/>
    <w:rsid w:val="00F35CB4"/>
    <w:rsid w:val="00F3671A"/>
    <w:rsid w:val="00F40AC7"/>
    <w:rsid w:val="00F45CE3"/>
    <w:rsid w:val="00F46481"/>
    <w:rsid w:val="00F47027"/>
    <w:rsid w:val="00F4735D"/>
    <w:rsid w:val="00F526F0"/>
    <w:rsid w:val="00F533E9"/>
    <w:rsid w:val="00F53A4A"/>
    <w:rsid w:val="00F54530"/>
    <w:rsid w:val="00F54F80"/>
    <w:rsid w:val="00F55548"/>
    <w:rsid w:val="00F555C8"/>
    <w:rsid w:val="00F56DDA"/>
    <w:rsid w:val="00F571D2"/>
    <w:rsid w:val="00F60412"/>
    <w:rsid w:val="00F605B0"/>
    <w:rsid w:val="00F61B49"/>
    <w:rsid w:val="00F62D9A"/>
    <w:rsid w:val="00F6375D"/>
    <w:rsid w:val="00F667E0"/>
    <w:rsid w:val="00F717E3"/>
    <w:rsid w:val="00F736F7"/>
    <w:rsid w:val="00F82FB9"/>
    <w:rsid w:val="00F83E2A"/>
    <w:rsid w:val="00F8562E"/>
    <w:rsid w:val="00F90A30"/>
    <w:rsid w:val="00F91049"/>
    <w:rsid w:val="00F92465"/>
    <w:rsid w:val="00F93B3C"/>
    <w:rsid w:val="00F93E16"/>
    <w:rsid w:val="00F94B70"/>
    <w:rsid w:val="00F9520C"/>
    <w:rsid w:val="00FA231B"/>
    <w:rsid w:val="00FA2D4B"/>
    <w:rsid w:val="00FA5405"/>
    <w:rsid w:val="00FB08FE"/>
    <w:rsid w:val="00FB1709"/>
    <w:rsid w:val="00FB335C"/>
    <w:rsid w:val="00FB4885"/>
    <w:rsid w:val="00FB5DB1"/>
    <w:rsid w:val="00FB61E8"/>
    <w:rsid w:val="00FB7024"/>
    <w:rsid w:val="00FB7903"/>
    <w:rsid w:val="00FC12A9"/>
    <w:rsid w:val="00FC3822"/>
    <w:rsid w:val="00FC6239"/>
    <w:rsid w:val="00FC6EFD"/>
    <w:rsid w:val="00FC75D3"/>
    <w:rsid w:val="00FD00C5"/>
    <w:rsid w:val="00FD020D"/>
    <w:rsid w:val="00FD3CD5"/>
    <w:rsid w:val="00FD49CF"/>
    <w:rsid w:val="00FD4F73"/>
    <w:rsid w:val="00FD5352"/>
    <w:rsid w:val="00FD5FF9"/>
    <w:rsid w:val="00FD67FF"/>
    <w:rsid w:val="00FE1321"/>
    <w:rsid w:val="00FE168F"/>
    <w:rsid w:val="00FE25BC"/>
    <w:rsid w:val="00FE3124"/>
    <w:rsid w:val="00FE3268"/>
    <w:rsid w:val="00FE3F56"/>
    <w:rsid w:val="00FE6EB6"/>
    <w:rsid w:val="00FE7D89"/>
    <w:rsid w:val="00FF0A18"/>
    <w:rsid w:val="00FF3329"/>
    <w:rsid w:val="00FF334A"/>
    <w:rsid w:val="00FF4F86"/>
    <w:rsid w:val="00FF7D8A"/>
    <w:rsid w:val="04C7301B"/>
    <w:rsid w:val="0A79FCAA"/>
    <w:rsid w:val="0AE3F81D"/>
    <w:rsid w:val="0BCBD4E5"/>
    <w:rsid w:val="0EE21D74"/>
    <w:rsid w:val="11F88F3C"/>
    <w:rsid w:val="14296BCC"/>
    <w:rsid w:val="1D6ACAC4"/>
    <w:rsid w:val="2190491B"/>
    <w:rsid w:val="228F4997"/>
    <w:rsid w:val="23FD7698"/>
    <w:rsid w:val="28858706"/>
    <w:rsid w:val="29E7D153"/>
    <w:rsid w:val="2A8C2996"/>
    <w:rsid w:val="2E026401"/>
    <w:rsid w:val="3018757E"/>
    <w:rsid w:val="319A7997"/>
    <w:rsid w:val="35D34B4E"/>
    <w:rsid w:val="36A90699"/>
    <w:rsid w:val="3BB00103"/>
    <w:rsid w:val="3C27E9C1"/>
    <w:rsid w:val="3D843471"/>
    <w:rsid w:val="3FE8CB9D"/>
    <w:rsid w:val="404AAF12"/>
    <w:rsid w:val="40C3345D"/>
    <w:rsid w:val="41293BA2"/>
    <w:rsid w:val="4181B255"/>
    <w:rsid w:val="42D3FA58"/>
    <w:rsid w:val="4602B175"/>
    <w:rsid w:val="4662AA41"/>
    <w:rsid w:val="493A5237"/>
    <w:rsid w:val="4A50EE46"/>
    <w:rsid w:val="4ABE568D"/>
    <w:rsid w:val="4DB7CCE5"/>
    <w:rsid w:val="4DE1CB72"/>
    <w:rsid w:val="536966E7"/>
    <w:rsid w:val="5450C843"/>
    <w:rsid w:val="56448EE4"/>
    <w:rsid w:val="5B5AD503"/>
    <w:rsid w:val="5CED1794"/>
    <w:rsid w:val="5D1EC004"/>
    <w:rsid w:val="5DEBFBEE"/>
    <w:rsid w:val="5F81E475"/>
    <w:rsid w:val="61239CB0"/>
    <w:rsid w:val="6195D4EC"/>
    <w:rsid w:val="62642B21"/>
    <w:rsid w:val="6A624A44"/>
    <w:rsid w:val="6B7FD67C"/>
    <w:rsid w:val="70A68450"/>
    <w:rsid w:val="754BFBD2"/>
    <w:rsid w:val="768E3D33"/>
    <w:rsid w:val="7A094F3C"/>
    <w:rsid w:val="7A6933F5"/>
    <w:rsid w:val="7E28CA57"/>
    <w:rsid w:val="7ED59D22"/>
    <w:rsid w:val="7EDCC0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FE2FF90D-4CCC-443B-A9A7-67876CA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4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6C045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6C045D"/>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nhideWhenUsed/>
    <w:qFormat/>
    <w:rsid w:val="006C045D"/>
    <w:rPr>
      <w:vertAlign w:val="superscript"/>
    </w:rPr>
  </w:style>
  <w:style w:type="paragraph" w:customStyle="1" w:styleId="Refdenotaalpie2">
    <w:name w:val="Ref. de nota al pie2"/>
    <w:aliases w:val="Nota de pie,Pie de pagina"/>
    <w:basedOn w:val="Normal"/>
    <w:link w:val="Refdenotaalpie"/>
    <w:rsid w:val="00617CF1"/>
    <w:pPr>
      <w:spacing w:line="240" w:lineRule="exact"/>
    </w:pPr>
    <w:rPr>
      <w:vertAlign w:val="superscript"/>
    </w:rPr>
  </w:style>
  <w:style w:type="paragraph" w:customStyle="1" w:styleId="pa9">
    <w:name w:val="pa9"/>
    <w:basedOn w:val="Normal"/>
    <w:rsid w:val="0097452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Hipervnculo">
    <w:name w:val="Hyperlink"/>
    <w:basedOn w:val="Fuentedeprrafopredeter"/>
    <w:uiPriority w:val="99"/>
    <w:semiHidden/>
    <w:unhideWhenUsed/>
    <w:rsid w:val="00974526"/>
    <w:rPr>
      <w:color w:val="0000FF"/>
      <w:u w:val="single"/>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D501C7"/>
    <w:rPr>
      <w:sz w:val="24"/>
      <w:szCs w:val="24"/>
    </w:rPr>
  </w:style>
  <w:style w:type="paragraph" w:customStyle="1" w:styleId="Style3">
    <w:name w:val="Style3"/>
    <w:basedOn w:val="Normal"/>
    <w:uiPriority w:val="99"/>
    <w:rsid w:val="00D501C7"/>
    <w:pPr>
      <w:widowControl w:val="0"/>
      <w:autoSpaceDE w:val="0"/>
      <w:autoSpaceDN w:val="0"/>
      <w:adjustRightInd w:val="0"/>
      <w:spacing w:after="0" w:line="240" w:lineRule="exact"/>
      <w:jc w:val="both"/>
    </w:pPr>
    <w:rPr>
      <w:rFonts w:ascii="Cordia New" w:eastAsia="MS Mincho" w:hAnsi="Cordia New" w:cs="Times New Roman"/>
      <w:sz w:val="24"/>
      <w:szCs w:val="24"/>
      <w:lang w:eastAsia="es-CO"/>
    </w:rPr>
  </w:style>
  <w:style w:type="character" w:customStyle="1" w:styleId="FontStyle14">
    <w:name w:val="Font Style14"/>
    <w:uiPriority w:val="99"/>
    <w:rsid w:val="00D501C7"/>
    <w:rPr>
      <w:rFonts w:ascii="Arial Narrow" w:hAnsi="Arial Narrow" w:cs="Arial Narrow"/>
      <w:i/>
      <w:iCs/>
      <w:sz w:val="20"/>
      <w:szCs w:val="20"/>
    </w:rPr>
  </w:style>
  <w:style w:type="character" w:customStyle="1" w:styleId="FontStyle15">
    <w:name w:val="Font Style15"/>
    <w:uiPriority w:val="99"/>
    <w:rsid w:val="00D501C7"/>
    <w:rPr>
      <w:rFonts w:ascii="Arial Narrow" w:hAnsi="Arial Narrow" w:cs="Arial Narrow"/>
      <w:b/>
      <w:bCs/>
      <w:i/>
      <w:iCs/>
      <w:sz w:val="20"/>
      <w:szCs w:val="20"/>
    </w:rPr>
  </w:style>
  <w:style w:type="character" w:customStyle="1" w:styleId="FontStyle16">
    <w:name w:val="Font Style16"/>
    <w:uiPriority w:val="99"/>
    <w:rsid w:val="00D501C7"/>
    <w:rPr>
      <w:rFonts w:ascii="Arial Narrow" w:hAnsi="Arial Narrow" w:cs="Arial Narrow"/>
      <w:sz w:val="18"/>
      <w:szCs w:val="18"/>
    </w:rPr>
  </w:style>
  <w:style w:type="character" w:customStyle="1" w:styleId="FontStyle17">
    <w:name w:val="Font Style17"/>
    <w:uiPriority w:val="99"/>
    <w:rsid w:val="00D501C7"/>
    <w:rPr>
      <w:rFonts w:ascii="Arial Narrow" w:hAnsi="Arial Narrow" w:cs="Arial Narrow"/>
      <w:i/>
      <w:iCs/>
      <w:sz w:val="18"/>
      <w:szCs w:val="18"/>
    </w:rPr>
  </w:style>
  <w:style w:type="character" w:customStyle="1" w:styleId="FontStyle18">
    <w:name w:val="Font Style18"/>
    <w:uiPriority w:val="99"/>
    <w:rsid w:val="00D501C7"/>
    <w:rPr>
      <w:rFonts w:ascii="Arial Narrow" w:hAnsi="Arial Narrow" w:cs="Arial Narrow"/>
      <w:sz w:val="20"/>
      <w:szCs w:val="20"/>
    </w:rPr>
  </w:style>
  <w:style w:type="paragraph" w:styleId="Textoindependiente">
    <w:name w:val="Body Text"/>
    <w:basedOn w:val="Normal"/>
    <w:link w:val="TextoindependienteCar"/>
    <w:rsid w:val="00E67F9B"/>
    <w:pPr>
      <w:overflowPunct w:val="0"/>
      <w:autoSpaceDE w:val="0"/>
      <w:autoSpaceDN w:val="0"/>
      <w:adjustRightInd w:val="0"/>
      <w:spacing w:after="120" w:line="240" w:lineRule="auto"/>
      <w:textAlignment w:val="baseline"/>
    </w:pPr>
    <w:rPr>
      <w:rFonts w:ascii="Times New Roman" w:eastAsia="Calibri"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67F9B"/>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907885081">
      <w:bodyDiv w:val="1"/>
      <w:marLeft w:val="0"/>
      <w:marRight w:val="0"/>
      <w:marTop w:val="0"/>
      <w:marBottom w:val="0"/>
      <w:divBdr>
        <w:top w:val="none" w:sz="0" w:space="0" w:color="auto"/>
        <w:left w:val="none" w:sz="0" w:space="0" w:color="auto"/>
        <w:bottom w:val="none" w:sz="0" w:space="0" w:color="auto"/>
        <w:right w:val="none" w:sz="0" w:space="0" w:color="auto"/>
      </w:divBdr>
    </w:div>
    <w:div w:id="994720814">
      <w:bodyDiv w:val="1"/>
      <w:marLeft w:val="0"/>
      <w:marRight w:val="0"/>
      <w:marTop w:val="0"/>
      <w:marBottom w:val="0"/>
      <w:divBdr>
        <w:top w:val="none" w:sz="0" w:space="0" w:color="auto"/>
        <w:left w:val="none" w:sz="0" w:space="0" w:color="auto"/>
        <w:bottom w:val="none" w:sz="0" w:space="0" w:color="auto"/>
        <w:right w:val="none" w:sz="0" w:space="0" w:color="auto"/>
      </w:divBdr>
    </w:div>
    <w:div w:id="14487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7e0840fa03b0429a"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D0E2-EFC9-4822-9E46-354D8F09B74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50EC1D5E-5434-4597-85EB-EDCA88D61FC2}">
  <ds:schemaRefs>
    <ds:schemaRef ds:uri="http://schemas.microsoft.com/sharepoint/v3/contenttype/forms"/>
  </ds:schemaRefs>
</ds:datastoreItem>
</file>

<file path=customXml/itemProps3.xml><?xml version="1.0" encoding="utf-8"?>
<ds:datastoreItem xmlns:ds="http://schemas.openxmlformats.org/officeDocument/2006/customXml" ds:itemID="{282A1D05-1068-46B4-B652-B0EEBEF9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D7288-2905-4B21-8750-90B3D201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5967</Words>
  <Characters>32822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5</cp:revision>
  <dcterms:created xsi:type="dcterms:W3CDTF">2022-12-07T16:31:00Z</dcterms:created>
  <dcterms:modified xsi:type="dcterms:W3CDTF">2023-02-08T18:23:00Z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