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C2190" w14:textId="77777777" w:rsidR="00D3114C" w:rsidRPr="00D3114C" w:rsidRDefault="00D3114C" w:rsidP="00D3114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89162922"/>
      <w:bookmarkStart w:id="1" w:name="_Hlk76320119"/>
      <w:bookmarkStart w:id="2" w:name="_Hlk94773787"/>
      <w:r w:rsidRPr="00D3114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EF04E28" w14:textId="77777777" w:rsidR="00D3114C" w:rsidRPr="00D3114C" w:rsidRDefault="00D3114C" w:rsidP="00D3114C">
      <w:pPr>
        <w:jc w:val="both"/>
        <w:rPr>
          <w:rFonts w:ascii="Arial" w:hAnsi="Arial" w:cs="Arial"/>
          <w:sz w:val="20"/>
          <w:szCs w:val="20"/>
          <w:lang w:val="es-419" w:eastAsia="es-ES"/>
        </w:rPr>
      </w:pPr>
    </w:p>
    <w:p w14:paraId="1977D3FA" w14:textId="087529A0" w:rsidR="00D3114C" w:rsidRPr="00D3114C" w:rsidRDefault="00D3114C" w:rsidP="00D3114C">
      <w:pPr>
        <w:jc w:val="both"/>
        <w:rPr>
          <w:rFonts w:ascii="Arial" w:hAnsi="Arial" w:cs="Arial"/>
          <w:sz w:val="20"/>
          <w:szCs w:val="20"/>
          <w:lang w:val="es-419" w:eastAsia="es-ES"/>
        </w:rPr>
      </w:pPr>
      <w:r w:rsidRPr="00D3114C">
        <w:rPr>
          <w:rFonts w:ascii="Arial" w:hAnsi="Arial" w:cs="Arial"/>
          <w:sz w:val="20"/>
          <w:szCs w:val="20"/>
          <w:lang w:val="es-419" w:eastAsia="es-ES"/>
        </w:rPr>
        <w:t>Radicación Nro.:</w:t>
      </w:r>
      <w:r>
        <w:rPr>
          <w:rFonts w:ascii="Arial" w:hAnsi="Arial" w:cs="Arial"/>
          <w:sz w:val="20"/>
          <w:szCs w:val="20"/>
          <w:lang w:val="es-419" w:eastAsia="es-ES"/>
        </w:rPr>
        <w:tab/>
      </w:r>
      <w:r w:rsidRPr="00D3114C">
        <w:rPr>
          <w:rFonts w:ascii="Arial" w:hAnsi="Arial" w:cs="Arial"/>
          <w:sz w:val="20"/>
          <w:szCs w:val="20"/>
          <w:lang w:val="es-419" w:eastAsia="es-ES"/>
        </w:rPr>
        <w:t>66001</w:t>
      </w:r>
      <w:r w:rsidR="00D82204">
        <w:rPr>
          <w:rFonts w:ascii="Arial" w:hAnsi="Arial" w:cs="Arial"/>
          <w:sz w:val="20"/>
          <w:szCs w:val="20"/>
          <w:lang w:val="es-419" w:eastAsia="es-ES"/>
        </w:rPr>
        <w:t>-</w:t>
      </w:r>
      <w:r w:rsidRPr="00D3114C">
        <w:rPr>
          <w:rFonts w:ascii="Arial" w:hAnsi="Arial" w:cs="Arial"/>
          <w:sz w:val="20"/>
          <w:szCs w:val="20"/>
          <w:lang w:val="es-419" w:eastAsia="es-ES"/>
        </w:rPr>
        <w:t>31</w:t>
      </w:r>
      <w:r w:rsidR="00AF2001">
        <w:rPr>
          <w:rFonts w:ascii="Arial" w:hAnsi="Arial" w:cs="Arial"/>
          <w:sz w:val="20"/>
          <w:szCs w:val="20"/>
          <w:lang w:val="es-419" w:eastAsia="es-ES"/>
        </w:rPr>
        <w:t>-</w:t>
      </w:r>
      <w:r w:rsidRPr="00D3114C">
        <w:rPr>
          <w:rFonts w:ascii="Arial" w:hAnsi="Arial" w:cs="Arial"/>
          <w:sz w:val="20"/>
          <w:szCs w:val="20"/>
          <w:lang w:val="es-419" w:eastAsia="es-ES"/>
        </w:rPr>
        <w:t>05</w:t>
      </w:r>
      <w:r w:rsidR="00AF2001">
        <w:rPr>
          <w:rFonts w:ascii="Arial" w:hAnsi="Arial" w:cs="Arial"/>
          <w:sz w:val="20"/>
          <w:szCs w:val="20"/>
          <w:lang w:val="es-419" w:eastAsia="es-ES"/>
        </w:rPr>
        <w:t>-</w:t>
      </w:r>
      <w:r w:rsidRPr="00D3114C">
        <w:rPr>
          <w:rFonts w:ascii="Arial" w:hAnsi="Arial" w:cs="Arial"/>
          <w:sz w:val="20"/>
          <w:szCs w:val="20"/>
          <w:lang w:val="es-419" w:eastAsia="es-ES"/>
        </w:rPr>
        <w:t>002</w:t>
      </w:r>
      <w:r w:rsidR="00AF2001">
        <w:rPr>
          <w:rFonts w:ascii="Arial" w:hAnsi="Arial" w:cs="Arial"/>
          <w:sz w:val="20"/>
          <w:szCs w:val="20"/>
          <w:lang w:val="es-419" w:eastAsia="es-ES"/>
        </w:rPr>
        <w:t>-</w:t>
      </w:r>
      <w:r w:rsidRPr="00D3114C">
        <w:rPr>
          <w:rFonts w:ascii="Arial" w:hAnsi="Arial" w:cs="Arial"/>
          <w:sz w:val="20"/>
          <w:szCs w:val="20"/>
          <w:lang w:val="es-419" w:eastAsia="es-ES"/>
        </w:rPr>
        <w:t>20</w:t>
      </w:r>
      <w:r w:rsidR="00A5572F">
        <w:rPr>
          <w:rFonts w:ascii="Arial" w:hAnsi="Arial" w:cs="Arial"/>
          <w:sz w:val="20"/>
          <w:szCs w:val="20"/>
          <w:lang w:val="es-419" w:eastAsia="es-ES"/>
        </w:rPr>
        <w:t>1</w:t>
      </w:r>
      <w:r w:rsidRPr="00D3114C">
        <w:rPr>
          <w:rFonts w:ascii="Arial" w:hAnsi="Arial" w:cs="Arial"/>
          <w:sz w:val="20"/>
          <w:szCs w:val="20"/>
          <w:lang w:val="es-419" w:eastAsia="es-ES"/>
        </w:rPr>
        <w:t>8</w:t>
      </w:r>
      <w:r w:rsidR="00AF2001">
        <w:rPr>
          <w:rFonts w:ascii="Arial" w:hAnsi="Arial" w:cs="Arial"/>
          <w:sz w:val="20"/>
          <w:szCs w:val="20"/>
          <w:lang w:val="es-419" w:eastAsia="es-ES"/>
        </w:rPr>
        <w:t>-</w:t>
      </w:r>
      <w:r w:rsidRPr="00D3114C">
        <w:rPr>
          <w:rFonts w:ascii="Arial" w:hAnsi="Arial" w:cs="Arial"/>
          <w:sz w:val="20"/>
          <w:szCs w:val="20"/>
          <w:lang w:val="es-419" w:eastAsia="es-ES"/>
        </w:rPr>
        <w:t>00579</w:t>
      </w:r>
      <w:r w:rsidR="00AF2001">
        <w:rPr>
          <w:rFonts w:ascii="Arial" w:hAnsi="Arial" w:cs="Arial"/>
          <w:sz w:val="20"/>
          <w:szCs w:val="20"/>
          <w:lang w:val="es-419" w:eastAsia="es-ES"/>
        </w:rPr>
        <w:t>-</w:t>
      </w:r>
      <w:r w:rsidRPr="00D3114C">
        <w:rPr>
          <w:rFonts w:ascii="Arial" w:hAnsi="Arial" w:cs="Arial"/>
          <w:sz w:val="20"/>
          <w:szCs w:val="20"/>
          <w:lang w:val="es-419" w:eastAsia="es-ES"/>
        </w:rPr>
        <w:t>02</w:t>
      </w:r>
    </w:p>
    <w:p w14:paraId="250BDC3D" w14:textId="6DF306B6" w:rsidR="00D3114C" w:rsidRPr="00D3114C" w:rsidRDefault="00D3114C" w:rsidP="00D3114C">
      <w:pPr>
        <w:jc w:val="both"/>
        <w:rPr>
          <w:rFonts w:ascii="Arial" w:hAnsi="Arial" w:cs="Arial"/>
          <w:sz w:val="20"/>
          <w:szCs w:val="20"/>
          <w:lang w:val="es-419" w:eastAsia="es-ES"/>
        </w:rPr>
      </w:pPr>
      <w:r w:rsidRPr="00D3114C">
        <w:rPr>
          <w:rFonts w:ascii="Arial" w:hAnsi="Arial" w:cs="Arial"/>
          <w:sz w:val="20"/>
          <w:szCs w:val="20"/>
          <w:lang w:val="es-419" w:eastAsia="es-ES"/>
        </w:rPr>
        <w:t>Proceso:</w:t>
      </w:r>
      <w:r w:rsidRPr="00D3114C">
        <w:rPr>
          <w:rFonts w:ascii="Arial" w:hAnsi="Arial" w:cs="Arial"/>
          <w:sz w:val="20"/>
          <w:szCs w:val="20"/>
          <w:lang w:val="es-419" w:eastAsia="es-ES"/>
        </w:rPr>
        <w:tab/>
      </w:r>
      <w:r>
        <w:rPr>
          <w:rFonts w:ascii="Arial" w:hAnsi="Arial" w:cs="Arial"/>
          <w:sz w:val="20"/>
          <w:szCs w:val="20"/>
          <w:lang w:val="es-419" w:eastAsia="es-ES"/>
        </w:rPr>
        <w:tab/>
      </w:r>
      <w:r w:rsidRPr="00D3114C">
        <w:rPr>
          <w:rFonts w:ascii="Arial" w:hAnsi="Arial" w:cs="Arial"/>
          <w:sz w:val="20"/>
          <w:szCs w:val="20"/>
          <w:lang w:val="es-419" w:eastAsia="es-ES"/>
        </w:rPr>
        <w:t>Ordinario Laboral</w:t>
      </w:r>
    </w:p>
    <w:p w14:paraId="530CCF66" w14:textId="7FE50004" w:rsidR="00D3114C" w:rsidRPr="00D3114C" w:rsidRDefault="00D3114C" w:rsidP="00D3114C">
      <w:pPr>
        <w:jc w:val="both"/>
        <w:rPr>
          <w:rFonts w:ascii="Arial" w:hAnsi="Arial" w:cs="Arial"/>
          <w:sz w:val="20"/>
          <w:szCs w:val="20"/>
          <w:lang w:val="es-419" w:eastAsia="es-ES"/>
        </w:rPr>
      </w:pPr>
      <w:r w:rsidRPr="00D3114C">
        <w:rPr>
          <w:rFonts w:ascii="Arial" w:hAnsi="Arial" w:cs="Arial"/>
          <w:sz w:val="20"/>
          <w:szCs w:val="20"/>
          <w:lang w:val="es-419" w:eastAsia="es-ES"/>
        </w:rPr>
        <w:t>Demandante:</w:t>
      </w:r>
      <w:r>
        <w:rPr>
          <w:rFonts w:ascii="Arial" w:hAnsi="Arial" w:cs="Arial"/>
          <w:sz w:val="20"/>
          <w:szCs w:val="20"/>
          <w:lang w:val="es-419" w:eastAsia="es-ES"/>
        </w:rPr>
        <w:tab/>
      </w:r>
      <w:r>
        <w:rPr>
          <w:rFonts w:ascii="Arial" w:hAnsi="Arial" w:cs="Arial"/>
          <w:sz w:val="20"/>
          <w:szCs w:val="20"/>
          <w:lang w:val="es-419" w:eastAsia="es-ES"/>
        </w:rPr>
        <w:tab/>
      </w:r>
      <w:r w:rsidRPr="00D3114C">
        <w:rPr>
          <w:rFonts w:ascii="Arial" w:hAnsi="Arial" w:cs="Arial"/>
          <w:sz w:val="20"/>
          <w:szCs w:val="20"/>
          <w:lang w:val="es-419" w:eastAsia="es-ES"/>
        </w:rPr>
        <w:t>Martha Guiomar Pinzón Cancelada</w:t>
      </w:r>
    </w:p>
    <w:p w14:paraId="2D7D6195" w14:textId="5C067C8C" w:rsidR="00D3114C" w:rsidRPr="00D3114C" w:rsidRDefault="00D3114C" w:rsidP="00D3114C">
      <w:pPr>
        <w:jc w:val="both"/>
        <w:rPr>
          <w:rFonts w:ascii="Arial" w:hAnsi="Arial" w:cs="Arial"/>
          <w:sz w:val="20"/>
          <w:szCs w:val="20"/>
          <w:lang w:val="es-419" w:eastAsia="es-ES"/>
        </w:rPr>
      </w:pPr>
      <w:r w:rsidRPr="00D3114C">
        <w:rPr>
          <w:rFonts w:ascii="Arial" w:hAnsi="Arial" w:cs="Arial"/>
          <w:sz w:val="20"/>
          <w:szCs w:val="20"/>
          <w:lang w:val="es-419" w:eastAsia="es-ES"/>
        </w:rPr>
        <w:t>Demandado:</w:t>
      </w:r>
      <w:r>
        <w:rPr>
          <w:rFonts w:ascii="Arial" w:hAnsi="Arial" w:cs="Arial"/>
          <w:sz w:val="20"/>
          <w:szCs w:val="20"/>
          <w:lang w:val="es-419" w:eastAsia="es-ES"/>
        </w:rPr>
        <w:tab/>
      </w:r>
      <w:r>
        <w:rPr>
          <w:rFonts w:ascii="Arial" w:hAnsi="Arial" w:cs="Arial"/>
          <w:sz w:val="20"/>
          <w:szCs w:val="20"/>
          <w:lang w:val="es-419" w:eastAsia="es-ES"/>
        </w:rPr>
        <w:tab/>
      </w:r>
      <w:r w:rsidRPr="00D3114C">
        <w:rPr>
          <w:rFonts w:ascii="Arial" w:hAnsi="Arial" w:cs="Arial"/>
          <w:sz w:val="20"/>
          <w:szCs w:val="20"/>
          <w:lang w:val="es-419" w:eastAsia="es-ES"/>
        </w:rPr>
        <w:t>Colpensiones y Porvenir S.A.</w:t>
      </w:r>
    </w:p>
    <w:p w14:paraId="53F31AE3" w14:textId="43CAF42F" w:rsidR="00D3114C" w:rsidRPr="00D3114C" w:rsidRDefault="00D3114C" w:rsidP="00D3114C">
      <w:pPr>
        <w:jc w:val="both"/>
        <w:rPr>
          <w:rFonts w:ascii="Arial" w:hAnsi="Arial" w:cs="Arial"/>
          <w:sz w:val="20"/>
          <w:szCs w:val="20"/>
          <w:lang w:val="es-419" w:eastAsia="es-ES"/>
        </w:rPr>
      </w:pPr>
      <w:r w:rsidRPr="00D3114C">
        <w:rPr>
          <w:rFonts w:ascii="Arial" w:hAnsi="Arial" w:cs="Arial"/>
          <w:sz w:val="20"/>
          <w:szCs w:val="20"/>
          <w:lang w:val="es-419" w:eastAsia="es-ES"/>
        </w:rPr>
        <w:t>Juzgado de origen:</w:t>
      </w:r>
      <w:r>
        <w:rPr>
          <w:rFonts w:ascii="Arial" w:hAnsi="Arial" w:cs="Arial"/>
          <w:sz w:val="20"/>
          <w:szCs w:val="20"/>
          <w:lang w:val="es-419" w:eastAsia="es-ES"/>
        </w:rPr>
        <w:tab/>
      </w:r>
      <w:r w:rsidRPr="00D3114C">
        <w:rPr>
          <w:rFonts w:ascii="Arial" w:hAnsi="Arial" w:cs="Arial"/>
          <w:sz w:val="20"/>
          <w:szCs w:val="20"/>
          <w:lang w:val="es-419" w:eastAsia="es-ES"/>
        </w:rPr>
        <w:t>Segundo Laboral del Circuito de Pereira</w:t>
      </w:r>
    </w:p>
    <w:p w14:paraId="305B65CF" w14:textId="77777777" w:rsidR="00D3114C" w:rsidRPr="00D3114C" w:rsidRDefault="00D3114C" w:rsidP="00D3114C">
      <w:pPr>
        <w:jc w:val="both"/>
        <w:rPr>
          <w:rFonts w:ascii="Arial" w:hAnsi="Arial" w:cs="Arial"/>
          <w:sz w:val="20"/>
          <w:szCs w:val="20"/>
          <w:lang w:val="es-419" w:eastAsia="es-ES"/>
        </w:rPr>
      </w:pPr>
    </w:p>
    <w:bookmarkEnd w:id="0"/>
    <w:bookmarkEnd w:id="1"/>
    <w:bookmarkEnd w:id="2"/>
    <w:p w14:paraId="07F82E95" w14:textId="77777777" w:rsidR="00D3114C" w:rsidRPr="00D3114C" w:rsidRDefault="00D3114C" w:rsidP="00D3114C">
      <w:pPr>
        <w:jc w:val="both"/>
        <w:rPr>
          <w:rFonts w:ascii="Arial" w:hAnsi="Arial" w:cs="Arial"/>
          <w:b/>
          <w:bCs/>
          <w:iCs/>
          <w:sz w:val="20"/>
          <w:szCs w:val="20"/>
          <w:lang w:val="es-419" w:eastAsia="fr-FR"/>
        </w:rPr>
      </w:pPr>
      <w:r w:rsidRPr="00D3114C">
        <w:rPr>
          <w:rFonts w:ascii="Arial" w:hAnsi="Arial" w:cs="Arial"/>
          <w:b/>
          <w:bCs/>
          <w:iCs/>
          <w:sz w:val="20"/>
          <w:szCs w:val="20"/>
          <w:u w:val="single"/>
          <w:lang w:val="es-419" w:eastAsia="fr-FR"/>
        </w:rPr>
        <w:t>TEMAS:</w:t>
      </w:r>
      <w:r w:rsidRPr="00D3114C">
        <w:rPr>
          <w:rFonts w:ascii="Arial" w:hAnsi="Arial" w:cs="Arial"/>
          <w:b/>
          <w:bCs/>
          <w:iCs/>
          <w:sz w:val="20"/>
          <w:szCs w:val="20"/>
          <w:lang w:val="es-419" w:eastAsia="fr-FR"/>
        </w:rPr>
        <w:tab/>
        <w:t>AGENCIAS EN DERECHO / INTEGRAN EL CONCEPTO DE COSTAS / CRITERIOS PARA FIJARLAS / TARIFAS DEL CONSEJO SUPERIOR DE LA JUDICATURA / PROCESOS DECLARATIVOS / OTROS ASPECTOS A TENER EN CUENTA.</w:t>
      </w:r>
    </w:p>
    <w:p w14:paraId="571FAFD1" w14:textId="77777777" w:rsidR="00D3114C" w:rsidRPr="00D3114C" w:rsidRDefault="00D3114C" w:rsidP="00D3114C">
      <w:pPr>
        <w:jc w:val="both"/>
        <w:rPr>
          <w:rFonts w:ascii="Arial" w:hAnsi="Arial" w:cs="Arial"/>
          <w:sz w:val="20"/>
          <w:szCs w:val="20"/>
          <w:lang w:val="es-419" w:eastAsia="es-ES"/>
        </w:rPr>
      </w:pPr>
    </w:p>
    <w:p w14:paraId="75A8CCC6" w14:textId="77777777" w:rsidR="00D3114C" w:rsidRPr="00D3114C" w:rsidRDefault="00D3114C" w:rsidP="00D3114C">
      <w:pPr>
        <w:jc w:val="both"/>
        <w:rPr>
          <w:rFonts w:ascii="Arial" w:hAnsi="Arial" w:cs="Arial"/>
          <w:sz w:val="20"/>
          <w:szCs w:val="20"/>
          <w:lang w:val="es-419" w:eastAsia="es-ES"/>
        </w:rPr>
      </w:pPr>
      <w:r w:rsidRPr="00D3114C">
        <w:rPr>
          <w:rFonts w:ascii="Arial" w:hAnsi="Arial" w:cs="Arial"/>
          <w:sz w:val="20"/>
          <w:szCs w:val="20"/>
          <w:lang w:val="es-419" w:eastAsia="es-ES"/>
        </w:rPr>
        <w:t>… en cuanto a las tarifas a aplicar por concepto de agencias en derecho, el Código General del Proceso en sus artículos 361 y 366 regula lo atinente a las costas procesales.  Allí señala que es el juez o magistrado que conoció el proceso en primera o única instancia quien debe fijar dichos emolumentos, y que, a pesar de ser discrecional, está limitado por las tarifas máximas y mínimas adoptadas por el Consejo Superior de la Judicatura…</w:t>
      </w:r>
    </w:p>
    <w:p w14:paraId="67C4BEB0" w14:textId="77777777" w:rsidR="00D3114C" w:rsidRPr="00D3114C" w:rsidRDefault="00D3114C" w:rsidP="00D3114C">
      <w:pPr>
        <w:jc w:val="both"/>
        <w:rPr>
          <w:rFonts w:ascii="Arial" w:hAnsi="Arial" w:cs="Arial"/>
          <w:sz w:val="20"/>
          <w:szCs w:val="20"/>
          <w:lang w:val="es-419" w:eastAsia="es-ES"/>
        </w:rPr>
      </w:pPr>
    </w:p>
    <w:p w14:paraId="01D46266" w14:textId="77777777" w:rsidR="00D3114C" w:rsidRPr="00D3114C" w:rsidRDefault="00D3114C" w:rsidP="00D3114C">
      <w:pPr>
        <w:jc w:val="both"/>
        <w:rPr>
          <w:rFonts w:ascii="Arial" w:hAnsi="Arial" w:cs="Arial"/>
          <w:sz w:val="20"/>
          <w:szCs w:val="20"/>
          <w:lang w:val="es-419" w:eastAsia="es-ES"/>
        </w:rPr>
      </w:pPr>
      <w:r w:rsidRPr="00D3114C">
        <w:rPr>
          <w:rFonts w:ascii="Arial" w:hAnsi="Arial" w:cs="Arial"/>
          <w:sz w:val="20"/>
          <w:szCs w:val="20"/>
          <w:lang w:val="es-419" w:eastAsia="es-ES"/>
        </w:rPr>
        <w:t>… en su tratado de derecho procesal, el profesor Hernán Fabio López Blanco frente a las agencias en derecho ha preceptuado:</w:t>
      </w:r>
    </w:p>
    <w:p w14:paraId="4BCF8B37" w14:textId="77777777" w:rsidR="00D3114C" w:rsidRPr="00D3114C" w:rsidRDefault="00D3114C" w:rsidP="00D3114C">
      <w:pPr>
        <w:jc w:val="both"/>
        <w:rPr>
          <w:rFonts w:ascii="Arial" w:hAnsi="Arial" w:cs="Arial"/>
          <w:sz w:val="20"/>
          <w:szCs w:val="20"/>
          <w:lang w:val="es-419" w:eastAsia="es-ES"/>
        </w:rPr>
      </w:pPr>
    </w:p>
    <w:p w14:paraId="741CA49B" w14:textId="77777777" w:rsidR="00D3114C" w:rsidRPr="00D3114C" w:rsidRDefault="00D3114C" w:rsidP="00D3114C">
      <w:pPr>
        <w:jc w:val="both"/>
        <w:rPr>
          <w:rFonts w:ascii="Arial" w:hAnsi="Arial" w:cs="Arial"/>
          <w:sz w:val="20"/>
          <w:szCs w:val="20"/>
          <w:lang w:val="es-419" w:eastAsia="es-ES"/>
        </w:rPr>
      </w:pPr>
      <w:r w:rsidRPr="00D3114C">
        <w:rPr>
          <w:rFonts w:ascii="Arial" w:hAnsi="Arial" w:cs="Arial"/>
          <w:sz w:val="20"/>
          <w:szCs w:val="20"/>
          <w:lang w:val="es-419" w:eastAsia="es-ES"/>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 (…)</w:t>
      </w:r>
    </w:p>
    <w:p w14:paraId="09E3C72C" w14:textId="77777777" w:rsidR="00D3114C" w:rsidRPr="00D3114C" w:rsidRDefault="00D3114C" w:rsidP="00D3114C">
      <w:pPr>
        <w:jc w:val="both"/>
        <w:rPr>
          <w:rFonts w:ascii="Arial" w:hAnsi="Arial" w:cs="Arial"/>
          <w:sz w:val="20"/>
          <w:szCs w:val="20"/>
          <w:lang w:val="es-419" w:eastAsia="es-ES"/>
        </w:rPr>
      </w:pPr>
    </w:p>
    <w:p w14:paraId="025C9604" w14:textId="77777777" w:rsidR="00D3114C" w:rsidRPr="00D3114C" w:rsidRDefault="00D3114C" w:rsidP="00D3114C">
      <w:pPr>
        <w:jc w:val="both"/>
        <w:rPr>
          <w:rFonts w:ascii="Arial" w:hAnsi="Arial" w:cs="Arial"/>
          <w:sz w:val="20"/>
          <w:szCs w:val="20"/>
          <w:lang w:val="es-419" w:eastAsia="es-ES"/>
        </w:rPr>
      </w:pPr>
      <w:r w:rsidRPr="00D3114C">
        <w:rPr>
          <w:rFonts w:ascii="Arial" w:hAnsi="Arial" w:cs="Arial"/>
          <w:sz w:val="20"/>
          <w:szCs w:val="20"/>
          <w:lang w:val="es-419" w:eastAsia="es-ES"/>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 (…)</w:t>
      </w:r>
    </w:p>
    <w:p w14:paraId="34F3BF51" w14:textId="77777777" w:rsidR="00D3114C" w:rsidRPr="00D3114C" w:rsidRDefault="00D3114C" w:rsidP="00D3114C">
      <w:pPr>
        <w:jc w:val="both"/>
        <w:rPr>
          <w:rFonts w:ascii="Arial" w:hAnsi="Arial" w:cs="Arial"/>
          <w:sz w:val="20"/>
          <w:szCs w:val="20"/>
          <w:lang w:val="es-419" w:eastAsia="es-ES"/>
        </w:rPr>
      </w:pPr>
    </w:p>
    <w:p w14:paraId="05FF522F" w14:textId="77777777" w:rsidR="00D3114C" w:rsidRPr="00D3114C" w:rsidRDefault="00D3114C" w:rsidP="00D3114C">
      <w:pPr>
        <w:jc w:val="both"/>
        <w:rPr>
          <w:rFonts w:ascii="Arial" w:hAnsi="Arial" w:cs="Arial"/>
          <w:sz w:val="20"/>
          <w:szCs w:val="20"/>
          <w:lang w:val="es-ES" w:eastAsia="es-ES"/>
        </w:rPr>
      </w:pPr>
      <w:r w:rsidRPr="00D3114C">
        <w:rPr>
          <w:rFonts w:ascii="Arial" w:hAnsi="Arial" w:cs="Arial"/>
          <w:sz w:val="20"/>
          <w:szCs w:val="20"/>
          <w:lang w:val="es-ES" w:eastAsia="es-ES"/>
        </w:rPr>
        <w:t>… 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la apoderada, la naturaleza de hacer de las pretensiones y demás circunstancias relacionadas.</w:t>
      </w:r>
    </w:p>
    <w:p w14:paraId="2F0091B1" w14:textId="3B3F7C60" w:rsidR="00D3114C" w:rsidRDefault="00D3114C" w:rsidP="00D3114C">
      <w:pPr>
        <w:jc w:val="both"/>
        <w:rPr>
          <w:rFonts w:ascii="Arial" w:hAnsi="Arial" w:cs="Arial"/>
          <w:sz w:val="20"/>
          <w:szCs w:val="20"/>
          <w:lang w:val="es-ES" w:eastAsia="es-ES"/>
        </w:rPr>
      </w:pPr>
    </w:p>
    <w:p w14:paraId="0D934A24" w14:textId="77777777" w:rsidR="00411065" w:rsidRPr="00D3114C" w:rsidRDefault="00411065" w:rsidP="00D3114C">
      <w:pPr>
        <w:jc w:val="both"/>
        <w:rPr>
          <w:rFonts w:ascii="Arial" w:hAnsi="Arial" w:cs="Arial"/>
          <w:sz w:val="20"/>
          <w:szCs w:val="20"/>
          <w:lang w:val="es-ES" w:eastAsia="es-ES"/>
        </w:rPr>
      </w:pPr>
    </w:p>
    <w:p w14:paraId="43E20B1E" w14:textId="6127499A" w:rsidR="00D3114C" w:rsidRDefault="00411065" w:rsidP="00D3114C">
      <w:pPr>
        <w:jc w:val="both"/>
        <w:rPr>
          <w:rFonts w:ascii="Arial" w:hAnsi="Arial" w:cs="Arial"/>
          <w:b/>
          <w:color w:val="FF0000"/>
          <w:sz w:val="20"/>
          <w:szCs w:val="20"/>
          <w:lang w:val="es-ES" w:eastAsia="es-ES"/>
        </w:rPr>
      </w:pPr>
      <w:r>
        <w:rPr>
          <w:rFonts w:ascii="Arial" w:hAnsi="Arial" w:cs="Arial"/>
          <w:b/>
          <w:color w:val="FF0000"/>
          <w:sz w:val="20"/>
          <w:szCs w:val="20"/>
          <w:lang w:val="es-ES" w:eastAsia="es-ES"/>
        </w:rPr>
        <w:t>SALVAMENTO DE VOTO: DOCTOR JULIO CÉSAR SALAZAR MUÑOZ</w:t>
      </w:r>
    </w:p>
    <w:p w14:paraId="51D1533E" w14:textId="0F4C4777" w:rsidR="00D3114C" w:rsidRDefault="00D3114C" w:rsidP="00D3114C">
      <w:pPr>
        <w:jc w:val="both"/>
        <w:rPr>
          <w:rFonts w:ascii="Arial" w:hAnsi="Arial" w:cs="Arial"/>
          <w:sz w:val="20"/>
          <w:szCs w:val="20"/>
          <w:lang w:val="es-ES" w:eastAsia="es-ES"/>
        </w:rPr>
      </w:pPr>
    </w:p>
    <w:p w14:paraId="0F38A247" w14:textId="77777777" w:rsidR="00411065" w:rsidRPr="00411065" w:rsidRDefault="00411065" w:rsidP="00411065">
      <w:pPr>
        <w:jc w:val="both"/>
        <w:rPr>
          <w:rFonts w:ascii="Arial" w:hAnsi="Arial" w:cs="Arial"/>
          <w:sz w:val="20"/>
          <w:szCs w:val="20"/>
          <w:lang w:val="es-ES" w:eastAsia="es-ES"/>
        </w:rPr>
      </w:pPr>
      <w:r w:rsidRPr="00411065">
        <w:rPr>
          <w:rFonts w:ascii="Arial" w:hAnsi="Arial" w:cs="Arial"/>
          <w:sz w:val="20"/>
          <w:szCs w:val="20"/>
          <w:lang w:val="es-ES" w:eastAsia="es-ES"/>
        </w:rPr>
        <w:t xml:space="preserve">bajo la concepción establecida por la  a quo que bajo la actual óptica de la Corte implica que las </w:t>
      </w:r>
      <w:bookmarkStart w:id="3" w:name="_GoBack"/>
      <w:bookmarkEnd w:id="3"/>
      <w:r w:rsidRPr="00411065">
        <w:rPr>
          <w:rFonts w:ascii="Arial" w:hAnsi="Arial" w:cs="Arial"/>
          <w:sz w:val="20"/>
          <w:szCs w:val="20"/>
          <w:lang w:val="es-ES" w:eastAsia="es-ES"/>
        </w:rPr>
        <w:t>sentencias que se profieren en esta clase de asuntos, solo contemplan obligaciones de hacer, y que para estos eventos, la norma que corresponde aplicar establece un tope máximo de diez (10) SMLMV a cargo de la parte vencida la Sala -la cual desde ya cabe decir que puede estar conformada por varios sujetos de derecho-, dada la duración y actividad desplegada por la actora, considera que a título de agencias en derecho debe tasarse el equivalente a tres (3) salarios mínimos mensuales legales vigentes, que al aplicarle el porcentaje ordenado en la sentencia, esto es el 100%, arroja un valor igual a $2.725.578.</w:t>
      </w:r>
    </w:p>
    <w:p w14:paraId="0AB62FB3" w14:textId="77777777" w:rsidR="00411065" w:rsidRPr="00411065" w:rsidRDefault="00411065" w:rsidP="00411065">
      <w:pPr>
        <w:jc w:val="both"/>
        <w:rPr>
          <w:rFonts w:ascii="Arial" w:hAnsi="Arial" w:cs="Arial"/>
          <w:sz w:val="20"/>
          <w:szCs w:val="20"/>
          <w:lang w:val="es-ES" w:eastAsia="es-ES"/>
        </w:rPr>
      </w:pPr>
    </w:p>
    <w:p w14:paraId="7C5E616A" w14:textId="50F57D58" w:rsidR="00411065" w:rsidRDefault="00411065" w:rsidP="00411065">
      <w:pPr>
        <w:jc w:val="both"/>
        <w:rPr>
          <w:rFonts w:ascii="Arial" w:hAnsi="Arial" w:cs="Arial"/>
          <w:sz w:val="20"/>
          <w:szCs w:val="20"/>
          <w:lang w:val="es-ES" w:eastAsia="es-ES"/>
        </w:rPr>
      </w:pPr>
      <w:r w:rsidRPr="00411065">
        <w:rPr>
          <w:rFonts w:ascii="Arial" w:hAnsi="Arial" w:cs="Arial"/>
          <w:sz w:val="20"/>
          <w:szCs w:val="20"/>
          <w:lang w:val="es-ES" w:eastAsia="es-ES"/>
        </w:rPr>
        <w:t>En lo que atañe a las costas de segunda instancia estas deben ser ajustadas a 1 salario mínimo mensual legal vigente a cargo de la parte demandada, pues en esta Sede el proceso tuvo una duración de poco menos cuatro meses, dentro de los que se cuenta la vacancia judicial y donde la parte actora presentó alegatos de conclusión de manera oportuna.</w:t>
      </w:r>
    </w:p>
    <w:p w14:paraId="74D685B0" w14:textId="77777777" w:rsidR="00411065" w:rsidRDefault="00411065" w:rsidP="00411065">
      <w:pPr>
        <w:jc w:val="both"/>
        <w:rPr>
          <w:rFonts w:ascii="Arial" w:hAnsi="Arial" w:cs="Arial"/>
          <w:sz w:val="20"/>
          <w:szCs w:val="20"/>
          <w:lang w:val="es-ES" w:eastAsia="es-ES"/>
        </w:rPr>
      </w:pPr>
    </w:p>
    <w:p w14:paraId="7111990D" w14:textId="4B297B1D" w:rsidR="00411065" w:rsidRDefault="00411065" w:rsidP="00D3114C">
      <w:pPr>
        <w:jc w:val="both"/>
        <w:rPr>
          <w:rFonts w:ascii="Arial" w:hAnsi="Arial" w:cs="Arial"/>
          <w:sz w:val="20"/>
          <w:szCs w:val="20"/>
          <w:lang w:val="es-ES" w:eastAsia="es-ES"/>
        </w:rPr>
      </w:pPr>
    </w:p>
    <w:p w14:paraId="1164D6E3" w14:textId="77777777" w:rsidR="00411065" w:rsidRPr="00D3114C" w:rsidRDefault="00411065" w:rsidP="00D3114C">
      <w:pPr>
        <w:jc w:val="both"/>
        <w:rPr>
          <w:rFonts w:ascii="Arial" w:hAnsi="Arial" w:cs="Arial"/>
          <w:sz w:val="20"/>
          <w:szCs w:val="20"/>
          <w:lang w:val="es-ES" w:eastAsia="es-ES"/>
        </w:rPr>
      </w:pPr>
    </w:p>
    <w:p w14:paraId="7735CA82" w14:textId="20F16DDD" w:rsidR="00F568F2" w:rsidRPr="00D3114C" w:rsidRDefault="00F568F2" w:rsidP="00D3114C">
      <w:pPr>
        <w:spacing w:line="276" w:lineRule="auto"/>
        <w:jc w:val="center"/>
        <w:rPr>
          <w:rFonts w:ascii="Tahoma" w:hAnsi="Tahoma" w:cs="Tahoma"/>
          <w:b/>
          <w:iCs/>
          <w:spacing w:val="2"/>
        </w:rPr>
      </w:pPr>
      <w:r w:rsidRPr="00D3114C">
        <w:rPr>
          <w:rFonts w:ascii="Tahoma" w:hAnsi="Tahoma" w:cs="Tahoma"/>
          <w:b/>
          <w:bCs/>
          <w:iCs/>
          <w:spacing w:val="2"/>
        </w:rPr>
        <w:t>TRIBUNAL SUPERIOR DEL DISTRITO JUDICIAL DE PEREIRA</w:t>
      </w:r>
    </w:p>
    <w:p w14:paraId="65A6DB67" w14:textId="77777777" w:rsidR="00F568F2" w:rsidRPr="00D3114C" w:rsidRDefault="00F568F2" w:rsidP="00D3114C">
      <w:pPr>
        <w:spacing w:line="276" w:lineRule="auto"/>
        <w:jc w:val="center"/>
        <w:rPr>
          <w:rFonts w:ascii="Tahoma" w:hAnsi="Tahoma" w:cs="Tahoma"/>
          <w:b/>
          <w:iCs/>
          <w:spacing w:val="2"/>
        </w:rPr>
      </w:pPr>
      <w:r w:rsidRPr="00D3114C">
        <w:rPr>
          <w:rFonts w:ascii="Tahoma" w:hAnsi="Tahoma" w:cs="Tahoma"/>
          <w:b/>
          <w:bCs/>
          <w:iCs/>
          <w:spacing w:val="2"/>
        </w:rPr>
        <w:t>SALA CUARTA DE DECISION LABORAL</w:t>
      </w:r>
    </w:p>
    <w:p w14:paraId="4D3BFA20" w14:textId="77777777" w:rsidR="00F568F2" w:rsidRPr="00D3114C" w:rsidRDefault="00F568F2" w:rsidP="00D3114C">
      <w:pPr>
        <w:spacing w:line="276" w:lineRule="auto"/>
        <w:jc w:val="center"/>
        <w:rPr>
          <w:rFonts w:ascii="Tahoma" w:hAnsi="Tahoma" w:cs="Tahoma"/>
          <w:bCs/>
          <w:spacing w:val="2"/>
        </w:rPr>
      </w:pPr>
    </w:p>
    <w:p w14:paraId="10F77332" w14:textId="77777777" w:rsidR="00F568F2" w:rsidRPr="00D3114C" w:rsidRDefault="00F568F2" w:rsidP="00D3114C">
      <w:pPr>
        <w:spacing w:line="276" w:lineRule="auto"/>
        <w:jc w:val="center"/>
        <w:rPr>
          <w:rFonts w:ascii="Tahoma" w:hAnsi="Tahoma" w:cs="Tahoma"/>
          <w:spacing w:val="2"/>
        </w:rPr>
      </w:pPr>
      <w:r w:rsidRPr="00D3114C">
        <w:rPr>
          <w:rFonts w:ascii="Tahoma" w:hAnsi="Tahoma" w:cs="Tahoma"/>
          <w:spacing w:val="2"/>
        </w:rPr>
        <w:t>Magistrada Ponente: </w:t>
      </w:r>
      <w:r w:rsidRPr="00D3114C">
        <w:rPr>
          <w:rFonts w:ascii="Tahoma" w:hAnsi="Tahoma" w:cs="Tahoma"/>
          <w:b/>
          <w:bCs/>
          <w:spacing w:val="2"/>
        </w:rPr>
        <w:t>Ana Lucía Caicedo Calderón</w:t>
      </w:r>
    </w:p>
    <w:p w14:paraId="000B0947" w14:textId="77777777" w:rsidR="00F568F2" w:rsidRPr="00D3114C" w:rsidRDefault="00F568F2" w:rsidP="00D3114C">
      <w:pPr>
        <w:spacing w:line="276" w:lineRule="auto"/>
        <w:jc w:val="center"/>
        <w:rPr>
          <w:rFonts w:ascii="Tahoma" w:hAnsi="Tahoma" w:cs="Tahoma"/>
          <w:spacing w:val="2"/>
        </w:rPr>
      </w:pPr>
    </w:p>
    <w:p w14:paraId="426FA08A" w14:textId="0408CF94" w:rsidR="00F568F2" w:rsidRPr="00D3114C" w:rsidRDefault="00F568F2" w:rsidP="00D3114C">
      <w:pPr>
        <w:spacing w:line="276" w:lineRule="auto"/>
        <w:jc w:val="center"/>
        <w:rPr>
          <w:rFonts w:ascii="Tahoma" w:hAnsi="Tahoma" w:cs="Tahoma"/>
          <w:spacing w:val="2"/>
        </w:rPr>
      </w:pPr>
      <w:r w:rsidRPr="00D3114C">
        <w:rPr>
          <w:rFonts w:ascii="Tahoma" w:hAnsi="Tahoma" w:cs="Tahoma"/>
          <w:spacing w:val="2"/>
        </w:rPr>
        <w:t xml:space="preserve">Pereira, Risaralda, enero </w:t>
      </w:r>
      <w:r w:rsidR="001B710B" w:rsidRPr="00D3114C">
        <w:rPr>
          <w:rFonts w:ascii="Tahoma" w:hAnsi="Tahoma" w:cs="Tahoma"/>
          <w:spacing w:val="2"/>
        </w:rPr>
        <w:t xml:space="preserve">veinticuatro </w:t>
      </w:r>
      <w:r w:rsidRPr="00D3114C">
        <w:rPr>
          <w:rFonts w:ascii="Tahoma" w:hAnsi="Tahoma" w:cs="Tahoma"/>
          <w:spacing w:val="2"/>
        </w:rPr>
        <w:t>(</w:t>
      </w:r>
      <w:r w:rsidR="001B710B" w:rsidRPr="00D3114C">
        <w:rPr>
          <w:rFonts w:ascii="Tahoma" w:hAnsi="Tahoma" w:cs="Tahoma"/>
          <w:spacing w:val="2"/>
        </w:rPr>
        <w:t>24</w:t>
      </w:r>
      <w:r w:rsidRPr="00D3114C">
        <w:rPr>
          <w:rFonts w:ascii="Tahoma" w:hAnsi="Tahoma" w:cs="Tahoma"/>
          <w:spacing w:val="2"/>
        </w:rPr>
        <w:t>) de dos mil veintidós (2022)  </w:t>
      </w:r>
    </w:p>
    <w:p w14:paraId="4F6EAD5E" w14:textId="53F6602F" w:rsidR="00F568F2" w:rsidRPr="00D3114C" w:rsidRDefault="00F568F2" w:rsidP="00D3114C">
      <w:pPr>
        <w:spacing w:line="276" w:lineRule="auto"/>
        <w:jc w:val="center"/>
        <w:rPr>
          <w:rFonts w:ascii="Tahoma" w:hAnsi="Tahoma" w:cs="Tahoma"/>
          <w:spacing w:val="2"/>
        </w:rPr>
      </w:pPr>
      <w:r w:rsidRPr="00D3114C">
        <w:rPr>
          <w:rFonts w:ascii="Tahoma" w:hAnsi="Tahoma" w:cs="Tahoma"/>
          <w:spacing w:val="2"/>
        </w:rPr>
        <w:t xml:space="preserve">Acta No. __ del </w:t>
      </w:r>
      <w:r w:rsidR="001B710B" w:rsidRPr="00D3114C">
        <w:rPr>
          <w:rFonts w:ascii="Tahoma" w:hAnsi="Tahoma" w:cs="Tahoma"/>
          <w:spacing w:val="2"/>
        </w:rPr>
        <w:t>21</w:t>
      </w:r>
      <w:r w:rsidRPr="00D3114C">
        <w:rPr>
          <w:rFonts w:ascii="Tahoma" w:hAnsi="Tahoma" w:cs="Tahoma"/>
          <w:spacing w:val="2"/>
        </w:rPr>
        <w:t xml:space="preserve"> de enero de 2022</w:t>
      </w:r>
    </w:p>
    <w:p w14:paraId="01F788E1" w14:textId="104ADDB5" w:rsidR="00F568F2" w:rsidRPr="00D3114C" w:rsidRDefault="00F568F2" w:rsidP="00D3114C">
      <w:pPr>
        <w:spacing w:line="276" w:lineRule="auto"/>
        <w:jc w:val="center"/>
        <w:rPr>
          <w:rFonts w:ascii="Tahoma" w:hAnsi="Tahoma" w:cs="Tahoma"/>
          <w:spacing w:val="2"/>
        </w:rPr>
      </w:pPr>
    </w:p>
    <w:p w14:paraId="6BF60C68" w14:textId="5946D0CA" w:rsidR="00F568F2" w:rsidRPr="00D3114C" w:rsidRDefault="00F568F2" w:rsidP="00D3114C">
      <w:pPr>
        <w:spacing w:line="276" w:lineRule="auto"/>
        <w:rPr>
          <w:rFonts w:ascii="Tahoma" w:hAnsi="Tahoma" w:cs="Tahoma"/>
        </w:rPr>
      </w:pPr>
    </w:p>
    <w:p w14:paraId="0CC4BB83" w14:textId="269AF23E" w:rsidR="00F568F2" w:rsidRPr="00D3114C" w:rsidRDefault="00F568F2" w:rsidP="00D3114C">
      <w:pPr>
        <w:spacing w:line="276" w:lineRule="auto"/>
        <w:ind w:firstLine="708"/>
        <w:jc w:val="both"/>
        <w:rPr>
          <w:rFonts w:ascii="Tahoma" w:eastAsiaTheme="minorHAnsi" w:hAnsi="Tahoma" w:cs="Tahoma"/>
          <w:b/>
          <w:lang w:val="es-ES_tradnl" w:eastAsia="en-US"/>
        </w:rPr>
      </w:pPr>
      <w:r w:rsidRPr="00D3114C">
        <w:rPr>
          <w:rFonts w:ascii="Tahoma" w:hAnsi="Tahoma" w:cs="Tahoma"/>
        </w:rPr>
        <w:tab/>
      </w:r>
      <w:r w:rsidRPr="00D3114C">
        <w:rPr>
          <w:rFonts w:ascii="Tahoma" w:eastAsiaTheme="minorHAnsi" w:hAnsi="Tahoma" w:cs="Tahoma"/>
          <w:lang w:val="es-ES_tradnl" w:eastAsia="en-US"/>
        </w:rPr>
        <w:t>Teniendo en cuenta que el artículo 15 del Decreto No. 806 del 4 de junio de 2020, expedido por el Ministerio de Justicia y del Derecho, estableció que en la especialidad laboral</w:t>
      </w:r>
      <w:r w:rsidRPr="00D3114C">
        <w:rPr>
          <w:rFonts w:ascii="Tahoma" w:eastAsiaTheme="minorHAnsi" w:hAnsi="Tahoma" w:cs="Tahoma"/>
          <w:lang w:eastAsia="en-US"/>
        </w:rPr>
        <w:t xml:space="preserve"> </w:t>
      </w:r>
      <w:r w:rsidRPr="00D3114C">
        <w:rPr>
          <w:rFonts w:ascii="Tahoma" w:eastAsiaTheme="minorHAnsi" w:hAnsi="Tahoma" w:cs="Tahoma"/>
          <w:lang w:val="es-ES_tradnl" w:eastAsia="en-US"/>
        </w:rPr>
        <w:t>se proferirán por escrito</w:t>
      </w:r>
      <w:r w:rsidRPr="00D3114C">
        <w:rPr>
          <w:rFonts w:ascii="Tahoma" w:eastAsiaTheme="minorHAnsi" w:hAnsi="Tahoma" w:cs="Tahoma"/>
          <w:lang w:eastAsia="en-US"/>
        </w:rPr>
        <w:t xml:space="preserve"> </w:t>
      </w:r>
      <w:r w:rsidRPr="00D3114C">
        <w:rPr>
          <w:rFonts w:ascii="Tahoma" w:eastAsiaTheme="minorHAnsi" w:hAnsi="Tahoma" w:cs="Tahoma"/>
          <w:lang w:val="es-ES_tradnl" w:eastAsia="en-US"/>
        </w:rPr>
        <w:t xml:space="preserve">las providencias de segunda instancia en las que se surta el grado jurisdiccional de consulta o se resuelva el recurso de apelación de autos o sentencias, </w:t>
      </w:r>
      <w:r w:rsidRPr="00D3114C">
        <w:rPr>
          <w:rFonts w:ascii="Tahoma" w:eastAsiaTheme="minorHAnsi" w:hAnsi="Tahoma" w:cs="Tahoma"/>
          <w:lang w:eastAsia="en-US"/>
        </w:rPr>
        <w:t xml:space="preserve">la Sala Cuarta de Decisión Laboral del Tribunal Superior de Pereira, integrada por la Magistrada </w:t>
      </w:r>
      <w:r w:rsidRPr="00D3114C">
        <w:rPr>
          <w:rFonts w:ascii="Tahoma" w:eastAsiaTheme="minorHAnsi" w:hAnsi="Tahoma" w:cs="Tahoma"/>
          <w:b/>
          <w:bCs/>
          <w:lang w:eastAsia="en-US"/>
        </w:rPr>
        <w:t>ANA LUCÍA CAICEDO CALDERÓN</w:t>
      </w:r>
      <w:r w:rsidRPr="00D3114C">
        <w:rPr>
          <w:rFonts w:ascii="Tahoma" w:eastAsiaTheme="minorHAnsi" w:hAnsi="Tahoma" w:cs="Tahoma"/>
          <w:bCs/>
          <w:lang w:eastAsia="en-US"/>
        </w:rPr>
        <w:t>,</w:t>
      </w:r>
      <w:r w:rsidRPr="00D3114C">
        <w:rPr>
          <w:rFonts w:ascii="Tahoma" w:eastAsiaTheme="minorHAnsi" w:hAnsi="Tahoma" w:cs="Tahoma"/>
          <w:lang w:eastAsia="en-US"/>
        </w:rPr>
        <w:t xml:space="preserve"> quien en esta oportunidad actuará como ponente, </w:t>
      </w:r>
      <w:r w:rsidRPr="00D3114C">
        <w:rPr>
          <w:rFonts w:ascii="Tahoma" w:eastAsiaTheme="minorHAnsi" w:hAnsi="Tahoma" w:cs="Tahoma"/>
          <w:bCs/>
          <w:lang w:eastAsia="en-US"/>
        </w:rPr>
        <w:t>y los Magistrados</w:t>
      </w:r>
      <w:r w:rsidRPr="00D3114C">
        <w:rPr>
          <w:rFonts w:ascii="Tahoma" w:eastAsiaTheme="minorHAnsi" w:hAnsi="Tahoma" w:cs="Tahoma"/>
          <w:b/>
          <w:bCs/>
          <w:lang w:eastAsia="en-US"/>
        </w:rPr>
        <w:t xml:space="preserve"> JULIO CÉSAR SALAZAR MUÑOZ </w:t>
      </w:r>
      <w:r w:rsidRPr="00D3114C">
        <w:rPr>
          <w:rFonts w:ascii="Tahoma" w:eastAsiaTheme="minorHAnsi" w:hAnsi="Tahoma" w:cs="Tahoma"/>
          <w:lang w:eastAsia="en-US"/>
        </w:rPr>
        <w:t xml:space="preserve">y </w:t>
      </w:r>
      <w:bookmarkStart w:id="4" w:name="_Hlk61987554"/>
      <w:r w:rsidRPr="00D3114C">
        <w:rPr>
          <w:rFonts w:ascii="Tahoma" w:eastAsiaTheme="minorHAnsi" w:hAnsi="Tahoma" w:cs="Tahoma"/>
          <w:b/>
          <w:bCs/>
          <w:lang w:eastAsia="en-US"/>
        </w:rPr>
        <w:t>GERMÁN DARIO GOEZ VINASCO</w:t>
      </w:r>
      <w:bookmarkEnd w:id="4"/>
      <w:r w:rsidRPr="00D3114C">
        <w:rPr>
          <w:rFonts w:ascii="Tahoma" w:eastAsiaTheme="minorHAnsi" w:hAnsi="Tahoma" w:cs="Tahoma"/>
          <w:lang w:eastAsia="en-US"/>
        </w:rPr>
        <w:t xml:space="preserve">, </w:t>
      </w:r>
      <w:r w:rsidRPr="00D3114C">
        <w:rPr>
          <w:rFonts w:ascii="Tahoma" w:eastAsiaTheme="minorHAnsi" w:hAnsi="Tahoma" w:cs="Tahoma"/>
          <w:lang w:val="es-ES_tradnl" w:eastAsia="en-US"/>
        </w:rPr>
        <w:t xml:space="preserve">procede a proferir el siguiente auto escrito dentro del proceso </w:t>
      </w:r>
      <w:r w:rsidRPr="00E4720A">
        <w:rPr>
          <w:rFonts w:ascii="Tahoma" w:eastAsiaTheme="minorHAnsi" w:hAnsi="Tahoma" w:cs="Tahoma"/>
          <w:b/>
          <w:lang w:val="es-ES_tradnl" w:eastAsia="en-US"/>
        </w:rPr>
        <w:t>ordinario laboral</w:t>
      </w:r>
      <w:r w:rsidRPr="00D3114C">
        <w:rPr>
          <w:rFonts w:ascii="Tahoma" w:eastAsiaTheme="minorHAnsi" w:hAnsi="Tahoma" w:cs="Tahoma"/>
          <w:lang w:val="es-ES_tradnl" w:eastAsia="en-US"/>
        </w:rPr>
        <w:t xml:space="preserve"> instaurado por </w:t>
      </w:r>
      <w:r w:rsidRPr="00D3114C">
        <w:rPr>
          <w:rFonts w:ascii="Tahoma" w:eastAsiaTheme="minorHAnsi" w:hAnsi="Tahoma" w:cs="Tahoma"/>
          <w:b/>
          <w:lang w:eastAsia="en-US"/>
        </w:rPr>
        <w:t xml:space="preserve">Martha Guiomar Pinzón Cancelada </w:t>
      </w:r>
      <w:r w:rsidRPr="00D3114C">
        <w:rPr>
          <w:rFonts w:ascii="Tahoma" w:eastAsiaTheme="minorHAnsi" w:hAnsi="Tahoma" w:cs="Tahoma"/>
          <w:lang w:val="es-ES_tradnl" w:eastAsia="en-US"/>
        </w:rPr>
        <w:t xml:space="preserve">en contra de </w:t>
      </w:r>
      <w:r w:rsidRPr="00D3114C">
        <w:rPr>
          <w:rFonts w:ascii="Tahoma" w:eastAsiaTheme="minorHAnsi" w:hAnsi="Tahoma" w:cs="Tahoma"/>
          <w:b/>
          <w:lang w:val="es-ES_tradnl" w:eastAsia="en-US"/>
        </w:rPr>
        <w:t>Colpensiones</w:t>
      </w:r>
      <w:r w:rsidRPr="00D3114C">
        <w:rPr>
          <w:rFonts w:ascii="Tahoma" w:eastAsiaTheme="minorHAnsi" w:hAnsi="Tahoma" w:cs="Tahoma"/>
          <w:lang w:val="es-ES_tradnl" w:eastAsia="en-US"/>
        </w:rPr>
        <w:t xml:space="preserve"> y </w:t>
      </w:r>
      <w:r w:rsidR="00A53B43" w:rsidRPr="00D3114C">
        <w:rPr>
          <w:rFonts w:ascii="Tahoma" w:eastAsiaTheme="minorHAnsi" w:hAnsi="Tahoma" w:cs="Tahoma"/>
          <w:lang w:val="es-ES_tradnl" w:eastAsia="en-US"/>
        </w:rPr>
        <w:t xml:space="preserve">la </w:t>
      </w:r>
      <w:r w:rsidR="00A53B43" w:rsidRPr="00D3114C">
        <w:rPr>
          <w:rFonts w:ascii="Tahoma" w:eastAsiaTheme="minorHAnsi" w:hAnsi="Tahoma" w:cs="Tahoma"/>
          <w:b/>
          <w:bCs/>
          <w:lang w:val="es-ES_tradnl" w:eastAsia="en-US"/>
        </w:rPr>
        <w:t>AFP P</w:t>
      </w:r>
      <w:r w:rsidR="00A53B43" w:rsidRPr="00D3114C">
        <w:rPr>
          <w:rFonts w:ascii="Tahoma" w:eastAsiaTheme="minorHAnsi" w:hAnsi="Tahoma" w:cs="Tahoma"/>
          <w:b/>
          <w:lang w:val="es-ES_tradnl" w:eastAsia="en-US"/>
        </w:rPr>
        <w:t>orvenir</w:t>
      </w:r>
      <w:r w:rsidRPr="00D3114C">
        <w:rPr>
          <w:rFonts w:ascii="Tahoma" w:eastAsiaTheme="minorHAnsi" w:hAnsi="Tahoma" w:cs="Tahoma"/>
          <w:b/>
          <w:lang w:val="es-ES_tradnl" w:eastAsia="en-US"/>
        </w:rPr>
        <w:t xml:space="preserve"> S.A.</w:t>
      </w:r>
    </w:p>
    <w:p w14:paraId="09CC726A" w14:textId="77777777" w:rsidR="005350F5" w:rsidRPr="00D3114C" w:rsidRDefault="005350F5" w:rsidP="00D3114C">
      <w:pPr>
        <w:spacing w:line="276" w:lineRule="auto"/>
        <w:rPr>
          <w:rFonts w:ascii="Tahoma" w:hAnsi="Tahoma" w:cs="Tahoma"/>
          <w:b/>
        </w:rPr>
      </w:pPr>
    </w:p>
    <w:p w14:paraId="58593843" w14:textId="04BE0B84" w:rsidR="00A53B43" w:rsidRPr="00D3114C" w:rsidRDefault="00A53B43" w:rsidP="00D3114C">
      <w:pPr>
        <w:spacing w:line="276" w:lineRule="auto"/>
        <w:jc w:val="center"/>
        <w:rPr>
          <w:rFonts w:ascii="Tahoma" w:hAnsi="Tahoma" w:cs="Tahoma"/>
          <w:b/>
        </w:rPr>
      </w:pPr>
      <w:r w:rsidRPr="00D3114C">
        <w:rPr>
          <w:rFonts w:ascii="Tahoma" w:hAnsi="Tahoma" w:cs="Tahoma"/>
          <w:b/>
        </w:rPr>
        <w:t>CUESTIÓN PREVIA</w:t>
      </w:r>
    </w:p>
    <w:p w14:paraId="71D05282" w14:textId="77777777" w:rsidR="00A53B43" w:rsidRPr="00D3114C" w:rsidRDefault="00A53B43" w:rsidP="00D3114C">
      <w:pPr>
        <w:spacing w:line="276" w:lineRule="auto"/>
        <w:jc w:val="center"/>
        <w:rPr>
          <w:rFonts w:ascii="Tahoma" w:hAnsi="Tahoma" w:cs="Tahoma"/>
          <w:b/>
        </w:rPr>
      </w:pPr>
    </w:p>
    <w:p w14:paraId="5FFA2A3A" w14:textId="77777777" w:rsidR="00A53B43" w:rsidRPr="00D3114C" w:rsidRDefault="00A53B43" w:rsidP="00D3114C">
      <w:pPr>
        <w:spacing w:line="276" w:lineRule="auto"/>
        <w:ind w:firstLine="708"/>
        <w:jc w:val="both"/>
        <w:rPr>
          <w:rFonts w:ascii="Tahoma" w:hAnsi="Tahoma" w:cs="Tahoma"/>
          <w:spacing w:val="-3"/>
          <w:kern w:val="2"/>
        </w:rPr>
      </w:pPr>
      <w:r w:rsidRPr="00D3114C">
        <w:rPr>
          <w:rFonts w:ascii="Tahoma" w:hAnsi="Tahoma" w:cs="Tahoma"/>
          <w:spacing w:val="-3"/>
          <w:kern w:val="2"/>
        </w:rPr>
        <w:t>El proyecto inicial presentado por el Magistrado Julio César Salazar Muñoz no fue avalado por el resto de la Sala y por eso la Magistrada que le sigue en turno, Dra. Ana Lucía Caicedo Calderón, presenta la ponencia de las mayorías,</w:t>
      </w:r>
      <w:r w:rsidRPr="00D3114C">
        <w:rPr>
          <w:rFonts w:ascii="Tahoma" w:hAnsi="Tahoma" w:cs="Tahoma"/>
          <w:color w:val="000000"/>
          <w:shd w:val="clear" w:color="auto" w:fill="FFFFFF"/>
        </w:rPr>
        <w:t xml:space="preserve"> </w:t>
      </w:r>
      <w:r w:rsidRPr="00D3114C">
        <w:rPr>
          <w:rFonts w:ascii="Tahoma" w:hAnsi="Tahoma" w:cs="Tahoma"/>
          <w:spacing w:val="-3"/>
          <w:kern w:val="2"/>
        </w:rPr>
        <w:t>advirtiendo que, por economía procesal, dentro del proyecto se acogieron varios acápites redactados en la ponencia original. </w:t>
      </w:r>
    </w:p>
    <w:p w14:paraId="6467A0F0" w14:textId="77777777" w:rsidR="005350F5" w:rsidRPr="00D3114C" w:rsidRDefault="005350F5" w:rsidP="00D3114C">
      <w:pPr>
        <w:spacing w:line="276" w:lineRule="auto"/>
        <w:rPr>
          <w:rFonts w:ascii="Tahoma" w:eastAsiaTheme="minorHAnsi" w:hAnsi="Tahoma" w:cs="Tahoma"/>
          <w:b/>
          <w:bCs/>
          <w:lang w:eastAsia="en-US"/>
        </w:rPr>
      </w:pPr>
    </w:p>
    <w:p w14:paraId="047061F4" w14:textId="034E0D7A" w:rsidR="00A53B43" w:rsidRPr="00D3114C" w:rsidRDefault="00A53B43" w:rsidP="00D3114C">
      <w:pPr>
        <w:spacing w:line="276" w:lineRule="auto"/>
        <w:jc w:val="center"/>
        <w:rPr>
          <w:rFonts w:ascii="Tahoma" w:eastAsiaTheme="minorHAnsi" w:hAnsi="Tahoma" w:cs="Tahoma"/>
          <w:b/>
          <w:bCs/>
          <w:lang w:eastAsia="en-US"/>
        </w:rPr>
      </w:pPr>
      <w:r w:rsidRPr="00D3114C">
        <w:rPr>
          <w:rFonts w:ascii="Tahoma" w:eastAsiaTheme="minorHAnsi" w:hAnsi="Tahoma" w:cs="Tahoma"/>
          <w:b/>
          <w:bCs/>
          <w:lang w:eastAsia="en-US"/>
        </w:rPr>
        <w:t>PUNTO A TRATAR</w:t>
      </w:r>
    </w:p>
    <w:p w14:paraId="666A6FBB" w14:textId="77777777" w:rsidR="00A53B43" w:rsidRPr="00D3114C" w:rsidRDefault="00A53B43" w:rsidP="00D3114C">
      <w:pPr>
        <w:tabs>
          <w:tab w:val="left" w:pos="284"/>
        </w:tabs>
        <w:spacing w:line="276" w:lineRule="auto"/>
        <w:jc w:val="both"/>
        <w:rPr>
          <w:rFonts w:ascii="Tahoma" w:eastAsiaTheme="minorHAnsi" w:hAnsi="Tahoma" w:cs="Tahoma"/>
          <w:b/>
          <w:bCs/>
          <w:lang w:eastAsia="en-US"/>
        </w:rPr>
      </w:pPr>
    </w:p>
    <w:p w14:paraId="010FF1FF" w14:textId="00CB4F46" w:rsidR="00514842" w:rsidRPr="00D3114C" w:rsidRDefault="00A53B43" w:rsidP="00D3114C">
      <w:pPr>
        <w:spacing w:line="276" w:lineRule="auto"/>
        <w:ind w:firstLine="708"/>
        <w:jc w:val="both"/>
        <w:rPr>
          <w:rFonts w:ascii="Tahoma" w:eastAsiaTheme="minorHAnsi" w:hAnsi="Tahoma" w:cs="Tahoma"/>
          <w:lang w:eastAsia="en-US"/>
        </w:rPr>
      </w:pPr>
      <w:r w:rsidRPr="00D3114C">
        <w:rPr>
          <w:rFonts w:ascii="Tahoma" w:eastAsiaTheme="minorHAnsi" w:hAnsi="Tahoma" w:cs="Tahoma"/>
          <w:lang w:eastAsia="en-US"/>
        </w:rPr>
        <w:t xml:space="preserve">Por medio de esta providencia procede la Sala a resolver el recurso de apelación promovido por el apoderado judicial de </w:t>
      </w:r>
      <w:r w:rsidR="00AB1636" w:rsidRPr="00D3114C">
        <w:rPr>
          <w:rFonts w:ascii="Tahoma" w:eastAsiaTheme="minorHAnsi" w:hAnsi="Tahoma" w:cs="Tahoma"/>
          <w:lang w:eastAsia="en-US"/>
        </w:rPr>
        <w:t xml:space="preserve">la AFP </w:t>
      </w:r>
      <w:r w:rsidR="001D1A79" w:rsidRPr="00D3114C">
        <w:rPr>
          <w:rFonts w:ascii="Tahoma" w:eastAsiaTheme="minorHAnsi" w:hAnsi="Tahoma" w:cs="Tahoma"/>
          <w:lang w:eastAsia="en-US"/>
        </w:rPr>
        <w:t xml:space="preserve">Porvenir </w:t>
      </w:r>
      <w:r w:rsidRPr="00D3114C">
        <w:rPr>
          <w:rFonts w:ascii="Tahoma" w:eastAsiaTheme="minorHAnsi" w:hAnsi="Tahoma" w:cs="Tahoma"/>
          <w:lang w:eastAsia="en-US"/>
        </w:rPr>
        <w:t xml:space="preserve">S.A. en contra del auto del </w:t>
      </w:r>
      <w:r w:rsidR="001D1A79" w:rsidRPr="00D3114C">
        <w:rPr>
          <w:rFonts w:ascii="Tahoma" w:eastAsiaTheme="minorHAnsi" w:hAnsi="Tahoma" w:cs="Tahoma"/>
          <w:lang w:eastAsia="en-US"/>
        </w:rPr>
        <w:t>7 de julio</w:t>
      </w:r>
      <w:r w:rsidR="00053BA0" w:rsidRPr="00D3114C">
        <w:rPr>
          <w:rFonts w:ascii="Tahoma" w:eastAsiaTheme="minorHAnsi" w:hAnsi="Tahoma" w:cs="Tahoma"/>
          <w:lang w:eastAsia="en-US"/>
        </w:rPr>
        <w:t xml:space="preserve"> de 202</w:t>
      </w:r>
      <w:r w:rsidR="000E3F72" w:rsidRPr="00D3114C">
        <w:rPr>
          <w:rFonts w:ascii="Tahoma" w:eastAsiaTheme="minorHAnsi" w:hAnsi="Tahoma" w:cs="Tahoma"/>
          <w:lang w:eastAsia="en-US"/>
        </w:rPr>
        <w:t>1</w:t>
      </w:r>
      <w:r w:rsidRPr="00D3114C">
        <w:rPr>
          <w:rFonts w:ascii="Tahoma" w:eastAsiaTheme="minorHAnsi" w:hAnsi="Tahoma" w:cs="Tahoma"/>
          <w:lang w:eastAsia="en-US"/>
        </w:rPr>
        <w:t>,</w:t>
      </w:r>
      <w:r w:rsidR="00AE5948" w:rsidRPr="00D3114C">
        <w:rPr>
          <w:rFonts w:ascii="Tahoma" w:eastAsiaTheme="minorHAnsi" w:hAnsi="Tahoma" w:cs="Tahoma"/>
          <w:lang w:eastAsia="en-US"/>
        </w:rPr>
        <w:t xml:space="preserve"> por medio del cual el despacho de conocimiento aprobó la liquidación de las costas procesales realizada por su secretaría.</w:t>
      </w:r>
      <w:r w:rsidR="00514842" w:rsidRPr="00D3114C">
        <w:rPr>
          <w:rFonts w:ascii="Tahoma" w:eastAsiaTheme="minorHAnsi" w:hAnsi="Tahoma" w:cs="Tahoma"/>
          <w:lang w:eastAsia="en-US"/>
        </w:rPr>
        <w:t xml:space="preserve"> Para ello se tiene en cuenta lo siguiente: </w:t>
      </w:r>
    </w:p>
    <w:p w14:paraId="12ACD8F8" w14:textId="1C59A918" w:rsidR="00AE5948" w:rsidRDefault="00AE5948" w:rsidP="00AC14C2">
      <w:pPr>
        <w:spacing w:line="276" w:lineRule="auto"/>
        <w:jc w:val="both"/>
        <w:rPr>
          <w:rFonts w:ascii="Tahoma" w:eastAsiaTheme="minorHAnsi" w:hAnsi="Tahoma" w:cs="Tahoma"/>
          <w:lang w:eastAsia="en-US"/>
        </w:rPr>
      </w:pPr>
    </w:p>
    <w:p w14:paraId="36B8BCBC" w14:textId="77777777" w:rsidR="00AC14C2" w:rsidRPr="00D3114C" w:rsidRDefault="00AC14C2" w:rsidP="00AC14C2">
      <w:pPr>
        <w:spacing w:line="276" w:lineRule="auto"/>
        <w:jc w:val="both"/>
        <w:rPr>
          <w:rFonts w:ascii="Tahoma" w:eastAsiaTheme="minorHAnsi" w:hAnsi="Tahoma" w:cs="Tahoma"/>
          <w:lang w:eastAsia="en-US"/>
        </w:rPr>
      </w:pPr>
    </w:p>
    <w:p w14:paraId="52C48576" w14:textId="77777777" w:rsidR="00746891" w:rsidRPr="00D3114C" w:rsidRDefault="00746891" w:rsidP="00D3114C">
      <w:pPr>
        <w:pStyle w:val="Prrafodelista"/>
        <w:numPr>
          <w:ilvl w:val="0"/>
          <w:numId w:val="1"/>
        </w:numPr>
        <w:tabs>
          <w:tab w:val="left" w:pos="284"/>
        </w:tabs>
        <w:spacing w:line="276" w:lineRule="auto"/>
        <w:jc w:val="center"/>
        <w:rPr>
          <w:rFonts w:ascii="Tahoma" w:hAnsi="Tahoma" w:cs="Tahoma"/>
          <w:b/>
          <w:bCs/>
        </w:rPr>
      </w:pPr>
      <w:r w:rsidRPr="00D3114C">
        <w:rPr>
          <w:rFonts w:ascii="Tahoma" w:hAnsi="Tahoma" w:cs="Tahoma"/>
          <w:b/>
          <w:bCs/>
        </w:rPr>
        <w:t>Antecedentes Procesales</w:t>
      </w:r>
    </w:p>
    <w:p w14:paraId="5840F38E" w14:textId="77777777" w:rsidR="00746891" w:rsidRPr="00D3114C" w:rsidRDefault="00746891" w:rsidP="00D3114C">
      <w:pPr>
        <w:tabs>
          <w:tab w:val="left" w:pos="284"/>
        </w:tabs>
        <w:spacing w:line="276" w:lineRule="auto"/>
        <w:rPr>
          <w:rFonts w:ascii="Tahoma" w:hAnsi="Tahoma" w:cs="Tahoma"/>
          <w:b/>
          <w:bCs/>
        </w:rPr>
      </w:pPr>
      <w:r w:rsidRPr="00D3114C">
        <w:rPr>
          <w:rFonts w:ascii="Tahoma" w:hAnsi="Tahoma" w:cs="Tahoma"/>
          <w:b/>
          <w:bCs/>
        </w:rPr>
        <w:tab/>
      </w:r>
    </w:p>
    <w:p w14:paraId="0DCA49B9" w14:textId="6263FFBD" w:rsidR="00DA6218" w:rsidRPr="00D3114C" w:rsidRDefault="00746891" w:rsidP="00D3114C">
      <w:pPr>
        <w:spacing w:line="276" w:lineRule="auto"/>
        <w:ind w:firstLine="708"/>
        <w:jc w:val="both"/>
        <w:rPr>
          <w:rFonts w:ascii="Tahoma" w:hAnsi="Tahoma" w:cs="Tahoma"/>
          <w:lang w:val="es-ES_tradnl"/>
        </w:rPr>
      </w:pPr>
      <w:r w:rsidRPr="00D3114C">
        <w:rPr>
          <w:rFonts w:ascii="Tahoma" w:hAnsi="Tahoma" w:cs="Tahoma"/>
        </w:rPr>
        <w:t xml:space="preserve">Para mejor proveer conviene indicar que en sentencia de primera </w:t>
      </w:r>
      <w:r w:rsidR="00AE0D3D" w:rsidRPr="00D3114C">
        <w:rPr>
          <w:rFonts w:ascii="Tahoma" w:hAnsi="Tahoma" w:cs="Tahoma"/>
        </w:rPr>
        <w:t>instancia proferidas el 30 de noviembre 2020, confirmada en esta instancia mediante sentencia de</w:t>
      </w:r>
      <w:r w:rsidR="0095016A" w:rsidRPr="00D3114C">
        <w:rPr>
          <w:rFonts w:ascii="Tahoma" w:hAnsi="Tahoma" w:cs="Tahoma"/>
        </w:rPr>
        <w:t xml:space="preserve">l </w:t>
      </w:r>
      <w:r w:rsidR="001016A2" w:rsidRPr="00D3114C">
        <w:rPr>
          <w:rFonts w:ascii="Tahoma" w:hAnsi="Tahoma" w:cs="Tahoma"/>
        </w:rPr>
        <w:t>2</w:t>
      </w:r>
      <w:r w:rsidR="001D6910" w:rsidRPr="00D3114C">
        <w:rPr>
          <w:rFonts w:ascii="Tahoma" w:hAnsi="Tahoma" w:cs="Tahoma"/>
        </w:rPr>
        <w:t>1 de abril de 2021</w:t>
      </w:r>
      <w:r w:rsidR="00E95ECC" w:rsidRPr="00D3114C">
        <w:rPr>
          <w:rFonts w:ascii="Tahoma" w:hAnsi="Tahoma" w:cs="Tahoma"/>
        </w:rPr>
        <w:t xml:space="preserve">, </w:t>
      </w:r>
      <w:r w:rsidR="00DA6218" w:rsidRPr="00D3114C">
        <w:rPr>
          <w:rFonts w:ascii="Tahoma" w:hAnsi="Tahoma" w:cs="Tahoma"/>
        </w:rPr>
        <w:t xml:space="preserve">se </w:t>
      </w:r>
      <w:r w:rsidR="00DA6218" w:rsidRPr="00D3114C">
        <w:rPr>
          <w:rFonts w:ascii="Tahoma" w:hAnsi="Tahoma" w:cs="Tahoma"/>
          <w:lang w:val="es-ES_tradnl"/>
        </w:rPr>
        <w:t>declaró ineficaz el traslado al RAIS de la señora</w:t>
      </w:r>
      <w:r w:rsidR="000803E0" w:rsidRPr="00D3114C">
        <w:rPr>
          <w:rFonts w:ascii="Tahoma" w:eastAsiaTheme="minorHAnsi" w:hAnsi="Tahoma" w:cs="Tahoma"/>
          <w:b/>
          <w:lang w:eastAsia="en-US"/>
        </w:rPr>
        <w:t xml:space="preserve"> </w:t>
      </w:r>
      <w:r w:rsidR="000803E0" w:rsidRPr="00D3114C">
        <w:rPr>
          <w:rFonts w:ascii="Tahoma" w:eastAsiaTheme="minorHAnsi" w:hAnsi="Tahoma" w:cs="Tahoma"/>
          <w:bCs/>
          <w:lang w:eastAsia="en-US"/>
        </w:rPr>
        <w:t>Martha Guiomar Pinzón Cancelada</w:t>
      </w:r>
      <w:r w:rsidR="00DA6218" w:rsidRPr="00D3114C">
        <w:rPr>
          <w:rFonts w:ascii="Tahoma" w:hAnsi="Tahoma" w:cs="Tahoma"/>
          <w:lang w:val="es-ES_tradnl"/>
        </w:rPr>
        <w:t xml:space="preserve">, realizado el </w:t>
      </w:r>
      <w:r w:rsidR="00A06B19" w:rsidRPr="00D3114C">
        <w:rPr>
          <w:rFonts w:ascii="Tahoma" w:hAnsi="Tahoma" w:cs="Tahoma"/>
          <w:lang w:val="es-ES_tradnl"/>
        </w:rPr>
        <w:t>26 de marzo de 2004</w:t>
      </w:r>
      <w:r w:rsidR="00DA6218" w:rsidRPr="00D3114C">
        <w:rPr>
          <w:rFonts w:ascii="Tahoma" w:hAnsi="Tahoma" w:cs="Tahoma"/>
          <w:lang w:val="es-ES_tradnl"/>
        </w:rPr>
        <w:t xml:space="preserve"> con la AFP  </w:t>
      </w:r>
      <w:r w:rsidR="000803E0" w:rsidRPr="00D3114C">
        <w:rPr>
          <w:rFonts w:ascii="Tahoma" w:hAnsi="Tahoma" w:cs="Tahoma"/>
          <w:lang w:val="es-ES_tradnl"/>
        </w:rPr>
        <w:t>Porvenir</w:t>
      </w:r>
      <w:r w:rsidR="00DA6218" w:rsidRPr="00D3114C">
        <w:rPr>
          <w:rFonts w:ascii="Tahoma" w:hAnsi="Tahoma" w:cs="Tahoma"/>
          <w:lang w:val="es-ES_tradnl"/>
        </w:rPr>
        <w:t xml:space="preserve"> S.A.,</w:t>
      </w:r>
      <w:r w:rsidR="00A93F18" w:rsidRPr="00D3114C">
        <w:rPr>
          <w:rFonts w:ascii="Tahoma" w:eastAsiaTheme="minorHAnsi" w:hAnsi="Tahoma" w:cs="Tahoma"/>
          <w:b/>
          <w:lang w:eastAsia="en-US"/>
        </w:rPr>
        <w:t xml:space="preserve"> </w:t>
      </w:r>
      <w:r w:rsidR="00F93FA7" w:rsidRPr="00D3114C">
        <w:rPr>
          <w:rFonts w:ascii="Tahoma" w:hAnsi="Tahoma" w:cs="Tahoma"/>
          <w:lang w:val="es-ES_tradnl"/>
        </w:rPr>
        <w:t xml:space="preserve">ordenando al referido fondo, entre otras cosas, trasladar la totalidad del capital acumulado en la cuenta de ahorro individual de la afiliada a Colpensiones, así como de los respectivos rendimientos financieros producidos por dicho saldo y el valor del bono pensional si existiere. </w:t>
      </w:r>
      <w:r w:rsidR="00FC7A47" w:rsidRPr="00D3114C">
        <w:rPr>
          <w:rFonts w:ascii="Tahoma" w:hAnsi="Tahoma" w:cs="Tahoma"/>
          <w:lang w:val="es-ES_tradnl"/>
        </w:rPr>
        <w:t xml:space="preserve">Igualmente ordenó restituir al fondo público, con cargo a sus propios recursos y debidamente indexados, los valores que descontó a la actora durante su permanencia en esa entidad y que estuvieron dirigidos a la cancelar los </w:t>
      </w:r>
      <w:r w:rsidR="00FC7A47" w:rsidRPr="00D3114C">
        <w:rPr>
          <w:rFonts w:ascii="Tahoma" w:hAnsi="Tahoma" w:cs="Tahoma"/>
          <w:lang w:val="es-ES_tradnl"/>
        </w:rPr>
        <w:lastRenderedPageBreak/>
        <w:t>gastos de administración, las primas de los seguros previsionales de invalidez y sobrevivientes y la garantía de pensión mínima.</w:t>
      </w:r>
    </w:p>
    <w:p w14:paraId="1836ABFA" w14:textId="247B07F0" w:rsidR="00A53B43" w:rsidRPr="00D3114C" w:rsidRDefault="00A53B43" w:rsidP="00D3114C">
      <w:pPr>
        <w:tabs>
          <w:tab w:val="left" w:pos="2836"/>
        </w:tabs>
        <w:spacing w:line="276" w:lineRule="auto"/>
        <w:rPr>
          <w:rFonts w:ascii="Tahoma" w:hAnsi="Tahoma" w:cs="Tahoma"/>
          <w:lang w:val="es-ES_tradnl"/>
        </w:rPr>
      </w:pPr>
    </w:p>
    <w:p w14:paraId="58ED531B" w14:textId="12E99A75" w:rsidR="00A2721B" w:rsidRPr="00D3114C" w:rsidRDefault="009D7617" w:rsidP="00D3114C">
      <w:pPr>
        <w:spacing w:line="276" w:lineRule="auto"/>
        <w:ind w:firstLine="708"/>
        <w:jc w:val="both"/>
        <w:rPr>
          <w:rFonts w:ascii="Tahoma" w:hAnsi="Tahoma" w:cs="Tahoma"/>
        </w:rPr>
      </w:pPr>
      <w:r w:rsidRPr="00D3114C">
        <w:rPr>
          <w:rFonts w:ascii="Tahoma" w:hAnsi="Tahoma" w:cs="Tahoma"/>
        </w:rPr>
        <w:t xml:space="preserve">En ambas </w:t>
      </w:r>
      <w:r w:rsidR="00AE0D3D" w:rsidRPr="00D3114C">
        <w:rPr>
          <w:rFonts w:ascii="Tahoma" w:hAnsi="Tahoma" w:cs="Tahoma"/>
        </w:rPr>
        <w:t xml:space="preserve">instancias </w:t>
      </w:r>
      <w:r w:rsidRPr="00D3114C">
        <w:rPr>
          <w:rFonts w:ascii="Tahoma" w:hAnsi="Tahoma" w:cs="Tahoma"/>
        </w:rPr>
        <w:t>se condenó a la AFP Porvenir S.A. al pago de las costas procesales, en un 100% y 50%, respectivamente, a favor de su contendiente.</w:t>
      </w:r>
    </w:p>
    <w:p w14:paraId="34E8724A" w14:textId="02D691EA" w:rsidR="002978C6" w:rsidRPr="00D3114C" w:rsidRDefault="002978C6" w:rsidP="00D3114C">
      <w:pPr>
        <w:spacing w:line="276" w:lineRule="auto"/>
        <w:ind w:firstLine="708"/>
        <w:jc w:val="both"/>
        <w:rPr>
          <w:rFonts w:ascii="Tahoma" w:hAnsi="Tahoma" w:cs="Tahoma"/>
        </w:rPr>
      </w:pPr>
    </w:p>
    <w:p w14:paraId="7CA87BE5" w14:textId="77777777" w:rsidR="00AE0D3D" w:rsidRPr="00D3114C" w:rsidRDefault="00AE0D3D" w:rsidP="00D3114C">
      <w:pPr>
        <w:spacing w:line="276" w:lineRule="auto"/>
        <w:ind w:firstLine="708"/>
        <w:jc w:val="both"/>
        <w:rPr>
          <w:rFonts w:ascii="Tahoma" w:hAnsi="Tahoma" w:cs="Tahoma"/>
        </w:rPr>
      </w:pPr>
    </w:p>
    <w:p w14:paraId="360D1880" w14:textId="77777777" w:rsidR="003A0D91" w:rsidRPr="00D3114C" w:rsidRDefault="003A0D91" w:rsidP="00D3114C">
      <w:pPr>
        <w:pStyle w:val="Prrafodelista"/>
        <w:numPr>
          <w:ilvl w:val="0"/>
          <w:numId w:val="1"/>
        </w:numPr>
        <w:tabs>
          <w:tab w:val="left" w:pos="284"/>
        </w:tabs>
        <w:spacing w:line="276" w:lineRule="auto"/>
        <w:jc w:val="center"/>
        <w:rPr>
          <w:rFonts w:ascii="Tahoma" w:hAnsi="Tahoma" w:cs="Tahoma"/>
          <w:b/>
          <w:bCs/>
        </w:rPr>
      </w:pPr>
      <w:r w:rsidRPr="00D3114C">
        <w:rPr>
          <w:rFonts w:ascii="Tahoma" w:hAnsi="Tahoma" w:cs="Tahoma"/>
          <w:b/>
          <w:bCs/>
        </w:rPr>
        <w:t>Auto objeto de apelación</w:t>
      </w:r>
    </w:p>
    <w:p w14:paraId="2F71C85C" w14:textId="77777777" w:rsidR="003A0D91" w:rsidRPr="00D3114C" w:rsidRDefault="003A0D91" w:rsidP="00D3114C">
      <w:pPr>
        <w:spacing w:line="276" w:lineRule="auto"/>
        <w:rPr>
          <w:rFonts w:ascii="Tahoma" w:hAnsi="Tahoma" w:cs="Tahoma"/>
        </w:rPr>
      </w:pPr>
    </w:p>
    <w:p w14:paraId="3B202D71" w14:textId="7AE5634E" w:rsidR="003A0D91" w:rsidRPr="00D3114C" w:rsidRDefault="003A0D91" w:rsidP="00D3114C">
      <w:pPr>
        <w:spacing w:line="276" w:lineRule="auto"/>
        <w:ind w:firstLine="708"/>
        <w:jc w:val="both"/>
        <w:rPr>
          <w:rFonts w:ascii="Tahoma" w:hAnsi="Tahoma" w:cs="Tahoma"/>
        </w:rPr>
      </w:pPr>
      <w:r w:rsidRPr="00D3114C">
        <w:rPr>
          <w:rFonts w:ascii="Tahoma" w:hAnsi="Tahoma" w:cs="Tahoma"/>
        </w:rPr>
        <w:t xml:space="preserve">Una vez allegado el expediente al juzgado de origen, mediante auto del </w:t>
      </w:r>
      <w:r w:rsidR="00AC54F0" w:rsidRPr="00D3114C">
        <w:rPr>
          <w:rFonts w:ascii="Tahoma" w:hAnsi="Tahoma" w:cs="Tahoma"/>
        </w:rPr>
        <w:t>7 de julio de 2021</w:t>
      </w:r>
      <w:r w:rsidRPr="00D3114C">
        <w:rPr>
          <w:rFonts w:ascii="Tahoma" w:hAnsi="Tahoma" w:cs="Tahoma"/>
        </w:rPr>
        <w:t xml:space="preserve"> </w:t>
      </w:r>
      <w:r w:rsidR="00AE0D3D" w:rsidRPr="00D3114C">
        <w:rPr>
          <w:rFonts w:ascii="Tahoma" w:hAnsi="Tahoma" w:cs="Tahoma"/>
        </w:rPr>
        <w:t xml:space="preserve">se aprobó la </w:t>
      </w:r>
      <w:r w:rsidRPr="00D3114C">
        <w:rPr>
          <w:rFonts w:ascii="Tahoma" w:hAnsi="Tahoma" w:cs="Tahoma"/>
        </w:rPr>
        <w:t>liquid</w:t>
      </w:r>
      <w:r w:rsidR="00AE0D3D" w:rsidRPr="00D3114C">
        <w:rPr>
          <w:rFonts w:ascii="Tahoma" w:hAnsi="Tahoma" w:cs="Tahoma"/>
        </w:rPr>
        <w:t>ación de</w:t>
      </w:r>
      <w:r w:rsidRPr="00D3114C">
        <w:rPr>
          <w:rFonts w:ascii="Tahoma" w:hAnsi="Tahoma" w:cs="Tahoma"/>
        </w:rPr>
        <w:t xml:space="preserve"> las costas procesales</w:t>
      </w:r>
      <w:r w:rsidR="00AE0D3D" w:rsidRPr="00D3114C">
        <w:rPr>
          <w:rFonts w:ascii="Tahoma" w:hAnsi="Tahoma" w:cs="Tahoma"/>
        </w:rPr>
        <w:t xml:space="preserve"> efectuada por la secretaría del mismo</w:t>
      </w:r>
      <w:r w:rsidRPr="00D3114C">
        <w:rPr>
          <w:rFonts w:ascii="Tahoma" w:hAnsi="Tahoma" w:cs="Tahoma"/>
        </w:rPr>
        <w:t xml:space="preserve">, </w:t>
      </w:r>
      <w:r w:rsidR="00AE0D3D" w:rsidRPr="00D3114C">
        <w:rPr>
          <w:rFonts w:ascii="Tahoma" w:hAnsi="Tahoma" w:cs="Tahoma"/>
        </w:rPr>
        <w:t xml:space="preserve">en la cual se </w:t>
      </w:r>
      <w:r w:rsidRPr="00D3114C">
        <w:rPr>
          <w:rFonts w:ascii="Tahoma" w:hAnsi="Tahoma" w:cs="Tahoma"/>
        </w:rPr>
        <w:t>establecie</w:t>
      </w:r>
      <w:r w:rsidR="00AE0D3D" w:rsidRPr="00D3114C">
        <w:rPr>
          <w:rFonts w:ascii="Tahoma" w:hAnsi="Tahoma" w:cs="Tahoma"/>
        </w:rPr>
        <w:t xml:space="preserve">ron </w:t>
      </w:r>
      <w:r w:rsidRPr="00D3114C">
        <w:rPr>
          <w:rFonts w:ascii="Tahoma" w:hAnsi="Tahoma" w:cs="Tahoma"/>
        </w:rPr>
        <w:t>las agencias en derecho en el siguiente sentido:</w:t>
      </w:r>
    </w:p>
    <w:p w14:paraId="7FC7803F" w14:textId="77777777" w:rsidR="00CF3E7E" w:rsidRPr="00D3114C" w:rsidRDefault="00CF3E7E" w:rsidP="00D3114C">
      <w:pPr>
        <w:spacing w:line="276" w:lineRule="auto"/>
        <w:ind w:firstLine="708"/>
        <w:jc w:val="both"/>
        <w:rPr>
          <w:rFonts w:ascii="Tahoma" w:hAnsi="Tahoma" w:cs="Tahoma"/>
        </w:rPr>
      </w:pPr>
    </w:p>
    <w:p w14:paraId="6576E1C9" w14:textId="16E7F0C5" w:rsidR="00CF3E7E" w:rsidRPr="00F76BB7" w:rsidRDefault="00CF3E7E" w:rsidP="00204CB3">
      <w:pPr>
        <w:spacing w:line="276" w:lineRule="auto"/>
        <w:ind w:left="567"/>
        <w:jc w:val="both"/>
        <w:rPr>
          <w:rFonts w:ascii="Tahoma" w:hAnsi="Tahoma" w:cs="Tahoma"/>
          <w:sz w:val="22"/>
        </w:rPr>
      </w:pPr>
      <w:r w:rsidRPr="00F76BB7">
        <w:rPr>
          <w:rFonts w:ascii="Tahoma" w:hAnsi="Tahoma" w:cs="Tahoma"/>
          <w:sz w:val="22"/>
        </w:rPr>
        <w:t xml:space="preserve">“AGENCIAS EN DERECHO 100% A CARGO DE LA PARTE DEMANDADA PORVENIR S.A. Y EN FAVOR DE LA PARTE DEMANDANTE, </w:t>
      </w:r>
      <w:r w:rsidR="00923500" w:rsidRPr="00F76BB7">
        <w:rPr>
          <w:rFonts w:ascii="Tahoma" w:hAnsi="Tahoma" w:cs="Tahoma"/>
          <w:sz w:val="22"/>
        </w:rPr>
        <w:t>IMPUESTA EN PRIMERA INSTANCIA, ASÍ:</w:t>
      </w:r>
    </w:p>
    <w:p w14:paraId="5B0C73E8" w14:textId="77777777" w:rsidR="002A2D6F" w:rsidRPr="00F76BB7" w:rsidRDefault="002A2D6F" w:rsidP="00204CB3">
      <w:pPr>
        <w:spacing w:line="276" w:lineRule="auto"/>
        <w:ind w:left="567"/>
        <w:jc w:val="both"/>
        <w:rPr>
          <w:rFonts w:ascii="Tahoma" w:hAnsi="Tahoma" w:cs="Tahoma"/>
          <w:sz w:val="22"/>
        </w:rPr>
      </w:pPr>
    </w:p>
    <w:p w14:paraId="367F2D5C" w14:textId="05462631" w:rsidR="002978C6" w:rsidRPr="00F76BB7" w:rsidRDefault="002978C6" w:rsidP="00204CB3">
      <w:pPr>
        <w:spacing w:line="276" w:lineRule="auto"/>
        <w:ind w:left="1275" w:firstLine="141"/>
        <w:rPr>
          <w:rFonts w:ascii="Tahoma" w:hAnsi="Tahoma" w:cs="Tahoma"/>
          <w:sz w:val="22"/>
          <w:u w:val="single"/>
        </w:rPr>
      </w:pPr>
      <w:r w:rsidRPr="00F76BB7">
        <w:rPr>
          <w:rFonts w:ascii="Tahoma" w:hAnsi="Tahoma" w:cs="Tahoma"/>
          <w:sz w:val="22"/>
        </w:rPr>
        <w:t>SUB TOTAL</w:t>
      </w:r>
      <w:r w:rsidR="00270AE1">
        <w:rPr>
          <w:rFonts w:ascii="Tahoma" w:hAnsi="Tahoma" w:cs="Tahoma"/>
          <w:sz w:val="22"/>
        </w:rPr>
        <w:tab/>
      </w:r>
      <w:r w:rsidR="00270AE1">
        <w:rPr>
          <w:rFonts w:ascii="Tahoma" w:hAnsi="Tahoma" w:cs="Tahoma"/>
          <w:sz w:val="22"/>
        </w:rPr>
        <w:tab/>
      </w:r>
      <w:r w:rsidR="00270AE1">
        <w:rPr>
          <w:rFonts w:ascii="Tahoma" w:hAnsi="Tahoma" w:cs="Tahoma"/>
          <w:sz w:val="22"/>
        </w:rPr>
        <w:tab/>
      </w:r>
      <w:r w:rsidR="00270AE1">
        <w:rPr>
          <w:rFonts w:ascii="Tahoma" w:hAnsi="Tahoma" w:cs="Tahoma"/>
          <w:sz w:val="22"/>
        </w:rPr>
        <w:tab/>
      </w:r>
      <w:r w:rsidR="00270AE1">
        <w:rPr>
          <w:rFonts w:ascii="Tahoma" w:hAnsi="Tahoma" w:cs="Tahoma"/>
          <w:sz w:val="22"/>
        </w:rPr>
        <w:tab/>
      </w:r>
      <w:r w:rsidR="00270AE1">
        <w:rPr>
          <w:rFonts w:ascii="Tahoma" w:hAnsi="Tahoma" w:cs="Tahoma"/>
          <w:sz w:val="22"/>
        </w:rPr>
        <w:tab/>
      </w:r>
      <w:r w:rsidRPr="00F76BB7">
        <w:rPr>
          <w:rFonts w:ascii="Tahoma" w:hAnsi="Tahoma" w:cs="Tahoma"/>
          <w:sz w:val="22"/>
          <w:u w:val="single"/>
        </w:rPr>
        <w:t>$</w:t>
      </w:r>
      <w:r w:rsidR="00A05A45" w:rsidRPr="00F76BB7">
        <w:rPr>
          <w:rFonts w:ascii="Tahoma" w:hAnsi="Tahoma" w:cs="Tahoma"/>
          <w:sz w:val="22"/>
          <w:u w:val="single"/>
        </w:rPr>
        <w:t>4.542.630,</w:t>
      </w:r>
      <w:r w:rsidR="00F76BB7" w:rsidRPr="00F76BB7">
        <w:rPr>
          <w:rFonts w:ascii="Tahoma" w:hAnsi="Tahoma" w:cs="Tahoma"/>
          <w:sz w:val="22"/>
          <w:u w:val="single"/>
        </w:rPr>
        <w:t>00</w:t>
      </w:r>
    </w:p>
    <w:p w14:paraId="67BFD21D" w14:textId="06AF11AF" w:rsidR="00B46D23" w:rsidRPr="00F76BB7" w:rsidRDefault="00857FC4" w:rsidP="00204CB3">
      <w:pPr>
        <w:spacing w:line="276" w:lineRule="auto"/>
        <w:ind w:left="5664" w:firstLine="708"/>
        <w:rPr>
          <w:rFonts w:ascii="Tahoma" w:hAnsi="Tahoma" w:cs="Tahoma"/>
          <w:sz w:val="22"/>
        </w:rPr>
      </w:pPr>
      <w:r w:rsidRPr="00F76BB7">
        <w:rPr>
          <w:rFonts w:ascii="Tahoma" w:hAnsi="Tahoma" w:cs="Tahoma"/>
          <w:sz w:val="22"/>
        </w:rPr>
        <w:t>$</w:t>
      </w:r>
      <w:r w:rsidR="009C2109" w:rsidRPr="00F76BB7">
        <w:rPr>
          <w:rFonts w:ascii="Tahoma" w:hAnsi="Tahoma" w:cs="Tahoma"/>
          <w:sz w:val="22"/>
        </w:rPr>
        <w:t>4.542.630,</w:t>
      </w:r>
      <w:r w:rsidR="00F76BB7" w:rsidRPr="00F76BB7">
        <w:rPr>
          <w:rFonts w:ascii="Tahoma" w:hAnsi="Tahoma" w:cs="Tahoma"/>
          <w:sz w:val="22"/>
        </w:rPr>
        <w:t>00</w:t>
      </w:r>
    </w:p>
    <w:p w14:paraId="4154EA90" w14:textId="77777777" w:rsidR="00B46D23" w:rsidRPr="00F76BB7" w:rsidRDefault="00B46D23" w:rsidP="00204CB3">
      <w:pPr>
        <w:spacing w:line="276" w:lineRule="auto"/>
        <w:ind w:left="567"/>
        <w:rPr>
          <w:rFonts w:ascii="Tahoma" w:hAnsi="Tahoma" w:cs="Tahoma"/>
          <w:sz w:val="22"/>
        </w:rPr>
      </w:pPr>
    </w:p>
    <w:p w14:paraId="06FEA491" w14:textId="550EFFE7" w:rsidR="005759A7" w:rsidRPr="00F76BB7" w:rsidRDefault="002D6AB8" w:rsidP="00204CB3">
      <w:pPr>
        <w:spacing w:line="276" w:lineRule="auto"/>
        <w:ind w:left="567"/>
        <w:jc w:val="both"/>
        <w:rPr>
          <w:rFonts w:ascii="Tahoma" w:hAnsi="Tahoma" w:cs="Tahoma"/>
          <w:sz w:val="22"/>
        </w:rPr>
      </w:pPr>
      <w:r w:rsidRPr="00F76BB7">
        <w:rPr>
          <w:rFonts w:ascii="Tahoma" w:hAnsi="Tahoma" w:cs="Tahoma"/>
          <w:sz w:val="22"/>
        </w:rPr>
        <w:t>AGENCIAS EN DERECHO 100% A CARGO DE LA PARTE DEMANDADA Y EN FAVOR DE LA PARTE DEMANDANTE, IMPUESTAS EN SEGUNDA INSTANCIA, AS</w:t>
      </w:r>
      <w:r w:rsidR="005254B3" w:rsidRPr="00F76BB7">
        <w:rPr>
          <w:rFonts w:ascii="Tahoma" w:hAnsi="Tahoma" w:cs="Tahoma"/>
          <w:sz w:val="22"/>
        </w:rPr>
        <w:t>Í</w:t>
      </w:r>
      <w:r w:rsidR="00A43F5A" w:rsidRPr="00F76BB7">
        <w:rPr>
          <w:rFonts w:ascii="Tahoma" w:hAnsi="Tahoma" w:cs="Tahoma"/>
          <w:sz w:val="22"/>
        </w:rPr>
        <w:t xml:space="preserve">: </w:t>
      </w:r>
    </w:p>
    <w:p w14:paraId="26099465" w14:textId="77777777" w:rsidR="00485D57" w:rsidRPr="00F76BB7" w:rsidRDefault="00485D57" w:rsidP="00204CB3">
      <w:pPr>
        <w:spacing w:line="276" w:lineRule="auto"/>
        <w:ind w:left="567"/>
        <w:rPr>
          <w:rFonts w:ascii="Tahoma" w:hAnsi="Tahoma" w:cs="Tahoma"/>
          <w:sz w:val="22"/>
        </w:rPr>
      </w:pPr>
    </w:p>
    <w:p w14:paraId="02241690" w14:textId="39D0CCD5" w:rsidR="005759A7" w:rsidRPr="00F76BB7" w:rsidRDefault="005759A7" w:rsidP="00204CB3">
      <w:pPr>
        <w:spacing w:line="276" w:lineRule="auto"/>
        <w:ind w:left="567"/>
        <w:rPr>
          <w:rFonts w:ascii="Tahoma" w:hAnsi="Tahoma" w:cs="Tahoma"/>
          <w:sz w:val="22"/>
        </w:rPr>
      </w:pPr>
      <w:r w:rsidRPr="00F76BB7">
        <w:rPr>
          <w:rFonts w:ascii="Tahoma" w:hAnsi="Tahoma" w:cs="Tahoma"/>
          <w:sz w:val="22"/>
        </w:rPr>
        <w:t>A CARFO DE AFP. PORVENIR S.A. 50%</w:t>
      </w:r>
      <w:r w:rsidR="00270AE1">
        <w:rPr>
          <w:rFonts w:ascii="Tahoma" w:hAnsi="Tahoma" w:cs="Tahoma"/>
          <w:sz w:val="22"/>
        </w:rPr>
        <w:tab/>
      </w:r>
      <w:r w:rsidR="00270AE1">
        <w:rPr>
          <w:rFonts w:ascii="Tahoma" w:hAnsi="Tahoma" w:cs="Tahoma"/>
          <w:sz w:val="22"/>
        </w:rPr>
        <w:tab/>
      </w:r>
      <w:r w:rsidR="00270AE1">
        <w:rPr>
          <w:rFonts w:ascii="Tahoma" w:hAnsi="Tahoma" w:cs="Tahoma"/>
          <w:sz w:val="22"/>
        </w:rPr>
        <w:tab/>
      </w:r>
      <w:r w:rsidR="003D2F98" w:rsidRPr="00F76BB7">
        <w:rPr>
          <w:rFonts w:ascii="Tahoma" w:hAnsi="Tahoma" w:cs="Tahoma"/>
          <w:sz w:val="22"/>
        </w:rPr>
        <w:t>$</w:t>
      </w:r>
      <w:r w:rsidR="00270AE1">
        <w:rPr>
          <w:rFonts w:ascii="Tahoma" w:hAnsi="Tahoma" w:cs="Tahoma"/>
          <w:sz w:val="22"/>
        </w:rPr>
        <w:t xml:space="preserve">   </w:t>
      </w:r>
      <w:r w:rsidR="003D2F98" w:rsidRPr="00F76BB7">
        <w:rPr>
          <w:rFonts w:ascii="Tahoma" w:hAnsi="Tahoma" w:cs="Tahoma"/>
          <w:sz w:val="22"/>
        </w:rPr>
        <w:t>908.526</w:t>
      </w:r>
      <w:r w:rsidR="00C649A1" w:rsidRPr="00F76BB7">
        <w:rPr>
          <w:rFonts w:ascii="Tahoma" w:hAnsi="Tahoma" w:cs="Tahoma"/>
          <w:sz w:val="22"/>
        </w:rPr>
        <w:t>,</w:t>
      </w:r>
      <w:r w:rsidR="00F76BB7" w:rsidRPr="00F76BB7">
        <w:rPr>
          <w:rFonts w:ascii="Tahoma" w:hAnsi="Tahoma" w:cs="Tahoma"/>
          <w:sz w:val="22"/>
        </w:rPr>
        <w:t>00</w:t>
      </w:r>
    </w:p>
    <w:p w14:paraId="4A2255D0" w14:textId="2375BE1F" w:rsidR="003D2F98" w:rsidRPr="00F76BB7" w:rsidRDefault="005759A7" w:rsidP="00204CB3">
      <w:pPr>
        <w:spacing w:line="276" w:lineRule="auto"/>
        <w:ind w:left="567"/>
        <w:rPr>
          <w:rFonts w:ascii="Tahoma" w:hAnsi="Tahoma" w:cs="Tahoma"/>
          <w:sz w:val="22"/>
        </w:rPr>
      </w:pPr>
      <w:r w:rsidRPr="00F76BB7">
        <w:rPr>
          <w:rFonts w:ascii="Tahoma" w:hAnsi="Tahoma" w:cs="Tahoma"/>
          <w:sz w:val="22"/>
        </w:rPr>
        <w:t>A CARGO DE COLPENSIONES 50%</w:t>
      </w:r>
      <w:r w:rsidR="00270AE1">
        <w:rPr>
          <w:rFonts w:ascii="Tahoma" w:hAnsi="Tahoma" w:cs="Tahoma"/>
          <w:sz w:val="22"/>
        </w:rPr>
        <w:tab/>
      </w:r>
      <w:r w:rsidR="00270AE1">
        <w:rPr>
          <w:rFonts w:ascii="Tahoma" w:hAnsi="Tahoma" w:cs="Tahoma"/>
          <w:sz w:val="22"/>
        </w:rPr>
        <w:tab/>
      </w:r>
      <w:r w:rsidR="00270AE1">
        <w:rPr>
          <w:rFonts w:ascii="Tahoma" w:hAnsi="Tahoma" w:cs="Tahoma"/>
          <w:sz w:val="22"/>
        </w:rPr>
        <w:tab/>
      </w:r>
      <w:r w:rsidR="00270AE1">
        <w:rPr>
          <w:rFonts w:ascii="Tahoma" w:hAnsi="Tahoma" w:cs="Tahoma"/>
          <w:sz w:val="22"/>
        </w:rPr>
        <w:tab/>
      </w:r>
      <w:r w:rsidR="0048013C" w:rsidRPr="00F76BB7">
        <w:rPr>
          <w:rFonts w:ascii="Tahoma" w:hAnsi="Tahoma" w:cs="Tahoma"/>
          <w:sz w:val="22"/>
          <w:u w:val="single"/>
        </w:rPr>
        <w:t>$</w:t>
      </w:r>
      <w:r w:rsidR="00270AE1">
        <w:rPr>
          <w:rFonts w:ascii="Tahoma" w:hAnsi="Tahoma" w:cs="Tahoma"/>
          <w:sz w:val="22"/>
          <w:u w:val="single"/>
        </w:rPr>
        <w:t xml:space="preserve">   </w:t>
      </w:r>
      <w:r w:rsidR="0048013C" w:rsidRPr="00F76BB7">
        <w:rPr>
          <w:rFonts w:ascii="Tahoma" w:hAnsi="Tahoma" w:cs="Tahoma"/>
          <w:sz w:val="22"/>
          <w:u w:val="single"/>
        </w:rPr>
        <w:t>90</w:t>
      </w:r>
      <w:r w:rsidR="001E3D2E" w:rsidRPr="00F76BB7">
        <w:rPr>
          <w:rFonts w:ascii="Tahoma" w:hAnsi="Tahoma" w:cs="Tahoma"/>
          <w:sz w:val="22"/>
          <w:u w:val="single"/>
        </w:rPr>
        <w:t>8.526,</w:t>
      </w:r>
      <w:r w:rsidR="00F76BB7" w:rsidRPr="00F76BB7">
        <w:rPr>
          <w:rFonts w:ascii="Tahoma" w:hAnsi="Tahoma" w:cs="Tahoma"/>
          <w:sz w:val="22"/>
          <w:u w:val="single"/>
        </w:rPr>
        <w:t>00</w:t>
      </w:r>
    </w:p>
    <w:p w14:paraId="1511BBFB" w14:textId="34D2435D" w:rsidR="00857FC4" w:rsidRPr="00F76BB7" w:rsidRDefault="003D2F98" w:rsidP="00204CB3">
      <w:pPr>
        <w:spacing w:line="276" w:lineRule="auto"/>
        <w:ind w:left="1275" w:firstLine="141"/>
        <w:jc w:val="both"/>
        <w:rPr>
          <w:rFonts w:ascii="Tahoma" w:hAnsi="Tahoma" w:cs="Tahoma"/>
          <w:sz w:val="22"/>
        </w:rPr>
      </w:pPr>
      <w:r w:rsidRPr="00F76BB7">
        <w:rPr>
          <w:rFonts w:ascii="Tahoma" w:hAnsi="Tahoma" w:cs="Tahoma"/>
          <w:sz w:val="22"/>
        </w:rPr>
        <w:t>SUB TOTAL</w:t>
      </w:r>
      <w:r w:rsidR="00270AE1">
        <w:rPr>
          <w:rFonts w:ascii="Tahoma" w:hAnsi="Tahoma" w:cs="Tahoma"/>
          <w:sz w:val="22"/>
        </w:rPr>
        <w:tab/>
      </w:r>
      <w:r w:rsidR="00270AE1">
        <w:rPr>
          <w:rFonts w:ascii="Tahoma" w:hAnsi="Tahoma" w:cs="Tahoma"/>
          <w:sz w:val="22"/>
        </w:rPr>
        <w:tab/>
      </w:r>
      <w:r w:rsidR="00270AE1">
        <w:rPr>
          <w:rFonts w:ascii="Tahoma" w:hAnsi="Tahoma" w:cs="Tahoma"/>
          <w:sz w:val="22"/>
        </w:rPr>
        <w:tab/>
      </w:r>
      <w:r w:rsidR="00270AE1">
        <w:rPr>
          <w:rFonts w:ascii="Tahoma" w:hAnsi="Tahoma" w:cs="Tahoma"/>
          <w:sz w:val="22"/>
        </w:rPr>
        <w:tab/>
      </w:r>
      <w:r w:rsidR="00204CB3">
        <w:rPr>
          <w:rFonts w:ascii="Tahoma" w:hAnsi="Tahoma" w:cs="Tahoma"/>
          <w:sz w:val="22"/>
        </w:rPr>
        <w:tab/>
      </w:r>
      <w:r w:rsidR="00204CB3">
        <w:rPr>
          <w:rFonts w:ascii="Tahoma" w:hAnsi="Tahoma" w:cs="Tahoma"/>
          <w:sz w:val="22"/>
        </w:rPr>
        <w:tab/>
      </w:r>
      <w:r w:rsidR="00DB0F9D" w:rsidRPr="00F76BB7">
        <w:rPr>
          <w:rFonts w:ascii="Tahoma" w:hAnsi="Tahoma" w:cs="Tahoma"/>
          <w:sz w:val="22"/>
        </w:rPr>
        <w:t>$1.817.052,</w:t>
      </w:r>
      <w:r w:rsidR="00F76BB7" w:rsidRPr="00F76BB7">
        <w:rPr>
          <w:rFonts w:ascii="Tahoma" w:hAnsi="Tahoma" w:cs="Tahoma"/>
          <w:sz w:val="22"/>
        </w:rPr>
        <w:t>00</w:t>
      </w:r>
    </w:p>
    <w:p w14:paraId="401BF6E5" w14:textId="6E36511A" w:rsidR="00E568C6" w:rsidRPr="00F76BB7" w:rsidRDefault="00E568C6" w:rsidP="00204CB3">
      <w:pPr>
        <w:spacing w:line="276" w:lineRule="auto"/>
        <w:ind w:left="567"/>
        <w:jc w:val="both"/>
        <w:rPr>
          <w:rFonts w:ascii="Tahoma" w:hAnsi="Tahoma" w:cs="Tahoma"/>
          <w:sz w:val="22"/>
        </w:rPr>
      </w:pPr>
    </w:p>
    <w:p w14:paraId="7D02CDA8" w14:textId="0A965808" w:rsidR="00E568C6" w:rsidRPr="00F76BB7" w:rsidRDefault="00E568C6" w:rsidP="00204CB3">
      <w:pPr>
        <w:spacing w:line="276" w:lineRule="auto"/>
        <w:ind w:left="567"/>
        <w:jc w:val="both"/>
        <w:rPr>
          <w:rFonts w:ascii="Tahoma" w:hAnsi="Tahoma" w:cs="Tahoma"/>
          <w:sz w:val="22"/>
        </w:rPr>
      </w:pPr>
      <w:r w:rsidRPr="00F76BB7">
        <w:rPr>
          <w:rFonts w:ascii="Tahoma" w:hAnsi="Tahoma" w:cs="Tahoma"/>
          <w:sz w:val="22"/>
        </w:rPr>
        <w:t>VALOR TOTAL</w:t>
      </w:r>
      <w:r w:rsidR="00204CB3">
        <w:rPr>
          <w:rFonts w:ascii="Tahoma" w:hAnsi="Tahoma" w:cs="Tahoma"/>
          <w:sz w:val="22"/>
        </w:rPr>
        <w:tab/>
      </w:r>
      <w:r w:rsidR="00204CB3">
        <w:rPr>
          <w:rFonts w:ascii="Tahoma" w:hAnsi="Tahoma" w:cs="Tahoma"/>
          <w:sz w:val="22"/>
        </w:rPr>
        <w:tab/>
      </w:r>
      <w:r w:rsidR="00204CB3">
        <w:rPr>
          <w:rFonts w:ascii="Tahoma" w:hAnsi="Tahoma" w:cs="Tahoma"/>
          <w:sz w:val="22"/>
        </w:rPr>
        <w:tab/>
      </w:r>
      <w:r w:rsidR="00204CB3">
        <w:rPr>
          <w:rFonts w:ascii="Tahoma" w:hAnsi="Tahoma" w:cs="Tahoma"/>
          <w:sz w:val="22"/>
        </w:rPr>
        <w:tab/>
      </w:r>
      <w:r w:rsidR="00204CB3">
        <w:rPr>
          <w:rFonts w:ascii="Tahoma" w:hAnsi="Tahoma" w:cs="Tahoma"/>
          <w:sz w:val="22"/>
        </w:rPr>
        <w:tab/>
      </w:r>
      <w:r w:rsidR="00204CB3">
        <w:rPr>
          <w:rFonts w:ascii="Tahoma" w:hAnsi="Tahoma" w:cs="Tahoma"/>
          <w:sz w:val="22"/>
        </w:rPr>
        <w:tab/>
      </w:r>
      <w:r w:rsidR="00204CB3">
        <w:rPr>
          <w:rFonts w:ascii="Tahoma" w:hAnsi="Tahoma" w:cs="Tahoma"/>
          <w:sz w:val="22"/>
        </w:rPr>
        <w:tab/>
      </w:r>
      <w:r w:rsidRPr="00F76BB7">
        <w:rPr>
          <w:rFonts w:ascii="Tahoma" w:hAnsi="Tahoma" w:cs="Tahoma"/>
          <w:sz w:val="22"/>
          <w:u w:val="single"/>
        </w:rPr>
        <w:t>$6.359.6</w:t>
      </w:r>
      <w:r w:rsidR="00485D57" w:rsidRPr="00F76BB7">
        <w:rPr>
          <w:rFonts w:ascii="Tahoma" w:hAnsi="Tahoma" w:cs="Tahoma"/>
          <w:sz w:val="22"/>
          <w:u w:val="single"/>
        </w:rPr>
        <w:t>82,</w:t>
      </w:r>
      <w:r w:rsidR="00F76BB7" w:rsidRPr="00F76BB7">
        <w:rPr>
          <w:rFonts w:ascii="Tahoma" w:hAnsi="Tahoma" w:cs="Tahoma"/>
          <w:sz w:val="22"/>
          <w:u w:val="single"/>
        </w:rPr>
        <w:t>00</w:t>
      </w:r>
    </w:p>
    <w:p w14:paraId="08B3A07B" w14:textId="77777777" w:rsidR="00485D57" w:rsidRPr="00F76BB7" w:rsidRDefault="00485D57" w:rsidP="00204CB3">
      <w:pPr>
        <w:spacing w:line="276" w:lineRule="auto"/>
        <w:ind w:left="567"/>
        <w:jc w:val="both"/>
        <w:rPr>
          <w:rFonts w:ascii="Tahoma" w:hAnsi="Tahoma" w:cs="Tahoma"/>
          <w:sz w:val="22"/>
        </w:rPr>
      </w:pPr>
    </w:p>
    <w:p w14:paraId="36D2677C" w14:textId="7D05B902" w:rsidR="005350F5" w:rsidRPr="00F76BB7" w:rsidRDefault="00485D57" w:rsidP="00204CB3">
      <w:pPr>
        <w:spacing w:line="276" w:lineRule="auto"/>
        <w:ind w:left="567"/>
        <w:jc w:val="both"/>
        <w:rPr>
          <w:rFonts w:ascii="Tahoma" w:hAnsi="Tahoma" w:cs="Tahoma"/>
          <w:sz w:val="22"/>
        </w:rPr>
      </w:pPr>
      <w:r w:rsidRPr="00F76BB7">
        <w:rPr>
          <w:rFonts w:ascii="Tahoma" w:hAnsi="Tahoma" w:cs="Tahoma"/>
          <w:sz w:val="22"/>
        </w:rPr>
        <w:t>SON: SEIS MILLONES TRESCIENTOS CINCUENTA Y NUEVE MIL SEISCIENTOS</w:t>
      </w:r>
      <w:r w:rsidR="004E7B9C" w:rsidRPr="00F76BB7">
        <w:rPr>
          <w:rFonts w:ascii="Tahoma" w:hAnsi="Tahoma" w:cs="Tahoma"/>
          <w:sz w:val="22"/>
        </w:rPr>
        <w:t xml:space="preserve"> OCHENTA Y DOS MCTE. ($6.359.682,</w:t>
      </w:r>
      <w:r w:rsidR="00F76BB7" w:rsidRPr="00F76BB7">
        <w:rPr>
          <w:rFonts w:ascii="Tahoma" w:hAnsi="Tahoma" w:cs="Tahoma"/>
          <w:sz w:val="22"/>
        </w:rPr>
        <w:t>00</w:t>
      </w:r>
      <w:r w:rsidR="004E7B9C" w:rsidRPr="00F76BB7">
        <w:rPr>
          <w:rFonts w:ascii="Tahoma" w:hAnsi="Tahoma" w:cs="Tahoma"/>
          <w:sz w:val="22"/>
        </w:rPr>
        <w:t>)</w:t>
      </w:r>
      <w:r w:rsidR="00DA3AF2" w:rsidRPr="00F76BB7">
        <w:rPr>
          <w:rFonts w:ascii="Tahoma" w:hAnsi="Tahoma" w:cs="Tahoma"/>
          <w:sz w:val="22"/>
        </w:rPr>
        <w:t>”</w:t>
      </w:r>
    </w:p>
    <w:p w14:paraId="74EFFBD4" w14:textId="682D48EB" w:rsidR="0019180A" w:rsidRDefault="0019180A" w:rsidP="00204CB3">
      <w:pPr>
        <w:spacing w:line="276" w:lineRule="auto"/>
        <w:jc w:val="both"/>
        <w:rPr>
          <w:rFonts w:ascii="Tahoma" w:hAnsi="Tahoma" w:cs="Tahoma"/>
        </w:rPr>
      </w:pPr>
    </w:p>
    <w:p w14:paraId="2C534A4C" w14:textId="77777777" w:rsidR="00AC14C2" w:rsidRPr="00D3114C" w:rsidRDefault="00AC14C2" w:rsidP="00204CB3">
      <w:pPr>
        <w:spacing w:line="276" w:lineRule="auto"/>
        <w:jc w:val="both"/>
        <w:rPr>
          <w:rFonts w:ascii="Tahoma" w:hAnsi="Tahoma" w:cs="Tahoma"/>
        </w:rPr>
      </w:pPr>
    </w:p>
    <w:p w14:paraId="2DC2FDB8" w14:textId="17A4D4DE" w:rsidR="0019180A" w:rsidRPr="00D3114C" w:rsidRDefault="0019180A" w:rsidP="00D3114C">
      <w:pPr>
        <w:pStyle w:val="Prrafodelista"/>
        <w:numPr>
          <w:ilvl w:val="0"/>
          <w:numId w:val="1"/>
        </w:numPr>
        <w:tabs>
          <w:tab w:val="left" w:pos="284"/>
        </w:tabs>
        <w:spacing w:line="276" w:lineRule="auto"/>
        <w:ind w:left="0" w:firstLine="0"/>
        <w:jc w:val="center"/>
        <w:rPr>
          <w:rFonts w:ascii="Tahoma" w:hAnsi="Tahoma" w:cs="Tahoma"/>
          <w:b/>
          <w:bCs/>
        </w:rPr>
      </w:pPr>
      <w:r w:rsidRPr="00D3114C">
        <w:rPr>
          <w:rFonts w:ascii="Tahoma" w:hAnsi="Tahoma" w:cs="Tahoma"/>
          <w:b/>
          <w:bCs/>
        </w:rPr>
        <w:t>Recurso de apelación</w:t>
      </w:r>
    </w:p>
    <w:p w14:paraId="2C8C3790" w14:textId="77777777" w:rsidR="0019180A" w:rsidRPr="00D3114C" w:rsidRDefault="0019180A" w:rsidP="00D3114C">
      <w:pPr>
        <w:spacing w:line="276" w:lineRule="auto"/>
        <w:ind w:firstLine="708"/>
        <w:rPr>
          <w:rFonts w:ascii="Tahoma" w:hAnsi="Tahoma" w:cs="Tahoma"/>
          <w:lang w:val="es-419"/>
        </w:rPr>
      </w:pPr>
    </w:p>
    <w:p w14:paraId="79538B5F" w14:textId="77777777" w:rsidR="00AE4B9D" w:rsidRPr="00D3114C" w:rsidRDefault="00AE4B9D" w:rsidP="00D3114C">
      <w:pPr>
        <w:spacing w:line="276" w:lineRule="auto"/>
        <w:ind w:firstLine="708"/>
        <w:jc w:val="both"/>
        <w:rPr>
          <w:rStyle w:val="normaltextrun"/>
          <w:rFonts w:ascii="Tahoma" w:hAnsi="Tahoma" w:cs="Tahoma"/>
          <w:color w:val="000000"/>
        </w:rPr>
      </w:pPr>
      <w:r w:rsidRPr="00D3114C">
        <w:rPr>
          <w:rStyle w:val="normaltextrun"/>
          <w:rFonts w:ascii="Tahoma" w:hAnsi="Tahoma" w:cs="Tahoma"/>
          <w:color w:val="000000"/>
        </w:rPr>
        <w:t xml:space="preserve">El apoderado de Porvenir S.A. atacó la decisión arguyendo que no estaba de acuerdo con los $4.542.630 liquidados a cargo de esa entidad por concepto de agencias en derecho, siendo desproporcionadas ya que no guardan relación con la labor realizada por el apoderado de la parte actora, pues el proceso no tiene ninguna complejidad y su duración es relativamente corta; además. Porvenir S.A. no pudo evitar la demanda, ya que la ineficacia del traslado la debe decretar el Juez y no las partes.     </w:t>
      </w:r>
    </w:p>
    <w:p w14:paraId="6827931B" w14:textId="1516ADC8" w:rsidR="00984945" w:rsidRPr="00D3114C" w:rsidRDefault="00984945" w:rsidP="00D3114C">
      <w:pPr>
        <w:spacing w:line="276" w:lineRule="auto"/>
        <w:ind w:firstLine="708"/>
        <w:jc w:val="both"/>
        <w:rPr>
          <w:rStyle w:val="normaltextrun"/>
          <w:rFonts w:ascii="Tahoma" w:hAnsi="Tahoma" w:cs="Tahoma"/>
          <w:color w:val="000000"/>
        </w:rPr>
      </w:pPr>
    </w:p>
    <w:p w14:paraId="473454CE" w14:textId="560BC08A" w:rsidR="00AE4B9D" w:rsidRPr="00D3114C" w:rsidRDefault="00AE4B9D" w:rsidP="00D3114C">
      <w:pPr>
        <w:spacing w:line="276" w:lineRule="auto"/>
        <w:ind w:firstLine="708"/>
        <w:jc w:val="both"/>
        <w:rPr>
          <w:rStyle w:val="normaltextrun"/>
          <w:rFonts w:ascii="Tahoma" w:hAnsi="Tahoma" w:cs="Tahoma"/>
          <w:color w:val="000000"/>
        </w:rPr>
      </w:pPr>
      <w:r w:rsidRPr="00D3114C">
        <w:rPr>
          <w:rStyle w:val="normaltextrun"/>
          <w:rFonts w:ascii="Tahoma" w:hAnsi="Tahoma" w:cs="Tahoma"/>
          <w:color w:val="000000"/>
        </w:rPr>
        <w:t>Alegó que las agencias fijadas por el Despacho resultan contrarias a los lineamientos del C.G.P., habida cuenta que no fueron liquidadas bajo criterios razonables, objetivos y verificables, de conformidad con los principios de igualdad y congruencia procesal.</w:t>
      </w:r>
    </w:p>
    <w:p w14:paraId="38C2580F" w14:textId="12B90800" w:rsidR="00AE4B9D" w:rsidRPr="00D3114C" w:rsidRDefault="00AE4B9D" w:rsidP="00D3114C">
      <w:pPr>
        <w:spacing w:line="276" w:lineRule="auto"/>
        <w:ind w:firstLine="708"/>
        <w:jc w:val="both"/>
        <w:rPr>
          <w:rStyle w:val="normaltextrun"/>
          <w:rFonts w:ascii="Tahoma" w:hAnsi="Tahoma" w:cs="Tahoma"/>
          <w:color w:val="000000"/>
        </w:rPr>
      </w:pPr>
    </w:p>
    <w:p w14:paraId="5F74A597" w14:textId="65B62403" w:rsidR="00AE4B9D" w:rsidRPr="00D3114C" w:rsidRDefault="00AE4B9D" w:rsidP="00D3114C">
      <w:pPr>
        <w:spacing w:line="276" w:lineRule="auto"/>
        <w:ind w:firstLine="708"/>
        <w:jc w:val="both"/>
        <w:rPr>
          <w:rStyle w:val="normaltextrun"/>
          <w:rFonts w:ascii="Tahoma" w:hAnsi="Tahoma" w:cs="Tahoma"/>
          <w:color w:val="000000"/>
        </w:rPr>
      </w:pPr>
      <w:r w:rsidRPr="00D3114C">
        <w:rPr>
          <w:rStyle w:val="normaltextrun"/>
          <w:rFonts w:ascii="Tahoma" w:hAnsi="Tahoma" w:cs="Tahoma"/>
          <w:color w:val="000000"/>
        </w:rPr>
        <w:t>En ese orden de ideas, pidió que se disminuyera ostensiblemente la liquidación de las costas impuestas a cargo de Porvenir S.A.</w:t>
      </w:r>
    </w:p>
    <w:p w14:paraId="1B953D19" w14:textId="125600CE" w:rsidR="00AE4B9D" w:rsidRDefault="00AE4B9D" w:rsidP="00AC14C2">
      <w:pPr>
        <w:spacing w:line="276" w:lineRule="auto"/>
        <w:rPr>
          <w:rFonts w:ascii="Tahoma" w:hAnsi="Tahoma" w:cs="Tahoma"/>
          <w:b/>
          <w:bCs/>
        </w:rPr>
      </w:pPr>
    </w:p>
    <w:p w14:paraId="0869A559" w14:textId="77777777" w:rsidR="00AC14C2" w:rsidRPr="00D3114C" w:rsidRDefault="00AC14C2" w:rsidP="00AC14C2">
      <w:pPr>
        <w:spacing w:line="276" w:lineRule="auto"/>
        <w:rPr>
          <w:rFonts w:ascii="Tahoma" w:hAnsi="Tahoma" w:cs="Tahoma"/>
          <w:b/>
          <w:bCs/>
        </w:rPr>
      </w:pPr>
    </w:p>
    <w:p w14:paraId="0CC2877A" w14:textId="64D732E2" w:rsidR="00984945" w:rsidRPr="00D3114C" w:rsidRDefault="00984945" w:rsidP="00D3114C">
      <w:pPr>
        <w:pStyle w:val="Prrafodelista"/>
        <w:numPr>
          <w:ilvl w:val="0"/>
          <w:numId w:val="1"/>
        </w:numPr>
        <w:spacing w:line="276" w:lineRule="auto"/>
        <w:jc w:val="center"/>
        <w:rPr>
          <w:rFonts w:ascii="Tahoma" w:hAnsi="Tahoma" w:cs="Tahoma"/>
          <w:b/>
        </w:rPr>
      </w:pPr>
      <w:r w:rsidRPr="00D3114C">
        <w:rPr>
          <w:rFonts w:ascii="Tahoma" w:hAnsi="Tahoma" w:cs="Tahoma"/>
          <w:b/>
          <w:bCs/>
        </w:rPr>
        <w:t>Alegatos</w:t>
      </w:r>
      <w:r w:rsidRPr="00D3114C">
        <w:rPr>
          <w:rStyle w:val="normaltextrun"/>
          <w:rFonts w:ascii="Tahoma" w:hAnsi="Tahoma" w:cs="Tahoma"/>
          <w:b/>
          <w:bCs/>
        </w:rPr>
        <w:t xml:space="preserve"> de Conclusión</w:t>
      </w:r>
    </w:p>
    <w:p w14:paraId="1DD4176F" w14:textId="77777777" w:rsidR="00984945" w:rsidRPr="00D3114C" w:rsidRDefault="00984945" w:rsidP="00D3114C">
      <w:pPr>
        <w:pStyle w:val="paragraph"/>
        <w:spacing w:before="0" w:beforeAutospacing="0" w:after="0" w:afterAutospacing="0" w:line="276" w:lineRule="auto"/>
        <w:jc w:val="center"/>
        <w:textAlignment w:val="baseline"/>
        <w:rPr>
          <w:rFonts w:ascii="Tahoma" w:hAnsi="Tahoma" w:cs="Tahoma"/>
        </w:rPr>
      </w:pPr>
      <w:r w:rsidRPr="00D3114C">
        <w:rPr>
          <w:rStyle w:val="eop"/>
          <w:rFonts w:ascii="Tahoma" w:hAnsi="Tahoma" w:cs="Tahoma"/>
        </w:rPr>
        <w:t> </w:t>
      </w:r>
    </w:p>
    <w:p w14:paraId="1A0510D7" w14:textId="6C983F15" w:rsidR="00914F6E" w:rsidRPr="00D3114C" w:rsidRDefault="00984945" w:rsidP="00D3114C">
      <w:pPr>
        <w:spacing w:line="276" w:lineRule="auto"/>
        <w:ind w:firstLine="708"/>
        <w:jc w:val="both"/>
        <w:rPr>
          <w:rFonts w:ascii="Tahoma" w:hAnsi="Tahoma" w:cs="Tahoma"/>
          <w:color w:val="000000"/>
        </w:rPr>
      </w:pPr>
      <w:r w:rsidRPr="00D3114C">
        <w:rPr>
          <w:rStyle w:val="normaltextrun"/>
          <w:rFonts w:ascii="Tahoma" w:hAnsi="Tahoma" w:cs="Tahoma"/>
          <w:color w:val="000000"/>
        </w:rPr>
        <w:t xml:space="preserve">Ninguna de las partes allegó alegatos de conclusión dentro del término concedido para tal efecto. </w:t>
      </w:r>
    </w:p>
    <w:p w14:paraId="36687F68" w14:textId="57F8F7E2" w:rsidR="005A3E13" w:rsidRDefault="005A3E13" w:rsidP="00D3114C">
      <w:pPr>
        <w:spacing w:line="276" w:lineRule="auto"/>
        <w:jc w:val="both"/>
        <w:rPr>
          <w:rFonts w:ascii="Tahoma" w:hAnsi="Tahoma" w:cs="Tahoma"/>
          <w:lang w:val="es-ES"/>
        </w:rPr>
      </w:pPr>
    </w:p>
    <w:p w14:paraId="054A8DEB" w14:textId="77777777" w:rsidR="00AC14C2" w:rsidRPr="00D3114C" w:rsidRDefault="00AC14C2" w:rsidP="00D3114C">
      <w:pPr>
        <w:spacing w:line="276" w:lineRule="auto"/>
        <w:jc w:val="both"/>
        <w:rPr>
          <w:rFonts w:ascii="Tahoma" w:hAnsi="Tahoma" w:cs="Tahoma"/>
          <w:lang w:val="es-ES"/>
        </w:rPr>
      </w:pPr>
    </w:p>
    <w:p w14:paraId="5C0FE3E5" w14:textId="77777777" w:rsidR="00914F6E" w:rsidRPr="00D3114C" w:rsidRDefault="00914F6E" w:rsidP="00D3114C">
      <w:pPr>
        <w:pStyle w:val="Prrafodelista"/>
        <w:numPr>
          <w:ilvl w:val="0"/>
          <w:numId w:val="1"/>
        </w:numPr>
        <w:tabs>
          <w:tab w:val="left" w:pos="284"/>
        </w:tabs>
        <w:spacing w:line="276" w:lineRule="auto"/>
        <w:jc w:val="center"/>
        <w:rPr>
          <w:rFonts w:ascii="Tahoma" w:hAnsi="Tahoma" w:cs="Tahoma"/>
          <w:b/>
          <w:bCs/>
        </w:rPr>
      </w:pPr>
      <w:r w:rsidRPr="00D3114C">
        <w:rPr>
          <w:rFonts w:ascii="Tahoma" w:hAnsi="Tahoma" w:cs="Tahoma"/>
          <w:b/>
          <w:bCs/>
        </w:rPr>
        <w:t>Problema jurídico por resolver</w:t>
      </w:r>
    </w:p>
    <w:p w14:paraId="68A6B9C8" w14:textId="77777777" w:rsidR="00914F6E" w:rsidRPr="00D3114C" w:rsidRDefault="00914F6E" w:rsidP="00D3114C">
      <w:pPr>
        <w:spacing w:line="276" w:lineRule="auto"/>
        <w:ind w:firstLine="708"/>
        <w:rPr>
          <w:rFonts w:ascii="Tahoma" w:hAnsi="Tahoma" w:cs="Tahoma"/>
          <w:lang w:val="es-419"/>
        </w:rPr>
      </w:pPr>
    </w:p>
    <w:p w14:paraId="5F321595" w14:textId="77777777" w:rsidR="00914F6E" w:rsidRPr="00D3114C" w:rsidRDefault="00914F6E" w:rsidP="00D3114C">
      <w:pPr>
        <w:spacing w:line="276" w:lineRule="auto"/>
        <w:ind w:firstLine="561"/>
        <w:jc w:val="both"/>
        <w:rPr>
          <w:rFonts w:ascii="Tahoma" w:hAnsi="Tahoma" w:cs="Tahoma"/>
          <w:color w:val="000000"/>
          <w:spacing w:val="2"/>
        </w:rPr>
      </w:pPr>
      <w:r w:rsidRPr="00D3114C">
        <w:rPr>
          <w:rFonts w:ascii="Tahoma" w:hAnsi="Tahoma" w:cs="Tahoma"/>
        </w:rPr>
        <w:t>El</w:t>
      </w:r>
      <w:r w:rsidRPr="00D3114C">
        <w:rPr>
          <w:rFonts w:ascii="Tahoma" w:hAnsi="Tahoma" w:cs="Tahoma"/>
          <w:color w:val="000000"/>
          <w:spacing w:val="2"/>
        </w:rPr>
        <w:t xml:space="preserve"> asunto bajo estudio plantea a la Sala el siguiente problema jurídico:</w:t>
      </w:r>
    </w:p>
    <w:p w14:paraId="1F72CC7F" w14:textId="77777777" w:rsidR="00914F6E" w:rsidRPr="00D3114C" w:rsidRDefault="00914F6E" w:rsidP="00D3114C">
      <w:pPr>
        <w:pStyle w:val="Textoindependiente"/>
        <w:spacing w:after="0" w:line="276" w:lineRule="auto"/>
        <w:ind w:firstLine="600"/>
        <w:jc w:val="both"/>
        <w:rPr>
          <w:rFonts w:ascii="Tahoma" w:hAnsi="Tahoma" w:cs="Tahoma"/>
          <w:color w:val="000000"/>
          <w:spacing w:val="2"/>
        </w:rPr>
      </w:pPr>
    </w:p>
    <w:p w14:paraId="121BF609" w14:textId="77777777" w:rsidR="00914F6E" w:rsidRPr="00D3114C" w:rsidRDefault="00914F6E" w:rsidP="00D3114C">
      <w:pPr>
        <w:autoSpaceDE w:val="0"/>
        <w:autoSpaceDN w:val="0"/>
        <w:adjustRightInd w:val="0"/>
        <w:spacing w:line="276" w:lineRule="auto"/>
        <w:ind w:left="561"/>
        <w:jc w:val="both"/>
        <w:rPr>
          <w:rFonts w:ascii="Tahoma" w:hAnsi="Tahoma" w:cs="Tahoma"/>
          <w:color w:val="000000"/>
        </w:rPr>
      </w:pPr>
      <w:r w:rsidRPr="00D3114C">
        <w:rPr>
          <w:rFonts w:ascii="Tahoma" w:hAnsi="Tahoma" w:cs="Tahoma"/>
          <w:color w:val="000000"/>
        </w:rPr>
        <w:t>¿Las agencias en derecho fijadas en primera instancia, a favor de la parte demandante, se establecieron teniendo en cuenta los parámetros señalados por el Acuerdo PSAA16 –10554 de 2016?</w:t>
      </w:r>
    </w:p>
    <w:p w14:paraId="49D6258C" w14:textId="18332AAB" w:rsidR="005A3E13" w:rsidRDefault="005A3E13" w:rsidP="00D3114C">
      <w:pPr>
        <w:autoSpaceDE w:val="0"/>
        <w:autoSpaceDN w:val="0"/>
        <w:adjustRightInd w:val="0"/>
        <w:spacing w:line="276" w:lineRule="auto"/>
        <w:jc w:val="both"/>
        <w:rPr>
          <w:rFonts w:ascii="Tahoma" w:hAnsi="Tahoma" w:cs="Tahoma"/>
          <w:color w:val="000000"/>
        </w:rPr>
      </w:pPr>
    </w:p>
    <w:p w14:paraId="7DF8A1BB" w14:textId="77777777" w:rsidR="00AC14C2" w:rsidRPr="00D3114C" w:rsidRDefault="00AC14C2" w:rsidP="00D3114C">
      <w:pPr>
        <w:autoSpaceDE w:val="0"/>
        <w:autoSpaceDN w:val="0"/>
        <w:adjustRightInd w:val="0"/>
        <w:spacing w:line="276" w:lineRule="auto"/>
        <w:jc w:val="both"/>
        <w:rPr>
          <w:rFonts w:ascii="Tahoma" w:hAnsi="Tahoma" w:cs="Tahoma"/>
          <w:color w:val="000000"/>
        </w:rPr>
      </w:pPr>
    </w:p>
    <w:p w14:paraId="6E62DEB3" w14:textId="77777777" w:rsidR="0061359A" w:rsidRPr="0061359A" w:rsidRDefault="0061359A" w:rsidP="0061359A">
      <w:pPr>
        <w:numPr>
          <w:ilvl w:val="0"/>
          <w:numId w:val="1"/>
        </w:numPr>
        <w:autoSpaceDE w:val="0"/>
        <w:autoSpaceDN w:val="0"/>
        <w:adjustRightInd w:val="0"/>
        <w:spacing w:line="276" w:lineRule="auto"/>
        <w:contextualSpacing/>
        <w:jc w:val="center"/>
        <w:rPr>
          <w:rFonts w:ascii="Tahoma" w:eastAsiaTheme="minorHAnsi" w:hAnsi="Tahoma" w:cs="Tahoma"/>
          <w:b/>
          <w:bCs/>
          <w:color w:val="000000"/>
          <w:lang w:eastAsia="en-US"/>
        </w:rPr>
      </w:pPr>
      <w:r w:rsidRPr="0061359A">
        <w:rPr>
          <w:rFonts w:ascii="Tahoma" w:eastAsiaTheme="minorHAnsi" w:hAnsi="Tahoma" w:cs="Tahoma"/>
          <w:b/>
          <w:bCs/>
          <w:color w:val="000000"/>
          <w:lang w:eastAsia="en-US"/>
        </w:rPr>
        <w:t>Consideraciones</w:t>
      </w:r>
    </w:p>
    <w:p w14:paraId="62066586" w14:textId="77777777" w:rsidR="0061359A" w:rsidRPr="0061359A" w:rsidRDefault="0061359A" w:rsidP="0061359A">
      <w:pPr>
        <w:autoSpaceDE w:val="0"/>
        <w:autoSpaceDN w:val="0"/>
        <w:adjustRightInd w:val="0"/>
        <w:spacing w:line="276" w:lineRule="auto"/>
        <w:ind w:left="720"/>
        <w:contextualSpacing/>
        <w:jc w:val="both"/>
        <w:rPr>
          <w:rFonts w:ascii="Tahoma" w:eastAsiaTheme="minorHAnsi" w:hAnsi="Tahoma" w:cs="Tahoma"/>
          <w:b/>
          <w:bCs/>
          <w:color w:val="000000"/>
          <w:lang w:eastAsia="en-US"/>
        </w:rPr>
      </w:pPr>
    </w:p>
    <w:p w14:paraId="2A71A01F" w14:textId="77777777" w:rsidR="0061359A" w:rsidRPr="0061359A" w:rsidRDefault="0061359A" w:rsidP="0061359A">
      <w:pPr>
        <w:numPr>
          <w:ilvl w:val="1"/>
          <w:numId w:val="4"/>
        </w:numPr>
        <w:autoSpaceDE w:val="0"/>
        <w:autoSpaceDN w:val="0"/>
        <w:adjustRightInd w:val="0"/>
        <w:spacing w:line="276" w:lineRule="auto"/>
        <w:contextualSpacing/>
        <w:jc w:val="both"/>
        <w:rPr>
          <w:rFonts w:ascii="Tahoma" w:eastAsiaTheme="minorHAnsi" w:hAnsi="Tahoma" w:cs="Tahoma"/>
          <w:b/>
          <w:bCs/>
          <w:color w:val="000000"/>
          <w:lang w:eastAsia="en-US"/>
        </w:rPr>
      </w:pPr>
      <w:r w:rsidRPr="0061359A">
        <w:rPr>
          <w:rFonts w:ascii="Tahoma" w:eastAsiaTheme="minorHAnsi" w:hAnsi="Tahoma" w:cs="Tahoma"/>
          <w:b/>
          <w:bCs/>
          <w:color w:val="000000"/>
          <w:lang w:eastAsia="en-US"/>
        </w:rPr>
        <w:t xml:space="preserve">Las agencias en derecho en los procesos laborales </w:t>
      </w:r>
    </w:p>
    <w:p w14:paraId="641881F4" w14:textId="77777777" w:rsidR="0061359A" w:rsidRPr="0061359A" w:rsidRDefault="0061359A" w:rsidP="0061359A">
      <w:pPr>
        <w:autoSpaceDE w:val="0"/>
        <w:autoSpaceDN w:val="0"/>
        <w:adjustRightInd w:val="0"/>
        <w:spacing w:line="276" w:lineRule="auto"/>
        <w:ind w:left="1122"/>
        <w:jc w:val="both"/>
        <w:rPr>
          <w:rFonts w:ascii="Tahoma" w:hAnsi="Tahoma" w:cs="Tahoma"/>
          <w:b/>
          <w:bCs/>
          <w:color w:val="000000"/>
          <w:lang w:val="es-ES" w:eastAsia="es-ES"/>
        </w:rPr>
      </w:pPr>
    </w:p>
    <w:p w14:paraId="1B3E4C6D" w14:textId="77777777" w:rsidR="0061359A" w:rsidRPr="0061359A" w:rsidRDefault="0061359A" w:rsidP="0061359A">
      <w:pPr>
        <w:spacing w:line="276" w:lineRule="auto"/>
        <w:ind w:firstLine="709"/>
        <w:jc w:val="both"/>
        <w:rPr>
          <w:rFonts w:ascii="Tahoma" w:hAnsi="Tahoma" w:cs="Tahoma"/>
          <w:lang w:val="es-ES" w:eastAsia="es-ES"/>
        </w:rPr>
      </w:pPr>
      <w:r w:rsidRPr="0061359A">
        <w:rPr>
          <w:rFonts w:ascii="Tahoma" w:hAnsi="Tahoma" w:cs="Tahoma"/>
          <w:lang w:val="es-ES" w:eastAsia="es-ES"/>
        </w:rPr>
        <w:t>Frente a la tasación de las agencias en derecho, el doctrinante Azula Camacho</w:t>
      </w:r>
      <w:r w:rsidRPr="0061359A">
        <w:rPr>
          <w:rFonts w:ascii="Tahoma" w:hAnsi="Tahoma" w:cs="Tahoma"/>
          <w:vertAlign w:val="superscript"/>
          <w:lang w:val="es-ES" w:eastAsia="es-ES"/>
        </w:rPr>
        <w:footnoteReference w:id="1"/>
      </w:r>
      <w:r w:rsidRPr="0061359A">
        <w:rPr>
          <w:rFonts w:ascii="Tahoma" w:hAnsi="Tahoma" w:cs="Tahoma"/>
          <w:lang w:val="es-ES" w:eastAsia="es-ES"/>
        </w:rPr>
        <w:t xml:space="preserve"> ha referido:</w:t>
      </w:r>
    </w:p>
    <w:p w14:paraId="4006C2D2" w14:textId="77777777" w:rsidR="0061359A" w:rsidRPr="0061359A" w:rsidRDefault="0061359A" w:rsidP="0061359A">
      <w:pPr>
        <w:spacing w:line="276" w:lineRule="auto"/>
        <w:ind w:left="1122"/>
        <w:rPr>
          <w:rFonts w:ascii="Tahoma" w:hAnsi="Tahoma" w:cs="Tahoma"/>
          <w:lang w:val="es-ES" w:eastAsia="es-ES"/>
        </w:rPr>
      </w:pPr>
    </w:p>
    <w:p w14:paraId="5E6CC83B" w14:textId="77777777" w:rsidR="0061359A" w:rsidRPr="0061359A" w:rsidRDefault="0061359A" w:rsidP="0061359A">
      <w:pPr>
        <w:ind w:left="426" w:right="420"/>
        <w:jc w:val="both"/>
        <w:rPr>
          <w:rFonts w:ascii="Tahoma" w:hAnsi="Tahoma" w:cs="Tahoma"/>
          <w:sz w:val="22"/>
          <w:lang w:val="es-ES" w:eastAsia="es-ES"/>
        </w:rPr>
      </w:pPr>
      <w:r w:rsidRPr="0061359A">
        <w:rPr>
          <w:rFonts w:ascii="Tahoma" w:hAnsi="Tahoma" w:cs="Tahoma"/>
          <w:sz w:val="22"/>
          <w:lang w:val="es-ES" w:eastAsia="es-ES"/>
        </w:rPr>
        <w:t>“Para determinar el monto de las agencias en derecho, el artículo 366 (inc. 4</w:t>
      </w:r>
      <w:r w:rsidRPr="0061359A">
        <w:rPr>
          <w:rFonts w:ascii="Tahoma" w:hAnsi="Tahoma" w:cs="Tahoma"/>
          <w:sz w:val="22"/>
          <w:vertAlign w:val="superscript"/>
          <w:lang w:val="es-ES" w:eastAsia="es-ES"/>
        </w:rPr>
        <w:t>o</w:t>
      </w:r>
      <w:r w:rsidRPr="0061359A">
        <w:rPr>
          <w:rFonts w:ascii="Tahoma" w:hAnsi="Tahoma" w:cs="Tahoma"/>
          <w:sz w:val="22"/>
          <w:lang w:val="es-ES" w:eastAsia="es-ES"/>
        </w:rPr>
        <w:t>)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p>
    <w:p w14:paraId="0E4A6663" w14:textId="77777777" w:rsidR="0061359A" w:rsidRPr="0061359A" w:rsidRDefault="0061359A" w:rsidP="0061359A">
      <w:pPr>
        <w:autoSpaceDE w:val="0"/>
        <w:autoSpaceDN w:val="0"/>
        <w:adjustRightInd w:val="0"/>
        <w:spacing w:line="276" w:lineRule="auto"/>
        <w:ind w:left="1122"/>
        <w:jc w:val="both"/>
        <w:rPr>
          <w:rFonts w:ascii="Tahoma" w:hAnsi="Tahoma" w:cs="Tahoma"/>
          <w:b/>
          <w:bCs/>
          <w:color w:val="000000"/>
          <w:lang w:val="es-ES" w:eastAsia="es-ES"/>
        </w:rPr>
      </w:pPr>
    </w:p>
    <w:p w14:paraId="5746AD78" w14:textId="77777777" w:rsidR="0061359A" w:rsidRPr="0061359A" w:rsidRDefault="0061359A" w:rsidP="0061359A">
      <w:pPr>
        <w:autoSpaceDE w:val="0"/>
        <w:autoSpaceDN w:val="0"/>
        <w:adjustRightInd w:val="0"/>
        <w:spacing w:line="276" w:lineRule="auto"/>
        <w:ind w:firstLine="561"/>
        <w:jc w:val="both"/>
        <w:rPr>
          <w:rFonts w:ascii="Tahoma" w:hAnsi="Tahoma" w:cs="Tahoma"/>
          <w:lang w:val="es-ES" w:eastAsia="es-ES"/>
        </w:rPr>
      </w:pPr>
      <w:r w:rsidRPr="0061359A">
        <w:rPr>
          <w:rFonts w:ascii="Tahoma" w:hAnsi="Tahoma" w:cs="Tahoma"/>
          <w:lang w:val="es-ES" w:eastAsia="es-ES"/>
        </w:rPr>
        <w:t>Como se observa, en cuanto a las tarifas a aplicar por concepto de agencias en derecho, el Código General del Proceso en sus artículos 361 y 366 regula lo atinente a las costas procesales.  Allí señala que es el juez o magistrado que conoció el proceso en primera o única instancia quien debe fijar dichos emolumentos, y que, a pesar de ser discrecional, está limitado por las tarifas máximas y mínimas adoptadas por el Consejo Superior de la Judicatura. Así, según el Acuerdo PSAA16-10554 de 2016, para fijar las agencias en derecho se debe tener en cuenta:</w:t>
      </w:r>
    </w:p>
    <w:p w14:paraId="4D79B5B3" w14:textId="77777777" w:rsidR="0061359A" w:rsidRPr="0061359A" w:rsidRDefault="0061359A" w:rsidP="0061359A">
      <w:pPr>
        <w:autoSpaceDE w:val="0"/>
        <w:autoSpaceDN w:val="0"/>
        <w:adjustRightInd w:val="0"/>
        <w:spacing w:line="276" w:lineRule="auto"/>
        <w:ind w:firstLine="561"/>
        <w:jc w:val="both"/>
        <w:rPr>
          <w:rFonts w:ascii="Tahoma" w:hAnsi="Tahoma" w:cs="Tahoma"/>
          <w:lang w:val="es-ES" w:eastAsia="es-ES"/>
        </w:rPr>
      </w:pPr>
    </w:p>
    <w:p w14:paraId="513C7D73" w14:textId="77777777" w:rsidR="0061359A" w:rsidRPr="0061359A" w:rsidRDefault="0061359A" w:rsidP="0061359A">
      <w:pPr>
        <w:numPr>
          <w:ilvl w:val="0"/>
          <w:numId w:val="3"/>
        </w:numPr>
        <w:autoSpaceDE w:val="0"/>
        <w:autoSpaceDN w:val="0"/>
        <w:adjustRightInd w:val="0"/>
        <w:spacing w:line="276" w:lineRule="auto"/>
        <w:contextualSpacing/>
        <w:jc w:val="both"/>
        <w:rPr>
          <w:rFonts w:ascii="Tahoma" w:eastAsiaTheme="minorHAnsi" w:hAnsi="Tahoma" w:cs="Tahoma"/>
          <w:lang w:eastAsia="en-US"/>
        </w:rPr>
      </w:pPr>
      <w:r w:rsidRPr="0061359A">
        <w:rPr>
          <w:rFonts w:ascii="Tahoma" w:eastAsiaTheme="minorHAnsi" w:hAnsi="Tahoma" w:cs="Tahoma"/>
          <w:lang w:eastAsia="en-US"/>
        </w:rPr>
        <w:t xml:space="preserve">El tipo de proceso, precisando en su artículo 5.1 que en los procesos declarativos que carezcan de cuantía las agencias en derechos se </w:t>
      </w:r>
      <w:r w:rsidRPr="0061359A">
        <w:rPr>
          <w:rFonts w:ascii="Tahoma" w:eastAsiaTheme="minorHAnsi" w:hAnsi="Tahoma" w:cs="Tahoma"/>
          <w:lang w:eastAsia="en-US"/>
        </w:rPr>
        <w:lastRenderedPageBreak/>
        <w:t>establecerán en primera instancia entre 1 y 10 S.M.M.L.V., y en segunda instancia entre 1 y 6 S.M.M.L.V.</w:t>
      </w:r>
    </w:p>
    <w:p w14:paraId="18A5946C" w14:textId="77777777" w:rsidR="0061359A" w:rsidRPr="0061359A" w:rsidRDefault="0061359A" w:rsidP="0061359A">
      <w:pPr>
        <w:autoSpaceDE w:val="0"/>
        <w:autoSpaceDN w:val="0"/>
        <w:adjustRightInd w:val="0"/>
        <w:spacing w:line="276" w:lineRule="auto"/>
        <w:ind w:left="1011"/>
        <w:contextualSpacing/>
        <w:jc w:val="both"/>
        <w:rPr>
          <w:rFonts w:ascii="Tahoma" w:eastAsiaTheme="minorHAnsi" w:hAnsi="Tahoma" w:cs="Tahoma"/>
          <w:lang w:eastAsia="en-US"/>
        </w:rPr>
      </w:pPr>
    </w:p>
    <w:p w14:paraId="233BBF70" w14:textId="77777777" w:rsidR="0061359A" w:rsidRPr="0061359A" w:rsidRDefault="0061359A" w:rsidP="0061359A">
      <w:pPr>
        <w:numPr>
          <w:ilvl w:val="0"/>
          <w:numId w:val="3"/>
        </w:numPr>
        <w:autoSpaceDE w:val="0"/>
        <w:autoSpaceDN w:val="0"/>
        <w:adjustRightInd w:val="0"/>
        <w:spacing w:line="276" w:lineRule="auto"/>
        <w:contextualSpacing/>
        <w:jc w:val="both"/>
        <w:rPr>
          <w:rFonts w:ascii="Tahoma" w:eastAsiaTheme="minorHAnsi" w:hAnsi="Tahoma" w:cs="Tahoma"/>
          <w:lang w:eastAsia="en-US"/>
        </w:rPr>
      </w:pPr>
      <w:r w:rsidRPr="0061359A">
        <w:rPr>
          <w:rFonts w:ascii="Tahoma" w:eastAsiaTheme="minorHAnsi" w:hAnsi="Tahoma" w:cs="Tahoma"/>
          <w:lang w:eastAsia="en-US"/>
        </w:rPr>
        <w:t>Clase de pretensión: dispone el artículo 3º de la norma en comento:</w:t>
      </w:r>
    </w:p>
    <w:p w14:paraId="462BFB1D" w14:textId="77777777" w:rsidR="0061359A" w:rsidRPr="0061359A" w:rsidRDefault="0061359A" w:rsidP="0061359A">
      <w:pPr>
        <w:spacing w:line="276" w:lineRule="auto"/>
        <w:ind w:left="720"/>
        <w:contextualSpacing/>
        <w:jc w:val="both"/>
        <w:rPr>
          <w:rFonts w:ascii="Tahoma" w:eastAsiaTheme="minorHAnsi" w:hAnsi="Tahoma" w:cs="Tahoma"/>
          <w:lang w:eastAsia="en-US"/>
        </w:rPr>
      </w:pPr>
    </w:p>
    <w:p w14:paraId="204D4FB2" w14:textId="77777777" w:rsidR="0061359A" w:rsidRPr="0061359A" w:rsidRDefault="0061359A" w:rsidP="0061359A">
      <w:pPr>
        <w:ind w:left="426" w:right="420"/>
        <w:jc w:val="both"/>
        <w:rPr>
          <w:rFonts w:ascii="Tahoma" w:hAnsi="Tahoma" w:cs="Tahoma"/>
          <w:sz w:val="22"/>
          <w:lang w:val="es-ES" w:eastAsia="es-ES"/>
        </w:rPr>
      </w:pPr>
      <w:r w:rsidRPr="0061359A">
        <w:rPr>
          <w:rFonts w:ascii="Tahoma" w:hAnsi="Tahoma" w:cs="Tahoma"/>
          <w:sz w:val="22"/>
          <w:lang w:val="es-ES" w:eastAsia="es-ES"/>
        </w:rPr>
        <w:t>“ARTÍCULO 3º. Clases de límites. Cuando las agencias en derecho correspondan a procesos en los que se formularon pretensiones de índole pecuniario, o en los que en la determinación de la competencia se tuvo en cuenta la cuantía, las tarifas se establecen en porcentajes sobre el valor de aquellas o de ésta. Cuando la demanda no contenga pretensiones de dicha índole, o cuando se trate de la segunda instancia, de recursos, o de incidentes y de asuntos asimilables a los mismos, las tarifas se establecen en salarios mínimos mensuales legales vigentes, en delante S.M.M.L.V.”</w:t>
      </w:r>
    </w:p>
    <w:p w14:paraId="50F71011" w14:textId="77777777" w:rsidR="0061359A" w:rsidRPr="0061359A" w:rsidRDefault="0061359A" w:rsidP="0061359A">
      <w:pPr>
        <w:spacing w:line="276" w:lineRule="auto"/>
        <w:ind w:left="720"/>
        <w:contextualSpacing/>
        <w:jc w:val="both"/>
        <w:rPr>
          <w:rFonts w:ascii="Tahoma" w:eastAsiaTheme="minorHAnsi" w:hAnsi="Tahoma" w:cs="Tahoma"/>
          <w:lang w:eastAsia="en-US"/>
        </w:rPr>
      </w:pPr>
    </w:p>
    <w:p w14:paraId="3130430E" w14:textId="77777777" w:rsidR="0061359A" w:rsidRPr="0061359A" w:rsidRDefault="0061359A" w:rsidP="0061359A">
      <w:pPr>
        <w:numPr>
          <w:ilvl w:val="0"/>
          <w:numId w:val="3"/>
        </w:numPr>
        <w:autoSpaceDE w:val="0"/>
        <w:autoSpaceDN w:val="0"/>
        <w:adjustRightInd w:val="0"/>
        <w:spacing w:line="276" w:lineRule="auto"/>
        <w:contextualSpacing/>
        <w:jc w:val="both"/>
        <w:rPr>
          <w:rFonts w:ascii="Tahoma" w:eastAsiaTheme="minorHAnsi" w:hAnsi="Tahoma" w:cs="Tahoma"/>
          <w:lang w:eastAsia="en-US"/>
        </w:rPr>
      </w:pPr>
      <w:r w:rsidRPr="0061359A">
        <w:rPr>
          <w:rFonts w:ascii="Tahoma" w:eastAsiaTheme="minorHAnsi" w:hAnsi="Tahoma" w:cs="Tahoma"/>
          <w:lang w:eastAsia="en-US"/>
        </w:rPr>
        <w:t>Los criterios en particular de la actuación de la parte favorecida con la condena en costas, que permita valorar la labor jurídica desarrollada, estos últimos coinciden con los mencionados en el numeral 4º del artículo 366 del CGP, esto es, la naturaleza, la calidad y la duración de la gestión realizada por el apoderado, la cuantía del proceso y demás circunstancias relacionadas con dicha actividad.</w:t>
      </w:r>
    </w:p>
    <w:p w14:paraId="238932A0" w14:textId="77777777" w:rsidR="0061359A" w:rsidRPr="0061359A" w:rsidRDefault="0061359A" w:rsidP="0061359A">
      <w:pPr>
        <w:spacing w:line="276" w:lineRule="auto"/>
        <w:ind w:firstLine="709"/>
        <w:jc w:val="both"/>
        <w:rPr>
          <w:rFonts w:ascii="Tahoma" w:hAnsi="Tahoma" w:cs="Tahoma"/>
          <w:lang w:val="es-ES" w:eastAsia="es-ES"/>
        </w:rPr>
      </w:pPr>
    </w:p>
    <w:p w14:paraId="6167E2FD" w14:textId="77777777" w:rsidR="0061359A" w:rsidRPr="0061359A" w:rsidRDefault="0061359A" w:rsidP="0061359A">
      <w:pPr>
        <w:spacing w:line="276" w:lineRule="auto"/>
        <w:ind w:firstLine="709"/>
        <w:jc w:val="both"/>
        <w:rPr>
          <w:rFonts w:ascii="Tahoma" w:hAnsi="Tahoma" w:cs="Tahoma"/>
          <w:lang w:val="es-ES" w:eastAsia="es-ES"/>
        </w:rPr>
      </w:pPr>
      <w:r w:rsidRPr="0061359A">
        <w:rPr>
          <w:rFonts w:ascii="Tahoma" w:hAnsi="Tahoma" w:cs="Tahoma"/>
          <w:lang w:val="es-ES" w:eastAsia="es-ES"/>
        </w:rPr>
        <w:t>Asimismo, en su tratado de derecho procesal, el profesor Hernán Fabio López Blanco</w:t>
      </w:r>
      <w:r w:rsidRPr="0061359A">
        <w:rPr>
          <w:rFonts w:ascii="Tahoma" w:hAnsi="Tahoma" w:cs="Tahoma"/>
          <w:vertAlign w:val="superscript"/>
          <w:lang w:val="es-ES" w:eastAsia="es-ES"/>
        </w:rPr>
        <w:footnoteReference w:id="2"/>
      </w:r>
      <w:r w:rsidRPr="0061359A">
        <w:rPr>
          <w:rFonts w:ascii="Tahoma" w:hAnsi="Tahoma" w:cs="Tahoma"/>
          <w:lang w:val="es-ES" w:eastAsia="es-ES"/>
        </w:rPr>
        <w:t xml:space="preserve"> frente a las agencias en derecho ha preceptuado:</w:t>
      </w:r>
    </w:p>
    <w:p w14:paraId="697BECF5" w14:textId="77777777" w:rsidR="0061359A" w:rsidRPr="0061359A" w:rsidRDefault="0061359A" w:rsidP="0061359A">
      <w:pPr>
        <w:spacing w:line="276" w:lineRule="auto"/>
        <w:jc w:val="both"/>
        <w:rPr>
          <w:rFonts w:ascii="Tahoma" w:hAnsi="Tahoma" w:cs="Tahoma"/>
          <w:lang w:val="es-ES" w:eastAsia="es-ES"/>
        </w:rPr>
      </w:pPr>
    </w:p>
    <w:p w14:paraId="523E662B" w14:textId="77777777" w:rsidR="0061359A" w:rsidRPr="0061359A" w:rsidRDefault="0061359A" w:rsidP="0061359A">
      <w:pPr>
        <w:ind w:left="426" w:right="420"/>
        <w:jc w:val="both"/>
        <w:rPr>
          <w:rFonts w:ascii="Tahoma" w:hAnsi="Tahoma" w:cs="Tahoma"/>
          <w:sz w:val="22"/>
          <w:lang w:val="es-ES" w:eastAsia="es-ES"/>
        </w:rPr>
      </w:pPr>
      <w:r w:rsidRPr="0061359A">
        <w:rPr>
          <w:rFonts w:ascii="Tahoma" w:hAnsi="Tahoma" w:cs="Tahoma"/>
          <w:sz w:val="22"/>
          <w:lang w:val="es-ES" w:eastAsia="es-ES"/>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p>
    <w:p w14:paraId="3EE2606E" w14:textId="77777777" w:rsidR="0061359A" w:rsidRPr="0061359A" w:rsidRDefault="0061359A" w:rsidP="0061359A">
      <w:pPr>
        <w:ind w:left="426" w:right="420"/>
        <w:jc w:val="both"/>
        <w:rPr>
          <w:rFonts w:ascii="Tahoma" w:hAnsi="Tahoma" w:cs="Tahoma"/>
          <w:sz w:val="22"/>
          <w:lang w:val="es-ES" w:eastAsia="es-ES"/>
        </w:rPr>
      </w:pPr>
    </w:p>
    <w:p w14:paraId="0D9A2984" w14:textId="77777777" w:rsidR="0061359A" w:rsidRPr="0061359A" w:rsidRDefault="0061359A" w:rsidP="0061359A">
      <w:pPr>
        <w:ind w:left="426" w:right="420"/>
        <w:jc w:val="both"/>
        <w:rPr>
          <w:rFonts w:ascii="Tahoma" w:hAnsi="Tahoma" w:cs="Tahoma"/>
          <w:sz w:val="22"/>
          <w:lang w:val="es-ES" w:eastAsia="es-ES"/>
        </w:rPr>
      </w:pPr>
      <w:r w:rsidRPr="0061359A">
        <w:rPr>
          <w:rFonts w:ascii="Tahoma" w:hAnsi="Tahoma" w:cs="Tahoma"/>
          <w:sz w:val="22"/>
          <w:lang w:val="es-ES" w:eastAsia="es-ES"/>
        </w:rPr>
        <w:t>(…)</w:t>
      </w:r>
    </w:p>
    <w:p w14:paraId="6E37605A" w14:textId="77777777" w:rsidR="0061359A" w:rsidRPr="0061359A" w:rsidRDefault="0061359A" w:rsidP="0061359A">
      <w:pPr>
        <w:ind w:left="426" w:right="420"/>
        <w:jc w:val="both"/>
        <w:rPr>
          <w:rFonts w:ascii="Tahoma" w:hAnsi="Tahoma" w:cs="Tahoma"/>
          <w:sz w:val="22"/>
          <w:lang w:val="es-ES" w:eastAsia="es-ES"/>
        </w:rPr>
      </w:pPr>
    </w:p>
    <w:p w14:paraId="5D784DC3" w14:textId="77777777" w:rsidR="0061359A" w:rsidRPr="0061359A" w:rsidRDefault="0061359A" w:rsidP="0061359A">
      <w:pPr>
        <w:ind w:left="426" w:right="420"/>
        <w:jc w:val="both"/>
        <w:rPr>
          <w:rFonts w:ascii="Tahoma" w:hAnsi="Tahoma" w:cs="Tahoma"/>
          <w:sz w:val="22"/>
          <w:lang w:val="es-ES" w:eastAsia="es-ES"/>
        </w:rPr>
      </w:pPr>
      <w:r w:rsidRPr="0061359A">
        <w:rPr>
          <w:rFonts w:ascii="Tahoma" w:hAnsi="Tahoma" w:cs="Tahoma"/>
          <w:sz w:val="22"/>
          <w:lang w:val="es-ES" w:eastAsia="es-ES"/>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p>
    <w:p w14:paraId="6B4C0F6C" w14:textId="77777777" w:rsidR="0061359A" w:rsidRPr="0061359A" w:rsidRDefault="0061359A" w:rsidP="0061359A">
      <w:pPr>
        <w:ind w:left="426" w:right="420"/>
        <w:jc w:val="both"/>
        <w:rPr>
          <w:rFonts w:ascii="Tahoma" w:hAnsi="Tahoma" w:cs="Tahoma"/>
          <w:sz w:val="22"/>
          <w:lang w:val="es-ES" w:eastAsia="es-ES"/>
        </w:rPr>
      </w:pPr>
    </w:p>
    <w:p w14:paraId="5FF89D6A" w14:textId="77777777" w:rsidR="0061359A" w:rsidRPr="0061359A" w:rsidRDefault="0061359A" w:rsidP="0061359A">
      <w:pPr>
        <w:ind w:left="426" w:right="420"/>
        <w:jc w:val="both"/>
        <w:rPr>
          <w:rFonts w:ascii="Tahoma" w:hAnsi="Tahoma" w:cs="Tahoma"/>
          <w:sz w:val="22"/>
          <w:lang w:val="es-ES" w:eastAsia="es-ES"/>
        </w:rPr>
      </w:pPr>
      <w:r w:rsidRPr="0061359A">
        <w:rPr>
          <w:rFonts w:ascii="Tahoma" w:hAnsi="Tahoma" w:cs="Tahoma"/>
          <w:sz w:val="22"/>
          <w:lang w:val="es-ES" w:eastAsia="es-ES"/>
        </w:rPr>
        <w:t>La suma que el juez señale como agencias en derecho no tiene que estar orientada por la que la parte efectivamente canceló a su abogado, así se demuestre fehacientemente la cuantía de ese pago, de modo que para nada obliga al juez las bases contractuales señaladas en materia de honorarios profesionales, ya que éste, dentro de los parámetros referidos es el único llamado a realizar la fijación pertinente.</w:t>
      </w:r>
    </w:p>
    <w:p w14:paraId="5FBBDD06" w14:textId="77777777" w:rsidR="0061359A" w:rsidRPr="0061359A" w:rsidRDefault="0061359A" w:rsidP="0061359A">
      <w:pPr>
        <w:ind w:left="426" w:right="420"/>
        <w:jc w:val="both"/>
        <w:rPr>
          <w:rFonts w:ascii="Tahoma" w:hAnsi="Tahoma" w:cs="Tahoma"/>
          <w:sz w:val="22"/>
          <w:lang w:val="es-ES" w:eastAsia="es-ES"/>
        </w:rPr>
      </w:pPr>
    </w:p>
    <w:p w14:paraId="451B1023" w14:textId="77777777" w:rsidR="0061359A" w:rsidRPr="0061359A" w:rsidRDefault="0061359A" w:rsidP="0061359A">
      <w:pPr>
        <w:ind w:left="426" w:right="420"/>
        <w:jc w:val="both"/>
        <w:rPr>
          <w:rFonts w:ascii="Tahoma" w:hAnsi="Tahoma" w:cs="Tahoma"/>
          <w:sz w:val="22"/>
          <w:lang w:val="es-ES" w:eastAsia="es-ES"/>
        </w:rPr>
      </w:pPr>
      <w:r w:rsidRPr="0061359A">
        <w:rPr>
          <w:rFonts w:ascii="Tahoma" w:hAnsi="Tahoma" w:cs="Tahoma"/>
          <w:sz w:val="22"/>
          <w:lang w:val="es-ES" w:eastAsia="es-ES"/>
        </w:rPr>
        <w:t xml:space="preserve">Sin embargo, no deben olvidar los jueces que las agencias en derecho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w:t>
      </w:r>
      <w:r w:rsidRPr="0061359A">
        <w:rPr>
          <w:rFonts w:ascii="Tahoma" w:hAnsi="Tahoma" w:cs="Tahoma"/>
          <w:sz w:val="22"/>
          <w:lang w:val="es-ES" w:eastAsia="es-ES"/>
        </w:rPr>
        <w:lastRenderedPageBreak/>
        <w:t>infinidad de trámites inútiles que se surten sobre el supuesto de que se afrontará una mínima condena a pagar costas.</w:t>
      </w:r>
    </w:p>
    <w:p w14:paraId="3A46EA34" w14:textId="77777777" w:rsidR="0061359A" w:rsidRPr="0061359A" w:rsidRDefault="0061359A" w:rsidP="0061359A">
      <w:pPr>
        <w:ind w:left="426" w:right="420"/>
        <w:jc w:val="both"/>
        <w:rPr>
          <w:rFonts w:ascii="Tahoma" w:hAnsi="Tahoma" w:cs="Tahoma"/>
          <w:sz w:val="22"/>
          <w:lang w:val="es-ES" w:eastAsia="es-ES"/>
        </w:rPr>
      </w:pPr>
    </w:p>
    <w:p w14:paraId="4D939E69" w14:textId="77777777" w:rsidR="0061359A" w:rsidRPr="0061359A" w:rsidRDefault="0061359A" w:rsidP="0061359A">
      <w:pPr>
        <w:ind w:left="426" w:right="420"/>
        <w:jc w:val="both"/>
        <w:rPr>
          <w:rFonts w:ascii="Tahoma" w:hAnsi="Tahoma" w:cs="Tahoma"/>
          <w:sz w:val="22"/>
          <w:lang w:val="es-ES" w:eastAsia="es-ES"/>
        </w:rPr>
      </w:pPr>
      <w:r w:rsidRPr="0061359A">
        <w:rPr>
          <w:rFonts w:ascii="Tahoma" w:hAnsi="Tahoma" w:cs="Tahoma"/>
          <w:sz w:val="22"/>
          <w:lang w:val="es-ES" w:eastAsia="es-ES"/>
        </w:rPr>
        <w:t>Y de manera especial reitero el llamado de atención a los funcionarios de segunda instancia y casación, quienes por el trámite correspondiente a tales etapas del proceso fijan sumas ciertamente irrisorias que sólo constituyen un acicate para abusar del empleo de esos recursos.”</w:t>
      </w:r>
    </w:p>
    <w:p w14:paraId="7D54F533" w14:textId="77777777" w:rsidR="00991EA8" w:rsidRPr="00D3114C" w:rsidRDefault="00991EA8" w:rsidP="00D3114C">
      <w:pPr>
        <w:spacing w:line="276" w:lineRule="auto"/>
        <w:jc w:val="both"/>
        <w:rPr>
          <w:rFonts w:ascii="Tahoma" w:hAnsi="Tahoma" w:cs="Tahoma"/>
        </w:rPr>
      </w:pPr>
    </w:p>
    <w:p w14:paraId="4830F092" w14:textId="239EB3D0" w:rsidR="006070EA" w:rsidRPr="00D3114C" w:rsidRDefault="006070EA" w:rsidP="00D3114C">
      <w:pPr>
        <w:pStyle w:val="Prrafodelista"/>
        <w:numPr>
          <w:ilvl w:val="1"/>
          <w:numId w:val="4"/>
        </w:numPr>
        <w:autoSpaceDE w:val="0"/>
        <w:autoSpaceDN w:val="0"/>
        <w:adjustRightInd w:val="0"/>
        <w:spacing w:line="276" w:lineRule="auto"/>
        <w:rPr>
          <w:rFonts w:ascii="Tahoma" w:hAnsi="Tahoma" w:cs="Tahoma"/>
          <w:b/>
        </w:rPr>
      </w:pPr>
      <w:r w:rsidRPr="00D3114C">
        <w:rPr>
          <w:rFonts w:ascii="Tahoma" w:hAnsi="Tahoma" w:cs="Tahoma"/>
          <w:b/>
        </w:rPr>
        <w:t xml:space="preserve">Caso concreto </w:t>
      </w:r>
    </w:p>
    <w:p w14:paraId="1889F047" w14:textId="77777777" w:rsidR="006070EA" w:rsidRPr="00D3114C" w:rsidRDefault="006070EA" w:rsidP="00D3114C">
      <w:pPr>
        <w:autoSpaceDE w:val="0"/>
        <w:autoSpaceDN w:val="0"/>
        <w:adjustRightInd w:val="0"/>
        <w:spacing w:line="276" w:lineRule="auto"/>
        <w:ind w:firstLine="709"/>
        <w:jc w:val="both"/>
        <w:rPr>
          <w:rFonts w:ascii="Tahoma" w:hAnsi="Tahoma" w:cs="Tahoma"/>
        </w:rPr>
      </w:pPr>
    </w:p>
    <w:p w14:paraId="7ED38218" w14:textId="687C9076" w:rsidR="006070EA" w:rsidRPr="00D3114C" w:rsidRDefault="006070EA" w:rsidP="00D3114C">
      <w:pPr>
        <w:autoSpaceDE w:val="0"/>
        <w:autoSpaceDN w:val="0"/>
        <w:adjustRightInd w:val="0"/>
        <w:spacing w:line="276" w:lineRule="auto"/>
        <w:ind w:firstLine="709"/>
        <w:jc w:val="both"/>
        <w:rPr>
          <w:rFonts w:ascii="Tahoma" w:hAnsi="Tahoma" w:cs="Tahoma"/>
        </w:rPr>
      </w:pPr>
      <w:r w:rsidRPr="00D3114C">
        <w:rPr>
          <w:rFonts w:ascii="Tahoma" w:hAnsi="Tahoma" w:cs="Tahoma"/>
        </w:rPr>
        <w:t xml:space="preserve">Al revisar el libelo que dio origen a la presente contienda se observa que lo pretendido por la parte actora y lo obtenido a través de la sentencia  favorable  a  sus  intereses  fue la  declaratoria  de  la  ineficacia  de  afiliación  al Régimen  de Ahorro Individual con Solidaridad y, como consecuencia de ello, la ineficacia del traslado de régimen, con el traslado por parte de </w:t>
      </w:r>
      <w:r w:rsidR="00D60C7C" w:rsidRPr="00D3114C">
        <w:rPr>
          <w:rFonts w:ascii="Tahoma" w:hAnsi="Tahoma" w:cs="Tahoma"/>
        </w:rPr>
        <w:t>Porvenir</w:t>
      </w:r>
      <w:r w:rsidRPr="00D3114C">
        <w:rPr>
          <w:rFonts w:ascii="Tahoma" w:hAnsi="Tahoma" w:cs="Tahoma"/>
        </w:rPr>
        <w:t xml:space="preserve"> S.A. a Colpensiones, de todo el capital acumulado, rendimientos financieros producidos, bono pensional, gastos  de  administración comisiones, cuotas de garantía de pensión mínima y seguros previsionales cobrados a la parte actora, con cargo a sus propias utilidades y debidamente indexados.</w:t>
      </w:r>
    </w:p>
    <w:p w14:paraId="1332DCAA" w14:textId="77777777" w:rsidR="006070EA" w:rsidRPr="00D3114C" w:rsidRDefault="006070EA" w:rsidP="00D3114C">
      <w:pPr>
        <w:autoSpaceDE w:val="0"/>
        <w:autoSpaceDN w:val="0"/>
        <w:adjustRightInd w:val="0"/>
        <w:spacing w:line="276" w:lineRule="auto"/>
        <w:ind w:firstLine="709"/>
        <w:jc w:val="both"/>
        <w:rPr>
          <w:rFonts w:ascii="Tahoma" w:hAnsi="Tahoma" w:cs="Tahoma"/>
        </w:rPr>
      </w:pPr>
    </w:p>
    <w:p w14:paraId="214828AC" w14:textId="77777777" w:rsidR="006070EA" w:rsidRPr="00D3114C" w:rsidRDefault="006070EA" w:rsidP="00D3114C">
      <w:pPr>
        <w:autoSpaceDE w:val="0"/>
        <w:autoSpaceDN w:val="0"/>
        <w:adjustRightInd w:val="0"/>
        <w:spacing w:line="276" w:lineRule="auto"/>
        <w:ind w:firstLine="709"/>
        <w:jc w:val="both"/>
        <w:rPr>
          <w:rFonts w:ascii="Tahoma" w:hAnsi="Tahoma" w:cs="Tahoma"/>
        </w:rPr>
      </w:pPr>
      <w:r w:rsidRPr="00D3114C">
        <w:rPr>
          <w:rFonts w:ascii="Tahoma" w:hAnsi="Tahoma" w:cs="Tahoma"/>
        </w:rPr>
        <w:t>En ese sentido, 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la apoderada, la naturaleza de hacer de las pretensiones y demás circunstancias relacionadas.</w:t>
      </w:r>
    </w:p>
    <w:p w14:paraId="684D09D3" w14:textId="77777777" w:rsidR="006070EA" w:rsidRPr="00D3114C" w:rsidRDefault="006070EA" w:rsidP="00D3114C">
      <w:pPr>
        <w:autoSpaceDE w:val="0"/>
        <w:autoSpaceDN w:val="0"/>
        <w:adjustRightInd w:val="0"/>
        <w:spacing w:line="276" w:lineRule="auto"/>
        <w:ind w:firstLine="709"/>
        <w:jc w:val="both"/>
        <w:rPr>
          <w:rFonts w:ascii="Tahoma" w:hAnsi="Tahoma" w:cs="Tahoma"/>
        </w:rPr>
      </w:pPr>
    </w:p>
    <w:p w14:paraId="6E7EDE75" w14:textId="144AA870" w:rsidR="006070EA" w:rsidRPr="00D3114C" w:rsidRDefault="00F76BB7" w:rsidP="00D3114C">
      <w:pPr>
        <w:autoSpaceDE w:val="0"/>
        <w:autoSpaceDN w:val="0"/>
        <w:adjustRightInd w:val="0"/>
        <w:spacing w:line="276" w:lineRule="auto"/>
        <w:ind w:firstLine="709"/>
        <w:jc w:val="both"/>
        <w:rPr>
          <w:rFonts w:ascii="Tahoma" w:hAnsi="Tahoma" w:cs="Tahoma"/>
        </w:rPr>
      </w:pPr>
      <w:r w:rsidRPr="00D3114C">
        <w:rPr>
          <w:rFonts w:ascii="Tahoma" w:hAnsi="Tahoma" w:cs="Tahoma"/>
        </w:rPr>
        <w:t>En el caso concreto</w:t>
      </w:r>
      <w:r w:rsidR="006070EA" w:rsidRPr="00D3114C">
        <w:rPr>
          <w:rFonts w:ascii="Tahoma" w:hAnsi="Tahoma" w:cs="Tahoma"/>
        </w:rPr>
        <w:t xml:space="preserve"> la pretensión perseguida era de carácter declarativa -que no pecuniaria como tal-, practicándose pruebas como el interrogatorio a la parte actora; además, la duración en primera instancia se extendió entre el </w:t>
      </w:r>
      <w:r w:rsidR="00C3649A" w:rsidRPr="00D3114C">
        <w:rPr>
          <w:rFonts w:ascii="Tahoma" w:hAnsi="Tahoma" w:cs="Tahoma"/>
        </w:rPr>
        <w:t xml:space="preserve">1 de octubre </w:t>
      </w:r>
      <w:r w:rsidR="006070EA" w:rsidRPr="00D3114C">
        <w:rPr>
          <w:rFonts w:ascii="Tahoma" w:hAnsi="Tahoma" w:cs="Tahoma"/>
        </w:rPr>
        <w:t>de</w:t>
      </w:r>
      <w:r w:rsidR="00C3649A" w:rsidRPr="00D3114C">
        <w:rPr>
          <w:rFonts w:ascii="Tahoma" w:hAnsi="Tahoma" w:cs="Tahoma"/>
        </w:rPr>
        <w:t xml:space="preserve"> </w:t>
      </w:r>
      <w:r w:rsidR="006070EA" w:rsidRPr="00D3114C">
        <w:rPr>
          <w:rFonts w:ascii="Tahoma" w:hAnsi="Tahoma" w:cs="Tahoma"/>
        </w:rPr>
        <w:t xml:space="preserve">2018, fecha de presentación de la demanda, y el </w:t>
      </w:r>
      <w:r w:rsidR="001539B4" w:rsidRPr="00D3114C">
        <w:rPr>
          <w:rFonts w:ascii="Tahoma" w:hAnsi="Tahoma" w:cs="Tahoma"/>
        </w:rPr>
        <w:t>30</w:t>
      </w:r>
      <w:r w:rsidR="006070EA" w:rsidRPr="00D3114C">
        <w:rPr>
          <w:rFonts w:ascii="Tahoma" w:hAnsi="Tahoma" w:cs="Tahoma"/>
        </w:rPr>
        <w:t xml:space="preserve"> de noviembre de 2020, fecha en que se emitió sentencia a su favor, la cual fue apelada y remitida a esta Colegiatura, </w:t>
      </w:r>
      <w:r w:rsidRPr="00D3114C">
        <w:rPr>
          <w:rFonts w:ascii="Tahoma" w:hAnsi="Tahoma" w:cs="Tahoma"/>
        </w:rPr>
        <w:t>donde se profirió</w:t>
      </w:r>
      <w:r w:rsidR="006070EA" w:rsidRPr="00D3114C">
        <w:rPr>
          <w:rFonts w:ascii="Tahoma" w:hAnsi="Tahoma" w:cs="Tahoma"/>
        </w:rPr>
        <w:t xml:space="preserve"> </w:t>
      </w:r>
      <w:r w:rsidRPr="00D3114C">
        <w:rPr>
          <w:rFonts w:ascii="Tahoma" w:hAnsi="Tahoma" w:cs="Tahoma"/>
        </w:rPr>
        <w:t>fallo de segunda instancia</w:t>
      </w:r>
      <w:r w:rsidR="006070EA" w:rsidRPr="00D3114C">
        <w:rPr>
          <w:rFonts w:ascii="Tahoma" w:hAnsi="Tahoma" w:cs="Tahoma"/>
        </w:rPr>
        <w:t xml:space="preserve"> </w:t>
      </w:r>
      <w:r w:rsidRPr="00D3114C">
        <w:rPr>
          <w:rFonts w:ascii="Tahoma" w:hAnsi="Tahoma" w:cs="Tahoma"/>
        </w:rPr>
        <w:t>el día</w:t>
      </w:r>
      <w:r w:rsidR="006070EA" w:rsidRPr="00D3114C">
        <w:rPr>
          <w:rFonts w:ascii="Tahoma" w:hAnsi="Tahoma" w:cs="Tahoma"/>
        </w:rPr>
        <w:t xml:space="preserve"> </w:t>
      </w:r>
      <w:r w:rsidR="00C62D01" w:rsidRPr="00D3114C">
        <w:rPr>
          <w:rFonts w:ascii="Tahoma" w:hAnsi="Tahoma" w:cs="Tahoma"/>
        </w:rPr>
        <w:t>2</w:t>
      </w:r>
      <w:r w:rsidR="006070EA" w:rsidRPr="00D3114C">
        <w:rPr>
          <w:rFonts w:ascii="Tahoma" w:hAnsi="Tahoma" w:cs="Tahoma"/>
        </w:rPr>
        <w:t xml:space="preserve">1 de </w:t>
      </w:r>
      <w:r w:rsidR="006F5D67" w:rsidRPr="00D3114C">
        <w:rPr>
          <w:rFonts w:ascii="Tahoma" w:hAnsi="Tahoma" w:cs="Tahoma"/>
        </w:rPr>
        <w:t>abril</w:t>
      </w:r>
      <w:r w:rsidR="006070EA" w:rsidRPr="00D3114C">
        <w:rPr>
          <w:rFonts w:ascii="Tahoma" w:hAnsi="Tahoma" w:cs="Tahoma"/>
        </w:rPr>
        <w:t xml:space="preserve"> de 2021.</w:t>
      </w:r>
    </w:p>
    <w:p w14:paraId="65346207" w14:textId="77777777" w:rsidR="00D105C0" w:rsidRPr="00D3114C" w:rsidRDefault="00D105C0" w:rsidP="00D3114C">
      <w:pPr>
        <w:autoSpaceDE w:val="0"/>
        <w:autoSpaceDN w:val="0"/>
        <w:adjustRightInd w:val="0"/>
        <w:spacing w:line="276" w:lineRule="auto"/>
        <w:ind w:firstLine="709"/>
        <w:jc w:val="both"/>
        <w:rPr>
          <w:rFonts w:ascii="Tahoma" w:hAnsi="Tahoma" w:cs="Tahoma"/>
          <w:shd w:val="clear" w:color="auto" w:fill="FAF9F8"/>
        </w:rPr>
      </w:pPr>
    </w:p>
    <w:p w14:paraId="1429238B" w14:textId="51A2DDB9" w:rsidR="006070EA" w:rsidRPr="00D3114C" w:rsidRDefault="006070EA" w:rsidP="00D3114C">
      <w:pPr>
        <w:autoSpaceDE w:val="0"/>
        <w:autoSpaceDN w:val="0"/>
        <w:adjustRightInd w:val="0"/>
        <w:spacing w:line="276" w:lineRule="auto"/>
        <w:ind w:firstLine="709"/>
        <w:jc w:val="both"/>
        <w:rPr>
          <w:rFonts w:ascii="Tahoma" w:hAnsi="Tahoma" w:cs="Tahoma"/>
        </w:rPr>
      </w:pPr>
      <w:r w:rsidRPr="00D3114C">
        <w:rPr>
          <w:rFonts w:ascii="Tahoma" w:hAnsi="Tahoma" w:cs="Tahoma"/>
        </w:rPr>
        <w:t xml:space="preserve">En el expediente digital se puede evidenciar la participación activa de la abogada de la promotora de la litis en todas las audiencias y en todo el trámite procesal, situación que permitía fijar en primera instancia como agencias en derecho </w:t>
      </w:r>
      <w:r w:rsidR="00ED1552" w:rsidRPr="00D3114C">
        <w:rPr>
          <w:rFonts w:ascii="Tahoma" w:hAnsi="Tahoma" w:cs="Tahoma"/>
        </w:rPr>
        <w:t xml:space="preserve">5 </w:t>
      </w:r>
      <w:r w:rsidRPr="00D3114C">
        <w:rPr>
          <w:rFonts w:ascii="Tahoma" w:hAnsi="Tahoma" w:cs="Tahoma"/>
        </w:rPr>
        <w:t>SMMLV, a pesar de que,  según el precedente de la Sala de Casación Laboral de la Corte Suprema de Justicia, en casos donde se persigue la declaratoria de ineficacia la carga de la prueba se invierte en cabeza de la administradora del RAIS que incitó el traslado, situación que no desmerita en absoluto la actuación y diligencia de la profesional del derecho.</w:t>
      </w:r>
    </w:p>
    <w:p w14:paraId="09455AD9" w14:textId="77777777" w:rsidR="006070EA" w:rsidRPr="00D3114C" w:rsidRDefault="006070EA" w:rsidP="00D3114C">
      <w:pPr>
        <w:autoSpaceDE w:val="0"/>
        <w:autoSpaceDN w:val="0"/>
        <w:adjustRightInd w:val="0"/>
        <w:spacing w:line="276" w:lineRule="auto"/>
        <w:ind w:firstLine="709"/>
        <w:jc w:val="both"/>
        <w:rPr>
          <w:rFonts w:ascii="Tahoma" w:hAnsi="Tahoma" w:cs="Tahoma"/>
        </w:rPr>
      </w:pPr>
    </w:p>
    <w:p w14:paraId="44BAF805" w14:textId="74C9088C" w:rsidR="006070EA" w:rsidRPr="00D3114C" w:rsidRDefault="006070EA" w:rsidP="00D3114C">
      <w:pPr>
        <w:autoSpaceDE w:val="0"/>
        <w:autoSpaceDN w:val="0"/>
        <w:adjustRightInd w:val="0"/>
        <w:spacing w:line="276" w:lineRule="auto"/>
        <w:ind w:firstLine="709"/>
        <w:jc w:val="both"/>
        <w:rPr>
          <w:rFonts w:ascii="Tahoma" w:hAnsi="Tahoma" w:cs="Tahoma"/>
        </w:rPr>
      </w:pPr>
      <w:r w:rsidRPr="00D3114C">
        <w:rPr>
          <w:rFonts w:ascii="Tahoma" w:hAnsi="Tahoma" w:cs="Tahoma"/>
        </w:rPr>
        <w:t xml:space="preserve">Finalmente, con relación a las agencias establecidas en segunda instancia, se dirá que a pesar de que las mismas se tasaron en 2 SMLMV, lo cierto es que al tener </w:t>
      </w:r>
      <w:r w:rsidRPr="00D3114C">
        <w:rPr>
          <w:rFonts w:ascii="Tahoma" w:hAnsi="Tahoma" w:cs="Tahoma"/>
        </w:rPr>
        <w:lastRenderedPageBreak/>
        <w:t>que dividirse esa carga entre las dos entidades apelantes, el resultado que corresponde cancelar a P</w:t>
      </w:r>
      <w:r w:rsidR="00AA7AC0" w:rsidRPr="00D3114C">
        <w:rPr>
          <w:rFonts w:ascii="Tahoma" w:hAnsi="Tahoma" w:cs="Tahoma"/>
        </w:rPr>
        <w:t xml:space="preserve">orvenir </w:t>
      </w:r>
      <w:r w:rsidRPr="00D3114C">
        <w:rPr>
          <w:rFonts w:ascii="Tahoma" w:hAnsi="Tahoma" w:cs="Tahoma"/>
        </w:rPr>
        <w:t>S.A. es de 1 SMLMV.</w:t>
      </w:r>
    </w:p>
    <w:p w14:paraId="53C9B2B4" w14:textId="77777777" w:rsidR="006070EA" w:rsidRPr="00D3114C" w:rsidRDefault="006070EA" w:rsidP="00D3114C">
      <w:pPr>
        <w:autoSpaceDE w:val="0"/>
        <w:autoSpaceDN w:val="0"/>
        <w:adjustRightInd w:val="0"/>
        <w:spacing w:line="276" w:lineRule="auto"/>
        <w:ind w:firstLine="709"/>
        <w:jc w:val="both"/>
        <w:rPr>
          <w:rFonts w:ascii="Tahoma" w:hAnsi="Tahoma" w:cs="Tahoma"/>
        </w:rPr>
      </w:pPr>
    </w:p>
    <w:p w14:paraId="7BD989E4" w14:textId="77777777" w:rsidR="006070EA" w:rsidRPr="00D3114C" w:rsidRDefault="006070EA" w:rsidP="00D3114C">
      <w:pPr>
        <w:autoSpaceDE w:val="0"/>
        <w:autoSpaceDN w:val="0"/>
        <w:adjustRightInd w:val="0"/>
        <w:spacing w:line="276" w:lineRule="auto"/>
        <w:ind w:firstLine="561"/>
        <w:jc w:val="both"/>
        <w:rPr>
          <w:rFonts w:ascii="Tahoma" w:hAnsi="Tahoma" w:cs="Tahoma"/>
          <w:color w:val="000000"/>
        </w:rPr>
      </w:pPr>
      <w:r w:rsidRPr="00D3114C">
        <w:rPr>
          <w:rFonts w:ascii="Tahoma" w:hAnsi="Tahoma" w:cs="Tahoma"/>
        </w:rPr>
        <w:t xml:space="preserve">Por lo brevemente discurrido, se estima acertada la tasación realizada en primera instancia, motivo por el cual, sin más disquisiciones se confirmará la decisión articulada en la providencia atacada.   </w:t>
      </w:r>
    </w:p>
    <w:p w14:paraId="638BDC3F" w14:textId="77777777" w:rsidR="006070EA" w:rsidRPr="00D3114C" w:rsidRDefault="006070EA" w:rsidP="00D3114C">
      <w:pPr>
        <w:autoSpaceDE w:val="0"/>
        <w:autoSpaceDN w:val="0"/>
        <w:adjustRightInd w:val="0"/>
        <w:spacing w:line="276" w:lineRule="auto"/>
        <w:ind w:firstLine="561"/>
        <w:jc w:val="both"/>
        <w:rPr>
          <w:rFonts w:ascii="Tahoma" w:hAnsi="Tahoma" w:cs="Tahoma"/>
          <w:color w:val="000000"/>
        </w:rPr>
      </w:pPr>
    </w:p>
    <w:p w14:paraId="078D56CC" w14:textId="77777777" w:rsidR="006070EA" w:rsidRPr="00D3114C" w:rsidRDefault="006070EA" w:rsidP="00D3114C">
      <w:pPr>
        <w:autoSpaceDE w:val="0"/>
        <w:autoSpaceDN w:val="0"/>
        <w:adjustRightInd w:val="0"/>
        <w:spacing w:line="276" w:lineRule="auto"/>
        <w:ind w:firstLine="561"/>
        <w:jc w:val="both"/>
        <w:rPr>
          <w:rFonts w:ascii="Tahoma" w:hAnsi="Tahoma" w:cs="Tahoma"/>
          <w:color w:val="000000"/>
        </w:rPr>
      </w:pPr>
      <w:r w:rsidRPr="00D3114C">
        <w:rPr>
          <w:rFonts w:ascii="Tahoma" w:hAnsi="Tahoma" w:cs="Tahoma"/>
          <w:color w:val="000000"/>
        </w:rPr>
        <w:t>Al no haber prosperado el recurso, las costas procesales de segunda instancia correrán a cargo de la parte recurrente en un 100% a favor de la demandante, las cuales serán liquidadas por la secretaría del juzgado de origen.</w:t>
      </w:r>
    </w:p>
    <w:p w14:paraId="544797E4" w14:textId="77777777" w:rsidR="006070EA" w:rsidRPr="00D3114C" w:rsidRDefault="006070EA" w:rsidP="00D3114C">
      <w:pPr>
        <w:spacing w:line="276" w:lineRule="auto"/>
        <w:ind w:firstLine="708"/>
        <w:jc w:val="both"/>
        <w:rPr>
          <w:rFonts w:ascii="Tahoma" w:hAnsi="Tahoma" w:cs="Tahoma"/>
          <w:spacing w:val="2"/>
        </w:rPr>
      </w:pPr>
    </w:p>
    <w:p w14:paraId="599AE01E" w14:textId="77777777" w:rsidR="006070EA" w:rsidRPr="00D3114C" w:rsidRDefault="006070EA" w:rsidP="00D3114C">
      <w:pPr>
        <w:spacing w:line="276" w:lineRule="auto"/>
        <w:ind w:firstLine="708"/>
        <w:jc w:val="both"/>
        <w:rPr>
          <w:rFonts w:ascii="Tahoma" w:hAnsi="Tahoma" w:cs="Tahoma"/>
          <w:b/>
        </w:rPr>
      </w:pPr>
      <w:r w:rsidRPr="00D3114C">
        <w:rPr>
          <w:rFonts w:ascii="Tahoma" w:hAnsi="Tahoma" w:cs="Tahoma"/>
          <w:spacing w:val="2"/>
        </w:rPr>
        <w:t xml:space="preserve">En mérito de lo expuesto, </w:t>
      </w:r>
      <w:r w:rsidRPr="00D3114C">
        <w:rPr>
          <w:rFonts w:ascii="Tahoma" w:hAnsi="Tahoma" w:cs="Tahoma"/>
        </w:rPr>
        <w:t xml:space="preserve">el </w:t>
      </w:r>
      <w:r w:rsidRPr="00D3114C">
        <w:rPr>
          <w:rFonts w:ascii="Tahoma" w:hAnsi="Tahoma" w:cs="Tahoma"/>
          <w:b/>
        </w:rPr>
        <w:t xml:space="preserve">Tribunal Superior del Distrito Judicial de Pereira, Sala Primera de Decisión Laboral, </w:t>
      </w:r>
    </w:p>
    <w:p w14:paraId="28527EE1" w14:textId="1A64F0AE" w:rsidR="005805F7" w:rsidRPr="00D3114C" w:rsidRDefault="005805F7" w:rsidP="00D3114C">
      <w:pPr>
        <w:spacing w:line="276" w:lineRule="auto"/>
        <w:ind w:firstLine="708"/>
        <w:jc w:val="both"/>
        <w:rPr>
          <w:rFonts w:ascii="Tahoma" w:hAnsi="Tahoma" w:cs="Tahoma"/>
          <w:b/>
        </w:rPr>
      </w:pPr>
    </w:p>
    <w:p w14:paraId="2D720CF1" w14:textId="77777777" w:rsidR="00AE4B9D" w:rsidRPr="00D3114C" w:rsidRDefault="00AE4B9D" w:rsidP="00D3114C">
      <w:pPr>
        <w:spacing w:line="276" w:lineRule="auto"/>
        <w:ind w:firstLine="708"/>
        <w:jc w:val="both"/>
        <w:rPr>
          <w:rFonts w:ascii="Tahoma" w:hAnsi="Tahoma" w:cs="Tahoma"/>
          <w:b/>
        </w:rPr>
      </w:pPr>
    </w:p>
    <w:p w14:paraId="6F8227F9" w14:textId="77777777" w:rsidR="005805F7" w:rsidRPr="00D3114C" w:rsidRDefault="005805F7" w:rsidP="00D3114C">
      <w:pPr>
        <w:spacing w:line="276" w:lineRule="auto"/>
        <w:jc w:val="center"/>
        <w:rPr>
          <w:rFonts w:ascii="Tahoma" w:hAnsi="Tahoma" w:cs="Tahoma"/>
          <w:b/>
        </w:rPr>
      </w:pPr>
      <w:r w:rsidRPr="00D3114C">
        <w:rPr>
          <w:rFonts w:ascii="Tahoma" w:hAnsi="Tahoma" w:cs="Tahoma"/>
          <w:b/>
        </w:rPr>
        <w:t>R E S U E L V E:</w:t>
      </w:r>
    </w:p>
    <w:p w14:paraId="6F446062" w14:textId="77777777" w:rsidR="005805F7" w:rsidRPr="00D3114C" w:rsidRDefault="005805F7" w:rsidP="00D3114C">
      <w:pPr>
        <w:spacing w:line="276" w:lineRule="auto"/>
        <w:ind w:firstLine="708"/>
        <w:jc w:val="center"/>
        <w:rPr>
          <w:rFonts w:ascii="Tahoma" w:hAnsi="Tahoma" w:cs="Tahoma"/>
          <w:b/>
        </w:rPr>
      </w:pPr>
    </w:p>
    <w:p w14:paraId="2D328338" w14:textId="546B8387" w:rsidR="005805F7" w:rsidRPr="00D3114C" w:rsidRDefault="00D3114C" w:rsidP="00D3114C">
      <w:pPr>
        <w:spacing w:line="276" w:lineRule="auto"/>
        <w:ind w:firstLine="708"/>
        <w:jc w:val="both"/>
        <w:rPr>
          <w:rFonts w:ascii="Tahoma" w:hAnsi="Tahoma" w:cs="Tahoma"/>
        </w:rPr>
      </w:pPr>
      <w:r w:rsidRPr="00D3114C">
        <w:rPr>
          <w:rFonts w:ascii="Tahoma" w:hAnsi="Tahoma" w:cs="Tahoma"/>
          <w:b/>
        </w:rPr>
        <w:t>Primero. -</w:t>
      </w:r>
      <w:r w:rsidR="005805F7" w:rsidRPr="00D3114C">
        <w:rPr>
          <w:rFonts w:ascii="Tahoma" w:hAnsi="Tahoma" w:cs="Tahoma"/>
          <w:b/>
        </w:rPr>
        <w:t xml:space="preserve"> CONFIRMAR </w:t>
      </w:r>
      <w:r w:rsidR="005805F7" w:rsidRPr="00D3114C">
        <w:rPr>
          <w:rFonts w:ascii="Tahoma" w:hAnsi="Tahoma" w:cs="Tahoma"/>
        </w:rPr>
        <w:t xml:space="preserve">el auto proferido el </w:t>
      </w:r>
      <w:r w:rsidR="00522B76" w:rsidRPr="00D3114C">
        <w:rPr>
          <w:rFonts w:ascii="Tahoma" w:hAnsi="Tahoma" w:cs="Tahoma"/>
        </w:rPr>
        <w:t>7 de julio</w:t>
      </w:r>
      <w:r w:rsidR="005805F7" w:rsidRPr="00D3114C">
        <w:rPr>
          <w:rFonts w:ascii="Tahoma" w:hAnsi="Tahoma" w:cs="Tahoma"/>
        </w:rPr>
        <w:t xml:space="preserve"> d</w:t>
      </w:r>
      <w:r w:rsidR="005856F4" w:rsidRPr="00D3114C">
        <w:rPr>
          <w:rFonts w:ascii="Tahoma" w:hAnsi="Tahoma" w:cs="Tahoma"/>
        </w:rPr>
        <w:t>e</w:t>
      </w:r>
      <w:r w:rsidR="005805F7" w:rsidRPr="00D3114C">
        <w:rPr>
          <w:rFonts w:ascii="Tahoma" w:hAnsi="Tahoma" w:cs="Tahoma"/>
        </w:rPr>
        <w:t xml:space="preserve"> 2021 por el Juzgado Segundo Laboral del Circuito de Pereira, por las razones expuestas en la parte motiva de esta providencia.</w:t>
      </w:r>
    </w:p>
    <w:p w14:paraId="05E0B950" w14:textId="77777777" w:rsidR="005805F7" w:rsidRPr="00D3114C" w:rsidRDefault="005805F7" w:rsidP="00D3114C">
      <w:pPr>
        <w:spacing w:line="276" w:lineRule="auto"/>
        <w:ind w:firstLine="708"/>
        <w:jc w:val="both"/>
        <w:rPr>
          <w:rFonts w:ascii="Tahoma" w:hAnsi="Tahoma" w:cs="Tahoma"/>
        </w:rPr>
      </w:pPr>
    </w:p>
    <w:p w14:paraId="1931EDDC" w14:textId="5A24DFEB" w:rsidR="005805F7" w:rsidRPr="00D3114C" w:rsidRDefault="00D3114C" w:rsidP="00D3114C">
      <w:pPr>
        <w:spacing w:line="276" w:lineRule="auto"/>
        <w:ind w:firstLine="708"/>
        <w:jc w:val="both"/>
        <w:rPr>
          <w:rFonts w:ascii="Tahoma" w:hAnsi="Tahoma" w:cs="Tahoma"/>
        </w:rPr>
      </w:pPr>
      <w:r w:rsidRPr="00D3114C">
        <w:rPr>
          <w:rFonts w:ascii="Tahoma" w:hAnsi="Tahoma" w:cs="Tahoma"/>
          <w:b/>
        </w:rPr>
        <w:t>Segundo. -</w:t>
      </w:r>
      <w:r w:rsidR="005805F7" w:rsidRPr="00D3114C">
        <w:rPr>
          <w:rFonts w:ascii="Tahoma" w:hAnsi="Tahoma" w:cs="Tahoma"/>
        </w:rPr>
        <w:t xml:space="preserve"> </w:t>
      </w:r>
      <w:r w:rsidR="005805F7" w:rsidRPr="00D3114C">
        <w:rPr>
          <w:rFonts w:ascii="Tahoma" w:hAnsi="Tahoma" w:cs="Tahoma"/>
          <w:spacing w:val="2"/>
        </w:rPr>
        <w:t>Costas en esta instancia a cargo P</w:t>
      </w:r>
      <w:r w:rsidR="00EE6392" w:rsidRPr="00D3114C">
        <w:rPr>
          <w:rFonts w:ascii="Tahoma" w:hAnsi="Tahoma" w:cs="Tahoma"/>
          <w:spacing w:val="2"/>
        </w:rPr>
        <w:t xml:space="preserve">orvenir </w:t>
      </w:r>
      <w:r w:rsidR="005805F7" w:rsidRPr="00D3114C">
        <w:rPr>
          <w:rFonts w:ascii="Tahoma" w:hAnsi="Tahoma" w:cs="Tahoma"/>
          <w:spacing w:val="2"/>
        </w:rPr>
        <w:t>S.A. y a favor de la parte demandante en un 100%. Liquídense por la secretaría del juzgado de origen.</w:t>
      </w:r>
    </w:p>
    <w:p w14:paraId="48470C1B" w14:textId="77777777" w:rsidR="00D3114C" w:rsidRPr="00D3114C" w:rsidRDefault="00D3114C" w:rsidP="00D3114C">
      <w:pPr>
        <w:spacing w:line="276" w:lineRule="auto"/>
        <w:jc w:val="both"/>
        <w:rPr>
          <w:rFonts w:ascii="Tahoma" w:hAnsi="Tahoma" w:cs="Tahoma"/>
          <w:lang w:val="es-ES" w:eastAsia="es-ES"/>
        </w:rPr>
      </w:pPr>
    </w:p>
    <w:p w14:paraId="68A83E0D" w14:textId="77777777" w:rsidR="00D3114C" w:rsidRPr="00D3114C" w:rsidRDefault="00D3114C" w:rsidP="00D3114C">
      <w:pPr>
        <w:widowControl w:val="0"/>
        <w:autoSpaceDE w:val="0"/>
        <w:autoSpaceDN w:val="0"/>
        <w:adjustRightInd w:val="0"/>
        <w:spacing w:line="276" w:lineRule="auto"/>
        <w:jc w:val="center"/>
        <w:rPr>
          <w:rFonts w:ascii="Tahoma" w:hAnsi="Tahoma" w:cs="Tahoma"/>
          <w:b/>
          <w:lang w:val="es-ES" w:eastAsia="es-ES"/>
        </w:rPr>
      </w:pPr>
      <w:r w:rsidRPr="00D3114C">
        <w:rPr>
          <w:rFonts w:ascii="Tahoma" w:hAnsi="Tahoma" w:cs="Tahoma"/>
          <w:b/>
          <w:lang w:val="es-ES" w:eastAsia="es-ES"/>
        </w:rPr>
        <w:t>NOTIFÍQUESE Y CÚMPLASE</w:t>
      </w:r>
    </w:p>
    <w:p w14:paraId="19615530" w14:textId="77777777" w:rsidR="00D3114C" w:rsidRPr="00D3114C" w:rsidRDefault="00D3114C" w:rsidP="00D3114C">
      <w:pPr>
        <w:spacing w:line="276" w:lineRule="auto"/>
        <w:jc w:val="both"/>
        <w:rPr>
          <w:rFonts w:ascii="Tahoma" w:eastAsia="Segoe UI" w:hAnsi="Tahoma" w:cs="Tahoma"/>
          <w:lang w:eastAsia="es-CO"/>
        </w:rPr>
      </w:pPr>
    </w:p>
    <w:p w14:paraId="460DCB75" w14:textId="77777777" w:rsidR="00D3114C" w:rsidRPr="00D3114C" w:rsidRDefault="00D3114C" w:rsidP="00D3114C">
      <w:pPr>
        <w:spacing w:line="276" w:lineRule="auto"/>
        <w:jc w:val="both"/>
        <w:rPr>
          <w:rFonts w:ascii="Tahoma" w:eastAsiaTheme="minorEastAsia" w:hAnsi="Tahoma" w:cs="Tahoma"/>
          <w:lang w:eastAsia="es-CO"/>
        </w:rPr>
      </w:pPr>
    </w:p>
    <w:p w14:paraId="1A432A1D" w14:textId="77777777" w:rsidR="00D3114C" w:rsidRPr="00D3114C" w:rsidRDefault="00D3114C" w:rsidP="00D3114C">
      <w:pPr>
        <w:widowControl w:val="0"/>
        <w:autoSpaceDE w:val="0"/>
        <w:autoSpaceDN w:val="0"/>
        <w:adjustRightInd w:val="0"/>
        <w:spacing w:line="276" w:lineRule="auto"/>
        <w:jc w:val="both"/>
        <w:rPr>
          <w:rFonts w:ascii="Tahoma" w:hAnsi="Tahoma" w:cs="Tahoma"/>
          <w:lang w:val="es-ES" w:eastAsia="es-ES"/>
        </w:rPr>
      </w:pPr>
      <w:r w:rsidRPr="00D3114C">
        <w:rPr>
          <w:rFonts w:ascii="Tahoma" w:hAnsi="Tahoma" w:cs="Tahoma"/>
          <w:lang w:val="es-ES" w:eastAsia="es-ES"/>
        </w:rPr>
        <w:tab/>
        <w:t>La Magistrada ponente,</w:t>
      </w:r>
    </w:p>
    <w:p w14:paraId="1DB34F83" w14:textId="77777777" w:rsidR="00D3114C" w:rsidRPr="00D3114C" w:rsidRDefault="00D3114C" w:rsidP="00D3114C">
      <w:pPr>
        <w:spacing w:line="276" w:lineRule="auto"/>
        <w:rPr>
          <w:rFonts w:ascii="Tahoma" w:hAnsi="Tahoma" w:cs="Tahoma"/>
          <w:lang w:val="es-ES" w:eastAsia="es-ES"/>
        </w:rPr>
      </w:pPr>
    </w:p>
    <w:p w14:paraId="02FE182E" w14:textId="77777777" w:rsidR="00D3114C" w:rsidRPr="00D3114C" w:rsidRDefault="00D3114C" w:rsidP="00D3114C">
      <w:pPr>
        <w:spacing w:line="276" w:lineRule="auto"/>
        <w:rPr>
          <w:rFonts w:ascii="Tahoma" w:hAnsi="Tahoma" w:cs="Tahoma"/>
          <w:lang w:val="es-ES" w:eastAsia="es-ES"/>
        </w:rPr>
      </w:pPr>
    </w:p>
    <w:p w14:paraId="68F24A0A" w14:textId="77777777" w:rsidR="00D3114C" w:rsidRPr="00D3114C" w:rsidRDefault="00D3114C" w:rsidP="00D3114C">
      <w:pPr>
        <w:spacing w:line="276" w:lineRule="auto"/>
        <w:rPr>
          <w:rFonts w:ascii="Tahoma" w:hAnsi="Tahoma" w:cs="Tahoma"/>
          <w:lang w:val="es-ES" w:eastAsia="es-ES"/>
        </w:rPr>
      </w:pPr>
    </w:p>
    <w:p w14:paraId="320F5DB8" w14:textId="77777777" w:rsidR="00D3114C" w:rsidRPr="00D3114C" w:rsidRDefault="00D3114C" w:rsidP="00D3114C">
      <w:pPr>
        <w:keepNext/>
        <w:spacing w:line="276" w:lineRule="auto"/>
        <w:jc w:val="center"/>
        <w:outlineLvl w:val="2"/>
        <w:rPr>
          <w:rFonts w:ascii="Tahoma" w:hAnsi="Tahoma" w:cs="Tahoma"/>
          <w:b/>
          <w:bCs/>
          <w:lang w:val="es-ES" w:eastAsia="es-ES"/>
        </w:rPr>
      </w:pPr>
      <w:r w:rsidRPr="00D3114C">
        <w:rPr>
          <w:rFonts w:ascii="Tahoma" w:hAnsi="Tahoma" w:cs="Tahoma"/>
          <w:b/>
          <w:bCs/>
          <w:lang w:val="es-ES" w:eastAsia="es-ES"/>
        </w:rPr>
        <w:t>ANA LUCÍA CAICEDO CALDERÓN</w:t>
      </w:r>
    </w:p>
    <w:p w14:paraId="128B1E88" w14:textId="77777777" w:rsidR="00D3114C" w:rsidRPr="00D3114C" w:rsidRDefault="00D3114C" w:rsidP="00D3114C">
      <w:pPr>
        <w:spacing w:line="276" w:lineRule="auto"/>
        <w:rPr>
          <w:rFonts w:ascii="Tahoma" w:hAnsi="Tahoma" w:cs="Tahoma"/>
          <w:lang w:val="es-ES" w:eastAsia="es-ES"/>
        </w:rPr>
      </w:pPr>
    </w:p>
    <w:p w14:paraId="7E1F1434" w14:textId="77777777" w:rsidR="00D3114C" w:rsidRPr="00D3114C" w:rsidRDefault="00D3114C" w:rsidP="00D3114C">
      <w:pPr>
        <w:spacing w:line="276" w:lineRule="auto"/>
        <w:ind w:firstLine="708"/>
        <w:rPr>
          <w:rFonts w:ascii="Tahoma" w:hAnsi="Tahoma" w:cs="Tahoma"/>
          <w:lang w:val="es-ES" w:eastAsia="es-ES"/>
        </w:rPr>
      </w:pPr>
      <w:bookmarkStart w:id="5" w:name="_Hlk62478330"/>
      <w:r w:rsidRPr="00D3114C">
        <w:rPr>
          <w:rFonts w:ascii="Tahoma" w:hAnsi="Tahoma" w:cs="Tahoma"/>
          <w:lang w:val="es-ES" w:eastAsia="es-ES"/>
        </w:rPr>
        <w:t>La Magistrada y el Magistrado,</w:t>
      </w:r>
    </w:p>
    <w:p w14:paraId="09571611" w14:textId="77777777" w:rsidR="00D3114C" w:rsidRPr="00D3114C" w:rsidRDefault="00D3114C" w:rsidP="00D3114C">
      <w:pPr>
        <w:spacing w:line="276" w:lineRule="auto"/>
        <w:rPr>
          <w:rFonts w:ascii="Tahoma" w:hAnsi="Tahoma" w:cs="Tahoma"/>
          <w:lang w:val="es-ES" w:eastAsia="es-ES"/>
        </w:rPr>
      </w:pPr>
    </w:p>
    <w:p w14:paraId="6CF6315C" w14:textId="77777777" w:rsidR="00D3114C" w:rsidRPr="00D3114C" w:rsidRDefault="00D3114C" w:rsidP="00D3114C">
      <w:pPr>
        <w:spacing w:line="276" w:lineRule="auto"/>
        <w:rPr>
          <w:rFonts w:ascii="Tahoma" w:hAnsi="Tahoma" w:cs="Tahoma"/>
          <w:lang w:val="es-ES" w:eastAsia="es-ES"/>
        </w:rPr>
      </w:pPr>
    </w:p>
    <w:p w14:paraId="3BD0968D" w14:textId="77777777" w:rsidR="00D3114C" w:rsidRPr="00D3114C" w:rsidRDefault="00D3114C" w:rsidP="00D3114C">
      <w:pPr>
        <w:spacing w:line="276" w:lineRule="auto"/>
        <w:rPr>
          <w:rFonts w:ascii="Tahoma" w:hAnsi="Tahoma" w:cs="Tahoma"/>
          <w:lang w:val="es-ES" w:eastAsia="es-ES"/>
        </w:rPr>
      </w:pPr>
    </w:p>
    <w:p w14:paraId="4C2C6A13" w14:textId="77777777" w:rsidR="00D3114C" w:rsidRPr="00D3114C" w:rsidRDefault="00D3114C" w:rsidP="00D3114C">
      <w:pPr>
        <w:spacing w:line="276" w:lineRule="auto"/>
        <w:jc w:val="both"/>
        <w:rPr>
          <w:rFonts w:ascii="Tahoma" w:hAnsi="Tahoma" w:cs="Tahoma"/>
          <w:b/>
          <w:bCs/>
          <w:lang w:val="es-ES" w:eastAsia="es-ES"/>
        </w:rPr>
      </w:pPr>
      <w:r w:rsidRPr="00D3114C">
        <w:rPr>
          <w:rFonts w:ascii="Tahoma" w:hAnsi="Tahoma" w:cs="Tahoma"/>
          <w:b/>
          <w:bCs/>
          <w:lang w:val="es-ES" w:eastAsia="es-ES"/>
        </w:rPr>
        <w:t>GERMÁN DARÍO GÓEZ VINASCO</w:t>
      </w:r>
      <w:bookmarkEnd w:id="5"/>
      <w:r w:rsidRPr="00D3114C">
        <w:rPr>
          <w:rFonts w:ascii="Tahoma" w:hAnsi="Tahoma" w:cs="Tahoma"/>
          <w:b/>
          <w:bCs/>
          <w:lang w:val="es-ES" w:eastAsia="es-ES"/>
        </w:rPr>
        <w:tab/>
      </w:r>
      <w:r w:rsidRPr="00D3114C">
        <w:rPr>
          <w:rFonts w:ascii="Tahoma" w:hAnsi="Tahoma" w:cs="Tahoma"/>
          <w:b/>
          <w:bCs/>
          <w:lang w:val="es-ES" w:eastAsia="es-ES"/>
        </w:rPr>
        <w:tab/>
        <w:t>JULIO CÉSAR SALAZAR MUÑOZ</w:t>
      </w:r>
    </w:p>
    <w:p w14:paraId="4E96B494" w14:textId="4CCF0729" w:rsidR="009D7617" w:rsidRDefault="00D3114C" w:rsidP="00D3114C">
      <w:pPr>
        <w:spacing w:line="276" w:lineRule="auto"/>
        <w:ind w:left="4254" w:firstLine="709"/>
        <w:rPr>
          <w:rFonts w:ascii="Tahoma" w:hAnsi="Tahoma" w:cs="Tahoma"/>
          <w:bCs/>
          <w:color w:val="000000"/>
          <w:spacing w:val="2"/>
          <w:lang w:val="es-ES" w:eastAsia="es-ES"/>
        </w:rPr>
      </w:pPr>
      <w:r w:rsidRPr="00D3114C">
        <w:rPr>
          <w:rFonts w:ascii="Tahoma" w:hAnsi="Tahoma" w:cs="Tahoma"/>
          <w:bCs/>
          <w:color w:val="000000"/>
          <w:spacing w:val="2"/>
          <w:lang w:val="es-ES" w:eastAsia="es-ES"/>
        </w:rPr>
        <w:t>Salva voto</w:t>
      </w:r>
    </w:p>
    <w:p w14:paraId="3D528F6E" w14:textId="23553924" w:rsidR="00A26F43" w:rsidRDefault="00A26F43" w:rsidP="00993E75">
      <w:pPr>
        <w:spacing w:line="276" w:lineRule="auto"/>
        <w:rPr>
          <w:rFonts w:ascii="Tahoma" w:hAnsi="Tahoma" w:cs="Tahoma"/>
          <w:bCs/>
          <w:color w:val="000000"/>
          <w:spacing w:val="2"/>
          <w:lang w:val="es-ES" w:eastAsia="es-ES"/>
        </w:rPr>
      </w:pPr>
    </w:p>
    <w:p w14:paraId="177DED2D" w14:textId="4B26B109" w:rsidR="00993E75" w:rsidRDefault="00993E75">
      <w:pPr>
        <w:rPr>
          <w:rFonts w:ascii="Tahoma" w:hAnsi="Tahoma" w:cs="Tahoma"/>
          <w:bCs/>
          <w:color w:val="000000"/>
          <w:spacing w:val="2"/>
          <w:lang w:val="es-ES" w:eastAsia="es-ES"/>
        </w:rPr>
      </w:pPr>
      <w:r>
        <w:rPr>
          <w:rFonts w:ascii="Tahoma" w:hAnsi="Tahoma" w:cs="Tahoma"/>
          <w:bCs/>
          <w:color w:val="000000"/>
          <w:spacing w:val="2"/>
          <w:lang w:val="es-ES" w:eastAsia="es-ES"/>
        </w:rPr>
        <w:br w:type="page"/>
      </w:r>
    </w:p>
    <w:p w14:paraId="57F30444" w14:textId="77777777" w:rsidR="00993E75" w:rsidRPr="00993E75" w:rsidRDefault="00993E75" w:rsidP="00993E75">
      <w:pPr>
        <w:widowControl w:val="0"/>
        <w:autoSpaceDE w:val="0"/>
        <w:autoSpaceDN w:val="0"/>
        <w:adjustRightInd w:val="0"/>
        <w:jc w:val="both"/>
        <w:rPr>
          <w:rFonts w:ascii="Arial" w:hAnsi="Arial" w:cs="Arial"/>
          <w:sz w:val="20"/>
          <w:lang w:val="es-ES" w:eastAsia="es-ES"/>
        </w:rPr>
      </w:pPr>
      <w:r w:rsidRPr="00993E75">
        <w:rPr>
          <w:rFonts w:ascii="Arial" w:hAnsi="Arial" w:cs="Arial"/>
          <w:sz w:val="20"/>
          <w:lang w:val="es-ES" w:eastAsia="es-ES"/>
        </w:rPr>
        <w:lastRenderedPageBreak/>
        <w:t>Radicación Nro.:</w:t>
      </w:r>
      <w:r w:rsidRPr="00993E75">
        <w:rPr>
          <w:rFonts w:ascii="Arial" w:hAnsi="Arial" w:cs="Arial"/>
          <w:b/>
          <w:bCs/>
          <w:sz w:val="20"/>
          <w:lang w:val="es-ES" w:eastAsia="es-ES"/>
        </w:rPr>
        <w:tab/>
      </w:r>
      <w:r w:rsidRPr="00993E75">
        <w:rPr>
          <w:rFonts w:ascii="Arial" w:hAnsi="Arial" w:cs="Arial"/>
          <w:sz w:val="20"/>
          <w:lang w:val="es-ES" w:eastAsia="es-ES"/>
        </w:rPr>
        <w:t>66001310500220180057902</w:t>
      </w:r>
    </w:p>
    <w:p w14:paraId="20F77900" w14:textId="77777777" w:rsidR="00993E75" w:rsidRPr="00993E75" w:rsidRDefault="00993E75" w:rsidP="00993E75">
      <w:pPr>
        <w:widowControl w:val="0"/>
        <w:autoSpaceDE w:val="0"/>
        <w:autoSpaceDN w:val="0"/>
        <w:adjustRightInd w:val="0"/>
        <w:jc w:val="both"/>
        <w:rPr>
          <w:rFonts w:ascii="Arial" w:hAnsi="Arial" w:cs="Arial"/>
          <w:bCs/>
          <w:sz w:val="20"/>
          <w:lang w:val="es-ES" w:eastAsia="es-ES"/>
        </w:rPr>
      </w:pPr>
      <w:r w:rsidRPr="00993E75">
        <w:rPr>
          <w:rFonts w:ascii="Arial" w:hAnsi="Arial" w:cs="Arial"/>
          <w:bCs/>
          <w:sz w:val="20"/>
          <w:lang w:val="es-ES" w:eastAsia="es-ES"/>
        </w:rPr>
        <w:t>Proceso:</w:t>
      </w:r>
      <w:r w:rsidRPr="00993E75">
        <w:rPr>
          <w:rFonts w:ascii="Arial" w:hAnsi="Arial" w:cs="Arial"/>
          <w:bCs/>
          <w:sz w:val="20"/>
          <w:lang w:val="es-ES" w:eastAsia="es-ES"/>
        </w:rPr>
        <w:tab/>
      </w:r>
      <w:r w:rsidRPr="00993E75">
        <w:rPr>
          <w:rFonts w:ascii="Arial" w:hAnsi="Arial" w:cs="Arial"/>
          <w:bCs/>
          <w:sz w:val="20"/>
          <w:lang w:val="es-ES" w:eastAsia="es-ES"/>
        </w:rPr>
        <w:tab/>
        <w:t xml:space="preserve">Ordinario Laboral  </w:t>
      </w:r>
    </w:p>
    <w:p w14:paraId="50E9B5BD" w14:textId="77777777" w:rsidR="00993E75" w:rsidRPr="00993E75" w:rsidRDefault="00993E75" w:rsidP="00993E75">
      <w:pPr>
        <w:widowControl w:val="0"/>
        <w:autoSpaceDE w:val="0"/>
        <w:autoSpaceDN w:val="0"/>
        <w:adjustRightInd w:val="0"/>
        <w:jc w:val="both"/>
        <w:rPr>
          <w:rFonts w:ascii="Arial" w:hAnsi="Arial" w:cs="Arial"/>
          <w:bCs/>
          <w:sz w:val="20"/>
          <w:lang w:val="es-ES" w:eastAsia="es-ES"/>
        </w:rPr>
      </w:pPr>
      <w:r w:rsidRPr="00993E75">
        <w:rPr>
          <w:rFonts w:ascii="Arial" w:hAnsi="Arial" w:cs="Arial"/>
          <w:bCs/>
          <w:sz w:val="20"/>
          <w:lang w:val="es-ES" w:eastAsia="es-ES"/>
        </w:rPr>
        <w:t>Demandante:</w:t>
      </w:r>
      <w:r w:rsidRPr="00993E75">
        <w:rPr>
          <w:rFonts w:ascii="Arial" w:hAnsi="Arial" w:cs="Arial"/>
          <w:bCs/>
          <w:sz w:val="20"/>
          <w:lang w:val="es-ES" w:eastAsia="es-ES"/>
        </w:rPr>
        <w:tab/>
      </w:r>
      <w:r w:rsidRPr="00993E75">
        <w:rPr>
          <w:rFonts w:ascii="Arial" w:hAnsi="Arial" w:cs="Arial"/>
          <w:bCs/>
          <w:sz w:val="20"/>
          <w:lang w:val="es-ES" w:eastAsia="es-ES"/>
        </w:rPr>
        <w:tab/>
        <w:t>Martha Guiomar Pinzón Cancelada</w:t>
      </w:r>
    </w:p>
    <w:p w14:paraId="30EDEB1A" w14:textId="77777777" w:rsidR="00993E75" w:rsidRPr="00993E75" w:rsidRDefault="00993E75" w:rsidP="00993E75">
      <w:pPr>
        <w:widowControl w:val="0"/>
        <w:autoSpaceDE w:val="0"/>
        <w:autoSpaceDN w:val="0"/>
        <w:adjustRightInd w:val="0"/>
        <w:jc w:val="both"/>
        <w:rPr>
          <w:rFonts w:ascii="Arial" w:hAnsi="Arial" w:cs="Arial"/>
          <w:bCs/>
          <w:sz w:val="20"/>
          <w:lang w:val="es-ES" w:eastAsia="es-ES"/>
        </w:rPr>
      </w:pPr>
      <w:r w:rsidRPr="00993E75">
        <w:rPr>
          <w:rFonts w:ascii="Arial" w:hAnsi="Arial" w:cs="Arial"/>
          <w:bCs/>
          <w:sz w:val="20"/>
          <w:lang w:val="es-ES" w:eastAsia="es-ES"/>
        </w:rPr>
        <w:t>Demandado:</w:t>
      </w:r>
      <w:r w:rsidRPr="00993E75">
        <w:rPr>
          <w:rFonts w:ascii="Arial" w:hAnsi="Arial" w:cs="Arial"/>
          <w:bCs/>
          <w:sz w:val="20"/>
          <w:lang w:val="es-ES" w:eastAsia="es-ES"/>
        </w:rPr>
        <w:tab/>
      </w:r>
      <w:r w:rsidRPr="00993E75">
        <w:rPr>
          <w:rFonts w:ascii="Arial" w:hAnsi="Arial" w:cs="Arial"/>
          <w:bCs/>
          <w:sz w:val="20"/>
          <w:lang w:val="es-ES" w:eastAsia="es-ES"/>
        </w:rPr>
        <w:tab/>
        <w:t>Colpensiones y otros</w:t>
      </w:r>
    </w:p>
    <w:p w14:paraId="32611D50" w14:textId="77777777" w:rsidR="00993E75" w:rsidRPr="00993E75" w:rsidRDefault="00993E75" w:rsidP="00993E75">
      <w:pPr>
        <w:ind w:right="51"/>
        <w:jc w:val="both"/>
        <w:rPr>
          <w:rFonts w:ascii="Arial" w:hAnsi="Arial" w:cs="Arial"/>
          <w:bCs/>
          <w:sz w:val="20"/>
          <w:lang w:val="es-ES_tradnl" w:eastAsia="en-US"/>
        </w:rPr>
      </w:pPr>
    </w:p>
    <w:p w14:paraId="52AE49DF" w14:textId="77777777" w:rsidR="00993E75" w:rsidRPr="00993E75" w:rsidRDefault="00993E75" w:rsidP="00993E75">
      <w:pPr>
        <w:ind w:right="51"/>
        <w:jc w:val="both"/>
        <w:rPr>
          <w:rFonts w:ascii="Arial" w:hAnsi="Arial" w:cs="Arial"/>
          <w:bCs/>
          <w:sz w:val="20"/>
          <w:lang w:val="es-ES_tradnl" w:eastAsia="en-US"/>
        </w:rPr>
      </w:pPr>
    </w:p>
    <w:p w14:paraId="0354D89E" w14:textId="77777777" w:rsidR="00993E75" w:rsidRPr="00993E75" w:rsidRDefault="00993E75" w:rsidP="00993E75">
      <w:pPr>
        <w:ind w:right="51"/>
        <w:jc w:val="both"/>
        <w:rPr>
          <w:rFonts w:ascii="Arial" w:hAnsi="Arial" w:cs="Arial"/>
          <w:bCs/>
          <w:sz w:val="20"/>
          <w:lang w:val="es-ES_tradnl" w:eastAsia="en-US"/>
        </w:rPr>
      </w:pPr>
    </w:p>
    <w:p w14:paraId="6906C863" w14:textId="77777777" w:rsidR="00993E75" w:rsidRPr="00993E75" w:rsidRDefault="00993E75" w:rsidP="00993E75">
      <w:pPr>
        <w:ind w:left="2829" w:hanging="2829"/>
        <w:jc w:val="both"/>
        <w:rPr>
          <w:rFonts w:ascii="Arial" w:eastAsia="Calibri" w:hAnsi="Arial" w:cs="Arial"/>
          <w:bCs/>
          <w:sz w:val="20"/>
          <w:lang w:val="es-ES_tradnl" w:eastAsia="en-US"/>
        </w:rPr>
      </w:pPr>
    </w:p>
    <w:p w14:paraId="44427780" w14:textId="77777777" w:rsidR="00993E75" w:rsidRPr="00993E75" w:rsidRDefault="00993E75" w:rsidP="00993E75">
      <w:pPr>
        <w:spacing w:line="276" w:lineRule="auto"/>
        <w:jc w:val="center"/>
        <w:rPr>
          <w:rFonts w:ascii="Arial" w:eastAsia="Calibri" w:hAnsi="Arial" w:cs="Arial"/>
          <w:b/>
          <w:lang w:eastAsia="en-US"/>
        </w:rPr>
      </w:pPr>
      <w:r w:rsidRPr="00993E75">
        <w:rPr>
          <w:rFonts w:ascii="Arial" w:eastAsia="Calibri" w:hAnsi="Arial" w:cs="Arial"/>
          <w:lang w:eastAsia="en-US"/>
        </w:rPr>
        <w:t xml:space="preserve">MAGISTRADO: </w:t>
      </w:r>
      <w:r w:rsidRPr="00993E75">
        <w:rPr>
          <w:rFonts w:ascii="Arial" w:eastAsia="Calibri" w:hAnsi="Arial" w:cs="Arial"/>
          <w:b/>
          <w:lang w:eastAsia="en-US"/>
        </w:rPr>
        <w:t>JULIO CÉSAR SALAZAR MUÑOZ</w:t>
      </w:r>
    </w:p>
    <w:p w14:paraId="44EF4BCE" w14:textId="08C652D5" w:rsidR="00993E75" w:rsidRPr="00993E75" w:rsidRDefault="00993E75" w:rsidP="00993E75">
      <w:pPr>
        <w:spacing w:line="276" w:lineRule="auto"/>
        <w:jc w:val="center"/>
        <w:rPr>
          <w:rFonts w:ascii="Arial" w:eastAsia="Calibri" w:hAnsi="Arial" w:cs="Arial"/>
          <w:lang w:eastAsia="en-US"/>
        </w:rPr>
      </w:pPr>
      <w:r w:rsidRPr="00993E75">
        <w:rPr>
          <w:rFonts w:ascii="Arial" w:eastAsia="Calibri" w:hAnsi="Arial" w:cs="Arial"/>
          <w:lang w:eastAsia="en-US"/>
        </w:rPr>
        <w:t xml:space="preserve">Pereira, once [11] de febrero de dos mil </w:t>
      </w:r>
      <w:r w:rsidRPr="00993E75">
        <w:rPr>
          <w:rFonts w:ascii="Arial" w:eastAsia="Calibri" w:hAnsi="Arial" w:cs="Arial"/>
          <w:lang w:eastAsia="en-US"/>
        </w:rPr>
        <w:t>veintidós</w:t>
      </w:r>
      <w:r w:rsidRPr="00993E75">
        <w:rPr>
          <w:rFonts w:ascii="Arial" w:eastAsia="Calibri" w:hAnsi="Arial" w:cs="Arial"/>
          <w:lang w:eastAsia="en-US"/>
        </w:rPr>
        <w:t xml:space="preserve"> [2022].</w:t>
      </w:r>
    </w:p>
    <w:p w14:paraId="2B3C03AA" w14:textId="77777777" w:rsidR="00993E75" w:rsidRPr="00993E75" w:rsidRDefault="00993E75" w:rsidP="00993E75">
      <w:pPr>
        <w:tabs>
          <w:tab w:val="left" w:pos="1440"/>
        </w:tabs>
        <w:spacing w:line="276" w:lineRule="auto"/>
        <w:jc w:val="both"/>
        <w:rPr>
          <w:rFonts w:ascii="Arial" w:eastAsia="Calibri" w:hAnsi="Arial" w:cs="Arial"/>
          <w:snapToGrid w:val="0"/>
          <w:lang w:eastAsia="en-US"/>
        </w:rPr>
      </w:pPr>
    </w:p>
    <w:p w14:paraId="386564D4" w14:textId="77777777" w:rsidR="00993E75" w:rsidRPr="00993E75" w:rsidRDefault="00993E75" w:rsidP="00993E75">
      <w:pPr>
        <w:tabs>
          <w:tab w:val="left" w:pos="1440"/>
        </w:tabs>
        <w:spacing w:line="276" w:lineRule="auto"/>
        <w:jc w:val="both"/>
        <w:rPr>
          <w:rFonts w:ascii="Arial" w:eastAsia="Calibri" w:hAnsi="Arial" w:cs="Arial"/>
          <w:snapToGrid w:val="0"/>
          <w:lang w:eastAsia="en-US"/>
        </w:rPr>
      </w:pPr>
    </w:p>
    <w:p w14:paraId="24D9EB37" w14:textId="77777777" w:rsidR="00993E75" w:rsidRPr="00993E75" w:rsidRDefault="00993E75" w:rsidP="00993E75">
      <w:pPr>
        <w:spacing w:line="276" w:lineRule="auto"/>
        <w:jc w:val="center"/>
        <w:rPr>
          <w:rFonts w:ascii="Arial" w:eastAsia="Calibri" w:hAnsi="Arial" w:cs="Arial"/>
          <w:b/>
          <w:u w:val="single"/>
          <w:lang w:eastAsia="en-US"/>
        </w:rPr>
      </w:pPr>
      <w:r w:rsidRPr="00993E75">
        <w:rPr>
          <w:rFonts w:ascii="Arial" w:eastAsia="Calibri" w:hAnsi="Arial" w:cs="Arial"/>
          <w:b/>
          <w:u w:val="single"/>
          <w:lang w:eastAsia="en-US"/>
        </w:rPr>
        <w:t>SALVAMENTO DE VOTO</w:t>
      </w:r>
    </w:p>
    <w:p w14:paraId="57215A6C" w14:textId="77777777" w:rsidR="00993E75" w:rsidRPr="00993E75" w:rsidRDefault="00993E75" w:rsidP="00993E75">
      <w:pPr>
        <w:spacing w:line="276" w:lineRule="auto"/>
        <w:jc w:val="both"/>
        <w:rPr>
          <w:rFonts w:ascii="Arial" w:hAnsi="Arial" w:cs="Arial"/>
          <w:lang w:val="es-ES_tradnl" w:eastAsia="en-US"/>
        </w:rPr>
      </w:pPr>
    </w:p>
    <w:p w14:paraId="3596B8FA" w14:textId="77777777" w:rsidR="00993E75" w:rsidRPr="00993E75" w:rsidRDefault="00993E75" w:rsidP="00993E75">
      <w:pPr>
        <w:suppressAutoHyphens/>
        <w:spacing w:line="276" w:lineRule="auto"/>
        <w:jc w:val="both"/>
        <w:rPr>
          <w:rFonts w:ascii="Arial" w:eastAsia="Calibri" w:hAnsi="Arial" w:cs="Arial"/>
          <w:spacing w:val="-2"/>
          <w:lang w:val="es-ES_tradnl" w:eastAsia="en-US"/>
        </w:rPr>
      </w:pPr>
    </w:p>
    <w:p w14:paraId="72431D31" w14:textId="77777777" w:rsidR="00993E75" w:rsidRPr="00993E75" w:rsidRDefault="00993E75" w:rsidP="00993E75">
      <w:pPr>
        <w:suppressAutoHyphens/>
        <w:spacing w:line="276" w:lineRule="auto"/>
        <w:jc w:val="both"/>
        <w:rPr>
          <w:rFonts w:ascii="Arial" w:eastAsia="Calibri" w:hAnsi="Arial" w:cs="Arial"/>
          <w:spacing w:val="-2"/>
          <w:lang w:val="es-ES_tradnl" w:eastAsia="en-US"/>
        </w:rPr>
      </w:pPr>
      <w:r w:rsidRPr="00993E75">
        <w:rPr>
          <w:rFonts w:ascii="Arial" w:eastAsia="Calibri" w:hAnsi="Arial" w:cs="Arial"/>
          <w:spacing w:val="-2"/>
          <w:lang w:val="es-ES_tradnl" w:eastAsia="en-US"/>
        </w:rPr>
        <w:t>Si bien la providencia de la que me aparto fue proferida el 24 de enero de 2022, la notificación por estado se surtió el 10 de febrero de igual año, razón por la cual me encuentro dentro del término establecido en el inciso 3º del artículo 279 del Código General del Proceso para presentar el salvamento de voto, el cual paso a sustentar.</w:t>
      </w:r>
    </w:p>
    <w:p w14:paraId="13C3E0DB" w14:textId="77777777" w:rsidR="00993E75" w:rsidRPr="00993E75" w:rsidRDefault="00993E75" w:rsidP="00993E75">
      <w:pPr>
        <w:suppressAutoHyphens/>
        <w:spacing w:line="276" w:lineRule="auto"/>
        <w:jc w:val="both"/>
        <w:rPr>
          <w:rFonts w:ascii="Arial" w:eastAsia="Calibri" w:hAnsi="Arial" w:cs="Arial"/>
          <w:spacing w:val="-2"/>
          <w:lang w:val="es-ES_tradnl" w:eastAsia="en-US"/>
        </w:rPr>
      </w:pPr>
    </w:p>
    <w:p w14:paraId="5C95F55E" w14:textId="77777777" w:rsidR="00993E75" w:rsidRPr="00993E75" w:rsidRDefault="00993E75" w:rsidP="00993E75">
      <w:pPr>
        <w:suppressAutoHyphens/>
        <w:spacing w:line="276" w:lineRule="auto"/>
        <w:jc w:val="both"/>
        <w:rPr>
          <w:rFonts w:ascii="Arial" w:eastAsia="Calibri" w:hAnsi="Arial" w:cs="Arial"/>
          <w:spacing w:val="-2"/>
          <w:lang w:val="es-ES_tradnl" w:eastAsia="en-US"/>
        </w:rPr>
      </w:pPr>
      <w:r w:rsidRPr="00993E75">
        <w:rPr>
          <w:rFonts w:ascii="Arial" w:eastAsia="Calibri" w:hAnsi="Arial" w:cs="Arial"/>
          <w:spacing w:val="-2"/>
          <w:lang w:val="es-ES_tradnl" w:eastAsia="en-US"/>
        </w:rPr>
        <w:t xml:space="preserve">Tal como lo propuse en la ponencia que presenté inicialmente, considero que </w:t>
      </w:r>
      <w:r w:rsidRPr="00993E75">
        <w:rPr>
          <w:rFonts w:ascii="Arial" w:eastAsia="Calibri" w:hAnsi="Arial" w:cs="Arial"/>
          <w:spacing w:val="-2"/>
          <w:lang w:eastAsia="en-US"/>
        </w:rPr>
        <w:t xml:space="preserve">el auto proferido por </w:t>
      </w:r>
      <w:r w:rsidRPr="00993E75">
        <w:rPr>
          <w:rFonts w:ascii="Arial" w:eastAsia="Calibri" w:hAnsi="Arial" w:cs="Arial"/>
          <w:color w:val="000000"/>
          <w:shd w:val="clear" w:color="auto" w:fill="FFFFFF"/>
          <w:lang w:eastAsia="en-US"/>
        </w:rPr>
        <w:t>el Juzgado Segundo Laboral del Circuito de Pereira el día 7 de julio de 2021</w:t>
      </w:r>
      <w:r w:rsidRPr="00993E75">
        <w:rPr>
          <w:rFonts w:ascii="Arial" w:eastAsia="Calibri" w:hAnsi="Arial" w:cs="Arial"/>
          <w:spacing w:val="-2"/>
          <w:lang w:eastAsia="en-US"/>
        </w:rPr>
        <w:t>, debió ser modificado</w:t>
      </w:r>
      <w:r w:rsidRPr="00993E75">
        <w:rPr>
          <w:rFonts w:ascii="Arial" w:eastAsia="Calibri" w:hAnsi="Arial" w:cs="Arial"/>
          <w:spacing w:val="-2"/>
          <w:lang w:val="es-ES_tradnl" w:eastAsia="en-US"/>
        </w:rPr>
        <w:t>.</w:t>
      </w:r>
    </w:p>
    <w:p w14:paraId="7FF2FFBF" w14:textId="77777777" w:rsidR="00993E75" w:rsidRPr="00993E75" w:rsidRDefault="00993E75" w:rsidP="00993E75">
      <w:pPr>
        <w:tabs>
          <w:tab w:val="left" w:pos="-720"/>
        </w:tabs>
        <w:suppressAutoHyphens/>
        <w:spacing w:line="276" w:lineRule="auto"/>
        <w:jc w:val="both"/>
        <w:rPr>
          <w:rFonts w:ascii="Arial" w:eastAsia="Calibri" w:hAnsi="Arial" w:cs="Arial"/>
          <w:spacing w:val="-2"/>
          <w:lang w:val="es-ES_tradnl" w:eastAsia="en-US"/>
        </w:rPr>
      </w:pPr>
    </w:p>
    <w:p w14:paraId="284A321B" w14:textId="77777777" w:rsidR="00993E75" w:rsidRPr="00993E75" w:rsidRDefault="00993E75" w:rsidP="00993E75">
      <w:pPr>
        <w:tabs>
          <w:tab w:val="left" w:pos="-720"/>
        </w:tabs>
        <w:suppressAutoHyphens/>
        <w:spacing w:line="276" w:lineRule="auto"/>
        <w:jc w:val="both"/>
        <w:rPr>
          <w:rFonts w:ascii="Arial" w:eastAsia="Calibri" w:hAnsi="Arial" w:cs="Arial"/>
          <w:lang w:val="es-ES_tradnl" w:eastAsia="en-US"/>
        </w:rPr>
      </w:pPr>
      <w:r w:rsidRPr="00993E75">
        <w:rPr>
          <w:rFonts w:ascii="Arial" w:eastAsia="Calibri" w:hAnsi="Arial" w:cs="Arial"/>
          <w:spacing w:val="-2"/>
          <w:lang w:val="es-ES_tradnl" w:eastAsia="en-US"/>
        </w:rPr>
        <w:t>Los argumentos que sustentan mi alejamiento de lo decidido por la mayoría en esta segunda instancia, se basan en los siguientes supuestos jurídicos y análisis del caso, partiendo de la necesidad de resolver como problema jurídico, si:</w:t>
      </w:r>
    </w:p>
    <w:p w14:paraId="4171090E" w14:textId="77777777" w:rsidR="00993E75" w:rsidRPr="00993E75" w:rsidRDefault="00993E75" w:rsidP="00993E75">
      <w:pPr>
        <w:spacing w:line="276" w:lineRule="auto"/>
        <w:ind w:left="420" w:right="330"/>
        <w:jc w:val="both"/>
        <w:textAlignment w:val="baseline"/>
        <w:rPr>
          <w:rFonts w:ascii="Arial" w:hAnsi="Arial" w:cs="Arial"/>
          <w:b/>
          <w:bCs/>
          <w:iCs/>
          <w:lang w:val="es-ES" w:eastAsia="es-ES"/>
        </w:rPr>
      </w:pPr>
    </w:p>
    <w:p w14:paraId="2875305C" w14:textId="77777777" w:rsidR="00993E75" w:rsidRPr="00993E75" w:rsidRDefault="00993E75" w:rsidP="00993E75">
      <w:pPr>
        <w:spacing w:line="276" w:lineRule="auto"/>
        <w:ind w:left="420" w:right="418"/>
        <w:jc w:val="both"/>
        <w:textAlignment w:val="baseline"/>
        <w:rPr>
          <w:rFonts w:ascii="Arial" w:hAnsi="Arial" w:cs="Arial"/>
          <w:lang w:val="es-ES" w:eastAsia="es-ES"/>
        </w:rPr>
      </w:pPr>
      <w:r w:rsidRPr="00993E75">
        <w:rPr>
          <w:rFonts w:ascii="Arial" w:hAnsi="Arial" w:cs="Arial"/>
          <w:b/>
          <w:bCs/>
          <w:iCs/>
          <w:lang w:val="es-ES" w:eastAsia="es-ES"/>
        </w:rPr>
        <w:t>¿El monto reconocido a título de agencias en derecho se encuentra a justado a lo establecido en el Acuerdo</w:t>
      </w:r>
      <w:r w:rsidRPr="00993E75">
        <w:rPr>
          <w:rFonts w:ascii="Arial" w:hAnsi="Arial" w:cs="Arial"/>
          <w:lang w:val="es-ES" w:eastAsia="es-ES"/>
        </w:rPr>
        <w:t> </w:t>
      </w:r>
      <w:r w:rsidRPr="00993E75">
        <w:rPr>
          <w:rFonts w:ascii="Arial" w:hAnsi="Arial" w:cs="Arial"/>
          <w:b/>
          <w:bCs/>
          <w:iCs/>
          <w:lang w:val="es-ES" w:eastAsia="es-ES"/>
        </w:rPr>
        <w:t>PSAA 16 – 10554 de 2016?</w:t>
      </w:r>
      <w:r w:rsidRPr="00993E75">
        <w:rPr>
          <w:rFonts w:ascii="Arial" w:hAnsi="Arial" w:cs="Arial"/>
          <w:lang w:val="es-ES" w:eastAsia="es-ES"/>
        </w:rPr>
        <w:t> </w:t>
      </w:r>
    </w:p>
    <w:p w14:paraId="32CCFDD5" w14:textId="77777777" w:rsidR="00993E75" w:rsidRPr="00993E75" w:rsidRDefault="00993E75" w:rsidP="00993E75">
      <w:pPr>
        <w:spacing w:line="276" w:lineRule="auto"/>
        <w:jc w:val="both"/>
        <w:textAlignment w:val="baseline"/>
        <w:rPr>
          <w:rFonts w:ascii="Arial" w:hAnsi="Arial" w:cs="Arial"/>
          <w:lang w:val="es-ES" w:eastAsia="es-ES"/>
        </w:rPr>
      </w:pPr>
      <w:r w:rsidRPr="00993E75">
        <w:rPr>
          <w:rFonts w:ascii="Arial" w:hAnsi="Arial" w:cs="Arial"/>
          <w:lang w:val="es-ES" w:eastAsia="es-ES"/>
        </w:rPr>
        <w:t> </w:t>
      </w:r>
    </w:p>
    <w:p w14:paraId="7D32A7FF" w14:textId="77777777" w:rsidR="00993E75" w:rsidRPr="00993E75" w:rsidRDefault="00993E75" w:rsidP="00993E75">
      <w:pPr>
        <w:spacing w:line="276" w:lineRule="auto"/>
        <w:ind w:right="51"/>
        <w:jc w:val="both"/>
        <w:rPr>
          <w:rFonts w:ascii="Arial" w:eastAsia="Calibri" w:hAnsi="Arial" w:cs="Arial"/>
          <w:lang w:eastAsia="en-US"/>
        </w:rPr>
      </w:pPr>
      <w:r w:rsidRPr="00993E75">
        <w:rPr>
          <w:rFonts w:ascii="Arial" w:eastAsia="Calibri" w:hAnsi="Arial" w:cs="Arial"/>
          <w:lang w:eastAsia="en-US"/>
        </w:rPr>
        <w:t>Para resolver el interrogante formulado propuse hacer las siguientes precisiones:</w:t>
      </w:r>
    </w:p>
    <w:p w14:paraId="1B63D6C1" w14:textId="77777777" w:rsidR="00993E75" w:rsidRPr="00993E75" w:rsidRDefault="00993E75" w:rsidP="00993E75">
      <w:pPr>
        <w:spacing w:line="276" w:lineRule="auto"/>
        <w:jc w:val="both"/>
        <w:rPr>
          <w:rFonts w:ascii="Arial" w:hAnsi="Arial" w:cs="Arial"/>
          <w:b/>
          <w:bCs/>
          <w:lang w:val="es-ES" w:eastAsia="es-ES"/>
        </w:rPr>
      </w:pPr>
    </w:p>
    <w:p w14:paraId="603259FE" w14:textId="77777777" w:rsidR="00993E75" w:rsidRPr="00993E75" w:rsidRDefault="00993E75" w:rsidP="00993E75">
      <w:pPr>
        <w:spacing w:line="276" w:lineRule="auto"/>
        <w:ind w:left="426" w:right="418"/>
        <w:jc w:val="both"/>
        <w:rPr>
          <w:rFonts w:ascii="Arial" w:hAnsi="Arial" w:cs="Arial"/>
          <w:b/>
          <w:bCs/>
          <w:lang w:val="es-ES" w:eastAsia="es-ES"/>
        </w:rPr>
      </w:pPr>
      <w:r w:rsidRPr="00993E75">
        <w:rPr>
          <w:rFonts w:ascii="Arial" w:hAnsi="Arial" w:cs="Arial"/>
          <w:b/>
          <w:bCs/>
          <w:lang w:val="es-ES" w:eastAsia="es-ES"/>
        </w:rPr>
        <w:t>“1. FIJACION DE AGENCIAS EN DERECHO </w:t>
      </w:r>
      <w:bookmarkStart w:id="6" w:name="BM392"/>
      <w:r w:rsidRPr="00993E75">
        <w:rPr>
          <w:rFonts w:ascii="Arial" w:hAnsi="Arial" w:cs="Arial"/>
          <w:b/>
          <w:bCs/>
          <w:lang w:val="es-ES" w:eastAsia="es-ES"/>
        </w:rPr>
        <w:t> </w:t>
      </w:r>
      <w:bookmarkStart w:id="7" w:name="392"/>
      <w:bookmarkEnd w:id="6"/>
      <w:r w:rsidRPr="00993E75">
        <w:rPr>
          <w:rFonts w:ascii="Arial" w:hAnsi="Arial" w:cs="Arial"/>
          <w:b/>
          <w:bCs/>
          <w:lang w:val="es-ES" w:eastAsia="es-ES"/>
        </w:rPr>
        <w:t> </w:t>
      </w:r>
      <w:bookmarkEnd w:id="7"/>
    </w:p>
    <w:p w14:paraId="06B341BD" w14:textId="77777777" w:rsidR="00993E75" w:rsidRPr="00993E75" w:rsidRDefault="00993E75" w:rsidP="00993E75">
      <w:pPr>
        <w:spacing w:line="276" w:lineRule="auto"/>
        <w:ind w:left="426" w:right="418"/>
        <w:jc w:val="both"/>
        <w:rPr>
          <w:rFonts w:ascii="Arial" w:hAnsi="Arial" w:cs="Arial"/>
          <w:lang w:val="es-ES_tradnl" w:eastAsia="en-US"/>
        </w:rPr>
      </w:pPr>
    </w:p>
    <w:p w14:paraId="25EDA8AF" w14:textId="77777777" w:rsidR="00993E75" w:rsidRPr="00993E75" w:rsidRDefault="00993E75" w:rsidP="00993E75">
      <w:pPr>
        <w:spacing w:line="276" w:lineRule="auto"/>
        <w:ind w:left="426" w:right="418"/>
        <w:jc w:val="both"/>
        <w:rPr>
          <w:rFonts w:ascii="Arial" w:hAnsi="Arial" w:cs="Arial"/>
          <w:lang w:val="es-ES_tradnl" w:eastAsia="en-US"/>
        </w:rPr>
      </w:pPr>
      <w:r w:rsidRPr="00993E75">
        <w:rPr>
          <w:rFonts w:ascii="Arial" w:hAnsi="Arial" w:cs="Arial"/>
          <w:lang w:val="es-ES_tradnl" w:eastAsia="en-US"/>
        </w:rPr>
        <w:t>El Código General de Proceso, dispone en su artículo 365 modificado por la Ley 1395 de 2010, la condena en costas a la parte vencida en juicio o  a quien se le resuelva desfavorablemente el recurso de apelación, súplica, queja, casación, revisión o anulación que haya formulado; así como a quien se le resuelva de manera desfavorable un incidente, la formulación de excepciones previas, una solicitud de nulidad o un amparo de pobreza, sin perjuicio de lo dispuesto en relación con la temeridad o mala fe.</w:t>
      </w:r>
    </w:p>
    <w:p w14:paraId="296CFDD1" w14:textId="77777777" w:rsidR="00993E75" w:rsidRPr="00993E75" w:rsidRDefault="00993E75" w:rsidP="00993E75">
      <w:pPr>
        <w:spacing w:line="276" w:lineRule="auto"/>
        <w:ind w:left="426" w:right="418"/>
        <w:jc w:val="both"/>
        <w:rPr>
          <w:rFonts w:ascii="Arial" w:hAnsi="Arial" w:cs="Arial"/>
          <w:lang w:val="es-ES_tradnl" w:eastAsia="en-US"/>
        </w:rPr>
      </w:pPr>
    </w:p>
    <w:p w14:paraId="55521643" w14:textId="77777777" w:rsidR="00993E75" w:rsidRPr="00993E75" w:rsidRDefault="00993E75" w:rsidP="00993E75">
      <w:pPr>
        <w:spacing w:line="276" w:lineRule="auto"/>
        <w:ind w:left="426" w:right="418"/>
        <w:jc w:val="both"/>
        <w:rPr>
          <w:rFonts w:ascii="Arial" w:hAnsi="Arial" w:cs="Arial"/>
          <w:lang w:val="es-ES_tradnl" w:eastAsia="en-US"/>
        </w:rPr>
      </w:pPr>
      <w:r w:rsidRPr="00993E75">
        <w:rPr>
          <w:rFonts w:ascii="Arial" w:hAnsi="Arial" w:cs="Arial"/>
          <w:lang w:val="es-ES_tradnl" w:eastAsia="en-US"/>
        </w:rPr>
        <w:t xml:space="preserve">Es indiscutible, que para establecer el valor de las costas, deben observarse una serie de circunstancias propias, que se extraen del debate procesal en estricto cumplimiento del canon 366 ibídem, que dispone en su numeral 4º: “Para la fijación de agencias en derecho deberán aplicarse las tarifas que establezca el Consejo Superior de la Judicatura. Si aquéllas establecen solamente un mínimo, o éste y un máximo, el juez tendrá en cuenta, además, la naturaleza, calidad y duración de la gestión realizada por el apoderado o </w:t>
      </w:r>
      <w:r w:rsidRPr="00993E75">
        <w:rPr>
          <w:rFonts w:ascii="Arial" w:hAnsi="Arial" w:cs="Arial"/>
          <w:lang w:val="es-ES_tradnl" w:eastAsia="en-US"/>
        </w:rPr>
        <w:lastRenderedPageBreak/>
        <w:t>la parte que litigó personalmente, la cuantía del proceso y otras circunstancias especiales, sin que pueda exceder el máximo de dichas tarifas.”</w:t>
      </w:r>
    </w:p>
    <w:p w14:paraId="492CF24A" w14:textId="77777777" w:rsidR="00993E75" w:rsidRPr="00993E75" w:rsidRDefault="00993E75" w:rsidP="00993E75">
      <w:pPr>
        <w:spacing w:line="276" w:lineRule="auto"/>
        <w:ind w:left="426" w:right="418"/>
        <w:jc w:val="both"/>
        <w:rPr>
          <w:rFonts w:ascii="Arial" w:hAnsi="Arial" w:cs="Arial"/>
          <w:lang w:val="es-ES_tradnl" w:eastAsia="en-US"/>
        </w:rPr>
      </w:pPr>
    </w:p>
    <w:p w14:paraId="5C57D494" w14:textId="77777777" w:rsidR="00993E75" w:rsidRPr="00993E75" w:rsidRDefault="00993E75" w:rsidP="00993E75">
      <w:pPr>
        <w:spacing w:line="276" w:lineRule="auto"/>
        <w:ind w:left="426" w:right="418"/>
        <w:jc w:val="both"/>
        <w:rPr>
          <w:rFonts w:ascii="Arial" w:hAnsi="Arial" w:cs="Arial"/>
          <w:color w:val="FF0000"/>
          <w:lang w:val="es-ES_tradnl" w:eastAsia="en-US"/>
        </w:rPr>
      </w:pPr>
      <w:r w:rsidRPr="00993E75">
        <w:rPr>
          <w:rFonts w:ascii="Arial" w:hAnsi="Arial" w:cs="Arial"/>
          <w:lang w:val="es-ES_tradnl" w:eastAsia="en-US"/>
        </w:rPr>
        <w:t xml:space="preserve">Ahora bien, la normatividad vigente respecto a las tarifas de agencias en derecho es el Acuerdo PSAA16-10554 de 2016, expedido por el Consejo Superior de la Judicatura, acto administrativo que empezó a regir a partir de la fecha de su publicación que lo fue el 5 de agosto de esa anualidad y aplicaba para los procesos iniciados a partir de esta data. </w:t>
      </w:r>
    </w:p>
    <w:p w14:paraId="3083077C" w14:textId="77777777" w:rsidR="00993E75" w:rsidRPr="00993E75" w:rsidRDefault="00993E75" w:rsidP="00993E75">
      <w:pPr>
        <w:spacing w:line="276" w:lineRule="auto"/>
        <w:ind w:left="426" w:right="418"/>
        <w:jc w:val="both"/>
        <w:rPr>
          <w:rFonts w:ascii="Arial" w:hAnsi="Arial" w:cs="Arial"/>
          <w:lang w:val="es-ES_tradnl" w:eastAsia="en-US"/>
        </w:rPr>
      </w:pPr>
    </w:p>
    <w:p w14:paraId="2DC2F218" w14:textId="77777777" w:rsidR="00993E75" w:rsidRPr="00993E75" w:rsidRDefault="00993E75" w:rsidP="00993E75">
      <w:pPr>
        <w:spacing w:line="276" w:lineRule="auto"/>
        <w:ind w:left="426" w:right="418"/>
        <w:jc w:val="both"/>
        <w:rPr>
          <w:rFonts w:ascii="Arial" w:hAnsi="Arial" w:cs="Arial"/>
          <w:iCs/>
          <w:lang w:val="es-ES_tradnl" w:eastAsia="en-US"/>
        </w:rPr>
      </w:pPr>
      <w:r w:rsidRPr="00993E75">
        <w:rPr>
          <w:rFonts w:ascii="Arial" w:hAnsi="Arial" w:cs="Arial"/>
          <w:lang w:val="es-ES_tradnl" w:eastAsia="en-US"/>
        </w:rPr>
        <w:t xml:space="preserve">Dicho Acuerdo, </w:t>
      </w:r>
      <w:r w:rsidRPr="00993E75">
        <w:rPr>
          <w:rFonts w:ascii="Arial" w:hAnsi="Arial" w:cs="Arial"/>
          <w:iCs/>
          <w:lang w:val="es-ES_tradnl" w:eastAsia="en-US"/>
        </w:rPr>
        <w:t>“Por el cual se establecen las tarifas de agencias en derecho”</w:t>
      </w:r>
      <w:r w:rsidRPr="00993E75">
        <w:rPr>
          <w:rFonts w:ascii="Arial" w:hAnsi="Arial" w:cs="Arial"/>
          <w:lang w:val="es-ES_tradnl" w:eastAsia="en-US"/>
        </w:rPr>
        <w:t xml:space="preserve">, en el numeral 1º de del artículo 5º se establece: </w:t>
      </w:r>
      <w:r w:rsidRPr="00993E75">
        <w:rPr>
          <w:rFonts w:ascii="Arial" w:hAnsi="Arial" w:cs="Arial"/>
          <w:iCs/>
          <w:lang w:val="es-ES_tradnl" w:eastAsia="en-US"/>
        </w:rPr>
        <w:t xml:space="preserve">“b) por la naturaleza del asunto.  En aquellos asuntos que carezcan de cuantía o pretensiones pecuniarias, entre 1 y 10 S.M.M.L.V” </w:t>
      </w:r>
    </w:p>
    <w:p w14:paraId="2ACE5897" w14:textId="77777777" w:rsidR="00993E75" w:rsidRPr="00993E75" w:rsidRDefault="00993E75" w:rsidP="00993E75">
      <w:pPr>
        <w:spacing w:line="276" w:lineRule="auto"/>
        <w:ind w:left="426" w:right="418"/>
        <w:jc w:val="both"/>
        <w:rPr>
          <w:rFonts w:ascii="Arial" w:hAnsi="Arial" w:cs="Arial"/>
          <w:lang w:val="es-ES_tradnl" w:eastAsia="en-US"/>
        </w:rPr>
      </w:pPr>
    </w:p>
    <w:p w14:paraId="4929527A" w14:textId="77777777" w:rsidR="00993E75" w:rsidRPr="00993E75" w:rsidRDefault="00993E75" w:rsidP="00993E75">
      <w:pPr>
        <w:spacing w:line="276" w:lineRule="auto"/>
        <w:ind w:left="426" w:right="418"/>
        <w:jc w:val="both"/>
        <w:rPr>
          <w:rFonts w:ascii="Arial" w:hAnsi="Arial" w:cs="Arial"/>
          <w:lang w:val="es-ES_tradnl" w:eastAsia="en-US"/>
        </w:rPr>
      </w:pPr>
      <w:r w:rsidRPr="00993E75">
        <w:rPr>
          <w:rFonts w:ascii="Arial" w:hAnsi="Arial" w:cs="Arial"/>
          <w:lang w:val="es-ES_tradnl" w:eastAsia="en-US"/>
        </w:rPr>
        <w:t>En segunda instancia, la misma norma prevé</w:t>
      </w:r>
      <w:r w:rsidRPr="00993E75">
        <w:rPr>
          <w:rFonts w:ascii="Arial" w:hAnsi="Arial" w:cs="Arial"/>
          <w:iCs/>
          <w:lang w:val="es-ES_tradnl" w:eastAsia="en-US"/>
        </w:rPr>
        <w:t xml:space="preserve"> “Entre 1 y 6 S.M.M.L.V” </w:t>
      </w:r>
    </w:p>
    <w:p w14:paraId="514DDFF2" w14:textId="77777777" w:rsidR="00993E75" w:rsidRPr="00993E75" w:rsidRDefault="00993E75" w:rsidP="00993E75">
      <w:pPr>
        <w:spacing w:line="276" w:lineRule="auto"/>
        <w:ind w:left="426" w:right="418"/>
        <w:jc w:val="both"/>
        <w:rPr>
          <w:rFonts w:ascii="Arial" w:hAnsi="Arial" w:cs="Arial"/>
          <w:lang w:val="es-ES_tradnl" w:eastAsia="en-US"/>
        </w:rPr>
      </w:pPr>
    </w:p>
    <w:p w14:paraId="339527A6" w14:textId="77777777" w:rsidR="00993E75" w:rsidRPr="00993E75" w:rsidRDefault="00993E75" w:rsidP="00993E75">
      <w:pPr>
        <w:spacing w:line="276" w:lineRule="auto"/>
        <w:ind w:left="426" w:right="418"/>
        <w:jc w:val="both"/>
        <w:rPr>
          <w:rFonts w:ascii="Arial" w:hAnsi="Arial" w:cs="Arial"/>
          <w:lang w:val="es-ES_tradnl" w:eastAsia="en-US"/>
        </w:rPr>
      </w:pPr>
      <w:r w:rsidRPr="00993E75">
        <w:rPr>
          <w:rFonts w:ascii="Arial" w:hAnsi="Arial" w:cs="Arial"/>
          <w:lang w:val="es-ES_tradnl" w:eastAsia="en-US"/>
        </w:rPr>
        <w:t>Como puede verse, la norma otorga al operador jurídico la facultad de moverse entre los topes mínimos y máximos establecidos en el Acuerdo No PSAA16-10554 de 2016, debiendo antes, analizar los presupuestos a tener en cuenta antes trascritos, así como los establecidos en el artículo 2º ibídem, que en su tenor literal dispone: “Para la fijación de agencias en derecho el funcionario judicial tendrá en cuenta, dentro del rango de las tarifas mínimas y máximas establecidas por este acuerdo, la naturaleza, la calidad y la duración de la gestión realizada por el apoderado o la parte que litigó personalmente, la cuantía del proceso y demás circunstancias especiales directamente relacionadas con dicha actividad, que permitan valorar la labor jurídica desarrollada, sin que en ningún caso se puedan desconocer los referidos límites”.</w:t>
      </w:r>
    </w:p>
    <w:p w14:paraId="7C1ED1E2" w14:textId="77777777" w:rsidR="00993E75" w:rsidRPr="00993E75" w:rsidRDefault="00993E75" w:rsidP="00993E75">
      <w:pPr>
        <w:spacing w:line="276" w:lineRule="auto"/>
        <w:ind w:left="426" w:right="418"/>
        <w:jc w:val="both"/>
        <w:rPr>
          <w:rFonts w:ascii="Arial" w:hAnsi="Arial" w:cs="Arial"/>
          <w:lang w:val="es-ES_tradnl" w:eastAsia="en-US"/>
        </w:rPr>
      </w:pPr>
      <w:r w:rsidRPr="00993E75">
        <w:rPr>
          <w:rFonts w:ascii="Arial" w:hAnsi="Arial" w:cs="Arial"/>
          <w:lang w:val="es-ES_tradnl" w:eastAsia="en-US"/>
        </w:rPr>
        <w:t xml:space="preserve"> </w:t>
      </w:r>
    </w:p>
    <w:p w14:paraId="4566CF5A" w14:textId="77777777" w:rsidR="00993E75" w:rsidRPr="00993E75" w:rsidRDefault="00993E75" w:rsidP="00993E75">
      <w:pPr>
        <w:spacing w:line="276" w:lineRule="auto"/>
        <w:ind w:left="426" w:right="418"/>
        <w:jc w:val="both"/>
        <w:rPr>
          <w:rFonts w:ascii="Arial" w:hAnsi="Arial" w:cs="Arial"/>
          <w:lang w:val="es-ES_tradnl" w:eastAsia="en-US"/>
        </w:rPr>
      </w:pPr>
      <w:r w:rsidRPr="00993E75">
        <w:rPr>
          <w:rFonts w:ascii="Arial" w:hAnsi="Arial" w:cs="Arial"/>
          <w:lang w:val="es-ES_tradnl" w:eastAsia="en-US"/>
        </w:rPr>
        <w:t>Finalmente, en el parágrafo del artículo 3º de la disposición que se viene citando, se establece “Para los efectos de este acuerdo entiéndase que las pretensiones no son de índole pecuniario cuando lo que se pide sea la simple declaración o ejecución de obligaciones de hacer o no hacer, licencias, designaciones, declaración de situaciones, autorizaciones, correcciones o solicitudes semejantes”.”</w:t>
      </w:r>
    </w:p>
    <w:p w14:paraId="142D7A1A" w14:textId="77777777" w:rsidR="00993E75" w:rsidRPr="00993E75" w:rsidRDefault="00993E75" w:rsidP="00993E75">
      <w:pPr>
        <w:spacing w:line="276" w:lineRule="auto"/>
        <w:jc w:val="both"/>
        <w:rPr>
          <w:rFonts w:ascii="Arial" w:hAnsi="Arial" w:cs="Arial"/>
          <w:iCs/>
          <w:lang w:val="es-ES_tradnl" w:eastAsia="en-US"/>
        </w:rPr>
      </w:pPr>
    </w:p>
    <w:p w14:paraId="2FB1F915" w14:textId="77777777" w:rsidR="00993E75" w:rsidRPr="00993E75" w:rsidRDefault="00993E75" w:rsidP="00993E75">
      <w:pPr>
        <w:spacing w:line="276" w:lineRule="auto"/>
        <w:jc w:val="both"/>
        <w:rPr>
          <w:rFonts w:ascii="Arial" w:hAnsi="Arial" w:cs="Arial"/>
          <w:lang w:val="es-ES_tradnl" w:eastAsia="en-US"/>
        </w:rPr>
      </w:pPr>
      <w:r w:rsidRPr="00993E75">
        <w:rPr>
          <w:rFonts w:ascii="Arial" w:hAnsi="Arial" w:cs="Arial"/>
          <w:bCs/>
          <w:lang w:val="es-ES_tradnl" w:eastAsia="en-US"/>
        </w:rPr>
        <w:t>Con base en lo anterior, en mi proyecto, propuse resolver</w:t>
      </w:r>
      <w:r w:rsidRPr="00993E75">
        <w:rPr>
          <w:rFonts w:ascii="Arial" w:hAnsi="Arial" w:cs="Arial"/>
          <w:b/>
          <w:bCs/>
          <w:lang w:val="es-ES_tradnl" w:eastAsia="en-US"/>
        </w:rPr>
        <w:t xml:space="preserve"> EL CASO CONCRETO</w:t>
      </w:r>
      <w:r w:rsidRPr="00993E75">
        <w:rPr>
          <w:rFonts w:ascii="Arial" w:hAnsi="Arial" w:cs="Arial"/>
          <w:lang w:val="es-ES_tradnl" w:eastAsia="en-US"/>
        </w:rPr>
        <w:t> como transcribo a continuación:</w:t>
      </w:r>
    </w:p>
    <w:p w14:paraId="59AD78F6" w14:textId="77777777" w:rsidR="00993E75" w:rsidRPr="00993E75" w:rsidRDefault="00993E75" w:rsidP="00993E75">
      <w:pPr>
        <w:spacing w:line="276" w:lineRule="auto"/>
        <w:jc w:val="both"/>
        <w:rPr>
          <w:rFonts w:ascii="Arial" w:hAnsi="Arial" w:cs="Arial"/>
          <w:lang w:val="es-ES_tradnl" w:eastAsia="en-US"/>
        </w:rPr>
      </w:pPr>
    </w:p>
    <w:p w14:paraId="6F066981" w14:textId="77777777" w:rsidR="00993E75" w:rsidRPr="00993E75" w:rsidRDefault="00993E75" w:rsidP="00993E75">
      <w:pPr>
        <w:spacing w:line="276" w:lineRule="auto"/>
        <w:ind w:left="426" w:right="418"/>
        <w:jc w:val="both"/>
        <w:rPr>
          <w:rFonts w:ascii="Arial" w:hAnsi="Arial" w:cs="Arial"/>
          <w:lang w:val="es-ES_tradnl" w:eastAsia="en-US"/>
        </w:rPr>
      </w:pPr>
      <w:r w:rsidRPr="00993E75">
        <w:rPr>
          <w:rFonts w:ascii="Arial" w:hAnsi="Arial" w:cs="Arial"/>
          <w:lang w:val="es-ES_tradnl" w:eastAsia="en-US"/>
        </w:rPr>
        <w:t xml:space="preserve">“Plasma la parte demandada su inconformidad respecto al monto aprobado por costas procesales, en el hecho de que resultan excesivas en consideración a que la pretensión principal de la demanda era que la jurisdicción laboral declarase la nulidad del traslado y/o la ineficacia de la afiliación al régimen da ahorro individual, frente a la cual ninguna actuación podía adelantar en sede administrativa, por existir una prohibición legal para disponer el traslado de régimen pensional, correspondiendo entonces al juez laboral disponer el retorno de la accionante al régimen de prima media con </w:t>
      </w:r>
      <w:r w:rsidRPr="00993E75">
        <w:rPr>
          <w:rFonts w:ascii="Arial" w:hAnsi="Arial" w:cs="Arial"/>
          <w:lang w:val="es-ES_tradnl" w:eastAsia="en-US"/>
        </w:rPr>
        <w:lastRenderedPageBreak/>
        <w:t>prestación definida, por ser esta una orden soportada en la jurisprudencia nacional y no en la ley, siendo esta, incluso, una razón de peso para ser exonerada del pago de costas procesales.</w:t>
      </w:r>
    </w:p>
    <w:p w14:paraId="640A6888" w14:textId="77777777" w:rsidR="00993E75" w:rsidRPr="00993E75" w:rsidRDefault="00993E75" w:rsidP="00993E75">
      <w:pPr>
        <w:spacing w:line="276" w:lineRule="auto"/>
        <w:ind w:left="426" w:right="418"/>
        <w:jc w:val="both"/>
        <w:rPr>
          <w:rFonts w:ascii="Arial" w:hAnsi="Arial" w:cs="Arial"/>
          <w:lang w:val="es-ES_tradnl" w:eastAsia="en-US"/>
        </w:rPr>
      </w:pPr>
    </w:p>
    <w:p w14:paraId="7E590E2E" w14:textId="46A76967" w:rsidR="00993E75" w:rsidRPr="00993E75" w:rsidRDefault="00993E75" w:rsidP="00993E75">
      <w:pPr>
        <w:spacing w:line="276" w:lineRule="auto"/>
        <w:ind w:left="426" w:right="418"/>
        <w:jc w:val="both"/>
        <w:textAlignment w:val="baseline"/>
        <w:rPr>
          <w:rFonts w:ascii="Arial" w:hAnsi="Arial" w:cs="Arial"/>
          <w:lang w:eastAsia="es-CO"/>
        </w:rPr>
      </w:pPr>
      <w:r w:rsidRPr="00993E75">
        <w:rPr>
          <w:rFonts w:ascii="Arial" w:hAnsi="Arial" w:cs="Arial"/>
          <w:lang w:val="es-ES_tradnl" w:eastAsia="es-CO"/>
        </w:rPr>
        <w:t>Respecto a la condena en cos</w:t>
      </w:r>
      <w:r>
        <w:rPr>
          <w:rFonts w:ascii="Arial" w:hAnsi="Arial" w:cs="Arial"/>
          <w:lang w:val="es-ES_tradnl" w:eastAsia="es-CO"/>
        </w:rPr>
        <w:t>t</w:t>
      </w:r>
      <w:r w:rsidRPr="00993E75">
        <w:rPr>
          <w:rFonts w:ascii="Arial" w:hAnsi="Arial" w:cs="Arial"/>
          <w:lang w:val="es-ES_tradnl" w:eastAsia="es-CO"/>
        </w:rPr>
        <w:t>as impuesta</w:t>
      </w:r>
      <w:r w:rsidRPr="00993E75">
        <w:rPr>
          <w:rFonts w:ascii="Arial" w:hAnsi="Arial" w:cs="Arial"/>
          <w:lang w:eastAsia="es-CO"/>
        </w:rPr>
        <w:t xml:space="preserve">, es pertinente recordar que el numeral 1° del artículo 365 del CGP establece que </w:t>
      </w:r>
      <w:r w:rsidRPr="00993E75">
        <w:rPr>
          <w:rFonts w:ascii="Arial" w:hAnsi="Arial" w:cs="Arial"/>
          <w:iCs/>
          <w:lang w:eastAsia="es-CO"/>
        </w:rPr>
        <w:t>“Se condenará en costas a la parte vencida en el proceso”</w:t>
      </w:r>
      <w:r w:rsidRPr="00993E75">
        <w:rPr>
          <w:rFonts w:ascii="Arial" w:hAnsi="Arial" w:cs="Arial"/>
          <w:lang w:eastAsia="es-CO"/>
        </w:rPr>
        <w:t xml:space="preserve">, lo que permite concluir que de acuerdo con el resultado arrojado en el proceso, el cual fue desfavorable a sus intereses, le correspondía a la </w:t>
      </w:r>
      <w:r w:rsidRPr="00993E75">
        <w:rPr>
          <w:rFonts w:ascii="Arial" w:hAnsi="Arial" w:cs="Arial"/>
          <w:iCs/>
          <w:lang w:eastAsia="es-CO"/>
        </w:rPr>
        <w:t xml:space="preserve">a quo </w:t>
      </w:r>
      <w:r w:rsidRPr="00993E75">
        <w:rPr>
          <w:rFonts w:ascii="Arial" w:hAnsi="Arial" w:cs="Arial"/>
          <w:lang w:eastAsia="es-CO"/>
        </w:rPr>
        <w:t>emitir condena en su contra por dicho concepto, lo que efectivamente hizo, siendo avalado por esa Corporación al decidir la segunda instancia.</w:t>
      </w:r>
    </w:p>
    <w:p w14:paraId="398206AD" w14:textId="77777777" w:rsidR="00993E75" w:rsidRPr="00993E75" w:rsidRDefault="00993E75" w:rsidP="00993E75">
      <w:pPr>
        <w:spacing w:line="276" w:lineRule="auto"/>
        <w:ind w:left="426" w:right="418"/>
        <w:jc w:val="both"/>
        <w:textAlignment w:val="baseline"/>
        <w:rPr>
          <w:rFonts w:ascii="Arial" w:hAnsi="Arial" w:cs="Arial"/>
          <w:lang w:eastAsia="es-CO"/>
        </w:rPr>
      </w:pPr>
    </w:p>
    <w:p w14:paraId="4C470060" w14:textId="77777777" w:rsidR="00993E75" w:rsidRPr="00993E75" w:rsidRDefault="00993E75" w:rsidP="00993E75">
      <w:pPr>
        <w:spacing w:line="276" w:lineRule="auto"/>
        <w:ind w:left="426" w:right="418"/>
        <w:jc w:val="both"/>
        <w:textAlignment w:val="baseline"/>
        <w:rPr>
          <w:rFonts w:ascii="Arial" w:eastAsia="Calibri" w:hAnsi="Arial" w:cs="Arial"/>
          <w:color w:val="000000"/>
          <w:shd w:val="clear" w:color="auto" w:fill="FFFFFF"/>
          <w:lang w:eastAsia="en-US"/>
        </w:rPr>
      </w:pPr>
      <w:r w:rsidRPr="00993E75">
        <w:rPr>
          <w:rFonts w:ascii="Arial" w:eastAsia="Calibri" w:hAnsi="Arial" w:cs="Arial"/>
          <w:color w:val="000000"/>
          <w:shd w:val="clear" w:color="auto" w:fill="FFFFFF"/>
          <w:lang w:eastAsia="en-US"/>
        </w:rPr>
        <w:t>También es preciso traer a colación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w:t>
      </w:r>
    </w:p>
    <w:p w14:paraId="5AE6416F" w14:textId="77777777" w:rsidR="00993E75" w:rsidRPr="00993E75" w:rsidRDefault="00993E75" w:rsidP="00993E75">
      <w:pPr>
        <w:spacing w:line="276" w:lineRule="auto"/>
        <w:ind w:left="426" w:right="418"/>
        <w:jc w:val="both"/>
        <w:rPr>
          <w:rFonts w:ascii="Arial" w:hAnsi="Arial" w:cs="Arial"/>
          <w:lang w:eastAsia="en-US"/>
        </w:rPr>
      </w:pPr>
    </w:p>
    <w:p w14:paraId="4E692201" w14:textId="58081B37" w:rsidR="00993E75" w:rsidRPr="00993E75" w:rsidRDefault="00993E75" w:rsidP="00993E75">
      <w:pPr>
        <w:spacing w:line="276" w:lineRule="auto"/>
        <w:ind w:left="426" w:right="418"/>
        <w:jc w:val="both"/>
        <w:rPr>
          <w:rFonts w:ascii="Arial" w:hAnsi="Arial" w:cs="Arial"/>
          <w:lang w:val="es-ES_tradnl" w:eastAsia="en-US"/>
        </w:rPr>
      </w:pPr>
      <w:r w:rsidRPr="00993E75">
        <w:rPr>
          <w:rFonts w:ascii="Arial" w:hAnsi="Arial" w:cs="Arial"/>
          <w:lang w:eastAsia="en-US"/>
        </w:rPr>
        <w:t xml:space="preserve">Sentado lo anterior, procede la Sala </w:t>
      </w:r>
      <w:r w:rsidRPr="00993E75">
        <w:rPr>
          <w:rFonts w:ascii="Arial" w:hAnsi="Arial" w:cs="Arial"/>
          <w:lang w:eastAsia="en-US"/>
        </w:rPr>
        <w:t>entonces a</w:t>
      </w:r>
      <w:r w:rsidRPr="00993E75">
        <w:rPr>
          <w:rFonts w:ascii="Arial" w:hAnsi="Arial" w:cs="Arial"/>
          <w:lang w:val="es-ES_tradnl" w:eastAsia="en-US"/>
        </w:rPr>
        <w:t xml:space="preserve"> definir la inconformidad planteada por el recurrente en lo que atañe a la suma aprobada a título de agencias en derecho, siendo claro que su asignación debe estar precedido del análisis de los criterios establecidos en el artículo 366 del Código General del Proceso, análisis que no efectuó el juzgado al momento de fijar dicho monto, sino al resolver el recurso de reposición formulado por Porvenir S.A.</w:t>
      </w:r>
    </w:p>
    <w:p w14:paraId="324A62AC" w14:textId="77777777" w:rsidR="00993E75" w:rsidRPr="00993E75" w:rsidRDefault="00993E75" w:rsidP="00993E75">
      <w:pPr>
        <w:spacing w:line="276" w:lineRule="auto"/>
        <w:ind w:left="426" w:right="418"/>
        <w:jc w:val="both"/>
        <w:rPr>
          <w:rFonts w:ascii="Arial" w:hAnsi="Arial" w:cs="Arial"/>
          <w:lang w:val="es-ES_tradnl" w:eastAsia="en-US"/>
        </w:rPr>
      </w:pPr>
    </w:p>
    <w:p w14:paraId="6AB81FF2" w14:textId="4512F51A" w:rsidR="00993E75" w:rsidRPr="00993E75" w:rsidRDefault="00993E75" w:rsidP="00993E75">
      <w:pPr>
        <w:spacing w:line="276" w:lineRule="auto"/>
        <w:ind w:left="426" w:right="418"/>
        <w:jc w:val="both"/>
        <w:rPr>
          <w:rFonts w:ascii="Arial" w:hAnsi="Arial" w:cs="Arial"/>
          <w:lang w:val="es-ES_tradnl" w:eastAsia="en-US"/>
        </w:rPr>
      </w:pPr>
      <w:r w:rsidRPr="00993E75">
        <w:rPr>
          <w:rFonts w:ascii="Arial" w:hAnsi="Arial" w:cs="Arial"/>
          <w:lang w:val="es-ES_tradnl" w:eastAsia="en-US"/>
        </w:rPr>
        <w:t>En armonía con dicho análisis, al considerar los parámetros establecidos en el ordinal 4º del artículo 366 del C.G.P., se tiene que en la primera instancia, el proceso tuvo una duración de dos años y un mes –</w:t>
      </w:r>
      <w:r w:rsidRPr="00993E75">
        <w:rPr>
          <w:rFonts w:ascii="Arial" w:hAnsi="Arial" w:cs="Arial"/>
          <w:iCs/>
          <w:lang w:val="es-ES_tradnl" w:eastAsia="en-US"/>
        </w:rPr>
        <w:t>en los que se cuenta 6 meses de suspensión de términos judiciales por la emergencia sanitaria declarada por el Covid 19</w:t>
      </w:r>
      <w:r>
        <w:rPr>
          <w:rFonts w:ascii="Arial" w:hAnsi="Arial" w:cs="Arial"/>
          <w:lang w:val="es-ES_tradnl" w:eastAsia="en-US"/>
        </w:rPr>
        <w:t>–</w:t>
      </w:r>
      <w:r w:rsidRPr="00993E75">
        <w:rPr>
          <w:rFonts w:ascii="Arial" w:hAnsi="Arial" w:cs="Arial"/>
          <w:lang w:val="es-ES_tradnl" w:eastAsia="en-US"/>
        </w:rPr>
        <w:t>, en el cual se recolectó el material probatorio necesario para definir el asunto, de manera específica en la audiencia, el interrogatorio de parte a la demandante por parte de los apoderados judiciales de las entidades demandadas y al Representante Legal de Porvenir S.A. formulado por la mandataria judicial de la señora Pinzón Cancelada, lo que indica que la definición del asunto, no era de tal identidad que se pueda pregonar como un debate probatorio complejo, pues con los documentos recolectados en la etapa correspondiente y los interrogatorios realizados bastó para que se tomara decisión de fondo que tampoco mereció mayores disquisiciones en la instancia anterior.  Por lo demás, la parte demandante estuvo presente en la audiencia programada por el juzgado de conocimiento, en la cual se surtieron la obligatoria de conciliación, de decisión de excepciones previas, de saneamiento y fijación de litigio y la de juzgamiento, de manera unificada.</w:t>
      </w:r>
    </w:p>
    <w:p w14:paraId="34AE8159" w14:textId="77777777" w:rsidR="00993E75" w:rsidRPr="00993E75" w:rsidRDefault="00993E75" w:rsidP="00993E75">
      <w:pPr>
        <w:spacing w:line="276" w:lineRule="auto"/>
        <w:ind w:left="426" w:right="418"/>
        <w:jc w:val="both"/>
        <w:rPr>
          <w:rFonts w:ascii="Arial" w:hAnsi="Arial" w:cs="Arial"/>
          <w:lang w:val="es-ES_tradnl" w:eastAsia="en-US"/>
        </w:rPr>
      </w:pPr>
    </w:p>
    <w:p w14:paraId="25A50588" w14:textId="5D18B3C2" w:rsidR="00993E75" w:rsidRPr="00993E75" w:rsidRDefault="00993E75" w:rsidP="00993E75">
      <w:pPr>
        <w:spacing w:line="276" w:lineRule="auto"/>
        <w:ind w:left="426" w:right="418"/>
        <w:jc w:val="both"/>
        <w:rPr>
          <w:rFonts w:ascii="Arial" w:hAnsi="Arial" w:cs="Arial"/>
          <w:lang w:val="es-ES_tradnl" w:eastAsia="en-US"/>
        </w:rPr>
      </w:pPr>
      <w:r w:rsidRPr="00993E75">
        <w:rPr>
          <w:rFonts w:ascii="Arial" w:hAnsi="Arial" w:cs="Arial"/>
          <w:lang w:val="es-ES_tradnl" w:eastAsia="en-US"/>
        </w:rPr>
        <w:t xml:space="preserve">En ese sentido entonces, bajo la concepción establecida por la  a quo que bajo la actual óptica de la Corte implica que las sentencias que se profieren en esta clase de asuntos, solo contemplan obligaciones de hacer, y que para estos eventos, la norma que corresponde aplicar establece un tope máximo </w:t>
      </w:r>
      <w:r w:rsidRPr="00993E75">
        <w:rPr>
          <w:rFonts w:ascii="Arial" w:hAnsi="Arial" w:cs="Arial"/>
          <w:lang w:val="es-ES_tradnl" w:eastAsia="en-US"/>
        </w:rPr>
        <w:lastRenderedPageBreak/>
        <w:t xml:space="preserve">de diez (10) SMLMV a cargo de la </w:t>
      </w:r>
      <w:r w:rsidRPr="00993E75">
        <w:rPr>
          <w:rFonts w:ascii="Arial" w:hAnsi="Arial" w:cs="Arial"/>
          <w:b/>
          <w:bCs/>
          <w:lang w:val="es-ES_tradnl" w:eastAsia="en-US"/>
        </w:rPr>
        <w:t xml:space="preserve">parte </w:t>
      </w:r>
      <w:r w:rsidRPr="00993E75">
        <w:rPr>
          <w:rFonts w:ascii="Arial" w:hAnsi="Arial" w:cs="Arial"/>
          <w:lang w:val="es-ES_tradnl" w:eastAsia="en-US"/>
        </w:rPr>
        <w:t>vencida</w:t>
      </w:r>
      <w:r w:rsidRPr="00993E75">
        <w:rPr>
          <w:rFonts w:ascii="Arial" w:hAnsi="Arial" w:cs="Arial"/>
          <w:color w:val="FF0000"/>
          <w:lang w:val="es-ES_tradnl" w:eastAsia="en-US"/>
        </w:rPr>
        <w:t xml:space="preserve"> </w:t>
      </w:r>
      <w:r w:rsidRPr="00993E75">
        <w:rPr>
          <w:rFonts w:ascii="Arial" w:hAnsi="Arial" w:cs="Arial"/>
          <w:lang w:val="es-ES_tradnl" w:eastAsia="en-US"/>
        </w:rPr>
        <w:t>la Sala</w:t>
      </w:r>
      <w:r w:rsidR="00411065">
        <w:rPr>
          <w:rFonts w:ascii="Arial" w:hAnsi="Arial" w:cs="Arial"/>
          <w:lang w:val="es-ES_tradnl" w:eastAsia="en-US"/>
        </w:rPr>
        <w:t xml:space="preserve"> </w:t>
      </w:r>
      <w:r w:rsidRPr="00993E75">
        <w:rPr>
          <w:rFonts w:ascii="Arial" w:hAnsi="Arial" w:cs="Arial"/>
          <w:lang w:val="es-ES_tradnl" w:eastAsia="en-US"/>
        </w:rPr>
        <w:t xml:space="preserve">-la cual desde ya cabe decir que puede estar conformada por varios sujetos de derecho-, dada la duración y actividad desplegada por la actora, considera que a título de agencias en derecho debe tasarse el equivalente a tres (3) salarios mínimos mensuales legales vigentes, que al aplicarle el porcentaje ordenado en la sentencia, esto es el 100%, arroja un valor igual a </w:t>
      </w:r>
      <w:r w:rsidRPr="00993E75">
        <w:rPr>
          <w:rFonts w:ascii="Arial" w:hAnsi="Arial" w:cs="Arial"/>
          <w:b/>
          <w:bCs/>
          <w:lang w:val="es-ES_tradnl" w:eastAsia="en-US"/>
        </w:rPr>
        <w:t>$2.725.578.</w:t>
      </w:r>
    </w:p>
    <w:p w14:paraId="46D1EFD9" w14:textId="77777777" w:rsidR="00993E75" w:rsidRPr="00993E75" w:rsidRDefault="00993E75" w:rsidP="00993E75">
      <w:pPr>
        <w:spacing w:line="276" w:lineRule="auto"/>
        <w:ind w:left="426" w:right="418"/>
        <w:jc w:val="both"/>
        <w:rPr>
          <w:rFonts w:ascii="Arial" w:hAnsi="Arial" w:cs="Arial"/>
          <w:lang w:val="es-ES_tradnl" w:eastAsia="en-US"/>
        </w:rPr>
      </w:pPr>
    </w:p>
    <w:p w14:paraId="7EEB2F92" w14:textId="77777777" w:rsidR="00993E75" w:rsidRPr="00993E75" w:rsidRDefault="00993E75" w:rsidP="00993E75">
      <w:pPr>
        <w:spacing w:line="276" w:lineRule="auto"/>
        <w:ind w:left="426" w:right="418"/>
        <w:jc w:val="both"/>
        <w:rPr>
          <w:rFonts w:ascii="Arial" w:hAnsi="Arial" w:cs="Arial"/>
          <w:lang w:val="es-ES_tradnl" w:eastAsia="en-US"/>
        </w:rPr>
      </w:pPr>
      <w:r w:rsidRPr="00993E75">
        <w:rPr>
          <w:rFonts w:ascii="Arial" w:hAnsi="Arial" w:cs="Arial"/>
          <w:lang w:val="es-ES_tradnl" w:eastAsia="en-US"/>
        </w:rPr>
        <w:t xml:space="preserve">En lo que atañe a las costas de segunda instancia estas deben ser ajustadas a 1 salario mínimo mensual legal vigente a cargo de la parte demandada, pues en esta Sede el proceso tuvo una duración de poco menos cuatro meses, dentro de los que se cuenta la vacancia judicial y donde la parte actora presentó alegatos de conclusión de manera oportuna. </w:t>
      </w:r>
    </w:p>
    <w:p w14:paraId="1F8CE8C8" w14:textId="77777777" w:rsidR="00993E75" w:rsidRPr="00993E75" w:rsidRDefault="00993E75" w:rsidP="00993E75">
      <w:pPr>
        <w:spacing w:line="276" w:lineRule="auto"/>
        <w:ind w:left="426" w:right="418"/>
        <w:jc w:val="both"/>
        <w:rPr>
          <w:rFonts w:ascii="Arial" w:hAnsi="Arial" w:cs="Arial"/>
          <w:lang w:val="es-ES_tradnl" w:eastAsia="en-US"/>
        </w:rPr>
      </w:pPr>
    </w:p>
    <w:p w14:paraId="7BCAF421" w14:textId="77777777" w:rsidR="00993E75" w:rsidRPr="00993E75" w:rsidRDefault="00993E75" w:rsidP="00993E75">
      <w:pPr>
        <w:spacing w:line="276" w:lineRule="auto"/>
        <w:ind w:left="426" w:right="418"/>
        <w:jc w:val="both"/>
        <w:rPr>
          <w:rFonts w:ascii="Arial" w:hAnsi="Arial" w:cs="Arial"/>
          <w:lang w:val="es-ES_tradnl" w:eastAsia="en-US"/>
        </w:rPr>
      </w:pPr>
      <w:r w:rsidRPr="00993E75">
        <w:rPr>
          <w:rFonts w:ascii="Arial" w:hAnsi="Arial" w:cs="Arial"/>
          <w:lang w:val="es-ES_tradnl" w:eastAsia="en-US"/>
        </w:rPr>
        <w:t xml:space="preserve">De acuerdo con lo expuesto, se modificará la tasación efectuada en primer grado en los términos antes señalados.” </w:t>
      </w:r>
    </w:p>
    <w:p w14:paraId="34048E06" w14:textId="77777777" w:rsidR="00993E75" w:rsidRPr="00993E75" w:rsidRDefault="00993E75" w:rsidP="00993E75">
      <w:pPr>
        <w:spacing w:line="276" w:lineRule="auto"/>
        <w:jc w:val="both"/>
        <w:rPr>
          <w:rFonts w:ascii="Arial" w:hAnsi="Arial" w:cs="Arial"/>
          <w:lang w:val="es-ES_tradnl" w:eastAsia="en-US"/>
        </w:rPr>
      </w:pPr>
    </w:p>
    <w:p w14:paraId="2DC955B8" w14:textId="77777777" w:rsidR="00993E75" w:rsidRPr="00993E75" w:rsidRDefault="00993E75" w:rsidP="00993E75">
      <w:pPr>
        <w:spacing w:line="276" w:lineRule="auto"/>
        <w:jc w:val="both"/>
        <w:rPr>
          <w:rFonts w:ascii="Arial" w:hAnsi="Arial" w:cs="Arial"/>
          <w:lang w:val="es-ES_tradnl" w:eastAsia="en-US"/>
        </w:rPr>
      </w:pPr>
      <w:r w:rsidRPr="00993E75">
        <w:rPr>
          <w:rFonts w:ascii="Arial" w:hAnsi="Arial" w:cs="Arial"/>
          <w:lang w:val="es-ES_tradnl" w:eastAsia="en-US"/>
        </w:rPr>
        <w:t>Como puede verse, mi percepción sobre forma de cuantificar las agencias en derecho en esta clase de procesos en los que, en la actualidad, la actividad procesal y probatoria es mínima, difiere de la que tienen los demás miembros de la Sala y es por ello que me corresponde salvar el voto, como en efecto acá queda hecho.</w:t>
      </w:r>
    </w:p>
    <w:p w14:paraId="1FEA5002" w14:textId="77777777" w:rsidR="00993E75" w:rsidRPr="00993E75" w:rsidRDefault="00993E75" w:rsidP="00993E75">
      <w:pPr>
        <w:spacing w:line="276" w:lineRule="auto"/>
        <w:jc w:val="both"/>
        <w:rPr>
          <w:rFonts w:ascii="Arial" w:hAnsi="Arial" w:cs="Arial"/>
          <w:lang w:val="es-ES_tradnl" w:eastAsia="en-US"/>
        </w:rPr>
      </w:pPr>
    </w:p>
    <w:p w14:paraId="7B0C203C" w14:textId="77777777" w:rsidR="00993E75" w:rsidRPr="00993E75" w:rsidRDefault="00993E75" w:rsidP="00993E75">
      <w:pPr>
        <w:spacing w:line="276" w:lineRule="auto"/>
        <w:rPr>
          <w:rFonts w:ascii="Arial" w:eastAsia="Calibri" w:hAnsi="Arial" w:cs="Arial"/>
          <w:lang w:eastAsia="en-US"/>
        </w:rPr>
      </w:pPr>
    </w:p>
    <w:p w14:paraId="1B3D90E4" w14:textId="77777777" w:rsidR="00993E75" w:rsidRPr="00993E75" w:rsidRDefault="00993E75" w:rsidP="00993E75">
      <w:pPr>
        <w:spacing w:line="276" w:lineRule="auto"/>
        <w:rPr>
          <w:rFonts w:ascii="Arial" w:eastAsia="Calibri" w:hAnsi="Arial" w:cs="Arial"/>
          <w:lang w:eastAsia="en-US"/>
        </w:rPr>
      </w:pPr>
    </w:p>
    <w:p w14:paraId="23EC2E4E" w14:textId="77777777" w:rsidR="00993E75" w:rsidRPr="00993E75" w:rsidRDefault="00993E75" w:rsidP="00993E75">
      <w:pPr>
        <w:spacing w:line="276" w:lineRule="auto"/>
        <w:rPr>
          <w:rFonts w:ascii="Arial" w:eastAsia="Calibri" w:hAnsi="Arial" w:cs="Arial"/>
          <w:lang w:eastAsia="en-US"/>
        </w:rPr>
      </w:pPr>
    </w:p>
    <w:p w14:paraId="36B93802" w14:textId="77777777" w:rsidR="00993E75" w:rsidRPr="00993E75" w:rsidRDefault="00993E75" w:rsidP="00993E75">
      <w:pPr>
        <w:spacing w:line="276" w:lineRule="auto"/>
        <w:jc w:val="center"/>
        <w:rPr>
          <w:rFonts w:ascii="Arial" w:eastAsia="Calibri" w:hAnsi="Arial" w:cs="Arial"/>
          <w:b/>
          <w:lang w:eastAsia="en-US"/>
        </w:rPr>
      </w:pPr>
      <w:r w:rsidRPr="00993E75">
        <w:rPr>
          <w:rFonts w:ascii="Arial" w:eastAsia="Calibri" w:hAnsi="Arial" w:cs="Arial"/>
          <w:b/>
          <w:lang w:eastAsia="en-US"/>
        </w:rPr>
        <w:t>JULIO CÉSAR SALAZAR MUÑOZ</w:t>
      </w:r>
    </w:p>
    <w:p w14:paraId="26627C10" w14:textId="6041131F" w:rsidR="00A26F43" w:rsidRPr="00993E75" w:rsidRDefault="00993E75" w:rsidP="00993E75">
      <w:pPr>
        <w:spacing w:line="276" w:lineRule="auto"/>
        <w:jc w:val="center"/>
        <w:rPr>
          <w:rFonts w:ascii="Arial" w:eastAsia="Calibri" w:hAnsi="Arial" w:cs="Arial"/>
          <w:lang w:eastAsia="en-US"/>
        </w:rPr>
      </w:pPr>
      <w:r w:rsidRPr="00993E75">
        <w:rPr>
          <w:rFonts w:ascii="Arial" w:eastAsia="Calibri" w:hAnsi="Arial" w:cs="Arial"/>
          <w:lang w:eastAsia="en-US"/>
        </w:rPr>
        <w:t>Magistrado</w:t>
      </w:r>
    </w:p>
    <w:sectPr w:rsidR="00A26F43" w:rsidRPr="00993E75" w:rsidSect="00204CB3">
      <w:headerReference w:type="default" r:id="rId11"/>
      <w:footerReference w:type="even" r:id="rId12"/>
      <w:footerReference w:type="default" r:id="rId13"/>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1F5B2" w14:textId="77777777" w:rsidR="009E38F5" w:rsidRDefault="009E38F5" w:rsidP="009C198C">
      <w:r>
        <w:separator/>
      </w:r>
    </w:p>
  </w:endnote>
  <w:endnote w:type="continuationSeparator" w:id="0">
    <w:p w14:paraId="049570B5" w14:textId="77777777" w:rsidR="009E38F5" w:rsidRDefault="009E38F5" w:rsidP="009C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Bold">
    <w:altName w:val="Tahom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797845530"/>
      <w:docPartObj>
        <w:docPartGallery w:val="Page Numbers (Bottom of Page)"/>
        <w:docPartUnique/>
      </w:docPartObj>
    </w:sdtPr>
    <w:sdtEndPr>
      <w:rPr>
        <w:rStyle w:val="Nmerodepgina"/>
      </w:rPr>
    </w:sdtEndPr>
    <w:sdtContent>
      <w:p w14:paraId="669A15F7" w14:textId="615DD81E" w:rsidR="001B2CE6" w:rsidRDefault="001B2CE6" w:rsidP="00743D1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956EBA0" w14:textId="77777777" w:rsidR="001B2CE6" w:rsidRDefault="001B2CE6" w:rsidP="001B2CE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Arial" w:hAnsi="Arial" w:cs="Arial"/>
        <w:sz w:val="18"/>
      </w:rPr>
      <w:id w:val="-696546952"/>
      <w:docPartObj>
        <w:docPartGallery w:val="Page Numbers (Bottom of Page)"/>
        <w:docPartUnique/>
      </w:docPartObj>
    </w:sdtPr>
    <w:sdtEndPr>
      <w:rPr>
        <w:rStyle w:val="Fuentedeprrafopredeter"/>
        <w:sz w:val="12"/>
        <w:szCs w:val="18"/>
        <w:lang w:val="es-CO" w:eastAsia="es-MX"/>
      </w:rPr>
    </w:sdtEndPr>
    <w:sdtContent>
      <w:p w14:paraId="6C210B5F" w14:textId="3D8787B6" w:rsidR="001B2CE6" w:rsidRPr="00204CB3" w:rsidRDefault="001B2CE6" w:rsidP="00743D1E">
        <w:pPr>
          <w:pStyle w:val="Piedepgina"/>
          <w:framePr w:wrap="none" w:vAnchor="text" w:hAnchor="margin" w:xAlign="right" w:y="1"/>
          <w:rPr>
            <w:rFonts w:ascii="Arial" w:hAnsi="Arial" w:cs="Arial"/>
            <w:sz w:val="12"/>
            <w:szCs w:val="18"/>
            <w:lang w:val="es-CO" w:eastAsia="es-MX"/>
          </w:rPr>
        </w:pPr>
        <w:r w:rsidRPr="00204CB3">
          <w:rPr>
            <w:rStyle w:val="Nmerodepgina"/>
            <w:rFonts w:ascii="Arial" w:hAnsi="Arial" w:cs="Arial"/>
            <w:sz w:val="18"/>
          </w:rPr>
          <w:fldChar w:fldCharType="begin"/>
        </w:r>
        <w:r w:rsidRPr="00204CB3">
          <w:rPr>
            <w:rStyle w:val="Nmerodepgina"/>
            <w:rFonts w:ascii="Arial" w:hAnsi="Arial" w:cs="Arial"/>
            <w:sz w:val="18"/>
          </w:rPr>
          <w:instrText xml:space="preserve"> PAGE </w:instrText>
        </w:r>
        <w:r w:rsidRPr="00204CB3">
          <w:rPr>
            <w:rStyle w:val="Nmerodepgina"/>
            <w:rFonts w:ascii="Arial" w:hAnsi="Arial" w:cs="Arial"/>
            <w:sz w:val="18"/>
          </w:rPr>
          <w:fldChar w:fldCharType="separate"/>
        </w:r>
        <w:r w:rsidRPr="00204CB3">
          <w:rPr>
            <w:rStyle w:val="Nmerodepgina"/>
            <w:rFonts w:ascii="Arial" w:hAnsi="Arial" w:cs="Arial"/>
            <w:noProof/>
            <w:sz w:val="18"/>
          </w:rPr>
          <w:t>1</w:t>
        </w:r>
        <w:r w:rsidRPr="00204CB3">
          <w:rPr>
            <w:rStyle w:val="Nmerodepgina"/>
            <w:rFonts w:ascii="Arial" w:hAnsi="Arial" w:cs="Arial"/>
            <w:sz w:val="18"/>
          </w:rPr>
          <w:fldChar w:fldCharType="end"/>
        </w:r>
      </w:p>
    </w:sdtContent>
  </w:sdt>
  <w:p w14:paraId="383F36AB" w14:textId="77777777" w:rsidR="001B2CE6" w:rsidRDefault="001B2CE6" w:rsidP="001B2CE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448ED" w14:textId="77777777" w:rsidR="009E38F5" w:rsidRDefault="009E38F5" w:rsidP="009C198C">
      <w:r>
        <w:separator/>
      </w:r>
    </w:p>
  </w:footnote>
  <w:footnote w:type="continuationSeparator" w:id="0">
    <w:p w14:paraId="687A9D89" w14:textId="77777777" w:rsidR="009E38F5" w:rsidRDefault="009E38F5" w:rsidP="009C198C">
      <w:r>
        <w:continuationSeparator/>
      </w:r>
    </w:p>
  </w:footnote>
  <w:footnote w:id="1">
    <w:p w14:paraId="333113F6" w14:textId="77777777" w:rsidR="0061359A" w:rsidRPr="00F40ED6" w:rsidRDefault="0061359A" w:rsidP="0061359A">
      <w:pPr>
        <w:pStyle w:val="Textonotapie"/>
        <w:jc w:val="both"/>
        <w:rPr>
          <w:rFonts w:ascii="Arial" w:hAnsi="Arial" w:cs="Arial"/>
          <w:sz w:val="18"/>
        </w:rPr>
      </w:pPr>
      <w:r w:rsidRPr="00F40ED6">
        <w:rPr>
          <w:rStyle w:val="Refdenotaalpie"/>
          <w:rFonts w:ascii="Arial" w:hAnsi="Arial" w:cs="Arial"/>
          <w:sz w:val="18"/>
        </w:rPr>
        <w:footnoteRef/>
      </w:r>
      <w:r w:rsidRPr="00F40ED6">
        <w:rPr>
          <w:rFonts w:ascii="Arial" w:hAnsi="Arial" w:cs="Arial"/>
          <w:sz w:val="18"/>
        </w:rPr>
        <w:t xml:space="preserve"> Camacho Azula, Manual de Derecho Procesal, Tomo II Parte General. Novena Edición. Pág. 418. </w:t>
      </w:r>
    </w:p>
  </w:footnote>
  <w:footnote w:id="2">
    <w:p w14:paraId="7CD79AD5" w14:textId="77777777" w:rsidR="0061359A" w:rsidRPr="00F40ED6" w:rsidRDefault="0061359A" w:rsidP="0061359A">
      <w:pPr>
        <w:pStyle w:val="Textonotapie"/>
        <w:jc w:val="both"/>
        <w:rPr>
          <w:rFonts w:ascii="Arial" w:hAnsi="Arial" w:cs="Arial"/>
          <w:sz w:val="18"/>
        </w:rPr>
      </w:pPr>
      <w:r w:rsidRPr="00F40ED6">
        <w:rPr>
          <w:rStyle w:val="Refdenotaalpie"/>
          <w:rFonts w:ascii="Arial" w:hAnsi="Arial" w:cs="Arial"/>
          <w:sz w:val="18"/>
        </w:rPr>
        <w:footnoteRef/>
      </w:r>
      <w:r w:rsidRPr="00F40ED6">
        <w:rPr>
          <w:rFonts w:ascii="Arial" w:hAnsi="Arial" w:cs="Arial"/>
          <w:sz w:val="18"/>
        </w:rPr>
        <w:t xml:space="preserve"> López Blanco Hernán, Código General del Proceso, Parte General. 2016. Págs. 1057 y 1058.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B8634" w14:textId="2FB00210" w:rsidR="00D74996" w:rsidRPr="00204CB3" w:rsidRDefault="001B2CE6" w:rsidP="00204CB3">
    <w:pPr>
      <w:jc w:val="both"/>
      <w:rPr>
        <w:rFonts w:ascii="Arial" w:hAnsi="Arial" w:cs="Arial"/>
      </w:rPr>
    </w:pPr>
    <w:r w:rsidRPr="00204CB3">
      <w:rPr>
        <w:rFonts w:ascii="Arial" w:hAnsi="Arial" w:cs="Arial"/>
        <w:sz w:val="18"/>
        <w:szCs w:val="18"/>
        <w:lang w:val="es-419"/>
      </w:rPr>
      <w:t>Radicación Nro.:</w:t>
    </w:r>
    <w:r w:rsidR="00D74996" w:rsidRPr="00204CB3">
      <w:rPr>
        <w:rFonts w:ascii="Arial" w:hAnsi="Arial" w:cs="Arial"/>
        <w:sz w:val="18"/>
        <w:szCs w:val="18"/>
        <w:lang w:val="es-419"/>
      </w:rPr>
      <w:t xml:space="preserve"> </w:t>
    </w:r>
    <w:r w:rsidR="00511C41" w:rsidRPr="00204CB3">
      <w:rPr>
        <w:rFonts w:ascii="Arial" w:hAnsi="Arial" w:cs="Arial"/>
        <w:sz w:val="18"/>
        <w:szCs w:val="18"/>
      </w:rPr>
      <w:t>66001310500220</w:t>
    </w:r>
    <w:r w:rsidR="00A5572F">
      <w:rPr>
        <w:rFonts w:ascii="Arial" w:hAnsi="Arial" w:cs="Arial"/>
        <w:sz w:val="18"/>
        <w:szCs w:val="18"/>
      </w:rPr>
      <w:t>1</w:t>
    </w:r>
    <w:r w:rsidR="00511C41" w:rsidRPr="00204CB3">
      <w:rPr>
        <w:rFonts w:ascii="Arial" w:hAnsi="Arial" w:cs="Arial"/>
        <w:sz w:val="18"/>
        <w:szCs w:val="18"/>
      </w:rPr>
      <w:t>80057901</w:t>
    </w:r>
  </w:p>
  <w:p w14:paraId="23BC7768" w14:textId="77777777" w:rsidR="00716064" w:rsidRPr="00204CB3" w:rsidRDefault="001B2CE6" w:rsidP="00204CB3">
    <w:pPr>
      <w:jc w:val="both"/>
      <w:rPr>
        <w:rFonts w:ascii="Arial" w:hAnsi="Arial" w:cs="Arial"/>
        <w:sz w:val="18"/>
        <w:szCs w:val="18"/>
      </w:rPr>
    </w:pPr>
    <w:r w:rsidRPr="00204CB3">
      <w:rPr>
        <w:rFonts w:ascii="Arial" w:hAnsi="Arial" w:cs="Arial"/>
        <w:sz w:val="18"/>
        <w:szCs w:val="18"/>
        <w:lang w:val="es-419"/>
      </w:rPr>
      <w:t xml:space="preserve">Demandante: </w:t>
    </w:r>
    <w:r w:rsidR="00716064" w:rsidRPr="00204CB3">
      <w:rPr>
        <w:rFonts w:ascii="Arial" w:hAnsi="Arial" w:cs="Arial"/>
        <w:sz w:val="18"/>
        <w:szCs w:val="18"/>
      </w:rPr>
      <w:t>Martha Guiomar Pinzón Cancelada</w:t>
    </w:r>
  </w:p>
  <w:p w14:paraId="699BC683" w14:textId="12A34568" w:rsidR="001B2CE6" w:rsidRPr="00204CB3" w:rsidRDefault="001B2CE6" w:rsidP="00204CB3">
    <w:pPr>
      <w:jc w:val="both"/>
      <w:rPr>
        <w:rFonts w:ascii="Arial" w:hAnsi="Arial" w:cs="Arial"/>
        <w:sz w:val="18"/>
        <w:szCs w:val="18"/>
        <w:lang w:val="es-419"/>
      </w:rPr>
    </w:pPr>
    <w:r w:rsidRPr="00204CB3">
      <w:rPr>
        <w:rFonts w:ascii="Arial" w:hAnsi="Arial" w:cs="Arial"/>
        <w:sz w:val="18"/>
        <w:szCs w:val="18"/>
        <w:lang w:val="es-419"/>
      </w:rPr>
      <w:t>Demandado:</w:t>
    </w:r>
    <w:r w:rsidR="009D736B" w:rsidRPr="00204CB3">
      <w:rPr>
        <w:rFonts w:ascii="Arial" w:hAnsi="Arial" w:cs="Arial"/>
        <w:sz w:val="18"/>
        <w:szCs w:val="18"/>
        <w:lang w:val="es-419"/>
      </w:rPr>
      <w:t xml:space="preserve"> Colpensiones y Porvenir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267319D"/>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3" w15:restartNumberingAfterBreak="0">
    <w:nsid w:val="3E0C1A4D"/>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F2"/>
    <w:rsid w:val="000477EB"/>
    <w:rsid w:val="00053BA0"/>
    <w:rsid w:val="0006653A"/>
    <w:rsid w:val="000803E0"/>
    <w:rsid w:val="000E3F72"/>
    <w:rsid w:val="000E5A07"/>
    <w:rsid w:val="000E7A43"/>
    <w:rsid w:val="001016A2"/>
    <w:rsid w:val="001539B4"/>
    <w:rsid w:val="0019180A"/>
    <w:rsid w:val="00195B1C"/>
    <w:rsid w:val="001B2CE6"/>
    <w:rsid w:val="001B710B"/>
    <w:rsid w:val="001D1A79"/>
    <w:rsid w:val="001D6910"/>
    <w:rsid w:val="001E3D2E"/>
    <w:rsid w:val="00204CB3"/>
    <w:rsid w:val="00251C0D"/>
    <w:rsid w:val="00270AE1"/>
    <w:rsid w:val="002978C6"/>
    <w:rsid w:val="002A2D6F"/>
    <w:rsid w:val="002D6AB8"/>
    <w:rsid w:val="0030279A"/>
    <w:rsid w:val="00376954"/>
    <w:rsid w:val="003A0D91"/>
    <w:rsid w:val="003A6024"/>
    <w:rsid w:val="003D2F98"/>
    <w:rsid w:val="00411065"/>
    <w:rsid w:val="0048013C"/>
    <w:rsid w:val="00485D57"/>
    <w:rsid w:val="004E7B9C"/>
    <w:rsid w:val="00511C41"/>
    <w:rsid w:val="00514842"/>
    <w:rsid w:val="00522B76"/>
    <w:rsid w:val="005254B3"/>
    <w:rsid w:val="0052633C"/>
    <w:rsid w:val="005350F5"/>
    <w:rsid w:val="005759A7"/>
    <w:rsid w:val="005805F7"/>
    <w:rsid w:val="005824AC"/>
    <w:rsid w:val="005856F4"/>
    <w:rsid w:val="005A3E13"/>
    <w:rsid w:val="00600A73"/>
    <w:rsid w:val="006070EA"/>
    <w:rsid w:val="0061359A"/>
    <w:rsid w:val="00623404"/>
    <w:rsid w:val="00650CCE"/>
    <w:rsid w:val="00697181"/>
    <w:rsid w:val="006C2838"/>
    <w:rsid w:val="006F0E3E"/>
    <w:rsid w:val="006F5D67"/>
    <w:rsid w:val="00716064"/>
    <w:rsid w:val="00746891"/>
    <w:rsid w:val="00772CDE"/>
    <w:rsid w:val="0077782D"/>
    <w:rsid w:val="00857FC4"/>
    <w:rsid w:val="008A3D90"/>
    <w:rsid w:val="00914F6E"/>
    <w:rsid w:val="00923500"/>
    <w:rsid w:val="0095016A"/>
    <w:rsid w:val="00957A78"/>
    <w:rsid w:val="00963E1B"/>
    <w:rsid w:val="009649CD"/>
    <w:rsid w:val="00970061"/>
    <w:rsid w:val="00984945"/>
    <w:rsid w:val="00991EA8"/>
    <w:rsid w:val="00993E75"/>
    <w:rsid w:val="009C198C"/>
    <w:rsid w:val="009C2109"/>
    <w:rsid w:val="009D736B"/>
    <w:rsid w:val="009D7617"/>
    <w:rsid w:val="009E38F5"/>
    <w:rsid w:val="00A05A45"/>
    <w:rsid w:val="00A06B19"/>
    <w:rsid w:val="00A26F43"/>
    <w:rsid w:val="00A2721B"/>
    <w:rsid w:val="00A43F5A"/>
    <w:rsid w:val="00A53B43"/>
    <w:rsid w:val="00A5572F"/>
    <w:rsid w:val="00A93F18"/>
    <w:rsid w:val="00A945DB"/>
    <w:rsid w:val="00AA7AC0"/>
    <w:rsid w:val="00AB1636"/>
    <w:rsid w:val="00AC14C2"/>
    <w:rsid w:val="00AC54F0"/>
    <w:rsid w:val="00AE0D3D"/>
    <w:rsid w:val="00AE4B9D"/>
    <w:rsid w:val="00AE5948"/>
    <w:rsid w:val="00AF2001"/>
    <w:rsid w:val="00B46D23"/>
    <w:rsid w:val="00B904E3"/>
    <w:rsid w:val="00BA7883"/>
    <w:rsid w:val="00BB0BAE"/>
    <w:rsid w:val="00BD30A4"/>
    <w:rsid w:val="00C12B20"/>
    <w:rsid w:val="00C3649A"/>
    <w:rsid w:val="00C466EB"/>
    <w:rsid w:val="00C62D01"/>
    <w:rsid w:val="00C649A1"/>
    <w:rsid w:val="00CF3E7E"/>
    <w:rsid w:val="00D105C0"/>
    <w:rsid w:val="00D3114C"/>
    <w:rsid w:val="00D60C7C"/>
    <w:rsid w:val="00D74996"/>
    <w:rsid w:val="00D82204"/>
    <w:rsid w:val="00DA19DA"/>
    <w:rsid w:val="00DA3AF2"/>
    <w:rsid w:val="00DA6218"/>
    <w:rsid w:val="00DB0F9D"/>
    <w:rsid w:val="00DB1891"/>
    <w:rsid w:val="00E4720A"/>
    <w:rsid w:val="00E568C6"/>
    <w:rsid w:val="00E62D00"/>
    <w:rsid w:val="00E71003"/>
    <w:rsid w:val="00E95ECC"/>
    <w:rsid w:val="00ED1552"/>
    <w:rsid w:val="00EE6392"/>
    <w:rsid w:val="00F568F2"/>
    <w:rsid w:val="00F66869"/>
    <w:rsid w:val="00F76BB7"/>
    <w:rsid w:val="00F77DD6"/>
    <w:rsid w:val="00F93FA7"/>
    <w:rsid w:val="00FC2BA8"/>
    <w:rsid w:val="00FC7A47"/>
    <w:rsid w:val="00FE4B37"/>
    <w:rsid w:val="00FF72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6944B"/>
  <w15:chartTrackingRefBased/>
  <w15:docId w15:val="{A70C84CF-7939-FF41-A4B3-75D39951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C41"/>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6891"/>
    <w:pPr>
      <w:spacing w:line="360" w:lineRule="auto"/>
      <w:ind w:left="720"/>
      <w:contextualSpacing/>
      <w:jc w:val="both"/>
    </w:pPr>
    <w:rPr>
      <w:rFonts w:ascii="Arial" w:eastAsiaTheme="minorHAnsi" w:hAnsi="Arial" w:cstheme="minorBidi"/>
      <w:lang w:eastAsia="en-US"/>
    </w:rPr>
  </w:style>
  <w:style w:type="paragraph" w:customStyle="1" w:styleId="paragraph">
    <w:name w:val="paragraph"/>
    <w:basedOn w:val="Normal"/>
    <w:rsid w:val="00984945"/>
    <w:pPr>
      <w:spacing w:before="100" w:beforeAutospacing="1" w:after="100" w:afterAutospacing="1"/>
    </w:pPr>
    <w:rPr>
      <w:lang w:eastAsia="es-ES_tradnl"/>
    </w:rPr>
  </w:style>
  <w:style w:type="character" w:customStyle="1" w:styleId="normaltextrun">
    <w:name w:val="normaltextrun"/>
    <w:basedOn w:val="Fuentedeprrafopredeter"/>
    <w:rsid w:val="00984945"/>
  </w:style>
  <w:style w:type="character" w:customStyle="1" w:styleId="eop">
    <w:name w:val="eop"/>
    <w:basedOn w:val="Fuentedeprrafopredeter"/>
    <w:rsid w:val="00984945"/>
  </w:style>
  <w:style w:type="paragraph" w:styleId="Textoindependiente">
    <w:name w:val="Body Text"/>
    <w:basedOn w:val="Normal"/>
    <w:link w:val="TextoindependienteCar"/>
    <w:rsid w:val="00914F6E"/>
    <w:pPr>
      <w:spacing w:after="120"/>
    </w:pPr>
    <w:rPr>
      <w:lang w:val="es-ES" w:eastAsia="es-ES"/>
    </w:rPr>
  </w:style>
  <w:style w:type="character" w:customStyle="1" w:styleId="TextoindependienteCar">
    <w:name w:val="Texto independiente Car"/>
    <w:basedOn w:val="Fuentedeprrafopredeter"/>
    <w:link w:val="Textoindependiente"/>
    <w:rsid w:val="00914F6E"/>
    <w:rPr>
      <w:rFonts w:ascii="Times New Roman" w:eastAsia="Times New Roman" w:hAnsi="Times New Roman" w:cs="Times New Roman"/>
      <w:lang w:val="es-ES" w:eastAsia="es-ES"/>
    </w:rPr>
  </w:style>
  <w:style w:type="character" w:styleId="Refdenotaalpie">
    <w:name w:val="footnote reference"/>
    <w:uiPriority w:val="99"/>
    <w:semiHidden/>
    <w:rsid w:val="009C198C"/>
    <w:rPr>
      <w:vertAlign w:val="superscript"/>
    </w:rPr>
  </w:style>
  <w:style w:type="paragraph" w:styleId="Textonotapie">
    <w:name w:val="footnote text"/>
    <w:basedOn w:val="Normal"/>
    <w:link w:val="TextonotapieCar"/>
    <w:uiPriority w:val="99"/>
    <w:semiHidden/>
    <w:rsid w:val="009C198C"/>
    <w:rPr>
      <w:sz w:val="20"/>
      <w:szCs w:val="20"/>
      <w:lang w:val="es-ES" w:eastAsia="es-ES"/>
    </w:rPr>
  </w:style>
  <w:style w:type="character" w:customStyle="1" w:styleId="TextonotapieCar">
    <w:name w:val="Texto nota pie Car"/>
    <w:basedOn w:val="Fuentedeprrafopredeter"/>
    <w:link w:val="Textonotapie"/>
    <w:uiPriority w:val="99"/>
    <w:semiHidden/>
    <w:rsid w:val="009C198C"/>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1B2CE6"/>
    <w:pPr>
      <w:tabs>
        <w:tab w:val="center" w:pos="4419"/>
        <w:tab w:val="right" w:pos="8838"/>
      </w:tabs>
    </w:pPr>
    <w:rPr>
      <w:lang w:val="es-ES" w:eastAsia="es-ES"/>
    </w:rPr>
  </w:style>
  <w:style w:type="character" w:customStyle="1" w:styleId="PiedepginaCar">
    <w:name w:val="Pie de página Car"/>
    <w:basedOn w:val="Fuentedeprrafopredeter"/>
    <w:link w:val="Piedepgina"/>
    <w:uiPriority w:val="99"/>
    <w:rsid w:val="001B2CE6"/>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1B2CE6"/>
  </w:style>
  <w:style w:type="paragraph" w:styleId="Encabezado">
    <w:name w:val="header"/>
    <w:basedOn w:val="Normal"/>
    <w:link w:val="EncabezadoCar"/>
    <w:uiPriority w:val="99"/>
    <w:unhideWhenUsed/>
    <w:rsid w:val="001B2CE6"/>
    <w:pPr>
      <w:tabs>
        <w:tab w:val="center" w:pos="4419"/>
        <w:tab w:val="right" w:pos="8838"/>
      </w:tabs>
    </w:pPr>
    <w:rPr>
      <w:lang w:val="es-ES" w:eastAsia="es-ES"/>
    </w:rPr>
  </w:style>
  <w:style w:type="character" w:customStyle="1" w:styleId="EncabezadoCar">
    <w:name w:val="Encabezado Car"/>
    <w:basedOn w:val="Fuentedeprrafopredeter"/>
    <w:link w:val="Encabezado"/>
    <w:uiPriority w:val="99"/>
    <w:rsid w:val="001B2CE6"/>
    <w:rPr>
      <w:rFonts w:ascii="Times New Roman" w:eastAsia="Times New Roman" w:hAnsi="Times New Roman" w:cs="Times New Roman"/>
      <w:lang w:val="es-ES" w:eastAsia="es-ES"/>
    </w:rPr>
  </w:style>
  <w:style w:type="character" w:customStyle="1" w:styleId="fontstyle01">
    <w:name w:val="fontstyle01"/>
    <w:basedOn w:val="Fuentedeprrafopredeter"/>
    <w:rsid w:val="00BA7883"/>
    <w:rPr>
      <w:rFonts w:ascii="Tahoma-Bold" w:hAnsi="Tahoma-Bold" w:hint="default"/>
      <w:b/>
      <w:bCs/>
      <w:i w:val="0"/>
      <w:iCs w:val="0"/>
      <w:color w:val="000000"/>
      <w:sz w:val="24"/>
      <w:szCs w:val="24"/>
    </w:rPr>
  </w:style>
  <w:style w:type="character" w:customStyle="1" w:styleId="fontstyle21">
    <w:name w:val="fontstyle21"/>
    <w:basedOn w:val="Fuentedeprrafopredeter"/>
    <w:rsid w:val="00BA7883"/>
    <w:rPr>
      <w:rFonts w:ascii="Tahoma" w:hAnsi="Tahoma" w:cs="Tahom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58211">
      <w:bodyDiv w:val="1"/>
      <w:marLeft w:val="0"/>
      <w:marRight w:val="0"/>
      <w:marTop w:val="0"/>
      <w:marBottom w:val="0"/>
      <w:divBdr>
        <w:top w:val="none" w:sz="0" w:space="0" w:color="auto"/>
        <w:left w:val="none" w:sz="0" w:space="0" w:color="auto"/>
        <w:bottom w:val="none" w:sz="0" w:space="0" w:color="auto"/>
        <w:right w:val="none" w:sz="0" w:space="0" w:color="auto"/>
      </w:divBdr>
    </w:div>
    <w:div w:id="372462925">
      <w:bodyDiv w:val="1"/>
      <w:marLeft w:val="0"/>
      <w:marRight w:val="0"/>
      <w:marTop w:val="0"/>
      <w:marBottom w:val="0"/>
      <w:divBdr>
        <w:top w:val="none" w:sz="0" w:space="0" w:color="auto"/>
        <w:left w:val="none" w:sz="0" w:space="0" w:color="auto"/>
        <w:bottom w:val="none" w:sz="0" w:space="0" w:color="auto"/>
        <w:right w:val="none" w:sz="0" w:space="0" w:color="auto"/>
      </w:divBdr>
    </w:div>
    <w:div w:id="510950056">
      <w:bodyDiv w:val="1"/>
      <w:marLeft w:val="0"/>
      <w:marRight w:val="0"/>
      <w:marTop w:val="0"/>
      <w:marBottom w:val="0"/>
      <w:divBdr>
        <w:top w:val="none" w:sz="0" w:space="0" w:color="auto"/>
        <w:left w:val="none" w:sz="0" w:space="0" w:color="auto"/>
        <w:bottom w:val="none" w:sz="0" w:space="0" w:color="auto"/>
        <w:right w:val="none" w:sz="0" w:space="0" w:color="auto"/>
      </w:divBdr>
    </w:div>
    <w:div w:id="710230267">
      <w:bodyDiv w:val="1"/>
      <w:marLeft w:val="0"/>
      <w:marRight w:val="0"/>
      <w:marTop w:val="0"/>
      <w:marBottom w:val="0"/>
      <w:divBdr>
        <w:top w:val="none" w:sz="0" w:space="0" w:color="auto"/>
        <w:left w:val="none" w:sz="0" w:space="0" w:color="auto"/>
        <w:bottom w:val="none" w:sz="0" w:space="0" w:color="auto"/>
        <w:right w:val="none" w:sz="0" w:space="0" w:color="auto"/>
      </w:divBdr>
    </w:div>
    <w:div w:id="1100177379">
      <w:bodyDiv w:val="1"/>
      <w:marLeft w:val="0"/>
      <w:marRight w:val="0"/>
      <w:marTop w:val="0"/>
      <w:marBottom w:val="0"/>
      <w:divBdr>
        <w:top w:val="none" w:sz="0" w:space="0" w:color="auto"/>
        <w:left w:val="none" w:sz="0" w:space="0" w:color="auto"/>
        <w:bottom w:val="none" w:sz="0" w:space="0" w:color="auto"/>
        <w:right w:val="none" w:sz="0" w:space="0" w:color="auto"/>
      </w:divBdr>
    </w:div>
    <w:div w:id="1292204696">
      <w:bodyDiv w:val="1"/>
      <w:marLeft w:val="0"/>
      <w:marRight w:val="0"/>
      <w:marTop w:val="0"/>
      <w:marBottom w:val="0"/>
      <w:divBdr>
        <w:top w:val="none" w:sz="0" w:space="0" w:color="auto"/>
        <w:left w:val="none" w:sz="0" w:space="0" w:color="auto"/>
        <w:bottom w:val="none" w:sz="0" w:space="0" w:color="auto"/>
        <w:right w:val="none" w:sz="0" w:space="0" w:color="auto"/>
      </w:divBdr>
      <w:divsChild>
        <w:div w:id="1179854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77A4D-9948-4C08-9389-DE7B31D08CCC}">
  <ds:schemaRefs>
    <ds:schemaRef ds:uri="http://schemas.microsoft.com/sharepoint/v3/contenttype/forms"/>
  </ds:schemaRefs>
</ds:datastoreItem>
</file>

<file path=customXml/itemProps2.xml><?xml version="1.0" encoding="utf-8"?>
<ds:datastoreItem xmlns:ds="http://schemas.openxmlformats.org/officeDocument/2006/customXml" ds:itemID="{5D4304F3-1351-4EC0-87E0-11434ED0E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8FC52B-FD0B-45D8-AC16-F1576BF549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DBFB53-BDF5-4036-BD53-4037F75F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4140</Words>
  <Characters>22770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2</cp:revision>
  <dcterms:created xsi:type="dcterms:W3CDTF">2022-04-13T16:48:00Z</dcterms:created>
  <dcterms:modified xsi:type="dcterms:W3CDTF">2022-04-13T16:48:00Z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