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5F862A0" w14:textId="77777777" w:rsidR="00663D0E" w:rsidRPr="00663D0E" w:rsidRDefault="00663D0E" w:rsidP="00663D0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817641"/>
      <w:bookmarkStart w:id="2" w:name="_Hlk89924097"/>
      <w:r w:rsidRPr="00663D0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EC7336"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p>
    <w:p w14:paraId="73D70AE1" w14:textId="4A391B12" w:rsidR="00800F70" w:rsidRPr="00800F70" w:rsidRDefault="00800F70" w:rsidP="00800F70">
      <w:pPr>
        <w:spacing w:after="0" w:line="240" w:lineRule="auto"/>
        <w:jc w:val="both"/>
        <w:rPr>
          <w:rFonts w:ascii="Arial" w:eastAsia="Times New Roman" w:hAnsi="Arial" w:cs="Arial"/>
          <w:sz w:val="20"/>
          <w:szCs w:val="20"/>
          <w:lang w:val="es-419" w:eastAsia="es-ES"/>
        </w:rPr>
      </w:pPr>
      <w:r w:rsidRPr="00800F70">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00F70">
        <w:rPr>
          <w:rFonts w:ascii="Arial" w:eastAsia="Times New Roman" w:hAnsi="Arial" w:cs="Arial"/>
          <w:sz w:val="20"/>
          <w:szCs w:val="20"/>
          <w:lang w:val="es-419" w:eastAsia="es-ES"/>
        </w:rPr>
        <w:t>66001-31-05-002-2019-00053-01</w:t>
      </w:r>
    </w:p>
    <w:p w14:paraId="1BC95FDD" w14:textId="5608EA7C" w:rsidR="00800F70" w:rsidRPr="00800F70" w:rsidRDefault="00800F70" w:rsidP="00800F70">
      <w:pPr>
        <w:spacing w:after="0" w:line="240" w:lineRule="auto"/>
        <w:jc w:val="both"/>
        <w:rPr>
          <w:rFonts w:ascii="Arial" w:eastAsia="Times New Roman" w:hAnsi="Arial" w:cs="Arial"/>
          <w:sz w:val="20"/>
          <w:szCs w:val="20"/>
          <w:lang w:val="es-419" w:eastAsia="es-ES"/>
        </w:rPr>
      </w:pPr>
      <w:r w:rsidRPr="00800F70">
        <w:rPr>
          <w:rFonts w:ascii="Arial" w:eastAsia="Times New Roman" w:hAnsi="Arial" w:cs="Arial"/>
          <w:sz w:val="20"/>
          <w:szCs w:val="20"/>
          <w:lang w:val="es-419" w:eastAsia="es-ES"/>
        </w:rPr>
        <w:t>Proceso:</w:t>
      </w:r>
      <w:r w:rsidRPr="00800F70">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00F70">
        <w:rPr>
          <w:rFonts w:ascii="Arial" w:eastAsia="Times New Roman" w:hAnsi="Arial" w:cs="Arial"/>
          <w:sz w:val="20"/>
          <w:szCs w:val="20"/>
          <w:lang w:val="es-419" w:eastAsia="es-ES"/>
        </w:rPr>
        <w:t xml:space="preserve">Ordinario Laboral </w:t>
      </w:r>
    </w:p>
    <w:p w14:paraId="176F5A29" w14:textId="5705EDC4" w:rsidR="00800F70" w:rsidRPr="00800F70" w:rsidRDefault="00800F70" w:rsidP="00800F70">
      <w:pPr>
        <w:spacing w:after="0" w:line="240" w:lineRule="auto"/>
        <w:jc w:val="both"/>
        <w:rPr>
          <w:rFonts w:ascii="Arial" w:eastAsia="Times New Roman" w:hAnsi="Arial" w:cs="Arial"/>
          <w:sz w:val="20"/>
          <w:szCs w:val="20"/>
          <w:lang w:val="es-419" w:eastAsia="es-ES"/>
        </w:rPr>
      </w:pPr>
      <w:r w:rsidRPr="00800F70">
        <w:rPr>
          <w:rFonts w:ascii="Arial" w:eastAsia="Times New Roman" w:hAnsi="Arial" w:cs="Arial"/>
          <w:sz w:val="20"/>
          <w:szCs w:val="20"/>
          <w:lang w:val="es-419" w:eastAsia="es-ES"/>
        </w:rPr>
        <w:t>Demandante:</w:t>
      </w:r>
      <w:r w:rsidRPr="00800F70">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00F70">
        <w:rPr>
          <w:rFonts w:ascii="Arial" w:eastAsia="Times New Roman" w:hAnsi="Arial" w:cs="Arial"/>
          <w:sz w:val="20"/>
          <w:szCs w:val="20"/>
          <w:lang w:val="es-419" w:eastAsia="es-ES"/>
        </w:rPr>
        <w:t>Jairo de Jesús Restrepo Castaño.</w:t>
      </w:r>
    </w:p>
    <w:p w14:paraId="25E28534" w14:textId="465B4C12" w:rsidR="00800F70" w:rsidRPr="00800F70" w:rsidRDefault="00800F70" w:rsidP="00800F70">
      <w:pPr>
        <w:spacing w:after="0" w:line="240" w:lineRule="auto"/>
        <w:jc w:val="both"/>
        <w:rPr>
          <w:rFonts w:ascii="Arial" w:eastAsia="Times New Roman" w:hAnsi="Arial" w:cs="Arial"/>
          <w:sz w:val="20"/>
          <w:szCs w:val="20"/>
          <w:lang w:val="es-419" w:eastAsia="es-ES"/>
        </w:rPr>
      </w:pPr>
      <w:r w:rsidRPr="00800F70">
        <w:rPr>
          <w:rFonts w:ascii="Arial" w:eastAsia="Times New Roman" w:hAnsi="Arial" w:cs="Arial"/>
          <w:sz w:val="20"/>
          <w:szCs w:val="20"/>
          <w:lang w:val="es-419" w:eastAsia="es-ES"/>
        </w:rPr>
        <w:t>Demandados:</w:t>
      </w:r>
      <w:r w:rsidRPr="00800F70">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00F70">
        <w:rPr>
          <w:rFonts w:ascii="Arial" w:eastAsia="Times New Roman" w:hAnsi="Arial" w:cs="Arial"/>
          <w:sz w:val="20"/>
          <w:szCs w:val="20"/>
          <w:lang w:val="es-419" w:eastAsia="es-ES"/>
        </w:rPr>
        <w:t xml:space="preserve">Colpensiones y Protección S.A. </w:t>
      </w:r>
    </w:p>
    <w:p w14:paraId="6D42002D" w14:textId="179BBFAE" w:rsidR="00663D0E" w:rsidRDefault="00800F70" w:rsidP="00800F70">
      <w:pPr>
        <w:spacing w:after="0" w:line="240" w:lineRule="auto"/>
        <w:jc w:val="both"/>
        <w:rPr>
          <w:rFonts w:ascii="Arial" w:eastAsia="Times New Roman" w:hAnsi="Arial" w:cs="Arial"/>
          <w:sz w:val="20"/>
          <w:szCs w:val="20"/>
          <w:lang w:val="es-419" w:eastAsia="es-ES"/>
        </w:rPr>
      </w:pPr>
      <w:r w:rsidRPr="00800F70">
        <w:rPr>
          <w:rFonts w:ascii="Arial" w:eastAsia="Times New Roman" w:hAnsi="Arial" w:cs="Arial"/>
          <w:sz w:val="20"/>
          <w:szCs w:val="20"/>
          <w:lang w:val="es-419" w:eastAsia="es-ES"/>
        </w:rPr>
        <w:t>Juzgado:</w:t>
      </w:r>
      <w:r w:rsidRPr="00800F70">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00F70">
        <w:rPr>
          <w:rFonts w:ascii="Arial" w:eastAsia="Times New Roman" w:hAnsi="Arial" w:cs="Arial"/>
          <w:sz w:val="20"/>
          <w:szCs w:val="20"/>
          <w:lang w:val="es-419" w:eastAsia="es-ES"/>
        </w:rPr>
        <w:t>Segundo Laboral del Circuito de Pereira</w:t>
      </w:r>
    </w:p>
    <w:p w14:paraId="5A22F0DD" w14:textId="77777777" w:rsidR="00800F70" w:rsidRPr="00663D0E" w:rsidRDefault="00800F70" w:rsidP="00800F70">
      <w:pPr>
        <w:spacing w:after="0" w:line="240" w:lineRule="auto"/>
        <w:jc w:val="both"/>
        <w:rPr>
          <w:rFonts w:ascii="Arial" w:eastAsia="Times New Roman" w:hAnsi="Arial" w:cs="Arial"/>
          <w:sz w:val="20"/>
          <w:szCs w:val="20"/>
          <w:lang w:val="es-419" w:eastAsia="es-ES"/>
        </w:rPr>
      </w:pPr>
    </w:p>
    <w:p w14:paraId="180DB44A" w14:textId="77777777" w:rsidR="00663D0E" w:rsidRPr="00663D0E" w:rsidRDefault="00663D0E" w:rsidP="00663D0E">
      <w:pPr>
        <w:spacing w:after="0" w:line="240" w:lineRule="auto"/>
        <w:jc w:val="both"/>
        <w:rPr>
          <w:rFonts w:ascii="Arial" w:eastAsia="Times New Roman" w:hAnsi="Arial" w:cs="Arial"/>
          <w:b/>
          <w:bCs/>
          <w:iCs/>
          <w:sz w:val="20"/>
          <w:szCs w:val="20"/>
          <w:lang w:val="es-419" w:eastAsia="fr-FR"/>
        </w:rPr>
      </w:pPr>
      <w:bookmarkStart w:id="3" w:name="_Hlk82369399"/>
      <w:bookmarkEnd w:id="0"/>
      <w:bookmarkEnd w:id="1"/>
      <w:r w:rsidRPr="00663D0E">
        <w:rPr>
          <w:rFonts w:ascii="Arial" w:eastAsia="Times New Roman" w:hAnsi="Arial" w:cs="Arial"/>
          <w:b/>
          <w:bCs/>
          <w:iCs/>
          <w:sz w:val="20"/>
          <w:szCs w:val="20"/>
          <w:u w:val="single"/>
          <w:lang w:val="es-419" w:eastAsia="fr-FR"/>
        </w:rPr>
        <w:t>TEMAS:</w:t>
      </w:r>
      <w:r w:rsidRPr="00663D0E">
        <w:rPr>
          <w:rFonts w:ascii="Arial" w:eastAsia="Times New Roman" w:hAnsi="Arial" w:cs="Arial"/>
          <w:b/>
          <w:bCs/>
          <w:iCs/>
          <w:sz w:val="20"/>
          <w:szCs w:val="20"/>
          <w:lang w:val="es-419" w:eastAsia="fr-FR"/>
        </w:rPr>
        <w:tab/>
      </w:r>
      <w:r w:rsidRPr="00663D0E">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0CA2AC3"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p>
    <w:p w14:paraId="46D7574D"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r w:rsidRPr="00663D0E">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E3D045B"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p>
    <w:p w14:paraId="15DCF9AB"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r w:rsidRPr="00663D0E">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962CA18"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p>
    <w:p w14:paraId="3DEFE4AB"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r w:rsidRPr="00663D0E">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372447D1"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p>
    <w:p w14:paraId="05E3F2A6" w14:textId="77777777" w:rsidR="00663D0E" w:rsidRPr="00663D0E" w:rsidRDefault="00663D0E" w:rsidP="00663D0E">
      <w:pPr>
        <w:spacing w:after="0" w:line="240" w:lineRule="auto"/>
        <w:jc w:val="both"/>
        <w:rPr>
          <w:rFonts w:ascii="Arial" w:eastAsia="Times New Roman" w:hAnsi="Arial" w:cs="Arial"/>
          <w:sz w:val="20"/>
          <w:szCs w:val="20"/>
          <w:lang w:val="es-419" w:eastAsia="es-ES"/>
        </w:rPr>
      </w:pPr>
      <w:r w:rsidRPr="00663D0E">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4E075FE" w14:textId="77777777" w:rsidR="00663D0E" w:rsidRPr="00663D0E" w:rsidRDefault="00663D0E" w:rsidP="00663D0E">
      <w:pPr>
        <w:spacing w:after="0" w:line="240" w:lineRule="auto"/>
        <w:jc w:val="both"/>
        <w:rPr>
          <w:rFonts w:ascii="Arial" w:eastAsia="Times New Roman" w:hAnsi="Arial" w:cs="Arial"/>
          <w:sz w:val="20"/>
          <w:szCs w:val="20"/>
          <w:lang w:val="es-ES" w:eastAsia="es-ES"/>
        </w:rPr>
      </w:pPr>
    </w:p>
    <w:p w14:paraId="021B40C8" w14:textId="77777777" w:rsidR="00663D0E" w:rsidRPr="00663D0E" w:rsidRDefault="00663D0E" w:rsidP="00663D0E">
      <w:pPr>
        <w:spacing w:after="0" w:line="240" w:lineRule="auto"/>
        <w:jc w:val="both"/>
        <w:rPr>
          <w:rFonts w:ascii="Arial" w:eastAsia="Times New Roman" w:hAnsi="Arial" w:cs="Arial"/>
          <w:sz w:val="20"/>
          <w:szCs w:val="20"/>
          <w:lang w:val="es-ES" w:eastAsia="es-ES"/>
        </w:rPr>
      </w:pPr>
    </w:p>
    <w:bookmarkEnd w:id="3"/>
    <w:p w14:paraId="6A90F246" w14:textId="77777777" w:rsidR="00663D0E" w:rsidRPr="00663D0E" w:rsidRDefault="00663D0E" w:rsidP="00663D0E">
      <w:pPr>
        <w:spacing w:after="0" w:line="240" w:lineRule="auto"/>
        <w:jc w:val="both"/>
        <w:rPr>
          <w:rFonts w:ascii="Arial" w:eastAsia="Times New Roman" w:hAnsi="Arial" w:cs="Arial"/>
          <w:sz w:val="20"/>
          <w:szCs w:val="20"/>
          <w:lang w:val="es-ES" w:eastAsia="es-ES"/>
        </w:rPr>
      </w:pPr>
    </w:p>
    <w:bookmarkEnd w:id="2"/>
    <w:p w14:paraId="60ED5B32" w14:textId="45190FB7"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b/>
          <w:bCs/>
          <w:sz w:val="24"/>
          <w:szCs w:val="24"/>
          <w:lang w:val="es"/>
        </w:rPr>
        <w:t xml:space="preserve">TRIBUNAL SUPERIOR DEL DISTRITO JUDICIAL DE PEREIRA </w:t>
      </w:r>
    </w:p>
    <w:p w14:paraId="6A22D743" w14:textId="0EB1286B"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b/>
          <w:bCs/>
          <w:sz w:val="24"/>
          <w:szCs w:val="24"/>
          <w:lang w:val="es"/>
        </w:rPr>
        <w:t>SALA PRIMERA DE DECISION LABORAL</w:t>
      </w:r>
    </w:p>
    <w:p w14:paraId="5F77C68D" w14:textId="41619F3D" w:rsidR="00C24650"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b/>
          <w:bCs/>
          <w:sz w:val="24"/>
          <w:szCs w:val="24"/>
          <w:lang w:val="es"/>
        </w:rPr>
        <w:t xml:space="preserve"> </w:t>
      </w:r>
    </w:p>
    <w:p w14:paraId="5D75B964" w14:textId="32ADA514"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sz w:val="24"/>
          <w:szCs w:val="24"/>
          <w:lang w:val="es"/>
        </w:rPr>
        <w:t xml:space="preserve">Magistrada Ponente: </w:t>
      </w:r>
      <w:r w:rsidRPr="008C1FFE">
        <w:rPr>
          <w:rFonts w:ascii="Tahoma" w:eastAsia="Tahoma" w:hAnsi="Tahoma" w:cs="Tahoma"/>
          <w:b/>
          <w:bCs/>
          <w:sz w:val="24"/>
          <w:szCs w:val="24"/>
          <w:lang w:val="es"/>
        </w:rPr>
        <w:t>Ana Lucía Caicedo Calderón</w:t>
      </w:r>
    </w:p>
    <w:p w14:paraId="1DCDBD64" w14:textId="5926D18F" w:rsidR="00C24650"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b/>
          <w:bCs/>
          <w:sz w:val="24"/>
          <w:szCs w:val="24"/>
          <w:lang w:val="es"/>
        </w:rPr>
        <w:t xml:space="preserve"> </w:t>
      </w:r>
    </w:p>
    <w:p w14:paraId="058137DB" w14:textId="72D45381" w:rsidR="001E25A1" w:rsidRPr="008C1FFE" w:rsidRDefault="001E25A1" w:rsidP="008C1FFE">
      <w:pPr>
        <w:spacing w:after="0" w:line="276" w:lineRule="auto"/>
        <w:jc w:val="center"/>
        <w:rPr>
          <w:rFonts w:ascii="Tahoma" w:eastAsia="Tahoma" w:hAnsi="Tahoma" w:cs="Tahoma"/>
          <w:sz w:val="24"/>
          <w:szCs w:val="24"/>
          <w:lang w:val="es-ES"/>
        </w:rPr>
      </w:pPr>
      <w:r w:rsidRPr="008C1FFE">
        <w:rPr>
          <w:rFonts w:ascii="Tahoma" w:eastAsia="Tahoma" w:hAnsi="Tahoma" w:cs="Tahoma"/>
          <w:sz w:val="24"/>
          <w:szCs w:val="24"/>
          <w:lang w:val="es-ES"/>
        </w:rPr>
        <w:t xml:space="preserve">Pereira, Risaralda, </w:t>
      </w:r>
      <w:r w:rsidR="00961903" w:rsidRPr="008C1FFE">
        <w:rPr>
          <w:rFonts w:ascii="Tahoma" w:eastAsia="Tahoma" w:hAnsi="Tahoma" w:cs="Tahoma"/>
          <w:sz w:val="24"/>
          <w:szCs w:val="24"/>
          <w:lang w:val="es-ES"/>
        </w:rPr>
        <w:t xml:space="preserve">catorce </w:t>
      </w:r>
      <w:r w:rsidRPr="008C1FFE">
        <w:rPr>
          <w:rFonts w:ascii="Tahoma" w:eastAsia="Tahoma" w:hAnsi="Tahoma" w:cs="Tahoma"/>
          <w:sz w:val="24"/>
          <w:szCs w:val="24"/>
          <w:lang w:val="es-ES"/>
        </w:rPr>
        <w:t>(1</w:t>
      </w:r>
      <w:r w:rsidR="00961903" w:rsidRPr="008C1FFE">
        <w:rPr>
          <w:rFonts w:ascii="Tahoma" w:eastAsia="Tahoma" w:hAnsi="Tahoma" w:cs="Tahoma"/>
          <w:sz w:val="24"/>
          <w:szCs w:val="24"/>
          <w:lang w:val="es-ES"/>
        </w:rPr>
        <w:t>4</w:t>
      </w:r>
      <w:r w:rsidRPr="008C1FFE">
        <w:rPr>
          <w:rFonts w:ascii="Tahoma" w:eastAsia="Tahoma" w:hAnsi="Tahoma" w:cs="Tahoma"/>
          <w:sz w:val="24"/>
          <w:szCs w:val="24"/>
          <w:lang w:val="es-ES"/>
        </w:rPr>
        <w:t xml:space="preserve">) de </w:t>
      </w:r>
      <w:r w:rsidR="00961903" w:rsidRPr="008C1FFE">
        <w:rPr>
          <w:rFonts w:ascii="Tahoma" w:eastAsia="Tahoma" w:hAnsi="Tahoma" w:cs="Tahoma"/>
          <w:sz w:val="24"/>
          <w:szCs w:val="24"/>
          <w:lang w:val="es-ES"/>
        </w:rPr>
        <w:t xml:space="preserve">marzo </w:t>
      </w:r>
      <w:r w:rsidRPr="008C1FFE">
        <w:rPr>
          <w:rFonts w:ascii="Tahoma" w:eastAsia="Tahoma" w:hAnsi="Tahoma" w:cs="Tahoma"/>
          <w:sz w:val="24"/>
          <w:szCs w:val="24"/>
          <w:lang w:val="es-ES"/>
        </w:rPr>
        <w:t>dos mil veintidós (2022)  </w:t>
      </w:r>
    </w:p>
    <w:p w14:paraId="694C9E94" w14:textId="07732160"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sz w:val="24"/>
          <w:szCs w:val="24"/>
          <w:lang w:val="es"/>
        </w:rPr>
        <w:t>Acta No</w:t>
      </w:r>
      <w:r w:rsidR="00094BAC" w:rsidRPr="008C1FFE">
        <w:rPr>
          <w:rFonts w:ascii="Tahoma" w:eastAsia="Tahoma" w:hAnsi="Tahoma" w:cs="Tahoma"/>
          <w:sz w:val="24"/>
          <w:szCs w:val="24"/>
          <w:lang w:val="es"/>
        </w:rPr>
        <w:t xml:space="preserve"> 36 </w:t>
      </w:r>
      <w:r w:rsidRPr="008C1FFE">
        <w:rPr>
          <w:rFonts w:ascii="Tahoma" w:eastAsia="Tahoma" w:hAnsi="Tahoma" w:cs="Tahoma"/>
          <w:sz w:val="24"/>
          <w:szCs w:val="24"/>
          <w:lang w:val="es"/>
        </w:rPr>
        <w:t xml:space="preserve">del </w:t>
      </w:r>
      <w:r w:rsidR="00961903" w:rsidRPr="008C1FFE">
        <w:rPr>
          <w:rFonts w:ascii="Tahoma" w:eastAsia="Tahoma" w:hAnsi="Tahoma" w:cs="Tahoma"/>
          <w:sz w:val="24"/>
          <w:szCs w:val="24"/>
          <w:lang w:val="es"/>
        </w:rPr>
        <w:t xml:space="preserve">10 </w:t>
      </w:r>
      <w:r w:rsidR="001E25A1" w:rsidRPr="008C1FFE">
        <w:rPr>
          <w:rFonts w:ascii="Tahoma" w:eastAsia="Tahoma" w:hAnsi="Tahoma" w:cs="Tahoma"/>
          <w:sz w:val="24"/>
          <w:szCs w:val="24"/>
          <w:lang w:val="es"/>
        </w:rPr>
        <w:t xml:space="preserve">marzo </w:t>
      </w:r>
      <w:r w:rsidRPr="008C1FFE">
        <w:rPr>
          <w:rFonts w:ascii="Tahoma" w:eastAsia="Tahoma" w:hAnsi="Tahoma" w:cs="Tahoma"/>
          <w:sz w:val="24"/>
          <w:szCs w:val="24"/>
          <w:lang w:val="es"/>
        </w:rPr>
        <w:t>de 202</w:t>
      </w:r>
      <w:r w:rsidR="001E25A1" w:rsidRPr="008C1FFE">
        <w:rPr>
          <w:rFonts w:ascii="Tahoma" w:eastAsia="Tahoma" w:hAnsi="Tahoma" w:cs="Tahoma"/>
          <w:sz w:val="24"/>
          <w:szCs w:val="24"/>
          <w:lang w:val="es"/>
        </w:rPr>
        <w:t>2</w:t>
      </w:r>
    </w:p>
    <w:p w14:paraId="0CD39A57" w14:textId="41423217"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sz w:val="24"/>
          <w:szCs w:val="24"/>
          <w:lang w:val="es"/>
        </w:rPr>
        <w:t xml:space="preserve"> </w:t>
      </w:r>
    </w:p>
    <w:p w14:paraId="12DD9787" w14:textId="47C82151" w:rsidR="1B4704F1" w:rsidRPr="008C1FFE" w:rsidRDefault="1B4704F1" w:rsidP="008C1FFE">
      <w:pPr>
        <w:spacing w:after="0" w:line="276" w:lineRule="auto"/>
        <w:ind w:firstLine="708"/>
        <w:jc w:val="both"/>
        <w:rPr>
          <w:rFonts w:ascii="Tahoma" w:hAnsi="Tahoma" w:cs="Tahoma"/>
          <w:sz w:val="24"/>
          <w:szCs w:val="24"/>
        </w:rPr>
      </w:pPr>
      <w:r w:rsidRPr="008C1FFE">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8C1FFE">
        <w:rPr>
          <w:rFonts w:ascii="Tahoma" w:eastAsia="Tahoma" w:hAnsi="Tahoma" w:cs="Tahoma"/>
          <w:sz w:val="24"/>
          <w:szCs w:val="24"/>
          <w:lang w:val="es"/>
        </w:rPr>
        <w:t>,</w:t>
      </w:r>
      <w:r w:rsidRPr="008C1FFE">
        <w:rPr>
          <w:rFonts w:ascii="Tahoma" w:eastAsia="Tahoma" w:hAnsi="Tahoma" w:cs="Tahoma"/>
          <w:sz w:val="24"/>
          <w:szCs w:val="24"/>
          <w:lang w:val="es"/>
        </w:rPr>
        <w:t xml:space="preserve"> que en la especialidad laboral se proferirán por escrito las providencias de segunda instancia</w:t>
      </w:r>
      <w:r w:rsidR="003A150B" w:rsidRPr="008C1FFE">
        <w:rPr>
          <w:rFonts w:ascii="Tahoma" w:eastAsia="Tahoma" w:hAnsi="Tahoma" w:cs="Tahoma"/>
          <w:sz w:val="24"/>
          <w:szCs w:val="24"/>
          <w:lang w:val="es"/>
        </w:rPr>
        <w:t>,</w:t>
      </w:r>
      <w:r w:rsidRPr="008C1FFE">
        <w:rPr>
          <w:rFonts w:ascii="Tahoma" w:eastAsia="Tahoma" w:hAnsi="Tahoma" w:cs="Tahoma"/>
          <w:sz w:val="24"/>
          <w:szCs w:val="24"/>
          <w:lang w:val="es"/>
        </w:rPr>
        <w:t xml:space="preserve">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DARIO GOEZ VINASCO, </w:t>
      </w:r>
      <w:r w:rsidRPr="008C1FFE">
        <w:rPr>
          <w:rFonts w:ascii="Tahoma" w:eastAsia="Tahoma" w:hAnsi="Tahoma" w:cs="Tahoma"/>
          <w:sz w:val="24"/>
          <w:szCs w:val="24"/>
          <w:lang w:val="es"/>
        </w:rPr>
        <w:lastRenderedPageBreak/>
        <w:t xml:space="preserve">procede a proferir la siguiente sentencia escrita dentro del proceso ordinario laboral instaurado por </w:t>
      </w:r>
      <w:r w:rsidR="002B616C" w:rsidRPr="008C1FFE">
        <w:rPr>
          <w:rFonts w:ascii="Tahoma" w:eastAsia="Tahoma" w:hAnsi="Tahoma" w:cs="Tahoma"/>
          <w:b/>
          <w:sz w:val="24"/>
          <w:szCs w:val="24"/>
          <w:lang w:val="es"/>
        </w:rPr>
        <w:t>Jairo de Jesús Restrepo Castaño</w:t>
      </w:r>
      <w:r w:rsidR="00094BAC" w:rsidRPr="008C1FFE">
        <w:rPr>
          <w:rFonts w:ascii="Tahoma" w:eastAsia="Tahoma" w:hAnsi="Tahoma" w:cs="Tahoma"/>
          <w:b/>
          <w:bCs/>
          <w:sz w:val="24"/>
          <w:szCs w:val="24"/>
          <w:lang w:val="es"/>
        </w:rPr>
        <w:t xml:space="preserve"> </w:t>
      </w:r>
      <w:r w:rsidRPr="008C1FFE">
        <w:rPr>
          <w:rFonts w:ascii="Tahoma" w:eastAsia="Tahoma" w:hAnsi="Tahoma" w:cs="Tahoma"/>
          <w:sz w:val="24"/>
          <w:szCs w:val="24"/>
          <w:lang w:val="es"/>
        </w:rPr>
        <w:t xml:space="preserve">en contra de la </w:t>
      </w:r>
      <w:r w:rsidRPr="008C1FFE">
        <w:rPr>
          <w:rFonts w:ascii="Tahoma" w:eastAsia="Tahoma" w:hAnsi="Tahoma" w:cs="Tahoma"/>
          <w:b/>
          <w:bCs/>
          <w:sz w:val="24"/>
          <w:szCs w:val="24"/>
          <w:lang w:val="es"/>
        </w:rPr>
        <w:t>Administradora Colombiana de Pensiones – Colpensiones</w:t>
      </w:r>
      <w:r w:rsidR="00094BAC" w:rsidRPr="008C1FFE">
        <w:rPr>
          <w:rFonts w:ascii="Tahoma" w:eastAsia="Tahoma" w:hAnsi="Tahoma" w:cs="Tahoma"/>
          <w:b/>
          <w:bCs/>
          <w:sz w:val="24"/>
          <w:szCs w:val="24"/>
          <w:lang w:val="es"/>
        </w:rPr>
        <w:t xml:space="preserve"> </w:t>
      </w:r>
      <w:r w:rsidR="00094BAC" w:rsidRPr="008C1FFE">
        <w:rPr>
          <w:rFonts w:ascii="Tahoma" w:eastAsia="Tahoma" w:hAnsi="Tahoma" w:cs="Tahoma"/>
          <w:bCs/>
          <w:sz w:val="24"/>
          <w:szCs w:val="24"/>
          <w:lang w:val="es"/>
        </w:rPr>
        <w:t>y</w:t>
      </w:r>
      <w:r w:rsidR="00094BAC" w:rsidRPr="008C1FFE">
        <w:rPr>
          <w:rFonts w:ascii="Tahoma" w:eastAsia="Tahoma" w:hAnsi="Tahoma" w:cs="Tahoma"/>
          <w:b/>
          <w:bCs/>
          <w:sz w:val="24"/>
          <w:szCs w:val="24"/>
          <w:lang w:val="es"/>
        </w:rPr>
        <w:t xml:space="preserve"> </w:t>
      </w:r>
      <w:r w:rsidR="008C2DC1" w:rsidRPr="008C1FFE">
        <w:rPr>
          <w:rFonts w:ascii="Tahoma" w:eastAsia="Tahoma" w:hAnsi="Tahoma" w:cs="Tahoma"/>
          <w:b/>
          <w:bCs/>
          <w:sz w:val="24"/>
          <w:szCs w:val="24"/>
          <w:lang w:val="es"/>
        </w:rPr>
        <w:t>Protección S.A</w:t>
      </w:r>
      <w:r w:rsidRPr="008C1FFE">
        <w:rPr>
          <w:rFonts w:ascii="Tahoma" w:eastAsia="Tahoma" w:hAnsi="Tahoma" w:cs="Tahoma"/>
          <w:b/>
          <w:bCs/>
          <w:sz w:val="24"/>
          <w:szCs w:val="24"/>
          <w:lang w:val="es"/>
        </w:rPr>
        <w:t>.</w:t>
      </w:r>
    </w:p>
    <w:p w14:paraId="4D3FF3D3" w14:textId="77777777" w:rsidR="008C26F2" w:rsidRPr="008C1FFE" w:rsidRDefault="008C26F2" w:rsidP="008C1FFE">
      <w:pPr>
        <w:spacing w:after="0" w:line="276" w:lineRule="auto"/>
        <w:jc w:val="both"/>
        <w:rPr>
          <w:rFonts w:ascii="Tahoma" w:eastAsia="Tahoma" w:hAnsi="Tahoma" w:cs="Tahoma"/>
          <w:b/>
          <w:bCs/>
          <w:sz w:val="24"/>
          <w:szCs w:val="24"/>
          <w:lang w:val="es"/>
        </w:rPr>
      </w:pPr>
    </w:p>
    <w:p w14:paraId="2518ADF7" w14:textId="67B27BF2"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b/>
          <w:bCs/>
          <w:sz w:val="24"/>
          <w:szCs w:val="24"/>
          <w:lang w:val="es"/>
        </w:rPr>
        <w:t>PUNTO A TRATAR</w:t>
      </w:r>
    </w:p>
    <w:p w14:paraId="54D77176" w14:textId="1E433777"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b/>
          <w:bCs/>
          <w:sz w:val="24"/>
          <w:szCs w:val="24"/>
          <w:lang w:val="es"/>
        </w:rPr>
        <w:t xml:space="preserve"> </w:t>
      </w:r>
    </w:p>
    <w:p w14:paraId="2CEC0698" w14:textId="45CD206C" w:rsidR="1B4704F1" w:rsidRPr="008C1FFE" w:rsidRDefault="1B4704F1" w:rsidP="008C1FFE">
      <w:pPr>
        <w:spacing w:after="0" w:line="276" w:lineRule="auto"/>
        <w:ind w:firstLine="708"/>
        <w:jc w:val="both"/>
        <w:rPr>
          <w:rFonts w:ascii="Tahoma" w:eastAsia="Tahoma" w:hAnsi="Tahoma" w:cs="Tahoma"/>
          <w:sz w:val="24"/>
          <w:szCs w:val="24"/>
          <w:lang w:val="es"/>
        </w:rPr>
      </w:pPr>
      <w:r w:rsidRPr="008C1FFE">
        <w:rPr>
          <w:rFonts w:ascii="Tahoma" w:eastAsia="Tahoma" w:hAnsi="Tahoma" w:cs="Tahoma"/>
          <w:sz w:val="24"/>
          <w:szCs w:val="24"/>
          <w:lang w:val="es"/>
        </w:rPr>
        <w:t xml:space="preserve">Por medio de esta providencia, procede la Sala a resolver los recursos de apelación interpuestos por </w:t>
      </w:r>
      <w:r w:rsidR="00956B53" w:rsidRPr="008C1FFE">
        <w:rPr>
          <w:rFonts w:ascii="Tahoma" w:eastAsia="Tahoma" w:hAnsi="Tahoma" w:cs="Tahoma"/>
          <w:sz w:val="24"/>
          <w:szCs w:val="24"/>
          <w:lang w:val="es"/>
        </w:rPr>
        <w:t>Protección S.A y Colpensiones</w:t>
      </w:r>
      <w:r w:rsidR="008E34FF" w:rsidRPr="008C1FFE">
        <w:rPr>
          <w:rFonts w:ascii="Tahoma" w:eastAsia="Tahoma" w:hAnsi="Tahoma" w:cs="Tahoma"/>
          <w:sz w:val="24"/>
          <w:szCs w:val="24"/>
          <w:lang w:val="es"/>
        </w:rPr>
        <w:t xml:space="preserve"> en contra de la sentencia proferida el 14 de octubre de 2021</w:t>
      </w:r>
      <w:r w:rsidR="00956B53" w:rsidRPr="008C1FFE">
        <w:rPr>
          <w:rFonts w:ascii="Tahoma" w:eastAsia="Tahoma" w:hAnsi="Tahoma" w:cs="Tahoma"/>
          <w:sz w:val="24"/>
          <w:szCs w:val="24"/>
          <w:lang w:val="es"/>
        </w:rPr>
        <w:t xml:space="preserve"> por el Juzgado Segundo del Circuito de Pereir</w:t>
      </w:r>
      <w:r w:rsidR="008E34FF" w:rsidRPr="008C1FFE">
        <w:rPr>
          <w:rFonts w:ascii="Tahoma" w:eastAsia="Tahoma" w:hAnsi="Tahoma" w:cs="Tahoma"/>
          <w:sz w:val="24"/>
          <w:szCs w:val="24"/>
          <w:lang w:val="es"/>
        </w:rPr>
        <w:t>a</w:t>
      </w:r>
      <w:r w:rsidR="00FF482A" w:rsidRPr="008C1FFE">
        <w:rPr>
          <w:rFonts w:ascii="Tahoma" w:eastAsia="Tahoma" w:hAnsi="Tahoma" w:cs="Tahoma"/>
          <w:sz w:val="24"/>
          <w:szCs w:val="24"/>
          <w:lang w:val="es"/>
        </w:rPr>
        <w:t>.</w:t>
      </w:r>
      <w:r w:rsidR="005A51B7" w:rsidRPr="008C1FFE">
        <w:rPr>
          <w:rFonts w:ascii="Tahoma" w:eastAsia="Tahoma" w:hAnsi="Tahoma" w:cs="Tahoma"/>
          <w:sz w:val="24"/>
          <w:szCs w:val="24"/>
          <w:lang w:val="es"/>
        </w:rPr>
        <w:t xml:space="preserve"> </w:t>
      </w:r>
      <w:r w:rsidR="00FF482A" w:rsidRPr="008C1FFE">
        <w:rPr>
          <w:rFonts w:ascii="Tahoma" w:eastAsia="Tahoma" w:hAnsi="Tahoma" w:cs="Tahoma"/>
          <w:sz w:val="24"/>
          <w:szCs w:val="24"/>
          <w:lang w:val="es"/>
        </w:rPr>
        <w:t>A</w:t>
      </w:r>
      <w:r w:rsidRPr="008C1FFE">
        <w:rPr>
          <w:rFonts w:ascii="Tahoma" w:eastAsia="Tahoma" w:hAnsi="Tahoma" w:cs="Tahoma"/>
          <w:sz w:val="24"/>
          <w:szCs w:val="24"/>
          <w:lang w:val="es"/>
        </w:rPr>
        <w:t xml:space="preserve">simismo, se revisará </w:t>
      </w:r>
      <w:r w:rsidR="00DD5B87" w:rsidRPr="008C1FFE">
        <w:rPr>
          <w:rFonts w:ascii="Tahoma" w:eastAsia="Tahoma" w:hAnsi="Tahoma" w:cs="Tahoma"/>
          <w:sz w:val="24"/>
          <w:szCs w:val="24"/>
          <w:lang w:val="es"/>
        </w:rPr>
        <w:t xml:space="preserve">el fallo </w:t>
      </w:r>
      <w:r w:rsidRPr="008C1FFE">
        <w:rPr>
          <w:rFonts w:ascii="Tahoma" w:eastAsia="Tahoma" w:hAnsi="Tahoma" w:cs="Tahoma"/>
          <w:sz w:val="24"/>
          <w:szCs w:val="24"/>
          <w:lang w:val="es"/>
        </w:rPr>
        <w:t>de manera íntegra</w:t>
      </w:r>
      <w:r w:rsidR="002C7460" w:rsidRPr="008C1FFE">
        <w:rPr>
          <w:rFonts w:ascii="Tahoma" w:eastAsia="Tahoma" w:hAnsi="Tahoma" w:cs="Tahoma"/>
          <w:sz w:val="24"/>
          <w:szCs w:val="24"/>
          <w:lang w:val="es"/>
        </w:rPr>
        <w:t xml:space="preserve"> </w:t>
      </w:r>
      <w:r w:rsidRPr="008C1FFE">
        <w:rPr>
          <w:rFonts w:ascii="Tahoma" w:eastAsia="Tahoma" w:hAnsi="Tahoma" w:cs="Tahoma"/>
          <w:sz w:val="24"/>
          <w:szCs w:val="24"/>
          <w:lang w:val="es"/>
        </w:rPr>
        <w:t>en virtud del grado jurisdiccional de consulta, al haber sido advers</w:t>
      </w:r>
      <w:r w:rsidR="00DD5B87" w:rsidRPr="008C1FFE">
        <w:rPr>
          <w:rFonts w:ascii="Tahoma" w:eastAsia="Tahoma" w:hAnsi="Tahoma" w:cs="Tahoma"/>
          <w:sz w:val="24"/>
          <w:szCs w:val="24"/>
          <w:lang w:val="es"/>
        </w:rPr>
        <w:t>o</w:t>
      </w:r>
      <w:r w:rsidRPr="008C1FFE">
        <w:rPr>
          <w:rFonts w:ascii="Tahoma" w:eastAsia="Tahoma" w:hAnsi="Tahoma" w:cs="Tahoma"/>
          <w:sz w:val="24"/>
          <w:szCs w:val="24"/>
          <w:lang w:val="es"/>
        </w:rPr>
        <w:t xml:space="preserve"> a los intereses de Colpensiones. Para ello se tiene en cuenta lo siguiente:</w:t>
      </w:r>
    </w:p>
    <w:p w14:paraId="3E6F198D" w14:textId="77777777" w:rsidR="008C26F2" w:rsidRPr="008C1FFE" w:rsidRDefault="008C26F2" w:rsidP="008C1FFE">
      <w:pPr>
        <w:spacing w:after="0" w:line="276" w:lineRule="auto"/>
        <w:jc w:val="both"/>
        <w:rPr>
          <w:rFonts w:ascii="Tahoma" w:hAnsi="Tahoma" w:cs="Tahoma"/>
          <w:sz w:val="24"/>
          <w:szCs w:val="24"/>
        </w:rPr>
      </w:pPr>
    </w:p>
    <w:p w14:paraId="34D1BCA3" w14:textId="3FAF05A7" w:rsidR="1B4704F1" w:rsidRPr="008C1FFE" w:rsidRDefault="00846DE2" w:rsidP="008C1FFE">
      <w:pPr>
        <w:pStyle w:val="Prrafodelista"/>
        <w:numPr>
          <w:ilvl w:val="0"/>
          <w:numId w:val="3"/>
        </w:numPr>
        <w:spacing w:line="276" w:lineRule="auto"/>
        <w:jc w:val="center"/>
        <w:rPr>
          <w:rFonts w:eastAsiaTheme="minorEastAsia"/>
          <w:b/>
          <w:bCs/>
          <w:sz w:val="24"/>
          <w:szCs w:val="24"/>
        </w:rPr>
      </w:pPr>
      <w:r w:rsidRPr="008C1FFE">
        <w:rPr>
          <w:b/>
          <w:bCs/>
          <w:sz w:val="24"/>
          <w:szCs w:val="24"/>
          <w:lang w:val="es"/>
        </w:rPr>
        <w:t xml:space="preserve">La </w:t>
      </w:r>
      <w:r w:rsidR="1B4704F1" w:rsidRPr="008C1FFE">
        <w:rPr>
          <w:b/>
          <w:bCs/>
          <w:sz w:val="24"/>
          <w:szCs w:val="24"/>
          <w:lang w:val="es"/>
        </w:rPr>
        <w:t xml:space="preserve">Demanda y </w:t>
      </w:r>
      <w:r w:rsidR="008C26F2" w:rsidRPr="008C1FFE">
        <w:rPr>
          <w:b/>
          <w:bCs/>
          <w:sz w:val="24"/>
          <w:szCs w:val="24"/>
          <w:lang w:val="es"/>
        </w:rPr>
        <w:t xml:space="preserve">la </w:t>
      </w:r>
      <w:r w:rsidR="1B4704F1" w:rsidRPr="008C1FFE">
        <w:rPr>
          <w:b/>
          <w:bCs/>
          <w:sz w:val="24"/>
          <w:szCs w:val="24"/>
          <w:lang w:val="es"/>
        </w:rPr>
        <w:t>contestación</w:t>
      </w:r>
      <w:r w:rsidR="008C26F2" w:rsidRPr="008C1FFE">
        <w:rPr>
          <w:b/>
          <w:bCs/>
          <w:sz w:val="24"/>
          <w:szCs w:val="24"/>
          <w:lang w:val="es"/>
        </w:rPr>
        <w:t xml:space="preserve"> de la demanda</w:t>
      </w:r>
    </w:p>
    <w:p w14:paraId="29E270E4" w14:textId="35603C86" w:rsidR="1B4704F1" w:rsidRPr="008C1FFE" w:rsidRDefault="1B4704F1" w:rsidP="008C1FFE">
      <w:pPr>
        <w:spacing w:after="0" w:line="276" w:lineRule="auto"/>
        <w:jc w:val="both"/>
        <w:rPr>
          <w:rFonts w:ascii="Tahoma" w:hAnsi="Tahoma" w:cs="Tahoma"/>
          <w:sz w:val="24"/>
          <w:szCs w:val="24"/>
        </w:rPr>
      </w:pPr>
      <w:r w:rsidRPr="008C1FFE">
        <w:rPr>
          <w:rFonts w:ascii="Tahoma" w:eastAsia="Tahoma" w:hAnsi="Tahoma" w:cs="Tahoma"/>
          <w:sz w:val="24"/>
          <w:szCs w:val="24"/>
          <w:lang w:val="es"/>
        </w:rPr>
        <w:t xml:space="preserve"> </w:t>
      </w:r>
    </w:p>
    <w:p w14:paraId="13CBBCF5" w14:textId="41C108E5" w:rsidR="00DD5B87" w:rsidRPr="008C1FFE" w:rsidRDefault="00495A82" w:rsidP="008C1FFE">
      <w:pPr>
        <w:spacing w:after="0" w:line="276" w:lineRule="auto"/>
        <w:ind w:firstLine="708"/>
        <w:jc w:val="both"/>
        <w:rPr>
          <w:rFonts w:ascii="Tahoma" w:eastAsia="Tahoma" w:hAnsi="Tahoma" w:cs="Tahoma"/>
          <w:sz w:val="24"/>
          <w:szCs w:val="24"/>
          <w:lang w:val="es"/>
        </w:rPr>
      </w:pPr>
      <w:r w:rsidRPr="008C1FFE">
        <w:rPr>
          <w:rFonts w:ascii="Tahoma" w:eastAsia="Tahoma" w:hAnsi="Tahoma" w:cs="Tahoma"/>
          <w:sz w:val="24"/>
          <w:szCs w:val="24"/>
        </w:rPr>
        <w:t>El</w:t>
      </w:r>
      <w:r w:rsidR="00A02AB9" w:rsidRPr="008C1FFE">
        <w:rPr>
          <w:rFonts w:ascii="Tahoma" w:eastAsia="Tahoma" w:hAnsi="Tahoma" w:cs="Tahoma"/>
          <w:sz w:val="24"/>
          <w:szCs w:val="24"/>
          <w:lang w:val="es"/>
        </w:rPr>
        <w:t xml:space="preserve"> demandante </w:t>
      </w:r>
      <w:r w:rsidR="003A150B" w:rsidRPr="008C1FFE">
        <w:rPr>
          <w:rFonts w:ascii="Tahoma" w:eastAsia="Tahoma" w:hAnsi="Tahoma" w:cs="Tahoma"/>
          <w:sz w:val="24"/>
          <w:szCs w:val="24"/>
          <w:lang w:val="es"/>
        </w:rPr>
        <w:t xml:space="preserve">busca </w:t>
      </w:r>
      <w:r w:rsidR="00A02AB9" w:rsidRPr="008C1FFE">
        <w:rPr>
          <w:rFonts w:ascii="Tahoma" w:eastAsia="Tahoma" w:hAnsi="Tahoma" w:cs="Tahoma"/>
          <w:sz w:val="24"/>
          <w:szCs w:val="24"/>
          <w:lang w:val="es"/>
        </w:rPr>
        <w:t>que se declare la nulidad de la</w:t>
      </w:r>
      <w:r w:rsidR="005A51B7" w:rsidRPr="008C1FFE">
        <w:rPr>
          <w:rFonts w:ascii="Tahoma" w:eastAsia="Tahoma" w:hAnsi="Tahoma" w:cs="Tahoma"/>
          <w:sz w:val="24"/>
          <w:szCs w:val="24"/>
          <w:lang w:val="es"/>
        </w:rPr>
        <w:t xml:space="preserve"> a</w:t>
      </w:r>
      <w:r w:rsidR="00A02AB9" w:rsidRPr="008C1FFE">
        <w:rPr>
          <w:rFonts w:ascii="Tahoma" w:eastAsia="Tahoma" w:hAnsi="Tahoma" w:cs="Tahoma"/>
          <w:sz w:val="24"/>
          <w:szCs w:val="24"/>
          <w:lang w:val="es"/>
        </w:rPr>
        <w:t>filiaci</w:t>
      </w:r>
      <w:r w:rsidR="005A51B7" w:rsidRPr="008C1FFE">
        <w:rPr>
          <w:rFonts w:ascii="Tahoma" w:eastAsia="Tahoma" w:hAnsi="Tahoma" w:cs="Tahoma"/>
          <w:sz w:val="24"/>
          <w:szCs w:val="24"/>
          <w:lang w:val="es"/>
        </w:rPr>
        <w:t>ón</w:t>
      </w:r>
      <w:r w:rsidR="00A02AB9" w:rsidRPr="008C1FFE">
        <w:rPr>
          <w:rFonts w:ascii="Tahoma" w:eastAsia="Tahoma" w:hAnsi="Tahoma" w:cs="Tahoma"/>
          <w:sz w:val="24"/>
          <w:szCs w:val="24"/>
          <w:lang w:val="es"/>
        </w:rPr>
        <w:t xml:space="preserve"> que realizó</w:t>
      </w:r>
      <w:r w:rsidR="005A51B7" w:rsidRPr="008C1FFE">
        <w:rPr>
          <w:rFonts w:ascii="Tahoma" w:eastAsia="Tahoma" w:hAnsi="Tahoma" w:cs="Tahoma"/>
          <w:sz w:val="24"/>
          <w:szCs w:val="24"/>
          <w:lang w:val="es"/>
        </w:rPr>
        <w:t xml:space="preserve"> a </w:t>
      </w:r>
      <w:r w:rsidR="0042691A" w:rsidRPr="008C1FFE">
        <w:rPr>
          <w:rFonts w:ascii="Tahoma" w:eastAsia="Tahoma" w:hAnsi="Tahoma" w:cs="Tahoma"/>
          <w:sz w:val="24"/>
          <w:szCs w:val="24"/>
          <w:lang w:val="es"/>
        </w:rPr>
        <w:t xml:space="preserve">Protección </w:t>
      </w:r>
      <w:r w:rsidR="0025037F" w:rsidRPr="008C1FFE">
        <w:rPr>
          <w:rFonts w:ascii="Tahoma" w:eastAsia="Tahoma" w:hAnsi="Tahoma" w:cs="Tahoma"/>
          <w:sz w:val="24"/>
          <w:szCs w:val="24"/>
          <w:lang w:val="es"/>
        </w:rPr>
        <w:t>S.A., a través de la cual se trasladó del régimen de prima media con prestación definida (en adelante RPM) al régimen de ahorro individual con solidaridad (en adelante RAIS)</w:t>
      </w:r>
      <w:r w:rsidR="005A51B7" w:rsidRPr="008C1FFE">
        <w:rPr>
          <w:rFonts w:ascii="Tahoma" w:eastAsia="Tahoma" w:hAnsi="Tahoma" w:cs="Tahoma"/>
          <w:sz w:val="24"/>
          <w:szCs w:val="24"/>
          <w:lang w:val="es"/>
        </w:rPr>
        <w:t>.</w:t>
      </w:r>
    </w:p>
    <w:p w14:paraId="0EB60EA3" w14:textId="77777777" w:rsidR="00DD5B87" w:rsidRPr="008C1FFE" w:rsidRDefault="00DD5B87" w:rsidP="008C1FFE">
      <w:pPr>
        <w:spacing w:after="0" w:line="276" w:lineRule="auto"/>
        <w:ind w:firstLine="708"/>
        <w:jc w:val="both"/>
        <w:rPr>
          <w:rFonts w:ascii="Tahoma" w:eastAsia="Tahoma" w:hAnsi="Tahoma" w:cs="Tahoma"/>
          <w:sz w:val="24"/>
          <w:szCs w:val="24"/>
          <w:lang w:val="es"/>
        </w:rPr>
      </w:pPr>
    </w:p>
    <w:p w14:paraId="589D7EA1" w14:textId="0A224258" w:rsidR="00DD5B87" w:rsidRPr="008C1FFE" w:rsidRDefault="00DD5B87"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 xml:space="preserve">En consecuencia, procura que se condene a </w:t>
      </w:r>
      <w:r w:rsidR="00037281" w:rsidRPr="008C1FFE">
        <w:rPr>
          <w:rFonts w:ascii="Tahoma" w:eastAsia="Tahoma" w:hAnsi="Tahoma" w:cs="Tahoma"/>
          <w:sz w:val="24"/>
          <w:szCs w:val="24"/>
        </w:rPr>
        <w:t xml:space="preserve">Protección </w:t>
      </w:r>
      <w:r w:rsidRPr="008C1FFE">
        <w:rPr>
          <w:rFonts w:ascii="Tahoma" w:eastAsia="Tahoma" w:hAnsi="Tahoma" w:cs="Tahoma"/>
          <w:sz w:val="24"/>
          <w:szCs w:val="24"/>
        </w:rPr>
        <w:t>S.A. a liberarl</w:t>
      </w:r>
      <w:r w:rsidR="00FF482A" w:rsidRPr="008C1FFE">
        <w:rPr>
          <w:rFonts w:ascii="Tahoma" w:eastAsia="Tahoma" w:hAnsi="Tahoma" w:cs="Tahoma"/>
          <w:sz w:val="24"/>
          <w:szCs w:val="24"/>
        </w:rPr>
        <w:t>o</w:t>
      </w:r>
      <w:r w:rsidRPr="008C1FFE">
        <w:rPr>
          <w:rFonts w:ascii="Tahoma" w:eastAsia="Tahoma" w:hAnsi="Tahoma" w:cs="Tahoma"/>
          <w:sz w:val="24"/>
          <w:szCs w:val="24"/>
        </w:rPr>
        <w:t xml:space="preserve"> de su base de datos y a trasladar sus cotizaciones a favor de la Administradora Colombiana de Pensiones - Colpensiones. Adicionalmente, solicita que se condene a esta última a recibirl</w:t>
      </w:r>
      <w:r w:rsidR="0042691A" w:rsidRPr="008C1FFE">
        <w:rPr>
          <w:rFonts w:ascii="Tahoma" w:eastAsia="Tahoma" w:hAnsi="Tahoma" w:cs="Tahoma"/>
          <w:sz w:val="24"/>
          <w:szCs w:val="24"/>
        </w:rPr>
        <w:t>o</w:t>
      </w:r>
      <w:r w:rsidRPr="008C1FFE">
        <w:rPr>
          <w:rFonts w:ascii="Tahoma" w:eastAsia="Tahoma" w:hAnsi="Tahoma" w:cs="Tahoma"/>
          <w:sz w:val="24"/>
          <w:szCs w:val="24"/>
        </w:rPr>
        <w:t xml:space="preserve"> nuevamente como afiliad</w:t>
      </w:r>
      <w:r w:rsidR="0042691A" w:rsidRPr="008C1FFE">
        <w:rPr>
          <w:rFonts w:ascii="Tahoma" w:eastAsia="Tahoma" w:hAnsi="Tahoma" w:cs="Tahoma"/>
          <w:sz w:val="24"/>
          <w:szCs w:val="24"/>
        </w:rPr>
        <w:t>o.</w:t>
      </w:r>
    </w:p>
    <w:p w14:paraId="0ACE2FB0" w14:textId="23083C38" w:rsidR="0042691A" w:rsidRPr="008C1FFE" w:rsidRDefault="0042691A" w:rsidP="008C1FFE">
      <w:pPr>
        <w:spacing w:after="0" w:line="276" w:lineRule="auto"/>
        <w:ind w:firstLine="708"/>
        <w:jc w:val="both"/>
        <w:rPr>
          <w:rFonts w:ascii="Tahoma" w:eastAsia="Tahoma" w:hAnsi="Tahoma" w:cs="Tahoma"/>
          <w:sz w:val="24"/>
          <w:szCs w:val="24"/>
        </w:rPr>
      </w:pPr>
    </w:p>
    <w:p w14:paraId="28AE6C2A" w14:textId="6DB5B290" w:rsidR="00126C07" w:rsidRPr="008C1FFE" w:rsidRDefault="005845B4"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Del mismo modo, una vez concedido el traslado, busca que se declare que es beneficiario de</w:t>
      </w:r>
      <w:r w:rsidR="00672105" w:rsidRPr="008C1FFE">
        <w:rPr>
          <w:rFonts w:ascii="Tahoma" w:eastAsia="Tahoma" w:hAnsi="Tahoma" w:cs="Tahoma"/>
          <w:sz w:val="24"/>
          <w:szCs w:val="24"/>
        </w:rPr>
        <w:t>l régimen de transición,</w:t>
      </w:r>
      <w:r w:rsidR="00FB1845" w:rsidRPr="008C1FFE">
        <w:rPr>
          <w:rFonts w:ascii="Tahoma" w:eastAsia="Tahoma" w:hAnsi="Tahoma" w:cs="Tahoma"/>
          <w:sz w:val="24"/>
          <w:szCs w:val="24"/>
        </w:rPr>
        <w:t xml:space="preserve"> y en tal virtud le sean aplicados los efectos pensionales del Acuerdo 049 de 1990,</w:t>
      </w:r>
      <w:r w:rsidR="00672105" w:rsidRPr="008C1FFE">
        <w:rPr>
          <w:rFonts w:ascii="Tahoma" w:eastAsia="Tahoma" w:hAnsi="Tahoma" w:cs="Tahoma"/>
          <w:sz w:val="24"/>
          <w:szCs w:val="24"/>
        </w:rPr>
        <w:t xml:space="preserve"> ya que al 1 de abril de 1990 tenía m</w:t>
      </w:r>
      <w:r w:rsidR="0037339A" w:rsidRPr="008C1FFE">
        <w:rPr>
          <w:rFonts w:ascii="Tahoma" w:eastAsia="Tahoma" w:hAnsi="Tahoma" w:cs="Tahoma"/>
          <w:sz w:val="24"/>
          <w:szCs w:val="24"/>
        </w:rPr>
        <w:t>á</w:t>
      </w:r>
      <w:r w:rsidR="00672105" w:rsidRPr="008C1FFE">
        <w:rPr>
          <w:rFonts w:ascii="Tahoma" w:eastAsia="Tahoma" w:hAnsi="Tahoma" w:cs="Tahoma"/>
          <w:sz w:val="24"/>
          <w:szCs w:val="24"/>
        </w:rPr>
        <w:t>s de 40 años de edad y había cotizado 1.007 semanas</w:t>
      </w:r>
      <w:r w:rsidR="00C84439" w:rsidRPr="008C1FFE">
        <w:rPr>
          <w:rFonts w:ascii="Tahoma" w:eastAsia="Tahoma" w:hAnsi="Tahoma" w:cs="Tahoma"/>
          <w:sz w:val="24"/>
          <w:szCs w:val="24"/>
        </w:rPr>
        <w:t xml:space="preserve">, en razón de lo cual tiene derecho a que se reconozca y pague </w:t>
      </w:r>
      <w:r w:rsidR="00052D3A" w:rsidRPr="008C1FFE">
        <w:rPr>
          <w:rFonts w:ascii="Tahoma" w:eastAsia="Tahoma" w:hAnsi="Tahoma" w:cs="Tahoma"/>
          <w:sz w:val="24"/>
          <w:szCs w:val="24"/>
        </w:rPr>
        <w:t>la pensión de vejez a partir del 1 de julio de 2012</w:t>
      </w:r>
      <w:r w:rsidR="00D21B85" w:rsidRPr="008C1FFE">
        <w:rPr>
          <w:rFonts w:ascii="Tahoma" w:eastAsia="Tahoma" w:hAnsi="Tahoma" w:cs="Tahoma"/>
          <w:sz w:val="24"/>
          <w:szCs w:val="24"/>
        </w:rPr>
        <w:t>,</w:t>
      </w:r>
      <w:r w:rsidR="0037339A" w:rsidRPr="008C1FFE">
        <w:rPr>
          <w:rFonts w:ascii="Tahoma" w:eastAsia="Tahoma" w:hAnsi="Tahoma" w:cs="Tahoma"/>
          <w:sz w:val="24"/>
          <w:szCs w:val="24"/>
        </w:rPr>
        <w:t xml:space="preserve"> </w:t>
      </w:r>
      <w:r w:rsidR="00C17575" w:rsidRPr="008C1FFE">
        <w:rPr>
          <w:rFonts w:ascii="Tahoma" w:eastAsia="Tahoma" w:hAnsi="Tahoma" w:cs="Tahoma"/>
          <w:sz w:val="24"/>
          <w:szCs w:val="24"/>
        </w:rPr>
        <w:t>con ingreso base de liquidación de los últimos 10 años de cotización y una tasa de reemplazo del 90%</w:t>
      </w:r>
      <w:r w:rsidR="00F3678F" w:rsidRPr="008C1FFE">
        <w:rPr>
          <w:rFonts w:ascii="Tahoma" w:eastAsia="Tahoma" w:hAnsi="Tahoma" w:cs="Tahoma"/>
          <w:sz w:val="24"/>
          <w:szCs w:val="24"/>
        </w:rPr>
        <w:t>,</w:t>
      </w:r>
      <w:r w:rsidR="00D21B85" w:rsidRPr="008C1FFE">
        <w:rPr>
          <w:rFonts w:ascii="Tahoma" w:eastAsia="Tahoma" w:hAnsi="Tahoma" w:cs="Tahoma"/>
          <w:sz w:val="24"/>
          <w:szCs w:val="24"/>
        </w:rPr>
        <w:t xml:space="preserve"> junto con los intereses moratorios preceptuados en el artículo 141 de la Ley 100 de 1993</w:t>
      </w:r>
      <w:r w:rsidR="00126C07" w:rsidRPr="008C1FFE">
        <w:rPr>
          <w:rFonts w:ascii="Tahoma" w:eastAsia="Tahoma" w:hAnsi="Tahoma" w:cs="Tahoma"/>
          <w:sz w:val="24"/>
          <w:szCs w:val="24"/>
        </w:rPr>
        <w:t>, a cargo de Protección S.A</w:t>
      </w:r>
      <w:r w:rsidR="00B44B4B" w:rsidRPr="008C1FFE">
        <w:rPr>
          <w:rFonts w:ascii="Tahoma" w:eastAsia="Tahoma" w:hAnsi="Tahoma" w:cs="Tahoma"/>
          <w:sz w:val="24"/>
          <w:szCs w:val="24"/>
        </w:rPr>
        <w:t xml:space="preserve">, </w:t>
      </w:r>
      <w:r w:rsidR="00126C07" w:rsidRPr="008C1FFE">
        <w:rPr>
          <w:rFonts w:ascii="Tahoma" w:eastAsia="Tahoma" w:hAnsi="Tahoma" w:cs="Tahoma"/>
          <w:sz w:val="24"/>
          <w:szCs w:val="24"/>
        </w:rPr>
        <w:t>o</w:t>
      </w:r>
      <w:r w:rsidR="00F3678F" w:rsidRPr="008C1FFE">
        <w:rPr>
          <w:rFonts w:ascii="Tahoma" w:eastAsia="Tahoma" w:hAnsi="Tahoma" w:cs="Tahoma"/>
          <w:sz w:val="24"/>
          <w:szCs w:val="24"/>
        </w:rPr>
        <w:t xml:space="preserve"> Colpensiones</w:t>
      </w:r>
      <w:r w:rsidR="00B44B4B" w:rsidRPr="008C1FFE">
        <w:rPr>
          <w:rFonts w:ascii="Tahoma" w:eastAsia="Tahoma" w:hAnsi="Tahoma" w:cs="Tahoma"/>
          <w:sz w:val="24"/>
          <w:szCs w:val="24"/>
        </w:rPr>
        <w:t xml:space="preserve">, </w:t>
      </w:r>
      <w:r w:rsidR="00F3678F" w:rsidRPr="008C1FFE">
        <w:rPr>
          <w:rFonts w:ascii="Tahoma" w:eastAsia="Tahoma" w:hAnsi="Tahoma" w:cs="Tahoma"/>
          <w:sz w:val="24"/>
          <w:szCs w:val="24"/>
        </w:rPr>
        <w:t>y</w:t>
      </w:r>
      <w:r w:rsidR="0075721F" w:rsidRPr="008C1FFE">
        <w:rPr>
          <w:rFonts w:ascii="Tahoma" w:eastAsia="Tahoma" w:hAnsi="Tahoma" w:cs="Tahoma"/>
          <w:sz w:val="24"/>
          <w:szCs w:val="24"/>
        </w:rPr>
        <w:t xml:space="preserve"> en su defecto la indexación</w:t>
      </w:r>
      <w:r w:rsidR="00BD04E2" w:rsidRPr="008C1FFE">
        <w:rPr>
          <w:rFonts w:ascii="Tahoma" w:eastAsia="Tahoma" w:hAnsi="Tahoma" w:cs="Tahoma"/>
          <w:sz w:val="24"/>
          <w:szCs w:val="24"/>
        </w:rPr>
        <w:t>, aunado a las costas procesales.</w:t>
      </w:r>
    </w:p>
    <w:p w14:paraId="7D310027" w14:textId="77777777" w:rsidR="0025037F" w:rsidRPr="008C1FFE" w:rsidRDefault="0025037F" w:rsidP="008C1FFE">
      <w:pPr>
        <w:spacing w:after="0" w:line="276" w:lineRule="auto"/>
        <w:jc w:val="both"/>
        <w:rPr>
          <w:rFonts w:ascii="Tahoma" w:eastAsia="Tahoma" w:hAnsi="Tahoma" w:cs="Tahoma"/>
          <w:sz w:val="24"/>
          <w:szCs w:val="24"/>
          <w:lang w:val="es"/>
        </w:rPr>
      </w:pPr>
    </w:p>
    <w:p w14:paraId="110AC9AF" w14:textId="0FBF4DF1" w:rsidR="005F327D" w:rsidRPr="008C1FFE" w:rsidRDefault="0025037F" w:rsidP="008C1FFE">
      <w:pPr>
        <w:spacing w:after="0" w:line="276" w:lineRule="auto"/>
        <w:ind w:firstLine="708"/>
        <w:jc w:val="both"/>
        <w:rPr>
          <w:rFonts w:ascii="Tahoma" w:eastAsia="Tahoma" w:hAnsi="Tahoma" w:cs="Tahoma"/>
          <w:sz w:val="24"/>
          <w:szCs w:val="24"/>
          <w:lang w:val="es"/>
        </w:rPr>
      </w:pPr>
      <w:r w:rsidRPr="008C1FFE">
        <w:rPr>
          <w:rFonts w:ascii="Tahoma" w:eastAsia="Tahoma" w:hAnsi="Tahoma" w:cs="Tahoma"/>
          <w:sz w:val="24"/>
          <w:szCs w:val="24"/>
          <w:lang w:val="es"/>
        </w:rPr>
        <w:t xml:space="preserve">Como sustento de lo peticionado relata que nació el día </w:t>
      </w:r>
      <w:bookmarkStart w:id="4" w:name="_Hlk85126655"/>
      <w:r w:rsidR="005F327D" w:rsidRPr="008C1FFE">
        <w:rPr>
          <w:rFonts w:ascii="Tahoma" w:eastAsia="Tahoma" w:hAnsi="Tahoma" w:cs="Tahoma"/>
          <w:sz w:val="24"/>
          <w:szCs w:val="24"/>
          <w:lang w:val="es"/>
        </w:rPr>
        <w:t>01</w:t>
      </w:r>
      <w:r w:rsidRPr="008C1FFE">
        <w:rPr>
          <w:rFonts w:ascii="Tahoma" w:eastAsia="Tahoma" w:hAnsi="Tahoma" w:cs="Tahoma"/>
          <w:sz w:val="24"/>
          <w:szCs w:val="24"/>
          <w:lang w:val="es"/>
        </w:rPr>
        <w:t xml:space="preserve"> de </w:t>
      </w:r>
      <w:r w:rsidR="005A51B7" w:rsidRPr="008C1FFE">
        <w:rPr>
          <w:rFonts w:ascii="Tahoma" w:eastAsia="Tahoma" w:hAnsi="Tahoma" w:cs="Tahoma"/>
          <w:sz w:val="24"/>
          <w:szCs w:val="24"/>
          <w:lang w:val="es"/>
        </w:rPr>
        <w:t>mayo de 19</w:t>
      </w:r>
      <w:r w:rsidR="005F327D" w:rsidRPr="008C1FFE">
        <w:rPr>
          <w:rFonts w:ascii="Tahoma" w:eastAsia="Tahoma" w:hAnsi="Tahoma" w:cs="Tahoma"/>
          <w:sz w:val="24"/>
          <w:szCs w:val="24"/>
          <w:lang w:val="es"/>
        </w:rPr>
        <w:t>52</w:t>
      </w:r>
      <w:r w:rsidR="00E6695C" w:rsidRPr="008C1FFE">
        <w:rPr>
          <w:rFonts w:ascii="Tahoma" w:eastAsia="Tahoma" w:hAnsi="Tahoma" w:cs="Tahoma"/>
          <w:sz w:val="24"/>
          <w:szCs w:val="24"/>
          <w:lang w:val="es"/>
        </w:rPr>
        <w:t>,</w:t>
      </w:r>
      <w:bookmarkEnd w:id="4"/>
    </w:p>
    <w:p w14:paraId="79E27BCA" w14:textId="47DDBE6A" w:rsidR="00FF0D00" w:rsidRPr="008C1FFE" w:rsidRDefault="00161370" w:rsidP="008C1FFE">
      <w:pPr>
        <w:spacing w:after="0" w:line="276" w:lineRule="auto"/>
        <w:jc w:val="both"/>
        <w:rPr>
          <w:rFonts w:ascii="Tahoma" w:eastAsia="Tahoma" w:hAnsi="Tahoma" w:cs="Tahoma"/>
          <w:sz w:val="24"/>
          <w:szCs w:val="24"/>
          <w:lang w:val="es"/>
        </w:rPr>
      </w:pPr>
      <w:r w:rsidRPr="008C1FFE">
        <w:rPr>
          <w:rFonts w:ascii="Tahoma" w:eastAsia="Tahoma" w:hAnsi="Tahoma" w:cs="Tahoma"/>
          <w:sz w:val="24"/>
          <w:szCs w:val="24"/>
          <w:lang w:val="es"/>
        </w:rPr>
        <w:t>afili</w:t>
      </w:r>
      <w:r w:rsidR="00E6695C" w:rsidRPr="008C1FFE">
        <w:rPr>
          <w:rFonts w:ascii="Tahoma" w:eastAsia="Tahoma" w:hAnsi="Tahoma" w:cs="Tahoma"/>
          <w:sz w:val="24"/>
          <w:szCs w:val="24"/>
          <w:lang w:val="es"/>
        </w:rPr>
        <w:t>ándose</w:t>
      </w:r>
      <w:r w:rsidRPr="008C1FFE">
        <w:rPr>
          <w:rFonts w:ascii="Tahoma" w:eastAsia="Tahoma" w:hAnsi="Tahoma" w:cs="Tahoma"/>
          <w:sz w:val="24"/>
          <w:szCs w:val="24"/>
          <w:lang w:val="es"/>
        </w:rPr>
        <w:t xml:space="preserve"> e</w:t>
      </w:r>
      <w:r w:rsidR="00FF0D00" w:rsidRPr="008C1FFE">
        <w:rPr>
          <w:rFonts w:ascii="Tahoma" w:eastAsia="Tahoma" w:hAnsi="Tahoma" w:cs="Tahoma"/>
          <w:sz w:val="24"/>
          <w:szCs w:val="24"/>
          <w:lang w:val="es"/>
        </w:rPr>
        <w:t>l 22 de</w:t>
      </w:r>
      <w:r w:rsidR="005A51B7" w:rsidRPr="008C1FFE">
        <w:rPr>
          <w:rFonts w:ascii="Tahoma" w:eastAsia="Tahoma" w:hAnsi="Tahoma" w:cs="Tahoma"/>
          <w:sz w:val="24"/>
          <w:szCs w:val="24"/>
          <w:lang w:val="es"/>
        </w:rPr>
        <w:t xml:space="preserve"> julio de 19</w:t>
      </w:r>
      <w:r w:rsidR="00FF0D00" w:rsidRPr="008C1FFE">
        <w:rPr>
          <w:rFonts w:ascii="Tahoma" w:eastAsia="Tahoma" w:hAnsi="Tahoma" w:cs="Tahoma"/>
          <w:sz w:val="24"/>
          <w:szCs w:val="24"/>
          <w:lang w:val="es"/>
        </w:rPr>
        <w:t>71</w:t>
      </w:r>
      <w:r w:rsidRPr="008C1FFE">
        <w:rPr>
          <w:rFonts w:ascii="Tahoma" w:eastAsia="Tahoma" w:hAnsi="Tahoma" w:cs="Tahoma"/>
          <w:sz w:val="24"/>
          <w:szCs w:val="24"/>
          <w:lang w:val="es"/>
        </w:rPr>
        <w:t xml:space="preserve"> al RPM</w:t>
      </w:r>
      <w:r w:rsidR="00447135" w:rsidRPr="008C1FFE">
        <w:rPr>
          <w:rFonts w:ascii="Tahoma" w:eastAsia="Tahoma" w:hAnsi="Tahoma" w:cs="Tahoma"/>
          <w:sz w:val="24"/>
          <w:szCs w:val="24"/>
          <w:lang w:val="es"/>
        </w:rPr>
        <w:t xml:space="preserve">, </w:t>
      </w:r>
      <w:r w:rsidR="00CB6E2B" w:rsidRPr="008C1FFE">
        <w:rPr>
          <w:rFonts w:ascii="Tahoma" w:eastAsia="Tahoma" w:hAnsi="Tahoma" w:cs="Tahoma"/>
          <w:sz w:val="24"/>
          <w:szCs w:val="24"/>
          <w:lang w:val="es"/>
        </w:rPr>
        <w:t xml:space="preserve">y que al 1 de abril </w:t>
      </w:r>
      <w:r w:rsidR="003570BE" w:rsidRPr="008C1FFE">
        <w:rPr>
          <w:rFonts w:ascii="Tahoma" w:eastAsia="Tahoma" w:hAnsi="Tahoma" w:cs="Tahoma"/>
          <w:sz w:val="24"/>
          <w:szCs w:val="24"/>
          <w:lang w:val="es"/>
        </w:rPr>
        <w:t xml:space="preserve">tenía un total de </w:t>
      </w:r>
      <w:r w:rsidR="00CB6E2B" w:rsidRPr="008C1FFE">
        <w:rPr>
          <w:rFonts w:ascii="Tahoma" w:eastAsia="Tahoma" w:hAnsi="Tahoma" w:cs="Tahoma"/>
          <w:sz w:val="24"/>
          <w:szCs w:val="24"/>
          <w:lang w:val="es"/>
        </w:rPr>
        <w:t>1.007 semanas cotizadas</w:t>
      </w:r>
      <w:r w:rsidR="0087014F" w:rsidRPr="008C1FFE">
        <w:rPr>
          <w:rFonts w:ascii="Tahoma" w:eastAsia="Tahoma" w:hAnsi="Tahoma" w:cs="Tahoma"/>
          <w:sz w:val="24"/>
          <w:szCs w:val="24"/>
          <w:lang w:val="es"/>
        </w:rPr>
        <w:t>.</w:t>
      </w:r>
    </w:p>
    <w:p w14:paraId="47AA1C12" w14:textId="77777777" w:rsidR="00447135" w:rsidRPr="008C1FFE" w:rsidRDefault="00447135" w:rsidP="008C1FFE">
      <w:pPr>
        <w:spacing w:after="0" w:line="276" w:lineRule="auto"/>
        <w:jc w:val="both"/>
        <w:rPr>
          <w:rFonts w:ascii="Tahoma" w:eastAsia="Tahoma" w:hAnsi="Tahoma" w:cs="Tahoma"/>
          <w:sz w:val="24"/>
          <w:szCs w:val="24"/>
          <w:lang w:val="es"/>
        </w:rPr>
      </w:pPr>
    </w:p>
    <w:p w14:paraId="14F97755" w14:textId="7D41A7AE" w:rsidR="00B6224E" w:rsidRPr="008C1FFE" w:rsidRDefault="00447135" w:rsidP="008C1FFE">
      <w:pPr>
        <w:spacing w:after="0" w:line="276" w:lineRule="auto"/>
        <w:ind w:firstLine="708"/>
        <w:jc w:val="both"/>
        <w:rPr>
          <w:rFonts w:ascii="Tahoma" w:eastAsia="Tahoma" w:hAnsi="Tahoma" w:cs="Tahoma"/>
          <w:sz w:val="24"/>
          <w:szCs w:val="24"/>
          <w:lang w:val="es"/>
        </w:rPr>
      </w:pPr>
      <w:r w:rsidRPr="008C1FFE">
        <w:rPr>
          <w:rFonts w:ascii="Tahoma" w:eastAsia="Tahoma" w:hAnsi="Tahoma" w:cs="Tahoma"/>
          <w:sz w:val="24"/>
          <w:szCs w:val="24"/>
          <w:lang w:val="es"/>
        </w:rPr>
        <w:t xml:space="preserve">Refiere que </w:t>
      </w:r>
      <w:r w:rsidR="009478F9" w:rsidRPr="008C1FFE">
        <w:rPr>
          <w:rFonts w:ascii="Tahoma" w:eastAsia="Tahoma" w:hAnsi="Tahoma" w:cs="Tahoma"/>
          <w:sz w:val="24"/>
          <w:szCs w:val="24"/>
          <w:lang w:val="es"/>
        </w:rPr>
        <w:t xml:space="preserve">el </w:t>
      </w:r>
      <w:r w:rsidR="00F31056" w:rsidRPr="008C1FFE">
        <w:rPr>
          <w:rFonts w:ascii="Tahoma" w:eastAsia="Tahoma" w:hAnsi="Tahoma" w:cs="Tahoma"/>
          <w:sz w:val="24"/>
          <w:szCs w:val="24"/>
          <w:lang w:val="es"/>
        </w:rPr>
        <w:t>1 de noviembre de 1994 se traslad</w:t>
      </w:r>
      <w:r w:rsidR="00C032D8" w:rsidRPr="008C1FFE">
        <w:rPr>
          <w:rFonts w:ascii="Tahoma" w:eastAsia="Tahoma" w:hAnsi="Tahoma" w:cs="Tahoma"/>
          <w:sz w:val="24"/>
          <w:szCs w:val="24"/>
          <w:lang w:val="es"/>
        </w:rPr>
        <w:t>ó</w:t>
      </w:r>
      <w:r w:rsidR="00F31056" w:rsidRPr="008C1FFE">
        <w:rPr>
          <w:rFonts w:ascii="Tahoma" w:eastAsia="Tahoma" w:hAnsi="Tahoma" w:cs="Tahoma"/>
          <w:sz w:val="24"/>
          <w:szCs w:val="24"/>
          <w:lang w:val="es"/>
        </w:rPr>
        <w:t xml:space="preserve"> por medio de Protección S.A a</w:t>
      </w:r>
      <w:r w:rsidR="00C032D8" w:rsidRPr="008C1FFE">
        <w:rPr>
          <w:rFonts w:ascii="Tahoma" w:eastAsia="Tahoma" w:hAnsi="Tahoma" w:cs="Tahoma"/>
          <w:sz w:val="24"/>
          <w:szCs w:val="24"/>
          <w:lang w:val="es"/>
        </w:rPr>
        <w:t>l Régimen de Ahorro Individual con Solidaridad</w:t>
      </w:r>
      <w:r w:rsidR="007A045D" w:rsidRPr="008C1FFE">
        <w:rPr>
          <w:rFonts w:ascii="Tahoma" w:eastAsia="Tahoma" w:hAnsi="Tahoma" w:cs="Tahoma"/>
          <w:sz w:val="24"/>
          <w:szCs w:val="24"/>
          <w:lang w:val="es"/>
        </w:rPr>
        <w:t xml:space="preserve">, sin que </w:t>
      </w:r>
      <w:r w:rsidR="00FF482A" w:rsidRPr="008C1FFE">
        <w:rPr>
          <w:rFonts w:ascii="Tahoma" w:eastAsia="Tahoma" w:hAnsi="Tahoma" w:cs="Tahoma"/>
          <w:sz w:val="24"/>
          <w:szCs w:val="24"/>
          <w:lang w:val="es"/>
        </w:rPr>
        <w:t>aquella le</w:t>
      </w:r>
      <w:r w:rsidR="007A045D" w:rsidRPr="008C1FFE">
        <w:rPr>
          <w:rFonts w:ascii="Tahoma" w:eastAsia="Tahoma" w:hAnsi="Tahoma" w:cs="Tahoma"/>
          <w:sz w:val="24"/>
          <w:szCs w:val="24"/>
          <w:lang w:val="es"/>
        </w:rPr>
        <w:t xml:space="preserve"> hubiera suministrado</w:t>
      </w:r>
      <w:r w:rsidR="00E80AE2" w:rsidRPr="008C1FFE">
        <w:rPr>
          <w:rFonts w:ascii="Tahoma" w:eastAsia="Tahoma" w:hAnsi="Tahoma" w:cs="Tahoma"/>
          <w:sz w:val="24"/>
          <w:szCs w:val="24"/>
          <w:lang w:val="es"/>
        </w:rPr>
        <w:t xml:space="preserve"> </w:t>
      </w:r>
      <w:r w:rsidR="007A045D" w:rsidRPr="008C1FFE">
        <w:rPr>
          <w:rFonts w:ascii="Tahoma" w:eastAsia="Tahoma" w:hAnsi="Tahoma" w:cs="Tahoma"/>
          <w:sz w:val="24"/>
          <w:szCs w:val="24"/>
          <w:lang w:val="es"/>
        </w:rPr>
        <w:t xml:space="preserve">la </w:t>
      </w:r>
      <w:r w:rsidR="00C321B7" w:rsidRPr="008C1FFE">
        <w:rPr>
          <w:rFonts w:ascii="Tahoma" w:eastAsia="Tahoma" w:hAnsi="Tahoma" w:cs="Tahoma"/>
          <w:sz w:val="24"/>
          <w:szCs w:val="24"/>
          <w:lang w:val="es"/>
        </w:rPr>
        <w:t>información</w:t>
      </w:r>
      <w:r w:rsidR="007A045D" w:rsidRPr="008C1FFE">
        <w:rPr>
          <w:rFonts w:ascii="Tahoma" w:eastAsia="Tahoma" w:hAnsi="Tahoma" w:cs="Tahoma"/>
          <w:sz w:val="24"/>
          <w:szCs w:val="24"/>
          <w:lang w:val="es"/>
        </w:rPr>
        <w:t xml:space="preserve"> </w:t>
      </w:r>
      <w:r w:rsidR="00B6224E" w:rsidRPr="008C1FFE">
        <w:rPr>
          <w:rFonts w:ascii="Tahoma" w:eastAsia="Tahoma" w:hAnsi="Tahoma" w:cs="Tahoma"/>
          <w:sz w:val="24"/>
          <w:szCs w:val="24"/>
          <w:lang w:val="es"/>
        </w:rPr>
        <w:t>adecuada, suficiente, clara, comprensible y cierta respecto de las consecuencias legales y económicas que tendría con su cambio de régimen pensional.</w:t>
      </w:r>
    </w:p>
    <w:p w14:paraId="1052C65C" w14:textId="77777777" w:rsidR="00447135" w:rsidRPr="008C1FFE" w:rsidRDefault="00447135" w:rsidP="008C1FFE">
      <w:pPr>
        <w:spacing w:after="0" w:line="276" w:lineRule="auto"/>
        <w:jc w:val="both"/>
        <w:rPr>
          <w:rFonts w:ascii="Tahoma" w:eastAsia="Tahoma" w:hAnsi="Tahoma" w:cs="Tahoma"/>
          <w:sz w:val="24"/>
          <w:szCs w:val="24"/>
          <w:lang w:val="es"/>
        </w:rPr>
      </w:pPr>
    </w:p>
    <w:p w14:paraId="37D4975A" w14:textId="6D5E6076" w:rsidR="00D3062B" w:rsidRPr="008C1FFE" w:rsidRDefault="00D3062B" w:rsidP="008C1FFE">
      <w:pPr>
        <w:spacing w:after="0" w:line="276" w:lineRule="auto"/>
        <w:ind w:firstLine="708"/>
        <w:jc w:val="both"/>
        <w:rPr>
          <w:rFonts w:ascii="Tahoma" w:eastAsia="Tahoma" w:hAnsi="Tahoma" w:cs="Tahoma"/>
          <w:sz w:val="24"/>
          <w:szCs w:val="24"/>
          <w:lang w:val="es"/>
        </w:rPr>
      </w:pPr>
      <w:r w:rsidRPr="008C1FFE">
        <w:rPr>
          <w:rFonts w:ascii="Tahoma" w:eastAsia="Tahoma" w:hAnsi="Tahoma" w:cs="Tahoma"/>
          <w:sz w:val="24"/>
          <w:szCs w:val="24"/>
          <w:lang w:val="es"/>
        </w:rPr>
        <w:lastRenderedPageBreak/>
        <w:t xml:space="preserve">Por último, </w:t>
      </w:r>
      <w:r w:rsidR="00F758A6" w:rsidRPr="008C1FFE">
        <w:rPr>
          <w:rFonts w:ascii="Tahoma" w:eastAsia="Tahoma" w:hAnsi="Tahoma" w:cs="Tahoma"/>
          <w:sz w:val="24"/>
          <w:szCs w:val="24"/>
          <w:lang w:val="es"/>
        </w:rPr>
        <w:t xml:space="preserve">informa </w:t>
      </w:r>
      <w:r w:rsidRPr="008C1FFE">
        <w:rPr>
          <w:rFonts w:ascii="Tahoma" w:eastAsia="Tahoma" w:hAnsi="Tahoma" w:cs="Tahoma"/>
          <w:sz w:val="24"/>
          <w:szCs w:val="24"/>
          <w:lang w:val="es"/>
        </w:rPr>
        <w:t>que el</w:t>
      </w:r>
      <w:r w:rsidR="007158AB" w:rsidRPr="008C1FFE">
        <w:rPr>
          <w:rFonts w:ascii="Tahoma" w:eastAsia="Tahoma" w:hAnsi="Tahoma" w:cs="Tahoma"/>
          <w:sz w:val="24"/>
          <w:szCs w:val="24"/>
          <w:lang w:val="es"/>
        </w:rPr>
        <w:t xml:space="preserve"> </w:t>
      </w:r>
      <w:r w:rsidR="004454C0" w:rsidRPr="008C1FFE">
        <w:rPr>
          <w:rFonts w:ascii="Tahoma" w:eastAsia="Tahoma" w:hAnsi="Tahoma" w:cs="Tahoma"/>
          <w:sz w:val="24"/>
          <w:szCs w:val="24"/>
          <w:lang w:val="es"/>
        </w:rPr>
        <w:t>2</w:t>
      </w:r>
      <w:r w:rsidR="00F4747C" w:rsidRPr="008C1FFE">
        <w:rPr>
          <w:rFonts w:ascii="Tahoma" w:eastAsia="Tahoma" w:hAnsi="Tahoma" w:cs="Tahoma"/>
          <w:sz w:val="24"/>
          <w:szCs w:val="24"/>
          <w:lang w:val="es"/>
        </w:rPr>
        <w:t>7</w:t>
      </w:r>
      <w:r w:rsidR="00E80AE2" w:rsidRPr="008C1FFE">
        <w:rPr>
          <w:rFonts w:ascii="Tahoma" w:eastAsia="Tahoma" w:hAnsi="Tahoma" w:cs="Tahoma"/>
          <w:sz w:val="24"/>
          <w:szCs w:val="24"/>
          <w:lang w:val="es"/>
        </w:rPr>
        <w:t xml:space="preserve"> de junio de 2018, </w:t>
      </w:r>
      <w:r w:rsidR="00B800B9" w:rsidRPr="008C1FFE">
        <w:rPr>
          <w:rFonts w:ascii="Tahoma" w:eastAsia="Tahoma" w:hAnsi="Tahoma" w:cs="Tahoma"/>
          <w:sz w:val="24"/>
          <w:szCs w:val="24"/>
          <w:lang w:val="es"/>
        </w:rPr>
        <w:t xml:space="preserve">Colpensiones negó </w:t>
      </w:r>
      <w:r w:rsidR="00F758A6" w:rsidRPr="008C1FFE">
        <w:rPr>
          <w:rFonts w:ascii="Tahoma" w:eastAsia="Tahoma" w:hAnsi="Tahoma" w:cs="Tahoma"/>
          <w:sz w:val="24"/>
          <w:szCs w:val="24"/>
          <w:lang w:val="es"/>
        </w:rPr>
        <w:t>su</w:t>
      </w:r>
      <w:r w:rsidR="00B800B9" w:rsidRPr="008C1FFE">
        <w:rPr>
          <w:rFonts w:ascii="Tahoma" w:eastAsia="Tahoma" w:hAnsi="Tahoma" w:cs="Tahoma"/>
          <w:sz w:val="24"/>
          <w:szCs w:val="24"/>
          <w:lang w:val="es"/>
        </w:rPr>
        <w:t xml:space="preserve"> solicitud </w:t>
      </w:r>
      <w:r w:rsidR="00F758A6" w:rsidRPr="008C1FFE">
        <w:rPr>
          <w:rFonts w:ascii="Tahoma" w:eastAsia="Tahoma" w:hAnsi="Tahoma" w:cs="Tahoma"/>
          <w:sz w:val="24"/>
          <w:szCs w:val="24"/>
          <w:lang w:val="es"/>
        </w:rPr>
        <w:t xml:space="preserve">de traslado bajo el argumento de que </w:t>
      </w:r>
      <w:r w:rsidR="00B800B9" w:rsidRPr="008C1FFE">
        <w:rPr>
          <w:rFonts w:ascii="Tahoma" w:eastAsia="Tahoma" w:hAnsi="Tahoma" w:cs="Tahoma"/>
          <w:sz w:val="24"/>
          <w:szCs w:val="24"/>
          <w:lang w:val="es"/>
        </w:rPr>
        <w:t>se encontraba a diez años o menos del requisito de tiempo para pensionarse.</w:t>
      </w:r>
    </w:p>
    <w:p w14:paraId="012BD596" w14:textId="6F852510" w:rsidR="00D3062B" w:rsidRPr="008C1FFE" w:rsidRDefault="00D3062B" w:rsidP="008C1FFE">
      <w:pPr>
        <w:spacing w:after="0" w:line="276" w:lineRule="auto"/>
        <w:jc w:val="both"/>
        <w:rPr>
          <w:rFonts w:ascii="Tahoma" w:eastAsia="Tahoma" w:hAnsi="Tahoma" w:cs="Tahoma"/>
          <w:sz w:val="24"/>
          <w:szCs w:val="24"/>
          <w:lang w:val="es"/>
        </w:rPr>
      </w:pPr>
    </w:p>
    <w:p w14:paraId="606989E1" w14:textId="25EE35E6" w:rsidR="006A5BC1" w:rsidRPr="008C1FFE" w:rsidRDefault="006A5BC1" w:rsidP="008C1FFE">
      <w:pPr>
        <w:spacing w:after="0" w:line="276" w:lineRule="auto"/>
        <w:ind w:firstLine="708"/>
        <w:jc w:val="both"/>
        <w:rPr>
          <w:rFonts w:ascii="Tahoma" w:eastAsia="Tahoma" w:hAnsi="Tahoma" w:cs="Tahoma"/>
          <w:bCs/>
          <w:i/>
          <w:iCs/>
          <w:sz w:val="24"/>
          <w:szCs w:val="24"/>
          <w:lang w:val="es"/>
        </w:rPr>
      </w:pPr>
      <w:r w:rsidRPr="008C1FFE">
        <w:rPr>
          <w:rFonts w:ascii="Tahoma" w:eastAsia="Tahoma" w:hAnsi="Tahoma" w:cs="Tahoma"/>
          <w:b/>
          <w:bCs/>
          <w:sz w:val="24"/>
          <w:szCs w:val="24"/>
          <w:lang w:val="es"/>
        </w:rPr>
        <w:t xml:space="preserve">Colpensiones </w:t>
      </w:r>
      <w:r w:rsidRPr="008C1FFE">
        <w:rPr>
          <w:rFonts w:ascii="Tahoma" w:eastAsia="Tahoma" w:hAnsi="Tahoma" w:cs="Tahoma"/>
          <w:sz w:val="24"/>
          <w:szCs w:val="24"/>
          <w:lang w:val="es"/>
        </w:rPr>
        <w:t xml:space="preserve">se opuso a lo pretendido por la parte demandante indicando que </w:t>
      </w:r>
      <w:r w:rsidR="00182C66" w:rsidRPr="008C1FFE">
        <w:rPr>
          <w:rFonts w:ascii="Tahoma" w:eastAsia="Tahoma" w:hAnsi="Tahoma" w:cs="Tahoma"/>
          <w:sz w:val="24"/>
          <w:szCs w:val="24"/>
          <w:lang w:val="es"/>
        </w:rPr>
        <w:t xml:space="preserve">el demandante no era beneficiario del régimen de transición y la afiliación efectuada a </w:t>
      </w:r>
      <w:r w:rsidR="00EC54B6" w:rsidRPr="008C1FFE">
        <w:rPr>
          <w:rFonts w:ascii="Tahoma" w:eastAsia="Tahoma" w:hAnsi="Tahoma" w:cs="Tahoma"/>
          <w:sz w:val="24"/>
          <w:szCs w:val="24"/>
          <w:lang w:val="es"/>
        </w:rPr>
        <w:t>través</w:t>
      </w:r>
      <w:r w:rsidR="00182C66" w:rsidRPr="008C1FFE">
        <w:rPr>
          <w:rFonts w:ascii="Tahoma" w:eastAsia="Tahoma" w:hAnsi="Tahoma" w:cs="Tahoma"/>
          <w:sz w:val="24"/>
          <w:szCs w:val="24"/>
          <w:lang w:val="es"/>
        </w:rPr>
        <w:t xml:space="preserve"> de </w:t>
      </w:r>
      <w:r w:rsidR="00EC54B6" w:rsidRPr="008C1FFE">
        <w:rPr>
          <w:rFonts w:ascii="Tahoma" w:eastAsia="Tahoma" w:hAnsi="Tahoma" w:cs="Tahoma"/>
          <w:sz w:val="24"/>
          <w:szCs w:val="24"/>
          <w:lang w:val="es"/>
        </w:rPr>
        <w:t>Protección</w:t>
      </w:r>
      <w:r w:rsidR="00182C66" w:rsidRPr="008C1FFE">
        <w:rPr>
          <w:rFonts w:ascii="Tahoma" w:eastAsia="Tahoma" w:hAnsi="Tahoma" w:cs="Tahoma"/>
          <w:sz w:val="24"/>
          <w:szCs w:val="24"/>
          <w:lang w:val="es"/>
        </w:rPr>
        <w:t xml:space="preserve"> S.A</w:t>
      </w:r>
      <w:r w:rsidR="00D27B88" w:rsidRPr="008C1FFE">
        <w:rPr>
          <w:rFonts w:ascii="Tahoma" w:eastAsia="Tahoma" w:hAnsi="Tahoma" w:cs="Tahoma"/>
          <w:sz w:val="24"/>
          <w:szCs w:val="24"/>
          <w:lang w:val="es"/>
        </w:rPr>
        <w:t xml:space="preserve"> fue conforme a los parámetros legal </w:t>
      </w:r>
      <w:r w:rsidR="00236D73" w:rsidRPr="008C1FFE">
        <w:rPr>
          <w:rFonts w:ascii="Tahoma" w:eastAsia="Tahoma" w:hAnsi="Tahoma" w:cs="Tahoma"/>
          <w:sz w:val="24"/>
          <w:szCs w:val="24"/>
          <w:lang w:val="es"/>
        </w:rPr>
        <w:t>vigentes, además</w:t>
      </w:r>
      <w:r w:rsidR="00D27B88" w:rsidRPr="008C1FFE">
        <w:rPr>
          <w:rFonts w:ascii="Tahoma" w:eastAsia="Tahoma" w:hAnsi="Tahoma" w:cs="Tahoma"/>
          <w:sz w:val="24"/>
          <w:szCs w:val="24"/>
          <w:lang w:val="es"/>
        </w:rPr>
        <w:t xml:space="preserve"> de que el actor no ejerció su derecho de retracto</w:t>
      </w:r>
      <w:r w:rsidR="008172CE" w:rsidRPr="008C1FFE">
        <w:rPr>
          <w:rFonts w:ascii="Tahoma" w:eastAsia="Tahoma" w:hAnsi="Tahoma" w:cs="Tahoma"/>
          <w:sz w:val="24"/>
          <w:szCs w:val="24"/>
          <w:lang w:val="es"/>
        </w:rPr>
        <w:t xml:space="preserve">, en razón de lo cual, </w:t>
      </w:r>
      <w:r w:rsidR="00470FD1" w:rsidRPr="008C1FFE">
        <w:rPr>
          <w:rFonts w:ascii="Tahoma" w:eastAsia="Tahoma" w:hAnsi="Tahoma" w:cs="Tahoma"/>
          <w:sz w:val="24"/>
          <w:szCs w:val="24"/>
          <w:lang w:val="es"/>
        </w:rPr>
        <w:t xml:space="preserve">no se evidencia engaño alguno o motivo para que se declare la nulidad del traslado, </w:t>
      </w:r>
      <w:r w:rsidR="004E1372" w:rsidRPr="008C1FFE">
        <w:rPr>
          <w:rFonts w:ascii="Tahoma" w:eastAsia="Tahoma" w:hAnsi="Tahoma" w:cs="Tahoma"/>
          <w:sz w:val="24"/>
          <w:szCs w:val="24"/>
          <w:lang w:val="es"/>
        </w:rPr>
        <w:t>c</w:t>
      </w:r>
      <w:r w:rsidR="00470FD1" w:rsidRPr="008C1FFE">
        <w:rPr>
          <w:rFonts w:ascii="Tahoma" w:eastAsia="Tahoma" w:hAnsi="Tahoma" w:cs="Tahoma"/>
          <w:sz w:val="24"/>
          <w:szCs w:val="24"/>
          <w:lang w:val="es"/>
        </w:rPr>
        <w:t xml:space="preserve">omo excepciones de mérito se formularon las de </w:t>
      </w:r>
      <w:r w:rsidR="00470FD1" w:rsidRPr="008C1FFE">
        <w:rPr>
          <w:rFonts w:ascii="Tahoma" w:eastAsia="Tahoma" w:hAnsi="Tahoma" w:cs="Tahoma"/>
          <w:bCs/>
          <w:i/>
          <w:iCs/>
          <w:sz w:val="24"/>
          <w:szCs w:val="24"/>
          <w:lang w:val="es"/>
        </w:rPr>
        <w:t>“</w:t>
      </w:r>
      <w:r w:rsidR="00CC3580" w:rsidRPr="008C1FFE">
        <w:rPr>
          <w:rFonts w:ascii="Tahoma" w:eastAsia="Tahoma" w:hAnsi="Tahoma" w:cs="Tahoma"/>
          <w:bCs/>
          <w:i/>
          <w:iCs/>
          <w:sz w:val="24"/>
          <w:szCs w:val="24"/>
          <w:lang w:val="es"/>
        </w:rPr>
        <w:t xml:space="preserve">validez de la afiliación al RAIS”, “saneamiento de una presunta nulidad”, “solicitud de traslado de dineros de gastos de administración”, “inexistencia de la obligación”, </w:t>
      </w:r>
      <w:r w:rsidR="002349B0" w:rsidRPr="008C1FFE">
        <w:rPr>
          <w:rFonts w:ascii="Tahoma" w:eastAsia="Tahoma" w:hAnsi="Tahoma" w:cs="Tahoma"/>
          <w:bCs/>
          <w:i/>
          <w:iCs/>
          <w:sz w:val="24"/>
          <w:szCs w:val="24"/>
          <w:lang w:val="es"/>
        </w:rPr>
        <w:t>“prescripción”, “imposibilidad jurídica para reconocer y pagar derechos por fuera del ordenamiento legal”, “buena fe”, “imposibilidad de condena en costas”,</w:t>
      </w:r>
      <w:r w:rsidR="006E53FE" w:rsidRPr="008C1FFE">
        <w:rPr>
          <w:rFonts w:ascii="Tahoma" w:eastAsia="Tahoma" w:hAnsi="Tahoma" w:cs="Tahoma"/>
          <w:bCs/>
          <w:i/>
          <w:iCs/>
          <w:sz w:val="24"/>
          <w:szCs w:val="24"/>
          <w:lang w:val="es"/>
        </w:rPr>
        <w:t xml:space="preserve"> </w:t>
      </w:r>
      <w:r w:rsidR="002349B0" w:rsidRPr="008C1FFE">
        <w:rPr>
          <w:rFonts w:ascii="Tahoma" w:eastAsia="Tahoma" w:hAnsi="Tahoma" w:cs="Tahoma"/>
          <w:bCs/>
          <w:i/>
          <w:iCs/>
          <w:sz w:val="24"/>
          <w:szCs w:val="24"/>
          <w:lang w:val="es"/>
        </w:rPr>
        <w:t>y</w:t>
      </w:r>
      <w:r w:rsidR="006E53FE" w:rsidRPr="008C1FFE">
        <w:rPr>
          <w:rFonts w:ascii="Tahoma" w:eastAsia="Tahoma" w:hAnsi="Tahoma" w:cs="Tahoma"/>
          <w:bCs/>
          <w:i/>
          <w:iCs/>
          <w:sz w:val="24"/>
          <w:szCs w:val="24"/>
          <w:lang w:val="es"/>
        </w:rPr>
        <w:t xml:space="preserve"> </w:t>
      </w:r>
      <w:r w:rsidR="002349B0" w:rsidRPr="008C1FFE">
        <w:rPr>
          <w:rFonts w:ascii="Tahoma" w:eastAsia="Tahoma" w:hAnsi="Tahoma" w:cs="Tahoma"/>
          <w:bCs/>
          <w:i/>
          <w:iCs/>
          <w:sz w:val="24"/>
          <w:szCs w:val="24"/>
          <w:lang w:val="es"/>
        </w:rPr>
        <w:t>“declaratoria de otras excepciones”.</w:t>
      </w:r>
    </w:p>
    <w:p w14:paraId="1324F291" w14:textId="77777777" w:rsidR="00065E38" w:rsidRPr="008C1FFE" w:rsidRDefault="00065E38" w:rsidP="008C1FFE">
      <w:pPr>
        <w:spacing w:after="0" w:line="276" w:lineRule="auto"/>
        <w:ind w:firstLine="708"/>
        <w:jc w:val="both"/>
        <w:rPr>
          <w:rFonts w:ascii="Tahoma" w:eastAsia="Tahoma" w:hAnsi="Tahoma" w:cs="Tahoma"/>
          <w:bCs/>
          <w:sz w:val="24"/>
          <w:szCs w:val="24"/>
          <w:lang w:val="es"/>
        </w:rPr>
      </w:pPr>
    </w:p>
    <w:p w14:paraId="2DB668FA" w14:textId="3229A4C4" w:rsidR="0023222F" w:rsidRPr="008C1FFE" w:rsidRDefault="00734A36" w:rsidP="008C1FFE">
      <w:pPr>
        <w:spacing w:after="0" w:line="276" w:lineRule="auto"/>
        <w:ind w:firstLine="708"/>
        <w:jc w:val="both"/>
        <w:rPr>
          <w:rFonts w:ascii="Tahoma" w:eastAsia="Tahoma" w:hAnsi="Tahoma" w:cs="Tahoma"/>
          <w:sz w:val="24"/>
          <w:szCs w:val="24"/>
          <w:lang w:val="es"/>
        </w:rPr>
      </w:pPr>
      <w:r w:rsidRPr="008C1FFE">
        <w:rPr>
          <w:rFonts w:ascii="Tahoma" w:eastAsia="Tahoma" w:hAnsi="Tahoma" w:cs="Tahoma"/>
          <w:b/>
          <w:bCs/>
          <w:sz w:val="24"/>
          <w:szCs w:val="24"/>
          <w:lang w:val="es"/>
        </w:rPr>
        <w:t xml:space="preserve">Protección </w:t>
      </w:r>
      <w:r w:rsidR="00B3057C" w:rsidRPr="008C1FFE">
        <w:rPr>
          <w:rFonts w:ascii="Tahoma" w:eastAsia="Tahoma" w:hAnsi="Tahoma" w:cs="Tahoma"/>
          <w:b/>
          <w:bCs/>
          <w:sz w:val="24"/>
          <w:szCs w:val="24"/>
          <w:lang w:val="es"/>
        </w:rPr>
        <w:t>S.A.</w:t>
      </w:r>
      <w:r w:rsidRPr="008C1FFE">
        <w:rPr>
          <w:rFonts w:ascii="Tahoma" w:eastAsia="Tahoma" w:hAnsi="Tahoma" w:cs="Tahoma"/>
          <w:b/>
          <w:bCs/>
          <w:sz w:val="24"/>
          <w:szCs w:val="24"/>
          <w:lang w:val="es"/>
        </w:rPr>
        <w:t xml:space="preserve">, </w:t>
      </w:r>
      <w:r w:rsidR="00F439D4" w:rsidRPr="008C1FFE">
        <w:rPr>
          <w:rFonts w:ascii="Tahoma" w:eastAsia="Tahoma" w:hAnsi="Tahoma" w:cs="Tahoma"/>
          <w:sz w:val="24"/>
          <w:szCs w:val="24"/>
          <w:lang w:val="es"/>
        </w:rPr>
        <w:t>indicó como cierto que el actor</w:t>
      </w:r>
      <w:r w:rsidR="00C82391" w:rsidRPr="008C1FFE">
        <w:rPr>
          <w:rFonts w:ascii="Tahoma" w:eastAsia="Tahoma" w:hAnsi="Tahoma" w:cs="Tahoma"/>
          <w:sz w:val="24"/>
          <w:szCs w:val="24"/>
          <w:lang w:val="es"/>
        </w:rPr>
        <w:t xml:space="preserve"> </w:t>
      </w:r>
      <w:r w:rsidR="0067073B" w:rsidRPr="008C1FFE">
        <w:rPr>
          <w:rFonts w:ascii="Tahoma" w:eastAsia="Tahoma" w:hAnsi="Tahoma" w:cs="Tahoma"/>
          <w:sz w:val="24"/>
          <w:szCs w:val="24"/>
          <w:lang w:val="es"/>
        </w:rPr>
        <w:t>se trasladó</w:t>
      </w:r>
      <w:r w:rsidR="009040FB" w:rsidRPr="008C1FFE">
        <w:rPr>
          <w:rFonts w:ascii="Tahoma" w:eastAsia="Tahoma" w:hAnsi="Tahoma" w:cs="Tahoma"/>
          <w:sz w:val="24"/>
          <w:szCs w:val="24"/>
          <w:lang w:val="es"/>
        </w:rPr>
        <w:t xml:space="preserve"> del RMP al RAIS desde el 01 de noviembre de 1994,</w:t>
      </w:r>
      <w:r w:rsidR="00F200C2" w:rsidRPr="008C1FFE">
        <w:rPr>
          <w:rFonts w:ascii="Tahoma" w:eastAsia="Tahoma" w:hAnsi="Tahoma" w:cs="Tahoma"/>
          <w:sz w:val="24"/>
          <w:szCs w:val="24"/>
          <w:lang w:val="es"/>
        </w:rPr>
        <w:t xml:space="preserve"> donde cotizó un total de 104,43 semanas,</w:t>
      </w:r>
      <w:r w:rsidR="0067073B" w:rsidRPr="008C1FFE">
        <w:rPr>
          <w:rFonts w:ascii="Tahoma" w:eastAsia="Tahoma" w:hAnsi="Tahoma" w:cs="Tahoma"/>
          <w:sz w:val="24"/>
          <w:szCs w:val="24"/>
          <w:lang w:val="es"/>
        </w:rPr>
        <w:t xml:space="preserve"> sin embargo, el 22 de agosto de 2018</w:t>
      </w:r>
      <w:r w:rsidR="009573D9" w:rsidRPr="008C1FFE">
        <w:rPr>
          <w:rFonts w:ascii="Tahoma" w:eastAsia="Tahoma" w:hAnsi="Tahoma" w:cs="Tahoma"/>
          <w:sz w:val="24"/>
          <w:szCs w:val="24"/>
          <w:lang w:val="es"/>
        </w:rPr>
        <w:t xml:space="preserve"> le fue aceptado el retorno al RAIS solicitado ante Protección el 22 de julio de la misma anualidad, para lo cual debía realizar la misma petición ante el RPM administrado por Colpensiones</w:t>
      </w:r>
      <w:r w:rsidR="001D5759" w:rsidRPr="008C1FFE">
        <w:rPr>
          <w:rFonts w:ascii="Tahoma" w:eastAsia="Tahoma" w:hAnsi="Tahoma" w:cs="Tahoma"/>
          <w:sz w:val="24"/>
          <w:szCs w:val="24"/>
          <w:lang w:val="es"/>
        </w:rPr>
        <w:t>.</w:t>
      </w:r>
      <w:r w:rsidR="005C5EE7" w:rsidRPr="008C1FFE">
        <w:rPr>
          <w:rFonts w:ascii="Tahoma" w:eastAsia="Tahoma" w:hAnsi="Tahoma" w:cs="Tahoma"/>
          <w:sz w:val="24"/>
          <w:szCs w:val="24"/>
          <w:lang w:val="es"/>
        </w:rPr>
        <w:t xml:space="preserve"> </w:t>
      </w:r>
      <w:r w:rsidR="001D5759" w:rsidRPr="008C1FFE">
        <w:rPr>
          <w:rFonts w:ascii="Tahoma" w:eastAsia="Tahoma" w:hAnsi="Tahoma" w:cs="Tahoma"/>
          <w:sz w:val="24"/>
          <w:szCs w:val="24"/>
          <w:lang w:val="es"/>
        </w:rPr>
        <w:t>D</w:t>
      </w:r>
      <w:r w:rsidR="005C5EE7" w:rsidRPr="008C1FFE">
        <w:rPr>
          <w:rFonts w:ascii="Tahoma" w:eastAsia="Tahoma" w:hAnsi="Tahoma" w:cs="Tahoma"/>
          <w:sz w:val="24"/>
          <w:szCs w:val="24"/>
          <w:lang w:val="es"/>
        </w:rPr>
        <w:t xml:space="preserve">erivado de lo anterior, </w:t>
      </w:r>
      <w:r w:rsidR="003B4092" w:rsidRPr="008C1FFE">
        <w:rPr>
          <w:rFonts w:ascii="Tahoma" w:eastAsia="Tahoma" w:hAnsi="Tahoma" w:cs="Tahoma"/>
          <w:sz w:val="24"/>
          <w:szCs w:val="24"/>
          <w:lang w:val="es"/>
        </w:rPr>
        <w:t>no se opuso a las pretensiones dirigidas al reconocimiento del actor como beneficiario pensional</w:t>
      </w:r>
      <w:r w:rsidR="005C5EE7" w:rsidRPr="008C1FFE">
        <w:rPr>
          <w:rFonts w:ascii="Tahoma" w:eastAsia="Tahoma" w:hAnsi="Tahoma" w:cs="Tahoma"/>
          <w:sz w:val="24"/>
          <w:szCs w:val="24"/>
          <w:lang w:val="es"/>
        </w:rPr>
        <w:t xml:space="preserve">, </w:t>
      </w:r>
      <w:r w:rsidR="003B4092" w:rsidRPr="008C1FFE">
        <w:rPr>
          <w:rFonts w:ascii="Tahoma" w:eastAsia="Tahoma" w:hAnsi="Tahoma" w:cs="Tahoma"/>
          <w:sz w:val="24"/>
          <w:szCs w:val="24"/>
          <w:lang w:val="es"/>
        </w:rPr>
        <w:t>el pago de la misma</w:t>
      </w:r>
      <w:r w:rsidR="00FC7089" w:rsidRPr="008C1FFE">
        <w:rPr>
          <w:rFonts w:ascii="Tahoma" w:eastAsia="Tahoma" w:hAnsi="Tahoma" w:cs="Tahoma"/>
          <w:sz w:val="24"/>
          <w:szCs w:val="24"/>
          <w:lang w:val="es"/>
        </w:rPr>
        <w:t xml:space="preserve">, </w:t>
      </w:r>
      <w:r w:rsidR="00BB0E2B" w:rsidRPr="008C1FFE">
        <w:rPr>
          <w:rFonts w:ascii="Tahoma" w:eastAsia="Tahoma" w:hAnsi="Tahoma" w:cs="Tahoma"/>
          <w:sz w:val="24"/>
          <w:szCs w:val="24"/>
          <w:lang w:val="es"/>
        </w:rPr>
        <w:t>y al traslado de aportes</w:t>
      </w:r>
      <w:r w:rsidR="001D5759" w:rsidRPr="008C1FFE">
        <w:rPr>
          <w:rFonts w:ascii="Tahoma" w:eastAsia="Tahoma" w:hAnsi="Tahoma" w:cs="Tahoma"/>
          <w:sz w:val="24"/>
          <w:szCs w:val="24"/>
          <w:lang w:val="es"/>
        </w:rPr>
        <w:t>;</w:t>
      </w:r>
      <w:r w:rsidR="00A06946" w:rsidRPr="008C1FFE">
        <w:rPr>
          <w:rFonts w:ascii="Tahoma" w:eastAsia="Tahoma" w:hAnsi="Tahoma" w:cs="Tahoma"/>
          <w:sz w:val="24"/>
          <w:szCs w:val="24"/>
          <w:lang w:val="es"/>
        </w:rPr>
        <w:t xml:space="preserve"> no obstante, </w:t>
      </w:r>
      <w:r w:rsidR="00FC7089" w:rsidRPr="008C1FFE">
        <w:rPr>
          <w:rFonts w:ascii="Tahoma" w:eastAsia="Tahoma" w:hAnsi="Tahoma" w:cs="Tahoma"/>
          <w:sz w:val="24"/>
          <w:szCs w:val="24"/>
          <w:lang w:val="es"/>
        </w:rPr>
        <w:t xml:space="preserve">se opuso </w:t>
      </w:r>
      <w:r w:rsidR="00A06946" w:rsidRPr="008C1FFE">
        <w:rPr>
          <w:rFonts w:ascii="Tahoma" w:eastAsia="Tahoma" w:hAnsi="Tahoma" w:cs="Tahoma"/>
          <w:sz w:val="24"/>
          <w:szCs w:val="24"/>
          <w:lang w:val="es"/>
        </w:rPr>
        <w:t>a la devolución de los rendimientos financieros</w:t>
      </w:r>
      <w:r w:rsidR="005C5EE7" w:rsidRPr="008C1FFE">
        <w:rPr>
          <w:rFonts w:ascii="Tahoma" w:eastAsia="Tahoma" w:hAnsi="Tahoma" w:cs="Tahoma"/>
          <w:sz w:val="24"/>
          <w:szCs w:val="24"/>
          <w:lang w:val="es"/>
        </w:rPr>
        <w:t>,</w:t>
      </w:r>
      <w:r w:rsidR="006F2653" w:rsidRPr="008C1FFE">
        <w:rPr>
          <w:rFonts w:ascii="Tahoma" w:eastAsia="Tahoma" w:hAnsi="Tahoma" w:cs="Tahoma"/>
          <w:sz w:val="24"/>
          <w:szCs w:val="24"/>
          <w:lang w:val="es"/>
        </w:rPr>
        <w:t xml:space="preserve"> </w:t>
      </w:r>
      <w:r w:rsidR="009F4C38" w:rsidRPr="008C1FFE">
        <w:rPr>
          <w:rFonts w:ascii="Tahoma" w:eastAsia="Tahoma" w:hAnsi="Tahoma" w:cs="Tahoma"/>
          <w:sz w:val="24"/>
          <w:szCs w:val="24"/>
          <w:lang w:val="es"/>
        </w:rPr>
        <w:t>al cobr</w:t>
      </w:r>
      <w:r w:rsidR="001D5759" w:rsidRPr="008C1FFE">
        <w:rPr>
          <w:rFonts w:ascii="Tahoma" w:eastAsia="Tahoma" w:hAnsi="Tahoma" w:cs="Tahoma"/>
          <w:sz w:val="24"/>
          <w:szCs w:val="24"/>
          <w:lang w:val="es"/>
        </w:rPr>
        <w:t>o</w:t>
      </w:r>
      <w:r w:rsidR="009F4C38" w:rsidRPr="008C1FFE">
        <w:rPr>
          <w:rFonts w:ascii="Tahoma" w:eastAsia="Tahoma" w:hAnsi="Tahoma" w:cs="Tahoma"/>
          <w:sz w:val="24"/>
          <w:szCs w:val="24"/>
          <w:lang w:val="es"/>
        </w:rPr>
        <w:t xml:space="preserve"> de los </w:t>
      </w:r>
      <w:r w:rsidR="00CD07C5" w:rsidRPr="008C1FFE">
        <w:rPr>
          <w:rFonts w:ascii="Tahoma" w:eastAsia="Tahoma" w:hAnsi="Tahoma" w:cs="Tahoma"/>
          <w:sz w:val="24"/>
          <w:szCs w:val="24"/>
          <w:lang w:val="es"/>
        </w:rPr>
        <w:t>intereses</w:t>
      </w:r>
      <w:r w:rsidR="009F4C38" w:rsidRPr="008C1FFE">
        <w:rPr>
          <w:rFonts w:ascii="Tahoma" w:eastAsia="Tahoma" w:hAnsi="Tahoma" w:cs="Tahoma"/>
          <w:sz w:val="24"/>
          <w:szCs w:val="24"/>
          <w:lang w:val="es"/>
        </w:rPr>
        <w:t xml:space="preserve"> de mora </w:t>
      </w:r>
      <w:r w:rsidR="00536DD3" w:rsidRPr="008C1FFE">
        <w:rPr>
          <w:rFonts w:ascii="Tahoma" w:eastAsia="Tahoma" w:hAnsi="Tahoma" w:cs="Tahoma"/>
          <w:sz w:val="24"/>
          <w:szCs w:val="24"/>
          <w:lang w:val="es"/>
        </w:rPr>
        <w:t xml:space="preserve">o la indexación </w:t>
      </w:r>
      <w:r w:rsidR="009F4C38" w:rsidRPr="008C1FFE">
        <w:rPr>
          <w:rFonts w:ascii="Tahoma" w:eastAsia="Tahoma" w:hAnsi="Tahoma" w:cs="Tahoma"/>
          <w:sz w:val="24"/>
          <w:szCs w:val="24"/>
          <w:lang w:val="es"/>
        </w:rPr>
        <w:t>derivados del eventual reconocimiento de la pensión de vejez</w:t>
      </w:r>
      <w:r w:rsidR="001D5759" w:rsidRPr="008C1FFE">
        <w:rPr>
          <w:rFonts w:ascii="Tahoma" w:eastAsia="Tahoma" w:hAnsi="Tahoma" w:cs="Tahoma"/>
          <w:sz w:val="24"/>
          <w:szCs w:val="24"/>
          <w:lang w:val="es"/>
        </w:rPr>
        <w:t>;</w:t>
      </w:r>
      <w:r w:rsidR="00536DD3" w:rsidRPr="008C1FFE">
        <w:rPr>
          <w:rFonts w:ascii="Tahoma" w:eastAsia="Tahoma" w:hAnsi="Tahoma" w:cs="Tahoma"/>
          <w:sz w:val="24"/>
          <w:szCs w:val="24"/>
          <w:lang w:val="es"/>
        </w:rPr>
        <w:t xml:space="preserve"> asimismo, a la condena de costas y agencias en derecho</w:t>
      </w:r>
      <w:r w:rsidR="00B039B2" w:rsidRPr="008C1FFE">
        <w:rPr>
          <w:rFonts w:ascii="Tahoma" w:eastAsia="Tahoma" w:hAnsi="Tahoma" w:cs="Tahoma"/>
          <w:sz w:val="24"/>
          <w:szCs w:val="24"/>
          <w:lang w:val="es"/>
        </w:rPr>
        <w:t xml:space="preserve">, </w:t>
      </w:r>
      <w:r w:rsidR="00E90BCD" w:rsidRPr="008C1FFE">
        <w:rPr>
          <w:rFonts w:ascii="Tahoma" w:eastAsia="Tahoma" w:hAnsi="Tahoma" w:cs="Tahoma"/>
          <w:sz w:val="24"/>
          <w:szCs w:val="24"/>
          <w:lang w:val="es"/>
        </w:rPr>
        <w:t>en tanto no deb</w:t>
      </w:r>
      <w:r w:rsidR="00B039B2" w:rsidRPr="008C1FFE">
        <w:rPr>
          <w:rFonts w:ascii="Tahoma" w:eastAsia="Tahoma" w:hAnsi="Tahoma" w:cs="Tahoma"/>
          <w:sz w:val="24"/>
          <w:szCs w:val="24"/>
          <w:lang w:val="es"/>
        </w:rPr>
        <w:t>ía</w:t>
      </w:r>
      <w:r w:rsidR="00E90BCD" w:rsidRPr="008C1FFE">
        <w:rPr>
          <w:rFonts w:ascii="Tahoma" w:eastAsia="Tahoma" w:hAnsi="Tahoma" w:cs="Tahoma"/>
          <w:sz w:val="24"/>
          <w:szCs w:val="24"/>
          <w:lang w:val="es"/>
        </w:rPr>
        <w:t xml:space="preserve"> considerarse sujeto vencido en juicio por no oponerse a las pretensiones</w:t>
      </w:r>
      <w:r w:rsidR="00F439D4" w:rsidRPr="008C1FFE">
        <w:rPr>
          <w:rFonts w:ascii="Tahoma" w:eastAsia="Tahoma" w:hAnsi="Tahoma" w:cs="Tahoma"/>
          <w:sz w:val="24"/>
          <w:szCs w:val="24"/>
          <w:lang w:val="es"/>
        </w:rPr>
        <w:t xml:space="preserve">. </w:t>
      </w:r>
      <w:r w:rsidR="00C77091" w:rsidRPr="008C1FFE">
        <w:rPr>
          <w:rFonts w:ascii="Tahoma" w:eastAsia="Tahoma" w:hAnsi="Tahoma" w:cs="Tahoma"/>
          <w:sz w:val="24"/>
          <w:szCs w:val="24"/>
          <w:lang w:val="es"/>
        </w:rPr>
        <w:t>En consonancia con lo anterior, present</w:t>
      </w:r>
      <w:r w:rsidR="00513ADB" w:rsidRPr="008C1FFE">
        <w:rPr>
          <w:rFonts w:ascii="Tahoma" w:eastAsia="Tahoma" w:hAnsi="Tahoma" w:cs="Tahoma"/>
          <w:sz w:val="24"/>
          <w:szCs w:val="24"/>
          <w:lang w:val="es"/>
        </w:rPr>
        <w:t>ó</w:t>
      </w:r>
      <w:r w:rsidR="00C77091" w:rsidRPr="008C1FFE">
        <w:rPr>
          <w:rFonts w:ascii="Tahoma" w:eastAsia="Tahoma" w:hAnsi="Tahoma" w:cs="Tahoma"/>
          <w:sz w:val="24"/>
          <w:szCs w:val="24"/>
          <w:lang w:val="es"/>
        </w:rPr>
        <w:t xml:space="preserve"> como excepciones de mérito las</w:t>
      </w:r>
      <w:r w:rsidR="00846DE2" w:rsidRPr="008C1FFE">
        <w:rPr>
          <w:rFonts w:ascii="Tahoma" w:eastAsia="Tahoma" w:hAnsi="Tahoma" w:cs="Tahoma"/>
          <w:sz w:val="24"/>
          <w:szCs w:val="24"/>
          <w:lang w:val="es"/>
        </w:rPr>
        <w:t xml:space="preserve"> denominadas</w:t>
      </w:r>
      <w:r w:rsidR="00846DE2" w:rsidRPr="008C1FFE">
        <w:rPr>
          <w:rFonts w:ascii="Tahoma" w:eastAsia="Tahoma" w:hAnsi="Tahoma" w:cs="Tahoma"/>
          <w:b/>
          <w:bCs/>
          <w:i/>
          <w:iCs/>
          <w:sz w:val="24"/>
          <w:szCs w:val="24"/>
          <w:lang w:val="es"/>
        </w:rPr>
        <w:t xml:space="preserve"> </w:t>
      </w:r>
      <w:r w:rsidR="00513ADB" w:rsidRPr="008C1FFE">
        <w:rPr>
          <w:rFonts w:ascii="Tahoma" w:eastAsia="Tahoma" w:hAnsi="Tahoma" w:cs="Tahoma"/>
          <w:bCs/>
          <w:i/>
          <w:iCs/>
          <w:sz w:val="24"/>
          <w:szCs w:val="24"/>
          <w:lang w:val="es"/>
        </w:rPr>
        <w:t xml:space="preserve">“genérica o innominada”, “prescripción”, “buena fe”, “compensación”, </w:t>
      </w:r>
      <w:r w:rsidR="004B32BD" w:rsidRPr="008C1FFE">
        <w:rPr>
          <w:rFonts w:ascii="Tahoma" w:eastAsia="Tahoma" w:hAnsi="Tahoma" w:cs="Tahoma"/>
          <w:bCs/>
          <w:i/>
          <w:iCs/>
          <w:sz w:val="24"/>
          <w:szCs w:val="24"/>
          <w:lang w:val="es"/>
        </w:rPr>
        <w:t xml:space="preserve">y </w:t>
      </w:r>
      <w:r w:rsidR="00513ADB" w:rsidRPr="008C1FFE">
        <w:rPr>
          <w:rFonts w:ascii="Tahoma" w:eastAsia="Tahoma" w:hAnsi="Tahoma" w:cs="Tahoma"/>
          <w:bCs/>
          <w:i/>
          <w:iCs/>
          <w:sz w:val="24"/>
          <w:szCs w:val="24"/>
          <w:lang w:val="es"/>
        </w:rPr>
        <w:t>“exoneración de condena en costas e intereses de mora”</w:t>
      </w:r>
      <w:r w:rsidR="004B32BD" w:rsidRPr="008C1FFE">
        <w:rPr>
          <w:rFonts w:ascii="Tahoma" w:eastAsia="Tahoma" w:hAnsi="Tahoma" w:cs="Tahoma"/>
          <w:bCs/>
          <w:i/>
          <w:iCs/>
          <w:sz w:val="24"/>
          <w:szCs w:val="24"/>
          <w:lang w:val="es"/>
        </w:rPr>
        <w:t>.</w:t>
      </w:r>
    </w:p>
    <w:p w14:paraId="38C3C623" w14:textId="7B6D1B77" w:rsidR="00CD07C5" w:rsidRPr="008C1FFE" w:rsidRDefault="00CD07C5" w:rsidP="008C1FFE">
      <w:pPr>
        <w:spacing w:after="0" w:line="276" w:lineRule="auto"/>
        <w:jc w:val="both"/>
        <w:rPr>
          <w:rFonts w:ascii="Tahoma" w:hAnsi="Tahoma" w:cs="Tahoma"/>
          <w:sz w:val="24"/>
          <w:szCs w:val="24"/>
        </w:rPr>
      </w:pPr>
    </w:p>
    <w:p w14:paraId="40F04C9B" w14:textId="5308B6B1" w:rsidR="004A05ED" w:rsidRPr="008C1FFE" w:rsidRDefault="1B4704F1" w:rsidP="008C1FFE">
      <w:pPr>
        <w:pStyle w:val="Prrafodelista"/>
        <w:numPr>
          <w:ilvl w:val="0"/>
          <w:numId w:val="3"/>
        </w:numPr>
        <w:spacing w:line="276" w:lineRule="auto"/>
        <w:jc w:val="center"/>
        <w:rPr>
          <w:rFonts w:eastAsiaTheme="minorEastAsia"/>
          <w:b/>
          <w:bCs/>
          <w:sz w:val="24"/>
          <w:szCs w:val="24"/>
        </w:rPr>
      </w:pPr>
      <w:r w:rsidRPr="008C1FFE">
        <w:rPr>
          <w:b/>
          <w:bCs/>
          <w:sz w:val="24"/>
          <w:szCs w:val="24"/>
          <w:lang w:val="es"/>
        </w:rPr>
        <w:t>Sentencia de primera instancia</w:t>
      </w:r>
    </w:p>
    <w:p w14:paraId="1055797F" w14:textId="77777777" w:rsidR="001D5759" w:rsidRPr="008C1FFE" w:rsidRDefault="001D5759" w:rsidP="008C1FFE">
      <w:pPr>
        <w:pStyle w:val="Prrafodelista"/>
        <w:spacing w:line="276" w:lineRule="auto"/>
        <w:ind w:left="720" w:firstLine="0"/>
        <w:rPr>
          <w:rFonts w:eastAsiaTheme="minorEastAsia"/>
          <w:b/>
          <w:bCs/>
          <w:sz w:val="24"/>
          <w:szCs w:val="24"/>
        </w:rPr>
      </w:pPr>
    </w:p>
    <w:p w14:paraId="2FAB1026" w14:textId="4D9565BB" w:rsidR="00D130DE" w:rsidRPr="008C1FFE" w:rsidRDefault="004A05ED" w:rsidP="008C1FFE">
      <w:pPr>
        <w:spacing w:after="0" w:line="276" w:lineRule="auto"/>
        <w:jc w:val="both"/>
        <w:rPr>
          <w:rFonts w:ascii="Tahoma" w:eastAsia="Tahoma" w:hAnsi="Tahoma" w:cs="Tahoma"/>
          <w:sz w:val="24"/>
          <w:szCs w:val="24"/>
        </w:rPr>
      </w:pPr>
      <w:r w:rsidRPr="008C1FFE">
        <w:rPr>
          <w:rFonts w:ascii="Tahoma" w:eastAsia="Times New Roman" w:hAnsi="Tahoma" w:cs="Tahoma"/>
          <w:sz w:val="24"/>
          <w:szCs w:val="24"/>
        </w:rPr>
        <w:tab/>
      </w:r>
      <w:r w:rsidR="00377A79" w:rsidRPr="008C1FFE">
        <w:rPr>
          <w:rFonts w:ascii="Tahoma" w:eastAsia="Tahoma" w:hAnsi="Tahoma" w:cs="Tahoma"/>
          <w:sz w:val="24"/>
          <w:szCs w:val="24"/>
          <w:lang w:val="es"/>
        </w:rPr>
        <w:t xml:space="preserve">La </w:t>
      </w:r>
      <w:r w:rsidR="1B4704F1" w:rsidRPr="008C1FFE">
        <w:rPr>
          <w:rFonts w:ascii="Tahoma" w:eastAsia="Tahoma" w:hAnsi="Tahoma" w:cs="Tahoma"/>
          <w:sz w:val="24"/>
          <w:szCs w:val="24"/>
          <w:lang w:val="es"/>
        </w:rPr>
        <w:t xml:space="preserve">Jueza de instancia, al resolver la </w:t>
      </w:r>
      <w:r w:rsidR="1B4704F1" w:rsidRPr="008C1FFE">
        <w:rPr>
          <w:rFonts w:ascii="Tahoma" w:eastAsia="Tahoma" w:hAnsi="Tahoma" w:cs="Tahoma"/>
          <w:i/>
          <w:iCs/>
          <w:sz w:val="24"/>
          <w:szCs w:val="24"/>
          <w:lang w:val="es"/>
        </w:rPr>
        <w:t>litis:</w:t>
      </w:r>
      <w:r w:rsidR="1B4704F1" w:rsidRPr="008C1FFE">
        <w:rPr>
          <w:rFonts w:ascii="Tahoma" w:eastAsia="Tahoma" w:hAnsi="Tahoma" w:cs="Tahoma"/>
          <w:sz w:val="24"/>
          <w:szCs w:val="24"/>
          <w:lang w:val="es"/>
        </w:rPr>
        <w:t xml:space="preserve"> </w:t>
      </w:r>
      <w:r w:rsidR="00377A79" w:rsidRPr="008C1FFE">
        <w:rPr>
          <w:rFonts w:ascii="Tahoma" w:eastAsia="Tahoma" w:hAnsi="Tahoma" w:cs="Tahoma"/>
          <w:sz w:val="24"/>
          <w:szCs w:val="24"/>
          <w:lang w:val="es"/>
        </w:rPr>
        <w:t xml:space="preserve">(1) </w:t>
      </w:r>
      <w:r w:rsidR="003D4A89" w:rsidRPr="008C1FFE">
        <w:rPr>
          <w:rFonts w:ascii="Tahoma" w:eastAsia="Tahoma" w:hAnsi="Tahoma" w:cs="Tahoma"/>
          <w:sz w:val="24"/>
          <w:szCs w:val="24"/>
          <w:lang w:val="es"/>
        </w:rPr>
        <w:t>declaró la ineficacia de la afiliación de</w:t>
      </w:r>
      <w:r w:rsidR="001D3A85" w:rsidRPr="008C1FFE">
        <w:rPr>
          <w:rFonts w:ascii="Tahoma" w:eastAsia="Tahoma" w:hAnsi="Tahoma" w:cs="Tahoma"/>
          <w:sz w:val="24"/>
          <w:szCs w:val="24"/>
          <w:lang w:val="es"/>
        </w:rPr>
        <w:t>l señor Jairo de Jesús Restrepo Castaño</w:t>
      </w:r>
      <w:r w:rsidR="00596FAC" w:rsidRPr="008C1FFE">
        <w:rPr>
          <w:rFonts w:ascii="Tahoma" w:eastAsia="Tahoma" w:hAnsi="Tahoma" w:cs="Tahoma"/>
          <w:sz w:val="24"/>
          <w:szCs w:val="24"/>
          <w:lang w:val="es"/>
        </w:rPr>
        <w:t xml:space="preserve"> a </w:t>
      </w:r>
      <w:r w:rsidR="003D4A89" w:rsidRPr="008C1FFE">
        <w:rPr>
          <w:rFonts w:ascii="Tahoma" w:eastAsia="Tahoma" w:hAnsi="Tahoma" w:cs="Tahoma"/>
          <w:sz w:val="24"/>
          <w:szCs w:val="24"/>
          <w:lang w:val="es"/>
        </w:rPr>
        <w:t>P</w:t>
      </w:r>
      <w:r w:rsidR="00DD4365" w:rsidRPr="008C1FFE">
        <w:rPr>
          <w:rFonts w:ascii="Tahoma" w:eastAsia="Tahoma" w:hAnsi="Tahoma" w:cs="Tahoma"/>
          <w:sz w:val="24"/>
          <w:szCs w:val="24"/>
          <w:lang w:val="es"/>
        </w:rPr>
        <w:t>rotección</w:t>
      </w:r>
      <w:r w:rsidR="003D4A89" w:rsidRPr="008C1FFE">
        <w:rPr>
          <w:rFonts w:ascii="Tahoma" w:eastAsia="Tahoma" w:hAnsi="Tahoma" w:cs="Tahoma"/>
          <w:sz w:val="24"/>
          <w:szCs w:val="24"/>
          <w:lang w:val="es"/>
        </w:rPr>
        <w:t xml:space="preserve"> S.A., del</w:t>
      </w:r>
      <w:r w:rsidR="00DD4365" w:rsidRPr="008C1FFE">
        <w:rPr>
          <w:rFonts w:ascii="Tahoma" w:eastAsia="Tahoma" w:hAnsi="Tahoma" w:cs="Tahoma"/>
          <w:sz w:val="24"/>
          <w:szCs w:val="24"/>
          <w:lang w:val="es"/>
        </w:rPr>
        <w:t xml:space="preserve"> </w:t>
      </w:r>
      <w:r w:rsidR="00596FAC" w:rsidRPr="008C1FFE">
        <w:rPr>
          <w:rFonts w:ascii="Tahoma" w:eastAsia="Tahoma" w:hAnsi="Tahoma" w:cs="Tahoma"/>
          <w:sz w:val="24"/>
          <w:szCs w:val="24"/>
          <w:lang w:val="es"/>
        </w:rPr>
        <w:t>13 de octubre de 1994</w:t>
      </w:r>
      <w:r w:rsidR="003D4A89" w:rsidRPr="008C1FFE">
        <w:rPr>
          <w:rFonts w:ascii="Tahoma" w:eastAsia="Tahoma" w:hAnsi="Tahoma" w:cs="Tahoma"/>
          <w:sz w:val="24"/>
          <w:szCs w:val="24"/>
          <w:lang w:val="es"/>
        </w:rPr>
        <w:t>;</w:t>
      </w:r>
      <w:r w:rsidR="001D5759" w:rsidRPr="008C1FFE">
        <w:rPr>
          <w:rFonts w:ascii="Tahoma" w:eastAsia="Tahoma" w:hAnsi="Tahoma" w:cs="Tahoma"/>
          <w:sz w:val="24"/>
          <w:szCs w:val="24"/>
          <w:lang w:val="es"/>
        </w:rPr>
        <w:t xml:space="preserve"> </w:t>
      </w:r>
      <w:r w:rsidR="003D4A89" w:rsidRPr="008C1FFE">
        <w:rPr>
          <w:rFonts w:ascii="Tahoma" w:eastAsia="Tahoma" w:hAnsi="Tahoma" w:cs="Tahoma"/>
          <w:sz w:val="24"/>
          <w:szCs w:val="24"/>
          <w:lang w:val="es"/>
        </w:rPr>
        <w:t xml:space="preserve">(2) </w:t>
      </w:r>
      <w:r w:rsidR="00DD4365" w:rsidRPr="008C1FFE">
        <w:rPr>
          <w:rFonts w:ascii="Tahoma" w:eastAsia="Tahoma" w:hAnsi="Tahoma" w:cs="Tahoma"/>
          <w:sz w:val="24"/>
          <w:szCs w:val="24"/>
          <w:lang w:val="es"/>
        </w:rPr>
        <w:t xml:space="preserve">condenó a </w:t>
      </w:r>
      <w:r w:rsidR="002A5F6F" w:rsidRPr="008C1FFE">
        <w:rPr>
          <w:rFonts w:ascii="Tahoma" w:eastAsia="Tahoma" w:hAnsi="Tahoma" w:cs="Tahoma"/>
          <w:sz w:val="24"/>
          <w:szCs w:val="24"/>
          <w:lang w:val="es"/>
        </w:rPr>
        <w:t>Protección</w:t>
      </w:r>
      <w:r w:rsidR="00734A36" w:rsidRPr="008C1FFE">
        <w:rPr>
          <w:rFonts w:ascii="Tahoma" w:eastAsia="Tahoma" w:hAnsi="Tahoma" w:cs="Tahoma"/>
          <w:sz w:val="24"/>
          <w:szCs w:val="24"/>
          <w:lang w:val="es"/>
        </w:rPr>
        <w:t xml:space="preserve"> </w:t>
      </w:r>
      <w:r w:rsidR="00DD4365" w:rsidRPr="008C1FFE">
        <w:rPr>
          <w:rFonts w:ascii="Tahoma" w:eastAsia="Tahoma" w:hAnsi="Tahoma" w:cs="Tahoma"/>
          <w:sz w:val="24"/>
          <w:szCs w:val="24"/>
          <w:lang w:val="es"/>
        </w:rPr>
        <w:t xml:space="preserve">S.A. a devolver a Colpensiones </w:t>
      </w:r>
      <w:r w:rsidR="002A5F6F" w:rsidRPr="008C1FFE">
        <w:rPr>
          <w:rFonts w:ascii="Tahoma" w:eastAsia="Tahoma" w:hAnsi="Tahoma" w:cs="Tahoma"/>
          <w:sz w:val="24"/>
          <w:szCs w:val="24"/>
          <w:lang w:val="es"/>
        </w:rPr>
        <w:t>el valor total de la cuenta de ahorro individual, incluyendo</w:t>
      </w:r>
      <w:r w:rsidR="00DF35D3" w:rsidRPr="008C1FFE">
        <w:rPr>
          <w:rFonts w:ascii="Tahoma" w:eastAsia="Tahoma" w:hAnsi="Tahoma" w:cs="Tahoma"/>
          <w:sz w:val="24"/>
          <w:szCs w:val="24"/>
          <w:lang w:val="es"/>
        </w:rPr>
        <w:t xml:space="preserve"> los rendimientos financieros,</w:t>
      </w:r>
      <w:r w:rsidR="002A5F6F" w:rsidRPr="008C1FFE">
        <w:rPr>
          <w:rFonts w:ascii="Tahoma" w:eastAsia="Tahoma" w:hAnsi="Tahoma" w:cs="Tahoma"/>
          <w:sz w:val="24"/>
          <w:szCs w:val="24"/>
          <w:lang w:val="es"/>
        </w:rPr>
        <w:t xml:space="preserve"> gastos de administración, comisiones, cuotas de garantía de pensión </w:t>
      </w:r>
      <w:r w:rsidR="00B7518A" w:rsidRPr="008C1FFE">
        <w:rPr>
          <w:rFonts w:ascii="Tahoma" w:eastAsia="Tahoma" w:hAnsi="Tahoma" w:cs="Tahoma"/>
          <w:sz w:val="24"/>
          <w:szCs w:val="24"/>
          <w:lang w:val="es"/>
        </w:rPr>
        <w:t>mínima y seguros previsionales con cargo a sus propias utilidades;</w:t>
      </w:r>
      <w:r w:rsidR="00DD4365" w:rsidRPr="008C1FFE">
        <w:rPr>
          <w:rFonts w:ascii="Tahoma" w:eastAsia="Tahoma" w:hAnsi="Tahoma" w:cs="Tahoma"/>
          <w:sz w:val="24"/>
          <w:szCs w:val="24"/>
          <w:lang w:val="es"/>
        </w:rPr>
        <w:t xml:space="preserve"> (3) </w:t>
      </w:r>
      <w:r w:rsidR="001D5759" w:rsidRPr="008C1FFE">
        <w:rPr>
          <w:rFonts w:ascii="Tahoma" w:eastAsia="Tahoma" w:hAnsi="Tahoma" w:cs="Tahoma"/>
          <w:sz w:val="24"/>
          <w:szCs w:val="24"/>
          <w:lang w:val="es"/>
        </w:rPr>
        <w:t>o</w:t>
      </w:r>
      <w:r w:rsidR="0038337E" w:rsidRPr="008C1FFE">
        <w:rPr>
          <w:rFonts w:ascii="Tahoma" w:eastAsia="Tahoma" w:hAnsi="Tahoma" w:cs="Tahoma"/>
          <w:sz w:val="24"/>
          <w:szCs w:val="24"/>
          <w:lang w:val="es"/>
        </w:rPr>
        <w:t xml:space="preserve">rdenó </w:t>
      </w:r>
      <w:r w:rsidR="0038337E" w:rsidRPr="008C1FFE">
        <w:rPr>
          <w:rFonts w:ascii="Tahoma" w:eastAsia="Tahoma" w:hAnsi="Tahoma" w:cs="Tahoma"/>
          <w:sz w:val="24"/>
          <w:szCs w:val="24"/>
        </w:rPr>
        <w:t xml:space="preserve">comunicar a </w:t>
      </w:r>
      <w:r w:rsidR="00B05333" w:rsidRPr="008C1FFE">
        <w:rPr>
          <w:rFonts w:ascii="Tahoma" w:eastAsia="Tahoma" w:hAnsi="Tahoma" w:cs="Tahoma"/>
          <w:sz w:val="24"/>
          <w:szCs w:val="24"/>
        </w:rPr>
        <w:t>la OBP</w:t>
      </w:r>
      <w:r w:rsidR="0038337E" w:rsidRPr="008C1FFE">
        <w:rPr>
          <w:rFonts w:ascii="Tahoma" w:eastAsia="Tahoma" w:hAnsi="Tahoma" w:cs="Tahoma"/>
          <w:sz w:val="24"/>
          <w:szCs w:val="24"/>
        </w:rPr>
        <w:t xml:space="preserve"> </w:t>
      </w:r>
      <w:r w:rsidR="00B05333" w:rsidRPr="008C1FFE">
        <w:rPr>
          <w:rFonts w:ascii="Tahoma" w:eastAsia="Tahoma" w:hAnsi="Tahoma" w:cs="Tahoma"/>
          <w:sz w:val="24"/>
          <w:szCs w:val="24"/>
        </w:rPr>
        <w:t xml:space="preserve">del </w:t>
      </w:r>
      <w:r w:rsidR="0038337E" w:rsidRPr="008C1FFE">
        <w:rPr>
          <w:rFonts w:ascii="Tahoma" w:eastAsia="Tahoma" w:hAnsi="Tahoma" w:cs="Tahoma"/>
          <w:sz w:val="24"/>
          <w:szCs w:val="24"/>
        </w:rPr>
        <w:t>Ministerio de Hacienda y Crédito Público</w:t>
      </w:r>
      <w:r w:rsidR="00D130DE" w:rsidRPr="008C1FFE">
        <w:rPr>
          <w:rFonts w:ascii="Tahoma" w:eastAsia="Tahoma" w:hAnsi="Tahoma" w:cs="Tahoma"/>
          <w:sz w:val="24"/>
          <w:szCs w:val="24"/>
        </w:rPr>
        <w:t xml:space="preserve"> la decisión, </w:t>
      </w:r>
      <w:r w:rsidR="001E3317" w:rsidRPr="008C1FFE">
        <w:rPr>
          <w:rFonts w:ascii="Tahoma" w:eastAsia="Tahoma" w:hAnsi="Tahoma" w:cs="Tahoma"/>
          <w:sz w:val="24"/>
          <w:szCs w:val="24"/>
        </w:rPr>
        <w:t xml:space="preserve">para que en caso de haber emitido bono pensional, procediera con la anulación a través de un </w:t>
      </w:r>
      <w:r w:rsidR="00B039B2" w:rsidRPr="008C1FFE">
        <w:rPr>
          <w:rFonts w:ascii="Tahoma" w:eastAsia="Tahoma" w:hAnsi="Tahoma" w:cs="Tahoma"/>
          <w:sz w:val="24"/>
          <w:szCs w:val="24"/>
        </w:rPr>
        <w:t>trámite</w:t>
      </w:r>
      <w:r w:rsidR="001E3317" w:rsidRPr="008C1FFE">
        <w:rPr>
          <w:rFonts w:ascii="Tahoma" w:eastAsia="Tahoma" w:hAnsi="Tahoma" w:cs="Tahoma"/>
          <w:sz w:val="24"/>
          <w:szCs w:val="24"/>
        </w:rPr>
        <w:t xml:space="preserve"> interno; </w:t>
      </w:r>
    </w:p>
    <w:p w14:paraId="1CD7F823" w14:textId="77777777" w:rsidR="001D5759" w:rsidRPr="008C1FFE" w:rsidRDefault="0038337E" w:rsidP="008C1FFE">
      <w:pPr>
        <w:spacing w:after="0" w:line="276" w:lineRule="auto"/>
        <w:jc w:val="both"/>
        <w:rPr>
          <w:rFonts w:ascii="Tahoma" w:eastAsia="Tahoma" w:hAnsi="Tahoma" w:cs="Tahoma"/>
          <w:sz w:val="24"/>
          <w:szCs w:val="24"/>
          <w:lang w:val="es"/>
        </w:rPr>
      </w:pPr>
      <w:r w:rsidRPr="008C1FFE">
        <w:rPr>
          <w:rFonts w:ascii="Tahoma" w:eastAsia="Tahoma" w:hAnsi="Tahoma" w:cs="Tahoma"/>
          <w:sz w:val="24"/>
          <w:szCs w:val="24"/>
          <w:lang w:val="es"/>
        </w:rPr>
        <w:t>(</w:t>
      </w:r>
      <w:r w:rsidR="001E3317" w:rsidRPr="008C1FFE">
        <w:rPr>
          <w:rFonts w:ascii="Tahoma" w:eastAsia="Tahoma" w:hAnsi="Tahoma" w:cs="Tahoma"/>
          <w:sz w:val="24"/>
          <w:szCs w:val="24"/>
          <w:lang w:val="es"/>
        </w:rPr>
        <w:t>4</w:t>
      </w:r>
      <w:r w:rsidRPr="008C1FFE">
        <w:rPr>
          <w:rFonts w:ascii="Tahoma" w:eastAsia="Tahoma" w:hAnsi="Tahoma" w:cs="Tahoma"/>
          <w:sz w:val="24"/>
          <w:szCs w:val="24"/>
          <w:lang w:val="es"/>
        </w:rPr>
        <w:t xml:space="preserve">) </w:t>
      </w:r>
      <w:r w:rsidR="00B27C53" w:rsidRPr="008C1FFE">
        <w:rPr>
          <w:rFonts w:ascii="Tahoma" w:eastAsia="Tahoma" w:hAnsi="Tahoma" w:cs="Tahoma"/>
          <w:sz w:val="24"/>
          <w:szCs w:val="24"/>
          <w:lang w:val="es"/>
        </w:rPr>
        <w:t>O</w:t>
      </w:r>
      <w:r w:rsidR="00AD407E" w:rsidRPr="008C1FFE">
        <w:rPr>
          <w:rFonts w:ascii="Tahoma" w:eastAsia="Tahoma" w:hAnsi="Tahoma" w:cs="Tahoma"/>
          <w:sz w:val="24"/>
          <w:szCs w:val="24"/>
          <w:lang w:val="es"/>
        </w:rPr>
        <w:t>rdenó a Colpensiones a tener como vinculad</w:t>
      </w:r>
      <w:r w:rsidR="003F08F5" w:rsidRPr="008C1FFE">
        <w:rPr>
          <w:rFonts w:ascii="Tahoma" w:eastAsia="Tahoma" w:hAnsi="Tahoma" w:cs="Tahoma"/>
          <w:sz w:val="24"/>
          <w:szCs w:val="24"/>
          <w:lang w:val="es"/>
        </w:rPr>
        <w:t>o</w:t>
      </w:r>
      <w:r w:rsidR="00AD407E" w:rsidRPr="008C1FFE">
        <w:rPr>
          <w:rFonts w:ascii="Tahoma" w:eastAsia="Tahoma" w:hAnsi="Tahoma" w:cs="Tahoma"/>
          <w:sz w:val="24"/>
          <w:szCs w:val="24"/>
          <w:lang w:val="es"/>
        </w:rPr>
        <w:t xml:space="preserve"> sin solución de continuidad al RPM a</w:t>
      </w:r>
      <w:r w:rsidR="00B27C53" w:rsidRPr="008C1FFE">
        <w:rPr>
          <w:rFonts w:ascii="Tahoma" w:eastAsia="Tahoma" w:hAnsi="Tahoma" w:cs="Tahoma"/>
          <w:sz w:val="24"/>
          <w:szCs w:val="24"/>
          <w:lang w:val="es"/>
        </w:rPr>
        <w:t xml:space="preserve"> </w:t>
      </w:r>
      <w:r w:rsidR="00AD407E" w:rsidRPr="008C1FFE">
        <w:rPr>
          <w:rFonts w:ascii="Tahoma" w:eastAsia="Tahoma" w:hAnsi="Tahoma" w:cs="Tahoma"/>
          <w:sz w:val="24"/>
          <w:szCs w:val="24"/>
          <w:lang w:val="es"/>
        </w:rPr>
        <w:t>l</w:t>
      </w:r>
      <w:r w:rsidR="00B27C53" w:rsidRPr="008C1FFE">
        <w:rPr>
          <w:rFonts w:ascii="Tahoma" w:eastAsia="Tahoma" w:hAnsi="Tahoma" w:cs="Tahoma"/>
          <w:sz w:val="24"/>
          <w:szCs w:val="24"/>
          <w:lang w:val="es"/>
        </w:rPr>
        <w:t>a</w:t>
      </w:r>
      <w:r w:rsidR="00AD407E" w:rsidRPr="008C1FFE">
        <w:rPr>
          <w:rFonts w:ascii="Tahoma" w:eastAsia="Tahoma" w:hAnsi="Tahoma" w:cs="Tahoma"/>
          <w:sz w:val="24"/>
          <w:szCs w:val="24"/>
          <w:lang w:val="es"/>
        </w:rPr>
        <w:t xml:space="preserve"> demandante</w:t>
      </w:r>
      <w:r w:rsidR="003F08F5" w:rsidRPr="008C1FFE">
        <w:rPr>
          <w:rFonts w:ascii="Tahoma" w:eastAsia="Tahoma" w:hAnsi="Tahoma" w:cs="Tahoma"/>
          <w:sz w:val="24"/>
          <w:szCs w:val="24"/>
          <w:lang w:val="es"/>
        </w:rPr>
        <w:t xml:space="preserve">; </w:t>
      </w:r>
    </w:p>
    <w:p w14:paraId="3B14C121" w14:textId="77777777" w:rsidR="001D5759" w:rsidRPr="008C1FFE" w:rsidRDefault="001D5759" w:rsidP="008C1FFE">
      <w:pPr>
        <w:spacing w:after="0" w:line="276" w:lineRule="auto"/>
        <w:jc w:val="both"/>
        <w:rPr>
          <w:rFonts w:ascii="Tahoma" w:eastAsia="Tahoma" w:hAnsi="Tahoma" w:cs="Tahoma"/>
          <w:sz w:val="24"/>
          <w:szCs w:val="24"/>
          <w:lang w:val="es"/>
        </w:rPr>
      </w:pPr>
    </w:p>
    <w:p w14:paraId="61B5B8B3" w14:textId="21441C4B" w:rsidR="003F08F5" w:rsidRPr="008C1FFE" w:rsidRDefault="001D5759" w:rsidP="008C1FFE">
      <w:pPr>
        <w:spacing w:after="0" w:line="276" w:lineRule="auto"/>
        <w:ind w:firstLine="708"/>
        <w:jc w:val="both"/>
        <w:rPr>
          <w:rFonts w:ascii="Tahoma" w:eastAsia="Tahoma" w:hAnsi="Tahoma" w:cs="Tahoma"/>
          <w:sz w:val="24"/>
          <w:szCs w:val="24"/>
          <w:lang w:val="es"/>
        </w:rPr>
      </w:pPr>
      <w:r w:rsidRPr="008C1FFE">
        <w:rPr>
          <w:rFonts w:ascii="Tahoma" w:eastAsia="Tahoma" w:hAnsi="Tahoma" w:cs="Tahoma"/>
          <w:sz w:val="24"/>
          <w:szCs w:val="24"/>
          <w:lang w:val="es"/>
        </w:rPr>
        <w:t xml:space="preserve">Adicionalmente, </w:t>
      </w:r>
      <w:r w:rsidR="0038337E" w:rsidRPr="008C1FFE">
        <w:rPr>
          <w:rFonts w:ascii="Tahoma" w:eastAsia="Tahoma" w:hAnsi="Tahoma" w:cs="Tahoma"/>
          <w:sz w:val="24"/>
          <w:szCs w:val="24"/>
          <w:lang w:val="es"/>
        </w:rPr>
        <w:t>(</w:t>
      </w:r>
      <w:r w:rsidR="00E616CF" w:rsidRPr="008C1FFE">
        <w:rPr>
          <w:rFonts w:ascii="Tahoma" w:eastAsia="Tahoma" w:hAnsi="Tahoma" w:cs="Tahoma"/>
          <w:sz w:val="24"/>
          <w:szCs w:val="24"/>
          <w:lang w:val="es"/>
        </w:rPr>
        <w:t>5</w:t>
      </w:r>
      <w:r w:rsidR="0038337E" w:rsidRPr="008C1FFE">
        <w:rPr>
          <w:rFonts w:ascii="Tahoma" w:eastAsia="Tahoma" w:hAnsi="Tahoma" w:cs="Tahoma"/>
          <w:sz w:val="24"/>
          <w:szCs w:val="24"/>
          <w:lang w:val="es"/>
        </w:rPr>
        <w:t xml:space="preserve">) </w:t>
      </w:r>
      <w:r w:rsidR="003F08F5" w:rsidRPr="008C1FFE">
        <w:rPr>
          <w:rFonts w:ascii="Tahoma" w:eastAsia="Tahoma" w:hAnsi="Tahoma" w:cs="Tahoma"/>
          <w:sz w:val="24"/>
          <w:szCs w:val="24"/>
          <w:lang w:val="es"/>
        </w:rPr>
        <w:t>condenó a Colpensiones al reconocimiento y pago de la pensión de vejez</w:t>
      </w:r>
      <w:r w:rsidR="00A6717C" w:rsidRPr="008C1FFE">
        <w:rPr>
          <w:rFonts w:ascii="Tahoma" w:eastAsia="Tahoma" w:hAnsi="Tahoma" w:cs="Tahoma"/>
          <w:sz w:val="24"/>
          <w:szCs w:val="24"/>
          <w:lang w:val="es"/>
        </w:rPr>
        <w:t xml:space="preserve"> </w:t>
      </w:r>
      <w:r w:rsidRPr="008C1FFE">
        <w:rPr>
          <w:rFonts w:ascii="Tahoma" w:eastAsia="Tahoma" w:hAnsi="Tahoma" w:cs="Tahoma"/>
          <w:sz w:val="24"/>
          <w:szCs w:val="24"/>
          <w:lang w:val="es"/>
        </w:rPr>
        <w:t xml:space="preserve">al demandante </w:t>
      </w:r>
      <w:r w:rsidR="00A6717C" w:rsidRPr="008C1FFE">
        <w:rPr>
          <w:rFonts w:ascii="Tahoma" w:eastAsia="Tahoma" w:hAnsi="Tahoma" w:cs="Tahoma"/>
          <w:sz w:val="24"/>
          <w:szCs w:val="24"/>
          <w:lang w:val="es"/>
        </w:rPr>
        <w:t>y la expedición del correspondiente acto administrativo</w:t>
      </w:r>
      <w:r w:rsidR="003F08F5" w:rsidRPr="008C1FFE">
        <w:rPr>
          <w:rFonts w:ascii="Tahoma" w:eastAsia="Tahoma" w:hAnsi="Tahoma" w:cs="Tahoma"/>
          <w:sz w:val="24"/>
          <w:szCs w:val="24"/>
          <w:lang w:val="es"/>
        </w:rPr>
        <w:t xml:space="preserve">, de conformidad con lo consagrado en el artículo 12 del Acuerdo 049 de 1990, como beneficiario del régimen de transición, a partir </w:t>
      </w:r>
      <w:r w:rsidR="00E9782A" w:rsidRPr="008C1FFE">
        <w:rPr>
          <w:rFonts w:ascii="Tahoma" w:eastAsia="Tahoma" w:hAnsi="Tahoma" w:cs="Tahoma"/>
          <w:sz w:val="24"/>
          <w:szCs w:val="24"/>
          <w:lang w:val="es"/>
        </w:rPr>
        <w:t xml:space="preserve">del 28 de enero de 2016, </w:t>
      </w:r>
      <w:r w:rsidR="00E9782A" w:rsidRPr="008C1FFE">
        <w:rPr>
          <w:rFonts w:ascii="Tahoma" w:eastAsia="Tahoma" w:hAnsi="Tahoma" w:cs="Tahoma"/>
          <w:sz w:val="24"/>
          <w:szCs w:val="24"/>
          <w:lang w:val="es"/>
        </w:rPr>
        <w:lastRenderedPageBreak/>
        <w:t xml:space="preserve">en cuantía inicial de $689.454 mensuales, ajustados anualmente de conformidad con la ley, junto con una mesada adicional al año, y las mesadas retroactivas </w:t>
      </w:r>
      <w:r w:rsidR="00C83EF6" w:rsidRPr="008C1FFE">
        <w:rPr>
          <w:rFonts w:ascii="Tahoma" w:eastAsia="Tahoma" w:hAnsi="Tahoma" w:cs="Tahoma"/>
          <w:sz w:val="24"/>
          <w:szCs w:val="24"/>
          <w:lang w:val="es"/>
        </w:rPr>
        <w:t>que para septiembre de 2021, ascendían a $58.465.523 debidamente indexados al momento del pago; (</w:t>
      </w:r>
      <w:r w:rsidR="00E616CF" w:rsidRPr="008C1FFE">
        <w:rPr>
          <w:rFonts w:ascii="Tahoma" w:eastAsia="Tahoma" w:hAnsi="Tahoma" w:cs="Tahoma"/>
          <w:sz w:val="24"/>
          <w:szCs w:val="24"/>
          <w:lang w:val="es"/>
        </w:rPr>
        <w:t>6</w:t>
      </w:r>
      <w:r w:rsidR="00A6717C" w:rsidRPr="008C1FFE">
        <w:rPr>
          <w:rFonts w:ascii="Tahoma" w:eastAsia="Tahoma" w:hAnsi="Tahoma" w:cs="Tahoma"/>
          <w:sz w:val="24"/>
          <w:szCs w:val="24"/>
          <w:lang w:val="es"/>
        </w:rPr>
        <w:t xml:space="preserve">) autorizó a Colpensiones para descontar </w:t>
      </w:r>
      <w:r w:rsidR="003531EC" w:rsidRPr="008C1FFE">
        <w:rPr>
          <w:rFonts w:ascii="Tahoma" w:eastAsia="Tahoma" w:hAnsi="Tahoma" w:cs="Tahoma"/>
          <w:sz w:val="24"/>
          <w:szCs w:val="24"/>
          <w:lang w:val="es"/>
        </w:rPr>
        <w:t xml:space="preserve">de las mesadas pensionales las cotizaciones al Sistema de Seguridad Social en Salud; y por último, </w:t>
      </w:r>
      <w:r w:rsidR="00B9488F" w:rsidRPr="008C1FFE">
        <w:rPr>
          <w:rFonts w:ascii="Tahoma" w:eastAsia="Tahoma" w:hAnsi="Tahoma" w:cs="Tahoma"/>
          <w:sz w:val="24"/>
          <w:szCs w:val="24"/>
          <w:lang w:val="es"/>
        </w:rPr>
        <w:t>(</w:t>
      </w:r>
      <w:r w:rsidR="00E616CF" w:rsidRPr="008C1FFE">
        <w:rPr>
          <w:rFonts w:ascii="Tahoma" w:eastAsia="Tahoma" w:hAnsi="Tahoma" w:cs="Tahoma"/>
          <w:sz w:val="24"/>
          <w:szCs w:val="24"/>
          <w:lang w:val="es"/>
        </w:rPr>
        <w:t>7</w:t>
      </w:r>
      <w:r w:rsidR="00B9488F" w:rsidRPr="008C1FFE">
        <w:rPr>
          <w:rFonts w:ascii="Tahoma" w:eastAsia="Tahoma" w:hAnsi="Tahoma" w:cs="Tahoma"/>
          <w:sz w:val="24"/>
          <w:szCs w:val="24"/>
          <w:lang w:val="es"/>
        </w:rPr>
        <w:t xml:space="preserve">) condenó a costas en un 100% a cargo de ambas demandadas. </w:t>
      </w:r>
    </w:p>
    <w:p w14:paraId="7B33166D" w14:textId="77777777" w:rsidR="004A05ED" w:rsidRPr="008C1FFE" w:rsidRDefault="004A05ED" w:rsidP="008C1FFE">
      <w:pPr>
        <w:spacing w:after="0" w:line="276" w:lineRule="auto"/>
        <w:jc w:val="both"/>
        <w:rPr>
          <w:rFonts w:ascii="Tahoma" w:eastAsia="Tahoma" w:hAnsi="Tahoma" w:cs="Tahoma"/>
          <w:sz w:val="24"/>
          <w:szCs w:val="24"/>
        </w:rPr>
      </w:pPr>
    </w:p>
    <w:p w14:paraId="267BC7BC" w14:textId="4EC2B2CC" w:rsidR="00E62D90" w:rsidRPr="008C1FFE" w:rsidRDefault="001E42A6"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 xml:space="preserve">Para llegar a esta decisión, la </w:t>
      </w:r>
      <w:r w:rsidRPr="008C1FFE">
        <w:rPr>
          <w:rFonts w:ascii="Tahoma" w:eastAsia="Tahoma" w:hAnsi="Tahoma" w:cs="Tahoma"/>
          <w:i/>
          <w:iCs/>
          <w:sz w:val="24"/>
          <w:szCs w:val="24"/>
        </w:rPr>
        <w:t xml:space="preserve">A-quo </w:t>
      </w:r>
      <w:r w:rsidRPr="008C1FFE">
        <w:rPr>
          <w:rFonts w:ascii="Tahoma" w:eastAsia="Tahoma" w:hAnsi="Tahoma" w:cs="Tahoma"/>
          <w:sz w:val="24"/>
          <w:szCs w:val="24"/>
        </w:rPr>
        <w:t>indicó</w:t>
      </w:r>
      <w:r w:rsidR="0023333E" w:rsidRPr="008C1FFE">
        <w:rPr>
          <w:rFonts w:ascii="Tahoma" w:eastAsia="Tahoma" w:hAnsi="Tahoma" w:cs="Tahoma"/>
          <w:sz w:val="24"/>
          <w:szCs w:val="24"/>
        </w:rPr>
        <w:t xml:space="preserve"> </w:t>
      </w:r>
      <w:r w:rsidR="00EF1D4B" w:rsidRPr="008C1FFE">
        <w:rPr>
          <w:rFonts w:ascii="Tahoma" w:eastAsia="Tahoma" w:hAnsi="Tahoma" w:cs="Tahoma"/>
          <w:sz w:val="24"/>
          <w:szCs w:val="24"/>
        </w:rPr>
        <w:t>que si bien no obra en el plenario formulario de afiliación</w:t>
      </w:r>
      <w:r w:rsidR="00CA63FF" w:rsidRPr="008C1FFE">
        <w:rPr>
          <w:rFonts w:ascii="Tahoma" w:eastAsia="Tahoma" w:hAnsi="Tahoma" w:cs="Tahoma"/>
          <w:sz w:val="24"/>
          <w:szCs w:val="24"/>
        </w:rPr>
        <w:t xml:space="preserve">, el demandante aceptó el traslado, que de conformidad con el historial de vinculaciones </w:t>
      </w:r>
      <w:r w:rsidR="006D2BEF" w:rsidRPr="008C1FFE">
        <w:rPr>
          <w:rFonts w:ascii="Tahoma" w:eastAsia="Tahoma" w:hAnsi="Tahoma" w:cs="Tahoma"/>
          <w:sz w:val="24"/>
          <w:szCs w:val="24"/>
        </w:rPr>
        <w:t xml:space="preserve">ocurrió </w:t>
      </w:r>
      <w:r w:rsidR="00CA63FF" w:rsidRPr="008C1FFE">
        <w:rPr>
          <w:rFonts w:ascii="Tahoma" w:eastAsia="Tahoma" w:hAnsi="Tahoma" w:cs="Tahoma"/>
          <w:sz w:val="24"/>
          <w:szCs w:val="24"/>
        </w:rPr>
        <w:t>el 13 de octubre de 1994, con efectividad desde el 1 de noviembre de 1994</w:t>
      </w:r>
      <w:r w:rsidR="001D5759" w:rsidRPr="008C1FFE">
        <w:rPr>
          <w:rFonts w:ascii="Tahoma" w:eastAsia="Tahoma" w:hAnsi="Tahoma" w:cs="Tahoma"/>
          <w:sz w:val="24"/>
          <w:szCs w:val="24"/>
        </w:rPr>
        <w:t>;</w:t>
      </w:r>
      <w:r w:rsidR="00CA63FF" w:rsidRPr="008C1FFE">
        <w:rPr>
          <w:rFonts w:ascii="Tahoma" w:eastAsia="Tahoma" w:hAnsi="Tahoma" w:cs="Tahoma"/>
          <w:sz w:val="24"/>
          <w:szCs w:val="24"/>
        </w:rPr>
        <w:t xml:space="preserve"> </w:t>
      </w:r>
      <w:r w:rsidR="00FA0EEF" w:rsidRPr="008C1FFE">
        <w:rPr>
          <w:rFonts w:ascii="Tahoma" w:eastAsia="Tahoma" w:hAnsi="Tahoma" w:cs="Tahoma"/>
          <w:sz w:val="24"/>
          <w:szCs w:val="24"/>
        </w:rPr>
        <w:t>sin embargo, resaltó la falta de prueba que diera cuenta del deber de información</w:t>
      </w:r>
      <w:r w:rsidR="00892604" w:rsidRPr="008C1FFE">
        <w:rPr>
          <w:rFonts w:ascii="Tahoma" w:eastAsia="Tahoma" w:hAnsi="Tahoma" w:cs="Tahoma"/>
          <w:sz w:val="24"/>
          <w:szCs w:val="24"/>
        </w:rPr>
        <w:t xml:space="preserve"> manifestada por el demandante en el interrogatorio y en la demanda, sin que el la AFP demandada hubiera demostrado que cumplió con el deber de información</w:t>
      </w:r>
      <w:r w:rsidR="003B7DF2" w:rsidRPr="008C1FFE">
        <w:rPr>
          <w:rFonts w:ascii="Tahoma" w:eastAsia="Tahoma" w:hAnsi="Tahoma" w:cs="Tahoma"/>
          <w:sz w:val="24"/>
          <w:szCs w:val="24"/>
        </w:rPr>
        <w:t>, en tanto le correspondía a esta última la carga de la prueba, ante la negación indefinida del demandante</w:t>
      </w:r>
      <w:r w:rsidR="004F7382" w:rsidRPr="008C1FFE">
        <w:rPr>
          <w:rFonts w:ascii="Tahoma" w:eastAsia="Tahoma" w:hAnsi="Tahoma" w:cs="Tahoma"/>
          <w:sz w:val="24"/>
          <w:szCs w:val="24"/>
        </w:rPr>
        <w:t xml:space="preserve">, y no hubo afirmaciones que pudieran calificarse como confesión. </w:t>
      </w:r>
    </w:p>
    <w:p w14:paraId="51189019" w14:textId="365CECBE" w:rsidR="00B33903" w:rsidRPr="008C1FFE" w:rsidRDefault="00B33903" w:rsidP="008C1FFE">
      <w:pPr>
        <w:spacing w:after="0" w:line="276" w:lineRule="auto"/>
        <w:ind w:firstLine="708"/>
        <w:jc w:val="both"/>
        <w:rPr>
          <w:rFonts w:ascii="Tahoma" w:eastAsia="Tahoma" w:hAnsi="Tahoma" w:cs="Tahoma"/>
          <w:sz w:val="24"/>
          <w:szCs w:val="24"/>
        </w:rPr>
      </w:pPr>
    </w:p>
    <w:p w14:paraId="25F310D0" w14:textId="7D69561D" w:rsidR="00B33903" w:rsidRPr="008C1FFE" w:rsidRDefault="00B33903"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 xml:space="preserve">Frente a la negativa de Colpensiones a recibir al actor indicó que </w:t>
      </w:r>
      <w:r w:rsidR="00A70B02" w:rsidRPr="008C1FFE">
        <w:rPr>
          <w:rFonts w:ascii="Tahoma" w:eastAsia="Tahoma" w:hAnsi="Tahoma" w:cs="Tahoma"/>
          <w:sz w:val="24"/>
          <w:szCs w:val="24"/>
        </w:rPr>
        <w:t xml:space="preserve">conforme a las </w:t>
      </w:r>
      <w:r w:rsidR="008C69F8" w:rsidRPr="008C1FFE">
        <w:rPr>
          <w:rFonts w:ascii="Tahoma" w:eastAsia="Tahoma" w:hAnsi="Tahoma" w:cs="Tahoma"/>
          <w:sz w:val="24"/>
          <w:szCs w:val="24"/>
        </w:rPr>
        <w:t>sentencias C-</w:t>
      </w:r>
      <w:r w:rsidR="00A7206C" w:rsidRPr="008C1FFE">
        <w:rPr>
          <w:rFonts w:ascii="Tahoma" w:eastAsia="Tahoma" w:hAnsi="Tahoma" w:cs="Tahoma"/>
          <w:sz w:val="24"/>
          <w:szCs w:val="24"/>
        </w:rPr>
        <w:t xml:space="preserve">789 </w:t>
      </w:r>
      <w:r w:rsidR="00B55D7E" w:rsidRPr="008C1FFE">
        <w:rPr>
          <w:rFonts w:ascii="Tahoma" w:eastAsia="Tahoma" w:hAnsi="Tahoma" w:cs="Tahoma"/>
          <w:sz w:val="24"/>
          <w:szCs w:val="24"/>
        </w:rPr>
        <w:t xml:space="preserve">de </w:t>
      </w:r>
      <w:r w:rsidR="00A7206C" w:rsidRPr="008C1FFE">
        <w:rPr>
          <w:rFonts w:ascii="Tahoma" w:eastAsia="Tahoma" w:hAnsi="Tahoma" w:cs="Tahoma"/>
          <w:sz w:val="24"/>
          <w:szCs w:val="24"/>
        </w:rPr>
        <w:t xml:space="preserve">2002, C-1024 </w:t>
      </w:r>
      <w:r w:rsidR="00B55D7E" w:rsidRPr="008C1FFE">
        <w:rPr>
          <w:rFonts w:ascii="Tahoma" w:eastAsia="Tahoma" w:hAnsi="Tahoma" w:cs="Tahoma"/>
          <w:sz w:val="24"/>
          <w:szCs w:val="24"/>
        </w:rPr>
        <w:t>de</w:t>
      </w:r>
      <w:r w:rsidR="00A7206C" w:rsidRPr="008C1FFE">
        <w:rPr>
          <w:rFonts w:ascii="Tahoma" w:eastAsia="Tahoma" w:hAnsi="Tahoma" w:cs="Tahoma"/>
          <w:sz w:val="24"/>
          <w:szCs w:val="24"/>
        </w:rPr>
        <w:t xml:space="preserve"> 2004 y </w:t>
      </w:r>
      <w:r w:rsidRPr="008C1FFE">
        <w:rPr>
          <w:rFonts w:ascii="Tahoma" w:eastAsia="Tahoma" w:hAnsi="Tahoma" w:cs="Tahoma"/>
          <w:sz w:val="24"/>
          <w:szCs w:val="24"/>
        </w:rPr>
        <w:t xml:space="preserve">SU-130 de 2013, </w:t>
      </w:r>
      <w:r w:rsidR="001C22D2" w:rsidRPr="008C1FFE">
        <w:rPr>
          <w:rFonts w:ascii="Tahoma" w:eastAsia="Tahoma" w:hAnsi="Tahoma" w:cs="Tahoma"/>
          <w:sz w:val="24"/>
          <w:szCs w:val="24"/>
        </w:rPr>
        <w:t>los afiliados con 15 años o más de servicios cotizados al 1 de abril de 1994, tenían libertad de traslado entre regímenes</w:t>
      </w:r>
      <w:r w:rsidR="00B11C00" w:rsidRPr="008C1FFE">
        <w:rPr>
          <w:rFonts w:ascii="Tahoma" w:eastAsia="Tahoma" w:hAnsi="Tahoma" w:cs="Tahoma"/>
          <w:sz w:val="24"/>
          <w:szCs w:val="24"/>
        </w:rPr>
        <w:t>, en cualquier tiempo conservando los beneficios del régimen de transición</w:t>
      </w:r>
      <w:r w:rsidR="006A7CB0" w:rsidRPr="008C1FFE">
        <w:rPr>
          <w:rFonts w:ascii="Tahoma" w:eastAsia="Tahoma" w:hAnsi="Tahoma" w:cs="Tahoma"/>
          <w:sz w:val="24"/>
          <w:szCs w:val="24"/>
        </w:rPr>
        <w:t xml:space="preserve">, por lo que calificó de fragrante la omisión de Colpensiones para impartir tramite a la solicitud de traslado del </w:t>
      </w:r>
      <w:r w:rsidR="006A6931" w:rsidRPr="008C1FFE">
        <w:rPr>
          <w:rFonts w:ascii="Tahoma" w:eastAsia="Tahoma" w:hAnsi="Tahoma" w:cs="Tahoma"/>
          <w:sz w:val="24"/>
          <w:szCs w:val="24"/>
        </w:rPr>
        <w:t>gestor.</w:t>
      </w:r>
    </w:p>
    <w:p w14:paraId="505D091D" w14:textId="1C3390B4" w:rsidR="0023333E" w:rsidRPr="008C1FFE" w:rsidRDefault="0023333E" w:rsidP="008C1FFE">
      <w:pPr>
        <w:spacing w:after="0" w:line="276" w:lineRule="auto"/>
        <w:jc w:val="both"/>
        <w:rPr>
          <w:rFonts w:ascii="Tahoma" w:eastAsia="Tahoma" w:hAnsi="Tahoma" w:cs="Tahoma"/>
          <w:sz w:val="24"/>
          <w:szCs w:val="24"/>
        </w:rPr>
      </w:pPr>
    </w:p>
    <w:p w14:paraId="014303D7" w14:textId="18B1D48B" w:rsidR="0023333E" w:rsidRPr="008C1FFE" w:rsidRDefault="009145B6"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Respecto de la solicitud del reconocimiento pensional</w:t>
      </w:r>
      <w:r w:rsidR="0023333E" w:rsidRPr="008C1FFE">
        <w:rPr>
          <w:rFonts w:ascii="Tahoma" w:eastAsia="Tahoma" w:hAnsi="Tahoma" w:cs="Tahoma"/>
          <w:sz w:val="24"/>
          <w:szCs w:val="24"/>
        </w:rPr>
        <w:t>, arguy</w:t>
      </w:r>
      <w:r w:rsidR="005A1D54" w:rsidRPr="008C1FFE">
        <w:rPr>
          <w:rFonts w:ascii="Tahoma" w:eastAsia="Tahoma" w:hAnsi="Tahoma" w:cs="Tahoma"/>
          <w:sz w:val="24"/>
          <w:szCs w:val="24"/>
        </w:rPr>
        <w:t>ó</w:t>
      </w:r>
      <w:r w:rsidR="0023333E" w:rsidRPr="008C1FFE">
        <w:rPr>
          <w:rFonts w:ascii="Tahoma" w:eastAsia="Tahoma" w:hAnsi="Tahoma" w:cs="Tahoma"/>
          <w:sz w:val="24"/>
          <w:szCs w:val="24"/>
        </w:rPr>
        <w:t xml:space="preserve"> que la parte activa de la litis </w:t>
      </w:r>
      <w:r w:rsidR="00815947" w:rsidRPr="008C1FFE">
        <w:rPr>
          <w:rFonts w:ascii="Tahoma" w:eastAsia="Tahoma" w:hAnsi="Tahoma" w:cs="Tahoma"/>
          <w:sz w:val="24"/>
          <w:szCs w:val="24"/>
        </w:rPr>
        <w:t xml:space="preserve">nació el 1 de julio de 1952, </w:t>
      </w:r>
      <w:r w:rsidR="00DF25F8" w:rsidRPr="008C1FFE">
        <w:rPr>
          <w:rFonts w:ascii="Tahoma" w:eastAsia="Tahoma" w:hAnsi="Tahoma" w:cs="Tahoma"/>
          <w:sz w:val="24"/>
          <w:szCs w:val="24"/>
        </w:rPr>
        <w:t xml:space="preserve">por lo que </w:t>
      </w:r>
      <w:r w:rsidR="00815947" w:rsidRPr="008C1FFE">
        <w:rPr>
          <w:rFonts w:ascii="Tahoma" w:eastAsia="Tahoma" w:hAnsi="Tahoma" w:cs="Tahoma"/>
          <w:sz w:val="24"/>
          <w:szCs w:val="24"/>
        </w:rPr>
        <w:t>al 1 de abril de 1994, contaba con 41 años de edad</w:t>
      </w:r>
      <w:r w:rsidR="00F71C4C" w:rsidRPr="008C1FFE">
        <w:rPr>
          <w:rFonts w:ascii="Tahoma" w:eastAsia="Tahoma" w:hAnsi="Tahoma" w:cs="Tahoma"/>
          <w:sz w:val="24"/>
          <w:szCs w:val="24"/>
        </w:rPr>
        <w:t xml:space="preserve">, y más de 1000 semanas cotizadas, </w:t>
      </w:r>
      <w:r w:rsidR="00DF25F8" w:rsidRPr="008C1FFE">
        <w:rPr>
          <w:rFonts w:ascii="Tahoma" w:eastAsia="Tahoma" w:hAnsi="Tahoma" w:cs="Tahoma"/>
          <w:sz w:val="24"/>
          <w:szCs w:val="24"/>
        </w:rPr>
        <w:t xml:space="preserve">siendo </w:t>
      </w:r>
      <w:r w:rsidR="00F71C4C" w:rsidRPr="008C1FFE">
        <w:rPr>
          <w:rFonts w:ascii="Tahoma" w:eastAsia="Tahoma" w:hAnsi="Tahoma" w:cs="Tahoma"/>
          <w:sz w:val="24"/>
          <w:szCs w:val="24"/>
        </w:rPr>
        <w:t xml:space="preserve">beneficiario del régimen de transición previsto en el artículo 36 </w:t>
      </w:r>
      <w:r w:rsidR="00DF25F8" w:rsidRPr="008C1FFE">
        <w:rPr>
          <w:rFonts w:ascii="Tahoma" w:eastAsia="Tahoma" w:hAnsi="Tahoma" w:cs="Tahoma"/>
          <w:sz w:val="24"/>
          <w:szCs w:val="24"/>
        </w:rPr>
        <w:t xml:space="preserve">de la ley 100 de 1993 y </w:t>
      </w:r>
      <w:r w:rsidR="00F71C4C" w:rsidRPr="008C1FFE">
        <w:rPr>
          <w:rFonts w:ascii="Tahoma" w:eastAsia="Tahoma" w:hAnsi="Tahoma" w:cs="Tahoma"/>
          <w:sz w:val="24"/>
          <w:szCs w:val="24"/>
        </w:rPr>
        <w:t>Acuerdo 049 de 1990</w:t>
      </w:r>
      <w:r w:rsidR="00DF1979" w:rsidRPr="008C1FFE">
        <w:rPr>
          <w:rFonts w:ascii="Tahoma" w:eastAsia="Tahoma" w:hAnsi="Tahoma" w:cs="Tahoma"/>
          <w:sz w:val="24"/>
          <w:szCs w:val="24"/>
        </w:rPr>
        <w:t xml:space="preserve">, además indicó que el actor al 1 de </w:t>
      </w:r>
      <w:r w:rsidR="00412E14" w:rsidRPr="008C1FFE">
        <w:rPr>
          <w:rFonts w:ascii="Tahoma" w:eastAsia="Tahoma" w:hAnsi="Tahoma" w:cs="Tahoma"/>
          <w:sz w:val="24"/>
          <w:szCs w:val="24"/>
        </w:rPr>
        <w:t>julio de 2012</w:t>
      </w:r>
      <w:r w:rsidR="006F7F19" w:rsidRPr="008C1FFE">
        <w:rPr>
          <w:rFonts w:ascii="Tahoma" w:eastAsia="Tahoma" w:hAnsi="Tahoma" w:cs="Tahoma"/>
          <w:sz w:val="24"/>
          <w:szCs w:val="24"/>
        </w:rPr>
        <w:t xml:space="preserve"> cumplió 60 años de edad, </w:t>
      </w:r>
      <w:r w:rsidR="00C82F2E" w:rsidRPr="008C1FFE">
        <w:rPr>
          <w:rFonts w:ascii="Tahoma" w:eastAsia="Tahoma" w:hAnsi="Tahoma" w:cs="Tahoma"/>
          <w:sz w:val="24"/>
          <w:szCs w:val="24"/>
        </w:rPr>
        <w:t>por lo cual se consolidó el derecho pensional</w:t>
      </w:r>
      <w:r w:rsidR="006F7F19" w:rsidRPr="008C1FFE">
        <w:rPr>
          <w:rFonts w:ascii="Tahoma" w:eastAsia="Tahoma" w:hAnsi="Tahoma" w:cs="Tahoma"/>
          <w:sz w:val="24"/>
          <w:szCs w:val="24"/>
        </w:rPr>
        <w:t xml:space="preserve">. </w:t>
      </w:r>
      <w:r w:rsidR="00C82F2E" w:rsidRPr="008C1FFE">
        <w:rPr>
          <w:rFonts w:ascii="Tahoma" w:eastAsia="Tahoma" w:hAnsi="Tahoma" w:cs="Tahoma"/>
          <w:sz w:val="24"/>
          <w:szCs w:val="24"/>
        </w:rPr>
        <w:t xml:space="preserve">En consecuencia, condenó al reconocimiento y pago </w:t>
      </w:r>
      <w:r w:rsidR="00486C91" w:rsidRPr="008C1FFE">
        <w:rPr>
          <w:rFonts w:ascii="Tahoma" w:eastAsia="Tahoma" w:hAnsi="Tahoma" w:cs="Tahoma"/>
          <w:sz w:val="24"/>
          <w:szCs w:val="24"/>
        </w:rPr>
        <w:t xml:space="preserve">sobre </w:t>
      </w:r>
      <w:r w:rsidR="005675CD" w:rsidRPr="008C1FFE">
        <w:rPr>
          <w:rFonts w:ascii="Tahoma" w:eastAsia="Tahoma" w:hAnsi="Tahoma" w:cs="Tahoma"/>
          <w:sz w:val="24"/>
          <w:szCs w:val="24"/>
        </w:rPr>
        <w:t>una tasa de reemplazo de</w:t>
      </w:r>
      <w:r w:rsidR="006652E0" w:rsidRPr="008C1FFE">
        <w:rPr>
          <w:rFonts w:ascii="Tahoma" w:eastAsia="Tahoma" w:hAnsi="Tahoma" w:cs="Tahoma"/>
          <w:sz w:val="24"/>
          <w:szCs w:val="24"/>
        </w:rPr>
        <w:t xml:space="preserve"> un 81% al acreditar </w:t>
      </w:r>
      <w:r w:rsidR="00486C91" w:rsidRPr="008C1FFE">
        <w:rPr>
          <w:rFonts w:ascii="Tahoma" w:eastAsia="Tahoma" w:hAnsi="Tahoma" w:cs="Tahoma"/>
          <w:sz w:val="24"/>
          <w:szCs w:val="24"/>
        </w:rPr>
        <w:t>más</w:t>
      </w:r>
      <w:r w:rsidR="006652E0" w:rsidRPr="008C1FFE">
        <w:rPr>
          <w:rFonts w:ascii="Tahoma" w:eastAsia="Tahoma" w:hAnsi="Tahoma" w:cs="Tahoma"/>
          <w:sz w:val="24"/>
          <w:szCs w:val="24"/>
        </w:rPr>
        <w:t xml:space="preserve"> de 1000 semanas y menos de 1150</w:t>
      </w:r>
      <w:r w:rsidR="00BD5A8C" w:rsidRPr="008C1FFE">
        <w:rPr>
          <w:rFonts w:ascii="Tahoma" w:eastAsia="Tahoma" w:hAnsi="Tahoma" w:cs="Tahoma"/>
          <w:sz w:val="24"/>
          <w:szCs w:val="24"/>
        </w:rPr>
        <w:t xml:space="preserve">, sin </w:t>
      </w:r>
      <w:r w:rsidR="00304498" w:rsidRPr="008C1FFE">
        <w:rPr>
          <w:rFonts w:ascii="Tahoma" w:eastAsia="Tahoma" w:hAnsi="Tahoma" w:cs="Tahoma"/>
          <w:sz w:val="24"/>
          <w:szCs w:val="24"/>
        </w:rPr>
        <w:t>embargo,</w:t>
      </w:r>
      <w:r w:rsidR="00BD5A8C" w:rsidRPr="008C1FFE">
        <w:rPr>
          <w:rFonts w:ascii="Tahoma" w:eastAsia="Tahoma" w:hAnsi="Tahoma" w:cs="Tahoma"/>
          <w:sz w:val="24"/>
          <w:szCs w:val="24"/>
        </w:rPr>
        <w:t xml:space="preserve"> como el ingreso base de liquidación ascendió a un salario mínimo, fijo tal monto como mesada pensional.</w:t>
      </w:r>
    </w:p>
    <w:p w14:paraId="793393E9" w14:textId="77777777" w:rsidR="006A13DC" w:rsidRPr="008C1FFE" w:rsidRDefault="006A13DC" w:rsidP="008C1FFE">
      <w:pPr>
        <w:spacing w:after="0" w:line="276" w:lineRule="auto"/>
        <w:ind w:firstLine="708"/>
        <w:jc w:val="both"/>
        <w:rPr>
          <w:rFonts w:ascii="Tahoma" w:eastAsia="Tahoma" w:hAnsi="Tahoma" w:cs="Tahoma"/>
          <w:sz w:val="24"/>
          <w:szCs w:val="24"/>
        </w:rPr>
      </w:pPr>
    </w:p>
    <w:p w14:paraId="2CDA88D2" w14:textId="7BED6EDE" w:rsidR="00414042" w:rsidRPr="008C1FFE" w:rsidRDefault="00414042"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Por último, declaró prescritas las mesadas pensionales a partir del 28 de enero de 2016, en tanto efectuó la reclamación administrativa el 28 de enero de 201</w:t>
      </w:r>
      <w:r w:rsidR="00304498" w:rsidRPr="008C1FFE">
        <w:rPr>
          <w:rFonts w:ascii="Tahoma" w:eastAsia="Tahoma" w:hAnsi="Tahoma" w:cs="Tahoma"/>
          <w:sz w:val="24"/>
          <w:szCs w:val="24"/>
        </w:rPr>
        <w:t>9.</w:t>
      </w:r>
    </w:p>
    <w:p w14:paraId="029320CB" w14:textId="77777777" w:rsidR="006A13DC" w:rsidRPr="008C1FFE" w:rsidRDefault="006A13DC" w:rsidP="008C1FFE">
      <w:pPr>
        <w:spacing w:after="0" w:line="276" w:lineRule="auto"/>
        <w:jc w:val="both"/>
        <w:rPr>
          <w:rFonts w:ascii="Tahoma" w:hAnsi="Tahoma" w:cs="Tahoma"/>
          <w:sz w:val="24"/>
          <w:szCs w:val="24"/>
        </w:rPr>
      </w:pPr>
    </w:p>
    <w:p w14:paraId="774F88A4" w14:textId="4CF0208E" w:rsidR="1B4704F1" w:rsidRPr="008C1FFE" w:rsidRDefault="1B4704F1" w:rsidP="008C1FFE">
      <w:pPr>
        <w:pStyle w:val="Prrafodelista"/>
        <w:numPr>
          <w:ilvl w:val="0"/>
          <w:numId w:val="3"/>
        </w:numPr>
        <w:spacing w:line="276" w:lineRule="auto"/>
        <w:jc w:val="center"/>
        <w:rPr>
          <w:rFonts w:eastAsiaTheme="minorEastAsia"/>
          <w:b/>
          <w:bCs/>
          <w:sz w:val="24"/>
          <w:szCs w:val="24"/>
        </w:rPr>
      </w:pPr>
      <w:r w:rsidRPr="008C1FFE">
        <w:rPr>
          <w:b/>
          <w:bCs/>
          <w:sz w:val="24"/>
          <w:szCs w:val="24"/>
          <w:lang w:val="es"/>
        </w:rPr>
        <w:t>Recurso</w:t>
      </w:r>
      <w:r w:rsidR="00734A36" w:rsidRPr="008C1FFE">
        <w:rPr>
          <w:b/>
          <w:bCs/>
          <w:sz w:val="24"/>
          <w:szCs w:val="24"/>
          <w:lang w:val="es"/>
        </w:rPr>
        <w:t>s</w:t>
      </w:r>
      <w:r w:rsidRPr="008C1FFE">
        <w:rPr>
          <w:b/>
          <w:bCs/>
          <w:sz w:val="24"/>
          <w:szCs w:val="24"/>
          <w:lang w:val="es"/>
        </w:rPr>
        <w:t xml:space="preserve"> de apelación y procedencia de la consulta</w:t>
      </w:r>
    </w:p>
    <w:p w14:paraId="2A881A7A" w14:textId="77777777" w:rsidR="00A039B5" w:rsidRPr="008C1FFE" w:rsidRDefault="00A039B5" w:rsidP="008C1FFE">
      <w:pPr>
        <w:spacing w:after="0" w:line="276" w:lineRule="auto"/>
        <w:jc w:val="both"/>
        <w:rPr>
          <w:rFonts w:ascii="Tahoma" w:eastAsia="Tahoma" w:hAnsi="Tahoma" w:cs="Tahoma"/>
          <w:b/>
          <w:bCs/>
          <w:sz w:val="24"/>
          <w:szCs w:val="24"/>
          <w:lang w:val="es"/>
        </w:rPr>
      </w:pPr>
    </w:p>
    <w:p w14:paraId="2C31DBB6" w14:textId="01FD0C3C" w:rsidR="005A1D54" w:rsidRPr="008C1FFE" w:rsidRDefault="0038337E" w:rsidP="008C1FFE">
      <w:pPr>
        <w:spacing w:after="0" w:line="276" w:lineRule="auto"/>
        <w:ind w:firstLine="708"/>
        <w:jc w:val="both"/>
        <w:rPr>
          <w:rFonts w:ascii="Tahoma" w:eastAsia="Tahoma" w:hAnsi="Tahoma" w:cs="Tahoma"/>
          <w:sz w:val="24"/>
          <w:szCs w:val="24"/>
          <w:lang w:val="es"/>
        </w:rPr>
      </w:pPr>
      <w:bookmarkStart w:id="5" w:name="_Hlk77056881"/>
      <w:r w:rsidRPr="008C1FFE">
        <w:rPr>
          <w:rFonts w:ascii="Tahoma" w:eastAsia="Tahoma" w:hAnsi="Tahoma" w:cs="Tahoma"/>
          <w:b/>
          <w:bCs/>
          <w:sz w:val="24"/>
          <w:szCs w:val="24"/>
          <w:lang w:val="es"/>
        </w:rPr>
        <w:t xml:space="preserve">Protección </w:t>
      </w:r>
      <w:r w:rsidR="001F170B" w:rsidRPr="008C1FFE">
        <w:rPr>
          <w:rFonts w:ascii="Tahoma" w:eastAsia="Tahoma" w:hAnsi="Tahoma" w:cs="Tahoma"/>
          <w:b/>
          <w:bCs/>
          <w:sz w:val="24"/>
          <w:szCs w:val="24"/>
          <w:lang w:val="es"/>
        </w:rPr>
        <w:t xml:space="preserve">S.A. </w:t>
      </w:r>
      <w:r w:rsidR="005A1D54" w:rsidRPr="008C1FFE">
        <w:rPr>
          <w:rFonts w:ascii="Tahoma" w:eastAsia="Tahoma" w:hAnsi="Tahoma" w:cs="Tahoma"/>
          <w:sz w:val="24"/>
          <w:szCs w:val="24"/>
          <w:lang w:val="es"/>
        </w:rPr>
        <w:t xml:space="preserve">interpuso recurso de apelación únicamente respecto a los gastos de </w:t>
      </w:r>
      <w:r w:rsidR="00A30088" w:rsidRPr="008C1FFE">
        <w:rPr>
          <w:rFonts w:ascii="Tahoma" w:eastAsia="Tahoma" w:hAnsi="Tahoma" w:cs="Tahoma"/>
          <w:sz w:val="24"/>
          <w:szCs w:val="24"/>
          <w:lang w:val="es"/>
        </w:rPr>
        <w:t xml:space="preserve">administración, argumentando que el artículo </w:t>
      </w:r>
      <w:r w:rsidR="006C0C74" w:rsidRPr="008C1FFE">
        <w:rPr>
          <w:rFonts w:ascii="Tahoma" w:eastAsia="Tahoma" w:hAnsi="Tahoma" w:cs="Tahoma"/>
          <w:sz w:val="24"/>
          <w:szCs w:val="24"/>
          <w:lang w:val="es"/>
        </w:rPr>
        <w:t xml:space="preserve">20 de la Ley 100 de 1993, modificado por el artículo </w:t>
      </w:r>
      <w:r w:rsidR="0028727F" w:rsidRPr="008C1FFE">
        <w:rPr>
          <w:rFonts w:ascii="Tahoma" w:eastAsia="Tahoma" w:hAnsi="Tahoma" w:cs="Tahoma"/>
          <w:sz w:val="24"/>
          <w:szCs w:val="24"/>
          <w:lang w:val="es"/>
        </w:rPr>
        <w:t>07</w:t>
      </w:r>
      <w:r w:rsidR="00A30088" w:rsidRPr="008C1FFE">
        <w:rPr>
          <w:rFonts w:ascii="Tahoma" w:eastAsia="Tahoma" w:hAnsi="Tahoma" w:cs="Tahoma"/>
          <w:sz w:val="24"/>
          <w:szCs w:val="24"/>
          <w:lang w:val="es"/>
        </w:rPr>
        <w:t xml:space="preserve"> de la ley 797 de 2003, </w:t>
      </w:r>
      <w:r w:rsidR="00F65089" w:rsidRPr="008C1FFE">
        <w:rPr>
          <w:rFonts w:ascii="Tahoma" w:eastAsia="Tahoma" w:hAnsi="Tahoma" w:cs="Tahoma"/>
          <w:sz w:val="24"/>
          <w:szCs w:val="24"/>
          <w:lang w:val="es"/>
        </w:rPr>
        <w:t xml:space="preserve">contempla una obligación bilateral que debe soportar el afiliado, y el fondo debe ejecutarla. Además de que </w:t>
      </w:r>
      <w:r w:rsidR="00A30088" w:rsidRPr="008C1FFE">
        <w:rPr>
          <w:rFonts w:ascii="Tahoma" w:eastAsia="Tahoma" w:hAnsi="Tahoma" w:cs="Tahoma"/>
          <w:sz w:val="24"/>
          <w:szCs w:val="24"/>
          <w:lang w:val="es"/>
        </w:rPr>
        <w:t xml:space="preserve">gastos de </w:t>
      </w:r>
      <w:r w:rsidR="00B12346" w:rsidRPr="008C1FFE">
        <w:rPr>
          <w:rFonts w:ascii="Tahoma" w:eastAsia="Tahoma" w:hAnsi="Tahoma" w:cs="Tahoma"/>
          <w:sz w:val="24"/>
          <w:szCs w:val="24"/>
          <w:lang w:val="es"/>
        </w:rPr>
        <w:t>administración</w:t>
      </w:r>
      <w:r w:rsidR="0028727F" w:rsidRPr="008C1FFE">
        <w:rPr>
          <w:rFonts w:ascii="Tahoma" w:eastAsia="Tahoma" w:hAnsi="Tahoma" w:cs="Tahoma"/>
          <w:sz w:val="24"/>
          <w:szCs w:val="24"/>
          <w:lang w:val="es"/>
        </w:rPr>
        <w:t xml:space="preserve"> </w:t>
      </w:r>
      <w:r w:rsidR="00393663" w:rsidRPr="008C1FFE">
        <w:rPr>
          <w:rFonts w:ascii="Tahoma" w:eastAsia="Tahoma" w:hAnsi="Tahoma" w:cs="Tahoma"/>
          <w:sz w:val="24"/>
          <w:szCs w:val="24"/>
          <w:lang w:val="es"/>
        </w:rPr>
        <w:t xml:space="preserve">tienen como destino cubrir </w:t>
      </w:r>
      <w:r w:rsidR="001435B5" w:rsidRPr="008C1FFE">
        <w:rPr>
          <w:rFonts w:ascii="Tahoma" w:eastAsia="Tahoma" w:hAnsi="Tahoma" w:cs="Tahoma"/>
          <w:sz w:val="24"/>
          <w:szCs w:val="24"/>
          <w:lang w:val="es"/>
        </w:rPr>
        <w:t>riesgos que solo benefician al afiliado,</w:t>
      </w:r>
      <w:r w:rsidR="00393663" w:rsidRPr="008C1FFE">
        <w:rPr>
          <w:rFonts w:ascii="Tahoma" w:eastAsia="Tahoma" w:hAnsi="Tahoma" w:cs="Tahoma"/>
          <w:sz w:val="24"/>
          <w:szCs w:val="24"/>
          <w:lang w:val="es"/>
        </w:rPr>
        <w:t xml:space="preserve"> como la garantía de pensión mínima, </w:t>
      </w:r>
      <w:r w:rsidR="000F51C3" w:rsidRPr="008C1FFE">
        <w:rPr>
          <w:rFonts w:ascii="Tahoma" w:eastAsia="Tahoma" w:hAnsi="Tahoma" w:cs="Tahoma"/>
          <w:sz w:val="24"/>
          <w:szCs w:val="24"/>
          <w:lang w:val="es"/>
        </w:rPr>
        <w:t xml:space="preserve">seguros previsionales, </w:t>
      </w:r>
      <w:r w:rsidR="00764711" w:rsidRPr="008C1FFE">
        <w:rPr>
          <w:rFonts w:ascii="Tahoma" w:eastAsia="Tahoma" w:hAnsi="Tahoma" w:cs="Tahoma"/>
          <w:sz w:val="24"/>
          <w:szCs w:val="24"/>
          <w:lang w:val="es"/>
        </w:rPr>
        <w:t xml:space="preserve">fondo de solidaridad, el reaseguro con </w:t>
      </w:r>
      <w:r w:rsidR="006A13DC" w:rsidRPr="008C1FFE">
        <w:rPr>
          <w:rFonts w:ascii="Tahoma" w:eastAsia="Tahoma" w:hAnsi="Tahoma" w:cs="Tahoma"/>
          <w:sz w:val="24"/>
          <w:szCs w:val="24"/>
          <w:lang w:val="es"/>
        </w:rPr>
        <w:t>FOGAFÍN</w:t>
      </w:r>
      <w:r w:rsidR="00764711" w:rsidRPr="008C1FFE">
        <w:rPr>
          <w:rFonts w:ascii="Tahoma" w:eastAsia="Tahoma" w:hAnsi="Tahoma" w:cs="Tahoma"/>
          <w:sz w:val="24"/>
          <w:szCs w:val="24"/>
          <w:lang w:val="es"/>
        </w:rPr>
        <w:t>,</w:t>
      </w:r>
      <w:r w:rsidR="00627AE2" w:rsidRPr="008C1FFE">
        <w:rPr>
          <w:rFonts w:ascii="Tahoma" w:eastAsia="Tahoma" w:hAnsi="Tahoma" w:cs="Tahoma"/>
          <w:sz w:val="24"/>
          <w:szCs w:val="24"/>
          <w:lang w:val="es"/>
        </w:rPr>
        <w:t xml:space="preserve"> </w:t>
      </w:r>
      <w:r w:rsidR="000F51C3" w:rsidRPr="008C1FFE">
        <w:rPr>
          <w:rFonts w:ascii="Tahoma" w:eastAsia="Tahoma" w:hAnsi="Tahoma" w:cs="Tahoma"/>
          <w:sz w:val="24"/>
          <w:szCs w:val="24"/>
          <w:lang w:val="es"/>
        </w:rPr>
        <w:t>entre otros, que se cubren por imperativo legal</w:t>
      </w:r>
      <w:r w:rsidR="00627AE2" w:rsidRPr="008C1FFE">
        <w:rPr>
          <w:rFonts w:ascii="Tahoma" w:eastAsia="Tahoma" w:hAnsi="Tahoma" w:cs="Tahoma"/>
          <w:sz w:val="24"/>
          <w:szCs w:val="24"/>
          <w:lang w:val="es"/>
        </w:rPr>
        <w:t xml:space="preserve"> con el 3.5% de los aportes</w:t>
      </w:r>
      <w:r w:rsidR="001476FD" w:rsidRPr="008C1FFE">
        <w:rPr>
          <w:rFonts w:ascii="Tahoma" w:eastAsia="Tahoma" w:hAnsi="Tahoma" w:cs="Tahoma"/>
          <w:sz w:val="24"/>
          <w:szCs w:val="24"/>
          <w:lang w:val="es"/>
        </w:rPr>
        <w:t>,</w:t>
      </w:r>
      <w:r w:rsidR="00486C91" w:rsidRPr="008C1FFE">
        <w:rPr>
          <w:rFonts w:ascii="Tahoma" w:eastAsia="Tahoma" w:hAnsi="Tahoma" w:cs="Tahoma"/>
          <w:sz w:val="24"/>
          <w:szCs w:val="24"/>
          <w:lang w:val="es"/>
        </w:rPr>
        <w:t xml:space="preserve"> además de</w:t>
      </w:r>
      <w:r w:rsidR="001476FD" w:rsidRPr="008C1FFE">
        <w:rPr>
          <w:rFonts w:ascii="Tahoma" w:eastAsia="Tahoma" w:hAnsi="Tahoma" w:cs="Tahoma"/>
          <w:sz w:val="24"/>
          <w:szCs w:val="24"/>
          <w:lang w:val="es"/>
        </w:rPr>
        <w:t xml:space="preserve"> que </w:t>
      </w:r>
      <w:r w:rsidR="00486C91" w:rsidRPr="008C1FFE">
        <w:rPr>
          <w:rFonts w:ascii="Tahoma" w:eastAsia="Tahoma" w:hAnsi="Tahoma" w:cs="Tahoma"/>
          <w:sz w:val="24"/>
          <w:szCs w:val="24"/>
          <w:lang w:val="es"/>
        </w:rPr>
        <w:t xml:space="preserve">el pago de dichos gastos </w:t>
      </w:r>
      <w:r w:rsidR="001476FD" w:rsidRPr="008C1FFE">
        <w:rPr>
          <w:rFonts w:ascii="Tahoma" w:eastAsia="Tahoma" w:hAnsi="Tahoma" w:cs="Tahoma"/>
          <w:sz w:val="24"/>
          <w:szCs w:val="24"/>
          <w:lang w:val="es"/>
        </w:rPr>
        <w:t xml:space="preserve">constituye una obligación </w:t>
      </w:r>
      <w:r w:rsidR="001476FD" w:rsidRPr="008C1FFE">
        <w:rPr>
          <w:rFonts w:ascii="Tahoma" w:eastAsia="Tahoma" w:hAnsi="Tahoma" w:cs="Tahoma"/>
          <w:sz w:val="24"/>
          <w:szCs w:val="24"/>
          <w:lang w:val="es"/>
        </w:rPr>
        <w:lastRenderedPageBreak/>
        <w:t>consolidada</w:t>
      </w:r>
      <w:r w:rsidR="001B42A1" w:rsidRPr="008C1FFE">
        <w:rPr>
          <w:rFonts w:ascii="Tahoma" w:eastAsia="Tahoma" w:hAnsi="Tahoma" w:cs="Tahoma"/>
          <w:sz w:val="24"/>
          <w:szCs w:val="24"/>
          <w:lang w:val="es"/>
        </w:rPr>
        <w:t xml:space="preserve"> o acaecida imposible de restituirse en el tiempo,</w:t>
      </w:r>
      <w:r w:rsidR="00774E6E" w:rsidRPr="008C1FFE">
        <w:rPr>
          <w:rFonts w:ascii="Tahoma" w:eastAsia="Tahoma" w:hAnsi="Tahoma" w:cs="Tahoma"/>
          <w:sz w:val="24"/>
          <w:szCs w:val="24"/>
          <w:lang w:val="es"/>
        </w:rPr>
        <w:t xml:space="preserve"> </w:t>
      </w:r>
      <w:r w:rsidR="001B42A1" w:rsidRPr="008C1FFE">
        <w:rPr>
          <w:rFonts w:ascii="Tahoma" w:eastAsia="Tahoma" w:hAnsi="Tahoma" w:cs="Tahoma"/>
          <w:sz w:val="24"/>
          <w:szCs w:val="24"/>
          <w:lang w:val="es"/>
        </w:rPr>
        <w:t>aunado a la inexistencia de n</w:t>
      </w:r>
      <w:r w:rsidR="00774E6E" w:rsidRPr="008C1FFE">
        <w:rPr>
          <w:rFonts w:ascii="Tahoma" w:eastAsia="Tahoma" w:hAnsi="Tahoma" w:cs="Tahoma"/>
          <w:sz w:val="24"/>
          <w:szCs w:val="24"/>
          <w:lang w:val="es"/>
        </w:rPr>
        <w:t xml:space="preserve">orma </w:t>
      </w:r>
      <w:r w:rsidR="00155AC3" w:rsidRPr="008C1FFE">
        <w:rPr>
          <w:rFonts w:ascii="Tahoma" w:eastAsia="Tahoma" w:hAnsi="Tahoma" w:cs="Tahoma"/>
          <w:sz w:val="24"/>
          <w:szCs w:val="24"/>
          <w:lang w:val="es"/>
        </w:rPr>
        <w:t xml:space="preserve">que a </w:t>
      </w:r>
      <w:r w:rsidR="001B42A1" w:rsidRPr="008C1FFE">
        <w:rPr>
          <w:rFonts w:ascii="Tahoma" w:eastAsia="Tahoma" w:hAnsi="Tahoma" w:cs="Tahoma"/>
          <w:sz w:val="24"/>
          <w:szCs w:val="24"/>
          <w:lang w:val="es"/>
        </w:rPr>
        <w:t>título</w:t>
      </w:r>
      <w:r w:rsidR="00155AC3" w:rsidRPr="008C1FFE">
        <w:rPr>
          <w:rFonts w:ascii="Tahoma" w:eastAsia="Tahoma" w:hAnsi="Tahoma" w:cs="Tahoma"/>
          <w:sz w:val="24"/>
          <w:szCs w:val="24"/>
          <w:lang w:val="es"/>
        </w:rPr>
        <w:t xml:space="preserve"> de sanción ordene reintegrar los gastos de administración</w:t>
      </w:r>
      <w:r w:rsidR="001B42A1" w:rsidRPr="008C1FFE">
        <w:rPr>
          <w:rFonts w:ascii="Tahoma" w:eastAsia="Tahoma" w:hAnsi="Tahoma" w:cs="Tahoma"/>
          <w:sz w:val="24"/>
          <w:szCs w:val="24"/>
          <w:lang w:val="es"/>
        </w:rPr>
        <w:t>.</w:t>
      </w:r>
      <w:r w:rsidR="00155AC3" w:rsidRPr="008C1FFE">
        <w:rPr>
          <w:rFonts w:ascii="Tahoma" w:eastAsia="Tahoma" w:hAnsi="Tahoma" w:cs="Tahoma"/>
          <w:sz w:val="24"/>
          <w:szCs w:val="24"/>
          <w:lang w:val="es"/>
        </w:rPr>
        <w:t xml:space="preserve"> </w:t>
      </w:r>
    </w:p>
    <w:p w14:paraId="11A99BEC" w14:textId="77777777" w:rsidR="004D57BB" w:rsidRPr="008C1FFE" w:rsidRDefault="004D57BB" w:rsidP="008C1FFE">
      <w:pPr>
        <w:spacing w:after="0" w:line="276" w:lineRule="auto"/>
        <w:jc w:val="both"/>
        <w:rPr>
          <w:rFonts w:ascii="Tahoma" w:eastAsia="Tahoma" w:hAnsi="Tahoma" w:cs="Tahoma"/>
          <w:b/>
          <w:bCs/>
          <w:sz w:val="24"/>
          <w:szCs w:val="24"/>
          <w:lang w:val="es"/>
        </w:rPr>
      </w:pPr>
    </w:p>
    <w:p w14:paraId="48788E84" w14:textId="0F7975C5" w:rsidR="001D5072" w:rsidRPr="008C1FFE" w:rsidRDefault="004F27F6" w:rsidP="008C1FFE">
      <w:pPr>
        <w:spacing w:after="0" w:line="276" w:lineRule="auto"/>
        <w:ind w:firstLine="708"/>
        <w:jc w:val="both"/>
        <w:rPr>
          <w:rFonts w:ascii="Tahoma" w:eastAsia="Tahoma" w:hAnsi="Tahoma" w:cs="Tahoma"/>
          <w:sz w:val="24"/>
          <w:szCs w:val="24"/>
          <w:lang w:val="es"/>
        </w:rPr>
      </w:pPr>
      <w:r w:rsidRPr="008C1FFE">
        <w:rPr>
          <w:rFonts w:ascii="Tahoma" w:eastAsia="Tahoma" w:hAnsi="Tahoma" w:cs="Tahoma"/>
          <w:b/>
          <w:bCs/>
          <w:sz w:val="24"/>
          <w:szCs w:val="24"/>
          <w:lang w:val="es"/>
        </w:rPr>
        <w:t>Colpensiones</w:t>
      </w:r>
      <w:r w:rsidR="00DB026D" w:rsidRPr="008C1FFE">
        <w:rPr>
          <w:rFonts w:ascii="Tahoma" w:eastAsia="Tahoma" w:hAnsi="Tahoma" w:cs="Tahoma"/>
          <w:b/>
          <w:bCs/>
          <w:sz w:val="24"/>
          <w:szCs w:val="24"/>
          <w:lang w:val="es"/>
        </w:rPr>
        <w:t xml:space="preserve"> </w:t>
      </w:r>
      <w:r w:rsidR="00DB026D" w:rsidRPr="008C1FFE">
        <w:rPr>
          <w:rFonts w:ascii="Tahoma" w:eastAsia="Tahoma" w:hAnsi="Tahoma" w:cs="Tahoma"/>
          <w:sz w:val="24"/>
          <w:szCs w:val="24"/>
          <w:lang w:val="es"/>
        </w:rPr>
        <w:t>difiere de la sentencia proferida en cuanto a la decla</w:t>
      </w:r>
      <w:r w:rsidR="00476E80" w:rsidRPr="008C1FFE">
        <w:rPr>
          <w:rFonts w:ascii="Tahoma" w:eastAsia="Tahoma" w:hAnsi="Tahoma" w:cs="Tahoma"/>
          <w:sz w:val="24"/>
          <w:szCs w:val="24"/>
          <w:lang w:val="es"/>
        </w:rPr>
        <w:t xml:space="preserve">ratoria de la ineficacia del traslado al RAIS, por medio de la </w:t>
      </w:r>
      <w:r w:rsidR="00BA6386" w:rsidRPr="008C1FFE">
        <w:rPr>
          <w:rFonts w:ascii="Tahoma" w:eastAsia="Tahoma" w:hAnsi="Tahoma" w:cs="Tahoma"/>
          <w:sz w:val="24"/>
          <w:szCs w:val="24"/>
          <w:lang w:val="es"/>
        </w:rPr>
        <w:t xml:space="preserve">AFP Protección S.A y el reconocimiento pensional, ya que la declaratoria de la </w:t>
      </w:r>
      <w:r w:rsidR="00CE6C8B" w:rsidRPr="008C1FFE">
        <w:rPr>
          <w:rFonts w:ascii="Tahoma" w:eastAsia="Tahoma" w:hAnsi="Tahoma" w:cs="Tahoma"/>
          <w:sz w:val="24"/>
          <w:szCs w:val="24"/>
          <w:lang w:val="es"/>
        </w:rPr>
        <w:t xml:space="preserve">ineficacia del traslado afecta la sostenibilidad financiera del RPM administrado por Colpensiones, a quien se le impone la carga de resarcir un daño que no causó, </w:t>
      </w:r>
      <w:r w:rsidR="008D3E5B" w:rsidRPr="008C1FFE">
        <w:rPr>
          <w:rFonts w:ascii="Tahoma" w:eastAsia="Tahoma" w:hAnsi="Tahoma" w:cs="Tahoma"/>
          <w:sz w:val="24"/>
          <w:szCs w:val="24"/>
          <w:lang w:val="es"/>
        </w:rPr>
        <w:t>derivada de</w:t>
      </w:r>
      <w:r w:rsidR="00CE6C8B" w:rsidRPr="008C1FFE">
        <w:rPr>
          <w:rFonts w:ascii="Tahoma" w:eastAsia="Tahoma" w:hAnsi="Tahoma" w:cs="Tahoma"/>
          <w:sz w:val="24"/>
          <w:szCs w:val="24"/>
          <w:lang w:val="es"/>
        </w:rPr>
        <w:t xml:space="preserve"> la inoperancia del afiliado que no se interesó en retornar al régimen de prima media, sino hasta que evidenció un perjuicio económico</w:t>
      </w:r>
      <w:r w:rsidR="00D82D08" w:rsidRPr="008C1FFE">
        <w:rPr>
          <w:rFonts w:ascii="Tahoma" w:eastAsia="Tahoma" w:hAnsi="Tahoma" w:cs="Tahoma"/>
          <w:sz w:val="24"/>
          <w:szCs w:val="24"/>
          <w:lang w:val="es"/>
        </w:rPr>
        <w:t xml:space="preserve">, sumado al hecho de que nadie </w:t>
      </w:r>
      <w:r w:rsidR="008D3E5B" w:rsidRPr="008C1FFE">
        <w:rPr>
          <w:rFonts w:ascii="Tahoma" w:eastAsia="Tahoma" w:hAnsi="Tahoma" w:cs="Tahoma"/>
          <w:sz w:val="24"/>
          <w:szCs w:val="24"/>
          <w:lang w:val="es"/>
        </w:rPr>
        <w:t>está</w:t>
      </w:r>
      <w:r w:rsidR="00D82D08" w:rsidRPr="008C1FFE">
        <w:rPr>
          <w:rFonts w:ascii="Tahoma" w:eastAsia="Tahoma" w:hAnsi="Tahoma" w:cs="Tahoma"/>
          <w:sz w:val="24"/>
          <w:szCs w:val="24"/>
          <w:lang w:val="es"/>
        </w:rPr>
        <w:t xml:space="preserve"> facultado para constituir su propia prueba, por lo que al tomar los dichos del demandante</w:t>
      </w:r>
      <w:r w:rsidR="00E85CAC" w:rsidRPr="008C1FFE">
        <w:rPr>
          <w:rFonts w:ascii="Tahoma" w:eastAsia="Tahoma" w:hAnsi="Tahoma" w:cs="Tahoma"/>
          <w:sz w:val="24"/>
          <w:szCs w:val="24"/>
          <w:lang w:val="es"/>
        </w:rPr>
        <w:t xml:space="preserve"> de forma exclusiva por lo plasmado en la demanda, además de que la sentencia desconoce los postulados </w:t>
      </w:r>
      <w:r w:rsidR="00D82D08" w:rsidRPr="008C1FFE">
        <w:rPr>
          <w:rFonts w:ascii="Tahoma" w:eastAsia="Tahoma" w:hAnsi="Tahoma" w:cs="Tahoma"/>
          <w:sz w:val="24"/>
          <w:szCs w:val="24"/>
          <w:lang w:val="es"/>
        </w:rPr>
        <w:t xml:space="preserve"> </w:t>
      </w:r>
      <w:r w:rsidR="00E85CAC" w:rsidRPr="008C1FFE">
        <w:rPr>
          <w:rFonts w:ascii="Tahoma" w:eastAsia="Tahoma" w:hAnsi="Tahoma" w:cs="Tahoma"/>
          <w:sz w:val="24"/>
          <w:szCs w:val="24"/>
          <w:lang w:val="es"/>
        </w:rPr>
        <w:t xml:space="preserve">de la Corte Constitucional, expuestos en la sentencia </w:t>
      </w:r>
      <w:r w:rsidR="004336B5" w:rsidRPr="008C1FFE">
        <w:rPr>
          <w:rFonts w:ascii="Tahoma" w:eastAsia="Tahoma" w:hAnsi="Tahoma" w:cs="Tahoma"/>
          <w:sz w:val="24"/>
          <w:szCs w:val="24"/>
          <w:lang w:val="es"/>
        </w:rPr>
        <w:t xml:space="preserve">C- </w:t>
      </w:r>
      <w:r w:rsidR="00E85CAC" w:rsidRPr="008C1FFE">
        <w:rPr>
          <w:rFonts w:ascii="Tahoma" w:eastAsia="Tahoma" w:hAnsi="Tahoma" w:cs="Tahoma"/>
          <w:sz w:val="24"/>
          <w:szCs w:val="24"/>
          <w:lang w:val="es"/>
        </w:rPr>
        <w:t>1024 de 2004</w:t>
      </w:r>
      <w:r w:rsidR="004336B5" w:rsidRPr="008C1FFE">
        <w:rPr>
          <w:rFonts w:ascii="Tahoma" w:eastAsia="Tahoma" w:hAnsi="Tahoma" w:cs="Tahoma"/>
          <w:sz w:val="24"/>
          <w:szCs w:val="24"/>
          <w:lang w:val="es"/>
        </w:rPr>
        <w:t xml:space="preserve"> que impide el traslado cuando falten menos de 10 años para arribar a la edad de </w:t>
      </w:r>
      <w:r w:rsidR="0093759D" w:rsidRPr="008C1FFE">
        <w:rPr>
          <w:rFonts w:ascii="Tahoma" w:eastAsia="Tahoma" w:hAnsi="Tahoma" w:cs="Tahoma"/>
          <w:sz w:val="24"/>
          <w:szCs w:val="24"/>
          <w:lang w:val="es"/>
        </w:rPr>
        <w:t>pensión</w:t>
      </w:r>
      <w:r w:rsidR="004336B5" w:rsidRPr="008C1FFE">
        <w:rPr>
          <w:rFonts w:ascii="Tahoma" w:eastAsia="Tahoma" w:hAnsi="Tahoma" w:cs="Tahoma"/>
          <w:sz w:val="24"/>
          <w:szCs w:val="24"/>
          <w:lang w:val="es"/>
        </w:rPr>
        <w:t xml:space="preserve"> que propende por la </w:t>
      </w:r>
      <w:r w:rsidR="0093759D" w:rsidRPr="008C1FFE">
        <w:rPr>
          <w:rFonts w:ascii="Tahoma" w:eastAsia="Tahoma" w:hAnsi="Tahoma" w:cs="Tahoma"/>
          <w:sz w:val="24"/>
          <w:szCs w:val="24"/>
          <w:lang w:val="es"/>
        </w:rPr>
        <w:t>garantía</w:t>
      </w:r>
      <w:r w:rsidR="004336B5" w:rsidRPr="008C1FFE">
        <w:rPr>
          <w:rFonts w:ascii="Tahoma" w:eastAsia="Tahoma" w:hAnsi="Tahoma" w:cs="Tahoma"/>
          <w:sz w:val="24"/>
          <w:szCs w:val="24"/>
          <w:lang w:val="es"/>
        </w:rPr>
        <w:t xml:space="preserve"> de libre competencia entre </w:t>
      </w:r>
      <w:r w:rsidR="0093759D" w:rsidRPr="008C1FFE">
        <w:rPr>
          <w:rFonts w:ascii="Tahoma" w:eastAsia="Tahoma" w:hAnsi="Tahoma" w:cs="Tahoma"/>
          <w:sz w:val="24"/>
          <w:szCs w:val="24"/>
          <w:lang w:val="es"/>
        </w:rPr>
        <w:t>regímenes</w:t>
      </w:r>
      <w:r w:rsidR="004336B5" w:rsidRPr="008C1FFE">
        <w:rPr>
          <w:rFonts w:ascii="Tahoma" w:eastAsia="Tahoma" w:hAnsi="Tahoma" w:cs="Tahoma"/>
          <w:sz w:val="24"/>
          <w:szCs w:val="24"/>
          <w:lang w:val="es"/>
        </w:rPr>
        <w:t xml:space="preserve"> y </w:t>
      </w:r>
      <w:r w:rsidR="0093759D" w:rsidRPr="008C1FFE">
        <w:rPr>
          <w:rFonts w:ascii="Tahoma" w:eastAsia="Tahoma" w:hAnsi="Tahoma" w:cs="Tahoma"/>
          <w:sz w:val="24"/>
          <w:szCs w:val="24"/>
          <w:lang w:val="es"/>
        </w:rPr>
        <w:t>el principio de sostenibilidad financiera</w:t>
      </w:r>
      <w:r w:rsidR="00AF18C8" w:rsidRPr="008C1FFE">
        <w:rPr>
          <w:rFonts w:ascii="Tahoma" w:eastAsia="Tahoma" w:hAnsi="Tahoma" w:cs="Tahoma"/>
          <w:sz w:val="24"/>
          <w:szCs w:val="24"/>
          <w:lang w:val="es"/>
        </w:rPr>
        <w:t>.</w:t>
      </w:r>
      <w:r w:rsidR="001D5072" w:rsidRPr="008C1FFE">
        <w:rPr>
          <w:rFonts w:ascii="Tahoma" w:eastAsia="Tahoma" w:hAnsi="Tahoma" w:cs="Tahoma"/>
          <w:sz w:val="24"/>
          <w:szCs w:val="24"/>
          <w:lang w:val="es"/>
        </w:rPr>
        <w:t xml:space="preserve"> </w:t>
      </w:r>
      <w:r w:rsidR="00AF18C8" w:rsidRPr="008C1FFE">
        <w:rPr>
          <w:rFonts w:ascii="Tahoma" w:eastAsia="Tahoma" w:hAnsi="Tahoma" w:cs="Tahoma"/>
          <w:sz w:val="24"/>
          <w:szCs w:val="24"/>
          <w:lang w:val="es"/>
        </w:rPr>
        <w:t>F</w:t>
      </w:r>
      <w:r w:rsidR="001D5072" w:rsidRPr="008C1FFE">
        <w:rPr>
          <w:rFonts w:ascii="Tahoma" w:eastAsia="Tahoma" w:hAnsi="Tahoma" w:cs="Tahoma"/>
          <w:sz w:val="24"/>
          <w:szCs w:val="24"/>
          <w:lang w:val="es"/>
        </w:rPr>
        <w:t>inalmente</w:t>
      </w:r>
      <w:r w:rsidR="00AF18C8" w:rsidRPr="008C1FFE">
        <w:rPr>
          <w:rFonts w:ascii="Tahoma" w:eastAsia="Tahoma" w:hAnsi="Tahoma" w:cs="Tahoma"/>
          <w:sz w:val="24"/>
          <w:szCs w:val="24"/>
          <w:lang w:val="es"/>
        </w:rPr>
        <w:t>,</w:t>
      </w:r>
      <w:r w:rsidR="001D5072" w:rsidRPr="008C1FFE">
        <w:rPr>
          <w:rFonts w:ascii="Tahoma" w:eastAsia="Tahoma" w:hAnsi="Tahoma" w:cs="Tahoma"/>
          <w:sz w:val="24"/>
          <w:szCs w:val="24"/>
          <w:lang w:val="es"/>
        </w:rPr>
        <w:t xml:space="preserve"> solicitó que se condenara a la AFP Protección S.A a pagar a </w:t>
      </w:r>
      <w:r w:rsidR="008D3E5B" w:rsidRPr="008C1FFE">
        <w:rPr>
          <w:rFonts w:ascii="Tahoma" w:eastAsia="Tahoma" w:hAnsi="Tahoma" w:cs="Tahoma"/>
          <w:sz w:val="24"/>
          <w:szCs w:val="24"/>
          <w:lang w:val="es"/>
        </w:rPr>
        <w:t>título</w:t>
      </w:r>
      <w:r w:rsidR="001D5072" w:rsidRPr="008C1FFE">
        <w:rPr>
          <w:rFonts w:ascii="Tahoma" w:eastAsia="Tahoma" w:hAnsi="Tahoma" w:cs="Tahoma"/>
          <w:sz w:val="24"/>
          <w:szCs w:val="24"/>
          <w:lang w:val="es"/>
        </w:rPr>
        <w:t xml:space="preserve"> de </w:t>
      </w:r>
      <w:r w:rsidR="006C54B7" w:rsidRPr="008C1FFE">
        <w:rPr>
          <w:rFonts w:ascii="Tahoma" w:eastAsia="Tahoma" w:hAnsi="Tahoma" w:cs="Tahoma"/>
          <w:sz w:val="24"/>
          <w:szCs w:val="24"/>
          <w:lang w:val="es"/>
        </w:rPr>
        <w:t xml:space="preserve">sanción </w:t>
      </w:r>
      <w:r w:rsidR="00AF18C8" w:rsidRPr="008C1FFE">
        <w:rPr>
          <w:rFonts w:ascii="Tahoma" w:eastAsia="Tahoma" w:hAnsi="Tahoma" w:cs="Tahoma"/>
          <w:sz w:val="24"/>
          <w:szCs w:val="24"/>
          <w:lang w:val="es"/>
        </w:rPr>
        <w:t>e</w:t>
      </w:r>
      <w:r w:rsidR="006C54B7" w:rsidRPr="008C1FFE">
        <w:rPr>
          <w:rFonts w:ascii="Tahoma" w:eastAsia="Tahoma" w:hAnsi="Tahoma" w:cs="Tahoma"/>
          <w:sz w:val="24"/>
          <w:szCs w:val="24"/>
          <w:lang w:val="es"/>
        </w:rPr>
        <w:t xml:space="preserve">l pago de un </w:t>
      </w:r>
      <w:r w:rsidR="008D3E5B" w:rsidRPr="008C1FFE">
        <w:rPr>
          <w:rFonts w:ascii="Tahoma" w:eastAsia="Tahoma" w:hAnsi="Tahoma" w:cs="Tahoma"/>
          <w:sz w:val="24"/>
          <w:szCs w:val="24"/>
          <w:lang w:val="es"/>
        </w:rPr>
        <w:t>cálculo</w:t>
      </w:r>
      <w:r w:rsidR="006C54B7" w:rsidRPr="008C1FFE">
        <w:rPr>
          <w:rFonts w:ascii="Tahoma" w:eastAsia="Tahoma" w:hAnsi="Tahoma" w:cs="Tahoma"/>
          <w:sz w:val="24"/>
          <w:szCs w:val="24"/>
          <w:lang w:val="es"/>
        </w:rPr>
        <w:t xml:space="preserve"> actuarial equivalente </w:t>
      </w:r>
      <w:r w:rsidR="00DE7925" w:rsidRPr="008C1FFE">
        <w:rPr>
          <w:rFonts w:ascii="Tahoma" w:eastAsia="Tahoma" w:hAnsi="Tahoma" w:cs="Tahoma"/>
          <w:sz w:val="24"/>
          <w:szCs w:val="24"/>
          <w:lang w:val="es"/>
        </w:rPr>
        <w:t xml:space="preserve">al valor total de las mesadas pensionales liquidadas bajo los </w:t>
      </w:r>
      <w:r w:rsidR="005D0723" w:rsidRPr="008C1FFE">
        <w:rPr>
          <w:rFonts w:ascii="Tahoma" w:eastAsia="Tahoma" w:hAnsi="Tahoma" w:cs="Tahoma"/>
          <w:sz w:val="24"/>
          <w:szCs w:val="24"/>
          <w:lang w:val="es"/>
        </w:rPr>
        <w:t>parámetros</w:t>
      </w:r>
      <w:r w:rsidR="00DE7925" w:rsidRPr="008C1FFE">
        <w:rPr>
          <w:rFonts w:ascii="Tahoma" w:eastAsia="Tahoma" w:hAnsi="Tahoma" w:cs="Tahoma"/>
          <w:sz w:val="24"/>
          <w:szCs w:val="24"/>
          <w:lang w:val="es"/>
        </w:rPr>
        <w:t xml:space="preserve"> del </w:t>
      </w:r>
      <w:r w:rsidR="005D0723" w:rsidRPr="008C1FFE">
        <w:rPr>
          <w:rFonts w:ascii="Tahoma" w:eastAsia="Tahoma" w:hAnsi="Tahoma" w:cs="Tahoma"/>
          <w:sz w:val="24"/>
          <w:szCs w:val="24"/>
          <w:lang w:val="es"/>
        </w:rPr>
        <w:t>régimen</w:t>
      </w:r>
      <w:r w:rsidR="00DE7925" w:rsidRPr="008C1FFE">
        <w:rPr>
          <w:rFonts w:ascii="Tahoma" w:eastAsia="Tahoma" w:hAnsi="Tahoma" w:cs="Tahoma"/>
          <w:sz w:val="24"/>
          <w:szCs w:val="24"/>
          <w:lang w:val="es"/>
        </w:rPr>
        <w:t xml:space="preserve"> de prima media teniendo en cuenta para ello la expectativa de vida del demandante </w:t>
      </w:r>
      <w:r w:rsidR="005D0723" w:rsidRPr="008C1FFE">
        <w:rPr>
          <w:rFonts w:ascii="Tahoma" w:eastAsia="Tahoma" w:hAnsi="Tahoma" w:cs="Tahoma"/>
          <w:sz w:val="24"/>
          <w:szCs w:val="24"/>
          <w:lang w:val="es"/>
        </w:rPr>
        <w:t xml:space="preserve">y la de sus posibles beneficiarios, en tanto Colpensiones fue un tercero afectado que no tuvo injerencia en el </w:t>
      </w:r>
      <w:r w:rsidR="00AF18C8" w:rsidRPr="008C1FFE">
        <w:rPr>
          <w:rFonts w:ascii="Tahoma" w:eastAsia="Tahoma" w:hAnsi="Tahoma" w:cs="Tahoma"/>
          <w:sz w:val="24"/>
          <w:szCs w:val="24"/>
          <w:lang w:val="es"/>
        </w:rPr>
        <w:t>trámite</w:t>
      </w:r>
      <w:r w:rsidR="005D0723" w:rsidRPr="008C1FFE">
        <w:rPr>
          <w:rFonts w:ascii="Tahoma" w:eastAsia="Tahoma" w:hAnsi="Tahoma" w:cs="Tahoma"/>
          <w:sz w:val="24"/>
          <w:szCs w:val="24"/>
          <w:lang w:val="es"/>
        </w:rPr>
        <w:t xml:space="preserve"> de traslado. </w:t>
      </w:r>
    </w:p>
    <w:p w14:paraId="41A7C5F5" w14:textId="5C62151B" w:rsidR="00486596" w:rsidRPr="008C1FFE" w:rsidRDefault="00486596" w:rsidP="008C1FFE">
      <w:pPr>
        <w:spacing w:after="0" w:line="276" w:lineRule="auto"/>
        <w:ind w:firstLine="708"/>
        <w:jc w:val="both"/>
        <w:rPr>
          <w:rFonts w:ascii="Tahoma" w:eastAsia="Tahoma" w:hAnsi="Tahoma" w:cs="Tahoma"/>
          <w:sz w:val="24"/>
          <w:szCs w:val="24"/>
          <w:lang w:val="es"/>
        </w:rPr>
      </w:pPr>
    </w:p>
    <w:p w14:paraId="3C4EF0B5" w14:textId="1E5216A0" w:rsidR="00235D6A" w:rsidRPr="008C1FFE" w:rsidRDefault="00486596"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lang w:val="es-ES"/>
        </w:rPr>
        <w:t>Finalmente, al haber resultado condenado</w:t>
      </w:r>
      <w:r w:rsidR="002747A8" w:rsidRPr="008C1FFE">
        <w:rPr>
          <w:rFonts w:ascii="Tahoma" w:eastAsia="Tahoma" w:hAnsi="Tahoma" w:cs="Tahoma"/>
          <w:sz w:val="24"/>
          <w:szCs w:val="24"/>
          <w:lang w:val="es-ES"/>
        </w:rPr>
        <w:t xml:space="preserve"> Colpensiones</w:t>
      </w:r>
      <w:r w:rsidRPr="008C1FFE">
        <w:rPr>
          <w:rFonts w:ascii="Tahoma" w:eastAsia="Tahoma" w:hAnsi="Tahoma" w:cs="Tahoma"/>
          <w:sz w:val="24"/>
          <w:szCs w:val="24"/>
          <w:lang w:val="es-ES"/>
        </w:rPr>
        <w:t>, se dispuso también el grado jurisdiccional de consulta a su favor.</w:t>
      </w:r>
      <w:r w:rsidRPr="008C1FFE">
        <w:rPr>
          <w:rFonts w:ascii="Tahoma" w:eastAsia="Tahoma" w:hAnsi="Tahoma" w:cs="Tahoma"/>
          <w:sz w:val="24"/>
          <w:szCs w:val="24"/>
        </w:rPr>
        <w:t> </w:t>
      </w:r>
    </w:p>
    <w:p w14:paraId="011C38D9" w14:textId="77777777" w:rsidR="006A13DC" w:rsidRPr="008C1FFE" w:rsidRDefault="006A13DC" w:rsidP="008C1FFE">
      <w:pPr>
        <w:spacing w:after="0" w:line="276" w:lineRule="auto"/>
        <w:jc w:val="both"/>
        <w:rPr>
          <w:rFonts w:ascii="Tahoma" w:hAnsi="Tahoma" w:cs="Tahoma"/>
          <w:sz w:val="24"/>
          <w:szCs w:val="24"/>
        </w:rPr>
      </w:pPr>
    </w:p>
    <w:p w14:paraId="375316EA" w14:textId="16EF1FD1" w:rsidR="1B4704F1" w:rsidRPr="008C1FFE" w:rsidRDefault="1B4704F1" w:rsidP="008C1FFE">
      <w:pPr>
        <w:pStyle w:val="Prrafodelista"/>
        <w:numPr>
          <w:ilvl w:val="0"/>
          <w:numId w:val="3"/>
        </w:numPr>
        <w:spacing w:line="276" w:lineRule="auto"/>
        <w:jc w:val="center"/>
        <w:rPr>
          <w:rFonts w:eastAsiaTheme="minorEastAsia"/>
          <w:b/>
          <w:bCs/>
          <w:sz w:val="24"/>
          <w:szCs w:val="24"/>
        </w:rPr>
      </w:pPr>
      <w:r w:rsidRPr="008C1FFE">
        <w:rPr>
          <w:b/>
          <w:bCs/>
          <w:sz w:val="24"/>
          <w:szCs w:val="24"/>
          <w:lang w:val="es"/>
        </w:rPr>
        <w:t>Alegatos de conclusión</w:t>
      </w:r>
    </w:p>
    <w:p w14:paraId="52B12A6C" w14:textId="5EDBEA8B" w:rsidR="1B4704F1" w:rsidRPr="008C1FFE" w:rsidRDefault="1B4704F1" w:rsidP="008C1FFE">
      <w:pPr>
        <w:spacing w:after="0" w:line="276" w:lineRule="auto"/>
        <w:jc w:val="both"/>
        <w:rPr>
          <w:rFonts w:ascii="Tahoma" w:hAnsi="Tahoma" w:cs="Tahoma"/>
          <w:sz w:val="24"/>
          <w:szCs w:val="24"/>
        </w:rPr>
      </w:pPr>
      <w:r w:rsidRPr="008C1FFE">
        <w:rPr>
          <w:rFonts w:ascii="Tahoma" w:eastAsia="Tahoma" w:hAnsi="Tahoma" w:cs="Tahoma"/>
          <w:sz w:val="24"/>
          <w:szCs w:val="24"/>
        </w:rPr>
        <w:t xml:space="preserve"> </w:t>
      </w:r>
    </w:p>
    <w:p w14:paraId="7476BAC1" w14:textId="61778FAA" w:rsidR="002A5546" w:rsidRPr="008C1FFE" w:rsidRDefault="00DF7C04"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A</w:t>
      </w:r>
      <w:r w:rsidR="1B4704F1" w:rsidRPr="008C1FFE">
        <w:rPr>
          <w:rFonts w:ascii="Tahoma" w:eastAsia="Tahoma" w:hAnsi="Tahoma" w:cs="Tahoma"/>
          <w:sz w:val="24"/>
          <w:szCs w:val="24"/>
        </w:rPr>
        <w:t>nalizados</w:t>
      </w:r>
      <w:r w:rsidR="00C657A1" w:rsidRPr="008C1FFE">
        <w:rPr>
          <w:rFonts w:ascii="Tahoma" w:eastAsia="Tahoma" w:hAnsi="Tahoma" w:cs="Tahoma"/>
          <w:sz w:val="24"/>
          <w:szCs w:val="24"/>
        </w:rPr>
        <w:t xml:space="preserve"> </w:t>
      </w:r>
      <w:r w:rsidR="1B4704F1" w:rsidRPr="008C1FFE">
        <w:rPr>
          <w:rFonts w:ascii="Tahoma" w:eastAsia="Tahoma" w:hAnsi="Tahoma" w:cs="Tahoma"/>
          <w:sz w:val="24"/>
          <w:szCs w:val="24"/>
        </w:rPr>
        <w:t>los alegatos presentados por escrito por</w:t>
      </w:r>
      <w:r w:rsidR="00B6385E" w:rsidRPr="008C1FFE">
        <w:rPr>
          <w:rFonts w:ascii="Tahoma" w:eastAsia="Tahoma" w:hAnsi="Tahoma" w:cs="Tahoma"/>
          <w:sz w:val="24"/>
          <w:szCs w:val="24"/>
        </w:rPr>
        <w:t xml:space="preserve"> la totalidad de sujetos procesales</w:t>
      </w:r>
      <w:r w:rsidR="1B4704F1" w:rsidRPr="008C1FFE">
        <w:rPr>
          <w:rFonts w:ascii="Tahoma" w:eastAsia="Tahoma" w:hAnsi="Tahoma" w:cs="Tahoma"/>
          <w:sz w:val="24"/>
          <w:szCs w:val="24"/>
        </w:rPr>
        <w:t>, mismos que obran en el expediente digital y a los cuales nos remitimos por economía procesal en virtud del artículo 280 del C.G.P., la Sala encuentra que</w:t>
      </w:r>
      <w:r w:rsidR="00A82AFA" w:rsidRPr="008C1FFE">
        <w:rPr>
          <w:rFonts w:ascii="Tahoma" w:eastAsia="Tahoma" w:hAnsi="Tahoma" w:cs="Tahoma"/>
          <w:sz w:val="24"/>
          <w:szCs w:val="24"/>
        </w:rPr>
        <w:t xml:space="preserve"> los apelantes se ratifican en </w:t>
      </w:r>
      <w:r w:rsidR="002A5546" w:rsidRPr="008C1FFE">
        <w:rPr>
          <w:rFonts w:ascii="Tahoma" w:eastAsia="Tahoma" w:hAnsi="Tahoma" w:cs="Tahoma"/>
          <w:sz w:val="24"/>
          <w:szCs w:val="24"/>
        </w:rPr>
        <w:t>las razones</w:t>
      </w:r>
      <w:r w:rsidR="00A82AFA" w:rsidRPr="008C1FFE">
        <w:rPr>
          <w:rFonts w:ascii="Tahoma" w:eastAsia="Tahoma" w:hAnsi="Tahoma" w:cs="Tahoma"/>
          <w:sz w:val="24"/>
          <w:szCs w:val="24"/>
        </w:rPr>
        <w:t xml:space="preserve"> de primera instancia y además los refuerzan con los siguientes</w:t>
      </w:r>
      <w:r w:rsidR="002A5546" w:rsidRPr="008C1FFE">
        <w:rPr>
          <w:rFonts w:ascii="Tahoma" w:eastAsia="Tahoma" w:hAnsi="Tahoma" w:cs="Tahoma"/>
          <w:sz w:val="24"/>
          <w:szCs w:val="24"/>
        </w:rPr>
        <w:t>:</w:t>
      </w:r>
    </w:p>
    <w:p w14:paraId="42CF5296" w14:textId="26A01890" w:rsidR="0071320C" w:rsidRPr="008C1FFE" w:rsidRDefault="0071320C" w:rsidP="008C1FFE">
      <w:pPr>
        <w:spacing w:after="0" w:line="276" w:lineRule="auto"/>
        <w:ind w:firstLine="708"/>
        <w:jc w:val="both"/>
        <w:rPr>
          <w:rFonts w:ascii="Tahoma" w:eastAsia="Tahoma" w:hAnsi="Tahoma" w:cs="Tahoma"/>
          <w:sz w:val="24"/>
          <w:szCs w:val="24"/>
        </w:rPr>
      </w:pPr>
    </w:p>
    <w:p w14:paraId="66DB1E82" w14:textId="6DF9AFC2" w:rsidR="0071320C" w:rsidRPr="008C1FFE" w:rsidRDefault="0071320C"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 xml:space="preserve">Aduce Colpensiones que el acto de traslado constituye un </w:t>
      </w:r>
      <w:r w:rsidR="00237C78" w:rsidRPr="008C1FFE">
        <w:rPr>
          <w:rFonts w:ascii="Tahoma" w:eastAsia="Tahoma" w:hAnsi="Tahoma" w:cs="Tahoma"/>
          <w:sz w:val="24"/>
          <w:szCs w:val="24"/>
        </w:rPr>
        <w:t>acto de relacionamiento teniendo en cuenta lo manifestado por el máximo órgano de cierre de la jurisdicción ordinaria por medio de la sentencia SL 3252-2020</w:t>
      </w:r>
      <w:r w:rsidR="00661230" w:rsidRPr="008C1FFE">
        <w:rPr>
          <w:rFonts w:ascii="Tahoma" w:eastAsia="Tahoma" w:hAnsi="Tahoma" w:cs="Tahoma"/>
          <w:sz w:val="24"/>
          <w:szCs w:val="24"/>
        </w:rPr>
        <w:t>,</w:t>
      </w:r>
      <w:r w:rsidR="00BF1CE2" w:rsidRPr="008C1FFE">
        <w:rPr>
          <w:rFonts w:ascii="Tahoma" w:eastAsia="Tahoma" w:hAnsi="Tahoma" w:cs="Tahoma"/>
          <w:sz w:val="24"/>
          <w:szCs w:val="24"/>
        </w:rPr>
        <w:t xml:space="preserve"> del mismo modo, adiciona que, debe exonerarse de la </w:t>
      </w:r>
      <w:r w:rsidR="00661230" w:rsidRPr="008C1FFE">
        <w:rPr>
          <w:rFonts w:ascii="Tahoma" w:eastAsia="Tahoma" w:hAnsi="Tahoma" w:cs="Tahoma"/>
          <w:sz w:val="24"/>
          <w:szCs w:val="24"/>
        </w:rPr>
        <w:t xml:space="preserve">condena en costas. </w:t>
      </w:r>
    </w:p>
    <w:p w14:paraId="1ED892B9" w14:textId="758196C0" w:rsidR="00BF1CE2" w:rsidRPr="008C1FFE" w:rsidRDefault="00BF1CE2" w:rsidP="008C1FFE">
      <w:pPr>
        <w:spacing w:after="0" w:line="276" w:lineRule="auto"/>
        <w:ind w:firstLine="708"/>
        <w:jc w:val="both"/>
        <w:rPr>
          <w:rFonts w:ascii="Tahoma" w:eastAsia="Tahoma" w:hAnsi="Tahoma" w:cs="Tahoma"/>
          <w:sz w:val="24"/>
          <w:szCs w:val="24"/>
        </w:rPr>
      </w:pPr>
    </w:p>
    <w:p w14:paraId="078131E6" w14:textId="5E1F136E" w:rsidR="00BF1CE2" w:rsidRPr="008C1FFE" w:rsidRDefault="00BF1CE2"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 xml:space="preserve">Por su parte Protección S.A </w:t>
      </w:r>
      <w:r w:rsidR="00EC3255" w:rsidRPr="008C1FFE">
        <w:rPr>
          <w:rFonts w:ascii="Tahoma" w:eastAsia="Tahoma" w:hAnsi="Tahoma" w:cs="Tahoma"/>
          <w:sz w:val="24"/>
          <w:szCs w:val="24"/>
        </w:rPr>
        <w:t>indica</w:t>
      </w:r>
      <w:r w:rsidRPr="008C1FFE">
        <w:rPr>
          <w:rFonts w:ascii="Tahoma" w:eastAsia="Tahoma" w:hAnsi="Tahoma" w:cs="Tahoma"/>
          <w:sz w:val="24"/>
          <w:szCs w:val="24"/>
        </w:rPr>
        <w:t xml:space="preserve"> que </w:t>
      </w:r>
      <w:r w:rsidR="00032248" w:rsidRPr="008C1FFE">
        <w:rPr>
          <w:rFonts w:ascii="Tahoma" w:eastAsia="Tahoma" w:hAnsi="Tahoma" w:cs="Tahoma"/>
          <w:sz w:val="24"/>
          <w:szCs w:val="24"/>
        </w:rPr>
        <w:t>el traslado de los gastos de representación constituyen un enriquecimiento sin causa en favor del afiliado</w:t>
      </w:r>
      <w:r w:rsidR="0034606B" w:rsidRPr="008C1FFE">
        <w:rPr>
          <w:rFonts w:ascii="Tahoma" w:eastAsia="Tahoma" w:hAnsi="Tahoma" w:cs="Tahoma"/>
          <w:sz w:val="24"/>
          <w:szCs w:val="24"/>
        </w:rPr>
        <w:t>, además de que se viola el principio de co</w:t>
      </w:r>
      <w:r w:rsidR="00562ECF" w:rsidRPr="008C1FFE">
        <w:rPr>
          <w:rFonts w:ascii="Tahoma" w:eastAsia="Tahoma" w:hAnsi="Tahoma" w:cs="Tahoma"/>
          <w:sz w:val="24"/>
          <w:szCs w:val="24"/>
        </w:rPr>
        <w:t>nsonancia cuando se condena al reintegro de los gastos de administración sin que los demandantes dentro de las pretensiones así lo procuren</w:t>
      </w:r>
      <w:r w:rsidR="0064704B" w:rsidRPr="008C1FFE">
        <w:rPr>
          <w:rFonts w:ascii="Tahoma" w:eastAsia="Tahoma" w:hAnsi="Tahoma" w:cs="Tahoma"/>
          <w:sz w:val="24"/>
          <w:szCs w:val="24"/>
        </w:rPr>
        <w:t xml:space="preserve">, del mismo modo, </w:t>
      </w:r>
      <w:r w:rsidR="00EC3255" w:rsidRPr="008C1FFE">
        <w:rPr>
          <w:rFonts w:ascii="Tahoma" w:eastAsia="Tahoma" w:hAnsi="Tahoma" w:cs="Tahoma"/>
          <w:sz w:val="24"/>
          <w:szCs w:val="24"/>
        </w:rPr>
        <w:t xml:space="preserve">expone que </w:t>
      </w:r>
      <w:r w:rsidR="0064704B" w:rsidRPr="008C1FFE">
        <w:rPr>
          <w:rFonts w:ascii="Tahoma" w:eastAsia="Tahoma" w:hAnsi="Tahoma" w:cs="Tahoma"/>
          <w:sz w:val="24"/>
          <w:szCs w:val="24"/>
        </w:rPr>
        <w:t>se quebranta la doctrina de los actos propios según la cual esta norma regula la inadmisibilidad de actuar en contra de los actos ejecutados por sí mismo</w:t>
      </w:r>
      <w:r w:rsidR="009369C0" w:rsidRPr="008C1FFE">
        <w:rPr>
          <w:rFonts w:ascii="Tahoma" w:eastAsia="Tahoma" w:hAnsi="Tahoma" w:cs="Tahoma"/>
          <w:sz w:val="24"/>
          <w:szCs w:val="24"/>
        </w:rPr>
        <w:t xml:space="preserve">, además </w:t>
      </w:r>
      <w:r w:rsidR="00784FEE" w:rsidRPr="008C1FFE">
        <w:rPr>
          <w:rFonts w:ascii="Tahoma" w:eastAsia="Tahoma" w:hAnsi="Tahoma" w:cs="Tahoma"/>
          <w:sz w:val="24"/>
          <w:szCs w:val="24"/>
        </w:rPr>
        <w:t xml:space="preserve">de que la dedición deshonra el derecho adjetivo en materia de caducidad de las acciones argumentando con impertinencia que se trata de un hecho imprescriptible, cuando la prescripción es relativa al derecho pensional y </w:t>
      </w:r>
      <w:r w:rsidR="00784FEE" w:rsidRPr="008C1FFE">
        <w:rPr>
          <w:rFonts w:ascii="Tahoma" w:eastAsia="Tahoma" w:hAnsi="Tahoma" w:cs="Tahoma"/>
          <w:sz w:val="24"/>
          <w:szCs w:val="24"/>
        </w:rPr>
        <w:lastRenderedPageBreak/>
        <w:t>el conflicto es relativo al acto de la afiliación del cual se deriva una acción que se ve afectada de manera inexorable con el transcurso del tiempo por el fenómeno de la caducidad y no de imprescriptibilidad.</w:t>
      </w:r>
    </w:p>
    <w:p w14:paraId="7FA4A290" w14:textId="6D5A8133" w:rsidR="002A5546" w:rsidRPr="008C1FFE" w:rsidRDefault="002A5546" w:rsidP="008C1FFE">
      <w:pPr>
        <w:spacing w:after="0" w:line="276" w:lineRule="auto"/>
        <w:jc w:val="both"/>
        <w:rPr>
          <w:rFonts w:ascii="Tahoma" w:eastAsia="Tahoma" w:hAnsi="Tahoma" w:cs="Tahoma"/>
          <w:sz w:val="24"/>
          <w:szCs w:val="24"/>
        </w:rPr>
      </w:pPr>
    </w:p>
    <w:p w14:paraId="6E2BA5DE" w14:textId="349FC10D" w:rsidR="1B4704F1" w:rsidRPr="008C1FFE" w:rsidRDefault="002A5546" w:rsidP="008C1FFE">
      <w:pPr>
        <w:spacing w:after="0" w:line="276" w:lineRule="auto"/>
        <w:ind w:firstLine="708"/>
        <w:jc w:val="both"/>
        <w:rPr>
          <w:rFonts w:ascii="Tahoma" w:eastAsia="Tahoma" w:hAnsi="Tahoma" w:cs="Tahoma"/>
          <w:sz w:val="24"/>
          <w:szCs w:val="24"/>
        </w:rPr>
      </w:pPr>
      <w:r w:rsidRPr="008C1FFE">
        <w:rPr>
          <w:rFonts w:ascii="Tahoma" w:eastAsia="Tahoma" w:hAnsi="Tahoma" w:cs="Tahoma"/>
          <w:sz w:val="24"/>
          <w:szCs w:val="24"/>
        </w:rPr>
        <w:t>No obstante, estos no serán abordados en esta instancia como quiera que se encuentran por fuera de los relacionados en la sustentación del recu</w:t>
      </w:r>
      <w:r w:rsidR="0071320C" w:rsidRPr="008C1FFE">
        <w:rPr>
          <w:rFonts w:ascii="Tahoma" w:eastAsia="Tahoma" w:hAnsi="Tahoma" w:cs="Tahoma"/>
          <w:sz w:val="24"/>
          <w:szCs w:val="24"/>
        </w:rPr>
        <w:t>rso ante el a</w:t>
      </w:r>
      <w:r w:rsidR="00486596" w:rsidRPr="008C1FFE">
        <w:rPr>
          <w:rFonts w:ascii="Tahoma" w:eastAsia="Tahoma" w:hAnsi="Tahoma" w:cs="Tahoma"/>
          <w:sz w:val="24"/>
          <w:szCs w:val="24"/>
        </w:rPr>
        <w:t>-q</w:t>
      </w:r>
      <w:r w:rsidR="0071320C" w:rsidRPr="008C1FFE">
        <w:rPr>
          <w:rFonts w:ascii="Tahoma" w:eastAsia="Tahoma" w:hAnsi="Tahoma" w:cs="Tahoma"/>
          <w:sz w:val="24"/>
          <w:szCs w:val="24"/>
        </w:rPr>
        <w:t xml:space="preserve">uo. </w:t>
      </w:r>
      <w:r w:rsidR="0094501E" w:rsidRPr="008C1FFE">
        <w:rPr>
          <w:rFonts w:ascii="Tahoma" w:eastAsia="Tahoma" w:hAnsi="Tahoma" w:cs="Tahoma"/>
          <w:sz w:val="24"/>
          <w:szCs w:val="24"/>
        </w:rPr>
        <w:t>Por otra parte,</w:t>
      </w:r>
      <w:r w:rsidR="00C657A1" w:rsidRPr="008C1FFE">
        <w:rPr>
          <w:rFonts w:ascii="Tahoma" w:eastAsia="Tahoma" w:hAnsi="Tahoma" w:cs="Tahoma"/>
          <w:sz w:val="24"/>
          <w:szCs w:val="24"/>
        </w:rPr>
        <w:t xml:space="preserve"> </w:t>
      </w:r>
      <w:r w:rsidR="0094501E" w:rsidRPr="008C1FFE">
        <w:rPr>
          <w:rFonts w:ascii="Tahoma" w:eastAsia="Tahoma" w:hAnsi="Tahoma" w:cs="Tahoma"/>
          <w:sz w:val="24"/>
          <w:szCs w:val="24"/>
        </w:rPr>
        <w:t>el Ministerio Público no conceptuó en este asunto.</w:t>
      </w:r>
    </w:p>
    <w:p w14:paraId="2CD49E32" w14:textId="77777777" w:rsidR="006A13DC" w:rsidRPr="008C1FFE" w:rsidRDefault="006A13DC" w:rsidP="008C1FFE">
      <w:pPr>
        <w:spacing w:after="0" w:line="276" w:lineRule="auto"/>
        <w:jc w:val="both"/>
        <w:rPr>
          <w:rFonts w:ascii="Tahoma" w:eastAsia="Tahoma" w:hAnsi="Tahoma" w:cs="Tahoma"/>
          <w:sz w:val="24"/>
          <w:szCs w:val="24"/>
        </w:rPr>
      </w:pPr>
    </w:p>
    <w:p w14:paraId="0B4D1CF3" w14:textId="4D7C1683" w:rsidR="1B4704F1" w:rsidRPr="008C1FFE" w:rsidRDefault="1B4704F1" w:rsidP="008C1FFE">
      <w:pPr>
        <w:pStyle w:val="Prrafodelista"/>
        <w:numPr>
          <w:ilvl w:val="0"/>
          <w:numId w:val="3"/>
        </w:numPr>
        <w:spacing w:line="276" w:lineRule="auto"/>
        <w:jc w:val="center"/>
        <w:rPr>
          <w:rFonts w:eastAsiaTheme="minorEastAsia"/>
          <w:b/>
          <w:bCs/>
          <w:sz w:val="24"/>
          <w:szCs w:val="24"/>
        </w:rPr>
      </w:pPr>
      <w:r w:rsidRPr="008C1FFE">
        <w:rPr>
          <w:b/>
          <w:bCs/>
          <w:sz w:val="24"/>
          <w:szCs w:val="24"/>
          <w:lang w:val="es"/>
        </w:rPr>
        <w:t>Problemas jurídicos por resolver</w:t>
      </w:r>
    </w:p>
    <w:p w14:paraId="6E933D75" w14:textId="28CA93FE" w:rsidR="1B4704F1" w:rsidRPr="008C1FFE" w:rsidRDefault="1B4704F1" w:rsidP="008C1FFE">
      <w:pPr>
        <w:spacing w:after="0" w:line="276" w:lineRule="auto"/>
        <w:jc w:val="both"/>
        <w:rPr>
          <w:rFonts w:ascii="Tahoma" w:hAnsi="Tahoma" w:cs="Tahoma"/>
          <w:sz w:val="24"/>
          <w:szCs w:val="24"/>
        </w:rPr>
      </w:pPr>
      <w:r w:rsidRPr="008C1FFE">
        <w:rPr>
          <w:rFonts w:ascii="Tahoma" w:eastAsia="Times New Roman" w:hAnsi="Tahoma" w:cs="Tahoma"/>
          <w:sz w:val="24"/>
          <w:szCs w:val="24"/>
        </w:rPr>
        <w:t xml:space="preserve"> </w:t>
      </w:r>
    </w:p>
    <w:p w14:paraId="08CE7C6D" w14:textId="49F6A310" w:rsidR="1B4704F1" w:rsidRPr="008C1FFE" w:rsidRDefault="1B4704F1" w:rsidP="008C1FFE">
      <w:pPr>
        <w:spacing w:after="0" w:line="276" w:lineRule="auto"/>
        <w:ind w:firstLine="360"/>
        <w:jc w:val="both"/>
        <w:rPr>
          <w:rFonts w:ascii="Tahoma" w:hAnsi="Tahoma" w:cs="Tahoma"/>
          <w:sz w:val="24"/>
          <w:szCs w:val="24"/>
        </w:rPr>
      </w:pPr>
      <w:r w:rsidRPr="008C1FFE">
        <w:rPr>
          <w:rFonts w:ascii="Tahoma" w:eastAsia="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09AC2697" w14:textId="7F77F5D9"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b/>
          <w:bCs/>
          <w:sz w:val="24"/>
          <w:szCs w:val="24"/>
        </w:rPr>
        <w:t xml:space="preserve"> </w:t>
      </w:r>
    </w:p>
    <w:p w14:paraId="768C4F33" w14:textId="7081BC21" w:rsidR="1B4704F1" w:rsidRPr="008C1FFE" w:rsidRDefault="1B4704F1" w:rsidP="008C1FFE">
      <w:pPr>
        <w:pStyle w:val="Prrafodelista"/>
        <w:numPr>
          <w:ilvl w:val="0"/>
          <w:numId w:val="2"/>
        </w:numPr>
        <w:spacing w:line="276" w:lineRule="auto"/>
        <w:rPr>
          <w:rFonts w:eastAsiaTheme="minorEastAsia"/>
          <w:sz w:val="24"/>
          <w:szCs w:val="24"/>
        </w:rPr>
      </w:pPr>
      <w:r w:rsidRPr="008C1FFE">
        <w:rPr>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4EC27C32" w14:textId="388B7C21" w:rsidR="1B4704F1" w:rsidRPr="008C1FFE" w:rsidRDefault="1B4704F1" w:rsidP="008C1FFE">
      <w:pPr>
        <w:spacing w:after="0" w:line="276" w:lineRule="auto"/>
        <w:ind w:firstLine="707"/>
        <w:jc w:val="both"/>
        <w:rPr>
          <w:rFonts w:ascii="Tahoma" w:hAnsi="Tahoma" w:cs="Tahoma"/>
          <w:sz w:val="24"/>
          <w:szCs w:val="24"/>
        </w:rPr>
      </w:pPr>
      <w:r w:rsidRPr="008C1FFE">
        <w:rPr>
          <w:rFonts w:ascii="Tahoma" w:eastAsia="Tahoma" w:hAnsi="Tahoma" w:cs="Tahoma"/>
          <w:sz w:val="24"/>
          <w:szCs w:val="24"/>
          <w:lang w:val="es"/>
        </w:rPr>
        <w:t xml:space="preserve"> </w:t>
      </w:r>
    </w:p>
    <w:p w14:paraId="016DADBD" w14:textId="051B67BD" w:rsidR="1B4704F1" w:rsidRPr="008C1FFE" w:rsidRDefault="1B4704F1" w:rsidP="008C1FFE">
      <w:pPr>
        <w:pStyle w:val="Prrafodelista"/>
        <w:numPr>
          <w:ilvl w:val="0"/>
          <w:numId w:val="2"/>
        </w:numPr>
        <w:spacing w:line="276" w:lineRule="auto"/>
        <w:rPr>
          <w:rFonts w:eastAsiaTheme="minorEastAsia"/>
          <w:sz w:val="24"/>
          <w:szCs w:val="24"/>
        </w:rPr>
      </w:pPr>
      <w:r w:rsidRPr="008C1FFE">
        <w:rPr>
          <w:sz w:val="24"/>
          <w:szCs w:val="24"/>
          <w:lang w:val="es"/>
        </w:rPr>
        <w:t xml:space="preserve"> Determinar la carga probatoria que les corresponde a cada una de las partes cuando está en discusión la eficacia del traslado entre regímenes pensionales.</w:t>
      </w:r>
    </w:p>
    <w:p w14:paraId="2545FAB2" w14:textId="20E09811" w:rsidR="1B4704F1" w:rsidRPr="008C1FFE" w:rsidRDefault="1B4704F1" w:rsidP="008C1FFE">
      <w:pPr>
        <w:spacing w:after="0" w:line="276" w:lineRule="auto"/>
        <w:ind w:firstLine="707"/>
        <w:jc w:val="both"/>
        <w:rPr>
          <w:rFonts w:ascii="Tahoma" w:hAnsi="Tahoma" w:cs="Tahoma"/>
          <w:sz w:val="24"/>
          <w:szCs w:val="24"/>
        </w:rPr>
      </w:pPr>
      <w:r w:rsidRPr="008C1FFE">
        <w:rPr>
          <w:rFonts w:ascii="Tahoma" w:eastAsia="Tahoma" w:hAnsi="Tahoma" w:cs="Tahoma"/>
          <w:sz w:val="24"/>
          <w:szCs w:val="24"/>
          <w:lang w:val="es"/>
        </w:rPr>
        <w:t xml:space="preserve"> </w:t>
      </w:r>
    </w:p>
    <w:p w14:paraId="0F572172" w14:textId="77777777" w:rsidR="002D33E3" w:rsidRPr="008C1FFE" w:rsidRDefault="1B4704F1" w:rsidP="008C1FFE">
      <w:pPr>
        <w:pStyle w:val="Prrafodelista"/>
        <w:numPr>
          <w:ilvl w:val="0"/>
          <w:numId w:val="2"/>
        </w:numPr>
        <w:spacing w:line="276" w:lineRule="auto"/>
        <w:rPr>
          <w:rFonts w:eastAsiaTheme="minorEastAsia"/>
          <w:sz w:val="24"/>
          <w:szCs w:val="24"/>
        </w:rPr>
      </w:pPr>
      <w:r w:rsidRPr="008C1FFE">
        <w:rPr>
          <w:sz w:val="24"/>
          <w:szCs w:val="24"/>
          <w:lang w:val="es"/>
        </w:rPr>
        <w:t xml:space="preserve">Analizar si quedó probado en el proceso que la parte demandante recibió de parte de la AFP demandada, la asesoría e información suficiente y necesaria para hacer el cambio de régimen. </w:t>
      </w:r>
    </w:p>
    <w:p w14:paraId="1CAAD148" w14:textId="77777777" w:rsidR="002D33E3" w:rsidRPr="008C1FFE" w:rsidRDefault="002D33E3" w:rsidP="008C1FFE">
      <w:pPr>
        <w:pStyle w:val="Prrafodelista"/>
        <w:spacing w:line="276" w:lineRule="auto"/>
        <w:rPr>
          <w:sz w:val="24"/>
          <w:szCs w:val="24"/>
        </w:rPr>
      </w:pPr>
    </w:p>
    <w:p w14:paraId="4134A04F" w14:textId="21031C08" w:rsidR="00DE2FBE" w:rsidRPr="008C1FFE" w:rsidRDefault="00DE2FBE" w:rsidP="008C1FFE">
      <w:pPr>
        <w:pStyle w:val="Prrafodelista"/>
        <w:numPr>
          <w:ilvl w:val="0"/>
          <w:numId w:val="2"/>
        </w:numPr>
        <w:spacing w:line="276" w:lineRule="auto"/>
        <w:rPr>
          <w:rFonts w:eastAsiaTheme="minorEastAsia"/>
          <w:sz w:val="24"/>
          <w:szCs w:val="24"/>
        </w:rPr>
      </w:pPr>
      <w:r w:rsidRPr="008C1FFE">
        <w:rPr>
          <w:sz w:val="24"/>
          <w:szCs w:val="24"/>
        </w:rPr>
        <w:t>Determinar si hay razón suficiente para apartarse del precedente jurisprudencial existente frente a la ineficacia del traslado de régimen.</w:t>
      </w:r>
    </w:p>
    <w:p w14:paraId="3306DC82" w14:textId="08903641" w:rsidR="1B4704F1" w:rsidRPr="008C1FFE" w:rsidRDefault="1B4704F1" w:rsidP="008C1FFE">
      <w:pPr>
        <w:spacing w:after="0" w:line="276" w:lineRule="auto"/>
        <w:ind w:firstLine="707"/>
        <w:jc w:val="both"/>
        <w:rPr>
          <w:rFonts w:ascii="Tahoma" w:hAnsi="Tahoma" w:cs="Tahoma"/>
          <w:sz w:val="24"/>
          <w:szCs w:val="24"/>
        </w:rPr>
      </w:pPr>
    </w:p>
    <w:p w14:paraId="2EBBB18E" w14:textId="2DEA186A" w:rsidR="1B4704F1" w:rsidRPr="008C1FFE" w:rsidRDefault="1B4704F1" w:rsidP="008C1FFE">
      <w:pPr>
        <w:pStyle w:val="Prrafodelista"/>
        <w:numPr>
          <w:ilvl w:val="0"/>
          <w:numId w:val="2"/>
        </w:numPr>
        <w:spacing w:line="276" w:lineRule="auto"/>
        <w:rPr>
          <w:rFonts w:eastAsiaTheme="minorEastAsia"/>
          <w:sz w:val="24"/>
          <w:szCs w:val="24"/>
        </w:rPr>
      </w:pPr>
      <w:r w:rsidRPr="008C1FFE">
        <w:rPr>
          <w:sz w:val="24"/>
          <w:szCs w:val="24"/>
          <w:lang w:val="es"/>
        </w:rPr>
        <w:t>Establecer si es dable ordenar a la</w:t>
      </w:r>
      <w:r w:rsidR="0070160D" w:rsidRPr="008C1FFE">
        <w:rPr>
          <w:sz w:val="24"/>
          <w:szCs w:val="24"/>
          <w:lang w:val="es"/>
        </w:rPr>
        <w:t>s</w:t>
      </w:r>
      <w:r w:rsidRPr="008C1FFE">
        <w:rPr>
          <w:sz w:val="24"/>
          <w:szCs w:val="24"/>
          <w:lang w:val="es"/>
        </w:rPr>
        <w:t xml:space="preserve"> AFP</w:t>
      </w:r>
      <w:r w:rsidR="002D33E3" w:rsidRPr="008C1FFE">
        <w:rPr>
          <w:sz w:val="24"/>
          <w:szCs w:val="24"/>
          <w:lang w:val="es"/>
        </w:rPr>
        <w:t xml:space="preserve"> </w:t>
      </w:r>
      <w:r w:rsidRPr="008C1FFE">
        <w:rPr>
          <w:sz w:val="24"/>
          <w:szCs w:val="24"/>
          <w:lang w:val="es"/>
        </w:rPr>
        <w:t>demandada la devolución, con cargo a sus propios recursos de los gastos de administración</w:t>
      </w:r>
      <w:r w:rsidR="002D33E3" w:rsidRPr="008C1FFE">
        <w:rPr>
          <w:sz w:val="24"/>
          <w:szCs w:val="24"/>
          <w:lang w:val="es"/>
        </w:rPr>
        <w:t>.</w:t>
      </w:r>
    </w:p>
    <w:p w14:paraId="7873A1AE" w14:textId="2F327558" w:rsidR="1B4704F1" w:rsidRPr="008C1FFE" w:rsidRDefault="1B4704F1" w:rsidP="008C1FFE">
      <w:pPr>
        <w:spacing w:after="0" w:line="276" w:lineRule="auto"/>
        <w:ind w:firstLine="707"/>
        <w:jc w:val="both"/>
        <w:rPr>
          <w:rFonts w:ascii="Tahoma" w:hAnsi="Tahoma" w:cs="Tahoma"/>
          <w:sz w:val="24"/>
          <w:szCs w:val="24"/>
        </w:rPr>
      </w:pPr>
      <w:r w:rsidRPr="008C1FFE">
        <w:rPr>
          <w:rFonts w:ascii="Tahoma" w:eastAsia="Tahoma" w:hAnsi="Tahoma" w:cs="Tahoma"/>
          <w:sz w:val="24"/>
          <w:szCs w:val="24"/>
          <w:lang w:val="es"/>
        </w:rPr>
        <w:t xml:space="preserve"> </w:t>
      </w:r>
    </w:p>
    <w:p w14:paraId="397AF9C4" w14:textId="7F0AE82A" w:rsidR="00EE6DE9" w:rsidRPr="008C1FFE" w:rsidRDefault="1B4704F1" w:rsidP="008C1FFE">
      <w:pPr>
        <w:pStyle w:val="Prrafodelista"/>
        <w:numPr>
          <w:ilvl w:val="0"/>
          <w:numId w:val="2"/>
        </w:numPr>
        <w:spacing w:line="276" w:lineRule="auto"/>
        <w:rPr>
          <w:rFonts w:eastAsiaTheme="minorEastAsia"/>
          <w:sz w:val="24"/>
          <w:szCs w:val="24"/>
        </w:rPr>
      </w:pPr>
      <w:r w:rsidRPr="008C1FFE">
        <w:rPr>
          <w:sz w:val="24"/>
          <w:szCs w:val="24"/>
          <w:lang w:val="es"/>
        </w:rPr>
        <w:t xml:space="preserve">Analizar si </w:t>
      </w:r>
      <w:r w:rsidR="00091505" w:rsidRPr="008C1FFE">
        <w:rPr>
          <w:sz w:val="24"/>
          <w:szCs w:val="24"/>
          <w:lang w:val="es"/>
        </w:rPr>
        <w:t>e</w:t>
      </w:r>
      <w:r w:rsidR="006A13DC" w:rsidRPr="008C1FFE">
        <w:rPr>
          <w:sz w:val="24"/>
          <w:szCs w:val="24"/>
          <w:lang w:val="es"/>
        </w:rPr>
        <w:t>s</w:t>
      </w:r>
      <w:r w:rsidR="00091505" w:rsidRPr="008C1FFE">
        <w:rPr>
          <w:sz w:val="24"/>
          <w:szCs w:val="24"/>
          <w:lang w:val="es"/>
        </w:rPr>
        <w:t xml:space="preserve"> procedente condenar a Pro</w:t>
      </w:r>
      <w:r w:rsidR="00FC551D" w:rsidRPr="008C1FFE">
        <w:rPr>
          <w:sz w:val="24"/>
          <w:szCs w:val="24"/>
          <w:lang w:val="es"/>
        </w:rPr>
        <w:t>tección</w:t>
      </w:r>
      <w:r w:rsidR="00091505" w:rsidRPr="008C1FFE">
        <w:rPr>
          <w:sz w:val="24"/>
          <w:szCs w:val="24"/>
          <w:lang w:val="es"/>
        </w:rPr>
        <w:t xml:space="preserve"> S.A a título de sanción al pago de un cálculo actuarial equivalente al valor total de las mesadas pensionales liquidadas bajo los parámetros del régimen de prima media teniendo en cuenta para ello la expectativa de vida del demandante y la de sus posibles beneficiarios, </w:t>
      </w:r>
      <w:r w:rsidR="00EE6DE9" w:rsidRPr="008C1FFE">
        <w:rPr>
          <w:sz w:val="24"/>
          <w:szCs w:val="24"/>
          <w:lang w:val="es"/>
        </w:rPr>
        <w:t>según lo solicita Colpensiones.</w:t>
      </w:r>
    </w:p>
    <w:p w14:paraId="668A18C4" w14:textId="77777777" w:rsidR="005416F9" w:rsidRPr="00800F70" w:rsidRDefault="005416F9" w:rsidP="00800F70">
      <w:pPr>
        <w:spacing w:after="0" w:line="276" w:lineRule="auto"/>
        <w:ind w:firstLine="707"/>
        <w:jc w:val="both"/>
        <w:rPr>
          <w:rFonts w:ascii="Tahoma" w:hAnsi="Tahoma" w:cs="Tahoma"/>
          <w:sz w:val="24"/>
          <w:szCs w:val="24"/>
        </w:rPr>
      </w:pPr>
    </w:p>
    <w:p w14:paraId="1299C084" w14:textId="32A0FD9F" w:rsidR="005416F9" w:rsidRPr="008C1FFE" w:rsidRDefault="00D36A9E" w:rsidP="008C1FFE">
      <w:pPr>
        <w:pStyle w:val="Prrafodelista"/>
        <w:numPr>
          <w:ilvl w:val="0"/>
          <w:numId w:val="2"/>
        </w:numPr>
        <w:spacing w:line="276" w:lineRule="auto"/>
        <w:rPr>
          <w:sz w:val="24"/>
          <w:szCs w:val="24"/>
          <w:lang w:val="es"/>
        </w:rPr>
      </w:pPr>
      <w:r w:rsidRPr="008C1FFE">
        <w:rPr>
          <w:sz w:val="24"/>
          <w:szCs w:val="24"/>
          <w:lang w:val="es"/>
        </w:rPr>
        <w:t>D</w:t>
      </w:r>
      <w:r w:rsidR="00201EF1" w:rsidRPr="008C1FFE">
        <w:rPr>
          <w:sz w:val="24"/>
          <w:szCs w:val="24"/>
          <w:lang w:val="es"/>
        </w:rPr>
        <w:t>eterminar si</w:t>
      </w:r>
      <w:r w:rsidR="00A74929" w:rsidRPr="008C1FFE">
        <w:rPr>
          <w:sz w:val="24"/>
          <w:szCs w:val="24"/>
          <w:lang w:val="es"/>
        </w:rPr>
        <w:t xml:space="preserve">, confirmada la ineficacia del traslado entre regímenes pensionales, </w:t>
      </w:r>
      <w:r w:rsidR="00201EF1" w:rsidRPr="008C1FFE">
        <w:rPr>
          <w:sz w:val="24"/>
          <w:szCs w:val="24"/>
          <w:lang w:val="es"/>
        </w:rPr>
        <w:t>e</w:t>
      </w:r>
      <w:r w:rsidR="000D43E8" w:rsidRPr="008C1FFE">
        <w:rPr>
          <w:sz w:val="24"/>
          <w:szCs w:val="24"/>
          <w:lang w:val="es"/>
        </w:rPr>
        <w:t xml:space="preserve">l señor Jairo de Jesús Restrepo Cataño acredita los requisitos para ser </w:t>
      </w:r>
      <w:r w:rsidR="00237EDD" w:rsidRPr="008C1FFE">
        <w:rPr>
          <w:sz w:val="24"/>
          <w:szCs w:val="24"/>
          <w:lang w:val="es-CO"/>
        </w:rPr>
        <w:t xml:space="preserve">es beneficiario del régimen de transición conforme a lo establecido en el artículo 36 de la Ley 100 de 1993, y en tal virtud le son aplicables </w:t>
      </w:r>
      <w:r w:rsidR="00953AD2" w:rsidRPr="008C1FFE">
        <w:rPr>
          <w:sz w:val="24"/>
          <w:szCs w:val="24"/>
          <w:lang w:val="es-CO"/>
        </w:rPr>
        <w:t>los postulados del Acuerdo 049 de 1990.</w:t>
      </w:r>
    </w:p>
    <w:p w14:paraId="33C80C47" w14:textId="77777777" w:rsidR="00953AD2" w:rsidRPr="008C1FFE" w:rsidRDefault="00953AD2" w:rsidP="008C1FFE">
      <w:pPr>
        <w:pStyle w:val="Prrafodelista"/>
        <w:spacing w:line="276" w:lineRule="auto"/>
        <w:rPr>
          <w:sz w:val="24"/>
          <w:szCs w:val="24"/>
          <w:lang w:val="es"/>
        </w:rPr>
      </w:pPr>
    </w:p>
    <w:p w14:paraId="4CFA5345" w14:textId="18585A34" w:rsidR="00953AD2" w:rsidRPr="008C1FFE" w:rsidRDefault="00953AD2" w:rsidP="008C1FFE">
      <w:pPr>
        <w:pStyle w:val="Prrafodelista"/>
        <w:numPr>
          <w:ilvl w:val="0"/>
          <w:numId w:val="2"/>
        </w:numPr>
        <w:spacing w:line="276" w:lineRule="auto"/>
        <w:rPr>
          <w:sz w:val="24"/>
          <w:szCs w:val="24"/>
          <w:lang w:val="es"/>
        </w:rPr>
      </w:pPr>
      <w:r w:rsidRPr="008C1FFE">
        <w:rPr>
          <w:sz w:val="24"/>
          <w:szCs w:val="24"/>
          <w:lang w:val="es"/>
        </w:rPr>
        <w:t xml:space="preserve">En caso afirmativo, establecer el valor de la </w:t>
      </w:r>
      <w:r w:rsidR="00130B02" w:rsidRPr="008C1FFE">
        <w:rPr>
          <w:sz w:val="24"/>
          <w:szCs w:val="24"/>
          <w:lang w:val="es"/>
        </w:rPr>
        <w:t xml:space="preserve">mesada </w:t>
      </w:r>
      <w:r w:rsidRPr="008C1FFE">
        <w:rPr>
          <w:sz w:val="24"/>
          <w:szCs w:val="24"/>
          <w:lang w:val="es"/>
        </w:rPr>
        <w:t>pensional</w:t>
      </w:r>
      <w:r w:rsidR="00130B02" w:rsidRPr="008C1FFE">
        <w:rPr>
          <w:sz w:val="24"/>
          <w:szCs w:val="24"/>
          <w:lang w:val="es"/>
        </w:rPr>
        <w:t xml:space="preserve"> y el retroactivo </w:t>
      </w:r>
    </w:p>
    <w:bookmarkEnd w:id="5"/>
    <w:p w14:paraId="31D3365C" w14:textId="77777777" w:rsidR="006A13DC" w:rsidRPr="008C1FFE" w:rsidRDefault="006A13DC" w:rsidP="008C1FFE">
      <w:pPr>
        <w:widowControl w:val="0"/>
        <w:autoSpaceDE w:val="0"/>
        <w:autoSpaceDN w:val="0"/>
        <w:adjustRightInd w:val="0"/>
        <w:spacing w:after="0" w:line="276" w:lineRule="auto"/>
        <w:ind w:firstLine="284"/>
        <w:jc w:val="both"/>
        <w:rPr>
          <w:rFonts w:ascii="Tahoma" w:eastAsia="Calibri" w:hAnsi="Tahoma" w:cs="Tahoma"/>
          <w:sz w:val="24"/>
          <w:szCs w:val="24"/>
        </w:rPr>
      </w:pPr>
    </w:p>
    <w:p w14:paraId="11034AB4" w14:textId="6084B247" w:rsidR="004D57BB" w:rsidRPr="008C1FFE" w:rsidRDefault="004D57BB" w:rsidP="008C1FFE">
      <w:pPr>
        <w:pStyle w:val="Prrafodelista"/>
        <w:numPr>
          <w:ilvl w:val="0"/>
          <w:numId w:val="16"/>
        </w:numPr>
        <w:adjustRightInd w:val="0"/>
        <w:spacing w:line="276" w:lineRule="auto"/>
        <w:jc w:val="center"/>
        <w:rPr>
          <w:rFonts w:eastAsia="Calibri"/>
          <w:b/>
          <w:bCs/>
          <w:sz w:val="24"/>
          <w:szCs w:val="24"/>
        </w:rPr>
      </w:pPr>
      <w:r w:rsidRPr="008C1FFE">
        <w:rPr>
          <w:rFonts w:eastAsia="Calibri"/>
          <w:b/>
          <w:bCs/>
          <w:sz w:val="24"/>
          <w:szCs w:val="24"/>
        </w:rPr>
        <w:lastRenderedPageBreak/>
        <w:t>Consideraciones</w:t>
      </w:r>
    </w:p>
    <w:p w14:paraId="46559F80" w14:textId="77777777" w:rsidR="004D57BB" w:rsidRPr="008C1FFE" w:rsidRDefault="004D57BB" w:rsidP="008C1FFE">
      <w:pPr>
        <w:widowControl w:val="0"/>
        <w:autoSpaceDE w:val="0"/>
        <w:autoSpaceDN w:val="0"/>
        <w:adjustRightInd w:val="0"/>
        <w:spacing w:after="0" w:line="276" w:lineRule="auto"/>
        <w:ind w:firstLine="284"/>
        <w:jc w:val="both"/>
        <w:rPr>
          <w:rFonts w:ascii="Tahoma" w:eastAsia="Calibri" w:hAnsi="Tahoma" w:cs="Tahoma"/>
          <w:b/>
          <w:sz w:val="24"/>
          <w:szCs w:val="24"/>
        </w:rPr>
      </w:pPr>
    </w:p>
    <w:p w14:paraId="5DD4CF9C" w14:textId="77777777" w:rsidR="004D57BB" w:rsidRPr="008C1FFE" w:rsidRDefault="004D57BB" w:rsidP="008C1FFE">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8C1FFE">
        <w:rPr>
          <w:rFonts w:ascii="Tahoma" w:eastAsia="Calibri" w:hAnsi="Tahoma" w:cs="Tahoma"/>
          <w:b/>
          <w:sz w:val="24"/>
          <w:szCs w:val="24"/>
        </w:rPr>
        <w:t xml:space="preserve">Precedente vertical: la tesis de la Corte Suprema de Justicia respecto al tema de la ineficacia del traslado constituye doctrina probable </w:t>
      </w:r>
    </w:p>
    <w:p w14:paraId="482D72E8" w14:textId="77777777" w:rsidR="004D57BB" w:rsidRPr="008C1FFE" w:rsidRDefault="004D57BB" w:rsidP="008C1FFE">
      <w:pPr>
        <w:widowControl w:val="0"/>
        <w:autoSpaceDE w:val="0"/>
        <w:autoSpaceDN w:val="0"/>
        <w:adjustRightInd w:val="0"/>
        <w:spacing w:after="0" w:line="276" w:lineRule="auto"/>
        <w:ind w:firstLine="284"/>
        <w:jc w:val="both"/>
        <w:rPr>
          <w:rFonts w:ascii="Tahoma" w:eastAsia="Calibri" w:hAnsi="Tahoma" w:cs="Tahoma"/>
          <w:sz w:val="24"/>
          <w:szCs w:val="24"/>
        </w:rPr>
      </w:pPr>
    </w:p>
    <w:p w14:paraId="35B2D850"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r w:rsidRPr="00023083">
        <w:rPr>
          <w:rFonts w:ascii="Tahoma" w:eastAsia="Calibri" w:hAnsi="Tahoma" w:cs="Tahoma"/>
          <w:sz w:val="24"/>
          <w:szCs w:val="24"/>
        </w:rPr>
        <w:t xml:space="preserve">En la actualidad existe </w:t>
      </w:r>
      <w:r w:rsidRPr="00023083">
        <w:rPr>
          <w:rFonts w:ascii="Tahoma" w:eastAsia="Calibri" w:hAnsi="Tahoma" w:cs="Tahoma"/>
          <w:b/>
          <w:sz w:val="24"/>
          <w:szCs w:val="24"/>
        </w:rPr>
        <w:t>doctrina probable</w:t>
      </w:r>
      <w:r w:rsidRPr="00023083">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29213547"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7A05B1D1"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r w:rsidRPr="00023083">
        <w:rPr>
          <w:rFonts w:ascii="Tahoma" w:eastAsia="Calibri" w:hAnsi="Tahoma" w:cs="Tahoma"/>
          <w:bCs/>
          <w:sz w:val="24"/>
          <w:szCs w:val="24"/>
        </w:rPr>
        <w:t xml:space="preserve">SL 31989 del 9 sep. 2008, </w:t>
      </w:r>
      <w:r w:rsidRPr="00023083">
        <w:rPr>
          <w:rFonts w:ascii="Tahoma" w:eastAsia="Calibri"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78394A3"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1DEA18D8"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r w:rsidRPr="00023083">
        <w:rPr>
          <w:rFonts w:ascii="Tahoma" w:eastAsia="Calibri" w:hAnsi="Tahoma" w:cs="Tahoma"/>
          <w:sz w:val="24"/>
          <w:szCs w:val="24"/>
        </w:rPr>
        <w:t xml:space="preserve">En términos generales, en todas estas sentencias se determinó </w:t>
      </w:r>
      <w:r w:rsidRPr="00023083">
        <w:rPr>
          <w:rFonts w:ascii="Tahoma" w:eastAsia="Calibri" w:hAnsi="Tahoma" w:cs="Tahoma"/>
          <w:i/>
          <w:sz w:val="24"/>
          <w:szCs w:val="24"/>
        </w:rPr>
        <w:t xml:space="preserve">i) </w:t>
      </w:r>
      <w:r w:rsidRPr="00023083">
        <w:rPr>
          <w:rFonts w:ascii="Tahoma" w:eastAsia="Calibri" w:hAnsi="Tahoma" w:cs="Tahoma"/>
          <w:sz w:val="24"/>
          <w:szCs w:val="24"/>
        </w:rPr>
        <w:t xml:space="preserve">el alcance del deber de información a cargo de las Administradoras de Fondos de Pensiones, </w:t>
      </w:r>
      <w:r w:rsidRPr="00023083">
        <w:rPr>
          <w:rFonts w:ascii="Tahoma" w:eastAsia="Calibri" w:hAnsi="Tahoma" w:cs="Tahoma"/>
          <w:i/>
          <w:sz w:val="24"/>
          <w:szCs w:val="24"/>
        </w:rPr>
        <w:t xml:space="preserve">ii) </w:t>
      </w:r>
      <w:r w:rsidRPr="00023083">
        <w:rPr>
          <w:rFonts w:ascii="Tahoma" w:eastAsia="Calibri" w:hAnsi="Tahoma" w:cs="Tahoma"/>
          <w:sz w:val="24"/>
          <w:szCs w:val="24"/>
        </w:rPr>
        <w:t xml:space="preserve">la procedencia de la ineficacia del traslado, </w:t>
      </w:r>
      <w:r w:rsidRPr="00023083">
        <w:rPr>
          <w:rFonts w:ascii="Tahoma" w:eastAsia="Calibri" w:hAnsi="Tahoma" w:cs="Tahoma"/>
          <w:i/>
          <w:sz w:val="24"/>
          <w:szCs w:val="24"/>
        </w:rPr>
        <w:t xml:space="preserve">iii) </w:t>
      </w:r>
      <w:r w:rsidRPr="00023083">
        <w:rPr>
          <w:rFonts w:ascii="Tahoma" w:eastAsia="Calibri" w:hAnsi="Tahoma" w:cs="Tahoma"/>
          <w:sz w:val="24"/>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8C7D1F6"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64CEACBF" w14:textId="77777777" w:rsidR="00023083" w:rsidRPr="00023083" w:rsidRDefault="00023083" w:rsidP="00FE72AA">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023083">
        <w:rPr>
          <w:rFonts w:ascii="Tahoma" w:eastAsia="Calibri" w:hAnsi="Tahoma" w:cs="Tahoma"/>
          <w:b/>
          <w:sz w:val="24"/>
          <w:szCs w:val="24"/>
        </w:rPr>
        <w:t>“El deber de información a cargo de las administradoras de fondos de pensiones: Un deber exigible desde su creación</w:t>
      </w:r>
      <w:r w:rsidRPr="00023083">
        <w:rPr>
          <w:rFonts w:ascii="Tahoma" w:eastAsia="Calibri" w:hAnsi="Tahoma" w:cs="Tahoma"/>
          <w:b/>
          <w:sz w:val="24"/>
          <w:szCs w:val="24"/>
        </w:rPr>
        <w:footnoteReference w:id="1"/>
      </w:r>
      <w:r w:rsidRPr="00023083">
        <w:rPr>
          <w:rFonts w:ascii="Tahoma" w:eastAsia="Calibri" w:hAnsi="Tahoma" w:cs="Tahoma"/>
          <w:b/>
          <w:sz w:val="24"/>
          <w:szCs w:val="24"/>
        </w:rPr>
        <w:t>”</w:t>
      </w:r>
    </w:p>
    <w:p w14:paraId="67C6082E"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i/>
          <w:sz w:val="24"/>
          <w:szCs w:val="24"/>
        </w:rPr>
      </w:pPr>
    </w:p>
    <w:p w14:paraId="3334C306"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r w:rsidRPr="00023083">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023083">
        <w:rPr>
          <w:rFonts w:ascii="Tahoma" w:eastAsia="Calibri" w:hAnsi="Tahoma" w:cs="Tahoma"/>
          <w:sz w:val="24"/>
          <w:szCs w:val="24"/>
          <w:u w:val="single"/>
        </w:rPr>
        <w:t>debida diligencia y cuidado</w:t>
      </w:r>
      <w:r w:rsidRPr="00023083">
        <w:rPr>
          <w:rFonts w:ascii="Tahoma" w:eastAsia="Calibri" w:hAnsi="Tahoma" w:cs="Tahoma"/>
          <w:sz w:val="24"/>
          <w:szCs w:val="24"/>
        </w:rPr>
        <w:t xml:space="preserve"> incumbe a quien ha debido emplearla, atendiendo a las siguientes razones:</w:t>
      </w:r>
    </w:p>
    <w:p w14:paraId="0A2A8FC1"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b/>
          <w:sz w:val="24"/>
          <w:szCs w:val="24"/>
        </w:rPr>
      </w:pPr>
    </w:p>
    <w:p w14:paraId="1DD99909"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r w:rsidRPr="00023083">
        <w:rPr>
          <w:rFonts w:ascii="Tahoma" w:eastAsia="Calibri" w:hAnsi="Tahoma" w:cs="Tahoma"/>
          <w:b/>
          <w:sz w:val="24"/>
          <w:szCs w:val="24"/>
        </w:rPr>
        <w:t>1)</w:t>
      </w:r>
      <w:r w:rsidRPr="00023083">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023083">
        <w:rPr>
          <w:rFonts w:ascii="Tahoma" w:eastAsia="Calibri" w:hAnsi="Tahoma" w:cs="Tahoma"/>
          <w:sz w:val="24"/>
          <w:szCs w:val="24"/>
          <w:u w:val="single"/>
        </w:rPr>
        <w:t>Decreto 663 de 1993</w:t>
      </w:r>
      <w:r w:rsidRPr="00023083">
        <w:rPr>
          <w:rFonts w:ascii="Tahoma" w:eastAsia="Calibri" w:hAnsi="Tahoma" w:cs="Tahoma"/>
          <w:sz w:val="24"/>
          <w:szCs w:val="24"/>
          <w:u w:val="single"/>
          <w:vertAlign w:val="superscript"/>
        </w:rPr>
        <w:footnoteReference w:id="2"/>
      </w:r>
      <w:r w:rsidRPr="00023083">
        <w:rPr>
          <w:rFonts w:ascii="Tahoma" w:eastAsia="Calibri" w:hAnsi="Tahoma" w:cs="Tahoma"/>
          <w:sz w:val="24"/>
          <w:szCs w:val="24"/>
        </w:rPr>
        <w:t>, norma en la que se destaca la importancia de los principios de debida diligencia, transparencia e información cierta, suficiente y oportuna.</w:t>
      </w:r>
    </w:p>
    <w:p w14:paraId="3FD0B168"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4432B308"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r w:rsidRPr="00023083">
        <w:rPr>
          <w:rFonts w:ascii="Tahoma" w:eastAsia="Calibri" w:hAnsi="Tahoma" w:cs="Tahoma"/>
          <w:b/>
          <w:sz w:val="24"/>
          <w:szCs w:val="24"/>
        </w:rPr>
        <w:t>2)</w:t>
      </w:r>
      <w:r w:rsidRPr="00023083">
        <w:rPr>
          <w:rFonts w:ascii="Tahoma" w:eastAsia="Calibri" w:hAnsi="Tahoma" w:cs="Tahoma"/>
          <w:sz w:val="24"/>
          <w:szCs w:val="24"/>
        </w:rPr>
        <w:t xml:space="preserve"> Adicionalmente, se tiene previsto en el artículo 12 del Decreto 720 de 1994, que los promotores que empleen las sociedades administradoras del sistema general </w:t>
      </w:r>
      <w:r w:rsidRPr="00023083">
        <w:rPr>
          <w:rFonts w:ascii="Tahoma" w:eastAsia="Calibri" w:hAnsi="Tahoma" w:cs="Tahoma"/>
          <w:sz w:val="24"/>
          <w:szCs w:val="24"/>
        </w:rPr>
        <w:lastRenderedPageBreak/>
        <w:t xml:space="preserve">de pensiones deberán suministrar </w:t>
      </w:r>
      <w:r w:rsidRPr="00023083">
        <w:rPr>
          <w:rFonts w:ascii="Tahoma" w:eastAsia="Calibri" w:hAnsi="Tahoma" w:cs="Tahoma"/>
          <w:sz w:val="24"/>
          <w:szCs w:val="24"/>
          <w:u w:val="single"/>
        </w:rPr>
        <w:t>suficiente, amplia y oportuna</w:t>
      </w:r>
      <w:r w:rsidRPr="00023083">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680B01FC"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095816B6" w14:textId="77777777" w:rsidR="00023083" w:rsidRPr="00023083" w:rsidRDefault="00023083" w:rsidP="00023083">
      <w:pPr>
        <w:widowControl w:val="0"/>
        <w:autoSpaceDE w:val="0"/>
        <w:autoSpaceDN w:val="0"/>
        <w:adjustRightInd w:val="0"/>
        <w:spacing w:after="0" w:line="276" w:lineRule="auto"/>
        <w:ind w:firstLine="709"/>
        <w:jc w:val="both"/>
        <w:rPr>
          <w:rFonts w:ascii="Tahoma" w:eastAsia="Calibri" w:hAnsi="Tahoma" w:cs="Tahoma"/>
          <w:sz w:val="24"/>
          <w:szCs w:val="24"/>
        </w:rPr>
      </w:pPr>
      <w:r w:rsidRPr="00023083">
        <w:rPr>
          <w:rFonts w:ascii="Tahoma" w:eastAsia="Calibri" w:hAnsi="Tahoma" w:cs="Tahoma"/>
          <w:b/>
          <w:sz w:val="24"/>
          <w:szCs w:val="24"/>
        </w:rPr>
        <w:t>3)</w:t>
      </w:r>
      <w:r w:rsidRPr="00023083">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36C08C1"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32989647" w14:textId="77777777" w:rsidR="00023083" w:rsidRPr="00023083" w:rsidRDefault="00023083" w:rsidP="00023083">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023083">
        <w:rPr>
          <w:rFonts w:ascii="Tahoma" w:eastAsia="Calibri" w:hAnsi="Tahoma" w:cs="Tahoma"/>
          <w:b/>
          <w:sz w:val="24"/>
          <w:szCs w:val="24"/>
        </w:rPr>
        <w:t>4)</w:t>
      </w:r>
      <w:r w:rsidRPr="00023083">
        <w:rPr>
          <w:rFonts w:ascii="Tahoma" w:eastAsia="Calibri" w:hAnsi="Tahoma" w:cs="Tahoma"/>
          <w:sz w:val="24"/>
          <w:szCs w:val="24"/>
        </w:rPr>
        <w:t xml:space="preserve"> En numerosas sentencias del órgano de cierre de la jurisdicción ordinaria laboral, se ha establecido que no puede argüirse que </w:t>
      </w:r>
      <w:r w:rsidRPr="00023083">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023083">
        <w:rPr>
          <w:rFonts w:ascii="Tahoma" w:eastAsia="Calibri" w:hAnsi="Tahoma" w:cs="Tahoma"/>
          <w:i/>
          <w:iCs/>
          <w:sz w:val="24"/>
          <w:szCs w:val="24"/>
        </w:rPr>
        <w:t>“</w:t>
      </w:r>
      <w:r w:rsidRPr="00023083">
        <w:rPr>
          <w:rFonts w:ascii="Tahoma" w:eastAsia="Calibri" w:hAnsi="Tahoma" w:cs="Tahoma"/>
          <w:i/>
          <w:iCs/>
          <w:szCs w:val="24"/>
          <w:u w:val="single"/>
        </w:rPr>
        <w:t>dar cuenta de que documentaron clara y suficientemente los efectos que acarrea el cambio de régimen, so pena de declarar ineficaz ese tránsito</w:t>
      </w:r>
      <w:r w:rsidRPr="00023083">
        <w:rPr>
          <w:rFonts w:ascii="Tahoma" w:eastAsia="Calibri" w:hAnsi="Tahoma" w:cs="Tahoma"/>
          <w:i/>
          <w:iCs/>
          <w:sz w:val="24"/>
          <w:szCs w:val="24"/>
          <w:u w:val="single"/>
        </w:rPr>
        <w:t>”</w:t>
      </w:r>
      <w:r w:rsidRPr="00023083">
        <w:rPr>
          <w:rFonts w:ascii="Tahoma" w:eastAsia="Calibri" w:hAnsi="Tahoma" w:cs="Tahoma"/>
          <w:iCs/>
          <w:sz w:val="24"/>
          <w:szCs w:val="24"/>
          <w:u w:val="single"/>
        </w:rPr>
        <w:t>.</w:t>
      </w:r>
    </w:p>
    <w:p w14:paraId="22C9E42E"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36439001"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iCs/>
          <w:sz w:val="24"/>
          <w:szCs w:val="24"/>
        </w:rPr>
      </w:pPr>
      <w:r w:rsidRPr="00023083">
        <w:rPr>
          <w:rFonts w:ascii="Tahoma" w:eastAsia="Calibri" w:hAnsi="Tahoma" w:cs="Tahoma"/>
          <w:iCs/>
          <w:sz w:val="24"/>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8F8414A"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iCs/>
          <w:sz w:val="24"/>
          <w:szCs w:val="24"/>
        </w:rPr>
      </w:pPr>
    </w:p>
    <w:p w14:paraId="46EDA64C"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iCs/>
          <w:sz w:val="24"/>
          <w:szCs w:val="24"/>
        </w:rPr>
      </w:pPr>
      <w:r w:rsidRPr="00023083">
        <w:rPr>
          <w:rFonts w:ascii="Tahoma" w:eastAsia="Calibri" w:hAnsi="Tahoma" w:cs="Tahoma"/>
          <w:iCs/>
          <w:sz w:val="24"/>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6119976"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iCs/>
          <w:sz w:val="24"/>
          <w:szCs w:val="24"/>
        </w:rPr>
      </w:pPr>
    </w:p>
    <w:p w14:paraId="0C391445"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r w:rsidRPr="00023083">
        <w:rPr>
          <w:rFonts w:ascii="Tahoma" w:eastAsia="Calibri" w:hAnsi="Tahoma" w:cs="Tahoma"/>
          <w:sz w:val="24"/>
          <w:szCs w:val="24"/>
        </w:rPr>
        <w:tab/>
        <w:t xml:space="preserve">Ello así, también ha dicho el órgano de cierre de la especialidad laboral, que las </w:t>
      </w:r>
      <w:proofErr w:type="spellStart"/>
      <w:r w:rsidRPr="00023083">
        <w:rPr>
          <w:rFonts w:ascii="Tahoma" w:eastAsia="Calibri" w:hAnsi="Tahoma" w:cs="Tahoma"/>
          <w:sz w:val="24"/>
          <w:szCs w:val="24"/>
        </w:rPr>
        <w:t>AFPs</w:t>
      </w:r>
      <w:proofErr w:type="spellEnd"/>
      <w:r w:rsidRPr="00023083">
        <w:rPr>
          <w:rFonts w:ascii="Tahoma" w:eastAsia="Calibri"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4CB4ABA"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05FE62C4"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bookmarkStart w:id="6" w:name="_Hlk90025453"/>
      <w:r w:rsidRPr="00023083">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w:t>
      </w:r>
      <w:r w:rsidRPr="00023083">
        <w:rPr>
          <w:rFonts w:ascii="Tahoma" w:eastAsia="Calibri" w:hAnsi="Tahoma" w:cs="Tahoma"/>
          <w:sz w:val="24"/>
          <w:szCs w:val="24"/>
        </w:rPr>
        <w:lastRenderedPageBreak/>
        <w:t xml:space="preserve">las AFP les compete, desde su creación, el deber de suministrar una información </w:t>
      </w:r>
      <w:r w:rsidRPr="00023083">
        <w:rPr>
          <w:rFonts w:ascii="Tahoma" w:eastAsia="Calibri" w:hAnsi="Tahoma" w:cs="Tahoma"/>
          <w:b/>
          <w:sz w:val="24"/>
          <w:szCs w:val="24"/>
        </w:rPr>
        <w:t xml:space="preserve">necesaria y transparente, </w:t>
      </w:r>
      <w:r w:rsidRPr="00023083">
        <w:rPr>
          <w:rFonts w:ascii="Tahoma" w:eastAsia="Calibri" w:hAnsi="Tahoma" w:cs="Tahoma"/>
          <w:sz w:val="24"/>
          <w:szCs w:val="24"/>
        </w:rPr>
        <w:t xml:space="preserve">que con el transcurrir del tiempo esta exigencia cambió, pasando de un deber de información necesaria al de </w:t>
      </w:r>
      <w:r w:rsidRPr="00023083">
        <w:rPr>
          <w:rFonts w:ascii="Tahoma" w:eastAsia="Calibri" w:hAnsi="Tahoma" w:cs="Tahoma"/>
          <w:b/>
          <w:sz w:val="24"/>
          <w:szCs w:val="24"/>
        </w:rPr>
        <w:t>asesoría y buen consejo</w:t>
      </w:r>
      <w:r w:rsidRPr="00023083">
        <w:rPr>
          <w:rFonts w:ascii="Tahoma" w:eastAsia="Calibri" w:hAnsi="Tahoma" w:cs="Tahoma"/>
          <w:sz w:val="24"/>
          <w:szCs w:val="24"/>
        </w:rPr>
        <w:t xml:space="preserve">, y finalmente al de </w:t>
      </w:r>
      <w:r w:rsidRPr="00023083">
        <w:rPr>
          <w:rFonts w:ascii="Tahoma" w:eastAsia="Calibri" w:hAnsi="Tahoma" w:cs="Tahoma"/>
          <w:b/>
          <w:sz w:val="24"/>
          <w:szCs w:val="24"/>
        </w:rPr>
        <w:t>doble asesoría</w:t>
      </w:r>
      <w:r w:rsidRPr="00023083">
        <w:rPr>
          <w:rFonts w:ascii="Tahoma" w:eastAsia="Calibri" w:hAnsi="Tahoma" w:cs="Tahoma"/>
          <w:sz w:val="24"/>
          <w:szCs w:val="24"/>
        </w:rPr>
        <w:t>, explicando en qué consiste cada uno de esos conceptos</w:t>
      </w:r>
      <w:bookmarkEnd w:id="6"/>
      <w:r w:rsidRPr="00023083">
        <w:rPr>
          <w:rFonts w:ascii="Tahoma" w:eastAsia="Calibri" w:hAnsi="Tahoma" w:cs="Tahoma"/>
          <w:sz w:val="24"/>
          <w:szCs w:val="24"/>
        </w:rPr>
        <w:t>. Dicho recuento histórico, se compendia de la siguiente manera:</w:t>
      </w:r>
    </w:p>
    <w:p w14:paraId="0B1FBE97"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5BDF61F9" w14:textId="77777777" w:rsidR="00023083" w:rsidRPr="00023083" w:rsidRDefault="00023083" w:rsidP="00023083">
      <w:pPr>
        <w:spacing w:after="0" w:line="240" w:lineRule="auto"/>
        <w:ind w:left="426" w:right="420"/>
        <w:jc w:val="both"/>
        <w:textAlignment w:val="baseline"/>
        <w:rPr>
          <w:rFonts w:ascii="Tahoma" w:eastAsia="Times New Roman" w:hAnsi="Tahoma" w:cs="Tahoma"/>
          <w:szCs w:val="24"/>
          <w:lang w:val="es-ES" w:eastAsia="es-ES"/>
        </w:rPr>
      </w:pPr>
      <w:bookmarkStart w:id="7" w:name="_Hlk66368436"/>
      <w:bookmarkStart w:id="8" w:name="_Hlk90025057"/>
      <w:r w:rsidRPr="00023083">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23BE735D" w14:textId="77777777" w:rsidR="00023083" w:rsidRPr="00023083" w:rsidRDefault="00023083" w:rsidP="00023083">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023083" w:rsidRPr="00023083" w14:paraId="44FDAA27" w14:textId="77777777" w:rsidTr="00264FA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5C6B75"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b/>
                <w:bCs/>
                <w:i/>
                <w:iCs/>
                <w:sz w:val="20"/>
                <w:szCs w:val="24"/>
                <w:lang w:val="es-ES" w:eastAsia="es-ES"/>
              </w:rPr>
              <w:t>Etapa acumulativa</w:t>
            </w:r>
            <w:r w:rsidRPr="0002308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935BF1"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b/>
                <w:bCs/>
                <w:i/>
                <w:iCs/>
                <w:sz w:val="20"/>
                <w:szCs w:val="24"/>
                <w:lang w:val="es-ES" w:eastAsia="es-ES"/>
              </w:rPr>
              <w:t>Normas que obligan a las administradoras de pensiones a dar información</w:t>
            </w:r>
            <w:r w:rsidRPr="0002308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03B10BC"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b/>
                <w:bCs/>
                <w:i/>
                <w:iCs/>
                <w:sz w:val="20"/>
                <w:szCs w:val="24"/>
                <w:lang w:val="es-ES" w:eastAsia="es-ES"/>
              </w:rPr>
              <w:t>Contenido mínimo y alcance del deber de información</w:t>
            </w:r>
            <w:r w:rsidRPr="00023083">
              <w:rPr>
                <w:rFonts w:ascii="Tahoma" w:eastAsia="Times New Roman" w:hAnsi="Tahoma" w:cs="Tahoma"/>
                <w:sz w:val="20"/>
                <w:szCs w:val="24"/>
                <w:lang w:val="es-ES" w:eastAsia="es-ES"/>
              </w:rPr>
              <w:t> </w:t>
            </w:r>
          </w:p>
        </w:tc>
      </w:tr>
      <w:tr w:rsidR="00023083" w:rsidRPr="00023083" w14:paraId="007A30E4" w14:textId="77777777" w:rsidTr="00264FA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2757A4D"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Deber de información </w:t>
            </w:r>
            <w:r w:rsidRPr="0002308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FE1B788"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Arts. 13 literal b), 271 y 272 de la Ley 100 de 1993</w:t>
            </w:r>
            <w:r w:rsidRPr="00023083">
              <w:rPr>
                <w:rFonts w:ascii="Tahoma" w:eastAsia="Times New Roman" w:hAnsi="Tahoma" w:cs="Tahoma"/>
                <w:sz w:val="20"/>
                <w:szCs w:val="24"/>
                <w:lang w:val="es-ES" w:eastAsia="es-ES"/>
              </w:rPr>
              <w:t> </w:t>
            </w:r>
          </w:p>
          <w:p w14:paraId="114ADB43"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Art. 97, numeral 1 del Decreto 663 de 1993, modificado por el artículo 23 de la Ley 797 de 2003</w:t>
            </w:r>
            <w:r w:rsidRPr="00023083">
              <w:rPr>
                <w:rFonts w:ascii="Tahoma" w:eastAsia="Times New Roman" w:hAnsi="Tahoma" w:cs="Tahoma"/>
                <w:sz w:val="20"/>
                <w:szCs w:val="24"/>
                <w:lang w:val="es-ES" w:eastAsia="es-ES"/>
              </w:rPr>
              <w:t> </w:t>
            </w:r>
          </w:p>
          <w:p w14:paraId="7FCA60BE"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02308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1EE5D33"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023083">
              <w:rPr>
                <w:rFonts w:ascii="Tahoma" w:eastAsia="Times New Roman" w:hAnsi="Tahoma" w:cs="Tahoma"/>
                <w:sz w:val="20"/>
                <w:szCs w:val="24"/>
                <w:lang w:val="es-ES" w:eastAsia="es-ES"/>
              </w:rPr>
              <w:t> </w:t>
            </w:r>
          </w:p>
        </w:tc>
      </w:tr>
      <w:tr w:rsidR="00023083" w:rsidRPr="00023083" w14:paraId="0B1BF05F" w14:textId="77777777" w:rsidTr="00264FA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B2599E"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Deber de información, asesoría y buen consejo</w:t>
            </w:r>
            <w:r w:rsidRPr="0002308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724E47B"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Artículo 3, literal c) de la Ley 1328 de 2009</w:t>
            </w:r>
            <w:r w:rsidRPr="00023083">
              <w:rPr>
                <w:rFonts w:ascii="Tahoma" w:eastAsia="Times New Roman" w:hAnsi="Tahoma" w:cs="Tahoma"/>
                <w:sz w:val="20"/>
                <w:szCs w:val="24"/>
                <w:lang w:val="es-ES" w:eastAsia="es-ES"/>
              </w:rPr>
              <w:t> </w:t>
            </w:r>
          </w:p>
          <w:p w14:paraId="3D5E1F12"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Decreto 2241 de 2010</w:t>
            </w:r>
            <w:r w:rsidRPr="0002308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EDACDF4"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23083">
              <w:rPr>
                <w:rFonts w:ascii="Tahoma" w:eastAsia="Times New Roman" w:hAnsi="Tahoma" w:cs="Tahoma"/>
                <w:sz w:val="20"/>
                <w:szCs w:val="24"/>
                <w:lang w:val="es-ES" w:eastAsia="es-ES"/>
              </w:rPr>
              <w:t> </w:t>
            </w:r>
          </w:p>
        </w:tc>
      </w:tr>
      <w:tr w:rsidR="00023083" w:rsidRPr="00023083" w14:paraId="4F3849D3" w14:textId="77777777" w:rsidTr="00264FA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E1211C"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Deber de información, asesoría, buen consejo y doble asesoría. </w:t>
            </w:r>
            <w:r w:rsidRPr="00023083">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C01CA4"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Ley 1748 de 2014</w:t>
            </w:r>
            <w:r w:rsidRPr="00023083">
              <w:rPr>
                <w:rFonts w:ascii="Tahoma" w:eastAsia="Times New Roman" w:hAnsi="Tahoma" w:cs="Tahoma"/>
                <w:sz w:val="20"/>
                <w:szCs w:val="24"/>
                <w:lang w:val="es-ES" w:eastAsia="es-ES"/>
              </w:rPr>
              <w:t> </w:t>
            </w:r>
          </w:p>
          <w:p w14:paraId="5117A7E1"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Artículo 3 del Decreto 2071 de 2015</w:t>
            </w:r>
            <w:r w:rsidRPr="00023083">
              <w:rPr>
                <w:rFonts w:ascii="Tahoma" w:eastAsia="Times New Roman" w:hAnsi="Tahoma" w:cs="Tahoma"/>
                <w:sz w:val="20"/>
                <w:szCs w:val="24"/>
                <w:lang w:val="es-ES" w:eastAsia="es-ES"/>
              </w:rPr>
              <w:t> </w:t>
            </w:r>
          </w:p>
          <w:p w14:paraId="13903696"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Circular Externa n. 016 de 2016</w:t>
            </w:r>
            <w:r w:rsidRPr="00023083">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8AD5C9" w14:textId="77777777" w:rsidR="00023083" w:rsidRPr="00023083" w:rsidRDefault="00023083" w:rsidP="00023083">
            <w:pPr>
              <w:spacing w:after="0" w:line="276" w:lineRule="auto"/>
              <w:jc w:val="both"/>
              <w:textAlignment w:val="baseline"/>
              <w:rPr>
                <w:rFonts w:ascii="Tahoma" w:eastAsia="Times New Roman" w:hAnsi="Tahoma" w:cs="Tahoma"/>
                <w:sz w:val="20"/>
                <w:szCs w:val="24"/>
                <w:lang w:val="es-ES" w:eastAsia="es-ES"/>
              </w:rPr>
            </w:pPr>
            <w:r w:rsidRPr="00023083">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023083">
              <w:rPr>
                <w:rFonts w:ascii="Tahoma" w:eastAsia="Times New Roman" w:hAnsi="Tahoma" w:cs="Tahoma"/>
                <w:sz w:val="20"/>
                <w:szCs w:val="24"/>
                <w:lang w:val="es-ES" w:eastAsia="es-ES"/>
              </w:rPr>
              <w:t> </w:t>
            </w:r>
          </w:p>
        </w:tc>
      </w:tr>
    </w:tbl>
    <w:p w14:paraId="3D74FA45" w14:textId="77777777" w:rsidR="00023083" w:rsidRPr="00023083" w:rsidRDefault="00023083" w:rsidP="00023083">
      <w:pPr>
        <w:spacing w:after="0" w:line="240" w:lineRule="auto"/>
        <w:ind w:left="426" w:right="420" w:firstLine="709"/>
        <w:jc w:val="both"/>
        <w:rPr>
          <w:rFonts w:ascii="Tahoma" w:eastAsia="Calibri" w:hAnsi="Tahoma" w:cs="Tahoma"/>
          <w:b/>
          <w:i/>
          <w:spacing w:val="-4"/>
          <w:szCs w:val="24"/>
          <w:lang w:val="es-ES"/>
        </w:rPr>
      </w:pPr>
    </w:p>
    <w:bookmarkEnd w:id="7"/>
    <w:p w14:paraId="4BB20202" w14:textId="77777777" w:rsidR="00023083" w:rsidRPr="00023083" w:rsidRDefault="00023083" w:rsidP="00023083">
      <w:pPr>
        <w:spacing w:after="0" w:line="240" w:lineRule="auto"/>
        <w:ind w:left="426" w:right="420" w:firstLine="709"/>
        <w:jc w:val="both"/>
        <w:rPr>
          <w:rFonts w:ascii="Tahoma" w:eastAsia="Calibri" w:hAnsi="Tahoma" w:cs="Tahoma"/>
          <w:b/>
          <w:i/>
          <w:szCs w:val="24"/>
          <w:lang w:val="es-ES"/>
        </w:rPr>
      </w:pPr>
      <w:r w:rsidRPr="00023083">
        <w:rPr>
          <w:rFonts w:ascii="Tahoma" w:eastAsia="Calibri" w:hAnsi="Tahoma" w:cs="Tahoma"/>
          <w:b/>
          <w:i/>
          <w:szCs w:val="24"/>
          <w:lang w:val="es-ES"/>
        </w:rPr>
        <w:t>1.4 Conclusión: La constatación del deber de información es ineludible</w:t>
      </w:r>
    </w:p>
    <w:p w14:paraId="0703D182" w14:textId="77777777" w:rsidR="00023083" w:rsidRPr="00023083" w:rsidRDefault="00023083" w:rsidP="00023083">
      <w:pPr>
        <w:spacing w:after="0" w:line="240" w:lineRule="auto"/>
        <w:ind w:left="426" w:right="420" w:firstLine="709"/>
        <w:jc w:val="both"/>
        <w:rPr>
          <w:rFonts w:ascii="Tahoma" w:eastAsia="Calibri" w:hAnsi="Tahoma" w:cs="Tahoma"/>
          <w:b/>
          <w:i/>
          <w:szCs w:val="24"/>
          <w:lang w:val="es-ES"/>
        </w:rPr>
      </w:pPr>
    </w:p>
    <w:p w14:paraId="38892658" w14:textId="77777777" w:rsidR="00023083" w:rsidRPr="00023083" w:rsidRDefault="00023083" w:rsidP="00023083">
      <w:pPr>
        <w:spacing w:after="0" w:line="240" w:lineRule="auto"/>
        <w:ind w:left="426" w:right="420" w:firstLine="1"/>
        <w:jc w:val="both"/>
        <w:rPr>
          <w:rFonts w:ascii="Tahoma" w:eastAsia="Calibri" w:hAnsi="Tahoma" w:cs="Tahoma"/>
          <w:i/>
          <w:szCs w:val="24"/>
          <w:lang w:val="es-ES"/>
        </w:rPr>
      </w:pPr>
      <w:r w:rsidRPr="00023083">
        <w:rPr>
          <w:rFonts w:ascii="Tahoma" w:eastAsia="Calibri" w:hAnsi="Tahoma" w:cs="Tahoma"/>
          <w:i/>
          <w:szCs w:val="24"/>
          <w:lang w:val="es-ES"/>
        </w:rPr>
        <w:t xml:space="preserve">Según se pudo advertir del anterior recuento, </w:t>
      </w:r>
      <w:r w:rsidRPr="00023083">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023083">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090C7B4" w14:textId="77777777" w:rsidR="00023083" w:rsidRPr="00023083" w:rsidRDefault="00023083" w:rsidP="00023083">
      <w:pPr>
        <w:spacing w:after="0" w:line="240" w:lineRule="auto"/>
        <w:ind w:left="426" w:right="420" w:firstLine="1"/>
        <w:jc w:val="both"/>
        <w:rPr>
          <w:rFonts w:ascii="Tahoma" w:eastAsia="Calibri" w:hAnsi="Tahoma" w:cs="Tahoma"/>
          <w:i/>
          <w:szCs w:val="24"/>
          <w:lang w:val="es-ES"/>
        </w:rPr>
      </w:pPr>
    </w:p>
    <w:p w14:paraId="4D49EDAD" w14:textId="77777777" w:rsidR="00023083" w:rsidRPr="00023083" w:rsidRDefault="00023083" w:rsidP="00023083">
      <w:pPr>
        <w:spacing w:after="0" w:line="240" w:lineRule="auto"/>
        <w:ind w:left="426" w:right="420"/>
        <w:jc w:val="both"/>
        <w:rPr>
          <w:rFonts w:ascii="Tahoma" w:eastAsia="Calibri" w:hAnsi="Tahoma" w:cs="Tahoma"/>
          <w:i/>
          <w:szCs w:val="24"/>
          <w:lang w:val="es-ES"/>
        </w:rPr>
      </w:pPr>
      <w:r w:rsidRPr="00023083">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82FE2E9" w14:textId="77777777" w:rsidR="00023083" w:rsidRPr="00023083" w:rsidRDefault="00023083" w:rsidP="00023083">
      <w:pPr>
        <w:spacing w:after="0" w:line="240" w:lineRule="auto"/>
        <w:ind w:left="426" w:right="420" w:firstLine="709"/>
        <w:jc w:val="both"/>
        <w:rPr>
          <w:rFonts w:ascii="Tahoma" w:eastAsia="Calibri" w:hAnsi="Tahoma" w:cs="Tahoma"/>
          <w:i/>
          <w:szCs w:val="24"/>
          <w:lang w:val="es-ES"/>
        </w:rPr>
      </w:pPr>
    </w:p>
    <w:p w14:paraId="5020DA83" w14:textId="77777777" w:rsidR="00023083" w:rsidRPr="00023083" w:rsidRDefault="00023083" w:rsidP="00023083">
      <w:pPr>
        <w:spacing w:after="0" w:line="240" w:lineRule="auto"/>
        <w:ind w:left="426" w:right="420"/>
        <w:jc w:val="both"/>
        <w:rPr>
          <w:rFonts w:ascii="Tahoma" w:eastAsia="Calibri" w:hAnsi="Tahoma" w:cs="Tahoma"/>
          <w:i/>
          <w:szCs w:val="24"/>
          <w:lang w:val="es-ES"/>
        </w:rPr>
      </w:pPr>
      <w:r w:rsidRPr="00023083">
        <w:rPr>
          <w:rFonts w:ascii="Tahoma" w:eastAsia="Calibri" w:hAnsi="Tahoma" w:cs="Tahoma"/>
          <w:i/>
          <w:szCs w:val="24"/>
          <w:lang w:val="es-ES"/>
        </w:rPr>
        <w:lastRenderedPageBreak/>
        <w:t xml:space="preserve">Adicionalmente, la Sala no puede pasar por alto la indebida fundamentación con la que </w:t>
      </w:r>
      <w:r w:rsidRPr="00023083">
        <w:rPr>
          <w:rFonts w:ascii="Tahoma" w:eastAsia="Calibri" w:hAnsi="Tahoma" w:cs="Tahoma"/>
          <w:bCs/>
          <w:i/>
          <w:szCs w:val="24"/>
          <w:lang w:val="es-ES"/>
        </w:rPr>
        <w:t>la Sala Primera de Decisión Laboral del Tribunal de Medellín</w:t>
      </w:r>
      <w:r w:rsidRPr="00023083">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176BB393" w14:textId="77777777" w:rsidR="00023083" w:rsidRPr="00023083" w:rsidRDefault="00023083" w:rsidP="00023083">
      <w:pPr>
        <w:spacing w:after="0" w:line="276" w:lineRule="auto"/>
        <w:ind w:left="708" w:firstLine="709"/>
        <w:jc w:val="both"/>
        <w:rPr>
          <w:rFonts w:ascii="Tahoma" w:eastAsia="Calibri" w:hAnsi="Tahoma" w:cs="Tahoma"/>
          <w:i/>
          <w:spacing w:val="-4"/>
          <w:sz w:val="24"/>
          <w:szCs w:val="24"/>
        </w:rPr>
      </w:pPr>
    </w:p>
    <w:p w14:paraId="19D4DC08" w14:textId="77777777" w:rsidR="00023083" w:rsidRPr="00023083" w:rsidRDefault="00023083" w:rsidP="00023083">
      <w:pPr>
        <w:spacing w:after="0" w:line="276" w:lineRule="auto"/>
        <w:ind w:firstLine="644"/>
        <w:jc w:val="both"/>
        <w:rPr>
          <w:rFonts w:ascii="Tahoma" w:eastAsia="Calibri" w:hAnsi="Tahoma" w:cs="Tahoma"/>
          <w:spacing w:val="-4"/>
          <w:sz w:val="24"/>
          <w:szCs w:val="24"/>
        </w:rPr>
      </w:pPr>
      <w:r w:rsidRPr="00023083">
        <w:rPr>
          <w:rFonts w:ascii="Tahoma" w:eastAsia="Calibri" w:hAnsi="Tahoma" w:cs="Tahoma"/>
          <w:spacing w:val="-4"/>
          <w:sz w:val="24"/>
          <w:szCs w:val="24"/>
        </w:rPr>
        <w:t>Con lo dicho precedentemente queda resuelto el primer problema jurídico.</w:t>
      </w:r>
    </w:p>
    <w:bookmarkEnd w:id="8"/>
    <w:p w14:paraId="02F63252" w14:textId="77777777" w:rsidR="00130B02" w:rsidRPr="008C1FFE" w:rsidRDefault="00130B02" w:rsidP="008C1FFE">
      <w:pPr>
        <w:widowControl w:val="0"/>
        <w:autoSpaceDE w:val="0"/>
        <w:autoSpaceDN w:val="0"/>
        <w:adjustRightInd w:val="0"/>
        <w:spacing w:after="0" w:line="276" w:lineRule="auto"/>
        <w:jc w:val="both"/>
        <w:rPr>
          <w:rFonts w:ascii="Tahoma" w:eastAsia="Calibri" w:hAnsi="Tahoma" w:cs="Tahoma"/>
          <w:sz w:val="24"/>
          <w:szCs w:val="24"/>
        </w:rPr>
      </w:pPr>
    </w:p>
    <w:p w14:paraId="6E9F1AE0" w14:textId="77777777" w:rsidR="004D57BB" w:rsidRPr="00FE72AA" w:rsidRDefault="004D57BB" w:rsidP="00FE72AA">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FE72AA">
        <w:rPr>
          <w:rFonts w:ascii="Tahoma" w:eastAsia="Calibri" w:hAnsi="Tahoma" w:cs="Tahoma"/>
          <w:b/>
          <w:sz w:val="24"/>
          <w:szCs w:val="24"/>
        </w:rPr>
        <w:t xml:space="preserve">“De la carga de la prueba – Inversión a favor del afiliado” </w:t>
      </w:r>
      <w:r w:rsidRPr="00EF1D17">
        <w:rPr>
          <w:rFonts w:ascii="Tahoma" w:eastAsia="Calibri" w:hAnsi="Tahoma" w:cs="Tahoma"/>
          <w:b/>
          <w:sz w:val="24"/>
          <w:szCs w:val="24"/>
          <w:vertAlign w:val="superscript"/>
        </w:rPr>
        <w:footnoteReference w:id="3"/>
      </w:r>
    </w:p>
    <w:p w14:paraId="68D6F783" w14:textId="77777777" w:rsidR="004D57BB" w:rsidRPr="008C1FFE" w:rsidRDefault="004D57BB" w:rsidP="008C1FFE">
      <w:pPr>
        <w:widowControl w:val="0"/>
        <w:autoSpaceDE w:val="0"/>
        <w:autoSpaceDN w:val="0"/>
        <w:adjustRightInd w:val="0"/>
        <w:spacing w:after="0" w:line="276" w:lineRule="auto"/>
        <w:ind w:firstLine="284"/>
        <w:jc w:val="both"/>
        <w:rPr>
          <w:rFonts w:ascii="Tahoma" w:eastAsia="Calibri" w:hAnsi="Tahoma" w:cs="Tahoma"/>
          <w:b/>
          <w:sz w:val="24"/>
          <w:szCs w:val="24"/>
        </w:rPr>
      </w:pPr>
    </w:p>
    <w:p w14:paraId="153516E7" w14:textId="77777777" w:rsidR="00023083" w:rsidRPr="00023083" w:rsidRDefault="00023083" w:rsidP="00023083">
      <w:pPr>
        <w:spacing w:after="0" w:line="276" w:lineRule="auto"/>
        <w:ind w:firstLine="284"/>
        <w:jc w:val="both"/>
        <w:rPr>
          <w:rFonts w:ascii="Tahoma" w:hAnsi="Tahoma" w:cs="Tahoma"/>
          <w:sz w:val="24"/>
          <w:szCs w:val="24"/>
        </w:rPr>
      </w:pPr>
      <w:r w:rsidRPr="00023083">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023083">
        <w:rPr>
          <w:rFonts w:ascii="Tahoma" w:eastAsia="Tahoma" w:hAnsi="Tahoma" w:cs="Tahoma"/>
          <w:i/>
          <w:iCs/>
          <w:szCs w:val="24"/>
        </w:rPr>
        <w:t>la prueba de la diligencia o cuidado incumbe al que ha debido emplearlo</w:t>
      </w:r>
      <w:r w:rsidRPr="00023083">
        <w:rPr>
          <w:rFonts w:ascii="Tahoma" w:eastAsia="Tahoma" w:hAnsi="Tahoma" w:cs="Tahoma"/>
          <w:i/>
          <w:iCs/>
          <w:sz w:val="24"/>
          <w:szCs w:val="24"/>
        </w:rPr>
        <w:t>”</w:t>
      </w:r>
      <w:r w:rsidRPr="00023083">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30BC497A" w14:textId="77777777" w:rsidR="00023083" w:rsidRPr="00023083" w:rsidRDefault="00023083" w:rsidP="00023083">
      <w:pPr>
        <w:spacing w:after="0" w:line="276" w:lineRule="auto"/>
        <w:ind w:firstLine="708"/>
        <w:jc w:val="both"/>
        <w:rPr>
          <w:rFonts w:ascii="Tahoma" w:hAnsi="Tahoma" w:cs="Tahoma"/>
          <w:sz w:val="24"/>
          <w:szCs w:val="24"/>
        </w:rPr>
      </w:pPr>
      <w:r w:rsidRPr="00023083">
        <w:rPr>
          <w:rFonts w:ascii="Tahoma" w:eastAsia="Tahoma" w:hAnsi="Tahoma" w:cs="Tahoma"/>
          <w:sz w:val="24"/>
          <w:szCs w:val="24"/>
        </w:rPr>
        <w:t xml:space="preserve"> </w:t>
      </w:r>
    </w:p>
    <w:p w14:paraId="425B9195" w14:textId="77777777" w:rsidR="00023083" w:rsidRPr="00023083" w:rsidRDefault="00023083" w:rsidP="00023083">
      <w:pPr>
        <w:spacing w:after="0" w:line="240" w:lineRule="auto"/>
        <w:ind w:left="426" w:right="420" w:firstLine="1"/>
        <w:jc w:val="both"/>
        <w:rPr>
          <w:rFonts w:ascii="Tahoma" w:eastAsia="Calibri" w:hAnsi="Tahoma" w:cs="Tahoma"/>
          <w:i/>
          <w:lang w:val="es-ES"/>
        </w:rPr>
      </w:pPr>
      <w:r w:rsidRPr="00023083">
        <w:rPr>
          <w:rFonts w:ascii="Tahoma" w:eastAsia="Calibri" w:hAnsi="Tahoma" w:cs="Tahoma"/>
          <w:lang w:val="es-ES"/>
        </w:rPr>
        <w:t>“</w:t>
      </w:r>
      <w:r w:rsidRPr="00023083">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DECC6D0" w14:textId="77777777" w:rsidR="00023083" w:rsidRPr="00023083" w:rsidRDefault="00023083" w:rsidP="00023083">
      <w:pPr>
        <w:spacing w:after="0" w:line="240" w:lineRule="auto"/>
        <w:ind w:left="426" w:right="420" w:firstLine="1"/>
        <w:jc w:val="both"/>
        <w:rPr>
          <w:rFonts w:ascii="Tahoma" w:eastAsia="Calibri" w:hAnsi="Tahoma" w:cs="Tahoma"/>
          <w:i/>
          <w:lang w:val="es-ES"/>
        </w:rPr>
      </w:pPr>
    </w:p>
    <w:p w14:paraId="0F93F08F" w14:textId="77777777" w:rsidR="00023083" w:rsidRPr="00023083" w:rsidRDefault="00023083" w:rsidP="00023083">
      <w:pPr>
        <w:spacing w:after="0" w:line="240" w:lineRule="auto"/>
        <w:ind w:left="426" w:right="420" w:firstLine="1"/>
        <w:jc w:val="both"/>
        <w:rPr>
          <w:rFonts w:ascii="Tahoma" w:eastAsia="Calibri" w:hAnsi="Tahoma" w:cs="Tahoma"/>
          <w:i/>
          <w:lang w:val="es-ES"/>
        </w:rPr>
      </w:pPr>
      <w:r w:rsidRPr="00023083">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9804D01" w14:textId="77777777" w:rsidR="00023083" w:rsidRPr="00023083" w:rsidRDefault="00023083" w:rsidP="00023083">
      <w:pPr>
        <w:spacing w:after="0" w:line="240" w:lineRule="auto"/>
        <w:ind w:left="426" w:right="420" w:firstLine="1"/>
        <w:jc w:val="both"/>
        <w:rPr>
          <w:rFonts w:ascii="Tahoma" w:eastAsia="Calibri" w:hAnsi="Tahoma" w:cs="Tahoma"/>
          <w:i/>
          <w:lang w:val="es-ES"/>
        </w:rPr>
      </w:pPr>
    </w:p>
    <w:p w14:paraId="0A16FBE7" w14:textId="77777777" w:rsidR="00023083" w:rsidRPr="00023083" w:rsidRDefault="00023083" w:rsidP="00023083">
      <w:pPr>
        <w:spacing w:after="0" w:line="240" w:lineRule="auto"/>
        <w:ind w:left="426" w:right="420" w:firstLine="1"/>
        <w:jc w:val="both"/>
        <w:rPr>
          <w:rFonts w:ascii="Tahoma" w:eastAsia="Calibri" w:hAnsi="Tahoma" w:cs="Tahoma"/>
          <w:i/>
          <w:lang w:val="es-ES"/>
        </w:rPr>
      </w:pPr>
      <w:r w:rsidRPr="00023083">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ECA8CE8" w14:textId="77777777" w:rsidR="00023083" w:rsidRPr="00023083" w:rsidRDefault="00023083" w:rsidP="00023083">
      <w:pPr>
        <w:spacing w:after="0" w:line="240" w:lineRule="auto"/>
        <w:ind w:left="426" w:right="420" w:firstLine="1"/>
        <w:jc w:val="both"/>
        <w:rPr>
          <w:rFonts w:ascii="Tahoma" w:eastAsia="Calibri" w:hAnsi="Tahoma" w:cs="Tahoma"/>
          <w:i/>
          <w:lang w:val="es-ES"/>
        </w:rPr>
      </w:pPr>
    </w:p>
    <w:p w14:paraId="2B8C7EC4" w14:textId="77777777" w:rsidR="00023083" w:rsidRPr="00023083" w:rsidRDefault="00023083" w:rsidP="00023083">
      <w:pPr>
        <w:spacing w:after="0" w:line="240" w:lineRule="auto"/>
        <w:ind w:left="426" w:right="420" w:firstLine="1"/>
        <w:jc w:val="both"/>
        <w:rPr>
          <w:rFonts w:ascii="Tahoma" w:eastAsia="Calibri" w:hAnsi="Tahoma" w:cs="Tahoma"/>
          <w:i/>
          <w:iCs/>
          <w:lang w:val="es-ES"/>
        </w:rPr>
      </w:pPr>
      <w:r w:rsidRPr="00023083">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023083">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47E800EA" w14:textId="77777777" w:rsidR="00023083" w:rsidRPr="00023083" w:rsidRDefault="00023083" w:rsidP="00023083">
      <w:pPr>
        <w:spacing w:after="0" w:line="240" w:lineRule="auto"/>
        <w:ind w:left="426" w:right="420" w:firstLine="1"/>
        <w:jc w:val="both"/>
        <w:rPr>
          <w:rFonts w:ascii="Tahoma" w:eastAsia="Calibri" w:hAnsi="Tahoma" w:cs="Tahoma"/>
          <w:i/>
          <w:iCs/>
          <w:lang w:val="es-ES"/>
        </w:rPr>
      </w:pPr>
    </w:p>
    <w:p w14:paraId="2A77F770" w14:textId="77777777" w:rsidR="00023083" w:rsidRPr="00023083" w:rsidRDefault="00023083" w:rsidP="00023083">
      <w:pPr>
        <w:spacing w:after="0" w:line="240" w:lineRule="auto"/>
        <w:ind w:left="426" w:right="420" w:firstLine="1"/>
        <w:jc w:val="both"/>
        <w:rPr>
          <w:rFonts w:ascii="Tahoma" w:eastAsia="Calibri" w:hAnsi="Tahoma" w:cs="Tahoma"/>
          <w:i/>
          <w:iCs/>
          <w:lang w:val="es-ES"/>
        </w:rPr>
      </w:pPr>
      <w:r w:rsidRPr="00023083">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75C42C7" w14:textId="77777777" w:rsidR="00023083" w:rsidRPr="00023083" w:rsidRDefault="00023083" w:rsidP="00023083">
      <w:pPr>
        <w:spacing w:after="0" w:line="240" w:lineRule="auto"/>
        <w:ind w:left="426" w:right="420" w:firstLine="1"/>
        <w:jc w:val="both"/>
        <w:rPr>
          <w:rFonts w:ascii="Tahoma" w:eastAsia="Calibri" w:hAnsi="Tahoma" w:cs="Tahoma"/>
          <w:i/>
          <w:iCs/>
          <w:lang w:val="es-ES"/>
        </w:rPr>
      </w:pPr>
    </w:p>
    <w:p w14:paraId="097AA3E3" w14:textId="77777777" w:rsidR="00023083" w:rsidRPr="00023083" w:rsidRDefault="00023083" w:rsidP="00023083">
      <w:pPr>
        <w:spacing w:after="0" w:line="240" w:lineRule="auto"/>
        <w:ind w:left="426" w:right="420" w:firstLine="1"/>
        <w:jc w:val="both"/>
        <w:rPr>
          <w:rFonts w:ascii="Tahoma" w:eastAsia="Calibri" w:hAnsi="Tahoma" w:cs="Tahoma"/>
          <w:i/>
          <w:iCs/>
          <w:lang w:val="es-ES"/>
        </w:rPr>
      </w:pPr>
      <w:r w:rsidRPr="00023083">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w:t>
      </w:r>
      <w:r w:rsidRPr="00023083">
        <w:rPr>
          <w:rFonts w:ascii="Tahoma" w:eastAsia="Calibri" w:hAnsi="Tahoma" w:cs="Tahoma"/>
          <w:i/>
          <w:lang w:val="es-ES"/>
        </w:rPr>
        <w:lastRenderedPageBreak/>
        <w:t xml:space="preserve">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0EDFBE7" w14:textId="77777777" w:rsidR="00023083" w:rsidRPr="00023083" w:rsidRDefault="00023083" w:rsidP="00023083">
      <w:pPr>
        <w:spacing w:after="0" w:line="240" w:lineRule="auto"/>
        <w:ind w:left="426" w:right="420" w:firstLine="1"/>
        <w:jc w:val="both"/>
        <w:rPr>
          <w:rFonts w:ascii="Tahoma" w:eastAsia="Calibri" w:hAnsi="Tahoma" w:cs="Tahoma"/>
          <w:i/>
          <w:iCs/>
          <w:lang w:val="es-ES"/>
        </w:rPr>
      </w:pPr>
    </w:p>
    <w:p w14:paraId="04E5AEDA" w14:textId="77777777" w:rsidR="00023083" w:rsidRPr="00023083" w:rsidRDefault="00023083" w:rsidP="00023083">
      <w:pPr>
        <w:spacing w:after="0" w:line="240" w:lineRule="auto"/>
        <w:ind w:left="426" w:right="420" w:firstLine="1"/>
        <w:jc w:val="both"/>
        <w:rPr>
          <w:rFonts w:ascii="Tahoma" w:eastAsia="Calibri" w:hAnsi="Tahoma" w:cs="Tahoma"/>
          <w:lang w:val="es-ES"/>
        </w:rPr>
      </w:pPr>
      <w:r w:rsidRPr="00023083">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023083">
        <w:rPr>
          <w:rFonts w:ascii="Tahoma" w:eastAsia="Calibri" w:hAnsi="Tahoma" w:cs="Tahoma"/>
          <w:lang w:val="es-ES"/>
        </w:rPr>
        <w:t xml:space="preserve"> </w:t>
      </w:r>
    </w:p>
    <w:p w14:paraId="7A71A42E"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74B46162" w14:textId="77777777" w:rsidR="00023083" w:rsidRPr="00023083" w:rsidRDefault="00023083" w:rsidP="00FE72AA">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023083">
        <w:rPr>
          <w:rFonts w:ascii="Tahoma" w:eastAsia="Calibri" w:hAnsi="Tahoma" w:cs="Tahoma"/>
          <w:b/>
          <w:sz w:val="24"/>
          <w:szCs w:val="24"/>
        </w:rPr>
        <w:t>Consecuencias de la declaratoria de ineficacia del traslado: Devolución de las cuotas de administración y de otros valores debidamente indexados</w:t>
      </w:r>
    </w:p>
    <w:p w14:paraId="4708E35D"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3B073CE1"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r w:rsidRPr="00023083">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1FB75244" w14:textId="77777777" w:rsidR="00023083" w:rsidRPr="00023083" w:rsidRDefault="00023083" w:rsidP="00023083">
      <w:pPr>
        <w:widowControl w:val="0"/>
        <w:autoSpaceDE w:val="0"/>
        <w:autoSpaceDN w:val="0"/>
        <w:adjustRightInd w:val="0"/>
        <w:spacing w:after="0" w:line="276" w:lineRule="auto"/>
        <w:ind w:firstLine="284"/>
        <w:jc w:val="both"/>
        <w:rPr>
          <w:rFonts w:ascii="Tahoma" w:eastAsia="Calibri" w:hAnsi="Tahoma" w:cs="Tahoma"/>
          <w:sz w:val="24"/>
          <w:szCs w:val="24"/>
        </w:rPr>
      </w:pPr>
    </w:p>
    <w:p w14:paraId="56DBBBF7" w14:textId="77777777" w:rsidR="00023083" w:rsidRPr="00023083" w:rsidRDefault="00023083" w:rsidP="00023083">
      <w:pPr>
        <w:tabs>
          <w:tab w:val="left" w:pos="5180"/>
        </w:tabs>
        <w:suppressAutoHyphens/>
        <w:spacing w:after="0" w:line="240" w:lineRule="auto"/>
        <w:ind w:left="426" w:right="420"/>
        <w:contextualSpacing/>
        <w:jc w:val="both"/>
        <w:rPr>
          <w:rFonts w:ascii="Tahoma" w:eastAsia="Calibri" w:hAnsi="Tahoma" w:cs="Tahoma"/>
          <w:i/>
          <w:szCs w:val="24"/>
          <w:lang w:val="es-ES"/>
        </w:rPr>
      </w:pPr>
      <w:r w:rsidRPr="00023083">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6C6D496" w14:textId="77777777" w:rsidR="00023083" w:rsidRPr="00023083" w:rsidRDefault="00023083" w:rsidP="00023083">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54D660DF" w14:textId="77777777" w:rsidR="00023083" w:rsidRPr="00023083" w:rsidRDefault="00023083" w:rsidP="00023083">
      <w:pPr>
        <w:tabs>
          <w:tab w:val="left" w:pos="5180"/>
        </w:tabs>
        <w:suppressAutoHyphens/>
        <w:spacing w:after="0" w:line="240" w:lineRule="auto"/>
        <w:ind w:left="426" w:right="420"/>
        <w:contextualSpacing/>
        <w:jc w:val="both"/>
        <w:rPr>
          <w:rFonts w:ascii="Tahoma" w:eastAsia="Calibri" w:hAnsi="Tahoma" w:cs="Tahoma"/>
          <w:i/>
          <w:szCs w:val="24"/>
          <w:lang w:val="es-ES"/>
        </w:rPr>
      </w:pPr>
      <w:r w:rsidRPr="00023083">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3F4F37CF" w14:textId="77777777" w:rsidR="00023083" w:rsidRPr="00023083" w:rsidRDefault="00023083" w:rsidP="00023083">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5D1CD025" w14:textId="77777777" w:rsidR="00023083" w:rsidRPr="00023083" w:rsidRDefault="00023083" w:rsidP="00023083">
      <w:pPr>
        <w:tabs>
          <w:tab w:val="left" w:pos="5180"/>
        </w:tabs>
        <w:suppressAutoHyphens/>
        <w:spacing w:after="0" w:line="240" w:lineRule="auto"/>
        <w:ind w:left="426" w:right="420"/>
        <w:contextualSpacing/>
        <w:jc w:val="both"/>
        <w:rPr>
          <w:rFonts w:ascii="Tahoma" w:eastAsia="Calibri" w:hAnsi="Tahoma" w:cs="Tahoma"/>
          <w:i/>
          <w:szCs w:val="24"/>
          <w:lang w:val="es-ES"/>
        </w:rPr>
      </w:pPr>
      <w:r w:rsidRPr="00023083">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56A1460" w14:textId="77777777" w:rsidR="00023083" w:rsidRPr="00023083" w:rsidRDefault="00023083" w:rsidP="00023083">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419C8728" w14:textId="77777777" w:rsidR="00023083" w:rsidRPr="00023083" w:rsidRDefault="00023083" w:rsidP="00023083">
      <w:pPr>
        <w:tabs>
          <w:tab w:val="left" w:pos="5180"/>
        </w:tabs>
        <w:suppressAutoHyphens/>
        <w:spacing w:after="0" w:line="240" w:lineRule="auto"/>
        <w:ind w:left="426" w:right="420"/>
        <w:contextualSpacing/>
        <w:jc w:val="both"/>
        <w:rPr>
          <w:rFonts w:ascii="Tahoma" w:eastAsia="Calibri" w:hAnsi="Tahoma" w:cs="Tahoma"/>
          <w:i/>
          <w:szCs w:val="24"/>
          <w:lang w:val="es-ES"/>
        </w:rPr>
      </w:pPr>
      <w:r w:rsidRPr="00023083">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2CF9F308" w14:textId="77777777" w:rsidR="00023083" w:rsidRPr="00023083" w:rsidRDefault="00023083" w:rsidP="00023083">
      <w:pPr>
        <w:spacing w:after="0" w:line="276" w:lineRule="auto"/>
        <w:jc w:val="both"/>
        <w:rPr>
          <w:rFonts w:ascii="Tahoma" w:hAnsi="Tahoma" w:cs="Tahoma"/>
          <w:sz w:val="24"/>
          <w:szCs w:val="24"/>
        </w:rPr>
      </w:pPr>
      <w:r w:rsidRPr="00023083">
        <w:rPr>
          <w:rFonts w:ascii="Tahoma" w:eastAsia="Tahoma" w:hAnsi="Tahoma" w:cs="Tahoma"/>
          <w:sz w:val="24"/>
          <w:szCs w:val="24"/>
        </w:rPr>
        <w:t xml:space="preserve"> </w:t>
      </w:r>
    </w:p>
    <w:p w14:paraId="0BED4A28" w14:textId="77777777" w:rsidR="00023083" w:rsidRPr="00023083" w:rsidRDefault="00023083" w:rsidP="00023083">
      <w:pPr>
        <w:spacing w:after="0" w:line="276" w:lineRule="auto"/>
        <w:ind w:firstLine="284"/>
        <w:jc w:val="both"/>
        <w:rPr>
          <w:rFonts w:ascii="Tahoma" w:hAnsi="Tahoma" w:cs="Tahoma"/>
          <w:sz w:val="24"/>
          <w:szCs w:val="24"/>
        </w:rPr>
      </w:pPr>
      <w:r w:rsidRPr="00023083">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942A89D" w14:textId="77777777" w:rsidR="00023083" w:rsidRPr="00023083" w:rsidRDefault="00023083" w:rsidP="00023083">
      <w:pPr>
        <w:spacing w:after="0" w:line="276" w:lineRule="auto"/>
        <w:jc w:val="both"/>
        <w:rPr>
          <w:rFonts w:ascii="Tahoma" w:hAnsi="Tahoma" w:cs="Tahoma"/>
          <w:sz w:val="24"/>
          <w:szCs w:val="24"/>
        </w:rPr>
      </w:pPr>
      <w:r w:rsidRPr="00023083">
        <w:rPr>
          <w:rFonts w:ascii="Tahoma" w:eastAsia="Tahoma" w:hAnsi="Tahoma" w:cs="Tahoma"/>
          <w:sz w:val="24"/>
          <w:szCs w:val="24"/>
        </w:rPr>
        <w:t xml:space="preserve"> </w:t>
      </w:r>
    </w:p>
    <w:p w14:paraId="7D4B5ED5" w14:textId="77777777" w:rsidR="00023083" w:rsidRPr="00023083" w:rsidRDefault="00023083" w:rsidP="00023083">
      <w:pPr>
        <w:tabs>
          <w:tab w:val="left" w:pos="5180"/>
        </w:tabs>
        <w:suppressAutoHyphens/>
        <w:spacing w:after="0" w:line="240" w:lineRule="auto"/>
        <w:ind w:left="426" w:right="420"/>
        <w:contextualSpacing/>
        <w:jc w:val="both"/>
        <w:rPr>
          <w:rFonts w:ascii="Tahoma" w:eastAsia="Calibri" w:hAnsi="Tahoma" w:cs="Tahoma"/>
          <w:i/>
          <w:szCs w:val="24"/>
          <w:lang w:val="es-ES"/>
        </w:rPr>
      </w:pPr>
      <w:r w:rsidRPr="00023083">
        <w:rPr>
          <w:rFonts w:ascii="Tahoma" w:eastAsia="Calibri" w:hAnsi="Tahoma" w:cs="Tahoma"/>
          <w:i/>
          <w:szCs w:val="24"/>
          <w:lang w:val="es-ES"/>
        </w:rPr>
        <w:lastRenderedPageBreak/>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4F81FC60" w14:textId="77777777" w:rsidR="00023083" w:rsidRPr="00023083" w:rsidRDefault="00023083" w:rsidP="00023083">
      <w:pPr>
        <w:spacing w:after="0" w:line="276" w:lineRule="auto"/>
        <w:jc w:val="both"/>
        <w:rPr>
          <w:rFonts w:ascii="Tahoma" w:hAnsi="Tahoma" w:cs="Tahoma"/>
          <w:sz w:val="24"/>
          <w:szCs w:val="24"/>
        </w:rPr>
      </w:pPr>
      <w:r w:rsidRPr="00023083">
        <w:rPr>
          <w:rFonts w:ascii="Tahoma" w:eastAsia="Tahoma" w:hAnsi="Tahoma" w:cs="Tahoma"/>
          <w:sz w:val="24"/>
          <w:szCs w:val="24"/>
        </w:rPr>
        <w:t xml:space="preserve"> </w:t>
      </w:r>
    </w:p>
    <w:p w14:paraId="48BBD766" w14:textId="77777777" w:rsidR="00023083" w:rsidRPr="00023083" w:rsidRDefault="00023083" w:rsidP="00023083">
      <w:pPr>
        <w:widowControl w:val="0"/>
        <w:autoSpaceDE w:val="0"/>
        <w:autoSpaceDN w:val="0"/>
        <w:adjustRightInd w:val="0"/>
        <w:spacing w:after="0" w:line="276" w:lineRule="auto"/>
        <w:ind w:firstLine="708"/>
        <w:jc w:val="both"/>
        <w:rPr>
          <w:rFonts w:ascii="Tahoma" w:eastAsia="Calibri" w:hAnsi="Tahoma" w:cs="Tahoma"/>
          <w:sz w:val="24"/>
          <w:szCs w:val="24"/>
        </w:rPr>
      </w:pPr>
      <w:r w:rsidRPr="00023083">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A02F08E" w14:textId="5AD13BC5" w:rsidR="00F70651" w:rsidRPr="008C1FFE" w:rsidRDefault="00F70651" w:rsidP="008C1FFE">
      <w:pPr>
        <w:widowControl w:val="0"/>
        <w:autoSpaceDE w:val="0"/>
        <w:autoSpaceDN w:val="0"/>
        <w:adjustRightInd w:val="0"/>
        <w:spacing w:after="0" w:line="276" w:lineRule="auto"/>
        <w:ind w:firstLine="708"/>
        <w:jc w:val="both"/>
        <w:rPr>
          <w:rFonts w:ascii="Tahoma" w:eastAsia="Calibri" w:hAnsi="Tahoma" w:cs="Tahoma"/>
          <w:sz w:val="24"/>
          <w:szCs w:val="24"/>
        </w:rPr>
      </w:pPr>
    </w:p>
    <w:p w14:paraId="4846FCC4" w14:textId="7461DCA2" w:rsidR="002C2CFA" w:rsidRPr="00FE72AA" w:rsidRDefault="002C2CFA" w:rsidP="00FE72AA">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FE72AA">
        <w:rPr>
          <w:rFonts w:ascii="Tahoma" w:eastAsia="Calibri" w:hAnsi="Tahoma" w:cs="Tahoma"/>
          <w:b/>
          <w:sz w:val="24"/>
          <w:szCs w:val="24"/>
        </w:rPr>
        <w:t>Régimen de transición.</w:t>
      </w:r>
    </w:p>
    <w:p w14:paraId="665BB9CD" w14:textId="77777777" w:rsidR="002C2CFA" w:rsidRPr="008C1FFE" w:rsidRDefault="002C2CFA" w:rsidP="008C1FFE">
      <w:pPr>
        <w:pStyle w:val="NormalWeb"/>
        <w:spacing w:before="0" w:beforeAutospacing="0" w:after="0" w:afterAutospacing="0" w:line="276" w:lineRule="auto"/>
        <w:jc w:val="both"/>
        <w:rPr>
          <w:rFonts w:ascii="Tahoma" w:hAnsi="Tahoma" w:cs="Tahoma"/>
          <w:b/>
          <w:bCs/>
          <w:color w:val="000000"/>
        </w:rPr>
      </w:pPr>
    </w:p>
    <w:p w14:paraId="7E21A851" w14:textId="085DB389" w:rsidR="00F70651" w:rsidRPr="008C1FFE" w:rsidRDefault="002C2CFA" w:rsidP="008C1FFE">
      <w:pPr>
        <w:pStyle w:val="NormalWeb"/>
        <w:spacing w:before="0" w:beforeAutospacing="0" w:after="0" w:afterAutospacing="0" w:line="276" w:lineRule="auto"/>
        <w:ind w:firstLine="708"/>
        <w:jc w:val="both"/>
        <w:rPr>
          <w:rFonts w:ascii="Tahoma" w:hAnsi="Tahoma" w:cs="Tahoma"/>
          <w:color w:val="000000" w:themeColor="text1"/>
        </w:rPr>
      </w:pPr>
      <w:r w:rsidRPr="008C1FFE">
        <w:rPr>
          <w:rFonts w:ascii="Tahoma" w:hAnsi="Tahoma" w:cs="Tahoma"/>
          <w:color w:val="000000"/>
        </w:rPr>
        <w:t>Según el artículo 36 de la Ley 100 de 1993 son beneficiarios del régimen de transición las personas que hubiesen cumplido 40 o 35 años al momento de entrar a regir la ley 100 de 1993, según se trate de hombres o mujeres, o quienes acrediten más de 15 años de servicios cotizados.</w:t>
      </w:r>
      <w:r w:rsidRPr="008C1FFE">
        <w:rPr>
          <w:rFonts w:ascii="Tahoma" w:hAnsi="Tahoma" w:cs="Tahoma"/>
          <w:color w:val="000000" w:themeColor="text1"/>
        </w:rPr>
        <w:t xml:space="preserve"> En virtud de tal beneficio, el afiliado tiene derecho a que en vigencia del nuevo sistema pensional, se conserve su derecho a acceder a la pensión de vejez con el cumplimiento de los requisitos anteriores al régimen al cual se encontraren vinculados a la fecha de irrupción de la Ley 100 de 1993, en cuanto a la edad, densidad de cotizaciones y monto de la prestación, entendida esta última como la tasa de reemplazo aplicable sobre el Ingreso Base de Cotización que se obtiene conforme a la formula prevista en el artículo 21 de la Ley 100 de 1993, salvo en las excepciones que previene la misma ley.</w:t>
      </w:r>
    </w:p>
    <w:p w14:paraId="0DBD34E9" w14:textId="2EA39394" w:rsidR="001441C9" w:rsidRPr="008C1FFE" w:rsidRDefault="001441C9" w:rsidP="008C1FFE">
      <w:pPr>
        <w:pStyle w:val="NormalWeb"/>
        <w:spacing w:before="0" w:beforeAutospacing="0" w:after="0" w:afterAutospacing="0" w:line="276" w:lineRule="auto"/>
        <w:ind w:firstLine="708"/>
        <w:jc w:val="both"/>
        <w:rPr>
          <w:rFonts w:ascii="Tahoma" w:hAnsi="Tahoma" w:cs="Tahoma"/>
          <w:color w:val="000000" w:themeColor="text1"/>
        </w:rPr>
      </w:pPr>
    </w:p>
    <w:p w14:paraId="546172CD" w14:textId="38E3292B" w:rsidR="001441C9" w:rsidRPr="008C1FFE" w:rsidRDefault="001441C9" w:rsidP="008C1FFE">
      <w:pPr>
        <w:pStyle w:val="NormalWeb"/>
        <w:spacing w:before="0" w:beforeAutospacing="0" w:after="0" w:afterAutospacing="0" w:line="276" w:lineRule="auto"/>
        <w:ind w:firstLine="708"/>
        <w:jc w:val="both"/>
        <w:rPr>
          <w:rFonts w:ascii="Tahoma" w:hAnsi="Tahoma" w:cs="Tahoma"/>
          <w:color w:val="0D0D0D" w:themeColor="text1" w:themeTint="F2"/>
        </w:rPr>
      </w:pPr>
      <w:r w:rsidRPr="008C1FFE">
        <w:rPr>
          <w:rFonts w:ascii="Tahoma" w:hAnsi="Tahoma" w:cs="Tahoma"/>
          <w:color w:val="0D0D0D" w:themeColor="text1" w:themeTint="F2"/>
        </w:rPr>
        <w:t>Adicionalmente, el Acto Legislativo 01 de 2005, estableció</w:t>
      </w:r>
      <w:r w:rsidR="00252A93" w:rsidRPr="008C1FFE">
        <w:rPr>
          <w:rFonts w:ascii="Tahoma" w:hAnsi="Tahoma" w:cs="Tahoma"/>
          <w:color w:val="0D0D0D" w:themeColor="text1" w:themeTint="F2"/>
        </w:rPr>
        <w:t>, en el parágrafo 4°,</w:t>
      </w:r>
      <w:r w:rsidRPr="008C1FFE">
        <w:rPr>
          <w:rFonts w:ascii="Tahoma" w:hAnsi="Tahoma" w:cs="Tahoma"/>
          <w:color w:val="0D0D0D" w:themeColor="text1" w:themeTint="F2"/>
        </w:rPr>
        <w:t xml:space="preserve"> que el régimen de transición </w:t>
      </w:r>
      <w:r w:rsidR="00252A93" w:rsidRPr="008C1FFE">
        <w:rPr>
          <w:rFonts w:ascii="Tahoma" w:hAnsi="Tahoma" w:cs="Tahoma"/>
          <w:color w:val="0D0D0D" w:themeColor="text1" w:themeTint="F2"/>
        </w:rPr>
        <w:t>establecido en la Ley 100 de 1993 y demás normas que desarrollen dicho régimen, no podrá extenderse más allá del 31 de julio de 2010; excepto para los trabajadores que estando en dicho régimen, además, tengan cotizadas al menos 750 semanas o su equivalente en tiempo de servicios a la entrada en vigencia del presente Acto Legislativo, a los cuales se les mantendrá dicho régimen hasta el año 2014. </w:t>
      </w:r>
    </w:p>
    <w:p w14:paraId="7C502136" w14:textId="126DDB0E" w:rsidR="00F70651" w:rsidRPr="008C1FFE" w:rsidRDefault="00F70651" w:rsidP="008C1FFE">
      <w:pPr>
        <w:pStyle w:val="NormalWeb"/>
        <w:spacing w:before="0" w:beforeAutospacing="0" w:after="0" w:afterAutospacing="0" w:line="276" w:lineRule="auto"/>
        <w:jc w:val="both"/>
        <w:rPr>
          <w:rFonts w:ascii="Tahoma" w:hAnsi="Tahoma" w:cs="Tahoma"/>
          <w:color w:val="000000"/>
        </w:rPr>
      </w:pPr>
    </w:p>
    <w:p w14:paraId="0542AE67" w14:textId="0676BDFC" w:rsidR="002C2CFA" w:rsidRPr="00FE72AA" w:rsidRDefault="002C2CFA" w:rsidP="00FE72AA">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FE72AA">
        <w:rPr>
          <w:rFonts w:ascii="Tahoma" w:eastAsia="Calibri" w:hAnsi="Tahoma" w:cs="Tahoma"/>
          <w:b/>
          <w:sz w:val="24"/>
          <w:szCs w:val="24"/>
        </w:rPr>
        <w:t>P</w:t>
      </w:r>
      <w:r w:rsidR="00F70651" w:rsidRPr="00FE72AA">
        <w:rPr>
          <w:rFonts w:ascii="Tahoma" w:eastAsia="Calibri" w:hAnsi="Tahoma" w:cs="Tahoma"/>
          <w:b/>
          <w:sz w:val="24"/>
          <w:szCs w:val="24"/>
        </w:rPr>
        <w:t>ensión de vejez bajo los presupuestos del acuerdo 049/1990.</w:t>
      </w:r>
    </w:p>
    <w:p w14:paraId="6A296854" w14:textId="77777777" w:rsidR="002C2CFA" w:rsidRPr="008C1FFE" w:rsidRDefault="002C2CFA" w:rsidP="008C1FFE">
      <w:pPr>
        <w:pStyle w:val="NormalWeb"/>
        <w:spacing w:before="0" w:beforeAutospacing="0" w:after="0" w:afterAutospacing="0" w:line="276" w:lineRule="auto"/>
        <w:jc w:val="both"/>
        <w:rPr>
          <w:rFonts w:ascii="Tahoma" w:hAnsi="Tahoma" w:cs="Tahoma"/>
          <w:b/>
          <w:bCs/>
          <w:color w:val="000000"/>
        </w:rPr>
      </w:pPr>
    </w:p>
    <w:p w14:paraId="7CA4C1D2" w14:textId="463EC0E4" w:rsidR="004D57BB" w:rsidRPr="008C1FFE" w:rsidRDefault="002C5545" w:rsidP="008C1FFE">
      <w:pPr>
        <w:pStyle w:val="NormalWeb"/>
        <w:spacing w:before="0" w:beforeAutospacing="0" w:after="0" w:afterAutospacing="0" w:line="276" w:lineRule="auto"/>
        <w:ind w:firstLine="708"/>
        <w:jc w:val="both"/>
        <w:rPr>
          <w:rFonts w:ascii="Tahoma" w:hAnsi="Tahoma" w:cs="Tahoma"/>
          <w:i/>
          <w:iCs/>
          <w:color w:val="000000"/>
        </w:rPr>
      </w:pPr>
      <w:r w:rsidRPr="008C1FFE">
        <w:rPr>
          <w:rFonts w:ascii="Tahoma" w:hAnsi="Tahoma" w:cs="Tahoma"/>
          <w:color w:val="000000"/>
        </w:rPr>
        <w:t xml:space="preserve">Dispone </w:t>
      </w:r>
      <w:r w:rsidR="002C2CFA" w:rsidRPr="008C1FFE">
        <w:rPr>
          <w:rFonts w:ascii="Tahoma" w:hAnsi="Tahoma" w:cs="Tahoma"/>
          <w:color w:val="000000"/>
        </w:rPr>
        <w:t>el artículo 12 del Acuerdo 049 de 1990,</w:t>
      </w:r>
      <w:r w:rsidR="00252A93" w:rsidRPr="008C1FFE">
        <w:rPr>
          <w:rFonts w:ascii="Tahoma" w:hAnsi="Tahoma" w:cs="Tahoma"/>
          <w:color w:val="000000"/>
        </w:rPr>
        <w:t xml:space="preserve"> que tendrán derecho a la pensión de vejez las personas que reúnan los siguientes requisitos: </w:t>
      </w:r>
      <w:r w:rsidR="002C2CFA" w:rsidRPr="008C1FFE">
        <w:rPr>
          <w:rFonts w:ascii="Tahoma" w:hAnsi="Tahoma" w:cs="Tahoma"/>
          <w:i/>
          <w:iCs/>
          <w:color w:val="000000"/>
        </w:rPr>
        <w:t>a) Sesenta (60) o más años de edad si se es varón o cincuenta y cinco (55) o más años de edad, si se es mujer y</w:t>
      </w:r>
      <w:r w:rsidR="00252A93" w:rsidRPr="008C1FFE">
        <w:rPr>
          <w:rFonts w:ascii="Tahoma" w:hAnsi="Tahoma" w:cs="Tahoma"/>
          <w:i/>
          <w:iCs/>
          <w:color w:val="000000"/>
        </w:rPr>
        <w:t xml:space="preserve">; </w:t>
      </w:r>
      <w:r w:rsidR="002C2CFA" w:rsidRPr="008C1FFE">
        <w:rPr>
          <w:rFonts w:ascii="Tahoma" w:hAnsi="Tahoma" w:cs="Tahoma"/>
          <w:i/>
          <w:iCs/>
          <w:color w:val="000000"/>
        </w:rPr>
        <w:t>b) Un mínimo de quinientas (500) semanas de cotización pagadas durante los últimos veinte (20) años anteriores al cumplimiento de las edades mínimas, o haber acreditado un número de un mil (1.000) semanas de cotización, sufragadas en cualquier tiempo.</w:t>
      </w:r>
    </w:p>
    <w:p w14:paraId="3C4DFFAE" w14:textId="77777777" w:rsidR="006A13DC" w:rsidRPr="008C1FFE" w:rsidRDefault="006A13DC" w:rsidP="008C1FFE">
      <w:pPr>
        <w:widowControl w:val="0"/>
        <w:autoSpaceDE w:val="0"/>
        <w:autoSpaceDN w:val="0"/>
        <w:adjustRightInd w:val="0"/>
        <w:spacing w:after="0" w:line="276" w:lineRule="auto"/>
        <w:jc w:val="both"/>
        <w:rPr>
          <w:rFonts w:ascii="Tahoma" w:eastAsia="Calibri" w:hAnsi="Tahoma" w:cs="Tahoma"/>
          <w:b/>
          <w:sz w:val="24"/>
          <w:szCs w:val="24"/>
        </w:rPr>
      </w:pPr>
    </w:p>
    <w:p w14:paraId="11D90125" w14:textId="1AD87A10" w:rsidR="004D57BB" w:rsidRPr="008C1FFE" w:rsidRDefault="004D57BB" w:rsidP="00FE72AA">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8C1FFE">
        <w:rPr>
          <w:rFonts w:ascii="Tahoma" w:eastAsia="Calibri" w:hAnsi="Tahoma" w:cs="Tahoma"/>
          <w:b/>
          <w:sz w:val="24"/>
          <w:szCs w:val="24"/>
        </w:rPr>
        <w:lastRenderedPageBreak/>
        <w:t>Caso concreto</w:t>
      </w:r>
    </w:p>
    <w:p w14:paraId="4D0D9326" w14:textId="77777777" w:rsidR="004D57BB" w:rsidRPr="008C1FFE" w:rsidRDefault="004D57BB" w:rsidP="008C1FFE">
      <w:pPr>
        <w:widowControl w:val="0"/>
        <w:autoSpaceDE w:val="0"/>
        <w:autoSpaceDN w:val="0"/>
        <w:adjustRightInd w:val="0"/>
        <w:spacing w:after="0" w:line="276" w:lineRule="auto"/>
        <w:ind w:firstLine="284"/>
        <w:jc w:val="both"/>
        <w:rPr>
          <w:rFonts w:ascii="Tahoma" w:eastAsia="Calibri" w:hAnsi="Tahoma" w:cs="Tahoma"/>
          <w:sz w:val="24"/>
          <w:szCs w:val="24"/>
        </w:rPr>
      </w:pPr>
    </w:p>
    <w:p w14:paraId="1CD3072D" w14:textId="6DA811D4" w:rsidR="004D57BB" w:rsidRPr="008C1FFE" w:rsidRDefault="004D57BB" w:rsidP="008C1FFE">
      <w:pPr>
        <w:widowControl w:val="0"/>
        <w:autoSpaceDE w:val="0"/>
        <w:autoSpaceDN w:val="0"/>
        <w:adjustRightInd w:val="0"/>
        <w:spacing w:after="0" w:line="276" w:lineRule="auto"/>
        <w:ind w:firstLine="708"/>
        <w:jc w:val="both"/>
        <w:rPr>
          <w:rFonts w:ascii="Tahoma" w:eastAsia="Calibri" w:hAnsi="Tahoma" w:cs="Tahoma"/>
          <w:sz w:val="24"/>
          <w:szCs w:val="24"/>
        </w:rPr>
      </w:pPr>
      <w:r w:rsidRPr="008C1FFE">
        <w:rPr>
          <w:rFonts w:ascii="Tahoma" w:eastAsia="Calibri" w:hAnsi="Tahoma" w:cs="Tahoma"/>
          <w:sz w:val="24"/>
          <w:szCs w:val="24"/>
        </w:rPr>
        <w:t xml:space="preserve">Se </w:t>
      </w:r>
      <w:r w:rsidR="00F7157E" w:rsidRPr="008C1FFE">
        <w:rPr>
          <w:rFonts w:ascii="Tahoma" w:eastAsia="Calibri" w:hAnsi="Tahoma" w:cs="Tahoma"/>
          <w:sz w:val="24"/>
          <w:szCs w:val="24"/>
        </w:rPr>
        <w:t>opuso Colpensiones a la declaratoria de la nu</w:t>
      </w:r>
      <w:r w:rsidRPr="008C1FFE">
        <w:rPr>
          <w:rFonts w:ascii="Tahoma" w:eastAsia="Calibri" w:hAnsi="Tahoma" w:cs="Tahoma"/>
          <w:sz w:val="24"/>
          <w:szCs w:val="24"/>
        </w:rPr>
        <w:t>lidad</w:t>
      </w:r>
      <w:r w:rsidR="00252A93" w:rsidRPr="008C1FFE">
        <w:rPr>
          <w:rFonts w:ascii="Tahoma" w:eastAsia="Calibri" w:hAnsi="Tahoma" w:cs="Tahoma"/>
          <w:sz w:val="24"/>
          <w:szCs w:val="24"/>
        </w:rPr>
        <w:t xml:space="preserve"> (o ineficacia)</w:t>
      </w:r>
      <w:r w:rsidRPr="008C1FFE">
        <w:rPr>
          <w:rFonts w:ascii="Tahoma" w:eastAsia="Calibri" w:hAnsi="Tahoma" w:cs="Tahoma"/>
          <w:sz w:val="24"/>
          <w:szCs w:val="24"/>
        </w:rPr>
        <w:t xml:space="preserve"> del traslado del </w:t>
      </w:r>
      <w:r w:rsidR="001441C9" w:rsidRPr="008C1FFE">
        <w:rPr>
          <w:rFonts w:ascii="Tahoma" w:eastAsia="Calibri" w:hAnsi="Tahoma" w:cs="Tahoma"/>
          <w:sz w:val="24"/>
          <w:szCs w:val="24"/>
        </w:rPr>
        <w:t>R</w:t>
      </w:r>
      <w:r w:rsidRPr="008C1FFE">
        <w:rPr>
          <w:rFonts w:ascii="Tahoma" w:eastAsia="Calibri" w:hAnsi="Tahoma" w:cs="Tahoma"/>
          <w:sz w:val="24"/>
          <w:szCs w:val="24"/>
        </w:rPr>
        <w:t xml:space="preserve">égimen de </w:t>
      </w:r>
      <w:r w:rsidR="001441C9" w:rsidRPr="008C1FFE">
        <w:rPr>
          <w:rFonts w:ascii="Tahoma" w:eastAsia="Calibri" w:hAnsi="Tahoma" w:cs="Tahoma"/>
          <w:sz w:val="24"/>
          <w:szCs w:val="24"/>
        </w:rPr>
        <w:t>P</w:t>
      </w:r>
      <w:r w:rsidRPr="008C1FFE">
        <w:rPr>
          <w:rFonts w:ascii="Tahoma" w:eastAsia="Calibri" w:hAnsi="Tahoma" w:cs="Tahoma"/>
          <w:sz w:val="24"/>
          <w:szCs w:val="24"/>
        </w:rPr>
        <w:t xml:space="preserve">rima </w:t>
      </w:r>
      <w:r w:rsidR="001441C9" w:rsidRPr="008C1FFE">
        <w:rPr>
          <w:rFonts w:ascii="Tahoma" w:eastAsia="Calibri" w:hAnsi="Tahoma" w:cs="Tahoma"/>
          <w:sz w:val="24"/>
          <w:szCs w:val="24"/>
        </w:rPr>
        <w:t>M</w:t>
      </w:r>
      <w:r w:rsidRPr="008C1FFE">
        <w:rPr>
          <w:rFonts w:ascii="Tahoma" w:eastAsia="Calibri" w:hAnsi="Tahoma" w:cs="Tahoma"/>
          <w:sz w:val="24"/>
          <w:szCs w:val="24"/>
        </w:rPr>
        <w:t xml:space="preserve">edia con </w:t>
      </w:r>
      <w:r w:rsidR="001441C9" w:rsidRPr="008C1FFE">
        <w:rPr>
          <w:rFonts w:ascii="Tahoma" w:eastAsia="Calibri" w:hAnsi="Tahoma" w:cs="Tahoma"/>
          <w:sz w:val="24"/>
          <w:szCs w:val="24"/>
        </w:rPr>
        <w:t>P</w:t>
      </w:r>
      <w:r w:rsidRPr="008C1FFE">
        <w:rPr>
          <w:rFonts w:ascii="Tahoma" w:eastAsia="Calibri" w:hAnsi="Tahoma" w:cs="Tahoma"/>
          <w:sz w:val="24"/>
          <w:szCs w:val="24"/>
        </w:rPr>
        <w:t xml:space="preserve">restación </w:t>
      </w:r>
      <w:r w:rsidR="001441C9" w:rsidRPr="008C1FFE">
        <w:rPr>
          <w:rFonts w:ascii="Tahoma" w:eastAsia="Calibri" w:hAnsi="Tahoma" w:cs="Tahoma"/>
          <w:sz w:val="24"/>
          <w:szCs w:val="24"/>
        </w:rPr>
        <w:t>D</w:t>
      </w:r>
      <w:r w:rsidRPr="008C1FFE">
        <w:rPr>
          <w:rFonts w:ascii="Tahoma" w:eastAsia="Calibri" w:hAnsi="Tahoma" w:cs="Tahoma"/>
          <w:sz w:val="24"/>
          <w:szCs w:val="24"/>
        </w:rPr>
        <w:t xml:space="preserve">efinida al de </w:t>
      </w:r>
      <w:r w:rsidR="001441C9" w:rsidRPr="008C1FFE">
        <w:rPr>
          <w:rFonts w:ascii="Tahoma" w:eastAsia="Calibri" w:hAnsi="Tahoma" w:cs="Tahoma"/>
          <w:sz w:val="24"/>
          <w:szCs w:val="24"/>
        </w:rPr>
        <w:t>A</w:t>
      </w:r>
      <w:r w:rsidRPr="008C1FFE">
        <w:rPr>
          <w:rFonts w:ascii="Tahoma" w:eastAsia="Calibri" w:hAnsi="Tahoma" w:cs="Tahoma"/>
          <w:sz w:val="24"/>
          <w:szCs w:val="24"/>
        </w:rPr>
        <w:t xml:space="preserve">horro </w:t>
      </w:r>
      <w:r w:rsidR="001441C9" w:rsidRPr="008C1FFE">
        <w:rPr>
          <w:rFonts w:ascii="Tahoma" w:eastAsia="Calibri" w:hAnsi="Tahoma" w:cs="Tahoma"/>
          <w:sz w:val="24"/>
          <w:szCs w:val="24"/>
        </w:rPr>
        <w:t>I</w:t>
      </w:r>
      <w:r w:rsidRPr="008C1FFE">
        <w:rPr>
          <w:rFonts w:ascii="Tahoma" w:eastAsia="Calibri" w:hAnsi="Tahoma" w:cs="Tahoma"/>
          <w:sz w:val="24"/>
          <w:szCs w:val="24"/>
        </w:rPr>
        <w:t xml:space="preserve">ndividual con </w:t>
      </w:r>
      <w:r w:rsidR="001441C9" w:rsidRPr="008C1FFE">
        <w:rPr>
          <w:rFonts w:ascii="Tahoma" w:eastAsia="Calibri" w:hAnsi="Tahoma" w:cs="Tahoma"/>
          <w:sz w:val="24"/>
          <w:szCs w:val="24"/>
        </w:rPr>
        <w:t>S</w:t>
      </w:r>
      <w:r w:rsidRPr="008C1FFE">
        <w:rPr>
          <w:rFonts w:ascii="Tahoma" w:eastAsia="Calibri" w:hAnsi="Tahoma" w:cs="Tahoma"/>
          <w:sz w:val="24"/>
          <w:szCs w:val="24"/>
        </w:rPr>
        <w:t>olidaridad, dada la omisión de información clara y precisa, que ha debido brindarle la AFP a la parte actora en orden a conocer las condiciones y consecuencias de migración de régimen.</w:t>
      </w:r>
    </w:p>
    <w:p w14:paraId="66C7122D" w14:textId="77777777" w:rsidR="004D57BB" w:rsidRPr="008C1FFE" w:rsidRDefault="004D57BB" w:rsidP="008C1FFE">
      <w:pPr>
        <w:widowControl w:val="0"/>
        <w:autoSpaceDE w:val="0"/>
        <w:autoSpaceDN w:val="0"/>
        <w:adjustRightInd w:val="0"/>
        <w:spacing w:after="0" w:line="276" w:lineRule="auto"/>
        <w:ind w:firstLine="284"/>
        <w:jc w:val="both"/>
        <w:rPr>
          <w:rFonts w:ascii="Tahoma" w:eastAsia="Calibri" w:hAnsi="Tahoma" w:cs="Tahoma"/>
          <w:sz w:val="24"/>
          <w:szCs w:val="24"/>
        </w:rPr>
      </w:pPr>
    </w:p>
    <w:p w14:paraId="7E113776" w14:textId="3700F67F" w:rsidR="004D57BB" w:rsidRPr="008C1FFE" w:rsidRDefault="004D57BB" w:rsidP="008C1FFE">
      <w:pPr>
        <w:widowControl w:val="0"/>
        <w:autoSpaceDE w:val="0"/>
        <w:autoSpaceDN w:val="0"/>
        <w:adjustRightInd w:val="0"/>
        <w:spacing w:after="0" w:line="276" w:lineRule="auto"/>
        <w:ind w:firstLine="708"/>
        <w:jc w:val="both"/>
        <w:rPr>
          <w:rFonts w:ascii="Tahoma" w:eastAsia="Calibri" w:hAnsi="Tahoma" w:cs="Tahoma"/>
          <w:sz w:val="24"/>
          <w:szCs w:val="24"/>
        </w:rPr>
      </w:pPr>
      <w:r w:rsidRPr="008C1FFE">
        <w:rPr>
          <w:rFonts w:ascii="Tahoma" w:eastAsia="Calibri" w:hAnsi="Tahoma" w:cs="Tahoma"/>
          <w:sz w:val="24"/>
          <w:szCs w:val="24"/>
        </w:rPr>
        <w:t xml:space="preserve">De conformidad </w:t>
      </w:r>
      <w:r w:rsidR="00252A93" w:rsidRPr="008C1FFE">
        <w:rPr>
          <w:rFonts w:ascii="Tahoma" w:eastAsia="Calibri" w:hAnsi="Tahoma" w:cs="Tahoma"/>
          <w:sz w:val="24"/>
          <w:szCs w:val="24"/>
        </w:rPr>
        <w:t>con la</w:t>
      </w:r>
      <w:r w:rsidRPr="008C1FFE">
        <w:rPr>
          <w:rFonts w:ascii="Tahoma" w:eastAsia="Calibri" w:hAnsi="Tahoma" w:cs="Tahoma"/>
          <w:sz w:val="24"/>
          <w:szCs w:val="24"/>
        </w:rPr>
        <w:t xml:space="preserve">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w:t>
      </w:r>
      <w:r w:rsidR="00A92314" w:rsidRPr="008C1FFE">
        <w:rPr>
          <w:rFonts w:ascii="Tahoma" w:eastAsia="Calibri" w:hAnsi="Tahoma" w:cs="Tahoma"/>
          <w:sz w:val="24"/>
          <w:szCs w:val="24"/>
        </w:rPr>
        <w:t>l</w:t>
      </w:r>
      <w:r w:rsidRPr="008C1FFE">
        <w:rPr>
          <w:rFonts w:ascii="Tahoma" w:eastAsia="Calibri" w:hAnsi="Tahoma" w:cs="Tahoma"/>
          <w:sz w:val="24"/>
          <w:szCs w:val="24"/>
        </w:rPr>
        <w:t xml:space="preserve"> afiliad</w:t>
      </w:r>
      <w:r w:rsidR="00A92314" w:rsidRPr="008C1FFE">
        <w:rPr>
          <w:rFonts w:ascii="Tahoma" w:eastAsia="Calibri" w:hAnsi="Tahoma" w:cs="Tahoma"/>
          <w:sz w:val="24"/>
          <w:szCs w:val="24"/>
        </w:rPr>
        <w:t>o</w:t>
      </w:r>
      <w:r w:rsidRPr="008C1FFE">
        <w:rPr>
          <w:rFonts w:ascii="Tahoma" w:eastAsia="Calibri" w:hAnsi="Tahoma" w:cs="Tahoma"/>
          <w:sz w:val="24"/>
          <w:szCs w:val="24"/>
        </w:rPr>
        <w:t>, acerca del impacto del cambio de régimen pensional.</w:t>
      </w:r>
    </w:p>
    <w:p w14:paraId="68D01880" w14:textId="1248CBCE" w:rsidR="002243A2" w:rsidRPr="008C1FFE" w:rsidRDefault="002243A2" w:rsidP="008C1FFE">
      <w:pPr>
        <w:widowControl w:val="0"/>
        <w:autoSpaceDE w:val="0"/>
        <w:autoSpaceDN w:val="0"/>
        <w:adjustRightInd w:val="0"/>
        <w:spacing w:after="0" w:line="276" w:lineRule="auto"/>
        <w:ind w:firstLine="708"/>
        <w:jc w:val="both"/>
        <w:rPr>
          <w:rFonts w:ascii="Tahoma" w:eastAsia="Calibri" w:hAnsi="Tahoma" w:cs="Tahoma"/>
          <w:sz w:val="24"/>
          <w:szCs w:val="24"/>
        </w:rPr>
      </w:pPr>
    </w:p>
    <w:p w14:paraId="47FE09FE" w14:textId="77777777" w:rsidR="00252A93" w:rsidRPr="008C1FFE" w:rsidRDefault="002D1561" w:rsidP="008C1FFE">
      <w:pPr>
        <w:widowControl w:val="0"/>
        <w:autoSpaceDE w:val="0"/>
        <w:autoSpaceDN w:val="0"/>
        <w:adjustRightInd w:val="0"/>
        <w:spacing w:after="0" w:line="276" w:lineRule="auto"/>
        <w:ind w:firstLine="708"/>
        <w:jc w:val="both"/>
        <w:rPr>
          <w:rFonts w:ascii="Tahoma" w:eastAsia="Calibri" w:hAnsi="Tahoma" w:cs="Tahoma"/>
          <w:sz w:val="24"/>
          <w:szCs w:val="24"/>
        </w:rPr>
      </w:pPr>
      <w:r w:rsidRPr="008C1FFE">
        <w:rPr>
          <w:rFonts w:ascii="Tahoma" w:eastAsia="Calibri" w:hAnsi="Tahoma" w:cs="Tahoma"/>
          <w:sz w:val="24"/>
          <w:szCs w:val="24"/>
        </w:rPr>
        <w:t>E</w:t>
      </w:r>
      <w:r w:rsidR="002243A2" w:rsidRPr="008C1FFE">
        <w:rPr>
          <w:rFonts w:ascii="Tahoma" w:eastAsia="Calibri" w:hAnsi="Tahoma" w:cs="Tahoma"/>
          <w:sz w:val="24"/>
          <w:szCs w:val="24"/>
        </w:rPr>
        <w:t>n el presente caso</w:t>
      </w:r>
      <w:r w:rsidR="00252A93" w:rsidRPr="008C1FFE">
        <w:rPr>
          <w:rFonts w:ascii="Tahoma" w:eastAsia="Calibri" w:hAnsi="Tahoma" w:cs="Tahoma"/>
          <w:sz w:val="24"/>
          <w:szCs w:val="24"/>
        </w:rPr>
        <w:t>,</w:t>
      </w:r>
      <w:r w:rsidR="002243A2" w:rsidRPr="008C1FFE">
        <w:rPr>
          <w:rFonts w:ascii="Tahoma" w:eastAsia="Calibri" w:hAnsi="Tahoma" w:cs="Tahoma"/>
          <w:sz w:val="24"/>
          <w:szCs w:val="24"/>
        </w:rPr>
        <w:t xml:space="preserve"> </w:t>
      </w:r>
      <w:r w:rsidR="00A92314" w:rsidRPr="008C1FFE">
        <w:rPr>
          <w:rFonts w:ascii="Tahoma" w:eastAsia="Calibri" w:hAnsi="Tahoma" w:cs="Tahoma"/>
          <w:sz w:val="24"/>
          <w:szCs w:val="24"/>
        </w:rPr>
        <w:t xml:space="preserve">tal como lo afirmó la </w:t>
      </w:r>
      <w:r w:rsidR="00A92314" w:rsidRPr="008C1FFE">
        <w:rPr>
          <w:rFonts w:ascii="Tahoma" w:eastAsia="Calibri" w:hAnsi="Tahoma" w:cs="Tahoma"/>
          <w:i/>
          <w:sz w:val="24"/>
          <w:szCs w:val="24"/>
        </w:rPr>
        <w:t>a-quo</w:t>
      </w:r>
      <w:r w:rsidR="00252A93" w:rsidRPr="008C1FFE">
        <w:rPr>
          <w:rFonts w:ascii="Tahoma" w:eastAsia="Calibri" w:hAnsi="Tahoma" w:cs="Tahoma"/>
          <w:sz w:val="24"/>
          <w:szCs w:val="24"/>
        </w:rPr>
        <w:t>,</w:t>
      </w:r>
      <w:r w:rsidR="00A92314" w:rsidRPr="008C1FFE">
        <w:rPr>
          <w:rFonts w:ascii="Tahoma" w:eastAsia="Calibri" w:hAnsi="Tahoma" w:cs="Tahoma"/>
          <w:sz w:val="24"/>
          <w:szCs w:val="24"/>
        </w:rPr>
        <w:t xml:space="preserve"> no obra el formulario de afiliación</w:t>
      </w:r>
      <w:r w:rsidR="00CB3F95" w:rsidRPr="008C1FFE">
        <w:rPr>
          <w:rFonts w:ascii="Tahoma" w:eastAsia="Calibri" w:hAnsi="Tahoma" w:cs="Tahoma"/>
          <w:sz w:val="24"/>
          <w:szCs w:val="24"/>
        </w:rPr>
        <w:t xml:space="preserve"> a Protección S.A</w:t>
      </w:r>
      <w:r w:rsidR="00252A93" w:rsidRPr="008C1FFE">
        <w:rPr>
          <w:rFonts w:ascii="Tahoma" w:eastAsia="Calibri" w:hAnsi="Tahoma" w:cs="Tahoma"/>
          <w:sz w:val="24"/>
          <w:szCs w:val="24"/>
        </w:rPr>
        <w:t>;</w:t>
      </w:r>
      <w:r w:rsidR="00CB3F95" w:rsidRPr="008C1FFE">
        <w:rPr>
          <w:rFonts w:ascii="Tahoma" w:eastAsia="Calibri" w:hAnsi="Tahoma" w:cs="Tahoma"/>
          <w:sz w:val="24"/>
          <w:szCs w:val="24"/>
        </w:rPr>
        <w:t xml:space="preserve"> </w:t>
      </w:r>
      <w:r w:rsidRPr="008C1FFE">
        <w:rPr>
          <w:rFonts w:ascii="Tahoma" w:eastAsia="Calibri" w:hAnsi="Tahoma" w:cs="Tahoma"/>
          <w:sz w:val="24"/>
          <w:szCs w:val="24"/>
        </w:rPr>
        <w:t>no obstante, de</w:t>
      </w:r>
      <w:r w:rsidR="00252A93" w:rsidRPr="008C1FFE">
        <w:rPr>
          <w:rFonts w:ascii="Tahoma" w:eastAsia="Calibri" w:hAnsi="Tahoma" w:cs="Tahoma"/>
          <w:sz w:val="24"/>
          <w:szCs w:val="24"/>
        </w:rPr>
        <w:t>l</w:t>
      </w:r>
      <w:r w:rsidRPr="008C1FFE">
        <w:rPr>
          <w:rFonts w:ascii="Tahoma" w:eastAsia="Calibri" w:hAnsi="Tahoma" w:cs="Tahoma"/>
          <w:sz w:val="24"/>
          <w:szCs w:val="24"/>
        </w:rPr>
        <w:t xml:space="preserve"> </w:t>
      </w:r>
      <w:r w:rsidR="00CB3F95" w:rsidRPr="008C1FFE">
        <w:rPr>
          <w:rFonts w:ascii="Tahoma" w:eastAsia="Calibri" w:hAnsi="Tahoma" w:cs="Tahoma"/>
          <w:sz w:val="24"/>
          <w:szCs w:val="24"/>
        </w:rPr>
        <w:t>historial de vinculaciones</w:t>
      </w:r>
      <w:r w:rsidR="007C3E4B" w:rsidRPr="008C1FFE">
        <w:rPr>
          <w:rStyle w:val="Refdenotaalpie"/>
          <w:rFonts w:ascii="Tahoma" w:eastAsia="Calibri" w:hAnsi="Tahoma" w:cs="Tahoma"/>
          <w:sz w:val="24"/>
          <w:szCs w:val="24"/>
        </w:rPr>
        <w:footnoteReference w:id="4"/>
      </w:r>
      <w:r w:rsidR="00CB3F95" w:rsidRPr="008C1FFE">
        <w:rPr>
          <w:rFonts w:ascii="Tahoma" w:eastAsia="Calibri" w:hAnsi="Tahoma" w:cs="Tahoma"/>
          <w:sz w:val="24"/>
          <w:szCs w:val="24"/>
        </w:rPr>
        <w:t xml:space="preserve"> se puede establecer que el </w:t>
      </w:r>
      <w:r w:rsidR="00DC253E" w:rsidRPr="008C1FFE">
        <w:rPr>
          <w:rFonts w:ascii="Tahoma" w:eastAsia="Calibri" w:hAnsi="Tahoma" w:cs="Tahoma"/>
          <w:sz w:val="24"/>
          <w:szCs w:val="24"/>
        </w:rPr>
        <w:t>actor solicitó el traslado el 13 de octubre de 1994, mismo que se hizo efectivo a partir del 01 de noviembre de 1994</w:t>
      </w:r>
      <w:r w:rsidR="0075081C" w:rsidRPr="008C1FFE">
        <w:rPr>
          <w:rFonts w:ascii="Tahoma" w:eastAsia="Calibri" w:hAnsi="Tahoma" w:cs="Tahoma"/>
          <w:sz w:val="24"/>
          <w:szCs w:val="24"/>
        </w:rPr>
        <w:t xml:space="preserve">, por lo cual le correspondía a Protección S.A. </w:t>
      </w:r>
      <w:r w:rsidR="008D0BDD" w:rsidRPr="008C1FFE">
        <w:rPr>
          <w:rFonts w:ascii="Tahoma" w:eastAsia="Calibri" w:hAnsi="Tahoma" w:cs="Tahoma"/>
          <w:sz w:val="24"/>
          <w:szCs w:val="24"/>
        </w:rPr>
        <w:t xml:space="preserve">demostrar que </w:t>
      </w:r>
      <w:r w:rsidR="00D7678F" w:rsidRPr="008C1FFE">
        <w:rPr>
          <w:rFonts w:ascii="Tahoma" w:eastAsia="Calibri" w:hAnsi="Tahoma" w:cs="Tahoma"/>
          <w:sz w:val="24"/>
          <w:szCs w:val="24"/>
        </w:rPr>
        <w:t>cumplió con la totalidad de las obligaciones a su cargo.</w:t>
      </w:r>
      <w:r w:rsidR="00252A93" w:rsidRPr="008C1FFE">
        <w:rPr>
          <w:rFonts w:ascii="Tahoma" w:eastAsia="Calibri" w:hAnsi="Tahoma" w:cs="Tahoma"/>
          <w:sz w:val="24"/>
          <w:szCs w:val="24"/>
        </w:rPr>
        <w:t xml:space="preserve"> </w:t>
      </w:r>
      <w:r w:rsidR="00D7678F" w:rsidRPr="008C1FFE">
        <w:rPr>
          <w:rFonts w:ascii="Tahoma" w:eastAsia="Calibri" w:hAnsi="Tahoma" w:cs="Tahoma"/>
          <w:sz w:val="24"/>
          <w:szCs w:val="24"/>
        </w:rPr>
        <w:t xml:space="preserve">Empero, </w:t>
      </w:r>
      <w:r w:rsidR="00873020" w:rsidRPr="008C1FFE">
        <w:rPr>
          <w:rFonts w:ascii="Tahoma" w:eastAsia="Calibri" w:hAnsi="Tahoma" w:cs="Tahoma"/>
          <w:sz w:val="24"/>
          <w:szCs w:val="24"/>
        </w:rPr>
        <w:t xml:space="preserve">no obra prueba </w:t>
      </w:r>
      <w:r w:rsidR="00382AFB" w:rsidRPr="008C1FFE">
        <w:rPr>
          <w:rFonts w:ascii="Tahoma" w:eastAsia="Calibri" w:hAnsi="Tahoma" w:cs="Tahoma"/>
          <w:sz w:val="24"/>
          <w:szCs w:val="24"/>
        </w:rPr>
        <w:t xml:space="preserve">documental alguna </w:t>
      </w:r>
      <w:r w:rsidR="00951371" w:rsidRPr="008C1FFE">
        <w:rPr>
          <w:rFonts w:ascii="Tahoma" w:eastAsia="Calibri" w:hAnsi="Tahoma" w:cs="Tahoma"/>
          <w:sz w:val="24"/>
          <w:szCs w:val="24"/>
        </w:rPr>
        <w:t>que d</w:t>
      </w:r>
      <w:r w:rsidR="00252A93" w:rsidRPr="008C1FFE">
        <w:rPr>
          <w:rFonts w:ascii="Tahoma" w:eastAsia="Calibri" w:hAnsi="Tahoma" w:cs="Tahoma"/>
          <w:sz w:val="24"/>
          <w:szCs w:val="24"/>
        </w:rPr>
        <w:t>é</w:t>
      </w:r>
      <w:r w:rsidR="00951371" w:rsidRPr="008C1FFE">
        <w:rPr>
          <w:rFonts w:ascii="Tahoma" w:eastAsia="Calibri" w:hAnsi="Tahoma" w:cs="Tahoma"/>
          <w:sz w:val="24"/>
          <w:szCs w:val="24"/>
        </w:rPr>
        <w:t xml:space="preserve"> cuenta de las circunstancias que rodearon el acto de traslado, y de los dichos del demandante ninguno puede calificarse como confesión</w:t>
      </w:r>
      <w:r w:rsidR="00F66E11" w:rsidRPr="008C1FFE">
        <w:rPr>
          <w:rFonts w:ascii="Tahoma" w:eastAsia="Calibri" w:hAnsi="Tahoma" w:cs="Tahoma"/>
          <w:sz w:val="24"/>
          <w:szCs w:val="24"/>
        </w:rPr>
        <w:t>, en ta</w:t>
      </w:r>
      <w:r w:rsidR="00D67C43" w:rsidRPr="008C1FFE">
        <w:rPr>
          <w:rFonts w:ascii="Tahoma" w:eastAsia="Calibri" w:hAnsi="Tahoma" w:cs="Tahoma"/>
          <w:sz w:val="24"/>
          <w:szCs w:val="24"/>
        </w:rPr>
        <w:t>n</w:t>
      </w:r>
      <w:r w:rsidR="00F66E11" w:rsidRPr="008C1FFE">
        <w:rPr>
          <w:rFonts w:ascii="Tahoma" w:eastAsia="Calibri" w:hAnsi="Tahoma" w:cs="Tahoma"/>
          <w:sz w:val="24"/>
          <w:szCs w:val="24"/>
        </w:rPr>
        <w:t>to este explicó que el traslado se realizó por medio de un promotor de la entidad, quien no le informó sobre las ventajas o inconvenientes</w:t>
      </w:r>
      <w:r w:rsidR="00252A93" w:rsidRPr="008C1FFE">
        <w:rPr>
          <w:rFonts w:ascii="Tahoma" w:eastAsia="Calibri" w:hAnsi="Tahoma" w:cs="Tahoma"/>
          <w:sz w:val="24"/>
          <w:szCs w:val="24"/>
        </w:rPr>
        <w:t xml:space="preserve"> del traslado</w:t>
      </w:r>
      <w:r w:rsidR="00F66E11" w:rsidRPr="008C1FFE">
        <w:rPr>
          <w:rFonts w:ascii="Tahoma" w:eastAsia="Calibri" w:hAnsi="Tahoma" w:cs="Tahoma"/>
          <w:sz w:val="24"/>
          <w:szCs w:val="24"/>
        </w:rPr>
        <w:t xml:space="preserve"> </w:t>
      </w:r>
      <w:r w:rsidR="00BF7BEB" w:rsidRPr="008C1FFE">
        <w:rPr>
          <w:rFonts w:ascii="Tahoma" w:eastAsia="Calibri" w:hAnsi="Tahoma" w:cs="Tahoma"/>
          <w:sz w:val="24"/>
          <w:szCs w:val="24"/>
        </w:rPr>
        <w:t>y</w:t>
      </w:r>
      <w:r w:rsidR="00252A93" w:rsidRPr="008C1FFE">
        <w:rPr>
          <w:rFonts w:ascii="Tahoma" w:eastAsia="Calibri" w:hAnsi="Tahoma" w:cs="Tahoma"/>
          <w:sz w:val="24"/>
          <w:szCs w:val="24"/>
        </w:rPr>
        <w:t xml:space="preserve"> mucho menos de</w:t>
      </w:r>
      <w:r w:rsidR="00BF7BEB" w:rsidRPr="008C1FFE">
        <w:rPr>
          <w:rFonts w:ascii="Tahoma" w:eastAsia="Calibri" w:hAnsi="Tahoma" w:cs="Tahoma"/>
          <w:sz w:val="24"/>
          <w:szCs w:val="24"/>
        </w:rPr>
        <w:t xml:space="preserve"> la existencia de dos regímenes, </w:t>
      </w:r>
      <w:r w:rsidR="00252A93" w:rsidRPr="008C1FFE">
        <w:rPr>
          <w:rFonts w:ascii="Tahoma" w:eastAsia="Calibri" w:hAnsi="Tahoma" w:cs="Tahoma"/>
          <w:sz w:val="24"/>
          <w:szCs w:val="24"/>
        </w:rPr>
        <w:t xml:space="preserve">pues </w:t>
      </w:r>
      <w:r w:rsidR="00BF7BEB" w:rsidRPr="008C1FFE">
        <w:rPr>
          <w:rFonts w:ascii="Tahoma" w:eastAsia="Calibri" w:hAnsi="Tahoma" w:cs="Tahoma"/>
          <w:sz w:val="24"/>
          <w:szCs w:val="24"/>
        </w:rPr>
        <w:t>en caso contrario no se hubiera trasladado</w:t>
      </w:r>
      <w:r w:rsidR="00252A93" w:rsidRPr="008C1FFE">
        <w:rPr>
          <w:rFonts w:ascii="Tahoma" w:eastAsia="Calibri" w:hAnsi="Tahoma" w:cs="Tahoma"/>
          <w:sz w:val="24"/>
          <w:szCs w:val="24"/>
        </w:rPr>
        <w:t>, indicó.</w:t>
      </w:r>
      <w:r w:rsidR="00BF7BEB" w:rsidRPr="008C1FFE">
        <w:rPr>
          <w:rFonts w:ascii="Tahoma" w:eastAsia="Calibri" w:hAnsi="Tahoma" w:cs="Tahoma"/>
          <w:sz w:val="24"/>
          <w:szCs w:val="24"/>
        </w:rPr>
        <w:t xml:space="preserve"> </w:t>
      </w:r>
      <w:r w:rsidR="00252A93" w:rsidRPr="008C1FFE">
        <w:rPr>
          <w:rFonts w:ascii="Tahoma" w:eastAsia="Calibri" w:hAnsi="Tahoma" w:cs="Tahoma"/>
          <w:sz w:val="24"/>
          <w:szCs w:val="24"/>
        </w:rPr>
        <w:t>E</w:t>
      </w:r>
      <w:r w:rsidR="00F45210" w:rsidRPr="008C1FFE">
        <w:rPr>
          <w:rFonts w:ascii="Tahoma" w:eastAsia="Calibri" w:hAnsi="Tahoma" w:cs="Tahoma"/>
          <w:sz w:val="24"/>
          <w:szCs w:val="24"/>
        </w:rPr>
        <w:t>xpuso</w:t>
      </w:r>
      <w:r w:rsidR="00BF7BEB" w:rsidRPr="008C1FFE">
        <w:rPr>
          <w:rFonts w:ascii="Tahoma" w:eastAsia="Calibri" w:hAnsi="Tahoma" w:cs="Tahoma"/>
          <w:sz w:val="24"/>
          <w:szCs w:val="24"/>
        </w:rPr>
        <w:t xml:space="preserve"> que el principal motivo para trasladarse fue la política publicitaria en televisión y prensa sobre la existencia de nuevos fondos de pensiones, </w:t>
      </w:r>
      <w:r w:rsidR="00F45210" w:rsidRPr="008C1FFE">
        <w:rPr>
          <w:rFonts w:ascii="Tahoma" w:eastAsia="Calibri" w:hAnsi="Tahoma" w:cs="Tahoma"/>
          <w:sz w:val="24"/>
          <w:szCs w:val="24"/>
        </w:rPr>
        <w:t xml:space="preserve">aunado al rumor de que el seguro social se iba a acabar. </w:t>
      </w:r>
      <w:r w:rsidR="00C1670B" w:rsidRPr="008C1FFE">
        <w:rPr>
          <w:rFonts w:ascii="Tahoma" w:eastAsia="Calibri" w:hAnsi="Tahoma" w:cs="Tahoma"/>
          <w:sz w:val="24"/>
          <w:szCs w:val="24"/>
        </w:rPr>
        <w:t>También explicó que desde el 2014 realizó solicitudes de corrección de historia laboral ante Colpensiones, y solo hasta el 2018</w:t>
      </w:r>
      <w:r w:rsidR="00252A93" w:rsidRPr="008C1FFE">
        <w:rPr>
          <w:rFonts w:ascii="Tahoma" w:eastAsia="Calibri" w:hAnsi="Tahoma" w:cs="Tahoma"/>
          <w:sz w:val="24"/>
          <w:szCs w:val="24"/>
        </w:rPr>
        <w:t>,</w:t>
      </w:r>
      <w:r w:rsidR="00C1670B" w:rsidRPr="008C1FFE">
        <w:rPr>
          <w:rFonts w:ascii="Tahoma" w:eastAsia="Calibri" w:hAnsi="Tahoma" w:cs="Tahoma"/>
          <w:sz w:val="24"/>
          <w:szCs w:val="24"/>
        </w:rPr>
        <w:t xml:space="preserve"> cuando tenía la totalidad de semanas en su haber </w:t>
      </w:r>
      <w:r w:rsidR="00252A93" w:rsidRPr="008C1FFE">
        <w:rPr>
          <w:rFonts w:ascii="Tahoma" w:eastAsia="Calibri" w:hAnsi="Tahoma" w:cs="Tahoma"/>
          <w:sz w:val="24"/>
          <w:szCs w:val="24"/>
        </w:rPr>
        <w:t>de aportes</w:t>
      </w:r>
      <w:r w:rsidR="002C6FE5" w:rsidRPr="008C1FFE">
        <w:rPr>
          <w:rFonts w:ascii="Tahoma" w:eastAsia="Calibri" w:hAnsi="Tahoma" w:cs="Tahoma"/>
          <w:sz w:val="24"/>
          <w:szCs w:val="24"/>
        </w:rPr>
        <w:t xml:space="preserve">, elevó la solicitud de traslado. </w:t>
      </w:r>
    </w:p>
    <w:p w14:paraId="54FEC1DD" w14:textId="77777777" w:rsidR="00252A93" w:rsidRPr="008C1FFE" w:rsidRDefault="00252A93" w:rsidP="008C1FFE">
      <w:pPr>
        <w:widowControl w:val="0"/>
        <w:autoSpaceDE w:val="0"/>
        <w:autoSpaceDN w:val="0"/>
        <w:adjustRightInd w:val="0"/>
        <w:spacing w:after="0" w:line="276" w:lineRule="auto"/>
        <w:ind w:firstLine="708"/>
        <w:jc w:val="both"/>
        <w:rPr>
          <w:rFonts w:ascii="Tahoma" w:eastAsia="Calibri" w:hAnsi="Tahoma" w:cs="Tahoma"/>
          <w:sz w:val="24"/>
          <w:szCs w:val="24"/>
        </w:rPr>
      </w:pPr>
    </w:p>
    <w:p w14:paraId="39550FF6" w14:textId="1D5098EA" w:rsidR="00F45210" w:rsidRPr="008C1FFE" w:rsidRDefault="00A14204" w:rsidP="008C1FFE">
      <w:pPr>
        <w:widowControl w:val="0"/>
        <w:autoSpaceDE w:val="0"/>
        <w:autoSpaceDN w:val="0"/>
        <w:adjustRightInd w:val="0"/>
        <w:spacing w:after="0" w:line="276" w:lineRule="auto"/>
        <w:ind w:firstLine="708"/>
        <w:jc w:val="both"/>
        <w:rPr>
          <w:rFonts w:ascii="Tahoma" w:eastAsia="Calibri" w:hAnsi="Tahoma" w:cs="Tahoma"/>
          <w:sz w:val="24"/>
          <w:szCs w:val="24"/>
        </w:rPr>
      </w:pPr>
      <w:r w:rsidRPr="008C1FFE">
        <w:rPr>
          <w:rFonts w:ascii="Tahoma" w:eastAsia="Calibri" w:hAnsi="Tahoma" w:cs="Tahoma"/>
          <w:sz w:val="24"/>
          <w:szCs w:val="24"/>
        </w:rPr>
        <w:t>Por lo anterior</w:t>
      </w:r>
      <w:r w:rsidR="00252A93" w:rsidRPr="008C1FFE">
        <w:rPr>
          <w:rFonts w:ascii="Tahoma" w:eastAsia="Calibri" w:hAnsi="Tahoma" w:cs="Tahoma"/>
          <w:sz w:val="24"/>
          <w:szCs w:val="24"/>
        </w:rPr>
        <w:t>,</w:t>
      </w:r>
      <w:r w:rsidRPr="008C1FFE">
        <w:rPr>
          <w:rFonts w:ascii="Tahoma" w:eastAsia="Calibri" w:hAnsi="Tahoma" w:cs="Tahoma"/>
          <w:sz w:val="24"/>
          <w:szCs w:val="24"/>
        </w:rPr>
        <w:t xml:space="preserve"> no es de recibo el argumento encaminado a que el actor constituyó su propia prueba, pues como se explicó</w:t>
      </w:r>
      <w:r w:rsidR="00252A93" w:rsidRPr="008C1FFE">
        <w:rPr>
          <w:rFonts w:ascii="Tahoma" w:eastAsia="Calibri" w:hAnsi="Tahoma" w:cs="Tahoma"/>
          <w:sz w:val="24"/>
          <w:szCs w:val="24"/>
        </w:rPr>
        <w:t xml:space="preserve"> en precedencia,</w:t>
      </w:r>
      <w:r w:rsidRPr="008C1FFE">
        <w:rPr>
          <w:rFonts w:ascii="Tahoma" w:eastAsia="Calibri" w:hAnsi="Tahoma" w:cs="Tahoma"/>
          <w:sz w:val="24"/>
          <w:szCs w:val="24"/>
        </w:rPr>
        <w:t xml:space="preserve"> no hay una sola prueba en el plenario que sustente el deber de información por parte de la AFP Protección S.A.</w:t>
      </w:r>
      <w:r w:rsidR="00252A93" w:rsidRPr="008C1FFE">
        <w:rPr>
          <w:rFonts w:ascii="Tahoma" w:eastAsia="Calibri" w:hAnsi="Tahoma" w:cs="Tahoma"/>
          <w:sz w:val="24"/>
          <w:szCs w:val="24"/>
        </w:rPr>
        <w:t xml:space="preserve"> y la decisión de primera instancia no está basada en los dichos del demandante sino en la ausencia de pruebas indicativas de que este recibió información suficiente que permitiera concluir que en su caso hubo un verdadero consentimiento informado. </w:t>
      </w:r>
    </w:p>
    <w:p w14:paraId="1B56F2DF" w14:textId="71B01958" w:rsidR="00CB3FBD" w:rsidRPr="008C1FFE" w:rsidRDefault="00CB3FBD" w:rsidP="008C1FFE">
      <w:pPr>
        <w:widowControl w:val="0"/>
        <w:autoSpaceDE w:val="0"/>
        <w:autoSpaceDN w:val="0"/>
        <w:adjustRightInd w:val="0"/>
        <w:spacing w:after="0" w:line="276" w:lineRule="auto"/>
        <w:jc w:val="both"/>
        <w:rPr>
          <w:rFonts w:ascii="Tahoma" w:eastAsia="Calibri" w:hAnsi="Tahoma" w:cs="Tahoma"/>
          <w:sz w:val="24"/>
          <w:szCs w:val="24"/>
        </w:rPr>
      </w:pPr>
    </w:p>
    <w:p w14:paraId="1366C061" w14:textId="6132477B" w:rsidR="00B41965" w:rsidRPr="008C1FFE" w:rsidRDefault="00CB3FBD" w:rsidP="008C1FFE">
      <w:pPr>
        <w:widowControl w:val="0"/>
        <w:autoSpaceDE w:val="0"/>
        <w:autoSpaceDN w:val="0"/>
        <w:adjustRightInd w:val="0"/>
        <w:spacing w:after="0" w:line="276" w:lineRule="auto"/>
        <w:jc w:val="both"/>
        <w:rPr>
          <w:rFonts w:ascii="Tahoma" w:eastAsia="Calibri" w:hAnsi="Tahoma" w:cs="Tahoma"/>
          <w:sz w:val="24"/>
          <w:szCs w:val="24"/>
        </w:rPr>
      </w:pPr>
      <w:r w:rsidRPr="008C1FFE">
        <w:rPr>
          <w:rFonts w:ascii="Tahoma" w:eastAsia="Calibri" w:hAnsi="Tahoma" w:cs="Tahoma"/>
          <w:sz w:val="24"/>
          <w:szCs w:val="24"/>
        </w:rPr>
        <w:tab/>
      </w:r>
      <w:r w:rsidR="009D73BA" w:rsidRPr="008C1FFE">
        <w:rPr>
          <w:rFonts w:ascii="Tahoma" w:eastAsia="Calibri" w:hAnsi="Tahoma" w:cs="Tahoma"/>
          <w:sz w:val="24"/>
          <w:szCs w:val="24"/>
        </w:rPr>
        <w:t xml:space="preserve">Aunado a lo anterior, buena parte de lo aseverado por el actor en interrogatorio </w:t>
      </w:r>
      <w:r w:rsidR="003A0FD4" w:rsidRPr="008C1FFE">
        <w:rPr>
          <w:rFonts w:ascii="Tahoma" w:eastAsia="Calibri" w:hAnsi="Tahoma" w:cs="Tahoma"/>
          <w:sz w:val="24"/>
          <w:szCs w:val="24"/>
        </w:rPr>
        <w:t>se</w:t>
      </w:r>
      <w:r w:rsidR="009D73BA" w:rsidRPr="008C1FFE">
        <w:rPr>
          <w:rFonts w:ascii="Tahoma" w:eastAsia="Calibri" w:hAnsi="Tahoma" w:cs="Tahoma"/>
          <w:sz w:val="24"/>
          <w:szCs w:val="24"/>
        </w:rPr>
        <w:t xml:space="preserve"> puede</w:t>
      </w:r>
      <w:r w:rsidR="003A0FD4" w:rsidRPr="008C1FFE">
        <w:rPr>
          <w:rFonts w:ascii="Tahoma" w:eastAsia="Calibri" w:hAnsi="Tahoma" w:cs="Tahoma"/>
          <w:sz w:val="24"/>
          <w:szCs w:val="24"/>
        </w:rPr>
        <w:t xml:space="preserve"> constata</w:t>
      </w:r>
      <w:r w:rsidR="009D73BA" w:rsidRPr="008C1FFE">
        <w:rPr>
          <w:rFonts w:ascii="Tahoma" w:eastAsia="Calibri" w:hAnsi="Tahoma" w:cs="Tahoma"/>
          <w:sz w:val="24"/>
          <w:szCs w:val="24"/>
        </w:rPr>
        <w:t>r</w:t>
      </w:r>
      <w:r w:rsidR="003A0FD4" w:rsidRPr="008C1FFE">
        <w:rPr>
          <w:rFonts w:ascii="Tahoma" w:eastAsia="Calibri" w:hAnsi="Tahoma" w:cs="Tahoma"/>
          <w:sz w:val="24"/>
          <w:szCs w:val="24"/>
        </w:rPr>
        <w:t xml:space="preserve"> con las solicitudes de actualización de datos y corrección de historia laboral elevadas </w:t>
      </w:r>
      <w:r w:rsidR="00ED7DAB" w:rsidRPr="008C1FFE">
        <w:rPr>
          <w:rFonts w:ascii="Tahoma" w:eastAsia="Calibri" w:hAnsi="Tahoma" w:cs="Tahoma"/>
          <w:sz w:val="24"/>
          <w:szCs w:val="24"/>
        </w:rPr>
        <w:t>el 21 de marzo de 2014</w:t>
      </w:r>
      <w:r w:rsidR="00ED7DAB" w:rsidRPr="008C1FFE">
        <w:rPr>
          <w:rFonts w:ascii="Tahoma" w:eastAsia="Calibri" w:hAnsi="Tahoma" w:cs="Tahoma"/>
          <w:sz w:val="24"/>
          <w:szCs w:val="24"/>
          <w:vertAlign w:val="superscript"/>
        </w:rPr>
        <w:footnoteReference w:id="5"/>
      </w:r>
      <w:r w:rsidR="00ED7DAB" w:rsidRPr="008C1FFE">
        <w:rPr>
          <w:rFonts w:ascii="Tahoma" w:eastAsia="Calibri" w:hAnsi="Tahoma" w:cs="Tahoma"/>
          <w:sz w:val="24"/>
          <w:szCs w:val="24"/>
        </w:rPr>
        <w:t xml:space="preserve"> y el </w:t>
      </w:r>
      <w:r w:rsidR="007F19D3" w:rsidRPr="008C1FFE">
        <w:rPr>
          <w:rFonts w:ascii="Tahoma" w:eastAsia="Calibri" w:hAnsi="Tahoma" w:cs="Tahoma"/>
          <w:sz w:val="24"/>
          <w:szCs w:val="24"/>
        </w:rPr>
        <w:t>27 de marzo de 2016</w:t>
      </w:r>
      <w:r w:rsidR="007F19D3" w:rsidRPr="008C1FFE">
        <w:rPr>
          <w:rStyle w:val="Refdenotaalpie"/>
          <w:rFonts w:ascii="Tahoma" w:eastAsia="Calibri" w:hAnsi="Tahoma" w:cs="Tahoma"/>
          <w:sz w:val="24"/>
          <w:szCs w:val="24"/>
        </w:rPr>
        <w:footnoteReference w:id="6"/>
      </w:r>
      <w:r w:rsidR="002C6FE5" w:rsidRPr="008C1FFE">
        <w:rPr>
          <w:rFonts w:ascii="Tahoma" w:eastAsia="Calibri" w:hAnsi="Tahoma" w:cs="Tahoma"/>
          <w:sz w:val="24"/>
          <w:szCs w:val="24"/>
        </w:rPr>
        <w:t>,</w:t>
      </w:r>
      <w:r w:rsidR="009D73BA" w:rsidRPr="008C1FFE">
        <w:rPr>
          <w:rFonts w:ascii="Tahoma" w:eastAsia="Calibri" w:hAnsi="Tahoma" w:cs="Tahoma"/>
          <w:sz w:val="24"/>
          <w:szCs w:val="24"/>
        </w:rPr>
        <w:t xml:space="preserve"> respectivamente,</w:t>
      </w:r>
      <w:r w:rsidR="002C6FE5" w:rsidRPr="008C1FFE">
        <w:rPr>
          <w:rFonts w:ascii="Tahoma" w:eastAsia="Calibri" w:hAnsi="Tahoma" w:cs="Tahoma"/>
          <w:sz w:val="24"/>
          <w:szCs w:val="24"/>
        </w:rPr>
        <w:t xml:space="preserve"> además de </w:t>
      </w:r>
      <w:r w:rsidR="00B41965" w:rsidRPr="008C1FFE">
        <w:rPr>
          <w:rFonts w:ascii="Tahoma" w:eastAsia="Calibri" w:hAnsi="Tahoma" w:cs="Tahoma"/>
          <w:sz w:val="24"/>
          <w:szCs w:val="24"/>
        </w:rPr>
        <w:t>las solicitudes</w:t>
      </w:r>
      <w:r w:rsidR="002C6FE5" w:rsidRPr="008C1FFE">
        <w:rPr>
          <w:rFonts w:ascii="Tahoma" w:eastAsia="Calibri" w:hAnsi="Tahoma" w:cs="Tahoma"/>
          <w:sz w:val="24"/>
          <w:szCs w:val="24"/>
        </w:rPr>
        <w:t xml:space="preserve"> de traslado ante Protección S.A y Colpensiones</w:t>
      </w:r>
      <w:r w:rsidR="00B41965" w:rsidRPr="008C1FFE">
        <w:rPr>
          <w:rFonts w:ascii="Tahoma" w:eastAsia="Calibri" w:hAnsi="Tahoma" w:cs="Tahoma"/>
          <w:sz w:val="24"/>
          <w:szCs w:val="24"/>
        </w:rPr>
        <w:t xml:space="preserve">, acciones </w:t>
      </w:r>
      <w:r w:rsidR="00B41965" w:rsidRPr="008C1FFE">
        <w:rPr>
          <w:rFonts w:ascii="Tahoma" w:eastAsia="Calibri" w:hAnsi="Tahoma" w:cs="Tahoma"/>
          <w:sz w:val="24"/>
          <w:szCs w:val="24"/>
        </w:rPr>
        <w:lastRenderedPageBreak/>
        <w:t>que dan cuenta de la intención del actor de pertenecer al RP</w:t>
      </w:r>
      <w:r w:rsidR="00A02D67" w:rsidRPr="008C1FFE">
        <w:rPr>
          <w:rFonts w:ascii="Tahoma" w:eastAsia="Calibri" w:hAnsi="Tahoma" w:cs="Tahoma"/>
          <w:sz w:val="24"/>
          <w:szCs w:val="24"/>
        </w:rPr>
        <w:t>M.</w:t>
      </w:r>
    </w:p>
    <w:p w14:paraId="41933F12" w14:textId="77777777" w:rsidR="003A0FD4" w:rsidRPr="008C1FFE" w:rsidRDefault="003A0FD4" w:rsidP="008C1FFE">
      <w:pPr>
        <w:widowControl w:val="0"/>
        <w:autoSpaceDE w:val="0"/>
        <w:autoSpaceDN w:val="0"/>
        <w:adjustRightInd w:val="0"/>
        <w:spacing w:after="0" w:line="276" w:lineRule="auto"/>
        <w:jc w:val="both"/>
        <w:rPr>
          <w:rFonts w:ascii="Tahoma" w:eastAsia="Calibri" w:hAnsi="Tahoma" w:cs="Tahoma"/>
          <w:sz w:val="24"/>
          <w:szCs w:val="24"/>
        </w:rPr>
      </w:pPr>
    </w:p>
    <w:p w14:paraId="6A287AE1" w14:textId="604F3B1C" w:rsidR="0067298C" w:rsidRPr="008C1FFE" w:rsidRDefault="00AD6844" w:rsidP="008C1FFE">
      <w:pPr>
        <w:widowControl w:val="0"/>
        <w:autoSpaceDE w:val="0"/>
        <w:autoSpaceDN w:val="0"/>
        <w:adjustRightInd w:val="0"/>
        <w:spacing w:after="0" w:line="276" w:lineRule="auto"/>
        <w:ind w:firstLine="708"/>
        <w:jc w:val="both"/>
        <w:rPr>
          <w:rFonts w:ascii="Tahoma" w:eastAsia="Calibri" w:hAnsi="Tahoma" w:cs="Tahoma"/>
          <w:sz w:val="24"/>
          <w:szCs w:val="24"/>
        </w:rPr>
      </w:pPr>
      <w:r w:rsidRPr="008C1FFE">
        <w:rPr>
          <w:rFonts w:ascii="Tahoma" w:eastAsia="Calibri" w:hAnsi="Tahoma" w:cs="Tahoma"/>
          <w:sz w:val="24"/>
          <w:szCs w:val="24"/>
        </w:rPr>
        <w:t xml:space="preserve">Del mismo modo, </w:t>
      </w:r>
      <w:r w:rsidR="003A0FD4" w:rsidRPr="008C1FFE">
        <w:rPr>
          <w:rFonts w:ascii="Tahoma" w:eastAsia="Calibri" w:hAnsi="Tahoma" w:cs="Tahoma"/>
          <w:sz w:val="24"/>
          <w:szCs w:val="24"/>
        </w:rPr>
        <w:t xml:space="preserve">cabe resaltar </w:t>
      </w:r>
      <w:r w:rsidRPr="008C1FFE">
        <w:rPr>
          <w:rFonts w:ascii="Tahoma" w:eastAsia="Calibri" w:hAnsi="Tahoma" w:cs="Tahoma"/>
          <w:sz w:val="24"/>
          <w:szCs w:val="24"/>
        </w:rPr>
        <w:t xml:space="preserve">que Protección S.A </w:t>
      </w:r>
      <w:r w:rsidR="007C31D8" w:rsidRPr="008C1FFE">
        <w:rPr>
          <w:rFonts w:ascii="Tahoma" w:eastAsia="Calibri" w:hAnsi="Tahoma" w:cs="Tahoma"/>
          <w:sz w:val="24"/>
          <w:szCs w:val="24"/>
        </w:rPr>
        <w:t>el 22 de agosto de 2018</w:t>
      </w:r>
      <w:r w:rsidR="007C31D8" w:rsidRPr="008C1FFE">
        <w:rPr>
          <w:rStyle w:val="Refdenotaalpie"/>
          <w:rFonts w:ascii="Tahoma" w:eastAsia="Calibri" w:hAnsi="Tahoma" w:cs="Tahoma"/>
          <w:sz w:val="24"/>
          <w:szCs w:val="24"/>
        </w:rPr>
        <w:footnoteReference w:id="7"/>
      </w:r>
      <w:r w:rsidR="007C31D8" w:rsidRPr="008C1FFE">
        <w:rPr>
          <w:rFonts w:ascii="Tahoma" w:eastAsia="Calibri" w:hAnsi="Tahoma" w:cs="Tahoma"/>
          <w:sz w:val="24"/>
          <w:szCs w:val="24"/>
        </w:rPr>
        <w:t xml:space="preserve"> </w:t>
      </w:r>
      <w:r w:rsidRPr="008C1FFE">
        <w:rPr>
          <w:rFonts w:ascii="Tahoma" w:eastAsia="Calibri" w:hAnsi="Tahoma" w:cs="Tahoma"/>
          <w:sz w:val="24"/>
          <w:szCs w:val="24"/>
        </w:rPr>
        <w:t>no se opuso a la solicitud de traslado</w:t>
      </w:r>
      <w:r w:rsidR="004E4A1B" w:rsidRPr="008C1FFE">
        <w:rPr>
          <w:rStyle w:val="Refdenotaalpie"/>
          <w:rFonts w:ascii="Tahoma" w:eastAsia="Calibri" w:hAnsi="Tahoma" w:cs="Tahoma"/>
          <w:sz w:val="24"/>
          <w:szCs w:val="24"/>
        </w:rPr>
        <w:footnoteReference w:id="8"/>
      </w:r>
      <w:r w:rsidRPr="008C1FFE">
        <w:rPr>
          <w:rFonts w:ascii="Tahoma" w:eastAsia="Calibri" w:hAnsi="Tahoma" w:cs="Tahoma"/>
          <w:sz w:val="24"/>
          <w:szCs w:val="24"/>
        </w:rPr>
        <w:t xml:space="preserve"> </w:t>
      </w:r>
      <w:r w:rsidR="00772356" w:rsidRPr="008C1FFE">
        <w:rPr>
          <w:rFonts w:ascii="Tahoma" w:eastAsia="Calibri" w:hAnsi="Tahoma" w:cs="Tahoma"/>
          <w:sz w:val="24"/>
          <w:szCs w:val="24"/>
        </w:rPr>
        <w:t>argumentando que si bien en principio</w:t>
      </w:r>
      <w:r w:rsidR="00A61B91" w:rsidRPr="008C1FFE">
        <w:rPr>
          <w:rFonts w:ascii="Tahoma" w:eastAsia="Calibri" w:hAnsi="Tahoma" w:cs="Tahoma"/>
          <w:sz w:val="24"/>
          <w:szCs w:val="24"/>
        </w:rPr>
        <w:t xml:space="preserve"> el actor </w:t>
      </w:r>
      <w:r w:rsidR="006E46A4" w:rsidRPr="008C1FFE">
        <w:rPr>
          <w:rFonts w:ascii="Tahoma" w:eastAsia="Calibri" w:hAnsi="Tahoma" w:cs="Tahoma"/>
          <w:sz w:val="24"/>
          <w:szCs w:val="24"/>
        </w:rPr>
        <w:t xml:space="preserve"> no podía trasladarse</w:t>
      </w:r>
      <w:r w:rsidR="00772356" w:rsidRPr="008C1FFE">
        <w:rPr>
          <w:rFonts w:ascii="Tahoma" w:eastAsia="Calibri" w:hAnsi="Tahoma" w:cs="Tahoma"/>
          <w:sz w:val="24"/>
          <w:szCs w:val="24"/>
        </w:rPr>
        <w:t xml:space="preserve"> </w:t>
      </w:r>
      <w:r w:rsidR="007C31D8" w:rsidRPr="008C1FFE">
        <w:rPr>
          <w:rFonts w:ascii="Tahoma" w:eastAsia="Calibri" w:hAnsi="Tahoma" w:cs="Tahoma"/>
          <w:sz w:val="24"/>
          <w:szCs w:val="24"/>
        </w:rPr>
        <w:t xml:space="preserve">porque </w:t>
      </w:r>
      <w:r w:rsidR="006E46A4" w:rsidRPr="008C1FFE">
        <w:rPr>
          <w:rFonts w:ascii="Tahoma" w:eastAsia="Calibri" w:hAnsi="Tahoma" w:cs="Tahoma"/>
          <w:sz w:val="24"/>
          <w:szCs w:val="24"/>
        </w:rPr>
        <w:t>estaba a menos de 10 años para cumplir la edad para tener derecho a la pensión de vejez</w:t>
      </w:r>
      <w:r w:rsidR="001A6F00" w:rsidRPr="008C1FFE">
        <w:rPr>
          <w:rFonts w:ascii="Tahoma" w:eastAsia="Calibri" w:hAnsi="Tahoma" w:cs="Tahoma"/>
          <w:sz w:val="24"/>
          <w:szCs w:val="24"/>
        </w:rPr>
        <w:t xml:space="preserve">, en atención a las sentencias C-789 de 2002, C-1024 de 2002 y SU 062 de 2010, </w:t>
      </w:r>
      <w:r w:rsidR="009D73BA" w:rsidRPr="008C1FFE">
        <w:rPr>
          <w:rFonts w:ascii="Tahoma" w:eastAsia="Calibri" w:hAnsi="Tahoma" w:cs="Tahoma"/>
          <w:sz w:val="24"/>
          <w:szCs w:val="24"/>
        </w:rPr>
        <w:t xml:space="preserve">en su caso </w:t>
      </w:r>
      <w:r w:rsidR="00A61B91" w:rsidRPr="008C1FFE">
        <w:rPr>
          <w:rFonts w:ascii="Tahoma" w:eastAsia="Calibri" w:hAnsi="Tahoma" w:cs="Tahoma"/>
          <w:sz w:val="24"/>
          <w:szCs w:val="24"/>
        </w:rPr>
        <w:t xml:space="preserve">era admisible el traslado </w:t>
      </w:r>
      <w:r w:rsidR="001A6F00" w:rsidRPr="008C1FFE">
        <w:rPr>
          <w:rFonts w:ascii="Tahoma" w:eastAsia="Calibri" w:hAnsi="Tahoma" w:cs="Tahoma"/>
          <w:sz w:val="24"/>
          <w:szCs w:val="24"/>
        </w:rPr>
        <w:t>e</w:t>
      </w:r>
      <w:r w:rsidR="00A61B91" w:rsidRPr="008C1FFE">
        <w:rPr>
          <w:rFonts w:ascii="Tahoma" w:eastAsia="Calibri" w:hAnsi="Tahoma" w:cs="Tahoma"/>
          <w:sz w:val="24"/>
          <w:szCs w:val="24"/>
        </w:rPr>
        <w:t>n</w:t>
      </w:r>
      <w:r w:rsidR="001A6F00" w:rsidRPr="008C1FFE">
        <w:rPr>
          <w:rFonts w:ascii="Tahoma" w:eastAsia="Calibri" w:hAnsi="Tahoma" w:cs="Tahoma"/>
          <w:sz w:val="24"/>
          <w:szCs w:val="24"/>
        </w:rPr>
        <w:t xml:space="preserve"> cualquier momento </w:t>
      </w:r>
      <w:r w:rsidR="002D75D4" w:rsidRPr="008C1FFE">
        <w:rPr>
          <w:rFonts w:ascii="Tahoma" w:eastAsia="Calibri" w:hAnsi="Tahoma" w:cs="Tahoma"/>
          <w:sz w:val="24"/>
          <w:szCs w:val="24"/>
        </w:rPr>
        <w:t>porque a la entrada en vigencia de la ley 100 de 1993, contaba con 1.007, 86 semanas cotizadas</w:t>
      </w:r>
      <w:r w:rsidR="0067298C" w:rsidRPr="008C1FFE">
        <w:rPr>
          <w:rFonts w:ascii="Tahoma" w:eastAsia="Calibri" w:hAnsi="Tahoma" w:cs="Tahoma"/>
          <w:sz w:val="24"/>
          <w:szCs w:val="24"/>
        </w:rPr>
        <w:t xml:space="preserve">, por lo que le </w:t>
      </w:r>
      <w:r w:rsidR="00A61B91" w:rsidRPr="008C1FFE">
        <w:rPr>
          <w:rFonts w:ascii="Tahoma" w:eastAsia="Calibri" w:hAnsi="Tahoma" w:cs="Tahoma"/>
          <w:sz w:val="24"/>
          <w:szCs w:val="24"/>
        </w:rPr>
        <w:t>dio instrucciones al señor Jairo de Jesús para</w:t>
      </w:r>
      <w:r w:rsidR="0067298C" w:rsidRPr="008C1FFE">
        <w:rPr>
          <w:rFonts w:ascii="Tahoma" w:eastAsia="Calibri" w:hAnsi="Tahoma" w:cs="Tahoma"/>
          <w:sz w:val="24"/>
          <w:szCs w:val="24"/>
        </w:rPr>
        <w:t xml:space="preserve"> que radicara la solicitud de traslado ante Colpensiones, acogiéndose a la sentencia SU 062 de 2010</w:t>
      </w:r>
      <w:r w:rsidR="008B2399" w:rsidRPr="008C1FFE">
        <w:rPr>
          <w:rFonts w:ascii="Tahoma" w:eastAsia="Calibri" w:hAnsi="Tahoma" w:cs="Tahoma"/>
          <w:sz w:val="24"/>
          <w:szCs w:val="24"/>
        </w:rPr>
        <w:t>, información que reiteró en respuesta del 30 de septiembre de 2019</w:t>
      </w:r>
      <w:r w:rsidR="00395E5E" w:rsidRPr="008C1FFE">
        <w:rPr>
          <w:rFonts w:ascii="Tahoma" w:eastAsia="Calibri" w:hAnsi="Tahoma" w:cs="Tahoma"/>
          <w:sz w:val="24"/>
          <w:szCs w:val="24"/>
        </w:rPr>
        <w:t>.</w:t>
      </w:r>
      <w:r w:rsidR="008B2399" w:rsidRPr="008C1FFE">
        <w:rPr>
          <w:rStyle w:val="Refdenotaalpie"/>
          <w:rFonts w:ascii="Tahoma" w:eastAsia="Calibri" w:hAnsi="Tahoma" w:cs="Tahoma"/>
          <w:sz w:val="24"/>
          <w:szCs w:val="24"/>
        </w:rPr>
        <w:footnoteReference w:id="9"/>
      </w:r>
      <w:r w:rsidR="00D57C95" w:rsidRPr="008C1FFE">
        <w:rPr>
          <w:rFonts w:ascii="Tahoma" w:eastAsia="Calibri" w:hAnsi="Tahoma" w:cs="Tahoma"/>
          <w:sz w:val="24"/>
          <w:szCs w:val="24"/>
        </w:rPr>
        <w:t xml:space="preserve"> </w:t>
      </w:r>
      <w:r w:rsidR="0067298C" w:rsidRPr="008C1FFE">
        <w:rPr>
          <w:rFonts w:ascii="Tahoma" w:eastAsia="Calibri" w:hAnsi="Tahoma" w:cs="Tahoma"/>
          <w:sz w:val="24"/>
          <w:szCs w:val="24"/>
        </w:rPr>
        <w:t xml:space="preserve">En ese orden, el actor </w:t>
      </w:r>
      <w:r w:rsidR="0014330F" w:rsidRPr="008C1FFE">
        <w:rPr>
          <w:rFonts w:ascii="Tahoma" w:eastAsia="Calibri" w:hAnsi="Tahoma" w:cs="Tahoma"/>
          <w:sz w:val="24"/>
          <w:szCs w:val="24"/>
        </w:rPr>
        <w:t>procedió</w:t>
      </w:r>
      <w:r w:rsidR="0067298C" w:rsidRPr="008C1FFE">
        <w:rPr>
          <w:rFonts w:ascii="Tahoma" w:eastAsia="Calibri" w:hAnsi="Tahoma" w:cs="Tahoma"/>
          <w:sz w:val="24"/>
          <w:szCs w:val="24"/>
        </w:rPr>
        <w:t xml:space="preserve"> conforme le indicó el fondo pensional </w:t>
      </w:r>
      <w:r w:rsidR="001D5341" w:rsidRPr="008C1FFE">
        <w:rPr>
          <w:rFonts w:ascii="Tahoma" w:eastAsia="Calibri" w:hAnsi="Tahoma" w:cs="Tahoma"/>
          <w:sz w:val="24"/>
          <w:szCs w:val="24"/>
        </w:rPr>
        <w:t xml:space="preserve">y </w:t>
      </w:r>
      <w:r w:rsidR="009954B2" w:rsidRPr="008C1FFE">
        <w:rPr>
          <w:rFonts w:ascii="Tahoma" w:eastAsia="Calibri" w:hAnsi="Tahoma" w:cs="Tahoma"/>
          <w:sz w:val="24"/>
          <w:szCs w:val="24"/>
        </w:rPr>
        <w:t>radic</w:t>
      </w:r>
      <w:r w:rsidR="001D5341" w:rsidRPr="008C1FFE">
        <w:rPr>
          <w:rFonts w:ascii="Tahoma" w:eastAsia="Calibri" w:hAnsi="Tahoma" w:cs="Tahoma"/>
          <w:sz w:val="24"/>
          <w:szCs w:val="24"/>
        </w:rPr>
        <w:t xml:space="preserve">ó </w:t>
      </w:r>
      <w:r w:rsidR="009954B2" w:rsidRPr="008C1FFE">
        <w:rPr>
          <w:rFonts w:ascii="Tahoma" w:eastAsia="Calibri" w:hAnsi="Tahoma" w:cs="Tahoma"/>
          <w:sz w:val="24"/>
          <w:szCs w:val="24"/>
        </w:rPr>
        <w:t>en dos oportunidades</w:t>
      </w:r>
      <w:r w:rsidR="006A2FE4" w:rsidRPr="008C1FFE">
        <w:rPr>
          <w:rFonts w:ascii="Tahoma" w:eastAsia="Calibri" w:hAnsi="Tahoma" w:cs="Tahoma"/>
          <w:sz w:val="24"/>
          <w:szCs w:val="24"/>
        </w:rPr>
        <w:t xml:space="preserve"> (27 de junio de 2018, 17 de septiembre de la misma anualidad</w:t>
      </w:r>
      <w:r w:rsidR="006A2FE4" w:rsidRPr="008C1FFE">
        <w:rPr>
          <w:rFonts w:ascii="Tahoma" w:eastAsia="Calibri" w:hAnsi="Tahoma" w:cs="Tahoma"/>
          <w:sz w:val="24"/>
          <w:szCs w:val="24"/>
          <w:vertAlign w:val="superscript"/>
        </w:rPr>
        <w:footnoteReference w:id="10"/>
      </w:r>
      <w:r w:rsidR="006A2FE4" w:rsidRPr="008C1FFE">
        <w:rPr>
          <w:rFonts w:ascii="Tahoma" w:eastAsia="Calibri" w:hAnsi="Tahoma" w:cs="Tahoma"/>
          <w:sz w:val="24"/>
          <w:szCs w:val="24"/>
        </w:rPr>
        <w:t>)</w:t>
      </w:r>
      <w:r w:rsidR="009954B2" w:rsidRPr="008C1FFE">
        <w:rPr>
          <w:rFonts w:ascii="Tahoma" w:eastAsia="Calibri" w:hAnsi="Tahoma" w:cs="Tahoma"/>
          <w:sz w:val="24"/>
          <w:szCs w:val="24"/>
        </w:rPr>
        <w:t xml:space="preserve"> </w:t>
      </w:r>
      <w:r w:rsidR="001D5341" w:rsidRPr="008C1FFE">
        <w:rPr>
          <w:rFonts w:ascii="Tahoma" w:eastAsia="Calibri" w:hAnsi="Tahoma" w:cs="Tahoma"/>
          <w:sz w:val="24"/>
          <w:szCs w:val="24"/>
        </w:rPr>
        <w:t>l</w:t>
      </w:r>
      <w:r w:rsidR="009954B2" w:rsidRPr="008C1FFE">
        <w:rPr>
          <w:rFonts w:ascii="Tahoma" w:eastAsia="Calibri" w:hAnsi="Tahoma" w:cs="Tahoma"/>
          <w:sz w:val="24"/>
          <w:szCs w:val="24"/>
        </w:rPr>
        <w:t>a solicitud</w:t>
      </w:r>
      <w:r w:rsidR="001D5341" w:rsidRPr="008C1FFE">
        <w:rPr>
          <w:rFonts w:ascii="Tahoma" w:eastAsia="Calibri" w:hAnsi="Tahoma" w:cs="Tahoma"/>
          <w:sz w:val="24"/>
          <w:szCs w:val="24"/>
        </w:rPr>
        <w:t xml:space="preserve"> de traslado</w:t>
      </w:r>
      <w:r w:rsidR="00D57C95" w:rsidRPr="008C1FFE">
        <w:rPr>
          <w:rFonts w:ascii="Tahoma" w:eastAsia="Calibri" w:hAnsi="Tahoma" w:cs="Tahoma"/>
          <w:sz w:val="24"/>
          <w:szCs w:val="24"/>
        </w:rPr>
        <w:t>;</w:t>
      </w:r>
      <w:r w:rsidR="006A2FE4" w:rsidRPr="008C1FFE">
        <w:rPr>
          <w:rFonts w:ascii="Tahoma" w:eastAsia="Calibri" w:hAnsi="Tahoma" w:cs="Tahoma"/>
          <w:sz w:val="24"/>
          <w:szCs w:val="24"/>
        </w:rPr>
        <w:t xml:space="preserve"> no </w:t>
      </w:r>
      <w:r w:rsidR="005271DE" w:rsidRPr="008C1FFE">
        <w:rPr>
          <w:rFonts w:ascii="Tahoma" w:eastAsia="Calibri" w:hAnsi="Tahoma" w:cs="Tahoma"/>
          <w:sz w:val="24"/>
          <w:szCs w:val="24"/>
        </w:rPr>
        <w:t>obstante,</w:t>
      </w:r>
      <w:r w:rsidR="006A2FE4" w:rsidRPr="008C1FFE">
        <w:rPr>
          <w:rFonts w:ascii="Tahoma" w:eastAsia="Calibri" w:hAnsi="Tahoma" w:cs="Tahoma"/>
          <w:sz w:val="24"/>
          <w:szCs w:val="24"/>
        </w:rPr>
        <w:t xml:space="preserve"> en las mismas calendas Colpensiones </w:t>
      </w:r>
      <w:r w:rsidR="003863EB" w:rsidRPr="008C1FFE">
        <w:rPr>
          <w:rFonts w:ascii="Tahoma" w:eastAsia="Calibri" w:hAnsi="Tahoma" w:cs="Tahoma"/>
          <w:sz w:val="24"/>
          <w:szCs w:val="24"/>
        </w:rPr>
        <w:t>le indicó que no era procedente anular la afiliación por cuanto el traslado fue realizado ejerciendo su derecho a la libre elección de régimen, de conformidad con la Ley 100 de 1993, artículo 13 literal B</w:t>
      </w:r>
      <w:r w:rsidR="00DD6FB7" w:rsidRPr="008C1FFE">
        <w:rPr>
          <w:rStyle w:val="Refdenotaalpie"/>
          <w:rFonts w:ascii="Tahoma" w:eastAsia="Calibri" w:hAnsi="Tahoma" w:cs="Tahoma"/>
          <w:sz w:val="24"/>
          <w:szCs w:val="24"/>
        </w:rPr>
        <w:footnoteReference w:id="11"/>
      </w:r>
      <w:r w:rsidR="00D57C95" w:rsidRPr="008C1FFE">
        <w:rPr>
          <w:rFonts w:ascii="Tahoma" w:eastAsia="Calibri" w:hAnsi="Tahoma" w:cs="Tahoma"/>
          <w:sz w:val="24"/>
          <w:szCs w:val="24"/>
        </w:rPr>
        <w:t xml:space="preserve">, lo que pone de relieve que la administrador del RPM no estudió la solicitud a la luz de las sentencias constitucionales que disponen que las personas beneficiarias del régimen de transición por tiempo de servicios pueden retornar válidamente en cualquier tiempo al RPM sin perder el beneficio de transición estatuido en el artículo 36 de la Ley 100 de 1993. </w:t>
      </w:r>
    </w:p>
    <w:p w14:paraId="563E09E7" w14:textId="250ED928" w:rsidR="005271DE" w:rsidRPr="008C1FFE" w:rsidRDefault="005271DE" w:rsidP="008C1FFE">
      <w:pPr>
        <w:widowControl w:val="0"/>
        <w:autoSpaceDE w:val="0"/>
        <w:autoSpaceDN w:val="0"/>
        <w:adjustRightInd w:val="0"/>
        <w:spacing w:after="0" w:line="276" w:lineRule="auto"/>
        <w:ind w:firstLine="708"/>
        <w:jc w:val="both"/>
        <w:rPr>
          <w:rFonts w:ascii="Tahoma" w:eastAsia="Calibri" w:hAnsi="Tahoma" w:cs="Tahoma"/>
          <w:sz w:val="24"/>
          <w:szCs w:val="24"/>
        </w:rPr>
      </w:pPr>
    </w:p>
    <w:p w14:paraId="45AD9F22" w14:textId="1A634CE9" w:rsidR="005271DE" w:rsidRPr="008C1FFE" w:rsidRDefault="005271DE" w:rsidP="008C1FFE">
      <w:pPr>
        <w:widowControl w:val="0"/>
        <w:autoSpaceDE w:val="0"/>
        <w:autoSpaceDN w:val="0"/>
        <w:adjustRightInd w:val="0"/>
        <w:spacing w:after="0" w:line="276" w:lineRule="auto"/>
        <w:ind w:firstLine="708"/>
        <w:jc w:val="both"/>
        <w:rPr>
          <w:rFonts w:ascii="Tahoma" w:eastAsia="Calibri" w:hAnsi="Tahoma" w:cs="Tahoma"/>
          <w:sz w:val="24"/>
          <w:szCs w:val="24"/>
          <w:lang w:val="es-ES"/>
        </w:rPr>
      </w:pPr>
      <w:r w:rsidRPr="008C1FFE">
        <w:rPr>
          <w:rFonts w:ascii="Tahoma" w:eastAsia="Calibri" w:hAnsi="Tahoma" w:cs="Tahoma"/>
          <w:sz w:val="24"/>
          <w:szCs w:val="24"/>
        </w:rPr>
        <w:t xml:space="preserve">Ahora, no debe perderse de vista </w:t>
      </w:r>
      <w:r w:rsidR="00927353" w:rsidRPr="008C1FFE">
        <w:rPr>
          <w:rFonts w:ascii="Tahoma" w:eastAsia="Calibri" w:hAnsi="Tahoma" w:cs="Tahoma"/>
          <w:sz w:val="24"/>
          <w:szCs w:val="24"/>
        </w:rPr>
        <w:t>que</w:t>
      </w:r>
      <w:r w:rsidR="00FF3A48" w:rsidRPr="008C1FFE">
        <w:rPr>
          <w:rFonts w:ascii="Tahoma" w:eastAsia="Calibri" w:hAnsi="Tahoma" w:cs="Tahoma"/>
          <w:sz w:val="24"/>
          <w:szCs w:val="24"/>
        </w:rPr>
        <w:t xml:space="preserve"> si bien Colpensiones erró al impedir el traslado del actor</w:t>
      </w:r>
      <w:r w:rsidR="00884244" w:rsidRPr="008C1FFE">
        <w:rPr>
          <w:rFonts w:ascii="Tahoma" w:eastAsia="Calibri" w:hAnsi="Tahoma" w:cs="Tahoma"/>
          <w:sz w:val="24"/>
          <w:szCs w:val="24"/>
        </w:rPr>
        <w:t xml:space="preserve">, en tanto </w:t>
      </w:r>
      <w:r w:rsidR="003516BF" w:rsidRPr="008C1FFE">
        <w:rPr>
          <w:rFonts w:ascii="Tahoma" w:eastAsia="Calibri" w:hAnsi="Tahoma" w:cs="Tahoma"/>
          <w:sz w:val="24"/>
          <w:szCs w:val="24"/>
        </w:rPr>
        <w:t xml:space="preserve">en su momento la solicitud de traslado se basó </w:t>
      </w:r>
      <w:r w:rsidR="00F8102F" w:rsidRPr="008C1FFE">
        <w:rPr>
          <w:rFonts w:ascii="Tahoma" w:eastAsia="Calibri" w:hAnsi="Tahoma" w:cs="Tahoma"/>
          <w:sz w:val="24"/>
          <w:szCs w:val="24"/>
        </w:rPr>
        <w:t>en la aplicabilidad de los presupuestos de la sentencia SU- 062 de 2010</w:t>
      </w:r>
      <w:r w:rsidR="00927353" w:rsidRPr="008C1FFE">
        <w:rPr>
          <w:rFonts w:ascii="Tahoma" w:eastAsia="Calibri" w:hAnsi="Tahoma" w:cs="Tahoma"/>
          <w:sz w:val="24"/>
          <w:szCs w:val="24"/>
        </w:rPr>
        <w:t>, lo cierto</w:t>
      </w:r>
      <w:r w:rsidR="00F94F08" w:rsidRPr="008C1FFE">
        <w:rPr>
          <w:rFonts w:ascii="Tahoma" w:eastAsia="Calibri" w:hAnsi="Tahoma" w:cs="Tahoma"/>
          <w:sz w:val="24"/>
          <w:szCs w:val="24"/>
        </w:rPr>
        <w:t>, es que</w:t>
      </w:r>
      <w:r w:rsidR="009753D8" w:rsidRPr="008C1FFE">
        <w:rPr>
          <w:rFonts w:ascii="Tahoma" w:eastAsia="Calibri" w:hAnsi="Tahoma" w:cs="Tahoma"/>
          <w:sz w:val="24"/>
          <w:szCs w:val="24"/>
        </w:rPr>
        <w:t xml:space="preserve"> </w:t>
      </w:r>
      <w:r w:rsidR="00F94F08" w:rsidRPr="008C1FFE">
        <w:rPr>
          <w:rFonts w:ascii="Tahoma" w:eastAsia="Calibri" w:hAnsi="Tahoma" w:cs="Tahoma"/>
          <w:sz w:val="24"/>
          <w:szCs w:val="24"/>
        </w:rPr>
        <w:t>este litigio gira en torno a la ineficacia del traslado al RAIS</w:t>
      </w:r>
      <w:r w:rsidR="003D49EC" w:rsidRPr="008C1FFE">
        <w:rPr>
          <w:rFonts w:ascii="Tahoma" w:eastAsia="Calibri" w:hAnsi="Tahoma" w:cs="Tahoma"/>
          <w:sz w:val="24"/>
          <w:szCs w:val="24"/>
        </w:rPr>
        <w:t xml:space="preserve">, actos disímiles en tanto la </w:t>
      </w:r>
      <w:r w:rsidR="003D49EC" w:rsidRPr="008C1FFE">
        <w:rPr>
          <w:rFonts w:ascii="Tahoma" w:eastAsia="Calibri" w:hAnsi="Tahoma" w:cs="Tahoma"/>
          <w:sz w:val="24"/>
          <w:szCs w:val="24"/>
          <w:lang w:val="es-ES"/>
        </w:rPr>
        <w:t>ineficacia presupone que el acto de traslado no surgió a la vida jurídica, mientras que la recuperación y retorno al RPMPD, parten de la premisa que el traslado entre regímenes operó válidamente y produjo efectos</w:t>
      </w:r>
      <w:r w:rsidR="00256CAB" w:rsidRPr="008C1FFE">
        <w:rPr>
          <w:rFonts w:ascii="Tahoma" w:eastAsia="Calibri" w:hAnsi="Tahoma" w:cs="Tahoma"/>
          <w:sz w:val="24"/>
          <w:szCs w:val="24"/>
          <w:lang w:val="es-ES"/>
        </w:rPr>
        <w:t>. En virtud de lo expuesto</w:t>
      </w:r>
      <w:r w:rsidR="00D57C95" w:rsidRPr="008C1FFE">
        <w:rPr>
          <w:rFonts w:ascii="Tahoma" w:eastAsia="Calibri" w:hAnsi="Tahoma" w:cs="Tahoma"/>
          <w:sz w:val="24"/>
          <w:szCs w:val="24"/>
          <w:lang w:val="es-ES"/>
        </w:rPr>
        <w:t>,</w:t>
      </w:r>
      <w:r w:rsidR="00256CAB" w:rsidRPr="008C1FFE">
        <w:rPr>
          <w:rFonts w:ascii="Tahoma" w:eastAsia="Calibri" w:hAnsi="Tahoma" w:cs="Tahoma"/>
          <w:sz w:val="24"/>
          <w:szCs w:val="24"/>
          <w:lang w:val="es-ES"/>
        </w:rPr>
        <w:t xml:space="preserve"> se confirmará la declaratoria de ineficacia del traslado emitida por </w:t>
      </w:r>
      <w:r w:rsidR="0051075F" w:rsidRPr="008C1FFE">
        <w:rPr>
          <w:rFonts w:ascii="Tahoma" w:eastAsia="Calibri" w:hAnsi="Tahoma" w:cs="Tahoma"/>
          <w:sz w:val="24"/>
          <w:szCs w:val="24"/>
          <w:lang w:val="es-ES"/>
        </w:rPr>
        <w:t>jueza de primera instancia.</w:t>
      </w:r>
    </w:p>
    <w:p w14:paraId="42E55060" w14:textId="724953E8" w:rsidR="00256CAB" w:rsidRPr="008C1FFE" w:rsidRDefault="00256CAB" w:rsidP="008C1FFE">
      <w:pPr>
        <w:widowControl w:val="0"/>
        <w:autoSpaceDE w:val="0"/>
        <w:autoSpaceDN w:val="0"/>
        <w:adjustRightInd w:val="0"/>
        <w:spacing w:after="0" w:line="276" w:lineRule="auto"/>
        <w:ind w:firstLine="708"/>
        <w:jc w:val="both"/>
        <w:rPr>
          <w:rFonts w:ascii="Tahoma" w:eastAsia="Calibri" w:hAnsi="Tahoma" w:cs="Tahoma"/>
          <w:sz w:val="24"/>
          <w:szCs w:val="24"/>
          <w:lang w:val="es-ES"/>
        </w:rPr>
      </w:pPr>
    </w:p>
    <w:p w14:paraId="2A0A26DC" w14:textId="4F8F6736" w:rsidR="00256CAB" w:rsidRPr="008C1FFE" w:rsidRDefault="00256CAB" w:rsidP="008C1FFE">
      <w:pPr>
        <w:widowControl w:val="0"/>
        <w:autoSpaceDE w:val="0"/>
        <w:autoSpaceDN w:val="0"/>
        <w:adjustRightInd w:val="0"/>
        <w:spacing w:after="0" w:line="276" w:lineRule="auto"/>
        <w:ind w:firstLine="708"/>
        <w:jc w:val="both"/>
        <w:rPr>
          <w:rFonts w:ascii="Tahoma" w:eastAsia="Calibri" w:hAnsi="Tahoma" w:cs="Tahoma"/>
          <w:sz w:val="24"/>
          <w:szCs w:val="24"/>
        </w:rPr>
      </w:pPr>
      <w:r w:rsidRPr="008C1FFE">
        <w:rPr>
          <w:rFonts w:ascii="Tahoma" w:eastAsia="Calibri" w:hAnsi="Tahoma" w:cs="Tahoma"/>
          <w:sz w:val="24"/>
          <w:szCs w:val="24"/>
        </w:rPr>
        <w:t>Importa precisar que como la declaratoria de ineficacia trae como consecuencia que las cosas se reestablezcan al estado en el que se encontraban al momento del traslado de régimen, fue acertada la determinación de la A-quo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767C1208" w14:textId="10CCBA1D" w:rsidR="00D67C43" w:rsidRPr="008C1FFE" w:rsidRDefault="00D67C43" w:rsidP="008C1FFE">
      <w:pPr>
        <w:widowControl w:val="0"/>
        <w:autoSpaceDE w:val="0"/>
        <w:autoSpaceDN w:val="0"/>
        <w:adjustRightInd w:val="0"/>
        <w:spacing w:after="0" w:line="276" w:lineRule="auto"/>
        <w:ind w:firstLine="708"/>
        <w:jc w:val="both"/>
        <w:rPr>
          <w:rFonts w:ascii="Tahoma" w:eastAsia="Calibri" w:hAnsi="Tahoma" w:cs="Tahoma"/>
          <w:sz w:val="24"/>
          <w:szCs w:val="24"/>
          <w:lang w:val="es-ES"/>
        </w:rPr>
      </w:pPr>
    </w:p>
    <w:p w14:paraId="112903D0" w14:textId="2946B36F" w:rsidR="003B43F5" w:rsidRDefault="007A7B8D" w:rsidP="008C1FFE">
      <w:pPr>
        <w:widowControl w:val="0"/>
        <w:autoSpaceDE w:val="0"/>
        <w:autoSpaceDN w:val="0"/>
        <w:adjustRightInd w:val="0"/>
        <w:spacing w:after="0" w:line="276" w:lineRule="auto"/>
        <w:ind w:firstLine="708"/>
        <w:jc w:val="both"/>
        <w:rPr>
          <w:rFonts w:ascii="Tahoma" w:hAnsi="Tahoma" w:cs="Tahoma"/>
          <w:sz w:val="24"/>
          <w:szCs w:val="24"/>
        </w:rPr>
      </w:pPr>
      <w:r w:rsidRPr="008C1FFE">
        <w:rPr>
          <w:rFonts w:ascii="Tahoma" w:eastAsia="Calibri" w:hAnsi="Tahoma" w:cs="Tahoma"/>
          <w:sz w:val="24"/>
          <w:szCs w:val="24"/>
        </w:rPr>
        <w:lastRenderedPageBreak/>
        <w:t>En cuanto a las condenas impartidas a cargo de Protección S.A</w:t>
      </w:r>
      <w:r w:rsidR="00EC4F1E" w:rsidRPr="008C1FFE">
        <w:rPr>
          <w:rFonts w:ascii="Tahoma" w:eastAsia="Calibri" w:hAnsi="Tahoma" w:cs="Tahoma"/>
          <w:sz w:val="24"/>
          <w:szCs w:val="24"/>
        </w:rPr>
        <w:t xml:space="preserve">, </w:t>
      </w:r>
      <w:r w:rsidR="000A1A01" w:rsidRPr="008C1FFE">
        <w:rPr>
          <w:rFonts w:ascii="Tahoma" w:eastAsia="Calibri" w:hAnsi="Tahoma" w:cs="Tahoma"/>
          <w:sz w:val="24"/>
          <w:szCs w:val="24"/>
        </w:rPr>
        <w:t xml:space="preserve">dirigidas a revocar la condena que ordena devolver los gastos de representación, </w:t>
      </w:r>
      <w:r w:rsidR="00EC4F1E" w:rsidRPr="008C1FFE">
        <w:rPr>
          <w:rFonts w:ascii="Tahoma" w:eastAsia="Calibri" w:hAnsi="Tahoma" w:cs="Tahoma"/>
          <w:sz w:val="24"/>
          <w:szCs w:val="24"/>
        </w:rPr>
        <w:t>como lo ha reiterado en múltiples pronunciamientos esta Corporación</w:t>
      </w:r>
      <w:r w:rsidRPr="008C1FFE">
        <w:rPr>
          <w:rFonts w:ascii="Tahoma" w:eastAsia="Calibri" w:hAnsi="Tahoma" w:cs="Tahoma"/>
          <w:sz w:val="24"/>
          <w:szCs w:val="24"/>
        </w:rPr>
        <w:t xml:space="preserve">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r w:rsidR="003B43F5" w:rsidRPr="008C1FFE">
        <w:rPr>
          <w:rFonts w:ascii="Tahoma" w:eastAsia="Calibri" w:hAnsi="Tahoma" w:cs="Tahoma"/>
          <w:sz w:val="24"/>
          <w:szCs w:val="24"/>
        </w:rPr>
        <w:t>.</w:t>
      </w:r>
      <w:r w:rsidR="009E6D2F" w:rsidRPr="008C1FFE">
        <w:rPr>
          <w:rFonts w:ascii="Tahoma" w:eastAsia="Calibri" w:hAnsi="Tahoma" w:cs="Tahoma"/>
          <w:sz w:val="24"/>
          <w:szCs w:val="24"/>
        </w:rPr>
        <w:t xml:space="preserve"> Por lo anterior,</w:t>
      </w:r>
      <w:r w:rsidR="00A82B40" w:rsidRPr="008C1FFE">
        <w:rPr>
          <w:rFonts w:ascii="Tahoma" w:eastAsia="Calibri" w:hAnsi="Tahoma" w:cs="Tahoma"/>
          <w:sz w:val="24"/>
          <w:szCs w:val="24"/>
        </w:rPr>
        <w:t xml:space="preserve"> la petición del desconocimiento del precedente traído a colación, no se to</w:t>
      </w:r>
      <w:r w:rsidR="003573E6" w:rsidRPr="008C1FFE">
        <w:rPr>
          <w:rFonts w:ascii="Tahoma" w:eastAsia="Calibri" w:hAnsi="Tahoma" w:cs="Tahoma"/>
          <w:sz w:val="24"/>
          <w:szCs w:val="24"/>
        </w:rPr>
        <w:t>rn</w:t>
      </w:r>
      <w:r w:rsidR="00A82B40" w:rsidRPr="008C1FFE">
        <w:rPr>
          <w:rFonts w:ascii="Tahoma" w:eastAsia="Calibri" w:hAnsi="Tahoma" w:cs="Tahoma"/>
          <w:sz w:val="24"/>
          <w:szCs w:val="24"/>
        </w:rPr>
        <w:t xml:space="preserve">a posible </w:t>
      </w:r>
      <w:r w:rsidRPr="008C1FFE">
        <w:rPr>
          <w:rFonts w:ascii="Tahoma" w:hAnsi="Tahoma" w:cs="Tahoma"/>
          <w:sz w:val="24"/>
          <w:szCs w:val="24"/>
        </w:rPr>
        <w:t>porque la Sala no encuentra razones de peso atendibles para apartarse de la posición de la corte Suprema de Justicia.</w:t>
      </w:r>
    </w:p>
    <w:p w14:paraId="185E765A" w14:textId="77777777" w:rsidR="00234931" w:rsidRPr="008C1FFE" w:rsidRDefault="00234931" w:rsidP="008C1FFE">
      <w:pPr>
        <w:widowControl w:val="0"/>
        <w:autoSpaceDE w:val="0"/>
        <w:autoSpaceDN w:val="0"/>
        <w:adjustRightInd w:val="0"/>
        <w:spacing w:after="0" w:line="276" w:lineRule="auto"/>
        <w:ind w:firstLine="708"/>
        <w:jc w:val="both"/>
        <w:rPr>
          <w:rFonts w:ascii="Tahoma" w:eastAsia="Calibri" w:hAnsi="Tahoma" w:cs="Tahoma"/>
          <w:sz w:val="24"/>
          <w:szCs w:val="24"/>
        </w:rPr>
      </w:pPr>
    </w:p>
    <w:p w14:paraId="2E688A33" w14:textId="43515113" w:rsidR="00CB3F95" w:rsidRPr="008C1FFE" w:rsidRDefault="00EC4F1E" w:rsidP="00234931">
      <w:pPr>
        <w:pStyle w:val="NormalWeb"/>
        <w:spacing w:before="0" w:beforeAutospacing="0" w:after="0" w:afterAutospacing="0" w:line="276" w:lineRule="auto"/>
        <w:ind w:firstLine="644"/>
        <w:jc w:val="both"/>
        <w:rPr>
          <w:rFonts w:ascii="Tahoma" w:hAnsi="Tahoma" w:cs="Tahoma"/>
        </w:rPr>
      </w:pPr>
      <w:r w:rsidRPr="008C1FFE">
        <w:rPr>
          <w:rFonts w:ascii="Tahoma" w:hAnsi="Tahoma" w:cs="Tahoma"/>
        </w:rPr>
        <w:t xml:space="preserve">En este punto, recuérdese que la Corte Constitucional en sentencia SU-053-2015, ha definido el precedente judicial como </w:t>
      </w:r>
      <w:r w:rsidRPr="008C1FFE">
        <w:rPr>
          <w:rFonts w:ascii="Tahoma" w:hAnsi="Tahoma" w:cs="Tahoma"/>
          <w:i/>
        </w:rPr>
        <w:t>«</w:t>
      </w:r>
      <w:r w:rsidRPr="00663D0E">
        <w:rPr>
          <w:rFonts w:ascii="Tahoma" w:hAnsi="Tahoma" w:cs="Tahoma"/>
          <w:i/>
          <w:sz w:val="22"/>
        </w:rPr>
        <w:t>la sentencia o el conjunto de ellas, anteriores a un caso determinado, que por su pertinencia y semejanza en los problemas jurídicos resueltos, debe necesariamente considerarse por las autoridades judiciales al momento de emitir un fallo</w:t>
      </w:r>
      <w:r w:rsidRPr="008C1FFE">
        <w:rPr>
          <w:rFonts w:ascii="Tahoma" w:hAnsi="Tahoma" w:cs="Tahoma"/>
          <w:i/>
        </w:rPr>
        <w:t>»</w:t>
      </w:r>
      <w:r w:rsidRPr="008C1FFE">
        <w:rPr>
          <w:rFonts w:ascii="Tahoma" w:hAnsi="Tahoma" w:cs="Tahoma"/>
        </w:rPr>
        <w:t xml:space="preserve"> y, en tal sentido, el emitido por los máximos órganos de cierre, </w:t>
      </w:r>
      <w:r w:rsidRPr="008C1FFE">
        <w:rPr>
          <w:rFonts w:ascii="Tahoma" w:hAnsi="Tahoma" w:cs="Tahoma"/>
          <w:i/>
        </w:rPr>
        <w:t>“</w:t>
      </w:r>
      <w:r w:rsidRPr="00663D0E">
        <w:rPr>
          <w:rFonts w:ascii="Tahoma" w:hAnsi="Tahoma" w:cs="Tahoma"/>
          <w:i/>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8C1FFE">
        <w:rPr>
          <w:rFonts w:ascii="Tahoma" w:hAnsi="Tahoma" w:cs="Tahoma"/>
          <w:i/>
        </w:rPr>
        <w:t>”</w:t>
      </w:r>
      <w:r w:rsidRPr="008C1FFE">
        <w:rPr>
          <w:rFonts w:ascii="Tahoma" w:hAnsi="Tahoma" w:cs="Tahoma"/>
        </w:rPr>
        <w:t xml:space="preserve"> (STL4759-2020)</w:t>
      </w:r>
      <w:r w:rsidR="00D57C95" w:rsidRPr="008C1FFE">
        <w:rPr>
          <w:rFonts w:ascii="Tahoma" w:hAnsi="Tahoma" w:cs="Tahoma"/>
        </w:rPr>
        <w:t xml:space="preserve">, por lo tanto, con la presente decisión se está aplicando un precedente jurisprudencial </w:t>
      </w:r>
      <w:r w:rsidR="00F8564F" w:rsidRPr="008C1FFE">
        <w:rPr>
          <w:rFonts w:ascii="Tahoma" w:hAnsi="Tahoma" w:cs="Tahoma"/>
        </w:rPr>
        <w:t xml:space="preserve">de obligatorio acatamiento, que define al detalle los efectos jurídicos de la declaratoria de ineficacia que aquí se confirma. </w:t>
      </w:r>
    </w:p>
    <w:p w14:paraId="07C51C0D" w14:textId="21A02178" w:rsidR="004D7BEA" w:rsidRPr="008C1FFE" w:rsidRDefault="004D7BEA" w:rsidP="008C1FFE">
      <w:pPr>
        <w:widowControl w:val="0"/>
        <w:autoSpaceDE w:val="0"/>
        <w:autoSpaceDN w:val="0"/>
        <w:adjustRightInd w:val="0"/>
        <w:spacing w:after="0" w:line="276" w:lineRule="auto"/>
        <w:ind w:firstLine="644"/>
        <w:jc w:val="both"/>
        <w:rPr>
          <w:rFonts w:ascii="Tahoma" w:eastAsia="Calibri" w:hAnsi="Tahoma" w:cs="Tahoma"/>
          <w:sz w:val="24"/>
          <w:szCs w:val="24"/>
        </w:rPr>
      </w:pPr>
    </w:p>
    <w:p w14:paraId="50632822" w14:textId="77777777" w:rsidR="00F8564F" w:rsidRPr="008C1FFE" w:rsidRDefault="00F8564F" w:rsidP="008C1FFE">
      <w:pPr>
        <w:widowControl w:val="0"/>
        <w:autoSpaceDE w:val="0"/>
        <w:autoSpaceDN w:val="0"/>
        <w:adjustRightInd w:val="0"/>
        <w:spacing w:after="0" w:line="276" w:lineRule="auto"/>
        <w:ind w:firstLine="644"/>
        <w:jc w:val="both"/>
        <w:rPr>
          <w:rFonts w:ascii="Tahoma" w:eastAsia="Calibri" w:hAnsi="Tahoma" w:cs="Tahoma"/>
          <w:sz w:val="24"/>
          <w:szCs w:val="24"/>
        </w:rPr>
      </w:pPr>
      <w:r w:rsidRPr="008C1FFE">
        <w:rPr>
          <w:rFonts w:ascii="Tahoma" w:eastAsia="Calibri" w:hAnsi="Tahoma" w:cs="Tahoma"/>
          <w:sz w:val="24"/>
          <w:szCs w:val="24"/>
        </w:rPr>
        <w:t xml:space="preserve">Consecuencia de la declaratoria de ineficacia y ante el inminente retorno del actor al RPM, donde debe ser recibido sin solución de continuidad, el actor tiene derecho a que su prestación económica por vejez se resuelva dentro del marco de las normas aplicables al RPM, la cual incluye, como atrás se indicó, el régimen de transición previsto en el artículo 36 de la Ley 100 de 1993, en virtud del cual, sus beneficiarios, tienen derecho a que su pensión sea resuelta con base en el régimen anterior al que se encontraban afiliados antes de la entrada en vigencia de la precitada ley. </w:t>
      </w:r>
    </w:p>
    <w:p w14:paraId="486E12DD" w14:textId="77777777" w:rsidR="00F8564F" w:rsidRPr="008C1FFE" w:rsidRDefault="00F8564F" w:rsidP="008C1FFE">
      <w:pPr>
        <w:widowControl w:val="0"/>
        <w:autoSpaceDE w:val="0"/>
        <w:autoSpaceDN w:val="0"/>
        <w:adjustRightInd w:val="0"/>
        <w:spacing w:after="0" w:line="276" w:lineRule="auto"/>
        <w:ind w:firstLine="644"/>
        <w:jc w:val="both"/>
        <w:rPr>
          <w:rFonts w:ascii="Tahoma" w:eastAsia="Calibri" w:hAnsi="Tahoma" w:cs="Tahoma"/>
          <w:sz w:val="24"/>
          <w:szCs w:val="24"/>
        </w:rPr>
      </w:pPr>
    </w:p>
    <w:p w14:paraId="50355237" w14:textId="7F0931C9" w:rsidR="003573E6" w:rsidRPr="008C1FFE" w:rsidRDefault="00F8564F" w:rsidP="008C1FFE">
      <w:pPr>
        <w:widowControl w:val="0"/>
        <w:autoSpaceDE w:val="0"/>
        <w:autoSpaceDN w:val="0"/>
        <w:adjustRightInd w:val="0"/>
        <w:spacing w:after="0" w:line="276" w:lineRule="auto"/>
        <w:ind w:firstLine="644"/>
        <w:jc w:val="both"/>
        <w:rPr>
          <w:rFonts w:ascii="Tahoma" w:eastAsia="Calibri" w:hAnsi="Tahoma" w:cs="Tahoma"/>
          <w:sz w:val="24"/>
          <w:szCs w:val="24"/>
        </w:rPr>
      </w:pPr>
      <w:r w:rsidRPr="008C1FFE">
        <w:rPr>
          <w:rFonts w:ascii="Tahoma" w:eastAsia="Calibri" w:hAnsi="Tahoma" w:cs="Tahoma"/>
          <w:sz w:val="24"/>
          <w:szCs w:val="24"/>
        </w:rPr>
        <w:t xml:space="preserve">En ese orden de ideas, evidente resulta que el actor es beneficiario del </w:t>
      </w:r>
      <w:r w:rsidR="003573E6" w:rsidRPr="008C1FFE">
        <w:rPr>
          <w:rFonts w:ascii="Tahoma" w:eastAsia="Calibri" w:hAnsi="Tahoma" w:cs="Tahoma"/>
          <w:sz w:val="24"/>
          <w:szCs w:val="24"/>
        </w:rPr>
        <w:t>régimen de transición, tanto por edad, al tener más de 40 años a la entrada en vigencia de la ley 100 de 1993</w:t>
      </w:r>
      <w:r w:rsidR="00EA454E" w:rsidRPr="008C1FFE">
        <w:rPr>
          <w:rFonts w:ascii="Tahoma" w:eastAsia="Calibri" w:hAnsi="Tahoma" w:cs="Tahoma"/>
          <w:sz w:val="24"/>
          <w:szCs w:val="24"/>
        </w:rPr>
        <w:t xml:space="preserve"> (1° de abril de 1994)</w:t>
      </w:r>
      <w:r w:rsidR="003573E6" w:rsidRPr="008C1FFE">
        <w:rPr>
          <w:rFonts w:ascii="Tahoma" w:eastAsia="Calibri" w:hAnsi="Tahoma" w:cs="Tahoma"/>
          <w:sz w:val="24"/>
          <w:szCs w:val="24"/>
        </w:rPr>
        <w:t>, exactamente 42 años y 3 meses de edad, y por tiempo de servicios, pues acredita que a e</w:t>
      </w:r>
      <w:r w:rsidR="00EA454E" w:rsidRPr="008C1FFE">
        <w:rPr>
          <w:rFonts w:ascii="Tahoma" w:eastAsia="Calibri" w:hAnsi="Tahoma" w:cs="Tahoma"/>
          <w:sz w:val="24"/>
          <w:szCs w:val="24"/>
        </w:rPr>
        <w:t xml:space="preserve">sa misma fecha tenía en su haber pensional un total de 1008 semanas cotizadas, según historia laboral aportada por COLPENSIONES, la cual obra en el expediente administrativo aportado con la contestación a la demanda. </w:t>
      </w:r>
    </w:p>
    <w:p w14:paraId="1EC7EA0D" w14:textId="766ABC47" w:rsidR="00EA454E" w:rsidRPr="008C1FFE" w:rsidRDefault="00EA454E" w:rsidP="008C1FFE">
      <w:pPr>
        <w:widowControl w:val="0"/>
        <w:autoSpaceDE w:val="0"/>
        <w:autoSpaceDN w:val="0"/>
        <w:adjustRightInd w:val="0"/>
        <w:spacing w:after="0" w:line="276" w:lineRule="auto"/>
        <w:ind w:firstLine="644"/>
        <w:jc w:val="both"/>
        <w:rPr>
          <w:rFonts w:ascii="Tahoma" w:eastAsia="Calibri" w:hAnsi="Tahoma" w:cs="Tahoma"/>
          <w:sz w:val="24"/>
          <w:szCs w:val="24"/>
        </w:rPr>
      </w:pPr>
    </w:p>
    <w:p w14:paraId="15F7851A" w14:textId="77777777" w:rsidR="00585905" w:rsidRPr="008C1FFE" w:rsidRDefault="00EA454E" w:rsidP="008C1FFE">
      <w:pPr>
        <w:widowControl w:val="0"/>
        <w:autoSpaceDE w:val="0"/>
        <w:autoSpaceDN w:val="0"/>
        <w:adjustRightInd w:val="0"/>
        <w:spacing w:after="0" w:line="276" w:lineRule="auto"/>
        <w:ind w:firstLine="644"/>
        <w:jc w:val="both"/>
        <w:rPr>
          <w:rFonts w:ascii="Tahoma" w:eastAsia="Calibri" w:hAnsi="Tahoma" w:cs="Tahoma"/>
          <w:sz w:val="24"/>
          <w:szCs w:val="24"/>
        </w:rPr>
      </w:pPr>
      <w:r w:rsidRPr="008C1FFE">
        <w:rPr>
          <w:rFonts w:ascii="Tahoma" w:eastAsia="Calibri" w:hAnsi="Tahoma" w:cs="Tahoma"/>
          <w:sz w:val="24"/>
          <w:szCs w:val="24"/>
        </w:rPr>
        <w:lastRenderedPageBreak/>
        <w:t>Es de resaltar que la calidad de beneficiario del régimen de transición del demandante no se vio afectada por la fecha de expiración que estableció el acto legislativo 01 de 2005, pues aunque no contaba con la edad mínima de pensión al 31 de julio de 2010, pues arribó a la edad de 60 años apenas el 1° de julio de 2012, lo cierto es que contaba con más de 750 semanas cotizadas a la fecha de publicación de dicho acto (22 de julio de 2005), en razón de lo cual el régimen se mantuvo en su caso hasta el 2014, fecha para la cual ya había cumplido, tanto la edad como la densidad mínima de semanas cotizadas para acceder a la pensión de vejez bajo la égida del Acuerdo 049 de 1990, esto es, 1000 semanas en cualquier tiempo, pues recuérdese que incluso a la fecha de entrada en vigencia de la ley 100 de 1993, ya contaba co</w:t>
      </w:r>
      <w:bookmarkStart w:id="9" w:name="_GoBack"/>
      <w:bookmarkEnd w:id="9"/>
      <w:r w:rsidRPr="008C1FFE">
        <w:rPr>
          <w:rFonts w:ascii="Tahoma" w:eastAsia="Calibri" w:hAnsi="Tahoma" w:cs="Tahoma"/>
          <w:sz w:val="24"/>
          <w:szCs w:val="24"/>
        </w:rPr>
        <w:t xml:space="preserve">n un poco más de </w:t>
      </w:r>
      <w:r w:rsidR="00585905" w:rsidRPr="008C1FFE">
        <w:rPr>
          <w:rFonts w:ascii="Tahoma" w:eastAsia="Calibri" w:hAnsi="Tahoma" w:cs="Tahoma"/>
          <w:sz w:val="24"/>
          <w:szCs w:val="24"/>
        </w:rPr>
        <w:t>ese recaudo pensional.</w:t>
      </w:r>
    </w:p>
    <w:p w14:paraId="1FC6F388" w14:textId="77777777" w:rsidR="00585905" w:rsidRPr="008C1FFE" w:rsidRDefault="00585905" w:rsidP="008C1FFE">
      <w:pPr>
        <w:widowControl w:val="0"/>
        <w:autoSpaceDE w:val="0"/>
        <w:autoSpaceDN w:val="0"/>
        <w:adjustRightInd w:val="0"/>
        <w:spacing w:after="0" w:line="276" w:lineRule="auto"/>
        <w:ind w:firstLine="644"/>
        <w:jc w:val="both"/>
        <w:rPr>
          <w:rFonts w:ascii="Tahoma" w:eastAsia="Calibri" w:hAnsi="Tahoma" w:cs="Tahoma"/>
          <w:sz w:val="24"/>
          <w:szCs w:val="24"/>
        </w:rPr>
      </w:pPr>
    </w:p>
    <w:p w14:paraId="12F156D2" w14:textId="77777777" w:rsidR="00585905" w:rsidRPr="008C1FFE" w:rsidRDefault="00585905" w:rsidP="008C1FFE">
      <w:pPr>
        <w:widowControl w:val="0"/>
        <w:autoSpaceDE w:val="0"/>
        <w:autoSpaceDN w:val="0"/>
        <w:adjustRightInd w:val="0"/>
        <w:spacing w:after="0" w:line="276" w:lineRule="auto"/>
        <w:ind w:firstLine="644"/>
        <w:jc w:val="both"/>
        <w:rPr>
          <w:rFonts w:ascii="Tahoma" w:eastAsia="Calibri" w:hAnsi="Tahoma" w:cs="Tahoma"/>
          <w:sz w:val="24"/>
          <w:szCs w:val="24"/>
        </w:rPr>
      </w:pPr>
      <w:r w:rsidRPr="008C1FFE">
        <w:rPr>
          <w:rFonts w:ascii="Tahoma" w:eastAsia="Calibri" w:hAnsi="Tahoma" w:cs="Tahoma"/>
          <w:sz w:val="24"/>
          <w:szCs w:val="24"/>
        </w:rPr>
        <w:t>De acuerdo a lo anterior, en sede de consulta, se confirmará el reconocimiento del actor como beneficiario del régimen de transición del artículo 36 de la Ley 100 de 1993 y con ello su derecho a la gracia pensional reclamada, pues a la fecha en que solicitó la pensión de vejez a COLPENSIONES, 28 de enero de 2019, había cumplido con los requisitos para acceder a ella desde el 1° de julio de 2012, fecha en que arribó a la edad de 60 años.</w:t>
      </w:r>
    </w:p>
    <w:p w14:paraId="70BC5421" w14:textId="77777777" w:rsidR="00585905" w:rsidRPr="008C1FFE" w:rsidRDefault="00585905" w:rsidP="008C1FFE">
      <w:pPr>
        <w:widowControl w:val="0"/>
        <w:autoSpaceDE w:val="0"/>
        <w:autoSpaceDN w:val="0"/>
        <w:adjustRightInd w:val="0"/>
        <w:spacing w:after="0" w:line="276" w:lineRule="auto"/>
        <w:ind w:firstLine="644"/>
        <w:jc w:val="both"/>
        <w:rPr>
          <w:rFonts w:ascii="Tahoma" w:eastAsia="Calibri" w:hAnsi="Tahoma" w:cs="Tahoma"/>
          <w:sz w:val="24"/>
          <w:szCs w:val="24"/>
        </w:rPr>
      </w:pPr>
    </w:p>
    <w:p w14:paraId="5AFB1A47" w14:textId="722EA370" w:rsidR="00733A6B" w:rsidRPr="008C1FFE" w:rsidRDefault="00585905" w:rsidP="008C1FFE">
      <w:pPr>
        <w:widowControl w:val="0"/>
        <w:autoSpaceDE w:val="0"/>
        <w:autoSpaceDN w:val="0"/>
        <w:adjustRightInd w:val="0"/>
        <w:spacing w:after="0" w:line="276" w:lineRule="auto"/>
        <w:ind w:firstLine="644"/>
        <w:jc w:val="both"/>
        <w:rPr>
          <w:rFonts w:ascii="Tahoma" w:eastAsia="Calibri" w:hAnsi="Tahoma" w:cs="Tahoma"/>
          <w:sz w:val="24"/>
          <w:szCs w:val="24"/>
        </w:rPr>
      </w:pPr>
      <w:r w:rsidRPr="008C1FFE">
        <w:rPr>
          <w:rFonts w:ascii="Tahoma" w:eastAsia="Calibri" w:hAnsi="Tahoma" w:cs="Tahoma"/>
          <w:sz w:val="24"/>
          <w:szCs w:val="24"/>
        </w:rPr>
        <w:t>En cuanto a la prescripción y el monto de la mesada a cargo de dicha codemandada, también se confirmará lo resuelto en primera instancia, pues la reclamación administrativa tendiente al pago de la pensión a cargo de COLPENSIONES, se elevó por el actor el</w:t>
      </w:r>
      <w:r w:rsidR="00733A6B" w:rsidRPr="008C1FFE">
        <w:rPr>
          <w:rFonts w:ascii="Tahoma" w:eastAsia="Calibri" w:hAnsi="Tahoma" w:cs="Tahoma"/>
          <w:sz w:val="24"/>
          <w:szCs w:val="24"/>
        </w:rPr>
        <w:t xml:space="preserve"> 28 </w:t>
      </w:r>
      <w:r w:rsidR="00CC017E" w:rsidRPr="008C1FFE">
        <w:rPr>
          <w:rFonts w:ascii="Tahoma" w:eastAsia="Calibri" w:hAnsi="Tahoma" w:cs="Tahoma"/>
          <w:sz w:val="24"/>
          <w:szCs w:val="24"/>
        </w:rPr>
        <w:t>de enero de 2019</w:t>
      </w:r>
      <w:r w:rsidR="00517FA6" w:rsidRPr="008C1FFE">
        <w:rPr>
          <w:rStyle w:val="Refdenotaalpie"/>
          <w:rFonts w:ascii="Tahoma" w:eastAsia="Calibri" w:hAnsi="Tahoma" w:cs="Tahoma"/>
          <w:sz w:val="24"/>
          <w:szCs w:val="24"/>
        </w:rPr>
        <w:footnoteReference w:id="12"/>
      </w:r>
      <w:r w:rsidRPr="008C1FFE">
        <w:rPr>
          <w:rFonts w:ascii="Tahoma" w:eastAsia="Calibri" w:hAnsi="Tahoma" w:cs="Tahoma"/>
          <w:sz w:val="24"/>
          <w:szCs w:val="24"/>
        </w:rPr>
        <w:t xml:space="preserve"> y la demanda se presentó dentro del trienio siguiente a esa fecha, de modo que operó la prescripción de las mesadas causadas con anterioridad al 28 de enero de 2016, como bien se decidió en primera instancia. Teniendo en cuenta que la mesada se estableció en suma igual al salario mínimo </w:t>
      </w:r>
      <w:r w:rsidR="00196F1F" w:rsidRPr="008C1FFE">
        <w:rPr>
          <w:rFonts w:ascii="Tahoma" w:eastAsia="Calibri" w:hAnsi="Tahoma" w:cs="Tahoma"/>
          <w:sz w:val="24"/>
          <w:szCs w:val="24"/>
        </w:rPr>
        <w:t xml:space="preserve">y ninguna pensión de vejez puede reconocerse por monto inferior a ese, al no haber sido objeto de apelación el monto de la condena, la base calculada por la a-quo resulta favorable a los intereses de COLPENSIONES, en razón de lo cual se confirmará en sede consulta. </w:t>
      </w:r>
    </w:p>
    <w:p w14:paraId="2AB6BBEF" w14:textId="77777777" w:rsidR="00733A6B" w:rsidRPr="008C1FFE" w:rsidRDefault="00733A6B" w:rsidP="008C1FFE">
      <w:pPr>
        <w:widowControl w:val="0"/>
        <w:autoSpaceDE w:val="0"/>
        <w:autoSpaceDN w:val="0"/>
        <w:adjustRightInd w:val="0"/>
        <w:spacing w:after="0" w:line="276" w:lineRule="auto"/>
        <w:ind w:firstLine="708"/>
        <w:jc w:val="both"/>
        <w:rPr>
          <w:rFonts w:ascii="Tahoma" w:eastAsia="Calibri" w:hAnsi="Tahoma" w:cs="Tahoma"/>
          <w:sz w:val="24"/>
          <w:szCs w:val="24"/>
        </w:rPr>
      </w:pPr>
    </w:p>
    <w:p w14:paraId="189EEECF" w14:textId="0711A9E6" w:rsidR="00196F1F" w:rsidRPr="008C1FFE" w:rsidRDefault="00642083" w:rsidP="008C1FFE">
      <w:pPr>
        <w:widowControl w:val="0"/>
        <w:autoSpaceDE w:val="0"/>
        <w:autoSpaceDN w:val="0"/>
        <w:adjustRightInd w:val="0"/>
        <w:spacing w:after="0" w:line="276" w:lineRule="auto"/>
        <w:ind w:firstLine="708"/>
        <w:jc w:val="both"/>
        <w:rPr>
          <w:rFonts w:ascii="Tahoma" w:hAnsi="Tahoma" w:cs="Tahoma"/>
          <w:sz w:val="24"/>
          <w:szCs w:val="24"/>
          <w:lang w:val="es"/>
        </w:rPr>
      </w:pPr>
      <w:r w:rsidRPr="008C1FFE">
        <w:rPr>
          <w:rFonts w:ascii="Tahoma" w:eastAsia="Calibri" w:hAnsi="Tahoma" w:cs="Tahoma"/>
          <w:sz w:val="24"/>
          <w:szCs w:val="24"/>
        </w:rPr>
        <w:t>Por último, improcedente resu</w:t>
      </w:r>
      <w:r w:rsidR="003B6867" w:rsidRPr="008C1FFE">
        <w:rPr>
          <w:rFonts w:ascii="Tahoma" w:eastAsia="Calibri" w:hAnsi="Tahoma" w:cs="Tahoma"/>
          <w:sz w:val="24"/>
          <w:szCs w:val="24"/>
        </w:rPr>
        <w:t xml:space="preserve">lta </w:t>
      </w:r>
      <w:r w:rsidR="005C01B3" w:rsidRPr="008C1FFE">
        <w:rPr>
          <w:rFonts w:ascii="Tahoma" w:hAnsi="Tahoma" w:cs="Tahoma"/>
          <w:sz w:val="24"/>
          <w:szCs w:val="24"/>
          <w:lang w:val="es"/>
        </w:rPr>
        <w:t>condenar a Pr</w:t>
      </w:r>
      <w:r w:rsidR="00FC551D" w:rsidRPr="008C1FFE">
        <w:rPr>
          <w:rFonts w:ascii="Tahoma" w:hAnsi="Tahoma" w:cs="Tahoma"/>
          <w:sz w:val="24"/>
          <w:szCs w:val="24"/>
          <w:lang w:val="es"/>
        </w:rPr>
        <w:t>otección</w:t>
      </w:r>
      <w:r w:rsidR="005C01B3" w:rsidRPr="008C1FFE">
        <w:rPr>
          <w:rFonts w:ascii="Tahoma" w:hAnsi="Tahoma" w:cs="Tahoma"/>
          <w:sz w:val="24"/>
          <w:szCs w:val="24"/>
          <w:lang w:val="es"/>
        </w:rPr>
        <w:t xml:space="preserve"> S.A a título de sanción al pago de un cálculo actuarial equivalente al valor total de las mesadas pensionales liquidadas bajo los parámetros del régimen de prima media teniendo en cuenta para ello la expectativa de vida del demandante y la de sus posibles beneficiarios</w:t>
      </w:r>
      <w:r w:rsidR="00196F1F" w:rsidRPr="008C1FFE">
        <w:rPr>
          <w:rFonts w:ascii="Tahoma" w:hAnsi="Tahoma" w:cs="Tahoma"/>
          <w:sz w:val="24"/>
          <w:szCs w:val="24"/>
          <w:lang w:val="es"/>
        </w:rPr>
        <w:t xml:space="preserve">, pues </w:t>
      </w:r>
      <w:r w:rsidR="003D42F1" w:rsidRPr="008C1FFE">
        <w:rPr>
          <w:rFonts w:ascii="Tahoma" w:hAnsi="Tahoma" w:cs="Tahoma"/>
          <w:sz w:val="24"/>
          <w:szCs w:val="24"/>
          <w:lang w:val="es"/>
        </w:rPr>
        <w:t>teniendo en cuenta las implicaciones que ello implica para la AFP PROTECCIÓN, ello debe ser objeto de demanda de COLPENSIONES contra PROTECCIÓN a efectos de que esta última ejerza debidamente su derecho de defensa. En consecuencia, el cálculo actuarial solicitado por COLPENSIONES no puede analizarse en este asunto porque no hay pretensiones en ese sentido.</w:t>
      </w:r>
      <w:r w:rsidR="00C21939" w:rsidRPr="008C1FFE">
        <w:rPr>
          <w:rFonts w:ascii="Tahoma" w:hAnsi="Tahoma" w:cs="Tahoma"/>
          <w:sz w:val="24"/>
          <w:szCs w:val="24"/>
          <w:lang w:val="es"/>
        </w:rPr>
        <w:t xml:space="preserve"> </w:t>
      </w:r>
      <w:r w:rsidR="003D42F1" w:rsidRPr="008C1FFE">
        <w:rPr>
          <w:rFonts w:ascii="Tahoma" w:hAnsi="Tahoma" w:cs="Tahoma"/>
          <w:sz w:val="24"/>
          <w:szCs w:val="24"/>
          <w:lang w:val="es"/>
        </w:rPr>
        <w:t xml:space="preserve">Por otra parte, </w:t>
      </w:r>
      <w:r w:rsidR="00C21939" w:rsidRPr="008C1FFE">
        <w:rPr>
          <w:rFonts w:ascii="Tahoma" w:hAnsi="Tahoma" w:cs="Tahoma"/>
          <w:sz w:val="24"/>
          <w:szCs w:val="24"/>
          <w:lang w:val="es"/>
        </w:rPr>
        <w:t xml:space="preserve">no puede pasarse inadvertido que </w:t>
      </w:r>
      <w:r w:rsidR="003D42F1" w:rsidRPr="008C1FFE">
        <w:rPr>
          <w:rFonts w:ascii="Tahoma" w:hAnsi="Tahoma" w:cs="Tahoma"/>
          <w:sz w:val="24"/>
          <w:szCs w:val="24"/>
          <w:lang w:val="es"/>
        </w:rPr>
        <w:t>dentro de la acción de ineficacia</w:t>
      </w:r>
      <w:r w:rsidR="00C21939" w:rsidRPr="008C1FFE">
        <w:rPr>
          <w:rFonts w:ascii="Tahoma" w:hAnsi="Tahoma" w:cs="Tahoma"/>
          <w:sz w:val="24"/>
          <w:szCs w:val="24"/>
          <w:lang w:val="es"/>
        </w:rPr>
        <w:t xml:space="preserve"> </w:t>
      </w:r>
      <w:r w:rsidR="00196F1F" w:rsidRPr="008C1FFE">
        <w:rPr>
          <w:rFonts w:ascii="Tahoma" w:hAnsi="Tahoma" w:cs="Tahoma"/>
          <w:sz w:val="24"/>
          <w:szCs w:val="24"/>
          <w:lang w:val="es"/>
        </w:rPr>
        <w:t xml:space="preserve">las sanciones son taxativas y su interpretación restrictiva y la única sanción legal establecida para quienes atenten contra la afiliación libre, voluntaria e informada del trabajador es la prevista en el artículo 271 de la Ley 100 de 1993, cuya imposición </w:t>
      </w:r>
      <w:proofErr w:type="gramStart"/>
      <w:r w:rsidR="00196F1F" w:rsidRPr="008C1FFE">
        <w:rPr>
          <w:rFonts w:ascii="Tahoma" w:hAnsi="Tahoma" w:cs="Tahoma"/>
          <w:sz w:val="24"/>
          <w:szCs w:val="24"/>
          <w:lang w:val="es"/>
        </w:rPr>
        <w:t>le</w:t>
      </w:r>
      <w:proofErr w:type="gramEnd"/>
      <w:r w:rsidR="00196F1F" w:rsidRPr="008C1FFE">
        <w:rPr>
          <w:rFonts w:ascii="Tahoma" w:hAnsi="Tahoma" w:cs="Tahoma"/>
          <w:sz w:val="24"/>
          <w:szCs w:val="24"/>
          <w:lang w:val="es"/>
        </w:rPr>
        <w:t xml:space="preserve"> compete a las autoridades del Ministerio del Trabajo y Seguridad Social o del Ministerio de Salud en cada caso y no a la justicia del trabajo. </w:t>
      </w:r>
      <w:r w:rsidR="00C21939" w:rsidRPr="008C1FFE">
        <w:rPr>
          <w:rFonts w:ascii="Tahoma" w:hAnsi="Tahoma" w:cs="Tahoma"/>
          <w:sz w:val="24"/>
          <w:szCs w:val="24"/>
          <w:lang w:val="es"/>
        </w:rPr>
        <w:lastRenderedPageBreak/>
        <w:t xml:space="preserve">Lo anterior sin perjuicio de las acciones por indemnización de perjuicios que eventualmente tienen el afiliado y COLPENSIONES.  </w:t>
      </w:r>
    </w:p>
    <w:p w14:paraId="3E3C457F" w14:textId="77777777" w:rsidR="00456134" w:rsidRPr="008C1FFE" w:rsidRDefault="00456134" w:rsidP="008C1FFE">
      <w:pPr>
        <w:widowControl w:val="0"/>
        <w:autoSpaceDE w:val="0"/>
        <w:autoSpaceDN w:val="0"/>
        <w:adjustRightInd w:val="0"/>
        <w:spacing w:after="0" w:line="276" w:lineRule="auto"/>
        <w:jc w:val="both"/>
        <w:rPr>
          <w:rFonts w:ascii="Tahoma" w:eastAsia="Calibri" w:hAnsi="Tahoma" w:cs="Tahoma"/>
          <w:sz w:val="24"/>
          <w:szCs w:val="24"/>
        </w:rPr>
      </w:pPr>
    </w:p>
    <w:p w14:paraId="4C7B3840" w14:textId="20132E1A" w:rsidR="004D57BB" w:rsidRPr="008C1FFE" w:rsidRDefault="00A41E35" w:rsidP="008C1FFE">
      <w:pPr>
        <w:widowControl w:val="0"/>
        <w:autoSpaceDE w:val="0"/>
        <w:autoSpaceDN w:val="0"/>
        <w:adjustRightInd w:val="0"/>
        <w:spacing w:after="0" w:line="276" w:lineRule="auto"/>
        <w:ind w:firstLine="708"/>
        <w:jc w:val="both"/>
        <w:rPr>
          <w:rFonts w:ascii="Tahoma" w:eastAsia="Calibri" w:hAnsi="Tahoma" w:cs="Tahoma"/>
          <w:sz w:val="24"/>
          <w:szCs w:val="24"/>
        </w:rPr>
      </w:pPr>
      <w:r w:rsidRPr="008C1FFE">
        <w:rPr>
          <w:rFonts w:ascii="Tahoma" w:eastAsia="Calibri" w:hAnsi="Tahoma" w:cs="Tahoma"/>
          <w:sz w:val="24"/>
          <w:szCs w:val="24"/>
        </w:rPr>
        <w:t xml:space="preserve">Corolario de lo anterior, se confirmará en todas sus partes el fallo de primera instancia y, </w:t>
      </w:r>
      <w:r w:rsidR="004D57BB" w:rsidRPr="008C1FFE">
        <w:rPr>
          <w:rFonts w:ascii="Tahoma" w:eastAsia="Calibri" w:hAnsi="Tahoma" w:cs="Tahoma"/>
          <w:sz w:val="24"/>
          <w:szCs w:val="24"/>
        </w:rPr>
        <w:t xml:space="preserve">de conformidad </w:t>
      </w:r>
      <w:r w:rsidRPr="008C1FFE">
        <w:rPr>
          <w:rFonts w:ascii="Tahoma" w:eastAsia="Calibri" w:hAnsi="Tahoma" w:cs="Tahoma"/>
          <w:sz w:val="24"/>
          <w:szCs w:val="24"/>
        </w:rPr>
        <w:t>con</w:t>
      </w:r>
      <w:r w:rsidR="004D57BB" w:rsidRPr="008C1FFE">
        <w:rPr>
          <w:rFonts w:ascii="Tahoma" w:eastAsia="Calibri" w:hAnsi="Tahoma" w:cs="Tahoma"/>
          <w:sz w:val="24"/>
          <w:szCs w:val="24"/>
        </w:rPr>
        <w:t xml:space="preserve"> lo consagrado en el artículo 365 del CGP, se condenará en costas procesales</w:t>
      </w:r>
      <w:r w:rsidRPr="008C1FFE">
        <w:rPr>
          <w:rFonts w:ascii="Tahoma" w:eastAsia="Calibri" w:hAnsi="Tahoma" w:cs="Tahoma"/>
          <w:sz w:val="24"/>
          <w:szCs w:val="24"/>
        </w:rPr>
        <w:t xml:space="preserve"> de segunda instancia</w:t>
      </w:r>
      <w:r w:rsidR="004D57BB" w:rsidRPr="008C1FFE">
        <w:rPr>
          <w:rFonts w:ascii="Tahoma" w:eastAsia="Calibri" w:hAnsi="Tahoma" w:cs="Tahoma"/>
          <w:sz w:val="24"/>
          <w:szCs w:val="24"/>
        </w:rPr>
        <w:t xml:space="preserve"> a </w:t>
      </w:r>
      <w:r w:rsidR="004D57BB" w:rsidRPr="008C1FFE">
        <w:rPr>
          <w:rFonts w:ascii="Tahoma" w:eastAsia="Calibri" w:hAnsi="Tahoma" w:cs="Tahoma"/>
          <w:bCs/>
          <w:sz w:val="24"/>
          <w:szCs w:val="24"/>
        </w:rPr>
        <w:t>P</w:t>
      </w:r>
      <w:r w:rsidR="00796FFF" w:rsidRPr="008C1FFE">
        <w:rPr>
          <w:rFonts w:ascii="Tahoma" w:eastAsia="Calibri" w:hAnsi="Tahoma" w:cs="Tahoma"/>
          <w:bCs/>
          <w:sz w:val="24"/>
          <w:szCs w:val="24"/>
        </w:rPr>
        <w:t xml:space="preserve">rotección </w:t>
      </w:r>
      <w:r w:rsidR="004D57BB" w:rsidRPr="008C1FFE">
        <w:rPr>
          <w:rFonts w:ascii="Tahoma" w:eastAsia="Calibri" w:hAnsi="Tahoma" w:cs="Tahoma"/>
          <w:bCs/>
          <w:sz w:val="24"/>
          <w:szCs w:val="24"/>
        </w:rPr>
        <w:t>S.A.</w:t>
      </w:r>
      <w:r w:rsidR="004D57BB" w:rsidRPr="008C1FFE">
        <w:rPr>
          <w:rFonts w:ascii="Tahoma" w:eastAsia="Calibri" w:hAnsi="Tahoma" w:cs="Tahoma"/>
          <w:sz w:val="24"/>
          <w:szCs w:val="24"/>
        </w:rPr>
        <w:t xml:space="preserve"> y Colpensiones</w:t>
      </w:r>
      <w:r w:rsidRPr="008C1FFE">
        <w:rPr>
          <w:rFonts w:ascii="Tahoma" w:eastAsia="Calibri" w:hAnsi="Tahoma" w:cs="Tahoma"/>
          <w:sz w:val="24"/>
          <w:szCs w:val="24"/>
        </w:rPr>
        <w:t>,</w:t>
      </w:r>
      <w:r w:rsidR="004D57BB" w:rsidRPr="008C1FFE">
        <w:rPr>
          <w:rFonts w:ascii="Tahoma" w:eastAsia="Calibri" w:hAnsi="Tahoma" w:cs="Tahoma"/>
          <w:sz w:val="24"/>
          <w:szCs w:val="24"/>
        </w:rPr>
        <w:t xml:space="preserve"> a favor de la parte actora, las cuales se liquidarán por la secretaría del juzgado de origen.</w:t>
      </w:r>
      <w:r w:rsidRPr="008C1FFE">
        <w:rPr>
          <w:rFonts w:ascii="Tahoma" w:eastAsia="Calibri" w:hAnsi="Tahoma" w:cs="Tahoma"/>
          <w:sz w:val="24"/>
          <w:szCs w:val="24"/>
        </w:rPr>
        <w:t xml:space="preserve"> Se confirma el pago de costas procesales a cargo de COLPENSIONES, en las dos instancias, pues pese a que no propició los actos que conllevaron a la ineficacia, se opuso al retorno del actor al RPM, pese a que tenía más de 15 años de servicios al 1° de abril de 1994, lo que permitía la libre movilidad entre regímenes, tal como se explicó en precedencia. </w:t>
      </w:r>
    </w:p>
    <w:p w14:paraId="00453F26" w14:textId="7B93C8E2" w:rsidR="1B4704F1" w:rsidRPr="008C1FFE" w:rsidRDefault="1B4704F1" w:rsidP="008C1FFE">
      <w:pPr>
        <w:spacing w:after="0" w:line="276" w:lineRule="auto"/>
        <w:ind w:firstLine="284"/>
        <w:jc w:val="both"/>
        <w:rPr>
          <w:rFonts w:ascii="Tahoma" w:hAnsi="Tahoma" w:cs="Tahoma"/>
          <w:sz w:val="24"/>
          <w:szCs w:val="24"/>
        </w:rPr>
      </w:pPr>
    </w:p>
    <w:p w14:paraId="2121B4BB" w14:textId="5980815D" w:rsidR="1B4704F1" w:rsidRPr="008C1FFE" w:rsidRDefault="1B4704F1" w:rsidP="008C1FFE">
      <w:pPr>
        <w:spacing w:after="0" w:line="276" w:lineRule="auto"/>
        <w:ind w:firstLine="708"/>
        <w:jc w:val="both"/>
        <w:rPr>
          <w:rFonts w:ascii="Tahoma" w:hAnsi="Tahoma" w:cs="Tahoma"/>
          <w:sz w:val="24"/>
          <w:szCs w:val="24"/>
        </w:rPr>
      </w:pPr>
      <w:r w:rsidRPr="008C1FFE">
        <w:rPr>
          <w:rFonts w:ascii="Tahoma" w:eastAsia="Tahoma" w:hAnsi="Tahoma" w:cs="Tahoma"/>
          <w:sz w:val="24"/>
          <w:szCs w:val="24"/>
        </w:rPr>
        <w:t xml:space="preserve">En mérito de lo expuesto, el </w:t>
      </w:r>
      <w:r w:rsidRPr="008C1FFE">
        <w:rPr>
          <w:rFonts w:ascii="Tahoma" w:eastAsia="Tahoma" w:hAnsi="Tahoma" w:cs="Tahoma"/>
          <w:b/>
          <w:bCs/>
          <w:sz w:val="24"/>
          <w:szCs w:val="24"/>
        </w:rPr>
        <w:t>Tribunal Superior del Distrito Judicial de Pereira - Risaralda, Sala de Decisión Laboral No. 1 presidida por la Magistrada Ana Lucía Caicedo Calderón,</w:t>
      </w:r>
      <w:r w:rsidRPr="008C1FFE">
        <w:rPr>
          <w:rFonts w:ascii="Tahoma" w:eastAsia="Tahoma" w:hAnsi="Tahoma" w:cs="Tahoma"/>
          <w:sz w:val="24"/>
          <w:szCs w:val="24"/>
        </w:rPr>
        <w:t xml:space="preserve"> administrando justicia en nombre de la República y por autoridad de la ley,</w:t>
      </w:r>
    </w:p>
    <w:p w14:paraId="427F006E" w14:textId="129418A5" w:rsidR="1B4704F1" w:rsidRPr="008C1FFE" w:rsidRDefault="1B4704F1" w:rsidP="008C1FFE">
      <w:pPr>
        <w:spacing w:after="0" w:line="276" w:lineRule="auto"/>
        <w:ind w:firstLine="644"/>
        <w:jc w:val="both"/>
        <w:rPr>
          <w:rFonts w:ascii="Tahoma" w:hAnsi="Tahoma" w:cs="Tahoma"/>
          <w:sz w:val="24"/>
          <w:szCs w:val="24"/>
        </w:rPr>
      </w:pPr>
      <w:r w:rsidRPr="008C1FFE">
        <w:rPr>
          <w:rFonts w:ascii="Tahoma" w:eastAsia="Tahoma" w:hAnsi="Tahoma" w:cs="Tahoma"/>
          <w:sz w:val="24"/>
          <w:szCs w:val="24"/>
        </w:rPr>
        <w:t xml:space="preserve"> </w:t>
      </w:r>
    </w:p>
    <w:p w14:paraId="0C520D47" w14:textId="7F870AD7" w:rsidR="1B4704F1" w:rsidRPr="008C1FFE" w:rsidRDefault="1B4704F1" w:rsidP="008C1FFE">
      <w:pPr>
        <w:spacing w:after="0" w:line="276" w:lineRule="auto"/>
        <w:ind w:firstLine="284"/>
        <w:jc w:val="center"/>
        <w:rPr>
          <w:rFonts w:ascii="Tahoma" w:hAnsi="Tahoma" w:cs="Tahoma"/>
          <w:sz w:val="24"/>
          <w:szCs w:val="24"/>
        </w:rPr>
      </w:pPr>
      <w:r w:rsidRPr="008C1FFE">
        <w:rPr>
          <w:rFonts w:ascii="Tahoma" w:eastAsia="Tahoma" w:hAnsi="Tahoma" w:cs="Tahoma"/>
          <w:b/>
          <w:bCs/>
          <w:color w:val="000000" w:themeColor="text1"/>
          <w:sz w:val="24"/>
          <w:szCs w:val="24"/>
        </w:rPr>
        <w:t>RESUELVE</w:t>
      </w:r>
    </w:p>
    <w:p w14:paraId="51479B87" w14:textId="1A29924F" w:rsidR="1B4704F1" w:rsidRPr="008C1FFE" w:rsidRDefault="1B4704F1" w:rsidP="008C1FFE">
      <w:pPr>
        <w:spacing w:after="0" w:line="276" w:lineRule="auto"/>
        <w:jc w:val="both"/>
        <w:rPr>
          <w:rFonts w:ascii="Tahoma" w:hAnsi="Tahoma" w:cs="Tahoma"/>
          <w:sz w:val="24"/>
          <w:szCs w:val="24"/>
        </w:rPr>
      </w:pPr>
      <w:r w:rsidRPr="008C1FFE">
        <w:rPr>
          <w:rFonts w:ascii="Tahoma" w:eastAsia="Tahoma" w:hAnsi="Tahoma" w:cs="Tahoma"/>
          <w:b/>
          <w:bCs/>
          <w:sz w:val="24"/>
          <w:szCs w:val="24"/>
        </w:rPr>
        <w:t xml:space="preserve"> </w:t>
      </w:r>
    </w:p>
    <w:p w14:paraId="7C8DC969" w14:textId="04C88838" w:rsidR="00517E49" w:rsidRPr="008C1FFE" w:rsidRDefault="00517E49" w:rsidP="00234931">
      <w:pPr>
        <w:spacing w:after="0" w:line="276" w:lineRule="auto"/>
        <w:ind w:firstLine="644"/>
        <w:jc w:val="both"/>
        <w:rPr>
          <w:rFonts w:ascii="Tahoma" w:eastAsia="Tahoma" w:hAnsi="Tahoma" w:cs="Tahoma"/>
          <w:sz w:val="24"/>
          <w:szCs w:val="24"/>
          <w:lang w:eastAsia="es-ES"/>
        </w:rPr>
      </w:pPr>
      <w:r w:rsidRPr="008C1FFE">
        <w:rPr>
          <w:rFonts w:ascii="Tahoma" w:eastAsia="Tahoma" w:hAnsi="Tahoma" w:cs="Tahoma"/>
          <w:b/>
          <w:bCs/>
          <w:sz w:val="24"/>
          <w:szCs w:val="24"/>
          <w:lang w:eastAsia="es-ES"/>
        </w:rPr>
        <w:t>PRIMERO</w:t>
      </w:r>
      <w:r w:rsidRPr="008C1FFE">
        <w:rPr>
          <w:rFonts w:ascii="Tahoma" w:eastAsia="Tahoma" w:hAnsi="Tahoma" w:cs="Tahoma"/>
          <w:sz w:val="24"/>
          <w:szCs w:val="24"/>
          <w:lang w:eastAsia="es-ES"/>
        </w:rPr>
        <w:t>: </w:t>
      </w:r>
      <w:r w:rsidRPr="008C1FFE">
        <w:rPr>
          <w:rFonts w:ascii="Tahoma" w:eastAsia="Tahoma" w:hAnsi="Tahoma" w:cs="Tahoma"/>
          <w:b/>
          <w:bCs/>
          <w:sz w:val="24"/>
          <w:szCs w:val="24"/>
          <w:lang w:eastAsia="es-ES"/>
        </w:rPr>
        <w:t>CONFIRMAR</w:t>
      </w:r>
      <w:r w:rsidRPr="008C1FFE">
        <w:rPr>
          <w:rFonts w:ascii="Tahoma" w:eastAsia="Tahoma" w:hAnsi="Tahoma" w:cs="Tahoma"/>
          <w:sz w:val="24"/>
          <w:szCs w:val="24"/>
          <w:lang w:eastAsia="es-ES"/>
        </w:rPr>
        <w:t xml:space="preserve"> la sentencia proferida por el Juzgado </w:t>
      </w:r>
      <w:r w:rsidR="00EC2C5D" w:rsidRPr="008C1FFE">
        <w:rPr>
          <w:rFonts w:ascii="Tahoma" w:eastAsia="Tahoma" w:hAnsi="Tahoma" w:cs="Tahoma"/>
          <w:sz w:val="24"/>
          <w:szCs w:val="24"/>
          <w:lang w:eastAsia="es-ES"/>
        </w:rPr>
        <w:t xml:space="preserve">Segundo </w:t>
      </w:r>
      <w:r w:rsidRPr="008C1FFE">
        <w:rPr>
          <w:rFonts w:ascii="Tahoma" w:eastAsia="Tahoma" w:hAnsi="Tahoma" w:cs="Tahoma"/>
          <w:sz w:val="24"/>
          <w:szCs w:val="24"/>
          <w:lang w:eastAsia="es-ES"/>
        </w:rPr>
        <w:t xml:space="preserve">Laboral de Circuito de Pereira el </w:t>
      </w:r>
      <w:r w:rsidR="00EC2C5D" w:rsidRPr="008C1FFE">
        <w:rPr>
          <w:rFonts w:ascii="Tahoma" w:eastAsia="Tahoma" w:hAnsi="Tahoma" w:cs="Tahoma"/>
          <w:sz w:val="24"/>
          <w:szCs w:val="24"/>
          <w:lang w:eastAsia="es-ES"/>
        </w:rPr>
        <w:t xml:space="preserve">14 de octubre </w:t>
      </w:r>
      <w:r w:rsidRPr="008C1FFE">
        <w:rPr>
          <w:rFonts w:ascii="Tahoma" w:eastAsia="Tahoma" w:hAnsi="Tahoma" w:cs="Tahoma"/>
          <w:sz w:val="24"/>
          <w:szCs w:val="24"/>
          <w:lang w:eastAsia="es-ES"/>
        </w:rPr>
        <w:t>de 2021 dentro del proceso de la referencia, por las razones expuestas en la parte motiva de esta providencia.</w:t>
      </w:r>
    </w:p>
    <w:p w14:paraId="6674C10C" w14:textId="77777777" w:rsidR="00517E49" w:rsidRPr="008C1FFE" w:rsidRDefault="00517E49" w:rsidP="00234931">
      <w:pPr>
        <w:spacing w:after="0" w:line="276" w:lineRule="auto"/>
        <w:ind w:firstLine="705"/>
        <w:jc w:val="both"/>
        <w:textAlignment w:val="baseline"/>
        <w:rPr>
          <w:rFonts w:ascii="Tahoma" w:eastAsia="Times New Roman" w:hAnsi="Tahoma" w:cs="Tahoma"/>
          <w:b/>
          <w:bCs/>
          <w:sz w:val="24"/>
          <w:szCs w:val="24"/>
          <w:lang w:eastAsia="es-ES"/>
        </w:rPr>
      </w:pPr>
      <w:r w:rsidRPr="008C1FFE">
        <w:rPr>
          <w:rFonts w:ascii="Tahoma" w:eastAsia="Times New Roman" w:hAnsi="Tahoma" w:cs="Tahoma"/>
          <w:b/>
          <w:bCs/>
          <w:sz w:val="24"/>
          <w:szCs w:val="24"/>
          <w:lang w:eastAsia="es-ES"/>
        </w:rPr>
        <w:t xml:space="preserve"> </w:t>
      </w:r>
    </w:p>
    <w:p w14:paraId="281EC599" w14:textId="58CAC058" w:rsidR="00517E49" w:rsidRPr="008C1FFE" w:rsidRDefault="00517E49" w:rsidP="00234931">
      <w:pPr>
        <w:spacing w:after="0" w:line="276" w:lineRule="auto"/>
        <w:ind w:firstLine="644"/>
        <w:jc w:val="both"/>
        <w:rPr>
          <w:rFonts w:ascii="Tahoma" w:eastAsia="Tahoma" w:hAnsi="Tahoma" w:cs="Tahoma"/>
          <w:sz w:val="24"/>
          <w:szCs w:val="24"/>
          <w:lang w:eastAsia="es-ES"/>
        </w:rPr>
      </w:pPr>
      <w:r w:rsidRPr="008C1FFE">
        <w:rPr>
          <w:rFonts w:ascii="Tahoma" w:eastAsia="Tahoma" w:hAnsi="Tahoma" w:cs="Tahoma"/>
          <w:b/>
          <w:bCs/>
          <w:sz w:val="24"/>
          <w:szCs w:val="24"/>
          <w:lang w:eastAsia="es-ES"/>
        </w:rPr>
        <w:t>SEGUNDO</w:t>
      </w:r>
      <w:r w:rsidRPr="008C1FFE">
        <w:rPr>
          <w:rFonts w:ascii="Tahoma" w:eastAsia="Tahoma" w:hAnsi="Tahoma" w:cs="Tahoma"/>
          <w:sz w:val="24"/>
          <w:szCs w:val="24"/>
          <w:lang w:eastAsia="es-ES"/>
        </w:rPr>
        <w:t xml:space="preserve">: </w:t>
      </w:r>
      <w:r w:rsidRPr="008C1FFE">
        <w:rPr>
          <w:rFonts w:ascii="Tahoma" w:eastAsia="Tahoma" w:hAnsi="Tahoma" w:cs="Tahoma"/>
          <w:b/>
          <w:bCs/>
          <w:sz w:val="24"/>
          <w:szCs w:val="24"/>
          <w:lang w:eastAsia="es-ES"/>
        </w:rPr>
        <w:t>CONDENAR</w:t>
      </w:r>
      <w:r w:rsidRPr="008C1FFE">
        <w:rPr>
          <w:rFonts w:ascii="Tahoma" w:eastAsia="Tahoma" w:hAnsi="Tahoma" w:cs="Tahoma"/>
          <w:sz w:val="24"/>
          <w:szCs w:val="24"/>
          <w:lang w:eastAsia="es-ES"/>
        </w:rPr>
        <w:t xml:space="preserve"> en costas de segunda instancia a</w:t>
      </w:r>
      <w:r w:rsidR="007D1979" w:rsidRPr="008C1FFE">
        <w:rPr>
          <w:rFonts w:ascii="Tahoma" w:hAnsi="Tahoma" w:cs="Tahoma"/>
          <w:bCs/>
          <w:sz w:val="24"/>
          <w:szCs w:val="24"/>
        </w:rPr>
        <w:t xml:space="preserve"> </w:t>
      </w:r>
      <w:r w:rsidRPr="008C1FFE">
        <w:rPr>
          <w:rFonts w:ascii="Tahoma" w:hAnsi="Tahoma" w:cs="Tahoma"/>
          <w:bCs/>
          <w:sz w:val="24"/>
          <w:szCs w:val="24"/>
        </w:rPr>
        <w:t>Protección S.A.</w:t>
      </w:r>
      <w:r w:rsidRPr="008C1FFE">
        <w:rPr>
          <w:rFonts w:ascii="Tahoma" w:eastAsia="Tahoma" w:hAnsi="Tahoma" w:cs="Tahoma"/>
          <w:sz w:val="24"/>
          <w:szCs w:val="24"/>
          <w:lang w:eastAsia="es-ES"/>
        </w:rPr>
        <w:t xml:space="preserve"> y a Colpensiones a favor de la parte demandante, las cuales se liquidarán por el juzgado de origen.</w:t>
      </w:r>
    </w:p>
    <w:p w14:paraId="77F89549" w14:textId="3C77E06A" w:rsidR="1B4704F1" w:rsidRPr="008C1FFE" w:rsidRDefault="1B4704F1" w:rsidP="008C1FFE">
      <w:pPr>
        <w:spacing w:after="0" w:line="276" w:lineRule="auto"/>
        <w:jc w:val="both"/>
        <w:textAlignment w:val="baseline"/>
        <w:rPr>
          <w:rFonts w:ascii="Tahoma" w:hAnsi="Tahoma" w:cs="Tahoma"/>
          <w:sz w:val="24"/>
          <w:szCs w:val="24"/>
        </w:rPr>
      </w:pPr>
      <w:r w:rsidRPr="008C1FFE">
        <w:rPr>
          <w:rFonts w:ascii="Tahoma" w:eastAsia="Tahoma" w:hAnsi="Tahoma" w:cs="Tahoma"/>
          <w:b/>
          <w:bCs/>
          <w:sz w:val="24"/>
          <w:szCs w:val="24"/>
        </w:rPr>
        <w:t xml:space="preserve">  </w:t>
      </w:r>
    </w:p>
    <w:p w14:paraId="2BEEA957" w14:textId="026E29E6" w:rsidR="1B4704F1" w:rsidRPr="008C1FFE" w:rsidRDefault="1B4704F1" w:rsidP="008C1FFE">
      <w:pPr>
        <w:spacing w:after="0" w:line="276" w:lineRule="auto"/>
        <w:jc w:val="center"/>
        <w:rPr>
          <w:rFonts w:ascii="Tahoma" w:hAnsi="Tahoma" w:cs="Tahoma"/>
          <w:sz w:val="24"/>
          <w:szCs w:val="24"/>
        </w:rPr>
      </w:pPr>
      <w:r w:rsidRPr="008C1FFE">
        <w:rPr>
          <w:rFonts w:ascii="Tahoma" w:eastAsia="Tahoma" w:hAnsi="Tahoma" w:cs="Tahoma"/>
          <w:b/>
          <w:bCs/>
          <w:sz w:val="24"/>
          <w:szCs w:val="24"/>
        </w:rPr>
        <w:t>NOTIFÍQUESE Y CÚMPLASE</w:t>
      </w:r>
    </w:p>
    <w:p w14:paraId="4163C278" w14:textId="2BE5DB56" w:rsidR="1B4704F1" w:rsidRPr="008C1FFE" w:rsidRDefault="1B4704F1" w:rsidP="008C1FFE">
      <w:pPr>
        <w:spacing w:after="0" w:line="276" w:lineRule="auto"/>
        <w:ind w:firstLine="708"/>
        <w:jc w:val="both"/>
        <w:rPr>
          <w:rFonts w:ascii="Tahoma" w:hAnsi="Tahoma" w:cs="Tahoma"/>
          <w:sz w:val="24"/>
          <w:szCs w:val="24"/>
        </w:rPr>
      </w:pPr>
    </w:p>
    <w:p w14:paraId="0B89C95F" w14:textId="77777777" w:rsidR="00663D0E" w:rsidRPr="00663D0E" w:rsidRDefault="00663D0E" w:rsidP="00663D0E">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663D0E">
        <w:rPr>
          <w:rFonts w:ascii="Tahoma" w:eastAsia="Times New Roman" w:hAnsi="Tahoma" w:cs="Tahoma"/>
          <w:sz w:val="24"/>
          <w:szCs w:val="24"/>
          <w:lang w:val="es-ES" w:eastAsia="es-ES"/>
        </w:rPr>
        <w:tab/>
        <w:t>La Magistrada ponente,</w:t>
      </w:r>
    </w:p>
    <w:p w14:paraId="3FFF070C" w14:textId="77777777" w:rsidR="00663D0E" w:rsidRPr="00663D0E" w:rsidRDefault="00663D0E" w:rsidP="00663D0E">
      <w:pPr>
        <w:spacing w:after="0" w:line="276" w:lineRule="auto"/>
        <w:rPr>
          <w:rFonts w:ascii="Tahoma" w:eastAsia="Times New Roman" w:hAnsi="Tahoma" w:cs="Tahoma"/>
          <w:sz w:val="24"/>
          <w:szCs w:val="24"/>
          <w:lang w:val="es-ES" w:eastAsia="es-ES"/>
        </w:rPr>
      </w:pPr>
    </w:p>
    <w:p w14:paraId="35BE206A" w14:textId="77777777" w:rsidR="00663D0E" w:rsidRPr="00663D0E" w:rsidRDefault="00663D0E" w:rsidP="00663D0E">
      <w:pPr>
        <w:spacing w:after="0" w:line="276" w:lineRule="auto"/>
        <w:rPr>
          <w:rFonts w:ascii="Tahoma" w:eastAsia="Times New Roman" w:hAnsi="Tahoma" w:cs="Tahoma"/>
          <w:sz w:val="24"/>
          <w:szCs w:val="24"/>
          <w:lang w:val="es-ES" w:eastAsia="es-ES"/>
        </w:rPr>
      </w:pPr>
    </w:p>
    <w:p w14:paraId="59EE602B" w14:textId="77777777" w:rsidR="00663D0E" w:rsidRPr="00663D0E" w:rsidRDefault="00663D0E" w:rsidP="00663D0E">
      <w:pPr>
        <w:spacing w:after="0" w:line="276" w:lineRule="auto"/>
        <w:rPr>
          <w:rFonts w:ascii="Tahoma" w:eastAsia="Times New Roman" w:hAnsi="Tahoma" w:cs="Tahoma"/>
          <w:sz w:val="24"/>
          <w:szCs w:val="24"/>
          <w:lang w:val="es-ES" w:eastAsia="es-ES"/>
        </w:rPr>
      </w:pPr>
    </w:p>
    <w:p w14:paraId="28EC2D69" w14:textId="77777777" w:rsidR="00663D0E" w:rsidRPr="00663D0E" w:rsidRDefault="00663D0E" w:rsidP="00663D0E">
      <w:pPr>
        <w:keepNext/>
        <w:spacing w:after="0" w:line="276" w:lineRule="auto"/>
        <w:jc w:val="center"/>
        <w:outlineLvl w:val="2"/>
        <w:rPr>
          <w:rFonts w:ascii="Tahoma" w:eastAsia="Times New Roman" w:hAnsi="Tahoma" w:cs="Tahoma"/>
          <w:b/>
          <w:bCs/>
          <w:sz w:val="24"/>
          <w:szCs w:val="24"/>
          <w:lang w:val="es-ES" w:eastAsia="es-ES"/>
        </w:rPr>
      </w:pPr>
      <w:r w:rsidRPr="00663D0E">
        <w:rPr>
          <w:rFonts w:ascii="Tahoma" w:eastAsia="Times New Roman" w:hAnsi="Tahoma" w:cs="Tahoma"/>
          <w:b/>
          <w:bCs/>
          <w:sz w:val="24"/>
          <w:szCs w:val="24"/>
          <w:lang w:val="es-ES" w:eastAsia="es-ES"/>
        </w:rPr>
        <w:t>ANA LUCÍA CAICEDO CALDERÓN</w:t>
      </w:r>
    </w:p>
    <w:p w14:paraId="0796DC2E" w14:textId="77777777" w:rsidR="00663D0E" w:rsidRPr="00663D0E" w:rsidRDefault="00663D0E" w:rsidP="00663D0E">
      <w:pPr>
        <w:spacing w:after="0" w:line="276" w:lineRule="auto"/>
        <w:rPr>
          <w:rFonts w:ascii="Tahoma" w:eastAsia="Times New Roman" w:hAnsi="Tahoma" w:cs="Tahoma"/>
          <w:sz w:val="24"/>
          <w:szCs w:val="24"/>
          <w:lang w:val="es-ES" w:eastAsia="es-ES"/>
        </w:rPr>
      </w:pPr>
    </w:p>
    <w:p w14:paraId="41898BAE" w14:textId="77777777" w:rsidR="00663D0E" w:rsidRPr="00663D0E" w:rsidRDefault="00663D0E" w:rsidP="00663D0E">
      <w:pPr>
        <w:spacing w:after="0" w:line="276" w:lineRule="auto"/>
        <w:ind w:firstLine="708"/>
        <w:rPr>
          <w:rFonts w:ascii="Tahoma" w:eastAsia="Times New Roman" w:hAnsi="Tahoma" w:cs="Tahoma"/>
          <w:sz w:val="24"/>
          <w:szCs w:val="24"/>
          <w:lang w:val="es-ES" w:eastAsia="es-ES"/>
        </w:rPr>
      </w:pPr>
      <w:bookmarkStart w:id="10" w:name="_Hlk62478330"/>
      <w:r w:rsidRPr="00663D0E">
        <w:rPr>
          <w:rFonts w:ascii="Tahoma" w:eastAsia="Times New Roman" w:hAnsi="Tahoma" w:cs="Tahoma"/>
          <w:sz w:val="24"/>
          <w:szCs w:val="24"/>
          <w:lang w:val="es-ES" w:eastAsia="es-ES"/>
        </w:rPr>
        <w:t>La Magistrada y el Magistrado,</w:t>
      </w:r>
    </w:p>
    <w:p w14:paraId="54C06A2D" w14:textId="77777777" w:rsidR="00663D0E" w:rsidRPr="00663D0E" w:rsidRDefault="00663D0E" w:rsidP="00663D0E">
      <w:pPr>
        <w:spacing w:after="0" w:line="276" w:lineRule="auto"/>
        <w:rPr>
          <w:rFonts w:ascii="Tahoma" w:eastAsia="Times New Roman" w:hAnsi="Tahoma" w:cs="Tahoma"/>
          <w:sz w:val="24"/>
          <w:szCs w:val="24"/>
          <w:lang w:val="es-ES" w:eastAsia="es-ES"/>
        </w:rPr>
      </w:pPr>
    </w:p>
    <w:p w14:paraId="74B623A0" w14:textId="77777777" w:rsidR="00663D0E" w:rsidRPr="00663D0E" w:rsidRDefault="00663D0E" w:rsidP="00663D0E">
      <w:pPr>
        <w:spacing w:after="0" w:line="276" w:lineRule="auto"/>
        <w:rPr>
          <w:rFonts w:ascii="Tahoma" w:eastAsia="Times New Roman" w:hAnsi="Tahoma" w:cs="Tahoma"/>
          <w:sz w:val="24"/>
          <w:szCs w:val="24"/>
          <w:lang w:val="es-ES" w:eastAsia="es-ES"/>
        </w:rPr>
      </w:pPr>
    </w:p>
    <w:p w14:paraId="0A81A4D1" w14:textId="77777777" w:rsidR="00663D0E" w:rsidRPr="00663D0E" w:rsidRDefault="00663D0E" w:rsidP="00663D0E">
      <w:pPr>
        <w:spacing w:after="0" w:line="276" w:lineRule="auto"/>
        <w:rPr>
          <w:rFonts w:ascii="Tahoma" w:eastAsia="Times New Roman" w:hAnsi="Tahoma" w:cs="Tahoma"/>
          <w:sz w:val="24"/>
          <w:szCs w:val="24"/>
          <w:lang w:val="es-ES" w:eastAsia="es-ES"/>
        </w:rPr>
      </w:pPr>
    </w:p>
    <w:p w14:paraId="405FC9AB" w14:textId="76092A64" w:rsidR="00DB3FEF" w:rsidRPr="00663D0E" w:rsidRDefault="00663D0E" w:rsidP="00663D0E">
      <w:pPr>
        <w:spacing w:after="0" w:line="276" w:lineRule="auto"/>
        <w:jc w:val="both"/>
        <w:rPr>
          <w:rFonts w:ascii="Tahoma" w:eastAsia="Times New Roman" w:hAnsi="Tahoma" w:cs="Tahoma"/>
          <w:b/>
          <w:bCs/>
          <w:sz w:val="24"/>
          <w:szCs w:val="24"/>
          <w:lang w:val="es-ES" w:eastAsia="es-ES"/>
        </w:rPr>
      </w:pPr>
      <w:r w:rsidRPr="00663D0E">
        <w:rPr>
          <w:rFonts w:ascii="Tahoma" w:eastAsia="Times New Roman" w:hAnsi="Tahoma" w:cs="Tahoma"/>
          <w:b/>
          <w:bCs/>
          <w:sz w:val="24"/>
          <w:szCs w:val="24"/>
          <w:lang w:val="es-ES" w:eastAsia="es-ES"/>
        </w:rPr>
        <w:t>GERMÁN DARÍO GÓEZ VINASCO</w:t>
      </w:r>
      <w:bookmarkEnd w:id="10"/>
      <w:r w:rsidRPr="00663D0E">
        <w:rPr>
          <w:rFonts w:ascii="Tahoma" w:eastAsia="Times New Roman" w:hAnsi="Tahoma" w:cs="Tahoma"/>
          <w:b/>
          <w:bCs/>
          <w:sz w:val="24"/>
          <w:szCs w:val="24"/>
          <w:lang w:val="es-ES" w:eastAsia="es-ES"/>
        </w:rPr>
        <w:tab/>
      </w:r>
      <w:r w:rsidRPr="00663D0E">
        <w:rPr>
          <w:rFonts w:ascii="Tahoma" w:eastAsia="Times New Roman" w:hAnsi="Tahoma" w:cs="Tahoma"/>
          <w:b/>
          <w:bCs/>
          <w:sz w:val="24"/>
          <w:szCs w:val="24"/>
          <w:lang w:val="es-ES" w:eastAsia="es-ES"/>
        </w:rPr>
        <w:tab/>
        <w:t>OLGA LUCÍA HOYOS SEPÚLVEDA</w:t>
      </w:r>
    </w:p>
    <w:sectPr w:rsidR="00DB3FEF" w:rsidRPr="00663D0E" w:rsidSect="005838FC">
      <w:head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FD9C14" w16cex:dateUtc="2022-03-08T15:44:57.893Z"/>
  <w16cex:commentExtensible w16cex:durableId="01F483C2" w16cex:dateUtc="2022-03-10T17:17:0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2844" w14:textId="77777777" w:rsidR="00B2638F" w:rsidRDefault="00B2638F" w:rsidP="00C23186">
      <w:pPr>
        <w:spacing w:after="0" w:line="240" w:lineRule="auto"/>
      </w:pPr>
      <w:r>
        <w:separator/>
      </w:r>
    </w:p>
  </w:endnote>
  <w:endnote w:type="continuationSeparator" w:id="0">
    <w:p w14:paraId="1A242FB6" w14:textId="77777777" w:rsidR="00B2638F" w:rsidRDefault="00B2638F"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258E5" w14:textId="77777777" w:rsidR="00B2638F" w:rsidRDefault="00B2638F" w:rsidP="00C23186">
      <w:pPr>
        <w:spacing w:after="0" w:line="240" w:lineRule="auto"/>
      </w:pPr>
      <w:r>
        <w:separator/>
      </w:r>
    </w:p>
  </w:footnote>
  <w:footnote w:type="continuationSeparator" w:id="0">
    <w:p w14:paraId="2765FBC8" w14:textId="77777777" w:rsidR="00B2638F" w:rsidRDefault="00B2638F" w:rsidP="00C23186">
      <w:pPr>
        <w:spacing w:after="0" w:line="240" w:lineRule="auto"/>
      </w:pPr>
      <w:r>
        <w:continuationSeparator/>
      </w:r>
    </w:p>
  </w:footnote>
  <w:footnote w:id="1">
    <w:p w14:paraId="1609D947" w14:textId="77777777" w:rsidR="00023083" w:rsidRPr="00234931" w:rsidRDefault="00023083"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Título tomado de la sentencia del 8 de mayo de 2019SL 1688-2019, Radicado 68838, con Ponencia de la Dra. Clara Cecilia Dueñas Quevedo</w:t>
      </w:r>
    </w:p>
  </w:footnote>
  <w:footnote w:id="2">
    <w:p w14:paraId="12E13F61" w14:textId="77777777" w:rsidR="00023083" w:rsidRPr="00234931" w:rsidRDefault="00023083"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Estatuto Orgánico del Sistema Financiero </w:t>
      </w:r>
    </w:p>
  </w:footnote>
  <w:footnote w:id="3">
    <w:p w14:paraId="4595CF19" w14:textId="77777777" w:rsidR="004D57BB" w:rsidRPr="00234931" w:rsidRDefault="004D57BB"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Ibídem</w:t>
      </w:r>
    </w:p>
  </w:footnote>
  <w:footnote w:id="4">
    <w:p w14:paraId="5E516996" w14:textId="3278B7C5" w:rsidR="007C3E4B" w:rsidRPr="00234931" w:rsidRDefault="007C3E4B" w:rsidP="00234931">
      <w:pPr>
        <w:pStyle w:val="Textonotapie"/>
        <w:jc w:val="both"/>
        <w:rPr>
          <w:rFonts w:ascii="Arial" w:hAnsi="Arial" w:cs="Arial"/>
          <w:sz w:val="18"/>
          <w:szCs w:val="18"/>
          <w:lang w:val="es-ES"/>
        </w:rPr>
      </w:pPr>
      <w:r w:rsidRPr="00234931">
        <w:rPr>
          <w:rStyle w:val="Refdenotaalpie"/>
          <w:rFonts w:ascii="Arial" w:hAnsi="Arial" w:cs="Arial"/>
          <w:sz w:val="18"/>
          <w:szCs w:val="18"/>
        </w:rPr>
        <w:footnoteRef/>
      </w:r>
      <w:r w:rsidRPr="00234931">
        <w:rPr>
          <w:rFonts w:ascii="Arial" w:hAnsi="Arial" w:cs="Arial"/>
          <w:sz w:val="18"/>
          <w:szCs w:val="18"/>
        </w:rPr>
        <w:t xml:space="preserve"> </w:t>
      </w:r>
      <w:r w:rsidR="00F421A8" w:rsidRPr="00234931">
        <w:rPr>
          <w:rFonts w:ascii="Arial" w:hAnsi="Arial" w:cs="Arial"/>
          <w:sz w:val="18"/>
          <w:szCs w:val="18"/>
          <w:lang w:val="es-ES"/>
        </w:rPr>
        <w:t>Página 241 del expediente digitalizado.</w:t>
      </w:r>
    </w:p>
  </w:footnote>
  <w:footnote w:id="5">
    <w:p w14:paraId="68CD99E7" w14:textId="77777777" w:rsidR="00ED7DAB" w:rsidRPr="00234931" w:rsidRDefault="00ED7DAB" w:rsidP="00234931">
      <w:pPr>
        <w:pStyle w:val="Textonotapie"/>
        <w:jc w:val="both"/>
        <w:rPr>
          <w:rFonts w:ascii="Arial" w:hAnsi="Arial" w:cs="Arial"/>
          <w:sz w:val="18"/>
          <w:szCs w:val="18"/>
          <w:lang w:val="es-ES"/>
        </w:rPr>
      </w:pPr>
      <w:r w:rsidRPr="00234931">
        <w:rPr>
          <w:rStyle w:val="Refdenotaalpie"/>
          <w:rFonts w:ascii="Arial" w:hAnsi="Arial" w:cs="Arial"/>
          <w:sz w:val="18"/>
          <w:szCs w:val="18"/>
        </w:rPr>
        <w:footnoteRef/>
      </w:r>
      <w:r w:rsidRPr="00234931">
        <w:rPr>
          <w:rFonts w:ascii="Arial" w:hAnsi="Arial" w:cs="Arial"/>
          <w:sz w:val="18"/>
          <w:szCs w:val="18"/>
        </w:rPr>
        <w:t xml:space="preserve"> </w:t>
      </w:r>
      <w:r w:rsidRPr="00234931">
        <w:rPr>
          <w:rFonts w:ascii="Arial" w:hAnsi="Arial" w:cs="Arial"/>
          <w:sz w:val="18"/>
          <w:szCs w:val="18"/>
          <w:lang w:val="es-ES"/>
        </w:rPr>
        <w:t>Archivo 11 del expediente administrativo.</w:t>
      </w:r>
    </w:p>
  </w:footnote>
  <w:footnote w:id="6">
    <w:p w14:paraId="49F5CA00" w14:textId="54238EB4" w:rsidR="007F19D3" w:rsidRPr="00234931" w:rsidRDefault="007F19D3"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Archivo 01 del expediente administrativo</w:t>
      </w:r>
      <w:r w:rsidR="009954B2" w:rsidRPr="00234931">
        <w:rPr>
          <w:rFonts w:ascii="Arial" w:hAnsi="Arial" w:cs="Arial"/>
          <w:sz w:val="18"/>
          <w:szCs w:val="18"/>
        </w:rPr>
        <w:t>.</w:t>
      </w:r>
    </w:p>
  </w:footnote>
  <w:footnote w:id="7">
    <w:p w14:paraId="00C67094" w14:textId="1F0248F0" w:rsidR="007C31D8" w:rsidRPr="00234931" w:rsidRDefault="007C31D8"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w:t>
      </w:r>
      <w:r w:rsidR="00517FA6" w:rsidRPr="00234931">
        <w:rPr>
          <w:rFonts w:ascii="Arial" w:hAnsi="Arial" w:cs="Arial"/>
          <w:sz w:val="18"/>
          <w:szCs w:val="18"/>
        </w:rPr>
        <w:t>Páginas</w:t>
      </w:r>
      <w:r w:rsidRPr="00234931">
        <w:rPr>
          <w:rFonts w:ascii="Arial" w:hAnsi="Arial" w:cs="Arial"/>
          <w:sz w:val="18"/>
          <w:szCs w:val="18"/>
        </w:rPr>
        <w:t xml:space="preserve"> 269 a 270 del expediente digitalizado.</w:t>
      </w:r>
    </w:p>
  </w:footnote>
  <w:footnote w:id="8">
    <w:p w14:paraId="1BD47576" w14:textId="12A8C018" w:rsidR="004E4A1B" w:rsidRPr="00234931" w:rsidRDefault="004E4A1B"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Páginas 261 a 268 del expediente digitalizado. </w:t>
      </w:r>
    </w:p>
  </w:footnote>
  <w:footnote w:id="9">
    <w:p w14:paraId="2771D8E2" w14:textId="2A77095F" w:rsidR="008B2399" w:rsidRPr="00234931" w:rsidRDefault="008B2399"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Páginas 271 y 272 del expediente digitalizado.</w:t>
      </w:r>
    </w:p>
  </w:footnote>
  <w:footnote w:id="10">
    <w:p w14:paraId="688BB412" w14:textId="77777777" w:rsidR="006A2FE4" w:rsidRPr="00234931" w:rsidRDefault="006A2FE4"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Archivo 02 del expediente administrativo. </w:t>
      </w:r>
    </w:p>
  </w:footnote>
  <w:footnote w:id="11">
    <w:p w14:paraId="419972FA" w14:textId="1A881B4D" w:rsidR="00DD6FB7" w:rsidRPr="00234931" w:rsidRDefault="00DD6FB7" w:rsidP="00234931">
      <w:pPr>
        <w:pStyle w:val="Textonotapie"/>
        <w:jc w:val="both"/>
        <w:rPr>
          <w:rFonts w:ascii="Arial" w:hAnsi="Arial" w:cs="Arial"/>
          <w:sz w:val="18"/>
          <w:szCs w:val="18"/>
        </w:rPr>
      </w:pPr>
      <w:r w:rsidRPr="00234931">
        <w:rPr>
          <w:rStyle w:val="Refdenotaalpie"/>
          <w:rFonts w:ascii="Arial" w:hAnsi="Arial" w:cs="Arial"/>
          <w:sz w:val="18"/>
          <w:szCs w:val="18"/>
        </w:rPr>
        <w:footnoteRef/>
      </w:r>
      <w:r w:rsidRPr="00234931">
        <w:rPr>
          <w:rFonts w:ascii="Arial" w:hAnsi="Arial" w:cs="Arial"/>
          <w:sz w:val="18"/>
          <w:szCs w:val="18"/>
        </w:rPr>
        <w:t xml:space="preserve"> Páginas 50 a 52 </w:t>
      </w:r>
      <w:r w:rsidR="007E207C" w:rsidRPr="00234931">
        <w:rPr>
          <w:rFonts w:ascii="Arial" w:hAnsi="Arial" w:cs="Arial"/>
          <w:sz w:val="18"/>
          <w:szCs w:val="18"/>
        </w:rPr>
        <w:t xml:space="preserve">y 73 a 74 </w:t>
      </w:r>
      <w:r w:rsidRPr="00234931">
        <w:rPr>
          <w:rFonts w:ascii="Arial" w:hAnsi="Arial" w:cs="Arial"/>
          <w:sz w:val="18"/>
          <w:szCs w:val="18"/>
        </w:rPr>
        <w:t xml:space="preserve">del expediente digitalizado </w:t>
      </w:r>
    </w:p>
  </w:footnote>
  <w:footnote w:id="12">
    <w:p w14:paraId="78C869F9" w14:textId="5C81822A" w:rsidR="00517FA6" w:rsidRPr="00234931" w:rsidRDefault="00517FA6" w:rsidP="00234931">
      <w:pPr>
        <w:pStyle w:val="Textonotapie"/>
        <w:jc w:val="both"/>
        <w:rPr>
          <w:rFonts w:ascii="Arial" w:hAnsi="Arial" w:cs="Arial"/>
          <w:sz w:val="18"/>
          <w:szCs w:val="18"/>
          <w:lang w:val="es-ES"/>
        </w:rPr>
      </w:pPr>
      <w:r w:rsidRPr="00234931">
        <w:rPr>
          <w:rStyle w:val="Refdenotaalpie"/>
          <w:rFonts w:ascii="Arial" w:hAnsi="Arial" w:cs="Arial"/>
          <w:sz w:val="18"/>
          <w:szCs w:val="18"/>
        </w:rPr>
        <w:footnoteRef/>
      </w:r>
      <w:r w:rsidRPr="00234931">
        <w:rPr>
          <w:rFonts w:ascii="Arial" w:hAnsi="Arial" w:cs="Arial"/>
          <w:sz w:val="18"/>
          <w:szCs w:val="18"/>
        </w:rPr>
        <w:t xml:space="preserve"> </w:t>
      </w:r>
      <w:r w:rsidRPr="00234931">
        <w:rPr>
          <w:rFonts w:ascii="Arial" w:hAnsi="Arial" w:cs="Arial"/>
          <w:sz w:val="18"/>
          <w:szCs w:val="18"/>
          <w:lang w:val="es-ES"/>
        </w:rPr>
        <w:t>Archivo 13 del expediente administrativo</w:t>
      </w:r>
      <w:r w:rsidR="006A4EA2" w:rsidRPr="00234931">
        <w:rPr>
          <w:rFonts w:ascii="Arial" w:hAnsi="Arial" w:cs="Arial"/>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9133" w14:textId="534D660B" w:rsidR="005A51B7" w:rsidRPr="00800F70" w:rsidRDefault="005A51B7" w:rsidP="00800F70">
    <w:pPr>
      <w:widowControl w:val="0"/>
      <w:tabs>
        <w:tab w:val="left" w:pos="2226"/>
      </w:tabs>
      <w:autoSpaceDE w:val="0"/>
      <w:autoSpaceDN w:val="0"/>
      <w:spacing w:after="0" w:line="240" w:lineRule="auto"/>
      <w:rPr>
        <w:rFonts w:ascii="Arial" w:eastAsia="Tahoma" w:hAnsi="Arial" w:cs="Arial"/>
        <w:sz w:val="18"/>
        <w:szCs w:val="16"/>
        <w:lang w:val="es"/>
      </w:rPr>
    </w:pPr>
    <w:r w:rsidRPr="00800F70">
      <w:rPr>
        <w:rFonts w:ascii="Arial" w:eastAsia="Tahoma" w:hAnsi="Arial" w:cs="Arial"/>
        <w:sz w:val="18"/>
        <w:szCs w:val="16"/>
        <w:lang w:val="es"/>
      </w:rPr>
      <w:t>Radicación No.: 66001-31-05-00</w:t>
    </w:r>
    <w:r w:rsidR="00EF22DE" w:rsidRPr="00800F70">
      <w:rPr>
        <w:rFonts w:ascii="Arial" w:eastAsia="Tahoma" w:hAnsi="Arial" w:cs="Arial"/>
        <w:sz w:val="18"/>
        <w:szCs w:val="16"/>
        <w:lang w:val="es"/>
      </w:rPr>
      <w:t>2</w:t>
    </w:r>
    <w:r w:rsidRPr="00800F70">
      <w:rPr>
        <w:rFonts w:ascii="Arial" w:eastAsia="Tahoma" w:hAnsi="Arial" w:cs="Arial"/>
        <w:sz w:val="18"/>
        <w:szCs w:val="16"/>
        <w:lang w:val="es"/>
      </w:rPr>
      <w:t>-2019-000</w:t>
    </w:r>
    <w:r w:rsidR="00EF22DE" w:rsidRPr="00800F70">
      <w:rPr>
        <w:rFonts w:ascii="Arial" w:eastAsia="Tahoma" w:hAnsi="Arial" w:cs="Arial"/>
        <w:sz w:val="18"/>
        <w:szCs w:val="16"/>
        <w:lang w:val="es"/>
      </w:rPr>
      <w:t>53</w:t>
    </w:r>
    <w:r w:rsidRPr="00800F70">
      <w:rPr>
        <w:rFonts w:ascii="Arial" w:eastAsia="Tahoma" w:hAnsi="Arial" w:cs="Arial"/>
        <w:sz w:val="18"/>
        <w:szCs w:val="16"/>
        <w:lang w:val="es"/>
      </w:rPr>
      <w:t>-01</w:t>
    </w:r>
  </w:p>
  <w:p w14:paraId="2B800B7A" w14:textId="2B42B1BF" w:rsidR="005A51B7" w:rsidRPr="00800F70" w:rsidRDefault="005A51B7" w:rsidP="00800F70">
    <w:pPr>
      <w:widowControl w:val="0"/>
      <w:tabs>
        <w:tab w:val="left" w:pos="2226"/>
      </w:tabs>
      <w:autoSpaceDE w:val="0"/>
      <w:autoSpaceDN w:val="0"/>
      <w:spacing w:after="0" w:line="240" w:lineRule="auto"/>
      <w:rPr>
        <w:rFonts w:ascii="Arial" w:eastAsia="Tahoma" w:hAnsi="Arial" w:cs="Arial"/>
        <w:sz w:val="18"/>
        <w:szCs w:val="16"/>
        <w:lang w:val="es"/>
      </w:rPr>
    </w:pPr>
    <w:r w:rsidRPr="00800F70">
      <w:rPr>
        <w:rFonts w:ascii="Arial" w:eastAsia="Tahoma" w:hAnsi="Arial" w:cs="Arial"/>
        <w:sz w:val="18"/>
        <w:szCs w:val="16"/>
        <w:lang w:val="es"/>
      </w:rPr>
      <w:t xml:space="preserve">Demandante: </w:t>
    </w:r>
    <w:r w:rsidR="00EF22DE" w:rsidRPr="00800F70">
      <w:rPr>
        <w:rFonts w:ascii="Arial" w:eastAsia="Tahoma" w:hAnsi="Arial" w:cs="Arial"/>
        <w:sz w:val="18"/>
        <w:szCs w:val="16"/>
        <w:lang w:val="es"/>
      </w:rPr>
      <w:t>Jairo de Jesús Restrepo Castaño</w:t>
    </w:r>
  </w:p>
  <w:p w14:paraId="5F4FBB4C" w14:textId="3295C4D8" w:rsidR="009D5CE7" w:rsidRPr="00800F70" w:rsidRDefault="005A51B7" w:rsidP="00800F70">
    <w:pPr>
      <w:widowControl w:val="0"/>
      <w:tabs>
        <w:tab w:val="left" w:pos="2226"/>
      </w:tabs>
      <w:autoSpaceDE w:val="0"/>
      <w:autoSpaceDN w:val="0"/>
      <w:spacing w:after="0" w:line="240" w:lineRule="auto"/>
      <w:rPr>
        <w:rFonts w:ascii="Arial" w:eastAsia="Tahoma" w:hAnsi="Arial" w:cs="Arial"/>
        <w:sz w:val="18"/>
        <w:szCs w:val="16"/>
        <w:lang w:val="es"/>
      </w:rPr>
    </w:pPr>
    <w:r w:rsidRPr="00800F70">
      <w:rPr>
        <w:rFonts w:ascii="Arial" w:eastAsia="Tahoma" w:hAnsi="Arial" w:cs="Arial"/>
        <w:sz w:val="18"/>
        <w:szCs w:val="16"/>
        <w:lang w:val="es"/>
      </w:rPr>
      <w:t>Demandados: Colpensiones</w:t>
    </w:r>
    <w:r w:rsidR="00EF22DE" w:rsidRPr="00800F70">
      <w:rPr>
        <w:rFonts w:ascii="Arial" w:eastAsia="Tahoma" w:hAnsi="Arial" w:cs="Arial"/>
        <w:sz w:val="18"/>
        <w:szCs w:val="16"/>
        <w:lang w:val="es"/>
      </w:rPr>
      <w:t xml:space="preserve"> </w:t>
    </w:r>
    <w:r w:rsidRPr="00800F70">
      <w:rPr>
        <w:rFonts w:ascii="Arial" w:eastAsia="Tahoma" w:hAnsi="Arial" w:cs="Arial"/>
        <w:sz w:val="18"/>
        <w:szCs w:val="16"/>
        <w:lang w:val="es"/>
      </w:rPr>
      <w:t>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0335E6"/>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4" w15:restartNumberingAfterBreak="0">
    <w:nsid w:val="3751568B"/>
    <w:multiLevelType w:val="multilevel"/>
    <w:tmpl w:val="93C2E5CE"/>
    <w:lvl w:ilvl="0">
      <w:start w:val="6"/>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6"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9"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15:restartNumberingAfterBreak="0">
    <w:nsid w:val="66481EED"/>
    <w:multiLevelType w:val="multilevel"/>
    <w:tmpl w:val="CE426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bCs w:val="0"/>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6C42761D"/>
    <w:multiLevelType w:val="multilevel"/>
    <w:tmpl w:val="CE426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bCs w:val="0"/>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4"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7"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8"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8"/>
  </w:num>
  <w:num w:numId="2">
    <w:abstractNumId w:val="3"/>
  </w:num>
  <w:num w:numId="3">
    <w:abstractNumId w:val="16"/>
  </w:num>
  <w:num w:numId="4">
    <w:abstractNumId w:val="11"/>
  </w:num>
  <w:num w:numId="5">
    <w:abstractNumId w:val="7"/>
  </w:num>
  <w:num w:numId="6">
    <w:abstractNumId w:val="8"/>
  </w:num>
  <w:num w:numId="7">
    <w:abstractNumId w:val="5"/>
  </w:num>
  <w:num w:numId="8">
    <w:abstractNumId w:val="17"/>
  </w:num>
  <w:num w:numId="9">
    <w:abstractNumId w:val="15"/>
  </w:num>
  <w:num w:numId="10">
    <w:abstractNumId w:val="1"/>
  </w:num>
  <w:num w:numId="11">
    <w:abstractNumId w:val="6"/>
  </w:num>
  <w:num w:numId="12">
    <w:abstractNumId w:val="13"/>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4"/>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18BD"/>
    <w:rsid w:val="00014764"/>
    <w:rsid w:val="0001484D"/>
    <w:rsid w:val="00015234"/>
    <w:rsid w:val="00023083"/>
    <w:rsid w:val="0002511D"/>
    <w:rsid w:val="00030451"/>
    <w:rsid w:val="00031F14"/>
    <w:rsid w:val="00032095"/>
    <w:rsid w:val="00032248"/>
    <w:rsid w:val="00032EC7"/>
    <w:rsid w:val="00036A0B"/>
    <w:rsid w:val="00037281"/>
    <w:rsid w:val="0003745A"/>
    <w:rsid w:val="0004089E"/>
    <w:rsid w:val="00041030"/>
    <w:rsid w:val="000417EB"/>
    <w:rsid w:val="00042449"/>
    <w:rsid w:val="00042A7C"/>
    <w:rsid w:val="00042B18"/>
    <w:rsid w:val="00042DEF"/>
    <w:rsid w:val="00043B35"/>
    <w:rsid w:val="00050BBD"/>
    <w:rsid w:val="00051F39"/>
    <w:rsid w:val="00052D3A"/>
    <w:rsid w:val="000543AB"/>
    <w:rsid w:val="00055156"/>
    <w:rsid w:val="00057CA6"/>
    <w:rsid w:val="00062DDA"/>
    <w:rsid w:val="00065E38"/>
    <w:rsid w:val="0008086A"/>
    <w:rsid w:val="000828F2"/>
    <w:rsid w:val="00090EFE"/>
    <w:rsid w:val="00091505"/>
    <w:rsid w:val="00093722"/>
    <w:rsid w:val="000938AC"/>
    <w:rsid w:val="00094BAC"/>
    <w:rsid w:val="00096992"/>
    <w:rsid w:val="000A1A01"/>
    <w:rsid w:val="000A2B8E"/>
    <w:rsid w:val="000B1FF4"/>
    <w:rsid w:val="000B3CCC"/>
    <w:rsid w:val="000B799F"/>
    <w:rsid w:val="000C1336"/>
    <w:rsid w:val="000C33D3"/>
    <w:rsid w:val="000C5A86"/>
    <w:rsid w:val="000C7A86"/>
    <w:rsid w:val="000D2BC0"/>
    <w:rsid w:val="000D43E8"/>
    <w:rsid w:val="000D6D43"/>
    <w:rsid w:val="000E125A"/>
    <w:rsid w:val="000E1E65"/>
    <w:rsid w:val="000E2B9B"/>
    <w:rsid w:val="000E4A44"/>
    <w:rsid w:val="000F3877"/>
    <w:rsid w:val="000F51C3"/>
    <w:rsid w:val="00102328"/>
    <w:rsid w:val="00102C39"/>
    <w:rsid w:val="0010327A"/>
    <w:rsid w:val="00111C3E"/>
    <w:rsid w:val="00112BDA"/>
    <w:rsid w:val="001135A2"/>
    <w:rsid w:val="00114317"/>
    <w:rsid w:val="00123CD4"/>
    <w:rsid w:val="001259F4"/>
    <w:rsid w:val="00126658"/>
    <w:rsid w:val="00126C07"/>
    <w:rsid w:val="00130B02"/>
    <w:rsid w:val="00131BF9"/>
    <w:rsid w:val="001360F8"/>
    <w:rsid w:val="00140967"/>
    <w:rsid w:val="00140C3E"/>
    <w:rsid w:val="00141824"/>
    <w:rsid w:val="0014330F"/>
    <w:rsid w:val="001435B5"/>
    <w:rsid w:val="001441C9"/>
    <w:rsid w:val="001476FD"/>
    <w:rsid w:val="00155AC3"/>
    <w:rsid w:val="00161370"/>
    <w:rsid w:val="0016205F"/>
    <w:rsid w:val="00162F88"/>
    <w:rsid w:val="00165603"/>
    <w:rsid w:val="00166A86"/>
    <w:rsid w:val="00170E8A"/>
    <w:rsid w:val="00182C66"/>
    <w:rsid w:val="00184025"/>
    <w:rsid w:val="00191788"/>
    <w:rsid w:val="00195E01"/>
    <w:rsid w:val="00196F1F"/>
    <w:rsid w:val="00197118"/>
    <w:rsid w:val="001A51B7"/>
    <w:rsid w:val="001A6F00"/>
    <w:rsid w:val="001B1669"/>
    <w:rsid w:val="001B42A1"/>
    <w:rsid w:val="001B4546"/>
    <w:rsid w:val="001B5A6D"/>
    <w:rsid w:val="001C22D2"/>
    <w:rsid w:val="001C28E3"/>
    <w:rsid w:val="001C6C14"/>
    <w:rsid w:val="001C6ECB"/>
    <w:rsid w:val="001D02C7"/>
    <w:rsid w:val="001D3A85"/>
    <w:rsid w:val="001D5072"/>
    <w:rsid w:val="001D5341"/>
    <w:rsid w:val="001D5759"/>
    <w:rsid w:val="001D7C47"/>
    <w:rsid w:val="001E25A1"/>
    <w:rsid w:val="001E3317"/>
    <w:rsid w:val="001E42A6"/>
    <w:rsid w:val="001E53F3"/>
    <w:rsid w:val="001F170B"/>
    <w:rsid w:val="001F4637"/>
    <w:rsid w:val="001F6A9B"/>
    <w:rsid w:val="001F6C3F"/>
    <w:rsid w:val="001F7D4F"/>
    <w:rsid w:val="00201672"/>
    <w:rsid w:val="00201EF1"/>
    <w:rsid w:val="002243A2"/>
    <w:rsid w:val="00231C15"/>
    <w:rsid w:val="0023222F"/>
    <w:rsid w:val="0023333E"/>
    <w:rsid w:val="002336F6"/>
    <w:rsid w:val="00234931"/>
    <w:rsid w:val="002349B0"/>
    <w:rsid w:val="00235D6A"/>
    <w:rsid w:val="00236904"/>
    <w:rsid w:val="00236D73"/>
    <w:rsid w:val="00237C78"/>
    <w:rsid w:val="00237EDD"/>
    <w:rsid w:val="00241F8C"/>
    <w:rsid w:val="0024329F"/>
    <w:rsid w:val="0025037F"/>
    <w:rsid w:val="00252A93"/>
    <w:rsid w:val="00253372"/>
    <w:rsid w:val="00254958"/>
    <w:rsid w:val="00256154"/>
    <w:rsid w:val="00256CAB"/>
    <w:rsid w:val="00257654"/>
    <w:rsid w:val="002578AF"/>
    <w:rsid w:val="00262FBF"/>
    <w:rsid w:val="00266CCF"/>
    <w:rsid w:val="002708AA"/>
    <w:rsid w:val="00271CF0"/>
    <w:rsid w:val="002747A8"/>
    <w:rsid w:val="00276B38"/>
    <w:rsid w:val="00276ED7"/>
    <w:rsid w:val="00276F28"/>
    <w:rsid w:val="0028727F"/>
    <w:rsid w:val="002912D9"/>
    <w:rsid w:val="002A0CFB"/>
    <w:rsid w:val="002A3232"/>
    <w:rsid w:val="002A5546"/>
    <w:rsid w:val="002A5F6F"/>
    <w:rsid w:val="002B3245"/>
    <w:rsid w:val="002B5314"/>
    <w:rsid w:val="002B616C"/>
    <w:rsid w:val="002C2CFA"/>
    <w:rsid w:val="002C5545"/>
    <w:rsid w:val="002C5798"/>
    <w:rsid w:val="002C620A"/>
    <w:rsid w:val="002C6788"/>
    <w:rsid w:val="002C6FE5"/>
    <w:rsid w:val="002C7460"/>
    <w:rsid w:val="002D066F"/>
    <w:rsid w:val="002D1561"/>
    <w:rsid w:val="002D2DFD"/>
    <w:rsid w:val="002D33E3"/>
    <w:rsid w:val="002D52E7"/>
    <w:rsid w:val="002D5663"/>
    <w:rsid w:val="002D75D4"/>
    <w:rsid w:val="002E15A9"/>
    <w:rsid w:val="002E20E3"/>
    <w:rsid w:val="002E537A"/>
    <w:rsid w:val="002E5DC1"/>
    <w:rsid w:val="002F17B5"/>
    <w:rsid w:val="00304498"/>
    <w:rsid w:val="00306FBA"/>
    <w:rsid w:val="003104B1"/>
    <w:rsid w:val="00311073"/>
    <w:rsid w:val="003155C8"/>
    <w:rsid w:val="0031639F"/>
    <w:rsid w:val="0032758F"/>
    <w:rsid w:val="0033269F"/>
    <w:rsid w:val="00337B22"/>
    <w:rsid w:val="0034606B"/>
    <w:rsid w:val="003516BF"/>
    <w:rsid w:val="00351B0E"/>
    <w:rsid w:val="003531EC"/>
    <w:rsid w:val="003570BE"/>
    <w:rsid w:val="003573E6"/>
    <w:rsid w:val="0036052B"/>
    <w:rsid w:val="00360CA7"/>
    <w:rsid w:val="0036642A"/>
    <w:rsid w:val="0036756C"/>
    <w:rsid w:val="0037339A"/>
    <w:rsid w:val="00377A79"/>
    <w:rsid w:val="00382AFB"/>
    <w:rsid w:val="0038337E"/>
    <w:rsid w:val="003863EB"/>
    <w:rsid w:val="00386A5F"/>
    <w:rsid w:val="00392A1B"/>
    <w:rsid w:val="003935CD"/>
    <w:rsid w:val="00393663"/>
    <w:rsid w:val="00393C33"/>
    <w:rsid w:val="0039430B"/>
    <w:rsid w:val="00395E5E"/>
    <w:rsid w:val="003A0FD4"/>
    <w:rsid w:val="003A150B"/>
    <w:rsid w:val="003A3204"/>
    <w:rsid w:val="003A4B8B"/>
    <w:rsid w:val="003A55D1"/>
    <w:rsid w:val="003A5F1B"/>
    <w:rsid w:val="003A7810"/>
    <w:rsid w:val="003B301A"/>
    <w:rsid w:val="003B4092"/>
    <w:rsid w:val="003B43F5"/>
    <w:rsid w:val="003B6867"/>
    <w:rsid w:val="003B7DF2"/>
    <w:rsid w:val="003C32D3"/>
    <w:rsid w:val="003D3264"/>
    <w:rsid w:val="003D42F1"/>
    <w:rsid w:val="003D49EC"/>
    <w:rsid w:val="003D4A89"/>
    <w:rsid w:val="003E43C3"/>
    <w:rsid w:val="003E7714"/>
    <w:rsid w:val="003F08F5"/>
    <w:rsid w:val="003F36A0"/>
    <w:rsid w:val="003F5835"/>
    <w:rsid w:val="003F6FBA"/>
    <w:rsid w:val="004046D4"/>
    <w:rsid w:val="00407030"/>
    <w:rsid w:val="0041011C"/>
    <w:rsid w:val="00412566"/>
    <w:rsid w:val="00412E14"/>
    <w:rsid w:val="00414042"/>
    <w:rsid w:val="0041731A"/>
    <w:rsid w:val="00421A84"/>
    <w:rsid w:val="0042691A"/>
    <w:rsid w:val="00432AAF"/>
    <w:rsid w:val="004336B5"/>
    <w:rsid w:val="004339D5"/>
    <w:rsid w:val="00441696"/>
    <w:rsid w:val="004436EA"/>
    <w:rsid w:val="00444127"/>
    <w:rsid w:val="004454C0"/>
    <w:rsid w:val="0044686D"/>
    <w:rsid w:val="00447135"/>
    <w:rsid w:val="00447B77"/>
    <w:rsid w:val="004508FD"/>
    <w:rsid w:val="00454F0D"/>
    <w:rsid w:val="00456134"/>
    <w:rsid w:val="00457724"/>
    <w:rsid w:val="00457BF0"/>
    <w:rsid w:val="004649AD"/>
    <w:rsid w:val="00465541"/>
    <w:rsid w:val="00470271"/>
    <w:rsid w:val="00470FD1"/>
    <w:rsid w:val="0047222B"/>
    <w:rsid w:val="00476E80"/>
    <w:rsid w:val="00483AA9"/>
    <w:rsid w:val="00484C1F"/>
    <w:rsid w:val="00486596"/>
    <w:rsid w:val="00486C91"/>
    <w:rsid w:val="00491225"/>
    <w:rsid w:val="00495A82"/>
    <w:rsid w:val="004A05ED"/>
    <w:rsid w:val="004A2DA5"/>
    <w:rsid w:val="004B042C"/>
    <w:rsid w:val="004B32BD"/>
    <w:rsid w:val="004B4BDC"/>
    <w:rsid w:val="004C0473"/>
    <w:rsid w:val="004C642E"/>
    <w:rsid w:val="004C7FD2"/>
    <w:rsid w:val="004D4F2B"/>
    <w:rsid w:val="004D57BB"/>
    <w:rsid w:val="004D7BEA"/>
    <w:rsid w:val="004E1372"/>
    <w:rsid w:val="004E4A1B"/>
    <w:rsid w:val="004F1410"/>
    <w:rsid w:val="004F27F6"/>
    <w:rsid w:val="004F4FB7"/>
    <w:rsid w:val="004F67FF"/>
    <w:rsid w:val="004F7382"/>
    <w:rsid w:val="005002FF"/>
    <w:rsid w:val="005060D7"/>
    <w:rsid w:val="0051075F"/>
    <w:rsid w:val="0051100E"/>
    <w:rsid w:val="00513ADB"/>
    <w:rsid w:val="00517E49"/>
    <w:rsid w:val="00517FA6"/>
    <w:rsid w:val="00523BAC"/>
    <w:rsid w:val="00523E03"/>
    <w:rsid w:val="00523E91"/>
    <w:rsid w:val="005252B1"/>
    <w:rsid w:val="005271DE"/>
    <w:rsid w:val="00530B56"/>
    <w:rsid w:val="00532F0C"/>
    <w:rsid w:val="00536029"/>
    <w:rsid w:val="00536DD3"/>
    <w:rsid w:val="005416F9"/>
    <w:rsid w:val="00543740"/>
    <w:rsid w:val="005549BC"/>
    <w:rsid w:val="00562ECF"/>
    <w:rsid w:val="005675CD"/>
    <w:rsid w:val="005714D9"/>
    <w:rsid w:val="0057424B"/>
    <w:rsid w:val="005834AB"/>
    <w:rsid w:val="005838FC"/>
    <w:rsid w:val="005845B4"/>
    <w:rsid w:val="00585905"/>
    <w:rsid w:val="005905CB"/>
    <w:rsid w:val="00596FAC"/>
    <w:rsid w:val="005A06DD"/>
    <w:rsid w:val="005A1D54"/>
    <w:rsid w:val="005A2B4D"/>
    <w:rsid w:val="005A2E58"/>
    <w:rsid w:val="005A51B7"/>
    <w:rsid w:val="005A52B5"/>
    <w:rsid w:val="005B0A1C"/>
    <w:rsid w:val="005B280F"/>
    <w:rsid w:val="005B29C3"/>
    <w:rsid w:val="005B7506"/>
    <w:rsid w:val="005C01B3"/>
    <w:rsid w:val="005C120B"/>
    <w:rsid w:val="005C5B07"/>
    <w:rsid w:val="005C5EE7"/>
    <w:rsid w:val="005D0723"/>
    <w:rsid w:val="005D11A0"/>
    <w:rsid w:val="005D37D3"/>
    <w:rsid w:val="005E0115"/>
    <w:rsid w:val="005E7259"/>
    <w:rsid w:val="005F0D80"/>
    <w:rsid w:val="005F327D"/>
    <w:rsid w:val="005F7BCD"/>
    <w:rsid w:val="00605231"/>
    <w:rsid w:val="0060626A"/>
    <w:rsid w:val="00607CAF"/>
    <w:rsid w:val="00610E50"/>
    <w:rsid w:val="0061274F"/>
    <w:rsid w:val="0062155A"/>
    <w:rsid w:val="00623169"/>
    <w:rsid w:val="006249BC"/>
    <w:rsid w:val="00627AE2"/>
    <w:rsid w:val="00632FC1"/>
    <w:rsid w:val="0064089B"/>
    <w:rsid w:val="00642083"/>
    <w:rsid w:val="00645107"/>
    <w:rsid w:val="00645754"/>
    <w:rsid w:val="00646DD3"/>
    <w:rsid w:val="0064704B"/>
    <w:rsid w:val="00656B28"/>
    <w:rsid w:val="0066077A"/>
    <w:rsid w:val="00661230"/>
    <w:rsid w:val="006626C6"/>
    <w:rsid w:val="00663D0E"/>
    <w:rsid w:val="006652E0"/>
    <w:rsid w:val="0067073B"/>
    <w:rsid w:val="00670A96"/>
    <w:rsid w:val="00671D49"/>
    <w:rsid w:val="00672105"/>
    <w:rsid w:val="0067298C"/>
    <w:rsid w:val="006760A3"/>
    <w:rsid w:val="00685ED1"/>
    <w:rsid w:val="00685FA1"/>
    <w:rsid w:val="006937FD"/>
    <w:rsid w:val="00695254"/>
    <w:rsid w:val="006A13DC"/>
    <w:rsid w:val="006A2C27"/>
    <w:rsid w:val="006A2FE4"/>
    <w:rsid w:val="006A4EA2"/>
    <w:rsid w:val="006A5BC1"/>
    <w:rsid w:val="006A6931"/>
    <w:rsid w:val="006A7CB0"/>
    <w:rsid w:val="006B31D7"/>
    <w:rsid w:val="006B4A6F"/>
    <w:rsid w:val="006C0C74"/>
    <w:rsid w:val="006C54B7"/>
    <w:rsid w:val="006C7716"/>
    <w:rsid w:val="006D20B3"/>
    <w:rsid w:val="006D2BEF"/>
    <w:rsid w:val="006D310D"/>
    <w:rsid w:val="006D33E0"/>
    <w:rsid w:val="006E169F"/>
    <w:rsid w:val="006E273F"/>
    <w:rsid w:val="006E2A67"/>
    <w:rsid w:val="006E46A4"/>
    <w:rsid w:val="006E53FE"/>
    <w:rsid w:val="006E6C9D"/>
    <w:rsid w:val="006F1E08"/>
    <w:rsid w:val="006F2653"/>
    <w:rsid w:val="006F4036"/>
    <w:rsid w:val="006F6749"/>
    <w:rsid w:val="006F6866"/>
    <w:rsid w:val="006F7270"/>
    <w:rsid w:val="006F7F19"/>
    <w:rsid w:val="0070160D"/>
    <w:rsid w:val="007032BC"/>
    <w:rsid w:val="0071320C"/>
    <w:rsid w:val="007158AB"/>
    <w:rsid w:val="00717199"/>
    <w:rsid w:val="0072063D"/>
    <w:rsid w:val="0072155D"/>
    <w:rsid w:val="0072441E"/>
    <w:rsid w:val="007303F8"/>
    <w:rsid w:val="0073142B"/>
    <w:rsid w:val="00733A6B"/>
    <w:rsid w:val="00734573"/>
    <w:rsid w:val="00734A36"/>
    <w:rsid w:val="007429F2"/>
    <w:rsid w:val="0075081C"/>
    <w:rsid w:val="00756969"/>
    <w:rsid w:val="0075721F"/>
    <w:rsid w:val="00762188"/>
    <w:rsid w:val="00764150"/>
    <w:rsid w:val="007641F9"/>
    <w:rsid w:val="00764711"/>
    <w:rsid w:val="0076663B"/>
    <w:rsid w:val="00772356"/>
    <w:rsid w:val="00772399"/>
    <w:rsid w:val="00773369"/>
    <w:rsid w:val="00774E6E"/>
    <w:rsid w:val="00775CBA"/>
    <w:rsid w:val="00777C50"/>
    <w:rsid w:val="007815AD"/>
    <w:rsid w:val="00781C2E"/>
    <w:rsid w:val="00784FEE"/>
    <w:rsid w:val="0079445A"/>
    <w:rsid w:val="00796FFF"/>
    <w:rsid w:val="007A045D"/>
    <w:rsid w:val="007A0EB4"/>
    <w:rsid w:val="007A5F77"/>
    <w:rsid w:val="007A7B8D"/>
    <w:rsid w:val="007B11F7"/>
    <w:rsid w:val="007B2DFB"/>
    <w:rsid w:val="007B5513"/>
    <w:rsid w:val="007B73E7"/>
    <w:rsid w:val="007C31D8"/>
    <w:rsid w:val="007C3E4B"/>
    <w:rsid w:val="007C5766"/>
    <w:rsid w:val="007C682E"/>
    <w:rsid w:val="007D0DE2"/>
    <w:rsid w:val="007D123C"/>
    <w:rsid w:val="007D1979"/>
    <w:rsid w:val="007D1FEE"/>
    <w:rsid w:val="007E13D8"/>
    <w:rsid w:val="007E207C"/>
    <w:rsid w:val="007F0682"/>
    <w:rsid w:val="007F0B92"/>
    <w:rsid w:val="007F1444"/>
    <w:rsid w:val="007F19D3"/>
    <w:rsid w:val="008006F5"/>
    <w:rsid w:val="00800ECE"/>
    <w:rsid w:val="00800F70"/>
    <w:rsid w:val="0080631B"/>
    <w:rsid w:val="008078E7"/>
    <w:rsid w:val="00807F7C"/>
    <w:rsid w:val="00812A50"/>
    <w:rsid w:val="008156A0"/>
    <w:rsid w:val="00815947"/>
    <w:rsid w:val="008172CE"/>
    <w:rsid w:val="008241B6"/>
    <w:rsid w:val="00835651"/>
    <w:rsid w:val="00846DE2"/>
    <w:rsid w:val="00851059"/>
    <w:rsid w:val="008554CC"/>
    <w:rsid w:val="0087014F"/>
    <w:rsid w:val="00873020"/>
    <w:rsid w:val="00884244"/>
    <w:rsid w:val="008843CF"/>
    <w:rsid w:val="00884D55"/>
    <w:rsid w:val="00885FEA"/>
    <w:rsid w:val="00891B77"/>
    <w:rsid w:val="00892604"/>
    <w:rsid w:val="00893E4F"/>
    <w:rsid w:val="00897D28"/>
    <w:rsid w:val="008A2F92"/>
    <w:rsid w:val="008B1ABF"/>
    <w:rsid w:val="008B2399"/>
    <w:rsid w:val="008B4479"/>
    <w:rsid w:val="008B5572"/>
    <w:rsid w:val="008B6AFF"/>
    <w:rsid w:val="008C0045"/>
    <w:rsid w:val="008C1FFE"/>
    <w:rsid w:val="008C26F2"/>
    <w:rsid w:val="008C2DC1"/>
    <w:rsid w:val="008C69F8"/>
    <w:rsid w:val="008C7D43"/>
    <w:rsid w:val="008D0BDD"/>
    <w:rsid w:val="008D3E5B"/>
    <w:rsid w:val="008D58E2"/>
    <w:rsid w:val="008E34FF"/>
    <w:rsid w:val="008E3B13"/>
    <w:rsid w:val="008F3D8A"/>
    <w:rsid w:val="008F6CA9"/>
    <w:rsid w:val="008F783C"/>
    <w:rsid w:val="00901468"/>
    <w:rsid w:val="009040FB"/>
    <w:rsid w:val="00905CF4"/>
    <w:rsid w:val="00912345"/>
    <w:rsid w:val="009145B6"/>
    <w:rsid w:val="009223A3"/>
    <w:rsid w:val="00923FCE"/>
    <w:rsid w:val="00925E7F"/>
    <w:rsid w:val="009266AA"/>
    <w:rsid w:val="00927353"/>
    <w:rsid w:val="00931711"/>
    <w:rsid w:val="00931A5E"/>
    <w:rsid w:val="009351B3"/>
    <w:rsid w:val="009369C0"/>
    <w:rsid w:val="0093759D"/>
    <w:rsid w:val="0094501E"/>
    <w:rsid w:val="009478F9"/>
    <w:rsid w:val="00947EC4"/>
    <w:rsid w:val="00951215"/>
    <w:rsid w:val="00951371"/>
    <w:rsid w:val="0095178F"/>
    <w:rsid w:val="00951EB2"/>
    <w:rsid w:val="00953AD2"/>
    <w:rsid w:val="00953F5A"/>
    <w:rsid w:val="009548E1"/>
    <w:rsid w:val="00956422"/>
    <w:rsid w:val="00956B53"/>
    <w:rsid w:val="009573D9"/>
    <w:rsid w:val="00960751"/>
    <w:rsid w:val="00961903"/>
    <w:rsid w:val="0097315C"/>
    <w:rsid w:val="009753D8"/>
    <w:rsid w:val="009830F1"/>
    <w:rsid w:val="0099181A"/>
    <w:rsid w:val="009954B2"/>
    <w:rsid w:val="00997739"/>
    <w:rsid w:val="009A1620"/>
    <w:rsid w:val="009A1A63"/>
    <w:rsid w:val="009A4FA9"/>
    <w:rsid w:val="009A5157"/>
    <w:rsid w:val="009A761E"/>
    <w:rsid w:val="009C0E16"/>
    <w:rsid w:val="009C440F"/>
    <w:rsid w:val="009C5443"/>
    <w:rsid w:val="009C589A"/>
    <w:rsid w:val="009C65B6"/>
    <w:rsid w:val="009D3826"/>
    <w:rsid w:val="009D5CE7"/>
    <w:rsid w:val="009D6D32"/>
    <w:rsid w:val="009D73BA"/>
    <w:rsid w:val="009D7DB0"/>
    <w:rsid w:val="009E3865"/>
    <w:rsid w:val="009E62ED"/>
    <w:rsid w:val="009E6D2F"/>
    <w:rsid w:val="009E79A3"/>
    <w:rsid w:val="009F09FE"/>
    <w:rsid w:val="009F2FE9"/>
    <w:rsid w:val="009F4C38"/>
    <w:rsid w:val="009F69B6"/>
    <w:rsid w:val="00A007CF"/>
    <w:rsid w:val="00A02A7E"/>
    <w:rsid w:val="00A02AB9"/>
    <w:rsid w:val="00A02D67"/>
    <w:rsid w:val="00A039B5"/>
    <w:rsid w:val="00A06946"/>
    <w:rsid w:val="00A14204"/>
    <w:rsid w:val="00A1555C"/>
    <w:rsid w:val="00A16241"/>
    <w:rsid w:val="00A163BB"/>
    <w:rsid w:val="00A163C1"/>
    <w:rsid w:val="00A22848"/>
    <w:rsid w:val="00A26855"/>
    <w:rsid w:val="00A30088"/>
    <w:rsid w:val="00A32E28"/>
    <w:rsid w:val="00A36841"/>
    <w:rsid w:val="00A37E03"/>
    <w:rsid w:val="00A41E35"/>
    <w:rsid w:val="00A509C1"/>
    <w:rsid w:val="00A51E19"/>
    <w:rsid w:val="00A56494"/>
    <w:rsid w:val="00A61B91"/>
    <w:rsid w:val="00A62BF2"/>
    <w:rsid w:val="00A65CDB"/>
    <w:rsid w:val="00A65E1F"/>
    <w:rsid w:val="00A65F56"/>
    <w:rsid w:val="00A6717C"/>
    <w:rsid w:val="00A709A8"/>
    <w:rsid w:val="00A70B02"/>
    <w:rsid w:val="00A718B1"/>
    <w:rsid w:val="00A7206C"/>
    <w:rsid w:val="00A72F41"/>
    <w:rsid w:val="00A73AD8"/>
    <w:rsid w:val="00A74929"/>
    <w:rsid w:val="00A760DB"/>
    <w:rsid w:val="00A77C4A"/>
    <w:rsid w:val="00A81BE2"/>
    <w:rsid w:val="00A82AFA"/>
    <w:rsid w:val="00A82B40"/>
    <w:rsid w:val="00A8626F"/>
    <w:rsid w:val="00A87F03"/>
    <w:rsid w:val="00A916A4"/>
    <w:rsid w:val="00A92314"/>
    <w:rsid w:val="00A9781C"/>
    <w:rsid w:val="00AA037E"/>
    <w:rsid w:val="00AA68FD"/>
    <w:rsid w:val="00AA7199"/>
    <w:rsid w:val="00AB0821"/>
    <w:rsid w:val="00AB1B64"/>
    <w:rsid w:val="00AB4D92"/>
    <w:rsid w:val="00AB604D"/>
    <w:rsid w:val="00AC2BB9"/>
    <w:rsid w:val="00AC61F7"/>
    <w:rsid w:val="00AD0BE3"/>
    <w:rsid w:val="00AD407E"/>
    <w:rsid w:val="00AD55D2"/>
    <w:rsid w:val="00AD6844"/>
    <w:rsid w:val="00AE1855"/>
    <w:rsid w:val="00AE21E2"/>
    <w:rsid w:val="00AE3FEF"/>
    <w:rsid w:val="00AE4EBE"/>
    <w:rsid w:val="00AF0921"/>
    <w:rsid w:val="00AF18C8"/>
    <w:rsid w:val="00AF5707"/>
    <w:rsid w:val="00AF62CB"/>
    <w:rsid w:val="00B0108B"/>
    <w:rsid w:val="00B039B2"/>
    <w:rsid w:val="00B049B5"/>
    <w:rsid w:val="00B04F1C"/>
    <w:rsid w:val="00B05333"/>
    <w:rsid w:val="00B115A1"/>
    <w:rsid w:val="00B11C00"/>
    <w:rsid w:val="00B12346"/>
    <w:rsid w:val="00B1691D"/>
    <w:rsid w:val="00B210FF"/>
    <w:rsid w:val="00B2527D"/>
    <w:rsid w:val="00B2638F"/>
    <w:rsid w:val="00B2784D"/>
    <w:rsid w:val="00B27C53"/>
    <w:rsid w:val="00B3057C"/>
    <w:rsid w:val="00B309E9"/>
    <w:rsid w:val="00B30E3B"/>
    <w:rsid w:val="00B31810"/>
    <w:rsid w:val="00B33903"/>
    <w:rsid w:val="00B3501B"/>
    <w:rsid w:val="00B36513"/>
    <w:rsid w:val="00B40A63"/>
    <w:rsid w:val="00B41965"/>
    <w:rsid w:val="00B44B4B"/>
    <w:rsid w:val="00B460F5"/>
    <w:rsid w:val="00B46571"/>
    <w:rsid w:val="00B501E6"/>
    <w:rsid w:val="00B5142A"/>
    <w:rsid w:val="00B51C97"/>
    <w:rsid w:val="00B55D7E"/>
    <w:rsid w:val="00B6224E"/>
    <w:rsid w:val="00B62E46"/>
    <w:rsid w:val="00B6385E"/>
    <w:rsid w:val="00B7518A"/>
    <w:rsid w:val="00B7695E"/>
    <w:rsid w:val="00B800B9"/>
    <w:rsid w:val="00B82CDF"/>
    <w:rsid w:val="00B86116"/>
    <w:rsid w:val="00B91144"/>
    <w:rsid w:val="00B9142A"/>
    <w:rsid w:val="00B9329E"/>
    <w:rsid w:val="00B9488F"/>
    <w:rsid w:val="00B9720C"/>
    <w:rsid w:val="00BA1219"/>
    <w:rsid w:val="00BA13F9"/>
    <w:rsid w:val="00BA5B8C"/>
    <w:rsid w:val="00BA6386"/>
    <w:rsid w:val="00BB0E2B"/>
    <w:rsid w:val="00BC0DFB"/>
    <w:rsid w:val="00BC1E09"/>
    <w:rsid w:val="00BC23DB"/>
    <w:rsid w:val="00BC3AF7"/>
    <w:rsid w:val="00BC7B28"/>
    <w:rsid w:val="00BD04E2"/>
    <w:rsid w:val="00BD5A8C"/>
    <w:rsid w:val="00BE1477"/>
    <w:rsid w:val="00BF1120"/>
    <w:rsid w:val="00BF1CE2"/>
    <w:rsid w:val="00BF4212"/>
    <w:rsid w:val="00BF7BEB"/>
    <w:rsid w:val="00C01A25"/>
    <w:rsid w:val="00C025F6"/>
    <w:rsid w:val="00C032D8"/>
    <w:rsid w:val="00C0436E"/>
    <w:rsid w:val="00C045E3"/>
    <w:rsid w:val="00C06BCD"/>
    <w:rsid w:val="00C12254"/>
    <w:rsid w:val="00C15A0F"/>
    <w:rsid w:val="00C1670B"/>
    <w:rsid w:val="00C17106"/>
    <w:rsid w:val="00C17575"/>
    <w:rsid w:val="00C17CB5"/>
    <w:rsid w:val="00C20240"/>
    <w:rsid w:val="00C21939"/>
    <w:rsid w:val="00C226DB"/>
    <w:rsid w:val="00C23186"/>
    <w:rsid w:val="00C2354D"/>
    <w:rsid w:val="00C24650"/>
    <w:rsid w:val="00C302C6"/>
    <w:rsid w:val="00C321B7"/>
    <w:rsid w:val="00C33462"/>
    <w:rsid w:val="00C434C0"/>
    <w:rsid w:val="00C43598"/>
    <w:rsid w:val="00C45BB2"/>
    <w:rsid w:val="00C50CC5"/>
    <w:rsid w:val="00C54B91"/>
    <w:rsid w:val="00C55854"/>
    <w:rsid w:val="00C57221"/>
    <w:rsid w:val="00C648C0"/>
    <w:rsid w:val="00C657A1"/>
    <w:rsid w:val="00C702C5"/>
    <w:rsid w:val="00C7070E"/>
    <w:rsid w:val="00C733D8"/>
    <w:rsid w:val="00C77091"/>
    <w:rsid w:val="00C80EFA"/>
    <w:rsid w:val="00C82391"/>
    <w:rsid w:val="00C82BC8"/>
    <w:rsid w:val="00C82F2E"/>
    <w:rsid w:val="00C830E6"/>
    <w:rsid w:val="00C83EF6"/>
    <w:rsid w:val="00C84439"/>
    <w:rsid w:val="00C84C35"/>
    <w:rsid w:val="00C908D4"/>
    <w:rsid w:val="00C90BDA"/>
    <w:rsid w:val="00CA44AF"/>
    <w:rsid w:val="00CA4B18"/>
    <w:rsid w:val="00CA63FF"/>
    <w:rsid w:val="00CB3F95"/>
    <w:rsid w:val="00CB3FBD"/>
    <w:rsid w:val="00CB6E2B"/>
    <w:rsid w:val="00CC017E"/>
    <w:rsid w:val="00CC3580"/>
    <w:rsid w:val="00CC4C5A"/>
    <w:rsid w:val="00CD07C5"/>
    <w:rsid w:val="00CD6BBA"/>
    <w:rsid w:val="00CE18A1"/>
    <w:rsid w:val="00CE6C8B"/>
    <w:rsid w:val="00CE74CD"/>
    <w:rsid w:val="00D02353"/>
    <w:rsid w:val="00D03C23"/>
    <w:rsid w:val="00D130DE"/>
    <w:rsid w:val="00D16099"/>
    <w:rsid w:val="00D21AAD"/>
    <w:rsid w:val="00D21B85"/>
    <w:rsid w:val="00D2340E"/>
    <w:rsid w:val="00D27B88"/>
    <w:rsid w:val="00D3062B"/>
    <w:rsid w:val="00D31457"/>
    <w:rsid w:val="00D33F8A"/>
    <w:rsid w:val="00D353F4"/>
    <w:rsid w:val="00D36A9E"/>
    <w:rsid w:val="00D420E3"/>
    <w:rsid w:val="00D43287"/>
    <w:rsid w:val="00D44A54"/>
    <w:rsid w:val="00D50750"/>
    <w:rsid w:val="00D533FC"/>
    <w:rsid w:val="00D54721"/>
    <w:rsid w:val="00D55D58"/>
    <w:rsid w:val="00D57C95"/>
    <w:rsid w:val="00D64E6F"/>
    <w:rsid w:val="00D67307"/>
    <w:rsid w:val="00D67C43"/>
    <w:rsid w:val="00D67C6D"/>
    <w:rsid w:val="00D70397"/>
    <w:rsid w:val="00D707E9"/>
    <w:rsid w:val="00D70987"/>
    <w:rsid w:val="00D7678F"/>
    <w:rsid w:val="00D77179"/>
    <w:rsid w:val="00D7786A"/>
    <w:rsid w:val="00D8017B"/>
    <w:rsid w:val="00D8285E"/>
    <w:rsid w:val="00D82D08"/>
    <w:rsid w:val="00D83D54"/>
    <w:rsid w:val="00D85AA6"/>
    <w:rsid w:val="00D96CAA"/>
    <w:rsid w:val="00D97180"/>
    <w:rsid w:val="00DA04E1"/>
    <w:rsid w:val="00DA198A"/>
    <w:rsid w:val="00DA3B2F"/>
    <w:rsid w:val="00DA7DA6"/>
    <w:rsid w:val="00DB026D"/>
    <w:rsid w:val="00DB2BC6"/>
    <w:rsid w:val="00DB3FEF"/>
    <w:rsid w:val="00DC0779"/>
    <w:rsid w:val="00DC253E"/>
    <w:rsid w:val="00DD1F72"/>
    <w:rsid w:val="00DD4365"/>
    <w:rsid w:val="00DD5B87"/>
    <w:rsid w:val="00DD6FB7"/>
    <w:rsid w:val="00DD7722"/>
    <w:rsid w:val="00DD784D"/>
    <w:rsid w:val="00DD7A65"/>
    <w:rsid w:val="00DE2FBE"/>
    <w:rsid w:val="00DE3410"/>
    <w:rsid w:val="00DE4E2F"/>
    <w:rsid w:val="00DE55F1"/>
    <w:rsid w:val="00DE75DB"/>
    <w:rsid w:val="00DE7925"/>
    <w:rsid w:val="00DF1521"/>
    <w:rsid w:val="00DF1979"/>
    <w:rsid w:val="00DF25F8"/>
    <w:rsid w:val="00DF35D3"/>
    <w:rsid w:val="00DF493B"/>
    <w:rsid w:val="00DF4E6B"/>
    <w:rsid w:val="00DF7C04"/>
    <w:rsid w:val="00E10311"/>
    <w:rsid w:val="00E128E4"/>
    <w:rsid w:val="00E13F6C"/>
    <w:rsid w:val="00E25852"/>
    <w:rsid w:val="00E26CBC"/>
    <w:rsid w:val="00E26E56"/>
    <w:rsid w:val="00E2747B"/>
    <w:rsid w:val="00E278D3"/>
    <w:rsid w:val="00E304E5"/>
    <w:rsid w:val="00E30BE5"/>
    <w:rsid w:val="00E37F24"/>
    <w:rsid w:val="00E474ED"/>
    <w:rsid w:val="00E47CB7"/>
    <w:rsid w:val="00E51613"/>
    <w:rsid w:val="00E60794"/>
    <w:rsid w:val="00E616CF"/>
    <w:rsid w:val="00E62D90"/>
    <w:rsid w:val="00E652BD"/>
    <w:rsid w:val="00E656F4"/>
    <w:rsid w:val="00E6695C"/>
    <w:rsid w:val="00E66EA9"/>
    <w:rsid w:val="00E71593"/>
    <w:rsid w:val="00E75D11"/>
    <w:rsid w:val="00E800B6"/>
    <w:rsid w:val="00E80AE2"/>
    <w:rsid w:val="00E84A00"/>
    <w:rsid w:val="00E85CAC"/>
    <w:rsid w:val="00E90BCD"/>
    <w:rsid w:val="00E92AD4"/>
    <w:rsid w:val="00E9782A"/>
    <w:rsid w:val="00EA0F29"/>
    <w:rsid w:val="00EA4112"/>
    <w:rsid w:val="00EA454E"/>
    <w:rsid w:val="00EA53F3"/>
    <w:rsid w:val="00EA5849"/>
    <w:rsid w:val="00EB30C3"/>
    <w:rsid w:val="00EB7364"/>
    <w:rsid w:val="00EC03BF"/>
    <w:rsid w:val="00EC148D"/>
    <w:rsid w:val="00EC1910"/>
    <w:rsid w:val="00EC2C5D"/>
    <w:rsid w:val="00EC3255"/>
    <w:rsid w:val="00EC4F1E"/>
    <w:rsid w:val="00EC4FE0"/>
    <w:rsid w:val="00EC54B6"/>
    <w:rsid w:val="00EC6AAE"/>
    <w:rsid w:val="00ED12D0"/>
    <w:rsid w:val="00ED3D26"/>
    <w:rsid w:val="00ED7DAB"/>
    <w:rsid w:val="00EE6DE9"/>
    <w:rsid w:val="00EF003D"/>
    <w:rsid w:val="00EF09FA"/>
    <w:rsid w:val="00EF1D17"/>
    <w:rsid w:val="00EF1D4B"/>
    <w:rsid w:val="00EF22DE"/>
    <w:rsid w:val="00EF2C8C"/>
    <w:rsid w:val="00EF5C64"/>
    <w:rsid w:val="00F048E1"/>
    <w:rsid w:val="00F07172"/>
    <w:rsid w:val="00F10326"/>
    <w:rsid w:val="00F1215C"/>
    <w:rsid w:val="00F200C2"/>
    <w:rsid w:val="00F20B35"/>
    <w:rsid w:val="00F232F3"/>
    <w:rsid w:val="00F31056"/>
    <w:rsid w:val="00F33F89"/>
    <w:rsid w:val="00F3678F"/>
    <w:rsid w:val="00F40FD3"/>
    <w:rsid w:val="00F421A8"/>
    <w:rsid w:val="00F439D4"/>
    <w:rsid w:val="00F45210"/>
    <w:rsid w:val="00F4747C"/>
    <w:rsid w:val="00F50343"/>
    <w:rsid w:val="00F51759"/>
    <w:rsid w:val="00F5433A"/>
    <w:rsid w:val="00F65089"/>
    <w:rsid w:val="00F66408"/>
    <w:rsid w:val="00F66E11"/>
    <w:rsid w:val="00F6742D"/>
    <w:rsid w:val="00F67CF9"/>
    <w:rsid w:val="00F70651"/>
    <w:rsid w:val="00F70695"/>
    <w:rsid w:val="00F7157E"/>
    <w:rsid w:val="00F71C4C"/>
    <w:rsid w:val="00F758A6"/>
    <w:rsid w:val="00F8102F"/>
    <w:rsid w:val="00F810D0"/>
    <w:rsid w:val="00F8270A"/>
    <w:rsid w:val="00F8544B"/>
    <w:rsid w:val="00F8564F"/>
    <w:rsid w:val="00F863D9"/>
    <w:rsid w:val="00F87783"/>
    <w:rsid w:val="00F94F08"/>
    <w:rsid w:val="00FA0502"/>
    <w:rsid w:val="00FA0EEF"/>
    <w:rsid w:val="00FA35A8"/>
    <w:rsid w:val="00FA6650"/>
    <w:rsid w:val="00FB1845"/>
    <w:rsid w:val="00FB4062"/>
    <w:rsid w:val="00FB7DB0"/>
    <w:rsid w:val="00FC0344"/>
    <w:rsid w:val="00FC0C32"/>
    <w:rsid w:val="00FC4458"/>
    <w:rsid w:val="00FC4C97"/>
    <w:rsid w:val="00FC551D"/>
    <w:rsid w:val="00FC7089"/>
    <w:rsid w:val="00FD1C4F"/>
    <w:rsid w:val="00FE72AA"/>
    <w:rsid w:val="00FE740D"/>
    <w:rsid w:val="00FF0D00"/>
    <w:rsid w:val="00FF3A48"/>
    <w:rsid w:val="00FF482A"/>
    <w:rsid w:val="00FF4D4F"/>
    <w:rsid w:val="00FF6BC2"/>
    <w:rsid w:val="0396F9D2"/>
    <w:rsid w:val="07D1F9FF"/>
    <w:rsid w:val="09165E06"/>
    <w:rsid w:val="0B3A993E"/>
    <w:rsid w:val="0CC79039"/>
    <w:rsid w:val="176879FA"/>
    <w:rsid w:val="18E06F5A"/>
    <w:rsid w:val="1B4704F1"/>
    <w:rsid w:val="1D850B25"/>
    <w:rsid w:val="372AD35C"/>
    <w:rsid w:val="39E8E2EA"/>
    <w:rsid w:val="5D9CD23E"/>
    <w:rsid w:val="7C975D54"/>
    <w:rsid w:val="7CACDD34"/>
    <w:rsid w:val="7E45D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371"/>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 Car1"/>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 w:id="1780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34ef49957f4145c1"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E0366C77-F342-41E8-BF19-A75C094F6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4.xml><?xml version="1.0" encoding="utf-8"?>
<ds:datastoreItem xmlns:ds="http://schemas.openxmlformats.org/officeDocument/2006/customXml" ds:itemID="{1C029200-9AD2-40BD-A1DE-CFC924EC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7932</Words>
  <Characters>43631</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6</cp:revision>
  <dcterms:created xsi:type="dcterms:W3CDTF">2022-03-04T16:19:00Z</dcterms:created>
  <dcterms:modified xsi:type="dcterms:W3CDTF">2022-04-27T17:16:00Z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