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2CFCE" w14:textId="77777777" w:rsidR="00A3434D" w:rsidRPr="00A3434D" w:rsidRDefault="00A3434D" w:rsidP="001C501B">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bookmarkStart w:id="1" w:name="_Hlk94773787"/>
      <w:r w:rsidRPr="00A3434D">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EEAF5DD" w14:textId="77777777" w:rsidR="00A3434D" w:rsidRPr="00A3434D" w:rsidRDefault="00A3434D" w:rsidP="001C501B">
      <w:pPr>
        <w:spacing w:after="0" w:line="240" w:lineRule="auto"/>
        <w:jc w:val="both"/>
        <w:rPr>
          <w:rFonts w:ascii="Arial" w:eastAsia="Times New Roman" w:hAnsi="Arial" w:cs="Arial"/>
          <w:sz w:val="20"/>
          <w:szCs w:val="20"/>
          <w:lang w:val="es-419" w:eastAsia="es-ES"/>
        </w:rPr>
      </w:pPr>
    </w:p>
    <w:p w14:paraId="3913E50E" w14:textId="597DC86D" w:rsidR="00A3434D" w:rsidRPr="00A3434D" w:rsidRDefault="00A3434D" w:rsidP="001C501B">
      <w:pPr>
        <w:spacing w:after="0" w:line="240" w:lineRule="auto"/>
        <w:jc w:val="both"/>
        <w:rPr>
          <w:rFonts w:ascii="Arial" w:eastAsia="Times New Roman" w:hAnsi="Arial" w:cs="Arial"/>
          <w:sz w:val="20"/>
          <w:szCs w:val="20"/>
          <w:lang w:val="es-419" w:eastAsia="es-ES"/>
        </w:rPr>
      </w:pPr>
      <w:r w:rsidRPr="00A3434D">
        <w:rPr>
          <w:rFonts w:ascii="Arial" w:eastAsia="Times New Roman" w:hAnsi="Arial" w:cs="Arial"/>
          <w:sz w:val="20"/>
          <w:szCs w:val="20"/>
          <w:lang w:val="es-419" w:eastAsia="es-ES"/>
        </w:rPr>
        <w:t>Radicado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A3434D">
        <w:rPr>
          <w:rFonts w:ascii="Arial" w:eastAsia="Times New Roman" w:hAnsi="Arial" w:cs="Arial"/>
          <w:sz w:val="20"/>
          <w:szCs w:val="20"/>
          <w:lang w:val="es-419" w:eastAsia="es-ES"/>
        </w:rPr>
        <w:t>66001-31-05</w:t>
      </w:r>
      <w:r>
        <w:rPr>
          <w:rFonts w:ascii="Arial" w:eastAsia="Times New Roman" w:hAnsi="Arial" w:cs="Arial"/>
          <w:sz w:val="20"/>
          <w:szCs w:val="20"/>
          <w:lang w:val="es-419" w:eastAsia="es-ES"/>
        </w:rPr>
        <w:t>-</w:t>
      </w:r>
      <w:r w:rsidRPr="00A3434D">
        <w:rPr>
          <w:rFonts w:ascii="Arial" w:eastAsia="Times New Roman" w:hAnsi="Arial" w:cs="Arial"/>
          <w:sz w:val="20"/>
          <w:szCs w:val="20"/>
          <w:lang w:val="es-419" w:eastAsia="es-ES"/>
        </w:rPr>
        <w:t>003</w:t>
      </w:r>
      <w:r>
        <w:rPr>
          <w:rFonts w:ascii="Arial" w:eastAsia="Times New Roman" w:hAnsi="Arial" w:cs="Arial"/>
          <w:sz w:val="20"/>
          <w:szCs w:val="20"/>
          <w:lang w:val="es-419" w:eastAsia="es-ES"/>
        </w:rPr>
        <w:t>-</w:t>
      </w:r>
      <w:r w:rsidRPr="00A3434D">
        <w:rPr>
          <w:rFonts w:ascii="Arial" w:eastAsia="Times New Roman" w:hAnsi="Arial" w:cs="Arial"/>
          <w:sz w:val="20"/>
          <w:szCs w:val="20"/>
          <w:lang w:val="es-419" w:eastAsia="es-ES"/>
        </w:rPr>
        <w:t>2022</w:t>
      </w:r>
      <w:r>
        <w:rPr>
          <w:rFonts w:ascii="Arial" w:eastAsia="Times New Roman" w:hAnsi="Arial" w:cs="Arial"/>
          <w:sz w:val="20"/>
          <w:szCs w:val="20"/>
          <w:lang w:val="es-419" w:eastAsia="es-ES"/>
        </w:rPr>
        <w:t>-</w:t>
      </w:r>
      <w:r w:rsidRPr="00A3434D">
        <w:rPr>
          <w:rFonts w:ascii="Arial" w:eastAsia="Times New Roman" w:hAnsi="Arial" w:cs="Arial"/>
          <w:sz w:val="20"/>
          <w:szCs w:val="20"/>
          <w:lang w:val="es-419" w:eastAsia="es-ES"/>
        </w:rPr>
        <w:t>00006</w:t>
      </w:r>
      <w:r>
        <w:rPr>
          <w:rFonts w:ascii="Arial" w:eastAsia="Times New Roman" w:hAnsi="Arial" w:cs="Arial"/>
          <w:sz w:val="20"/>
          <w:szCs w:val="20"/>
          <w:lang w:val="es-419" w:eastAsia="es-ES"/>
        </w:rPr>
        <w:t>-</w:t>
      </w:r>
      <w:r w:rsidRPr="00A3434D">
        <w:rPr>
          <w:rFonts w:ascii="Arial" w:eastAsia="Times New Roman" w:hAnsi="Arial" w:cs="Arial"/>
          <w:sz w:val="20"/>
          <w:szCs w:val="20"/>
          <w:lang w:val="es-419" w:eastAsia="es-ES"/>
        </w:rPr>
        <w:t>01</w:t>
      </w:r>
    </w:p>
    <w:p w14:paraId="4B472E0A" w14:textId="2FBCAD9E" w:rsidR="00A3434D" w:rsidRPr="00A3434D" w:rsidRDefault="00A3434D" w:rsidP="001C501B">
      <w:pPr>
        <w:spacing w:after="0" w:line="240" w:lineRule="auto"/>
        <w:jc w:val="both"/>
        <w:rPr>
          <w:rFonts w:ascii="Arial" w:eastAsia="Times New Roman" w:hAnsi="Arial" w:cs="Arial"/>
          <w:sz w:val="20"/>
          <w:szCs w:val="20"/>
          <w:lang w:val="es-419" w:eastAsia="es-ES"/>
        </w:rPr>
      </w:pPr>
      <w:r w:rsidRPr="00A3434D">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A3434D">
        <w:rPr>
          <w:rFonts w:ascii="Arial" w:eastAsia="Times New Roman" w:hAnsi="Arial" w:cs="Arial"/>
          <w:sz w:val="20"/>
          <w:szCs w:val="20"/>
          <w:lang w:val="es-419" w:eastAsia="es-ES"/>
        </w:rPr>
        <w:t>Acción de tutela (Impugnación)</w:t>
      </w:r>
    </w:p>
    <w:p w14:paraId="04BE1B50" w14:textId="4D6C4609" w:rsidR="00A3434D" w:rsidRPr="00A3434D" w:rsidRDefault="00A3434D" w:rsidP="001C501B">
      <w:pPr>
        <w:spacing w:after="0" w:line="240" w:lineRule="auto"/>
        <w:jc w:val="both"/>
        <w:rPr>
          <w:rFonts w:ascii="Arial" w:eastAsia="Times New Roman" w:hAnsi="Arial" w:cs="Arial"/>
          <w:sz w:val="20"/>
          <w:szCs w:val="20"/>
          <w:lang w:val="es-419" w:eastAsia="es-ES"/>
        </w:rPr>
      </w:pPr>
      <w:r w:rsidRPr="00A3434D">
        <w:rPr>
          <w:rFonts w:ascii="Arial" w:eastAsia="Times New Roman" w:hAnsi="Arial" w:cs="Arial"/>
          <w:sz w:val="20"/>
          <w:szCs w:val="20"/>
          <w:lang w:val="es-419" w:eastAsia="es-ES"/>
        </w:rPr>
        <w:t>Accionante:</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A3434D">
        <w:rPr>
          <w:rFonts w:ascii="Arial" w:eastAsia="Times New Roman" w:hAnsi="Arial" w:cs="Arial"/>
          <w:sz w:val="20"/>
          <w:szCs w:val="20"/>
          <w:lang w:val="es-419" w:eastAsia="es-ES"/>
        </w:rPr>
        <w:t>Adrián Agudelo Henao</w:t>
      </w:r>
    </w:p>
    <w:p w14:paraId="0C2A9233" w14:textId="7B90A635" w:rsidR="00A3434D" w:rsidRPr="00A3434D" w:rsidRDefault="00A3434D" w:rsidP="001C501B">
      <w:pPr>
        <w:spacing w:after="0" w:line="240" w:lineRule="auto"/>
        <w:jc w:val="both"/>
        <w:rPr>
          <w:rFonts w:ascii="Arial" w:eastAsia="Times New Roman" w:hAnsi="Arial" w:cs="Arial"/>
          <w:sz w:val="20"/>
          <w:szCs w:val="20"/>
          <w:lang w:val="es-419" w:eastAsia="es-ES"/>
        </w:rPr>
      </w:pPr>
      <w:r w:rsidRPr="00A3434D">
        <w:rPr>
          <w:rFonts w:ascii="Arial" w:eastAsia="Times New Roman" w:hAnsi="Arial" w:cs="Arial"/>
          <w:sz w:val="20"/>
          <w:szCs w:val="20"/>
          <w:lang w:val="es-419" w:eastAsia="es-ES"/>
        </w:rPr>
        <w:t>Accionados:</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r>
      <w:r w:rsidRPr="00A3434D">
        <w:rPr>
          <w:rFonts w:ascii="Arial" w:eastAsia="Times New Roman" w:hAnsi="Arial" w:cs="Arial"/>
          <w:sz w:val="20"/>
          <w:szCs w:val="20"/>
          <w:lang w:val="es-419" w:eastAsia="es-ES"/>
        </w:rPr>
        <w:t>Colpensiones</w:t>
      </w:r>
    </w:p>
    <w:p w14:paraId="5837629A" w14:textId="36723F52" w:rsidR="00A3434D" w:rsidRPr="00A3434D" w:rsidRDefault="00A3434D" w:rsidP="001C501B">
      <w:pPr>
        <w:spacing w:after="0" w:line="240" w:lineRule="auto"/>
        <w:jc w:val="both"/>
        <w:rPr>
          <w:rFonts w:ascii="Arial" w:eastAsia="Times New Roman" w:hAnsi="Arial" w:cs="Arial"/>
          <w:sz w:val="20"/>
          <w:szCs w:val="20"/>
          <w:lang w:val="es-419" w:eastAsia="es-ES"/>
        </w:rPr>
      </w:pPr>
      <w:r w:rsidRPr="00A3434D">
        <w:rPr>
          <w:rFonts w:ascii="Arial" w:eastAsia="Times New Roman" w:hAnsi="Arial" w:cs="Arial"/>
          <w:sz w:val="20"/>
          <w:szCs w:val="20"/>
          <w:lang w:val="es-419" w:eastAsia="es-ES"/>
        </w:rPr>
        <w:t>Juzgado de origen:</w:t>
      </w:r>
      <w:r>
        <w:rPr>
          <w:rFonts w:ascii="Arial" w:eastAsia="Times New Roman" w:hAnsi="Arial" w:cs="Arial"/>
          <w:sz w:val="20"/>
          <w:szCs w:val="20"/>
          <w:lang w:val="es-419" w:eastAsia="es-ES"/>
        </w:rPr>
        <w:tab/>
      </w:r>
      <w:r w:rsidRPr="00A3434D">
        <w:rPr>
          <w:rFonts w:ascii="Arial" w:eastAsia="Times New Roman" w:hAnsi="Arial" w:cs="Arial"/>
          <w:sz w:val="20"/>
          <w:szCs w:val="20"/>
          <w:lang w:val="es-419" w:eastAsia="es-ES"/>
        </w:rPr>
        <w:t>Tercero Laboral del Circuito de Pereira</w:t>
      </w:r>
    </w:p>
    <w:p w14:paraId="76E70BEE" w14:textId="200DD334" w:rsidR="00A3434D" w:rsidRPr="00A3434D" w:rsidRDefault="00A3434D" w:rsidP="001C501B">
      <w:pPr>
        <w:spacing w:after="0" w:line="240" w:lineRule="auto"/>
        <w:jc w:val="both"/>
        <w:rPr>
          <w:rFonts w:ascii="Arial" w:eastAsia="Times New Roman" w:hAnsi="Arial" w:cs="Arial"/>
          <w:sz w:val="20"/>
          <w:szCs w:val="20"/>
          <w:lang w:val="es-419" w:eastAsia="es-ES"/>
        </w:rPr>
      </w:pPr>
      <w:r w:rsidRPr="00A3434D">
        <w:rPr>
          <w:rFonts w:ascii="Arial" w:eastAsia="Times New Roman" w:hAnsi="Arial" w:cs="Arial"/>
          <w:sz w:val="20"/>
          <w:szCs w:val="20"/>
          <w:lang w:val="es-419" w:eastAsia="es-ES"/>
        </w:rPr>
        <w:t>Magistrada ponente:</w:t>
      </w:r>
      <w:r>
        <w:rPr>
          <w:rFonts w:ascii="Arial" w:eastAsia="Times New Roman" w:hAnsi="Arial" w:cs="Arial"/>
          <w:sz w:val="20"/>
          <w:szCs w:val="20"/>
          <w:lang w:val="es-419" w:eastAsia="es-ES"/>
        </w:rPr>
        <w:tab/>
      </w:r>
      <w:r w:rsidRPr="00A3434D">
        <w:rPr>
          <w:rFonts w:ascii="Arial" w:eastAsia="Times New Roman" w:hAnsi="Arial" w:cs="Arial"/>
          <w:sz w:val="20"/>
          <w:szCs w:val="20"/>
          <w:lang w:val="es-419" w:eastAsia="es-ES"/>
        </w:rPr>
        <w:t>Ana Lucia Caicedo Calderón</w:t>
      </w:r>
    </w:p>
    <w:p w14:paraId="18C191D7" w14:textId="77777777" w:rsidR="00A3434D" w:rsidRPr="00A3434D" w:rsidRDefault="00A3434D" w:rsidP="001C501B">
      <w:pPr>
        <w:spacing w:after="0" w:line="240" w:lineRule="auto"/>
        <w:jc w:val="both"/>
        <w:rPr>
          <w:rFonts w:ascii="Arial" w:eastAsia="Times New Roman" w:hAnsi="Arial" w:cs="Arial"/>
          <w:sz w:val="20"/>
          <w:szCs w:val="20"/>
          <w:lang w:val="es-419" w:eastAsia="es-ES"/>
        </w:rPr>
      </w:pPr>
    </w:p>
    <w:p w14:paraId="550499A1" w14:textId="049C6190" w:rsidR="00A3434D" w:rsidRPr="00A3434D" w:rsidRDefault="00042E9B" w:rsidP="001C501B">
      <w:pPr>
        <w:spacing w:after="0" w:line="240" w:lineRule="auto"/>
        <w:jc w:val="both"/>
        <w:rPr>
          <w:rFonts w:ascii="Arial" w:eastAsia="Times New Roman" w:hAnsi="Arial" w:cs="Arial"/>
          <w:b/>
          <w:bCs/>
          <w:iCs/>
          <w:sz w:val="20"/>
          <w:szCs w:val="20"/>
          <w:lang w:val="es-419" w:eastAsia="fr-FR"/>
        </w:rPr>
      </w:pPr>
      <w:r w:rsidRPr="00A3434D">
        <w:rPr>
          <w:rFonts w:ascii="Arial" w:eastAsia="Times New Roman" w:hAnsi="Arial" w:cs="Arial"/>
          <w:b/>
          <w:bCs/>
          <w:iCs/>
          <w:sz w:val="20"/>
          <w:szCs w:val="20"/>
          <w:u w:val="single"/>
          <w:lang w:val="es-419" w:eastAsia="fr-FR"/>
        </w:rPr>
        <w:t>TEMAS:</w:t>
      </w:r>
      <w:r w:rsidRPr="00A3434D">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SEGURIDAD SOCIAL / RECONOCIMIENTO DE PENSIÓN DE INVALIDEZ / PROCEDENCIA EXCEPCIONAL DE LA TUTELA / CONFLICTO ENTRE EL RAIS Y EL RPM / CRITERIO DE LA CORTE CONSTITUCIONAL: SE DEFINE SEGÚN FECHA DE ESTRUCTURACIÓN / CRITERIO DE LA CORTE SUPREMA DE JUSTICIA: DEBE RECONOCERLA EL ÚLTIMO FONDO DE PENSIONES / SE ACOGE EL SEGUNDO.</w:t>
      </w:r>
    </w:p>
    <w:p w14:paraId="2C869BFE" w14:textId="77777777" w:rsidR="00A3434D" w:rsidRPr="00A3434D" w:rsidRDefault="00A3434D" w:rsidP="001C501B">
      <w:pPr>
        <w:spacing w:after="0" w:line="240" w:lineRule="auto"/>
        <w:jc w:val="both"/>
        <w:rPr>
          <w:rFonts w:ascii="Arial" w:eastAsia="Times New Roman" w:hAnsi="Arial" w:cs="Arial"/>
          <w:sz w:val="20"/>
          <w:szCs w:val="20"/>
          <w:lang w:val="es-419" w:eastAsia="es-ES"/>
        </w:rPr>
      </w:pPr>
    </w:p>
    <w:p w14:paraId="431B2555" w14:textId="48777A5E" w:rsidR="00A3434D" w:rsidRPr="00A3434D" w:rsidRDefault="00A35424" w:rsidP="001C501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35424">
        <w:rPr>
          <w:rFonts w:ascii="Arial" w:eastAsia="Times New Roman" w:hAnsi="Arial" w:cs="Arial"/>
          <w:sz w:val="20"/>
          <w:szCs w:val="20"/>
          <w:lang w:val="es-419" w:eastAsia="es-ES"/>
        </w:rPr>
        <w:t>la Corte Constitucional en varias sentencias, entre ellas la T-265/18, ha reiterado el análisis que se debe hacer respecto al principio de subsidiariedad cuando se reclama el pago y reconocimiento de pensiones</w:t>
      </w:r>
      <w:r>
        <w:rPr>
          <w:rFonts w:ascii="Arial" w:eastAsia="Times New Roman" w:hAnsi="Arial" w:cs="Arial"/>
          <w:sz w:val="20"/>
          <w:szCs w:val="20"/>
          <w:lang w:val="es-419" w:eastAsia="es-ES"/>
        </w:rPr>
        <w:t>…</w:t>
      </w:r>
    </w:p>
    <w:p w14:paraId="0374015A" w14:textId="77777777" w:rsidR="00A3434D" w:rsidRPr="00A3434D" w:rsidRDefault="00A3434D" w:rsidP="001C501B">
      <w:pPr>
        <w:spacing w:after="0" w:line="240" w:lineRule="auto"/>
        <w:jc w:val="both"/>
        <w:rPr>
          <w:rFonts w:ascii="Arial" w:eastAsia="Times New Roman" w:hAnsi="Arial" w:cs="Arial"/>
          <w:sz w:val="20"/>
          <w:szCs w:val="20"/>
          <w:lang w:val="es-419" w:eastAsia="es-ES"/>
        </w:rPr>
      </w:pPr>
    </w:p>
    <w:p w14:paraId="14649A83" w14:textId="669C16E9" w:rsidR="00A3434D" w:rsidRPr="00A3434D" w:rsidRDefault="00A35424" w:rsidP="001C501B">
      <w:pPr>
        <w:spacing w:after="0" w:line="240" w:lineRule="auto"/>
        <w:jc w:val="both"/>
        <w:rPr>
          <w:rFonts w:ascii="Arial" w:eastAsia="Times New Roman" w:hAnsi="Arial" w:cs="Arial"/>
          <w:sz w:val="20"/>
          <w:szCs w:val="20"/>
          <w:lang w:val="es-419" w:eastAsia="es-ES"/>
        </w:rPr>
      </w:pPr>
      <w:r w:rsidRPr="00A35424">
        <w:rPr>
          <w:rFonts w:ascii="Arial" w:eastAsia="Times New Roman" w:hAnsi="Arial" w:cs="Arial"/>
          <w:sz w:val="20"/>
          <w:szCs w:val="20"/>
          <w:lang w:val="es-419" w:eastAsia="es-ES"/>
        </w:rPr>
        <w:t>En el presente asunto, debe demarcarse que la acción de tutela resulta procedente a fin de amparar los derechos fundamentales en titularidad del accionante, quien no sólo se encuentra en estado de invalidez con una pérdida de su capacidad laboral superior al 50%, sino que también tiene comprometido su mínimo vital, de modo que, al encontrarse un dictamen de pérdida de la capacidad laboral en firme, aún no se le ha resuelto de manera positiva su solicitud pensional</w:t>
      </w:r>
      <w:r>
        <w:rPr>
          <w:rFonts w:ascii="Arial" w:eastAsia="Times New Roman" w:hAnsi="Arial" w:cs="Arial"/>
          <w:sz w:val="20"/>
          <w:szCs w:val="20"/>
          <w:lang w:val="es-419" w:eastAsia="es-ES"/>
        </w:rPr>
        <w:t>…</w:t>
      </w:r>
    </w:p>
    <w:p w14:paraId="72884BA2" w14:textId="77777777" w:rsidR="00A3434D" w:rsidRPr="00A3434D" w:rsidRDefault="00A3434D" w:rsidP="001C501B">
      <w:pPr>
        <w:spacing w:after="0" w:line="240" w:lineRule="auto"/>
        <w:jc w:val="both"/>
        <w:rPr>
          <w:rFonts w:ascii="Arial" w:eastAsia="Times New Roman" w:hAnsi="Arial" w:cs="Arial"/>
          <w:sz w:val="20"/>
          <w:szCs w:val="20"/>
          <w:lang w:val="es-419" w:eastAsia="es-ES"/>
        </w:rPr>
      </w:pPr>
    </w:p>
    <w:p w14:paraId="71CA80F5" w14:textId="6A543545" w:rsidR="00A3434D" w:rsidRPr="00A3434D" w:rsidRDefault="00C861F2" w:rsidP="001C501B">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861F2">
        <w:rPr>
          <w:rFonts w:ascii="Arial" w:eastAsia="Times New Roman" w:hAnsi="Arial" w:cs="Arial"/>
          <w:sz w:val="20"/>
          <w:szCs w:val="20"/>
          <w:lang w:val="es-419" w:eastAsia="es-ES"/>
        </w:rPr>
        <w:t>en el presente caso, el actor se encontraba afiliado a la AFP PORVENIR, pero después se trasladó a COLPENSIONES y estando en esta última entidad fue calificado con una pérdida de capacidad laboral (en adelante PCL) superior al 50% cuya fecha de estructuración se fijó para la época en que estuvo afiliado a PORVENIR. Este hecho, esto es, que la fecha de estructuración se fijó para la fecha en que se encontraba afiliado a PORVENIR, es la razón que esgrime COLPENSIONES para negarle el pago de la pensión de invalidez</w:t>
      </w:r>
      <w:r>
        <w:rPr>
          <w:rFonts w:ascii="Arial" w:eastAsia="Times New Roman" w:hAnsi="Arial" w:cs="Arial"/>
          <w:sz w:val="20"/>
          <w:szCs w:val="20"/>
          <w:lang w:val="es-419" w:eastAsia="es-ES"/>
        </w:rPr>
        <w:t>…</w:t>
      </w:r>
    </w:p>
    <w:p w14:paraId="00C221A2" w14:textId="77777777" w:rsidR="00A3434D" w:rsidRPr="00A3434D" w:rsidRDefault="00A3434D" w:rsidP="001C501B">
      <w:pPr>
        <w:spacing w:after="0" w:line="240" w:lineRule="auto"/>
        <w:jc w:val="both"/>
        <w:rPr>
          <w:rFonts w:ascii="Arial" w:eastAsia="Times New Roman" w:hAnsi="Arial" w:cs="Arial"/>
          <w:sz w:val="20"/>
          <w:szCs w:val="20"/>
          <w:lang w:val="es-ES" w:eastAsia="es-ES"/>
        </w:rPr>
      </w:pPr>
    </w:p>
    <w:p w14:paraId="3290E33F" w14:textId="2DFC3C53" w:rsidR="00A3434D" w:rsidRDefault="00885D9F" w:rsidP="001C501B">
      <w:pPr>
        <w:spacing w:after="0" w:line="240" w:lineRule="auto"/>
        <w:jc w:val="both"/>
        <w:rPr>
          <w:rFonts w:ascii="Arial" w:eastAsia="Times New Roman" w:hAnsi="Arial" w:cs="Arial"/>
          <w:sz w:val="20"/>
          <w:szCs w:val="20"/>
          <w:lang w:val="es-ES" w:eastAsia="es-ES"/>
        </w:rPr>
      </w:pPr>
      <w:r w:rsidRPr="00885D9F">
        <w:rPr>
          <w:rFonts w:ascii="Arial" w:eastAsia="Times New Roman" w:hAnsi="Arial" w:cs="Arial"/>
          <w:sz w:val="20"/>
          <w:szCs w:val="20"/>
          <w:lang w:val="es-ES" w:eastAsia="es-ES"/>
        </w:rPr>
        <w:t>La Corte Constitucional, en un caso similar, en la sentencia de unificación SU-313/20 estableció las siguientes reglas jurisprudenciales: “En efecto, (i) si la invalidez se estructuró en el RAIS, la AFP que corresponda pagará la prestación y hará efectivo el contrato que suscribió con la aseguradora para que aquella responda por la suma adicional</w:t>
      </w:r>
      <w:r w:rsidR="00F115EC">
        <w:rPr>
          <w:rFonts w:ascii="Arial" w:eastAsia="Times New Roman" w:hAnsi="Arial" w:cs="Arial"/>
          <w:sz w:val="20"/>
          <w:szCs w:val="20"/>
          <w:lang w:val="es-ES" w:eastAsia="es-ES"/>
        </w:rPr>
        <w:t>…</w:t>
      </w:r>
      <w:r w:rsidRPr="00885D9F">
        <w:rPr>
          <w:rFonts w:ascii="Arial" w:eastAsia="Times New Roman" w:hAnsi="Arial" w:cs="Arial"/>
          <w:sz w:val="20"/>
          <w:szCs w:val="20"/>
          <w:lang w:val="es-ES" w:eastAsia="es-ES"/>
        </w:rPr>
        <w:t xml:space="preserve"> (ii) Por su parte, si la invalidez se estructuró en el RPM, Colpensiones pagará la prestación y las cotizaciones que la persona hubiere efectuado con posterioridad a esa fecha, en el RAIS, simplemente serían trasladadas para que la persona adquiera una pensión de vejez en el fondo público</w:t>
      </w:r>
      <w:r>
        <w:rPr>
          <w:rFonts w:ascii="Arial" w:eastAsia="Times New Roman" w:hAnsi="Arial" w:cs="Arial"/>
          <w:sz w:val="20"/>
          <w:szCs w:val="20"/>
          <w:lang w:val="es-ES" w:eastAsia="es-ES"/>
        </w:rPr>
        <w:t>…</w:t>
      </w:r>
    </w:p>
    <w:p w14:paraId="71813F3A" w14:textId="066389C9" w:rsidR="00885D9F" w:rsidRDefault="00885D9F" w:rsidP="001C501B">
      <w:pPr>
        <w:spacing w:after="0" w:line="240" w:lineRule="auto"/>
        <w:jc w:val="both"/>
        <w:rPr>
          <w:rFonts w:ascii="Arial" w:eastAsia="Times New Roman" w:hAnsi="Arial" w:cs="Arial"/>
          <w:sz w:val="20"/>
          <w:szCs w:val="20"/>
          <w:lang w:val="es-ES" w:eastAsia="es-ES"/>
        </w:rPr>
      </w:pPr>
    </w:p>
    <w:p w14:paraId="33A9A548" w14:textId="6905FF3F" w:rsidR="00885D9F" w:rsidRDefault="00F115EC" w:rsidP="001C501B">
      <w:pPr>
        <w:spacing w:after="0" w:line="240" w:lineRule="auto"/>
        <w:jc w:val="both"/>
        <w:rPr>
          <w:rFonts w:ascii="Arial" w:eastAsia="Times New Roman" w:hAnsi="Arial" w:cs="Arial"/>
          <w:sz w:val="20"/>
          <w:szCs w:val="20"/>
          <w:lang w:val="es-ES" w:eastAsia="es-ES"/>
        </w:rPr>
      </w:pPr>
      <w:r w:rsidRPr="00F115EC">
        <w:rPr>
          <w:rFonts w:ascii="Arial" w:eastAsia="Times New Roman" w:hAnsi="Arial" w:cs="Arial"/>
          <w:sz w:val="20"/>
          <w:szCs w:val="20"/>
          <w:lang w:val="es-ES" w:eastAsia="es-ES"/>
        </w:rPr>
        <w:t>Por su parte la Sala de Casación Laboral de la Corte Suprema de Justicia, en la sentencia del 8 de septiembre de 2021, SL 5183-2021, Radicado 73816</w:t>
      </w:r>
      <w:r>
        <w:rPr>
          <w:rFonts w:ascii="Arial" w:eastAsia="Times New Roman" w:hAnsi="Arial" w:cs="Arial"/>
          <w:sz w:val="20"/>
          <w:szCs w:val="20"/>
          <w:lang w:val="es-ES" w:eastAsia="es-ES"/>
        </w:rPr>
        <w:t>…</w:t>
      </w:r>
      <w:r w:rsidRPr="00F115EC">
        <w:rPr>
          <w:rFonts w:ascii="Arial" w:eastAsia="Times New Roman" w:hAnsi="Arial" w:cs="Arial"/>
          <w:sz w:val="20"/>
          <w:szCs w:val="20"/>
          <w:lang w:val="es-ES" w:eastAsia="es-ES"/>
        </w:rPr>
        <w:t>, decidió de manera contraria un asunto similar y se apartó de la Sentencia SU-313/20</w:t>
      </w:r>
      <w:r>
        <w:rPr>
          <w:rFonts w:ascii="Arial" w:eastAsia="Times New Roman" w:hAnsi="Arial" w:cs="Arial"/>
          <w:sz w:val="20"/>
          <w:szCs w:val="20"/>
          <w:lang w:val="es-ES" w:eastAsia="es-ES"/>
        </w:rPr>
        <w:t>…</w:t>
      </w:r>
    </w:p>
    <w:p w14:paraId="60325E78" w14:textId="075F0E65" w:rsidR="00885D9F" w:rsidRDefault="00885D9F" w:rsidP="001C501B">
      <w:pPr>
        <w:spacing w:after="0" w:line="240" w:lineRule="auto"/>
        <w:jc w:val="both"/>
        <w:rPr>
          <w:rFonts w:ascii="Arial" w:eastAsia="Times New Roman" w:hAnsi="Arial" w:cs="Arial"/>
          <w:sz w:val="20"/>
          <w:szCs w:val="20"/>
          <w:lang w:val="es-ES" w:eastAsia="es-ES"/>
        </w:rPr>
      </w:pPr>
    </w:p>
    <w:p w14:paraId="64B7E246" w14:textId="11A8C051" w:rsidR="00885D9F" w:rsidRDefault="00F115EC" w:rsidP="001C501B">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F115EC">
        <w:rPr>
          <w:rFonts w:ascii="Arial" w:eastAsia="Times New Roman" w:hAnsi="Arial" w:cs="Arial"/>
          <w:sz w:val="20"/>
          <w:szCs w:val="20"/>
          <w:lang w:val="es-ES" w:eastAsia="es-ES"/>
        </w:rPr>
        <w:t>esta Sala acoge la tesis de la Corte Suprema de Justicia, no sólo por las razones que allí se esgrimen (y a las cuales nos remitimos por economía procesal), sino porque favorece más al afiliado, ya que, entre otras cosas, dicha postura garantiza que la decisión de trasladarse de fondo no altera de manera alguna el cubrimiento de los riesgos de invalidez, vejez y muerte</w:t>
      </w:r>
      <w:r>
        <w:rPr>
          <w:rFonts w:ascii="Arial" w:eastAsia="Times New Roman" w:hAnsi="Arial" w:cs="Arial"/>
          <w:sz w:val="20"/>
          <w:szCs w:val="20"/>
          <w:lang w:val="es-ES" w:eastAsia="es-ES"/>
        </w:rPr>
        <w:t>…</w:t>
      </w:r>
    </w:p>
    <w:p w14:paraId="186360D7" w14:textId="77777777" w:rsidR="00F115EC" w:rsidRPr="00A3434D" w:rsidRDefault="00F115EC" w:rsidP="001C501B">
      <w:pPr>
        <w:spacing w:after="0" w:line="240" w:lineRule="auto"/>
        <w:jc w:val="both"/>
        <w:rPr>
          <w:rFonts w:ascii="Arial" w:eastAsia="Times New Roman" w:hAnsi="Arial" w:cs="Arial"/>
          <w:sz w:val="20"/>
          <w:szCs w:val="20"/>
          <w:lang w:val="es-ES" w:eastAsia="es-ES"/>
        </w:rPr>
      </w:pPr>
    </w:p>
    <w:p w14:paraId="7B6AC5D8" w14:textId="77777777" w:rsidR="00A3434D" w:rsidRPr="00A3434D" w:rsidRDefault="00A3434D" w:rsidP="001C501B">
      <w:pPr>
        <w:spacing w:after="0" w:line="240" w:lineRule="auto"/>
        <w:jc w:val="both"/>
        <w:rPr>
          <w:rFonts w:ascii="Arial" w:eastAsia="Times New Roman" w:hAnsi="Arial" w:cs="Arial"/>
          <w:sz w:val="20"/>
          <w:szCs w:val="20"/>
          <w:lang w:val="es-ES" w:eastAsia="es-ES"/>
        </w:rPr>
      </w:pPr>
    </w:p>
    <w:bookmarkEnd w:id="0"/>
    <w:p w14:paraId="4A34F2A1" w14:textId="77777777" w:rsidR="00A3434D" w:rsidRPr="00A3434D" w:rsidRDefault="00A3434D" w:rsidP="001C501B">
      <w:pPr>
        <w:spacing w:after="0" w:line="240" w:lineRule="auto"/>
        <w:jc w:val="both"/>
        <w:rPr>
          <w:rFonts w:ascii="Arial" w:eastAsia="Times New Roman" w:hAnsi="Arial" w:cs="Arial"/>
          <w:sz w:val="20"/>
          <w:szCs w:val="20"/>
          <w:lang w:val="es-ES" w:eastAsia="es-ES"/>
        </w:rPr>
      </w:pPr>
    </w:p>
    <w:bookmarkEnd w:id="1"/>
    <w:p w14:paraId="20A71FC4" w14:textId="554C9D34" w:rsidR="006C0AD5" w:rsidRPr="001C501B" w:rsidRDefault="006C0AD5" w:rsidP="001C501B">
      <w:pPr>
        <w:spacing w:after="0" w:line="276" w:lineRule="auto"/>
        <w:ind w:left="714" w:hanging="357"/>
        <w:jc w:val="center"/>
        <w:rPr>
          <w:rFonts w:ascii="Tahoma" w:hAnsi="Tahoma" w:cs="Tahoma"/>
          <w:b/>
          <w:bCs/>
          <w:sz w:val="24"/>
          <w:szCs w:val="24"/>
          <w:lang w:val="es-419"/>
        </w:rPr>
      </w:pPr>
      <w:r w:rsidRPr="001C501B">
        <w:rPr>
          <w:rFonts w:ascii="Tahoma" w:hAnsi="Tahoma" w:cs="Tahoma"/>
          <w:b/>
          <w:bCs/>
          <w:sz w:val="24"/>
          <w:szCs w:val="24"/>
          <w:lang w:val="es-419"/>
        </w:rPr>
        <w:t>TRIBUNAL SUPERIOR DEL DISTRITO JUDICIAL DE PEREIRA</w:t>
      </w:r>
    </w:p>
    <w:p w14:paraId="7737BA64" w14:textId="7BF60479" w:rsidR="006C0AD5" w:rsidRPr="001C501B" w:rsidRDefault="006C0AD5" w:rsidP="001C501B">
      <w:pPr>
        <w:spacing w:after="0" w:line="276" w:lineRule="auto"/>
        <w:ind w:left="714" w:hanging="357"/>
        <w:jc w:val="center"/>
        <w:rPr>
          <w:rFonts w:ascii="Tahoma" w:hAnsi="Tahoma" w:cs="Tahoma"/>
          <w:b/>
          <w:bCs/>
          <w:sz w:val="24"/>
          <w:szCs w:val="24"/>
          <w:lang w:val="es-419"/>
        </w:rPr>
      </w:pPr>
      <w:r w:rsidRPr="001C501B">
        <w:rPr>
          <w:rFonts w:ascii="Tahoma" w:hAnsi="Tahoma" w:cs="Tahoma"/>
          <w:b/>
          <w:bCs/>
          <w:sz w:val="24"/>
          <w:szCs w:val="24"/>
          <w:lang w:val="es-419"/>
        </w:rPr>
        <w:t>SALA DE DECISIÓN LABORAL No. 1</w:t>
      </w:r>
    </w:p>
    <w:p w14:paraId="4CAC6332" w14:textId="0C6644F8" w:rsidR="006C0AD5" w:rsidRPr="001C501B" w:rsidRDefault="006C0AD5" w:rsidP="001C501B">
      <w:pPr>
        <w:spacing w:after="0" w:line="276" w:lineRule="auto"/>
        <w:ind w:left="714" w:hanging="357"/>
        <w:jc w:val="center"/>
        <w:rPr>
          <w:rFonts w:ascii="Tahoma" w:hAnsi="Tahoma" w:cs="Tahoma"/>
          <w:b/>
          <w:bCs/>
          <w:sz w:val="24"/>
          <w:szCs w:val="24"/>
          <w:lang w:val="es-419"/>
        </w:rPr>
      </w:pPr>
    </w:p>
    <w:p w14:paraId="4A70935E" w14:textId="0E693A97" w:rsidR="006C0AD5" w:rsidRPr="001C501B" w:rsidRDefault="006C0AD5" w:rsidP="001C501B">
      <w:pPr>
        <w:spacing w:after="0" w:line="276" w:lineRule="auto"/>
        <w:ind w:left="714" w:hanging="357"/>
        <w:jc w:val="center"/>
        <w:rPr>
          <w:rFonts w:ascii="Tahoma" w:hAnsi="Tahoma" w:cs="Tahoma"/>
          <w:b/>
          <w:bCs/>
          <w:sz w:val="24"/>
          <w:szCs w:val="24"/>
          <w:lang w:val="es-419"/>
        </w:rPr>
      </w:pPr>
      <w:r w:rsidRPr="001C501B">
        <w:rPr>
          <w:rFonts w:ascii="Tahoma" w:hAnsi="Tahoma" w:cs="Tahoma"/>
          <w:sz w:val="24"/>
          <w:szCs w:val="24"/>
          <w:lang w:val="es-419"/>
        </w:rPr>
        <w:t xml:space="preserve">Magistrada </w:t>
      </w:r>
      <w:r w:rsidR="00D705FF" w:rsidRPr="001C501B">
        <w:rPr>
          <w:rFonts w:ascii="Tahoma" w:hAnsi="Tahoma" w:cs="Tahoma"/>
          <w:sz w:val="24"/>
          <w:szCs w:val="24"/>
          <w:lang w:val="es-419"/>
        </w:rPr>
        <w:t>P</w:t>
      </w:r>
      <w:r w:rsidRPr="001C501B">
        <w:rPr>
          <w:rFonts w:ascii="Tahoma" w:hAnsi="Tahoma" w:cs="Tahoma"/>
          <w:sz w:val="24"/>
          <w:szCs w:val="24"/>
          <w:lang w:val="es-419"/>
        </w:rPr>
        <w:t>onente:</w:t>
      </w:r>
      <w:r w:rsidRPr="001C501B">
        <w:rPr>
          <w:rFonts w:ascii="Tahoma" w:hAnsi="Tahoma" w:cs="Tahoma"/>
          <w:b/>
          <w:bCs/>
          <w:sz w:val="24"/>
          <w:szCs w:val="24"/>
          <w:lang w:val="es-419"/>
        </w:rPr>
        <w:t xml:space="preserve"> Ana Lucia Caicedo Calderón</w:t>
      </w:r>
    </w:p>
    <w:p w14:paraId="12E49259" w14:textId="7A26DB15" w:rsidR="00F92BCE" w:rsidRPr="001C501B" w:rsidRDefault="00F92BCE" w:rsidP="001C501B">
      <w:pPr>
        <w:spacing w:after="0" w:line="276" w:lineRule="auto"/>
        <w:ind w:firstLine="709"/>
        <w:jc w:val="center"/>
        <w:rPr>
          <w:rFonts w:ascii="Tahoma" w:hAnsi="Tahoma" w:cs="Tahoma"/>
          <w:sz w:val="24"/>
          <w:szCs w:val="24"/>
          <w:lang w:val="es-419"/>
        </w:rPr>
      </w:pPr>
      <w:r w:rsidRPr="001C501B">
        <w:rPr>
          <w:rFonts w:ascii="Tahoma" w:hAnsi="Tahoma" w:cs="Tahoma"/>
          <w:sz w:val="24"/>
          <w:szCs w:val="24"/>
          <w:lang w:val="es-419"/>
        </w:rPr>
        <w:t xml:space="preserve">Pereira, </w:t>
      </w:r>
      <w:r w:rsidR="00642EAE" w:rsidRPr="001C501B">
        <w:rPr>
          <w:rFonts w:ascii="Tahoma" w:hAnsi="Tahoma" w:cs="Tahoma"/>
          <w:sz w:val="24"/>
          <w:szCs w:val="24"/>
          <w:lang w:val="es-419"/>
        </w:rPr>
        <w:t xml:space="preserve">dos </w:t>
      </w:r>
      <w:r w:rsidRPr="001C501B">
        <w:rPr>
          <w:rFonts w:ascii="Tahoma" w:hAnsi="Tahoma" w:cs="Tahoma"/>
          <w:sz w:val="24"/>
          <w:szCs w:val="24"/>
          <w:lang w:val="es-419"/>
        </w:rPr>
        <w:t>(</w:t>
      </w:r>
      <w:r w:rsidR="00642EAE" w:rsidRPr="001C501B">
        <w:rPr>
          <w:rFonts w:ascii="Tahoma" w:hAnsi="Tahoma" w:cs="Tahoma"/>
          <w:sz w:val="24"/>
          <w:szCs w:val="24"/>
          <w:lang w:val="es-419"/>
        </w:rPr>
        <w:t>2</w:t>
      </w:r>
      <w:r w:rsidRPr="001C501B">
        <w:rPr>
          <w:rFonts w:ascii="Tahoma" w:hAnsi="Tahoma" w:cs="Tahoma"/>
          <w:sz w:val="24"/>
          <w:szCs w:val="24"/>
          <w:lang w:val="es-419"/>
        </w:rPr>
        <w:t xml:space="preserve">) de </w:t>
      </w:r>
      <w:r w:rsidR="009D60EE" w:rsidRPr="001C501B">
        <w:rPr>
          <w:rFonts w:ascii="Tahoma" w:hAnsi="Tahoma" w:cs="Tahoma"/>
          <w:sz w:val="24"/>
          <w:szCs w:val="24"/>
        </w:rPr>
        <w:t>marzo</w:t>
      </w:r>
      <w:r w:rsidR="006069A3" w:rsidRPr="001C501B">
        <w:rPr>
          <w:rFonts w:ascii="Tahoma" w:hAnsi="Tahoma" w:cs="Tahoma"/>
          <w:sz w:val="24"/>
          <w:szCs w:val="24"/>
          <w:lang w:val="es-419"/>
        </w:rPr>
        <w:t xml:space="preserve"> </w:t>
      </w:r>
      <w:r w:rsidRPr="001C501B">
        <w:rPr>
          <w:rFonts w:ascii="Tahoma" w:hAnsi="Tahoma" w:cs="Tahoma"/>
          <w:sz w:val="24"/>
          <w:szCs w:val="24"/>
          <w:lang w:val="es-419"/>
        </w:rPr>
        <w:t>de dos mil veintidós (2022)</w:t>
      </w:r>
    </w:p>
    <w:p w14:paraId="65ADD436" w14:textId="58B30A5C" w:rsidR="006C0AD5" w:rsidRPr="001C501B" w:rsidRDefault="006C0AD5" w:rsidP="001C501B">
      <w:pPr>
        <w:spacing w:after="0" w:line="276" w:lineRule="auto"/>
        <w:ind w:firstLine="709"/>
        <w:jc w:val="both"/>
        <w:rPr>
          <w:rFonts w:ascii="Tahoma" w:hAnsi="Tahoma" w:cs="Tahoma"/>
          <w:sz w:val="24"/>
          <w:szCs w:val="24"/>
          <w:lang w:val="es-419"/>
        </w:rPr>
      </w:pPr>
    </w:p>
    <w:p w14:paraId="380E2BF3" w14:textId="59F9000B" w:rsidR="007D2B5A" w:rsidRPr="001C501B" w:rsidRDefault="006C0AD5" w:rsidP="001C501B">
      <w:pPr>
        <w:spacing w:after="0" w:line="276" w:lineRule="auto"/>
        <w:ind w:firstLine="709"/>
        <w:jc w:val="both"/>
        <w:rPr>
          <w:rFonts w:ascii="Tahoma" w:hAnsi="Tahoma" w:cs="Tahoma"/>
          <w:sz w:val="24"/>
          <w:szCs w:val="24"/>
          <w:lang w:val="es-419"/>
        </w:rPr>
      </w:pPr>
      <w:r w:rsidRPr="001C501B">
        <w:rPr>
          <w:rFonts w:ascii="Tahoma" w:hAnsi="Tahoma" w:cs="Tahoma"/>
          <w:sz w:val="24"/>
          <w:szCs w:val="24"/>
          <w:lang w:val="es-419"/>
        </w:rPr>
        <w:t>Procede la judicatura a resolver la impugnación propuesta contra la sentencia proferida el día</w:t>
      </w:r>
      <w:r w:rsidR="00FC3301" w:rsidRPr="001C501B">
        <w:rPr>
          <w:rFonts w:ascii="Tahoma" w:hAnsi="Tahoma" w:cs="Tahoma"/>
          <w:sz w:val="24"/>
          <w:szCs w:val="24"/>
          <w:lang w:val="es-419"/>
        </w:rPr>
        <w:t xml:space="preserve"> </w:t>
      </w:r>
      <w:r w:rsidR="002B1643" w:rsidRPr="001C501B">
        <w:rPr>
          <w:rFonts w:ascii="Tahoma" w:hAnsi="Tahoma" w:cs="Tahoma"/>
          <w:sz w:val="24"/>
          <w:szCs w:val="24"/>
        </w:rPr>
        <w:t>25 de enero de 2022</w:t>
      </w:r>
      <w:r w:rsidR="007D2B5A" w:rsidRPr="001C501B">
        <w:rPr>
          <w:rFonts w:ascii="Tahoma" w:hAnsi="Tahoma" w:cs="Tahoma"/>
          <w:sz w:val="24"/>
          <w:szCs w:val="24"/>
          <w:lang w:val="es-419"/>
        </w:rPr>
        <w:t xml:space="preserve">, por el </w:t>
      </w:r>
      <w:r w:rsidR="00D705FF" w:rsidRPr="001C501B">
        <w:rPr>
          <w:rFonts w:ascii="Tahoma" w:hAnsi="Tahoma" w:cs="Tahoma"/>
          <w:sz w:val="24"/>
          <w:szCs w:val="24"/>
          <w:lang w:val="es-419"/>
        </w:rPr>
        <w:t>J</w:t>
      </w:r>
      <w:r w:rsidR="007D2B5A" w:rsidRPr="001C501B">
        <w:rPr>
          <w:rFonts w:ascii="Tahoma" w:hAnsi="Tahoma" w:cs="Tahoma"/>
          <w:sz w:val="24"/>
          <w:szCs w:val="24"/>
          <w:lang w:val="es-419"/>
        </w:rPr>
        <w:t xml:space="preserve">uzgado </w:t>
      </w:r>
      <w:r w:rsidR="009A0B87" w:rsidRPr="001C501B">
        <w:rPr>
          <w:rFonts w:ascii="Tahoma" w:hAnsi="Tahoma" w:cs="Tahoma"/>
          <w:sz w:val="24"/>
          <w:szCs w:val="24"/>
          <w:lang w:val="es-419"/>
        </w:rPr>
        <w:t>Primero</w:t>
      </w:r>
      <w:r w:rsidR="007D2B5A" w:rsidRPr="001C501B">
        <w:rPr>
          <w:rFonts w:ascii="Tahoma" w:hAnsi="Tahoma" w:cs="Tahoma"/>
          <w:sz w:val="24"/>
          <w:szCs w:val="24"/>
          <w:lang w:val="es-419"/>
        </w:rPr>
        <w:t xml:space="preserve"> </w:t>
      </w:r>
      <w:r w:rsidR="00D705FF" w:rsidRPr="001C501B">
        <w:rPr>
          <w:rFonts w:ascii="Tahoma" w:hAnsi="Tahoma" w:cs="Tahoma"/>
          <w:sz w:val="24"/>
          <w:szCs w:val="24"/>
          <w:lang w:val="es-419"/>
        </w:rPr>
        <w:t>L</w:t>
      </w:r>
      <w:r w:rsidR="007D2B5A" w:rsidRPr="001C501B">
        <w:rPr>
          <w:rFonts w:ascii="Tahoma" w:hAnsi="Tahoma" w:cs="Tahoma"/>
          <w:sz w:val="24"/>
          <w:szCs w:val="24"/>
          <w:lang w:val="es-419"/>
        </w:rPr>
        <w:t xml:space="preserve">aboral del </w:t>
      </w:r>
      <w:r w:rsidR="00D705FF" w:rsidRPr="001C501B">
        <w:rPr>
          <w:rFonts w:ascii="Tahoma" w:hAnsi="Tahoma" w:cs="Tahoma"/>
          <w:sz w:val="24"/>
          <w:szCs w:val="24"/>
          <w:lang w:val="es-419"/>
        </w:rPr>
        <w:t>C</w:t>
      </w:r>
      <w:r w:rsidR="007D2B5A" w:rsidRPr="001C501B">
        <w:rPr>
          <w:rFonts w:ascii="Tahoma" w:hAnsi="Tahoma" w:cs="Tahoma"/>
          <w:sz w:val="24"/>
          <w:szCs w:val="24"/>
          <w:lang w:val="es-419"/>
        </w:rPr>
        <w:t xml:space="preserve">ircuito de Pereira, dentro de la </w:t>
      </w:r>
      <w:r w:rsidR="007D2B5A" w:rsidRPr="00842AE2">
        <w:rPr>
          <w:rFonts w:ascii="Tahoma" w:hAnsi="Tahoma" w:cs="Tahoma"/>
          <w:b/>
          <w:sz w:val="24"/>
          <w:szCs w:val="24"/>
          <w:lang w:val="es-419"/>
        </w:rPr>
        <w:t>acción de tutela</w:t>
      </w:r>
      <w:r w:rsidR="007D2B5A" w:rsidRPr="001C501B">
        <w:rPr>
          <w:rFonts w:ascii="Tahoma" w:hAnsi="Tahoma" w:cs="Tahoma"/>
          <w:sz w:val="24"/>
          <w:szCs w:val="24"/>
          <w:lang w:val="es-419"/>
        </w:rPr>
        <w:t xml:space="preserve"> impetrada</w:t>
      </w:r>
      <w:r w:rsidR="00D705FF" w:rsidRPr="001C501B">
        <w:rPr>
          <w:rFonts w:ascii="Tahoma" w:hAnsi="Tahoma" w:cs="Tahoma"/>
          <w:sz w:val="24"/>
          <w:szCs w:val="24"/>
          <w:lang w:val="es-419"/>
        </w:rPr>
        <w:t xml:space="preserve"> por</w:t>
      </w:r>
      <w:r w:rsidR="00A70621" w:rsidRPr="001C501B">
        <w:rPr>
          <w:rFonts w:ascii="Tahoma" w:hAnsi="Tahoma" w:cs="Tahoma"/>
          <w:sz w:val="24"/>
          <w:szCs w:val="24"/>
          <w:lang w:val="es-419"/>
        </w:rPr>
        <w:t xml:space="preserve"> el señor CESAR AUGUSTO AGUDELO SALAZAR en calidad de apoderado judicial del señor </w:t>
      </w:r>
      <w:r w:rsidR="00804A25" w:rsidRPr="00842AE2">
        <w:rPr>
          <w:rFonts w:ascii="Tahoma" w:hAnsi="Tahoma" w:cs="Tahoma"/>
          <w:b/>
          <w:sz w:val="24"/>
          <w:szCs w:val="24"/>
          <w:lang w:val="es-419"/>
        </w:rPr>
        <w:t>Adrián</w:t>
      </w:r>
      <w:r w:rsidR="00842AE2" w:rsidRPr="00842AE2">
        <w:rPr>
          <w:rFonts w:ascii="Tahoma" w:hAnsi="Tahoma" w:cs="Tahoma"/>
          <w:b/>
          <w:sz w:val="24"/>
          <w:szCs w:val="24"/>
          <w:lang w:val="es-419"/>
        </w:rPr>
        <w:t xml:space="preserve"> Agudelo </w:t>
      </w:r>
      <w:r w:rsidR="00842AE2" w:rsidRPr="00842AE2">
        <w:rPr>
          <w:rFonts w:ascii="Tahoma" w:hAnsi="Tahoma" w:cs="Tahoma"/>
          <w:b/>
          <w:sz w:val="24"/>
          <w:szCs w:val="24"/>
          <w:lang w:val="es-419"/>
        </w:rPr>
        <w:lastRenderedPageBreak/>
        <w:t>Henao</w:t>
      </w:r>
      <w:r w:rsidR="007D2B5A" w:rsidRPr="001C501B">
        <w:rPr>
          <w:rFonts w:ascii="Tahoma" w:hAnsi="Tahoma" w:cs="Tahoma"/>
          <w:sz w:val="24"/>
          <w:szCs w:val="24"/>
          <w:lang w:val="es-419"/>
        </w:rPr>
        <w:t>, en contra de</w:t>
      </w:r>
      <w:r w:rsidR="00D705FF" w:rsidRPr="001C501B">
        <w:rPr>
          <w:rFonts w:ascii="Tahoma" w:hAnsi="Tahoma" w:cs="Tahoma"/>
          <w:sz w:val="24"/>
          <w:szCs w:val="24"/>
          <w:lang w:val="es-419"/>
        </w:rPr>
        <w:t xml:space="preserve"> </w:t>
      </w:r>
      <w:r w:rsidR="009A0B87" w:rsidRPr="001C501B">
        <w:rPr>
          <w:rFonts w:ascii="Tahoma" w:hAnsi="Tahoma" w:cs="Tahoma"/>
          <w:sz w:val="24"/>
          <w:szCs w:val="24"/>
          <w:lang w:val="es-419"/>
        </w:rPr>
        <w:t xml:space="preserve">la </w:t>
      </w:r>
      <w:r w:rsidR="009A0B87" w:rsidRPr="00842AE2">
        <w:rPr>
          <w:rFonts w:ascii="Tahoma" w:hAnsi="Tahoma" w:cs="Tahoma"/>
          <w:b/>
          <w:sz w:val="24"/>
          <w:szCs w:val="24"/>
          <w:lang w:val="es-419"/>
        </w:rPr>
        <w:t xml:space="preserve">Administradora Colombiana de Pensiones – </w:t>
      </w:r>
      <w:r w:rsidR="00842AE2" w:rsidRPr="00842AE2">
        <w:rPr>
          <w:rFonts w:ascii="Tahoma" w:hAnsi="Tahoma" w:cs="Tahoma"/>
          <w:b/>
          <w:sz w:val="24"/>
          <w:szCs w:val="24"/>
          <w:lang w:val="es-419"/>
        </w:rPr>
        <w:t>COLPENSIONES</w:t>
      </w:r>
      <w:r w:rsidR="007D2B5A" w:rsidRPr="001C501B">
        <w:rPr>
          <w:rFonts w:ascii="Tahoma" w:hAnsi="Tahoma" w:cs="Tahoma"/>
          <w:sz w:val="24"/>
          <w:szCs w:val="24"/>
          <w:lang w:val="es-419"/>
        </w:rPr>
        <w:t>, a través de la cual se pretende que se ampare su</w:t>
      </w:r>
      <w:r w:rsidR="00CA1E5F" w:rsidRPr="001C501B">
        <w:rPr>
          <w:rFonts w:ascii="Tahoma" w:hAnsi="Tahoma" w:cs="Tahoma"/>
          <w:sz w:val="24"/>
          <w:szCs w:val="24"/>
          <w:lang w:val="es-419"/>
        </w:rPr>
        <w:t>s</w:t>
      </w:r>
      <w:r w:rsidR="007D2B5A" w:rsidRPr="001C501B">
        <w:rPr>
          <w:rFonts w:ascii="Tahoma" w:hAnsi="Tahoma" w:cs="Tahoma"/>
          <w:sz w:val="24"/>
          <w:szCs w:val="24"/>
          <w:lang w:val="es-419"/>
        </w:rPr>
        <w:t xml:space="preserve"> d</w:t>
      </w:r>
      <w:r w:rsidR="00CA1E5F" w:rsidRPr="001C501B">
        <w:rPr>
          <w:rFonts w:ascii="Tahoma" w:hAnsi="Tahoma" w:cs="Tahoma"/>
          <w:sz w:val="24"/>
          <w:szCs w:val="24"/>
          <w:lang w:val="es-419"/>
        </w:rPr>
        <w:t xml:space="preserve">erechos </w:t>
      </w:r>
      <w:r w:rsidR="009A0B87" w:rsidRPr="001C501B">
        <w:rPr>
          <w:rFonts w:ascii="Tahoma" w:hAnsi="Tahoma" w:cs="Tahoma"/>
          <w:sz w:val="24"/>
          <w:szCs w:val="24"/>
          <w:lang w:val="es-419"/>
        </w:rPr>
        <w:t>fundamentale</w:t>
      </w:r>
      <w:r w:rsidR="00A70621" w:rsidRPr="001C501B">
        <w:rPr>
          <w:rFonts w:ascii="Tahoma" w:hAnsi="Tahoma" w:cs="Tahoma"/>
          <w:sz w:val="24"/>
          <w:szCs w:val="24"/>
          <w:lang w:val="es-419"/>
        </w:rPr>
        <w:t>s</w:t>
      </w:r>
      <w:r w:rsidR="009A0B87" w:rsidRPr="001C501B">
        <w:rPr>
          <w:rFonts w:ascii="Tahoma" w:hAnsi="Tahoma" w:cs="Tahoma"/>
          <w:sz w:val="24"/>
          <w:szCs w:val="24"/>
          <w:lang w:val="es-419"/>
        </w:rPr>
        <w:t xml:space="preserve"> a la </w:t>
      </w:r>
      <w:r w:rsidR="00A70621" w:rsidRPr="001C501B">
        <w:rPr>
          <w:rFonts w:ascii="Tahoma" w:hAnsi="Tahoma" w:cs="Tahoma"/>
          <w:sz w:val="24"/>
          <w:szCs w:val="24"/>
          <w:lang w:val="es-419"/>
        </w:rPr>
        <w:t>seguridad social</w:t>
      </w:r>
      <w:r w:rsidR="009A0B87" w:rsidRPr="001C501B">
        <w:rPr>
          <w:rFonts w:ascii="Tahoma" w:hAnsi="Tahoma" w:cs="Tahoma"/>
          <w:sz w:val="24"/>
          <w:szCs w:val="24"/>
          <w:lang w:val="es-419"/>
        </w:rPr>
        <w:t>,</w:t>
      </w:r>
      <w:r w:rsidR="00A70621" w:rsidRPr="001C501B">
        <w:rPr>
          <w:rFonts w:ascii="Tahoma" w:hAnsi="Tahoma" w:cs="Tahoma"/>
          <w:sz w:val="24"/>
          <w:szCs w:val="24"/>
          <w:lang w:val="es-419"/>
        </w:rPr>
        <w:t xml:space="preserve"> mínimo vital y móvil</w:t>
      </w:r>
      <w:r w:rsidR="00CA1E5F" w:rsidRPr="001C501B">
        <w:rPr>
          <w:rFonts w:ascii="Tahoma" w:hAnsi="Tahoma" w:cs="Tahoma"/>
          <w:sz w:val="24"/>
          <w:szCs w:val="24"/>
          <w:lang w:val="es-419"/>
        </w:rPr>
        <w:t>,</w:t>
      </w:r>
      <w:r w:rsidR="00A70621" w:rsidRPr="001C501B">
        <w:rPr>
          <w:rFonts w:ascii="Tahoma" w:hAnsi="Tahoma" w:cs="Tahoma"/>
          <w:sz w:val="24"/>
          <w:szCs w:val="24"/>
          <w:lang w:val="es-419"/>
        </w:rPr>
        <w:t xml:space="preserve"> dignidad humana e igualdad; </w:t>
      </w:r>
      <w:r w:rsidR="00A70621" w:rsidRPr="00842AE2">
        <w:rPr>
          <w:rFonts w:ascii="Tahoma" w:hAnsi="Tahoma" w:cs="Tahoma"/>
          <w:sz w:val="24"/>
          <w:szCs w:val="24"/>
          <w:lang w:val="es-419"/>
        </w:rPr>
        <w:t>trámite al que fue vinculada la sociedad administradora de fondos de pensiones y cesantías</w:t>
      </w:r>
      <w:r w:rsidR="00A70621" w:rsidRPr="001C501B">
        <w:rPr>
          <w:rFonts w:ascii="Tahoma" w:hAnsi="Tahoma" w:cs="Tahoma"/>
          <w:b/>
          <w:sz w:val="24"/>
          <w:szCs w:val="24"/>
          <w:lang w:val="es-419"/>
        </w:rPr>
        <w:t xml:space="preserve"> PORVENIR S.A</w:t>
      </w:r>
      <w:r w:rsidR="007D2B5A" w:rsidRPr="001C501B">
        <w:rPr>
          <w:rFonts w:ascii="Tahoma" w:hAnsi="Tahoma" w:cs="Tahoma"/>
          <w:b/>
          <w:sz w:val="24"/>
          <w:szCs w:val="24"/>
          <w:lang w:val="es-419"/>
        </w:rPr>
        <w:t>.</w:t>
      </w:r>
      <w:r w:rsidR="007D2B5A" w:rsidRPr="001C501B">
        <w:rPr>
          <w:rFonts w:ascii="Tahoma" w:hAnsi="Tahoma" w:cs="Tahoma"/>
          <w:sz w:val="24"/>
          <w:szCs w:val="24"/>
          <w:lang w:val="es-419"/>
        </w:rPr>
        <w:t xml:space="preserve"> Para ello se tiene en cuenta lo siguiente</w:t>
      </w:r>
      <w:r w:rsidR="00A47F3C" w:rsidRPr="001C501B">
        <w:rPr>
          <w:rFonts w:ascii="Tahoma" w:hAnsi="Tahoma" w:cs="Tahoma"/>
          <w:sz w:val="24"/>
          <w:szCs w:val="24"/>
          <w:lang w:val="es-419"/>
        </w:rPr>
        <w:t>:</w:t>
      </w:r>
    </w:p>
    <w:p w14:paraId="0E71E9C3" w14:textId="43218926" w:rsidR="00A1547A" w:rsidRPr="001C501B" w:rsidRDefault="00A1547A" w:rsidP="001C501B">
      <w:pPr>
        <w:spacing w:after="0" w:line="276" w:lineRule="auto"/>
        <w:ind w:firstLine="709"/>
        <w:jc w:val="both"/>
        <w:rPr>
          <w:rFonts w:ascii="Tahoma" w:hAnsi="Tahoma" w:cs="Tahoma"/>
          <w:sz w:val="24"/>
          <w:szCs w:val="24"/>
          <w:lang w:val="es-419"/>
        </w:rPr>
      </w:pPr>
    </w:p>
    <w:p w14:paraId="7AD8DB71" w14:textId="65DD59C2" w:rsidR="000D1C3E" w:rsidRPr="001C501B" w:rsidRDefault="00004507" w:rsidP="001C501B">
      <w:pPr>
        <w:pStyle w:val="Prrafodelista"/>
        <w:numPr>
          <w:ilvl w:val="0"/>
          <w:numId w:val="6"/>
        </w:numPr>
        <w:spacing w:after="0" w:line="276" w:lineRule="auto"/>
        <w:ind w:left="714" w:hanging="357"/>
        <w:jc w:val="center"/>
        <w:rPr>
          <w:rFonts w:ascii="Tahoma" w:hAnsi="Tahoma" w:cs="Tahoma"/>
          <w:b/>
          <w:bCs/>
          <w:sz w:val="24"/>
          <w:szCs w:val="24"/>
          <w:lang w:val="es-419"/>
        </w:rPr>
      </w:pPr>
      <w:r w:rsidRPr="001C501B">
        <w:rPr>
          <w:rFonts w:ascii="Tahoma" w:hAnsi="Tahoma" w:cs="Tahoma"/>
          <w:b/>
          <w:bCs/>
          <w:sz w:val="24"/>
          <w:szCs w:val="24"/>
          <w:lang w:val="es-419"/>
        </w:rPr>
        <w:t>DEMANDA DE TUTELA</w:t>
      </w:r>
    </w:p>
    <w:p w14:paraId="699E3F64" w14:textId="77777777" w:rsidR="004674E9" w:rsidRPr="001C501B" w:rsidRDefault="004674E9" w:rsidP="001C501B">
      <w:pPr>
        <w:spacing w:after="0" w:line="276" w:lineRule="auto"/>
        <w:ind w:firstLine="709"/>
        <w:jc w:val="both"/>
        <w:rPr>
          <w:rFonts w:ascii="Tahoma" w:hAnsi="Tahoma" w:cs="Tahoma"/>
          <w:sz w:val="24"/>
          <w:szCs w:val="24"/>
          <w:lang w:val="es-419"/>
        </w:rPr>
      </w:pPr>
    </w:p>
    <w:p w14:paraId="2D870D14" w14:textId="37C972DD" w:rsidR="000D1C3E" w:rsidRPr="001C501B" w:rsidRDefault="000D1C3E" w:rsidP="001C501B">
      <w:pPr>
        <w:spacing w:after="0" w:line="276" w:lineRule="auto"/>
        <w:ind w:firstLine="709"/>
        <w:jc w:val="both"/>
        <w:rPr>
          <w:rFonts w:ascii="Tahoma" w:hAnsi="Tahoma" w:cs="Tahoma"/>
          <w:sz w:val="24"/>
          <w:szCs w:val="24"/>
          <w:lang w:val="es-419"/>
        </w:rPr>
      </w:pPr>
      <w:r w:rsidRPr="001C501B">
        <w:rPr>
          <w:rFonts w:ascii="Tahoma" w:hAnsi="Tahoma" w:cs="Tahoma"/>
          <w:sz w:val="24"/>
          <w:szCs w:val="24"/>
          <w:lang w:val="es-419"/>
        </w:rPr>
        <w:t>El demandante solicita que se tutele su derecho fundamental a la seguridad social, el mínimo vital y móvil, igualdad, dignidad humana y, en consecuencia, se ordene a la ADMINISTRADORA COLOMBIANA DE PENSIONES</w:t>
      </w:r>
      <w:r w:rsidR="00804A25">
        <w:rPr>
          <w:rFonts w:ascii="Tahoma" w:hAnsi="Tahoma" w:cs="Tahoma"/>
          <w:sz w:val="24"/>
          <w:szCs w:val="24"/>
          <w:lang w:val="es-419"/>
        </w:rPr>
        <w:t xml:space="preserve"> </w:t>
      </w:r>
      <w:r w:rsidR="00881366">
        <w:rPr>
          <w:rFonts w:ascii="Tahoma" w:hAnsi="Tahoma" w:cs="Tahoma"/>
          <w:sz w:val="24"/>
          <w:szCs w:val="24"/>
          <w:lang w:val="es-419"/>
        </w:rPr>
        <w:t>–</w:t>
      </w:r>
      <w:r w:rsidRPr="001C501B">
        <w:rPr>
          <w:rFonts w:ascii="Tahoma" w:hAnsi="Tahoma" w:cs="Tahoma"/>
          <w:sz w:val="24"/>
          <w:szCs w:val="24"/>
          <w:lang w:val="es-419"/>
        </w:rPr>
        <w:t xml:space="preserve"> COLPENSIONES a realizar el reconocimiento y pago de la pensión de invalidez en favor del señor ADRIAN AGUDELO HENAO desde el 23 de </w:t>
      </w:r>
      <w:r w:rsidR="004674E9" w:rsidRPr="001C501B">
        <w:rPr>
          <w:rFonts w:ascii="Tahoma" w:hAnsi="Tahoma" w:cs="Tahoma"/>
          <w:sz w:val="24"/>
          <w:szCs w:val="24"/>
          <w:lang w:val="es-419"/>
        </w:rPr>
        <w:t>febrero</w:t>
      </w:r>
      <w:r w:rsidRPr="001C501B">
        <w:rPr>
          <w:rFonts w:ascii="Tahoma" w:hAnsi="Tahoma" w:cs="Tahoma"/>
          <w:sz w:val="24"/>
          <w:szCs w:val="24"/>
          <w:lang w:val="es-419"/>
        </w:rPr>
        <w:t xml:space="preserve"> de 2021</w:t>
      </w:r>
      <w:r w:rsidR="004674E9" w:rsidRPr="001C501B">
        <w:rPr>
          <w:rFonts w:ascii="Tahoma" w:hAnsi="Tahoma" w:cs="Tahoma"/>
          <w:sz w:val="24"/>
          <w:szCs w:val="24"/>
          <w:lang w:val="es-419"/>
        </w:rPr>
        <w:t>.</w:t>
      </w:r>
    </w:p>
    <w:p w14:paraId="4928F20E" w14:textId="77777777" w:rsidR="004674E9" w:rsidRPr="001C501B" w:rsidRDefault="004674E9" w:rsidP="001C501B">
      <w:pPr>
        <w:spacing w:after="0" w:line="276" w:lineRule="auto"/>
        <w:ind w:firstLine="709"/>
        <w:jc w:val="both"/>
        <w:rPr>
          <w:rFonts w:ascii="Tahoma" w:hAnsi="Tahoma" w:cs="Tahoma"/>
          <w:sz w:val="24"/>
          <w:szCs w:val="24"/>
          <w:lang w:val="es-419"/>
        </w:rPr>
      </w:pPr>
    </w:p>
    <w:p w14:paraId="310D776E" w14:textId="226BE3B3" w:rsidR="000D1C3E" w:rsidRPr="001C501B" w:rsidRDefault="000D1C3E" w:rsidP="001C501B">
      <w:pPr>
        <w:spacing w:after="0" w:line="276" w:lineRule="auto"/>
        <w:ind w:firstLine="709"/>
        <w:jc w:val="both"/>
        <w:rPr>
          <w:rFonts w:ascii="Tahoma" w:hAnsi="Tahoma" w:cs="Tahoma"/>
          <w:sz w:val="24"/>
          <w:szCs w:val="24"/>
          <w:lang w:val="es-419"/>
        </w:rPr>
      </w:pPr>
      <w:r w:rsidRPr="001C501B">
        <w:rPr>
          <w:rFonts w:ascii="Tahoma" w:hAnsi="Tahoma" w:cs="Tahoma"/>
          <w:sz w:val="24"/>
          <w:szCs w:val="24"/>
          <w:lang w:val="es-419"/>
        </w:rPr>
        <w:t xml:space="preserve">Para sustentar la demanda, manifiesta que el señor </w:t>
      </w:r>
      <w:r w:rsidRPr="00804A25">
        <w:rPr>
          <w:rFonts w:ascii="Tahoma" w:hAnsi="Tahoma" w:cs="Tahoma"/>
          <w:bCs/>
          <w:sz w:val="24"/>
          <w:szCs w:val="24"/>
          <w:lang w:val="es-419"/>
        </w:rPr>
        <w:t>ADRIAN AGUDELO HENAO</w:t>
      </w:r>
      <w:r w:rsidRPr="00804A25">
        <w:rPr>
          <w:rFonts w:ascii="Tahoma" w:hAnsi="Tahoma" w:cs="Tahoma"/>
          <w:sz w:val="24"/>
          <w:szCs w:val="24"/>
          <w:lang w:val="es-419"/>
        </w:rPr>
        <w:t xml:space="preserve"> desde hace algún tiempo ha padecido severos problem</w:t>
      </w:r>
      <w:r w:rsidRPr="001C501B">
        <w:rPr>
          <w:rFonts w:ascii="Tahoma" w:hAnsi="Tahoma" w:cs="Tahoma"/>
          <w:sz w:val="24"/>
          <w:szCs w:val="24"/>
          <w:lang w:val="es-419"/>
        </w:rPr>
        <w:t xml:space="preserve">as de salud, como insuficiencia renal terminal, motivo por el cual agotó el proceso de calificación de pérdida de la capacidad laboral ante Colpensiones, siendo calificado el pasado 23 de febrero de 2021 con una PCL equivalente a 68.50% estructurada para el 27 de septiembre de 2019, en razón a enfermedad de origen común. </w:t>
      </w:r>
    </w:p>
    <w:p w14:paraId="653C9692" w14:textId="77777777" w:rsidR="000D1C3E" w:rsidRPr="001C501B" w:rsidRDefault="000D1C3E" w:rsidP="001C501B">
      <w:pPr>
        <w:spacing w:after="0" w:line="276" w:lineRule="auto"/>
        <w:ind w:firstLine="709"/>
        <w:jc w:val="both"/>
        <w:rPr>
          <w:rFonts w:ascii="Tahoma" w:hAnsi="Tahoma" w:cs="Tahoma"/>
          <w:sz w:val="24"/>
          <w:szCs w:val="24"/>
          <w:lang w:val="es-419"/>
        </w:rPr>
      </w:pPr>
    </w:p>
    <w:p w14:paraId="6CAB9585" w14:textId="200B121D" w:rsidR="000D1C3E" w:rsidRPr="001C501B" w:rsidRDefault="004674E9" w:rsidP="001C501B">
      <w:pPr>
        <w:spacing w:after="0" w:line="276" w:lineRule="auto"/>
        <w:ind w:firstLine="709"/>
        <w:jc w:val="both"/>
        <w:rPr>
          <w:rFonts w:ascii="Tahoma" w:hAnsi="Tahoma" w:cs="Tahoma"/>
          <w:sz w:val="24"/>
          <w:szCs w:val="24"/>
          <w:lang w:val="es-419"/>
        </w:rPr>
      </w:pPr>
      <w:r w:rsidRPr="001C501B">
        <w:rPr>
          <w:rFonts w:ascii="Tahoma" w:hAnsi="Tahoma" w:cs="Tahoma"/>
          <w:sz w:val="24"/>
          <w:szCs w:val="24"/>
          <w:lang w:val="es-419"/>
        </w:rPr>
        <w:t>Acto seguido</w:t>
      </w:r>
      <w:r w:rsidR="000D1C3E" w:rsidRPr="001C501B">
        <w:rPr>
          <w:rFonts w:ascii="Tahoma" w:hAnsi="Tahoma" w:cs="Tahoma"/>
          <w:sz w:val="24"/>
          <w:szCs w:val="24"/>
          <w:lang w:val="es-419"/>
        </w:rPr>
        <w:t>, procedió a solicitar la pensión de invalidez, que le fue negada mediante Resolución número SUB-262032 del 07 de octubre de 2021 con fundamento en que, para la fecha de estructuración se encontraba afiliado al Régimen de Ahorro Individual a través del fondo de pensiones Porvenir S.A, decisión que fue recurrida y Colpensiones mediante acto administrativo número DPE-11323 del 16 diciembre de 2021, la confirmó.</w:t>
      </w:r>
    </w:p>
    <w:p w14:paraId="3341623D" w14:textId="77777777" w:rsidR="00251A53" w:rsidRPr="001C501B" w:rsidRDefault="00251A53" w:rsidP="001C501B">
      <w:pPr>
        <w:spacing w:after="0" w:line="276" w:lineRule="auto"/>
        <w:ind w:left="714" w:hanging="357"/>
        <w:jc w:val="center"/>
        <w:rPr>
          <w:rFonts w:ascii="Tahoma" w:hAnsi="Tahoma" w:cs="Tahoma"/>
          <w:sz w:val="24"/>
          <w:szCs w:val="24"/>
          <w:lang w:val="es-419"/>
        </w:rPr>
      </w:pPr>
    </w:p>
    <w:p w14:paraId="3C416308" w14:textId="004BF629" w:rsidR="00B95F62" w:rsidRPr="001C501B" w:rsidRDefault="00004507" w:rsidP="001C501B">
      <w:pPr>
        <w:pStyle w:val="Prrafodelista"/>
        <w:numPr>
          <w:ilvl w:val="0"/>
          <w:numId w:val="6"/>
        </w:numPr>
        <w:spacing w:after="0" w:line="276" w:lineRule="auto"/>
        <w:ind w:left="714" w:hanging="357"/>
        <w:jc w:val="center"/>
        <w:rPr>
          <w:rFonts w:ascii="Tahoma" w:hAnsi="Tahoma" w:cs="Tahoma"/>
          <w:sz w:val="24"/>
          <w:szCs w:val="24"/>
          <w:lang w:val="es-419"/>
        </w:rPr>
      </w:pPr>
      <w:r w:rsidRPr="001C501B">
        <w:rPr>
          <w:rFonts w:ascii="Tahoma" w:hAnsi="Tahoma" w:cs="Tahoma"/>
          <w:b/>
          <w:bCs/>
          <w:sz w:val="24"/>
          <w:szCs w:val="24"/>
          <w:lang w:val="es-419"/>
        </w:rPr>
        <w:t>CONTESTACIÓN DE LA DEMANDA</w:t>
      </w:r>
    </w:p>
    <w:p w14:paraId="3FDC43D0" w14:textId="77777777" w:rsidR="004674E9" w:rsidRPr="001C501B" w:rsidRDefault="004674E9" w:rsidP="001C501B">
      <w:pPr>
        <w:spacing w:after="0" w:line="276" w:lineRule="auto"/>
        <w:ind w:firstLine="709"/>
        <w:jc w:val="both"/>
        <w:rPr>
          <w:rFonts w:ascii="Tahoma" w:hAnsi="Tahoma" w:cs="Tahoma"/>
          <w:sz w:val="24"/>
          <w:szCs w:val="24"/>
          <w:lang w:val="es-419"/>
        </w:rPr>
      </w:pPr>
    </w:p>
    <w:p w14:paraId="16965414" w14:textId="6CE59D9B" w:rsidR="000D1C3E" w:rsidRPr="001C501B" w:rsidRDefault="000D1C3E" w:rsidP="001C501B">
      <w:pPr>
        <w:spacing w:after="0" w:line="276" w:lineRule="auto"/>
        <w:ind w:firstLine="709"/>
        <w:jc w:val="both"/>
        <w:rPr>
          <w:rFonts w:ascii="Tahoma" w:hAnsi="Tahoma" w:cs="Tahoma"/>
          <w:sz w:val="24"/>
          <w:szCs w:val="24"/>
          <w:lang w:val="es-419"/>
        </w:rPr>
      </w:pPr>
      <w:r w:rsidRPr="001C501B">
        <w:rPr>
          <w:rFonts w:ascii="Tahoma" w:hAnsi="Tahoma" w:cs="Tahoma"/>
          <w:sz w:val="24"/>
          <w:szCs w:val="24"/>
          <w:lang w:val="es-419"/>
        </w:rPr>
        <w:t>La ADMINISTRADORA COLOMBIANA DE PENSIONES – COLPENSIONES, se opuso a las pretensiones del demandante al aseverar que mediante la resolución SUB-262032 del 07 de octubre de 2021, se declaró la falta de competencia para el reconocimiento de la pensión de invalidez, teniendo en cuenta que, para la fecha de estructuración el solicitante no se encontraba afiliado a la entidad; resolución que fue notificada el 08 de las mismas calendas.</w:t>
      </w:r>
    </w:p>
    <w:p w14:paraId="20243399" w14:textId="77777777" w:rsidR="000D1C3E" w:rsidRPr="001C501B" w:rsidRDefault="000D1C3E" w:rsidP="001C501B">
      <w:pPr>
        <w:spacing w:after="0" w:line="276" w:lineRule="auto"/>
        <w:ind w:firstLine="709"/>
        <w:jc w:val="both"/>
        <w:rPr>
          <w:rFonts w:ascii="Tahoma" w:hAnsi="Tahoma" w:cs="Tahoma"/>
          <w:sz w:val="24"/>
          <w:szCs w:val="24"/>
          <w:lang w:val="es-419"/>
        </w:rPr>
      </w:pPr>
    </w:p>
    <w:p w14:paraId="27DC2E21" w14:textId="77777777" w:rsidR="000D1C3E" w:rsidRPr="001C501B" w:rsidRDefault="000D1C3E" w:rsidP="001C501B">
      <w:pPr>
        <w:spacing w:after="0" w:line="276" w:lineRule="auto"/>
        <w:ind w:firstLine="709"/>
        <w:jc w:val="both"/>
        <w:rPr>
          <w:rFonts w:ascii="Tahoma" w:hAnsi="Tahoma" w:cs="Tahoma"/>
          <w:sz w:val="24"/>
          <w:szCs w:val="24"/>
          <w:lang w:val="es-419"/>
        </w:rPr>
      </w:pPr>
      <w:r w:rsidRPr="001C501B">
        <w:rPr>
          <w:rFonts w:ascii="Tahoma" w:hAnsi="Tahoma" w:cs="Tahoma"/>
          <w:sz w:val="24"/>
          <w:szCs w:val="24"/>
          <w:lang w:val="es-419"/>
        </w:rPr>
        <w:t>En todo caso, refirió que mediante escrito presentado el 13 siguiente radicado bajo número 2021-12162366, se interpuso recurso de apelación que fue resuelto mediante la resolución DPE-11323 del 16 de diciembre de 2021, confirmando en todas y cada uno de sus acápites el veredicto inicial, con fundamento en la fecha de estructuración. En virtud de lo anterior, indicó que es PORVENIR S.A, la entidad competente para analizar si el accionante tiene derecho a la prestación económica.</w:t>
      </w:r>
    </w:p>
    <w:p w14:paraId="44E26EA5" w14:textId="77777777" w:rsidR="000D1C3E" w:rsidRPr="001C501B" w:rsidRDefault="000D1C3E" w:rsidP="001C501B">
      <w:pPr>
        <w:pStyle w:val="Prrafodelista"/>
        <w:spacing w:after="0" w:line="276" w:lineRule="auto"/>
        <w:ind w:left="1778" w:firstLine="709"/>
        <w:rPr>
          <w:rFonts w:ascii="Tahoma" w:hAnsi="Tahoma" w:cs="Tahoma"/>
          <w:sz w:val="24"/>
          <w:szCs w:val="24"/>
          <w:lang w:val="es-419"/>
        </w:rPr>
      </w:pPr>
    </w:p>
    <w:p w14:paraId="3DBB94CC" w14:textId="1B83B949" w:rsidR="000D1C3E" w:rsidRPr="001C501B" w:rsidRDefault="000D1C3E" w:rsidP="001C501B">
      <w:pPr>
        <w:spacing w:after="0" w:line="276" w:lineRule="auto"/>
        <w:ind w:firstLine="709"/>
        <w:jc w:val="both"/>
        <w:rPr>
          <w:rFonts w:ascii="Tahoma" w:hAnsi="Tahoma" w:cs="Tahoma"/>
          <w:sz w:val="24"/>
          <w:szCs w:val="24"/>
          <w:lang w:val="es-419"/>
        </w:rPr>
      </w:pPr>
      <w:r w:rsidRPr="001C501B">
        <w:rPr>
          <w:rFonts w:ascii="Tahoma" w:hAnsi="Tahoma" w:cs="Tahoma"/>
          <w:sz w:val="24"/>
          <w:szCs w:val="24"/>
          <w:lang w:val="es-419"/>
        </w:rPr>
        <w:t>Por su parte, PORVENIR S.A optó por guardar silencio.</w:t>
      </w:r>
    </w:p>
    <w:p w14:paraId="2767EFA0" w14:textId="77777777" w:rsidR="00085B74" w:rsidRPr="001C501B" w:rsidRDefault="00085B74" w:rsidP="001C501B">
      <w:pPr>
        <w:spacing w:after="0" w:line="276" w:lineRule="auto"/>
        <w:ind w:firstLine="709"/>
        <w:jc w:val="both"/>
        <w:rPr>
          <w:rFonts w:ascii="Tahoma" w:hAnsi="Tahoma" w:cs="Tahoma"/>
          <w:sz w:val="24"/>
          <w:szCs w:val="24"/>
          <w:lang w:val="es-419"/>
        </w:rPr>
      </w:pPr>
    </w:p>
    <w:p w14:paraId="1C05D165" w14:textId="77777777" w:rsidR="007E0530" w:rsidRPr="001C501B" w:rsidRDefault="007E0530" w:rsidP="001C501B">
      <w:pPr>
        <w:spacing w:after="0" w:line="276" w:lineRule="auto"/>
        <w:jc w:val="both"/>
        <w:rPr>
          <w:rFonts w:ascii="Tahoma" w:hAnsi="Tahoma" w:cs="Tahoma"/>
          <w:sz w:val="24"/>
          <w:szCs w:val="24"/>
          <w:lang w:val="es-419"/>
        </w:rPr>
      </w:pPr>
    </w:p>
    <w:p w14:paraId="74045330" w14:textId="41ADA800" w:rsidR="00552810" w:rsidRPr="001C501B" w:rsidRDefault="00552810" w:rsidP="001C501B">
      <w:pPr>
        <w:pStyle w:val="Prrafodelista"/>
        <w:numPr>
          <w:ilvl w:val="0"/>
          <w:numId w:val="6"/>
        </w:numPr>
        <w:spacing w:after="0" w:line="276" w:lineRule="auto"/>
        <w:ind w:left="714" w:hanging="357"/>
        <w:jc w:val="center"/>
        <w:rPr>
          <w:rFonts w:ascii="Tahoma" w:hAnsi="Tahoma" w:cs="Tahoma"/>
          <w:sz w:val="24"/>
          <w:szCs w:val="24"/>
          <w:lang w:val="es-419"/>
        </w:rPr>
      </w:pPr>
      <w:r w:rsidRPr="001C501B">
        <w:rPr>
          <w:rFonts w:ascii="Tahoma" w:hAnsi="Tahoma" w:cs="Tahoma"/>
          <w:b/>
          <w:bCs/>
          <w:sz w:val="24"/>
          <w:szCs w:val="24"/>
          <w:lang w:val="es-419"/>
        </w:rPr>
        <w:t>SENTENCIA DE PRIMERA INSTANCIA</w:t>
      </w:r>
    </w:p>
    <w:p w14:paraId="3E12DCBF" w14:textId="77777777" w:rsidR="00963E90" w:rsidRPr="001C501B" w:rsidRDefault="00963E90" w:rsidP="001C501B">
      <w:pPr>
        <w:pStyle w:val="Prrafodelista"/>
        <w:spacing w:after="0" w:line="276" w:lineRule="auto"/>
        <w:ind w:left="714"/>
        <w:rPr>
          <w:rFonts w:ascii="Tahoma" w:hAnsi="Tahoma" w:cs="Tahoma"/>
          <w:sz w:val="24"/>
          <w:szCs w:val="24"/>
          <w:lang w:val="es-419"/>
        </w:rPr>
      </w:pPr>
    </w:p>
    <w:p w14:paraId="5120B5E3" w14:textId="289BD204" w:rsidR="001D59E6" w:rsidRPr="001C501B" w:rsidRDefault="00963E90" w:rsidP="001C501B">
      <w:pPr>
        <w:spacing w:after="0" w:line="276" w:lineRule="auto"/>
        <w:ind w:firstLine="709"/>
        <w:jc w:val="both"/>
        <w:rPr>
          <w:rFonts w:ascii="Tahoma" w:hAnsi="Tahoma" w:cs="Tahoma"/>
          <w:i/>
          <w:iCs/>
          <w:sz w:val="24"/>
          <w:szCs w:val="24"/>
        </w:rPr>
      </w:pPr>
      <w:r w:rsidRPr="001C501B">
        <w:rPr>
          <w:rFonts w:ascii="Tahoma" w:hAnsi="Tahoma" w:cs="Tahoma"/>
          <w:sz w:val="24"/>
          <w:szCs w:val="24"/>
        </w:rPr>
        <w:t>La a quo señaló que el análisis jur</w:t>
      </w:r>
      <w:r w:rsidR="00E342BF" w:rsidRPr="001C501B">
        <w:rPr>
          <w:rFonts w:ascii="Tahoma" w:hAnsi="Tahoma" w:cs="Tahoma"/>
          <w:sz w:val="24"/>
          <w:szCs w:val="24"/>
        </w:rPr>
        <w:t>í</w:t>
      </w:r>
      <w:r w:rsidRPr="001C501B">
        <w:rPr>
          <w:rFonts w:ascii="Tahoma" w:hAnsi="Tahoma" w:cs="Tahoma"/>
          <w:sz w:val="24"/>
          <w:szCs w:val="24"/>
        </w:rPr>
        <w:t xml:space="preserve">dico versa de forma </w:t>
      </w:r>
      <w:r w:rsidR="00657D81" w:rsidRPr="001C501B">
        <w:rPr>
          <w:rFonts w:ascii="Tahoma" w:hAnsi="Tahoma" w:cs="Tahoma"/>
          <w:sz w:val="24"/>
          <w:szCs w:val="24"/>
        </w:rPr>
        <w:t>exclusiva</w:t>
      </w:r>
      <w:r w:rsidRPr="001C501B">
        <w:rPr>
          <w:rFonts w:ascii="Tahoma" w:hAnsi="Tahoma" w:cs="Tahoma"/>
          <w:sz w:val="24"/>
          <w:szCs w:val="24"/>
        </w:rPr>
        <w:t xml:space="preserve"> sobre el derecho</w:t>
      </w:r>
      <w:r w:rsidR="00657D81" w:rsidRPr="001C501B">
        <w:rPr>
          <w:rFonts w:ascii="Tahoma" w:hAnsi="Tahoma" w:cs="Tahoma"/>
          <w:sz w:val="24"/>
          <w:szCs w:val="24"/>
        </w:rPr>
        <w:t xml:space="preserve"> </w:t>
      </w:r>
      <w:r w:rsidRPr="001C501B">
        <w:rPr>
          <w:rFonts w:ascii="Tahoma" w:hAnsi="Tahoma" w:cs="Tahoma"/>
          <w:sz w:val="24"/>
          <w:szCs w:val="24"/>
        </w:rPr>
        <w:t>de la Seguridad Social, toda vez que, este subsume a los demás. E</w:t>
      </w:r>
      <w:r w:rsidR="00E342BF" w:rsidRPr="001C501B">
        <w:rPr>
          <w:rFonts w:ascii="Tahoma" w:hAnsi="Tahoma" w:cs="Tahoma"/>
          <w:sz w:val="24"/>
          <w:szCs w:val="24"/>
        </w:rPr>
        <w:t>n ese sentido se atuvo</w:t>
      </w:r>
      <w:r w:rsidRPr="001C501B">
        <w:rPr>
          <w:rFonts w:ascii="Tahoma" w:hAnsi="Tahoma" w:cs="Tahoma"/>
          <w:sz w:val="24"/>
          <w:szCs w:val="24"/>
        </w:rPr>
        <w:t xml:space="preserve"> a lo precisado por la Corte Constitucional en sentencia T-608 de 2019, cuando al referirse a este derecho en particular, precisó que: </w:t>
      </w:r>
      <w:r w:rsidRPr="001C501B">
        <w:rPr>
          <w:rFonts w:ascii="Tahoma" w:hAnsi="Tahoma" w:cs="Tahoma"/>
          <w:i/>
          <w:iCs/>
          <w:sz w:val="24"/>
          <w:szCs w:val="24"/>
        </w:rPr>
        <w:t>“</w:t>
      </w:r>
      <w:r w:rsidRPr="00AE2FC4">
        <w:rPr>
          <w:rFonts w:ascii="Tahoma" w:hAnsi="Tahoma" w:cs="Tahoma"/>
          <w:i/>
          <w:iCs/>
          <w:szCs w:val="24"/>
        </w:rPr>
        <w:t>(…) la seguridad social, como derecho, se encuentra vinculada con la garantía de protección frente a determinadas contingencias que pueden afectar la vida de las personas. Es por ello, que su realización se enfoca en la satisfacción de derechos fundamentales como el mínimo vital, lo que le otorga el carácter de derecho irrenuncia</w:t>
      </w:r>
      <w:r w:rsidR="001D59E6" w:rsidRPr="00AE2FC4">
        <w:rPr>
          <w:rFonts w:ascii="Tahoma" w:hAnsi="Tahoma" w:cs="Tahoma"/>
          <w:i/>
          <w:iCs/>
          <w:szCs w:val="24"/>
        </w:rPr>
        <w:t>ble</w:t>
      </w:r>
      <w:r w:rsidR="001D59E6" w:rsidRPr="001C501B">
        <w:rPr>
          <w:rFonts w:ascii="Tahoma" w:hAnsi="Tahoma" w:cs="Tahoma"/>
          <w:i/>
          <w:iCs/>
          <w:sz w:val="24"/>
          <w:szCs w:val="24"/>
        </w:rPr>
        <w:t>”</w:t>
      </w:r>
      <w:r w:rsidR="00AE2FC4">
        <w:rPr>
          <w:rFonts w:ascii="Tahoma" w:hAnsi="Tahoma" w:cs="Tahoma"/>
          <w:i/>
          <w:iCs/>
          <w:sz w:val="24"/>
          <w:szCs w:val="24"/>
        </w:rPr>
        <w:t>.</w:t>
      </w:r>
    </w:p>
    <w:p w14:paraId="04D200EE" w14:textId="77777777" w:rsidR="00067DFA" w:rsidRPr="001C501B" w:rsidRDefault="00067DFA" w:rsidP="001C501B">
      <w:pPr>
        <w:spacing w:after="0" w:line="276" w:lineRule="auto"/>
        <w:ind w:firstLine="709"/>
        <w:jc w:val="both"/>
        <w:rPr>
          <w:rFonts w:ascii="Tahoma" w:hAnsi="Tahoma" w:cs="Tahoma"/>
          <w:i/>
          <w:iCs/>
          <w:sz w:val="24"/>
          <w:szCs w:val="24"/>
        </w:rPr>
      </w:pPr>
    </w:p>
    <w:p w14:paraId="1F437A7D" w14:textId="041542C4" w:rsidR="00067DFA" w:rsidRPr="001C501B" w:rsidRDefault="001D59E6" w:rsidP="001C501B">
      <w:pPr>
        <w:spacing w:after="0" w:line="276" w:lineRule="auto"/>
        <w:ind w:firstLine="709"/>
        <w:jc w:val="both"/>
        <w:rPr>
          <w:rFonts w:ascii="Tahoma" w:hAnsi="Tahoma" w:cs="Tahoma"/>
          <w:i/>
          <w:iCs/>
          <w:sz w:val="24"/>
          <w:szCs w:val="24"/>
        </w:rPr>
      </w:pPr>
      <w:r w:rsidRPr="001C501B">
        <w:rPr>
          <w:rFonts w:ascii="Tahoma" w:hAnsi="Tahoma" w:cs="Tahoma"/>
          <w:sz w:val="24"/>
          <w:szCs w:val="24"/>
        </w:rPr>
        <w:t>En ese orden de ideas, recordó que la acción de tutela es un mecanismo de protección preferente y subsidiario, así que exige el cumplimiento de ciertas circunstancias</w:t>
      </w:r>
      <w:r w:rsidR="00216155" w:rsidRPr="001C501B">
        <w:rPr>
          <w:rFonts w:ascii="Tahoma" w:hAnsi="Tahoma" w:cs="Tahoma"/>
          <w:sz w:val="24"/>
          <w:szCs w:val="24"/>
        </w:rPr>
        <w:t xml:space="preserve"> </w:t>
      </w:r>
      <w:r w:rsidR="00453E67" w:rsidRPr="001C501B">
        <w:rPr>
          <w:rFonts w:ascii="Tahoma" w:hAnsi="Tahoma" w:cs="Tahoma"/>
          <w:sz w:val="24"/>
          <w:szCs w:val="24"/>
        </w:rPr>
        <w:t xml:space="preserve">que </w:t>
      </w:r>
      <w:r w:rsidR="00216155" w:rsidRPr="001C501B">
        <w:rPr>
          <w:rFonts w:ascii="Tahoma" w:hAnsi="Tahoma" w:cs="Tahoma"/>
          <w:sz w:val="24"/>
          <w:szCs w:val="24"/>
        </w:rPr>
        <w:t xml:space="preserve">hagan posible la </w:t>
      </w:r>
      <w:r w:rsidR="00453E67" w:rsidRPr="001C501B">
        <w:rPr>
          <w:rFonts w:ascii="Tahoma" w:hAnsi="Tahoma" w:cs="Tahoma"/>
          <w:sz w:val="24"/>
          <w:szCs w:val="24"/>
        </w:rPr>
        <w:t>valo</w:t>
      </w:r>
      <w:r w:rsidR="00216155" w:rsidRPr="001C501B">
        <w:rPr>
          <w:rFonts w:ascii="Tahoma" w:hAnsi="Tahoma" w:cs="Tahoma"/>
          <w:sz w:val="24"/>
          <w:szCs w:val="24"/>
        </w:rPr>
        <w:t>ración de</w:t>
      </w:r>
      <w:r w:rsidR="00453E67" w:rsidRPr="001C501B">
        <w:rPr>
          <w:rFonts w:ascii="Tahoma" w:hAnsi="Tahoma" w:cs="Tahoma"/>
          <w:sz w:val="24"/>
          <w:szCs w:val="24"/>
        </w:rPr>
        <w:t xml:space="preserve"> su viabilidad e idoneidad para alcanzar </w:t>
      </w:r>
      <w:r w:rsidRPr="001C501B">
        <w:rPr>
          <w:rFonts w:ascii="Tahoma" w:hAnsi="Tahoma" w:cs="Tahoma"/>
          <w:sz w:val="24"/>
          <w:szCs w:val="24"/>
        </w:rPr>
        <w:t>la protección buscada. Es por ello, que la Corte Constitucional</w:t>
      </w:r>
      <w:r w:rsidR="00216155" w:rsidRPr="001C501B">
        <w:rPr>
          <w:rFonts w:ascii="Tahoma" w:hAnsi="Tahoma" w:cs="Tahoma"/>
          <w:sz w:val="24"/>
          <w:szCs w:val="24"/>
        </w:rPr>
        <w:t xml:space="preserve"> estableció los siguientes </w:t>
      </w:r>
      <w:r w:rsidRPr="001C501B">
        <w:rPr>
          <w:rFonts w:ascii="Tahoma" w:hAnsi="Tahoma" w:cs="Tahoma"/>
          <w:sz w:val="24"/>
          <w:szCs w:val="24"/>
        </w:rPr>
        <w:t>requisitos</w:t>
      </w:r>
      <w:r w:rsidR="00453E67" w:rsidRPr="001C501B">
        <w:rPr>
          <w:rFonts w:ascii="Tahoma" w:hAnsi="Tahoma" w:cs="Tahoma"/>
          <w:sz w:val="24"/>
          <w:szCs w:val="24"/>
        </w:rPr>
        <w:t xml:space="preserve"> tendientes al </w:t>
      </w:r>
      <w:r w:rsidRPr="001C501B">
        <w:rPr>
          <w:rFonts w:ascii="Tahoma" w:hAnsi="Tahoma" w:cs="Tahoma"/>
          <w:sz w:val="24"/>
          <w:szCs w:val="24"/>
        </w:rPr>
        <w:t>reconocimiento de prestaciones económicas</w:t>
      </w:r>
      <w:r w:rsidR="00216155" w:rsidRPr="001C501B">
        <w:rPr>
          <w:rFonts w:ascii="Tahoma" w:hAnsi="Tahoma" w:cs="Tahoma"/>
          <w:sz w:val="24"/>
          <w:szCs w:val="24"/>
        </w:rPr>
        <w:t xml:space="preserve"> </w:t>
      </w:r>
      <w:r w:rsidRPr="001C501B">
        <w:rPr>
          <w:rFonts w:ascii="Tahoma" w:hAnsi="Tahoma" w:cs="Tahoma"/>
          <w:sz w:val="24"/>
          <w:szCs w:val="24"/>
        </w:rPr>
        <w:t>por vía de tutela así:</w:t>
      </w:r>
      <w:r w:rsidRPr="001C501B">
        <w:rPr>
          <w:rFonts w:ascii="Tahoma" w:hAnsi="Tahoma" w:cs="Tahoma"/>
          <w:i/>
          <w:iCs/>
          <w:sz w:val="24"/>
          <w:szCs w:val="24"/>
        </w:rPr>
        <w:t xml:space="preserve"> </w:t>
      </w:r>
    </w:p>
    <w:p w14:paraId="3EAF124D" w14:textId="77777777" w:rsidR="00C85E07" w:rsidRPr="001C501B" w:rsidRDefault="00C85E07" w:rsidP="001C501B">
      <w:pPr>
        <w:spacing w:after="0" w:line="276" w:lineRule="auto"/>
        <w:ind w:firstLine="709"/>
        <w:jc w:val="both"/>
        <w:rPr>
          <w:rFonts w:ascii="Tahoma" w:hAnsi="Tahoma" w:cs="Tahoma"/>
          <w:i/>
          <w:iCs/>
          <w:sz w:val="24"/>
          <w:szCs w:val="24"/>
        </w:rPr>
      </w:pPr>
    </w:p>
    <w:p w14:paraId="64F8581D" w14:textId="614D7EF1" w:rsidR="00552810" w:rsidRPr="00AE2FC4" w:rsidRDefault="001D59E6" w:rsidP="00AE2FC4">
      <w:pPr>
        <w:spacing w:after="0" w:line="240" w:lineRule="auto"/>
        <w:ind w:left="426" w:right="420" w:firstLine="709"/>
        <w:jc w:val="both"/>
        <w:rPr>
          <w:rFonts w:ascii="Tahoma" w:hAnsi="Tahoma" w:cs="Tahoma"/>
          <w:i/>
          <w:iCs/>
          <w:szCs w:val="24"/>
        </w:rPr>
      </w:pPr>
      <w:r w:rsidRPr="00AE2FC4">
        <w:rPr>
          <w:rFonts w:ascii="Tahoma" w:hAnsi="Tahoma" w:cs="Tahoma"/>
          <w:i/>
          <w:iCs/>
          <w:szCs w:val="24"/>
        </w:rPr>
        <w:t>“</w:t>
      </w:r>
      <w:r w:rsidR="00C85E07" w:rsidRPr="00AE2FC4">
        <w:rPr>
          <w:rFonts w:ascii="Tahoma" w:hAnsi="Tahoma" w:cs="Tahoma"/>
          <w:i/>
          <w:iCs/>
          <w:szCs w:val="24"/>
        </w:rPr>
        <w:t>(…)</w:t>
      </w:r>
      <w:r w:rsidR="0082290D">
        <w:rPr>
          <w:rFonts w:ascii="Tahoma" w:hAnsi="Tahoma" w:cs="Tahoma"/>
          <w:i/>
          <w:iCs/>
          <w:szCs w:val="24"/>
        </w:rPr>
        <w:t xml:space="preserve"> </w:t>
      </w:r>
      <w:r w:rsidRPr="00AE2FC4">
        <w:rPr>
          <w:rFonts w:ascii="Tahoma" w:hAnsi="Tahoma" w:cs="Tahoma"/>
          <w:i/>
          <w:iCs/>
          <w:szCs w:val="24"/>
        </w:rPr>
        <w:t>i) Que se trate de sujetos de especial protección constitucional, ii) Que la falta de pago de la prestación económica o su disminución genere un alto grado de afectación de los derechos fundamentales en particular del derecho al mínimo vital, iii) Que el tutelante haya desplegado cierta actividad administrativa y judicial con el objetivo de que le sea reconocida la prestación reclamada, iv) Que se acredite siquiera sumariamente, las razones por las cuales el medio judicial ordinario es ineficaz para lograr la protección inmediata de los derechos fundamentales presuntamente afectados”.</w:t>
      </w:r>
    </w:p>
    <w:p w14:paraId="02FCC048" w14:textId="77777777" w:rsidR="00067DFA" w:rsidRPr="001C501B" w:rsidRDefault="00067DFA" w:rsidP="001C501B">
      <w:pPr>
        <w:spacing w:after="0" w:line="276" w:lineRule="auto"/>
        <w:ind w:firstLine="709"/>
        <w:jc w:val="both"/>
        <w:rPr>
          <w:rFonts w:ascii="Tahoma" w:hAnsi="Tahoma" w:cs="Tahoma"/>
          <w:i/>
          <w:iCs/>
          <w:sz w:val="24"/>
          <w:szCs w:val="24"/>
        </w:rPr>
      </w:pPr>
    </w:p>
    <w:p w14:paraId="6C790687" w14:textId="5137B4BD" w:rsidR="00657D81" w:rsidRPr="001C501B" w:rsidRDefault="002A00AB" w:rsidP="001C501B">
      <w:pPr>
        <w:spacing w:after="0" w:line="276" w:lineRule="auto"/>
        <w:ind w:firstLine="709"/>
        <w:jc w:val="both"/>
        <w:rPr>
          <w:rFonts w:ascii="Tahoma" w:hAnsi="Tahoma" w:cs="Tahoma"/>
          <w:sz w:val="24"/>
          <w:szCs w:val="24"/>
        </w:rPr>
      </w:pPr>
      <w:r w:rsidRPr="001C501B">
        <w:rPr>
          <w:rFonts w:ascii="Tahoma" w:hAnsi="Tahoma" w:cs="Tahoma"/>
          <w:sz w:val="24"/>
          <w:szCs w:val="24"/>
        </w:rPr>
        <w:t>Atendiendo a ello, la operadora jurídica declaró parcialmente el cumplimiento d</w:t>
      </w:r>
      <w:r w:rsidR="00067DFA" w:rsidRPr="001C501B">
        <w:rPr>
          <w:rFonts w:ascii="Tahoma" w:hAnsi="Tahoma" w:cs="Tahoma"/>
          <w:sz w:val="24"/>
          <w:szCs w:val="24"/>
        </w:rPr>
        <w:t xml:space="preserve">el principio de la </w:t>
      </w:r>
      <w:r w:rsidRPr="001C501B">
        <w:rPr>
          <w:rFonts w:ascii="Tahoma" w:hAnsi="Tahoma" w:cs="Tahoma"/>
          <w:sz w:val="24"/>
          <w:szCs w:val="24"/>
        </w:rPr>
        <w:t>subsidiariedad, pues si bien,</w:t>
      </w:r>
      <w:r w:rsidR="00B1062B" w:rsidRPr="001C501B">
        <w:rPr>
          <w:rFonts w:ascii="Tahoma" w:hAnsi="Tahoma" w:cs="Tahoma"/>
          <w:sz w:val="24"/>
          <w:szCs w:val="24"/>
        </w:rPr>
        <w:t xml:space="preserve"> de las</w:t>
      </w:r>
      <w:r w:rsidRPr="001C501B">
        <w:rPr>
          <w:rFonts w:ascii="Tahoma" w:hAnsi="Tahoma" w:cs="Tahoma"/>
          <w:sz w:val="24"/>
          <w:szCs w:val="24"/>
        </w:rPr>
        <w:t xml:space="preserve"> situaci</w:t>
      </w:r>
      <w:r w:rsidR="00B1062B" w:rsidRPr="001C501B">
        <w:rPr>
          <w:rFonts w:ascii="Tahoma" w:hAnsi="Tahoma" w:cs="Tahoma"/>
          <w:sz w:val="24"/>
          <w:szCs w:val="24"/>
        </w:rPr>
        <w:t>ones</w:t>
      </w:r>
      <w:r w:rsidRPr="001C501B">
        <w:rPr>
          <w:rFonts w:ascii="Tahoma" w:hAnsi="Tahoma" w:cs="Tahoma"/>
          <w:sz w:val="24"/>
          <w:szCs w:val="24"/>
        </w:rPr>
        <w:t xml:space="preserve"> fáctica</w:t>
      </w:r>
      <w:r w:rsidR="00B1062B" w:rsidRPr="001C501B">
        <w:rPr>
          <w:rFonts w:ascii="Tahoma" w:hAnsi="Tahoma" w:cs="Tahoma"/>
          <w:sz w:val="24"/>
          <w:szCs w:val="24"/>
        </w:rPr>
        <w:t>s</w:t>
      </w:r>
      <w:r w:rsidRPr="001C501B">
        <w:rPr>
          <w:rFonts w:ascii="Tahoma" w:hAnsi="Tahoma" w:cs="Tahoma"/>
          <w:sz w:val="24"/>
          <w:szCs w:val="24"/>
        </w:rPr>
        <w:t xml:space="preserve"> presentada</w:t>
      </w:r>
      <w:r w:rsidR="00B1062B" w:rsidRPr="001C501B">
        <w:rPr>
          <w:rFonts w:ascii="Tahoma" w:hAnsi="Tahoma" w:cs="Tahoma"/>
          <w:sz w:val="24"/>
          <w:szCs w:val="24"/>
        </w:rPr>
        <w:t>s</w:t>
      </w:r>
      <w:r w:rsidRPr="001C501B">
        <w:rPr>
          <w:rFonts w:ascii="Tahoma" w:hAnsi="Tahoma" w:cs="Tahoma"/>
          <w:sz w:val="24"/>
          <w:szCs w:val="24"/>
        </w:rPr>
        <w:t xml:space="preserve"> en la tutela </w:t>
      </w:r>
      <w:r w:rsidR="00B1062B" w:rsidRPr="001C501B">
        <w:rPr>
          <w:rFonts w:ascii="Tahoma" w:hAnsi="Tahoma" w:cs="Tahoma"/>
          <w:sz w:val="24"/>
          <w:szCs w:val="24"/>
        </w:rPr>
        <w:t>se</w:t>
      </w:r>
      <w:r w:rsidR="00F51589" w:rsidRPr="001C501B">
        <w:rPr>
          <w:rFonts w:ascii="Tahoma" w:hAnsi="Tahoma" w:cs="Tahoma"/>
          <w:sz w:val="24"/>
          <w:szCs w:val="24"/>
        </w:rPr>
        <w:t xml:space="preserve"> lograron </w:t>
      </w:r>
      <w:r w:rsidR="00837F7C" w:rsidRPr="001C501B">
        <w:rPr>
          <w:rFonts w:ascii="Tahoma" w:hAnsi="Tahoma" w:cs="Tahoma"/>
          <w:sz w:val="24"/>
          <w:szCs w:val="24"/>
        </w:rPr>
        <w:t>configurar</w:t>
      </w:r>
      <w:r w:rsidR="00F51589" w:rsidRPr="001C501B">
        <w:rPr>
          <w:rFonts w:ascii="Tahoma" w:hAnsi="Tahoma" w:cs="Tahoma"/>
          <w:sz w:val="24"/>
          <w:szCs w:val="24"/>
        </w:rPr>
        <w:t xml:space="preserve"> los tres primeros presupuestos, </w:t>
      </w:r>
      <w:r w:rsidR="00C341DF" w:rsidRPr="001C501B">
        <w:rPr>
          <w:rFonts w:ascii="Tahoma" w:hAnsi="Tahoma" w:cs="Tahoma"/>
          <w:sz w:val="24"/>
          <w:szCs w:val="24"/>
        </w:rPr>
        <w:t>no ocurrió l</w:t>
      </w:r>
      <w:r w:rsidR="00837F7C" w:rsidRPr="001C501B">
        <w:rPr>
          <w:rFonts w:ascii="Tahoma" w:hAnsi="Tahoma" w:cs="Tahoma"/>
          <w:sz w:val="24"/>
          <w:szCs w:val="24"/>
        </w:rPr>
        <w:t>o mismo con respecto al</w:t>
      </w:r>
      <w:r w:rsidR="00C341DF" w:rsidRPr="001C501B">
        <w:rPr>
          <w:rFonts w:ascii="Tahoma" w:hAnsi="Tahoma" w:cs="Tahoma"/>
          <w:sz w:val="24"/>
          <w:szCs w:val="24"/>
        </w:rPr>
        <w:t xml:space="preserve"> </w:t>
      </w:r>
      <w:r w:rsidR="00837F7C" w:rsidRPr="001C501B">
        <w:rPr>
          <w:rFonts w:ascii="Tahoma" w:hAnsi="Tahoma" w:cs="Tahoma"/>
          <w:sz w:val="24"/>
          <w:szCs w:val="24"/>
        </w:rPr>
        <w:t>ú</w:t>
      </w:r>
      <w:r w:rsidR="00C341DF" w:rsidRPr="001C501B">
        <w:rPr>
          <w:rFonts w:ascii="Tahoma" w:hAnsi="Tahoma" w:cs="Tahoma"/>
          <w:sz w:val="24"/>
          <w:szCs w:val="24"/>
        </w:rPr>
        <w:t>ltimo</w:t>
      </w:r>
      <w:r w:rsidR="00837F7C" w:rsidRPr="001C501B">
        <w:rPr>
          <w:rFonts w:ascii="Tahoma" w:hAnsi="Tahoma" w:cs="Tahoma"/>
          <w:sz w:val="24"/>
          <w:szCs w:val="24"/>
        </w:rPr>
        <w:t>,</w:t>
      </w:r>
      <w:r w:rsidR="00657D81" w:rsidRPr="001C501B">
        <w:rPr>
          <w:rFonts w:ascii="Tahoma" w:hAnsi="Tahoma" w:cs="Tahoma"/>
          <w:sz w:val="24"/>
          <w:szCs w:val="24"/>
        </w:rPr>
        <w:t xml:space="preserve"> </w:t>
      </w:r>
      <w:r w:rsidR="00837F7C" w:rsidRPr="001C501B">
        <w:rPr>
          <w:rFonts w:ascii="Tahoma" w:hAnsi="Tahoma" w:cs="Tahoma"/>
          <w:sz w:val="24"/>
          <w:szCs w:val="24"/>
        </w:rPr>
        <w:t>por cuanto, resulta claro que el señor Adrián Agudelo Henao cuenta con medios judiciales idóneos y pertinentes para obtener la solución al conflicto que se viene presentando,</w:t>
      </w:r>
      <w:r w:rsidR="00526705" w:rsidRPr="001C501B">
        <w:rPr>
          <w:rFonts w:ascii="Tahoma" w:hAnsi="Tahoma" w:cs="Tahoma"/>
          <w:sz w:val="24"/>
          <w:szCs w:val="24"/>
        </w:rPr>
        <w:t xml:space="preserve"> en atención a </w:t>
      </w:r>
      <w:r w:rsidR="00837F7C" w:rsidRPr="001C501B">
        <w:rPr>
          <w:rFonts w:ascii="Tahoma" w:hAnsi="Tahoma" w:cs="Tahoma"/>
          <w:sz w:val="24"/>
          <w:szCs w:val="24"/>
        </w:rPr>
        <w:t xml:space="preserve"> quién debe asumir dicha obligación</w:t>
      </w:r>
      <w:r w:rsidR="00657D81" w:rsidRPr="001C501B">
        <w:rPr>
          <w:rFonts w:ascii="Tahoma" w:hAnsi="Tahoma" w:cs="Tahoma"/>
          <w:sz w:val="24"/>
          <w:szCs w:val="24"/>
        </w:rPr>
        <w:t>.</w:t>
      </w:r>
    </w:p>
    <w:p w14:paraId="63670752" w14:textId="77777777" w:rsidR="00657D81" w:rsidRPr="001C501B" w:rsidRDefault="00657D81" w:rsidP="001C501B">
      <w:pPr>
        <w:spacing w:after="0" w:line="276" w:lineRule="auto"/>
        <w:ind w:firstLine="709"/>
        <w:jc w:val="both"/>
        <w:rPr>
          <w:rFonts w:ascii="Tahoma" w:hAnsi="Tahoma" w:cs="Tahoma"/>
          <w:sz w:val="24"/>
          <w:szCs w:val="24"/>
        </w:rPr>
      </w:pPr>
    </w:p>
    <w:p w14:paraId="43A51F03" w14:textId="11C7AEEC" w:rsidR="008F4DD8" w:rsidRPr="001C501B" w:rsidRDefault="00526705" w:rsidP="001C501B">
      <w:pPr>
        <w:spacing w:after="0" w:line="276" w:lineRule="auto"/>
        <w:ind w:firstLine="709"/>
        <w:jc w:val="both"/>
        <w:rPr>
          <w:rFonts w:ascii="Tahoma" w:hAnsi="Tahoma" w:cs="Tahoma"/>
          <w:sz w:val="24"/>
          <w:szCs w:val="24"/>
        </w:rPr>
      </w:pPr>
      <w:r w:rsidRPr="001C501B">
        <w:rPr>
          <w:rFonts w:ascii="Tahoma" w:hAnsi="Tahoma" w:cs="Tahoma"/>
          <w:sz w:val="24"/>
          <w:szCs w:val="24"/>
        </w:rPr>
        <w:t xml:space="preserve">Seguidamente, expuso que dicha </w:t>
      </w:r>
      <w:r w:rsidR="00657D81" w:rsidRPr="001C501B">
        <w:rPr>
          <w:rFonts w:ascii="Tahoma" w:hAnsi="Tahoma" w:cs="Tahoma"/>
          <w:sz w:val="24"/>
          <w:szCs w:val="24"/>
        </w:rPr>
        <w:t>situación</w:t>
      </w:r>
      <w:r w:rsidRPr="001C501B">
        <w:rPr>
          <w:rFonts w:ascii="Tahoma" w:hAnsi="Tahoma" w:cs="Tahoma"/>
          <w:sz w:val="24"/>
          <w:szCs w:val="24"/>
        </w:rPr>
        <w:t xml:space="preserve"> </w:t>
      </w:r>
      <w:r w:rsidR="00657D81" w:rsidRPr="001C501B">
        <w:rPr>
          <w:rFonts w:ascii="Tahoma" w:hAnsi="Tahoma" w:cs="Tahoma"/>
          <w:sz w:val="24"/>
          <w:szCs w:val="24"/>
        </w:rPr>
        <w:t xml:space="preserve">fue </w:t>
      </w:r>
      <w:r w:rsidR="00C85E07" w:rsidRPr="001C501B">
        <w:rPr>
          <w:rFonts w:ascii="Tahoma" w:hAnsi="Tahoma" w:cs="Tahoma"/>
          <w:sz w:val="24"/>
          <w:szCs w:val="24"/>
        </w:rPr>
        <w:t>puntualizada</w:t>
      </w:r>
      <w:r w:rsidR="00657D81" w:rsidRPr="001C501B">
        <w:rPr>
          <w:rFonts w:ascii="Tahoma" w:hAnsi="Tahoma" w:cs="Tahoma"/>
          <w:sz w:val="24"/>
          <w:szCs w:val="24"/>
        </w:rPr>
        <w:t xml:space="preserve"> por la Corte Constitucional a través de la sentencia de unificación SU313 de</w:t>
      </w:r>
      <w:r w:rsidR="00E27C3F" w:rsidRPr="001C501B">
        <w:rPr>
          <w:rFonts w:ascii="Tahoma" w:hAnsi="Tahoma" w:cs="Tahoma"/>
          <w:sz w:val="24"/>
          <w:szCs w:val="24"/>
        </w:rPr>
        <w:t xml:space="preserve"> 2020</w:t>
      </w:r>
      <w:r w:rsidR="00657D81" w:rsidRPr="001C501B">
        <w:rPr>
          <w:rFonts w:ascii="Tahoma" w:hAnsi="Tahoma" w:cs="Tahoma"/>
          <w:sz w:val="24"/>
          <w:szCs w:val="24"/>
        </w:rPr>
        <w:t xml:space="preserve">, que en apartes se trae a colación de la siguiente manera: </w:t>
      </w:r>
      <w:r w:rsidR="00837F7C" w:rsidRPr="001C501B">
        <w:rPr>
          <w:rFonts w:ascii="Tahoma" w:hAnsi="Tahoma" w:cs="Tahoma"/>
          <w:sz w:val="24"/>
          <w:szCs w:val="24"/>
        </w:rPr>
        <w:t>“</w:t>
      </w:r>
      <w:r w:rsidR="00657D81" w:rsidRPr="00AE2FC4">
        <w:rPr>
          <w:rFonts w:ascii="Tahoma" w:hAnsi="Tahoma" w:cs="Tahoma"/>
          <w:szCs w:val="24"/>
        </w:rPr>
        <w:t xml:space="preserve">(…) </w:t>
      </w:r>
      <w:r w:rsidR="00837F7C" w:rsidRPr="00AE2FC4">
        <w:rPr>
          <w:rFonts w:ascii="Tahoma" w:hAnsi="Tahoma" w:cs="Tahoma"/>
          <w:i/>
          <w:iCs/>
          <w:szCs w:val="24"/>
        </w:rPr>
        <w:t>PENSION DE INVALIDEZ</w:t>
      </w:r>
      <w:r w:rsidR="00AE2FC4">
        <w:rPr>
          <w:rFonts w:ascii="Tahoma" w:hAnsi="Tahoma" w:cs="Tahoma"/>
          <w:i/>
          <w:iCs/>
          <w:szCs w:val="24"/>
        </w:rPr>
        <w:t xml:space="preserve"> </w:t>
      </w:r>
      <w:r w:rsidR="00837F7C" w:rsidRPr="00AE2FC4">
        <w:rPr>
          <w:rFonts w:ascii="Tahoma" w:hAnsi="Tahoma" w:cs="Tahoma"/>
          <w:i/>
          <w:iCs/>
          <w:szCs w:val="24"/>
        </w:rPr>
        <w:t>-</w:t>
      </w:r>
      <w:r w:rsidR="00AE2FC4">
        <w:rPr>
          <w:rFonts w:ascii="Tahoma" w:hAnsi="Tahoma" w:cs="Tahoma"/>
          <w:i/>
          <w:iCs/>
          <w:szCs w:val="24"/>
        </w:rPr>
        <w:t xml:space="preserve"> </w:t>
      </w:r>
      <w:r w:rsidR="00837F7C" w:rsidRPr="00AE2FC4">
        <w:rPr>
          <w:rFonts w:ascii="Tahoma" w:hAnsi="Tahoma" w:cs="Tahoma"/>
          <w:i/>
          <w:iCs/>
          <w:szCs w:val="24"/>
        </w:rPr>
        <w:t>Regla de reconocimiento corresponderá a Administradora de Fondo de Pensiones a la cual se encuentre afiliado, al momento de la estructuración de la invalidez. El Régimen responsable por el pago de una pensión de invalidez, será aquel en donde estaba afiliado un ciudadano para el momento en que se estructuró su PCL. La fecha de estructuración- será el elemento que resuelva cualquier conflicto de competencias que se suscite entre administradoras del RAIS y del RP</w:t>
      </w:r>
      <w:r w:rsidR="00657D81" w:rsidRPr="00AE2FC4">
        <w:rPr>
          <w:rFonts w:ascii="Tahoma" w:hAnsi="Tahoma" w:cs="Tahoma"/>
          <w:i/>
          <w:iCs/>
          <w:szCs w:val="24"/>
        </w:rPr>
        <w:t>M</w:t>
      </w:r>
      <w:r w:rsidR="00657D81" w:rsidRPr="00AE2FC4">
        <w:rPr>
          <w:rFonts w:ascii="Tahoma" w:hAnsi="Tahoma" w:cs="Tahoma"/>
          <w:szCs w:val="24"/>
        </w:rPr>
        <w:t xml:space="preserve"> (…)</w:t>
      </w:r>
      <w:r w:rsidR="00837F7C" w:rsidRPr="001C501B">
        <w:rPr>
          <w:rFonts w:ascii="Tahoma" w:hAnsi="Tahoma" w:cs="Tahoma"/>
          <w:sz w:val="24"/>
          <w:szCs w:val="24"/>
        </w:rPr>
        <w:t>”</w:t>
      </w:r>
      <w:r w:rsidR="00AE2FC4">
        <w:rPr>
          <w:rFonts w:ascii="Tahoma" w:hAnsi="Tahoma" w:cs="Tahoma"/>
          <w:sz w:val="24"/>
          <w:szCs w:val="24"/>
        </w:rPr>
        <w:t>.</w:t>
      </w:r>
    </w:p>
    <w:p w14:paraId="0438BD38" w14:textId="77777777" w:rsidR="00AE2FC4" w:rsidRDefault="00AE2FC4" w:rsidP="001C501B">
      <w:pPr>
        <w:spacing w:after="0" w:line="276" w:lineRule="auto"/>
        <w:ind w:firstLine="709"/>
        <w:jc w:val="both"/>
        <w:rPr>
          <w:rFonts w:ascii="Tahoma" w:hAnsi="Tahoma" w:cs="Tahoma"/>
          <w:sz w:val="24"/>
          <w:szCs w:val="24"/>
        </w:rPr>
      </w:pPr>
    </w:p>
    <w:p w14:paraId="1801266A" w14:textId="7E970F73" w:rsidR="00B21E79" w:rsidRPr="001C501B" w:rsidRDefault="00165913" w:rsidP="001C501B">
      <w:pPr>
        <w:spacing w:after="0" w:line="276" w:lineRule="auto"/>
        <w:ind w:firstLine="709"/>
        <w:jc w:val="both"/>
        <w:rPr>
          <w:rFonts w:ascii="Tahoma" w:hAnsi="Tahoma" w:cs="Tahoma"/>
          <w:sz w:val="24"/>
          <w:szCs w:val="24"/>
        </w:rPr>
      </w:pPr>
      <w:r w:rsidRPr="001C501B">
        <w:rPr>
          <w:rFonts w:ascii="Tahoma" w:hAnsi="Tahoma" w:cs="Tahoma"/>
          <w:sz w:val="24"/>
          <w:szCs w:val="24"/>
        </w:rPr>
        <w:t>En consecuencia, fue decretada la improcedencia de la</w:t>
      </w:r>
      <w:r w:rsidR="00627060" w:rsidRPr="001C501B">
        <w:rPr>
          <w:rFonts w:ascii="Tahoma" w:hAnsi="Tahoma" w:cs="Tahoma"/>
          <w:sz w:val="24"/>
          <w:szCs w:val="24"/>
        </w:rPr>
        <w:t xml:space="preserve"> acción de </w:t>
      </w:r>
      <w:r w:rsidRPr="001C501B">
        <w:rPr>
          <w:rFonts w:ascii="Tahoma" w:hAnsi="Tahoma" w:cs="Tahoma"/>
          <w:sz w:val="24"/>
          <w:szCs w:val="24"/>
        </w:rPr>
        <w:t>tutela</w:t>
      </w:r>
      <w:r w:rsidR="00627060" w:rsidRPr="001C501B">
        <w:rPr>
          <w:rFonts w:ascii="Tahoma" w:hAnsi="Tahoma" w:cs="Tahoma"/>
          <w:sz w:val="24"/>
          <w:szCs w:val="24"/>
        </w:rPr>
        <w:t xml:space="preserve"> al ser entendido que</w:t>
      </w:r>
      <w:r w:rsidR="008F4DD8" w:rsidRPr="001C501B">
        <w:rPr>
          <w:rFonts w:ascii="Tahoma" w:hAnsi="Tahoma" w:cs="Tahoma"/>
          <w:sz w:val="24"/>
          <w:szCs w:val="24"/>
        </w:rPr>
        <w:t>, la controversia generada no hace parte del escenario constitucional, sino judicial, más aún, cuando la A.F.P. Porvenir</w:t>
      </w:r>
      <w:r w:rsidR="00627060" w:rsidRPr="001C501B">
        <w:rPr>
          <w:rFonts w:ascii="Tahoma" w:hAnsi="Tahoma" w:cs="Tahoma"/>
          <w:sz w:val="24"/>
          <w:szCs w:val="24"/>
        </w:rPr>
        <w:t xml:space="preserve"> </w:t>
      </w:r>
      <w:r w:rsidR="00E342BF" w:rsidRPr="001C501B">
        <w:rPr>
          <w:rFonts w:ascii="Tahoma" w:hAnsi="Tahoma" w:cs="Tahoma"/>
          <w:sz w:val="24"/>
          <w:szCs w:val="24"/>
        </w:rPr>
        <w:t>S.A.</w:t>
      </w:r>
      <w:r w:rsidR="008F4DD8" w:rsidRPr="001C501B">
        <w:rPr>
          <w:rFonts w:ascii="Tahoma" w:hAnsi="Tahoma" w:cs="Tahoma"/>
          <w:sz w:val="24"/>
          <w:szCs w:val="24"/>
        </w:rPr>
        <w:t>, pese a ser vinculada guardó silencio, lo que significa que no se</w:t>
      </w:r>
      <w:r w:rsidR="00627060" w:rsidRPr="001C501B">
        <w:rPr>
          <w:rFonts w:ascii="Tahoma" w:hAnsi="Tahoma" w:cs="Tahoma"/>
          <w:sz w:val="24"/>
          <w:szCs w:val="24"/>
        </w:rPr>
        <w:t xml:space="preserve"> encuentran</w:t>
      </w:r>
      <w:r w:rsidR="008F4DD8" w:rsidRPr="001C501B">
        <w:rPr>
          <w:rFonts w:ascii="Tahoma" w:hAnsi="Tahoma" w:cs="Tahoma"/>
          <w:sz w:val="24"/>
          <w:szCs w:val="24"/>
        </w:rPr>
        <w:t xml:space="preserve"> los presupuestos determinados en la </w:t>
      </w:r>
      <w:r w:rsidR="008F4DD8" w:rsidRPr="001C501B">
        <w:rPr>
          <w:rFonts w:ascii="Tahoma" w:hAnsi="Tahoma" w:cs="Tahoma"/>
          <w:sz w:val="24"/>
          <w:szCs w:val="24"/>
        </w:rPr>
        <w:lastRenderedPageBreak/>
        <w:t xml:space="preserve">jurisprudencia para hacer viable esta acción proteccionista, como tampoco para acceder de manera transitoria a la protección, toda vez que en el ordenamiento jurídico se establecieron los mecanismos legales pertinentes para tal efecto, por cuanto </w:t>
      </w:r>
      <w:r w:rsidR="00E342BF" w:rsidRPr="001C501B">
        <w:rPr>
          <w:rFonts w:ascii="Tahoma" w:hAnsi="Tahoma" w:cs="Tahoma"/>
          <w:sz w:val="24"/>
          <w:szCs w:val="24"/>
        </w:rPr>
        <w:t xml:space="preserve">se torna </w:t>
      </w:r>
      <w:r w:rsidR="008F4DD8" w:rsidRPr="001C501B">
        <w:rPr>
          <w:rFonts w:ascii="Tahoma" w:hAnsi="Tahoma" w:cs="Tahoma"/>
          <w:sz w:val="24"/>
          <w:szCs w:val="24"/>
        </w:rPr>
        <w:t>innegable que existe un medio idóneo de defensa para el reconocimiento del derecho pensional de invalidez</w:t>
      </w:r>
      <w:r w:rsidR="00627060" w:rsidRPr="001C501B">
        <w:rPr>
          <w:rFonts w:ascii="Tahoma" w:hAnsi="Tahoma" w:cs="Tahoma"/>
          <w:sz w:val="24"/>
          <w:szCs w:val="24"/>
        </w:rPr>
        <w:t xml:space="preserve"> </w:t>
      </w:r>
      <w:r w:rsidR="008F4DD8" w:rsidRPr="001C501B">
        <w:rPr>
          <w:rFonts w:ascii="Tahoma" w:hAnsi="Tahoma" w:cs="Tahoma"/>
          <w:sz w:val="24"/>
          <w:szCs w:val="24"/>
        </w:rPr>
        <w:t>de carácter judicial, el cual está a cargo de la justicia ordinaria en su especialidad laboral.</w:t>
      </w:r>
    </w:p>
    <w:p w14:paraId="1644C396" w14:textId="77777777" w:rsidR="00627060" w:rsidRPr="001C501B" w:rsidRDefault="00627060" w:rsidP="001C501B">
      <w:pPr>
        <w:spacing w:after="0" w:line="276" w:lineRule="auto"/>
        <w:ind w:firstLine="709"/>
        <w:jc w:val="both"/>
        <w:rPr>
          <w:rFonts w:ascii="Tahoma" w:hAnsi="Tahoma" w:cs="Tahoma"/>
          <w:sz w:val="24"/>
          <w:szCs w:val="24"/>
        </w:rPr>
      </w:pPr>
    </w:p>
    <w:p w14:paraId="4C540852" w14:textId="2B56214E" w:rsidR="000931D1" w:rsidRPr="001C501B" w:rsidRDefault="008E79E7" w:rsidP="001C501B">
      <w:pPr>
        <w:pStyle w:val="Prrafodelista"/>
        <w:numPr>
          <w:ilvl w:val="0"/>
          <w:numId w:val="6"/>
        </w:numPr>
        <w:spacing w:after="0" w:line="276" w:lineRule="auto"/>
        <w:ind w:left="714" w:hanging="357"/>
        <w:jc w:val="center"/>
        <w:rPr>
          <w:rFonts w:ascii="Tahoma" w:hAnsi="Tahoma" w:cs="Tahoma"/>
          <w:sz w:val="24"/>
          <w:szCs w:val="24"/>
          <w:lang w:val="es-419"/>
        </w:rPr>
      </w:pPr>
      <w:r w:rsidRPr="001C501B">
        <w:rPr>
          <w:rFonts w:ascii="Tahoma" w:hAnsi="Tahoma" w:cs="Tahoma"/>
          <w:b/>
          <w:bCs/>
          <w:sz w:val="24"/>
          <w:szCs w:val="24"/>
          <w:lang w:val="es-419"/>
        </w:rPr>
        <w:t>IMPUGNACIÓN</w:t>
      </w:r>
    </w:p>
    <w:p w14:paraId="3CA62BEE" w14:textId="77777777" w:rsidR="00BF4DC7" w:rsidRPr="001C501B" w:rsidRDefault="00BF4DC7" w:rsidP="001C501B">
      <w:pPr>
        <w:pStyle w:val="Prrafodelista"/>
        <w:spacing w:after="0" w:line="276" w:lineRule="auto"/>
        <w:ind w:left="780" w:firstLine="709"/>
        <w:jc w:val="both"/>
        <w:rPr>
          <w:rFonts w:ascii="Tahoma" w:hAnsi="Tahoma" w:cs="Tahoma"/>
          <w:sz w:val="24"/>
          <w:szCs w:val="24"/>
          <w:lang w:val="es-419"/>
        </w:rPr>
      </w:pPr>
    </w:p>
    <w:p w14:paraId="3434600B" w14:textId="2CE2FE1B" w:rsidR="008542D6" w:rsidRPr="001C501B" w:rsidRDefault="00745981" w:rsidP="001C501B">
      <w:pPr>
        <w:spacing w:after="0" w:line="276" w:lineRule="auto"/>
        <w:ind w:left="357" w:firstLine="709"/>
        <w:jc w:val="both"/>
        <w:rPr>
          <w:rFonts w:ascii="Tahoma" w:hAnsi="Tahoma" w:cs="Tahoma"/>
          <w:sz w:val="24"/>
          <w:szCs w:val="24"/>
          <w:lang w:val="es-419"/>
        </w:rPr>
      </w:pPr>
      <w:r w:rsidRPr="001C501B">
        <w:rPr>
          <w:rFonts w:ascii="Tahoma" w:hAnsi="Tahoma" w:cs="Tahoma"/>
          <w:sz w:val="24"/>
          <w:szCs w:val="24"/>
          <w:lang w:val="es-419"/>
        </w:rPr>
        <w:t>El apoderado judicial del actor</w:t>
      </w:r>
      <w:r w:rsidR="00A60A16" w:rsidRPr="001C501B">
        <w:rPr>
          <w:rFonts w:ascii="Tahoma" w:hAnsi="Tahoma" w:cs="Tahoma"/>
          <w:sz w:val="24"/>
          <w:szCs w:val="24"/>
        </w:rPr>
        <w:t xml:space="preserve"> </w:t>
      </w:r>
      <w:r w:rsidR="00BF4DC7" w:rsidRPr="001C501B">
        <w:rPr>
          <w:rFonts w:ascii="Tahoma" w:hAnsi="Tahoma" w:cs="Tahoma"/>
          <w:sz w:val="24"/>
          <w:szCs w:val="24"/>
        </w:rPr>
        <w:t>impugnó la sentenci</w:t>
      </w:r>
      <w:r w:rsidRPr="001C501B">
        <w:rPr>
          <w:rFonts w:ascii="Tahoma" w:hAnsi="Tahoma" w:cs="Tahoma"/>
          <w:sz w:val="24"/>
          <w:szCs w:val="24"/>
        </w:rPr>
        <w:t>a proferida en primera instancia</w:t>
      </w:r>
      <w:r w:rsidR="00BF4DC7" w:rsidRPr="001C501B">
        <w:rPr>
          <w:rFonts w:ascii="Tahoma" w:hAnsi="Tahoma" w:cs="Tahoma"/>
          <w:sz w:val="24"/>
          <w:szCs w:val="24"/>
        </w:rPr>
        <w:t xml:space="preserve"> y en consecuencia solicita</w:t>
      </w:r>
      <w:r w:rsidR="00C04D84" w:rsidRPr="001C501B">
        <w:rPr>
          <w:rFonts w:ascii="Tahoma" w:hAnsi="Tahoma" w:cs="Tahoma"/>
          <w:sz w:val="24"/>
          <w:szCs w:val="24"/>
        </w:rPr>
        <w:t xml:space="preserve"> que</w:t>
      </w:r>
      <w:r w:rsidR="00BF4DC7" w:rsidRPr="001C501B">
        <w:rPr>
          <w:rFonts w:ascii="Tahoma" w:hAnsi="Tahoma" w:cs="Tahoma"/>
          <w:sz w:val="24"/>
          <w:szCs w:val="24"/>
        </w:rPr>
        <w:t xml:space="preserve"> </w:t>
      </w:r>
      <w:bookmarkStart w:id="2" w:name="_Hlk79967836"/>
      <w:r w:rsidR="008D48EB" w:rsidRPr="001C501B">
        <w:rPr>
          <w:rFonts w:ascii="Tahoma" w:hAnsi="Tahoma" w:cs="Tahoma"/>
          <w:sz w:val="24"/>
          <w:szCs w:val="24"/>
          <w:lang w:val="es-419"/>
        </w:rPr>
        <w:t xml:space="preserve">se revoque </w:t>
      </w:r>
      <w:r w:rsidR="00C04D84" w:rsidRPr="001C501B">
        <w:rPr>
          <w:rFonts w:ascii="Tahoma" w:hAnsi="Tahoma" w:cs="Tahoma"/>
          <w:sz w:val="24"/>
          <w:szCs w:val="24"/>
          <w:lang w:val="es-419"/>
        </w:rPr>
        <w:t>la</w:t>
      </w:r>
      <w:r w:rsidR="008D48EB" w:rsidRPr="001C501B">
        <w:rPr>
          <w:rFonts w:ascii="Tahoma" w:hAnsi="Tahoma" w:cs="Tahoma"/>
          <w:sz w:val="24"/>
          <w:szCs w:val="24"/>
          <w:lang w:val="es-419"/>
        </w:rPr>
        <w:t xml:space="preserve"> mism</w:t>
      </w:r>
      <w:r w:rsidR="00C04D84" w:rsidRPr="001C501B">
        <w:rPr>
          <w:rFonts w:ascii="Tahoma" w:hAnsi="Tahoma" w:cs="Tahoma"/>
          <w:sz w:val="24"/>
          <w:szCs w:val="24"/>
          <w:lang w:val="es-419"/>
        </w:rPr>
        <w:t>a</w:t>
      </w:r>
      <w:r w:rsidR="008D48EB" w:rsidRPr="001C501B">
        <w:rPr>
          <w:rFonts w:ascii="Tahoma" w:hAnsi="Tahoma" w:cs="Tahoma"/>
          <w:sz w:val="24"/>
          <w:szCs w:val="24"/>
          <w:lang w:val="es-419"/>
        </w:rPr>
        <w:t>.</w:t>
      </w:r>
    </w:p>
    <w:bookmarkEnd w:id="2"/>
    <w:p w14:paraId="5BD7C29B" w14:textId="77777777" w:rsidR="008542D6" w:rsidRPr="001C501B" w:rsidRDefault="008542D6" w:rsidP="001C501B">
      <w:pPr>
        <w:spacing w:after="0" w:line="276" w:lineRule="auto"/>
        <w:ind w:firstLine="709"/>
        <w:jc w:val="both"/>
        <w:rPr>
          <w:rFonts w:ascii="Tahoma" w:hAnsi="Tahoma" w:cs="Tahoma"/>
          <w:sz w:val="24"/>
          <w:szCs w:val="24"/>
          <w:lang w:val="es-419"/>
        </w:rPr>
      </w:pPr>
    </w:p>
    <w:p w14:paraId="13AD4A39" w14:textId="08156EA9" w:rsidR="00CF321D" w:rsidRDefault="00C808F4" w:rsidP="001C501B">
      <w:pPr>
        <w:pStyle w:val="Default"/>
        <w:spacing w:line="276" w:lineRule="auto"/>
        <w:ind w:left="357" w:firstLine="709"/>
        <w:jc w:val="both"/>
        <w:rPr>
          <w:rFonts w:ascii="Tahoma" w:hAnsi="Tahoma" w:cs="Tahoma"/>
          <w:lang w:val="es-419"/>
        </w:rPr>
      </w:pPr>
      <w:r w:rsidRPr="001C501B">
        <w:rPr>
          <w:rFonts w:ascii="Tahoma" w:hAnsi="Tahoma" w:cs="Tahoma"/>
          <w:lang w:val="es-419"/>
        </w:rPr>
        <w:t xml:space="preserve">Para sustentar lo anterior, </w:t>
      </w:r>
      <w:r w:rsidR="008D48EB" w:rsidRPr="001C501B">
        <w:rPr>
          <w:rFonts w:ascii="Tahoma" w:hAnsi="Tahoma" w:cs="Tahoma"/>
          <w:lang w:val="es-419"/>
        </w:rPr>
        <w:t xml:space="preserve">aduce </w:t>
      </w:r>
      <w:r w:rsidR="00745981" w:rsidRPr="001C501B">
        <w:rPr>
          <w:rFonts w:ascii="Tahoma" w:hAnsi="Tahoma" w:cs="Tahoma"/>
          <w:lang w:val="es-419"/>
        </w:rPr>
        <w:t>que en el caso de señor AGUDELO HENAO</w:t>
      </w:r>
      <w:r w:rsidR="004674E9" w:rsidRPr="001C501B">
        <w:rPr>
          <w:rFonts w:ascii="Tahoma" w:hAnsi="Tahoma" w:cs="Tahoma"/>
          <w:lang w:val="es-419"/>
        </w:rPr>
        <w:t xml:space="preserve"> </w:t>
      </w:r>
      <w:r w:rsidR="00745981" w:rsidRPr="001C501B">
        <w:rPr>
          <w:rFonts w:ascii="Tahoma" w:hAnsi="Tahoma" w:cs="Tahoma"/>
          <w:lang w:val="es-419"/>
        </w:rPr>
        <w:t xml:space="preserve">existen los supuestos necesarios para la viabilidad de esta acción constitucional, dado que, el promotor de la acción padece de un estado de salud de carácter terminal y </w:t>
      </w:r>
      <w:r w:rsidR="004236FC" w:rsidRPr="001C501B">
        <w:rPr>
          <w:rFonts w:ascii="Tahoma" w:hAnsi="Tahoma" w:cs="Tahoma"/>
          <w:lang w:val="es-419"/>
        </w:rPr>
        <w:t>catastrófico</w:t>
      </w:r>
      <w:r w:rsidR="00745981" w:rsidRPr="001C501B">
        <w:rPr>
          <w:rFonts w:ascii="Tahoma" w:hAnsi="Tahoma" w:cs="Tahoma"/>
          <w:lang w:val="es-419"/>
        </w:rPr>
        <w:t xml:space="preserve"> (insuficiencia renal en </w:t>
      </w:r>
      <w:r w:rsidR="004236FC" w:rsidRPr="001C501B">
        <w:rPr>
          <w:rFonts w:ascii="Tahoma" w:hAnsi="Tahoma" w:cs="Tahoma"/>
          <w:lang w:val="es-419"/>
        </w:rPr>
        <w:t>hemodiálisis) y su situación económica y familia</w:t>
      </w:r>
      <w:r w:rsidR="004674E9" w:rsidRPr="001C501B">
        <w:rPr>
          <w:rFonts w:ascii="Tahoma" w:hAnsi="Tahoma" w:cs="Tahoma"/>
          <w:lang w:val="es-419"/>
        </w:rPr>
        <w:t>r</w:t>
      </w:r>
      <w:r w:rsidR="004236FC" w:rsidRPr="001C501B">
        <w:rPr>
          <w:rFonts w:ascii="Tahoma" w:hAnsi="Tahoma" w:cs="Tahoma"/>
          <w:lang w:val="es-419"/>
        </w:rPr>
        <w:t xml:space="preserve"> es de carácter precario, al depender para su subsistencia de la caridad de sus amigos y familiares.</w:t>
      </w:r>
    </w:p>
    <w:p w14:paraId="3942EFFC" w14:textId="77777777" w:rsidR="0082290D" w:rsidRPr="001C501B" w:rsidRDefault="0082290D" w:rsidP="001C501B">
      <w:pPr>
        <w:pStyle w:val="Default"/>
        <w:spacing w:line="276" w:lineRule="auto"/>
        <w:ind w:left="357" w:firstLine="709"/>
        <w:jc w:val="both"/>
        <w:rPr>
          <w:rFonts w:ascii="Tahoma" w:hAnsi="Tahoma" w:cs="Tahoma"/>
          <w:lang w:val="es-419"/>
        </w:rPr>
      </w:pPr>
    </w:p>
    <w:p w14:paraId="20C4B672" w14:textId="4C873ED0" w:rsidR="004236FC" w:rsidRPr="001C501B" w:rsidRDefault="004236FC" w:rsidP="001C501B">
      <w:pPr>
        <w:pStyle w:val="Default"/>
        <w:spacing w:line="276" w:lineRule="auto"/>
        <w:ind w:left="357" w:firstLine="709"/>
        <w:jc w:val="both"/>
        <w:rPr>
          <w:rFonts w:ascii="Tahoma" w:hAnsi="Tahoma" w:cs="Tahoma"/>
        </w:rPr>
      </w:pPr>
      <w:r w:rsidRPr="001C501B">
        <w:rPr>
          <w:rFonts w:ascii="Tahoma" w:hAnsi="Tahoma" w:cs="Tahoma"/>
          <w:lang w:val="es-419"/>
        </w:rPr>
        <w:t xml:space="preserve">Añade entonces, que esta situación sumerge a su representando en una debilidad manifiesta con el riesgo inminente de ocasionarle </w:t>
      </w:r>
      <w:r w:rsidR="00FB574A" w:rsidRPr="001C501B">
        <w:rPr>
          <w:rFonts w:ascii="Tahoma" w:hAnsi="Tahoma" w:cs="Tahoma"/>
          <w:lang w:val="es-419"/>
        </w:rPr>
        <w:t>un perjuicio irremediable</w:t>
      </w:r>
    </w:p>
    <w:p w14:paraId="740668E9" w14:textId="77777777" w:rsidR="00691226" w:rsidRPr="001C501B" w:rsidRDefault="00691226" w:rsidP="001C501B">
      <w:pPr>
        <w:spacing w:after="0" w:line="276" w:lineRule="auto"/>
        <w:jc w:val="both"/>
        <w:rPr>
          <w:rFonts w:ascii="Tahoma" w:hAnsi="Tahoma" w:cs="Tahoma"/>
          <w:b/>
          <w:bCs/>
          <w:sz w:val="24"/>
          <w:szCs w:val="24"/>
          <w:lang w:val="es-419"/>
        </w:rPr>
      </w:pPr>
      <w:r w:rsidRPr="001C501B">
        <w:rPr>
          <w:rFonts w:ascii="Tahoma" w:hAnsi="Tahoma" w:cs="Tahoma"/>
          <w:b/>
          <w:bCs/>
          <w:sz w:val="24"/>
          <w:szCs w:val="24"/>
          <w:lang w:val="es-419"/>
        </w:rPr>
        <w:t xml:space="preserve">  </w:t>
      </w:r>
    </w:p>
    <w:p w14:paraId="31D7FA00" w14:textId="55847385" w:rsidR="00691226" w:rsidRPr="001C501B" w:rsidRDefault="00F603B1" w:rsidP="001C501B">
      <w:pPr>
        <w:pStyle w:val="Prrafodelista"/>
        <w:spacing w:after="0" w:line="276" w:lineRule="auto"/>
        <w:ind w:left="714" w:hanging="357"/>
        <w:jc w:val="center"/>
        <w:rPr>
          <w:rFonts w:ascii="Tahoma" w:hAnsi="Tahoma" w:cs="Tahoma"/>
          <w:b/>
          <w:bCs/>
          <w:sz w:val="24"/>
          <w:szCs w:val="24"/>
          <w:lang w:val="es-419"/>
        </w:rPr>
      </w:pPr>
      <w:r w:rsidRPr="001C501B">
        <w:rPr>
          <w:rFonts w:ascii="Tahoma" w:hAnsi="Tahoma" w:cs="Tahoma"/>
          <w:b/>
          <w:bCs/>
          <w:sz w:val="24"/>
          <w:szCs w:val="24"/>
          <w:lang w:val="es-419"/>
        </w:rPr>
        <w:t>5</w:t>
      </w:r>
      <w:r w:rsidR="00691226" w:rsidRPr="001C501B">
        <w:rPr>
          <w:rFonts w:ascii="Tahoma" w:hAnsi="Tahoma" w:cs="Tahoma"/>
          <w:b/>
          <w:bCs/>
          <w:sz w:val="24"/>
          <w:szCs w:val="24"/>
          <w:lang w:val="es-419"/>
        </w:rPr>
        <w:t>.  CONSIDERACIONES</w:t>
      </w:r>
    </w:p>
    <w:p w14:paraId="459E9CDA" w14:textId="501C9EB8" w:rsidR="00691226" w:rsidRPr="001C501B" w:rsidRDefault="00691226" w:rsidP="001C501B">
      <w:pPr>
        <w:pStyle w:val="Prrafodelista"/>
        <w:spacing w:after="0" w:line="276" w:lineRule="auto"/>
        <w:ind w:left="714" w:hanging="357"/>
        <w:jc w:val="center"/>
        <w:rPr>
          <w:rFonts w:ascii="Tahoma" w:hAnsi="Tahoma" w:cs="Tahoma"/>
          <w:sz w:val="24"/>
          <w:szCs w:val="24"/>
          <w:lang w:val="es-419"/>
        </w:rPr>
      </w:pPr>
    </w:p>
    <w:p w14:paraId="7501D886" w14:textId="77777777" w:rsidR="009B42F5" w:rsidRPr="001C501B" w:rsidRDefault="009B42F5" w:rsidP="001C501B">
      <w:pPr>
        <w:pStyle w:val="Prrafodelista"/>
        <w:spacing w:after="0" w:line="276" w:lineRule="auto"/>
        <w:ind w:left="714" w:hanging="357"/>
        <w:jc w:val="center"/>
        <w:rPr>
          <w:rFonts w:ascii="Tahoma" w:hAnsi="Tahoma" w:cs="Tahoma"/>
          <w:sz w:val="24"/>
          <w:szCs w:val="24"/>
          <w:lang w:val="es-419"/>
        </w:rPr>
      </w:pPr>
    </w:p>
    <w:p w14:paraId="70F442A4" w14:textId="06655460" w:rsidR="00691226" w:rsidRPr="001C501B" w:rsidRDefault="00691226" w:rsidP="001C501B">
      <w:pPr>
        <w:pStyle w:val="Prrafodelista"/>
        <w:numPr>
          <w:ilvl w:val="1"/>
          <w:numId w:val="5"/>
        </w:numPr>
        <w:spacing w:after="0" w:line="276" w:lineRule="auto"/>
        <w:ind w:left="0" w:firstLine="709"/>
        <w:jc w:val="both"/>
        <w:rPr>
          <w:rFonts w:ascii="Tahoma" w:hAnsi="Tahoma" w:cs="Tahoma"/>
          <w:b/>
          <w:bCs/>
          <w:sz w:val="24"/>
          <w:szCs w:val="24"/>
          <w:lang w:val="es-419"/>
        </w:rPr>
      </w:pPr>
      <w:r w:rsidRPr="001C501B">
        <w:rPr>
          <w:rFonts w:ascii="Tahoma" w:hAnsi="Tahoma" w:cs="Tahoma"/>
          <w:b/>
          <w:bCs/>
          <w:sz w:val="24"/>
          <w:szCs w:val="24"/>
          <w:lang w:val="es-419"/>
        </w:rPr>
        <w:t>Problema jurídico para resolver</w:t>
      </w:r>
    </w:p>
    <w:p w14:paraId="78629E2B" w14:textId="77777777" w:rsidR="00886132" w:rsidRPr="001C501B" w:rsidRDefault="00886132" w:rsidP="001C501B">
      <w:pPr>
        <w:pStyle w:val="Prrafodelista"/>
        <w:spacing w:after="0" w:line="276" w:lineRule="auto"/>
        <w:ind w:left="1440" w:firstLine="709"/>
        <w:jc w:val="both"/>
        <w:rPr>
          <w:rFonts w:ascii="Tahoma" w:hAnsi="Tahoma" w:cs="Tahoma"/>
          <w:b/>
          <w:bCs/>
          <w:sz w:val="24"/>
          <w:szCs w:val="24"/>
          <w:lang w:val="es-419"/>
        </w:rPr>
      </w:pPr>
    </w:p>
    <w:p w14:paraId="6AC5BDAD" w14:textId="77777777" w:rsidR="00E342BF" w:rsidRPr="001C501B" w:rsidRDefault="004674E9" w:rsidP="001C501B">
      <w:pPr>
        <w:spacing w:after="0" w:line="276" w:lineRule="auto"/>
        <w:ind w:firstLine="709"/>
        <w:jc w:val="both"/>
        <w:rPr>
          <w:rFonts w:ascii="Tahoma" w:hAnsi="Tahoma" w:cs="Tahoma"/>
          <w:sz w:val="24"/>
          <w:szCs w:val="24"/>
        </w:rPr>
      </w:pPr>
      <w:r w:rsidRPr="001C501B">
        <w:rPr>
          <w:rFonts w:ascii="Tahoma" w:hAnsi="Tahoma" w:cs="Tahoma"/>
          <w:sz w:val="24"/>
          <w:szCs w:val="24"/>
        </w:rPr>
        <w:t xml:space="preserve">Le corresponde establecer a la Sala </w:t>
      </w:r>
      <w:r w:rsidR="00E342BF" w:rsidRPr="001C501B">
        <w:rPr>
          <w:rFonts w:ascii="Tahoma" w:hAnsi="Tahoma" w:cs="Tahoma"/>
          <w:sz w:val="24"/>
          <w:szCs w:val="24"/>
        </w:rPr>
        <w:t>lo siguiente:</w:t>
      </w:r>
    </w:p>
    <w:p w14:paraId="39BF17B6" w14:textId="6BF0DF9E" w:rsidR="004A38F3" w:rsidRPr="001C501B" w:rsidRDefault="00E342BF" w:rsidP="001C501B">
      <w:pPr>
        <w:pStyle w:val="Prrafodelista"/>
        <w:numPr>
          <w:ilvl w:val="0"/>
          <w:numId w:val="11"/>
        </w:numPr>
        <w:spacing w:after="0" w:line="276" w:lineRule="auto"/>
        <w:jc w:val="both"/>
        <w:rPr>
          <w:rFonts w:ascii="Tahoma" w:hAnsi="Tahoma" w:cs="Tahoma"/>
          <w:sz w:val="24"/>
          <w:szCs w:val="24"/>
        </w:rPr>
      </w:pPr>
      <w:r w:rsidRPr="001C501B">
        <w:rPr>
          <w:rFonts w:ascii="Tahoma" w:hAnsi="Tahoma" w:cs="Tahoma"/>
          <w:sz w:val="24"/>
          <w:szCs w:val="24"/>
        </w:rPr>
        <w:t xml:space="preserve">Si se cumple el principio de </w:t>
      </w:r>
      <w:r w:rsidR="0082290D" w:rsidRPr="001C501B">
        <w:rPr>
          <w:rFonts w:ascii="Tahoma" w:hAnsi="Tahoma" w:cs="Tahoma"/>
          <w:sz w:val="24"/>
          <w:szCs w:val="24"/>
        </w:rPr>
        <w:t>subsidiariedad</w:t>
      </w:r>
      <w:r w:rsidRPr="001C501B">
        <w:rPr>
          <w:rFonts w:ascii="Tahoma" w:hAnsi="Tahoma" w:cs="Tahoma"/>
          <w:sz w:val="24"/>
          <w:szCs w:val="24"/>
        </w:rPr>
        <w:t xml:space="preserve"> </w:t>
      </w:r>
      <w:r w:rsidR="004A38F3" w:rsidRPr="001C501B">
        <w:rPr>
          <w:rFonts w:ascii="Tahoma" w:hAnsi="Tahoma" w:cs="Tahoma"/>
          <w:sz w:val="24"/>
          <w:szCs w:val="24"/>
        </w:rPr>
        <w:t>para que el juez constitucional pueda conocer el presente asunto, a sabiendas de que se está solicitando el reconocimiento de una pensión de invalidez.</w:t>
      </w:r>
    </w:p>
    <w:p w14:paraId="4D295A64" w14:textId="4654F255" w:rsidR="000731FC" w:rsidRPr="001C501B" w:rsidRDefault="004A38F3" w:rsidP="001C501B">
      <w:pPr>
        <w:pStyle w:val="Prrafodelista"/>
        <w:numPr>
          <w:ilvl w:val="0"/>
          <w:numId w:val="11"/>
        </w:numPr>
        <w:spacing w:after="0" w:line="276" w:lineRule="auto"/>
        <w:jc w:val="both"/>
        <w:rPr>
          <w:rFonts w:ascii="Tahoma" w:hAnsi="Tahoma" w:cs="Tahoma"/>
          <w:sz w:val="24"/>
          <w:szCs w:val="24"/>
        </w:rPr>
      </w:pPr>
      <w:r w:rsidRPr="001C501B">
        <w:rPr>
          <w:rFonts w:ascii="Tahoma" w:hAnsi="Tahoma" w:cs="Tahoma"/>
          <w:sz w:val="24"/>
          <w:szCs w:val="24"/>
        </w:rPr>
        <w:t xml:space="preserve">Superado lo anterior, se entrará a establecer </w:t>
      </w:r>
      <w:r w:rsidR="004674E9" w:rsidRPr="001C501B">
        <w:rPr>
          <w:rFonts w:ascii="Tahoma" w:hAnsi="Tahoma" w:cs="Tahoma"/>
          <w:sz w:val="24"/>
          <w:szCs w:val="24"/>
        </w:rPr>
        <w:t xml:space="preserve">a cargo de qué entidad está la responsabilidad de pagar la pensión de invalidez del actor: Si a </w:t>
      </w:r>
      <w:r w:rsidR="00842F70" w:rsidRPr="001C501B">
        <w:rPr>
          <w:rFonts w:ascii="Tahoma" w:hAnsi="Tahoma" w:cs="Tahoma"/>
          <w:sz w:val="24"/>
          <w:szCs w:val="24"/>
        </w:rPr>
        <w:t>COLPENSIONES</w:t>
      </w:r>
      <w:r w:rsidR="009B42F5" w:rsidRPr="001C501B">
        <w:rPr>
          <w:rFonts w:ascii="Tahoma" w:hAnsi="Tahoma" w:cs="Tahoma"/>
          <w:sz w:val="24"/>
          <w:szCs w:val="24"/>
        </w:rPr>
        <w:t xml:space="preserve"> </w:t>
      </w:r>
      <w:r w:rsidR="004674E9" w:rsidRPr="001C501B">
        <w:rPr>
          <w:rFonts w:ascii="Tahoma" w:hAnsi="Tahoma" w:cs="Tahoma"/>
          <w:sz w:val="24"/>
          <w:szCs w:val="24"/>
        </w:rPr>
        <w:t>o a la AFP PORVENIR</w:t>
      </w:r>
      <w:r w:rsidR="00E342BF" w:rsidRPr="001C501B">
        <w:rPr>
          <w:rFonts w:ascii="Tahoma" w:hAnsi="Tahoma" w:cs="Tahoma"/>
          <w:sz w:val="24"/>
          <w:szCs w:val="24"/>
        </w:rPr>
        <w:t xml:space="preserve">, toda vez que para la fecha de estructuración de la invalidez el actor estaba afiliado a la AFP PORVENIR en tanto que actualmente se encuentra afiliado a COLPENSIONES. </w:t>
      </w:r>
    </w:p>
    <w:p w14:paraId="43E16E36" w14:textId="77777777" w:rsidR="004A38F3" w:rsidRPr="001C501B" w:rsidRDefault="004A38F3" w:rsidP="001C501B">
      <w:pPr>
        <w:pStyle w:val="Prrafodelista"/>
        <w:spacing w:after="0" w:line="276" w:lineRule="auto"/>
        <w:ind w:left="1429"/>
        <w:jc w:val="both"/>
        <w:rPr>
          <w:rFonts w:ascii="Tahoma" w:hAnsi="Tahoma" w:cs="Tahoma"/>
          <w:sz w:val="24"/>
          <w:szCs w:val="24"/>
        </w:rPr>
      </w:pPr>
    </w:p>
    <w:p w14:paraId="4A4043DF" w14:textId="70A65112" w:rsidR="00CA60DE" w:rsidRPr="001C501B" w:rsidRDefault="00CA60DE" w:rsidP="001C501B">
      <w:pPr>
        <w:pStyle w:val="Prrafodelista"/>
        <w:numPr>
          <w:ilvl w:val="1"/>
          <w:numId w:val="5"/>
        </w:numPr>
        <w:spacing w:after="0" w:line="276" w:lineRule="auto"/>
        <w:ind w:left="0" w:firstLine="709"/>
        <w:jc w:val="both"/>
        <w:rPr>
          <w:rFonts w:ascii="Tahoma" w:hAnsi="Tahoma" w:cs="Tahoma"/>
          <w:b/>
          <w:bCs/>
          <w:sz w:val="24"/>
          <w:szCs w:val="24"/>
        </w:rPr>
      </w:pPr>
      <w:r w:rsidRPr="001C501B">
        <w:rPr>
          <w:rFonts w:ascii="Tahoma" w:hAnsi="Tahoma" w:cs="Tahoma"/>
          <w:b/>
          <w:bCs/>
          <w:sz w:val="24"/>
          <w:szCs w:val="24"/>
        </w:rPr>
        <w:t xml:space="preserve">Presupuestos Generales de procedencia. </w:t>
      </w:r>
    </w:p>
    <w:p w14:paraId="01E80E8C" w14:textId="3E82B919" w:rsidR="00276986" w:rsidRPr="001C501B" w:rsidRDefault="00276986" w:rsidP="001C501B">
      <w:pPr>
        <w:spacing w:after="0" w:line="276" w:lineRule="auto"/>
        <w:ind w:firstLine="709"/>
        <w:jc w:val="both"/>
        <w:rPr>
          <w:rFonts w:ascii="Tahoma" w:hAnsi="Tahoma" w:cs="Tahoma"/>
          <w:b/>
          <w:bCs/>
          <w:sz w:val="24"/>
          <w:szCs w:val="24"/>
        </w:rPr>
      </w:pPr>
    </w:p>
    <w:p w14:paraId="7DF264FA" w14:textId="2820E4C8" w:rsidR="00BF1903" w:rsidRPr="001C501B" w:rsidRDefault="00CA60DE" w:rsidP="001C501B">
      <w:pPr>
        <w:spacing w:after="0" w:line="276" w:lineRule="auto"/>
        <w:ind w:firstLine="709"/>
        <w:jc w:val="both"/>
        <w:rPr>
          <w:rFonts w:ascii="Tahoma" w:hAnsi="Tahoma" w:cs="Tahoma"/>
          <w:sz w:val="24"/>
          <w:szCs w:val="24"/>
        </w:rPr>
      </w:pPr>
      <w:r w:rsidRPr="001C501B">
        <w:rPr>
          <w:rFonts w:ascii="Tahoma" w:hAnsi="Tahoma" w:cs="Tahoma"/>
          <w:b/>
          <w:bCs/>
          <w:sz w:val="24"/>
          <w:szCs w:val="24"/>
        </w:rPr>
        <w:t>5.</w:t>
      </w:r>
      <w:r w:rsidR="004674E9" w:rsidRPr="001C501B">
        <w:rPr>
          <w:rFonts w:ascii="Tahoma" w:hAnsi="Tahoma" w:cs="Tahoma"/>
          <w:b/>
          <w:bCs/>
          <w:sz w:val="24"/>
          <w:szCs w:val="24"/>
        </w:rPr>
        <w:t>2</w:t>
      </w:r>
      <w:r w:rsidR="007414B0" w:rsidRPr="001C501B">
        <w:rPr>
          <w:rFonts w:ascii="Tahoma" w:hAnsi="Tahoma" w:cs="Tahoma"/>
          <w:b/>
          <w:bCs/>
          <w:sz w:val="24"/>
          <w:szCs w:val="24"/>
        </w:rPr>
        <w:t>.1</w:t>
      </w:r>
      <w:r w:rsidRPr="001C501B">
        <w:rPr>
          <w:rFonts w:ascii="Tahoma" w:hAnsi="Tahoma" w:cs="Tahoma"/>
          <w:b/>
          <w:bCs/>
          <w:sz w:val="24"/>
          <w:szCs w:val="24"/>
        </w:rPr>
        <w:t xml:space="preserve">. Inmediatez. </w:t>
      </w:r>
      <w:r w:rsidR="00BF1903" w:rsidRPr="001C501B">
        <w:rPr>
          <w:rFonts w:ascii="Tahoma" w:hAnsi="Tahoma" w:cs="Tahoma"/>
          <w:sz w:val="24"/>
          <w:szCs w:val="24"/>
        </w:rPr>
        <w:t xml:space="preserve">La Corte Constitucional ha sostenido en varias sentencias, entre ellas la </w:t>
      </w:r>
      <w:r w:rsidR="002C3738" w:rsidRPr="001C501B">
        <w:rPr>
          <w:rFonts w:ascii="Tahoma" w:hAnsi="Tahoma" w:cs="Tahoma"/>
          <w:sz w:val="24"/>
          <w:szCs w:val="24"/>
        </w:rPr>
        <w:t>T-46</w:t>
      </w:r>
      <w:r w:rsidR="00BC3070" w:rsidRPr="001C501B">
        <w:rPr>
          <w:rFonts w:ascii="Tahoma" w:hAnsi="Tahoma" w:cs="Tahoma"/>
          <w:sz w:val="24"/>
          <w:szCs w:val="24"/>
        </w:rPr>
        <w:t>1</w:t>
      </w:r>
      <w:r w:rsidR="002C3738" w:rsidRPr="001C501B">
        <w:rPr>
          <w:rFonts w:ascii="Tahoma" w:hAnsi="Tahoma" w:cs="Tahoma"/>
          <w:sz w:val="24"/>
          <w:szCs w:val="24"/>
        </w:rPr>
        <w:t>-1</w:t>
      </w:r>
      <w:r w:rsidR="00BC3070" w:rsidRPr="001C501B">
        <w:rPr>
          <w:rFonts w:ascii="Tahoma" w:hAnsi="Tahoma" w:cs="Tahoma"/>
          <w:sz w:val="24"/>
          <w:szCs w:val="24"/>
        </w:rPr>
        <w:t>9</w:t>
      </w:r>
      <w:r w:rsidR="002C3738" w:rsidRPr="001C501B">
        <w:rPr>
          <w:rFonts w:ascii="Tahoma" w:hAnsi="Tahoma" w:cs="Tahoma"/>
          <w:sz w:val="24"/>
          <w:szCs w:val="24"/>
        </w:rPr>
        <w:t xml:space="preserve"> que: </w:t>
      </w:r>
      <w:r w:rsidR="00BC3070" w:rsidRPr="001C501B">
        <w:rPr>
          <w:rFonts w:ascii="Tahoma" w:hAnsi="Tahoma" w:cs="Tahoma"/>
          <w:sz w:val="24"/>
          <w:szCs w:val="24"/>
        </w:rPr>
        <w:t>“</w:t>
      </w:r>
      <w:r w:rsidR="00BC3070" w:rsidRPr="0082290D">
        <w:rPr>
          <w:rFonts w:ascii="Tahoma" w:hAnsi="Tahoma" w:cs="Tahoma"/>
          <w:i/>
          <w:iCs/>
          <w:color w:val="000000"/>
          <w:szCs w:val="24"/>
          <w:shd w:val="clear" w:color="auto" w:fill="FFFFFF"/>
        </w:rPr>
        <w:t xml:space="preserve">Si bien es cierto que la acción de tutela no está sometida a un término de caducidad, sí debe ser interpuesta en un plazo razonable y proporcionado a partir del hecho generador de la </w:t>
      </w:r>
      <w:r w:rsidR="00D633F6" w:rsidRPr="0082290D">
        <w:rPr>
          <w:rFonts w:ascii="Tahoma" w:hAnsi="Tahoma" w:cs="Tahoma"/>
          <w:i/>
          <w:iCs/>
          <w:color w:val="000000"/>
          <w:szCs w:val="24"/>
          <w:shd w:val="clear" w:color="auto" w:fill="FFFFFF"/>
        </w:rPr>
        <w:t>vulneración</w:t>
      </w:r>
      <w:r w:rsidR="00D633F6" w:rsidRPr="0082290D">
        <w:rPr>
          <w:rFonts w:ascii="Tahoma" w:hAnsi="Tahoma" w:cs="Tahoma"/>
          <w:color w:val="000000"/>
          <w:szCs w:val="24"/>
          <w:shd w:val="clear" w:color="auto" w:fill="FFFFFF"/>
        </w:rPr>
        <w:t xml:space="preserve"> </w:t>
      </w:r>
      <w:r w:rsidR="00D633F6" w:rsidRPr="001C501B">
        <w:rPr>
          <w:rFonts w:ascii="Tahoma" w:hAnsi="Tahoma" w:cs="Tahoma"/>
          <w:color w:val="000000"/>
          <w:sz w:val="24"/>
          <w:szCs w:val="24"/>
          <w:shd w:val="clear" w:color="auto" w:fill="FFFFFF"/>
        </w:rPr>
        <w:t>“</w:t>
      </w:r>
      <w:r w:rsidR="00AB521C" w:rsidRPr="001C501B">
        <w:rPr>
          <w:rFonts w:ascii="Tahoma" w:hAnsi="Tahoma" w:cs="Tahoma"/>
          <w:color w:val="000000"/>
          <w:sz w:val="24"/>
          <w:szCs w:val="24"/>
          <w:shd w:val="clear" w:color="auto" w:fill="FFFFFF"/>
        </w:rPr>
        <w:t xml:space="preserve">. </w:t>
      </w:r>
      <w:r w:rsidR="00D633F6" w:rsidRPr="001C501B">
        <w:rPr>
          <w:rFonts w:ascii="Tahoma" w:hAnsi="Tahoma" w:cs="Tahoma"/>
          <w:color w:val="000000"/>
          <w:sz w:val="24"/>
          <w:szCs w:val="24"/>
          <w:shd w:val="clear" w:color="auto" w:fill="FFFFFF"/>
        </w:rPr>
        <w:t xml:space="preserve">En relación con el caso objeto de estudio, la acción de tutela fue instaurada el </w:t>
      </w:r>
      <w:r w:rsidR="005C23BE" w:rsidRPr="001C501B">
        <w:rPr>
          <w:rFonts w:ascii="Tahoma" w:hAnsi="Tahoma" w:cs="Tahoma"/>
          <w:color w:val="000000"/>
          <w:sz w:val="24"/>
          <w:szCs w:val="24"/>
          <w:shd w:val="clear" w:color="auto" w:fill="FFFFFF"/>
        </w:rPr>
        <w:t>12</w:t>
      </w:r>
      <w:r w:rsidR="00D633F6" w:rsidRPr="001C501B">
        <w:rPr>
          <w:rFonts w:ascii="Tahoma" w:hAnsi="Tahoma" w:cs="Tahoma"/>
          <w:color w:val="000000"/>
          <w:sz w:val="24"/>
          <w:szCs w:val="24"/>
          <w:shd w:val="clear" w:color="auto" w:fill="FFFFFF"/>
        </w:rPr>
        <w:t xml:space="preserve"> de </w:t>
      </w:r>
      <w:r w:rsidR="005C23BE" w:rsidRPr="001C501B">
        <w:rPr>
          <w:rFonts w:ascii="Tahoma" w:hAnsi="Tahoma" w:cs="Tahoma"/>
          <w:color w:val="000000"/>
          <w:sz w:val="24"/>
          <w:szCs w:val="24"/>
          <w:shd w:val="clear" w:color="auto" w:fill="FFFFFF"/>
        </w:rPr>
        <w:t>enero</w:t>
      </w:r>
      <w:r w:rsidR="00D633F6" w:rsidRPr="001C501B">
        <w:rPr>
          <w:rFonts w:ascii="Tahoma" w:hAnsi="Tahoma" w:cs="Tahoma"/>
          <w:color w:val="000000"/>
          <w:sz w:val="24"/>
          <w:szCs w:val="24"/>
          <w:shd w:val="clear" w:color="auto" w:fill="FFFFFF"/>
        </w:rPr>
        <w:t xml:space="preserve"> de </w:t>
      </w:r>
      <w:r w:rsidR="005C23BE" w:rsidRPr="001C501B">
        <w:rPr>
          <w:rFonts w:ascii="Tahoma" w:hAnsi="Tahoma" w:cs="Tahoma"/>
          <w:color w:val="000000"/>
          <w:sz w:val="24"/>
          <w:szCs w:val="24"/>
          <w:shd w:val="clear" w:color="auto" w:fill="FFFFFF"/>
        </w:rPr>
        <w:t>2022</w:t>
      </w:r>
      <w:r w:rsidR="00D633F6" w:rsidRPr="001C501B">
        <w:rPr>
          <w:rFonts w:ascii="Tahoma" w:hAnsi="Tahoma" w:cs="Tahoma"/>
          <w:color w:val="000000"/>
          <w:sz w:val="24"/>
          <w:szCs w:val="24"/>
          <w:shd w:val="clear" w:color="auto" w:fill="FFFFFF"/>
        </w:rPr>
        <w:t xml:space="preserve"> y </w:t>
      </w:r>
      <w:r w:rsidR="00C47176" w:rsidRPr="001C501B">
        <w:rPr>
          <w:rFonts w:ascii="Tahoma" w:hAnsi="Tahoma" w:cs="Tahoma"/>
          <w:color w:val="000000"/>
          <w:sz w:val="24"/>
          <w:szCs w:val="24"/>
          <w:shd w:val="clear" w:color="auto" w:fill="FFFFFF"/>
        </w:rPr>
        <w:t>la resolución del recurso de apelación</w:t>
      </w:r>
      <w:r w:rsidR="00D633F6" w:rsidRPr="001C501B">
        <w:rPr>
          <w:rFonts w:ascii="Tahoma" w:hAnsi="Tahoma" w:cs="Tahoma"/>
          <w:color w:val="000000"/>
          <w:sz w:val="24"/>
          <w:szCs w:val="24"/>
          <w:shd w:val="clear" w:color="auto" w:fill="FFFFFF"/>
        </w:rPr>
        <w:t xml:space="preserve"> dad</w:t>
      </w:r>
      <w:r w:rsidR="00C47176" w:rsidRPr="001C501B">
        <w:rPr>
          <w:rFonts w:ascii="Tahoma" w:hAnsi="Tahoma" w:cs="Tahoma"/>
          <w:color w:val="000000"/>
          <w:sz w:val="24"/>
          <w:szCs w:val="24"/>
          <w:shd w:val="clear" w:color="auto" w:fill="FFFFFF"/>
        </w:rPr>
        <w:t>o</w:t>
      </w:r>
      <w:r w:rsidR="00D633F6" w:rsidRPr="001C501B">
        <w:rPr>
          <w:rFonts w:ascii="Tahoma" w:hAnsi="Tahoma" w:cs="Tahoma"/>
          <w:color w:val="000000"/>
          <w:sz w:val="24"/>
          <w:szCs w:val="24"/>
          <w:shd w:val="clear" w:color="auto" w:fill="FFFFFF"/>
        </w:rPr>
        <w:t xml:space="preserve"> por</w:t>
      </w:r>
      <w:r w:rsidR="001971E7" w:rsidRPr="001C501B">
        <w:rPr>
          <w:rFonts w:ascii="Tahoma" w:hAnsi="Tahoma" w:cs="Tahoma"/>
          <w:color w:val="000000"/>
          <w:sz w:val="24"/>
          <w:szCs w:val="24"/>
          <w:shd w:val="clear" w:color="auto" w:fill="FFFFFF"/>
        </w:rPr>
        <w:t xml:space="preserve"> la administradora colombiana de pensiones - Colpensiones</w:t>
      </w:r>
      <w:r w:rsidR="00D633F6" w:rsidRPr="001C501B">
        <w:rPr>
          <w:rFonts w:ascii="Tahoma" w:hAnsi="Tahoma" w:cs="Tahoma"/>
          <w:color w:val="000000"/>
          <w:sz w:val="24"/>
          <w:szCs w:val="24"/>
          <w:shd w:val="clear" w:color="auto" w:fill="FFFFFF"/>
        </w:rPr>
        <w:t xml:space="preserve">, </w:t>
      </w:r>
      <w:r w:rsidR="00D633F6" w:rsidRPr="001C501B">
        <w:rPr>
          <w:rFonts w:ascii="Tahoma" w:hAnsi="Tahoma" w:cs="Tahoma"/>
          <w:color w:val="000000"/>
          <w:sz w:val="24"/>
          <w:szCs w:val="24"/>
          <w:shd w:val="clear" w:color="auto" w:fill="FFFFFF"/>
        </w:rPr>
        <w:lastRenderedPageBreak/>
        <w:t>mediante la cual</w:t>
      </w:r>
      <w:r w:rsidR="00C47176" w:rsidRPr="001C501B">
        <w:rPr>
          <w:rFonts w:ascii="Tahoma" w:hAnsi="Tahoma" w:cs="Tahoma"/>
          <w:color w:val="000000"/>
          <w:sz w:val="24"/>
          <w:szCs w:val="24"/>
          <w:shd w:val="clear" w:color="auto" w:fill="FFFFFF"/>
        </w:rPr>
        <w:t xml:space="preserve"> confirmó el fracaso de la </w:t>
      </w:r>
      <w:r w:rsidR="00D633F6" w:rsidRPr="001C501B">
        <w:rPr>
          <w:rFonts w:ascii="Tahoma" w:hAnsi="Tahoma" w:cs="Tahoma"/>
          <w:color w:val="000000"/>
          <w:sz w:val="24"/>
          <w:szCs w:val="24"/>
          <w:shd w:val="clear" w:color="auto" w:fill="FFFFFF"/>
        </w:rPr>
        <w:t>solicitud de</w:t>
      </w:r>
      <w:r w:rsidR="00C47176" w:rsidRPr="001C501B">
        <w:rPr>
          <w:rFonts w:ascii="Tahoma" w:hAnsi="Tahoma" w:cs="Tahoma"/>
          <w:color w:val="000000"/>
          <w:sz w:val="24"/>
          <w:szCs w:val="24"/>
          <w:shd w:val="clear" w:color="auto" w:fill="FFFFFF"/>
        </w:rPr>
        <w:t>l</w:t>
      </w:r>
      <w:r w:rsidR="00D633F6" w:rsidRPr="001C501B">
        <w:rPr>
          <w:rFonts w:ascii="Tahoma" w:hAnsi="Tahoma" w:cs="Tahoma"/>
          <w:color w:val="000000"/>
          <w:sz w:val="24"/>
          <w:szCs w:val="24"/>
          <w:shd w:val="clear" w:color="auto" w:fill="FFFFFF"/>
        </w:rPr>
        <w:t xml:space="preserve"> reconocimiento de la pensión de invalidez es del </w:t>
      </w:r>
      <w:r w:rsidR="0059265E" w:rsidRPr="001C501B">
        <w:rPr>
          <w:rFonts w:ascii="Tahoma" w:hAnsi="Tahoma" w:cs="Tahoma"/>
          <w:color w:val="000000"/>
          <w:sz w:val="24"/>
          <w:szCs w:val="24"/>
          <w:shd w:val="clear" w:color="auto" w:fill="FFFFFF"/>
        </w:rPr>
        <w:t>16</w:t>
      </w:r>
      <w:r w:rsidR="00D633F6" w:rsidRPr="001C501B">
        <w:rPr>
          <w:rFonts w:ascii="Tahoma" w:hAnsi="Tahoma" w:cs="Tahoma"/>
          <w:color w:val="000000"/>
          <w:sz w:val="24"/>
          <w:szCs w:val="24"/>
          <w:shd w:val="clear" w:color="auto" w:fill="FFFFFF"/>
        </w:rPr>
        <w:t xml:space="preserve"> de </w:t>
      </w:r>
      <w:r w:rsidR="0059265E" w:rsidRPr="001C501B">
        <w:rPr>
          <w:rFonts w:ascii="Tahoma" w:hAnsi="Tahoma" w:cs="Tahoma"/>
          <w:color w:val="000000"/>
          <w:sz w:val="24"/>
          <w:szCs w:val="24"/>
          <w:shd w:val="clear" w:color="auto" w:fill="FFFFFF"/>
        </w:rPr>
        <w:t>diciembre</w:t>
      </w:r>
      <w:r w:rsidR="00D633F6" w:rsidRPr="001C501B">
        <w:rPr>
          <w:rFonts w:ascii="Tahoma" w:hAnsi="Tahoma" w:cs="Tahoma"/>
          <w:color w:val="000000"/>
          <w:sz w:val="24"/>
          <w:szCs w:val="24"/>
          <w:shd w:val="clear" w:color="auto" w:fill="FFFFFF"/>
        </w:rPr>
        <w:t xml:space="preserve"> de 20</w:t>
      </w:r>
      <w:r w:rsidR="0059265E" w:rsidRPr="001C501B">
        <w:rPr>
          <w:rFonts w:ascii="Tahoma" w:hAnsi="Tahoma" w:cs="Tahoma"/>
          <w:color w:val="000000"/>
          <w:sz w:val="24"/>
          <w:szCs w:val="24"/>
          <w:shd w:val="clear" w:color="auto" w:fill="FFFFFF"/>
        </w:rPr>
        <w:t>21</w:t>
      </w:r>
      <w:r w:rsidR="00D633F6" w:rsidRPr="001C501B">
        <w:rPr>
          <w:rFonts w:ascii="Tahoma" w:hAnsi="Tahoma" w:cs="Tahoma"/>
          <w:color w:val="000000"/>
          <w:sz w:val="24"/>
          <w:szCs w:val="24"/>
          <w:shd w:val="clear" w:color="auto" w:fill="FFFFFF"/>
        </w:rPr>
        <w:t>. Esto significa que transcurri</w:t>
      </w:r>
      <w:r w:rsidR="00067957" w:rsidRPr="001C501B">
        <w:rPr>
          <w:rFonts w:ascii="Tahoma" w:hAnsi="Tahoma" w:cs="Tahoma"/>
          <w:color w:val="000000"/>
          <w:sz w:val="24"/>
          <w:szCs w:val="24"/>
          <w:shd w:val="clear" w:color="auto" w:fill="FFFFFF"/>
        </w:rPr>
        <w:t>ó un mes</w:t>
      </w:r>
      <w:r w:rsidR="00D633F6" w:rsidRPr="001C501B">
        <w:rPr>
          <w:rFonts w:ascii="Tahoma" w:hAnsi="Tahoma" w:cs="Tahoma"/>
          <w:color w:val="000000"/>
          <w:sz w:val="24"/>
          <w:szCs w:val="24"/>
          <w:shd w:val="clear" w:color="auto" w:fill="FFFFFF"/>
        </w:rPr>
        <w:t xml:space="preserve"> para </w:t>
      </w:r>
      <w:r w:rsidR="005A43A5" w:rsidRPr="001C501B">
        <w:rPr>
          <w:rFonts w:ascii="Tahoma" w:hAnsi="Tahoma" w:cs="Tahoma"/>
          <w:color w:val="000000"/>
          <w:sz w:val="24"/>
          <w:szCs w:val="24"/>
          <w:shd w:val="clear" w:color="auto" w:fill="FFFFFF"/>
        </w:rPr>
        <w:t xml:space="preserve">cuando </w:t>
      </w:r>
      <w:r w:rsidR="00D633F6" w:rsidRPr="001C501B">
        <w:rPr>
          <w:rFonts w:ascii="Tahoma" w:hAnsi="Tahoma" w:cs="Tahoma"/>
          <w:color w:val="000000"/>
          <w:sz w:val="24"/>
          <w:szCs w:val="24"/>
          <w:shd w:val="clear" w:color="auto" w:fill="FFFFFF"/>
        </w:rPr>
        <w:t>el demandante acudi</w:t>
      </w:r>
      <w:r w:rsidR="005A43A5" w:rsidRPr="001C501B">
        <w:rPr>
          <w:rFonts w:ascii="Tahoma" w:hAnsi="Tahoma" w:cs="Tahoma"/>
          <w:color w:val="000000"/>
          <w:sz w:val="24"/>
          <w:szCs w:val="24"/>
          <w:shd w:val="clear" w:color="auto" w:fill="FFFFFF"/>
        </w:rPr>
        <w:t>ó</w:t>
      </w:r>
      <w:r w:rsidR="00D633F6" w:rsidRPr="001C501B">
        <w:rPr>
          <w:rFonts w:ascii="Tahoma" w:hAnsi="Tahoma" w:cs="Tahoma"/>
          <w:color w:val="000000"/>
          <w:sz w:val="24"/>
          <w:szCs w:val="24"/>
          <w:shd w:val="clear" w:color="auto" w:fill="FFFFFF"/>
        </w:rPr>
        <w:t xml:space="preserve"> ante el juez constitucional, término que se </w:t>
      </w:r>
      <w:r w:rsidR="005A43A5" w:rsidRPr="001C501B">
        <w:rPr>
          <w:rFonts w:ascii="Tahoma" w:hAnsi="Tahoma" w:cs="Tahoma"/>
          <w:color w:val="000000"/>
          <w:sz w:val="24"/>
          <w:szCs w:val="24"/>
          <w:shd w:val="clear" w:color="auto" w:fill="FFFFFF"/>
        </w:rPr>
        <w:t xml:space="preserve">considera razonable. </w:t>
      </w:r>
    </w:p>
    <w:p w14:paraId="14E5AD5F" w14:textId="77777777" w:rsidR="00CA60DE" w:rsidRPr="001C501B" w:rsidRDefault="00CA60DE" w:rsidP="001C501B">
      <w:pPr>
        <w:spacing w:after="0" w:line="276" w:lineRule="auto"/>
        <w:ind w:firstLine="709"/>
        <w:jc w:val="both"/>
        <w:rPr>
          <w:rFonts w:ascii="Tahoma" w:hAnsi="Tahoma" w:cs="Tahoma"/>
          <w:sz w:val="24"/>
          <w:szCs w:val="24"/>
        </w:rPr>
      </w:pPr>
    </w:p>
    <w:p w14:paraId="3A0F24AE" w14:textId="77777777" w:rsidR="00123480" w:rsidRPr="001C501B" w:rsidRDefault="00CA60DE" w:rsidP="001C501B">
      <w:pPr>
        <w:spacing w:after="0" w:line="276" w:lineRule="auto"/>
        <w:ind w:firstLine="709"/>
        <w:jc w:val="both"/>
        <w:rPr>
          <w:rFonts w:ascii="Tahoma" w:hAnsi="Tahoma" w:cs="Tahoma"/>
          <w:color w:val="000000" w:themeColor="text1"/>
          <w:sz w:val="24"/>
          <w:szCs w:val="24"/>
          <w:shd w:val="clear" w:color="auto" w:fill="FFFFFF"/>
        </w:rPr>
      </w:pPr>
      <w:r w:rsidRPr="001C501B">
        <w:rPr>
          <w:rFonts w:ascii="Tahoma" w:hAnsi="Tahoma" w:cs="Tahoma"/>
          <w:b/>
          <w:bCs/>
          <w:sz w:val="24"/>
          <w:szCs w:val="24"/>
        </w:rPr>
        <w:t xml:space="preserve"> 5.2.</w:t>
      </w:r>
      <w:r w:rsidR="007414B0" w:rsidRPr="001C501B">
        <w:rPr>
          <w:rFonts w:ascii="Tahoma" w:hAnsi="Tahoma" w:cs="Tahoma"/>
          <w:b/>
          <w:bCs/>
          <w:sz w:val="24"/>
          <w:szCs w:val="24"/>
        </w:rPr>
        <w:t>2</w:t>
      </w:r>
      <w:r w:rsidRPr="001C501B">
        <w:rPr>
          <w:rFonts w:ascii="Tahoma" w:hAnsi="Tahoma" w:cs="Tahoma"/>
          <w:b/>
          <w:bCs/>
          <w:sz w:val="24"/>
          <w:szCs w:val="24"/>
        </w:rPr>
        <w:t>. Subsidiariedad</w:t>
      </w:r>
      <w:r w:rsidRPr="001C501B">
        <w:rPr>
          <w:rFonts w:ascii="Tahoma" w:hAnsi="Tahoma" w:cs="Tahoma"/>
          <w:sz w:val="24"/>
          <w:szCs w:val="24"/>
        </w:rPr>
        <w:t xml:space="preserve">. Sobre el </w:t>
      </w:r>
      <w:r w:rsidR="00CF4E39" w:rsidRPr="001C501B">
        <w:rPr>
          <w:rFonts w:ascii="Tahoma" w:hAnsi="Tahoma" w:cs="Tahoma"/>
          <w:sz w:val="24"/>
          <w:szCs w:val="24"/>
        </w:rPr>
        <w:t>tema en cuestión</w:t>
      </w:r>
      <w:r w:rsidRPr="001C501B">
        <w:rPr>
          <w:rFonts w:ascii="Tahoma" w:hAnsi="Tahoma" w:cs="Tahoma"/>
          <w:sz w:val="24"/>
          <w:szCs w:val="24"/>
        </w:rPr>
        <w:t xml:space="preserve">, </w:t>
      </w:r>
      <w:bookmarkStart w:id="3" w:name="_Hlk101965786"/>
      <w:r w:rsidRPr="001C501B">
        <w:rPr>
          <w:rFonts w:ascii="Tahoma" w:hAnsi="Tahoma" w:cs="Tahoma"/>
          <w:sz w:val="24"/>
          <w:szCs w:val="24"/>
        </w:rPr>
        <w:t xml:space="preserve">la Corte Constitucional en </w:t>
      </w:r>
      <w:r w:rsidR="00A92322" w:rsidRPr="001C501B">
        <w:rPr>
          <w:rFonts w:ascii="Tahoma" w:hAnsi="Tahoma" w:cs="Tahoma"/>
          <w:sz w:val="24"/>
          <w:szCs w:val="24"/>
        </w:rPr>
        <w:t xml:space="preserve">varias </w:t>
      </w:r>
      <w:r w:rsidRPr="001C501B">
        <w:rPr>
          <w:rFonts w:ascii="Tahoma" w:hAnsi="Tahoma" w:cs="Tahoma"/>
          <w:sz w:val="24"/>
          <w:szCs w:val="24"/>
        </w:rPr>
        <w:t>sentencia</w:t>
      </w:r>
      <w:r w:rsidR="00A92322" w:rsidRPr="001C501B">
        <w:rPr>
          <w:rFonts w:ascii="Tahoma" w:hAnsi="Tahoma" w:cs="Tahoma"/>
          <w:sz w:val="24"/>
          <w:szCs w:val="24"/>
        </w:rPr>
        <w:t xml:space="preserve">s, entre ellas la </w:t>
      </w:r>
      <w:r w:rsidR="00725BBA" w:rsidRPr="001C501B">
        <w:rPr>
          <w:rFonts w:ascii="Tahoma" w:hAnsi="Tahoma" w:cs="Tahoma"/>
          <w:sz w:val="24"/>
          <w:szCs w:val="24"/>
        </w:rPr>
        <w:t>T-</w:t>
      </w:r>
      <w:r w:rsidR="00FA6C41" w:rsidRPr="001C501B">
        <w:rPr>
          <w:rFonts w:ascii="Tahoma" w:hAnsi="Tahoma" w:cs="Tahoma"/>
          <w:sz w:val="24"/>
          <w:szCs w:val="24"/>
        </w:rPr>
        <w:t>26</w:t>
      </w:r>
      <w:r w:rsidR="00CF4E39" w:rsidRPr="001C501B">
        <w:rPr>
          <w:rFonts w:ascii="Tahoma" w:hAnsi="Tahoma" w:cs="Tahoma"/>
          <w:sz w:val="24"/>
          <w:szCs w:val="24"/>
        </w:rPr>
        <w:t>5/</w:t>
      </w:r>
      <w:r w:rsidR="00FA6C41" w:rsidRPr="001C501B">
        <w:rPr>
          <w:rFonts w:ascii="Tahoma" w:hAnsi="Tahoma" w:cs="Tahoma"/>
          <w:sz w:val="24"/>
          <w:szCs w:val="24"/>
        </w:rPr>
        <w:t>18</w:t>
      </w:r>
      <w:r w:rsidR="00725BBA" w:rsidRPr="001C501B">
        <w:rPr>
          <w:rFonts w:ascii="Tahoma" w:hAnsi="Tahoma" w:cs="Tahoma"/>
          <w:sz w:val="24"/>
          <w:szCs w:val="24"/>
        </w:rPr>
        <w:t>,</w:t>
      </w:r>
      <w:r w:rsidR="00A92322" w:rsidRPr="001C501B">
        <w:rPr>
          <w:rFonts w:ascii="Tahoma" w:hAnsi="Tahoma" w:cs="Tahoma"/>
          <w:sz w:val="24"/>
          <w:szCs w:val="24"/>
        </w:rPr>
        <w:t xml:space="preserve"> ha reiterado el análisis que se debe hacer </w:t>
      </w:r>
      <w:r w:rsidR="00AB521C" w:rsidRPr="001C501B">
        <w:rPr>
          <w:rFonts w:ascii="Tahoma" w:hAnsi="Tahoma" w:cs="Tahoma"/>
          <w:sz w:val="24"/>
          <w:szCs w:val="24"/>
        </w:rPr>
        <w:t xml:space="preserve">respecto </w:t>
      </w:r>
      <w:r w:rsidR="00F14767" w:rsidRPr="001C501B">
        <w:rPr>
          <w:rFonts w:ascii="Tahoma" w:hAnsi="Tahoma" w:cs="Tahoma"/>
          <w:sz w:val="24"/>
          <w:szCs w:val="24"/>
        </w:rPr>
        <w:t>al principio de subsidiariedad</w:t>
      </w:r>
      <w:r w:rsidR="00725BBA" w:rsidRPr="001C501B">
        <w:rPr>
          <w:rFonts w:ascii="Tahoma" w:hAnsi="Tahoma" w:cs="Tahoma"/>
          <w:sz w:val="24"/>
          <w:szCs w:val="24"/>
        </w:rPr>
        <w:t xml:space="preserve"> cuando se reclama el pago</w:t>
      </w:r>
      <w:r w:rsidR="00CF4E39" w:rsidRPr="001C501B">
        <w:rPr>
          <w:rFonts w:ascii="Tahoma" w:hAnsi="Tahoma" w:cs="Tahoma"/>
          <w:sz w:val="24"/>
          <w:szCs w:val="24"/>
        </w:rPr>
        <w:t xml:space="preserve"> y reconocimiento de pensiones</w:t>
      </w:r>
      <w:bookmarkEnd w:id="3"/>
      <w:r w:rsidR="00AB521C" w:rsidRPr="001C501B">
        <w:rPr>
          <w:rFonts w:ascii="Tahoma" w:hAnsi="Tahoma" w:cs="Tahoma"/>
          <w:sz w:val="24"/>
          <w:szCs w:val="24"/>
        </w:rPr>
        <w:t>, a</w:t>
      </w:r>
      <w:r w:rsidR="00A92322" w:rsidRPr="001C501B">
        <w:rPr>
          <w:rFonts w:ascii="Tahoma" w:hAnsi="Tahoma" w:cs="Tahoma"/>
          <w:color w:val="2D2D2D"/>
          <w:sz w:val="24"/>
          <w:szCs w:val="24"/>
          <w:shd w:val="clear" w:color="auto" w:fill="FFFFFF"/>
        </w:rPr>
        <w:t>sí</w:t>
      </w:r>
      <w:r w:rsidR="00F14767" w:rsidRPr="001C501B">
        <w:rPr>
          <w:rFonts w:ascii="Tahoma" w:hAnsi="Tahoma" w:cs="Tahoma"/>
          <w:color w:val="2D2D2D"/>
          <w:sz w:val="24"/>
          <w:szCs w:val="24"/>
          <w:shd w:val="clear" w:color="auto" w:fill="FFFFFF"/>
        </w:rPr>
        <w:t>:</w:t>
      </w:r>
      <w:r w:rsidR="00CF4E39" w:rsidRPr="001C501B">
        <w:rPr>
          <w:rFonts w:ascii="Tahoma" w:hAnsi="Tahoma" w:cs="Tahoma"/>
          <w:color w:val="2D2D2D"/>
          <w:sz w:val="24"/>
          <w:szCs w:val="24"/>
          <w:shd w:val="clear" w:color="auto" w:fill="FFFFFF"/>
        </w:rPr>
        <w:t xml:space="preserve"> </w:t>
      </w:r>
      <w:r w:rsidR="00FA6C41" w:rsidRPr="001C501B">
        <w:rPr>
          <w:rFonts w:ascii="Tahoma" w:hAnsi="Tahoma" w:cs="Tahoma"/>
          <w:i/>
          <w:iCs/>
          <w:color w:val="000000" w:themeColor="text1"/>
          <w:sz w:val="24"/>
          <w:szCs w:val="24"/>
          <w:shd w:val="clear" w:color="auto" w:fill="FFFFFF"/>
        </w:rPr>
        <w:t>“</w:t>
      </w:r>
      <w:r w:rsidR="00FA6C41" w:rsidRPr="0082290D">
        <w:rPr>
          <w:rFonts w:ascii="Tahoma" w:hAnsi="Tahoma" w:cs="Tahoma"/>
          <w:i/>
          <w:iCs/>
          <w:color w:val="000000" w:themeColor="text1"/>
          <w:szCs w:val="24"/>
          <w:shd w:val="clear" w:color="auto" w:fill="FFFFFF"/>
        </w:rPr>
        <w:t>En este orden de ideas, la acción de tutela, en principio, es improcedente para lograr el reconocimiento y pago de pensiones, salvo que se presente alguna de las siguientes condiciones:(i) que la negativa al reconocimiento de la pensión se origine en actos que, en razón a su contradicción con preceptos superiores, puedan desvirtuar la presunción de legalidad; y (ii) que la negativa de reconocimiento pensional vulnere o amenace un derecho fundamental</w:t>
      </w:r>
      <w:r w:rsidR="00FA6C41" w:rsidRPr="001C501B">
        <w:rPr>
          <w:rFonts w:ascii="Tahoma" w:hAnsi="Tahoma" w:cs="Tahoma"/>
          <w:i/>
          <w:iCs/>
          <w:color w:val="000000" w:themeColor="text1"/>
          <w:sz w:val="24"/>
          <w:szCs w:val="24"/>
          <w:shd w:val="clear" w:color="auto" w:fill="FFFFFF"/>
        </w:rPr>
        <w:t>.”</w:t>
      </w:r>
      <w:r w:rsidR="00FA6C41" w:rsidRPr="001C501B">
        <w:rPr>
          <w:rFonts w:ascii="Tahoma" w:hAnsi="Tahoma" w:cs="Tahoma"/>
          <w:color w:val="000000" w:themeColor="text1"/>
          <w:sz w:val="24"/>
          <w:szCs w:val="24"/>
          <w:shd w:val="clear" w:color="auto" w:fill="FFFFFF"/>
        </w:rPr>
        <w:t xml:space="preserve"> </w:t>
      </w:r>
      <w:r w:rsidR="00036E5C" w:rsidRPr="001C501B">
        <w:rPr>
          <w:rFonts w:ascii="Tahoma" w:hAnsi="Tahoma" w:cs="Tahoma"/>
          <w:color w:val="000000" w:themeColor="text1"/>
          <w:sz w:val="24"/>
          <w:szCs w:val="24"/>
          <w:shd w:val="clear" w:color="auto" w:fill="FFFFFF"/>
        </w:rPr>
        <w:t xml:space="preserve"> </w:t>
      </w:r>
    </w:p>
    <w:p w14:paraId="5E5F66D3" w14:textId="77777777" w:rsidR="00123480" w:rsidRPr="001C501B" w:rsidRDefault="00123480" w:rsidP="001C501B">
      <w:pPr>
        <w:spacing w:after="0" w:line="276" w:lineRule="auto"/>
        <w:ind w:firstLine="709"/>
        <w:jc w:val="both"/>
        <w:rPr>
          <w:rFonts w:ascii="Tahoma" w:hAnsi="Tahoma" w:cs="Tahoma"/>
          <w:color w:val="000000" w:themeColor="text1"/>
          <w:sz w:val="24"/>
          <w:szCs w:val="24"/>
          <w:shd w:val="clear" w:color="auto" w:fill="FFFFFF"/>
        </w:rPr>
      </w:pPr>
    </w:p>
    <w:p w14:paraId="01DE821B" w14:textId="141CAB69" w:rsidR="00AC72C0" w:rsidRPr="001C501B" w:rsidRDefault="003A56D2" w:rsidP="001C501B">
      <w:pPr>
        <w:spacing w:after="0" w:line="276" w:lineRule="auto"/>
        <w:ind w:firstLine="709"/>
        <w:jc w:val="both"/>
        <w:rPr>
          <w:rFonts w:ascii="Tahoma" w:hAnsi="Tahoma" w:cs="Tahoma"/>
          <w:sz w:val="24"/>
          <w:szCs w:val="24"/>
          <w:shd w:val="clear" w:color="auto" w:fill="FFFFFF"/>
        </w:rPr>
      </w:pPr>
      <w:bookmarkStart w:id="4" w:name="_Hlk101965812"/>
      <w:r w:rsidRPr="001C501B">
        <w:rPr>
          <w:rFonts w:ascii="Tahoma" w:hAnsi="Tahoma" w:cs="Tahoma"/>
          <w:sz w:val="24"/>
          <w:szCs w:val="24"/>
          <w:shd w:val="clear" w:color="auto" w:fill="FFFFFF"/>
        </w:rPr>
        <w:t>En el presente asunto,</w:t>
      </w:r>
      <w:r w:rsidR="00FA6C41" w:rsidRPr="001C501B">
        <w:rPr>
          <w:rFonts w:ascii="Tahoma" w:hAnsi="Tahoma" w:cs="Tahoma"/>
          <w:sz w:val="24"/>
          <w:szCs w:val="24"/>
          <w:shd w:val="clear" w:color="auto" w:fill="FFFFFF"/>
        </w:rPr>
        <w:t xml:space="preserve"> </w:t>
      </w:r>
      <w:r w:rsidRPr="001C501B">
        <w:rPr>
          <w:rFonts w:ascii="Tahoma" w:hAnsi="Tahoma" w:cs="Tahoma"/>
          <w:sz w:val="24"/>
          <w:szCs w:val="24"/>
          <w:shd w:val="clear" w:color="auto" w:fill="FFFFFF"/>
        </w:rPr>
        <w:t>debe</w:t>
      </w:r>
      <w:r w:rsidR="005B4860" w:rsidRPr="001C501B">
        <w:rPr>
          <w:rFonts w:ascii="Tahoma" w:hAnsi="Tahoma" w:cs="Tahoma"/>
          <w:sz w:val="24"/>
          <w:szCs w:val="24"/>
          <w:shd w:val="clear" w:color="auto" w:fill="FFFFFF"/>
        </w:rPr>
        <w:t xml:space="preserve"> demarcarse </w:t>
      </w:r>
      <w:r w:rsidRPr="001C501B">
        <w:rPr>
          <w:rFonts w:ascii="Tahoma" w:hAnsi="Tahoma" w:cs="Tahoma"/>
          <w:sz w:val="24"/>
          <w:szCs w:val="24"/>
          <w:shd w:val="clear" w:color="auto" w:fill="FFFFFF"/>
        </w:rPr>
        <w:t>que</w:t>
      </w:r>
      <w:r w:rsidR="005B4860" w:rsidRPr="001C501B">
        <w:rPr>
          <w:rFonts w:ascii="Tahoma" w:hAnsi="Tahoma" w:cs="Tahoma"/>
          <w:sz w:val="24"/>
          <w:szCs w:val="24"/>
          <w:shd w:val="clear" w:color="auto" w:fill="FFFFFF"/>
        </w:rPr>
        <w:t xml:space="preserve"> la acción de tutela</w:t>
      </w:r>
      <w:r w:rsidRPr="001C501B">
        <w:rPr>
          <w:rFonts w:ascii="Tahoma" w:hAnsi="Tahoma" w:cs="Tahoma"/>
          <w:sz w:val="24"/>
          <w:szCs w:val="24"/>
          <w:shd w:val="clear" w:color="auto" w:fill="FFFFFF"/>
        </w:rPr>
        <w:t xml:space="preserve"> resulta procedente a fin de amparar los derechos fundamentales en titularidad del accionante, quien no sólo se encuentra en estado de invalidez con una pérdida de su capacidad laboral superior al 50%, sino que</w:t>
      </w:r>
      <w:r w:rsidR="00036E5C" w:rsidRPr="001C501B">
        <w:rPr>
          <w:rFonts w:ascii="Tahoma" w:hAnsi="Tahoma" w:cs="Tahoma"/>
          <w:sz w:val="24"/>
          <w:szCs w:val="24"/>
          <w:shd w:val="clear" w:color="auto" w:fill="FFFFFF"/>
        </w:rPr>
        <w:t xml:space="preserve"> también</w:t>
      </w:r>
      <w:r w:rsidRPr="001C501B">
        <w:rPr>
          <w:rFonts w:ascii="Tahoma" w:hAnsi="Tahoma" w:cs="Tahoma"/>
          <w:sz w:val="24"/>
          <w:szCs w:val="24"/>
          <w:shd w:val="clear" w:color="auto" w:fill="FFFFFF"/>
        </w:rPr>
        <w:t xml:space="preserve"> tiene comprometido su mínimo vital, </w:t>
      </w:r>
      <w:r w:rsidR="005B4860" w:rsidRPr="001C501B">
        <w:rPr>
          <w:rFonts w:ascii="Tahoma" w:hAnsi="Tahoma" w:cs="Tahoma"/>
          <w:sz w:val="24"/>
          <w:szCs w:val="24"/>
          <w:shd w:val="clear" w:color="auto" w:fill="FFFFFF"/>
        </w:rPr>
        <w:t>de modo que</w:t>
      </w:r>
      <w:r w:rsidRPr="001C501B">
        <w:rPr>
          <w:rFonts w:ascii="Tahoma" w:hAnsi="Tahoma" w:cs="Tahoma"/>
          <w:sz w:val="24"/>
          <w:szCs w:val="24"/>
          <w:shd w:val="clear" w:color="auto" w:fill="FFFFFF"/>
        </w:rPr>
        <w:t>, al</w:t>
      </w:r>
      <w:r w:rsidR="00036E5C" w:rsidRPr="001C501B">
        <w:rPr>
          <w:rFonts w:ascii="Tahoma" w:hAnsi="Tahoma" w:cs="Tahoma"/>
          <w:sz w:val="24"/>
          <w:szCs w:val="24"/>
          <w:shd w:val="clear" w:color="auto" w:fill="FFFFFF"/>
        </w:rPr>
        <w:t xml:space="preserve"> encontrarse </w:t>
      </w:r>
      <w:r w:rsidRPr="001C501B">
        <w:rPr>
          <w:rFonts w:ascii="Tahoma" w:hAnsi="Tahoma" w:cs="Tahoma"/>
          <w:sz w:val="24"/>
          <w:szCs w:val="24"/>
          <w:shd w:val="clear" w:color="auto" w:fill="FFFFFF"/>
        </w:rPr>
        <w:t>un dictamen de pérdida de la capacidad laboral en firme</w:t>
      </w:r>
      <w:r w:rsidR="005A43A5" w:rsidRPr="001C501B">
        <w:rPr>
          <w:rFonts w:ascii="Tahoma" w:hAnsi="Tahoma" w:cs="Tahoma"/>
          <w:sz w:val="24"/>
          <w:szCs w:val="24"/>
          <w:shd w:val="clear" w:color="auto" w:fill="FFFFFF"/>
        </w:rPr>
        <w:t>, aún</w:t>
      </w:r>
      <w:r w:rsidR="005B4860" w:rsidRPr="001C501B">
        <w:rPr>
          <w:rFonts w:ascii="Tahoma" w:hAnsi="Tahoma" w:cs="Tahoma"/>
          <w:sz w:val="24"/>
          <w:szCs w:val="24"/>
          <w:shd w:val="clear" w:color="auto" w:fill="FFFFFF"/>
        </w:rPr>
        <w:t xml:space="preserve"> no </w:t>
      </w:r>
      <w:r w:rsidRPr="001C501B">
        <w:rPr>
          <w:rFonts w:ascii="Tahoma" w:hAnsi="Tahoma" w:cs="Tahoma"/>
          <w:sz w:val="24"/>
          <w:szCs w:val="24"/>
          <w:shd w:val="clear" w:color="auto" w:fill="FFFFFF"/>
        </w:rPr>
        <w:t xml:space="preserve">se le ha resuelto </w:t>
      </w:r>
      <w:r w:rsidR="005B4860" w:rsidRPr="001C501B">
        <w:rPr>
          <w:rFonts w:ascii="Tahoma" w:hAnsi="Tahoma" w:cs="Tahoma"/>
          <w:sz w:val="24"/>
          <w:szCs w:val="24"/>
          <w:shd w:val="clear" w:color="auto" w:fill="FFFFFF"/>
        </w:rPr>
        <w:t>de manera</w:t>
      </w:r>
      <w:r w:rsidRPr="001C501B">
        <w:rPr>
          <w:rFonts w:ascii="Tahoma" w:hAnsi="Tahoma" w:cs="Tahoma"/>
          <w:sz w:val="24"/>
          <w:szCs w:val="24"/>
          <w:shd w:val="clear" w:color="auto" w:fill="FFFFFF"/>
        </w:rPr>
        <w:t xml:space="preserve"> positiva su</w:t>
      </w:r>
      <w:r w:rsidR="00036E5C" w:rsidRPr="001C501B">
        <w:rPr>
          <w:rFonts w:ascii="Tahoma" w:hAnsi="Tahoma" w:cs="Tahoma"/>
          <w:sz w:val="24"/>
          <w:szCs w:val="24"/>
          <w:shd w:val="clear" w:color="auto" w:fill="FFFFFF"/>
        </w:rPr>
        <w:t xml:space="preserve"> solicitud</w:t>
      </w:r>
      <w:r w:rsidRPr="001C501B">
        <w:rPr>
          <w:rFonts w:ascii="Tahoma" w:hAnsi="Tahoma" w:cs="Tahoma"/>
          <w:sz w:val="24"/>
          <w:szCs w:val="24"/>
          <w:shd w:val="clear" w:color="auto" w:fill="FFFFFF"/>
        </w:rPr>
        <w:t xml:space="preserve"> pensional</w:t>
      </w:r>
      <w:bookmarkEnd w:id="4"/>
      <w:r w:rsidRPr="001C501B">
        <w:rPr>
          <w:rFonts w:ascii="Tahoma" w:hAnsi="Tahoma" w:cs="Tahoma"/>
          <w:sz w:val="24"/>
          <w:szCs w:val="24"/>
          <w:shd w:val="clear" w:color="auto" w:fill="FFFFFF"/>
        </w:rPr>
        <w:t>.</w:t>
      </w:r>
      <w:r w:rsidR="005B4860" w:rsidRPr="001C501B">
        <w:rPr>
          <w:rFonts w:ascii="Tahoma" w:hAnsi="Tahoma" w:cs="Tahoma"/>
          <w:sz w:val="24"/>
          <w:szCs w:val="24"/>
          <w:shd w:val="clear" w:color="auto" w:fill="FFFFFF"/>
        </w:rPr>
        <w:t xml:space="preserve"> Al mismo tiempo</w:t>
      </w:r>
      <w:r w:rsidRPr="001C501B">
        <w:rPr>
          <w:rFonts w:ascii="Tahoma" w:hAnsi="Tahoma" w:cs="Tahoma"/>
          <w:sz w:val="24"/>
          <w:szCs w:val="24"/>
          <w:shd w:val="clear" w:color="auto" w:fill="FFFFFF"/>
        </w:rPr>
        <w:t>,</w:t>
      </w:r>
      <w:r w:rsidR="00036E5C" w:rsidRPr="001C501B">
        <w:rPr>
          <w:rFonts w:ascii="Tahoma" w:hAnsi="Tahoma" w:cs="Tahoma"/>
          <w:sz w:val="24"/>
          <w:szCs w:val="24"/>
          <w:shd w:val="clear" w:color="auto" w:fill="FFFFFF"/>
        </w:rPr>
        <w:t xml:space="preserve"> </w:t>
      </w:r>
      <w:r w:rsidRPr="001C501B">
        <w:rPr>
          <w:rFonts w:ascii="Tahoma" w:hAnsi="Tahoma" w:cs="Tahoma"/>
          <w:sz w:val="24"/>
          <w:szCs w:val="24"/>
          <w:shd w:val="clear" w:color="auto" w:fill="FFFFFF"/>
        </w:rPr>
        <w:t>el accionant</w:t>
      </w:r>
      <w:r w:rsidR="005B4860" w:rsidRPr="001C501B">
        <w:rPr>
          <w:rFonts w:ascii="Tahoma" w:hAnsi="Tahoma" w:cs="Tahoma"/>
          <w:sz w:val="24"/>
          <w:szCs w:val="24"/>
          <w:shd w:val="clear" w:color="auto" w:fill="FFFFFF"/>
        </w:rPr>
        <w:t xml:space="preserve">e </w:t>
      </w:r>
      <w:r w:rsidRPr="001C501B">
        <w:rPr>
          <w:rFonts w:ascii="Tahoma" w:hAnsi="Tahoma" w:cs="Tahoma"/>
          <w:sz w:val="24"/>
          <w:szCs w:val="24"/>
          <w:shd w:val="clear" w:color="auto" w:fill="FFFFFF"/>
        </w:rPr>
        <w:t>debe velar por su subsistencia, por lo que la falta de ingresos económicos y su incapacidad para continuar laborando ponen en riesgo inminente sus derechos fundamentales.</w:t>
      </w:r>
    </w:p>
    <w:p w14:paraId="5A2A6FF6" w14:textId="77777777" w:rsidR="00D72397" w:rsidRPr="001C501B" w:rsidRDefault="00D72397" w:rsidP="001C501B">
      <w:pPr>
        <w:spacing w:after="0" w:line="276" w:lineRule="auto"/>
        <w:ind w:firstLine="709"/>
        <w:jc w:val="both"/>
        <w:rPr>
          <w:rFonts w:ascii="Tahoma" w:hAnsi="Tahoma" w:cs="Tahoma"/>
          <w:sz w:val="24"/>
          <w:szCs w:val="24"/>
          <w:shd w:val="clear" w:color="auto" w:fill="FFFFFF"/>
        </w:rPr>
      </w:pPr>
    </w:p>
    <w:p w14:paraId="2AE8AA1F" w14:textId="5EB5F7F7" w:rsidR="0000669F" w:rsidRDefault="002C51EF" w:rsidP="001C501B">
      <w:pPr>
        <w:spacing w:after="0" w:line="276" w:lineRule="auto"/>
        <w:ind w:firstLine="709"/>
        <w:jc w:val="both"/>
        <w:rPr>
          <w:rFonts w:ascii="Tahoma" w:hAnsi="Tahoma" w:cs="Tahoma"/>
          <w:sz w:val="24"/>
          <w:szCs w:val="24"/>
          <w:shd w:val="clear" w:color="auto" w:fill="FFFFFF"/>
        </w:rPr>
      </w:pPr>
      <w:r w:rsidRPr="001C501B">
        <w:rPr>
          <w:rFonts w:ascii="Tahoma" w:hAnsi="Tahoma" w:cs="Tahoma"/>
          <w:sz w:val="24"/>
          <w:szCs w:val="24"/>
          <w:shd w:val="clear" w:color="auto" w:fill="FFFFFF"/>
        </w:rPr>
        <w:t>Igualmente,</w:t>
      </w:r>
      <w:r w:rsidR="00D72397" w:rsidRPr="001C501B">
        <w:rPr>
          <w:rFonts w:ascii="Tahoma" w:hAnsi="Tahoma" w:cs="Tahoma"/>
          <w:sz w:val="24"/>
          <w:szCs w:val="24"/>
          <w:shd w:val="clear" w:color="auto" w:fill="FFFFFF"/>
        </w:rPr>
        <w:t xml:space="preserve"> es </w:t>
      </w:r>
      <w:r w:rsidR="0020441A" w:rsidRPr="001C501B">
        <w:rPr>
          <w:rFonts w:ascii="Tahoma" w:hAnsi="Tahoma" w:cs="Tahoma"/>
          <w:sz w:val="24"/>
          <w:szCs w:val="24"/>
          <w:shd w:val="clear" w:color="auto" w:fill="FFFFFF"/>
        </w:rPr>
        <w:t>necesario recalcar que l</w:t>
      </w:r>
      <w:r w:rsidRPr="001C501B">
        <w:rPr>
          <w:rFonts w:ascii="Tahoma" w:hAnsi="Tahoma" w:cs="Tahoma"/>
          <w:sz w:val="24"/>
          <w:szCs w:val="24"/>
          <w:shd w:val="clear" w:color="auto" w:fill="FFFFFF"/>
        </w:rPr>
        <w:t xml:space="preserve">a Corte </w:t>
      </w:r>
      <w:r w:rsidR="004A38F3" w:rsidRPr="001C501B">
        <w:rPr>
          <w:rFonts w:ascii="Tahoma" w:hAnsi="Tahoma" w:cs="Tahoma"/>
          <w:sz w:val="24"/>
          <w:szCs w:val="24"/>
          <w:shd w:val="clear" w:color="auto" w:fill="FFFFFF"/>
        </w:rPr>
        <w:t xml:space="preserve">Constitucional </w:t>
      </w:r>
      <w:r w:rsidRPr="001C501B">
        <w:rPr>
          <w:rFonts w:ascii="Tahoma" w:hAnsi="Tahoma" w:cs="Tahoma"/>
          <w:sz w:val="24"/>
          <w:szCs w:val="24"/>
          <w:shd w:val="clear" w:color="auto" w:fill="FFFFFF"/>
        </w:rPr>
        <w:t>en sentencia</w:t>
      </w:r>
      <w:r w:rsidR="0020441A" w:rsidRPr="001C501B">
        <w:rPr>
          <w:rFonts w:ascii="Tahoma" w:hAnsi="Tahoma" w:cs="Tahoma"/>
          <w:sz w:val="24"/>
          <w:szCs w:val="24"/>
          <w:shd w:val="clear" w:color="auto" w:fill="FFFFFF"/>
        </w:rPr>
        <w:t xml:space="preserve"> T</w:t>
      </w:r>
      <w:r w:rsidRPr="001C501B">
        <w:rPr>
          <w:rFonts w:ascii="Tahoma" w:hAnsi="Tahoma" w:cs="Tahoma"/>
          <w:sz w:val="24"/>
          <w:szCs w:val="24"/>
          <w:shd w:val="clear" w:color="auto" w:fill="FFFFFF"/>
        </w:rPr>
        <w:t>-503/2017</w:t>
      </w:r>
      <w:r w:rsidR="0020441A" w:rsidRPr="001C501B">
        <w:rPr>
          <w:rFonts w:ascii="Tahoma" w:hAnsi="Tahoma" w:cs="Tahoma"/>
          <w:sz w:val="24"/>
          <w:szCs w:val="24"/>
          <w:shd w:val="clear" w:color="auto" w:fill="FFFFFF"/>
        </w:rPr>
        <w:t xml:space="preserve"> ya había </w:t>
      </w:r>
      <w:r w:rsidR="004A38F3" w:rsidRPr="001C501B">
        <w:rPr>
          <w:rFonts w:ascii="Tahoma" w:hAnsi="Tahoma" w:cs="Tahoma"/>
          <w:sz w:val="24"/>
          <w:szCs w:val="24"/>
          <w:shd w:val="clear" w:color="auto" w:fill="FFFFFF"/>
        </w:rPr>
        <w:t>trazado las reglas jurisprudenciales para reconocer excepcionalmente la pensión de invalidez, a través de la acción de tutela, así:</w:t>
      </w:r>
    </w:p>
    <w:p w14:paraId="05F69F64" w14:textId="77777777" w:rsidR="0082290D" w:rsidRPr="001C501B" w:rsidRDefault="0082290D" w:rsidP="001C501B">
      <w:pPr>
        <w:spacing w:after="0" w:line="276" w:lineRule="auto"/>
        <w:ind w:firstLine="709"/>
        <w:jc w:val="both"/>
        <w:rPr>
          <w:rFonts w:ascii="Tahoma" w:hAnsi="Tahoma" w:cs="Tahoma"/>
          <w:sz w:val="24"/>
          <w:szCs w:val="24"/>
          <w:shd w:val="clear" w:color="auto" w:fill="FFFFFF"/>
        </w:rPr>
      </w:pPr>
    </w:p>
    <w:p w14:paraId="7DD2A180" w14:textId="2A3752F0" w:rsidR="00085B74" w:rsidRPr="0082290D" w:rsidRDefault="00085B74" w:rsidP="0082290D">
      <w:pPr>
        <w:spacing w:after="0" w:line="240" w:lineRule="auto"/>
        <w:ind w:left="426" w:right="420" w:firstLine="709"/>
        <w:jc w:val="both"/>
        <w:rPr>
          <w:rFonts w:ascii="Tahoma" w:hAnsi="Tahoma" w:cs="Tahoma"/>
          <w:i/>
          <w:iCs/>
          <w:szCs w:val="24"/>
        </w:rPr>
      </w:pPr>
      <w:r w:rsidRPr="0082290D">
        <w:rPr>
          <w:rFonts w:ascii="Tahoma" w:hAnsi="Tahoma" w:cs="Tahoma"/>
          <w:i/>
          <w:iCs/>
          <w:szCs w:val="24"/>
        </w:rPr>
        <w:t>“</w:t>
      </w:r>
      <w:r w:rsidR="00CE5780" w:rsidRPr="0082290D">
        <w:rPr>
          <w:rFonts w:ascii="Tahoma" w:hAnsi="Tahoma" w:cs="Tahoma"/>
          <w:i/>
          <w:iCs/>
          <w:szCs w:val="24"/>
        </w:rPr>
        <w:t>(i) por una parte, la calidad del sujeto que la reclama. Es claro que las circunstancias de vulnerabilidad y de debilidad manifiesta de una persona declarada inválida, hacen necesaria la inmediata protección del derecho a la pensión de invalidez, asegurando de esa manera la garantía y respeto de derechos fundamentales como la vida, la dignidad, la integridad física y el mínimo vital entre otros; (ii) En segundo lugar, porque la importancia de tal reconocimiento radica en el hecho de que en la gran mayoría de los casos, esta prestación se constituye en el único sustento económico con el que contaría la persona y su grupo familiar dependiente para sobrellevar  su existencia en condiciones más dignas y justas.”</w:t>
      </w:r>
    </w:p>
    <w:p w14:paraId="1D53569E" w14:textId="77777777" w:rsidR="005A43A5" w:rsidRPr="001C501B" w:rsidRDefault="005A43A5" w:rsidP="001C501B">
      <w:pPr>
        <w:spacing w:after="0" w:line="276" w:lineRule="auto"/>
        <w:ind w:firstLine="709"/>
        <w:jc w:val="both"/>
        <w:rPr>
          <w:rFonts w:ascii="Tahoma" w:hAnsi="Tahoma" w:cs="Tahoma"/>
          <w:color w:val="000000" w:themeColor="text1"/>
          <w:sz w:val="24"/>
          <w:szCs w:val="24"/>
          <w:shd w:val="clear" w:color="auto" w:fill="FFFFFF"/>
        </w:rPr>
      </w:pPr>
    </w:p>
    <w:p w14:paraId="7CCCBE52" w14:textId="01501694" w:rsidR="005A43A5" w:rsidRPr="001C501B" w:rsidRDefault="004A38F3" w:rsidP="001C501B">
      <w:pPr>
        <w:pStyle w:val="Prrafodelista"/>
        <w:numPr>
          <w:ilvl w:val="1"/>
          <w:numId w:val="5"/>
        </w:numPr>
        <w:spacing w:after="0" w:line="276" w:lineRule="auto"/>
        <w:ind w:left="0" w:firstLine="709"/>
        <w:jc w:val="both"/>
        <w:rPr>
          <w:rFonts w:ascii="Tahoma" w:hAnsi="Tahoma" w:cs="Tahoma"/>
          <w:sz w:val="24"/>
          <w:szCs w:val="24"/>
        </w:rPr>
      </w:pPr>
      <w:r w:rsidRPr="001C501B">
        <w:rPr>
          <w:rFonts w:ascii="Tahoma" w:hAnsi="Tahoma" w:cs="Tahoma"/>
          <w:b/>
          <w:bCs/>
          <w:sz w:val="24"/>
          <w:szCs w:val="24"/>
        </w:rPr>
        <w:t>Precedente jurisprudencial respecto a la entidad que debe reconocer la pensión de invalidez cuando el afiliado cambia de AFP</w:t>
      </w:r>
    </w:p>
    <w:p w14:paraId="787ED499" w14:textId="6490371A" w:rsidR="004A38F3" w:rsidRPr="001C501B" w:rsidRDefault="004A38F3" w:rsidP="001C501B">
      <w:pPr>
        <w:pStyle w:val="Prrafodelista"/>
        <w:spacing w:after="0" w:line="276" w:lineRule="auto"/>
        <w:ind w:left="709"/>
        <w:jc w:val="both"/>
        <w:rPr>
          <w:rFonts w:ascii="Tahoma" w:hAnsi="Tahoma" w:cs="Tahoma"/>
          <w:sz w:val="24"/>
          <w:szCs w:val="24"/>
        </w:rPr>
      </w:pPr>
    </w:p>
    <w:p w14:paraId="0B9EBF15" w14:textId="61A4B57D" w:rsidR="004A38F3" w:rsidRPr="001C501B" w:rsidRDefault="00BA7E20" w:rsidP="001C501B">
      <w:pPr>
        <w:spacing w:after="0" w:line="276" w:lineRule="auto"/>
        <w:ind w:firstLine="708"/>
        <w:jc w:val="both"/>
        <w:rPr>
          <w:rFonts w:ascii="Tahoma" w:hAnsi="Tahoma" w:cs="Tahoma"/>
          <w:sz w:val="24"/>
          <w:szCs w:val="24"/>
        </w:rPr>
      </w:pPr>
      <w:r w:rsidRPr="001C501B">
        <w:rPr>
          <w:rFonts w:ascii="Tahoma" w:hAnsi="Tahoma" w:cs="Tahoma"/>
          <w:sz w:val="24"/>
          <w:szCs w:val="24"/>
        </w:rPr>
        <w:t xml:space="preserve">Recordemos que, en el presente caso, el actor se encontraba afiliado a la AFP PORVENIR, pero después se trasladó a COLPENSIONES y estando en esta última entidad fue calificado con una pérdida de capacidad laboral (en adelante PCL) superior al 50% cuya fecha de estructuración se fijó para la época en que estuvo afiliado a PORVENIR. Este hecho, esto es, que la fecha de estructuración se fijó para la fecha en que se encontraba afiliado a PORVENIR, es la razón que esgrime COLPENSIONES </w:t>
      </w:r>
      <w:r w:rsidRPr="001C501B">
        <w:rPr>
          <w:rFonts w:ascii="Tahoma" w:hAnsi="Tahoma" w:cs="Tahoma"/>
          <w:sz w:val="24"/>
          <w:szCs w:val="24"/>
        </w:rPr>
        <w:lastRenderedPageBreak/>
        <w:t xml:space="preserve">para negarle el pago de la pensión de invalidez, aduciendo que su pago radica en cabeza de la AFP privada. </w:t>
      </w:r>
    </w:p>
    <w:p w14:paraId="5191DC74" w14:textId="7E0EE75E" w:rsidR="00BA7E20" w:rsidRPr="001C501B" w:rsidRDefault="00BA7E20" w:rsidP="001C501B">
      <w:pPr>
        <w:spacing w:after="0" w:line="276" w:lineRule="auto"/>
        <w:ind w:firstLine="708"/>
        <w:jc w:val="both"/>
        <w:rPr>
          <w:rFonts w:ascii="Tahoma" w:hAnsi="Tahoma" w:cs="Tahoma"/>
          <w:sz w:val="24"/>
          <w:szCs w:val="24"/>
        </w:rPr>
      </w:pPr>
    </w:p>
    <w:p w14:paraId="1CCEFAC2" w14:textId="210C0F1F" w:rsidR="00BA7E20" w:rsidRPr="001C501B" w:rsidRDefault="00BA7E20" w:rsidP="001C501B">
      <w:pPr>
        <w:spacing w:after="0" w:line="276" w:lineRule="auto"/>
        <w:jc w:val="both"/>
        <w:rPr>
          <w:rFonts w:ascii="Tahoma" w:hAnsi="Tahoma" w:cs="Tahoma"/>
          <w:b/>
          <w:sz w:val="24"/>
          <w:szCs w:val="24"/>
        </w:rPr>
      </w:pPr>
      <w:r w:rsidRPr="001C501B">
        <w:rPr>
          <w:rFonts w:ascii="Tahoma" w:hAnsi="Tahoma" w:cs="Tahoma"/>
          <w:b/>
          <w:sz w:val="24"/>
          <w:szCs w:val="24"/>
        </w:rPr>
        <w:tab/>
        <w:t>5.3.1. Precedente de la Corte Constitucional:</w:t>
      </w:r>
    </w:p>
    <w:p w14:paraId="07A84332" w14:textId="77777777" w:rsidR="00BA7E20" w:rsidRPr="001C501B" w:rsidRDefault="00BA7E20" w:rsidP="001C501B">
      <w:pPr>
        <w:spacing w:after="0" w:line="276" w:lineRule="auto"/>
        <w:jc w:val="both"/>
        <w:rPr>
          <w:rFonts w:ascii="Tahoma" w:hAnsi="Tahoma" w:cs="Tahoma"/>
          <w:b/>
          <w:sz w:val="24"/>
          <w:szCs w:val="24"/>
        </w:rPr>
      </w:pPr>
    </w:p>
    <w:p w14:paraId="68A61F47" w14:textId="659E1EC2" w:rsidR="009E7745" w:rsidRPr="001C501B" w:rsidRDefault="005A43A5" w:rsidP="001C501B">
      <w:pPr>
        <w:spacing w:after="0" w:line="276" w:lineRule="auto"/>
        <w:ind w:firstLine="709"/>
        <w:jc w:val="both"/>
        <w:rPr>
          <w:rFonts w:ascii="Tahoma" w:hAnsi="Tahoma" w:cs="Tahoma"/>
          <w:i/>
          <w:iCs/>
          <w:sz w:val="24"/>
          <w:szCs w:val="24"/>
        </w:rPr>
      </w:pPr>
      <w:r w:rsidRPr="001C501B">
        <w:rPr>
          <w:rFonts w:ascii="Tahoma" w:hAnsi="Tahoma" w:cs="Tahoma"/>
          <w:sz w:val="24"/>
          <w:szCs w:val="24"/>
        </w:rPr>
        <w:t xml:space="preserve">La Corte Constitucional, </w:t>
      </w:r>
      <w:r w:rsidR="00D77754" w:rsidRPr="001C501B">
        <w:rPr>
          <w:rFonts w:ascii="Tahoma" w:hAnsi="Tahoma" w:cs="Tahoma"/>
          <w:color w:val="171717"/>
          <w:sz w:val="24"/>
          <w:szCs w:val="24"/>
          <w:shd w:val="clear" w:color="auto" w:fill="FFFFFF"/>
        </w:rPr>
        <w:t>en un caso similar, en la sentencia de unificación SU-313/20 estableció las siguientes reglas</w:t>
      </w:r>
      <w:r w:rsidR="00BA7E20" w:rsidRPr="001C501B">
        <w:rPr>
          <w:rFonts w:ascii="Tahoma" w:hAnsi="Tahoma" w:cs="Tahoma"/>
          <w:color w:val="171717"/>
          <w:sz w:val="24"/>
          <w:szCs w:val="24"/>
          <w:shd w:val="clear" w:color="auto" w:fill="FFFFFF"/>
        </w:rPr>
        <w:t xml:space="preserve"> jurisprudenciales</w:t>
      </w:r>
      <w:r w:rsidR="00D77754" w:rsidRPr="001C501B">
        <w:rPr>
          <w:rFonts w:ascii="Tahoma" w:hAnsi="Tahoma" w:cs="Tahoma"/>
          <w:color w:val="171717"/>
          <w:sz w:val="24"/>
          <w:szCs w:val="24"/>
          <w:shd w:val="clear" w:color="auto" w:fill="FFFFFF"/>
        </w:rPr>
        <w:t xml:space="preserve">: </w:t>
      </w:r>
      <w:r w:rsidR="009E7745" w:rsidRPr="001C501B">
        <w:rPr>
          <w:rFonts w:ascii="Tahoma" w:hAnsi="Tahoma" w:cs="Tahoma"/>
          <w:i/>
          <w:iCs/>
          <w:color w:val="171717"/>
          <w:sz w:val="24"/>
          <w:szCs w:val="24"/>
          <w:shd w:val="clear" w:color="auto" w:fill="FFFFFF"/>
        </w:rPr>
        <w:t>“</w:t>
      </w:r>
      <w:r w:rsidR="009E7745" w:rsidRPr="0082290D">
        <w:rPr>
          <w:rFonts w:ascii="Tahoma" w:hAnsi="Tahoma" w:cs="Tahoma"/>
          <w:i/>
          <w:iCs/>
          <w:szCs w:val="24"/>
        </w:rPr>
        <w:t>En efecto, (i) si la invalidez se estructuró en el RAIS, la AFP que corresponda pagará la prestación y hará efectivo el contrato que suscribió con la aseguradora para que aquella responda por la suma adicional. Los aportes realizados en favor del RPM, con posterioridad al siniestro, serían devueltos en ese caso para que sirvan, eventualmente, para el pago de una pensión de vejez en el fondo privado –si se dan las condiciones–. (ii) Por su parte, si la invalidez se estructuró en el RPM, Colpensiones pagará la prestación y las cotizaciones que la persona hubiere efectuado con posterioridad a esa fecha, en el RAIS, simplemente serían trasladadas para que la persona adquiera una pensión de vejez en el fondo público –si hay lugar–</w:t>
      </w:r>
      <w:r w:rsidR="009E7745" w:rsidRPr="001C501B">
        <w:rPr>
          <w:rFonts w:ascii="Tahoma" w:hAnsi="Tahoma" w:cs="Tahoma"/>
          <w:i/>
          <w:iCs/>
          <w:color w:val="171717"/>
          <w:sz w:val="24"/>
          <w:szCs w:val="24"/>
          <w:shd w:val="clear" w:color="auto" w:fill="FFFFFF"/>
        </w:rPr>
        <w:t>.”</w:t>
      </w:r>
    </w:p>
    <w:p w14:paraId="1B6AFB10" w14:textId="77777777" w:rsidR="00EF5945" w:rsidRPr="001C501B" w:rsidRDefault="00EF5945" w:rsidP="001C501B">
      <w:pPr>
        <w:spacing w:after="0" w:line="276" w:lineRule="auto"/>
        <w:ind w:firstLine="709"/>
        <w:jc w:val="both"/>
        <w:rPr>
          <w:rFonts w:ascii="Tahoma" w:hAnsi="Tahoma" w:cs="Tahoma"/>
          <w:b/>
          <w:bCs/>
          <w:sz w:val="24"/>
          <w:szCs w:val="24"/>
        </w:rPr>
      </w:pPr>
    </w:p>
    <w:p w14:paraId="52A841EF" w14:textId="043FB2F9" w:rsidR="006069A3" w:rsidRPr="001C501B" w:rsidRDefault="00591075" w:rsidP="001C501B">
      <w:pPr>
        <w:spacing w:after="0" w:line="276" w:lineRule="auto"/>
        <w:ind w:firstLine="709"/>
        <w:jc w:val="both"/>
        <w:rPr>
          <w:rFonts w:ascii="Tahoma" w:hAnsi="Tahoma" w:cs="Tahoma"/>
          <w:b/>
          <w:bCs/>
          <w:i/>
          <w:sz w:val="24"/>
          <w:szCs w:val="24"/>
        </w:rPr>
      </w:pPr>
      <w:r w:rsidRPr="001C501B">
        <w:rPr>
          <w:rFonts w:ascii="Tahoma" w:hAnsi="Tahoma" w:cs="Tahoma"/>
          <w:bCs/>
          <w:sz w:val="24"/>
          <w:szCs w:val="24"/>
        </w:rPr>
        <w:t>Lo dicho hasta aquí supone que, la fecha de estructuración será el elemento decisivo que resuelva cualquier conflicto de competencias que se suscite entre administrad</w:t>
      </w:r>
      <w:r w:rsidR="00311E49" w:rsidRPr="001C501B">
        <w:rPr>
          <w:rFonts w:ascii="Tahoma" w:hAnsi="Tahoma" w:cs="Tahoma"/>
          <w:bCs/>
          <w:sz w:val="24"/>
          <w:szCs w:val="24"/>
        </w:rPr>
        <w:t>oras del régimen de ahorro individual con solidaridad</w:t>
      </w:r>
      <w:r w:rsidRPr="001C501B">
        <w:rPr>
          <w:rFonts w:ascii="Tahoma" w:hAnsi="Tahoma" w:cs="Tahoma"/>
          <w:bCs/>
          <w:sz w:val="24"/>
          <w:szCs w:val="24"/>
        </w:rPr>
        <w:t xml:space="preserve"> </w:t>
      </w:r>
      <w:r w:rsidR="00311E49" w:rsidRPr="001C501B">
        <w:rPr>
          <w:rFonts w:ascii="Tahoma" w:hAnsi="Tahoma" w:cs="Tahoma"/>
          <w:bCs/>
          <w:sz w:val="24"/>
          <w:szCs w:val="24"/>
        </w:rPr>
        <w:t xml:space="preserve">y del régimen de prima media con prestación definida, tomando en consideración, que la Corte en esta misma sentencia de </w:t>
      </w:r>
      <w:r w:rsidR="0079148D" w:rsidRPr="001C501B">
        <w:rPr>
          <w:rFonts w:ascii="Tahoma" w:hAnsi="Tahoma" w:cs="Tahoma"/>
          <w:bCs/>
          <w:sz w:val="24"/>
          <w:szCs w:val="24"/>
        </w:rPr>
        <w:t xml:space="preserve">unificación fundamentó dicho precepto en lo siguiente: </w:t>
      </w:r>
      <w:r w:rsidR="0079148D" w:rsidRPr="001C501B">
        <w:rPr>
          <w:rFonts w:ascii="Tahoma" w:hAnsi="Tahoma" w:cs="Tahoma"/>
          <w:bCs/>
          <w:i/>
          <w:sz w:val="24"/>
          <w:szCs w:val="24"/>
        </w:rPr>
        <w:t>“</w:t>
      </w:r>
      <w:r w:rsidR="0079148D" w:rsidRPr="0082290D">
        <w:rPr>
          <w:rFonts w:ascii="Tahoma" w:hAnsi="Tahoma" w:cs="Tahoma"/>
          <w:i/>
          <w:iCs/>
          <w:szCs w:val="24"/>
        </w:rPr>
        <w:t>1) del artículo 3.2.1.12 del Decreto 780 de 2016 se desprende que, aun cuando exista un traslado, el fondo antiguo mantiene la competencia por el reconocimiento de prestaciones que se causen en su vigencia; 2) porque esta regla es la que mejor armoniza con el sistema de financiación previsto por el legislador para las pensiones de invalidez; y 3) porque con su aplicación no se afecta el derecho a la libertad de elección de régimen pensional, ni se limita el derecho a la seguridad social</w:t>
      </w:r>
      <w:r w:rsidR="0082290D" w:rsidRPr="0082290D">
        <w:rPr>
          <w:rFonts w:ascii="Tahoma" w:hAnsi="Tahoma" w:cs="Tahoma"/>
          <w:i/>
          <w:iCs/>
          <w:sz w:val="24"/>
          <w:szCs w:val="24"/>
        </w:rPr>
        <w:t>”</w:t>
      </w:r>
      <w:r w:rsidR="0079148D" w:rsidRPr="001C501B">
        <w:rPr>
          <w:rFonts w:ascii="Tahoma" w:hAnsi="Tahoma" w:cs="Tahoma"/>
          <w:i/>
          <w:color w:val="333333"/>
          <w:sz w:val="24"/>
          <w:szCs w:val="24"/>
          <w:shd w:val="clear" w:color="auto" w:fill="FFFFFF"/>
        </w:rPr>
        <w:t>.</w:t>
      </w:r>
      <w:r w:rsidR="0079148D" w:rsidRPr="001C501B">
        <w:rPr>
          <w:rFonts w:ascii="Tahoma" w:hAnsi="Tahoma" w:cs="Tahoma"/>
          <w:b/>
          <w:bCs/>
          <w:i/>
          <w:sz w:val="24"/>
          <w:szCs w:val="24"/>
        </w:rPr>
        <w:t xml:space="preserve"> </w:t>
      </w:r>
    </w:p>
    <w:p w14:paraId="1BF63F46" w14:textId="77777777" w:rsidR="006069A3" w:rsidRPr="001C501B" w:rsidRDefault="006069A3" w:rsidP="001C501B">
      <w:pPr>
        <w:spacing w:after="0" w:line="276" w:lineRule="auto"/>
        <w:ind w:firstLine="709"/>
        <w:jc w:val="both"/>
        <w:rPr>
          <w:rFonts w:ascii="Tahoma" w:hAnsi="Tahoma" w:cs="Tahoma"/>
          <w:b/>
          <w:bCs/>
          <w:sz w:val="24"/>
          <w:szCs w:val="24"/>
        </w:rPr>
      </w:pPr>
    </w:p>
    <w:p w14:paraId="07E9EF9D" w14:textId="3B8C896F" w:rsidR="0062731E" w:rsidRPr="00885D9F" w:rsidRDefault="00A71023" w:rsidP="001C501B">
      <w:pPr>
        <w:spacing w:after="0" w:line="276" w:lineRule="auto"/>
        <w:ind w:firstLine="709"/>
        <w:jc w:val="both"/>
        <w:rPr>
          <w:rFonts w:ascii="Tahoma" w:hAnsi="Tahoma" w:cs="Tahoma"/>
          <w:i/>
          <w:sz w:val="24"/>
          <w:szCs w:val="24"/>
          <w:shd w:val="clear" w:color="auto" w:fill="FFFFFF"/>
        </w:rPr>
      </w:pPr>
      <w:r w:rsidRPr="001C501B">
        <w:rPr>
          <w:rFonts w:ascii="Tahoma" w:hAnsi="Tahoma" w:cs="Tahoma"/>
          <w:bCs/>
          <w:sz w:val="24"/>
          <w:szCs w:val="24"/>
        </w:rPr>
        <w:t xml:space="preserve">Habría que decir también, </w:t>
      </w:r>
      <w:r w:rsidR="006819C9" w:rsidRPr="001C501B">
        <w:rPr>
          <w:rFonts w:ascii="Tahoma" w:hAnsi="Tahoma" w:cs="Tahoma"/>
          <w:bCs/>
          <w:sz w:val="24"/>
          <w:szCs w:val="24"/>
        </w:rPr>
        <w:t>que el alto</w:t>
      </w:r>
      <w:r w:rsidR="006069A3" w:rsidRPr="001C501B">
        <w:rPr>
          <w:rFonts w:ascii="Tahoma" w:hAnsi="Tahoma" w:cs="Tahoma"/>
          <w:bCs/>
          <w:sz w:val="24"/>
          <w:szCs w:val="24"/>
        </w:rPr>
        <w:t xml:space="preserve"> T</w:t>
      </w:r>
      <w:r w:rsidR="006819C9" w:rsidRPr="001C501B">
        <w:rPr>
          <w:rFonts w:ascii="Tahoma" w:hAnsi="Tahoma" w:cs="Tahoma"/>
          <w:bCs/>
          <w:sz w:val="24"/>
          <w:szCs w:val="24"/>
        </w:rPr>
        <w:t>ribunal en esta misma providencia  contempló el escenario</w:t>
      </w:r>
      <w:r w:rsidR="00E95B0A" w:rsidRPr="001C501B">
        <w:rPr>
          <w:rFonts w:ascii="Tahoma" w:hAnsi="Tahoma" w:cs="Tahoma"/>
          <w:bCs/>
          <w:sz w:val="24"/>
          <w:szCs w:val="24"/>
        </w:rPr>
        <w:t xml:space="preserve">, </w:t>
      </w:r>
      <w:r w:rsidR="006819C9" w:rsidRPr="001C501B">
        <w:rPr>
          <w:rFonts w:ascii="Tahoma" w:hAnsi="Tahoma" w:cs="Tahoma"/>
          <w:bCs/>
          <w:sz w:val="24"/>
          <w:szCs w:val="24"/>
        </w:rPr>
        <w:t>en el cual</w:t>
      </w:r>
      <w:r w:rsidR="00E95B0A" w:rsidRPr="001C501B">
        <w:rPr>
          <w:rFonts w:ascii="Tahoma" w:hAnsi="Tahoma" w:cs="Tahoma"/>
          <w:bCs/>
          <w:sz w:val="24"/>
          <w:szCs w:val="24"/>
        </w:rPr>
        <w:t>,</w:t>
      </w:r>
      <w:r w:rsidR="006819C9" w:rsidRPr="001C501B">
        <w:rPr>
          <w:rFonts w:ascii="Tahoma" w:hAnsi="Tahoma" w:cs="Tahoma"/>
          <w:bCs/>
          <w:sz w:val="24"/>
          <w:szCs w:val="24"/>
        </w:rPr>
        <w:t xml:space="preserve"> un pensionado por invalidez viera modificado o extinguido su estatus pensional, suponiendo que su PCL con el paso del tiempo disminuyera por debajo </w:t>
      </w:r>
      <w:r w:rsidR="006819C9" w:rsidRPr="00885D9F">
        <w:rPr>
          <w:rFonts w:ascii="Tahoma" w:hAnsi="Tahoma" w:cs="Tahoma"/>
          <w:bCs/>
          <w:sz w:val="24"/>
          <w:szCs w:val="24"/>
        </w:rPr>
        <w:t xml:space="preserve">del 50%, dicho esto, la Corte </w:t>
      </w:r>
      <w:r w:rsidR="00E95B0A" w:rsidRPr="00885D9F">
        <w:rPr>
          <w:rFonts w:ascii="Tahoma" w:hAnsi="Tahoma" w:cs="Tahoma"/>
          <w:bCs/>
          <w:sz w:val="24"/>
          <w:szCs w:val="24"/>
        </w:rPr>
        <w:t xml:space="preserve">dispuso para estos casos </w:t>
      </w:r>
      <w:r w:rsidR="006069A3" w:rsidRPr="00885D9F">
        <w:rPr>
          <w:rFonts w:ascii="Tahoma" w:hAnsi="Tahoma" w:cs="Tahoma"/>
          <w:bCs/>
          <w:sz w:val="24"/>
          <w:szCs w:val="24"/>
        </w:rPr>
        <w:t>lo siguiente</w:t>
      </w:r>
      <w:r w:rsidR="006819C9" w:rsidRPr="00885D9F">
        <w:rPr>
          <w:rFonts w:ascii="Tahoma" w:hAnsi="Tahoma" w:cs="Tahoma"/>
          <w:bCs/>
          <w:sz w:val="24"/>
          <w:szCs w:val="24"/>
        </w:rPr>
        <w:t>:</w:t>
      </w:r>
      <w:r w:rsidR="006819C9" w:rsidRPr="00885D9F">
        <w:rPr>
          <w:rFonts w:ascii="Tahoma" w:hAnsi="Tahoma" w:cs="Tahoma"/>
          <w:bCs/>
          <w:i/>
          <w:sz w:val="24"/>
          <w:szCs w:val="24"/>
        </w:rPr>
        <w:t xml:space="preserve"> “</w:t>
      </w:r>
      <w:r w:rsidR="006819C9" w:rsidRPr="00885D9F">
        <w:rPr>
          <w:rFonts w:ascii="Tahoma" w:hAnsi="Tahoma" w:cs="Tahoma"/>
          <w:i/>
          <w:iCs/>
          <w:szCs w:val="24"/>
        </w:rPr>
        <w:t>Bajo el supuesto de que una persona perdió la pensión de invalidez, ella buscará continuar cotizando para acceder a los requisitos que le permitirán, a futuro, pensionarse por vejez. En ese caso, como ya se dijo, si fue devuelto al régimen antiguo, tendrá que cumplir los requisitos de aquel para tal propósito</w:t>
      </w:r>
      <w:r w:rsidR="0082290D" w:rsidRPr="00885D9F">
        <w:rPr>
          <w:rFonts w:ascii="Tahoma" w:hAnsi="Tahoma" w:cs="Tahoma"/>
          <w:i/>
          <w:iCs/>
          <w:sz w:val="24"/>
          <w:szCs w:val="24"/>
        </w:rPr>
        <w:t>”</w:t>
      </w:r>
      <w:r w:rsidR="006819C9" w:rsidRPr="00885D9F">
        <w:rPr>
          <w:rFonts w:ascii="Tahoma" w:hAnsi="Tahoma" w:cs="Tahoma"/>
          <w:i/>
          <w:sz w:val="24"/>
          <w:szCs w:val="24"/>
          <w:shd w:val="clear" w:color="auto" w:fill="FFFFFF"/>
        </w:rPr>
        <w:t>.</w:t>
      </w:r>
    </w:p>
    <w:p w14:paraId="5CD29ABA" w14:textId="77777777" w:rsidR="001A5D98" w:rsidRPr="00885D9F" w:rsidRDefault="001A5D98" w:rsidP="001C501B">
      <w:pPr>
        <w:spacing w:after="0" w:line="276" w:lineRule="auto"/>
        <w:ind w:firstLine="709"/>
        <w:jc w:val="both"/>
        <w:rPr>
          <w:rFonts w:ascii="Tahoma" w:hAnsi="Tahoma" w:cs="Tahoma"/>
          <w:i/>
          <w:sz w:val="24"/>
          <w:szCs w:val="24"/>
          <w:shd w:val="clear" w:color="auto" w:fill="FFFFFF"/>
        </w:rPr>
      </w:pPr>
    </w:p>
    <w:p w14:paraId="323FBF6D" w14:textId="543F46A0" w:rsidR="00E95B0A" w:rsidRPr="00040849" w:rsidRDefault="003B06B1" w:rsidP="001C501B">
      <w:pPr>
        <w:spacing w:after="0" w:line="276" w:lineRule="auto"/>
        <w:ind w:firstLine="709"/>
        <w:jc w:val="both"/>
        <w:rPr>
          <w:rFonts w:ascii="Tahoma" w:hAnsi="Tahoma" w:cs="Tahoma"/>
          <w:b/>
          <w:bCs/>
          <w:sz w:val="24"/>
          <w:szCs w:val="24"/>
        </w:rPr>
      </w:pPr>
      <w:r w:rsidRPr="00885D9F">
        <w:rPr>
          <w:rFonts w:ascii="Tahoma" w:hAnsi="Tahoma" w:cs="Tahoma"/>
          <w:sz w:val="24"/>
          <w:szCs w:val="24"/>
          <w:shd w:val="clear" w:color="auto" w:fill="FFFFFF"/>
        </w:rPr>
        <w:t>En definitiva, esta situación</w:t>
      </w:r>
      <w:r w:rsidR="004B612E" w:rsidRPr="00885D9F">
        <w:rPr>
          <w:rFonts w:ascii="Tahoma" w:hAnsi="Tahoma" w:cs="Tahoma"/>
          <w:sz w:val="24"/>
          <w:szCs w:val="24"/>
          <w:shd w:val="clear" w:color="auto" w:fill="FFFFFF"/>
        </w:rPr>
        <w:t xml:space="preserve"> fue propicia para que se produjera</w:t>
      </w:r>
      <w:r w:rsidR="00AA2D76" w:rsidRPr="00885D9F">
        <w:rPr>
          <w:rFonts w:ascii="Tahoma" w:hAnsi="Tahoma" w:cs="Tahoma"/>
          <w:sz w:val="24"/>
          <w:szCs w:val="24"/>
          <w:shd w:val="clear" w:color="auto" w:fill="FFFFFF"/>
        </w:rPr>
        <w:t xml:space="preserve"> la unificación de</w:t>
      </w:r>
      <w:r w:rsidRPr="00885D9F">
        <w:rPr>
          <w:rFonts w:ascii="Tahoma" w:hAnsi="Tahoma" w:cs="Tahoma"/>
          <w:sz w:val="24"/>
          <w:szCs w:val="24"/>
          <w:shd w:val="clear" w:color="auto" w:fill="FFFFFF"/>
        </w:rPr>
        <w:t xml:space="preserve"> jurisprudencia</w:t>
      </w:r>
      <w:r w:rsidR="00AA2D76" w:rsidRPr="00885D9F">
        <w:rPr>
          <w:rFonts w:ascii="Tahoma" w:hAnsi="Tahoma" w:cs="Tahoma"/>
          <w:sz w:val="24"/>
          <w:szCs w:val="24"/>
          <w:shd w:val="clear" w:color="auto" w:fill="FFFFFF"/>
        </w:rPr>
        <w:t>,</w:t>
      </w:r>
      <w:r w:rsidRPr="00885D9F">
        <w:rPr>
          <w:rFonts w:ascii="Tahoma" w:hAnsi="Tahoma" w:cs="Tahoma"/>
          <w:sz w:val="24"/>
          <w:szCs w:val="24"/>
          <w:shd w:val="clear" w:color="auto" w:fill="FFFFFF"/>
        </w:rPr>
        <w:t xml:space="preserve"> respecto </w:t>
      </w:r>
      <w:r w:rsidR="00AA2D76" w:rsidRPr="00885D9F">
        <w:rPr>
          <w:rFonts w:ascii="Tahoma" w:hAnsi="Tahoma" w:cs="Tahoma"/>
          <w:sz w:val="24"/>
          <w:szCs w:val="24"/>
          <w:shd w:val="clear" w:color="auto" w:fill="FFFFFF"/>
        </w:rPr>
        <w:t xml:space="preserve">al conflicto de competencia entre los regímenes que comprenden el sistema pensional Colombiano, en consonancia a ello, la Corte Constitucional </w:t>
      </w:r>
      <w:r w:rsidR="004B612E" w:rsidRPr="00885D9F">
        <w:rPr>
          <w:rFonts w:ascii="Tahoma" w:hAnsi="Tahoma" w:cs="Tahoma"/>
          <w:sz w:val="24"/>
          <w:szCs w:val="24"/>
          <w:shd w:val="clear" w:color="auto" w:fill="FFFFFF"/>
        </w:rPr>
        <w:t>prest</w:t>
      </w:r>
      <w:r w:rsidR="002A397D" w:rsidRPr="00885D9F">
        <w:rPr>
          <w:rFonts w:ascii="Tahoma" w:hAnsi="Tahoma" w:cs="Tahoma"/>
          <w:sz w:val="24"/>
          <w:szCs w:val="24"/>
          <w:shd w:val="clear" w:color="auto" w:fill="FFFFFF"/>
        </w:rPr>
        <w:t xml:space="preserve">ó total observancia a este </w:t>
      </w:r>
      <w:r w:rsidR="004B612E" w:rsidRPr="00885D9F">
        <w:rPr>
          <w:rFonts w:ascii="Tahoma" w:hAnsi="Tahoma" w:cs="Tahoma"/>
          <w:sz w:val="24"/>
          <w:szCs w:val="24"/>
          <w:shd w:val="clear" w:color="auto" w:fill="FFFFFF"/>
        </w:rPr>
        <w:t xml:space="preserve">problema jurídico al insistir que: </w:t>
      </w:r>
      <w:r w:rsidR="004B612E" w:rsidRPr="00885D9F">
        <w:rPr>
          <w:rFonts w:ascii="Tahoma" w:hAnsi="Tahoma" w:cs="Tahoma"/>
          <w:i/>
          <w:sz w:val="24"/>
          <w:szCs w:val="24"/>
          <w:shd w:val="clear" w:color="auto" w:fill="FFFFFF"/>
        </w:rPr>
        <w:t>“</w:t>
      </w:r>
      <w:r w:rsidR="004B612E" w:rsidRPr="00885D9F">
        <w:rPr>
          <w:rFonts w:ascii="Tahoma" w:hAnsi="Tahoma" w:cs="Tahoma"/>
          <w:i/>
          <w:szCs w:val="24"/>
          <w:shd w:val="clear" w:color="auto" w:fill="FFFFFF"/>
        </w:rPr>
        <w:t xml:space="preserve">La Corte ha entendido que discusiones entre entidades, que respondan a situaciones meramente competenciales, no deben servir </w:t>
      </w:r>
      <w:r w:rsidR="004B612E" w:rsidRPr="00040849">
        <w:rPr>
          <w:rFonts w:ascii="Tahoma" w:hAnsi="Tahoma" w:cs="Tahoma"/>
          <w:i/>
          <w:szCs w:val="24"/>
          <w:shd w:val="clear" w:color="auto" w:fill="FFFFFF"/>
        </w:rPr>
        <w:t>de excusa para dejar de reconocer derechos pensionales, máxime cuando el afiliado haya cumplido los requisitos legales para ello. Con todo, en esta oportunidad la Sala se referirá a esta situación a fin de unificar su jurisprudencia, con el objeto de evitar que este tipo de cuestiones se sigan presentando a futuro, en detrimento de afiliados que, en la mayoría de los casos, requieren con urgencia obtener el pago pensional</w:t>
      </w:r>
      <w:r w:rsidR="00040849" w:rsidRPr="00040849">
        <w:rPr>
          <w:rFonts w:ascii="Tahoma" w:hAnsi="Tahoma" w:cs="Tahoma"/>
          <w:i/>
          <w:sz w:val="24"/>
          <w:szCs w:val="24"/>
          <w:shd w:val="clear" w:color="auto" w:fill="FFFFFF"/>
        </w:rPr>
        <w:t>”</w:t>
      </w:r>
      <w:r w:rsidR="004B612E" w:rsidRPr="00040849">
        <w:rPr>
          <w:rFonts w:ascii="Tahoma" w:hAnsi="Tahoma" w:cs="Tahoma"/>
          <w:i/>
          <w:sz w:val="24"/>
          <w:szCs w:val="24"/>
          <w:shd w:val="clear" w:color="auto" w:fill="FFFFFF"/>
        </w:rPr>
        <w:t>.</w:t>
      </w:r>
    </w:p>
    <w:p w14:paraId="0DDBD512" w14:textId="43D81109" w:rsidR="00591075" w:rsidRPr="00040849" w:rsidRDefault="00591075" w:rsidP="001C501B">
      <w:pPr>
        <w:spacing w:after="0" w:line="276" w:lineRule="auto"/>
        <w:jc w:val="both"/>
        <w:rPr>
          <w:rFonts w:ascii="Tahoma" w:hAnsi="Tahoma" w:cs="Tahoma"/>
          <w:b/>
          <w:bCs/>
          <w:sz w:val="24"/>
          <w:szCs w:val="24"/>
        </w:rPr>
      </w:pPr>
    </w:p>
    <w:p w14:paraId="5312686D" w14:textId="7CADB616" w:rsidR="00846019" w:rsidRPr="001C501B" w:rsidRDefault="00846019" w:rsidP="001C501B">
      <w:pPr>
        <w:spacing w:after="0" w:line="276" w:lineRule="auto"/>
        <w:ind w:firstLine="705"/>
        <w:jc w:val="both"/>
        <w:rPr>
          <w:rFonts w:ascii="Tahoma" w:hAnsi="Tahoma" w:cs="Tahoma"/>
          <w:b/>
          <w:sz w:val="24"/>
          <w:szCs w:val="24"/>
        </w:rPr>
      </w:pPr>
      <w:r w:rsidRPr="001C501B">
        <w:rPr>
          <w:rFonts w:ascii="Tahoma" w:hAnsi="Tahoma" w:cs="Tahoma"/>
          <w:b/>
          <w:sz w:val="24"/>
          <w:szCs w:val="24"/>
        </w:rPr>
        <w:lastRenderedPageBreak/>
        <w:t>5.3.1. Precedente de la Sala de Casación Laboral de Corte Suprema de Justicia:</w:t>
      </w:r>
    </w:p>
    <w:p w14:paraId="78C2137C" w14:textId="77777777" w:rsidR="00040849" w:rsidRDefault="00040849" w:rsidP="001C501B">
      <w:pPr>
        <w:spacing w:after="0" w:line="276" w:lineRule="auto"/>
        <w:ind w:firstLine="705"/>
        <w:jc w:val="both"/>
        <w:rPr>
          <w:rFonts w:ascii="Tahoma" w:hAnsi="Tahoma" w:cs="Tahoma"/>
          <w:bCs/>
          <w:sz w:val="24"/>
          <w:szCs w:val="24"/>
        </w:rPr>
      </w:pPr>
    </w:p>
    <w:p w14:paraId="2F2F67CC" w14:textId="3A375B9B" w:rsidR="00846019" w:rsidRDefault="00846019" w:rsidP="001C501B">
      <w:pPr>
        <w:spacing w:after="0" w:line="276" w:lineRule="auto"/>
        <w:ind w:firstLine="705"/>
        <w:jc w:val="both"/>
        <w:rPr>
          <w:rFonts w:ascii="Tahoma" w:hAnsi="Tahoma" w:cs="Tahoma"/>
          <w:color w:val="171717"/>
          <w:sz w:val="24"/>
          <w:szCs w:val="24"/>
          <w:shd w:val="clear" w:color="auto" w:fill="FFFFFF"/>
        </w:rPr>
      </w:pPr>
      <w:r w:rsidRPr="001C501B">
        <w:rPr>
          <w:rFonts w:ascii="Tahoma" w:hAnsi="Tahoma" w:cs="Tahoma"/>
          <w:bCs/>
          <w:sz w:val="24"/>
          <w:szCs w:val="24"/>
        </w:rPr>
        <w:t xml:space="preserve">Por su parte la Sala de Casación Laboral de la Corte Suprema de Justicia, en la sentencia del 8 de septiembre de 2021, SL 5183-2021, Radicado 73816 con ponencia del Magistrado Dr. IVAN MAURICIO LENIS GÓMEZ, </w:t>
      </w:r>
      <w:r w:rsidRPr="001C501B">
        <w:rPr>
          <w:rFonts w:ascii="Tahoma" w:hAnsi="Tahoma" w:cs="Tahoma"/>
          <w:b/>
          <w:bCs/>
          <w:sz w:val="24"/>
          <w:szCs w:val="24"/>
        </w:rPr>
        <w:t xml:space="preserve">decidió de manera contraria un asunto similar y se apartó de la Sentencia </w:t>
      </w:r>
      <w:r w:rsidRPr="001C501B">
        <w:rPr>
          <w:rFonts w:ascii="Tahoma" w:hAnsi="Tahoma" w:cs="Tahoma"/>
          <w:b/>
          <w:color w:val="171717"/>
          <w:sz w:val="24"/>
          <w:szCs w:val="24"/>
          <w:shd w:val="clear" w:color="auto" w:fill="FFFFFF"/>
        </w:rPr>
        <w:t>SU-313/20</w:t>
      </w:r>
      <w:r w:rsidRPr="001C501B">
        <w:rPr>
          <w:rFonts w:ascii="Tahoma" w:hAnsi="Tahoma" w:cs="Tahoma"/>
          <w:color w:val="171717"/>
          <w:sz w:val="24"/>
          <w:szCs w:val="24"/>
          <w:shd w:val="clear" w:color="auto" w:fill="FFFFFF"/>
        </w:rPr>
        <w:t xml:space="preserve"> por las razones que más adelante se transcriben. En efecto, en esa oportunidad la Corte Suprema resolvió el siguiente problema jurídico:</w:t>
      </w:r>
    </w:p>
    <w:p w14:paraId="6C0694F6" w14:textId="77777777" w:rsidR="00040849" w:rsidRPr="001C501B" w:rsidRDefault="00040849" w:rsidP="001C501B">
      <w:pPr>
        <w:spacing w:after="0" w:line="276" w:lineRule="auto"/>
        <w:ind w:firstLine="705"/>
        <w:jc w:val="both"/>
        <w:rPr>
          <w:rFonts w:ascii="Tahoma" w:hAnsi="Tahoma" w:cs="Tahoma"/>
          <w:bCs/>
          <w:sz w:val="24"/>
          <w:szCs w:val="24"/>
        </w:rPr>
      </w:pPr>
    </w:p>
    <w:p w14:paraId="48EE3406" w14:textId="538D974E" w:rsidR="00D30E6A" w:rsidRPr="00040849" w:rsidRDefault="00846019" w:rsidP="00040849">
      <w:pPr>
        <w:widowControl w:val="0"/>
        <w:autoSpaceDE w:val="0"/>
        <w:autoSpaceDN w:val="0"/>
        <w:adjustRightInd w:val="0"/>
        <w:spacing w:after="0" w:line="240" w:lineRule="auto"/>
        <w:ind w:left="426" w:right="420" w:firstLine="708"/>
        <w:jc w:val="both"/>
        <w:rPr>
          <w:rFonts w:ascii="Tahoma" w:hAnsi="Tahoma" w:cs="Tahoma"/>
          <w:i/>
          <w:szCs w:val="24"/>
        </w:rPr>
      </w:pPr>
      <w:r w:rsidRPr="00040849">
        <w:rPr>
          <w:rFonts w:ascii="Tahoma" w:hAnsi="Tahoma" w:cs="Tahoma"/>
          <w:i/>
          <w:szCs w:val="24"/>
        </w:rPr>
        <w:t>“…</w:t>
      </w:r>
      <w:r w:rsidR="00040849" w:rsidRPr="00040849">
        <w:rPr>
          <w:rFonts w:ascii="Tahoma" w:hAnsi="Tahoma" w:cs="Tahoma"/>
          <w:i/>
          <w:szCs w:val="24"/>
        </w:rPr>
        <w:t xml:space="preserve"> </w:t>
      </w:r>
      <w:r w:rsidR="00D30E6A" w:rsidRPr="00040849">
        <w:rPr>
          <w:rFonts w:ascii="Tahoma" w:hAnsi="Tahoma" w:cs="Tahoma"/>
          <w:i/>
          <w:szCs w:val="24"/>
        </w:rPr>
        <w:t>la Sala debe resolver si el Tribunal incurrió en un desatino jurídico al concluir que Porvenir S.A. debe reconocer la pensión de invalidez a su afiliado Luis Armando Murillo, pese a que para la fecha de estructuración de la invalidez establecida en el dictamen -y causación del derecho pensional- estaba vinculado al Instituto de Seguros Sociales, hoy Colpensiones</w:t>
      </w:r>
      <w:r w:rsidRPr="00040849">
        <w:rPr>
          <w:rFonts w:ascii="Tahoma" w:hAnsi="Tahoma" w:cs="Tahoma"/>
          <w:i/>
          <w:szCs w:val="24"/>
        </w:rPr>
        <w:t>”</w:t>
      </w:r>
      <w:r w:rsidR="00D30E6A" w:rsidRPr="00040849">
        <w:rPr>
          <w:rFonts w:ascii="Tahoma" w:hAnsi="Tahoma" w:cs="Tahoma"/>
          <w:i/>
          <w:szCs w:val="24"/>
        </w:rPr>
        <w:t>.</w:t>
      </w:r>
    </w:p>
    <w:p w14:paraId="7B302C0E" w14:textId="15A2FBE5" w:rsidR="00EF1E87" w:rsidRPr="00040849" w:rsidRDefault="00EF1E87" w:rsidP="00040849">
      <w:pPr>
        <w:widowControl w:val="0"/>
        <w:autoSpaceDE w:val="0"/>
        <w:autoSpaceDN w:val="0"/>
        <w:adjustRightInd w:val="0"/>
        <w:spacing w:after="0" w:line="240" w:lineRule="auto"/>
        <w:ind w:left="426" w:right="420" w:firstLine="708"/>
        <w:jc w:val="both"/>
        <w:rPr>
          <w:rFonts w:ascii="Tahoma" w:hAnsi="Tahoma" w:cs="Tahoma"/>
          <w:i/>
          <w:szCs w:val="24"/>
        </w:rPr>
      </w:pPr>
      <w:r w:rsidRPr="00040849">
        <w:rPr>
          <w:rFonts w:ascii="Tahoma" w:hAnsi="Tahoma" w:cs="Tahoma"/>
          <w:i/>
          <w:szCs w:val="24"/>
        </w:rPr>
        <w:t>(…)</w:t>
      </w:r>
    </w:p>
    <w:p w14:paraId="7E32D7CD" w14:textId="77777777" w:rsidR="00EF1E87" w:rsidRPr="00040849" w:rsidRDefault="00EF1E87" w:rsidP="00040849">
      <w:pPr>
        <w:pStyle w:val="Yo"/>
        <w:numPr>
          <w:ilvl w:val="0"/>
          <w:numId w:val="0"/>
        </w:numPr>
        <w:spacing w:line="240" w:lineRule="auto"/>
        <w:ind w:left="426" w:right="420"/>
        <w:jc w:val="both"/>
        <w:rPr>
          <w:rFonts w:ascii="Tahoma" w:hAnsi="Tahoma" w:cs="Tahoma"/>
          <w:i/>
          <w:sz w:val="22"/>
          <w:szCs w:val="24"/>
        </w:rPr>
      </w:pPr>
      <w:r w:rsidRPr="00040849">
        <w:rPr>
          <w:rFonts w:ascii="Tahoma" w:hAnsi="Tahoma" w:cs="Tahoma"/>
          <w:i/>
          <w:sz w:val="22"/>
          <w:szCs w:val="24"/>
        </w:rPr>
        <w:t>(1) La entidad pensional responsable de reconocer la pensión de invalidez conforme a lo previsto en el artículo 42 del Decreto 1406 de 1999</w:t>
      </w:r>
    </w:p>
    <w:p w14:paraId="7F8DE20F" w14:textId="77777777" w:rsidR="00EF1E87" w:rsidRPr="00040849" w:rsidRDefault="00EF1E87" w:rsidP="00040849">
      <w:pPr>
        <w:spacing w:after="0" w:line="240" w:lineRule="auto"/>
        <w:ind w:left="426" w:right="420" w:firstLine="709"/>
        <w:jc w:val="both"/>
        <w:rPr>
          <w:rStyle w:val="normaltextrun"/>
          <w:rFonts w:ascii="Tahoma" w:hAnsi="Tahoma" w:cs="Tahoma"/>
          <w:i/>
          <w:color w:val="000000"/>
          <w:szCs w:val="24"/>
          <w:shd w:val="clear" w:color="auto" w:fill="FFFFFF"/>
        </w:rPr>
      </w:pPr>
    </w:p>
    <w:p w14:paraId="01264CC5" w14:textId="77777777" w:rsidR="00EF1E87" w:rsidRPr="00040849" w:rsidRDefault="00EF1E87" w:rsidP="00040849">
      <w:pPr>
        <w:spacing w:after="0" w:line="240" w:lineRule="auto"/>
        <w:ind w:left="426" w:right="420" w:firstLine="709"/>
        <w:jc w:val="both"/>
        <w:rPr>
          <w:rStyle w:val="normaltextrun"/>
          <w:rFonts w:ascii="Tahoma" w:hAnsi="Tahoma" w:cs="Tahoma"/>
          <w:i/>
          <w:color w:val="000000"/>
          <w:szCs w:val="24"/>
          <w:shd w:val="clear" w:color="auto" w:fill="FFFFFF"/>
        </w:rPr>
      </w:pPr>
      <w:r w:rsidRPr="00040849">
        <w:rPr>
          <w:rStyle w:val="normaltextrun"/>
          <w:rFonts w:ascii="Tahoma" w:hAnsi="Tahoma" w:cs="Tahoma"/>
          <w:i/>
          <w:color w:val="000000"/>
          <w:szCs w:val="24"/>
          <w:shd w:val="clear" w:color="auto" w:fill="FFFFFF"/>
        </w:rPr>
        <w:t xml:space="preserve">El Tribunal aplicó el artículo 42 del Decreto 1406 de 1999, compilado por el </w:t>
      </w:r>
      <w:r w:rsidRPr="00040849">
        <w:rPr>
          <w:rFonts w:ascii="Tahoma" w:hAnsi="Tahoma" w:cs="Tahoma"/>
          <w:i/>
          <w:szCs w:val="24"/>
        </w:rPr>
        <w:t xml:space="preserve">artículo 3.2.1.12 del Decreto 780 de 2016, que </w:t>
      </w:r>
      <w:r w:rsidRPr="00040849">
        <w:rPr>
          <w:rStyle w:val="normaltextrun"/>
          <w:rFonts w:ascii="Tahoma" w:hAnsi="Tahoma" w:cs="Tahoma"/>
          <w:i/>
          <w:color w:val="000000"/>
          <w:szCs w:val="24"/>
          <w:shd w:val="clear" w:color="auto" w:fill="FFFFFF"/>
        </w:rPr>
        <w:t>consagra que validada la afiliación pensional y una vez cobre plenos efectos de ley en los términos allí señalados, surge para el nuevo ente administrador la obligación de reconocer las prestaciones económicas que correspondan.</w:t>
      </w:r>
    </w:p>
    <w:p w14:paraId="04527C15" w14:textId="77777777" w:rsidR="00EF1E87" w:rsidRPr="00040849" w:rsidRDefault="00EF1E87" w:rsidP="00040849">
      <w:pPr>
        <w:spacing w:after="0" w:line="240" w:lineRule="auto"/>
        <w:ind w:left="426" w:right="420" w:firstLine="709"/>
        <w:jc w:val="both"/>
        <w:rPr>
          <w:rStyle w:val="normaltextrun"/>
          <w:rFonts w:ascii="Tahoma" w:hAnsi="Tahoma" w:cs="Tahoma"/>
          <w:i/>
          <w:color w:val="000000"/>
          <w:szCs w:val="24"/>
          <w:shd w:val="clear" w:color="auto" w:fill="FFFFFF"/>
        </w:rPr>
      </w:pPr>
    </w:p>
    <w:p w14:paraId="1C6DF6AD" w14:textId="5B7DCDF1" w:rsidR="00EF1E87" w:rsidRPr="00040849" w:rsidRDefault="00EF1E87" w:rsidP="00040849">
      <w:pPr>
        <w:spacing w:after="0" w:line="240" w:lineRule="auto"/>
        <w:ind w:left="426" w:right="420" w:firstLine="709"/>
        <w:jc w:val="both"/>
        <w:rPr>
          <w:rStyle w:val="normaltextrun"/>
          <w:rFonts w:ascii="Tahoma" w:hAnsi="Tahoma" w:cs="Tahoma"/>
          <w:i/>
          <w:color w:val="000000"/>
          <w:szCs w:val="24"/>
          <w:shd w:val="clear" w:color="auto" w:fill="FFFFFF"/>
        </w:rPr>
      </w:pPr>
      <w:r w:rsidRPr="00040849">
        <w:rPr>
          <w:rStyle w:val="normaltextrun"/>
          <w:rFonts w:ascii="Tahoma" w:hAnsi="Tahoma" w:cs="Tahoma"/>
          <w:i/>
          <w:color w:val="000000"/>
          <w:szCs w:val="24"/>
          <w:shd w:val="clear" w:color="auto" w:fill="FFFFFF"/>
        </w:rPr>
        <w:t xml:space="preserve">Para la Sala, ante la ausencia de una norma que regule la situación concreta en discusión (CSJ SL5603-2019), es razonable que el ad </w:t>
      </w:r>
      <w:proofErr w:type="spellStart"/>
      <w:r w:rsidRPr="00040849">
        <w:rPr>
          <w:rStyle w:val="normaltextrun"/>
          <w:rFonts w:ascii="Tahoma" w:hAnsi="Tahoma" w:cs="Tahoma"/>
          <w:i/>
          <w:color w:val="000000"/>
          <w:szCs w:val="24"/>
          <w:shd w:val="clear" w:color="auto" w:fill="FFFFFF"/>
        </w:rPr>
        <w:t>quem</w:t>
      </w:r>
      <w:proofErr w:type="spellEnd"/>
      <w:r w:rsidRPr="00040849">
        <w:rPr>
          <w:rStyle w:val="normaltextrun"/>
          <w:rFonts w:ascii="Tahoma" w:hAnsi="Tahoma" w:cs="Tahoma"/>
          <w:i/>
          <w:color w:val="000000"/>
          <w:szCs w:val="24"/>
          <w:shd w:val="clear" w:color="auto" w:fill="FFFFFF"/>
        </w:rPr>
        <w:t xml:space="preserve"> haya acudido a esa regla general de competencia en el reconocimiento de las prestaciones económicas del sistema pensional. </w:t>
      </w:r>
    </w:p>
    <w:p w14:paraId="419D0661" w14:textId="77777777" w:rsidR="00EF1E87" w:rsidRPr="00040849" w:rsidRDefault="00EF1E87" w:rsidP="00040849">
      <w:pPr>
        <w:spacing w:after="0" w:line="240" w:lineRule="auto"/>
        <w:ind w:left="426" w:right="420" w:firstLine="709"/>
        <w:jc w:val="both"/>
        <w:rPr>
          <w:rStyle w:val="normaltextrun"/>
          <w:rFonts w:ascii="Tahoma" w:hAnsi="Tahoma" w:cs="Tahoma"/>
          <w:color w:val="000000"/>
          <w:szCs w:val="24"/>
          <w:shd w:val="clear" w:color="auto" w:fill="FFFFFF"/>
        </w:rPr>
      </w:pPr>
    </w:p>
    <w:p w14:paraId="400A89EC" w14:textId="77777777" w:rsidR="00EF1E87" w:rsidRPr="00040849" w:rsidRDefault="00EF1E87" w:rsidP="00040849">
      <w:pPr>
        <w:spacing w:after="0" w:line="240" w:lineRule="auto"/>
        <w:ind w:left="426" w:right="420" w:firstLine="709"/>
        <w:jc w:val="both"/>
        <w:rPr>
          <w:rFonts w:ascii="Tahoma" w:hAnsi="Tahoma" w:cs="Tahoma"/>
          <w:i/>
          <w:color w:val="000000"/>
          <w:szCs w:val="24"/>
          <w:shd w:val="clear" w:color="auto" w:fill="FFFFFF"/>
        </w:rPr>
      </w:pPr>
      <w:r w:rsidRPr="00040849">
        <w:rPr>
          <w:rStyle w:val="normaltextrun"/>
          <w:rFonts w:ascii="Tahoma" w:hAnsi="Tahoma" w:cs="Tahoma"/>
          <w:i/>
          <w:color w:val="000000"/>
          <w:szCs w:val="24"/>
          <w:shd w:val="clear" w:color="auto" w:fill="FFFFFF"/>
        </w:rPr>
        <w:t xml:space="preserve">Sin duda alguna, este precepto es concordante con el imperativo de eficiencia del sistema, pues (i) pretende evitar los conflictos entre entidades administradoras y la tardanza que esto puede generar en el reconocimiento de las prestaciones respectivas, así como (ii) </w:t>
      </w:r>
      <w:r w:rsidRPr="00040849">
        <w:rPr>
          <w:rFonts w:ascii="Tahoma" w:hAnsi="Tahoma" w:cs="Tahoma"/>
          <w:i/>
          <w:color w:val="000000"/>
          <w:szCs w:val="24"/>
          <w:shd w:val="clear" w:color="auto" w:fill="FFFFFF"/>
        </w:rPr>
        <w:t xml:space="preserve">retornos a regímenes pensionales antiguos sin justificación legal. </w:t>
      </w:r>
    </w:p>
    <w:p w14:paraId="6F59FA40" w14:textId="77777777" w:rsidR="00EF1E87" w:rsidRPr="00040849" w:rsidRDefault="00EF1E87" w:rsidP="00040849">
      <w:pPr>
        <w:spacing w:after="0" w:line="240" w:lineRule="auto"/>
        <w:ind w:left="426" w:right="420" w:firstLine="709"/>
        <w:jc w:val="both"/>
        <w:rPr>
          <w:rFonts w:ascii="Tahoma" w:hAnsi="Tahoma" w:cs="Tahoma"/>
          <w:i/>
          <w:color w:val="000000"/>
          <w:szCs w:val="24"/>
          <w:shd w:val="clear" w:color="auto" w:fill="FFFFFF"/>
        </w:rPr>
      </w:pPr>
    </w:p>
    <w:p w14:paraId="69E24915" w14:textId="35BFAF9C" w:rsidR="00EF1E87" w:rsidRPr="00040849" w:rsidRDefault="00EF1E87" w:rsidP="00040849">
      <w:pPr>
        <w:spacing w:after="0" w:line="240" w:lineRule="auto"/>
        <w:ind w:left="426" w:right="420" w:firstLine="709"/>
        <w:jc w:val="both"/>
        <w:rPr>
          <w:rFonts w:ascii="Tahoma" w:hAnsi="Tahoma" w:cs="Tahoma"/>
          <w:b/>
          <w:i/>
          <w:color w:val="000000"/>
          <w:szCs w:val="24"/>
          <w:shd w:val="clear" w:color="auto" w:fill="FFFFFF"/>
        </w:rPr>
      </w:pPr>
      <w:r w:rsidRPr="00040849">
        <w:rPr>
          <w:rFonts w:ascii="Tahoma" w:hAnsi="Tahoma" w:cs="Tahoma"/>
          <w:b/>
          <w:i/>
          <w:color w:val="000000"/>
          <w:szCs w:val="24"/>
          <w:shd w:val="clear" w:color="auto" w:fill="FFFFFF"/>
        </w:rPr>
        <w:t>Este último aspecto es relevante, pues imponerle el reconocimiento pensional al fondo antiguo o al que estaba vinculado el afiliado cuando la invalidez se estructuró y se causó la pensión que ampara el riesgo, y no al fondo nuevo o en el que la situación de invalidez se declaró formalmente, implica la anulación de la decisión libre y voluntaria de la persona en torno a permanecer en un régimen de pensiones determinado, lo que no puede ser desconocido por circunstancias no previstas en la ley y que tampoco les son atribuibles a los afiliados. Sobre esto se ahondará en el siguiente punto.</w:t>
      </w:r>
    </w:p>
    <w:p w14:paraId="15C0BA55" w14:textId="4EFF89D6" w:rsidR="0025729B" w:rsidRPr="00040849" w:rsidRDefault="0025729B" w:rsidP="00040849">
      <w:pPr>
        <w:spacing w:after="0" w:line="240" w:lineRule="auto"/>
        <w:ind w:left="426" w:right="420" w:firstLine="709"/>
        <w:jc w:val="both"/>
        <w:rPr>
          <w:rFonts w:ascii="Tahoma" w:hAnsi="Tahoma" w:cs="Tahoma"/>
          <w:i/>
          <w:color w:val="000000"/>
          <w:szCs w:val="24"/>
          <w:shd w:val="clear" w:color="auto" w:fill="FFFFFF"/>
        </w:rPr>
      </w:pPr>
      <w:r w:rsidRPr="00040849">
        <w:rPr>
          <w:rFonts w:ascii="Tahoma" w:hAnsi="Tahoma" w:cs="Tahoma"/>
          <w:i/>
          <w:color w:val="000000"/>
          <w:szCs w:val="24"/>
          <w:shd w:val="clear" w:color="auto" w:fill="FFFFFF"/>
        </w:rPr>
        <w:t>(…)</w:t>
      </w:r>
    </w:p>
    <w:p w14:paraId="7FC14D4E" w14:textId="77777777" w:rsidR="0025729B" w:rsidRPr="00040849" w:rsidRDefault="0025729B" w:rsidP="00040849">
      <w:pPr>
        <w:pStyle w:val="Yo"/>
        <w:numPr>
          <w:ilvl w:val="0"/>
          <w:numId w:val="0"/>
        </w:numPr>
        <w:spacing w:line="240" w:lineRule="auto"/>
        <w:ind w:left="426" w:right="420"/>
        <w:jc w:val="both"/>
        <w:rPr>
          <w:rFonts w:ascii="Tahoma" w:hAnsi="Tahoma" w:cs="Tahoma"/>
          <w:i/>
          <w:sz w:val="22"/>
          <w:szCs w:val="24"/>
        </w:rPr>
      </w:pPr>
      <w:r w:rsidRPr="00040849">
        <w:rPr>
          <w:rFonts w:ascii="Tahoma" w:hAnsi="Tahoma" w:cs="Tahoma"/>
          <w:i/>
          <w:sz w:val="22"/>
          <w:szCs w:val="24"/>
        </w:rPr>
        <w:t>(1.1) Derecho a elegir un régimen pensional</w:t>
      </w:r>
    </w:p>
    <w:p w14:paraId="227AA957" w14:textId="77777777" w:rsidR="00823EFF" w:rsidRPr="00040849" w:rsidRDefault="00823EFF" w:rsidP="00040849">
      <w:pPr>
        <w:spacing w:after="0" w:line="240" w:lineRule="auto"/>
        <w:ind w:left="426" w:right="420" w:firstLine="708"/>
        <w:jc w:val="both"/>
        <w:rPr>
          <w:rFonts w:ascii="Tahoma" w:hAnsi="Tahoma" w:cs="Tahoma"/>
          <w:bCs/>
          <w:i/>
          <w:szCs w:val="24"/>
        </w:rPr>
      </w:pPr>
    </w:p>
    <w:p w14:paraId="63F7EFBA" w14:textId="3432F8AC" w:rsidR="0025729B" w:rsidRPr="00040849" w:rsidRDefault="0025729B" w:rsidP="00040849">
      <w:pPr>
        <w:spacing w:after="0" w:line="240" w:lineRule="auto"/>
        <w:ind w:left="426" w:right="420" w:firstLine="708"/>
        <w:jc w:val="both"/>
        <w:rPr>
          <w:rStyle w:val="normaltextrun"/>
          <w:rFonts w:ascii="Tahoma" w:hAnsi="Tahoma" w:cs="Tahoma"/>
          <w:i/>
          <w:color w:val="000000"/>
          <w:szCs w:val="24"/>
          <w:shd w:val="clear" w:color="auto" w:fill="FFFFFF"/>
        </w:rPr>
      </w:pPr>
      <w:r w:rsidRPr="00040849">
        <w:rPr>
          <w:rFonts w:ascii="Tahoma" w:hAnsi="Tahoma" w:cs="Tahoma"/>
          <w:bCs/>
          <w:i/>
          <w:szCs w:val="24"/>
        </w:rPr>
        <w:t>(…)</w:t>
      </w:r>
      <w:r w:rsidR="00823EFF" w:rsidRPr="00040849">
        <w:rPr>
          <w:rFonts w:ascii="Tahoma" w:hAnsi="Tahoma" w:cs="Tahoma"/>
          <w:bCs/>
          <w:i/>
          <w:szCs w:val="24"/>
        </w:rPr>
        <w:t xml:space="preserve"> </w:t>
      </w:r>
      <w:r w:rsidRPr="00040849">
        <w:rPr>
          <w:rStyle w:val="normaltextrun"/>
          <w:rFonts w:ascii="Tahoma" w:hAnsi="Tahoma" w:cs="Tahoma"/>
          <w:i/>
          <w:color w:val="000000"/>
          <w:szCs w:val="24"/>
          <w:shd w:val="clear" w:color="auto" w:fill="FFFFFF"/>
        </w:rPr>
        <w:t xml:space="preserve">La elección de régimen o fondo pensional es una decisión del afiliado que tiene una orientación multidimensional, pues abarca la aspiración de cualquier persona en torno a ampararse él y sus beneficiarios no solo del riesgo de invalidez, sino también los de vejez y muerte, conforme al marco jurídico prestacional que ofrece cada uno de los regímenes validados por el Estado. </w:t>
      </w:r>
    </w:p>
    <w:p w14:paraId="39B49254" w14:textId="77777777" w:rsidR="0025729B" w:rsidRPr="00040849" w:rsidRDefault="0025729B" w:rsidP="00040849">
      <w:pPr>
        <w:spacing w:after="0" w:line="240" w:lineRule="auto"/>
        <w:ind w:left="426" w:right="420" w:firstLine="709"/>
        <w:jc w:val="both"/>
        <w:rPr>
          <w:rFonts w:ascii="Tahoma" w:eastAsia="Bookman Old Style" w:hAnsi="Tahoma" w:cs="Tahoma"/>
          <w:i/>
          <w:color w:val="000000" w:themeColor="text1"/>
          <w:szCs w:val="24"/>
          <w:lang w:val="es"/>
        </w:rPr>
      </w:pPr>
    </w:p>
    <w:p w14:paraId="5F5E7F99" w14:textId="77777777" w:rsidR="0025729B" w:rsidRPr="00040849" w:rsidRDefault="0025729B" w:rsidP="00040849">
      <w:pPr>
        <w:spacing w:after="0" w:line="240" w:lineRule="auto"/>
        <w:ind w:left="426" w:right="420" w:firstLine="709"/>
        <w:jc w:val="both"/>
        <w:rPr>
          <w:rFonts w:ascii="Tahoma" w:hAnsi="Tahoma" w:cs="Tahoma"/>
          <w:i/>
          <w:szCs w:val="24"/>
        </w:rPr>
      </w:pPr>
      <w:r w:rsidRPr="00040849">
        <w:rPr>
          <w:rFonts w:ascii="Tahoma" w:eastAsia="Bookman Old Style" w:hAnsi="Tahoma" w:cs="Tahoma"/>
          <w:i/>
          <w:color w:val="000000" w:themeColor="text1"/>
          <w:szCs w:val="24"/>
          <w:lang w:val="es"/>
        </w:rPr>
        <w:t xml:space="preserve">En el anterior contexto, </w:t>
      </w:r>
      <w:r w:rsidRPr="00040849">
        <w:rPr>
          <w:rFonts w:ascii="Tahoma" w:eastAsia="Bookman Old Style" w:hAnsi="Tahoma" w:cs="Tahoma"/>
          <w:b/>
          <w:i/>
          <w:color w:val="000000" w:themeColor="text1"/>
          <w:szCs w:val="24"/>
          <w:lang w:val="es"/>
        </w:rPr>
        <w:t xml:space="preserve">para la Sala no es admisible que aun cuando la estructuración del riesgo de invalidez y la causación de la pensión ocurrió en una administradora de pensiones anterior, </w:t>
      </w:r>
      <w:r w:rsidRPr="00040849">
        <w:rPr>
          <w:rFonts w:ascii="Tahoma" w:eastAsia="Bookman Old Style" w:hAnsi="Tahoma" w:cs="Tahoma"/>
          <w:b/>
          <w:i/>
          <w:iCs/>
          <w:color w:val="000000" w:themeColor="text1"/>
          <w:szCs w:val="24"/>
          <w:lang w:val="es"/>
        </w:rPr>
        <w:t xml:space="preserve">pero no había sido declarada </w:t>
      </w:r>
      <w:r w:rsidRPr="00040849">
        <w:rPr>
          <w:rFonts w:ascii="Tahoma" w:eastAsia="Bookman Old Style" w:hAnsi="Tahoma" w:cs="Tahoma"/>
          <w:b/>
          <w:i/>
          <w:iCs/>
          <w:color w:val="000000" w:themeColor="text1"/>
          <w:szCs w:val="24"/>
          <w:lang w:val="es"/>
        </w:rPr>
        <w:lastRenderedPageBreak/>
        <w:t>formalmente</w:t>
      </w:r>
      <w:r w:rsidRPr="00040849">
        <w:rPr>
          <w:rFonts w:ascii="Tahoma" w:eastAsia="Bookman Old Style" w:hAnsi="Tahoma" w:cs="Tahoma"/>
          <w:b/>
          <w:i/>
          <w:color w:val="000000" w:themeColor="text1"/>
          <w:szCs w:val="24"/>
          <w:lang w:val="es"/>
        </w:rPr>
        <w:t>, el afiliado se vea abocado a retornar al régimen antiguo y en el que voluntariamente decidió no continuar.</w:t>
      </w:r>
      <w:r w:rsidRPr="00040849">
        <w:rPr>
          <w:rFonts w:ascii="Tahoma" w:eastAsia="Bookman Old Style" w:hAnsi="Tahoma" w:cs="Tahoma"/>
          <w:i/>
          <w:color w:val="000000" w:themeColor="text1"/>
          <w:szCs w:val="24"/>
          <w:lang w:val="es"/>
        </w:rPr>
        <w:t xml:space="preserve"> Sin duda, este criterio desconoce el referido derecho de elección y, además, nótese que eventualmente puede desconocer las reglas temporales mínimas de traslado entre regímenes pensionales, sin que al respecto la ley contemple una excepción cuando la estructuración del riesgo se fija para una vinculación previa.</w:t>
      </w:r>
    </w:p>
    <w:p w14:paraId="2F7DC1AC" w14:textId="77777777" w:rsidR="0025729B" w:rsidRPr="00040849" w:rsidRDefault="0025729B" w:rsidP="00040849">
      <w:pPr>
        <w:spacing w:after="0" w:line="240" w:lineRule="auto"/>
        <w:ind w:left="426" w:right="420" w:firstLine="709"/>
        <w:jc w:val="both"/>
        <w:rPr>
          <w:rStyle w:val="normaltextrun"/>
          <w:rFonts w:ascii="Tahoma" w:hAnsi="Tahoma" w:cs="Tahoma"/>
          <w:i/>
          <w:color w:val="000000"/>
          <w:szCs w:val="24"/>
          <w:shd w:val="clear" w:color="auto" w:fill="FFFFFF"/>
        </w:rPr>
      </w:pPr>
    </w:p>
    <w:p w14:paraId="067BA593" w14:textId="77777777" w:rsidR="0025729B" w:rsidRPr="00040849" w:rsidRDefault="0025729B" w:rsidP="00040849">
      <w:pPr>
        <w:pStyle w:val="Yo"/>
        <w:numPr>
          <w:ilvl w:val="0"/>
          <w:numId w:val="0"/>
        </w:numPr>
        <w:spacing w:line="240" w:lineRule="auto"/>
        <w:ind w:left="426" w:right="420"/>
        <w:jc w:val="both"/>
        <w:rPr>
          <w:rFonts w:ascii="Tahoma" w:hAnsi="Tahoma" w:cs="Tahoma"/>
          <w:i/>
          <w:sz w:val="22"/>
          <w:szCs w:val="24"/>
        </w:rPr>
      </w:pPr>
      <w:r w:rsidRPr="00040849">
        <w:rPr>
          <w:rFonts w:ascii="Tahoma" w:hAnsi="Tahoma" w:cs="Tahoma"/>
          <w:i/>
          <w:sz w:val="22"/>
          <w:szCs w:val="24"/>
        </w:rPr>
        <w:t>(1.2) El reconocimiento pensional a cargo del fondo que administra la afiliación, pese a que el riesgo se estructura en un vínculo antiguo, no tiene implicaciones negativas en la sostenibilidad financiera del sistema pensional</w:t>
      </w:r>
    </w:p>
    <w:p w14:paraId="71EC9F69" w14:textId="13707874" w:rsidR="0025729B" w:rsidRPr="00040849" w:rsidRDefault="00823EFF" w:rsidP="00040849">
      <w:pPr>
        <w:spacing w:after="0" w:line="240" w:lineRule="auto"/>
        <w:ind w:left="426" w:right="420"/>
        <w:jc w:val="both"/>
        <w:rPr>
          <w:rFonts w:ascii="Tahoma" w:hAnsi="Tahoma" w:cs="Tahoma"/>
          <w:bCs/>
          <w:i/>
          <w:szCs w:val="24"/>
        </w:rPr>
      </w:pPr>
      <w:r w:rsidRPr="00040849">
        <w:rPr>
          <w:rFonts w:ascii="Tahoma" w:hAnsi="Tahoma" w:cs="Tahoma"/>
          <w:b/>
          <w:bCs/>
          <w:i/>
          <w:szCs w:val="24"/>
        </w:rPr>
        <w:tab/>
      </w:r>
      <w:r w:rsidR="00EB3F17" w:rsidRPr="00040849">
        <w:rPr>
          <w:rFonts w:ascii="Tahoma" w:hAnsi="Tahoma" w:cs="Tahoma"/>
          <w:b/>
          <w:bCs/>
          <w:i/>
          <w:szCs w:val="24"/>
        </w:rPr>
        <w:tab/>
      </w:r>
      <w:r w:rsidR="00EB3F17" w:rsidRPr="00040849">
        <w:rPr>
          <w:rFonts w:ascii="Tahoma" w:hAnsi="Tahoma" w:cs="Tahoma"/>
          <w:bCs/>
          <w:i/>
          <w:szCs w:val="24"/>
        </w:rPr>
        <w:t>(…)</w:t>
      </w:r>
    </w:p>
    <w:p w14:paraId="64E0732D" w14:textId="77777777" w:rsidR="00EB3F17" w:rsidRPr="00040849" w:rsidRDefault="00EB3F17" w:rsidP="00040849">
      <w:pPr>
        <w:spacing w:after="0" w:line="240" w:lineRule="auto"/>
        <w:ind w:left="426" w:right="420" w:firstLine="709"/>
        <w:jc w:val="both"/>
        <w:rPr>
          <w:rStyle w:val="normaltextrun"/>
          <w:rFonts w:ascii="Tahoma" w:hAnsi="Tahoma" w:cs="Tahoma"/>
          <w:i/>
          <w:color w:val="000000"/>
          <w:szCs w:val="24"/>
          <w:shd w:val="clear" w:color="auto" w:fill="FFFFFF"/>
        </w:rPr>
      </w:pPr>
      <w:r w:rsidRPr="00040849">
        <w:rPr>
          <w:rStyle w:val="normaltextrun"/>
          <w:rFonts w:ascii="Tahoma" w:hAnsi="Tahoma" w:cs="Tahoma"/>
          <w:i/>
          <w:color w:val="000000"/>
          <w:szCs w:val="24"/>
          <w:shd w:val="clear" w:color="auto" w:fill="FFFFFF"/>
        </w:rPr>
        <w:t xml:space="preserve">Aunado a esto, no puede olvidarse que el sistema pensional está cimentado en reglas jurídicas precisas que permiten el traslado entre regímenes o fondos de pensiones con plena garantía del sostenimiento financiero del sistema. El artículo 4.º del Decreto 3800 de 2003, compilado por el artículo 2.2.2.3.2 del Decreto 1833 de 2016, estipula que </w:t>
      </w:r>
      <w:r w:rsidRPr="00040849">
        <w:rPr>
          <w:rFonts w:ascii="Tahoma" w:hAnsi="Tahoma" w:cs="Tahoma"/>
          <w:i/>
          <w:szCs w:val="24"/>
        </w:rPr>
        <w:t>«</w:t>
      </w:r>
      <w:r w:rsidRPr="00040849">
        <w:rPr>
          <w:rStyle w:val="normaltextrun"/>
          <w:rFonts w:ascii="Tahoma" w:hAnsi="Tahoma" w:cs="Tahoma"/>
          <w:i/>
          <w:color w:val="000000"/>
          <w:szCs w:val="24"/>
          <w:shd w:val="clear" w:color="auto" w:fill="FFFFFF"/>
        </w:rPr>
        <w:t>Por razón de la selección, procede el traslado de los recursos a la administradora de pensiones seleccionada</w:t>
      </w:r>
      <w:r w:rsidRPr="00040849">
        <w:rPr>
          <w:rFonts w:ascii="Tahoma" w:hAnsi="Tahoma" w:cs="Tahoma"/>
          <w:i/>
          <w:szCs w:val="24"/>
        </w:rPr>
        <w:t>»</w:t>
      </w:r>
      <w:r w:rsidRPr="00040849">
        <w:rPr>
          <w:rStyle w:val="normaltextrun"/>
          <w:rFonts w:ascii="Tahoma" w:hAnsi="Tahoma" w:cs="Tahoma"/>
          <w:i/>
          <w:color w:val="000000"/>
          <w:szCs w:val="24"/>
          <w:shd w:val="clear" w:color="auto" w:fill="FFFFFF"/>
        </w:rPr>
        <w:t xml:space="preserve">. </w:t>
      </w:r>
    </w:p>
    <w:p w14:paraId="11AF7A5A" w14:textId="77777777" w:rsidR="00EB3F17" w:rsidRPr="00040849" w:rsidRDefault="00EB3F17" w:rsidP="00040849">
      <w:pPr>
        <w:spacing w:after="0" w:line="240" w:lineRule="auto"/>
        <w:ind w:left="426" w:right="420" w:firstLine="709"/>
        <w:jc w:val="both"/>
        <w:rPr>
          <w:rStyle w:val="normaltextrun"/>
          <w:rFonts w:ascii="Tahoma" w:hAnsi="Tahoma" w:cs="Tahoma"/>
          <w:i/>
          <w:color w:val="000000"/>
          <w:szCs w:val="24"/>
          <w:shd w:val="clear" w:color="auto" w:fill="FFFFFF"/>
        </w:rPr>
      </w:pPr>
    </w:p>
    <w:p w14:paraId="11F8FB58" w14:textId="77777777" w:rsidR="00823EFF" w:rsidRPr="00040849" w:rsidRDefault="00EB3F17" w:rsidP="00040849">
      <w:pPr>
        <w:spacing w:after="0" w:line="240" w:lineRule="auto"/>
        <w:ind w:left="426" w:right="420" w:firstLine="709"/>
        <w:jc w:val="both"/>
        <w:rPr>
          <w:rStyle w:val="normaltextrun"/>
          <w:rFonts w:ascii="Tahoma" w:hAnsi="Tahoma" w:cs="Tahoma"/>
          <w:b/>
          <w:i/>
          <w:color w:val="000000"/>
          <w:szCs w:val="24"/>
          <w:shd w:val="clear" w:color="auto" w:fill="FFFFFF"/>
        </w:rPr>
      </w:pPr>
      <w:r w:rsidRPr="00040849">
        <w:rPr>
          <w:rStyle w:val="normaltextrun"/>
          <w:rFonts w:ascii="Tahoma" w:hAnsi="Tahoma" w:cs="Tahoma"/>
          <w:b/>
          <w:i/>
          <w:color w:val="000000"/>
          <w:szCs w:val="24"/>
          <w:shd w:val="clear" w:color="auto" w:fill="FFFFFF"/>
        </w:rPr>
        <w:t>En esa perspectiva, si una persona en situación de invalidez se traslada a un régimen pensional y en el decurso de la afiliación se declara formalmente el riesgo, el fondo que administra la afiliación se presume que cuenta con el respaldo financiero para responder por la prestación que corresponda, incluso si la estructuración del riesgo y la causación del derecho pensional ocurre en una afiliación anterior, puesto que la declaración del mismo es la que hace surgir el derecho.</w:t>
      </w:r>
    </w:p>
    <w:p w14:paraId="13F58732" w14:textId="00A340C8" w:rsidR="00EB3F17" w:rsidRPr="00040849" w:rsidRDefault="00EB3F17" w:rsidP="00040849">
      <w:pPr>
        <w:spacing w:after="0" w:line="240" w:lineRule="auto"/>
        <w:ind w:left="426" w:right="420" w:firstLine="709"/>
        <w:jc w:val="both"/>
        <w:rPr>
          <w:rStyle w:val="normaltextrun"/>
          <w:rFonts w:ascii="Tahoma" w:hAnsi="Tahoma" w:cs="Tahoma"/>
          <w:b/>
          <w:i/>
          <w:color w:val="000000"/>
          <w:szCs w:val="24"/>
          <w:shd w:val="clear" w:color="auto" w:fill="FFFFFF"/>
        </w:rPr>
      </w:pPr>
      <w:r w:rsidRPr="00040849">
        <w:rPr>
          <w:rStyle w:val="normaltextrun"/>
          <w:rFonts w:ascii="Tahoma" w:hAnsi="Tahoma" w:cs="Tahoma"/>
          <w:b/>
          <w:i/>
          <w:color w:val="000000"/>
          <w:szCs w:val="24"/>
          <w:shd w:val="clear" w:color="auto" w:fill="FFFFFF"/>
        </w:rPr>
        <w:t xml:space="preserve"> </w:t>
      </w:r>
    </w:p>
    <w:p w14:paraId="26473FA9" w14:textId="01CF10E1" w:rsidR="00EB3F17" w:rsidRPr="00040849" w:rsidRDefault="00EB3F17" w:rsidP="00040849">
      <w:pPr>
        <w:spacing w:after="0" w:line="240" w:lineRule="auto"/>
        <w:ind w:left="426" w:right="420"/>
        <w:jc w:val="both"/>
        <w:rPr>
          <w:rFonts w:ascii="Tahoma" w:hAnsi="Tahoma" w:cs="Tahoma"/>
          <w:i/>
          <w:color w:val="000000"/>
          <w:szCs w:val="24"/>
          <w:shd w:val="clear" w:color="auto" w:fill="FFFFFF"/>
        </w:rPr>
      </w:pPr>
      <w:r w:rsidRPr="00040849">
        <w:rPr>
          <w:rFonts w:ascii="Tahoma" w:hAnsi="Tahoma" w:cs="Tahoma"/>
          <w:bCs/>
          <w:i/>
          <w:szCs w:val="24"/>
        </w:rPr>
        <w:tab/>
      </w:r>
      <w:r w:rsidR="00823EFF" w:rsidRPr="00040849">
        <w:rPr>
          <w:rFonts w:ascii="Tahoma" w:hAnsi="Tahoma" w:cs="Tahoma"/>
          <w:bCs/>
          <w:i/>
          <w:szCs w:val="24"/>
        </w:rPr>
        <w:tab/>
      </w:r>
      <w:r w:rsidRPr="00040849">
        <w:rPr>
          <w:rFonts w:ascii="Tahoma" w:hAnsi="Tahoma" w:cs="Tahoma"/>
          <w:bCs/>
          <w:i/>
          <w:szCs w:val="24"/>
        </w:rPr>
        <w:t>(…)</w:t>
      </w:r>
      <w:r w:rsidR="00823EFF" w:rsidRPr="00040849">
        <w:rPr>
          <w:rFonts w:ascii="Tahoma" w:hAnsi="Tahoma" w:cs="Tahoma"/>
          <w:bCs/>
          <w:i/>
          <w:szCs w:val="24"/>
        </w:rPr>
        <w:t xml:space="preserve"> </w:t>
      </w:r>
      <w:r w:rsidRPr="00040849">
        <w:rPr>
          <w:rFonts w:ascii="Tahoma" w:hAnsi="Tahoma" w:cs="Tahoma"/>
          <w:i/>
          <w:color w:val="000000"/>
          <w:szCs w:val="24"/>
          <w:shd w:val="clear" w:color="auto" w:fill="FFFFFF"/>
        </w:rPr>
        <w:t xml:space="preserve">En otros términos, si bien el </w:t>
      </w:r>
      <w:r w:rsidRPr="00040849">
        <w:rPr>
          <w:rFonts w:ascii="Tahoma" w:hAnsi="Tahoma" w:cs="Tahoma"/>
          <w:i/>
          <w:iCs/>
          <w:color w:val="000000"/>
          <w:szCs w:val="24"/>
          <w:shd w:val="clear" w:color="auto" w:fill="FFFFFF"/>
        </w:rPr>
        <w:t xml:space="preserve">siniestro </w:t>
      </w:r>
      <w:r w:rsidRPr="00040849">
        <w:rPr>
          <w:rFonts w:ascii="Tahoma" w:hAnsi="Tahoma" w:cs="Tahoma"/>
          <w:i/>
          <w:color w:val="000000"/>
          <w:szCs w:val="24"/>
          <w:shd w:val="clear" w:color="auto" w:fill="FFFFFF"/>
        </w:rPr>
        <w:t xml:space="preserve">-usando el tecnicismo propio del seguro privado y no de la seguridad social- puede configurarse desde que se estructura formalmente la invalidez, es el momento en que se verifique esa situación amparable por el sistema y cuando dicha decisión queda </w:t>
      </w:r>
      <w:r w:rsidRPr="00040849">
        <w:rPr>
          <w:rFonts w:ascii="Tahoma" w:hAnsi="Tahoma" w:cs="Tahoma"/>
          <w:i/>
          <w:iCs/>
          <w:color w:val="000000"/>
          <w:szCs w:val="24"/>
          <w:shd w:val="clear" w:color="auto" w:fill="FFFFFF"/>
        </w:rPr>
        <w:t>en firme</w:t>
      </w:r>
      <w:r w:rsidRPr="00040849">
        <w:rPr>
          <w:rFonts w:ascii="Tahoma" w:hAnsi="Tahoma" w:cs="Tahoma"/>
          <w:i/>
          <w:color w:val="000000"/>
          <w:szCs w:val="24"/>
          <w:shd w:val="clear" w:color="auto" w:fill="FFFFFF"/>
        </w:rPr>
        <w:t xml:space="preserve"> lo que genera que la aseguradora responda por el seguro contratado con la AFP. </w:t>
      </w:r>
    </w:p>
    <w:p w14:paraId="1661F7F6" w14:textId="77777777" w:rsidR="00EB3F17" w:rsidRPr="00040849" w:rsidRDefault="00EB3F17" w:rsidP="00040849">
      <w:pPr>
        <w:spacing w:after="0" w:line="240" w:lineRule="auto"/>
        <w:ind w:left="426" w:right="420" w:firstLine="709"/>
        <w:jc w:val="both"/>
        <w:rPr>
          <w:rFonts w:ascii="Tahoma" w:hAnsi="Tahoma" w:cs="Tahoma"/>
          <w:i/>
          <w:color w:val="000000" w:themeColor="text1"/>
          <w:szCs w:val="24"/>
        </w:rPr>
      </w:pPr>
    </w:p>
    <w:p w14:paraId="4772495F" w14:textId="77777777" w:rsidR="00EB3F17" w:rsidRPr="00040849" w:rsidRDefault="00EB3F17" w:rsidP="00040849">
      <w:pPr>
        <w:spacing w:after="0" w:line="240" w:lineRule="auto"/>
        <w:ind w:left="426" w:right="420" w:firstLine="709"/>
        <w:jc w:val="both"/>
        <w:rPr>
          <w:rFonts w:ascii="Tahoma" w:eastAsia="Bookman Old Style" w:hAnsi="Tahoma" w:cs="Tahoma"/>
          <w:i/>
          <w:color w:val="000000" w:themeColor="text1"/>
          <w:szCs w:val="24"/>
        </w:rPr>
      </w:pPr>
      <w:r w:rsidRPr="00040849">
        <w:rPr>
          <w:rFonts w:ascii="Tahoma" w:eastAsia="Bookman Old Style" w:hAnsi="Tahoma" w:cs="Tahoma"/>
          <w:i/>
          <w:color w:val="000000" w:themeColor="text1"/>
          <w:szCs w:val="24"/>
          <w:lang w:val="es"/>
        </w:rPr>
        <w:t xml:space="preserve">Así también lo establece específicamente para las pensiones de invalidez del RAIS el artículo 6.º del Decreto 1889 de 1994 -compilado por el artículo 2.2.5.8.1 del Decreto 1833 de 2016-, al señalar que el capital necesario es el valor actual esperado de la pensión de referencia de invalidez que se genere </w:t>
      </w:r>
      <w:r w:rsidRPr="00040849">
        <w:rPr>
          <w:rFonts w:ascii="Tahoma" w:eastAsia="Bookman Old Style" w:hAnsi="Tahoma" w:cs="Tahoma"/>
          <w:i/>
          <w:color w:val="000000" w:themeColor="text1"/>
          <w:szCs w:val="24"/>
        </w:rPr>
        <w:t xml:space="preserve">desde el </w:t>
      </w:r>
      <w:r w:rsidRPr="00040849">
        <w:rPr>
          <w:rFonts w:ascii="Tahoma" w:eastAsia="Bookman Old Style" w:hAnsi="Tahoma" w:cs="Tahoma"/>
          <w:i/>
          <w:iCs/>
          <w:szCs w:val="24"/>
        </w:rPr>
        <w:t>«</w:t>
      </w:r>
      <w:r w:rsidRPr="00040849">
        <w:rPr>
          <w:rFonts w:ascii="Tahoma" w:eastAsia="Bookman Old Style" w:hAnsi="Tahoma" w:cs="Tahoma"/>
          <w:i/>
          <w:iCs/>
          <w:color w:val="000000" w:themeColor="text1"/>
          <w:szCs w:val="24"/>
          <w:u w:val="single"/>
        </w:rPr>
        <w:t>momento en que el dictamen de invalidez quede en firme</w:t>
      </w:r>
      <w:r w:rsidRPr="00040849">
        <w:rPr>
          <w:rFonts w:ascii="Tahoma" w:eastAsia="Bookman Old Style" w:hAnsi="Tahoma" w:cs="Tahoma"/>
          <w:i/>
          <w:iCs/>
          <w:color w:val="000000" w:themeColor="text1"/>
          <w:szCs w:val="24"/>
        </w:rPr>
        <w:t>, y hasta la extinción del derecho a la pensión en su favor</w:t>
      </w:r>
      <w:r w:rsidRPr="00040849">
        <w:rPr>
          <w:rFonts w:ascii="Tahoma" w:eastAsia="Bookman Old Style" w:hAnsi="Tahoma" w:cs="Tahoma"/>
          <w:i/>
          <w:iCs/>
          <w:szCs w:val="24"/>
          <w:lang w:val="es"/>
        </w:rPr>
        <w:t>»</w:t>
      </w:r>
      <w:r w:rsidRPr="00040849">
        <w:rPr>
          <w:rFonts w:ascii="Tahoma" w:eastAsia="Bookman Old Style" w:hAnsi="Tahoma" w:cs="Tahoma"/>
          <w:i/>
          <w:color w:val="000000" w:themeColor="text1"/>
          <w:szCs w:val="24"/>
        </w:rPr>
        <w:t>.</w:t>
      </w:r>
    </w:p>
    <w:p w14:paraId="0675936A" w14:textId="77777777" w:rsidR="00EB3F17" w:rsidRPr="00040849" w:rsidRDefault="00EB3F17" w:rsidP="00040849">
      <w:pPr>
        <w:spacing w:after="0" w:line="240" w:lineRule="auto"/>
        <w:ind w:left="426" w:right="420" w:firstLine="709"/>
        <w:jc w:val="both"/>
        <w:rPr>
          <w:rFonts w:ascii="Tahoma" w:hAnsi="Tahoma" w:cs="Tahoma"/>
          <w:i/>
          <w:color w:val="000000" w:themeColor="text1"/>
          <w:szCs w:val="24"/>
        </w:rPr>
      </w:pPr>
    </w:p>
    <w:p w14:paraId="67A4EB13" w14:textId="77777777" w:rsidR="00EB3F17" w:rsidRPr="00040849" w:rsidRDefault="00EB3F17" w:rsidP="00040849">
      <w:pPr>
        <w:spacing w:after="0" w:line="240" w:lineRule="auto"/>
        <w:ind w:left="426" w:right="420" w:firstLine="709"/>
        <w:jc w:val="both"/>
        <w:rPr>
          <w:rFonts w:ascii="Tahoma" w:hAnsi="Tahoma" w:cs="Tahoma"/>
          <w:b/>
          <w:i/>
          <w:szCs w:val="24"/>
        </w:rPr>
      </w:pPr>
      <w:r w:rsidRPr="00040849">
        <w:rPr>
          <w:rFonts w:ascii="Tahoma" w:eastAsia="Bookman Old Style" w:hAnsi="Tahoma" w:cs="Tahoma"/>
          <w:b/>
          <w:i/>
          <w:color w:val="000000" w:themeColor="text1"/>
          <w:szCs w:val="24"/>
          <w:lang w:val="es"/>
        </w:rPr>
        <w:t xml:space="preserve">Como se </w:t>
      </w:r>
      <w:r w:rsidRPr="00040849">
        <w:rPr>
          <w:rFonts w:ascii="Tahoma" w:eastAsia="Bookman Old Style" w:hAnsi="Tahoma" w:cs="Tahoma"/>
          <w:b/>
          <w:i/>
          <w:color w:val="000000" w:themeColor="text1"/>
          <w:szCs w:val="24"/>
        </w:rPr>
        <w:t>advierte</w:t>
      </w:r>
      <w:r w:rsidRPr="00040849">
        <w:rPr>
          <w:rFonts w:ascii="Tahoma" w:eastAsia="Bookman Old Style" w:hAnsi="Tahoma" w:cs="Tahoma"/>
          <w:b/>
          <w:i/>
          <w:color w:val="000000" w:themeColor="text1"/>
          <w:szCs w:val="24"/>
          <w:lang w:val="es"/>
        </w:rPr>
        <w:t xml:space="preserve">, lo anterior ratifica lo expuesto, esto es, que el derecho pensional </w:t>
      </w:r>
      <w:r w:rsidRPr="00040849">
        <w:rPr>
          <w:rFonts w:ascii="Tahoma" w:eastAsia="Bookman Old Style" w:hAnsi="Tahoma" w:cs="Tahoma"/>
          <w:b/>
          <w:i/>
          <w:iCs/>
          <w:color w:val="000000" w:themeColor="text1"/>
          <w:szCs w:val="24"/>
          <w:lang w:val="es"/>
        </w:rPr>
        <w:t>surge</w:t>
      </w:r>
      <w:r w:rsidRPr="00040849">
        <w:rPr>
          <w:rFonts w:ascii="Tahoma" w:eastAsia="Bookman Old Style" w:hAnsi="Tahoma" w:cs="Tahoma"/>
          <w:b/>
          <w:i/>
          <w:color w:val="000000" w:themeColor="text1"/>
          <w:szCs w:val="24"/>
          <w:lang w:val="es"/>
        </w:rPr>
        <w:t xml:space="preserve"> con la declaración formal de la situación de invalidez y </w:t>
      </w:r>
      <w:r w:rsidRPr="00040849">
        <w:rPr>
          <w:rFonts w:ascii="Tahoma" w:eastAsia="Bookman Old Style" w:hAnsi="Tahoma" w:cs="Tahoma"/>
          <w:b/>
          <w:i/>
          <w:iCs/>
          <w:color w:val="000000" w:themeColor="text1"/>
          <w:szCs w:val="24"/>
          <w:lang w:val="es"/>
        </w:rPr>
        <w:t xml:space="preserve">su causación </w:t>
      </w:r>
      <w:r w:rsidRPr="00040849">
        <w:rPr>
          <w:rFonts w:ascii="Tahoma" w:eastAsia="Bookman Old Style" w:hAnsi="Tahoma" w:cs="Tahoma"/>
          <w:b/>
          <w:i/>
          <w:color w:val="000000" w:themeColor="text1"/>
          <w:szCs w:val="24"/>
          <w:lang w:val="es"/>
        </w:rPr>
        <w:t>a partir de la estructuración del riesgo o excepcionalmente en cualquiera de las otras hipótesis tratándose de enfermedades degenerativas.</w:t>
      </w:r>
    </w:p>
    <w:p w14:paraId="3CDB2021" w14:textId="77777777" w:rsidR="00EB3F17" w:rsidRPr="00040849" w:rsidRDefault="00EB3F17" w:rsidP="00040849">
      <w:pPr>
        <w:spacing w:after="0" w:line="240" w:lineRule="auto"/>
        <w:ind w:left="426" w:right="420" w:firstLine="709"/>
        <w:jc w:val="both"/>
        <w:rPr>
          <w:rFonts w:ascii="Tahoma" w:hAnsi="Tahoma" w:cs="Tahoma"/>
          <w:b/>
          <w:i/>
          <w:color w:val="000000" w:themeColor="text1"/>
          <w:szCs w:val="24"/>
        </w:rPr>
      </w:pPr>
    </w:p>
    <w:p w14:paraId="3D6C5EDD" w14:textId="77777777" w:rsidR="00EB3F17" w:rsidRPr="00040849" w:rsidRDefault="00EB3F17" w:rsidP="00040849">
      <w:pPr>
        <w:spacing w:after="0" w:line="240" w:lineRule="auto"/>
        <w:ind w:left="426" w:right="420" w:firstLine="709"/>
        <w:jc w:val="both"/>
        <w:rPr>
          <w:rFonts w:ascii="Tahoma" w:hAnsi="Tahoma" w:cs="Tahoma"/>
          <w:i/>
          <w:color w:val="000000"/>
          <w:szCs w:val="24"/>
          <w:shd w:val="clear" w:color="auto" w:fill="FFFFFF"/>
        </w:rPr>
      </w:pPr>
      <w:r w:rsidRPr="00040849">
        <w:rPr>
          <w:rFonts w:ascii="Tahoma" w:hAnsi="Tahoma" w:cs="Tahoma"/>
          <w:i/>
          <w:color w:val="000000"/>
          <w:szCs w:val="24"/>
          <w:shd w:val="clear" w:color="auto" w:fill="FFFFFF"/>
        </w:rPr>
        <w:t>Por tanto, la interpretación que prohíja la Corte es totalmente concordante con el particular carácter que define el riesgo de la invalidez y con el hecho que no siempre la pensión que cubre el riesgo se causa al momento de su estructuración. Y es que, el afiliado no puede quedar sometido a que se determine el momento de causación del derecho pensional a fin de tener claridad acerca de si permanece en un ente pensional o se anula su afiliación, escenario que sin duda atenta contra la referida garantía mínima de elegir y permanecer en un fondo o régimen pensional</w:t>
      </w:r>
    </w:p>
    <w:p w14:paraId="01802C11" w14:textId="77777777" w:rsidR="00EB3F17" w:rsidRPr="00040849" w:rsidRDefault="00EB3F17" w:rsidP="00040849">
      <w:pPr>
        <w:spacing w:after="0" w:line="240" w:lineRule="auto"/>
        <w:ind w:left="426" w:right="420" w:firstLine="709"/>
        <w:jc w:val="both"/>
        <w:rPr>
          <w:rFonts w:ascii="Tahoma" w:hAnsi="Tahoma" w:cs="Tahoma"/>
          <w:i/>
          <w:color w:val="000000"/>
          <w:szCs w:val="24"/>
          <w:shd w:val="clear" w:color="auto" w:fill="FFFFFF"/>
        </w:rPr>
      </w:pPr>
    </w:p>
    <w:p w14:paraId="2D272B3E" w14:textId="77777777" w:rsidR="00EB3F17" w:rsidRPr="00040849" w:rsidRDefault="00EB3F17" w:rsidP="00040849">
      <w:pPr>
        <w:spacing w:after="0" w:line="240" w:lineRule="auto"/>
        <w:ind w:left="426" w:right="420" w:firstLine="709"/>
        <w:jc w:val="both"/>
        <w:rPr>
          <w:rFonts w:ascii="Tahoma" w:hAnsi="Tahoma" w:cs="Tahoma"/>
          <w:b/>
          <w:i/>
          <w:szCs w:val="24"/>
        </w:rPr>
      </w:pPr>
      <w:r w:rsidRPr="00040849">
        <w:rPr>
          <w:rFonts w:ascii="Tahoma" w:eastAsia="Bookman Old Style" w:hAnsi="Tahoma" w:cs="Tahoma"/>
          <w:b/>
          <w:i/>
          <w:color w:val="000000" w:themeColor="text1"/>
          <w:szCs w:val="24"/>
          <w:lang w:val="es"/>
        </w:rPr>
        <w:t>De modo que es la declaración formal y en firme de la situación de invalidez, bien sea en sede administrativa o si se demanda ante la jurisdicción ordina laboral, lo que marca el aseguramiento y la entidad responsable de la obligación.</w:t>
      </w:r>
    </w:p>
    <w:p w14:paraId="52B2C3AA" w14:textId="77777777" w:rsidR="00EB3F17" w:rsidRPr="00040849" w:rsidRDefault="00EB3F17" w:rsidP="00040849">
      <w:pPr>
        <w:spacing w:after="0" w:line="240" w:lineRule="auto"/>
        <w:ind w:left="426" w:right="420" w:firstLine="709"/>
        <w:jc w:val="both"/>
        <w:rPr>
          <w:rFonts w:ascii="Tahoma" w:hAnsi="Tahoma" w:cs="Tahoma"/>
          <w:i/>
          <w:color w:val="000000" w:themeColor="text1"/>
          <w:szCs w:val="24"/>
        </w:rPr>
      </w:pPr>
    </w:p>
    <w:p w14:paraId="0CA17D92" w14:textId="77777777" w:rsidR="00EB3F17" w:rsidRPr="00040849" w:rsidRDefault="00EB3F17" w:rsidP="00040849">
      <w:pPr>
        <w:spacing w:after="0" w:line="240" w:lineRule="auto"/>
        <w:ind w:left="426" w:right="420" w:firstLine="709"/>
        <w:jc w:val="both"/>
        <w:rPr>
          <w:rFonts w:ascii="Tahoma" w:hAnsi="Tahoma" w:cs="Tahoma"/>
          <w:i/>
          <w:color w:val="000000"/>
          <w:szCs w:val="24"/>
          <w:shd w:val="clear" w:color="auto" w:fill="FFFFFF"/>
        </w:rPr>
      </w:pPr>
      <w:r w:rsidRPr="00040849">
        <w:rPr>
          <w:rFonts w:ascii="Tahoma" w:hAnsi="Tahoma" w:cs="Tahoma"/>
          <w:i/>
          <w:color w:val="000000"/>
          <w:szCs w:val="24"/>
          <w:shd w:val="clear" w:color="auto" w:fill="FFFFFF"/>
        </w:rPr>
        <w:t xml:space="preserve">Cabe destacar que esta unidad de procedimientos y prestaciones económicas ya ha sido analizada por la Corte en otras esferas. Por ejemplo, en materia de riesgos laborales, es la administradora en la que el afiliado requiera la prestación por enfermedad laboral la que debe realizar el reconocimiento respectivo, es decir, el último ente asegurador. Ello pese a que la exposición del riesgo haya ocurrido durante la afiliación a diferentes administradoras e incluso cuando las contingencias sean de diverso orden -comunes y laborales-. Y como en esta situación no existe traslado de recursos financieros, se prevé la posibilidad de repetir proporcionalmente el valor pagado -artículo 1.º parágrafo 2.º de la Ley 776 de 2002, CSJ SL, 24 jun. 2012, rad. 38614. </w:t>
      </w:r>
    </w:p>
    <w:p w14:paraId="2A5B0383" w14:textId="77777777" w:rsidR="00EB3F17" w:rsidRPr="00040849" w:rsidRDefault="00EB3F17" w:rsidP="00040849">
      <w:pPr>
        <w:spacing w:after="0" w:line="240" w:lineRule="auto"/>
        <w:ind w:left="426" w:right="420" w:firstLine="709"/>
        <w:jc w:val="both"/>
        <w:rPr>
          <w:rFonts w:ascii="Tahoma" w:hAnsi="Tahoma" w:cs="Tahoma"/>
          <w:i/>
          <w:color w:val="000000"/>
          <w:szCs w:val="24"/>
          <w:shd w:val="clear" w:color="auto" w:fill="FFFFFF"/>
        </w:rPr>
      </w:pPr>
    </w:p>
    <w:p w14:paraId="00A27848" w14:textId="55E6FAD3" w:rsidR="00EB3F17" w:rsidRPr="00040849" w:rsidRDefault="00EB3F17" w:rsidP="00040849">
      <w:pPr>
        <w:spacing w:after="0" w:line="240" w:lineRule="auto"/>
        <w:ind w:left="426" w:right="420" w:firstLine="709"/>
        <w:jc w:val="both"/>
        <w:rPr>
          <w:rFonts w:ascii="Tahoma" w:hAnsi="Tahoma" w:cs="Tahoma"/>
          <w:i/>
          <w:color w:val="000000"/>
          <w:szCs w:val="24"/>
          <w:shd w:val="clear" w:color="auto" w:fill="FFFFFF"/>
        </w:rPr>
      </w:pPr>
      <w:r w:rsidRPr="00040849">
        <w:rPr>
          <w:rFonts w:ascii="Tahoma" w:hAnsi="Tahoma" w:cs="Tahoma"/>
          <w:i/>
          <w:color w:val="000000"/>
          <w:szCs w:val="24"/>
          <w:shd w:val="clear" w:color="auto" w:fill="FFFFFF"/>
        </w:rPr>
        <w:t>Así, el reconocimiento prestacional está al margen de que en su formación existan hechos que vinculen a administradoras anteriores. Se garantiza una unidad prestacional y de articulación de procedimientos y recursos, a fin de evitar tardanzas y trámites innecesarios en la protección de las contingencias -artículo 2.º de la Ley 100 de 1993.</w:t>
      </w:r>
    </w:p>
    <w:p w14:paraId="1931659E" w14:textId="77777777" w:rsidR="00135A60" w:rsidRPr="00F53B9C" w:rsidRDefault="00135A60" w:rsidP="00F53B9C">
      <w:pPr>
        <w:spacing w:after="0" w:line="240" w:lineRule="auto"/>
        <w:ind w:left="426" w:right="420" w:firstLine="709"/>
        <w:jc w:val="both"/>
        <w:rPr>
          <w:rFonts w:ascii="Tahoma" w:hAnsi="Tahoma" w:cs="Tahoma"/>
          <w:i/>
          <w:color w:val="000000"/>
          <w:szCs w:val="24"/>
          <w:shd w:val="clear" w:color="auto" w:fill="FFFFFF"/>
        </w:rPr>
      </w:pPr>
    </w:p>
    <w:p w14:paraId="6F2411B6" w14:textId="77777777" w:rsidR="00135A60" w:rsidRPr="00F53B9C" w:rsidRDefault="00135A60" w:rsidP="00F53B9C">
      <w:pPr>
        <w:spacing w:after="0" w:line="240" w:lineRule="auto"/>
        <w:ind w:left="426" w:right="420" w:firstLine="709"/>
        <w:jc w:val="both"/>
        <w:rPr>
          <w:rStyle w:val="normaltextrun"/>
          <w:rFonts w:ascii="Tahoma" w:hAnsi="Tahoma" w:cs="Tahoma"/>
          <w:b/>
          <w:i/>
          <w:color w:val="000000"/>
          <w:szCs w:val="24"/>
          <w:shd w:val="clear" w:color="auto" w:fill="FFFFFF"/>
        </w:rPr>
      </w:pPr>
      <w:r w:rsidRPr="00F53B9C">
        <w:rPr>
          <w:rStyle w:val="normaltextrun"/>
          <w:rFonts w:ascii="Tahoma" w:hAnsi="Tahoma" w:cs="Tahoma"/>
          <w:b/>
          <w:i/>
          <w:color w:val="000000"/>
          <w:szCs w:val="24"/>
          <w:shd w:val="clear" w:color="auto" w:fill="FFFFFF"/>
        </w:rPr>
        <w:t xml:space="preserve">(2) Caso concreto </w:t>
      </w:r>
    </w:p>
    <w:p w14:paraId="55C85B1E" w14:textId="77777777" w:rsidR="00135A60" w:rsidRPr="00F53B9C" w:rsidRDefault="00135A60" w:rsidP="00F53B9C">
      <w:pPr>
        <w:spacing w:after="0" w:line="240" w:lineRule="auto"/>
        <w:ind w:left="426" w:right="420" w:firstLine="709"/>
        <w:jc w:val="both"/>
        <w:rPr>
          <w:rFonts w:ascii="Tahoma" w:hAnsi="Tahoma" w:cs="Tahoma"/>
          <w:i/>
          <w:color w:val="000000"/>
          <w:szCs w:val="24"/>
          <w:shd w:val="clear" w:color="auto" w:fill="FFFFFF"/>
        </w:rPr>
      </w:pPr>
    </w:p>
    <w:p w14:paraId="025C6C3D" w14:textId="77777777" w:rsidR="00135A60" w:rsidRPr="00F53B9C" w:rsidRDefault="00135A60" w:rsidP="00F53B9C">
      <w:pPr>
        <w:spacing w:after="0" w:line="240" w:lineRule="auto"/>
        <w:ind w:left="426" w:right="420" w:firstLine="709"/>
        <w:jc w:val="both"/>
        <w:rPr>
          <w:rFonts w:ascii="Tahoma" w:hAnsi="Tahoma" w:cs="Tahoma"/>
          <w:i/>
          <w:szCs w:val="24"/>
        </w:rPr>
      </w:pPr>
      <w:r w:rsidRPr="00F53B9C">
        <w:rPr>
          <w:rFonts w:ascii="Tahoma" w:eastAsia="Bookman Old Style" w:hAnsi="Tahoma" w:cs="Tahoma"/>
          <w:i/>
          <w:color w:val="000000" w:themeColor="text1"/>
          <w:szCs w:val="24"/>
          <w:lang w:val="es"/>
        </w:rPr>
        <w:t xml:space="preserve">En el caso analizado, si bien el </w:t>
      </w:r>
      <w:r w:rsidRPr="00F53B9C">
        <w:rPr>
          <w:rFonts w:ascii="Tahoma" w:eastAsia="Bookman Old Style" w:hAnsi="Tahoma" w:cs="Tahoma"/>
          <w:i/>
          <w:iCs/>
          <w:color w:val="000000" w:themeColor="text1"/>
          <w:szCs w:val="24"/>
          <w:lang w:val="es"/>
        </w:rPr>
        <w:t xml:space="preserve">ad </w:t>
      </w:r>
      <w:proofErr w:type="spellStart"/>
      <w:r w:rsidRPr="00F53B9C">
        <w:rPr>
          <w:rFonts w:ascii="Tahoma" w:eastAsia="Bookman Old Style" w:hAnsi="Tahoma" w:cs="Tahoma"/>
          <w:i/>
          <w:iCs/>
          <w:color w:val="000000" w:themeColor="text1"/>
          <w:szCs w:val="24"/>
          <w:lang w:val="es"/>
        </w:rPr>
        <w:t>quem</w:t>
      </w:r>
      <w:proofErr w:type="spellEnd"/>
      <w:r w:rsidRPr="00F53B9C">
        <w:rPr>
          <w:rFonts w:ascii="Tahoma" w:eastAsia="Bookman Old Style" w:hAnsi="Tahoma" w:cs="Tahoma"/>
          <w:i/>
          <w:iCs/>
          <w:color w:val="000000" w:themeColor="text1"/>
          <w:szCs w:val="24"/>
          <w:lang w:val="es"/>
        </w:rPr>
        <w:t xml:space="preserve"> </w:t>
      </w:r>
      <w:r w:rsidRPr="00F53B9C">
        <w:rPr>
          <w:rFonts w:ascii="Tahoma" w:eastAsia="Bookman Old Style" w:hAnsi="Tahoma" w:cs="Tahoma"/>
          <w:i/>
          <w:color w:val="000000" w:themeColor="text1"/>
          <w:szCs w:val="24"/>
          <w:lang w:val="es"/>
        </w:rPr>
        <w:t xml:space="preserve">partió del hecho indiscutido de que la estructuración formal de la invalidez de Luis Armando Murillo se fijó para el 1.º de agosto de 1998 </w:t>
      </w:r>
      <w:r w:rsidRPr="00F53B9C">
        <w:rPr>
          <w:rFonts w:ascii="Tahoma" w:eastAsia="Bookman Old Style" w:hAnsi="Tahoma" w:cs="Tahoma"/>
          <w:i/>
          <w:szCs w:val="24"/>
          <w:lang w:val="es"/>
        </w:rPr>
        <w:t>y a partir de esta fecha se le reconoció la pensión</w:t>
      </w:r>
      <w:r w:rsidRPr="00F53B9C">
        <w:rPr>
          <w:rFonts w:ascii="Tahoma" w:eastAsia="Bookman Old Style" w:hAnsi="Tahoma" w:cs="Tahoma"/>
          <w:i/>
          <w:color w:val="000000" w:themeColor="text1"/>
          <w:szCs w:val="24"/>
          <w:lang w:val="es"/>
        </w:rPr>
        <w:t xml:space="preserve">, no cometió un error jurídico al considerar que Porvenir S.A. debía responder por dicha prestación, pues aquel continuó trabajando, se trasladó válidamente de régimen pensional a través de esa AFP </w:t>
      </w:r>
      <w:r w:rsidRPr="00F53B9C">
        <w:rPr>
          <w:rFonts w:ascii="Tahoma" w:eastAsia="Bookman Old Style" w:hAnsi="Tahoma" w:cs="Tahoma"/>
          <w:i/>
          <w:szCs w:val="24"/>
          <w:lang w:val="es"/>
        </w:rPr>
        <w:t>el 7 de febrero de 2002</w:t>
      </w:r>
      <w:r w:rsidRPr="00F53B9C">
        <w:rPr>
          <w:rFonts w:ascii="Tahoma" w:eastAsia="Bookman Old Style" w:hAnsi="Tahoma" w:cs="Tahoma"/>
          <w:i/>
          <w:color w:val="000000" w:themeColor="text1"/>
          <w:szCs w:val="24"/>
          <w:lang w:val="es"/>
        </w:rPr>
        <w:t>, cotizó hasta el 30 de octubre de 2010 y en vigencia de esta afiliación también se concretó y se conoció el dictamen que determinó su situación de invalidez.</w:t>
      </w:r>
    </w:p>
    <w:p w14:paraId="2EB10793" w14:textId="77777777" w:rsidR="00135A60" w:rsidRPr="00F53B9C" w:rsidRDefault="00135A60" w:rsidP="00F53B9C">
      <w:pPr>
        <w:spacing w:after="0" w:line="240" w:lineRule="auto"/>
        <w:ind w:left="426" w:right="420" w:firstLine="709"/>
        <w:jc w:val="both"/>
        <w:rPr>
          <w:rFonts w:ascii="Tahoma" w:hAnsi="Tahoma" w:cs="Tahoma"/>
          <w:i/>
          <w:color w:val="000000" w:themeColor="text1"/>
          <w:szCs w:val="24"/>
        </w:rPr>
      </w:pPr>
    </w:p>
    <w:p w14:paraId="587C5AB6" w14:textId="77777777" w:rsidR="00135A60" w:rsidRPr="00F53B9C" w:rsidRDefault="00135A60" w:rsidP="00F53B9C">
      <w:pPr>
        <w:spacing w:after="0" w:line="240" w:lineRule="auto"/>
        <w:ind w:left="426" w:right="420" w:firstLine="709"/>
        <w:jc w:val="both"/>
        <w:rPr>
          <w:rFonts w:ascii="Tahoma" w:hAnsi="Tahoma" w:cs="Tahoma"/>
          <w:i/>
          <w:color w:val="000000"/>
          <w:szCs w:val="24"/>
          <w:shd w:val="clear" w:color="auto" w:fill="FFFFFF"/>
        </w:rPr>
      </w:pPr>
      <w:r w:rsidRPr="00F53B9C">
        <w:rPr>
          <w:rFonts w:ascii="Tahoma" w:hAnsi="Tahoma" w:cs="Tahoma"/>
          <w:i/>
          <w:color w:val="000000"/>
          <w:szCs w:val="24"/>
          <w:shd w:val="clear" w:color="auto" w:fill="FFFFFF"/>
        </w:rPr>
        <w:t>Por tanto, no se trató de un hecho ya ocurrido o que ya existía al momento en que Luis Armando Murillo se trasladó de régimen pensional, pues la declaración formal de la invalidez y su consecuente solicitud de reconocimiento ocurrió ante Porvenir S.A. Y por ello, la asegurada debe responder por el seguro contratado en los términos del artículo 70 y 108 de la Ley 100 de 1993, 8 y 11 del Decreto 832 de 1996, conforme se explicó.</w:t>
      </w:r>
    </w:p>
    <w:p w14:paraId="35B0CD76" w14:textId="77777777" w:rsidR="00135A60" w:rsidRPr="00F53B9C" w:rsidRDefault="00135A60" w:rsidP="00F53B9C">
      <w:pPr>
        <w:spacing w:after="0" w:line="240" w:lineRule="auto"/>
        <w:ind w:left="426" w:right="420" w:firstLine="709"/>
        <w:jc w:val="both"/>
        <w:rPr>
          <w:rStyle w:val="normaltextrun"/>
          <w:rFonts w:ascii="Tahoma" w:hAnsi="Tahoma" w:cs="Tahoma"/>
          <w:i/>
          <w:color w:val="000000"/>
          <w:szCs w:val="24"/>
          <w:shd w:val="clear" w:color="auto" w:fill="FFFFFF"/>
        </w:rPr>
      </w:pPr>
    </w:p>
    <w:p w14:paraId="5AC6FD6F" w14:textId="77777777" w:rsidR="00135A60" w:rsidRPr="00F53B9C" w:rsidRDefault="00135A60" w:rsidP="00F53B9C">
      <w:pPr>
        <w:spacing w:after="0" w:line="240" w:lineRule="auto"/>
        <w:ind w:left="426" w:right="420" w:firstLine="709"/>
        <w:jc w:val="both"/>
        <w:rPr>
          <w:rStyle w:val="normaltextrun"/>
          <w:rFonts w:ascii="Tahoma" w:eastAsia="Bookman Old Style" w:hAnsi="Tahoma" w:cs="Tahoma"/>
          <w:i/>
          <w:szCs w:val="24"/>
          <w:lang w:val="es"/>
        </w:rPr>
      </w:pPr>
      <w:r w:rsidRPr="00F53B9C">
        <w:rPr>
          <w:rStyle w:val="normaltextrun"/>
          <w:rFonts w:ascii="Tahoma" w:hAnsi="Tahoma" w:cs="Tahoma"/>
          <w:i/>
          <w:color w:val="000000"/>
          <w:szCs w:val="24"/>
          <w:shd w:val="clear" w:color="auto" w:fill="FFFFFF"/>
        </w:rPr>
        <w:t xml:space="preserve">Por último, la Sala no pasa por alto </w:t>
      </w:r>
      <w:r w:rsidRPr="00F53B9C">
        <w:rPr>
          <w:rFonts w:ascii="Tahoma" w:hAnsi="Tahoma" w:cs="Tahoma"/>
          <w:i/>
          <w:szCs w:val="24"/>
        </w:rPr>
        <w:t xml:space="preserve">que en la sentencia SU-313-2020 la Corte Constitucional consideró que en los casos en los que la estructuración de la invalidez ocurre en un momento en el que la afiliación la administraba un </w:t>
      </w:r>
      <w:r w:rsidRPr="00F53B9C">
        <w:rPr>
          <w:rFonts w:ascii="Tahoma" w:hAnsi="Tahoma" w:cs="Tahoma"/>
          <w:i/>
          <w:iCs/>
          <w:szCs w:val="24"/>
        </w:rPr>
        <w:t>fondo antiguo,</w:t>
      </w:r>
      <w:r w:rsidRPr="00F53B9C">
        <w:rPr>
          <w:rFonts w:ascii="Tahoma" w:hAnsi="Tahoma" w:cs="Tahoma"/>
          <w:i/>
          <w:szCs w:val="24"/>
        </w:rPr>
        <w:t xml:space="preserve"> la pensión debe reconocerla este último y no el </w:t>
      </w:r>
      <w:r w:rsidRPr="00F53B9C">
        <w:rPr>
          <w:rFonts w:ascii="Tahoma" w:hAnsi="Tahoma" w:cs="Tahoma"/>
          <w:i/>
          <w:iCs/>
          <w:szCs w:val="24"/>
        </w:rPr>
        <w:t xml:space="preserve">nuevo </w:t>
      </w:r>
      <w:r w:rsidRPr="00F53B9C">
        <w:rPr>
          <w:rFonts w:ascii="Tahoma" w:hAnsi="Tahoma" w:cs="Tahoma"/>
          <w:i/>
          <w:szCs w:val="24"/>
        </w:rPr>
        <w:t xml:space="preserve">o en cuya afiliación se calificó el riesgo. </w:t>
      </w:r>
      <w:r w:rsidRPr="00F53B9C">
        <w:rPr>
          <w:rFonts w:ascii="Tahoma" w:hAnsi="Tahoma" w:cs="Tahoma"/>
          <w:i/>
          <w:color w:val="000000"/>
          <w:szCs w:val="24"/>
          <w:shd w:val="clear" w:color="auto" w:fill="FFFFFF"/>
        </w:rPr>
        <w:t xml:space="preserve">El eje central de dicha providencia está en que </w:t>
      </w:r>
      <w:r w:rsidRPr="00F53B9C">
        <w:rPr>
          <w:rFonts w:ascii="Tahoma" w:hAnsi="Tahoma" w:cs="Tahoma"/>
          <w:i/>
          <w:iCs/>
          <w:szCs w:val="24"/>
        </w:rPr>
        <w:t>«</w:t>
      </w:r>
      <w:r w:rsidRPr="00F53B9C">
        <w:rPr>
          <w:rFonts w:ascii="Tahoma" w:hAnsi="Tahoma" w:cs="Tahoma"/>
          <w:i/>
          <w:iCs/>
          <w:color w:val="000000"/>
          <w:szCs w:val="24"/>
          <w:shd w:val="clear" w:color="auto" w:fill="FFFFFF"/>
        </w:rPr>
        <w:t>ordenarle al fondo nuevo reconocer una pensión que se causó antes de que el beneficiario estuviere afiliado a él, sería tanto como exigirle que amparara no un riesgo, sino un hecho ya consolidado</w:t>
      </w:r>
      <w:r w:rsidRPr="00F53B9C">
        <w:rPr>
          <w:rFonts w:ascii="Tahoma" w:hAnsi="Tahoma" w:cs="Tahoma"/>
          <w:i/>
          <w:iCs/>
          <w:szCs w:val="24"/>
        </w:rPr>
        <w:t>»</w:t>
      </w:r>
      <w:r w:rsidRPr="00F53B9C">
        <w:rPr>
          <w:rFonts w:ascii="Tahoma" w:hAnsi="Tahoma" w:cs="Tahoma"/>
          <w:i/>
          <w:color w:val="000000"/>
          <w:szCs w:val="24"/>
          <w:shd w:val="clear" w:color="auto" w:fill="FFFFFF"/>
        </w:rPr>
        <w:t xml:space="preserve">, lo que podría tener implicaciones financieras. En síntesis, tal decisión se apoya </w:t>
      </w:r>
      <w:r w:rsidRPr="00F53B9C">
        <w:rPr>
          <w:rFonts w:ascii="Tahoma" w:hAnsi="Tahoma" w:cs="Tahoma"/>
          <w:i/>
          <w:szCs w:val="24"/>
        </w:rPr>
        <w:t xml:space="preserve">en el citado artículo 3.2.1.12 del Decreto 780 de 2016, </w:t>
      </w:r>
      <w:r w:rsidRPr="00F53B9C">
        <w:rPr>
          <w:rStyle w:val="normaltextrun"/>
          <w:rFonts w:ascii="Tahoma" w:hAnsi="Tahoma" w:cs="Tahoma"/>
          <w:i/>
          <w:color w:val="000000"/>
          <w:szCs w:val="24"/>
          <w:shd w:val="clear" w:color="auto" w:fill="FFFFFF"/>
        </w:rPr>
        <w:t xml:space="preserve">en armonía con el precepto 2.2.2.4.6 del Decreto 1833 de 2016 -que compiló el artículo 6.º del Decreto 3995 de 2008- y que a su juicio puede aplicarse por analogía, pese a ser supuestos normativos que regulan los eventos de </w:t>
      </w:r>
      <w:proofErr w:type="spellStart"/>
      <w:r w:rsidRPr="00F53B9C">
        <w:rPr>
          <w:rStyle w:val="normaltextrun"/>
          <w:rFonts w:ascii="Tahoma" w:hAnsi="Tahoma" w:cs="Tahoma"/>
          <w:i/>
          <w:color w:val="000000"/>
          <w:szCs w:val="24"/>
          <w:shd w:val="clear" w:color="auto" w:fill="FFFFFF"/>
        </w:rPr>
        <w:t>multiafiliación</w:t>
      </w:r>
      <w:proofErr w:type="spellEnd"/>
      <w:r w:rsidRPr="00F53B9C">
        <w:rPr>
          <w:rFonts w:ascii="Tahoma" w:hAnsi="Tahoma" w:cs="Tahoma"/>
          <w:i/>
          <w:szCs w:val="24"/>
        </w:rPr>
        <w:t xml:space="preserve">; y por último, argumenta que es un criterio que no afecta los derechos a la libre elección de régimen pensional ni a la seguridad social. </w:t>
      </w:r>
    </w:p>
    <w:p w14:paraId="1EF575CD" w14:textId="77777777" w:rsidR="00135A60" w:rsidRPr="00F53B9C" w:rsidRDefault="00135A60" w:rsidP="00F53B9C">
      <w:pPr>
        <w:spacing w:after="0" w:line="240" w:lineRule="auto"/>
        <w:ind w:left="426" w:right="420" w:firstLine="709"/>
        <w:jc w:val="both"/>
        <w:rPr>
          <w:rFonts w:ascii="Tahoma" w:hAnsi="Tahoma" w:cs="Tahoma"/>
          <w:i/>
          <w:szCs w:val="24"/>
        </w:rPr>
      </w:pPr>
    </w:p>
    <w:p w14:paraId="49B4F138" w14:textId="77777777" w:rsidR="00135A60" w:rsidRPr="00F53B9C" w:rsidRDefault="00135A60" w:rsidP="00F53B9C">
      <w:pPr>
        <w:spacing w:after="0" w:line="240" w:lineRule="auto"/>
        <w:ind w:left="426" w:right="420" w:firstLine="709"/>
        <w:jc w:val="both"/>
        <w:rPr>
          <w:rFonts w:ascii="Tahoma" w:eastAsia="Bookman Old Style" w:hAnsi="Tahoma" w:cs="Tahoma"/>
          <w:b/>
          <w:i/>
          <w:color w:val="000000" w:themeColor="text1"/>
          <w:szCs w:val="24"/>
          <w:lang w:val="es"/>
        </w:rPr>
      </w:pPr>
      <w:r w:rsidRPr="00F53B9C">
        <w:rPr>
          <w:rFonts w:ascii="Tahoma" w:eastAsia="Bookman Old Style" w:hAnsi="Tahoma" w:cs="Tahoma"/>
          <w:b/>
          <w:i/>
          <w:color w:val="000000" w:themeColor="text1"/>
          <w:szCs w:val="24"/>
          <w:lang w:val="es"/>
        </w:rPr>
        <w:t xml:space="preserve">Lo anterior no lo comparte la Sala, para lo cual y en ejercicio de los deberes de suficiencia y transparencia respecto al precedente constitucional </w:t>
      </w:r>
      <w:r w:rsidRPr="00F53B9C">
        <w:rPr>
          <w:rFonts w:ascii="Tahoma" w:eastAsia="Bookman Old Style" w:hAnsi="Tahoma" w:cs="Tahoma"/>
          <w:b/>
          <w:i/>
          <w:szCs w:val="24"/>
          <w:lang w:val="es"/>
        </w:rPr>
        <w:t>(CC C-621-2015 y SU-354-2017),</w:t>
      </w:r>
      <w:r w:rsidRPr="00F53B9C">
        <w:rPr>
          <w:rFonts w:ascii="Tahoma" w:eastAsia="Bookman Old Style" w:hAnsi="Tahoma" w:cs="Tahoma"/>
          <w:b/>
          <w:i/>
          <w:color w:val="000000" w:themeColor="text1"/>
          <w:szCs w:val="24"/>
          <w:lang w:val="es"/>
        </w:rPr>
        <w:t xml:space="preserve"> además de lo ya expuesto, se agrega lo siguiente: </w:t>
      </w:r>
    </w:p>
    <w:p w14:paraId="3D96D094" w14:textId="77777777" w:rsidR="00135A60" w:rsidRPr="00F53B9C" w:rsidRDefault="00135A60" w:rsidP="00F53B9C">
      <w:pPr>
        <w:spacing w:after="0" w:line="240" w:lineRule="auto"/>
        <w:ind w:left="426" w:right="420" w:firstLine="709"/>
        <w:jc w:val="both"/>
        <w:rPr>
          <w:rFonts w:ascii="Tahoma" w:eastAsia="Bookman Old Style" w:hAnsi="Tahoma" w:cs="Tahoma"/>
          <w:i/>
          <w:color w:val="000000" w:themeColor="text1"/>
          <w:szCs w:val="24"/>
          <w:lang w:val="es"/>
        </w:rPr>
      </w:pPr>
      <w:r w:rsidRPr="00F53B9C">
        <w:rPr>
          <w:rFonts w:ascii="Tahoma" w:eastAsia="Bookman Old Style" w:hAnsi="Tahoma" w:cs="Tahoma"/>
          <w:i/>
          <w:color w:val="000000" w:themeColor="text1"/>
          <w:szCs w:val="24"/>
          <w:lang w:val="es"/>
        </w:rPr>
        <w:t xml:space="preserve"> </w:t>
      </w:r>
    </w:p>
    <w:p w14:paraId="5DCC926F" w14:textId="77777777" w:rsidR="00135A60" w:rsidRPr="00F53B9C" w:rsidRDefault="00135A60" w:rsidP="00F53B9C">
      <w:pPr>
        <w:spacing w:after="0" w:line="240" w:lineRule="auto"/>
        <w:ind w:left="426" w:right="420" w:firstLine="709"/>
        <w:jc w:val="both"/>
        <w:rPr>
          <w:rFonts w:ascii="Tahoma" w:eastAsia="Bookman Old Style" w:hAnsi="Tahoma" w:cs="Tahoma"/>
          <w:b/>
          <w:i/>
          <w:color w:val="000000" w:themeColor="text1"/>
          <w:szCs w:val="24"/>
          <w:lang w:val="es"/>
        </w:rPr>
      </w:pPr>
      <w:r w:rsidRPr="00F53B9C">
        <w:rPr>
          <w:rFonts w:ascii="Tahoma" w:eastAsia="Bookman Old Style" w:hAnsi="Tahoma" w:cs="Tahoma"/>
          <w:b/>
          <w:i/>
          <w:color w:val="000000" w:themeColor="text1"/>
          <w:szCs w:val="24"/>
          <w:lang w:val="es"/>
        </w:rPr>
        <w:t xml:space="preserve">De entrada se destaca que la Corte Constitucional parte de que la intención del legislador fue establecer que la pensión de invalidez se causa </w:t>
      </w:r>
      <w:r w:rsidRPr="00F53B9C">
        <w:rPr>
          <w:rFonts w:ascii="Tahoma" w:eastAsia="Bookman Old Style" w:hAnsi="Tahoma" w:cs="Tahoma"/>
          <w:b/>
          <w:i/>
          <w:color w:val="000000" w:themeColor="text1"/>
          <w:szCs w:val="24"/>
          <w:lang w:val="es"/>
        </w:rPr>
        <w:lastRenderedPageBreak/>
        <w:t xml:space="preserve">y reconoce desde la estructuración del riesgo, incluso si hay cotizaciones posteriores, dado que esta fecha es a la pensión de invalidez lo que es la muerte a la de sobrevivientes; sin embargo, entiende la Sala, también acepta que hay casos concretos que permiten establecer excepciones. </w:t>
      </w:r>
    </w:p>
    <w:p w14:paraId="0C1A8FE8" w14:textId="77777777" w:rsidR="00135A60" w:rsidRPr="00F53B9C" w:rsidRDefault="00135A60" w:rsidP="00F53B9C">
      <w:pPr>
        <w:spacing w:after="0" w:line="240" w:lineRule="auto"/>
        <w:ind w:left="426" w:right="420" w:firstLine="709"/>
        <w:jc w:val="both"/>
        <w:rPr>
          <w:rFonts w:ascii="Tahoma" w:eastAsia="Bookman Old Style" w:hAnsi="Tahoma" w:cs="Tahoma"/>
          <w:i/>
          <w:color w:val="000000" w:themeColor="text1"/>
          <w:szCs w:val="24"/>
          <w:lang w:val="es"/>
        </w:rPr>
      </w:pPr>
      <w:r w:rsidRPr="00F53B9C">
        <w:rPr>
          <w:rFonts w:ascii="Tahoma" w:eastAsia="Bookman Old Style" w:hAnsi="Tahoma" w:cs="Tahoma"/>
          <w:i/>
          <w:color w:val="000000" w:themeColor="text1"/>
          <w:szCs w:val="24"/>
          <w:lang w:val="es"/>
        </w:rPr>
        <w:t xml:space="preserve"> </w:t>
      </w:r>
    </w:p>
    <w:p w14:paraId="720F7A1D" w14:textId="77777777" w:rsidR="00135A60" w:rsidRPr="00F53B9C" w:rsidRDefault="00135A60" w:rsidP="00F53B9C">
      <w:pPr>
        <w:spacing w:after="0" w:line="240" w:lineRule="auto"/>
        <w:ind w:left="426" w:right="420" w:firstLine="709"/>
        <w:jc w:val="both"/>
        <w:rPr>
          <w:rFonts w:ascii="Tahoma" w:eastAsia="Bookman Old Style" w:hAnsi="Tahoma" w:cs="Tahoma"/>
          <w:i/>
          <w:color w:val="000000" w:themeColor="text1"/>
          <w:szCs w:val="24"/>
          <w:lang w:val="es"/>
        </w:rPr>
      </w:pPr>
      <w:r w:rsidRPr="00F53B9C">
        <w:rPr>
          <w:rFonts w:ascii="Tahoma" w:eastAsia="Bookman Old Style" w:hAnsi="Tahoma" w:cs="Tahoma"/>
          <w:i/>
          <w:color w:val="000000" w:themeColor="text1"/>
          <w:szCs w:val="24"/>
          <w:lang w:val="es"/>
        </w:rPr>
        <w:t xml:space="preserve">Nótese que una de tales excepciones ocurre en los casos de enfermedades congénitas, degenerativas o crónicas, atrás explicada con suficiencia y según la cual también es dable contabilizar las semanas efectuadas antes de la fecha en que se solicita la pensión, la de declaración del riesgo o de la última cotización, a efectos de determinar la </w:t>
      </w:r>
      <w:r w:rsidRPr="00F53B9C">
        <w:rPr>
          <w:rFonts w:ascii="Tahoma" w:eastAsia="Bookman Old Style" w:hAnsi="Tahoma" w:cs="Tahoma"/>
          <w:i/>
          <w:iCs/>
          <w:color w:val="000000" w:themeColor="text1"/>
          <w:szCs w:val="24"/>
          <w:lang w:val="es"/>
        </w:rPr>
        <w:t>consolidación</w:t>
      </w:r>
      <w:r w:rsidRPr="00F53B9C">
        <w:rPr>
          <w:rFonts w:ascii="Tahoma" w:eastAsia="Bookman Old Style" w:hAnsi="Tahoma" w:cs="Tahoma"/>
          <w:i/>
          <w:color w:val="000000" w:themeColor="text1"/>
          <w:szCs w:val="24"/>
          <w:lang w:val="es"/>
        </w:rPr>
        <w:t xml:space="preserve"> de la prestación económica. </w:t>
      </w:r>
    </w:p>
    <w:p w14:paraId="56CCABA3" w14:textId="77777777" w:rsidR="00135A60" w:rsidRPr="00F53B9C" w:rsidRDefault="00135A60" w:rsidP="00F53B9C">
      <w:pPr>
        <w:spacing w:after="0" w:line="240" w:lineRule="auto"/>
        <w:ind w:left="426" w:right="420" w:firstLine="709"/>
        <w:jc w:val="both"/>
        <w:rPr>
          <w:rFonts w:ascii="Tahoma" w:eastAsia="Bookman Old Style" w:hAnsi="Tahoma" w:cs="Tahoma"/>
          <w:i/>
          <w:color w:val="000000" w:themeColor="text1"/>
          <w:szCs w:val="24"/>
          <w:lang w:val="es"/>
        </w:rPr>
      </w:pPr>
      <w:r w:rsidRPr="00F53B9C">
        <w:rPr>
          <w:rFonts w:ascii="Tahoma" w:eastAsia="Bookman Old Style" w:hAnsi="Tahoma" w:cs="Tahoma"/>
          <w:i/>
          <w:color w:val="000000" w:themeColor="text1"/>
          <w:szCs w:val="24"/>
          <w:lang w:val="es"/>
        </w:rPr>
        <w:t xml:space="preserve"> </w:t>
      </w:r>
    </w:p>
    <w:p w14:paraId="04E164DC" w14:textId="171426A2" w:rsidR="00135A60" w:rsidRPr="00F53B9C" w:rsidRDefault="00135A60" w:rsidP="00F53B9C">
      <w:pPr>
        <w:spacing w:after="0" w:line="240" w:lineRule="auto"/>
        <w:ind w:left="426" w:right="420" w:firstLine="709"/>
        <w:jc w:val="both"/>
        <w:rPr>
          <w:rFonts w:ascii="Tahoma" w:eastAsia="Bookman Old Style" w:hAnsi="Tahoma" w:cs="Tahoma"/>
          <w:i/>
          <w:color w:val="000000" w:themeColor="text1"/>
          <w:szCs w:val="24"/>
          <w:lang w:val="es"/>
        </w:rPr>
      </w:pPr>
      <w:r w:rsidRPr="00F53B9C">
        <w:rPr>
          <w:rFonts w:ascii="Tahoma" w:eastAsia="Bookman Old Style" w:hAnsi="Tahoma" w:cs="Tahoma"/>
          <w:i/>
          <w:color w:val="000000" w:themeColor="text1"/>
          <w:szCs w:val="24"/>
          <w:lang w:val="es"/>
        </w:rPr>
        <w:t xml:space="preserve">Y esto justamente implica entender, contrario a lo que se extrae de la sentencia de unificación, que la pensión de invalidez </w:t>
      </w:r>
      <w:r w:rsidRPr="00F53B9C">
        <w:rPr>
          <w:rFonts w:ascii="Tahoma" w:eastAsia="Bookman Old Style" w:hAnsi="Tahoma" w:cs="Tahoma"/>
          <w:i/>
          <w:iCs/>
          <w:color w:val="000000" w:themeColor="text1"/>
          <w:szCs w:val="24"/>
          <w:lang w:val="es"/>
        </w:rPr>
        <w:t>surge</w:t>
      </w:r>
      <w:r w:rsidRPr="00F53B9C">
        <w:rPr>
          <w:rFonts w:ascii="Tahoma" w:eastAsia="Bookman Old Style" w:hAnsi="Tahoma" w:cs="Tahoma"/>
          <w:i/>
          <w:color w:val="000000" w:themeColor="text1"/>
          <w:szCs w:val="24"/>
          <w:lang w:val="es"/>
        </w:rPr>
        <w:t xml:space="preserve"> con la </w:t>
      </w:r>
      <w:r w:rsidRPr="00F53B9C">
        <w:rPr>
          <w:rFonts w:ascii="Tahoma" w:eastAsia="Bookman Old Style" w:hAnsi="Tahoma" w:cs="Tahoma"/>
          <w:i/>
          <w:iCs/>
          <w:color w:val="000000" w:themeColor="text1"/>
          <w:szCs w:val="24"/>
          <w:lang w:val="es"/>
        </w:rPr>
        <w:t>declaración en firme</w:t>
      </w:r>
      <w:r w:rsidRPr="00F53B9C">
        <w:rPr>
          <w:rFonts w:ascii="Tahoma" w:eastAsia="Bookman Old Style" w:hAnsi="Tahoma" w:cs="Tahoma"/>
          <w:i/>
          <w:color w:val="000000" w:themeColor="text1"/>
          <w:szCs w:val="24"/>
          <w:lang w:val="es"/>
        </w:rPr>
        <w:t xml:space="preserve"> de la invalidez y pueda causarse en cualquiera de tales momentos, incluido el de la estructuración de la invalidez, que fue la que se determinó en este caso concreto. Asimismo, que dicha </w:t>
      </w:r>
      <w:r w:rsidRPr="00F53B9C">
        <w:rPr>
          <w:rFonts w:ascii="Tahoma" w:eastAsia="Bookman Old Style" w:hAnsi="Tahoma" w:cs="Tahoma"/>
          <w:i/>
          <w:iCs/>
          <w:color w:val="000000" w:themeColor="text1"/>
          <w:szCs w:val="24"/>
          <w:lang w:val="es"/>
        </w:rPr>
        <w:t>declaración en firme</w:t>
      </w:r>
      <w:r w:rsidRPr="00F53B9C">
        <w:rPr>
          <w:rFonts w:ascii="Tahoma" w:eastAsia="Bookman Old Style" w:hAnsi="Tahoma" w:cs="Tahoma"/>
          <w:i/>
          <w:color w:val="000000" w:themeColor="text1"/>
          <w:szCs w:val="24"/>
          <w:lang w:val="es"/>
        </w:rPr>
        <w:t xml:space="preserve"> es lo que activa el seguro previsional que respaldará el capital necesario para financiarla, tal y como se explicó en los términos de la Circular Externa 007 de 1996 y el artículo 6.º del Decreto 1889 de 1994.</w:t>
      </w:r>
    </w:p>
    <w:p w14:paraId="7B1ACC38" w14:textId="2D25CF0D" w:rsidR="00135A60" w:rsidRPr="00F53B9C" w:rsidRDefault="00135A60" w:rsidP="00F53B9C">
      <w:pPr>
        <w:spacing w:after="0" w:line="240" w:lineRule="auto"/>
        <w:ind w:left="426" w:right="420" w:firstLine="709"/>
        <w:jc w:val="both"/>
        <w:rPr>
          <w:rFonts w:ascii="Tahoma" w:eastAsia="Bookman Old Style" w:hAnsi="Tahoma" w:cs="Tahoma"/>
          <w:i/>
          <w:color w:val="000000" w:themeColor="text1"/>
          <w:szCs w:val="24"/>
          <w:lang w:val="es"/>
        </w:rPr>
      </w:pPr>
      <w:r w:rsidRPr="00F53B9C">
        <w:rPr>
          <w:rFonts w:ascii="Tahoma" w:eastAsia="Bookman Old Style" w:hAnsi="Tahoma" w:cs="Tahoma"/>
          <w:i/>
          <w:color w:val="000000" w:themeColor="text1"/>
          <w:szCs w:val="24"/>
          <w:lang w:val="es"/>
        </w:rPr>
        <w:t>(…)</w:t>
      </w:r>
    </w:p>
    <w:p w14:paraId="63603AAE" w14:textId="77777777" w:rsidR="00135A60" w:rsidRPr="00F53B9C" w:rsidRDefault="00135A60" w:rsidP="00F53B9C">
      <w:pPr>
        <w:spacing w:after="0" w:line="240" w:lineRule="auto"/>
        <w:ind w:left="426" w:right="420" w:firstLine="709"/>
        <w:jc w:val="both"/>
        <w:rPr>
          <w:rFonts w:ascii="Tahoma" w:eastAsia="Bookman Old Style" w:hAnsi="Tahoma" w:cs="Tahoma"/>
          <w:i/>
          <w:color w:val="000000" w:themeColor="text1"/>
          <w:szCs w:val="24"/>
          <w:lang w:val="es"/>
        </w:rPr>
      </w:pPr>
      <w:r w:rsidRPr="00F53B9C">
        <w:rPr>
          <w:rFonts w:ascii="Tahoma" w:eastAsia="Bookman Old Style" w:hAnsi="Tahoma" w:cs="Tahoma"/>
          <w:i/>
          <w:color w:val="000000" w:themeColor="text1"/>
          <w:szCs w:val="24"/>
          <w:lang w:val="es"/>
        </w:rPr>
        <w:t xml:space="preserve">Ahora, la Corte Constitucional también elucida sobre la destinación y distribución de los aportes a pensiones en uno y otro régimen pensional, para destacar que no son equivalentes. Empero, téngase presente, una vez más, que el sistema pensional está cimentado en reglas pensadas para garantizar los recursos que financien las prestaciones económicas pensionales en los traslados de sus afiliados, sin que para la validez de estos cambios se exija equivalencia alguna en las cotizaciones realizadas en uno y otro régimen. </w:t>
      </w:r>
    </w:p>
    <w:p w14:paraId="7DB81F91" w14:textId="77777777" w:rsidR="00135A60" w:rsidRPr="00F53B9C" w:rsidRDefault="00135A60" w:rsidP="00F53B9C">
      <w:pPr>
        <w:spacing w:after="0" w:line="240" w:lineRule="auto"/>
        <w:ind w:left="426" w:right="420" w:firstLine="709"/>
        <w:jc w:val="both"/>
        <w:rPr>
          <w:rFonts w:ascii="Tahoma" w:eastAsia="Bookman Old Style" w:hAnsi="Tahoma" w:cs="Tahoma"/>
          <w:i/>
          <w:color w:val="000000" w:themeColor="text1"/>
          <w:szCs w:val="24"/>
          <w:lang w:val="es"/>
        </w:rPr>
      </w:pPr>
      <w:r w:rsidRPr="00F53B9C">
        <w:rPr>
          <w:rFonts w:ascii="Tahoma" w:eastAsia="Bookman Old Style" w:hAnsi="Tahoma" w:cs="Tahoma"/>
          <w:i/>
          <w:color w:val="000000" w:themeColor="text1"/>
          <w:szCs w:val="24"/>
          <w:lang w:val="es"/>
        </w:rPr>
        <w:t xml:space="preserve"> </w:t>
      </w:r>
    </w:p>
    <w:p w14:paraId="1B9FEF45" w14:textId="079CD53C" w:rsidR="00135A60" w:rsidRPr="00F53B9C" w:rsidRDefault="00135A60" w:rsidP="00F53B9C">
      <w:pPr>
        <w:spacing w:after="0" w:line="240" w:lineRule="auto"/>
        <w:ind w:left="426" w:right="420" w:firstLine="709"/>
        <w:jc w:val="both"/>
        <w:rPr>
          <w:rFonts w:ascii="Tahoma" w:eastAsia="Bookman Old Style" w:hAnsi="Tahoma" w:cs="Tahoma"/>
          <w:szCs w:val="24"/>
          <w:lang w:val="es-MX"/>
        </w:rPr>
      </w:pPr>
      <w:r w:rsidRPr="00F53B9C">
        <w:rPr>
          <w:rFonts w:ascii="Tahoma" w:eastAsia="Bookman Old Style" w:hAnsi="Tahoma" w:cs="Tahoma"/>
          <w:i/>
          <w:color w:val="000000" w:themeColor="text1"/>
          <w:szCs w:val="24"/>
          <w:lang w:val="es"/>
        </w:rPr>
        <w:t xml:space="preserve">Por otra parte, </w:t>
      </w:r>
      <w:r w:rsidRPr="00F53B9C">
        <w:rPr>
          <w:rFonts w:ascii="Tahoma" w:eastAsia="Bookman Old Style" w:hAnsi="Tahoma" w:cs="Tahoma"/>
          <w:b/>
          <w:i/>
          <w:color w:val="000000" w:themeColor="text1"/>
          <w:szCs w:val="24"/>
          <w:lang w:val="es"/>
        </w:rPr>
        <w:t xml:space="preserve">la Sala considera que el artículo 6.º del Decreto 3995 de 2008 está expresamente limitado a resolver las situaciones de </w:t>
      </w:r>
      <w:proofErr w:type="spellStart"/>
      <w:r w:rsidRPr="00F53B9C">
        <w:rPr>
          <w:rFonts w:ascii="Tahoma" w:eastAsia="Bookman Old Style" w:hAnsi="Tahoma" w:cs="Tahoma"/>
          <w:b/>
          <w:i/>
          <w:color w:val="000000" w:themeColor="text1"/>
          <w:szCs w:val="24"/>
          <w:lang w:val="es"/>
        </w:rPr>
        <w:t>multiafiliación</w:t>
      </w:r>
      <w:proofErr w:type="spellEnd"/>
      <w:r w:rsidRPr="00F53B9C">
        <w:rPr>
          <w:rFonts w:ascii="Tahoma" w:eastAsia="Bookman Old Style" w:hAnsi="Tahoma" w:cs="Tahoma"/>
          <w:b/>
          <w:i/>
          <w:color w:val="000000" w:themeColor="text1"/>
          <w:szCs w:val="24"/>
          <w:lang w:val="es"/>
        </w:rPr>
        <w:t xml:space="preserve"> y no puede aplicarse por analogía en situaciones en las que,</w:t>
      </w:r>
      <w:r w:rsidRPr="00F53B9C">
        <w:rPr>
          <w:rFonts w:ascii="Tahoma" w:eastAsia="Bookman Old Style" w:hAnsi="Tahoma" w:cs="Tahoma"/>
          <w:b/>
          <w:i/>
          <w:szCs w:val="24"/>
          <w:lang w:val="es-MX"/>
        </w:rPr>
        <w:t xml:space="preserve"> como en este asunto, no existe discusión acerca de la validez del traslado que realizó Luis Armando Murillo a Porvenir S.A.</w:t>
      </w:r>
      <w:r w:rsidR="00823EFF" w:rsidRPr="00F53B9C">
        <w:rPr>
          <w:rFonts w:ascii="Tahoma" w:eastAsia="Bookman Old Style" w:hAnsi="Tahoma" w:cs="Tahoma"/>
          <w:b/>
          <w:i/>
          <w:szCs w:val="24"/>
          <w:lang w:val="es-MX"/>
        </w:rPr>
        <w:t>”</w:t>
      </w:r>
      <w:r w:rsidRPr="00F53B9C">
        <w:rPr>
          <w:rFonts w:ascii="Tahoma" w:eastAsia="Bookman Old Style" w:hAnsi="Tahoma" w:cs="Tahoma"/>
          <w:b/>
          <w:i/>
          <w:szCs w:val="24"/>
          <w:lang w:val="es-MX"/>
        </w:rPr>
        <w:t xml:space="preserve"> </w:t>
      </w:r>
      <w:r w:rsidR="00823EFF" w:rsidRPr="00F53B9C">
        <w:rPr>
          <w:rFonts w:ascii="Tahoma" w:eastAsia="Bookman Old Style" w:hAnsi="Tahoma" w:cs="Tahoma"/>
          <w:szCs w:val="24"/>
          <w:lang w:val="es-MX"/>
        </w:rPr>
        <w:t>(Negrillas fuera de texto)</w:t>
      </w:r>
    </w:p>
    <w:p w14:paraId="61AAEBA0" w14:textId="77777777" w:rsidR="00135A60" w:rsidRPr="001C501B" w:rsidRDefault="00135A60" w:rsidP="001C501B">
      <w:pPr>
        <w:spacing w:after="0" w:line="276" w:lineRule="auto"/>
        <w:ind w:firstLine="709"/>
        <w:jc w:val="both"/>
        <w:rPr>
          <w:rFonts w:ascii="Tahoma" w:eastAsia="Bookman Old Style" w:hAnsi="Tahoma" w:cs="Tahoma"/>
          <w:sz w:val="24"/>
          <w:szCs w:val="24"/>
          <w:lang w:val="es-MX"/>
        </w:rPr>
      </w:pPr>
      <w:r w:rsidRPr="001C501B">
        <w:rPr>
          <w:rFonts w:ascii="Tahoma" w:eastAsia="Bookman Old Style" w:hAnsi="Tahoma" w:cs="Tahoma"/>
          <w:sz w:val="24"/>
          <w:szCs w:val="24"/>
          <w:lang w:val="es-MX"/>
        </w:rPr>
        <w:t xml:space="preserve"> </w:t>
      </w:r>
    </w:p>
    <w:p w14:paraId="1E84E843" w14:textId="77777777" w:rsidR="00135A60" w:rsidRPr="001C501B" w:rsidRDefault="00135A60" w:rsidP="001C501B">
      <w:pPr>
        <w:spacing w:after="0" w:line="276" w:lineRule="auto"/>
        <w:ind w:firstLine="709"/>
        <w:jc w:val="both"/>
        <w:rPr>
          <w:rFonts w:ascii="Tahoma" w:eastAsia="Bookman Old Style" w:hAnsi="Tahoma" w:cs="Tahoma"/>
          <w:color w:val="000000" w:themeColor="text1"/>
          <w:sz w:val="24"/>
          <w:szCs w:val="24"/>
          <w:lang w:val="es"/>
        </w:rPr>
      </w:pPr>
    </w:p>
    <w:p w14:paraId="71322666" w14:textId="7068C390" w:rsidR="00ED009F" w:rsidRPr="001C501B" w:rsidRDefault="00ED009F" w:rsidP="001C501B">
      <w:pPr>
        <w:spacing w:after="0" w:line="276" w:lineRule="auto"/>
        <w:ind w:firstLine="696"/>
        <w:jc w:val="both"/>
        <w:rPr>
          <w:rFonts w:ascii="Tahoma" w:hAnsi="Tahoma" w:cs="Tahoma"/>
          <w:b/>
          <w:sz w:val="24"/>
          <w:szCs w:val="24"/>
        </w:rPr>
      </w:pPr>
      <w:r w:rsidRPr="001C501B">
        <w:rPr>
          <w:rFonts w:ascii="Tahoma" w:hAnsi="Tahoma" w:cs="Tahoma"/>
          <w:b/>
          <w:sz w:val="24"/>
          <w:szCs w:val="24"/>
        </w:rPr>
        <w:t>5.3.3. Posición de esta Sala:</w:t>
      </w:r>
    </w:p>
    <w:p w14:paraId="7E236BF6" w14:textId="0758F7C6" w:rsidR="00ED009F" w:rsidRPr="001C501B" w:rsidRDefault="00ED009F" w:rsidP="001C501B">
      <w:pPr>
        <w:spacing w:after="0" w:line="276" w:lineRule="auto"/>
        <w:ind w:firstLine="696"/>
        <w:jc w:val="both"/>
        <w:rPr>
          <w:rFonts w:ascii="Tahoma" w:hAnsi="Tahoma" w:cs="Tahoma"/>
          <w:b/>
          <w:sz w:val="24"/>
          <w:szCs w:val="24"/>
        </w:rPr>
      </w:pPr>
    </w:p>
    <w:p w14:paraId="7B262737" w14:textId="2F65FC9B" w:rsidR="00ED009F" w:rsidRPr="001C501B" w:rsidRDefault="00ED009F" w:rsidP="001C501B">
      <w:pPr>
        <w:spacing w:after="0" w:line="276" w:lineRule="auto"/>
        <w:ind w:firstLine="696"/>
        <w:jc w:val="both"/>
        <w:rPr>
          <w:rFonts w:ascii="Tahoma" w:hAnsi="Tahoma" w:cs="Tahoma"/>
          <w:sz w:val="24"/>
          <w:szCs w:val="24"/>
        </w:rPr>
      </w:pPr>
      <w:r w:rsidRPr="001C501B">
        <w:rPr>
          <w:rFonts w:ascii="Tahoma" w:hAnsi="Tahoma" w:cs="Tahoma"/>
          <w:sz w:val="24"/>
          <w:szCs w:val="24"/>
        </w:rPr>
        <w:t xml:space="preserve">Analizando los dos precedentes, esta Sala acoge la tesis de la Corte Suprema de Justicia, no sólo por las razones que allí se esgrimen (y a las cuales nos remitimos por economía procesal), sino porque favorece más al afiliado, ya que, entre otras cosas, dicha postura garantiza que la decisión de trasladarse de fondo no altera de manera alguna el cubrimiento de los riesgos de invalidez, vejez y muerte, como en efecto lo establece el sistema de seguridad social en pensiones. </w:t>
      </w:r>
    </w:p>
    <w:p w14:paraId="2A67DD72" w14:textId="77777777" w:rsidR="00EB3F17" w:rsidRPr="001C501B" w:rsidRDefault="00EB3F17" w:rsidP="001C501B">
      <w:pPr>
        <w:spacing w:after="0" w:line="276" w:lineRule="auto"/>
        <w:jc w:val="both"/>
        <w:rPr>
          <w:rFonts w:ascii="Tahoma" w:hAnsi="Tahoma" w:cs="Tahoma"/>
          <w:bCs/>
          <w:sz w:val="24"/>
          <w:szCs w:val="24"/>
        </w:rPr>
      </w:pPr>
    </w:p>
    <w:p w14:paraId="28394DC3" w14:textId="77777777" w:rsidR="006069A3" w:rsidRPr="001C501B" w:rsidRDefault="006069A3" w:rsidP="001C501B">
      <w:pPr>
        <w:spacing w:after="0" w:line="276" w:lineRule="auto"/>
        <w:jc w:val="both"/>
        <w:rPr>
          <w:rFonts w:ascii="Tahoma" w:hAnsi="Tahoma" w:cs="Tahoma"/>
          <w:b/>
          <w:bCs/>
          <w:sz w:val="24"/>
          <w:szCs w:val="24"/>
        </w:rPr>
      </w:pPr>
    </w:p>
    <w:p w14:paraId="1C2E8CEC" w14:textId="10F58515" w:rsidR="00691226" w:rsidRPr="001C501B" w:rsidRDefault="00691226" w:rsidP="001C501B">
      <w:pPr>
        <w:pStyle w:val="Prrafodelista"/>
        <w:numPr>
          <w:ilvl w:val="1"/>
          <w:numId w:val="5"/>
        </w:numPr>
        <w:spacing w:after="0" w:line="276" w:lineRule="auto"/>
        <w:ind w:left="0" w:firstLine="709"/>
        <w:jc w:val="both"/>
        <w:rPr>
          <w:rFonts w:ascii="Tahoma" w:hAnsi="Tahoma" w:cs="Tahoma"/>
          <w:b/>
          <w:bCs/>
          <w:sz w:val="24"/>
          <w:szCs w:val="24"/>
        </w:rPr>
      </w:pPr>
      <w:r w:rsidRPr="001C501B">
        <w:rPr>
          <w:rFonts w:ascii="Tahoma" w:hAnsi="Tahoma" w:cs="Tahoma"/>
          <w:b/>
          <w:bCs/>
          <w:sz w:val="24"/>
          <w:szCs w:val="24"/>
        </w:rPr>
        <w:t xml:space="preserve">        Caso concreto</w:t>
      </w:r>
    </w:p>
    <w:p w14:paraId="40E0F680" w14:textId="77777777" w:rsidR="00691226" w:rsidRPr="001C501B" w:rsidRDefault="00691226" w:rsidP="001C501B">
      <w:pPr>
        <w:spacing w:after="0" w:line="276" w:lineRule="auto"/>
        <w:ind w:firstLine="709"/>
        <w:jc w:val="both"/>
        <w:rPr>
          <w:rFonts w:ascii="Tahoma" w:hAnsi="Tahoma" w:cs="Tahoma"/>
          <w:b/>
          <w:bCs/>
          <w:sz w:val="24"/>
          <w:szCs w:val="24"/>
        </w:rPr>
      </w:pPr>
    </w:p>
    <w:p w14:paraId="48F4F4B7" w14:textId="4161A59A" w:rsidR="00691226" w:rsidRPr="001C501B" w:rsidRDefault="00691226" w:rsidP="001C501B">
      <w:pPr>
        <w:spacing w:after="0" w:line="276" w:lineRule="auto"/>
        <w:ind w:firstLine="709"/>
        <w:jc w:val="both"/>
        <w:rPr>
          <w:rFonts w:ascii="Tahoma" w:hAnsi="Tahoma" w:cs="Tahoma"/>
          <w:sz w:val="24"/>
          <w:szCs w:val="24"/>
          <w:lang w:val="es-419"/>
        </w:rPr>
      </w:pPr>
      <w:r w:rsidRPr="001C501B">
        <w:rPr>
          <w:rFonts w:ascii="Tahoma" w:hAnsi="Tahoma" w:cs="Tahoma"/>
          <w:sz w:val="24"/>
          <w:szCs w:val="24"/>
        </w:rPr>
        <w:t>En el caso que ocupa la atención de la Sala, se acude a la vía de tutela con el propósito de que se proteja</w:t>
      </w:r>
      <w:r w:rsidR="00842F70" w:rsidRPr="001C501B">
        <w:rPr>
          <w:rFonts w:ascii="Tahoma" w:hAnsi="Tahoma" w:cs="Tahoma"/>
          <w:sz w:val="24"/>
          <w:szCs w:val="24"/>
        </w:rPr>
        <w:t xml:space="preserve"> los derechos fundamentales a </w:t>
      </w:r>
      <w:r w:rsidR="00842F70" w:rsidRPr="001C501B">
        <w:rPr>
          <w:rFonts w:ascii="Tahoma" w:hAnsi="Tahoma" w:cs="Tahoma"/>
          <w:sz w:val="24"/>
          <w:szCs w:val="24"/>
          <w:lang w:val="es-419"/>
        </w:rPr>
        <w:t xml:space="preserve">la </w:t>
      </w:r>
      <w:r w:rsidR="00163801" w:rsidRPr="001C501B">
        <w:rPr>
          <w:rFonts w:ascii="Tahoma" w:hAnsi="Tahoma" w:cs="Tahoma"/>
          <w:sz w:val="24"/>
          <w:szCs w:val="24"/>
          <w:lang w:val="es-419"/>
        </w:rPr>
        <w:t>seguridad social</w:t>
      </w:r>
      <w:r w:rsidR="00842F70" w:rsidRPr="001C501B">
        <w:rPr>
          <w:rFonts w:ascii="Tahoma" w:hAnsi="Tahoma" w:cs="Tahoma"/>
          <w:sz w:val="24"/>
          <w:szCs w:val="24"/>
          <w:lang w:val="es-419"/>
        </w:rPr>
        <w:t>, dignidad humana,</w:t>
      </w:r>
      <w:r w:rsidR="00163801" w:rsidRPr="001C501B">
        <w:rPr>
          <w:rFonts w:ascii="Tahoma" w:hAnsi="Tahoma" w:cs="Tahoma"/>
          <w:sz w:val="24"/>
          <w:szCs w:val="24"/>
          <w:lang w:val="es-419"/>
        </w:rPr>
        <w:t xml:space="preserve"> mínimo vital y móvil e igualdad</w:t>
      </w:r>
      <w:r w:rsidR="00842F70" w:rsidRPr="001C501B">
        <w:rPr>
          <w:rFonts w:ascii="Tahoma" w:hAnsi="Tahoma" w:cs="Tahoma"/>
          <w:sz w:val="24"/>
          <w:szCs w:val="24"/>
        </w:rPr>
        <w:t xml:space="preserve"> de</w:t>
      </w:r>
      <w:r w:rsidR="00163801" w:rsidRPr="001C501B">
        <w:rPr>
          <w:rFonts w:ascii="Tahoma" w:hAnsi="Tahoma" w:cs="Tahoma"/>
          <w:sz w:val="24"/>
          <w:szCs w:val="24"/>
        </w:rPr>
        <w:t>l señor Adrián Agudelo Henao</w:t>
      </w:r>
      <w:r w:rsidRPr="001C501B">
        <w:rPr>
          <w:rFonts w:ascii="Tahoma" w:hAnsi="Tahoma" w:cs="Tahoma"/>
          <w:sz w:val="24"/>
          <w:szCs w:val="24"/>
        </w:rPr>
        <w:t>, alegando su vulneración por parte</w:t>
      </w:r>
      <w:r w:rsidR="00842F70" w:rsidRPr="001C501B">
        <w:rPr>
          <w:rFonts w:ascii="Tahoma" w:hAnsi="Tahoma" w:cs="Tahoma"/>
          <w:sz w:val="24"/>
          <w:szCs w:val="24"/>
        </w:rPr>
        <w:t xml:space="preserve"> </w:t>
      </w:r>
      <w:r w:rsidR="00842F70" w:rsidRPr="001C501B">
        <w:rPr>
          <w:rFonts w:ascii="Tahoma" w:hAnsi="Tahoma" w:cs="Tahoma"/>
          <w:sz w:val="24"/>
          <w:szCs w:val="24"/>
          <w:lang w:val="es-419"/>
        </w:rPr>
        <w:t>COLPENSIONES</w:t>
      </w:r>
      <w:r w:rsidR="00842F70" w:rsidRPr="001C501B">
        <w:rPr>
          <w:rFonts w:ascii="Tahoma" w:hAnsi="Tahoma" w:cs="Tahoma"/>
          <w:sz w:val="24"/>
          <w:szCs w:val="24"/>
        </w:rPr>
        <w:t>,</w:t>
      </w:r>
      <w:r w:rsidRPr="001C501B">
        <w:rPr>
          <w:rFonts w:ascii="Tahoma" w:hAnsi="Tahoma" w:cs="Tahoma"/>
          <w:color w:val="000000" w:themeColor="text1"/>
          <w:sz w:val="24"/>
          <w:szCs w:val="24"/>
        </w:rPr>
        <w:t xml:space="preserve"> bajo el supuesto </w:t>
      </w:r>
      <w:r w:rsidR="00276884" w:rsidRPr="001C501B">
        <w:rPr>
          <w:rFonts w:ascii="Tahoma" w:hAnsi="Tahoma" w:cs="Tahoma"/>
          <w:color w:val="000000" w:themeColor="text1"/>
          <w:sz w:val="24"/>
          <w:szCs w:val="24"/>
        </w:rPr>
        <w:t xml:space="preserve">de </w:t>
      </w:r>
      <w:r w:rsidR="004B1A1C" w:rsidRPr="001C501B">
        <w:rPr>
          <w:rFonts w:ascii="Tahoma" w:hAnsi="Tahoma" w:cs="Tahoma"/>
          <w:color w:val="000000" w:themeColor="text1"/>
          <w:sz w:val="24"/>
          <w:szCs w:val="24"/>
        </w:rPr>
        <w:t>que la accionada</w:t>
      </w:r>
      <w:r w:rsidR="00842F70" w:rsidRPr="001C501B">
        <w:rPr>
          <w:rFonts w:ascii="Tahoma" w:hAnsi="Tahoma" w:cs="Tahoma"/>
          <w:color w:val="000000" w:themeColor="text1"/>
          <w:sz w:val="24"/>
          <w:szCs w:val="24"/>
        </w:rPr>
        <w:t xml:space="preserve"> no le </w:t>
      </w:r>
      <w:r w:rsidR="00ED009F" w:rsidRPr="001C501B">
        <w:rPr>
          <w:rFonts w:ascii="Tahoma" w:hAnsi="Tahoma" w:cs="Tahoma"/>
          <w:color w:val="000000" w:themeColor="text1"/>
          <w:sz w:val="24"/>
          <w:szCs w:val="24"/>
        </w:rPr>
        <w:t xml:space="preserve">ha </w:t>
      </w:r>
      <w:r w:rsidR="00163801" w:rsidRPr="001C501B">
        <w:rPr>
          <w:rFonts w:ascii="Tahoma" w:hAnsi="Tahoma" w:cs="Tahoma"/>
          <w:color w:val="000000" w:themeColor="text1"/>
          <w:sz w:val="24"/>
          <w:szCs w:val="24"/>
        </w:rPr>
        <w:t>reconocid</w:t>
      </w:r>
      <w:r w:rsidR="00276884" w:rsidRPr="001C501B">
        <w:rPr>
          <w:rFonts w:ascii="Tahoma" w:hAnsi="Tahoma" w:cs="Tahoma"/>
          <w:color w:val="000000" w:themeColor="text1"/>
          <w:sz w:val="24"/>
          <w:szCs w:val="24"/>
        </w:rPr>
        <w:t>o</w:t>
      </w:r>
      <w:r w:rsidR="00163801" w:rsidRPr="001C501B">
        <w:rPr>
          <w:rFonts w:ascii="Tahoma" w:hAnsi="Tahoma" w:cs="Tahoma"/>
          <w:color w:val="000000" w:themeColor="text1"/>
          <w:sz w:val="24"/>
          <w:szCs w:val="24"/>
        </w:rPr>
        <w:t xml:space="preserve"> y pagad</w:t>
      </w:r>
      <w:r w:rsidR="00276884" w:rsidRPr="001C501B">
        <w:rPr>
          <w:rFonts w:ascii="Tahoma" w:hAnsi="Tahoma" w:cs="Tahoma"/>
          <w:color w:val="000000" w:themeColor="text1"/>
          <w:sz w:val="24"/>
          <w:szCs w:val="24"/>
        </w:rPr>
        <w:t>o</w:t>
      </w:r>
      <w:r w:rsidR="00163801" w:rsidRPr="001C501B">
        <w:rPr>
          <w:rFonts w:ascii="Tahoma" w:hAnsi="Tahoma" w:cs="Tahoma"/>
          <w:color w:val="000000" w:themeColor="text1"/>
          <w:sz w:val="24"/>
          <w:szCs w:val="24"/>
        </w:rPr>
        <w:t xml:space="preserve"> su pensión de invalidez desde el 23 de </w:t>
      </w:r>
      <w:r w:rsidR="00D61513" w:rsidRPr="001C501B">
        <w:rPr>
          <w:rFonts w:ascii="Tahoma" w:hAnsi="Tahoma" w:cs="Tahoma"/>
          <w:color w:val="000000" w:themeColor="text1"/>
          <w:sz w:val="24"/>
          <w:szCs w:val="24"/>
        </w:rPr>
        <w:t>f</w:t>
      </w:r>
      <w:r w:rsidR="00163801" w:rsidRPr="001C501B">
        <w:rPr>
          <w:rFonts w:ascii="Tahoma" w:hAnsi="Tahoma" w:cs="Tahoma"/>
          <w:color w:val="000000" w:themeColor="text1"/>
          <w:sz w:val="24"/>
          <w:szCs w:val="24"/>
        </w:rPr>
        <w:t>ebrero de 2021</w:t>
      </w:r>
      <w:r w:rsidR="00276884" w:rsidRPr="001C501B">
        <w:rPr>
          <w:rFonts w:ascii="Tahoma" w:hAnsi="Tahoma" w:cs="Tahoma"/>
          <w:color w:val="000000" w:themeColor="text1"/>
          <w:sz w:val="24"/>
          <w:szCs w:val="24"/>
        </w:rPr>
        <w:t>.</w:t>
      </w:r>
    </w:p>
    <w:p w14:paraId="17AB3E29" w14:textId="77777777" w:rsidR="000654D5" w:rsidRPr="001C501B" w:rsidRDefault="000654D5" w:rsidP="001C501B">
      <w:pPr>
        <w:spacing w:after="0" w:line="276" w:lineRule="auto"/>
        <w:ind w:firstLine="709"/>
        <w:jc w:val="both"/>
        <w:rPr>
          <w:rFonts w:ascii="Tahoma" w:hAnsi="Tahoma" w:cs="Tahoma"/>
          <w:sz w:val="24"/>
          <w:szCs w:val="24"/>
          <w:lang w:val="es-419"/>
        </w:rPr>
      </w:pPr>
    </w:p>
    <w:p w14:paraId="412A0D02" w14:textId="5C6099CC" w:rsidR="00BF1903" w:rsidRPr="001C501B" w:rsidRDefault="00691226" w:rsidP="001C501B">
      <w:pPr>
        <w:spacing w:after="0" w:line="276" w:lineRule="auto"/>
        <w:ind w:left="60" w:firstLine="709"/>
        <w:jc w:val="both"/>
        <w:rPr>
          <w:rFonts w:ascii="Tahoma" w:hAnsi="Tahoma" w:cs="Tahoma"/>
          <w:sz w:val="24"/>
          <w:szCs w:val="24"/>
        </w:rPr>
      </w:pPr>
      <w:r w:rsidRPr="001C501B">
        <w:rPr>
          <w:rFonts w:ascii="Tahoma" w:hAnsi="Tahoma" w:cs="Tahoma"/>
          <w:sz w:val="24"/>
          <w:szCs w:val="24"/>
        </w:rPr>
        <w:lastRenderedPageBreak/>
        <w:t xml:space="preserve">En </w:t>
      </w:r>
      <w:r w:rsidR="00047314" w:rsidRPr="001C501B">
        <w:rPr>
          <w:rFonts w:ascii="Tahoma" w:hAnsi="Tahoma" w:cs="Tahoma"/>
          <w:sz w:val="24"/>
          <w:szCs w:val="24"/>
        </w:rPr>
        <w:t>oposición</w:t>
      </w:r>
      <w:r w:rsidRPr="001C501B">
        <w:rPr>
          <w:rFonts w:ascii="Tahoma" w:hAnsi="Tahoma" w:cs="Tahoma"/>
          <w:sz w:val="24"/>
          <w:szCs w:val="24"/>
        </w:rPr>
        <w:t xml:space="preserve">, </w:t>
      </w:r>
      <w:r w:rsidR="00842F70" w:rsidRPr="001C501B">
        <w:rPr>
          <w:rFonts w:ascii="Tahoma" w:hAnsi="Tahoma" w:cs="Tahoma"/>
          <w:sz w:val="24"/>
          <w:szCs w:val="24"/>
        </w:rPr>
        <w:t>COLPENSIONES</w:t>
      </w:r>
      <w:r w:rsidR="009B42F5" w:rsidRPr="001C501B">
        <w:rPr>
          <w:rFonts w:ascii="Tahoma" w:hAnsi="Tahoma" w:cs="Tahoma"/>
          <w:sz w:val="24"/>
          <w:szCs w:val="24"/>
        </w:rPr>
        <w:t xml:space="preserve">, en síntesis, </w:t>
      </w:r>
      <w:r w:rsidRPr="001C501B">
        <w:rPr>
          <w:rFonts w:ascii="Tahoma" w:hAnsi="Tahoma" w:cs="Tahoma"/>
          <w:sz w:val="24"/>
          <w:szCs w:val="24"/>
        </w:rPr>
        <w:t xml:space="preserve">señaló </w:t>
      </w:r>
      <w:r w:rsidR="00E77653" w:rsidRPr="001C501B">
        <w:rPr>
          <w:rFonts w:ascii="Tahoma" w:hAnsi="Tahoma" w:cs="Tahoma"/>
          <w:sz w:val="24"/>
          <w:szCs w:val="24"/>
        </w:rPr>
        <w:t xml:space="preserve">que el </w:t>
      </w:r>
      <w:r w:rsidR="00BF1903" w:rsidRPr="001C501B">
        <w:rPr>
          <w:rFonts w:ascii="Tahoma" w:hAnsi="Tahoma" w:cs="Tahoma"/>
          <w:sz w:val="24"/>
          <w:szCs w:val="24"/>
        </w:rPr>
        <w:t xml:space="preserve">señor </w:t>
      </w:r>
      <w:r w:rsidR="000654D5" w:rsidRPr="001C501B">
        <w:rPr>
          <w:rFonts w:ascii="Tahoma" w:hAnsi="Tahoma" w:cs="Tahoma"/>
          <w:sz w:val="24"/>
          <w:szCs w:val="24"/>
        </w:rPr>
        <w:t>Adrián Agudelo Henao</w:t>
      </w:r>
      <w:r w:rsidR="000654D5" w:rsidRPr="001C501B">
        <w:rPr>
          <w:rFonts w:ascii="Tahoma" w:hAnsi="Tahoma" w:cs="Tahoma"/>
          <w:sz w:val="24"/>
          <w:szCs w:val="24"/>
          <w:lang w:val="es-419"/>
        </w:rPr>
        <w:t xml:space="preserve"> </w:t>
      </w:r>
      <w:r w:rsidR="00E06727" w:rsidRPr="001C501B">
        <w:rPr>
          <w:rFonts w:ascii="Tahoma" w:hAnsi="Tahoma" w:cs="Tahoma"/>
          <w:sz w:val="24"/>
          <w:szCs w:val="24"/>
          <w:lang w:val="es-419"/>
        </w:rPr>
        <w:t xml:space="preserve">para la </w:t>
      </w:r>
      <w:r w:rsidR="000654D5" w:rsidRPr="001C501B">
        <w:rPr>
          <w:rFonts w:ascii="Tahoma" w:hAnsi="Tahoma" w:cs="Tahoma"/>
          <w:sz w:val="24"/>
          <w:szCs w:val="24"/>
          <w:lang w:val="es-419"/>
        </w:rPr>
        <w:t xml:space="preserve">fecha de la estructuración de su invalidez se hallaba afiliado a la administradora de fondo pensional PORVENIR S.A, siendo </w:t>
      </w:r>
      <w:r w:rsidR="00E06727" w:rsidRPr="001C501B">
        <w:rPr>
          <w:rFonts w:ascii="Tahoma" w:hAnsi="Tahoma" w:cs="Tahoma"/>
          <w:sz w:val="24"/>
          <w:szCs w:val="24"/>
          <w:lang w:val="es-419"/>
        </w:rPr>
        <w:t>é</w:t>
      </w:r>
      <w:r w:rsidR="000654D5" w:rsidRPr="001C501B">
        <w:rPr>
          <w:rFonts w:ascii="Tahoma" w:hAnsi="Tahoma" w:cs="Tahoma"/>
          <w:sz w:val="24"/>
          <w:szCs w:val="24"/>
          <w:lang w:val="es-419"/>
        </w:rPr>
        <w:t>sta</w:t>
      </w:r>
      <w:r w:rsidR="00E06727" w:rsidRPr="001C501B">
        <w:rPr>
          <w:rFonts w:ascii="Tahoma" w:hAnsi="Tahoma" w:cs="Tahoma"/>
          <w:sz w:val="24"/>
          <w:szCs w:val="24"/>
          <w:lang w:val="es-419"/>
        </w:rPr>
        <w:t xml:space="preserve"> </w:t>
      </w:r>
      <w:r w:rsidR="000654D5" w:rsidRPr="001C501B">
        <w:rPr>
          <w:rFonts w:ascii="Tahoma" w:hAnsi="Tahoma" w:cs="Tahoma"/>
          <w:sz w:val="24"/>
          <w:szCs w:val="24"/>
          <w:lang w:val="es-419"/>
        </w:rPr>
        <w:t>última</w:t>
      </w:r>
      <w:r w:rsidR="00047314" w:rsidRPr="001C501B">
        <w:rPr>
          <w:rFonts w:ascii="Tahoma" w:hAnsi="Tahoma" w:cs="Tahoma"/>
          <w:sz w:val="24"/>
          <w:szCs w:val="24"/>
          <w:lang w:val="es-419"/>
        </w:rPr>
        <w:t>,</w:t>
      </w:r>
      <w:r w:rsidR="000654D5" w:rsidRPr="001C501B">
        <w:rPr>
          <w:rFonts w:ascii="Tahoma" w:hAnsi="Tahoma" w:cs="Tahoma"/>
          <w:sz w:val="24"/>
          <w:szCs w:val="24"/>
          <w:lang w:val="es-419"/>
        </w:rPr>
        <w:t xml:space="preserve"> la llamada a reconocerle dicho estatus </w:t>
      </w:r>
      <w:r w:rsidR="00E06727" w:rsidRPr="001C501B">
        <w:rPr>
          <w:rFonts w:ascii="Tahoma" w:hAnsi="Tahoma" w:cs="Tahoma"/>
          <w:sz w:val="24"/>
          <w:szCs w:val="24"/>
          <w:lang w:val="es-419"/>
        </w:rPr>
        <w:t xml:space="preserve">al accionante </w:t>
      </w:r>
      <w:r w:rsidR="00A54CDC" w:rsidRPr="001C501B">
        <w:rPr>
          <w:rFonts w:ascii="Tahoma" w:hAnsi="Tahoma" w:cs="Tahoma"/>
          <w:sz w:val="24"/>
          <w:szCs w:val="24"/>
        </w:rPr>
        <w:t xml:space="preserve">y en </w:t>
      </w:r>
      <w:r w:rsidR="00047314" w:rsidRPr="001C501B">
        <w:rPr>
          <w:rFonts w:ascii="Tahoma" w:hAnsi="Tahoma" w:cs="Tahoma"/>
          <w:sz w:val="24"/>
          <w:szCs w:val="24"/>
        </w:rPr>
        <w:t>razón a ello,</w:t>
      </w:r>
      <w:r w:rsidR="00A54CDC" w:rsidRPr="001C501B">
        <w:rPr>
          <w:rFonts w:ascii="Tahoma" w:hAnsi="Tahoma" w:cs="Tahoma"/>
          <w:sz w:val="24"/>
          <w:szCs w:val="24"/>
        </w:rPr>
        <w:t xml:space="preserve"> solicitó declara</w:t>
      </w:r>
      <w:r w:rsidR="00FB4580" w:rsidRPr="001C501B">
        <w:rPr>
          <w:rFonts w:ascii="Tahoma" w:hAnsi="Tahoma" w:cs="Tahoma"/>
          <w:sz w:val="24"/>
          <w:szCs w:val="24"/>
        </w:rPr>
        <w:t>r</w:t>
      </w:r>
      <w:r w:rsidR="00A54CDC" w:rsidRPr="001C501B">
        <w:rPr>
          <w:rFonts w:ascii="Tahoma" w:hAnsi="Tahoma" w:cs="Tahoma"/>
          <w:sz w:val="24"/>
          <w:szCs w:val="24"/>
        </w:rPr>
        <w:t xml:space="preserve"> la improcedencia de la acción de tutela.</w:t>
      </w:r>
    </w:p>
    <w:p w14:paraId="00F8FBEF" w14:textId="77777777" w:rsidR="007F5A4B" w:rsidRPr="001C501B" w:rsidRDefault="007F5A4B" w:rsidP="001C501B">
      <w:pPr>
        <w:spacing w:after="0" w:line="276" w:lineRule="auto"/>
        <w:ind w:left="60" w:firstLine="709"/>
        <w:jc w:val="both"/>
        <w:rPr>
          <w:rFonts w:ascii="Tahoma" w:hAnsi="Tahoma" w:cs="Tahoma"/>
          <w:sz w:val="24"/>
          <w:szCs w:val="24"/>
        </w:rPr>
      </w:pPr>
    </w:p>
    <w:p w14:paraId="0BC84D5C" w14:textId="6236A92D" w:rsidR="00DE342F" w:rsidRPr="001C501B" w:rsidRDefault="00A54CDC" w:rsidP="001C501B">
      <w:pPr>
        <w:pStyle w:val="Default"/>
        <w:spacing w:afterLines="160" w:after="384" w:line="276" w:lineRule="auto"/>
        <w:ind w:firstLine="709"/>
        <w:jc w:val="both"/>
        <w:rPr>
          <w:rFonts w:ascii="Tahoma" w:hAnsi="Tahoma" w:cs="Tahoma"/>
          <w:lang w:val="es-419"/>
        </w:rPr>
      </w:pPr>
      <w:r w:rsidRPr="001C501B">
        <w:rPr>
          <w:rFonts w:ascii="Tahoma" w:hAnsi="Tahoma" w:cs="Tahoma"/>
        </w:rPr>
        <w:t>Por su parte,</w:t>
      </w:r>
      <w:r w:rsidR="007F5A4B" w:rsidRPr="001C501B">
        <w:rPr>
          <w:rFonts w:ascii="Tahoma" w:hAnsi="Tahoma" w:cs="Tahoma"/>
        </w:rPr>
        <w:t xml:space="preserve"> el fondo de pensiones y cesantías PORVENIR </w:t>
      </w:r>
      <w:proofErr w:type="gramStart"/>
      <w:r w:rsidR="007F5A4B" w:rsidRPr="001C501B">
        <w:rPr>
          <w:rFonts w:ascii="Tahoma" w:hAnsi="Tahoma" w:cs="Tahoma"/>
        </w:rPr>
        <w:t>S.A</w:t>
      </w:r>
      <w:proofErr w:type="gramEnd"/>
      <w:r w:rsidR="00FC3301" w:rsidRPr="001C501B">
        <w:rPr>
          <w:rStyle w:val="Refdenotaalpie"/>
          <w:rFonts w:ascii="Tahoma" w:hAnsi="Tahoma" w:cs="Tahoma"/>
        </w:rPr>
        <w:footnoteReference w:id="1"/>
      </w:r>
      <w:r w:rsidR="007F5A4B" w:rsidRPr="001C501B">
        <w:rPr>
          <w:rFonts w:ascii="Tahoma" w:hAnsi="Tahoma" w:cs="Tahoma"/>
        </w:rPr>
        <w:t xml:space="preserve">, a pesar de </w:t>
      </w:r>
      <w:r w:rsidR="00276884" w:rsidRPr="001C501B">
        <w:rPr>
          <w:rFonts w:ascii="Tahoma" w:hAnsi="Tahoma" w:cs="Tahoma"/>
        </w:rPr>
        <w:t>estar debidamente notificada</w:t>
      </w:r>
      <w:r w:rsidR="006069A3" w:rsidRPr="001C501B">
        <w:rPr>
          <w:rFonts w:ascii="Tahoma" w:hAnsi="Tahoma" w:cs="Tahoma"/>
        </w:rPr>
        <w:t xml:space="preserve"> (tal como consta en los documentos 03 y 04 del expediente digital de primera instancia)</w:t>
      </w:r>
      <w:r w:rsidR="00276884" w:rsidRPr="001C501B">
        <w:rPr>
          <w:rFonts w:ascii="Tahoma" w:hAnsi="Tahoma" w:cs="Tahoma"/>
        </w:rPr>
        <w:t xml:space="preserve">, guardó silencio. </w:t>
      </w:r>
    </w:p>
    <w:p w14:paraId="25A4058B" w14:textId="06E69ED7" w:rsidR="00691226" w:rsidRPr="001C501B" w:rsidRDefault="00DE342F" w:rsidP="001C501B">
      <w:pPr>
        <w:spacing w:after="0" w:line="276" w:lineRule="auto"/>
        <w:ind w:firstLine="709"/>
        <w:jc w:val="both"/>
        <w:rPr>
          <w:rFonts w:ascii="Tahoma" w:hAnsi="Tahoma" w:cs="Tahoma"/>
          <w:sz w:val="24"/>
          <w:szCs w:val="24"/>
        </w:rPr>
      </w:pPr>
      <w:r w:rsidRPr="001C501B">
        <w:rPr>
          <w:rFonts w:ascii="Tahoma" w:hAnsi="Tahoma" w:cs="Tahoma"/>
          <w:sz w:val="24"/>
          <w:szCs w:val="24"/>
        </w:rPr>
        <w:t>L</w:t>
      </w:r>
      <w:r w:rsidR="00691226" w:rsidRPr="001C501B">
        <w:rPr>
          <w:rFonts w:ascii="Tahoma" w:hAnsi="Tahoma" w:cs="Tahoma"/>
          <w:sz w:val="24"/>
          <w:szCs w:val="24"/>
        </w:rPr>
        <w:t>a Jueza de primera instancia</w:t>
      </w:r>
      <w:r w:rsidR="006C203A" w:rsidRPr="001C501B">
        <w:rPr>
          <w:rFonts w:ascii="Tahoma" w:hAnsi="Tahoma" w:cs="Tahoma"/>
          <w:sz w:val="24"/>
          <w:szCs w:val="24"/>
        </w:rPr>
        <w:t>,</w:t>
      </w:r>
      <w:r w:rsidR="005E72EC" w:rsidRPr="001C501B">
        <w:rPr>
          <w:rFonts w:ascii="Tahoma" w:hAnsi="Tahoma" w:cs="Tahoma"/>
          <w:sz w:val="24"/>
          <w:szCs w:val="24"/>
        </w:rPr>
        <w:t xml:space="preserve"> declaró la improcedencia de la acción de tutela, </w:t>
      </w:r>
      <w:r w:rsidR="00276884" w:rsidRPr="001C501B">
        <w:rPr>
          <w:rFonts w:ascii="Tahoma" w:hAnsi="Tahoma" w:cs="Tahoma"/>
          <w:sz w:val="24"/>
          <w:szCs w:val="24"/>
        </w:rPr>
        <w:t xml:space="preserve">bajo el argumento de </w:t>
      </w:r>
      <w:r w:rsidR="00E20BDD" w:rsidRPr="001C501B">
        <w:rPr>
          <w:rFonts w:ascii="Tahoma" w:hAnsi="Tahoma" w:cs="Tahoma"/>
          <w:sz w:val="24"/>
          <w:szCs w:val="24"/>
        </w:rPr>
        <w:t xml:space="preserve">la existencia de múltiples </w:t>
      </w:r>
      <w:r w:rsidR="005E72EC" w:rsidRPr="001C501B">
        <w:rPr>
          <w:rFonts w:ascii="Tahoma" w:hAnsi="Tahoma" w:cs="Tahoma"/>
          <w:sz w:val="24"/>
          <w:szCs w:val="24"/>
        </w:rPr>
        <w:t xml:space="preserve">herramientas en la jurisdicción ordinaria </w:t>
      </w:r>
      <w:r w:rsidR="00E20BDD" w:rsidRPr="001C501B">
        <w:rPr>
          <w:rFonts w:ascii="Tahoma" w:hAnsi="Tahoma" w:cs="Tahoma"/>
          <w:sz w:val="24"/>
          <w:szCs w:val="24"/>
        </w:rPr>
        <w:t xml:space="preserve">laboral, </w:t>
      </w:r>
      <w:r w:rsidR="005E72EC" w:rsidRPr="001C501B">
        <w:rPr>
          <w:rFonts w:ascii="Tahoma" w:hAnsi="Tahoma" w:cs="Tahoma"/>
          <w:sz w:val="24"/>
          <w:szCs w:val="24"/>
        </w:rPr>
        <w:t xml:space="preserve">a las que el accionante puede acudir para dirimir el conflicto concerniente </w:t>
      </w:r>
      <w:r w:rsidR="00E20BDD" w:rsidRPr="001C501B">
        <w:rPr>
          <w:rFonts w:ascii="Tahoma" w:hAnsi="Tahoma" w:cs="Tahoma"/>
          <w:sz w:val="24"/>
          <w:szCs w:val="24"/>
        </w:rPr>
        <w:t>a determinar cuál es el fondo pensional que está obligado a reconocerle su pensión de invalidez.</w:t>
      </w:r>
      <w:r w:rsidR="001F3FAE" w:rsidRPr="001C501B">
        <w:rPr>
          <w:rFonts w:ascii="Tahoma" w:hAnsi="Tahoma" w:cs="Tahoma"/>
          <w:sz w:val="24"/>
          <w:szCs w:val="24"/>
        </w:rPr>
        <w:t xml:space="preserve"> </w:t>
      </w:r>
    </w:p>
    <w:p w14:paraId="0F64923C" w14:textId="77777777" w:rsidR="000813F8" w:rsidRPr="001C501B" w:rsidRDefault="000813F8" w:rsidP="001C501B">
      <w:pPr>
        <w:spacing w:after="0" w:line="276" w:lineRule="auto"/>
        <w:ind w:firstLine="709"/>
        <w:jc w:val="both"/>
        <w:rPr>
          <w:rFonts w:ascii="Tahoma" w:hAnsi="Tahoma" w:cs="Tahoma"/>
          <w:sz w:val="24"/>
          <w:szCs w:val="24"/>
        </w:rPr>
      </w:pPr>
    </w:p>
    <w:p w14:paraId="20757931" w14:textId="335F6633" w:rsidR="00691226" w:rsidRPr="001C501B" w:rsidRDefault="0082709E" w:rsidP="001C501B">
      <w:pPr>
        <w:spacing w:after="0" w:line="276" w:lineRule="auto"/>
        <w:ind w:firstLine="709"/>
        <w:jc w:val="both"/>
        <w:rPr>
          <w:rFonts w:ascii="Tahoma" w:hAnsi="Tahoma" w:cs="Tahoma"/>
          <w:sz w:val="24"/>
          <w:szCs w:val="24"/>
        </w:rPr>
      </w:pPr>
      <w:r w:rsidRPr="001C501B">
        <w:rPr>
          <w:rFonts w:ascii="Tahoma" w:hAnsi="Tahoma" w:cs="Tahoma"/>
          <w:sz w:val="24"/>
          <w:szCs w:val="24"/>
        </w:rPr>
        <w:t>El representante judicial del actor</w:t>
      </w:r>
      <w:r w:rsidR="006C203A" w:rsidRPr="001C501B">
        <w:rPr>
          <w:rFonts w:ascii="Tahoma" w:hAnsi="Tahoma" w:cs="Tahoma"/>
          <w:sz w:val="24"/>
          <w:szCs w:val="24"/>
        </w:rPr>
        <w:t xml:space="preserve"> </w:t>
      </w:r>
      <w:r w:rsidR="00691226" w:rsidRPr="001C501B">
        <w:rPr>
          <w:rFonts w:ascii="Tahoma" w:hAnsi="Tahoma" w:cs="Tahoma"/>
          <w:sz w:val="24"/>
          <w:szCs w:val="24"/>
        </w:rPr>
        <w:t xml:space="preserve">impugnó la sentencia de primera instancia </w:t>
      </w:r>
      <w:r w:rsidR="00C04D84" w:rsidRPr="001C501B">
        <w:rPr>
          <w:rFonts w:ascii="Tahoma" w:hAnsi="Tahoma" w:cs="Tahoma"/>
          <w:sz w:val="24"/>
          <w:szCs w:val="24"/>
        </w:rPr>
        <w:t>a</w:t>
      </w:r>
      <w:r w:rsidR="00533C2E" w:rsidRPr="001C501B">
        <w:rPr>
          <w:rFonts w:ascii="Tahoma" w:hAnsi="Tahoma" w:cs="Tahoma"/>
          <w:sz w:val="24"/>
          <w:szCs w:val="24"/>
        </w:rPr>
        <w:t>duciendo</w:t>
      </w:r>
      <w:r w:rsidR="00C04D84" w:rsidRPr="001C501B">
        <w:rPr>
          <w:rFonts w:ascii="Tahoma" w:hAnsi="Tahoma" w:cs="Tahoma"/>
          <w:sz w:val="24"/>
          <w:szCs w:val="24"/>
        </w:rPr>
        <w:t xml:space="preserve">, en </w:t>
      </w:r>
      <w:r w:rsidR="00867B82" w:rsidRPr="001C501B">
        <w:rPr>
          <w:rFonts w:ascii="Tahoma" w:hAnsi="Tahoma" w:cs="Tahoma"/>
          <w:sz w:val="24"/>
          <w:szCs w:val="24"/>
        </w:rPr>
        <w:t xml:space="preserve">síntesis, </w:t>
      </w:r>
      <w:r w:rsidR="00276884" w:rsidRPr="001C501B">
        <w:rPr>
          <w:rFonts w:ascii="Tahoma" w:hAnsi="Tahoma" w:cs="Tahoma"/>
          <w:sz w:val="24"/>
          <w:szCs w:val="24"/>
        </w:rPr>
        <w:t xml:space="preserve">que se dan </w:t>
      </w:r>
      <w:r w:rsidR="00533C2E" w:rsidRPr="001C501B">
        <w:rPr>
          <w:rFonts w:ascii="Tahoma" w:hAnsi="Tahoma" w:cs="Tahoma"/>
          <w:sz w:val="24"/>
          <w:szCs w:val="24"/>
        </w:rPr>
        <w:t>los supuestos necesarios para la viabilidad de esta acción constitucional, dado que el señor Agudelo Henao padece un estado de salud de carácter terminal y catastrófico, análogamente, su situación económica y familiar es de carácter precario al depender para su subsistencia de la caridad de amigos o familiares.</w:t>
      </w:r>
    </w:p>
    <w:p w14:paraId="6AC4826B" w14:textId="77777777" w:rsidR="00AB521C" w:rsidRPr="001C501B" w:rsidRDefault="00AB521C" w:rsidP="001C501B">
      <w:pPr>
        <w:spacing w:after="0" w:line="276" w:lineRule="auto"/>
        <w:ind w:firstLine="709"/>
        <w:jc w:val="both"/>
        <w:rPr>
          <w:rFonts w:ascii="Tahoma" w:hAnsi="Tahoma" w:cs="Tahoma"/>
          <w:sz w:val="24"/>
          <w:szCs w:val="24"/>
        </w:rPr>
      </w:pPr>
    </w:p>
    <w:p w14:paraId="0963CB60" w14:textId="6D194C68" w:rsidR="00584A35" w:rsidRPr="001C501B" w:rsidRDefault="00584A35" w:rsidP="001C501B">
      <w:pPr>
        <w:spacing w:after="0" w:line="276" w:lineRule="auto"/>
        <w:ind w:firstLine="709"/>
        <w:jc w:val="both"/>
        <w:rPr>
          <w:rFonts w:ascii="Tahoma" w:hAnsi="Tahoma" w:cs="Tahoma"/>
          <w:sz w:val="24"/>
          <w:szCs w:val="24"/>
        </w:rPr>
      </w:pPr>
      <w:r w:rsidRPr="001C501B">
        <w:rPr>
          <w:rFonts w:ascii="Tahoma" w:hAnsi="Tahoma" w:cs="Tahoma"/>
          <w:sz w:val="24"/>
          <w:szCs w:val="24"/>
        </w:rPr>
        <w:t>P</w:t>
      </w:r>
      <w:r w:rsidR="00AB521C" w:rsidRPr="001C501B">
        <w:rPr>
          <w:rFonts w:ascii="Tahoma" w:hAnsi="Tahoma" w:cs="Tahoma"/>
          <w:sz w:val="24"/>
          <w:szCs w:val="24"/>
        </w:rPr>
        <w:t xml:space="preserve">ara desatar el </w:t>
      </w:r>
      <w:r w:rsidR="00860481" w:rsidRPr="001C501B">
        <w:rPr>
          <w:rFonts w:ascii="Tahoma" w:hAnsi="Tahoma" w:cs="Tahoma"/>
          <w:sz w:val="24"/>
          <w:szCs w:val="24"/>
        </w:rPr>
        <w:t>fondo</w:t>
      </w:r>
      <w:r w:rsidR="00AB521C" w:rsidRPr="001C501B">
        <w:rPr>
          <w:rFonts w:ascii="Tahoma" w:hAnsi="Tahoma" w:cs="Tahoma"/>
          <w:sz w:val="24"/>
          <w:szCs w:val="24"/>
        </w:rPr>
        <w:t xml:space="preserve"> del litigio, empecemos por decir que e</w:t>
      </w:r>
      <w:r w:rsidR="00985B44" w:rsidRPr="001C501B">
        <w:rPr>
          <w:rFonts w:ascii="Tahoma" w:hAnsi="Tahoma" w:cs="Tahoma"/>
          <w:sz w:val="24"/>
          <w:szCs w:val="24"/>
        </w:rPr>
        <w:t>l</w:t>
      </w:r>
      <w:r w:rsidR="00F5124C" w:rsidRPr="001C501B">
        <w:rPr>
          <w:rFonts w:ascii="Tahoma" w:hAnsi="Tahoma" w:cs="Tahoma"/>
          <w:sz w:val="24"/>
          <w:szCs w:val="24"/>
        </w:rPr>
        <w:t xml:space="preserve"> numeral 1° del artículo 39 de la ley 100 de 1993</w:t>
      </w:r>
      <w:r w:rsidR="00AB1B37" w:rsidRPr="001C501B">
        <w:rPr>
          <w:rFonts w:ascii="Tahoma" w:hAnsi="Tahoma" w:cs="Tahoma"/>
          <w:sz w:val="24"/>
          <w:szCs w:val="24"/>
        </w:rPr>
        <w:t xml:space="preserve"> que,</w:t>
      </w:r>
      <w:r w:rsidR="00F5124C" w:rsidRPr="001C501B">
        <w:rPr>
          <w:rFonts w:ascii="Tahoma" w:hAnsi="Tahoma" w:cs="Tahoma"/>
          <w:sz w:val="24"/>
          <w:szCs w:val="24"/>
        </w:rPr>
        <w:t xml:space="preserve"> a su vez, </w:t>
      </w:r>
      <w:r w:rsidR="00AB1B37" w:rsidRPr="001C501B">
        <w:rPr>
          <w:rFonts w:ascii="Tahoma" w:hAnsi="Tahoma" w:cs="Tahoma"/>
          <w:sz w:val="24"/>
          <w:szCs w:val="24"/>
        </w:rPr>
        <w:t xml:space="preserve">fue </w:t>
      </w:r>
      <w:r w:rsidR="00F5124C" w:rsidRPr="001C501B">
        <w:rPr>
          <w:rFonts w:ascii="Tahoma" w:hAnsi="Tahoma" w:cs="Tahoma"/>
          <w:sz w:val="24"/>
          <w:szCs w:val="24"/>
        </w:rPr>
        <w:t xml:space="preserve">modificado por el artículo 1 </w:t>
      </w:r>
      <w:r w:rsidR="00860481" w:rsidRPr="001C501B">
        <w:rPr>
          <w:rFonts w:ascii="Tahoma" w:hAnsi="Tahoma" w:cs="Tahoma"/>
          <w:sz w:val="24"/>
          <w:szCs w:val="24"/>
        </w:rPr>
        <w:t>de la ley 860 de 2003</w:t>
      </w:r>
      <w:r w:rsidR="00AB1B37" w:rsidRPr="001C501B">
        <w:rPr>
          <w:rFonts w:ascii="Tahoma" w:hAnsi="Tahoma" w:cs="Tahoma"/>
          <w:sz w:val="24"/>
          <w:szCs w:val="24"/>
        </w:rPr>
        <w:t xml:space="preserve"> establece los</w:t>
      </w:r>
      <w:r w:rsidR="005B4600" w:rsidRPr="001C501B">
        <w:rPr>
          <w:rFonts w:ascii="Tahoma" w:hAnsi="Tahoma" w:cs="Tahoma"/>
          <w:sz w:val="24"/>
          <w:szCs w:val="24"/>
        </w:rPr>
        <w:t xml:space="preserve"> </w:t>
      </w:r>
      <w:r w:rsidR="00276884" w:rsidRPr="001C501B">
        <w:rPr>
          <w:rFonts w:ascii="Tahoma" w:hAnsi="Tahoma" w:cs="Tahoma"/>
          <w:sz w:val="24"/>
          <w:szCs w:val="24"/>
        </w:rPr>
        <w:t xml:space="preserve">siguientes </w:t>
      </w:r>
      <w:r w:rsidR="005B4600" w:rsidRPr="001C501B">
        <w:rPr>
          <w:rFonts w:ascii="Tahoma" w:hAnsi="Tahoma" w:cs="Tahoma"/>
          <w:sz w:val="24"/>
          <w:szCs w:val="24"/>
        </w:rPr>
        <w:t xml:space="preserve">requisitos para acceder a la </w:t>
      </w:r>
      <w:r w:rsidR="00A31F22" w:rsidRPr="001C501B">
        <w:rPr>
          <w:rFonts w:ascii="Tahoma" w:hAnsi="Tahoma" w:cs="Tahoma"/>
          <w:sz w:val="24"/>
          <w:szCs w:val="24"/>
        </w:rPr>
        <w:t>pensión</w:t>
      </w:r>
      <w:r w:rsidR="005B4600" w:rsidRPr="001C501B">
        <w:rPr>
          <w:rFonts w:ascii="Tahoma" w:hAnsi="Tahoma" w:cs="Tahoma"/>
          <w:sz w:val="24"/>
          <w:szCs w:val="24"/>
        </w:rPr>
        <w:t xml:space="preserve"> de invalidez por enfermedad</w:t>
      </w:r>
      <w:r w:rsidR="00AB1B37" w:rsidRPr="001C501B">
        <w:rPr>
          <w:rFonts w:ascii="Tahoma" w:hAnsi="Tahoma" w:cs="Tahoma"/>
          <w:sz w:val="24"/>
          <w:szCs w:val="24"/>
        </w:rPr>
        <w:t xml:space="preserve"> </w:t>
      </w:r>
      <w:r w:rsidR="00276884" w:rsidRPr="001C501B">
        <w:rPr>
          <w:rFonts w:ascii="Tahoma" w:hAnsi="Tahoma" w:cs="Tahoma"/>
          <w:sz w:val="24"/>
          <w:szCs w:val="24"/>
        </w:rPr>
        <w:t>común, a saber</w:t>
      </w:r>
      <w:r w:rsidR="005B4600" w:rsidRPr="001C501B">
        <w:rPr>
          <w:rFonts w:ascii="Tahoma" w:hAnsi="Tahoma" w:cs="Tahoma"/>
          <w:sz w:val="24"/>
          <w:szCs w:val="24"/>
        </w:rPr>
        <w:t>:</w:t>
      </w:r>
      <w:r w:rsidR="00AB1B37" w:rsidRPr="001C501B">
        <w:rPr>
          <w:rFonts w:ascii="Tahoma" w:hAnsi="Tahoma" w:cs="Tahoma"/>
          <w:sz w:val="24"/>
          <w:szCs w:val="24"/>
        </w:rPr>
        <w:t xml:space="preserve"> haber </w:t>
      </w:r>
      <w:r w:rsidR="00A31F22" w:rsidRPr="001C501B">
        <w:rPr>
          <w:rFonts w:ascii="Tahoma" w:hAnsi="Tahoma" w:cs="Tahoma"/>
          <w:sz w:val="24"/>
          <w:szCs w:val="24"/>
        </w:rPr>
        <w:t>cotizado cincuenta (50) semanas dentro de los tres (3) años inmediatamente anteriores a la fecha de estructuración.</w:t>
      </w:r>
    </w:p>
    <w:p w14:paraId="4618E00E" w14:textId="77777777" w:rsidR="007C65A3" w:rsidRPr="001C501B" w:rsidRDefault="007C65A3" w:rsidP="001C501B">
      <w:pPr>
        <w:spacing w:after="0" w:line="276" w:lineRule="auto"/>
        <w:ind w:firstLine="709"/>
        <w:jc w:val="both"/>
        <w:rPr>
          <w:rFonts w:ascii="Tahoma" w:hAnsi="Tahoma" w:cs="Tahoma"/>
          <w:sz w:val="24"/>
          <w:szCs w:val="24"/>
        </w:rPr>
      </w:pPr>
    </w:p>
    <w:p w14:paraId="626AFA60" w14:textId="202674B9" w:rsidR="0021262B" w:rsidRPr="001C501B" w:rsidRDefault="00FD1E89" w:rsidP="001C501B">
      <w:pPr>
        <w:spacing w:after="0" w:line="276" w:lineRule="auto"/>
        <w:ind w:firstLine="709"/>
        <w:jc w:val="both"/>
        <w:rPr>
          <w:rFonts w:ascii="Tahoma" w:hAnsi="Tahoma" w:cs="Tahoma"/>
          <w:b/>
          <w:sz w:val="24"/>
          <w:szCs w:val="24"/>
        </w:rPr>
      </w:pPr>
      <w:r w:rsidRPr="001C501B">
        <w:rPr>
          <w:rFonts w:ascii="Tahoma" w:hAnsi="Tahoma" w:cs="Tahoma"/>
          <w:sz w:val="24"/>
          <w:szCs w:val="24"/>
        </w:rPr>
        <w:t>Revisado el ace</w:t>
      </w:r>
      <w:r w:rsidR="004E1BCA" w:rsidRPr="001C501B">
        <w:rPr>
          <w:rFonts w:ascii="Tahoma" w:hAnsi="Tahoma" w:cs="Tahoma"/>
          <w:sz w:val="24"/>
          <w:szCs w:val="24"/>
        </w:rPr>
        <w:t xml:space="preserve">rvo probatorio, se evidencia que, mediante </w:t>
      </w:r>
      <w:r w:rsidR="008170AA" w:rsidRPr="001C501B">
        <w:rPr>
          <w:rFonts w:ascii="Tahoma" w:hAnsi="Tahoma" w:cs="Tahoma"/>
          <w:sz w:val="24"/>
          <w:szCs w:val="24"/>
        </w:rPr>
        <w:t>dictamen</w:t>
      </w:r>
      <w:r w:rsidR="006357A7" w:rsidRPr="001C501B">
        <w:rPr>
          <w:rFonts w:ascii="Tahoma" w:hAnsi="Tahoma" w:cs="Tahoma"/>
          <w:sz w:val="24"/>
          <w:szCs w:val="24"/>
        </w:rPr>
        <w:t xml:space="preserve"> DML-</w:t>
      </w:r>
      <w:r w:rsidR="008170AA" w:rsidRPr="001C501B">
        <w:rPr>
          <w:rFonts w:ascii="Tahoma" w:hAnsi="Tahoma" w:cs="Tahoma"/>
          <w:sz w:val="24"/>
          <w:szCs w:val="24"/>
        </w:rPr>
        <w:t xml:space="preserve"> 4111771 emitido por COLPENSIONES</w:t>
      </w:r>
      <w:r w:rsidR="00997109" w:rsidRPr="001C501B">
        <w:rPr>
          <w:rStyle w:val="Refdenotaalpie"/>
          <w:rFonts w:ascii="Tahoma" w:hAnsi="Tahoma" w:cs="Tahoma"/>
          <w:sz w:val="24"/>
          <w:szCs w:val="24"/>
        </w:rPr>
        <w:footnoteReference w:id="2"/>
      </w:r>
      <w:r w:rsidR="008170AA" w:rsidRPr="001C501B">
        <w:rPr>
          <w:rFonts w:ascii="Tahoma" w:hAnsi="Tahoma" w:cs="Tahoma"/>
          <w:sz w:val="24"/>
          <w:szCs w:val="24"/>
        </w:rPr>
        <w:t xml:space="preserve">, el accionante sufre una pérdida de la capacidad laboral del 68.50% con fecha de estructuración correspondiente al </w:t>
      </w:r>
      <w:r w:rsidR="008170AA" w:rsidRPr="001C501B">
        <w:rPr>
          <w:rFonts w:ascii="Tahoma" w:hAnsi="Tahoma" w:cs="Tahoma"/>
          <w:b/>
          <w:sz w:val="24"/>
          <w:szCs w:val="24"/>
        </w:rPr>
        <w:t>27 de noviembre de 2019</w:t>
      </w:r>
      <w:r w:rsidR="005351EC" w:rsidRPr="001C501B">
        <w:rPr>
          <w:rFonts w:ascii="Tahoma" w:hAnsi="Tahoma" w:cs="Tahoma"/>
          <w:b/>
          <w:sz w:val="24"/>
          <w:szCs w:val="24"/>
        </w:rPr>
        <w:t>, y supera con creces las semanas de cotización mínimas requeridas dentro de los tres años anteriores a la estructuración de la invalidez</w:t>
      </w:r>
      <w:r w:rsidR="0021262B" w:rsidRPr="001C501B">
        <w:rPr>
          <w:rFonts w:ascii="Tahoma" w:hAnsi="Tahoma" w:cs="Tahoma"/>
          <w:sz w:val="24"/>
          <w:szCs w:val="24"/>
        </w:rPr>
        <w:t>.</w:t>
      </w:r>
      <w:r w:rsidR="005351EC" w:rsidRPr="001C501B">
        <w:rPr>
          <w:rFonts w:ascii="Tahoma" w:hAnsi="Tahoma" w:cs="Tahoma"/>
          <w:sz w:val="24"/>
          <w:szCs w:val="24"/>
        </w:rPr>
        <w:t xml:space="preserve"> </w:t>
      </w:r>
      <w:r w:rsidR="005351EC" w:rsidRPr="001C501B">
        <w:rPr>
          <w:rFonts w:ascii="Tahoma" w:hAnsi="Tahoma" w:cs="Tahoma"/>
          <w:b/>
          <w:sz w:val="24"/>
          <w:szCs w:val="24"/>
        </w:rPr>
        <w:t xml:space="preserve">Lo anterior quiere decir que está suficientemente probado el derecho que le asiste al actor a que le reconozcan y paguen la pensión de invalidez.  </w:t>
      </w:r>
    </w:p>
    <w:p w14:paraId="026EED90" w14:textId="77777777" w:rsidR="00C15997" w:rsidRPr="001C501B" w:rsidRDefault="00C15997" w:rsidP="001C501B">
      <w:pPr>
        <w:spacing w:after="0" w:line="276" w:lineRule="auto"/>
        <w:ind w:firstLine="709"/>
        <w:jc w:val="both"/>
        <w:rPr>
          <w:rFonts w:ascii="Tahoma" w:hAnsi="Tahoma" w:cs="Tahoma"/>
          <w:sz w:val="24"/>
          <w:szCs w:val="24"/>
        </w:rPr>
      </w:pPr>
    </w:p>
    <w:p w14:paraId="56428215" w14:textId="5FB4704F" w:rsidR="00FC0B14" w:rsidRPr="001C501B" w:rsidRDefault="008C499D" w:rsidP="001C501B">
      <w:pPr>
        <w:spacing w:after="0" w:line="276" w:lineRule="auto"/>
        <w:ind w:firstLine="709"/>
        <w:jc w:val="both"/>
        <w:rPr>
          <w:rFonts w:ascii="Tahoma" w:hAnsi="Tahoma" w:cs="Tahoma"/>
          <w:sz w:val="24"/>
          <w:szCs w:val="24"/>
        </w:rPr>
      </w:pPr>
      <w:r w:rsidRPr="001C501B">
        <w:rPr>
          <w:rFonts w:ascii="Tahoma" w:hAnsi="Tahoma" w:cs="Tahoma"/>
          <w:sz w:val="24"/>
          <w:szCs w:val="24"/>
        </w:rPr>
        <w:t>Aunado a lo anterior</w:t>
      </w:r>
      <w:r w:rsidR="00DF56C0" w:rsidRPr="001C501B">
        <w:rPr>
          <w:rFonts w:ascii="Tahoma" w:hAnsi="Tahoma" w:cs="Tahoma"/>
          <w:sz w:val="24"/>
          <w:szCs w:val="24"/>
        </w:rPr>
        <w:t>, en</w:t>
      </w:r>
      <w:r w:rsidR="006357A7" w:rsidRPr="001C501B">
        <w:rPr>
          <w:rFonts w:ascii="Tahoma" w:hAnsi="Tahoma" w:cs="Tahoma"/>
          <w:sz w:val="24"/>
          <w:szCs w:val="24"/>
        </w:rPr>
        <w:t xml:space="preserve"> resolución SUB-262032</w:t>
      </w:r>
      <w:r w:rsidR="00DF56C0" w:rsidRPr="001C501B">
        <w:rPr>
          <w:rFonts w:ascii="Tahoma" w:hAnsi="Tahoma" w:cs="Tahoma"/>
          <w:sz w:val="24"/>
          <w:szCs w:val="24"/>
        </w:rPr>
        <w:t xml:space="preserve"> </w:t>
      </w:r>
      <w:r w:rsidR="006357A7" w:rsidRPr="001C501B">
        <w:rPr>
          <w:rFonts w:ascii="Tahoma" w:hAnsi="Tahoma" w:cs="Tahoma"/>
          <w:sz w:val="24"/>
          <w:szCs w:val="24"/>
        </w:rPr>
        <w:t xml:space="preserve">allegada </w:t>
      </w:r>
      <w:r w:rsidR="00DF56C0" w:rsidRPr="001C501B">
        <w:rPr>
          <w:rFonts w:ascii="Tahoma" w:hAnsi="Tahoma" w:cs="Tahoma"/>
          <w:sz w:val="24"/>
          <w:szCs w:val="24"/>
        </w:rPr>
        <w:t>al proceso por el accionante y emitido por la administradora colombiana de pensiones</w:t>
      </w:r>
      <w:r w:rsidR="00997109" w:rsidRPr="001C501B">
        <w:rPr>
          <w:rStyle w:val="Refdenotaalpie"/>
          <w:rFonts w:ascii="Tahoma" w:hAnsi="Tahoma" w:cs="Tahoma"/>
          <w:sz w:val="24"/>
          <w:szCs w:val="24"/>
        </w:rPr>
        <w:footnoteReference w:id="3"/>
      </w:r>
      <w:r w:rsidR="00DF56C0" w:rsidRPr="001C501B">
        <w:rPr>
          <w:rFonts w:ascii="Tahoma" w:hAnsi="Tahoma" w:cs="Tahoma"/>
          <w:sz w:val="24"/>
          <w:szCs w:val="24"/>
        </w:rPr>
        <w:t>, se coteja</w:t>
      </w:r>
      <w:r w:rsidR="0003348E" w:rsidRPr="001C501B">
        <w:rPr>
          <w:rFonts w:ascii="Tahoma" w:hAnsi="Tahoma" w:cs="Tahoma"/>
          <w:sz w:val="24"/>
          <w:szCs w:val="24"/>
        </w:rPr>
        <w:t>,</w:t>
      </w:r>
      <w:r w:rsidR="00DF56C0" w:rsidRPr="001C501B">
        <w:rPr>
          <w:rFonts w:ascii="Tahoma" w:hAnsi="Tahoma" w:cs="Tahoma"/>
          <w:sz w:val="24"/>
          <w:szCs w:val="24"/>
        </w:rPr>
        <w:t xml:space="preserve"> que para la fecha de estructuración de</w:t>
      </w:r>
      <w:r w:rsidR="0003348E" w:rsidRPr="001C501B">
        <w:rPr>
          <w:rFonts w:ascii="Tahoma" w:hAnsi="Tahoma" w:cs="Tahoma"/>
          <w:sz w:val="24"/>
          <w:szCs w:val="24"/>
        </w:rPr>
        <w:t xml:space="preserve"> invalidez del</w:t>
      </w:r>
      <w:r w:rsidR="0017631F" w:rsidRPr="001C501B">
        <w:rPr>
          <w:rFonts w:ascii="Tahoma" w:hAnsi="Tahoma" w:cs="Tahoma"/>
          <w:sz w:val="24"/>
          <w:szCs w:val="24"/>
        </w:rPr>
        <w:t xml:space="preserve"> promotor de la acción</w:t>
      </w:r>
      <w:r w:rsidR="0003348E" w:rsidRPr="001C501B">
        <w:rPr>
          <w:rFonts w:ascii="Tahoma" w:hAnsi="Tahoma" w:cs="Tahoma"/>
          <w:sz w:val="24"/>
          <w:szCs w:val="24"/>
        </w:rPr>
        <w:t xml:space="preserve">, </w:t>
      </w:r>
      <w:r w:rsidR="00276884" w:rsidRPr="001C501B">
        <w:rPr>
          <w:rFonts w:ascii="Tahoma" w:hAnsi="Tahoma" w:cs="Tahoma"/>
          <w:sz w:val="24"/>
          <w:szCs w:val="24"/>
        </w:rPr>
        <w:t xml:space="preserve">se encontraba </w:t>
      </w:r>
      <w:r w:rsidR="0003348E" w:rsidRPr="001C501B">
        <w:rPr>
          <w:rFonts w:ascii="Tahoma" w:hAnsi="Tahoma" w:cs="Tahoma"/>
          <w:sz w:val="24"/>
          <w:szCs w:val="24"/>
        </w:rPr>
        <w:t xml:space="preserve">afiliado </w:t>
      </w:r>
      <w:r w:rsidR="00276884" w:rsidRPr="001C501B">
        <w:rPr>
          <w:rFonts w:ascii="Tahoma" w:hAnsi="Tahoma" w:cs="Tahoma"/>
          <w:sz w:val="24"/>
          <w:szCs w:val="24"/>
        </w:rPr>
        <w:t>a</w:t>
      </w:r>
      <w:r w:rsidR="0003348E" w:rsidRPr="001C501B">
        <w:rPr>
          <w:rFonts w:ascii="Tahoma" w:hAnsi="Tahoma" w:cs="Tahoma"/>
          <w:sz w:val="24"/>
          <w:szCs w:val="24"/>
        </w:rPr>
        <w:t>l fondo pensional PORVENIR S.A</w:t>
      </w:r>
      <w:r w:rsidR="0017631F" w:rsidRPr="001C501B">
        <w:rPr>
          <w:rFonts w:ascii="Tahoma" w:hAnsi="Tahoma" w:cs="Tahoma"/>
          <w:sz w:val="24"/>
          <w:szCs w:val="24"/>
        </w:rPr>
        <w:t xml:space="preserve">, toda vez que, para el 06 de noviembre de 2019 </w:t>
      </w:r>
      <w:r w:rsidR="00A33FAD" w:rsidRPr="001C501B">
        <w:rPr>
          <w:rFonts w:ascii="Tahoma" w:hAnsi="Tahoma" w:cs="Tahoma"/>
          <w:sz w:val="24"/>
          <w:szCs w:val="24"/>
        </w:rPr>
        <w:t xml:space="preserve">instó su traslado </w:t>
      </w:r>
      <w:r w:rsidR="006C463D" w:rsidRPr="001C501B">
        <w:rPr>
          <w:rFonts w:ascii="Tahoma" w:hAnsi="Tahoma" w:cs="Tahoma"/>
          <w:sz w:val="24"/>
          <w:szCs w:val="24"/>
        </w:rPr>
        <w:t xml:space="preserve">del régimen de ahorro individual con solidaridad (en adelante RAIS) </w:t>
      </w:r>
      <w:r w:rsidR="00A33FAD" w:rsidRPr="001C501B">
        <w:rPr>
          <w:rFonts w:ascii="Tahoma" w:hAnsi="Tahoma" w:cs="Tahoma"/>
          <w:sz w:val="24"/>
          <w:szCs w:val="24"/>
        </w:rPr>
        <w:t xml:space="preserve">al régimen de prima media con prestación definida </w:t>
      </w:r>
      <w:r w:rsidR="006C463D" w:rsidRPr="001C501B">
        <w:rPr>
          <w:rFonts w:ascii="Tahoma" w:hAnsi="Tahoma" w:cs="Tahoma"/>
          <w:sz w:val="24"/>
          <w:szCs w:val="24"/>
        </w:rPr>
        <w:t xml:space="preserve">(en adelante RPM) </w:t>
      </w:r>
      <w:r w:rsidR="00A33FAD" w:rsidRPr="001C501B">
        <w:rPr>
          <w:rFonts w:ascii="Tahoma" w:hAnsi="Tahoma" w:cs="Tahoma"/>
          <w:sz w:val="24"/>
          <w:szCs w:val="24"/>
        </w:rPr>
        <w:t xml:space="preserve">y tal </w:t>
      </w:r>
      <w:r w:rsidR="00A33FAD" w:rsidRPr="001C501B">
        <w:rPr>
          <w:rFonts w:ascii="Tahoma" w:hAnsi="Tahoma" w:cs="Tahoma"/>
          <w:sz w:val="24"/>
          <w:szCs w:val="24"/>
        </w:rPr>
        <w:lastRenderedPageBreak/>
        <w:t xml:space="preserve">solicitud se hizo efectiva el 01 de enero de 2020, </w:t>
      </w:r>
      <w:r w:rsidRPr="001C501B">
        <w:rPr>
          <w:rFonts w:ascii="Tahoma" w:hAnsi="Tahoma" w:cs="Tahoma"/>
          <w:sz w:val="24"/>
          <w:szCs w:val="24"/>
        </w:rPr>
        <w:t>esto</w:t>
      </w:r>
      <w:r w:rsidR="00276884" w:rsidRPr="001C501B">
        <w:rPr>
          <w:rFonts w:ascii="Tahoma" w:hAnsi="Tahoma" w:cs="Tahoma"/>
          <w:sz w:val="24"/>
          <w:szCs w:val="24"/>
        </w:rPr>
        <w:t xml:space="preserve"> es, con posterioridad </w:t>
      </w:r>
      <w:r w:rsidR="00A33FAD" w:rsidRPr="001C501B">
        <w:rPr>
          <w:rFonts w:ascii="Tahoma" w:hAnsi="Tahoma" w:cs="Tahoma"/>
          <w:sz w:val="24"/>
          <w:szCs w:val="24"/>
        </w:rPr>
        <w:t xml:space="preserve">a la </w:t>
      </w:r>
      <w:r w:rsidR="00276884" w:rsidRPr="001C501B">
        <w:rPr>
          <w:rFonts w:ascii="Tahoma" w:hAnsi="Tahoma" w:cs="Tahoma"/>
          <w:sz w:val="24"/>
          <w:szCs w:val="24"/>
        </w:rPr>
        <w:t xml:space="preserve">fecha </w:t>
      </w:r>
      <w:r w:rsidR="00A33FAD" w:rsidRPr="001C501B">
        <w:rPr>
          <w:rFonts w:ascii="Tahoma" w:hAnsi="Tahoma" w:cs="Tahoma"/>
          <w:sz w:val="24"/>
          <w:szCs w:val="24"/>
        </w:rPr>
        <w:t>fijada</w:t>
      </w:r>
      <w:r w:rsidRPr="001C501B">
        <w:rPr>
          <w:rFonts w:ascii="Tahoma" w:hAnsi="Tahoma" w:cs="Tahoma"/>
          <w:sz w:val="24"/>
          <w:szCs w:val="24"/>
        </w:rPr>
        <w:t xml:space="preserve"> dentro del </w:t>
      </w:r>
      <w:r w:rsidR="00A33FAD" w:rsidRPr="001C501B">
        <w:rPr>
          <w:rFonts w:ascii="Tahoma" w:hAnsi="Tahoma" w:cs="Tahoma"/>
          <w:sz w:val="24"/>
          <w:szCs w:val="24"/>
        </w:rPr>
        <w:t>dictamen médico como</w:t>
      </w:r>
      <w:r w:rsidRPr="001C501B">
        <w:rPr>
          <w:rFonts w:ascii="Tahoma" w:hAnsi="Tahoma" w:cs="Tahoma"/>
          <w:sz w:val="24"/>
          <w:szCs w:val="24"/>
        </w:rPr>
        <w:t xml:space="preserve"> la correspondiente a la estructuración de la invalidez.</w:t>
      </w:r>
    </w:p>
    <w:p w14:paraId="7BB34791" w14:textId="77777777" w:rsidR="00276884" w:rsidRPr="001C501B" w:rsidRDefault="00276884" w:rsidP="001C501B">
      <w:pPr>
        <w:spacing w:after="0" w:line="276" w:lineRule="auto"/>
        <w:ind w:firstLine="709"/>
        <w:jc w:val="both"/>
        <w:rPr>
          <w:rFonts w:ascii="Tahoma" w:hAnsi="Tahoma" w:cs="Tahoma"/>
          <w:sz w:val="24"/>
          <w:szCs w:val="24"/>
        </w:rPr>
      </w:pPr>
    </w:p>
    <w:p w14:paraId="27C62DEB" w14:textId="77777777" w:rsidR="002C03AA" w:rsidRPr="001C501B" w:rsidRDefault="00C15997" w:rsidP="001C501B">
      <w:pPr>
        <w:spacing w:after="0" w:line="276" w:lineRule="auto"/>
        <w:ind w:firstLine="709"/>
        <w:jc w:val="both"/>
        <w:rPr>
          <w:rFonts w:ascii="Tahoma" w:hAnsi="Tahoma" w:cs="Tahoma"/>
          <w:color w:val="000000" w:themeColor="text1"/>
          <w:sz w:val="24"/>
          <w:szCs w:val="24"/>
        </w:rPr>
      </w:pPr>
      <w:r w:rsidRPr="001C501B">
        <w:rPr>
          <w:rFonts w:ascii="Tahoma" w:hAnsi="Tahoma" w:cs="Tahoma"/>
          <w:sz w:val="24"/>
          <w:szCs w:val="24"/>
        </w:rPr>
        <w:t>L</w:t>
      </w:r>
      <w:r w:rsidR="00A2549B" w:rsidRPr="001C501B">
        <w:rPr>
          <w:rFonts w:ascii="Tahoma" w:hAnsi="Tahoma" w:cs="Tahoma"/>
          <w:sz w:val="24"/>
          <w:szCs w:val="24"/>
        </w:rPr>
        <w:t>a parte actora</w:t>
      </w:r>
      <w:r w:rsidR="006E2486" w:rsidRPr="001C501B">
        <w:rPr>
          <w:rFonts w:ascii="Tahoma" w:hAnsi="Tahoma" w:cs="Tahoma"/>
          <w:sz w:val="24"/>
          <w:szCs w:val="24"/>
        </w:rPr>
        <w:t>, en su escrito de impugnaci</w:t>
      </w:r>
      <w:r w:rsidR="0043606D" w:rsidRPr="001C501B">
        <w:rPr>
          <w:rFonts w:ascii="Tahoma" w:hAnsi="Tahoma" w:cs="Tahoma"/>
          <w:sz w:val="24"/>
          <w:szCs w:val="24"/>
        </w:rPr>
        <w:t xml:space="preserve">ón, </w:t>
      </w:r>
      <w:r w:rsidR="006E2486" w:rsidRPr="001C501B">
        <w:rPr>
          <w:rFonts w:ascii="Tahoma" w:hAnsi="Tahoma" w:cs="Tahoma"/>
          <w:sz w:val="24"/>
          <w:szCs w:val="24"/>
        </w:rPr>
        <w:t xml:space="preserve">arguye </w:t>
      </w:r>
      <w:r w:rsidR="00A2549B" w:rsidRPr="001C501B">
        <w:rPr>
          <w:rFonts w:ascii="Tahoma" w:hAnsi="Tahoma" w:cs="Tahoma"/>
          <w:sz w:val="24"/>
          <w:szCs w:val="24"/>
        </w:rPr>
        <w:t>que en virtud de la</w:t>
      </w:r>
      <w:r w:rsidR="00FC7A23" w:rsidRPr="001C501B">
        <w:rPr>
          <w:rFonts w:ascii="Tahoma" w:hAnsi="Tahoma" w:cs="Tahoma"/>
          <w:color w:val="000000" w:themeColor="text1"/>
          <w:sz w:val="24"/>
          <w:szCs w:val="24"/>
        </w:rPr>
        <w:t xml:space="preserve"> enfermedad de carácter terminal y catastrófica (insuficiencia renal en hemodiálisis) padecida por el señor Adrián Agudelo Henao y su </w:t>
      </w:r>
      <w:r w:rsidR="00A2549B" w:rsidRPr="001C501B">
        <w:rPr>
          <w:rFonts w:ascii="Tahoma" w:hAnsi="Tahoma" w:cs="Tahoma"/>
          <w:color w:val="000000" w:themeColor="text1"/>
          <w:sz w:val="24"/>
          <w:szCs w:val="24"/>
        </w:rPr>
        <w:t>deplorable situación económica,</w:t>
      </w:r>
      <w:r w:rsidR="00FF3981" w:rsidRPr="001C501B">
        <w:rPr>
          <w:rFonts w:ascii="Tahoma" w:hAnsi="Tahoma" w:cs="Tahoma"/>
          <w:color w:val="000000" w:themeColor="text1"/>
          <w:sz w:val="24"/>
          <w:szCs w:val="24"/>
        </w:rPr>
        <w:t xml:space="preserve"> </w:t>
      </w:r>
      <w:r w:rsidR="00A2549B" w:rsidRPr="001C501B">
        <w:rPr>
          <w:rFonts w:ascii="Tahoma" w:hAnsi="Tahoma" w:cs="Tahoma"/>
          <w:color w:val="000000" w:themeColor="text1"/>
          <w:sz w:val="24"/>
          <w:szCs w:val="24"/>
        </w:rPr>
        <w:t>son determinantes</w:t>
      </w:r>
      <w:r w:rsidR="00FF3981" w:rsidRPr="001C501B">
        <w:rPr>
          <w:rFonts w:ascii="Tahoma" w:hAnsi="Tahoma" w:cs="Tahoma"/>
          <w:color w:val="000000" w:themeColor="text1"/>
          <w:sz w:val="24"/>
          <w:szCs w:val="24"/>
        </w:rPr>
        <w:t xml:space="preserve"> </w:t>
      </w:r>
      <w:r w:rsidR="00A2549B" w:rsidRPr="001C501B">
        <w:rPr>
          <w:rFonts w:ascii="Tahoma" w:hAnsi="Tahoma" w:cs="Tahoma"/>
          <w:color w:val="000000" w:themeColor="text1"/>
          <w:sz w:val="24"/>
          <w:szCs w:val="24"/>
        </w:rPr>
        <w:t xml:space="preserve">para que por vía constitucional </w:t>
      </w:r>
      <w:r w:rsidR="00851987" w:rsidRPr="001C501B">
        <w:rPr>
          <w:rFonts w:ascii="Tahoma" w:hAnsi="Tahoma" w:cs="Tahoma"/>
          <w:color w:val="000000" w:themeColor="text1"/>
          <w:sz w:val="24"/>
          <w:szCs w:val="24"/>
        </w:rPr>
        <w:t xml:space="preserve">sea procedente </w:t>
      </w:r>
      <w:r w:rsidR="00CD19B9" w:rsidRPr="001C501B">
        <w:rPr>
          <w:rFonts w:ascii="Tahoma" w:hAnsi="Tahoma" w:cs="Tahoma"/>
          <w:color w:val="000000" w:themeColor="text1"/>
          <w:sz w:val="24"/>
          <w:szCs w:val="24"/>
        </w:rPr>
        <w:t>el reconocimiento</w:t>
      </w:r>
      <w:r w:rsidR="00851987" w:rsidRPr="001C501B">
        <w:rPr>
          <w:rFonts w:ascii="Tahoma" w:hAnsi="Tahoma" w:cs="Tahoma"/>
          <w:color w:val="000000" w:themeColor="text1"/>
          <w:sz w:val="24"/>
          <w:szCs w:val="24"/>
        </w:rPr>
        <w:t xml:space="preserve"> de</w:t>
      </w:r>
      <w:r w:rsidR="00A2549B" w:rsidRPr="001C501B">
        <w:rPr>
          <w:rFonts w:ascii="Tahoma" w:hAnsi="Tahoma" w:cs="Tahoma"/>
          <w:color w:val="000000" w:themeColor="text1"/>
          <w:sz w:val="24"/>
          <w:szCs w:val="24"/>
        </w:rPr>
        <w:t xml:space="preserve"> su estatus pensional, y por ende se condene al pago de dicha prestación económica a COLPENSIONES.</w:t>
      </w:r>
      <w:r w:rsidR="006654EE" w:rsidRPr="001C501B">
        <w:rPr>
          <w:rFonts w:ascii="Tahoma" w:hAnsi="Tahoma" w:cs="Tahoma"/>
          <w:color w:val="000000" w:themeColor="text1"/>
          <w:sz w:val="24"/>
          <w:szCs w:val="24"/>
        </w:rPr>
        <w:t xml:space="preserve"> </w:t>
      </w:r>
    </w:p>
    <w:p w14:paraId="394B3DA7" w14:textId="77777777" w:rsidR="002C03AA" w:rsidRPr="001C501B" w:rsidRDefault="002C03AA" w:rsidP="001C501B">
      <w:pPr>
        <w:spacing w:after="0" w:line="276" w:lineRule="auto"/>
        <w:ind w:firstLine="709"/>
        <w:jc w:val="both"/>
        <w:rPr>
          <w:rFonts w:ascii="Tahoma" w:hAnsi="Tahoma" w:cs="Tahoma"/>
          <w:color w:val="000000" w:themeColor="text1"/>
          <w:sz w:val="24"/>
          <w:szCs w:val="24"/>
        </w:rPr>
      </w:pPr>
    </w:p>
    <w:p w14:paraId="5D719E28" w14:textId="4166806F" w:rsidR="0043606D" w:rsidRPr="001C501B" w:rsidRDefault="006654EE" w:rsidP="001C501B">
      <w:pPr>
        <w:spacing w:after="0" w:line="276" w:lineRule="auto"/>
        <w:ind w:firstLine="709"/>
        <w:jc w:val="both"/>
        <w:rPr>
          <w:rFonts w:ascii="Tahoma" w:hAnsi="Tahoma" w:cs="Tahoma"/>
          <w:color w:val="0D0D0D" w:themeColor="text1" w:themeTint="F2"/>
          <w:sz w:val="24"/>
          <w:szCs w:val="24"/>
        </w:rPr>
      </w:pPr>
      <w:r w:rsidRPr="001C501B">
        <w:rPr>
          <w:rFonts w:ascii="Tahoma" w:hAnsi="Tahoma" w:cs="Tahoma"/>
          <w:color w:val="000000" w:themeColor="text1"/>
          <w:sz w:val="24"/>
          <w:szCs w:val="24"/>
        </w:rPr>
        <w:t>Revisada la historia clínica del actor</w:t>
      </w:r>
      <w:r w:rsidR="002C03AA" w:rsidRPr="001C501B">
        <w:rPr>
          <w:rFonts w:ascii="Tahoma" w:hAnsi="Tahoma" w:cs="Tahoma"/>
          <w:color w:val="000000" w:themeColor="text1"/>
          <w:sz w:val="24"/>
          <w:szCs w:val="24"/>
        </w:rPr>
        <w:t xml:space="preserve">, el dictamen de pérdida de capacidad laboral </w:t>
      </w:r>
      <w:r w:rsidRPr="001C501B">
        <w:rPr>
          <w:rFonts w:ascii="Tahoma" w:hAnsi="Tahoma" w:cs="Tahoma"/>
          <w:color w:val="000000" w:themeColor="text1"/>
          <w:sz w:val="24"/>
          <w:szCs w:val="24"/>
        </w:rPr>
        <w:t xml:space="preserve"> y la afirmación indefinida de encontrarse en una difícil situación económica (hecho que no fue desvirtuado por COLPENSIONES) la Sala encuentra que efectivamente se dan los presupuestos </w:t>
      </w:r>
      <w:r w:rsidRPr="001C501B">
        <w:rPr>
          <w:rFonts w:ascii="Tahoma" w:hAnsi="Tahoma" w:cs="Tahoma"/>
          <w:color w:val="0D0D0D" w:themeColor="text1" w:themeTint="F2"/>
          <w:sz w:val="24"/>
          <w:szCs w:val="24"/>
        </w:rPr>
        <w:t xml:space="preserve">jurisprudenciales establecidas en la sentencia T-503/17, </w:t>
      </w:r>
      <w:r w:rsidR="002C03AA" w:rsidRPr="001C501B">
        <w:rPr>
          <w:rFonts w:ascii="Tahoma" w:hAnsi="Tahoma" w:cs="Tahoma"/>
          <w:color w:val="0D0D0D" w:themeColor="text1" w:themeTint="F2"/>
          <w:sz w:val="24"/>
          <w:szCs w:val="24"/>
        </w:rPr>
        <w:t xml:space="preserve">para la </w:t>
      </w:r>
      <w:r w:rsidR="002C03AA" w:rsidRPr="001C501B">
        <w:rPr>
          <w:rFonts w:ascii="Tahoma" w:hAnsi="Tahoma" w:cs="Tahoma"/>
          <w:b/>
          <w:color w:val="0D0D0D" w:themeColor="text1" w:themeTint="F2"/>
          <w:sz w:val="24"/>
          <w:szCs w:val="24"/>
        </w:rPr>
        <w:t xml:space="preserve">procedencia de la presente acción, </w:t>
      </w:r>
      <w:r w:rsidR="002C03AA" w:rsidRPr="001C501B">
        <w:rPr>
          <w:rFonts w:ascii="Tahoma" w:hAnsi="Tahoma" w:cs="Tahoma"/>
          <w:color w:val="0D0D0D" w:themeColor="text1" w:themeTint="F2"/>
          <w:sz w:val="24"/>
          <w:szCs w:val="24"/>
        </w:rPr>
        <w:t xml:space="preserve"> por cuanto, en palabras de la Corte, nos encontramos ante el siguiente panorama: </w:t>
      </w:r>
      <w:r w:rsidR="00F53B9C">
        <w:rPr>
          <w:rFonts w:ascii="Tahoma" w:hAnsi="Tahoma" w:cs="Tahoma"/>
          <w:color w:val="0D0D0D" w:themeColor="text1" w:themeTint="F2"/>
          <w:sz w:val="24"/>
          <w:szCs w:val="24"/>
        </w:rPr>
        <w:t>“</w:t>
      </w:r>
      <w:r w:rsidRPr="00F53B9C">
        <w:rPr>
          <w:rFonts w:ascii="Tahoma" w:hAnsi="Tahoma" w:cs="Tahoma"/>
          <w:i/>
          <w:iCs/>
          <w:szCs w:val="24"/>
        </w:rPr>
        <w:t>(i) por una parte, la calidad del sujeto que la reclama. Es claro que las circunstancias de vulnerabilidad y de debilidad manifiesta de una persona declarada inválida, hacen necesaria la inmediata protección del derecho a la pensión de invalidez, asegurando de esa manera la garantía y respeto de derechos fundamentales como la vida, la dignidad, la integridad física y el mínimo vital entre otros; (ii) En segundo lugar, porque la importancia de tal reconocimiento radica en el hecho de que en la gran mayoría de los casos, esta prestación se constituye en el único sustento económico con el que contaría la persona y su grupo familiar dependiente para sobrellevar su existencia en condiciones más dignas y justas</w:t>
      </w:r>
      <w:r w:rsidRPr="001C501B">
        <w:rPr>
          <w:rFonts w:ascii="Tahoma" w:hAnsi="Tahoma" w:cs="Tahoma"/>
          <w:i/>
          <w:iCs/>
          <w:sz w:val="24"/>
          <w:szCs w:val="24"/>
        </w:rPr>
        <w:t>.”</w:t>
      </w:r>
    </w:p>
    <w:p w14:paraId="04A657A0" w14:textId="77777777" w:rsidR="000D1C3E" w:rsidRPr="001C501B" w:rsidRDefault="000D1C3E" w:rsidP="001C501B">
      <w:pPr>
        <w:spacing w:after="0" w:line="276" w:lineRule="auto"/>
        <w:ind w:firstLine="709"/>
        <w:jc w:val="both"/>
        <w:rPr>
          <w:rFonts w:ascii="Tahoma" w:hAnsi="Tahoma" w:cs="Tahoma"/>
          <w:color w:val="0D0D0D" w:themeColor="text1" w:themeTint="F2"/>
          <w:sz w:val="24"/>
          <w:szCs w:val="24"/>
        </w:rPr>
      </w:pPr>
    </w:p>
    <w:p w14:paraId="4CBDEEF2" w14:textId="77777777" w:rsidR="002B7B00" w:rsidRPr="001C501B" w:rsidRDefault="007414B0" w:rsidP="001C501B">
      <w:pPr>
        <w:spacing w:after="0" w:line="276" w:lineRule="auto"/>
        <w:ind w:firstLine="709"/>
        <w:jc w:val="both"/>
        <w:rPr>
          <w:rFonts w:ascii="Tahoma" w:hAnsi="Tahoma" w:cs="Tahoma"/>
          <w:color w:val="000000" w:themeColor="text1"/>
          <w:sz w:val="24"/>
          <w:szCs w:val="24"/>
        </w:rPr>
      </w:pPr>
      <w:r w:rsidRPr="001C501B">
        <w:rPr>
          <w:rFonts w:ascii="Tahoma" w:hAnsi="Tahoma" w:cs="Tahoma"/>
          <w:color w:val="000000" w:themeColor="text1"/>
          <w:sz w:val="24"/>
          <w:szCs w:val="24"/>
        </w:rPr>
        <w:t>En este sentido</w:t>
      </w:r>
      <w:r w:rsidR="001C202F" w:rsidRPr="001C501B">
        <w:rPr>
          <w:rFonts w:ascii="Tahoma" w:hAnsi="Tahoma" w:cs="Tahoma"/>
          <w:color w:val="000000" w:themeColor="text1"/>
          <w:sz w:val="24"/>
          <w:szCs w:val="24"/>
        </w:rPr>
        <w:t>, al</w:t>
      </w:r>
      <w:r w:rsidR="001D678A" w:rsidRPr="001C501B">
        <w:rPr>
          <w:rFonts w:ascii="Tahoma" w:hAnsi="Tahoma" w:cs="Tahoma"/>
          <w:color w:val="000000" w:themeColor="text1"/>
          <w:sz w:val="24"/>
          <w:szCs w:val="24"/>
        </w:rPr>
        <w:t xml:space="preserve"> no concederle</w:t>
      </w:r>
      <w:r w:rsidR="00B26DF7" w:rsidRPr="001C501B">
        <w:rPr>
          <w:rFonts w:ascii="Tahoma" w:hAnsi="Tahoma" w:cs="Tahoma"/>
          <w:color w:val="000000" w:themeColor="text1"/>
          <w:sz w:val="24"/>
          <w:szCs w:val="24"/>
        </w:rPr>
        <w:t xml:space="preserve"> </w:t>
      </w:r>
      <w:r w:rsidR="001D678A" w:rsidRPr="001C501B">
        <w:rPr>
          <w:rFonts w:ascii="Tahoma" w:hAnsi="Tahoma" w:cs="Tahoma"/>
          <w:color w:val="000000" w:themeColor="text1"/>
          <w:sz w:val="24"/>
          <w:szCs w:val="24"/>
        </w:rPr>
        <w:t xml:space="preserve">el pago de la </w:t>
      </w:r>
      <w:r w:rsidR="0020196B" w:rsidRPr="001C501B">
        <w:rPr>
          <w:rFonts w:ascii="Tahoma" w:hAnsi="Tahoma" w:cs="Tahoma"/>
          <w:color w:val="000000" w:themeColor="text1"/>
          <w:sz w:val="24"/>
          <w:szCs w:val="24"/>
        </w:rPr>
        <w:t>prestación</w:t>
      </w:r>
      <w:r w:rsidR="001D678A" w:rsidRPr="001C501B">
        <w:rPr>
          <w:rFonts w:ascii="Tahoma" w:hAnsi="Tahoma" w:cs="Tahoma"/>
          <w:color w:val="000000" w:themeColor="text1"/>
          <w:sz w:val="24"/>
          <w:szCs w:val="24"/>
        </w:rPr>
        <w:t xml:space="preserve"> económica</w:t>
      </w:r>
      <w:r w:rsidR="00B26DF7" w:rsidRPr="001C501B">
        <w:rPr>
          <w:rFonts w:ascii="Tahoma" w:hAnsi="Tahoma" w:cs="Tahoma"/>
          <w:color w:val="000000" w:themeColor="text1"/>
          <w:sz w:val="24"/>
          <w:szCs w:val="24"/>
        </w:rPr>
        <w:t>,</w:t>
      </w:r>
      <w:r w:rsidR="0020196B" w:rsidRPr="001C501B">
        <w:rPr>
          <w:rFonts w:ascii="Tahoma" w:hAnsi="Tahoma" w:cs="Tahoma"/>
          <w:color w:val="000000" w:themeColor="text1"/>
          <w:sz w:val="24"/>
          <w:szCs w:val="24"/>
        </w:rPr>
        <w:t xml:space="preserve"> se </w:t>
      </w:r>
      <w:r w:rsidR="00B90703" w:rsidRPr="001C501B">
        <w:rPr>
          <w:rFonts w:ascii="Tahoma" w:hAnsi="Tahoma" w:cs="Tahoma"/>
          <w:color w:val="000000" w:themeColor="text1"/>
          <w:sz w:val="24"/>
          <w:szCs w:val="24"/>
        </w:rPr>
        <w:t>ve vulnerado</w:t>
      </w:r>
      <w:r w:rsidR="0020196B" w:rsidRPr="001C501B">
        <w:rPr>
          <w:rFonts w:ascii="Tahoma" w:hAnsi="Tahoma" w:cs="Tahoma"/>
          <w:color w:val="000000" w:themeColor="text1"/>
          <w:sz w:val="24"/>
          <w:szCs w:val="24"/>
        </w:rPr>
        <w:t xml:space="preserve"> </w:t>
      </w:r>
      <w:r w:rsidR="00710B5D" w:rsidRPr="001C501B">
        <w:rPr>
          <w:rFonts w:ascii="Tahoma" w:hAnsi="Tahoma" w:cs="Tahoma"/>
          <w:color w:val="000000" w:themeColor="text1"/>
          <w:sz w:val="24"/>
          <w:szCs w:val="24"/>
        </w:rPr>
        <w:t>el</w:t>
      </w:r>
      <w:r w:rsidR="00B26DF7" w:rsidRPr="001C501B">
        <w:rPr>
          <w:rFonts w:ascii="Tahoma" w:hAnsi="Tahoma" w:cs="Tahoma"/>
          <w:color w:val="000000" w:themeColor="text1"/>
          <w:sz w:val="24"/>
          <w:szCs w:val="24"/>
        </w:rPr>
        <w:t xml:space="preserve"> mínimo vital</w:t>
      </w:r>
      <w:r w:rsidR="0020196B" w:rsidRPr="001C501B">
        <w:rPr>
          <w:rFonts w:ascii="Tahoma" w:hAnsi="Tahoma" w:cs="Tahoma"/>
          <w:color w:val="000000" w:themeColor="text1"/>
          <w:sz w:val="24"/>
          <w:szCs w:val="24"/>
        </w:rPr>
        <w:t xml:space="preserve"> y móvil, la seguridad social y la dignidad humana del accionante,</w:t>
      </w:r>
      <w:r w:rsidR="001C202F" w:rsidRPr="001C501B">
        <w:rPr>
          <w:rFonts w:ascii="Tahoma" w:hAnsi="Tahoma" w:cs="Tahoma"/>
          <w:color w:val="000000" w:themeColor="text1"/>
          <w:sz w:val="24"/>
          <w:szCs w:val="24"/>
        </w:rPr>
        <w:t xml:space="preserve"> puesto que</w:t>
      </w:r>
      <w:r w:rsidR="0020196B" w:rsidRPr="001C501B">
        <w:rPr>
          <w:rFonts w:ascii="Tahoma" w:hAnsi="Tahoma" w:cs="Tahoma"/>
          <w:color w:val="000000" w:themeColor="text1"/>
          <w:sz w:val="24"/>
          <w:szCs w:val="24"/>
        </w:rPr>
        <w:t>,</w:t>
      </w:r>
      <w:r w:rsidR="001C202F" w:rsidRPr="001C501B">
        <w:rPr>
          <w:rFonts w:ascii="Tahoma" w:hAnsi="Tahoma" w:cs="Tahoma"/>
          <w:color w:val="000000" w:themeColor="text1"/>
          <w:sz w:val="24"/>
          <w:szCs w:val="24"/>
        </w:rPr>
        <w:t xml:space="preserve"> el</w:t>
      </w:r>
      <w:r w:rsidR="00B90703" w:rsidRPr="001C501B">
        <w:rPr>
          <w:rFonts w:ascii="Tahoma" w:hAnsi="Tahoma" w:cs="Tahoma"/>
          <w:color w:val="000000" w:themeColor="text1"/>
          <w:sz w:val="24"/>
          <w:szCs w:val="24"/>
        </w:rPr>
        <w:t xml:space="preserve"> reconocimiento de esta pensión funge como amparo ante las contingencias derivadas de su invalidez</w:t>
      </w:r>
      <w:r w:rsidR="002B7B00" w:rsidRPr="001C501B">
        <w:rPr>
          <w:rFonts w:ascii="Tahoma" w:hAnsi="Tahoma" w:cs="Tahoma"/>
          <w:color w:val="000000" w:themeColor="text1"/>
          <w:sz w:val="24"/>
          <w:szCs w:val="24"/>
        </w:rPr>
        <w:t>.</w:t>
      </w:r>
    </w:p>
    <w:p w14:paraId="53CBB1C6" w14:textId="77777777" w:rsidR="002B7B00" w:rsidRPr="001C501B" w:rsidRDefault="002B7B00" w:rsidP="001C501B">
      <w:pPr>
        <w:spacing w:after="0" w:line="276" w:lineRule="auto"/>
        <w:ind w:firstLine="709"/>
        <w:jc w:val="both"/>
        <w:rPr>
          <w:rFonts w:ascii="Tahoma" w:hAnsi="Tahoma" w:cs="Tahoma"/>
          <w:color w:val="000000" w:themeColor="text1"/>
          <w:sz w:val="24"/>
          <w:szCs w:val="24"/>
        </w:rPr>
      </w:pPr>
    </w:p>
    <w:p w14:paraId="69030788" w14:textId="1A5E5160" w:rsidR="002C03AA" w:rsidRPr="001C501B" w:rsidRDefault="002C03AA" w:rsidP="001C501B">
      <w:pPr>
        <w:spacing w:after="0" w:line="276" w:lineRule="auto"/>
        <w:ind w:firstLine="709"/>
        <w:jc w:val="both"/>
        <w:rPr>
          <w:rFonts w:ascii="Tahoma" w:hAnsi="Tahoma" w:cs="Tahoma"/>
          <w:color w:val="000000" w:themeColor="text1"/>
          <w:sz w:val="24"/>
          <w:szCs w:val="24"/>
        </w:rPr>
      </w:pPr>
      <w:r w:rsidRPr="001C501B">
        <w:rPr>
          <w:rFonts w:ascii="Tahoma" w:hAnsi="Tahoma" w:cs="Tahoma"/>
          <w:color w:val="000000" w:themeColor="text1"/>
          <w:sz w:val="24"/>
          <w:szCs w:val="24"/>
        </w:rPr>
        <w:t>De cara a lo anterior, y a atendiendo el precedente de la Sala de Casación Laboral de la Corte Suprema de Justicia, en la transcrita sentencia SL 5183-2021, no habiendo duda del derecho que tiene el actor a su pensión de invalidez, el reconocimiento y pago de esa prestación le corresponde a COLPENSIONES por ser la entidad en la que actualmente se encuentra afiliado, por cuanto la firmeza del dictamen que estableció la pérdida de capacidad laboral del actor se dio en vigencia de esta última afiliación, a pesar de que la fecha de estructuración se fijó para la época en que el tutelante se encontraba afiliado a la AFP PORVENIR S.A.</w:t>
      </w:r>
    </w:p>
    <w:p w14:paraId="4DE66284" w14:textId="77777777" w:rsidR="002C03AA" w:rsidRPr="001C501B" w:rsidRDefault="002C03AA" w:rsidP="001C501B">
      <w:pPr>
        <w:spacing w:after="0" w:line="276" w:lineRule="auto"/>
        <w:ind w:firstLine="709"/>
        <w:jc w:val="both"/>
        <w:rPr>
          <w:rFonts w:ascii="Tahoma" w:hAnsi="Tahoma" w:cs="Tahoma"/>
          <w:color w:val="000000" w:themeColor="text1"/>
          <w:sz w:val="24"/>
          <w:szCs w:val="24"/>
        </w:rPr>
      </w:pPr>
    </w:p>
    <w:p w14:paraId="70CE7B09" w14:textId="08EFC735" w:rsidR="00D24497" w:rsidRPr="001C501B" w:rsidRDefault="00D24497" w:rsidP="001C501B">
      <w:pPr>
        <w:spacing w:after="0" w:line="276" w:lineRule="auto"/>
        <w:ind w:firstLine="709"/>
        <w:jc w:val="both"/>
        <w:rPr>
          <w:rFonts w:ascii="Tahoma" w:hAnsi="Tahoma" w:cs="Tahoma"/>
          <w:b/>
          <w:color w:val="000000" w:themeColor="text1"/>
          <w:sz w:val="24"/>
          <w:szCs w:val="24"/>
        </w:rPr>
      </w:pPr>
      <w:r w:rsidRPr="001C501B">
        <w:rPr>
          <w:rFonts w:ascii="Tahoma" w:hAnsi="Tahoma" w:cs="Tahoma"/>
          <w:b/>
          <w:color w:val="000000" w:themeColor="text1"/>
          <w:sz w:val="24"/>
          <w:szCs w:val="24"/>
        </w:rPr>
        <w:t xml:space="preserve">Con todo, como este tema es litigioso al existir dos precedentes contrarios, el amparo se otorgará de manera transitoria mientras COLPENSIONES interpone la correspondiente demanda ante la justicia ordinaria dentro de los cuatro (4) meses siguientes a la notificación de esta sentencia, advirtiendo que los efectos del amparo perdurarán hasta que se decida de manera definitiva el litigio. En caso de que COLPENSIONES no </w:t>
      </w:r>
      <w:r w:rsidRPr="001C501B">
        <w:rPr>
          <w:rFonts w:ascii="Tahoma" w:hAnsi="Tahoma" w:cs="Tahoma"/>
          <w:b/>
          <w:color w:val="000000" w:themeColor="text1"/>
          <w:sz w:val="24"/>
          <w:szCs w:val="24"/>
        </w:rPr>
        <w:lastRenderedPageBreak/>
        <w:t xml:space="preserve">interponga la demanda en el plazo concedido, el amparo se tornará definitivo. </w:t>
      </w:r>
    </w:p>
    <w:p w14:paraId="71B9FF63" w14:textId="07876F95" w:rsidR="004F5422" w:rsidRPr="001C501B" w:rsidRDefault="004F5422" w:rsidP="001C501B">
      <w:pPr>
        <w:spacing w:after="0" w:line="276" w:lineRule="auto"/>
        <w:ind w:firstLine="709"/>
        <w:jc w:val="both"/>
        <w:rPr>
          <w:rFonts w:ascii="Tahoma" w:hAnsi="Tahoma" w:cs="Tahoma"/>
          <w:b/>
          <w:color w:val="000000" w:themeColor="text1"/>
          <w:sz w:val="24"/>
          <w:szCs w:val="24"/>
        </w:rPr>
      </w:pPr>
    </w:p>
    <w:p w14:paraId="58E0570C" w14:textId="770CB587" w:rsidR="00D24497" w:rsidRPr="001C501B" w:rsidRDefault="004F5422" w:rsidP="001C501B">
      <w:pPr>
        <w:spacing w:after="0" w:line="276" w:lineRule="auto"/>
        <w:ind w:firstLine="709"/>
        <w:jc w:val="both"/>
        <w:rPr>
          <w:rFonts w:ascii="Tahoma" w:hAnsi="Tahoma" w:cs="Tahoma"/>
          <w:sz w:val="24"/>
          <w:szCs w:val="24"/>
        </w:rPr>
      </w:pPr>
      <w:r w:rsidRPr="001C501B">
        <w:rPr>
          <w:rFonts w:ascii="Tahoma" w:hAnsi="Tahoma" w:cs="Tahoma"/>
          <w:color w:val="000000" w:themeColor="text1"/>
          <w:sz w:val="24"/>
          <w:szCs w:val="24"/>
        </w:rPr>
        <w:t>La decisión anterior -la de ordenar que quien interponga la demanda ordinaria es COLOPENSIONES- se toma por cuanto si bien del contenido de</w:t>
      </w:r>
      <w:r w:rsidRPr="001C501B">
        <w:rPr>
          <w:rFonts w:ascii="Tahoma" w:hAnsi="Tahoma" w:cs="Tahoma"/>
          <w:sz w:val="24"/>
          <w:szCs w:val="24"/>
        </w:rPr>
        <w:t>l artículo 8 del Decreto 2591 de 1991</w:t>
      </w:r>
      <w:r w:rsidRPr="001C501B">
        <w:rPr>
          <w:rStyle w:val="Refdenotaalpie"/>
          <w:rFonts w:ascii="Tahoma" w:hAnsi="Tahoma" w:cs="Tahoma"/>
          <w:sz w:val="24"/>
          <w:szCs w:val="24"/>
        </w:rPr>
        <w:footnoteReference w:id="4"/>
      </w:r>
      <w:r w:rsidRPr="001C501B">
        <w:rPr>
          <w:rFonts w:ascii="Tahoma" w:hAnsi="Tahoma" w:cs="Tahoma"/>
          <w:sz w:val="24"/>
          <w:szCs w:val="24"/>
        </w:rPr>
        <w:t>, se puede inferir</w:t>
      </w:r>
      <w:r w:rsidR="002914EB" w:rsidRPr="001C501B">
        <w:rPr>
          <w:rFonts w:ascii="Tahoma" w:hAnsi="Tahoma" w:cs="Tahoma"/>
          <w:sz w:val="24"/>
          <w:szCs w:val="24"/>
        </w:rPr>
        <w:t xml:space="preserve">, en principio, </w:t>
      </w:r>
      <w:r w:rsidRPr="001C501B">
        <w:rPr>
          <w:rFonts w:ascii="Tahoma" w:hAnsi="Tahoma" w:cs="Tahoma"/>
          <w:sz w:val="24"/>
          <w:szCs w:val="24"/>
        </w:rPr>
        <w:t xml:space="preserve">que cuando </w:t>
      </w:r>
      <w:r w:rsidR="002914EB" w:rsidRPr="001C501B">
        <w:rPr>
          <w:rFonts w:ascii="Tahoma" w:hAnsi="Tahoma" w:cs="Tahoma"/>
          <w:sz w:val="24"/>
          <w:szCs w:val="24"/>
        </w:rPr>
        <w:t xml:space="preserve">la norma </w:t>
      </w:r>
      <w:r w:rsidRPr="001C501B">
        <w:rPr>
          <w:rFonts w:ascii="Tahoma" w:hAnsi="Tahoma" w:cs="Tahoma"/>
          <w:sz w:val="24"/>
          <w:szCs w:val="24"/>
        </w:rPr>
        <w:t xml:space="preserve">utiliza la expresión </w:t>
      </w:r>
      <w:r w:rsidRPr="001C501B">
        <w:rPr>
          <w:rFonts w:ascii="Tahoma" w:hAnsi="Tahoma" w:cs="Tahoma"/>
          <w:b/>
          <w:i/>
          <w:sz w:val="24"/>
          <w:szCs w:val="24"/>
        </w:rPr>
        <w:t>“afectado”</w:t>
      </w:r>
      <w:r w:rsidRPr="001C501B">
        <w:rPr>
          <w:rFonts w:ascii="Tahoma" w:hAnsi="Tahoma" w:cs="Tahoma"/>
          <w:sz w:val="24"/>
          <w:szCs w:val="24"/>
        </w:rPr>
        <w:t xml:space="preserve"> se está refiriendo exclusivamente al accionante, en el presente caso el ac</w:t>
      </w:r>
      <w:r w:rsidR="002914EB" w:rsidRPr="001C501B">
        <w:rPr>
          <w:rFonts w:ascii="Tahoma" w:hAnsi="Tahoma" w:cs="Tahoma"/>
          <w:sz w:val="24"/>
          <w:szCs w:val="24"/>
        </w:rPr>
        <w:t>tor</w:t>
      </w:r>
      <w:r w:rsidRPr="001C501B">
        <w:rPr>
          <w:rFonts w:ascii="Tahoma" w:hAnsi="Tahoma" w:cs="Tahoma"/>
          <w:sz w:val="24"/>
          <w:szCs w:val="24"/>
        </w:rPr>
        <w:t xml:space="preserve"> no está legitimado </w:t>
      </w:r>
      <w:r w:rsidR="002914EB" w:rsidRPr="001C501B">
        <w:rPr>
          <w:rFonts w:ascii="Tahoma" w:hAnsi="Tahoma" w:cs="Tahoma"/>
          <w:sz w:val="24"/>
          <w:szCs w:val="24"/>
        </w:rPr>
        <w:t xml:space="preserve">para demandar ni a COLPENSIONES ni a la AFP PORVENIR por cuanto su derecho a la pensión de invalidez no está en entredicho, al punto que la negativa de COLPENSIONES de reconocer y pagar la pensión no obedece a una cuestión litigiosa frente al afiliado, sino a una supuesta falta de competencia al considerar que quien debe pagar la pensión es la AFP a la cual se encontraba afiliado el actor al momento de estructurarse la invalidez, situación de la cual no es responsable el actor. Luego entonces, se trata de problemas administrativos que surgen entre las administradoras de pensiones que no tiene porqué asumirlos el afiliado, </w:t>
      </w:r>
      <w:r w:rsidR="007710C0" w:rsidRPr="001C501B">
        <w:rPr>
          <w:rFonts w:ascii="Tahoma" w:hAnsi="Tahoma" w:cs="Tahoma"/>
          <w:sz w:val="24"/>
          <w:szCs w:val="24"/>
        </w:rPr>
        <w:t xml:space="preserve">además de quedar </w:t>
      </w:r>
      <w:r w:rsidR="002914EB" w:rsidRPr="001C501B">
        <w:rPr>
          <w:rFonts w:ascii="Tahoma" w:hAnsi="Tahoma" w:cs="Tahoma"/>
          <w:sz w:val="24"/>
          <w:szCs w:val="24"/>
        </w:rPr>
        <w:t xml:space="preserve">en evidencia que el litigio es entre estos dos fondos de pensiones, en donde nada tiene que ver el actor. Ello fue precisamente lo que pasó en el precedente de la Corte Suprema de Justicia, en donde el litigio se trabó entre las dos administradoras sin la intervención del afiliado. </w:t>
      </w:r>
    </w:p>
    <w:p w14:paraId="57E77F43" w14:textId="77777777" w:rsidR="002914EB" w:rsidRPr="001C501B" w:rsidRDefault="002914EB" w:rsidP="001C501B">
      <w:pPr>
        <w:spacing w:after="0" w:line="276" w:lineRule="auto"/>
        <w:ind w:firstLine="709"/>
        <w:jc w:val="both"/>
        <w:rPr>
          <w:rFonts w:ascii="Tahoma" w:hAnsi="Tahoma" w:cs="Tahoma"/>
          <w:color w:val="000000" w:themeColor="text1"/>
          <w:sz w:val="24"/>
          <w:szCs w:val="24"/>
        </w:rPr>
      </w:pPr>
    </w:p>
    <w:p w14:paraId="6C6BA48C" w14:textId="0E6F4936" w:rsidR="00D24497" w:rsidRPr="001C501B" w:rsidRDefault="002914EB" w:rsidP="001C501B">
      <w:pPr>
        <w:spacing w:after="0" w:line="276" w:lineRule="auto"/>
        <w:ind w:firstLine="709"/>
        <w:jc w:val="both"/>
        <w:rPr>
          <w:rFonts w:ascii="Tahoma" w:eastAsia="Tahoma" w:hAnsi="Tahoma" w:cs="Tahoma"/>
          <w:color w:val="333333"/>
          <w:sz w:val="24"/>
          <w:szCs w:val="24"/>
        </w:rPr>
      </w:pPr>
      <w:r w:rsidRPr="001C501B">
        <w:rPr>
          <w:rFonts w:ascii="Tahoma" w:hAnsi="Tahoma" w:cs="Tahoma"/>
          <w:iCs/>
          <w:color w:val="0D0D0D" w:themeColor="text1" w:themeTint="F2"/>
          <w:sz w:val="24"/>
          <w:szCs w:val="24"/>
        </w:rPr>
        <w:t>Por último</w:t>
      </w:r>
      <w:r w:rsidR="00BB70C2" w:rsidRPr="001C501B">
        <w:rPr>
          <w:rFonts w:ascii="Tahoma" w:hAnsi="Tahoma" w:cs="Tahoma"/>
          <w:iCs/>
          <w:color w:val="0D0D0D" w:themeColor="text1" w:themeTint="F2"/>
          <w:sz w:val="24"/>
          <w:szCs w:val="24"/>
        </w:rPr>
        <w:t>, se ordenará el reconocimiento de la pensión de invalidez a partir de la fecha solicitada en la demanda de tutela</w:t>
      </w:r>
      <w:r w:rsidR="00D24497" w:rsidRPr="001C501B">
        <w:rPr>
          <w:rFonts w:ascii="Tahoma" w:hAnsi="Tahoma" w:cs="Tahoma"/>
          <w:iCs/>
          <w:color w:val="0D0D0D" w:themeColor="text1" w:themeTint="F2"/>
          <w:sz w:val="24"/>
          <w:szCs w:val="24"/>
        </w:rPr>
        <w:t>, esto es, a partir del</w:t>
      </w:r>
      <w:r w:rsidR="00BB70C2" w:rsidRPr="001C501B">
        <w:rPr>
          <w:rFonts w:ascii="Tahoma" w:hAnsi="Tahoma" w:cs="Tahoma"/>
          <w:iCs/>
          <w:color w:val="0D0D0D" w:themeColor="text1" w:themeTint="F2"/>
          <w:sz w:val="24"/>
          <w:szCs w:val="24"/>
        </w:rPr>
        <w:t xml:space="preserve"> 23 de febrero de 2021</w:t>
      </w:r>
      <w:r w:rsidR="00D24497" w:rsidRPr="001C501B">
        <w:rPr>
          <w:rFonts w:ascii="Tahoma" w:hAnsi="Tahoma" w:cs="Tahoma"/>
          <w:iCs/>
          <w:color w:val="0D0D0D" w:themeColor="text1" w:themeTint="F2"/>
          <w:sz w:val="24"/>
          <w:szCs w:val="24"/>
        </w:rPr>
        <w:t xml:space="preserve">, </w:t>
      </w:r>
      <w:r w:rsidR="00D24497" w:rsidRPr="001C501B">
        <w:rPr>
          <w:rFonts w:ascii="Tahoma" w:hAnsi="Tahoma" w:cs="Tahoma"/>
          <w:bCs/>
          <w:sz w:val="24"/>
          <w:szCs w:val="24"/>
        </w:rPr>
        <w:t>sin perjuicio de que el actor pueda reclamar la pensión desde la fecha de estructuración de la invalidez si a ello hubiere lugar.</w:t>
      </w:r>
    </w:p>
    <w:p w14:paraId="5CB1FBF6" w14:textId="77777777" w:rsidR="00D24497" w:rsidRPr="001C501B" w:rsidRDefault="00D24497" w:rsidP="001C501B">
      <w:pPr>
        <w:spacing w:after="0" w:line="276" w:lineRule="auto"/>
        <w:ind w:firstLine="709"/>
        <w:jc w:val="both"/>
        <w:rPr>
          <w:rFonts w:ascii="Tahoma" w:hAnsi="Tahoma" w:cs="Tahoma"/>
          <w:sz w:val="24"/>
          <w:szCs w:val="24"/>
          <w:lang w:eastAsia="es-CO"/>
        </w:rPr>
      </w:pPr>
    </w:p>
    <w:p w14:paraId="327825EA" w14:textId="726D0DA9" w:rsidR="00691226" w:rsidRPr="001C501B" w:rsidRDefault="00691226" w:rsidP="001C501B">
      <w:pPr>
        <w:spacing w:after="0" w:line="276" w:lineRule="auto"/>
        <w:ind w:firstLine="709"/>
        <w:jc w:val="both"/>
        <w:rPr>
          <w:rFonts w:ascii="Tahoma" w:hAnsi="Tahoma" w:cs="Tahoma"/>
          <w:sz w:val="24"/>
          <w:szCs w:val="24"/>
          <w:lang w:eastAsia="es-CO"/>
        </w:rPr>
      </w:pPr>
      <w:r w:rsidRPr="001C501B">
        <w:rPr>
          <w:rFonts w:ascii="Tahoma" w:hAnsi="Tahoma" w:cs="Tahoma"/>
          <w:sz w:val="24"/>
          <w:szCs w:val="24"/>
          <w:lang w:eastAsia="es-CO"/>
        </w:rPr>
        <w:t xml:space="preserve">En mérito de lo expuesto, la </w:t>
      </w:r>
      <w:r w:rsidRPr="001C501B">
        <w:rPr>
          <w:rFonts w:ascii="Tahoma" w:hAnsi="Tahoma" w:cs="Tahoma"/>
          <w:b/>
          <w:sz w:val="24"/>
          <w:szCs w:val="24"/>
          <w:lang w:eastAsia="es-CO"/>
        </w:rPr>
        <w:t>Sala de Decisión Laboral No. 1 del Tribunal Superior del Distrito Judicial de Pereira</w:t>
      </w:r>
      <w:r w:rsidRPr="001C501B">
        <w:rPr>
          <w:rFonts w:ascii="Tahoma" w:hAnsi="Tahoma" w:cs="Tahoma"/>
          <w:sz w:val="24"/>
          <w:szCs w:val="24"/>
          <w:lang w:eastAsia="es-CO"/>
        </w:rPr>
        <w:t>, en nombre del Pueblo y por autoridad de la Constitución y la ley,</w:t>
      </w:r>
    </w:p>
    <w:p w14:paraId="465350C2" w14:textId="4E4BC47C" w:rsidR="00691226" w:rsidRDefault="00691226" w:rsidP="00FD4C3B">
      <w:pPr>
        <w:spacing w:after="0" w:line="276" w:lineRule="auto"/>
        <w:jc w:val="both"/>
        <w:rPr>
          <w:rFonts w:ascii="Tahoma" w:hAnsi="Tahoma" w:cs="Tahoma"/>
          <w:bCs/>
          <w:sz w:val="24"/>
          <w:szCs w:val="24"/>
          <w:lang w:val="es-419"/>
        </w:rPr>
      </w:pPr>
    </w:p>
    <w:p w14:paraId="4BBD994B" w14:textId="77777777" w:rsidR="00FD4C3B" w:rsidRPr="00FD4C3B" w:rsidRDefault="00FD4C3B" w:rsidP="00FD4C3B">
      <w:pPr>
        <w:spacing w:after="0" w:line="276" w:lineRule="auto"/>
        <w:jc w:val="both"/>
        <w:rPr>
          <w:rFonts w:ascii="Tahoma" w:hAnsi="Tahoma" w:cs="Tahoma"/>
          <w:bCs/>
          <w:sz w:val="24"/>
          <w:szCs w:val="24"/>
          <w:lang w:val="es-419"/>
        </w:rPr>
      </w:pPr>
    </w:p>
    <w:p w14:paraId="13A1050C" w14:textId="2EB0C8C4" w:rsidR="003A098C" w:rsidRPr="001C501B" w:rsidRDefault="00691226" w:rsidP="001C501B">
      <w:pPr>
        <w:pStyle w:val="Prrafodelista"/>
        <w:spacing w:after="0" w:line="276" w:lineRule="auto"/>
        <w:ind w:left="714" w:hanging="357"/>
        <w:jc w:val="center"/>
        <w:rPr>
          <w:rFonts w:ascii="Tahoma" w:hAnsi="Tahoma" w:cs="Tahoma"/>
          <w:b/>
          <w:bCs/>
          <w:sz w:val="24"/>
          <w:szCs w:val="24"/>
          <w:lang w:val="es-419"/>
        </w:rPr>
      </w:pPr>
      <w:r w:rsidRPr="001C501B">
        <w:rPr>
          <w:rFonts w:ascii="Tahoma" w:hAnsi="Tahoma" w:cs="Tahoma"/>
          <w:b/>
          <w:bCs/>
          <w:sz w:val="24"/>
          <w:szCs w:val="24"/>
          <w:lang w:val="es-419"/>
        </w:rPr>
        <w:t>RESUELVE</w:t>
      </w:r>
    </w:p>
    <w:p w14:paraId="2223161A" w14:textId="0135D711" w:rsidR="00FD4C3B" w:rsidRDefault="00FD4C3B" w:rsidP="00FD4C3B">
      <w:pPr>
        <w:spacing w:after="0" w:line="276" w:lineRule="auto"/>
        <w:rPr>
          <w:rFonts w:ascii="Tahoma" w:hAnsi="Tahoma" w:cs="Tahoma"/>
          <w:bCs/>
          <w:sz w:val="24"/>
          <w:szCs w:val="24"/>
          <w:lang w:val="es-419"/>
        </w:rPr>
      </w:pPr>
    </w:p>
    <w:p w14:paraId="098868AB" w14:textId="77777777" w:rsidR="00FD4C3B" w:rsidRPr="00FD4C3B" w:rsidRDefault="00FD4C3B" w:rsidP="00FD4C3B">
      <w:pPr>
        <w:spacing w:after="0" w:line="276" w:lineRule="auto"/>
        <w:rPr>
          <w:rFonts w:ascii="Tahoma" w:hAnsi="Tahoma" w:cs="Tahoma"/>
          <w:bCs/>
          <w:sz w:val="24"/>
          <w:szCs w:val="24"/>
          <w:lang w:val="es-419"/>
        </w:rPr>
      </w:pPr>
    </w:p>
    <w:p w14:paraId="57D050F6" w14:textId="05BFF61A" w:rsidR="009513ED" w:rsidRPr="001C501B" w:rsidRDefault="00815353" w:rsidP="001C501B">
      <w:pPr>
        <w:spacing w:after="0" w:line="276" w:lineRule="auto"/>
        <w:ind w:firstLine="709"/>
        <w:jc w:val="both"/>
        <w:rPr>
          <w:rFonts w:ascii="Tahoma" w:hAnsi="Tahoma" w:cs="Tahoma"/>
          <w:sz w:val="24"/>
          <w:szCs w:val="24"/>
        </w:rPr>
      </w:pPr>
      <w:r w:rsidRPr="001C501B">
        <w:rPr>
          <w:rFonts w:ascii="Tahoma" w:hAnsi="Tahoma" w:cs="Tahoma"/>
          <w:b/>
          <w:bCs/>
          <w:sz w:val="24"/>
          <w:szCs w:val="24"/>
        </w:rPr>
        <w:t>PRIMERO</w:t>
      </w:r>
      <w:bookmarkStart w:id="5" w:name="_Hlk80049143"/>
      <w:r w:rsidR="00CA7AFE" w:rsidRPr="001C501B">
        <w:rPr>
          <w:rFonts w:ascii="Tahoma" w:hAnsi="Tahoma" w:cs="Tahoma"/>
          <w:b/>
          <w:bCs/>
          <w:sz w:val="24"/>
          <w:szCs w:val="24"/>
        </w:rPr>
        <w:t>:</w:t>
      </w:r>
      <w:r w:rsidR="009513ED" w:rsidRPr="001C501B">
        <w:rPr>
          <w:rFonts w:ascii="Tahoma" w:hAnsi="Tahoma" w:cs="Tahoma"/>
          <w:b/>
          <w:bCs/>
          <w:sz w:val="24"/>
          <w:szCs w:val="24"/>
        </w:rPr>
        <w:t xml:space="preserve"> </w:t>
      </w:r>
      <w:r w:rsidR="00717D4C" w:rsidRPr="001C501B">
        <w:rPr>
          <w:rFonts w:ascii="Tahoma" w:hAnsi="Tahoma" w:cs="Tahoma"/>
          <w:b/>
          <w:bCs/>
          <w:sz w:val="24"/>
          <w:szCs w:val="24"/>
        </w:rPr>
        <w:t xml:space="preserve">REVOCAR </w:t>
      </w:r>
      <w:r w:rsidR="00717D4C" w:rsidRPr="001C501B">
        <w:rPr>
          <w:rFonts w:ascii="Tahoma" w:hAnsi="Tahoma" w:cs="Tahoma"/>
          <w:sz w:val="24"/>
          <w:szCs w:val="24"/>
        </w:rPr>
        <w:t xml:space="preserve">la sentencia impugnada </w:t>
      </w:r>
      <w:r w:rsidR="00745ECA" w:rsidRPr="001C501B">
        <w:rPr>
          <w:rFonts w:ascii="Tahoma" w:hAnsi="Tahoma" w:cs="Tahoma"/>
          <w:sz w:val="24"/>
          <w:szCs w:val="24"/>
        </w:rPr>
        <w:t xml:space="preserve">por las razones expuestas en la parte motiva de esta providencia. </w:t>
      </w:r>
    </w:p>
    <w:p w14:paraId="7D22C82F" w14:textId="3D1A6A4F" w:rsidR="009513ED" w:rsidRPr="001C501B" w:rsidRDefault="009513ED" w:rsidP="001C501B">
      <w:pPr>
        <w:spacing w:after="0" w:line="276" w:lineRule="auto"/>
        <w:ind w:firstLine="709"/>
        <w:jc w:val="both"/>
        <w:rPr>
          <w:rFonts w:ascii="Tahoma" w:hAnsi="Tahoma" w:cs="Tahoma"/>
          <w:sz w:val="24"/>
          <w:szCs w:val="24"/>
        </w:rPr>
      </w:pPr>
    </w:p>
    <w:p w14:paraId="4C5B07D1" w14:textId="3265E95B" w:rsidR="00D24497" w:rsidRPr="001C501B" w:rsidRDefault="009513ED" w:rsidP="001C501B">
      <w:pPr>
        <w:spacing w:after="0" w:line="276" w:lineRule="auto"/>
        <w:ind w:firstLine="709"/>
        <w:jc w:val="both"/>
        <w:rPr>
          <w:rFonts w:ascii="Tahoma" w:hAnsi="Tahoma" w:cs="Tahoma"/>
          <w:b/>
          <w:bCs/>
          <w:color w:val="000000" w:themeColor="text1"/>
          <w:sz w:val="24"/>
          <w:szCs w:val="24"/>
        </w:rPr>
      </w:pPr>
      <w:r w:rsidRPr="001C501B">
        <w:rPr>
          <w:rFonts w:ascii="Tahoma" w:hAnsi="Tahoma" w:cs="Tahoma"/>
          <w:b/>
          <w:bCs/>
          <w:sz w:val="24"/>
          <w:szCs w:val="24"/>
        </w:rPr>
        <w:t>SEGUNDO</w:t>
      </w:r>
      <w:r w:rsidR="00D00A1D" w:rsidRPr="001C501B">
        <w:rPr>
          <w:rFonts w:ascii="Tahoma" w:hAnsi="Tahoma" w:cs="Tahoma"/>
          <w:b/>
          <w:bCs/>
          <w:sz w:val="24"/>
          <w:szCs w:val="24"/>
        </w:rPr>
        <w:t xml:space="preserve">: </w:t>
      </w:r>
      <w:r w:rsidR="00745ECA" w:rsidRPr="001C501B">
        <w:rPr>
          <w:rFonts w:ascii="Tahoma" w:hAnsi="Tahoma" w:cs="Tahoma"/>
          <w:sz w:val="24"/>
          <w:szCs w:val="24"/>
        </w:rPr>
        <w:t xml:space="preserve">En su lugar, </w:t>
      </w:r>
      <w:r w:rsidR="00745ECA" w:rsidRPr="001C501B">
        <w:rPr>
          <w:rFonts w:ascii="Tahoma" w:hAnsi="Tahoma" w:cs="Tahoma"/>
          <w:b/>
          <w:bCs/>
          <w:sz w:val="24"/>
          <w:szCs w:val="24"/>
        </w:rPr>
        <w:t xml:space="preserve">CONCEDER </w:t>
      </w:r>
      <w:r w:rsidR="00745ECA" w:rsidRPr="001C501B">
        <w:rPr>
          <w:rFonts w:ascii="Tahoma" w:hAnsi="Tahoma" w:cs="Tahoma"/>
          <w:sz w:val="24"/>
          <w:szCs w:val="24"/>
        </w:rPr>
        <w:t>al señor ADRIAN AGUDELO HENAO, la tutela de sus derechos fundamentales al mínimo vital y móvil, seguridad social y dignidad humana.</w:t>
      </w:r>
      <w:r w:rsidR="00D24497" w:rsidRPr="001C501B">
        <w:rPr>
          <w:rFonts w:ascii="Tahoma" w:hAnsi="Tahoma" w:cs="Tahoma"/>
          <w:sz w:val="24"/>
          <w:szCs w:val="24"/>
        </w:rPr>
        <w:t xml:space="preserve"> </w:t>
      </w:r>
      <w:r w:rsidR="00D24497" w:rsidRPr="001C501B">
        <w:rPr>
          <w:rFonts w:ascii="Tahoma" w:hAnsi="Tahoma" w:cs="Tahoma"/>
          <w:b/>
          <w:bCs/>
          <w:color w:val="000000" w:themeColor="text2"/>
          <w:sz w:val="24"/>
          <w:szCs w:val="24"/>
        </w:rPr>
        <w:t xml:space="preserve">El amparo se otorga de manera transitoria mientras COLPENSIONES interpone la correspondiente demanda ante la justicia </w:t>
      </w:r>
      <w:r w:rsidR="00D24497" w:rsidRPr="001C501B">
        <w:rPr>
          <w:rFonts w:ascii="Tahoma" w:hAnsi="Tahoma" w:cs="Tahoma"/>
          <w:b/>
          <w:bCs/>
          <w:color w:val="000000" w:themeColor="text2"/>
          <w:sz w:val="24"/>
          <w:szCs w:val="24"/>
        </w:rPr>
        <w:lastRenderedPageBreak/>
        <w:t xml:space="preserve">ordinaria dentro de los cuatro (4) meses siguientes a la notificación de esta sentencia, advirtiendo que los efectos del amparo perdurarán hasta que se decida de manera definitiva el litigio. En caso de que COLPENSIONES no interponga la demanda en el plazo concedido, el amparo se tornará definitivo. </w:t>
      </w:r>
    </w:p>
    <w:p w14:paraId="39F950E5" w14:textId="77777777" w:rsidR="00745ECA" w:rsidRPr="001C501B" w:rsidRDefault="00745ECA" w:rsidP="001C501B">
      <w:pPr>
        <w:spacing w:after="0" w:line="276" w:lineRule="auto"/>
        <w:ind w:firstLine="709"/>
        <w:jc w:val="both"/>
        <w:rPr>
          <w:rFonts w:ascii="Tahoma" w:hAnsi="Tahoma" w:cs="Tahoma"/>
          <w:b/>
          <w:bCs/>
          <w:sz w:val="24"/>
          <w:szCs w:val="24"/>
        </w:rPr>
      </w:pPr>
    </w:p>
    <w:p w14:paraId="0AC3C212" w14:textId="31F2451B" w:rsidR="009513ED" w:rsidRPr="001C501B" w:rsidRDefault="00745ECA" w:rsidP="001C501B">
      <w:pPr>
        <w:spacing w:after="0" w:line="276" w:lineRule="auto"/>
        <w:ind w:firstLine="709"/>
        <w:jc w:val="both"/>
        <w:rPr>
          <w:rFonts w:ascii="Tahoma" w:eastAsia="Tahoma" w:hAnsi="Tahoma" w:cs="Tahoma"/>
          <w:color w:val="333333"/>
          <w:sz w:val="24"/>
          <w:szCs w:val="24"/>
        </w:rPr>
      </w:pPr>
      <w:r w:rsidRPr="001C501B">
        <w:rPr>
          <w:rFonts w:ascii="Tahoma" w:hAnsi="Tahoma" w:cs="Tahoma"/>
          <w:b/>
          <w:sz w:val="24"/>
          <w:szCs w:val="24"/>
        </w:rPr>
        <w:t>TERCERO:</w:t>
      </w:r>
      <w:r w:rsidRPr="001C501B">
        <w:rPr>
          <w:rFonts w:ascii="Tahoma" w:hAnsi="Tahoma" w:cs="Tahoma"/>
          <w:sz w:val="24"/>
          <w:szCs w:val="24"/>
        </w:rPr>
        <w:t xml:space="preserve"> </w:t>
      </w:r>
      <w:r w:rsidR="00D00A1D" w:rsidRPr="001C501B">
        <w:rPr>
          <w:rFonts w:ascii="Tahoma" w:hAnsi="Tahoma" w:cs="Tahoma"/>
          <w:b/>
          <w:bCs/>
          <w:sz w:val="24"/>
          <w:szCs w:val="24"/>
        </w:rPr>
        <w:t xml:space="preserve">ORDENAR </w:t>
      </w:r>
      <w:r w:rsidRPr="001C501B">
        <w:rPr>
          <w:rFonts w:ascii="Tahoma" w:hAnsi="Tahoma" w:cs="Tahoma"/>
          <w:sz w:val="24"/>
          <w:szCs w:val="24"/>
        </w:rPr>
        <w:t>a</w:t>
      </w:r>
      <w:r w:rsidR="00D24497" w:rsidRPr="001C501B">
        <w:rPr>
          <w:rFonts w:ascii="Tahoma" w:hAnsi="Tahoma" w:cs="Tahoma"/>
          <w:sz w:val="24"/>
          <w:szCs w:val="24"/>
        </w:rPr>
        <w:t xml:space="preserve"> COLPENSIONES </w:t>
      </w:r>
      <w:r w:rsidR="00D00A1D" w:rsidRPr="001C501B">
        <w:rPr>
          <w:rFonts w:ascii="Tahoma" w:hAnsi="Tahoma" w:cs="Tahoma"/>
          <w:sz w:val="24"/>
          <w:szCs w:val="24"/>
        </w:rPr>
        <w:t>reconocer y pagar la pensión de invalidez al señor ADRIAN AGUDEL</w:t>
      </w:r>
      <w:r w:rsidR="003E7E1F" w:rsidRPr="001C501B">
        <w:rPr>
          <w:rFonts w:ascii="Tahoma" w:hAnsi="Tahoma" w:cs="Tahoma"/>
          <w:sz w:val="24"/>
          <w:szCs w:val="24"/>
        </w:rPr>
        <w:t>O</w:t>
      </w:r>
      <w:r w:rsidR="00D00A1D" w:rsidRPr="001C501B">
        <w:rPr>
          <w:rFonts w:ascii="Tahoma" w:hAnsi="Tahoma" w:cs="Tahoma"/>
          <w:sz w:val="24"/>
          <w:szCs w:val="24"/>
        </w:rPr>
        <w:t xml:space="preserve"> HENAO,</w:t>
      </w:r>
      <w:r w:rsidRPr="001C501B">
        <w:rPr>
          <w:rFonts w:ascii="Tahoma" w:hAnsi="Tahoma" w:cs="Tahoma"/>
          <w:sz w:val="24"/>
          <w:szCs w:val="24"/>
        </w:rPr>
        <w:t xml:space="preserve"> identificado con la C.C.</w:t>
      </w:r>
      <w:r w:rsidR="003A06DF" w:rsidRPr="001C501B">
        <w:rPr>
          <w:rFonts w:ascii="Tahoma" w:hAnsi="Tahoma" w:cs="Tahoma"/>
          <w:sz w:val="24"/>
          <w:szCs w:val="24"/>
        </w:rPr>
        <w:t xml:space="preserve"> 18’561.178</w:t>
      </w:r>
      <w:r w:rsidR="009E7745" w:rsidRPr="001C501B">
        <w:rPr>
          <w:rFonts w:ascii="Tahoma" w:hAnsi="Tahoma" w:cs="Tahoma"/>
          <w:sz w:val="24"/>
          <w:szCs w:val="24"/>
        </w:rPr>
        <w:t xml:space="preserve"> de Mistrató, Risaralda</w:t>
      </w:r>
      <w:r w:rsidR="001A5D98" w:rsidRPr="001C501B">
        <w:rPr>
          <w:rFonts w:ascii="Tahoma" w:hAnsi="Tahoma" w:cs="Tahoma"/>
          <w:sz w:val="24"/>
          <w:szCs w:val="24"/>
        </w:rPr>
        <w:t>,</w:t>
      </w:r>
      <w:r w:rsidR="00FA0D76" w:rsidRPr="001C501B">
        <w:rPr>
          <w:rFonts w:ascii="Tahoma" w:hAnsi="Tahoma" w:cs="Tahoma"/>
          <w:sz w:val="24"/>
          <w:szCs w:val="24"/>
        </w:rPr>
        <w:t xml:space="preserve"> </w:t>
      </w:r>
      <w:r w:rsidR="00D24497" w:rsidRPr="001C501B">
        <w:rPr>
          <w:rFonts w:ascii="Tahoma" w:hAnsi="Tahoma" w:cs="Tahoma"/>
          <w:b/>
          <w:bCs/>
          <w:sz w:val="24"/>
          <w:szCs w:val="24"/>
        </w:rPr>
        <w:t xml:space="preserve">a partir del 23 de febrero de 2021, </w:t>
      </w:r>
      <w:r w:rsidR="00D24497" w:rsidRPr="001C501B">
        <w:rPr>
          <w:rFonts w:ascii="Tahoma" w:hAnsi="Tahoma" w:cs="Tahoma"/>
          <w:bCs/>
          <w:sz w:val="24"/>
          <w:szCs w:val="24"/>
        </w:rPr>
        <w:t>sin perjuicio de que el actor pueda reclamar la pensión desde la fecha de estructuración de la invalidez si a ello hubiere lugar.</w:t>
      </w:r>
    </w:p>
    <w:p w14:paraId="4611B10F" w14:textId="61E9D29C" w:rsidR="2D9E0543" w:rsidRPr="001C501B" w:rsidRDefault="2D9E0543" w:rsidP="001C501B">
      <w:pPr>
        <w:spacing w:after="0" w:line="276" w:lineRule="auto"/>
        <w:ind w:firstLine="709"/>
        <w:jc w:val="both"/>
        <w:rPr>
          <w:rFonts w:ascii="Tahoma" w:hAnsi="Tahoma" w:cs="Tahoma"/>
          <w:sz w:val="24"/>
          <w:szCs w:val="24"/>
        </w:rPr>
      </w:pPr>
    </w:p>
    <w:p w14:paraId="4A0FBE40" w14:textId="1B39C7B0" w:rsidR="00815353" w:rsidRPr="001C501B" w:rsidRDefault="00D17C16" w:rsidP="001C501B">
      <w:pPr>
        <w:spacing w:after="0" w:line="276" w:lineRule="auto"/>
        <w:ind w:firstLine="709"/>
        <w:jc w:val="both"/>
        <w:rPr>
          <w:rFonts w:ascii="Tahoma" w:eastAsia="Calibri" w:hAnsi="Tahoma" w:cs="Tahoma"/>
          <w:bCs/>
          <w:sz w:val="24"/>
          <w:szCs w:val="24"/>
        </w:rPr>
      </w:pPr>
      <w:r w:rsidRPr="001C501B">
        <w:rPr>
          <w:rFonts w:ascii="Tahoma" w:eastAsia="Calibri" w:hAnsi="Tahoma" w:cs="Tahoma"/>
          <w:b/>
          <w:bCs/>
          <w:sz w:val="24"/>
          <w:szCs w:val="24"/>
        </w:rPr>
        <w:t xml:space="preserve">CUARTO:  </w:t>
      </w:r>
      <w:bookmarkEnd w:id="5"/>
      <w:r w:rsidR="00815353" w:rsidRPr="001C501B">
        <w:rPr>
          <w:rFonts w:ascii="Tahoma" w:eastAsia="Calibri" w:hAnsi="Tahoma" w:cs="Tahoma"/>
          <w:bCs/>
          <w:sz w:val="24"/>
          <w:szCs w:val="24"/>
        </w:rPr>
        <w:t>Notifíquese la decisión a las partes por el medio más eficaz.</w:t>
      </w:r>
    </w:p>
    <w:p w14:paraId="59027058" w14:textId="77777777" w:rsidR="00815353" w:rsidRPr="001C501B" w:rsidRDefault="00815353" w:rsidP="001C501B">
      <w:pPr>
        <w:spacing w:after="0" w:line="276" w:lineRule="auto"/>
        <w:ind w:firstLine="709"/>
        <w:jc w:val="both"/>
        <w:rPr>
          <w:rFonts w:ascii="Tahoma" w:eastAsia="Calibri" w:hAnsi="Tahoma" w:cs="Tahoma"/>
          <w:bCs/>
          <w:sz w:val="24"/>
          <w:szCs w:val="24"/>
        </w:rPr>
      </w:pPr>
    </w:p>
    <w:p w14:paraId="6641D697" w14:textId="69FB1DEC" w:rsidR="00691226" w:rsidRPr="001C501B" w:rsidRDefault="00D24497" w:rsidP="001C501B">
      <w:pPr>
        <w:spacing w:after="0" w:line="276" w:lineRule="auto"/>
        <w:ind w:right="3" w:firstLine="709"/>
        <w:jc w:val="both"/>
        <w:rPr>
          <w:rFonts w:ascii="Tahoma" w:eastAsia="Calibri" w:hAnsi="Tahoma" w:cs="Tahoma"/>
          <w:bCs/>
          <w:sz w:val="24"/>
          <w:szCs w:val="24"/>
        </w:rPr>
      </w:pPr>
      <w:r w:rsidRPr="001C501B">
        <w:rPr>
          <w:rFonts w:ascii="Tahoma" w:eastAsia="Calibri" w:hAnsi="Tahoma" w:cs="Tahoma"/>
          <w:b/>
          <w:bCs/>
          <w:sz w:val="24"/>
          <w:szCs w:val="24"/>
        </w:rPr>
        <w:t>QUIN</w:t>
      </w:r>
      <w:r w:rsidR="00D17C16" w:rsidRPr="001C501B">
        <w:rPr>
          <w:rFonts w:ascii="Tahoma" w:eastAsia="Calibri" w:hAnsi="Tahoma" w:cs="Tahoma"/>
          <w:b/>
          <w:bCs/>
          <w:sz w:val="24"/>
          <w:szCs w:val="24"/>
        </w:rPr>
        <w:t xml:space="preserve">TO: </w:t>
      </w:r>
      <w:r w:rsidR="00815353" w:rsidRPr="001C501B">
        <w:rPr>
          <w:rFonts w:ascii="Tahoma" w:eastAsia="Calibri" w:hAnsi="Tahoma" w:cs="Tahoma"/>
          <w:bCs/>
          <w:sz w:val="24"/>
          <w:szCs w:val="24"/>
        </w:rPr>
        <w:t>Remítase el expediente a la Corte Constitucional para su eventual revisión, conforme al artículo 31 del Decreto 2591 de 1991.</w:t>
      </w:r>
    </w:p>
    <w:p w14:paraId="33F88C23" w14:textId="77777777" w:rsidR="000D1C3E" w:rsidRPr="001C501B" w:rsidRDefault="000D1C3E" w:rsidP="001C501B">
      <w:pPr>
        <w:spacing w:after="0" w:line="276" w:lineRule="auto"/>
        <w:ind w:right="3" w:firstLine="709"/>
        <w:jc w:val="both"/>
        <w:rPr>
          <w:rFonts w:ascii="Tahoma" w:eastAsia="Calibri" w:hAnsi="Tahoma" w:cs="Tahoma"/>
          <w:bCs/>
          <w:sz w:val="24"/>
          <w:szCs w:val="24"/>
        </w:rPr>
      </w:pPr>
    </w:p>
    <w:p w14:paraId="06D25027" w14:textId="77777777" w:rsidR="00691226" w:rsidRPr="001C501B" w:rsidRDefault="00691226" w:rsidP="001C501B">
      <w:pPr>
        <w:pStyle w:val="Prrafodelista"/>
        <w:suppressAutoHyphens/>
        <w:spacing w:after="0" w:line="276" w:lineRule="auto"/>
        <w:ind w:left="714" w:hanging="357"/>
        <w:jc w:val="center"/>
        <w:rPr>
          <w:rFonts w:ascii="Tahoma" w:hAnsi="Tahoma" w:cs="Tahoma"/>
          <w:b/>
          <w:sz w:val="24"/>
          <w:szCs w:val="24"/>
        </w:rPr>
      </w:pPr>
      <w:r w:rsidRPr="001C501B">
        <w:rPr>
          <w:rFonts w:ascii="Tahoma" w:hAnsi="Tahoma" w:cs="Tahoma"/>
          <w:b/>
          <w:sz w:val="24"/>
          <w:szCs w:val="24"/>
        </w:rPr>
        <w:t>Notifíquese y Cúmplase</w:t>
      </w:r>
    </w:p>
    <w:p w14:paraId="4D598DDB" w14:textId="77777777" w:rsidR="00691226" w:rsidRPr="001C501B" w:rsidRDefault="00691226" w:rsidP="001C501B">
      <w:pPr>
        <w:pStyle w:val="Sinespaciado"/>
        <w:spacing w:line="276" w:lineRule="auto"/>
        <w:ind w:left="714" w:hanging="357"/>
        <w:jc w:val="center"/>
        <w:rPr>
          <w:rFonts w:ascii="Tahoma" w:hAnsi="Tahoma" w:cs="Tahoma"/>
          <w:sz w:val="24"/>
          <w:szCs w:val="24"/>
        </w:rPr>
      </w:pPr>
    </w:p>
    <w:p w14:paraId="35554A44" w14:textId="77777777" w:rsidR="001C501B" w:rsidRPr="001C501B" w:rsidRDefault="001C501B" w:rsidP="001C501B">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1C501B">
        <w:rPr>
          <w:rFonts w:ascii="Tahoma" w:eastAsia="Times New Roman" w:hAnsi="Tahoma" w:cs="Tahoma"/>
          <w:sz w:val="24"/>
          <w:szCs w:val="24"/>
          <w:lang w:val="es-ES" w:eastAsia="es-ES"/>
        </w:rPr>
        <w:tab/>
        <w:t>La Magistrada ponente,</w:t>
      </w:r>
    </w:p>
    <w:p w14:paraId="240ED8C3" w14:textId="77777777" w:rsidR="001C501B" w:rsidRPr="001C501B" w:rsidRDefault="001C501B" w:rsidP="001C501B">
      <w:pPr>
        <w:spacing w:after="0" w:line="276" w:lineRule="auto"/>
        <w:rPr>
          <w:rFonts w:ascii="Tahoma" w:eastAsia="Times New Roman" w:hAnsi="Tahoma" w:cs="Tahoma"/>
          <w:sz w:val="24"/>
          <w:szCs w:val="24"/>
          <w:lang w:val="es-ES" w:eastAsia="es-ES"/>
        </w:rPr>
      </w:pPr>
    </w:p>
    <w:p w14:paraId="689E844F" w14:textId="77777777" w:rsidR="001C501B" w:rsidRPr="001C501B" w:rsidRDefault="001C501B" w:rsidP="001C501B">
      <w:pPr>
        <w:spacing w:after="0" w:line="276" w:lineRule="auto"/>
        <w:rPr>
          <w:rFonts w:ascii="Tahoma" w:eastAsia="Times New Roman" w:hAnsi="Tahoma" w:cs="Tahoma"/>
          <w:sz w:val="24"/>
          <w:szCs w:val="24"/>
          <w:lang w:val="es-ES" w:eastAsia="es-ES"/>
        </w:rPr>
      </w:pPr>
    </w:p>
    <w:p w14:paraId="2446B1E1" w14:textId="77777777" w:rsidR="001C501B" w:rsidRPr="001C501B" w:rsidRDefault="001C501B" w:rsidP="001C501B">
      <w:pPr>
        <w:spacing w:after="0" w:line="276" w:lineRule="auto"/>
        <w:rPr>
          <w:rFonts w:ascii="Tahoma" w:eastAsia="Times New Roman" w:hAnsi="Tahoma" w:cs="Tahoma"/>
          <w:sz w:val="24"/>
          <w:szCs w:val="24"/>
          <w:lang w:val="es-ES" w:eastAsia="es-ES"/>
        </w:rPr>
      </w:pPr>
    </w:p>
    <w:p w14:paraId="4722BCC9" w14:textId="77777777" w:rsidR="001C501B" w:rsidRPr="001C501B" w:rsidRDefault="001C501B" w:rsidP="001C501B">
      <w:pPr>
        <w:keepNext/>
        <w:spacing w:after="0" w:line="276" w:lineRule="auto"/>
        <w:jc w:val="center"/>
        <w:outlineLvl w:val="2"/>
        <w:rPr>
          <w:rFonts w:ascii="Tahoma" w:eastAsia="Times New Roman" w:hAnsi="Tahoma" w:cs="Tahoma"/>
          <w:b/>
          <w:bCs/>
          <w:sz w:val="24"/>
          <w:szCs w:val="24"/>
          <w:lang w:val="es-ES" w:eastAsia="es-ES"/>
        </w:rPr>
      </w:pPr>
      <w:r w:rsidRPr="001C501B">
        <w:rPr>
          <w:rFonts w:ascii="Tahoma" w:eastAsia="Times New Roman" w:hAnsi="Tahoma" w:cs="Tahoma"/>
          <w:b/>
          <w:bCs/>
          <w:sz w:val="24"/>
          <w:szCs w:val="24"/>
          <w:lang w:val="es-ES" w:eastAsia="es-ES"/>
        </w:rPr>
        <w:t>ANA LUCÍA CAICEDO CALDERÓN</w:t>
      </w:r>
    </w:p>
    <w:p w14:paraId="1AB13FC4" w14:textId="77777777" w:rsidR="001C501B" w:rsidRPr="001C501B" w:rsidRDefault="001C501B" w:rsidP="001C501B">
      <w:pPr>
        <w:spacing w:after="0" w:line="276" w:lineRule="auto"/>
        <w:rPr>
          <w:rFonts w:ascii="Tahoma" w:eastAsia="Times New Roman" w:hAnsi="Tahoma" w:cs="Tahoma"/>
          <w:sz w:val="24"/>
          <w:szCs w:val="24"/>
          <w:lang w:val="es-ES" w:eastAsia="es-ES"/>
        </w:rPr>
      </w:pPr>
    </w:p>
    <w:p w14:paraId="1CE80664" w14:textId="77777777" w:rsidR="001C501B" w:rsidRPr="001C501B" w:rsidRDefault="001C501B" w:rsidP="001C501B">
      <w:pPr>
        <w:spacing w:after="0" w:line="276" w:lineRule="auto"/>
        <w:rPr>
          <w:rFonts w:ascii="Tahoma" w:eastAsia="Times New Roman" w:hAnsi="Tahoma" w:cs="Tahoma"/>
          <w:sz w:val="24"/>
          <w:szCs w:val="24"/>
          <w:lang w:val="es-ES" w:eastAsia="es-ES"/>
        </w:rPr>
      </w:pPr>
    </w:p>
    <w:p w14:paraId="0C49E90C" w14:textId="77777777" w:rsidR="001C501B" w:rsidRPr="001C501B" w:rsidRDefault="001C501B" w:rsidP="001C501B">
      <w:pPr>
        <w:spacing w:after="0" w:line="276" w:lineRule="auto"/>
        <w:ind w:firstLine="708"/>
        <w:rPr>
          <w:rFonts w:ascii="Tahoma" w:eastAsia="Times New Roman" w:hAnsi="Tahoma" w:cs="Tahoma"/>
          <w:sz w:val="24"/>
          <w:szCs w:val="24"/>
          <w:lang w:val="es-ES" w:eastAsia="es-ES"/>
        </w:rPr>
      </w:pPr>
      <w:bookmarkStart w:id="6" w:name="_Hlk62478330"/>
      <w:r w:rsidRPr="001C501B">
        <w:rPr>
          <w:rFonts w:ascii="Tahoma" w:eastAsia="Times New Roman" w:hAnsi="Tahoma" w:cs="Tahoma"/>
          <w:sz w:val="24"/>
          <w:szCs w:val="24"/>
          <w:lang w:val="es-ES" w:eastAsia="es-ES"/>
        </w:rPr>
        <w:t>La Magistrada y el Magistrado,</w:t>
      </w:r>
    </w:p>
    <w:p w14:paraId="0A7E261D" w14:textId="77777777" w:rsidR="001C501B" w:rsidRPr="001C501B" w:rsidRDefault="001C501B" w:rsidP="001C501B">
      <w:pPr>
        <w:spacing w:after="0" w:line="276" w:lineRule="auto"/>
        <w:rPr>
          <w:rFonts w:ascii="Tahoma" w:eastAsia="Times New Roman" w:hAnsi="Tahoma" w:cs="Tahoma"/>
          <w:sz w:val="24"/>
          <w:szCs w:val="24"/>
          <w:lang w:val="es-ES" w:eastAsia="es-ES"/>
        </w:rPr>
      </w:pPr>
    </w:p>
    <w:p w14:paraId="2488D538" w14:textId="77777777" w:rsidR="001C501B" w:rsidRPr="001C501B" w:rsidRDefault="001C501B" w:rsidP="001C501B">
      <w:pPr>
        <w:spacing w:after="0" w:line="276" w:lineRule="auto"/>
        <w:rPr>
          <w:rFonts w:ascii="Tahoma" w:eastAsia="Times New Roman" w:hAnsi="Tahoma" w:cs="Tahoma"/>
          <w:sz w:val="24"/>
          <w:szCs w:val="24"/>
          <w:lang w:val="es-ES" w:eastAsia="es-ES"/>
        </w:rPr>
      </w:pPr>
    </w:p>
    <w:p w14:paraId="30687F0A" w14:textId="77777777" w:rsidR="001C501B" w:rsidRPr="001C501B" w:rsidRDefault="001C501B" w:rsidP="001C501B">
      <w:pPr>
        <w:spacing w:after="0" w:line="276" w:lineRule="auto"/>
        <w:rPr>
          <w:rFonts w:ascii="Tahoma" w:eastAsia="Times New Roman" w:hAnsi="Tahoma" w:cs="Tahoma"/>
          <w:sz w:val="24"/>
          <w:szCs w:val="24"/>
          <w:lang w:val="es-ES" w:eastAsia="es-ES"/>
        </w:rPr>
      </w:pPr>
    </w:p>
    <w:p w14:paraId="33DE773A" w14:textId="77777777" w:rsidR="001C501B" w:rsidRPr="001C501B" w:rsidRDefault="001C501B" w:rsidP="001C501B">
      <w:pPr>
        <w:spacing w:after="0" w:line="276" w:lineRule="auto"/>
        <w:rPr>
          <w:rFonts w:ascii="Tahoma" w:eastAsia="Times New Roman" w:hAnsi="Tahoma" w:cs="Tahoma"/>
          <w:sz w:val="24"/>
          <w:szCs w:val="24"/>
          <w:lang w:val="es-ES" w:eastAsia="es-ES"/>
        </w:rPr>
      </w:pPr>
    </w:p>
    <w:p w14:paraId="3748E21B" w14:textId="656FA888" w:rsidR="00A1547A" w:rsidRPr="001C501B" w:rsidRDefault="001C501B" w:rsidP="001C501B">
      <w:pPr>
        <w:spacing w:after="0" w:line="276" w:lineRule="auto"/>
        <w:jc w:val="both"/>
        <w:rPr>
          <w:rFonts w:ascii="Tahoma" w:eastAsia="Times New Roman" w:hAnsi="Tahoma" w:cs="Tahoma"/>
          <w:b/>
          <w:bCs/>
          <w:sz w:val="24"/>
          <w:szCs w:val="24"/>
          <w:lang w:val="es-ES" w:eastAsia="es-ES"/>
        </w:rPr>
      </w:pPr>
      <w:r w:rsidRPr="001C501B">
        <w:rPr>
          <w:rFonts w:ascii="Tahoma" w:eastAsia="Times New Roman" w:hAnsi="Tahoma" w:cs="Tahoma"/>
          <w:b/>
          <w:bCs/>
          <w:sz w:val="24"/>
          <w:szCs w:val="24"/>
          <w:lang w:val="es-ES" w:eastAsia="es-ES"/>
        </w:rPr>
        <w:t>OLGA LUCÍA HOYOS SEPÚLVEDA</w:t>
      </w:r>
      <w:r w:rsidRPr="001C501B">
        <w:rPr>
          <w:rFonts w:ascii="Tahoma" w:eastAsia="Times New Roman" w:hAnsi="Tahoma" w:cs="Tahoma"/>
          <w:b/>
          <w:bCs/>
          <w:sz w:val="24"/>
          <w:szCs w:val="24"/>
          <w:lang w:val="es-ES" w:eastAsia="es-ES"/>
        </w:rPr>
        <w:tab/>
      </w:r>
      <w:r w:rsidRPr="001C501B">
        <w:rPr>
          <w:rFonts w:ascii="Tahoma" w:eastAsia="Times New Roman" w:hAnsi="Tahoma" w:cs="Tahoma"/>
          <w:b/>
          <w:bCs/>
          <w:sz w:val="24"/>
          <w:szCs w:val="24"/>
          <w:lang w:val="es-ES" w:eastAsia="es-ES"/>
        </w:rPr>
        <w:tab/>
        <w:t>GERMÁN DARÍO GÓEZ VINASCO</w:t>
      </w:r>
      <w:bookmarkStart w:id="7" w:name="_GoBack"/>
      <w:bookmarkEnd w:id="6"/>
      <w:bookmarkEnd w:id="7"/>
    </w:p>
    <w:sectPr w:rsidR="00A1547A" w:rsidRPr="001C501B" w:rsidSect="00AE2FC4">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BF4CA2" w16cex:dateUtc="2022-02-22T16:18:00Z"/>
  <w16cex:commentExtensible w16cex:durableId="25BF4F18" w16cex:dateUtc="2022-02-22T17:01:00Z"/>
  <w16cex:commentExtensible w16cex:durableId="25B4FF74" w16cex:dateUtc="2022-02-14T21:19:00Z"/>
  <w16cex:commentExtensible w16cex:durableId="25BF4CA4" w16cex:dateUtc="2022-02-16T19:47:00Z"/>
  <w16cex:commentExtensible w16cex:durableId="25BF4CA5" w16cex:dateUtc="2022-02-22T16:37:00Z"/>
  <w16cex:commentExtensible w16cex:durableId="25BF5045" w16cex:dateUtc="2022-02-22T17:06:00Z"/>
  <w16cex:commentExtensible w16cex:durableId="151F037E" w16cex:dateUtc="2022-02-23T14:34:20.679Z"/>
  <w16cex:commentExtensible w16cex:durableId="0CD13457" w16cex:dateUtc="2022-03-01T12:28:35.442Z"/>
  <w16cex:commentExtensible w16cex:durableId="20C5D40D" w16cex:dateUtc="2022-03-01T13:27:08.442Z"/>
  <w16cex:commentExtensible w16cex:durableId="477A6804" w16cex:dateUtc="2022-03-01T14:52:43.70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B7BF8" w14:textId="77777777" w:rsidR="00277C46" w:rsidRDefault="00277C46" w:rsidP="003125CD">
      <w:pPr>
        <w:spacing w:after="0" w:line="240" w:lineRule="auto"/>
      </w:pPr>
      <w:r>
        <w:separator/>
      </w:r>
    </w:p>
  </w:endnote>
  <w:endnote w:type="continuationSeparator" w:id="0">
    <w:p w14:paraId="2A62E3D8" w14:textId="77777777" w:rsidR="00277C46" w:rsidRDefault="00277C46" w:rsidP="0031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altName w:val="Segoe UI Historic"/>
    <w:panose1 w:val="000000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167771"/>
      <w:docPartObj>
        <w:docPartGallery w:val="Page Numbers (Bottom of Page)"/>
        <w:docPartUnique/>
      </w:docPartObj>
    </w:sdtPr>
    <w:sdtEndPr>
      <w:rPr>
        <w:rFonts w:ascii="Arial" w:hAnsi="Arial" w:cs="Arial"/>
        <w:sz w:val="18"/>
        <w:szCs w:val="18"/>
        <w:lang w:val="es-419"/>
      </w:rPr>
    </w:sdtEndPr>
    <w:sdtContent>
      <w:p w14:paraId="361E6E64" w14:textId="1A1A614F" w:rsidR="00FC0B14" w:rsidRPr="00AE2FC4" w:rsidRDefault="00FC0B14">
        <w:pPr>
          <w:pStyle w:val="Piedepgina"/>
          <w:jc w:val="right"/>
          <w:rPr>
            <w:rFonts w:ascii="Arial" w:hAnsi="Arial" w:cs="Arial"/>
            <w:sz w:val="18"/>
            <w:szCs w:val="18"/>
            <w:lang w:val="es-419"/>
          </w:rPr>
        </w:pPr>
        <w:r w:rsidRPr="00AE2FC4">
          <w:rPr>
            <w:rFonts w:ascii="Arial" w:hAnsi="Arial" w:cs="Arial"/>
            <w:sz w:val="18"/>
            <w:szCs w:val="18"/>
            <w:lang w:val="es-419"/>
          </w:rPr>
          <w:fldChar w:fldCharType="begin"/>
        </w:r>
        <w:r w:rsidRPr="00AE2FC4">
          <w:rPr>
            <w:rFonts w:ascii="Arial" w:hAnsi="Arial" w:cs="Arial"/>
            <w:sz w:val="18"/>
            <w:szCs w:val="18"/>
            <w:lang w:val="es-419"/>
          </w:rPr>
          <w:instrText>PAGE   \* MERGEFORMAT</w:instrText>
        </w:r>
        <w:r w:rsidRPr="00AE2FC4">
          <w:rPr>
            <w:rFonts w:ascii="Arial" w:hAnsi="Arial" w:cs="Arial"/>
            <w:sz w:val="18"/>
            <w:szCs w:val="18"/>
            <w:lang w:val="es-419"/>
          </w:rPr>
          <w:fldChar w:fldCharType="separate"/>
        </w:r>
        <w:r w:rsidR="009D60EE" w:rsidRPr="00AE2FC4">
          <w:rPr>
            <w:rFonts w:ascii="Arial" w:hAnsi="Arial" w:cs="Arial"/>
            <w:sz w:val="18"/>
            <w:szCs w:val="18"/>
            <w:lang w:val="es-419"/>
          </w:rPr>
          <w:t>13</w:t>
        </w:r>
        <w:r w:rsidRPr="00AE2FC4">
          <w:rPr>
            <w:rFonts w:ascii="Arial" w:hAnsi="Arial" w:cs="Arial"/>
            <w:sz w:val="18"/>
            <w:szCs w:val="18"/>
            <w:lang w:val="es-419"/>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BED78" w14:textId="77777777" w:rsidR="00277C46" w:rsidRDefault="00277C46" w:rsidP="003125CD">
      <w:pPr>
        <w:spacing w:after="0" w:line="240" w:lineRule="auto"/>
      </w:pPr>
      <w:r>
        <w:separator/>
      </w:r>
    </w:p>
  </w:footnote>
  <w:footnote w:type="continuationSeparator" w:id="0">
    <w:p w14:paraId="5B811BD8" w14:textId="77777777" w:rsidR="00277C46" w:rsidRDefault="00277C46" w:rsidP="003125CD">
      <w:pPr>
        <w:spacing w:after="0" w:line="240" w:lineRule="auto"/>
      </w:pPr>
      <w:r>
        <w:continuationSeparator/>
      </w:r>
    </w:p>
  </w:footnote>
  <w:footnote w:id="1">
    <w:p w14:paraId="286326D4" w14:textId="092BE6E4" w:rsidR="00FC3301" w:rsidRPr="00F53B9C" w:rsidRDefault="00FC3301" w:rsidP="00F53B9C">
      <w:pPr>
        <w:pStyle w:val="Textonotapie"/>
        <w:rPr>
          <w:rFonts w:ascii="Arial" w:hAnsi="Arial" w:cs="Arial"/>
          <w:sz w:val="18"/>
          <w:szCs w:val="18"/>
        </w:rPr>
      </w:pPr>
      <w:r w:rsidRPr="00F53B9C">
        <w:rPr>
          <w:rStyle w:val="Refdenotaalpie"/>
          <w:rFonts w:ascii="Arial" w:hAnsi="Arial" w:cs="Arial"/>
          <w:sz w:val="18"/>
          <w:szCs w:val="18"/>
        </w:rPr>
        <w:footnoteRef/>
      </w:r>
      <w:r w:rsidRPr="00F53B9C">
        <w:rPr>
          <w:rFonts w:ascii="Arial" w:hAnsi="Arial" w:cs="Arial"/>
          <w:sz w:val="18"/>
          <w:szCs w:val="18"/>
        </w:rPr>
        <w:t xml:space="preserve"> Expediente de primera instancia, documento N°.00</w:t>
      </w:r>
      <w:r w:rsidR="00096D0E" w:rsidRPr="00F53B9C">
        <w:rPr>
          <w:rFonts w:ascii="Arial" w:hAnsi="Arial" w:cs="Arial"/>
          <w:sz w:val="18"/>
          <w:szCs w:val="18"/>
        </w:rPr>
        <w:t>3, folio 01</w:t>
      </w:r>
    </w:p>
  </w:footnote>
  <w:footnote w:id="2">
    <w:p w14:paraId="0F569D9C" w14:textId="38B50F03" w:rsidR="00997109" w:rsidRPr="00F53B9C" w:rsidRDefault="00997109" w:rsidP="00F53B9C">
      <w:pPr>
        <w:pStyle w:val="Textonotapie"/>
        <w:rPr>
          <w:rFonts w:ascii="Arial" w:hAnsi="Arial" w:cs="Arial"/>
          <w:sz w:val="18"/>
          <w:szCs w:val="18"/>
        </w:rPr>
      </w:pPr>
      <w:r w:rsidRPr="00F53B9C">
        <w:rPr>
          <w:rStyle w:val="Refdenotaalpie"/>
          <w:rFonts w:ascii="Arial" w:hAnsi="Arial" w:cs="Arial"/>
          <w:sz w:val="18"/>
          <w:szCs w:val="18"/>
        </w:rPr>
        <w:footnoteRef/>
      </w:r>
      <w:r w:rsidRPr="00F53B9C">
        <w:rPr>
          <w:rFonts w:ascii="Arial" w:hAnsi="Arial" w:cs="Arial"/>
          <w:sz w:val="18"/>
          <w:szCs w:val="18"/>
        </w:rPr>
        <w:t xml:space="preserve"> Expediente de primera instancia, documento N°.001, folio 27</w:t>
      </w:r>
    </w:p>
  </w:footnote>
  <w:footnote w:id="3">
    <w:p w14:paraId="4938B9C6" w14:textId="3B0D62F6" w:rsidR="00997109" w:rsidRPr="00F53B9C" w:rsidRDefault="00997109" w:rsidP="00F53B9C">
      <w:pPr>
        <w:pStyle w:val="Textonotapie"/>
        <w:rPr>
          <w:rFonts w:ascii="Arial" w:hAnsi="Arial" w:cs="Arial"/>
          <w:sz w:val="18"/>
          <w:szCs w:val="18"/>
        </w:rPr>
      </w:pPr>
      <w:r w:rsidRPr="00F53B9C">
        <w:rPr>
          <w:rStyle w:val="Refdenotaalpie"/>
          <w:rFonts w:ascii="Arial" w:hAnsi="Arial" w:cs="Arial"/>
          <w:sz w:val="18"/>
          <w:szCs w:val="18"/>
        </w:rPr>
        <w:footnoteRef/>
      </w:r>
      <w:r w:rsidRPr="00F53B9C">
        <w:rPr>
          <w:rFonts w:ascii="Arial" w:hAnsi="Arial" w:cs="Arial"/>
          <w:sz w:val="18"/>
          <w:szCs w:val="18"/>
        </w:rPr>
        <w:t xml:space="preserve"> </w:t>
      </w:r>
      <w:r w:rsidR="0084433D" w:rsidRPr="00F53B9C">
        <w:rPr>
          <w:rFonts w:ascii="Arial" w:hAnsi="Arial" w:cs="Arial"/>
          <w:sz w:val="18"/>
          <w:szCs w:val="18"/>
        </w:rPr>
        <w:t>Expediente de primera instancia, documento N°.001, folio 44</w:t>
      </w:r>
    </w:p>
  </w:footnote>
  <w:footnote w:id="4">
    <w:p w14:paraId="5879ADF2" w14:textId="77777777" w:rsidR="004F5422" w:rsidRPr="00F53B9C" w:rsidRDefault="004F5422" w:rsidP="00F53B9C">
      <w:pPr>
        <w:shd w:val="clear" w:color="auto" w:fill="FFFFFF"/>
        <w:spacing w:after="0" w:line="240" w:lineRule="auto"/>
        <w:jc w:val="both"/>
        <w:rPr>
          <w:rFonts w:ascii="Arial" w:eastAsia="Times New Roman" w:hAnsi="Arial" w:cs="Arial"/>
          <w:color w:val="333333"/>
          <w:sz w:val="18"/>
          <w:szCs w:val="18"/>
          <w:lang w:eastAsia="es-CO"/>
        </w:rPr>
      </w:pPr>
      <w:r w:rsidRPr="00F53B9C">
        <w:rPr>
          <w:rStyle w:val="Refdenotaalpie"/>
          <w:rFonts w:ascii="Arial" w:hAnsi="Arial" w:cs="Arial"/>
          <w:sz w:val="18"/>
          <w:szCs w:val="18"/>
        </w:rPr>
        <w:footnoteRef/>
      </w:r>
      <w:r w:rsidRPr="00F53B9C">
        <w:rPr>
          <w:rFonts w:ascii="Arial" w:hAnsi="Arial" w:cs="Arial"/>
          <w:sz w:val="18"/>
          <w:szCs w:val="18"/>
        </w:rPr>
        <w:t xml:space="preserve"> </w:t>
      </w:r>
      <w:r w:rsidRPr="00F53B9C">
        <w:rPr>
          <w:rFonts w:ascii="Arial" w:eastAsia="Times New Roman" w:hAnsi="Arial" w:cs="Arial"/>
          <w:b/>
          <w:bCs/>
          <w:color w:val="333333"/>
          <w:sz w:val="18"/>
          <w:szCs w:val="18"/>
          <w:lang w:eastAsia="es-CO"/>
        </w:rPr>
        <w:t>ARTICULO</w:t>
      </w:r>
      <w:r w:rsidRPr="00F53B9C">
        <w:rPr>
          <w:rFonts w:ascii="Arial" w:eastAsia="Times New Roman" w:hAnsi="Arial" w:cs="Arial"/>
          <w:color w:val="333333"/>
          <w:sz w:val="18"/>
          <w:szCs w:val="18"/>
          <w:lang w:eastAsia="es-CO"/>
        </w:rPr>
        <w:t> </w:t>
      </w:r>
      <w:r w:rsidRPr="00F53B9C">
        <w:rPr>
          <w:rFonts w:ascii="Arial" w:eastAsia="Times New Roman" w:hAnsi="Arial" w:cs="Arial"/>
          <w:b/>
          <w:bCs/>
          <w:color w:val="333333"/>
          <w:sz w:val="18"/>
          <w:szCs w:val="18"/>
          <w:lang w:eastAsia="es-CO"/>
        </w:rPr>
        <w:t>8º-</w:t>
      </w:r>
      <w:r w:rsidRPr="00F53B9C">
        <w:rPr>
          <w:rFonts w:ascii="Arial" w:eastAsia="Times New Roman" w:hAnsi="Arial" w:cs="Arial"/>
          <w:b/>
          <w:color w:val="333333"/>
          <w:sz w:val="18"/>
          <w:szCs w:val="18"/>
          <w:lang w:eastAsia="es-CO"/>
        </w:rPr>
        <w:t>La tutela como mecanismo transitorio</w:t>
      </w:r>
      <w:r w:rsidRPr="00F53B9C">
        <w:rPr>
          <w:rFonts w:ascii="Arial" w:eastAsia="Times New Roman" w:hAnsi="Arial" w:cs="Arial"/>
          <w:color w:val="333333"/>
          <w:sz w:val="18"/>
          <w:szCs w:val="18"/>
          <w:lang w:eastAsia="es-CO"/>
        </w:rPr>
        <w:t xml:space="preserve">. Aun cuando el </w:t>
      </w:r>
      <w:r w:rsidRPr="00F53B9C">
        <w:rPr>
          <w:rFonts w:ascii="Arial" w:eastAsia="Times New Roman" w:hAnsi="Arial" w:cs="Arial"/>
          <w:b/>
          <w:i/>
          <w:color w:val="333333"/>
          <w:sz w:val="18"/>
          <w:szCs w:val="18"/>
          <w:lang w:eastAsia="es-CO"/>
        </w:rPr>
        <w:t>afectado</w:t>
      </w:r>
      <w:r w:rsidRPr="00F53B9C">
        <w:rPr>
          <w:rFonts w:ascii="Arial" w:eastAsia="Times New Roman" w:hAnsi="Arial" w:cs="Arial"/>
          <w:color w:val="333333"/>
          <w:sz w:val="18"/>
          <w:szCs w:val="18"/>
          <w:lang w:eastAsia="es-CO"/>
        </w:rPr>
        <w:t xml:space="preserve"> disponga de otro medio de defensa judicial, la acción de tutela procederá cuando se utilice como mecanismo transitorio para evitar un perjuicio irremediable.</w:t>
      </w:r>
    </w:p>
    <w:p w14:paraId="4F12FC72" w14:textId="77777777" w:rsidR="004F5422" w:rsidRPr="00F53B9C" w:rsidRDefault="004F5422" w:rsidP="00F53B9C">
      <w:pPr>
        <w:shd w:val="clear" w:color="auto" w:fill="FFFFFF"/>
        <w:spacing w:after="0" w:line="240" w:lineRule="auto"/>
        <w:jc w:val="both"/>
        <w:rPr>
          <w:rFonts w:ascii="Arial" w:eastAsia="Times New Roman" w:hAnsi="Arial" w:cs="Arial"/>
          <w:color w:val="333333"/>
          <w:sz w:val="18"/>
          <w:szCs w:val="18"/>
          <w:lang w:eastAsia="es-CO"/>
        </w:rPr>
      </w:pPr>
      <w:r w:rsidRPr="00F53B9C">
        <w:rPr>
          <w:rFonts w:ascii="Arial" w:eastAsia="Times New Roman" w:hAnsi="Arial" w:cs="Arial"/>
          <w:color w:val="333333"/>
          <w:sz w:val="18"/>
          <w:szCs w:val="18"/>
          <w:lang w:eastAsia="es-CO"/>
        </w:rPr>
        <w:t>En el caso del inciso anterior, el juez señalará expresamente en la sentencia que su orden permanecerá vigente sólo durante el término que la autoridad judicial competente utilice para decidir de fondo sobre la acción instaurada por el afectado.</w:t>
      </w:r>
    </w:p>
    <w:p w14:paraId="43FC4955" w14:textId="2B2EE1BF" w:rsidR="004F5422" w:rsidRPr="00F53B9C" w:rsidRDefault="004F5422" w:rsidP="00F53B9C">
      <w:pPr>
        <w:shd w:val="clear" w:color="auto" w:fill="FFFFFF"/>
        <w:spacing w:after="0" w:line="240" w:lineRule="auto"/>
        <w:jc w:val="both"/>
        <w:rPr>
          <w:rFonts w:ascii="Arial" w:eastAsia="Times New Roman" w:hAnsi="Arial" w:cs="Arial"/>
          <w:color w:val="333333"/>
          <w:sz w:val="18"/>
          <w:szCs w:val="18"/>
          <w:lang w:eastAsia="es-CO"/>
        </w:rPr>
      </w:pPr>
      <w:r w:rsidRPr="00F53B9C">
        <w:rPr>
          <w:rFonts w:ascii="Arial" w:eastAsia="Times New Roman" w:hAnsi="Arial" w:cs="Arial"/>
          <w:color w:val="333333"/>
          <w:sz w:val="18"/>
          <w:szCs w:val="18"/>
          <w:lang w:eastAsia="es-CO"/>
        </w:rPr>
        <w:t xml:space="preserve">En todo caso el </w:t>
      </w:r>
      <w:r w:rsidRPr="00F53B9C">
        <w:rPr>
          <w:rFonts w:ascii="Arial" w:eastAsia="Times New Roman" w:hAnsi="Arial" w:cs="Arial"/>
          <w:b/>
          <w:i/>
          <w:color w:val="333333"/>
          <w:sz w:val="18"/>
          <w:szCs w:val="18"/>
          <w:lang w:eastAsia="es-CO"/>
        </w:rPr>
        <w:t>afectado</w:t>
      </w:r>
      <w:r w:rsidRPr="00F53B9C">
        <w:rPr>
          <w:rFonts w:ascii="Arial" w:eastAsia="Times New Roman" w:hAnsi="Arial" w:cs="Arial"/>
          <w:color w:val="333333"/>
          <w:sz w:val="18"/>
          <w:szCs w:val="18"/>
          <w:lang w:eastAsia="es-CO"/>
        </w:rPr>
        <w:t xml:space="preserve"> deberá ejercer dicha acción en un término máximo de cuatro (4) meses a partir del fallo de tutela. (…) (Negrilla y cursiva fuera de texto)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2FDD" w14:textId="4C86D33D" w:rsidR="00FC0B14" w:rsidRPr="00AE2FC4" w:rsidRDefault="00FC0B14" w:rsidP="00AE2FC4">
    <w:pPr>
      <w:spacing w:after="0" w:line="240" w:lineRule="auto"/>
      <w:jc w:val="both"/>
      <w:rPr>
        <w:rFonts w:ascii="Arial" w:hAnsi="Arial" w:cs="Arial"/>
        <w:sz w:val="18"/>
        <w:szCs w:val="18"/>
        <w:lang w:val="es-419"/>
      </w:rPr>
    </w:pPr>
    <w:r w:rsidRPr="00AE2FC4">
      <w:rPr>
        <w:rFonts w:ascii="Arial" w:hAnsi="Arial" w:cs="Arial"/>
        <w:sz w:val="18"/>
        <w:szCs w:val="18"/>
        <w:lang w:val="es-419"/>
      </w:rPr>
      <w:t xml:space="preserve">Radicado No:            </w:t>
    </w:r>
    <w:r w:rsidR="00DF1308" w:rsidRPr="00AE2FC4">
      <w:rPr>
        <w:rFonts w:ascii="Arial" w:hAnsi="Arial" w:cs="Arial"/>
        <w:sz w:val="18"/>
        <w:szCs w:val="18"/>
        <w:lang w:val="es-419"/>
      </w:rPr>
      <w:t>6</w:t>
    </w:r>
    <w:r w:rsidR="00746DA8" w:rsidRPr="00AE2FC4">
      <w:rPr>
        <w:rFonts w:ascii="Arial" w:hAnsi="Arial" w:cs="Arial"/>
        <w:sz w:val="18"/>
        <w:szCs w:val="18"/>
      </w:rPr>
      <w:t>6</w:t>
    </w:r>
    <w:r w:rsidR="00DF1308" w:rsidRPr="00AE2FC4">
      <w:rPr>
        <w:rFonts w:ascii="Arial" w:hAnsi="Arial" w:cs="Arial"/>
        <w:sz w:val="18"/>
        <w:szCs w:val="18"/>
      </w:rPr>
      <w:t>001-31-05-003-2022-00006-01</w:t>
    </w:r>
  </w:p>
  <w:p w14:paraId="0E5708BB" w14:textId="77777777" w:rsidR="00FC0B14" w:rsidRPr="00AE2FC4" w:rsidRDefault="00FC0B14" w:rsidP="00AE2FC4">
    <w:pPr>
      <w:spacing w:after="0" w:line="240" w:lineRule="auto"/>
      <w:jc w:val="both"/>
      <w:rPr>
        <w:rFonts w:ascii="Arial" w:hAnsi="Arial" w:cs="Arial"/>
        <w:sz w:val="18"/>
        <w:szCs w:val="18"/>
        <w:lang w:val="es-419"/>
      </w:rPr>
    </w:pPr>
    <w:r w:rsidRPr="00AE2FC4">
      <w:rPr>
        <w:rFonts w:ascii="Arial" w:hAnsi="Arial" w:cs="Arial"/>
        <w:sz w:val="18"/>
        <w:szCs w:val="18"/>
        <w:lang w:val="es-419"/>
      </w:rPr>
      <w:t>Proceso:                   Acción de tutela (Impugnación)</w:t>
    </w:r>
  </w:p>
  <w:p w14:paraId="3BF6A070" w14:textId="1DA427E0" w:rsidR="00FC0B14" w:rsidRPr="00AE2FC4" w:rsidRDefault="00FC0B14" w:rsidP="00AE2FC4">
    <w:pPr>
      <w:spacing w:after="0" w:line="240" w:lineRule="auto"/>
      <w:jc w:val="both"/>
      <w:rPr>
        <w:rFonts w:ascii="Arial" w:hAnsi="Arial" w:cs="Arial"/>
        <w:sz w:val="18"/>
        <w:szCs w:val="18"/>
        <w:lang w:val="es-419"/>
      </w:rPr>
    </w:pPr>
    <w:r w:rsidRPr="00AE2FC4">
      <w:rPr>
        <w:rFonts w:ascii="Arial" w:hAnsi="Arial" w:cs="Arial"/>
        <w:sz w:val="18"/>
        <w:szCs w:val="18"/>
        <w:lang w:val="es-419"/>
      </w:rPr>
      <w:t xml:space="preserve">Accionante:               </w:t>
    </w:r>
    <w:r w:rsidR="00DF1308" w:rsidRPr="00AE2FC4">
      <w:rPr>
        <w:rFonts w:ascii="Arial" w:hAnsi="Arial" w:cs="Arial"/>
        <w:sz w:val="18"/>
        <w:szCs w:val="18"/>
        <w:lang w:val="es-419"/>
      </w:rPr>
      <w:t>Adrián Agudelo Henao</w:t>
    </w:r>
  </w:p>
  <w:p w14:paraId="2660B6A0" w14:textId="400CEDAA" w:rsidR="00FC0B14" w:rsidRPr="00AE2FC4" w:rsidRDefault="00FC0B14" w:rsidP="00AE2FC4">
    <w:pPr>
      <w:spacing w:after="0" w:line="240" w:lineRule="auto"/>
      <w:jc w:val="both"/>
      <w:rPr>
        <w:rFonts w:ascii="Arial" w:hAnsi="Arial" w:cs="Arial"/>
        <w:sz w:val="18"/>
        <w:szCs w:val="18"/>
      </w:rPr>
    </w:pPr>
    <w:r w:rsidRPr="00AE2FC4">
      <w:rPr>
        <w:rFonts w:ascii="Arial" w:hAnsi="Arial" w:cs="Arial"/>
        <w:sz w:val="18"/>
        <w:szCs w:val="18"/>
        <w:lang w:val="es-419"/>
      </w:rPr>
      <w:t xml:space="preserve">Accionados:               </w:t>
    </w:r>
    <w:r w:rsidRPr="00AE2FC4">
      <w:rPr>
        <w:rFonts w:ascii="Arial" w:hAnsi="Arial" w:cs="Arial"/>
        <w:sz w:val="18"/>
        <w:szCs w:val="18"/>
      </w:rPr>
      <w:t>Colpensiones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20BD"/>
    <w:multiLevelType w:val="multilevel"/>
    <w:tmpl w:val="FD8C80E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440" w:hanging="108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1" w15:restartNumberingAfterBreak="0">
    <w:nsid w:val="09AA6E09"/>
    <w:multiLevelType w:val="multilevel"/>
    <w:tmpl w:val="695C6CEA"/>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C4E3D9F"/>
    <w:multiLevelType w:val="multilevel"/>
    <w:tmpl w:val="6366DCDC"/>
    <w:lvl w:ilvl="0">
      <w:start w:val="1"/>
      <w:numFmt w:val="decimal"/>
      <w:lvlText w:val="%1."/>
      <w:lvlJc w:val="left"/>
      <w:pPr>
        <w:ind w:left="720" w:hanging="360"/>
      </w:pPr>
      <w:rPr>
        <w:b/>
        <w:bCs/>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 w15:restartNumberingAfterBreak="0">
    <w:nsid w:val="138D4A79"/>
    <w:multiLevelType w:val="hybridMultilevel"/>
    <w:tmpl w:val="72A6E558"/>
    <w:lvl w:ilvl="0" w:tplc="F21A8862">
      <w:start w:val="9"/>
      <w:numFmt w:val="lowerRoman"/>
      <w:lvlText w:val="(%1)"/>
      <w:lvlJc w:val="left"/>
      <w:pPr>
        <w:ind w:left="919" w:hanging="376"/>
      </w:pPr>
      <w:rPr>
        <w:rFonts w:ascii="Arial" w:eastAsia="Arial" w:hAnsi="Arial" w:cs="Arial" w:hint="default"/>
        <w:spacing w:val="-1"/>
        <w:w w:val="100"/>
        <w:sz w:val="22"/>
        <w:szCs w:val="22"/>
        <w:lang w:val="es-ES" w:eastAsia="en-US" w:bidi="ar-SA"/>
      </w:rPr>
    </w:lvl>
    <w:lvl w:ilvl="1" w:tplc="9A3ECAAC">
      <w:start w:val="1"/>
      <w:numFmt w:val="upperLetter"/>
      <w:lvlText w:val="%2."/>
      <w:lvlJc w:val="left"/>
      <w:pPr>
        <w:ind w:left="1392" w:hanging="288"/>
        <w:jc w:val="right"/>
      </w:pPr>
      <w:rPr>
        <w:rFonts w:hint="default"/>
        <w:spacing w:val="-1"/>
        <w:w w:val="93"/>
        <w:lang w:val="es-ES" w:eastAsia="en-US" w:bidi="ar-SA"/>
      </w:rPr>
    </w:lvl>
    <w:lvl w:ilvl="2" w:tplc="AF98FF6C">
      <w:numFmt w:val="bullet"/>
      <w:lvlText w:val="•"/>
      <w:lvlJc w:val="left"/>
      <w:pPr>
        <w:ind w:left="2486" w:hanging="288"/>
      </w:pPr>
      <w:rPr>
        <w:rFonts w:hint="default"/>
        <w:lang w:val="es-ES" w:eastAsia="en-US" w:bidi="ar-SA"/>
      </w:rPr>
    </w:lvl>
    <w:lvl w:ilvl="3" w:tplc="56707E1C">
      <w:numFmt w:val="bullet"/>
      <w:lvlText w:val="•"/>
      <w:lvlJc w:val="left"/>
      <w:pPr>
        <w:ind w:left="3573" w:hanging="288"/>
      </w:pPr>
      <w:rPr>
        <w:rFonts w:hint="default"/>
        <w:lang w:val="es-ES" w:eastAsia="en-US" w:bidi="ar-SA"/>
      </w:rPr>
    </w:lvl>
    <w:lvl w:ilvl="4" w:tplc="70E6AF86">
      <w:numFmt w:val="bullet"/>
      <w:lvlText w:val="•"/>
      <w:lvlJc w:val="left"/>
      <w:pPr>
        <w:ind w:left="4660" w:hanging="288"/>
      </w:pPr>
      <w:rPr>
        <w:rFonts w:hint="default"/>
        <w:lang w:val="es-ES" w:eastAsia="en-US" w:bidi="ar-SA"/>
      </w:rPr>
    </w:lvl>
    <w:lvl w:ilvl="5" w:tplc="32CADEAE">
      <w:numFmt w:val="bullet"/>
      <w:lvlText w:val="•"/>
      <w:lvlJc w:val="left"/>
      <w:pPr>
        <w:ind w:left="5746" w:hanging="288"/>
      </w:pPr>
      <w:rPr>
        <w:rFonts w:hint="default"/>
        <w:lang w:val="es-ES" w:eastAsia="en-US" w:bidi="ar-SA"/>
      </w:rPr>
    </w:lvl>
    <w:lvl w:ilvl="6" w:tplc="473C5512">
      <w:numFmt w:val="bullet"/>
      <w:lvlText w:val="•"/>
      <w:lvlJc w:val="left"/>
      <w:pPr>
        <w:ind w:left="6833" w:hanging="288"/>
      </w:pPr>
      <w:rPr>
        <w:rFonts w:hint="default"/>
        <w:lang w:val="es-ES" w:eastAsia="en-US" w:bidi="ar-SA"/>
      </w:rPr>
    </w:lvl>
    <w:lvl w:ilvl="7" w:tplc="EC0E605C">
      <w:numFmt w:val="bullet"/>
      <w:lvlText w:val="•"/>
      <w:lvlJc w:val="left"/>
      <w:pPr>
        <w:ind w:left="7920" w:hanging="288"/>
      </w:pPr>
      <w:rPr>
        <w:rFonts w:hint="default"/>
        <w:lang w:val="es-ES" w:eastAsia="en-US" w:bidi="ar-SA"/>
      </w:rPr>
    </w:lvl>
    <w:lvl w:ilvl="8" w:tplc="44361884">
      <w:numFmt w:val="bullet"/>
      <w:lvlText w:val="•"/>
      <w:lvlJc w:val="left"/>
      <w:pPr>
        <w:ind w:left="9006" w:hanging="288"/>
      </w:pPr>
      <w:rPr>
        <w:rFonts w:hint="default"/>
        <w:lang w:val="es-ES" w:eastAsia="en-US" w:bidi="ar-SA"/>
      </w:rPr>
    </w:lvl>
  </w:abstractNum>
  <w:abstractNum w:abstractNumId="4" w15:restartNumberingAfterBreak="0">
    <w:nsid w:val="18BA489A"/>
    <w:multiLevelType w:val="hybridMultilevel"/>
    <w:tmpl w:val="9A38DA96"/>
    <w:lvl w:ilvl="0" w:tplc="2696C5CA">
      <w:start w:val="1"/>
      <w:numFmt w:val="decimal"/>
      <w:lvlText w:val="%1."/>
      <w:lvlJc w:val="left"/>
      <w:pPr>
        <w:ind w:left="1778" w:hanging="360"/>
      </w:pPr>
      <w:rPr>
        <w:rFonts w:hint="default"/>
        <w:b/>
        <w:bCs/>
      </w:rPr>
    </w:lvl>
    <w:lvl w:ilvl="1" w:tplc="240A0019" w:tentative="1">
      <w:start w:val="1"/>
      <w:numFmt w:val="lowerLetter"/>
      <w:lvlText w:val="%2."/>
      <w:lvlJc w:val="left"/>
      <w:pPr>
        <w:ind w:left="2498" w:hanging="360"/>
      </w:pPr>
    </w:lvl>
    <w:lvl w:ilvl="2" w:tplc="240A001B" w:tentative="1">
      <w:start w:val="1"/>
      <w:numFmt w:val="lowerRoman"/>
      <w:lvlText w:val="%3."/>
      <w:lvlJc w:val="right"/>
      <w:pPr>
        <w:ind w:left="3218" w:hanging="180"/>
      </w:pPr>
    </w:lvl>
    <w:lvl w:ilvl="3" w:tplc="240A000F" w:tentative="1">
      <w:start w:val="1"/>
      <w:numFmt w:val="decimal"/>
      <w:lvlText w:val="%4."/>
      <w:lvlJc w:val="left"/>
      <w:pPr>
        <w:ind w:left="3938" w:hanging="360"/>
      </w:pPr>
    </w:lvl>
    <w:lvl w:ilvl="4" w:tplc="240A0019" w:tentative="1">
      <w:start w:val="1"/>
      <w:numFmt w:val="lowerLetter"/>
      <w:lvlText w:val="%5."/>
      <w:lvlJc w:val="left"/>
      <w:pPr>
        <w:ind w:left="4658" w:hanging="360"/>
      </w:pPr>
    </w:lvl>
    <w:lvl w:ilvl="5" w:tplc="240A001B" w:tentative="1">
      <w:start w:val="1"/>
      <w:numFmt w:val="lowerRoman"/>
      <w:lvlText w:val="%6."/>
      <w:lvlJc w:val="right"/>
      <w:pPr>
        <w:ind w:left="5378" w:hanging="180"/>
      </w:pPr>
    </w:lvl>
    <w:lvl w:ilvl="6" w:tplc="240A000F" w:tentative="1">
      <w:start w:val="1"/>
      <w:numFmt w:val="decimal"/>
      <w:lvlText w:val="%7."/>
      <w:lvlJc w:val="left"/>
      <w:pPr>
        <w:ind w:left="6098" w:hanging="360"/>
      </w:pPr>
    </w:lvl>
    <w:lvl w:ilvl="7" w:tplc="240A0019" w:tentative="1">
      <w:start w:val="1"/>
      <w:numFmt w:val="lowerLetter"/>
      <w:lvlText w:val="%8."/>
      <w:lvlJc w:val="left"/>
      <w:pPr>
        <w:ind w:left="6818" w:hanging="360"/>
      </w:pPr>
    </w:lvl>
    <w:lvl w:ilvl="8" w:tplc="240A001B" w:tentative="1">
      <w:start w:val="1"/>
      <w:numFmt w:val="lowerRoman"/>
      <w:lvlText w:val="%9."/>
      <w:lvlJc w:val="right"/>
      <w:pPr>
        <w:ind w:left="7538" w:hanging="180"/>
      </w:pPr>
    </w:lvl>
  </w:abstractNum>
  <w:abstractNum w:abstractNumId="5" w15:restartNumberingAfterBreak="0">
    <w:nsid w:val="1B815904"/>
    <w:multiLevelType w:val="hybridMultilevel"/>
    <w:tmpl w:val="DCD8EBAE"/>
    <w:lvl w:ilvl="0" w:tplc="D20EF252">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6" w15:restartNumberingAfterBreak="0">
    <w:nsid w:val="1C6E6A07"/>
    <w:multiLevelType w:val="hybridMultilevel"/>
    <w:tmpl w:val="4CA26C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D2C74FB"/>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004108C"/>
    <w:multiLevelType w:val="hybridMultilevel"/>
    <w:tmpl w:val="FC62CBAE"/>
    <w:lvl w:ilvl="0" w:tplc="1332B09C">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C190442"/>
    <w:multiLevelType w:val="hybridMultilevel"/>
    <w:tmpl w:val="793C9062"/>
    <w:lvl w:ilvl="0" w:tplc="1E24C7A4">
      <w:start w:val="1"/>
      <w:numFmt w:val="upperLetter"/>
      <w:lvlText w:val="%1."/>
      <w:lvlJc w:val="left"/>
      <w:pPr>
        <w:ind w:left="1068" w:hanging="360"/>
      </w:pPr>
      <w:rPr>
        <w:rFonts w:hint="default"/>
        <w:b/>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74BE5FD9"/>
    <w:multiLevelType w:val="multilevel"/>
    <w:tmpl w:val="124C2938"/>
    <w:lvl w:ilvl="0">
      <w:start w:val="1"/>
      <w:numFmt w:val="upperRoman"/>
      <w:lvlText w:val="%1."/>
      <w:lvlJc w:val="left"/>
      <w:pPr>
        <w:ind w:left="2138" w:hanging="720"/>
      </w:pPr>
      <w:rPr>
        <w:rFonts w:hint="default"/>
        <w:b/>
        <w:bCs/>
      </w:rPr>
    </w:lvl>
    <w:lvl w:ilvl="1">
      <w:start w:val="1"/>
      <w:numFmt w:val="decimal"/>
      <w:isLgl/>
      <w:lvlText w:val="%1.%2."/>
      <w:lvlJc w:val="left"/>
      <w:pPr>
        <w:ind w:left="1500"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4380" w:hanging="1440"/>
      </w:pPr>
      <w:rPr>
        <w:rFonts w:hint="default"/>
      </w:rPr>
    </w:lvl>
    <w:lvl w:ilvl="5">
      <w:start w:val="1"/>
      <w:numFmt w:val="decimal"/>
      <w:isLgl/>
      <w:lvlText w:val="%1.%2.%3.%4.%5.%6."/>
      <w:lvlJc w:val="left"/>
      <w:pPr>
        <w:ind w:left="5100" w:hanging="1440"/>
      </w:pPr>
      <w:rPr>
        <w:rFonts w:hint="default"/>
      </w:rPr>
    </w:lvl>
    <w:lvl w:ilvl="6">
      <w:start w:val="1"/>
      <w:numFmt w:val="decimal"/>
      <w:isLgl/>
      <w:lvlText w:val="%1.%2.%3.%4.%5.%6.%7."/>
      <w:lvlJc w:val="left"/>
      <w:pPr>
        <w:ind w:left="6180" w:hanging="1800"/>
      </w:pPr>
      <w:rPr>
        <w:rFonts w:hint="default"/>
      </w:rPr>
    </w:lvl>
    <w:lvl w:ilvl="7">
      <w:start w:val="1"/>
      <w:numFmt w:val="decimal"/>
      <w:isLgl/>
      <w:lvlText w:val="%1.%2.%3.%4.%5.%6.%7.%8."/>
      <w:lvlJc w:val="left"/>
      <w:pPr>
        <w:ind w:left="7260" w:hanging="2160"/>
      </w:pPr>
      <w:rPr>
        <w:rFonts w:hint="default"/>
      </w:rPr>
    </w:lvl>
    <w:lvl w:ilvl="8">
      <w:start w:val="1"/>
      <w:numFmt w:val="decimal"/>
      <w:isLgl/>
      <w:lvlText w:val="%1.%2.%3.%4.%5.%6.%7.%8.%9."/>
      <w:lvlJc w:val="left"/>
      <w:pPr>
        <w:ind w:left="7980" w:hanging="2160"/>
      </w:pPr>
      <w:rPr>
        <w:rFonts w:hint="default"/>
      </w:rPr>
    </w:lvl>
  </w:abstractNum>
  <w:abstractNum w:abstractNumId="12" w15:restartNumberingAfterBreak="0">
    <w:nsid w:val="7EF018A4"/>
    <w:multiLevelType w:val="hybridMultilevel"/>
    <w:tmpl w:val="17E031CE"/>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num w:numId="1">
    <w:abstractNumId w:val="5"/>
  </w:num>
  <w:num w:numId="2">
    <w:abstractNumId w:val="1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3"/>
  </w:num>
  <w:num w:numId="8">
    <w:abstractNumId w:val="9"/>
  </w:num>
  <w:num w:numId="9">
    <w:abstractNumId w:val="8"/>
  </w:num>
  <w:num w:numId="10">
    <w:abstractNumId w:val="6"/>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47A"/>
    <w:rsid w:val="000011AE"/>
    <w:rsid w:val="00004507"/>
    <w:rsid w:val="000065FB"/>
    <w:rsid w:val="0000669F"/>
    <w:rsid w:val="00007111"/>
    <w:rsid w:val="0000713E"/>
    <w:rsid w:val="00023BAE"/>
    <w:rsid w:val="0002444D"/>
    <w:rsid w:val="00024705"/>
    <w:rsid w:val="00030942"/>
    <w:rsid w:val="0003348E"/>
    <w:rsid w:val="00036E5C"/>
    <w:rsid w:val="00040196"/>
    <w:rsid w:val="00040849"/>
    <w:rsid w:val="00042E9B"/>
    <w:rsid w:val="00044BF9"/>
    <w:rsid w:val="00047293"/>
    <w:rsid w:val="00047314"/>
    <w:rsid w:val="00056DD0"/>
    <w:rsid w:val="00063582"/>
    <w:rsid w:val="000654D5"/>
    <w:rsid w:val="00067957"/>
    <w:rsid w:val="00067DFA"/>
    <w:rsid w:val="0007087C"/>
    <w:rsid w:val="000731FC"/>
    <w:rsid w:val="000813F8"/>
    <w:rsid w:val="000818B5"/>
    <w:rsid w:val="00085B74"/>
    <w:rsid w:val="00087CDE"/>
    <w:rsid w:val="000931D1"/>
    <w:rsid w:val="00093922"/>
    <w:rsid w:val="0009513B"/>
    <w:rsid w:val="00096D0E"/>
    <w:rsid w:val="000A5EB3"/>
    <w:rsid w:val="000B28C6"/>
    <w:rsid w:val="000B291F"/>
    <w:rsid w:val="000B5A28"/>
    <w:rsid w:val="000C2703"/>
    <w:rsid w:val="000C31ED"/>
    <w:rsid w:val="000D1C3E"/>
    <w:rsid w:val="000D2E09"/>
    <w:rsid w:val="000D3427"/>
    <w:rsid w:val="000D514A"/>
    <w:rsid w:val="000E7A8E"/>
    <w:rsid w:val="000F0CF3"/>
    <w:rsid w:val="00100ECB"/>
    <w:rsid w:val="00123480"/>
    <w:rsid w:val="001243C2"/>
    <w:rsid w:val="0012787E"/>
    <w:rsid w:val="0013128F"/>
    <w:rsid w:val="00131B69"/>
    <w:rsid w:val="00131F1D"/>
    <w:rsid w:val="00135A60"/>
    <w:rsid w:val="00143129"/>
    <w:rsid w:val="0014769B"/>
    <w:rsid w:val="00151645"/>
    <w:rsid w:val="00163801"/>
    <w:rsid w:val="00165913"/>
    <w:rsid w:val="00172810"/>
    <w:rsid w:val="00175665"/>
    <w:rsid w:val="0017631F"/>
    <w:rsid w:val="0018487C"/>
    <w:rsid w:val="001971E7"/>
    <w:rsid w:val="001A2AAD"/>
    <w:rsid w:val="001A2F78"/>
    <w:rsid w:val="001A47CB"/>
    <w:rsid w:val="001A5D98"/>
    <w:rsid w:val="001B2DF5"/>
    <w:rsid w:val="001B5911"/>
    <w:rsid w:val="001B74F0"/>
    <w:rsid w:val="001C202F"/>
    <w:rsid w:val="001C40A3"/>
    <w:rsid w:val="001C501B"/>
    <w:rsid w:val="001D59E6"/>
    <w:rsid w:val="001D678A"/>
    <w:rsid w:val="001E05B6"/>
    <w:rsid w:val="001E2A73"/>
    <w:rsid w:val="001F3FAE"/>
    <w:rsid w:val="001F57F0"/>
    <w:rsid w:val="0020196B"/>
    <w:rsid w:val="002021DB"/>
    <w:rsid w:val="002030E4"/>
    <w:rsid w:val="00203A7F"/>
    <w:rsid w:val="0020441A"/>
    <w:rsid w:val="0021262B"/>
    <w:rsid w:val="00214FD0"/>
    <w:rsid w:val="00215EA7"/>
    <w:rsid w:val="00216155"/>
    <w:rsid w:val="00221C58"/>
    <w:rsid w:val="00223937"/>
    <w:rsid w:val="00224AD9"/>
    <w:rsid w:val="00231179"/>
    <w:rsid w:val="002320F6"/>
    <w:rsid w:val="00243BA6"/>
    <w:rsid w:val="00246AB2"/>
    <w:rsid w:val="002476D8"/>
    <w:rsid w:val="00250344"/>
    <w:rsid w:val="00251481"/>
    <w:rsid w:val="00251A53"/>
    <w:rsid w:val="0025729B"/>
    <w:rsid w:val="00263C76"/>
    <w:rsid w:val="002744FE"/>
    <w:rsid w:val="00275E37"/>
    <w:rsid w:val="00276884"/>
    <w:rsid w:val="00276986"/>
    <w:rsid w:val="00276F5C"/>
    <w:rsid w:val="00277C46"/>
    <w:rsid w:val="00290FA7"/>
    <w:rsid w:val="002914EB"/>
    <w:rsid w:val="00291C42"/>
    <w:rsid w:val="002966D5"/>
    <w:rsid w:val="0029710C"/>
    <w:rsid w:val="002A00AB"/>
    <w:rsid w:val="002A397D"/>
    <w:rsid w:val="002B1643"/>
    <w:rsid w:val="002B7B00"/>
    <w:rsid w:val="002C03AA"/>
    <w:rsid w:val="002C3738"/>
    <w:rsid w:val="002C51EF"/>
    <w:rsid w:val="002D3C36"/>
    <w:rsid w:val="002E0CB2"/>
    <w:rsid w:val="002E1E9E"/>
    <w:rsid w:val="002E6019"/>
    <w:rsid w:val="00304615"/>
    <w:rsid w:val="00311E49"/>
    <w:rsid w:val="00312061"/>
    <w:rsid w:val="003125CD"/>
    <w:rsid w:val="00316EF0"/>
    <w:rsid w:val="00317DAB"/>
    <w:rsid w:val="00346D87"/>
    <w:rsid w:val="00350192"/>
    <w:rsid w:val="00360F15"/>
    <w:rsid w:val="00371A9E"/>
    <w:rsid w:val="00375B9E"/>
    <w:rsid w:val="0038442F"/>
    <w:rsid w:val="00385E33"/>
    <w:rsid w:val="00394906"/>
    <w:rsid w:val="003A06DF"/>
    <w:rsid w:val="003A098C"/>
    <w:rsid w:val="003A4335"/>
    <w:rsid w:val="003A56D2"/>
    <w:rsid w:val="003A7624"/>
    <w:rsid w:val="003B06B1"/>
    <w:rsid w:val="003B6090"/>
    <w:rsid w:val="003C1B7E"/>
    <w:rsid w:val="003C59CA"/>
    <w:rsid w:val="003C5F5F"/>
    <w:rsid w:val="003C607A"/>
    <w:rsid w:val="003C6D1D"/>
    <w:rsid w:val="003D15A8"/>
    <w:rsid w:val="003D2C52"/>
    <w:rsid w:val="003D4778"/>
    <w:rsid w:val="003D6486"/>
    <w:rsid w:val="003E5CB6"/>
    <w:rsid w:val="003E7E1F"/>
    <w:rsid w:val="003F0E22"/>
    <w:rsid w:val="003F1F10"/>
    <w:rsid w:val="003F66DC"/>
    <w:rsid w:val="00401FD0"/>
    <w:rsid w:val="00404355"/>
    <w:rsid w:val="00420A38"/>
    <w:rsid w:val="00421B3A"/>
    <w:rsid w:val="004227E0"/>
    <w:rsid w:val="004236FC"/>
    <w:rsid w:val="00434611"/>
    <w:rsid w:val="0043606D"/>
    <w:rsid w:val="00437187"/>
    <w:rsid w:val="00437397"/>
    <w:rsid w:val="00442FC2"/>
    <w:rsid w:val="0044384C"/>
    <w:rsid w:val="004503C4"/>
    <w:rsid w:val="00452DFE"/>
    <w:rsid w:val="00453E67"/>
    <w:rsid w:val="004604EC"/>
    <w:rsid w:val="00461F77"/>
    <w:rsid w:val="00466F4D"/>
    <w:rsid w:val="004674E9"/>
    <w:rsid w:val="004707E0"/>
    <w:rsid w:val="00476658"/>
    <w:rsid w:val="00480029"/>
    <w:rsid w:val="00482E06"/>
    <w:rsid w:val="004867FA"/>
    <w:rsid w:val="00492779"/>
    <w:rsid w:val="00493BDA"/>
    <w:rsid w:val="004A38F3"/>
    <w:rsid w:val="004A55D6"/>
    <w:rsid w:val="004B0C64"/>
    <w:rsid w:val="004B1A1C"/>
    <w:rsid w:val="004B612E"/>
    <w:rsid w:val="004C2649"/>
    <w:rsid w:val="004D368F"/>
    <w:rsid w:val="004E1BCA"/>
    <w:rsid w:val="004E4B2E"/>
    <w:rsid w:val="004F4463"/>
    <w:rsid w:val="004F5422"/>
    <w:rsid w:val="00501E41"/>
    <w:rsid w:val="00503AC0"/>
    <w:rsid w:val="00523313"/>
    <w:rsid w:val="005233C1"/>
    <w:rsid w:val="00526705"/>
    <w:rsid w:val="00530700"/>
    <w:rsid w:val="00533C2E"/>
    <w:rsid w:val="005351EC"/>
    <w:rsid w:val="00547E25"/>
    <w:rsid w:val="00552810"/>
    <w:rsid w:val="00555A4D"/>
    <w:rsid w:val="00557301"/>
    <w:rsid w:val="00567266"/>
    <w:rsid w:val="005772FC"/>
    <w:rsid w:val="00581B35"/>
    <w:rsid w:val="00583229"/>
    <w:rsid w:val="00584A35"/>
    <w:rsid w:val="00587B12"/>
    <w:rsid w:val="00591075"/>
    <w:rsid w:val="0059265E"/>
    <w:rsid w:val="00596F90"/>
    <w:rsid w:val="00597E39"/>
    <w:rsid w:val="005A43A5"/>
    <w:rsid w:val="005B3A76"/>
    <w:rsid w:val="005B4600"/>
    <w:rsid w:val="005B4860"/>
    <w:rsid w:val="005C1564"/>
    <w:rsid w:val="005C1AE7"/>
    <w:rsid w:val="005C23BE"/>
    <w:rsid w:val="005C5A11"/>
    <w:rsid w:val="005D115C"/>
    <w:rsid w:val="005D3D34"/>
    <w:rsid w:val="005D3F28"/>
    <w:rsid w:val="005E292B"/>
    <w:rsid w:val="005E52B3"/>
    <w:rsid w:val="005E64E2"/>
    <w:rsid w:val="005E72EC"/>
    <w:rsid w:val="005E7C37"/>
    <w:rsid w:val="005F1A0F"/>
    <w:rsid w:val="006069A3"/>
    <w:rsid w:val="00606AEB"/>
    <w:rsid w:val="00607C04"/>
    <w:rsid w:val="00622358"/>
    <w:rsid w:val="00624369"/>
    <w:rsid w:val="00627060"/>
    <w:rsid w:val="0062731E"/>
    <w:rsid w:val="00633408"/>
    <w:rsid w:val="0063466E"/>
    <w:rsid w:val="00634685"/>
    <w:rsid w:val="006357A7"/>
    <w:rsid w:val="00635A3F"/>
    <w:rsid w:val="00642EAE"/>
    <w:rsid w:val="00647DC0"/>
    <w:rsid w:val="0065054E"/>
    <w:rsid w:val="00657D81"/>
    <w:rsid w:val="00663FF4"/>
    <w:rsid w:val="006654EE"/>
    <w:rsid w:val="0067440B"/>
    <w:rsid w:val="00676B6C"/>
    <w:rsid w:val="00680A53"/>
    <w:rsid w:val="006819C9"/>
    <w:rsid w:val="00683F27"/>
    <w:rsid w:val="0068536E"/>
    <w:rsid w:val="00691226"/>
    <w:rsid w:val="00693BAB"/>
    <w:rsid w:val="00697DC3"/>
    <w:rsid w:val="006A2EE8"/>
    <w:rsid w:val="006A391F"/>
    <w:rsid w:val="006B41BE"/>
    <w:rsid w:val="006C0AD5"/>
    <w:rsid w:val="006C203A"/>
    <w:rsid w:val="006C463D"/>
    <w:rsid w:val="006D7FD9"/>
    <w:rsid w:val="006E2486"/>
    <w:rsid w:val="006E2E75"/>
    <w:rsid w:val="006F0226"/>
    <w:rsid w:val="006F35FB"/>
    <w:rsid w:val="007046C6"/>
    <w:rsid w:val="00710B5D"/>
    <w:rsid w:val="00714484"/>
    <w:rsid w:val="007176BF"/>
    <w:rsid w:val="00717D4C"/>
    <w:rsid w:val="00720240"/>
    <w:rsid w:val="00723B9F"/>
    <w:rsid w:val="00725BBA"/>
    <w:rsid w:val="00727B39"/>
    <w:rsid w:val="00732AC3"/>
    <w:rsid w:val="00733A21"/>
    <w:rsid w:val="00740527"/>
    <w:rsid w:val="007414B0"/>
    <w:rsid w:val="00745981"/>
    <w:rsid w:val="00745ECA"/>
    <w:rsid w:val="00746B04"/>
    <w:rsid w:val="00746DA8"/>
    <w:rsid w:val="0074704C"/>
    <w:rsid w:val="0075103B"/>
    <w:rsid w:val="00753C1B"/>
    <w:rsid w:val="0076143C"/>
    <w:rsid w:val="00763978"/>
    <w:rsid w:val="007710C0"/>
    <w:rsid w:val="00785230"/>
    <w:rsid w:val="0079148D"/>
    <w:rsid w:val="007920B9"/>
    <w:rsid w:val="00793AE4"/>
    <w:rsid w:val="00797A23"/>
    <w:rsid w:val="007B00B2"/>
    <w:rsid w:val="007B183F"/>
    <w:rsid w:val="007B6D1E"/>
    <w:rsid w:val="007C23DB"/>
    <w:rsid w:val="007C48E3"/>
    <w:rsid w:val="007C65A3"/>
    <w:rsid w:val="007D285C"/>
    <w:rsid w:val="007D2B5A"/>
    <w:rsid w:val="007E0530"/>
    <w:rsid w:val="007F5015"/>
    <w:rsid w:val="007F5A4B"/>
    <w:rsid w:val="007F5D0E"/>
    <w:rsid w:val="007F71B2"/>
    <w:rsid w:val="00800C66"/>
    <w:rsid w:val="00803B8E"/>
    <w:rsid w:val="00804804"/>
    <w:rsid w:val="00804A25"/>
    <w:rsid w:val="00805448"/>
    <w:rsid w:val="00814035"/>
    <w:rsid w:val="00815353"/>
    <w:rsid w:val="008170AA"/>
    <w:rsid w:val="0082290D"/>
    <w:rsid w:val="00823EFF"/>
    <w:rsid w:val="0082709E"/>
    <w:rsid w:val="008345B6"/>
    <w:rsid w:val="00835EA2"/>
    <w:rsid w:val="008369D3"/>
    <w:rsid w:val="00837F7C"/>
    <w:rsid w:val="008423CE"/>
    <w:rsid w:val="00842AE2"/>
    <w:rsid w:val="00842F70"/>
    <w:rsid w:val="0084433D"/>
    <w:rsid w:val="00845C64"/>
    <w:rsid w:val="00846019"/>
    <w:rsid w:val="00846BC1"/>
    <w:rsid w:val="00851987"/>
    <w:rsid w:val="008542D6"/>
    <w:rsid w:val="008567AC"/>
    <w:rsid w:val="00860481"/>
    <w:rsid w:val="00860711"/>
    <w:rsid w:val="00860F00"/>
    <w:rsid w:val="00867B82"/>
    <w:rsid w:val="008738F1"/>
    <w:rsid w:val="008752C5"/>
    <w:rsid w:val="0087753F"/>
    <w:rsid w:val="00881366"/>
    <w:rsid w:val="00885D9F"/>
    <w:rsid w:val="00886132"/>
    <w:rsid w:val="00890FB7"/>
    <w:rsid w:val="008942E6"/>
    <w:rsid w:val="00896249"/>
    <w:rsid w:val="008A0305"/>
    <w:rsid w:val="008A27AE"/>
    <w:rsid w:val="008C499D"/>
    <w:rsid w:val="008C5EE0"/>
    <w:rsid w:val="008D09B7"/>
    <w:rsid w:val="008D2196"/>
    <w:rsid w:val="008D48EB"/>
    <w:rsid w:val="008D500A"/>
    <w:rsid w:val="008D594F"/>
    <w:rsid w:val="008E79E7"/>
    <w:rsid w:val="008F0572"/>
    <w:rsid w:val="008F4DD8"/>
    <w:rsid w:val="009039C3"/>
    <w:rsid w:val="00903BB5"/>
    <w:rsid w:val="0092570A"/>
    <w:rsid w:val="009372A8"/>
    <w:rsid w:val="009407DF"/>
    <w:rsid w:val="0094105A"/>
    <w:rsid w:val="0094643D"/>
    <w:rsid w:val="009513ED"/>
    <w:rsid w:val="00955C0F"/>
    <w:rsid w:val="00956B5A"/>
    <w:rsid w:val="00963E90"/>
    <w:rsid w:val="00975FDE"/>
    <w:rsid w:val="00977083"/>
    <w:rsid w:val="00984127"/>
    <w:rsid w:val="0098492E"/>
    <w:rsid w:val="00985B44"/>
    <w:rsid w:val="00997109"/>
    <w:rsid w:val="009A0B87"/>
    <w:rsid w:val="009A22B7"/>
    <w:rsid w:val="009B3656"/>
    <w:rsid w:val="009B42F5"/>
    <w:rsid w:val="009C5F60"/>
    <w:rsid w:val="009D60EE"/>
    <w:rsid w:val="009E1E62"/>
    <w:rsid w:val="009E6655"/>
    <w:rsid w:val="009E7745"/>
    <w:rsid w:val="009F020D"/>
    <w:rsid w:val="009F3F4E"/>
    <w:rsid w:val="009F6449"/>
    <w:rsid w:val="00A0004E"/>
    <w:rsid w:val="00A025A4"/>
    <w:rsid w:val="00A064B0"/>
    <w:rsid w:val="00A06BA6"/>
    <w:rsid w:val="00A1547A"/>
    <w:rsid w:val="00A16D51"/>
    <w:rsid w:val="00A2549B"/>
    <w:rsid w:val="00A254A2"/>
    <w:rsid w:val="00A27804"/>
    <w:rsid w:val="00A31F22"/>
    <w:rsid w:val="00A33FAD"/>
    <w:rsid w:val="00A3434D"/>
    <w:rsid w:val="00A35424"/>
    <w:rsid w:val="00A45154"/>
    <w:rsid w:val="00A478A9"/>
    <w:rsid w:val="00A47F3C"/>
    <w:rsid w:val="00A51F44"/>
    <w:rsid w:val="00A53EE4"/>
    <w:rsid w:val="00A54CDC"/>
    <w:rsid w:val="00A57EAD"/>
    <w:rsid w:val="00A6013D"/>
    <w:rsid w:val="00A602DC"/>
    <w:rsid w:val="00A60A16"/>
    <w:rsid w:val="00A61850"/>
    <w:rsid w:val="00A70621"/>
    <w:rsid w:val="00A71023"/>
    <w:rsid w:val="00A85798"/>
    <w:rsid w:val="00A860A0"/>
    <w:rsid w:val="00A86379"/>
    <w:rsid w:val="00A905FF"/>
    <w:rsid w:val="00A92322"/>
    <w:rsid w:val="00A92ADB"/>
    <w:rsid w:val="00A9750E"/>
    <w:rsid w:val="00AA2D76"/>
    <w:rsid w:val="00AB1B37"/>
    <w:rsid w:val="00AB2FA1"/>
    <w:rsid w:val="00AB521C"/>
    <w:rsid w:val="00AC166F"/>
    <w:rsid w:val="00AC2670"/>
    <w:rsid w:val="00AC72C0"/>
    <w:rsid w:val="00AE1E25"/>
    <w:rsid w:val="00AE2FC4"/>
    <w:rsid w:val="00AE3D05"/>
    <w:rsid w:val="00AE700F"/>
    <w:rsid w:val="00AF4D37"/>
    <w:rsid w:val="00B008FE"/>
    <w:rsid w:val="00B05C7A"/>
    <w:rsid w:val="00B1062B"/>
    <w:rsid w:val="00B14AC0"/>
    <w:rsid w:val="00B21E79"/>
    <w:rsid w:val="00B26DF7"/>
    <w:rsid w:val="00B3667C"/>
    <w:rsid w:val="00B90703"/>
    <w:rsid w:val="00B90A10"/>
    <w:rsid w:val="00B938BA"/>
    <w:rsid w:val="00B93C8E"/>
    <w:rsid w:val="00B95F62"/>
    <w:rsid w:val="00BA0846"/>
    <w:rsid w:val="00BA7E20"/>
    <w:rsid w:val="00BB1E00"/>
    <w:rsid w:val="00BB2B4F"/>
    <w:rsid w:val="00BB3AC6"/>
    <w:rsid w:val="00BB4251"/>
    <w:rsid w:val="00BB5D0C"/>
    <w:rsid w:val="00BB70C2"/>
    <w:rsid w:val="00BC3070"/>
    <w:rsid w:val="00BE42FA"/>
    <w:rsid w:val="00BE5433"/>
    <w:rsid w:val="00BF1903"/>
    <w:rsid w:val="00BF368C"/>
    <w:rsid w:val="00BF4DC7"/>
    <w:rsid w:val="00BF4E6C"/>
    <w:rsid w:val="00C00241"/>
    <w:rsid w:val="00C04D84"/>
    <w:rsid w:val="00C0584C"/>
    <w:rsid w:val="00C06F32"/>
    <w:rsid w:val="00C07CC6"/>
    <w:rsid w:val="00C14A27"/>
    <w:rsid w:val="00C15997"/>
    <w:rsid w:val="00C2162E"/>
    <w:rsid w:val="00C33BAC"/>
    <w:rsid w:val="00C341DF"/>
    <w:rsid w:val="00C34F1D"/>
    <w:rsid w:val="00C3740E"/>
    <w:rsid w:val="00C41295"/>
    <w:rsid w:val="00C4466C"/>
    <w:rsid w:val="00C47176"/>
    <w:rsid w:val="00C51A8B"/>
    <w:rsid w:val="00C63BFC"/>
    <w:rsid w:val="00C675F1"/>
    <w:rsid w:val="00C700C6"/>
    <w:rsid w:val="00C76299"/>
    <w:rsid w:val="00C808F4"/>
    <w:rsid w:val="00C8167B"/>
    <w:rsid w:val="00C85E07"/>
    <w:rsid w:val="00C861F2"/>
    <w:rsid w:val="00C86C72"/>
    <w:rsid w:val="00C9128E"/>
    <w:rsid w:val="00C914A8"/>
    <w:rsid w:val="00CA1779"/>
    <w:rsid w:val="00CA17A2"/>
    <w:rsid w:val="00CA1E36"/>
    <w:rsid w:val="00CA1E5F"/>
    <w:rsid w:val="00CA486F"/>
    <w:rsid w:val="00CA60DE"/>
    <w:rsid w:val="00CA7AFE"/>
    <w:rsid w:val="00CB0AD9"/>
    <w:rsid w:val="00CC0164"/>
    <w:rsid w:val="00CD19B9"/>
    <w:rsid w:val="00CD71F4"/>
    <w:rsid w:val="00CE2D42"/>
    <w:rsid w:val="00CE3B09"/>
    <w:rsid w:val="00CE5780"/>
    <w:rsid w:val="00CE6B1C"/>
    <w:rsid w:val="00CF321D"/>
    <w:rsid w:val="00CF403C"/>
    <w:rsid w:val="00CF4E39"/>
    <w:rsid w:val="00D008C7"/>
    <w:rsid w:val="00D00A1D"/>
    <w:rsid w:val="00D02B28"/>
    <w:rsid w:val="00D12EE3"/>
    <w:rsid w:val="00D144A9"/>
    <w:rsid w:val="00D17C16"/>
    <w:rsid w:val="00D2139C"/>
    <w:rsid w:val="00D22831"/>
    <w:rsid w:val="00D24497"/>
    <w:rsid w:val="00D27097"/>
    <w:rsid w:val="00D30E6A"/>
    <w:rsid w:val="00D43F46"/>
    <w:rsid w:val="00D4474A"/>
    <w:rsid w:val="00D53758"/>
    <w:rsid w:val="00D539EF"/>
    <w:rsid w:val="00D57FC2"/>
    <w:rsid w:val="00D61513"/>
    <w:rsid w:val="00D633F6"/>
    <w:rsid w:val="00D66DB8"/>
    <w:rsid w:val="00D705FF"/>
    <w:rsid w:val="00D72397"/>
    <w:rsid w:val="00D76C22"/>
    <w:rsid w:val="00D77754"/>
    <w:rsid w:val="00D77BE2"/>
    <w:rsid w:val="00D77D87"/>
    <w:rsid w:val="00D840A2"/>
    <w:rsid w:val="00D85910"/>
    <w:rsid w:val="00D976D0"/>
    <w:rsid w:val="00DA1D6C"/>
    <w:rsid w:val="00DB07C9"/>
    <w:rsid w:val="00DB2975"/>
    <w:rsid w:val="00DB2F19"/>
    <w:rsid w:val="00DE306A"/>
    <w:rsid w:val="00DE342F"/>
    <w:rsid w:val="00DE7E77"/>
    <w:rsid w:val="00DF1308"/>
    <w:rsid w:val="00DF2360"/>
    <w:rsid w:val="00DF2CF6"/>
    <w:rsid w:val="00DF2E79"/>
    <w:rsid w:val="00DF56C0"/>
    <w:rsid w:val="00E06727"/>
    <w:rsid w:val="00E06958"/>
    <w:rsid w:val="00E121A5"/>
    <w:rsid w:val="00E14749"/>
    <w:rsid w:val="00E20BDD"/>
    <w:rsid w:val="00E27C3F"/>
    <w:rsid w:val="00E3038C"/>
    <w:rsid w:val="00E33772"/>
    <w:rsid w:val="00E342BF"/>
    <w:rsid w:val="00E37A28"/>
    <w:rsid w:val="00E46987"/>
    <w:rsid w:val="00E50533"/>
    <w:rsid w:val="00E51632"/>
    <w:rsid w:val="00E66387"/>
    <w:rsid w:val="00E66820"/>
    <w:rsid w:val="00E6694F"/>
    <w:rsid w:val="00E77653"/>
    <w:rsid w:val="00E830DE"/>
    <w:rsid w:val="00E95B0A"/>
    <w:rsid w:val="00E97B4F"/>
    <w:rsid w:val="00EA4F6F"/>
    <w:rsid w:val="00EA65B9"/>
    <w:rsid w:val="00EB041B"/>
    <w:rsid w:val="00EB3F17"/>
    <w:rsid w:val="00EB62F9"/>
    <w:rsid w:val="00EC2161"/>
    <w:rsid w:val="00ED009F"/>
    <w:rsid w:val="00ED04E6"/>
    <w:rsid w:val="00ED1CC0"/>
    <w:rsid w:val="00ED4E61"/>
    <w:rsid w:val="00EE1A32"/>
    <w:rsid w:val="00EE2E69"/>
    <w:rsid w:val="00EE50E6"/>
    <w:rsid w:val="00EF1E87"/>
    <w:rsid w:val="00EF3111"/>
    <w:rsid w:val="00EF5945"/>
    <w:rsid w:val="00F03982"/>
    <w:rsid w:val="00F115EC"/>
    <w:rsid w:val="00F11FF0"/>
    <w:rsid w:val="00F14767"/>
    <w:rsid w:val="00F17805"/>
    <w:rsid w:val="00F17E7D"/>
    <w:rsid w:val="00F200FA"/>
    <w:rsid w:val="00F3194E"/>
    <w:rsid w:val="00F36729"/>
    <w:rsid w:val="00F42FDB"/>
    <w:rsid w:val="00F5124C"/>
    <w:rsid w:val="00F51589"/>
    <w:rsid w:val="00F539FB"/>
    <w:rsid w:val="00F53B9C"/>
    <w:rsid w:val="00F603B1"/>
    <w:rsid w:val="00F67F1B"/>
    <w:rsid w:val="00F72C6E"/>
    <w:rsid w:val="00F81DB5"/>
    <w:rsid w:val="00F8200D"/>
    <w:rsid w:val="00F87263"/>
    <w:rsid w:val="00F92BCE"/>
    <w:rsid w:val="00F97496"/>
    <w:rsid w:val="00FA0D76"/>
    <w:rsid w:val="00FA6C41"/>
    <w:rsid w:val="00FB222F"/>
    <w:rsid w:val="00FB4580"/>
    <w:rsid w:val="00FB574A"/>
    <w:rsid w:val="00FC0B14"/>
    <w:rsid w:val="00FC30DF"/>
    <w:rsid w:val="00FC3301"/>
    <w:rsid w:val="00FC7A23"/>
    <w:rsid w:val="00FD1184"/>
    <w:rsid w:val="00FD1E89"/>
    <w:rsid w:val="00FD2ED1"/>
    <w:rsid w:val="00FD4B00"/>
    <w:rsid w:val="00FD4C3B"/>
    <w:rsid w:val="00FD76FE"/>
    <w:rsid w:val="00FE170D"/>
    <w:rsid w:val="00FE49DA"/>
    <w:rsid w:val="00FE576C"/>
    <w:rsid w:val="00FF265C"/>
    <w:rsid w:val="00FF3981"/>
    <w:rsid w:val="00FF6391"/>
    <w:rsid w:val="0E9F706F"/>
    <w:rsid w:val="0F8313E3"/>
    <w:rsid w:val="12609DE6"/>
    <w:rsid w:val="180017E9"/>
    <w:rsid w:val="1D9E1FCE"/>
    <w:rsid w:val="27EA88A5"/>
    <w:rsid w:val="2A5C573C"/>
    <w:rsid w:val="2D9E0543"/>
    <w:rsid w:val="33D6D26C"/>
    <w:rsid w:val="37EFD421"/>
    <w:rsid w:val="38278D6B"/>
    <w:rsid w:val="3CBCBB9D"/>
    <w:rsid w:val="3CC71697"/>
    <w:rsid w:val="3EA1A0CB"/>
    <w:rsid w:val="46023154"/>
    <w:rsid w:val="48DB9398"/>
    <w:rsid w:val="4A2ACD39"/>
    <w:rsid w:val="4C6F2897"/>
    <w:rsid w:val="4D75B29F"/>
    <w:rsid w:val="4FAFE4D4"/>
    <w:rsid w:val="50B3FC8E"/>
    <w:rsid w:val="59208B08"/>
    <w:rsid w:val="5B814AB6"/>
    <w:rsid w:val="5D645950"/>
    <w:rsid w:val="5ED229E4"/>
    <w:rsid w:val="5FD9EF32"/>
    <w:rsid w:val="6148B0A2"/>
    <w:rsid w:val="64415678"/>
    <w:rsid w:val="6604238D"/>
    <w:rsid w:val="66DE1600"/>
    <w:rsid w:val="6706C93D"/>
    <w:rsid w:val="6C8A7D39"/>
    <w:rsid w:val="6CF71EB6"/>
    <w:rsid w:val="6D7F263C"/>
    <w:rsid w:val="6E0DD977"/>
    <w:rsid w:val="704283C4"/>
    <w:rsid w:val="7166C1F2"/>
    <w:rsid w:val="71AE5C08"/>
    <w:rsid w:val="72965F5E"/>
    <w:rsid w:val="7393B316"/>
    <w:rsid w:val="73E20EA6"/>
    <w:rsid w:val="7A008712"/>
    <w:rsid w:val="7A2F5E6D"/>
    <w:rsid w:val="7BFD9631"/>
    <w:rsid w:val="7D94E4F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89C5D"/>
  <w15:chartTrackingRefBased/>
  <w15:docId w15:val="{FA7D7DAD-652E-413C-B704-584BFC9B1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00"/>
  </w:style>
  <w:style w:type="paragraph" w:styleId="Ttulo1">
    <w:name w:val="heading 1"/>
    <w:basedOn w:val="Normal"/>
    <w:next w:val="Normal"/>
    <w:link w:val="Ttulo1Car"/>
    <w:uiPriority w:val="9"/>
    <w:qFormat/>
    <w:rsid w:val="00997109"/>
    <w:pPr>
      <w:keepNext/>
      <w:keepLines/>
      <w:spacing w:before="240" w:after="0"/>
      <w:outlineLvl w:val="0"/>
    </w:pPr>
    <w:rPr>
      <w:rFonts w:asciiTheme="majorHAnsi" w:eastAsiaTheme="majorEastAsia" w:hAnsiTheme="majorHAnsi" w:cstheme="majorBidi"/>
      <w:color w:val="A5A5A5" w:themeColor="accent1" w:themeShade="BF"/>
      <w:sz w:val="32"/>
      <w:szCs w:val="32"/>
      <w:lang w:eastAsia="es-CO"/>
    </w:rPr>
  </w:style>
  <w:style w:type="paragraph" w:styleId="Ttulo3">
    <w:name w:val="heading 3"/>
    <w:basedOn w:val="Normal"/>
    <w:next w:val="Normal"/>
    <w:link w:val="Ttulo3Car"/>
    <w:uiPriority w:val="9"/>
    <w:semiHidden/>
    <w:unhideWhenUsed/>
    <w:qFormat/>
    <w:rsid w:val="00EF1E87"/>
    <w:pPr>
      <w:keepNext/>
      <w:keepLines/>
      <w:spacing w:before="40" w:after="0"/>
      <w:outlineLvl w:val="2"/>
    </w:pPr>
    <w:rPr>
      <w:rFonts w:asciiTheme="majorHAnsi" w:eastAsiaTheme="majorEastAsia" w:hAnsiTheme="majorHAnsi" w:cstheme="majorBidi"/>
      <w:color w:val="6E6E6E"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1"/>
    <w:qFormat/>
    <w:rsid w:val="00A1547A"/>
    <w:pPr>
      <w:ind w:left="720"/>
      <w:contextualSpacing/>
    </w:pPr>
  </w:style>
  <w:style w:type="paragraph" w:styleId="Sinespaciado">
    <w:name w:val="No Spacing"/>
    <w:link w:val="SinespaciadoCar"/>
    <w:qFormat/>
    <w:rsid w:val="002E1E9E"/>
    <w:pPr>
      <w:spacing w:after="0" w:line="240" w:lineRule="auto"/>
    </w:pPr>
    <w:rPr>
      <w:lang w:val="es-ES"/>
    </w:rPr>
  </w:style>
  <w:style w:type="character" w:customStyle="1" w:styleId="SinespaciadoCar">
    <w:name w:val="Sin espaciado Car"/>
    <w:link w:val="Sinespaciado"/>
    <w:uiPriority w:val="1"/>
    <w:locked/>
    <w:rsid w:val="002E1E9E"/>
    <w:rPr>
      <w:lang w:val="es-ES"/>
    </w:rPr>
  </w:style>
  <w:style w:type="character" w:styleId="Hipervnculo">
    <w:name w:val="Hyperlink"/>
    <w:basedOn w:val="Fuentedeprrafopredeter"/>
    <w:uiPriority w:val="99"/>
    <w:unhideWhenUsed/>
    <w:rsid w:val="008E79E7"/>
    <w:rPr>
      <w:color w:val="5F5F5F" w:themeColor="hyperlink"/>
      <w:u w:val="single"/>
    </w:rPr>
  </w:style>
  <w:style w:type="character" w:customStyle="1" w:styleId="PrrafodelistaCar">
    <w:name w:val="Párrafo de lista Car"/>
    <w:link w:val="Prrafodelista"/>
    <w:uiPriority w:val="34"/>
    <w:locked/>
    <w:rsid w:val="003125CD"/>
  </w:style>
  <w:style w:type="character" w:customStyle="1" w:styleId="TextonotapieCar">
    <w:name w:val="Texto nota pie Car"/>
    <w:aliases w:val="Ref. de nota al pie1 Car,referencia nota al pie Car,Appel note de bas de page Car,BVI fnr Car,Footnotes refss Car,Footnote number Car,f Car,Nota a pie Car,Ref Car,de nota al pie Car,Ref. de nota al pie 2 Car,Char Car Car Car Car Car"/>
    <w:basedOn w:val="Fuentedeprrafopredeter"/>
    <w:link w:val="Textonotapie"/>
    <w:uiPriority w:val="99"/>
    <w:semiHidden/>
    <w:locked/>
    <w:rsid w:val="003125CD"/>
    <w:rPr>
      <w:rFonts w:ascii="Times New Roman" w:eastAsia="Calibri" w:hAnsi="Times New Roman" w:cs="Times New Roman"/>
      <w:sz w:val="20"/>
      <w:szCs w:val="20"/>
    </w:rPr>
  </w:style>
  <w:style w:type="paragraph" w:styleId="Textonotapie">
    <w:name w:val="footnote text"/>
    <w:aliases w:val="Ref. de nota al pie1,referencia nota al pie,Appel note de bas de page,BVI fnr,Footnotes refss,Footnote number,f,Nota a pie,Ref,de nota al pie,Ref. de nota al pie 2,Footnote Text Char1 Car Car Car Car,Char Car Car Car Car,4_G,16 Point,R,ft"/>
    <w:basedOn w:val="Normal"/>
    <w:link w:val="TextonotapieCar"/>
    <w:uiPriority w:val="99"/>
    <w:semiHidden/>
    <w:unhideWhenUsed/>
    <w:qFormat/>
    <w:rsid w:val="003125CD"/>
    <w:pPr>
      <w:spacing w:after="0" w:line="240" w:lineRule="auto"/>
      <w:jc w:val="both"/>
    </w:pPr>
    <w:rPr>
      <w:rFonts w:ascii="Times New Roman" w:eastAsia="Calibri" w:hAnsi="Times New Roman" w:cs="Times New Roman"/>
      <w:sz w:val="20"/>
      <w:szCs w:val="20"/>
    </w:rPr>
  </w:style>
  <w:style w:type="character" w:customStyle="1" w:styleId="TextonotapieCar1">
    <w:name w:val="Texto nota pie Car1"/>
    <w:basedOn w:val="Fuentedeprrafopredeter"/>
    <w:uiPriority w:val="99"/>
    <w:semiHidden/>
    <w:rsid w:val="003125CD"/>
    <w:rPr>
      <w:sz w:val="20"/>
      <w:szCs w:val="20"/>
    </w:rPr>
  </w:style>
  <w:style w:type="character" w:styleId="Refdenotaalpie">
    <w:name w:val="footnote reference"/>
    <w:aliases w:val="Texto de nota al pie,Fago Fußnotenzeichen,Superscript 6 Point,Texto nota al pie,Footnote Reference Char3,Ref. de nota al pie.,Texto nota pie Car Car,Footnote Text Char Char Char Char Char Char1 Car,Texto nota pie Car Car1 Car,Ref1,FC"/>
    <w:link w:val="Refdenotaalpie2"/>
    <w:uiPriority w:val="99"/>
    <w:unhideWhenUsed/>
    <w:qFormat/>
    <w:rsid w:val="003125CD"/>
    <w:rPr>
      <w:vertAlign w:val="superscript"/>
    </w:rPr>
  </w:style>
  <w:style w:type="paragraph" w:customStyle="1" w:styleId="Refdenotaalpie2">
    <w:name w:val="Ref. de nota al pie2"/>
    <w:aliases w:val="Nota de pie,Pie de pagina"/>
    <w:basedOn w:val="Normal"/>
    <w:link w:val="Refdenotaalpie"/>
    <w:uiPriority w:val="99"/>
    <w:rsid w:val="003125CD"/>
    <w:pPr>
      <w:spacing w:after="0" w:line="240" w:lineRule="exact"/>
      <w:jc w:val="both"/>
    </w:pPr>
    <w:rPr>
      <w:vertAlign w:val="superscript"/>
    </w:rPr>
  </w:style>
  <w:style w:type="character" w:styleId="Refdecomentario">
    <w:name w:val="annotation reference"/>
    <w:basedOn w:val="Fuentedeprrafopredeter"/>
    <w:uiPriority w:val="99"/>
    <w:semiHidden/>
    <w:unhideWhenUsed/>
    <w:rsid w:val="00C86C72"/>
    <w:rPr>
      <w:sz w:val="16"/>
      <w:szCs w:val="16"/>
    </w:rPr>
  </w:style>
  <w:style w:type="paragraph" w:styleId="Textocomentario">
    <w:name w:val="annotation text"/>
    <w:basedOn w:val="Normal"/>
    <w:link w:val="TextocomentarioCar"/>
    <w:uiPriority w:val="99"/>
    <w:unhideWhenUsed/>
    <w:rsid w:val="00C86C72"/>
    <w:pPr>
      <w:spacing w:line="240" w:lineRule="auto"/>
    </w:pPr>
    <w:rPr>
      <w:sz w:val="20"/>
      <w:szCs w:val="20"/>
    </w:rPr>
  </w:style>
  <w:style w:type="character" w:customStyle="1" w:styleId="TextocomentarioCar">
    <w:name w:val="Texto comentario Car"/>
    <w:basedOn w:val="Fuentedeprrafopredeter"/>
    <w:link w:val="Textocomentario"/>
    <w:uiPriority w:val="99"/>
    <w:rsid w:val="00C86C72"/>
    <w:rPr>
      <w:sz w:val="20"/>
      <w:szCs w:val="20"/>
    </w:rPr>
  </w:style>
  <w:style w:type="paragraph" w:styleId="Asuntodelcomentario">
    <w:name w:val="annotation subject"/>
    <w:basedOn w:val="Textocomentario"/>
    <w:next w:val="Textocomentario"/>
    <w:link w:val="AsuntodelcomentarioCar"/>
    <w:uiPriority w:val="99"/>
    <w:semiHidden/>
    <w:unhideWhenUsed/>
    <w:rsid w:val="00C86C72"/>
    <w:rPr>
      <w:b/>
      <w:bCs/>
    </w:rPr>
  </w:style>
  <w:style w:type="character" w:customStyle="1" w:styleId="AsuntodelcomentarioCar">
    <w:name w:val="Asunto del comentario Car"/>
    <w:basedOn w:val="TextocomentarioCar"/>
    <w:link w:val="Asuntodelcomentario"/>
    <w:uiPriority w:val="99"/>
    <w:semiHidden/>
    <w:rsid w:val="00C86C72"/>
    <w:rPr>
      <w:b/>
      <w:bCs/>
      <w:sz w:val="20"/>
      <w:szCs w:val="20"/>
    </w:rPr>
  </w:style>
  <w:style w:type="paragraph" w:styleId="Textodeglobo">
    <w:name w:val="Balloon Text"/>
    <w:basedOn w:val="Normal"/>
    <w:link w:val="TextodegloboCar"/>
    <w:uiPriority w:val="99"/>
    <w:semiHidden/>
    <w:unhideWhenUsed/>
    <w:rsid w:val="00C86C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86C72"/>
    <w:rPr>
      <w:rFonts w:ascii="Segoe UI" w:hAnsi="Segoe UI" w:cs="Segoe UI"/>
      <w:sz w:val="18"/>
      <w:szCs w:val="18"/>
    </w:rPr>
  </w:style>
  <w:style w:type="paragraph" w:styleId="NormalWeb">
    <w:name w:val="Normal (Web)"/>
    <w:basedOn w:val="Normal"/>
    <w:uiPriority w:val="99"/>
    <w:semiHidden/>
    <w:unhideWhenUsed/>
    <w:rsid w:val="002744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2744FE"/>
    <w:rPr>
      <w:b/>
      <w:bCs/>
    </w:rPr>
  </w:style>
  <w:style w:type="character" w:styleId="nfasis">
    <w:name w:val="Emphasis"/>
    <w:basedOn w:val="Fuentedeprrafopredeter"/>
    <w:uiPriority w:val="20"/>
    <w:qFormat/>
    <w:rsid w:val="002744FE"/>
    <w:rPr>
      <w:i/>
      <w:iCs/>
    </w:rPr>
  </w:style>
  <w:style w:type="paragraph" w:styleId="Encabezado">
    <w:name w:val="header"/>
    <w:basedOn w:val="Normal"/>
    <w:link w:val="EncabezadoCar"/>
    <w:uiPriority w:val="99"/>
    <w:unhideWhenUsed/>
    <w:rsid w:val="00D213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139C"/>
  </w:style>
  <w:style w:type="paragraph" w:styleId="Piedepgina">
    <w:name w:val="footer"/>
    <w:basedOn w:val="Normal"/>
    <w:link w:val="PiedepginaCar"/>
    <w:uiPriority w:val="99"/>
    <w:unhideWhenUsed/>
    <w:rsid w:val="00D213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139C"/>
  </w:style>
  <w:style w:type="paragraph" w:customStyle="1" w:styleId="Default">
    <w:name w:val="Default"/>
    <w:rsid w:val="00FC30DF"/>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rsid w:val="00350192"/>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350192"/>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uiPriority w:val="99"/>
    <w:semiHidden/>
    <w:unhideWhenUsed/>
    <w:rsid w:val="004E1BC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E1BCA"/>
    <w:rPr>
      <w:sz w:val="20"/>
      <w:szCs w:val="20"/>
    </w:rPr>
  </w:style>
  <w:style w:type="character" w:styleId="Refdenotaalfinal">
    <w:name w:val="endnote reference"/>
    <w:basedOn w:val="Fuentedeprrafopredeter"/>
    <w:uiPriority w:val="99"/>
    <w:semiHidden/>
    <w:unhideWhenUsed/>
    <w:rsid w:val="004E1BCA"/>
    <w:rPr>
      <w:vertAlign w:val="superscript"/>
    </w:rPr>
  </w:style>
  <w:style w:type="character" w:customStyle="1" w:styleId="Ttulo1Car">
    <w:name w:val="Título 1 Car"/>
    <w:basedOn w:val="Fuentedeprrafopredeter"/>
    <w:link w:val="Ttulo1"/>
    <w:uiPriority w:val="9"/>
    <w:rsid w:val="00997109"/>
    <w:rPr>
      <w:rFonts w:asciiTheme="majorHAnsi" w:eastAsiaTheme="majorEastAsia" w:hAnsiTheme="majorHAnsi" w:cstheme="majorBidi"/>
      <w:color w:val="A5A5A5" w:themeColor="accent1" w:themeShade="BF"/>
      <w:sz w:val="32"/>
      <w:szCs w:val="32"/>
      <w:lang w:eastAsia="es-CO"/>
    </w:rPr>
  </w:style>
  <w:style w:type="paragraph" w:styleId="Revisin">
    <w:name w:val="Revision"/>
    <w:hidden/>
    <w:uiPriority w:val="99"/>
    <w:semiHidden/>
    <w:rsid w:val="00E27C3F"/>
    <w:pPr>
      <w:spacing w:after="0" w:line="240" w:lineRule="auto"/>
    </w:pPr>
  </w:style>
  <w:style w:type="paragraph" w:customStyle="1" w:styleId="Yo">
    <w:name w:val="Yo"/>
    <w:basedOn w:val="Ttulo3"/>
    <w:qFormat/>
    <w:rsid w:val="00EF1E87"/>
    <w:pPr>
      <w:keepLines w:val="0"/>
      <w:widowControl w:val="0"/>
      <w:numPr>
        <w:numId w:val="13"/>
      </w:numPr>
      <w:tabs>
        <w:tab w:val="clear" w:pos="1080"/>
        <w:tab w:val="left" w:pos="-1440"/>
        <w:tab w:val="left" w:pos="-720"/>
        <w:tab w:val="num" w:pos="360"/>
      </w:tabs>
      <w:suppressAutoHyphens/>
      <w:spacing w:before="0" w:line="360" w:lineRule="auto"/>
      <w:ind w:left="720" w:firstLine="0"/>
      <w:jc w:val="center"/>
    </w:pPr>
    <w:rPr>
      <w:rFonts w:ascii="Bookman Old Style" w:eastAsia="Times New Roman" w:hAnsi="Bookman Old Style" w:cs="Estrangelo Edessa"/>
      <w:b/>
      <w:bCs/>
      <w:color w:val="auto"/>
      <w:sz w:val="28"/>
      <w:szCs w:val="28"/>
      <w:lang w:val="es-ES" w:eastAsia="es-ES"/>
    </w:rPr>
  </w:style>
  <w:style w:type="character" w:customStyle="1" w:styleId="normaltextrun">
    <w:name w:val="normaltextrun"/>
    <w:basedOn w:val="Fuentedeprrafopredeter"/>
    <w:rsid w:val="00EF1E87"/>
  </w:style>
  <w:style w:type="character" w:customStyle="1" w:styleId="Ttulo3Car">
    <w:name w:val="Título 3 Car"/>
    <w:basedOn w:val="Fuentedeprrafopredeter"/>
    <w:link w:val="Ttulo3"/>
    <w:uiPriority w:val="9"/>
    <w:semiHidden/>
    <w:rsid w:val="00EF1E87"/>
    <w:rPr>
      <w:rFonts w:asciiTheme="majorHAnsi" w:eastAsiaTheme="majorEastAsia" w:hAnsiTheme="majorHAnsi" w:cstheme="majorBidi"/>
      <w:color w:val="6E6E6E"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2766">
      <w:bodyDiv w:val="1"/>
      <w:marLeft w:val="0"/>
      <w:marRight w:val="0"/>
      <w:marTop w:val="0"/>
      <w:marBottom w:val="0"/>
      <w:divBdr>
        <w:top w:val="none" w:sz="0" w:space="0" w:color="auto"/>
        <w:left w:val="none" w:sz="0" w:space="0" w:color="auto"/>
        <w:bottom w:val="none" w:sz="0" w:space="0" w:color="auto"/>
        <w:right w:val="none" w:sz="0" w:space="0" w:color="auto"/>
      </w:divBdr>
    </w:div>
    <w:div w:id="152332534">
      <w:bodyDiv w:val="1"/>
      <w:marLeft w:val="0"/>
      <w:marRight w:val="0"/>
      <w:marTop w:val="0"/>
      <w:marBottom w:val="0"/>
      <w:divBdr>
        <w:top w:val="none" w:sz="0" w:space="0" w:color="auto"/>
        <w:left w:val="none" w:sz="0" w:space="0" w:color="auto"/>
        <w:bottom w:val="none" w:sz="0" w:space="0" w:color="auto"/>
        <w:right w:val="none" w:sz="0" w:space="0" w:color="auto"/>
      </w:divBdr>
    </w:div>
    <w:div w:id="202059509">
      <w:bodyDiv w:val="1"/>
      <w:marLeft w:val="0"/>
      <w:marRight w:val="0"/>
      <w:marTop w:val="0"/>
      <w:marBottom w:val="0"/>
      <w:divBdr>
        <w:top w:val="none" w:sz="0" w:space="0" w:color="auto"/>
        <w:left w:val="none" w:sz="0" w:space="0" w:color="auto"/>
        <w:bottom w:val="none" w:sz="0" w:space="0" w:color="auto"/>
        <w:right w:val="none" w:sz="0" w:space="0" w:color="auto"/>
      </w:divBdr>
    </w:div>
    <w:div w:id="383410227">
      <w:bodyDiv w:val="1"/>
      <w:marLeft w:val="0"/>
      <w:marRight w:val="0"/>
      <w:marTop w:val="0"/>
      <w:marBottom w:val="0"/>
      <w:divBdr>
        <w:top w:val="none" w:sz="0" w:space="0" w:color="auto"/>
        <w:left w:val="none" w:sz="0" w:space="0" w:color="auto"/>
        <w:bottom w:val="none" w:sz="0" w:space="0" w:color="auto"/>
        <w:right w:val="none" w:sz="0" w:space="0" w:color="auto"/>
      </w:divBdr>
    </w:div>
    <w:div w:id="739252332">
      <w:bodyDiv w:val="1"/>
      <w:marLeft w:val="0"/>
      <w:marRight w:val="0"/>
      <w:marTop w:val="0"/>
      <w:marBottom w:val="0"/>
      <w:divBdr>
        <w:top w:val="none" w:sz="0" w:space="0" w:color="auto"/>
        <w:left w:val="none" w:sz="0" w:space="0" w:color="auto"/>
        <w:bottom w:val="none" w:sz="0" w:space="0" w:color="auto"/>
        <w:right w:val="none" w:sz="0" w:space="0" w:color="auto"/>
      </w:divBdr>
    </w:div>
    <w:div w:id="774439896">
      <w:bodyDiv w:val="1"/>
      <w:marLeft w:val="0"/>
      <w:marRight w:val="0"/>
      <w:marTop w:val="0"/>
      <w:marBottom w:val="0"/>
      <w:divBdr>
        <w:top w:val="none" w:sz="0" w:space="0" w:color="auto"/>
        <w:left w:val="none" w:sz="0" w:space="0" w:color="auto"/>
        <w:bottom w:val="none" w:sz="0" w:space="0" w:color="auto"/>
        <w:right w:val="none" w:sz="0" w:space="0" w:color="auto"/>
      </w:divBdr>
    </w:div>
    <w:div w:id="120798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7bf0d80f0023ffee9acb28f73f654cad">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9af91a32605f1a0b98175085cbb96c9"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D5E88-ED70-4E5A-A4CC-B0CC402B168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462FA1A8-CE70-48E9-8EFC-E423E08C74F9}">
  <ds:schemaRefs>
    <ds:schemaRef ds:uri="http://schemas.microsoft.com/sharepoint/v3/contenttype/forms"/>
  </ds:schemaRefs>
</ds:datastoreItem>
</file>

<file path=customXml/itemProps3.xml><?xml version="1.0" encoding="utf-8"?>
<ds:datastoreItem xmlns:ds="http://schemas.openxmlformats.org/officeDocument/2006/customXml" ds:itemID="{F6D6BA83-63E5-474C-BBA0-7FC73E7865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31FA88-4CFE-413D-9B38-A8EDAEB03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Pages>
  <Words>6368</Words>
  <Characters>35028</Characters>
  <Application>Microsoft Office Word</Application>
  <DocSecurity>0</DocSecurity>
  <Lines>291</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David Vallejo</dc:creator>
  <cp:keywords/>
  <dc:description/>
  <cp:lastModifiedBy>Hermides Alonso Gaviria Ocampo</cp:lastModifiedBy>
  <cp:revision>15</cp:revision>
  <dcterms:created xsi:type="dcterms:W3CDTF">2022-02-28T22:15:00Z</dcterms:created>
  <dcterms:modified xsi:type="dcterms:W3CDTF">2022-04-27T20:46:00Z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