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74D0" w14:textId="77777777" w:rsidR="009B137F" w:rsidRPr="009B137F" w:rsidRDefault="009B137F" w:rsidP="009B137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93052694"/>
      <w:bookmarkStart w:id="1" w:name="_Hlk97791231"/>
      <w:bookmarkStart w:id="2" w:name="_Hlk106919831"/>
      <w:bookmarkStart w:id="3" w:name="_Hlk112680109"/>
      <w:r w:rsidRPr="009B13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6B589B" w14:textId="77777777" w:rsidR="009B137F" w:rsidRPr="009B137F" w:rsidRDefault="009B137F" w:rsidP="009B137F">
      <w:pPr>
        <w:spacing w:line="240" w:lineRule="auto"/>
        <w:rPr>
          <w:rFonts w:ascii="Arial" w:eastAsia="Times New Roman" w:hAnsi="Arial" w:cs="Arial"/>
          <w:sz w:val="20"/>
          <w:szCs w:val="20"/>
          <w:lang w:val="es-419" w:eastAsia="es-ES"/>
        </w:rPr>
      </w:pPr>
    </w:p>
    <w:p w14:paraId="0D9639B1" w14:textId="42F338B9" w:rsidR="009B137F" w:rsidRPr="009B137F" w:rsidRDefault="009B137F" w:rsidP="009B137F">
      <w:pPr>
        <w:spacing w:line="240" w:lineRule="auto"/>
        <w:rPr>
          <w:rFonts w:ascii="Arial" w:eastAsia="Tahoma" w:hAnsi="Arial" w:cs="Arial"/>
          <w:sz w:val="20"/>
          <w:szCs w:val="20"/>
          <w:lang w:val="es-CO" w:eastAsia="es-CO"/>
        </w:rPr>
      </w:pPr>
      <w:r w:rsidRPr="009B137F">
        <w:rPr>
          <w:rFonts w:ascii="Arial" w:eastAsia="Tahoma" w:hAnsi="Arial" w:cs="Arial"/>
          <w:sz w:val="20"/>
          <w:szCs w:val="20"/>
          <w:lang w:val="es-CO" w:eastAsia="es-CO"/>
        </w:rPr>
        <w:t>Radicación:</w:t>
      </w:r>
      <w:r>
        <w:rPr>
          <w:rFonts w:ascii="Arial" w:eastAsia="Tahoma" w:hAnsi="Arial" w:cs="Arial"/>
          <w:sz w:val="20"/>
          <w:szCs w:val="20"/>
          <w:lang w:val="es-CO" w:eastAsia="es-CO"/>
        </w:rPr>
        <w:tab/>
      </w:r>
      <w:r w:rsidRPr="009B137F">
        <w:rPr>
          <w:rFonts w:ascii="Arial" w:eastAsia="Tahoma" w:hAnsi="Arial" w:cs="Arial"/>
          <w:sz w:val="20"/>
          <w:szCs w:val="20"/>
          <w:lang w:val="es-CO" w:eastAsia="es-CO"/>
        </w:rPr>
        <w:t>66001-31-05-003-2018-00063-02</w:t>
      </w:r>
    </w:p>
    <w:p w14:paraId="572FF5D2" w14:textId="1986A758" w:rsidR="009B137F" w:rsidRPr="009B137F" w:rsidRDefault="009B137F" w:rsidP="009B137F">
      <w:pPr>
        <w:spacing w:line="240" w:lineRule="auto"/>
        <w:rPr>
          <w:rFonts w:ascii="Arial" w:eastAsia="Tahoma" w:hAnsi="Arial" w:cs="Arial"/>
          <w:sz w:val="20"/>
          <w:szCs w:val="20"/>
          <w:lang w:val="es-CO" w:eastAsia="es-CO"/>
        </w:rPr>
      </w:pPr>
      <w:r w:rsidRPr="009B137F">
        <w:rPr>
          <w:rFonts w:ascii="Arial" w:eastAsia="Tahoma" w:hAnsi="Arial" w:cs="Arial"/>
          <w:sz w:val="20"/>
          <w:szCs w:val="20"/>
          <w:lang w:val="es-CO" w:eastAsia="es-CO"/>
        </w:rPr>
        <w:t>Proceso:</w:t>
      </w:r>
      <w:r w:rsidRPr="009B137F">
        <w:rPr>
          <w:rFonts w:ascii="Arial" w:eastAsia="Tahoma" w:hAnsi="Arial" w:cs="Arial"/>
          <w:sz w:val="20"/>
          <w:szCs w:val="20"/>
          <w:lang w:val="es-CO" w:eastAsia="es-CO"/>
        </w:rPr>
        <w:tab/>
        <w:t xml:space="preserve">Ordinario Laboral </w:t>
      </w:r>
    </w:p>
    <w:p w14:paraId="65F64DCE" w14:textId="5DCE9B55" w:rsidR="009B137F" w:rsidRPr="009B137F" w:rsidRDefault="009B137F" w:rsidP="009B137F">
      <w:pPr>
        <w:spacing w:line="240" w:lineRule="auto"/>
        <w:rPr>
          <w:rFonts w:ascii="Arial" w:eastAsia="Tahoma" w:hAnsi="Arial" w:cs="Arial"/>
          <w:sz w:val="20"/>
          <w:szCs w:val="20"/>
          <w:lang w:val="es-CO" w:eastAsia="es-CO"/>
        </w:rPr>
      </w:pPr>
      <w:r w:rsidRPr="009B137F">
        <w:rPr>
          <w:rFonts w:ascii="Arial" w:eastAsia="Tahoma" w:hAnsi="Arial" w:cs="Arial"/>
          <w:sz w:val="20"/>
          <w:szCs w:val="20"/>
          <w:lang w:val="es-CO" w:eastAsia="es-CO"/>
        </w:rPr>
        <w:t>Demandante:</w:t>
      </w:r>
      <w:r w:rsidRPr="009B137F">
        <w:rPr>
          <w:rFonts w:ascii="Arial" w:eastAsia="Tahoma" w:hAnsi="Arial" w:cs="Arial"/>
          <w:sz w:val="20"/>
          <w:szCs w:val="20"/>
          <w:lang w:val="es-CO" w:eastAsia="es-CO"/>
        </w:rPr>
        <w:tab/>
        <w:t>Ángela María Hernández Cano</w:t>
      </w:r>
    </w:p>
    <w:p w14:paraId="3513D3D8" w14:textId="1489B394" w:rsidR="009B137F" w:rsidRPr="009B137F" w:rsidRDefault="009B137F" w:rsidP="009B137F">
      <w:pPr>
        <w:spacing w:line="240" w:lineRule="auto"/>
        <w:rPr>
          <w:rFonts w:ascii="Arial" w:eastAsia="Tahoma" w:hAnsi="Arial" w:cs="Arial"/>
          <w:sz w:val="20"/>
          <w:szCs w:val="20"/>
          <w:lang w:val="es-CO" w:eastAsia="es-CO"/>
        </w:rPr>
      </w:pPr>
      <w:r w:rsidRPr="009B137F">
        <w:rPr>
          <w:rFonts w:ascii="Arial" w:eastAsia="Tahoma" w:hAnsi="Arial" w:cs="Arial"/>
          <w:sz w:val="20"/>
          <w:szCs w:val="20"/>
          <w:lang w:val="es-CO" w:eastAsia="es-CO"/>
        </w:rPr>
        <w:t>Demandado:</w:t>
      </w:r>
      <w:r w:rsidRPr="009B137F">
        <w:rPr>
          <w:rFonts w:ascii="Arial" w:eastAsia="Tahoma" w:hAnsi="Arial" w:cs="Arial"/>
          <w:sz w:val="20"/>
          <w:szCs w:val="20"/>
          <w:lang w:val="es-CO" w:eastAsia="es-CO"/>
        </w:rPr>
        <w:tab/>
        <w:t xml:space="preserve">Telemark </w:t>
      </w:r>
      <w:proofErr w:type="spellStart"/>
      <w:r w:rsidRPr="009B137F">
        <w:rPr>
          <w:rFonts w:ascii="Arial" w:eastAsia="Tahoma" w:hAnsi="Arial" w:cs="Arial"/>
          <w:sz w:val="20"/>
          <w:szCs w:val="20"/>
          <w:lang w:val="es-CO" w:eastAsia="es-CO"/>
        </w:rPr>
        <w:t>Spain</w:t>
      </w:r>
      <w:proofErr w:type="spellEnd"/>
      <w:r w:rsidRPr="009B137F">
        <w:rPr>
          <w:rFonts w:ascii="Arial" w:eastAsia="Tahoma" w:hAnsi="Arial" w:cs="Arial"/>
          <w:sz w:val="20"/>
          <w:szCs w:val="20"/>
          <w:lang w:val="es-CO" w:eastAsia="es-CO"/>
        </w:rPr>
        <w:t xml:space="preserve"> SL.</w:t>
      </w:r>
    </w:p>
    <w:p w14:paraId="54B2D08C" w14:textId="4E628074" w:rsidR="009B137F" w:rsidRPr="009B137F" w:rsidRDefault="009B137F" w:rsidP="009B137F">
      <w:pPr>
        <w:spacing w:line="240" w:lineRule="auto"/>
        <w:rPr>
          <w:rFonts w:ascii="Arial" w:eastAsia="Tahoma" w:hAnsi="Arial" w:cs="Arial"/>
          <w:sz w:val="20"/>
          <w:szCs w:val="20"/>
          <w:lang w:val="es-CO" w:eastAsia="es-CO"/>
        </w:rPr>
      </w:pPr>
      <w:r w:rsidRPr="009B137F">
        <w:rPr>
          <w:rFonts w:ascii="Arial" w:eastAsia="Tahoma" w:hAnsi="Arial" w:cs="Arial"/>
          <w:sz w:val="20"/>
          <w:szCs w:val="20"/>
          <w:lang w:val="es-CO" w:eastAsia="es-CO"/>
        </w:rPr>
        <w:t>Juzgado:</w:t>
      </w:r>
      <w:r w:rsidRPr="009B137F">
        <w:rPr>
          <w:rFonts w:ascii="Arial" w:eastAsia="Tahoma" w:hAnsi="Arial" w:cs="Arial"/>
          <w:sz w:val="20"/>
          <w:szCs w:val="20"/>
          <w:lang w:val="es-CO" w:eastAsia="es-CO"/>
        </w:rPr>
        <w:tab/>
        <w:t>Tercero Laboral del Circuito de Pereira</w:t>
      </w:r>
    </w:p>
    <w:p w14:paraId="64243184" w14:textId="77777777" w:rsidR="009B137F" w:rsidRPr="009B137F" w:rsidRDefault="009B137F" w:rsidP="009B137F">
      <w:pPr>
        <w:spacing w:line="240" w:lineRule="auto"/>
        <w:rPr>
          <w:rFonts w:ascii="Arial" w:eastAsia="Tahoma" w:hAnsi="Arial" w:cs="Arial"/>
          <w:color w:val="000000"/>
          <w:sz w:val="20"/>
          <w:szCs w:val="20"/>
          <w:lang w:eastAsia="es-CO"/>
        </w:rPr>
      </w:pPr>
    </w:p>
    <w:p w14:paraId="5B8C875E" w14:textId="6CBDB454" w:rsidR="009B137F" w:rsidRPr="009B137F" w:rsidRDefault="00F35B36" w:rsidP="009B137F">
      <w:pPr>
        <w:spacing w:line="240" w:lineRule="auto"/>
        <w:rPr>
          <w:rFonts w:ascii="Arial" w:eastAsia="Times New Roman" w:hAnsi="Arial" w:cs="Arial"/>
          <w:b/>
          <w:bCs/>
          <w:iCs/>
          <w:sz w:val="20"/>
          <w:szCs w:val="20"/>
          <w:lang w:val="es-419" w:eastAsia="fr-FR"/>
        </w:rPr>
      </w:pPr>
      <w:bookmarkStart w:id="4" w:name="_GoBack"/>
      <w:bookmarkEnd w:id="0"/>
      <w:bookmarkEnd w:id="1"/>
      <w:r w:rsidRPr="009B137F">
        <w:rPr>
          <w:rFonts w:ascii="Arial" w:eastAsia="Times New Roman" w:hAnsi="Arial" w:cs="Arial"/>
          <w:b/>
          <w:bCs/>
          <w:iCs/>
          <w:sz w:val="20"/>
          <w:szCs w:val="20"/>
          <w:u w:val="single"/>
          <w:lang w:val="es-419" w:eastAsia="fr-FR"/>
        </w:rPr>
        <w:t>TEMAS:</w:t>
      </w:r>
      <w:r w:rsidRPr="009B137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PRESCRIPCIÓN / INTERRUPCIÓN / CAUSALES / RECLAMO ESCRITO DEL TRABAJADOR / PRESENTACIÓN DE LA DEMANDA Y NOTIFICACIÓN EN UN AÑO / ARTÍCULO 94 DEL CÓDIGO GENERAL DEL PROCESO / NO APLICA SI LA TARDANZA NO ES IMPUTABLE AL DEMANDANTE.</w:t>
      </w:r>
    </w:p>
    <w:bookmarkEnd w:id="4"/>
    <w:p w14:paraId="39320900" w14:textId="77777777" w:rsidR="009B137F" w:rsidRPr="009B137F" w:rsidRDefault="009B137F" w:rsidP="009B137F">
      <w:pPr>
        <w:spacing w:line="240" w:lineRule="auto"/>
        <w:rPr>
          <w:rFonts w:ascii="Arial" w:eastAsia="Times New Roman" w:hAnsi="Arial" w:cs="Arial"/>
          <w:sz w:val="20"/>
          <w:szCs w:val="20"/>
          <w:lang w:val="es-419" w:eastAsia="es-ES"/>
        </w:rPr>
      </w:pPr>
    </w:p>
    <w:p w14:paraId="4F901566" w14:textId="361759F9" w:rsidR="009B137F" w:rsidRPr="009B137F" w:rsidRDefault="00BF6FA9" w:rsidP="009B137F">
      <w:pPr>
        <w:spacing w:line="240" w:lineRule="auto"/>
        <w:rPr>
          <w:rFonts w:ascii="Arial" w:eastAsia="Times New Roman" w:hAnsi="Arial" w:cs="Arial"/>
          <w:sz w:val="20"/>
          <w:szCs w:val="20"/>
          <w:lang w:val="es-419" w:eastAsia="es-ES"/>
        </w:rPr>
      </w:pPr>
      <w:r w:rsidRPr="00BF6FA9">
        <w:rPr>
          <w:rFonts w:ascii="Arial" w:eastAsia="Times New Roman" w:hAnsi="Arial" w:cs="Arial"/>
          <w:sz w:val="20"/>
          <w:szCs w:val="20"/>
          <w:lang w:val="es-419" w:eastAsia="es-ES"/>
        </w:rPr>
        <w:t>Los artículos 151 del Código Procesal del Trabajo y de la Seguridad Social, 488 y 489 del Código Sustantivo del Trabajo, preceptúan que las acciones correspondientes a los derechos laborales prescriben en tres (3) años contados a partir de la exigibilidad de cada acreencia</w:t>
      </w:r>
      <w:r w:rsidR="009327F9">
        <w:rPr>
          <w:rFonts w:ascii="Arial" w:eastAsia="Times New Roman" w:hAnsi="Arial" w:cs="Arial"/>
          <w:sz w:val="20"/>
          <w:szCs w:val="20"/>
          <w:lang w:val="es-419" w:eastAsia="es-ES"/>
        </w:rPr>
        <w:t>…</w:t>
      </w:r>
    </w:p>
    <w:p w14:paraId="6591C012" w14:textId="77777777" w:rsidR="009B137F" w:rsidRPr="009B137F" w:rsidRDefault="009B137F" w:rsidP="009B137F">
      <w:pPr>
        <w:spacing w:line="240" w:lineRule="auto"/>
        <w:rPr>
          <w:rFonts w:ascii="Arial" w:eastAsia="Times New Roman" w:hAnsi="Arial" w:cs="Arial"/>
          <w:sz w:val="20"/>
          <w:szCs w:val="20"/>
          <w:lang w:val="es-419" w:eastAsia="es-ES"/>
        </w:rPr>
      </w:pPr>
    </w:p>
    <w:p w14:paraId="23826076" w14:textId="25F882BB" w:rsidR="009B137F" w:rsidRDefault="009327F9" w:rsidP="009B137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327F9">
        <w:rPr>
          <w:rFonts w:ascii="Arial" w:eastAsia="Times New Roman" w:hAnsi="Arial" w:cs="Arial"/>
          <w:sz w:val="20"/>
          <w:szCs w:val="20"/>
          <w:lang w:val="es-419" w:eastAsia="es-ES"/>
        </w:rPr>
        <w:t>el artículo 94 del Código General del Proceso</w:t>
      </w:r>
      <w:r>
        <w:rPr>
          <w:rFonts w:ascii="Arial" w:eastAsia="Times New Roman" w:hAnsi="Arial" w:cs="Arial"/>
          <w:sz w:val="20"/>
          <w:szCs w:val="20"/>
          <w:lang w:val="es-419" w:eastAsia="es-ES"/>
        </w:rPr>
        <w:t>…</w:t>
      </w:r>
      <w:r w:rsidRPr="009327F9">
        <w:rPr>
          <w:rFonts w:ascii="Arial" w:eastAsia="Times New Roman" w:hAnsi="Arial" w:cs="Arial"/>
          <w:sz w:val="20"/>
          <w:szCs w:val="20"/>
          <w:lang w:val="es-419" w:eastAsia="es-ES"/>
        </w:rPr>
        <w:t xml:space="preserve"> contempla la posibilidad de que el término de tres (3) años se entienda interrumpido desde la fecha de radicación de la demanda, siempre que el auto admisorio de aquella</w:t>
      </w:r>
      <w:r>
        <w:rPr>
          <w:rFonts w:ascii="Arial" w:eastAsia="Times New Roman" w:hAnsi="Arial" w:cs="Arial"/>
          <w:sz w:val="20"/>
          <w:szCs w:val="20"/>
          <w:lang w:val="es-419" w:eastAsia="es-ES"/>
        </w:rPr>
        <w:t>…</w:t>
      </w:r>
      <w:r w:rsidRPr="009327F9">
        <w:rPr>
          <w:rFonts w:ascii="Arial" w:eastAsia="Times New Roman" w:hAnsi="Arial" w:cs="Arial"/>
          <w:sz w:val="20"/>
          <w:szCs w:val="20"/>
          <w:lang w:val="es-419" w:eastAsia="es-ES"/>
        </w:rPr>
        <w:t xml:space="preserve"> “se notifique al demandado dentro del término de un (1) año contado a partir del día siguiente a la notificación de tales providencias al demandante”</w:t>
      </w:r>
      <w:r>
        <w:rPr>
          <w:rFonts w:ascii="Arial" w:eastAsia="Times New Roman" w:hAnsi="Arial" w:cs="Arial"/>
          <w:sz w:val="20"/>
          <w:szCs w:val="20"/>
          <w:lang w:val="es-419" w:eastAsia="es-ES"/>
        </w:rPr>
        <w:t xml:space="preserve"> …</w:t>
      </w:r>
    </w:p>
    <w:p w14:paraId="40B83F98" w14:textId="776C7A17" w:rsidR="009327F9" w:rsidRDefault="009327F9" w:rsidP="009B137F">
      <w:pPr>
        <w:spacing w:line="240" w:lineRule="auto"/>
        <w:rPr>
          <w:rFonts w:ascii="Arial" w:eastAsia="Times New Roman" w:hAnsi="Arial" w:cs="Arial"/>
          <w:sz w:val="20"/>
          <w:szCs w:val="20"/>
          <w:lang w:val="es-419" w:eastAsia="es-ES"/>
        </w:rPr>
      </w:pPr>
    </w:p>
    <w:p w14:paraId="13AC90D3" w14:textId="5462BAEB" w:rsidR="00AA0313" w:rsidRPr="00AA0313" w:rsidRDefault="00AA0313" w:rsidP="00AA0313">
      <w:pPr>
        <w:spacing w:line="240" w:lineRule="auto"/>
        <w:rPr>
          <w:rFonts w:ascii="Arial" w:eastAsia="Times New Roman" w:hAnsi="Arial" w:cs="Arial"/>
          <w:sz w:val="20"/>
          <w:szCs w:val="20"/>
          <w:lang w:val="es-419" w:eastAsia="es-ES"/>
        </w:rPr>
      </w:pPr>
      <w:r w:rsidRPr="00AA0313">
        <w:rPr>
          <w:rFonts w:ascii="Arial" w:eastAsia="Times New Roman" w:hAnsi="Arial" w:cs="Arial"/>
          <w:sz w:val="20"/>
          <w:szCs w:val="20"/>
          <w:lang w:val="es-419" w:eastAsia="es-ES"/>
        </w:rPr>
        <w:t>Conforme a lo anterior, la prescripción de las acciones laborales puede ser interrumpida a través de dos mecanismos diferentes y no excluyentes: la extrajudicial, mediante la presentación al empleador del simple reclamo escrito por el trabajador</w:t>
      </w:r>
      <w:r>
        <w:rPr>
          <w:rFonts w:ascii="Arial" w:eastAsia="Times New Roman" w:hAnsi="Arial" w:cs="Arial"/>
          <w:sz w:val="20"/>
          <w:szCs w:val="20"/>
          <w:lang w:val="es-419" w:eastAsia="es-ES"/>
        </w:rPr>
        <w:t>…</w:t>
      </w:r>
      <w:r w:rsidRPr="00AA0313">
        <w:rPr>
          <w:rFonts w:ascii="Arial" w:eastAsia="Times New Roman" w:hAnsi="Arial" w:cs="Arial"/>
          <w:sz w:val="20"/>
          <w:szCs w:val="20"/>
          <w:lang w:val="es-419" w:eastAsia="es-ES"/>
        </w:rPr>
        <w:t>; y con la presentación de la demanda, en los términos y condiciones señaladas por el artículo 94 del Código General del Proceso</w:t>
      </w:r>
      <w:r w:rsidR="003A3248">
        <w:rPr>
          <w:rFonts w:ascii="Arial" w:eastAsia="Times New Roman" w:hAnsi="Arial" w:cs="Arial"/>
          <w:sz w:val="20"/>
          <w:szCs w:val="20"/>
          <w:lang w:val="es-419" w:eastAsia="es-ES"/>
        </w:rPr>
        <w:t>…</w:t>
      </w:r>
    </w:p>
    <w:p w14:paraId="5E3C97DD" w14:textId="77777777" w:rsidR="00AA0313" w:rsidRPr="00AA0313" w:rsidRDefault="00AA0313" w:rsidP="00AA0313">
      <w:pPr>
        <w:spacing w:line="240" w:lineRule="auto"/>
        <w:rPr>
          <w:rFonts w:ascii="Arial" w:eastAsia="Times New Roman" w:hAnsi="Arial" w:cs="Arial"/>
          <w:sz w:val="20"/>
          <w:szCs w:val="20"/>
          <w:lang w:val="es-419" w:eastAsia="es-ES"/>
        </w:rPr>
      </w:pPr>
    </w:p>
    <w:p w14:paraId="1794B653" w14:textId="48597923" w:rsidR="009327F9" w:rsidRDefault="00AA0313" w:rsidP="00AA0313">
      <w:pPr>
        <w:spacing w:line="240" w:lineRule="auto"/>
        <w:rPr>
          <w:rFonts w:ascii="Arial" w:eastAsia="Times New Roman" w:hAnsi="Arial" w:cs="Arial"/>
          <w:sz w:val="20"/>
          <w:szCs w:val="20"/>
          <w:lang w:val="es-419" w:eastAsia="es-ES"/>
        </w:rPr>
      </w:pPr>
      <w:r w:rsidRPr="00AA0313">
        <w:rPr>
          <w:rFonts w:ascii="Arial" w:eastAsia="Times New Roman" w:hAnsi="Arial" w:cs="Arial"/>
          <w:sz w:val="20"/>
          <w:szCs w:val="20"/>
          <w:lang w:val="es-419" w:eastAsia="es-ES"/>
        </w:rPr>
        <w:t>No obstante, la aplicación del artículo 94 del CGP no opera de forma automática, pues resulta desproporcionado predicar la ineficacia de la interrupción de la prescripción cuando el demandante es diligente en la formulación oportuna de la demanda, pero por razones por razones ajenas o no imputables exclusivamente a él</w:t>
      </w:r>
      <w:r w:rsidR="003A3248">
        <w:rPr>
          <w:rFonts w:ascii="Arial" w:eastAsia="Times New Roman" w:hAnsi="Arial" w:cs="Arial"/>
          <w:sz w:val="20"/>
          <w:szCs w:val="20"/>
          <w:lang w:val="es-419" w:eastAsia="es-ES"/>
        </w:rPr>
        <w:t>…</w:t>
      </w:r>
      <w:r w:rsidRPr="00AA0313">
        <w:rPr>
          <w:rFonts w:ascii="Arial" w:eastAsia="Times New Roman" w:hAnsi="Arial" w:cs="Arial"/>
          <w:sz w:val="20"/>
          <w:szCs w:val="20"/>
          <w:lang w:val="es-419" w:eastAsia="es-ES"/>
        </w:rPr>
        <w:t>, se ve obligado a acudir a una u otra sede judicial; en tales casos, la interrupción de la prescripción por la presentación oportuna de la demanda produce todos sus efectos</w:t>
      </w:r>
      <w:r>
        <w:rPr>
          <w:rFonts w:ascii="Arial" w:eastAsia="Times New Roman" w:hAnsi="Arial" w:cs="Arial"/>
          <w:sz w:val="20"/>
          <w:szCs w:val="20"/>
          <w:lang w:val="es-419" w:eastAsia="es-ES"/>
        </w:rPr>
        <w:t>…</w:t>
      </w:r>
    </w:p>
    <w:p w14:paraId="4831BCCC" w14:textId="2B891BB8" w:rsidR="009327F9" w:rsidRDefault="009327F9" w:rsidP="009B137F">
      <w:pPr>
        <w:spacing w:line="240" w:lineRule="auto"/>
        <w:rPr>
          <w:rFonts w:ascii="Arial" w:eastAsia="Times New Roman" w:hAnsi="Arial" w:cs="Arial"/>
          <w:sz w:val="20"/>
          <w:szCs w:val="20"/>
          <w:lang w:val="es-419" w:eastAsia="es-ES"/>
        </w:rPr>
      </w:pPr>
    </w:p>
    <w:p w14:paraId="45F919D1" w14:textId="34FC8947" w:rsidR="003A3248" w:rsidRPr="009B137F" w:rsidRDefault="003A3248" w:rsidP="009B137F">
      <w:pPr>
        <w:spacing w:line="240" w:lineRule="auto"/>
        <w:rPr>
          <w:rFonts w:ascii="Arial" w:eastAsia="Times New Roman" w:hAnsi="Arial" w:cs="Arial"/>
          <w:sz w:val="20"/>
          <w:szCs w:val="20"/>
          <w:lang w:val="es-419" w:eastAsia="es-ES"/>
        </w:rPr>
      </w:pPr>
      <w:r w:rsidRPr="003A3248">
        <w:rPr>
          <w:rFonts w:ascii="Arial" w:eastAsia="Times New Roman" w:hAnsi="Arial" w:cs="Arial"/>
          <w:sz w:val="20"/>
          <w:szCs w:val="20"/>
          <w:lang w:val="es-419" w:eastAsia="es-ES"/>
        </w:rPr>
        <w:t>Asimismo, la Corte Suprema de Justicia</w:t>
      </w:r>
      <w:r>
        <w:rPr>
          <w:rFonts w:ascii="Arial" w:eastAsia="Times New Roman" w:hAnsi="Arial" w:cs="Arial"/>
          <w:sz w:val="20"/>
          <w:szCs w:val="20"/>
          <w:lang w:val="es-419" w:eastAsia="es-ES"/>
        </w:rPr>
        <w:t>…</w:t>
      </w:r>
      <w:r w:rsidRPr="003A3248">
        <w:rPr>
          <w:rFonts w:ascii="Arial" w:eastAsia="Times New Roman" w:hAnsi="Arial" w:cs="Arial"/>
          <w:sz w:val="20"/>
          <w:szCs w:val="20"/>
          <w:lang w:val="es-419" w:eastAsia="es-ES"/>
        </w:rPr>
        <w:t xml:space="preserve"> ha adoctrinado que dicha disposición procesal tampoco aplica cuando la notificación no se efectúa oportunamente por negligencia del juzgado, o por actividad elusiva del demandado, como quiera que esa eventualidad no puede redundar en perjuicio del promotor del litigio que ha actuado diligentemente</w:t>
      </w:r>
      <w:r>
        <w:rPr>
          <w:rFonts w:ascii="Arial" w:eastAsia="Times New Roman" w:hAnsi="Arial" w:cs="Arial"/>
          <w:sz w:val="20"/>
          <w:szCs w:val="20"/>
          <w:lang w:val="es-419" w:eastAsia="es-ES"/>
        </w:rPr>
        <w:t>…</w:t>
      </w:r>
    </w:p>
    <w:p w14:paraId="5BBB5440" w14:textId="1041C94C" w:rsidR="009B137F" w:rsidRDefault="009B137F" w:rsidP="009B137F">
      <w:pPr>
        <w:spacing w:line="240" w:lineRule="auto"/>
        <w:rPr>
          <w:rFonts w:ascii="Arial" w:eastAsia="Times New Roman" w:hAnsi="Arial" w:cs="Arial"/>
          <w:sz w:val="20"/>
          <w:szCs w:val="20"/>
          <w:lang w:val="es-419" w:eastAsia="es-ES"/>
        </w:rPr>
      </w:pPr>
    </w:p>
    <w:p w14:paraId="46D42693" w14:textId="77777777" w:rsidR="003A3248" w:rsidRPr="009B137F" w:rsidRDefault="003A3248" w:rsidP="009B137F">
      <w:pPr>
        <w:spacing w:line="240" w:lineRule="auto"/>
        <w:rPr>
          <w:rFonts w:ascii="Arial" w:eastAsia="Times New Roman" w:hAnsi="Arial" w:cs="Arial"/>
          <w:sz w:val="20"/>
          <w:szCs w:val="20"/>
          <w:lang w:val="es-419" w:eastAsia="es-ES"/>
        </w:rPr>
      </w:pPr>
    </w:p>
    <w:p w14:paraId="4F7127C8" w14:textId="77777777" w:rsidR="009B137F" w:rsidRPr="009B137F" w:rsidRDefault="009B137F" w:rsidP="009B137F">
      <w:pPr>
        <w:spacing w:line="240" w:lineRule="auto"/>
        <w:rPr>
          <w:rFonts w:ascii="Arial" w:eastAsia="Times New Roman" w:hAnsi="Arial" w:cs="Arial"/>
          <w:sz w:val="20"/>
          <w:szCs w:val="20"/>
          <w:lang w:val="es-419" w:eastAsia="es-ES"/>
        </w:rPr>
      </w:pPr>
    </w:p>
    <w:bookmarkEnd w:id="2"/>
    <w:bookmarkEnd w:id="3"/>
    <w:p w14:paraId="113FDB76" w14:textId="77777777" w:rsidR="00B02A64" w:rsidRPr="009B137F" w:rsidRDefault="00B02A64" w:rsidP="009B137F">
      <w:pPr>
        <w:pStyle w:val="Ttulo4"/>
        <w:widowControl w:val="0"/>
        <w:tabs>
          <w:tab w:val="clear" w:pos="0"/>
        </w:tabs>
        <w:spacing w:line="276" w:lineRule="auto"/>
        <w:ind w:left="709" w:right="845"/>
        <w:rPr>
          <w:rFonts w:ascii="Tahoma" w:hAnsi="Tahoma" w:cs="Tahoma"/>
          <w:bCs/>
          <w:szCs w:val="24"/>
          <w:lang w:eastAsia="es-MX"/>
        </w:rPr>
      </w:pPr>
      <w:r w:rsidRPr="009B137F">
        <w:rPr>
          <w:rFonts w:ascii="Tahoma" w:hAnsi="Tahoma" w:cs="Tahoma"/>
          <w:bCs/>
          <w:szCs w:val="24"/>
          <w:lang w:eastAsia="es-MX"/>
        </w:rPr>
        <w:t>TRIBUNAL SUPERIOR DEL DISTRITO JUDICIAL DE PEREIRA</w:t>
      </w:r>
    </w:p>
    <w:p w14:paraId="59D2FB15" w14:textId="77777777" w:rsidR="00B02A64" w:rsidRPr="009B137F" w:rsidRDefault="00B02A64" w:rsidP="009B137F">
      <w:pPr>
        <w:pStyle w:val="Ttulo4"/>
        <w:widowControl w:val="0"/>
        <w:tabs>
          <w:tab w:val="clear" w:pos="0"/>
        </w:tabs>
        <w:spacing w:line="276" w:lineRule="auto"/>
        <w:ind w:left="709" w:right="845"/>
        <w:rPr>
          <w:rFonts w:ascii="Tahoma" w:hAnsi="Tahoma" w:cs="Tahoma"/>
          <w:bCs/>
          <w:szCs w:val="24"/>
          <w:lang w:eastAsia="es-MX"/>
        </w:rPr>
      </w:pPr>
      <w:r w:rsidRPr="009B137F">
        <w:rPr>
          <w:rFonts w:ascii="Tahoma" w:hAnsi="Tahoma" w:cs="Tahoma"/>
          <w:bCs/>
          <w:szCs w:val="24"/>
          <w:lang w:eastAsia="es-MX"/>
        </w:rPr>
        <w:t xml:space="preserve">SALA PRIMERA DE DECISION LABORAL </w:t>
      </w:r>
    </w:p>
    <w:p w14:paraId="0DF73DD5" w14:textId="77777777" w:rsidR="00B02A64" w:rsidRPr="009B137F" w:rsidRDefault="00B02A64" w:rsidP="009B137F">
      <w:pPr>
        <w:spacing w:line="276" w:lineRule="auto"/>
        <w:jc w:val="center"/>
        <w:rPr>
          <w:rFonts w:cs="Tahoma"/>
          <w:bCs/>
          <w:szCs w:val="24"/>
        </w:rPr>
      </w:pPr>
    </w:p>
    <w:p w14:paraId="610BC8C1" w14:textId="77777777" w:rsidR="00B02A64" w:rsidRPr="009B137F" w:rsidRDefault="00B02A64" w:rsidP="009B137F">
      <w:pPr>
        <w:spacing w:line="276" w:lineRule="auto"/>
        <w:jc w:val="center"/>
        <w:textAlignment w:val="baseline"/>
        <w:rPr>
          <w:rFonts w:eastAsia="Times New Roman" w:cs="Tahoma"/>
          <w:szCs w:val="24"/>
          <w:lang w:eastAsia="es-CO"/>
        </w:rPr>
      </w:pPr>
      <w:r w:rsidRPr="009B137F">
        <w:rPr>
          <w:rFonts w:eastAsia="Times New Roman" w:cs="Tahoma"/>
          <w:szCs w:val="24"/>
          <w:lang w:eastAsia="es-CO"/>
        </w:rPr>
        <w:t>Magistrada Ponente: </w:t>
      </w:r>
      <w:r w:rsidRPr="009B137F">
        <w:rPr>
          <w:rFonts w:eastAsia="Times New Roman" w:cs="Tahoma"/>
          <w:b/>
          <w:bCs/>
          <w:szCs w:val="24"/>
          <w:lang w:eastAsia="es-CO"/>
        </w:rPr>
        <w:t>Ana Lucía Caicedo Calderón</w:t>
      </w:r>
      <w:r w:rsidRPr="009B137F">
        <w:rPr>
          <w:rFonts w:eastAsia="Times New Roman" w:cs="Tahoma"/>
          <w:szCs w:val="24"/>
          <w:lang w:eastAsia="es-CO"/>
        </w:rPr>
        <w:t> </w:t>
      </w:r>
    </w:p>
    <w:p w14:paraId="1C216CAE" w14:textId="77777777" w:rsidR="00B02A64" w:rsidRPr="009B137F" w:rsidRDefault="00B02A64" w:rsidP="009B137F">
      <w:pPr>
        <w:spacing w:line="276" w:lineRule="auto"/>
        <w:jc w:val="center"/>
        <w:textAlignment w:val="baseline"/>
        <w:rPr>
          <w:rFonts w:eastAsia="Times New Roman" w:cs="Tahoma"/>
          <w:szCs w:val="24"/>
          <w:lang w:eastAsia="es-CO"/>
        </w:rPr>
      </w:pPr>
      <w:r w:rsidRPr="009B137F">
        <w:rPr>
          <w:rFonts w:eastAsia="Times New Roman" w:cs="Tahoma"/>
          <w:szCs w:val="24"/>
          <w:lang w:eastAsia="es-CO"/>
        </w:rPr>
        <w:t> </w:t>
      </w:r>
    </w:p>
    <w:p w14:paraId="49531D83" w14:textId="18F6C93C" w:rsidR="00B02A64" w:rsidRPr="009B137F" w:rsidRDefault="00B02A64" w:rsidP="009B137F">
      <w:pPr>
        <w:spacing w:line="276" w:lineRule="auto"/>
        <w:jc w:val="center"/>
        <w:textAlignment w:val="baseline"/>
        <w:rPr>
          <w:rFonts w:eastAsia="Times New Roman" w:cs="Tahoma"/>
          <w:szCs w:val="24"/>
          <w:lang w:eastAsia="es-CO"/>
        </w:rPr>
      </w:pPr>
      <w:r w:rsidRPr="009B137F">
        <w:rPr>
          <w:rFonts w:eastAsia="Times New Roman" w:cs="Tahoma"/>
          <w:szCs w:val="24"/>
          <w:lang w:eastAsia="es-CO"/>
        </w:rPr>
        <w:t xml:space="preserve">Pereira, Risaralda, </w:t>
      </w:r>
      <w:r w:rsidR="007D7602" w:rsidRPr="009B137F">
        <w:rPr>
          <w:rFonts w:eastAsia="Times New Roman" w:cs="Tahoma"/>
          <w:szCs w:val="24"/>
          <w:lang w:eastAsia="es-CO"/>
        </w:rPr>
        <w:t>once</w:t>
      </w:r>
      <w:r w:rsidR="00DE71A9" w:rsidRPr="009B137F">
        <w:rPr>
          <w:rFonts w:eastAsia="Times New Roman" w:cs="Tahoma"/>
          <w:szCs w:val="24"/>
          <w:lang w:eastAsia="es-CO"/>
        </w:rPr>
        <w:t xml:space="preserve"> (1</w:t>
      </w:r>
      <w:r w:rsidR="007D7602" w:rsidRPr="009B137F">
        <w:rPr>
          <w:rFonts w:eastAsia="Times New Roman" w:cs="Tahoma"/>
          <w:szCs w:val="24"/>
          <w:lang w:eastAsia="es-CO"/>
        </w:rPr>
        <w:t>1</w:t>
      </w:r>
      <w:r w:rsidR="00DE71A9" w:rsidRPr="009B137F">
        <w:rPr>
          <w:rFonts w:eastAsia="Times New Roman" w:cs="Tahoma"/>
          <w:szCs w:val="24"/>
          <w:lang w:eastAsia="es-CO"/>
        </w:rPr>
        <w:t>) de julio</w:t>
      </w:r>
      <w:r w:rsidRPr="009B137F">
        <w:rPr>
          <w:rFonts w:eastAsia="Times New Roman" w:cs="Tahoma"/>
          <w:szCs w:val="24"/>
          <w:lang w:eastAsia="es-CO"/>
        </w:rPr>
        <w:t xml:space="preserve"> de dos mil </w:t>
      </w:r>
      <w:r w:rsidR="00FF4D0E" w:rsidRPr="009B137F">
        <w:rPr>
          <w:rFonts w:eastAsia="Times New Roman" w:cs="Tahoma"/>
          <w:szCs w:val="24"/>
          <w:lang w:eastAsia="es-CO"/>
        </w:rPr>
        <w:t>veintidós</w:t>
      </w:r>
      <w:r w:rsidRPr="009B137F">
        <w:rPr>
          <w:rFonts w:eastAsia="Times New Roman" w:cs="Tahoma"/>
          <w:szCs w:val="24"/>
          <w:lang w:eastAsia="es-CO"/>
        </w:rPr>
        <w:t xml:space="preserve"> (202</w:t>
      </w:r>
      <w:r w:rsidR="00FF4D0E" w:rsidRPr="009B137F">
        <w:rPr>
          <w:rFonts w:eastAsia="Times New Roman" w:cs="Tahoma"/>
          <w:szCs w:val="24"/>
          <w:lang w:eastAsia="es-CO"/>
        </w:rPr>
        <w:t>2</w:t>
      </w:r>
      <w:r w:rsidRPr="009B137F">
        <w:rPr>
          <w:rFonts w:eastAsia="Times New Roman" w:cs="Tahoma"/>
          <w:szCs w:val="24"/>
          <w:lang w:eastAsia="es-CO"/>
        </w:rPr>
        <w:t>)  </w:t>
      </w:r>
    </w:p>
    <w:p w14:paraId="149FFD50" w14:textId="22C54EF6" w:rsidR="00B02A64" w:rsidRPr="009B137F" w:rsidRDefault="00B02A64" w:rsidP="009B137F">
      <w:pPr>
        <w:spacing w:line="276" w:lineRule="auto"/>
        <w:jc w:val="center"/>
        <w:textAlignment w:val="baseline"/>
        <w:rPr>
          <w:rFonts w:eastAsia="Times New Roman" w:cs="Tahoma"/>
          <w:szCs w:val="24"/>
          <w:lang w:eastAsia="es-CO"/>
        </w:rPr>
      </w:pPr>
      <w:r w:rsidRPr="009B137F">
        <w:rPr>
          <w:rFonts w:eastAsia="Times New Roman" w:cs="Tahoma"/>
          <w:szCs w:val="24"/>
          <w:lang w:eastAsia="es-CO"/>
        </w:rPr>
        <w:t> Acta No. </w:t>
      </w:r>
      <w:r w:rsidR="00566CB2" w:rsidRPr="009B137F">
        <w:rPr>
          <w:rFonts w:eastAsia="Times New Roman" w:cs="Tahoma"/>
          <w:szCs w:val="24"/>
          <w:lang w:eastAsia="es-CO"/>
        </w:rPr>
        <w:t>102</w:t>
      </w:r>
      <w:r w:rsidRPr="009B137F">
        <w:rPr>
          <w:rFonts w:eastAsia="Times New Roman" w:cs="Tahoma"/>
          <w:szCs w:val="24"/>
          <w:lang w:eastAsia="es-CO"/>
        </w:rPr>
        <w:t xml:space="preserve"> del </w:t>
      </w:r>
      <w:r w:rsidR="007D7602" w:rsidRPr="009B137F">
        <w:rPr>
          <w:rFonts w:eastAsia="Times New Roman" w:cs="Tahoma"/>
          <w:szCs w:val="24"/>
          <w:lang w:eastAsia="es-CO"/>
        </w:rPr>
        <w:t>7</w:t>
      </w:r>
      <w:r w:rsidRPr="009B137F">
        <w:rPr>
          <w:rFonts w:eastAsia="Times New Roman" w:cs="Tahoma"/>
          <w:szCs w:val="24"/>
          <w:lang w:eastAsia="es-CO"/>
        </w:rPr>
        <w:t xml:space="preserve"> de </w:t>
      </w:r>
      <w:r w:rsidR="00CD6591" w:rsidRPr="009B137F">
        <w:rPr>
          <w:rFonts w:eastAsia="Times New Roman" w:cs="Tahoma"/>
          <w:szCs w:val="24"/>
          <w:lang w:eastAsia="es-CO"/>
        </w:rPr>
        <w:t>ju</w:t>
      </w:r>
      <w:r w:rsidR="007D7602" w:rsidRPr="009B137F">
        <w:rPr>
          <w:rFonts w:eastAsia="Times New Roman" w:cs="Tahoma"/>
          <w:szCs w:val="24"/>
          <w:lang w:eastAsia="es-CO"/>
        </w:rPr>
        <w:t>l</w:t>
      </w:r>
      <w:r w:rsidR="00CD6591" w:rsidRPr="009B137F">
        <w:rPr>
          <w:rFonts w:eastAsia="Times New Roman" w:cs="Tahoma"/>
          <w:szCs w:val="24"/>
          <w:lang w:eastAsia="es-CO"/>
        </w:rPr>
        <w:t>io</w:t>
      </w:r>
      <w:r w:rsidR="00305DC2" w:rsidRPr="009B137F">
        <w:rPr>
          <w:rFonts w:eastAsia="Times New Roman" w:cs="Tahoma"/>
          <w:szCs w:val="24"/>
          <w:lang w:eastAsia="es-CO"/>
        </w:rPr>
        <w:t xml:space="preserve"> </w:t>
      </w:r>
      <w:r w:rsidRPr="009B137F">
        <w:rPr>
          <w:rFonts w:eastAsia="Times New Roman" w:cs="Tahoma"/>
          <w:szCs w:val="24"/>
          <w:lang w:eastAsia="es-CO"/>
        </w:rPr>
        <w:t>de 202</w:t>
      </w:r>
      <w:r w:rsidR="00FF4D0E" w:rsidRPr="009B137F">
        <w:rPr>
          <w:rFonts w:eastAsia="Times New Roman" w:cs="Tahoma"/>
          <w:szCs w:val="24"/>
          <w:lang w:eastAsia="es-CO"/>
        </w:rPr>
        <w:t>2</w:t>
      </w:r>
    </w:p>
    <w:p w14:paraId="58C5ADEB" w14:textId="77777777" w:rsidR="00B02A64" w:rsidRPr="009B137F" w:rsidRDefault="00B02A64" w:rsidP="009B137F">
      <w:pPr>
        <w:spacing w:line="276" w:lineRule="auto"/>
        <w:jc w:val="center"/>
        <w:rPr>
          <w:rFonts w:cs="Tahoma"/>
          <w:b/>
          <w:szCs w:val="24"/>
        </w:rPr>
      </w:pPr>
    </w:p>
    <w:p w14:paraId="32ADF1A1" w14:textId="77777777" w:rsidR="00B02A64" w:rsidRPr="009B137F" w:rsidRDefault="00B02A64" w:rsidP="009B137F">
      <w:pPr>
        <w:spacing w:line="276" w:lineRule="auto"/>
        <w:jc w:val="center"/>
        <w:rPr>
          <w:rFonts w:cs="Tahoma"/>
          <w:b/>
          <w:szCs w:val="24"/>
        </w:rPr>
      </w:pPr>
    </w:p>
    <w:p w14:paraId="7F8CBC19" w14:textId="6C8FC847" w:rsidR="0015024D" w:rsidRPr="009B137F" w:rsidRDefault="00CD6591" w:rsidP="009B137F">
      <w:pPr>
        <w:spacing w:line="276" w:lineRule="auto"/>
        <w:ind w:firstLine="709"/>
        <w:rPr>
          <w:rFonts w:eastAsia="Times New Roman" w:cs="Tahoma"/>
          <w:b/>
          <w:bCs/>
          <w:caps/>
          <w:szCs w:val="24"/>
          <w:lang w:eastAsia="es-ES"/>
        </w:rPr>
      </w:pPr>
      <w:r w:rsidRPr="009B137F">
        <w:rPr>
          <w:rFonts w:cs="Tahoma"/>
          <w:szCs w:val="24"/>
        </w:rPr>
        <w:t xml:space="preserve">Teniendo en cuenta que el artículo 15 del Decreto No. 806 del 4 de junio de 2020, expedido por el Ministerio de Justicia y del Derecho, </w:t>
      </w:r>
      <w:bookmarkStart w:id="5" w:name="_Hlk106915387"/>
      <w:r w:rsidRPr="009B137F">
        <w:rPr>
          <w:rFonts w:cs="Tahoma"/>
          <w:szCs w:val="24"/>
        </w:rPr>
        <w:t>adoptado como legislación permanente por medio de la Ley 2213 del 13 de junio de 2022</w:t>
      </w:r>
      <w:bookmarkEnd w:id="5"/>
      <w:r w:rsidRPr="009B137F">
        <w:rPr>
          <w:rFonts w:cs="Tahoma"/>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proceso </w:t>
      </w:r>
      <w:r w:rsidRPr="00AD2020">
        <w:rPr>
          <w:rFonts w:cs="Tahoma"/>
          <w:b/>
          <w:szCs w:val="24"/>
        </w:rPr>
        <w:lastRenderedPageBreak/>
        <w:t>ordinario laboral</w:t>
      </w:r>
      <w:r w:rsidRPr="009B137F">
        <w:rPr>
          <w:rFonts w:cs="Tahoma"/>
          <w:szCs w:val="24"/>
        </w:rPr>
        <w:t xml:space="preserve"> instaurado por</w:t>
      </w:r>
      <w:r w:rsidR="00B02A64" w:rsidRPr="009B137F">
        <w:rPr>
          <w:rFonts w:cs="Tahoma"/>
          <w:szCs w:val="24"/>
        </w:rPr>
        <w:t xml:space="preserve"> </w:t>
      </w:r>
      <w:r w:rsidR="00AD2020" w:rsidRPr="009B137F">
        <w:rPr>
          <w:rFonts w:eastAsia="Times New Roman" w:cs="Tahoma"/>
          <w:b/>
          <w:bCs/>
          <w:szCs w:val="24"/>
          <w:lang w:eastAsia="es-ES"/>
        </w:rPr>
        <w:t xml:space="preserve">Ángela María Hernández Cano </w:t>
      </w:r>
      <w:r w:rsidR="0015024D" w:rsidRPr="009B137F">
        <w:rPr>
          <w:rFonts w:eastAsia="Times New Roman" w:cs="Tahoma"/>
          <w:szCs w:val="24"/>
          <w:lang w:eastAsia="es-ES"/>
        </w:rPr>
        <w:t>en contra de</w:t>
      </w:r>
      <w:r w:rsidR="0015024D" w:rsidRPr="009B137F">
        <w:rPr>
          <w:rFonts w:eastAsia="Times New Roman" w:cs="Tahoma"/>
          <w:b/>
          <w:bCs/>
          <w:szCs w:val="24"/>
          <w:lang w:eastAsia="es-ES"/>
        </w:rPr>
        <w:t xml:space="preserve"> </w:t>
      </w:r>
      <w:r w:rsidR="0015024D" w:rsidRPr="009B137F">
        <w:rPr>
          <w:rFonts w:eastAsia="Times New Roman" w:cs="Tahoma"/>
          <w:b/>
          <w:bCs/>
          <w:caps/>
          <w:szCs w:val="24"/>
          <w:lang w:eastAsia="es-ES"/>
        </w:rPr>
        <w:t>Telemark Spain SL.</w:t>
      </w:r>
    </w:p>
    <w:p w14:paraId="561B7E7C" w14:textId="5518F5B4" w:rsidR="00B02A64" w:rsidRPr="009B137F" w:rsidRDefault="00B02A64" w:rsidP="009B137F">
      <w:pPr>
        <w:spacing w:line="276" w:lineRule="auto"/>
        <w:ind w:firstLine="709"/>
        <w:rPr>
          <w:rFonts w:cs="Tahoma"/>
          <w:b/>
          <w:bCs/>
          <w:szCs w:val="24"/>
        </w:rPr>
      </w:pPr>
    </w:p>
    <w:p w14:paraId="2621ED5C" w14:textId="77777777" w:rsidR="00305DC2" w:rsidRPr="009B137F" w:rsidRDefault="00305DC2" w:rsidP="009B137F">
      <w:pPr>
        <w:spacing w:line="276" w:lineRule="auto"/>
        <w:rPr>
          <w:rFonts w:cs="Tahoma"/>
          <w:szCs w:val="24"/>
        </w:rPr>
      </w:pPr>
    </w:p>
    <w:p w14:paraId="77D04272" w14:textId="77777777" w:rsidR="00B02A64" w:rsidRPr="009B137F" w:rsidRDefault="00B02A64" w:rsidP="009B137F">
      <w:pPr>
        <w:pStyle w:val="paragraph"/>
        <w:spacing w:before="0" w:beforeAutospacing="0" w:after="0" w:afterAutospacing="0" w:line="276" w:lineRule="auto"/>
        <w:jc w:val="center"/>
        <w:textAlignment w:val="baseline"/>
        <w:rPr>
          <w:rStyle w:val="normaltextrun"/>
          <w:rFonts w:ascii="Tahoma" w:hAnsi="Tahoma" w:cs="Tahoma"/>
          <w:b/>
          <w:bCs/>
        </w:rPr>
      </w:pPr>
      <w:r w:rsidRPr="009B137F">
        <w:rPr>
          <w:rStyle w:val="normaltextrun"/>
          <w:rFonts w:ascii="Tahoma" w:hAnsi="Tahoma" w:cs="Tahoma"/>
          <w:b/>
          <w:bCs/>
        </w:rPr>
        <w:t>PUNTO A TRATAR</w:t>
      </w:r>
    </w:p>
    <w:p w14:paraId="0B9202BB" w14:textId="77777777" w:rsidR="00B02A64" w:rsidRPr="009B137F" w:rsidRDefault="00B02A64" w:rsidP="009B137F">
      <w:pPr>
        <w:pStyle w:val="paragraph"/>
        <w:spacing w:before="0" w:beforeAutospacing="0" w:after="0" w:afterAutospacing="0" w:line="276" w:lineRule="auto"/>
        <w:jc w:val="center"/>
        <w:textAlignment w:val="baseline"/>
        <w:rPr>
          <w:rFonts w:ascii="Tahoma" w:hAnsi="Tahoma" w:cs="Tahoma"/>
        </w:rPr>
      </w:pPr>
    </w:p>
    <w:p w14:paraId="2A7580DA" w14:textId="08EC01A6" w:rsidR="00B02A64" w:rsidRPr="009B137F" w:rsidRDefault="0015024D" w:rsidP="009B137F">
      <w:pPr>
        <w:spacing w:line="276" w:lineRule="auto"/>
        <w:ind w:firstLine="708"/>
        <w:rPr>
          <w:rStyle w:val="normaltextrun"/>
          <w:rFonts w:cs="Tahoma"/>
          <w:szCs w:val="24"/>
        </w:rPr>
      </w:pPr>
      <w:r w:rsidRPr="009B137F">
        <w:rPr>
          <w:rFonts w:cs="Tahoma"/>
          <w:szCs w:val="24"/>
        </w:rPr>
        <w:t>Por medio de esta providencia </w:t>
      </w:r>
      <w:r w:rsidR="00027E77" w:rsidRPr="009B137F">
        <w:rPr>
          <w:rFonts w:cs="Tahoma"/>
          <w:szCs w:val="24"/>
        </w:rPr>
        <w:t>se resuelve el</w:t>
      </w:r>
      <w:r w:rsidRPr="009B137F">
        <w:rPr>
          <w:rFonts w:cs="Tahoma"/>
          <w:szCs w:val="24"/>
        </w:rPr>
        <w:t xml:space="preserve"> recurso de apelación interpuesto por la parte demandante en contra de la sentencia proferida el 15 de julio de 2021 por el Juzgado Tercero Laboral del Circuito de Pereira</w:t>
      </w:r>
      <w:r w:rsidR="00124421" w:rsidRPr="009B137F">
        <w:rPr>
          <w:rFonts w:cs="Tahoma"/>
          <w:szCs w:val="24"/>
        </w:rPr>
        <w:t>.</w:t>
      </w:r>
      <w:r w:rsidR="00BB1B32" w:rsidRPr="009B137F">
        <w:rPr>
          <w:rFonts w:cs="Tahoma"/>
          <w:szCs w:val="24"/>
        </w:rPr>
        <w:t xml:space="preserve"> </w:t>
      </w:r>
      <w:r w:rsidR="00776F61" w:rsidRPr="009B137F">
        <w:rPr>
          <w:rStyle w:val="normaltextrun"/>
          <w:rFonts w:cs="Tahoma"/>
          <w:szCs w:val="24"/>
        </w:rPr>
        <w:t>Para ello se tiene en cuenta lo siguiente: </w:t>
      </w:r>
    </w:p>
    <w:p w14:paraId="420ECBD3" w14:textId="77777777" w:rsidR="00124421" w:rsidRPr="009B137F" w:rsidRDefault="00124421" w:rsidP="009B137F">
      <w:pPr>
        <w:spacing w:line="276" w:lineRule="auto"/>
        <w:ind w:firstLine="708"/>
        <w:rPr>
          <w:rFonts w:cs="Tahoma"/>
          <w:szCs w:val="24"/>
        </w:rPr>
      </w:pPr>
    </w:p>
    <w:p w14:paraId="78DCFD2A" w14:textId="77777777" w:rsidR="004E7258" w:rsidRPr="009B137F" w:rsidRDefault="004E7258" w:rsidP="009B137F">
      <w:pPr>
        <w:spacing w:line="276" w:lineRule="auto"/>
        <w:ind w:firstLine="708"/>
        <w:rPr>
          <w:rFonts w:cs="Tahoma"/>
          <w:szCs w:val="24"/>
        </w:rPr>
      </w:pPr>
    </w:p>
    <w:p w14:paraId="6612B8BC" w14:textId="087278FA" w:rsidR="00CA5A23" w:rsidRPr="009B137F" w:rsidRDefault="00CA5A23" w:rsidP="009B137F">
      <w:pPr>
        <w:pStyle w:val="Prrafodelista"/>
        <w:numPr>
          <w:ilvl w:val="0"/>
          <w:numId w:val="5"/>
        </w:numPr>
        <w:spacing w:line="276" w:lineRule="auto"/>
        <w:ind w:left="0" w:firstLine="0"/>
        <w:jc w:val="center"/>
        <w:rPr>
          <w:rFonts w:cs="Tahoma"/>
          <w:b/>
          <w:bCs/>
          <w:szCs w:val="24"/>
        </w:rPr>
      </w:pPr>
      <w:r w:rsidRPr="009B137F">
        <w:rPr>
          <w:rFonts w:cs="Tahoma"/>
          <w:b/>
          <w:bCs/>
          <w:szCs w:val="24"/>
        </w:rPr>
        <w:t xml:space="preserve">LA DEMANDA </w:t>
      </w:r>
      <w:r w:rsidR="003439B2" w:rsidRPr="009B137F">
        <w:rPr>
          <w:rFonts w:cs="Tahoma"/>
          <w:b/>
          <w:bCs/>
          <w:szCs w:val="24"/>
          <w:lang w:val="es-CO"/>
        </w:rPr>
        <w:t>Y LA CONTESTACIÓN DE LA DEMANDA</w:t>
      </w:r>
    </w:p>
    <w:p w14:paraId="40F33026" w14:textId="145CE454" w:rsidR="00F05C7A" w:rsidRPr="009B137F" w:rsidRDefault="00F05C7A" w:rsidP="009B137F">
      <w:pPr>
        <w:spacing w:line="276" w:lineRule="auto"/>
        <w:jc w:val="center"/>
        <w:rPr>
          <w:rFonts w:cs="Tahoma"/>
          <w:b/>
          <w:bCs/>
          <w:szCs w:val="24"/>
        </w:rPr>
      </w:pPr>
    </w:p>
    <w:p w14:paraId="4AB02F60" w14:textId="64164CF1" w:rsidR="00F05C7A" w:rsidRPr="009B137F" w:rsidRDefault="00F05C7A" w:rsidP="009B137F">
      <w:pPr>
        <w:spacing w:line="276" w:lineRule="auto"/>
        <w:jc w:val="center"/>
        <w:rPr>
          <w:rFonts w:cs="Tahoma"/>
          <w:b/>
          <w:bCs/>
          <w:szCs w:val="24"/>
        </w:rPr>
      </w:pPr>
    </w:p>
    <w:p w14:paraId="4DC7A6AF" w14:textId="718E61B3" w:rsidR="00F05C7A" w:rsidRPr="009B137F" w:rsidRDefault="004B28E5" w:rsidP="009B137F">
      <w:pPr>
        <w:spacing w:line="276" w:lineRule="auto"/>
        <w:ind w:firstLine="708"/>
        <w:rPr>
          <w:rFonts w:cs="Tahoma"/>
          <w:szCs w:val="24"/>
          <w:lang w:val="es-419"/>
        </w:rPr>
      </w:pPr>
      <w:r w:rsidRPr="009B137F">
        <w:rPr>
          <w:rFonts w:cs="Tahoma"/>
          <w:szCs w:val="24"/>
        </w:rPr>
        <w:t>La actora</w:t>
      </w:r>
      <w:r w:rsidR="00F05C7A" w:rsidRPr="009B137F">
        <w:rPr>
          <w:rFonts w:cs="Tahoma"/>
          <w:szCs w:val="24"/>
        </w:rPr>
        <w:t xml:space="preserve"> </w:t>
      </w:r>
      <w:r w:rsidR="006C2789" w:rsidRPr="009B137F">
        <w:rPr>
          <w:rFonts w:cs="Tahoma"/>
          <w:szCs w:val="24"/>
          <w:lang w:val="es-419"/>
        </w:rPr>
        <w:t xml:space="preserve">aspira a que se declare </w:t>
      </w:r>
      <w:r w:rsidR="00D45D4D" w:rsidRPr="009B137F">
        <w:rPr>
          <w:rFonts w:cs="Tahoma"/>
          <w:szCs w:val="24"/>
          <w:lang w:val="es-419"/>
        </w:rPr>
        <w:t>la naturaleza salarial d</w:t>
      </w:r>
      <w:r w:rsidR="006C2789" w:rsidRPr="009B137F">
        <w:rPr>
          <w:rFonts w:cs="Tahoma"/>
          <w:szCs w:val="24"/>
          <w:lang w:val="es-419"/>
        </w:rPr>
        <w:t xml:space="preserve">el “bono de asistencia” </w:t>
      </w:r>
      <w:r w:rsidR="006F4E2B" w:rsidRPr="009B137F">
        <w:rPr>
          <w:rFonts w:cs="Tahoma"/>
          <w:szCs w:val="24"/>
          <w:lang w:val="es-419"/>
        </w:rPr>
        <w:t>y en consecuencia se</w:t>
      </w:r>
      <w:r w:rsidR="006C2789" w:rsidRPr="009B137F">
        <w:rPr>
          <w:rFonts w:cs="Tahoma"/>
          <w:szCs w:val="24"/>
          <w:lang w:val="es-419"/>
        </w:rPr>
        <w:t xml:space="preserve"> condene</w:t>
      </w:r>
      <w:r w:rsidR="006F4E2B" w:rsidRPr="009B137F">
        <w:rPr>
          <w:rFonts w:cs="Tahoma"/>
          <w:szCs w:val="24"/>
          <w:lang w:val="es-419"/>
        </w:rPr>
        <w:t xml:space="preserve"> a la demandada al pago</w:t>
      </w:r>
      <w:r w:rsidR="006C2789" w:rsidRPr="009B137F">
        <w:rPr>
          <w:rFonts w:cs="Tahoma"/>
          <w:szCs w:val="24"/>
          <w:lang w:val="es-419"/>
        </w:rPr>
        <w:t xml:space="preserve"> </w:t>
      </w:r>
      <w:r w:rsidR="006F4E2B" w:rsidRPr="009B137F">
        <w:rPr>
          <w:rFonts w:cs="Tahoma"/>
          <w:szCs w:val="24"/>
          <w:lang w:val="es-419"/>
        </w:rPr>
        <w:t>de</w:t>
      </w:r>
      <w:r w:rsidR="006C2789" w:rsidRPr="009B137F">
        <w:rPr>
          <w:rFonts w:cs="Tahoma"/>
          <w:szCs w:val="24"/>
          <w:lang w:val="es-419"/>
        </w:rPr>
        <w:t>l reajuste de</w:t>
      </w:r>
      <w:r w:rsidR="006F4E2B" w:rsidRPr="009B137F">
        <w:rPr>
          <w:rFonts w:cs="Tahoma"/>
          <w:szCs w:val="24"/>
          <w:lang w:val="es-419"/>
        </w:rPr>
        <w:t xml:space="preserve"> sus prestaciones sociales, vacaciones y aportes en pensión</w:t>
      </w:r>
      <w:r w:rsidR="003E46C7" w:rsidRPr="009B137F">
        <w:rPr>
          <w:rFonts w:cs="Tahoma"/>
          <w:szCs w:val="24"/>
          <w:lang w:val="es-419"/>
        </w:rPr>
        <w:t>, lo mismo que al pago de la</w:t>
      </w:r>
      <w:r w:rsidR="006C2789" w:rsidRPr="009B137F">
        <w:rPr>
          <w:rFonts w:cs="Tahoma"/>
          <w:szCs w:val="24"/>
          <w:lang w:val="es-419"/>
        </w:rPr>
        <w:t xml:space="preserve"> indemnización moratoria de</w:t>
      </w:r>
      <w:r w:rsidR="003E46C7" w:rsidRPr="009B137F">
        <w:rPr>
          <w:rFonts w:cs="Tahoma"/>
          <w:szCs w:val="24"/>
          <w:lang w:val="es-419"/>
        </w:rPr>
        <w:t xml:space="preserve"> que trata el</w:t>
      </w:r>
      <w:r w:rsidR="006C2789" w:rsidRPr="009B137F">
        <w:rPr>
          <w:rFonts w:cs="Tahoma"/>
          <w:szCs w:val="24"/>
          <w:lang w:val="es-419"/>
        </w:rPr>
        <w:t xml:space="preserve"> artículo 65 del C.S.T</w:t>
      </w:r>
      <w:r w:rsidR="003E46C7" w:rsidRPr="009B137F">
        <w:rPr>
          <w:rFonts w:cs="Tahoma"/>
          <w:szCs w:val="24"/>
          <w:lang w:val="es-419"/>
        </w:rPr>
        <w:t xml:space="preserve">., </w:t>
      </w:r>
      <w:r w:rsidR="00F806FC" w:rsidRPr="009B137F">
        <w:rPr>
          <w:rFonts w:cs="Tahoma"/>
          <w:szCs w:val="24"/>
        </w:rPr>
        <w:t>lo que se demuestre bajo las facultades ultra y extra petita</w:t>
      </w:r>
      <w:r w:rsidR="00497B67" w:rsidRPr="009B137F">
        <w:rPr>
          <w:rFonts w:cs="Tahoma"/>
          <w:szCs w:val="24"/>
        </w:rPr>
        <w:t>,</w:t>
      </w:r>
      <w:r w:rsidR="00F806FC" w:rsidRPr="009B137F">
        <w:rPr>
          <w:rFonts w:cs="Tahoma"/>
          <w:szCs w:val="24"/>
        </w:rPr>
        <w:t xml:space="preserve"> y</w:t>
      </w:r>
      <w:r w:rsidR="00F05C7A" w:rsidRPr="009B137F">
        <w:rPr>
          <w:rFonts w:cs="Tahoma"/>
          <w:szCs w:val="24"/>
        </w:rPr>
        <w:t xml:space="preserve"> las costas procesales</w:t>
      </w:r>
      <w:r w:rsidR="00F806FC" w:rsidRPr="009B137F">
        <w:rPr>
          <w:rFonts w:cs="Tahoma"/>
          <w:szCs w:val="24"/>
        </w:rPr>
        <w:t xml:space="preserve"> a su favor.</w:t>
      </w:r>
    </w:p>
    <w:p w14:paraId="7F525E90" w14:textId="77777777" w:rsidR="00F05C7A" w:rsidRPr="009B137F" w:rsidRDefault="00F05C7A" w:rsidP="009B137F">
      <w:pPr>
        <w:spacing w:line="276" w:lineRule="auto"/>
        <w:rPr>
          <w:rFonts w:cs="Tahoma"/>
          <w:szCs w:val="24"/>
        </w:rPr>
      </w:pPr>
    </w:p>
    <w:p w14:paraId="1602B619" w14:textId="24C5CD3E" w:rsidR="00F05C7A" w:rsidRPr="009B137F" w:rsidRDefault="00F05C7A" w:rsidP="009B137F">
      <w:pPr>
        <w:spacing w:line="276" w:lineRule="auto"/>
        <w:ind w:firstLine="708"/>
        <w:rPr>
          <w:rFonts w:cs="Tahoma"/>
          <w:szCs w:val="24"/>
        </w:rPr>
      </w:pPr>
      <w:r w:rsidRPr="009B137F">
        <w:rPr>
          <w:rFonts w:cs="Tahoma"/>
          <w:szCs w:val="24"/>
        </w:rPr>
        <w:t xml:space="preserve">Como fundamento de sus aspiraciones, </w:t>
      </w:r>
      <w:r w:rsidR="00852D83" w:rsidRPr="009B137F">
        <w:rPr>
          <w:rFonts w:cs="Tahoma"/>
          <w:szCs w:val="24"/>
        </w:rPr>
        <w:t xml:space="preserve">narra </w:t>
      </w:r>
      <w:r w:rsidRPr="009B137F">
        <w:rPr>
          <w:rFonts w:cs="Tahoma"/>
          <w:szCs w:val="24"/>
        </w:rPr>
        <w:t>que</w:t>
      </w:r>
      <w:r w:rsidR="00852D83" w:rsidRPr="009B137F">
        <w:rPr>
          <w:rFonts w:cs="Tahoma"/>
          <w:szCs w:val="24"/>
        </w:rPr>
        <w:t xml:space="preserve"> laboró para </w:t>
      </w:r>
      <w:r w:rsidR="007C2710" w:rsidRPr="009B137F">
        <w:rPr>
          <w:rFonts w:cs="Tahoma"/>
          <w:szCs w:val="24"/>
        </w:rPr>
        <w:t>Telemark</w:t>
      </w:r>
      <w:r w:rsidR="00852D83" w:rsidRPr="009B137F">
        <w:rPr>
          <w:rFonts w:cs="Tahoma"/>
          <w:szCs w:val="24"/>
        </w:rPr>
        <w:t xml:space="preserve"> </w:t>
      </w:r>
      <w:proofErr w:type="spellStart"/>
      <w:r w:rsidR="00852D83" w:rsidRPr="009B137F">
        <w:rPr>
          <w:rFonts w:cs="Tahoma"/>
          <w:szCs w:val="24"/>
        </w:rPr>
        <w:t>Spain</w:t>
      </w:r>
      <w:proofErr w:type="spellEnd"/>
      <w:r w:rsidR="00852D83" w:rsidRPr="009B137F">
        <w:rPr>
          <w:rFonts w:cs="Tahoma"/>
          <w:szCs w:val="24"/>
        </w:rPr>
        <w:t xml:space="preserve"> S.L</w:t>
      </w:r>
      <w:r w:rsidR="007C2710" w:rsidRPr="009B137F">
        <w:rPr>
          <w:rFonts w:cs="Tahoma"/>
          <w:szCs w:val="24"/>
        </w:rPr>
        <w:t>.</w:t>
      </w:r>
      <w:r w:rsidR="00852D83" w:rsidRPr="009B137F">
        <w:rPr>
          <w:rFonts w:cs="Tahoma"/>
          <w:szCs w:val="24"/>
        </w:rPr>
        <w:t xml:space="preserve"> entre </w:t>
      </w:r>
      <w:r w:rsidR="00B12A6F" w:rsidRPr="009B137F">
        <w:rPr>
          <w:rFonts w:cs="Tahoma"/>
          <w:szCs w:val="24"/>
        </w:rPr>
        <w:t>junio de 2014 y noviembre de 2015</w:t>
      </w:r>
      <w:r w:rsidR="006C2789" w:rsidRPr="009B137F">
        <w:rPr>
          <w:rFonts w:cs="Tahoma"/>
          <w:szCs w:val="24"/>
        </w:rPr>
        <w:t>;</w:t>
      </w:r>
      <w:r w:rsidR="00940DBF" w:rsidRPr="009B137F">
        <w:rPr>
          <w:rFonts w:cs="Tahoma"/>
          <w:szCs w:val="24"/>
          <w:lang w:val="es-419"/>
        </w:rPr>
        <w:t xml:space="preserve"> que </w:t>
      </w:r>
      <w:r w:rsidR="00497B67" w:rsidRPr="009B137F">
        <w:rPr>
          <w:rFonts w:cs="Tahoma"/>
          <w:szCs w:val="24"/>
          <w:lang w:val="es-419"/>
        </w:rPr>
        <w:t>su</w:t>
      </w:r>
      <w:r w:rsidR="00940DBF" w:rsidRPr="009B137F">
        <w:rPr>
          <w:rFonts w:cs="Tahoma"/>
          <w:szCs w:val="24"/>
          <w:lang w:val="es-419"/>
        </w:rPr>
        <w:t xml:space="preserve"> salario correspondía al mínimo legal vigente; que adicionalmente recibía un </w:t>
      </w:r>
      <w:r w:rsidR="00940DBF" w:rsidRPr="009B137F">
        <w:rPr>
          <w:rFonts w:cs="Tahoma"/>
          <w:i/>
          <w:iCs/>
          <w:szCs w:val="24"/>
          <w:lang w:val="es-419"/>
        </w:rPr>
        <w:t>“bono de asistencia”</w:t>
      </w:r>
      <w:r w:rsidR="00940DBF" w:rsidRPr="009B137F">
        <w:rPr>
          <w:rFonts w:cs="Tahoma"/>
          <w:szCs w:val="24"/>
          <w:lang w:val="es-419"/>
        </w:rPr>
        <w:t xml:space="preserve"> por no ausentarse durante el mes anterior, el cual era por valor de $100.000; que pese a ser dicho valor una contraprestación por el servicio directo, </w:t>
      </w:r>
      <w:r w:rsidR="00497B67" w:rsidRPr="009B137F">
        <w:rPr>
          <w:rFonts w:cs="Tahoma"/>
          <w:szCs w:val="24"/>
          <w:lang w:val="es-419"/>
        </w:rPr>
        <w:t xml:space="preserve">nunca fue </w:t>
      </w:r>
      <w:r w:rsidR="00940DBF" w:rsidRPr="009B137F">
        <w:rPr>
          <w:rFonts w:cs="Tahoma"/>
          <w:szCs w:val="24"/>
          <w:lang w:val="es-419"/>
        </w:rPr>
        <w:t xml:space="preserve">tenido como factor salarial para la liquidación de los </w:t>
      </w:r>
      <w:r w:rsidRPr="009B137F">
        <w:rPr>
          <w:rFonts w:cs="Tahoma"/>
          <w:szCs w:val="24"/>
        </w:rPr>
        <w:t>emolumentos laborales</w:t>
      </w:r>
      <w:r w:rsidR="00497B67" w:rsidRPr="009B137F">
        <w:rPr>
          <w:rFonts w:cs="Tahoma"/>
          <w:szCs w:val="24"/>
        </w:rPr>
        <w:t xml:space="preserve"> cuyo reajuste se</w:t>
      </w:r>
      <w:r w:rsidRPr="009B137F">
        <w:rPr>
          <w:rFonts w:cs="Tahoma"/>
          <w:szCs w:val="24"/>
        </w:rPr>
        <w:t xml:space="preserve"> pretend</w:t>
      </w:r>
      <w:r w:rsidR="00497B67" w:rsidRPr="009B137F">
        <w:rPr>
          <w:rFonts w:cs="Tahoma"/>
          <w:szCs w:val="24"/>
        </w:rPr>
        <w:t>e</w:t>
      </w:r>
      <w:r w:rsidRPr="009B137F">
        <w:rPr>
          <w:rFonts w:cs="Tahoma"/>
          <w:szCs w:val="24"/>
        </w:rPr>
        <w:t>.</w:t>
      </w:r>
    </w:p>
    <w:p w14:paraId="3231F21E" w14:textId="41224955" w:rsidR="003B446A" w:rsidRPr="009B137F" w:rsidRDefault="003B446A" w:rsidP="009B137F">
      <w:pPr>
        <w:spacing w:line="276" w:lineRule="auto"/>
        <w:rPr>
          <w:rStyle w:val="normaltextrun"/>
          <w:rFonts w:cs="Tahoma"/>
          <w:b/>
          <w:bCs/>
          <w:szCs w:val="24"/>
        </w:rPr>
      </w:pPr>
    </w:p>
    <w:p w14:paraId="06F71854" w14:textId="4511DAAD" w:rsidR="00B67192" w:rsidRPr="009B137F" w:rsidRDefault="007C2710" w:rsidP="009B137F">
      <w:pPr>
        <w:spacing w:line="276" w:lineRule="auto"/>
        <w:ind w:firstLine="708"/>
        <w:rPr>
          <w:rStyle w:val="normaltextrun"/>
          <w:rFonts w:cs="Tahoma"/>
          <w:szCs w:val="24"/>
        </w:rPr>
      </w:pPr>
      <w:r w:rsidRPr="009B137F">
        <w:rPr>
          <w:rStyle w:val="normaltextrun"/>
          <w:rFonts w:cs="Tahoma"/>
          <w:szCs w:val="24"/>
        </w:rPr>
        <w:t xml:space="preserve">En </w:t>
      </w:r>
      <w:r w:rsidRPr="009B137F">
        <w:rPr>
          <w:rStyle w:val="normaltextrun"/>
          <w:rFonts w:cs="Tahoma"/>
          <w:szCs w:val="24"/>
          <w:u w:val="single"/>
        </w:rPr>
        <w:t>respuesta a la demanda</w:t>
      </w:r>
      <w:r w:rsidRPr="009B137F">
        <w:rPr>
          <w:rStyle w:val="normaltextrun"/>
          <w:rFonts w:cs="Tahoma"/>
          <w:szCs w:val="24"/>
        </w:rPr>
        <w:t xml:space="preserve">, </w:t>
      </w:r>
      <w:r w:rsidRPr="009B137F">
        <w:rPr>
          <w:rStyle w:val="normaltextrun"/>
          <w:rFonts w:cs="Tahoma"/>
          <w:b/>
          <w:bCs/>
          <w:szCs w:val="24"/>
        </w:rPr>
        <w:t xml:space="preserve">Telemark </w:t>
      </w:r>
      <w:proofErr w:type="spellStart"/>
      <w:r w:rsidRPr="009B137F">
        <w:rPr>
          <w:rStyle w:val="normaltextrun"/>
          <w:rFonts w:cs="Tahoma"/>
          <w:b/>
          <w:bCs/>
          <w:szCs w:val="24"/>
        </w:rPr>
        <w:t>Spain</w:t>
      </w:r>
      <w:proofErr w:type="spellEnd"/>
      <w:r w:rsidRPr="009B137F">
        <w:rPr>
          <w:rStyle w:val="normaltextrun"/>
          <w:rFonts w:cs="Tahoma"/>
          <w:b/>
          <w:bCs/>
          <w:szCs w:val="24"/>
        </w:rPr>
        <w:t xml:space="preserve"> S.L.</w:t>
      </w:r>
      <w:r w:rsidRPr="009B137F">
        <w:rPr>
          <w:rStyle w:val="normaltextrun"/>
          <w:rFonts w:cs="Tahoma"/>
          <w:szCs w:val="24"/>
        </w:rPr>
        <w:t xml:space="preserve"> </w:t>
      </w:r>
      <w:r w:rsidR="00DF0027" w:rsidRPr="009B137F">
        <w:rPr>
          <w:rStyle w:val="normaltextrun"/>
          <w:rFonts w:cs="Tahoma"/>
          <w:szCs w:val="24"/>
        </w:rPr>
        <w:t>aceptó la relación laboral entre el 1 de junio de 2014 y el 19 de noviembre de 2015</w:t>
      </w:r>
      <w:r w:rsidR="008459BF" w:rsidRPr="009B137F">
        <w:rPr>
          <w:rStyle w:val="normaltextrun"/>
          <w:rFonts w:cs="Tahoma"/>
          <w:szCs w:val="24"/>
        </w:rPr>
        <w:t xml:space="preserve">; </w:t>
      </w:r>
      <w:r w:rsidR="008459BF" w:rsidRPr="009B137F">
        <w:rPr>
          <w:rFonts w:cs="Tahoma"/>
          <w:szCs w:val="24"/>
        </w:rPr>
        <w:t xml:space="preserve">que el salario correspondía al mínimo legal y que durante la relación laboral se le canceló un beneficio extralegal denominado “bono de asistencia” por el valor mensual de $100.000, </w:t>
      </w:r>
      <w:r w:rsidR="00136C5C" w:rsidRPr="009B137F">
        <w:rPr>
          <w:rStyle w:val="normaltextrun"/>
          <w:rFonts w:cs="Tahoma"/>
          <w:szCs w:val="24"/>
        </w:rPr>
        <w:t xml:space="preserve">empero </w:t>
      </w:r>
      <w:r w:rsidR="00ED6631" w:rsidRPr="009B137F">
        <w:rPr>
          <w:rStyle w:val="normaltextrun"/>
          <w:rFonts w:cs="Tahoma"/>
          <w:szCs w:val="24"/>
        </w:rPr>
        <w:t xml:space="preserve">negó la constitución </w:t>
      </w:r>
      <w:r w:rsidR="008459BF" w:rsidRPr="009B137F">
        <w:rPr>
          <w:rStyle w:val="normaltextrun"/>
          <w:rFonts w:cs="Tahoma"/>
          <w:szCs w:val="24"/>
        </w:rPr>
        <w:t xml:space="preserve">de este </w:t>
      </w:r>
      <w:r w:rsidR="00ED6631" w:rsidRPr="009B137F">
        <w:rPr>
          <w:rStyle w:val="normaltextrun"/>
          <w:rFonts w:cs="Tahoma"/>
          <w:szCs w:val="24"/>
        </w:rPr>
        <w:t xml:space="preserve">como factor salarial, </w:t>
      </w:r>
      <w:r w:rsidR="004621E2" w:rsidRPr="009B137F">
        <w:rPr>
          <w:rStyle w:val="normaltextrun"/>
          <w:rFonts w:cs="Tahoma"/>
          <w:szCs w:val="24"/>
        </w:rPr>
        <w:t xml:space="preserve">con base en un pacto de exclusión </w:t>
      </w:r>
      <w:r w:rsidR="00136C5C" w:rsidRPr="009B137F">
        <w:rPr>
          <w:rStyle w:val="normaltextrun"/>
          <w:rFonts w:cs="Tahoma"/>
          <w:szCs w:val="24"/>
        </w:rPr>
        <w:t>por parte de los contratantes</w:t>
      </w:r>
      <w:r w:rsidR="00D86B97" w:rsidRPr="009B137F">
        <w:rPr>
          <w:rStyle w:val="normaltextrun"/>
          <w:rFonts w:cs="Tahoma"/>
          <w:szCs w:val="24"/>
        </w:rPr>
        <w:t>.</w:t>
      </w:r>
      <w:r w:rsidR="00136C5C" w:rsidRPr="009B137F">
        <w:rPr>
          <w:rStyle w:val="normaltextrun"/>
          <w:rFonts w:cs="Tahoma"/>
          <w:szCs w:val="24"/>
        </w:rPr>
        <w:t xml:space="preserve"> </w:t>
      </w:r>
      <w:r w:rsidR="00D86B97" w:rsidRPr="009B137F">
        <w:rPr>
          <w:rStyle w:val="normaltextrun"/>
          <w:rFonts w:cs="Tahoma"/>
          <w:szCs w:val="24"/>
        </w:rPr>
        <w:t>A</w:t>
      </w:r>
      <w:r w:rsidR="00136C5C" w:rsidRPr="009B137F">
        <w:rPr>
          <w:rStyle w:val="normaltextrun"/>
          <w:rFonts w:cs="Tahoma"/>
          <w:szCs w:val="24"/>
        </w:rPr>
        <w:t xml:space="preserve"> los demás hechos</w:t>
      </w:r>
      <w:r w:rsidR="00DF6B35" w:rsidRPr="009B137F">
        <w:rPr>
          <w:rStyle w:val="normaltextrun"/>
          <w:rFonts w:cs="Tahoma"/>
          <w:szCs w:val="24"/>
        </w:rPr>
        <w:t xml:space="preserve"> indicó que no eran ciertos</w:t>
      </w:r>
      <w:r w:rsidR="00D81C31" w:rsidRPr="009B137F">
        <w:rPr>
          <w:rStyle w:val="normaltextrun"/>
          <w:rFonts w:cs="Tahoma"/>
          <w:szCs w:val="24"/>
        </w:rPr>
        <w:t xml:space="preserve"> y</w:t>
      </w:r>
      <w:r w:rsidR="00471322" w:rsidRPr="009B137F">
        <w:rPr>
          <w:rStyle w:val="normaltextrun"/>
          <w:rFonts w:cs="Tahoma"/>
          <w:szCs w:val="24"/>
        </w:rPr>
        <w:t xml:space="preserve"> </w:t>
      </w:r>
      <w:r w:rsidR="00DF6B35" w:rsidRPr="009B137F">
        <w:rPr>
          <w:rStyle w:val="normaltextrun"/>
          <w:rFonts w:cs="Tahoma"/>
          <w:szCs w:val="24"/>
        </w:rPr>
        <w:t xml:space="preserve">se opuso a </w:t>
      </w:r>
      <w:r w:rsidR="00471322" w:rsidRPr="009B137F">
        <w:rPr>
          <w:rStyle w:val="normaltextrun"/>
          <w:rFonts w:cs="Tahoma"/>
          <w:szCs w:val="24"/>
        </w:rPr>
        <w:t>todas y cada una de las pretensiones, formulando como medios exceptivos de m</w:t>
      </w:r>
      <w:r w:rsidR="00DF6B35" w:rsidRPr="009B137F">
        <w:rPr>
          <w:rStyle w:val="normaltextrun"/>
          <w:rFonts w:cs="Tahoma"/>
          <w:szCs w:val="24"/>
        </w:rPr>
        <w:t>é</w:t>
      </w:r>
      <w:r w:rsidR="00471322" w:rsidRPr="009B137F">
        <w:rPr>
          <w:rStyle w:val="normaltextrun"/>
          <w:rFonts w:cs="Tahoma"/>
          <w:szCs w:val="24"/>
        </w:rPr>
        <w:t xml:space="preserve">rito los que denominó </w:t>
      </w:r>
      <w:r w:rsidR="00471322" w:rsidRPr="009B137F">
        <w:rPr>
          <w:rStyle w:val="normaltextrun"/>
          <w:rFonts w:cs="Tahoma"/>
          <w:i/>
          <w:iCs/>
          <w:szCs w:val="24"/>
        </w:rPr>
        <w:t>“</w:t>
      </w:r>
      <w:r w:rsidR="00293A0B" w:rsidRPr="009B137F">
        <w:rPr>
          <w:rStyle w:val="normaltextrun"/>
          <w:rFonts w:cs="Tahoma"/>
          <w:i/>
          <w:iCs/>
          <w:szCs w:val="24"/>
        </w:rPr>
        <w:t>incapacidad o indebida representación del demandante o del demandado”, “cobro de lo no debido”, “inexistencia de las obligaciones demandadas”, “compensación”, “prescripción”, “buena fe”, “genérica”</w:t>
      </w:r>
      <w:r w:rsidR="00EB7BC6" w:rsidRPr="009B137F">
        <w:rPr>
          <w:rStyle w:val="normaltextrun"/>
          <w:rFonts w:cs="Tahoma"/>
          <w:i/>
          <w:iCs/>
          <w:szCs w:val="24"/>
        </w:rPr>
        <w:t>.</w:t>
      </w:r>
    </w:p>
    <w:p w14:paraId="68FA844E" w14:textId="77777777" w:rsidR="00601618" w:rsidRPr="009B137F" w:rsidRDefault="00601618" w:rsidP="009B137F">
      <w:pPr>
        <w:spacing w:line="276" w:lineRule="auto"/>
        <w:ind w:firstLine="708"/>
        <w:rPr>
          <w:rFonts w:cs="Tahoma"/>
          <w:szCs w:val="24"/>
        </w:rPr>
      </w:pPr>
    </w:p>
    <w:p w14:paraId="753AD656" w14:textId="77777777" w:rsidR="00A53360" w:rsidRPr="009B137F" w:rsidRDefault="00A53360" w:rsidP="009B137F">
      <w:pPr>
        <w:spacing w:line="276" w:lineRule="auto"/>
        <w:ind w:firstLine="708"/>
        <w:rPr>
          <w:rFonts w:eastAsia="Calibri" w:cs="Tahoma"/>
          <w:szCs w:val="24"/>
        </w:rPr>
      </w:pPr>
    </w:p>
    <w:p w14:paraId="7922BEAC" w14:textId="337AE7CD" w:rsidR="00CA5A23" w:rsidRPr="009B137F" w:rsidRDefault="00CA5A23" w:rsidP="009B137F">
      <w:pPr>
        <w:pStyle w:val="paragraph"/>
        <w:numPr>
          <w:ilvl w:val="0"/>
          <w:numId w:val="5"/>
        </w:numPr>
        <w:spacing w:before="0" w:beforeAutospacing="0" w:after="0" w:afterAutospacing="0" w:line="276" w:lineRule="auto"/>
        <w:ind w:left="0"/>
        <w:jc w:val="center"/>
        <w:textAlignment w:val="baseline"/>
        <w:rPr>
          <w:rStyle w:val="normaltextrun"/>
          <w:rFonts w:ascii="Tahoma" w:hAnsi="Tahoma" w:cs="Tahoma"/>
          <w:b/>
          <w:bCs/>
        </w:rPr>
      </w:pPr>
      <w:r w:rsidRPr="009B137F">
        <w:rPr>
          <w:rStyle w:val="normaltextrun"/>
          <w:rFonts w:ascii="Tahoma" w:hAnsi="Tahoma" w:cs="Tahoma"/>
          <w:b/>
          <w:bCs/>
        </w:rPr>
        <w:t>SENTENCIA DE PRIMERA INSTANCIA</w:t>
      </w:r>
    </w:p>
    <w:p w14:paraId="0D1B7094" w14:textId="77777777" w:rsidR="004076CD" w:rsidRPr="009B137F" w:rsidRDefault="004076CD" w:rsidP="009B137F">
      <w:pPr>
        <w:pStyle w:val="paragraph"/>
        <w:spacing w:before="0" w:beforeAutospacing="0" w:after="0" w:afterAutospacing="0" w:line="276" w:lineRule="auto"/>
        <w:textAlignment w:val="baseline"/>
        <w:rPr>
          <w:rFonts w:ascii="Tahoma" w:hAnsi="Tahoma" w:cs="Tahoma"/>
          <w:b/>
          <w:bCs/>
        </w:rPr>
      </w:pPr>
    </w:p>
    <w:p w14:paraId="3F6EA29D" w14:textId="15C60C73" w:rsidR="006D1201" w:rsidRPr="009B137F" w:rsidRDefault="000226F4" w:rsidP="009B137F">
      <w:pPr>
        <w:spacing w:line="276" w:lineRule="auto"/>
        <w:ind w:firstLine="708"/>
        <w:rPr>
          <w:rFonts w:cs="Tahoma"/>
          <w:szCs w:val="24"/>
          <w:lang w:val="es-CO"/>
        </w:rPr>
      </w:pPr>
      <w:r w:rsidRPr="009B137F">
        <w:rPr>
          <w:rFonts w:cs="Tahoma"/>
          <w:szCs w:val="24"/>
          <w:lang w:val="es-CO"/>
        </w:rPr>
        <w:t xml:space="preserve">La </w:t>
      </w:r>
      <w:r w:rsidR="00E108FF" w:rsidRPr="009B137F">
        <w:rPr>
          <w:rFonts w:cs="Tahoma"/>
          <w:szCs w:val="24"/>
          <w:lang w:val="es-CO"/>
        </w:rPr>
        <w:t>juez</w:t>
      </w:r>
      <w:r w:rsidRPr="009B137F">
        <w:rPr>
          <w:rFonts w:cs="Tahoma"/>
          <w:szCs w:val="24"/>
          <w:lang w:val="es-CO"/>
        </w:rPr>
        <w:t>a</w:t>
      </w:r>
      <w:r w:rsidR="00E108FF" w:rsidRPr="009B137F">
        <w:rPr>
          <w:rFonts w:cs="Tahoma"/>
          <w:szCs w:val="24"/>
          <w:lang w:val="es-CO"/>
        </w:rPr>
        <w:t xml:space="preserve"> </w:t>
      </w:r>
      <w:r w:rsidR="00A56C47" w:rsidRPr="009B137F">
        <w:rPr>
          <w:rFonts w:cs="Tahoma"/>
          <w:szCs w:val="24"/>
          <w:lang w:val="es-CO"/>
        </w:rPr>
        <w:t xml:space="preserve">previa declaración de la excepción de prescripción, </w:t>
      </w:r>
      <w:r w:rsidRPr="009B137F">
        <w:rPr>
          <w:rFonts w:cs="Tahoma"/>
          <w:szCs w:val="24"/>
          <w:lang w:val="es-CO"/>
        </w:rPr>
        <w:t xml:space="preserve">declaró </w:t>
      </w:r>
      <w:r w:rsidR="00402207" w:rsidRPr="009B137F">
        <w:rPr>
          <w:rFonts w:cs="Tahoma"/>
          <w:szCs w:val="24"/>
          <w:lang w:val="es-CO"/>
        </w:rPr>
        <w:t xml:space="preserve">que </w:t>
      </w:r>
      <w:r w:rsidR="00314F35" w:rsidRPr="009B137F">
        <w:rPr>
          <w:rFonts w:cs="Tahoma"/>
          <w:szCs w:val="24"/>
          <w:lang w:val="es-CO"/>
        </w:rPr>
        <w:t>la suma percibida</w:t>
      </w:r>
      <w:r w:rsidR="00402207" w:rsidRPr="009B137F">
        <w:rPr>
          <w:rFonts w:cs="Tahoma"/>
          <w:szCs w:val="24"/>
          <w:lang w:val="es-CO"/>
        </w:rPr>
        <w:t xml:space="preserve"> por la trabajadora bajo el concepto de </w:t>
      </w:r>
      <w:r w:rsidRPr="009B137F">
        <w:rPr>
          <w:rFonts w:cs="Tahoma"/>
          <w:szCs w:val="24"/>
          <w:lang w:val="es-CO"/>
        </w:rPr>
        <w:t>bono de asistencia</w:t>
      </w:r>
      <w:r w:rsidR="00402207" w:rsidRPr="009B137F">
        <w:rPr>
          <w:rFonts w:cs="Tahoma"/>
          <w:szCs w:val="24"/>
          <w:lang w:val="es-CO"/>
        </w:rPr>
        <w:t xml:space="preserve"> era </w:t>
      </w:r>
      <w:r w:rsidR="006D1201" w:rsidRPr="009B137F">
        <w:rPr>
          <w:rFonts w:cs="Tahoma"/>
          <w:szCs w:val="24"/>
          <w:lang w:val="es-CO"/>
        </w:rPr>
        <w:t>constitutiva</w:t>
      </w:r>
      <w:r w:rsidR="00402207" w:rsidRPr="009B137F">
        <w:rPr>
          <w:rFonts w:cs="Tahoma"/>
          <w:szCs w:val="24"/>
          <w:lang w:val="es-CO"/>
        </w:rPr>
        <w:t xml:space="preserve"> de salario </w:t>
      </w:r>
      <w:r w:rsidR="00314F35" w:rsidRPr="009B137F">
        <w:rPr>
          <w:rFonts w:cs="Tahoma"/>
          <w:szCs w:val="24"/>
          <w:lang w:val="es-CO"/>
        </w:rPr>
        <w:t xml:space="preserve">por ser </w:t>
      </w:r>
      <w:r w:rsidR="00402207" w:rsidRPr="009B137F">
        <w:rPr>
          <w:rFonts w:cs="Tahoma"/>
          <w:szCs w:val="24"/>
          <w:lang w:val="es-CO"/>
        </w:rPr>
        <w:t>una contraprestación directa del servicio</w:t>
      </w:r>
      <w:r w:rsidR="00314F35" w:rsidRPr="009B137F">
        <w:rPr>
          <w:rFonts w:cs="Tahoma"/>
          <w:szCs w:val="24"/>
          <w:lang w:val="es-CO"/>
        </w:rPr>
        <w:t xml:space="preserve">, por </w:t>
      </w:r>
      <w:r w:rsidR="006D1201" w:rsidRPr="009B137F">
        <w:rPr>
          <w:rFonts w:cs="Tahoma"/>
          <w:szCs w:val="24"/>
          <w:lang w:val="es-CO"/>
        </w:rPr>
        <w:t>consiguiente,</w:t>
      </w:r>
      <w:r w:rsidR="00314F35" w:rsidRPr="009B137F">
        <w:rPr>
          <w:rFonts w:cs="Tahoma"/>
          <w:szCs w:val="24"/>
          <w:lang w:val="es-CO"/>
        </w:rPr>
        <w:t xml:space="preserve"> accedió a las s</w:t>
      </w:r>
      <w:r w:rsidR="006D1201" w:rsidRPr="009B137F">
        <w:rPr>
          <w:rFonts w:cs="Tahoma"/>
          <w:szCs w:val="24"/>
          <w:lang w:val="es-CO"/>
        </w:rPr>
        <w:t>ú</w:t>
      </w:r>
      <w:r w:rsidR="00314F35" w:rsidRPr="009B137F">
        <w:rPr>
          <w:rFonts w:cs="Tahoma"/>
          <w:szCs w:val="24"/>
          <w:lang w:val="es-CO"/>
        </w:rPr>
        <w:t>plicas de la demanda</w:t>
      </w:r>
      <w:r w:rsidR="00FC1C10" w:rsidRPr="009B137F">
        <w:rPr>
          <w:rFonts w:cs="Tahoma"/>
          <w:szCs w:val="24"/>
          <w:lang w:val="es-CO"/>
        </w:rPr>
        <w:t>, esto es</w:t>
      </w:r>
      <w:r w:rsidR="00CB7B97" w:rsidRPr="009B137F">
        <w:rPr>
          <w:rFonts w:cs="Tahoma"/>
          <w:szCs w:val="24"/>
          <w:lang w:val="es-CO"/>
        </w:rPr>
        <w:t>, a la reliquidación de las prestaciones sociales</w:t>
      </w:r>
      <w:r w:rsidR="00D651F5" w:rsidRPr="009B137F">
        <w:rPr>
          <w:rFonts w:cs="Tahoma"/>
          <w:szCs w:val="24"/>
          <w:lang w:val="es-CO"/>
        </w:rPr>
        <w:t xml:space="preserve">, </w:t>
      </w:r>
      <w:r w:rsidR="00CB7B97" w:rsidRPr="009B137F">
        <w:rPr>
          <w:rFonts w:cs="Tahoma"/>
          <w:szCs w:val="24"/>
          <w:lang w:val="es-CO"/>
        </w:rPr>
        <w:t xml:space="preserve">y </w:t>
      </w:r>
      <w:r w:rsidR="00FC1C10" w:rsidRPr="009B137F">
        <w:rPr>
          <w:rFonts w:cs="Tahoma"/>
          <w:szCs w:val="24"/>
          <w:lang w:val="es-CO"/>
        </w:rPr>
        <w:lastRenderedPageBreak/>
        <w:t>a</w:t>
      </w:r>
      <w:r w:rsidR="006D1201" w:rsidRPr="009B137F">
        <w:rPr>
          <w:rFonts w:cs="Tahoma"/>
          <w:szCs w:val="24"/>
          <w:lang w:val="es-CO"/>
        </w:rPr>
        <w:t>l</w:t>
      </w:r>
      <w:r w:rsidR="00FC1C10" w:rsidRPr="009B137F">
        <w:rPr>
          <w:rFonts w:cs="Tahoma"/>
          <w:szCs w:val="24"/>
          <w:lang w:val="es-CO"/>
        </w:rPr>
        <w:t xml:space="preserve"> reajuste del IBC por el periodo laboral comprendido entre el 1 de junio de 2014 y el 20 de noviembre de 2015</w:t>
      </w:r>
      <w:r w:rsidR="00CB7B97" w:rsidRPr="009B137F">
        <w:rPr>
          <w:rFonts w:cs="Tahoma"/>
          <w:szCs w:val="24"/>
          <w:lang w:val="es-CO"/>
        </w:rPr>
        <w:t xml:space="preserve">, en virtud de lo cual </w:t>
      </w:r>
      <w:r w:rsidR="006D1201" w:rsidRPr="009B137F">
        <w:rPr>
          <w:rFonts w:cs="Tahoma"/>
          <w:szCs w:val="24"/>
          <w:lang w:val="es-CO"/>
        </w:rPr>
        <w:t xml:space="preserve">ofició a la AFP Protección con el fin de que realizara el recaudo correspondiente. </w:t>
      </w:r>
    </w:p>
    <w:p w14:paraId="5238E0BE" w14:textId="6B12ADD7" w:rsidR="00A56C47" w:rsidRPr="009B137F" w:rsidRDefault="00A56C47" w:rsidP="009B137F">
      <w:pPr>
        <w:spacing w:line="276" w:lineRule="auto"/>
        <w:ind w:firstLine="708"/>
        <w:rPr>
          <w:rFonts w:cs="Tahoma"/>
          <w:bCs/>
          <w:szCs w:val="24"/>
          <w:lang w:val="es-CO"/>
        </w:rPr>
      </w:pPr>
    </w:p>
    <w:p w14:paraId="46A4029F" w14:textId="5ADAB0C6" w:rsidR="00A56C47" w:rsidRPr="009B137F" w:rsidRDefault="00A56C47" w:rsidP="009B137F">
      <w:pPr>
        <w:spacing w:line="276" w:lineRule="auto"/>
        <w:ind w:firstLine="708"/>
        <w:rPr>
          <w:rFonts w:cs="Tahoma"/>
          <w:bCs/>
          <w:szCs w:val="24"/>
          <w:lang w:val="es-CO"/>
        </w:rPr>
      </w:pPr>
      <w:r w:rsidRPr="009B137F">
        <w:rPr>
          <w:rFonts w:cs="Tahoma"/>
          <w:bCs/>
          <w:szCs w:val="24"/>
          <w:lang w:val="es-CO"/>
        </w:rPr>
        <w:t xml:space="preserve">Para arribar a tal determinación, </w:t>
      </w:r>
      <w:r w:rsidR="00F0246B" w:rsidRPr="009B137F">
        <w:rPr>
          <w:rFonts w:cs="Tahoma"/>
          <w:bCs/>
          <w:szCs w:val="24"/>
          <w:lang w:val="es-CO"/>
        </w:rPr>
        <w:t>indicó que se daban los presupuestos legales y jurisprudenciales para calificar de factor salarial el monto percibido</w:t>
      </w:r>
      <w:r w:rsidR="00224922" w:rsidRPr="009B137F">
        <w:rPr>
          <w:rFonts w:cs="Tahoma"/>
          <w:bCs/>
          <w:szCs w:val="24"/>
          <w:lang w:val="es-CO"/>
        </w:rPr>
        <w:t xml:space="preserve"> por la actora a título de</w:t>
      </w:r>
      <w:r w:rsidR="00F0246B" w:rsidRPr="009B137F">
        <w:rPr>
          <w:rFonts w:cs="Tahoma"/>
          <w:bCs/>
          <w:szCs w:val="24"/>
          <w:lang w:val="es-CO"/>
        </w:rPr>
        <w:t xml:space="preserve"> bono de asistencia, cuyo fin era </w:t>
      </w:r>
      <w:r w:rsidR="00351C55" w:rsidRPr="009B137F">
        <w:rPr>
          <w:rFonts w:cs="Tahoma"/>
          <w:bCs/>
          <w:szCs w:val="24"/>
          <w:lang w:val="es-CO"/>
        </w:rPr>
        <w:t xml:space="preserve">la prestación del servicio de forma puntual. </w:t>
      </w:r>
    </w:p>
    <w:p w14:paraId="4976EC84" w14:textId="725C5CAA" w:rsidR="00351C55" w:rsidRPr="009B137F" w:rsidRDefault="00351C55" w:rsidP="009B137F">
      <w:pPr>
        <w:spacing w:line="276" w:lineRule="auto"/>
        <w:ind w:firstLine="708"/>
        <w:rPr>
          <w:rFonts w:cs="Tahoma"/>
          <w:bCs/>
          <w:szCs w:val="24"/>
          <w:lang w:val="es-CO"/>
        </w:rPr>
      </w:pPr>
    </w:p>
    <w:p w14:paraId="5C5BE85B" w14:textId="079BAA3B" w:rsidR="00351C55" w:rsidRPr="009B137F" w:rsidRDefault="00224922" w:rsidP="009B137F">
      <w:pPr>
        <w:spacing w:line="276" w:lineRule="auto"/>
        <w:ind w:firstLine="708"/>
        <w:rPr>
          <w:rFonts w:cs="Tahoma"/>
          <w:bCs/>
          <w:szCs w:val="24"/>
          <w:lang w:val="es-CO"/>
        </w:rPr>
      </w:pPr>
      <w:r w:rsidRPr="009B137F">
        <w:rPr>
          <w:rFonts w:cs="Tahoma"/>
          <w:bCs/>
          <w:szCs w:val="24"/>
          <w:lang w:val="es-CO"/>
        </w:rPr>
        <w:t>No obstante</w:t>
      </w:r>
      <w:r w:rsidR="00351C55" w:rsidRPr="009B137F">
        <w:rPr>
          <w:rFonts w:cs="Tahoma"/>
          <w:bCs/>
          <w:szCs w:val="24"/>
          <w:lang w:val="es-CO"/>
        </w:rPr>
        <w:t>, teniendo en cuenta que el v</w:t>
      </w:r>
      <w:r w:rsidR="00C8118F" w:rsidRPr="009B137F">
        <w:rPr>
          <w:rFonts w:cs="Tahoma"/>
          <w:bCs/>
          <w:szCs w:val="24"/>
          <w:lang w:val="es-CO"/>
        </w:rPr>
        <w:t>í</w:t>
      </w:r>
      <w:r w:rsidR="00351C55" w:rsidRPr="009B137F">
        <w:rPr>
          <w:rFonts w:cs="Tahoma"/>
          <w:bCs/>
          <w:szCs w:val="24"/>
          <w:lang w:val="es-CO"/>
        </w:rPr>
        <w:t xml:space="preserve">nculo laboral terminó el 20 de noviembre de 2015, que la actora nunca elevó reclamación por escrito al empleador y </w:t>
      </w:r>
      <w:r w:rsidR="00610104" w:rsidRPr="009B137F">
        <w:rPr>
          <w:rFonts w:cs="Tahoma"/>
          <w:bCs/>
          <w:szCs w:val="24"/>
          <w:lang w:val="es-CO"/>
        </w:rPr>
        <w:t>que,</w:t>
      </w:r>
      <w:r w:rsidR="00351C55" w:rsidRPr="009B137F">
        <w:rPr>
          <w:rFonts w:cs="Tahoma"/>
          <w:bCs/>
          <w:szCs w:val="24"/>
          <w:lang w:val="es-CO"/>
        </w:rPr>
        <w:t xml:space="preserve"> si bien la demanda se presentó el 5 de febrero de 201</w:t>
      </w:r>
      <w:r w:rsidR="00AA595C" w:rsidRPr="009B137F">
        <w:rPr>
          <w:rFonts w:cs="Tahoma"/>
          <w:bCs/>
          <w:szCs w:val="24"/>
          <w:lang w:val="es-CO"/>
        </w:rPr>
        <w:t>8</w:t>
      </w:r>
      <w:r w:rsidR="00351C55" w:rsidRPr="009B137F">
        <w:rPr>
          <w:rFonts w:cs="Tahoma"/>
          <w:bCs/>
          <w:szCs w:val="24"/>
          <w:lang w:val="es-CO"/>
        </w:rPr>
        <w:t xml:space="preserve">, solo se notificó en debida forma </w:t>
      </w:r>
      <w:r w:rsidR="00C8118F" w:rsidRPr="009B137F">
        <w:rPr>
          <w:rFonts w:cs="Tahoma"/>
          <w:bCs/>
          <w:szCs w:val="24"/>
          <w:lang w:val="es-CO"/>
        </w:rPr>
        <w:t>el 31 de mayo de 2019</w:t>
      </w:r>
      <w:r w:rsidR="00257A47" w:rsidRPr="009B137F">
        <w:rPr>
          <w:rFonts w:cs="Tahoma"/>
          <w:bCs/>
          <w:szCs w:val="24"/>
          <w:lang w:val="es-CO"/>
        </w:rPr>
        <w:t>,</w:t>
      </w:r>
      <w:r w:rsidR="00C8118F" w:rsidRPr="009B137F">
        <w:rPr>
          <w:rFonts w:cs="Tahoma"/>
          <w:bCs/>
          <w:szCs w:val="24"/>
          <w:lang w:val="es-CO"/>
        </w:rPr>
        <w:t xml:space="preserve"> como quiera que en un principio se notificó a un sujeto procesal que no </w:t>
      </w:r>
      <w:r w:rsidR="00610104" w:rsidRPr="009B137F">
        <w:rPr>
          <w:rFonts w:cs="Tahoma"/>
          <w:bCs/>
          <w:szCs w:val="24"/>
          <w:lang w:val="es-CO"/>
        </w:rPr>
        <w:t>tenía capacidad para comparecer, declaró probada la excepción de prescripción sobre los emolumentos reclama</w:t>
      </w:r>
      <w:r w:rsidR="000D7972" w:rsidRPr="009B137F">
        <w:rPr>
          <w:rFonts w:cs="Tahoma"/>
          <w:bCs/>
          <w:szCs w:val="24"/>
          <w:lang w:val="es-CO"/>
        </w:rPr>
        <w:t xml:space="preserve">dos exigibles con anterioridad al 20 de noviembre de 2018, salvo el reajuste pensional dada su connotación de imprescriptible. </w:t>
      </w:r>
    </w:p>
    <w:p w14:paraId="00305120" w14:textId="1E45D640" w:rsidR="000D7972" w:rsidRPr="009B137F" w:rsidRDefault="000D7972" w:rsidP="009B137F">
      <w:pPr>
        <w:spacing w:line="276" w:lineRule="auto"/>
        <w:ind w:firstLine="708"/>
        <w:rPr>
          <w:rFonts w:cs="Tahoma"/>
          <w:bCs/>
          <w:szCs w:val="24"/>
          <w:lang w:val="es-CO"/>
        </w:rPr>
      </w:pPr>
    </w:p>
    <w:p w14:paraId="21FBF69B" w14:textId="5D7B75F3" w:rsidR="00D65886" w:rsidRPr="009B137F" w:rsidRDefault="00D651F5" w:rsidP="009B137F">
      <w:pPr>
        <w:spacing w:line="276" w:lineRule="auto"/>
        <w:ind w:firstLine="708"/>
        <w:rPr>
          <w:rFonts w:cs="Tahoma"/>
          <w:szCs w:val="24"/>
        </w:rPr>
      </w:pPr>
      <w:r w:rsidRPr="009B137F">
        <w:rPr>
          <w:rFonts w:cs="Tahoma"/>
          <w:szCs w:val="24"/>
          <w:lang w:val="es-CO"/>
        </w:rPr>
        <w:t xml:space="preserve">Por último, halló procedente la indemnización moratoria contenida en el artículo 65 del Código Sustantivo del Trabajo, </w:t>
      </w:r>
      <w:r w:rsidR="0056794A" w:rsidRPr="009B137F">
        <w:rPr>
          <w:rFonts w:cs="Tahoma"/>
          <w:szCs w:val="24"/>
          <w:lang w:val="es-CO"/>
        </w:rPr>
        <w:t>ante la inexistencia de razones plausibles para que l</w:t>
      </w:r>
      <w:r w:rsidR="0056794A" w:rsidRPr="009B137F">
        <w:rPr>
          <w:rFonts w:cs="Tahoma"/>
          <w:szCs w:val="24"/>
        </w:rPr>
        <w:t>a entidad demandada hubiera calificado el bono de asistencia como no salarial,</w:t>
      </w:r>
      <w:r w:rsidR="005E6697" w:rsidRPr="009B137F">
        <w:rPr>
          <w:rFonts w:cs="Tahoma"/>
          <w:szCs w:val="24"/>
        </w:rPr>
        <w:t xml:space="preserve"> asimismo calificó como un abuso del derecho el pacto de exclusión salarial, debido a que </w:t>
      </w:r>
      <w:r w:rsidR="0019021B" w:rsidRPr="009B137F">
        <w:rPr>
          <w:rFonts w:cs="Tahoma"/>
          <w:szCs w:val="24"/>
        </w:rPr>
        <w:t>sometía</w:t>
      </w:r>
      <w:r w:rsidR="005E6697" w:rsidRPr="009B137F">
        <w:rPr>
          <w:rFonts w:cs="Tahoma"/>
          <w:szCs w:val="24"/>
        </w:rPr>
        <w:t xml:space="preserve"> a la trabajadora a </w:t>
      </w:r>
      <w:r w:rsidR="001D4E17" w:rsidRPr="009B137F">
        <w:rPr>
          <w:rFonts w:cs="Tahoma"/>
          <w:szCs w:val="24"/>
        </w:rPr>
        <w:t>prestar el servicio a</w:t>
      </w:r>
      <w:r w:rsidR="00181B3B" w:rsidRPr="009B137F">
        <w:rPr>
          <w:rFonts w:cs="Tahoma"/>
          <w:szCs w:val="24"/>
        </w:rPr>
        <w:t>ú</w:t>
      </w:r>
      <w:r w:rsidR="001D4E17" w:rsidRPr="009B137F">
        <w:rPr>
          <w:rFonts w:cs="Tahoma"/>
          <w:szCs w:val="24"/>
        </w:rPr>
        <w:t xml:space="preserve">n en </w:t>
      </w:r>
      <w:r w:rsidR="007F6B40" w:rsidRPr="009B137F">
        <w:rPr>
          <w:rFonts w:cs="Tahoma"/>
          <w:szCs w:val="24"/>
        </w:rPr>
        <w:t xml:space="preserve">aquellos </w:t>
      </w:r>
      <w:r w:rsidR="001D4E17" w:rsidRPr="009B137F">
        <w:rPr>
          <w:rFonts w:cs="Tahoma"/>
          <w:szCs w:val="24"/>
        </w:rPr>
        <w:t xml:space="preserve">eventos en que la ley </w:t>
      </w:r>
      <w:r w:rsidR="00831630" w:rsidRPr="009B137F">
        <w:rPr>
          <w:rFonts w:cs="Tahoma"/>
          <w:szCs w:val="24"/>
        </w:rPr>
        <w:t>no lo exige</w:t>
      </w:r>
      <w:r w:rsidR="0019021B" w:rsidRPr="009B137F">
        <w:rPr>
          <w:rFonts w:cs="Tahoma"/>
          <w:szCs w:val="24"/>
        </w:rPr>
        <w:t>,</w:t>
      </w:r>
      <w:r w:rsidR="007F6B40" w:rsidRPr="009B137F">
        <w:rPr>
          <w:rFonts w:cs="Tahoma"/>
          <w:szCs w:val="24"/>
        </w:rPr>
        <w:t xml:space="preserve"> como cuando se enferm</w:t>
      </w:r>
      <w:r w:rsidR="00831630" w:rsidRPr="009B137F">
        <w:rPr>
          <w:rFonts w:cs="Tahoma"/>
          <w:szCs w:val="24"/>
        </w:rPr>
        <w:t>a</w:t>
      </w:r>
      <w:r w:rsidR="005C652F" w:rsidRPr="009B137F">
        <w:rPr>
          <w:rFonts w:cs="Tahoma"/>
          <w:szCs w:val="24"/>
        </w:rPr>
        <w:t>ba</w:t>
      </w:r>
      <w:r w:rsidR="00831630" w:rsidRPr="009B137F">
        <w:rPr>
          <w:rFonts w:cs="Tahoma"/>
          <w:szCs w:val="24"/>
        </w:rPr>
        <w:t xml:space="preserve"> y </w:t>
      </w:r>
      <w:r w:rsidR="005C652F" w:rsidRPr="009B137F">
        <w:rPr>
          <w:rFonts w:cs="Tahoma"/>
          <w:szCs w:val="24"/>
        </w:rPr>
        <w:t>era</w:t>
      </w:r>
      <w:r w:rsidR="00831630" w:rsidRPr="009B137F">
        <w:rPr>
          <w:rFonts w:cs="Tahoma"/>
          <w:szCs w:val="24"/>
        </w:rPr>
        <w:t xml:space="preserve"> incapacitada, pues</w:t>
      </w:r>
      <w:r w:rsidR="005C652F" w:rsidRPr="009B137F">
        <w:rPr>
          <w:rFonts w:cs="Tahoma"/>
          <w:szCs w:val="24"/>
        </w:rPr>
        <w:t xml:space="preserve"> incluso en estos casos</w:t>
      </w:r>
      <w:r w:rsidR="00B64B68" w:rsidRPr="009B137F">
        <w:rPr>
          <w:rFonts w:cs="Tahoma"/>
          <w:szCs w:val="24"/>
        </w:rPr>
        <w:t xml:space="preserve"> pe</w:t>
      </w:r>
      <w:r w:rsidR="007F6B40" w:rsidRPr="009B137F">
        <w:rPr>
          <w:rFonts w:cs="Tahoma"/>
          <w:szCs w:val="24"/>
        </w:rPr>
        <w:t>r</w:t>
      </w:r>
      <w:r w:rsidR="00B64B68" w:rsidRPr="009B137F">
        <w:rPr>
          <w:rFonts w:cs="Tahoma"/>
          <w:szCs w:val="24"/>
        </w:rPr>
        <w:t xml:space="preserve">día el bono de asistencia, lo que a su juicio menoscababa los derechos de la trabajadora. Sin </w:t>
      </w:r>
      <w:r w:rsidR="00D65886" w:rsidRPr="009B137F">
        <w:rPr>
          <w:rFonts w:cs="Tahoma"/>
          <w:szCs w:val="24"/>
        </w:rPr>
        <w:t>embargo,</w:t>
      </w:r>
      <w:r w:rsidR="00BD550B" w:rsidRPr="009B137F">
        <w:rPr>
          <w:rFonts w:cs="Tahoma"/>
          <w:szCs w:val="24"/>
        </w:rPr>
        <w:t xml:space="preserve"> concluyó</w:t>
      </w:r>
      <w:r w:rsidR="00B64B68" w:rsidRPr="009B137F">
        <w:rPr>
          <w:rFonts w:cs="Tahoma"/>
          <w:szCs w:val="24"/>
        </w:rPr>
        <w:t xml:space="preserve"> </w:t>
      </w:r>
      <w:r w:rsidR="00BD550B" w:rsidRPr="009B137F">
        <w:rPr>
          <w:rFonts w:cs="Tahoma"/>
          <w:szCs w:val="24"/>
        </w:rPr>
        <w:t>también esta indemnización se encontraba</w:t>
      </w:r>
      <w:r w:rsidR="00D34F4A" w:rsidRPr="009B137F">
        <w:rPr>
          <w:rFonts w:cs="Tahoma"/>
          <w:szCs w:val="24"/>
        </w:rPr>
        <w:t xml:space="preserve"> cobijada por la prescripción.</w:t>
      </w:r>
    </w:p>
    <w:p w14:paraId="427FB1E6" w14:textId="27D142CA" w:rsidR="006F0BF1" w:rsidRPr="009B137F" w:rsidRDefault="006F0BF1" w:rsidP="009B137F">
      <w:pPr>
        <w:spacing w:line="276" w:lineRule="auto"/>
        <w:rPr>
          <w:rFonts w:cs="Tahoma"/>
          <w:bCs/>
          <w:szCs w:val="24"/>
        </w:rPr>
      </w:pPr>
      <w:r w:rsidRPr="009B137F">
        <w:rPr>
          <w:rFonts w:cs="Tahoma"/>
          <w:szCs w:val="24"/>
          <w:lang w:val="es-CO"/>
        </w:rPr>
        <w:tab/>
      </w:r>
    </w:p>
    <w:p w14:paraId="053E10C5" w14:textId="77777777" w:rsidR="00CB7E46" w:rsidRPr="009B137F" w:rsidRDefault="00CB7E46" w:rsidP="009B137F">
      <w:pPr>
        <w:tabs>
          <w:tab w:val="left" w:pos="6737"/>
        </w:tabs>
        <w:spacing w:line="276" w:lineRule="auto"/>
        <w:ind w:firstLine="708"/>
        <w:rPr>
          <w:rFonts w:cs="Tahoma"/>
          <w:szCs w:val="24"/>
        </w:rPr>
      </w:pPr>
    </w:p>
    <w:p w14:paraId="37D89F98" w14:textId="11A02C7A" w:rsidR="006F0BF1" w:rsidRPr="009B137F" w:rsidRDefault="00CA5A23" w:rsidP="009B137F">
      <w:pPr>
        <w:pStyle w:val="Prrafodelista"/>
        <w:numPr>
          <w:ilvl w:val="0"/>
          <w:numId w:val="5"/>
        </w:numPr>
        <w:tabs>
          <w:tab w:val="left" w:pos="284"/>
        </w:tabs>
        <w:spacing w:line="276" w:lineRule="auto"/>
        <w:jc w:val="center"/>
        <w:rPr>
          <w:rFonts w:cs="Tahoma"/>
          <w:b/>
          <w:szCs w:val="24"/>
        </w:rPr>
      </w:pPr>
      <w:r w:rsidRPr="009B137F">
        <w:rPr>
          <w:rFonts w:cs="Tahoma"/>
          <w:b/>
          <w:szCs w:val="24"/>
          <w:lang w:val="es-CO"/>
        </w:rPr>
        <w:t>RECURSO DE APELACIÓN Y PROCEDENCIA DE LA CONSULTA</w:t>
      </w:r>
    </w:p>
    <w:p w14:paraId="0C6F584C" w14:textId="77777777" w:rsidR="006F0BF1" w:rsidRPr="009B137F" w:rsidRDefault="006F0BF1" w:rsidP="009B137F">
      <w:pPr>
        <w:tabs>
          <w:tab w:val="left" w:pos="284"/>
        </w:tabs>
        <w:spacing w:line="276" w:lineRule="auto"/>
        <w:jc w:val="center"/>
        <w:rPr>
          <w:rFonts w:cs="Tahoma"/>
          <w:b/>
          <w:szCs w:val="24"/>
        </w:rPr>
      </w:pPr>
    </w:p>
    <w:p w14:paraId="5845EFEB" w14:textId="38885D59" w:rsidR="00975E71" w:rsidRPr="009B137F" w:rsidRDefault="00EB657A" w:rsidP="009B137F">
      <w:pPr>
        <w:spacing w:line="276" w:lineRule="auto"/>
        <w:ind w:firstLine="708"/>
        <w:rPr>
          <w:rFonts w:cs="Tahoma"/>
          <w:szCs w:val="24"/>
        </w:rPr>
      </w:pPr>
      <w:r w:rsidRPr="009B137F">
        <w:rPr>
          <w:rFonts w:cs="Tahoma"/>
          <w:szCs w:val="24"/>
        </w:rPr>
        <w:t xml:space="preserve">Inconforme con la decisión de primer grado, </w:t>
      </w:r>
      <w:r w:rsidR="00CD0793" w:rsidRPr="009B137F">
        <w:rPr>
          <w:rFonts w:cs="Tahoma"/>
          <w:szCs w:val="24"/>
        </w:rPr>
        <w:t xml:space="preserve">la demandante </w:t>
      </w:r>
      <w:r w:rsidR="00502163" w:rsidRPr="009B137F">
        <w:rPr>
          <w:rFonts w:cs="Tahoma"/>
          <w:szCs w:val="24"/>
        </w:rPr>
        <w:t xml:space="preserve">solicitó que fuera negada la excepción de prescripción propuesta por su contraparte y </w:t>
      </w:r>
      <w:r w:rsidR="00AE4D29" w:rsidRPr="009B137F">
        <w:rPr>
          <w:rFonts w:cs="Tahoma"/>
          <w:szCs w:val="24"/>
        </w:rPr>
        <w:t xml:space="preserve">en consecuencia </w:t>
      </w:r>
      <w:r w:rsidR="00115444" w:rsidRPr="009B137F">
        <w:rPr>
          <w:rFonts w:cs="Tahoma"/>
          <w:szCs w:val="24"/>
        </w:rPr>
        <w:t xml:space="preserve">se accediera a las pretensiones que a juicio de la a-quo habían sido cobijadas por el fenómeno extintivo, y </w:t>
      </w:r>
      <w:r w:rsidR="00AE4D29" w:rsidRPr="009B137F">
        <w:rPr>
          <w:rFonts w:cs="Tahoma"/>
          <w:szCs w:val="24"/>
        </w:rPr>
        <w:t xml:space="preserve">se aumentara el porcentaje de las costas procesales. </w:t>
      </w:r>
    </w:p>
    <w:p w14:paraId="343702F4" w14:textId="03C86499" w:rsidR="00AE4D29" w:rsidRPr="009B137F" w:rsidRDefault="00AE4D29" w:rsidP="009B137F">
      <w:pPr>
        <w:spacing w:line="276" w:lineRule="auto"/>
        <w:ind w:firstLine="360"/>
        <w:rPr>
          <w:rFonts w:cs="Tahoma"/>
          <w:szCs w:val="24"/>
        </w:rPr>
      </w:pPr>
    </w:p>
    <w:p w14:paraId="682C3A60" w14:textId="7A97281C" w:rsidR="00AE4D29" w:rsidRPr="009B137F" w:rsidRDefault="00AE4D29" w:rsidP="009B137F">
      <w:pPr>
        <w:spacing w:line="276" w:lineRule="auto"/>
        <w:ind w:firstLine="360"/>
        <w:rPr>
          <w:rFonts w:cs="Tahoma"/>
          <w:szCs w:val="24"/>
        </w:rPr>
      </w:pPr>
      <w:r w:rsidRPr="009B137F">
        <w:rPr>
          <w:rFonts w:cs="Tahoma"/>
          <w:szCs w:val="24"/>
        </w:rPr>
        <w:tab/>
        <w:t xml:space="preserve">Para el efecto, solicitó que fuera aplicado en el presente caso el análisis abordado en la sentencia </w:t>
      </w:r>
      <w:r w:rsidR="00FE60EF" w:rsidRPr="009B137F">
        <w:rPr>
          <w:rFonts w:cs="Tahoma"/>
          <w:szCs w:val="24"/>
        </w:rPr>
        <w:t>con radicado abreviado 2018-00</w:t>
      </w:r>
      <w:r w:rsidR="0028283A" w:rsidRPr="009B137F">
        <w:rPr>
          <w:rFonts w:cs="Tahoma"/>
          <w:szCs w:val="24"/>
        </w:rPr>
        <w:t>3</w:t>
      </w:r>
      <w:r w:rsidR="00FE60EF" w:rsidRPr="009B137F">
        <w:rPr>
          <w:rFonts w:cs="Tahoma"/>
          <w:szCs w:val="24"/>
        </w:rPr>
        <w:t xml:space="preserve">34-02 </w:t>
      </w:r>
      <w:r w:rsidRPr="009B137F">
        <w:rPr>
          <w:rFonts w:cs="Tahoma"/>
          <w:szCs w:val="24"/>
        </w:rPr>
        <w:t xml:space="preserve">del 14 de mayo de 2021, acta número 72, por medio de la cual se interpretó que todo el tiempo en el que estuvo por definirse el sujeto pasivo de la litis no debía </w:t>
      </w:r>
      <w:r w:rsidR="00161C70" w:rsidRPr="009B137F">
        <w:rPr>
          <w:rFonts w:cs="Tahoma"/>
          <w:szCs w:val="24"/>
        </w:rPr>
        <w:t>tenerse como un tiempo desprovisto de actos tendientes a la notificación, en razón de lo cual la presentación de la demanda tenía la virtualidad de interrumpir la prescripción</w:t>
      </w:r>
      <w:r w:rsidR="005C252D" w:rsidRPr="009B137F">
        <w:rPr>
          <w:rFonts w:cs="Tahoma"/>
          <w:szCs w:val="24"/>
        </w:rPr>
        <w:t xml:space="preserve">, y citó inextenso la decisión adoptada para concluir </w:t>
      </w:r>
      <w:r w:rsidR="009D0E0C" w:rsidRPr="009B137F">
        <w:rPr>
          <w:rFonts w:cs="Tahoma"/>
          <w:szCs w:val="24"/>
        </w:rPr>
        <w:t>que el t</w:t>
      </w:r>
      <w:r w:rsidR="00E03728" w:rsidRPr="009B137F">
        <w:rPr>
          <w:rFonts w:cs="Tahoma"/>
          <w:szCs w:val="24"/>
        </w:rPr>
        <w:t>é</w:t>
      </w:r>
      <w:r w:rsidR="009D0E0C" w:rsidRPr="009B137F">
        <w:rPr>
          <w:rFonts w:cs="Tahoma"/>
          <w:szCs w:val="24"/>
        </w:rPr>
        <w:t>rmin</w:t>
      </w:r>
      <w:r w:rsidR="00E03728" w:rsidRPr="009B137F">
        <w:rPr>
          <w:rFonts w:cs="Tahoma"/>
          <w:szCs w:val="24"/>
        </w:rPr>
        <w:t xml:space="preserve">o </w:t>
      </w:r>
      <w:r w:rsidR="00DE0E50" w:rsidRPr="009B137F">
        <w:rPr>
          <w:rFonts w:cs="Tahoma"/>
          <w:szCs w:val="24"/>
        </w:rPr>
        <w:t xml:space="preserve">de prescripción se interrumpió con la presentación de la demanda, y el de </w:t>
      </w:r>
      <w:r w:rsidR="009D0E0C" w:rsidRPr="009B137F">
        <w:rPr>
          <w:rFonts w:cs="Tahoma"/>
          <w:szCs w:val="24"/>
        </w:rPr>
        <w:t xml:space="preserve">un año contemplado en el Código General del Proceso </w:t>
      </w:r>
      <w:r w:rsidR="00E03728" w:rsidRPr="009B137F">
        <w:rPr>
          <w:rFonts w:cs="Tahoma"/>
          <w:szCs w:val="24"/>
        </w:rPr>
        <w:t xml:space="preserve">con el </w:t>
      </w:r>
      <w:r w:rsidR="009D0E0C" w:rsidRPr="009B137F">
        <w:rPr>
          <w:rFonts w:cs="Tahoma"/>
          <w:szCs w:val="24"/>
        </w:rPr>
        <w:t>acto de saneamiento</w:t>
      </w:r>
      <w:r w:rsidR="004219A1" w:rsidRPr="009B137F">
        <w:rPr>
          <w:rFonts w:cs="Tahoma"/>
          <w:szCs w:val="24"/>
        </w:rPr>
        <w:t>,</w:t>
      </w:r>
      <w:r w:rsidR="003C663C" w:rsidRPr="009B137F">
        <w:rPr>
          <w:rFonts w:cs="Tahoma"/>
          <w:szCs w:val="24"/>
        </w:rPr>
        <w:t xml:space="preserve"> por lo cual</w:t>
      </w:r>
      <w:r w:rsidR="00E03728" w:rsidRPr="009B137F">
        <w:rPr>
          <w:rFonts w:cs="Tahoma"/>
          <w:szCs w:val="24"/>
        </w:rPr>
        <w:t xml:space="preserve">, </w:t>
      </w:r>
      <w:r w:rsidR="00265ABF" w:rsidRPr="009B137F">
        <w:rPr>
          <w:rFonts w:cs="Tahoma"/>
          <w:szCs w:val="24"/>
        </w:rPr>
        <w:t>no existió negligencia alguna</w:t>
      </w:r>
      <w:r w:rsidR="003046C0" w:rsidRPr="009B137F">
        <w:rPr>
          <w:rFonts w:cs="Tahoma"/>
          <w:szCs w:val="24"/>
        </w:rPr>
        <w:t xml:space="preserve"> por parte de la promotora de la litis</w:t>
      </w:r>
      <w:r w:rsidR="001076FD" w:rsidRPr="009B137F">
        <w:rPr>
          <w:rFonts w:cs="Tahoma"/>
          <w:szCs w:val="24"/>
        </w:rPr>
        <w:t>, quien una vez proferida la providencia respectiva procedió conforme a derecho con los actos de notificación</w:t>
      </w:r>
      <w:r w:rsidR="003046C0" w:rsidRPr="009B137F">
        <w:rPr>
          <w:rFonts w:cs="Tahoma"/>
          <w:szCs w:val="24"/>
        </w:rPr>
        <w:t>.</w:t>
      </w:r>
    </w:p>
    <w:p w14:paraId="67735A32" w14:textId="7366E7CC" w:rsidR="00D83029" w:rsidRPr="009B137F" w:rsidRDefault="00D83029" w:rsidP="009B137F">
      <w:pPr>
        <w:spacing w:line="276" w:lineRule="auto"/>
        <w:rPr>
          <w:rFonts w:cs="Tahoma"/>
          <w:szCs w:val="24"/>
        </w:rPr>
      </w:pPr>
    </w:p>
    <w:p w14:paraId="4DD773F2" w14:textId="77777777" w:rsidR="00BB20D3" w:rsidRPr="009B137F" w:rsidRDefault="00BB20D3" w:rsidP="009B137F">
      <w:pPr>
        <w:spacing w:line="276" w:lineRule="auto"/>
        <w:rPr>
          <w:rFonts w:cs="Tahoma"/>
          <w:szCs w:val="24"/>
        </w:rPr>
      </w:pPr>
    </w:p>
    <w:p w14:paraId="15E027EF" w14:textId="7BD88CCC" w:rsidR="003B0567" w:rsidRPr="009B137F" w:rsidRDefault="003B0567" w:rsidP="009B137F">
      <w:pPr>
        <w:pStyle w:val="Prrafodelista"/>
        <w:widowControl w:val="0"/>
        <w:numPr>
          <w:ilvl w:val="0"/>
          <w:numId w:val="5"/>
        </w:numPr>
        <w:autoSpaceDE w:val="0"/>
        <w:autoSpaceDN w:val="0"/>
        <w:adjustRightInd w:val="0"/>
        <w:spacing w:line="276" w:lineRule="auto"/>
        <w:jc w:val="center"/>
        <w:rPr>
          <w:rFonts w:cs="Tahoma"/>
          <w:color w:val="000000"/>
          <w:szCs w:val="24"/>
        </w:rPr>
      </w:pPr>
      <w:r w:rsidRPr="009B137F">
        <w:rPr>
          <w:rFonts w:cs="Tahoma"/>
          <w:b/>
          <w:bCs/>
          <w:szCs w:val="24"/>
          <w:lang w:val="es-CO"/>
        </w:rPr>
        <w:t>ALEGATOS DE CONCLUSIÓN</w:t>
      </w:r>
    </w:p>
    <w:p w14:paraId="3D9E6D1D" w14:textId="77777777" w:rsidR="00DF5EEC" w:rsidRPr="009B137F" w:rsidRDefault="00DF5EEC" w:rsidP="009B137F">
      <w:pPr>
        <w:pStyle w:val="Prrafodelista"/>
        <w:widowControl w:val="0"/>
        <w:autoSpaceDE w:val="0"/>
        <w:autoSpaceDN w:val="0"/>
        <w:adjustRightInd w:val="0"/>
        <w:spacing w:line="276" w:lineRule="auto"/>
        <w:rPr>
          <w:rStyle w:val="normaltextrun"/>
          <w:rFonts w:cs="Tahoma"/>
          <w:color w:val="000000"/>
          <w:szCs w:val="24"/>
        </w:rPr>
      </w:pPr>
    </w:p>
    <w:p w14:paraId="5368AD6D" w14:textId="13AD0BCC" w:rsidR="003B0567" w:rsidRPr="009B137F" w:rsidRDefault="00A96EBA" w:rsidP="009B137F">
      <w:pPr>
        <w:spacing w:line="276" w:lineRule="auto"/>
        <w:ind w:firstLine="708"/>
        <w:rPr>
          <w:rStyle w:val="normaltextrun"/>
          <w:rFonts w:cs="Tahoma"/>
          <w:color w:val="000000"/>
          <w:szCs w:val="24"/>
          <w:lang w:val="es-CO"/>
        </w:rPr>
      </w:pPr>
      <w:r w:rsidRPr="009B137F">
        <w:rPr>
          <w:rFonts w:cs="Tahoma"/>
          <w:color w:val="000000"/>
          <w:szCs w:val="24"/>
          <w:lang w:val="es-CO"/>
        </w:rPr>
        <w:t>Conforme se dejó plasmado en la constancia de Secretaría, la parte demandada</w:t>
      </w:r>
      <w:r w:rsidR="002E17C2" w:rsidRPr="009B137F">
        <w:rPr>
          <w:rFonts w:cs="Tahoma"/>
          <w:color w:val="000000"/>
          <w:szCs w:val="24"/>
          <w:lang w:val="es-CO"/>
        </w:rPr>
        <w:t xml:space="preserve"> presentó alegatos de conclusión forma extemporánea y la parte activa dejó </w:t>
      </w:r>
      <w:r w:rsidR="002E17C2" w:rsidRPr="009B137F">
        <w:rPr>
          <w:rFonts w:cs="Tahoma"/>
          <w:color w:val="000000"/>
          <w:szCs w:val="24"/>
        </w:rPr>
        <w:t xml:space="preserve">transcurrir en silencio el plazo otorgado para tales efectos. </w:t>
      </w:r>
      <w:r w:rsidR="003B0567" w:rsidRPr="009B137F">
        <w:rPr>
          <w:rStyle w:val="normaltextrun"/>
          <w:rFonts w:cs="Tahoma"/>
          <w:color w:val="000000"/>
          <w:szCs w:val="24"/>
        </w:rPr>
        <w:t>Por su parte, el Ministerio Público no emitió concepto en el presente asunto</w:t>
      </w:r>
      <w:r w:rsidR="002E17C2" w:rsidRPr="009B137F">
        <w:rPr>
          <w:rStyle w:val="normaltextrun"/>
          <w:rFonts w:cs="Tahoma"/>
          <w:color w:val="000000"/>
          <w:szCs w:val="24"/>
        </w:rPr>
        <w:t>.</w:t>
      </w:r>
    </w:p>
    <w:p w14:paraId="3D24C284" w14:textId="146B8F0E" w:rsidR="003221C2" w:rsidRPr="009B137F" w:rsidRDefault="003221C2" w:rsidP="009B137F">
      <w:pPr>
        <w:spacing w:line="276" w:lineRule="auto"/>
        <w:ind w:firstLine="708"/>
        <w:rPr>
          <w:rStyle w:val="normaltextrun"/>
          <w:rFonts w:cs="Tahoma"/>
          <w:color w:val="000000"/>
          <w:szCs w:val="24"/>
        </w:rPr>
      </w:pPr>
    </w:p>
    <w:p w14:paraId="7D5BC182" w14:textId="77777777" w:rsidR="00890E99" w:rsidRPr="009B137F" w:rsidRDefault="00890E99" w:rsidP="009B137F">
      <w:pPr>
        <w:spacing w:line="276" w:lineRule="auto"/>
        <w:ind w:firstLine="708"/>
        <w:rPr>
          <w:rStyle w:val="normaltextrun"/>
          <w:rFonts w:cs="Tahoma"/>
          <w:color w:val="000000"/>
          <w:szCs w:val="24"/>
        </w:rPr>
      </w:pPr>
    </w:p>
    <w:p w14:paraId="0B99B14C" w14:textId="1ECF525A" w:rsidR="00890E99" w:rsidRPr="009B137F" w:rsidRDefault="00890E99" w:rsidP="009B137F">
      <w:pPr>
        <w:pStyle w:val="Prrafodelista"/>
        <w:numPr>
          <w:ilvl w:val="0"/>
          <w:numId w:val="5"/>
        </w:numPr>
        <w:spacing w:line="276" w:lineRule="auto"/>
        <w:jc w:val="center"/>
        <w:rPr>
          <w:rFonts w:cs="Tahoma"/>
          <w:b/>
          <w:color w:val="000000"/>
          <w:szCs w:val="24"/>
        </w:rPr>
      </w:pPr>
      <w:r w:rsidRPr="009B137F">
        <w:rPr>
          <w:rFonts w:cs="Tahoma"/>
          <w:b/>
          <w:color w:val="000000"/>
          <w:szCs w:val="24"/>
        </w:rPr>
        <w:t>PROBLEMA JURÍDICO POR RESOLVER</w:t>
      </w:r>
    </w:p>
    <w:p w14:paraId="129719A5" w14:textId="1EBC776B" w:rsidR="00890E99" w:rsidRPr="009B137F" w:rsidRDefault="00890E99" w:rsidP="009B137F">
      <w:pPr>
        <w:spacing w:line="276" w:lineRule="auto"/>
        <w:jc w:val="center"/>
        <w:rPr>
          <w:rFonts w:cs="Tahoma"/>
          <w:b/>
          <w:color w:val="000000"/>
          <w:szCs w:val="24"/>
        </w:rPr>
      </w:pPr>
    </w:p>
    <w:p w14:paraId="2EEC6B22" w14:textId="4F3C2023" w:rsidR="00174E22" w:rsidRPr="009B137F" w:rsidRDefault="00174E22" w:rsidP="009B137F">
      <w:pPr>
        <w:spacing w:line="276" w:lineRule="auto"/>
        <w:rPr>
          <w:rFonts w:cs="Tahoma"/>
          <w:bCs/>
          <w:color w:val="000000"/>
          <w:szCs w:val="24"/>
          <w:lang w:val="es-419"/>
        </w:rPr>
      </w:pPr>
      <w:r w:rsidRPr="009B137F">
        <w:rPr>
          <w:rFonts w:cs="Tahoma"/>
          <w:bCs/>
          <w:color w:val="000000"/>
          <w:szCs w:val="24"/>
          <w:lang w:val="es-419"/>
        </w:rPr>
        <w:t xml:space="preserve">De acuerdo con los argumentos expuestos en la sentencia de primera instancia, </w:t>
      </w:r>
      <w:r w:rsidR="002C59EC" w:rsidRPr="009B137F">
        <w:rPr>
          <w:rFonts w:cs="Tahoma"/>
          <w:bCs/>
          <w:color w:val="000000"/>
          <w:szCs w:val="24"/>
          <w:lang w:val="es-419"/>
        </w:rPr>
        <w:t>los</w:t>
      </w:r>
      <w:r w:rsidRPr="009B137F">
        <w:rPr>
          <w:rFonts w:cs="Tahoma"/>
          <w:bCs/>
          <w:color w:val="000000"/>
          <w:szCs w:val="24"/>
          <w:lang w:val="es-419"/>
        </w:rPr>
        <w:t xml:space="preserve"> fundamentos de la apelación y los alegatos de conclusión, le corresponde a la Sala</w:t>
      </w:r>
      <w:r w:rsidR="002C59EC" w:rsidRPr="009B137F">
        <w:rPr>
          <w:rFonts w:cs="Tahoma"/>
          <w:bCs/>
          <w:color w:val="000000"/>
          <w:szCs w:val="24"/>
          <w:lang w:val="es-419"/>
        </w:rPr>
        <w:t xml:space="preserve"> d</w:t>
      </w:r>
      <w:r w:rsidRPr="009B137F">
        <w:rPr>
          <w:rFonts w:cs="Tahoma"/>
          <w:bCs/>
          <w:color w:val="000000"/>
          <w:szCs w:val="24"/>
          <w:lang w:val="es-419"/>
        </w:rPr>
        <w:t>eterminar cuál es el hito a tener en cuenta para establecer la prescripción y con ello establecer si en el presente asunto operó dicho fenómeno</w:t>
      </w:r>
      <w:r w:rsidR="002C59EC" w:rsidRPr="009B137F">
        <w:rPr>
          <w:rFonts w:cs="Tahoma"/>
          <w:bCs/>
          <w:color w:val="000000"/>
          <w:szCs w:val="24"/>
          <w:lang w:val="es-419"/>
        </w:rPr>
        <w:t>,</w:t>
      </w:r>
      <w:r w:rsidR="0031765D" w:rsidRPr="009B137F">
        <w:rPr>
          <w:rFonts w:cs="Tahoma"/>
          <w:bCs/>
          <w:color w:val="000000"/>
          <w:szCs w:val="24"/>
          <w:lang w:val="es-419"/>
        </w:rPr>
        <w:t xml:space="preserve"> o si por el contrario le asiste razón al apelante y hay lugar a la condena de los emolumentos declarados prescritos</w:t>
      </w:r>
      <w:r w:rsidR="00690E04" w:rsidRPr="009B137F">
        <w:rPr>
          <w:rFonts w:cs="Tahoma"/>
          <w:bCs/>
          <w:color w:val="000000"/>
          <w:szCs w:val="24"/>
          <w:lang w:val="es-419"/>
        </w:rPr>
        <w:t xml:space="preserve">, aunado al pago de </w:t>
      </w:r>
      <w:r w:rsidR="0031765D" w:rsidRPr="009B137F">
        <w:rPr>
          <w:rFonts w:cs="Tahoma"/>
          <w:bCs/>
          <w:color w:val="000000"/>
          <w:szCs w:val="24"/>
          <w:lang w:val="es-419"/>
        </w:rPr>
        <w:t>las costas procesales.</w:t>
      </w:r>
    </w:p>
    <w:p w14:paraId="2E44ABFA" w14:textId="50A9ACA4" w:rsidR="003221C2" w:rsidRPr="009B137F" w:rsidRDefault="003221C2" w:rsidP="009B137F">
      <w:pPr>
        <w:spacing w:line="276" w:lineRule="auto"/>
        <w:rPr>
          <w:rFonts w:cs="Tahoma"/>
          <w:b/>
          <w:color w:val="000000"/>
          <w:szCs w:val="24"/>
          <w:lang w:val="es-419"/>
        </w:rPr>
      </w:pPr>
    </w:p>
    <w:p w14:paraId="1850E5D3" w14:textId="77777777" w:rsidR="00690E04" w:rsidRPr="009B137F" w:rsidRDefault="00690E04" w:rsidP="009B137F">
      <w:pPr>
        <w:spacing w:line="276" w:lineRule="auto"/>
        <w:rPr>
          <w:rStyle w:val="normaltextrun"/>
          <w:rFonts w:cs="Tahoma"/>
          <w:color w:val="000000"/>
          <w:szCs w:val="24"/>
        </w:rPr>
      </w:pPr>
    </w:p>
    <w:p w14:paraId="0ADBED18" w14:textId="3B5342A7" w:rsidR="003221C2" w:rsidRPr="009B137F" w:rsidRDefault="003221C2" w:rsidP="009B137F">
      <w:pPr>
        <w:pStyle w:val="Prrafodelista"/>
        <w:numPr>
          <w:ilvl w:val="0"/>
          <w:numId w:val="5"/>
        </w:numPr>
        <w:spacing w:line="276" w:lineRule="auto"/>
        <w:jc w:val="center"/>
        <w:rPr>
          <w:rStyle w:val="normaltextrun"/>
          <w:rFonts w:cs="Tahoma"/>
          <w:b/>
          <w:bCs/>
          <w:color w:val="000000"/>
          <w:szCs w:val="24"/>
        </w:rPr>
      </w:pPr>
      <w:r w:rsidRPr="009B137F">
        <w:rPr>
          <w:rStyle w:val="normaltextrun"/>
          <w:rFonts w:cs="Tahoma"/>
          <w:b/>
          <w:bCs/>
          <w:color w:val="000000"/>
          <w:szCs w:val="24"/>
        </w:rPr>
        <w:t>CONSIDERACIONES</w:t>
      </w:r>
    </w:p>
    <w:p w14:paraId="0430D770" w14:textId="2D59389C" w:rsidR="000111D1" w:rsidRPr="009B137F" w:rsidRDefault="000111D1" w:rsidP="009B137F">
      <w:pPr>
        <w:spacing w:line="276" w:lineRule="auto"/>
        <w:jc w:val="center"/>
        <w:rPr>
          <w:rStyle w:val="normaltextrun"/>
          <w:rFonts w:cs="Tahoma"/>
          <w:b/>
          <w:bCs/>
          <w:color w:val="000000"/>
          <w:szCs w:val="24"/>
        </w:rPr>
      </w:pPr>
    </w:p>
    <w:p w14:paraId="7344ADB4" w14:textId="2CC8D7C4" w:rsidR="000111D1" w:rsidRPr="009B137F" w:rsidRDefault="000111D1" w:rsidP="009B137F">
      <w:pPr>
        <w:spacing w:line="276" w:lineRule="auto"/>
        <w:rPr>
          <w:rStyle w:val="normaltextrun"/>
          <w:rFonts w:cs="Tahoma"/>
          <w:b/>
          <w:bCs/>
          <w:color w:val="000000"/>
          <w:szCs w:val="24"/>
        </w:rPr>
      </w:pPr>
    </w:p>
    <w:p w14:paraId="2C5D02AC" w14:textId="77777777" w:rsidR="000111D1" w:rsidRPr="009B137F" w:rsidRDefault="000111D1" w:rsidP="009B137F">
      <w:pPr>
        <w:spacing w:line="276" w:lineRule="auto"/>
        <w:ind w:firstLine="708"/>
        <w:rPr>
          <w:rFonts w:cs="Tahoma"/>
          <w:b/>
          <w:szCs w:val="24"/>
        </w:rPr>
      </w:pPr>
      <w:r w:rsidRPr="009B137F">
        <w:rPr>
          <w:rFonts w:cs="Tahoma"/>
          <w:b/>
          <w:szCs w:val="24"/>
        </w:rPr>
        <w:t>6.1. Prescripción en materia laboral y su interrupción.</w:t>
      </w:r>
    </w:p>
    <w:p w14:paraId="073C4B44" w14:textId="77777777" w:rsidR="000111D1" w:rsidRPr="009B137F" w:rsidRDefault="000111D1" w:rsidP="009B137F">
      <w:pPr>
        <w:spacing w:line="276" w:lineRule="auto"/>
        <w:rPr>
          <w:rFonts w:cs="Tahoma"/>
          <w:b/>
          <w:szCs w:val="24"/>
        </w:rPr>
      </w:pPr>
    </w:p>
    <w:p w14:paraId="2F202DD2" w14:textId="49BBFF7A" w:rsidR="000111D1" w:rsidRPr="009B137F" w:rsidRDefault="000111D1" w:rsidP="009B137F">
      <w:pPr>
        <w:spacing w:line="276" w:lineRule="auto"/>
        <w:ind w:firstLine="708"/>
        <w:rPr>
          <w:rFonts w:cs="Tahoma"/>
          <w:bCs/>
          <w:szCs w:val="24"/>
        </w:rPr>
      </w:pPr>
      <w:r w:rsidRPr="009B137F">
        <w:rPr>
          <w:rFonts w:cs="Tahoma"/>
          <w:bCs/>
          <w:szCs w:val="24"/>
        </w:rPr>
        <w:t>Los artículos 151 del Código Procesal del Trabajo y de la Seguridad Social, 488 y 489 del Código Sustantivo del Trabajo, preceptúan que las acciones correspondientes a los derechos laborales prescriben en tres</w:t>
      </w:r>
      <w:r w:rsidR="008726CF" w:rsidRPr="009B137F">
        <w:rPr>
          <w:rFonts w:cs="Tahoma"/>
          <w:bCs/>
          <w:szCs w:val="24"/>
        </w:rPr>
        <w:t xml:space="preserve"> (3)</w:t>
      </w:r>
      <w:r w:rsidRPr="009B137F">
        <w:rPr>
          <w:rFonts w:cs="Tahoma"/>
          <w:bCs/>
          <w:szCs w:val="24"/>
        </w:rPr>
        <w:t xml:space="preserve"> años contados a partir de la exigibilidad de cada acreencia, de modo que quien exija una prestación social deberá alegarla en el término establecido, en cuyo caso, basta </w:t>
      </w:r>
      <w:r w:rsidRPr="009B137F">
        <w:rPr>
          <w:rFonts w:cs="Tahoma"/>
          <w:bCs/>
          <w:i/>
          <w:iCs/>
          <w:szCs w:val="24"/>
        </w:rPr>
        <w:t>"</w:t>
      </w:r>
      <w:r w:rsidRPr="0060553C">
        <w:rPr>
          <w:rFonts w:cs="Tahoma"/>
          <w:bCs/>
          <w:i/>
          <w:iCs/>
          <w:sz w:val="22"/>
          <w:szCs w:val="24"/>
        </w:rPr>
        <w:t>el simple reclamo escrito del trabajador recibido por el empleador</w:t>
      </w:r>
      <w:r w:rsidRPr="009B137F">
        <w:rPr>
          <w:rFonts w:cs="Tahoma"/>
          <w:bCs/>
          <w:i/>
          <w:iCs/>
          <w:szCs w:val="24"/>
        </w:rPr>
        <w:t>",</w:t>
      </w:r>
      <w:r w:rsidRPr="009B137F">
        <w:rPr>
          <w:rFonts w:cs="Tahoma"/>
          <w:bCs/>
          <w:szCs w:val="24"/>
        </w:rPr>
        <w:t xml:space="preserve"> para que por una sola vez se entienda interrumpida y comience a correr de nuevo el término por un lapso igual al inicialmente señalado, reclamo que puede entenderse como cualquier requerimiento o solicitud por escrito que el trabajador hubiese realizado del derecho debidamente determinado y del que el empleador tuviese conocimiento, incluso, en peticiones realizadas ante autoridades judiciales o administrativas que hubiesen quedado plasmadas de forma escritural (CSJ SL 4554 de 2020).</w:t>
      </w:r>
    </w:p>
    <w:p w14:paraId="008A9B06" w14:textId="77777777" w:rsidR="000111D1" w:rsidRPr="009B137F" w:rsidRDefault="000111D1" w:rsidP="009B137F">
      <w:pPr>
        <w:spacing w:line="276" w:lineRule="auto"/>
        <w:ind w:firstLine="708"/>
        <w:rPr>
          <w:rFonts w:cs="Tahoma"/>
          <w:bCs/>
          <w:szCs w:val="24"/>
        </w:rPr>
      </w:pPr>
    </w:p>
    <w:p w14:paraId="6069DE77" w14:textId="2A40999E" w:rsidR="000111D1" w:rsidRPr="009B137F" w:rsidRDefault="000111D1" w:rsidP="009B137F">
      <w:pPr>
        <w:spacing w:line="276" w:lineRule="auto"/>
        <w:ind w:firstLine="708"/>
        <w:rPr>
          <w:rFonts w:cs="Tahoma"/>
          <w:bCs/>
          <w:szCs w:val="24"/>
        </w:rPr>
      </w:pPr>
      <w:r w:rsidRPr="009B137F">
        <w:rPr>
          <w:rFonts w:cs="Tahoma"/>
          <w:bCs/>
          <w:szCs w:val="24"/>
        </w:rPr>
        <w:t xml:space="preserve">Adicionalmente, </w:t>
      </w:r>
      <w:bookmarkStart w:id="6" w:name="_Hlk113275504"/>
      <w:r w:rsidRPr="009B137F">
        <w:rPr>
          <w:rFonts w:cs="Tahoma"/>
          <w:bCs/>
          <w:szCs w:val="24"/>
        </w:rPr>
        <w:t xml:space="preserve">el artículo 94 del Código General del Proceso aplicable a los procesos laborales en virtud de lo dispuesto por el artículo 145 del Estatuto Adjetivo del Trabajo y de la Seguridad Social, contempla la posibilidad </w:t>
      </w:r>
      <w:r w:rsidR="00FC223E" w:rsidRPr="009B137F">
        <w:rPr>
          <w:rFonts w:cs="Tahoma"/>
          <w:bCs/>
          <w:szCs w:val="24"/>
        </w:rPr>
        <w:t xml:space="preserve">de </w:t>
      </w:r>
      <w:r w:rsidRPr="009B137F">
        <w:rPr>
          <w:rFonts w:cs="Tahoma"/>
          <w:bCs/>
          <w:szCs w:val="24"/>
        </w:rPr>
        <w:t>que el término de tres</w:t>
      </w:r>
      <w:r w:rsidR="00FC223E" w:rsidRPr="009B137F">
        <w:rPr>
          <w:rFonts w:cs="Tahoma"/>
          <w:bCs/>
          <w:szCs w:val="24"/>
        </w:rPr>
        <w:t xml:space="preserve"> (3)</w:t>
      </w:r>
      <w:r w:rsidRPr="009B137F">
        <w:rPr>
          <w:rFonts w:cs="Tahoma"/>
          <w:bCs/>
          <w:szCs w:val="24"/>
        </w:rPr>
        <w:t xml:space="preserve"> años se entienda interrumpido desde la fecha de radicación de la demanda, siempre que el auto admisorio de aquella, o el de mandamiento ejecutivo, según sea al caso, </w:t>
      </w:r>
      <w:r w:rsidRPr="009B137F">
        <w:rPr>
          <w:rFonts w:cs="Tahoma"/>
          <w:bCs/>
          <w:i/>
          <w:iCs/>
          <w:szCs w:val="24"/>
        </w:rPr>
        <w:t>“</w:t>
      </w:r>
      <w:r w:rsidRPr="0060553C">
        <w:rPr>
          <w:rFonts w:cs="Tahoma"/>
          <w:bCs/>
          <w:i/>
          <w:iCs/>
          <w:sz w:val="22"/>
          <w:szCs w:val="24"/>
        </w:rPr>
        <w:t>se notifique al demandado dentro del término de un (1) año contado a partir del día siguiente a la notificación de tales providencias al demandante</w:t>
      </w:r>
      <w:r w:rsidRPr="009B137F">
        <w:rPr>
          <w:rFonts w:cs="Tahoma"/>
          <w:bCs/>
          <w:i/>
          <w:iCs/>
          <w:szCs w:val="24"/>
        </w:rPr>
        <w:t>”</w:t>
      </w:r>
      <w:bookmarkEnd w:id="6"/>
      <w:r w:rsidR="006F4CC2" w:rsidRPr="009B137F">
        <w:rPr>
          <w:rFonts w:cs="Tahoma"/>
          <w:bCs/>
          <w:i/>
          <w:iCs/>
          <w:szCs w:val="24"/>
        </w:rPr>
        <w:t xml:space="preserve">, </w:t>
      </w:r>
      <w:r w:rsidR="006F4CC2" w:rsidRPr="009B137F">
        <w:rPr>
          <w:rFonts w:cs="Tahoma"/>
          <w:bCs/>
          <w:szCs w:val="24"/>
        </w:rPr>
        <w:t>y, pasado dicho término, los efectos sólo se producen con la notificación al demandado.</w:t>
      </w:r>
    </w:p>
    <w:p w14:paraId="2C516767" w14:textId="49F8ADF6" w:rsidR="006F4CC2" w:rsidRPr="009B137F" w:rsidRDefault="006F4CC2" w:rsidP="009B137F">
      <w:pPr>
        <w:spacing w:line="276" w:lineRule="auto"/>
        <w:ind w:firstLine="708"/>
        <w:rPr>
          <w:rFonts w:cs="Tahoma"/>
          <w:bCs/>
          <w:szCs w:val="24"/>
        </w:rPr>
      </w:pPr>
    </w:p>
    <w:p w14:paraId="3DA1F521" w14:textId="77777777" w:rsidR="006F4CC2" w:rsidRPr="009B137F" w:rsidRDefault="006F4CC2" w:rsidP="009B137F">
      <w:pPr>
        <w:spacing w:line="276" w:lineRule="auto"/>
        <w:ind w:firstLine="708"/>
        <w:rPr>
          <w:rFonts w:cs="Tahoma"/>
          <w:bCs/>
          <w:szCs w:val="24"/>
          <w:lang w:val="es-CO"/>
        </w:rPr>
      </w:pPr>
      <w:r w:rsidRPr="009B137F">
        <w:rPr>
          <w:rFonts w:cs="Tahoma"/>
          <w:bCs/>
          <w:szCs w:val="24"/>
          <w:lang w:val="es-CO"/>
        </w:rPr>
        <w:lastRenderedPageBreak/>
        <w:t xml:space="preserve">A su vez, dispone el artículo 95 del C.G.P., ciertas circunstancias en las que no se considera interrumpida la prescripción y opera la caducidad, siendo entre otras, las siguientes: </w:t>
      </w:r>
    </w:p>
    <w:p w14:paraId="0945B7DA" w14:textId="77777777" w:rsidR="006F4CC2" w:rsidRPr="009B137F" w:rsidRDefault="006F4CC2" w:rsidP="009B137F">
      <w:pPr>
        <w:spacing w:line="276" w:lineRule="auto"/>
        <w:ind w:firstLine="708"/>
        <w:rPr>
          <w:rFonts w:cs="Tahoma"/>
          <w:bCs/>
          <w:szCs w:val="24"/>
          <w:lang w:val="es-CO"/>
        </w:rPr>
      </w:pPr>
    </w:p>
    <w:p w14:paraId="52AAD6E6" w14:textId="77777777" w:rsidR="006F4CC2" w:rsidRPr="00E20FD3" w:rsidRDefault="006F4CC2" w:rsidP="00E20FD3">
      <w:pPr>
        <w:spacing w:line="240" w:lineRule="auto"/>
        <w:ind w:left="426" w:right="420" w:firstLine="708"/>
        <w:rPr>
          <w:rFonts w:cs="Tahoma"/>
          <w:bCs/>
          <w:i/>
          <w:iCs/>
          <w:sz w:val="22"/>
          <w:szCs w:val="24"/>
          <w:lang w:val="es-CO"/>
        </w:rPr>
      </w:pPr>
      <w:r w:rsidRPr="00E20FD3">
        <w:rPr>
          <w:rFonts w:cs="Tahoma"/>
          <w:bCs/>
          <w:i/>
          <w:iCs/>
          <w:sz w:val="22"/>
          <w:szCs w:val="24"/>
          <w:lang w:val="es-CO"/>
        </w:rPr>
        <w:t>“[…] 2) cuando el proceso termine por haber prosperado la excepción de inexistencia del demandante o demandado (…)</w:t>
      </w:r>
    </w:p>
    <w:p w14:paraId="7F0311F0" w14:textId="77777777" w:rsidR="006F4CC2" w:rsidRPr="00E20FD3" w:rsidRDefault="006F4CC2" w:rsidP="00E20FD3">
      <w:pPr>
        <w:spacing w:line="240" w:lineRule="auto"/>
        <w:ind w:left="426" w:right="420" w:firstLine="708"/>
        <w:rPr>
          <w:rFonts w:cs="Tahoma"/>
          <w:bCs/>
          <w:i/>
          <w:iCs/>
          <w:sz w:val="22"/>
          <w:szCs w:val="24"/>
          <w:lang w:val="es-CO"/>
        </w:rPr>
      </w:pPr>
      <w:r w:rsidRPr="00E20FD3">
        <w:rPr>
          <w:rFonts w:cs="Tahoma"/>
          <w:bCs/>
          <w:i/>
          <w:iCs/>
          <w:sz w:val="22"/>
          <w:szCs w:val="24"/>
          <w:lang w:val="es-CO"/>
        </w:rPr>
        <w:t>…</w:t>
      </w:r>
    </w:p>
    <w:p w14:paraId="33D422F8" w14:textId="77777777" w:rsidR="006F4CC2" w:rsidRPr="00E20FD3" w:rsidRDefault="006F4CC2" w:rsidP="00E20FD3">
      <w:pPr>
        <w:spacing w:line="240" w:lineRule="auto"/>
        <w:ind w:left="426" w:right="420" w:firstLine="708"/>
        <w:rPr>
          <w:rFonts w:cs="Tahoma"/>
          <w:bCs/>
          <w:i/>
          <w:iCs/>
          <w:sz w:val="22"/>
          <w:szCs w:val="24"/>
          <w:lang w:val="es-CO"/>
        </w:rPr>
      </w:pPr>
      <w:r w:rsidRPr="00E20FD3">
        <w:rPr>
          <w:rFonts w:cs="Tahoma"/>
          <w:bCs/>
          <w:i/>
          <w:iCs/>
          <w:sz w:val="22"/>
          <w:szCs w:val="24"/>
          <w:lang w:val="es-CO"/>
        </w:rPr>
        <w:t>5) Cuando la nulidad del proceso comprenda la notificación del auto admisorio de la demanda o del mandamiento ejecutivo, siempre que la causa de la nulidad sea atribuible al demandante.</w:t>
      </w:r>
    </w:p>
    <w:p w14:paraId="6C4E4474" w14:textId="77777777" w:rsidR="006F4CC2" w:rsidRPr="00E20FD3" w:rsidRDefault="006F4CC2" w:rsidP="00E20FD3">
      <w:pPr>
        <w:spacing w:line="240" w:lineRule="auto"/>
        <w:ind w:left="426" w:right="420" w:firstLine="708"/>
        <w:rPr>
          <w:rFonts w:cs="Tahoma"/>
          <w:bCs/>
          <w:i/>
          <w:iCs/>
          <w:sz w:val="22"/>
          <w:szCs w:val="24"/>
          <w:lang w:val="es-CO"/>
        </w:rPr>
      </w:pPr>
    </w:p>
    <w:p w14:paraId="11A51778" w14:textId="77777777" w:rsidR="006F4CC2" w:rsidRPr="00E20FD3" w:rsidRDefault="006F4CC2" w:rsidP="00E20FD3">
      <w:pPr>
        <w:spacing w:line="240" w:lineRule="auto"/>
        <w:ind w:left="426" w:right="420" w:firstLine="708"/>
        <w:rPr>
          <w:rFonts w:cs="Tahoma"/>
          <w:bCs/>
          <w:i/>
          <w:iCs/>
          <w:sz w:val="22"/>
          <w:szCs w:val="24"/>
          <w:lang w:val="es-CO"/>
        </w:rPr>
      </w:pPr>
      <w:r w:rsidRPr="00E20FD3">
        <w:rPr>
          <w:rFonts w:cs="Tahoma"/>
          <w:bCs/>
          <w:i/>
          <w:iCs/>
          <w:sz w:val="22"/>
          <w:szCs w:val="24"/>
          <w:lang w:val="es-CO"/>
        </w:rPr>
        <w:t>En el auto que se declare la nulidad se indicará expresamente sus efectos sobre la interrupción o no de la prescripción y la inoperancia o no de la caducidad […]”</w:t>
      </w:r>
    </w:p>
    <w:p w14:paraId="5888584B" w14:textId="77777777" w:rsidR="000111D1" w:rsidRPr="009B137F" w:rsidRDefault="000111D1" w:rsidP="009B137F">
      <w:pPr>
        <w:spacing w:line="276" w:lineRule="auto"/>
        <w:rPr>
          <w:rFonts w:cs="Tahoma"/>
          <w:bCs/>
          <w:i/>
          <w:iCs/>
          <w:szCs w:val="24"/>
        </w:rPr>
      </w:pPr>
    </w:p>
    <w:p w14:paraId="01B00B1E" w14:textId="77777777" w:rsidR="000111D1" w:rsidRPr="009B137F" w:rsidRDefault="000111D1" w:rsidP="009B137F">
      <w:pPr>
        <w:spacing w:line="276" w:lineRule="auto"/>
        <w:ind w:firstLine="708"/>
        <w:rPr>
          <w:rFonts w:cs="Tahoma"/>
          <w:bCs/>
          <w:szCs w:val="24"/>
        </w:rPr>
      </w:pPr>
      <w:r w:rsidRPr="009B137F">
        <w:rPr>
          <w:rFonts w:cs="Tahoma"/>
          <w:bCs/>
          <w:szCs w:val="24"/>
        </w:rPr>
        <w:t>Conforme a lo anterior, la prescripción de las acciones laborales puede ser interrumpida a través de dos mecanismos diferentes y no excluyentes: la extrajudicial, mediante la presentación al empleador del simple reclamo escrito por el trabajador respecto de un derecho determinado, de conformidad con lo dispuesto en los artículos 489 del Código Sustantivo del Trabajo y 151 del Código Procesal del Trabajo; y con la presentación de la demanda, en los términos y condiciones señaladas por el artículo 94 del Código General del Proceso. (CSJ SL 5159 de 2020)</w:t>
      </w:r>
    </w:p>
    <w:p w14:paraId="59A73784" w14:textId="77777777" w:rsidR="000111D1" w:rsidRPr="009B137F" w:rsidRDefault="000111D1" w:rsidP="009B137F">
      <w:pPr>
        <w:spacing w:line="276" w:lineRule="auto"/>
        <w:ind w:firstLine="708"/>
        <w:rPr>
          <w:rFonts w:cs="Tahoma"/>
          <w:bCs/>
          <w:szCs w:val="24"/>
        </w:rPr>
      </w:pPr>
    </w:p>
    <w:p w14:paraId="7F09B6F1" w14:textId="77777777" w:rsidR="000111D1" w:rsidRPr="009B137F" w:rsidRDefault="000111D1" w:rsidP="009B137F">
      <w:pPr>
        <w:spacing w:line="276" w:lineRule="auto"/>
        <w:ind w:firstLine="708"/>
        <w:rPr>
          <w:rFonts w:cs="Tahoma"/>
          <w:bCs/>
          <w:szCs w:val="24"/>
        </w:rPr>
      </w:pPr>
      <w:r w:rsidRPr="009B137F">
        <w:rPr>
          <w:rFonts w:cs="Tahoma"/>
          <w:bCs/>
          <w:szCs w:val="24"/>
        </w:rPr>
        <w:t>No obstante, la aplicación del artículo 94 del CGP no opera de forma automática, pues resulta desproporcionado predicar la ineficacia de la interrupción de la prescripción cuando el demandante es diligente en la formulación oportuna de la demanda, pero por razones por razones ajenas o no imputables exclusivamente a él, como en el caso de diferencias doctrinarias o jurisprudenciales sobre competencia y jurisdicción, se ve obligado a acudir a una u otra sede judicial; en tales casos, la interrupción de la prescripción por la presentación oportuna de la demanda produce todos sus efectos (CSJ SL 5159 de 2020).</w:t>
      </w:r>
    </w:p>
    <w:p w14:paraId="32BC334A" w14:textId="77777777" w:rsidR="000111D1" w:rsidRPr="009B137F" w:rsidRDefault="000111D1" w:rsidP="009B137F">
      <w:pPr>
        <w:spacing w:line="276" w:lineRule="auto"/>
        <w:ind w:firstLine="708"/>
        <w:rPr>
          <w:rFonts w:cs="Tahoma"/>
          <w:bCs/>
          <w:szCs w:val="24"/>
        </w:rPr>
      </w:pPr>
    </w:p>
    <w:p w14:paraId="79085B8C" w14:textId="47932B69" w:rsidR="000111D1" w:rsidRPr="009B137F" w:rsidRDefault="000111D1" w:rsidP="009B137F">
      <w:pPr>
        <w:spacing w:line="276" w:lineRule="auto"/>
        <w:ind w:firstLine="708"/>
        <w:rPr>
          <w:rFonts w:cs="Tahoma"/>
          <w:bCs/>
          <w:szCs w:val="24"/>
        </w:rPr>
      </w:pPr>
      <w:bookmarkStart w:id="7" w:name="_Hlk113275725"/>
      <w:r w:rsidRPr="009B137F">
        <w:rPr>
          <w:rFonts w:cs="Tahoma"/>
          <w:bCs/>
          <w:szCs w:val="24"/>
        </w:rPr>
        <w:t>Asimismo, la Corte Suprema de Justicia por medio de las sentencias CSJ SL 8716 de 2014 y CSJ SL 1356 de 2021 ha adoctrinado que dicha disposición procesal tampoco aplica cuando la notificación no se efectúa oportunamente por negligencia del juzgado</w:t>
      </w:r>
      <w:r w:rsidR="00156198" w:rsidRPr="009B137F">
        <w:rPr>
          <w:rFonts w:cs="Tahoma"/>
          <w:bCs/>
          <w:szCs w:val="24"/>
        </w:rPr>
        <w:t>,</w:t>
      </w:r>
      <w:r w:rsidRPr="009B137F">
        <w:rPr>
          <w:rFonts w:cs="Tahoma"/>
          <w:bCs/>
          <w:szCs w:val="24"/>
        </w:rPr>
        <w:t xml:space="preserve"> o por actividad elusiva del demandado, como quiera que esa eventualidad no puede redundar en perjuicio del promotor del litigio que ha actuado diligentemente</w:t>
      </w:r>
      <w:bookmarkEnd w:id="7"/>
      <w:r w:rsidR="00A077F7" w:rsidRPr="009B137F">
        <w:rPr>
          <w:rFonts w:cs="Tahoma"/>
          <w:bCs/>
          <w:szCs w:val="24"/>
        </w:rPr>
        <w:t xml:space="preserve">, </w:t>
      </w:r>
      <w:r w:rsidR="00A077F7" w:rsidRPr="009B137F">
        <w:rPr>
          <w:rFonts w:cs="Tahoma"/>
          <w:bCs/>
          <w:iCs/>
          <w:szCs w:val="24"/>
        </w:rPr>
        <w:t>casos en los cuales la interrupción se entiende consumada con la presentación de la demanda.</w:t>
      </w:r>
    </w:p>
    <w:p w14:paraId="3179B690" w14:textId="17F29CC7" w:rsidR="000111D1" w:rsidRPr="009B137F" w:rsidRDefault="000111D1" w:rsidP="009B137F">
      <w:pPr>
        <w:spacing w:line="276" w:lineRule="auto"/>
        <w:rPr>
          <w:rStyle w:val="normaltextrun"/>
          <w:rFonts w:cs="Tahoma"/>
          <w:b/>
          <w:bCs/>
          <w:color w:val="000000"/>
          <w:szCs w:val="24"/>
        </w:rPr>
      </w:pPr>
    </w:p>
    <w:p w14:paraId="51753F8E" w14:textId="77777777" w:rsidR="007443A7" w:rsidRPr="009B137F" w:rsidRDefault="007443A7" w:rsidP="009B137F">
      <w:pPr>
        <w:spacing w:line="276" w:lineRule="auto"/>
        <w:rPr>
          <w:rStyle w:val="normaltextrun"/>
          <w:rFonts w:cs="Tahoma"/>
          <w:b/>
          <w:bCs/>
          <w:color w:val="000000"/>
          <w:szCs w:val="24"/>
        </w:rPr>
      </w:pPr>
    </w:p>
    <w:p w14:paraId="0CCE9445" w14:textId="16068598" w:rsidR="000111D1" w:rsidRPr="009B137F" w:rsidRDefault="00E86706" w:rsidP="009B137F">
      <w:pPr>
        <w:spacing w:line="276" w:lineRule="auto"/>
        <w:rPr>
          <w:rStyle w:val="normaltextrun"/>
          <w:rFonts w:cs="Tahoma"/>
          <w:b/>
          <w:bCs/>
          <w:color w:val="000000"/>
          <w:szCs w:val="24"/>
        </w:rPr>
      </w:pPr>
      <w:r w:rsidRPr="009B137F">
        <w:rPr>
          <w:rStyle w:val="normaltextrun"/>
          <w:rFonts w:cs="Tahoma"/>
          <w:b/>
          <w:bCs/>
          <w:color w:val="000000"/>
          <w:szCs w:val="24"/>
        </w:rPr>
        <w:tab/>
        <w:t xml:space="preserve">6.2. Caso concreto. </w:t>
      </w:r>
    </w:p>
    <w:p w14:paraId="133FCED8" w14:textId="11EEF7E8" w:rsidR="00E86706" w:rsidRPr="009B137F" w:rsidRDefault="00E86706" w:rsidP="009B137F">
      <w:pPr>
        <w:spacing w:line="276" w:lineRule="auto"/>
        <w:rPr>
          <w:rStyle w:val="normaltextrun"/>
          <w:rFonts w:cs="Tahoma"/>
          <w:b/>
          <w:bCs/>
          <w:color w:val="000000"/>
          <w:szCs w:val="24"/>
        </w:rPr>
      </w:pPr>
    </w:p>
    <w:p w14:paraId="7F6C068E" w14:textId="79739368" w:rsidR="00E86706" w:rsidRPr="009B137F" w:rsidRDefault="00E86706" w:rsidP="009B137F">
      <w:pPr>
        <w:spacing w:line="276" w:lineRule="auto"/>
        <w:ind w:firstLine="708"/>
        <w:rPr>
          <w:rFonts w:cs="Tahoma"/>
          <w:szCs w:val="24"/>
        </w:rPr>
      </w:pPr>
      <w:r w:rsidRPr="009B137F">
        <w:rPr>
          <w:rFonts w:cs="Tahoma"/>
          <w:szCs w:val="24"/>
        </w:rPr>
        <w:t xml:space="preserve">Para </w:t>
      </w:r>
      <w:r w:rsidR="00DD4608" w:rsidRPr="009B137F">
        <w:rPr>
          <w:rFonts w:cs="Tahoma"/>
          <w:szCs w:val="24"/>
        </w:rPr>
        <w:t>empezar</w:t>
      </w:r>
      <w:r w:rsidRPr="009B137F">
        <w:rPr>
          <w:rFonts w:cs="Tahoma"/>
          <w:szCs w:val="24"/>
        </w:rPr>
        <w:t xml:space="preserve">, en el presente asunto </w:t>
      </w:r>
      <w:r w:rsidR="00166576" w:rsidRPr="009B137F">
        <w:rPr>
          <w:rFonts w:cs="Tahoma"/>
          <w:szCs w:val="24"/>
        </w:rPr>
        <w:t xml:space="preserve">se encuentran por fuera de discusión los </w:t>
      </w:r>
      <w:r w:rsidRPr="009B137F">
        <w:rPr>
          <w:rFonts w:cs="Tahoma"/>
          <w:szCs w:val="24"/>
        </w:rPr>
        <w:t xml:space="preserve">siguientes aspectos: </w:t>
      </w:r>
      <w:r w:rsidRPr="009B137F">
        <w:rPr>
          <w:rFonts w:cs="Tahoma"/>
          <w:b/>
          <w:bCs/>
          <w:szCs w:val="24"/>
        </w:rPr>
        <w:t>i)</w:t>
      </w:r>
      <w:r w:rsidRPr="009B137F">
        <w:rPr>
          <w:rFonts w:cs="Tahoma"/>
          <w:szCs w:val="24"/>
        </w:rPr>
        <w:t xml:space="preserve"> </w:t>
      </w:r>
      <w:r w:rsidR="00DD4608" w:rsidRPr="009B137F">
        <w:rPr>
          <w:rFonts w:cs="Tahoma"/>
          <w:szCs w:val="24"/>
        </w:rPr>
        <w:t>q</w:t>
      </w:r>
      <w:r w:rsidRPr="009B137F">
        <w:rPr>
          <w:rFonts w:cs="Tahoma"/>
          <w:szCs w:val="24"/>
        </w:rPr>
        <w:t>ue entre las partes existió un contrato de trabajo que se ejecutó entre el</w:t>
      </w:r>
      <w:r w:rsidR="00667531" w:rsidRPr="009B137F">
        <w:rPr>
          <w:rFonts w:cs="Tahoma"/>
          <w:szCs w:val="24"/>
        </w:rPr>
        <w:t xml:space="preserve"> 1 de junio de 2014 y el 20 de noviembre de 2015</w:t>
      </w:r>
      <w:r w:rsidRPr="009B137F">
        <w:rPr>
          <w:rFonts w:cs="Tahoma"/>
          <w:szCs w:val="24"/>
        </w:rPr>
        <w:t xml:space="preserve">; </w:t>
      </w:r>
      <w:r w:rsidRPr="009B137F">
        <w:rPr>
          <w:rFonts w:cs="Tahoma"/>
          <w:b/>
          <w:bCs/>
          <w:szCs w:val="24"/>
        </w:rPr>
        <w:t>ii)</w:t>
      </w:r>
      <w:r w:rsidRPr="009B137F">
        <w:rPr>
          <w:rFonts w:cs="Tahoma"/>
          <w:szCs w:val="24"/>
        </w:rPr>
        <w:t xml:space="preserve"> el salario devengado para cada anualidad correspondía al mínimo legal vigente; </w:t>
      </w:r>
      <w:r w:rsidRPr="009B137F">
        <w:rPr>
          <w:rFonts w:cs="Tahoma"/>
          <w:b/>
          <w:bCs/>
          <w:szCs w:val="24"/>
        </w:rPr>
        <w:t>iii)</w:t>
      </w:r>
      <w:r w:rsidRPr="009B137F">
        <w:rPr>
          <w:rFonts w:cs="Tahoma"/>
          <w:szCs w:val="24"/>
        </w:rPr>
        <w:t xml:space="preserve"> el “bono de asistencia” por valor de $100.000 que reconocía </w:t>
      </w:r>
      <w:r w:rsidR="00F25108" w:rsidRPr="009B137F">
        <w:rPr>
          <w:rFonts w:cs="Tahoma"/>
          <w:szCs w:val="24"/>
        </w:rPr>
        <w:t>la sociedad</w:t>
      </w:r>
      <w:r w:rsidRPr="009B137F">
        <w:rPr>
          <w:rFonts w:cs="Tahoma"/>
          <w:szCs w:val="24"/>
        </w:rPr>
        <w:t xml:space="preserve"> demandad</w:t>
      </w:r>
      <w:r w:rsidR="00DD4608" w:rsidRPr="009B137F">
        <w:rPr>
          <w:rFonts w:cs="Tahoma"/>
          <w:szCs w:val="24"/>
        </w:rPr>
        <w:t>a</w:t>
      </w:r>
      <w:r w:rsidR="00F25108" w:rsidRPr="009B137F">
        <w:rPr>
          <w:rFonts w:cs="Tahoma"/>
          <w:szCs w:val="24"/>
        </w:rPr>
        <w:t xml:space="preserve"> </w:t>
      </w:r>
      <w:r w:rsidRPr="009B137F">
        <w:rPr>
          <w:rFonts w:cs="Tahoma"/>
          <w:szCs w:val="24"/>
        </w:rPr>
        <w:t>constituía factor salarial</w:t>
      </w:r>
      <w:r w:rsidR="001C5DA2" w:rsidRPr="009B137F">
        <w:rPr>
          <w:rFonts w:cs="Tahoma"/>
          <w:szCs w:val="24"/>
        </w:rPr>
        <w:t xml:space="preserve">, y; </w:t>
      </w:r>
      <w:r w:rsidR="00DD4608" w:rsidRPr="009B137F">
        <w:rPr>
          <w:rFonts w:cs="Tahoma"/>
          <w:b/>
          <w:bCs/>
          <w:szCs w:val="24"/>
        </w:rPr>
        <w:t>i</w:t>
      </w:r>
      <w:r w:rsidR="001C5DA2" w:rsidRPr="009B137F">
        <w:rPr>
          <w:rFonts w:cs="Tahoma"/>
          <w:b/>
          <w:bCs/>
          <w:szCs w:val="24"/>
        </w:rPr>
        <w:t xml:space="preserve">v) </w:t>
      </w:r>
      <w:r w:rsidR="00DD37B4" w:rsidRPr="009B137F">
        <w:rPr>
          <w:rFonts w:cs="Tahoma"/>
          <w:szCs w:val="24"/>
        </w:rPr>
        <w:t xml:space="preserve">que en virtud de lo anterior la demandada debe proceder al </w:t>
      </w:r>
      <w:r w:rsidR="00DD37B4" w:rsidRPr="009B137F">
        <w:rPr>
          <w:rFonts w:cs="Tahoma"/>
          <w:szCs w:val="24"/>
        </w:rPr>
        <w:lastRenderedPageBreak/>
        <w:t>reajuste de los aportes a la seguridad social por el término que duró la relación laboral</w:t>
      </w:r>
      <w:r w:rsidR="004F6C79" w:rsidRPr="009B137F">
        <w:rPr>
          <w:rFonts w:cs="Tahoma"/>
          <w:szCs w:val="24"/>
        </w:rPr>
        <w:t>.</w:t>
      </w:r>
      <w:r w:rsidR="008E2243" w:rsidRPr="009B137F">
        <w:rPr>
          <w:rFonts w:cs="Tahoma"/>
          <w:szCs w:val="24"/>
        </w:rPr>
        <w:t xml:space="preserve"> </w:t>
      </w:r>
      <w:r w:rsidR="0022215E" w:rsidRPr="009B137F">
        <w:rPr>
          <w:rFonts w:cs="Tahoma"/>
          <w:szCs w:val="24"/>
        </w:rPr>
        <w:t>Esto</w:t>
      </w:r>
      <w:r w:rsidR="008E2243" w:rsidRPr="009B137F">
        <w:rPr>
          <w:rFonts w:cs="Tahoma"/>
          <w:szCs w:val="24"/>
        </w:rPr>
        <w:t xml:space="preserve"> por cuanto </w:t>
      </w:r>
      <w:r w:rsidR="0022215E" w:rsidRPr="009B137F">
        <w:rPr>
          <w:rFonts w:cs="Tahoma"/>
          <w:szCs w:val="24"/>
        </w:rPr>
        <w:t>se declaró en primera instancia que</w:t>
      </w:r>
      <w:r w:rsidR="00B72DBB" w:rsidRPr="009B137F">
        <w:rPr>
          <w:rFonts w:cs="Tahoma"/>
          <w:szCs w:val="24"/>
        </w:rPr>
        <w:t xml:space="preserve"> </w:t>
      </w:r>
      <w:r w:rsidR="00926AF7" w:rsidRPr="009B137F">
        <w:rPr>
          <w:rFonts w:cs="Tahoma"/>
          <w:szCs w:val="24"/>
        </w:rPr>
        <w:t xml:space="preserve">la denominada </w:t>
      </w:r>
      <w:r w:rsidR="00926AF7" w:rsidRPr="009B137F">
        <w:rPr>
          <w:rFonts w:cs="Tahoma"/>
          <w:i/>
          <w:iCs/>
          <w:szCs w:val="24"/>
        </w:rPr>
        <w:t>“bonificación por asistencia”</w:t>
      </w:r>
      <w:r w:rsidR="00926AF7" w:rsidRPr="009B137F">
        <w:rPr>
          <w:rFonts w:cs="Tahoma"/>
          <w:szCs w:val="24"/>
        </w:rPr>
        <w:t xml:space="preserve"> era constitutiva de salario </w:t>
      </w:r>
      <w:r w:rsidR="00802958" w:rsidRPr="009B137F">
        <w:rPr>
          <w:rFonts w:cs="Tahoma"/>
          <w:szCs w:val="24"/>
        </w:rPr>
        <w:t>y que</w:t>
      </w:r>
      <w:r w:rsidR="0022215E" w:rsidRPr="009B137F">
        <w:rPr>
          <w:rFonts w:cs="Tahoma"/>
          <w:szCs w:val="24"/>
        </w:rPr>
        <w:t xml:space="preserve"> la</w:t>
      </w:r>
      <w:r w:rsidR="00AD15DA" w:rsidRPr="009B137F">
        <w:rPr>
          <w:rFonts w:cs="Tahoma"/>
          <w:szCs w:val="24"/>
        </w:rPr>
        <w:t xml:space="preserve"> sociedad</w:t>
      </w:r>
      <w:r w:rsidR="0022215E" w:rsidRPr="009B137F">
        <w:rPr>
          <w:rFonts w:cs="Tahoma"/>
          <w:szCs w:val="24"/>
        </w:rPr>
        <w:t xml:space="preserve"> demandada tenía la obligación de a</w:t>
      </w:r>
      <w:r w:rsidR="002130B1" w:rsidRPr="009B137F">
        <w:rPr>
          <w:rFonts w:cs="Tahoma"/>
          <w:szCs w:val="24"/>
        </w:rPr>
        <w:t xml:space="preserve">justar el IBC de la actora </w:t>
      </w:r>
      <w:r w:rsidR="00AD15DA" w:rsidRPr="009B137F">
        <w:rPr>
          <w:rFonts w:cs="Tahoma"/>
          <w:szCs w:val="24"/>
        </w:rPr>
        <w:t xml:space="preserve">con base en </w:t>
      </w:r>
      <w:r w:rsidR="00E82721" w:rsidRPr="009B137F">
        <w:rPr>
          <w:rFonts w:cs="Tahoma"/>
          <w:szCs w:val="24"/>
        </w:rPr>
        <w:t>un salario superior al reportado, incluyendo el valor de</w:t>
      </w:r>
      <w:r w:rsidR="00935B7D" w:rsidRPr="009B137F">
        <w:rPr>
          <w:rFonts w:cs="Tahoma"/>
          <w:szCs w:val="24"/>
        </w:rPr>
        <w:t>l citado</w:t>
      </w:r>
      <w:r w:rsidR="00E82721" w:rsidRPr="009B137F">
        <w:rPr>
          <w:rFonts w:cs="Tahoma"/>
          <w:szCs w:val="24"/>
        </w:rPr>
        <w:t xml:space="preserve"> bono, </w:t>
      </w:r>
      <w:r w:rsidR="00802958" w:rsidRPr="009B137F">
        <w:rPr>
          <w:rFonts w:cs="Tahoma"/>
          <w:szCs w:val="24"/>
        </w:rPr>
        <w:t>aspectos que</w:t>
      </w:r>
      <w:r w:rsidR="00E01784" w:rsidRPr="009B137F">
        <w:rPr>
          <w:rFonts w:cs="Tahoma"/>
          <w:szCs w:val="24"/>
        </w:rPr>
        <w:t>, pese a no ser cobijados por la prescripción,</w:t>
      </w:r>
      <w:r w:rsidR="00802958" w:rsidRPr="009B137F">
        <w:rPr>
          <w:rFonts w:cs="Tahoma"/>
          <w:szCs w:val="24"/>
        </w:rPr>
        <w:t xml:space="preserve"> no fueron</w:t>
      </w:r>
      <w:r w:rsidR="006E57FC" w:rsidRPr="009B137F">
        <w:rPr>
          <w:rFonts w:cs="Tahoma"/>
          <w:szCs w:val="24"/>
        </w:rPr>
        <w:t xml:space="preserve"> objeto de apelación por la</w:t>
      </w:r>
      <w:r w:rsidR="00802958" w:rsidRPr="009B137F">
        <w:rPr>
          <w:rFonts w:cs="Tahoma"/>
          <w:szCs w:val="24"/>
        </w:rPr>
        <w:t xml:space="preserve"> pasiva</w:t>
      </w:r>
      <w:r w:rsidR="00935B7D" w:rsidRPr="009B137F">
        <w:rPr>
          <w:rFonts w:cs="Tahoma"/>
          <w:szCs w:val="24"/>
        </w:rPr>
        <w:t>.</w:t>
      </w:r>
      <w:r w:rsidR="00802958" w:rsidRPr="009B137F">
        <w:rPr>
          <w:rFonts w:cs="Tahoma"/>
          <w:szCs w:val="24"/>
        </w:rPr>
        <w:t xml:space="preserve"> </w:t>
      </w:r>
    </w:p>
    <w:p w14:paraId="460FD0CE" w14:textId="19610616" w:rsidR="00D10213" w:rsidRPr="009B137F" w:rsidRDefault="00D10213" w:rsidP="009B137F">
      <w:pPr>
        <w:spacing w:line="276" w:lineRule="auto"/>
        <w:ind w:firstLine="708"/>
        <w:rPr>
          <w:rFonts w:cs="Tahoma"/>
          <w:szCs w:val="24"/>
        </w:rPr>
      </w:pPr>
    </w:p>
    <w:p w14:paraId="3A332D8B" w14:textId="4730ACCF" w:rsidR="00D10213" w:rsidRPr="009B137F" w:rsidRDefault="007B2A29" w:rsidP="009B137F">
      <w:pPr>
        <w:spacing w:line="276" w:lineRule="auto"/>
        <w:ind w:firstLine="708"/>
        <w:rPr>
          <w:rFonts w:cs="Tahoma"/>
          <w:szCs w:val="24"/>
        </w:rPr>
      </w:pPr>
      <w:r w:rsidRPr="009B137F">
        <w:rPr>
          <w:rFonts w:cs="Tahoma"/>
          <w:szCs w:val="24"/>
        </w:rPr>
        <w:t xml:space="preserve">Así las cosas, </w:t>
      </w:r>
      <w:r w:rsidR="0034072A" w:rsidRPr="009B137F">
        <w:rPr>
          <w:rFonts w:cs="Tahoma"/>
          <w:szCs w:val="24"/>
        </w:rPr>
        <w:t>solo resta definir</w:t>
      </w:r>
      <w:r w:rsidR="00105A48" w:rsidRPr="009B137F">
        <w:rPr>
          <w:rFonts w:cs="Tahoma"/>
          <w:szCs w:val="24"/>
        </w:rPr>
        <w:t xml:space="preserve"> en sede de apelaci</w:t>
      </w:r>
      <w:r w:rsidR="001171D1" w:rsidRPr="009B137F">
        <w:rPr>
          <w:rFonts w:cs="Tahoma"/>
          <w:szCs w:val="24"/>
        </w:rPr>
        <w:t>ón</w:t>
      </w:r>
      <w:r w:rsidR="00CD2778" w:rsidRPr="009B137F">
        <w:rPr>
          <w:rFonts w:cs="Tahoma"/>
          <w:szCs w:val="24"/>
        </w:rPr>
        <w:t xml:space="preserve"> si</w:t>
      </w:r>
      <w:r w:rsidR="0034072A" w:rsidRPr="009B137F">
        <w:rPr>
          <w:rFonts w:cs="Tahoma"/>
          <w:szCs w:val="24"/>
        </w:rPr>
        <w:t xml:space="preserve"> en verdad </w:t>
      </w:r>
      <w:r w:rsidR="00342B0C" w:rsidRPr="009B137F">
        <w:rPr>
          <w:rFonts w:cs="Tahoma"/>
          <w:szCs w:val="24"/>
        </w:rPr>
        <w:t>las pre</w:t>
      </w:r>
      <w:r w:rsidR="001171D1" w:rsidRPr="009B137F">
        <w:rPr>
          <w:rFonts w:cs="Tahoma"/>
          <w:szCs w:val="24"/>
        </w:rPr>
        <w:t>staciones</w:t>
      </w:r>
      <w:r w:rsidR="00342B0C" w:rsidRPr="009B137F">
        <w:rPr>
          <w:rFonts w:cs="Tahoma"/>
          <w:szCs w:val="24"/>
        </w:rPr>
        <w:t xml:space="preserve"> sociales </w:t>
      </w:r>
      <w:r w:rsidR="0034072A" w:rsidRPr="009B137F">
        <w:rPr>
          <w:rFonts w:cs="Tahoma"/>
          <w:szCs w:val="24"/>
        </w:rPr>
        <w:t>y la</w:t>
      </w:r>
      <w:r w:rsidR="00342B0C" w:rsidRPr="009B137F">
        <w:rPr>
          <w:rFonts w:cs="Tahoma"/>
          <w:szCs w:val="24"/>
        </w:rPr>
        <w:t xml:space="preserve"> indemnización moratoria</w:t>
      </w:r>
      <w:r w:rsidR="00105A48" w:rsidRPr="009B137F">
        <w:rPr>
          <w:rFonts w:cs="Tahoma"/>
          <w:szCs w:val="24"/>
        </w:rPr>
        <w:t xml:space="preserve"> se vieron afectadas </w:t>
      </w:r>
      <w:r w:rsidR="007443A7" w:rsidRPr="009B137F">
        <w:rPr>
          <w:rFonts w:cs="Tahoma"/>
          <w:szCs w:val="24"/>
        </w:rPr>
        <w:t>por la</w:t>
      </w:r>
      <w:r w:rsidR="00105A48" w:rsidRPr="009B137F">
        <w:rPr>
          <w:rFonts w:cs="Tahoma"/>
          <w:szCs w:val="24"/>
        </w:rPr>
        <w:t xml:space="preserve"> prescripción como se definió en primera instancia.</w:t>
      </w:r>
    </w:p>
    <w:p w14:paraId="3378C6F0" w14:textId="3B74ADCB" w:rsidR="00F0589B" w:rsidRPr="009B137F" w:rsidRDefault="00F0589B" w:rsidP="009B137F">
      <w:pPr>
        <w:spacing w:line="276" w:lineRule="auto"/>
        <w:ind w:firstLine="708"/>
        <w:rPr>
          <w:rFonts w:cs="Tahoma"/>
          <w:szCs w:val="24"/>
        </w:rPr>
      </w:pPr>
    </w:p>
    <w:p w14:paraId="2E346F0D" w14:textId="5C0CFD49" w:rsidR="009A244E" w:rsidRPr="009B137F" w:rsidRDefault="00973442" w:rsidP="009B137F">
      <w:pPr>
        <w:spacing w:line="276" w:lineRule="auto"/>
        <w:ind w:firstLine="708"/>
        <w:rPr>
          <w:rFonts w:cs="Tahoma"/>
          <w:szCs w:val="24"/>
        </w:rPr>
      </w:pPr>
      <w:bookmarkStart w:id="8" w:name="_Hlk107437600"/>
      <w:r w:rsidRPr="009B137F">
        <w:rPr>
          <w:rFonts w:cs="Tahoma"/>
          <w:szCs w:val="24"/>
        </w:rPr>
        <w:t>En este orden, auscultado el trámite impartido al proceso, se observa que la demanda</w:t>
      </w:r>
      <w:r w:rsidR="00AD620F" w:rsidRPr="009B137F">
        <w:rPr>
          <w:rFonts w:cs="Tahoma"/>
          <w:szCs w:val="24"/>
        </w:rPr>
        <w:t xml:space="preserve"> en contra de Telemark </w:t>
      </w:r>
      <w:proofErr w:type="spellStart"/>
      <w:r w:rsidR="00AD620F" w:rsidRPr="009B137F">
        <w:rPr>
          <w:rFonts w:cs="Tahoma"/>
          <w:szCs w:val="24"/>
        </w:rPr>
        <w:t>Spain</w:t>
      </w:r>
      <w:proofErr w:type="spellEnd"/>
      <w:r w:rsidR="00AD620F" w:rsidRPr="009B137F">
        <w:rPr>
          <w:rFonts w:cs="Tahoma"/>
          <w:szCs w:val="24"/>
        </w:rPr>
        <w:t xml:space="preserve"> S.L. Sucursal Colombia </w:t>
      </w:r>
      <w:r w:rsidR="00274DC9" w:rsidRPr="009B137F">
        <w:rPr>
          <w:rFonts w:cs="Tahoma"/>
          <w:szCs w:val="24"/>
        </w:rPr>
        <w:t>Zona Franca Permanente Especial</w:t>
      </w:r>
      <w:r w:rsidRPr="009B137F">
        <w:rPr>
          <w:rFonts w:cs="Tahoma"/>
          <w:szCs w:val="24"/>
        </w:rPr>
        <w:t xml:space="preserve"> </w:t>
      </w:r>
      <w:r w:rsidR="00C16E1B" w:rsidRPr="009B137F">
        <w:rPr>
          <w:rFonts w:cs="Tahoma"/>
          <w:szCs w:val="24"/>
        </w:rPr>
        <w:t>fue radicada el 5 de febrero de 2018</w:t>
      </w:r>
      <w:r w:rsidR="00C16E1B" w:rsidRPr="009B137F">
        <w:rPr>
          <w:rStyle w:val="Refdenotaalpie"/>
          <w:rFonts w:cs="Tahoma"/>
          <w:szCs w:val="24"/>
        </w:rPr>
        <w:footnoteReference w:id="1"/>
      </w:r>
      <w:r w:rsidR="004005D5" w:rsidRPr="009B137F">
        <w:rPr>
          <w:rFonts w:cs="Tahoma"/>
          <w:szCs w:val="24"/>
        </w:rPr>
        <w:t xml:space="preserve"> y admitida al día siguiente</w:t>
      </w:r>
      <w:r w:rsidR="004005D5" w:rsidRPr="009B137F">
        <w:rPr>
          <w:rStyle w:val="Refdenotaalpie"/>
          <w:rFonts w:cs="Tahoma"/>
          <w:szCs w:val="24"/>
        </w:rPr>
        <w:footnoteReference w:id="2"/>
      </w:r>
      <w:r w:rsidR="007443A7" w:rsidRPr="009B137F">
        <w:rPr>
          <w:rFonts w:cs="Tahoma"/>
          <w:szCs w:val="24"/>
        </w:rPr>
        <w:t>. Acto seguido s</w:t>
      </w:r>
      <w:r w:rsidR="00566A9A" w:rsidRPr="009B137F">
        <w:rPr>
          <w:rFonts w:cs="Tahoma"/>
          <w:szCs w:val="24"/>
        </w:rPr>
        <w:t>e realizaron</w:t>
      </w:r>
      <w:r w:rsidR="0004694C" w:rsidRPr="009B137F">
        <w:rPr>
          <w:rFonts w:cs="Tahoma"/>
          <w:szCs w:val="24"/>
        </w:rPr>
        <w:t xml:space="preserve"> las gestiones de citación correspondientes</w:t>
      </w:r>
      <w:r w:rsidR="0004694C" w:rsidRPr="009B137F">
        <w:rPr>
          <w:rStyle w:val="Refdenotaalpie"/>
          <w:rFonts w:cs="Tahoma"/>
          <w:szCs w:val="24"/>
        </w:rPr>
        <w:footnoteReference w:id="3"/>
      </w:r>
      <w:r w:rsidR="00566A9A" w:rsidRPr="009B137F">
        <w:rPr>
          <w:rFonts w:cs="Tahoma"/>
          <w:szCs w:val="24"/>
        </w:rPr>
        <w:t xml:space="preserve"> y </w:t>
      </w:r>
      <w:r w:rsidR="00846660" w:rsidRPr="009B137F">
        <w:rPr>
          <w:rFonts w:cs="Tahoma"/>
          <w:szCs w:val="24"/>
        </w:rPr>
        <w:t>tal demandada</w:t>
      </w:r>
      <w:r w:rsidR="00D846D9" w:rsidRPr="009B137F">
        <w:rPr>
          <w:rFonts w:cs="Tahoma"/>
          <w:szCs w:val="24"/>
        </w:rPr>
        <w:t xml:space="preserve"> se notificó personalmente el 2</w:t>
      </w:r>
      <w:r w:rsidR="00E7241F" w:rsidRPr="009B137F">
        <w:rPr>
          <w:rFonts w:cs="Tahoma"/>
          <w:szCs w:val="24"/>
        </w:rPr>
        <w:t>7</w:t>
      </w:r>
      <w:r w:rsidR="00D846D9" w:rsidRPr="009B137F">
        <w:rPr>
          <w:rFonts w:cs="Tahoma"/>
          <w:szCs w:val="24"/>
        </w:rPr>
        <w:t xml:space="preserve"> de ag</w:t>
      </w:r>
      <w:r w:rsidR="00E7241F" w:rsidRPr="009B137F">
        <w:rPr>
          <w:rFonts w:cs="Tahoma"/>
          <w:szCs w:val="24"/>
        </w:rPr>
        <w:t>osto de 2018</w:t>
      </w:r>
      <w:r w:rsidR="00E7241F" w:rsidRPr="009B137F">
        <w:rPr>
          <w:rStyle w:val="Refdenotaalpie"/>
          <w:rFonts w:cs="Tahoma"/>
          <w:szCs w:val="24"/>
        </w:rPr>
        <w:footnoteReference w:id="4"/>
      </w:r>
      <w:r w:rsidR="00E7241F" w:rsidRPr="009B137F">
        <w:rPr>
          <w:rFonts w:cs="Tahoma"/>
          <w:szCs w:val="24"/>
        </w:rPr>
        <w:t xml:space="preserve">, </w:t>
      </w:r>
      <w:r w:rsidR="009A244E" w:rsidRPr="009B137F">
        <w:rPr>
          <w:rFonts w:cs="Tahoma"/>
          <w:szCs w:val="24"/>
          <w:lang w:val="es-419"/>
        </w:rPr>
        <w:t xml:space="preserve">data en la que presentó recurso de reposición contra el auto admisorio </w:t>
      </w:r>
      <w:r w:rsidR="009A244E" w:rsidRPr="009B137F">
        <w:rPr>
          <w:rFonts w:cs="Tahoma"/>
          <w:szCs w:val="24"/>
        </w:rPr>
        <w:t xml:space="preserve">por corresponder el llamado a juicio a una sucursal que no </w:t>
      </w:r>
      <w:r w:rsidR="00AC015B" w:rsidRPr="009B137F">
        <w:rPr>
          <w:rFonts w:cs="Tahoma"/>
          <w:szCs w:val="24"/>
        </w:rPr>
        <w:t>tenía capacidad</w:t>
      </w:r>
      <w:r w:rsidR="005075D9" w:rsidRPr="009B137F">
        <w:rPr>
          <w:rFonts w:cs="Tahoma"/>
          <w:szCs w:val="24"/>
        </w:rPr>
        <w:t xml:space="preserve"> para</w:t>
      </w:r>
      <w:r w:rsidR="009A244E" w:rsidRPr="009B137F">
        <w:rPr>
          <w:rFonts w:cs="Tahoma"/>
          <w:szCs w:val="24"/>
        </w:rPr>
        <w:t xml:space="preserve"> comparecer</w:t>
      </w:r>
      <w:r w:rsidR="00652094" w:rsidRPr="009B137F">
        <w:rPr>
          <w:rStyle w:val="Refdenotaalpie"/>
          <w:rFonts w:cs="Tahoma"/>
          <w:szCs w:val="24"/>
        </w:rPr>
        <w:footnoteReference w:id="5"/>
      </w:r>
      <w:r w:rsidR="009A244E" w:rsidRPr="009B137F">
        <w:rPr>
          <w:rFonts w:cs="Tahoma"/>
          <w:szCs w:val="24"/>
        </w:rPr>
        <w:t xml:space="preserve">, </w:t>
      </w:r>
      <w:r w:rsidR="00FB2DD2" w:rsidRPr="009B137F">
        <w:rPr>
          <w:rFonts w:cs="Tahoma"/>
          <w:szCs w:val="24"/>
        </w:rPr>
        <w:t>decisión que no fue rep</w:t>
      </w:r>
      <w:r w:rsidR="00DA0B58" w:rsidRPr="009B137F">
        <w:rPr>
          <w:rFonts w:cs="Tahoma"/>
          <w:szCs w:val="24"/>
        </w:rPr>
        <w:t>uesta</w:t>
      </w:r>
      <w:r w:rsidR="00FF4544" w:rsidRPr="009B137F">
        <w:rPr>
          <w:rFonts w:cs="Tahoma"/>
          <w:szCs w:val="24"/>
        </w:rPr>
        <w:t>, tal como se puede ver en el auto</w:t>
      </w:r>
      <w:r w:rsidR="00690D09" w:rsidRPr="009B137F">
        <w:rPr>
          <w:rFonts w:cs="Tahoma"/>
          <w:szCs w:val="24"/>
        </w:rPr>
        <w:t xml:space="preserve"> del</w:t>
      </w:r>
      <w:r w:rsidR="009A244E" w:rsidRPr="009B137F">
        <w:rPr>
          <w:rFonts w:cs="Tahoma"/>
          <w:szCs w:val="24"/>
        </w:rPr>
        <w:t xml:space="preserve"> </w:t>
      </w:r>
      <w:r w:rsidR="00652094" w:rsidRPr="009B137F">
        <w:rPr>
          <w:rFonts w:cs="Tahoma"/>
          <w:szCs w:val="24"/>
        </w:rPr>
        <w:t>5 de septiembre de 2018</w:t>
      </w:r>
      <w:r w:rsidR="00652094" w:rsidRPr="009B137F">
        <w:rPr>
          <w:rStyle w:val="Refdenotaalpie"/>
          <w:rFonts w:cs="Tahoma"/>
          <w:szCs w:val="24"/>
        </w:rPr>
        <w:footnoteReference w:id="6"/>
      </w:r>
      <w:r w:rsidR="00B85008" w:rsidRPr="009B137F">
        <w:rPr>
          <w:rFonts w:cs="Tahoma"/>
          <w:szCs w:val="24"/>
        </w:rPr>
        <w:t>,</w:t>
      </w:r>
      <w:r w:rsidR="00FF4544" w:rsidRPr="009B137F">
        <w:rPr>
          <w:rFonts w:cs="Tahoma"/>
          <w:szCs w:val="24"/>
        </w:rPr>
        <w:t xml:space="preserve"> en razón de lo cual</w:t>
      </w:r>
      <w:r w:rsidR="00846660" w:rsidRPr="009B137F">
        <w:rPr>
          <w:rFonts w:cs="Tahoma"/>
          <w:szCs w:val="24"/>
        </w:rPr>
        <w:t xml:space="preserve"> se </w:t>
      </w:r>
      <w:r w:rsidR="00C17281" w:rsidRPr="009B137F">
        <w:rPr>
          <w:rFonts w:cs="Tahoma"/>
          <w:szCs w:val="24"/>
        </w:rPr>
        <w:t>allegó escrito de contestación el 7 del mismo mes y año</w:t>
      </w:r>
      <w:r w:rsidR="00C17281" w:rsidRPr="009B137F">
        <w:rPr>
          <w:rStyle w:val="Refdenotaalpie"/>
          <w:rFonts w:cs="Tahoma"/>
          <w:szCs w:val="24"/>
        </w:rPr>
        <w:footnoteReference w:id="7"/>
      </w:r>
      <w:r w:rsidR="00C17281" w:rsidRPr="009B137F">
        <w:rPr>
          <w:rFonts w:cs="Tahoma"/>
          <w:szCs w:val="24"/>
        </w:rPr>
        <w:t>.</w:t>
      </w:r>
    </w:p>
    <w:p w14:paraId="07A48BC1" w14:textId="77777777" w:rsidR="00F13B30" w:rsidRPr="009B137F" w:rsidRDefault="00F13B30" w:rsidP="009B137F">
      <w:pPr>
        <w:spacing w:line="276" w:lineRule="auto"/>
        <w:rPr>
          <w:rFonts w:cs="Tahoma"/>
          <w:szCs w:val="24"/>
        </w:rPr>
      </w:pPr>
    </w:p>
    <w:p w14:paraId="4CB5FA58" w14:textId="0DC9985C" w:rsidR="00A1567B" w:rsidRPr="009B137F" w:rsidRDefault="00846660" w:rsidP="009B137F">
      <w:pPr>
        <w:spacing w:line="276" w:lineRule="auto"/>
        <w:ind w:firstLine="708"/>
        <w:rPr>
          <w:rFonts w:cs="Tahoma"/>
          <w:szCs w:val="24"/>
        </w:rPr>
      </w:pPr>
      <w:r w:rsidRPr="009B137F">
        <w:rPr>
          <w:rFonts w:cs="Tahoma"/>
          <w:szCs w:val="24"/>
        </w:rPr>
        <w:t>No obstante</w:t>
      </w:r>
      <w:r w:rsidR="00EA0DE5" w:rsidRPr="009B137F">
        <w:rPr>
          <w:rFonts w:cs="Tahoma"/>
          <w:szCs w:val="24"/>
        </w:rPr>
        <w:t>, d</w:t>
      </w:r>
      <w:r w:rsidR="009A244E" w:rsidRPr="009B137F">
        <w:rPr>
          <w:rFonts w:cs="Tahoma"/>
          <w:szCs w:val="24"/>
        </w:rPr>
        <w:t>urante la audiencia del artículo 77 del C.P.L., realizada el</w:t>
      </w:r>
      <w:r w:rsidR="00623818" w:rsidRPr="009B137F">
        <w:rPr>
          <w:rFonts w:cs="Tahoma"/>
          <w:szCs w:val="24"/>
        </w:rPr>
        <w:t xml:space="preserve"> 11 de febrero de </w:t>
      </w:r>
      <w:r w:rsidR="009A244E" w:rsidRPr="009B137F">
        <w:rPr>
          <w:rFonts w:cs="Tahoma"/>
          <w:szCs w:val="24"/>
        </w:rPr>
        <w:t>2019</w:t>
      </w:r>
      <w:r w:rsidRPr="009B137F">
        <w:rPr>
          <w:rFonts w:cs="Tahoma"/>
          <w:szCs w:val="24"/>
        </w:rPr>
        <w:t>,</w:t>
      </w:r>
      <w:r w:rsidR="009A244E" w:rsidRPr="009B137F">
        <w:rPr>
          <w:rFonts w:cs="Tahoma"/>
          <w:szCs w:val="24"/>
        </w:rPr>
        <w:t xml:space="preserve"> se interpuso recurso de apelación en contra del auto que declaró no probada la</w:t>
      </w:r>
      <w:r w:rsidR="00623818" w:rsidRPr="009B137F">
        <w:rPr>
          <w:rFonts w:cs="Tahoma"/>
          <w:szCs w:val="24"/>
        </w:rPr>
        <w:t>s</w:t>
      </w:r>
      <w:r w:rsidR="009A244E" w:rsidRPr="009B137F">
        <w:rPr>
          <w:rFonts w:cs="Tahoma"/>
          <w:szCs w:val="24"/>
        </w:rPr>
        <w:t xml:space="preserve"> excepci</w:t>
      </w:r>
      <w:r w:rsidRPr="009B137F">
        <w:rPr>
          <w:rFonts w:cs="Tahoma"/>
          <w:szCs w:val="24"/>
        </w:rPr>
        <w:t>ones</w:t>
      </w:r>
      <w:r w:rsidR="009A244E" w:rsidRPr="009B137F">
        <w:rPr>
          <w:rFonts w:cs="Tahoma"/>
          <w:szCs w:val="24"/>
        </w:rPr>
        <w:t xml:space="preserve"> previa</w:t>
      </w:r>
      <w:r w:rsidR="00623818" w:rsidRPr="009B137F">
        <w:rPr>
          <w:rFonts w:cs="Tahoma"/>
          <w:szCs w:val="24"/>
        </w:rPr>
        <w:t>s</w:t>
      </w:r>
      <w:r w:rsidR="009A244E" w:rsidRPr="009B137F">
        <w:rPr>
          <w:rFonts w:cs="Tahoma"/>
          <w:szCs w:val="24"/>
        </w:rPr>
        <w:t xml:space="preserve"> de inexistencia de la demandada y falta de legitimación en la causa por pasiva</w:t>
      </w:r>
      <w:r w:rsidR="006E1B97" w:rsidRPr="009B137F">
        <w:rPr>
          <w:rStyle w:val="Refdenotaalpie"/>
          <w:rFonts w:cs="Tahoma"/>
          <w:szCs w:val="24"/>
        </w:rPr>
        <w:footnoteReference w:id="8"/>
      </w:r>
      <w:r w:rsidR="009A244E" w:rsidRPr="009B137F">
        <w:rPr>
          <w:rFonts w:cs="Tahoma"/>
          <w:szCs w:val="24"/>
        </w:rPr>
        <w:t xml:space="preserve">, siendo recibido el expediente en esta Corporación el </w:t>
      </w:r>
      <w:r w:rsidR="006E1B97" w:rsidRPr="009B137F">
        <w:rPr>
          <w:rFonts w:cs="Tahoma"/>
          <w:szCs w:val="24"/>
        </w:rPr>
        <w:t xml:space="preserve">28 de febrero </w:t>
      </w:r>
      <w:r w:rsidR="009A244E" w:rsidRPr="009B137F">
        <w:rPr>
          <w:rFonts w:cs="Tahoma"/>
          <w:szCs w:val="24"/>
        </w:rPr>
        <w:t>2019</w:t>
      </w:r>
      <w:r w:rsidR="00F25F56" w:rsidRPr="009B137F">
        <w:rPr>
          <w:rStyle w:val="Refdenotaalpie"/>
          <w:rFonts w:cs="Tahoma"/>
          <w:szCs w:val="24"/>
        </w:rPr>
        <w:footnoteReference w:id="9"/>
      </w:r>
      <w:r w:rsidR="009A244E" w:rsidRPr="009B137F">
        <w:rPr>
          <w:rFonts w:cs="Tahoma"/>
          <w:szCs w:val="24"/>
        </w:rPr>
        <w:t>,</w:t>
      </w:r>
      <w:r w:rsidR="008D4813" w:rsidRPr="009B137F">
        <w:rPr>
          <w:rFonts w:cs="Tahoma"/>
          <w:szCs w:val="24"/>
        </w:rPr>
        <w:t xml:space="preserve"> donde el 29 de marzo de 2019 se revocó la decisión recurrida</w:t>
      </w:r>
      <w:r w:rsidR="00643A0F" w:rsidRPr="009B137F">
        <w:rPr>
          <w:rFonts w:cs="Tahoma"/>
          <w:szCs w:val="24"/>
        </w:rPr>
        <w:t xml:space="preserve">, se declaró </w:t>
      </w:r>
      <w:r w:rsidR="009A244E" w:rsidRPr="009B137F">
        <w:rPr>
          <w:rFonts w:cs="Tahoma"/>
          <w:szCs w:val="24"/>
        </w:rPr>
        <w:t xml:space="preserve">que la llamada a juicio era </w:t>
      </w:r>
      <w:r w:rsidR="00643A0F" w:rsidRPr="009B137F">
        <w:rPr>
          <w:rFonts w:cs="Tahoma"/>
          <w:szCs w:val="24"/>
        </w:rPr>
        <w:t xml:space="preserve">la sociedad </w:t>
      </w:r>
      <w:r w:rsidR="009A244E" w:rsidRPr="009B137F">
        <w:rPr>
          <w:rFonts w:cs="Tahoma"/>
          <w:szCs w:val="24"/>
        </w:rPr>
        <w:t xml:space="preserve">Telemark </w:t>
      </w:r>
      <w:proofErr w:type="spellStart"/>
      <w:r w:rsidR="009A244E" w:rsidRPr="009B137F">
        <w:rPr>
          <w:rFonts w:cs="Tahoma"/>
          <w:szCs w:val="24"/>
        </w:rPr>
        <w:t>Spain</w:t>
      </w:r>
      <w:proofErr w:type="spellEnd"/>
      <w:r w:rsidR="009A244E" w:rsidRPr="009B137F">
        <w:rPr>
          <w:rFonts w:cs="Tahoma"/>
          <w:szCs w:val="24"/>
        </w:rPr>
        <w:t xml:space="preserve"> S.L</w:t>
      </w:r>
      <w:r w:rsidR="00643A0F" w:rsidRPr="009B137F">
        <w:rPr>
          <w:rFonts w:cs="Tahoma"/>
          <w:szCs w:val="24"/>
        </w:rPr>
        <w:t>.</w:t>
      </w:r>
      <w:r w:rsidR="009A244E" w:rsidRPr="009B137F">
        <w:rPr>
          <w:rFonts w:cs="Tahoma"/>
          <w:szCs w:val="24"/>
        </w:rPr>
        <w:t xml:space="preserve"> y </w:t>
      </w:r>
      <w:r w:rsidR="00643A0F" w:rsidRPr="009B137F">
        <w:rPr>
          <w:rFonts w:cs="Tahoma"/>
          <w:szCs w:val="24"/>
        </w:rPr>
        <w:t>ordenó</w:t>
      </w:r>
      <w:r w:rsidR="009A244E" w:rsidRPr="009B137F">
        <w:rPr>
          <w:rFonts w:cs="Tahoma"/>
          <w:szCs w:val="24"/>
        </w:rPr>
        <w:t xml:space="preserve"> la notificación del auto admisorio a través de su apoderado general</w:t>
      </w:r>
      <w:r w:rsidR="002C6EB5" w:rsidRPr="009B137F">
        <w:rPr>
          <w:rStyle w:val="Refdenotaalpie"/>
          <w:rFonts w:cs="Tahoma"/>
          <w:szCs w:val="24"/>
        </w:rPr>
        <w:footnoteReference w:id="10"/>
      </w:r>
      <w:r w:rsidR="009A244E" w:rsidRPr="009B137F">
        <w:rPr>
          <w:rFonts w:cs="Tahoma"/>
          <w:szCs w:val="24"/>
        </w:rPr>
        <w:t>.</w:t>
      </w:r>
    </w:p>
    <w:p w14:paraId="6B47E76C" w14:textId="77777777" w:rsidR="00A1567B" w:rsidRPr="009B137F" w:rsidRDefault="00A1567B" w:rsidP="009B137F">
      <w:pPr>
        <w:spacing w:line="276" w:lineRule="auto"/>
        <w:ind w:firstLine="708"/>
        <w:rPr>
          <w:rFonts w:cs="Tahoma"/>
          <w:szCs w:val="24"/>
        </w:rPr>
      </w:pPr>
    </w:p>
    <w:p w14:paraId="62F15106" w14:textId="2ED3DF6E" w:rsidR="0058201A" w:rsidRPr="009B137F" w:rsidRDefault="00A1567B" w:rsidP="009B137F">
      <w:pPr>
        <w:spacing w:line="276" w:lineRule="auto"/>
        <w:ind w:firstLine="708"/>
        <w:rPr>
          <w:rFonts w:cs="Tahoma"/>
          <w:szCs w:val="24"/>
        </w:rPr>
      </w:pPr>
      <w:r w:rsidRPr="009B137F">
        <w:rPr>
          <w:rFonts w:cs="Tahoma"/>
          <w:szCs w:val="24"/>
        </w:rPr>
        <w:t xml:space="preserve">La anterior decisión fue acatada por el juzgado mediante auto del </w:t>
      </w:r>
      <w:r w:rsidR="00D77613" w:rsidRPr="009B137F">
        <w:rPr>
          <w:rFonts w:cs="Tahoma"/>
          <w:szCs w:val="24"/>
        </w:rPr>
        <w:t>22 de abril de 2019</w:t>
      </w:r>
      <w:r w:rsidR="00D77613" w:rsidRPr="009B137F">
        <w:rPr>
          <w:rStyle w:val="Refdenotaalpie"/>
          <w:rFonts w:cs="Tahoma"/>
          <w:szCs w:val="24"/>
        </w:rPr>
        <w:footnoteReference w:id="11"/>
      </w:r>
      <w:r w:rsidRPr="009B137F">
        <w:rPr>
          <w:rFonts w:cs="Tahoma"/>
          <w:szCs w:val="24"/>
        </w:rPr>
        <w:t xml:space="preserve">, a través del cual también </w:t>
      </w:r>
      <w:r w:rsidR="009A244E" w:rsidRPr="009B137F">
        <w:rPr>
          <w:rFonts w:cs="Tahoma"/>
          <w:szCs w:val="24"/>
        </w:rPr>
        <w:t>requirió a la parte</w:t>
      </w:r>
      <w:r w:rsidR="008D65D5" w:rsidRPr="009B137F">
        <w:rPr>
          <w:rFonts w:cs="Tahoma"/>
          <w:szCs w:val="24"/>
        </w:rPr>
        <w:t xml:space="preserve"> demandante</w:t>
      </w:r>
      <w:r w:rsidR="009A244E" w:rsidRPr="009B137F">
        <w:rPr>
          <w:rFonts w:cs="Tahoma"/>
          <w:szCs w:val="24"/>
        </w:rPr>
        <w:t xml:space="preserve"> para que surtiera la notificación, </w:t>
      </w:r>
      <w:r w:rsidR="0058201A" w:rsidRPr="009B137F">
        <w:rPr>
          <w:rFonts w:cs="Tahoma"/>
          <w:szCs w:val="24"/>
        </w:rPr>
        <w:t xml:space="preserve">actos de </w:t>
      </w:r>
      <w:r w:rsidR="003C26E6" w:rsidRPr="009B137F">
        <w:rPr>
          <w:rFonts w:cs="Tahoma"/>
          <w:szCs w:val="24"/>
        </w:rPr>
        <w:t xml:space="preserve">comunicación </w:t>
      </w:r>
      <w:r w:rsidR="0058201A" w:rsidRPr="009B137F">
        <w:rPr>
          <w:rFonts w:cs="Tahoma"/>
          <w:szCs w:val="24"/>
        </w:rPr>
        <w:t>que fueron ejecutados por el demandante el 28 de mayo de 2019</w:t>
      </w:r>
      <w:r w:rsidR="003C26E6" w:rsidRPr="009B137F">
        <w:rPr>
          <w:rStyle w:val="Refdenotaalpie"/>
          <w:rFonts w:cs="Tahoma"/>
          <w:szCs w:val="24"/>
        </w:rPr>
        <w:footnoteReference w:id="12"/>
      </w:r>
      <w:r w:rsidR="003C26E6" w:rsidRPr="009B137F">
        <w:rPr>
          <w:rFonts w:cs="Tahoma"/>
          <w:szCs w:val="24"/>
        </w:rPr>
        <w:t xml:space="preserve">, </w:t>
      </w:r>
      <w:r w:rsidR="00B54F50" w:rsidRPr="009B137F">
        <w:rPr>
          <w:rFonts w:cs="Tahoma"/>
          <w:szCs w:val="24"/>
        </w:rPr>
        <w:t>en razón de lo cual la demandada se notificó personalmente el 31 de mayo de 2019</w:t>
      </w:r>
      <w:r w:rsidR="00B54F50" w:rsidRPr="009B137F">
        <w:rPr>
          <w:rStyle w:val="Refdenotaalpie"/>
          <w:rFonts w:cs="Tahoma"/>
          <w:szCs w:val="24"/>
        </w:rPr>
        <w:footnoteReference w:id="13"/>
      </w:r>
      <w:r w:rsidR="00B54F50" w:rsidRPr="009B137F">
        <w:rPr>
          <w:rFonts w:cs="Tahoma"/>
          <w:szCs w:val="24"/>
        </w:rPr>
        <w:t>.</w:t>
      </w:r>
    </w:p>
    <w:p w14:paraId="6E0EA39A" w14:textId="42A74BE6" w:rsidR="00B54F50" w:rsidRPr="009B137F" w:rsidRDefault="00B54F50" w:rsidP="009B137F">
      <w:pPr>
        <w:spacing w:line="276" w:lineRule="auto"/>
        <w:rPr>
          <w:rFonts w:cs="Tahoma"/>
          <w:szCs w:val="24"/>
        </w:rPr>
      </w:pPr>
    </w:p>
    <w:bookmarkEnd w:id="8"/>
    <w:p w14:paraId="1A340E30" w14:textId="75F400AD" w:rsidR="005170D7" w:rsidRPr="009B137F" w:rsidRDefault="00B54F50" w:rsidP="009B137F">
      <w:pPr>
        <w:spacing w:line="276" w:lineRule="auto"/>
        <w:rPr>
          <w:rFonts w:cs="Tahoma"/>
          <w:szCs w:val="24"/>
        </w:rPr>
      </w:pPr>
      <w:r w:rsidRPr="009B137F">
        <w:rPr>
          <w:rFonts w:cs="Tahoma"/>
          <w:szCs w:val="24"/>
        </w:rPr>
        <w:tab/>
      </w:r>
      <w:r w:rsidR="00C71A20" w:rsidRPr="009B137F">
        <w:rPr>
          <w:rFonts w:cs="Tahoma"/>
          <w:szCs w:val="24"/>
        </w:rPr>
        <w:t xml:space="preserve">En este orden de ideas, aplicando la jurisprudencia traída a colación y </w:t>
      </w:r>
      <w:r w:rsidR="00FE0268" w:rsidRPr="009B137F">
        <w:rPr>
          <w:rFonts w:cs="Tahoma"/>
          <w:szCs w:val="24"/>
        </w:rPr>
        <w:t xml:space="preserve">con base en </w:t>
      </w:r>
      <w:r w:rsidR="00A3254F" w:rsidRPr="009B137F">
        <w:rPr>
          <w:rFonts w:cs="Tahoma"/>
          <w:szCs w:val="24"/>
        </w:rPr>
        <w:t>la</w:t>
      </w:r>
      <w:r w:rsidR="00FE0268" w:rsidRPr="009B137F">
        <w:rPr>
          <w:rFonts w:cs="Tahoma"/>
          <w:szCs w:val="24"/>
        </w:rPr>
        <w:t xml:space="preserve"> resolución de asuntos de similares contornos adoptados por este Cuerpo </w:t>
      </w:r>
      <w:r w:rsidR="00FE0268" w:rsidRPr="009B137F">
        <w:rPr>
          <w:rFonts w:cs="Tahoma"/>
          <w:szCs w:val="24"/>
        </w:rPr>
        <w:lastRenderedPageBreak/>
        <w:t>Colegiado</w:t>
      </w:r>
      <w:r w:rsidR="00BF4221" w:rsidRPr="009B137F">
        <w:rPr>
          <w:rFonts w:cs="Tahoma"/>
          <w:szCs w:val="24"/>
        </w:rPr>
        <w:t>,</w:t>
      </w:r>
      <w:r w:rsidR="00FE0268" w:rsidRPr="009B137F">
        <w:rPr>
          <w:rFonts w:cs="Tahoma"/>
          <w:szCs w:val="24"/>
        </w:rPr>
        <w:t xml:space="preserve"> </w:t>
      </w:r>
      <w:r w:rsidR="000A0F69" w:rsidRPr="009B137F">
        <w:rPr>
          <w:rFonts w:cs="Tahoma"/>
          <w:szCs w:val="24"/>
        </w:rPr>
        <w:t xml:space="preserve">dentro de los procesos </w:t>
      </w:r>
      <w:r w:rsidR="002C1EEF" w:rsidRPr="009B137F">
        <w:rPr>
          <w:rFonts w:cs="Tahoma"/>
          <w:szCs w:val="24"/>
        </w:rPr>
        <w:t>bajo radicado</w:t>
      </w:r>
      <w:r w:rsidR="00BF4221" w:rsidRPr="009B137F">
        <w:rPr>
          <w:rFonts w:cs="Tahoma"/>
          <w:szCs w:val="24"/>
        </w:rPr>
        <w:t>s</w:t>
      </w:r>
      <w:r w:rsidR="00E0775F" w:rsidRPr="009B137F">
        <w:rPr>
          <w:rFonts w:cs="Tahoma"/>
          <w:szCs w:val="24"/>
        </w:rPr>
        <w:t xml:space="preserve"> </w:t>
      </w:r>
      <w:r w:rsidR="00E0775F" w:rsidRPr="009B137F">
        <w:rPr>
          <w:rFonts w:cs="Tahoma"/>
          <w:szCs w:val="24"/>
          <w:lang w:val="es-419"/>
        </w:rPr>
        <w:t xml:space="preserve">66001310500320180006202, </w:t>
      </w:r>
      <w:r w:rsidR="004C4AF6" w:rsidRPr="009B137F">
        <w:rPr>
          <w:rFonts w:cs="Tahoma"/>
          <w:szCs w:val="24"/>
          <w:lang w:val="es-419"/>
        </w:rPr>
        <w:t>6001310500320180003902</w:t>
      </w:r>
      <w:r w:rsidR="00B55046" w:rsidRPr="009B137F">
        <w:rPr>
          <w:rFonts w:cs="Tahoma"/>
          <w:szCs w:val="24"/>
        </w:rPr>
        <w:t>,</w:t>
      </w:r>
      <w:r w:rsidR="004C4AF6" w:rsidRPr="009B137F">
        <w:rPr>
          <w:rFonts w:cs="Tahoma"/>
          <w:szCs w:val="24"/>
        </w:rPr>
        <w:t xml:space="preserve"> </w:t>
      </w:r>
      <w:r w:rsidR="00B55046" w:rsidRPr="009B137F">
        <w:rPr>
          <w:rFonts w:cs="Tahoma"/>
          <w:szCs w:val="24"/>
          <w:lang w:val="es-419"/>
        </w:rPr>
        <w:t>66001310500320180033402</w:t>
      </w:r>
      <w:r w:rsidR="004F75BB" w:rsidRPr="009B137F">
        <w:rPr>
          <w:rStyle w:val="Refdenotaalpie"/>
          <w:rFonts w:eastAsia="Tahoma-Bold" w:cs="Tahoma"/>
          <w:szCs w:val="24"/>
          <w:lang w:val="es-419"/>
        </w:rPr>
        <w:footnoteReference w:id="14"/>
      </w:r>
      <w:r w:rsidR="000A0F69" w:rsidRPr="009B137F">
        <w:rPr>
          <w:rFonts w:eastAsia="Tahoma-Bold" w:cs="Tahoma"/>
          <w:szCs w:val="24"/>
        </w:rPr>
        <w:t xml:space="preserve">, </w:t>
      </w:r>
      <w:r w:rsidR="000A0F69" w:rsidRPr="009B137F">
        <w:rPr>
          <w:rFonts w:cs="Tahoma"/>
          <w:szCs w:val="24"/>
        </w:rPr>
        <w:t xml:space="preserve">último referido por la demandante a fin de recibir un tratamiento igual, </w:t>
      </w:r>
      <w:r w:rsidR="00BF4221" w:rsidRPr="009B137F">
        <w:rPr>
          <w:rFonts w:cs="Tahoma"/>
          <w:szCs w:val="24"/>
        </w:rPr>
        <w:t>la</w:t>
      </w:r>
      <w:r w:rsidR="00E0775F" w:rsidRPr="009B137F">
        <w:rPr>
          <w:rFonts w:cs="Tahoma"/>
          <w:szCs w:val="24"/>
        </w:rPr>
        <w:t xml:space="preserve"> Sala</w:t>
      </w:r>
      <w:r w:rsidR="00A3254F" w:rsidRPr="009B137F">
        <w:rPr>
          <w:rFonts w:cs="Tahoma"/>
          <w:szCs w:val="24"/>
        </w:rPr>
        <w:t xml:space="preserve"> no</w:t>
      </w:r>
      <w:r w:rsidR="00E0775F" w:rsidRPr="009B137F">
        <w:rPr>
          <w:rFonts w:cs="Tahoma"/>
          <w:szCs w:val="24"/>
        </w:rPr>
        <w:t xml:space="preserve"> encuentr</w:t>
      </w:r>
      <w:r w:rsidR="00A3254F" w:rsidRPr="009B137F">
        <w:rPr>
          <w:rFonts w:cs="Tahoma"/>
          <w:szCs w:val="24"/>
        </w:rPr>
        <w:t>a</w:t>
      </w:r>
      <w:r w:rsidR="00E0775F" w:rsidRPr="009B137F">
        <w:rPr>
          <w:rFonts w:cs="Tahoma"/>
          <w:szCs w:val="24"/>
        </w:rPr>
        <w:t xml:space="preserve"> </w:t>
      </w:r>
      <w:r w:rsidR="000A0F69" w:rsidRPr="009B137F">
        <w:rPr>
          <w:rFonts w:cs="Tahoma"/>
          <w:szCs w:val="24"/>
        </w:rPr>
        <w:t xml:space="preserve">razones que </w:t>
      </w:r>
      <w:r w:rsidR="002C1EEF" w:rsidRPr="009B137F">
        <w:rPr>
          <w:rFonts w:cs="Tahoma"/>
          <w:szCs w:val="24"/>
        </w:rPr>
        <w:t>conlleven</w:t>
      </w:r>
      <w:r w:rsidR="000A0F69" w:rsidRPr="009B137F">
        <w:rPr>
          <w:rFonts w:cs="Tahoma"/>
          <w:szCs w:val="24"/>
        </w:rPr>
        <w:t xml:space="preserve"> </w:t>
      </w:r>
      <w:r w:rsidR="007443A7" w:rsidRPr="009B137F">
        <w:rPr>
          <w:rFonts w:cs="Tahoma"/>
          <w:szCs w:val="24"/>
        </w:rPr>
        <w:t>a avalar la decisión de primera instancia, tal como se explicará más adelante.</w:t>
      </w:r>
    </w:p>
    <w:p w14:paraId="5A599EF4" w14:textId="77777777" w:rsidR="005170D7" w:rsidRPr="009B137F" w:rsidRDefault="005170D7" w:rsidP="009B137F">
      <w:pPr>
        <w:spacing w:line="276" w:lineRule="auto"/>
        <w:rPr>
          <w:rFonts w:cs="Tahoma"/>
          <w:szCs w:val="24"/>
        </w:rPr>
      </w:pPr>
    </w:p>
    <w:p w14:paraId="73A22993" w14:textId="59D28BC8" w:rsidR="009A244E" w:rsidRPr="009B137F" w:rsidRDefault="007443A7" w:rsidP="009B137F">
      <w:pPr>
        <w:spacing w:line="276" w:lineRule="auto"/>
        <w:ind w:firstLine="708"/>
        <w:rPr>
          <w:rFonts w:cs="Tahoma"/>
          <w:szCs w:val="24"/>
        </w:rPr>
      </w:pPr>
      <w:r w:rsidRPr="009B137F">
        <w:rPr>
          <w:rFonts w:cs="Tahoma"/>
          <w:szCs w:val="24"/>
        </w:rPr>
        <w:t xml:space="preserve">En efecto, </w:t>
      </w:r>
      <w:r w:rsidR="007C6143" w:rsidRPr="009B137F">
        <w:rPr>
          <w:rFonts w:cs="Tahoma"/>
          <w:szCs w:val="24"/>
        </w:rPr>
        <w:t xml:space="preserve">es fácil </w:t>
      </w:r>
      <w:r w:rsidR="009A244E" w:rsidRPr="009B137F">
        <w:rPr>
          <w:rFonts w:cs="Tahoma"/>
          <w:szCs w:val="24"/>
        </w:rPr>
        <w:t xml:space="preserve">concluir que por lo menos entre </w:t>
      </w:r>
      <w:r w:rsidR="005170D7" w:rsidRPr="009B137F">
        <w:rPr>
          <w:rFonts w:cs="Tahoma"/>
          <w:szCs w:val="24"/>
        </w:rPr>
        <w:t xml:space="preserve">el 5 de septiembre de </w:t>
      </w:r>
      <w:r w:rsidR="009A244E" w:rsidRPr="009B137F">
        <w:rPr>
          <w:rFonts w:cs="Tahoma"/>
          <w:szCs w:val="24"/>
        </w:rPr>
        <w:t xml:space="preserve">2018 </w:t>
      </w:r>
      <w:r w:rsidR="00981430" w:rsidRPr="009B137F">
        <w:rPr>
          <w:rFonts w:cs="Tahoma"/>
          <w:i/>
          <w:iCs/>
          <w:szCs w:val="24"/>
        </w:rPr>
        <w:t>(</w:t>
      </w:r>
      <w:r w:rsidR="009A244E" w:rsidRPr="009B137F">
        <w:rPr>
          <w:rFonts w:cs="Tahoma"/>
          <w:i/>
          <w:iCs/>
          <w:szCs w:val="24"/>
        </w:rPr>
        <w:t>fecha en que el Juzgado se negó a reponer el auto admisorio de la demanda</w:t>
      </w:r>
      <w:r w:rsidR="00491AC5" w:rsidRPr="009B137F">
        <w:rPr>
          <w:rFonts w:cs="Tahoma"/>
          <w:i/>
          <w:iCs/>
          <w:szCs w:val="24"/>
        </w:rPr>
        <w:t>)</w:t>
      </w:r>
      <w:r w:rsidR="009A244E" w:rsidRPr="009B137F">
        <w:rPr>
          <w:rFonts w:cs="Tahoma"/>
          <w:i/>
          <w:iCs/>
          <w:szCs w:val="24"/>
        </w:rPr>
        <w:t xml:space="preserve"> </w:t>
      </w:r>
      <w:r w:rsidR="009A244E" w:rsidRPr="009B137F">
        <w:rPr>
          <w:rFonts w:cs="Tahoma"/>
          <w:szCs w:val="24"/>
        </w:rPr>
        <w:t>y el 22</w:t>
      </w:r>
      <w:r w:rsidR="00491AC5" w:rsidRPr="009B137F">
        <w:rPr>
          <w:rFonts w:cs="Tahoma"/>
          <w:szCs w:val="24"/>
        </w:rPr>
        <w:t xml:space="preserve"> de abril de </w:t>
      </w:r>
      <w:r w:rsidR="009A244E" w:rsidRPr="009B137F">
        <w:rPr>
          <w:rFonts w:cs="Tahoma"/>
          <w:szCs w:val="24"/>
        </w:rPr>
        <w:t xml:space="preserve">2019 </w:t>
      </w:r>
      <w:r w:rsidR="00491AC5" w:rsidRPr="009B137F">
        <w:rPr>
          <w:rFonts w:cs="Tahoma"/>
          <w:szCs w:val="24"/>
        </w:rPr>
        <w:t>(</w:t>
      </w:r>
      <w:r w:rsidR="009A244E" w:rsidRPr="009B137F">
        <w:rPr>
          <w:rFonts w:cs="Tahoma"/>
          <w:i/>
          <w:iCs/>
          <w:szCs w:val="24"/>
        </w:rPr>
        <w:t>fecha en que el juzgado ordenó la notificación</w:t>
      </w:r>
      <w:r w:rsidR="00491AC5" w:rsidRPr="009B137F">
        <w:rPr>
          <w:rFonts w:cs="Tahoma"/>
          <w:i/>
          <w:iCs/>
          <w:szCs w:val="24"/>
        </w:rPr>
        <w:t>, producto de la decisión adoptada por este Tribunal el 29 de marzo de 2019)</w:t>
      </w:r>
      <w:r w:rsidR="009A244E" w:rsidRPr="009B137F">
        <w:rPr>
          <w:rFonts w:cs="Tahoma"/>
          <w:szCs w:val="24"/>
        </w:rPr>
        <w:t xml:space="preserve">, el demandante ninguna actuación podía realizar porque la gestión que estaba a su cargo había sido cumplida conforme a lo dispuesto por el mismo Juzgado. </w:t>
      </w:r>
    </w:p>
    <w:p w14:paraId="2F21EE54" w14:textId="77777777" w:rsidR="009A244E" w:rsidRPr="009B137F" w:rsidRDefault="009A244E" w:rsidP="009B137F">
      <w:pPr>
        <w:spacing w:line="276" w:lineRule="auto"/>
        <w:rPr>
          <w:rFonts w:cs="Tahoma"/>
          <w:szCs w:val="24"/>
        </w:rPr>
      </w:pPr>
    </w:p>
    <w:p w14:paraId="10F0A4AE" w14:textId="5F2A8ADC" w:rsidR="00B76186" w:rsidRPr="009B137F" w:rsidRDefault="009A244E" w:rsidP="009B137F">
      <w:pPr>
        <w:spacing w:line="276" w:lineRule="auto"/>
        <w:ind w:firstLine="708"/>
        <w:rPr>
          <w:rFonts w:cs="Tahoma"/>
          <w:szCs w:val="24"/>
        </w:rPr>
      </w:pPr>
      <w:r w:rsidRPr="009B137F">
        <w:rPr>
          <w:rFonts w:cs="Tahoma"/>
          <w:szCs w:val="24"/>
        </w:rPr>
        <w:t xml:space="preserve">Además, </w:t>
      </w:r>
      <w:r w:rsidR="00F15E74" w:rsidRPr="009B137F">
        <w:rPr>
          <w:rFonts w:cs="Tahoma"/>
          <w:szCs w:val="24"/>
        </w:rPr>
        <w:t>habría</w:t>
      </w:r>
      <w:r w:rsidR="00DC4175" w:rsidRPr="009B137F">
        <w:rPr>
          <w:rFonts w:cs="Tahoma"/>
          <w:szCs w:val="24"/>
        </w:rPr>
        <w:t xml:space="preserve"> que agregar</w:t>
      </w:r>
      <w:r w:rsidRPr="009B137F">
        <w:rPr>
          <w:rFonts w:cs="Tahoma"/>
          <w:szCs w:val="24"/>
        </w:rPr>
        <w:t xml:space="preserve"> que </w:t>
      </w:r>
      <w:r w:rsidR="00B76186" w:rsidRPr="009B137F">
        <w:rPr>
          <w:rFonts w:cs="Tahoma"/>
          <w:szCs w:val="24"/>
        </w:rPr>
        <w:t>el yerro declarado por el Tribunal</w:t>
      </w:r>
      <w:r w:rsidR="00B26C1C" w:rsidRPr="009B137F">
        <w:rPr>
          <w:rFonts w:cs="Tahoma"/>
          <w:szCs w:val="24"/>
        </w:rPr>
        <w:t xml:space="preserve"> en el auto que </w:t>
      </w:r>
      <w:r w:rsidR="005D2393" w:rsidRPr="009B137F">
        <w:rPr>
          <w:rFonts w:cs="Tahoma"/>
          <w:szCs w:val="24"/>
        </w:rPr>
        <w:t>abordó el estudio de las excepciones previas dentro de este mismo asunto, en su momento</w:t>
      </w:r>
      <w:r w:rsidR="00B76186" w:rsidRPr="009B137F">
        <w:rPr>
          <w:rFonts w:cs="Tahoma"/>
          <w:szCs w:val="24"/>
        </w:rPr>
        <w:t xml:space="preserve"> fue </w:t>
      </w:r>
      <w:r w:rsidR="00DC4175" w:rsidRPr="009B137F">
        <w:rPr>
          <w:rFonts w:cs="Tahoma"/>
          <w:szCs w:val="24"/>
        </w:rPr>
        <w:t>inadvertido</w:t>
      </w:r>
      <w:r w:rsidR="00B26C1C" w:rsidRPr="009B137F">
        <w:rPr>
          <w:rFonts w:cs="Tahoma"/>
          <w:szCs w:val="24"/>
        </w:rPr>
        <w:t xml:space="preserve"> por</w:t>
      </w:r>
      <w:r w:rsidR="00B76186" w:rsidRPr="009B137F">
        <w:rPr>
          <w:rFonts w:cs="Tahoma"/>
          <w:szCs w:val="24"/>
        </w:rPr>
        <w:t xml:space="preserve"> el juzgado de instancia</w:t>
      </w:r>
      <w:r w:rsidR="002E4C51" w:rsidRPr="009B137F">
        <w:rPr>
          <w:rFonts w:cs="Tahoma"/>
          <w:szCs w:val="24"/>
        </w:rPr>
        <w:t xml:space="preserve"> en el control de legalidad de la admisión de la demanda </w:t>
      </w:r>
      <w:r w:rsidR="00C44989" w:rsidRPr="009B137F">
        <w:rPr>
          <w:rFonts w:cs="Tahoma"/>
          <w:szCs w:val="24"/>
        </w:rPr>
        <w:t>(</w:t>
      </w:r>
      <w:r w:rsidR="00373CF8" w:rsidRPr="009B137F">
        <w:rPr>
          <w:rFonts w:cs="Tahoma"/>
          <w:szCs w:val="24"/>
        </w:rPr>
        <w:t>6 de febrero de 2018)</w:t>
      </w:r>
      <w:r w:rsidR="00FB4C2B" w:rsidRPr="009B137F">
        <w:rPr>
          <w:rFonts w:cs="Tahoma"/>
          <w:szCs w:val="24"/>
        </w:rPr>
        <w:t xml:space="preserve">, </w:t>
      </w:r>
      <w:r w:rsidR="00A62198" w:rsidRPr="009B137F">
        <w:rPr>
          <w:rFonts w:cs="Tahoma"/>
          <w:szCs w:val="24"/>
        </w:rPr>
        <w:t xml:space="preserve">y, </w:t>
      </w:r>
      <w:r w:rsidR="00373CF8" w:rsidRPr="009B137F">
        <w:rPr>
          <w:rFonts w:cs="Tahoma"/>
          <w:szCs w:val="24"/>
        </w:rPr>
        <w:t>pese</w:t>
      </w:r>
      <w:r w:rsidR="00B76186" w:rsidRPr="009B137F">
        <w:rPr>
          <w:rFonts w:cs="Tahoma"/>
          <w:szCs w:val="24"/>
        </w:rPr>
        <w:t xml:space="preserve"> a que</w:t>
      </w:r>
      <w:r w:rsidR="002E4C51" w:rsidRPr="009B137F">
        <w:rPr>
          <w:rFonts w:cs="Tahoma"/>
          <w:szCs w:val="24"/>
        </w:rPr>
        <w:t xml:space="preserve"> la convocada</w:t>
      </w:r>
      <w:r w:rsidR="00A62198" w:rsidRPr="009B137F">
        <w:rPr>
          <w:rFonts w:cs="Tahoma"/>
          <w:szCs w:val="24"/>
        </w:rPr>
        <w:t xml:space="preserve"> lo puso de presente en el recurso de reposición contra la admisión</w:t>
      </w:r>
      <w:r w:rsidR="00373CF8" w:rsidRPr="009B137F">
        <w:rPr>
          <w:rFonts w:cs="Tahoma"/>
          <w:szCs w:val="24"/>
        </w:rPr>
        <w:t xml:space="preserve"> (27 de agosto de 2018)</w:t>
      </w:r>
      <w:r w:rsidR="002E4C51" w:rsidRPr="009B137F">
        <w:rPr>
          <w:rFonts w:cs="Tahoma"/>
          <w:szCs w:val="24"/>
        </w:rPr>
        <w:t xml:space="preserve">, la </w:t>
      </w:r>
      <w:r w:rsidR="002E4C51" w:rsidRPr="009B137F">
        <w:rPr>
          <w:rFonts w:cs="Tahoma"/>
          <w:i/>
          <w:iCs/>
          <w:szCs w:val="24"/>
        </w:rPr>
        <w:t>a-quo</w:t>
      </w:r>
      <w:r w:rsidR="002E4C51" w:rsidRPr="009B137F">
        <w:rPr>
          <w:rFonts w:cs="Tahoma"/>
          <w:szCs w:val="24"/>
        </w:rPr>
        <w:t xml:space="preserve"> decidió</w:t>
      </w:r>
      <w:r w:rsidR="00B00777" w:rsidRPr="009B137F">
        <w:rPr>
          <w:rFonts w:cs="Tahoma"/>
          <w:szCs w:val="24"/>
        </w:rPr>
        <w:t xml:space="preserve"> equivocadamente</w:t>
      </w:r>
      <w:r w:rsidR="002E4C51" w:rsidRPr="009B137F">
        <w:rPr>
          <w:rFonts w:cs="Tahoma"/>
          <w:szCs w:val="24"/>
        </w:rPr>
        <w:t xml:space="preserve"> </w:t>
      </w:r>
      <w:r w:rsidR="00B00777" w:rsidRPr="009B137F">
        <w:rPr>
          <w:rFonts w:cs="Tahoma"/>
          <w:szCs w:val="24"/>
        </w:rPr>
        <w:t>continuar</w:t>
      </w:r>
      <w:r w:rsidR="002E4C51" w:rsidRPr="009B137F">
        <w:rPr>
          <w:rFonts w:cs="Tahoma"/>
          <w:szCs w:val="24"/>
        </w:rPr>
        <w:t xml:space="preserve"> el proceso judicia</w:t>
      </w:r>
      <w:r w:rsidR="00373CF8" w:rsidRPr="009B137F">
        <w:rPr>
          <w:rFonts w:cs="Tahoma"/>
          <w:szCs w:val="24"/>
        </w:rPr>
        <w:t xml:space="preserve">l </w:t>
      </w:r>
      <w:r w:rsidR="00DC4175" w:rsidRPr="009B137F">
        <w:rPr>
          <w:rFonts w:cs="Tahoma"/>
          <w:szCs w:val="24"/>
        </w:rPr>
        <w:t>con</w:t>
      </w:r>
      <w:r w:rsidR="00C52A9E" w:rsidRPr="009B137F">
        <w:rPr>
          <w:rFonts w:cs="Tahoma"/>
          <w:szCs w:val="24"/>
        </w:rPr>
        <w:t>tra</w:t>
      </w:r>
      <w:r w:rsidR="00DC4175" w:rsidRPr="009B137F">
        <w:rPr>
          <w:rFonts w:cs="Tahoma"/>
          <w:szCs w:val="24"/>
        </w:rPr>
        <w:t xml:space="preserve"> un ente sin c</w:t>
      </w:r>
      <w:r w:rsidR="00C52A9E" w:rsidRPr="009B137F">
        <w:rPr>
          <w:rFonts w:cs="Tahoma"/>
          <w:szCs w:val="24"/>
        </w:rPr>
        <w:t>apacidad de ser parte</w:t>
      </w:r>
      <w:r w:rsidR="00B00777" w:rsidRPr="009B137F">
        <w:rPr>
          <w:rFonts w:cs="Tahoma"/>
          <w:szCs w:val="24"/>
        </w:rPr>
        <w:t xml:space="preserve"> (5 de septiembre de 2018), al punto que incluso</w:t>
      </w:r>
      <w:r w:rsidR="002E4C51" w:rsidRPr="009B137F">
        <w:rPr>
          <w:rFonts w:cs="Tahoma"/>
          <w:szCs w:val="24"/>
        </w:rPr>
        <w:t xml:space="preserve"> neg</w:t>
      </w:r>
      <w:r w:rsidR="00B00777" w:rsidRPr="009B137F">
        <w:rPr>
          <w:rFonts w:cs="Tahoma"/>
          <w:szCs w:val="24"/>
        </w:rPr>
        <w:t>ó</w:t>
      </w:r>
      <w:r w:rsidR="002E4C51" w:rsidRPr="009B137F">
        <w:rPr>
          <w:rFonts w:cs="Tahoma"/>
          <w:szCs w:val="24"/>
        </w:rPr>
        <w:t xml:space="preserve"> </w:t>
      </w:r>
      <w:r w:rsidR="00C44989" w:rsidRPr="009B137F">
        <w:rPr>
          <w:rFonts w:cs="Tahoma"/>
          <w:szCs w:val="24"/>
        </w:rPr>
        <w:t>las excepciones previas</w:t>
      </w:r>
      <w:r w:rsidR="00422681" w:rsidRPr="009B137F">
        <w:rPr>
          <w:rFonts w:cs="Tahoma"/>
          <w:szCs w:val="24"/>
        </w:rPr>
        <w:t xml:space="preserve">, lo que alargó por más de un año el trámite de la notificación de la persona realmente llamada a responder </w:t>
      </w:r>
      <w:r w:rsidR="00C409A0" w:rsidRPr="009B137F">
        <w:rPr>
          <w:rFonts w:cs="Tahoma"/>
          <w:szCs w:val="24"/>
        </w:rPr>
        <w:t>por las obligaciones reclamadas por la trabajadora.</w:t>
      </w:r>
    </w:p>
    <w:p w14:paraId="0C43FC80" w14:textId="77777777" w:rsidR="00B76186" w:rsidRPr="009B137F" w:rsidRDefault="00B76186" w:rsidP="009B137F">
      <w:pPr>
        <w:spacing w:line="276" w:lineRule="auto"/>
        <w:ind w:firstLine="708"/>
        <w:rPr>
          <w:rFonts w:cs="Tahoma"/>
          <w:szCs w:val="24"/>
        </w:rPr>
      </w:pPr>
    </w:p>
    <w:p w14:paraId="43C0E528" w14:textId="1B092015" w:rsidR="009A244E" w:rsidRPr="009B137F" w:rsidRDefault="00CB4291" w:rsidP="009B137F">
      <w:pPr>
        <w:spacing w:line="276" w:lineRule="auto"/>
        <w:ind w:firstLine="708"/>
        <w:rPr>
          <w:rFonts w:cs="Tahoma"/>
          <w:szCs w:val="24"/>
        </w:rPr>
      </w:pPr>
      <w:r w:rsidRPr="009B137F">
        <w:rPr>
          <w:rFonts w:cs="Tahoma"/>
          <w:szCs w:val="24"/>
        </w:rPr>
        <w:t xml:space="preserve">Derivado de lo anterior, </w:t>
      </w:r>
      <w:r w:rsidR="009A244E" w:rsidRPr="009B137F">
        <w:rPr>
          <w:rFonts w:cs="Tahoma"/>
          <w:szCs w:val="24"/>
        </w:rPr>
        <w:t xml:space="preserve">el auto admisorio de la demanda fue objeto de modificación por esta Sala, pues nótese que lo dispuesto fue que la llamada a juicio era Telemark </w:t>
      </w:r>
      <w:proofErr w:type="spellStart"/>
      <w:r w:rsidR="009A244E" w:rsidRPr="009B137F">
        <w:rPr>
          <w:rFonts w:cs="Tahoma"/>
          <w:szCs w:val="24"/>
        </w:rPr>
        <w:t>Spain</w:t>
      </w:r>
      <w:proofErr w:type="spellEnd"/>
      <w:r w:rsidR="009A244E" w:rsidRPr="009B137F">
        <w:rPr>
          <w:rFonts w:cs="Tahoma"/>
          <w:szCs w:val="24"/>
        </w:rPr>
        <w:t xml:space="preserve"> </w:t>
      </w:r>
      <w:r w:rsidR="0061659E" w:rsidRPr="009B137F">
        <w:rPr>
          <w:rFonts w:cs="Tahoma"/>
          <w:szCs w:val="24"/>
        </w:rPr>
        <w:t>S.L</w:t>
      </w:r>
      <w:r w:rsidR="008D3EF0" w:rsidRPr="009B137F">
        <w:rPr>
          <w:rFonts w:cs="Tahoma"/>
          <w:szCs w:val="24"/>
        </w:rPr>
        <w:t>.</w:t>
      </w:r>
      <w:r w:rsidR="009A244E" w:rsidRPr="009B137F">
        <w:rPr>
          <w:rFonts w:cs="Tahoma"/>
          <w:szCs w:val="24"/>
        </w:rPr>
        <w:t xml:space="preserve"> y ordenó la notificación del auto admisorio a ésta, lo que implica que a partir del acto procesal del 22</w:t>
      </w:r>
      <w:r w:rsidR="00B76186" w:rsidRPr="009B137F">
        <w:rPr>
          <w:rFonts w:cs="Tahoma"/>
          <w:szCs w:val="24"/>
        </w:rPr>
        <w:t xml:space="preserve"> de abril </w:t>
      </w:r>
      <w:r w:rsidR="009A244E" w:rsidRPr="009B137F">
        <w:rPr>
          <w:rFonts w:cs="Tahoma"/>
          <w:szCs w:val="24"/>
        </w:rPr>
        <w:t>2019 por medio de la cual el Juzgado estuvo a lo dispuesto por esta instancia, correspondió al momento en que el demandante debió cumplir con el acto de notificación</w:t>
      </w:r>
      <w:r w:rsidR="008D3EF0" w:rsidRPr="009B137F">
        <w:rPr>
          <w:rFonts w:cs="Tahoma"/>
          <w:szCs w:val="24"/>
        </w:rPr>
        <w:t>,</w:t>
      </w:r>
      <w:r w:rsidR="009A244E" w:rsidRPr="009B137F">
        <w:rPr>
          <w:rFonts w:cs="Tahoma"/>
          <w:szCs w:val="24"/>
        </w:rPr>
        <w:t xml:space="preserve"> lo cual logró el </w:t>
      </w:r>
      <w:r w:rsidR="0061659E" w:rsidRPr="009B137F">
        <w:rPr>
          <w:rFonts w:cs="Tahoma"/>
          <w:szCs w:val="24"/>
        </w:rPr>
        <w:t xml:space="preserve">31 de mayo de 2019 </w:t>
      </w:r>
      <w:r w:rsidR="009A244E" w:rsidRPr="009B137F">
        <w:rPr>
          <w:rFonts w:cs="Tahoma"/>
          <w:szCs w:val="24"/>
        </w:rPr>
        <w:t xml:space="preserve">y, en ese sentido, la interrupción de la prescripción surtió efectos porque </w:t>
      </w:r>
      <w:r w:rsidR="00BF6622" w:rsidRPr="009B137F">
        <w:rPr>
          <w:rFonts w:cs="Tahoma"/>
          <w:szCs w:val="24"/>
        </w:rPr>
        <w:t xml:space="preserve">solo transcurrió alrededor de un mes </w:t>
      </w:r>
      <w:r w:rsidR="009A244E" w:rsidRPr="009B137F">
        <w:rPr>
          <w:rFonts w:cs="Tahoma"/>
          <w:szCs w:val="24"/>
        </w:rPr>
        <w:t>entre ambos actos procesales</w:t>
      </w:r>
      <w:r w:rsidR="00BF6622" w:rsidRPr="009B137F">
        <w:rPr>
          <w:rFonts w:cs="Tahoma"/>
          <w:szCs w:val="24"/>
        </w:rPr>
        <w:t xml:space="preserve">. </w:t>
      </w:r>
      <w:r w:rsidR="009A244E" w:rsidRPr="009B137F">
        <w:rPr>
          <w:rFonts w:cs="Tahoma"/>
          <w:szCs w:val="24"/>
        </w:rPr>
        <w:t xml:space="preserve">De otro lado, debe tenerse en cuenta que el tiempo transcurrido entre el </w:t>
      </w:r>
      <w:r w:rsidR="000A3D48" w:rsidRPr="009B137F">
        <w:rPr>
          <w:rFonts w:cs="Tahoma"/>
          <w:szCs w:val="24"/>
        </w:rPr>
        <w:t xml:space="preserve">5 de septiembre de 2018 </w:t>
      </w:r>
      <w:r w:rsidR="009A244E" w:rsidRPr="009B137F">
        <w:rPr>
          <w:rFonts w:cs="Tahoma"/>
          <w:szCs w:val="24"/>
        </w:rPr>
        <w:t>y el 22</w:t>
      </w:r>
      <w:r w:rsidR="000A3D48" w:rsidRPr="009B137F">
        <w:rPr>
          <w:rFonts w:cs="Tahoma"/>
          <w:szCs w:val="24"/>
        </w:rPr>
        <w:t xml:space="preserve"> de abril de </w:t>
      </w:r>
      <w:r w:rsidR="009A244E" w:rsidRPr="009B137F">
        <w:rPr>
          <w:rFonts w:cs="Tahoma"/>
          <w:szCs w:val="24"/>
        </w:rPr>
        <w:t xml:space="preserve">2019 no se le puede </w:t>
      </w:r>
      <w:r w:rsidR="000A3D48" w:rsidRPr="009B137F">
        <w:rPr>
          <w:rFonts w:cs="Tahoma"/>
          <w:szCs w:val="24"/>
        </w:rPr>
        <w:t xml:space="preserve">endilgar </w:t>
      </w:r>
      <w:r w:rsidR="009A244E" w:rsidRPr="009B137F">
        <w:rPr>
          <w:rFonts w:cs="Tahoma"/>
          <w:szCs w:val="24"/>
        </w:rPr>
        <w:t>al demandante por</w:t>
      </w:r>
      <w:r w:rsidR="00667302" w:rsidRPr="009B137F">
        <w:rPr>
          <w:rFonts w:cs="Tahoma"/>
          <w:szCs w:val="24"/>
        </w:rPr>
        <w:t xml:space="preserve">que </w:t>
      </w:r>
      <w:r w:rsidR="00B95817" w:rsidRPr="009B137F">
        <w:rPr>
          <w:rFonts w:cs="Tahoma"/>
          <w:szCs w:val="24"/>
        </w:rPr>
        <w:t>fueron situaciones</w:t>
      </w:r>
      <w:r w:rsidR="009A244E" w:rsidRPr="009B137F">
        <w:rPr>
          <w:rFonts w:cs="Tahoma"/>
          <w:szCs w:val="24"/>
        </w:rPr>
        <w:t xml:space="preserve"> esencialmente atribuibles al procedimiento mismo y, adicional a ello, tampoco se dieron las condiciones de los numerales 2 y 5 del citado artículo 95 del C.G.P. porque no se terminó el proceso con el medio exceptivo y tampoco se declaró la nulidad, como para que se entendiera ineficaz dicha interrupción.</w:t>
      </w:r>
    </w:p>
    <w:p w14:paraId="5A2404CC" w14:textId="77777777" w:rsidR="009A244E" w:rsidRPr="009B137F" w:rsidRDefault="009A244E" w:rsidP="009B137F">
      <w:pPr>
        <w:spacing w:line="276" w:lineRule="auto"/>
        <w:rPr>
          <w:rFonts w:cs="Tahoma"/>
          <w:szCs w:val="24"/>
        </w:rPr>
      </w:pPr>
    </w:p>
    <w:p w14:paraId="60F3DACE" w14:textId="3C340137" w:rsidR="00AA60BF" w:rsidRPr="009B137F" w:rsidRDefault="009A244E" w:rsidP="009B137F">
      <w:pPr>
        <w:spacing w:line="276" w:lineRule="auto"/>
        <w:ind w:firstLine="708"/>
        <w:rPr>
          <w:rFonts w:cs="Tahoma"/>
          <w:szCs w:val="24"/>
        </w:rPr>
      </w:pPr>
      <w:r w:rsidRPr="009B137F">
        <w:rPr>
          <w:rFonts w:cs="Tahoma"/>
          <w:szCs w:val="24"/>
        </w:rPr>
        <w:t xml:space="preserve">Así las cosas, al entenderse interrumpida la prescripción con la presentación de la demanda </w:t>
      </w:r>
      <w:r w:rsidR="00542E4D" w:rsidRPr="009B137F">
        <w:rPr>
          <w:rFonts w:cs="Tahoma"/>
          <w:szCs w:val="24"/>
        </w:rPr>
        <w:t xml:space="preserve">el </w:t>
      </w:r>
      <w:r w:rsidR="00D25E0A" w:rsidRPr="009B137F">
        <w:rPr>
          <w:rFonts w:cs="Tahoma"/>
          <w:szCs w:val="24"/>
        </w:rPr>
        <w:t>0</w:t>
      </w:r>
      <w:r w:rsidR="00B3745C" w:rsidRPr="009B137F">
        <w:rPr>
          <w:rFonts w:cs="Tahoma"/>
          <w:szCs w:val="24"/>
        </w:rPr>
        <w:t xml:space="preserve">5 de febrero de 2018, fueron </w:t>
      </w:r>
      <w:r w:rsidR="00C20C56" w:rsidRPr="009B137F">
        <w:rPr>
          <w:rFonts w:cs="Tahoma"/>
          <w:szCs w:val="24"/>
        </w:rPr>
        <w:t>enervados</w:t>
      </w:r>
      <w:r w:rsidR="001A5714" w:rsidRPr="009B137F">
        <w:rPr>
          <w:rFonts w:cs="Tahoma"/>
          <w:szCs w:val="24"/>
        </w:rPr>
        <w:t xml:space="preserve"> los</w:t>
      </w:r>
      <w:r w:rsidR="00CC4C6D" w:rsidRPr="009B137F">
        <w:rPr>
          <w:rFonts w:cs="Tahoma"/>
          <w:szCs w:val="24"/>
        </w:rPr>
        <w:t xml:space="preserve"> emolumentos</w:t>
      </w:r>
      <w:r w:rsidR="00C20C56" w:rsidRPr="009B137F">
        <w:rPr>
          <w:rFonts w:cs="Tahoma"/>
          <w:szCs w:val="24"/>
        </w:rPr>
        <w:t xml:space="preserve"> económicos</w:t>
      </w:r>
      <w:r w:rsidR="00D25E0A" w:rsidRPr="009B137F">
        <w:rPr>
          <w:rFonts w:cs="Tahoma"/>
          <w:szCs w:val="24"/>
        </w:rPr>
        <w:t xml:space="preserve"> -</w:t>
      </w:r>
      <w:r w:rsidR="00C20C56" w:rsidRPr="009B137F">
        <w:rPr>
          <w:rFonts w:cs="Tahoma"/>
          <w:szCs w:val="24"/>
        </w:rPr>
        <w:t>distintos de los aportes</w:t>
      </w:r>
      <w:r w:rsidR="00D25E0A" w:rsidRPr="009B137F">
        <w:rPr>
          <w:rFonts w:cs="Tahoma"/>
          <w:szCs w:val="24"/>
        </w:rPr>
        <w:t xml:space="preserve"> pensionales-</w:t>
      </w:r>
      <w:r w:rsidR="00C20C56" w:rsidRPr="009B137F">
        <w:rPr>
          <w:rFonts w:cs="Tahoma"/>
          <w:szCs w:val="24"/>
        </w:rPr>
        <w:t xml:space="preserve"> </w:t>
      </w:r>
      <w:r w:rsidR="001A5714" w:rsidRPr="009B137F">
        <w:rPr>
          <w:rFonts w:cs="Tahoma"/>
          <w:szCs w:val="24"/>
        </w:rPr>
        <w:t xml:space="preserve">exigibles con anterioridad al 5 de febrero de </w:t>
      </w:r>
      <w:r w:rsidRPr="009B137F">
        <w:rPr>
          <w:rFonts w:cs="Tahoma"/>
          <w:szCs w:val="24"/>
        </w:rPr>
        <w:t>201</w:t>
      </w:r>
      <w:r w:rsidR="008D3D14" w:rsidRPr="009B137F">
        <w:rPr>
          <w:rFonts w:cs="Tahoma"/>
          <w:szCs w:val="24"/>
        </w:rPr>
        <w:t>5, esto es</w:t>
      </w:r>
      <w:r w:rsidR="00C20C56" w:rsidRPr="009B137F">
        <w:rPr>
          <w:rFonts w:cs="Tahoma"/>
          <w:szCs w:val="24"/>
        </w:rPr>
        <w:t>:</w:t>
      </w:r>
      <w:r w:rsidR="008D3D14" w:rsidRPr="009B137F">
        <w:rPr>
          <w:rFonts w:cs="Tahoma"/>
          <w:szCs w:val="24"/>
        </w:rPr>
        <w:t xml:space="preserve"> la prima de servicios</w:t>
      </w:r>
      <w:r w:rsidR="00C20C56" w:rsidRPr="009B137F">
        <w:rPr>
          <w:rFonts w:cs="Tahoma"/>
          <w:szCs w:val="24"/>
        </w:rPr>
        <w:t>,</w:t>
      </w:r>
      <w:r w:rsidR="008D3D14" w:rsidRPr="009B137F">
        <w:rPr>
          <w:rFonts w:cs="Tahoma"/>
          <w:szCs w:val="24"/>
        </w:rPr>
        <w:t xml:space="preserve"> pagadera en diciembre de 2014</w:t>
      </w:r>
      <w:r w:rsidR="00C20C56" w:rsidRPr="009B137F">
        <w:rPr>
          <w:rFonts w:cs="Tahoma"/>
          <w:szCs w:val="24"/>
        </w:rPr>
        <w:t>,</w:t>
      </w:r>
      <w:r w:rsidR="008D3D14" w:rsidRPr="009B137F">
        <w:rPr>
          <w:rFonts w:cs="Tahoma"/>
          <w:szCs w:val="24"/>
        </w:rPr>
        <w:t xml:space="preserve"> y los intereses a las cesantías de la misma anualidad</w:t>
      </w:r>
      <w:r w:rsidR="00B76E9D" w:rsidRPr="009B137F">
        <w:rPr>
          <w:rFonts w:cs="Tahoma"/>
          <w:szCs w:val="24"/>
        </w:rPr>
        <w:t>, como quiera que el contrato</w:t>
      </w:r>
      <w:r w:rsidR="009966E6" w:rsidRPr="009B137F">
        <w:rPr>
          <w:rFonts w:cs="Tahoma"/>
          <w:szCs w:val="24"/>
        </w:rPr>
        <w:t xml:space="preserve"> se ejecutó entre el </w:t>
      </w:r>
      <w:r w:rsidR="009966E6" w:rsidRPr="009B137F">
        <w:rPr>
          <w:rFonts w:cs="Tahoma"/>
          <w:szCs w:val="24"/>
        </w:rPr>
        <w:lastRenderedPageBreak/>
        <w:t>1 de junio de 2014 y</w:t>
      </w:r>
      <w:r w:rsidR="00B76E9D" w:rsidRPr="009B137F">
        <w:rPr>
          <w:rFonts w:cs="Tahoma"/>
          <w:szCs w:val="24"/>
        </w:rPr>
        <w:t xml:space="preserve"> el 20 de noviembre de 2015, según lo sentó la jueza</w:t>
      </w:r>
      <w:r w:rsidR="00EB1E11" w:rsidRPr="009B137F">
        <w:rPr>
          <w:rFonts w:cs="Tahoma"/>
          <w:szCs w:val="24"/>
        </w:rPr>
        <w:t xml:space="preserve"> en primera instancia,</w:t>
      </w:r>
      <w:r w:rsidR="009966E6" w:rsidRPr="009B137F">
        <w:rPr>
          <w:rFonts w:cs="Tahoma"/>
          <w:szCs w:val="24"/>
        </w:rPr>
        <w:t xml:space="preserve"> </w:t>
      </w:r>
      <w:r w:rsidR="00EB1E11" w:rsidRPr="009B137F">
        <w:rPr>
          <w:rFonts w:cs="Tahoma"/>
          <w:szCs w:val="24"/>
        </w:rPr>
        <w:t>lo cual no fue</w:t>
      </w:r>
      <w:r w:rsidR="009966E6" w:rsidRPr="009B137F">
        <w:rPr>
          <w:rFonts w:cs="Tahoma"/>
          <w:szCs w:val="24"/>
        </w:rPr>
        <w:t xml:space="preserve"> objeto de discusión en esta instancia procesal, razón por la cual se declarará </w:t>
      </w:r>
      <w:r w:rsidR="00DC378C" w:rsidRPr="009B137F">
        <w:rPr>
          <w:rFonts w:cs="Tahoma"/>
          <w:szCs w:val="24"/>
        </w:rPr>
        <w:t xml:space="preserve">probado </w:t>
      </w:r>
      <w:r w:rsidR="007E47E9" w:rsidRPr="009B137F">
        <w:rPr>
          <w:rFonts w:cs="Tahoma"/>
          <w:szCs w:val="24"/>
        </w:rPr>
        <w:t>parcialmente</w:t>
      </w:r>
      <w:r w:rsidR="009966E6" w:rsidRPr="009B137F">
        <w:rPr>
          <w:rFonts w:cs="Tahoma"/>
          <w:szCs w:val="24"/>
        </w:rPr>
        <w:t xml:space="preserve"> dicho medio exceptivo.</w:t>
      </w:r>
    </w:p>
    <w:p w14:paraId="3E4E9488" w14:textId="1BED34EF" w:rsidR="40561F0E" w:rsidRPr="009B137F" w:rsidRDefault="40561F0E" w:rsidP="009B137F">
      <w:pPr>
        <w:spacing w:line="276" w:lineRule="auto"/>
        <w:ind w:firstLine="708"/>
        <w:rPr>
          <w:rFonts w:cs="Tahoma"/>
          <w:szCs w:val="24"/>
        </w:rPr>
      </w:pPr>
    </w:p>
    <w:p w14:paraId="260E26AA" w14:textId="5E4D9D3C" w:rsidR="00545476" w:rsidRPr="009B137F" w:rsidRDefault="00AA60BF" w:rsidP="009B137F">
      <w:pPr>
        <w:spacing w:line="276" w:lineRule="auto"/>
        <w:ind w:firstLine="708"/>
        <w:rPr>
          <w:rFonts w:cs="Tahoma"/>
          <w:szCs w:val="24"/>
        </w:rPr>
      </w:pPr>
      <w:r w:rsidRPr="009B137F">
        <w:rPr>
          <w:rFonts w:cs="Tahoma"/>
          <w:szCs w:val="24"/>
          <w:lang w:val="es-CO"/>
        </w:rPr>
        <w:t>Por otra parte, el bono de asistencia pagado a la demandante, implica que las vacaciones y prestaciones sociales debieron ser liquidad</w:t>
      </w:r>
      <w:r w:rsidR="00545476" w:rsidRPr="009B137F">
        <w:rPr>
          <w:rFonts w:cs="Tahoma"/>
          <w:szCs w:val="24"/>
          <w:lang w:val="es-CO"/>
        </w:rPr>
        <w:t>a</w:t>
      </w:r>
      <w:r w:rsidRPr="009B137F">
        <w:rPr>
          <w:rFonts w:cs="Tahoma"/>
          <w:szCs w:val="24"/>
          <w:lang w:val="es-CO"/>
        </w:rPr>
        <w:t>s sobre la base del mismo como factor salarial</w:t>
      </w:r>
      <w:r w:rsidR="00545476" w:rsidRPr="009B137F">
        <w:rPr>
          <w:rFonts w:cs="Tahoma"/>
          <w:szCs w:val="24"/>
        </w:rPr>
        <w:t>, por los meses en que obra prueba de su causación (1 de junio de 2014 al 30 de agosto de 2015)</w:t>
      </w:r>
      <w:r w:rsidR="007606D2" w:rsidRPr="009B137F">
        <w:rPr>
          <w:rFonts w:cs="Tahoma"/>
          <w:szCs w:val="24"/>
          <w:vertAlign w:val="superscript"/>
          <w:lang w:val="es-CO"/>
        </w:rPr>
        <w:t xml:space="preserve"> </w:t>
      </w:r>
      <w:r w:rsidR="007606D2" w:rsidRPr="009B137F">
        <w:rPr>
          <w:rFonts w:cs="Tahoma"/>
          <w:szCs w:val="24"/>
          <w:vertAlign w:val="superscript"/>
          <w:lang w:val="es-CO"/>
        </w:rPr>
        <w:footnoteReference w:id="15"/>
      </w:r>
      <w:r w:rsidR="00545476" w:rsidRPr="009B137F">
        <w:rPr>
          <w:rFonts w:cs="Tahoma"/>
          <w:szCs w:val="24"/>
        </w:rPr>
        <w:t>.</w:t>
      </w:r>
    </w:p>
    <w:p w14:paraId="454ABA50" w14:textId="5EDA6275" w:rsidR="00AA60BF" w:rsidRPr="009B137F" w:rsidRDefault="00AA60BF" w:rsidP="009B137F">
      <w:pPr>
        <w:spacing w:line="276" w:lineRule="auto"/>
        <w:rPr>
          <w:rFonts w:cs="Tahoma"/>
          <w:szCs w:val="24"/>
          <w:lang w:val="es-CO"/>
        </w:rPr>
      </w:pPr>
    </w:p>
    <w:p w14:paraId="497C79BA" w14:textId="5802BBE0" w:rsidR="006B5EC1" w:rsidRPr="009B137F" w:rsidRDefault="00C92360" w:rsidP="009B137F">
      <w:pPr>
        <w:spacing w:line="276" w:lineRule="auto"/>
        <w:ind w:firstLine="708"/>
        <w:rPr>
          <w:rFonts w:cs="Tahoma"/>
          <w:szCs w:val="24"/>
          <w:lang w:val="es-CO"/>
        </w:rPr>
      </w:pPr>
      <w:r w:rsidRPr="009B137F">
        <w:rPr>
          <w:rFonts w:cs="Tahoma"/>
          <w:szCs w:val="24"/>
          <w:lang w:val="es-CO"/>
        </w:rPr>
        <w:t>De otro lado, debe decirse que la trabajadora contaba con algunas variaciones en el salario en razón a las comisiones y horas extras o recargos que recibía, según se desprende de los desprendibles de nómina</w:t>
      </w:r>
      <w:r w:rsidRPr="009B137F">
        <w:rPr>
          <w:rStyle w:val="Refdenotaalpie"/>
          <w:rFonts w:cs="Tahoma"/>
          <w:szCs w:val="24"/>
          <w:lang w:val="es-CO"/>
        </w:rPr>
        <w:footnoteReference w:id="16"/>
      </w:r>
      <w:r w:rsidRPr="009B137F">
        <w:rPr>
          <w:rFonts w:cs="Tahoma"/>
          <w:szCs w:val="24"/>
          <w:lang w:val="es-CO"/>
        </w:rPr>
        <w:t>, aspectos estos a tener en cuenta al momento de liquidar los diferentes conceptos. Con todo, el salario base para liquidar prestaciones de los años 201</w:t>
      </w:r>
      <w:r w:rsidR="007606D2" w:rsidRPr="009B137F">
        <w:rPr>
          <w:rFonts w:cs="Tahoma"/>
          <w:szCs w:val="24"/>
          <w:lang w:val="es-CO"/>
        </w:rPr>
        <w:t>4</w:t>
      </w:r>
      <w:r w:rsidRPr="009B137F">
        <w:rPr>
          <w:rFonts w:cs="Tahoma"/>
          <w:szCs w:val="24"/>
          <w:lang w:val="es-CO"/>
        </w:rPr>
        <w:t xml:space="preserve"> y 201</w:t>
      </w:r>
      <w:r w:rsidR="007606D2" w:rsidRPr="009B137F">
        <w:rPr>
          <w:rFonts w:cs="Tahoma"/>
          <w:szCs w:val="24"/>
          <w:lang w:val="es-CO"/>
        </w:rPr>
        <w:t>5</w:t>
      </w:r>
      <w:r w:rsidRPr="009B137F">
        <w:rPr>
          <w:rFonts w:cs="Tahoma"/>
          <w:szCs w:val="24"/>
          <w:lang w:val="es-CO"/>
        </w:rPr>
        <w:t xml:space="preserve"> corresponde a $</w:t>
      </w:r>
      <w:r w:rsidR="007606D2" w:rsidRPr="009B137F">
        <w:rPr>
          <w:rFonts w:cs="Tahoma"/>
          <w:szCs w:val="24"/>
          <w:lang w:val="es-CO"/>
        </w:rPr>
        <w:t>966.050</w:t>
      </w:r>
      <w:r w:rsidRPr="009B137F">
        <w:rPr>
          <w:rFonts w:cs="Tahoma"/>
          <w:szCs w:val="24"/>
          <w:lang w:val="es-CO"/>
        </w:rPr>
        <w:t xml:space="preserve"> y $</w:t>
      </w:r>
      <w:r w:rsidR="007606D2" w:rsidRPr="009B137F">
        <w:rPr>
          <w:rFonts w:cs="Tahoma"/>
          <w:szCs w:val="24"/>
          <w:lang w:val="es-CO"/>
        </w:rPr>
        <w:t>911.671</w:t>
      </w:r>
      <w:r w:rsidRPr="009B137F">
        <w:rPr>
          <w:rFonts w:cs="Tahoma"/>
          <w:szCs w:val="24"/>
          <w:lang w:val="es-CO"/>
        </w:rPr>
        <w:t>, respectivamente</w:t>
      </w:r>
      <w:r w:rsidRPr="009B137F">
        <w:rPr>
          <w:rFonts w:cs="Tahoma"/>
          <w:szCs w:val="24"/>
          <w:vertAlign w:val="superscript"/>
          <w:lang w:val="es-CO"/>
        </w:rPr>
        <w:footnoteReference w:id="17"/>
      </w:r>
      <w:r w:rsidRPr="009B137F">
        <w:rPr>
          <w:rFonts w:cs="Tahoma"/>
          <w:szCs w:val="24"/>
          <w:lang w:val="es-CO"/>
        </w:rPr>
        <w:t>. Y, respecto a las vacaciones, excluyendo las horas extras o recargos nocturnos, según el Art. 192 del C.S.T</w:t>
      </w:r>
      <w:r w:rsidR="00FB2132" w:rsidRPr="009B137F">
        <w:rPr>
          <w:rFonts w:cs="Tahoma"/>
          <w:szCs w:val="24"/>
          <w:lang w:val="es-CO"/>
        </w:rPr>
        <w:t xml:space="preserve"> y el auxilio de </w:t>
      </w:r>
      <w:r w:rsidR="00A52D2C" w:rsidRPr="009B137F">
        <w:rPr>
          <w:rFonts w:cs="Tahoma"/>
          <w:szCs w:val="24"/>
          <w:lang w:val="es-CO"/>
        </w:rPr>
        <w:t>transporte</w:t>
      </w:r>
      <w:r w:rsidR="00FB2132" w:rsidRPr="009B137F">
        <w:rPr>
          <w:rFonts w:cs="Tahoma"/>
          <w:szCs w:val="24"/>
          <w:lang w:val="es-CO"/>
        </w:rPr>
        <w:t xml:space="preserve"> con sustento en el artículo 7 de la Ley 1 </w:t>
      </w:r>
      <w:r w:rsidR="006B5EC1" w:rsidRPr="009B137F">
        <w:rPr>
          <w:rFonts w:cs="Tahoma"/>
          <w:szCs w:val="24"/>
          <w:lang w:val="es-CO"/>
        </w:rPr>
        <w:t>de</w:t>
      </w:r>
      <w:r w:rsidR="00FB2132" w:rsidRPr="009B137F">
        <w:rPr>
          <w:rFonts w:cs="Tahoma"/>
          <w:szCs w:val="24"/>
          <w:lang w:val="es-CO"/>
        </w:rPr>
        <w:t xml:space="preserve"> 1963</w:t>
      </w:r>
      <w:r w:rsidR="00A52D2C" w:rsidRPr="009B137F">
        <w:rPr>
          <w:rFonts w:cs="Tahoma"/>
          <w:szCs w:val="24"/>
          <w:lang w:val="es-CO"/>
        </w:rPr>
        <w:t>,</w:t>
      </w:r>
      <w:r w:rsidRPr="009B137F">
        <w:rPr>
          <w:rFonts w:cs="Tahoma"/>
          <w:szCs w:val="24"/>
          <w:lang w:val="es-CO"/>
        </w:rPr>
        <w:t xml:space="preserve"> los salarios base para cada anualidad corresponden a $</w:t>
      </w:r>
      <w:r w:rsidR="006B5EC1" w:rsidRPr="009B137F">
        <w:rPr>
          <w:rFonts w:cs="Tahoma"/>
          <w:szCs w:val="24"/>
          <w:lang w:val="es-CO"/>
        </w:rPr>
        <w:t>876.084</w:t>
      </w:r>
      <w:r w:rsidRPr="009B137F">
        <w:rPr>
          <w:rFonts w:cs="Tahoma"/>
          <w:szCs w:val="24"/>
          <w:lang w:val="es-CO"/>
        </w:rPr>
        <w:t xml:space="preserve"> y $</w:t>
      </w:r>
      <w:r w:rsidR="006B5EC1" w:rsidRPr="009B137F">
        <w:rPr>
          <w:rFonts w:cs="Tahoma"/>
          <w:szCs w:val="24"/>
          <w:lang w:val="es-CO"/>
        </w:rPr>
        <w:t>841.666.</w:t>
      </w:r>
    </w:p>
    <w:p w14:paraId="4924D022" w14:textId="77777777" w:rsidR="009A244E" w:rsidRPr="009B137F" w:rsidRDefault="009A244E" w:rsidP="009B137F">
      <w:pPr>
        <w:spacing w:line="276" w:lineRule="auto"/>
        <w:rPr>
          <w:rFonts w:cs="Tahoma"/>
          <w:szCs w:val="24"/>
        </w:rPr>
      </w:pPr>
    </w:p>
    <w:p w14:paraId="6691DCBF" w14:textId="6CB927A7" w:rsidR="009A244E" w:rsidRPr="009B137F" w:rsidRDefault="00610461" w:rsidP="009B137F">
      <w:pPr>
        <w:spacing w:line="276" w:lineRule="auto"/>
        <w:ind w:firstLine="708"/>
        <w:rPr>
          <w:rFonts w:cs="Tahoma"/>
          <w:szCs w:val="24"/>
        </w:rPr>
      </w:pPr>
      <w:r w:rsidRPr="009B137F">
        <w:rPr>
          <w:rFonts w:cs="Tahoma"/>
          <w:szCs w:val="24"/>
        </w:rPr>
        <w:t>Derivado de lo anterior</w:t>
      </w:r>
      <w:r w:rsidR="009A244E" w:rsidRPr="009B137F">
        <w:rPr>
          <w:rFonts w:cs="Tahoma"/>
          <w:szCs w:val="24"/>
        </w:rPr>
        <w:t>, se</w:t>
      </w:r>
      <w:r w:rsidR="00C50A37" w:rsidRPr="009B137F">
        <w:rPr>
          <w:rFonts w:cs="Tahoma"/>
          <w:szCs w:val="24"/>
        </w:rPr>
        <w:t xml:space="preserve"> condenará a la demanda al pago de </w:t>
      </w:r>
      <w:r w:rsidR="001F1BC1" w:rsidRPr="009B137F">
        <w:rPr>
          <w:rFonts w:cs="Tahoma"/>
          <w:b/>
          <w:bCs/>
          <w:szCs w:val="24"/>
        </w:rPr>
        <w:t>$</w:t>
      </w:r>
      <w:r w:rsidR="00DB1BBB" w:rsidRPr="009B137F">
        <w:rPr>
          <w:rFonts w:cs="Tahoma"/>
          <w:b/>
          <w:bCs/>
          <w:szCs w:val="24"/>
        </w:rPr>
        <w:t>15</w:t>
      </w:r>
      <w:r w:rsidR="005A20FB" w:rsidRPr="009B137F">
        <w:rPr>
          <w:rFonts w:cs="Tahoma"/>
          <w:b/>
          <w:bCs/>
          <w:szCs w:val="24"/>
        </w:rPr>
        <w:t>8.570</w:t>
      </w:r>
      <w:r w:rsidR="00A52D2C" w:rsidRPr="009B137F">
        <w:rPr>
          <w:rFonts w:cs="Tahoma"/>
          <w:b/>
          <w:bCs/>
          <w:szCs w:val="24"/>
        </w:rPr>
        <w:t>,</w:t>
      </w:r>
      <w:r w:rsidR="00A52D2C" w:rsidRPr="009B137F">
        <w:rPr>
          <w:rFonts w:cs="Tahoma"/>
          <w:szCs w:val="24"/>
        </w:rPr>
        <w:t xml:space="preserve"> resultado de la diferencia </w:t>
      </w:r>
      <w:r w:rsidR="0037018D" w:rsidRPr="009B137F">
        <w:rPr>
          <w:rFonts w:cs="Tahoma"/>
          <w:szCs w:val="24"/>
        </w:rPr>
        <w:t xml:space="preserve">entre lo pagado y lo que debió percibir con base en la </w:t>
      </w:r>
      <w:r w:rsidR="009A244E" w:rsidRPr="009B137F">
        <w:rPr>
          <w:rFonts w:cs="Tahoma"/>
          <w:szCs w:val="24"/>
        </w:rPr>
        <w:t>reliquidación de la prima de servicio</w:t>
      </w:r>
      <w:r w:rsidR="009C11B6" w:rsidRPr="009B137F">
        <w:rPr>
          <w:rFonts w:cs="Tahoma"/>
          <w:szCs w:val="24"/>
        </w:rPr>
        <w:t xml:space="preserve">, </w:t>
      </w:r>
      <w:r w:rsidR="003B63CF" w:rsidRPr="009B137F">
        <w:rPr>
          <w:rFonts w:cs="Tahoma"/>
          <w:szCs w:val="24"/>
        </w:rPr>
        <w:t>vacaciones</w:t>
      </w:r>
      <w:r w:rsidR="009C11B6" w:rsidRPr="009B137F">
        <w:rPr>
          <w:rFonts w:cs="Tahoma"/>
          <w:szCs w:val="24"/>
        </w:rPr>
        <w:t xml:space="preserve">, </w:t>
      </w:r>
      <w:r w:rsidR="009A244E" w:rsidRPr="009B137F">
        <w:rPr>
          <w:rFonts w:cs="Tahoma"/>
          <w:szCs w:val="24"/>
        </w:rPr>
        <w:t>cesantías</w:t>
      </w:r>
      <w:r w:rsidR="009C11B6" w:rsidRPr="009B137F">
        <w:rPr>
          <w:rFonts w:cs="Tahoma"/>
          <w:szCs w:val="24"/>
        </w:rPr>
        <w:t xml:space="preserve"> </w:t>
      </w:r>
      <w:r w:rsidR="009A244E" w:rsidRPr="009B137F">
        <w:rPr>
          <w:rFonts w:cs="Tahoma"/>
          <w:szCs w:val="24"/>
        </w:rPr>
        <w:t xml:space="preserve">e intereses a las cesantías, </w:t>
      </w:r>
      <w:bookmarkStart w:id="10" w:name="_Hlk107562299"/>
      <w:r w:rsidR="009C11B6" w:rsidRPr="009B137F">
        <w:rPr>
          <w:rFonts w:cs="Tahoma"/>
          <w:szCs w:val="24"/>
        </w:rPr>
        <w:t>conforme se observa en la siguiente liquidación:</w:t>
      </w:r>
    </w:p>
    <w:p w14:paraId="44C04FA7" w14:textId="542CCA69" w:rsidR="009C11B6" w:rsidRPr="009B137F" w:rsidRDefault="009C11B6" w:rsidP="009B137F">
      <w:pPr>
        <w:spacing w:line="276" w:lineRule="auto"/>
        <w:ind w:firstLine="708"/>
        <w:rPr>
          <w:rFonts w:cs="Tahoma"/>
          <w:szCs w:val="24"/>
        </w:rPr>
      </w:pPr>
    </w:p>
    <w:tbl>
      <w:tblPr>
        <w:tblW w:w="5000" w:type="pct"/>
        <w:tblCellMar>
          <w:left w:w="70" w:type="dxa"/>
          <w:right w:w="70" w:type="dxa"/>
        </w:tblCellMar>
        <w:tblLook w:val="04A0" w:firstRow="1" w:lastRow="0" w:firstColumn="1" w:lastColumn="0" w:noHBand="0" w:noVBand="1"/>
      </w:tblPr>
      <w:tblGrid>
        <w:gridCol w:w="1403"/>
        <w:gridCol w:w="1144"/>
        <w:gridCol w:w="1135"/>
        <w:gridCol w:w="1275"/>
        <w:gridCol w:w="1266"/>
        <w:gridCol w:w="1417"/>
        <w:gridCol w:w="1417"/>
      </w:tblGrid>
      <w:tr w:rsidR="0060553C" w:rsidRPr="00694B15" w14:paraId="5E3F68EF" w14:textId="77777777" w:rsidTr="0060553C">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EABFB" w14:textId="77777777" w:rsidR="00610461" w:rsidRPr="008B6117" w:rsidRDefault="00610461" w:rsidP="00694B15">
            <w:pPr>
              <w:spacing w:line="240" w:lineRule="auto"/>
              <w:jc w:val="left"/>
              <w:rPr>
                <w:rFonts w:eastAsia="Times New Roman" w:cs="Tahoma"/>
                <w:color w:val="000000"/>
                <w:sz w:val="20"/>
                <w:szCs w:val="20"/>
                <w:lang w:val="es-CO" w:eastAsia="es-CO"/>
              </w:rPr>
            </w:pPr>
            <w:r w:rsidRPr="008B6117">
              <w:rPr>
                <w:rFonts w:eastAsia="Times New Roman" w:cs="Tahoma"/>
                <w:color w:val="000000"/>
                <w:sz w:val="20"/>
                <w:szCs w:val="20"/>
                <w:lang w:val="es-CO" w:eastAsia="es-CO"/>
              </w:rPr>
              <w:t> </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68E8A2AF" w14:textId="77777777" w:rsidR="00610461" w:rsidRPr="008B6117" w:rsidRDefault="00610461" w:rsidP="00694B15">
            <w:pPr>
              <w:spacing w:line="240" w:lineRule="auto"/>
              <w:jc w:val="righ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2014</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14:paraId="3FB5FFFF" w14:textId="77777777" w:rsidR="00610461" w:rsidRPr="008B6117" w:rsidRDefault="00610461" w:rsidP="00694B15">
            <w:pPr>
              <w:spacing w:line="240" w:lineRule="auto"/>
              <w:jc w:val="righ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$ 2.015</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0C8BF476" w14:textId="77777777" w:rsid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PAGADO</w:t>
            </w:r>
          </w:p>
          <w:p w14:paraId="442AAD1B" w14:textId="787A729D" w:rsidR="00610461" w:rsidRP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2014</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14:paraId="342B87CF" w14:textId="77777777" w:rsid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PAGADO</w:t>
            </w:r>
          </w:p>
          <w:p w14:paraId="343FCBFC" w14:textId="0505E672" w:rsidR="00610461" w:rsidRP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2015</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4E119410" w14:textId="77777777" w:rsid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DIFERENCIA</w:t>
            </w:r>
          </w:p>
          <w:p w14:paraId="0E8160F6" w14:textId="4784D5F9" w:rsidR="00610461" w:rsidRP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2014</w:t>
            </w:r>
          </w:p>
        </w:tc>
        <w:tc>
          <w:tcPr>
            <w:tcW w:w="782" w:type="pct"/>
            <w:tcBorders>
              <w:top w:val="single" w:sz="4" w:space="0" w:color="auto"/>
              <w:left w:val="nil"/>
              <w:bottom w:val="single" w:sz="4" w:space="0" w:color="auto"/>
              <w:right w:val="single" w:sz="4" w:space="0" w:color="auto"/>
            </w:tcBorders>
            <w:shd w:val="clear" w:color="auto" w:fill="auto"/>
            <w:noWrap/>
            <w:vAlign w:val="bottom"/>
            <w:hideMark/>
          </w:tcPr>
          <w:p w14:paraId="72DCFBCE" w14:textId="77777777" w:rsid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DIFERENCIA</w:t>
            </w:r>
          </w:p>
          <w:p w14:paraId="14716BC0" w14:textId="65546CC0" w:rsidR="00610461" w:rsidRPr="008B6117" w:rsidRDefault="00610461" w:rsidP="00694B15">
            <w:pPr>
              <w:spacing w:line="240" w:lineRule="auto"/>
              <w:jc w:val="lef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2015</w:t>
            </w:r>
          </w:p>
        </w:tc>
      </w:tr>
      <w:tr w:rsidR="0060553C" w:rsidRPr="00694B15" w14:paraId="1800FE3A" w14:textId="77777777" w:rsidTr="0060553C">
        <w:trPr>
          <w:trHeight w:val="300"/>
        </w:trPr>
        <w:tc>
          <w:tcPr>
            <w:tcW w:w="775" w:type="pct"/>
            <w:tcBorders>
              <w:top w:val="nil"/>
              <w:left w:val="single" w:sz="4" w:space="0" w:color="auto"/>
              <w:bottom w:val="single" w:sz="4" w:space="0" w:color="auto"/>
              <w:right w:val="single" w:sz="4" w:space="0" w:color="auto"/>
            </w:tcBorders>
            <w:shd w:val="clear" w:color="auto" w:fill="auto"/>
            <w:noWrap/>
            <w:vAlign w:val="bottom"/>
            <w:hideMark/>
          </w:tcPr>
          <w:p w14:paraId="41A97DE7" w14:textId="77777777" w:rsidR="00610461" w:rsidRPr="008B6117" w:rsidRDefault="00610461" w:rsidP="00694B15">
            <w:pPr>
              <w:spacing w:line="240" w:lineRule="auto"/>
              <w:jc w:val="left"/>
              <w:rPr>
                <w:rFonts w:eastAsia="Times New Roman" w:cs="Tahoma"/>
                <w:color w:val="000000"/>
                <w:sz w:val="20"/>
                <w:szCs w:val="20"/>
                <w:lang w:val="es-CO" w:eastAsia="es-CO"/>
              </w:rPr>
            </w:pPr>
            <w:r w:rsidRPr="008B6117">
              <w:rPr>
                <w:rFonts w:eastAsia="Times New Roman" w:cs="Tahoma"/>
                <w:color w:val="000000"/>
                <w:sz w:val="20"/>
                <w:szCs w:val="20"/>
                <w:lang w:val="es-CO" w:eastAsia="es-CO"/>
              </w:rPr>
              <w:t>INTERESES</w:t>
            </w:r>
          </w:p>
        </w:tc>
        <w:tc>
          <w:tcPr>
            <w:tcW w:w="632" w:type="pct"/>
            <w:tcBorders>
              <w:top w:val="nil"/>
              <w:left w:val="nil"/>
              <w:bottom w:val="single" w:sz="4" w:space="0" w:color="auto"/>
              <w:right w:val="single" w:sz="4" w:space="0" w:color="auto"/>
            </w:tcBorders>
            <w:shd w:val="clear" w:color="auto" w:fill="auto"/>
            <w:noWrap/>
            <w:vAlign w:val="bottom"/>
            <w:hideMark/>
          </w:tcPr>
          <w:p w14:paraId="1E4FE208" w14:textId="773FE369"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w:t>
            </w:r>
            <w:r w:rsidR="0060553C">
              <w:rPr>
                <w:rFonts w:eastAsia="Times New Roman" w:cs="Tahoma"/>
                <w:color w:val="000000"/>
                <w:sz w:val="20"/>
                <w:szCs w:val="20"/>
                <w:lang w:val="es-CO" w:eastAsia="es-CO"/>
              </w:rPr>
              <w:t xml:space="preserve"> </w:t>
            </w:r>
            <w:r w:rsidR="005A20FB" w:rsidRPr="008B6117">
              <w:rPr>
                <w:rFonts w:eastAsia="Times New Roman" w:cs="Tahoma"/>
                <w:color w:val="000000"/>
                <w:sz w:val="20"/>
                <w:szCs w:val="20"/>
                <w:lang w:val="es-CO" w:eastAsia="es-CO"/>
              </w:rPr>
              <w:t>28.982</w:t>
            </w:r>
          </w:p>
        </w:tc>
        <w:tc>
          <w:tcPr>
            <w:tcW w:w="627" w:type="pct"/>
            <w:tcBorders>
              <w:top w:val="nil"/>
              <w:left w:val="nil"/>
              <w:bottom w:val="single" w:sz="4" w:space="0" w:color="auto"/>
              <w:right w:val="single" w:sz="4" w:space="0" w:color="auto"/>
            </w:tcBorders>
            <w:shd w:val="clear" w:color="auto" w:fill="auto"/>
            <w:noWrap/>
            <w:vAlign w:val="bottom"/>
            <w:hideMark/>
          </w:tcPr>
          <w:p w14:paraId="799F21F2" w14:textId="02ABF233"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xml:space="preserve">$ </w:t>
            </w:r>
            <w:r w:rsidR="005A20FB" w:rsidRPr="008B6117">
              <w:rPr>
                <w:rFonts w:eastAsia="Times New Roman" w:cs="Tahoma"/>
                <w:color w:val="000000"/>
                <w:sz w:val="20"/>
                <w:szCs w:val="20"/>
                <w:lang w:val="es-CO" w:eastAsia="es-CO"/>
              </w:rPr>
              <w:t>81.037</w:t>
            </w:r>
          </w:p>
        </w:tc>
        <w:tc>
          <w:tcPr>
            <w:tcW w:w="704" w:type="pct"/>
            <w:tcBorders>
              <w:top w:val="nil"/>
              <w:left w:val="nil"/>
              <w:bottom w:val="single" w:sz="4" w:space="0" w:color="auto"/>
              <w:right w:val="single" w:sz="4" w:space="0" w:color="auto"/>
            </w:tcBorders>
            <w:shd w:val="clear" w:color="auto" w:fill="auto"/>
            <w:noWrap/>
            <w:vAlign w:val="bottom"/>
            <w:hideMark/>
          </w:tcPr>
          <w:p w14:paraId="68E64755" w14:textId="77777777"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$ 30.149</w:t>
            </w:r>
          </w:p>
        </w:tc>
        <w:tc>
          <w:tcPr>
            <w:tcW w:w="699" w:type="pct"/>
            <w:tcBorders>
              <w:top w:val="nil"/>
              <w:left w:val="nil"/>
              <w:bottom w:val="single" w:sz="4" w:space="0" w:color="auto"/>
              <w:right w:val="single" w:sz="4" w:space="0" w:color="auto"/>
            </w:tcBorders>
            <w:shd w:val="clear" w:color="auto" w:fill="auto"/>
            <w:noWrap/>
            <w:vAlign w:val="bottom"/>
            <w:hideMark/>
          </w:tcPr>
          <w:p w14:paraId="654B82FC" w14:textId="77777777"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$ 78.371</w:t>
            </w:r>
          </w:p>
        </w:tc>
        <w:tc>
          <w:tcPr>
            <w:tcW w:w="782" w:type="pct"/>
            <w:tcBorders>
              <w:top w:val="nil"/>
              <w:left w:val="nil"/>
              <w:bottom w:val="single" w:sz="4" w:space="0" w:color="auto"/>
              <w:right w:val="single" w:sz="4" w:space="0" w:color="auto"/>
            </w:tcBorders>
            <w:shd w:val="clear" w:color="auto" w:fill="auto"/>
            <w:noWrap/>
            <w:vAlign w:val="bottom"/>
            <w:hideMark/>
          </w:tcPr>
          <w:p w14:paraId="1CECE819" w14:textId="4C474E8D" w:rsidR="00610461" w:rsidRPr="008B6117" w:rsidRDefault="003C3D89"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Prescrita</w:t>
            </w:r>
          </w:p>
        </w:tc>
        <w:tc>
          <w:tcPr>
            <w:tcW w:w="782" w:type="pct"/>
            <w:tcBorders>
              <w:top w:val="nil"/>
              <w:left w:val="nil"/>
              <w:bottom w:val="single" w:sz="4" w:space="0" w:color="auto"/>
              <w:right w:val="single" w:sz="4" w:space="0" w:color="auto"/>
            </w:tcBorders>
            <w:shd w:val="clear" w:color="auto" w:fill="auto"/>
            <w:noWrap/>
            <w:vAlign w:val="bottom"/>
            <w:hideMark/>
          </w:tcPr>
          <w:p w14:paraId="4790C5CC" w14:textId="0B433E73" w:rsidR="00610461" w:rsidRPr="008B6117" w:rsidRDefault="00610461" w:rsidP="00694B15">
            <w:pPr>
              <w:spacing w:line="240" w:lineRule="auto"/>
              <w:jc w:val="righ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w:t>
            </w:r>
            <w:r w:rsidR="005A20FB" w:rsidRPr="008B6117">
              <w:rPr>
                <w:rFonts w:eastAsia="Times New Roman" w:cs="Tahoma"/>
                <w:b/>
                <w:bCs/>
                <w:color w:val="000000"/>
                <w:sz w:val="20"/>
                <w:szCs w:val="20"/>
                <w:lang w:val="es-CO" w:eastAsia="es-CO"/>
              </w:rPr>
              <w:t>2.666</w:t>
            </w:r>
          </w:p>
        </w:tc>
      </w:tr>
      <w:tr w:rsidR="0060553C" w:rsidRPr="00694B15" w14:paraId="56D01384" w14:textId="77777777" w:rsidTr="0060553C">
        <w:trPr>
          <w:trHeight w:val="300"/>
        </w:trPr>
        <w:tc>
          <w:tcPr>
            <w:tcW w:w="775" w:type="pct"/>
            <w:tcBorders>
              <w:top w:val="nil"/>
              <w:left w:val="single" w:sz="4" w:space="0" w:color="auto"/>
              <w:bottom w:val="single" w:sz="4" w:space="0" w:color="auto"/>
              <w:right w:val="single" w:sz="4" w:space="0" w:color="auto"/>
            </w:tcBorders>
            <w:shd w:val="clear" w:color="auto" w:fill="auto"/>
            <w:noWrap/>
            <w:vAlign w:val="bottom"/>
            <w:hideMark/>
          </w:tcPr>
          <w:p w14:paraId="7925A5BF" w14:textId="73C818D0" w:rsidR="00610461" w:rsidRPr="008B6117" w:rsidRDefault="008D5B95" w:rsidP="00694B15">
            <w:pPr>
              <w:spacing w:line="240" w:lineRule="auto"/>
              <w:jc w:val="left"/>
              <w:rPr>
                <w:rFonts w:eastAsia="Times New Roman" w:cs="Tahoma"/>
                <w:color w:val="000000"/>
                <w:sz w:val="20"/>
                <w:szCs w:val="20"/>
                <w:lang w:val="es-CO" w:eastAsia="es-CO"/>
              </w:rPr>
            </w:pPr>
            <w:r w:rsidRPr="008B6117">
              <w:rPr>
                <w:rFonts w:eastAsia="Times New Roman" w:cs="Tahoma"/>
                <w:color w:val="000000"/>
                <w:sz w:val="20"/>
                <w:szCs w:val="20"/>
                <w:lang w:val="es-CO" w:eastAsia="es-CO"/>
              </w:rPr>
              <w:t>P. SERVICIO</w:t>
            </w:r>
          </w:p>
        </w:tc>
        <w:tc>
          <w:tcPr>
            <w:tcW w:w="632" w:type="pct"/>
            <w:tcBorders>
              <w:top w:val="nil"/>
              <w:left w:val="nil"/>
              <w:bottom w:val="single" w:sz="4" w:space="0" w:color="auto"/>
              <w:right w:val="single" w:sz="4" w:space="0" w:color="auto"/>
            </w:tcBorders>
            <w:shd w:val="clear" w:color="auto" w:fill="auto"/>
            <w:noWrap/>
            <w:vAlign w:val="bottom"/>
            <w:hideMark/>
          </w:tcPr>
          <w:p w14:paraId="345496CF" w14:textId="77777777"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$ 483.025</w:t>
            </w:r>
          </w:p>
        </w:tc>
        <w:tc>
          <w:tcPr>
            <w:tcW w:w="627" w:type="pct"/>
            <w:tcBorders>
              <w:top w:val="nil"/>
              <w:left w:val="nil"/>
              <w:bottom w:val="single" w:sz="4" w:space="0" w:color="auto"/>
              <w:right w:val="single" w:sz="4" w:space="0" w:color="auto"/>
            </w:tcBorders>
            <w:shd w:val="clear" w:color="auto" w:fill="auto"/>
            <w:noWrap/>
            <w:vAlign w:val="bottom"/>
            <w:hideMark/>
          </w:tcPr>
          <w:p w14:paraId="2C2A57F2" w14:textId="77777777"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$ 810.374</w:t>
            </w:r>
          </w:p>
        </w:tc>
        <w:tc>
          <w:tcPr>
            <w:tcW w:w="704" w:type="pct"/>
            <w:tcBorders>
              <w:top w:val="nil"/>
              <w:left w:val="nil"/>
              <w:bottom w:val="single" w:sz="4" w:space="0" w:color="auto"/>
              <w:right w:val="single" w:sz="4" w:space="0" w:color="auto"/>
            </w:tcBorders>
            <w:shd w:val="clear" w:color="auto" w:fill="auto"/>
            <w:noWrap/>
            <w:vAlign w:val="bottom"/>
            <w:hideMark/>
          </w:tcPr>
          <w:p w14:paraId="6F7CA319" w14:textId="77777777"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$ 424.691</w:t>
            </w:r>
          </w:p>
        </w:tc>
        <w:tc>
          <w:tcPr>
            <w:tcW w:w="699" w:type="pct"/>
            <w:tcBorders>
              <w:top w:val="nil"/>
              <w:left w:val="nil"/>
              <w:bottom w:val="single" w:sz="4" w:space="0" w:color="auto"/>
              <w:right w:val="single" w:sz="4" w:space="0" w:color="auto"/>
            </w:tcBorders>
            <w:shd w:val="clear" w:color="auto" w:fill="auto"/>
            <w:noWrap/>
            <w:vAlign w:val="bottom"/>
            <w:hideMark/>
          </w:tcPr>
          <w:p w14:paraId="1B89DB2A" w14:textId="77777777" w:rsidR="00610461" w:rsidRPr="008B6117" w:rsidRDefault="00610461"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$ 737.031</w:t>
            </w:r>
          </w:p>
        </w:tc>
        <w:tc>
          <w:tcPr>
            <w:tcW w:w="782" w:type="pct"/>
            <w:tcBorders>
              <w:top w:val="nil"/>
              <w:left w:val="nil"/>
              <w:bottom w:val="single" w:sz="4" w:space="0" w:color="auto"/>
              <w:right w:val="single" w:sz="4" w:space="0" w:color="auto"/>
            </w:tcBorders>
            <w:shd w:val="clear" w:color="auto" w:fill="auto"/>
            <w:noWrap/>
            <w:vAlign w:val="bottom"/>
            <w:hideMark/>
          </w:tcPr>
          <w:p w14:paraId="12A98F16" w14:textId="19FE58FB" w:rsidR="00610461" w:rsidRPr="008B6117" w:rsidRDefault="003C3D89" w:rsidP="00694B15">
            <w:pPr>
              <w:spacing w:line="240" w:lineRule="auto"/>
              <w:jc w:val="right"/>
              <w:rPr>
                <w:rFonts w:eastAsia="Times New Roman" w:cs="Tahoma"/>
                <w:color w:val="000000"/>
                <w:sz w:val="20"/>
                <w:szCs w:val="20"/>
                <w:lang w:val="es-CO" w:eastAsia="es-CO"/>
              </w:rPr>
            </w:pPr>
            <w:r w:rsidRPr="008B6117">
              <w:rPr>
                <w:rFonts w:eastAsia="Times New Roman" w:cs="Tahoma"/>
                <w:color w:val="000000"/>
                <w:sz w:val="20"/>
                <w:szCs w:val="20"/>
                <w:lang w:val="es-CO" w:eastAsia="es-CO"/>
              </w:rPr>
              <w:t>Prescrita</w:t>
            </w:r>
          </w:p>
        </w:tc>
        <w:tc>
          <w:tcPr>
            <w:tcW w:w="782" w:type="pct"/>
            <w:tcBorders>
              <w:top w:val="nil"/>
              <w:left w:val="nil"/>
              <w:bottom w:val="single" w:sz="4" w:space="0" w:color="auto"/>
              <w:right w:val="single" w:sz="4" w:space="0" w:color="auto"/>
            </w:tcBorders>
            <w:shd w:val="clear" w:color="auto" w:fill="auto"/>
            <w:noWrap/>
            <w:vAlign w:val="bottom"/>
            <w:hideMark/>
          </w:tcPr>
          <w:p w14:paraId="0DE2F4A5" w14:textId="77777777" w:rsidR="00610461" w:rsidRPr="008B6117" w:rsidRDefault="00610461" w:rsidP="00694B15">
            <w:pPr>
              <w:spacing w:line="240" w:lineRule="auto"/>
              <w:jc w:val="right"/>
              <w:rPr>
                <w:rFonts w:eastAsia="Times New Roman" w:cs="Tahoma"/>
                <w:b/>
                <w:bCs/>
                <w:color w:val="000000"/>
                <w:sz w:val="20"/>
                <w:szCs w:val="20"/>
                <w:lang w:val="es-CO" w:eastAsia="es-CO"/>
              </w:rPr>
            </w:pPr>
            <w:r w:rsidRPr="008B6117">
              <w:rPr>
                <w:rFonts w:eastAsia="Times New Roman" w:cs="Tahoma"/>
                <w:b/>
                <w:bCs/>
                <w:color w:val="000000"/>
                <w:sz w:val="20"/>
                <w:szCs w:val="20"/>
                <w:lang w:val="es-CO" w:eastAsia="es-CO"/>
              </w:rPr>
              <w:t>$ 73.343</w:t>
            </w:r>
          </w:p>
        </w:tc>
      </w:tr>
    </w:tbl>
    <w:p w14:paraId="555E0ED6" w14:textId="0D5F815F" w:rsidR="009C11B6" w:rsidRPr="009B137F" w:rsidRDefault="009C11B6" w:rsidP="009B137F">
      <w:pPr>
        <w:spacing w:line="276" w:lineRule="auto"/>
        <w:ind w:firstLine="708"/>
        <w:rPr>
          <w:rFonts w:cs="Tahoma"/>
          <w:szCs w:val="24"/>
        </w:rPr>
      </w:pPr>
    </w:p>
    <w:tbl>
      <w:tblPr>
        <w:tblW w:w="5000" w:type="pct"/>
        <w:tblCellMar>
          <w:left w:w="70" w:type="dxa"/>
          <w:right w:w="70" w:type="dxa"/>
        </w:tblCellMar>
        <w:tblLook w:val="04A0" w:firstRow="1" w:lastRow="0" w:firstColumn="1" w:lastColumn="0" w:noHBand="0" w:noVBand="1"/>
      </w:tblPr>
      <w:tblGrid>
        <w:gridCol w:w="1475"/>
        <w:gridCol w:w="1475"/>
        <w:gridCol w:w="1474"/>
        <w:gridCol w:w="1686"/>
        <w:gridCol w:w="1474"/>
        <w:gridCol w:w="1473"/>
      </w:tblGrid>
      <w:tr w:rsidR="00BA6DF5" w:rsidRPr="00694B15" w14:paraId="07B019E5" w14:textId="77777777" w:rsidTr="00BA6DF5">
        <w:trPr>
          <w:trHeight w:val="300"/>
        </w:trPr>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07C7" w14:textId="77777777" w:rsidR="00BA6DF5" w:rsidRPr="00694B15" w:rsidRDefault="00BA6DF5" w:rsidP="00694B15">
            <w:pPr>
              <w:spacing w:line="240" w:lineRule="auto"/>
              <w:jc w:val="left"/>
              <w:rPr>
                <w:rFonts w:eastAsia="Times New Roman" w:cs="Tahoma"/>
                <w:color w:val="000000"/>
                <w:sz w:val="20"/>
                <w:szCs w:val="24"/>
                <w:lang w:val="es-CO" w:eastAsia="es-CO"/>
              </w:rPr>
            </w:pPr>
            <w:r w:rsidRPr="00694B15">
              <w:rPr>
                <w:rFonts w:eastAsia="Times New Roman" w:cs="Tahoma"/>
                <w:color w:val="000000"/>
                <w:sz w:val="20"/>
                <w:szCs w:val="24"/>
                <w:lang w:val="es-CO" w:eastAsia="es-CO"/>
              </w:rPr>
              <w:t> </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2A4B4538" w14:textId="77777777" w:rsidR="00BA6DF5" w:rsidRPr="00694B15" w:rsidRDefault="00BA6DF5" w:rsidP="00694B15">
            <w:pPr>
              <w:spacing w:line="240" w:lineRule="auto"/>
              <w:jc w:val="right"/>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2014</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24AB4CB6" w14:textId="77777777" w:rsidR="00BA6DF5" w:rsidRPr="00694B15" w:rsidRDefault="00BA6DF5" w:rsidP="00694B15">
            <w:pPr>
              <w:spacing w:line="240" w:lineRule="auto"/>
              <w:jc w:val="right"/>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2015</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5AAAB403" w14:textId="77777777" w:rsidR="00BA6DF5" w:rsidRPr="00694B15" w:rsidRDefault="00BA6DF5" w:rsidP="00694B15">
            <w:pPr>
              <w:spacing w:line="240" w:lineRule="auto"/>
              <w:jc w:val="center"/>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 xml:space="preserve">TOTAL </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61C8C562" w14:textId="77777777" w:rsidR="00BA6DF5" w:rsidRPr="00694B15" w:rsidRDefault="00BA6DF5" w:rsidP="00694B15">
            <w:pPr>
              <w:spacing w:line="240" w:lineRule="auto"/>
              <w:jc w:val="left"/>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PAGADO</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6E4928D3" w14:textId="77777777" w:rsidR="00BA6DF5" w:rsidRPr="00694B15" w:rsidRDefault="00BA6DF5" w:rsidP="00694B15">
            <w:pPr>
              <w:spacing w:line="240" w:lineRule="auto"/>
              <w:jc w:val="left"/>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DIFERENCIA</w:t>
            </w:r>
          </w:p>
        </w:tc>
      </w:tr>
      <w:tr w:rsidR="00BA6DF5" w:rsidRPr="00694B15" w14:paraId="14729723" w14:textId="77777777" w:rsidTr="00BA6DF5">
        <w:trPr>
          <w:trHeight w:val="300"/>
        </w:trPr>
        <w:tc>
          <w:tcPr>
            <w:tcW w:w="814" w:type="pct"/>
            <w:tcBorders>
              <w:top w:val="nil"/>
              <w:left w:val="single" w:sz="4" w:space="0" w:color="auto"/>
              <w:bottom w:val="single" w:sz="4" w:space="0" w:color="auto"/>
              <w:right w:val="single" w:sz="4" w:space="0" w:color="auto"/>
            </w:tcBorders>
            <w:shd w:val="clear" w:color="auto" w:fill="auto"/>
            <w:noWrap/>
            <w:vAlign w:val="bottom"/>
            <w:hideMark/>
          </w:tcPr>
          <w:p w14:paraId="09DE27C2" w14:textId="77777777" w:rsidR="00BA6DF5" w:rsidRPr="00694B15" w:rsidRDefault="00BA6DF5" w:rsidP="00694B15">
            <w:pPr>
              <w:spacing w:line="240" w:lineRule="auto"/>
              <w:jc w:val="left"/>
              <w:rPr>
                <w:rFonts w:eastAsia="Times New Roman" w:cs="Tahoma"/>
                <w:color w:val="000000"/>
                <w:sz w:val="20"/>
                <w:szCs w:val="24"/>
                <w:lang w:val="es-CO" w:eastAsia="es-CO"/>
              </w:rPr>
            </w:pPr>
            <w:r w:rsidRPr="00694B15">
              <w:rPr>
                <w:rFonts w:eastAsia="Times New Roman" w:cs="Tahoma"/>
                <w:color w:val="000000"/>
                <w:sz w:val="20"/>
                <w:szCs w:val="24"/>
                <w:lang w:val="es-CO" w:eastAsia="es-CO"/>
              </w:rPr>
              <w:t>CESANTÍAS</w:t>
            </w:r>
          </w:p>
        </w:tc>
        <w:tc>
          <w:tcPr>
            <w:tcW w:w="814" w:type="pct"/>
            <w:tcBorders>
              <w:top w:val="nil"/>
              <w:left w:val="nil"/>
              <w:bottom w:val="single" w:sz="4" w:space="0" w:color="auto"/>
              <w:right w:val="single" w:sz="4" w:space="0" w:color="auto"/>
            </w:tcBorders>
            <w:shd w:val="clear" w:color="auto" w:fill="auto"/>
            <w:noWrap/>
            <w:vAlign w:val="bottom"/>
            <w:hideMark/>
          </w:tcPr>
          <w:p w14:paraId="2AA7EE7B"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$ 483.025</w:t>
            </w:r>
          </w:p>
        </w:tc>
        <w:tc>
          <w:tcPr>
            <w:tcW w:w="814" w:type="pct"/>
            <w:tcBorders>
              <w:top w:val="nil"/>
              <w:left w:val="nil"/>
              <w:bottom w:val="single" w:sz="4" w:space="0" w:color="auto"/>
              <w:right w:val="single" w:sz="4" w:space="0" w:color="auto"/>
            </w:tcBorders>
            <w:shd w:val="clear" w:color="auto" w:fill="auto"/>
            <w:noWrap/>
            <w:vAlign w:val="bottom"/>
            <w:hideMark/>
          </w:tcPr>
          <w:p w14:paraId="0774B696"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$ 810.374</w:t>
            </w:r>
          </w:p>
        </w:tc>
        <w:tc>
          <w:tcPr>
            <w:tcW w:w="931" w:type="pct"/>
            <w:tcBorders>
              <w:top w:val="nil"/>
              <w:left w:val="nil"/>
              <w:bottom w:val="single" w:sz="4" w:space="0" w:color="auto"/>
              <w:right w:val="single" w:sz="4" w:space="0" w:color="auto"/>
            </w:tcBorders>
            <w:shd w:val="clear" w:color="auto" w:fill="auto"/>
            <w:noWrap/>
            <w:vAlign w:val="bottom"/>
            <w:hideMark/>
          </w:tcPr>
          <w:p w14:paraId="238D3A10"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$ 1.293.399</w:t>
            </w:r>
          </w:p>
        </w:tc>
        <w:tc>
          <w:tcPr>
            <w:tcW w:w="814" w:type="pct"/>
            <w:tcBorders>
              <w:top w:val="nil"/>
              <w:left w:val="nil"/>
              <w:bottom w:val="single" w:sz="4" w:space="0" w:color="auto"/>
              <w:right w:val="single" w:sz="4" w:space="0" w:color="auto"/>
            </w:tcBorders>
            <w:shd w:val="clear" w:color="auto" w:fill="auto"/>
            <w:noWrap/>
            <w:vAlign w:val="bottom"/>
            <w:hideMark/>
          </w:tcPr>
          <w:p w14:paraId="7BF939AC"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$ 1.167.732</w:t>
            </w:r>
          </w:p>
        </w:tc>
        <w:tc>
          <w:tcPr>
            <w:tcW w:w="814" w:type="pct"/>
            <w:tcBorders>
              <w:top w:val="nil"/>
              <w:left w:val="nil"/>
              <w:bottom w:val="single" w:sz="4" w:space="0" w:color="auto"/>
              <w:right w:val="single" w:sz="4" w:space="0" w:color="auto"/>
            </w:tcBorders>
            <w:shd w:val="clear" w:color="auto" w:fill="auto"/>
            <w:noWrap/>
            <w:vAlign w:val="bottom"/>
            <w:hideMark/>
          </w:tcPr>
          <w:p w14:paraId="23266EBA" w14:textId="77777777" w:rsidR="00BA6DF5" w:rsidRPr="00694B15" w:rsidRDefault="00BA6DF5" w:rsidP="00694B15">
            <w:pPr>
              <w:spacing w:line="240" w:lineRule="auto"/>
              <w:jc w:val="right"/>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$ 125.667</w:t>
            </w:r>
          </w:p>
        </w:tc>
      </w:tr>
      <w:tr w:rsidR="00BA6DF5" w:rsidRPr="00694B15" w14:paraId="71231CEE" w14:textId="77777777" w:rsidTr="00BA6DF5">
        <w:trPr>
          <w:trHeight w:val="300"/>
        </w:trPr>
        <w:tc>
          <w:tcPr>
            <w:tcW w:w="814" w:type="pct"/>
            <w:tcBorders>
              <w:top w:val="nil"/>
              <w:left w:val="single" w:sz="4" w:space="0" w:color="auto"/>
              <w:bottom w:val="single" w:sz="4" w:space="0" w:color="auto"/>
              <w:right w:val="single" w:sz="4" w:space="0" w:color="auto"/>
            </w:tcBorders>
            <w:shd w:val="clear" w:color="auto" w:fill="auto"/>
            <w:noWrap/>
            <w:vAlign w:val="bottom"/>
            <w:hideMark/>
          </w:tcPr>
          <w:p w14:paraId="0B1CCAB9" w14:textId="77777777" w:rsidR="00BA6DF5" w:rsidRPr="00694B15" w:rsidRDefault="00BA6DF5" w:rsidP="00694B15">
            <w:pPr>
              <w:spacing w:line="240" w:lineRule="auto"/>
              <w:jc w:val="left"/>
              <w:rPr>
                <w:rFonts w:eastAsia="Times New Roman" w:cs="Tahoma"/>
                <w:color w:val="000000"/>
                <w:sz w:val="20"/>
                <w:szCs w:val="24"/>
                <w:lang w:val="es-CO" w:eastAsia="es-CO"/>
              </w:rPr>
            </w:pPr>
            <w:r w:rsidRPr="00694B15">
              <w:rPr>
                <w:rFonts w:eastAsia="Times New Roman" w:cs="Tahoma"/>
                <w:color w:val="000000"/>
                <w:sz w:val="20"/>
                <w:szCs w:val="24"/>
                <w:lang w:val="es-CO" w:eastAsia="es-CO"/>
              </w:rPr>
              <w:t>VACACIONES</w:t>
            </w:r>
          </w:p>
        </w:tc>
        <w:tc>
          <w:tcPr>
            <w:tcW w:w="814" w:type="pct"/>
            <w:tcBorders>
              <w:top w:val="nil"/>
              <w:left w:val="nil"/>
              <w:bottom w:val="single" w:sz="4" w:space="0" w:color="auto"/>
              <w:right w:val="single" w:sz="4" w:space="0" w:color="auto"/>
            </w:tcBorders>
            <w:shd w:val="clear" w:color="auto" w:fill="auto"/>
            <w:noWrap/>
            <w:vAlign w:val="bottom"/>
            <w:hideMark/>
          </w:tcPr>
          <w:p w14:paraId="6A99C6BD"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$ 219.021</w:t>
            </w:r>
          </w:p>
        </w:tc>
        <w:tc>
          <w:tcPr>
            <w:tcW w:w="814" w:type="pct"/>
            <w:tcBorders>
              <w:top w:val="nil"/>
              <w:left w:val="nil"/>
              <w:bottom w:val="single" w:sz="4" w:space="0" w:color="auto"/>
              <w:right w:val="single" w:sz="4" w:space="0" w:color="auto"/>
            </w:tcBorders>
            <w:shd w:val="clear" w:color="auto" w:fill="auto"/>
            <w:noWrap/>
            <w:vAlign w:val="bottom"/>
            <w:hideMark/>
          </w:tcPr>
          <w:p w14:paraId="286A2EF5"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$ 374.073</w:t>
            </w:r>
          </w:p>
        </w:tc>
        <w:tc>
          <w:tcPr>
            <w:tcW w:w="931" w:type="pct"/>
            <w:tcBorders>
              <w:top w:val="nil"/>
              <w:left w:val="nil"/>
              <w:bottom w:val="single" w:sz="4" w:space="0" w:color="auto"/>
              <w:right w:val="single" w:sz="4" w:space="0" w:color="auto"/>
            </w:tcBorders>
            <w:shd w:val="clear" w:color="auto" w:fill="auto"/>
            <w:noWrap/>
            <w:vAlign w:val="bottom"/>
            <w:hideMark/>
          </w:tcPr>
          <w:p w14:paraId="0C982EDF"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$ 593.094</w:t>
            </w:r>
          </w:p>
        </w:tc>
        <w:tc>
          <w:tcPr>
            <w:tcW w:w="814" w:type="pct"/>
            <w:tcBorders>
              <w:top w:val="nil"/>
              <w:left w:val="nil"/>
              <w:bottom w:val="single" w:sz="4" w:space="0" w:color="auto"/>
              <w:right w:val="single" w:sz="4" w:space="0" w:color="auto"/>
            </w:tcBorders>
            <w:shd w:val="clear" w:color="auto" w:fill="auto"/>
            <w:noWrap/>
            <w:vAlign w:val="bottom"/>
            <w:hideMark/>
          </w:tcPr>
          <w:p w14:paraId="454AC786" w14:textId="77777777" w:rsidR="00BA6DF5" w:rsidRPr="00694B15" w:rsidRDefault="00BA6DF5" w:rsidP="00694B15">
            <w:pPr>
              <w:spacing w:line="240" w:lineRule="auto"/>
              <w:jc w:val="right"/>
              <w:rPr>
                <w:rFonts w:eastAsia="Times New Roman" w:cs="Tahoma"/>
                <w:color w:val="000000"/>
                <w:sz w:val="20"/>
                <w:szCs w:val="24"/>
                <w:lang w:val="es-CO" w:eastAsia="es-CO"/>
              </w:rPr>
            </w:pPr>
            <w:r w:rsidRPr="00694B15">
              <w:rPr>
                <w:rFonts w:eastAsia="Times New Roman" w:cs="Tahoma"/>
                <w:color w:val="000000"/>
                <w:sz w:val="20"/>
                <w:szCs w:val="24"/>
                <w:lang w:val="es-CO" w:eastAsia="es-CO"/>
              </w:rPr>
              <w:t>$ 636.200</w:t>
            </w:r>
          </w:p>
        </w:tc>
        <w:tc>
          <w:tcPr>
            <w:tcW w:w="814" w:type="pct"/>
            <w:tcBorders>
              <w:top w:val="nil"/>
              <w:left w:val="nil"/>
              <w:bottom w:val="single" w:sz="4" w:space="0" w:color="auto"/>
              <w:right w:val="single" w:sz="4" w:space="0" w:color="auto"/>
            </w:tcBorders>
            <w:shd w:val="clear" w:color="auto" w:fill="auto"/>
            <w:noWrap/>
            <w:vAlign w:val="bottom"/>
            <w:hideMark/>
          </w:tcPr>
          <w:p w14:paraId="60D54774" w14:textId="77777777" w:rsidR="00BA6DF5" w:rsidRPr="00694B15" w:rsidRDefault="00BA6DF5" w:rsidP="00694B15">
            <w:pPr>
              <w:spacing w:line="240" w:lineRule="auto"/>
              <w:jc w:val="right"/>
              <w:rPr>
                <w:rFonts w:eastAsia="Times New Roman" w:cs="Tahoma"/>
                <w:b/>
                <w:bCs/>
                <w:color w:val="000000"/>
                <w:sz w:val="20"/>
                <w:szCs w:val="24"/>
                <w:lang w:val="es-CO" w:eastAsia="es-CO"/>
              </w:rPr>
            </w:pPr>
            <w:r w:rsidRPr="00694B15">
              <w:rPr>
                <w:rFonts w:eastAsia="Times New Roman" w:cs="Tahoma"/>
                <w:b/>
                <w:bCs/>
                <w:color w:val="000000"/>
                <w:sz w:val="20"/>
                <w:szCs w:val="24"/>
                <w:lang w:val="es-CO" w:eastAsia="es-CO"/>
              </w:rPr>
              <w:t>-$ 43.106</w:t>
            </w:r>
          </w:p>
        </w:tc>
      </w:tr>
    </w:tbl>
    <w:p w14:paraId="01CC4B59" w14:textId="77777777" w:rsidR="009C11B6" w:rsidRPr="009B137F" w:rsidRDefault="009C11B6" w:rsidP="009B137F">
      <w:pPr>
        <w:spacing w:line="276" w:lineRule="auto"/>
        <w:rPr>
          <w:rFonts w:cs="Tahoma"/>
          <w:szCs w:val="24"/>
        </w:rPr>
      </w:pPr>
    </w:p>
    <w:bookmarkEnd w:id="10"/>
    <w:p w14:paraId="58163237" w14:textId="0F547BE6" w:rsidR="00D10213" w:rsidRPr="009B137F" w:rsidRDefault="00A6218E" w:rsidP="009B137F">
      <w:pPr>
        <w:spacing w:line="276" w:lineRule="auto"/>
        <w:rPr>
          <w:rFonts w:cs="Tahoma"/>
          <w:szCs w:val="24"/>
        </w:rPr>
      </w:pPr>
      <w:r w:rsidRPr="009B137F">
        <w:rPr>
          <w:rFonts w:cs="Tahoma"/>
          <w:szCs w:val="24"/>
        </w:rPr>
        <w:tab/>
      </w:r>
      <w:r w:rsidR="006D08B1" w:rsidRPr="009B137F">
        <w:rPr>
          <w:rFonts w:cs="Tahoma"/>
          <w:szCs w:val="24"/>
        </w:rPr>
        <w:t>Aclarando que la suma total, es la resultante de re</w:t>
      </w:r>
      <w:r w:rsidR="001E7F4E" w:rsidRPr="009B137F">
        <w:rPr>
          <w:rFonts w:cs="Tahoma"/>
          <w:szCs w:val="24"/>
        </w:rPr>
        <w:t xml:space="preserve">star lo pagado de más por concepto </w:t>
      </w:r>
      <w:r w:rsidR="00667302" w:rsidRPr="009B137F">
        <w:rPr>
          <w:rFonts w:cs="Tahoma"/>
          <w:szCs w:val="24"/>
        </w:rPr>
        <w:t xml:space="preserve">de </w:t>
      </w:r>
      <w:r w:rsidR="001E7F4E" w:rsidRPr="009B137F">
        <w:rPr>
          <w:rFonts w:cs="Tahoma"/>
          <w:szCs w:val="24"/>
        </w:rPr>
        <w:t>vacaciones, a la diferencia adeudada por prima de servicios</w:t>
      </w:r>
      <w:r w:rsidR="0054143A" w:rsidRPr="009B137F">
        <w:rPr>
          <w:rFonts w:cs="Tahoma"/>
          <w:szCs w:val="24"/>
        </w:rPr>
        <w:t xml:space="preserve">, </w:t>
      </w:r>
      <w:r w:rsidR="001E7F4E" w:rsidRPr="009B137F">
        <w:rPr>
          <w:rFonts w:cs="Tahoma"/>
          <w:szCs w:val="24"/>
        </w:rPr>
        <w:t>cesantías</w:t>
      </w:r>
      <w:r w:rsidR="0054143A" w:rsidRPr="009B137F">
        <w:rPr>
          <w:rFonts w:cs="Tahoma"/>
          <w:szCs w:val="24"/>
        </w:rPr>
        <w:t xml:space="preserve"> e intereses a las cesantías</w:t>
      </w:r>
      <w:r w:rsidR="00BE3C76" w:rsidRPr="009B137F">
        <w:rPr>
          <w:rFonts w:cs="Tahoma"/>
          <w:szCs w:val="24"/>
        </w:rPr>
        <w:t xml:space="preserve">, en razón de la excepción de compensación propuesta por la parte pasiva. </w:t>
      </w:r>
    </w:p>
    <w:p w14:paraId="3D7B572A" w14:textId="77777777" w:rsidR="00A6218E" w:rsidRPr="009B137F" w:rsidRDefault="00A6218E" w:rsidP="009B137F">
      <w:pPr>
        <w:spacing w:line="276" w:lineRule="auto"/>
        <w:rPr>
          <w:rFonts w:cs="Tahoma"/>
          <w:szCs w:val="24"/>
        </w:rPr>
      </w:pPr>
    </w:p>
    <w:p w14:paraId="02DD4390" w14:textId="77777777" w:rsidR="005B50C1" w:rsidRPr="009B137F" w:rsidRDefault="001F59A2" w:rsidP="009B137F">
      <w:pPr>
        <w:spacing w:line="276" w:lineRule="auto"/>
        <w:rPr>
          <w:rFonts w:cs="Tahoma"/>
          <w:szCs w:val="24"/>
        </w:rPr>
      </w:pPr>
      <w:r w:rsidRPr="009B137F">
        <w:rPr>
          <w:rFonts w:cs="Tahoma"/>
          <w:szCs w:val="24"/>
          <w:lang w:val="es-CO"/>
        </w:rPr>
        <w:tab/>
        <w:t>En lo que atañe a</w:t>
      </w:r>
      <w:r w:rsidR="00272213" w:rsidRPr="009B137F">
        <w:rPr>
          <w:rFonts w:cs="Tahoma"/>
          <w:szCs w:val="24"/>
          <w:lang w:val="es-CO"/>
        </w:rPr>
        <w:t>l derecho a la</w:t>
      </w:r>
      <w:r w:rsidRPr="009B137F">
        <w:rPr>
          <w:rFonts w:cs="Tahoma"/>
          <w:szCs w:val="24"/>
          <w:lang w:val="es-CO"/>
        </w:rPr>
        <w:t xml:space="preserve"> indemnización moratoria contemplada e</w:t>
      </w:r>
      <w:r w:rsidR="00C5506A" w:rsidRPr="009B137F">
        <w:rPr>
          <w:rFonts w:cs="Tahoma"/>
          <w:szCs w:val="24"/>
          <w:lang w:val="es-CO"/>
        </w:rPr>
        <w:t>n</w:t>
      </w:r>
      <w:r w:rsidRPr="009B137F">
        <w:rPr>
          <w:rFonts w:cs="Tahoma"/>
          <w:szCs w:val="24"/>
          <w:lang w:val="es-CO"/>
        </w:rPr>
        <w:t xml:space="preserve"> el artículo 65 del C.S.T, </w:t>
      </w:r>
      <w:r w:rsidR="00DD7DA7" w:rsidRPr="009B137F">
        <w:rPr>
          <w:rFonts w:cs="Tahoma"/>
          <w:szCs w:val="24"/>
          <w:lang w:val="es-CO"/>
        </w:rPr>
        <w:t xml:space="preserve">aunque </w:t>
      </w:r>
      <w:r w:rsidR="00F35586" w:rsidRPr="009B137F">
        <w:rPr>
          <w:rFonts w:cs="Tahoma"/>
          <w:szCs w:val="24"/>
          <w:lang w:val="es-CO"/>
        </w:rPr>
        <w:t xml:space="preserve">la </w:t>
      </w:r>
      <w:r w:rsidR="00F35586" w:rsidRPr="009B137F">
        <w:rPr>
          <w:rFonts w:cs="Tahoma"/>
          <w:i/>
          <w:iCs/>
          <w:szCs w:val="24"/>
          <w:lang w:val="es-CO"/>
        </w:rPr>
        <w:t>a-quo</w:t>
      </w:r>
      <w:r w:rsidR="00F35586" w:rsidRPr="009B137F">
        <w:rPr>
          <w:rFonts w:cs="Tahoma"/>
          <w:szCs w:val="24"/>
          <w:lang w:val="es-CO"/>
        </w:rPr>
        <w:t xml:space="preserve"> la declaró prescrita, </w:t>
      </w:r>
      <w:r w:rsidR="00911D29" w:rsidRPr="009B137F">
        <w:rPr>
          <w:rFonts w:cs="Tahoma"/>
          <w:szCs w:val="24"/>
          <w:lang w:val="es-CO"/>
        </w:rPr>
        <w:t xml:space="preserve">antes de hacerlo adujo varias razones </w:t>
      </w:r>
      <w:r w:rsidR="00DD3D3B" w:rsidRPr="009B137F">
        <w:rPr>
          <w:rFonts w:cs="Tahoma"/>
          <w:szCs w:val="24"/>
          <w:lang w:val="es-CO"/>
        </w:rPr>
        <w:t>para justificar su p</w:t>
      </w:r>
      <w:r w:rsidR="00A200FD" w:rsidRPr="009B137F">
        <w:rPr>
          <w:rFonts w:cs="Tahoma"/>
          <w:szCs w:val="24"/>
          <w:lang w:val="es-CO"/>
        </w:rPr>
        <w:t xml:space="preserve">rocedencia, las cuales </w:t>
      </w:r>
      <w:r w:rsidR="00F23B9B" w:rsidRPr="009B137F">
        <w:rPr>
          <w:rFonts w:cs="Tahoma"/>
          <w:szCs w:val="24"/>
          <w:lang w:val="es-CO"/>
        </w:rPr>
        <w:t>no fueron recurridas por las partes,</w:t>
      </w:r>
      <w:r w:rsidR="00A200FD" w:rsidRPr="009B137F">
        <w:rPr>
          <w:rFonts w:cs="Tahoma"/>
          <w:szCs w:val="24"/>
          <w:lang w:val="es-CO"/>
        </w:rPr>
        <w:t xml:space="preserve"> por lo que, en declive de la prescripción, </w:t>
      </w:r>
      <w:r w:rsidR="00EA7F02" w:rsidRPr="009B137F">
        <w:rPr>
          <w:rFonts w:cs="Tahoma"/>
          <w:szCs w:val="24"/>
          <w:lang w:val="es-CO"/>
        </w:rPr>
        <w:t xml:space="preserve">devendría sin más la condena por este concepto, acudiendo a la misma argumentación esbozada por juzgadora de primer grado. Sin embargo, para reforzar </w:t>
      </w:r>
      <w:r w:rsidR="005C1BDE" w:rsidRPr="009B137F">
        <w:rPr>
          <w:rFonts w:cs="Tahoma"/>
          <w:szCs w:val="24"/>
          <w:lang w:val="es-CO"/>
        </w:rPr>
        <w:t>tal</w:t>
      </w:r>
      <w:r w:rsidR="00EA7F02" w:rsidRPr="009B137F">
        <w:rPr>
          <w:rFonts w:cs="Tahoma"/>
          <w:szCs w:val="24"/>
          <w:lang w:val="es-CO"/>
        </w:rPr>
        <w:t xml:space="preserve"> conclusión, </w:t>
      </w:r>
      <w:r w:rsidR="005C1BDE" w:rsidRPr="009B137F">
        <w:rPr>
          <w:rFonts w:cs="Tahoma"/>
          <w:szCs w:val="24"/>
          <w:lang w:val="es-CO"/>
        </w:rPr>
        <w:t xml:space="preserve">habrá de recordarse que esta </w:t>
      </w:r>
      <w:r w:rsidR="005C1BDE" w:rsidRPr="009B137F">
        <w:rPr>
          <w:rFonts w:cs="Tahoma"/>
          <w:szCs w:val="24"/>
          <w:lang w:val="es-CO"/>
        </w:rPr>
        <w:lastRenderedPageBreak/>
        <w:t>Sala ha indicado</w:t>
      </w:r>
      <w:r w:rsidR="00035F5B" w:rsidRPr="009B137F">
        <w:rPr>
          <w:rFonts w:cs="Tahoma"/>
          <w:szCs w:val="24"/>
          <w:lang w:val="es-CO"/>
        </w:rPr>
        <w:t xml:space="preserve">, en asunto de iguales aristas, que </w:t>
      </w:r>
      <w:r w:rsidR="00550C16" w:rsidRPr="009B137F">
        <w:rPr>
          <w:rFonts w:cs="Tahoma"/>
          <w:i/>
          <w:iCs/>
          <w:szCs w:val="24"/>
        </w:rPr>
        <w:t>“</w:t>
      </w:r>
      <w:r w:rsidR="00550C16" w:rsidRPr="0060553C">
        <w:rPr>
          <w:rFonts w:cs="Tahoma"/>
          <w:i/>
          <w:iCs/>
          <w:sz w:val="22"/>
          <w:szCs w:val="24"/>
        </w:rPr>
        <w:t xml:space="preserve">la práctica de entregar sumas de dinero al abrigo de figuras de </w:t>
      </w:r>
      <w:proofErr w:type="spellStart"/>
      <w:r w:rsidR="00550C16" w:rsidRPr="0060553C">
        <w:rPr>
          <w:rFonts w:cs="Tahoma"/>
          <w:i/>
          <w:iCs/>
          <w:sz w:val="22"/>
          <w:szCs w:val="24"/>
        </w:rPr>
        <w:t>desalarización</w:t>
      </w:r>
      <w:proofErr w:type="spellEnd"/>
      <w:r w:rsidR="00550C16" w:rsidRPr="0060553C">
        <w:rPr>
          <w:rFonts w:cs="Tahoma"/>
          <w:i/>
          <w:iCs/>
          <w:sz w:val="22"/>
          <w:szCs w:val="24"/>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r w:rsidR="00550C16" w:rsidRPr="009B137F">
        <w:rPr>
          <w:rFonts w:cs="Tahoma"/>
          <w:i/>
          <w:iCs/>
          <w:szCs w:val="24"/>
        </w:rPr>
        <w:t xml:space="preserve">” </w:t>
      </w:r>
      <w:r w:rsidR="00550C16" w:rsidRPr="009B137F">
        <w:rPr>
          <w:rFonts w:cs="Tahoma"/>
          <w:szCs w:val="24"/>
          <w:vertAlign w:val="superscript"/>
        </w:rPr>
        <w:footnoteReference w:id="18"/>
      </w:r>
      <w:r w:rsidR="005B50C1" w:rsidRPr="009B137F">
        <w:rPr>
          <w:rFonts w:cs="Tahoma"/>
          <w:szCs w:val="24"/>
        </w:rPr>
        <w:t>.</w:t>
      </w:r>
    </w:p>
    <w:p w14:paraId="242E5F00" w14:textId="77777777" w:rsidR="005B50C1" w:rsidRPr="009B137F" w:rsidRDefault="005B50C1" w:rsidP="009B137F">
      <w:pPr>
        <w:spacing w:line="276" w:lineRule="auto"/>
        <w:rPr>
          <w:rFonts w:cs="Tahoma"/>
          <w:szCs w:val="24"/>
        </w:rPr>
      </w:pPr>
    </w:p>
    <w:p w14:paraId="51AE90AA" w14:textId="37B246B6" w:rsidR="005B50C1" w:rsidRPr="009B137F" w:rsidRDefault="00550C16" w:rsidP="009B137F">
      <w:pPr>
        <w:spacing w:line="276" w:lineRule="auto"/>
        <w:ind w:firstLine="708"/>
        <w:rPr>
          <w:rFonts w:cs="Tahoma"/>
          <w:szCs w:val="24"/>
          <w:lang w:val="es-CO"/>
        </w:rPr>
      </w:pPr>
      <w:r w:rsidRPr="009B137F">
        <w:rPr>
          <w:rFonts w:cs="Tahoma"/>
          <w:szCs w:val="24"/>
          <w:lang w:val="es-CO"/>
        </w:rPr>
        <w:t xml:space="preserve">Por lo anterior, y dado que </w:t>
      </w:r>
      <w:r w:rsidRPr="009B137F">
        <w:rPr>
          <w:rFonts w:cs="Tahoma"/>
          <w:szCs w:val="24"/>
        </w:rPr>
        <w:t>la demandada desconoció el carácter salarial del bono de asistencia sin otorgar una razón atendible para omiti</w:t>
      </w:r>
      <w:r w:rsidR="00667302" w:rsidRPr="009B137F">
        <w:rPr>
          <w:rFonts w:cs="Tahoma"/>
          <w:szCs w:val="24"/>
        </w:rPr>
        <w:t>r</w:t>
      </w:r>
      <w:r w:rsidRPr="009B137F">
        <w:rPr>
          <w:rFonts w:cs="Tahoma"/>
          <w:szCs w:val="24"/>
        </w:rPr>
        <w:t xml:space="preserve"> su pago al momento de reconocer las vacaciones, prestaciones sociales y aportes a la seguridad social, de manera alguna lo eximen de la sanción moratoria, en la medida que tampoco sustentó otros elementos de juicio que respaldaran su actuar.</w:t>
      </w:r>
    </w:p>
    <w:p w14:paraId="1C4DA469" w14:textId="77777777" w:rsidR="005B50C1" w:rsidRPr="009B137F" w:rsidRDefault="005B50C1" w:rsidP="009B137F">
      <w:pPr>
        <w:spacing w:line="276" w:lineRule="auto"/>
        <w:rPr>
          <w:rFonts w:cs="Tahoma"/>
          <w:szCs w:val="24"/>
          <w:lang w:val="es-CO"/>
        </w:rPr>
      </w:pPr>
    </w:p>
    <w:p w14:paraId="51365D4F" w14:textId="4EE76DB4" w:rsidR="003C3E24" w:rsidRPr="009B137F" w:rsidRDefault="005B50C1" w:rsidP="009B137F">
      <w:pPr>
        <w:spacing w:line="276" w:lineRule="auto"/>
        <w:ind w:firstLine="708"/>
        <w:rPr>
          <w:rFonts w:cs="Tahoma"/>
          <w:szCs w:val="24"/>
          <w:lang w:val="es-CO"/>
        </w:rPr>
      </w:pPr>
      <w:r w:rsidRPr="009B137F">
        <w:rPr>
          <w:rFonts w:cs="Tahoma"/>
          <w:szCs w:val="24"/>
          <w:lang w:val="es-CO"/>
        </w:rPr>
        <w:t xml:space="preserve">Ahora bien, teniendo en cuenta </w:t>
      </w:r>
      <w:r w:rsidR="00C5506A" w:rsidRPr="009B137F">
        <w:rPr>
          <w:rFonts w:cs="Tahoma"/>
          <w:szCs w:val="24"/>
          <w:lang w:val="es-CO"/>
        </w:rPr>
        <w:t>que la demandante devengaba más del salario mínimo al incluir el valor correspondiente al bono de asistencia</w:t>
      </w:r>
      <w:r w:rsidRPr="009B137F">
        <w:rPr>
          <w:rFonts w:cs="Tahoma"/>
          <w:szCs w:val="24"/>
          <w:lang w:val="es-CO"/>
        </w:rPr>
        <w:t xml:space="preserve"> y teniendo en cuenta que </w:t>
      </w:r>
      <w:r w:rsidR="000E54E3" w:rsidRPr="009B137F">
        <w:rPr>
          <w:rFonts w:cs="Tahoma"/>
          <w:szCs w:val="24"/>
          <w:lang w:val="es-CO"/>
        </w:rPr>
        <w:t>la d</w:t>
      </w:r>
      <w:r w:rsidR="00687480" w:rsidRPr="009B137F">
        <w:rPr>
          <w:rFonts w:cs="Tahoma"/>
          <w:szCs w:val="24"/>
          <w:lang w:val="es-CO"/>
        </w:rPr>
        <w:t>emandante promovió la acción judicial vencidos</w:t>
      </w:r>
      <w:r w:rsidR="00C5506A" w:rsidRPr="009B137F">
        <w:rPr>
          <w:rFonts w:cs="Tahoma"/>
          <w:szCs w:val="24"/>
          <w:lang w:val="es-CO"/>
        </w:rPr>
        <w:t xml:space="preserve"> los</w:t>
      </w:r>
      <w:r w:rsidRPr="009B137F">
        <w:rPr>
          <w:rFonts w:cs="Tahoma"/>
          <w:szCs w:val="24"/>
          <w:lang w:val="es-CO"/>
        </w:rPr>
        <w:t xml:space="preserve"> veinticuatro</w:t>
      </w:r>
      <w:r w:rsidR="00C5506A" w:rsidRPr="009B137F">
        <w:rPr>
          <w:rFonts w:cs="Tahoma"/>
          <w:szCs w:val="24"/>
          <w:lang w:val="es-CO"/>
        </w:rPr>
        <w:t xml:space="preserve"> </w:t>
      </w:r>
      <w:r w:rsidRPr="009B137F">
        <w:rPr>
          <w:rFonts w:cs="Tahoma"/>
          <w:szCs w:val="24"/>
          <w:lang w:val="es-CO"/>
        </w:rPr>
        <w:t>(</w:t>
      </w:r>
      <w:r w:rsidR="00C5506A" w:rsidRPr="009B137F">
        <w:rPr>
          <w:rFonts w:cs="Tahoma"/>
          <w:szCs w:val="24"/>
          <w:lang w:val="es-CO"/>
        </w:rPr>
        <w:t>24</w:t>
      </w:r>
      <w:r w:rsidRPr="009B137F">
        <w:rPr>
          <w:rFonts w:cs="Tahoma"/>
          <w:szCs w:val="24"/>
          <w:lang w:val="es-CO"/>
        </w:rPr>
        <w:t>)</w:t>
      </w:r>
      <w:r w:rsidR="00C5506A" w:rsidRPr="009B137F">
        <w:rPr>
          <w:rFonts w:cs="Tahoma"/>
          <w:szCs w:val="24"/>
          <w:lang w:val="es-CO"/>
        </w:rPr>
        <w:t xml:space="preserve"> meses</w:t>
      </w:r>
      <w:r w:rsidR="00687480" w:rsidRPr="009B137F">
        <w:rPr>
          <w:rFonts w:cs="Tahoma"/>
          <w:szCs w:val="24"/>
          <w:lang w:val="es-CO"/>
        </w:rPr>
        <w:t xml:space="preserve"> que refiere el artículo 65 del C.S.T., contados desde</w:t>
      </w:r>
      <w:r w:rsidR="00C5506A" w:rsidRPr="009B137F">
        <w:rPr>
          <w:rFonts w:cs="Tahoma"/>
          <w:szCs w:val="24"/>
          <w:lang w:val="es-CO"/>
        </w:rPr>
        <w:t xml:space="preserve"> la finalización del contrato de trabajo, </w:t>
      </w:r>
      <w:r w:rsidR="008D4DD2" w:rsidRPr="009B137F">
        <w:rPr>
          <w:rFonts w:cs="Tahoma"/>
          <w:szCs w:val="24"/>
          <w:lang w:val="es-CO"/>
        </w:rPr>
        <w:t xml:space="preserve">el valor a que tiene derecho corresponde a los intereses </w:t>
      </w:r>
      <w:bookmarkStart w:id="11" w:name="_Hlk107516599"/>
      <w:r w:rsidR="003D4684" w:rsidRPr="009B137F">
        <w:rPr>
          <w:rFonts w:cs="Tahoma"/>
          <w:szCs w:val="24"/>
        </w:rPr>
        <w:t xml:space="preserve">moratorios a la tasa máxima de créditos de libre asignación certificados por la Superintendencia </w:t>
      </w:r>
      <w:r w:rsidR="00073EBB" w:rsidRPr="009B137F">
        <w:rPr>
          <w:rFonts w:cs="Tahoma"/>
          <w:szCs w:val="24"/>
        </w:rPr>
        <w:t>Financiera sobre las sumas adeudadas por prestaciones sociales, a partir del 2</w:t>
      </w:r>
      <w:r w:rsidR="0073502F" w:rsidRPr="009B137F">
        <w:rPr>
          <w:rFonts w:cs="Tahoma"/>
          <w:szCs w:val="24"/>
        </w:rPr>
        <w:t>0</w:t>
      </w:r>
      <w:r w:rsidR="00073EBB" w:rsidRPr="009B137F">
        <w:rPr>
          <w:rFonts w:cs="Tahoma"/>
          <w:szCs w:val="24"/>
        </w:rPr>
        <w:t xml:space="preserve"> de noviembre de 201</w:t>
      </w:r>
      <w:r w:rsidR="005E1D15" w:rsidRPr="009B137F">
        <w:rPr>
          <w:rFonts w:cs="Tahoma"/>
          <w:szCs w:val="24"/>
        </w:rPr>
        <w:t>5</w:t>
      </w:r>
      <w:r w:rsidR="00073EBB" w:rsidRPr="009B137F">
        <w:rPr>
          <w:rFonts w:cs="Tahoma"/>
          <w:szCs w:val="24"/>
        </w:rPr>
        <w:t xml:space="preserve"> </w:t>
      </w:r>
      <w:r w:rsidR="00073EBB" w:rsidRPr="009B137F">
        <w:rPr>
          <w:rFonts w:cs="Tahoma"/>
          <w:i/>
          <w:iCs/>
          <w:szCs w:val="24"/>
        </w:rPr>
        <w:t>-</w:t>
      </w:r>
      <w:r w:rsidR="0073502F" w:rsidRPr="009B137F">
        <w:rPr>
          <w:rFonts w:cs="Tahoma"/>
          <w:i/>
          <w:iCs/>
          <w:szCs w:val="24"/>
        </w:rPr>
        <w:t>fecha de la terminación del vínculo-</w:t>
      </w:r>
      <w:r w:rsidR="0073502F" w:rsidRPr="009B137F">
        <w:rPr>
          <w:rFonts w:cs="Tahoma"/>
          <w:szCs w:val="24"/>
        </w:rPr>
        <w:t xml:space="preserve">  y hasta que se haga efectivo el pago total de la obligación</w:t>
      </w:r>
      <w:r w:rsidR="003C3E24" w:rsidRPr="009B137F">
        <w:rPr>
          <w:rFonts w:cs="Tahoma"/>
          <w:szCs w:val="24"/>
        </w:rPr>
        <w:t xml:space="preserve">, </w:t>
      </w:r>
      <w:r w:rsidR="003C3E24" w:rsidRPr="009B137F">
        <w:rPr>
          <w:rFonts w:cs="Tahoma"/>
          <w:szCs w:val="24"/>
          <w:lang w:val="es-CO"/>
        </w:rPr>
        <w:t>aspecto que conlleva la adición de la sentencia apelada.</w:t>
      </w:r>
    </w:p>
    <w:bookmarkEnd w:id="11"/>
    <w:p w14:paraId="0AA5970C" w14:textId="77777777" w:rsidR="00D04BE1" w:rsidRPr="009B137F" w:rsidRDefault="00D04BE1" w:rsidP="009B137F">
      <w:pPr>
        <w:spacing w:line="276" w:lineRule="auto"/>
        <w:rPr>
          <w:rFonts w:cs="Tahoma"/>
          <w:szCs w:val="24"/>
          <w:lang w:val="es-CO"/>
        </w:rPr>
      </w:pPr>
    </w:p>
    <w:p w14:paraId="68F67257" w14:textId="7A7E7590" w:rsidR="00B61C07" w:rsidRPr="009B137F" w:rsidRDefault="00F23B9B" w:rsidP="009B137F">
      <w:pPr>
        <w:spacing w:line="276" w:lineRule="auto"/>
        <w:rPr>
          <w:rFonts w:cs="Tahoma"/>
          <w:szCs w:val="24"/>
          <w:lang w:val="es-CO"/>
        </w:rPr>
      </w:pPr>
      <w:r w:rsidRPr="009B137F">
        <w:rPr>
          <w:rFonts w:cs="Tahoma"/>
          <w:szCs w:val="24"/>
          <w:lang w:val="es-CO"/>
        </w:rPr>
        <w:tab/>
        <w:t>Por último,</w:t>
      </w:r>
      <w:r w:rsidR="00D04BE1" w:rsidRPr="009B137F">
        <w:rPr>
          <w:rFonts w:cs="Tahoma"/>
          <w:szCs w:val="24"/>
          <w:lang w:val="es-CO"/>
        </w:rPr>
        <w:t xml:space="preserve"> razón de asiste al demandante en pretender la modificación del porcentaje de las costas sentado en primera instancia</w:t>
      </w:r>
      <w:r w:rsidR="00A94F4B" w:rsidRPr="009B137F">
        <w:rPr>
          <w:rFonts w:cs="Tahoma"/>
          <w:szCs w:val="24"/>
          <w:lang w:val="es-CO"/>
        </w:rPr>
        <w:t xml:space="preserve"> (</w:t>
      </w:r>
      <w:r w:rsidR="00D04BE1" w:rsidRPr="009B137F">
        <w:rPr>
          <w:rFonts w:cs="Tahoma"/>
          <w:szCs w:val="24"/>
          <w:lang w:val="es-CO"/>
        </w:rPr>
        <w:t>20</w:t>
      </w:r>
      <w:r w:rsidR="00592F3F" w:rsidRPr="009B137F">
        <w:rPr>
          <w:rFonts w:cs="Tahoma"/>
          <w:szCs w:val="24"/>
          <w:lang w:val="es-CO"/>
        </w:rPr>
        <w:t>% de las causadas</w:t>
      </w:r>
      <w:r w:rsidR="00A94F4B" w:rsidRPr="009B137F">
        <w:rPr>
          <w:rFonts w:cs="Tahoma"/>
          <w:szCs w:val="24"/>
          <w:lang w:val="es-CO"/>
        </w:rPr>
        <w:t>)</w:t>
      </w:r>
      <w:r w:rsidR="00592F3F" w:rsidRPr="009B137F">
        <w:rPr>
          <w:rFonts w:cs="Tahoma"/>
          <w:szCs w:val="24"/>
          <w:lang w:val="es-CO"/>
        </w:rPr>
        <w:t xml:space="preserve">, </w:t>
      </w:r>
      <w:r w:rsidR="007A19F9" w:rsidRPr="009B137F">
        <w:rPr>
          <w:rFonts w:cs="Tahoma"/>
          <w:szCs w:val="24"/>
          <w:lang w:val="es-CO"/>
        </w:rPr>
        <w:t>ya que,</w:t>
      </w:r>
      <w:r w:rsidR="00592F3F" w:rsidRPr="009B137F">
        <w:rPr>
          <w:rFonts w:cs="Tahoma"/>
          <w:szCs w:val="24"/>
          <w:lang w:val="es-CO"/>
        </w:rPr>
        <w:t xml:space="preserve"> al salir </w:t>
      </w:r>
      <w:r w:rsidR="003A7690" w:rsidRPr="009B137F">
        <w:rPr>
          <w:rFonts w:cs="Tahoma"/>
          <w:szCs w:val="24"/>
          <w:lang w:val="es-CO"/>
        </w:rPr>
        <w:t>avante</w:t>
      </w:r>
      <w:r w:rsidR="00592F3F" w:rsidRPr="009B137F">
        <w:rPr>
          <w:rFonts w:cs="Tahoma"/>
          <w:szCs w:val="24"/>
          <w:lang w:val="es-CO"/>
        </w:rPr>
        <w:t xml:space="preserve"> </w:t>
      </w:r>
      <w:r w:rsidR="003A7690" w:rsidRPr="009B137F">
        <w:rPr>
          <w:rFonts w:cs="Tahoma"/>
          <w:szCs w:val="24"/>
          <w:lang w:val="es-CO"/>
        </w:rPr>
        <w:t>una parte de las pretensiones (</w:t>
      </w:r>
      <w:r w:rsidR="0005004E" w:rsidRPr="009B137F">
        <w:rPr>
          <w:rFonts w:cs="Tahoma"/>
          <w:szCs w:val="24"/>
          <w:lang w:val="es-CO"/>
        </w:rPr>
        <w:t>las que no fueron afectadas de prescripción),</w:t>
      </w:r>
      <w:r w:rsidR="00592F3F" w:rsidRPr="009B137F">
        <w:rPr>
          <w:rFonts w:cs="Tahoma"/>
          <w:szCs w:val="24"/>
          <w:lang w:val="es-CO"/>
        </w:rPr>
        <w:t xml:space="preserve"> aunado a la prosperidad </w:t>
      </w:r>
      <w:r w:rsidR="00A94F4B" w:rsidRPr="009B137F">
        <w:rPr>
          <w:rFonts w:cs="Tahoma"/>
          <w:szCs w:val="24"/>
          <w:lang w:val="es-CO"/>
        </w:rPr>
        <w:t>parcial</w:t>
      </w:r>
      <w:r w:rsidR="00592F3F" w:rsidRPr="009B137F">
        <w:rPr>
          <w:rFonts w:cs="Tahoma"/>
          <w:szCs w:val="24"/>
          <w:lang w:val="es-CO"/>
        </w:rPr>
        <w:t xml:space="preserve"> del recurso de apelación</w:t>
      </w:r>
      <w:r w:rsidR="00222A05" w:rsidRPr="009B137F">
        <w:rPr>
          <w:rFonts w:cs="Tahoma"/>
          <w:szCs w:val="24"/>
          <w:lang w:val="es-CO"/>
        </w:rPr>
        <w:t xml:space="preserve">, </w:t>
      </w:r>
      <w:r w:rsidR="00AB6E98" w:rsidRPr="009B137F">
        <w:rPr>
          <w:rFonts w:cs="Tahoma"/>
          <w:szCs w:val="24"/>
          <w:lang w:val="es-CO"/>
        </w:rPr>
        <w:t>deviene</w:t>
      </w:r>
      <w:r w:rsidR="00303835" w:rsidRPr="009B137F">
        <w:rPr>
          <w:rFonts w:cs="Tahoma"/>
          <w:szCs w:val="24"/>
          <w:lang w:val="es-CO"/>
        </w:rPr>
        <w:t xml:space="preserve"> la tasación de las costas procesales de primera instancia en 80% </w:t>
      </w:r>
      <w:r w:rsidR="00592F3F" w:rsidRPr="009B137F">
        <w:rPr>
          <w:rFonts w:cs="Tahoma"/>
          <w:szCs w:val="24"/>
          <w:lang w:val="es-CO"/>
        </w:rPr>
        <w:t>a cargo de la demandada y a favor de la demandante</w:t>
      </w:r>
      <w:r w:rsidR="00667302" w:rsidRPr="009B137F">
        <w:rPr>
          <w:rFonts w:cs="Tahoma"/>
          <w:szCs w:val="24"/>
          <w:lang w:val="es-CO"/>
        </w:rPr>
        <w:t xml:space="preserve">, las cuales se liquidarán por el juzgado </w:t>
      </w:r>
      <w:r w:rsidR="00B61C07" w:rsidRPr="009B137F">
        <w:rPr>
          <w:rFonts w:cs="Tahoma"/>
          <w:szCs w:val="24"/>
          <w:lang w:val="es-CO"/>
        </w:rPr>
        <w:t>de origen.</w:t>
      </w:r>
    </w:p>
    <w:p w14:paraId="6071028E" w14:textId="171F57AA" w:rsidR="00667302" w:rsidRPr="009B137F" w:rsidRDefault="00667302" w:rsidP="009B137F">
      <w:pPr>
        <w:spacing w:line="276" w:lineRule="auto"/>
        <w:rPr>
          <w:rFonts w:cs="Tahoma"/>
          <w:szCs w:val="24"/>
          <w:lang w:val="es-CO"/>
        </w:rPr>
      </w:pPr>
    </w:p>
    <w:p w14:paraId="2872C384" w14:textId="28CBF1BA" w:rsidR="00667302" w:rsidRPr="009B137F" w:rsidRDefault="00667302" w:rsidP="009B137F">
      <w:pPr>
        <w:spacing w:line="276" w:lineRule="auto"/>
        <w:rPr>
          <w:rFonts w:cs="Tahoma"/>
          <w:szCs w:val="24"/>
          <w:lang w:val="es-CO"/>
        </w:rPr>
      </w:pPr>
      <w:r w:rsidRPr="009B137F">
        <w:rPr>
          <w:rFonts w:cs="Tahoma"/>
          <w:szCs w:val="24"/>
          <w:lang w:val="es-CO"/>
        </w:rPr>
        <w:tab/>
        <w:t>Sin costas en esta instancia por haber resultado favorable el recurso de apelación.</w:t>
      </w:r>
    </w:p>
    <w:p w14:paraId="518D6499" w14:textId="77777777" w:rsidR="00B61C07" w:rsidRPr="009B137F" w:rsidRDefault="00B61C07" w:rsidP="009B137F">
      <w:pPr>
        <w:spacing w:line="276" w:lineRule="auto"/>
        <w:ind w:firstLine="708"/>
        <w:rPr>
          <w:rFonts w:cs="Tahoma"/>
          <w:szCs w:val="24"/>
          <w:lang w:val="es-CO"/>
        </w:rPr>
      </w:pPr>
    </w:p>
    <w:p w14:paraId="4CFF5599" w14:textId="517780DF" w:rsidR="00B61C07" w:rsidRPr="009B137F" w:rsidRDefault="007A2FFA" w:rsidP="009B137F">
      <w:pPr>
        <w:spacing w:line="276" w:lineRule="auto"/>
        <w:ind w:firstLine="708"/>
        <w:rPr>
          <w:rFonts w:cs="Tahoma"/>
          <w:szCs w:val="24"/>
          <w:lang w:val="es-CO"/>
        </w:rPr>
      </w:pPr>
      <w:r w:rsidRPr="009B137F">
        <w:rPr>
          <w:rStyle w:val="normaltextrun"/>
          <w:rFonts w:cs="Tahoma"/>
          <w:color w:val="000000"/>
          <w:szCs w:val="24"/>
          <w:shd w:val="clear" w:color="auto" w:fill="FFFFFF"/>
        </w:rPr>
        <w:t xml:space="preserve">En mérito de lo expuesto, el </w:t>
      </w:r>
      <w:r w:rsidRPr="009B137F">
        <w:rPr>
          <w:rStyle w:val="normaltextrun"/>
          <w:rFonts w:cs="Tahoma"/>
          <w:b/>
          <w:bCs/>
          <w:color w:val="000000"/>
          <w:szCs w:val="24"/>
          <w:shd w:val="clear" w:color="auto" w:fill="FFFFFF"/>
        </w:rPr>
        <w:t>Tribunal Superior del Distrito Judicial de Pereira - Risaralda, Sala Primera de Decisión Laboral,</w:t>
      </w:r>
      <w:r w:rsidRPr="009B137F">
        <w:rPr>
          <w:rStyle w:val="normaltextrun"/>
          <w:rFonts w:cs="Tahoma"/>
          <w:color w:val="000000"/>
          <w:szCs w:val="24"/>
          <w:shd w:val="clear" w:color="auto" w:fill="FFFFFF"/>
        </w:rPr>
        <w:t xml:space="preserve"> administrando justicia en nombre de la República y por autoridad de la ley,</w:t>
      </w:r>
      <w:r w:rsidRPr="009B137F">
        <w:rPr>
          <w:rStyle w:val="eop"/>
          <w:rFonts w:cs="Tahoma"/>
          <w:color w:val="000000"/>
          <w:szCs w:val="24"/>
          <w:shd w:val="clear" w:color="auto" w:fill="FFFFFF"/>
        </w:rPr>
        <w:t> </w:t>
      </w:r>
    </w:p>
    <w:p w14:paraId="4A84D389" w14:textId="77777777" w:rsidR="001A51FC" w:rsidRPr="009B137F" w:rsidRDefault="001A51FC" w:rsidP="009B137F">
      <w:pPr>
        <w:spacing w:line="276" w:lineRule="auto"/>
        <w:ind w:firstLine="708"/>
        <w:rPr>
          <w:rFonts w:cs="Tahoma"/>
          <w:szCs w:val="24"/>
          <w:lang w:val="es-CO"/>
        </w:rPr>
      </w:pPr>
    </w:p>
    <w:p w14:paraId="7A839D7A" w14:textId="2ABE7837" w:rsidR="00B61C07" w:rsidRPr="009B137F" w:rsidRDefault="00B61C07" w:rsidP="009B137F">
      <w:pPr>
        <w:spacing w:line="276" w:lineRule="auto"/>
        <w:ind w:firstLine="708"/>
        <w:jc w:val="center"/>
        <w:rPr>
          <w:rFonts w:cs="Tahoma"/>
          <w:szCs w:val="24"/>
          <w:lang w:val="es-CO"/>
        </w:rPr>
      </w:pPr>
      <w:r w:rsidRPr="009B137F">
        <w:rPr>
          <w:rFonts w:cs="Tahoma"/>
          <w:b/>
          <w:bCs/>
          <w:szCs w:val="24"/>
        </w:rPr>
        <w:t>RESUELVE</w:t>
      </w:r>
    </w:p>
    <w:p w14:paraId="263D5BCA" w14:textId="77777777" w:rsidR="00B61C07" w:rsidRPr="009B137F" w:rsidRDefault="00B61C07" w:rsidP="009B137F">
      <w:pPr>
        <w:spacing w:line="276" w:lineRule="auto"/>
        <w:ind w:firstLine="708"/>
        <w:rPr>
          <w:rFonts w:cs="Tahoma"/>
          <w:szCs w:val="24"/>
          <w:lang w:val="es-CO"/>
        </w:rPr>
      </w:pPr>
      <w:r w:rsidRPr="009B137F">
        <w:rPr>
          <w:rFonts w:cs="Tahoma"/>
          <w:szCs w:val="24"/>
          <w:lang w:val="es-CO"/>
        </w:rPr>
        <w:t> </w:t>
      </w:r>
    </w:p>
    <w:p w14:paraId="5E6F04CC" w14:textId="7DB87CDD" w:rsidR="0034196E" w:rsidRPr="009B137F" w:rsidRDefault="00B61C07" w:rsidP="009B137F">
      <w:pPr>
        <w:spacing w:line="276" w:lineRule="auto"/>
        <w:ind w:firstLine="709"/>
        <w:rPr>
          <w:rFonts w:cs="Tahoma"/>
          <w:szCs w:val="24"/>
        </w:rPr>
      </w:pPr>
      <w:r w:rsidRPr="009B137F">
        <w:rPr>
          <w:rFonts w:cs="Tahoma"/>
          <w:b/>
          <w:bCs/>
          <w:szCs w:val="24"/>
          <w:u w:val="single"/>
        </w:rPr>
        <w:t>PRIMERO:</w:t>
      </w:r>
      <w:r w:rsidRPr="009B137F">
        <w:rPr>
          <w:rFonts w:cs="Tahoma"/>
          <w:b/>
          <w:bCs/>
          <w:szCs w:val="24"/>
        </w:rPr>
        <w:t xml:space="preserve"> </w:t>
      </w:r>
      <w:r w:rsidR="004F6C79" w:rsidRPr="009B137F">
        <w:rPr>
          <w:rFonts w:cs="Tahoma"/>
          <w:b/>
          <w:bCs/>
          <w:szCs w:val="24"/>
        </w:rPr>
        <w:t xml:space="preserve"> REVOCAR </w:t>
      </w:r>
      <w:r w:rsidR="004F6C79" w:rsidRPr="009B137F">
        <w:rPr>
          <w:rFonts w:cs="Tahoma"/>
          <w:szCs w:val="24"/>
        </w:rPr>
        <w:t>los ordinales</w:t>
      </w:r>
      <w:r w:rsidR="00E07882" w:rsidRPr="009B137F">
        <w:rPr>
          <w:rFonts w:cs="Tahoma"/>
          <w:szCs w:val="24"/>
        </w:rPr>
        <w:t xml:space="preserve"> quinto, sexto, séptimo y octavo de </w:t>
      </w:r>
      <w:r w:rsidRPr="009B137F">
        <w:rPr>
          <w:rFonts w:cs="Tahoma"/>
          <w:szCs w:val="24"/>
        </w:rPr>
        <w:t xml:space="preserve">la sentencia proferida el </w:t>
      </w:r>
      <w:r w:rsidR="00303835" w:rsidRPr="009B137F">
        <w:rPr>
          <w:rFonts w:cs="Tahoma"/>
          <w:szCs w:val="24"/>
        </w:rPr>
        <w:t xml:space="preserve">15 de julio </w:t>
      </w:r>
      <w:r w:rsidRPr="009B137F">
        <w:rPr>
          <w:rFonts w:cs="Tahoma"/>
          <w:szCs w:val="24"/>
        </w:rPr>
        <w:t>202</w:t>
      </w:r>
      <w:r w:rsidR="00303835" w:rsidRPr="009B137F">
        <w:rPr>
          <w:rFonts w:cs="Tahoma"/>
          <w:szCs w:val="24"/>
        </w:rPr>
        <w:t>1</w:t>
      </w:r>
      <w:r w:rsidRPr="009B137F">
        <w:rPr>
          <w:rFonts w:cs="Tahoma"/>
          <w:szCs w:val="24"/>
        </w:rPr>
        <w:t xml:space="preserve"> por el Juzgado </w:t>
      </w:r>
      <w:r w:rsidR="0034196E" w:rsidRPr="009B137F">
        <w:rPr>
          <w:rFonts w:cs="Tahoma"/>
          <w:szCs w:val="24"/>
        </w:rPr>
        <w:t>Tercero</w:t>
      </w:r>
      <w:r w:rsidRPr="009B137F">
        <w:rPr>
          <w:rFonts w:cs="Tahoma"/>
          <w:szCs w:val="24"/>
        </w:rPr>
        <w:t xml:space="preserve"> Laboral del Circuito</w:t>
      </w:r>
      <w:r w:rsidR="00667302" w:rsidRPr="009B137F">
        <w:rPr>
          <w:rFonts w:cs="Tahoma"/>
          <w:szCs w:val="24"/>
        </w:rPr>
        <w:t>, por las razones expuestas en la parte motiva de esta providencia, para en su lugar:</w:t>
      </w:r>
    </w:p>
    <w:p w14:paraId="79B34B09" w14:textId="4025CF72" w:rsidR="007F30C3" w:rsidRPr="009B137F" w:rsidRDefault="007F30C3" w:rsidP="009B137F">
      <w:pPr>
        <w:spacing w:line="276" w:lineRule="auto"/>
        <w:ind w:firstLine="709"/>
        <w:rPr>
          <w:rFonts w:cs="Tahoma"/>
          <w:szCs w:val="24"/>
        </w:rPr>
      </w:pPr>
    </w:p>
    <w:p w14:paraId="02864A47" w14:textId="45123FAB" w:rsidR="007F30C3" w:rsidRPr="009B137F" w:rsidRDefault="40561F0E" w:rsidP="00694B15">
      <w:pPr>
        <w:spacing w:line="276" w:lineRule="auto"/>
        <w:ind w:left="426" w:right="420" w:firstLine="709"/>
        <w:rPr>
          <w:rFonts w:eastAsia="Tahoma" w:cs="Tahoma"/>
          <w:i/>
          <w:iCs/>
          <w:szCs w:val="24"/>
        </w:rPr>
      </w:pPr>
      <w:r w:rsidRPr="009B137F">
        <w:rPr>
          <w:rFonts w:eastAsia="Tahoma" w:cs="Tahoma"/>
          <w:b/>
          <w:bCs/>
          <w:i/>
          <w:iCs/>
          <w:szCs w:val="24"/>
        </w:rPr>
        <w:lastRenderedPageBreak/>
        <w:t>“QUINTO: DECLARAR</w:t>
      </w:r>
      <w:r w:rsidR="00D14EBA" w:rsidRPr="009B137F">
        <w:rPr>
          <w:rFonts w:eastAsia="Tahoma" w:cs="Tahoma"/>
          <w:b/>
          <w:bCs/>
          <w:i/>
          <w:iCs/>
          <w:szCs w:val="24"/>
        </w:rPr>
        <w:t xml:space="preserve"> </w:t>
      </w:r>
      <w:r w:rsidR="00D14EBA" w:rsidRPr="009B137F">
        <w:rPr>
          <w:rFonts w:eastAsia="Tahoma" w:cs="Tahoma"/>
          <w:i/>
          <w:iCs/>
          <w:szCs w:val="24"/>
        </w:rPr>
        <w:t>probada parcialmente la excepción de prescripción,</w:t>
      </w:r>
      <w:r w:rsidR="00321C00" w:rsidRPr="009B137F">
        <w:rPr>
          <w:rFonts w:eastAsia="Tahoma" w:cs="Tahoma"/>
          <w:i/>
          <w:iCs/>
          <w:szCs w:val="24"/>
        </w:rPr>
        <w:t xml:space="preserve"> con efectos sobre las prestaciones sociales causadas con anteri</w:t>
      </w:r>
      <w:r w:rsidR="00D25E0A" w:rsidRPr="009B137F">
        <w:rPr>
          <w:rFonts w:eastAsia="Tahoma" w:cs="Tahoma"/>
          <w:i/>
          <w:iCs/>
          <w:szCs w:val="24"/>
        </w:rPr>
        <w:t xml:space="preserve">oridad al 05 de febrero de 2015, </w:t>
      </w:r>
      <w:r w:rsidR="00574026" w:rsidRPr="009B137F">
        <w:rPr>
          <w:rFonts w:eastAsia="Tahoma" w:cs="Tahoma"/>
          <w:i/>
          <w:iCs/>
          <w:szCs w:val="24"/>
        </w:rPr>
        <w:t>y la de compensación derivada de la suma cancelada de más por concepto de vacaciones.</w:t>
      </w:r>
    </w:p>
    <w:p w14:paraId="5D27A637" w14:textId="6B03717F" w:rsidR="007F30C3" w:rsidRPr="009B137F" w:rsidRDefault="007F30C3" w:rsidP="00694B15">
      <w:pPr>
        <w:spacing w:line="276" w:lineRule="auto"/>
        <w:ind w:left="426" w:right="420" w:firstLine="709"/>
        <w:rPr>
          <w:rFonts w:eastAsia="Tahoma" w:cs="Tahoma"/>
          <w:i/>
          <w:iCs/>
          <w:szCs w:val="24"/>
        </w:rPr>
      </w:pPr>
    </w:p>
    <w:p w14:paraId="034010B6" w14:textId="7F9D6837" w:rsidR="007F30C3" w:rsidRPr="009B137F" w:rsidRDefault="40561F0E" w:rsidP="00694B15">
      <w:pPr>
        <w:spacing w:line="276" w:lineRule="auto"/>
        <w:ind w:left="426" w:right="420" w:firstLine="709"/>
        <w:rPr>
          <w:rFonts w:eastAsia="Tahoma" w:cs="Tahoma"/>
          <w:i/>
          <w:iCs/>
          <w:szCs w:val="24"/>
        </w:rPr>
      </w:pPr>
      <w:r w:rsidRPr="009B137F">
        <w:rPr>
          <w:rFonts w:eastAsia="Tahoma" w:cs="Tahoma"/>
          <w:b/>
          <w:bCs/>
          <w:i/>
          <w:iCs/>
          <w:szCs w:val="24"/>
        </w:rPr>
        <w:t>SEXTO:</w:t>
      </w:r>
      <w:r w:rsidRPr="009B137F">
        <w:rPr>
          <w:rFonts w:eastAsia="Tahoma" w:cs="Tahoma"/>
          <w:i/>
          <w:iCs/>
          <w:szCs w:val="24"/>
        </w:rPr>
        <w:t xml:space="preserve"> </w:t>
      </w:r>
      <w:r w:rsidR="007F30C3" w:rsidRPr="009B137F">
        <w:rPr>
          <w:rFonts w:eastAsia="Tahoma" w:cs="Tahoma"/>
          <w:b/>
          <w:bCs/>
          <w:i/>
          <w:iCs/>
          <w:szCs w:val="24"/>
        </w:rPr>
        <w:t xml:space="preserve">CONDENAR </w:t>
      </w:r>
      <w:r w:rsidR="007F30C3" w:rsidRPr="009B137F">
        <w:rPr>
          <w:rFonts w:eastAsia="Tahoma" w:cs="Tahoma"/>
          <w:i/>
          <w:iCs/>
          <w:szCs w:val="24"/>
        </w:rPr>
        <w:t xml:space="preserve">a </w:t>
      </w:r>
      <w:r w:rsidR="007F30C3" w:rsidRPr="009B137F">
        <w:rPr>
          <w:rFonts w:eastAsia="Tahoma" w:cs="Tahoma"/>
          <w:b/>
          <w:bCs/>
          <w:i/>
          <w:iCs/>
          <w:szCs w:val="24"/>
        </w:rPr>
        <w:t xml:space="preserve">Telemark </w:t>
      </w:r>
      <w:proofErr w:type="spellStart"/>
      <w:r w:rsidR="007F30C3" w:rsidRPr="009B137F">
        <w:rPr>
          <w:rFonts w:eastAsia="Tahoma" w:cs="Tahoma"/>
          <w:b/>
          <w:bCs/>
          <w:i/>
          <w:iCs/>
          <w:szCs w:val="24"/>
        </w:rPr>
        <w:t>Spain</w:t>
      </w:r>
      <w:proofErr w:type="spellEnd"/>
      <w:r w:rsidR="007F30C3" w:rsidRPr="009B137F">
        <w:rPr>
          <w:rFonts w:eastAsia="Tahoma" w:cs="Tahoma"/>
          <w:b/>
          <w:bCs/>
          <w:i/>
          <w:iCs/>
          <w:szCs w:val="24"/>
        </w:rPr>
        <w:t xml:space="preserve"> S.L </w:t>
      </w:r>
      <w:r w:rsidR="007F30C3" w:rsidRPr="009B137F">
        <w:rPr>
          <w:rFonts w:eastAsia="Tahoma" w:cs="Tahoma"/>
          <w:i/>
          <w:iCs/>
          <w:szCs w:val="24"/>
        </w:rPr>
        <w:t xml:space="preserve">a pagar a la señora </w:t>
      </w:r>
      <w:r w:rsidR="00F40C25" w:rsidRPr="009B137F">
        <w:rPr>
          <w:rFonts w:eastAsia="Tahoma" w:cs="Tahoma"/>
          <w:b/>
          <w:bCs/>
          <w:i/>
          <w:iCs/>
          <w:szCs w:val="24"/>
        </w:rPr>
        <w:t xml:space="preserve">Ángela María Hernández Cano </w:t>
      </w:r>
      <w:r w:rsidR="007F30C3" w:rsidRPr="009B137F">
        <w:rPr>
          <w:rFonts w:eastAsia="Tahoma" w:cs="Tahoma"/>
          <w:i/>
          <w:iCs/>
          <w:szCs w:val="24"/>
        </w:rPr>
        <w:t xml:space="preserve">la suma de </w:t>
      </w:r>
      <w:r w:rsidR="00737527" w:rsidRPr="009B137F">
        <w:rPr>
          <w:rFonts w:eastAsia="Tahoma" w:cs="Tahoma"/>
          <w:b/>
          <w:bCs/>
          <w:i/>
          <w:iCs/>
          <w:szCs w:val="24"/>
        </w:rPr>
        <w:t xml:space="preserve">$158.570 </w:t>
      </w:r>
      <w:r w:rsidR="0058482C" w:rsidRPr="009B137F">
        <w:rPr>
          <w:rFonts w:eastAsia="Tahoma" w:cs="Tahoma"/>
          <w:i/>
          <w:iCs/>
          <w:szCs w:val="24"/>
        </w:rPr>
        <w:t xml:space="preserve">por concepto de reliquidación de </w:t>
      </w:r>
      <w:r w:rsidR="00787E52" w:rsidRPr="009B137F">
        <w:rPr>
          <w:rFonts w:eastAsia="Tahoma" w:cs="Tahoma"/>
          <w:i/>
          <w:iCs/>
          <w:szCs w:val="24"/>
        </w:rPr>
        <w:t>cesantías</w:t>
      </w:r>
      <w:r w:rsidR="00737527" w:rsidRPr="009B137F">
        <w:rPr>
          <w:rFonts w:eastAsia="Tahoma" w:cs="Tahoma"/>
          <w:i/>
          <w:iCs/>
          <w:szCs w:val="24"/>
        </w:rPr>
        <w:t xml:space="preserve">, intereses a las cesantías y </w:t>
      </w:r>
      <w:r w:rsidR="00787E52" w:rsidRPr="009B137F">
        <w:rPr>
          <w:rFonts w:eastAsia="Tahoma" w:cs="Tahoma"/>
          <w:i/>
          <w:iCs/>
          <w:szCs w:val="24"/>
        </w:rPr>
        <w:t>prima de servicios</w:t>
      </w:r>
      <w:r w:rsidR="00F315BF" w:rsidRPr="009B137F">
        <w:rPr>
          <w:rFonts w:eastAsia="Tahoma" w:cs="Tahoma"/>
          <w:i/>
          <w:iCs/>
          <w:szCs w:val="24"/>
        </w:rPr>
        <w:t>.</w:t>
      </w:r>
    </w:p>
    <w:p w14:paraId="3AC32979" w14:textId="77777777" w:rsidR="00787E52" w:rsidRPr="009B137F" w:rsidRDefault="00787E52" w:rsidP="00694B15">
      <w:pPr>
        <w:spacing w:line="276" w:lineRule="auto"/>
        <w:ind w:left="426" w:right="420" w:firstLine="708"/>
        <w:rPr>
          <w:rFonts w:eastAsia="Tahoma" w:cs="Tahoma"/>
          <w:i/>
          <w:iCs/>
          <w:szCs w:val="24"/>
        </w:rPr>
      </w:pPr>
    </w:p>
    <w:p w14:paraId="6598C29D" w14:textId="2CB5E2BC" w:rsidR="00CD4944" w:rsidRPr="009B137F" w:rsidRDefault="007F30C3" w:rsidP="00694B15">
      <w:pPr>
        <w:spacing w:line="276" w:lineRule="auto"/>
        <w:ind w:left="426" w:right="420" w:firstLine="708"/>
        <w:rPr>
          <w:rFonts w:eastAsia="Tahoma" w:cs="Tahoma"/>
          <w:i/>
          <w:iCs/>
          <w:szCs w:val="24"/>
        </w:rPr>
      </w:pPr>
      <w:r w:rsidRPr="009B137F">
        <w:rPr>
          <w:rFonts w:eastAsia="Tahoma" w:cs="Tahoma"/>
          <w:b/>
          <w:bCs/>
          <w:i/>
          <w:iCs/>
          <w:szCs w:val="24"/>
        </w:rPr>
        <w:t xml:space="preserve">SÉPTIMO: CONDENAR </w:t>
      </w:r>
      <w:r w:rsidRPr="009B137F">
        <w:rPr>
          <w:rFonts w:eastAsia="Tahoma" w:cs="Tahoma"/>
          <w:i/>
          <w:iCs/>
          <w:szCs w:val="24"/>
        </w:rPr>
        <w:t xml:space="preserve">a </w:t>
      </w:r>
      <w:r w:rsidRPr="009B137F">
        <w:rPr>
          <w:rFonts w:eastAsia="Tahoma" w:cs="Tahoma"/>
          <w:b/>
          <w:bCs/>
          <w:i/>
          <w:iCs/>
          <w:szCs w:val="24"/>
        </w:rPr>
        <w:t xml:space="preserve">Telemark </w:t>
      </w:r>
      <w:proofErr w:type="spellStart"/>
      <w:r w:rsidRPr="009B137F">
        <w:rPr>
          <w:rFonts w:eastAsia="Tahoma" w:cs="Tahoma"/>
          <w:b/>
          <w:bCs/>
          <w:i/>
          <w:iCs/>
          <w:szCs w:val="24"/>
        </w:rPr>
        <w:t>Spain</w:t>
      </w:r>
      <w:proofErr w:type="spellEnd"/>
      <w:r w:rsidRPr="009B137F">
        <w:rPr>
          <w:rFonts w:eastAsia="Tahoma" w:cs="Tahoma"/>
          <w:b/>
          <w:bCs/>
          <w:i/>
          <w:iCs/>
          <w:szCs w:val="24"/>
        </w:rPr>
        <w:t xml:space="preserve"> S.L </w:t>
      </w:r>
      <w:r w:rsidR="00CD4944" w:rsidRPr="009B137F">
        <w:rPr>
          <w:rFonts w:eastAsia="Tahoma" w:cs="Tahoma"/>
          <w:i/>
          <w:iCs/>
          <w:szCs w:val="24"/>
        </w:rPr>
        <w:t xml:space="preserve">al pago de intereses moratorios sobre las prestaciones sociales debidas a la máxima tasa autorizada por la Superintendencia Financiera </w:t>
      </w:r>
      <w:r w:rsidR="00AD4094" w:rsidRPr="009B137F">
        <w:rPr>
          <w:rFonts w:eastAsia="Tahoma" w:cs="Tahoma"/>
          <w:i/>
          <w:iCs/>
          <w:szCs w:val="24"/>
        </w:rPr>
        <w:t>a partir d</w:t>
      </w:r>
      <w:r w:rsidR="00CD4944" w:rsidRPr="009B137F">
        <w:rPr>
          <w:rFonts w:eastAsia="Tahoma" w:cs="Tahoma"/>
          <w:i/>
          <w:iCs/>
          <w:szCs w:val="24"/>
        </w:rPr>
        <w:t xml:space="preserve">el </w:t>
      </w:r>
      <w:r w:rsidR="005E1D15" w:rsidRPr="009B137F">
        <w:rPr>
          <w:rFonts w:eastAsia="Tahoma" w:cs="Tahoma"/>
          <w:i/>
          <w:iCs/>
          <w:szCs w:val="24"/>
        </w:rPr>
        <w:t xml:space="preserve">20 de noviembre de 2015 </w:t>
      </w:r>
      <w:r w:rsidR="00CD4944" w:rsidRPr="009B137F">
        <w:rPr>
          <w:rFonts w:eastAsia="Tahoma" w:cs="Tahoma"/>
          <w:i/>
          <w:iCs/>
          <w:szCs w:val="24"/>
        </w:rPr>
        <w:t>y hasta que se verifique el pago</w:t>
      </w:r>
      <w:r w:rsidR="00AD4094" w:rsidRPr="009B137F">
        <w:rPr>
          <w:rFonts w:eastAsia="Tahoma" w:cs="Tahoma"/>
          <w:i/>
          <w:iCs/>
          <w:szCs w:val="24"/>
        </w:rPr>
        <w:t xml:space="preserve"> total de la obligación.</w:t>
      </w:r>
    </w:p>
    <w:p w14:paraId="4BF2B4CF" w14:textId="45E8065B" w:rsidR="40561F0E" w:rsidRPr="009B137F" w:rsidRDefault="40561F0E" w:rsidP="00694B15">
      <w:pPr>
        <w:spacing w:line="276" w:lineRule="auto"/>
        <w:ind w:left="426" w:right="420" w:firstLine="708"/>
        <w:rPr>
          <w:rFonts w:eastAsia="Tahoma" w:cs="Tahoma"/>
          <w:i/>
          <w:iCs/>
          <w:szCs w:val="24"/>
        </w:rPr>
      </w:pPr>
    </w:p>
    <w:p w14:paraId="462C0015" w14:textId="6A9F1386" w:rsidR="40561F0E" w:rsidRPr="009B137F" w:rsidRDefault="40561F0E" w:rsidP="00694B15">
      <w:pPr>
        <w:spacing w:line="276" w:lineRule="auto"/>
        <w:ind w:left="426" w:right="420" w:firstLine="708"/>
        <w:rPr>
          <w:rFonts w:eastAsia="Tahoma" w:cs="Tahoma"/>
          <w:i/>
          <w:iCs/>
          <w:szCs w:val="24"/>
        </w:rPr>
      </w:pPr>
      <w:r w:rsidRPr="009B137F">
        <w:rPr>
          <w:rFonts w:eastAsia="Tahoma" w:cs="Tahoma"/>
          <w:b/>
          <w:bCs/>
          <w:i/>
          <w:iCs/>
          <w:szCs w:val="24"/>
        </w:rPr>
        <w:t>OCTAVO: CONDENAR</w:t>
      </w:r>
      <w:r w:rsidRPr="009B137F">
        <w:rPr>
          <w:rFonts w:eastAsia="Tahoma" w:cs="Tahoma"/>
          <w:i/>
          <w:iCs/>
          <w:szCs w:val="24"/>
        </w:rPr>
        <w:t xml:space="preserve"> en costas procesales a la entidad </w:t>
      </w:r>
      <w:r w:rsidRPr="009B137F">
        <w:rPr>
          <w:rFonts w:eastAsia="Tahoma" w:cs="Tahoma"/>
          <w:b/>
          <w:bCs/>
          <w:i/>
          <w:iCs/>
          <w:szCs w:val="24"/>
        </w:rPr>
        <w:t xml:space="preserve">Telemark </w:t>
      </w:r>
      <w:proofErr w:type="spellStart"/>
      <w:r w:rsidRPr="009B137F">
        <w:rPr>
          <w:rFonts w:eastAsia="Tahoma" w:cs="Tahoma"/>
          <w:b/>
          <w:bCs/>
          <w:i/>
          <w:iCs/>
          <w:szCs w:val="24"/>
        </w:rPr>
        <w:t>Spain</w:t>
      </w:r>
      <w:proofErr w:type="spellEnd"/>
      <w:r w:rsidRPr="009B137F">
        <w:rPr>
          <w:rFonts w:eastAsia="Tahoma" w:cs="Tahoma"/>
          <w:b/>
          <w:bCs/>
          <w:i/>
          <w:iCs/>
          <w:szCs w:val="24"/>
        </w:rPr>
        <w:t xml:space="preserve"> SL </w:t>
      </w:r>
      <w:r w:rsidRPr="009B137F">
        <w:rPr>
          <w:rFonts w:eastAsia="Tahoma" w:cs="Tahoma"/>
          <w:i/>
          <w:iCs/>
          <w:szCs w:val="24"/>
        </w:rPr>
        <w:t>en cuantía equivalente al 80% de las causadas a favor de la demandante.”</w:t>
      </w:r>
    </w:p>
    <w:p w14:paraId="6E30FC32" w14:textId="5A5B5C05" w:rsidR="007F30C3" w:rsidRPr="009B137F" w:rsidRDefault="007F30C3" w:rsidP="009B137F">
      <w:pPr>
        <w:spacing w:line="276" w:lineRule="auto"/>
        <w:rPr>
          <w:rFonts w:cs="Tahoma"/>
          <w:color w:val="FF0000"/>
          <w:szCs w:val="24"/>
        </w:rPr>
      </w:pPr>
    </w:p>
    <w:p w14:paraId="6847FC81" w14:textId="07DDED23" w:rsidR="007F30C3" w:rsidRPr="009B137F" w:rsidRDefault="007F30C3" w:rsidP="009B137F">
      <w:pPr>
        <w:spacing w:line="276" w:lineRule="auto"/>
        <w:ind w:firstLine="708"/>
        <w:rPr>
          <w:rFonts w:cs="Tahoma"/>
          <w:szCs w:val="24"/>
        </w:rPr>
      </w:pPr>
      <w:r w:rsidRPr="009B137F">
        <w:rPr>
          <w:rFonts w:cs="Tahoma"/>
          <w:b/>
          <w:bCs/>
          <w:szCs w:val="24"/>
          <w:u w:val="single"/>
        </w:rPr>
        <w:t>SEGUNDO:</w:t>
      </w:r>
      <w:r w:rsidRPr="009B137F">
        <w:rPr>
          <w:rFonts w:cs="Tahoma"/>
          <w:b/>
          <w:bCs/>
          <w:szCs w:val="24"/>
        </w:rPr>
        <w:t xml:space="preserve"> </w:t>
      </w:r>
      <w:r w:rsidR="005818F4" w:rsidRPr="009B137F">
        <w:rPr>
          <w:rFonts w:cs="Tahoma"/>
          <w:b/>
          <w:bCs/>
          <w:szCs w:val="24"/>
        </w:rPr>
        <w:t xml:space="preserve">CONFIRMAR </w:t>
      </w:r>
      <w:r w:rsidR="005818F4" w:rsidRPr="009B137F">
        <w:rPr>
          <w:rFonts w:cs="Tahoma"/>
          <w:szCs w:val="24"/>
        </w:rPr>
        <w:t>la sentencia recurrida en todo lo demás.</w:t>
      </w:r>
    </w:p>
    <w:p w14:paraId="0FE73F13" w14:textId="495FD413" w:rsidR="40561F0E" w:rsidRPr="009B137F" w:rsidRDefault="40561F0E" w:rsidP="009B137F">
      <w:pPr>
        <w:spacing w:line="276" w:lineRule="auto"/>
        <w:ind w:firstLine="708"/>
        <w:rPr>
          <w:rFonts w:cs="Tahoma"/>
          <w:szCs w:val="24"/>
          <w:lang w:val="es-CO"/>
        </w:rPr>
      </w:pPr>
    </w:p>
    <w:p w14:paraId="621E4E23" w14:textId="6C917ED3" w:rsidR="40561F0E" w:rsidRPr="009B137F" w:rsidRDefault="40561F0E" w:rsidP="009B137F">
      <w:pPr>
        <w:spacing w:line="276" w:lineRule="auto"/>
        <w:ind w:firstLine="708"/>
        <w:rPr>
          <w:rFonts w:cs="Tahoma"/>
          <w:szCs w:val="24"/>
        </w:rPr>
      </w:pPr>
      <w:r w:rsidRPr="009B137F">
        <w:rPr>
          <w:rFonts w:cs="Tahoma"/>
          <w:b/>
          <w:bCs/>
          <w:szCs w:val="24"/>
          <w:u w:val="single"/>
        </w:rPr>
        <w:t>TERCERO:</w:t>
      </w:r>
      <w:r w:rsidRPr="009B137F">
        <w:rPr>
          <w:rFonts w:cs="Tahoma"/>
          <w:szCs w:val="24"/>
        </w:rPr>
        <w:t xml:space="preserve"> Sin costas en esta instancia procesal.</w:t>
      </w:r>
    </w:p>
    <w:p w14:paraId="751F86F7" w14:textId="10368FA4" w:rsidR="00B61C07" w:rsidRPr="009B137F" w:rsidRDefault="00B61C07" w:rsidP="009B137F">
      <w:pPr>
        <w:spacing w:line="276" w:lineRule="auto"/>
        <w:textAlignment w:val="baseline"/>
        <w:rPr>
          <w:rFonts w:cs="Tahoma"/>
          <w:szCs w:val="24"/>
          <w:lang w:eastAsia="es-CO"/>
        </w:rPr>
      </w:pPr>
    </w:p>
    <w:p w14:paraId="5589A1F9" w14:textId="77777777" w:rsidR="00B61C07" w:rsidRPr="009B137F" w:rsidRDefault="00B61C07" w:rsidP="009B137F">
      <w:pPr>
        <w:spacing w:line="276" w:lineRule="auto"/>
        <w:ind w:firstLine="709"/>
        <w:rPr>
          <w:rFonts w:cs="Tahoma"/>
          <w:szCs w:val="24"/>
        </w:rPr>
      </w:pPr>
      <w:r w:rsidRPr="009B137F">
        <w:rPr>
          <w:rFonts w:eastAsia="Tahoma" w:cs="Tahoma"/>
          <w:b/>
          <w:bCs/>
          <w:szCs w:val="24"/>
        </w:rPr>
        <w:t>Notifíquese y cúmplase.</w:t>
      </w:r>
    </w:p>
    <w:p w14:paraId="4DB6891D" w14:textId="77777777" w:rsidR="009B137F" w:rsidRPr="009B137F" w:rsidRDefault="009B137F" w:rsidP="009B137F">
      <w:pPr>
        <w:spacing w:line="276" w:lineRule="auto"/>
        <w:rPr>
          <w:rFonts w:eastAsia="Segoe UI" w:cs="Tahoma"/>
          <w:szCs w:val="24"/>
          <w:lang w:val="es-CO" w:eastAsia="es-CO"/>
        </w:rPr>
      </w:pPr>
    </w:p>
    <w:p w14:paraId="6EB6EB15" w14:textId="77777777" w:rsidR="009B137F" w:rsidRPr="009B137F" w:rsidRDefault="009B137F" w:rsidP="009B137F">
      <w:pPr>
        <w:widowControl w:val="0"/>
        <w:autoSpaceDE w:val="0"/>
        <w:autoSpaceDN w:val="0"/>
        <w:adjustRightInd w:val="0"/>
        <w:spacing w:line="276" w:lineRule="auto"/>
        <w:rPr>
          <w:rFonts w:eastAsia="Times New Roman" w:cs="Tahoma"/>
          <w:szCs w:val="24"/>
          <w:lang w:eastAsia="es-ES"/>
        </w:rPr>
      </w:pPr>
      <w:r w:rsidRPr="009B137F">
        <w:rPr>
          <w:rFonts w:eastAsia="Times New Roman" w:cs="Tahoma"/>
          <w:szCs w:val="24"/>
          <w:lang w:eastAsia="es-ES"/>
        </w:rPr>
        <w:tab/>
        <w:t>La Magistrada ponente,</w:t>
      </w:r>
    </w:p>
    <w:p w14:paraId="7A6584C1" w14:textId="77777777" w:rsidR="009B137F" w:rsidRPr="009B137F" w:rsidRDefault="009B137F" w:rsidP="009B137F">
      <w:pPr>
        <w:spacing w:line="276" w:lineRule="auto"/>
        <w:jc w:val="left"/>
        <w:rPr>
          <w:rFonts w:eastAsia="Times New Roman" w:cs="Tahoma"/>
          <w:szCs w:val="24"/>
          <w:lang w:eastAsia="es-ES"/>
        </w:rPr>
      </w:pPr>
    </w:p>
    <w:p w14:paraId="23A2D155" w14:textId="77777777" w:rsidR="009B137F" w:rsidRPr="009B137F" w:rsidRDefault="009B137F" w:rsidP="009B137F">
      <w:pPr>
        <w:spacing w:line="276" w:lineRule="auto"/>
        <w:jc w:val="left"/>
        <w:rPr>
          <w:rFonts w:eastAsia="Times New Roman" w:cs="Tahoma"/>
          <w:szCs w:val="24"/>
          <w:lang w:eastAsia="es-ES"/>
        </w:rPr>
      </w:pPr>
    </w:p>
    <w:p w14:paraId="38456F0A" w14:textId="77777777" w:rsidR="009B137F" w:rsidRPr="009B137F" w:rsidRDefault="009B137F" w:rsidP="009B137F">
      <w:pPr>
        <w:spacing w:line="276" w:lineRule="auto"/>
        <w:jc w:val="left"/>
        <w:rPr>
          <w:rFonts w:eastAsia="Times New Roman" w:cs="Tahoma"/>
          <w:szCs w:val="24"/>
          <w:lang w:eastAsia="es-ES"/>
        </w:rPr>
      </w:pPr>
    </w:p>
    <w:p w14:paraId="5AC19F35" w14:textId="77777777" w:rsidR="009B137F" w:rsidRPr="009B137F" w:rsidRDefault="009B137F" w:rsidP="009B137F">
      <w:pPr>
        <w:keepNext/>
        <w:spacing w:line="276" w:lineRule="auto"/>
        <w:jc w:val="center"/>
        <w:outlineLvl w:val="2"/>
        <w:rPr>
          <w:rFonts w:eastAsia="Times New Roman" w:cs="Tahoma"/>
          <w:b/>
          <w:bCs/>
          <w:szCs w:val="24"/>
          <w:lang w:eastAsia="es-ES"/>
        </w:rPr>
      </w:pPr>
      <w:r w:rsidRPr="009B137F">
        <w:rPr>
          <w:rFonts w:eastAsia="Times New Roman" w:cs="Tahoma"/>
          <w:b/>
          <w:bCs/>
          <w:szCs w:val="24"/>
          <w:lang w:eastAsia="es-ES"/>
        </w:rPr>
        <w:t>ANA LUCÍA CAICEDO CALDERÓN</w:t>
      </w:r>
    </w:p>
    <w:p w14:paraId="5105A685" w14:textId="77777777" w:rsidR="009B137F" w:rsidRPr="009B137F" w:rsidRDefault="009B137F" w:rsidP="009B137F">
      <w:pPr>
        <w:spacing w:line="276" w:lineRule="auto"/>
        <w:jc w:val="left"/>
        <w:rPr>
          <w:rFonts w:eastAsia="Times New Roman" w:cs="Tahoma"/>
          <w:szCs w:val="24"/>
          <w:lang w:eastAsia="es-ES"/>
        </w:rPr>
      </w:pPr>
    </w:p>
    <w:p w14:paraId="60D2163B" w14:textId="77777777" w:rsidR="009B137F" w:rsidRPr="009B137F" w:rsidRDefault="009B137F" w:rsidP="009B137F">
      <w:pPr>
        <w:spacing w:line="276" w:lineRule="auto"/>
        <w:ind w:firstLine="708"/>
        <w:jc w:val="left"/>
        <w:rPr>
          <w:rFonts w:eastAsia="Times New Roman" w:cs="Tahoma"/>
          <w:szCs w:val="24"/>
          <w:lang w:eastAsia="es-ES"/>
        </w:rPr>
      </w:pPr>
      <w:bookmarkStart w:id="12" w:name="_Hlk62478330"/>
      <w:r w:rsidRPr="009B137F">
        <w:rPr>
          <w:rFonts w:eastAsia="Times New Roman" w:cs="Tahoma"/>
          <w:szCs w:val="24"/>
          <w:lang w:eastAsia="es-ES"/>
        </w:rPr>
        <w:t>La Magistrada y el Magistrado,</w:t>
      </w:r>
    </w:p>
    <w:p w14:paraId="76ABAE12" w14:textId="77777777" w:rsidR="009B137F" w:rsidRPr="009B137F" w:rsidRDefault="009B137F" w:rsidP="009B137F">
      <w:pPr>
        <w:spacing w:line="276" w:lineRule="auto"/>
        <w:jc w:val="left"/>
        <w:rPr>
          <w:rFonts w:eastAsia="Times New Roman" w:cs="Tahoma"/>
          <w:szCs w:val="24"/>
          <w:lang w:eastAsia="es-ES"/>
        </w:rPr>
      </w:pPr>
    </w:p>
    <w:p w14:paraId="3341E42C" w14:textId="77777777" w:rsidR="009B137F" w:rsidRPr="009B137F" w:rsidRDefault="009B137F" w:rsidP="009B137F">
      <w:pPr>
        <w:spacing w:line="276" w:lineRule="auto"/>
        <w:jc w:val="left"/>
        <w:rPr>
          <w:rFonts w:eastAsia="Times New Roman" w:cs="Tahoma"/>
          <w:szCs w:val="24"/>
          <w:lang w:eastAsia="es-ES"/>
        </w:rPr>
      </w:pPr>
    </w:p>
    <w:p w14:paraId="01DB3ABD" w14:textId="77777777" w:rsidR="009B137F" w:rsidRPr="009B137F" w:rsidRDefault="009B137F" w:rsidP="009B137F">
      <w:pPr>
        <w:spacing w:line="276" w:lineRule="auto"/>
        <w:jc w:val="left"/>
        <w:rPr>
          <w:rFonts w:eastAsia="Times New Roman" w:cs="Tahoma"/>
          <w:szCs w:val="24"/>
          <w:lang w:eastAsia="es-ES"/>
        </w:rPr>
      </w:pPr>
    </w:p>
    <w:p w14:paraId="5FA91A92" w14:textId="2442EEBA" w:rsidR="00975E71" w:rsidRPr="009B137F" w:rsidRDefault="009B137F" w:rsidP="009B137F">
      <w:pPr>
        <w:spacing w:line="276" w:lineRule="auto"/>
        <w:rPr>
          <w:rFonts w:eastAsia="Times New Roman" w:cs="Tahoma"/>
          <w:b/>
          <w:bCs/>
          <w:szCs w:val="24"/>
          <w:lang w:eastAsia="es-ES"/>
        </w:rPr>
      </w:pPr>
      <w:r w:rsidRPr="009B137F">
        <w:rPr>
          <w:rFonts w:eastAsia="Times New Roman" w:cs="Tahoma"/>
          <w:b/>
          <w:bCs/>
          <w:szCs w:val="24"/>
          <w:lang w:eastAsia="es-ES"/>
        </w:rPr>
        <w:t>OLGA LUCÍA HOYOS SEPÚLVEDA</w:t>
      </w:r>
      <w:r w:rsidRPr="009B137F">
        <w:rPr>
          <w:rFonts w:eastAsia="Times New Roman" w:cs="Tahoma"/>
          <w:b/>
          <w:bCs/>
          <w:szCs w:val="24"/>
          <w:lang w:eastAsia="es-ES"/>
        </w:rPr>
        <w:tab/>
      </w:r>
      <w:r w:rsidRPr="009B137F">
        <w:rPr>
          <w:rFonts w:eastAsia="Times New Roman" w:cs="Tahoma"/>
          <w:b/>
          <w:bCs/>
          <w:szCs w:val="24"/>
          <w:lang w:eastAsia="es-ES"/>
        </w:rPr>
        <w:tab/>
        <w:t>GERMÁN DARÍO GÓEZ VINASCO</w:t>
      </w:r>
      <w:bookmarkEnd w:id="12"/>
    </w:p>
    <w:sectPr w:rsidR="00975E71" w:rsidRPr="009B137F" w:rsidSect="000F2D29">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C9B8BB" w16cex:dateUtc="2022-07-07T12:32:36.437Z"/>
  <w16cex:commentExtensible w16cex:durableId="42B7BC34" w16cex:dateUtc="2022-07-07T18:12:20.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9274C" w14:textId="77777777" w:rsidR="00940467" w:rsidRDefault="00940467" w:rsidP="00B02A64">
      <w:pPr>
        <w:spacing w:line="240" w:lineRule="auto"/>
      </w:pPr>
      <w:r>
        <w:separator/>
      </w:r>
    </w:p>
  </w:endnote>
  <w:endnote w:type="continuationSeparator" w:id="0">
    <w:p w14:paraId="6270A54E" w14:textId="77777777" w:rsidR="00940467" w:rsidRDefault="00940467"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D077" w14:textId="77777777" w:rsidR="00940467" w:rsidRDefault="00940467" w:rsidP="00B02A64">
      <w:pPr>
        <w:spacing w:line="240" w:lineRule="auto"/>
      </w:pPr>
      <w:r>
        <w:separator/>
      </w:r>
    </w:p>
  </w:footnote>
  <w:footnote w:type="continuationSeparator" w:id="0">
    <w:p w14:paraId="0240F83B" w14:textId="77777777" w:rsidR="00940467" w:rsidRDefault="00940467" w:rsidP="00B02A64">
      <w:pPr>
        <w:spacing w:line="240" w:lineRule="auto"/>
      </w:pPr>
      <w:r>
        <w:continuationSeparator/>
      </w:r>
    </w:p>
  </w:footnote>
  <w:footnote w:id="1">
    <w:p w14:paraId="6D8EC32F" w14:textId="3A7DFC44" w:rsidR="00C16E1B" w:rsidRPr="00E20FD3" w:rsidRDefault="00C16E1B"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w:t>
      </w:r>
      <w:r w:rsidR="0004694C" w:rsidRPr="00E20FD3">
        <w:rPr>
          <w:rFonts w:ascii="Arial" w:hAnsi="Arial" w:cs="Arial"/>
          <w:sz w:val="18"/>
          <w:szCs w:val="18"/>
        </w:rPr>
        <w:t>Página</w:t>
      </w:r>
      <w:r w:rsidR="00716168" w:rsidRPr="00E20FD3">
        <w:rPr>
          <w:rFonts w:ascii="Arial" w:hAnsi="Arial" w:cs="Arial"/>
          <w:sz w:val="18"/>
          <w:szCs w:val="18"/>
        </w:rPr>
        <w:t xml:space="preserve"> 39 del expediente digitalizado, cuaderno de primera instancia.</w:t>
      </w:r>
    </w:p>
  </w:footnote>
  <w:footnote w:id="2">
    <w:p w14:paraId="419534B9" w14:textId="5E679803" w:rsidR="004005D5" w:rsidRPr="00E20FD3" w:rsidRDefault="004005D5"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w:t>
      </w:r>
      <w:r w:rsidR="0004694C" w:rsidRPr="00E20FD3">
        <w:rPr>
          <w:rFonts w:ascii="Arial" w:hAnsi="Arial" w:cs="Arial"/>
          <w:sz w:val="18"/>
          <w:szCs w:val="18"/>
        </w:rPr>
        <w:t>Página</w:t>
      </w:r>
      <w:r w:rsidRPr="00E20FD3">
        <w:rPr>
          <w:rFonts w:ascii="Arial" w:hAnsi="Arial" w:cs="Arial"/>
          <w:sz w:val="18"/>
          <w:szCs w:val="18"/>
        </w:rPr>
        <w:t xml:space="preserve"> 41 del expediente digitalizado, cuaderno de primera instancia.</w:t>
      </w:r>
    </w:p>
  </w:footnote>
  <w:footnote w:id="3">
    <w:p w14:paraId="47CE816F" w14:textId="1E57D906" w:rsidR="0004694C" w:rsidRPr="00E20FD3" w:rsidRDefault="0004694C"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w:t>
      </w:r>
      <w:bookmarkStart w:id="9" w:name="_Hlk107434386"/>
      <w:r w:rsidR="00D846D9" w:rsidRPr="00E20FD3">
        <w:rPr>
          <w:rFonts w:ascii="Arial" w:hAnsi="Arial" w:cs="Arial"/>
          <w:sz w:val="18"/>
          <w:szCs w:val="18"/>
        </w:rPr>
        <w:t>Páginas</w:t>
      </w:r>
      <w:r w:rsidRPr="00E20FD3">
        <w:rPr>
          <w:rFonts w:ascii="Arial" w:hAnsi="Arial" w:cs="Arial"/>
          <w:sz w:val="18"/>
          <w:szCs w:val="18"/>
        </w:rPr>
        <w:t xml:space="preserve"> </w:t>
      </w:r>
      <w:r w:rsidR="00D846D9" w:rsidRPr="00E20FD3">
        <w:rPr>
          <w:rFonts w:ascii="Arial" w:hAnsi="Arial" w:cs="Arial"/>
          <w:sz w:val="18"/>
          <w:szCs w:val="18"/>
        </w:rPr>
        <w:t>42 a 46 del expediente digitalizado, cuaderno de primera instancia.</w:t>
      </w:r>
      <w:bookmarkEnd w:id="9"/>
    </w:p>
  </w:footnote>
  <w:footnote w:id="4">
    <w:p w14:paraId="28655ABD" w14:textId="28EE6A98" w:rsidR="00E7241F" w:rsidRPr="00E20FD3" w:rsidRDefault="00E7241F"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 76 del expediente digitalizado, cuaderno de primera instancia.</w:t>
      </w:r>
    </w:p>
  </w:footnote>
  <w:footnote w:id="5">
    <w:p w14:paraId="03702488" w14:textId="4251501C" w:rsidR="00652094" w:rsidRPr="00E20FD3" w:rsidRDefault="00652094"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Páginas 77 a 78 del expediente digitalizado, cuaderno de primera instancia.</w:t>
      </w:r>
    </w:p>
  </w:footnote>
  <w:footnote w:id="6">
    <w:p w14:paraId="41D1333A" w14:textId="6C377196" w:rsidR="00652094" w:rsidRPr="00E20FD3" w:rsidRDefault="00652094"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 79 del expediente digitalizado, cuaderno de primera instancia.</w:t>
      </w:r>
    </w:p>
  </w:footnote>
  <w:footnote w:id="7">
    <w:p w14:paraId="736B3D5F" w14:textId="181377B8" w:rsidR="00C17281" w:rsidRPr="00E20FD3" w:rsidRDefault="00C17281"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Páginas 80 a 92 del expediente digitalizado, cuaderno de primera instancia.</w:t>
      </w:r>
    </w:p>
  </w:footnote>
  <w:footnote w:id="8">
    <w:p w14:paraId="5F73F4EA" w14:textId="36C22B37" w:rsidR="006E1B97" w:rsidRPr="00E20FD3" w:rsidRDefault="006E1B97"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 140 del expediente digitalizado, cuaderno de primera instancia.</w:t>
      </w:r>
    </w:p>
  </w:footnote>
  <w:footnote w:id="9">
    <w:p w14:paraId="0B7AD735" w14:textId="1741FC64" w:rsidR="00F25F56" w:rsidRPr="00E20FD3" w:rsidRDefault="00F25F56"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w:t>
      </w:r>
      <w:r w:rsidR="002C6EB5" w:rsidRPr="00E20FD3">
        <w:rPr>
          <w:rFonts w:ascii="Arial" w:hAnsi="Arial" w:cs="Arial"/>
          <w:sz w:val="18"/>
          <w:szCs w:val="18"/>
        </w:rPr>
        <w:t xml:space="preserve"> </w:t>
      </w:r>
      <w:r w:rsidRPr="00E20FD3">
        <w:rPr>
          <w:rFonts w:ascii="Arial" w:hAnsi="Arial" w:cs="Arial"/>
          <w:sz w:val="18"/>
          <w:szCs w:val="18"/>
        </w:rPr>
        <w:t>144 del expediente digitalizado, cuaderno de primera instancia.</w:t>
      </w:r>
    </w:p>
  </w:footnote>
  <w:footnote w:id="10">
    <w:p w14:paraId="0C292618" w14:textId="58568E98" w:rsidR="002C6EB5" w:rsidRPr="00E20FD3" w:rsidRDefault="002C6EB5"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 151 del expediente digitalizado, cuaderno de primera instancia.</w:t>
      </w:r>
    </w:p>
  </w:footnote>
  <w:footnote w:id="11">
    <w:p w14:paraId="081404E1" w14:textId="306B571F" w:rsidR="00D77613" w:rsidRPr="00E20FD3" w:rsidRDefault="00D77613"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 153 del expediente digitalizado, cuaderno de primera instancia.</w:t>
      </w:r>
    </w:p>
  </w:footnote>
  <w:footnote w:id="12">
    <w:p w14:paraId="23414C10" w14:textId="66D23F97" w:rsidR="003C26E6" w:rsidRPr="00E20FD3" w:rsidRDefault="003C26E6"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Páginas 187 a 189 del expediente digitalizado, cuaderno de primera instancia.</w:t>
      </w:r>
    </w:p>
  </w:footnote>
  <w:footnote w:id="13">
    <w:p w14:paraId="3DA966D2" w14:textId="0B1422A4" w:rsidR="00B54F50" w:rsidRPr="00E20FD3" w:rsidRDefault="00B54F50"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 186 del expediente digitalizado, cuaderno de primera instancia.</w:t>
      </w:r>
    </w:p>
  </w:footnote>
  <w:footnote w:id="14">
    <w:p w14:paraId="0EF72A63" w14:textId="17A7D065" w:rsidR="004F75BB" w:rsidRPr="00E20FD3" w:rsidRDefault="004F75BB"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Tribunal Superior de Pereira- Sala Laboral, </w:t>
      </w:r>
      <w:r w:rsidR="00F54A2B" w:rsidRPr="00E20FD3">
        <w:rPr>
          <w:rFonts w:ascii="Arial" w:hAnsi="Arial" w:cs="Arial"/>
          <w:sz w:val="18"/>
          <w:szCs w:val="18"/>
        </w:rPr>
        <w:t xml:space="preserve">sentencias </w:t>
      </w:r>
      <w:r w:rsidR="00F54A2B" w:rsidRPr="00E20FD3">
        <w:rPr>
          <w:rFonts w:ascii="Arial" w:hAnsi="Arial" w:cs="Arial"/>
          <w:sz w:val="18"/>
          <w:szCs w:val="18"/>
          <w:lang w:val="es-419"/>
        </w:rPr>
        <w:t>66001310500320180006202, 6001310500320180003902</w:t>
      </w:r>
      <w:r w:rsidR="00F54A2B" w:rsidRPr="00E20FD3">
        <w:rPr>
          <w:rFonts w:ascii="Arial" w:hAnsi="Arial" w:cs="Arial"/>
          <w:sz w:val="18"/>
          <w:szCs w:val="18"/>
        </w:rPr>
        <w:t xml:space="preserve">, </w:t>
      </w:r>
      <w:r w:rsidR="00F54A2B" w:rsidRPr="00E20FD3">
        <w:rPr>
          <w:rFonts w:ascii="Arial" w:hAnsi="Arial" w:cs="Arial"/>
          <w:sz w:val="18"/>
          <w:szCs w:val="18"/>
          <w:lang w:val="es-419"/>
        </w:rPr>
        <w:t xml:space="preserve">66001310500320180033402, proferidas dentro de los procesos adelantados por Susan Yohana Arce Guerrero, Rosa Janeth Sosa Ospina, Luisa Fernanda Rodríguez Yepes en contra de Telemark Spain S.L., M.P. </w:t>
      </w:r>
      <w:r w:rsidR="00F54A2B" w:rsidRPr="00E20FD3">
        <w:rPr>
          <w:rFonts w:ascii="Arial" w:hAnsi="Arial" w:cs="Arial"/>
          <w:sz w:val="18"/>
          <w:szCs w:val="18"/>
          <w:lang w:val="es-CO"/>
        </w:rPr>
        <w:t>Ana Lucía Caicedo Calderón. </w:t>
      </w:r>
    </w:p>
  </w:footnote>
  <w:footnote w:id="15">
    <w:p w14:paraId="1E70893D" w14:textId="77777777" w:rsidR="007606D2" w:rsidRPr="00E20FD3" w:rsidRDefault="007606D2"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Páginas 207 a 227 del expediente físico, cuaderno de primera instancia.</w:t>
      </w:r>
    </w:p>
  </w:footnote>
  <w:footnote w:id="16">
    <w:p w14:paraId="3521A36D" w14:textId="6BF246BE" w:rsidR="00C92360" w:rsidRPr="00E20FD3" w:rsidRDefault="00C92360" w:rsidP="00E20FD3">
      <w:pPr>
        <w:pStyle w:val="Textonotapie"/>
        <w:rPr>
          <w:rFonts w:ascii="Arial" w:hAnsi="Arial" w:cs="Arial"/>
          <w:sz w:val="18"/>
          <w:szCs w:val="18"/>
        </w:rPr>
      </w:pPr>
      <w:r w:rsidRPr="00E20FD3">
        <w:rPr>
          <w:rStyle w:val="Refdenotaalpie"/>
          <w:rFonts w:ascii="Arial" w:hAnsi="Arial" w:cs="Arial"/>
          <w:sz w:val="18"/>
          <w:szCs w:val="18"/>
        </w:rPr>
        <w:footnoteRef/>
      </w:r>
      <w:r w:rsidRPr="00E20FD3">
        <w:rPr>
          <w:rFonts w:ascii="Arial" w:hAnsi="Arial" w:cs="Arial"/>
          <w:sz w:val="18"/>
          <w:szCs w:val="18"/>
        </w:rPr>
        <w:t xml:space="preserve"> </w:t>
      </w:r>
      <w:r w:rsidR="00402BD7" w:rsidRPr="00E20FD3">
        <w:rPr>
          <w:rFonts w:ascii="Arial" w:hAnsi="Arial" w:cs="Arial"/>
          <w:sz w:val="18"/>
          <w:szCs w:val="18"/>
        </w:rPr>
        <w:t xml:space="preserve">Páginas 207 a </w:t>
      </w:r>
      <w:r w:rsidR="004A7F7A" w:rsidRPr="00E20FD3">
        <w:rPr>
          <w:rFonts w:ascii="Arial" w:hAnsi="Arial" w:cs="Arial"/>
          <w:sz w:val="18"/>
          <w:szCs w:val="18"/>
        </w:rPr>
        <w:t xml:space="preserve">227 </w:t>
      </w:r>
      <w:r w:rsidR="00402BD7" w:rsidRPr="00E20FD3">
        <w:rPr>
          <w:rFonts w:ascii="Arial" w:hAnsi="Arial" w:cs="Arial"/>
          <w:sz w:val="18"/>
          <w:szCs w:val="18"/>
        </w:rPr>
        <w:t>del expediente físico, cuaderno de primera instancia.</w:t>
      </w:r>
    </w:p>
  </w:footnote>
  <w:footnote w:id="17">
    <w:p w14:paraId="29126C91" w14:textId="329173D4" w:rsidR="00C92360" w:rsidRPr="00E20FD3" w:rsidRDefault="00C92360" w:rsidP="00E20FD3">
      <w:pPr>
        <w:pStyle w:val="Textonotapie"/>
        <w:rPr>
          <w:rFonts w:ascii="Arial" w:hAnsi="Arial" w:cs="Arial"/>
          <w:sz w:val="18"/>
          <w:szCs w:val="18"/>
          <w:lang w:val="es-419"/>
        </w:rPr>
      </w:pPr>
      <w:r w:rsidRPr="00E20FD3">
        <w:rPr>
          <w:rStyle w:val="Refdenotaalpie"/>
          <w:rFonts w:ascii="Arial" w:hAnsi="Arial" w:cs="Arial"/>
          <w:sz w:val="18"/>
          <w:szCs w:val="18"/>
        </w:rPr>
        <w:footnoteRef/>
      </w:r>
      <w:r w:rsidRPr="00E20FD3">
        <w:rPr>
          <w:rFonts w:ascii="Arial" w:hAnsi="Arial" w:cs="Arial"/>
          <w:sz w:val="18"/>
          <w:szCs w:val="18"/>
        </w:rPr>
        <w:t xml:space="preserve"> </w:t>
      </w:r>
      <w:r w:rsidRPr="00E20FD3">
        <w:rPr>
          <w:rFonts w:ascii="Arial" w:hAnsi="Arial" w:cs="Arial"/>
          <w:sz w:val="18"/>
          <w:szCs w:val="18"/>
          <w:lang w:val="es-419"/>
        </w:rPr>
        <w:t>Salario incluido el bono reconocido + subsidio de transporte</w:t>
      </w:r>
      <w:r w:rsidR="003426B5" w:rsidRPr="00E20FD3">
        <w:rPr>
          <w:rFonts w:ascii="Arial" w:hAnsi="Arial" w:cs="Arial"/>
          <w:sz w:val="18"/>
          <w:szCs w:val="18"/>
          <w:lang w:val="es-419"/>
        </w:rPr>
        <w:t xml:space="preserve"> + </w:t>
      </w:r>
      <w:r w:rsidRPr="00E20FD3">
        <w:rPr>
          <w:rFonts w:ascii="Arial" w:hAnsi="Arial" w:cs="Arial"/>
          <w:sz w:val="18"/>
          <w:szCs w:val="18"/>
          <w:lang w:val="es-419"/>
        </w:rPr>
        <w:t>comisiones</w:t>
      </w:r>
      <w:r w:rsidR="003426B5" w:rsidRPr="00E20FD3">
        <w:rPr>
          <w:rFonts w:ascii="Arial" w:hAnsi="Arial" w:cs="Arial"/>
          <w:sz w:val="18"/>
          <w:szCs w:val="18"/>
          <w:lang w:val="es-419"/>
        </w:rPr>
        <w:t xml:space="preserve"> + recargos.</w:t>
      </w:r>
    </w:p>
  </w:footnote>
  <w:footnote w:id="18">
    <w:p w14:paraId="33C1F0DD" w14:textId="614D81F1" w:rsidR="00550C16" w:rsidRPr="00E20FD3" w:rsidRDefault="00550C16" w:rsidP="00E20FD3">
      <w:pPr>
        <w:pStyle w:val="Textonotapie"/>
        <w:rPr>
          <w:rFonts w:ascii="Arial" w:hAnsi="Arial" w:cs="Arial"/>
          <w:sz w:val="18"/>
          <w:szCs w:val="18"/>
          <w:lang w:val="es-419"/>
        </w:rPr>
      </w:pPr>
      <w:r w:rsidRPr="00E20FD3">
        <w:rPr>
          <w:rStyle w:val="Refdenotaalpie"/>
          <w:rFonts w:ascii="Arial" w:hAnsi="Arial" w:cs="Arial"/>
          <w:sz w:val="18"/>
          <w:szCs w:val="18"/>
        </w:rPr>
        <w:footnoteRef/>
      </w:r>
      <w:r w:rsidR="40561F0E" w:rsidRPr="00E20FD3">
        <w:rPr>
          <w:rFonts w:ascii="Arial" w:hAnsi="Arial" w:cs="Arial"/>
          <w:sz w:val="18"/>
          <w:szCs w:val="18"/>
        </w:rPr>
        <w:t xml:space="preserve"> Tribunal Superior de Pereira, s</w:t>
      </w:r>
      <w:r w:rsidR="40561F0E" w:rsidRPr="00E20FD3">
        <w:rPr>
          <w:rFonts w:ascii="Arial" w:hAnsi="Arial" w:cs="Arial"/>
          <w:sz w:val="18"/>
          <w:szCs w:val="18"/>
          <w:lang w:val="es-419"/>
        </w:rPr>
        <w:t>sentencia del 13 de marzo de 2018, Rad. 66001-31-05-003-2016-00346-01, dentro del proceso adelantado por Roberth Hernán Cardona Calderón en contra de Telemark Spain SL Sucursal Colombia Zona Franca Permanente Especial.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BFDD" w14:textId="6E5BA257" w:rsidR="00990623" w:rsidRPr="00E20FD3" w:rsidRDefault="00990623" w:rsidP="00E20FD3">
    <w:pPr>
      <w:tabs>
        <w:tab w:val="left" w:pos="993"/>
      </w:tabs>
      <w:spacing w:line="240" w:lineRule="auto"/>
      <w:ind w:left="1134" w:hanging="1134"/>
      <w:rPr>
        <w:rFonts w:ascii="Arial" w:eastAsia="Times New Roman" w:hAnsi="Arial" w:cs="Arial"/>
        <w:sz w:val="18"/>
        <w:szCs w:val="18"/>
        <w:lang w:eastAsia="es-ES"/>
      </w:rPr>
    </w:pPr>
    <w:r w:rsidRPr="00E20FD3">
      <w:rPr>
        <w:rFonts w:ascii="Arial" w:eastAsia="Times New Roman" w:hAnsi="Arial" w:cs="Arial"/>
        <w:sz w:val="18"/>
        <w:szCs w:val="18"/>
        <w:lang w:eastAsia="es-ES"/>
      </w:rPr>
      <w:t>Radicación No.:</w:t>
    </w:r>
    <w:r w:rsidR="00E20FD3">
      <w:rPr>
        <w:rFonts w:ascii="Arial" w:eastAsia="Times New Roman" w:hAnsi="Arial" w:cs="Arial"/>
        <w:sz w:val="18"/>
        <w:szCs w:val="18"/>
        <w:lang w:eastAsia="es-ES"/>
      </w:rPr>
      <w:tab/>
    </w:r>
    <w:r w:rsidR="006A0B6E" w:rsidRPr="00E20FD3">
      <w:rPr>
        <w:rFonts w:ascii="Arial" w:eastAsia="Times New Roman" w:hAnsi="Arial" w:cs="Arial"/>
        <w:sz w:val="18"/>
        <w:szCs w:val="18"/>
        <w:lang w:eastAsia="es-ES"/>
      </w:rPr>
      <w:t>66001-31-05-003-2018-00063-02</w:t>
    </w:r>
  </w:p>
  <w:p w14:paraId="38CCE016" w14:textId="2C9BAE21" w:rsidR="00990623" w:rsidRPr="00E20FD3" w:rsidRDefault="00990623" w:rsidP="00E20FD3">
    <w:pPr>
      <w:tabs>
        <w:tab w:val="left" w:pos="993"/>
      </w:tabs>
      <w:spacing w:line="240" w:lineRule="auto"/>
      <w:ind w:left="1134" w:hanging="1134"/>
      <w:rPr>
        <w:rFonts w:ascii="Arial" w:eastAsia="Times New Roman" w:hAnsi="Arial" w:cs="Arial"/>
        <w:sz w:val="18"/>
        <w:szCs w:val="18"/>
        <w:lang w:eastAsia="es-ES"/>
      </w:rPr>
    </w:pPr>
    <w:r w:rsidRPr="00E20FD3">
      <w:rPr>
        <w:rFonts w:ascii="Arial" w:eastAsia="Times New Roman" w:hAnsi="Arial" w:cs="Arial"/>
        <w:sz w:val="18"/>
        <w:szCs w:val="18"/>
        <w:lang w:eastAsia="es-ES"/>
      </w:rPr>
      <w:t>Demandante:</w:t>
    </w:r>
    <w:r w:rsidRPr="00E20FD3">
      <w:rPr>
        <w:rFonts w:ascii="Arial" w:eastAsia="Times New Roman" w:hAnsi="Arial" w:cs="Arial"/>
        <w:sz w:val="18"/>
        <w:szCs w:val="18"/>
        <w:lang w:eastAsia="es-ES"/>
      </w:rPr>
      <w:tab/>
    </w:r>
    <w:r w:rsidR="00E20FD3">
      <w:rPr>
        <w:rFonts w:ascii="Arial" w:eastAsia="Times New Roman" w:hAnsi="Arial" w:cs="Arial"/>
        <w:sz w:val="18"/>
        <w:szCs w:val="18"/>
        <w:lang w:eastAsia="es-ES"/>
      </w:rPr>
      <w:tab/>
    </w:r>
    <w:r w:rsidR="00AD6790" w:rsidRPr="00E20FD3">
      <w:rPr>
        <w:rFonts w:ascii="Arial" w:eastAsia="Times New Roman" w:hAnsi="Arial" w:cs="Arial"/>
        <w:sz w:val="18"/>
        <w:szCs w:val="18"/>
        <w:lang w:eastAsia="es-ES"/>
      </w:rPr>
      <w:t>Ángela María Hernández Cano</w:t>
    </w:r>
  </w:p>
  <w:p w14:paraId="5DE83EA9" w14:textId="2F50DF67" w:rsidR="006F0BF1" w:rsidRPr="00E20FD3" w:rsidRDefault="00990623" w:rsidP="00E20FD3">
    <w:pPr>
      <w:tabs>
        <w:tab w:val="left" w:pos="993"/>
      </w:tabs>
      <w:spacing w:line="240" w:lineRule="auto"/>
      <w:ind w:left="1134" w:hanging="1134"/>
      <w:rPr>
        <w:rFonts w:ascii="Arial" w:eastAsia="Times New Roman" w:hAnsi="Arial" w:cs="Arial"/>
        <w:sz w:val="18"/>
        <w:szCs w:val="18"/>
        <w:lang w:eastAsia="es-ES"/>
      </w:rPr>
    </w:pPr>
    <w:r w:rsidRPr="00E20FD3">
      <w:rPr>
        <w:rFonts w:ascii="Arial" w:eastAsia="Times New Roman" w:hAnsi="Arial" w:cs="Arial"/>
        <w:sz w:val="18"/>
        <w:szCs w:val="18"/>
        <w:lang w:eastAsia="es-ES"/>
      </w:rPr>
      <w:t>Demandado:</w:t>
    </w:r>
    <w:r w:rsidR="00E20FD3">
      <w:rPr>
        <w:rFonts w:ascii="Arial" w:eastAsia="Times New Roman" w:hAnsi="Arial" w:cs="Arial"/>
        <w:sz w:val="18"/>
        <w:szCs w:val="18"/>
        <w:lang w:eastAsia="es-ES"/>
      </w:rPr>
      <w:tab/>
    </w:r>
    <w:r w:rsidR="00E20FD3">
      <w:rPr>
        <w:rFonts w:ascii="Arial" w:eastAsia="Times New Roman" w:hAnsi="Arial" w:cs="Arial"/>
        <w:sz w:val="18"/>
        <w:szCs w:val="18"/>
        <w:lang w:eastAsia="es-ES"/>
      </w:rPr>
      <w:tab/>
    </w:r>
    <w:r w:rsidR="00AD6790" w:rsidRPr="00E20FD3">
      <w:rPr>
        <w:rFonts w:ascii="Arial" w:eastAsia="Times New Roman" w:hAnsi="Arial" w:cs="Arial"/>
        <w:sz w:val="18"/>
        <w:szCs w:val="18"/>
        <w:lang w:eastAsia="es-ES"/>
      </w:rPr>
      <w:t xml:space="preserve">Telemark </w:t>
    </w:r>
    <w:proofErr w:type="spellStart"/>
    <w:r w:rsidR="00AD6790" w:rsidRPr="00E20FD3">
      <w:rPr>
        <w:rFonts w:ascii="Arial" w:eastAsia="Times New Roman" w:hAnsi="Arial" w:cs="Arial"/>
        <w:sz w:val="18"/>
        <w:szCs w:val="18"/>
        <w:lang w:eastAsia="es-ES"/>
      </w:rPr>
      <w:t>Spain</w:t>
    </w:r>
    <w:proofErr w:type="spellEnd"/>
    <w:r w:rsidR="00AD6790" w:rsidRPr="00E20FD3">
      <w:rPr>
        <w:rFonts w:ascii="Arial" w:eastAsia="Times New Roman" w:hAnsi="Arial" w:cs="Arial"/>
        <w:sz w:val="18"/>
        <w:szCs w:val="18"/>
        <w:lang w:eastAsia="es-ES"/>
      </w:rPr>
      <w:t xml:space="preserve"> 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EE967970"/>
    <w:lvl w:ilvl="0">
      <w:start w:val="1"/>
      <w:numFmt w:val="decimal"/>
      <w:lvlText w:val="%1."/>
      <w:lvlJc w:val="left"/>
      <w:pPr>
        <w:ind w:left="720" w:hanging="360"/>
      </w:pPr>
      <w:rPr>
        <w:rFonts w:ascii="Tahoma" w:hAnsi="Tahoma" w:cs="Tahoma" w:hint="default"/>
        <w:b/>
        <w:bCs/>
        <w:sz w:val="24"/>
        <w:szCs w:val="24"/>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5"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7"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5"/>
  </w:num>
  <w:num w:numId="3">
    <w:abstractNumId w:val="8"/>
  </w:num>
  <w:num w:numId="4">
    <w:abstractNumId w:val="6"/>
  </w:num>
  <w:num w:numId="5">
    <w:abstractNumId w:val="2"/>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1"/>
    <w:rsid w:val="00000414"/>
    <w:rsid w:val="00001CE1"/>
    <w:rsid w:val="0000451D"/>
    <w:rsid w:val="000111D1"/>
    <w:rsid w:val="0001298F"/>
    <w:rsid w:val="00012CFD"/>
    <w:rsid w:val="00013B92"/>
    <w:rsid w:val="00017E53"/>
    <w:rsid w:val="000226F4"/>
    <w:rsid w:val="000263F0"/>
    <w:rsid w:val="00027E77"/>
    <w:rsid w:val="00031856"/>
    <w:rsid w:val="00031DD1"/>
    <w:rsid w:val="00035F5B"/>
    <w:rsid w:val="000417F2"/>
    <w:rsid w:val="000449E7"/>
    <w:rsid w:val="00044DCF"/>
    <w:rsid w:val="0004694C"/>
    <w:rsid w:val="00046B50"/>
    <w:rsid w:val="0005004E"/>
    <w:rsid w:val="00060222"/>
    <w:rsid w:val="00062B04"/>
    <w:rsid w:val="0006500A"/>
    <w:rsid w:val="000675F7"/>
    <w:rsid w:val="000732DA"/>
    <w:rsid w:val="00073A08"/>
    <w:rsid w:val="00073EBB"/>
    <w:rsid w:val="00076D6A"/>
    <w:rsid w:val="00077432"/>
    <w:rsid w:val="0007783C"/>
    <w:rsid w:val="000800D7"/>
    <w:rsid w:val="00080664"/>
    <w:rsid w:val="00080EBC"/>
    <w:rsid w:val="00083150"/>
    <w:rsid w:val="00083173"/>
    <w:rsid w:val="000839FB"/>
    <w:rsid w:val="00083B26"/>
    <w:rsid w:val="0009113A"/>
    <w:rsid w:val="00093575"/>
    <w:rsid w:val="00093BB6"/>
    <w:rsid w:val="000969B5"/>
    <w:rsid w:val="000A0F69"/>
    <w:rsid w:val="000A30B6"/>
    <w:rsid w:val="000A3375"/>
    <w:rsid w:val="000A3D48"/>
    <w:rsid w:val="000A69A0"/>
    <w:rsid w:val="000A7320"/>
    <w:rsid w:val="000A7B82"/>
    <w:rsid w:val="000B1E66"/>
    <w:rsid w:val="000B2E1C"/>
    <w:rsid w:val="000C32DB"/>
    <w:rsid w:val="000C368E"/>
    <w:rsid w:val="000C6F0F"/>
    <w:rsid w:val="000D1E8C"/>
    <w:rsid w:val="000D6407"/>
    <w:rsid w:val="000D6549"/>
    <w:rsid w:val="000D6DC1"/>
    <w:rsid w:val="000D7972"/>
    <w:rsid w:val="000E2674"/>
    <w:rsid w:val="000E54E3"/>
    <w:rsid w:val="000E7D78"/>
    <w:rsid w:val="000F02C9"/>
    <w:rsid w:val="000F2A02"/>
    <w:rsid w:val="000F2D29"/>
    <w:rsid w:val="000F2F89"/>
    <w:rsid w:val="000F446D"/>
    <w:rsid w:val="000F58E3"/>
    <w:rsid w:val="00100897"/>
    <w:rsid w:val="00105A48"/>
    <w:rsid w:val="001065C6"/>
    <w:rsid w:val="00106600"/>
    <w:rsid w:val="001076FD"/>
    <w:rsid w:val="00115444"/>
    <w:rsid w:val="00115B14"/>
    <w:rsid w:val="00115D9E"/>
    <w:rsid w:val="00117095"/>
    <w:rsid w:val="001171D1"/>
    <w:rsid w:val="0011734C"/>
    <w:rsid w:val="00121598"/>
    <w:rsid w:val="00124421"/>
    <w:rsid w:val="00124DAE"/>
    <w:rsid w:val="00125D63"/>
    <w:rsid w:val="00133DD4"/>
    <w:rsid w:val="00136C5C"/>
    <w:rsid w:val="00137AD0"/>
    <w:rsid w:val="00143080"/>
    <w:rsid w:val="0015024D"/>
    <w:rsid w:val="00150432"/>
    <w:rsid w:val="001521F5"/>
    <w:rsid w:val="00152404"/>
    <w:rsid w:val="00156198"/>
    <w:rsid w:val="00157ABB"/>
    <w:rsid w:val="00157B97"/>
    <w:rsid w:val="00161C70"/>
    <w:rsid w:val="00162479"/>
    <w:rsid w:val="00163F73"/>
    <w:rsid w:val="00165A6D"/>
    <w:rsid w:val="00166576"/>
    <w:rsid w:val="00172D2D"/>
    <w:rsid w:val="00173065"/>
    <w:rsid w:val="00174E22"/>
    <w:rsid w:val="00180036"/>
    <w:rsid w:val="00181719"/>
    <w:rsid w:val="001819FD"/>
    <w:rsid w:val="00181B3B"/>
    <w:rsid w:val="00184B8E"/>
    <w:rsid w:val="00186526"/>
    <w:rsid w:val="00186D01"/>
    <w:rsid w:val="00187D53"/>
    <w:rsid w:val="0019021B"/>
    <w:rsid w:val="00190A9E"/>
    <w:rsid w:val="00190C02"/>
    <w:rsid w:val="00192560"/>
    <w:rsid w:val="0019496D"/>
    <w:rsid w:val="001A0645"/>
    <w:rsid w:val="001A1BD5"/>
    <w:rsid w:val="001A236B"/>
    <w:rsid w:val="001A38A6"/>
    <w:rsid w:val="001A4E68"/>
    <w:rsid w:val="001A51FC"/>
    <w:rsid w:val="001A5714"/>
    <w:rsid w:val="001A60DF"/>
    <w:rsid w:val="001A780E"/>
    <w:rsid w:val="001B0E68"/>
    <w:rsid w:val="001B0F40"/>
    <w:rsid w:val="001B5F6D"/>
    <w:rsid w:val="001B7322"/>
    <w:rsid w:val="001B7519"/>
    <w:rsid w:val="001C106B"/>
    <w:rsid w:val="001C3008"/>
    <w:rsid w:val="001C3DA6"/>
    <w:rsid w:val="001C5DA2"/>
    <w:rsid w:val="001C5F29"/>
    <w:rsid w:val="001C6270"/>
    <w:rsid w:val="001C6F45"/>
    <w:rsid w:val="001C7DF3"/>
    <w:rsid w:val="001C7EE7"/>
    <w:rsid w:val="001D4E17"/>
    <w:rsid w:val="001D70B7"/>
    <w:rsid w:val="001D7A78"/>
    <w:rsid w:val="001E157C"/>
    <w:rsid w:val="001E4E2B"/>
    <w:rsid w:val="001E6F12"/>
    <w:rsid w:val="001E7B06"/>
    <w:rsid w:val="001E7F4E"/>
    <w:rsid w:val="001F1BC1"/>
    <w:rsid w:val="001F59A2"/>
    <w:rsid w:val="001F6A8B"/>
    <w:rsid w:val="0020383B"/>
    <w:rsid w:val="0020401A"/>
    <w:rsid w:val="00204C6E"/>
    <w:rsid w:val="00207AEB"/>
    <w:rsid w:val="002101AC"/>
    <w:rsid w:val="002130B1"/>
    <w:rsid w:val="00222035"/>
    <w:rsid w:val="0022215E"/>
    <w:rsid w:val="00222A05"/>
    <w:rsid w:val="002240AF"/>
    <w:rsid w:val="00224922"/>
    <w:rsid w:val="00230A4A"/>
    <w:rsid w:val="0023118F"/>
    <w:rsid w:val="00235052"/>
    <w:rsid w:val="0023609B"/>
    <w:rsid w:val="00236110"/>
    <w:rsid w:val="00237FBF"/>
    <w:rsid w:val="0024009A"/>
    <w:rsid w:val="002409B6"/>
    <w:rsid w:val="00243DEB"/>
    <w:rsid w:val="002443AE"/>
    <w:rsid w:val="0025111D"/>
    <w:rsid w:val="002574B5"/>
    <w:rsid w:val="00257871"/>
    <w:rsid w:val="00257A47"/>
    <w:rsid w:val="00261067"/>
    <w:rsid w:val="00263CE9"/>
    <w:rsid w:val="00264C6A"/>
    <w:rsid w:val="00265ABF"/>
    <w:rsid w:val="00266836"/>
    <w:rsid w:val="00266B7F"/>
    <w:rsid w:val="00267B19"/>
    <w:rsid w:val="00267CFC"/>
    <w:rsid w:val="0027182B"/>
    <w:rsid w:val="00271EE9"/>
    <w:rsid w:val="00272213"/>
    <w:rsid w:val="00274DC9"/>
    <w:rsid w:val="002750A8"/>
    <w:rsid w:val="002800D8"/>
    <w:rsid w:val="0028283A"/>
    <w:rsid w:val="002832E8"/>
    <w:rsid w:val="00285131"/>
    <w:rsid w:val="0028587A"/>
    <w:rsid w:val="00293A0B"/>
    <w:rsid w:val="002A0E08"/>
    <w:rsid w:val="002A19C0"/>
    <w:rsid w:val="002A3049"/>
    <w:rsid w:val="002A3632"/>
    <w:rsid w:val="002A57A6"/>
    <w:rsid w:val="002A5D23"/>
    <w:rsid w:val="002A6049"/>
    <w:rsid w:val="002B0190"/>
    <w:rsid w:val="002B2A0B"/>
    <w:rsid w:val="002B5BB8"/>
    <w:rsid w:val="002C1EEF"/>
    <w:rsid w:val="002C2D50"/>
    <w:rsid w:val="002C3499"/>
    <w:rsid w:val="002C541E"/>
    <w:rsid w:val="002C59EC"/>
    <w:rsid w:val="002C63F1"/>
    <w:rsid w:val="002C6B0A"/>
    <w:rsid w:val="002C6EB5"/>
    <w:rsid w:val="002C786C"/>
    <w:rsid w:val="002C7F3A"/>
    <w:rsid w:val="002D03E0"/>
    <w:rsid w:val="002D60F4"/>
    <w:rsid w:val="002E031B"/>
    <w:rsid w:val="002E17C2"/>
    <w:rsid w:val="002E3191"/>
    <w:rsid w:val="002E41A3"/>
    <w:rsid w:val="002E4C51"/>
    <w:rsid w:val="002E5149"/>
    <w:rsid w:val="002E7035"/>
    <w:rsid w:val="002F0DA4"/>
    <w:rsid w:val="00302A14"/>
    <w:rsid w:val="00303835"/>
    <w:rsid w:val="00303A33"/>
    <w:rsid w:val="003046C0"/>
    <w:rsid w:val="00305DC2"/>
    <w:rsid w:val="00306696"/>
    <w:rsid w:val="0031047F"/>
    <w:rsid w:val="00314F35"/>
    <w:rsid w:val="0031765D"/>
    <w:rsid w:val="00320961"/>
    <w:rsid w:val="00321C00"/>
    <w:rsid w:val="003221C2"/>
    <w:rsid w:val="00322AD9"/>
    <w:rsid w:val="00324093"/>
    <w:rsid w:val="003254F1"/>
    <w:rsid w:val="003266DC"/>
    <w:rsid w:val="00327120"/>
    <w:rsid w:val="0032713F"/>
    <w:rsid w:val="00331DF1"/>
    <w:rsid w:val="00332F92"/>
    <w:rsid w:val="00337476"/>
    <w:rsid w:val="0034072A"/>
    <w:rsid w:val="0034196E"/>
    <w:rsid w:val="003423E7"/>
    <w:rsid w:val="003426B5"/>
    <w:rsid w:val="00342B0C"/>
    <w:rsid w:val="003439B2"/>
    <w:rsid w:val="0035139D"/>
    <w:rsid w:val="0035190D"/>
    <w:rsid w:val="00351C55"/>
    <w:rsid w:val="00353A47"/>
    <w:rsid w:val="00357B35"/>
    <w:rsid w:val="003613BD"/>
    <w:rsid w:val="003615C9"/>
    <w:rsid w:val="00361B65"/>
    <w:rsid w:val="00362E6F"/>
    <w:rsid w:val="00363C3F"/>
    <w:rsid w:val="00364DB8"/>
    <w:rsid w:val="003659EE"/>
    <w:rsid w:val="0037018D"/>
    <w:rsid w:val="00370613"/>
    <w:rsid w:val="00373CF8"/>
    <w:rsid w:val="00373FE0"/>
    <w:rsid w:val="00374E95"/>
    <w:rsid w:val="00380B7F"/>
    <w:rsid w:val="003825A2"/>
    <w:rsid w:val="003825F5"/>
    <w:rsid w:val="00384AD2"/>
    <w:rsid w:val="003870EC"/>
    <w:rsid w:val="003916A6"/>
    <w:rsid w:val="00392709"/>
    <w:rsid w:val="003941AD"/>
    <w:rsid w:val="0039438D"/>
    <w:rsid w:val="0039792C"/>
    <w:rsid w:val="003A3248"/>
    <w:rsid w:val="003A3731"/>
    <w:rsid w:val="003A3A96"/>
    <w:rsid w:val="003A3DB6"/>
    <w:rsid w:val="003A7207"/>
    <w:rsid w:val="003A7690"/>
    <w:rsid w:val="003B0567"/>
    <w:rsid w:val="003B30FC"/>
    <w:rsid w:val="003B446A"/>
    <w:rsid w:val="003B63CF"/>
    <w:rsid w:val="003B6A87"/>
    <w:rsid w:val="003B7D71"/>
    <w:rsid w:val="003C05F1"/>
    <w:rsid w:val="003C1DD1"/>
    <w:rsid w:val="003C208A"/>
    <w:rsid w:val="003C26E6"/>
    <w:rsid w:val="003C2AD3"/>
    <w:rsid w:val="003C3D89"/>
    <w:rsid w:val="003C3E24"/>
    <w:rsid w:val="003C663C"/>
    <w:rsid w:val="003C666D"/>
    <w:rsid w:val="003C6D17"/>
    <w:rsid w:val="003D0626"/>
    <w:rsid w:val="003D1427"/>
    <w:rsid w:val="003D22B6"/>
    <w:rsid w:val="003D4684"/>
    <w:rsid w:val="003D5E61"/>
    <w:rsid w:val="003E0B75"/>
    <w:rsid w:val="003E46C7"/>
    <w:rsid w:val="003E5848"/>
    <w:rsid w:val="003E6E39"/>
    <w:rsid w:val="003E6EC4"/>
    <w:rsid w:val="003F0404"/>
    <w:rsid w:val="003F2330"/>
    <w:rsid w:val="003F6135"/>
    <w:rsid w:val="004005D5"/>
    <w:rsid w:val="00401F6A"/>
    <w:rsid w:val="00402207"/>
    <w:rsid w:val="00402BD7"/>
    <w:rsid w:val="004032FD"/>
    <w:rsid w:val="004034B8"/>
    <w:rsid w:val="004041CC"/>
    <w:rsid w:val="00405600"/>
    <w:rsid w:val="0040763A"/>
    <w:rsid w:val="004076CD"/>
    <w:rsid w:val="0041055A"/>
    <w:rsid w:val="004109EE"/>
    <w:rsid w:val="00414526"/>
    <w:rsid w:val="00414A79"/>
    <w:rsid w:val="00414B7B"/>
    <w:rsid w:val="004219A1"/>
    <w:rsid w:val="004224AE"/>
    <w:rsid w:val="00422681"/>
    <w:rsid w:val="004238B2"/>
    <w:rsid w:val="00432C5F"/>
    <w:rsid w:val="00432F41"/>
    <w:rsid w:val="0043323B"/>
    <w:rsid w:val="00440773"/>
    <w:rsid w:val="00441BE2"/>
    <w:rsid w:val="00451C73"/>
    <w:rsid w:val="0045378D"/>
    <w:rsid w:val="004537E9"/>
    <w:rsid w:val="00453CC7"/>
    <w:rsid w:val="00455B3A"/>
    <w:rsid w:val="00455CD2"/>
    <w:rsid w:val="00455F52"/>
    <w:rsid w:val="00461356"/>
    <w:rsid w:val="00461363"/>
    <w:rsid w:val="004621E2"/>
    <w:rsid w:val="00463E3C"/>
    <w:rsid w:val="00465704"/>
    <w:rsid w:val="0046685B"/>
    <w:rsid w:val="00467A93"/>
    <w:rsid w:val="00471322"/>
    <w:rsid w:val="0047597F"/>
    <w:rsid w:val="00475B27"/>
    <w:rsid w:val="00477B30"/>
    <w:rsid w:val="00480177"/>
    <w:rsid w:val="00482283"/>
    <w:rsid w:val="00491AC5"/>
    <w:rsid w:val="00491C0B"/>
    <w:rsid w:val="00494563"/>
    <w:rsid w:val="0049546E"/>
    <w:rsid w:val="00495EA2"/>
    <w:rsid w:val="00497B67"/>
    <w:rsid w:val="004A0446"/>
    <w:rsid w:val="004A52D8"/>
    <w:rsid w:val="004A69F9"/>
    <w:rsid w:val="004A6D05"/>
    <w:rsid w:val="004A6EB3"/>
    <w:rsid w:val="004A7683"/>
    <w:rsid w:val="004A7F7A"/>
    <w:rsid w:val="004B28E5"/>
    <w:rsid w:val="004B2E33"/>
    <w:rsid w:val="004B5B50"/>
    <w:rsid w:val="004B7701"/>
    <w:rsid w:val="004C056A"/>
    <w:rsid w:val="004C48F0"/>
    <w:rsid w:val="004C4AF6"/>
    <w:rsid w:val="004C51A7"/>
    <w:rsid w:val="004C541C"/>
    <w:rsid w:val="004D0C4C"/>
    <w:rsid w:val="004D4521"/>
    <w:rsid w:val="004D51ED"/>
    <w:rsid w:val="004D72E6"/>
    <w:rsid w:val="004E15E2"/>
    <w:rsid w:val="004E71A7"/>
    <w:rsid w:val="004E7258"/>
    <w:rsid w:val="004E75FE"/>
    <w:rsid w:val="004F630F"/>
    <w:rsid w:val="004F6C79"/>
    <w:rsid w:val="004F75BB"/>
    <w:rsid w:val="004F76A0"/>
    <w:rsid w:val="00502163"/>
    <w:rsid w:val="005021C0"/>
    <w:rsid w:val="00502BC6"/>
    <w:rsid w:val="00502D77"/>
    <w:rsid w:val="00506D8E"/>
    <w:rsid w:val="005075D9"/>
    <w:rsid w:val="0051105E"/>
    <w:rsid w:val="005137AD"/>
    <w:rsid w:val="00513E84"/>
    <w:rsid w:val="0051464A"/>
    <w:rsid w:val="00515702"/>
    <w:rsid w:val="00515FDD"/>
    <w:rsid w:val="00516635"/>
    <w:rsid w:val="00516A61"/>
    <w:rsid w:val="005170D7"/>
    <w:rsid w:val="0052245F"/>
    <w:rsid w:val="0052595F"/>
    <w:rsid w:val="00533519"/>
    <w:rsid w:val="005337AE"/>
    <w:rsid w:val="00535228"/>
    <w:rsid w:val="0054143A"/>
    <w:rsid w:val="005426A2"/>
    <w:rsid w:val="00542E4D"/>
    <w:rsid w:val="00545476"/>
    <w:rsid w:val="00546DF4"/>
    <w:rsid w:val="00550C16"/>
    <w:rsid w:val="005522C8"/>
    <w:rsid w:val="00554707"/>
    <w:rsid w:val="00556AE6"/>
    <w:rsid w:val="005579CB"/>
    <w:rsid w:val="005622F3"/>
    <w:rsid w:val="005640F3"/>
    <w:rsid w:val="005664CC"/>
    <w:rsid w:val="00566A9A"/>
    <w:rsid w:val="00566CB2"/>
    <w:rsid w:val="0056794A"/>
    <w:rsid w:val="00573E69"/>
    <w:rsid w:val="00574026"/>
    <w:rsid w:val="00575D76"/>
    <w:rsid w:val="0057602D"/>
    <w:rsid w:val="005818F4"/>
    <w:rsid w:val="0058201A"/>
    <w:rsid w:val="0058482C"/>
    <w:rsid w:val="00586EB6"/>
    <w:rsid w:val="00587E5D"/>
    <w:rsid w:val="00592F3F"/>
    <w:rsid w:val="00594989"/>
    <w:rsid w:val="005A0171"/>
    <w:rsid w:val="005A20FB"/>
    <w:rsid w:val="005B3EDC"/>
    <w:rsid w:val="005B50C1"/>
    <w:rsid w:val="005B5E66"/>
    <w:rsid w:val="005C103F"/>
    <w:rsid w:val="005C1BDE"/>
    <w:rsid w:val="005C1D13"/>
    <w:rsid w:val="005C252D"/>
    <w:rsid w:val="005C4FE9"/>
    <w:rsid w:val="005C61C1"/>
    <w:rsid w:val="005C652F"/>
    <w:rsid w:val="005D0148"/>
    <w:rsid w:val="005D2393"/>
    <w:rsid w:val="005D3995"/>
    <w:rsid w:val="005D47BF"/>
    <w:rsid w:val="005D520F"/>
    <w:rsid w:val="005D7E0F"/>
    <w:rsid w:val="005E088B"/>
    <w:rsid w:val="005E1D15"/>
    <w:rsid w:val="005E232D"/>
    <w:rsid w:val="005E3C47"/>
    <w:rsid w:val="005E40A0"/>
    <w:rsid w:val="005E52C2"/>
    <w:rsid w:val="005E6697"/>
    <w:rsid w:val="005F1CB8"/>
    <w:rsid w:val="005F302C"/>
    <w:rsid w:val="005F38AB"/>
    <w:rsid w:val="005F6F91"/>
    <w:rsid w:val="00601618"/>
    <w:rsid w:val="00604EB2"/>
    <w:rsid w:val="00604FCC"/>
    <w:rsid w:val="0060553C"/>
    <w:rsid w:val="0060558D"/>
    <w:rsid w:val="00605753"/>
    <w:rsid w:val="00606755"/>
    <w:rsid w:val="00606821"/>
    <w:rsid w:val="00606FC4"/>
    <w:rsid w:val="006078C3"/>
    <w:rsid w:val="00610104"/>
    <w:rsid w:val="00610461"/>
    <w:rsid w:val="00610A56"/>
    <w:rsid w:val="0061659E"/>
    <w:rsid w:val="00620BD7"/>
    <w:rsid w:val="00621E31"/>
    <w:rsid w:val="00622DCC"/>
    <w:rsid w:val="00623818"/>
    <w:rsid w:val="00623EE9"/>
    <w:rsid w:val="00625091"/>
    <w:rsid w:val="006250A7"/>
    <w:rsid w:val="00625310"/>
    <w:rsid w:val="00625B25"/>
    <w:rsid w:val="006278FF"/>
    <w:rsid w:val="00630EF0"/>
    <w:rsid w:val="00634B6B"/>
    <w:rsid w:val="00640A21"/>
    <w:rsid w:val="00641B64"/>
    <w:rsid w:val="00643112"/>
    <w:rsid w:val="00643A0F"/>
    <w:rsid w:val="00647740"/>
    <w:rsid w:val="00647EBA"/>
    <w:rsid w:val="00652094"/>
    <w:rsid w:val="00655CD3"/>
    <w:rsid w:val="00655F3C"/>
    <w:rsid w:val="006609DF"/>
    <w:rsid w:val="0066252A"/>
    <w:rsid w:val="00667302"/>
    <w:rsid w:val="00667531"/>
    <w:rsid w:val="0067260E"/>
    <w:rsid w:val="00672E34"/>
    <w:rsid w:val="006837D7"/>
    <w:rsid w:val="006846AA"/>
    <w:rsid w:val="00685173"/>
    <w:rsid w:val="00687480"/>
    <w:rsid w:val="0069078A"/>
    <w:rsid w:val="00690D09"/>
    <w:rsid w:val="00690E04"/>
    <w:rsid w:val="006912D6"/>
    <w:rsid w:val="00693DF5"/>
    <w:rsid w:val="00694B15"/>
    <w:rsid w:val="006969C6"/>
    <w:rsid w:val="006A0B6E"/>
    <w:rsid w:val="006A1978"/>
    <w:rsid w:val="006A1F7E"/>
    <w:rsid w:val="006A3903"/>
    <w:rsid w:val="006B1867"/>
    <w:rsid w:val="006B4A24"/>
    <w:rsid w:val="006B54DA"/>
    <w:rsid w:val="006B5BBC"/>
    <w:rsid w:val="006B5EC1"/>
    <w:rsid w:val="006C0A86"/>
    <w:rsid w:val="006C1284"/>
    <w:rsid w:val="006C2789"/>
    <w:rsid w:val="006C4FBF"/>
    <w:rsid w:val="006C530E"/>
    <w:rsid w:val="006C5CC3"/>
    <w:rsid w:val="006C6B5C"/>
    <w:rsid w:val="006D08B1"/>
    <w:rsid w:val="006D1201"/>
    <w:rsid w:val="006D1FDE"/>
    <w:rsid w:val="006D20E5"/>
    <w:rsid w:val="006D405B"/>
    <w:rsid w:val="006D4919"/>
    <w:rsid w:val="006E007C"/>
    <w:rsid w:val="006E071F"/>
    <w:rsid w:val="006E1A40"/>
    <w:rsid w:val="006E1B97"/>
    <w:rsid w:val="006E48E1"/>
    <w:rsid w:val="006E563E"/>
    <w:rsid w:val="006E57FC"/>
    <w:rsid w:val="006F0BF1"/>
    <w:rsid w:val="006F15F6"/>
    <w:rsid w:val="006F23C6"/>
    <w:rsid w:val="006F4CC2"/>
    <w:rsid w:val="006F4E2B"/>
    <w:rsid w:val="006F5CBD"/>
    <w:rsid w:val="00700A49"/>
    <w:rsid w:val="00701E1C"/>
    <w:rsid w:val="00702235"/>
    <w:rsid w:val="00702E57"/>
    <w:rsid w:val="00703840"/>
    <w:rsid w:val="007079FB"/>
    <w:rsid w:val="00711A24"/>
    <w:rsid w:val="00714670"/>
    <w:rsid w:val="00715BE1"/>
    <w:rsid w:val="00716168"/>
    <w:rsid w:val="00716846"/>
    <w:rsid w:val="00721FEB"/>
    <w:rsid w:val="00724726"/>
    <w:rsid w:val="007248B2"/>
    <w:rsid w:val="00726771"/>
    <w:rsid w:val="00727BFD"/>
    <w:rsid w:val="00730366"/>
    <w:rsid w:val="0073098E"/>
    <w:rsid w:val="00734416"/>
    <w:rsid w:val="0073502F"/>
    <w:rsid w:val="00737527"/>
    <w:rsid w:val="007377C4"/>
    <w:rsid w:val="00737B42"/>
    <w:rsid w:val="00741ADD"/>
    <w:rsid w:val="007443A7"/>
    <w:rsid w:val="007532D5"/>
    <w:rsid w:val="00753385"/>
    <w:rsid w:val="00753907"/>
    <w:rsid w:val="00756893"/>
    <w:rsid w:val="00757CA0"/>
    <w:rsid w:val="00760376"/>
    <w:rsid w:val="007606D2"/>
    <w:rsid w:val="00760CFA"/>
    <w:rsid w:val="00764169"/>
    <w:rsid w:val="00764FAA"/>
    <w:rsid w:val="00771CC0"/>
    <w:rsid w:val="007741B9"/>
    <w:rsid w:val="0077571F"/>
    <w:rsid w:val="00775737"/>
    <w:rsid w:val="00775DF3"/>
    <w:rsid w:val="00776EB9"/>
    <w:rsid w:val="00776F61"/>
    <w:rsid w:val="00777E41"/>
    <w:rsid w:val="00780235"/>
    <w:rsid w:val="0078368E"/>
    <w:rsid w:val="00783FBD"/>
    <w:rsid w:val="00787E52"/>
    <w:rsid w:val="00791843"/>
    <w:rsid w:val="00792DD7"/>
    <w:rsid w:val="00793555"/>
    <w:rsid w:val="0079410D"/>
    <w:rsid w:val="007960A6"/>
    <w:rsid w:val="007A01F8"/>
    <w:rsid w:val="007A02F7"/>
    <w:rsid w:val="007A19F9"/>
    <w:rsid w:val="007A2570"/>
    <w:rsid w:val="007A2FFA"/>
    <w:rsid w:val="007A4CA3"/>
    <w:rsid w:val="007B18DB"/>
    <w:rsid w:val="007B1D3E"/>
    <w:rsid w:val="007B2A29"/>
    <w:rsid w:val="007B42CA"/>
    <w:rsid w:val="007B4D51"/>
    <w:rsid w:val="007B7A8C"/>
    <w:rsid w:val="007C2710"/>
    <w:rsid w:val="007C338E"/>
    <w:rsid w:val="007C46B7"/>
    <w:rsid w:val="007C46F1"/>
    <w:rsid w:val="007C506C"/>
    <w:rsid w:val="007C6143"/>
    <w:rsid w:val="007D12CE"/>
    <w:rsid w:val="007D1A17"/>
    <w:rsid w:val="007D2843"/>
    <w:rsid w:val="007D4387"/>
    <w:rsid w:val="007D7602"/>
    <w:rsid w:val="007E47E9"/>
    <w:rsid w:val="007F03D8"/>
    <w:rsid w:val="007F30C3"/>
    <w:rsid w:val="007F491A"/>
    <w:rsid w:val="007F6B40"/>
    <w:rsid w:val="00801F7D"/>
    <w:rsid w:val="00802958"/>
    <w:rsid w:val="00804587"/>
    <w:rsid w:val="00805090"/>
    <w:rsid w:val="0080518C"/>
    <w:rsid w:val="00810FDF"/>
    <w:rsid w:val="00811CC8"/>
    <w:rsid w:val="008131AD"/>
    <w:rsid w:val="00813BFD"/>
    <w:rsid w:val="00822124"/>
    <w:rsid w:val="00822AF1"/>
    <w:rsid w:val="00824C01"/>
    <w:rsid w:val="00824D90"/>
    <w:rsid w:val="0083160D"/>
    <w:rsid w:val="00831630"/>
    <w:rsid w:val="008328B4"/>
    <w:rsid w:val="00832B57"/>
    <w:rsid w:val="00832B7C"/>
    <w:rsid w:val="008357CE"/>
    <w:rsid w:val="008431D8"/>
    <w:rsid w:val="0084437A"/>
    <w:rsid w:val="00844905"/>
    <w:rsid w:val="008459BF"/>
    <w:rsid w:val="00846660"/>
    <w:rsid w:val="00847DA7"/>
    <w:rsid w:val="0085042B"/>
    <w:rsid w:val="00852D83"/>
    <w:rsid w:val="00853DD1"/>
    <w:rsid w:val="00856583"/>
    <w:rsid w:val="0086044E"/>
    <w:rsid w:val="00861E93"/>
    <w:rsid w:val="00864D76"/>
    <w:rsid w:val="00867E47"/>
    <w:rsid w:val="008726CF"/>
    <w:rsid w:val="00876F6A"/>
    <w:rsid w:val="00877B24"/>
    <w:rsid w:val="00877DA9"/>
    <w:rsid w:val="008811F5"/>
    <w:rsid w:val="0088122C"/>
    <w:rsid w:val="00881DD6"/>
    <w:rsid w:val="0088348D"/>
    <w:rsid w:val="00890E99"/>
    <w:rsid w:val="00890EEF"/>
    <w:rsid w:val="00890FCC"/>
    <w:rsid w:val="00893978"/>
    <w:rsid w:val="00896BF5"/>
    <w:rsid w:val="008A34E0"/>
    <w:rsid w:val="008A38E3"/>
    <w:rsid w:val="008A5049"/>
    <w:rsid w:val="008A5D92"/>
    <w:rsid w:val="008A7065"/>
    <w:rsid w:val="008B0149"/>
    <w:rsid w:val="008B2914"/>
    <w:rsid w:val="008B55E0"/>
    <w:rsid w:val="008B6117"/>
    <w:rsid w:val="008B7BE7"/>
    <w:rsid w:val="008C1B3B"/>
    <w:rsid w:val="008C220B"/>
    <w:rsid w:val="008C323C"/>
    <w:rsid w:val="008C41D9"/>
    <w:rsid w:val="008C4645"/>
    <w:rsid w:val="008D1ABA"/>
    <w:rsid w:val="008D3D14"/>
    <w:rsid w:val="008D3E37"/>
    <w:rsid w:val="008D3EF0"/>
    <w:rsid w:val="008D4813"/>
    <w:rsid w:val="008D49AC"/>
    <w:rsid w:val="008D4DD2"/>
    <w:rsid w:val="008D5B95"/>
    <w:rsid w:val="008D65D5"/>
    <w:rsid w:val="008E185F"/>
    <w:rsid w:val="008E2243"/>
    <w:rsid w:val="008E3AD9"/>
    <w:rsid w:val="008E4002"/>
    <w:rsid w:val="008E4F1D"/>
    <w:rsid w:val="008E5A49"/>
    <w:rsid w:val="008E6F92"/>
    <w:rsid w:val="008F1277"/>
    <w:rsid w:val="008F1CBB"/>
    <w:rsid w:val="008F39F8"/>
    <w:rsid w:val="008F4FA5"/>
    <w:rsid w:val="008F5E34"/>
    <w:rsid w:val="008F66AA"/>
    <w:rsid w:val="008F66E7"/>
    <w:rsid w:val="008F7F2E"/>
    <w:rsid w:val="00902612"/>
    <w:rsid w:val="009032DB"/>
    <w:rsid w:val="00904971"/>
    <w:rsid w:val="0090597E"/>
    <w:rsid w:val="00910154"/>
    <w:rsid w:val="00910B40"/>
    <w:rsid w:val="00911D29"/>
    <w:rsid w:val="00911D69"/>
    <w:rsid w:val="009137D2"/>
    <w:rsid w:val="009145A1"/>
    <w:rsid w:val="00915A59"/>
    <w:rsid w:val="009176D3"/>
    <w:rsid w:val="00921085"/>
    <w:rsid w:val="009215E1"/>
    <w:rsid w:val="00921645"/>
    <w:rsid w:val="009221CB"/>
    <w:rsid w:val="00924014"/>
    <w:rsid w:val="009263CE"/>
    <w:rsid w:val="00926AF7"/>
    <w:rsid w:val="0093047E"/>
    <w:rsid w:val="00930A65"/>
    <w:rsid w:val="009327F9"/>
    <w:rsid w:val="00935B7D"/>
    <w:rsid w:val="00936354"/>
    <w:rsid w:val="009364B2"/>
    <w:rsid w:val="00940467"/>
    <w:rsid w:val="00940DBF"/>
    <w:rsid w:val="00941BBC"/>
    <w:rsid w:val="00942837"/>
    <w:rsid w:val="00942DE9"/>
    <w:rsid w:val="009467F4"/>
    <w:rsid w:val="009521C2"/>
    <w:rsid w:val="0095244E"/>
    <w:rsid w:val="00955E60"/>
    <w:rsid w:val="00962441"/>
    <w:rsid w:val="00962591"/>
    <w:rsid w:val="0096312B"/>
    <w:rsid w:val="00963258"/>
    <w:rsid w:val="009657F0"/>
    <w:rsid w:val="00971608"/>
    <w:rsid w:val="00973442"/>
    <w:rsid w:val="009752FF"/>
    <w:rsid w:val="00975AE4"/>
    <w:rsid w:val="00975E71"/>
    <w:rsid w:val="009769BD"/>
    <w:rsid w:val="00981430"/>
    <w:rsid w:val="00982006"/>
    <w:rsid w:val="00983629"/>
    <w:rsid w:val="009851D4"/>
    <w:rsid w:val="00987078"/>
    <w:rsid w:val="00990623"/>
    <w:rsid w:val="009917DD"/>
    <w:rsid w:val="00993500"/>
    <w:rsid w:val="00993A9D"/>
    <w:rsid w:val="00993DC0"/>
    <w:rsid w:val="009949B9"/>
    <w:rsid w:val="009966E6"/>
    <w:rsid w:val="00997090"/>
    <w:rsid w:val="009973A1"/>
    <w:rsid w:val="009A244E"/>
    <w:rsid w:val="009A6680"/>
    <w:rsid w:val="009A7F53"/>
    <w:rsid w:val="009B0441"/>
    <w:rsid w:val="009B137F"/>
    <w:rsid w:val="009B3476"/>
    <w:rsid w:val="009B4B2D"/>
    <w:rsid w:val="009B58B2"/>
    <w:rsid w:val="009B5A67"/>
    <w:rsid w:val="009B6552"/>
    <w:rsid w:val="009C11B6"/>
    <w:rsid w:val="009C2B49"/>
    <w:rsid w:val="009C5280"/>
    <w:rsid w:val="009D0E0C"/>
    <w:rsid w:val="009D13C4"/>
    <w:rsid w:val="009D2DC2"/>
    <w:rsid w:val="009D3F3F"/>
    <w:rsid w:val="009D40F6"/>
    <w:rsid w:val="009D7259"/>
    <w:rsid w:val="009D7D77"/>
    <w:rsid w:val="009E149F"/>
    <w:rsid w:val="009E14FC"/>
    <w:rsid w:val="009E364A"/>
    <w:rsid w:val="009E4E76"/>
    <w:rsid w:val="009E724F"/>
    <w:rsid w:val="009F010E"/>
    <w:rsid w:val="009F033D"/>
    <w:rsid w:val="009F2076"/>
    <w:rsid w:val="009F21DC"/>
    <w:rsid w:val="009F3039"/>
    <w:rsid w:val="009F3B67"/>
    <w:rsid w:val="009F439E"/>
    <w:rsid w:val="009F4CB1"/>
    <w:rsid w:val="009F521D"/>
    <w:rsid w:val="009F5BC0"/>
    <w:rsid w:val="009F6669"/>
    <w:rsid w:val="00A01634"/>
    <w:rsid w:val="00A02C36"/>
    <w:rsid w:val="00A03775"/>
    <w:rsid w:val="00A04430"/>
    <w:rsid w:val="00A04FFC"/>
    <w:rsid w:val="00A077F7"/>
    <w:rsid w:val="00A1452D"/>
    <w:rsid w:val="00A145F0"/>
    <w:rsid w:val="00A1498C"/>
    <w:rsid w:val="00A14DC9"/>
    <w:rsid w:val="00A1567B"/>
    <w:rsid w:val="00A15747"/>
    <w:rsid w:val="00A160FD"/>
    <w:rsid w:val="00A161F4"/>
    <w:rsid w:val="00A16A10"/>
    <w:rsid w:val="00A200FD"/>
    <w:rsid w:val="00A212E3"/>
    <w:rsid w:val="00A21DC1"/>
    <w:rsid w:val="00A22094"/>
    <w:rsid w:val="00A2221A"/>
    <w:rsid w:val="00A26E3F"/>
    <w:rsid w:val="00A30822"/>
    <w:rsid w:val="00A31F85"/>
    <w:rsid w:val="00A3254F"/>
    <w:rsid w:val="00A32CDD"/>
    <w:rsid w:val="00A33494"/>
    <w:rsid w:val="00A34F96"/>
    <w:rsid w:val="00A36A1C"/>
    <w:rsid w:val="00A37E1B"/>
    <w:rsid w:val="00A41F8C"/>
    <w:rsid w:val="00A431F5"/>
    <w:rsid w:val="00A431F8"/>
    <w:rsid w:val="00A479E4"/>
    <w:rsid w:val="00A515F8"/>
    <w:rsid w:val="00A5196B"/>
    <w:rsid w:val="00A51C3A"/>
    <w:rsid w:val="00A52D2C"/>
    <w:rsid w:val="00A53360"/>
    <w:rsid w:val="00A56C47"/>
    <w:rsid w:val="00A606EB"/>
    <w:rsid w:val="00A6218E"/>
    <w:rsid w:val="00A62198"/>
    <w:rsid w:val="00A72487"/>
    <w:rsid w:val="00A739FD"/>
    <w:rsid w:val="00A73DEF"/>
    <w:rsid w:val="00A75F14"/>
    <w:rsid w:val="00A7704F"/>
    <w:rsid w:val="00A81DFF"/>
    <w:rsid w:val="00A90B03"/>
    <w:rsid w:val="00A94C4A"/>
    <w:rsid w:val="00A94E6F"/>
    <w:rsid w:val="00A94F4B"/>
    <w:rsid w:val="00A95A6A"/>
    <w:rsid w:val="00A961D6"/>
    <w:rsid w:val="00A96CE0"/>
    <w:rsid w:val="00A96EBA"/>
    <w:rsid w:val="00A976FA"/>
    <w:rsid w:val="00AA0313"/>
    <w:rsid w:val="00AA0808"/>
    <w:rsid w:val="00AA0CB4"/>
    <w:rsid w:val="00AA2668"/>
    <w:rsid w:val="00AA470B"/>
    <w:rsid w:val="00AA595C"/>
    <w:rsid w:val="00AA5D37"/>
    <w:rsid w:val="00AA60BF"/>
    <w:rsid w:val="00AB0329"/>
    <w:rsid w:val="00AB0ECD"/>
    <w:rsid w:val="00AB1150"/>
    <w:rsid w:val="00AB228F"/>
    <w:rsid w:val="00AB3F69"/>
    <w:rsid w:val="00AB6E98"/>
    <w:rsid w:val="00AC00FB"/>
    <w:rsid w:val="00AC015B"/>
    <w:rsid w:val="00AC01A3"/>
    <w:rsid w:val="00AC265D"/>
    <w:rsid w:val="00AC4C9E"/>
    <w:rsid w:val="00AC5F11"/>
    <w:rsid w:val="00AD011C"/>
    <w:rsid w:val="00AD15DA"/>
    <w:rsid w:val="00AD2020"/>
    <w:rsid w:val="00AD2CCC"/>
    <w:rsid w:val="00AD3DCD"/>
    <w:rsid w:val="00AD4094"/>
    <w:rsid w:val="00AD4F6D"/>
    <w:rsid w:val="00AD5C8E"/>
    <w:rsid w:val="00AD620F"/>
    <w:rsid w:val="00AD6790"/>
    <w:rsid w:val="00AD7E46"/>
    <w:rsid w:val="00AE097A"/>
    <w:rsid w:val="00AE4D29"/>
    <w:rsid w:val="00AE5063"/>
    <w:rsid w:val="00AE5486"/>
    <w:rsid w:val="00AE56B6"/>
    <w:rsid w:val="00AE67B1"/>
    <w:rsid w:val="00AE6F6C"/>
    <w:rsid w:val="00AF61FF"/>
    <w:rsid w:val="00AF68C1"/>
    <w:rsid w:val="00AF75B7"/>
    <w:rsid w:val="00B003FB"/>
    <w:rsid w:val="00B00777"/>
    <w:rsid w:val="00B016E2"/>
    <w:rsid w:val="00B02A64"/>
    <w:rsid w:val="00B07485"/>
    <w:rsid w:val="00B12A6F"/>
    <w:rsid w:val="00B17162"/>
    <w:rsid w:val="00B22E03"/>
    <w:rsid w:val="00B246BC"/>
    <w:rsid w:val="00B26C1C"/>
    <w:rsid w:val="00B274E9"/>
    <w:rsid w:val="00B30860"/>
    <w:rsid w:val="00B330E5"/>
    <w:rsid w:val="00B33451"/>
    <w:rsid w:val="00B3745C"/>
    <w:rsid w:val="00B376BC"/>
    <w:rsid w:val="00B43E02"/>
    <w:rsid w:val="00B46E47"/>
    <w:rsid w:val="00B46EBB"/>
    <w:rsid w:val="00B51773"/>
    <w:rsid w:val="00B54F50"/>
    <w:rsid w:val="00B55046"/>
    <w:rsid w:val="00B557E0"/>
    <w:rsid w:val="00B562BC"/>
    <w:rsid w:val="00B56E38"/>
    <w:rsid w:val="00B619A9"/>
    <w:rsid w:val="00B61C07"/>
    <w:rsid w:val="00B636E3"/>
    <w:rsid w:val="00B64B68"/>
    <w:rsid w:val="00B64C2B"/>
    <w:rsid w:val="00B655EC"/>
    <w:rsid w:val="00B67192"/>
    <w:rsid w:val="00B71CB3"/>
    <w:rsid w:val="00B71DB2"/>
    <w:rsid w:val="00B72DBB"/>
    <w:rsid w:val="00B750E2"/>
    <w:rsid w:val="00B76186"/>
    <w:rsid w:val="00B76E9D"/>
    <w:rsid w:val="00B85008"/>
    <w:rsid w:val="00B86094"/>
    <w:rsid w:val="00B876B3"/>
    <w:rsid w:val="00B94100"/>
    <w:rsid w:val="00B95817"/>
    <w:rsid w:val="00B965D4"/>
    <w:rsid w:val="00B973D6"/>
    <w:rsid w:val="00B9798C"/>
    <w:rsid w:val="00B97C5C"/>
    <w:rsid w:val="00BA2B56"/>
    <w:rsid w:val="00BA5003"/>
    <w:rsid w:val="00BA663D"/>
    <w:rsid w:val="00BA66A3"/>
    <w:rsid w:val="00BA6DF5"/>
    <w:rsid w:val="00BB1B32"/>
    <w:rsid w:val="00BB20D3"/>
    <w:rsid w:val="00BB4EC7"/>
    <w:rsid w:val="00BC0F94"/>
    <w:rsid w:val="00BC1FAD"/>
    <w:rsid w:val="00BC44B1"/>
    <w:rsid w:val="00BC6A04"/>
    <w:rsid w:val="00BD550B"/>
    <w:rsid w:val="00BD6161"/>
    <w:rsid w:val="00BE3C76"/>
    <w:rsid w:val="00BE5CAA"/>
    <w:rsid w:val="00BE6F4B"/>
    <w:rsid w:val="00BF4221"/>
    <w:rsid w:val="00BF50BF"/>
    <w:rsid w:val="00BF6622"/>
    <w:rsid w:val="00BF6FA9"/>
    <w:rsid w:val="00BF7C53"/>
    <w:rsid w:val="00C00CDB"/>
    <w:rsid w:val="00C06762"/>
    <w:rsid w:val="00C10811"/>
    <w:rsid w:val="00C125DC"/>
    <w:rsid w:val="00C144E6"/>
    <w:rsid w:val="00C16E1B"/>
    <w:rsid w:val="00C17281"/>
    <w:rsid w:val="00C20C56"/>
    <w:rsid w:val="00C21FCB"/>
    <w:rsid w:val="00C2312E"/>
    <w:rsid w:val="00C252F5"/>
    <w:rsid w:val="00C32C82"/>
    <w:rsid w:val="00C33490"/>
    <w:rsid w:val="00C342B4"/>
    <w:rsid w:val="00C409A0"/>
    <w:rsid w:val="00C42148"/>
    <w:rsid w:val="00C42841"/>
    <w:rsid w:val="00C44989"/>
    <w:rsid w:val="00C4686C"/>
    <w:rsid w:val="00C50A37"/>
    <w:rsid w:val="00C51485"/>
    <w:rsid w:val="00C52120"/>
    <w:rsid w:val="00C52A9E"/>
    <w:rsid w:val="00C548C4"/>
    <w:rsid w:val="00C5506A"/>
    <w:rsid w:val="00C6167E"/>
    <w:rsid w:val="00C640E3"/>
    <w:rsid w:val="00C65F09"/>
    <w:rsid w:val="00C71A20"/>
    <w:rsid w:val="00C8053E"/>
    <w:rsid w:val="00C80C1F"/>
    <w:rsid w:val="00C8118F"/>
    <w:rsid w:val="00C81F4E"/>
    <w:rsid w:val="00C82C81"/>
    <w:rsid w:val="00C848E2"/>
    <w:rsid w:val="00C867FC"/>
    <w:rsid w:val="00C868F6"/>
    <w:rsid w:val="00C86E8B"/>
    <w:rsid w:val="00C92360"/>
    <w:rsid w:val="00C947E9"/>
    <w:rsid w:val="00C94CA2"/>
    <w:rsid w:val="00CA3161"/>
    <w:rsid w:val="00CA45E6"/>
    <w:rsid w:val="00CA48ED"/>
    <w:rsid w:val="00CA5A23"/>
    <w:rsid w:val="00CB2154"/>
    <w:rsid w:val="00CB4291"/>
    <w:rsid w:val="00CB7B97"/>
    <w:rsid w:val="00CB7E46"/>
    <w:rsid w:val="00CC00CC"/>
    <w:rsid w:val="00CC4C6D"/>
    <w:rsid w:val="00CD0793"/>
    <w:rsid w:val="00CD23FB"/>
    <w:rsid w:val="00CD2778"/>
    <w:rsid w:val="00CD3E80"/>
    <w:rsid w:val="00CD4944"/>
    <w:rsid w:val="00CD6591"/>
    <w:rsid w:val="00CD79E2"/>
    <w:rsid w:val="00CE330C"/>
    <w:rsid w:val="00CE6E90"/>
    <w:rsid w:val="00CF071F"/>
    <w:rsid w:val="00CF29C7"/>
    <w:rsid w:val="00CF3563"/>
    <w:rsid w:val="00CF3A8F"/>
    <w:rsid w:val="00CF3C1D"/>
    <w:rsid w:val="00CF3F3F"/>
    <w:rsid w:val="00CF4E10"/>
    <w:rsid w:val="00CF5341"/>
    <w:rsid w:val="00CF56FD"/>
    <w:rsid w:val="00CF6C08"/>
    <w:rsid w:val="00D01FA5"/>
    <w:rsid w:val="00D026DF"/>
    <w:rsid w:val="00D031B6"/>
    <w:rsid w:val="00D035E3"/>
    <w:rsid w:val="00D04BE1"/>
    <w:rsid w:val="00D10213"/>
    <w:rsid w:val="00D121D2"/>
    <w:rsid w:val="00D14EBA"/>
    <w:rsid w:val="00D24D2D"/>
    <w:rsid w:val="00D25E0A"/>
    <w:rsid w:val="00D30716"/>
    <w:rsid w:val="00D31018"/>
    <w:rsid w:val="00D310D2"/>
    <w:rsid w:val="00D317B4"/>
    <w:rsid w:val="00D325A6"/>
    <w:rsid w:val="00D34D60"/>
    <w:rsid w:val="00D34F4A"/>
    <w:rsid w:val="00D421DE"/>
    <w:rsid w:val="00D42966"/>
    <w:rsid w:val="00D45D4D"/>
    <w:rsid w:val="00D509AF"/>
    <w:rsid w:val="00D54602"/>
    <w:rsid w:val="00D55415"/>
    <w:rsid w:val="00D56CDB"/>
    <w:rsid w:val="00D57478"/>
    <w:rsid w:val="00D60529"/>
    <w:rsid w:val="00D61F9D"/>
    <w:rsid w:val="00D651F5"/>
    <w:rsid w:val="00D65886"/>
    <w:rsid w:val="00D74A0C"/>
    <w:rsid w:val="00D77613"/>
    <w:rsid w:val="00D81C31"/>
    <w:rsid w:val="00D81F6E"/>
    <w:rsid w:val="00D83029"/>
    <w:rsid w:val="00D846D9"/>
    <w:rsid w:val="00D85755"/>
    <w:rsid w:val="00D86B97"/>
    <w:rsid w:val="00D914AF"/>
    <w:rsid w:val="00D9286F"/>
    <w:rsid w:val="00D96670"/>
    <w:rsid w:val="00D969B8"/>
    <w:rsid w:val="00D97CD6"/>
    <w:rsid w:val="00D97D03"/>
    <w:rsid w:val="00DA0B58"/>
    <w:rsid w:val="00DA4DEA"/>
    <w:rsid w:val="00DA564D"/>
    <w:rsid w:val="00DA5A09"/>
    <w:rsid w:val="00DA5E64"/>
    <w:rsid w:val="00DB0F72"/>
    <w:rsid w:val="00DB136F"/>
    <w:rsid w:val="00DB1BBB"/>
    <w:rsid w:val="00DB3E3D"/>
    <w:rsid w:val="00DC016F"/>
    <w:rsid w:val="00DC378C"/>
    <w:rsid w:val="00DC4175"/>
    <w:rsid w:val="00DD1FBB"/>
    <w:rsid w:val="00DD37B4"/>
    <w:rsid w:val="00DD3D3B"/>
    <w:rsid w:val="00DD4608"/>
    <w:rsid w:val="00DD75F0"/>
    <w:rsid w:val="00DD7BB1"/>
    <w:rsid w:val="00DD7CE5"/>
    <w:rsid w:val="00DD7DA7"/>
    <w:rsid w:val="00DE0E50"/>
    <w:rsid w:val="00DE71A9"/>
    <w:rsid w:val="00DE78EB"/>
    <w:rsid w:val="00DF0027"/>
    <w:rsid w:val="00DF09E3"/>
    <w:rsid w:val="00DF0AED"/>
    <w:rsid w:val="00DF2AAB"/>
    <w:rsid w:val="00DF5EEC"/>
    <w:rsid w:val="00DF6B35"/>
    <w:rsid w:val="00DF6D54"/>
    <w:rsid w:val="00E01784"/>
    <w:rsid w:val="00E03728"/>
    <w:rsid w:val="00E0775F"/>
    <w:rsid w:val="00E07882"/>
    <w:rsid w:val="00E108FF"/>
    <w:rsid w:val="00E11D6C"/>
    <w:rsid w:val="00E1263B"/>
    <w:rsid w:val="00E12FD1"/>
    <w:rsid w:val="00E13354"/>
    <w:rsid w:val="00E14949"/>
    <w:rsid w:val="00E20FD3"/>
    <w:rsid w:val="00E25287"/>
    <w:rsid w:val="00E254A9"/>
    <w:rsid w:val="00E27D05"/>
    <w:rsid w:val="00E321B7"/>
    <w:rsid w:val="00E42254"/>
    <w:rsid w:val="00E43C97"/>
    <w:rsid w:val="00E44587"/>
    <w:rsid w:val="00E4466D"/>
    <w:rsid w:val="00E474C3"/>
    <w:rsid w:val="00E509DE"/>
    <w:rsid w:val="00E51AAC"/>
    <w:rsid w:val="00E543FD"/>
    <w:rsid w:val="00E6166C"/>
    <w:rsid w:val="00E61C9F"/>
    <w:rsid w:val="00E62712"/>
    <w:rsid w:val="00E66234"/>
    <w:rsid w:val="00E677B3"/>
    <w:rsid w:val="00E70C07"/>
    <w:rsid w:val="00E713BF"/>
    <w:rsid w:val="00E71C5B"/>
    <w:rsid w:val="00E71FED"/>
    <w:rsid w:val="00E7241F"/>
    <w:rsid w:val="00E752E3"/>
    <w:rsid w:val="00E76427"/>
    <w:rsid w:val="00E82721"/>
    <w:rsid w:val="00E82BDE"/>
    <w:rsid w:val="00E85A4F"/>
    <w:rsid w:val="00E86706"/>
    <w:rsid w:val="00E90068"/>
    <w:rsid w:val="00E91926"/>
    <w:rsid w:val="00E9430C"/>
    <w:rsid w:val="00E94842"/>
    <w:rsid w:val="00E94FC2"/>
    <w:rsid w:val="00EA0DE5"/>
    <w:rsid w:val="00EA1127"/>
    <w:rsid w:val="00EA1975"/>
    <w:rsid w:val="00EA218A"/>
    <w:rsid w:val="00EA4291"/>
    <w:rsid w:val="00EA7F02"/>
    <w:rsid w:val="00EB1E11"/>
    <w:rsid w:val="00EB39F1"/>
    <w:rsid w:val="00EB3C6B"/>
    <w:rsid w:val="00EB657A"/>
    <w:rsid w:val="00EB7BC6"/>
    <w:rsid w:val="00EC5611"/>
    <w:rsid w:val="00EC5BF2"/>
    <w:rsid w:val="00EC62B2"/>
    <w:rsid w:val="00EC6BE4"/>
    <w:rsid w:val="00ED3300"/>
    <w:rsid w:val="00ED5CB3"/>
    <w:rsid w:val="00ED6631"/>
    <w:rsid w:val="00ED6AED"/>
    <w:rsid w:val="00EE064B"/>
    <w:rsid w:val="00EE16CE"/>
    <w:rsid w:val="00EE18D1"/>
    <w:rsid w:val="00EE278F"/>
    <w:rsid w:val="00EE4E79"/>
    <w:rsid w:val="00EE50BE"/>
    <w:rsid w:val="00EE5892"/>
    <w:rsid w:val="00EE728E"/>
    <w:rsid w:val="00EE7E83"/>
    <w:rsid w:val="00EF5249"/>
    <w:rsid w:val="00EF59E5"/>
    <w:rsid w:val="00EF639C"/>
    <w:rsid w:val="00EF71A2"/>
    <w:rsid w:val="00EF72A1"/>
    <w:rsid w:val="00F016F7"/>
    <w:rsid w:val="00F01BDD"/>
    <w:rsid w:val="00F0246B"/>
    <w:rsid w:val="00F02F24"/>
    <w:rsid w:val="00F03C79"/>
    <w:rsid w:val="00F0527F"/>
    <w:rsid w:val="00F0589B"/>
    <w:rsid w:val="00F05C7A"/>
    <w:rsid w:val="00F05F1B"/>
    <w:rsid w:val="00F07AA9"/>
    <w:rsid w:val="00F11ADD"/>
    <w:rsid w:val="00F121A9"/>
    <w:rsid w:val="00F12C6D"/>
    <w:rsid w:val="00F13B30"/>
    <w:rsid w:val="00F15E74"/>
    <w:rsid w:val="00F1712B"/>
    <w:rsid w:val="00F21045"/>
    <w:rsid w:val="00F2237A"/>
    <w:rsid w:val="00F23B9B"/>
    <w:rsid w:val="00F24418"/>
    <w:rsid w:val="00F249CF"/>
    <w:rsid w:val="00F25108"/>
    <w:rsid w:val="00F25F56"/>
    <w:rsid w:val="00F27D7D"/>
    <w:rsid w:val="00F315BF"/>
    <w:rsid w:val="00F31EF1"/>
    <w:rsid w:val="00F348F4"/>
    <w:rsid w:val="00F35586"/>
    <w:rsid w:val="00F35B36"/>
    <w:rsid w:val="00F40C25"/>
    <w:rsid w:val="00F427C0"/>
    <w:rsid w:val="00F42C1E"/>
    <w:rsid w:val="00F4307E"/>
    <w:rsid w:val="00F43151"/>
    <w:rsid w:val="00F45CF9"/>
    <w:rsid w:val="00F517DC"/>
    <w:rsid w:val="00F532E5"/>
    <w:rsid w:val="00F5361E"/>
    <w:rsid w:val="00F53707"/>
    <w:rsid w:val="00F54A2B"/>
    <w:rsid w:val="00F60D1F"/>
    <w:rsid w:val="00F61313"/>
    <w:rsid w:val="00F63619"/>
    <w:rsid w:val="00F6431F"/>
    <w:rsid w:val="00F65714"/>
    <w:rsid w:val="00F658CA"/>
    <w:rsid w:val="00F72A57"/>
    <w:rsid w:val="00F72E03"/>
    <w:rsid w:val="00F7679D"/>
    <w:rsid w:val="00F76F04"/>
    <w:rsid w:val="00F806FC"/>
    <w:rsid w:val="00F81E84"/>
    <w:rsid w:val="00F82A9D"/>
    <w:rsid w:val="00F83373"/>
    <w:rsid w:val="00F85A61"/>
    <w:rsid w:val="00F860C8"/>
    <w:rsid w:val="00F87E90"/>
    <w:rsid w:val="00F9018A"/>
    <w:rsid w:val="00F90B81"/>
    <w:rsid w:val="00F93485"/>
    <w:rsid w:val="00F95176"/>
    <w:rsid w:val="00FA4225"/>
    <w:rsid w:val="00FA5D07"/>
    <w:rsid w:val="00FA77DC"/>
    <w:rsid w:val="00FB0521"/>
    <w:rsid w:val="00FB2132"/>
    <w:rsid w:val="00FB2DD2"/>
    <w:rsid w:val="00FB30A4"/>
    <w:rsid w:val="00FB4C2B"/>
    <w:rsid w:val="00FB4D87"/>
    <w:rsid w:val="00FB7148"/>
    <w:rsid w:val="00FB72B0"/>
    <w:rsid w:val="00FC0B16"/>
    <w:rsid w:val="00FC1C10"/>
    <w:rsid w:val="00FC223E"/>
    <w:rsid w:val="00FC3269"/>
    <w:rsid w:val="00FC5989"/>
    <w:rsid w:val="00FD0BA0"/>
    <w:rsid w:val="00FD2456"/>
    <w:rsid w:val="00FD2F97"/>
    <w:rsid w:val="00FD6771"/>
    <w:rsid w:val="00FE0268"/>
    <w:rsid w:val="00FE0D52"/>
    <w:rsid w:val="00FE2BDD"/>
    <w:rsid w:val="00FE5355"/>
    <w:rsid w:val="00FE5AE4"/>
    <w:rsid w:val="00FE60EF"/>
    <w:rsid w:val="00FF0EC2"/>
    <w:rsid w:val="00FF1285"/>
    <w:rsid w:val="00FF211B"/>
    <w:rsid w:val="00FF278D"/>
    <w:rsid w:val="00FF4544"/>
    <w:rsid w:val="00FF4D0E"/>
    <w:rsid w:val="02664BDB"/>
    <w:rsid w:val="056DBB50"/>
    <w:rsid w:val="0F1AC6B9"/>
    <w:rsid w:val="136487C0"/>
    <w:rsid w:val="15D064D8"/>
    <w:rsid w:val="17774F9F"/>
    <w:rsid w:val="1BA3E149"/>
    <w:rsid w:val="1C4AC0C2"/>
    <w:rsid w:val="1E5424DE"/>
    <w:rsid w:val="20A4DE8A"/>
    <w:rsid w:val="211E31E5"/>
    <w:rsid w:val="238E43E8"/>
    <w:rsid w:val="27FB0724"/>
    <w:rsid w:val="2A698495"/>
    <w:rsid w:val="2B4E37C0"/>
    <w:rsid w:val="2EF9935B"/>
    <w:rsid w:val="33E15A80"/>
    <w:rsid w:val="36C9390B"/>
    <w:rsid w:val="374A6A63"/>
    <w:rsid w:val="380E3A7C"/>
    <w:rsid w:val="3865096C"/>
    <w:rsid w:val="3ED44AF0"/>
    <w:rsid w:val="40561F0E"/>
    <w:rsid w:val="420BEBB2"/>
    <w:rsid w:val="43A7BC13"/>
    <w:rsid w:val="44154FCE"/>
    <w:rsid w:val="4617CE16"/>
    <w:rsid w:val="46F55852"/>
    <w:rsid w:val="474CF090"/>
    <w:rsid w:val="48E8C0F1"/>
    <w:rsid w:val="5083123B"/>
    <w:rsid w:val="5229FD02"/>
    <w:rsid w:val="540DD6CE"/>
    <w:rsid w:val="54159D59"/>
    <w:rsid w:val="54B1A2D0"/>
    <w:rsid w:val="5668B1EB"/>
    <w:rsid w:val="579FBA17"/>
    <w:rsid w:val="58726727"/>
    <w:rsid w:val="5A474AC3"/>
    <w:rsid w:val="5CC4A23B"/>
    <w:rsid w:val="6787A596"/>
    <w:rsid w:val="6BE8FA9A"/>
    <w:rsid w:val="6F494376"/>
    <w:rsid w:val="739E72E7"/>
    <w:rsid w:val="742F8402"/>
    <w:rsid w:val="7804504F"/>
    <w:rsid w:val="79028ECD"/>
    <w:rsid w:val="79A02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8937"/>
  <w15:chartTrackingRefBased/>
  <w15:docId w15:val="{48A71EDB-784C-4CF8-A304-FC7A93E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aliases w:val="Footnote Text Char Char Char Char Char Car1,Footnote Text Char Char Char Char Car1,Footnote reference Car1,FA Fu Car1,texto de nota al pie Car Car,Texto nota pie Car Car Car,FA Fu, Car,Car"/>
    <w:basedOn w:val="Normal"/>
    <w:link w:val="TextonotapieCar"/>
    <w:uiPriority w:val="99"/>
    <w:unhideWhenUsed/>
    <w:rsid w:val="003221C2"/>
    <w:pPr>
      <w:spacing w:line="240" w:lineRule="auto"/>
    </w:pPr>
    <w:rPr>
      <w:sz w:val="20"/>
      <w:szCs w:val="20"/>
    </w:rPr>
  </w:style>
  <w:style w:type="character" w:customStyle="1" w:styleId="TextonotapieCar">
    <w:name w:val="Texto nota pie Car"/>
    <w:aliases w:val="Footnote Text Char Char Char Char Char Car1 Car,Footnote Text Char Char Char Char Car1 Car,Footnote reference Car1 Car,FA Fu Car1 Car,texto de nota al pie Car Car Car,Texto nota pie Car Car Car Car,FA Fu Car, Car Car,Car Car"/>
    <w:basedOn w:val="Fuentedeprrafopredeter"/>
    <w:link w:val="Textonotapie"/>
    <w:uiPriority w:val="99"/>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character" w:customStyle="1" w:styleId="eop">
    <w:name w:val="eop"/>
    <w:basedOn w:val="Fuentedeprrafopredeter"/>
    <w:rsid w:val="005F6F91"/>
  </w:style>
  <w:style w:type="table" w:styleId="Tablaconcuadrcula">
    <w:name w:val="Table Grid"/>
    <w:basedOn w:val="Tablanormal"/>
    <w:uiPriority w:val="59"/>
    <w:rsid w:val="000F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66CB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CB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50077545">
      <w:bodyDiv w:val="1"/>
      <w:marLeft w:val="0"/>
      <w:marRight w:val="0"/>
      <w:marTop w:val="0"/>
      <w:marBottom w:val="0"/>
      <w:divBdr>
        <w:top w:val="none" w:sz="0" w:space="0" w:color="auto"/>
        <w:left w:val="none" w:sz="0" w:space="0" w:color="auto"/>
        <w:bottom w:val="none" w:sz="0" w:space="0" w:color="auto"/>
        <w:right w:val="none" w:sz="0" w:space="0" w:color="auto"/>
      </w:divBdr>
    </w:div>
    <w:div w:id="154691860">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207645964">
      <w:bodyDiv w:val="1"/>
      <w:marLeft w:val="0"/>
      <w:marRight w:val="0"/>
      <w:marTop w:val="0"/>
      <w:marBottom w:val="0"/>
      <w:divBdr>
        <w:top w:val="none" w:sz="0" w:space="0" w:color="auto"/>
        <w:left w:val="none" w:sz="0" w:space="0" w:color="auto"/>
        <w:bottom w:val="none" w:sz="0" w:space="0" w:color="auto"/>
        <w:right w:val="none" w:sz="0" w:space="0" w:color="auto"/>
      </w:divBdr>
    </w:div>
    <w:div w:id="247807856">
      <w:bodyDiv w:val="1"/>
      <w:marLeft w:val="0"/>
      <w:marRight w:val="0"/>
      <w:marTop w:val="0"/>
      <w:marBottom w:val="0"/>
      <w:divBdr>
        <w:top w:val="none" w:sz="0" w:space="0" w:color="auto"/>
        <w:left w:val="none" w:sz="0" w:space="0" w:color="auto"/>
        <w:bottom w:val="none" w:sz="0" w:space="0" w:color="auto"/>
        <w:right w:val="none" w:sz="0" w:space="0" w:color="auto"/>
      </w:divBdr>
    </w:div>
    <w:div w:id="360784758">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495734112">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706414591">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787354149">
      <w:bodyDiv w:val="1"/>
      <w:marLeft w:val="0"/>
      <w:marRight w:val="0"/>
      <w:marTop w:val="0"/>
      <w:marBottom w:val="0"/>
      <w:divBdr>
        <w:top w:val="none" w:sz="0" w:space="0" w:color="auto"/>
        <w:left w:val="none" w:sz="0" w:space="0" w:color="auto"/>
        <w:bottom w:val="none" w:sz="0" w:space="0" w:color="auto"/>
        <w:right w:val="none" w:sz="0" w:space="0" w:color="auto"/>
      </w:divBdr>
    </w:div>
    <w:div w:id="1036395179">
      <w:bodyDiv w:val="1"/>
      <w:marLeft w:val="0"/>
      <w:marRight w:val="0"/>
      <w:marTop w:val="0"/>
      <w:marBottom w:val="0"/>
      <w:divBdr>
        <w:top w:val="none" w:sz="0" w:space="0" w:color="auto"/>
        <w:left w:val="none" w:sz="0" w:space="0" w:color="auto"/>
        <w:bottom w:val="none" w:sz="0" w:space="0" w:color="auto"/>
        <w:right w:val="none" w:sz="0" w:space="0" w:color="auto"/>
      </w:divBdr>
    </w:div>
    <w:div w:id="1063218823">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521">
      <w:bodyDiv w:val="1"/>
      <w:marLeft w:val="0"/>
      <w:marRight w:val="0"/>
      <w:marTop w:val="0"/>
      <w:marBottom w:val="0"/>
      <w:divBdr>
        <w:top w:val="none" w:sz="0" w:space="0" w:color="auto"/>
        <w:left w:val="none" w:sz="0" w:space="0" w:color="auto"/>
        <w:bottom w:val="none" w:sz="0" w:space="0" w:color="auto"/>
        <w:right w:val="none" w:sz="0" w:space="0" w:color="auto"/>
      </w:divBdr>
    </w:div>
    <w:div w:id="1259291867">
      <w:bodyDiv w:val="1"/>
      <w:marLeft w:val="0"/>
      <w:marRight w:val="0"/>
      <w:marTop w:val="0"/>
      <w:marBottom w:val="0"/>
      <w:divBdr>
        <w:top w:val="none" w:sz="0" w:space="0" w:color="auto"/>
        <w:left w:val="none" w:sz="0" w:space="0" w:color="auto"/>
        <w:bottom w:val="none" w:sz="0" w:space="0" w:color="auto"/>
        <w:right w:val="none" w:sz="0" w:space="0" w:color="auto"/>
      </w:divBdr>
    </w:div>
    <w:div w:id="1284968952">
      <w:bodyDiv w:val="1"/>
      <w:marLeft w:val="0"/>
      <w:marRight w:val="0"/>
      <w:marTop w:val="0"/>
      <w:marBottom w:val="0"/>
      <w:divBdr>
        <w:top w:val="none" w:sz="0" w:space="0" w:color="auto"/>
        <w:left w:val="none" w:sz="0" w:space="0" w:color="auto"/>
        <w:bottom w:val="none" w:sz="0" w:space="0" w:color="auto"/>
        <w:right w:val="none" w:sz="0" w:space="0" w:color="auto"/>
      </w:divBdr>
    </w:div>
    <w:div w:id="1339308193">
      <w:bodyDiv w:val="1"/>
      <w:marLeft w:val="0"/>
      <w:marRight w:val="0"/>
      <w:marTop w:val="0"/>
      <w:marBottom w:val="0"/>
      <w:divBdr>
        <w:top w:val="none" w:sz="0" w:space="0" w:color="auto"/>
        <w:left w:val="none" w:sz="0" w:space="0" w:color="auto"/>
        <w:bottom w:val="none" w:sz="0" w:space="0" w:color="auto"/>
        <w:right w:val="none" w:sz="0" w:space="0" w:color="auto"/>
      </w:divBdr>
    </w:div>
    <w:div w:id="1344279785">
      <w:bodyDiv w:val="1"/>
      <w:marLeft w:val="0"/>
      <w:marRight w:val="0"/>
      <w:marTop w:val="0"/>
      <w:marBottom w:val="0"/>
      <w:divBdr>
        <w:top w:val="none" w:sz="0" w:space="0" w:color="auto"/>
        <w:left w:val="none" w:sz="0" w:space="0" w:color="auto"/>
        <w:bottom w:val="none" w:sz="0" w:space="0" w:color="auto"/>
        <w:right w:val="none" w:sz="0" w:space="0" w:color="auto"/>
      </w:divBdr>
    </w:div>
    <w:div w:id="1386491690">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434865302">
      <w:bodyDiv w:val="1"/>
      <w:marLeft w:val="0"/>
      <w:marRight w:val="0"/>
      <w:marTop w:val="0"/>
      <w:marBottom w:val="0"/>
      <w:divBdr>
        <w:top w:val="none" w:sz="0" w:space="0" w:color="auto"/>
        <w:left w:val="none" w:sz="0" w:space="0" w:color="auto"/>
        <w:bottom w:val="none" w:sz="0" w:space="0" w:color="auto"/>
        <w:right w:val="none" w:sz="0" w:space="0" w:color="auto"/>
      </w:divBdr>
    </w:div>
    <w:div w:id="1438521129">
      <w:bodyDiv w:val="1"/>
      <w:marLeft w:val="0"/>
      <w:marRight w:val="0"/>
      <w:marTop w:val="0"/>
      <w:marBottom w:val="0"/>
      <w:divBdr>
        <w:top w:val="none" w:sz="0" w:space="0" w:color="auto"/>
        <w:left w:val="none" w:sz="0" w:space="0" w:color="auto"/>
        <w:bottom w:val="none" w:sz="0" w:space="0" w:color="auto"/>
        <w:right w:val="none" w:sz="0" w:space="0" w:color="auto"/>
      </w:divBdr>
    </w:div>
    <w:div w:id="1463964391">
      <w:bodyDiv w:val="1"/>
      <w:marLeft w:val="0"/>
      <w:marRight w:val="0"/>
      <w:marTop w:val="0"/>
      <w:marBottom w:val="0"/>
      <w:divBdr>
        <w:top w:val="none" w:sz="0" w:space="0" w:color="auto"/>
        <w:left w:val="none" w:sz="0" w:space="0" w:color="auto"/>
        <w:bottom w:val="none" w:sz="0" w:space="0" w:color="auto"/>
        <w:right w:val="none" w:sz="0" w:space="0" w:color="auto"/>
      </w:divBdr>
    </w:div>
    <w:div w:id="1634212007">
      <w:bodyDiv w:val="1"/>
      <w:marLeft w:val="0"/>
      <w:marRight w:val="0"/>
      <w:marTop w:val="0"/>
      <w:marBottom w:val="0"/>
      <w:divBdr>
        <w:top w:val="none" w:sz="0" w:space="0" w:color="auto"/>
        <w:left w:val="none" w:sz="0" w:space="0" w:color="auto"/>
        <w:bottom w:val="none" w:sz="0" w:space="0" w:color="auto"/>
        <w:right w:val="none" w:sz="0" w:space="0" w:color="auto"/>
      </w:divBdr>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20608334">
      <w:bodyDiv w:val="1"/>
      <w:marLeft w:val="0"/>
      <w:marRight w:val="0"/>
      <w:marTop w:val="0"/>
      <w:marBottom w:val="0"/>
      <w:divBdr>
        <w:top w:val="none" w:sz="0" w:space="0" w:color="auto"/>
        <w:left w:val="none" w:sz="0" w:space="0" w:color="auto"/>
        <w:bottom w:val="none" w:sz="0" w:space="0" w:color="auto"/>
        <w:right w:val="none" w:sz="0" w:space="0" w:color="auto"/>
      </w:divBdr>
    </w:div>
    <w:div w:id="183614057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1962421958">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 w:id="20399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be2a4ca5ffa4412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1B1B-3BE4-4DC7-9836-2AC579145AC4}">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FE8A2211-7A07-4642-B681-C7581BC8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FBB0B-7D8F-4693-9717-96C1E4040014}">
  <ds:schemaRefs>
    <ds:schemaRef ds:uri="http://schemas.microsoft.com/sharepoint/v3/contenttype/forms"/>
  </ds:schemaRefs>
</ds:datastoreItem>
</file>

<file path=customXml/itemProps4.xml><?xml version="1.0" encoding="utf-8"?>
<ds:datastoreItem xmlns:ds="http://schemas.openxmlformats.org/officeDocument/2006/customXml" ds:itemID="{BFB90F82-8828-4F3A-8CC3-846A6B81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4040</Words>
  <Characters>22222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15</cp:revision>
  <dcterms:created xsi:type="dcterms:W3CDTF">2022-07-01T19:03:00Z</dcterms:created>
  <dcterms:modified xsi:type="dcterms:W3CDTF">2022-09-05T18:21:00Z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57055800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